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rPr>
          <w:sz w:val="20"/>
        </w:rPr>
      </w:pPr>
      <w:r>
        <w:rPr>
          <w:sz w:val="20"/>
        </w:rPr>
        <w:pict>
          <v:group style="width:356.7pt;height:23.9pt;mso-position-horizontal-relative:char;mso-position-vertical-relative:line" coordorigin="0,0" coordsize="7134,478">
            <v:rect style="position:absolute;left:0;top:0;width:7134;height:478" filled="true" fillcolor="#008356" stroked="false">
              <v:fill type="solid"/>
            </v:rect>
            <v:shapetype id="_x0000_t202" o:spt="202" coordsize="21600,21600" path="m,l,21600r21600,l21600,xe">
              <v:stroke joinstyle="miter"/>
              <v:path gradientshapeok="t" o:connecttype="rect"/>
            </v:shapetype>
            <v:shape style="position:absolute;left:119;top:224;width:381;height:132" type="#_x0000_t202" filled="false" stroked="false">
              <v:textbox inset="0,0,0,0">
                <w:txbxContent>
                  <w:p>
                    <w:pPr>
                      <w:spacing w:line="131" w:lineRule="exact" w:before="0"/>
                      <w:ind w:left="0" w:right="0" w:firstLine="0"/>
                      <w:jc w:val="left"/>
                      <w:rPr>
                        <w:rFonts w:ascii="Calibri"/>
                        <w:sz w:val="11"/>
                      </w:rPr>
                    </w:pPr>
                    <w:r>
                      <w:rPr>
                        <w:rFonts w:ascii="Calibri"/>
                        <w:color w:val="FFFFFF"/>
                        <w:w w:val="105"/>
                        <w:sz w:val="11"/>
                      </w:rPr>
                      <w:t>BNF 70</w:t>
                    </w:r>
                  </w:p>
                </w:txbxContent>
              </v:textbox>
              <w10:wrap type="none"/>
            </v:shape>
            <v:shape style="position:absolute;left:4690;top:139;width:2344;height:240" type="#_x0000_t202" filled="false" stroked="false">
              <v:textbox inset="0,0,0,0">
                <w:txbxContent>
                  <w:p>
                    <w:pPr>
                      <w:spacing w:line="234" w:lineRule="exact" w:before="0"/>
                      <w:ind w:left="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1137</w:t>
                    </w:r>
                  </w:p>
                </w:txbxContent>
              </v:textbox>
              <w10:wrap type="none"/>
            </v:shape>
          </v:group>
        </w:pict>
      </w:r>
      <w:r>
        <w:rPr>
          <w:sz w:val="20"/>
        </w:rPr>
      </w:r>
    </w:p>
    <w:p>
      <w:pPr>
        <w:spacing w:line="477" w:lineRule="exact" w:before="74"/>
        <w:ind w:left="108" w:right="0" w:firstLine="0"/>
        <w:jc w:val="left"/>
        <w:rPr>
          <w:rFonts w:ascii="Trebuchet MS"/>
          <w:sz w:val="44"/>
        </w:rPr>
      </w:pPr>
      <w:r>
        <w:rPr/>
        <w:pict>
          <v:rect style="position:absolute;margin-left:398.891296pt;margin-top:5.421227pt;width:20.522993pt;height:149.443pt;mso-position-horizontal-relative:page;mso-position-vertical-relative:paragraph;z-index:1120" filled="true" fillcolor="#bfdbcf" stroked="false">
            <v:fill type="solid"/>
            <w10:wrap type="none"/>
          </v:rect>
        </w:pict>
      </w:r>
      <w:r>
        <w:rPr/>
        <w:pict>
          <v:shape style="position:absolute;margin-left:399.725769pt;margin-top:10.384616pt;width:10.4pt;height:78.850pt;mso-position-horizontal-relative:page;mso-position-vertical-relative:paragraph;z-index:114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Trebuchet MS"/>
          <w:color w:val="008356"/>
          <w:w w:val="95"/>
          <w:sz w:val="44"/>
        </w:rPr>
        <w:t>Appendix</w:t>
      </w:r>
      <w:r>
        <w:rPr>
          <w:rFonts w:ascii="Trebuchet MS"/>
          <w:color w:val="008356"/>
          <w:spacing w:val="9"/>
          <w:w w:val="95"/>
          <w:sz w:val="44"/>
        </w:rPr>
        <w:t> </w:t>
      </w:r>
      <w:r>
        <w:rPr>
          <w:rFonts w:ascii="Trebuchet MS"/>
          <w:color w:val="008356"/>
          <w:w w:val="95"/>
          <w:sz w:val="44"/>
        </w:rPr>
        <w:t>1</w:t>
      </w:r>
    </w:p>
    <w:p>
      <w:pPr>
        <w:spacing w:line="503" w:lineRule="exact" w:before="0"/>
        <w:ind w:left="108" w:right="0" w:firstLine="0"/>
        <w:jc w:val="left"/>
        <w:rPr>
          <w:rFonts w:ascii="Calibri"/>
          <w:sz w:val="44"/>
        </w:rPr>
      </w:pPr>
      <w:r>
        <w:rPr>
          <w:rFonts w:ascii="Calibri"/>
          <w:color w:val="231F1F"/>
          <w:sz w:val="44"/>
        </w:rPr>
        <w:t>Interactions</w:t>
      </w:r>
    </w:p>
    <w:p>
      <w:pPr>
        <w:pStyle w:val="BodyText"/>
        <w:spacing w:before="8"/>
        <w:ind w:left="0"/>
        <w:rPr>
          <w:rFonts w:ascii="Calibri"/>
          <w:sz w:val="21"/>
        </w:rPr>
      </w:pPr>
    </w:p>
    <w:p>
      <w:pPr>
        <w:spacing w:after="0"/>
        <w:rPr>
          <w:rFonts w:ascii="Calibri"/>
          <w:sz w:val="21"/>
        </w:rPr>
        <w:sectPr>
          <w:type w:val="continuous"/>
          <w:pgSz w:w="8390" w:h="11910"/>
          <w:pgMar w:top="0" w:bottom="0" w:left="480" w:right="0"/>
        </w:sectPr>
      </w:pPr>
    </w:p>
    <w:p>
      <w:pPr>
        <w:spacing w:before="93"/>
        <w:ind w:left="108" w:right="40" w:firstLine="0"/>
        <w:jc w:val="left"/>
        <w:rPr>
          <w:sz w:val="13"/>
        </w:rPr>
      </w:pPr>
      <w:r>
        <w:rPr>
          <w:color w:val="231F1F"/>
          <w:w w:val="110"/>
          <w:sz w:val="13"/>
        </w:rPr>
        <w:t>Two or more drugs given at the same time may exert their effects independently or may interact. The interaction may be potentiation or antagonism of one drug by another, or occasionally some other effect. Adverse drug interactions should be reported to the Medicines and Healthcare products Regulatory Agency (MHRA), through the Yellow Card Scheme (see Adverse Reactions to Drugs), as for </w:t>
      </w:r>
      <w:r>
        <w:rPr>
          <w:color w:val="231F1F"/>
          <w:spacing w:val="-3"/>
          <w:w w:val="110"/>
          <w:sz w:val="13"/>
        </w:rPr>
        <w:t>other </w:t>
      </w:r>
      <w:r>
        <w:rPr>
          <w:color w:val="231F1F"/>
          <w:w w:val="110"/>
          <w:sz w:val="13"/>
        </w:rPr>
        <w:t>adverse drug reactions.</w:t>
      </w:r>
    </w:p>
    <w:p>
      <w:pPr>
        <w:spacing w:line="149" w:lineRule="exact" w:before="0"/>
        <w:ind w:left="237" w:right="0" w:firstLine="0"/>
        <w:jc w:val="left"/>
        <w:rPr>
          <w:sz w:val="13"/>
        </w:rPr>
      </w:pPr>
      <w:r>
        <w:rPr>
          <w:color w:val="231F1F"/>
          <w:w w:val="110"/>
          <w:sz w:val="13"/>
        </w:rPr>
        <w:t>Drug interactions may be </w:t>
      </w:r>
      <w:r>
        <w:rPr>
          <w:rFonts w:ascii="Georgia"/>
          <w:color w:val="231F1F"/>
          <w:w w:val="110"/>
          <w:sz w:val="13"/>
        </w:rPr>
        <w:t>pharmacodynamic </w:t>
      </w:r>
      <w:r>
        <w:rPr>
          <w:color w:val="231F1F"/>
          <w:w w:val="110"/>
          <w:sz w:val="13"/>
        </w:rPr>
        <w:t>or</w:t>
      </w:r>
    </w:p>
    <w:p>
      <w:pPr>
        <w:spacing w:line="149" w:lineRule="exact" w:before="0"/>
        <w:ind w:left="108" w:right="0" w:firstLine="0"/>
        <w:jc w:val="left"/>
        <w:rPr>
          <w:sz w:val="13"/>
        </w:rPr>
      </w:pPr>
      <w:r>
        <w:rPr>
          <w:rFonts w:ascii="Georgia"/>
          <w:color w:val="231F1F"/>
          <w:w w:val="105"/>
          <w:sz w:val="13"/>
        </w:rPr>
        <w:t>pharmacokinetic</w:t>
      </w:r>
      <w:r>
        <w:rPr>
          <w:color w:val="231F1F"/>
          <w:w w:val="105"/>
          <w:sz w:val="13"/>
        </w:rPr>
        <w:t>.</w:t>
      </w:r>
    </w:p>
    <w:p>
      <w:pPr>
        <w:spacing w:before="120"/>
        <w:ind w:left="108" w:right="0" w:firstLine="0"/>
        <w:jc w:val="left"/>
        <w:rPr>
          <w:rFonts w:ascii="Trebuchet MS"/>
          <w:sz w:val="13"/>
        </w:rPr>
      </w:pPr>
      <w:r>
        <w:rPr>
          <w:rFonts w:ascii="Trebuchet MS"/>
          <w:color w:val="231F1F"/>
          <w:sz w:val="13"/>
        </w:rPr>
        <w:t>Pharmacodynamic interactions</w:t>
      </w:r>
    </w:p>
    <w:p>
      <w:pPr>
        <w:spacing w:before="29"/>
        <w:ind w:left="108" w:right="40" w:firstLine="0"/>
        <w:jc w:val="left"/>
        <w:rPr>
          <w:sz w:val="13"/>
        </w:rPr>
      </w:pPr>
      <w:r>
        <w:rPr>
          <w:color w:val="231F1F"/>
          <w:w w:val="110"/>
          <w:sz w:val="13"/>
        </w:rPr>
        <w:t>These are interactions between drugs which have similar or antagonistic pharmacological effects or side-effects. They may be due to competition at receptor sites, or occur between drugs acting on the same physiological system.</w:t>
      </w:r>
    </w:p>
    <w:p>
      <w:pPr>
        <w:spacing w:before="0"/>
        <w:ind w:left="108" w:right="75" w:firstLine="0"/>
        <w:jc w:val="left"/>
        <w:rPr>
          <w:sz w:val="13"/>
        </w:rPr>
      </w:pPr>
      <w:r>
        <w:rPr>
          <w:color w:val="231F1F"/>
          <w:w w:val="110"/>
          <w:sz w:val="13"/>
        </w:rPr>
        <w:t>They are usually predictable from a knowledge of the pharmacology of the interacting drugs; in general, those demonstrated with one drug are likely to occur with related drugs. They occur to a greater or lesser extent in most patients who receive the interacting drugs.</w:t>
      </w:r>
    </w:p>
    <w:p>
      <w:pPr>
        <w:spacing w:before="117"/>
        <w:ind w:left="108" w:right="0" w:firstLine="0"/>
        <w:jc w:val="left"/>
        <w:rPr>
          <w:rFonts w:ascii="Trebuchet MS"/>
          <w:sz w:val="13"/>
        </w:rPr>
      </w:pPr>
      <w:r>
        <w:rPr>
          <w:rFonts w:ascii="Trebuchet MS"/>
          <w:color w:val="231F1F"/>
          <w:sz w:val="13"/>
        </w:rPr>
        <w:t>Pharmacokinetic interactions</w:t>
      </w:r>
    </w:p>
    <w:p>
      <w:pPr>
        <w:spacing w:before="30"/>
        <w:ind w:left="108" w:right="123" w:firstLine="0"/>
        <w:jc w:val="left"/>
        <w:rPr>
          <w:sz w:val="13"/>
        </w:rPr>
      </w:pPr>
      <w:r>
        <w:rPr>
          <w:color w:val="231F1F"/>
          <w:w w:val="110"/>
          <w:sz w:val="13"/>
        </w:rPr>
        <w:t>These occur when one drug alters the absorption, distribution, metabolism, or excretion of another, thus increasing or reducing the amount of drug available to produce its pharmacological effects. They are not easily predicted and many of them affect only a small proportion of patients taking the combination of drugs.</w:t>
      </w:r>
    </w:p>
    <w:p>
      <w:pPr>
        <w:spacing w:before="0"/>
        <w:ind w:left="108" w:right="75" w:firstLine="0"/>
        <w:jc w:val="left"/>
        <w:rPr>
          <w:sz w:val="13"/>
        </w:rPr>
      </w:pPr>
      <w:r>
        <w:rPr>
          <w:color w:val="231F1F"/>
          <w:w w:val="110"/>
          <w:sz w:val="13"/>
        </w:rPr>
        <w:t>Pharmacokinetic interactions occurring with one drug cannot be assumed to occur with related drugs unless their pharmacokinetic properties are known to be similar.</w:t>
      </w:r>
    </w:p>
    <w:p>
      <w:pPr>
        <w:spacing w:line="264" w:lineRule="auto" w:before="0"/>
        <w:ind w:left="108" w:right="40" w:firstLine="129"/>
        <w:jc w:val="left"/>
        <w:rPr>
          <w:sz w:val="13"/>
        </w:rPr>
      </w:pPr>
      <w:r>
        <w:rPr>
          <w:color w:val="231F1F"/>
          <w:w w:val="110"/>
          <w:sz w:val="13"/>
        </w:rPr>
        <w:t>Pharmacokinetic interactions are of several types: </w:t>
      </w:r>
      <w:r>
        <w:rPr>
          <w:rFonts w:ascii="Arial"/>
          <w:color w:val="231F1F"/>
          <w:w w:val="110"/>
          <w:sz w:val="13"/>
        </w:rPr>
        <w:t>Affecting absorption </w:t>
      </w:r>
      <w:r>
        <w:rPr>
          <w:color w:val="231F1F"/>
          <w:w w:val="110"/>
          <w:sz w:val="13"/>
        </w:rPr>
        <w:t>The rate of absorption or the total amount absorbed can both be altered by drug</w:t>
      </w:r>
      <w:r>
        <w:rPr>
          <w:color w:val="231F1F"/>
          <w:spacing w:val="12"/>
          <w:w w:val="110"/>
          <w:sz w:val="13"/>
        </w:rPr>
        <w:t> </w:t>
      </w:r>
      <w:r>
        <w:rPr>
          <w:color w:val="231F1F"/>
          <w:w w:val="110"/>
          <w:sz w:val="13"/>
        </w:rPr>
        <w:t>interactions.</w:t>
      </w:r>
    </w:p>
    <w:p>
      <w:pPr>
        <w:spacing w:line="133" w:lineRule="exact" w:before="0"/>
        <w:ind w:left="108" w:right="0" w:firstLine="0"/>
        <w:jc w:val="left"/>
        <w:rPr>
          <w:sz w:val="13"/>
        </w:rPr>
      </w:pPr>
      <w:r>
        <w:rPr>
          <w:color w:val="231F1F"/>
          <w:w w:val="110"/>
          <w:sz w:val="13"/>
        </w:rPr>
        <w:t>Delayed</w:t>
      </w:r>
      <w:r>
        <w:rPr>
          <w:color w:val="231F1F"/>
          <w:spacing w:val="-5"/>
          <w:w w:val="110"/>
          <w:sz w:val="13"/>
        </w:rPr>
        <w:t> </w:t>
      </w:r>
      <w:r>
        <w:rPr>
          <w:color w:val="231F1F"/>
          <w:w w:val="110"/>
          <w:sz w:val="13"/>
        </w:rPr>
        <w:t>absorption</w:t>
      </w:r>
      <w:r>
        <w:rPr>
          <w:color w:val="231F1F"/>
          <w:spacing w:val="-6"/>
          <w:w w:val="110"/>
          <w:sz w:val="13"/>
        </w:rPr>
        <w:t> </w:t>
      </w:r>
      <w:r>
        <w:rPr>
          <w:color w:val="231F1F"/>
          <w:w w:val="110"/>
          <w:sz w:val="13"/>
        </w:rPr>
        <w:t>is</w:t>
      </w:r>
      <w:r>
        <w:rPr>
          <w:color w:val="231F1F"/>
          <w:spacing w:val="-3"/>
          <w:w w:val="110"/>
          <w:sz w:val="13"/>
        </w:rPr>
        <w:t> </w:t>
      </w:r>
      <w:r>
        <w:rPr>
          <w:color w:val="231F1F"/>
          <w:w w:val="110"/>
          <w:sz w:val="13"/>
        </w:rPr>
        <w:t>rarely</w:t>
      </w:r>
      <w:r>
        <w:rPr>
          <w:color w:val="231F1F"/>
          <w:spacing w:val="-5"/>
          <w:w w:val="110"/>
          <w:sz w:val="13"/>
        </w:rPr>
        <w:t> </w:t>
      </w:r>
      <w:r>
        <w:rPr>
          <w:color w:val="231F1F"/>
          <w:w w:val="110"/>
          <w:sz w:val="13"/>
        </w:rPr>
        <w:t>of</w:t>
      </w:r>
      <w:r>
        <w:rPr>
          <w:color w:val="231F1F"/>
          <w:spacing w:val="-4"/>
          <w:w w:val="110"/>
          <w:sz w:val="13"/>
        </w:rPr>
        <w:t> </w:t>
      </w:r>
      <w:r>
        <w:rPr>
          <w:color w:val="231F1F"/>
          <w:w w:val="110"/>
          <w:sz w:val="13"/>
        </w:rPr>
        <w:t>clinical</w:t>
      </w:r>
      <w:r>
        <w:rPr>
          <w:color w:val="231F1F"/>
          <w:spacing w:val="-3"/>
          <w:w w:val="110"/>
          <w:sz w:val="13"/>
        </w:rPr>
        <w:t> </w:t>
      </w:r>
      <w:r>
        <w:rPr>
          <w:color w:val="231F1F"/>
          <w:w w:val="110"/>
          <w:sz w:val="13"/>
        </w:rPr>
        <w:t>importance</w:t>
      </w:r>
      <w:r>
        <w:rPr>
          <w:color w:val="231F1F"/>
          <w:spacing w:val="-6"/>
          <w:w w:val="110"/>
          <w:sz w:val="13"/>
        </w:rPr>
        <w:t> </w:t>
      </w:r>
      <w:r>
        <w:rPr>
          <w:color w:val="231F1F"/>
          <w:w w:val="110"/>
          <w:sz w:val="13"/>
        </w:rPr>
        <w:t>unless</w:t>
      </w:r>
    </w:p>
    <w:p>
      <w:pPr>
        <w:spacing w:before="0"/>
        <w:ind w:left="108" w:right="234" w:firstLine="0"/>
        <w:jc w:val="left"/>
        <w:rPr>
          <w:sz w:val="13"/>
        </w:rPr>
      </w:pPr>
      <w:r>
        <w:rPr>
          <w:color w:val="231F1F"/>
          <w:w w:val="110"/>
          <w:sz w:val="13"/>
        </w:rPr>
        <w:t>high peak plasma concentrations are required (e.g. when giving an analgesic). Reduction in the total amount absorbed, however, may result in ineffective therapy.</w:t>
      </w:r>
    </w:p>
    <w:p>
      <w:pPr>
        <w:spacing w:before="29"/>
        <w:ind w:left="108" w:right="39" w:firstLine="0"/>
        <w:jc w:val="left"/>
        <w:rPr>
          <w:sz w:val="13"/>
        </w:rPr>
      </w:pPr>
      <w:r>
        <w:rPr>
          <w:rFonts w:ascii="Arial"/>
          <w:color w:val="231F1F"/>
          <w:w w:val="110"/>
          <w:sz w:val="13"/>
        </w:rPr>
        <w:t>Due</w:t>
      </w:r>
      <w:r>
        <w:rPr>
          <w:rFonts w:ascii="Arial"/>
          <w:color w:val="231F1F"/>
          <w:spacing w:val="-26"/>
          <w:w w:val="110"/>
          <w:sz w:val="13"/>
        </w:rPr>
        <w:t> </w:t>
      </w:r>
      <w:r>
        <w:rPr>
          <w:rFonts w:ascii="Arial"/>
          <w:color w:val="231F1F"/>
          <w:w w:val="110"/>
          <w:sz w:val="13"/>
        </w:rPr>
        <w:t>to</w:t>
      </w:r>
      <w:r>
        <w:rPr>
          <w:rFonts w:ascii="Arial"/>
          <w:color w:val="231F1F"/>
          <w:spacing w:val="-26"/>
          <w:w w:val="110"/>
          <w:sz w:val="13"/>
        </w:rPr>
        <w:t> </w:t>
      </w:r>
      <w:r>
        <w:rPr>
          <w:rFonts w:ascii="Arial"/>
          <w:color w:val="231F1F"/>
          <w:w w:val="110"/>
          <w:sz w:val="13"/>
        </w:rPr>
        <w:t>changes</w:t>
      </w:r>
      <w:r>
        <w:rPr>
          <w:rFonts w:ascii="Arial"/>
          <w:color w:val="231F1F"/>
          <w:spacing w:val="-25"/>
          <w:w w:val="110"/>
          <w:sz w:val="13"/>
        </w:rPr>
        <w:t> </w:t>
      </w:r>
      <w:r>
        <w:rPr>
          <w:rFonts w:ascii="Arial"/>
          <w:color w:val="231F1F"/>
          <w:w w:val="110"/>
          <w:sz w:val="13"/>
        </w:rPr>
        <w:t>in</w:t>
      </w:r>
      <w:r>
        <w:rPr>
          <w:rFonts w:ascii="Arial"/>
          <w:color w:val="231F1F"/>
          <w:spacing w:val="-25"/>
          <w:w w:val="110"/>
          <w:sz w:val="13"/>
        </w:rPr>
        <w:t> </w:t>
      </w:r>
      <w:r>
        <w:rPr>
          <w:rFonts w:ascii="Arial"/>
          <w:color w:val="231F1F"/>
          <w:w w:val="110"/>
          <w:sz w:val="13"/>
        </w:rPr>
        <w:t>protein</w:t>
      </w:r>
      <w:r>
        <w:rPr>
          <w:rFonts w:ascii="Arial"/>
          <w:color w:val="231F1F"/>
          <w:spacing w:val="-26"/>
          <w:w w:val="110"/>
          <w:sz w:val="13"/>
        </w:rPr>
        <w:t> </w:t>
      </w:r>
      <w:r>
        <w:rPr>
          <w:rFonts w:ascii="Arial"/>
          <w:color w:val="231F1F"/>
          <w:w w:val="110"/>
          <w:sz w:val="13"/>
        </w:rPr>
        <w:t>binding</w:t>
      </w:r>
      <w:r>
        <w:rPr>
          <w:rFonts w:ascii="Arial"/>
          <w:color w:val="231F1F"/>
          <w:spacing w:val="-13"/>
          <w:w w:val="110"/>
          <w:sz w:val="13"/>
        </w:rPr>
        <w:t> </w:t>
      </w:r>
      <w:r>
        <w:rPr>
          <w:color w:val="231F1F"/>
          <w:w w:val="110"/>
          <w:sz w:val="13"/>
        </w:rPr>
        <w:t>To</w:t>
      </w:r>
      <w:r>
        <w:rPr>
          <w:color w:val="231F1F"/>
          <w:spacing w:val="-21"/>
          <w:w w:val="110"/>
          <w:sz w:val="13"/>
        </w:rPr>
        <w:t> </w:t>
      </w:r>
      <w:r>
        <w:rPr>
          <w:color w:val="231F1F"/>
          <w:w w:val="110"/>
          <w:sz w:val="13"/>
        </w:rPr>
        <w:t>a</w:t>
      </w:r>
      <w:r>
        <w:rPr>
          <w:color w:val="231F1F"/>
          <w:spacing w:val="-21"/>
          <w:w w:val="110"/>
          <w:sz w:val="13"/>
        </w:rPr>
        <w:t> </w:t>
      </w:r>
      <w:r>
        <w:rPr>
          <w:color w:val="231F1F"/>
          <w:w w:val="110"/>
          <w:sz w:val="13"/>
        </w:rPr>
        <w:t>variable</w:t>
      </w:r>
      <w:r>
        <w:rPr>
          <w:color w:val="231F1F"/>
          <w:spacing w:val="-22"/>
          <w:w w:val="110"/>
          <w:sz w:val="13"/>
        </w:rPr>
        <w:t> </w:t>
      </w:r>
      <w:r>
        <w:rPr>
          <w:color w:val="231F1F"/>
          <w:w w:val="110"/>
          <w:sz w:val="13"/>
        </w:rPr>
        <w:t>extent</w:t>
      </w:r>
      <w:r>
        <w:rPr>
          <w:color w:val="231F1F"/>
          <w:spacing w:val="-22"/>
          <w:w w:val="110"/>
          <w:sz w:val="13"/>
        </w:rPr>
        <w:t> </w:t>
      </w:r>
      <w:r>
        <w:rPr>
          <w:color w:val="231F1F"/>
          <w:w w:val="110"/>
          <w:sz w:val="13"/>
        </w:rPr>
        <w:t>most drugs are loosely bound to plasma proteins. Protein-binding sites are non-specific and one drug can displace another thereby increasing its proportion free to diffuse from plasma to its site of action. This only produces a detectable increase in effect if it is an extensively bound drug (more than 90%) that is not widely distributed throughout the body. Even so displacement rarely produces more than transient potentiation because this increased concentration of free drug results in an increased rate of</w:t>
      </w:r>
      <w:r>
        <w:rPr>
          <w:color w:val="231F1F"/>
          <w:spacing w:val="-12"/>
          <w:w w:val="110"/>
          <w:sz w:val="13"/>
        </w:rPr>
        <w:t> </w:t>
      </w:r>
      <w:r>
        <w:rPr>
          <w:color w:val="231F1F"/>
          <w:w w:val="110"/>
          <w:sz w:val="13"/>
        </w:rPr>
        <w:t>elimination.</w:t>
      </w:r>
    </w:p>
    <w:p>
      <w:pPr>
        <w:spacing w:before="0"/>
        <w:ind w:left="108" w:right="123" w:firstLine="129"/>
        <w:jc w:val="left"/>
        <w:rPr>
          <w:sz w:val="13"/>
        </w:rPr>
      </w:pPr>
      <w:r>
        <w:rPr>
          <w:color w:val="231F1F"/>
          <w:w w:val="110"/>
          <w:sz w:val="13"/>
        </w:rPr>
        <w:t>Displacement from protein binding plays a part in the potentiation of warfarin by sulfonamides and tolbutamide but the importance of these interactions is due mainly to the fact that warfarin metabolism is also inhibited.</w:t>
      </w:r>
    </w:p>
    <w:p>
      <w:pPr>
        <w:spacing w:before="29"/>
        <w:ind w:left="108" w:right="114" w:firstLine="0"/>
        <w:jc w:val="left"/>
        <w:rPr>
          <w:sz w:val="13"/>
        </w:rPr>
      </w:pPr>
      <w:r>
        <w:rPr>
          <w:rFonts w:ascii="Arial"/>
          <w:color w:val="231F1F"/>
          <w:w w:val="110"/>
          <w:sz w:val="13"/>
        </w:rPr>
        <w:t>Affecting metabolism </w:t>
      </w:r>
      <w:r>
        <w:rPr>
          <w:color w:val="231F1F"/>
          <w:w w:val="110"/>
          <w:sz w:val="13"/>
        </w:rPr>
        <w:t>Many drugs are metabolised in the liver. Induction of the hepatic microsomal enzyme system by one drug can gradually increase the rate of metabolism of another, resulting in lower plasma concentrations and a reduced effect. On withdrawal of the inducer plasma concentrations increase and toxicity may occur.</w:t>
      </w:r>
    </w:p>
    <w:p>
      <w:pPr>
        <w:spacing w:before="0"/>
        <w:ind w:left="108" w:right="119" w:firstLine="0"/>
        <w:jc w:val="left"/>
        <w:rPr>
          <w:sz w:val="13"/>
        </w:rPr>
      </w:pPr>
      <w:r>
        <w:rPr>
          <w:color w:val="231F1F"/>
          <w:w w:val="110"/>
          <w:sz w:val="13"/>
        </w:rPr>
        <w:t>Barbiturates, griseofulvin, many antiepileptics, and rifampicin are the most important enzyme inducers. Drugs affected include warfarin and the oral contraceptives.</w:t>
      </w:r>
    </w:p>
    <w:p>
      <w:pPr>
        <w:spacing w:before="93"/>
        <w:ind w:left="108" w:right="670" w:firstLine="129"/>
        <w:jc w:val="left"/>
        <w:rPr>
          <w:sz w:val="13"/>
        </w:rPr>
      </w:pPr>
      <w:r>
        <w:rPr/>
        <w:br w:type="column"/>
      </w:r>
      <w:r>
        <w:rPr>
          <w:color w:val="231F1F"/>
          <w:w w:val="110"/>
          <w:sz w:val="13"/>
        </w:rPr>
        <w:t>Conversely when one drug inhibits the metabolism of another higher plasma concentrations are produced, rapidly resulting in an increased effect with risk of toxicity. Some drugs which potentiate warfarin and phenytoin do so by this mechanism.</w:t>
      </w:r>
    </w:p>
    <w:p>
      <w:pPr>
        <w:pStyle w:val="BodyText"/>
        <w:ind w:left="0"/>
        <w:rPr>
          <w:sz w:val="4"/>
        </w:rPr>
      </w:pPr>
    </w:p>
    <w:p>
      <w:pPr>
        <w:pStyle w:val="BodyText"/>
        <w:ind w:left="107"/>
        <w:rPr>
          <w:sz w:val="20"/>
        </w:rPr>
      </w:pPr>
      <w:r>
        <w:rPr>
          <w:sz w:val="20"/>
        </w:rPr>
        <w:pict>
          <v:shape style="width:172.55pt;height:116.4pt;mso-position-horizontal-relative:char;mso-position-vertical-relative:line" type="#_x0000_t202" filled="false" stroked="true" strokeweight=".34pt" strokecolor="#211f1f">
            <w10:anchorlock/>
            <v:textbox inset="0,0,0,0">
              <w:txbxContent>
                <w:p>
                  <w:pPr>
                    <w:spacing w:before="27"/>
                    <w:ind w:left="78" w:right="98" w:firstLine="0"/>
                    <w:jc w:val="left"/>
                    <w:rPr>
                      <w:sz w:val="13"/>
                    </w:rPr>
                  </w:pPr>
                  <w:r>
                    <w:rPr>
                      <w:color w:val="231F1F"/>
                      <w:w w:val="110"/>
                      <w:sz w:val="13"/>
                    </w:rPr>
                    <w:t>Isoenzymes of the hepatic cytochrome P450 system interact with a wide range of drugs. Drugs may be substrates, inducers or inhibitors of the different isoenzymes. A great deal of </w:t>
                  </w:r>
                  <w:r>
                    <w:rPr>
                      <w:i/>
                      <w:color w:val="231F1F"/>
                      <w:w w:val="110"/>
                      <w:sz w:val="13"/>
                    </w:rPr>
                    <w:t>in-vitro </w:t>
                  </w:r>
                  <w:r>
                    <w:rPr>
                      <w:color w:val="231F1F"/>
                      <w:w w:val="110"/>
                      <w:sz w:val="13"/>
                    </w:rPr>
                    <w:t>information is available on the effect of drugs on the isoenzymes; however, since drugs are eliminated by a number of different metabolic routes as well as renal excretion, the clinical effects of interactions cannot be predicted accurately from laboratory data on the cytochrome P450 isoenzymes. Except where a combination of drugs is specifically contra-indicated, the BNF presents only interactions that have been reported in clinical practice. In all cases the possibility of an interaction must be considered if toxic effects occur or if the activity of a drug diminishes.</w:t>
                  </w:r>
                </w:p>
              </w:txbxContent>
            </v:textbox>
            <v:stroke dashstyle="solid"/>
          </v:shape>
        </w:pict>
      </w:r>
      <w:r>
        <w:rPr>
          <w:sz w:val="20"/>
        </w:rPr>
      </w:r>
    </w:p>
    <w:p>
      <w:pPr>
        <w:spacing w:before="23"/>
        <w:ind w:left="108" w:right="670" w:firstLine="0"/>
        <w:jc w:val="left"/>
        <w:rPr>
          <w:sz w:val="13"/>
        </w:rPr>
      </w:pPr>
      <w:r>
        <w:rPr>
          <w:rFonts w:ascii="Arial"/>
          <w:color w:val="231F1F"/>
          <w:w w:val="110"/>
          <w:sz w:val="13"/>
        </w:rPr>
        <w:t>Affecting</w:t>
      </w:r>
      <w:r>
        <w:rPr>
          <w:rFonts w:ascii="Arial"/>
          <w:color w:val="231F1F"/>
          <w:spacing w:val="-23"/>
          <w:w w:val="110"/>
          <w:sz w:val="13"/>
        </w:rPr>
        <w:t> </w:t>
      </w:r>
      <w:r>
        <w:rPr>
          <w:rFonts w:ascii="Arial"/>
          <w:color w:val="231F1F"/>
          <w:w w:val="110"/>
          <w:sz w:val="13"/>
        </w:rPr>
        <w:t>renal</w:t>
      </w:r>
      <w:r>
        <w:rPr>
          <w:rFonts w:ascii="Arial"/>
          <w:color w:val="231F1F"/>
          <w:spacing w:val="-24"/>
          <w:w w:val="110"/>
          <w:sz w:val="13"/>
        </w:rPr>
        <w:t> </w:t>
      </w:r>
      <w:r>
        <w:rPr>
          <w:rFonts w:ascii="Arial"/>
          <w:color w:val="231F1F"/>
          <w:w w:val="110"/>
          <w:sz w:val="13"/>
        </w:rPr>
        <w:t>excretion</w:t>
      </w:r>
      <w:r>
        <w:rPr>
          <w:rFonts w:ascii="Arial"/>
          <w:color w:val="231F1F"/>
          <w:spacing w:val="-7"/>
          <w:w w:val="110"/>
          <w:sz w:val="13"/>
        </w:rPr>
        <w:t> </w:t>
      </w:r>
      <w:r>
        <w:rPr>
          <w:color w:val="231F1F"/>
          <w:w w:val="110"/>
          <w:sz w:val="13"/>
        </w:rPr>
        <w:t>Drugs</w:t>
      </w:r>
      <w:r>
        <w:rPr>
          <w:color w:val="231F1F"/>
          <w:spacing w:val="-19"/>
          <w:w w:val="110"/>
          <w:sz w:val="13"/>
        </w:rPr>
        <w:t> </w:t>
      </w:r>
      <w:r>
        <w:rPr>
          <w:color w:val="231F1F"/>
          <w:w w:val="110"/>
          <w:sz w:val="13"/>
        </w:rPr>
        <w:t>are</w:t>
      </w:r>
      <w:r>
        <w:rPr>
          <w:color w:val="231F1F"/>
          <w:spacing w:val="-19"/>
          <w:w w:val="110"/>
          <w:sz w:val="13"/>
        </w:rPr>
        <w:t> </w:t>
      </w:r>
      <w:r>
        <w:rPr>
          <w:color w:val="231F1F"/>
          <w:w w:val="110"/>
          <w:sz w:val="13"/>
        </w:rPr>
        <w:t>eliminated</w:t>
      </w:r>
      <w:r>
        <w:rPr>
          <w:color w:val="231F1F"/>
          <w:spacing w:val="-19"/>
          <w:w w:val="110"/>
          <w:sz w:val="13"/>
        </w:rPr>
        <w:t> </w:t>
      </w:r>
      <w:r>
        <w:rPr>
          <w:color w:val="231F1F"/>
          <w:w w:val="110"/>
          <w:sz w:val="13"/>
        </w:rPr>
        <w:t>through</w:t>
      </w:r>
      <w:r>
        <w:rPr>
          <w:color w:val="231F1F"/>
          <w:spacing w:val="-20"/>
          <w:w w:val="110"/>
          <w:sz w:val="13"/>
        </w:rPr>
        <w:t> </w:t>
      </w:r>
      <w:r>
        <w:rPr>
          <w:color w:val="231F1F"/>
          <w:w w:val="110"/>
          <w:sz w:val="13"/>
        </w:rPr>
        <w:t>the kidney both by glomerular filtration and by active tubular secretion. Competition occurs between those which share active transport mechanisms in the proximal tubule. For example, salicylates and some other NSAIDs delay the excretion of methotrexate; serious methotrexate toxicity </w:t>
      </w:r>
      <w:r>
        <w:rPr>
          <w:color w:val="231F1F"/>
          <w:spacing w:val="-8"/>
          <w:w w:val="110"/>
          <w:sz w:val="13"/>
        </w:rPr>
        <w:t>is </w:t>
      </w:r>
      <w:r>
        <w:rPr>
          <w:color w:val="231F1F"/>
          <w:w w:val="110"/>
          <w:sz w:val="13"/>
        </w:rPr>
        <w:t>possible.</w:t>
      </w:r>
    </w:p>
    <w:p>
      <w:pPr>
        <w:spacing w:before="118"/>
        <w:ind w:left="108" w:right="0" w:firstLine="0"/>
        <w:jc w:val="left"/>
        <w:rPr>
          <w:rFonts w:ascii="Trebuchet MS"/>
          <w:sz w:val="13"/>
        </w:rPr>
      </w:pPr>
      <w:r>
        <w:rPr>
          <w:rFonts w:ascii="Trebuchet MS"/>
          <w:color w:val="231F1F"/>
          <w:sz w:val="13"/>
        </w:rPr>
        <w:t>Relative importance of interactions</w:t>
      </w:r>
    </w:p>
    <w:p>
      <w:pPr>
        <w:spacing w:before="29"/>
        <w:ind w:left="108" w:right="673" w:firstLine="0"/>
        <w:jc w:val="left"/>
        <w:rPr>
          <w:sz w:val="13"/>
        </w:rPr>
      </w:pPr>
      <w:r>
        <w:rPr>
          <w:color w:val="231F1F"/>
          <w:w w:val="110"/>
          <w:sz w:val="13"/>
        </w:rPr>
        <w:t>Many drug interactions are harmless and many of those which are potentially harmful only occur in a small proportion of patients; moreover, the severity of an interaction varies from one patient to another. Drugs with a small therapeutic ratio (e.g. phenytoin) and those which require careful control of dosage (e.g. anticoagulants, antihypertensives, and antidiabetics) are most often involved.</w:t>
      </w:r>
    </w:p>
    <w:p>
      <w:pPr>
        <w:spacing w:before="0"/>
        <w:ind w:left="108" w:right="762" w:firstLine="129"/>
        <w:jc w:val="left"/>
        <w:rPr>
          <w:sz w:val="13"/>
        </w:rPr>
      </w:pPr>
      <w:r>
        <w:rPr>
          <w:color w:val="231F1F"/>
          <w:w w:val="115"/>
          <w:sz w:val="13"/>
        </w:rPr>
        <w:t>Patients</w:t>
      </w:r>
      <w:r>
        <w:rPr>
          <w:color w:val="231F1F"/>
          <w:spacing w:val="-18"/>
          <w:w w:val="115"/>
          <w:sz w:val="13"/>
        </w:rPr>
        <w:t> </w:t>
      </w:r>
      <w:r>
        <w:rPr>
          <w:color w:val="231F1F"/>
          <w:w w:val="115"/>
          <w:sz w:val="13"/>
        </w:rPr>
        <w:t>at</w:t>
      </w:r>
      <w:r>
        <w:rPr>
          <w:color w:val="231F1F"/>
          <w:spacing w:val="-17"/>
          <w:w w:val="115"/>
          <w:sz w:val="13"/>
        </w:rPr>
        <w:t> </w:t>
      </w:r>
      <w:r>
        <w:rPr>
          <w:color w:val="231F1F"/>
          <w:w w:val="115"/>
          <w:sz w:val="13"/>
        </w:rPr>
        <w:t>increased</w:t>
      </w:r>
      <w:r>
        <w:rPr>
          <w:color w:val="231F1F"/>
          <w:spacing w:val="-16"/>
          <w:w w:val="115"/>
          <w:sz w:val="13"/>
        </w:rPr>
        <w:t> </w:t>
      </w:r>
      <w:r>
        <w:rPr>
          <w:color w:val="231F1F"/>
          <w:w w:val="115"/>
          <w:sz w:val="13"/>
        </w:rPr>
        <w:t>risk</w:t>
      </w:r>
      <w:r>
        <w:rPr>
          <w:color w:val="231F1F"/>
          <w:spacing w:val="-17"/>
          <w:w w:val="115"/>
          <w:sz w:val="13"/>
        </w:rPr>
        <w:t> </w:t>
      </w:r>
      <w:r>
        <w:rPr>
          <w:color w:val="231F1F"/>
          <w:w w:val="115"/>
          <w:sz w:val="13"/>
        </w:rPr>
        <w:t>from</w:t>
      </w:r>
      <w:r>
        <w:rPr>
          <w:color w:val="231F1F"/>
          <w:spacing w:val="-17"/>
          <w:w w:val="115"/>
          <w:sz w:val="13"/>
        </w:rPr>
        <w:t> </w:t>
      </w:r>
      <w:r>
        <w:rPr>
          <w:color w:val="231F1F"/>
          <w:w w:val="115"/>
          <w:sz w:val="13"/>
        </w:rPr>
        <w:t>drug</w:t>
      </w:r>
      <w:r>
        <w:rPr>
          <w:color w:val="231F1F"/>
          <w:spacing w:val="-17"/>
          <w:w w:val="115"/>
          <w:sz w:val="13"/>
        </w:rPr>
        <w:t> </w:t>
      </w:r>
      <w:r>
        <w:rPr>
          <w:color w:val="231F1F"/>
          <w:w w:val="115"/>
          <w:sz w:val="13"/>
        </w:rPr>
        <w:t>interactions</w:t>
      </w:r>
      <w:r>
        <w:rPr>
          <w:color w:val="231F1F"/>
          <w:spacing w:val="-17"/>
          <w:w w:val="115"/>
          <w:sz w:val="13"/>
        </w:rPr>
        <w:t> </w:t>
      </w:r>
      <w:r>
        <w:rPr>
          <w:color w:val="231F1F"/>
          <w:w w:val="115"/>
          <w:sz w:val="13"/>
        </w:rPr>
        <w:t>include the</w:t>
      </w:r>
      <w:r>
        <w:rPr>
          <w:color w:val="231F1F"/>
          <w:spacing w:val="-17"/>
          <w:w w:val="115"/>
          <w:sz w:val="13"/>
        </w:rPr>
        <w:t> </w:t>
      </w:r>
      <w:r>
        <w:rPr>
          <w:color w:val="231F1F"/>
          <w:w w:val="115"/>
          <w:sz w:val="13"/>
        </w:rPr>
        <w:t>elderly</w:t>
      </w:r>
      <w:r>
        <w:rPr>
          <w:color w:val="231F1F"/>
          <w:spacing w:val="-18"/>
          <w:w w:val="115"/>
          <w:sz w:val="13"/>
        </w:rPr>
        <w:t> </w:t>
      </w:r>
      <w:r>
        <w:rPr>
          <w:color w:val="231F1F"/>
          <w:w w:val="115"/>
          <w:sz w:val="13"/>
        </w:rPr>
        <w:t>and</w:t>
      </w:r>
      <w:r>
        <w:rPr>
          <w:color w:val="231F1F"/>
          <w:spacing w:val="-16"/>
          <w:w w:val="115"/>
          <w:sz w:val="13"/>
        </w:rPr>
        <w:t> </w:t>
      </w:r>
      <w:r>
        <w:rPr>
          <w:color w:val="231F1F"/>
          <w:w w:val="115"/>
          <w:sz w:val="13"/>
        </w:rPr>
        <w:t>those</w:t>
      </w:r>
      <w:r>
        <w:rPr>
          <w:color w:val="231F1F"/>
          <w:spacing w:val="-17"/>
          <w:w w:val="115"/>
          <w:sz w:val="13"/>
        </w:rPr>
        <w:t> </w:t>
      </w:r>
      <w:r>
        <w:rPr>
          <w:color w:val="231F1F"/>
          <w:w w:val="115"/>
          <w:sz w:val="13"/>
        </w:rPr>
        <w:t>with</w:t>
      </w:r>
      <w:r>
        <w:rPr>
          <w:color w:val="231F1F"/>
          <w:spacing w:val="-17"/>
          <w:w w:val="115"/>
          <w:sz w:val="13"/>
        </w:rPr>
        <w:t> </w:t>
      </w:r>
      <w:r>
        <w:rPr>
          <w:color w:val="231F1F"/>
          <w:w w:val="115"/>
          <w:sz w:val="13"/>
        </w:rPr>
        <w:t>impaired</w:t>
      </w:r>
      <w:r>
        <w:rPr>
          <w:color w:val="231F1F"/>
          <w:spacing w:val="-17"/>
          <w:w w:val="115"/>
          <w:sz w:val="13"/>
        </w:rPr>
        <w:t> </w:t>
      </w:r>
      <w:r>
        <w:rPr>
          <w:color w:val="231F1F"/>
          <w:w w:val="115"/>
          <w:sz w:val="13"/>
        </w:rPr>
        <w:t>renal</w:t>
      </w:r>
      <w:r>
        <w:rPr>
          <w:color w:val="231F1F"/>
          <w:spacing w:val="-16"/>
          <w:w w:val="115"/>
          <w:sz w:val="13"/>
        </w:rPr>
        <w:t> </w:t>
      </w:r>
      <w:r>
        <w:rPr>
          <w:color w:val="231F1F"/>
          <w:w w:val="115"/>
          <w:sz w:val="13"/>
        </w:rPr>
        <w:t>or</w:t>
      </w:r>
      <w:r>
        <w:rPr>
          <w:color w:val="231F1F"/>
          <w:spacing w:val="-17"/>
          <w:w w:val="115"/>
          <w:sz w:val="13"/>
        </w:rPr>
        <w:t> </w:t>
      </w:r>
      <w:r>
        <w:rPr>
          <w:color w:val="231F1F"/>
          <w:w w:val="115"/>
          <w:sz w:val="13"/>
        </w:rPr>
        <w:t>liver</w:t>
      </w:r>
      <w:r>
        <w:rPr>
          <w:color w:val="231F1F"/>
          <w:spacing w:val="-17"/>
          <w:w w:val="115"/>
          <w:sz w:val="13"/>
        </w:rPr>
        <w:t> </w:t>
      </w:r>
      <w:r>
        <w:rPr>
          <w:color w:val="231F1F"/>
          <w:w w:val="115"/>
          <w:sz w:val="13"/>
        </w:rPr>
        <w:t>function.</w:t>
      </w:r>
    </w:p>
    <w:p>
      <w:pPr>
        <w:spacing w:before="30"/>
        <w:ind w:left="108" w:right="625" w:firstLine="0"/>
        <w:jc w:val="left"/>
        <w:rPr>
          <w:sz w:val="13"/>
        </w:rPr>
      </w:pPr>
      <w:r>
        <w:rPr>
          <w:rFonts w:ascii="Arial"/>
          <w:color w:val="231F1F"/>
          <w:w w:val="110"/>
          <w:sz w:val="13"/>
        </w:rPr>
        <w:t>Serious interactions </w:t>
      </w:r>
      <w:r>
        <w:rPr>
          <w:color w:val="231F1F"/>
          <w:w w:val="110"/>
          <w:sz w:val="13"/>
        </w:rPr>
        <w:t>The symbol </w:t>
      </w:r>
      <w:r>
        <w:rPr>
          <w:rFonts w:ascii="Arial"/>
          <w:color w:val="231F1F"/>
          <w:w w:val="355"/>
          <w:position w:val="1"/>
          <w:sz w:val="7"/>
        </w:rPr>
        <w:t>l </w:t>
      </w:r>
      <w:r>
        <w:rPr>
          <w:color w:val="231F1F"/>
          <w:w w:val="110"/>
          <w:sz w:val="13"/>
        </w:rPr>
        <w:t>has been placed against interactions that are </w:t>
      </w:r>
      <w:r>
        <w:rPr>
          <w:rFonts w:ascii="Georgia"/>
          <w:color w:val="231F1F"/>
          <w:w w:val="110"/>
          <w:sz w:val="13"/>
        </w:rPr>
        <w:t>potentially serious </w:t>
      </w:r>
      <w:r>
        <w:rPr>
          <w:color w:val="231F1F"/>
          <w:w w:val="110"/>
          <w:sz w:val="13"/>
        </w:rPr>
        <w:t>and where concomitant administration of the drugs involved should be </w:t>
      </w:r>
      <w:r>
        <w:rPr>
          <w:rFonts w:ascii="Georgia"/>
          <w:color w:val="231F1F"/>
          <w:w w:val="110"/>
          <w:sz w:val="13"/>
        </w:rPr>
        <w:t>avoided </w:t>
      </w:r>
      <w:r>
        <w:rPr>
          <w:color w:val="231F1F"/>
          <w:w w:val="110"/>
          <w:sz w:val="13"/>
        </w:rPr>
        <w:t>(or only undertaken with caution and appropriate monitoring).</w:t>
      </w:r>
    </w:p>
    <w:p>
      <w:pPr>
        <w:spacing w:before="0"/>
        <w:ind w:left="108" w:right="670" w:firstLine="129"/>
        <w:jc w:val="left"/>
        <w:rPr>
          <w:sz w:val="13"/>
        </w:rPr>
      </w:pPr>
      <w:r>
        <w:rPr>
          <w:color w:val="231F1F"/>
          <w:w w:val="110"/>
          <w:sz w:val="13"/>
        </w:rPr>
        <w:t>Interactions that have no symbol do not usually have serious consequences.</w:t>
      </w:r>
    </w:p>
    <w:p>
      <w:pPr>
        <w:spacing w:after="0"/>
        <w:jc w:val="left"/>
        <w:rPr>
          <w:sz w:val="13"/>
        </w:rPr>
        <w:sectPr>
          <w:type w:val="continuous"/>
          <w:pgSz w:w="8390" w:h="11910"/>
          <w:pgMar w:top="0" w:bottom="0" w:left="480" w:right="0"/>
          <w:cols w:num="2" w:equalWidth="0">
            <w:col w:w="3591" w:space="85"/>
            <w:col w:w="4234"/>
          </w:cols>
        </w:sectPr>
      </w:pPr>
    </w:p>
    <w:p>
      <w:pPr>
        <w:spacing w:before="127"/>
        <w:ind w:left="186" w:right="0" w:firstLine="0"/>
        <w:jc w:val="left"/>
        <w:rPr>
          <w:rFonts w:ascii="Calibri"/>
          <w:sz w:val="17"/>
        </w:rPr>
      </w:pPr>
      <w:r>
        <w:rPr/>
        <w:pict>
          <v:rect style="position:absolute;margin-left:0pt;margin-top:30.840979pt;width:20.353299pt;height:149.443pt;mso-position-horizontal-relative:page;mso-position-vertical-relative:page;z-index:1168" filled="true" fillcolor="#bfdbcf" stroked="false">
            <v:fill type="solid"/>
            <w10:wrap type="none"/>
          </v:rect>
        </w:pict>
      </w:r>
      <w:r>
        <w:rPr/>
        <w:pict>
          <v:shape style="position:absolute;margin-left:7.751256pt;margin-top:35.804367pt;width:10.4pt;height:78.850pt;mso-position-horizontal-relative:page;mso-position-vertical-relative:page;z-index:119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Calibri"/>
          <w:color w:val="231F1F"/>
          <w:sz w:val="17"/>
        </w:rPr>
        <w:t>List of drug interactions</w:t>
      </w:r>
    </w:p>
    <w:p>
      <w:pPr>
        <w:spacing w:before="62"/>
        <w:ind w:left="186" w:right="21" w:firstLine="0"/>
        <w:jc w:val="left"/>
        <w:rPr>
          <w:sz w:val="13"/>
        </w:rPr>
      </w:pPr>
      <w:r>
        <w:rPr>
          <w:color w:val="231F1F"/>
          <w:w w:val="110"/>
          <w:sz w:val="13"/>
        </w:rPr>
        <w:t>The following is an alphabetical list of drugs and their interactions; to avoid excessive cross-referencing each drug or group is listed twice: in the alphabetical list and also against the drug or group with which it interacts.</w:t>
      </w:r>
    </w:p>
    <w:p>
      <w:pPr>
        <w:pStyle w:val="BodyText"/>
        <w:spacing w:before="1"/>
        <w:ind w:left="0"/>
        <w:rPr>
          <w:sz w:val="13"/>
        </w:rPr>
      </w:pPr>
    </w:p>
    <w:p>
      <w:pPr>
        <w:pStyle w:val="BodyText"/>
        <w:spacing w:before="1"/>
        <w:ind w:left="186"/>
        <w:rPr>
          <w:rFonts w:ascii="Trebuchet MS"/>
        </w:rPr>
      </w:pPr>
      <w:r>
        <w:rPr>
          <w:rFonts w:ascii="Trebuchet MS"/>
          <w:color w:val="008356"/>
        </w:rPr>
        <w:t>Abacavir</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abacavir possibly reduces plasma concentration of</w:t>
      </w:r>
    </w:p>
    <w:p>
      <w:pPr>
        <w:spacing w:line="130" w:lineRule="exact" w:before="0"/>
        <w:ind w:left="286" w:right="0" w:firstLine="0"/>
        <w:jc w:val="left"/>
        <w:rPr>
          <w:rFonts w:ascii="Calibri"/>
          <w:sz w:val="11"/>
        </w:rPr>
      </w:pPr>
      <w:r>
        <w:rPr>
          <w:rFonts w:ascii="Calibri"/>
          <w:color w:val="008356"/>
          <w:sz w:val="11"/>
        </w:rPr>
        <w:t>METHADONE</w:t>
      </w:r>
    </w:p>
    <w:p>
      <w:pPr>
        <w:pStyle w:val="BodyText"/>
        <w:spacing w:line="220" w:lineRule="auto" w:before="8"/>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abacavir possibly reduced by </w:t>
      </w:r>
      <w:r>
        <w:rPr>
          <w:rFonts w:ascii="Calibri" w:hAnsi="Calibri"/>
          <w:color w:val="008356"/>
          <w:w w:val="105"/>
          <w:sz w:val="11"/>
        </w:rPr>
        <w:t>RIFAMPICIN</w:t>
      </w:r>
    </w:p>
    <w:p>
      <w:pPr>
        <w:spacing w:line="237" w:lineRule="auto" w:before="1"/>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abacavir possibly reduced by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spacing w:line="237" w:lineRule="auto" w:before="0"/>
        <w:ind w:left="286" w:right="196" w:hanging="100"/>
        <w:jc w:val="left"/>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sz w:val="12"/>
        </w:rPr>
        <w:t>Antivirals:</w:t>
      </w:r>
      <w:r>
        <w:rPr>
          <w:rFonts w:ascii="Calibri"/>
          <w:color w:val="231F1F"/>
          <w:spacing w:val="-16"/>
          <w:w w:val="115"/>
          <w:sz w:val="12"/>
        </w:rPr>
        <w:t> </w:t>
      </w:r>
      <w:r>
        <w:rPr>
          <w:color w:val="231F1F"/>
          <w:w w:val="115"/>
          <w:sz w:val="12"/>
        </w:rPr>
        <w:t>abacavir</w:t>
      </w:r>
      <w:r>
        <w:rPr>
          <w:color w:val="231F1F"/>
          <w:spacing w:val="-20"/>
          <w:w w:val="115"/>
          <w:sz w:val="12"/>
        </w:rPr>
        <w:t> </w:t>
      </w:r>
      <w:r>
        <w:rPr>
          <w:color w:val="231F1F"/>
          <w:w w:val="115"/>
          <w:sz w:val="12"/>
        </w:rPr>
        <w:t>possibly</w:t>
      </w:r>
      <w:r>
        <w:rPr>
          <w:color w:val="231F1F"/>
          <w:spacing w:val="-20"/>
          <w:w w:val="115"/>
          <w:sz w:val="12"/>
        </w:rPr>
        <w:t> </w:t>
      </w:r>
      <w:r>
        <w:rPr>
          <w:color w:val="231F1F"/>
          <w:w w:val="115"/>
          <w:sz w:val="12"/>
        </w:rPr>
        <w:t>reduces</w:t>
      </w:r>
      <w:r>
        <w:rPr>
          <w:color w:val="231F1F"/>
          <w:spacing w:val="-20"/>
          <w:w w:val="115"/>
          <w:sz w:val="12"/>
        </w:rPr>
        <w:t> </w:t>
      </w:r>
      <w:r>
        <w:rPr>
          <w:color w:val="231F1F"/>
          <w:w w:val="115"/>
          <w:sz w:val="12"/>
        </w:rPr>
        <w:t>effects</w:t>
      </w:r>
      <w:r>
        <w:rPr>
          <w:color w:val="231F1F"/>
          <w:spacing w:val="-20"/>
          <w:w w:val="115"/>
          <w:sz w:val="12"/>
        </w:rPr>
        <w:t> </w:t>
      </w:r>
      <w:r>
        <w:rPr>
          <w:color w:val="231F1F"/>
          <w:w w:val="115"/>
          <w:sz w:val="12"/>
        </w:rPr>
        <w:t>of</w:t>
      </w:r>
      <w:r>
        <w:rPr>
          <w:color w:val="231F1F"/>
          <w:spacing w:val="-19"/>
          <w:w w:val="115"/>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RIBAVIRIN</w:t>
      </w:r>
      <w:r>
        <w:rPr>
          <w:color w:val="231F1F"/>
          <w:spacing w:val="4"/>
          <w:w w:val="115"/>
          <w:sz w:val="12"/>
        </w:rPr>
        <w:t>; </w:t>
      </w:r>
      <w:r>
        <w:rPr>
          <w:color w:val="231F1F"/>
          <w:w w:val="115"/>
          <w:sz w:val="12"/>
        </w:rPr>
        <w:t>plasma</w:t>
      </w:r>
      <w:r>
        <w:rPr>
          <w:color w:val="231F1F"/>
          <w:spacing w:val="-15"/>
          <w:w w:val="115"/>
          <w:sz w:val="12"/>
        </w:rPr>
        <w:t> </w:t>
      </w:r>
      <w:r>
        <w:rPr>
          <w:color w:val="231F1F"/>
          <w:w w:val="115"/>
          <w:sz w:val="12"/>
        </w:rPr>
        <w:t>concentration</w:t>
      </w:r>
      <w:r>
        <w:rPr>
          <w:color w:val="231F1F"/>
          <w:spacing w:val="-15"/>
          <w:w w:val="115"/>
          <w:sz w:val="12"/>
        </w:rPr>
        <w:t> </w:t>
      </w:r>
      <w:r>
        <w:rPr>
          <w:color w:val="231F1F"/>
          <w:w w:val="115"/>
          <w:sz w:val="12"/>
        </w:rPr>
        <w:t>of</w:t>
      </w:r>
      <w:r>
        <w:rPr>
          <w:color w:val="231F1F"/>
          <w:spacing w:val="-15"/>
          <w:w w:val="115"/>
          <w:sz w:val="12"/>
        </w:rPr>
        <w:t> </w:t>
      </w:r>
      <w:r>
        <w:rPr>
          <w:color w:val="231F1F"/>
          <w:w w:val="115"/>
          <w:sz w:val="12"/>
        </w:rPr>
        <w:t>abacavir</w:t>
      </w:r>
      <w:r>
        <w:rPr>
          <w:color w:val="231F1F"/>
          <w:spacing w:val="-14"/>
          <w:w w:val="115"/>
          <w:sz w:val="12"/>
        </w:rPr>
        <w:t> </w:t>
      </w:r>
      <w:r>
        <w:rPr>
          <w:color w:val="231F1F"/>
          <w:w w:val="115"/>
          <w:sz w:val="12"/>
        </w:rPr>
        <w:t>reduced</w:t>
      </w:r>
      <w:r>
        <w:rPr>
          <w:color w:val="231F1F"/>
          <w:spacing w:val="-15"/>
          <w:w w:val="115"/>
          <w:sz w:val="12"/>
        </w:rPr>
        <w:t> </w:t>
      </w:r>
      <w:r>
        <w:rPr>
          <w:color w:val="231F1F"/>
          <w:w w:val="115"/>
          <w:sz w:val="12"/>
        </w:rPr>
        <w:t>by</w:t>
      </w:r>
      <w:r>
        <w:rPr>
          <w:color w:val="231F1F"/>
          <w:spacing w:val="-15"/>
          <w:w w:val="115"/>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2"/>
          <w:w w:val="115"/>
          <w:sz w:val="11"/>
        </w:rPr>
        <w:t>TIPRANAVIR</w:t>
      </w:r>
    </w:p>
    <w:p>
      <w:pPr>
        <w:pStyle w:val="BodyText"/>
        <w:spacing w:line="145" w:lineRule="exact"/>
        <w:ind w:left="186"/>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Orlistat:</w:t>
      </w:r>
      <w:r>
        <w:rPr>
          <w:rFonts w:ascii="Calibri"/>
          <w:color w:val="231F1F"/>
          <w:spacing w:val="-14"/>
          <w:w w:val="115"/>
        </w:rPr>
        <w:t> </w:t>
      </w:r>
      <w:r>
        <w:rPr>
          <w:color w:val="231F1F"/>
          <w:w w:val="115"/>
        </w:rPr>
        <w:t>absorption</w:t>
      </w:r>
      <w:r>
        <w:rPr>
          <w:color w:val="231F1F"/>
          <w:spacing w:val="-18"/>
          <w:w w:val="115"/>
        </w:rPr>
        <w:t> </w:t>
      </w:r>
      <w:r>
        <w:rPr>
          <w:color w:val="231F1F"/>
          <w:w w:val="115"/>
        </w:rPr>
        <w:t>of</w:t>
      </w:r>
      <w:r>
        <w:rPr>
          <w:color w:val="231F1F"/>
          <w:spacing w:val="-17"/>
          <w:w w:val="115"/>
        </w:rPr>
        <w:t> </w:t>
      </w:r>
      <w:r>
        <w:rPr>
          <w:color w:val="231F1F"/>
          <w:w w:val="115"/>
        </w:rPr>
        <w:t>abacavir</w:t>
      </w:r>
      <w:r>
        <w:rPr>
          <w:color w:val="231F1F"/>
          <w:spacing w:val="-18"/>
          <w:w w:val="115"/>
        </w:rPr>
        <w:t> </w:t>
      </w:r>
      <w:r>
        <w:rPr>
          <w:color w:val="231F1F"/>
          <w:w w:val="115"/>
        </w:rPr>
        <w:t>possibly</w:t>
      </w:r>
      <w:r>
        <w:rPr>
          <w:color w:val="231F1F"/>
          <w:spacing w:val="-18"/>
          <w:w w:val="115"/>
        </w:rPr>
        <w:t> </w:t>
      </w:r>
      <w:r>
        <w:rPr>
          <w:color w:val="231F1F"/>
          <w:w w:val="115"/>
        </w:rPr>
        <w:t>reduced</w:t>
      </w:r>
      <w:r>
        <w:rPr>
          <w:color w:val="231F1F"/>
          <w:spacing w:val="-17"/>
          <w:w w:val="115"/>
        </w:rPr>
        <w:t> </w:t>
      </w:r>
      <w:r>
        <w:rPr>
          <w:color w:val="231F1F"/>
          <w:w w:val="115"/>
        </w:rPr>
        <w:t>by</w:t>
      </w:r>
      <w:r>
        <w:rPr>
          <w:color w:val="231F1F"/>
          <w:spacing w:val="-18"/>
          <w:w w:val="115"/>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ORLISTAT</w:t>
      </w:r>
    </w:p>
    <w:p>
      <w:pPr>
        <w:pStyle w:val="BodyText"/>
        <w:spacing w:line="139" w:lineRule="exact" w:before="4"/>
        <w:ind w:left="186"/>
        <w:rPr>
          <w:rFonts w:ascii="Trebuchet MS"/>
        </w:rPr>
      </w:pPr>
      <w:r>
        <w:rPr>
          <w:rFonts w:ascii="Trebuchet MS"/>
          <w:color w:val="008356"/>
        </w:rPr>
        <w:t>Abatacept</w:t>
      </w:r>
    </w:p>
    <w:p>
      <w:pPr>
        <w:pStyle w:val="BodyText"/>
        <w:ind w:left="286" w:right="3" w:hanging="100"/>
      </w:pPr>
      <w:r>
        <w:rPr>
          <w:rFonts w:ascii="Arial"/>
          <w:color w:val="231F1F"/>
          <w:w w:val="355"/>
          <w:position w:val="1"/>
          <w:sz w:val="7"/>
        </w:rPr>
        <w:t>l </w:t>
      </w:r>
      <w:r>
        <w:rPr>
          <w:rFonts w:ascii="Calibri"/>
          <w:color w:val="231F1F"/>
          <w:w w:val="110"/>
        </w:rPr>
        <w:t>Cytotoxics: </w:t>
      </w:r>
      <w:r>
        <w:rPr>
          <w:color w:val="231F1F"/>
          <w:w w:val="110"/>
        </w:rPr>
        <w:t>increased risk of side-effects when abatacept given with </w:t>
      </w:r>
      <w:r>
        <w:rPr>
          <w:rFonts w:ascii="Calibri"/>
          <w:color w:val="008356"/>
          <w:w w:val="110"/>
          <w:sz w:val="11"/>
        </w:rPr>
        <w:t>ADALIMUMAB</w:t>
      </w:r>
      <w:r>
        <w:rPr>
          <w:color w:val="231F1F"/>
          <w:w w:val="110"/>
        </w:rPr>
        <w:t>; avoid concomitant use of abatacept with</w:t>
      </w:r>
    </w:p>
    <w:p>
      <w:pPr>
        <w:spacing w:line="141" w:lineRule="exact" w:before="1"/>
        <w:ind w:left="286" w:right="0" w:firstLine="0"/>
        <w:jc w:val="left"/>
        <w:rPr>
          <w:rFonts w:ascii="Calibri"/>
          <w:sz w:val="11"/>
        </w:rPr>
      </w:pP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05"/>
          <w:sz w:val="11"/>
        </w:rPr>
        <w:t>CERTOLIZUMAB</w:t>
      </w:r>
      <w:r>
        <w:rPr>
          <w:rFonts w:ascii="Calibri"/>
          <w:color w:val="008356"/>
          <w:spacing w:val="-14"/>
          <w:w w:val="105"/>
          <w:sz w:val="11"/>
        </w:rPr>
        <w:t> </w:t>
      </w:r>
      <w:r>
        <w:rPr>
          <w:rFonts w:ascii="Calibri"/>
          <w:color w:val="008356"/>
          <w:spacing w:val="4"/>
          <w:w w:val="105"/>
          <w:sz w:val="11"/>
        </w:rPr>
        <w:t>PEGOL</w:t>
      </w:r>
      <w:r>
        <w:rPr>
          <w:color w:val="231F1F"/>
          <w:spacing w:val="4"/>
          <w:w w:val="105"/>
          <w:sz w:val="12"/>
        </w:rPr>
        <w:t>,</w:t>
      </w:r>
      <w:r>
        <w:rPr>
          <w:color w:val="231F1F"/>
          <w:spacing w:val="-20"/>
          <w:w w:val="105"/>
          <w:sz w:val="12"/>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05"/>
          <w:sz w:val="11"/>
        </w:rPr>
        <w:t>GOLIMUMAB</w:t>
      </w:r>
      <w:r>
        <w:rPr>
          <w:rFonts w:ascii="Calibri"/>
          <w:color w:val="008356"/>
          <w:spacing w:val="-13"/>
          <w:w w:val="105"/>
          <w:sz w:val="11"/>
        </w:rPr>
        <w:t> </w:t>
      </w:r>
      <w:r>
        <w:rPr>
          <w:color w:val="231F1F"/>
          <w:w w:val="105"/>
          <w:sz w:val="12"/>
        </w:rPr>
        <w:t>or</w:t>
      </w:r>
      <w:r>
        <w:rPr>
          <w:color w:val="231F1F"/>
          <w:spacing w:val="-21"/>
          <w:w w:val="105"/>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5"/>
          <w:w w:val="105"/>
          <w:sz w:val="11"/>
        </w:rPr>
        <w:t>INFLIXIMAB</w:t>
      </w:r>
    </w:p>
    <w:p>
      <w:pPr>
        <w:pStyle w:val="BodyText"/>
        <w:spacing w:line="145" w:lineRule="exact"/>
        <w:ind w:left="186"/>
      </w:pPr>
      <w:r>
        <w:rPr>
          <w:rFonts w:ascii="Arial"/>
          <w:color w:val="231F1F"/>
          <w:w w:val="355"/>
          <w:position w:val="1"/>
          <w:sz w:val="7"/>
        </w:rPr>
        <w:t>l </w:t>
      </w:r>
      <w:r>
        <w:rPr>
          <w:rFonts w:ascii="Calibri"/>
          <w:color w:val="231F1F"/>
          <w:w w:val="110"/>
        </w:rPr>
        <w:t>Etanercept: </w:t>
      </w:r>
      <w:r>
        <w:rPr>
          <w:color w:val="231F1F"/>
          <w:w w:val="110"/>
        </w:rPr>
        <w:t>avoid concomitant use of abatacept</w:t>
      </w:r>
      <w:r>
        <w:rPr>
          <w:color w:val="231F1F"/>
          <w:spacing w:val="1"/>
          <w:w w:val="110"/>
        </w:rPr>
        <w:t> </w:t>
      </w:r>
      <w:r>
        <w:rPr>
          <w:color w:val="231F1F"/>
          <w:w w:val="110"/>
        </w:rPr>
        <w:t>with</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20"/>
          <w:sz w:val="11"/>
        </w:rPr>
        <w:t>ETANERCEPT</w:t>
      </w:r>
    </w:p>
    <w:p>
      <w:pPr>
        <w:pStyle w:val="BodyText"/>
        <w:ind w:left="286" w:right="70"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Vaccines:</w:t>
      </w:r>
      <w:r>
        <w:rPr>
          <w:rFonts w:ascii="Calibri" w:hAnsi="Calibri"/>
          <w:color w:val="231F1F"/>
          <w:spacing w:val="-10"/>
          <w:w w:val="115"/>
        </w:rPr>
        <w:t> </w:t>
      </w:r>
      <w:r>
        <w:rPr>
          <w:color w:val="231F1F"/>
          <w:w w:val="115"/>
        </w:rPr>
        <w:t>risk</w:t>
      </w:r>
      <w:r>
        <w:rPr>
          <w:color w:val="231F1F"/>
          <w:spacing w:val="-13"/>
          <w:w w:val="115"/>
        </w:rPr>
        <w:t> </w:t>
      </w:r>
      <w:r>
        <w:rPr>
          <w:color w:val="231F1F"/>
          <w:w w:val="115"/>
        </w:rPr>
        <w:t>of</w:t>
      </w:r>
      <w:r>
        <w:rPr>
          <w:color w:val="231F1F"/>
          <w:spacing w:val="-12"/>
          <w:w w:val="115"/>
        </w:rPr>
        <w:t> </w:t>
      </w:r>
      <w:r>
        <w:rPr>
          <w:color w:val="231F1F"/>
          <w:w w:val="115"/>
        </w:rPr>
        <w:t>generalised</w:t>
      </w:r>
      <w:r>
        <w:rPr>
          <w:color w:val="231F1F"/>
          <w:spacing w:val="-13"/>
          <w:w w:val="115"/>
        </w:rPr>
        <w:t> </w:t>
      </w:r>
      <w:r>
        <w:rPr>
          <w:color w:val="231F1F"/>
          <w:w w:val="115"/>
        </w:rPr>
        <w:t>infections</w:t>
      </w:r>
      <w:r>
        <w:rPr>
          <w:color w:val="231F1F"/>
          <w:spacing w:val="-13"/>
          <w:w w:val="115"/>
        </w:rPr>
        <w:t> </w:t>
      </w:r>
      <w:r>
        <w:rPr>
          <w:color w:val="231F1F"/>
          <w:w w:val="115"/>
        </w:rPr>
        <w:t>when</w:t>
      </w:r>
      <w:r>
        <w:rPr>
          <w:color w:val="231F1F"/>
          <w:spacing w:val="-12"/>
          <w:w w:val="115"/>
        </w:rPr>
        <w:t> </w:t>
      </w:r>
      <w:r>
        <w:rPr>
          <w:color w:val="231F1F"/>
          <w:w w:val="115"/>
        </w:rPr>
        <w:t>abatacept</w:t>
      </w:r>
      <w:r>
        <w:rPr>
          <w:color w:val="231F1F"/>
          <w:spacing w:val="-14"/>
          <w:w w:val="115"/>
        </w:rPr>
        <w:t> </w:t>
      </w:r>
      <w:r>
        <w:rPr>
          <w:color w:val="231F1F"/>
          <w:spacing w:val="-3"/>
          <w:w w:val="115"/>
        </w:rPr>
        <w:t>given </w:t>
      </w:r>
      <w:r>
        <w:rPr>
          <w:color w:val="231F1F"/>
          <w:w w:val="115"/>
        </w:rPr>
        <w:t>with</w:t>
      </w:r>
      <w:r>
        <w:rPr>
          <w:color w:val="231F1F"/>
          <w:spacing w:val="-7"/>
          <w:w w:val="115"/>
        </w:rPr>
        <w:t> </w:t>
      </w:r>
      <w:r>
        <w:rPr>
          <w:color w:val="231F1F"/>
          <w:w w:val="115"/>
        </w:rPr>
        <w:t>live</w:t>
      </w:r>
      <w:r>
        <w:rPr>
          <w:color w:val="231F1F"/>
          <w:spacing w:val="-6"/>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7"/>
          <w:w w:val="115"/>
        </w:rPr>
        <w:t> </w:t>
      </w:r>
      <w:r>
        <w:rPr>
          <w:color w:val="231F1F"/>
          <w:w w:val="115"/>
        </w:rPr>
        <w:t>use</w:t>
      </w:r>
    </w:p>
    <w:p>
      <w:pPr>
        <w:pStyle w:val="BodyText"/>
        <w:spacing w:before="4"/>
        <w:ind w:left="186"/>
        <w:rPr>
          <w:rFonts w:ascii="Trebuchet MS"/>
        </w:rPr>
      </w:pPr>
      <w:r>
        <w:rPr>
          <w:rFonts w:ascii="Trebuchet MS"/>
          <w:color w:val="008356"/>
        </w:rPr>
        <w:t>Abiraterone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abiraterone increases plasma concentration of</w:t>
      </w:r>
    </w:p>
    <w:p>
      <w:pPr>
        <w:spacing w:line="130" w:lineRule="exact" w:before="0"/>
        <w:ind w:left="286" w:right="0" w:firstLine="0"/>
        <w:jc w:val="left"/>
        <w:rPr>
          <w:rFonts w:ascii="Calibri"/>
          <w:sz w:val="11"/>
        </w:rPr>
      </w:pPr>
      <w:r>
        <w:rPr>
          <w:rFonts w:ascii="Calibri"/>
          <w:color w:val="008356"/>
          <w:sz w:val="11"/>
        </w:rPr>
        <w:t>DEXTROMETHORPHAN</w:t>
      </w:r>
    </w:p>
    <w:p>
      <w:pPr>
        <w:pStyle w:val="BodyText"/>
        <w:spacing w:line="242" w:lineRule="auto"/>
        <w:ind w:left="286" w:right="33" w:hanging="100"/>
      </w:pPr>
      <w:r>
        <w:rPr>
          <w:rFonts w:ascii="Arial" w:hAnsi="Arial"/>
          <w:color w:val="231F1F"/>
          <w:w w:val="205"/>
          <w:position w:val="1"/>
          <w:sz w:val="7"/>
        </w:rPr>
        <w:t>l</w:t>
      </w:r>
      <w:r>
        <w:rPr>
          <w:rFonts w:ascii="Arial" w:hAnsi="Arial"/>
          <w:color w:val="231F1F"/>
          <w:spacing w:val="-27"/>
          <w:w w:val="205"/>
          <w:position w:val="1"/>
          <w:sz w:val="7"/>
        </w:rPr>
        <w:t> </w:t>
      </w:r>
      <w:r>
        <w:rPr>
          <w:rFonts w:ascii="Calibri" w:hAnsi="Calibri"/>
          <w:color w:val="231F1F"/>
          <w:w w:val="120"/>
        </w:rPr>
        <w:t>Antibacterials:</w:t>
      </w:r>
      <w:r>
        <w:rPr>
          <w:rFonts w:ascii="Calibri" w:hAnsi="Calibri"/>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abiraterone</w:t>
      </w:r>
      <w:r>
        <w:rPr>
          <w:color w:val="231F1F"/>
          <w:spacing w:val="-27"/>
          <w:w w:val="120"/>
        </w:rPr>
        <w:t> </w:t>
      </w:r>
      <w:r>
        <w:rPr>
          <w:color w:val="231F1F"/>
          <w:w w:val="120"/>
        </w:rPr>
        <w:t>possibly </w:t>
      </w:r>
      <w:r>
        <w:rPr>
          <w:color w:val="231F1F"/>
          <w:w w:val="115"/>
        </w:rPr>
        <w:t>reduced</w:t>
      </w:r>
      <w:r>
        <w:rPr>
          <w:color w:val="231F1F"/>
          <w:spacing w:val="-12"/>
          <w:w w:val="115"/>
        </w:rPr>
        <w:t> </w:t>
      </w:r>
      <w:r>
        <w:rPr>
          <w:color w:val="231F1F"/>
          <w:w w:val="115"/>
        </w:rPr>
        <w:t>by</w:t>
      </w:r>
      <w:r>
        <w:rPr>
          <w:color w:val="231F1F"/>
          <w:spacing w:val="-11"/>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Calibri" w:hAnsi="Calibri"/>
          <w:color w:val="008356"/>
          <w:w w:val="115"/>
          <w:sz w:val="11"/>
        </w:rPr>
        <w:t>RIFABUTIN</w:t>
      </w:r>
      <w:r>
        <w:rPr>
          <w:rFonts w:ascii="Arial" w:hAnsi="Arial"/>
          <w:color w:val="231F1F"/>
          <w:w w:val="115"/>
        </w:rPr>
        <w:t>—</w:t>
      </w:r>
      <w:r>
        <w:rPr>
          <w:color w:val="231F1F"/>
          <w:w w:val="115"/>
        </w:rPr>
        <w:t>manufacturer</w:t>
      </w:r>
      <w:r>
        <w:rPr>
          <w:color w:val="231F1F"/>
          <w:spacing w:val="-11"/>
          <w:w w:val="115"/>
        </w:rPr>
        <w:t> </w:t>
      </w:r>
      <w:r>
        <w:rPr>
          <w:color w:val="231F1F"/>
          <w:w w:val="115"/>
        </w:rPr>
        <w:t>of</w:t>
      </w:r>
      <w:r>
        <w:rPr>
          <w:color w:val="231F1F"/>
          <w:spacing w:val="-11"/>
          <w:w w:val="115"/>
        </w:rPr>
        <w:t> </w:t>
      </w:r>
      <w:r>
        <w:rPr>
          <w:color w:val="231F1F"/>
          <w:w w:val="115"/>
        </w:rPr>
        <w:t>abiraterone</w:t>
      </w:r>
      <w:r>
        <w:rPr>
          <w:color w:val="231F1F"/>
          <w:spacing w:val="-12"/>
          <w:w w:val="115"/>
        </w:rPr>
        <w:t> </w:t>
      </w:r>
      <w:r>
        <w:rPr>
          <w:color w:val="231F1F"/>
          <w:w w:val="115"/>
        </w:rPr>
        <w:t>advises </w:t>
      </w:r>
      <w:r>
        <w:rPr>
          <w:color w:val="231F1F"/>
          <w:w w:val="120"/>
        </w:rPr>
        <w:t>avoid</w:t>
      </w:r>
      <w:r>
        <w:rPr>
          <w:color w:val="231F1F"/>
          <w:spacing w:val="-23"/>
          <w:w w:val="120"/>
        </w:rPr>
        <w:t> </w:t>
      </w:r>
      <w:r>
        <w:rPr>
          <w:color w:val="231F1F"/>
          <w:w w:val="120"/>
        </w:rPr>
        <w:t>concomitant</w:t>
      </w:r>
      <w:r>
        <w:rPr>
          <w:color w:val="231F1F"/>
          <w:spacing w:val="-23"/>
          <w:w w:val="120"/>
        </w:rPr>
        <w:t> </w:t>
      </w:r>
      <w:r>
        <w:rPr>
          <w:color w:val="231F1F"/>
          <w:w w:val="120"/>
        </w:rPr>
        <w:t>use;</w:t>
      </w:r>
      <w:r>
        <w:rPr>
          <w:color w:val="231F1F"/>
          <w:spacing w:val="-22"/>
          <w:w w:val="120"/>
        </w:rPr>
        <w:t> </w:t>
      </w:r>
      <w:r>
        <w:rPr>
          <w:color w:val="231F1F"/>
          <w:w w:val="120"/>
        </w:rPr>
        <w:t>plasma</w:t>
      </w:r>
      <w:r>
        <w:rPr>
          <w:color w:val="231F1F"/>
          <w:spacing w:val="-23"/>
          <w:w w:val="120"/>
        </w:rPr>
        <w:t> </w:t>
      </w:r>
      <w:r>
        <w:rPr>
          <w:color w:val="231F1F"/>
          <w:w w:val="120"/>
        </w:rPr>
        <w:t>concentration</w:t>
      </w:r>
      <w:r>
        <w:rPr>
          <w:color w:val="231F1F"/>
          <w:spacing w:val="-22"/>
          <w:w w:val="120"/>
        </w:rPr>
        <w:t> </w:t>
      </w:r>
      <w:r>
        <w:rPr>
          <w:color w:val="231F1F"/>
          <w:w w:val="120"/>
        </w:rPr>
        <w:t>of</w:t>
      </w:r>
      <w:r>
        <w:rPr>
          <w:color w:val="231F1F"/>
          <w:spacing w:val="-23"/>
          <w:w w:val="120"/>
        </w:rPr>
        <w:t> </w:t>
      </w:r>
      <w:r>
        <w:rPr>
          <w:color w:val="231F1F"/>
          <w:w w:val="120"/>
        </w:rPr>
        <w:t>abiraterone reduced by </w:t>
      </w:r>
      <w:r>
        <w:rPr>
          <w:rFonts w:ascii="Arial" w:hAnsi="Arial"/>
          <w:color w:val="231F1F"/>
          <w:w w:val="355"/>
          <w:position w:val="1"/>
          <w:sz w:val="7"/>
        </w:rPr>
        <w:t>l </w:t>
      </w:r>
      <w:r>
        <w:rPr>
          <w:rFonts w:ascii="Calibri" w:hAnsi="Calibri"/>
          <w:color w:val="008356"/>
          <w:w w:val="120"/>
          <w:sz w:val="11"/>
        </w:rPr>
        <w:t>RIFAMPICIN</w:t>
      </w:r>
      <w:r>
        <w:rPr>
          <w:rFonts w:ascii="Arial" w:hAnsi="Arial"/>
          <w:color w:val="231F1F"/>
          <w:w w:val="120"/>
        </w:rPr>
        <w:t>—</w:t>
      </w:r>
      <w:r>
        <w:rPr>
          <w:color w:val="231F1F"/>
          <w:w w:val="120"/>
        </w:rPr>
        <w:t>manufacturer of abiraterone advises avoid concomitant</w:t>
      </w:r>
      <w:r>
        <w:rPr>
          <w:color w:val="231F1F"/>
          <w:spacing w:val="-22"/>
          <w:w w:val="120"/>
        </w:rPr>
        <w:t> </w:t>
      </w:r>
      <w:r>
        <w:rPr>
          <w:color w:val="231F1F"/>
          <w:w w:val="120"/>
        </w:rPr>
        <w:t>use</w:t>
      </w:r>
    </w:p>
    <w:p>
      <w:pPr>
        <w:pStyle w:val="BodyText"/>
        <w:spacing w:before="1"/>
        <w:ind w:left="286" w:right="16" w:hanging="100"/>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231F1F"/>
          <w:w w:val="115"/>
        </w:rPr>
        <w:t>Antidepressants:</w:t>
      </w:r>
      <w:r>
        <w:rPr>
          <w:rFonts w:ascii="Calibri" w:hAnsi="Calibri"/>
          <w:color w:val="231F1F"/>
          <w:spacing w:val="-17"/>
          <w:w w:val="115"/>
        </w:rPr>
        <w:t> </w:t>
      </w:r>
      <w:r>
        <w:rPr>
          <w:color w:val="231F1F"/>
          <w:w w:val="115"/>
        </w:rPr>
        <w:t>plasma</w:t>
      </w:r>
      <w:r>
        <w:rPr>
          <w:color w:val="231F1F"/>
          <w:spacing w:val="-21"/>
          <w:w w:val="115"/>
        </w:rPr>
        <w:t> </w:t>
      </w:r>
      <w:r>
        <w:rPr>
          <w:color w:val="231F1F"/>
          <w:w w:val="115"/>
        </w:rPr>
        <w:t>concentration</w:t>
      </w:r>
      <w:r>
        <w:rPr>
          <w:color w:val="231F1F"/>
          <w:spacing w:val="-22"/>
          <w:w w:val="115"/>
        </w:rPr>
        <w:t> </w:t>
      </w:r>
      <w:r>
        <w:rPr>
          <w:color w:val="231F1F"/>
          <w:w w:val="115"/>
        </w:rPr>
        <w:t>of</w:t>
      </w:r>
      <w:r>
        <w:rPr>
          <w:color w:val="231F1F"/>
          <w:spacing w:val="-22"/>
          <w:w w:val="115"/>
        </w:rPr>
        <w:t> </w:t>
      </w:r>
      <w:r>
        <w:rPr>
          <w:color w:val="231F1F"/>
          <w:w w:val="115"/>
        </w:rPr>
        <w:t>abiraterone</w:t>
      </w:r>
      <w:r>
        <w:rPr>
          <w:color w:val="231F1F"/>
          <w:spacing w:val="-21"/>
          <w:w w:val="115"/>
        </w:rPr>
        <w:t> </w:t>
      </w:r>
      <w:r>
        <w:rPr>
          <w:color w:val="231F1F"/>
          <w:w w:val="115"/>
        </w:rPr>
        <w:t>possibly reduced</w:t>
      </w:r>
      <w:r>
        <w:rPr>
          <w:color w:val="231F1F"/>
          <w:spacing w:val="-15"/>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ST</w:t>
      </w:r>
      <w:r>
        <w:rPr>
          <w:rFonts w:ascii="Calibri" w:hAnsi="Calibri"/>
          <w:color w:val="008356"/>
          <w:spacing w:val="-11"/>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8"/>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4"/>
          <w:w w:val="115"/>
        </w:rPr>
        <w:t> </w:t>
      </w:r>
      <w:r>
        <w:rPr>
          <w:color w:val="231F1F"/>
          <w:w w:val="115"/>
        </w:rPr>
        <w:t>abiraterone advises avoid concomitant</w:t>
      </w:r>
      <w:r>
        <w:rPr>
          <w:color w:val="231F1F"/>
          <w:spacing w:val="-14"/>
          <w:w w:val="115"/>
        </w:rPr>
        <w:t> </w:t>
      </w:r>
      <w:r>
        <w:rPr>
          <w:color w:val="231F1F"/>
          <w:w w:val="115"/>
        </w:rPr>
        <w:t>use</w:t>
      </w:r>
    </w:p>
    <w:p>
      <w:pPr>
        <w:spacing w:before="2"/>
        <w:ind w:left="286" w:right="145"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abiraterone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PHENOBARBITAL</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PRIMIDONE</w:t>
      </w:r>
      <w:r>
        <w:rPr>
          <w:rFonts w:ascii="Arial" w:hAnsi="Arial"/>
          <w:color w:val="231F1F"/>
          <w:spacing w:val="4"/>
          <w:w w:val="115"/>
          <w:sz w:val="12"/>
        </w:rPr>
        <w:t>—</w:t>
      </w:r>
    </w:p>
    <w:p>
      <w:pPr>
        <w:pStyle w:val="BodyText"/>
        <w:spacing w:before="2"/>
        <w:ind w:left="286"/>
      </w:pPr>
      <w:r>
        <w:rPr>
          <w:color w:val="231F1F"/>
          <w:w w:val="115"/>
        </w:rPr>
        <w:t>manufacturer of abiraterone advises avoid concomitant use</w:t>
      </w:r>
    </w:p>
    <w:p>
      <w:pPr>
        <w:pStyle w:val="BodyText"/>
        <w:spacing w:before="11"/>
        <w:ind w:left="186"/>
      </w:pPr>
      <w:r>
        <w:rPr>
          <w:rFonts w:ascii="Trebuchet MS"/>
          <w:color w:val="008356"/>
          <w:w w:val="110"/>
        </w:rPr>
        <w:t>Acarbose </w:t>
      </w:r>
      <w:r>
        <w:rPr>
          <w:i/>
          <w:color w:val="231F1F"/>
          <w:w w:val="110"/>
        </w:rPr>
        <w:t>see </w:t>
      </w:r>
      <w:r>
        <w:rPr>
          <w:color w:val="231F1F"/>
          <w:w w:val="110"/>
        </w:rPr>
        <w:t>Antidiabetics</w:t>
      </w:r>
    </w:p>
    <w:p>
      <w:pPr>
        <w:pStyle w:val="BodyText"/>
        <w:spacing w:before="10"/>
        <w:ind w:left="186"/>
        <w:rPr>
          <w:rFonts w:ascii="Trebuchet MS"/>
        </w:rPr>
      </w:pPr>
      <w:r>
        <w:rPr>
          <w:rFonts w:ascii="Trebuchet MS"/>
          <w:color w:val="008356"/>
        </w:rPr>
        <w:t>ACE Inhibitors</w:t>
      </w:r>
    </w:p>
    <w:p>
      <w:pPr>
        <w:pStyle w:val="BodyText"/>
        <w:spacing w:line="220" w:lineRule="auto" w:before="10"/>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ACE inhibitors given with </w:t>
      </w:r>
      <w:r>
        <w:rPr>
          <w:rFonts w:ascii="Calibri" w:hAnsi="Calibri"/>
          <w:color w:val="008356"/>
          <w:w w:val="105"/>
          <w:sz w:val="11"/>
        </w:rPr>
        <w:t>ALCOHOL</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Aldesleukin: </w:t>
      </w:r>
      <w:r>
        <w:rPr>
          <w:color w:val="231F1F"/>
          <w:w w:val="105"/>
        </w:rPr>
        <w:t>enhanced hypotensive effect when ACE inhibitors given with </w:t>
      </w:r>
      <w:r>
        <w:rPr>
          <w:rFonts w:ascii="Calibri" w:hAnsi="Calibri"/>
          <w:color w:val="008356"/>
          <w:w w:val="105"/>
          <w:sz w:val="11"/>
        </w:rPr>
        <w:t>ALDESLEUKIN</w:t>
      </w:r>
    </w:p>
    <w:p>
      <w:pPr>
        <w:pStyle w:val="BodyText"/>
        <w:ind w:left="286" w:right="116" w:hanging="100"/>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Aliskiren:</w:t>
      </w:r>
      <w:r>
        <w:rPr>
          <w:rFonts w:ascii="Calibri"/>
          <w:color w:val="231F1F"/>
          <w:spacing w:val="-9"/>
          <w:w w:val="115"/>
        </w:rPr>
        <w:t> </w:t>
      </w:r>
      <w:r>
        <w:rPr>
          <w:color w:val="231F1F"/>
          <w:w w:val="115"/>
        </w:rPr>
        <w:t>increased</w:t>
      </w:r>
      <w:r>
        <w:rPr>
          <w:color w:val="231F1F"/>
          <w:spacing w:val="-12"/>
          <w:w w:val="115"/>
        </w:rPr>
        <w:t> </w:t>
      </w:r>
      <w:r>
        <w:rPr>
          <w:color w:val="231F1F"/>
          <w:w w:val="115"/>
        </w:rPr>
        <w:t>risk</w:t>
      </w:r>
      <w:r>
        <w:rPr>
          <w:color w:val="231F1F"/>
          <w:spacing w:val="-12"/>
          <w:w w:val="115"/>
        </w:rPr>
        <w:t> </w:t>
      </w:r>
      <w:r>
        <w:rPr>
          <w:color w:val="231F1F"/>
          <w:w w:val="115"/>
        </w:rPr>
        <w:t>of</w:t>
      </w:r>
      <w:r>
        <w:rPr>
          <w:color w:val="231F1F"/>
          <w:spacing w:val="-12"/>
          <w:w w:val="115"/>
        </w:rPr>
        <w:t> </w:t>
      </w:r>
      <w:r>
        <w:rPr>
          <w:color w:val="231F1F"/>
          <w:w w:val="115"/>
        </w:rPr>
        <w:t>hyperkalaemia,</w:t>
      </w:r>
      <w:r>
        <w:rPr>
          <w:color w:val="231F1F"/>
          <w:spacing w:val="-11"/>
          <w:w w:val="115"/>
        </w:rPr>
        <w:t> </w:t>
      </w:r>
      <w:r>
        <w:rPr>
          <w:color w:val="231F1F"/>
          <w:w w:val="115"/>
        </w:rPr>
        <w:t>hypotension,</w:t>
      </w:r>
      <w:r>
        <w:rPr>
          <w:color w:val="231F1F"/>
          <w:spacing w:val="-12"/>
          <w:w w:val="115"/>
        </w:rPr>
        <w:t> </w:t>
      </w:r>
      <w:r>
        <w:rPr>
          <w:color w:val="231F1F"/>
          <w:spacing w:val="-5"/>
          <w:w w:val="115"/>
        </w:rPr>
        <w:t>and </w:t>
      </w:r>
      <w:r>
        <w:rPr>
          <w:color w:val="231F1F"/>
          <w:w w:val="115"/>
        </w:rPr>
        <w:t>impaired</w:t>
      </w:r>
      <w:r>
        <w:rPr>
          <w:color w:val="231F1F"/>
          <w:spacing w:val="-8"/>
          <w:w w:val="115"/>
        </w:rPr>
        <w:t> </w:t>
      </w:r>
      <w:r>
        <w:rPr>
          <w:color w:val="231F1F"/>
          <w:w w:val="115"/>
        </w:rPr>
        <w:t>renal</w:t>
      </w:r>
      <w:r>
        <w:rPr>
          <w:color w:val="231F1F"/>
          <w:spacing w:val="-8"/>
          <w:w w:val="115"/>
        </w:rPr>
        <w:t> </w:t>
      </w:r>
      <w:r>
        <w:rPr>
          <w:color w:val="231F1F"/>
          <w:w w:val="115"/>
        </w:rPr>
        <w:t>function</w:t>
      </w:r>
      <w:r>
        <w:rPr>
          <w:color w:val="231F1F"/>
          <w:spacing w:val="-7"/>
          <w:w w:val="115"/>
        </w:rPr>
        <w:t> </w:t>
      </w:r>
      <w:r>
        <w:rPr>
          <w:color w:val="231F1F"/>
          <w:w w:val="115"/>
        </w:rPr>
        <w:t>when</w:t>
      </w:r>
      <w:r>
        <w:rPr>
          <w:color w:val="231F1F"/>
          <w:spacing w:val="-8"/>
          <w:w w:val="115"/>
        </w:rPr>
        <w:t> </w:t>
      </w:r>
      <w:r>
        <w:rPr>
          <w:color w:val="231F1F"/>
          <w:w w:val="115"/>
        </w:rPr>
        <w:t>ACE</w:t>
      </w:r>
      <w:r>
        <w:rPr>
          <w:color w:val="231F1F"/>
          <w:spacing w:val="-8"/>
          <w:w w:val="115"/>
        </w:rPr>
        <w:t> </w:t>
      </w:r>
      <w:r>
        <w:rPr>
          <w:color w:val="231F1F"/>
          <w:w w:val="115"/>
        </w:rPr>
        <w:t>inhibitors</w:t>
      </w:r>
      <w:r>
        <w:rPr>
          <w:color w:val="231F1F"/>
          <w:spacing w:val="-7"/>
          <w:w w:val="115"/>
        </w:rPr>
        <w:t> </w:t>
      </w:r>
      <w:r>
        <w:rPr>
          <w:color w:val="231F1F"/>
          <w:w w:val="115"/>
        </w:rPr>
        <w:t>given</w:t>
      </w:r>
      <w:r>
        <w:rPr>
          <w:color w:val="231F1F"/>
          <w:spacing w:val="-9"/>
          <w:w w:val="115"/>
        </w:rPr>
        <w:t> </w:t>
      </w:r>
      <w:r>
        <w:rPr>
          <w:color w:val="231F1F"/>
          <w:w w:val="115"/>
        </w:rPr>
        <w:t>with</w:t>
      </w:r>
    </w:p>
    <w:p>
      <w:pPr>
        <w:spacing w:line="141" w:lineRule="exact" w:before="3"/>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ALISKIREN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37" w:lineRule="auto"/>
        <w:ind w:left="286" w:right="196" w:hanging="100"/>
      </w:pPr>
      <w:r>
        <w:rPr>
          <w:rFonts w:ascii="Lucida Sans Unicode" w:hAnsi="Lucida Sans Unicode"/>
          <w:color w:val="A7A8AC"/>
          <w:w w:val="95"/>
          <w:sz w:val="10"/>
        </w:rPr>
        <w:t>▶ </w:t>
      </w:r>
      <w:r>
        <w:rPr>
          <w:rFonts w:ascii="Calibri" w:hAnsi="Calibri"/>
          <w:color w:val="231F1F"/>
          <w:w w:val="110"/>
        </w:rPr>
        <w:t>Allopurinol: </w:t>
      </w:r>
      <w:r>
        <w:rPr>
          <w:color w:val="231F1F"/>
          <w:w w:val="110"/>
        </w:rPr>
        <w:t>manufacturers state possible increased risk of leucopenia and hypersensitivity reactions when ACE inhibitors given with </w:t>
      </w:r>
      <w:r>
        <w:rPr>
          <w:rFonts w:ascii="Calibri" w:hAnsi="Calibri"/>
          <w:color w:val="008356"/>
          <w:w w:val="110"/>
          <w:sz w:val="11"/>
        </w:rPr>
        <w:t>ALLOPURINOL </w:t>
      </w:r>
      <w:r>
        <w:rPr>
          <w:color w:val="231F1F"/>
          <w:w w:val="110"/>
        </w:rPr>
        <w:t>especially in renal impairment</w:t>
      </w:r>
    </w:p>
    <w:p>
      <w:pPr>
        <w:pStyle w:val="BodyText"/>
        <w:spacing w:line="220" w:lineRule="auto" w:before="9"/>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enhanced hypotensive effect when ACE inhibitors given with </w:t>
      </w:r>
      <w:r>
        <w:rPr>
          <w:rFonts w:ascii="Calibri" w:hAnsi="Calibri"/>
          <w:color w:val="008356"/>
          <w:w w:val="105"/>
          <w:sz w:val="11"/>
        </w:rPr>
        <w:t>ALPHA-BLOCKERS</w:t>
      </w:r>
    </w:p>
    <w:p>
      <w:pPr>
        <w:spacing w:line="220" w:lineRule="auto" w:before="9"/>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ACE inhibitors given with </w:t>
      </w:r>
      <w:r>
        <w:rPr>
          <w:rFonts w:ascii="Calibri" w:hAnsi="Calibri"/>
          <w:color w:val="008356"/>
          <w:w w:val="105"/>
          <w:sz w:val="11"/>
        </w:rPr>
        <w:t>GENERAL ANAESTHETICS</w:t>
      </w:r>
    </w:p>
    <w:p>
      <w:pPr>
        <w:pStyle w:val="BodyText"/>
        <w:spacing w:line="230" w:lineRule="auto" w:before="4"/>
        <w:ind w:left="286"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increased risk of renal impairment when ACE inhibitors given with </w:t>
      </w:r>
      <w:r>
        <w:rPr>
          <w:rFonts w:ascii="Calibri" w:hAnsi="Calibri"/>
          <w:color w:val="008356"/>
          <w:w w:val="110"/>
          <w:sz w:val="11"/>
        </w:rPr>
        <w:t>NSAID</w:t>
      </w:r>
      <w:r>
        <w:rPr>
          <w:rFonts w:ascii="Calibri" w:hAnsi="Calibri"/>
          <w:color w:val="008356"/>
          <w:w w:val="110"/>
          <w:sz w:val="9"/>
        </w:rPr>
        <w:t>S</w:t>
      </w:r>
      <w:r>
        <w:rPr>
          <w:color w:val="231F1F"/>
          <w:w w:val="110"/>
        </w:rPr>
        <w:t>, also hypotensive effect antagonised</w:t>
      </w:r>
    </w:p>
    <w:p>
      <w:pPr>
        <w:pStyle w:val="BodyText"/>
        <w:spacing w:line="242" w:lineRule="auto" w:before="4"/>
        <w:ind w:left="286" w:right="188" w:hanging="100"/>
      </w:pPr>
      <w:r>
        <w:rPr>
          <w:rFonts w:ascii="Arial" w:hAnsi="Arial"/>
          <w:color w:val="231F1F"/>
          <w:w w:val="355"/>
          <w:position w:val="1"/>
          <w:sz w:val="7"/>
        </w:rPr>
        <w:t>l </w:t>
      </w:r>
      <w:r>
        <w:rPr>
          <w:rFonts w:ascii="Calibri" w:hAnsi="Calibri"/>
          <w:color w:val="231F1F"/>
          <w:w w:val="110"/>
        </w:rPr>
        <w:t>Angiotensin-II Receptor Antagonists: </w:t>
      </w:r>
      <w:r>
        <w:rPr>
          <w:color w:val="231F1F"/>
          <w:w w:val="110"/>
        </w:rPr>
        <w:t>increased risk of hyperkalaemia, hypotension, and impaired renal function when</w:t>
      </w:r>
      <w:r>
        <w:rPr>
          <w:color w:val="231F1F"/>
          <w:spacing w:val="-17"/>
          <w:w w:val="110"/>
        </w:rPr>
        <w:t> </w:t>
      </w:r>
      <w:r>
        <w:rPr>
          <w:color w:val="231F1F"/>
          <w:w w:val="110"/>
        </w:rPr>
        <w:t>ACE</w:t>
      </w:r>
      <w:r>
        <w:rPr>
          <w:color w:val="231F1F"/>
          <w:spacing w:val="-17"/>
          <w:w w:val="110"/>
        </w:rPr>
        <w:t> </w:t>
      </w:r>
      <w:r>
        <w:rPr>
          <w:color w:val="231F1F"/>
          <w:w w:val="110"/>
        </w:rPr>
        <w:t>inhibitors</w:t>
      </w:r>
      <w:r>
        <w:rPr>
          <w:color w:val="231F1F"/>
          <w:spacing w:val="-17"/>
          <w:w w:val="110"/>
        </w:rPr>
        <w:t> </w:t>
      </w:r>
      <w:r>
        <w:rPr>
          <w:color w:val="231F1F"/>
          <w:w w:val="110"/>
        </w:rPr>
        <w:t>given</w:t>
      </w:r>
      <w:r>
        <w:rPr>
          <w:color w:val="231F1F"/>
          <w:spacing w:val="-17"/>
          <w:w w:val="110"/>
        </w:rPr>
        <w:t> </w:t>
      </w:r>
      <w:r>
        <w:rPr>
          <w:color w:val="231F1F"/>
          <w:w w:val="110"/>
        </w:rPr>
        <w:t>with</w:t>
      </w:r>
      <w:r>
        <w:rPr>
          <w:color w:val="231F1F"/>
          <w:spacing w:val="-17"/>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0"/>
          <w:sz w:val="11"/>
        </w:rPr>
        <w:t>ANGIOTENSIN-II</w:t>
      </w:r>
      <w:r>
        <w:rPr>
          <w:rFonts w:ascii="Calibri" w:hAnsi="Calibri"/>
          <w:color w:val="008356"/>
          <w:spacing w:val="-10"/>
          <w:w w:val="110"/>
          <w:sz w:val="11"/>
        </w:rPr>
        <w:t> </w:t>
      </w:r>
      <w:r>
        <w:rPr>
          <w:rFonts w:ascii="Calibri" w:hAnsi="Calibri"/>
          <w:color w:val="008356"/>
          <w:spacing w:val="4"/>
          <w:w w:val="110"/>
          <w:sz w:val="11"/>
        </w:rPr>
        <w:t>RECEPTOR </w:t>
      </w:r>
      <w:r>
        <w:rPr>
          <w:rFonts w:ascii="Calibri" w:hAnsi="Calibri"/>
          <w:color w:val="008356"/>
          <w:spacing w:val="2"/>
          <w:w w:val="110"/>
          <w:sz w:val="11"/>
        </w:rPr>
        <w:t>ANTAGONISTS</w:t>
      </w:r>
      <w:r>
        <w:rPr>
          <w:rFonts w:ascii="Arial" w:hAnsi="Arial"/>
          <w:color w:val="231F1F"/>
          <w:spacing w:val="2"/>
          <w:w w:val="110"/>
        </w:rPr>
        <w:t>—</w:t>
      </w:r>
      <w:r>
        <w:rPr>
          <w:color w:val="231F1F"/>
          <w:spacing w:val="2"/>
          <w:w w:val="110"/>
        </w:rPr>
        <w:t>avoid </w:t>
      </w:r>
      <w:r>
        <w:rPr>
          <w:color w:val="231F1F"/>
          <w:w w:val="110"/>
        </w:rPr>
        <w:t>concomitant</w:t>
      </w:r>
      <w:r>
        <w:rPr>
          <w:color w:val="231F1F"/>
          <w:spacing w:val="-10"/>
          <w:w w:val="110"/>
        </w:rPr>
        <w:t> </w:t>
      </w:r>
      <w:r>
        <w:rPr>
          <w:color w:val="231F1F"/>
          <w:w w:val="110"/>
        </w:rPr>
        <w:t>use</w:t>
      </w:r>
    </w:p>
    <w:p>
      <w:pPr>
        <w:pStyle w:val="BodyText"/>
        <w:spacing w:line="230" w:lineRule="auto" w:before="2"/>
        <w:ind w:left="286" w:right="20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ACE inhibitors possibly reduced </w:t>
      </w:r>
      <w:r>
        <w:rPr>
          <w:color w:val="231F1F"/>
          <w:spacing w:val="-7"/>
          <w:w w:val="110"/>
        </w:rPr>
        <w:t>by </w:t>
      </w:r>
      <w:r>
        <w:rPr>
          <w:rFonts w:ascii="Calibri" w:hAnsi="Calibri"/>
          <w:color w:val="008356"/>
          <w:spacing w:val="3"/>
          <w:w w:val="110"/>
          <w:sz w:val="11"/>
        </w:rPr>
        <w:t>ANTACIDS</w:t>
      </w:r>
      <w:r>
        <w:rPr>
          <w:color w:val="231F1F"/>
          <w:spacing w:val="3"/>
          <w:w w:val="110"/>
        </w:rPr>
        <w:t>; </w:t>
      </w:r>
      <w:r>
        <w:rPr>
          <w:color w:val="231F1F"/>
          <w:w w:val="110"/>
        </w:rPr>
        <w:t>absorption of captopril, enalapril and fosinopril reduced by </w:t>
      </w:r>
      <w:r>
        <w:rPr>
          <w:rFonts w:ascii="Calibri" w:hAnsi="Calibri"/>
          <w:color w:val="008356"/>
          <w:spacing w:val="4"/>
          <w:w w:val="110"/>
          <w:sz w:val="11"/>
        </w:rPr>
        <w:t>ANTACIDS</w:t>
      </w:r>
    </w:p>
    <w:p>
      <w:pPr>
        <w:pStyle w:val="BodyText"/>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active metabolite of imidapril reduced by </w:t>
      </w:r>
      <w:r>
        <w:rPr>
          <w:rFonts w:ascii="Calibri" w:hAnsi="Calibri"/>
          <w:color w:val="008356"/>
          <w:w w:val="110"/>
          <w:sz w:val="11"/>
        </w:rPr>
        <w:t>RIFAMPICIN </w:t>
      </w:r>
      <w:r>
        <w:rPr>
          <w:color w:val="231F1F"/>
          <w:w w:val="110"/>
        </w:rPr>
        <w:t>(reduced antihypertensive effect); quinapril tablets reduce absorption of </w:t>
      </w:r>
      <w:r>
        <w:rPr>
          <w:rFonts w:ascii="Calibri" w:hAnsi="Calibri"/>
          <w:color w:val="008356"/>
          <w:w w:val="110"/>
          <w:sz w:val="11"/>
        </w:rPr>
        <w:t>TETRACYCLINES </w:t>
      </w:r>
      <w:r>
        <w:rPr>
          <w:color w:val="231F1F"/>
          <w:w w:val="110"/>
        </w:rPr>
        <w:t>(quinapril tablets contain magnesium carbonate); possible increased risk of hyperkalaemia when ACE inhibitors given with </w:t>
      </w:r>
      <w:r>
        <w:rPr>
          <w:rFonts w:ascii="Calibri" w:hAnsi="Calibri"/>
          <w:color w:val="008356"/>
          <w:w w:val="110"/>
          <w:sz w:val="11"/>
        </w:rPr>
        <w:t>TRIMETHOPRIM</w:t>
      </w:r>
    </w:p>
    <w:p>
      <w:pPr>
        <w:pStyle w:val="BodyText"/>
        <w:spacing w:line="220" w:lineRule="auto" w:before="8"/>
        <w:ind w:left="286" w:right="24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increased risk of hyperkalaemia when ACE inhibitors given with </w:t>
      </w:r>
      <w:r>
        <w:rPr>
          <w:rFonts w:ascii="Calibri" w:hAnsi="Calibri"/>
          <w:color w:val="008356"/>
          <w:w w:val="105"/>
          <w:sz w:val="11"/>
        </w:rPr>
        <w:t>HEPARINS</w:t>
      </w:r>
    </w:p>
    <w:p>
      <w:pPr>
        <w:pStyle w:val="BodyText"/>
        <w:spacing w:before="9"/>
        <w:ind w:left="0"/>
        <w:rPr>
          <w:rFonts w:ascii="Calibri"/>
          <w:sz w:val="13"/>
        </w:rPr>
      </w:pPr>
      <w:r>
        <w:rPr/>
        <w:br w:type="column"/>
      </w:r>
      <w:r>
        <w:rPr>
          <w:rFonts w:ascii="Calibri"/>
          <w:sz w:val="13"/>
        </w:rPr>
      </w:r>
    </w:p>
    <w:p>
      <w:pPr>
        <w:pStyle w:val="BodyText"/>
        <w:spacing w:line="144" w:lineRule="exact"/>
        <w:ind w:left="180"/>
        <w:rPr>
          <w:rFonts w:ascii="Calibri"/>
        </w:rPr>
      </w:pPr>
      <w:r>
        <w:rPr>
          <w:rFonts w:ascii="Arial"/>
          <w:color w:val="008356"/>
        </w:rPr>
        <w:t>ACE Inhibitors </w:t>
      </w:r>
      <w:r>
        <w:rPr>
          <w:rFonts w:ascii="Calibri"/>
          <w:color w:val="231F1F"/>
        </w:rPr>
        <w:t>(continued)</w:t>
      </w:r>
    </w:p>
    <w:p>
      <w:pPr>
        <w:pStyle w:val="BodyText"/>
        <w:spacing w:line="220" w:lineRule="auto" w:before="6"/>
        <w:ind w:left="280" w:right="695" w:hanging="100"/>
        <w:rPr>
          <w:rFonts w:ascii="Calibri" w:hAnsi="Calibri"/>
          <w:sz w:val="9"/>
        </w:rPr>
      </w:pPr>
      <w:r>
        <w:rPr>
          <w:rFonts w:ascii="Lucida Sans Unicode" w:hAnsi="Lucida Sans Unicode"/>
          <w:color w:val="A7A8AC"/>
          <w:w w:val="95"/>
          <w:sz w:val="10"/>
        </w:rPr>
        <w:t>▶ </w:t>
      </w:r>
      <w:r>
        <w:rPr>
          <w:rFonts w:ascii="Calibri" w:hAnsi="Calibri"/>
          <w:color w:val="231F1F"/>
          <w:w w:val="105"/>
        </w:rPr>
        <w:t>Antidepressants: </w:t>
      </w:r>
      <w:r>
        <w:rPr>
          <w:color w:val="231F1F"/>
          <w:w w:val="105"/>
        </w:rPr>
        <w:t>hypotensive effect of ACE inhibitors possibly enhanced by </w:t>
      </w:r>
      <w:r>
        <w:rPr>
          <w:rFonts w:ascii="Calibri" w:hAnsi="Calibri"/>
          <w:color w:val="008356"/>
          <w:w w:val="105"/>
          <w:sz w:val="11"/>
        </w:rPr>
        <w:t>MAOI</w:t>
      </w:r>
      <w:r>
        <w:rPr>
          <w:rFonts w:ascii="Calibri" w:hAnsi="Calibri"/>
          <w:color w:val="008356"/>
          <w:w w:val="105"/>
          <w:sz w:val="9"/>
        </w:rPr>
        <w:t>S</w:t>
      </w:r>
    </w:p>
    <w:p>
      <w:pPr>
        <w:spacing w:line="220" w:lineRule="auto" w:before="9"/>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Antidiabetics: </w:t>
      </w:r>
      <w:r>
        <w:rPr>
          <w:color w:val="231F1F"/>
          <w:w w:val="105"/>
          <w:sz w:val="12"/>
        </w:rPr>
        <w:t>ACE inhibitors possibly enhance hypoglycaemic effect of </w:t>
      </w:r>
      <w:r>
        <w:rPr>
          <w:rFonts w:ascii="Calibri" w:hAnsi="Calibri"/>
          <w:color w:val="008356"/>
          <w:w w:val="105"/>
          <w:sz w:val="11"/>
        </w:rPr>
        <w:t>INSULIN</w:t>
      </w:r>
      <w:r>
        <w:rPr>
          <w:color w:val="231F1F"/>
          <w:w w:val="105"/>
          <w:sz w:val="12"/>
        </w:rPr>
        <w:t>, </w:t>
      </w:r>
      <w:r>
        <w:rPr>
          <w:rFonts w:ascii="Calibri" w:hAnsi="Calibri"/>
          <w:color w:val="008356"/>
          <w:w w:val="105"/>
          <w:sz w:val="11"/>
        </w:rPr>
        <w:t>METFORMIN </w:t>
      </w:r>
      <w:r>
        <w:rPr>
          <w:color w:val="231F1F"/>
          <w:w w:val="105"/>
          <w:sz w:val="12"/>
        </w:rPr>
        <w:t>and </w:t>
      </w:r>
      <w:r>
        <w:rPr>
          <w:rFonts w:ascii="Calibri" w:hAnsi="Calibri"/>
          <w:color w:val="008356"/>
          <w:w w:val="105"/>
          <w:sz w:val="11"/>
        </w:rPr>
        <w:t>SULFONYLUREAS</w:t>
      </w:r>
    </w:p>
    <w:p>
      <w:pPr>
        <w:pStyle w:val="BodyText"/>
        <w:spacing w:line="220" w:lineRule="auto" w:before="9"/>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enhanced hypotensive effect when ACE inhibitors given with </w:t>
      </w:r>
      <w:r>
        <w:rPr>
          <w:rFonts w:ascii="Calibri" w:hAnsi="Calibri"/>
          <w:color w:val="008356"/>
          <w:w w:val="105"/>
          <w:sz w:val="11"/>
        </w:rPr>
        <w:t>ANTIPSYCHOTICS</w:t>
      </w:r>
    </w:p>
    <w:p>
      <w:pPr>
        <w:spacing w:line="220" w:lineRule="auto" w:before="8"/>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ACE inhibitors given with </w:t>
      </w:r>
      <w:r>
        <w:rPr>
          <w:rFonts w:ascii="Calibri" w:hAnsi="Calibri"/>
          <w:color w:val="008356"/>
          <w:w w:val="105"/>
          <w:sz w:val="11"/>
        </w:rPr>
        <w:t>ANXIOLYTICS AND HYPNOTICS</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Avanafil: </w:t>
      </w:r>
      <w:r>
        <w:rPr>
          <w:color w:val="231F1F"/>
          <w:w w:val="105"/>
        </w:rPr>
        <w:t>hypotensive effect of enalapril possibly enhanced by</w:t>
      </w:r>
    </w:p>
    <w:p>
      <w:pPr>
        <w:spacing w:line="131" w:lineRule="exact" w:before="0"/>
        <w:ind w:left="280" w:right="0" w:firstLine="0"/>
        <w:jc w:val="left"/>
        <w:rPr>
          <w:rFonts w:ascii="Calibri"/>
          <w:sz w:val="11"/>
        </w:rPr>
      </w:pPr>
      <w:r>
        <w:rPr>
          <w:rFonts w:ascii="Calibri"/>
          <w:color w:val="008356"/>
          <w:sz w:val="11"/>
        </w:rPr>
        <w:t>AVANAFIL</w:t>
      </w:r>
    </w:p>
    <w:p>
      <w:pPr>
        <w:pStyle w:val="BodyText"/>
        <w:spacing w:line="237" w:lineRule="auto"/>
        <w:ind w:left="280" w:right="695" w:hanging="100"/>
      </w:pPr>
      <w:r>
        <w:rPr>
          <w:rFonts w:ascii="Lucida Sans Unicode" w:hAnsi="Lucida Sans Unicode"/>
          <w:color w:val="A7A8AC"/>
          <w:w w:val="95"/>
          <w:sz w:val="10"/>
        </w:rPr>
        <w:t>▶ </w:t>
      </w:r>
      <w:r>
        <w:rPr>
          <w:rFonts w:ascii="Calibri" w:hAnsi="Calibri"/>
          <w:color w:val="231F1F"/>
          <w:w w:val="110"/>
        </w:rPr>
        <w:t>Azathioprine: </w:t>
      </w:r>
      <w:r>
        <w:rPr>
          <w:color w:val="231F1F"/>
          <w:w w:val="110"/>
        </w:rPr>
        <w:t>increased risk of anaemia or leucopenia when captopril given with </w:t>
      </w:r>
      <w:r>
        <w:rPr>
          <w:rFonts w:ascii="Calibri" w:hAnsi="Calibri"/>
          <w:color w:val="008356"/>
          <w:w w:val="110"/>
          <w:sz w:val="11"/>
        </w:rPr>
        <w:t>AZATHIOPRINE </w:t>
      </w:r>
      <w:r>
        <w:rPr>
          <w:color w:val="231F1F"/>
          <w:w w:val="110"/>
        </w:rPr>
        <w:t>especially in renal impairment; increased risk of anaemia when enalapril given with </w:t>
      </w:r>
      <w:r>
        <w:rPr>
          <w:rFonts w:ascii="Calibri" w:hAnsi="Calibri"/>
          <w:color w:val="008356"/>
          <w:w w:val="110"/>
          <w:sz w:val="11"/>
        </w:rPr>
        <w:t>AZATHIOPRINE </w:t>
      </w:r>
      <w:r>
        <w:rPr>
          <w:color w:val="231F1F"/>
          <w:w w:val="110"/>
        </w:rPr>
        <w:t>especially in renal impairment</w:t>
      </w:r>
    </w:p>
    <w:p>
      <w:pPr>
        <w:pStyle w:val="BodyText"/>
        <w:spacing w:line="237" w:lineRule="auto"/>
        <w:ind w:left="280" w:right="769" w:hanging="100"/>
        <w:rPr>
          <w:rFonts w:ascii="Calibri"/>
          <w:sz w:val="11"/>
        </w:rPr>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Bee</w:t>
      </w:r>
      <w:r>
        <w:rPr>
          <w:rFonts w:ascii="Calibri"/>
          <w:color w:val="231F1F"/>
          <w:spacing w:val="-20"/>
          <w:w w:val="115"/>
        </w:rPr>
        <w:t> </w:t>
      </w:r>
      <w:r>
        <w:rPr>
          <w:rFonts w:ascii="Calibri"/>
          <w:color w:val="231F1F"/>
          <w:w w:val="115"/>
        </w:rPr>
        <w:t>Venom</w:t>
      </w:r>
      <w:r>
        <w:rPr>
          <w:rFonts w:ascii="Calibri"/>
          <w:color w:val="231F1F"/>
          <w:spacing w:val="-20"/>
          <w:w w:val="115"/>
        </w:rPr>
        <w:t> </w:t>
      </w:r>
      <w:r>
        <w:rPr>
          <w:rFonts w:ascii="Calibri"/>
          <w:color w:val="231F1F"/>
          <w:w w:val="115"/>
        </w:rPr>
        <w:t>Extracts:</w:t>
      </w:r>
      <w:r>
        <w:rPr>
          <w:rFonts w:ascii="Calibri"/>
          <w:color w:val="231F1F"/>
          <w:spacing w:val="-20"/>
          <w:w w:val="115"/>
        </w:rPr>
        <w:t> </w:t>
      </w:r>
      <w:r>
        <w:rPr>
          <w:color w:val="231F1F"/>
          <w:w w:val="115"/>
        </w:rPr>
        <w:t>possible</w:t>
      </w:r>
      <w:r>
        <w:rPr>
          <w:color w:val="231F1F"/>
          <w:spacing w:val="-23"/>
          <w:w w:val="115"/>
        </w:rPr>
        <w:t> </w:t>
      </w:r>
      <w:r>
        <w:rPr>
          <w:color w:val="231F1F"/>
          <w:w w:val="115"/>
        </w:rPr>
        <w:t>severe</w:t>
      </w:r>
      <w:r>
        <w:rPr>
          <w:color w:val="231F1F"/>
          <w:spacing w:val="-23"/>
          <w:w w:val="115"/>
        </w:rPr>
        <w:t> </w:t>
      </w:r>
      <w:r>
        <w:rPr>
          <w:color w:val="231F1F"/>
          <w:w w:val="115"/>
        </w:rPr>
        <w:t>anaphylactoid</w:t>
      </w:r>
      <w:r>
        <w:rPr>
          <w:color w:val="231F1F"/>
          <w:spacing w:val="-23"/>
          <w:w w:val="115"/>
        </w:rPr>
        <w:t> </w:t>
      </w:r>
      <w:r>
        <w:rPr>
          <w:color w:val="231F1F"/>
          <w:w w:val="115"/>
        </w:rPr>
        <w:t>reaction when</w:t>
      </w:r>
      <w:r>
        <w:rPr>
          <w:color w:val="231F1F"/>
          <w:spacing w:val="-18"/>
          <w:w w:val="115"/>
        </w:rPr>
        <w:t> </w:t>
      </w:r>
      <w:r>
        <w:rPr>
          <w:color w:val="231F1F"/>
          <w:w w:val="115"/>
        </w:rPr>
        <w:t>ACE</w:t>
      </w:r>
      <w:r>
        <w:rPr>
          <w:color w:val="231F1F"/>
          <w:spacing w:val="-17"/>
          <w:w w:val="115"/>
        </w:rPr>
        <w:t> </w:t>
      </w:r>
      <w:r>
        <w:rPr>
          <w:color w:val="231F1F"/>
          <w:w w:val="115"/>
        </w:rPr>
        <w:t>inhibitors</w:t>
      </w:r>
      <w:r>
        <w:rPr>
          <w:color w:val="231F1F"/>
          <w:spacing w:val="-18"/>
          <w:w w:val="115"/>
        </w:rPr>
        <w:t> </w:t>
      </w:r>
      <w:r>
        <w:rPr>
          <w:color w:val="231F1F"/>
          <w:w w:val="115"/>
        </w:rPr>
        <w:t>given</w:t>
      </w:r>
      <w:r>
        <w:rPr>
          <w:color w:val="231F1F"/>
          <w:spacing w:val="-17"/>
          <w:w w:val="115"/>
        </w:rPr>
        <w:t> </w:t>
      </w:r>
      <w:r>
        <w:rPr>
          <w:color w:val="231F1F"/>
          <w:w w:val="115"/>
        </w:rPr>
        <w:t>with</w:t>
      </w:r>
      <w:r>
        <w:rPr>
          <w:color w:val="231F1F"/>
          <w:spacing w:val="-17"/>
          <w:w w:val="115"/>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5"/>
          <w:sz w:val="11"/>
        </w:rPr>
        <w:t>BEE</w:t>
      </w:r>
      <w:r>
        <w:rPr>
          <w:rFonts w:ascii="Calibri"/>
          <w:color w:val="008356"/>
          <w:spacing w:val="-10"/>
          <w:w w:val="115"/>
          <w:sz w:val="11"/>
        </w:rPr>
        <w:t> </w:t>
      </w:r>
      <w:r>
        <w:rPr>
          <w:rFonts w:ascii="Calibri"/>
          <w:color w:val="008356"/>
          <w:spacing w:val="4"/>
          <w:w w:val="115"/>
          <w:sz w:val="11"/>
        </w:rPr>
        <w:t>VENOM</w:t>
      </w:r>
      <w:r>
        <w:rPr>
          <w:rFonts w:ascii="Calibri"/>
          <w:color w:val="008356"/>
          <w:spacing w:val="-11"/>
          <w:w w:val="115"/>
          <w:sz w:val="11"/>
        </w:rPr>
        <w:t> </w:t>
      </w:r>
      <w:r>
        <w:rPr>
          <w:rFonts w:ascii="Calibri"/>
          <w:color w:val="008356"/>
          <w:spacing w:val="5"/>
          <w:w w:val="115"/>
          <w:sz w:val="11"/>
        </w:rPr>
        <w:t>EXTRACTS</w:t>
      </w:r>
    </w:p>
    <w:p>
      <w:pPr>
        <w:pStyle w:val="BodyText"/>
        <w:spacing w:line="220" w:lineRule="auto" w:before="5"/>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enhanced hypotensive effect when ACE inhibitors given with </w:t>
      </w:r>
      <w:r>
        <w:rPr>
          <w:rFonts w:ascii="Calibri" w:hAnsi="Calibri"/>
          <w:color w:val="008356"/>
          <w:w w:val="105"/>
          <w:sz w:val="11"/>
        </w:rPr>
        <w:t>BETA-BLOCKERS</w:t>
      </w:r>
    </w:p>
    <w:p>
      <w:pPr>
        <w:spacing w:line="220" w:lineRule="auto" w:before="8"/>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ACE inhibitors given with </w:t>
      </w:r>
      <w:r>
        <w:rPr>
          <w:rFonts w:ascii="Calibri" w:hAnsi="Calibri"/>
          <w:color w:val="008356"/>
          <w:w w:val="105"/>
          <w:sz w:val="11"/>
        </w:rPr>
        <w:t>CALCIUM-CHANNEL BLOCKERS</w:t>
      </w:r>
    </w:p>
    <w:p>
      <w:pPr>
        <w:pStyle w:val="BodyText"/>
        <w:spacing w:line="220" w:lineRule="auto" w:before="9"/>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captopril possibly increases plasma concentration of </w:t>
      </w:r>
      <w:r>
        <w:rPr>
          <w:rFonts w:ascii="Calibri" w:hAnsi="Calibri"/>
          <w:color w:val="008356"/>
          <w:w w:val="105"/>
          <w:sz w:val="11"/>
        </w:rPr>
        <w:t>DIGOXIN</w:t>
      </w:r>
    </w:p>
    <w:p>
      <w:pPr>
        <w:pStyle w:val="BodyText"/>
        <w:ind w:left="280" w:right="962"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hyperkalaemia when </w:t>
      </w:r>
      <w:r>
        <w:rPr>
          <w:color w:val="231F1F"/>
          <w:spacing w:val="-5"/>
          <w:w w:val="110"/>
        </w:rPr>
        <w:t>ACE </w:t>
      </w:r>
      <w:r>
        <w:rPr>
          <w:color w:val="231F1F"/>
          <w:w w:val="110"/>
        </w:rPr>
        <w:t>inhibitors given with </w:t>
      </w:r>
      <w:r>
        <w:rPr>
          <w:rFonts w:ascii="Arial"/>
          <w:color w:val="231F1F"/>
          <w:w w:val="355"/>
          <w:position w:val="1"/>
          <w:sz w:val="7"/>
        </w:rPr>
        <w:t>l </w:t>
      </w:r>
      <w:r>
        <w:rPr>
          <w:rFonts w:ascii="Calibri"/>
          <w:color w:val="008356"/>
          <w:spacing w:val="4"/>
          <w:w w:val="110"/>
          <w:sz w:val="11"/>
        </w:rPr>
        <w:t>CICLOSPORIN</w:t>
      </w:r>
    </w:p>
    <w:p>
      <w:pPr>
        <w:pStyle w:val="BodyText"/>
        <w:spacing w:line="230" w:lineRule="auto"/>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ACE inhibitors given with </w:t>
      </w:r>
      <w:r>
        <w:rPr>
          <w:rFonts w:ascii="Calibri" w:hAnsi="Calibri"/>
          <w:color w:val="008356"/>
          <w:w w:val="110"/>
          <w:sz w:val="11"/>
        </w:rPr>
        <w:t>CLONIDINE</w:t>
      </w:r>
      <w:r>
        <w:rPr>
          <w:color w:val="231F1F"/>
          <w:w w:val="110"/>
        </w:rPr>
        <w:t>; antihypertensive effect of captopril possibly delayed by previous treatment with </w:t>
      </w:r>
      <w:r>
        <w:rPr>
          <w:rFonts w:ascii="Calibri" w:hAnsi="Calibri"/>
          <w:color w:val="008356"/>
          <w:w w:val="110"/>
          <w:sz w:val="11"/>
        </w:rPr>
        <w:t>CLONIDINE</w:t>
      </w:r>
    </w:p>
    <w:p>
      <w:pPr>
        <w:pStyle w:val="BodyText"/>
        <w:spacing w:line="220" w:lineRule="auto" w:before="9"/>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ACE inhibitors antagonised by </w:t>
      </w:r>
      <w:r>
        <w:rPr>
          <w:rFonts w:ascii="Calibri" w:hAnsi="Calibri"/>
          <w:color w:val="008356"/>
          <w:w w:val="105"/>
          <w:sz w:val="11"/>
        </w:rPr>
        <w:t>CORTICOSTEROIDS</w:t>
      </w:r>
    </w:p>
    <w:p>
      <w:pPr>
        <w:pStyle w:val="BodyText"/>
        <w:ind w:left="280" w:right="579"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increased risk of angioedema when ACE inhibitors given with </w:t>
      </w:r>
      <w:r>
        <w:rPr>
          <w:rFonts w:ascii="Arial"/>
          <w:color w:val="231F1F"/>
          <w:w w:val="355"/>
          <w:position w:val="1"/>
          <w:sz w:val="7"/>
        </w:rPr>
        <w:t>l </w:t>
      </w:r>
      <w:r>
        <w:rPr>
          <w:rFonts w:ascii="Calibri"/>
          <w:color w:val="008356"/>
          <w:spacing w:val="5"/>
          <w:w w:val="110"/>
          <w:sz w:val="11"/>
        </w:rPr>
        <w:t>EVEROLIMUS</w:t>
      </w:r>
    </w:p>
    <w:p>
      <w:pPr>
        <w:pStyle w:val="BodyText"/>
        <w:spacing w:line="220" w:lineRule="auto" w:before="6"/>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ACE inhibitors given with </w:t>
      </w:r>
      <w:r>
        <w:rPr>
          <w:rFonts w:ascii="Calibri" w:hAnsi="Calibri"/>
          <w:color w:val="008356"/>
          <w:w w:val="105"/>
          <w:sz w:val="11"/>
        </w:rPr>
        <w:t>DIAZOXIDE</w:t>
      </w:r>
    </w:p>
    <w:p>
      <w:pPr>
        <w:spacing w:line="247" w:lineRule="auto" w:before="0"/>
        <w:ind w:left="280" w:right="609"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enhanced hypotensive effect when ACE inhibitors given with </w:t>
      </w:r>
      <w:r>
        <w:rPr>
          <w:rFonts w:ascii="Arial"/>
          <w:color w:val="231F1F"/>
          <w:w w:val="355"/>
          <w:position w:val="1"/>
          <w:sz w:val="7"/>
        </w:rPr>
        <w:t>l </w:t>
      </w:r>
      <w:r>
        <w:rPr>
          <w:rFonts w:ascii="Calibri"/>
          <w:color w:val="008356"/>
          <w:w w:val="110"/>
          <w:sz w:val="11"/>
        </w:rPr>
        <w:t>DIURETICS</w:t>
      </w:r>
      <w:r>
        <w:rPr>
          <w:color w:val="231F1F"/>
          <w:w w:val="110"/>
          <w:sz w:val="12"/>
        </w:rPr>
        <w:t>; increased risk of severe hyperkalaemia when ACE inhibitors given with </w:t>
      </w:r>
      <w:r>
        <w:rPr>
          <w:rFonts w:ascii="Arial"/>
          <w:color w:val="231F1F"/>
          <w:w w:val="355"/>
          <w:position w:val="1"/>
          <w:sz w:val="7"/>
        </w:rPr>
        <w:t>l </w:t>
      </w:r>
      <w:r>
        <w:rPr>
          <w:rFonts w:ascii="Calibri"/>
          <w:color w:val="008356"/>
          <w:w w:val="110"/>
          <w:sz w:val="11"/>
        </w:rPr>
        <w:t>POTASSIUM- SPARING DIURETICS AND ALDOSTERONE ANTAGONISTS</w:t>
      </w:r>
    </w:p>
    <w:p>
      <w:pPr>
        <w:spacing w:line="220" w:lineRule="auto" w:before="0"/>
        <w:ind w:left="280" w:right="695" w:hanging="100"/>
        <w:jc w:val="left"/>
        <w:rPr>
          <w:sz w:val="12"/>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ACE inhibitors given with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w:t>
      </w:r>
    </w:p>
    <w:p>
      <w:pPr>
        <w:spacing w:line="133" w:lineRule="exact" w:before="10"/>
        <w:ind w:left="280" w:right="0" w:firstLine="0"/>
        <w:jc w:val="left"/>
        <w:rPr>
          <w:rFonts w:ascii="Calibri"/>
          <w:sz w:val="11"/>
        </w:rPr>
      </w:pPr>
      <w:r>
        <w:rPr>
          <w:rFonts w:ascii="Calibri"/>
          <w:color w:val="008356"/>
          <w:sz w:val="11"/>
        </w:rPr>
        <w:t>LEVODOPA</w:t>
      </w:r>
    </w:p>
    <w:p>
      <w:pPr>
        <w:pStyle w:val="BodyText"/>
        <w:spacing w:line="145" w:lineRule="exact"/>
        <w:ind w:left="180"/>
        <w:rPr>
          <w:rFonts w:ascii="Calibri"/>
          <w:sz w:val="11"/>
        </w:rPr>
      </w:pPr>
      <w:r>
        <w:rPr>
          <w:rFonts w:ascii="Arial"/>
          <w:color w:val="231F1F"/>
          <w:w w:val="355"/>
          <w:position w:val="1"/>
          <w:sz w:val="7"/>
        </w:rPr>
        <w:t>l </w:t>
      </w:r>
      <w:r>
        <w:rPr>
          <w:rFonts w:ascii="Calibri"/>
          <w:color w:val="231F1F"/>
          <w:w w:val="110"/>
        </w:rPr>
        <w:t>Lithium: </w:t>
      </w:r>
      <w:r>
        <w:rPr>
          <w:color w:val="231F1F"/>
          <w:w w:val="110"/>
        </w:rPr>
        <w:t>ACE inhibitors reduce excretion of </w:t>
      </w:r>
      <w:r>
        <w:rPr>
          <w:rFonts w:ascii="Arial"/>
          <w:color w:val="231F1F"/>
          <w:w w:val="355"/>
          <w:position w:val="1"/>
          <w:sz w:val="7"/>
        </w:rPr>
        <w:t>l </w:t>
      </w:r>
      <w:r>
        <w:rPr>
          <w:rFonts w:ascii="Calibri"/>
          <w:color w:val="008356"/>
          <w:w w:val="110"/>
          <w:sz w:val="11"/>
        </w:rPr>
        <w:t>LITHIUM</w:t>
      </w:r>
    </w:p>
    <w:p>
      <w:pPr>
        <w:pStyle w:val="BodyText"/>
        <w:ind w:left="280"/>
      </w:pPr>
      <w:r>
        <w:rPr>
          <w:color w:val="231F1F"/>
          <w:w w:val="115"/>
        </w:rPr>
        <w:t>(increased plasma</w:t>
      </w:r>
      <w:r>
        <w:rPr>
          <w:color w:val="231F1F"/>
          <w:spacing w:val="-11"/>
          <w:w w:val="115"/>
        </w:rPr>
        <w:t> </w:t>
      </w:r>
      <w:r>
        <w:rPr>
          <w:color w:val="231F1F"/>
          <w:w w:val="115"/>
        </w:rPr>
        <w:t>concentration)</w:t>
      </w:r>
    </w:p>
    <w:p>
      <w:pPr>
        <w:pStyle w:val="BodyText"/>
        <w:spacing w:line="220" w:lineRule="auto" w:before="10"/>
        <w:ind w:left="280" w:right="9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w:t>
      </w:r>
      <w:r>
        <w:rPr>
          <w:color w:val="231F1F"/>
          <w:spacing w:val="-5"/>
          <w:w w:val="105"/>
        </w:rPr>
        <w:t>ACE </w:t>
      </w:r>
      <w:r>
        <w:rPr>
          <w:color w:val="231F1F"/>
          <w:w w:val="105"/>
        </w:rPr>
        <w:t>inhibitors given with</w:t>
      </w:r>
      <w:r>
        <w:rPr>
          <w:color w:val="231F1F"/>
          <w:spacing w:val="1"/>
          <w:w w:val="105"/>
        </w:rPr>
        <w:t> </w:t>
      </w:r>
      <w:r>
        <w:rPr>
          <w:rFonts w:ascii="Calibri" w:hAnsi="Calibri"/>
          <w:color w:val="008356"/>
          <w:spacing w:val="4"/>
          <w:w w:val="105"/>
          <w:sz w:val="11"/>
        </w:rPr>
        <w:t>METHYLDOPA</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ACE inhibitors given with</w:t>
      </w:r>
      <w:r>
        <w:rPr>
          <w:color w:val="231F1F"/>
          <w:spacing w:val="-1"/>
          <w:w w:val="105"/>
        </w:rPr>
        <w:t> </w:t>
      </w:r>
      <w:r>
        <w:rPr>
          <w:rFonts w:ascii="Calibri" w:hAnsi="Calibri"/>
          <w:color w:val="008356"/>
          <w:spacing w:val="4"/>
          <w:w w:val="105"/>
          <w:sz w:val="11"/>
        </w:rPr>
        <w:t>MOXISYLYTE</w:t>
      </w:r>
    </w:p>
    <w:p>
      <w:pPr>
        <w:pStyle w:val="BodyText"/>
        <w:spacing w:line="220" w:lineRule="auto" w:before="8"/>
        <w:ind w:left="280" w:right="579"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ACE inhibitors given with</w:t>
      </w:r>
      <w:r>
        <w:rPr>
          <w:color w:val="231F1F"/>
          <w:spacing w:val="-2"/>
          <w:w w:val="105"/>
        </w:rPr>
        <w:t> </w:t>
      </w:r>
      <w:r>
        <w:rPr>
          <w:rFonts w:ascii="Calibri" w:hAnsi="Calibri"/>
          <w:color w:val="008356"/>
          <w:spacing w:val="4"/>
          <w:w w:val="105"/>
          <w:sz w:val="11"/>
        </w:rPr>
        <w:t>MOXONIDINE</w:t>
      </w:r>
    </w:p>
    <w:p>
      <w:pPr>
        <w:spacing w:line="220" w:lineRule="auto" w:before="9"/>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ACE inhibitors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9"/>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ACE inhibitors given with </w:t>
      </w:r>
      <w:r>
        <w:rPr>
          <w:rFonts w:ascii="Calibri" w:hAnsi="Calibri"/>
          <w:color w:val="008356"/>
          <w:w w:val="105"/>
          <w:sz w:val="11"/>
        </w:rPr>
        <w:t>NITRATES</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ACE inhibitors antagonised by</w:t>
      </w:r>
      <w:r>
        <w:rPr>
          <w:color w:val="231F1F"/>
          <w:spacing w:val="-1"/>
          <w:w w:val="105"/>
        </w:rPr>
        <w:t> </w:t>
      </w:r>
      <w:r>
        <w:rPr>
          <w:rFonts w:ascii="Calibri" w:hAnsi="Calibri"/>
          <w:color w:val="008356"/>
          <w:spacing w:val="5"/>
          <w:w w:val="105"/>
          <w:sz w:val="11"/>
        </w:rPr>
        <w:t>OESTROGENS</w:t>
      </w:r>
    </w:p>
    <w:p>
      <w:pPr>
        <w:pStyle w:val="BodyText"/>
        <w:ind w:left="280" w:right="66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Potassium</w:t>
      </w:r>
      <w:r>
        <w:rPr>
          <w:rFonts w:ascii="Calibri"/>
          <w:color w:val="231F1F"/>
          <w:spacing w:val="-13"/>
          <w:w w:val="115"/>
        </w:rPr>
        <w:t> </w:t>
      </w:r>
      <w:r>
        <w:rPr>
          <w:rFonts w:ascii="Calibri"/>
          <w:color w:val="231F1F"/>
          <w:w w:val="115"/>
        </w:rPr>
        <w:t>Salts:</w:t>
      </w:r>
      <w:r>
        <w:rPr>
          <w:rFonts w:ascii="Calibri"/>
          <w:color w:val="231F1F"/>
          <w:spacing w:val="-14"/>
          <w:w w:val="115"/>
        </w:rPr>
        <w:t> </w:t>
      </w:r>
      <w:r>
        <w:rPr>
          <w:color w:val="231F1F"/>
          <w:w w:val="115"/>
        </w:rPr>
        <w:t>increased</w:t>
      </w:r>
      <w:r>
        <w:rPr>
          <w:color w:val="231F1F"/>
          <w:spacing w:val="-18"/>
          <w:w w:val="115"/>
        </w:rPr>
        <w:t> </w:t>
      </w:r>
      <w:r>
        <w:rPr>
          <w:color w:val="231F1F"/>
          <w:w w:val="115"/>
        </w:rPr>
        <w:t>risk</w:t>
      </w:r>
      <w:r>
        <w:rPr>
          <w:color w:val="231F1F"/>
          <w:spacing w:val="-16"/>
          <w:w w:val="115"/>
        </w:rPr>
        <w:t> </w:t>
      </w:r>
      <w:r>
        <w:rPr>
          <w:color w:val="231F1F"/>
          <w:w w:val="115"/>
        </w:rPr>
        <w:t>of</w:t>
      </w:r>
      <w:r>
        <w:rPr>
          <w:color w:val="231F1F"/>
          <w:spacing w:val="-18"/>
          <w:w w:val="115"/>
        </w:rPr>
        <w:t> </w:t>
      </w:r>
      <w:r>
        <w:rPr>
          <w:color w:val="231F1F"/>
          <w:w w:val="115"/>
        </w:rPr>
        <w:t>severe</w:t>
      </w:r>
      <w:r>
        <w:rPr>
          <w:color w:val="231F1F"/>
          <w:spacing w:val="-17"/>
          <w:w w:val="115"/>
        </w:rPr>
        <w:t> </w:t>
      </w:r>
      <w:r>
        <w:rPr>
          <w:color w:val="231F1F"/>
          <w:w w:val="115"/>
        </w:rPr>
        <w:t>hyperkalaemia</w:t>
      </w:r>
      <w:r>
        <w:rPr>
          <w:color w:val="231F1F"/>
          <w:spacing w:val="-17"/>
          <w:w w:val="115"/>
        </w:rPr>
        <w:t> </w:t>
      </w:r>
      <w:r>
        <w:rPr>
          <w:color w:val="231F1F"/>
          <w:spacing w:val="-4"/>
          <w:w w:val="115"/>
        </w:rPr>
        <w:t>when </w:t>
      </w:r>
      <w:r>
        <w:rPr>
          <w:color w:val="231F1F"/>
          <w:w w:val="115"/>
        </w:rPr>
        <w:t>ACE</w:t>
      </w:r>
      <w:r>
        <w:rPr>
          <w:color w:val="231F1F"/>
          <w:spacing w:val="-9"/>
          <w:w w:val="115"/>
        </w:rPr>
        <w:t> </w:t>
      </w:r>
      <w:r>
        <w:rPr>
          <w:color w:val="231F1F"/>
          <w:w w:val="115"/>
        </w:rPr>
        <w:t>inhibitors</w:t>
      </w:r>
      <w:r>
        <w:rPr>
          <w:color w:val="231F1F"/>
          <w:spacing w:val="-8"/>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5"/>
          <w:sz w:val="11"/>
        </w:rPr>
        <w:t>POTASSIUM</w:t>
      </w:r>
      <w:r>
        <w:rPr>
          <w:rFonts w:ascii="Calibri"/>
          <w:color w:val="008356"/>
          <w:spacing w:val="-1"/>
          <w:w w:val="115"/>
          <w:sz w:val="11"/>
        </w:rPr>
        <w:t> </w:t>
      </w:r>
      <w:r>
        <w:rPr>
          <w:rFonts w:ascii="Calibri"/>
          <w:color w:val="008356"/>
          <w:spacing w:val="3"/>
          <w:w w:val="115"/>
          <w:sz w:val="11"/>
        </w:rPr>
        <w:t>SALTS</w:t>
      </w:r>
    </w:p>
    <w:p>
      <w:pPr>
        <w:pStyle w:val="BodyText"/>
        <w:spacing w:line="220" w:lineRule="auto" w:before="6"/>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ACE inhibitors given with </w:t>
      </w:r>
      <w:r>
        <w:rPr>
          <w:rFonts w:ascii="Calibri" w:hAnsi="Calibri"/>
          <w:color w:val="008356"/>
          <w:w w:val="110"/>
          <w:sz w:val="11"/>
        </w:rPr>
        <w:t>ALPROSTADIL</w:t>
      </w:r>
    </w:p>
    <w:p>
      <w:pPr>
        <w:spacing w:before="0"/>
        <w:ind w:left="280" w:right="770" w:hanging="100"/>
        <w:jc w:val="left"/>
        <w:rPr>
          <w:rFonts w:ascii="Calibri"/>
          <w:sz w:val="11"/>
        </w:rPr>
      </w:pPr>
      <w:r>
        <w:rPr>
          <w:rFonts w:ascii="Arial"/>
          <w:color w:val="231F1F"/>
          <w:w w:val="355"/>
          <w:position w:val="1"/>
          <w:sz w:val="7"/>
        </w:rPr>
        <w:t>l </w:t>
      </w:r>
      <w:r>
        <w:rPr>
          <w:rFonts w:ascii="Calibri"/>
          <w:color w:val="231F1F"/>
          <w:w w:val="105"/>
          <w:sz w:val="12"/>
        </w:rPr>
        <w:t>Sodium Aurothiomalate: </w:t>
      </w:r>
      <w:r>
        <w:rPr>
          <w:color w:val="231F1F"/>
          <w:w w:val="105"/>
          <w:sz w:val="12"/>
        </w:rPr>
        <w:t>flushing and hypotension reported when ACE inhibitors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05"/>
          <w:sz w:val="11"/>
        </w:rPr>
        <w:t>SODIUM AUROTHIOMALATE</w:t>
      </w:r>
    </w:p>
    <w:p>
      <w:pPr>
        <w:spacing w:line="237" w:lineRule="auto" w:before="0"/>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ACE inhibitors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spacing w:line="240" w:lineRule="auto" w:before="0"/>
        <w:ind w:left="280" w:right="631" w:hanging="100"/>
        <w:jc w:val="left"/>
        <w:rPr>
          <w:rFonts w:ascii="Calibri"/>
          <w:sz w:val="11"/>
        </w:rPr>
      </w:pPr>
      <w:r>
        <w:rPr>
          <w:rFonts w:ascii="Arial"/>
          <w:color w:val="231F1F"/>
          <w:w w:val="355"/>
          <w:position w:val="1"/>
          <w:sz w:val="7"/>
        </w:rPr>
        <w:t>l </w:t>
      </w:r>
      <w:r>
        <w:rPr>
          <w:rFonts w:ascii="Calibri"/>
          <w:color w:val="231F1F"/>
          <w:w w:val="110"/>
          <w:sz w:val="12"/>
        </w:rPr>
        <w:t>Wasp Venom Extracts: </w:t>
      </w:r>
      <w:r>
        <w:rPr>
          <w:color w:val="231F1F"/>
          <w:w w:val="110"/>
          <w:sz w:val="12"/>
        </w:rPr>
        <w:t>possible severe anaphylactoid reaction when ACE inhibitors given with </w:t>
      </w:r>
      <w:r>
        <w:rPr>
          <w:rFonts w:ascii="Arial"/>
          <w:color w:val="231F1F"/>
          <w:w w:val="355"/>
          <w:position w:val="1"/>
          <w:sz w:val="7"/>
        </w:rPr>
        <w:t>l </w:t>
      </w:r>
      <w:r>
        <w:rPr>
          <w:rFonts w:ascii="Calibri"/>
          <w:color w:val="008356"/>
          <w:w w:val="110"/>
          <w:sz w:val="11"/>
        </w:rPr>
        <w:t>WASP VENOM EXTRACTS</w:t>
      </w:r>
    </w:p>
    <w:p>
      <w:pPr>
        <w:pStyle w:val="BodyText"/>
        <w:spacing w:line="256" w:lineRule="auto"/>
        <w:ind w:left="180" w:right="2153"/>
        <w:rPr>
          <w:rFonts w:ascii="Trebuchet MS"/>
        </w:rPr>
      </w:pPr>
      <w:r>
        <w:rPr>
          <w:rFonts w:ascii="Trebuchet MS"/>
          <w:color w:val="008356"/>
        </w:rPr>
        <w:t>Acebutolol </w:t>
      </w:r>
      <w:r>
        <w:rPr>
          <w:i/>
          <w:color w:val="231F1F"/>
        </w:rPr>
        <w:t>see </w:t>
      </w:r>
      <w:r>
        <w:rPr>
          <w:color w:val="231F1F"/>
        </w:rPr>
        <w:t>Beta-blockers </w:t>
      </w:r>
      <w:r>
        <w:rPr>
          <w:rFonts w:ascii="Trebuchet MS"/>
          <w:color w:val="008356"/>
        </w:rPr>
        <w:t>Aceclofenac </w:t>
      </w:r>
      <w:r>
        <w:rPr>
          <w:i/>
          <w:color w:val="231F1F"/>
        </w:rPr>
        <w:t>see </w:t>
      </w:r>
      <w:r>
        <w:rPr>
          <w:color w:val="231F1F"/>
        </w:rPr>
        <w:t>NSAIDs </w:t>
      </w:r>
      <w:r>
        <w:rPr>
          <w:rFonts w:ascii="Trebuchet MS"/>
          <w:color w:val="008356"/>
        </w:rPr>
        <w:t>Acemetacin </w:t>
      </w:r>
      <w:r>
        <w:rPr>
          <w:i/>
          <w:color w:val="231F1F"/>
        </w:rPr>
        <w:t>see </w:t>
      </w:r>
      <w:r>
        <w:rPr>
          <w:color w:val="231F1F"/>
        </w:rPr>
        <w:t>NSAIDs </w:t>
      </w:r>
      <w:r>
        <w:rPr>
          <w:rFonts w:ascii="Trebuchet MS"/>
          <w:color w:val="008356"/>
        </w:rPr>
        <w:t>Acenocoumarol </w:t>
      </w:r>
      <w:r>
        <w:rPr>
          <w:i/>
          <w:color w:val="231F1F"/>
        </w:rPr>
        <w:t>see </w:t>
      </w:r>
      <w:r>
        <w:rPr>
          <w:color w:val="231F1F"/>
        </w:rPr>
        <w:t>Coumarins </w:t>
      </w:r>
      <w:r>
        <w:rPr>
          <w:rFonts w:ascii="Trebuchet MS"/>
          <w:color w:val="008356"/>
        </w:rPr>
        <w:t>Acetazolamide </w:t>
      </w:r>
      <w:r>
        <w:rPr>
          <w:i/>
          <w:color w:val="231F1F"/>
        </w:rPr>
        <w:t>see </w:t>
      </w:r>
      <w:r>
        <w:rPr>
          <w:color w:val="231F1F"/>
        </w:rPr>
        <w:t>Diuretics </w:t>
      </w:r>
      <w:r>
        <w:rPr>
          <w:rFonts w:ascii="Trebuchet MS"/>
          <w:color w:val="008356"/>
        </w:rPr>
        <w:t>Aciclovir</w:t>
      </w:r>
    </w:p>
    <w:p>
      <w:pPr>
        <w:pStyle w:val="BodyText"/>
        <w:ind w:left="280" w:right="1166" w:hanging="1"/>
      </w:pPr>
      <w:r>
        <w:rPr>
          <w:rFonts w:ascii="Calibri"/>
          <w:color w:val="008356"/>
          <w:w w:val="115"/>
          <w:sz w:val="11"/>
        </w:rPr>
        <w:t>NOTE </w:t>
      </w:r>
      <w:r>
        <w:rPr>
          <w:color w:val="231F1F"/>
          <w:w w:val="115"/>
        </w:rPr>
        <w:t>Interactions do not apply to topical aciclovir preparations</w:t>
      </w:r>
    </w:p>
    <w:p>
      <w:pPr>
        <w:pStyle w:val="BodyText"/>
        <w:spacing w:line="220" w:lineRule="auto" w:before="7"/>
        <w:ind w:left="280" w:right="769"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aciclovir possibly increases plasma concentration of </w:t>
      </w:r>
      <w:r>
        <w:rPr>
          <w:rFonts w:ascii="Calibri" w:hAnsi="Calibri"/>
          <w:color w:val="008356"/>
          <w:w w:val="105"/>
          <w:sz w:val="11"/>
        </w:rPr>
        <w:t>AMINOPHYLLINE</w:t>
      </w:r>
    </w:p>
    <w:p>
      <w:pPr>
        <w:spacing w:after="0" w:line="220" w:lineRule="auto"/>
        <w:rPr>
          <w:rFonts w:ascii="Calibri" w:hAnsi="Calibri"/>
          <w:sz w:val="11"/>
        </w:rPr>
        <w:sectPr>
          <w:headerReference w:type="even" r:id="rId5"/>
          <w:headerReference w:type="default" r:id="rId6"/>
          <w:pgSz w:w="8390" w:h="11910"/>
          <w:pgMar w:header="0" w:footer="0" w:top="460" w:bottom="0" w:left="480" w:right="0"/>
          <w:cols w:num="2" w:equalWidth="0">
            <w:col w:w="3642" w:space="40"/>
            <w:col w:w="4228"/>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Aciclovir </w:t>
      </w:r>
      <w:r>
        <w:rPr>
          <w:rFonts w:ascii="Calibri"/>
          <w:color w:val="231F1F"/>
        </w:rPr>
        <w:t>(continued)</w:t>
      </w:r>
    </w:p>
    <w:p>
      <w:pPr>
        <w:pStyle w:val="BodyText"/>
        <w:spacing w:line="220" w:lineRule="auto" w:before="6"/>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increased risk of nephrotoxicity when aciclovir given with </w:t>
      </w:r>
      <w:r>
        <w:rPr>
          <w:rFonts w:ascii="Calibri" w:hAnsi="Calibri"/>
          <w:color w:val="008356"/>
          <w:w w:val="105"/>
          <w:sz w:val="11"/>
        </w:rPr>
        <w:t>CICLOSPORIN</w:t>
      </w:r>
    </w:p>
    <w:p>
      <w:pPr>
        <w:pStyle w:val="BodyText"/>
        <w:spacing w:line="230" w:lineRule="auto" w:before="4"/>
        <w:ind w:right="-11" w:hanging="100"/>
      </w:pPr>
      <w:r>
        <w:rPr>
          <w:rFonts w:ascii="Lucida Sans Unicode" w:hAnsi="Lucida Sans Unicode"/>
          <w:color w:val="A7A8AC"/>
          <w:w w:val="95"/>
          <w:sz w:val="10"/>
        </w:rPr>
        <w:t>▶ </w:t>
      </w:r>
      <w:r>
        <w:rPr>
          <w:rFonts w:ascii="Calibri" w:hAnsi="Calibri"/>
          <w:color w:val="231F1F"/>
          <w:w w:val="110"/>
        </w:rPr>
        <w:t>Mycophenolate: </w:t>
      </w:r>
      <w:r>
        <w:rPr>
          <w:color w:val="231F1F"/>
          <w:w w:val="110"/>
        </w:rPr>
        <w:t>plasma concentration of aciclovir increased by </w:t>
      </w:r>
      <w:r>
        <w:rPr>
          <w:rFonts w:ascii="Calibri" w:hAnsi="Calibri"/>
          <w:color w:val="008356"/>
          <w:w w:val="110"/>
          <w:sz w:val="11"/>
        </w:rPr>
        <w:t>MYCOPHENOLATE</w:t>
      </w:r>
      <w:r>
        <w:rPr>
          <w:color w:val="231F1F"/>
          <w:w w:val="110"/>
        </w:rPr>
        <w:t>, also plasma concentration of inactive metabolite of mycophenolate increased</w:t>
      </w:r>
    </w:p>
    <w:p>
      <w:pPr>
        <w:pStyle w:val="BodyText"/>
        <w:spacing w:line="220" w:lineRule="auto" w:before="13"/>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possible increased risk of nephrotoxicity </w:t>
      </w:r>
      <w:r>
        <w:rPr>
          <w:color w:val="231F1F"/>
          <w:spacing w:val="-4"/>
          <w:w w:val="110"/>
        </w:rPr>
        <w:t>when </w:t>
      </w:r>
      <w:r>
        <w:rPr>
          <w:color w:val="231F1F"/>
          <w:w w:val="110"/>
        </w:rPr>
        <w:t>aciclovir given with</w:t>
      </w:r>
      <w:r>
        <w:rPr>
          <w:color w:val="231F1F"/>
          <w:spacing w:val="-12"/>
          <w:w w:val="110"/>
        </w:rPr>
        <w:t> </w:t>
      </w:r>
      <w:r>
        <w:rPr>
          <w:rFonts w:ascii="Calibri" w:hAnsi="Calibri"/>
          <w:color w:val="008356"/>
          <w:spacing w:val="4"/>
          <w:w w:val="110"/>
          <w:sz w:val="11"/>
        </w:rPr>
        <w:t>TACROLIMUS</w:t>
      </w:r>
    </w:p>
    <w:p>
      <w:pPr>
        <w:pStyle w:val="BodyText"/>
        <w:spacing w:line="220" w:lineRule="auto" w:before="8"/>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aciclovir possibly increases </w:t>
      </w:r>
      <w:r>
        <w:rPr>
          <w:color w:val="231F1F"/>
          <w:spacing w:val="-3"/>
          <w:w w:val="105"/>
        </w:rPr>
        <w:t>plasma </w:t>
      </w:r>
      <w:r>
        <w:rPr>
          <w:color w:val="231F1F"/>
          <w:w w:val="105"/>
        </w:rPr>
        <w:t>concentration of</w:t>
      </w:r>
      <w:r>
        <w:rPr>
          <w:color w:val="231F1F"/>
          <w:spacing w:val="4"/>
          <w:w w:val="105"/>
        </w:rPr>
        <w:t> </w:t>
      </w:r>
      <w:r>
        <w:rPr>
          <w:rFonts w:ascii="Calibri" w:hAnsi="Calibri"/>
          <w:color w:val="008356"/>
          <w:spacing w:val="5"/>
          <w:w w:val="105"/>
          <w:sz w:val="11"/>
        </w:rPr>
        <w:t>THEOPHYLLINE</w:t>
      </w:r>
    </w:p>
    <w:p>
      <w:pPr>
        <w:pStyle w:val="BodyText"/>
        <w:spacing w:line="256" w:lineRule="auto" w:before="10"/>
        <w:ind w:left="108" w:right="1701"/>
        <w:rPr>
          <w:rFonts w:ascii="Trebuchet MS"/>
        </w:rPr>
      </w:pPr>
      <w:r>
        <w:rPr>
          <w:rFonts w:ascii="Trebuchet MS"/>
          <w:color w:val="008356"/>
          <w:w w:val="105"/>
        </w:rPr>
        <w:t>Acitretin </w:t>
      </w:r>
      <w:r>
        <w:rPr>
          <w:i/>
          <w:color w:val="231F1F"/>
          <w:w w:val="105"/>
        </w:rPr>
        <w:t>see </w:t>
      </w:r>
      <w:r>
        <w:rPr>
          <w:color w:val="231F1F"/>
          <w:w w:val="105"/>
        </w:rPr>
        <w:t>Retinoids </w:t>
      </w:r>
      <w:r>
        <w:rPr>
          <w:rFonts w:ascii="Trebuchet MS"/>
          <w:color w:val="008356"/>
          <w:w w:val="105"/>
        </w:rPr>
        <w:t>Aclidinium </w:t>
      </w:r>
      <w:r>
        <w:rPr>
          <w:i/>
          <w:color w:val="231F1F"/>
          <w:w w:val="105"/>
        </w:rPr>
        <w:t>see </w:t>
      </w:r>
      <w:r>
        <w:rPr>
          <w:color w:val="231F1F"/>
          <w:w w:val="105"/>
        </w:rPr>
        <w:t>Antimuscarinics </w:t>
      </w:r>
      <w:r>
        <w:rPr>
          <w:rFonts w:ascii="Trebuchet MS"/>
          <w:color w:val="008356"/>
          <w:w w:val="105"/>
        </w:rPr>
        <w:t>Acrivastine </w:t>
      </w:r>
      <w:r>
        <w:rPr>
          <w:i/>
          <w:color w:val="231F1F"/>
          <w:w w:val="105"/>
        </w:rPr>
        <w:t>see </w:t>
      </w:r>
      <w:r>
        <w:rPr>
          <w:color w:val="231F1F"/>
          <w:w w:val="105"/>
        </w:rPr>
        <w:t>Antihistamines </w:t>
      </w:r>
      <w:r>
        <w:rPr>
          <w:rFonts w:ascii="Trebuchet MS"/>
          <w:color w:val="008356"/>
          <w:w w:val="105"/>
        </w:rPr>
        <w:t>Adalimumab</w:t>
      </w:r>
    </w:p>
    <w:p>
      <w:pPr>
        <w:pStyle w:val="BodyText"/>
        <w:spacing w:line="220" w:lineRule="auto"/>
        <w:ind w:right="223" w:hanging="100"/>
        <w:rPr>
          <w:rFonts w:ascii="Calibri" w:hAnsi="Calibri"/>
          <w:sz w:val="11"/>
        </w:rPr>
      </w:pPr>
      <w:r>
        <w:rPr>
          <w:rFonts w:ascii="Lucida Sans Unicode" w:hAnsi="Lucida Sans Unicode"/>
          <w:color w:val="A7A8AC"/>
          <w:w w:val="95"/>
          <w:sz w:val="10"/>
        </w:rPr>
        <w:t>▶ </w:t>
      </w:r>
      <w:r>
        <w:rPr>
          <w:rFonts w:ascii="Calibri" w:hAnsi="Calibri"/>
          <w:color w:val="231F1F"/>
          <w:w w:val="110"/>
        </w:rPr>
        <w:t>Abatacept: </w:t>
      </w:r>
      <w:r>
        <w:rPr>
          <w:color w:val="231F1F"/>
          <w:w w:val="110"/>
        </w:rPr>
        <w:t>increased risk of side-effects when adalimumab given with </w:t>
      </w:r>
      <w:r>
        <w:rPr>
          <w:rFonts w:ascii="Calibri" w:hAnsi="Calibri"/>
          <w:color w:val="008356"/>
          <w:w w:val="110"/>
          <w:sz w:val="11"/>
        </w:rPr>
        <w:t>ABATACEPT</w:t>
      </w:r>
    </w:p>
    <w:p>
      <w:pPr>
        <w:pStyle w:val="BodyText"/>
        <w:spacing w:line="146" w:lineRule="exact"/>
        <w:ind w:left="108"/>
      </w:pPr>
      <w:r>
        <w:rPr>
          <w:rFonts w:ascii="Arial"/>
          <w:color w:val="231F1F"/>
          <w:w w:val="355"/>
          <w:position w:val="1"/>
          <w:sz w:val="7"/>
        </w:rPr>
        <w:t>l </w:t>
      </w:r>
      <w:r>
        <w:rPr>
          <w:rFonts w:ascii="Calibri"/>
          <w:color w:val="231F1F"/>
          <w:w w:val="115"/>
        </w:rPr>
        <w:t>Anakinra: </w:t>
      </w:r>
      <w:r>
        <w:rPr>
          <w:color w:val="231F1F"/>
          <w:w w:val="115"/>
        </w:rPr>
        <w:t>avoid concomitant use of adalimumab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ANAKINRA</w:t>
      </w:r>
    </w:p>
    <w:p>
      <w:pPr>
        <w:pStyle w:val="BodyText"/>
        <w:spacing w:line="145"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32"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08"/>
        <w:rPr>
          <w:rFonts w:ascii="Trebuchet MS"/>
        </w:rPr>
      </w:pPr>
      <w:r>
        <w:rPr>
          <w:rFonts w:ascii="Trebuchet MS"/>
          <w:color w:val="008356"/>
        </w:rPr>
        <w:t>Adefovir</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Antivirals: </w:t>
      </w:r>
      <w:r>
        <w:rPr>
          <w:color w:val="231F1F"/>
          <w:w w:val="105"/>
        </w:rPr>
        <w:t>avoidance of adefovir advised by manufacturer of</w:t>
      </w:r>
    </w:p>
    <w:p>
      <w:pPr>
        <w:spacing w:line="130" w:lineRule="exact" w:before="0"/>
        <w:ind w:left="208" w:right="0" w:firstLine="0"/>
        <w:jc w:val="left"/>
        <w:rPr>
          <w:rFonts w:ascii="Calibri"/>
          <w:sz w:val="11"/>
        </w:rPr>
      </w:pPr>
      <w:r>
        <w:rPr>
          <w:rFonts w:ascii="Calibri"/>
          <w:color w:val="008356"/>
          <w:sz w:val="11"/>
        </w:rPr>
        <w:t>TENOFOVIR</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Interferons: </w:t>
      </w:r>
      <w:r>
        <w:rPr>
          <w:color w:val="231F1F"/>
          <w:w w:val="105"/>
        </w:rPr>
        <w:t>manufacturer of adefovir advises caution with</w:t>
      </w:r>
    </w:p>
    <w:p>
      <w:pPr>
        <w:spacing w:line="132" w:lineRule="exact" w:before="0"/>
        <w:ind w:left="208" w:right="0" w:firstLine="0"/>
        <w:jc w:val="left"/>
        <w:rPr>
          <w:rFonts w:ascii="Calibri"/>
          <w:sz w:val="11"/>
        </w:rPr>
      </w:pPr>
      <w:r>
        <w:rPr>
          <w:rFonts w:ascii="Calibri"/>
          <w:color w:val="008356"/>
          <w:sz w:val="11"/>
        </w:rPr>
        <w:t>PEGINTERFERON ALFA</w:t>
      </w:r>
    </w:p>
    <w:p>
      <w:pPr>
        <w:pStyle w:val="BodyText"/>
        <w:spacing w:before="8"/>
        <w:ind w:left="108"/>
        <w:rPr>
          <w:rFonts w:ascii="Trebuchet MS"/>
        </w:rPr>
      </w:pPr>
      <w:r>
        <w:rPr>
          <w:rFonts w:ascii="Trebuchet MS"/>
          <w:color w:val="008356"/>
        </w:rPr>
        <w:t>Adenosine</w:t>
      </w:r>
    </w:p>
    <w:p>
      <w:pPr>
        <w:pStyle w:val="BodyText"/>
        <w:spacing w:before="4"/>
      </w:pPr>
      <w:r>
        <w:rPr>
          <w:rFonts w:ascii="Calibri"/>
          <w:color w:val="008356"/>
          <w:w w:val="110"/>
          <w:sz w:val="11"/>
        </w:rPr>
        <w:t>NOTE </w:t>
      </w:r>
      <w:r>
        <w:rPr>
          <w:color w:val="231F1F"/>
          <w:w w:val="110"/>
        </w:rPr>
        <w:t>Possibility of interaction with drugs tending to impair myocardial conduction</w:t>
      </w:r>
    </w:p>
    <w:p>
      <w:pPr>
        <w:pStyle w:val="BodyText"/>
        <w:spacing w:line="230" w:lineRule="auto" w:before="6"/>
        <w:ind w:right="124" w:hanging="100"/>
      </w:pPr>
      <w:r>
        <w:rPr>
          <w:rFonts w:ascii="Lucida Sans Unicode" w:hAnsi="Lucida Sans Unicode"/>
          <w:color w:val="A7A8AC"/>
          <w:w w:val="95"/>
          <w:sz w:val="10"/>
        </w:rPr>
        <w:t>▶ </w:t>
      </w:r>
      <w:r>
        <w:rPr>
          <w:rFonts w:ascii="Calibri" w:hAnsi="Calibri"/>
          <w:color w:val="231F1F"/>
          <w:w w:val="110"/>
        </w:rPr>
        <w:t>Aminophylline: </w:t>
      </w:r>
      <w:r>
        <w:rPr>
          <w:color w:val="231F1F"/>
          <w:w w:val="110"/>
        </w:rPr>
        <w:t>anti-arrhythmic effect of adenosine antagonised by </w:t>
      </w:r>
      <w:r>
        <w:rPr>
          <w:rFonts w:ascii="Calibri" w:hAnsi="Calibri"/>
          <w:color w:val="008356"/>
          <w:spacing w:val="2"/>
          <w:w w:val="110"/>
          <w:sz w:val="11"/>
        </w:rPr>
        <w:t>AMINOPHYLLINE</w:t>
      </w:r>
      <w:r>
        <w:rPr>
          <w:rFonts w:ascii="Arial" w:hAnsi="Arial"/>
          <w:color w:val="231F1F"/>
          <w:spacing w:val="2"/>
          <w:w w:val="110"/>
        </w:rPr>
        <w:t>—</w:t>
      </w:r>
      <w:r>
        <w:rPr>
          <w:color w:val="231F1F"/>
          <w:spacing w:val="2"/>
          <w:w w:val="110"/>
        </w:rPr>
        <w:t>manufacturer </w:t>
      </w:r>
      <w:r>
        <w:rPr>
          <w:color w:val="231F1F"/>
          <w:w w:val="110"/>
        </w:rPr>
        <w:t>of</w:t>
      </w:r>
      <w:r>
        <w:rPr>
          <w:color w:val="231F1F"/>
          <w:spacing w:val="-11"/>
          <w:w w:val="110"/>
        </w:rPr>
        <w:t> </w:t>
      </w:r>
      <w:r>
        <w:rPr>
          <w:color w:val="231F1F"/>
          <w:w w:val="110"/>
        </w:rPr>
        <w:t>adenosine advises</w:t>
      </w:r>
      <w:r>
        <w:rPr>
          <w:color w:val="231F1F"/>
          <w:spacing w:val="7"/>
          <w:w w:val="110"/>
        </w:rPr>
        <w:t> </w:t>
      </w:r>
      <w:r>
        <w:rPr>
          <w:color w:val="231F1F"/>
          <w:w w:val="110"/>
        </w:rPr>
        <w:t>avoid</w:t>
      </w:r>
      <w:r>
        <w:rPr>
          <w:color w:val="231F1F"/>
          <w:spacing w:val="8"/>
          <w:w w:val="110"/>
        </w:rPr>
        <w:t> </w:t>
      </w:r>
      <w:r>
        <w:rPr>
          <w:color w:val="231F1F"/>
          <w:w w:val="110"/>
        </w:rPr>
        <w:t>aminophylline</w:t>
      </w:r>
      <w:r>
        <w:rPr>
          <w:color w:val="231F1F"/>
          <w:spacing w:val="8"/>
          <w:w w:val="110"/>
        </w:rPr>
        <w:t> </w:t>
      </w:r>
      <w:r>
        <w:rPr>
          <w:color w:val="231F1F"/>
          <w:w w:val="110"/>
        </w:rPr>
        <w:t>for</w:t>
      </w:r>
      <w:r>
        <w:rPr>
          <w:color w:val="231F1F"/>
          <w:spacing w:val="10"/>
          <w:w w:val="110"/>
        </w:rPr>
        <w:t> </w:t>
      </w:r>
      <w:r>
        <w:rPr>
          <w:color w:val="231F1F"/>
          <w:w w:val="110"/>
        </w:rPr>
        <w:t>24</w:t>
      </w:r>
      <w:r>
        <w:rPr>
          <w:color w:val="231F1F"/>
          <w:spacing w:val="7"/>
          <w:w w:val="110"/>
        </w:rPr>
        <w:t> </w:t>
      </w:r>
      <w:r>
        <w:rPr>
          <w:color w:val="231F1F"/>
          <w:w w:val="110"/>
        </w:rPr>
        <w:t>hours</w:t>
      </w:r>
      <w:r>
        <w:rPr>
          <w:color w:val="231F1F"/>
          <w:spacing w:val="9"/>
          <w:w w:val="110"/>
        </w:rPr>
        <w:t> </w:t>
      </w:r>
      <w:r>
        <w:rPr>
          <w:color w:val="231F1F"/>
          <w:w w:val="110"/>
        </w:rPr>
        <w:t>before</w:t>
      </w:r>
      <w:r>
        <w:rPr>
          <w:color w:val="231F1F"/>
          <w:spacing w:val="8"/>
          <w:w w:val="110"/>
        </w:rPr>
        <w:t> </w:t>
      </w:r>
      <w:r>
        <w:rPr>
          <w:color w:val="231F1F"/>
          <w:w w:val="110"/>
        </w:rPr>
        <w:t>adenosine</w:t>
      </w:r>
    </w:p>
    <w:p>
      <w:pPr>
        <w:spacing w:line="220" w:lineRule="auto" w:before="11"/>
        <w:ind w:left="208" w:right="151"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spacing w:val="4"/>
          <w:w w:val="105"/>
          <w:sz w:val="11"/>
        </w:rPr>
        <w:t>BUPIVACAINE</w:t>
      </w:r>
      <w:r>
        <w:rPr>
          <w:color w:val="231F1F"/>
          <w:spacing w:val="4"/>
          <w:w w:val="105"/>
          <w:sz w:val="12"/>
        </w:rPr>
        <w:t>,  </w:t>
      </w:r>
      <w:r>
        <w:rPr>
          <w:rFonts w:ascii="Calibri" w:hAnsi="Calibri"/>
          <w:color w:val="008356"/>
          <w:spacing w:val="4"/>
          <w:w w:val="105"/>
          <w:sz w:val="11"/>
        </w:rPr>
        <w:t>LEVOBUPIVACAINE</w:t>
      </w:r>
      <w:r>
        <w:rPr>
          <w:color w:val="231F1F"/>
          <w:spacing w:val="4"/>
          <w:w w:val="105"/>
          <w:sz w:val="12"/>
        </w:rPr>
        <w:t>,</w:t>
      </w:r>
    </w:p>
    <w:p>
      <w:pPr>
        <w:spacing w:line="141" w:lineRule="exact" w:before="4"/>
        <w:ind w:left="208"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ind w:right="71" w:hanging="100"/>
        <w:rPr>
          <w:rFonts w:ascii="Calibri"/>
          <w:sz w:val="11"/>
        </w:rPr>
      </w:pPr>
      <w:r>
        <w:rPr>
          <w:rFonts w:ascii="Arial"/>
          <w:color w:val="231F1F"/>
          <w:w w:val="355"/>
          <w:position w:val="1"/>
          <w:sz w:val="7"/>
        </w:rPr>
        <w:t>l </w:t>
      </w:r>
      <w:r>
        <w:rPr>
          <w:rFonts w:ascii="Calibri"/>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0"/>
          <w:sz w:val="11"/>
        </w:rPr>
        <w:t>ANTI-ARRHYTHMICS</w:t>
      </w:r>
    </w:p>
    <w:p>
      <w:pPr>
        <w:pStyle w:val="BodyText"/>
        <w:spacing w:line="237" w:lineRule="auto"/>
        <w:ind w:right="65"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9"/>
          <w:w w:val="115"/>
        </w:rPr>
        <w:t> </w:t>
      </w:r>
      <w:r>
        <w:rPr>
          <w:color w:val="231F1F"/>
          <w:w w:val="115"/>
        </w:rPr>
        <w:t>arrhythmias</w:t>
      </w:r>
      <w:r>
        <w:rPr>
          <w:color w:val="231F1F"/>
          <w:spacing w:val="-18"/>
          <w:w w:val="115"/>
        </w:rPr>
        <w:t> </w:t>
      </w:r>
      <w:r>
        <w:rPr>
          <w:color w:val="231F1F"/>
          <w:spacing w:val="-4"/>
          <w:w w:val="115"/>
        </w:rPr>
        <w:t>when </w:t>
      </w:r>
      <w:r>
        <w:rPr>
          <w:color w:val="231F1F"/>
          <w:w w:val="115"/>
        </w:rPr>
        <w:t>anti-arrhythmics that prolong the QT interval given</w:t>
      </w:r>
      <w:r>
        <w:rPr>
          <w:color w:val="231F1F"/>
          <w:spacing w:val="-23"/>
          <w:w w:val="115"/>
        </w:rPr>
        <w:t> </w:t>
      </w:r>
      <w:r>
        <w:rPr>
          <w:color w:val="231F1F"/>
          <w:w w:val="115"/>
        </w:rPr>
        <w:t>with</w:t>
      </w:r>
    </w:p>
    <w:p>
      <w:pPr>
        <w:spacing w:line="140" w:lineRule="exact" w:before="4"/>
        <w:ind w:left="208" w:right="0" w:firstLine="0"/>
        <w:jc w:val="left"/>
        <w:rPr>
          <w:sz w:val="12"/>
        </w:rPr>
      </w:pPr>
      <w:r>
        <w:rPr>
          <w:rFonts w:ascii="Arial"/>
          <w:color w:val="231F1F"/>
          <w:w w:val="355"/>
          <w:position w:val="1"/>
          <w:sz w:val="7"/>
        </w:rPr>
        <w:t>l </w:t>
      </w:r>
      <w:r>
        <w:rPr>
          <w:rFonts w:ascii="Calibri"/>
          <w:color w:val="008356"/>
          <w:w w:val="110"/>
          <w:sz w:val="11"/>
        </w:rPr>
        <w:t>ANTIPSYCHOTICS </w:t>
      </w:r>
      <w:r>
        <w:rPr>
          <w:color w:val="231F1F"/>
          <w:w w:val="145"/>
          <w:sz w:val="12"/>
        </w:rPr>
        <w:t>that </w:t>
      </w:r>
      <w:r>
        <w:rPr>
          <w:color w:val="231F1F"/>
          <w:w w:val="110"/>
          <w:sz w:val="12"/>
        </w:rPr>
        <w:t>prolong the QT interval</w:t>
      </w:r>
    </w:p>
    <w:p>
      <w:pPr>
        <w:pStyle w:val="BodyText"/>
        <w:ind w:hanging="100"/>
        <w:rPr>
          <w:rFonts w:ascii="Calibri"/>
          <w:sz w:val="11"/>
        </w:rPr>
      </w:pPr>
      <w:r>
        <w:rPr>
          <w:rFonts w:ascii="Arial"/>
          <w:color w:val="231F1F"/>
          <w:w w:val="355"/>
          <w:position w:val="1"/>
          <w:sz w:val="7"/>
        </w:rPr>
        <w:t>l </w:t>
      </w:r>
      <w:r>
        <w:rPr>
          <w:rFonts w:ascii="Calibri"/>
          <w:color w:val="231F1F"/>
          <w:w w:val="110"/>
        </w:rPr>
        <w:t>Beta-blockers: </w:t>
      </w:r>
      <w:r>
        <w:rPr>
          <w:color w:val="231F1F"/>
          <w:w w:val="110"/>
        </w:rPr>
        <w:t>increased myocardial depression when </w:t>
      </w:r>
      <w:r>
        <w:rPr>
          <w:color w:val="231F1F"/>
          <w:spacing w:val="-3"/>
          <w:w w:val="110"/>
        </w:rPr>
        <w:t>anti- </w:t>
      </w:r>
      <w:r>
        <w:rPr>
          <w:color w:val="231F1F"/>
          <w:w w:val="110"/>
        </w:rPr>
        <w:t>arrhythmics given with </w:t>
      </w:r>
      <w:r>
        <w:rPr>
          <w:rFonts w:ascii="Arial"/>
          <w:color w:val="231F1F"/>
          <w:w w:val="355"/>
          <w:position w:val="1"/>
          <w:sz w:val="7"/>
        </w:rPr>
        <w:t>l </w:t>
      </w:r>
      <w:r>
        <w:rPr>
          <w:rFonts w:ascii="Calibri"/>
          <w:color w:val="008356"/>
          <w:spacing w:val="4"/>
          <w:w w:val="110"/>
          <w:sz w:val="11"/>
        </w:rPr>
        <w:t>BETA-BLOCKERS</w:t>
      </w:r>
    </w:p>
    <w:p>
      <w:pPr>
        <w:pStyle w:val="BodyText"/>
        <w:spacing w:line="237" w:lineRule="auto"/>
        <w:ind w:right="32" w:hanging="100"/>
      </w:pPr>
      <w:r>
        <w:rPr>
          <w:rFonts w:ascii="Lucida Sans Unicode" w:hAnsi="Lucida Sans Unicode"/>
          <w:color w:val="A7A8AC"/>
          <w:w w:val="95"/>
          <w:sz w:val="10"/>
        </w:rPr>
        <w:t>▶ </w:t>
      </w:r>
      <w:r>
        <w:rPr>
          <w:rFonts w:ascii="Calibri" w:hAnsi="Calibri"/>
          <w:color w:val="231F1F"/>
          <w:w w:val="110"/>
        </w:rPr>
        <w:t>Caffeine citrate: </w:t>
      </w:r>
      <w:r>
        <w:rPr>
          <w:color w:val="231F1F"/>
          <w:w w:val="110"/>
        </w:rPr>
        <w:t>anti-arrhythmic effect of adenosine antagonised by </w:t>
      </w:r>
      <w:r>
        <w:rPr>
          <w:rFonts w:ascii="Calibri" w:hAnsi="Calibri"/>
          <w:color w:val="008356"/>
          <w:w w:val="110"/>
          <w:sz w:val="11"/>
        </w:rPr>
        <w:t>CAFFEINE CITRATE</w:t>
      </w:r>
      <w:r>
        <w:rPr>
          <w:rFonts w:ascii="Arial" w:hAnsi="Arial"/>
          <w:color w:val="231F1F"/>
          <w:w w:val="110"/>
        </w:rPr>
        <w:t>—</w:t>
      </w:r>
      <w:r>
        <w:rPr>
          <w:color w:val="231F1F"/>
          <w:w w:val="110"/>
        </w:rPr>
        <w:t>manufacturer of adenosine advises avoid caffeine citrate for at least 12 hours before adenosine</w:t>
      </w:r>
    </w:p>
    <w:p>
      <w:pPr>
        <w:pStyle w:val="BodyText"/>
        <w:ind w:right="120" w:hanging="100"/>
      </w:pPr>
      <w:r>
        <w:rPr>
          <w:rFonts w:ascii="Arial" w:hAnsi="Arial"/>
          <w:color w:val="231F1F"/>
          <w:w w:val="355"/>
          <w:position w:val="1"/>
          <w:sz w:val="7"/>
        </w:rPr>
        <w:t>l </w:t>
      </w:r>
      <w:r>
        <w:rPr>
          <w:rFonts w:ascii="Calibri" w:hAnsi="Calibri"/>
          <w:color w:val="231F1F"/>
          <w:w w:val="110"/>
        </w:rPr>
        <w:t>Dipyridamole: </w:t>
      </w:r>
      <w:r>
        <w:rPr>
          <w:color w:val="231F1F"/>
          <w:w w:val="110"/>
        </w:rPr>
        <w:t>effect of adenosine enhanced and extended by </w:t>
      </w:r>
      <w:r>
        <w:rPr>
          <w:rFonts w:ascii="Arial" w:hAnsi="Arial"/>
          <w:color w:val="231F1F"/>
          <w:w w:val="355"/>
          <w:position w:val="1"/>
          <w:sz w:val="7"/>
        </w:rPr>
        <w:t>l </w:t>
      </w:r>
      <w:r>
        <w:rPr>
          <w:rFonts w:ascii="Calibri" w:hAnsi="Calibri"/>
          <w:color w:val="008356"/>
          <w:w w:val="110"/>
          <w:sz w:val="11"/>
        </w:rPr>
        <w:t>DIPYRIDAMOLE </w:t>
      </w:r>
      <w:r>
        <w:rPr>
          <w:color w:val="231F1F"/>
          <w:w w:val="110"/>
        </w:rPr>
        <w:t>(important risk of toxicity)</w:t>
      </w:r>
      <w:r>
        <w:rPr>
          <w:rFonts w:ascii="Arial" w:hAnsi="Arial"/>
          <w:color w:val="231F1F"/>
          <w:w w:val="110"/>
        </w:rPr>
        <w:t>—</w:t>
      </w:r>
      <w:r>
        <w:rPr>
          <w:color w:val="231F1F"/>
          <w:w w:val="110"/>
        </w:rPr>
        <w:t>reduce dose of adenosine, see p. 87</w:t>
      </w:r>
    </w:p>
    <w:p>
      <w:pPr>
        <w:pStyle w:val="BodyText"/>
        <w:spacing w:line="150"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Nicotine: </w:t>
      </w:r>
      <w:r>
        <w:rPr>
          <w:color w:val="231F1F"/>
          <w:w w:val="105"/>
        </w:rPr>
        <w:t>effects of adenosine possibly enhanced by </w:t>
      </w:r>
      <w:r>
        <w:rPr>
          <w:rFonts w:ascii="Calibri" w:hAnsi="Calibri"/>
          <w:color w:val="008356"/>
          <w:w w:val="105"/>
          <w:sz w:val="11"/>
        </w:rPr>
        <w:t>NICOTINE</w:t>
      </w:r>
    </w:p>
    <w:p>
      <w:pPr>
        <w:pStyle w:val="BodyText"/>
        <w:spacing w:line="230" w:lineRule="auto"/>
        <w:ind w:hanging="100"/>
      </w:pPr>
      <w:r>
        <w:rPr>
          <w:rFonts w:ascii="Lucida Sans Unicode" w:hAnsi="Lucida Sans Unicode"/>
          <w:color w:val="A7A8AC"/>
          <w:w w:val="95"/>
          <w:sz w:val="10"/>
        </w:rPr>
        <w:t>▶ </w:t>
      </w:r>
      <w:r>
        <w:rPr>
          <w:rFonts w:ascii="Calibri" w:hAnsi="Calibri"/>
          <w:color w:val="231F1F"/>
          <w:w w:val="110"/>
        </w:rPr>
        <w:t>Theophylline: </w:t>
      </w:r>
      <w:r>
        <w:rPr>
          <w:color w:val="231F1F"/>
          <w:w w:val="110"/>
        </w:rPr>
        <w:t>anti-arrhythmic effect of adenosine antagonised by </w:t>
      </w:r>
      <w:r>
        <w:rPr>
          <w:rFonts w:ascii="Calibri" w:hAnsi="Calibri"/>
          <w:color w:val="008356"/>
          <w:w w:val="110"/>
          <w:sz w:val="11"/>
        </w:rPr>
        <w:t>THEOPHYLLINE</w:t>
      </w:r>
      <w:r>
        <w:rPr>
          <w:rFonts w:ascii="Arial" w:hAnsi="Arial"/>
          <w:color w:val="231F1F"/>
          <w:w w:val="110"/>
        </w:rPr>
        <w:t>—</w:t>
      </w:r>
      <w:r>
        <w:rPr>
          <w:color w:val="231F1F"/>
          <w:w w:val="110"/>
        </w:rPr>
        <w:t>manufacturer of adenosine advises avoid theophylline for 24 hours before adenosine</w:t>
      </w:r>
    </w:p>
    <w:p>
      <w:pPr>
        <w:pStyle w:val="BodyText"/>
        <w:spacing w:before="6"/>
        <w:ind w:left="108"/>
      </w:pPr>
      <w:r>
        <w:rPr>
          <w:rFonts w:ascii="Trebuchet MS"/>
          <w:color w:val="008356"/>
          <w:w w:val="110"/>
        </w:rPr>
        <w:t>Adrenaline (epinephrine) </w:t>
      </w:r>
      <w:r>
        <w:rPr>
          <w:i/>
          <w:color w:val="231F1F"/>
          <w:w w:val="110"/>
        </w:rPr>
        <w:t>see </w:t>
      </w:r>
      <w:r>
        <w:rPr>
          <w:color w:val="231F1F"/>
          <w:w w:val="110"/>
        </w:rPr>
        <w:t>Sympathomimetics</w:t>
      </w:r>
    </w:p>
    <w:p>
      <w:pPr>
        <w:pStyle w:val="BodyText"/>
        <w:spacing w:before="11"/>
        <w:ind w:left="108"/>
        <w:rPr>
          <w:rFonts w:ascii="Trebuchet MS"/>
        </w:rPr>
      </w:pPr>
      <w:r>
        <w:rPr>
          <w:rFonts w:ascii="Trebuchet MS"/>
          <w:color w:val="008356"/>
        </w:rPr>
        <w:t>Adrenergic Neurone Blockers</w:t>
      </w:r>
    </w:p>
    <w:p>
      <w:pPr>
        <w:pStyle w:val="BodyText"/>
        <w:spacing w:line="220" w:lineRule="auto" w:before="9"/>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effect when adrenergic neurone blockers given with </w:t>
      </w:r>
      <w:r>
        <w:rPr>
          <w:rFonts w:ascii="Calibri" w:hAnsi="Calibri"/>
          <w:color w:val="008356"/>
          <w:w w:val="110"/>
          <w:sz w:val="11"/>
        </w:rPr>
        <w:t>ALCOHOL</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adrenergic neurone blockers given with </w:t>
      </w:r>
      <w:r>
        <w:rPr>
          <w:rFonts w:ascii="Calibri" w:hAnsi="Calibri"/>
          <w:color w:val="008356"/>
          <w:w w:val="110"/>
          <w:sz w:val="11"/>
        </w:rPr>
        <w:t>ALPHA-BLOCKERS</w:t>
      </w:r>
    </w:p>
    <w:p>
      <w:pPr>
        <w:spacing w:line="247" w:lineRule="auto" w:before="1"/>
        <w:ind w:left="208" w:right="350" w:hanging="100"/>
        <w:jc w:val="left"/>
        <w:rPr>
          <w:rFonts w:ascii="Calibri"/>
          <w:sz w:val="11"/>
        </w:rPr>
      </w:pPr>
      <w:r>
        <w:rPr>
          <w:rFonts w:ascii="Arial"/>
          <w:color w:val="231F1F"/>
          <w:w w:val="355"/>
          <w:position w:val="1"/>
          <w:sz w:val="7"/>
        </w:rPr>
        <w:t>l</w:t>
      </w:r>
      <w:r>
        <w:rPr>
          <w:rFonts w:ascii="Arial"/>
          <w:color w:val="231F1F"/>
          <w:spacing w:val="-55"/>
          <w:w w:val="355"/>
          <w:position w:val="1"/>
          <w:sz w:val="7"/>
        </w:rPr>
        <w:t> </w:t>
      </w:r>
      <w:r>
        <w:rPr>
          <w:rFonts w:ascii="Calibri"/>
          <w:color w:val="231F1F"/>
          <w:w w:val="110"/>
          <w:sz w:val="12"/>
        </w:rPr>
        <w:t>Anaesthetics, General: </w:t>
      </w:r>
      <w:r>
        <w:rPr>
          <w:color w:val="231F1F"/>
          <w:w w:val="110"/>
          <w:sz w:val="12"/>
        </w:rPr>
        <w:t>enhanced hypotensive effect </w:t>
      </w:r>
      <w:r>
        <w:rPr>
          <w:color w:val="231F1F"/>
          <w:spacing w:val="-4"/>
          <w:w w:val="110"/>
          <w:sz w:val="12"/>
        </w:rPr>
        <w:t>when </w:t>
      </w:r>
      <w:r>
        <w:rPr>
          <w:color w:val="231F1F"/>
          <w:w w:val="110"/>
          <w:sz w:val="12"/>
        </w:rPr>
        <w:t>adrenergic neurone blockers given with </w:t>
      </w:r>
      <w:r>
        <w:rPr>
          <w:rFonts w:ascii="Arial"/>
          <w:color w:val="231F1F"/>
          <w:w w:val="355"/>
          <w:position w:val="1"/>
          <w:sz w:val="7"/>
        </w:rPr>
        <w:t>l </w:t>
      </w:r>
      <w:r>
        <w:rPr>
          <w:rFonts w:ascii="Calibri"/>
          <w:color w:val="008356"/>
          <w:spacing w:val="4"/>
          <w:w w:val="110"/>
          <w:sz w:val="11"/>
        </w:rPr>
        <w:t>GENERAL ANAESTHETICS</w:t>
      </w:r>
    </w:p>
    <w:p>
      <w:pPr>
        <w:pStyle w:val="BodyText"/>
        <w:spacing w:line="220" w:lineRule="auto" w:before="1"/>
        <w:ind w:hanging="100"/>
        <w:rPr>
          <w:rFonts w:ascii="Calibri" w:hAnsi="Calibri"/>
          <w:sz w:val="9"/>
        </w:rPr>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adrenergic neurone blockers antagonised by </w:t>
      </w:r>
      <w:r>
        <w:rPr>
          <w:rFonts w:ascii="Calibri" w:hAnsi="Calibri"/>
          <w:color w:val="008356"/>
          <w:w w:val="105"/>
          <w:sz w:val="11"/>
        </w:rPr>
        <w:t>NSAID</w:t>
      </w:r>
      <w:r>
        <w:rPr>
          <w:rFonts w:ascii="Calibri" w:hAnsi="Calibri"/>
          <w:color w:val="008356"/>
          <w:w w:val="105"/>
          <w:sz w:val="9"/>
        </w:rPr>
        <w:t>S</w:t>
      </w:r>
    </w:p>
    <w:p>
      <w:pPr>
        <w:spacing w:line="242" w:lineRule="auto" w:before="1"/>
        <w:ind w:left="208" w:right="30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adrenergic neurone blockers given with </w:t>
      </w:r>
      <w:r>
        <w:rPr>
          <w:rFonts w:ascii="Calibri" w:hAnsi="Calibri"/>
          <w:color w:val="008356"/>
          <w:w w:val="105"/>
          <w:sz w:val="11"/>
        </w:rPr>
        <w:t>ANGIOTENSIN-II RECEPTOR ANTAGONISTS</w:t>
      </w:r>
    </w:p>
    <w:p>
      <w:pPr>
        <w:pStyle w:val="BodyText"/>
        <w:spacing w:line="230" w:lineRule="auto"/>
        <w:ind w:right="124"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enhanced hypotensive effect when adrenergic neurone blockers given with </w:t>
      </w:r>
      <w:r>
        <w:rPr>
          <w:rFonts w:ascii="Calibri" w:hAnsi="Calibri"/>
          <w:color w:val="008356"/>
          <w:w w:val="110"/>
          <w:sz w:val="11"/>
        </w:rPr>
        <w:t>MAOI</w:t>
      </w:r>
      <w:r>
        <w:rPr>
          <w:rFonts w:ascii="Calibri" w:hAnsi="Calibri"/>
          <w:color w:val="008356"/>
          <w:w w:val="110"/>
          <w:sz w:val="9"/>
        </w:rPr>
        <w:t>S</w:t>
      </w:r>
      <w:r>
        <w:rPr>
          <w:color w:val="231F1F"/>
          <w:w w:val="110"/>
        </w:rPr>
        <w:t>; hypotensive effect of adrenergic neurone blockers antagonised by</w:t>
      </w:r>
    </w:p>
    <w:p>
      <w:pPr>
        <w:spacing w:line="133" w:lineRule="exact" w:before="12"/>
        <w:ind w:left="208" w:right="0" w:firstLine="0"/>
        <w:jc w:val="left"/>
        <w:rPr>
          <w:rFonts w:ascii="Calibri"/>
          <w:sz w:val="11"/>
        </w:rPr>
      </w:pPr>
      <w:r>
        <w:rPr>
          <w:rFonts w:ascii="Calibri"/>
          <w:color w:val="008356"/>
          <w:sz w:val="11"/>
        </w:rPr>
        <w:t>TRICYCLICS</w:t>
      </w:r>
    </w:p>
    <w:p>
      <w:pPr>
        <w:pStyle w:val="BodyText"/>
        <w:spacing w:line="230" w:lineRule="auto" w:before="3"/>
        <w:ind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hypotensive effect of adrenergic neurone blockers antagonised by </w:t>
      </w:r>
      <w:r>
        <w:rPr>
          <w:rFonts w:ascii="Calibri" w:hAnsi="Calibri"/>
          <w:color w:val="008356"/>
          <w:w w:val="110"/>
          <w:sz w:val="11"/>
        </w:rPr>
        <w:t>HALOPERIDOL</w:t>
      </w:r>
      <w:r>
        <w:rPr>
          <w:color w:val="231F1F"/>
          <w:w w:val="110"/>
        </w:rPr>
        <w:t>; hypotensive effect of adrenergic neurone blockers antagonised by higher doses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Adrenergic Neurone Blockers</w:t>
      </w:r>
    </w:p>
    <w:p>
      <w:pPr>
        <w:pStyle w:val="BodyText"/>
        <w:spacing w:line="146" w:lineRule="exact" w:before="5"/>
        <w:rPr>
          <w:rFonts w:ascii="Calibri"/>
        </w:rPr>
      </w:pPr>
      <w:r>
        <w:rPr/>
        <w:pict>
          <v:rect style="position:absolute;margin-left:398.891296pt;margin-top:-8.381495pt;width:20.522993pt;height:149.443pt;mso-position-horizontal-relative:page;mso-position-vertical-relative:paragraph;z-index:1216" filled="true" fillcolor="#bfdbcf" stroked="false">
            <v:fill type="solid"/>
            <w10:wrap type="none"/>
          </v:rect>
        </w:pict>
      </w:r>
      <w:r>
        <w:rPr/>
        <w:pict>
          <v:shape style="position:absolute;margin-left:399.725769pt;margin-top:-3.418106pt;width:10.4pt;height:78.850pt;mso-position-horizontal-relative:page;mso-position-vertical-relative:paragraph;z-index:124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Calibri"/>
          <w:color w:val="231F1F"/>
        </w:rPr>
        <w:t>Antipsychotics (continued)</w:t>
      </w:r>
    </w:p>
    <w:p>
      <w:pPr>
        <w:spacing w:line="244" w:lineRule="auto" w:before="0"/>
        <w:ind w:left="208" w:right="670" w:firstLine="0"/>
        <w:jc w:val="left"/>
        <w:rPr>
          <w:rFonts w:ascii="Calibri"/>
          <w:sz w:val="11"/>
        </w:rPr>
      </w:pPr>
      <w:r>
        <w:rPr>
          <w:rFonts w:ascii="Calibri"/>
          <w:color w:val="008356"/>
          <w:w w:val="110"/>
          <w:sz w:val="11"/>
        </w:rPr>
        <w:t>CHLORPROMAZINE</w:t>
      </w:r>
      <w:r>
        <w:rPr>
          <w:color w:val="231F1F"/>
          <w:w w:val="110"/>
          <w:sz w:val="12"/>
        </w:rPr>
        <w:t>; enhanced hypotensive effect when adrenergic neurone blockers given with </w:t>
      </w:r>
      <w:r>
        <w:rPr>
          <w:rFonts w:ascii="Calibri"/>
          <w:color w:val="008356"/>
          <w:w w:val="110"/>
          <w:sz w:val="11"/>
        </w:rPr>
        <w:t>PHENOTHIAZINES</w:t>
      </w:r>
    </w:p>
    <w:p>
      <w:pPr>
        <w:spacing w:line="237" w:lineRule="auto" w:before="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adrenergic neurone blockers given with </w:t>
      </w:r>
      <w:r>
        <w:rPr>
          <w:rFonts w:ascii="Calibri" w:hAnsi="Calibri"/>
          <w:color w:val="008356"/>
          <w:w w:val="105"/>
          <w:sz w:val="11"/>
        </w:rPr>
        <w:t>ANXIOLYTICS AND HYPNOTICS</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adrenergic neurone blockers given with </w:t>
      </w:r>
      <w:r>
        <w:rPr>
          <w:rFonts w:ascii="Calibri" w:hAnsi="Calibri"/>
          <w:color w:val="008356"/>
          <w:w w:val="110"/>
          <w:sz w:val="11"/>
        </w:rPr>
        <w:t>BETA-BLOCKERS</w:t>
      </w:r>
    </w:p>
    <w:p>
      <w:pPr>
        <w:spacing w:line="237" w:lineRule="auto" w:before="2"/>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adrenergic neurone blockers given with </w:t>
      </w:r>
      <w:r>
        <w:rPr>
          <w:rFonts w:ascii="Calibri" w:hAnsi="Calibri"/>
          <w:color w:val="008356"/>
          <w:w w:val="105"/>
          <w:sz w:val="11"/>
        </w:rPr>
        <w:t>CALCIUM-CHANNEL BLOCKERS</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adrenergic neurone blockers given with </w:t>
      </w:r>
      <w:r>
        <w:rPr>
          <w:rFonts w:ascii="Calibri" w:hAnsi="Calibri"/>
          <w:color w:val="008356"/>
          <w:w w:val="110"/>
          <w:sz w:val="11"/>
        </w:rPr>
        <w:t>CLONIDINE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adrenergic neurone blockers antagonised by </w:t>
      </w:r>
      <w:r>
        <w:rPr>
          <w:rFonts w:ascii="Calibri" w:hAnsi="Calibri"/>
          <w:color w:val="008356"/>
          <w:w w:val="105"/>
          <w:sz w:val="11"/>
        </w:rPr>
        <w:t>CORTICOSTEROIDS</w:t>
      </w:r>
    </w:p>
    <w:p>
      <w:pPr>
        <w:pStyle w:val="BodyText"/>
        <w:spacing w:line="220" w:lineRule="auto" w:before="9"/>
        <w:ind w:right="98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adrenergic neurone blockers given with</w:t>
      </w:r>
      <w:r>
        <w:rPr>
          <w:color w:val="231F1F"/>
          <w:spacing w:val="-10"/>
          <w:w w:val="110"/>
        </w:rPr>
        <w:t> </w:t>
      </w:r>
      <w:r>
        <w:rPr>
          <w:rFonts w:ascii="Calibri" w:hAnsi="Calibri"/>
          <w:color w:val="008356"/>
          <w:spacing w:val="4"/>
          <w:w w:val="110"/>
          <w:sz w:val="11"/>
        </w:rPr>
        <w:t>DIAZOXIDE</w:t>
      </w:r>
    </w:p>
    <w:p>
      <w:pPr>
        <w:pStyle w:val="BodyText"/>
        <w:spacing w:line="220" w:lineRule="auto" w:before="8"/>
        <w:ind w:right="102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adrenergic neurone blockers given with</w:t>
      </w:r>
      <w:r>
        <w:rPr>
          <w:color w:val="231F1F"/>
          <w:spacing w:val="-10"/>
          <w:w w:val="110"/>
        </w:rPr>
        <w:t> </w:t>
      </w:r>
      <w:r>
        <w:rPr>
          <w:rFonts w:ascii="Calibri" w:hAnsi="Calibri"/>
          <w:color w:val="008356"/>
          <w:spacing w:val="5"/>
          <w:w w:val="110"/>
          <w:sz w:val="11"/>
        </w:rPr>
        <w:t>DIURETICS</w:t>
      </w:r>
    </w:p>
    <w:p>
      <w:pPr>
        <w:spacing w:line="237" w:lineRule="auto" w:before="1"/>
        <w:ind w:left="208" w:right="72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enhanced hypotensive effect when adrenergic neurone blockers given with </w:t>
      </w:r>
      <w:r>
        <w:rPr>
          <w:rFonts w:ascii="Calibri" w:hAnsi="Calibri"/>
          <w:color w:val="008356"/>
          <w:w w:val="110"/>
          <w:sz w:val="11"/>
        </w:rPr>
        <w:t>CO-BENELDOPA</w:t>
      </w:r>
      <w:r>
        <w:rPr>
          <w:color w:val="231F1F"/>
          <w:w w:val="110"/>
          <w:sz w:val="12"/>
        </w:rPr>
        <w:t>, </w:t>
      </w:r>
      <w:r>
        <w:rPr>
          <w:rFonts w:ascii="Calibri" w:hAnsi="Calibri"/>
          <w:color w:val="008356"/>
          <w:w w:val="110"/>
          <w:sz w:val="11"/>
        </w:rPr>
        <w:t>CO-CARELDOPA </w:t>
      </w:r>
      <w:r>
        <w:rPr>
          <w:color w:val="231F1F"/>
          <w:w w:val="110"/>
          <w:sz w:val="12"/>
        </w:rPr>
        <w:t>or </w:t>
      </w:r>
      <w:r>
        <w:rPr>
          <w:rFonts w:ascii="Calibri" w:hAnsi="Calibri"/>
          <w:color w:val="008356"/>
          <w:w w:val="110"/>
          <w:sz w:val="11"/>
        </w:rPr>
        <w:t>LEVODOPA</w:t>
      </w:r>
    </w:p>
    <w:p>
      <w:pPr>
        <w:pStyle w:val="BodyText"/>
        <w:spacing w:line="220" w:lineRule="auto" w:before="7"/>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adrenergic neurone blockers given with </w:t>
      </w:r>
      <w:r>
        <w:rPr>
          <w:rFonts w:ascii="Calibri" w:hAnsi="Calibri"/>
          <w:color w:val="008356"/>
          <w:w w:val="110"/>
          <w:sz w:val="11"/>
        </w:rPr>
        <w:t>METHYLDOPA</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Moxisylyte: </w:t>
      </w:r>
      <w:r>
        <w:rPr>
          <w:color w:val="231F1F"/>
          <w:w w:val="110"/>
        </w:rPr>
        <w:t>enhanced hypotensive effect when adrenergic neurone blockers given with</w:t>
      </w:r>
      <w:r>
        <w:rPr>
          <w:color w:val="231F1F"/>
          <w:spacing w:val="-10"/>
          <w:w w:val="110"/>
        </w:rPr>
        <w:t> </w:t>
      </w:r>
      <w:r>
        <w:rPr>
          <w:rFonts w:ascii="Calibri" w:hAnsi="Calibri"/>
          <w:color w:val="008356"/>
          <w:spacing w:val="3"/>
          <w:w w:val="110"/>
          <w:sz w:val="11"/>
        </w:rPr>
        <w:t>MOXISYLYTE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adrenergic neurone blockers given with</w:t>
      </w:r>
      <w:r>
        <w:rPr>
          <w:color w:val="231F1F"/>
          <w:spacing w:val="2"/>
          <w:w w:val="105"/>
        </w:rPr>
        <w:t> </w:t>
      </w:r>
      <w:r>
        <w:rPr>
          <w:rFonts w:ascii="Calibri" w:hAnsi="Calibri"/>
          <w:color w:val="008356"/>
          <w:spacing w:val="4"/>
          <w:w w:val="105"/>
          <w:sz w:val="11"/>
        </w:rPr>
        <w:t>MOXONIDINE</w:t>
      </w:r>
    </w:p>
    <w:p>
      <w:pPr>
        <w:pStyle w:val="BodyText"/>
        <w:spacing w:line="237" w:lineRule="auto"/>
        <w:ind w:right="118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enhanced hypotensive effect when adrenergic neurone blockers given with </w:t>
      </w:r>
      <w:r>
        <w:rPr>
          <w:rFonts w:ascii="Calibri" w:hAnsi="Calibri"/>
          <w:color w:val="008356"/>
          <w:w w:val="105"/>
          <w:sz w:val="11"/>
        </w:rPr>
        <w:t>BACLOFEN </w:t>
      </w:r>
      <w:r>
        <w:rPr>
          <w:color w:val="231F1F"/>
          <w:w w:val="105"/>
        </w:rPr>
        <w:t>or </w:t>
      </w:r>
      <w:r>
        <w:rPr>
          <w:rFonts w:ascii="Calibri" w:hAnsi="Calibri"/>
          <w:color w:val="008356"/>
          <w:w w:val="105"/>
          <w:sz w:val="11"/>
        </w:rPr>
        <w:t>TIZANIDINE</w:t>
      </w:r>
    </w:p>
    <w:p>
      <w:pPr>
        <w:pStyle w:val="BodyText"/>
        <w:spacing w:line="220" w:lineRule="auto" w:before="7"/>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adrenergic neurone blockers given with </w:t>
      </w:r>
      <w:r>
        <w:rPr>
          <w:rFonts w:ascii="Calibri" w:hAnsi="Calibri"/>
          <w:color w:val="008356"/>
          <w:w w:val="110"/>
          <w:sz w:val="11"/>
        </w:rPr>
        <w:t>NITRATES</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adrenergic neurone blockers antagonised by </w:t>
      </w:r>
      <w:r>
        <w:rPr>
          <w:rFonts w:ascii="Calibri" w:hAnsi="Calibri"/>
          <w:color w:val="008356"/>
          <w:w w:val="105"/>
          <w:sz w:val="11"/>
        </w:rPr>
        <w:t>OESTROGENS</w:t>
      </w:r>
    </w:p>
    <w:p>
      <w:pPr>
        <w:pStyle w:val="BodyText"/>
        <w:spacing w:line="220" w:lineRule="auto" w:before="8"/>
        <w:ind w:right="80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Pizotifen: </w:t>
      </w:r>
      <w:r>
        <w:rPr>
          <w:color w:val="231F1F"/>
          <w:w w:val="105"/>
        </w:rPr>
        <w:t>hypotensive effect of adrenergic neurone blockers antagonised by </w:t>
      </w:r>
      <w:r>
        <w:rPr>
          <w:rFonts w:ascii="Calibri" w:hAnsi="Calibri"/>
          <w:color w:val="008356"/>
          <w:w w:val="105"/>
          <w:sz w:val="11"/>
        </w:rPr>
        <w:t>PIZOTIFEN</w:t>
      </w:r>
    </w:p>
    <w:p>
      <w:pPr>
        <w:pStyle w:val="BodyText"/>
        <w:spacing w:line="220" w:lineRule="auto" w:before="8"/>
        <w:ind w:right="72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adrenergic neurone blockers given with </w:t>
      </w:r>
      <w:r>
        <w:rPr>
          <w:rFonts w:ascii="Calibri" w:hAnsi="Calibri"/>
          <w:color w:val="008356"/>
          <w:w w:val="110"/>
          <w:sz w:val="11"/>
        </w:rPr>
        <w:t>ALPROSTADIL</w:t>
      </w:r>
    </w:p>
    <w:p>
      <w:pPr>
        <w:pStyle w:val="BodyText"/>
        <w:spacing w:line="242" w:lineRule="auto"/>
        <w:ind w:right="670" w:hanging="100"/>
      </w:pPr>
      <w:r>
        <w:rPr>
          <w:rFonts w:ascii="Arial"/>
          <w:color w:val="231F1F"/>
          <w:w w:val="355"/>
          <w:position w:val="1"/>
          <w:sz w:val="7"/>
        </w:rPr>
        <w:t>l </w:t>
      </w:r>
      <w:r>
        <w:rPr>
          <w:rFonts w:ascii="Calibri"/>
          <w:color w:val="231F1F"/>
          <w:w w:val="110"/>
        </w:rPr>
        <w:t>Sympathomimetics: </w:t>
      </w:r>
      <w:r>
        <w:rPr>
          <w:color w:val="231F1F"/>
          <w:w w:val="110"/>
        </w:rPr>
        <w:t>increased risk of hypertension when guanethidine given with </w:t>
      </w:r>
      <w:r>
        <w:rPr>
          <w:rFonts w:ascii="Arial"/>
          <w:color w:val="231F1F"/>
          <w:w w:val="355"/>
          <w:position w:val="1"/>
          <w:sz w:val="7"/>
        </w:rPr>
        <w:t>l </w:t>
      </w:r>
      <w:r>
        <w:rPr>
          <w:rFonts w:ascii="Calibri"/>
          <w:color w:val="008356"/>
          <w:w w:val="110"/>
          <w:sz w:val="11"/>
        </w:rPr>
        <w:t>ADRENALINE (EPINEPHRINE)</w:t>
      </w:r>
      <w:r>
        <w:rPr>
          <w:color w:val="231F1F"/>
          <w:w w:val="110"/>
        </w:rPr>
        <w:t>; hypotensive effect of guanethidine antagonised by</w:t>
      </w:r>
    </w:p>
    <w:p>
      <w:pPr>
        <w:spacing w:line="242" w:lineRule="auto" w:before="2"/>
        <w:ind w:left="208" w:right="674" w:firstLine="0"/>
        <w:jc w:val="left"/>
        <w:rPr>
          <w:sz w:val="12"/>
        </w:rPr>
      </w:pPr>
      <w:r>
        <w:rPr>
          <w:rFonts w:ascii="Arial"/>
          <w:color w:val="231F1F"/>
          <w:w w:val="295"/>
          <w:position w:val="1"/>
          <w:sz w:val="7"/>
        </w:rPr>
        <w:t>l</w:t>
      </w:r>
      <w:r>
        <w:rPr>
          <w:rFonts w:ascii="Arial"/>
          <w:color w:val="231F1F"/>
          <w:spacing w:val="-48"/>
          <w:w w:val="295"/>
          <w:position w:val="1"/>
          <w:sz w:val="7"/>
        </w:rPr>
        <w:t> </w:t>
      </w:r>
      <w:r>
        <w:rPr>
          <w:rFonts w:ascii="Calibri"/>
          <w:color w:val="008356"/>
          <w:spacing w:val="4"/>
          <w:w w:val="110"/>
          <w:sz w:val="11"/>
        </w:rPr>
        <w:t>DEXAMFETAMINE</w:t>
      </w:r>
      <w:r>
        <w:rPr>
          <w:rFonts w:ascii="Calibri"/>
          <w:color w:val="008356"/>
          <w:spacing w:val="-15"/>
          <w:w w:val="110"/>
          <w:sz w:val="11"/>
        </w:rPr>
        <w:t> </w:t>
      </w:r>
      <w:r>
        <w:rPr>
          <w:color w:val="231F1F"/>
          <w:w w:val="110"/>
          <w:sz w:val="12"/>
        </w:rPr>
        <w:t>and</w:t>
      </w:r>
      <w:r>
        <w:rPr>
          <w:color w:val="231F1F"/>
          <w:spacing w:val="-22"/>
          <w:w w:val="110"/>
          <w:sz w:val="12"/>
        </w:rPr>
        <w:t> </w:t>
      </w:r>
      <w:r>
        <w:rPr>
          <w:rFonts w:ascii="Arial"/>
          <w:color w:val="231F1F"/>
          <w:w w:val="295"/>
          <w:position w:val="1"/>
          <w:sz w:val="7"/>
        </w:rPr>
        <w:t>l</w:t>
      </w:r>
      <w:r>
        <w:rPr>
          <w:rFonts w:ascii="Arial"/>
          <w:color w:val="231F1F"/>
          <w:spacing w:val="-48"/>
          <w:w w:val="295"/>
          <w:position w:val="1"/>
          <w:sz w:val="7"/>
        </w:rPr>
        <w:t> </w:t>
      </w:r>
      <w:r>
        <w:rPr>
          <w:rFonts w:ascii="Calibri"/>
          <w:color w:val="008356"/>
          <w:spacing w:val="4"/>
          <w:w w:val="110"/>
          <w:sz w:val="11"/>
        </w:rPr>
        <w:t>LISDEXAMFETAMINE</w:t>
      </w:r>
      <w:r>
        <w:rPr>
          <w:color w:val="231F1F"/>
          <w:spacing w:val="4"/>
          <w:w w:val="110"/>
          <w:sz w:val="12"/>
        </w:rPr>
        <w:t>;</w:t>
      </w:r>
      <w:r>
        <w:rPr>
          <w:color w:val="231F1F"/>
          <w:spacing w:val="-22"/>
          <w:w w:val="110"/>
          <w:sz w:val="12"/>
        </w:rPr>
        <w:t> </w:t>
      </w:r>
      <w:r>
        <w:rPr>
          <w:color w:val="231F1F"/>
          <w:w w:val="110"/>
          <w:sz w:val="12"/>
        </w:rPr>
        <w:t>hypotensive</w:t>
      </w:r>
      <w:r>
        <w:rPr>
          <w:color w:val="231F1F"/>
          <w:spacing w:val="-23"/>
          <w:w w:val="110"/>
          <w:sz w:val="12"/>
        </w:rPr>
        <w:t> </w:t>
      </w:r>
      <w:r>
        <w:rPr>
          <w:color w:val="231F1F"/>
          <w:w w:val="110"/>
          <w:sz w:val="12"/>
        </w:rPr>
        <w:t>effect of adrenergic neurone blockers antagonised by </w:t>
      </w:r>
      <w:r>
        <w:rPr>
          <w:rFonts w:ascii="Arial"/>
          <w:color w:val="231F1F"/>
          <w:w w:val="355"/>
          <w:position w:val="1"/>
          <w:sz w:val="7"/>
        </w:rPr>
        <w:t>l </w:t>
      </w:r>
      <w:r>
        <w:rPr>
          <w:rFonts w:ascii="Calibri"/>
          <w:color w:val="008356"/>
          <w:spacing w:val="4"/>
          <w:w w:val="110"/>
          <w:sz w:val="11"/>
        </w:rPr>
        <w:t>EPHEDRINE</w:t>
      </w:r>
      <w:r>
        <w:rPr>
          <w:color w:val="231F1F"/>
          <w:spacing w:val="4"/>
          <w:w w:val="110"/>
          <w:sz w:val="12"/>
        </w:rPr>
        <w:t>,</w:t>
      </w:r>
      <w:r>
        <w:rPr>
          <w:color w:val="231F1F"/>
          <w:spacing w:val="4"/>
          <w:w w:val="110"/>
          <w:position w:val="1"/>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ISOMETHEPTENE</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METARAMINOL</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METHYLPHENIDATE</w:t>
      </w:r>
      <w:r>
        <w:rPr>
          <w:color w:val="231F1F"/>
          <w:spacing w:val="4"/>
          <w:w w:val="110"/>
          <w:sz w:val="12"/>
        </w:rPr>
        <w:t>,</w:t>
      </w:r>
    </w:p>
    <w:p>
      <w:pPr>
        <w:spacing w:before="2"/>
        <w:ind w:left="208" w:right="0" w:firstLine="0"/>
        <w:jc w:val="left"/>
        <w:rPr>
          <w:sz w:val="12"/>
        </w:rPr>
      </w:pPr>
      <w:r>
        <w:rPr>
          <w:rFonts w:ascii="Arial"/>
          <w:color w:val="231F1F"/>
          <w:w w:val="105"/>
          <w:position w:val="1"/>
          <w:sz w:val="7"/>
        </w:rPr>
        <w:t>l</w:t>
      </w:r>
      <w:r>
        <w:rPr>
          <w:rFonts w:ascii="Arial"/>
          <w:color w:val="231F1F"/>
          <w:spacing w:val="-3"/>
          <w:w w:val="105"/>
          <w:position w:val="1"/>
          <w:sz w:val="7"/>
        </w:rPr>
        <w:t> </w:t>
      </w:r>
      <w:r>
        <w:rPr>
          <w:rFonts w:ascii="Calibri"/>
          <w:color w:val="008356"/>
          <w:spacing w:val="4"/>
          <w:w w:val="105"/>
          <w:sz w:val="11"/>
        </w:rPr>
        <w:t>NORADRENALINE</w:t>
      </w:r>
      <w:r>
        <w:rPr>
          <w:rFonts w:ascii="Calibri"/>
          <w:color w:val="008356"/>
          <w:spacing w:val="-5"/>
          <w:w w:val="105"/>
          <w:sz w:val="11"/>
        </w:rPr>
        <w:t> </w:t>
      </w:r>
      <w:r>
        <w:rPr>
          <w:rFonts w:ascii="Calibri"/>
          <w:color w:val="008356"/>
          <w:spacing w:val="4"/>
          <w:w w:val="105"/>
          <w:sz w:val="11"/>
        </w:rPr>
        <w:t>(NOREPINEPHRINE)</w:t>
      </w:r>
      <w:r>
        <w:rPr>
          <w:color w:val="231F1F"/>
          <w:spacing w:val="4"/>
          <w:w w:val="105"/>
          <w:sz w:val="12"/>
        </w:rPr>
        <w:t>,</w:t>
      </w:r>
      <w:r>
        <w:rPr>
          <w:color w:val="231F1F"/>
          <w:spacing w:val="-11"/>
          <w:w w:val="105"/>
          <w:sz w:val="12"/>
        </w:rPr>
        <w:t> </w:t>
      </w:r>
      <w:r>
        <w:rPr>
          <w:rFonts w:ascii="Arial"/>
          <w:color w:val="231F1F"/>
          <w:w w:val="105"/>
          <w:position w:val="1"/>
          <w:sz w:val="7"/>
        </w:rPr>
        <w:t>l</w:t>
      </w:r>
      <w:r>
        <w:rPr>
          <w:rFonts w:ascii="Arial"/>
          <w:color w:val="231F1F"/>
          <w:spacing w:val="-5"/>
          <w:w w:val="105"/>
          <w:position w:val="1"/>
          <w:sz w:val="7"/>
        </w:rPr>
        <w:t> </w:t>
      </w:r>
      <w:r>
        <w:rPr>
          <w:rFonts w:ascii="Calibri"/>
          <w:color w:val="008356"/>
          <w:spacing w:val="4"/>
          <w:w w:val="105"/>
          <w:sz w:val="11"/>
        </w:rPr>
        <w:t>OXYMETAZOLINE</w:t>
      </w:r>
      <w:r>
        <w:rPr>
          <w:color w:val="231F1F"/>
          <w:spacing w:val="4"/>
          <w:w w:val="105"/>
          <w:sz w:val="12"/>
        </w:rPr>
        <w:t>,</w:t>
      </w:r>
    </w:p>
    <w:p>
      <w:pPr>
        <w:spacing w:line="141" w:lineRule="exact" w:before="2"/>
        <w:ind w:left="208" w:right="0" w:firstLine="0"/>
        <w:jc w:val="left"/>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PHENYLEPHRINE</w:t>
      </w:r>
      <w:r>
        <w:rPr>
          <w:color w:val="231F1F"/>
          <w:spacing w:val="4"/>
          <w:w w:val="115"/>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PSEUDOEPHEDRINE </w:t>
      </w:r>
      <w:r>
        <w:rPr>
          <w:color w:val="231F1F"/>
          <w:w w:val="115"/>
          <w:sz w:val="12"/>
        </w:rPr>
        <w:t>and </w:t>
      </w:r>
      <w:r>
        <w:rPr>
          <w:rFonts w:ascii="Arial"/>
          <w:color w:val="231F1F"/>
          <w:w w:val="355"/>
          <w:position w:val="1"/>
          <w:sz w:val="7"/>
        </w:rPr>
        <w:t>l </w:t>
      </w:r>
      <w:r>
        <w:rPr>
          <w:rFonts w:ascii="Calibri"/>
          <w:color w:val="008356"/>
          <w:spacing w:val="4"/>
          <w:w w:val="115"/>
          <w:sz w:val="11"/>
        </w:rPr>
        <w:t>XYLOMETAZOLINE</w:t>
      </w:r>
    </w:p>
    <w:p>
      <w:pPr>
        <w:spacing w:line="230" w:lineRule="auto" w:before="3"/>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adrenergic neurone blockers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10"/>
        <w:ind w:left="108"/>
      </w:pPr>
      <w:r>
        <w:rPr>
          <w:rFonts w:ascii="Trebuchet MS"/>
          <w:color w:val="008356"/>
          <w:w w:val="105"/>
        </w:rPr>
        <w:t>Adsorbents </w:t>
      </w:r>
      <w:r>
        <w:rPr>
          <w:i/>
          <w:color w:val="231F1F"/>
          <w:w w:val="105"/>
        </w:rPr>
        <w:t>see </w:t>
      </w:r>
      <w:r>
        <w:rPr>
          <w:color w:val="231F1F"/>
          <w:w w:val="105"/>
        </w:rPr>
        <w:t>Kaolin</w:t>
      </w:r>
    </w:p>
    <w:p>
      <w:pPr>
        <w:pStyle w:val="BodyText"/>
        <w:spacing w:line="139" w:lineRule="exact" w:before="10"/>
        <w:ind w:left="108"/>
        <w:rPr>
          <w:rFonts w:ascii="Trebuchet MS"/>
        </w:rPr>
      </w:pPr>
      <w:r>
        <w:rPr>
          <w:rFonts w:ascii="Trebuchet MS"/>
          <w:color w:val="008356"/>
        </w:rPr>
        <w:t>Afatinib</w:t>
      </w:r>
    </w:p>
    <w:p>
      <w:pPr>
        <w:pStyle w:val="BodyText"/>
        <w:spacing w:line="230" w:lineRule="auto" w:before="4"/>
        <w:ind w:right="761"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plasma concentration of afatinib possibly increased by </w:t>
      </w:r>
      <w:r>
        <w:rPr>
          <w:rFonts w:ascii="Calibri" w:hAnsi="Calibri"/>
          <w:color w:val="008356"/>
          <w:w w:val="110"/>
          <w:sz w:val="11"/>
        </w:rPr>
        <w:t>AMIODARONE</w:t>
      </w:r>
      <w:r>
        <w:rPr>
          <w:rFonts w:ascii="Arial" w:hAnsi="Arial"/>
          <w:color w:val="231F1F"/>
          <w:w w:val="110"/>
        </w:rPr>
        <w:t>—</w:t>
      </w:r>
      <w:r>
        <w:rPr>
          <w:color w:val="231F1F"/>
          <w:w w:val="110"/>
        </w:rPr>
        <w:t>manufacturer of afatinib advises separating administration of amiodarone by 6 to 12 hours</w:t>
      </w:r>
    </w:p>
    <w:p>
      <w:pPr>
        <w:pStyle w:val="BodyText"/>
        <w:spacing w:line="237" w:lineRule="auto" w:before="4"/>
        <w:ind w:right="67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afatinib possibly increased by </w:t>
      </w:r>
      <w:r>
        <w:rPr>
          <w:rFonts w:ascii="Calibri" w:hAnsi="Calibri"/>
          <w:color w:val="008356"/>
          <w:w w:val="110"/>
          <w:sz w:val="11"/>
        </w:rPr>
        <w:t>ERYTHROMYCIN</w:t>
      </w:r>
      <w:r>
        <w:rPr>
          <w:rFonts w:ascii="Arial" w:hAnsi="Arial"/>
          <w:color w:val="231F1F"/>
          <w:w w:val="110"/>
        </w:rPr>
        <w:t>—</w:t>
      </w:r>
      <w:r>
        <w:rPr>
          <w:color w:val="231F1F"/>
          <w:w w:val="110"/>
        </w:rPr>
        <w:t>manufacturer of afatinib advises separating administration of erythromycin by 6 to 12 hours; plasma concentration of afatinib reduced by </w:t>
      </w:r>
      <w:r>
        <w:rPr>
          <w:rFonts w:ascii="Calibri" w:hAnsi="Calibri"/>
          <w:color w:val="008356"/>
          <w:w w:val="110"/>
          <w:sz w:val="11"/>
        </w:rPr>
        <w:t>RIFAMPICIN</w:t>
      </w:r>
    </w:p>
    <w:p>
      <w:pPr>
        <w:pStyle w:val="BodyText"/>
        <w:spacing w:line="237" w:lineRule="auto"/>
        <w:ind w:right="688"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afatinib possibly </w:t>
      </w:r>
      <w:r>
        <w:rPr>
          <w:color w:val="231F1F"/>
          <w:w w:val="105"/>
        </w:rPr>
        <w:t>increased by </w:t>
      </w:r>
      <w:r>
        <w:rPr>
          <w:rFonts w:ascii="Calibri" w:hAnsi="Calibri"/>
          <w:color w:val="008356"/>
          <w:spacing w:val="4"/>
          <w:w w:val="105"/>
          <w:sz w:val="11"/>
        </w:rPr>
        <w:t>ITRACONAZOLE </w:t>
      </w:r>
      <w:r>
        <w:rPr>
          <w:color w:val="231F1F"/>
          <w:w w:val="105"/>
        </w:rPr>
        <w:t>and </w:t>
      </w:r>
      <w:r>
        <w:rPr>
          <w:rFonts w:ascii="Calibri" w:hAnsi="Calibri"/>
          <w:color w:val="008356"/>
          <w:spacing w:val="2"/>
          <w:w w:val="105"/>
          <w:sz w:val="11"/>
        </w:rPr>
        <w:t>KETOCONAZOLE</w:t>
      </w:r>
      <w:r>
        <w:rPr>
          <w:rFonts w:ascii="Arial" w:hAnsi="Arial"/>
          <w:color w:val="231F1F"/>
          <w:spacing w:val="2"/>
          <w:w w:val="105"/>
        </w:rPr>
        <w:t>—</w:t>
      </w:r>
      <w:r>
        <w:rPr>
          <w:color w:val="231F1F"/>
          <w:spacing w:val="2"/>
          <w:w w:val="105"/>
        </w:rPr>
        <w:t>manufacturer </w:t>
      </w:r>
      <w:r>
        <w:rPr>
          <w:color w:val="231F1F"/>
          <w:w w:val="110"/>
        </w:rPr>
        <w:t>of afatinib advises separating administration of itraconazole and ketoconazole by 6 to 12</w:t>
      </w:r>
      <w:r>
        <w:rPr>
          <w:color w:val="231F1F"/>
          <w:spacing w:val="-7"/>
          <w:w w:val="110"/>
        </w:rPr>
        <w:t> </w:t>
      </w:r>
      <w:r>
        <w:rPr>
          <w:color w:val="231F1F"/>
          <w:w w:val="110"/>
        </w:rPr>
        <w:t>hours</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670"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afatinib increased by </w:t>
      </w:r>
      <w:r>
        <w:rPr>
          <w:rFonts w:ascii="Calibri" w:hAnsi="Calibri"/>
          <w:color w:val="008356"/>
          <w:w w:val="110"/>
          <w:sz w:val="11"/>
        </w:rPr>
        <w:t>RITONAVIR</w:t>
      </w:r>
      <w:r>
        <w:rPr>
          <w:rFonts w:ascii="Arial" w:hAnsi="Arial"/>
          <w:color w:val="231F1F"/>
          <w:w w:val="110"/>
        </w:rPr>
        <w:t>—</w:t>
      </w:r>
      <w:r>
        <w:rPr>
          <w:color w:val="231F1F"/>
          <w:w w:val="110"/>
        </w:rPr>
        <w:t>manufacturer of afatinib advises separating administration of ritonavir by 6 to 12 hours; plasma concentration of afatinib possibly increased by </w:t>
      </w:r>
      <w:r>
        <w:rPr>
          <w:rFonts w:ascii="Calibri" w:hAnsi="Calibri"/>
          <w:color w:val="008356"/>
          <w:w w:val="110"/>
          <w:sz w:val="11"/>
        </w:rPr>
        <w:t>SAQUINAVIR</w:t>
      </w:r>
      <w:r>
        <w:rPr>
          <w:rFonts w:ascii="Arial" w:hAnsi="Arial"/>
          <w:color w:val="231F1F"/>
          <w:w w:val="110"/>
        </w:rPr>
        <w:t>— </w:t>
      </w:r>
      <w:r>
        <w:rPr>
          <w:color w:val="231F1F"/>
          <w:w w:val="110"/>
        </w:rPr>
        <w:t>manufacturer of afatinib advises separating administration of saquinavir by 6 to 12 hours</w:t>
      </w:r>
    </w:p>
    <w:p>
      <w:pPr>
        <w:pStyle w:val="BodyText"/>
        <w:spacing w:line="237" w:lineRule="auto" w:before="1"/>
        <w:ind w:right="762" w:hanging="100"/>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plasma concentration of afatinib possibly increased by </w:t>
      </w:r>
      <w:r>
        <w:rPr>
          <w:rFonts w:ascii="Calibri" w:hAnsi="Calibri"/>
          <w:color w:val="008356"/>
          <w:w w:val="110"/>
          <w:sz w:val="11"/>
        </w:rPr>
        <w:t>VERAPAMIL</w:t>
      </w:r>
      <w:r>
        <w:rPr>
          <w:rFonts w:ascii="Arial" w:hAnsi="Arial"/>
          <w:color w:val="231F1F"/>
          <w:w w:val="110"/>
        </w:rPr>
        <w:t>—</w:t>
      </w:r>
      <w:r>
        <w:rPr>
          <w:color w:val="231F1F"/>
          <w:w w:val="110"/>
        </w:rPr>
        <w:t>manufacturer of afatinib advises separating administration of verapamil by 6 to 12 hours</w:t>
      </w:r>
    </w:p>
    <w:p>
      <w:pPr>
        <w:spacing w:after="0" w:line="237" w:lineRule="auto"/>
        <w:sectPr>
          <w:pgSz w:w="8390" w:h="11910"/>
          <w:pgMar w:header="0" w:footer="0" w:top="460" w:bottom="0" w:left="480" w:right="0"/>
          <w:cols w:num="2" w:equalWidth="0">
            <w:col w:w="3592" w:space="84"/>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1264" filled="true" fillcolor="#bfdbcf" stroked="false">
            <v:fill type="solid"/>
            <w10:wrap type="none"/>
          </v:rect>
        </w:pict>
      </w:r>
      <w:r>
        <w:rPr/>
        <w:pict>
          <v:shape style="position:absolute;margin-left:7.751256pt;margin-top:35.804367pt;width:10.4pt;height:78.850pt;mso-position-horizontal-relative:page;mso-position-vertical-relative:page;z-index:128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Afatinib </w:t>
      </w:r>
      <w:r>
        <w:rPr>
          <w:rFonts w:ascii="Calibri"/>
          <w:color w:val="231F1F"/>
        </w:rPr>
        <w:t>(continued)</w:t>
      </w:r>
    </w:p>
    <w:p>
      <w:pPr>
        <w:pStyle w:val="BodyText"/>
        <w:spacing w:line="230" w:lineRule="auto" w:before="2"/>
        <w:ind w:left="286" w:right="121" w:hanging="100"/>
      </w:pPr>
      <w:r>
        <w:rPr>
          <w:rFonts w:ascii="Lucida Sans Unicode" w:hAnsi="Lucida Sans Unicode"/>
          <w:color w:val="A7A8AC"/>
          <w:w w:val="95"/>
          <w:sz w:val="10"/>
        </w:rPr>
        <w:t>▶ </w:t>
      </w:r>
      <w:r>
        <w:rPr>
          <w:rFonts w:ascii="Calibri" w:hAnsi="Calibri"/>
          <w:color w:val="231F1F"/>
          <w:w w:val="110"/>
        </w:rPr>
        <w:t>Ciclosporin: </w:t>
      </w:r>
      <w:r>
        <w:rPr>
          <w:color w:val="231F1F"/>
          <w:w w:val="110"/>
        </w:rPr>
        <w:t>plasma concentration of afatinib possibly increased</w:t>
      </w:r>
      <w:r>
        <w:rPr>
          <w:color w:val="231F1F"/>
          <w:spacing w:val="-6"/>
          <w:w w:val="110"/>
        </w:rPr>
        <w:t> </w:t>
      </w:r>
      <w:r>
        <w:rPr>
          <w:color w:val="231F1F"/>
          <w:w w:val="110"/>
        </w:rPr>
        <w:t>by</w:t>
      </w:r>
      <w:r>
        <w:rPr>
          <w:color w:val="231F1F"/>
          <w:spacing w:val="-6"/>
          <w:w w:val="110"/>
        </w:rPr>
        <w:t> </w:t>
      </w:r>
      <w:r>
        <w:rPr>
          <w:rFonts w:ascii="Calibri" w:hAnsi="Calibri"/>
          <w:color w:val="008356"/>
          <w:spacing w:val="2"/>
          <w:w w:val="110"/>
          <w:sz w:val="11"/>
        </w:rPr>
        <w:t>CICLOSPORIN</w:t>
      </w:r>
      <w:r>
        <w:rPr>
          <w:rFonts w:ascii="Arial" w:hAnsi="Arial"/>
          <w:color w:val="231F1F"/>
          <w:spacing w:val="2"/>
          <w:w w:val="110"/>
        </w:rPr>
        <w:t>—</w:t>
      </w:r>
      <w:r>
        <w:rPr>
          <w:color w:val="231F1F"/>
          <w:spacing w:val="2"/>
          <w:w w:val="110"/>
        </w:rPr>
        <w:t>manufacturer</w:t>
      </w:r>
      <w:r>
        <w:rPr>
          <w:color w:val="231F1F"/>
          <w:spacing w:val="-6"/>
          <w:w w:val="110"/>
        </w:rPr>
        <w:t> </w:t>
      </w:r>
      <w:r>
        <w:rPr>
          <w:color w:val="231F1F"/>
          <w:w w:val="110"/>
        </w:rPr>
        <w:t>of</w:t>
      </w:r>
      <w:r>
        <w:rPr>
          <w:color w:val="231F1F"/>
          <w:spacing w:val="-5"/>
          <w:w w:val="110"/>
        </w:rPr>
        <w:t> </w:t>
      </w:r>
      <w:r>
        <w:rPr>
          <w:color w:val="231F1F"/>
          <w:w w:val="110"/>
        </w:rPr>
        <w:t>afatinib</w:t>
      </w:r>
      <w:r>
        <w:rPr>
          <w:color w:val="231F1F"/>
          <w:spacing w:val="-6"/>
          <w:w w:val="110"/>
        </w:rPr>
        <w:t> </w:t>
      </w:r>
      <w:r>
        <w:rPr>
          <w:color w:val="231F1F"/>
          <w:w w:val="110"/>
        </w:rPr>
        <w:t>advises separating</w:t>
      </w:r>
      <w:r>
        <w:rPr>
          <w:color w:val="231F1F"/>
          <w:spacing w:val="5"/>
          <w:w w:val="110"/>
        </w:rPr>
        <w:t> </w:t>
      </w:r>
      <w:r>
        <w:rPr>
          <w:color w:val="231F1F"/>
          <w:w w:val="110"/>
        </w:rPr>
        <w:t>administration</w:t>
      </w:r>
      <w:r>
        <w:rPr>
          <w:color w:val="231F1F"/>
          <w:spacing w:val="7"/>
          <w:w w:val="110"/>
        </w:rPr>
        <w:t> </w:t>
      </w:r>
      <w:r>
        <w:rPr>
          <w:color w:val="231F1F"/>
          <w:w w:val="110"/>
        </w:rPr>
        <w:t>of</w:t>
      </w:r>
      <w:r>
        <w:rPr>
          <w:color w:val="231F1F"/>
          <w:spacing w:val="8"/>
          <w:w w:val="110"/>
        </w:rPr>
        <w:t> </w:t>
      </w:r>
      <w:r>
        <w:rPr>
          <w:color w:val="231F1F"/>
          <w:w w:val="110"/>
        </w:rPr>
        <w:t>ciclosporin</w:t>
      </w:r>
      <w:r>
        <w:rPr>
          <w:color w:val="231F1F"/>
          <w:spacing w:val="7"/>
          <w:w w:val="110"/>
        </w:rPr>
        <w:t> </w:t>
      </w:r>
      <w:r>
        <w:rPr>
          <w:color w:val="231F1F"/>
          <w:w w:val="110"/>
        </w:rPr>
        <w:t>by</w:t>
      </w:r>
      <w:r>
        <w:rPr>
          <w:color w:val="231F1F"/>
          <w:spacing w:val="6"/>
          <w:w w:val="110"/>
        </w:rPr>
        <w:t> </w:t>
      </w:r>
      <w:r>
        <w:rPr>
          <w:color w:val="231F1F"/>
          <w:w w:val="110"/>
        </w:rPr>
        <w:t>6</w:t>
      </w:r>
      <w:r>
        <w:rPr>
          <w:color w:val="231F1F"/>
          <w:spacing w:val="7"/>
          <w:w w:val="110"/>
        </w:rPr>
        <w:t> </w:t>
      </w:r>
      <w:r>
        <w:rPr>
          <w:color w:val="231F1F"/>
          <w:w w:val="110"/>
        </w:rPr>
        <w:t>to</w:t>
      </w:r>
      <w:r>
        <w:rPr>
          <w:color w:val="231F1F"/>
          <w:spacing w:val="6"/>
          <w:w w:val="110"/>
        </w:rPr>
        <w:t> </w:t>
      </w:r>
      <w:r>
        <w:rPr>
          <w:color w:val="231F1F"/>
          <w:w w:val="110"/>
        </w:rPr>
        <w:t>12</w:t>
      </w:r>
      <w:r>
        <w:rPr>
          <w:color w:val="231F1F"/>
          <w:spacing w:val="8"/>
          <w:w w:val="110"/>
        </w:rPr>
        <w:t> </w:t>
      </w:r>
      <w:r>
        <w:rPr>
          <w:color w:val="231F1F"/>
          <w:w w:val="110"/>
        </w:rPr>
        <w:t>hours</w:t>
      </w:r>
    </w:p>
    <w:p>
      <w:pPr>
        <w:pStyle w:val="BodyText"/>
        <w:spacing w:line="230" w:lineRule="auto" w:before="7"/>
        <w:ind w:left="286" w:right="146" w:hanging="100"/>
      </w:pPr>
      <w:r>
        <w:rPr>
          <w:rFonts w:ascii="Lucida Sans Unicode" w:hAnsi="Lucida Sans Unicode"/>
          <w:color w:val="A7A8AC"/>
          <w:w w:val="95"/>
          <w:sz w:val="10"/>
        </w:rPr>
        <w:t>▶ </w:t>
      </w:r>
      <w:r>
        <w:rPr>
          <w:rFonts w:ascii="Calibri" w:hAnsi="Calibri"/>
          <w:color w:val="231F1F"/>
          <w:w w:val="110"/>
        </w:rPr>
        <w:t>Tacrolimus: </w:t>
      </w:r>
      <w:r>
        <w:rPr>
          <w:color w:val="231F1F"/>
          <w:w w:val="110"/>
        </w:rPr>
        <w:t>plasma concentration of afatinib possibly increased by </w:t>
      </w:r>
      <w:r>
        <w:rPr>
          <w:rFonts w:ascii="Calibri" w:hAnsi="Calibri"/>
          <w:color w:val="008356"/>
          <w:w w:val="110"/>
          <w:sz w:val="11"/>
        </w:rPr>
        <w:t>TACROLIMUS</w:t>
      </w:r>
      <w:r>
        <w:rPr>
          <w:rFonts w:ascii="Arial" w:hAnsi="Arial"/>
          <w:color w:val="231F1F"/>
          <w:w w:val="110"/>
        </w:rPr>
        <w:t>—</w:t>
      </w:r>
      <w:r>
        <w:rPr>
          <w:color w:val="231F1F"/>
          <w:w w:val="110"/>
        </w:rPr>
        <w:t>manufacturer of afatinib advises separating</w:t>
      </w:r>
      <w:r>
        <w:rPr>
          <w:color w:val="231F1F"/>
          <w:spacing w:val="5"/>
          <w:w w:val="110"/>
        </w:rPr>
        <w:t> </w:t>
      </w:r>
      <w:r>
        <w:rPr>
          <w:color w:val="231F1F"/>
          <w:w w:val="110"/>
        </w:rPr>
        <w:t>administration</w:t>
      </w:r>
      <w:r>
        <w:rPr>
          <w:color w:val="231F1F"/>
          <w:spacing w:val="9"/>
          <w:w w:val="110"/>
        </w:rPr>
        <w:t> </w:t>
      </w:r>
      <w:r>
        <w:rPr>
          <w:color w:val="231F1F"/>
          <w:w w:val="110"/>
        </w:rPr>
        <w:t>of</w:t>
      </w:r>
      <w:r>
        <w:rPr>
          <w:color w:val="231F1F"/>
          <w:spacing w:val="9"/>
          <w:w w:val="110"/>
        </w:rPr>
        <w:t> </w:t>
      </w:r>
      <w:r>
        <w:rPr>
          <w:color w:val="231F1F"/>
          <w:w w:val="110"/>
        </w:rPr>
        <w:t>tacrolimus</w:t>
      </w:r>
      <w:r>
        <w:rPr>
          <w:color w:val="231F1F"/>
          <w:spacing w:val="6"/>
          <w:w w:val="110"/>
        </w:rPr>
        <w:t> </w:t>
      </w:r>
      <w:r>
        <w:rPr>
          <w:color w:val="231F1F"/>
          <w:w w:val="110"/>
        </w:rPr>
        <w:t>by</w:t>
      </w:r>
      <w:r>
        <w:rPr>
          <w:color w:val="231F1F"/>
          <w:spacing w:val="8"/>
          <w:w w:val="110"/>
        </w:rPr>
        <w:t> </w:t>
      </w:r>
      <w:r>
        <w:rPr>
          <w:color w:val="231F1F"/>
          <w:w w:val="110"/>
        </w:rPr>
        <w:t>6</w:t>
      </w:r>
      <w:r>
        <w:rPr>
          <w:color w:val="231F1F"/>
          <w:spacing w:val="7"/>
          <w:w w:val="110"/>
        </w:rPr>
        <w:t> </w:t>
      </w:r>
      <w:r>
        <w:rPr>
          <w:color w:val="231F1F"/>
          <w:w w:val="110"/>
        </w:rPr>
        <w:t>to</w:t>
      </w:r>
      <w:r>
        <w:rPr>
          <w:color w:val="231F1F"/>
          <w:spacing w:val="8"/>
          <w:w w:val="110"/>
        </w:rPr>
        <w:t> </w:t>
      </w:r>
      <w:r>
        <w:rPr>
          <w:color w:val="231F1F"/>
          <w:w w:val="110"/>
        </w:rPr>
        <w:t>12</w:t>
      </w:r>
      <w:r>
        <w:rPr>
          <w:color w:val="231F1F"/>
          <w:spacing w:val="8"/>
          <w:w w:val="110"/>
        </w:rPr>
        <w:t> </w:t>
      </w:r>
      <w:r>
        <w:rPr>
          <w:color w:val="231F1F"/>
          <w:w w:val="110"/>
        </w:rPr>
        <w:t>hours</w:t>
      </w:r>
    </w:p>
    <w:p>
      <w:pPr>
        <w:pStyle w:val="BodyText"/>
        <w:spacing w:line="139" w:lineRule="exact" w:before="13"/>
        <w:ind w:left="186"/>
        <w:rPr>
          <w:rFonts w:ascii="Trebuchet MS"/>
        </w:rPr>
      </w:pPr>
      <w:r>
        <w:rPr>
          <w:rFonts w:ascii="Trebuchet MS"/>
          <w:color w:val="008356"/>
        </w:rPr>
        <w:t>Agalsidase Alfa and Beta</w:t>
      </w:r>
    </w:p>
    <w:p>
      <w:pPr>
        <w:pStyle w:val="BodyText"/>
        <w:spacing w:line="232" w:lineRule="auto" w:before="3"/>
        <w:ind w:left="286" w:right="152" w:hanging="100"/>
        <w:jc w:val="both"/>
      </w:pPr>
      <w:r>
        <w:rPr>
          <w:rFonts w:ascii="Lucida Sans Unicode" w:hAnsi="Lucida Sans Unicode"/>
          <w:color w:val="A7A8AC"/>
          <w:w w:val="95"/>
          <w:sz w:val="10"/>
        </w:rPr>
        <w:t>▶</w:t>
      </w:r>
      <w:r>
        <w:rPr>
          <w:rFonts w:ascii="Lucida Sans Unicode" w:hAnsi="Lucida Sans Unicode"/>
          <w:color w:val="A7A8AC"/>
          <w:spacing w:val="14"/>
          <w:w w:val="95"/>
          <w:sz w:val="10"/>
        </w:rPr>
        <w:t> </w:t>
      </w:r>
      <w:r>
        <w:rPr>
          <w:rFonts w:ascii="Calibri" w:hAnsi="Calibri"/>
          <w:color w:val="231F1F"/>
          <w:w w:val="110"/>
        </w:rPr>
        <w:t>Anti-arrhythmics:</w:t>
      </w:r>
      <w:r>
        <w:rPr>
          <w:rFonts w:ascii="Calibri" w:hAnsi="Calibri"/>
          <w:color w:val="231F1F"/>
          <w:spacing w:val="-4"/>
          <w:w w:val="110"/>
        </w:rPr>
        <w:t> </w:t>
      </w:r>
      <w:r>
        <w:rPr>
          <w:color w:val="231F1F"/>
          <w:w w:val="110"/>
        </w:rPr>
        <w:t>effects</w:t>
      </w:r>
      <w:r>
        <w:rPr>
          <w:color w:val="231F1F"/>
          <w:spacing w:val="-8"/>
          <w:w w:val="110"/>
        </w:rPr>
        <w:t> </w:t>
      </w:r>
      <w:r>
        <w:rPr>
          <w:color w:val="231F1F"/>
          <w:w w:val="110"/>
        </w:rPr>
        <w:t>of</w:t>
      </w:r>
      <w:r>
        <w:rPr>
          <w:color w:val="231F1F"/>
          <w:spacing w:val="-6"/>
          <w:w w:val="110"/>
        </w:rPr>
        <w:t> </w:t>
      </w:r>
      <w:r>
        <w:rPr>
          <w:color w:val="231F1F"/>
          <w:w w:val="110"/>
        </w:rPr>
        <w:t>agalsidase</w:t>
      </w:r>
      <w:r>
        <w:rPr>
          <w:color w:val="231F1F"/>
          <w:spacing w:val="-9"/>
          <w:w w:val="110"/>
        </w:rPr>
        <w:t> </w:t>
      </w:r>
      <w:r>
        <w:rPr>
          <w:color w:val="231F1F"/>
          <w:w w:val="110"/>
        </w:rPr>
        <w:t>alfa</w:t>
      </w:r>
      <w:r>
        <w:rPr>
          <w:color w:val="231F1F"/>
          <w:spacing w:val="-8"/>
          <w:w w:val="110"/>
        </w:rPr>
        <w:t> </w:t>
      </w:r>
      <w:r>
        <w:rPr>
          <w:color w:val="231F1F"/>
          <w:w w:val="110"/>
        </w:rPr>
        <w:t>and</w:t>
      </w:r>
      <w:r>
        <w:rPr>
          <w:color w:val="231F1F"/>
          <w:spacing w:val="-7"/>
          <w:w w:val="110"/>
        </w:rPr>
        <w:t> </w:t>
      </w:r>
      <w:r>
        <w:rPr>
          <w:color w:val="231F1F"/>
          <w:w w:val="110"/>
        </w:rPr>
        <w:t>beta</w:t>
      </w:r>
      <w:r>
        <w:rPr>
          <w:color w:val="231F1F"/>
          <w:spacing w:val="-8"/>
          <w:w w:val="110"/>
        </w:rPr>
        <w:t> </w:t>
      </w:r>
      <w:r>
        <w:rPr>
          <w:color w:val="231F1F"/>
          <w:w w:val="110"/>
        </w:rPr>
        <w:t>possibly inhibited by </w:t>
      </w:r>
      <w:r>
        <w:rPr>
          <w:rFonts w:ascii="Calibri" w:hAnsi="Calibri"/>
          <w:color w:val="008356"/>
          <w:spacing w:val="4"/>
          <w:w w:val="110"/>
          <w:sz w:val="11"/>
        </w:rPr>
        <w:t>AMIODARONE </w:t>
      </w:r>
      <w:r>
        <w:rPr>
          <w:color w:val="231F1F"/>
          <w:w w:val="110"/>
        </w:rPr>
        <w:t>(manufacturers of agalsidase alfa and beta advise avoid concomitant</w:t>
      </w:r>
      <w:r>
        <w:rPr>
          <w:color w:val="231F1F"/>
          <w:spacing w:val="-1"/>
          <w:w w:val="110"/>
        </w:rPr>
        <w:t> </w:t>
      </w:r>
      <w:r>
        <w:rPr>
          <w:color w:val="231F1F"/>
          <w:w w:val="110"/>
        </w:rPr>
        <w:t>use)</w:t>
      </w:r>
    </w:p>
    <w:p>
      <w:pPr>
        <w:pStyle w:val="BodyText"/>
        <w:spacing w:line="230" w:lineRule="auto" w:before="5"/>
        <w:ind w:left="286"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effects of agalsidase alfa and beta possibly inhibited by </w:t>
      </w:r>
      <w:r>
        <w:rPr>
          <w:rFonts w:ascii="Calibri" w:hAnsi="Calibri"/>
          <w:color w:val="008356"/>
          <w:w w:val="110"/>
          <w:sz w:val="11"/>
        </w:rPr>
        <w:t>GENTAMICIN </w:t>
      </w:r>
      <w:r>
        <w:rPr>
          <w:color w:val="231F1F"/>
          <w:w w:val="110"/>
        </w:rPr>
        <w:t>(manufacturers of agalsidase alfa and beta advise avoid concomitant use)</w:t>
      </w:r>
    </w:p>
    <w:p>
      <w:pPr>
        <w:pStyle w:val="BodyText"/>
        <w:spacing w:line="237" w:lineRule="auto" w:before="4"/>
        <w:ind w:left="286" w:right="310" w:hanging="100"/>
      </w:pPr>
      <w:r>
        <w:rPr>
          <w:rFonts w:ascii="Lucida Sans Unicode" w:hAnsi="Lucida Sans Unicode"/>
          <w:color w:val="A7A8AC"/>
          <w:w w:val="95"/>
          <w:sz w:val="10"/>
        </w:rPr>
        <w:t>▶ </w:t>
      </w:r>
      <w:r>
        <w:rPr>
          <w:rFonts w:ascii="Calibri" w:hAnsi="Calibri"/>
          <w:color w:val="231F1F"/>
          <w:w w:val="110"/>
        </w:rPr>
        <w:t>Antimalarials: </w:t>
      </w:r>
      <w:r>
        <w:rPr>
          <w:color w:val="231F1F"/>
          <w:w w:val="110"/>
        </w:rPr>
        <w:t>effects of agalsidase alfa and beta possibly inhibited by </w:t>
      </w:r>
      <w:r>
        <w:rPr>
          <w:rFonts w:ascii="Calibri" w:hAnsi="Calibri"/>
          <w:color w:val="008356"/>
          <w:w w:val="110"/>
          <w:sz w:val="11"/>
        </w:rPr>
        <w:t>CHLOROQUINE </w:t>
      </w:r>
      <w:r>
        <w:rPr>
          <w:color w:val="231F1F"/>
          <w:w w:val="110"/>
        </w:rPr>
        <w:t>and </w:t>
      </w:r>
      <w:r>
        <w:rPr>
          <w:rFonts w:ascii="Calibri" w:hAnsi="Calibri"/>
          <w:color w:val="008356"/>
          <w:w w:val="110"/>
          <w:sz w:val="11"/>
        </w:rPr>
        <w:t>HYDROXYCHLOROQUINE </w:t>
      </w:r>
      <w:r>
        <w:rPr>
          <w:color w:val="231F1F"/>
          <w:w w:val="110"/>
        </w:rPr>
        <w:t>(manufacturers of agalsidase alfa and beta advise avoid concomitant use)</w:t>
      </w:r>
    </w:p>
    <w:p>
      <w:pPr>
        <w:pStyle w:val="BodyText"/>
        <w:spacing w:line="139" w:lineRule="exact" w:before="11"/>
        <w:ind w:left="186"/>
        <w:rPr>
          <w:rFonts w:ascii="Trebuchet MS"/>
        </w:rPr>
      </w:pPr>
      <w:r>
        <w:rPr>
          <w:rFonts w:ascii="Trebuchet MS"/>
          <w:color w:val="008356"/>
        </w:rPr>
        <w:t>Agomelatine</w:t>
      </w:r>
    </w:p>
    <w:p>
      <w:pPr>
        <w:pStyle w:val="BodyText"/>
        <w:ind w:left="286" w:right="254"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manufacturer of agomelatine advises </w:t>
      </w:r>
      <w:r>
        <w:rPr>
          <w:color w:val="231F1F"/>
          <w:spacing w:val="-4"/>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CIPROFLOXACIN</w:t>
      </w:r>
    </w:p>
    <w:p>
      <w:pPr>
        <w:pStyle w:val="BodyText"/>
        <w:spacing w:line="143" w:lineRule="exact"/>
        <w:ind w:left="186"/>
      </w:pPr>
      <w:r>
        <w:rPr>
          <w:rFonts w:ascii="Arial"/>
          <w:color w:val="231F1F"/>
          <w:w w:val="355"/>
          <w:position w:val="1"/>
          <w:sz w:val="7"/>
        </w:rPr>
        <w:t>l </w:t>
      </w:r>
      <w:r>
        <w:rPr>
          <w:rFonts w:ascii="Calibri"/>
          <w:color w:val="231F1F"/>
          <w:w w:val="110"/>
        </w:rPr>
        <w:t>Antidepressants: </w:t>
      </w:r>
      <w:r>
        <w:rPr>
          <w:color w:val="231F1F"/>
          <w:w w:val="110"/>
        </w:rPr>
        <w:t>metabolism of agomelatine inhibited by</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FLUVOXAMINE </w:t>
      </w:r>
      <w:r>
        <w:rPr>
          <w:color w:val="231F1F"/>
          <w:w w:val="110"/>
          <w:sz w:val="12"/>
        </w:rPr>
        <w:t>(increased plasma concentration)</w:t>
      </w:r>
    </w:p>
    <w:p>
      <w:pPr>
        <w:spacing w:line="247" w:lineRule="auto" w:before="0"/>
        <w:ind w:left="286" w:right="38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05"/>
          <w:position w:val="1"/>
          <w:sz w:val="7"/>
        </w:rPr>
        <w:t>l</w:t>
      </w:r>
      <w:r>
        <w:rPr>
          <w:rFonts w:ascii="Arial"/>
          <w:color w:val="231F1F"/>
          <w:spacing w:val="-50"/>
          <w:w w:val="30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WITH </w:t>
      </w:r>
      <w:r>
        <w:rPr>
          <w:rFonts w:ascii="Calibri"/>
          <w:color w:val="008356"/>
          <w:spacing w:val="5"/>
          <w:w w:val="110"/>
          <w:sz w:val="11"/>
        </w:rPr>
        <w:t>PIPERAQUINE</w:t>
      </w:r>
    </w:p>
    <w:p>
      <w:pPr>
        <w:pStyle w:val="BodyText"/>
        <w:spacing w:line="220" w:lineRule="auto" w:before="2"/>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before="8"/>
        <w:ind w:left="186"/>
        <w:rPr>
          <w:rFonts w:ascii="Trebuchet MS"/>
        </w:rPr>
      </w:pPr>
      <w:r>
        <w:rPr>
          <w:rFonts w:ascii="Trebuchet MS"/>
          <w:color w:val="008356"/>
        </w:rPr>
        <w:t>Albendazole</w:t>
      </w:r>
    </w:p>
    <w:p>
      <w:pPr>
        <w:pStyle w:val="BodyText"/>
        <w:spacing w:line="220" w:lineRule="auto" w:before="10"/>
        <w:ind w:left="286" w:right="18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Anthelmintics: </w:t>
      </w:r>
      <w:r>
        <w:rPr>
          <w:color w:val="231F1F"/>
          <w:w w:val="110"/>
        </w:rPr>
        <w:t>plasma concentration of both drugs possibly reduced when albendazole given with </w:t>
      </w:r>
      <w:r>
        <w:rPr>
          <w:rFonts w:ascii="Calibri" w:hAnsi="Calibri"/>
          <w:color w:val="008356"/>
          <w:w w:val="110"/>
          <w:sz w:val="11"/>
        </w:rPr>
        <w:t>LEVAMISOLE</w:t>
      </w:r>
    </w:p>
    <w:p>
      <w:pPr>
        <w:spacing w:before="0"/>
        <w:ind w:left="286" w:right="7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albendazole </w:t>
      </w:r>
      <w:r>
        <w:rPr>
          <w:color w:val="231F1F"/>
          <w:spacing w:val="-3"/>
          <w:w w:val="110"/>
          <w:sz w:val="12"/>
        </w:rPr>
        <w:t>reduced </w:t>
      </w:r>
      <w:r>
        <w:rPr>
          <w:color w:val="231F1F"/>
          <w:w w:val="110"/>
          <w:sz w:val="12"/>
        </w:rPr>
        <w:t>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PHENOBARBITAL</w:t>
      </w:r>
      <w:r>
        <w:rPr>
          <w:color w:val="231F1F"/>
          <w:spacing w:val="4"/>
          <w:w w:val="110"/>
          <w:sz w:val="12"/>
        </w:rPr>
        <w:t>,</w:t>
      </w:r>
    </w:p>
    <w:p>
      <w:pPr>
        <w:spacing w:line="244" w:lineRule="auto" w:before="0"/>
        <w:ind w:left="286" w:right="0" w:firstLine="0"/>
        <w:jc w:val="left"/>
        <w:rPr>
          <w:sz w:val="12"/>
        </w:rPr>
      </w:pPr>
      <w:r>
        <w:rPr>
          <w:rFonts w:ascii="Arial" w:hAnsi="Arial"/>
          <w:color w:val="231F1F"/>
          <w:w w:val="325"/>
          <w:position w:val="1"/>
          <w:sz w:val="7"/>
        </w:rPr>
        <w:t>l</w:t>
      </w:r>
      <w:r>
        <w:rPr>
          <w:rFonts w:ascii="Arial" w:hAnsi="Arial"/>
          <w:color w:val="231F1F"/>
          <w:spacing w:val="-54"/>
          <w:w w:val="325"/>
          <w:position w:val="1"/>
          <w:sz w:val="7"/>
        </w:rPr>
        <w:t> </w:t>
      </w:r>
      <w:r>
        <w:rPr>
          <w:rFonts w:ascii="Calibri" w:hAnsi="Calibri"/>
          <w:color w:val="008356"/>
          <w:spacing w:val="4"/>
          <w:w w:val="115"/>
          <w:sz w:val="11"/>
        </w:rPr>
        <w:t>PHENYTOIN</w:t>
      </w:r>
      <w:r>
        <w:rPr>
          <w:rFonts w:ascii="Calibri" w:hAnsi="Calibri"/>
          <w:color w:val="008356"/>
          <w:spacing w:val="-16"/>
          <w:w w:val="115"/>
          <w:sz w:val="11"/>
        </w:rPr>
        <w:t> </w:t>
      </w:r>
      <w:r>
        <w:rPr>
          <w:color w:val="231F1F"/>
          <w:w w:val="115"/>
          <w:sz w:val="12"/>
        </w:rPr>
        <w:t>and</w:t>
      </w:r>
      <w:r>
        <w:rPr>
          <w:color w:val="231F1F"/>
          <w:spacing w:val="-24"/>
          <w:w w:val="115"/>
          <w:sz w:val="12"/>
        </w:rPr>
        <w:t> </w:t>
      </w:r>
      <w:r>
        <w:rPr>
          <w:rFonts w:ascii="Arial" w:hAnsi="Arial"/>
          <w:color w:val="231F1F"/>
          <w:w w:val="325"/>
          <w:position w:val="1"/>
          <w:sz w:val="7"/>
        </w:rPr>
        <w:t>l</w:t>
      </w:r>
      <w:r>
        <w:rPr>
          <w:rFonts w:ascii="Arial" w:hAnsi="Arial"/>
          <w:color w:val="231F1F"/>
          <w:spacing w:val="-54"/>
          <w:w w:val="325"/>
          <w:position w:val="1"/>
          <w:sz w:val="7"/>
        </w:rPr>
        <w:t> </w:t>
      </w:r>
      <w:r>
        <w:rPr>
          <w:rFonts w:ascii="Calibri" w:hAnsi="Calibri"/>
          <w:color w:val="008356"/>
          <w:spacing w:val="2"/>
          <w:w w:val="115"/>
          <w:sz w:val="11"/>
        </w:rPr>
        <w:t>PRIMIDONE</w:t>
      </w:r>
      <w:r>
        <w:rPr>
          <w:rFonts w:ascii="Arial" w:hAnsi="Arial"/>
          <w:color w:val="231F1F"/>
          <w:spacing w:val="2"/>
          <w:w w:val="115"/>
          <w:sz w:val="12"/>
        </w:rPr>
        <w:t>—</w:t>
      </w:r>
      <w:r>
        <w:rPr>
          <w:color w:val="231F1F"/>
          <w:spacing w:val="2"/>
          <w:w w:val="115"/>
          <w:sz w:val="12"/>
        </w:rPr>
        <w:t>consider</w:t>
      </w:r>
      <w:r>
        <w:rPr>
          <w:color w:val="231F1F"/>
          <w:spacing w:val="-24"/>
          <w:w w:val="115"/>
          <w:sz w:val="12"/>
        </w:rPr>
        <w:t> </w:t>
      </w:r>
      <w:r>
        <w:rPr>
          <w:color w:val="231F1F"/>
          <w:w w:val="115"/>
          <w:sz w:val="12"/>
        </w:rPr>
        <w:t>increasing albendazole</w:t>
      </w:r>
      <w:r>
        <w:rPr>
          <w:color w:val="231F1F"/>
          <w:spacing w:val="-13"/>
          <w:w w:val="115"/>
          <w:sz w:val="12"/>
        </w:rPr>
        <w:t> </w:t>
      </w:r>
      <w:r>
        <w:rPr>
          <w:color w:val="231F1F"/>
          <w:w w:val="115"/>
          <w:sz w:val="12"/>
        </w:rPr>
        <w:t>dose</w:t>
      </w:r>
      <w:r>
        <w:rPr>
          <w:color w:val="231F1F"/>
          <w:spacing w:val="-11"/>
          <w:w w:val="115"/>
          <w:sz w:val="12"/>
        </w:rPr>
        <w:t> </w:t>
      </w:r>
      <w:r>
        <w:rPr>
          <w:color w:val="231F1F"/>
          <w:w w:val="115"/>
          <w:sz w:val="12"/>
        </w:rPr>
        <w:t>when</w:t>
      </w:r>
      <w:r>
        <w:rPr>
          <w:color w:val="231F1F"/>
          <w:spacing w:val="-13"/>
          <w:w w:val="115"/>
          <w:sz w:val="12"/>
        </w:rPr>
        <w:t> </w:t>
      </w:r>
      <w:r>
        <w:rPr>
          <w:color w:val="231F1F"/>
          <w:w w:val="115"/>
          <w:sz w:val="12"/>
        </w:rPr>
        <w:t>given</w:t>
      </w:r>
      <w:r>
        <w:rPr>
          <w:color w:val="231F1F"/>
          <w:spacing w:val="-11"/>
          <w:w w:val="115"/>
          <w:sz w:val="12"/>
        </w:rPr>
        <w:t> </w:t>
      </w:r>
      <w:r>
        <w:rPr>
          <w:color w:val="231F1F"/>
          <w:w w:val="115"/>
          <w:sz w:val="12"/>
        </w:rPr>
        <w:t>for</w:t>
      </w:r>
      <w:r>
        <w:rPr>
          <w:color w:val="231F1F"/>
          <w:spacing w:val="-12"/>
          <w:w w:val="115"/>
          <w:sz w:val="12"/>
        </w:rPr>
        <w:t> </w:t>
      </w:r>
      <w:r>
        <w:rPr>
          <w:color w:val="231F1F"/>
          <w:w w:val="115"/>
          <w:sz w:val="12"/>
        </w:rPr>
        <w:t>systemic</w:t>
      </w:r>
      <w:r>
        <w:rPr>
          <w:color w:val="231F1F"/>
          <w:spacing w:val="-12"/>
          <w:w w:val="115"/>
          <w:sz w:val="12"/>
        </w:rPr>
        <w:t> </w:t>
      </w:r>
      <w:r>
        <w:rPr>
          <w:color w:val="231F1F"/>
          <w:w w:val="115"/>
          <w:sz w:val="12"/>
        </w:rPr>
        <w:t>infections</w:t>
      </w:r>
    </w:p>
    <w:p>
      <w:pPr>
        <w:pStyle w:val="BodyText"/>
        <w:ind w:left="286" w:right="243" w:hanging="100"/>
      </w:pPr>
      <w:r>
        <w:rPr>
          <w:rFonts w:ascii="Arial" w:hAnsi="Arial"/>
          <w:color w:val="231F1F"/>
          <w:w w:val="355"/>
          <w:position w:val="1"/>
          <w:sz w:val="7"/>
        </w:rPr>
        <w:t>l </w:t>
      </w:r>
      <w:r>
        <w:rPr>
          <w:rFonts w:ascii="Calibri" w:hAnsi="Calibri"/>
          <w:color w:val="231F1F"/>
          <w:w w:val="115"/>
        </w:rPr>
        <w:t>Antivirals: </w:t>
      </w:r>
      <w:r>
        <w:rPr>
          <w:color w:val="231F1F"/>
          <w:w w:val="115"/>
        </w:rPr>
        <w:t>plasma concentration of active metabolite of albendazole</w:t>
      </w:r>
      <w:r>
        <w:rPr>
          <w:color w:val="231F1F"/>
          <w:spacing w:val="-25"/>
          <w:w w:val="115"/>
        </w:rPr>
        <w:t> </w:t>
      </w:r>
      <w:r>
        <w:rPr>
          <w:color w:val="231F1F"/>
          <w:w w:val="115"/>
        </w:rPr>
        <w:t>reduced</w:t>
      </w:r>
      <w:r>
        <w:rPr>
          <w:color w:val="231F1F"/>
          <w:spacing w:val="-24"/>
          <w:w w:val="115"/>
        </w:rPr>
        <w:t> </w:t>
      </w:r>
      <w:r>
        <w:rPr>
          <w:color w:val="231F1F"/>
          <w:w w:val="115"/>
        </w:rPr>
        <w:t>by</w:t>
      </w:r>
      <w:r>
        <w:rPr>
          <w:color w:val="231F1F"/>
          <w:spacing w:val="-24"/>
          <w:w w:val="115"/>
        </w:rPr>
        <w:t> </w:t>
      </w:r>
      <w:r>
        <w:rPr>
          <w:rFonts w:ascii="Arial" w:hAnsi="Arial"/>
          <w:color w:val="231F1F"/>
          <w:w w:val="170"/>
          <w:position w:val="1"/>
          <w:sz w:val="7"/>
        </w:rPr>
        <w:t>l</w:t>
      </w:r>
      <w:r>
        <w:rPr>
          <w:rFonts w:ascii="Arial" w:hAnsi="Arial"/>
          <w:color w:val="231F1F"/>
          <w:spacing w:val="-23"/>
          <w:w w:val="170"/>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consider</w:t>
      </w:r>
      <w:r>
        <w:rPr>
          <w:color w:val="231F1F"/>
          <w:spacing w:val="-24"/>
          <w:w w:val="115"/>
        </w:rPr>
        <w:t> </w:t>
      </w:r>
      <w:r>
        <w:rPr>
          <w:color w:val="231F1F"/>
          <w:w w:val="115"/>
        </w:rPr>
        <w:t>increasing albendazole</w:t>
      </w:r>
      <w:r>
        <w:rPr>
          <w:color w:val="231F1F"/>
          <w:spacing w:val="-7"/>
          <w:w w:val="115"/>
        </w:rPr>
        <w:t> </w:t>
      </w:r>
      <w:r>
        <w:rPr>
          <w:color w:val="231F1F"/>
          <w:w w:val="115"/>
        </w:rPr>
        <w:t>dose</w:t>
      </w:r>
      <w:r>
        <w:rPr>
          <w:color w:val="231F1F"/>
          <w:spacing w:val="-6"/>
          <w:w w:val="115"/>
        </w:rPr>
        <w:t> </w:t>
      </w:r>
      <w:r>
        <w:rPr>
          <w:color w:val="231F1F"/>
          <w:w w:val="115"/>
        </w:rPr>
        <w:t>when</w:t>
      </w:r>
      <w:r>
        <w:rPr>
          <w:color w:val="231F1F"/>
          <w:spacing w:val="-7"/>
          <w:w w:val="115"/>
        </w:rPr>
        <w:t> </w:t>
      </w:r>
      <w:r>
        <w:rPr>
          <w:color w:val="231F1F"/>
          <w:w w:val="115"/>
        </w:rPr>
        <w:t>given</w:t>
      </w:r>
      <w:r>
        <w:rPr>
          <w:color w:val="231F1F"/>
          <w:spacing w:val="-6"/>
          <w:w w:val="115"/>
        </w:rPr>
        <w:t> </w:t>
      </w:r>
      <w:r>
        <w:rPr>
          <w:color w:val="231F1F"/>
          <w:w w:val="115"/>
        </w:rPr>
        <w:t>for</w:t>
      </w:r>
      <w:r>
        <w:rPr>
          <w:color w:val="231F1F"/>
          <w:spacing w:val="-6"/>
          <w:w w:val="115"/>
        </w:rPr>
        <w:t> </w:t>
      </w:r>
      <w:r>
        <w:rPr>
          <w:color w:val="231F1F"/>
          <w:w w:val="115"/>
        </w:rPr>
        <w:t>systemic</w:t>
      </w:r>
      <w:r>
        <w:rPr>
          <w:color w:val="231F1F"/>
          <w:spacing w:val="-6"/>
          <w:w w:val="115"/>
        </w:rPr>
        <w:t> </w:t>
      </w:r>
      <w:r>
        <w:rPr>
          <w:color w:val="231F1F"/>
          <w:w w:val="115"/>
        </w:rPr>
        <w:t>infections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active metabolite of albendazole increased by </w:t>
      </w:r>
      <w:r>
        <w:rPr>
          <w:rFonts w:ascii="Calibri" w:hAnsi="Calibri"/>
          <w:color w:val="008356"/>
          <w:w w:val="105"/>
          <w:sz w:val="11"/>
        </w:rPr>
        <w:t>DEXAMETHASONE</w:t>
      </w:r>
    </w:p>
    <w:p>
      <w:pPr>
        <w:pStyle w:val="BodyText"/>
        <w:spacing w:line="220" w:lineRule="auto" w:before="9"/>
        <w:ind w:left="286" w:right="6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active metabolite of albendazole increased by </w:t>
      </w:r>
      <w:r>
        <w:rPr>
          <w:rFonts w:ascii="Calibri" w:hAnsi="Calibri"/>
          <w:color w:val="008356"/>
          <w:w w:val="105"/>
          <w:sz w:val="11"/>
        </w:rPr>
        <w:t>GRAPEFRUIT JUICE</w:t>
      </w:r>
    </w:p>
    <w:p>
      <w:pPr>
        <w:pStyle w:val="BodyText"/>
        <w:spacing w:line="220" w:lineRule="auto" w:before="8"/>
        <w:ind w:left="286" w:right="8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effects of albendazole possibly enhanced by</w:t>
      </w:r>
      <w:r>
        <w:rPr>
          <w:color w:val="231F1F"/>
          <w:spacing w:val="-1"/>
          <w:w w:val="105"/>
        </w:rPr>
        <w:t> </w:t>
      </w:r>
      <w:r>
        <w:rPr>
          <w:rFonts w:ascii="Calibri" w:hAnsi="Calibri"/>
          <w:color w:val="008356"/>
          <w:spacing w:val="5"/>
          <w:w w:val="105"/>
          <w:sz w:val="11"/>
        </w:rPr>
        <w:t>CIMETIDINE</w:t>
      </w:r>
    </w:p>
    <w:p>
      <w:pPr>
        <w:pStyle w:val="BodyText"/>
        <w:spacing w:before="9"/>
        <w:ind w:left="186"/>
        <w:rPr>
          <w:rFonts w:ascii="Trebuchet MS"/>
        </w:rPr>
      </w:pPr>
      <w:r>
        <w:rPr>
          <w:rFonts w:ascii="Trebuchet MS"/>
          <w:color w:val="008356"/>
        </w:rPr>
        <w:t>Alcohol</w:t>
      </w:r>
    </w:p>
    <w:p>
      <w:pPr>
        <w:pStyle w:val="BodyText"/>
        <w:spacing w:line="220" w:lineRule="auto" w:before="10"/>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alcohol given with </w:t>
      </w:r>
      <w:r>
        <w:rPr>
          <w:rFonts w:ascii="Calibri" w:hAnsi="Calibri"/>
          <w:color w:val="008356"/>
          <w:w w:val="105"/>
          <w:sz w:val="11"/>
        </w:rPr>
        <w:t>ACE INHIBITORS</w:t>
      </w:r>
    </w:p>
    <w:p>
      <w:pPr>
        <w:spacing w:line="220" w:lineRule="auto" w:before="8"/>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alcohol given with </w:t>
      </w:r>
      <w:r>
        <w:rPr>
          <w:rFonts w:ascii="Calibri" w:hAnsi="Calibri"/>
          <w:color w:val="008356"/>
          <w:w w:val="105"/>
          <w:sz w:val="11"/>
        </w:rPr>
        <w:t>ADRENERGIC NEURONE BLOCKERS</w:t>
      </w:r>
    </w:p>
    <w:p>
      <w:pPr>
        <w:pStyle w:val="BodyText"/>
        <w:spacing w:line="230" w:lineRule="auto" w:before="5"/>
        <w:ind w:left="286" w:right="11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increased sedative effect when alcohol given with </w:t>
      </w:r>
      <w:r>
        <w:rPr>
          <w:rFonts w:ascii="Calibri" w:hAnsi="Calibri"/>
          <w:color w:val="008356"/>
          <w:w w:val="110"/>
          <w:sz w:val="11"/>
        </w:rPr>
        <w:t>INDORAMIN</w:t>
      </w:r>
      <w:r>
        <w:rPr>
          <w:color w:val="231F1F"/>
          <w:w w:val="110"/>
        </w:rPr>
        <w:t>; enhanced hypotensive effect when alcohol given with </w:t>
      </w:r>
      <w:r>
        <w:rPr>
          <w:rFonts w:ascii="Calibri" w:hAnsi="Calibri"/>
          <w:color w:val="008356"/>
          <w:w w:val="110"/>
          <w:sz w:val="11"/>
        </w:rPr>
        <w:t>ALPHA-BLOCKERS</w:t>
      </w:r>
    </w:p>
    <w:p>
      <w:pPr>
        <w:pStyle w:val="BodyText"/>
        <w:spacing w:line="220" w:lineRule="auto" w:before="7"/>
        <w:ind w:left="286" w:right="11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enhanced hypotensive and sedative effects when alcohol given with </w:t>
      </w:r>
      <w:r>
        <w:rPr>
          <w:rFonts w:ascii="Calibri" w:hAnsi="Calibri"/>
          <w:color w:val="008356"/>
          <w:w w:val="110"/>
          <w:sz w:val="11"/>
        </w:rPr>
        <w:t>OPIOID ANALGESICS</w:t>
      </w:r>
    </w:p>
    <w:p>
      <w:pPr>
        <w:spacing w:line="237" w:lineRule="auto" w:before="2"/>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alcohol given with </w:t>
      </w:r>
      <w:r>
        <w:rPr>
          <w:rFonts w:ascii="Calibri" w:hAnsi="Calibri"/>
          <w:color w:val="008356"/>
          <w:w w:val="105"/>
          <w:sz w:val="11"/>
        </w:rPr>
        <w:t>ANGIOTENSIN-II RECEPTOR ANTAGONISTS</w:t>
      </w:r>
    </w:p>
    <w:p>
      <w:pPr>
        <w:pStyle w:val="BodyText"/>
        <w:spacing w:line="220" w:lineRule="auto" w:before="5"/>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Anthelmintics: </w:t>
      </w:r>
      <w:r>
        <w:rPr>
          <w:color w:val="231F1F"/>
          <w:w w:val="105"/>
        </w:rPr>
        <w:t>possibility of disulfiram-like reaction when alcohol given with </w:t>
      </w:r>
      <w:r>
        <w:rPr>
          <w:rFonts w:ascii="Calibri" w:hAnsi="Calibri"/>
          <w:color w:val="008356"/>
          <w:w w:val="105"/>
          <w:sz w:val="11"/>
        </w:rPr>
        <w:t>LEVAMISOLE</w:t>
      </w:r>
    </w:p>
    <w:p>
      <w:pPr>
        <w:pStyle w:val="BodyText"/>
        <w:spacing w:line="242" w:lineRule="auto" w:before="1"/>
        <w:ind w:left="286" w:right="21"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disulfiram-like reaction when alcohol given with </w:t>
      </w:r>
      <w:r>
        <w:rPr>
          <w:rFonts w:ascii="Calibri"/>
          <w:color w:val="008356"/>
          <w:spacing w:val="4"/>
          <w:w w:val="110"/>
          <w:sz w:val="11"/>
        </w:rPr>
        <w:t>METRONIDAZOLE</w:t>
      </w:r>
      <w:r>
        <w:rPr>
          <w:color w:val="231F1F"/>
          <w:spacing w:val="4"/>
          <w:w w:val="110"/>
        </w:rPr>
        <w:t>; </w:t>
      </w:r>
      <w:r>
        <w:rPr>
          <w:color w:val="231F1F"/>
          <w:w w:val="110"/>
        </w:rPr>
        <w:t>possibility of disulfiram-like reaction when alcohol given with </w:t>
      </w:r>
      <w:r>
        <w:rPr>
          <w:rFonts w:ascii="Calibri"/>
          <w:color w:val="008356"/>
          <w:spacing w:val="4"/>
          <w:w w:val="110"/>
          <w:sz w:val="11"/>
        </w:rPr>
        <w:t>TINIDAZOLE</w:t>
      </w:r>
      <w:r>
        <w:rPr>
          <w:color w:val="231F1F"/>
          <w:spacing w:val="4"/>
          <w:w w:val="110"/>
        </w:rPr>
        <w:t>; </w:t>
      </w:r>
      <w:r>
        <w:rPr>
          <w:color w:val="231F1F"/>
          <w:w w:val="110"/>
        </w:rPr>
        <w:t>increased risk of convulsions when alcohol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CYCLOSERINE</w:t>
      </w:r>
    </w:p>
    <w:p>
      <w:pPr>
        <w:pStyle w:val="BodyText"/>
        <w:spacing w:line="141" w:lineRule="exact"/>
        <w:ind w:left="186"/>
      </w:pPr>
      <w:r>
        <w:rPr>
          <w:rFonts w:ascii="Arial"/>
          <w:color w:val="231F1F"/>
          <w:w w:val="355"/>
          <w:position w:val="1"/>
          <w:sz w:val="7"/>
        </w:rPr>
        <w:t>l </w:t>
      </w:r>
      <w:r>
        <w:rPr>
          <w:rFonts w:ascii="Calibri"/>
          <w:color w:val="231F1F"/>
          <w:w w:val="110"/>
        </w:rPr>
        <w:t>Anticoagulants: </w:t>
      </w:r>
      <w:r>
        <w:rPr>
          <w:color w:val="231F1F"/>
          <w:w w:val="110"/>
        </w:rPr>
        <w:t>major changes in consumption of alcohol may</w:t>
      </w:r>
    </w:p>
    <w:p>
      <w:pPr>
        <w:spacing w:before="0"/>
        <w:ind w:left="286" w:right="0" w:firstLine="0"/>
        <w:jc w:val="left"/>
        <w:rPr>
          <w:sz w:val="12"/>
        </w:rPr>
      </w:pPr>
      <w:r>
        <w:rPr>
          <w:color w:val="231F1F"/>
          <w:w w:val="110"/>
          <w:sz w:val="12"/>
        </w:rPr>
        <w:t>affect anticoagulant control with </w:t>
      </w:r>
      <w:r>
        <w:rPr>
          <w:rFonts w:ascii="Arial"/>
          <w:color w:val="231F1F"/>
          <w:w w:val="355"/>
          <w:position w:val="1"/>
          <w:sz w:val="7"/>
        </w:rPr>
        <w:t>l </w:t>
      </w:r>
      <w:r>
        <w:rPr>
          <w:rFonts w:ascii="Calibri"/>
          <w:color w:val="008356"/>
          <w:w w:val="110"/>
          <w:sz w:val="11"/>
        </w:rPr>
        <w:t>COUMARINS </w:t>
      </w:r>
      <w:r>
        <w:rPr>
          <w:color w:val="231F1F"/>
          <w:w w:val="110"/>
          <w:sz w:val="12"/>
        </w:rPr>
        <w:t>or</w:t>
      </w:r>
    </w:p>
    <w:p>
      <w:pPr>
        <w:spacing w:line="133" w:lineRule="exact" w:before="8"/>
        <w:ind w:left="286" w:right="0" w:firstLine="0"/>
        <w:jc w:val="left"/>
        <w:rPr>
          <w:rFonts w:ascii="Calibri"/>
          <w:sz w:val="11"/>
        </w:rPr>
      </w:pPr>
      <w:r>
        <w:rPr>
          <w:rFonts w:ascii="Arial"/>
          <w:color w:val="231F1F"/>
          <w:w w:val="355"/>
          <w:position w:val="1"/>
          <w:sz w:val="7"/>
        </w:rPr>
        <w:t>l </w:t>
      </w:r>
      <w:r>
        <w:rPr>
          <w:rFonts w:ascii="Calibri"/>
          <w:color w:val="008356"/>
          <w:w w:val="115"/>
          <w:sz w:val="11"/>
        </w:rPr>
        <w:t>PHENINDIONE</w:t>
      </w:r>
    </w:p>
    <w:p>
      <w:pPr>
        <w:pStyle w:val="BodyText"/>
        <w:spacing w:line="244" w:lineRule="auto"/>
        <w:ind w:left="286" w:right="26"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some beverages containing alcohol and </w:t>
      </w:r>
      <w:r>
        <w:rPr>
          <w:color w:val="231F1F"/>
          <w:spacing w:val="-4"/>
          <w:w w:val="110"/>
        </w:rPr>
        <w:t>some </w:t>
      </w:r>
      <w:r>
        <w:rPr>
          <w:color w:val="231F1F"/>
          <w:w w:val="110"/>
        </w:rPr>
        <w:t>dealcoholised beverages contain tyramine which  interacts with </w:t>
      </w:r>
      <w:r>
        <w:rPr>
          <w:rFonts w:ascii="Arial" w:hAnsi="Arial"/>
          <w:color w:val="231F1F"/>
          <w:w w:val="355"/>
          <w:position w:val="1"/>
          <w:sz w:val="7"/>
        </w:rPr>
        <w:t>l </w:t>
      </w:r>
      <w:r>
        <w:rPr>
          <w:rFonts w:ascii="Calibri" w:hAnsi="Calibri"/>
          <w:color w:val="008356"/>
          <w:spacing w:val="4"/>
          <w:w w:val="110"/>
          <w:sz w:val="11"/>
        </w:rPr>
        <w:t>MAOIS </w:t>
      </w:r>
      <w:r>
        <w:rPr>
          <w:color w:val="231F1F"/>
          <w:w w:val="110"/>
        </w:rPr>
        <w:t>(hypertensive crisis)</w:t>
      </w:r>
      <w:r>
        <w:rPr>
          <w:rFonts w:ascii="Arial" w:hAnsi="Arial"/>
          <w:color w:val="231F1F"/>
          <w:w w:val="110"/>
        </w:rPr>
        <w:t>—</w:t>
      </w:r>
      <w:r>
        <w:rPr>
          <w:color w:val="231F1F"/>
          <w:w w:val="110"/>
        </w:rPr>
        <w:t>if no tyramine, enhanced hypotensive effect; sedative effects possibly increased when alcohol given with </w:t>
      </w:r>
      <w:r>
        <w:rPr>
          <w:rFonts w:ascii="Calibri" w:hAnsi="Calibri"/>
          <w:color w:val="008356"/>
          <w:spacing w:val="4"/>
          <w:w w:val="110"/>
          <w:sz w:val="11"/>
        </w:rPr>
        <w:t>SSRI</w:t>
      </w:r>
      <w:r>
        <w:rPr>
          <w:rFonts w:ascii="Calibri" w:hAnsi="Calibri"/>
          <w:color w:val="008356"/>
          <w:spacing w:val="4"/>
          <w:w w:val="110"/>
          <w:sz w:val="9"/>
        </w:rPr>
        <w:t>S</w:t>
      </w:r>
      <w:r>
        <w:rPr>
          <w:color w:val="231F1F"/>
          <w:spacing w:val="4"/>
          <w:w w:val="110"/>
        </w:rPr>
        <w:t>; </w:t>
      </w:r>
      <w:r>
        <w:rPr>
          <w:color w:val="231F1F"/>
          <w:w w:val="110"/>
        </w:rPr>
        <w:t>increased sedative effect when alcohol given with </w:t>
      </w:r>
      <w:r>
        <w:rPr>
          <w:rFonts w:ascii="Arial" w:hAnsi="Arial"/>
          <w:color w:val="231F1F"/>
          <w:w w:val="355"/>
          <w:position w:val="1"/>
          <w:sz w:val="7"/>
        </w:rPr>
        <w:t>l </w:t>
      </w:r>
      <w:r>
        <w:rPr>
          <w:rFonts w:ascii="Calibri" w:hAnsi="Calibri"/>
          <w:color w:val="008356"/>
          <w:spacing w:val="4"/>
          <w:w w:val="110"/>
          <w:sz w:val="11"/>
        </w:rPr>
        <w:t>MIRTAZAPINE</w:t>
      </w:r>
      <w:r>
        <w:rPr>
          <w:color w:val="231F1F"/>
          <w:spacing w:val="4"/>
          <w:w w:val="110"/>
        </w:rPr>
        <w:t>, </w:t>
      </w:r>
      <w:r>
        <w:rPr>
          <w:rFonts w:ascii="Arial" w:hAnsi="Arial"/>
          <w:color w:val="231F1F"/>
          <w:w w:val="355"/>
          <w:position w:val="1"/>
          <w:sz w:val="7"/>
        </w:rPr>
        <w:t>l </w:t>
      </w:r>
      <w:r>
        <w:rPr>
          <w:rFonts w:ascii="Calibri" w:hAnsi="Calibri"/>
          <w:color w:val="008356"/>
          <w:spacing w:val="4"/>
          <w:w w:val="110"/>
          <w:sz w:val="11"/>
        </w:rPr>
        <w:t>TRICYCLIC-RELATED ANTIDEPRESSANTS </w:t>
      </w:r>
      <w:r>
        <w:rPr>
          <w:color w:val="231F1F"/>
          <w:w w:val="110"/>
        </w:rPr>
        <w:t>or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4"/>
          <w:w w:val="110"/>
          <w:sz w:val="11"/>
        </w:rPr>
        <w:t>TRICYCLICS</w:t>
      </w:r>
    </w:p>
    <w:p>
      <w:pPr>
        <w:pStyle w:val="BodyText"/>
        <w:spacing w:line="230" w:lineRule="auto"/>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alcohol enhances hypoglycaemic effect of </w:t>
      </w:r>
      <w:r>
        <w:rPr>
          <w:rFonts w:ascii="Calibri" w:hAnsi="Calibri"/>
          <w:color w:val="008356"/>
          <w:w w:val="105"/>
          <w:sz w:val="11"/>
        </w:rPr>
        <w:t>ANTIDIABETICS</w:t>
      </w:r>
      <w:r>
        <w:rPr>
          <w:color w:val="231F1F"/>
          <w:w w:val="105"/>
        </w:rPr>
        <w:t>; increased risk of lactic acidosis when alcohol given with </w:t>
      </w:r>
      <w:r>
        <w:rPr>
          <w:rFonts w:ascii="Calibri" w:hAnsi="Calibri"/>
          <w:color w:val="008356"/>
          <w:w w:val="105"/>
          <w:sz w:val="11"/>
        </w:rPr>
        <w:t>METFORMIN</w:t>
      </w:r>
    </w:p>
    <w:p>
      <w:pPr>
        <w:pStyle w:val="BodyText"/>
        <w:spacing w:before="9"/>
        <w:ind w:left="0"/>
        <w:rPr>
          <w:rFonts w:ascii="Calibri"/>
          <w:sz w:val="13"/>
        </w:rPr>
      </w:pPr>
      <w:r>
        <w:rPr/>
        <w:br w:type="column"/>
      </w:r>
      <w:r>
        <w:rPr>
          <w:rFonts w:ascii="Calibri"/>
          <w:sz w:val="13"/>
        </w:rPr>
      </w:r>
    </w:p>
    <w:p>
      <w:pPr>
        <w:pStyle w:val="BodyText"/>
        <w:spacing w:line="144" w:lineRule="exact"/>
        <w:ind w:left="180"/>
        <w:rPr>
          <w:rFonts w:ascii="Calibri"/>
        </w:rPr>
      </w:pPr>
      <w:r>
        <w:rPr>
          <w:rFonts w:ascii="Arial"/>
          <w:color w:val="008356"/>
        </w:rPr>
        <w:t>Alcohol </w:t>
      </w:r>
      <w:r>
        <w:rPr>
          <w:rFonts w:ascii="Calibri"/>
          <w:color w:val="231F1F"/>
        </w:rPr>
        <w:t>(continued)</w:t>
      </w:r>
    </w:p>
    <w:p>
      <w:pPr>
        <w:spacing w:line="237" w:lineRule="auto" w:before="0"/>
        <w:ind w:left="280" w:right="57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alcohol possibly increases CNS side-effects of </w:t>
      </w:r>
      <w:r>
        <w:rPr>
          <w:rFonts w:ascii="Calibri" w:hAnsi="Calibri"/>
          <w:color w:val="008356"/>
          <w:w w:val="110"/>
          <w:sz w:val="11"/>
        </w:rPr>
        <w:t>CARBAMAZEPINE</w:t>
      </w:r>
      <w:r>
        <w:rPr>
          <w:color w:val="231F1F"/>
          <w:w w:val="110"/>
          <w:sz w:val="12"/>
        </w:rPr>
        <w:t>; chronic heavy consumption of alcohol possibly reduces plasma concentration of </w:t>
      </w:r>
      <w:r>
        <w:rPr>
          <w:rFonts w:ascii="Calibri" w:hAnsi="Calibri"/>
          <w:color w:val="008356"/>
          <w:w w:val="110"/>
          <w:sz w:val="11"/>
        </w:rPr>
        <w:t>FOSPHENYTOIN </w:t>
      </w:r>
      <w:r>
        <w:rPr>
          <w:color w:val="231F1F"/>
          <w:w w:val="110"/>
          <w:sz w:val="12"/>
        </w:rPr>
        <w:t>and </w:t>
      </w:r>
      <w:r>
        <w:rPr>
          <w:rFonts w:ascii="Calibri" w:hAnsi="Calibri"/>
          <w:color w:val="008356"/>
          <w:w w:val="110"/>
          <w:sz w:val="11"/>
        </w:rPr>
        <w:t>PHENYTOIN</w:t>
      </w:r>
      <w:r>
        <w:rPr>
          <w:color w:val="231F1F"/>
          <w:w w:val="110"/>
          <w:sz w:val="12"/>
        </w:rPr>
        <w:t>; increased sedative effect when alcohol given with </w:t>
      </w:r>
      <w:r>
        <w:rPr>
          <w:rFonts w:ascii="Calibri" w:hAnsi="Calibri"/>
          <w:color w:val="008356"/>
          <w:w w:val="110"/>
          <w:sz w:val="11"/>
        </w:rPr>
        <w:t>PHENOBARBITAL </w:t>
      </w:r>
      <w:r>
        <w:rPr>
          <w:color w:val="231F1F"/>
          <w:w w:val="110"/>
          <w:sz w:val="12"/>
        </w:rPr>
        <w:t>or </w:t>
      </w:r>
      <w:r>
        <w:rPr>
          <w:rFonts w:ascii="Calibri" w:hAnsi="Calibri"/>
          <w:color w:val="008356"/>
          <w:w w:val="110"/>
          <w:sz w:val="11"/>
        </w:rPr>
        <w:t>PRIMIDONE</w:t>
      </w:r>
      <w:r>
        <w:rPr>
          <w:color w:val="231F1F"/>
          <w:w w:val="110"/>
          <w:sz w:val="12"/>
        </w:rPr>
        <w:t>; increased risk of blurred vision when alcohol given with </w:t>
      </w:r>
      <w:r>
        <w:rPr>
          <w:rFonts w:ascii="Calibri" w:hAnsi="Calibri"/>
          <w:color w:val="008356"/>
          <w:w w:val="110"/>
          <w:sz w:val="11"/>
        </w:rPr>
        <w:t>RETIGABINE</w:t>
      </w:r>
    </w:p>
    <w:p>
      <w:pPr>
        <w:pStyle w:val="BodyText"/>
        <w:spacing w:line="232" w:lineRule="auto" w:before="2"/>
        <w:ind w:left="280" w:right="65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possibility of disulfiram-like reaction when alcohol given with </w:t>
      </w:r>
      <w:r>
        <w:rPr>
          <w:rFonts w:ascii="Calibri" w:hAnsi="Calibri"/>
          <w:color w:val="008356"/>
          <w:w w:val="110"/>
          <w:sz w:val="11"/>
        </w:rPr>
        <w:t>KETOCONAZOLE</w:t>
      </w:r>
      <w:r>
        <w:rPr>
          <w:color w:val="231F1F"/>
          <w:w w:val="110"/>
        </w:rPr>
        <w:t>; effects of alcohol possibly enhanced by </w:t>
      </w:r>
      <w:r>
        <w:rPr>
          <w:rFonts w:ascii="Calibri" w:hAnsi="Calibri"/>
          <w:color w:val="008356"/>
          <w:w w:val="110"/>
          <w:sz w:val="11"/>
        </w:rPr>
        <w:t>GRISEOFULVIN</w:t>
      </w:r>
    </w:p>
    <w:p>
      <w:pPr>
        <w:pStyle w:val="BodyText"/>
        <w:spacing w:line="230" w:lineRule="auto" w:before="1"/>
        <w:ind w:left="280" w:right="716" w:hanging="100"/>
        <w:jc w:val="both"/>
      </w:pPr>
      <w:r>
        <w:rPr>
          <w:rFonts w:ascii="Lucida Sans Unicode" w:hAnsi="Lucida Sans Unicode"/>
          <w:color w:val="A7A8AC"/>
          <w:w w:val="95"/>
          <w:sz w:val="10"/>
        </w:rPr>
        <w:t>▶ </w:t>
      </w:r>
      <w:r>
        <w:rPr>
          <w:rFonts w:ascii="Calibri" w:hAnsi="Calibri"/>
          <w:color w:val="231F1F"/>
          <w:w w:val="110"/>
        </w:rPr>
        <w:t>Antihistamines: </w:t>
      </w:r>
      <w:r>
        <w:rPr>
          <w:color w:val="231F1F"/>
          <w:w w:val="110"/>
        </w:rPr>
        <w:t>increased sedative effect when alcohol </w:t>
      </w:r>
      <w:r>
        <w:rPr>
          <w:color w:val="231F1F"/>
          <w:spacing w:val="-3"/>
          <w:w w:val="110"/>
        </w:rPr>
        <w:t>given </w:t>
      </w:r>
      <w:r>
        <w:rPr>
          <w:color w:val="231F1F"/>
          <w:w w:val="110"/>
        </w:rPr>
        <w:t>with </w:t>
      </w:r>
      <w:r>
        <w:rPr>
          <w:rFonts w:ascii="Calibri" w:hAnsi="Calibri"/>
          <w:color w:val="008356"/>
          <w:spacing w:val="4"/>
          <w:w w:val="110"/>
          <w:sz w:val="11"/>
        </w:rPr>
        <w:t>ANTIHISTAMINES </w:t>
      </w:r>
      <w:r>
        <w:rPr>
          <w:color w:val="231F1F"/>
          <w:w w:val="110"/>
        </w:rPr>
        <w:t>(possibly less effect with</w:t>
      </w:r>
      <w:r>
        <w:rPr>
          <w:color w:val="231F1F"/>
          <w:spacing w:val="-20"/>
          <w:w w:val="110"/>
        </w:rPr>
        <w:t> </w:t>
      </w:r>
      <w:r>
        <w:rPr>
          <w:color w:val="231F1F"/>
          <w:w w:val="110"/>
        </w:rPr>
        <w:t>non-sedating antihistamines)</w:t>
      </w:r>
    </w:p>
    <w:p>
      <w:pPr>
        <w:pStyle w:val="BodyText"/>
        <w:spacing w:line="220" w:lineRule="auto" w:before="12"/>
        <w:ind w:left="280" w:right="66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increased sedative effect when alcohol given with </w:t>
      </w:r>
      <w:r>
        <w:rPr>
          <w:rFonts w:ascii="Calibri" w:hAnsi="Calibri"/>
          <w:color w:val="008356"/>
          <w:w w:val="105"/>
          <w:sz w:val="11"/>
        </w:rPr>
        <w:t>HYOSCINE</w:t>
      </w:r>
    </w:p>
    <w:p>
      <w:pPr>
        <w:pStyle w:val="BodyText"/>
        <w:spacing w:line="220" w:lineRule="auto" w:before="8"/>
        <w:ind w:left="280" w:right="73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increased sedative effect when alcohol given with </w:t>
      </w:r>
      <w:r>
        <w:rPr>
          <w:rFonts w:ascii="Calibri" w:hAnsi="Calibri"/>
          <w:color w:val="008356"/>
          <w:w w:val="105"/>
          <w:sz w:val="11"/>
        </w:rPr>
        <w:t>ANTIPSYCHOTICS</w:t>
      </w:r>
    </w:p>
    <w:p>
      <w:pPr>
        <w:spacing w:line="220" w:lineRule="auto" w:before="10"/>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alcohol given with </w:t>
      </w:r>
      <w:r>
        <w:rPr>
          <w:rFonts w:ascii="Calibri" w:hAnsi="Calibri"/>
          <w:color w:val="008356"/>
          <w:w w:val="105"/>
          <w:sz w:val="11"/>
        </w:rPr>
        <w:t>ANXIOLYTICS AND HYPNOTICS</w:t>
      </w:r>
    </w:p>
    <w:p>
      <w:pPr>
        <w:pStyle w:val="BodyText"/>
        <w:spacing w:line="220" w:lineRule="auto" w:before="8"/>
        <w:ind w:left="280" w:right="685"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Avanafil: </w:t>
      </w:r>
      <w:r>
        <w:rPr>
          <w:color w:val="231F1F"/>
          <w:w w:val="110"/>
        </w:rPr>
        <w:t>possible enhanced hypotensive effect when alcohol given with </w:t>
      </w:r>
      <w:r>
        <w:rPr>
          <w:rFonts w:ascii="Calibri" w:hAnsi="Calibri"/>
          <w:color w:val="008356"/>
          <w:w w:val="110"/>
          <w:sz w:val="11"/>
        </w:rPr>
        <w:t>AVANAFIL</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alcohol given with </w:t>
      </w:r>
      <w:r>
        <w:rPr>
          <w:rFonts w:ascii="Calibri" w:hAnsi="Calibri"/>
          <w:color w:val="008356"/>
          <w:w w:val="110"/>
          <w:sz w:val="11"/>
        </w:rPr>
        <w:t>BETA-BLOCKERS</w:t>
      </w:r>
    </w:p>
    <w:p>
      <w:pPr>
        <w:spacing w:line="230" w:lineRule="auto" w:before="5"/>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alcohol given with </w:t>
      </w:r>
      <w:r>
        <w:rPr>
          <w:rFonts w:ascii="Calibri" w:hAnsi="Calibri"/>
          <w:color w:val="008356"/>
          <w:w w:val="105"/>
          <w:sz w:val="11"/>
        </w:rPr>
        <w:t>CALCIUM-CHANNEL BLOCKERS</w:t>
      </w:r>
      <w:r>
        <w:rPr>
          <w:color w:val="231F1F"/>
          <w:w w:val="105"/>
          <w:sz w:val="12"/>
        </w:rPr>
        <w:t>; plasma concentration of alcohol possibly increased by </w:t>
      </w:r>
      <w:r>
        <w:rPr>
          <w:rFonts w:ascii="Calibri" w:hAnsi="Calibri"/>
          <w:color w:val="008356"/>
          <w:w w:val="105"/>
          <w:sz w:val="11"/>
        </w:rPr>
        <w:t>VERAPAMIL</w:t>
      </w:r>
    </w:p>
    <w:p>
      <w:pPr>
        <w:pStyle w:val="BodyText"/>
        <w:spacing w:line="220" w:lineRule="auto" w:before="7"/>
        <w:ind w:left="280" w:right="769"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alcohol given with </w:t>
      </w:r>
      <w:r>
        <w:rPr>
          <w:rFonts w:ascii="Calibri" w:hAnsi="Calibri"/>
          <w:color w:val="008356"/>
          <w:w w:val="105"/>
          <w:sz w:val="11"/>
        </w:rPr>
        <w:t>CLONIDINE</w:t>
      </w:r>
    </w:p>
    <w:p>
      <w:pPr>
        <w:pStyle w:val="BodyText"/>
        <w:spacing w:before="1"/>
        <w:ind w:left="280" w:right="631"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disulfiram-like reaction when alcohol given with </w:t>
      </w:r>
      <w:r>
        <w:rPr>
          <w:rFonts w:ascii="Calibri"/>
          <w:color w:val="008356"/>
          <w:w w:val="110"/>
          <w:sz w:val="11"/>
        </w:rPr>
        <w:t>PROCARBAZINE</w:t>
      </w:r>
      <w:r>
        <w:rPr>
          <w:color w:val="231F1F"/>
          <w:w w:val="110"/>
        </w:rPr>
        <w:t>; avoidance of alcohol advised by manufacturer of </w:t>
      </w:r>
      <w:r>
        <w:rPr>
          <w:rFonts w:ascii="Arial"/>
          <w:color w:val="231F1F"/>
          <w:w w:val="355"/>
          <w:position w:val="1"/>
          <w:sz w:val="7"/>
        </w:rPr>
        <w:t>l </w:t>
      </w:r>
      <w:r>
        <w:rPr>
          <w:rFonts w:ascii="Calibri"/>
          <w:color w:val="008356"/>
          <w:w w:val="110"/>
          <w:sz w:val="11"/>
        </w:rPr>
        <w:t>TRABECTEDIN</w:t>
      </w:r>
    </w:p>
    <w:p>
      <w:pPr>
        <w:pStyle w:val="BodyText"/>
        <w:spacing w:line="145" w:lineRule="exact"/>
        <w:ind w:left="180"/>
      </w:pPr>
      <w:r>
        <w:rPr>
          <w:rFonts w:ascii="Arial"/>
          <w:color w:val="231F1F"/>
          <w:w w:val="355"/>
          <w:position w:val="1"/>
          <w:sz w:val="7"/>
        </w:rPr>
        <w:t>l </w:t>
      </w:r>
      <w:r>
        <w:rPr>
          <w:rFonts w:ascii="Calibri"/>
          <w:color w:val="231F1F"/>
          <w:w w:val="110"/>
        </w:rPr>
        <w:t>Dapoxetine: </w:t>
      </w:r>
      <w:r>
        <w:rPr>
          <w:color w:val="231F1F"/>
          <w:w w:val="110"/>
        </w:rPr>
        <w:t>increased sedative effect when alcohol given with</w:t>
      </w:r>
    </w:p>
    <w:p>
      <w:pPr>
        <w:spacing w:line="133" w:lineRule="exact" w:before="6"/>
        <w:ind w:left="280" w:right="0" w:firstLine="0"/>
        <w:jc w:val="left"/>
        <w:rPr>
          <w:rFonts w:ascii="Calibri"/>
          <w:sz w:val="11"/>
        </w:rPr>
      </w:pPr>
      <w:r>
        <w:rPr>
          <w:rFonts w:ascii="Arial"/>
          <w:color w:val="231F1F"/>
          <w:w w:val="355"/>
          <w:position w:val="1"/>
          <w:sz w:val="7"/>
        </w:rPr>
        <w:t>l </w:t>
      </w:r>
      <w:r>
        <w:rPr>
          <w:rFonts w:ascii="Calibri"/>
          <w:color w:val="008356"/>
          <w:w w:val="115"/>
          <w:sz w:val="11"/>
        </w:rPr>
        <w:t>DAPOXETINE</w:t>
      </w:r>
    </w:p>
    <w:p>
      <w:pPr>
        <w:pStyle w:val="BodyText"/>
        <w:spacing w:line="220" w:lineRule="auto" w:before="7"/>
        <w:ind w:left="280" w:right="769"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alcohol given with </w:t>
      </w:r>
      <w:r>
        <w:rPr>
          <w:rFonts w:ascii="Calibri" w:hAnsi="Calibri"/>
          <w:color w:val="008356"/>
          <w:w w:val="105"/>
          <w:sz w:val="11"/>
        </w:rPr>
        <w:t>DIAZOXIDE</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Disulfiram: </w:t>
      </w:r>
      <w:r>
        <w:rPr>
          <w:color w:val="231F1F"/>
          <w:w w:val="105"/>
        </w:rPr>
        <w:t>disulfiram reaction when alcohol given with</w:t>
      </w:r>
    </w:p>
    <w:p>
      <w:pPr>
        <w:spacing w:line="130" w:lineRule="exact" w:before="0"/>
        <w:ind w:left="280" w:right="0" w:firstLine="0"/>
        <w:jc w:val="left"/>
        <w:rPr>
          <w:rFonts w:ascii="Calibri"/>
          <w:sz w:val="11"/>
        </w:rPr>
      </w:pPr>
      <w:r>
        <w:rPr>
          <w:rFonts w:ascii="Calibri"/>
          <w:color w:val="008356"/>
          <w:sz w:val="11"/>
        </w:rPr>
        <w:t>DISULFIRAM</w:t>
      </w:r>
    </w:p>
    <w:p>
      <w:pPr>
        <w:pStyle w:val="BodyText"/>
        <w:spacing w:line="220" w:lineRule="auto" w:before="8"/>
        <w:ind w:left="280" w:right="896"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alcohol given with </w:t>
      </w:r>
      <w:r>
        <w:rPr>
          <w:rFonts w:ascii="Calibri" w:hAnsi="Calibri"/>
          <w:color w:val="008356"/>
          <w:w w:val="105"/>
          <w:sz w:val="11"/>
        </w:rPr>
        <w:t>DIURETICS</w:t>
      </w:r>
    </w:p>
    <w:p>
      <w:pPr>
        <w:spacing w:line="149" w:lineRule="exact" w:before="0"/>
        <w:ind w:left="180"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alcohol reduces tolerance to </w:t>
      </w:r>
      <w:r>
        <w:rPr>
          <w:rFonts w:ascii="Calibri" w:hAnsi="Calibri"/>
          <w:color w:val="008356"/>
          <w:w w:val="105"/>
          <w:sz w:val="11"/>
        </w:rPr>
        <w:t>BROMOCRIPTINE</w:t>
      </w:r>
    </w:p>
    <w:p>
      <w:pPr>
        <w:pStyle w:val="BodyText"/>
        <w:spacing w:line="220" w:lineRule="auto"/>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avoidance of alcohol advised by manufacturer of </w:t>
      </w:r>
      <w:r>
        <w:rPr>
          <w:rFonts w:ascii="Calibri" w:hAnsi="Calibri"/>
          <w:color w:val="008356"/>
          <w:w w:val="105"/>
          <w:sz w:val="11"/>
        </w:rPr>
        <w:t>LOMITAPIDE</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10"/>
        </w:rPr>
        <w:t>Lofexidine: </w:t>
      </w:r>
      <w:r>
        <w:rPr>
          <w:color w:val="231F1F"/>
          <w:w w:val="110"/>
        </w:rPr>
        <w:t>increased sedative effect when alcohol given with</w:t>
      </w:r>
    </w:p>
    <w:p>
      <w:pPr>
        <w:spacing w:line="130" w:lineRule="exact" w:before="0"/>
        <w:ind w:left="280" w:right="0" w:firstLine="0"/>
        <w:jc w:val="left"/>
        <w:rPr>
          <w:rFonts w:ascii="Calibri"/>
          <w:sz w:val="11"/>
        </w:rPr>
      </w:pPr>
      <w:r>
        <w:rPr>
          <w:rFonts w:ascii="Calibri"/>
          <w:color w:val="008356"/>
          <w:sz w:val="11"/>
        </w:rPr>
        <w:t>LOFEXIDINE</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alcohol given with </w:t>
      </w:r>
      <w:r>
        <w:rPr>
          <w:rFonts w:ascii="Calibri" w:hAnsi="Calibri"/>
          <w:color w:val="008356"/>
          <w:w w:val="105"/>
          <w:sz w:val="11"/>
        </w:rPr>
        <w:t>METHYLDOPA</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Metoclopramide: </w:t>
      </w:r>
      <w:r>
        <w:rPr>
          <w:color w:val="231F1F"/>
          <w:w w:val="105"/>
        </w:rPr>
        <w:t>absorption of alcohol possibly increased by</w:t>
      </w:r>
    </w:p>
    <w:p>
      <w:pPr>
        <w:spacing w:line="131" w:lineRule="exact" w:before="0"/>
        <w:ind w:left="280" w:right="0" w:firstLine="0"/>
        <w:jc w:val="left"/>
        <w:rPr>
          <w:rFonts w:ascii="Calibri"/>
          <w:sz w:val="11"/>
        </w:rPr>
      </w:pPr>
      <w:r>
        <w:rPr>
          <w:rFonts w:ascii="Calibri"/>
          <w:color w:val="008356"/>
          <w:spacing w:val="4"/>
          <w:sz w:val="11"/>
        </w:rPr>
        <w:t>METOCLOPRAMIDE</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alcohol </w:t>
      </w:r>
      <w:r>
        <w:rPr>
          <w:color w:val="231F1F"/>
          <w:spacing w:val="-3"/>
          <w:w w:val="105"/>
        </w:rPr>
        <w:t>given </w:t>
      </w:r>
      <w:r>
        <w:rPr>
          <w:color w:val="231F1F"/>
          <w:w w:val="105"/>
        </w:rPr>
        <w:t>with</w:t>
      </w:r>
      <w:r>
        <w:rPr>
          <w:color w:val="231F1F"/>
          <w:spacing w:val="-2"/>
          <w:w w:val="105"/>
        </w:rPr>
        <w:t> </w:t>
      </w:r>
      <w:r>
        <w:rPr>
          <w:rFonts w:ascii="Calibri" w:hAnsi="Calibri"/>
          <w:color w:val="008356"/>
          <w:spacing w:val="4"/>
          <w:w w:val="105"/>
          <w:sz w:val="11"/>
        </w:rPr>
        <w:t>MOXONIDINE</w:t>
      </w:r>
    </w:p>
    <w:p>
      <w:pPr>
        <w:spacing w:line="220" w:lineRule="auto" w:before="8"/>
        <w:ind w:left="280" w:right="57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increased sedative effect when alcohol given with </w:t>
      </w:r>
      <w:r>
        <w:rPr>
          <w:rFonts w:ascii="Calibri" w:hAnsi="Calibri"/>
          <w:color w:val="008356"/>
          <w:w w:val="105"/>
          <w:sz w:val="11"/>
        </w:rPr>
        <w:t>BACLOFEN</w:t>
      </w:r>
      <w:r>
        <w:rPr>
          <w:color w:val="231F1F"/>
          <w:w w:val="105"/>
          <w:sz w:val="12"/>
        </w:rPr>
        <w:t>, </w:t>
      </w:r>
      <w:r>
        <w:rPr>
          <w:rFonts w:ascii="Calibri" w:hAnsi="Calibri"/>
          <w:color w:val="008356"/>
          <w:w w:val="105"/>
          <w:sz w:val="11"/>
        </w:rPr>
        <w:t>METHOCARBAMOL </w:t>
      </w:r>
      <w:r>
        <w:rPr>
          <w:color w:val="231F1F"/>
          <w:w w:val="105"/>
          <w:sz w:val="12"/>
        </w:rPr>
        <w:t>or </w:t>
      </w:r>
      <w:r>
        <w:rPr>
          <w:rFonts w:ascii="Calibri" w:hAnsi="Calibri"/>
          <w:color w:val="008356"/>
          <w:w w:val="105"/>
          <w:sz w:val="11"/>
        </w:rPr>
        <w:t>TIZANIDINE</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Nicorandil: </w:t>
      </w:r>
      <w:r>
        <w:rPr>
          <w:color w:val="231F1F"/>
          <w:w w:val="105"/>
        </w:rPr>
        <w:t>alcohol possibly enhances hypotensive effect of</w:t>
      </w:r>
    </w:p>
    <w:p>
      <w:pPr>
        <w:spacing w:line="131" w:lineRule="exact" w:before="0"/>
        <w:ind w:left="280" w:right="0" w:firstLine="0"/>
        <w:jc w:val="left"/>
        <w:rPr>
          <w:rFonts w:ascii="Calibri"/>
          <w:sz w:val="11"/>
        </w:rPr>
      </w:pPr>
      <w:r>
        <w:rPr>
          <w:rFonts w:ascii="Calibri"/>
          <w:color w:val="008356"/>
          <w:sz w:val="11"/>
        </w:rPr>
        <w:t>NICORANDIL</w:t>
      </w:r>
    </w:p>
    <w:p>
      <w:pPr>
        <w:pStyle w:val="BodyText"/>
        <w:spacing w:line="220" w:lineRule="auto" w:before="8"/>
        <w:ind w:left="280" w:right="962"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alcohol given with </w:t>
      </w:r>
      <w:r>
        <w:rPr>
          <w:rFonts w:ascii="Calibri" w:hAnsi="Calibri"/>
          <w:color w:val="008356"/>
          <w:w w:val="105"/>
          <w:sz w:val="11"/>
        </w:rPr>
        <w:t>NITRATES</w:t>
      </w:r>
    </w:p>
    <w:p>
      <w:pPr>
        <w:pStyle w:val="BodyText"/>
        <w:ind w:left="280" w:right="695" w:hanging="100"/>
        <w:rPr>
          <w:rFonts w:ascii="Calibri"/>
          <w:sz w:val="11"/>
        </w:rPr>
      </w:pPr>
      <w:r>
        <w:rPr>
          <w:rFonts w:ascii="Arial"/>
          <w:color w:val="231F1F"/>
          <w:w w:val="355"/>
          <w:position w:val="1"/>
          <w:sz w:val="7"/>
        </w:rPr>
        <w:t>l </w:t>
      </w:r>
      <w:r>
        <w:rPr>
          <w:rFonts w:ascii="Calibri"/>
          <w:color w:val="231F1F"/>
          <w:w w:val="110"/>
        </w:rPr>
        <w:t>Paraldehyde: </w:t>
      </w:r>
      <w:r>
        <w:rPr>
          <w:color w:val="231F1F"/>
          <w:w w:val="110"/>
        </w:rPr>
        <w:t>increased sedative effect when alcohol given with </w:t>
      </w:r>
      <w:r>
        <w:rPr>
          <w:rFonts w:ascii="Arial"/>
          <w:color w:val="231F1F"/>
          <w:w w:val="355"/>
          <w:position w:val="1"/>
          <w:sz w:val="7"/>
        </w:rPr>
        <w:t>l </w:t>
      </w:r>
      <w:r>
        <w:rPr>
          <w:rFonts w:ascii="Calibri"/>
          <w:color w:val="008356"/>
          <w:w w:val="110"/>
          <w:sz w:val="11"/>
        </w:rPr>
        <w:t>PARALDEHYDE</w:t>
      </w:r>
    </w:p>
    <w:p>
      <w:pPr>
        <w:pStyle w:val="BodyText"/>
        <w:ind w:left="280" w:right="675" w:hanging="100"/>
      </w:pPr>
      <w:r>
        <w:rPr>
          <w:rFonts w:ascii="Arial"/>
          <w:color w:val="231F1F"/>
          <w:w w:val="355"/>
          <w:position w:val="1"/>
          <w:sz w:val="7"/>
        </w:rPr>
        <w:t>l</w:t>
      </w:r>
      <w:r>
        <w:rPr>
          <w:rFonts w:ascii="Arial"/>
          <w:color w:val="231F1F"/>
          <w:spacing w:val="-37"/>
          <w:w w:val="355"/>
          <w:position w:val="1"/>
          <w:sz w:val="7"/>
        </w:rPr>
        <w:t> </w:t>
      </w:r>
      <w:r>
        <w:rPr>
          <w:rFonts w:ascii="Calibri"/>
          <w:color w:val="231F1F"/>
          <w:w w:val="115"/>
        </w:rPr>
        <w:t>Retinoids:</w:t>
      </w:r>
      <w:r>
        <w:rPr>
          <w:rFonts w:ascii="Calibri"/>
          <w:color w:val="231F1F"/>
          <w:spacing w:val="-6"/>
          <w:w w:val="115"/>
        </w:rPr>
        <w:t> </w:t>
      </w:r>
      <w:r>
        <w:rPr>
          <w:color w:val="231F1F"/>
          <w:w w:val="115"/>
        </w:rPr>
        <w:t>presence</w:t>
      </w:r>
      <w:r>
        <w:rPr>
          <w:color w:val="231F1F"/>
          <w:spacing w:val="-8"/>
          <w:w w:val="115"/>
        </w:rPr>
        <w:t> </w:t>
      </w:r>
      <w:r>
        <w:rPr>
          <w:color w:val="231F1F"/>
          <w:w w:val="115"/>
        </w:rPr>
        <w:t>of</w:t>
      </w:r>
      <w:r>
        <w:rPr>
          <w:color w:val="231F1F"/>
          <w:spacing w:val="-8"/>
          <w:w w:val="115"/>
        </w:rPr>
        <w:t> </w:t>
      </w:r>
      <w:r>
        <w:rPr>
          <w:color w:val="231F1F"/>
          <w:w w:val="115"/>
        </w:rPr>
        <w:t>alcohol</w:t>
      </w:r>
      <w:r>
        <w:rPr>
          <w:color w:val="231F1F"/>
          <w:spacing w:val="-9"/>
          <w:w w:val="115"/>
        </w:rPr>
        <w:t> </w:t>
      </w:r>
      <w:r>
        <w:rPr>
          <w:color w:val="231F1F"/>
          <w:w w:val="115"/>
        </w:rPr>
        <w:t>causes</w:t>
      </w:r>
      <w:r>
        <w:rPr>
          <w:color w:val="231F1F"/>
          <w:spacing w:val="-8"/>
          <w:w w:val="115"/>
        </w:rPr>
        <w:t> </w:t>
      </w:r>
      <w:r>
        <w:rPr>
          <w:color w:val="231F1F"/>
          <w:w w:val="115"/>
        </w:rPr>
        <w:t>etretinate</w:t>
      </w:r>
      <w:r>
        <w:rPr>
          <w:color w:val="231F1F"/>
          <w:spacing w:val="-10"/>
          <w:w w:val="115"/>
        </w:rPr>
        <w:t> </w:t>
      </w:r>
      <w:r>
        <w:rPr>
          <w:color w:val="231F1F"/>
          <w:w w:val="115"/>
        </w:rPr>
        <w:t>to</w:t>
      </w:r>
      <w:r>
        <w:rPr>
          <w:color w:val="231F1F"/>
          <w:spacing w:val="-8"/>
          <w:w w:val="115"/>
        </w:rPr>
        <w:t> </w:t>
      </w:r>
      <w:r>
        <w:rPr>
          <w:color w:val="231F1F"/>
          <w:w w:val="115"/>
        </w:rPr>
        <w:t>be</w:t>
      </w:r>
      <w:r>
        <w:rPr>
          <w:color w:val="231F1F"/>
          <w:spacing w:val="-8"/>
          <w:w w:val="115"/>
        </w:rPr>
        <w:t> </w:t>
      </w:r>
      <w:r>
        <w:rPr>
          <w:color w:val="231F1F"/>
          <w:spacing w:val="-3"/>
          <w:w w:val="115"/>
        </w:rPr>
        <w:t>formed </w:t>
      </w:r>
      <w:r>
        <w:rPr>
          <w:color w:val="231F1F"/>
          <w:w w:val="115"/>
        </w:rPr>
        <w:t>from</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ACITRETIN</w:t>
      </w:r>
      <w:r>
        <w:rPr>
          <w:rFonts w:ascii="Calibri"/>
          <w:color w:val="008356"/>
          <w:spacing w:val="-3"/>
          <w:w w:val="115"/>
          <w:sz w:val="11"/>
        </w:rPr>
        <w:t> </w:t>
      </w:r>
      <w:r>
        <w:rPr>
          <w:color w:val="231F1F"/>
          <w:w w:val="115"/>
        </w:rPr>
        <w:t>(increased</w:t>
      </w:r>
      <w:r>
        <w:rPr>
          <w:color w:val="231F1F"/>
          <w:spacing w:val="-14"/>
          <w:w w:val="115"/>
        </w:rPr>
        <w:t> </w:t>
      </w:r>
      <w:r>
        <w:rPr>
          <w:color w:val="231F1F"/>
          <w:w w:val="115"/>
        </w:rPr>
        <w:t>risk</w:t>
      </w:r>
      <w:r>
        <w:rPr>
          <w:color w:val="231F1F"/>
          <w:spacing w:val="-12"/>
          <w:w w:val="115"/>
        </w:rPr>
        <w:t> </w:t>
      </w:r>
      <w:r>
        <w:rPr>
          <w:color w:val="231F1F"/>
          <w:w w:val="115"/>
        </w:rPr>
        <w:t>of</w:t>
      </w:r>
      <w:r>
        <w:rPr>
          <w:color w:val="231F1F"/>
          <w:spacing w:val="-14"/>
          <w:w w:val="115"/>
        </w:rPr>
        <w:t> </w:t>
      </w:r>
      <w:r>
        <w:rPr>
          <w:color w:val="231F1F"/>
          <w:w w:val="115"/>
        </w:rPr>
        <w:t>teratogenicity</w:t>
      </w:r>
      <w:r>
        <w:rPr>
          <w:color w:val="231F1F"/>
          <w:spacing w:val="-13"/>
          <w:w w:val="115"/>
        </w:rPr>
        <w:t> </w:t>
      </w:r>
      <w:r>
        <w:rPr>
          <w:color w:val="231F1F"/>
          <w:w w:val="115"/>
        </w:rPr>
        <w:t>in</w:t>
      </w:r>
      <w:r>
        <w:rPr>
          <w:color w:val="231F1F"/>
          <w:spacing w:val="-14"/>
          <w:w w:val="115"/>
        </w:rPr>
        <w:t> </w:t>
      </w:r>
      <w:r>
        <w:rPr>
          <w:color w:val="231F1F"/>
          <w:w w:val="115"/>
        </w:rPr>
        <w:t>women of child-bearing</w:t>
      </w:r>
      <w:r>
        <w:rPr>
          <w:color w:val="231F1F"/>
          <w:spacing w:val="-8"/>
          <w:w w:val="115"/>
        </w:rPr>
        <w:t> </w:t>
      </w:r>
      <w:r>
        <w:rPr>
          <w:color w:val="231F1F"/>
          <w:w w:val="115"/>
        </w:rPr>
        <w:t>potential)</w:t>
      </w:r>
    </w:p>
    <w:p>
      <w:pPr>
        <w:pStyle w:val="BodyText"/>
        <w:spacing w:line="155" w:lineRule="exact"/>
        <w:ind w:left="180"/>
      </w:pPr>
      <w:r>
        <w:rPr>
          <w:rFonts w:ascii="Lucida Sans Unicode" w:hAnsi="Lucida Sans Unicode"/>
          <w:color w:val="A7A8AC"/>
          <w:w w:val="95"/>
          <w:sz w:val="10"/>
        </w:rPr>
        <w:t>▶ </w:t>
      </w:r>
      <w:r>
        <w:rPr>
          <w:rFonts w:ascii="Calibri" w:hAnsi="Calibri"/>
          <w:color w:val="231F1F"/>
        </w:rPr>
        <w:t>Sympathomimetics: </w:t>
      </w:r>
      <w:r>
        <w:rPr>
          <w:color w:val="231F1F"/>
        </w:rPr>
        <w:t>alcohol possibly enhances effects of</w:t>
      </w:r>
    </w:p>
    <w:p>
      <w:pPr>
        <w:spacing w:line="130" w:lineRule="exact" w:before="0"/>
        <w:ind w:left="280" w:right="0" w:firstLine="0"/>
        <w:jc w:val="left"/>
        <w:rPr>
          <w:rFonts w:ascii="Calibri"/>
          <w:sz w:val="11"/>
        </w:rPr>
      </w:pPr>
      <w:r>
        <w:rPr>
          <w:rFonts w:ascii="Calibri"/>
          <w:color w:val="008356"/>
          <w:sz w:val="11"/>
        </w:rPr>
        <w:t>METHYLPHENIDATE</w:t>
      </w:r>
    </w:p>
    <w:p>
      <w:pPr>
        <w:spacing w:line="237" w:lineRule="auto" w:before="0"/>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alcohol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5"/>
        <w:ind w:left="180"/>
        <w:rPr>
          <w:rFonts w:ascii="Trebuchet MS"/>
        </w:rPr>
      </w:pPr>
      <w:r>
        <w:rPr>
          <w:rFonts w:ascii="Trebuchet MS"/>
          <w:color w:val="008356"/>
        </w:rPr>
        <w:t>Aldesleukin</w:t>
      </w:r>
    </w:p>
    <w:p>
      <w:pPr>
        <w:pStyle w:val="BodyText"/>
        <w:spacing w:line="220" w:lineRule="auto" w:before="10"/>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aldesleukin given with </w:t>
      </w:r>
      <w:r>
        <w:rPr>
          <w:rFonts w:ascii="Calibri" w:hAnsi="Calibri"/>
          <w:color w:val="008356"/>
          <w:w w:val="105"/>
          <w:sz w:val="11"/>
        </w:rPr>
        <w:t>ACE INHIBITORS</w:t>
      </w:r>
    </w:p>
    <w:p>
      <w:pPr>
        <w:pStyle w:val="BodyText"/>
        <w:spacing w:line="220" w:lineRule="auto" w:before="8"/>
        <w:ind w:left="280" w:right="596"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aldesleukin given with </w:t>
      </w:r>
      <w:r>
        <w:rPr>
          <w:rFonts w:ascii="Calibri" w:hAnsi="Calibri"/>
          <w:color w:val="008356"/>
          <w:w w:val="110"/>
          <w:sz w:val="11"/>
        </w:rPr>
        <w:t>ALPHA-BLOCKERS</w:t>
      </w:r>
    </w:p>
    <w:p>
      <w:pPr>
        <w:spacing w:line="237" w:lineRule="auto" w:before="1"/>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aldesleukin given with </w:t>
      </w:r>
      <w:r>
        <w:rPr>
          <w:rFonts w:ascii="Calibri" w:hAnsi="Calibri"/>
          <w:color w:val="008356"/>
          <w:w w:val="105"/>
          <w:sz w:val="11"/>
        </w:rPr>
        <w:t>ANGIOTENSIN-II RECEPTOR ANTAGONISTS</w:t>
      </w:r>
    </w:p>
    <w:p>
      <w:pPr>
        <w:pStyle w:val="BodyText"/>
        <w:spacing w:line="220" w:lineRule="auto" w:before="6"/>
        <w:ind w:left="280" w:right="9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aldesleukin possibly increases plasma concentration of </w:t>
      </w:r>
      <w:r>
        <w:rPr>
          <w:rFonts w:ascii="Calibri" w:hAnsi="Calibri"/>
          <w:color w:val="008356"/>
          <w:w w:val="105"/>
          <w:sz w:val="11"/>
        </w:rPr>
        <w:t>INDINAVIR</w:t>
      </w:r>
    </w:p>
    <w:p>
      <w:pPr>
        <w:spacing w:after="0" w:line="220" w:lineRule="auto"/>
        <w:rPr>
          <w:rFonts w:ascii="Calibri" w:hAnsi="Calibri"/>
          <w:sz w:val="11"/>
        </w:rPr>
        <w:sectPr>
          <w:headerReference w:type="even" r:id="rId7"/>
          <w:headerReference w:type="default" r:id="rId8"/>
          <w:pgSz w:w="8390" w:h="11910"/>
          <w:pgMar w:header="0" w:footer="0" w:top="460" w:bottom="0" w:left="480" w:right="0"/>
          <w:cols w:num="2" w:equalWidth="0">
            <w:col w:w="3642" w:space="40"/>
            <w:col w:w="4228"/>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Aldesleukin </w:t>
      </w:r>
      <w:r>
        <w:rPr>
          <w:rFonts w:ascii="Calibri"/>
          <w:color w:val="231F1F"/>
        </w:rPr>
        <w:t>(continued)</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aldesleukin given with </w:t>
      </w:r>
      <w:r>
        <w:rPr>
          <w:rFonts w:ascii="Calibri" w:hAnsi="Calibri"/>
          <w:color w:val="008356"/>
          <w:w w:val="110"/>
          <w:sz w:val="11"/>
        </w:rPr>
        <w:t>BETA-BLOCKERS</w:t>
      </w:r>
    </w:p>
    <w:p>
      <w:pPr>
        <w:spacing w:line="220" w:lineRule="auto" w:before="9"/>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aldesleukin given with </w:t>
      </w:r>
      <w:r>
        <w:rPr>
          <w:rFonts w:ascii="Calibri" w:hAnsi="Calibri"/>
          <w:color w:val="008356"/>
          <w:w w:val="105"/>
          <w:sz w:val="11"/>
        </w:rPr>
        <w:t>CALCIUM-CHANNEL BLOCKERS</w:t>
      </w:r>
    </w:p>
    <w:p>
      <w:pPr>
        <w:pStyle w:val="BodyText"/>
        <w:spacing w:line="220" w:lineRule="auto" w:before="9"/>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aldesleukin given with </w:t>
      </w:r>
      <w:r>
        <w:rPr>
          <w:rFonts w:ascii="Calibri" w:hAnsi="Calibri"/>
          <w:color w:val="008356"/>
          <w:w w:val="105"/>
          <w:sz w:val="11"/>
        </w:rPr>
        <w:t>CLONIDINE</w:t>
      </w:r>
    </w:p>
    <w:p>
      <w:pPr>
        <w:pStyle w:val="BodyText"/>
        <w:ind w:hanging="100"/>
        <w:rPr>
          <w:rFonts w:ascii="Calibri"/>
          <w:sz w:val="11"/>
        </w:rPr>
      </w:pPr>
      <w:r>
        <w:rPr>
          <w:rFonts w:ascii="Arial"/>
          <w:color w:val="231F1F"/>
          <w:w w:val="355"/>
          <w:position w:val="1"/>
          <w:sz w:val="7"/>
        </w:rPr>
        <w:t>l </w:t>
      </w:r>
      <w:r>
        <w:rPr>
          <w:rFonts w:ascii="Calibri"/>
          <w:color w:val="231F1F"/>
          <w:w w:val="110"/>
        </w:rPr>
        <w:t>Corticosteroids: </w:t>
      </w:r>
      <w:r>
        <w:rPr>
          <w:color w:val="231F1F"/>
          <w:w w:val="110"/>
        </w:rPr>
        <w:t>manufacturer of aldesleukin advises </w:t>
      </w:r>
      <w:r>
        <w:rPr>
          <w:color w:val="231F1F"/>
          <w:spacing w:val="-3"/>
          <w:w w:val="110"/>
        </w:rPr>
        <w:t>avoid </w:t>
      </w:r>
      <w:r>
        <w:rPr>
          <w:color w:val="231F1F"/>
          <w:w w:val="110"/>
        </w:rPr>
        <w:t>concomitant use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CORTICOSTEROIDS</w:t>
      </w:r>
    </w:p>
    <w:p>
      <w:pPr>
        <w:spacing w:line="247" w:lineRule="auto" w:before="0"/>
        <w:ind w:left="208" w:right="499" w:hanging="100"/>
        <w:jc w:val="both"/>
        <w:rPr>
          <w:rFonts w:ascii="Calibri"/>
          <w:sz w:val="11"/>
        </w:rPr>
      </w:pPr>
      <w:r>
        <w:rPr>
          <w:rFonts w:ascii="Arial"/>
          <w:color w:val="231F1F"/>
          <w:w w:val="355"/>
          <w:position w:val="1"/>
          <w:sz w:val="7"/>
        </w:rPr>
        <w:t>l </w:t>
      </w:r>
      <w:r>
        <w:rPr>
          <w:rFonts w:ascii="Calibri"/>
          <w:color w:val="231F1F"/>
          <w:w w:val="110"/>
          <w:sz w:val="12"/>
        </w:rPr>
        <w:t>Cytotoxics: </w:t>
      </w:r>
      <w:r>
        <w:rPr>
          <w:color w:val="231F1F"/>
          <w:w w:val="110"/>
          <w:sz w:val="12"/>
        </w:rPr>
        <w:t>manufacturer of aldesleukin advises avoid concomitant</w:t>
      </w:r>
      <w:r>
        <w:rPr>
          <w:color w:val="231F1F"/>
          <w:spacing w:val="-8"/>
          <w:w w:val="110"/>
          <w:sz w:val="12"/>
        </w:rPr>
        <w:t> </w:t>
      </w:r>
      <w:r>
        <w:rPr>
          <w:color w:val="231F1F"/>
          <w:w w:val="110"/>
          <w:sz w:val="12"/>
        </w:rPr>
        <w:t>use</w:t>
      </w:r>
      <w:r>
        <w:rPr>
          <w:color w:val="231F1F"/>
          <w:spacing w:val="-5"/>
          <w:w w:val="110"/>
          <w:sz w:val="12"/>
        </w:rPr>
        <w:t> </w:t>
      </w:r>
      <w:r>
        <w:rPr>
          <w:color w:val="231F1F"/>
          <w:w w:val="110"/>
          <w:sz w:val="12"/>
        </w:rPr>
        <w:t>with</w:t>
      </w:r>
      <w:r>
        <w:rPr>
          <w:color w:val="231F1F"/>
          <w:spacing w:val="-7"/>
          <w:w w:val="110"/>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CISPLATIN</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DACARBAZINE</w:t>
      </w:r>
      <w:r>
        <w:rPr>
          <w:rFonts w:ascii="Calibri"/>
          <w:color w:val="008356"/>
          <w:spacing w:val="5"/>
          <w:w w:val="110"/>
          <w:sz w:val="11"/>
        </w:rPr>
        <w:t> </w:t>
      </w:r>
      <w:r>
        <w:rPr>
          <w:color w:val="231F1F"/>
          <w:w w:val="110"/>
          <w:sz w:val="12"/>
        </w:rPr>
        <w:t>and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VINBLASTINE</w:t>
      </w:r>
    </w:p>
    <w:p>
      <w:pPr>
        <w:pStyle w:val="BodyText"/>
        <w:spacing w:line="220" w:lineRule="auto"/>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aldesleukin given with</w:t>
      </w:r>
      <w:r>
        <w:rPr>
          <w:color w:val="231F1F"/>
          <w:spacing w:val="-2"/>
          <w:w w:val="105"/>
        </w:rPr>
        <w:t> </w:t>
      </w:r>
      <w:r>
        <w:rPr>
          <w:rFonts w:ascii="Calibri" w:hAnsi="Calibri"/>
          <w:color w:val="008356"/>
          <w:spacing w:val="4"/>
          <w:w w:val="105"/>
          <w:sz w:val="11"/>
        </w:rPr>
        <w:t>DIAZOXIDE</w:t>
      </w:r>
    </w:p>
    <w:p>
      <w:pPr>
        <w:pStyle w:val="BodyText"/>
        <w:spacing w:line="220" w:lineRule="auto" w:before="6"/>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aldesleukin given with</w:t>
      </w:r>
      <w:r>
        <w:rPr>
          <w:color w:val="231F1F"/>
          <w:spacing w:val="-2"/>
          <w:w w:val="105"/>
        </w:rPr>
        <w:t> </w:t>
      </w:r>
      <w:r>
        <w:rPr>
          <w:rFonts w:ascii="Calibri" w:hAnsi="Calibri"/>
          <w:color w:val="008356"/>
          <w:spacing w:val="4"/>
          <w:w w:val="105"/>
          <w:sz w:val="11"/>
        </w:rPr>
        <w:t>DIURETICS</w:t>
      </w:r>
    </w:p>
    <w:p>
      <w:pPr>
        <w:pStyle w:val="BodyText"/>
        <w:spacing w:line="220" w:lineRule="auto" w:before="10"/>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aldesleukin given with</w:t>
      </w:r>
      <w:r>
        <w:rPr>
          <w:color w:val="231F1F"/>
          <w:spacing w:val="-3"/>
          <w:w w:val="105"/>
        </w:rPr>
        <w:t> </w:t>
      </w:r>
      <w:r>
        <w:rPr>
          <w:rFonts w:ascii="Calibri" w:hAnsi="Calibri"/>
          <w:color w:val="008356"/>
          <w:spacing w:val="4"/>
          <w:w w:val="105"/>
          <w:sz w:val="11"/>
        </w:rPr>
        <w:t>METHYLDOPA</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aldesleukin given with</w:t>
      </w:r>
      <w:r>
        <w:rPr>
          <w:color w:val="231F1F"/>
          <w:spacing w:val="-3"/>
          <w:w w:val="105"/>
        </w:rPr>
        <w:t> </w:t>
      </w:r>
      <w:r>
        <w:rPr>
          <w:rFonts w:ascii="Calibri" w:hAnsi="Calibri"/>
          <w:color w:val="008356"/>
          <w:spacing w:val="4"/>
          <w:w w:val="105"/>
          <w:sz w:val="11"/>
        </w:rPr>
        <w:t>MOXONIDINE</w:t>
      </w:r>
    </w:p>
    <w:p>
      <w:pPr>
        <w:pStyle w:val="BodyText"/>
        <w:spacing w:line="220" w:lineRule="auto" w:before="8"/>
        <w:ind w:right="126"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aldesleukin given with </w:t>
      </w:r>
      <w:r>
        <w:rPr>
          <w:rFonts w:ascii="Calibri" w:hAnsi="Calibri"/>
          <w:color w:val="008356"/>
          <w:w w:val="105"/>
          <w:sz w:val="11"/>
        </w:rPr>
        <w:t>NITRATES</w:t>
      </w:r>
    </w:p>
    <w:p>
      <w:pPr>
        <w:spacing w:line="237" w:lineRule="auto" w:before="1"/>
        <w:ind w:left="208" w:right="30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aldesleukin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6"/>
        <w:ind w:left="108"/>
        <w:rPr>
          <w:rFonts w:ascii="Trebuchet MS"/>
        </w:rPr>
      </w:pPr>
      <w:r>
        <w:rPr>
          <w:rFonts w:ascii="Trebuchet MS"/>
          <w:color w:val="008356"/>
        </w:rPr>
        <w:t>Alemtuzumab</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3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08"/>
      </w:pPr>
      <w:r>
        <w:rPr>
          <w:rFonts w:ascii="Trebuchet MS"/>
          <w:color w:val="008356"/>
          <w:w w:val="110"/>
        </w:rPr>
        <w:t>Alendronic Acid </w:t>
      </w:r>
      <w:r>
        <w:rPr>
          <w:i/>
          <w:color w:val="231F1F"/>
          <w:w w:val="110"/>
        </w:rPr>
        <w:t>see </w:t>
      </w:r>
      <w:r>
        <w:rPr>
          <w:color w:val="231F1F"/>
          <w:w w:val="110"/>
        </w:rPr>
        <w:t>Bisphosphonates</w:t>
      </w:r>
    </w:p>
    <w:p>
      <w:pPr>
        <w:pStyle w:val="BodyText"/>
        <w:spacing w:line="256" w:lineRule="auto" w:before="11"/>
        <w:ind w:left="108" w:right="1596"/>
        <w:rPr>
          <w:rFonts w:ascii="Trebuchet MS"/>
        </w:rPr>
      </w:pPr>
      <w:r>
        <w:rPr>
          <w:rFonts w:ascii="Trebuchet MS"/>
          <w:color w:val="008356"/>
          <w:w w:val="105"/>
        </w:rPr>
        <w:t>Alfacalcidol </w:t>
      </w:r>
      <w:r>
        <w:rPr>
          <w:i/>
          <w:color w:val="231F1F"/>
          <w:w w:val="105"/>
        </w:rPr>
        <w:t>see </w:t>
      </w:r>
      <w:r>
        <w:rPr>
          <w:color w:val="231F1F"/>
          <w:w w:val="105"/>
        </w:rPr>
        <w:t>Vitamins </w:t>
      </w:r>
      <w:r>
        <w:rPr>
          <w:rFonts w:ascii="Trebuchet MS"/>
          <w:color w:val="008356"/>
          <w:w w:val="105"/>
        </w:rPr>
        <w:t>Alfentanil </w:t>
      </w:r>
      <w:r>
        <w:rPr>
          <w:i/>
          <w:color w:val="231F1F"/>
          <w:w w:val="105"/>
        </w:rPr>
        <w:t>see </w:t>
      </w:r>
      <w:r>
        <w:rPr>
          <w:color w:val="231F1F"/>
          <w:w w:val="105"/>
        </w:rPr>
        <w:t>Opioid Analgesics </w:t>
      </w:r>
      <w:r>
        <w:rPr>
          <w:rFonts w:ascii="Trebuchet MS"/>
          <w:color w:val="008356"/>
          <w:w w:val="105"/>
        </w:rPr>
        <w:t>Alfuzosin </w:t>
      </w:r>
      <w:r>
        <w:rPr>
          <w:i/>
          <w:color w:val="231F1F"/>
          <w:w w:val="105"/>
        </w:rPr>
        <w:t>see </w:t>
      </w:r>
      <w:r>
        <w:rPr>
          <w:color w:val="231F1F"/>
          <w:w w:val="105"/>
        </w:rPr>
        <w:t>Alpha-blockers </w:t>
      </w:r>
      <w:r>
        <w:rPr>
          <w:rFonts w:ascii="Trebuchet MS"/>
          <w:color w:val="008356"/>
          <w:w w:val="105"/>
        </w:rPr>
        <w:t>Alimemazine </w:t>
      </w:r>
      <w:r>
        <w:rPr>
          <w:i/>
          <w:color w:val="231F1F"/>
          <w:w w:val="105"/>
        </w:rPr>
        <w:t>see </w:t>
      </w:r>
      <w:r>
        <w:rPr>
          <w:color w:val="231F1F"/>
          <w:w w:val="105"/>
        </w:rPr>
        <w:t>Antihistamines </w:t>
      </w:r>
      <w:r>
        <w:rPr>
          <w:rFonts w:ascii="Trebuchet MS"/>
          <w:color w:val="008356"/>
          <w:w w:val="105"/>
        </w:rPr>
        <w:t>Aliskiren</w:t>
      </w:r>
    </w:p>
    <w:p>
      <w:pPr>
        <w:pStyle w:val="BodyText"/>
        <w:spacing w:line="138" w:lineRule="exact"/>
        <w:ind w:left="108"/>
      </w:pPr>
      <w:r>
        <w:rPr>
          <w:rFonts w:ascii="Arial"/>
          <w:color w:val="231F1F"/>
          <w:w w:val="235"/>
          <w:position w:val="1"/>
          <w:sz w:val="7"/>
        </w:rPr>
        <w:t>l</w:t>
      </w:r>
      <w:r>
        <w:rPr>
          <w:rFonts w:ascii="Arial"/>
          <w:color w:val="231F1F"/>
          <w:spacing w:val="-33"/>
          <w:w w:val="235"/>
          <w:position w:val="1"/>
          <w:sz w:val="7"/>
        </w:rPr>
        <w:t> </w:t>
      </w:r>
      <w:r>
        <w:rPr>
          <w:rFonts w:ascii="Calibri"/>
          <w:color w:val="231F1F"/>
          <w:w w:val="120"/>
        </w:rPr>
        <w:t>ACE</w:t>
      </w:r>
      <w:r>
        <w:rPr>
          <w:rFonts w:ascii="Calibri"/>
          <w:color w:val="231F1F"/>
          <w:spacing w:val="-22"/>
          <w:w w:val="120"/>
        </w:rPr>
        <w:t> </w:t>
      </w:r>
      <w:r>
        <w:rPr>
          <w:rFonts w:ascii="Calibri"/>
          <w:color w:val="231F1F"/>
          <w:w w:val="120"/>
        </w:rPr>
        <w:t>Inhibitors:</w:t>
      </w:r>
      <w:r>
        <w:rPr>
          <w:rFonts w:ascii="Calibri"/>
          <w:color w:val="231F1F"/>
          <w:spacing w:val="-23"/>
          <w:w w:val="120"/>
        </w:rPr>
        <w:t> </w:t>
      </w:r>
      <w:r>
        <w:rPr>
          <w:color w:val="231F1F"/>
          <w:w w:val="120"/>
        </w:rPr>
        <w:t>increased</w:t>
      </w:r>
      <w:r>
        <w:rPr>
          <w:color w:val="231F1F"/>
          <w:spacing w:val="-25"/>
          <w:w w:val="120"/>
        </w:rPr>
        <w:t> </w:t>
      </w:r>
      <w:r>
        <w:rPr>
          <w:color w:val="231F1F"/>
          <w:w w:val="120"/>
        </w:rPr>
        <w:t>risk</w:t>
      </w:r>
      <w:r>
        <w:rPr>
          <w:color w:val="231F1F"/>
          <w:spacing w:val="-26"/>
          <w:w w:val="120"/>
        </w:rPr>
        <w:t> </w:t>
      </w:r>
      <w:r>
        <w:rPr>
          <w:color w:val="231F1F"/>
          <w:w w:val="120"/>
        </w:rPr>
        <w:t>of</w:t>
      </w:r>
      <w:r>
        <w:rPr>
          <w:color w:val="231F1F"/>
          <w:spacing w:val="-25"/>
          <w:w w:val="120"/>
        </w:rPr>
        <w:t> </w:t>
      </w:r>
      <w:r>
        <w:rPr>
          <w:color w:val="231F1F"/>
          <w:w w:val="120"/>
        </w:rPr>
        <w:t>hyperkalaemia,</w:t>
      </w:r>
      <w:r>
        <w:rPr>
          <w:color w:val="231F1F"/>
          <w:spacing w:val="-26"/>
          <w:w w:val="120"/>
        </w:rPr>
        <w:t> </w:t>
      </w:r>
      <w:r>
        <w:rPr>
          <w:color w:val="231F1F"/>
          <w:w w:val="120"/>
        </w:rPr>
        <w:t>hypotension,</w:t>
      </w:r>
    </w:p>
    <w:p>
      <w:pPr>
        <w:pStyle w:val="BodyText"/>
        <w:ind w:right="126"/>
      </w:pPr>
      <w:r>
        <w:rPr>
          <w:color w:val="231F1F"/>
          <w:w w:val="115"/>
        </w:rPr>
        <w:t>and</w:t>
      </w:r>
      <w:r>
        <w:rPr>
          <w:color w:val="231F1F"/>
          <w:spacing w:val="-9"/>
          <w:w w:val="115"/>
        </w:rPr>
        <w:t> </w:t>
      </w:r>
      <w:r>
        <w:rPr>
          <w:color w:val="231F1F"/>
          <w:w w:val="115"/>
        </w:rPr>
        <w:t>impaired</w:t>
      </w:r>
      <w:r>
        <w:rPr>
          <w:color w:val="231F1F"/>
          <w:spacing w:val="-9"/>
          <w:w w:val="115"/>
        </w:rPr>
        <w:t> </w:t>
      </w:r>
      <w:r>
        <w:rPr>
          <w:color w:val="231F1F"/>
          <w:w w:val="115"/>
        </w:rPr>
        <w:t>renal</w:t>
      </w:r>
      <w:r>
        <w:rPr>
          <w:color w:val="231F1F"/>
          <w:spacing w:val="-8"/>
          <w:w w:val="115"/>
        </w:rPr>
        <w:t> </w:t>
      </w:r>
      <w:r>
        <w:rPr>
          <w:color w:val="231F1F"/>
          <w:w w:val="115"/>
        </w:rPr>
        <w:t>function</w:t>
      </w:r>
      <w:r>
        <w:rPr>
          <w:color w:val="231F1F"/>
          <w:spacing w:val="-10"/>
          <w:w w:val="115"/>
        </w:rPr>
        <w:t> </w:t>
      </w:r>
      <w:r>
        <w:rPr>
          <w:color w:val="231F1F"/>
          <w:w w:val="115"/>
        </w:rPr>
        <w:t>when</w:t>
      </w:r>
      <w:r>
        <w:rPr>
          <w:color w:val="231F1F"/>
          <w:spacing w:val="-8"/>
          <w:w w:val="115"/>
        </w:rPr>
        <w:t> </w:t>
      </w:r>
      <w:r>
        <w:rPr>
          <w:color w:val="231F1F"/>
          <w:w w:val="115"/>
        </w:rPr>
        <w:t>aliskiren</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w w:val="115"/>
          <w:sz w:val="11"/>
        </w:rPr>
        <w:t>ACE </w:t>
      </w:r>
      <w:r>
        <w:rPr>
          <w:rFonts w:ascii="Calibri" w:hAnsi="Calibri"/>
          <w:color w:val="008356"/>
          <w:spacing w:val="2"/>
          <w:w w:val="115"/>
          <w:sz w:val="11"/>
        </w:rPr>
        <w:t>INHIBITORS</w:t>
      </w:r>
      <w:r>
        <w:rPr>
          <w:rFonts w:ascii="Arial" w:hAnsi="Arial"/>
          <w:color w:val="231F1F"/>
          <w:spacing w:val="2"/>
          <w:w w:val="115"/>
        </w:rPr>
        <w:t>—</w:t>
      </w:r>
      <w:r>
        <w:rPr>
          <w:color w:val="231F1F"/>
          <w:spacing w:val="2"/>
          <w:w w:val="115"/>
        </w:rPr>
        <w:t>avoid </w:t>
      </w:r>
      <w:r>
        <w:rPr>
          <w:color w:val="231F1F"/>
          <w:w w:val="115"/>
        </w:rPr>
        <w:t>concomitant</w:t>
      </w:r>
      <w:r>
        <w:rPr>
          <w:color w:val="231F1F"/>
          <w:spacing w:val="-15"/>
          <w:w w:val="115"/>
        </w:rPr>
        <w:t> </w:t>
      </w:r>
      <w:r>
        <w:rPr>
          <w:color w:val="231F1F"/>
          <w:w w:val="115"/>
        </w:rPr>
        <w:t>use</w:t>
      </w:r>
    </w:p>
    <w:p>
      <w:pPr>
        <w:pStyle w:val="BodyText"/>
        <w:spacing w:line="220" w:lineRule="auto" w:before="6"/>
        <w:ind w:right="302" w:hanging="100"/>
        <w:rPr>
          <w:rFonts w:ascii="Calibri" w:hAnsi="Calibri"/>
          <w:sz w:val="9"/>
        </w:rPr>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aliskiren possibly antagonised by </w:t>
      </w:r>
      <w:r>
        <w:rPr>
          <w:rFonts w:ascii="Calibri" w:hAnsi="Calibri"/>
          <w:color w:val="008356"/>
          <w:w w:val="105"/>
          <w:sz w:val="11"/>
        </w:rPr>
        <w:t>NSAID</w:t>
      </w:r>
      <w:r>
        <w:rPr>
          <w:rFonts w:ascii="Calibri" w:hAnsi="Calibri"/>
          <w:color w:val="008356"/>
          <w:w w:val="105"/>
          <w:sz w:val="9"/>
        </w:rPr>
        <w:t>S</w:t>
      </w:r>
    </w:p>
    <w:p>
      <w:pPr>
        <w:pStyle w:val="BodyText"/>
        <w:spacing w:line="242" w:lineRule="auto" w:before="1"/>
        <w:ind w:right="112" w:hanging="100"/>
        <w:rPr>
          <w:rFonts w:ascii="Calibri" w:hAnsi="Calibri"/>
          <w:sz w:val="11"/>
        </w:rPr>
      </w:pPr>
      <w:r>
        <w:rPr>
          <w:rFonts w:ascii="Arial" w:hAnsi="Arial"/>
          <w:color w:val="231F1F"/>
          <w:w w:val="355"/>
          <w:position w:val="1"/>
          <w:sz w:val="7"/>
        </w:rPr>
        <w:t>l </w:t>
      </w:r>
      <w:r>
        <w:rPr>
          <w:rFonts w:ascii="Calibri" w:hAnsi="Calibri"/>
          <w:color w:val="231F1F"/>
          <w:w w:val="110"/>
        </w:rPr>
        <w:t>Angiotensin-II Receptor Antagonists: </w:t>
      </w:r>
      <w:r>
        <w:rPr>
          <w:color w:val="231F1F"/>
          <w:w w:val="110"/>
        </w:rPr>
        <w:t>increased risk of hyperkalaemia, hypotension, and impaired renal function when aliskiren given with </w:t>
      </w:r>
      <w:r>
        <w:rPr>
          <w:rFonts w:ascii="Arial" w:hAnsi="Arial"/>
          <w:color w:val="231F1F"/>
          <w:w w:val="355"/>
          <w:position w:val="1"/>
          <w:sz w:val="7"/>
        </w:rPr>
        <w:t>l </w:t>
      </w:r>
      <w:r>
        <w:rPr>
          <w:rFonts w:ascii="Calibri" w:hAnsi="Calibri"/>
          <w:color w:val="008356"/>
          <w:w w:val="110"/>
          <w:sz w:val="11"/>
        </w:rPr>
        <w:t>ANGIOTENSIN-II RECEPTOR ANTAGONISTS</w:t>
      </w:r>
      <w:r>
        <w:rPr>
          <w:rFonts w:ascii="Arial" w:hAnsi="Arial"/>
          <w:color w:val="231F1F"/>
          <w:w w:val="110"/>
        </w:rPr>
        <w:t>—</w:t>
      </w:r>
      <w:r>
        <w:rPr>
          <w:color w:val="231F1F"/>
          <w:w w:val="110"/>
        </w:rPr>
        <w:t>avoid concomitant use; plasma concentration of aliskiren possibly reduced by </w:t>
      </w:r>
      <w:r>
        <w:rPr>
          <w:rFonts w:ascii="Calibri" w:hAnsi="Calibri"/>
          <w:color w:val="008356"/>
          <w:w w:val="110"/>
          <w:sz w:val="11"/>
        </w:rPr>
        <w:t>IRBESARTAN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aliskiren reduced by</w:t>
      </w:r>
    </w:p>
    <w:p>
      <w:pPr>
        <w:spacing w:line="131" w:lineRule="exact" w:before="0"/>
        <w:ind w:left="208" w:right="0" w:firstLine="0"/>
        <w:jc w:val="left"/>
        <w:rPr>
          <w:rFonts w:ascii="Calibri"/>
          <w:sz w:val="11"/>
        </w:rPr>
      </w:pPr>
      <w:r>
        <w:rPr>
          <w:rFonts w:ascii="Calibri"/>
          <w:color w:val="008356"/>
          <w:sz w:val="11"/>
        </w:rPr>
        <w:t>RIFAMPICIN</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increased risk of hyperkalaemia when aliskiren given with </w:t>
      </w:r>
      <w:r>
        <w:rPr>
          <w:rFonts w:ascii="Calibri" w:hAnsi="Calibri"/>
          <w:color w:val="008356"/>
          <w:w w:val="105"/>
          <w:sz w:val="11"/>
        </w:rPr>
        <w:t>HEPARINS</w:t>
      </w:r>
    </w:p>
    <w:p>
      <w:pPr>
        <w:pStyle w:val="BodyText"/>
        <w:ind w:right="152"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aliskiren increased by </w:t>
      </w:r>
      <w:r>
        <w:rPr>
          <w:rFonts w:ascii="Calibri" w:hAnsi="Calibri"/>
          <w:color w:val="008356"/>
          <w:spacing w:val="4"/>
          <w:w w:val="110"/>
          <w:sz w:val="11"/>
        </w:rPr>
        <w:t>KETOCONAZOLE</w:t>
      </w:r>
      <w:r>
        <w:rPr>
          <w:color w:val="231F1F"/>
          <w:spacing w:val="4"/>
          <w:w w:val="110"/>
        </w:rPr>
        <w:t>; </w:t>
      </w:r>
      <w:r>
        <w:rPr>
          <w:color w:val="231F1F"/>
          <w:w w:val="110"/>
        </w:rPr>
        <w:t>plasma concentration of aliskiren increased by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0"/>
          <w:sz w:val="11"/>
        </w:rPr>
        <w:t>ITRACONAZOLE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aliskiren increased by </w:t>
      </w:r>
      <w:r>
        <w:rPr>
          <w:rFonts w:ascii="Calibri" w:hAnsi="Calibri"/>
          <w:color w:val="008356"/>
          <w:w w:val="105"/>
          <w:sz w:val="11"/>
        </w:rPr>
        <w:t>VERAPAMIL</w:t>
      </w:r>
    </w:p>
    <w:p>
      <w:pPr>
        <w:pStyle w:val="BodyText"/>
        <w:spacing w:line="145" w:lineRule="exact"/>
        <w:ind w:left="108"/>
      </w:pPr>
      <w:r>
        <w:rPr>
          <w:rFonts w:ascii="Arial"/>
          <w:color w:val="231F1F"/>
          <w:w w:val="355"/>
          <w:position w:val="1"/>
          <w:sz w:val="7"/>
        </w:rPr>
        <w:t>l </w:t>
      </w:r>
      <w:r>
        <w:rPr>
          <w:rFonts w:ascii="Calibri"/>
          <w:color w:val="231F1F"/>
          <w:w w:val="115"/>
        </w:rPr>
        <w:t>Ciclosporin: </w:t>
      </w:r>
      <w:r>
        <w:rPr>
          <w:color w:val="231F1F"/>
          <w:w w:val="115"/>
        </w:rPr>
        <w:t>plasma concentration of aliskiren increased by</w:t>
      </w:r>
    </w:p>
    <w:p>
      <w:pPr>
        <w:spacing w:line="140" w:lineRule="exact" w:before="0"/>
        <w:ind w:left="208" w:right="0" w:firstLine="0"/>
        <w:jc w:val="both"/>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CICLOSPORIN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spacing w:line="240"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Diuretics: </w:t>
      </w:r>
      <w:r>
        <w:rPr>
          <w:color w:val="231F1F"/>
          <w:w w:val="110"/>
          <w:sz w:val="12"/>
        </w:rPr>
        <w:t>aliskiren reduces plasma concentration of </w:t>
      </w:r>
      <w:r>
        <w:rPr>
          <w:rFonts w:ascii="Calibri" w:hAnsi="Calibri"/>
          <w:color w:val="008356"/>
          <w:w w:val="110"/>
          <w:sz w:val="11"/>
        </w:rPr>
        <w:t>FUROSEMIDE</w:t>
      </w:r>
      <w:r>
        <w:rPr>
          <w:color w:val="231F1F"/>
          <w:w w:val="110"/>
          <w:sz w:val="12"/>
        </w:rPr>
        <w:t>; increased risk of hyperkalaemia when aliskiren </w:t>
      </w:r>
      <w:r>
        <w:rPr>
          <w:color w:val="231F1F"/>
          <w:w w:val="105"/>
          <w:sz w:val="12"/>
        </w:rPr>
        <w:t>given with </w:t>
      </w:r>
      <w:r>
        <w:rPr>
          <w:rFonts w:ascii="Calibri" w:hAnsi="Calibri"/>
          <w:color w:val="008356"/>
          <w:w w:val="105"/>
          <w:sz w:val="11"/>
        </w:rPr>
        <w:t>POTASSIUM-SPARING DIURETICS AND ALDOSTERONE </w:t>
      </w:r>
      <w:r>
        <w:rPr>
          <w:rFonts w:ascii="Calibri" w:hAnsi="Calibri"/>
          <w:color w:val="008356"/>
          <w:w w:val="110"/>
          <w:sz w:val="11"/>
        </w:rPr>
        <w:t>ANTAGONISTS</w:t>
      </w:r>
    </w:p>
    <w:p>
      <w:pPr>
        <w:pStyle w:val="BodyText"/>
        <w:spacing w:line="142" w:lineRule="exact"/>
        <w:ind w:left="108"/>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Grapefruit</w:t>
      </w:r>
      <w:r>
        <w:rPr>
          <w:rFonts w:ascii="Calibri"/>
          <w:color w:val="231F1F"/>
          <w:spacing w:val="-12"/>
          <w:w w:val="115"/>
        </w:rPr>
        <w:t> </w:t>
      </w:r>
      <w:r>
        <w:rPr>
          <w:rFonts w:ascii="Calibri"/>
          <w:color w:val="231F1F"/>
          <w:w w:val="115"/>
        </w:rPr>
        <w:t>Juice:</w:t>
      </w:r>
      <w:r>
        <w:rPr>
          <w:rFonts w:asci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aliskiren</w:t>
      </w:r>
      <w:r>
        <w:rPr>
          <w:color w:val="231F1F"/>
          <w:spacing w:val="-14"/>
          <w:w w:val="115"/>
        </w:rPr>
        <w:t> </w:t>
      </w:r>
      <w:r>
        <w:rPr>
          <w:color w:val="231F1F"/>
          <w:w w:val="115"/>
        </w:rPr>
        <w:t>reduced</w:t>
      </w:r>
      <w:r>
        <w:rPr>
          <w:color w:val="231F1F"/>
          <w:spacing w:val="-14"/>
          <w:w w:val="115"/>
        </w:rPr>
        <w:t> </w:t>
      </w:r>
      <w:r>
        <w:rPr>
          <w:color w:val="231F1F"/>
          <w:w w:val="115"/>
        </w:rPr>
        <w:t>by</w:t>
      </w:r>
    </w:p>
    <w:p>
      <w:pPr>
        <w:spacing w:line="140"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GRAPEFRUIT </w:t>
      </w:r>
      <w:r>
        <w:rPr>
          <w:rFonts w:ascii="Calibri" w:hAnsi="Calibri"/>
          <w:color w:val="008356"/>
          <w:spacing w:val="2"/>
          <w:w w:val="110"/>
          <w:sz w:val="11"/>
        </w:rPr>
        <w:t>JUICE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20" w:lineRule="auto" w:before="6"/>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10"/>
        </w:rPr>
        <w:t>Potassium Salts: </w:t>
      </w:r>
      <w:r>
        <w:rPr>
          <w:color w:val="231F1F"/>
          <w:w w:val="110"/>
        </w:rPr>
        <w:t>increased risk of hyperkalaemia when aliskiren given with </w:t>
      </w:r>
      <w:r>
        <w:rPr>
          <w:rFonts w:ascii="Calibri" w:hAnsi="Calibri"/>
          <w:color w:val="008356"/>
          <w:w w:val="110"/>
          <w:sz w:val="11"/>
        </w:rPr>
        <w:t>POTASSIUM SALTS</w:t>
      </w:r>
    </w:p>
    <w:p>
      <w:pPr>
        <w:pStyle w:val="BodyText"/>
        <w:spacing w:before="9"/>
        <w:ind w:left="108"/>
      </w:pPr>
      <w:r>
        <w:rPr>
          <w:rFonts w:ascii="Trebuchet MS"/>
          <w:color w:val="008356"/>
          <w:w w:val="105"/>
        </w:rPr>
        <w:t>Alitretinoin </w:t>
      </w:r>
      <w:r>
        <w:rPr>
          <w:i/>
          <w:color w:val="231F1F"/>
          <w:w w:val="105"/>
        </w:rPr>
        <w:t>see </w:t>
      </w:r>
      <w:r>
        <w:rPr>
          <w:color w:val="231F1F"/>
          <w:w w:val="105"/>
        </w:rPr>
        <w:t>Retinoids</w:t>
      </w:r>
    </w:p>
    <w:p>
      <w:pPr>
        <w:pStyle w:val="BodyText"/>
        <w:spacing w:line="244" w:lineRule="auto" w:before="10"/>
        <w:ind w:hanging="100"/>
      </w:pPr>
      <w:r>
        <w:rPr>
          <w:rFonts w:ascii="Trebuchet MS"/>
          <w:color w:val="008356"/>
          <w:w w:val="110"/>
        </w:rPr>
        <w:t>Alkylating Drugs </w:t>
      </w:r>
      <w:r>
        <w:rPr>
          <w:i/>
          <w:color w:val="231F1F"/>
          <w:w w:val="110"/>
        </w:rPr>
        <w:t>see </w:t>
      </w:r>
      <w:r>
        <w:rPr>
          <w:color w:val="231F1F"/>
          <w:w w:val="110"/>
        </w:rPr>
        <w:t>Bendamustine, Busulfan, Carmustine, Cyclophosphamide, Estramustine, Ifosfamide, Lomustine, Melphalan, and Thiotepa</w:t>
      </w:r>
    </w:p>
    <w:p>
      <w:pPr>
        <w:pStyle w:val="BodyText"/>
        <w:spacing w:before="10"/>
        <w:ind w:left="108"/>
        <w:rPr>
          <w:rFonts w:ascii="Trebuchet MS"/>
        </w:rPr>
      </w:pPr>
      <w:r>
        <w:rPr>
          <w:rFonts w:ascii="Trebuchet MS"/>
          <w:color w:val="008356"/>
        </w:rPr>
        <w:t>Allopurinol</w:t>
      </w:r>
    </w:p>
    <w:p>
      <w:pPr>
        <w:pStyle w:val="BodyText"/>
        <w:spacing w:line="235" w:lineRule="auto" w:before="2"/>
        <w:ind w:right="134" w:hanging="100"/>
        <w:jc w:val="both"/>
      </w:pPr>
      <w:r>
        <w:rPr>
          <w:rFonts w:ascii="Lucida Sans Unicode" w:hAnsi="Lucida Sans Unicode"/>
          <w:color w:val="A7A8AC"/>
          <w:w w:val="95"/>
          <w:sz w:val="10"/>
        </w:rPr>
        <w:t>▶ </w:t>
      </w:r>
      <w:r>
        <w:rPr>
          <w:rFonts w:ascii="Calibri" w:hAnsi="Calibri"/>
          <w:color w:val="231F1F"/>
          <w:w w:val="110"/>
        </w:rPr>
        <w:t>ACE Inhibitors: </w:t>
      </w:r>
      <w:r>
        <w:rPr>
          <w:color w:val="231F1F"/>
          <w:w w:val="110"/>
        </w:rPr>
        <w:t>manufacturers state possible increased risk of leucopenia and hypersensitivity reactions when allopurinol given with </w:t>
      </w:r>
      <w:r>
        <w:rPr>
          <w:rFonts w:ascii="Calibri" w:hAnsi="Calibri"/>
          <w:color w:val="008356"/>
          <w:w w:val="110"/>
          <w:sz w:val="11"/>
        </w:rPr>
        <w:t>ACE INHIBITORS </w:t>
      </w:r>
      <w:r>
        <w:rPr>
          <w:color w:val="231F1F"/>
          <w:w w:val="110"/>
        </w:rPr>
        <w:t>especially in renal impairment</w:t>
      </w:r>
    </w:p>
    <w:p>
      <w:pPr>
        <w:pStyle w:val="BodyText"/>
        <w:spacing w:line="220" w:lineRule="auto" w:before="6"/>
        <w:ind w:right="576"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allopurinol possibly increases plasma concentration of </w:t>
      </w:r>
      <w:r>
        <w:rPr>
          <w:rFonts w:ascii="Calibri" w:hAnsi="Calibri"/>
          <w:color w:val="008356"/>
          <w:w w:val="105"/>
          <w:sz w:val="11"/>
        </w:rPr>
        <w:t>AMINOPHYLLINE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Allopurinol </w:t>
      </w:r>
      <w:r>
        <w:rPr>
          <w:rFonts w:ascii="Calibri"/>
          <w:color w:val="231F1F"/>
        </w:rPr>
        <w:t>(continued)</w:t>
      </w:r>
    </w:p>
    <w:p>
      <w:pPr>
        <w:spacing w:line="220" w:lineRule="auto" w:before="6"/>
        <w:ind w:left="208" w:right="870" w:hanging="100"/>
        <w:jc w:val="left"/>
        <w:rPr>
          <w:rFonts w:ascii="Calibri" w:hAnsi="Calibri"/>
          <w:sz w:val="11"/>
        </w:rPr>
      </w:pPr>
      <w:r>
        <w:rPr/>
        <w:pict>
          <v:rect style="position:absolute;margin-left:398.891296pt;margin-top:-8.655787pt;width:20.522993pt;height:149.443pt;mso-position-horizontal-relative:page;mso-position-vertical-relative:paragraph;z-index:1312" filled="true" fillcolor="#bfdbcf" stroked="false">
            <v:fill type="solid"/>
            <w10:wrap type="none"/>
          </v:rect>
        </w:pict>
      </w:r>
      <w:r>
        <w:rPr/>
        <w:pict>
          <v:shape style="position:absolute;margin-left:399.725769pt;margin-top:-3.692398pt;width:10.4pt;height:78.850pt;mso-position-horizontal-relative:page;mso-position-vertical-relative:paragraph;z-index:133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increased risk of rash when allopurinol given with </w:t>
      </w:r>
      <w:r>
        <w:rPr>
          <w:rFonts w:ascii="Calibri" w:hAnsi="Calibri"/>
          <w:color w:val="008356"/>
          <w:w w:val="105"/>
          <w:sz w:val="11"/>
        </w:rPr>
        <w:t>AMOXICILLIN</w:t>
      </w:r>
      <w:r>
        <w:rPr>
          <w:color w:val="231F1F"/>
          <w:w w:val="105"/>
          <w:sz w:val="12"/>
        </w:rPr>
        <w:t>, </w:t>
      </w:r>
      <w:r>
        <w:rPr>
          <w:rFonts w:ascii="Calibri" w:hAnsi="Calibri"/>
          <w:color w:val="008356"/>
          <w:w w:val="105"/>
          <w:sz w:val="11"/>
        </w:rPr>
        <w:t>AMPICILLIN </w:t>
      </w:r>
      <w:r>
        <w:rPr>
          <w:color w:val="231F1F"/>
          <w:w w:val="105"/>
          <w:sz w:val="12"/>
        </w:rPr>
        <w:t>or </w:t>
      </w:r>
      <w:r>
        <w:rPr>
          <w:rFonts w:ascii="Calibri" w:hAnsi="Calibri"/>
          <w:color w:val="008356"/>
          <w:w w:val="105"/>
          <w:sz w:val="11"/>
        </w:rPr>
        <w:t>CO-AMOXICLAV</w:t>
      </w:r>
    </w:p>
    <w:p>
      <w:pPr>
        <w:pStyle w:val="BodyText"/>
        <w:spacing w:line="220" w:lineRule="auto" w:before="9"/>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allopurinol possibly enhances anticoagulant effect of </w:t>
      </w:r>
      <w:r>
        <w:rPr>
          <w:rFonts w:ascii="Calibri" w:hAnsi="Calibri"/>
          <w:color w:val="008356"/>
          <w:w w:val="105"/>
          <w:sz w:val="11"/>
        </w:rPr>
        <w:t>COUMARINS</w:t>
      </w:r>
    </w:p>
    <w:p>
      <w:pPr>
        <w:pStyle w:val="BodyText"/>
        <w:spacing w:line="146" w:lineRule="exact"/>
        <w:ind w:left="108"/>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Antivirals: </w:t>
      </w:r>
      <w:r>
        <w:rPr>
          <w:color w:val="231F1F"/>
          <w:w w:val="115"/>
        </w:rPr>
        <w:t>allopurinol increases plasma concentration of</w:t>
      </w:r>
    </w:p>
    <w:p>
      <w:pPr>
        <w:spacing w:line="140"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DIDANOSINE </w:t>
      </w:r>
      <w:r>
        <w:rPr>
          <w:color w:val="231F1F"/>
          <w:w w:val="115"/>
          <w:sz w:val="12"/>
        </w:rPr>
        <w:t>(risk of toxicity)</w:t>
      </w:r>
      <w:r>
        <w:rPr>
          <w:rFonts w:ascii="Arial" w:hAnsi="Arial"/>
          <w:color w:val="231F1F"/>
          <w:w w:val="115"/>
          <w:sz w:val="12"/>
        </w:rPr>
        <w:t>—</w:t>
      </w:r>
      <w:r>
        <w:rPr>
          <w:color w:val="231F1F"/>
          <w:w w:val="115"/>
          <w:sz w:val="12"/>
        </w:rPr>
        <w:t>avoid concomitant use</w:t>
      </w:r>
    </w:p>
    <w:p>
      <w:pPr>
        <w:pStyle w:val="BodyText"/>
        <w:ind w:right="762" w:hanging="100"/>
      </w:pPr>
      <w:r>
        <w:rPr>
          <w:rFonts w:ascii="Arial"/>
          <w:color w:val="231F1F"/>
          <w:w w:val="355"/>
          <w:position w:val="1"/>
          <w:sz w:val="7"/>
        </w:rPr>
        <w:t>l </w:t>
      </w:r>
      <w:r>
        <w:rPr>
          <w:rFonts w:ascii="Calibri"/>
          <w:color w:val="231F1F"/>
          <w:w w:val="110"/>
        </w:rPr>
        <w:t>Azathioprine: </w:t>
      </w:r>
      <w:r>
        <w:rPr>
          <w:color w:val="231F1F"/>
          <w:w w:val="110"/>
        </w:rPr>
        <w:t>allopurinol enhances effects and increases toxicity of </w:t>
      </w:r>
      <w:r>
        <w:rPr>
          <w:rFonts w:ascii="Arial"/>
          <w:color w:val="231F1F"/>
          <w:w w:val="355"/>
          <w:position w:val="1"/>
          <w:sz w:val="7"/>
        </w:rPr>
        <w:t>l </w:t>
      </w:r>
      <w:r>
        <w:rPr>
          <w:rFonts w:ascii="Calibri"/>
          <w:color w:val="008356"/>
          <w:w w:val="110"/>
          <w:sz w:val="11"/>
        </w:rPr>
        <w:t>AZATHIOPRINE </w:t>
      </w:r>
      <w:r>
        <w:rPr>
          <w:color w:val="231F1F"/>
          <w:w w:val="110"/>
        </w:rPr>
        <w:t>(reduce dose of azathioprine to one quarter of usual dose)</w:t>
      </w:r>
    </w:p>
    <w:p>
      <w:pPr>
        <w:pStyle w:val="BodyText"/>
        <w:spacing w:line="220" w:lineRule="auto" w:before="10"/>
        <w:ind w:right="762" w:hanging="100"/>
      </w:pPr>
      <w:r>
        <w:rPr>
          <w:rFonts w:ascii="Lucida Sans Unicode" w:hAnsi="Lucida Sans Unicode"/>
          <w:color w:val="A7A8AC"/>
          <w:w w:val="95"/>
          <w:sz w:val="10"/>
        </w:rPr>
        <w:t>▶ </w:t>
      </w:r>
      <w:r>
        <w:rPr>
          <w:rFonts w:ascii="Calibri" w:hAnsi="Calibri"/>
          <w:color w:val="231F1F"/>
          <w:w w:val="110"/>
        </w:rPr>
        <w:t>Ciclosporin: </w:t>
      </w:r>
      <w:r>
        <w:rPr>
          <w:color w:val="231F1F"/>
          <w:w w:val="110"/>
        </w:rPr>
        <w:t>allopurinol possibly increases plasma concentration of </w:t>
      </w:r>
      <w:r>
        <w:rPr>
          <w:rFonts w:ascii="Calibri" w:hAnsi="Calibri"/>
          <w:color w:val="008356"/>
          <w:w w:val="110"/>
          <w:sz w:val="11"/>
        </w:rPr>
        <w:t>CICLOSPORIN </w:t>
      </w:r>
      <w:r>
        <w:rPr>
          <w:color w:val="231F1F"/>
          <w:w w:val="110"/>
        </w:rPr>
        <w:t>(risk of nephrotoxicity)</w:t>
      </w:r>
    </w:p>
    <w:p>
      <w:pPr>
        <w:pStyle w:val="BodyText"/>
        <w:spacing w:line="242" w:lineRule="auto"/>
        <w:ind w:right="662" w:hanging="100"/>
      </w:pPr>
      <w:r>
        <w:rPr>
          <w:rFonts w:ascii="Arial"/>
          <w:color w:val="231F1F"/>
          <w:w w:val="355"/>
          <w:position w:val="1"/>
          <w:sz w:val="7"/>
        </w:rPr>
        <w:t>l </w:t>
      </w:r>
      <w:r>
        <w:rPr>
          <w:rFonts w:ascii="Calibri"/>
          <w:color w:val="231F1F"/>
          <w:w w:val="110"/>
        </w:rPr>
        <w:t>Cytotoxics: </w:t>
      </w:r>
      <w:r>
        <w:rPr>
          <w:color w:val="231F1F"/>
          <w:w w:val="110"/>
        </w:rPr>
        <w:t>avoidance of allopurinol advised by manufacturer of </w:t>
      </w:r>
      <w:r>
        <w:rPr>
          <w:rFonts w:ascii="Arial"/>
          <w:color w:val="231F1F"/>
          <w:w w:val="355"/>
          <w:position w:val="1"/>
          <w:sz w:val="7"/>
        </w:rPr>
        <w:t>l </w:t>
      </w:r>
      <w:r>
        <w:rPr>
          <w:rFonts w:ascii="Calibri"/>
          <w:color w:val="008356"/>
          <w:w w:val="110"/>
          <w:sz w:val="11"/>
        </w:rPr>
        <w:t>CAPECITABINE</w:t>
      </w:r>
      <w:r>
        <w:rPr>
          <w:color w:val="231F1F"/>
          <w:w w:val="110"/>
        </w:rPr>
        <w:t>; allopurinol enhances effects and increases toxicity of </w:t>
      </w:r>
      <w:r>
        <w:rPr>
          <w:rFonts w:ascii="Arial"/>
          <w:color w:val="231F1F"/>
          <w:w w:val="355"/>
          <w:position w:val="1"/>
          <w:sz w:val="7"/>
        </w:rPr>
        <w:t>l </w:t>
      </w:r>
      <w:r>
        <w:rPr>
          <w:rFonts w:ascii="Calibri"/>
          <w:color w:val="008356"/>
          <w:w w:val="110"/>
          <w:sz w:val="11"/>
        </w:rPr>
        <w:t>MERCAPTOPURINE </w:t>
      </w:r>
      <w:r>
        <w:rPr>
          <w:color w:val="231F1F"/>
          <w:w w:val="110"/>
        </w:rPr>
        <w:t>(reduce dose of mercaptopurine to one quarter of usual dose)</w:t>
      </w:r>
    </w:p>
    <w:p>
      <w:pPr>
        <w:spacing w:line="230" w:lineRule="auto" w:before="2"/>
        <w:ind w:left="208" w:right="762" w:hanging="100"/>
        <w:jc w:val="left"/>
        <w:rPr>
          <w:sz w:val="12"/>
        </w:rPr>
      </w:pPr>
      <w:r>
        <w:rPr>
          <w:rFonts w:ascii="Lucida Sans Unicode" w:hAnsi="Lucida Sans Unicode"/>
          <w:color w:val="A7A8AC"/>
          <w:w w:val="95"/>
          <w:sz w:val="10"/>
        </w:rPr>
        <w:t>▶ </w:t>
      </w:r>
      <w:r>
        <w:rPr>
          <w:rFonts w:ascii="Calibri" w:hAnsi="Calibri"/>
          <w:color w:val="231F1F"/>
          <w:w w:val="110"/>
          <w:sz w:val="12"/>
        </w:rPr>
        <w:t>Diuretics: </w:t>
      </w:r>
      <w:r>
        <w:rPr>
          <w:color w:val="231F1F"/>
          <w:w w:val="110"/>
          <w:sz w:val="12"/>
        </w:rPr>
        <w:t>increased risk of hypersensitivity when allopurinol given with </w:t>
      </w:r>
      <w:r>
        <w:rPr>
          <w:rFonts w:ascii="Calibri" w:hAnsi="Calibri"/>
          <w:color w:val="008356"/>
          <w:w w:val="110"/>
          <w:sz w:val="11"/>
        </w:rPr>
        <w:t>THIAZIDES AND RELATED DIURETICS </w:t>
      </w:r>
      <w:r>
        <w:rPr>
          <w:color w:val="231F1F"/>
          <w:w w:val="110"/>
          <w:sz w:val="12"/>
        </w:rPr>
        <w:t>especially in renal impairment</w:t>
      </w:r>
    </w:p>
    <w:p>
      <w:pPr>
        <w:pStyle w:val="BodyText"/>
        <w:spacing w:line="220" w:lineRule="auto" w:before="13"/>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allopurinol possibly increases plasma concentration of </w:t>
      </w:r>
      <w:r>
        <w:rPr>
          <w:rFonts w:ascii="Calibri" w:hAnsi="Calibri"/>
          <w:color w:val="008356"/>
          <w:w w:val="105"/>
          <w:sz w:val="11"/>
        </w:rPr>
        <w:t>THEOPHYLLINE</w:t>
      </w:r>
    </w:p>
    <w:p>
      <w:pPr>
        <w:pStyle w:val="BodyText"/>
        <w:spacing w:before="10"/>
        <w:ind w:left="108"/>
      </w:pPr>
      <w:r>
        <w:rPr>
          <w:rFonts w:ascii="Trebuchet MS"/>
          <w:color w:val="008356"/>
          <w:w w:val="110"/>
        </w:rPr>
        <w:t>Almotriptan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08"/>
      </w:pPr>
      <w:r>
        <w:rPr>
          <w:rFonts w:ascii="Trebuchet MS"/>
          <w:color w:val="008356"/>
          <w:w w:val="110"/>
        </w:rPr>
        <w:t>Alogliptin </w:t>
      </w:r>
      <w:r>
        <w:rPr>
          <w:i/>
          <w:color w:val="231F1F"/>
          <w:w w:val="110"/>
        </w:rPr>
        <w:t>see </w:t>
      </w:r>
      <w:r>
        <w:rPr>
          <w:color w:val="231F1F"/>
          <w:w w:val="110"/>
        </w:rPr>
        <w:t>Antidiabetics</w:t>
      </w:r>
    </w:p>
    <w:p>
      <w:pPr>
        <w:pStyle w:val="BodyText"/>
        <w:spacing w:line="244" w:lineRule="auto" w:before="10"/>
        <w:ind w:right="1328" w:hanging="100"/>
      </w:pPr>
      <w:r>
        <w:rPr>
          <w:rFonts w:ascii="Trebuchet MS"/>
          <w:color w:val="008356"/>
          <w:w w:val="105"/>
        </w:rPr>
        <w:t>Alpha</w:t>
      </w:r>
      <w:r>
        <w:rPr>
          <w:rFonts w:ascii="Trebuchet MS"/>
          <w:color w:val="008356"/>
          <w:w w:val="105"/>
          <w:vertAlign w:val="subscript"/>
        </w:rPr>
        <w:t>2</w:t>
      </w:r>
      <w:r>
        <w:rPr>
          <w:rFonts w:ascii="Trebuchet MS"/>
          <w:color w:val="008356"/>
          <w:w w:val="105"/>
          <w:vertAlign w:val="baseline"/>
        </w:rPr>
        <w:t>-adrenoceptor Stimulants </w:t>
      </w:r>
      <w:r>
        <w:rPr>
          <w:i/>
          <w:color w:val="231F1F"/>
          <w:w w:val="105"/>
          <w:vertAlign w:val="baseline"/>
        </w:rPr>
        <w:t>see </w:t>
      </w:r>
      <w:r>
        <w:rPr>
          <w:color w:val="231F1F"/>
          <w:w w:val="105"/>
          <w:vertAlign w:val="baseline"/>
        </w:rPr>
        <w:t>Apraclonidine, </w:t>
      </w:r>
      <w:r>
        <w:rPr>
          <w:color w:val="231F1F"/>
          <w:w w:val="110"/>
          <w:vertAlign w:val="baseline"/>
        </w:rPr>
        <w:t>Brimonidine, Clonidine, and Methyldopa</w:t>
      </w:r>
    </w:p>
    <w:p>
      <w:pPr>
        <w:pStyle w:val="BodyText"/>
        <w:spacing w:line="139" w:lineRule="exact" w:before="9"/>
        <w:ind w:left="108"/>
        <w:rPr>
          <w:rFonts w:ascii="Trebuchet MS"/>
        </w:rPr>
      </w:pPr>
      <w:r>
        <w:rPr>
          <w:rFonts w:ascii="Trebuchet MS"/>
          <w:color w:val="008356"/>
        </w:rPr>
        <w:t>Alpha-blockers</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alpha- blockers given with </w:t>
      </w:r>
      <w:r>
        <w:rPr>
          <w:rFonts w:ascii="Calibri" w:hAnsi="Calibri"/>
          <w:color w:val="008356"/>
          <w:w w:val="105"/>
          <w:sz w:val="11"/>
        </w:rPr>
        <w:t>ACE INHIBITORS</w:t>
      </w:r>
    </w:p>
    <w:p>
      <w:pPr>
        <w:spacing w:line="237" w:lineRule="auto" w:before="2"/>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alpha-blockers given with </w:t>
      </w:r>
      <w:r>
        <w:rPr>
          <w:rFonts w:ascii="Calibri" w:hAnsi="Calibri"/>
          <w:color w:val="008356"/>
          <w:w w:val="105"/>
          <w:sz w:val="11"/>
        </w:rPr>
        <w:t>ADRENERGIC NEURONE BLOCKERS</w:t>
      </w:r>
    </w:p>
    <w:p>
      <w:pPr>
        <w:pStyle w:val="BodyText"/>
        <w:spacing w:line="230" w:lineRule="auto" w:before="2"/>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effect when alpha-blockers given with </w:t>
      </w:r>
      <w:r>
        <w:rPr>
          <w:rFonts w:ascii="Calibri" w:hAnsi="Calibri"/>
          <w:color w:val="008356"/>
          <w:w w:val="110"/>
          <w:sz w:val="11"/>
        </w:rPr>
        <w:t>ALCOHOL</w:t>
      </w:r>
      <w:r>
        <w:rPr>
          <w:color w:val="231F1F"/>
          <w:w w:val="110"/>
        </w:rPr>
        <w:t>; increased sedative effect when indoramin given with </w:t>
      </w:r>
      <w:r>
        <w:rPr>
          <w:rFonts w:ascii="Calibri" w:hAnsi="Calibri"/>
          <w:color w:val="008356"/>
          <w:w w:val="110"/>
          <w:sz w:val="11"/>
        </w:rPr>
        <w:t>ALCOHOL</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alpha- blockers given with </w:t>
      </w:r>
      <w:r>
        <w:rPr>
          <w:rFonts w:ascii="Calibri" w:hAnsi="Calibri"/>
          <w:color w:val="008356"/>
          <w:w w:val="110"/>
          <w:sz w:val="11"/>
        </w:rPr>
        <w:t>ALDESLEUKIN</w:t>
      </w:r>
    </w:p>
    <w:p>
      <w:pPr>
        <w:spacing w:before="0"/>
        <w:ind w:left="208" w:right="991" w:hanging="100"/>
        <w:jc w:val="left"/>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0"/>
          <w:sz w:val="12"/>
        </w:rPr>
        <w:t>Anaesthetics, General: </w:t>
      </w:r>
      <w:r>
        <w:rPr>
          <w:color w:val="231F1F"/>
          <w:w w:val="110"/>
          <w:sz w:val="12"/>
        </w:rPr>
        <w:t>enhanced hypotensive effect </w:t>
      </w:r>
      <w:r>
        <w:rPr>
          <w:color w:val="231F1F"/>
          <w:spacing w:val="-4"/>
          <w:w w:val="110"/>
          <w:sz w:val="12"/>
        </w:rPr>
        <w:t>when </w:t>
      </w:r>
      <w:r>
        <w:rPr>
          <w:color w:val="231F1F"/>
          <w:w w:val="110"/>
          <w:sz w:val="12"/>
        </w:rPr>
        <w:t>alpha-blockers given with </w:t>
      </w:r>
      <w:r>
        <w:rPr>
          <w:rFonts w:ascii="Arial"/>
          <w:color w:val="231F1F"/>
          <w:w w:val="355"/>
          <w:position w:val="1"/>
          <w:sz w:val="7"/>
        </w:rPr>
        <w:t>l </w:t>
      </w:r>
      <w:r>
        <w:rPr>
          <w:rFonts w:ascii="Calibri"/>
          <w:color w:val="008356"/>
          <w:spacing w:val="4"/>
          <w:w w:val="110"/>
          <w:sz w:val="11"/>
        </w:rPr>
        <w:t>GENERAL </w:t>
      </w:r>
      <w:r>
        <w:rPr>
          <w:rFonts w:ascii="Calibri"/>
          <w:color w:val="008356"/>
          <w:spacing w:val="5"/>
          <w:w w:val="110"/>
          <w:sz w:val="11"/>
        </w:rPr>
        <w:t>ANAESTHETICS</w:t>
      </w:r>
    </w:p>
    <w:p>
      <w:pPr>
        <w:pStyle w:val="BodyText"/>
        <w:spacing w:line="220" w:lineRule="auto" w:before="5"/>
        <w:ind w:right="820" w:hanging="100"/>
        <w:rPr>
          <w:rFonts w:ascii="Calibri" w:hAnsi="Calibri"/>
          <w:sz w:val="9"/>
        </w:rPr>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alpha-blockers antagonised by</w:t>
      </w:r>
      <w:r>
        <w:rPr>
          <w:color w:val="231F1F"/>
          <w:spacing w:val="-1"/>
          <w:w w:val="105"/>
        </w:rPr>
        <w:t> </w:t>
      </w:r>
      <w:r>
        <w:rPr>
          <w:rFonts w:ascii="Calibri" w:hAnsi="Calibri"/>
          <w:color w:val="008356"/>
          <w:spacing w:val="4"/>
          <w:w w:val="105"/>
          <w:sz w:val="11"/>
        </w:rPr>
        <w:t>NSAID</w:t>
      </w:r>
      <w:r>
        <w:rPr>
          <w:rFonts w:ascii="Calibri" w:hAnsi="Calibri"/>
          <w:color w:val="008356"/>
          <w:spacing w:val="4"/>
          <w:w w:val="105"/>
          <w:sz w:val="9"/>
        </w:rPr>
        <w:t>S</w:t>
      </w:r>
    </w:p>
    <w:p>
      <w:pPr>
        <w:spacing w:line="237" w:lineRule="auto" w:before="1"/>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alpha-blockers given with </w:t>
      </w:r>
      <w:r>
        <w:rPr>
          <w:rFonts w:ascii="Calibri" w:hAnsi="Calibri"/>
          <w:color w:val="008356"/>
          <w:w w:val="105"/>
          <w:sz w:val="11"/>
        </w:rPr>
        <w:t>ANGIOTENSIN-II RECEPTOR ANTAGONISTS</w:t>
      </w:r>
    </w:p>
    <w:p>
      <w:pPr>
        <w:pStyle w:val="BodyText"/>
        <w:ind w:right="670" w:hanging="100"/>
        <w:rPr>
          <w:rFonts w:ascii="Calibri"/>
          <w:sz w:val="9"/>
        </w:rPr>
      </w:pPr>
      <w:r>
        <w:rPr>
          <w:rFonts w:ascii="Arial"/>
          <w:color w:val="231F1F"/>
          <w:w w:val="355"/>
          <w:position w:val="1"/>
          <w:sz w:val="7"/>
        </w:rPr>
        <w:t>l </w:t>
      </w:r>
      <w:r>
        <w:rPr>
          <w:rFonts w:ascii="Calibri"/>
          <w:color w:val="231F1F"/>
          <w:w w:val="110"/>
        </w:rPr>
        <w:t>Antidepressants: </w:t>
      </w:r>
      <w:r>
        <w:rPr>
          <w:color w:val="231F1F"/>
          <w:w w:val="110"/>
        </w:rPr>
        <w:t>manufacturer of indoramin advises avoid concomitant use with </w:t>
      </w:r>
      <w:r>
        <w:rPr>
          <w:rFonts w:ascii="Arial"/>
          <w:color w:val="231F1F"/>
          <w:w w:val="355"/>
          <w:position w:val="1"/>
          <w:sz w:val="7"/>
        </w:rPr>
        <w:t>l </w:t>
      </w:r>
      <w:r>
        <w:rPr>
          <w:rFonts w:ascii="Calibri"/>
          <w:color w:val="008356"/>
          <w:w w:val="110"/>
          <w:sz w:val="11"/>
        </w:rPr>
        <w:t>MAOIS</w:t>
      </w:r>
      <w:r>
        <w:rPr>
          <w:color w:val="231F1F"/>
          <w:w w:val="110"/>
        </w:rPr>
        <w:t>; enhanced hypotensive effect when alpha-blockers given with </w:t>
      </w:r>
      <w:r>
        <w:rPr>
          <w:rFonts w:ascii="Calibri"/>
          <w:color w:val="008356"/>
          <w:w w:val="110"/>
          <w:sz w:val="11"/>
        </w:rPr>
        <w:t>MAOI</w:t>
      </w:r>
      <w:r>
        <w:rPr>
          <w:rFonts w:ascii="Calibri"/>
          <w:color w:val="008356"/>
          <w:w w:val="110"/>
          <w:sz w:val="9"/>
        </w:rPr>
        <w:t>S</w:t>
      </w:r>
    </w:p>
    <w:p>
      <w:pPr>
        <w:pStyle w:val="BodyText"/>
        <w:ind w:right="1051" w:hanging="100"/>
        <w:rPr>
          <w:rFonts w:ascii="Calibri"/>
          <w:sz w:val="11"/>
        </w:rPr>
      </w:pPr>
      <w:r>
        <w:rPr>
          <w:rFonts w:ascii="Arial"/>
          <w:color w:val="231F1F"/>
          <w:w w:val="355"/>
          <w:position w:val="1"/>
          <w:sz w:val="7"/>
        </w:rPr>
        <w:t>l </w:t>
      </w:r>
      <w:r>
        <w:rPr>
          <w:rFonts w:ascii="Calibri"/>
          <w:color w:val="231F1F"/>
          <w:w w:val="110"/>
        </w:rPr>
        <w:t>Antifungals: </w:t>
      </w:r>
      <w:r>
        <w:rPr>
          <w:color w:val="231F1F"/>
          <w:w w:val="110"/>
        </w:rPr>
        <w:t>plasma concentration of alfuzosin possibly increased by </w:t>
      </w:r>
      <w:r>
        <w:rPr>
          <w:rFonts w:ascii="Calibri"/>
          <w:color w:val="008356"/>
          <w:spacing w:val="4"/>
          <w:w w:val="110"/>
          <w:sz w:val="11"/>
        </w:rPr>
        <w:t>KETOCONAZOLE</w:t>
      </w:r>
      <w:r>
        <w:rPr>
          <w:color w:val="231F1F"/>
          <w:spacing w:val="4"/>
          <w:w w:val="110"/>
        </w:rPr>
        <w:t>; </w:t>
      </w:r>
      <w:r>
        <w:rPr>
          <w:color w:val="231F1F"/>
          <w:w w:val="110"/>
        </w:rPr>
        <w:t>plasma concentration of tamsulosin increased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KETOCONAZOLE</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enhanced hypotensive effect when alpha- blockers given with </w:t>
      </w:r>
      <w:r>
        <w:rPr>
          <w:rFonts w:ascii="Calibri" w:hAnsi="Calibri"/>
          <w:color w:val="008356"/>
          <w:w w:val="110"/>
          <w:sz w:val="11"/>
        </w:rPr>
        <w:t>ANTIPSYCHOTICS</w:t>
      </w:r>
    </w:p>
    <w:p>
      <w:pPr>
        <w:pStyle w:val="BodyText"/>
        <w:spacing w:line="244" w:lineRule="auto"/>
        <w:ind w:right="699" w:hanging="100"/>
      </w:pPr>
      <w:r>
        <w:rPr>
          <w:rFonts w:ascii="Arial" w:hAnsi="Arial"/>
          <w:color w:val="231F1F"/>
          <w:w w:val="120"/>
          <w:position w:val="1"/>
          <w:sz w:val="7"/>
        </w:rPr>
        <w:t>l</w:t>
      </w:r>
      <w:r>
        <w:rPr>
          <w:rFonts w:ascii="Arial" w:hAnsi="Arial"/>
          <w:color w:val="231F1F"/>
          <w:spacing w:val="-10"/>
          <w:w w:val="120"/>
          <w:position w:val="1"/>
          <w:sz w:val="7"/>
        </w:rPr>
        <w:t> </w:t>
      </w:r>
      <w:r>
        <w:rPr>
          <w:rFonts w:ascii="Calibri" w:hAnsi="Calibri"/>
          <w:color w:val="231F1F"/>
          <w:w w:val="120"/>
        </w:rPr>
        <w:t>Antivirals:</w:t>
      </w:r>
      <w:r>
        <w:rPr>
          <w:rFonts w:ascii="Calibri" w:hAnsi="Calibri"/>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w w:val="120"/>
        </w:rPr>
        <w:t>doxazosin</w:t>
      </w:r>
      <w:r>
        <w:rPr>
          <w:color w:val="231F1F"/>
          <w:spacing w:val="-25"/>
          <w:w w:val="120"/>
        </w:rPr>
        <w:t> </w:t>
      </w:r>
      <w:r>
        <w:rPr>
          <w:color w:val="231F1F"/>
          <w:w w:val="120"/>
        </w:rPr>
        <w:t>and</w:t>
      </w:r>
      <w:r>
        <w:rPr>
          <w:color w:val="231F1F"/>
          <w:spacing w:val="-26"/>
          <w:w w:val="120"/>
        </w:rPr>
        <w:t> </w:t>
      </w:r>
      <w:r>
        <w:rPr>
          <w:color w:val="231F1F"/>
          <w:w w:val="120"/>
        </w:rPr>
        <w:t>tamsulosin possibly increased by </w:t>
      </w:r>
      <w:r>
        <w:rPr>
          <w:rFonts w:ascii="Calibri" w:hAnsi="Calibri"/>
          <w:color w:val="008356"/>
          <w:spacing w:val="2"/>
          <w:w w:val="120"/>
          <w:sz w:val="11"/>
        </w:rPr>
        <w:t>BOCEPREVIR</w:t>
      </w:r>
      <w:r>
        <w:rPr>
          <w:rFonts w:ascii="Arial" w:hAnsi="Arial"/>
          <w:color w:val="231F1F"/>
          <w:spacing w:val="2"/>
          <w:w w:val="120"/>
        </w:rPr>
        <w:t>—</w:t>
      </w:r>
      <w:r>
        <w:rPr>
          <w:color w:val="231F1F"/>
          <w:spacing w:val="2"/>
          <w:w w:val="120"/>
        </w:rPr>
        <w:t>manufacturer </w:t>
      </w:r>
      <w:r>
        <w:rPr>
          <w:color w:val="231F1F"/>
          <w:w w:val="120"/>
        </w:rPr>
        <w:t>of boceprevir advises avoid concomitant use; plasma concentration</w:t>
      </w:r>
      <w:r>
        <w:rPr>
          <w:color w:val="231F1F"/>
          <w:spacing w:val="-12"/>
          <w:w w:val="120"/>
        </w:rPr>
        <w:t> </w:t>
      </w:r>
      <w:r>
        <w:rPr>
          <w:color w:val="231F1F"/>
          <w:w w:val="120"/>
        </w:rPr>
        <w:t>of</w:t>
      </w:r>
      <w:r>
        <w:rPr>
          <w:color w:val="231F1F"/>
          <w:spacing w:val="-9"/>
          <w:w w:val="120"/>
        </w:rPr>
        <w:t> </w:t>
      </w:r>
      <w:r>
        <w:rPr>
          <w:color w:val="231F1F"/>
          <w:w w:val="120"/>
        </w:rPr>
        <w:t>alfuzosin</w:t>
      </w:r>
      <w:r>
        <w:rPr>
          <w:color w:val="231F1F"/>
          <w:spacing w:val="-11"/>
          <w:w w:val="120"/>
        </w:rPr>
        <w:t> </w:t>
      </w:r>
      <w:r>
        <w:rPr>
          <w:color w:val="231F1F"/>
          <w:w w:val="120"/>
        </w:rPr>
        <w:t>possibly</w:t>
      </w:r>
      <w:r>
        <w:rPr>
          <w:color w:val="231F1F"/>
          <w:spacing w:val="-10"/>
          <w:w w:val="120"/>
        </w:rPr>
        <w:t> </w:t>
      </w:r>
      <w:r>
        <w:rPr>
          <w:color w:val="231F1F"/>
          <w:w w:val="120"/>
        </w:rPr>
        <w:t>increased</w:t>
      </w:r>
      <w:r>
        <w:rPr>
          <w:color w:val="231F1F"/>
          <w:spacing w:val="-10"/>
          <w:w w:val="120"/>
        </w:rPr>
        <w:t> </w:t>
      </w:r>
      <w:r>
        <w:rPr>
          <w:color w:val="231F1F"/>
          <w:w w:val="120"/>
        </w:rPr>
        <w:t>by</w:t>
      </w:r>
    </w:p>
    <w:p>
      <w:pPr>
        <w:spacing w:line="244" w:lineRule="auto" w:before="0"/>
        <w:ind w:left="208" w:right="754" w:firstLine="0"/>
        <w:jc w:val="left"/>
        <w:rPr>
          <w:rFonts w:ascii="Calibri" w:hAnsi="Calibri"/>
          <w:sz w:val="11"/>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5"/>
          <w:sz w:val="11"/>
        </w:rPr>
        <w:t>RITONAVIR</w:t>
      </w:r>
      <w:r>
        <w:rPr>
          <w:rFonts w:ascii="Arial" w:hAnsi="Arial"/>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w:t>
      </w:r>
      <w:r>
        <w:rPr>
          <w:color w:val="231F1F"/>
          <w:spacing w:val="-23"/>
          <w:w w:val="115"/>
          <w:sz w:val="12"/>
        </w:rPr>
        <w:t> </w:t>
      </w:r>
      <w:r>
        <w:rPr>
          <w:color w:val="231F1F"/>
          <w:w w:val="115"/>
          <w:sz w:val="12"/>
        </w:rPr>
        <w:t>avoidance</w:t>
      </w:r>
      <w:r>
        <w:rPr>
          <w:color w:val="231F1F"/>
          <w:spacing w:val="-24"/>
          <w:w w:val="115"/>
          <w:sz w:val="12"/>
        </w:rPr>
        <w:t> </w:t>
      </w:r>
      <w:r>
        <w:rPr>
          <w:color w:val="231F1F"/>
          <w:w w:val="115"/>
          <w:sz w:val="12"/>
        </w:rPr>
        <w:t>of</w:t>
      </w:r>
      <w:r>
        <w:rPr>
          <w:color w:val="231F1F"/>
          <w:spacing w:val="-23"/>
          <w:w w:val="115"/>
          <w:sz w:val="12"/>
        </w:rPr>
        <w:t> </w:t>
      </w:r>
      <w:r>
        <w:rPr>
          <w:color w:val="231F1F"/>
          <w:w w:val="115"/>
          <w:sz w:val="12"/>
        </w:rPr>
        <w:t>alfuzosin advised</w:t>
      </w:r>
      <w:r>
        <w:rPr>
          <w:color w:val="231F1F"/>
          <w:spacing w:val="-7"/>
          <w:w w:val="115"/>
          <w:sz w:val="12"/>
        </w:rPr>
        <w:t> </w:t>
      </w:r>
      <w:r>
        <w:rPr>
          <w:color w:val="231F1F"/>
          <w:w w:val="115"/>
          <w:sz w:val="12"/>
        </w:rPr>
        <w:t>by</w:t>
      </w:r>
      <w:r>
        <w:rPr>
          <w:color w:val="231F1F"/>
          <w:spacing w:val="-5"/>
          <w:w w:val="115"/>
          <w:sz w:val="12"/>
        </w:rPr>
        <w:t> </w:t>
      </w:r>
      <w:r>
        <w:rPr>
          <w:color w:val="231F1F"/>
          <w:w w:val="115"/>
          <w:sz w:val="12"/>
        </w:rPr>
        <w:t>manufacturer</w:t>
      </w:r>
      <w:r>
        <w:rPr>
          <w:color w:val="231F1F"/>
          <w:spacing w:val="-5"/>
          <w:w w:val="115"/>
          <w:sz w:val="12"/>
        </w:rPr>
        <w:t> </w:t>
      </w:r>
      <w:r>
        <w:rPr>
          <w:color w:val="231F1F"/>
          <w:w w:val="115"/>
          <w:sz w:val="12"/>
        </w:rPr>
        <w:t>of</w:t>
      </w:r>
      <w:r>
        <w:rPr>
          <w:color w:val="231F1F"/>
          <w:spacing w:val="-5"/>
          <w:w w:val="115"/>
          <w:sz w:val="12"/>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5"/>
          <w:w w:val="115"/>
          <w:sz w:val="11"/>
        </w:rPr>
        <w:t>TELAPREVIR</w:t>
      </w:r>
    </w:p>
    <w:p>
      <w:pPr>
        <w:spacing w:line="237" w:lineRule="auto" w:before="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and sedative effects when alpha-blockers given with </w:t>
      </w:r>
      <w:r>
        <w:rPr>
          <w:rFonts w:ascii="Calibri" w:hAnsi="Calibri"/>
          <w:color w:val="008356"/>
          <w:w w:val="105"/>
          <w:sz w:val="11"/>
        </w:rPr>
        <w:t>ANXIOLYTICS AND HYPNOTICS</w:t>
      </w:r>
    </w:p>
    <w:p>
      <w:pPr>
        <w:pStyle w:val="BodyText"/>
        <w:ind w:right="828" w:hanging="100"/>
        <w:jc w:val="both"/>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Avanafil:</w:t>
      </w:r>
      <w:r>
        <w:rPr>
          <w:rFonts w:ascii="Calibri" w:hAnsi="Calibri"/>
          <w:color w:val="231F1F"/>
          <w:spacing w:val="-11"/>
          <w:w w:val="115"/>
        </w:rPr>
        <w:t> </w:t>
      </w:r>
      <w:r>
        <w:rPr>
          <w:color w:val="231F1F"/>
          <w:w w:val="115"/>
        </w:rPr>
        <w:t>enhanced</w:t>
      </w:r>
      <w:r>
        <w:rPr>
          <w:color w:val="231F1F"/>
          <w:spacing w:val="-13"/>
          <w:w w:val="115"/>
        </w:rPr>
        <w:t> </w:t>
      </w:r>
      <w:r>
        <w:rPr>
          <w:color w:val="231F1F"/>
          <w:w w:val="115"/>
        </w:rPr>
        <w:t>hypotensive</w:t>
      </w:r>
      <w:r>
        <w:rPr>
          <w:color w:val="231F1F"/>
          <w:spacing w:val="-14"/>
          <w:w w:val="115"/>
        </w:rPr>
        <w:t> </w:t>
      </w:r>
      <w:r>
        <w:rPr>
          <w:color w:val="231F1F"/>
          <w:w w:val="115"/>
        </w:rPr>
        <w:t>effect</w:t>
      </w:r>
      <w:r>
        <w:rPr>
          <w:color w:val="231F1F"/>
          <w:spacing w:val="-14"/>
          <w:w w:val="115"/>
        </w:rPr>
        <w:t> </w:t>
      </w:r>
      <w:r>
        <w:rPr>
          <w:color w:val="231F1F"/>
          <w:w w:val="115"/>
        </w:rPr>
        <w:t>when</w:t>
      </w:r>
      <w:r>
        <w:rPr>
          <w:color w:val="231F1F"/>
          <w:spacing w:val="-13"/>
          <w:w w:val="115"/>
        </w:rPr>
        <w:t> </w:t>
      </w:r>
      <w:r>
        <w:rPr>
          <w:color w:val="231F1F"/>
          <w:w w:val="115"/>
        </w:rPr>
        <w:t>alpha-blockers given</w:t>
      </w:r>
      <w:r>
        <w:rPr>
          <w:color w:val="231F1F"/>
          <w:spacing w:val="-12"/>
          <w:w w:val="115"/>
        </w:rPr>
        <w:t> </w:t>
      </w:r>
      <w:r>
        <w:rPr>
          <w:color w:val="231F1F"/>
          <w:w w:val="115"/>
        </w:rPr>
        <w:t>with</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when</w:t>
      </w:r>
      <w:r>
        <w:rPr>
          <w:color w:val="231F1F"/>
          <w:spacing w:val="-12"/>
          <w:w w:val="115"/>
        </w:rPr>
        <w:t> </w:t>
      </w:r>
      <w:r>
        <w:rPr>
          <w:color w:val="231F1F"/>
          <w:w w:val="115"/>
        </w:rPr>
        <w:t>patient</w:t>
      </w:r>
      <w:r>
        <w:rPr>
          <w:color w:val="231F1F"/>
          <w:spacing w:val="-11"/>
          <w:w w:val="115"/>
        </w:rPr>
        <w:t> </w:t>
      </w:r>
      <w:r>
        <w:rPr>
          <w:color w:val="231F1F"/>
          <w:w w:val="115"/>
        </w:rPr>
        <w:t>is</w:t>
      </w:r>
      <w:r>
        <w:rPr>
          <w:color w:val="231F1F"/>
          <w:spacing w:val="-11"/>
          <w:w w:val="115"/>
        </w:rPr>
        <w:t> </w:t>
      </w:r>
      <w:r>
        <w:rPr>
          <w:color w:val="231F1F"/>
          <w:w w:val="115"/>
        </w:rPr>
        <w:t>stable</w:t>
      </w:r>
      <w:r>
        <w:rPr>
          <w:color w:val="231F1F"/>
          <w:spacing w:val="-11"/>
          <w:w w:val="115"/>
        </w:rPr>
        <w:t> </w:t>
      </w:r>
      <w:r>
        <w:rPr>
          <w:color w:val="231F1F"/>
          <w:w w:val="115"/>
        </w:rPr>
        <w:t>on</w:t>
      </w:r>
      <w:r>
        <w:rPr>
          <w:color w:val="231F1F"/>
          <w:spacing w:val="-11"/>
          <w:w w:val="115"/>
        </w:rPr>
        <w:t> </w:t>
      </w:r>
      <w:r>
        <w:rPr>
          <w:color w:val="231F1F"/>
          <w:w w:val="115"/>
        </w:rPr>
        <w:t>the</w:t>
      </w:r>
      <w:r>
        <w:rPr>
          <w:color w:val="231F1F"/>
          <w:spacing w:val="-11"/>
          <w:w w:val="115"/>
        </w:rPr>
        <w:t> </w:t>
      </w:r>
      <w:r>
        <w:rPr>
          <w:color w:val="231F1F"/>
          <w:w w:val="115"/>
        </w:rPr>
        <w:t>alpha blocker</w:t>
      </w:r>
      <w:r>
        <w:rPr>
          <w:color w:val="231F1F"/>
          <w:spacing w:val="-5"/>
          <w:w w:val="115"/>
        </w:rPr>
        <w:t> </w:t>
      </w:r>
      <w:r>
        <w:rPr>
          <w:color w:val="231F1F"/>
          <w:w w:val="115"/>
        </w:rPr>
        <w:t>initiate</w:t>
      </w:r>
      <w:r>
        <w:rPr>
          <w:color w:val="231F1F"/>
          <w:spacing w:val="-4"/>
          <w:w w:val="115"/>
        </w:rPr>
        <w:t> </w:t>
      </w:r>
      <w:r>
        <w:rPr>
          <w:color w:val="231F1F"/>
          <w:w w:val="115"/>
        </w:rPr>
        <w:t>avanafil</w:t>
      </w:r>
      <w:r>
        <w:rPr>
          <w:color w:val="231F1F"/>
          <w:spacing w:val="-5"/>
          <w:w w:val="115"/>
        </w:rPr>
        <w:t> </w:t>
      </w:r>
      <w:r>
        <w:rPr>
          <w:color w:val="231F1F"/>
          <w:w w:val="115"/>
        </w:rPr>
        <w:t>at</w:t>
      </w:r>
      <w:r>
        <w:rPr>
          <w:color w:val="231F1F"/>
          <w:spacing w:val="-4"/>
          <w:w w:val="115"/>
        </w:rPr>
        <w:t> </w:t>
      </w:r>
      <w:r>
        <w:rPr>
          <w:color w:val="231F1F"/>
          <w:w w:val="115"/>
        </w:rPr>
        <w:t>the</w:t>
      </w:r>
      <w:r>
        <w:rPr>
          <w:color w:val="231F1F"/>
          <w:spacing w:val="-4"/>
          <w:w w:val="115"/>
        </w:rPr>
        <w:t> </w:t>
      </w:r>
      <w:r>
        <w:rPr>
          <w:color w:val="231F1F"/>
          <w:w w:val="115"/>
        </w:rPr>
        <w:t>lowest</w:t>
      </w:r>
      <w:r>
        <w:rPr>
          <w:color w:val="231F1F"/>
          <w:spacing w:val="-3"/>
          <w:w w:val="115"/>
        </w:rPr>
        <w:t> </w:t>
      </w:r>
      <w:r>
        <w:rPr>
          <w:color w:val="231F1F"/>
          <w:w w:val="115"/>
        </w:rPr>
        <w:t>possible</w:t>
      </w:r>
      <w:r>
        <w:rPr>
          <w:color w:val="231F1F"/>
          <w:spacing w:val="-5"/>
          <w:w w:val="115"/>
        </w:rPr>
        <w:t> </w:t>
      </w:r>
      <w:r>
        <w:rPr>
          <w:color w:val="231F1F"/>
          <w:w w:val="115"/>
        </w:rPr>
        <w:t>dose</w:t>
      </w:r>
    </w:p>
    <w:p>
      <w:pPr>
        <w:pStyle w:val="BodyText"/>
        <w:spacing w:line="244" w:lineRule="auto"/>
        <w:ind w:right="820" w:hanging="100"/>
      </w:pPr>
      <w:r>
        <w:rPr>
          <w:rFonts w:ascii="Arial"/>
          <w:color w:val="231F1F"/>
          <w:w w:val="355"/>
          <w:position w:val="1"/>
          <w:sz w:val="7"/>
        </w:rPr>
        <w:t>l </w:t>
      </w:r>
      <w:r>
        <w:rPr>
          <w:rFonts w:ascii="Calibri"/>
          <w:color w:val="231F1F"/>
          <w:w w:val="110"/>
        </w:rPr>
        <w:t>Beta-blockers: </w:t>
      </w:r>
      <w:r>
        <w:rPr>
          <w:color w:val="231F1F"/>
          <w:w w:val="110"/>
        </w:rPr>
        <w:t>enhanced hypotensive effect when alpha- blockers given with </w:t>
      </w:r>
      <w:r>
        <w:rPr>
          <w:rFonts w:ascii="Arial"/>
          <w:color w:val="231F1F"/>
          <w:w w:val="355"/>
          <w:position w:val="1"/>
          <w:sz w:val="7"/>
        </w:rPr>
        <w:t>l </w:t>
      </w:r>
      <w:r>
        <w:rPr>
          <w:rFonts w:ascii="Calibri"/>
          <w:color w:val="008356"/>
          <w:w w:val="110"/>
          <w:sz w:val="11"/>
        </w:rPr>
        <w:t>BETA-BLOCKERS</w:t>
      </w:r>
      <w:r>
        <w:rPr>
          <w:color w:val="231F1F"/>
          <w:w w:val="110"/>
        </w:rPr>
        <w:t>, also increased risk of first-dose hypotension with post-synaptic alpha-blockers such as prazosin</w:t>
      </w:r>
    </w:p>
    <w:p>
      <w:pPr>
        <w:pStyle w:val="BodyText"/>
        <w:spacing w:line="244" w:lineRule="auto"/>
        <w:ind w:right="745" w:hanging="100"/>
        <w:rPr>
          <w:rFonts w:ascii="Calibri"/>
          <w:sz w:val="11"/>
        </w:rPr>
      </w:pPr>
      <w:r>
        <w:rPr>
          <w:rFonts w:ascii="Arial"/>
          <w:color w:val="231F1F"/>
          <w:w w:val="355"/>
          <w:position w:val="1"/>
          <w:sz w:val="7"/>
        </w:rPr>
        <w:t>l </w:t>
      </w:r>
      <w:r>
        <w:rPr>
          <w:rFonts w:ascii="Calibri"/>
          <w:color w:val="231F1F"/>
          <w:w w:val="105"/>
        </w:rPr>
        <w:t>Calcium-channel Blockers: </w:t>
      </w:r>
      <w:r>
        <w:rPr>
          <w:color w:val="231F1F"/>
          <w:w w:val="105"/>
        </w:rPr>
        <w:t>enhanced hypotensive effect when alpha-blockers given with </w:t>
      </w:r>
      <w:r>
        <w:rPr>
          <w:rFonts w:ascii="Arial"/>
          <w:color w:val="231F1F"/>
          <w:w w:val="355"/>
          <w:position w:val="1"/>
          <w:sz w:val="7"/>
        </w:rPr>
        <w:t>l </w:t>
      </w:r>
      <w:r>
        <w:rPr>
          <w:rFonts w:ascii="Calibri"/>
          <w:color w:val="008356"/>
          <w:w w:val="105"/>
          <w:sz w:val="11"/>
        </w:rPr>
        <w:t>CALCIUM-CHANNEL BLOCKERS</w:t>
      </w:r>
      <w:r>
        <w:rPr>
          <w:color w:val="231F1F"/>
          <w:w w:val="105"/>
        </w:rPr>
        <w:t>, also increased risk of first-dose hypotension with post-synaptic alpha-blockers such as prazosin; plasma concentration of tamsulosin increased by </w:t>
      </w:r>
      <w:r>
        <w:rPr>
          <w:rFonts w:ascii="Calibri"/>
          <w:color w:val="008356"/>
          <w:w w:val="105"/>
          <w:sz w:val="11"/>
        </w:rPr>
        <w:t>VERAPAMIL</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Cardiac Glycosides: </w:t>
      </w:r>
      <w:r>
        <w:rPr>
          <w:color w:val="231F1F"/>
          <w:w w:val="105"/>
        </w:rPr>
        <w:t>prazosin increases plasma concentration of</w:t>
      </w:r>
    </w:p>
    <w:p>
      <w:pPr>
        <w:spacing w:line="131" w:lineRule="exact" w:before="0"/>
        <w:ind w:left="208" w:right="0" w:firstLine="0"/>
        <w:jc w:val="left"/>
        <w:rPr>
          <w:rFonts w:ascii="Calibri"/>
          <w:sz w:val="11"/>
        </w:rPr>
      </w:pPr>
      <w:r>
        <w:rPr>
          <w:rFonts w:ascii="Calibri"/>
          <w:color w:val="008356"/>
          <w:sz w:val="11"/>
        </w:rPr>
        <w:t>DIGOXIN</w:t>
      </w:r>
    </w:p>
    <w:p>
      <w:pPr>
        <w:pStyle w:val="BodyText"/>
        <w:spacing w:line="220" w:lineRule="auto"/>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alpha-blockers given with </w:t>
      </w:r>
      <w:r>
        <w:rPr>
          <w:rFonts w:ascii="Calibri" w:hAnsi="Calibri"/>
          <w:color w:val="008356"/>
          <w:w w:val="105"/>
          <w:sz w:val="11"/>
        </w:rPr>
        <w:t>CLONIDINE</w:t>
      </w:r>
    </w:p>
    <w:p>
      <w:pPr>
        <w:spacing w:after="0" w:line="220" w:lineRule="auto"/>
        <w:rPr>
          <w:rFonts w:ascii="Calibri" w:hAnsi="Calibri"/>
          <w:sz w:val="11"/>
        </w:rPr>
        <w:sectPr>
          <w:pgSz w:w="8390" w:h="11910"/>
          <w:pgMar w:header="0" w:footer="0" w:top="460" w:bottom="0" w:left="480" w:right="0"/>
          <w:cols w:num="2" w:equalWidth="0">
            <w:col w:w="3594" w:space="82"/>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1360" filled="true" fillcolor="#bfdbcf" stroked="false">
            <v:fill type="solid"/>
            <w10:wrap type="none"/>
          </v:rect>
        </w:pict>
      </w:r>
      <w:r>
        <w:rPr/>
        <w:pict>
          <v:shape style="position:absolute;margin-left:7.751256pt;margin-top:35.804367pt;width:10.4pt;height:78.850pt;mso-position-horizontal-relative:page;mso-position-vertical-relative:page;z-index:138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w w:val="95"/>
        </w:rPr>
        <w:t>Alpha-blockers</w:t>
      </w:r>
      <w:r>
        <w:rPr>
          <w:rFonts w:ascii="Arial"/>
          <w:color w:val="008356"/>
          <w:spacing w:val="16"/>
          <w:w w:val="95"/>
        </w:rPr>
        <w:t> </w:t>
      </w:r>
      <w:r>
        <w:rPr>
          <w:rFonts w:ascii="Calibri"/>
          <w:color w:val="231F1F"/>
          <w:w w:val="95"/>
        </w:rPr>
        <w:t>(continued)</w:t>
      </w:r>
    </w:p>
    <w:p>
      <w:pPr>
        <w:pStyle w:val="BodyText"/>
        <w:ind w:left="286" w:right="17" w:hanging="100"/>
      </w:pPr>
      <w:r>
        <w:rPr>
          <w:rFonts w:ascii="Arial" w:hAnsi="Arial"/>
          <w:color w:val="231F1F"/>
          <w:w w:val="355"/>
          <w:position w:val="1"/>
          <w:sz w:val="7"/>
        </w:rPr>
        <w:t>l </w:t>
      </w:r>
      <w:r>
        <w:rPr>
          <w:rFonts w:ascii="Calibri" w:hAnsi="Calibri"/>
          <w:color w:val="231F1F"/>
          <w:w w:val="120"/>
        </w:rPr>
        <w:t>Cobicistat: </w:t>
      </w:r>
      <w:r>
        <w:rPr>
          <w:color w:val="231F1F"/>
          <w:w w:val="120"/>
        </w:rPr>
        <w:t>plasma concentration of alfuzosin possibly </w:t>
      </w:r>
      <w:r>
        <w:rPr>
          <w:color w:val="231F1F"/>
          <w:w w:val="115"/>
        </w:rPr>
        <w:t>increased</w:t>
      </w:r>
      <w:r>
        <w:rPr>
          <w:color w:val="231F1F"/>
          <w:spacing w:val="-16"/>
          <w:w w:val="115"/>
        </w:rPr>
        <w:t> </w:t>
      </w:r>
      <w:r>
        <w:rPr>
          <w:color w:val="231F1F"/>
          <w:w w:val="115"/>
        </w:rPr>
        <w:t>by</w:t>
      </w:r>
      <w:r>
        <w:rPr>
          <w:color w:val="231F1F"/>
          <w:spacing w:val="-15"/>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w w:val="115"/>
          <w:sz w:val="11"/>
        </w:rPr>
        <w:t>COBICISTAT</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5"/>
          <w:w w:val="115"/>
        </w:rPr>
        <w:t> </w:t>
      </w:r>
      <w:r>
        <w:rPr>
          <w:color w:val="231F1F"/>
          <w:w w:val="115"/>
        </w:rPr>
        <w:t>cobicistat</w:t>
      </w:r>
      <w:r>
        <w:rPr>
          <w:color w:val="231F1F"/>
          <w:spacing w:val="-15"/>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pStyle w:val="BodyText"/>
        <w:spacing w:line="220" w:lineRule="auto" w:before="8"/>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alpha-blockers antagonised by </w:t>
      </w:r>
      <w:r>
        <w:rPr>
          <w:rFonts w:ascii="Calibri" w:hAnsi="Calibri"/>
          <w:color w:val="008356"/>
          <w:w w:val="105"/>
          <w:sz w:val="11"/>
        </w:rPr>
        <w:t>CORTICOSTEROIDS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Cytotoxics: </w:t>
      </w:r>
      <w:r>
        <w:rPr>
          <w:color w:val="231F1F"/>
          <w:w w:val="105"/>
        </w:rPr>
        <w:t>avoidance of alfuzosin advised by manufacturer of</w:t>
      </w:r>
    </w:p>
    <w:p>
      <w:pPr>
        <w:spacing w:line="130" w:lineRule="exact" w:before="0"/>
        <w:ind w:left="286" w:right="0" w:firstLine="0"/>
        <w:jc w:val="left"/>
        <w:rPr>
          <w:rFonts w:ascii="Calibri"/>
          <w:sz w:val="11"/>
        </w:rPr>
      </w:pPr>
      <w:r>
        <w:rPr>
          <w:rFonts w:ascii="Calibri"/>
          <w:color w:val="008356"/>
          <w:w w:val="105"/>
          <w:sz w:val="11"/>
        </w:rPr>
        <w:t>IDELALISIB</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alpha-blockers given with </w:t>
      </w:r>
      <w:r>
        <w:rPr>
          <w:rFonts w:ascii="Calibri" w:hAnsi="Calibri"/>
          <w:color w:val="008356"/>
          <w:w w:val="110"/>
          <w:sz w:val="11"/>
        </w:rPr>
        <w:t>DIAZOXIDE</w:t>
      </w:r>
    </w:p>
    <w:p>
      <w:pPr>
        <w:pStyle w:val="BodyText"/>
        <w:spacing w:line="242" w:lineRule="auto"/>
        <w:ind w:left="286" w:hanging="100"/>
      </w:pPr>
      <w:r>
        <w:rPr>
          <w:rFonts w:ascii="Arial"/>
          <w:color w:val="231F1F"/>
          <w:w w:val="115"/>
          <w:position w:val="1"/>
          <w:sz w:val="7"/>
        </w:rPr>
        <w:t>l </w:t>
      </w:r>
      <w:r>
        <w:rPr>
          <w:rFonts w:ascii="Calibri"/>
          <w:color w:val="231F1F"/>
          <w:w w:val="115"/>
        </w:rPr>
        <w:t>Diuretics: </w:t>
      </w:r>
      <w:r>
        <w:rPr>
          <w:color w:val="231F1F"/>
          <w:w w:val="115"/>
        </w:rPr>
        <w:t>enhanced hypotensive effect when alpha-blockers </w:t>
      </w:r>
      <w:r>
        <w:rPr>
          <w:color w:val="231F1F"/>
          <w:w w:val="120"/>
        </w:rPr>
        <w:t>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20"/>
          <w:sz w:val="11"/>
        </w:rPr>
        <w:t>DIURETICS</w:t>
      </w:r>
      <w:r>
        <w:rPr>
          <w:color w:val="231F1F"/>
          <w:spacing w:val="4"/>
          <w:w w:val="120"/>
        </w:rPr>
        <w:t>, </w:t>
      </w:r>
      <w:r>
        <w:rPr>
          <w:color w:val="231F1F"/>
          <w:w w:val="120"/>
        </w:rPr>
        <w:t>also increased risk of first-dose hypotension with post-synaptic alpha-blockers such as prazosin</w:t>
      </w:r>
    </w:p>
    <w:p>
      <w:pPr>
        <w:spacing w:line="220" w:lineRule="auto" w:before="11"/>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alpha- blockers</w:t>
      </w:r>
      <w:r>
        <w:rPr>
          <w:color w:val="231F1F"/>
          <w:spacing w:val="-8"/>
          <w:w w:val="105"/>
          <w:sz w:val="12"/>
        </w:rPr>
        <w:t> </w:t>
      </w:r>
      <w:r>
        <w:rPr>
          <w:color w:val="231F1F"/>
          <w:w w:val="105"/>
          <w:sz w:val="12"/>
        </w:rPr>
        <w:t>given</w:t>
      </w:r>
      <w:r>
        <w:rPr>
          <w:color w:val="231F1F"/>
          <w:spacing w:val="-9"/>
          <w:w w:val="105"/>
          <w:sz w:val="12"/>
        </w:rPr>
        <w:t> </w:t>
      </w:r>
      <w:r>
        <w:rPr>
          <w:color w:val="231F1F"/>
          <w:w w:val="105"/>
          <w:sz w:val="12"/>
        </w:rPr>
        <w:t>with</w:t>
      </w:r>
      <w:r>
        <w:rPr>
          <w:color w:val="231F1F"/>
          <w:spacing w:val="-7"/>
          <w:w w:val="105"/>
          <w:sz w:val="12"/>
        </w:rPr>
        <w:t> </w:t>
      </w:r>
      <w:r>
        <w:rPr>
          <w:rFonts w:ascii="Calibri" w:hAnsi="Calibri"/>
          <w:color w:val="008356"/>
          <w:spacing w:val="4"/>
          <w:w w:val="105"/>
          <w:sz w:val="11"/>
        </w:rPr>
        <w:t>CO-BENELDOPA</w:t>
      </w:r>
      <w:r>
        <w:rPr>
          <w:color w:val="231F1F"/>
          <w:spacing w:val="4"/>
          <w:w w:val="105"/>
          <w:sz w:val="12"/>
        </w:rPr>
        <w:t>,</w:t>
      </w:r>
      <w:r>
        <w:rPr>
          <w:color w:val="231F1F"/>
          <w:spacing w:val="-11"/>
          <w:w w:val="105"/>
          <w:sz w:val="12"/>
        </w:rPr>
        <w:t> </w:t>
      </w:r>
      <w:r>
        <w:rPr>
          <w:rFonts w:ascii="Calibri" w:hAnsi="Calibri"/>
          <w:color w:val="008356"/>
          <w:spacing w:val="4"/>
          <w:w w:val="105"/>
          <w:sz w:val="11"/>
        </w:rPr>
        <w:t>CO-CARELDOPA</w:t>
      </w:r>
      <w:r>
        <w:rPr>
          <w:rFonts w:ascii="Calibri" w:hAnsi="Calibri"/>
          <w:color w:val="008356"/>
          <w:spacing w:val="3"/>
          <w:w w:val="105"/>
          <w:sz w:val="11"/>
        </w:rPr>
        <w:t> </w:t>
      </w:r>
      <w:r>
        <w:rPr>
          <w:color w:val="231F1F"/>
          <w:w w:val="105"/>
          <w:sz w:val="12"/>
        </w:rPr>
        <w:t>or</w:t>
      </w:r>
      <w:r>
        <w:rPr>
          <w:color w:val="231F1F"/>
          <w:spacing w:val="-8"/>
          <w:w w:val="105"/>
          <w:sz w:val="12"/>
        </w:rPr>
        <w:t> </w:t>
      </w:r>
      <w:r>
        <w:rPr>
          <w:rFonts w:ascii="Calibri" w:hAnsi="Calibri"/>
          <w:color w:val="008356"/>
          <w:spacing w:val="3"/>
          <w:w w:val="105"/>
          <w:sz w:val="11"/>
        </w:rPr>
        <w:t>LEVODOPA</w:t>
      </w:r>
    </w:p>
    <w:p>
      <w:pPr>
        <w:pStyle w:val="BodyText"/>
        <w:spacing w:line="220" w:lineRule="auto" w:before="8"/>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w:t>
      </w:r>
      <w:r>
        <w:rPr>
          <w:color w:val="231F1F"/>
          <w:spacing w:val="-3"/>
          <w:w w:val="105"/>
        </w:rPr>
        <w:t>alpha- </w:t>
      </w:r>
      <w:r>
        <w:rPr>
          <w:color w:val="231F1F"/>
          <w:w w:val="105"/>
        </w:rPr>
        <w:t>blockers given with</w:t>
      </w:r>
      <w:r>
        <w:rPr>
          <w:color w:val="231F1F"/>
          <w:spacing w:val="-1"/>
          <w:w w:val="105"/>
        </w:rPr>
        <w:t> </w:t>
      </w:r>
      <w:r>
        <w:rPr>
          <w:rFonts w:ascii="Calibri" w:hAnsi="Calibri"/>
          <w:color w:val="008356"/>
          <w:spacing w:val="4"/>
          <w:w w:val="105"/>
          <w:sz w:val="11"/>
        </w:rPr>
        <w:t>METHYLDOPA</w:t>
      </w:r>
    </w:p>
    <w:p>
      <w:pPr>
        <w:pStyle w:val="BodyText"/>
        <w:ind w:left="286" w:hanging="100"/>
        <w:rPr>
          <w:rFonts w:ascii="Calibri"/>
          <w:sz w:val="11"/>
        </w:rPr>
      </w:pPr>
      <w:r>
        <w:rPr>
          <w:rFonts w:ascii="Arial"/>
          <w:color w:val="231F1F"/>
          <w:w w:val="355"/>
          <w:position w:val="1"/>
          <w:sz w:val="7"/>
        </w:rPr>
        <w:t>l </w:t>
      </w:r>
      <w:r>
        <w:rPr>
          <w:rFonts w:ascii="Calibri"/>
          <w:color w:val="231F1F"/>
          <w:w w:val="110"/>
        </w:rPr>
        <w:t>Moxisylyte: </w:t>
      </w:r>
      <w:r>
        <w:rPr>
          <w:color w:val="231F1F"/>
          <w:w w:val="110"/>
        </w:rPr>
        <w:t>possible severe postural hypotension when </w:t>
      </w:r>
      <w:r>
        <w:rPr>
          <w:color w:val="231F1F"/>
          <w:spacing w:val="-3"/>
          <w:w w:val="110"/>
        </w:rPr>
        <w:t>alpha- </w:t>
      </w:r>
      <w:r>
        <w:rPr>
          <w:color w:val="231F1F"/>
          <w:w w:val="110"/>
        </w:rPr>
        <w:t>blockers given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3"/>
          <w:w w:val="110"/>
          <w:sz w:val="11"/>
        </w:rPr>
        <w:t>MOXISYLYTE</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alpha-blockers given with </w:t>
      </w:r>
      <w:r>
        <w:rPr>
          <w:rFonts w:ascii="Calibri" w:hAnsi="Calibri"/>
          <w:color w:val="008356"/>
          <w:w w:val="105"/>
          <w:sz w:val="11"/>
        </w:rPr>
        <w:t>MOXONIDINE</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alpha- blockers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alpha-blockers given with </w:t>
      </w:r>
      <w:r>
        <w:rPr>
          <w:rFonts w:ascii="Calibri" w:hAnsi="Calibri"/>
          <w:color w:val="008356"/>
          <w:w w:val="110"/>
          <w:sz w:val="11"/>
        </w:rPr>
        <w:t>NITRATES</w:t>
      </w:r>
    </w:p>
    <w:p>
      <w:pPr>
        <w:pStyle w:val="BodyText"/>
        <w:spacing w:line="220" w:lineRule="auto" w:before="8"/>
        <w:ind w:left="286" w:right="98"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alpha-blockers antagonised by </w:t>
      </w:r>
      <w:r>
        <w:rPr>
          <w:rFonts w:ascii="Calibri" w:hAnsi="Calibri"/>
          <w:color w:val="008356"/>
          <w:spacing w:val="4"/>
          <w:w w:val="105"/>
          <w:sz w:val="11"/>
        </w:rPr>
        <w:t>OESTROGENS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alpha- blockers given with </w:t>
      </w:r>
      <w:r>
        <w:rPr>
          <w:rFonts w:ascii="Calibri" w:hAnsi="Calibri"/>
          <w:color w:val="008356"/>
          <w:w w:val="110"/>
          <w:sz w:val="11"/>
        </w:rPr>
        <w:t>ALPROSTADIL</w:t>
      </w:r>
    </w:p>
    <w:p>
      <w:pPr>
        <w:pStyle w:val="BodyText"/>
        <w:spacing w:line="244" w:lineRule="auto"/>
        <w:ind w:left="286" w:right="61" w:hanging="100"/>
      </w:pPr>
      <w:r>
        <w:rPr>
          <w:rFonts w:ascii="Arial" w:hAnsi="Arial"/>
          <w:color w:val="231F1F"/>
          <w:w w:val="115"/>
          <w:position w:val="1"/>
          <w:sz w:val="7"/>
        </w:rPr>
        <w:t>l </w:t>
      </w:r>
      <w:r>
        <w:rPr>
          <w:rFonts w:ascii="Calibri" w:hAnsi="Calibri"/>
          <w:color w:val="231F1F"/>
          <w:w w:val="115"/>
        </w:rPr>
        <w:t>Sildenafil: </w:t>
      </w:r>
      <w:r>
        <w:rPr>
          <w:color w:val="231F1F"/>
          <w:w w:val="115"/>
        </w:rPr>
        <w:t>enhanced hypotensive effect when alpha-blockers </w:t>
      </w:r>
      <w:r>
        <w:rPr>
          <w:color w:val="231F1F"/>
          <w:w w:val="120"/>
        </w:rPr>
        <w:t>given</w:t>
      </w:r>
      <w:r>
        <w:rPr>
          <w:color w:val="231F1F"/>
          <w:spacing w:val="-21"/>
          <w:w w:val="120"/>
        </w:rPr>
        <w:t> </w:t>
      </w:r>
      <w:r>
        <w:rPr>
          <w:color w:val="231F1F"/>
          <w:w w:val="120"/>
        </w:rPr>
        <w:t>with</w:t>
      </w:r>
      <w:r>
        <w:rPr>
          <w:color w:val="231F1F"/>
          <w:spacing w:val="-20"/>
          <w:w w:val="120"/>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20"/>
          <w:sz w:val="11"/>
        </w:rPr>
        <w:t>SILDENAFIL</w:t>
      </w:r>
      <w:r>
        <w:rPr>
          <w:rFonts w:ascii="Calibri" w:hAnsi="Calibri"/>
          <w:color w:val="008356"/>
          <w:spacing w:val="-11"/>
          <w:w w:val="120"/>
          <w:sz w:val="11"/>
        </w:rPr>
        <w:t> </w:t>
      </w:r>
      <w:r>
        <w:rPr>
          <w:color w:val="231F1F"/>
          <w:w w:val="120"/>
        </w:rPr>
        <w:t>(avoid</w:t>
      </w:r>
      <w:r>
        <w:rPr>
          <w:color w:val="231F1F"/>
          <w:spacing w:val="-20"/>
          <w:w w:val="120"/>
        </w:rPr>
        <w:t> </w:t>
      </w:r>
      <w:r>
        <w:rPr>
          <w:color w:val="231F1F"/>
          <w:w w:val="120"/>
        </w:rPr>
        <w:t>alpha-blockers</w:t>
      </w:r>
      <w:r>
        <w:rPr>
          <w:color w:val="231F1F"/>
          <w:spacing w:val="-21"/>
          <w:w w:val="120"/>
        </w:rPr>
        <w:t> </w:t>
      </w:r>
      <w:r>
        <w:rPr>
          <w:color w:val="231F1F"/>
          <w:w w:val="120"/>
        </w:rPr>
        <w:t>for</w:t>
      </w:r>
      <w:r>
        <w:rPr>
          <w:color w:val="231F1F"/>
          <w:spacing w:val="-20"/>
          <w:w w:val="120"/>
        </w:rPr>
        <w:t> </w:t>
      </w:r>
      <w:r>
        <w:rPr>
          <w:color w:val="231F1F"/>
          <w:w w:val="120"/>
        </w:rPr>
        <w:t>4</w:t>
      </w:r>
      <w:r>
        <w:rPr>
          <w:color w:val="231F1F"/>
          <w:spacing w:val="-20"/>
          <w:w w:val="120"/>
        </w:rPr>
        <w:t> </w:t>
      </w:r>
      <w:r>
        <w:rPr>
          <w:color w:val="231F1F"/>
          <w:w w:val="120"/>
        </w:rPr>
        <w:t>hours after</w:t>
      </w:r>
      <w:r>
        <w:rPr>
          <w:color w:val="231F1F"/>
          <w:spacing w:val="-25"/>
          <w:w w:val="120"/>
        </w:rPr>
        <w:t> </w:t>
      </w:r>
      <w:r>
        <w:rPr>
          <w:color w:val="231F1F"/>
          <w:w w:val="120"/>
        </w:rPr>
        <w:t>sildenafil)</w:t>
      </w:r>
      <w:r>
        <w:rPr>
          <w:rFonts w:ascii="Arial" w:hAnsi="Arial"/>
          <w:color w:val="231F1F"/>
          <w:w w:val="120"/>
        </w:rPr>
        <w:t>—</w:t>
      </w:r>
      <w:r>
        <w:rPr>
          <w:color w:val="231F1F"/>
          <w:w w:val="120"/>
        </w:rPr>
        <w:t>when</w:t>
      </w:r>
      <w:r>
        <w:rPr>
          <w:color w:val="231F1F"/>
          <w:spacing w:val="-26"/>
          <w:w w:val="120"/>
        </w:rPr>
        <w:t> </w:t>
      </w:r>
      <w:r>
        <w:rPr>
          <w:color w:val="231F1F"/>
          <w:w w:val="120"/>
        </w:rPr>
        <w:t>patient</w:t>
      </w:r>
      <w:r>
        <w:rPr>
          <w:color w:val="231F1F"/>
          <w:spacing w:val="-25"/>
          <w:w w:val="120"/>
        </w:rPr>
        <w:t> </w:t>
      </w:r>
      <w:r>
        <w:rPr>
          <w:color w:val="231F1F"/>
          <w:w w:val="120"/>
        </w:rPr>
        <w:t>is</w:t>
      </w:r>
      <w:r>
        <w:rPr>
          <w:color w:val="231F1F"/>
          <w:spacing w:val="-25"/>
          <w:w w:val="120"/>
        </w:rPr>
        <w:t> </w:t>
      </w:r>
      <w:r>
        <w:rPr>
          <w:color w:val="231F1F"/>
          <w:w w:val="120"/>
        </w:rPr>
        <w:t>stable</w:t>
      </w:r>
      <w:r>
        <w:rPr>
          <w:color w:val="231F1F"/>
          <w:spacing w:val="-26"/>
          <w:w w:val="120"/>
        </w:rPr>
        <w:t> </w:t>
      </w:r>
      <w:r>
        <w:rPr>
          <w:color w:val="231F1F"/>
          <w:w w:val="120"/>
        </w:rPr>
        <w:t>on</w:t>
      </w:r>
      <w:r>
        <w:rPr>
          <w:color w:val="231F1F"/>
          <w:spacing w:val="-25"/>
          <w:w w:val="120"/>
        </w:rPr>
        <w:t> </w:t>
      </w:r>
      <w:r>
        <w:rPr>
          <w:color w:val="231F1F"/>
          <w:w w:val="120"/>
        </w:rPr>
        <w:t>the</w:t>
      </w:r>
      <w:r>
        <w:rPr>
          <w:color w:val="231F1F"/>
          <w:spacing w:val="-25"/>
          <w:w w:val="120"/>
        </w:rPr>
        <w:t> </w:t>
      </w:r>
      <w:r>
        <w:rPr>
          <w:color w:val="231F1F"/>
          <w:w w:val="120"/>
        </w:rPr>
        <w:t>alpha</w:t>
      </w:r>
      <w:r>
        <w:rPr>
          <w:color w:val="231F1F"/>
          <w:spacing w:val="-25"/>
          <w:w w:val="120"/>
        </w:rPr>
        <w:t> </w:t>
      </w:r>
      <w:r>
        <w:rPr>
          <w:color w:val="231F1F"/>
          <w:w w:val="120"/>
        </w:rPr>
        <w:t>blocker initiate</w:t>
      </w:r>
      <w:r>
        <w:rPr>
          <w:color w:val="231F1F"/>
          <w:spacing w:val="-8"/>
          <w:w w:val="120"/>
        </w:rPr>
        <w:t> </w:t>
      </w:r>
      <w:r>
        <w:rPr>
          <w:color w:val="231F1F"/>
          <w:w w:val="120"/>
        </w:rPr>
        <w:t>sildenafil</w:t>
      </w:r>
      <w:r>
        <w:rPr>
          <w:color w:val="231F1F"/>
          <w:spacing w:val="-8"/>
          <w:w w:val="120"/>
        </w:rPr>
        <w:t> </w:t>
      </w:r>
      <w:r>
        <w:rPr>
          <w:color w:val="231F1F"/>
          <w:w w:val="120"/>
        </w:rPr>
        <w:t>at</w:t>
      </w:r>
      <w:r>
        <w:rPr>
          <w:color w:val="231F1F"/>
          <w:spacing w:val="-8"/>
          <w:w w:val="120"/>
        </w:rPr>
        <w:t> </w:t>
      </w:r>
      <w:r>
        <w:rPr>
          <w:color w:val="231F1F"/>
          <w:w w:val="120"/>
        </w:rPr>
        <w:t>the</w:t>
      </w:r>
      <w:r>
        <w:rPr>
          <w:color w:val="231F1F"/>
          <w:spacing w:val="-7"/>
          <w:w w:val="120"/>
        </w:rPr>
        <w:t> </w:t>
      </w:r>
      <w:r>
        <w:rPr>
          <w:color w:val="231F1F"/>
          <w:w w:val="120"/>
        </w:rPr>
        <w:t>lowest</w:t>
      </w:r>
      <w:r>
        <w:rPr>
          <w:color w:val="231F1F"/>
          <w:spacing w:val="-9"/>
          <w:w w:val="120"/>
        </w:rPr>
        <w:t> </w:t>
      </w:r>
      <w:r>
        <w:rPr>
          <w:color w:val="231F1F"/>
          <w:w w:val="120"/>
        </w:rPr>
        <w:t>possible</w:t>
      </w:r>
      <w:r>
        <w:rPr>
          <w:color w:val="231F1F"/>
          <w:spacing w:val="-8"/>
          <w:w w:val="120"/>
        </w:rPr>
        <w:t> </w:t>
      </w:r>
      <w:r>
        <w:rPr>
          <w:color w:val="231F1F"/>
          <w:w w:val="120"/>
        </w:rPr>
        <w:t>dose</w:t>
      </w:r>
    </w:p>
    <w:p>
      <w:pPr>
        <w:pStyle w:val="BodyText"/>
        <w:spacing w:line="143" w:lineRule="exact"/>
        <w:ind w:left="186"/>
      </w:pPr>
      <w:r>
        <w:rPr>
          <w:rFonts w:ascii="Arial"/>
          <w:color w:val="231F1F"/>
          <w:w w:val="355"/>
          <w:position w:val="1"/>
          <w:sz w:val="7"/>
        </w:rPr>
        <w:t>l </w:t>
      </w:r>
      <w:r>
        <w:rPr>
          <w:rFonts w:ascii="Calibri"/>
          <w:color w:val="231F1F"/>
          <w:w w:val="110"/>
        </w:rPr>
        <w:t>Sympathomimetics: </w:t>
      </w:r>
      <w:r>
        <w:rPr>
          <w:color w:val="231F1F"/>
          <w:w w:val="110"/>
        </w:rPr>
        <w:t>avoid concomitant use of tolazoline with</w:t>
      </w:r>
    </w:p>
    <w:p>
      <w:pPr>
        <w:spacing w:line="140" w:lineRule="exact"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ADRENALINE (EPINEPHRINE) </w:t>
      </w:r>
      <w:r>
        <w:rPr>
          <w:color w:val="231F1F"/>
          <w:w w:val="110"/>
          <w:sz w:val="12"/>
        </w:rPr>
        <w:t>or </w:t>
      </w:r>
      <w:r>
        <w:rPr>
          <w:rFonts w:ascii="Arial"/>
          <w:color w:val="231F1F"/>
          <w:w w:val="355"/>
          <w:position w:val="1"/>
          <w:sz w:val="7"/>
        </w:rPr>
        <w:t>l </w:t>
      </w:r>
      <w:r>
        <w:rPr>
          <w:rFonts w:ascii="Calibri"/>
          <w:color w:val="008356"/>
          <w:w w:val="110"/>
          <w:sz w:val="11"/>
        </w:rPr>
        <w:t>DOPAMINE</w:t>
      </w:r>
    </w:p>
    <w:p>
      <w:pPr>
        <w:pStyle w:val="BodyText"/>
        <w:spacing w:line="244" w:lineRule="auto"/>
        <w:ind w:left="286" w:right="98"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Tadalafil:</w:t>
      </w:r>
      <w:r>
        <w:rPr>
          <w:rFonts w:ascii="Calibri" w:hAnsi="Calibri"/>
          <w:color w:val="231F1F"/>
          <w:spacing w:val="-10"/>
          <w:w w:val="115"/>
        </w:rPr>
        <w:t> </w:t>
      </w:r>
      <w:r>
        <w:rPr>
          <w:color w:val="231F1F"/>
          <w:w w:val="115"/>
        </w:rPr>
        <w:t>enhanced</w:t>
      </w:r>
      <w:r>
        <w:rPr>
          <w:color w:val="231F1F"/>
          <w:spacing w:val="-13"/>
          <w:w w:val="115"/>
        </w:rPr>
        <w:t> </w:t>
      </w:r>
      <w:r>
        <w:rPr>
          <w:color w:val="231F1F"/>
          <w:w w:val="115"/>
        </w:rPr>
        <w:t>hypotensive</w:t>
      </w:r>
      <w:r>
        <w:rPr>
          <w:color w:val="231F1F"/>
          <w:spacing w:val="-12"/>
          <w:w w:val="115"/>
        </w:rPr>
        <w:t> </w:t>
      </w:r>
      <w:r>
        <w:rPr>
          <w:color w:val="231F1F"/>
          <w:w w:val="115"/>
        </w:rPr>
        <w:t>effect</w:t>
      </w:r>
      <w:r>
        <w:rPr>
          <w:color w:val="231F1F"/>
          <w:spacing w:val="-12"/>
          <w:w w:val="115"/>
        </w:rPr>
        <w:t> </w:t>
      </w:r>
      <w:r>
        <w:rPr>
          <w:color w:val="231F1F"/>
          <w:w w:val="115"/>
        </w:rPr>
        <w:t>when</w:t>
      </w:r>
      <w:r>
        <w:rPr>
          <w:color w:val="231F1F"/>
          <w:spacing w:val="-13"/>
          <w:w w:val="115"/>
        </w:rPr>
        <w:t> </w:t>
      </w:r>
      <w:r>
        <w:rPr>
          <w:color w:val="231F1F"/>
          <w:w w:val="115"/>
        </w:rPr>
        <w:t>alpha-blockers given</w:t>
      </w:r>
      <w:r>
        <w:rPr>
          <w:color w:val="231F1F"/>
          <w:spacing w:val="-11"/>
          <w:w w:val="115"/>
        </w:rPr>
        <w:t> </w:t>
      </w:r>
      <w:r>
        <w:rPr>
          <w:color w:val="231F1F"/>
          <w:w w:val="115"/>
        </w:rPr>
        <w:t>with</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TADALAFIL</w:t>
      </w:r>
      <w:r>
        <w:rPr>
          <w:rFonts w:ascii="Arial" w:hAnsi="Arial"/>
          <w:color w:val="231F1F"/>
          <w:spacing w:val="2"/>
          <w:w w:val="115"/>
        </w:rPr>
        <w:t>—</w:t>
      </w:r>
      <w:r>
        <w:rPr>
          <w:color w:val="231F1F"/>
          <w:spacing w:val="2"/>
          <w:w w:val="115"/>
        </w:rPr>
        <w:t>when</w:t>
      </w:r>
      <w:r>
        <w:rPr>
          <w:color w:val="231F1F"/>
          <w:spacing w:val="-10"/>
          <w:w w:val="115"/>
        </w:rPr>
        <w:t> </w:t>
      </w:r>
      <w:r>
        <w:rPr>
          <w:color w:val="231F1F"/>
          <w:w w:val="115"/>
        </w:rPr>
        <w:t>patient</w:t>
      </w:r>
      <w:r>
        <w:rPr>
          <w:color w:val="231F1F"/>
          <w:spacing w:val="-11"/>
          <w:w w:val="115"/>
        </w:rPr>
        <w:t> </w:t>
      </w:r>
      <w:r>
        <w:rPr>
          <w:color w:val="231F1F"/>
          <w:w w:val="115"/>
        </w:rPr>
        <w:t>is</w:t>
      </w:r>
      <w:r>
        <w:rPr>
          <w:color w:val="231F1F"/>
          <w:spacing w:val="-9"/>
          <w:w w:val="115"/>
        </w:rPr>
        <w:t> </w:t>
      </w:r>
      <w:r>
        <w:rPr>
          <w:color w:val="231F1F"/>
          <w:w w:val="115"/>
        </w:rPr>
        <w:t>stable</w:t>
      </w:r>
      <w:r>
        <w:rPr>
          <w:color w:val="231F1F"/>
          <w:spacing w:val="-11"/>
          <w:w w:val="115"/>
        </w:rPr>
        <w:t> </w:t>
      </w:r>
      <w:r>
        <w:rPr>
          <w:color w:val="231F1F"/>
          <w:w w:val="115"/>
        </w:rPr>
        <w:t>on</w:t>
      </w:r>
      <w:r>
        <w:rPr>
          <w:color w:val="231F1F"/>
          <w:spacing w:val="-10"/>
          <w:w w:val="115"/>
        </w:rPr>
        <w:t> </w:t>
      </w:r>
      <w:r>
        <w:rPr>
          <w:color w:val="231F1F"/>
          <w:w w:val="115"/>
        </w:rPr>
        <w:t>the</w:t>
      </w:r>
      <w:r>
        <w:rPr>
          <w:color w:val="231F1F"/>
          <w:spacing w:val="-9"/>
          <w:w w:val="115"/>
        </w:rPr>
        <w:t> </w:t>
      </w:r>
      <w:r>
        <w:rPr>
          <w:color w:val="231F1F"/>
          <w:w w:val="115"/>
        </w:rPr>
        <w:t>alpha blocker initiate tadalafil at the lowest possible dose; enhanced</w:t>
      </w:r>
      <w:r>
        <w:rPr>
          <w:color w:val="231F1F"/>
          <w:spacing w:val="-7"/>
          <w:w w:val="115"/>
        </w:rPr>
        <w:t> </w:t>
      </w:r>
      <w:r>
        <w:rPr>
          <w:color w:val="231F1F"/>
          <w:w w:val="115"/>
        </w:rPr>
        <w:t>hypotensive</w:t>
      </w:r>
      <w:r>
        <w:rPr>
          <w:color w:val="231F1F"/>
          <w:spacing w:val="-5"/>
          <w:w w:val="115"/>
        </w:rPr>
        <w:t> </w:t>
      </w:r>
      <w:r>
        <w:rPr>
          <w:color w:val="231F1F"/>
          <w:w w:val="115"/>
        </w:rPr>
        <w:t>effect</w:t>
      </w:r>
      <w:r>
        <w:rPr>
          <w:color w:val="231F1F"/>
          <w:spacing w:val="-6"/>
          <w:w w:val="115"/>
        </w:rPr>
        <w:t> </w:t>
      </w:r>
      <w:r>
        <w:rPr>
          <w:color w:val="231F1F"/>
          <w:w w:val="115"/>
        </w:rPr>
        <w:t>when</w:t>
      </w:r>
      <w:r>
        <w:rPr>
          <w:color w:val="231F1F"/>
          <w:spacing w:val="-7"/>
          <w:w w:val="115"/>
        </w:rPr>
        <w:t> </w:t>
      </w:r>
      <w:r>
        <w:rPr>
          <w:color w:val="231F1F"/>
          <w:w w:val="115"/>
        </w:rPr>
        <w:t>doxazosin</w:t>
      </w:r>
      <w:r>
        <w:rPr>
          <w:color w:val="231F1F"/>
          <w:spacing w:val="-6"/>
          <w:w w:val="115"/>
        </w:rPr>
        <w:t> </w:t>
      </w:r>
      <w:r>
        <w:rPr>
          <w:color w:val="231F1F"/>
          <w:w w:val="115"/>
        </w:rPr>
        <w:t>given</w:t>
      </w:r>
      <w:r>
        <w:rPr>
          <w:color w:val="231F1F"/>
          <w:spacing w:val="-6"/>
          <w:w w:val="115"/>
        </w:rPr>
        <w:t> </w:t>
      </w:r>
      <w:r>
        <w:rPr>
          <w:color w:val="231F1F"/>
          <w:w w:val="115"/>
        </w:rPr>
        <w:t>with</w:t>
      </w:r>
    </w:p>
    <w:p>
      <w:pPr>
        <w:pStyle w:val="BodyText"/>
        <w:spacing w:line="244" w:lineRule="auto"/>
        <w:ind w:left="286"/>
      </w:pPr>
      <w:r>
        <w:rPr>
          <w:rFonts w:ascii="Arial" w:hAnsi="Arial"/>
          <w:color w:val="231F1F"/>
          <w:w w:val="115"/>
          <w:position w:val="1"/>
          <w:sz w:val="7"/>
        </w:rPr>
        <w:t>l </w:t>
      </w:r>
      <w:r>
        <w:rPr>
          <w:rFonts w:ascii="Calibri" w:hAnsi="Calibri"/>
          <w:color w:val="008356"/>
          <w:w w:val="115"/>
          <w:sz w:val="11"/>
        </w:rPr>
        <w:t>TADALAFIL</w:t>
      </w:r>
      <w:r>
        <w:rPr>
          <w:rFonts w:ascii="Arial" w:hAnsi="Arial"/>
          <w:color w:val="231F1F"/>
          <w:w w:val="115"/>
        </w:rPr>
        <w:t>—</w:t>
      </w:r>
      <w:r>
        <w:rPr>
          <w:color w:val="231F1F"/>
          <w:w w:val="115"/>
        </w:rPr>
        <w:t>manufacturer of tadalafil advises avoid </w:t>
      </w:r>
      <w:r>
        <w:rPr>
          <w:color w:val="231F1F"/>
          <w:w w:val="120"/>
        </w:rPr>
        <w:t>concomitant use</w:t>
      </w:r>
    </w:p>
    <w:p>
      <w:pPr>
        <w:pStyle w:val="BodyText"/>
        <w:spacing w:line="144" w:lineRule="exact"/>
        <w:ind w:left="186"/>
      </w:pPr>
      <w:r>
        <w:rPr>
          <w:rFonts w:ascii="Arial"/>
          <w:color w:val="231F1F"/>
          <w:w w:val="355"/>
          <w:position w:val="1"/>
          <w:sz w:val="7"/>
        </w:rPr>
        <w:t>l </w:t>
      </w:r>
      <w:r>
        <w:rPr>
          <w:rFonts w:ascii="Calibri"/>
          <w:color w:val="231F1F"/>
          <w:w w:val="115"/>
        </w:rPr>
        <w:t>Ulcer-healing Drugs: </w:t>
      </w:r>
      <w:r>
        <w:rPr>
          <w:color w:val="231F1F"/>
          <w:w w:val="115"/>
        </w:rPr>
        <w:t>effects of tolazoline antagonised by</w:t>
      </w:r>
    </w:p>
    <w:p>
      <w:pPr>
        <w:spacing w:line="140" w:lineRule="exact"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CIMETIDINE </w:t>
      </w:r>
      <w:r>
        <w:rPr>
          <w:color w:val="231F1F"/>
          <w:w w:val="110"/>
          <w:sz w:val="12"/>
        </w:rPr>
        <w:t>and </w:t>
      </w:r>
      <w:r>
        <w:rPr>
          <w:rFonts w:ascii="Arial"/>
          <w:color w:val="231F1F"/>
          <w:w w:val="355"/>
          <w:position w:val="1"/>
          <w:sz w:val="7"/>
        </w:rPr>
        <w:t>l </w:t>
      </w:r>
      <w:r>
        <w:rPr>
          <w:rFonts w:ascii="Calibri"/>
          <w:color w:val="008356"/>
          <w:w w:val="110"/>
          <w:sz w:val="11"/>
        </w:rPr>
        <w:t>RANITIDINE</w:t>
      </w:r>
    </w:p>
    <w:p>
      <w:pPr>
        <w:pStyle w:val="BodyText"/>
        <w:spacing w:line="242" w:lineRule="auto"/>
        <w:ind w:left="286" w:right="14"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Vardenafil:</w:t>
      </w:r>
      <w:r>
        <w:rPr>
          <w:rFonts w:ascii="Calibri" w:hAnsi="Calibri"/>
          <w:color w:val="231F1F"/>
          <w:spacing w:val="-11"/>
          <w:w w:val="115"/>
        </w:rPr>
        <w:t> </w:t>
      </w:r>
      <w:r>
        <w:rPr>
          <w:color w:val="231F1F"/>
          <w:w w:val="115"/>
        </w:rPr>
        <w:t>enhanced</w:t>
      </w:r>
      <w:r>
        <w:rPr>
          <w:color w:val="231F1F"/>
          <w:spacing w:val="-15"/>
          <w:w w:val="115"/>
        </w:rPr>
        <w:t> </w:t>
      </w:r>
      <w:r>
        <w:rPr>
          <w:color w:val="231F1F"/>
          <w:w w:val="115"/>
        </w:rPr>
        <w:t>hypotensive</w:t>
      </w:r>
      <w:r>
        <w:rPr>
          <w:color w:val="231F1F"/>
          <w:spacing w:val="-15"/>
          <w:w w:val="115"/>
        </w:rPr>
        <w:t> </w:t>
      </w:r>
      <w:r>
        <w:rPr>
          <w:color w:val="231F1F"/>
          <w:w w:val="115"/>
        </w:rPr>
        <w:t>effect</w:t>
      </w:r>
      <w:r>
        <w:rPr>
          <w:color w:val="231F1F"/>
          <w:spacing w:val="-14"/>
          <w:w w:val="115"/>
        </w:rPr>
        <w:t> </w:t>
      </w:r>
      <w:r>
        <w:rPr>
          <w:color w:val="231F1F"/>
          <w:w w:val="115"/>
        </w:rPr>
        <w:t>when</w:t>
      </w:r>
      <w:r>
        <w:rPr>
          <w:color w:val="231F1F"/>
          <w:spacing w:val="-15"/>
          <w:w w:val="115"/>
        </w:rPr>
        <w:t> </w:t>
      </w:r>
      <w:r>
        <w:rPr>
          <w:color w:val="231F1F"/>
          <w:w w:val="115"/>
        </w:rPr>
        <w:t>alpha-blockers given</w:t>
      </w:r>
      <w:r>
        <w:rPr>
          <w:color w:val="231F1F"/>
          <w:spacing w:val="-12"/>
          <w:w w:val="115"/>
        </w:rPr>
        <w:t> </w:t>
      </w:r>
      <w:r>
        <w:rPr>
          <w:color w:val="231F1F"/>
          <w:w w:val="115"/>
        </w:rPr>
        <w:t>with</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when</w:t>
      </w:r>
      <w:r>
        <w:rPr>
          <w:color w:val="231F1F"/>
          <w:spacing w:val="-12"/>
          <w:w w:val="115"/>
        </w:rPr>
        <w:t> </w:t>
      </w:r>
      <w:r>
        <w:rPr>
          <w:color w:val="231F1F"/>
          <w:w w:val="115"/>
        </w:rPr>
        <w:t>patient</w:t>
      </w:r>
      <w:r>
        <w:rPr>
          <w:color w:val="231F1F"/>
          <w:spacing w:val="-13"/>
          <w:w w:val="115"/>
        </w:rPr>
        <w:t> </w:t>
      </w:r>
      <w:r>
        <w:rPr>
          <w:color w:val="231F1F"/>
          <w:w w:val="115"/>
        </w:rPr>
        <w:t>is</w:t>
      </w:r>
      <w:r>
        <w:rPr>
          <w:color w:val="231F1F"/>
          <w:spacing w:val="-11"/>
          <w:w w:val="115"/>
        </w:rPr>
        <w:t> </w:t>
      </w:r>
      <w:r>
        <w:rPr>
          <w:color w:val="231F1F"/>
          <w:w w:val="115"/>
        </w:rPr>
        <w:t>stable</w:t>
      </w:r>
      <w:r>
        <w:rPr>
          <w:color w:val="231F1F"/>
          <w:spacing w:val="-12"/>
          <w:w w:val="115"/>
        </w:rPr>
        <w:t> </w:t>
      </w:r>
      <w:r>
        <w:rPr>
          <w:color w:val="231F1F"/>
          <w:w w:val="115"/>
        </w:rPr>
        <w:t>on</w:t>
      </w:r>
      <w:r>
        <w:rPr>
          <w:color w:val="231F1F"/>
          <w:spacing w:val="-11"/>
          <w:w w:val="115"/>
        </w:rPr>
        <w:t> </w:t>
      </w:r>
      <w:r>
        <w:rPr>
          <w:color w:val="231F1F"/>
          <w:w w:val="115"/>
        </w:rPr>
        <w:t>the</w:t>
      </w:r>
      <w:r>
        <w:rPr>
          <w:color w:val="231F1F"/>
          <w:spacing w:val="-11"/>
          <w:w w:val="115"/>
        </w:rPr>
        <w:t> </w:t>
      </w:r>
      <w:r>
        <w:rPr>
          <w:color w:val="231F1F"/>
          <w:w w:val="115"/>
        </w:rPr>
        <w:t>alpha blocker initiate vardenafil at the lowest possible dose</w:t>
      </w:r>
      <w:r>
        <w:rPr>
          <w:rFonts w:ascii="Arial" w:hAnsi="Arial"/>
          <w:color w:val="231F1F"/>
          <w:w w:val="115"/>
        </w:rPr>
        <w:t>— </w:t>
      </w:r>
      <w:r>
        <w:rPr>
          <w:color w:val="231F1F"/>
          <w:w w:val="115"/>
        </w:rPr>
        <w:t>separate</w:t>
      </w:r>
      <w:r>
        <w:rPr>
          <w:color w:val="231F1F"/>
          <w:spacing w:val="-5"/>
          <w:w w:val="115"/>
        </w:rPr>
        <w:t> </w:t>
      </w:r>
      <w:r>
        <w:rPr>
          <w:color w:val="231F1F"/>
          <w:w w:val="115"/>
        </w:rPr>
        <w:t>doses</w:t>
      </w:r>
      <w:r>
        <w:rPr>
          <w:color w:val="231F1F"/>
          <w:spacing w:val="-5"/>
          <w:w w:val="115"/>
        </w:rPr>
        <w:t> </w:t>
      </w:r>
      <w:r>
        <w:rPr>
          <w:color w:val="231F1F"/>
          <w:w w:val="115"/>
        </w:rPr>
        <w:t>by</w:t>
      </w:r>
      <w:r>
        <w:rPr>
          <w:color w:val="231F1F"/>
          <w:spacing w:val="-3"/>
          <w:w w:val="115"/>
        </w:rPr>
        <w:t> </w:t>
      </w:r>
      <w:r>
        <w:rPr>
          <w:color w:val="231F1F"/>
          <w:w w:val="115"/>
        </w:rPr>
        <w:t>6</w:t>
      </w:r>
      <w:r>
        <w:rPr>
          <w:color w:val="231F1F"/>
          <w:spacing w:val="-4"/>
          <w:w w:val="115"/>
        </w:rPr>
        <w:t> </w:t>
      </w:r>
      <w:r>
        <w:rPr>
          <w:color w:val="231F1F"/>
          <w:w w:val="115"/>
        </w:rPr>
        <w:t>hours</w:t>
      </w:r>
      <w:r>
        <w:rPr>
          <w:color w:val="231F1F"/>
          <w:spacing w:val="-4"/>
          <w:w w:val="115"/>
        </w:rPr>
        <w:t> </w:t>
      </w:r>
      <w:r>
        <w:rPr>
          <w:color w:val="231F1F"/>
          <w:w w:val="115"/>
        </w:rPr>
        <w:t>(except</w:t>
      </w:r>
      <w:r>
        <w:rPr>
          <w:color w:val="231F1F"/>
          <w:spacing w:val="-4"/>
          <w:w w:val="115"/>
        </w:rPr>
        <w:t> </w:t>
      </w:r>
      <w:r>
        <w:rPr>
          <w:color w:val="231F1F"/>
          <w:w w:val="115"/>
        </w:rPr>
        <w:t>with</w:t>
      </w:r>
      <w:r>
        <w:rPr>
          <w:color w:val="231F1F"/>
          <w:spacing w:val="-4"/>
          <w:w w:val="115"/>
        </w:rPr>
        <w:t> </w:t>
      </w:r>
      <w:r>
        <w:rPr>
          <w:color w:val="231F1F"/>
          <w:w w:val="115"/>
        </w:rPr>
        <w:t>tamsulosin)</w:t>
      </w:r>
    </w:p>
    <w:p>
      <w:pPr>
        <w:spacing w:line="237" w:lineRule="auto" w:before="0"/>
        <w:ind w:left="286" w:right="24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alpha-blockers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line="256" w:lineRule="auto" w:before="6"/>
        <w:ind w:left="186" w:right="716"/>
      </w:pPr>
      <w:r>
        <w:rPr>
          <w:rFonts w:ascii="Trebuchet MS"/>
          <w:color w:val="008356"/>
          <w:w w:val="105"/>
        </w:rPr>
        <w:t>Alpha-blockers (post-synaptic) </w:t>
      </w:r>
      <w:r>
        <w:rPr>
          <w:i/>
          <w:color w:val="231F1F"/>
          <w:w w:val="105"/>
        </w:rPr>
        <w:t>see </w:t>
      </w:r>
      <w:r>
        <w:rPr>
          <w:color w:val="231F1F"/>
          <w:w w:val="105"/>
        </w:rPr>
        <w:t>Alpha-blockers </w:t>
      </w:r>
      <w:r>
        <w:rPr>
          <w:rFonts w:ascii="Trebuchet MS"/>
          <w:color w:val="008356"/>
          <w:w w:val="110"/>
        </w:rPr>
        <w:t>Alprazolam </w:t>
      </w:r>
      <w:r>
        <w:rPr>
          <w:i/>
          <w:color w:val="231F1F"/>
          <w:w w:val="110"/>
        </w:rPr>
        <w:t>see </w:t>
      </w:r>
      <w:r>
        <w:rPr>
          <w:color w:val="231F1F"/>
          <w:w w:val="110"/>
        </w:rPr>
        <w:t>Anxiolytics and Hypnotics </w:t>
      </w:r>
      <w:r>
        <w:rPr>
          <w:rFonts w:ascii="Trebuchet MS"/>
          <w:color w:val="008356"/>
          <w:w w:val="110"/>
        </w:rPr>
        <w:t>Alprostadil </w:t>
      </w:r>
      <w:r>
        <w:rPr>
          <w:i/>
          <w:color w:val="231F1F"/>
          <w:w w:val="110"/>
        </w:rPr>
        <w:t>see </w:t>
      </w:r>
      <w:r>
        <w:rPr>
          <w:color w:val="231F1F"/>
          <w:w w:val="110"/>
        </w:rPr>
        <w:t>Prostaglandins</w:t>
      </w:r>
    </w:p>
    <w:p>
      <w:pPr>
        <w:pStyle w:val="BodyText"/>
        <w:spacing w:before="1"/>
        <w:ind w:left="186"/>
      </w:pPr>
      <w:r>
        <w:rPr>
          <w:rFonts w:ascii="Trebuchet MS"/>
          <w:color w:val="008356"/>
          <w:w w:val="105"/>
        </w:rPr>
        <w:t>Aluminium Hydroxide </w:t>
      </w:r>
      <w:r>
        <w:rPr>
          <w:i/>
          <w:color w:val="231F1F"/>
          <w:w w:val="105"/>
        </w:rPr>
        <w:t>see </w:t>
      </w:r>
      <w:r>
        <w:rPr>
          <w:color w:val="231F1F"/>
          <w:w w:val="105"/>
        </w:rPr>
        <w:t>Antacids</w:t>
      </w:r>
    </w:p>
    <w:p>
      <w:pPr>
        <w:pStyle w:val="BodyText"/>
        <w:spacing w:before="10"/>
        <w:ind w:left="186"/>
        <w:rPr>
          <w:rFonts w:ascii="Trebuchet MS"/>
        </w:rPr>
      </w:pPr>
      <w:r>
        <w:rPr>
          <w:rFonts w:ascii="Trebuchet MS"/>
          <w:color w:val="008356"/>
        </w:rPr>
        <w:t>Amantadine</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Antimalarials: </w:t>
      </w:r>
      <w:r>
        <w:rPr>
          <w:color w:val="231F1F"/>
          <w:w w:val="105"/>
        </w:rPr>
        <w:t>plasma concentration of amantadine possibly increased by </w:t>
      </w:r>
      <w:r>
        <w:rPr>
          <w:rFonts w:ascii="Calibri" w:hAnsi="Calibri"/>
          <w:color w:val="008356"/>
          <w:w w:val="105"/>
          <w:sz w:val="11"/>
        </w:rPr>
        <w:t>QUININE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increased risk of extrapyramidal side-effects when amantadine given with </w:t>
      </w:r>
      <w:r>
        <w:rPr>
          <w:rFonts w:ascii="Calibri" w:hAnsi="Calibri"/>
          <w:color w:val="008356"/>
          <w:w w:val="110"/>
          <w:sz w:val="11"/>
        </w:rPr>
        <w:t>ANTIPSYCHOTICS</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Bupropion: </w:t>
      </w:r>
      <w:r>
        <w:rPr>
          <w:color w:val="231F1F"/>
          <w:w w:val="110"/>
        </w:rPr>
        <w:t>increased risk of side-effects when amantadine given with </w:t>
      </w:r>
      <w:r>
        <w:rPr>
          <w:rFonts w:ascii="Calibri" w:hAnsi="Calibri"/>
          <w:color w:val="008356"/>
          <w:w w:val="110"/>
          <w:sz w:val="11"/>
        </w:rPr>
        <w:t>BUPROPION</w:t>
      </w:r>
    </w:p>
    <w:p>
      <w:pPr>
        <w:pStyle w:val="BodyText"/>
        <w:spacing w:line="242" w:lineRule="auto"/>
        <w:ind w:left="286" w:hanging="100"/>
        <w:rPr>
          <w:rFonts w:ascii="Calibri"/>
          <w:sz w:val="11"/>
        </w:rPr>
      </w:pPr>
      <w:r>
        <w:rPr>
          <w:rFonts w:ascii="Arial"/>
          <w:color w:val="231F1F"/>
          <w:w w:val="355"/>
          <w:position w:val="1"/>
          <w:sz w:val="7"/>
        </w:rPr>
        <w:t>l </w:t>
      </w:r>
      <w:r>
        <w:rPr>
          <w:rFonts w:ascii="Calibri"/>
          <w:color w:val="231F1F"/>
          <w:w w:val="105"/>
        </w:rPr>
        <w:t>Memantine: </w:t>
      </w:r>
      <w:r>
        <w:rPr>
          <w:color w:val="231F1F"/>
          <w:w w:val="110"/>
        </w:rPr>
        <w:t>increased risk of CNS toxicity when amantadine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05"/>
          <w:sz w:val="11"/>
        </w:rPr>
        <w:t>MEMANTINE </w:t>
      </w:r>
      <w:r>
        <w:rPr>
          <w:color w:val="231F1F"/>
          <w:w w:val="110"/>
        </w:rPr>
        <w:t>(manufacturer of memantine advises avoid concomitant use); effects of dopaminergics possibly enhanced by </w:t>
      </w:r>
      <w:r>
        <w:rPr>
          <w:rFonts w:ascii="Calibri"/>
          <w:color w:val="008356"/>
          <w:spacing w:val="5"/>
          <w:w w:val="105"/>
          <w:sz w:val="11"/>
        </w:rPr>
        <w:t>MEMANTINE</w:t>
      </w:r>
    </w:p>
    <w:p>
      <w:pPr>
        <w:pStyle w:val="BodyText"/>
        <w:spacing w:line="230" w:lineRule="auto" w:before="2"/>
        <w:ind w:left="286" w:right="98"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increased risk of extrapyramidal side-effects when amantadine given with </w:t>
      </w:r>
      <w:r>
        <w:rPr>
          <w:rFonts w:ascii="Calibri" w:hAnsi="Calibri"/>
          <w:color w:val="008356"/>
          <w:w w:val="110"/>
          <w:sz w:val="11"/>
        </w:rPr>
        <w:t>METHYLDOPA</w:t>
      </w:r>
      <w:r>
        <w:rPr>
          <w:color w:val="231F1F"/>
          <w:w w:val="110"/>
        </w:rPr>
        <w:t>; antiparkinsonian effect of dopaminergics antagonised by </w:t>
      </w:r>
      <w:r>
        <w:rPr>
          <w:rFonts w:ascii="Calibri" w:hAnsi="Calibri"/>
          <w:color w:val="008356"/>
          <w:w w:val="110"/>
          <w:sz w:val="11"/>
        </w:rPr>
        <w:t>METHYLDOPA</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Tetrabenazine: </w:t>
      </w:r>
      <w:r>
        <w:rPr>
          <w:color w:val="231F1F"/>
          <w:w w:val="110"/>
        </w:rPr>
        <w:t>increased risk of extrapyramidal side-effects when amantadine given with </w:t>
      </w:r>
      <w:r>
        <w:rPr>
          <w:rFonts w:ascii="Calibri" w:hAnsi="Calibri"/>
          <w:color w:val="008356"/>
          <w:w w:val="110"/>
          <w:sz w:val="11"/>
        </w:rPr>
        <w:t>TETRABENAZINE</w:t>
      </w:r>
    </w:p>
    <w:p>
      <w:pPr>
        <w:pStyle w:val="BodyText"/>
        <w:spacing w:before="9"/>
        <w:ind w:left="186"/>
        <w:rPr>
          <w:rFonts w:ascii="Trebuchet MS"/>
        </w:rPr>
      </w:pPr>
      <w:r>
        <w:rPr>
          <w:rFonts w:ascii="Trebuchet MS"/>
          <w:color w:val="008356"/>
        </w:rPr>
        <w:t>Ambrisentan</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ambrisentan possibly increased by </w:t>
      </w:r>
      <w:r>
        <w:rPr>
          <w:rFonts w:ascii="Calibri" w:hAnsi="Calibri"/>
          <w:color w:val="008356"/>
          <w:w w:val="105"/>
          <w:sz w:val="11"/>
        </w:rPr>
        <w:t>RIFAMPICIN</w:t>
      </w:r>
    </w:p>
    <w:p>
      <w:pPr>
        <w:pStyle w:val="BodyText"/>
        <w:spacing w:before="9"/>
        <w:ind w:left="0"/>
        <w:rPr>
          <w:rFonts w:ascii="Calibri"/>
          <w:sz w:val="13"/>
        </w:rPr>
      </w:pPr>
      <w:r>
        <w:rPr/>
        <w:br w:type="column"/>
      </w:r>
      <w:r>
        <w:rPr>
          <w:rFonts w:ascii="Calibri"/>
          <w:sz w:val="13"/>
        </w:rPr>
      </w:r>
    </w:p>
    <w:p>
      <w:pPr>
        <w:pStyle w:val="BodyText"/>
        <w:spacing w:line="144" w:lineRule="exact"/>
        <w:ind w:left="178"/>
        <w:rPr>
          <w:rFonts w:ascii="Calibri"/>
        </w:rPr>
      </w:pPr>
      <w:r>
        <w:rPr>
          <w:rFonts w:ascii="Arial"/>
          <w:color w:val="008356"/>
        </w:rPr>
        <w:t>Ambrisentan </w:t>
      </w:r>
      <w:r>
        <w:rPr>
          <w:rFonts w:ascii="Calibri"/>
          <w:color w:val="231F1F"/>
        </w:rPr>
        <w:t>(continued)</w:t>
      </w:r>
    </w:p>
    <w:p>
      <w:pPr>
        <w:pStyle w:val="BodyText"/>
        <w:spacing w:line="144" w:lineRule="exact"/>
        <w:ind w:left="178"/>
      </w:pPr>
      <w:r>
        <w:rPr>
          <w:rFonts w:ascii="Arial"/>
          <w:color w:val="231F1F"/>
          <w:w w:val="355"/>
          <w:position w:val="1"/>
          <w:sz w:val="7"/>
        </w:rPr>
        <w:t>l </w:t>
      </w:r>
      <w:r>
        <w:rPr>
          <w:rFonts w:ascii="Calibri"/>
          <w:color w:val="231F1F"/>
          <w:w w:val="115"/>
        </w:rPr>
        <w:t>Ciclosporin: </w:t>
      </w:r>
      <w:r>
        <w:rPr>
          <w:color w:val="231F1F"/>
          <w:w w:val="115"/>
        </w:rPr>
        <w:t>plasma concentration of ambrisentan increased by</w:t>
      </w:r>
    </w:p>
    <w:p>
      <w:pPr>
        <w:spacing w:before="0"/>
        <w:ind w:left="278"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(see under Ambrisentan, p. 162)</w:t>
      </w:r>
    </w:p>
    <w:p>
      <w:pPr>
        <w:pStyle w:val="BodyText"/>
        <w:spacing w:line="256" w:lineRule="auto" w:before="6"/>
        <w:ind w:left="178" w:right="1911"/>
        <w:rPr>
          <w:rFonts w:ascii="Trebuchet MS"/>
        </w:rPr>
      </w:pPr>
      <w:r>
        <w:rPr>
          <w:rFonts w:ascii="Trebuchet MS"/>
          <w:color w:val="008356"/>
          <w:w w:val="105"/>
        </w:rPr>
        <w:t>Amikacin </w:t>
      </w:r>
      <w:r>
        <w:rPr>
          <w:i/>
          <w:color w:val="231F1F"/>
          <w:w w:val="105"/>
        </w:rPr>
        <w:t>see </w:t>
      </w:r>
      <w:r>
        <w:rPr>
          <w:color w:val="231F1F"/>
          <w:w w:val="105"/>
        </w:rPr>
        <w:t>Aminoglycosides </w:t>
      </w:r>
      <w:r>
        <w:rPr>
          <w:rFonts w:ascii="Trebuchet MS"/>
          <w:color w:val="008356"/>
          <w:w w:val="105"/>
        </w:rPr>
        <w:t>Amiloride </w:t>
      </w:r>
      <w:r>
        <w:rPr>
          <w:i/>
          <w:color w:val="231F1F"/>
          <w:w w:val="105"/>
        </w:rPr>
        <w:t>see </w:t>
      </w:r>
      <w:r>
        <w:rPr>
          <w:color w:val="231F1F"/>
          <w:w w:val="105"/>
        </w:rPr>
        <w:t>Diuretics </w:t>
      </w:r>
      <w:r>
        <w:rPr>
          <w:rFonts w:ascii="Trebuchet MS"/>
          <w:color w:val="008356"/>
          <w:w w:val="105"/>
        </w:rPr>
        <w:t>Aminoglycosides</w:t>
      </w:r>
    </w:p>
    <w:p>
      <w:pPr>
        <w:pStyle w:val="BodyText"/>
        <w:spacing w:line="230" w:lineRule="auto"/>
        <w:ind w:left="278" w:right="664" w:hanging="100"/>
      </w:pPr>
      <w:r>
        <w:rPr>
          <w:rFonts w:ascii="Lucida Sans Unicode" w:hAnsi="Lucida Sans Unicode"/>
          <w:color w:val="A7A8AC"/>
          <w:w w:val="95"/>
          <w:sz w:val="10"/>
        </w:rPr>
        <w:t>▶ </w:t>
      </w:r>
      <w:r>
        <w:rPr>
          <w:rFonts w:ascii="Calibri" w:hAnsi="Calibri"/>
          <w:color w:val="231F1F"/>
          <w:w w:val="110"/>
        </w:rPr>
        <w:t>Agalsidase Alfa and Beta: </w:t>
      </w:r>
      <w:r>
        <w:rPr>
          <w:color w:val="231F1F"/>
          <w:w w:val="110"/>
        </w:rPr>
        <w:t>gentamicin possibly inhibits effects of </w:t>
      </w:r>
      <w:r>
        <w:rPr>
          <w:rFonts w:ascii="Calibri" w:hAnsi="Calibri"/>
          <w:color w:val="008356"/>
          <w:w w:val="110"/>
          <w:sz w:val="11"/>
        </w:rPr>
        <w:t>AGALSIDASE ALFA AND BETA </w:t>
      </w:r>
      <w:r>
        <w:rPr>
          <w:color w:val="231F1F"/>
          <w:w w:val="110"/>
        </w:rPr>
        <w:t>(manufacturers of agalsidase alfa and beta advise avoid concomitant use)</w:t>
      </w:r>
    </w:p>
    <w:p>
      <w:pPr>
        <w:pStyle w:val="BodyText"/>
        <w:spacing w:line="220" w:lineRule="auto" w:before="9"/>
        <w:ind w:left="278" w:right="652"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plasma concentration of amikacin and gentamicin in neonates possibly increased by </w:t>
      </w:r>
      <w:r>
        <w:rPr>
          <w:rFonts w:ascii="Calibri" w:hAnsi="Calibri"/>
          <w:color w:val="008356"/>
          <w:w w:val="110"/>
          <w:sz w:val="11"/>
        </w:rPr>
        <w:t>INDOMETACIN</w:t>
      </w:r>
    </w:p>
    <w:p>
      <w:pPr>
        <w:spacing w:line="242" w:lineRule="auto" w:before="0"/>
        <w:ind w:left="278" w:right="652"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neomycin reduces absorption of </w:t>
      </w:r>
      <w:r>
        <w:rPr>
          <w:rFonts w:ascii="Calibri"/>
          <w:color w:val="008356"/>
          <w:w w:val="110"/>
          <w:sz w:val="11"/>
        </w:rPr>
        <w:t>PHENOXYMETHYLPENICILLIN</w:t>
      </w:r>
      <w:r>
        <w:rPr>
          <w:color w:val="231F1F"/>
          <w:w w:val="110"/>
          <w:sz w:val="12"/>
        </w:rPr>
        <w:t>; increased risk of nephrotoxicity when aminoglycosides given with </w:t>
      </w:r>
      <w:r>
        <w:rPr>
          <w:rFonts w:ascii="Calibri"/>
          <w:color w:val="008356"/>
          <w:w w:val="110"/>
          <w:sz w:val="11"/>
        </w:rPr>
        <w:t>COLISTIMETHATE SODIUM </w:t>
      </w:r>
      <w:r>
        <w:rPr>
          <w:color w:val="231F1F"/>
          <w:w w:val="110"/>
          <w:sz w:val="12"/>
        </w:rPr>
        <w:t>or </w:t>
      </w:r>
      <w:r>
        <w:rPr>
          <w:rFonts w:ascii="Calibri"/>
          <w:color w:val="008356"/>
          <w:w w:val="110"/>
          <w:sz w:val="11"/>
        </w:rPr>
        <w:t>POLYMYXINS</w:t>
      </w:r>
      <w:r>
        <w:rPr>
          <w:color w:val="231F1F"/>
          <w:w w:val="110"/>
          <w:sz w:val="12"/>
        </w:rPr>
        <w:t>; increased risk of nephrotoxicity and ototoxicity when aminoglycosides given with </w:t>
      </w:r>
      <w:r>
        <w:rPr>
          <w:rFonts w:ascii="Calibri"/>
          <w:color w:val="008356"/>
          <w:w w:val="110"/>
          <w:sz w:val="11"/>
        </w:rPr>
        <w:t>CAPREOMYCIN </w:t>
      </w:r>
      <w:r>
        <w:rPr>
          <w:color w:val="231F1F"/>
          <w:w w:val="110"/>
          <w:sz w:val="12"/>
        </w:rPr>
        <w:t>or</w:t>
      </w:r>
    </w:p>
    <w:p>
      <w:pPr>
        <w:spacing w:line="244" w:lineRule="auto" w:before="0"/>
        <w:ind w:left="278" w:right="0" w:hanging="1"/>
        <w:jc w:val="left"/>
        <w:rPr>
          <w:rFonts w:ascii="Calibri"/>
          <w:sz w:val="11"/>
        </w:rPr>
      </w:pPr>
      <w:r>
        <w:rPr>
          <w:rFonts w:ascii="Arial"/>
          <w:color w:val="231F1F"/>
          <w:w w:val="355"/>
          <w:position w:val="1"/>
          <w:sz w:val="7"/>
        </w:rPr>
        <w:t>l </w:t>
      </w:r>
      <w:r>
        <w:rPr>
          <w:rFonts w:ascii="Calibri"/>
          <w:color w:val="008356"/>
          <w:w w:val="110"/>
          <w:sz w:val="11"/>
        </w:rPr>
        <w:t>VANCOMYCIN</w:t>
      </w:r>
      <w:r>
        <w:rPr>
          <w:color w:val="231F1F"/>
          <w:w w:val="110"/>
          <w:sz w:val="12"/>
        </w:rPr>
        <w:t>; possible increased risk of nephrotoxicity when aminoglycosides given with </w:t>
      </w:r>
      <w:r>
        <w:rPr>
          <w:rFonts w:ascii="Calibri"/>
          <w:color w:val="008356"/>
          <w:w w:val="110"/>
          <w:sz w:val="11"/>
        </w:rPr>
        <w:t>CEPHALOSPORINS</w:t>
      </w:r>
    </w:p>
    <w:p>
      <w:pPr>
        <w:pStyle w:val="BodyText"/>
        <w:spacing w:line="237" w:lineRule="auto"/>
        <w:ind w:left="278" w:right="730" w:hanging="100"/>
      </w:pPr>
      <w:r>
        <w:rPr>
          <w:rFonts w:ascii="Arial"/>
          <w:color w:val="231F1F"/>
          <w:w w:val="355"/>
          <w:position w:val="1"/>
          <w:sz w:val="7"/>
        </w:rPr>
        <w:t>l </w:t>
      </w:r>
      <w:r>
        <w:rPr>
          <w:rFonts w:ascii="Calibri"/>
          <w:color w:val="231F1F"/>
          <w:w w:val="110"/>
        </w:rPr>
        <w:t>Anticoagulants: </w:t>
      </w:r>
      <w:r>
        <w:rPr>
          <w:color w:val="231F1F"/>
          <w:w w:val="110"/>
        </w:rPr>
        <w:t>experience in anticoagulant clinics suggests </w:t>
      </w:r>
      <w:r>
        <w:rPr>
          <w:color w:val="231F1F"/>
          <w:w w:val="130"/>
        </w:rPr>
        <w:t>that </w:t>
      </w:r>
      <w:r>
        <w:rPr>
          <w:color w:val="231F1F"/>
          <w:w w:val="110"/>
        </w:rPr>
        <w:t>INR possibly altered when neomycin (given for local</w:t>
      </w:r>
    </w:p>
    <w:p>
      <w:pPr>
        <w:spacing w:line="141" w:lineRule="exact" w:before="1"/>
        <w:ind w:left="278" w:right="0" w:firstLine="0"/>
        <w:jc w:val="left"/>
        <w:rPr>
          <w:rFonts w:ascii="Calibri"/>
          <w:sz w:val="11"/>
        </w:rPr>
      </w:pPr>
      <w:r>
        <w:rPr>
          <w:color w:val="231F1F"/>
          <w:w w:val="105"/>
          <w:sz w:val="12"/>
        </w:rPr>
        <w:t>action on gut) is given with </w:t>
      </w:r>
      <w:r>
        <w:rPr>
          <w:rFonts w:ascii="Arial"/>
          <w:color w:val="231F1F"/>
          <w:w w:val="355"/>
          <w:position w:val="1"/>
          <w:sz w:val="7"/>
        </w:rPr>
        <w:t>l </w:t>
      </w:r>
      <w:r>
        <w:rPr>
          <w:rFonts w:ascii="Calibri"/>
          <w:color w:val="008356"/>
          <w:w w:val="105"/>
          <w:sz w:val="11"/>
        </w:rPr>
        <w:t>COUMARINS </w:t>
      </w:r>
      <w:r>
        <w:rPr>
          <w:color w:val="231F1F"/>
          <w:w w:val="105"/>
          <w:sz w:val="12"/>
        </w:rPr>
        <w:t>or </w:t>
      </w:r>
      <w:r>
        <w:rPr>
          <w:rFonts w:ascii="Arial"/>
          <w:color w:val="231F1F"/>
          <w:w w:val="355"/>
          <w:position w:val="1"/>
          <w:sz w:val="7"/>
        </w:rPr>
        <w:t>l </w:t>
      </w:r>
      <w:r>
        <w:rPr>
          <w:rFonts w:ascii="Calibri"/>
          <w:color w:val="008356"/>
          <w:w w:val="105"/>
          <w:sz w:val="11"/>
        </w:rPr>
        <w:t>PHENINDIONE</w:t>
      </w:r>
    </w:p>
    <w:p>
      <w:pPr>
        <w:pStyle w:val="BodyText"/>
        <w:spacing w:line="230" w:lineRule="auto" w:before="3"/>
        <w:ind w:left="278" w:right="664" w:hanging="100"/>
      </w:pPr>
      <w:r>
        <w:rPr>
          <w:rFonts w:ascii="Lucida Sans Unicode" w:hAnsi="Lucida Sans Unicode"/>
          <w:color w:val="A7A8AC"/>
          <w:w w:val="95"/>
          <w:sz w:val="10"/>
        </w:rPr>
        <w:t>▶ </w:t>
      </w:r>
      <w:r>
        <w:rPr>
          <w:rFonts w:ascii="Calibri" w:hAnsi="Calibri"/>
          <w:color w:val="231F1F"/>
          <w:w w:val="110"/>
        </w:rPr>
        <w:t>Antidiabetics: </w:t>
      </w:r>
      <w:r>
        <w:rPr>
          <w:color w:val="231F1F"/>
          <w:w w:val="110"/>
        </w:rPr>
        <w:t>neomycin possibly enhances hypoglycaemic effect of </w:t>
      </w:r>
      <w:r>
        <w:rPr>
          <w:rFonts w:ascii="Calibri" w:hAnsi="Calibri"/>
          <w:color w:val="008356"/>
          <w:w w:val="110"/>
          <w:sz w:val="11"/>
        </w:rPr>
        <w:t>ACARBOSE</w:t>
      </w:r>
      <w:r>
        <w:rPr>
          <w:color w:val="231F1F"/>
          <w:w w:val="110"/>
        </w:rPr>
        <w:t>, also severity of gastro-intestinal effects increased</w:t>
      </w:r>
    </w:p>
    <w:p>
      <w:pPr>
        <w:pStyle w:val="BodyText"/>
        <w:spacing w:line="220" w:lineRule="auto" w:before="12"/>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increased risk of nephrotoxicity when aminoglycosides given with </w:t>
      </w:r>
      <w:r>
        <w:rPr>
          <w:rFonts w:ascii="Calibri" w:hAnsi="Calibri"/>
          <w:color w:val="008356"/>
          <w:w w:val="105"/>
          <w:sz w:val="11"/>
        </w:rPr>
        <w:t>AMPHOTERICIN</w:t>
      </w:r>
    </w:p>
    <w:p>
      <w:pPr>
        <w:pStyle w:val="BodyText"/>
        <w:spacing w:line="220" w:lineRule="auto" w:before="9"/>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Bisphosphonates: </w:t>
      </w:r>
      <w:r>
        <w:rPr>
          <w:color w:val="231F1F"/>
          <w:w w:val="105"/>
        </w:rPr>
        <w:t>increased risk of hypocalcaemia when aminoglycosides given with </w:t>
      </w:r>
      <w:r>
        <w:rPr>
          <w:rFonts w:ascii="Calibri" w:hAnsi="Calibri"/>
          <w:color w:val="008356"/>
          <w:w w:val="105"/>
          <w:sz w:val="11"/>
        </w:rPr>
        <w:t>BISPHOSPHONATES</w:t>
      </w:r>
    </w:p>
    <w:p>
      <w:pPr>
        <w:pStyle w:val="BodyText"/>
        <w:spacing w:line="237" w:lineRule="auto"/>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gentamicin possibly increases plasma concentration of </w:t>
      </w:r>
      <w:r>
        <w:rPr>
          <w:rFonts w:ascii="Calibri" w:hAnsi="Calibri"/>
          <w:color w:val="008356"/>
          <w:w w:val="105"/>
          <w:sz w:val="11"/>
        </w:rPr>
        <w:t>DIGOXIN</w:t>
      </w:r>
      <w:r>
        <w:rPr>
          <w:color w:val="231F1F"/>
          <w:w w:val="105"/>
        </w:rPr>
        <w:t>; neomycin reduces absorption of </w:t>
      </w:r>
      <w:r>
        <w:rPr>
          <w:rFonts w:ascii="Calibri" w:hAnsi="Calibri"/>
          <w:color w:val="008356"/>
          <w:w w:val="105"/>
          <w:sz w:val="11"/>
        </w:rPr>
        <w:t>DIGOXIN</w:t>
      </w:r>
    </w:p>
    <w:p>
      <w:pPr>
        <w:pStyle w:val="BodyText"/>
        <w:spacing w:line="237" w:lineRule="auto"/>
        <w:ind w:left="278" w:right="1277"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Ciclosporin:</w:t>
      </w:r>
      <w:r>
        <w:rPr>
          <w:rFonts w:ascii="Calibri"/>
          <w:color w:val="231F1F"/>
          <w:spacing w:val="-14"/>
          <w:w w:val="115"/>
        </w:rPr>
        <w:t> </w:t>
      </w:r>
      <w:r>
        <w:rPr>
          <w:color w:val="231F1F"/>
          <w:w w:val="115"/>
        </w:rPr>
        <w:t>increased</w:t>
      </w:r>
      <w:r>
        <w:rPr>
          <w:color w:val="231F1F"/>
          <w:spacing w:val="-18"/>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nephrotoxicity</w:t>
      </w:r>
      <w:r>
        <w:rPr>
          <w:color w:val="231F1F"/>
          <w:spacing w:val="-17"/>
          <w:w w:val="115"/>
        </w:rPr>
        <w:t> </w:t>
      </w:r>
      <w:r>
        <w:rPr>
          <w:color w:val="231F1F"/>
          <w:spacing w:val="-4"/>
          <w:w w:val="115"/>
        </w:rPr>
        <w:t>when </w:t>
      </w:r>
      <w:r>
        <w:rPr>
          <w:color w:val="231F1F"/>
          <w:w w:val="115"/>
        </w:rPr>
        <w:t>aminoglycosides</w:t>
      </w:r>
      <w:r>
        <w:rPr>
          <w:color w:val="231F1F"/>
          <w:spacing w:val="-11"/>
          <w:w w:val="115"/>
        </w:rPr>
        <w:t> </w:t>
      </w:r>
      <w:r>
        <w:rPr>
          <w:color w:val="231F1F"/>
          <w:w w:val="115"/>
        </w:rPr>
        <w:t>given</w:t>
      </w:r>
      <w:r>
        <w:rPr>
          <w:color w:val="231F1F"/>
          <w:spacing w:val="-11"/>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5"/>
          <w:sz w:val="11"/>
        </w:rPr>
        <w:t>CICLOSPORIN</w:t>
      </w:r>
    </w:p>
    <w:p>
      <w:pPr>
        <w:pStyle w:val="BodyText"/>
        <w:spacing w:line="244" w:lineRule="auto"/>
        <w:ind w:left="278" w:right="664"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neomycin possibly reduces absorption of </w:t>
      </w:r>
      <w:r>
        <w:rPr>
          <w:rFonts w:ascii="Calibri"/>
          <w:color w:val="008356"/>
          <w:w w:val="110"/>
          <w:sz w:val="11"/>
        </w:rPr>
        <w:t>METHOTREXATE</w:t>
      </w:r>
      <w:r>
        <w:rPr>
          <w:color w:val="231F1F"/>
          <w:w w:val="110"/>
        </w:rPr>
        <w:t>; neomycin reduces bioavailability of </w:t>
      </w:r>
      <w:r>
        <w:rPr>
          <w:rFonts w:ascii="Calibri"/>
          <w:color w:val="008356"/>
          <w:w w:val="110"/>
          <w:sz w:val="11"/>
        </w:rPr>
        <w:t>SORAFENIB</w:t>
      </w:r>
      <w:r>
        <w:rPr>
          <w:color w:val="231F1F"/>
          <w:w w:val="110"/>
        </w:rPr>
        <w:t>; increased risk of nephrotoxicity and possibly of ototoxicity when aminoglycosides given with </w:t>
      </w:r>
      <w:r>
        <w:rPr>
          <w:rFonts w:ascii="Arial"/>
          <w:color w:val="231F1F"/>
          <w:w w:val="355"/>
          <w:position w:val="1"/>
          <w:sz w:val="7"/>
        </w:rPr>
        <w:t>l </w:t>
      </w:r>
      <w:r>
        <w:rPr>
          <w:rFonts w:ascii="Calibri"/>
          <w:color w:val="008356"/>
          <w:w w:val="110"/>
          <w:sz w:val="11"/>
        </w:rPr>
        <w:t>PLATINUM COMPOUNDS</w:t>
      </w:r>
    </w:p>
    <w:p>
      <w:pPr>
        <w:spacing w:line="240" w:lineRule="auto" w:before="0"/>
        <w:ind w:left="278" w:right="691" w:hanging="100"/>
        <w:jc w:val="left"/>
        <w:rPr>
          <w:rFonts w:ascii="Calibri"/>
          <w:sz w:val="11"/>
        </w:rPr>
      </w:pPr>
      <w:r>
        <w:rPr>
          <w:rFonts w:ascii="Arial"/>
          <w:color w:val="231F1F"/>
          <w:w w:val="115"/>
          <w:position w:val="1"/>
          <w:sz w:val="7"/>
        </w:rPr>
        <w:t>l </w:t>
      </w:r>
      <w:r>
        <w:rPr>
          <w:rFonts w:ascii="Calibri"/>
          <w:color w:val="231F1F"/>
          <w:w w:val="115"/>
          <w:sz w:val="12"/>
        </w:rPr>
        <w:t>Diuretics: </w:t>
      </w:r>
      <w:r>
        <w:rPr>
          <w:color w:val="231F1F"/>
          <w:w w:val="115"/>
          <w:sz w:val="12"/>
        </w:rPr>
        <w:t>increased risk of otoxicity when aminoglycosides </w:t>
      </w:r>
      <w:r>
        <w:rPr>
          <w:color w:val="231F1F"/>
          <w:w w:val="120"/>
          <w:sz w:val="12"/>
        </w:rPr>
        <w:t>given with </w:t>
      </w:r>
      <w:r>
        <w:rPr>
          <w:rFonts w:ascii="Arial"/>
          <w:color w:val="231F1F"/>
          <w:w w:val="355"/>
          <w:position w:val="1"/>
          <w:sz w:val="7"/>
        </w:rPr>
        <w:t>l </w:t>
      </w:r>
      <w:r>
        <w:rPr>
          <w:rFonts w:ascii="Calibri"/>
          <w:color w:val="008356"/>
          <w:w w:val="120"/>
          <w:sz w:val="11"/>
        </w:rPr>
        <w:t>LOOP DIURETICS</w:t>
      </w:r>
    </w:p>
    <w:p>
      <w:pPr>
        <w:pStyle w:val="BodyText"/>
        <w:spacing w:line="220" w:lineRule="auto"/>
        <w:ind w:left="278" w:right="1139" w:hanging="100"/>
        <w:rPr>
          <w:rFonts w:ascii="Calibri" w:hAnsi="Calibri"/>
          <w:sz w:val="11"/>
        </w:rPr>
      </w:pPr>
      <w:r>
        <w:rPr>
          <w:rFonts w:ascii="Lucida Sans Unicode" w:hAnsi="Lucida Sans Unicode"/>
          <w:color w:val="A7A8AC"/>
          <w:w w:val="95"/>
          <w:sz w:val="10"/>
        </w:rPr>
        <w:t>▶ </w:t>
      </w:r>
      <w:r>
        <w:rPr>
          <w:rFonts w:ascii="Calibri" w:hAnsi="Calibri"/>
          <w:color w:val="231F1F"/>
          <w:w w:val="110"/>
        </w:rPr>
        <w:t>Mannitol: </w:t>
      </w:r>
      <w:r>
        <w:rPr>
          <w:color w:val="231F1F"/>
          <w:w w:val="110"/>
        </w:rPr>
        <w:t>manufacturer of tobramycin advises avoid concomitant use with </w:t>
      </w:r>
      <w:r>
        <w:rPr>
          <w:rFonts w:ascii="Calibri" w:hAnsi="Calibri"/>
          <w:color w:val="008356"/>
          <w:w w:val="110"/>
          <w:sz w:val="11"/>
        </w:rPr>
        <w:t>MANNITOL</w:t>
      </w:r>
    </w:p>
    <w:p>
      <w:pPr>
        <w:pStyle w:val="BodyText"/>
        <w:spacing w:line="146" w:lineRule="exact"/>
        <w:ind w:left="178"/>
        <w:rPr>
          <w:rFonts w:ascii="Calibri"/>
          <w:sz w:val="11"/>
        </w:rPr>
      </w:pPr>
      <w:r>
        <w:rPr>
          <w:rFonts w:ascii="Arial"/>
          <w:color w:val="231F1F"/>
          <w:w w:val="355"/>
          <w:position w:val="1"/>
          <w:sz w:val="7"/>
        </w:rPr>
        <w:t>l </w:t>
      </w:r>
      <w:r>
        <w:rPr>
          <w:rFonts w:ascii="Calibri"/>
          <w:color w:val="231F1F"/>
          <w:w w:val="115"/>
        </w:rPr>
        <w:t>Muscle Relaxants: </w:t>
      </w:r>
      <w:r>
        <w:rPr>
          <w:color w:val="231F1F"/>
          <w:w w:val="115"/>
        </w:rPr>
        <w:t>aminoglycosides enhance effects of </w:t>
      </w:r>
      <w:r>
        <w:rPr>
          <w:rFonts w:ascii="Arial"/>
          <w:color w:val="231F1F"/>
          <w:w w:val="355"/>
          <w:position w:val="1"/>
          <w:sz w:val="7"/>
        </w:rPr>
        <w:t>l </w:t>
      </w:r>
      <w:r>
        <w:rPr>
          <w:rFonts w:ascii="Calibri"/>
          <w:color w:val="008356"/>
          <w:spacing w:val="5"/>
          <w:w w:val="115"/>
          <w:sz w:val="11"/>
        </w:rPr>
        <w:t>NON-</w:t>
      </w:r>
    </w:p>
    <w:p>
      <w:pPr>
        <w:spacing w:line="140" w:lineRule="exact" w:before="0"/>
        <w:ind w:left="278" w:right="0" w:firstLine="0"/>
        <w:jc w:val="left"/>
        <w:rPr>
          <w:rFonts w:ascii="Calibri"/>
          <w:sz w:val="11"/>
        </w:rPr>
      </w:pPr>
      <w:r>
        <w:rPr>
          <w:rFonts w:ascii="Calibri"/>
          <w:color w:val="008356"/>
          <w:spacing w:val="4"/>
          <w:w w:val="105"/>
          <w:sz w:val="11"/>
        </w:rPr>
        <w:t>DEPOLARISING MUSCLE RELAXANTS </w:t>
      </w:r>
      <w:r>
        <w:rPr>
          <w:color w:val="231F1F"/>
          <w:w w:val="140"/>
          <w:sz w:val="12"/>
        </w:rPr>
        <w:t>and </w:t>
      </w:r>
      <w:r>
        <w:rPr>
          <w:rFonts w:ascii="Arial"/>
          <w:color w:val="231F1F"/>
          <w:w w:val="355"/>
          <w:position w:val="1"/>
          <w:sz w:val="7"/>
        </w:rPr>
        <w:t>l </w:t>
      </w:r>
      <w:r>
        <w:rPr>
          <w:rFonts w:ascii="Calibri"/>
          <w:color w:val="008356"/>
          <w:spacing w:val="5"/>
          <w:w w:val="105"/>
          <w:sz w:val="11"/>
        </w:rPr>
        <w:t>SUXAMETHONIUM</w:t>
      </w:r>
    </w:p>
    <w:p>
      <w:pPr>
        <w:pStyle w:val="BodyText"/>
        <w:spacing w:line="145" w:lineRule="exact"/>
        <w:ind w:left="178"/>
      </w:pPr>
      <w:r>
        <w:rPr>
          <w:rFonts w:ascii="Arial"/>
          <w:color w:val="231F1F"/>
          <w:w w:val="355"/>
          <w:position w:val="1"/>
          <w:sz w:val="7"/>
        </w:rPr>
        <w:t>l </w:t>
      </w:r>
      <w:r>
        <w:rPr>
          <w:rFonts w:ascii="Calibri"/>
          <w:color w:val="231F1F"/>
          <w:w w:val="115"/>
        </w:rPr>
        <w:t>Parasympathomimetics: </w:t>
      </w:r>
      <w:r>
        <w:rPr>
          <w:color w:val="231F1F"/>
          <w:w w:val="115"/>
        </w:rPr>
        <w:t>aminoglycosides antagonise effects of</w:t>
      </w:r>
    </w:p>
    <w:p>
      <w:pPr>
        <w:spacing w:line="140" w:lineRule="exact" w:before="0"/>
        <w:ind w:left="278" w:right="0" w:firstLine="0"/>
        <w:jc w:val="left"/>
        <w:rPr>
          <w:rFonts w:ascii="Calibri"/>
          <w:sz w:val="11"/>
        </w:rPr>
      </w:pPr>
      <w:r>
        <w:rPr>
          <w:rFonts w:ascii="Arial"/>
          <w:color w:val="231F1F"/>
          <w:w w:val="355"/>
          <w:position w:val="1"/>
          <w:sz w:val="7"/>
        </w:rPr>
        <w:t>l </w:t>
      </w:r>
      <w:r>
        <w:rPr>
          <w:rFonts w:ascii="Calibri"/>
          <w:color w:val="008356"/>
          <w:w w:val="110"/>
          <w:sz w:val="11"/>
        </w:rPr>
        <w:t>NEOSTIGMINE </w:t>
      </w:r>
      <w:r>
        <w:rPr>
          <w:color w:val="231F1F"/>
          <w:w w:val="110"/>
          <w:sz w:val="12"/>
        </w:rPr>
        <w:t>and </w:t>
      </w:r>
      <w:r>
        <w:rPr>
          <w:rFonts w:ascii="Arial"/>
          <w:color w:val="231F1F"/>
          <w:w w:val="355"/>
          <w:position w:val="1"/>
          <w:sz w:val="7"/>
        </w:rPr>
        <w:t>l </w:t>
      </w:r>
      <w:r>
        <w:rPr>
          <w:rFonts w:ascii="Calibri"/>
          <w:color w:val="008356"/>
          <w:w w:val="110"/>
          <w:sz w:val="11"/>
        </w:rPr>
        <w:t>PYRIDOSTIGMINE</w:t>
      </w:r>
    </w:p>
    <w:p>
      <w:pPr>
        <w:pStyle w:val="BodyText"/>
        <w:ind w:left="278" w:right="1283"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Tacrolimus: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7"/>
          <w:w w:val="115"/>
        </w:rPr>
        <w:t> </w:t>
      </w:r>
      <w:r>
        <w:rPr>
          <w:color w:val="231F1F"/>
          <w:w w:val="115"/>
        </w:rPr>
        <w:t>nephrotoxicity</w:t>
      </w:r>
      <w:r>
        <w:rPr>
          <w:color w:val="231F1F"/>
          <w:spacing w:val="-18"/>
          <w:w w:val="115"/>
        </w:rPr>
        <w:t> </w:t>
      </w:r>
      <w:r>
        <w:rPr>
          <w:color w:val="231F1F"/>
          <w:spacing w:val="-3"/>
          <w:w w:val="115"/>
        </w:rPr>
        <w:t>when </w:t>
      </w:r>
      <w:r>
        <w:rPr>
          <w:color w:val="231F1F"/>
          <w:w w:val="115"/>
        </w:rPr>
        <w:t>aminoglycosides</w:t>
      </w:r>
      <w:r>
        <w:rPr>
          <w:color w:val="231F1F"/>
          <w:spacing w:val="-11"/>
          <w:w w:val="115"/>
        </w:rPr>
        <w:t> </w:t>
      </w:r>
      <w:r>
        <w:rPr>
          <w:color w:val="231F1F"/>
          <w:w w:val="115"/>
        </w:rPr>
        <w:t>given</w:t>
      </w:r>
      <w:r>
        <w:rPr>
          <w:color w:val="231F1F"/>
          <w:spacing w:val="-11"/>
          <w:w w:val="115"/>
        </w:rPr>
        <w:t> </w:t>
      </w:r>
      <w:r>
        <w:rPr>
          <w:color w:val="231F1F"/>
          <w:w w:val="115"/>
        </w:rPr>
        <w:t>with</w:t>
      </w:r>
      <w:r>
        <w:rPr>
          <w:color w:val="231F1F"/>
          <w:spacing w:val="-12"/>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3"/>
          <w:w w:val="115"/>
          <w:sz w:val="11"/>
        </w:rPr>
        <w:t>TACROLIMUS</w:t>
      </w:r>
    </w:p>
    <w:p>
      <w:pPr>
        <w:spacing w:line="220" w:lineRule="auto" w:before="3"/>
        <w:ind w:left="278" w:right="664"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155" w:lineRule="exact" w:before="4"/>
        <w:ind w:left="178"/>
        <w:rPr>
          <w:rFonts w:ascii="Calibri" w:hAnsi="Calibri"/>
          <w:sz w:val="11"/>
        </w:rPr>
      </w:pPr>
      <w:r>
        <w:rPr>
          <w:rFonts w:ascii="Lucida Sans Unicode" w:hAnsi="Lucida Sans Unicode"/>
          <w:color w:val="A7A8AC"/>
          <w:w w:val="95"/>
          <w:sz w:val="10"/>
        </w:rPr>
        <w:t>▶ </w:t>
      </w:r>
      <w:r>
        <w:rPr>
          <w:rFonts w:ascii="Calibri" w:hAnsi="Calibri"/>
          <w:color w:val="231F1F"/>
          <w:w w:val="105"/>
        </w:rPr>
        <w:t>Vitamins: </w:t>
      </w:r>
      <w:r>
        <w:rPr>
          <w:color w:val="231F1F"/>
          <w:w w:val="105"/>
        </w:rPr>
        <w:t>neomycin possibly reduces absorption of </w:t>
      </w:r>
      <w:r>
        <w:rPr>
          <w:rFonts w:ascii="Calibri" w:hAnsi="Calibri"/>
          <w:color w:val="008356"/>
          <w:w w:val="105"/>
          <w:sz w:val="11"/>
        </w:rPr>
        <w:t>VITAMIN A</w:t>
      </w:r>
    </w:p>
    <w:p>
      <w:pPr>
        <w:pStyle w:val="BodyText"/>
        <w:spacing w:line="136" w:lineRule="exact"/>
        <w:ind w:left="178"/>
        <w:rPr>
          <w:rFonts w:ascii="Trebuchet MS"/>
        </w:rPr>
      </w:pPr>
      <w:r>
        <w:rPr>
          <w:rFonts w:ascii="Trebuchet MS"/>
          <w:color w:val="008356"/>
        </w:rPr>
        <w:t>Aminophylline</w:t>
      </w:r>
    </w:p>
    <w:p>
      <w:pPr>
        <w:pStyle w:val="BodyText"/>
        <w:spacing w:line="220" w:lineRule="auto" w:before="9"/>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Allopurinol: </w:t>
      </w:r>
      <w:r>
        <w:rPr>
          <w:color w:val="231F1F"/>
          <w:w w:val="105"/>
        </w:rPr>
        <w:t>plasma concentration of aminophylline possibly increased by </w:t>
      </w:r>
      <w:r>
        <w:rPr>
          <w:rFonts w:ascii="Calibri" w:hAnsi="Calibri"/>
          <w:color w:val="008356"/>
          <w:w w:val="105"/>
          <w:sz w:val="11"/>
        </w:rPr>
        <w:t>ALLOPURINOL</w:t>
      </w:r>
    </w:p>
    <w:p>
      <w:pPr>
        <w:pStyle w:val="BodyText"/>
        <w:spacing w:line="220" w:lineRule="auto" w:before="9"/>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Anaesthetics, General: </w:t>
      </w:r>
      <w:r>
        <w:rPr>
          <w:color w:val="231F1F"/>
          <w:w w:val="105"/>
        </w:rPr>
        <w:t>increased risk of convulsions when aminophylline given with </w:t>
      </w:r>
      <w:r>
        <w:rPr>
          <w:rFonts w:ascii="Calibri" w:hAnsi="Calibri"/>
          <w:color w:val="008356"/>
          <w:w w:val="105"/>
          <w:sz w:val="11"/>
        </w:rPr>
        <w:t>KETAMINE</w:t>
      </w:r>
    </w:p>
    <w:p>
      <w:pPr>
        <w:pStyle w:val="BodyText"/>
        <w:spacing w:line="237" w:lineRule="auto" w:before="1"/>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Anti-arrhythmics: </w:t>
      </w:r>
      <w:r>
        <w:rPr>
          <w:color w:val="231F1F"/>
          <w:w w:val="110"/>
        </w:rPr>
        <w:t>aminophylline antagonises anti-arrhythmic effect of </w:t>
      </w:r>
      <w:r>
        <w:rPr>
          <w:rFonts w:ascii="Calibri" w:hAnsi="Calibri"/>
          <w:color w:val="008356"/>
          <w:w w:val="110"/>
          <w:sz w:val="11"/>
        </w:rPr>
        <w:t>ADENOSINE</w:t>
      </w:r>
      <w:r>
        <w:rPr>
          <w:rFonts w:ascii="Arial" w:hAnsi="Arial"/>
          <w:color w:val="231F1F"/>
          <w:w w:val="110"/>
        </w:rPr>
        <w:t>—</w:t>
      </w:r>
      <w:r>
        <w:rPr>
          <w:color w:val="231F1F"/>
          <w:w w:val="110"/>
        </w:rPr>
        <w:t>manufacturer of adenosine advises avoid aminophylline for 24 hours before adenosine; plasma concentration of aminophylline increased by </w:t>
      </w:r>
      <w:r>
        <w:rPr>
          <w:rFonts w:ascii="Calibri" w:hAnsi="Calibri"/>
          <w:color w:val="008356"/>
          <w:w w:val="110"/>
          <w:sz w:val="11"/>
        </w:rPr>
        <w:t>PROPAFENONE</w:t>
      </w:r>
    </w:p>
    <w:p>
      <w:pPr>
        <w:pStyle w:val="BodyText"/>
        <w:spacing w:line="244" w:lineRule="auto"/>
        <w:ind w:left="278" w:right="610"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plasma concentration of aminophylline possibly</w:t>
      </w:r>
      <w:r>
        <w:rPr>
          <w:color w:val="231F1F"/>
          <w:spacing w:val="-13"/>
          <w:w w:val="110"/>
        </w:rPr>
        <w:t> </w:t>
      </w:r>
      <w:r>
        <w:rPr>
          <w:color w:val="231F1F"/>
          <w:w w:val="110"/>
        </w:rPr>
        <w:t>increased</w:t>
      </w:r>
      <w:r>
        <w:rPr>
          <w:color w:val="231F1F"/>
          <w:spacing w:val="-13"/>
          <w:w w:val="110"/>
        </w:rPr>
        <w:t> </w:t>
      </w:r>
      <w:r>
        <w:rPr>
          <w:color w:val="231F1F"/>
          <w:w w:val="110"/>
        </w:rPr>
        <w:t>by</w:t>
      </w:r>
      <w:r>
        <w:rPr>
          <w:color w:val="231F1F"/>
          <w:spacing w:val="-13"/>
          <w:w w:val="110"/>
        </w:rPr>
        <w:t> </w:t>
      </w:r>
      <w:r>
        <w:rPr>
          <w:rFonts w:ascii="Calibri"/>
          <w:color w:val="008356"/>
          <w:spacing w:val="4"/>
          <w:w w:val="110"/>
          <w:sz w:val="11"/>
        </w:rPr>
        <w:t>CLARITHROMYCIN</w:t>
      </w:r>
      <w:r>
        <w:rPr>
          <w:rFonts w:ascii="Calibri"/>
          <w:color w:val="008356"/>
          <w:spacing w:val="-3"/>
          <w:w w:val="110"/>
          <w:sz w:val="11"/>
        </w:rPr>
        <w:t> </w:t>
      </w:r>
      <w:r>
        <w:rPr>
          <w:color w:val="231F1F"/>
          <w:w w:val="110"/>
        </w:rPr>
        <w:t>and</w:t>
      </w:r>
      <w:r>
        <w:rPr>
          <w:color w:val="231F1F"/>
          <w:spacing w:val="-13"/>
          <w:w w:val="110"/>
        </w:rPr>
        <w:t> </w:t>
      </w:r>
      <w:r>
        <w:rPr>
          <w:rFonts w:ascii="Calibri"/>
          <w:color w:val="008356"/>
          <w:spacing w:val="4"/>
          <w:w w:val="110"/>
          <w:sz w:val="11"/>
        </w:rPr>
        <w:t>ISONIAZID</w:t>
      </w:r>
      <w:r>
        <w:rPr>
          <w:color w:val="231F1F"/>
          <w:spacing w:val="4"/>
          <w:w w:val="110"/>
        </w:rPr>
        <w:t>;</w:t>
      </w:r>
      <w:r>
        <w:rPr>
          <w:color w:val="231F1F"/>
          <w:spacing w:val="-13"/>
          <w:w w:val="110"/>
        </w:rPr>
        <w:t> </w:t>
      </w:r>
      <w:r>
        <w:rPr>
          <w:color w:val="231F1F"/>
          <w:w w:val="110"/>
        </w:rPr>
        <w:t>plasma concentration of aminophylline increased by </w:t>
      </w:r>
      <w:r>
        <w:rPr>
          <w:rFonts w:ascii="Arial"/>
          <w:color w:val="231F1F"/>
          <w:w w:val="355"/>
          <w:position w:val="1"/>
          <w:sz w:val="7"/>
        </w:rPr>
        <w:t>l</w:t>
      </w:r>
      <w:r>
        <w:rPr>
          <w:rFonts w:ascii="Arial"/>
          <w:color w:val="231F1F"/>
          <w:spacing w:val="-40"/>
          <w:w w:val="355"/>
          <w:position w:val="1"/>
          <w:sz w:val="7"/>
        </w:rPr>
        <w:t> </w:t>
      </w:r>
      <w:r>
        <w:rPr>
          <w:rFonts w:ascii="Calibri"/>
          <w:color w:val="008356"/>
          <w:spacing w:val="4"/>
          <w:w w:val="110"/>
          <w:sz w:val="11"/>
        </w:rPr>
        <w:t>ERYTHROMYCIN </w:t>
      </w:r>
      <w:r>
        <w:rPr>
          <w:color w:val="231F1F"/>
          <w:w w:val="110"/>
        </w:rPr>
        <w:t>(also aminophylline may reduce absorption of </w:t>
      </w:r>
      <w:r>
        <w:rPr>
          <w:i/>
          <w:color w:val="231F1F"/>
          <w:w w:val="110"/>
        </w:rPr>
        <w:t>oral </w:t>
      </w:r>
      <w:r>
        <w:rPr>
          <w:color w:val="231F1F"/>
          <w:w w:val="110"/>
        </w:rPr>
        <w:t>erythromycin); plasma concentration of aminophylline increased</w:t>
      </w:r>
      <w:r>
        <w:rPr>
          <w:color w:val="231F1F"/>
          <w:spacing w:val="-15"/>
          <w:w w:val="110"/>
        </w:rPr>
        <w:t> </w:t>
      </w:r>
      <w:r>
        <w:rPr>
          <w:color w:val="231F1F"/>
          <w:w w:val="110"/>
        </w:rPr>
        <w:t>by</w:t>
      </w:r>
      <w:r>
        <w:rPr>
          <w:color w:val="231F1F"/>
          <w:spacing w:val="-14"/>
          <w:w w:val="110"/>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CIPROFLOXACIN</w:t>
      </w:r>
      <w:r>
        <w:rPr>
          <w:rFonts w:ascii="Calibri"/>
          <w:color w:val="008356"/>
          <w:spacing w:val="-5"/>
          <w:w w:val="110"/>
          <w:sz w:val="11"/>
        </w:rPr>
        <w:t> </w:t>
      </w:r>
      <w:r>
        <w:rPr>
          <w:color w:val="231F1F"/>
          <w:w w:val="110"/>
        </w:rPr>
        <w:t>and</w:t>
      </w:r>
      <w:r>
        <w:rPr>
          <w:color w:val="231F1F"/>
          <w:spacing w:val="-14"/>
          <w:w w:val="110"/>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NORFLOXACIN</w:t>
      </w:r>
      <w:r>
        <w:rPr>
          <w:color w:val="231F1F"/>
          <w:spacing w:val="4"/>
          <w:w w:val="110"/>
        </w:rPr>
        <w:t>;</w:t>
      </w:r>
      <w:r>
        <w:rPr>
          <w:color w:val="231F1F"/>
          <w:spacing w:val="-14"/>
          <w:w w:val="110"/>
        </w:rPr>
        <w:t> </w:t>
      </w:r>
      <w:r>
        <w:rPr>
          <w:color w:val="231F1F"/>
          <w:w w:val="110"/>
        </w:rPr>
        <w:t>metabolism of aminophylline accelerated by </w:t>
      </w:r>
      <w:r>
        <w:rPr>
          <w:rFonts w:ascii="Calibri"/>
          <w:color w:val="008356"/>
          <w:spacing w:val="4"/>
          <w:w w:val="110"/>
          <w:sz w:val="11"/>
        </w:rPr>
        <w:t>RIFAMPICIN </w:t>
      </w:r>
      <w:r>
        <w:rPr>
          <w:color w:val="231F1F"/>
          <w:w w:val="110"/>
        </w:rPr>
        <w:t>(reduced plasma concentration); possible increased risk of convulsions when aminophylline given with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QUINOLONES</w:t>
      </w:r>
    </w:p>
    <w:p>
      <w:pPr>
        <w:pStyle w:val="BodyText"/>
        <w:spacing w:line="247" w:lineRule="auto"/>
        <w:ind w:left="278" w:right="594"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aminophylline increased by </w:t>
      </w:r>
      <w:r>
        <w:rPr>
          <w:rFonts w:ascii="Arial" w:hAnsi="Arial"/>
          <w:color w:val="231F1F"/>
          <w:w w:val="355"/>
          <w:position w:val="1"/>
          <w:sz w:val="7"/>
        </w:rPr>
        <w:t>l </w:t>
      </w:r>
      <w:r>
        <w:rPr>
          <w:rFonts w:ascii="Calibri" w:hAnsi="Calibri"/>
          <w:color w:val="008356"/>
          <w:w w:val="110"/>
          <w:sz w:val="11"/>
        </w:rPr>
        <w:t>FLUVOXAMINE </w:t>
      </w:r>
      <w:r>
        <w:rPr>
          <w:color w:val="231F1F"/>
          <w:w w:val="110"/>
        </w:rPr>
        <w:t>(concomitant use should usually be avoided, but where not possible halve aminophylline dose and monitor plasma-aminophylline concentration); plasma concentration of aminophylline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spacing w:after="0" w:line="247" w:lineRule="auto"/>
        <w:rPr>
          <w:rFonts w:ascii="Calibri" w:hAnsi="Calibri"/>
          <w:sz w:val="11"/>
        </w:rPr>
        <w:sectPr>
          <w:headerReference w:type="even" r:id="rId9"/>
          <w:headerReference w:type="default" r:id="rId10"/>
          <w:pgSz w:w="8390" w:h="11910"/>
          <w:pgMar w:header="0" w:footer="0" w:top="460" w:bottom="280" w:left="480" w:right="0"/>
          <w:pgNumType w:start="1142"/>
          <w:cols w:num="2" w:equalWidth="0">
            <w:col w:w="3644" w:space="40"/>
            <w:col w:w="4226"/>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Aminophylline </w:t>
      </w:r>
      <w:r>
        <w:rPr>
          <w:rFonts w:ascii="Calibri"/>
          <w:color w:val="231F1F"/>
        </w:rPr>
        <w:t>(continued)</w:t>
      </w:r>
    </w:p>
    <w:p>
      <w:pPr>
        <w:pStyle w:val="BodyText"/>
        <w:spacing w:line="144" w:lineRule="exact"/>
        <w:ind w:left="108"/>
      </w:pPr>
      <w:r>
        <w:rPr>
          <w:rFonts w:ascii="Arial"/>
          <w:color w:val="231F1F"/>
          <w:w w:val="355"/>
          <w:position w:val="1"/>
          <w:sz w:val="7"/>
        </w:rPr>
        <w:t>l </w:t>
      </w:r>
      <w:r>
        <w:rPr>
          <w:rFonts w:ascii="Calibri"/>
          <w:color w:val="231F1F"/>
          <w:w w:val="115"/>
        </w:rPr>
        <w:t>Antiepileptics: </w:t>
      </w:r>
      <w:r>
        <w:rPr>
          <w:color w:val="231F1F"/>
          <w:w w:val="115"/>
        </w:rPr>
        <w:t>metabolism of aminophylline accelerated by</w:t>
      </w:r>
    </w:p>
    <w:p>
      <w:pPr>
        <w:spacing w:before="0"/>
        <w:ind w:left="208" w:right="0" w:firstLine="0"/>
        <w:jc w:val="left"/>
        <w:rPr>
          <w:sz w:val="12"/>
        </w:rPr>
      </w:pPr>
      <w:r>
        <w:rPr>
          <w:rFonts w:ascii="Calibri"/>
          <w:color w:val="008356"/>
          <w:spacing w:val="4"/>
          <w:w w:val="110"/>
          <w:sz w:val="11"/>
        </w:rPr>
        <w:t>CARBAMAZEPINE</w:t>
      </w:r>
      <w:r>
        <w:rPr>
          <w:color w:val="231F1F"/>
          <w:spacing w:val="4"/>
          <w:w w:val="110"/>
          <w:sz w:val="12"/>
        </w:rPr>
        <w:t>,</w:t>
      </w:r>
      <w:r>
        <w:rPr>
          <w:color w:val="231F1F"/>
          <w:spacing w:val="-23"/>
          <w:w w:val="110"/>
          <w:sz w:val="12"/>
        </w:rPr>
        <w:t> </w:t>
      </w:r>
      <w:r>
        <w:rPr>
          <w:rFonts w:ascii="Arial"/>
          <w:color w:val="231F1F"/>
          <w:w w:val="165"/>
          <w:position w:val="1"/>
          <w:sz w:val="7"/>
        </w:rPr>
        <w:t>l</w:t>
      </w:r>
      <w:r>
        <w:rPr>
          <w:rFonts w:ascii="Arial"/>
          <w:color w:val="231F1F"/>
          <w:spacing w:val="-22"/>
          <w:w w:val="165"/>
          <w:position w:val="1"/>
          <w:sz w:val="7"/>
        </w:rPr>
        <w:t> </w:t>
      </w:r>
      <w:r>
        <w:rPr>
          <w:rFonts w:ascii="Calibri"/>
          <w:color w:val="008356"/>
          <w:spacing w:val="4"/>
          <w:w w:val="110"/>
          <w:sz w:val="11"/>
        </w:rPr>
        <w:t>PHENOBARBITAL</w:t>
      </w:r>
      <w:r>
        <w:rPr>
          <w:rFonts w:ascii="Calibri"/>
          <w:color w:val="008356"/>
          <w:spacing w:val="-15"/>
          <w:w w:val="110"/>
          <w:sz w:val="11"/>
        </w:rPr>
        <w:t> </w:t>
      </w:r>
      <w:r>
        <w:rPr>
          <w:color w:val="231F1F"/>
          <w:w w:val="110"/>
          <w:sz w:val="12"/>
        </w:rPr>
        <w:t>and</w:t>
      </w:r>
      <w:r>
        <w:rPr>
          <w:color w:val="231F1F"/>
          <w:spacing w:val="-22"/>
          <w:w w:val="110"/>
          <w:sz w:val="12"/>
        </w:rPr>
        <w:t> </w:t>
      </w:r>
      <w:r>
        <w:rPr>
          <w:rFonts w:ascii="Arial"/>
          <w:color w:val="231F1F"/>
          <w:w w:val="165"/>
          <w:position w:val="1"/>
          <w:sz w:val="7"/>
        </w:rPr>
        <w:t>l</w:t>
      </w:r>
      <w:r>
        <w:rPr>
          <w:rFonts w:ascii="Arial"/>
          <w:color w:val="231F1F"/>
          <w:spacing w:val="-23"/>
          <w:w w:val="165"/>
          <w:position w:val="1"/>
          <w:sz w:val="7"/>
        </w:rPr>
        <w:t> </w:t>
      </w:r>
      <w:r>
        <w:rPr>
          <w:rFonts w:ascii="Calibri"/>
          <w:color w:val="008356"/>
          <w:spacing w:val="4"/>
          <w:w w:val="110"/>
          <w:sz w:val="11"/>
        </w:rPr>
        <w:t>PRIMIDONE</w:t>
      </w:r>
      <w:r>
        <w:rPr>
          <w:rFonts w:ascii="Calibri"/>
          <w:color w:val="008356"/>
          <w:spacing w:val="-15"/>
          <w:w w:val="110"/>
          <w:sz w:val="11"/>
        </w:rPr>
        <w:t> </w:t>
      </w:r>
      <w:r>
        <w:rPr>
          <w:color w:val="231F1F"/>
          <w:w w:val="110"/>
          <w:sz w:val="12"/>
        </w:rPr>
        <w:t>(reduced</w:t>
      </w:r>
    </w:p>
    <w:p>
      <w:pPr>
        <w:spacing w:line="249" w:lineRule="auto" w:before="1"/>
        <w:ind w:left="208" w:right="190" w:firstLine="0"/>
        <w:jc w:val="left"/>
        <w:rPr>
          <w:rFonts w:ascii="Calibri"/>
          <w:sz w:val="11"/>
        </w:rPr>
      </w:pPr>
      <w:r>
        <w:rPr>
          <w:color w:val="231F1F"/>
          <w:w w:val="110"/>
          <w:sz w:val="12"/>
        </w:rPr>
        <w:t>effect); plasma concentration of both drugs reduced when aminophylline</w:t>
      </w:r>
      <w:r>
        <w:rPr>
          <w:color w:val="231F1F"/>
          <w:spacing w:val="-12"/>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FOSPHENYTOIN</w:t>
      </w:r>
      <w:r>
        <w:rPr>
          <w:rFonts w:ascii="Calibri"/>
          <w:color w:val="008356"/>
          <w:spacing w:val="-4"/>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PHENYTOIN</w:t>
      </w:r>
    </w:p>
    <w:p>
      <w:pPr>
        <w:pStyle w:val="BodyText"/>
        <w:spacing w:line="138"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aminophylline possibly</w:t>
      </w:r>
    </w:p>
    <w:p>
      <w:pPr>
        <w:spacing w:line="140" w:lineRule="exact" w:before="0"/>
        <w:ind w:left="208" w:right="0" w:firstLine="0"/>
        <w:jc w:val="left"/>
        <w:rPr>
          <w:rFonts w:ascii="Calibri"/>
          <w:sz w:val="11"/>
        </w:rPr>
      </w:pPr>
      <w:r>
        <w:rPr>
          <w:color w:val="231F1F"/>
          <w:w w:val="110"/>
          <w:sz w:val="12"/>
        </w:rPr>
        <w:t>increased by </w:t>
      </w:r>
      <w:r>
        <w:rPr>
          <w:rFonts w:ascii="Arial"/>
          <w:color w:val="231F1F"/>
          <w:w w:val="355"/>
          <w:position w:val="1"/>
          <w:sz w:val="7"/>
        </w:rPr>
        <w:t>l </w:t>
      </w:r>
      <w:r>
        <w:rPr>
          <w:rFonts w:ascii="Calibri"/>
          <w:color w:val="008356"/>
          <w:w w:val="110"/>
          <w:sz w:val="11"/>
        </w:rPr>
        <w:t>FLUCONAZOLE </w:t>
      </w:r>
      <w:r>
        <w:rPr>
          <w:color w:val="231F1F"/>
          <w:w w:val="110"/>
          <w:sz w:val="12"/>
        </w:rPr>
        <w:t>and </w:t>
      </w:r>
      <w:r>
        <w:rPr>
          <w:rFonts w:ascii="Arial"/>
          <w:color w:val="231F1F"/>
          <w:w w:val="355"/>
          <w:position w:val="1"/>
          <w:sz w:val="7"/>
        </w:rPr>
        <w:t>l </w:t>
      </w:r>
      <w:r>
        <w:rPr>
          <w:rFonts w:ascii="Calibri"/>
          <w:color w:val="008356"/>
          <w:w w:val="110"/>
          <w:sz w:val="11"/>
        </w:rPr>
        <w:t>KETOCONAZOLE</w:t>
      </w:r>
    </w:p>
    <w:p>
      <w:pPr>
        <w:pStyle w:val="BodyText"/>
        <w:spacing w:line="242" w:lineRule="auto"/>
        <w:ind w:hanging="100"/>
      </w:pPr>
      <w:r>
        <w:rPr>
          <w:rFonts w:ascii="Arial"/>
          <w:color w:val="231F1F"/>
          <w:w w:val="355"/>
          <w:position w:val="1"/>
          <w:sz w:val="7"/>
        </w:rPr>
        <w:t>l </w:t>
      </w:r>
      <w:r>
        <w:rPr>
          <w:rFonts w:ascii="Calibri"/>
          <w:color w:val="231F1F"/>
          <w:w w:val="110"/>
        </w:rPr>
        <w:t>Antivirals: </w:t>
      </w:r>
      <w:r>
        <w:rPr>
          <w:color w:val="231F1F"/>
          <w:w w:val="110"/>
        </w:rPr>
        <w:t>plasma concentration of aminophylline possibly increased by </w:t>
      </w:r>
      <w:r>
        <w:rPr>
          <w:rFonts w:ascii="Calibri"/>
          <w:color w:val="008356"/>
          <w:w w:val="110"/>
          <w:sz w:val="11"/>
        </w:rPr>
        <w:t>ACICLOVIR </w:t>
      </w:r>
      <w:r>
        <w:rPr>
          <w:color w:val="231F1F"/>
          <w:w w:val="110"/>
        </w:rPr>
        <w:t>and </w:t>
      </w:r>
      <w:r>
        <w:rPr>
          <w:rFonts w:ascii="Calibri"/>
          <w:color w:val="008356"/>
          <w:w w:val="110"/>
          <w:sz w:val="11"/>
        </w:rPr>
        <w:t>VALACICLOVIR</w:t>
      </w:r>
      <w:r>
        <w:rPr>
          <w:color w:val="231F1F"/>
          <w:w w:val="110"/>
        </w:rPr>
        <w:t>; metabolism of aminophylline accelerated by </w:t>
      </w:r>
      <w:r>
        <w:rPr>
          <w:rFonts w:ascii="Arial"/>
          <w:color w:val="231F1F"/>
          <w:w w:val="355"/>
          <w:position w:val="1"/>
          <w:sz w:val="7"/>
        </w:rPr>
        <w:t>l </w:t>
      </w:r>
      <w:r>
        <w:rPr>
          <w:rFonts w:ascii="Calibri"/>
          <w:color w:val="008356"/>
          <w:w w:val="110"/>
          <w:sz w:val="11"/>
        </w:rPr>
        <w:t>RITONAVIR </w:t>
      </w:r>
      <w:r>
        <w:rPr>
          <w:color w:val="231F1F"/>
          <w:w w:val="110"/>
        </w:rPr>
        <w:t>(reduced plasma concentration)</w:t>
      </w:r>
    </w:p>
    <w:p>
      <w:pPr>
        <w:pStyle w:val="BodyText"/>
        <w:spacing w:line="220" w:lineRule="auto" w:before="6"/>
        <w:ind w:right="306" w:hanging="100"/>
        <w:rPr>
          <w:rFonts w:ascii="Calibri" w:hAnsi="Calibri"/>
          <w:sz w:val="11"/>
        </w:rPr>
      </w:pPr>
      <w:r>
        <w:rPr>
          <w:rFonts w:ascii="Lucida Sans Unicode" w:hAnsi="Lucida Sans Unicode"/>
          <w:color w:val="A7A8AC"/>
          <w:w w:val="95"/>
          <w:sz w:val="10"/>
        </w:rPr>
        <w:t>▶ </w:t>
      </w:r>
      <w:r>
        <w:rPr>
          <w:rFonts w:ascii="Calibri" w:hAnsi="Calibri"/>
          <w:color w:val="231F1F"/>
        </w:rPr>
        <w:t>Anxiolytics and Hypnotics: </w:t>
      </w:r>
      <w:r>
        <w:rPr>
          <w:color w:val="231F1F"/>
        </w:rPr>
        <w:t>aminophylline possibly reduces effects of </w:t>
      </w:r>
      <w:r>
        <w:rPr>
          <w:rFonts w:ascii="Calibri" w:hAnsi="Calibri"/>
          <w:color w:val="008356"/>
          <w:sz w:val="11"/>
        </w:rPr>
        <w:t>BENZODIAZEPINES</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Caffeine citrate: </w:t>
      </w:r>
      <w:r>
        <w:rPr>
          <w:color w:val="231F1F"/>
          <w:w w:val="105"/>
        </w:rPr>
        <w:t>avoidance of aminophylline advised by manufacturer of </w:t>
      </w:r>
      <w:r>
        <w:rPr>
          <w:rFonts w:ascii="Calibri" w:hAnsi="Calibri"/>
          <w:color w:val="008356"/>
          <w:w w:val="105"/>
          <w:sz w:val="11"/>
        </w:rPr>
        <w:t>CAFFEINE CITRATE</w:t>
      </w:r>
    </w:p>
    <w:p>
      <w:pPr>
        <w:pStyle w:val="BodyText"/>
        <w:spacing w:line="242" w:lineRule="auto" w:before="1"/>
        <w:ind w:right="64" w:hanging="100"/>
      </w:pPr>
      <w:r>
        <w:rPr>
          <w:rFonts w:ascii="Arial"/>
          <w:color w:val="231F1F"/>
          <w:w w:val="355"/>
          <w:position w:val="1"/>
          <w:sz w:val="7"/>
        </w:rPr>
        <w:t>l </w:t>
      </w:r>
      <w:r>
        <w:rPr>
          <w:rFonts w:ascii="Calibri"/>
          <w:color w:val="231F1F"/>
          <w:w w:val="105"/>
        </w:rPr>
        <w:t>Calcium-channel Blockers: </w:t>
      </w:r>
      <w:r>
        <w:rPr>
          <w:color w:val="231F1F"/>
          <w:w w:val="105"/>
        </w:rPr>
        <w:t>plasma </w:t>
      </w:r>
      <w:r>
        <w:rPr>
          <w:color w:val="231F1F"/>
          <w:w w:val="130"/>
        </w:rPr>
        <w:t>concentration </w:t>
      </w:r>
      <w:r>
        <w:rPr>
          <w:color w:val="231F1F"/>
          <w:w w:val="105"/>
        </w:rPr>
        <w:t>of aminophylline possibly increased by </w:t>
      </w:r>
      <w:r>
        <w:rPr>
          <w:rFonts w:ascii="Arial"/>
          <w:color w:val="231F1F"/>
          <w:w w:val="355"/>
          <w:position w:val="1"/>
          <w:sz w:val="7"/>
        </w:rPr>
        <w:t>l </w:t>
      </w:r>
      <w:r>
        <w:rPr>
          <w:rFonts w:ascii="Calibri"/>
          <w:color w:val="008356"/>
          <w:w w:val="105"/>
          <w:sz w:val="11"/>
        </w:rPr>
        <w:t>CALCIUM-CHANNEL BLOCKERS </w:t>
      </w:r>
      <w:r>
        <w:rPr>
          <w:color w:val="231F1F"/>
          <w:w w:val="105"/>
        </w:rPr>
        <w:t>(enhanced effect); plasma </w:t>
      </w:r>
      <w:r>
        <w:rPr>
          <w:color w:val="231F1F"/>
          <w:w w:val="130"/>
        </w:rPr>
        <w:t>concentration </w:t>
      </w:r>
      <w:r>
        <w:rPr>
          <w:color w:val="231F1F"/>
          <w:w w:val="105"/>
        </w:rPr>
        <w:t>of aminophylline increased by </w:t>
      </w:r>
      <w:r>
        <w:rPr>
          <w:rFonts w:ascii="Calibri"/>
          <w:color w:val="008356"/>
          <w:w w:val="105"/>
          <w:sz w:val="11"/>
        </w:rPr>
        <w:t>DILTIAZEM</w:t>
      </w:r>
      <w:r>
        <w:rPr>
          <w:color w:val="231F1F"/>
          <w:w w:val="105"/>
        </w:rPr>
        <w:t>; plasma </w:t>
      </w:r>
      <w:r>
        <w:rPr>
          <w:color w:val="231F1F"/>
          <w:w w:val="130"/>
        </w:rPr>
        <w:t>concentration </w:t>
      </w:r>
      <w:r>
        <w:rPr>
          <w:color w:val="231F1F"/>
          <w:w w:val="105"/>
        </w:rPr>
        <w:t>of aminophylline increased by </w:t>
      </w:r>
      <w:r>
        <w:rPr>
          <w:rFonts w:ascii="Arial"/>
          <w:color w:val="231F1F"/>
          <w:w w:val="355"/>
          <w:position w:val="1"/>
          <w:sz w:val="7"/>
        </w:rPr>
        <w:t>l </w:t>
      </w:r>
      <w:r>
        <w:rPr>
          <w:rFonts w:ascii="Calibri"/>
          <w:color w:val="008356"/>
          <w:w w:val="105"/>
          <w:sz w:val="11"/>
        </w:rPr>
        <w:t>VERAPAMIL </w:t>
      </w:r>
      <w:r>
        <w:rPr>
          <w:color w:val="231F1F"/>
          <w:w w:val="105"/>
        </w:rPr>
        <w:t>(enhanced effect)</w:t>
      </w:r>
    </w:p>
    <w:p>
      <w:pPr>
        <w:pStyle w:val="BodyText"/>
        <w:spacing w:line="220" w:lineRule="auto" w:before="4"/>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increased risk of hypokalaemia when aminophylline given with </w:t>
      </w:r>
      <w:r>
        <w:rPr>
          <w:rFonts w:ascii="Calibri" w:hAnsi="Calibri"/>
          <w:color w:val="008356"/>
          <w:w w:val="105"/>
          <w:sz w:val="11"/>
        </w:rPr>
        <w:t>CORTICOSTEROIDS</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aminophylline possibly increased by </w:t>
      </w:r>
      <w:r>
        <w:rPr>
          <w:rFonts w:ascii="Calibri" w:hAnsi="Calibri"/>
          <w:color w:val="008356"/>
          <w:w w:val="105"/>
          <w:sz w:val="11"/>
        </w:rPr>
        <w:t>METHOTREXATE</w:t>
      </w:r>
    </w:p>
    <w:p>
      <w:pPr>
        <w:pStyle w:val="BodyText"/>
        <w:ind w:right="44" w:hanging="100"/>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Deferasirox:</w:t>
      </w:r>
      <w:r>
        <w:rPr>
          <w:rFonts w:ascii="Calibri"/>
          <w:color w:val="231F1F"/>
          <w:spacing w:val="-14"/>
          <w:w w:val="115"/>
        </w:rPr>
        <w:t> </w:t>
      </w:r>
      <w:r>
        <w:rPr>
          <w:color w:val="231F1F"/>
          <w:w w:val="115"/>
        </w:rPr>
        <w:t>plasma</w:t>
      </w:r>
      <w:r>
        <w:rPr>
          <w:color w:val="231F1F"/>
          <w:spacing w:val="-17"/>
          <w:w w:val="115"/>
        </w:rPr>
        <w:t> </w:t>
      </w:r>
      <w:r>
        <w:rPr>
          <w:color w:val="231F1F"/>
          <w:w w:val="115"/>
        </w:rPr>
        <w:t>concentration</w:t>
      </w:r>
      <w:r>
        <w:rPr>
          <w:color w:val="231F1F"/>
          <w:spacing w:val="-18"/>
          <w:w w:val="115"/>
        </w:rPr>
        <w:t> </w:t>
      </w:r>
      <w:r>
        <w:rPr>
          <w:color w:val="231F1F"/>
          <w:w w:val="115"/>
        </w:rPr>
        <w:t>of</w:t>
      </w:r>
      <w:r>
        <w:rPr>
          <w:color w:val="231F1F"/>
          <w:spacing w:val="-16"/>
          <w:w w:val="115"/>
        </w:rPr>
        <w:t> </w:t>
      </w:r>
      <w:r>
        <w:rPr>
          <w:color w:val="231F1F"/>
          <w:w w:val="115"/>
        </w:rPr>
        <w:t>aminophylline</w:t>
      </w:r>
      <w:r>
        <w:rPr>
          <w:color w:val="231F1F"/>
          <w:spacing w:val="-18"/>
          <w:w w:val="115"/>
        </w:rPr>
        <w:t> </w:t>
      </w:r>
      <w:r>
        <w:rPr>
          <w:color w:val="231F1F"/>
          <w:w w:val="115"/>
        </w:rPr>
        <w:t>increased by</w:t>
      </w:r>
      <w:r>
        <w:rPr>
          <w:color w:val="231F1F"/>
          <w:spacing w:val="-17"/>
          <w:w w:val="115"/>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DEFERASIROX</w:t>
      </w:r>
      <w:r>
        <w:rPr>
          <w:rFonts w:ascii="Calibri"/>
          <w:color w:val="008356"/>
          <w:spacing w:val="-7"/>
          <w:w w:val="115"/>
          <w:sz w:val="11"/>
        </w:rPr>
        <w:t> </w:t>
      </w:r>
      <w:r>
        <w:rPr>
          <w:color w:val="231F1F"/>
          <w:w w:val="115"/>
        </w:rPr>
        <w:t>(consider</w:t>
      </w:r>
      <w:r>
        <w:rPr>
          <w:color w:val="231F1F"/>
          <w:spacing w:val="-15"/>
          <w:w w:val="115"/>
        </w:rPr>
        <w:t> </w:t>
      </w:r>
      <w:r>
        <w:rPr>
          <w:color w:val="231F1F"/>
          <w:w w:val="115"/>
        </w:rPr>
        <w:t>reducing</w:t>
      </w:r>
      <w:r>
        <w:rPr>
          <w:color w:val="231F1F"/>
          <w:spacing w:val="-17"/>
          <w:w w:val="115"/>
        </w:rPr>
        <w:t> </w:t>
      </w:r>
      <w:r>
        <w:rPr>
          <w:color w:val="231F1F"/>
          <w:w w:val="115"/>
        </w:rPr>
        <w:t>dose</w:t>
      </w:r>
      <w:r>
        <w:rPr>
          <w:color w:val="231F1F"/>
          <w:spacing w:val="-16"/>
          <w:w w:val="115"/>
        </w:rPr>
        <w:t> </w:t>
      </w:r>
      <w:r>
        <w:rPr>
          <w:color w:val="231F1F"/>
          <w:w w:val="115"/>
        </w:rPr>
        <w:t>of</w:t>
      </w:r>
      <w:r>
        <w:rPr>
          <w:color w:val="231F1F"/>
          <w:spacing w:val="-16"/>
          <w:w w:val="115"/>
        </w:rPr>
        <w:t> </w:t>
      </w:r>
      <w:r>
        <w:rPr>
          <w:color w:val="231F1F"/>
          <w:w w:val="115"/>
        </w:rPr>
        <w:t>aminophylline)</w:t>
      </w:r>
    </w:p>
    <w:p>
      <w:pPr>
        <w:pStyle w:val="BodyText"/>
        <w:spacing w:line="149" w:lineRule="exact"/>
        <w:ind w:left="108"/>
      </w:pPr>
      <w:r>
        <w:rPr>
          <w:rFonts w:ascii="Lucida Sans Unicode" w:hAnsi="Lucida Sans Unicode"/>
          <w:color w:val="A7A8AC"/>
          <w:w w:val="95"/>
          <w:sz w:val="10"/>
        </w:rPr>
        <w:t>▶ </w:t>
      </w:r>
      <w:r>
        <w:rPr>
          <w:rFonts w:ascii="Calibri" w:hAnsi="Calibri"/>
          <w:color w:val="231F1F"/>
          <w:w w:val="105"/>
        </w:rPr>
        <w:t>Disulfiram: </w:t>
      </w:r>
      <w:r>
        <w:rPr>
          <w:color w:val="231F1F"/>
          <w:w w:val="105"/>
        </w:rPr>
        <w:t>metabolism of aminophylline inhibited by</w:t>
      </w:r>
    </w:p>
    <w:p>
      <w:pPr>
        <w:spacing w:line="135" w:lineRule="exact" w:before="0"/>
        <w:ind w:left="208" w:right="0" w:firstLine="0"/>
        <w:jc w:val="left"/>
        <w:rPr>
          <w:sz w:val="12"/>
        </w:rPr>
      </w:pPr>
      <w:r>
        <w:rPr>
          <w:rFonts w:ascii="Calibri"/>
          <w:color w:val="008356"/>
          <w:w w:val="110"/>
          <w:sz w:val="11"/>
        </w:rPr>
        <w:t>DISULFIRAM </w:t>
      </w:r>
      <w:r>
        <w:rPr>
          <w:color w:val="231F1F"/>
          <w:w w:val="110"/>
          <w:sz w:val="12"/>
        </w:rPr>
        <w:t>(increased risk of toxicity)</w:t>
      </w:r>
    </w:p>
    <w:p>
      <w:pPr>
        <w:spacing w:line="237"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hypokalaemia when aminophylline given with </w:t>
      </w:r>
      <w:r>
        <w:rPr>
          <w:rFonts w:ascii="Calibri" w:hAnsi="Calibri"/>
          <w:color w:val="008356"/>
          <w:w w:val="105"/>
          <w:sz w:val="11"/>
        </w:rPr>
        <w:t>ACETAZOLAMIDE</w:t>
      </w:r>
      <w:r>
        <w:rPr>
          <w:color w:val="231F1F"/>
          <w:w w:val="105"/>
          <w:sz w:val="12"/>
        </w:rPr>
        <w:t>, </w:t>
      </w:r>
      <w:r>
        <w:rPr>
          <w:rFonts w:ascii="Calibri" w:hAnsi="Calibri"/>
          <w:color w:val="008356"/>
          <w:w w:val="105"/>
          <w:sz w:val="11"/>
        </w:rPr>
        <w:t>LOOP DIURETICS </w:t>
      </w:r>
      <w:r>
        <w:rPr>
          <w:color w:val="231F1F"/>
          <w:w w:val="105"/>
          <w:sz w:val="12"/>
        </w:rPr>
        <w:t>or </w:t>
      </w:r>
      <w:r>
        <w:rPr>
          <w:rFonts w:ascii="Calibri" w:hAnsi="Calibri"/>
          <w:color w:val="008356"/>
          <w:w w:val="105"/>
          <w:sz w:val="11"/>
        </w:rPr>
        <w:t>THIAZIDES AND RELATED DIURETICS</w:t>
      </w:r>
    </w:p>
    <w:p>
      <w:pPr>
        <w:pStyle w:val="BodyText"/>
        <w:spacing w:line="220" w:lineRule="auto" w:before="6"/>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Doxapram: </w:t>
      </w:r>
      <w:r>
        <w:rPr>
          <w:color w:val="231F1F"/>
          <w:w w:val="105"/>
        </w:rPr>
        <w:t>increased CNS stimulation when aminophylline given with </w:t>
      </w:r>
      <w:r>
        <w:rPr>
          <w:rFonts w:ascii="Calibri" w:hAnsi="Calibri"/>
          <w:color w:val="008356"/>
          <w:w w:val="105"/>
          <w:sz w:val="11"/>
        </w:rPr>
        <w:t>DOXAPRAM</w:t>
      </w:r>
    </w:p>
    <w:p>
      <w:pPr>
        <w:pStyle w:val="BodyText"/>
        <w:spacing w:line="145" w:lineRule="exact"/>
        <w:ind w:left="108"/>
      </w:pPr>
      <w:r>
        <w:rPr>
          <w:rFonts w:ascii="Arial"/>
          <w:color w:val="231F1F"/>
          <w:w w:val="355"/>
          <w:position w:val="1"/>
          <w:sz w:val="7"/>
        </w:rPr>
        <w:t>l </w:t>
      </w:r>
      <w:r>
        <w:rPr>
          <w:rFonts w:ascii="Calibri"/>
          <w:color w:val="231F1F"/>
          <w:w w:val="115"/>
        </w:rPr>
        <w:t>Interferons: </w:t>
      </w:r>
      <w:r>
        <w:rPr>
          <w:color w:val="231F1F"/>
          <w:w w:val="115"/>
        </w:rPr>
        <w:t>metabolism of aminophylline inhibited 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spacing w:val="4"/>
          <w:w w:val="110"/>
          <w:sz w:val="11"/>
        </w:rPr>
        <w:t>INTERFERON </w:t>
      </w:r>
      <w:r>
        <w:rPr>
          <w:rFonts w:ascii="Calibri"/>
          <w:color w:val="008356"/>
          <w:spacing w:val="2"/>
          <w:w w:val="110"/>
          <w:sz w:val="11"/>
        </w:rPr>
        <w:t>ALFA </w:t>
      </w:r>
      <w:r>
        <w:rPr>
          <w:color w:val="231F1F"/>
          <w:w w:val="110"/>
          <w:sz w:val="12"/>
        </w:rPr>
        <w:t>and </w:t>
      </w:r>
      <w:r>
        <w:rPr>
          <w:rFonts w:ascii="Arial"/>
          <w:color w:val="231F1F"/>
          <w:w w:val="355"/>
          <w:position w:val="1"/>
          <w:sz w:val="7"/>
        </w:rPr>
        <w:t>l </w:t>
      </w:r>
      <w:r>
        <w:rPr>
          <w:rFonts w:ascii="Calibri"/>
          <w:color w:val="008356"/>
          <w:spacing w:val="4"/>
          <w:w w:val="110"/>
          <w:sz w:val="11"/>
        </w:rPr>
        <w:t>PEGINTERFERON </w:t>
      </w:r>
      <w:r>
        <w:rPr>
          <w:rFonts w:ascii="Calibri"/>
          <w:color w:val="008356"/>
          <w:spacing w:val="2"/>
          <w:w w:val="110"/>
          <w:sz w:val="11"/>
        </w:rPr>
        <w:t>ALFA </w:t>
      </w:r>
      <w:r>
        <w:rPr>
          <w:color w:val="231F1F"/>
          <w:w w:val="110"/>
          <w:sz w:val="12"/>
        </w:rPr>
        <w:t>(consider</w:t>
      </w:r>
    </w:p>
    <w:p>
      <w:pPr>
        <w:pStyle w:val="BodyText"/>
        <w:spacing w:before="3"/>
      </w:pPr>
      <w:r>
        <w:rPr>
          <w:color w:val="231F1F"/>
          <w:w w:val="115"/>
        </w:rPr>
        <w:t>reducing dose of aminophylline)</w:t>
      </w:r>
    </w:p>
    <w:p>
      <w:pPr>
        <w:pStyle w:val="BodyText"/>
        <w:spacing w:line="230" w:lineRule="auto" w:before="5"/>
        <w:ind w:right="218" w:hanging="100"/>
      </w:pPr>
      <w:r>
        <w:rPr>
          <w:rFonts w:ascii="Lucida Sans Unicode" w:hAnsi="Lucida Sans Unicode"/>
          <w:color w:val="A7A8AC"/>
          <w:w w:val="95"/>
          <w:sz w:val="10"/>
        </w:rPr>
        <w:t>▶ </w:t>
      </w:r>
      <w:r>
        <w:rPr>
          <w:rFonts w:ascii="Calibri" w:hAnsi="Calibri"/>
          <w:color w:val="231F1F"/>
          <w:w w:val="110"/>
        </w:rPr>
        <w:t>Leukotriene Receptor Antagonists: </w:t>
      </w:r>
      <w:r>
        <w:rPr>
          <w:color w:val="231F1F"/>
          <w:w w:val="110"/>
        </w:rPr>
        <w:t>plasma concentration </w:t>
      </w:r>
      <w:r>
        <w:rPr>
          <w:color w:val="231F1F"/>
          <w:spacing w:val="-7"/>
          <w:w w:val="110"/>
        </w:rPr>
        <w:t>of </w:t>
      </w:r>
      <w:r>
        <w:rPr>
          <w:color w:val="231F1F"/>
          <w:w w:val="110"/>
        </w:rPr>
        <w:t>aminophylline possibly increased by </w:t>
      </w:r>
      <w:r>
        <w:rPr>
          <w:rFonts w:ascii="Calibri" w:hAnsi="Calibri"/>
          <w:color w:val="008356"/>
          <w:spacing w:val="4"/>
          <w:w w:val="110"/>
          <w:sz w:val="11"/>
        </w:rPr>
        <w:t>ZAFIRLUKAST</w:t>
      </w:r>
      <w:r>
        <w:rPr>
          <w:color w:val="231F1F"/>
          <w:spacing w:val="4"/>
          <w:w w:val="110"/>
        </w:rPr>
        <w:t>, </w:t>
      </w:r>
      <w:r>
        <w:rPr>
          <w:color w:val="231F1F"/>
          <w:w w:val="110"/>
        </w:rPr>
        <w:t>also plasma concentration of zafirlukast reduced</w:t>
      </w:r>
    </w:p>
    <w:p>
      <w:pPr>
        <w:pStyle w:val="BodyText"/>
        <w:spacing w:line="152" w:lineRule="exact" w:before="3"/>
        <w:ind w:left="108"/>
        <w:rPr>
          <w:rFonts w:ascii="Calibri" w:hAnsi="Calibri"/>
          <w:sz w:val="11"/>
        </w:rPr>
      </w:pPr>
      <w:r>
        <w:rPr>
          <w:rFonts w:ascii="Lucida Sans Unicode" w:hAnsi="Lucida Sans Unicode"/>
          <w:color w:val="A7A8AC"/>
          <w:w w:val="95"/>
          <w:sz w:val="10"/>
        </w:rPr>
        <w:t>▶ </w:t>
      </w:r>
      <w:r>
        <w:rPr>
          <w:rFonts w:ascii="Calibri" w:hAnsi="Calibri"/>
          <w:color w:val="231F1F"/>
          <w:w w:val="105"/>
        </w:rPr>
        <w:t>Lithium: </w:t>
      </w:r>
      <w:r>
        <w:rPr>
          <w:color w:val="231F1F"/>
          <w:w w:val="105"/>
        </w:rPr>
        <w:t>aminophylline increases excretion of </w:t>
      </w:r>
      <w:r>
        <w:rPr>
          <w:rFonts w:ascii="Calibri" w:hAnsi="Calibri"/>
          <w:color w:val="008356"/>
          <w:w w:val="105"/>
          <w:sz w:val="11"/>
        </w:rPr>
        <w:t>LITHIUM</w:t>
      </w:r>
    </w:p>
    <w:p>
      <w:pPr>
        <w:pStyle w:val="BodyText"/>
        <w:spacing w:line="132" w:lineRule="exact"/>
      </w:pPr>
      <w:r>
        <w:rPr>
          <w:color w:val="231F1F"/>
          <w:w w:val="115"/>
        </w:rPr>
        <w:t>(reduced plasma concentration)</w:t>
      </w:r>
    </w:p>
    <w:p>
      <w:pPr>
        <w:pStyle w:val="BodyText"/>
        <w:spacing w:line="220" w:lineRule="auto" w:before="10"/>
        <w:ind w:hanging="100"/>
      </w:pPr>
      <w:r>
        <w:rPr>
          <w:rFonts w:ascii="Lucida Sans Unicode" w:hAnsi="Lucida Sans Unicode"/>
          <w:color w:val="A7A8AC"/>
          <w:w w:val="95"/>
          <w:sz w:val="10"/>
        </w:rPr>
        <w:t>▶ </w:t>
      </w:r>
      <w:r>
        <w:rPr>
          <w:rFonts w:ascii="Calibri" w:hAnsi="Calibri"/>
          <w:color w:val="231F1F"/>
          <w:w w:val="110"/>
        </w:rPr>
        <w:t>Oestrogens: </w:t>
      </w:r>
      <w:r>
        <w:rPr>
          <w:color w:val="231F1F"/>
          <w:w w:val="110"/>
        </w:rPr>
        <w:t>plasma concentration of aminophylline increased by </w:t>
      </w:r>
      <w:r>
        <w:rPr>
          <w:rFonts w:ascii="Calibri" w:hAnsi="Calibri"/>
          <w:color w:val="008356"/>
          <w:w w:val="110"/>
          <w:sz w:val="11"/>
        </w:rPr>
        <w:t>OESTROGENS </w:t>
      </w:r>
      <w:r>
        <w:rPr>
          <w:color w:val="231F1F"/>
          <w:w w:val="110"/>
        </w:rPr>
        <w:t>(consider reducing dose of aminophylline)</w:t>
      </w:r>
    </w:p>
    <w:p>
      <w:pPr>
        <w:pStyle w:val="BodyText"/>
        <w:spacing w:line="220" w:lineRule="auto" w:before="8"/>
        <w:ind w:right="306" w:hanging="100"/>
        <w:rPr>
          <w:rFonts w:ascii="Calibri" w:hAnsi="Calibri"/>
          <w:sz w:val="11"/>
        </w:rPr>
      </w:pPr>
      <w:r>
        <w:rPr>
          <w:rFonts w:ascii="Lucida Sans Unicode" w:hAnsi="Lucida Sans Unicode"/>
          <w:color w:val="A7A8AC"/>
          <w:w w:val="95"/>
          <w:sz w:val="10"/>
        </w:rPr>
        <w:t>▶ </w:t>
      </w:r>
      <w:r>
        <w:rPr>
          <w:rFonts w:ascii="Calibri" w:hAnsi="Calibri"/>
          <w:color w:val="231F1F"/>
          <w:w w:val="105"/>
        </w:rPr>
        <w:t>Pentoxifylline: </w:t>
      </w:r>
      <w:r>
        <w:rPr>
          <w:color w:val="231F1F"/>
          <w:w w:val="105"/>
        </w:rPr>
        <w:t>plasma concentration of aminophylline increased by </w:t>
      </w:r>
      <w:r>
        <w:rPr>
          <w:rFonts w:ascii="Calibri" w:hAnsi="Calibri"/>
          <w:color w:val="008356"/>
          <w:w w:val="105"/>
          <w:sz w:val="11"/>
        </w:rPr>
        <w:t>PENTOXIFYLLINE</w:t>
      </w:r>
    </w:p>
    <w:p>
      <w:pPr>
        <w:pStyle w:val="BodyText"/>
        <w:spacing w:line="220" w:lineRule="auto" w:before="8"/>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Roflumilast: </w:t>
      </w:r>
      <w:r>
        <w:rPr>
          <w:color w:val="231F1F"/>
          <w:w w:val="105"/>
        </w:rPr>
        <w:t>avoidance of aminophylline advised by manufacturer of </w:t>
      </w:r>
      <w:r>
        <w:rPr>
          <w:rFonts w:ascii="Calibri" w:hAnsi="Calibri"/>
          <w:color w:val="008356"/>
          <w:w w:val="105"/>
          <w:sz w:val="11"/>
        </w:rPr>
        <w:t>ROFLUMILAST</w:t>
      </w:r>
    </w:p>
    <w:p>
      <w:pPr>
        <w:pStyle w:val="BodyText"/>
        <w:spacing w:line="220" w:lineRule="auto" w:before="10"/>
        <w:ind w:right="306" w:hanging="100"/>
        <w:rPr>
          <w:rFonts w:ascii="Calibri" w:hAnsi="Calibri"/>
          <w:sz w:val="11"/>
        </w:rPr>
      </w:pPr>
      <w:r>
        <w:rPr>
          <w:rFonts w:ascii="Lucida Sans Unicode" w:hAnsi="Lucida Sans Unicode"/>
          <w:color w:val="A7A8AC"/>
          <w:w w:val="95"/>
          <w:sz w:val="10"/>
        </w:rPr>
        <w:t>▶ </w:t>
      </w:r>
      <w:r>
        <w:rPr>
          <w:rFonts w:ascii="Calibri" w:hAnsi="Calibri"/>
          <w:color w:val="231F1F"/>
          <w:w w:val="105"/>
        </w:rPr>
        <w:t>Sulfinpyrazone: </w:t>
      </w:r>
      <w:r>
        <w:rPr>
          <w:color w:val="231F1F"/>
          <w:w w:val="105"/>
        </w:rPr>
        <w:t>plasma concentration of aminophylline reduced by </w:t>
      </w:r>
      <w:r>
        <w:rPr>
          <w:rFonts w:ascii="Calibri" w:hAnsi="Calibri"/>
          <w:color w:val="008356"/>
          <w:w w:val="105"/>
          <w:sz w:val="11"/>
        </w:rPr>
        <w:t>SULFINPYRAZONE</w:t>
      </w:r>
    </w:p>
    <w:p>
      <w:pPr>
        <w:pStyle w:val="BodyText"/>
        <w:spacing w:line="220" w:lineRule="auto" w:before="8"/>
        <w:ind w:hanging="100"/>
      </w:pPr>
      <w:r>
        <w:rPr>
          <w:rFonts w:ascii="Lucida Sans Unicode" w:hAnsi="Lucida Sans Unicode"/>
          <w:color w:val="A7A8AC"/>
          <w:w w:val="95"/>
          <w:sz w:val="10"/>
        </w:rPr>
        <w:t>▶ </w:t>
      </w:r>
      <w:r>
        <w:rPr>
          <w:rFonts w:ascii="Calibri" w:hAnsi="Calibri"/>
          <w:color w:val="231F1F"/>
          <w:w w:val="110"/>
        </w:rPr>
        <w:t>Sympathomimetics: </w:t>
      </w:r>
      <w:r>
        <w:rPr>
          <w:color w:val="231F1F"/>
          <w:w w:val="110"/>
        </w:rPr>
        <w:t>manufacturer of aminophylline advises avoid concomitant use with </w:t>
      </w:r>
      <w:r>
        <w:rPr>
          <w:rFonts w:ascii="Calibri" w:hAnsi="Calibri"/>
          <w:color w:val="008356"/>
          <w:w w:val="110"/>
          <w:sz w:val="11"/>
        </w:rPr>
        <w:t>EPHEDRINE </w:t>
      </w:r>
      <w:r>
        <w:rPr>
          <w:color w:val="231F1F"/>
          <w:w w:val="110"/>
        </w:rPr>
        <w:t>in children</w:t>
      </w:r>
    </w:p>
    <w:p>
      <w:pPr>
        <w:pStyle w:val="BodyText"/>
        <w:spacing w:line="220" w:lineRule="auto" w:before="8"/>
        <w:ind w:right="64"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increased risk of hypokalaemia when </w:t>
      </w:r>
      <w:r>
        <w:rPr>
          <w:color w:val="231F1F"/>
          <w:w w:val="105"/>
          <w:position w:val="2"/>
          <w:vertAlign w:val="baseline"/>
        </w:rPr>
        <w:t>aminophylline given with high doses of </w:t>
      </w:r>
      <w:r>
        <w:rPr>
          <w:rFonts w:ascii="Calibri" w:hAnsi="Calibri"/>
          <w:color w:val="008356"/>
          <w:w w:val="105"/>
          <w:position w:val="2"/>
          <w:sz w:val="11"/>
          <w:vertAlign w:val="baseline"/>
        </w:rPr>
        <w:t>BETA</w:t>
      </w:r>
      <w:r>
        <w:rPr>
          <w:rFonts w:ascii="Calibri" w:hAnsi="Calibri"/>
          <w:color w:val="008356"/>
          <w:w w:val="105"/>
          <w:position w:val="2"/>
          <w:sz w:val="11"/>
          <w:vertAlign w:val="subscript"/>
        </w:rPr>
        <w:t>2</w:t>
      </w:r>
      <w:r>
        <w:rPr>
          <w:rFonts w:ascii="Calibri" w:hAnsi="Calibri"/>
          <w:color w:val="008356"/>
          <w:w w:val="105"/>
          <w:position w:val="2"/>
          <w:sz w:val="11"/>
          <w:vertAlign w:val="baseline"/>
        </w:rPr>
        <w:t> </w:t>
      </w:r>
      <w:r>
        <w:rPr>
          <w:rFonts w:ascii="Calibri" w:hAnsi="Calibri"/>
          <w:color w:val="008356"/>
          <w:w w:val="105"/>
          <w:sz w:val="11"/>
          <w:vertAlign w:val="baseline"/>
        </w:rPr>
        <w:t>SYMPATHOMIMETICS</w:t>
      </w:r>
    </w:p>
    <w:p>
      <w:pPr>
        <w:pStyle w:val="BodyText"/>
        <w:spacing w:line="242" w:lineRule="auto"/>
        <w:ind w:right="36" w:hanging="100"/>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Ulcer-healing</w:t>
      </w:r>
      <w:r>
        <w:rPr>
          <w:rFonts w:ascii="Calibri"/>
          <w:color w:val="231F1F"/>
          <w:spacing w:val="-17"/>
          <w:w w:val="115"/>
        </w:rPr>
        <w:t> </w:t>
      </w:r>
      <w:r>
        <w:rPr>
          <w:rFonts w:ascii="Calibri"/>
          <w:color w:val="231F1F"/>
          <w:w w:val="115"/>
        </w:rPr>
        <w:t>Drugs:</w:t>
      </w:r>
      <w:r>
        <w:rPr>
          <w:rFonts w:ascii="Calibri"/>
          <w:color w:val="231F1F"/>
          <w:spacing w:val="-19"/>
          <w:w w:val="115"/>
        </w:rPr>
        <w:t> </w:t>
      </w:r>
      <w:r>
        <w:rPr>
          <w:color w:val="231F1F"/>
          <w:w w:val="115"/>
        </w:rPr>
        <w:t>metabolism</w:t>
      </w:r>
      <w:r>
        <w:rPr>
          <w:color w:val="231F1F"/>
          <w:spacing w:val="-22"/>
          <w:w w:val="115"/>
        </w:rPr>
        <w:t> </w:t>
      </w:r>
      <w:r>
        <w:rPr>
          <w:color w:val="231F1F"/>
          <w:w w:val="115"/>
        </w:rPr>
        <w:t>of</w:t>
      </w:r>
      <w:r>
        <w:rPr>
          <w:color w:val="231F1F"/>
          <w:spacing w:val="-21"/>
          <w:w w:val="115"/>
        </w:rPr>
        <w:t> </w:t>
      </w:r>
      <w:r>
        <w:rPr>
          <w:color w:val="231F1F"/>
          <w:w w:val="115"/>
        </w:rPr>
        <w:t>aminophylline</w:t>
      </w:r>
      <w:r>
        <w:rPr>
          <w:color w:val="231F1F"/>
          <w:spacing w:val="-21"/>
          <w:w w:val="115"/>
        </w:rPr>
        <w:t> </w:t>
      </w:r>
      <w:r>
        <w:rPr>
          <w:color w:val="231F1F"/>
          <w:w w:val="115"/>
        </w:rPr>
        <w:t>inhibited</w:t>
      </w:r>
      <w:r>
        <w:rPr>
          <w:color w:val="231F1F"/>
          <w:spacing w:val="-21"/>
          <w:w w:val="115"/>
        </w:rPr>
        <w:t> </w:t>
      </w:r>
      <w:r>
        <w:rPr>
          <w:color w:val="231F1F"/>
          <w:spacing w:val="-7"/>
          <w:w w:val="115"/>
        </w:rPr>
        <w:t>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CIMETIDINE</w:t>
      </w:r>
      <w:r>
        <w:rPr>
          <w:rFonts w:ascii="Calibri"/>
          <w:color w:val="008356"/>
          <w:spacing w:val="-6"/>
          <w:w w:val="115"/>
          <w:sz w:val="11"/>
        </w:rPr>
        <w:t> </w:t>
      </w:r>
      <w:r>
        <w:rPr>
          <w:color w:val="231F1F"/>
          <w:w w:val="115"/>
        </w:rPr>
        <w:t>(increased</w:t>
      </w:r>
      <w:r>
        <w:rPr>
          <w:color w:val="231F1F"/>
          <w:spacing w:val="-17"/>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absorption</w:t>
      </w:r>
      <w:r>
        <w:rPr>
          <w:color w:val="231F1F"/>
          <w:spacing w:val="-16"/>
          <w:w w:val="115"/>
        </w:rPr>
        <w:t> </w:t>
      </w:r>
      <w:r>
        <w:rPr>
          <w:color w:val="231F1F"/>
          <w:w w:val="115"/>
        </w:rPr>
        <w:t>of aminophylline</w:t>
      </w:r>
      <w:r>
        <w:rPr>
          <w:color w:val="231F1F"/>
          <w:spacing w:val="-18"/>
          <w:w w:val="115"/>
        </w:rPr>
        <w:t> </w:t>
      </w:r>
      <w:r>
        <w:rPr>
          <w:color w:val="231F1F"/>
          <w:w w:val="115"/>
        </w:rPr>
        <w:t>possibly</w:t>
      </w:r>
      <w:r>
        <w:rPr>
          <w:color w:val="231F1F"/>
          <w:spacing w:val="-18"/>
          <w:w w:val="115"/>
        </w:rPr>
        <w:t> </w:t>
      </w:r>
      <w:r>
        <w:rPr>
          <w:color w:val="231F1F"/>
          <w:w w:val="115"/>
        </w:rPr>
        <w:t>reduced</w:t>
      </w:r>
      <w:r>
        <w:rPr>
          <w:color w:val="231F1F"/>
          <w:spacing w:val="-18"/>
          <w:w w:val="115"/>
        </w:rPr>
        <w:t> </w:t>
      </w:r>
      <w:r>
        <w:rPr>
          <w:color w:val="231F1F"/>
          <w:w w:val="115"/>
        </w:rPr>
        <w:t>by</w:t>
      </w:r>
      <w:r>
        <w:rPr>
          <w:color w:val="231F1F"/>
          <w:spacing w:val="-17"/>
          <w:w w:val="115"/>
        </w:rPr>
        <w:t> </w:t>
      </w:r>
      <w:r>
        <w:rPr>
          <w:rFonts w:ascii="Calibri"/>
          <w:color w:val="008356"/>
          <w:spacing w:val="3"/>
          <w:w w:val="115"/>
          <w:sz w:val="11"/>
        </w:rPr>
        <w:t>SUCRALFATE</w:t>
      </w:r>
      <w:r>
        <w:rPr>
          <w:rFonts w:ascii="Calibri"/>
          <w:color w:val="008356"/>
          <w:spacing w:val="-9"/>
          <w:w w:val="115"/>
          <w:sz w:val="11"/>
        </w:rPr>
        <w:t> </w:t>
      </w:r>
      <w:r>
        <w:rPr>
          <w:color w:val="231F1F"/>
          <w:w w:val="115"/>
        </w:rPr>
        <w:t>(give</w:t>
      </w:r>
      <w:r>
        <w:rPr>
          <w:color w:val="231F1F"/>
          <w:spacing w:val="-17"/>
          <w:w w:val="115"/>
        </w:rPr>
        <w:t> </w:t>
      </w:r>
      <w:r>
        <w:rPr>
          <w:color w:val="231F1F"/>
          <w:w w:val="135"/>
        </w:rPr>
        <w:t>at</w:t>
      </w:r>
      <w:r>
        <w:rPr>
          <w:color w:val="231F1F"/>
          <w:spacing w:val="-24"/>
          <w:w w:val="135"/>
        </w:rPr>
        <w:t> </w:t>
      </w:r>
      <w:r>
        <w:rPr>
          <w:color w:val="231F1F"/>
          <w:w w:val="115"/>
        </w:rPr>
        <w:t>least 2 hours</w:t>
      </w:r>
      <w:r>
        <w:rPr>
          <w:color w:val="231F1F"/>
          <w:spacing w:val="-7"/>
          <w:w w:val="115"/>
        </w:rPr>
        <w:t> </w:t>
      </w:r>
      <w:r>
        <w:rPr>
          <w:color w:val="231F1F"/>
          <w:w w:val="115"/>
        </w:rPr>
        <w:t>apart)</w:t>
      </w:r>
    </w:p>
    <w:p>
      <w:pPr>
        <w:spacing w:line="220" w:lineRule="auto" w:before="7"/>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plasma concentration of aminophylline possibly increased by </w:t>
      </w:r>
      <w:r>
        <w:rPr>
          <w:rFonts w:ascii="Calibri" w:hAnsi="Calibri"/>
          <w:color w:val="008356"/>
          <w:w w:val="105"/>
          <w:sz w:val="11"/>
        </w:rPr>
        <w:t>INFLUENZA VACCINE</w:t>
      </w:r>
    </w:p>
    <w:p>
      <w:pPr>
        <w:pStyle w:val="BodyText"/>
        <w:spacing w:before="10"/>
        <w:ind w:left="108"/>
      </w:pPr>
      <w:r>
        <w:rPr>
          <w:rFonts w:ascii="Trebuchet MS"/>
          <w:color w:val="008356"/>
          <w:w w:val="110"/>
        </w:rPr>
        <w:t>Aminosalicylates </w:t>
      </w:r>
      <w:r>
        <w:rPr>
          <w:i/>
          <w:color w:val="231F1F"/>
          <w:w w:val="110"/>
        </w:rPr>
        <w:t>see </w:t>
      </w:r>
      <w:r>
        <w:rPr>
          <w:color w:val="231F1F"/>
          <w:w w:val="110"/>
        </w:rPr>
        <w:t>individual drugs</w:t>
      </w:r>
    </w:p>
    <w:p>
      <w:pPr>
        <w:pStyle w:val="BodyText"/>
        <w:spacing w:before="9"/>
        <w:ind w:left="108"/>
        <w:rPr>
          <w:rFonts w:ascii="Trebuchet MS"/>
        </w:rPr>
      </w:pPr>
      <w:r>
        <w:rPr>
          <w:rFonts w:ascii="Trebuchet MS"/>
          <w:color w:val="008356"/>
        </w:rPr>
        <w:t>Amiodarone</w:t>
      </w:r>
    </w:p>
    <w:p>
      <w:pPr>
        <w:pStyle w:val="BodyText"/>
        <w:spacing w:line="242" w:lineRule="auto" w:before="5"/>
        <w:ind w:right="44"/>
      </w:pPr>
      <w:r>
        <w:rPr>
          <w:rFonts w:ascii="Calibri"/>
          <w:color w:val="008356"/>
          <w:spacing w:val="3"/>
          <w:w w:val="115"/>
          <w:sz w:val="11"/>
        </w:rPr>
        <w:t>NOTE</w:t>
      </w:r>
      <w:r>
        <w:rPr>
          <w:rFonts w:ascii="Calibri"/>
          <w:color w:val="008356"/>
          <w:spacing w:val="-1"/>
          <w:w w:val="115"/>
          <w:sz w:val="11"/>
        </w:rPr>
        <w:t> </w:t>
      </w:r>
      <w:r>
        <w:rPr>
          <w:color w:val="231F1F"/>
          <w:w w:val="115"/>
        </w:rPr>
        <w:t>Amiodarone</w:t>
      </w:r>
      <w:r>
        <w:rPr>
          <w:color w:val="231F1F"/>
          <w:spacing w:val="-10"/>
          <w:w w:val="115"/>
        </w:rPr>
        <w:t> </w:t>
      </w:r>
      <w:r>
        <w:rPr>
          <w:color w:val="231F1F"/>
          <w:w w:val="115"/>
        </w:rPr>
        <w:t>has</w:t>
      </w:r>
      <w:r>
        <w:rPr>
          <w:color w:val="231F1F"/>
          <w:spacing w:val="-7"/>
          <w:w w:val="115"/>
        </w:rPr>
        <w:t> </w:t>
      </w:r>
      <w:r>
        <w:rPr>
          <w:color w:val="231F1F"/>
          <w:w w:val="115"/>
        </w:rPr>
        <w:t>a</w:t>
      </w:r>
      <w:r>
        <w:rPr>
          <w:color w:val="231F1F"/>
          <w:spacing w:val="-9"/>
          <w:w w:val="115"/>
        </w:rPr>
        <w:t> </w:t>
      </w:r>
      <w:r>
        <w:rPr>
          <w:color w:val="231F1F"/>
          <w:w w:val="115"/>
        </w:rPr>
        <w:t>long</w:t>
      </w:r>
      <w:r>
        <w:rPr>
          <w:color w:val="231F1F"/>
          <w:spacing w:val="-7"/>
          <w:w w:val="115"/>
        </w:rPr>
        <w:t> </w:t>
      </w:r>
      <w:r>
        <w:rPr>
          <w:color w:val="231F1F"/>
          <w:w w:val="115"/>
        </w:rPr>
        <w:t>half-life;</w:t>
      </w:r>
      <w:r>
        <w:rPr>
          <w:color w:val="231F1F"/>
          <w:spacing w:val="-8"/>
          <w:w w:val="115"/>
        </w:rPr>
        <w:t> </w:t>
      </w:r>
      <w:r>
        <w:rPr>
          <w:color w:val="231F1F"/>
          <w:w w:val="115"/>
        </w:rPr>
        <w:t>there</w:t>
      </w:r>
      <w:r>
        <w:rPr>
          <w:color w:val="231F1F"/>
          <w:spacing w:val="-10"/>
          <w:w w:val="115"/>
        </w:rPr>
        <w:t> </w:t>
      </w:r>
      <w:r>
        <w:rPr>
          <w:color w:val="231F1F"/>
          <w:w w:val="115"/>
        </w:rPr>
        <w:t>is</w:t>
      </w:r>
      <w:r>
        <w:rPr>
          <w:color w:val="231F1F"/>
          <w:spacing w:val="-7"/>
          <w:w w:val="115"/>
        </w:rPr>
        <w:t> </w:t>
      </w:r>
      <w:r>
        <w:rPr>
          <w:color w:val="231F1F"/>
          <w:w w:val="115"/>
        </w:rPr>
        <w:t>a</w:t>
      </w:r>
      <w:r>
        <w:rPr>
          <w:color w:val="231F1F"/>
          <w:spacing w:val="-8"/>
          <w:w w:val="115"/>
        </w:rPr>
        <w:t> </w:t>
      </w:r>
      <w:r>
        <w:rPr>
          <w:color w:val="231F1F"/>
          <w:w w:val="115"/>
        </w:rPr>
        <w:t>potential</w:t>
      </w:r>
      <w:r>
        <w:rPr>
          <w:color w:val="231F1F"/>
          <w:spacing w:val="-9"/>
          <w:w w:val="115"/>
        </w:rPr>
        <w:t> </w:t>
      </w:r>
      <w:r>
        <w:rPr>
          <w:color w:val="231F1F"/>
          <w:w w:val="115"/>
        </w:rPr>
        <w:t>for drug</w:t>
      </w:r>
      <w:r>
        <w:rPr>
          <w:color w:val="231F1F"/>
          <w:spacing w:val="-9"/>
          <w:w w:val="115"/>
        </w:rPr>
        <w:t> </w:t>
      </w:r>
      <w:r>
        <w:rPr>
          <w:color w:val="231F1F"/>
          <w:w w:val="115"/>
        </w:rPr>
        <w:t>interactions</w:t>
      </w:r>
      <w:r>
        <w:rPr>
          <w:color w:val="231F1F"/>
          <w:spacing w:val="-8"/>
          <w:w w:val="115"/>
        </w:rPr>
        <w:t> </w:t>
      </w:r>
      <w:r>
        <w:rPr>
          <w:color w:val="231F1F"/>
          <w:w w:val="115"/>
        </w:rPr>
        <w:t>to</w:t>
      </w:r>
      <w:r>
        <w:rPr>
          <w:color w:val="231F1F"/>
          <w:spacing w:val="-7"/>
          <w:w w:val="115"/>
        </w:rPr>
        <w:t> </w:t>
      </w:r>
      <w:r>
        <w:rPr>
          <w:color w:val="231F1F"/>
          <w:w w:val="115"/>
        </w:rPr>
        <w:t>occur</w:t>
      </w:r>
      <w:r>
        <w:rPr>
          <w:color w:val="231F1F"/>
          <w:spacing w:val="-8"/>
          <w:w w:val="115"/>
        </w:rPr>
        <w:t> </w:t>
      </w:r>
      <w:r>
        <w:rPr>
          <w:color w:val="231F1F"/>
          <w:w w:val="115"/>
        </w:rPr>
        <w:t>for</w:t>
      </w:r>
      <w:r>
        <w:rPr>
          <w:color w:val="231F1F"/>
          <w:spacing w:val="-8"/>
          <w:w w:val="115"/>
        </w:rPr>
        <w:t> </w:t>
      </w:r>
      <w:r>
        <w:rPr>
          <w:color w:val="231F1F"/>
          <w:w w:val="115"/>
        </w:rPr>
        <w:t>several</w:t>
      </w:r>
      <w:r>
        <w:rPr>
          <w:color w:val="231F1F"/>
          <w:spacing w:val="-8"/>
          <w:w w:val="115"/>
        </w:rPr>
        <w:t> </w:t>
      </w:r>
      <w:r>
        <w:rPr>
          <w:color w:val="231F1F"/>
          <w:w w:val="115"/>
        </w:rPr>
        <w:t>weeks</w:t>
      </w:r>
      <w:r>
        <w:rPr>
          <w:color w:val="231F1F"/>
          <w:spacing w:val="-8"/>
          <w:w w:val="115"/>
        </w:rPr>
        <w:t> </w:t>
      </w:r>
      <w:r>
        <w:rPr>
          <w:color w:val="231F1F"/>
          <w:w w:val="115"/>
        </w:rPr>
        <w:t>(or</w:t>
      </w:r>
      <w:r>
        <w:rPr>
          <w:color w:val="231F1F"/>
          <w:spacing w:val="-7"/>
          <w:w w:val="115"/>
        </w:rPr>
        <w:t> </w:t>
      </w:r>
      <w:r>
        <w:rPr>
          <w:color w:val="231F1F"/>
          <w:w w:val="115"/>
        </w:rPr>
        <w:t>even</w:t>
      </w:r>
      <w:r>
        <w:rPr>
          <w:color w:val="231F1F"/>
          <w:spacing w:val="-8"/>
          <w:w w:val="115"/>
        </w:rPr>
        <w:t> </w:t>
      </w:r>
      <w:r>
        <w:rPr>
          <w:color w:val="231F1F"/>
          <w:w w:val="115"/>
        </w:rPr>
        <w:t>months) after treatment with it has been</w:t>
      </w:r>
      <w:r>
        <w:rPr>
          <w:color w:val="231F1F"/>
          <w:spacing w:val="-16"/>
          <w:w w:val="115"/>
        </w:rPr>
        <w:t> </w:t>
      </w:r>
      <w:r>
        <w:rPr>
          <w:color w:val="231F1F"/>
          <w:w w:val="115"/>
        </w:rPr>
        <w:t>stopped</w:t>
      </w:r>
    </w:p>
    <w:p>
      <w:pPr>
        <w:pStyle w:val="BodyText"/>
        <w:spacing w:line="230" w:lineRule="auto" w:before="5"/>
        <w:ind w:right="65" w:hanging="100"/>
      </w:pPr>
      <w:r>
        <w:rPr>
          <w:rFonts w:ascii="Lucida Sans Unicode" w:hAnsi="Lucida Sans Unicode"/>
          <w:color w:val="A7A8AC"/>
          <w:w w:val="95"/>
          <w:sz w:val="10"/>
        </w:rPr>
        <w:t>▶ </w:t>
      </w:r>
      <w:r>
        <w:rPr>
          <w:rFonts w:ascii="Calibri" w:hAnsi="Calibri"/>
          <w:color w:val="231F1F"/>
          <w:w w:val="110"/>
        </w:rPr>
        <w:t>Agalsidase Alfa and Beta: </w:t>
      </w:r>
      <w:r>
        <w:rPr>
          <w:color w:val="231F1F"/>
          <w:w w:val="110"/>
        </w:rPr>
        <w:t>amiodarone possibly inhibits effects of </w:t>
      </w:r>
      <w:r>
        <w:rPr>
          <w:rFonts w:ascii="Calibri" w:hAnsi="Calibri"/>
          <w:color w:val="008356"/>
          <w:w w:val="110"/>
          <w:sz w:val="11"/>
        </w:rPr>
        <w:t>AGALSIDASE ALFA AND BETA </w:t>
      </w:r>
      <w:r>
        <w:rPr>
          <w:color w:val="231F1F"/>
          <w:w w:val="110"/>
        </w:rPr>
        <w:t>(manufacturers of agalsidase alfa and beta advise avoid concomitant use)</w:t>
      </w:r>
    </w:p>
    <w:p>
      <w:pPr>
        <w:spacing w:line="220" w:lineRule="auto" w:before="12"/>
        <w:ind w:left="208" w:right="152"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1" w:lineRule="exact" w:before="4"/>
        <w:ind w:left="208"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spacing w:line="244" w:lineRule="auto" w:before="0"/>
        <w:ind w:left="208" w:right="82" w:hanging="100"/>
        <w:jc w:val="both"/>
        <w:rPr>
          <w:sz w:val="12"/>
        </w:rPr>
      </w:pPr>
      <w:r>
        <w:rPr>
          <w:rFonts w:ascii="Arial" w:hAnsi="Arial"/>
          <w:color w:val="231F1F"/>
          <w:w w:val="355"/>
          <w:position w:val="1"/>
          <w:sz w:val="7"/>
        </w:rPr>
        <w:t>l </w:t>
      </w:r>
      <w:r>
        <w:rPr>
          <w:rFonts w:ascii="Calibri" w:hAnsi="Calibri"/>
          <w:color w:val="231F1F"/>
          <w:w w:val="110"/>
          <w:sz w:val="12"/>
        </w:rPr>
        <w:t>Anti-arrhythmics: </w:t>
      </w:r>
      <w:r>
        <w:rPr>
          <w:color w:val="231F1F"/>
          <w:w w:val="110"/>
          <w:sz w:val="12"/>
        </w:rPr>
        <w:t>increased myocardial depression when </w:t>
      </w:r>
      <w:r>
        <w:rPr>
          <w:color w:val="231F1F"/>
          <w:spacing w:val="-3"/>
          <w:w w:val="110"/>
          <w:sz w:val="12"/>
        </w:rPr>
        <w:t>anti- </w:t>
      </w:r>
      <w:r>
        <w:rPr>
          <w:color w:val="231F1F"/>
          <w:w w:val="110"/>
          <w:sz w:val="12"/>
        </w:rPr>
        <w:t>arrhythmics</w:t>
      </w:r>
      <w:r>
        <w:rPr>
          <w:color w:val="231F1F"/>
          <w:spacing w:val="-3"/>
          <w:w w:val="110"/>
          <w:sz w:val="12"/>
        </w:rPr>
        <w:t> </w:t>
      </w:r>
      <w:r>
        <w:rPr>
          <w:color w:val="231F1F"/>
          <w:w w:val="110"/>
          <w:sz w:val="12"/>
        </w:rPr>
        <w:t>given</w:t>
      </w:r>
      <w:r>
        <w:rPr>
          <w:color w:val="231F1F"/>
          <w:spacing w:val="-4"/>
          <w:w w:val="110"/>
          <w:sz w:val="12"/>
        </w:rPr>
        <w:t> </w:t>
      </w:r>
      <w:r>
        <w:rPr>
          <w:color w:val="231F1F"/>
          <w:w w:val="110"/>
          <w:sz w:val="12"/>
        </w:rPr>
        <w:t>with</w:t>
      </w:r>
      <w:r>
        <w:rPr>
          <w:color w:val="231F1F"/>
          <w:spacing w:val="-4"/>
          <w:w w:val="110"/>
          <w:sz w:val="12"/>
        </w:rPr>
        <w:t> </w:t>
      </w:r>
      <w:r>
        <w:rPr>
          <w:color w:val="231F1F"/>
          <w:w w:val="110"/>
          <w:sz w:val="12"/>
        </w:rPr>
        <w:t>other</w:t>
      </w:r>
      <w:r>
        <w:rPr>
          <w:color w:val="231F1F"/>
          <w:spacing w:val="-4"/>
          <w:w w:val="110"/>
          <w:sz w:val="12"/>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ANTI-ARRHYTHMICS</w:t>
      </w:r>
      <w:r>
        <w:rPr>
          <w:color w:val="231F1F"/>
          <w:spacing w:val="4"/>
          <w:w w:val="110"/>
          <w:sz w:val="12"/>
        </w:rPr>
        <w:t>;</w:t>
      </w:r>
      <w:r>
        <w:rPr>
          <w:color w:val="231F1F"/>
          <w:spacing w:val="-4"/>
          <w:w w:val="110"/>
          <w:sz w:val="12"/>
        </w:rPr>
        <w:t> </w:t>
      </w:r>
      <w:r>
        <w:rPr>
          <w:color w:val="231F1F"/>
          <w:w w:val="110"/>
          <w:sz w:val="12"/>
        </w:rPr>
        <w:t>increased risk of  ventricular arrhythmias when  amiodarone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DISOPYRAMIDE</w:t>
      </w:r>
      <w:r>
        <w:rPr>
          <w:rFonts w:ascii="Calibri" w:hAnsi="Calibri"/>
          <w:color w:val="008356"/>
          <w:spacing w:val="-7"/>
          <w:w w:val="110"/>
          <w:sz w:val="11"/>
        </w:rPr>
        <w:t> </w:t>
      </w:r>
      <w:r>
        <w:rPr>
          <w:color w:val="231F1F"/>
          <w:w w:val="110"/>
          <w:sz w:val="12"/>
        </w:rPr>
        <w:t>or</w:t>
      </w:r>
      <w:r>
        <w:rPr>
          <w:color w:val="231F1F"/>
          <w:spacing w:val="-17"/>
          <w:w w:val="11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DRONEDARONE</w:t>
      </w:r>
      <w:r>
        <w:rPr>
          <w:rFonts w:ascii="Arial" w:hAnsi="Arial"/>
          <w:color w:val="231F1F"/>
          <w:spacing w:val="3"/>
          <w:w w:val="110"/>
          <w:sz w:val="12"/>
        </w:rPr>
        <w:t>—</w:t>
      </w:r>
      <w:r>
        <w:rPr>
          <w:color w:val="231F1F"/>
          <w:spacing w:val="3"/>
          <w:w w:val="110"/>
          <w:sz w:val="12"/>
        </w:rPr>
        <w:t>avoid</w:t>
      </w:r>
      <w:r>
        <w:rPr>
          <w:color w:val="231F1F"/>
          <w:spacing w:val="-16"/>
          <w:w w:val="110"/>
          <w:sz w:val="12"/>
        </w:rPr>
        <w:t> </w:t>
      </w:r>
      <w:r>
        <w:rPr>
          <w:color w:val="231F1F"/>
          <w:w w:val="110"/>
          <w:sz w:val="12"/>
        </w:rPr>
        <w:t>concomitant</w:t>
      </w:r>
      <w:r>
        <w:rPr>
          <w:color w:val="231F1F"/>
          <w:spacing w:val="-17"/>
          <w:w w:val="110"/>
          <w:sz w:val="12"/>
        </w:rPr>
        <w:t> </w:t>
      </w:r>
      <w:r>
        <w:rPr>
          <w:color w:val="231F1F"/>
          <w:w w:val="110"/>
          <w:sz w:val="12"/>
        </w:rPr>
        <w:t>use;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Amiodarone</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1408" filled="true" fillcolor="#bfdbcf" stroked="false">
            <v:fill type="solid"/>
            <w10:wrap type="none"/>
          </v:rect>
        </w:pict>
      </w:r>
      <w:r>
        <w:rPr/>
        <w:pict>
          <v:shape style="position:absolute;margin-left:399.725769pt;margin-top:-3.466702pt;width:10.4pt;height:78.850pt;mso-position-horizontal-relative:page;mso-position-vertical-relative:paragraph;z-index:143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Anti-arrhythmics (continued)</w:t>
      </w:r>
    </w:p>
    <w:p>
      <w:pPr>
        <w:spacing w:line="141" w:lineRule="exact" w:before="0"/>
        <w:ind w:left="208" w:right="0" w:firstLine="0"/>
        <w:jc w:val="left"/>
        <w:rPr>
          <w:rFonts w:ascii="Calibri"/>
          <w:sz w:val="11"/>
        </w:rPr>
      </w:pPr>
      <w:r>
        <w:rPr>
          <w:color w:val="231F1F"/>
          <w:w w:val="115"/>
          <w:sz w:val="12"/>
        </w:rPr>
        <w:t>amiodarone increases plasma concentration of </w:t>
      </w:r>
      <w:r>
        <w:rPr>
          <w:rFonts w:ascii="Arial"/>
          <w:color w:val="231F1F"/>
          <w:w w:val="355"/>
          <w:position w:val="1"/>
          <w:sz w:val="7"/>
        </w:rPr>
        <w:t>l </w:t>
      </w:r>
      <w:r>
        <w:rPr>
          <w:rFonts w:ascii="Calibri"/>
          <w:color w:val="008356"/>
          <w:w w:val="115"/>
          <w:sz w:val="11"/>
        </w:rPr>
        <w:t>FLECAINIDE</w:t>
      </w:r>
    </w:p>
    <w:p>
      <w:pPr>
        <w:pStyle w:val="BodyText"/>
        <w:spacing w:before="2"/>
      </w:pPr>
      <w:r>
        <w:rPr>
          <w:color w:val="231F1F"/>
          <w:w w:val="110"/>
        </w:rPr>
        <w:t>(halve dose of flecainide)</w:t>
      </w:r>
    </w:p>
    <w:p>
      <w:pPr>
        <w:pStyle w:val="BodyText"/>
        <w:spacing w:line="242" w:lineRule="auto" w:before="2"/>
        <w:ind w:right="733"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t>
      </w:r>
      <w:r>
        <w:rPr>
          <w:color w:val="231F1F"/>
          <w:spacing w:val="-4"/>
          <w:w w:val="110"/>
        </w:rPr>
        <w:t>when </w:t>
      </w:r>
      <w:r>
        <w:rPr>
          <w:color w:val="231F1F"/>
          <w:w w:val="110"/>
        </w:rPr>
        <w:t>amiodarone given with </w:t>
      </w:r>
      <w:r>
        <w:rPr>
          <w:i/>
          <w:color w:val="231F1F"/>
          <w:w w:val="110"/>
        </w:rPr>
        <w:t>parenteral </w:t>
      </w:r>
      <w:r>
        <w:rPr>
          <w:rFonts w:ascii="Arial" w:hAnsi="Arial"/>
          <w:color w:val="231F1F"/>
          <w:w w:val="355"/>
          <w:position w:val="1"/>
          <w:sz w:val="7"/>
        </w:rPr>
        <w:t>l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amiodarone given with </w:t>
      </w:r>
      <w:r>
        <w:rPr>
          <w:rFonts w:ascii="Arial" w:hAnsi="Arial"/>
          <w:color w:val="231F1F"/>
          <w:w w:val="355"/>
          <w:position w:val="1"/>
          <w:sz w:val="7"/>
        </w:rPr>
        <w:t>l </w:t>
      </w:r>
      <w:r>
        <w:rPr>
          <w:rFonts w:ascii="Calibri" w:hAnsi="Calibri"/>
          <w:color w:val="008356"/>
          <w:spacing w:val="4"/>
          <w:w w:val="110"/>
          <w:sz w:val="11"/>
        </w:rPr>
        <w:t>LEVOFLOXACIN </w:t>
      </w:r>
      <w:r>
        <w:rPr>
          <w:color w:val="231F1F"/>
          <w:w w:val="110"/>
        </w:rPr>
        <w:t>or</w:t>
      </w:r>
    </w:p>
    <w:p>
      <w:pPr>
        <w:pStyle w:val="BodyText"/>
        <w:spacing w:line="247" w:lineRule="auto" w:before="1"/>
        <w:ind w:right="754"/>
        <w:rPr>
          <w:rFonts w:ascii="Calibri" w:hAnsi="Calibri"/>
          <w:sz w:val="11"/>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 possible increased risk of ventricular arrhythmias when amiodarone given </w:t>
      </w:r>
      <w:r>
        <w:rPr>
          <w:color w:val="231F1F"/>
          <w:spacing w:val="-4"/>
          <w:w w:val="110"/>
        </w:rPr>
        <w:t>with </w:t>
      </w:r>
      <w:r>
        <w:rPr>
          <w:rFonts w:ascii="Calibri" w:hAnsi="Calibri"/>
          <w:color w:val="008356"/>
          <w:spacing w:val="4"/>
          <w:w w:val="105"/>
          <w:sz w:val="11"/>
        </w:rPr>
        <w:t>SULFAMETHOXAZOLE </w:t>
      </w:r>
      <w:r>
        <w:rPr>
          <w:color w:val="231F1F"/>
          <w:w w:val="105"/>
        </w:rPr>
        <w:t>and </w:t>
      </w:r>
      <w:r>
        <w:rPr>
          <w:rFonts w:ascii="Calibri" w:hAnsi="Calibri"/>
          <w:color w:val="008356"/>
          <w:spacing w:val="4"/>
          <w:w w:val="105"/>
          <w:sz w:val="11"/>
        </w:rPr>
        <w:t>TRIMETHOPRIM </w:t>
      </w:r>
      <w:r>
        <w:rPr>
          <w:color w:val="231F1F"/>
          <w:w w:val="105"/>
        </w:rPr>
        <w:t>(as</w:t>
      </w:r>
      <w:r>
        <w:rPr>
          <w:color w:val="231F1F"/>
          <w:spacing w:val="-23"/>
          <w:w w:val="105"/>
        </w:rPr>
        <w:t> </w:t>
      </w:r>
      <w:r>
        <w:rPr>
          <w:color w:val="231F1F"/>
          <w:w w:val="105"/>
        </w:rPr>
        <w:t>co-trimoxazole)</w:t>
      </w:r>
      <w:r>
        <w:rPr>
          <w:rFonts w:ascii="Arial" w:hAnsi="Arial"/>
          <w:color w:val="231F1F"/>
          <w:w w:val="105"/>
        </w:rPr>
        <w:t>— </w:t>
      </w:r>
      <w:r>
        <w:rPr>
          <w:color w:val="231F1F"/>
          <w:w w:val="110"/>
        </w:rPr>
        <w:t>manufacturer of amiodarone advises avoid concomitant use of co-trimoxazole; increased risk of ventricular arrhythmias when amiodarone given with </w:t>
      </w:r>
      <w:r>
        <w:rPr>
          <w:rFonts w:ascii="Arial" w:hAnsi="Arial"/>
          <w:color w:val="231F1F"/>
          <w:w w:val="355"/>
          <w:position w:val="1"/>
          <w:sz w:val="7"/>
        </w:rPr>
        <w:t>l </w:t>
      </w:r>
      <w:r>
        <w:rPr>
          <w:rFonts w:ascii="Calibri" w:hAnsi="Calibri"/>
          <w:color w:val="008356"/>
          <w:spacing w:val="4"/>
          <w:w w:val="110"/>
          <w:sz w:val="11"/>
        </w:rPr>
        <w:t>DELAMANID</w:t>
      </w:r>
      <w:r>
        <w:rPr>
          <w:color w:val="231F1F"/>
          <w:spacing w:val="4"/>
          <w:w w:val="110"/>
        </w:rPr>
        <w:t>; </w:t>
      </w:r>
      <w:r>
        <w:rPr>
          <w:color w:val="231F1F"/>
          <w:w w:val="110"/>
        </w:rPr>
        <w:t>avoidance of amiodarone advised by manufacturer of </w:t>
      </w:r>
      <w:r>
        <w:rPr>
          <w:rFonts w:ascii="Calibri" w:hAnsi="Calibri"/>
          <w:color w:val="008356"/>
          <w:spacing w:val="4"/>
          <w:w w:val="110"/>
          <w:sz w:val="11"/>
        </w:rPr>
        <w:t>FIDAXOMICIN</w:t>
      </w:r>
      <w:r>
        <w:rPr>
          <w:color w:val="231F1F"/>
          <w:spacing w:val="4"/>
          <w:w w:val="110"/>
        </w:rPr>
        <w:t>; </w:t>
      </w:r>
      <w:r>
        <w:rPr>
          <w:color w:val="231F1F"/>
          <w:w w:val="110"/>
        </w:rPr>
        <w:t>possible increased risk of ventricular arrhythmias when amiodarone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0"/>
          <w:sz w:val="11"/>
        </w:rPr>
        <w:t>TELITHROMYCIN</w:t>
      </w:r>
    </w:p>
    <w:p>
      <w:pPr>
        <w:pStyle w:val="BodyText"/>
        <w:spacing w:line="135" w:lineRule="exact"/>
        <w:ind w:left="108"/>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Anticoagulants: </w:t>
      </w:r>
      <w:r>
        <w:rPr>
          <w:color w:val="231F1F"/>
          <w:w w:val="115"/>
        </w:rPr>
        <w:t>amiodarone inhibits metabolism of</w:t>
      </w:r>
    </w:p>
    <w:p>
      <w:pPr>
        <w:spacing w:line="244" w:lineRule="auto" w:before="0"/>
        <w:ind w:left="208" w:right="909" w:firstLine="0"/>
        <w:jc w:val="left"/>
        <w:rPr>
          <w:sz w:val="12"/>
        </w:rPr>
      </w:pP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COUMARINS</w:t>
      </w:r>
      <w:r>
        <w:rPr>
          <w:rFonts w:ascii="Calibri"/>
          <w:color w:val="008356"/>
          <w:spacing w:val="-3"/>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PHENINDIONE</w:t>
      </w:r>
      <w:r>
        <w:rPr>
          <w:rFonts w:ascii="Calibri"/>
          <w:color w:val="008356"/>
          <w:spacing w:val="-2"/>
          <w:w w:val="110"/>
          <w:sz w:val="11"/>
        </w:rPr>
        <w:t> </w:t>
      </w:r>
      <w:r>
        <w:rPr>
          <w:color w:val="231F1F"/>
          <w:w w:val="110"/>
          <w:sz w:val="12"/>
        </w:rPr>
        <w:t>(enhanced</w:t>
      </w:r>
      <w:r>
        <w:rPr>
          <w:color w:val="231F1F"/>
          <w:spacing w:val="-12"/>
          <w:w w:val="110"/>
          <w:sz w:val="12"/>
        </w:rPr>
        <w:t> </w:t>
      </w:r>
      <w:r>
        <w:rPr>
          <w:color w:val="231F1F"/>
          <w:w w:val="110"/>
          <w:sz w:val="12"/>
        </w:rPr>
        <w:t>anticoagulant effect); amiodarone increases plasma concentration</w:t>
      </w:r>
      <w:r>
        <w:rPr>
          <w:color w:val="231F1F"/>
          <w:spacing w:val="11"/>
          <w:w w:val="110"/>
          <w:sz w:val="12"/>
        </w:rPr>
        <w:t> </w:t>
      </w:r>
      <w:r>
        <w:rPr>
          <w:color w:val="231F1F"/>
          <w:w w:val="110"/>
          <w:sz w:val="12"/>
        </w:rPr>
        <w:t>of</w:t>
      </w:r>
    </w:p>
    <w:p>
      <w:pPr>
        <w:spacing w:line="141" w:lineRule="exact" w:before="2"/>
        <w:ind w:left="208" w:right="0" w:firstLine="0"/>
        <w:jc w:val="left"/>
        <w:rPr>
          <w:sz w:val="12"/>
        </w:rPr>
      </w:pPr>
      <w:r>
        <w:rPr>
          <w:rFonts w:ascii="Arial"/>
          <w:color w:val="231F1F"/>
          <w:w w:val="355"/>
          <w:position w:val="1"/>
          <w:sz w:val="7"/>
        </w:rPr>
        <w:t>l</w:t>
      </w:r>
      <w:r>
        <w:rPr>
          <w:rFonts w:ascii="Arial"/>
          <w:color w:val="231F1F"/>
          <w:spacing w:val="-29"/>
          <w:w w:val="355"/>
          <w:position w:val="1"/>
          <w:sz w:val="7"/>
        </w:rPr>
        <w:t> </w:t>
      </w:r>
      <w:r>
        <w:rPr>
          <w:rFonts w:ascii="Calibri"/>
          <w:color w:val="008356"/>
          <w:spacing w:val="4"/>
          <w:w w:val="110"/>
          <w:sz w:val="11"/>
        </w:rPr>
        <w:t>DABIGATRAN </w:t>
      </w:r>
      <w:r>
        <w:rPr>
          <w:color w:val="231F1F"/>
          <w:w w:val="110"/>
          <w:sz w:val="12"/>
        </w:rPr>
        <w:t>(see under Dabigatran Etexilate, p. 117)</w:t>
      </w:r>
    </w:p>
    <w:p>
      <w:pPr>
        <w:pStyle w:val="BodyText"/>
        <w:spacing w:line="242" w:lineRule="auto"/>
        <w:ind w:right="670" w:hanging="100"/>
      </w:pPr>
      <w:r>
        <w:rPr>
          <w:rFonts w:ascii="Arial" w:hAnsi="Arial"/>
          <w:color w:val="231F1F"/>
          <w:w w:val="355"/>
          <w:position w:val="1"/>
          <w:sz w:val="7"/>
        </w:rPr>
        <w:t>l </w:t>
      </w:r>
      <w:r>
        <w:rPr>
          <w:rFonts w:ascii="Calibri" w:hAnsi="Calibri"/>
          <w:color w:val="231F1F"/>
          <w:w w:val="110"/>
        </w:rPr>
        <w:t>Antidepressants: </w:t>
      </w:r>
      <w:r>
        <w:rPr>
          <w:color w:val="231F1F"/>
          <w:w w:val="110"/>
        </w:rPr>
        <w:t>avoidance of amiodarone advised by manufacturer of </w:t>
      </w:r>
      <w:r>
        <w:rPr>
          <w:rFonts w:ascii="Arial" w:hAnsi="Arial"/>
          <w:color w:val="231F1F"/>
          <w:w w:val="355"/>
          <w:position w:val="1"/>
          <w:sz w:val="7"/>
        </w:rPr>
        <w:t>l </w:t>
      </w:r>
      <w:r>
        <w:rPr>
          <w:rFonts w:ascii="Calibri" w:hAnsi="Calibri"/>
          <w:color w:val="008356"/>
          <w:w w:val="110"/>
          <w:sz w:val="11"/>
        </w:rPr>
        <w:t>CITALOPRAM </w:t>
      </w:r>
      <w:r>
        <w:rPr>
          <w:color w:val="231F1F"/>
          <w:w w:val="110"/>
        </w:rPr>
        <w:t>and </w:t>
      </w:r>
      <w:r>
        <w:rPr>
          <w:rFonts w:ascii="Arial" w:hAnsi="Arial"/>
          <w:color w:val="231F1F"/>
          <w:w w:val="355"/>
          <w:position w:val="1"/>
          <w:sz w:val="7"/>
        </w:rPr>
        <w:t>l </w:t>
      </w:r>
      <w:r>
        <w:rPr>
          <w:rFonts w:ascii="Calibri" w:hAnsi="Calibri"/>
          <w:color w:val="008356"/>
          <w:w w:val="110"/>
          <w:sz w:val="11"/>
        </w:rPr>
        <w:t>ESCITALOPRAM </w:t>
      </w:r>
      <w:r>
        <w:rPr>
          <w:color w:val="231F1F"/>
          <w:w w:val="110"/>
        </w:rPr>
        <w:t>(risk of ventricular arrhythmias); increased risk of ventricular arrhythmias when amiodarone given with </w:t>
      </w:r>
      <w:r>
        <w:rPr>
          <w:rFonts w:ascii="Arial" w:hAnsi="Arial"/>
          <w:color w:val="231F1F"/>
          <w:w w:val="355"/>
          <w:position w:val="1"/>
          <w:sz w:val="7"/>
        </w:rPr>
        <w:t>l </w:t>
      </w:r>
      <w:r>
        <w:rPr>
          <w:rFonts w:ascii="Calibri" w:hAnsi="Calibri"/>
          <w:color w:val="008356"/>
          <w:w w:val="110"/>
          <w:sz w:val="11"/>
        </w:rPr>
        <w:t>TRICYCLICS</w:t>
      </w:r>
      <w:r>
        <w:rPr>
          <w:rFonts w:ascii="Arial" w:hAnsi="Arial"/>
          <w:color w:val="231F1F"/>
          <w:w w:val="110"/>
        </w:rPr>
        <w:t>—</w:t>
      </w:r>
      <w:r>
        <w:rPr>
          <w:color w:val="231F1F"/>
          <w:w w:val="110"/>
        </w:rPr>
        <w:t>avoid concomitant use</w:t>
      </w:r>
    </w:p>
    <w:p>
      <w:pPr>
        <w:pStyle w:val="BodyText"/>
        <w:spacing w:line="146" w:lineRule="exact" w:before="1"/>
        <w:ind w:left="108"/>
      </w:pPr>
      <w:r>
        <w:rPr>
          <w:rFonts w:ascii="Arial"/>
          <w:color w:val="231F1F"/>
          <w:w w:val="355"/>
          <w:position w:val="1"/>
          <w:sz w:val="7"/>
        </w:rPr>
        <w:t>l </w:t>
      </w:r>
      <w:r>
        <w:rPr>
          <w:rFonts w:ascii="Calibri"/>
          <w:color w:val="231F1F"/>
          <w:w w:val="110"/>
        </w:rPr>
        <w:t>Antiepileptics: </w:t>
      </w:r>
      <w:r>
        <w:rPr>
          <w:color w:val="231F1F"/>
          <w:w w:val="110"/>
        </w:rPr>
        <w:t>amiodarone inhibits metabolism of</w:t>
      </w:r>
    </w:p>
    <w:p>
      <w:pPr>
        <w:spacing w:line="244" w:lineRule="auto" w:before="0"/>
        <w:ind w:left="208" w:right="67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FOSPHENYTOIN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PHENYTOIN </w:t>
      </w:r>
      <w:r>
        <w:rPr>
          <w:color w:val="231F1F"/>
          <w:w w:val="110"/>
          <w:sz w:val="12"/>
        </w:rPr>
        <w:t>(increased plasma concentration)</w:t>
      </w:r>
    </w:p>
    <w:p>
      <w:pPr>
        <w:pStyle w:val="BodyText"/>
        <w:ind w:right="675"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Antihistamines:</w:t>
      </w:r>
      <w:r>
        <w:rPr>
          <w:rFonts w:ascii="Calibri" w:hAnsi="Calibri"/>
          <w:color w:val="231F1F"/>
          <w:spacing w:val="-16"/>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ventricular</w:t>
      </w:r>
      <w:r>
        <w:rPr>
          <w:color w:val="231F1F"/>
          <w:spacing w:val="-19"/>
          <w:w w:val="115"/>
        </w:rPr>
        <w:t> </w:t>
      </w:r>
      <w:r>
        <w:rPr>
          <w:color w:val="231F1F"/>
          <w:w w:val="115"/>
        </w:rPr>
        <w:t>arrhythmias</w:t>
      </w:r>
      <w:r>
        <w:rPr>
          <w:color w:val="231F1F"/>
          <w:spacing w:val="-18"/>
          <w:w w:val="115"/>
        </w:rPr>
        <w:t> </w:t>
      </w:r>
      <w:r>
        <w:rPr>
          <w:color w:val="231F1F"/>
          <w:spacing w:val="-4"/>
          <w:w w:val="115"/>
        </w:rPr>
        <w:t>when </w:t>
      </w:r>
      <w:r>
        <w:rPr>
          <w:color w:val="231F1F"/>
          <w:w w:val="115"/>
        </w:rPr>
        <w:t>amiodarone</w:t>
      </w:r>
      <w:r>
        <w:rPr>
          <w:color w:val="231F1F"/>
          <w:spacing w:val="-17"/>
          <w:w w:val="115"/>
        </w:rPr>
        <w:t> </w:t>
      </w:r>
      <w:r>
        <w:rPr>
          <w:color w:val="231F1F"/>
          <w:w w:val="115"/>
        </w:rPr>
        <w:t>given</w:t>
      </w:r>
      <w:r>
        <w:rPr>
          <w:color w:val="231F1F"/>
          <w:spacing w:val="-18"/>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MIZOLASTINE</w:t>
      </w:r>
      <w:r>
        <w:rPr>
          <w:rFonts w:ascii="Arial" w:hAnsi="Arial"/>
          <w:color w:val="231F1F"/>
          <w:spacing w:val="3"/>
          <w:w w:val="115"/>
        </w:rPr>
        <w:t>—</w:t>
      </w:r>
      <w:r>
        <w:rPr>
          <w:color w:val="231F1F"/>
          <w:spacing w:val="3"/>
          <w:w w:val="115"/>
        </w:rPr>
        <w:t>avoid</w:t>
      </w:r>
      <w:r>
        <w:rPr>
          <w:color w:val="231F1F"/>
          <w:spacing w:val="-16"/>
          <w:w w:val="115"/>
        </w:rPr>
        <w:t> </w:t>
      </w:r>
      <w:r>
        <w:rPr>
          <w:color w:val="231F1F"/>
          <w:w w:val="115"/>
        </w:rPr>
        <w:t>concomitant use</w:t>
      </w:r>
    </w:p>
    <w:p>
      <w:pPr>
        <w:spacing w:line="244" w:lineRule="auto" w:before="0"/>
        <w:ind w:left="208" w:right="742"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amiodarone advised by manufacturer</w:t>
      </w:r>
      <w:r>
        <w:rPr>
          <w:color w:val="231F1F"/>
          <w:spacing w:val="-16"/>
          <w:w w:val="110"/>
          <w:sz w:val="12"/>
        </w:rPr>
        <w:t> </w:t>
      </w:r>
      <w:r>
        <w:rPr>
          <w:color w:val="231F1F"/>
          <w:w w:val="110"/>
          <w:sz w:val="12"/>
        </w:rPr>
        <w:t>of</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ARTEMETHER</w:t>
      </w:r>
      <w:r>
        <w:rPr>
          <w:rFonts w:ascii="Calibri"/>
          <w:color w:val="008356"/>
          <w:spacing w:val="-7"/>
          <w:w w:val="110"/>
          <w:sz w:val="11"/>
        </w:rPr>
        <w:t> </w:t>
      </w:r>
      <w:r>
        <w:rPr>
          <w:rFonts w:ascii="Calibri"/>
          <w:color w:val="008356"/>
          <w:spacing w:val="3"/>
          <w:w w:val="110"/>
          <w:sz w:val="11"/>
        </w:rPr>
        <w:t>WITH</w:t>
      </w:r>
      <w:r>
        <w:rPr>
          <w:rFonts w:ascii="Calibri"/>
          <w:color w:val="008356"/>
          <w:spacing w:val="-8"/>
          <w:w w:val="110"/>
          <w:sz w:val="11"/>
        </w:rPr>
        <w:t> </w:t>
      </w:r>
      <w:r>
        <w:rPr>
          <w:rFonts w:ascii="Calibri"/>
          <w:color w:val="008356"/>
          <w:spacing w:val="4"/>
          <w:w w:val="110"/>
          <w:sz w:val="11"/>
        </w:rPr>
        <w:t>LUMEFANTRINE</w:t>
      </w:r>
      <w:r>
        <w:rPr>
          <w:rFonts w:ascii="Calibri"/>
          <w:color w:val="008356"/>
          <w:spacing w:val="-5"/>
          <w:w w:val="110"/>
          <w:sz w:val="11"/>
        </w:rPr>
        <w:t> </w:t>
      </w:r>
      <w:r>
        <w:rPr>
          <w:color w:val="231F1F"/>
          <w:w w:val="110"/>
          <w:sz w:val="12"/>
        </w:rPr>
        <w:t>(risk</w:t>
      </w:r>
      <w:r>
        <w:rPr>
          <w:color w:val="231F1F"/>
          <w:spacing w:val="-15"/>
          <w:w w:val="110"/>
          <w:sz w:val="12"/>
        </w:rPr>
        <w:t> </w:t>
      </w:r>
      <w:r>
        <w:rPr>
          <w:color w:val="231F1F"/>
          <w:w w:val="110"/>
          <w:sz w:val="12"/>
        </w:rPr>
        <w:t>of ventricular arrhythmias); avoidance of amiodarone  advised by</w:t>
      </w:r>
      <w:r>
        <w:rPr>
          <w:color w:val="231F1F"/>
          <w:spacing w:val="-15"/>
          <w:w w:val="110"/>
          <w:sz w:val="12"/>
        </w:rPr>
        <w:t> </w:t>
      </w:r>
      <w:r>
        <w:rPr>
          <w:color w:val="231F1F"/>
          <w:w w:val="110"/>
          <w:sz w:val="12"/>
        </w:rPr>
        <w:t>manufacturer</w:t>
      </w:r>
      <w:r>
        <w:rPr>
          <w:color w:val="231F1F"/>
          <w:spacing w:val="-16"/>
          <w:w w:val="110"/>
          <w:sz w:val="12"/>
        </w:rPr>
        <w:t> </w:t>
      </w:r>
      <w:r>
        <w:rPr>
          <w:color w:val="231F1F"/>
          <w:w w:val="110"/>
          <w:sz w:val="12"/>
        </w:rPr>
        <w:t>of</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ARTENIMOL</w:t>
      </w:r>
      <w:r>
        <w:rPr>
          <w:rFonts w:ascii="Calibri"/>
          <w:color w:val="008356"/>
          <w:spacing w:val="-12"/>
          <w:w w:val="110"/>
          <w:sz w:val="11"/>
        </w:rPr>
        <w:t> </w:t>
      </w:r>
      <w:r>
        <w:rPr>
          <w:rFonts w:ascii="Calibri"/>
          <w:color w:val="008356"/>
          <w:spacing w:val="3"/>
          <w:w w:val="110"/>
          <w:sz w:val="11"/>
        </w:rPr>
        <w:t>WITH</w:t>
      </w:r>
      <w:r>
        <w:rPr>
          <w:rFonts w:ascii="Calibri"/>
          <w:color w:val="008356"/>
          <w:spacing w:val="-7"/>
          <w:w w:val="110"/>
          <w:sz w:val="11"/>
        </w:rPr>
        <w:t> </w:t>
      </w:r>
      <w:r>
        <w:rPr>
          <w:rFonts w:ascii="Calibri"/>
          <w:color w:val="008356"/>
          <w:spacing w:val="4"/>
          <w:w w:val="110"/>
          <w:sz w:val="11"/>
        </w:rPr>
        <w:t>PIPERAQUINE</w:t>
      </w:r>
      <w:r>
        <w:rPr>
          <w:rFonts w:ascii="Calibri"/>
          <w:color w:val="008356"/>
          <w:spacing w:val="-6"/>
          <w:w w:val="110"/>
          <w:sz w:val="11"/>
        </w:rPr>
        <w:t> </w:t>
      </w:r>
      <w:r>
        <w:rPr>
          <w:color w:val="231F1F"/>
          <w:w w:val="110"/>
          <w:sz w:val="12"/>
        </w:rPr>
        <w:t>(possible risk of ventricular arrhythmias); increased risk of ventricular arrhythmias when amiodarone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CHLOROQUINE</w:t>
      </w:r>
      <w:r>
        <w:rPr>
          <w:color w:val="231F1F"/>
          <w:spacing w:val="4"/>
          <w:w w:val="110"/>
          <w:sz w:val="12"/>
        </w:rPr>
        <w:t>,</w:t>
      </w:r>
    </w:p>
    <w:p>
      <w:pPr>
        <w:spacing w:line="140" w:lineRule="exact" w:before="0"/>
        <w:ind w:left="208" w:right="0" w:firstLine="0"/>
        <w:jc w:val="left"/>
        <w:rPr>
          <w:sz w:val="12"/>
        </w:rPr>
      </w:pPr>
      <w:r>
        <w:rPr>
          <w:rFonts w:ascii="Arial" w:hAnsi="Arial"/>
          <w:color w:val="231F1F"/>
          <w:w w:val="105"/>
          <w:position w:val="1"/>
          <w:sz w:val="7"/>
        </w:rPr>
        <w:t>l </w:t>
      </w:r>
      <w:r>
        <w:rPr>
          <w:rFonts w:ascii="Calibri" w:hAnsi="Calibri"/>
          <w:color w:val="008356"/>
          <w:spacing w:val="4"/>
          <w:w w:val="105"/>
          <w:sz w:val="11"/>
        </w:rPr>
        <w:t>HYDROXYCHLOROQUINE</w:t>
      </w:r>
      <w:r>
        <w:rPr>
          <w:color w:val="231F1F"/>
          <w:spacing w:val="4"/>
          <w:w w:val="105"/>
          <w:sz w:val="12"/>
        </w:rPr>
        <w:t>, </w:t>
      </w:r>
      <w:r>
        <w:rPr>
          <w:rFonts w:ascii="Arial" w:hAnsi="Arial"/>
          <w:color w:val="231F1F"/>
          <w:w w:val="105"/>
          <w:position w:val="1"/>
          <w:sz w:val="7"/>
        </w:rPr>
        <w:t>l </w:t>
      </w:r>
      <w:r>
        <w:rPr>
          <w:rFonts w:ascii="Calibri" w:hAnsi="Calibri"/>
          <w:color w:val="008356"/>
          <w:spacing w:val="4"/>
          <w:w w:val="105"/>
          <w:sz w:val="11"/>
        </w:rPr>
        <w:t>MEFLOQUINE </w:t>
      </w:r>
      <w:r>
        <w:rPr>
          <w:color w:val="231F1F"/>
          <w:w w:val="105"/>
          <w:sz w:val="12"/>
        </w:rPr>
        <w:t>or </w:t>
      </w:r>
      <w:r>
        <w:rPr>
          <w:rFonts w:ascii="Arial" w:hAnsi="Arial"/>
          <w:color w:val="231F1F"/>
          <w:w w:val="105"/>
          <w:position w:val="1"/>
          <w:sz w:val="7"/>
        </w:rPr>
        <w:t>l</w:t>
      </w:r>
      <w:r>
        <w:rPr>
          <w:rFonts w:ascii="Arial" w:hAnsi="Arial"/>
          <w:color w:val="231F1F"/>
          <w:spacing w:val="10"/>
          <w:w w:val="105"/>
          <w:position w:val="1"/>
          <w:sz w:val="7"/>
        </w:rPr>
        <w:t> </w:t>
      </w:r>
      <w:r>
        <w:rPr>
          <w:rFonts w:ascii="Calibri" w:hAnsi="Calibri"/>
          <w:color w:val="008356"/>
          <w:spacing w:val="2"/>
          <w:w w:val="105"/>
          <w:sz w:val="11"/>
        </w:rPr>
        <w:t>QUININE</w:t>
      </w:r>
      <w:r>
        <w:rPr>
          <w:rFonts w:ascii="Arial" w:hAnsi="Arial"/>
          <w:color w:val="231F1F"/>
          <w:spacing w:val="2"/>
          <w:w w:val="105"/>
          <w:sz w:val="12"/>
        </w:rPr>
        <w:t>—</w:t>
      </w:r>
      <w:r>
        <w:rPr>
          <w:color w:val="231F1F"/>
          <w:spacing w:val="2"/>
          <w:w w:val="105"/>
          <w:sz w:val="12"/>
        </w:rPr>
        <w:t>avoid</w:t>
      </w:r>
    </w:p>
    <w:p>
      <w:pPr>
        <w:pStyle w:val="BodyText"/>
        <w:spacing w:before="1"/>
      </w:pPr>
      <w:r>
        <w:rPr>
          <w:color w:val="231F1F"/>
          <w:w w:val="115"/>
        </w:rPr>
        <w:t>concomitant use</w:t>
      </w:r>
    </w:p>
    <w:p>
      <w:pPr>
        <w:pStyle w:val="BodyText"/>
        <w:spacing w:before="1"/>
        <w:ind w:right="762" w:hanging="100"/>
        <w:rPr>
          <w:rFonts w:ascii="Calibri"/>
          <w:sz w:val="11"/>
        </w:rPr>
      </w:pPr>
      <w:r>
        <w:rPr>
          <w:rFonts w:ascii="Arial"/>
          <w:color w:val="231F1F"/>
          <w:w w:val="355"/>
          <w:position w:val="1"/>
          <w:sz w:val="7"/>
        </w:rPr>
        <w:t>l </w:t>
      </w:r>
      <w:r>
        <w:rPr>
          <w:rFonts w:ascii="Calibri"/>
          <w:color w:val="231F1F"/>
          <w:w w:val="110"/>
        </w:rPr>
        <w:t>Antimuscarinics: </w:t>
      </w:r>
      <w:r>
        <w:rPr>
          <w:color w:val="231F1F"/>
          <w:w w:val="110"/>
        </w:rPr>
        <w:t>increased risk of ventricular arrhythmias when amiodarone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TOLTERODINE</w:t>
      </w:r>
    </w:p>
    <w:p>
      <w:pPr>
        <w:pStyle w:val="BodyText"/>
        <w:ind w:right="706"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spacing w:val="-4"/>
          <w:w w:val="115"/>
        </w:rPr>
        <w:t>when </w:t>
      </w:r>
      <w:r>
        <w:rPr>
          <w:color w:val="231F1F"/>
          <w:w w:val="115"/>
        </w:rPr>
        <w:t>anti-arrhythmics that prolong the QT interval given</w:t>
      </w:r>
      <w:r>
        <w:rPr>
          <w:color w:val="231F1F"/>
          <w:spacing w:val="-23"/>
          <w:w w:val="115"/>
        </w:rPr>
        <w:t> </w:t>
      </w:r>
      <w:r>
        <w:rPr>
          <w:color w:val="231F1F"/>
          <w:w w:val="115"/>
        </w:rPr>
        <w:t>with</w:t>
      </w:r>
    </w:p>
    <w:p>
      <w:pPr>
        <w:pStyle w:val="BodyText"/>
        <w:spacing w:line="244" w:lineRule="auto" w:before="2"/>
        <w:ind w:right="670" w:hanging="1"/>
      </w:pPr>
      <w:r>
        <w:rPr>
          <w:rFonts w:ascii="Arial"/>
          <w:color w:val="231F1F"/>
          <w:w w:val="355"/>
          <w:position w:val="1"/>
          <w:sz w:val="7"/>
        </w:rPr>
        <w:t>l </w:t>
      </w:r>
      <w:r>
        <w:rPr>
          <w:rFonts w:ascii="Calibri"/>
          <w:color w:val="008356"/>
          <w:w w:val="110"/>
          <w:sz w:val="11"/>
        </w:rPr>
        <w:t>ANTIPSYCHOTICS </w:t>
      </w:r>
      <w:r>
        <w:rPr>
          <w:color w:val="231F1F"/>
          <w:w w:val="110"/>
        </w:rPr>
        <w:t>that prolong the QT interval; increased risk of ventricular arrhythmias when amiodarone given with</w:t>
      </w:r>
    </w:p>
    <w:p>
      <w:pPr>
        <w:spacing w:line="244" w:lineRule="auto" w:before="1"/>
        <w:ind w:left="208" w:right="813" w:firstLine="0"/>
        <w:jc w:val="left"/>
        <w:rPr>
          <w:sz w:val="12"/>
        </w:rPr>
      </w:pPr>
      <w:r>
        <w:rPr>
          <w:rFonts w:ascii="Arial" w:hAnsi="Arial"/>
          <w:color w:val="231F1F"/>
          <w:w w:val="115"/>
          <w:position w:val="1"/>
          <w:sz w:val="7"/>
        </w:rPr>
        <w:t>l </w:t>
      </w:r>
      <w:r>
        <w:rPr>
          <w:rFonts w:ascii="Calibri" w:hAnsi="Calibri"/>
          <w:color w:val="008356"/>
          <w:spacing w:val="2"/>
          <w:w w:val="115"/>
          <w:sz w:val="11"/>
        </w:rPr>
        <w:t>BENPERIDOL</w:t>
      </w:r>
      <w:r>
        <w:rPr>
          <w:rFonts w:ascii="Arial" w:hAnsi="Arial"/>
          <w:color w:val="231F1F"/>
          <w:spacing w:val="2"/>
          <w:w w:val="115"/>
          <w:sz w:val="12"/>
        </w:rPr>
        <w:t>—</w:t>
      </w:r>
      <w:r>
        <w:rPr>
          <w:color w:val="231F1F"/>
          <w:spacing w:val="2"/>
          <w:w w:val="115"/>
          <w:sz w:val="12"/>
        </w:rPr>
        <w:t>manufacturer </w:t>
      </w:r>
      <w:r>
        <w:rPr>
          <w:color w:val="231F1F"/>
          <w:w w:val="115"/>
          <w:sz w:val="12"/>
        </w:rPr>
        <w:t>of benperidol advises avoid concomitant</w:t>
      </w:r>
      <w:r>
        <w:rPr>
          <w:color w:val="231F1F"/>
          <w:spacing w:val="-6"/>
          <w:w w:val="115"/>
          <w:sz w:val="12"/>
        </w:rPr>
        <w:t> </w:t>
      </w:r>
      <w:r>
        <w:rPr>
          <w:color w:val="231F1F"/>
          <w:w w:val="115"/>
          <w:sz w:val="12"/>
        </w:rPr>
        <w:t>use;</w:t>
      </w:r>
      <w:r>
        <w:rPr>
          <w:color w:val="231F1F"/>
          <w:spacing w:val="-5"/>
          <w:w w:val="115"/>
          <w:sz w:val="12"/>
        </w:rPr>
        <w:t> </w:t>
      </w:r>
      <w:r>
        <w:rPr>
          <w:color w:val="231F1F"/>
          <w:w w:val="115"/>
          <w:sz w:val="12"/>
        </w:rPr>
        <w:t>increased</w:t>
      </w:r>
      <w:r>
        <w:rPr>
          <w:color w:val="231F1F"/>
          <w:spacing w:val="-5"/>
          <w:w w:val="115"/>
          <w:sz w:val="12"/>
        </w:rPr>
        <w:t> </w:t>
      </w:r>
      <w:r>
        <w:rPr>
          <w:color w:val="231F1F"/>
          <w:w w:val="115"/>
          <w:sz w:val="12"/>
        </w:rPr>
        <w:t>risk</w:t>
      </w:r>
      <w:r>
        <w:rPr>
          <w:color w:val="231F1F"/>
          <w:spacing w:val="-4"/>
          <w:w w:val="115"/>
          <w:sz w:val="12"/>
        </w:rPr>
        <w:t> </w:t>
      </w:r>
      <w:r>
        <w:rPr>
          <w:color w:val="231F1F"/>
          <w:w w:val="115"/>
          <w:sz w:val="12"/>
        </w:rPr>
        <w:t>of</w:t>
      </w:r>
      <w:r>
        <w:rPr>
          <w:color w:val="231F1F"/>
          <w:spacing w:val="-4"/>
          <w:w w:val="115"/>
          <w:sz w:val="12"/>
        </w:rPr>
        <w:t> </w:t>
      </w:r>
      <w:r>
        <w:rPr>
          <w:color w:val="231F1F"/>
          <w:w w:val="115"/>
          <w:sz w:val="12"/>
        </w:rPr>
        <w:t>ventricular</w:t>
      </w:r>
      <w:r>
        <w:rPr>
          <w:color w:val="231F1F"/>
          <w:spacing w:val="-6"/>
          <w:w w:val="115"/>
          <w:sz w:val="12"/>
        </w:rPr>
        <w:t> </w:t>
      </w:r>
      <w:r>
        <w:rPr>
          <w:color w:val="231F1F"/>
          <w:w w:val="115"/>
          <w:sz w:val="12"/>
        </w:rPr>
        <w:t>arrhythmias when</w:t>
      </w:r>
      <w:r>
        <w:rPr>
          <w:color w:val="231F1F"/>
          <w:spacing w:val="-19"/>
          <w:w w:val="115"/>
          <w:sz w:val="12"/>
        </w:rPr>
        <w:t> </w:t>
      </w:r>
      <w:r>
        <w:rPr>
          <w:color w:val="231F1F"/>
          <w:w w:val="115"/>
          <w:sz w:val="12"/>
        </w:rPr>
        <w:t>amiodarone</w:t>
      </w:r>
      <w:r>
        <w:rPr>
          <w:color w:val="231F1F"/>
          <w:spacing w:val="-19"/>
          <w:w w:val="115"/>
          <w:sz w:val="12"/>
        </w:rPr>
        <w:t> </w:t>
      </w:r>
      <w:r>
        <w:rPr>
          <w:color w:val="231F1F"/>
          <w:w w:val="115"/>
          <w:sz w:val="12"/>
        </w:rPr>
        <w:t>given</w:t>
      </w:r>
      <w:r>
        <w:rPr>
          <w:color w:val="231F1F"/>
          <w:spacing w:val="-19"/>
          <w:w w:val="115"/>
          <w:sz w:val="12"/>
        </w:rPr>
        <w:t> </w:t>
      </w:r>
      <w:r>
        <w:rPr>
          <w:color w:val="231F1F"/>
          <w:w w:val="115"/>
          <w:sz w:val="12"/>
        </w:rPr>
        <w:t>with</w:t>
      </w:r>
      <w:r>
        <w:rPr>
          <w:color w:val="231F1F"/>
          <w:spacing w:val="-18"/>
          <w:w w:val="115"/>
          <w:sz w:val="12"/>
        </w:rPr>
        <w:t>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AMISULPRIDE</w:t>
      </w:r>
      <w:r>
        <w:rPr>
          <w:color w:val="231F1F"/>
          <w:spacing w:val="4"/>
          <w:w w:val="115"/>
          <w:sz w:val="12"/>
        </w:rPr>
        <w:t>,</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4"/>
          <w:w w:val="115"/>
          <w:sz w:val="11"/>
        </w:rPr>
        <w:t>DROPERIDOL</w:t>
      </w:r>
      <w:r>
        <w:rPr>
          <w:color w:val="231F1F"/>
          <w:spacing w:val="4"/>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20"/>
          <w:sz w:val="11"/>
        </w:rPr>
        <w:t>HALOPERIDOL</w:t>
      </w:r>
      <w:r>
        <w:rPr>
          <w:color w:val="231F1F"/>
          <w:spacing w:val="4"/>
          <w:w w:val="120"/>
          <w:sz w:val="12"/>
        </w:rPr>
        <w:t>,</w:t>
      </w:r>
      <w:r>
        <w:rPr>
          <w:color w:val="231F1F"/>
          <w:spacing w:val="-19"/>
          <w:w w:val="12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20"/>
          <w:sz w:val="11"/>
        </w:rPr>
        <w:t>PHENOTHIAZINES</w:t>
      </w:r>
      <w:r>
        <w:rPr>
          <w:color w:val="231F1F"/>
          <w:spacing w:val="4"/>
          <w:w w:val="120"/>
          <w:sz w:val="12"/>
        </w:rPr>
        <w:t>,</w:t>
      </w:r>
      <w:r>
        <w:rPr>
          <w:color w:val="231F1F"/>
          <w:spacing w:val="-19"/>
          <w:w w:val="12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20"/>
          <w:sz w:val="11"/>
        </w:rPr>
        <w:t>PIMOZIDE</w:t>
      </w:r>
      <w:r>
        <w:rPr>
          <w:rFonts w:ascii="Calibri" w:hAnsi="Calibri"/>
          <w:color w:val="008356"/>
          <w:spacing w:val="-9"/>
          <w:w w:val="120"/>
          <w:sz w:val="11"/>
        </w:rPr>
        <w:t> </w:t>
      </w:r>
      <w:r>
        <w:rPr>
          <w:color w:val="231F1F"/>
          <w:w w:val="120"/>
          <w:sz w:val="12"/>
        </w:rPr>
        <w:t>or</w:t>
      </w:r>
    </w:p>
    <w:p>
      <w:pPr>
        <w:pStyle w:val="BodyText"/>
        <w:ind w:right="670"/>
      </w:pPr>
      <w:r>
        <w:rPr>
          <w:rFonts w:ascii="Arial" w:hAnsi="Arial"/>
          <w:color w:val="231F1F"/>
          <w:w w:val="355"/>
          <w:position w:val="1"/>
          <w:sz w:val="7"/>
        </w:rPr>
        <w:t>l </w:t>
      </w:r>
      <w:r>
        <w:rPr>
          <w:rFonts w:ascii="Calibri" w:hAnsi="Calibri"/>
          <w:color w:val="008356"/>
          <w:w w:val="110"/>
          <w:sz w:val="11"/>
        </w:rPr>
        <w:t>ZUCLOPENTHIXOL</w:t>
      </w:r>
      <w:r>
        <w:rPr>
          <w:rFonts w:ascii="Arial" w:hAnsi="Arial"/>
          <w:color w:val="231F1F"/>
          <w:w w:val="110"/>
        </w:rPr>
        <w:t>—</w:t>
      </w:r>
      <w:r>
        <w:rPr>
          <w:color w:val="231F1F"/>
          <w:w w:val="110"/>
        </w:rPr>
        <w:t>avoid concomitant use; increased risk of ventricular arrhythmias when amiodarone given with</w:t>
      </w:r>
    </w:p>
    <w:p>
      <w:pPr>
        <w:spacing w:line="133" w:lineRule="exact" w:before="15"/>
        <w:ind w:left="208" w:right="0" w:firstLine="0"/>
        <w:jc w:val="left"/>
        <w:rPr>
          <w:rFonts w:ascii="Calibri"/>
          <w:sz w:val="11"/>
        </w:rPr>
      </w:pPr>
      <w:r>
        <w:rPr>
          <w:rFonts w:ascii="Arial"/>
          <w:color w:val="231F1F"/>
          <w:w w:val="355"/>
          <w:position w:val="1"/>
          <w:sz w:val="7"/>
        </w:rPr>
        <w:t>l </w:t>
      </w:r>
      <w:r>
        <w:rPr>
          <w:rFonts w:ascii="Calibri"/>
          <w:color w:val="008356"/>
          <w:w w:val="120"/>
          <w:sz w:val="11"/>
        </w:rPr>
        <w:t>SULPIRIDE</w:t>
      </w:r>
    </w:p>
    <w:p>
      <w:pPr>
        <w:pStyle w:val="BodyText"/>
        <w:ind w:right="744" w:hanging="100"/>
      </w:pPr>
      <w:r>
        <w:rPr>
          <w:rFonts w:ascii="Arial" w:hAnsi="Arial"/>
          <w:color w:val="231F1F"/>
          <w:w w:val="355"/>
          <w:position w:val="1"/>
          <w:sz w:val="7"/>
        </w:rPr>
        <w:t>l </w:t>
      </w:r>
      <w:r>
        <w:rPr>
          <w:rFonts w:ascii="Calibri" w:hAnsi="Calibri"/>
          <w:color w:val="231F1F"/>
          <w:w w:val="115"/>
        </w:rPr>
        <w:t>Antivirals: </w:t>
      </w:r>
      <w:r>
        <w:rPr>
          <w:color w:val="231F1F"/>
          <w:w w:val="115"/>
        </w:rPr>
        <w:t>plasma concentration of amiodarone possibly increased by </w:t>
      </w:r>
      <w:r>
        <w:rPr>
          <w:rFonts w:ascii="Arial" w:hAnsi="Arial"/>
          <w:color w:val="231F1F"/>
          <w:w w:val="355"/>
          <w:position w:val="1"/>
          <w:sz w:val="7"/>
        </w:rPr>
        <w:t>l </w:t>
      </w:r>
      <w:r>
        <w:rPr>
          <w:rFonts w:ascii="Calibri" w:hAnsi="Calibri"/>
          <w:color w:val="008356"/>
          <w:spacing w:val="3"/>
          <w:w w:val="115"/>
          <w:sz w:val="11"/>
        </w:rPr>
        <w:t>ATAZANAVIR</w:t>
      </w:r>
      <w:r>
        <w:rPr>
          <w:color w:val="231F1F"/>
          <w:spacing w:val="3"/>
          <w:w w:val="115"/>
        </w:rPr>
        <w:t>; </w:t>
      </w:r>
      <w:r>
        <w:rPr>
          <w:color w:val="231F1F"/>
          <w:w w:val="115"/>
        </w:rPr>
        <w:t>possible increased risk of bradycardia</w:t>
      </w:r>
      <w:r>
        <w:rPr>
          <w:color w:val="231F1F"/>
          <w:spacing w:val="-19"/>
          <w:w w:val="115"/>
        </w:rPr>
        <w:t> </w:t>
      </w:r>
      <w:r>
        <w:rPr>
          <w:color w:val="231F1F"/>
          <w:w w:val="115"/>
        </w:rPr>
        <w:t>when</w:t>
      </w:r>
      <w:r>
        <w:rPr>
          <w:color w:val="231F1F"/>
          <w:spacing w:val="-19"/>
          <w:w w:val="115"/>
        </w:rPr>
        <w:t> </w:t>
      </w:r>
      <w:r>
        <w:rPr>
          <w:color w:val="231F1F"/>
          <w:w w:val="115"/>
        </w:rPr>
        <w:t>amiodarone</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DACLATASVIR</w:t>
      </w:r>
      <w:r>
        <w:rPr>
          <w:rFonts w:ascii="Calibri" w:hAnsi="Calibri"/>
          <w:color w:val="008356"/>
          <w:spacing w:val="-10"/>
          <w:w w:val="115"/>
          <w:sz w:val="11"/>
        </w:rPr>
        <w:t> </w:t>
      </w:r>
      <w:r>
        <w:rPr>
          <w:color w:val="231F1F"/>
          <w:w w:val="115"/>
        </w:rPr>
        <w:t>and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SIMEPREVIR</w:t>
      </w:r>
      <w:r>
        <w:rPr>
          <w:rFonts w:ascii="Calibri" w:hAnsi="Calibri"/>
          <w:color w:val="008356"/>
          <w:spacing w:val="-5"/>
          <w:w w:val="115"/>
          <w:sz w:val="11"/>
        </w:rPr>
        <w:t> </w:t>
      </w:r>
      <w:r>
        <w:rPr>
          <w:color w:val="231F1F"/>
          <w:w w:val="115"/>
        </w:rPr>
        <w:t>(with</w:t>
      </w:r>
      <w:r>
        <w:rPr>
          <w:color w:val="231F1F"/>
          <w:spacing w:val="-14"/>
          <w:w w:val="115"/>
        </w:rPr>
        <w:t> </w:t>
      </w:r>
      <w:r>
        <w:rPr>
          <w:color w:val="231F1F"/>
          <w:w w:val="115"/>
        </w:rPr>
        <w:t>sofosbuvir)</w:t>
      </w:r>
      <w:r>
        <w:rPr>
          <w:rFonts w:ascii="Arial" w:hAnsi="Arial"/>
          <w:color w:val="231F1F"/>
          <w:w w:val="115"/>
        </w:rPr>
        <w:t>—</w:t>
      </w:r>
      <w:r>
        <w:rPr>
          <w:color w:val="231F1F"/>
          <w:w w:val="115"/>
        </w:rPr>
        <w:t>see</w:t>
      </w:r>
      <w:r>
        <w:rPr>
          <w:color w:val="231F1F"/>
          <w:spacing w:val="-14"/>
          <w:w w:val="115"/>
        </w:rPr>
        <w:t> </w:t>
      </w:r>
      <w:r>
        <w:rPr>
          <w:color w:val="231F1F"/>
          <w:w w:val="115"/>
        </w:rPr>
        <w:t>under</w:t>
      </w:r>
      <w:r>
        <w:rPr>
          <w:color w:val="231F1F"/>
          <w:spacing w:val="-15"/>
          <w:w w:val="115"/>
        </w:rPr>
        <w:t> </w:t>
      </w:r>
      <w:r>
        <w:rPr>
          <w:color w:val="231F1F"/>
          <w:w w:val="115"/>
        </w:rPr>
        <w:t>Amiodarone,</w:t>
      </w:r>
    </w:p>
    <w:p>
      <w:pPr>
        <w:pStyle w:val="BodyText"/>
        <w:spacing w:line="247" w:lineRule="auto" w:before="3"/>
        <w:ind w:right="725"/>
      </w:pPr>
      <w:r>
        <w:rPr>
          <w:color w:val="231F1F"/>
          <w:w w:val="110"/>
        </w:rPr>
        <w:t>p. 88; plasma concentration of  amiodarone  possibly increased by </w:t>
      </w:r>
      <w:r>
        <w:rPr>
          <w:rFonts w:ascii="Arial" w:hAnsi="Arial"/>
          <w:color w:val="231F1F"/>
          <w:w w:val="355"/>
          <w:position w:val="1"/>
          <w:sz w:val="7"/>
        </w:rPr>
        <w:t>l </w:t>
      </w:r>
      <w:r>
        <w:rPr>
          <w:rFonts w:ascii="Calibri" w:hAnsi="Calibri"/>
          <w:color w:val="008356"/>
          <w:spacing w:val="4"/>
          <w:w w:val="110"/>
          <w:sz w:val="11"/>
        </w:rPr>
        <w:t>FOSAMPRENAVIR </w:t>
      </w:r>
      <w:r>
        <w:rPr>
          <w:color w:val="231F1F"/>
          <w:w w:val="110"/>
        </w:rPr>
        <w:t>(increased risk of ventricular arrhythmias</w:t>
      </w:r>
      <w:r>
        <w:rPr>
          <w:rFonts w:ascii="Arial" w:hAnsi="Arial"/>
          <w:color w:val="231F1F"/>
          <w:w w:val="110"/>
        </w:rPr>
        <w:t>—</w:t>
      </w:r>
      <w:r>
        <w:rPr>
          <w:color w:val="231F1F"/>
          <w:w w:val="110"/>
        </w:rPr>
        <w:t>avoid concomitant use); plasma </w:t>
      </w:r>
      <w:r>
        <w:rPr>
          <w:color w:val="231F1F"/>
          <w:spacing w:val="-2"/>
          <w:w w:val="110"/>
        </w:rPr>
        <w:t>concentration </w:t>
      </w:r>
      <w:r>
        <w:rPr>
          <w:color w:val="231F1F"/>
          <w:w w:val="110"/>
        </w:rPr>
        <w:t>of amiodarone possibly increased by </w:t>
      </w:r>
      <w:r>
        <w:rPr>
          <w:rFonts w:ascii="Arial" w:hAnsi="Arial"/>
          <w:color w:val="231F1F"/>
          <w:w w:val="355"/>
          <w:position w:val="1"/>
          <w:sz w:val="7"/>
        </w:rPr>
        <w:t>l </w:t>
      </w:r>
      <w:r>
        <w:rPr>
          <w:rFonts w:ascii="Calibri" w:hAnsi="Calibri"/>
          <w:color w:val="008356"/>
          <w:spacing w:val="2"/>
          <w:w w:val="110"/>
          <w:sz w:val="11"/>
        </w:rPr>
        <w:t>INDINAVIR</w:t>
      </w:r>
      <w:r>
        <w:rPr>
          <w:rFonts w:ascii="Arial" w:hAnsi="Arial"/>
          <w:color w:val="231F1F"/>
          <w:spacing w:val="2"/>
          <w:w w:val="110"/>
        </w:rPr>
        <w:t>—</w:t>
      </w:r>
      <w:r>
        <w:rPr>
          <w:color w:val="231F1F"/>
          <w:spacing w:val="2"/>
          <w:w w:val="110"/>
        </w:rPr>
        <w:t>avoid </w:t>
      </w:r>
      <w:r>
        <w:rPr>
          <w:color w:val="231F1F"/>
          <w:w w:val="110"/>
        </w:rPr>
        <w:t>concomitant use; plasma concentration of amiodarone increased by </w:t>
      </w:r>
      <w:r>
        <w:rPr>
          <w:rFonts w:ascii="Arial" w:hAnsi="Arial"/>
          <w:color w:val="231F1F"/>
          <w:w w:val="355"/>
          <w:position w:val="1"/>
          <w:sz w:val="7"/>
        </w:rPr>
        <w:t>l </w:t>
      </w:r>
      <w:r>
        <w:rPr>
          <w:rFonts w:ascii="Calibri" w:hAnsi="Calibri"/>
          <w:color w:val="008356"/>
          <w:spacing w:val="3"/>
          <w:w w:val="110"/>
          <w:sz w:val="11"/>
        </w:rPr>
        <w:t>RITONAVIR </w:t>
      </w:r>
      <w:r>
        <w:rPr>
          <w:color w:val="231F1F"/>
          <w:w w:val="110"/>
        </w:rPr>
        <w:t>(increased risk of ventricular arrhythmias</w:t>
      </w:r>
      <w:r>
        <w:rPr>
          <w:rFonts w:ascii="Arial" w:hAnsi="Arial"/>
          <w:color w:val="231F1F"/>
          <w:w w:val="110"/>
        </w:rPr>
        <w:t>—</w:t>
      </w:r>
      <w:r>
        <w:rPr>
          <w:color w:val="231F1F"/>
          <w:w w:val="110"/>
        </w:rPr>
        <w:t>avoid concomitant use); increased risk of ventricular arrhythmias when amiodarone given</w:t>
      </w:r>
      <w:r>
        <w:rPr>
          <w:color w:val="231F1F"/>
          <w:spacing w:val="14"/>
          <w:w w:val="110"/>
        </w:rPr>
        <w:t> </w:t>
      </w:r>
      <w:r>
        <w:rPr>
          <w:color w:val="231F1F"/>
          <w:w w:val="110"/>
        </w:rPr>
        <w:t>with</w:t>
      </w:r>
    </w:p>
    <w:p>
      <w:pPr>
        <w:pStyle w:val="BodyText"/>
        <w:spacing w:line="244" w:lineRule="auto"/>
        <w:ind w:right="692"/>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possible increased </w:t>
      </w:r>
      <w:r>
        <w:rPr>
          <w:color w:val="231F1F"/>
          <w:spacing w:val="-3"/>
          <w:w w:val="110"/>
        </w:rPr>
        <w:t>risk </w:t>
      </w:r>
      <w:r>
        <w:rPr>
          <w:color w:val="231F1F"/>
          <w:w w:val="110"/>
        </w:rPr>
        <w:t>of bradycardia when amiodarone given with </w:t>
      </w:r>
      <w:r>
        <w:rPr>
          <w:rFonts w:ascii="Arial" w:hAnsi="Arial"/>
          <w:color w:val="231F1F"/>
          <w:w w:val="355"/>
          <w:position w:val="1"/>
          <w:sz w:val="7"/>
        </w:rPr>
        <w:t>l </w:t>
      </w:r>
      <w:r>
        <w:rPr>
          <w:rFonts w:ascii="Calibri" w:hAnsi="Calibri"/>
          <w:color w:val="008356"/>
          <w:spacing w:val="4"/>
          <w:w w:val="110"/>
          <w:sz w:val="11"/>
        </w:rPr>
        <w:t>SOFOSBUVIR</w:t>
      </w:r>
      <w:r>
        <w:rPr>
          <w:rFonts w:ascii="Arial" w:hAnsi="Arial"/>
          <w:color w:val="231F1F"/>
          <w:spacing w:val="4"/>
          <w:w w:val="110"/>
        </w:rPr>
        <w:t>— </w:t>
      </w:r>
      <w:r>
        <w:rPr>
          <w:color w:val="231F1F"/>
          <w:w w:val="110"/>
        </w:rPr>
        <w:t>see under Amiodarone, p. 88; avoidance of amiodarone advised by manufacturer of </w:t>
      </w:r>
      <w:r>
        <w:rPr>
          <w:rFonts w:ascii="Arial" w:hAnsi="Arial"/>
          <w:color w:val="231F1F"/>
          <w:w w:val="355"/>
          <w:position w:val="1"/>
          <w:sz w:val="7"/>
        </w:rPr>
        <w:t>l </w:t>
      </w:r>
      <w:r>
        <w:rPr>
          <w:rFonts w:ascii="Calibri" w:hAnsi="Calibri"/>
          <w:color w:val="008356"/>
          <w:spacing w:val="4"/>
          <w:w w:val="110"/>
          <w:sz w:val="11"/>
        </w:rPr>
        <w:t>TELAPREVIR </w:t>
      </w:r>
      <w:r>
        <w:rPr>
          <w:color w:val="231F1F"/>
          <w:w w:val="110"/>
        </w:rPr>
        <w:t>(risk of ventricular arrhythmias)</w:t>
      </w:r>
    </w:p>
    <w:p>
      <w:pPr>
        <w:pStyle w:val="BodyText"/>
        <w:ind w:right="775"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increased risk of ventricular arrhythmias </w:t>
      </w:r>
      <w:r>
        <w:rPr>
          <w:color w:val="231F1F"/>
          <w:spacing w:val="-4"/>
          <w:w w:val="110"/>
        </w:rPr>
        <w:t>when </w:t>
      </w:r>
      <w:r>
        <w:rPr>
          <w:color w:val="231F1F"/>
          <w:w w:val="110"/>
        </w:rPr>
        <w:t>amiodarone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0"/>
          <w:sz w:val="11"/>
        </w:rPr>
        <w:t>ATOMOXETINE</w:t>
      </w:r>
    </w:p>
    <w:p>
      <w:pPr>
        <w:pStyle w:val="BodyText"/>
        <w:ind w:right="670" w:hanging="100"/>
      </w:pPr>
      <w:r>
        <w:rPr>
          <w:rFonts w:ascii="Arial"/>
          <w:color w:val="231F1F"/>
          <w:w w:val="355"/>
          <w:position w:val="1"/>
          <w:sz w:val="7"/>
        </w:rPr>
        <w:t>l </w:t>
      </w:r>
      <w:r>
        <w:rPr>
          <w:rFonts w:ascii="Calibri"/>
          <w:color w:val="231F1F"/>
          <w:w w:val="110"/>
        </w:rPr>
        <w:t>Beta-blockers: </w:t>
      </w:r>
      <w:r>
        <w:rPr>
          <w:color w:val="231F1F"/>
          <w:w w:val="110"/>
        </w:rPr>
        <w:t>increased risk of bradycardia, AV block and myocardial depression when amiodarone given with </w:t>
      </w:r>
      <w:r>
        <w:rPr>
          <w:rFonts w:ascii="Arial"/>
          <w:color w:val="231F1F"/>
          <w:w w:val="355"/>
          <w:position w:val="1"/>
          <w:sz w:val="7"/>
        </w:rPr>
        <w:t>l </w:t>
      </w:r>
      <w:r>
        <w:rPr>
          <w:rFonts w:ascii="Calibri"/>
          <w:color w:val="008356"/>
          <w:w w:val="110"/>
          <w:sz w:val="11"/>
        </w:rPr>
        <w:t>BETA- BLOCKERS</w:t>
      </w:r>
      <w:r>
        <w:rPr>
          <w:color w:val="231F1F"/>
          <w:w w:val="110"/>
        </w:rPr>
        <w:t>; increased myocardial depression when </w:t>
      </w:r>
      <w:r>
        <w:rPr>
          <w:color w:val="231F1F"/>
          <w:w w:val="135"/>
        </w:rPr>
        <w:t>anti-</w:t>
      </w:r>
    </w:p>
    <w:p>
      <w:pPr>
        <w:spacing w:after="0"/>
        <w:sectPr>
          <w:pgSz w:w="8390" w:h="11910"/>
          <w:pgMar w:header="0" w:footer="0" w:top="460" w:bottom="0" w:left="480" w:right="0"/>
          <w:cols w:num="2" w:equalWidth="0">
            <w:col w:w="3593" w:space="8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456" filled="true" fillcolor="#bfdbcf" stroked="false">
            <v:fill type="solid"/>
            <w10:wrap type="none"/>
          </v:rect>
        </w:pict>
      </w:r>
      <w:r>
        <w:rPr/>
        <w:pict>
          <v:shape style="position:absolute;margin-left:7.751256pt;margin-top:35.804367pt;width:10.4pt;height:78.850pt;mso-position-horizontal-relative:page;mso-position-vertical-relative:page;z-index:148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Amiodarone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Beta-blockers (continued)</w:t>
      </w:r>
    </w:p>
    <w:p>
      <w:pPr>
        <w:pStyle w:val="BodyText"/>
        <w:spacing w:line="244" w:lineRule="auto"/>
        <w:ind w:left="286" w:right="202" w:hanging="1"/>
        <w:jc w:val="both"/>
      </w:pPr>
      <w:r>
        <w:rPr>
          <w:color w:val="231F1F"/>
          <w:w w:val="115"/>
        </w:rPr>
        <w:t>arrhythmics</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1"/>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BETA-BLOCKERS</w:t>
      </w:r>
      <w:r>
        <w:rPr>
          <w:color w:val="231F1F"/>
          <w:spacing w:val="4"/>
          <w:w w:val="115"/>
        </w:rPr>
        <w:t>;</w:t>
      </w:r>
      <w:r>
        <w:rPr>
          <w:color w:val="231F1F"/>
          <w:spacing w:val="-22"/>
          <w:w w:val="115"/>
        </w:rPr>
        <w:t> </w:t>
      </w:r>
      <w:r>
        <w:rPr>
          <w:color w:val="231F1F"/>
          <w:w w:val="115"/>
        </w:rPr>
        <w:t>increased</w:t>
      </w:r>
      <w:r>
        <w:rPr>
          <w:color w:val="231F1F"/>
          <w:spacing w:val="-21"/>
          <w:w w:val="115"/>
        </w:rPr>
        <w:t> </w:t>
      </w:r>
      <w:r>
        <w:rPr>
          <w:color w:val="231F1F"/>
          <w:w w:val="115"/>
        </w:rPr>
        <w:t>risk</w:t>
      </w:r>
      <w:r>
        <w:rPr>
          <w:color w:val="231F1F"/>
          <w:spacing w:val="-22"/>
          <w:w w:val="115"/>
        </w:rPr>
        <w:t> </w:t>
      </w:r>
      <w:r>
        <w:rPr>
          <w:color w:val="231F1F"/>
          <w:w w:val="115"/>
        </w:rPr>
        <w:t>of ventricular</w:t>
      </w:r>
      <w:r>
        <w:rPr>
          <w:color w:val="231F1F"/>
          <w:spacing w:val="-6"/>
          <w:w w:val="115"/>
        </w:rPr>
        <w:t> </w:t>
      </w:r>
      <w:r>
        <w:rPr>
          <w:color w:val="231F1F"/>
          <w:w w:val="115"/>
        </w:rPr>
        <w:t>arrhythmias</w:t>
      </w:r>
      <w:r>
        <w:rPr>
          <w:color w:val="231F1F"/>
          <w:spacing w:val="-6"/>
          <w:w w:val="115"/>
        </w:rPr>
        <w:t> </w:t>
      </w:r>
      <w:r>
        <w:rPr>
          <w:color w:val="231F1F"/>
          <w:w w:val="115"/>
        </w:rPr>
        <w:t>when</w:t>
      </w:r>
      <w:r>
        <w:rPr>
          <w:color w:val="231F1F"/>
          <w:spacing w:val="-5"/>
          <w:w w:val="115"/>
        </w:rPr>
        <w:t> </w:t>
      </w:r>
      <w:r>
        <w:rPr>
          <w:color w:val="231F1F"/>
          <w:w w:val="115"/>
        </w:rPr>
        <w:t>amiodarone</w:t>
      </w:r>
      <w:r>
        <w:rPr>
          <w:color w:val="231F1F"/>
          <w:spacing w:val="-6"/>
          <w:w w:val="115"/>
        </w:rPr>
        <w:t> </w:t>
      </w:r>
      <w:r>
        <w:rPr>
          <w:color w:val="231F1F"/>
          <w:w w:val="115"/>
        </w:rPr>
        <w:t>given</w:t>
      </w:r>
      <w:r>
        <w:rPr>
          <w:color w:val="231F1F"/>
          <w:spacing w:val="-5"/>
          <w:w w:val="115"/>
        </w:rPr>
        <w:t> </w:t>
      </w:r>
      <w:r>
        <w:rPr>
          <w:color w:val="231F1F"/>
          <w:w w:val="115"/>
        </w:rPr>
        <w:t>with</w:t>
      </w:r>
    </w:p>
    <w:p>
      <w:pPr>
        <w:spacing w:line="141" w:lineRule="exact" w:before="0"/>
        <w:ind w:left="286" w:right="0" w:firstLine="0"/>
        <w:jc w:val="both"/>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5"/>
          <w:sz w:val="11"/>
        </w:rPr>
        <w:t>SOTALOL</w:t>
      </w:r>
      <w:r>
        <w:rPr>
          <w:rFonts w:ascii="Arial" w:hAnsi="Arial"/>
          <w:color w:val="231F1F"/>
          <w:w w:val="115"/>
          <w:sz w:val="12"/>
        </w:rPr>
        <w:t>—</w:t>
      </w:r>
      <w:r>
        <w:rPr>
          <w:color w:val="231F1F"/>
          <w:w w:val="115"/>
          <w:sz w:val="12"/>
        </w:rPr>
        <w:t>avoid concomitant use</w:t>
      </w:r>
    </w:p>
    <w:p>
      <w:pPr>
        <w:pStyle w:val="BodyText"/>
        <w:spacing w:line="244" w:lineRule="auto"/>
        <w:ind w:left="286" w:right="202" w:hanging="100"/>
        <w:jc w:val="both"/>
        <w:rPr>
          <w:rFonts w:ascii="Calibri"/>
          <w:sz w:val="11"/>
        </w:rPr>
      </w:pPr>
      <w:r>
        <w:rPr>
          <w:rFonts w:ascii="Arial"/>
          <w:color w:val="231F1F"/>
          <w:w w:val="355"/>
          <w:position w:val="1"/>
          <w:sz w:val="7"/>
        </w:rPr>
        <w:t>l</w:t>
      </w:r>
      <w:r>
        <w:rPr>
          <w:rFonts w:ascii="Arial"/>
          <w:color w:val="231F1F"/>
          <w:spacing w:val="-43"/>
          <w:w w:val="355"/>
          <w:position w:val="1"/>
          <w:sz w:val="7"/>
        </w:rPr>
        <w:t> </w:t>
      </w:r>
      <w:r>
        <w:rPr>
          <w:rFonts w:ascii="Calibri"/>
          <w:color w:val="231F1F"/>
          <w:w w:val="110"/>
        </w:rPr>
        <w:t>Calcium-channel</w:t>
      </w:r>
      <w:r>
        <w:rPr>
          <w:rFonts w:ascii="Calibri"/>
          <w:color w:val="231F1F"/>
          <w:spacing w:val="-10"/>
          <w:w w:val="110"/>
        </w:rPr>
        <w:t> </w:t>
      </w:r>
      <w:r>
        <w:rPr>
          <w:rFonts w:ascii="Calibri"/>
          <w:color w:val="231F1F"/>
          <w:w w:val="110"/>
        </w:rPr>
        <w:t>Blockers:</w:t>
      </w:r>
      <w:r>
        <w:rPr>
          <w:rFonts w:ascii="Calibri"/>
          <w:color w:val="231F1F"/>
          <w:spacing w:val="-9"/>
          <w:w w:val="110"/>
        </w:rPr>
        <w:t> </w:t>
      </w:r>
      <w:r>
        <w:rPr>
          <w:color w:val="231F1F"/>
          <w:w w:val="110"/>
        </w:rPr>
        <w:t>increased</w:t>
      </w:r>
      <w:r>
        <w:rPr>
          <w:color w:val="231F1F"/>
          <w:spacing w:val="-13"/>
          <w:w w:val="110"/>
        </w:rPr>
        <w:t> </w:t>
      </w:r>
      <w:r>
        <w:rPr>
          <w:color w:val="231F1F"/>
          <w:w w:val="110"/>
        </w:rPr>
        <w:t>risk</w:t>
      </w:r>
      <w:r>
        <w:rPr>
          <w:color w:val="231F1F"/>
          <w:spacing w:val="-11"/>
          <w:w w:val="110"/>
        </w:rPr>
        <w:t> </w:t>
      </w:r>
      <w:r>
        <w:rPr>
          <w:color w:val="231F1F"/>
          <w:w w:val="110"/>
        </w:rPr>
        <w:t>of</w:t>
      </w:r>
      <w:r>
        <w:rPr>
          <w:color w:val="231F1F"/>
          <w:spacing w:val="-13"/>
          <w:w w:val="110"/>
        </w:rPr>
        <w:t> </w:t>
      </w:r>
      <w:r>
        <w:rPr>
          <w:color w:val="231F1F"/>
          <w:w w:val="110"/>
        </w:rPr>
        <w:t>bradycardia,</w:t>
      </w:r>
      <w:r>
        <w:rPr>
          <w:color w:val="231F1F"/>
          <w:spacing w:val="-13"/>
          <w:w w:val="110"/>
        </w:rPr>
        <w:t> </w:t>
      </w:r>
      <w:r>
        <w:rPr>
          <w:color w:val="231F1F"/>
          <w:spacing w:val="-8"/>
          <w:w w:val="110"/>
        </w:rPr>
        <w:t>AV </w:t>
      </w:r>
      <w:r>
        <w:rPr>
          <w:color w:val="231F1F"/>
          <w:w w:val="110"/>
        </w:rPr>
        <w:t>block and myocardial depression when amiodarone given with</w:t>
      </w:r>
      <w:r>
        <w:rPr>
          <w:color w:val="231F1F"/>
          <w:spacing w:val="-4"/>
          <w:w w:val="110"/>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DILTIAZEM</w:t>
      </w:r>
      <w:r>
        <w:rPr>
          <w:rFonts w:ascii="Calibri"/>
          <w:color w:val="008356"/>
          <w:spacing w:val="7"/>
          <w:w w:val="110"/>
          <w:sz w:val="11"/>
        </w:rPr>
        <w:t> </w:t>
      </w:r>
      <w:r>
        <w:rPr>
          <w:color w:val="231F1F"/>
          <w:w w:val="110"/>
        </w:rPr>
        <w:t>or</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VERAPAMIL</w:t>
      </w:r>
    </w:p>
    <w:p>
      <w:pPr>
        <w:pStyle w:val="BodyText"/>
        <w:spacing w:line="140" w:lineRule="exact"/>
        <w:ind w:left="186"/>
      </w:pPr>
      <w:r>
        <w:rPr>
          <w:rFonts w:ascii="Arial"/>
          <w:color w:val="231F1F"/>
          <w:w w:val="355"/>
          <w:position w:val="1"/>
          <w:sz w:val="7"/>
        </w:rPr>
        <w:t>l </w:t>
      </w:r>
      <w:r>
        <w:rPr>
          <w:rFonts w:ascii="Calibri"/>
          <w:color w:val="231F1F"/>
          <w:w w:val="110"/>
        </w:rPr>
        <w:t>Cardiac Glycosides: </w:t>
      </w:r>
      <w:r>
        <w:rPr>
          <w:color w:val="231F1F"/>
          <w:w w:val="110"/>
        </w:rPr>
        <w:t>amiodarone increases plasma</w:t>
      </w:r>
    </w:p>
    <w:p>
      <w:pPr>
        <w:pStyle w:val="BodyText"/>
        <w:spacing w:line="140" w:lineRule="exact"/>
        <w:ind w:left="286"/>
      </w:pPr>
      <w:r>
        <w:rPr>
          <w:color w:val="231F1F"/>
          <w:w w:val="115"/>
        </w:rPr>
        <w:t>concentration of </w:t>
      </w:r>
      <w:r>
        <w:rPr>
          <w:rFonts w:ascii="Arial"/>
          <w:color w:val="231F1F"/>
          <w:w w:val="355"/>
          <w:position w:val="1"/>
          <w:sz w:val="7"/>
        </w:rPr>
        <w:t>l </w:t>
      </w:r>
      <w:r>
        <w:rPr>
          <w:rFonts w:ascii="Calibri"/>
          <w:color w:val="008356"/>
          <w:w w:val="115"/>
          <w:sz w:val="11"/>
        </w:rPr>
        <w:t>DIGOXIN </w:t>
      </w:r>
      <w:r>
        <w:rPr>
          <w:color w:val="231F1F"/>
          <w:w w:val="115"/>
        </w:rPr>
        <w:t>(halve dose of digoxin)</w:t>
      </w:r>
    </w:p>
    <w:p>
      <w:pPr>
        <w:pStyle w:val="BodyText"/>
        <w:spacing w:line="220" w:lineRule="auto" w:before="7"/>
        <w:ind w:left="286" w:right="480"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amiodarone possibly increases plasma concentration of </w:t>
      </w:r>
      <w:r>
        <w:rPr>
          <w:rFonts w:ascii="Calibri" w:hAnsi="Calibri"/>
          <w:color w:val="008356"/>
          <w:w w:val="105"/>
          <w:sz w:val="11"/>
        </w:rPr>
        <w:t>CICLOSPORIN</w:t>
      </w:r>
    </w:p>
    <w:p>
      <w:pPr>
        <w:pStyle w:val="BodyText"/>
        <w:ind w:left="286" w:right="-8" w:hanging="100"/>
      </w:pPr>
      <w:r>
        <w:rPr>
          <w:rFonts w:ascii="Arial" w:hAnsi="Arial"/>
          <w:color w:val="231F1F"/>
          <w:w w:val="355"/>
          <w:position w:val="1"/>
          <w:sz w:val="7"/>
        </w:rPr>
        <w:t>l </w:t>
      </w:r>
      <w:r>
        <w:rPr>
          <w:rFonts w:ascii="Calibri" w:hAnsi="Calibri"/>
          <w:color w:val="231F1F"/>
          <w:w w:val="120"/>
        </w:rPr>
        <w:t>Cobicistat: </w:t>
      </w:r>
      <w:r>
        <w:rPr>
          <w:color w:val="231F1F"/>
          <w:w w:val="120"/>
        </w:rPr>
        <w:t>plasma concentration of amiodarone possibly </w:t>
      </w:r>
      <w:r>
        <w:rPr>
          <w:color w:val="231F1F"/>
          <w:w w:val="115"/>
        </w:rPr>
        <w:t>increased</w:t>
      </w:r>
      <w:r>
        <w:rPr>
          <w:color w:val="231F1F"/>
          <w:spacing w:val="-16"/>
          <w:w w:val="115"/>
        </w:rPr>
        <w:t> </w:t>
      </w:r>
      <w:r>
        <w:rPr>
          <w:color w:val="231F1F"/>
          <w:w w:val="115"/>
        </w:rPr>
        <w:t>by</w:t>
      </w:r>
      <w:r>
        <w:rPr>
          <w:color w:val="231F1F"/>
          <w:spacing w:val="-16"/>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w w:val="115"/>
          <w:sz w:val="11"/>
        </w:rPr>
        <w:t>COBICISTAT</w:t>
      </w:r>
      <w:r>
        <w:rPr>
          <w:rFonts w:ascii="Arial" w:hAnsi="Arial"/>
          <w:color w:val="231F1F"/>
          <w:w w:val="115"/>
        </w:rPr>
        <w:t>—</w:t>
      </w:r>
      <w:r>
        <w:rPr>
          <w:color w:val="231F1F"/>
          <w:w w:val="115"/>
        </w:rPr>
        <w:t>manufacturer</w:t>
      </w:r>
      <w:r>
        <w:rPr>
          <w:color w:val="231F1F"/>
          <w:spacing w:val="-16"/>
          <w:w w:val="115"/>
        </w:rPr>
        <w:t> </w:t>
      </w:r>
      <w:r>
        <w:rPr>
          <w:color w:val="231F1F"/>
          <w:w w:val="115"/>
        </w:rPr>
        <w:t>of</w:t>
      </w:r>
      <w:r>
        <w:rPr>
          <w:color w:val="231F1F"/>
          <w:spacing w:val="-15"/>
          <w:w w:val="115"/>
        </w:rPr>
        <w:t> </w:t>
      </w:r>
      <w:r>
        <w:rPr>
          <w:color w:val="231F1F"/>
          <w:w w:val="115"/>
        </w:rPr>
        <w:t>cobicistat</w:t>
      </w:r>
      <w:r>
        <w:rPr>
          <w:color w:val="231F1F"/>
          <w:spacing w:val="-15"/>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spacing w:line="146" w:lineRule="exact" w:before="1"/>
        <w:ind w:left="186" w:right="0" w:firstLine="0"/>
        <w:jc w:val="left"/>
        <w:rPr>
          <w:rFonts w:ascii="Calibri"/>
          <w:sz w:val="11"/>
        </w:rPr>
      </w:pPr>
      <w:r>
        <w:rPr>
          <w:rFonts w:ascii="Arial"/>
          <w:color w:val="231F1F"/>
          <w:w w:val="355"/>
          <w:position w:val="1"/>
          <w:sz w:val="7"/>
        </w:rPr>
        <w:t>l</w:t>
      </w:r>
      <w:r>
        <w:rPr>
          <w:rFonts w:ascii="Arial"/>
          <w:color w:val="231F1F"/>
          <w:spacing w:val="-37"/>
          <w:w w:val="355"/>
          <w:position w:val="1"/>
          <w:sz w:val="7"/>
        </w:rPr>
        <w:t> </w:t>
      </w:r>
      <w:r>
        <w:rPr>
          <w:rFonts w:ascii="Calibri"/>
          <w:color w:val="231F1F"/>
          <w:w w:val="110"/>
          <w:sz w:val="12"/>
        </w:rPr>
        <w:t>Colchicine:</w:t>
      </w:r>
      <w:r>
        <w:rPr>
          <w:rFonts w:ascii="Calibri"/>
          <w:color w:val="231F1F"/>
          <w:spacing w:val="-5"/>
          <w:w w:val="110"/>
          <w:sz w:val="12"/>
        </w:rPr>
        <w:t> </w:t>
      </w:r>
      <w:r>
        <w:rPr>
          <w:color w:val="231F1F"/>
          <w:w w:val="110"/>
          <w:sz w:val="12"/>
        </w:rPr>
        <w:t>amiodarone</w:t>
      </w:r>
      <w:r>
        <w:rPr>
          <w:color w:val="231F1F"/>
          <w:spacing w:val="-8"/>
          <w:w w:val="110"/>
          <w:sz w:val="12"/>
        </w:rPr>
        <w:t> </w:t>
      </w:r>
      <w:r>
        <w:rPr>
          <w:color w:val="231F1F"/>
          <w:w w:val="110"/>
          <w:sz w:val="12"/>
        </w:rPr>
        <w:t>possibly</w:t>
      </w:r>
      <w:r>
        <w:rPr>
          <w:color w:val="231F1F"/>
          <w:spacing w:val="-8"/>
          <w:w w:val="110"/>
          <w:sz w:val="12"/>
        </w:rPr>
        <w:t> </w:t>
      </w:r>
      <w:r>
        <w:rPr>
          <w:color w:val="231F1F"/>
          <w:w w:val="110"/>
          <w:sz w:val="12"/>
        </w:rPr>
        <w:t>increases</w:t>
      </w:r>
      <w:r>
        <w:rPr>
          <w:color w:val="231F1F"/>
          <w:spacing w:val="-8"/>
          <w:w w:val="110"/>
          <w:sz w:val="12"/>
        </w:rPr>
        <w:t> </w:t>
      </w:r>
      <w:r>
        <w:rPr>
          <w:color w:val="231F1F"/>
          <w:w w:val="110"/>
          <w:sz w:val="12"/>
        </w:rPr>
        <w:t>risk</w:t>
      </w:r>
      <w:r>
        <w:rPr>
          <w:color w:val="231F1F"/>
          <w:spacing w:val="-8"/>
          <w:w w:val="110"/>
          <w:sz w:val="12"/>
        </w:rPr>
        <w:t> </w:t>
      </w:r>
      <w:r>
        <w:rPr>
          <w:color w:val="231F1F"/>
          <w:w w:val="110"/>
          <w:sz w:val="12"/>
        </w:rPr>
        <w:t>of</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COLCHICINE</w:t>
      </w:r>
    </w:p>
    <w:p>
      <w:pPr>
        <w:pStyle w:val="BodyText"/>
        <w:ind w:left="286"/>
      </w:pPr>
      <w:r>
        <w:rPr>
          <w:color w:val="231F1F"/>
          <w:w w:val="110"/>
        </w:rPr>
        <w:t>toxicity</w:t>
      </w:r>
    </w:p>
    <w:p>
      <w:pPr>
        <w:pStyle w:val="BodyText"/>
        <w:spacing w:line="247" w:lineRule="auto" w:before="1"/>
        <w:ind w:left="286" w:right="49" w:hanging="100"/>
        <w:rPr>
          <w:rFonts w:ascii="Calibri" w:hAnsi="Calibri"/>
          <w:sz w:val="11"/>
        </w:rPr>
      </w:pPr>
      <w:r>
        <w:rPr>
          <w:rFonts w:ascii="Arial" w:hAnsi="Arial"/>
          <w:color w:val="231F1F"/>
          <w:w w:val="355"/>
          <w:position w:val="1"/>
          <w:sz w:val="7"/>
        </w:rPr>
        <w:t>l </w:t>
      </w:r>
      <w:r>
        <w:rPr>
          <w:rFonts w:ascii="Calibri" w:hAnsi="Calibri"/>
          <w:color w:val="231F1F"/>
          <w:w w:val="115"/>
        </w:rPr>
        <w:t>Cytotoxics: </w:t>
      </w:r>
      <w:r>
        <w:rPr>
          <w:color w:val="231F1F"/>
          <w:w w:val="115"/>
        </w:rPr>
        <w:t>amiodarone possibly increases the plasma concentration</w:t>
      </w:r>
      <w:r>
        <w:rPr>
          <w:color w:val="231F1F"/>
          <w:spacing w:val="-16"/>
          <w:w w:val="115"/>
        </w:rPr>
        <w:t> </w:t>
      </w:r>
      <w:r>
        <w:rPr>
          <w:color w:val="231F1F"/>
          <w:w w:val="115"/>
        </w:rPr>
        <w:t>of</w:t>
      </w:r>
      <w:r>
        <w:rPr>
          <w:color w:val="231F1F"/>
          <w:spacing w:val="-16"/>
          <w:w w:val="115"/>
        </w:rPr>
        <w:t> </w:t>
      </w:r>
      <w:r>
        <w:rPr>
          <w:rFonts w:ascii="Calibri" w:hAnsi="Calibri"/>
          <w:color w:val="008356"/>
          <w:w w:val="115"/>
          <w:sz w:val="11"/>
        </w:rPr>
        <w:t>AFATINIB</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5"/>
          <w:w w:val="115"/>
        </w:rPr>
        <w:t> </w:t>
      </w:r>
      <w:r>
        <w:rPr>
          <w:color w:val="231F1F"/>
          <w:w w:val="115"/>
        </w:rPr>
        <w:t>afatinib</w:t>
      </w:r>
      <w:r>
        <w:rPr>
          <w:color w:val="231F1F"/>
          <w:spacing w:val="-16"/>
          <w:w w:val="115"/>
        </w:rPr>
        <w:t> </w:t>
      </w:r>
      <w:r>
        <w:rPr>
          <w:color w:val="231F1F"/>
          <w:w w:val="115"/>
        </w:rPr>
        <w:t>advises separating administration of amiodarone by 6 to 12 hours; possible increased risk of ventricular arrhythmias when amiodarone given with </w:t>
      </w:r>
      <w:r>
        <w:rPr>
          <w:rFonts w:ascii="Arial" w:hAnsi="Arial"/>
          <w:color w:val="231F1F"/>
          <w:w w:val="355"/>
          <w:position w:val="1"/>
          <w:sz w:val="7"/>
        </w:rPr>
        <w:t>l </w:t>
      </w:r>
      <w:r>
        <w:rPr>
          <w:rFonts w:ascii="Calibri" w:hAnsi="Calibri"/>
          <w:color w:val="008356"/>
          <w:spacing w:val="4"/>
          <w:w w:val="115"/>
          <w:sz w:val="11"/>
        </w:rPr>
        <w:t>BOSUTINIB</w:t>
      </w:r>
      <w:r>
        <w:rPr>
          <w:color w:val="231F1F"/>
          <w:spacing w:val="4"/>
          <w:w w:val="115"/>
        </w:rPr>
        <w:t>; </w:t>
      </w:r>
      <w:r>
        <w:rPr>
          <w:color w:val="231F1F"/>
          <w:w w:val="115"/>
        </w:rPr>
        <w:t>amiodarone possibly increases</w:t>
      </w:r>
      <w:r>
        <w:rPr>
          <w:color w:val="231F1F"/>
          <w:spacing w:val="-12"/>
          <w:w w:val="115"/>
        </w:rPr>
        <w:t> </w:t>
      </w:r>
      <w:r>
        <w:rPr>
          <w:color w:val="231F1F"/>
          <w:w w:val="115"/>
        </w:rPr>
        <w:t>the</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w:t>
      </w:r>
      <w:r>
        <w:rPr>
          <w:color w:val="231F1F"/>
          <w:spacing w:val="-7"/>
          <w:w w:val="115"/>
        </w:rPr>
        <w:t> </w:t>
      </w:r>
      <w:r>
        <w:rPr>
          <w:color w:val="231F1F"/>
          <w:w w:val="115"/>
        </w:rPr>
        <w:t>of</w:t>
      </w:r>
      <w:r>
        <w:rPr>
          <w:color w:val="231F1F"/>
          <w:spacing w:val="-6"/>
          <w:w w:val="115"/>
        </w:rPr>
        <w:t> </w:t>
      </w:r>
      <w:r>
        <w:rPr>
          <w:color w:val="231F1F"/>
          <w:w w:val="115"/>
        </w:rPr>
        <w:t>ibrutinib</w:t>
      </w:r>
      <w:r>
        <w:rPr>
          <w:color w:val="231F1F"/>
          <w:spacing w:val="-7"/>
          <w:w w:val="115"/>
        </w:rPr>
        <w:t> </w:t>
      </w:r>
      <w:r>
        <w:rPr>
          <w:color w:val="231F1F"/>
          <w:w w:val="115"/>
        </w:rPr>
        <w:t>(see</w:t>
      </w:r>
      <w:r>
        <w:rPr>
          <w:color w:val="231F1F"/>
          <w:spacing w:val="-7"/>
          <w:w w:val="115"/>
        </w:rPr>
        <w:t> </w:t>
      </w:r>
      <w:r>
        <w:rPr>
          <w:color w:val="231F1F"/>
          <w:w w:val="115"/>
        </w:rPr>
        <w:t>under</w:t>
      </w:r>
      <w:r>
        <w:rPr>
          <w:color w:val="231F1F"/>
          <w:spacing w:val="-6"/>
          <w:w w:val="115"/>
        </w:rPr>
        <w:t> </w:t>
      </w:r>
      <w:r>
        <w:rPr>
          <w:color w:val="231F1F"/>
          <w:w w:val="115"/>
        </w:rPr>
        <w:t>Ibrutinib,</w:t>
      </w:r>
      <w:r>
        <w:rPr>
          <w:color w:val="231F1F"/>
          <w:spacing w:val="21"/>
          <w:w w:val="115"/>
        </w:rPr>
        <w:t> </w:t>
      </w:r>
      <w:r>
        <w:rPr>
          <w:color w:val="231F1F"/>
          <w:w w:val="115"/>
        </w:rPr>
        <w:t>p.</w:t>
      </w:r>
      <w:r>
        <w:rPr>
          <w:color w:val="231F1F"/>
          <w:spacing w:val="-5"/>
          <w:w w:val="115"/>
        </w:rPr>
        <w:t> </w:t>
      </w:r>
      <w:r>
        <w:rPr>
          <w:color w:val="231F1F"/>
          <w:w w:val="115"/>
        </w:rPr>
        <w:t>809);</w:t>
      </w:r>
      <w:r>
        <w:rPr>
          <w:color w:val="231F1F"/>
          <w:spacing w:val="-7"/>
          <w:w w:val="115"/>
        </w:rPr>
        <w:t> </w:t>
      </w:r>
      <w:r>
        <w:rPr>
          <w:color w:val="231F1F"/>
          <w:w w:val="115"/>
        </w:rPr>
        <w:t>avoidance</w:t>
      </w:r>
      <w:r>
        <w:rPr>
          <w:color w:val="231F1F"/>
          <w:spacing w:val="-7"/>
          <w:w w:val="115"/>
        </w:rPr>
        <w:t> </w:t>
      </w:r>
      <w:r>
        <w:rPr>
          <w:color w:val="231F1F"/>
          <w:w w:val="115"/>
        </w:rPr>
        <w:t>of amiodarone</w:t>
      </w:r>
      <w:r>
        <w:rPr>
          <w:color w:val="231F1F"/>
          <w:spacing w:val="-16"/>
          <w:w w:val="115"/>
        </w:rPr>
        <w:t> </w:t>
      </w:r>
      <w:r>
        <w:rPr>
          <w:color w:val="231F1F"/>
          <w:w w:val="115"/>
        </w:rPr>
        <w:t>advised</w:t>
      </w:r>
      <w:r>
        <w:rPr>
          <w:color w:val="231F1F"/>
          <w:spacing w:val="-15"/>
          <w:w w:val="115"/>
        </w:rPr>
        <w:t> </w:t>
      </w:r>
      <w:r>
        <w:rPr>
          <w:color w:val="231F1F"/>
          <w:w w:val="115"/>
        </w:rPr>
        <w:t>by</w:t>
      </w:r>
      <w:r>
        <w:rPr>
          <w:color w:val="231F1F"/>
          <w:spacing w:val="-15"/>
          <w:w w:val="115"/>
        </w:rPr>
        <w:t> </w:t>
      </w:r>
      <w:r>
        <w:rPr>
          <w:color w:val="231F1F"/>
          <w:w w:val="115"/>
        </w:rPr>
        <w:t>manufacturer</w:t>
      </w:r>
      <w:r>
        <w:rPr>
          <w:color w:val="231F1F"/>
          <w:spacing w:val="-15"/>
          <w:w w:val="115"/>
        </w:rPr>
        <w:t> </w:t>
      </w:r>
      <w:r>
        <w:rPr>
          <w:color w:val="231F1F"/>
          <w:w w:val="115"/>
        </w:rPr>
        <w:t>of</w:t>
      </w:r>
      <w:r>
        <w:rPr>
          <w:color w:val="231F1F"/>
          <w:spacing w:val="-14"/>
          <w:w w:val="115"/>
        </w:rPr>
        <w:t> </w:t>
      </w:r>
      <w:r>
        <w:rPr>
          <w:rFonts w:ascii="Calibri" w:hAnsi="Calibri"/>
          <w:color w:val="008356"/>
          <w:spacing w:val="4"/>
          <w:w w:val="115"/>
          <w:sz w:val="11"/>
        </w:rPr>
        <w:t>IDELALISIB</w:t>
      </w:r>
      <w:r>
        <w:rPr>
          <w:color w:val="231F1F"/>
          <w:spacing w:val="4"/>
          <w:w w:val="115"/>
        </w:rPr>
        <w:t>;</w:t>
      </w:r>
      <w:r>
        <w:rPr>
          <w:color w:val="231F1F"/>
          <w:spacing w:val="-14"/>
          <w:w w:val="115"/>
        </w:rPr>
        <w:t> </w:t>
      </w:r>
      <w:r>
        <w:rPr>
          <w:color w:val="231F1F"/>
          <w:w w:val="115"/>
        </w:rPr>
        <w:t>possible increased risk of ventricular arrhythmias when amiodarone given</w:t>
      </w:r>
      <w:r>
        <w:rPr>
          <w:color w:val="231F1F"/>
          <w:spacing w:val="-24"/>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3"/>
          <w:w w:val="115"/>
        </w:rPr>
        <w:t> </w:t>
      </w:r>
      <w:r>
        <w:rPr>
          <w:color w:val="231F1F"/>
          <w:w w:val="115"/>
        </w:rPr>
        <w:t>use;</w:t>
      </w:r>
      <w:r>
        <w:rPr>
          <w:color w:val="231F1F"/>
          <w:spacing w:val="-23"/>
          <w:w w:val="115"/>
        </w:rPr>
        <w:t> </w:t>
      </w:r>
      <w:r>
        <w:rPr>
          <w:color w:val="231F1F"/>
          <w:w w:val="115"/>
        </w:rPr>
        <w:t>increased risk</w:t>
      </w:r>
      <w:r>
        <w:rPr>
          <w:color w:val="231F1F"/>
          <w:spacing w:val="-7"/>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w:t>
      </w:r>
      <w:r>
        <w:rPr>
          <w:color w:val="231F1F"/>
          <w:spacing w:val="-8"/>
          <w:w w:val="115"/>
        </w:rPr>
        <w:t> </w:t>
      </w:r>
      <w:r>
        <w:rPr>
          <w:color w:val="231F1F"/>
          <w:w w:val="115"/>
        </w:rPr>
        <w:t>when</w:t>
      </w:r>
      <w:r>
        <w:rPr>
          <w:color w:val="231F1F"/>
          <w:spacing w:val="-8"/>
          <w:w w:val="115"/>
        </w:rPr>
        <w:t> </w:t>
      </w:r>
      <w:r>
        <w:rPr>
          <w:color w:val="231F1F"/>
          <w:w w:val="115"/>
        </w:rPr>
        <w:t>amiodarone</w:t>
      </w:r>
      <w:r>
        <w:rPr>
          <w:color w:val="231F1F"/>
          <w:spacing w:val="-9"/>
          <w:w w:val="115"/>
        </w:rPr>
        <w:t> </w:t>
      </w:r>
      <w:r>
        <w:rPr>
          <w:color w:val="231F1F"/>
          <w:w w:val="115"/>
        </w:rPr>
        <w:t>given</w:t>
      </w:r>
      <w:r>
        <w:rPr>
          <w:color w:val="231F1F"/>
          <w:spacing w:val="-7"/>
          <w:w w:val="115"/>
        </w:rPr>
        <w:t> </w:t>
      </w:r>
      <w:r>
        <w:rPr>
          <w:color w:val="231F1F"/>
          <w:spacing w:val="-4"/>
          <w:w w:val="115"/>
        </w:rPr>
        <w:t>with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5"/>
          <w:sz w:val="11"/>
        </w:rPr>
        <w:t>ARSENIC TRIOXIDE</w:t>
      </w:r>
    </w:p>
    <w:p>
      <w:pPr>
        <w:spacing w:line="220" w:lineRule="auto" w:before="0"/>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cardiac toxicity with amiodarone if hypokalaemia occurs with </w:t>
      </w:r>
      <w:r>
        <w:rPr>
          <w:rFonts w:ascii="Calibri" w:hAnsi="Calibri"/>
          <w:color w:val="008356"/>
          <w:w w:val="105"/>
          <w:sz w:val="11"/>
        </w:rPr>
        <w:t>ACETAZOLAMIDE</w:t>
      </w:r>
      <w:r>
        <w:rPr>
          <w:color w:val="231F1F"/>
          <w:w w:val="105"/>
          <w:sz w:val="12"/>
        </w:rPr>
        <w:t>, </w:t>
      </w:r>
      <w:r>
        <w:rPr>
          <w:rFonts w:ascii="Calibri" w:hAnsi="Calibri"/>
          <w:color w:val="008356"/>
          <w:w w:val="105"/>
          <w:sz w:val="11"/>
        </w:rPr>
        <w:t>LOOP DIURETICS </w:t>
      </w:r>
      <w:r>
        <w:rPr>
          <w:color w:val="231F1F"/>
          <w:w w:val="105"/>
          <w:sz w:val="12"/>
        </w:rPr>
        <w:t>or</w:t>
      </w:r>
    </w:p>
    <w:p>
      <w:pPr>
        <w:spacing w:line="242" w:lineRule="auto" w:before="2"/>
        <w:ind w:left="286" w:right="0" w:firstLine="0"/>
        <w:jc w:val="left"/>
        <w:rPr>
          <w:sz w:val="12"/>
        </w:rPr>
      </w:pPr>
      <w:r>
        <w:rPr>
          <w:rFonts w:ascii="Calibri"/>
          <w:color w:val="008356"/>
          <w:w w:val="110"/>
          <w:sz w:val="11"/>
        </w:rPr>
        <w:t>THIAZIDES AND RELATED DIURETICS</w:t>
      </w:r>
      <w:r>
        <w:rPr>
          <w:color w:val="231F1F"/>
          <w:w w:val="110"/>
          <w:sz w:val="12"/>
        </w:rPr>
        <w:t>; amiodarone increases plasma concentration of </w:t>
      </w:r>
      <w:r>
        <w:rPr>
          <w:rFonts w:ascii="Calibri"/>
          <w:color w:val="008356"/>
          <w:w w:val="110"/>
          <w:sz w:val="11"/>
        </w:rPr>
        <w:t>EPLERENONE </w:t>
      </w:r>
      <w:r>
        <w:rPr>
          <w:color w:val="231F1F"/>
          <w:w w:val="110"/>
          <w:sz w:val="12"/>
        </w:rPr>
        <w:t>(reduce dose of eplerenone)</w:t>
      </w:r>
    </w:p>
    <w:p>
      <w:pPr>
        <w:pStyle w:val="BodyText"/>
        <w:spacing w:before="1"/>
        <w:ind w:left="286" w:hanging="100"/>
        <w:rPr>
          <w:rFonts w:ascii="Calibri"/>
          <w:sz w:val="11"/>
        </w:rPr>
      </w:pPr>
      <w:r>
        <w:rPr>
          <w:rFonts w:ascii="Arial"/>
          <w:color w:val="231F1F"/>
          <w:w w:val="355"/>
          <w:position w:val="1"/>
          <w:sz w:val="7"/>
        </w:rPr>
        <w:t>l </w:t>
      </w:r>
      <w:r>
        <w:rPr>
          <w:rFonts w:ascii="Calibri"/>
          <w:color w:val="231F1F"/>
          <w:w w:val="105"/>
        </w:rPr>
        <w:t>Fingolimod: </w:t>
      </w:r>
      <w:r>
        <w:rPr>
          <w:color w:val="231F1F"/>
          <w:w w:val="105"/>
        </w:rPr>
        <w:t>possible increased risk of bradycardia when amiodarone given with </w:t>
      </w:r>
      <w:r>
        <w:rPr>
          <w:rFonts w:ascii="Arial"/>
          <w:color w:val="231F1F"/>
          <w:w w:val="355"/>
          <w:position w:val="1"/>
          <w:sz w:val="7"/>
        </w:rPr>
        <w:t>l </w:t>
      </w:r>
      <w:r>
        <w:rPr>
          <w:rFonts w:ascii="Calibri"/>
          <w:color w:val="008356"/>
          <w:w w:val="105"/>
          <w:sz w:val="11"/>
        </w:rPr>
        <w:t>FINGOLIMOD</w:t>
      </w:r>
    </w:p>
    <w:p>
      <w:pPr>
        <w:spacing w:line="220" w:lineRule="auto" w:before="5"/>
        <w:ind w:left="286" w:right="48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Grapefruit Juice: </w:t>
      </w:r>
      <w:r>
        <w:rPr>
          <w:color w:val="231F1F"/>
          <w:w w:val="105"/>
          <w:sz w:val="12"/>
        </w:rPr>
        <w:t>plasma concentration of amiodarone increased by </w:t>
      </w:r>
      <w:r>
        <w:rPr>
          <w:rFonts w:ascii="Calibri" w:hAnsi="Calibri"/>
          <w:color w:val="008356"/>
          <w:w w:val="105"/>
          <w:sz w:val="11"/>
        </w:rPr>
        <w:t>GRAPEFRUIT JUICE</w:t>
      </w:r>
    </w:p>
    <w:p>
      <w:pPr>
        <w:pStyle w:val="BodyText"/>
        <w:spacing w:before="1"/>
        <w:ind w:left="286" w:hanging="100"/>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t>
      </w:r>
      <w:r>
        <w:rPr>
          <w:color w:val="231F1F"/>
          <w:spacing w:val="-4"/>
          <w:w w:val="110"/>
        </w:rPr>
        <w:t>when </w:t>
      </w:r>
      <w:r>
        <w:rPr>
          <w:color w:val="231F1F"/>
          <w:w w:val="110"/>
        </w:rPr>
        <w:t>amiodarone given with </w:t>
      </w:r>
      <w:r>
        <w:rPr>
          <w:rFonts w:ascii="Arial"/>
          <w:color w:val="231F1F"/>
          <w:w w:val="355"/>
          <w:position w:val="1"/>
          <w:sz w:val="7"/>
        </w:rPr>
        <w:t>l </w:t>
      </w:r>
      <w:r>
        <w:rPr>
          <w:rFonts w:ascii="Calibri"/>
          <w:color w:val="008356"/>
          <w:spacing w:val="4"/>
          <w:w w:val="110"/>
          <w:sz w:val="11"/>
        </w:rPr>
        <w:t>IVABRADINE</w:t>
      </w:r>
    </w:p>
    <w:p>
      <w:pPr>
        <w:pStyle w:val="BodyText"/>
        <w:ind w:left="286" w:right="-7" w:hanging="100"/>
      </w:pPr>
      <w:r>
        <w:rPr>
          <w:rFonts w:ascii="Arial"/>
          <w:color w:val="231F1F"/>
          <w:w w:val="355"/>
          <w:position w:val="1"/>
          <w:sz w:val="7"/>
        </w:rPr>
        <w:t>l </w:t>
      </w:r>
      <w:r>
        <w:rPr>
          <w:rFonts w:ascii="Calibri"/>
          <w:color w:val="231F1F"/>
          <w:w w:val="110"/>
        </w:rPr>
        <w:t>Lipid-regulating Drugs: </w:t>
      </w:r>
      <w:r>
        <w:rPr>
          <w:color w:val="231F1F"/>
          <w:w w:val="110"/>
        </w:rPr>
        <w:t>increased risk of myopathy when amiodarone given with </w:t>
      </w:r>
      <w:r>
        <w:rPr>
          <w:rFonts w:ascii="Arial"/>
          <w:color w:val="231F1F"/>
          <w:w w:val="355"/>
          <w:position w:val="1"/>
          <w:sz w:val="7"/>
        </w:rPr>
        <w:t>l </w:t>
      </w:r>
      <w:r>
        <w:rPr>
          <w:rFonts w:ascii="Calibri"/>
          <w:color w:val="008356"/>
          <w:w w:val="110"/>
          <w:sz w:val="11"/>
        </w:rPr>
        <w:t>SIMVASTATIN </w:t>
      </w:r>
      <w:r>
        <w:rPr>
          <w:color w:val="231F1F"/>
          <w:w w:val="110"/>
        </w:rPr>
        <w:t>(see under Simvastatin,</w:t>
      </w:r>
    </w:p>
    <w:p>
      <w:pPr>
        <w:pStyle w:val="BodyText"/>
        <w:spacing w:line="249" w:lineRule="auto"/>
        <w:ind w:left="286" w:right="114"/>
        <w:rPr>
          <w:rFonts w:ascii="Calibri"/>
          <w:sz w:val="11"/>
        </w:rPr>
      </w:pPr>
      <w:r>
        <w:rPr>
          <w:color w:val="231F1F"/>
          <w:w w:val="115"/>
        </w:rPr>
        <w:t>p. 181); separating administration from amiodarone by 12 hours advised by manufacturer of </w:t>
      </w:r>
      <w:r>
        <w:rPr>
          <w:rFonts w:ascii="Calibri"/>
          <w:color w:val="008356"/>
          <w:w w:val="115"/>
          <w:sz w:val="11"/>
        </w:rPr>
        <w:t>LOMITAPIDE</w:t>
      </w:r>
    </w:p>
    <w:p>
      <w:pPr>
        <w:pStyle w:val="BodyText"/>
        <w:spacing w:line="138" w:lineRule="exact"/>
        <w:ind w:left="186"/>
      </w:pPr>
      <w:r>
        <w:rPr>
          <w:rFonts w:ascii="Arial"/>
          <w:color w:val="231F1F"/>
          <w:w w:val="355"/>
          <w:position w:val="1"/>
          <w:sz w:val="7"/>
        </w:rPr>
        <w:t>l </w:t>
      </w:r>
      <w:r>
        <w:rPr>
          <w:rFonts w:ascii="Calibri"/>
          <w:color w:val="231F1F"/>
          <w:w w:val="120"/>
        </w:rPr>
        <w:t>Lithium: </w:t>
      </w:r>
      <w:r>
        <w:rPr>
          <w:color w:val="231F1F"/>
          <w:w w:val="120"/>
        </w:rPr>
        <w:t>manufacturer of amiodarone advises avoid</w:t>
      </w:r>
    </w:p>
    <w:p>
      <w:pPr>
        <w:pStyle w:val="BodyText"/>
        <w:ind w:left="286" w:right="480"/>
      </w:pPr>
      <w:r>
        <w:rPr>
          <w:color w:val="231F1F"/>
          <w:w w:val="115"/>
        </w:rPr>
        <w:t>concomitant use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LITHIUM </w:t>
      </w:r>
      <w:r>
        <w:rPr>
          <w:color w:val="231F1F"/>
          <w:w w:val="115"/>
        </w:rPr>
        <w:t>(risk of ventricular arrhythmias)</w:t>
      </w:r>
    </w:p>
    <w:p>
      <w:pPr>
        <w:pStyle w:val="BodyText"/>
        <w:spacing w:line="220" w:lineRule="auto" w:before="9"/>
        <w:ind w:left="286" w:right="480" w:hanging="100"/>
        <w:rPr>
          <w:rFonts w:ascii="Calibri" w:hAnsi="Calibri"/>
          <w:sz w:val="11"/>
        </w:rPr>
      </w:pPr>
      <w:r>
        <w:rPr>
          <w:rFonts w:ascii="Lucida Sans Unicode" w:hAnsi="Lucida Sans Unicode"/>
          <w:color w:val="A7A8AC"/>
          <w:w w:val="95"/>
          <w:sz w:val="10"/>
        </w:rPr>
        <w:t>▶ </w:t>
      </w:r>
      <w:r>
        <w:rPr>
          <w:rFonts w:ascii="Calibri" w:hAnsi="Calibri"/>
          <w:color w:val="231F1F"/>
          <w:w w:val="105"/>
        </w:rPr>
        <w:t>Orlistat: </w:t>
      </w:r>
      <w:r>
        <w:rPr>
          <w:color w:val="231F1F"/>
          <w:w w:val="105"/>
        </w:rPr>
        <w:t>plasma concentration of amiodarone possibly reduced by </w:t>
      </w:r>
      <w:r>
        <w:rPr>
          <w:rFonts w:ascii="Calibri" w:hAnsi="Calibri"/>
          <w:color w:val="008356"/>
          <w:w w:val="105"/>
          <w:sz w:val="11"/>
        </w:rPr>
        <w:t>ORLISTAT</w:t>
      </w:r>
    </w:p>
    <w:p>
      <w:pPr>
        <w:pStyle w:val="BodyText"/>
        <w:ind w:left="286" w:right="251" w:hanging="100"/>
      </w:pPr>
      <w:r>
        <w:rPr>
          <w:rFonts w:ascii="Arial" w:hAnsi="Arial"/>
          <w:color w:val="231F1F"/>
          <w:w w:val="355"/>
          <w:position w:val="1"/>
          <w:sz w:val="7"/>
        </w:rPr>
        <w:t>l </w:t>
      </w:r>
      <w:r>
        <w:rPr>
          <w:rFonts w:ascii="Calibri" w:hAnsi="Calibri"/>
          <w:color w:val="231F1F"/>
          <w:w w:val="115"/>
        </w:rPr>
        <w:t>Pentamidine Isetionate: </w:t>
      </w:r>
      <w:r>
        <w:rPr>
          <w:color w:val="231F1F"/>
          <w:w w:val="115"/>
        </w:rPr>
        <w:t>increased risk of ventricular arrhythmias</w:t>
      </w:r>
      <w:r>
        <w:rPr>
          <w:color w:val="231F1F"/>
          <w:spacing w:val="-23"/>
          <w:w w:val="115"/>
        </w:rPr>
        <w:t> </w:t>
      </w:r>
      <w:r>
        <w:rPr>
          <w:color w:val="231F1F"/>
          <w:w w:val="115"/>
        </w:rPr>
        <w:t>when</w:t>
      </w:r>
      <w:r>
        <w:rPr>
          <w:color w:val="231F1F"/>
          <w:spacing w:val="-22"/>
          <w:w w:val="115"/>
        </w:rPr>
        <w:t> </w:t>
      </w:r>
      <w:r>
        <w:rPr>
          <w:color w:val="231F1F"/>
          <w:w w:val="115"/>
        </w:rPr>
        <w:t>amiodarone</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PENTAMIDINE </w:t>
      </w:r>
      <w:r>
        <w:rPr>
          <w:rFonts w:ascii="Calibri" w:hAnsi="Calibri"/>
          <w:color w:val="008356"/>
          <w:spacing w:val="2"/>
          <w:w w:val="115"/>
          <w:sz w:val="11"/>
        </w:rPr>
        <w:t>ISETIONATE</w:t>
      </w:r>
      <w:r>
        <w:rPr>
          <w:rFonts w:ascii="Arial" w:hAnsi="Arial"/>
          <w:color w:val="231F1F"/>
          <w:spacing w:val="2"/>
          <w:w w:val="115"/>
        </w:rPr>
        <w:t>—</w:t>
      </w:r>
      <w:r>
        <w:rPr>
          <w:color w:val="231F1F"/>
          <w:spacing w:val="2"/>
          <w:w w:val="115"/>
        </w:rPr>
        <w:t>avoid </w:t>
      </w:r>
      <w:r>
        <w:rPr>
          <w:color w:val="231F1F"/>
          <w:w w:val="115"/>
        </w:rPr>
        <w:t>concomitant</w:t>
      </w:r>
      <w:r>
        <w:rPr>
          <w:color w:val="231F1F"/>
          <w:spacing w:val="-16"/>
          <w:w w:val="115"/>
        </w:rPr>
        <w:t> </w:t>
      </w:r>
      <w:r>
        <w:rPr>
          <w:color w:val="231F1F"/>
          <w:w w:val="115"/>
        </w:rPr>
        <w:t>use</w:t>
      </w:r>
    </w:p>
    <w:p>
      <w:pPr>
        <w:pStyle w:val="BodyText"/>
        <w:spacing w:line="230" w:lineRule="auto" w:before="2"/>
        <w:ind w:left="286" w:right="251" w:hanging="100"/>
      </w:pPr>
      <w:r>
        <w:rPr>
          <w:rFonts w:ascii="Lucida Sans Unicode" w:hAnsi="Lucida Sans Unicode"/>
          <w:color w:val="A7A8AC"/>
          <w:w w:val="95"/>
          <w:sz w:val="10"/>
        </w:rPr>
        <w:t>▶ </w:t>
      </w:r>
      <w:r>
        <w:rPr>
          <w:rFonts w:ascii="Calibri" w:hAnsi="Calibri"/>
          <w:color w:val="231F1F"/>
          <w:w w:val="105"/>
        </w:rPr>
        <w:t>Thyroid Hormones: </w:t>
      </w:r>
      <w:r>
        <w:rPr>
          <w:color w:val="231F1F"/>
          <w:w w:val="105"/>
        </w:rPr>
        <w:t>amiodarone can affect serum concentrations of </w:t>
      </w:r>
      <w:r>
        <w:rPr>
          <w:rFonts w:ascii="Calibri" w:hAnsi="Calibri"/>
          <w:color w:val="008356"/>
          <w:w w:val="105"/>
          <w:sz w:val="11"/>
        </w:rPr>
        <w:t>THYROID HORMONES</w:t>
      </w:r>
      <w:r>
        <w:rPr>
          <w:rFonts w:ascii="Arial" w:hAnsi="Arial"/>
          <w:color w:val="231F1F"/>
          <w:w w:val="105"/>
        </w:rPr>
        <w:t>—</w:t>
      </w:r>
      <w:r>
        <w:rPr>
          <w:color w:val="231F1F"/>
          <w:w w:val="105"/>
        </w:rPr>
        <w:t>monitor thyroid function closely</w:t>
      </w:r>
    </w:p>
    <w:p>
      <w:pPr>
        <w:pStyle w:val="BodyText"/>
        <w:spacing w:line="220" w:lineRule="auto" w:before="12"/>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amiodarone increased by </w:t>
      </w:r>
      <w:r>
        <w:rPr>
          <w:rFonts w:ascii="Calibri" w:hAnsi="Calibri"/>
          <w:color w:val="008356"/>
          <w:w w:val="105"/>
          <w:sz w:val="11"/>
        </w:rPr>
        <w:t>CIMETIDINE</w:t>
      </w:r>
    </w:p>
    <w:p>
      <w:pPr>
        <w:pStyle w:val="BodyText"/>
        <w:spacing w:line="256" w:lineRule="auto" w:before="9"/>
        <w:ind w:left="186" w:right="1044"/>
      </w:pPr>
      <w:r>
        <w:rPr>
          <w:rFonts w:ascii="Trebuchet MS"/>
          <w:color w:val="008356"/>
          <w:w w:val="105"/>
        </w:rPr>
        <w:t>Amisulpride </w:t>
      </w:r>
      <w:r>
        <w:rPr>
          <w:i/>
          <w:color w:val="231F1F"/>
          <w:w w:val="105"/>
        </w:rPr>
        <w:t>see </w:t>
      </w:r>
      <w:r>
        <w:rPr>
          <w:color w:val="231F1F"/>
          <w:w w:val="105"/>
        </w:rPr>
        <w:t>Antipsychotics </w:t>
      </w:r>
      <w:r>
        <w:rPr>
          <w:rFonts w:ascii="Trebuchet MS"/>
          <w:color w:val="008356"/>
          <w:w w:val="105"/>
        </w:rPr>
        <w:t>Amitriptyline </w:t>
      </w:r>
      <w:r>
        <w:rPr>
          <w:i/>
          <w:color w:val="231F1F"/>
          <w:w w:val="105"/>
        </w:rPr>
        <w:t>see </w:t>
      </w:r>
      <w:r>
        <w:rPr>
          <w:color w:val="231F1F"/>
          <w:w w:val="105"/>
        </w:rPr>
        <w:t>Antidepressants, Tricyclic </w:t>
      </w:r>
      <w:r>
        <w:rPr>
          <w:rFonts w:ascii="Trebuchet MS"/>
          <w:color w:val="008356"/>
          <w:w w:val="105"/>
        </w:rPr>
        <w:t>Amlodipine </w:t>
      </w:r>
      <w:r>
        <w:rPr>
          <w:i/>
          <w:color w:val="231F1F"/>
          <w:w w:val="105"/>
        </w:rPr>
        <w:t>see </w:t>
      </w:r>
      <w:r>
        <w:rPr>
          <w:color w:val="231F1F"/>
          <w:w w:val="105"/>
        </w:rPr>
        <w:t>Calcium-channel Blockers </w:t>
      </w:r>
      <w:r>
        <w:rPr>
          <w:rFonts w:ascii="Trebuchet MS"/>
          <w:color w:val="008356"/>
          <w:w w:val="105"/>
        </w:rPr>
        <w:t>Amoxicillin </w:t>
      </w:r>
      <w:r>
        <w:rPr>
          <w:i/>
          <w:color w:val="231F1F"/>
          <w:w w:val="105"/>
        </w:rPr>
        <w:t>see </w:t>
      </w:r>
      <w:r>
        <w:rPr>
          <w:color w:val="231F1F"/>
          <w:w w:val="105"/>
        </w:rPr>
        <w:t>Penicillins</w:t>
      </w:r>
    </w:p>
    <w:p>
      <w:pPr>
        <w:pStyle w:val="BodyText"/>
        <w:spacing w:before="2"/>
        <w:ind w:left="186"/>
        <w:rPr>
          <w:rFonts w:ascii="Trebuchet MS"/>
        </w:rPr>
      </w:pPr>
      <w:r>
        <w:rPr>
          <w:rFonts w:ascii="Trebuchet MS"/>
          <w:color w:val="008356"/>
        </w:rPr>
        <w:t>Amphotericin</w:t>
      </w:r>
    </w:p>
    <w:p>
      <w:pPr>
        <w:pStyle w:val="BodyText"/>
        <w:spacing w:before="4"/>
        <w:ind w:left="286" w:right="541" w:hanging="1"/>
      </w:pPr>
      <w:r>
        <w:rPr>
          <w:rFonts w:ascii="Calibri"/>
          <w:color w:val="008356"/>
          <w:w w:val="115"/>
          <w:sz w:val="11"/>
        </w:rPr>
        <w:t>NOTE </w:t>
      </w:r>
      <w:r>
        <w:rPr>
          <w:color w:val="231F1F"/>
          <w:w w:val="115"/>
        </w:rPr>
        <w:t>Close monitoring required with concomitant administration of nephrotoxic drugs or cytotoxics</w:t>
      </w:r>
    </w:p>
    <w:p>
      <w:pPr>
        <w:pStyle w:val="BodyText"/>
        <w:spacing w:line="237" w:lineRule="auto" w:before="3"/>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increased risk of nephrotoxicity when amphotericin given with </w:t>
      </w:r>
      <w:r>
        <w:rPr>
          <w:rFonts w:ascii="Calibri" w:hAnsi="Calibri"/>
          <w:color w:val="008356"/>
          <w:w w:val="110"/>
          <w:sz w:val="11"/>
        </w:rPr>
        <w:t>AMINOGLYCOSIDES </w:t>
      </w:r>
      <w:r>
        <w:rPr>
          <w:color w:val="231F1F"/>
          <w:w w:val="110"/>
        </w:rPr>
        <w:t>or </w:t>
      </w:r>
      <w:r>
        <w:rPr>
          <w:rFonts w:ascii="Calibri" w:hAnsi="Calibri"/>
          <w:color w:val="008356"/>
          <w:w w:val="110"/>
          <w:sz w:val="11"/>
        </w:rPr>
        <w:t>POLYMYXINS</w:t>
      </w:r>
      <w:r>
        <w:rPr>
          <w:color w:val="231F1F"/>
          <w:w w:val="110"/>
        </w:rPr>
        <w:t>; possible increased risk of nephrotoxicity when amphotericin given with </w:t>
      </w:r>
      <w:r>
        <w:rPr>
          <w:rFonts w:ascii="Calibri" w:hAnsi="Calibri"/>
          <w:color w:val="008356"/>
          <w:w w:val="110"/>
          <w:sz w:val="11"/>
        </w:rPr>
        <w:t>VANCOMYCIN</w:t>
      </w:r>
    </w:p>
    <w:p>
      <w:pPr>
        <w:pStyle w:val="BodyText"/>
        <w:spacing w:line="237" w:lineRule="auto"/>
        <w:ind w:left="286" w:right="25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amphotericin reduces renal excretion and increases cellular uptake of </w:t>
      </w:r>
      <w:r>
        <w:rPr>
          <w:rFonts w:ascii="Calibri" w:hAnsi="Calibri"/>
          <w:color w:val="008356"/>
          <w:spacing w:val="4"/>
          <w:w w:val="105"/>
          <w:sz w:val="11"/>
        </w:rPr>
        <w:t>FLUCYTOSINE </w:t>
      </w:r>
      <w:r>
        <w:rPr>
          <w:color w:val="231F1F"/>
          <w:w w:val="105"/>
        </w:rPr>
        <w:t>(toxicity possibly increased); effects of amphotericin possibly antagonised </w:t>
      </w:r>
      <w:r>
        <w:rPr>
          <w:color w:val="231F1F"/>
          <w:spacing w:val="-8"/>
          <w:w w:val="105"/>
        </w:rPr>
        <w:t>by </w:t>
      </w:r>
      <w:r>
        <w:rPr>
          <w:rFonts w:ascii="Calibri" w:hAnsi="Calibri"/>
          <w:color w:val="008356"/>
          <w:spacing w:val="4"/>
          <w:w w:val="105"/>
          <w:sz w:val="11"/>
        </w:rPr>
        <w:t>IMIDAZOLES </w:t>
      </w:r>
      <w:r>
        <w:rPr>
          <w:color w:val="231F1F"/>
          <w:w w:val="105"/>
        </w:rPr>
        <w:t>and </w:t>
      </w:r>
      <w:r>
        <w:rPr>
          <w:rFonts w:ascii="Calibri" w:hAnsi="Calibri"/>
          <w:color w:val="008356"/>
          <w:spacing w:val="4"/>
          <w:w w:val="105"/>
          <w:sz w:val="11"/>
        </w:rPr>
        <w:t>TRIAZOLES</w:t>
      </w:r>
      <w:r>
        <w:rPr>
          <w:color w:val="231F1F"/>
          <w:spacing w:val="4"/>
          <w:w w:val="105"/>
        </w:rPr>
        <w:t>; </w:t>
      </w:r>
      <w:r>
        <w:rPr>
          <w:color w:val="231F1F"/>
          <w:w w:val="105"/>
        </w:rPr>
        <w:t>plasma concentration of amphotericin possibly increased by</w:t>
      </w:r>
      <w:r>
        <w:rPr>
          <w:color w:val="231F1F"/>
          <w:spacing w:val="8"/>
          <w:w w:val="105"/>
        </w:rPr>
        <w:t> </w:t>
      </w:r>
      <w:r>
        <w:rPr>
          <w:rFonts w:ascii="Calibri" w:hAnsi="Calibri"/>
          <w:color w:val="008356"/>
          <w:spacing w:val="5"/>
          <w:w w:val="105"/>
          <w:sz w:val="11"/>
        </w:rPr>
        <w:t>MICAFUNGIN</w:t>
      </w:r>
    </w:p>
    <w:p>
      <w:pPr>
        <w:pStyle w:val="BodyText"/>
        <w:ind w:left="286"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hypokalaemia caused by amphotericin increases cardiac toxicity with </w:t>
      </w:r>
      <w:r>
        <w:rPr>
          <w:rFonts w:ascii="Arial"/>
          <w:color w:val="231F1F"/>
          <w:w w:val="355"/>
          <w:position w:val="1"/>
          <w:sz w:val="7"/>
        </w:rPr>
        <w:t>l </w:t>
      </w:r>
      <w:r>
        <w:rPr>
          <w:rFonts w:ascii="Calibri"/>
          <w:color w:val="008356"/>
          <w:w w:val="110"/>
          <w:sz w:val="11"/>
        </w:rPr>
        <w:t>CARDIAC GLYCOSIDES</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Amphotericin </w:t>
      </w:r>
      <w:r>
        <w:rPr>
          <w:rFonts w:ascii="Calibri"/>
          <w:color w:val="231F1F"/>
        </w:rPr>
        <w:t>(continued)</w:t>
      </w:r>
    </w:p>
    <w:p>
      <w:pPr>
        <w:pStyle w:val="BodyText"/>
        <w:ind w:left="286" w:right="1267"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nephrotoxicity </w:t>
      </w:r>
      <w:r>
        <w:rPr>
          <w:color w:val="231F1F"/>
          <w:spacing w:val="-4"/>
          <w:w w:val="110"/>
        </w:rPr>
        <w:t>when </w:t>
      </w:r>
      <w:r>
        <w:rPr>
          <w:color w:val="231F1F"/>
          <w:w w:val="110"/>
        </w:rPr>
        <w:t>amphotericin given with </w:t>
      </w:r>
      <w:r>
        <w:rPr>
          <w:rFonts w:ascii="Arial"/>
          <w:color w:val="231F1F"/>
          <w:w w:val="355"/>
          <w:position w:val="1"/>
          <w:sz w:val="7"/>
        </w:rPr>
        <w:t>l </w:t>
      </w:r>
      <w:r>
        <w:rPr>
          <w:rFonts w:ascii="Calibri"/>
          <w:color w:val="008356"/>
          <w:spacing w:val="4"/>
          <w:w w:val="110"/>
          <w:sz w:val="11"/>
        </w:rPr>
        <w:t>CICLOSPORIN</w:t>
      </w:r>
    </w:p>
    <w:p>
      <w:pPr>
        <w:pStyle w:val="BodyText"/>
        <w:spacing w:line="244" w:lineRule="auto"/>
        <w:ind w:left="286" w:right="670" w:hanging="100"/>
      </w:pPr>
      <w:r>
        <w:rPr>
          <w:rFonts w:ascii="Arial" w:hAnsi="Arial"/>
          <w:color w:val="231F1F"/>
          <w:w w:val="355"/>
          <w:position w:val="1"/>
          <w:sz w:val="7"/>
        </w:rPr>
        <w:t>l </w:t>
      </w:r>
      <w:r>
        <w:rPr>
          <w:rFonts w:ascii="Calibri" w:hAnsi="Calibri"/>
          <w:color w:val="231F1F"/>
          <w:w w:val="110"/>
        </w:rPr>
        <w:t>Corticosteroids: </w:t>
      </w:r>
      <w:r>
        <w:rPr>
          <w:color w:val="231F1F"/>
          <w:w w:val="110"/>
        </w:rPr>
        <w:t>increased risk of hypokalaemia when amphotericin given with </w:t>
      </w:r>
      <w:r>
        <w:rPr>
          <w:rFonts w:ascii="Arial" w:hAnsi="Arial"/>
          <w:color w:val="231F1F"/>
          <w:w w:val="355"/>
          <w:position w:val="1"/>
          <w:sz w:val="7"/>
        </w:rPr>
        <w:t>l </w:t>
      </w:r>
      <w:r>
        <w:rPr>
          <w:rFonts w:ascii="Calibri" w:hAnsi="Calibri"/>
          <w:color w:val="008356"/>
          <w:w w:val="110"/>
          <w:sz w:val="11"/>
        </w:rPr>
        <w:t>CORTICOSTEROIDS</w:t>
      </w:r>
      <w:r>
        <w:rPr>
          <w:rFonts w:ascii="Arial" w:hAnsi="Arial"/>
          <w:color w:val="231F1F"/>
          <w:w w:val="110"/>
        </w:rPr>
        <w:t>—</w:t>
      </w:r>
      <w:r>
        <w:rPr>
          <w:color w:val="231F1F"/>
          <w:w w:val="110"/>
        </w:rPr>
        <w:t>avoid concomitant use unless corticosteroids needed to control reactions</w:t>
      </w:r>
    </w:p>
    <w:p>
      <w:pPr>
        <w:pStyle w:val="BodyText"/>
        <w:spacing w:line="237" w:lineRule="auto"/>
        <w:ind w:left="286" w:right="670"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increased risk of ventricular arrhythmias </w:t>
      </w:r>
      <w:r>
        <w:rPr>
          <w:color w:val="231F1F"/>
          <w:spacing w:val="-4"/>
          <w:w w:val="110"/>
        </w:rPr>
        <w:t>when </w:t>
      </w:r>
      <w:r>
        <w:rPr>
          <w:color w:val="231F1F"/>
          <w:w w:val="110"/>
        </w:rPr>
        <w:t>amphotericin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ARSENIC TRIOXIDE</w:t>
      </w:r>
    </w:p>
    <w:p>
      <w:pPr>
        <w:spacing w:line="220" w:lineRule="auto" w:before="0"/>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hypokalaemia when amphotericin given with </w:t>
      </w:r>
      <w:r>
        <w:rPr>
          <w:rFonts w:ascii="Calibri" w:hAnsi="Calibri"/>
          <w:color w:val="008356"/>
          <w:w w:val="105"/>
          <w:sz w:val="11"/>
        </w:rPr>
        <w:t>LOOP DIURETICS </w:t>
      </w:r>
      <w:r>
        <w:rPr>
          <w:color w:val="231F1F"/>
          <w:w w:val="105"/>
          <w:sz w:val="12"/>
        </w:rPr>
        <w:t>or </w:t>
      </w:r>
      <w:r>
        <w:rPr>
          <w:rFonts w:ascii="Calibri" w:hAnsi="Calibri"/>
          <w:color w:val="008356"/>
          <w:w w:val="105"/>
          <w:sz w:val="11"/>
        </w:rPr>
        <w:t>THIAZIDES AND RELATED DIURETICS</w:t>
      </w:r>
    </w:p>
    <w:p>
      <w:pPr>
        <w:spacing w:line="237" w:lineRule="auto" w:before="0"/>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Pentamidine Isetionate: </w:t>
      </w:r>
      <w:r>
        <w:rPr>
          <w:color w:val="231F1F"/>
          <w:w w:val="105"/>
          <w:sz w:val="12"/>
        </w:rPr>
        <w:t>possible increased risk of nephrotoxicity when amphotericin given with </w:t>
      </w:r>
      <w:r>
        <w:rPr>
          <w:rFonts w:ascii="Calibri" w:hAnsi="Calibri"/>
          <w:color w:val="008356"/>
          <w:spacing w:val="3"/>
          <w:w w:val="105"/>
          <w:sz w:val="11"/>
        </w:rPr>
        <w:t>PENTAMIDINE </w:t>
      </w:r>
      <w:r>
        <w:rPr>
          <w:rFonts w:ascii="Calibri" w:hAnsi="Calibri"/>
          <w:color w:val="008356"/>
          <w:spacing w:val="4"/>
          <w:w w:val="105"/>
          <w:sz w:val="11"/>
        </w:rPr>
        <w:t>ISETIONATE</w:t>
      </w:r>
    </w:p>
    <w:p>
      <w:pPr>
        <w:pStyle w:val="BodyText"/>
        <w:spacing w:line="244" w:lineRule="auto"/>
        <w:ind w:left="286" w:right="701" w:hanging="100"/>
      </w:pPr>
      <w:r>
        <w:rPr>
          <w:rFonts w:ascii="Arial" w:hAnsi="Arial"/>
          <w:color w:val="231F1F"/>
          <w:w w:val="355"/>
          <w:position w:val="1"/>
          <w:sz w:val="7"/>
        </w:rPr>
        <w:t>l </w:t>
      </w:r>
      <w:r>
        <w:rPr>
          <w:rFonts w:ascii="Calibri" w:hAnsi="Calibri"/>
          <w:color w:val="231F1F"/>
          <w:w w:val="105"/>
        </w:rPr>
        <w:t>Sodium Stibogluconate: </w:t>
      </w:r>
      <w:r>
        <w:rPr>
          <w:color w:val="231F1F"/>
          <w:w w:val="105"/>
        </w:rPr>
        <w:t>possible increased risk of arrhythmias when amphotericin given after </w:t>
      </w:r>
      <w:r>
        <w:rPr>
          <w:rFonts w:ascii="Arial" w:hAnsi="Arial"/>
          <w:color w:val="231F1F"/>
          <w:w w:val="355"/>
          <w:position w:val="1"/>
          <w:sz w:val="7"/>
        </w:rPr>
        <w:t>l </w:t>
      </w:r>
      <w:r>
        <w:rPr>
          <w:rFonts w:ascii="Calibri" w:hAnsi="Calibri"/>
          <w:color w:val="008356"/>
          <w:spacing w:val="4"/>
          <w:w w:val="105"/>
          <w:sz w:val="11"/>
        </w:rPr>
        <w:t>SODIUM STIBOGLUCONATE</w:t>
      </w:r>
      <w:r>
        <w:rPr>
          <w:rFonts w:ascii="Arial" w:hAnsi="Arial"/>
          <w:color w:val="231F1F"/>
          <w:spacing w:val="4"/>
          <w:w w:val="105"/>
        </w:rPr>
        <w:t>— </w:t>
      </w:r>
      <w:r>
        <w:rPr>
          <w:color w:val="231F1F"/>
          <w:w w:val="105"/>
        </w:rPr>
        <w:t>manufacturer of sodium  stibogluconate  advises  giving  14 days</w:t>
      </w:r>
      <w:r>
        <w:rPr>
          <w:color w:val="231F1F"/>
          <w:spacing w:val="1"/>
          <w:w w:val="105"/>
        </w:rPr>
        <w:t> </w:t>
      </w:r>
      <w:r>
        <w:rPr>
          <w:color w:val="231F1F"/>
          <w:w w:val="105"/>
        </w:rPr>
        <w:t>apart</w:t>
      </w:r>
    </w:p>
    <w:p>
      <w:pPr>
        <w:pStyle w:val="BodyText"/>
        <w:ind w:left="286" w:right="1284"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Tacrolimus:</w:t>
      </w:r>
      <w:r>
        <w:rPr>
          <w:rFonts w:ascii="Calibri"/>
          <w:color w:val="231F1F"/>
          <w:spacing w:val="-14"/>
          <w:w w:val="115"/>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nephrotoxicity</w:t>
      </w:r>
      <w:r>
        <w:rPr>
          <w:color w:val="231F1F"/>
          <w:spacing w:val="-18"/>
          <w:w w:val="115"/>
        </w:rPr>
        <w:t> </w:t>
      </w:r>
      <w:r>
        <w:rPr>
          <w:color w:val="231F1F"/>
          <w:spacing w:val="-4"/>
          <w:w w:val="115"/>
        </w:rPr>
        <w:t>when </w:t>
      </w:r>
      <w:r>
        <w:rPr>
          <w:color w:val="231F1F"/>
          <w:w w:val="115"/>
        </w:rPr>
        <w:t>amphotericin</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15"/>
          <w:sz w:val="11"/>
        </w:rPr>
        <w:t>TACROLIMUS</w:t>
      </w:r>
    </w:p>
    <w:p>
      <w:pPr>
        <w:pStyle w:val="BodyText"/>
        <w:ind w:left="186"/>
      </w:pPr>
      <w:r>
        <w:rPr>
          <w:rFonts w:ascii="Trebuchet MS"/>
          <w:color w:val="008356"/>
          <w:w w:val="110"/>
        </w:rPr>
        <w:t>Ampicillin </w:t>
      </w:r>
      <w:r>
        <w:rPr>
          <w:i/>
          <w:color w:val="231F1F"/>
          <w:w w:val="110"/>
        </w:rPr>
        <w:t>see </w:t>
      </w:r>
      <w:r>
        <w:rPr>
          <w:color w:val="231F1F"/>
          <w:w w:val="110"/>
        </w:rPr>
        <w:t>Penicillins</w:t>
      </w:r>
    </w:p>
    <w:p>
      <w:pPr>
        <w:pStyle w:val="BodyText"/>
        <w:spacing w:line="139" w:lineRule="exact" w:before="11"/>
        <w:ind w:left="186"/>
        <w:rPr>
          <w:rFonts w:ascii="Trebuchet MS"/>
        </w:rPr>
      </w:pPr>
      <w:r>
        <w:rPr>
          <w:rFonts w:ascii="Trebuchet MS"/>
          <w:color w:val="008356"/>
        </w:rPr>
        <w:t>Anabolic Steroids</w:t>
      </w:r>
    </w:p>
    <w:p>
      <w:pPr>
        <w:spacing w:before="0"/>
        <w:ind w:left="286" w:right="597" w:hanging="100"/>
        <w:jc w:val="left"/>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sz w:val="12"/>
        </w:rPr>
        <w:t>Anticoagulants:</w:t>
      </w:r>
      <w:r>
        <w:rPr>
          <w:rFonts w:ascii="Calibri"/>
          <w:color w:val="231F1F"/>
          <w:spacing w:val="-12"/>
          <w:w w:val="115"/>
          <w:sz w:val="12"/>
        </w:rPr>
        <w:t> </w:t>
      </w:r>
      <w:r>
        <w:rPr>
          <w:color w:val="231F1F"/>
          <w:w w:val="115"/>
          <w:sz w:val="12"/>
        </w:rPr>
        <w:t>anabolic</w:t>
      </w:r>
      <w:r>
        <w:rPr>
          <w:color w:val="231F1F"/>
          <w:spacing w:val="-17"/>
          <w:w w:val="115"/>
          <w:sz w:val="12"/>
        </w:rPr>
        <w:t> </w:t>
      </w:r>
      <w:r>
        <w:rPr>
          <w:color w:val="231F1F"/>
          <w:w w:val="115"/>
          <w:sz w:val="12"/>
        </w:rPr>
        <w:t>steroids</w:t>
      </w:r>
      <w:r>
        <w:rPr>
          <w:color w:val="231F1F"/>
          <w:spacing w:val="-16"/>
          <w:w w:val="115"/>
          <w:sz w:val="12"/>
        </w:rPr>
        <w:t> </w:t>
      </w:r>
      <w:r>
        <w:rPr>
          <w:color w:val="231F1F"/>
          <w:w w:val="115"/>
          <w:sz w:val="12"/>
        </w:rPr>
        <w:t>enhance</w:t>
      </w:r>
      <w:r>
        <w:rPr>
          <w:color w:val="231F1F"/>
          <w:spacing w:val="-16"/>
          <w:w w:val="115"/>
          <w:sz w:val="12"/>
        </w:rPr>
        <w:t> </w:t>
      </w:r>
      <w:r>
        <w:rPr>
          <w:color w:val="231F1F"/>
          <w:w w:val="115"/>
          <w:sz w:val="12"/>
        </w:rPr>
        <w:t>anticoagulant</w:t>
      </w:r>
      <w:r>
        <w:rPr>
          <w:color w:val="231F1F"/>
          <w:spacing w:val="-16"/>
          <w:w w:val="115"/>
          <w:sz w:val="12"/>
        </w:rPr>
        <w:t> </w:t>
      </w:r>
      <w:r>
        <w:rPr>
          <w:color w:val="231F1F"/>
          <w:spacing w:val="-3"/>
          <w:w w:val="115"/>
          <w:sz w:val="12"/>
        </w:rPr>
        <w:t>effect </w:t>
      </w:r>
      <w:r>
        <w:rPr>
          <w:color w:val="231F1F"/>
          <w:w w:val="115"/>
          <w:sz w:val="12"/>
        </w:rPr>
        <w:t>of</w:t>
      </w:r>
      <w:r>
        <w:rPr>
          <w:color w:val="231F1F"/>
          <w:spacing w:val="-7"/>
          <w:w w:val="115"/>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5"/>
          <w:sz w:val="11"/>
        </w:rPr>
        <w:t>COUMARINS</w:t>
      </w:r>
      <w:r>
        <w:rPr>
          <w:rFonts w:ascii="Calibri"/>
          <w:color w:val="008356"/>
          <w:spacing w:val="3"/>
          <w:w w:val="115"/>
          <w:sz w:val="11"/>
        </w:rPr>
        <w:t> </w:t>
      </w:r>
      <w:r>
        <w:rPr>
          <w:color w:val="231F1F"/>
          <w:w w:val="115"/>
          <w:sz w:val="12"/>
        </w:rPr>
        <w:t>and</w:t>
      </w:r>
      <w:r>
        <w:rPr>
          <w:color w:val="231F1F"/>
          <w:spacing w:val="-7"/>
          <w:w w:val="115"/>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5"/>
          <w:sz w:val="11"/>
        </w:rPr>
        <w:t>PHENINDIONE</w:t>
      </w:r>
    </w:p>
    <w:p>
      <w:pPr>
        <w:pStyle w:val="BodyText"/>
        <w:spacing w:line="220" w:lineRule="auto" w:before="6"/>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anabolic steroids possibly enhance hypoglycaemic effect of </w:t>
      </w:r>
      <w:r>
        <w:rPr>
          <w:rFonts w:ascii="Calibri" w:hAnsi="Calibri"/>
          <w:color w:val="008356"/>
          <w:w w:val="105"/>
          <w:sz w:val="11"/>
        </w:rPr>
        <w:t>ANTIDIABETICS</w:t>
      </w:r>
    </w:p>
    <w:p>
      <w:pPr>
        <w:pStyle w:val="BodyText"/>
        <w:spacing w:before="9"/>
        <w:ind w:left="186"/>
        <w:rPr>
          <w:rFonts w:ascii="Trebuchet MS"/>
        </w:rPr>
      </w:pPr>
      <w:r>
        <w:rPr>
          <w:rFonts w:ascii="Trebuchet MS"/>
          <w:color w:val="008356"/>
        </w:rPr>
        <w:t>Anaesthetics, General</w:t>
      </w:r>
    </w:p>
    <w:p>
      <w:pPr>
        <w:pStyle w:val="BodyText"/>
        <w:spacing w:before="4"/>
        <w:ind w:left="286" w:right="670" w:hanging="1"/>
      </w:pPr>
      <w:r>
        <w:rPr>
          <w:rFonts w:ascii="Calibri"/>
          <w:color w:val="008356"/>
          <w:w w:val="110"/>
          <w:sz w:val="11"/>
        </w:rPr>
        <w:t>NOTE </w:t>
      </w:r>
      <w:r>
        <w:rPr>
          <w:i/>
          <w:color w:val="231F1F"/>
          <w:w w:val="110"/>
        </w:rPr>
        <w:t>See also </w:t>
      </w:r>
      <w:r>
        <w:rPr>
          <w:color w:val="231F1F"/>
          <w:w w:val="110"/>
        </w:rPr>
        <w:t>Surgery and Long-term Medication, under General Anaesthesia in BNF</w:t>
      </w:r>
    </w:p>
    <w:p>
      <w:pPr>
        <w:pStyle w:val="BodyText"/>
        <w:spacing w:line="220" w:lineRule="auto" w:before="10"/>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general anaesthetics given with </w:t>
      </w:r>
      <w:r>
        <w:rPr>
          <w:rFonts w:ascii="Calibri" w:hAnsi="Calibri"/>
          <w:color w:val="008356"/>
          <w:w w:val="105"/>
          <w:sz w:val="11"/>
        </w:rPr>
        <w:t>ACE INHIBITORS</w:t>
      </w:r>
    </w:p>
    <w:p>
      <w:pPr>
        <w:spacing w:line="247" w:lineRule="auto" w:before="0"/>
        <w:ind w:left="286" w:right="630" w:hanging="100"/>
        <w:jc w:val="left"/>
        <w:rPr>
          <w:rFonts w:ascii="Calibri"/>
          <w:sz w:val="11"/>
        </w:rPr>
      </w:pPr>
      <w:r>
        <w:rPr>
          <w:rFonts w:ascii="Arial"/>
          <w:color w:val="231F1F"/>
          <w:w w:val="355"/>
          <w:position w:val="1"/>
          <w:sz w:val="7"/>
        </w:rPr>
        <w:t>l </w:t>
      </w:r>
      <w:r>
        <w:rPr>
          <w:rFonts w:ascii="Calibri"/>
          <w:color w:val="231F1F"/>
          <w:w w:val="110"/>
          <w:sz w:val="12"/>
        </w:rPr>
        <w:t>Adrenergic Neurone Blockers: </w:t>
      </w:r>
      <w:r>
        <w:rPr>
          <w:color w:val="231F1F"/>
          <w:w w:val="110"/>
          <w:sz w:val="12"/>
        </w:rPr>
        <w:t>enhanced hypotensive effect when general anaesthetics given with </w:t>
      </w:r>
      <w:r>
        <w:rPr>
          <w:rFonts w:ascii="Arial"/>
          <w:color w:val="231F1F"/>
          <w:w w:val="355"/>
          <w:position w:val="1"/>
          <w:sz w:val="7"/>
        </w:rPr>
        <w:t>l </w:t>
      </w:r>
      <w:r>
        <w:rPr>
          <w:rFonts w:ascii="Calibri"/>
          <w:color w:val="008356"/>
          <w:w w:val="110"/>
          <w:sz w:val="11"/>
        </w:rPr>
        <w:t>ADRENERGIC NEURONE BLOCKERS</w:t>
      </w:r>
    </w:p>
    <w:p>
      <w:pPr>
        <w:pStyle w:val="BodyText"/>
        <w:spacing w:line="140" w:lineRule="exact"/>
        <w:ind w:left="186"/>
      </w:pPr>
      <w:r>
        <w:rPr>
          <w:rFonts w:ascii="Arial"/>
          <w:color w:val="231F1F"/>
          <w:w w:val="355"/>
          <w:position w:val="1"/>
          <w:sz w:val="7"/>
        </w:rPr>
        <w:t>l </w:t>
      </w:r>
      <w:r>
        <w:rPr>
          <w:rFonts w:ascii="Calibri"/>
          <w:color w:val="231F1F"/>
          <w:w w:val="115"/>
        </w:rPr>
        <w:t>Alpha-blockers: </w:t>
      </w:r>
      <w:r>
        <w:rPr>
          <w:color w:val="231F1F"/>
          <w:w w:val="115"/>
        </w:rPr>
        <w:t>enhanced hypotensive effect when general</w:t>
      </w:r>
    </w:p>
    <w:p>
      <w:pPr>
        <w:spacing w:line="140" w:lineRule="exact" w:before="0"/>
        <w:ind w:left="286" w:right="0" w:firstLine="0"/>
        <w:jc w:val="left"/>
        <w:rPr>
          <w:rFonts w:ascii="Calibri"/>
          <w:sz w:val="11"/>
        </w:rPr>
      </w:pPr>
      <w:r>
        <w:rPr>
          <w:color w:val="231F1F"/>
          <w:w w:val="110"/>
          <w:sz w:val="12"/>
        </w:rPr>
        <w:t>anaesthetics given with </w:t>
      </w:r>
      <w:r>
        <w:rPr>
          <w:rFonts w:ascii="Arial"/>
          <w:color w:val="231F1F"/>
          <w:w w:val="355"/>
          <w:position w:val="1"/>
          <w:sz w:val="7"/>
        </w:rPr>
        <w:t>l </w:t>
      </w:r>
      <w:r>
        <w:rPr>
          <w:rFonts w:ascii="Calibri"/>
          <w:color w:val="008356"/>
          <w:spacing w:val="4"/>
          <w:w w:val="110"/>
          <w:sz w:val="11"/>
        </w:rPr>
        <w:t>ALPHA-BLOCKERS</w:t>
      </w:r>
    </w:p>
    <w:p>
      <w:pPr>
        <w:pStyle w:val="BodyText"/>
        <w:spacing w:line="220" w:lineRule="auto" w:before="7"/>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increased risk of convulsions when ketamine given with </w:t>
      </w:r>
      <w:r>
        <w:rPr>
          <w:rFonts w:ascii="Calibri" w:hAnsi="Calibri"/>
          <w:color w:val="008356"/>
          <w:w w:val="105"/>
          <w:sz w:val="11"/>
        </w:rPr>
        <w:t>AMINOPHYLLINE</w:t>
      </w:r>
    </w:p>
    <w:p>
      <w:pPr>
        <w:pStyle w:val="BodyText"/>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metabolism of etomidate inhibited by </w:t>
      </w:r>
      <w:r>
        <w:rPr>
          <w:rFonts w:ascii="Calibri" w:hAnsi="Calibri"/>
          <w:color w:val="008356"/>
          <w:w w:val="110"/>
          <w:sz w:val="11"/>
        </w:rPr>
        <w:t>FENTANYL </w:t>
      </w:r>
      <w:r>
        <w:rPr>
          <w:color w:val="231F1F"/>
          <w:w w:val="110"/>
        </w:rPr>
        <w:t>(consider reducing dose of etomidate); effects of thiopental possibly enhanced by </w:t>
      </w:r>
      <w:r>
        <w:rPr>
          <w:rFonts w:ascii="Calibri" w:hAnsi="Calibri"/>
          <w:color w:val="008356"/>
          <w:w w:val="110"/>
          <w:sz w:val="11"/>
        </w:rPr>
        <w:t>ASPIRIN</w:t>
      </w:r>
      <w:r>
        <w:rPr>
          <w:color w:val="231F1F"/>
          <w:w w:val="110"/>
        </w:rPr>
        <w:t>; effects of intravenous general anaesthetics and volatile liquid general anaesthetics possibly enhanced by </w:t>
      </w:r>
      <w:r>
        <w:rPr>
          <w:rFonts w:ascii="Calibri" w:hAnsi="Calibri"/>
          <w:color w:val="008356"/>
          <w:w w:val="110"/>
          <w:sz w:val="11"/>
        </w:rPr>
        <w:t>OPIOID ANALGESICS</w:t>
      </w:r>
    </w:p>
    <w:p>
      <w:pPr>
        <w:spacing w:line="237" w:lineRule="auto" w:before="0"/>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general anaesthetics given with </w:t>
      </w:r>
      <w:r>
        <w:rPr>
          <w:rFonts w:ascii="Calibri" w:hAnsi="Calibri"/>
          <w:color w:val="008356"/>
          <w:w w:val="105"/>
          <w:sz w:val="11"/>
        </w:rPr>
        <w:t>ANGIOTENSIN-II RECEPTOR ANTAGONISTS</w:t>
      </w:r>
    </w:p>
    <w:p>
      <w:pPr>
        <w:pStyle w:val="BodyText"/>
        <w:spacing w:line="242" w:lineRule="auto"/>
        <w:ind w:left="286" w:right="699"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increased risk of hepatotoxicity when isoflurane given with </w:t>
      </w:r>
      <w:r>
        <w:rPr>
          <w:rFonts w:ascii="Calibri" w:hAnsi="Calibri"/>
          <w:color w:val="008356"/>
          <w:w w:val="110"/>
          <w:sz w:val="11"/>
        </w:rPr>
        <w:t>ISONIAZID</w:t>
      </w:r>
      <w:r>
        <w:rPr>
          <w:color w:val="231F1F"/>
          <w:w w:val="110"/>
        </w:rPr>
        <w:t>; effects of thiopental enhanced by </w:t>
      </w:r>
      <w:r>
        <w:rPr>
          <w:rFonts w:ascii="Calibri" w:hAnsi="Calibri"/>
          <w:color w:val="008356"/>
          <w:w w:val="110"/>
          <w:sz w:val="11"/>
        </w:rPr>
        <w:t>SULFONAMIDES</w:t>
      </w:r>
      <w:r>
        <w:rPr>
          <w:color w:val="231F1F"/>
          <w:w w:val="110"/>
        </w:rPr>
        <w:t>; hypersensitivity-like reactions can occur when general anaesthetics given with </w:t>
      </w:r>
      <w:r>
        <w:rPr>
          <w:i/>
          <w:color w:val="231F1F"/>
          <w:w w:val="110"/>
        </w:rPr>
        <w:t>intravenous </w:t>
      </w:r>
      <w:r>
        <w:rPr>
          <w:rFonts w:ascii="Calibri" w:hAnsi="Calibri"/>
          <w:color w:val="008356"/>
          <w:w w:val="110"/>
          <w:sz w:val="11"/>
        </w:rPr>
        <w:t>VANCOMYCIN</w:t>
      </w:r>
    </w:p>
    <w:p>
      <w:pPr>
        <w:pStyle w:val="BodyText"/>
        <w:spacing w:line="220" w:lineRule="auto"/>
        <w:ind w:left="286" w:right="60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Antidepressants: </w:t>
      </w:r>
      <w:r>
        <w:rPr>
          <w:color w:val="231F1F"/>
          <w:w w:val="110"/>
        </w:rPr>
        <w:t>increased risk of arrhythmias and hypotension</w:t>
      </w:r>
      <w:r>
        <w:rPr>
          <w:color w:val="231F1F"/>
          <w:spacing w:val="9"/>
          <w:w w:val="110"/>
        </w:rPr>
        <w:t> </w:t>
      </w:r>
      <w:r>
        <w:rPr>
          <w:color w:val="231F1F"/>
          <w:w w:val="110"/>
        </w:rPr>
        <w:t>when</w:t>
      </w:r>
      <w:r>
        <w:rPr>
          <w:color w:val="231F1F"/>
          <w:spacing w:val="10"/>
          <w:w w:val="110"/>
        </w:rPr>
        <w:t> </w:t>
      </w:r>
      <w:r>
        <w:rPr>
          <w:color w:val="231F1F"/>
          <w:w w:val="110"/>
        </w:rPr>
        <w:t>general</w:t>
      </w:r>
      <w:r>
        <w:rPr>
          <w:color w:val="231F1F"/>
          <w:spacing w:val="11"/>
          <w:w w:val="110"/>
        </w:rPr>
        <w:t> </w:t>
      </w:r>
      <w:r>
        <w:rPr>
          <w:color w:val="231F1F"/>
          <w:w w:val="110"/>
        </w:rPr>
        <w:t>anaesthetics</w:t>
      </w:r>
      <w:r>
        <w:rPr>
          <w:color w:val="231F1F"/>
          <w:spacing w:val="9"/>
          <w:w w:val="110"/>
        </w:rPr>
        <w:t> </w:t>
      </w:r>
      <w:r>
        <w:rPr>
          <w:color w:val="231F1F"/>
          <w:w w:val="110"/>
        </w:rPr>
        <w:t>given</w:t>
      </w:r>
      <w:r>
        <w:rPr>
          <w:color w:val="231F1F"/>
          <w:spacing w:val="10"/>
          <w:w w:val="110"/>
        </w:rPr>
        <w:t> </w:t>
      </w:r>
      <w:r>
        <w:rPr>
          <w:color w:val="231F1F"/>
          <w:w w:val="110"/>
        </w:rPr>
        <w:t>with</w:t>
      </w:r>
      <w:r>
        <w:rPr>
          <w:color w:val="231F1F"/>
          <w:spacing w:val="11"/>
          <w:w w:val="110"/>
        </w:rPr>
        <w:t> </w:t>
      </w:r>
      <w:r>
        <w:rPr>
          <w:rFonts w:ascii="Calibri" w:hAnsi="Calibri"/>
          <w:color w:val="008356"/>
          <w:spacing w:val="4"/>
          <w:w w:val="110"/>
          <w:sz w:val="11"/>
        </w:rPr>
        <w:t>TRICYCLICS</w:t>
      </w:r>
    </w:p>
    <w:p>
      <w:pPr>
        <w:pStyle w:val="BodyText"/>
        <w:ind w:left="286" w:right="818"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enhanced hypotensive effect when general anaesthetics given with </w:t>
      </w:r>
      <w:r>
        <w:rPr>
          <w:rFonts w:ascii="Arial"/>
          <w:color w:val="231F1F"/>
          <w:w w:val="355"/>
          <w:position w:val="1"/>
          <w:sz w:val="7"/>
        </w:rPr>
        <w:t>l </w:t>
      </w:r>
      <w:r>
        <w:rPr>
          <w:rFonts w:ascii="Calibri"/>
          <w:color w:val="008356"/>
          <w:w w:val="110"/>
          <w:sz w:val="11"/>
        </w:rPr>
        <w:t>ANTIPSYCHOTICS</w:t>
      </w:r>
      <w:r>
        <w:rPr>
          <w:color w:val="231F1F"/>
          <w:w w:val="110"/>
        </w:rPr>
        <w:t>; effects of thiopental enhanced by </w:t>
      </w:r>
      <w:r>
        <w:rPr>
          <w:rFonts w:ascii="Calibri"/>
          <w:color w:val="008356"/>
          <w:w w:val="110"/>
          <w:sz w:val="11"/>
        </w:rPr>
        <w:t>DROPERIDOL</w:t>
      </w:r>
    </w:p>
    <w:p>
      <w:pPr>
        <w:spacing w:line="220" w:lineRule="auto" w:before="7"/>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general anaesthetics given with </w:t>
      </w:r>
      <w:r>
        <w:rPr>
          <w:rFonts w:ascii="Calibri" w:hAnsi="Calibri"/>
          <w:color w:val="008356"/>
          <w:w w:val="105"/>
          <w:sz w:val="11"/>
        </w:rPr>
        <w:t>ANXIOLYTICS AND HYPNOTICS</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general anaesthetics given with </w:t>
      </w:r>
      <w:r>
        <w:rPr>
          <w:rFonts w:ascii="Calibri" w:hAnsi="Calibri"/>
          <w:color w:val="008356"/>
          <w:w w:val="110"/>
          <w:sz w:val="11"/>
        </w:rPr>
        <w:t>BETA-BLOCKERS</w:t>
      </w:r>
    </w:p>
    <w:p>
      <w:pPr>
        <w:pStyle w:val="BodyText"/>
        <w:spacing w:line="242" w:lineRule="auto"/>
        <w:ind w:left="286" w:right="670" w:hanging="100"/>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Calcium-channel Blockers: </w:t>
      </w:r>
      <w:r>
        <w:rPr>
          <w:color w:val="231F1F"/>
          <w:w w:val="110"/>
        </w:rPr>
        <w:t>enhanced hypotensive effect </w:t>
      </w:r>
      <w:r>
        <w:rPr>
          <w:color w:val="231F1F"/>
          <w:spacing w:val="-4"/>
          <w:w w:val="110"/>
        </w:rPr>
        <w:t>when </w:t>
      </w:r>
      <w:r>
        <w:rPr>
          <w:color w:val="231F1F"/>
          <w:w w:val="110"/>
        </w:rPr>
        <w:t>general anaesthetics or isoflurane given with </w:t>
      </w:r>
      <w:r>
        <w:rPr>
          <w:rFonts w:ascii="Calibri"/>
          <w:color w:val="008356"/>
          <w:spacing w:val="4"/>
          <w:w w:val="110"/>
          <w:sz w:val="11"/>
        </w:rPr>
        <w:t>CALCIUM- CHANNEL BLOCKERS</w:t>
      </w:r>
      <w:r>
        <w:rPr>
          <w:color w:val="231F1F"/>
          <w:spacing w:val="4"/>
          <w:w w:val="110"/>
        </w:rPr>
        <w:t>; </w:t>
      </w:r>
      <w:r>
        <w:rPr>
          <w:color w:val="231F1F"/>
          <w:w w:val="110"/>
        </w:rPr>
        <w:t>general anaesthetics enhance hypotensive effect of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VERAPAMIL </w:t>
      </w:r>
      <w:r>
        <w:rPr>
          <w:color w:val="231F1F"/>
          <w:w w:val="110"/>
        </w:rPr>
        <w:t>(also AV delay)</w:t>
      </w:r>
    </w:p>
    <w:p>
      <w:pPr>
        <w:pStyle w:val="BodyText"/>
        <w:spacing w:line="220" w:lineRule="auto" w:before="3"/>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general anaesthetics given with </w:t>
      </w:r>
      <w:r>
        <w:rPr>
          <w:rFonts w:ascii="Calibri" w:hAnsi="Calibri"/>
          <w:color w:val="008356"/>
          <w:w w:val="110"/>
          <w:sz w:val="11"/>
        </w:rPr>
        <w:t>CLONIDINE</w:t>
      </w:r>
    </w:p>
    <w:p>
      <w:pPr>
        <w:pStyle w:val="BodyText"/>
        <w:spacing w:line="146" w:lineRule="exact"/>
        <w:ind w:left="186"/>
      </w:pPr>
      <w:r>
        <w:rPr>
          <w:rFonts w:ascii="Arial"/>
          <w:color w:val="231F1F"/>
          <w:w w:val="355"/>
          <w:position w:val="1"/>
          <w:sz w:val="7"/>
        </w:rPr>
        <w:t>l </w:t>
      </w:r>
      <w:r>
        <w:rPr>
          <w:rFonts w:ascii="Calibri"/>
          <w:color w:val="231F1F"/>
          <w:w w:val="110"/>
        </w:rPr>
        <w:t>Cytotoxics: </w:t>
      </w:r>
      <w:r>
        <w:rPr>
          <w:color w:val="231F1F"/>
          <w:w w:val="110"/>
        </w:rPr>
        <w:t>nitrous oxide increases antifolate effect of</w:t>
      </w:r>
    </w:p>
    <w:p>
      <w:pPr>
        <w:spacing w:line="140" w:lineRule="exact" w:before="0"/>
        <w:ind w:left="286" w:right="0" w:firstLine="0"/>
        <w:jc w:val="left"/>
        <w:rPr>
          <w:sz w:val="12"/>
        </w:rPr>
      </w:pPr>
      <w:r>
        <w:rPr>
          <w:rFonts w:ascii="Arial" w:hAnsi="Arial"/>
          <w:color w:val="231F1F"/>
          <w:w w:val="355"/>
          <w:position w:val="1"/>
          <w:sz w:val="7"/>
        </w:rPr>
        <w:t>l </w:t>
      </w:r>
      <w:r>
        <w:rPr>
          <w:rFonts w:ascii="Calibri" w:hAnsi="Calibri"/>
          <w:color w:val="008356"/>
          <w:spacing w:val="2"/>
          <w:w w:val="110"/>
          <w:sz w:val="11"/>
        </w:rPr>
        <w:t>METHOTREXATE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general anaesthetics given with</w:t>
      </w:r>
      <w:r>
        <w:rPr>
          <w:color w:val="231F1F"/>
          <w:spacing w:val="-7"/>
          <w:w w:val="110"/>
        </w:rPr>
        <w:t> </w:t>
      </w:r>
      <w:r>
        <w:rPr>
          <w:rFonts w:ascii="Calibri" w:hAnsi="Calibri"/>
          <w:color w:val="008356"/>
          <w:spacing w:val="4"/>
          <w:w w:val="110"/>
          <w:sz w:val="11"/>
        </w:rPr>
        <w:t>DIAZOXIDE</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general anaesthetics given with</w:t>
      </w:r>
      <w:r>
        <w:rPr>
          <w:color w:val="231F1F"/>
          <w:spacing w:val="-7"/>
          <w:w w:val="110"/>
        </w:rPr>
        <w:t> </w:t>
      </w:r>
      <w:r>
        <w:rPr>
          <w:rFonts w:ascii="Calibri" w:hAnsi="Calibri"/>
          <w:color w:val="008356"/>
          <w:spacing w:val="5"/>
          <w:w w:val="110"/>
          <w:sz w:val="11"/>
        </w:rPr>
        <w:t>DIURETICS</w:t>
      </w:r>
    </w:p>
    <w:p>
      <w:pPr>
        <w:spacing w:line="240" w:lineRule="auto" w:before="0"/>
        <w:ind w:left="286" w:right="673" w:hanging="100"/>
        <w:jc w:val="left"/>
        <w:rPr>
          <w:rFonts w:ascii="Calibri"/>
          <w:sz w:val="11"/>
        </w:rPr>
      </w:pPr>
      <w:r>
        <w:rPr>
          <w:rFonts w:ascii="Arial"/>
          <w:color w:val="231F1F"/>
          <w:w w:val="355"/>
          <w:position w:val="1"/>
          <w:sz w:val="7"/>
        </w:rPr>
        <w:t>l </w:t>
      </w:r>
      <w:r>
        <w:rPr>
          <w:rFonts w:ascii="Calibri"/>
          <w:color w:val="231F1F"/>
          <w:w w:val="110"/>
          <w:sz w:val="12"/>
        </w:rPr>
        <w:t>Dopaminergics: </w:t>
      </w:r>
      <w:r>
        <w:rPr>
          <w:color w:val="231F1F"/>
          <w:w w:val="110"/>
          <w:sz w:val="12"/>
        </w:rPr>
        <w:t>increased risk of arrhythmias when volatile liquid</w:t>
      </w:r>
      <w:r>
        <w:rPr>
          <w:color w:val="231F1F"/>
          <w:spacing w:val="-4"/>
          <w:w w:val="110"/>
          <w:sz w:val="12"/>
        </w:rPr>
        <w:t> </w:t>
      </w:r>
      <w:r>
        <w:rPr>
          <w:color w:val="231F1F"/>
          <w:w w:val="110"/>
          <w:sz w:val="12"/>
        </w:rPr>
        <w:t>general</w:t>
      </w:r>
      <w:r>
        <w:rPr>
          <w:color w:val="231F1F"/>
          <w:spacing w:val="-5"/>
          <w:w w:val="110"/>
          <w:sz w:val="12"/>
        </w:rPr>
        <w:t> </w:t>
      </w:r>
      <w:r>
        <w:rPr>
          <w:color w:val="231F1F"/>
          <w:w w:val="110"/>
          <w:sz w:val="12"/>
        </w:rPr>
        <w:t>anaesthetics</w:t>
      </w:r>
      <w:r>
        <w:rPr>
          <w:color w:val="231F1F"/>
          <w:spacing w:val="-4"/>
          <w:w w:val="110"/>
          <w:sz w:val="12"/>
        </w:rPr>
        <w:t> </w:t>
      </w:r>
      <w:r>
        <w:rPr>
          <w:color w:val="231F1F"/>
          <w:w w:val="110"/>
          <w:sz w:val="12"/>
        </w:rPr>
        <w:t>given</w:t>
      </w:r>
      <w:r>
        <w:rPr>
          <w:color w:val="231F1F"/>
          <w:spacing w:val="-6"/>
          <w:w w:val="110"/>
          <w:sz w:val="12"/>
        </w:rPr>
        <w:t> </w:t>
      </w:r>
      <w:r>
        <w:rPr>
          <w:color w:val="231F1F"/>
          <w:w w:val="110"/>
          <w:sz w:val="12"/>
        </w:rPr>
        <w:t>with</w:t>
      </w:r>
      <w:r>
        <w:rPr>
          <w:color w:val="231F1F"/>
          <w:spacing w:val="-4"/>
          <w:w w:val="110"/>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CO-BENELDOPA</w:t>
      </w:r>
      <w:r>
        <w:rPr>
          <w:color w:val="231F1F"/>
          <w:spacing w:val="4"/>
          <w:w w:val="110"/>
          <w:sz w:val="12"/>
        </w:rPr>
        <w:t>,</w:t>
      </w:r>
      <w:r>
        <w:rPr>
          <w:color w:val="231F1F"/>
          <w:spacing w:val="-4"/>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0"/>
          <w:sz w:val="11"/>
        </w:rPr>
        <w:t>CO- </w:t>
      </w:r>
      <w:r>
        <w:rPr>
          <w:rFonts w:ascii="Calibri"/>
          <w:color w:val="008356"/>
          <w:spacing w:val="4"/>
          <w:w w:val="110"/>
          <w:sz w:val="11"/>
        </w:rPr>
        <w:t>CARELDOPA </w:t>
      </w:r>
      <w:r>
        <w:rPr>
          <w:color w:val="231F1F"/>
          <w:w w:val="110"/>
          <w:sz w:val="12"/>
        </w:rPr>
        <w:t>or </w:t>
      </w:r>
      <w:r>
        <w:rPr>
          <w:rFonts w:ascii="Arial"/>
          <w:color w:val="231F1F"/>
          <w:w w:val="355"/>
          <w:position w:val="1"/>
          <w:sz w:val="7"/>
        </w:rPr>
        <w:t>l</w:t>
      </w:r>
      <w:r>
        <w:rPr>
          <w:rFonts w:ascii="Arial"/>
          <w:color w:val="231F1F"/>
          <w:spacing w:val="-41"/>
          <w:w w:val="355"/>
          <w:position w:val="1"/>
          <w:sz w:val="7"/>
        </w:rPr>
        <w:t> </w:t>
      </w:r>
      <w:r>
        <w:rPr>
          <w:rFonts w:ascii="Calibri"/>
          <w:color w:val="008356"/>
          <w:spacing w:val="3"/>
          <w:w w:val="110"/>
          <w:sz w:val="11"/>
        </w:rPr>
        <w:t>LEVODOPA</w:t>
      </w:r>
    </w:p>
    <w:p>
      <w:pPr>
        <w:spacing w:after="0" w:line="240" w:lineRule="auto"/>
        <w:jc w:val="left"/>
        <w:rPr>
          <w:rFonts w:ascii="Calibri"/>
          <w:sz w:val="11"/>
        </w:rPr>
        <w:sectPr>
          <w:pgSz w:w="8390" w:h="11910"/>
          <w:pgMar w:header="0" w:footer="0" w:top="460" w:bottom="280" w:left="480" w:right="0"/>
          <w:cols w:num="2" w:equalWidth="0">
            <w:col w:w="3617" w:space="59"/>
            <w:col w:w="4234"/>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Anaesthetics, General </w:t>
      </w:r>
      <w:r>
        <w:rPr>
          <w:rFonts w:ascii="Calibri"/>
          <w:color w:val="231F1F"/>
        </w:rPr>
        <w:t>(continued)</w:t>
      </w:r>
    </w:p>
    <w:p>
      <w:pPr>
        <w:pStyle w:val="BodyText"/>
        <w:spacing w:line="244" w:lineRule="auto"/>
        <w:ind w:right="43" w:hanging="100"/>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Doxapram:</w:t>
      </w:r>
      <w:r>
        <w:rPr>
          <w:rFonts w:ascii="Calibri"/>
          <w:color w:val="231F1F"/>
          <w:spacing w:val="-11"/>
          <w:w w:val="115"/>
        </w:rPr>
        <w:t> </w:t>
      </w:r>
      <w:r>
        <w:rPr>
          <w:color w:val="231F1F"/>
          <w:w w:val="115"/>
        </w:rPr>
        <w:t>increased</w:t>
      </w:r>
      <w:r>
        <w:rPr>
          <w:color w:val="231F1F"/>
          <w:spacing w:val="-13"/>
          <w:w w:val="115"/>
        </w:rPr>
        <w:t> </w:t>
      </w:r>
      <w:r>
        <w:rPr>
          <w:color w:val="231F1F"/>
          <w:w w:val="115"/>
        </w:rPr>
        <w:t>risk</w:t>
      </w:r>
      <w:r>
        <w:rPr>
          <w:color w:val="231F1F"/>
          <w:spacing w:val="-13"/>
          <w:w w:val="115"/>
        </w:rPr>
        <w:t> </w:t>
      </w:r>
      <w:r>
        <w:rPr>
          <w:color w:val="231F1F"/>
          <w:w w:val="115"/>
        </w:rPr>
        <w:t>of</w:t>
      </w:r>
      <w:r>
        <w:rPr>
          <w:color w:val="231F1F"/>
          <w:spacing w:val="-12"/>
          <w:w w:val="115"/>
        </w:rPr>
        <w:t> </w:t>
      </w:r>
      <w:r>
        <w:rPr>
          <w:color w:val="231F1F"/>
          <w:w w:val="115"/>
        </w:rPr>
        <w:t>arrhythmias</w:t>
      </w:r>
      <w:r>
        <w:rPr>
          <w:color w:val="231F1F"/>
          <w:spacing w:val="-14"/>
          <w:w w:val="115"/>
        </w:rPr>
        <w:t> </w:t>
      </w:r>
      <w:r>
        <w:rPr>
          <w:color w:val="231F1F"/>
          <w:w w:val="115"/>
        </w:rPr>
        <w:t>when</w:t>
      </w:r>
      <w:r>
        <w:rPr>
          <w:color w:val="231F1F"/>
          <w:spacing w:val="-14"/>
          <w:w w:val="115"/>
        </w:rPr>
        <w:t> </w:t>
      </w:r>
      <w:r>
        <w:rPr>
          <w:color w:val="231F1F"/>
          <w:w w:val="115"/>
        </w:rPr>
        <w:t>volatile</w:t>
      </w:r>
      <w:r>
        <w:rPr>
          <w:color w:val="231F1F"/>
          <w:spacing w:val="-13"/>
          <w:w w:val="115"/>
        </w:rPr>
        <w:t> </w:t>
      </w:r>
      <w:r>
        <w:rPr>
          <w:color w:val="231F1F"/>
          <w:w w:val="115"/>
        </w:rPr>
        <w:t>liquid general</w:t>
      </w:r>
      <w:r>
        <w:rPr>
          <w:color w:val="231F1F"/>
          <w:spacing w:val="-21"/>
          <w:w w:val="115"/>
        </w:rPr>
        <w:t> </w:t>
      </w:r>
      <w:r>
        <w:rPr>
          <w:color w:val="231F1F"/>
          <w:w w:val="115"/>
        </w:rPr>
        <w:t>anaesthetics</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DOXAPRAM</w:t>
      </w:r>
      <w:r>
        <w:rPr>
          <w:rFonts w:ascii="Calibri"/>
          <w:color w:val="008356"/>
          <w:spacing w:val="-11"/>
          <w:w w:val="115"/>
          <w:sz w:val="11"/>
        </w:rPr>
        <w:t> </w:t>
      </w:r>
      <w:r>
        <w:rPr>
          <w:color w:val="231F1F"/>
          <w:w w:val="115"/>
        </w:rPr>
        <w:t>(avoid</w:t>
      </w:r>
      <w:r>
        <w:rPr>
          <w:color w:val="231F1F"/>
          <w:spacing w:val="-20"/>
          <w:w w:val="115"/>
        </w:rPr>
        <w:t> </w:t>
      </w:r>
      <w:r>
        <w:rPr>
          <w:color w:val="231F1F"/>
          <w:w w:val="115"/>
        </w:rPr>
        <w:t>doxapram for at least 10 minutes after volatile liquid general anaesthetics)</w:t>
      </w:r>
    </w:p>
    <w:p>
      <w:pPr>
        <w:pStyle w:val="BodyText"/>
        <w:ind w:hanging="100"/>
      </w:pPr>
      <w:r>
        <w:rPr>
          <w:rFonts w:ascii="Arial"/>
          <w:color w:val="231F1F"/>
          <w:w w:val="355"/>
          <w:position w:val="1"/>
          <w:sz w:val="7"/>
        </w:rPr>
        <w:t>l </w:t>
      </w:r>
      <w:r>
        <w:rPr>
          <w:rFonts w:ascii="Calibri"/>
          <w:color w:val="231F1F"/>
          <w:w w:val="110"/>
        </w:rPr>
        <w:t>Memantine: </w:t>
      </w:r>
      <w:r>
        <w:rPr>
          <w:color w:val="231F1F"/>
          <w:w w:val="110"/>
        </w:rPr>
        <w:t>increased risk of CNS toxicity when ketamine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MEMANTINE </w:t>
      </w:r>
      <w:r>
        <w:rPr>
          <w:color w:val="231F1F"/>
          <w:w w:val="110"/>
        </w:rPr>
        <w:t>(manufacturer of memantine advises avoid concomitant use)</w:t>
      </w:r>
    </w:p>
    <w:p>
      <w:pPr>
        <w:pStyle w:val="BodyText"/>
        <w:spacing w:line="220" w:lineRule="auto" w:before="5"/>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general anaesthetics given with </w:t>
      </w:r>
      <w:r>
        <w:rPr>
          <w:rFonts w:ascii="Calibri" w:hAnsi="Calibri"/>
          <w:color w:val="008356"/>
          <w:w w:val="110"/>
          <w:sz w:val="11"/>
        </w:rPr>
        <w:t>METHYLDOPA</w:t>
      </w:r>
    </w:p>
    <w:p>
      <w:pPr>
        <w:pStyle w:val="BodyText"/>
        <w:spacing w:line="155" w:lineRule="exact" w:before="1"/>
        <w:ind w:left="108"/>
        <w:jc w:val="both"/>
      </w:pPr>
      <w:r>
        <w:rPr>
          <w:rFonts w:ascii="Lucida Sans Unicode" w:hAnsi="Lucida Sans Unicode"/>
          <w:color w:val="A7A8AC"/>
          <w:w w:val="95"/>
          <w:sz w:val="10"/>
        </w:rPr>
        <w:t>▶ </w:t>
      </w:r>
      <w:r>
        <w:rPr>
          <w:rFonts w:ascii="Calibri" w:hAnsi="Calibri"/>
          <w:color w:val="231F1F"/>
          <w:w w:val="105"/>
        </w:rPr>
        <w:t>Metoclopramide: </w:t>
      </w:r>
      <w:r>
        <w:rPr>
          <w:color w:val="231F1F"/>
          <w:w w:val="105"/>
        </w:rPr>
        <w:t>effects of thiopental enhanced by</w:t>
      </w:r>
    </w:p>
    <w:p>
      <w:pPr>
        <w:spacing w:line="130" w:lineRule="exact" w:before="0"/>
        <w:ind w:left="208" w:right="0" w:firstLine="0"/>
        <w:jc w:val="left"/>
        <w:rPr>
          <w:rFonts w:ascii="Calibri"/>
          <w:sz w:val="11"/>
        </w:rPr>
      </w:pPr>
      <w:r>
        <w:rPr>
          <w:rFonts w:ascii="Calibri"/>
          <w:color w:val="008356"/>
          <w:sz w:val="11"/>
        </w:rPr>
        <w:t>METOCLOPRAMIDE</w:t>
      </w:r>
    </w:p>
    <w:p>
      <w:pPr>
        <w:pStyle w:val="BodyText"/>
        <w:spacing w:line="220" w:lineRule="auto" w:before="7"/>
        <w:ind w:right="43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general anaesthetics given with </w:t>
      </w:r>
      <w:r>
        <w:rPr>
          <w:rFonts w:ascii="Calibri" w:hAnsi="Calibri"/>
          <w:color w:val="008356"/>
          <w:w w:val="105"/>
          <w:sz w:val="11"/>
        </w:rPr>
        <w:t>MOXONIDINE</w:t>
      </w:r>
    </w:p>
    <w:p>
      <w:pPr>
        <w:spacing w:line="242" w:lineRule="auto" w:before="0"/>
        <w:ind w:left="208" w:right="43" w:hanging="100"/>
        <w:jc w:val="left"/>
        <w:rPr>
          <w:sz w:val="12"/>
        </w:rPr>
      </w:pPr>
      <w:r>
        <w:rPr>
          <w:rFonts w:ascii="Arial"/>
          <w:color w:val="231F1F"/>
          <w:w w:val="355"/>
          <w:position w:val="1"/>
          <w:sz w:val="7"/>
        </w:rPr>
        <w:t>l </w:t>
      </w:r>
      <w:r>
        <w:rPr>
          <w:rFonts w:ascii="Calibri"/>
          <w:color w:val="231F1F"/>
          <w:w w:val="105"/>
          <w:sz w:val="12"/>
        </w:rPr>
        <w:t>Muscle Relaxants: </w:t>
      </w:r>
      <w:r>
        <w:rPr>
          <w:color w:val="231F1F"/>
          <w:w w:val="105"/>
          <w:sz w:val="12"/>
        </w:rPr>
        <w:t>increased risk of myocardial depression and bradycardia when propofol given with </w:t>
      </w:r>
      <w:r>
        <w:rPr>
          <w:rFonts w:ascii="Arial"/>
          <w:color w:val="231F1F"/>
          <w:w w:val="355"/>
          <w:position w:val="1"/>
          <w:sz w:val="7"/>
        </w:rPr>
        <w:t>l </w:t>
      </w:r>
      <w:r>
        <w:rPr>
          <w:rFonts w:ascii="Calibri"/>
          <w:color w:val="008356"/>
          <w:w w:val="105"/>
          <w:sz w:val="11"/>
        </w:rPr>
        <w:t>SUXAMETHONIUM</w:t>
      </w:r>
      <w:r>
        <w:rPr>
          <w:color w:val="231F1F"/>
          <w:w w:val="105"/>
          <w:sz w:val="12"/>
        </w:rPr>
        <w:t>; volatile liquid general anaesthetics enhance effects of </w:t>
      </w:r>
      <w:r>
        <w:rPr>
          <w:rFonts w:ascii="Calibri"/>
          <w:color w:val="008356"/>
          <w:w w:val="105"/>
          <w:sz w:val="11"/>
        </w:rPr>
        <w:t>NON- DEPOLARISING MUSCLE RELAXANTS </w:t>
      </w:r>
      <w:r>
        <w:rPr>
          <w:color w:val="231F1F"/>
          <w:w w:val="105"/>
          <w:sz w:val="12"/>
        </w:rPr>
        <w:t>and </w:t>
      </w:r>
      <w:r>
        <w:rPr>
          <w:rFonts w:ascii="Calibri"/>
          <w:color w:val="008356"/>
          <w:w w:val="105"/>
          <w:sz w:val="11"/>
        </w:rPr>
        <w:t>SUXAMETHONIUM</w:t>
      </w:r>
      <w:r>
        <w:rPr>
          <w:color w:val="231F1F"/>
          <w:w w:val="105"/>
          <w:sz w:val="12"/>
        </w:rPr>
        <w:t>;</w:t>
      </w:r>
    </w:p>
    <w:p>
      <w:pPr>
        <w:spacing w:line="140" w:lineRule="exact" w:before="0"/>
        <w:ind w:left="208" w:right="0" w:firstLine="0"/>
        <w:jc w:val="both"/>
        <w:rPr>
          <w:rFonts w:ascii="Calibri"/>
          <w:sz w:val="11"/>
        </w:rPr>
      </w:pPr>
      <w:r>
        <w:rPr>
          <w:color w:val="231F1F"/>
          <w:w w:val="110"/>
          <w:sz w:val="12"/>
        </w:rPr>
        <w:t>ketamine enhances effects of </w:t>
      </w:r>
      <w:r>
        <w:rPr>
          <w:rFonts w:ascii="Calibri"/>
          <w:color w:val="008356"/>
          <w:w w:val="110"/>
          <w:sz w:val="11"/>
        </w:rPr>
        <w:t>ATRACURIUM</w:t>
      </w:r>
    </w:p>
    <w:p>
      <w:pPr>
        <w:pStyle w:val="BodyText"/>
        <w:spacing w:line="220" w:lineRule="auto" w:before="8"/>
        <w:ind w:right="61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general anaesthetics given with </w:t>
      </w:r>
      <w:r>
        <w:rPr>
          <w:rFonts w:ascii="Calibri" w:hAnsi="Calibri"/>
          <w:color w:val="008356"/>
          <w:w w:val="110"/>
          <w:sz w:val="11"/>
        </w:rPr>
        <w:t>NITRATES</w:t>
      </w:r>
    </w:p>
    <w:p>
      <w:pPr>
        <w:pStyle w:val="BodyText"/>
        <w:spacing w:line="235" w:lineRule="auto" w:before="1"/>
        <w:ind w:right="32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Oxytocin: </w:t>
      </w:r>
      <w:r>
        <w:rPr>
          <w:color w:val="231F1F"/>
          <w:w w:val="110"/>
        </w:rPr>
        <w:t>oxytocic effect possibly reduced, also enhanced hypotensive effect and risk of arrhythmias when volatile liquid general anaesthetics given with </w:t>
      </w:r>
      <w:r>
        <w:rPr>
          <w:rFonts w:ascii="Calibri" w:hAnsi="Calibri"/>
          <w:color w:val="008356"/>
          <w:w w:val="110"/>
          <w:sz w:val="11"/>
        </w:rPr>
        <w:t>OXYTOCIN</w:t>
      </w:r>
    </w:p>
    <w:p>
      <w:pPr>
        <w:spacing w:line="244" w:lineRule="auto" w:before="0"/>
        <w:ind w:left="208" w:right="55" w:hanging="100"/>
        <w:jc w:val="left"/>
        <w:rPr>
          <w:sz w:val="12"/>
        </w:rPr>
      </w:pPr>
      <w:r>
        <w:rPr>
          <w:rFonts w:ascii="Arial"/>
          <w:color w:val="231F1F"/>
          <w:w w:val="355"/>
          <w:position w:val="1"/>
          <w:sz w:val="7"/>
        </w:rPr>
        <w:t>l </w:t>
      </w:r>
      <w:r>
        <w:rPr>
          <w:rFonts w:ascii="Calibri"/>
          <w:color w:val="231F1F"/>
          <w:w w:val="105"/>
          <w:sz w:val="12"/>
        </w:rPr>
        <w:t>Sympathomimetics: </w:t>
      </w:r>
      <w:r>
        <w:rPr>
          <w:color w:val="231F1F"/>
          <w:w w:val="105"/>
          <w:sz w:val="12"/>
        </w:rPr>
        <w:t>manufacturer of isoflurane advises avoid concomitant use with </w:t>
      </w:r>
      <w:r>
        <w:rPr>
          <w:rFonts w:ascii="Arial"/>
          <w:color w:val="231F1F"/>
          <w:w w:val="355"/>
          <w:position w:val="1"/>
          <w:sz w:val="7"/>
        </w:rPr>
        <w:t>l </w:t>
      </w:r>
      <w:r>
        <w:rPr>
          <w:rFonts w:ascii="Calibri"/>
          <w:color w:val="008356"/>
          <w:spacing w:val="4"/>
          <w:w w:val="105"/>
          <w:sz w:val="11"/>
        </w:rPr>
        <w:t>SYMPATHOMIMETICS </w:t>
      </w:r>
      <w:r>
        <w:rPr>
          <w:color w:val="231F1F"/>
          <w:w w:val="105"/>
          <w:sz w:val="12"/>
        </w:rPr>
        <w:t>(risk of ventricular arrhythmias); increased  risk  of  arrhythmias  when  volatile liquid general anaesthetics given with </w:t>
      </w:r>
      <w:r>
        <w:rPr>
          <w:rFonts w:ascii="Arial"/>
          <w:color w:val="231F1F"/>
          <w:w w:val="355"/>
          <w:position w:val="1"/>
          <w:sz w:val="7"/>
        </w:rPr>
        <w:t>l </w:t>
      </w:r>
      <w:r>
        <w:rPr>
          <w:rFonts w:ascii="Calibri"/>
          <w:color w:val="008356"/>
          <w:spacing w:val="5"/>
          <w:w w:val="105"/>
          <w:sz w:val="11"/>
        </w:rPr>
        <w:t>ADRENALINE </w:t>
      </w:r>
      <w:r>
        <w:rPr>
          <w:rFonts w:ascii="Calibri"/>
          <w:color w:val="008356"/>
          <w:spacing w:val="4"/>
          <w:w w:val="105"/>
          <w:sz w:val="11"/>
        </w:rPr>
        <w:t>(EPINEPHRINE) </w:t>
      </w:r>
      <w:r>
        <w:rPr>
          <w:color w:val="231F1F"/>
          <w:w w:val="105"/>
          <w:sz w:val="12"/>
        </w:rPr>
        <w:t>or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05"/>
          <w:sz w:val="11"/>
        </w:rPr>
        <w:t>NORADRENALINE (NOREPINEPHRINE)</w:t>
      </w:r>
      <w:r>
        <w:rPr>
          <w:color w:val="231F1F"/>
          <w:spacing w:val="4"/>
          <w:w w:val="105"/>
          <w:sz w:val="12"/>
        </w:rPr>
        <w:t>;</w:t>
      </w:r>
    </w:p>
    <w:p>
      <w:pPr>
        <w:pStyle w:val="BodyText"/>
        <w:spacing w:line="247" w:lineRule="auto"/>
        <w:rPr>
          <w:rFonts w:ascii="Calibri"/>
          <w:sz w:val="11"/>
        </w:rPr>
      </w:pPr>
      <w:r>
        <w:rPr>
          <w:color w:val="231F1F"/>
          <w:w w:val="110"/>
        </w:rPr>
        <w:t>increased risk of hypertension when volatile liquid </w:t>
      </w:r>
      <w:r>
        <w:rPr>
          <w:color w:val="231F1F"/>
          <w:spacing w:val="-3"/>
          <w:w w:val="110"/>
        </w:rPr>
        <w:t>general </w:t>
      </w:r>
      <w:r>
        <w:rPr>
          <w:color w:val="231F1F"/>
          <w:w w:val="110"/>
        </w:rPr>
        <w:t>anaesthetics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METHYLPHENIDATE</w:t>
      </w:r>
    </w:p>
    <w:p>
      <w:pPr>
        <w:pStyle w:val="BodyText"/>
        <w:spacing w:line="220" w:lineRule="auto"/>
        <w:ind w:right="25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increased risk of convulsions when ketamine given with</w:t>
      </w:r>
      <w:r>
        <w:rPr>
          <w:color w:val="231F1F"/>
          <w:spacing w:val="-7"/>
          <w:w w:val="110"/>
        </w:rPr>
        <w:t> </w:t>
      </w:r>
      <w:r>
        <w:rPr>
          <w:rFonts w:ascii="Calibri" w:hAnsi="Calibri"/>
          <w:color w:val="008356"/>
          <w:spacing w:val="5"/>
          <w:w w:val="110"/>
          <w:sz w:val="11"/>
        </w:rPr>
        <w:t>THEOPHYLLINE</w:t>
      </w:r>
    </w:p>
    <w:p>
      <w:pPr>
        <w:spacing w:line="230" w:lineRule="auto" w:before="1"/>
        <w:ind w:left="208" w:right="5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general anaesthetics given with </w:t>
      </w:r>
      <w:r>
        <w:rPr>
          <w:rFonts w:ascii="Calibri" w:hAnsi="Calibri"/>
          <w:color w:val="008356"/>
          <w:spacing w:val="4"/>
          <w:w w:val="105"/>
          <w:sz w:val="11"/>
        </w:rPr>
        <w:t>HYDRALAZINE</w:t>
      </w:r>
      <w:r>
        <w:rPr>
          <w:color w:val="231F1F"/>
          <w:spacing w:val="4"/>
          <w:w w:val="105"/>
          <w:sz w:val="12"/>
        </w:rPr>
        <w:t>, </w:t>
      </w:r>
      <w:r>
        <w:rPr>
          <w:rFonts w:ascii="Calibri" w:hAnsi="Calibri"/>
          <w:color w:val="008356"/>
          <w:spacing w:val="4"/>
          <w:w w:val="105"/>
          <w:sz w:val="11"/>
        </w:rPr>
        <w:t>MINOXIDIL </w:t>
      </w:r>
      <w:r>
        <w:rPr>
          <w:color w:val="231F1F"/>
          <w:w w:val="105"/>
          <w:sz w:val="12"/>
        </w:rPr>
        <w:t>or </w:t>
      </w:r>
      <w:r>
        <w:rPr>
          <w:rFonts w:ascii="Calibri" w:hAnsi="Calibri"/>
          <w:color w:val="008356"/>
          <w:spacing w:val="4"/>
          <w:w w:val="105"/>
          <w:sz w:val="11"/>
        </w:rPr>
        <w:t>SODIUM NITROPRUSSIDE</w:t>
      </w:r>
    </w:p>
    <w:p>
      <w:pPr>
        <w:pStyle w:val="BodyText"/>
        <w:spacing w:before="10"/>
        <w:ind w:left="108"/>
      </w:pPr>
      <w:r>
        <w:rPr>
          <w:rFonts w:ascii="Trebuchet MS"/>
          <w:color w:val="008356"/>
          <w:w w:val="105"/>
        </w:rPr>
        <w:t>Anaesthetics, General (intravenous) </w:t>
      </w:r>
      <w:r>
        <w:rPr>
          <w:i/>
          <w:color w:val="231F1F"/>
          <w:w w:val="105"/>
        </w:rPr>
        <w:t>see </w:t>
      </w:r>
      <w:r>
        <w:rPr>
          <w:color w:val="231F1F"/>
          <w:w w:val="105"/>
        </w:rPr>
        <w:t>Anaesthetics, General</w:t>
      </w:r>
    </w:p>
    <w:p>
      <w:pPr>
        <w:pStyle w:val="BodyText"/>
        <w:spacing w:line="244" w:lineRule="auto" w:before="10"/>
        <w:ind w:right="43" w:hanging="100"/>
      </w:pPr>
      <w:r>
        <w:rPr>
          <w:rFonts w:ascii="Trebuchet MS"/>
          <w:color w:val="008356"/>
          <w:w w:val="105"/>
        </w:rPr>
        <w:t>Anaesthetics, General (volatile liquids) </w:t>
      </w:r>
      <w:r>
        <w:rPr>
          <w:i/>
          <w:color w:val="231F1F"/>
          <w:w w:val="105"/>
        </w:rPr>
        <w:t>see </w:t>
      </w:r>
      <w:r>
        <w:rPr>
          <w:color w:val="231F1F"/>
          <w:w w:val="105"/>
        </w:rPr>
        <w:t>Anaesthetics, General</w:t>
      </w:r>
    </w:p>
    <w:p>
      <w:pPr>
        <w:pStyle w:val="BodyText"/>
        <w:spacing w:before="8"/>
        <w:ind w:hanging="100"/>
      </w:pPr>
      <w:r>
        <w:rPr>
          <w:rFonts w:ascii="Trebuchet MS"/>
          <w:color w:val="008356"/>
          <w:w w:val="110"/>
        </w:rPr>
        <w:t>Anaesthetics, Local </w:t>
      </w:r>
      <w:r>
        <w:rPr>
          <w:i/>
          <w:color w:val="231F1F"/>
          <w:w w:val="110"/>
        </w:rPr>
        <w:t>see </w:t>
      </w:r>
      <w:r>
        <w:rPr>
          <w:color w:val="231F1F"/>
          <w:w w:val="110"/>
        </w:rPr>
        <w:t>Bupivacaine, Chloroprocaine, Levobupivacaine, Lidocaine, Prilocaine, and Ropivacaine</w:t>
      </w:r>
    </w:p>
    <w:p>
      <w:pPr>
        <w:pStyle w:val="BodyText"/>
        <w:spacing w:before="13"/>
        <w:ind w:left="108"/>
        <w:rPr>
          <w:rFonts w:ascii="Trebuchet MS"/>
        </w:rPr>
      </w:pPr>
      <w:r>
        <w:rPr>
          <w:rFonts w:ascii="Trebuchet MS"/>
          <w:color w:val="008356"/>
        </w:rPr>
        <w:t>Anagrelide</w:t>
      </w:r>
    </w:p>
    <w:p>
      <w:pPr>
        <w:pStyle w:val="BodyText"/>
        <w:spacing w:before="1"/>
        <w:ind w:right="613" w:hanging="100"/>
        <w:rPr>
          <w:rFonts w:ascii="Calibri"/>
          <w:sz w:val="11"/>
        </w:rPr>
      </w:pPr>
      <w:r>
        <w:rPr>
          <w:rFonts w:ascii="Arial"/>
          <w:color w:val="231F1F"/>
          <w:w w:val="355"/>
          <w:position w:val="1"/>
          <w:sz w:val="7"/>
        </w:rPr>
        <w:t>l </w:t>
      </w:r>
      <w:r>
        <w:rPr>
          <w:rFonts w:ascii="Calibri"/>
          <w:color w:val="231F1F"/>
          <w:w w:val="110"/>
        </w:rPr>
        <w:t>Cilostazol: </w:t>
      </w:r>
      <w:r>
        <w:rPr>
          <w:color w:val="231F1F"/>
          <w:w w:val="110"/>
        </w:rPr>
        <w:t>manufacturer of anagrelide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CILOSTAZOL</w:t>
      </w:r>
    </w:p>
    <w:p>
      <w:pPr>
        <w:pStyle w:val="BodyText"/>
        <w:ind w:right="28" w:hanging="100"/>
      </w:pPr>
      <w:r>
        <w:rPr>
          <w:rFonts w:ascii="Arial"/>
          <w:color w:val="231F1F"/>
          <w:w w:val="355"/>
          <w:position w:val="1"/>
          <w:sz w:val="7"/>
        </w:rPr>
        <w:t>l</w:t>
      </w:r>
      <w:r>
        <w:rPr>
          <w:rFonts w:ascii="Arial"/>
          <w:color w:val="231F1F"/>
          <w:spacing w:val="-50"/>
          <w:w w:val="355"/>
          <w:position w:val="1"/>
          <w:sz w:val="7"/>
        </w:rPr>
        <w:t> </w:t>
      </w:r>
      <w:r>
        <w:rPr>
          <w:rFonts w:ascii="Calibri"/>
          <w:color w:val="231F1F"/>
          <w:w w:val="110"/>
        </w:rPr>
        <w:t>Phosphodiesterase</w:t>
      </w:r>
      <w:r>
        <w:rPr>
          <w:rFonts w:ascii="Calibri"/>
          <w:color w:val="231F1F"/>
          <w:spacing w:val="-15"/>
          <w:w w:val="110"/>
        </w:rPr>
        <w:t> </w:t>
      </w:r>
      <w:r>
        <w:rPr>
          <w:rFonts w:ascii="Calibri"/>
          <w:color w:val="231F1F"/>
          <w:w w:val="110"/>
        </w:rPr>
        <w:t>Type-3</w:t>
      </w:r>
      <w:r>
        <w:rPr>
          <w:rFonts w:ascii="Calibri"/>
          <w:color w:val="231F1F"/>
          <w:spacing w:val="-14"/>
          <w:w w:val="110"/>
        </w:rPr>
        <w:t> </w:t>
      </w:r>
      <w:r>
        <w:rPr>
          <w:rFonts w:ascii="Calibri"/>
          <w:color w:val="231F1F"/>
          <w:w w:val="110"/>
        </w:rPr>
        <w:t>Inhibitors:</w:t>
      </w:r>
      <w:r>
        <w:rPr>
          <w:rFonts w:ascii="Calibri"/>
          <w:color w:val="231F1F"/>
          <w:spacing w:val="-15"/>
          <w:w w:val="110"/>
        </w:rPr>
        <w:t> </w:t>
      </w:r>
      <w:r>
        <w:rPr>
          <w:color w:val="231F1F"/>
          <w:w w:val="110"/>
        </w:rPr>
        <w:t>manufacturer</w:t>
      </w:r>
      <w:r>
        <w:rPr>
          <w:color w:val="231F1F"/>
          <w:spacing w:val="-19"/>
          <w:w w:val="110"/>
        </w:rPr>
        <w:t> </w:t>
      </w:r>
      <w:r>
        <w:rPr>
          <w:color w:val="231F1F"/>
          <w:w w:val="110"/>
        </w:rPr>
        <w:t>of</w:t>
      </w:r>
      <w:r>
        <w:rPr>
          <w:color w:val="231F1F"/>
          <w:spacing w:val="-17"/>
          <w:w w:val="110"/>
        </w:rPr>
        <w:t> </w:t>
      </w:r>
      <w:r>
        <w:rPr>
          <w:color w:val="231F1F"/>
          <w:w w:val="110"/>
        </w:rPr>
        <w:t>anagrelide advises avoid concomitant use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ENOXIMONE </w:t>
      </w:r>
      <w:r>
        <w:rPr>
          <w:color w:val="231F1F"/>
          <w:w w:val="110"/>
        </w:rPr>
        <w:t>and</w:t>
      </w:r>
    </w:p>
    <w:p>
      <w:pPr>
        <w:spacing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MILRINONE</w:t>
      </w:r>
    </w:p>
    <w:p>
      <w:pPr>
        <w:pStyle w:val="BodyText"/>
        <w:spacing w:before="8"/>
        <w:ind w:left="108"/>
        <w:rPr>
          <w:rFonts w:ascii="Trebuchet MS"/>
        </w:rPr>
      </w:pPr>
      <w:r>
        <w:rPr>
          <w:rFonts w:ascii="Trebuchet MS"/>
          <w:color w:val="008356"/>
          <w:w w:val="105"/>
        </w:rPr>
        <w:t>Anakinra</w:t>
      </w:r>
    </w:p>
    <w:p>
      <w:pPr>
        <w:pStyle w:val="BodyText"/>
        <w:spacing w:line="146" w:lineRule="exact"/>
        <w:ind w:left="108"/>
        <w:jc w:val="both"/>
      </w:pPr>
      <w:r>
        <w:rPr>
          <w:rFonts w:ascii="Arial"/>
          <w:color w:val="231F1F"/>
          <w:w w:val="355"/>
          <w:position w:val="1"/>
          <w:sz w:val="7"/>
        </w:rPr>
        <w:t>l </w:t>
      </w:r>
      <w:r>
        <w:rPr>
          <w:rFonts w:ascii="Calibri"/>
          <w:color w:val="231F1F"/>
          <w:w w:val="110"/>
        </w:rPr>
        <w:t>Cytotoxics: </w:t>
      </w:r>
      <w:r>
        <w:rPr>
          <w:color w:val="231F1F"/>
          <w:w w:val="110"/>
        </w:rPr>
        <w:t>avoid concomitant use of anakinra with</w:t>
      </w:r>
    </w:p>
    <w:p>
      <w:pPr>
        <w:spacing w:line="141" w:lineRule="exact" w:before="0"/>
        <w:ind w:left="208" w:right="0" w:firstLine="0"/>
        <w:jc w:val="left"/>
        <w:rPr>
          <w:sz w:val="12"/>
        </w:rPr>
      </w:pPr>
      <w:r>
        <w:rPr>
          <w:rFonts w:ascii="Arial"/>
          <w:color w:val="231F1F"/>
          <w:w w:val="355"/>
          <w:position w:val="1"/>
          <w:sz w:val="7"/>
        </w:rPr>
        <w:t>l </w:t>
      </w:r>
      <w:r>
        <w:rPr>
          <w:rFonts w:ascii="Calibri"/>
          <w:color w:val="008356"/>
          <w:spacing w:val="4"/>
          <w:w w:val="105"/>
          <w:sz w:val="11"/>
        </w:rPr>
        <w:t>ADALIMUMAB</w:t>
      </w:r>
      <w:r>
        <w:rPr>
          <w:color w:val="231F1F"/>
          <w:spacing w:val="4"/>
          <w:w w:val="105"/>
          <w:sz w:val="12"/>
        </w:rPr>
        <w:t>, </w:t>
      </w:r>
      <w:r>
        <w:rPr>
          <w:rFonts w:ascii="Arial"/>
          <w:color w:val="231F1F"/>
          <w:w w:val="355"/>
          <w:position w:val="1"/>
          <w:sz w:val="7"/>
        </w:rPr>
        <w:t>l </w:t>
      </w:r>
      <w:r>
        <w:rPr>
          <w:rFonts w:ascii="Calibri"/>
          <w:color w:val="008356"/>
          <w:spacing w:val="4"/>
          <w:w w:val="105"/>
          <w:sz w:val="11"/>
        </w:rPr>
        <w:t>CERTOLIZUMAB PEGOL</w:t>
      </w:r>
      <w:r>
        <w:rPr>
          <w:color w:val="231F1F"/>
          <w:spacing w:val="4"/>
          <w:w w:val="105"/>
          <w:sz w:val="12"/>
        </w:rPr>
        <w:t>, </w:t>
      </w:r>
      <w:r>
        <w:rPr>
          <w:rFonts w:ascii="Arial"/>
          <w:color w:val="231F1F"/>
          <w:w w:val="355"/>
          <w:position w:val="1"/>
          <w:sz w:val="7"/>
        </w:rPr>
        <w:t>l </w:t>
      </w:r>
      <w:r>
        <w:rPr>
          <w:rFonts w:ascii="Calibri"/>
          <w:color w:val="008356"/>
          <w:spacing w:val="4"/>
          <w:w w:val="105"/>
          <w:sz w:val="11"/>
        </w:rPr>
        <w:t>GOLIMUMAB </w:t>
      </w:r>
      <w:r>
        <w:rPr>
          <w:color w:val="231F1F"/>
          <w:w w:val="105"/>
          <w:sz w:val="12"/>
        </w:rPr>
        <w:t>or</w:t>
      </w:r>
    </w:p>
    <w:p>
      <w:pPr>
        <w:spacing w:line="133" w:lineRule="exact" w:before="10"/>
        <w:ind w:left="208" w:right="0" w:firstLine="0"/>
        <w:jc w:val="left"/>
        <w:rPr>
          <w:rFonts w:ascii="Calibri"/>
          <w:sz w:val="11"/>
        </w:rPr>
      </w:pPr>
      <w:r>
        <w:rPr>
          <w:rFonts w:ascii="Arial"/>
          <w:color w:val="231F1F"/>
          <w:w w:val="355"/>
          <w:position w:val="1"/>
          <w:sz w:val="7"/>
        </w:rPr>
        <w:t>l </w:t>
      </w:r>
      <w:r>
        <w:rPr>
          <w:rFonts w:ascii="Calibri"/>
          <w:color w:val="008356"/>
          <w:w w:val="115"/>
          <w:sz w:val="11"/>
        </w:rPr>
        <w:t>INFLIXIMAB</w:t>
      </w:r>
    </w:p>
    <w:p>
      <w:pPr>
        <w:pStyle w:val="BodyText"/>
        <w:spacing w:line="145" w:lineRule="exact"/>
        <w:ind w:left="108"/>
        <w:jc w:val="both"/>
      </w:pPr>
      <w:r>
        <w:rPr>
          <w:rFonts w:ascii="Arial"/>
          <w:color w:val="231F1F"/>
          <w:w w:val="355"/>
          <w:position w:val="1"/>
          <w:sz w:val="7"/>
        </w:rPr>
        <w:t>l </w:t>
      </w:r>
      <w:r>
        <w:rPr>
          <w:rFonts w:ascii="Calibri"/>
          <w:color w:val="231F1F"/>
          <w:w w:val="110"/>
        </w:rPr>
        <w:t>Etanercept: </w:t>
      </w:r>
      <w:r>
        <w:rPr>
          <w:color w:val="231F1F"/>
          <w:w w:val="110"/>
        </w:rPr>
        <w:t>avoid concomitant use of anakinra with</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ETANERCEPT</w:t>
      </w:r>
    </w:p>
    <w:p>
      <w:pPr>
        <w:pStyle w:val="BodyText"/>
        <w:ind w:right="164" w:hanging="100"/>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rPr>
        <w:t>Vaccines:</w:t>
      </w:r>
      <w:r>
        <w:rPr>
          <w:rFonts w:ascii="Calibri" w:hAnsi="Calibri"/>
          <w:color w:val="231F1F"/>
          <w:spacing w:val="-10"/>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generalised</w:t>
      </w:r>
      <w:r>
        <w:rPr>
          <w:color w:val="231F1F"/>
          <w:spacing w:val="-14"/>
          <w:w w:val="115"/>
        </w:rPr>
        <w:t> </w:t>
      </w:r>
      <w:r>
        <w:rPr>
          <w:color w:val="231F1F"/>
          <w:w w:val="115"/>
        </w:rPr>
        <w:t>infections</w:t>
      </w:r>
      <w:r>
        <w:rPr>
          <w:color w:val="231F1F"/>
          <w:spacing w:val="-14"/>
          <w:w w:val="115"/>
        </w:rPr>
        <w:t> </w:t>
      </w:r>
      <w:r>
        <w:rPr>
          <w:color w:val="231F1F"/>
          <w:w w:val="115"/>
        </w:rPr>
        <w:t>when</w:t>
      </w:r>
      <w:r>
        <w:rPr>
          <w:color w:val="231F1F"/>
          <w:spacing w:val="-14"/>
          <w:w w:val="115"/>
        </w:rPr>
        <w:t> </w:t>
      </w:r>
      <w:r>
        <w:rPr>
          <w:color w:val="231F1F"/>
          <w:w w:val="115"/>
        </w:rPr>
        <w:t>anakinra</w:t>
      </w:r>
      <w:r>
        <w:rPr>
          <w:color w:val="231F1F"/>
          <w:spacing w:val="-14"/>
          <w:w w:val="115"/>
        </w:rPr>
        <w:t> </w:t>
      </w:r>
      <w:r>
        <w:rPr>
          <w:color w:val="231F1F"/>
          <w:spacing w:val="-3"/>
          <w:w w:val="115"/>
        </w:rPr>
        <w:t>given </w:t>
      </w:r>
      <w:r>
        <w:rPr>
          <w:color w:val="231F1F"/>
          <w:w w:val="115"/>
        </w:rPr>
        <w:t>with</w:t>
      </w:r>
      <w:r>
        <w:rPr>
          <w:color w:val="231F1F"/>
          <w:spacing w:val="-8"/>
          <w:w w:val="115"/>
        </w:rPr>
        <w:t> </w:t>
      </w:r>
      <w:r>
        <w:rPr>
          <w:color w:val="231F1F"/>
          <w:w w:val="115"/>
        </w:rPr>
        <w:t>live</w:t>
      </w:r>
      <w:r>
        <w:rPr>
          <w:color w:val="231F1F"/>
          <w:spacing w:val="-7"/>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7"/>
          <w:w w:val="115"/>
        </w:rPr>
        <w:t> </w:t>
      </w:r>
      <w:r>
        <w:rPr>
          <w:color w:val="231F1F"/>
          <w:w w:val="115"/>
        </w:rPr>
        <w:t>concomitant</w:t>
      </w:r>
      <w:r>
        <w:rPr>
          <w:color w:val="231F1F"/>
          <w:spacing w:val="-8"/>
          <w:w w:val="115"/>
        </w:rPr>
        <w:t> </w:t>
      </w:r>
      <w:r>
        <w:rPr>
          <w:color w:val="231F1F"/>
          <w:w w:val="115"/>
        </w:rPr>
        <w:t>use</w:t>
      </w:r>
    </w:p>
    <w:p>
      <w:pPr>
        <w:pStyle w:val="BodyText"/>
        <w:spacing w:line="244" w:lineRule="auto" w:before="4"/>
        <w:ind w:right="77" w:hanging="100"/>
      </w:pPr>
      <w:r>
        <w:rPr>
          <w:rFonts w:ascii="Trebuchet MS"/>
          <w:color w:val="008356"/>
          <w:w w:val="110"/>
        </w:rPr>
        <w:t>Analgesics </w:t>
      </w:r>
      <w:r>
        <w:rPr>
          <w:i/>
          <w:color w:val="231F1F"/>
          <w:w w:val="110"/>
        </w:rPr>
        <w:t>see </w:t>
      </w:r>
      <w:r>
        <w:rPr>
          <w:color w:val="231F1F"/>
          <w:w w:val="110"/>
        </w:rPr>
        <w:t>Aspirin, Nefopam, NSAIDs, Opioid Analgesics, and Paracetamol</w:t>
      </w:r>
    </w:p>
    <w:p>
      <w:pPr>
        <w:pStyle w:val="BodyText"/>
        <w:spacing w:before="9"/>
        <w:ind w:left="108"/>
        <w:rPr>
          <w:rFonts w:ascii="Trebuchet MS"/>
        </w:rPr>
      </w:pPr>
      <w:r>
        <w:rPr>
          <w:rFonts w:ascii="Trebuchet MS"/>
          <w:color w:val="008356"/>
        </w:rPr>
        <w:t>Angiotensin-II Receptor Antagonists</w:t>
      </w:r>
    </w:p>
    <w:p>
      <w:pPr>
        <w:pStyle w:val="BodyText"/>
        <w:spacing w:line="242" w:lineRule="auto" w:before="1"/>
        <w:ind w:right="113"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ACE</w:t>
      </w:r>
      <w:r>
        <w:rPr>
          <w:rFonts w:ascii="Calibri" w:hAnsi="Calibri"/>
          <w:color w:val="231F1F"/>
          <w:spacing w:val="-14"/>
          <w:w w:val="115"/>
        </w:rPr>
        <w:t> </w:t>
      </w:r>
      <w:r>
        <w:rPr>
          <w:rFonts w:ascii="Calibri" w:hAnsi="Calibri"/>
          <w:color w:val="231F1F"/>
          <w:w w:val="115"/>
        </w:rPr>
        <w:t>Inhibitors:</w:t>
      </w:r>
      <w:r>
        <w:rPr>
          <w:rFonts w:ascii="Calibri" w:hAns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hyperkalaemia,</w:t>
      </w:r>
      <w:r>
        <w:rPr>
          <w:color w:val="231F1F"/>
          <w:spacing w:val="-16"/>
          <w:w w:val="115"/>
        </w:rPr>
        <w:t> </w:t>
      </w:r>
      <w:r>
        <w:rPr>
          <w:color w:val="231F1F"/>
          <w:spacing w:val="-2"/>
          <w:w w:val="115"/>
        </w:rPr>
        <w:t>hypotension, </w:t>
      </w:r>
      <w:r>
        <w:rPr>
          <w:color w:val="231F1F"/>
          <w:w w:val="115"/>
        </w:rPr>
        <w:t>and impaired renal function when angiotensin-II receptor antagonists</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90"/>
          <w:position w:val="1"/>
          <w:sz w:val="7"/>
        </w:rPr>
        <w:t>l</w:t>
      </w:r>
      <w:r>
        <w:rPr>
          <w:rFonts w:ascii="Arial" w:hAnsi="Arial"/>
          <w:color w:val="231F1F"/>
          <w:spacing w:val="-47"/>
          <w:w w:val="290"/>
          <w:position w:val="1"/>
          <w:sz w:val="7"/>
        </w:rPr>
        <w:t> </w:t>
      </w:r>
      <w:r>
        <w:rPr>
          <w:rFonts w:ascii="Calibri" w:hAnsi="Calibri"/>
          <w:color w:val="008356"/>
          <w:spacing w:val="3"/>
          <w:w w:val="115"/>
          <w:sz w:val="11"/>
        </w:rPr>
        <w:t>ACE</w:t>
      </w:r>
      <w:r>
        <w:rPr>
          <w:rFonts w:ascii="Calibri" w:hAnsi="Calibri"/>
          <w:color w:val="008356"/>
          <w:spacing w:val="-18"/>
          <w:w w:val="115"/>
          <w:sz w:val="11"/>
        </w:rPr>
        <w:t> </w:t>
      </w:r>
      <w:r>
        <w:rPr>
          <w:rFonts w:ascii="Calibri" w:hAnsi="Calibri"/>
          <w:color w:val="008356"/>
          <w:spacing w:val="3"/>
          <w:w w:val="115"/>
          <w:sz w:val="11"/>
        </w:rPr>
        <w:t>INHIBITORS</w:t>
      </w:r>
      <w:r>
        <w:rPr>
          <w:rFonts w:ascii="Arial" w:hAnsi="Arial"/>
          <w:color w:val="231F1F"/>
          <w:spacing w:val="3"/>
          <w:w w:val="115"/>
        </w:rPr>
        <w:t>—</w:t>
      </w:r>
      <w:r>
        <w:rPr>
          <w:color w:val="231F1F"/>
          <w:spacing w:val="3"/>
          <w:w w:val="115"/>
        </w:rPr>
        <w:t>avoid</w:t>
      </w:r>
      <w:r>
        <w:rPr>
          <w:color w:val="231F1F"/>
          <w:spacing w:val="-24"/>
          <w:w w:val="115"/>
        </w:rPr>
        <w:t> </w:t>
      </w:r>
      <w:r>
        <w:rPr>
          <w:color w:val="231F1F"/>
          <w:w w:val="115"/>
        </w:rPr>
        <w:t>concomitant use</w:t>
      </w:r>
    </w:p>
    <w:p>
      <w:pPr>
        <w:spacing w:line="242" w:lineRule="auto" w:before="1"/>
        <w:ind w:left="208" w:right="23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Adrenergic Neurone Blockers: </w:t>
      </w:r>
      <w:r>
        <w:rPr>
          <w:color w:val="231F1F"/>
          <w:w w:val="110"/>
          <w:sz w:val="12"/>
        </w:rPr>
        <w:t>enhanced hypotensive effect when angiotensin-II receptor antagonists given with </w:t>
      </w:r>
      <w:r>
        <w:rPr>
          <w:rFonts w:ascii="Calibri" w:hAnsi="Calibri"/>
          <w:color w:val="008356"/>
          <w:w w:val="110"/>
          <w:sz w:val="11"/>
        </w:rPr>
        <w:t>ADRENERGIC NEURONE BLOCKERS</w:t>
      </w:r>
    </w:p>
    <w:p>
      <w:pPr>
        <w:pStyle w:val="BodyText"/>
        <w:spacing w:line="220" w:lineRule="auto" w:before="3"/>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effect when angiotensin-II receptor antagonists given with </w:t>
      </w:r>
      <w:r>
        <w:rPr>
          <w:rFonts w:ascii="Calibri" w:hAnsi="Calibri"/>
          <w:color w:val="008356"/>
          <w:w w:val="110"/>
          <w:sz w:val="11"/>
        </w:rPr>
        <w:t>ALCOHOL</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angiotensin-II receptor antagonists given with </w:t>
      </w:r>
      <w:r>
        <w:rPr>
          <w:rFonts w:ascii="Calibri" w:hAnsi="Calibri"/>
          <w:color w:val="008356"/>
          <w:w w:val="110"/>
          <w:sz w:val="11"/>
        </w:rPr>
        <w:t>ALDESLEUKIN</w:t>
      </w:r>
    </w:p>
    <w:p>
      <w:pPr>
        <w:pStyle w:val="BodyText"/>
        <w:spacing w:line="247" w:lineRule="auto"/>
        <w:ind w:right="126" w:hanging="100"/>
        <w:rPr>
          <w:rFonts w:ascii="Calibri" w:hAnsi="Calibri"/>
          <w:sz w:val="11"/>
        </w:rPr>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Aliskiren:</w:t>
      </w:r>
      <w:r>
        <w:rPr>
          <w:rFonts w:ascii="Calibri" w:hAnsi="Calibri"/>
          <w:color w:val="231F1F"/>
          <w:spacing w:val="-8"/>
          <w:w w:val="115"/>
        </w:rPr>
        <w:t> </w:t>
      </w:r>
      <w:r>
        <w:rPr>
          <w:color w:val="231F1F"/>
          <w:w w:val="115"/>
        </w:rPr>
        <w:t>increased</w:t>
      </w:r>
      <w:r>
        <w:rPr>
          <w:color w:val="231F1F"/>
          <w:spacing w:val="-13"/>
          <w:w w:val="115"/>
        </w:rPr>
        <w:t> </w:t>
      </w:r>
      <w:r>
        <w:rPr>
          <w:color w:val="231F1F"/>
          <w:w w:val="115"/>
        </w:rPr>
        <w:t>risk</w:t>
      </w:r>
      <w:r>
        <w:rPr>
          <w:color w:val="231F1F"/>
          <w:spacing w:val="-10"/>
          <w:w w:val="115"/>
        </w:rPr>
        <w:t> </w:t>
      </w:r>
      <w:r>
        <w:rPr>
          <w:color w:val="231F1F"/>
          <w:w w:val="115"/>
        </w:rPr>
        <w:t>of</w:t>
      </w:r>
      <w:r>
        <w:rPr>
          <w:color w:val="231F1F"/>
          <w:spacing w:val="-12"/>
          <w:w w:val="115"/>
        </w:rPr>
        <w:t> </w:t>
      </w:r>
      <w:r>
        <w:rPr>
          <w:color w:val="231F1F"/>
          <w:w w:val="115"/>
        </w:rPr>
        <w:t>hyperkalaemia,</w:t>
      </w:r>
      <w:r>
        <w:rPr>
          <w:color w:val="231F1F"/>
          <w:spacing w:val="-12"/>
          <w:w w:val="115"/>
        </w:rPr>
        <w:t> </w:t>
      </w:r>
      <w:r>
        <w:rPr>
          <w:color w:val="231F1F"/>
          <w:w w:val="115"/>
        </w:rPr>
        <w:t>hypotension,</w:t>
      </w:r>
      <w:r>
        <w:rPr>
          <w:color w:val="231F1F"/>
          <w:spacing w:val="-13"/>
          <w:w w:val="115"/>
        </w:rPr>
        <w:t> </w:t>
      </w:r>
      <w:r>
        <w:rPr>
          <w:color w:val="231F1F"/>
          <w:w w:val="115"/>
        </w:rPr>
        <w:t>and impaired renal function when angiotensin-II receptor antagonists</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ALISKIREN</w:t>
      </w:r>
      <w:r>
        <w:rPr>
          <w:rFonts w:ascii="Arial" w:hAnsi="Arial"/>
          <w:color w:val="231F1F"/>
          <w:spacing w:val="3"/>
          <w:w w:val="115"/>
        </w:rPr>
        <w:t>—</w:t>
      </w:r>
      <w:r>
        <w:rPr>
          <w:color w:val="231F1F"/>
          <w:spacing w:val="3"/>
          <w:w w:val="115"/>
        </w:rPr>
        <w:t>avoid</w:t>
      </w:r>
      <w:r>
        <w:rPr>
          <w:color w:val="231F1F"/>
          <w:spacing w:val="-17"/>
          <w:w w:val="115"/>
        </w:rPr>
        <w:t> </w:t>
      </w:r>
      <w:r>
        <w:rPr>
          <w:color w:val="231F1F"/>
          <w:w w:val="115"/>
        </w:rPr>
        <w:t>concomitant</w:t>
      </w:r>
      <w:r>
        <w:rPr>
          <w:color w:val="231F1F"/>
          <w:spacing w:val="-18"/>
          <w:w w:val="115"/>
        </w:rPr>
        <w:t> </w:t>
      </w:r>
      <w:r>
        <w:rPr>
          <w:color w:val="231F1F"/>
          <w:w w:val="115"/>
        </w:rPr>
        <w:t>use; irbesartan possibly reduces plasma concentration of </w:t>
      </w:r>
      <w:r>
        <w:rPr>
          <w:rFonts w:ascii="Calibri" w:hAnsi="Calibri"/>
          <w:color w:val="008356"/>
          <w:spacing w:val="5"/>
          <w:w w:val="115"/>
          <w:sz w:val="11"/>
        </w:rPr>
        <w:t>ALISKIREN</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Angiotensin-II Receptor Antagonists </w:t>
      </w:r>
      <w:r>
        <w:rPr>
          <w:rFonts w:ascii="Calibri"/>
          <w:color w:val="231F1F"/>
        </w:rPr>
        <w:t>(continued)</w:t>
      </w:r>
    </w:p>
    <w:p>
      <w:pPr>
        <w:pStyle w:val="BodyText"/>
        <w:spacing w:line="237" w:lineRule="auto"/>
        <w:ind w:right="1095" w:hanging="100"/>
        <w:rPr>
          <w:rFonts w:ascii="Calibri" w:hAnsi="Calibri"/>
          <w:sz w:val="11"/>
        </w:rPr>
      </w:pPr>
      <w:r>
        <w:rPr/>
        <w:pict>
          <v:rect style="position:absolute;margin-left:398.891296pt;margin-top:-8.571949pt;width:20.522993pt;height:149.443pt;mso-position-horizontal-relative:page;mso-position-vertical-relative:paragraph;z-index:1504" filled="true" fillcolor="#bfdbcf" stroked="false">
            <v:fill type="solid"/>
            <w10:wrap type="none"/>
          </v:rect>
        </w:pict>
      </w:r>
      <w:r>
        <w:rPr/>
        <w:pict>
          <v:shape style="position:absolute;margin-left:399.725769pt;margin-top:-3.60856pt;width:10.4pt;height:78.850pt;mso-position-horizontal-relative:page;mso-position-vertical-relative:paragraph;z-index:152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angiotensin-II receptor antagonists given with </w:t>
      </w:r>
      <w:r>
        <w:rPr>
          <w:rFonts w:ascii="Calibri" w:hAnsi="Calibri"/>
          <w:color w:val="008356"/>
          <w:w w:val="110"/>
          <w:sz w:val="11"/>
        </w:rPr>
        <w:t>ALPHA- BLOCKERS</w:t>
      </w:r>
    </w:p>
    <w:p>
      <w:pPr>
        <w:pStyle w:val="BodyText"/>
        <w:spacing w:line="237" w:lineRule="auto"/>
        <w:ind w:right="991" w:hanging="100"/>
        <w:jc w:val="both"/>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10"/>
          <w:w w:val="95"/>
          <w:sz w:val="10"/>
        </w:rPr>
        <w:t> </w:t>
      </w:r>
      <w:r>
        <w:rPr>
          <w:rFonts w:ascii="Calibri" w:hAnsi="Calibri"/>
          <w:color w:val="231F1F"/>
          <w:w w:val="110"/>
        </w:rPr>
        <w:t>Anaesthetics,</w:t>
      </w:r>
      <w:r>
        <w:rPr>
          <w:rFonts w:ascii="Calibri" w:hAnsi="Calibri"/>
          <w:color w:val="231F1F"/>
          <w:spacing w:val="-7"/>
          <w:w w:val="110"/>
        </w:rPr>
        <w:t> </w:t>
      </w:r>
      <w:r>
        <w:rPr>
          <w:rFonts w:ascii="Calibri" w:hAnsi="Calibri"/>
          <w:color w:val="231F1F"/>
          <w:w w:val="110"/>
        </w:rPr>
        <w:t>General:</w:t>
      </w:r>
      <w:r>
        <w:rPr>
          <w:rFonts w:ascii="Calibri" w:hAnsi="Calibri"/>
          <w:color w:val="231F1F"/>
          <w:spacing w:val="-7"/>
          <w:w w:val="110"/>
        </w:rPr>
        <w:t> </w:t>
      </w:r>
      <w:r>
        <w:rPr>
          <w:color w:val="231F1F"/>
          <w:w w:val="110"/>
        </w:rPr>
        <w:t>enhanced</w:t>
      </w:r>
      <w:r>
        <w:rPr>
          <w:color w:val="231F1F"/>
          <w:spacing w:val="-9"/>
          <w:w w:val="110"/>
        </w:rPr>
        <w:t> </w:t>
      </w:r>
      <w:r>
        <w:rPr>
          <w:color w:val="231F1F"/>
          <w:w w:val="110"/>
        </w:rPr>
        <w:t>hypotensive</w:t>
      </w:r>
      <w:r>
        <w:rPr>
          <w:color w:val="231F1F"/>
          <w:spacing w:val="-9"/>
          <w:w w:val="110"/>
        </w:rPr>
        <w:t> </w:t>
      </w:r>
      <w:r>
        <w:rPr>
          <w:color w:val="231F1F"/>
          <w:w w:val="110"/>
        </w:rPr>
        <w:t>effect</w:t>
      </w:r>
      <w:r>
        <w:rPr>
          <w:color w:val="231F1F"/>
          <w:spacing w:val="-10"/>
          <w:w w:val="110"/>
        </w:rPr>
        <w:t> </w:t>
      </w:r>
      <w:r>
        <w:rPr>
          <w:color w:val="231F1F"/>
          <w:spacing w:val="-4"/>
          <w:w w:val="110"/>
        </w:rPr>
        <w:t>when </w:t>
      </w:r>
      <w:r>
        <w:rPr>
          <w:color w:val="231F1F"/>
          <w:w w:val="110"/>
        </w:rPr>
        <w:t>angiotensin-II receptor antagonists given with </w:t>
      </w:r>
      <w:r>
        <w:rPr>
          <w:rFonts w:ascii="Calibri" w:hAnsi="Calibri"/>
          <w:color w:val="008356"/>
          <w:spacing w:val="5"/>
          <w:w w:val="110"/>
          <w:sz w:val="11"/>
        </w:rPr>
        <w:t>GENERAL ANAESTHETICS</w:t>
      </w:r>
    </w:p>
    <w:p>
      <w:pPr>
        <w:pStyle w:val="BodyText"/>
        <w:spacing w:line="230" w:lineRule="auto"/>
        <w:ind w:right="819"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increased risk of renal impairment when angiotensin-II receptor antagonists given with </w:t>
      </w:r>
      <w:r>
        <w:rPr>
          <w:rFonts w:ascii="Calibri" w:hAnsi="Calibri"/>
          <w:color w:val="008356"/>
          <w:w w:val="110"/>
          <w:sz w:val="11"/>
        </w:rPr>
        <w:t>NSAID</w:t>
      </w:r>
      <w:r>
        <w:rPr>
          <w:rFonts w:ascii="Calibri" w:hAnsi="Calibri"/>
          <w:color w:val="008356"/>
          <w:w w:val="110"/>
          <w:sz w:val="9"/>
        </w:rPr>
        <w:t>S</w:t>
      </w:r>
      <w:r>
        <w:rPr>
          <w:color w:val="231F1F"/>
          <w:w w:val="110"/>
        </w:rPr>
        <w:t>, also hypotensive effect antagonised</w:t>
      </w:r>
    </w:p>
    <w:p>
      <w:pPr>
        <w:pStyle w:val="BodyText"/>
        <w:spacing w:line="237" w:lineRule="auto" w:before="4"/>
        <w:ind w:right="73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losartan and its </w:t>
      </w:r>
      <w:r>
        <w:rPr>
          <w:color w:val="231F1F"/>
          <w:spacing w:val="-3"/>
          <w:w w:val="110"/>
        </w:rPr>
        <w:t>active </w:t>
      </w:r>
      <w:r>
        <w:rPr>
          <w:color w:val="231F1F"/>
          <w:w w:val="110"/>
        </w:rPr>
        <w:t>metabolite reduced by </w:t>
      </w:r>
      <w:r>
        <w:rPr>
          <w:rFonts w:ascii="Calibri" w:hAnsi="Calibri"/>
          <w:color w:val="008356"/>
          <w:spacing w:val="4"/>
          <w:w w:val="110"/>
          <w:sz w:val="11"/>
        </w:rPr>
        <w:t>RIFAMPICIN</w:t>
      </w:r>
      <w:r>
        <w:rPr>
          <w:color w:val="231F1F"/>
          <w:spacing w:val="4"/>
          <w:w w:val="110"/>
        </w:rPr>
        <w:t>; </w:t>
      </w:r>
      <w:r>
        <w:rPr>
          <w:color w:val="231F1F"/>
          <w:w w:val="110"/>
        </w:rPr>
        <w:t>possible increased risk of hyperkalaemia when angiotensin-II receptor  antagonists given with</w:t>
      </w:r>
      <w:r>
        <w:rPr>
          <w:color w:val="231F1F"/>
          <w:spacing w:val="-7"/>
          <w:w w:val="110"/>
        </w:rPr>
        <w:t> </w:t>
      </w:r>
      <w:r>
        <w:rPr>
          <w:rFonts w:ascii="Calibri" w:hAnsi="Calibri"/>
          <w:color w:val="008356"/>
          <w:spacing w:val="5"/>
          <w:w w:val="110"/>
          <w:sz w:val="11"/>
        </w:rPr>
        <w:t>TRIMETHOPRIM</w:t>
      </w:r>
    </w:p>
    <w:p>
      <w:pPr>
        <w:pStyle w:val="BodyText"/>
        <w:spacing w:line="220" w:lineRule="auto" w:before="6"/>
        <w:ind w:right="9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increased risk of hyperkalaemia when angiotensin-II receptor antagonists given with </w:t>
      </w:r>
      <w:r>
        <w:rPr>
          <w:rFonts w:ascii="Calibri" w:hAnsi="Calibri"/>
          <w:color w:val="008356"/>
          <w:w w:val="105"/>
          <w:sz w:val="11"/>
        </w:rPr>
        <w:t>HEPARINS</w:t>
      </w:r>
    </w:p>
    <w:p>
      <w:pPr>
        <w:pStyle w:val="BodyText"/>
        <w:spacing w:line="220" w:lineRule="auto" w:before="8"/>
        <w:ind w:right="670" w:hanging="100"/>
        <w:rPr>
          <w:rFonts w:ascii="Calibri" w:hAnsi="Calibri"/>
          <w:sz w:val="9"/>
        </w:rPr>
      </w:pPr>
      <w:r>
        <w:rPr>
          <w:rFonts w:ascii="Lucida Sans Unicode" w:hAnsi="Lucida Sans Unicode"/>
          <w:color w:val="A7A8AC"/>
          <w:w w:val="95"/>
          <w:sz w:val="10"/>
        </w:rPr>
        <w:t>▶ </w:t>
      </w:r>
      <w:r>
        <w:rPr>
          <w:rFonts w:ascii="Calibri" w:hAnsi="Calibri"/>
          <w:color w:val="231F1F"/>
          <w:w w:val="105"/>
        </w:rPr>
        <w:t>Antidepressants: </w:t>
      </w:r>
      <w:r>
        <w:rPr>
          <w:color w:val="231F1F"/>
          <w:w w:val="105"/>
        </w:rPr>
        <w:t>hypotensive effect of angiotensin-II receptor antagonists possibly enhanced by </w:t>
      </w:r>
      <w:r>
        <w:rPr>
          <w:rFonts w:ascii="Calibri" w:hAnsi="Calibri"/>
          <w:color w:val="008356"/>
          <w:w w:val="105"/>
          <w:sz w:val="11"/>
        </w:rPr>
        <w:t>MAOI</w:t>
      </w:r>
      <w:r>
        <w:rPr>
          <w:rFonts w:ascii="Calibri" w:hAnsi="Calibri"/>
          <w:color w:val="008356"/>
          <w:w w:val="105"/>
          <w:sz w:val="9"/>
        </w:rPr>
        <w:t>S</w:t>
      </w:r>
    </w:p>
    <w:p>
      <w:pPr>
        <w:pStyle w:val="BodyText"/>
        <w:spacing w:line="242" w:lineRule="auto"/>
        <w:ind w:right="1351"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enhanced hypotensive effect </w:t>
      </w:r>
      <w:r>
        <w:rPr>
          <w:color w:val="231F1F"/>
          <w:spacing w:val="-4"/>
          <w:w w:val="110"/>
        </w:rPr>
        <w:t>when </w:t>
      </w:r>
      <w:r>
        <w:rPr>
          <w:color w:val="231F1F"/>
          <w:w w:val="110"/>
        </w:rPr>
        <w:t>angiotensin-II receptor antagonists given with </w:t>
      </w:r>
      <w:r>
        <w:rPr>
          <w:rFonts w:ascii="Calibri" w:hAnsi="Calibri"/>
          <w:color w:val="008356"/>
          <w:spacing w:val="4"/>
          <w:w w:val="110"/>
          <w:sz w:val="11"/>
        </w:rPr>
        <w:t>ANTIPSYCHOTICS</w:t>
      </w:r>
    </w:p>
    <w:p>
      <w:pPr>
        <w:spacing w:line="237" w:lineRule="auto" w:before="0"/>
        <w:ind w:left="208" w:right="79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t>
      </w:r>
      <w:r>
        <w:rPr>
          <w:color w:val="231F1F"/>
          <w:spacing w:val="-4"/>
          <w:w w:val="105"/>
          <w:sz w:val="12"/>
        </w:rPr>
        <w:t>when </w:t>
      </w:r>
      <w:r>
        <w:rPr>
          <w:color w:val="231F1F"/>
          <w:w w:val="105"/>
          <w:sz w:val="12"/>
        </w:rPr>
        <w:t>angiotensin-II receptor antagonists given with </w:t>
      </w:r>
      <w:r>
        <w:rPr>
          <w:rFonts w:ascii="Calibri" w:hAnsi="Calibri"/>
          <w:color w:val="008356"/>
          <w:spacing w:val="4"/>
          <w:w w:val="105"/>
          <w:sz w:val="11"/>
        </w:rPr>
        <w:t>ANXIOLYTICS </w:t>
      </w:r>
      <w:r>
        <w:rPr>
          <w:rFonts w:ascii="Calibri" w:hAnsi="Calibri"/>
          <w:color w:val="008356"/>
          <w:spacing w:val="3"/>
          <w:w w:val="105"/>
          <w:sz w:val="11"/>
        </w:rPr>
        <w:t>AND</w:t>
      </w:r>
      <w:r>
        <w:rPr>
          <w:rFonts w:ascii="Calibri" w:hAnsi="Calibri"/>
          <w:color w:val="008356"/>
          <w:spacing w:val="6"/>
          <w:w w:val="105"/>
          <w:sz w:val="11"/>
        </w:rPr>
        <w:t> </w:t>
      </w:r>
      <w:r>
        <w:rPr>
          <w:rFonts w:ascii="Calibri" w:hAnsi="Calibri"/>
          <w:color w:val="008356"/>
          <w:spacing w:val="4"/>
          <w:w w:val="105"/>
          <w:sz w:val="11"/>
        </w:rPr>
        <w:t>HYPNOTICS</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Beta-blockers: </w:t>
      </w:r>
      <w:r>
        <w:rPr>
          <w:color w:val="231F1F"/>
          <w:w w:val="105"/>
        </w:rPr>
        <w:t>enhanced hypotensive effect when</w:t>
      </w:r>
    </w:p>
    <w:p>
      <w:pPr>
        <w:spacing w:line="134" w:lineRule="exact" w:before="0"/>
        <w:ind w:left="208" w:right="0" w:firstLine="0"/>
        <w:jc w:val="left"/>
        <w:rPr>
          <w:rFonts w:ascii="Calibri"/>
          <w:sz w:val="11"/>
        </w:rPr>
      </w:pPr>
      <w:r>
        <w:rPr>
          <w:color w:val="231F1F"/>
          <w:w w:val="115"/>
          <w:sz w:val="12"/>
        </w:rPr>
        <w:t>angiotensin-II receptor antagonists given with </w:t>
      </w:r>
      <w:r>
        <w:rPr>
          <w:rFonts w:ascii="Calibri"/>
          <w:color w:val="008356"/>
          <w:w w:val="115"/>
          <w:sz w:val="11"/>
        </w:rPr>
        <w:t>BETA-BLOCKERS</w:t>
      </w:r>
    </w:p>
    <w:p>
      <w:pPr>
        <w:spacing w:line="237" w:lineRule="auto" w:before="0"/>
        <w:ind w:left="208" w:right="7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angiotensin-II receptor antagonists given with </w:t>
      </w:r>
      <w:r>
        <w:rPr>
          <w:rFonts w:ascii="Calibri" w:hAnsi="Calibri"/>
          <w:color w:val="008356"/>
          <w:w w:val="105"/>
          <w:sz w:val="11"/>
        </w:rPr>
        <w:t>CALCIUM- CHANNEL BLOCKERS</w:t>
      </w:r>
    </w:p>
    <w:p>
      <w:pPr>
        <w:pStyle w:val="BodyText"/>
        <w:ind w:right="717"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hyperkalaemia when angiotensin-II receptor antagonists given with </w:t>
      </w:r>
      <w:r>
        <w:rPr>
          <w:rFonts w:ascii="Arial"/>
          <w:color w:val="231F1F"/>
          <w:w w:val="355"/>
          <w:position w:val="1"/>
          <w:sz w:val="7"/>
        </w:rPr>
        <w:t>l </w:t>
      </w:r>
      <w:r>
        <w:rPr>
          <w:rFonts w:ascii="Calibri"/>
          <w:color w:val="008356"/>
          <w:w w:val="110"/>
          <w:sz w:val="11"/>
        </w:rPr>
        <w:t>CICLOSPORIN</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angiotensin-II receptor antagonists given with </w:t>
      </w:r>
      <w:r>
        <w:rPr>
          <w:rFonts w:ascii="Calibri" w:hAnsi="Calibri"/>
          <w:color w:val="008356"/>
          <w:w w:val="110"/>
          <w:sz w:val="11"/>
        </w:rPr>
        <w:t>CLONIDINE</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angiotensin-II receptor antagonists antagonised by </w:t>
      </w:r>
      <w:r>
        <w:rPr>
          <w:rFonts w:ascii="Calibri" w:hAnsi="Calibri"/>
          <w:color w:val="008356"/>
          <w:w w:val="105"/>
          <w:sz w:val="11"/>
        </w:rPr>
        <w:t>CORTICOSTEROIDS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angiotensin-II receptor antagonists given with </w:t>
      </w:r>
      <w:r>
        <w:rPr>
          <w:rFonts w:ascii="Calibri" w:hAnsi="Calibri"/>
          <w:color w:val="008356"/>
          <w:w w:val="110"/>
          <w:sz w:val="11"/>
        </w:rPr>
        <w:t>DIAZOXIDE</w:t>
      </w:r>
    </w:p>
    <w:p>
      <w:pPr>
        <w:spacing w:line="247" w:lineRule="auto" w:before="0"/>
        <w:ind w:left="208" w:right="705"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enhanced hypotensive effect when angiotensin-II receptor antagonists given with </w:t>
      </w:r>
      <w:r>
        <w:rPr>
          <w:rFonts w:ascii="Arial"/>
          <w:color w:val="231F1F"/>
          <w:w w:val="355"/>
          <w:position w:val="1"/>
          <w:sz w:val="7"/>
        </w:rPr>
        <w:t>l </w:t>
      </w:r>
      <w:r>
        <w:rPr>
          <w:rFonts w:ascii="Calibri"/>
          <w:color w:val="008356"/>
          <w:spacing w:val="4"/>
          <w:w w:val="110"/>
          <w:sz w:val="11"/>
        </w:rPr>
        <w:t>DIURETICS</w:t>
      </w:r>
      <w:r>
        <w:rPr>
          <w:color w:val="231F1F"/>
          <w:spacing w:val="4"/>
          <w:w w:val="110"/>
          <w:sz w:val="12"/>
        </w:rPr>
        <w:t>; </w:t>
      </w:r>
      <w:r>
        <w:rPr>
          <w:color w:val="231F1F"/>
          <w:w w:val="110"/>
          <w:sz w:val="12"/>
        </w:rPr>
        <w:t>increased risk </w:t>
      </w:r>
      <w:r>
        <w:rPr>
          <w:color w:val="231F1F"/>
          <w:spacing w:val="-6"/>
          <w:w w:val="110"/>
          <w:sz w:val="12"/>
        </w:rPr>
        <w:t>of </w:t>
      </w:r>
      <w:r>
        <w:rPr>
          <w:color w:val="231F1F"/>
          <w:w w:val="110"/>
          <w:sz w:val="12"/>
        </w:rPr>
        <w:t>hyperkalaemia when angiotensin-II  receptor  antagonists </w:t>
      </w:r>
      <w:r>
        <w:rPr>
          <w:color w:val="231F1F"/>
          <w:w w:val="105"/>
          <w:sz w:val="12"/>
        </w:rPr>
        <w:t>given with </w:t>
      </w:r>
      <w:r>
        <w:rPr>
          <w:rFonts w:ascii="Arial"/>
          <w:color w:val="231F1F"/>
          <w:w w:val="105"/>
          <w:position w:val="1"/>
          <w:sz w:val="7"/>
        </w:rPr>
        <w:t>l </w:t>
      </w:r>
      <w:r>
        <w:rPr>
          <w:rFonts w:ascii="Calibri"/>
          <w:color w:val="008356"/>
          <w:spacing w:val="4"/>
          <w:w w:val="105"/>
          <w:sz w:val="11"/>
        </w:rPr>
        <w:t>POTASSIUM-SPARING DIURETICS </w:t>
      </w:r>
      <w:r>
        <w:rPr>
          <w:rFonts w:ascii="Calibri"/>
          <w:color w:val="008356"/>
          <w:spacing w:val="3"/>
          <w:w w:val="105"/>
          <w:sz w:val="11"/>
        </w:rPr>
        <w:t>AND </w:t>
      </w:r>
      <w:r>
        <w:rPr>
          <w:rFonts w:ascii="Calibri"/>
          <w:color w:val="008356"/>
          <w:spacing w:val="5"/>
          <w:w w:val="105"/>
          <w:sz w:val="11"/>
        </w:rPr>
        <w:t>ALDOSTERONE </w:t>
      </w:r>
      <w:r>
        <w:rPr>
          <w:rFonts w:ascii="Calibri"/>
          <w:color w:val="008356"/>
          <w:spacing w:val="3"/>
          <w:w w:val="110"/>
          <w:sz w:val="11"/>
        </w:rPr>
        <w:t>ANTAGONISTS</w:t>
      </w:r>
    </w:p>
    <w:p>
      <w:pPr>
        <w:pStyle w:val="BodyText"/>
        <w:spacing w:line="220" w:lineRule="auto" w:before="1"/>
        <w:ind w:right="665"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enhanced hypotensive effect when angiotensin-II receptor antagonists given with </w:t>
      </w:r>
      <w:r>
        <w:rPr>
          <w:rFonts w:ascii="Calibri" w:hAnsi="Calibri"/>
          <w:color w:val="008356"/>
          <w:w w:val="110"/>
          <w:sz w:val="11"/>
        </w:rPr>
        <w:t>CO-BENELDOPA</w:t>
      </w:r>
      <w:r>
        <w:rPr>
          <w:color w:val="231F1F"/>
          <w:w w:val="110"/>
        </w:rPr>
        <w:t>,</w:t>
      </w:r>
    </w:p>
    <w:p>
      <w:pPr>
        <w:spacing w:line="141" w:lineRule="exact" w:before="4"/>
        <w:ind w:left="208" w:right="0" w:firstLine="0"/>
        <w:jc w:val="both"/>
        <w:rPr>
          <w:rFonts w:ascii="Calibri"/>
          <w:sz w:val="11"/>
        </w:rPr>
      </w:pPr>
      <w:r>
        <w:rPr>
          <w:rFonts w:ascii="Calibri"/>
          <w:color w:val="008356"/>
          <w:sz w:val="11"/>
        </w:rPr>
        <w:t>CO-CARELDOPA </w:t>
      </w:r>
      <w:r>
        <w:rPr>
          <w:color w:val="231F1F"/>
          <w:sz w:val="12"/>
        </w:rPr>
        <w:t>or </w:t>
      </w:r>
      <w:r>
        <w:rPr>
          <w:rFonts w:ascii="Calibri"/>
          <w:color w:val="008356"/>
          <w:sz w:val="11"/>
        </w:rPr>
        <w:t>LEVODOPA</w:t>
      </w:r>
    </w:p>
    <w:p>
      <w:pPr>
        <w:pStyle w:val="BodyText"/>
        <w:ind w:right="625" w:hanging="100"/>
      </w:pPr>
      <w:r>
        <w:rPr>
          <w:rFonts w:ascii="Arial"/>
          <w:color w:val="231F1F"/>
          <w:w w:val="355"/>
          <w:position w:val="1"/>
          <w:sz w:val="7"/>
        </w:rPr>
        <w:t>l </w:t>
      </w:r>
      <w:r>
        <w:rPr>
          <w:rFonts w:ascii="Calibri"/>
          <w:color w:val="231F1F"/>
          <w:w w:val="115"/>
        </w:rPr>
        <w:t>Lithium: </w:t>
      </w:r>
      <w:r>
        <w:rPr>
          <w:color w:val="231F1F"/>
          <w:w w:val="115"/>
        </w:rPr>
        <w:t>angiotensin-II receptor antagonists reduce </w:t>
      </w:r>
      <w:r>
        <w:rPr>
          <w:color w:val="231F1F"/>
          <w:spacing w:val="-3"/>
          <w:w w:val="115"/>
        </w:rPr>
        <w:t>excretion </w:t>
      </w:r>
      <w:r>
        <w:rPr>
          <w:color w:val="231F1F"/>
          <w:w w:val="115"/>
        </w:rPr>
        <w:t>of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LITHIUM </w:t>
      </w:r>
      <w:r>
        <w:rPr>
          <w:color w:val="231F1F"/>
          <w:w w:val="115"/>
        </w:rPr>
        <w:t>(increased plasma concentration)</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angiotensin-II receptor antagonists given with </w:t>
      </w:r>
      <w:r>
        <w:rPr>
          <w:rFonts w:ascii="Calibri" w:hAnsi="Calibri"/>
          <w:color w:val="008356"/>
          <w:w w:val="110"/>
          <w:sz w:val="11"/>
        </w:rPr>
        <w:t>METHYLDOPA</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Moxisylyte: </w:t>
      </w:r>
      <w:r>
        <w:rPr>
          <w:color w:val="231F1F"/>
          <w:w w:val="110"/>
        </w:rPr>
        <w:t>enhanced hypotensive effect when angiotensin-II receptor antagonists given with</w:t>
      </w:r>
      <w:r>
        <w:rPr>
          <w:color w:val="231F1F"/>
          <w:spacing w:val="-7"/>
          <w:w w:val="110"/>
        </w:rPr>
        <w:t> </w:t>
      </w:r>
      <w:r>
        <w:rPr>
          <w:rFonts w:ascii="Calibri" w:hAnsi="Calibri"/>
          <w:color w:val="008356"/>
          <w:spacing w:val="3"/>
          <w:w w:val="110"/>
          <w:sz w:val="11"/>
        </w:rPr>
        <w:t>MOXISYLYTE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Moxonidine: </w:t>
      </w:r>
      <w:r>
        <w:rPr>
          <w:color w:val="231F1F"/>
          <w:w w:val="110"/>
        </w:rPr>
        <w:t>enhanced hypotensive effect when angiotensin-II receptor antagonists given with</w:t>
      </w:r>
      <w:r>
        <w:rPr>
          <w:color w:val="231F1F"/>
          <w:spacing w:val="-11"/>
          <w:w w:val="110"/>
        </w:rPr>
        <w:t> </w:t>
      </w:r>
      <w:r>
        <w:rPr>
          <w:rFonts w:ascii="Calibri" w:hAnsi="Calibri"/>
          <w:color w:val="008356"/>
          <w:spacing w:val="4"/>
          <w:w w:val="110"/>
          <w:sz w:val="11"/>
        </w:rPr>
        <w:t>MOXONIDINE</w:t>
      </w:r>
    </w:p>
    <w:p>
      <w:pPr>
        <w:pStyle w:val="BodyText"/>
        <w:spacing w:line="237" w:lineRule="auto" w:before="1"/>
        <w:ind w:right="800"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enhanced hypotensive effect when angiotensin-II receptor antagonists given with </w:t>
      </w:r>
      <w:r>
        <w:rPr>
          <w:rFonts w:ascii="Calibri" w:hAnsi="Calibri"/>
          <w:color w:val="008356"/>
          <w:w w:val="110"/>
          <w:sz w:val="11"/>
        </w:rPr>
        <w:t>BACLOFEN </w:t>
      </w:r>
      <w:r>
        <w:rPr>
          <w:color w:val="231F1F"/>
          <w:w w:val="110"/>
        </w:rPr>
        <w:t>or </w:t>
      </w:r>
      <w:r>
        <w:rPr>
          <w:rFonts w:ascii="Calibri" w:hAnsi="Calibri"/>
          <w:color w:val="008356"/>
          <w:w w:val="110"/>
          <w:sz w:val="11"/>
        </w:rPr>
        <w:t>TIZANIDINE</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angiotensin-II receptor antagonists given with </w:t>
      </w:r>
      <w:r>
        <w:rPr>
          <w:rFonts w:ascii="Calibri" w:hAnsi="Calibri"/>
          <w:color w:val="008356"/>
          <w:w w:val="110"/>
          <w:sz w:val="11"/>
        </w:rPr>
        <w:t>NITRATES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angiotensin-II receptor antagonists antagonised by </w:t>
      </w:r>
      <w:r>
        <w:rPr>
          <w:rFonts w:ascii="Calibri" w:hAnsi="Calibri"/>
          <w:color w:val="008356"/>
          <w:w w:val="105"/>
          <w:sz w:val="11"/>
        </w:rPr>
        <w:t>OESTROGENS</w:t>
      </w:r>
    </w:p>
    <w:p>
      <w:pPr>
        <w:pStyle w:val="BodyText"/>
        <w:spacing w:line="247" w:lineRule="auto" w:before="1"/>
        <w:ind w:right="733" w:hanging="100"/>
        <w:rPr>
          <w:rFonts w:ascii="Calibri"/>
          <w:sz w:val="11"/>
        </w:rPr>
      </w:pPr>
      <w:r>
        <w:rPr>
          <w:rFonts w:ascii="Arial"/>
          <w:color w:val="231F1F"/>
          <w:w w:val="355"/>
          <w:position w:val="1"/>
          <w:sz w:val="7"/>
        </w:rPr>
        <w:t>l </w:t>
      </w:r>
      <w:r>
        <w:rPr>
          <w:rFonts w:ascii="Calibri"/>
          <w:color w:val="231F1F"/>
          <w:w w:val="115"/>
        </w:rPr>
        <w:t>Potassium Salts: </w:t>
      </w:r>
      <w:r>
        <w:rPr>
          <w:color w:val="231F1F"/>
          <w:w w:val="115"/>
        </w:rPr>
        <w:t>increased risk of hyperkalaemia when angiotensin-II receptor antagonists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2"/>
          <w:w w:val="115"/>
          <w:sz w:val="11"/>
        </w:rPr>
        <w:t>POTASSIUM </w:t>
      </w:r>
      <w:r>
        <w:rPr>
          <w:rFonts w:ascii="Calibri"/>
          <w:color w:val="008356"/>
          <w:spacing w:val="3"/>
          <w:w w:val="115"/>
          <w:sz w:val="11"/>
        </w:rPr>
        <w:t>SALTS</w:t>
      </w:r>
    </w:p>
    <w:p>
      <w:pPr>
        <w:pStyle w:val="BodyText"/>
        <w:spacing w:line="220" w:lineRule="auto" w:before="1"/>
        <w:ind w:right="793"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angiotensin-II  receptor antagonists given with</w:t>
      </w:r>
      <w:r>
        <w:rPr>
          <w:color w:val="231F1F"/>
          <w:spacing w:val="26"/>
          <w:w w:val="110"/>
        </w:rPr>
        <w:t> </w:t>
      </w:r>
      <w:r>
        <w:rPr>
          <w:rFonts w:ascii="Calibri" w:hAnsi="Calibri"/>
          <w:color w:val="008356"/>
          <w:spacing w:val="2"/>
          <w:w w:val="110"/>
          <w:sz w:val="11"/>
        </w:rPr>
        <w:t>ALPROSTADIL</w:t>
      </w:r>
    </w:p>
    <w:p>
      <w:pPr>
        <w:pStyle w:val="BodyText"/>
        <w:spacing w:line="220" w:lineRule="auto" w:before="9"/>
        <w:ind w:right="837"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increased risk of hyperkalaemia when angiotensin-II  receptor  antagonists  given  with  </w:t>
      </w:r>
      <w:r>
        <w:rPr>
          <w:color w:val="231F1F"/>
          <w:spacing w:val="2"/>
          <w:w w:val="105"/>
        </w:rPr>
        <w:t> </w:t>
      </w:r>
      <w:r>
        <w:rPr>
          <w:rFonts w:ascii="Calibri" w:hAnsi="Calibri"/>
          <w:color w:val="008356"/>
          <w:w w:val="105"/>
          <w:sz w:val="11"/>
        </w:rPr>
        <w:t>TACROLIMUS</w:t>
      </w:r>
    </w:p>
    <w:p>
      <w:pPr>
        <w:spacing w:line="235" w:lineRule="auto" w:before="2"/>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angiotensin-II receptor antagonists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6"/>
        <w:ind w:left="108"/>
        <w:rPr>
          <w:rFonts w:ascii="Trebuchet MS"/>
        </w:rPr>
      </w:pPr>
      <w:r>
        <w:rPr>
          <w:rFonts w:ascii="Trebuchet MS"/>
          <w:color w:val="008356"/>
        </w:rPr>
        <w:t>Antacids</w:t>
      </w:r>
    </w:p>
    <w:p>
      <w:pPr>
        <w:pStyle w:val="BodyText"/>
        <w:spacing w:before="5"/>
        <w:ind w:right="829"/>
      </w:pPr>
      <w:r>
        <w:rPr>
          <w:rFonts w:ascii="Calibri"/>
          <w:color w:val="008356"/>
          <w:w w:val="115"/>
          <w:sz w:val="11"/>
        </w:rPr>
        <w:t>NOTE </w:t>
      </w:r>
      <w:r>
        <w:rPr>
          <w:color w:val="231F1F"/>
          <w:w w:val="115"/>
        </w:rPr>
        <w:t>Antacids should preferably not be taken at the same time as other drugs since they may impair absorption</w:t>
      </w:r>
    </w:p>
    <w:p>
      <w:pPr>
        <w:spacing w:line="230" w:lineRule="auto" w:before="6"/>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ACE Inhibitors: </w:t>
      </w:r>
      <w:r>
        <w:rPr>
          <w:color w:val="231F1F"/>
          <w:w w:val="105"/>
          <w:sz w:val="12"/>
        </w:rPr>
        <w:t>antacids possibly reduce absorption of </w:t>
      </w:r>
      <w:r>
        <w:rPr>
          <w:rFonts w:ascii="Calibri" w:hAnsi="Calibri"/>
          <w:color w:val="008356"/>
          <w:w w:val="105"/>
          <w:sz w:val="11"/>
        </w:rPr>
        <w:t>ACE INHIBITORS</w:t>
      </w:r>
      <w:r>
        <w:rPr>
          <w:color w:val="231F1F"/>
          <w:w w:val="105"/>
          <w:sz w:val="12"/>
        </w:rPr>
        <w:t>; antacids reduce absorption of </w:t>
      </w:r>
      <w:r>
        <w:rPr>
          <w:rFonts w:ascii="Calibri" w:hAnsi="Calibri"/>
          <w:color w:val="008356"/>
          <w:w w:val="105"/>
          <w:sz w:val="11"/>
        </w:rPr>
        <w:t>CAPTOPRIL</w:t>
      </w:r>
      <w:r>
        <w:rPr>
          <w:color w:val="231F1F"/>
          <w:w w:val="105"/>
          <w:sz w:val="12"/>
        </w:rPr>
        <w:t>, </w:t>
      </w:r>
      <w:r>
        <w:rPr>
          <w:rFonts w:ascii="Calibri" w:hAnsi="Calibri"/>
          <w:color w:val="008356"/>
          <w:w w:val="105"/>
          <w:sz w:val="11"/>
        </w:rPr>
        <w:t>ENALAPRIL </w:t>
      </w:r>
      <w:r>
        <w:rPr>
          <w:color w:val="231F1F"/>
          <w:w w:val="105"/>
          <w:sz w:val="12"/>
        </w:rPr>
        <w:t>and </w:t>
      </w:r>
      <w:r>
        <w:rPr>
          <w:rFonts w:ascii="Calibri" w:hAnsi="Calibri"/>
          <w:color w:val="008356"/>
          <w:w w:val="105"/>
          <w:sz w:val="11"/>
        </w:rPr>
        <w:t>FOSINOPRIL</w:t>
      </w:r>
    </w:p>
    <w:p>
      <w:pPr>
        <w:spacing w:after="0" w:line="230" w:lineRule="auto"/>
        <w:jc w:val="left"/>
        <w:rPr>
          <w:rFonts w:ascii="Calibri" w:hAnsi="Calibri"/>
          <w:sz w:val="11"/>
        </w:rPr>
        <w:sectPr>
          <w:pgSz w:w="8390" w:h="11910"/>
          <w:pgMar w:header="0" w:footer="0" w:top="460" w:bottom="0" w:left="480" w:right="0"/>
          <w:cols w:num="2" w:equalWidth="0">
            <w:col w:w="3605" w:space="71"/>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1552" filled="true" fillcolor="#bfdbcf" stroked="false">
            <v:fill type="solid"/>
            <w10:wrap type="none"/>
          </v:rect>
        </w:pict>
      </w:r>
      <w:r>
        <w:rPr/>
        <w:pict>
          <v:shape style="position:absolute;margin-left:7.751256pt;margin-top:35.804367pt;width:10.4pt;height:78.850pt;mso-position-horizontal-relative:page;mso-position-vertical-relative:page;z-index:157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Antacids </w:t>
      </w:r>
      <w:r>
        <w:rPr>
          <w:rFonts w:ascii="Calibri"/>
          <w:color w:val="231F1F"/>
        </w:rPr>
        <w:t>(continued)</w:t>
      </w:r>
    </w:p>
    <w:p>
      <w:pPr>
        <w:pStyle w:val="BodyText"/>
        <w:spacing w:line="230" w:lineRule="auto" w:before="2"/>
        <w:ind w:left="286" w:right="141"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antacids possibly reduce absorption of </w:t>
      </w:r>
      <w:r>
        <w:rPr>
          <w:rFonts w:ascii="Calibri" w:hAnsi="Calibri"/>
          <w:color w:val="008356"/>
          <w:w w:val="110"/>
          <w:sz w:val="11"/>
        </w:rPr>
        <w:t>ACEMETACIN</w:t>
      </w:r>
      <w:r>
        <w:rPr>
          <w:color w:val="231F1F"/>
          <w:w w:val="110"/>
        </w:rPr>
        <w:t>; alkaline urine due to some antacids increases excretion of </w:t>
      </w:r>
      <w:r>
        <w:rPr>
          <w:rFonts w:ascii="Calibri" w:hAnsi="Calibri"/>
          <w:color w:val="008356"/>
          <w:w w:val="110"/>
          <w:sz w:val="11"/>
        </w:rPr>
        <w:t>ASPIRIN</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Anthelmintics: </w:t>
      </w:r>
      <w:r>
        <w:rPr>
          <w:color w:val="231F1F"/>
          <w:w w:val="105"/>
        </w:rPr>
        <w:t>sodium bicarbonate increases the excretion of</w:t>
      </w:r>
    </w:p>
    <w:p>
      <w:pPr>
        <w:spacing w:line="130" w:lineRule="exact" w:before="0"/>
        <w:ind w:left="286" w:right="0" w:firstLine="0"/>
        <w:jc w:val="left"/>
        <w:rPr>
          <w:rFonts w:ascii="Calibri"/>
          <w:sz w:val="11"/>
        </w:rPr>
      </w:pPr>
      <w:r>
        <w:rPr>
          <w:rFonts w:ascii="Calibri"/>
          <w:color w:val="008356"/>
          <w:sz w:val="11"/>
        </w:rPr>
        <w:t>DIETHYLCARBAMAZINE</w:t>
      </w:r>
    </w:p>
    <w:p>
      <w:pPr>
        <w:spacing w:line="230" w:lineRule="auto" w:before="3"/>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antacids reduce absorption of </w:t>
      </w:r>
      <w:r>
        <w:rPr>
          <w:rFonts w:ascii="Calibri" w:hAnsi="Calibri"/>
          <w:color w:val="008356"/>
          <w:w w:val="105"/>
          <w:sz w:val="11"/>
        </w:rPr>
        <w:t>AZITHROMYCIN</w:t>
      </w:r>
      <w:r>
        <w:rPr>
          <w:color w:val="231F1F"/>
          <w:w w:val="105"/>
          <w:sz w:val="12"/>
        </w:rPr>
        <w:t>, </w:t>
      </w:r>
      <w:r>
        <w:rPr>
          <w:rFonts w:ascii="Calibri" w:hAnsi="Calibri"/>
          <w:color w:val="008356"/>
          <w:w w:val="105"/>
          <w:sz w:val="11"/>
        </w:rPr>
        <w:t>CEFACLOR</w:t>
      </w:r>
      <w:r>
        <w:rPr>
          <w:color w:val="231F1F"/>
          <w:w w:val="105"/>
          <w:sz w:val="12"/>
        </w:rPr>
        <w:t>, </w:t>
      </w:r>
      <w:r>
        <w:rPr>
          <w:rFonts w:ascii="Calibri" w:hAnsi="Calibri"/>
          <w:color w:val="008356"/>
          <w:w w:val="105"/>
          <w:sz w:val="11"/>
        </w:rPr>
        <w:t>CIPROFLOXACIN</w:t>
      </w:r>
      <w:r>
        <w:rPr>
          <w:color w:val="231F1F"/>
          <w:w w:val="105"/>
          <w:sz w:val="12"/>
        </w:rPr>
        <w:t>, </w:t>
      </w:r>
      <w:r>
        <w:rPr>
          <w:rFonts w:ascii="Calibri" w:hAnsi="Calibri"/>
          <w:color w:val="008356"/>
          <w:w w:val="105"/>
          <w:sz w:val="11"/>
        </w:rPr>
        <w:t>ISONIAZID</w:t>
      </w:r>
      <w:r>
        <w:rPr>
          <w:color w:val="231F1F"/>
          <w:w w:val="105"/>
          <w:sz w:val="12"/>
        </w:rPr>
        <w:t>, </w:t>
      </w:r>
      <w:r>
        <w:rPr>
          <w:rFonts w:ascii="Calibri" w:hAnsi="Calibri"/>
          <w:color w:val="008356"/>
          <w:w w:val="105"/>
          <w:sz w:val="11"/>
        </w:rPr>
        <w:t>LEVOFLOXACIN</w:t>
      </w:r>
      <w:r>
        <w:rPr>
          <w:color w:val="231F1F"/>
          <w:w w:val="105"/>
          <w:sz w:val="12"/>
        </w:rPr>
        <w:t>, </w:t>
      </w:r>
      <w:r>
        <w:rPr>
          <w:rFonts w:ascii="Calibri" w:hAnsi="Calibri"/>
          <w:color w:val="008356"/>
          <w:w w:val="105"/>
          <w:sz w:val="11"/>
        </w:rPr>
        <w:t>MOXIFLOXACIN</w:t>
      </w:r>
      <w:r>
        <w:rPr>
          <w:color w:val="231F1F"/>
          <w:w w:val="105"/>
          <w:sz w:val="12"/>
        </w:rPr>
        <w:t>, </w:t>
      </w:r>
      <w:r>
        <w:rPr>
          <w:rFonts w:ascii="Calibri" w:hAnsi="Calibri"/>
          <w:color w:val="008356"/>
          <w:w w:val="105"/>
          <w:sz w:val="11"/>
        </w:rPr>
        <w:t>NORFLOXACIN</w:t>
      </w:r>
      <w:r>
        <w:rPr>
          <w:color w:val="231F1F"/>
          <w:w w:val="105"/>
          <w:sz w:val="12"/>
        </w:rPr>
        <w:t>, </w:t>
      </w:r>
      <w:r>
        <w:rPr>
          <w:rFonts w:ascii="Calibri" w:hAnsi="Calibri"/>
          <w:color w:val="008356"/>
          <w:w w:val="105"/>
          <w:sz w:val="11"/>
        </w:rPr>
        <w:t>OFLOXACIN</w:t>
      </w:r>
      <w:r>
        <w:rPr>
          <w:color w:val="231F1F"/>
          <w:w w:val="105"/>
          <w:sz w:val="12"/>
        </w:rPr>
        <w:t>, </w:t>
      </w:r>
      <w:r>
        <w:rPr>
          <w:rFonts w:ascii="Calibri" w:hAnsi="Calibri"/>
          <w:color w:val="008356"/>
          <w:w w:val="105"/>
          <w:sz w:val="11"/>
        </w:rPr>
        <w:t>RIFAMPICIN </w:t>
      </w:r>
      <w:r>
        <w:rPr>
          <w:color w:val="231F1F"/>
          <w:w w:val="105"/>
          <w:sz w:val="12"/>
        </w:rPr>
        <w:t>and</w:t>
      </w:r>
    </w:p>
    <w:p>
      <w:pPr>
        <w:spacing w:line="242" w:lineRule="auto" w:before="5"/>
        <w:ind w:left="286" w:right="141" w:firstLine="0"/>
        <w:jc w:val="left"/>
        <w:rPr>
          <w:rFonts w:ascii="Calibri"/>
          <w:sz w:val="11"/>
        </w:rPr>
      </w:pPr>
      <w:r>
        <w:rPr>
          <w:rFonts w:ascii="Calibri"/>
          <w:color w:val="008356"/>
          <w:w w:val="110"/>
          <w:sz w:val="11"/>
        </w:rPr>
        <w:t>TETRACYCLINES</w:t>
      </w:r>
      <w:r>
        <w:rPr>
          <w:color w:val="231F1F"/>
          <w:w w:val="110"/>
          <w:sz w:val="12"/>
        </w:rPr>
        <w:t>; avoid concomitant use of antacids with </w:t>
      </w:r>
      <w:r>
        <w:rPr>
          <w:rFonts w:ascii="Calibri"/>
          <w:color w:val="008356"/>
          <w:w w:val="110"/>
          <w:sz w:val="11"/>
        </w:rPr>
        <w:t>METHENAMINE</w:t>
      </w:r>
      <w:r>
        <w:rPr>
          <w:color w:val="231F1F"/>
          <w:w w:val="110"/>
          <w:sz w:val="12"/>
        </w:rPr>
        <w:t>; oral magnesium salts (as magnesium trisilicate) reduce absorption of </w:t>
      </w:r>
      <w:r>
        <w:rPr>
          <w:rFonts w:ascii="Calibri"/>
          <w:color w:val="008356"/>
          <w:w w:val="110"/>
          <w:sz w:val="11"/>
        </w:rPr>
        <w:t>NITROFURANTOIN</w:t>
      </w:r>
    </w:p>
    <w:p>
      <w:pPr>
        <w:spacing w:line="220" w:lineRule="auto" w:before="6"/>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antacids reduce absorption of </w:t>
      </w:r>
      <w:r>
        <w:rPr>
          <w:rFonts w:ascii="Calibri" w:hAnsi="Calibri"/>
          <w:color w:val="008356"/>
          <w:w w:val="105"/>
          <w:sz w:val="11"/>
        </w:rPr>
        <w:t>FOSPHENYTOIN</w:t>
      </w:r>
      <w:r>
        <w:rPr>
          <w:color w:val="231F1F"/>
          <w:w w:val="105"/>
          <w:sz w:val="12"/>
        </w:rPr>
        <w:t>, </w:t>
      </w:r>
      <w:r>
        <w:rPr>
          <w:rFonts w:ascii="Calibri" w:hAnsi="Calibri"/>
          <w:color w:val="008356"/>
          <w:w w:val="105"/>
          <w:sz w:val="11"/>
        </w:rPr>
        <w:t>GABAPENTIN </w:t>
      </w:r>
      <w:r>
        <w:rPr>
          <w:color w:val="231F1F"/>
          <w:w w:val="105"/>
          <w:sz w:val="12"/>
        </w:rPr>
        <w:t>and </w:t>
      </w:r>
      <w:r>
        <w:rPr>
          <w:rFonts w:ascii="Calibri" w:hAnsi="Calibri"/>
          <w:color w:val="008356"/>
          <w:w w:val="105"/>
          <w:sz w:val="11"/>
        </w:rPr>
        <w:t>PHENYTOIN</w:t>
      </w:r>
    </w:p>
    <w:p>
      <w:pPr>
        <w:spacing w:line="155" w:lineRule="exact" w:before="0"/>
        <w:ind w:left="186" w:right="0" w:firstLine="0"/>
        <w:jc w:val="left"/>
        <w:rPr>
          <w:sz w:val="12"/>
        </w:rPr>
      </w:pPr>
      <w:r>
        <w:rPr>
          <w:rFonts w:ascii="Lucida Sans Unicode" w:hAnsi="Lucida Sans Unicode"/>
          <w:color w:val="A7A8AC"/>
          <w:w w:val="95"/>
          <w:sz w:val="10"/>
        </w:rPr>
        <w:t>▶ </w:t>
      </w:r>
      <w:r>
        <w:rPr>
          <w:rFonts w:ascii="Calibri" w:hAnsi="Calibri"/>
          <w:color w:val="231F1F"/>
          <w:w w:val="105"/>
          <w:sz w:val="12"/>
        </w:rPr>
        <w:t>Antifungals: </w:t>
      </w:r>
      <w:r>
        <w:rPr>
          <w:color w:val="231F1F"/>
          <w:w w:val="105"/>
          <w:sz w:val="12"/>
        </w:rPr>
        <w:t>antacids reduce absorption of </w:t>
      </w:r>
      <w:r>
        <w:rPr>
          <w:rFonts w:ascii="Calibri" w:hAnsi="Calibri"/>
          <w:color w:val="008356"/>
          <w:w w:val="105"/>
          <w:sz w:val="11"/>
        </w:rPr>
        <w:t>ITRACONAZOLE </w:t>
      </w:r>
      <w:r>
        <w:rPr>
          <w:color w:val="231F1F"/>
          <w:w w:val="105"/>
          <w:sz w:val="12"/>
        </w:rPr>
        <w:t>and</w:t>
      </w:r>
    </w:p>
    <w:p>
      <w:pPr>
        <w:spacing w:line="130" w:lineRule="exact" w:before="0"/>
        <w:ind w:left="286" w:right="0" w:firstLine="0"/>
        <w:jc w:val="left"/>
        <w:rPr>
          <w:rFonts w:ascii="Calibri"/>
          <w:sz w:val="11"/>
        </w:rPr>
      </w:pPr>
      <w:r>
        <w:rPr>
          <w:rFonts w:ascii="Calibri"/>
          <w:color w:val="008356"/>
          <w:sz w:val="11"/>
        </w:rPr>
        <w:t>KETOCONAZOLE</w:t>
      </w:r>
    </w:p>
    <w:p>
      <w:pPr>
        <w:spacing w:line="149"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Antihistamines: </w:t>
      </w:r>
      <w:r>
        <w:rPr>
          <w:color w:val="231F1F"/>
          <w:w w:val="105"/>
          <w:sz w:val="12"/>
        </w:rPr>
        <w:t>antacids reduce absorption of </w:t>
      </w:r>
      <w:r>
        <w:rPr>
          <w:rFonts w:ascii="Calibri" w:hAnsi="Calibri"/>
          <w:color w:val="008356"/>
          <w:w w:val="105"/>
          <w:sz w:val="11"/>
        </w:rPr>
        <w:t>FEXOFENADINE</w:t>
      </w:r>
    </w:p>
    <w:p>
      <w:pPr>
        <w:spacing w:line="230"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Antimalarials: </w:t>
      </w:r>
      <w:r>
        <w:rPr>
          <w:color w:val="231F1F"/>
          <w:w w:val="105"/>
          <w:sz w:val="12"/>
        </w:rPr>
        <w:t>antacids reduce absorption of </w:t>
      </w:r>
      <w:r>
        <w:rPr>
          <w:rFonts w:ascii="Calibri" w:hAnsi="Calibri"/>
          <w:color w:val="008356"/>
          <w:w w:val="105"/>
          <w:sz w:val="11"/>
        </w:rPr>
        <w:t>CHLOROQUINE </w:t>
      </w:r>
      <w:r>
        <w:rPr>
          <w:color w:val="231F1F"/>
          <w:w w:val="105"/>
          <w:sz w:val="12"/>
        </w:rPr>
        <w:t>and </w:t>
      </w:r>
      <w:r>
        <w:rPr>
          <w:rFonts w:ascii="Calibri" w:hAnsi="Calibri"/>
          <w:color w:val="008356"/>
          <w:w w:val="105"/>
          <w:sz w:val="11"/>
        </w:rPr>
        <w:t>HYDROXYCHLOROQUINE</w:t>
      </w:r>
      <w:r>
        <w:rPr>
          <w:color w:val="231F1F"/>
          <w:w w:val="105"/>
          <w:sz w:val="12"/>
        </w:rPr>
        <w:t>; oral magnesium salts (as magnesium trisilicate) reduce absorption of </w:t>
      </w:r>
      <w:r>
        <w:rPr>
          <w:rFonts w:ascii="Calibri" w:hAnsi="Calibri"/>
          <w:color w:val="008356"/>
          <w:w w:val="105"/>
          <w:sz w:val="11"/>
        </w:rPr>
        <w:t>PROGUANIL</w:t>
      </w:r>
    </w:p>
    <w:p>
      <w:pPr>
        <w:spacing w:line="152"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Antipsychotics: </w:t>
      </w:r>
      <w:r>
        <w:rPr>
          <w:color w:val="231F1F"/>
          <w:w w:val="105"/>
          <w:sz w:val="12"/>
        </w:rPr>
        <w:t>antacids reduce absorption of </w:t>
      </w:r>
      <w:r>
        <w:rPr>
          <w:rFonts w:ascii="Calibri" w:hAnsi="Calibri"/>
          <w:color w:val="008356"/>
          <w:w w:val="105"/>
          <w:sz w:val="11"/>
        </w:rPr>
        <w:t>PHENOTHIAZINES</w:t>
      </w:r>
    </w:p>
    <w:p>
      <w:pPr>
        <w:spacing w:line="134" w:lineRule="exact" w:before="0"/>
        <w:ind w:left="286" w:right="0" w:firstLine="0"/>
        <w:jc w:val="left"/>
        <w:rPr>
          <w:rFonts w:ascii="Calibri"/>
          <w:sz w:val="11"/>
        </w:rPr>
      </w:pPr>
      <w:r>
        <w:rPr>
          <w:color w:val="231F1F"/>
          <w:w w:val="110"/>
          <w:sz w:val="12"/>
        </w:rPr>
        <w:t>and </w:t>
      </w:r>
      <w:r>
        <w:rPr>
          <w:rFonts w:ascii="Calibri"/>
          <w:color w:val="008356"/>
          <w:w w:val="110"/>
          <w:sz w:val="11"/>
        </w:rPr>
        <w:t>SULPIRIDE</w:t>
      </w:r>
    </w:p>
    <w:p>
      <w:pPr>
        <w:pStyle w:val="BodyText"/>
        <w:spacing w:line="244" w:lineRule="auto"/>
        <w:ind w:left="286" w:right="48"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antacids reduce absorption of </w:t>
      </w:r>
      <w:r>
        <w:rPr>
          <w:rFonts w:ascii="Calibri" w:hAnsi="Calibri"/>
          <w:color w:val="008356"/>
          <w:spacing w:val="2"/>
          <w:w w:val="110"/>
          <w:sz w:val="11"/>
        </w:rPr>
        <w:t>ATAZANAVIR </w:t>
      </w:r>
      <w:r>
        <w:rPr>
          <w:color w:val="231F1F"/>
          <w:w w:val="110"/>
        </w:rPr>
        <w:t>(give at least 2 hours before or 1 hour after antacids); aluminium hydroxide reduces absorption of </w:t>
      </w:r>
      <w:r>
        <w:rPr>
          <w:rFonts w:ascii="Calibri" w:hAnsi="Calibri"/>
          <w:color w:val="008356"/>
          <w:spacing w:val="4"/>
          <w:w w:val="110"/>
          <w:sz w:val="11"/>
        </w:rPr>
        <w:t>DOLUTEGRAVIR</w:t>
      </w:r>
      <w:r>
        <w:rPr>
          <w:rFonts w:ascii="Arial" w:hAnsi="Arial"/>
          <w:color w:val="231F1F"/>
          <w:spacing w:val="4"/>
          <w:w w:val="110"/>
        </w:rPr>
        <w:t>— </w:t>
      </w:r>
      <w:r>
        <w:rPr>
          <w:color w:val="231F1F"/>
          <w:w w:val="110"/>
        </w:rPr>
        <w:t>manufacturer of dolutegravir advises give at least 2 hours before or 6 hours after  aluminium hydroxide; oral  magnesium salts reduce absorption of </w:t>
      </w:r>
      <w:r>
        <w:rPr>
          <w:rFonts w:ascii="Calibri" w:hAnsi="Calibri"/>
          <w:color w:val="008356"/>
          <w:spacing w:val="4"/>
          <w:w w:val="110"/>
          <w:sz w:val="11"/>
        </w:rPr>
        <w:t>DOLUTEGRAVIR</w:t>
      </w:r>
      <w:r>
        <w:rPr>
          <w:rFonts w:ascii="Arial" w:hAnsi="Arial"/>
          <w:color w:val="231F1F"/>
          <w:spacing w:val="4"/>
          <w:w w:val="110"/>
        </w:rPr>
        <w:t>— </w:t>
      </w:r>
      <w:r>
        <w:rPr>
          <w:color w:val="231F1F"/>
          <w:w w:val="110"/>
        </w:rPr>
        <w:t>manufacturer of dolutegravir advises give at least 2 hours before or 6 hours after oral magnesium salts; aluminium hydroxide reduces absorption of </w:t>
      </w:r>
      <w:r>
        <w:rPr>
          <w:rFonts w:ascii="Calibri" w:hAnsi="Calibri"/>
          <w:color w:val="008356"/>
          <w:spacing w:val="3"/>
          <w:w w:val="110"/>
          <w:sz w:val="11"/>
        </w:rPr>
        <w:t>ELVITEGRAVIR </w:t>
      </w:r>
      <w:r>
        <w:rPr>
          <w:color w:val="231F1F"/>
          <w:w w:val="110"/>
        </w:rPr>
        <w:t>(give at least 4 hours apart); oral magnesium salts reduce absorption of </w:t>
      </w:r>
      <w:r>
        <w:rPr>
          <w:rFonts w:ascii="Calibri" w:hAnsi="Calibri"/>
          <w:color w:val="008356"/>
          <w:spacing w:val="3"/>
          <w:w w:val="110"/>
          <w:sz w:val="11"/>
        </w:rPr>
        <w:t>ELVITEGRAVIR </w:t>
      </w:r>
      <w:r>
        <w:rPr>
          <w:color w:val="231F1F"/>
          <w:w w:val="110"/>
        </w:rPr>
        <w:t>(give at least 4 hours apart); aluminium hydroxide reduces plasma concentration of </w:t>
      </w:r>
      <w:r>
        <w:rPr>
          <w:rFonts w:ascii="Calibri" w:hAnsi="Calibri"/>
          <w:color w:val="008356"/>
          <w:spacing w:val="3"/>
          <w:w w:val="110"/>
          <w:sz w:val="11"/>
        </w:rPr>
        <w:t>RALTEGRAVIR</w:t>
      </w:r>
      <w:r>
        <w:rPr>
          <w:rFonts w:ascii="Arial" w:hAnsi="Arial"/>
          <w:color w:val="231F1F"/>
          <w:spacing w:val="3"/>
          <w:w w:val="110"/>
        </w:rPr>
        <w:t>— </w:t>
      </w:r>
      <w:r>
        <w:rPr>
          <w:color w:val="231F1F"/>
          <w:w w:val="110"/>
        </w:rPr>
        <w:t>manufacturer of raltegravir advises avoid concomitant use; oral magnesium salts reduce plasma concentration of </w:t>
      </w:r>
      <w:r>
        <w:rPr>
          <w:rFonts w:ascii="Calibri" w:hAnsi="Calibri"/>
          <w:color w:val="008356"/>
          <w:w w:val="110"/>
          <w:sz w:val="11"/>
        </w:rPr>
        <w:t>RALTEGRAVIR</w:t>
      </w:r>
      <w:r>
        <w:rPr>
          <w:rFonts w:ascii="Arial" w:hAnsi="Arial"/>
          <w:color w:val="231F1F"/>
          <w:w w:val="110"/>
        </w:rPr>
        <w:t>—</w:t>
      </w:r>
      <w:r>
        <w:rPr>
          <w:color w:val="231F1F"/>
          <w:w w:val="110"/>
        </w:rPr>
        <w:t>manufacturer of raltegravir advises avoid concomitant use; manufacturer of rilpivirine advises give antacids 2 hours before or 4 hours after </w:t>
      </w:r>
      <w:r>
        <w:rPr>
          <w:rFonts w:ascii="Calibri" w:hAnsi="Calibri"/>
          <w:color w:val="008356"/>
          <w:spacing w:val="4"/>
          <w:w w:val="110"/>
          <w:sz w:val="11"/>
        </w:rPr>
        <w:t>RILPIVIRINE</w:t>
      </w:r>
      <w:r>
        <w:rPr>
          <w:color w:val="231F1F"/>
          <w:spacing w:val="4"/>
          <w:w w:val="110"/>
        </w:rPr>
        <w:t>; </w:t>
      </w:r>
      <w:r>
        <w:rPr>
          <w:color w:val="231F1F"/>
          <w:w w:val="110"/>
        </w:rPr>
        <w:t>antacids reduce absorption of </w:t>
      </w:r>
      <w:r>
        <w:rPr>
          <w:rFonts w:ascii="Calibri" w:hAnsi="Calibri"/>
          <w:color w:val="008356"/>
          <w:spacing w:val="4"/>
          <w:w w:val="110"/>
          <w:sz w:val="11"/>
        </w:rPr>
        <w:t>TIPRANAVIR </w:t>
      </w:r>
      <w:r>
        <w:rPr>
          <w:color w:val="231F1F"/>
          <w:w w:val="110"/>
        </w:rPr>
        <w:t>(give at least 2 hours</w:t>
      </w:r>
      <w:r>
        <w:rPr>
          <w:color w:val="231F1F"/>
          <w:spacing w:val="-1"/>
          <w:w w:val="110"/>
        </w:rPr>
        <w:t> </w:t>
      </w:r>
      <w:r>
        <w:rPr>
          <w:color w:val="231F1F"/>
          <w:w w:val="110"/>
        </w:rPr>
        <w:t>apart)</w:t>
      </w:r>
    </w:p>
    <w:p>
      <w:pPr>
        <w:pStyle w:val="BodyText"/>
        <w:spacing w:line="146"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Bile Acids: </w:t>
      </w:r>
      <w:r>
        <w:rPr>
          <w:color w:val="231F1F"/>
          <w:w w:val="105"/>
        </w:rPr>
        <w:t>antacids possibly reduce absorption of </w:t>
      </w:r>
      <w:r>
        <w:rPr>
          <w:rFonts w:ascii="Calibri" w:hAnsi="Calibri"/>
          <w:color w:val="008356"/>
          <w:w w:val="105"/>
          <w:sz w:val="11"/>
        </w:rPr>
        <w:t>BILE ACIDS</w:t>
      </w:r>
    </w:p>
    <w:p>
      <w:pPr>
        <w:pStyle w:val="BodyText"/>
        <w:spacing w:line="147" w:lineRule="exact"/>
        <w:ind w:left="186"/>
      </w:pPr>
      <w:r>
        <w:rPr>
          <w:rFonts w:ascii="Lucida Sans Unicode" w:hAnsi="Lucida Sans Unicode"/>
          <w:color w:val="A7A8AC"/>
          <w:w w:val="95"/>
          <w:sz w:val="10"/>
        </w:rPr>
        <w:t>▶ </w:t>
      </w:r>
      <w:r>
        <w:rPr>
          <w:rFonts w:ascii="Calibri" w:hAnsi="Calibri"/>
          <w:color w:val="231F1F"/>
          <w:w w:val="105"/>
        </w:rPr>
        <w:t>Bisphosphonates: </w:t>
      </w:r>
      <w:r>
        <w:rPr>
          <w:color w:val="231F1F"/>
          <w:w w:val="105"/>
        </w:rPr>
        <w:t>antacids reduce absorption of</w:t>
      </w:r>
    </w:p>
    <w:p>
      <w:pPr>
        <w:spacing w:line="130" w:lineRule="exact" w:before="0"/>
        <w:ind w:left="286" w:right="0" w:firstLine="0"/>
        <w:jc w:val="left"/>
        <w:rPr>
          <w:rFonts w:ascii="Calibri"/>
          <w:sz w:val="11"/>
        </w:rPr>
      </w:pPr>
      <w:r>
        <w:rPr>
          <w:rFonts w:ascii="Calibri"/>
          <w:color w:val="008356"/>
          <w:sz w:val="11"/>
        </w:rPr>
        <w:t>BISPHOSPHONATES</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antacids possibly reduce absorption of</w:t>
      </w:r>
    </w:p>
    <w:p>
      <w:pPr>
        <w:spacing w:line="130" w:lineRule="exact" w:before="0"/>
        <w:ind w:left="286" w:right="0" w:firstLine="0"/>
        <w:jc w:val="left"/>
        <w:rPr>
          <w:rFonts w:ascii="Calibri"/>
          <w:sz w:val="11"/>
        </w:rPr>
      </w:pPr>
      <w:r>
        <w:rPr>
          <w:rFonts w:ascii="Calibri"/>
          <w:color w:val="008356"/>
          <w:sz w:val="11"/>
        </w:rPr>
        <w:t>DIGOXIN</w:t>
      </w:r>
    </w:p>
    <w:p>
      <w:pPr>
        <w:spacing w:line="149"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Corticosteroids: </w:t>
      </w:r>
      <w:r>
        <w:rPr>
          <w:color w:val="231F1F"/>
          <w:w w:val="105"/>
          <w:sz w:val="12"/>
        </w:rPr>
        <w:t>antacids reduce absorption of </w:t>
      </w:r>
      <w:r>
        <w:rPr>
          <w:color w:val="231F1F"/>
          <w:spacing w:val="4"/>
          <w:w w:val="105"/>
          <w:sz w:val="12"/>
        </w:rPr>
        <w:t> </w:t>
      </w:r>
      <w:r>
        <w:rPr>
          <w:rFonts w:ascii="Calibri" w:hAnsi="Calibri"/>
          <w:color w:val="008356"/>
          <w:spacing w:val="4"/>
          <w:w w:val="105"/>
          <w:sz w:val="11"/>
        </w:rPr>
        <w:t>DEFLAZACORT</w:t>
      </w:r>
    </w:p>
    <w:p>
      <w:pPr>
        <w:pStyle w:val="BodyText"/>
        <w:spacing w:line="137" w:lineRule="exact"/>
        <w:ind w:left="186"/>
      </w:pPr>
      <w:r>
        <w:rPr>
          <w:rFonts w:ascii="Arial"/>
          <w:color w:val="231F1F"/>
          <w:w w:val="355"/>
          <w:position w:val="1"/>
          <w:sz w:val="7"/>
        </w:rPr>
        <w:t>l </w:t>
      </w:r>
      <w:r>
        <w:rPr>
          <w:rFonts w:ascii="Calibri"/>
          <w:color w:val="231F1F"/>
          <w:w w:val="110"/>
        </w:rPr>
        <w:t>Cytotoxics: </w:t>
      </w:r>
      <w:r>
        <w:rPr>
          <w:color w:val="231F1F"/>
          <w:w w:val="110"/>
        </w:rPr>
        <w:t>aluminium hydroxide and oral magnesium</w:t>
      </w:r>
      <w:r>
        <w:rPr>
          <w:color w:val="231F1F"/>
          <w:spacing w:val="3"/>
          <w:w w:val="110"/>
        </w:rPr>
        <w:t> </w:t>
      </w:r>
      <w:r>
        <w:rPr>
          <w:color w:val="231F1F"/>
          <w:w w:val="110"/>
        </w:rPr>
        <w:t>salts</w:t>
      </w:r>
    </w:p>
    <w:p>
      <w:pPr>
        <w:pStyle w:val="BodyText"/>
        <w:spacing w:line="244" w:lineRule="auto"/>
        <w:ind w:left="286" w:right="27"/>
      </w:pPr>
      <w:r>
        <w:rPr>
          <w:color w:val="231F1F"/>
          <w:w w:val="110"/>
        </w:rPr>
        <w:t>possibly reduce absorption of </w:t>
      </w:r>
      <w:r>
        <w:rPr>
          <w:rFonts w:ascii="Calibri" w:hAnsi="Calibri"/>
          <w:color w:val="008356"/>
          <w:spacing w:val="2"/>
          <w:w w:val="110"/>
          <w:sz w:val="11"/>
        </w:rPr>
        <w:t>ESTRAMUSTINE</w:t>
      </w:r>
      <w:r>
        <w:rPr>
          <w:rFonts w:ascii="Arial" w:hAnsi="Arial"/>
          <w:color w:val="231F1F"/>
          <w:spacing w:val="2"/>
          <w:w w:val="110"/>
        </w:rPr>
        <w:t>—</w:t>
      </w:r>
      <w:r>
        <w:rPr>
          <w:color w:val="231F1F"/>
          <w:spacing w:val="2"/>
          <w:w w:val="110"/>
        </w:rPr>
        <w:t>manufacturer </w:t>
      </w:r>
      <w:r>
        <w:rPr>
          <w:color w:val="231F1F"/>
          <w:w w:val="115"/>
        </w:rPr>
        <w:t>of estramustine advises avoid concomitant administration; separating administration with antacids by about 12 hours advised by manufacturer of </w:t>
      </w:r>
      <w:r>
        <w:rPr>
          <w:rFonts w:ascii="Calibri" w:hAnsi="Calibri"/>
          <w:color w:val="008356"/>
          <w:spacing w:val="4"/>
          <w:w w:val="115"/>
          <w:sz w:val="11"/>
        </w:rPr>
        <w:t>BOSUTINIB</w:t>
      </w:r>
      <w:r>
        <w:rPr>
          <w:color w:val="231F1F"/>
          <w:spacing w:val="4"/>
          <w:w w:val="115"/>
        </w:rPr>
        <w:t>; </w:t>
      </w:r>
      <w:r>
        <w:rPr>
          <w:color w:val="231F1F"/>
          <w:w w:val="115"/>
        </w:rPr>
        <w:t>antacids possibly reduce</w:t>
      </w:r>
      <w:r>
        <w:rPr>
          <w:color w:val="231F1F"/>
          <w:spacing w:val="-15"/>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ERLOTINIB</w:t>
      </w:r>
      <w:r>
        <w:rPr>
          <w:rFonts w:ascii="Arial" w:hAnsi="Arial"/>
          <w:color w:val="231F1F"/>
          <w:spacing w:val="2"/>
          <w:w w:val="115"/>
        </w:rPr>
        <w:t>—</w:t>
      </w:r>
      <w:r>
        <w:rPr>
          <w:color w:val="231F1F"/>
          <w:spacing w:val="2"/>
          <w:w w:val="115"/>
        </w:rPr>
        <w:t>give</w:t>
      </w:r>
      <w:r>
        <w:rPr>
          <w:color w:val="231F1F"/>
          <w:spacing w:val="-14"/>
          <w:w w:val="115"/>
        </w:rPr>
        <w:t> </w:t>
      </w:r>
      <w:r>
        <w:rPr>
          <w:color w:val="231F1F"/>
          <w:w w:val="115"/>
        </w:rPr>
        <w:t>antacids</w:t>
      </w:r>
      <w:r>
        <w:rPr>
          <w:color w:val="231F1F"/>
          <w:spacing w:val="-14"/>
          <w:w w:val="115"/>
        </w:rPr>
        <w:t> </w:t>
      </w:r>
      <w:r>
        <w:rPr>
          <w:color w:val="231F1F"/>
          <w:spacing w:val="-6"/>
          <w:w w:val="115"/>
        </w:rPr>
        <w:t>at </w:t>
      </w:r>
      <w:r>
        <w:rPr>
          <w:color w:val="231F1F"/>
          <w:w w:val="115"/>
        </w:rPr>
        <w:t>least</w:t>
      </w:r>
      <w:r>
        <w:rPr>
          <w:color w:val="231F1F"/>
          <w:spacing w:val="-4"/>
          <w:w w:val="115"/>
        </w:rPr>
        <w:t> </w:t>
      </w:r>
      <w:r>
        <w:rPr>
          <w:color w:val="231F1F"/>
          <w:w w:val="115"/>
        </w:rPr>
        <w:t>4</w:t>
      </w:r>
      <w:r>
        <w:rPr>
          <w:color w:val="231F1F"/>
          <w:spacing w:val="-3"/>
          <w:w w:val="115"/>
        </w:rPr>
        <w:t> </w:t>
      </w:r>
      <w:r>
        <w:rPr>
          <w:color w:val="231F1F"/>
          <w:w w:val="115"/>
        </w:rPr>
        <w:t>hours</w:t>
      </w:r>
      <w:r>
        <w:rPr>
          <w:color w:val="231F1F"/>
          <w:spacing w:val="-4"/>
          <w:w w:val="115"/>
        </w:rPr>
        <w:t> </w:t>
      </w:r>
      <w:r>
        <w:rPr>
          <w:color w:val="231F1F"/>
          <w:w w:val="115"/>
        </w:rPr>
        <w:t>before</w:t>
      </w:r>
      <w:r>
        <w:rPr>
          <w:color w:val="231F1F"/>
          <w:spacing w:val="-3"/>
          <w:w w:val="115"/>
        </w:rPr>
        <w:t> </w:t>
      </w:r>
      <w:r>
        <w:rPr>
          <w:color w:val="231F1F"/>
          <w:w w:val="115"/>
        </w:rPr>
        <w:t>or</w:t>
      </w:r>
      <w:r>
        <w:rPr>
          <w:color w:val="231F1F"/>
          <w:spacing w:val="-4"/>
          <w:w w:val="115"/>
        </w:rPr>
        <w:t> </w:t>
      </w:r>
      <w:r>
        <w:rPr>
          <w:color w:val="231F1F"/>
          <w:w w:val="115"/>
        </w:rPr>
        <w:t>2</w:t>
      </w:r>
      <w:r>
        <w:rPr>
          <w:color w:val="231F1F"/>
          <w:spacing w:val="-3"/>
          <w:w w:val="115"/>
        </w:rPr>
        <w:t> </w:t>
      </w:r>
      <w:r>
        <w:rPr>
          <w:color w:val="231F1F"/>
          <w:w w:val="115"/>
        </w:rPr>
        <w:t>hours</w:t>
      </w:r>
      <w:r>
        <w:rPr>
          <w:color w:val="231F1F"/>
          <w:spacing w:val="-4"/>
          <w:w w:val="115"/>
        </w:rPr>
        <w:t> </w:t>
      </w:r>
      <w:r>
        <w:rPr>
          <w:color w:val="231F1F"/>
          <w:w w:val="115"/>
        </w:rPr>
        <w:t>after</w:t>
      </w:r>
      <w:r>
        <w:rPr>
          <w:color w:val="231F1F"/>
          <w:spacing w:val="-4"/>
          <w:w w:val="115"/>
        </w:rPr>
        <w:t> </w:t>
      </w:r>
      <w:r>
        <w:rPr>
          <w:color w:val="231F1F"/>
          <w:w w:val="115"/>
        </w:rPr>
        <w:t>erlotinib</w:t>
      </w:r>
    </w:p>
    <w:p>
      <w:pPr>
        <w:pStyle w:val="BodyText"/>
        <w:spacing w:line="230" w:lineRule="auto"/>
        <w:ind w:left="286" w:hanging="100"/>
      </w:pPr>
      <w:r>
        <w:rPr>
          <w:rFonts w:ascii="Lucida Sans Unicode" w:hAnsi="Lucida Sans Unicode"/>
          <w:color w:val="A7A8AC"/>
          <w:w w:val="95"/>
          <w:sz w:val="10"/>
        </w:rPr>
        <w:t>▶ </w:t>
      </w:r>
      <w:r>
        <w:rPr>
          <w:rFonts w:ascii="Calibri" w:hAnsi="Calibri"/>
          <w:color w:val="231F1F"/>
          <w:w w:val="110"/>
        </w:rPr>
        <w:t>Deferasirox: </w:t>
      </w:r>
      <w:r>
        <w:rPr>
          <w:color w:val="231F1F"/>
          <w:w w:val="110"/>
        </w:rPr>
        <w:t>antacids containing aluminium possibly </w:t>
      </w:r>
      <w:r>
        <w:rPr>
          <w:color w:val="231F1F"/>
          <w:spacing w:val="-3"/>
          <w:w w:val="110"/>
        </w:rPr>
        <w:t>reduce </w:t>
      </w:r>
      <w:r>
        <w:rPr>
          <w:color w:val="231F1F"/>
          <w:w w:val="110"/>
        </w:rPr>
        <w:t>absorption of </w:t>
      </w:r>
      <w:r>
        <w:rPr>
          <w:rFonts w:ascii="Calibri" w:hAnsi="Calibri"/>
          <w:color w:val="008356"/>
          <w:spacing w:val="4"/>
          <w:w w:val="110"/>
          <w:sz w:val="11"/>
        </w:rPr>
        <w:t>DEFERASIROX </w:t>
      </w:r>
      <w:r>
        <w:rPr>
          <w:color w:val="231F1F"/>
          <w:w w:val="110"/>
        </w:rPr>
        <w:t>(manufacturer of deferasirox advises avoid concomitant</w:t>
      </w:r>
      <w:r>
        <w:rPr>
          <w:color w:val="231F1F"/>
          <w:spacing w:val="-6"/>
          <w:w w:val="110"/>
        </w:rPr>
        <w:t> </w:t>
      </w:r>
      <w:r>
        <w:rPr>
          <w:color w:val="231F1F"/>
          <w:w w:val="110"/>
        </w:rPr>
        <w:t>use)</w:t>
      </w:r>
    </w:p>
    <w:p>
      <w:pPr>
        <w:pStyle w:val="BodyText"/>
        <w:spacing w:line="230" w:lineRule="auto" w:before="8"/>
        <w:ind w:left="286" w:hanging="100"/>
      </w:pPr>
      <w:r>
        <w:rPr>
          <w:rFonts w:ascii="Lucida Sans Unicode" w:hAnsi="Lucida Sans Unicode"/>
          <w:color w:val="A7A8AC"/>
          <w:w w:val="95"/>
          <w:sz w:val="10"/>
        </w:rPr>
        <w:t>▶ </w:t>
      </w:r>
      <w:r>
        <w:rPr>
          <w:rFonts w:ascii="Calibri" w:hAnsi="Calibri"/>
          <w:color w:val="231F1F"/>
          <w:w w:val="110"/>
        </w:rPr>
        <w:t>Deferiprone: </w:t>
      </w:r>
      <w:r>
        <w:rPr>
          <w:color w:val="231F1F"/>
          <w:w w:val="110"/>
        </w:rPr>
        <w:t>antacids containing aluminium possibly </w:t>
      </w:r>
      <w:r>
        <w:rPr>
          <w:color w:val="231F1F"/>
          <w:spacing w:val="-3"/>
          <w:w w:val="110"/>
        </w:rPr>
        <w:t>reduce </w:t>
      </w:r>
      <w:r>
        <w:rPr>
          <w:color w:val="231F1F"/>
          <w:w w:val="110"/>
        </w:rPr>
        <w:t>absorption of </w:t>
      </w:r>
      <w:r>
        <w:rPr>
          <w:rFonts w:ascii="Calibri" w:hAnsi="Calibri"/>
          <w:color w:val="008356"/>
          <w:spacing w:val="4"/>
          <w:w w:val="110"/>
          <w:sz w:val="11"/>
        </w:rPr>
        <w:t>DEFERIPRONE </w:t>
      </w:r>
      <w:r>
        <w:rPr>
          <w:color w:val="231F1F"/>
          <w:w w:val="110"/>
        </w:rPr>
        <w:t>(manufacturer of deferiprone advises avoid concomitant</w:t>
      </w:r>
      <w:r>
        <w:rPr>
          <w:color w:val="231F1F"/>
          <w:spacing w:val="-6"/>
          <w:w w:val="110"/>
        </w:rPr>
        <w:t> </w:t>
      </w:r>
      <w:r>
        <w:rPr>
          <w:color w:val="231F1F"/>
          <w:w w:val="110"/>
        </w:rPr>
        <w:t>use)</w:t>
      </w:r>
    </w:p>
    <w:p>
      <w:pPr>
        <w:pStyle w:val="BodyText"/>
        <w:spacing w:line="156" w:lineRule="exact" w:before="3"/>
        <w:ind w:left="186"/>
      </w:pPr>
      <w:r>
        <w:rPr>
          <w:rFonts w:ascii="Lucida Sans Unicode" w:hAnsi="Lucida Sans Unicode"/>
          <w:color w:val="A7A8AC"/>
          <w:w w:val="95"/>
          <w:sz w:val="10"/>
        </w:rPr>
        <w:t>▶ </w:t>
      </w:r>
      <w:r>
        <w:rPr>
          <w:rFonts w:ascii="Calibri" w:hAnsi="Calibri"/>
          <w:color w:val="231F1F"/>
          <w:w w:val="105"/>
        </w:rPr>
        <w:t>Dipyridamole: </w:t>
      </w:r>
      <w:r>
        <w:rPr>
          <w:color w:val="231F1F"/>
          <w:w w:val="105"/>
        </w:rPr>
        <w:t>antacids possibly reduce absorption of</w:t>
      </w:r>
    </w:p>
    <w:p>
      <w:pPr>
        <w:spacing w:line="131" w:lineRule="exact" w:before="0"/>
        <w:ind w:left="286" w:right="0" w:firstLine="0"/>
        <w:jc w:val="left"/>
        <w:rPr>
          <w:rFonts w:ascii="Calibri"/>
          <w:sz w:val="11"/>
        </w:rPr>
      </w:pPr>
      <w:r>
        <w:rPr>
          <w:rFonts w:ascii="Calibri"/>
          <w:color w:val="008356"/>
          <w:sz w:val="11"/>
        </w:rPr>
        <w:t>DIPYRIDAMOLE</w:t>
      </w:r>
    </w:p>
    <w:p>
      <w:pPr>
        <w:spacing w:line="151"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Eltrombopag: </w:t>
      </w:r>
      <w:r>
        <w:rPr>
          <w:color w:val="231F1F"/>
          <w:w w:val="105"/>
          <w:sz w:val="12"/>
        </w:rPr>
        <w:t>antacids reduce absorption of </w:t>
      </w:r>
      <w:r>
        <w:rPr>
          <w:rFonts w:ascii="Calibri" w:hAnsi="Calibri"/>
          <w:color w:val="008356"/>
          <w:w w:val="105"/>
          <w:sz w:val="11"/>
        </w:rPr>
        <w:t>ELTROMBOPAG</w:t>
      </w:r>
    </w:p>
    <w:p>
      <w:pPr>
        <w:pStyle w:val="BodyText"/>
        <w:spacing w:line="131" w:lineRule="exact"/>
        <w:ind w:left="286"/>
      </w:pPr>
      <w:r>
        <w:rPr>
          <w:color w:val="231F1F"/>
          <w:w w:val="115"/>
        </w:rPr>
        <w:t>(give at least 4 hours apart)</w:t>
      </w:r>
    </w:p>
    <w:p>
      <w:pPr>
        <w:pStyle w:val="BodyText"/>
        <w:spacing w:line="152" w:lineRule="exact" w:before="1"/>
        <w:ind w:left="186"/>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antacids possibly reduce absorption of </w:t>
      </w:r>
      <w:r>
        <w:rPr>
          <w:rFonts w:ascii="Calibri" w:hAnsi="Calibri"/>
          <w:color w:val="008356"/>
          <w:w w:val="105"/>
          <w:sz w:val="11"/>
        </w:rPr>
        <w:t>FOLIC ACID</w:t>
      </w:r>
    </w:p>
    <w:p>
      <w:pPr>
        <w:pStyle w:val="BodyText"/>
        <w:spacing w:line="132" w:lineRule="exact"/>
        <w:ind w:left="286"/>
      </w:pPr>
      <w:r>
        <w:rPr>
          <w:color w:val="231F1F"/>
          <w:w w:val="115"/>
        </w:rPr>
        <w:t>(manufacturer</w:t>
      </w:r>
      <w:r>
        <w:rPr>
          <w:color w:val="231F1F"/>
          <w:spacing w:val="-6"/>
          <w:w w:val="115"/>
        </w:rPr>
        <w:t> </w:t>
      </w:r>
      <w:r>
        <w:rPr>
          <w:color w:val="231F1F"/>
          <w:w w:val="115"/>
        </w:rPr>
        <w:t>of</w:t>
      </w:r>
      <w:r>
        <w:rPr>
          <w:color w:val="231F1F"/>
          <w:spacing w:val="-7"/>
          <w:w w:val="115"/>
        </w:rPr>
        <w:t> </w:t>
      </w:r>
      <w:r>
        <w:rPr>
          <w:color w:val="231F1F"/>
          <w:w w:val="115"/>
        </w:rPr>
        <w:t>folic</w:t>
      </w:r>
      <w:r>
        <w:rPr>
          <w:color w:val="231F1F"/>
          <w:spacing w:val="-6"/>
          <w:w w:val="115"/>
        </w:rPr>
        <w:t> </w:t>
      </w:r>
      <w:r>
        <w:rPr>
          <w:color w:val="231F1F"/>
          <w:w w:val="115"/>
        </w:rPr>
        <w:t>acid</w:t>
      </w:r>
      <w:r>
        <w:rPr>
          <w:color w:val="231F1F"/>
          <w:spacing w:val="-7"/>
          <w:w w:val="115"/>
        </w:rPr>
        <w:t> </w:t>
      </w:r>
      <w:r>
        <w:rPr>
          <w:color w:val="231F1F"/>
          <w:w w:val="115"/>
        </w:rPr>
        <w:t>advises</w:t>
      </w:r>
      <w:r>
        <w:rPr>
          <w:color w:val="231F1F"/>
          <w:spacing w:val="-6"/>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7"/>
          <w:w w:val="115"/>
        </w:rPr>
        <w:t> </w:t>
      </w:r>
      <w:r>
        <w:rPr>
          <w:color w:val="231F1F"/>
          <w:w w:val="115"/>
        </w:rPr>
        <w:t>2</w:t>
      </w:r>
      <w:r>
        <w:rPr>
          <w:color w:val="231F1F"/>
          <w:spacing w:val="-7"/>
          <w:w w:val="115"/>
        </w:rPr>
        <w:t> </w:t>
      </w:r>
      <w:r>
        <w:rPr>
          <w:color w:val="231F1F"/>
          <w:w w:val="115"/>
        </w:rPr>
        <w:t>hours</w:t>
      </w:r>
      <w:r>
        <w:rPr>
          <w:color w:val="231F1F"/>
          <w:spacing w:val="-7"/>
          <w:w w:val="115"/>
        </w:rPr>
        <w:t> </w:t>
      </w:r>
      <w:r>
        <w:rPr>
          <w:color w:val="231F1F"/>
          <w:spacing w:val="-3"/>
          <w:w w:val="115"/>
        </w:rPr>
        <w:t>apart)</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Iron Salts: </w:t>
      </w:r>
      <w:r>
        <w:rPr>
          <w:color w:val="231F1F"/>
          <w:w w:val="110"/>
        </w:rPr>
        <w:t>oral magnesium salts (as magnesium trisilicate) reduce absorption of </w:t>
      </w:r>
      <w:r>
        <w:rPr>
          <w:i/>
          <w:color w:val="231F1F"/>
          <w:w w:val="110"/>
        </w:rPr>
        <w:t>oral </w:t>
      </w:r>
      <w:r>
        <w:rPr>
          <w:rFonts w:ascii="Calibri" w:hAnsi="Calibri"/>
          <w:color w:val="008356"/>
          <w:w w:val="110"/>
          <w:sz w:val="11"/>
        </w:rPr>
        <w:t>IRON SALTS</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antacids reduce absorption of</w:t>
      </w:r>
    </w:p>
    <w:p>
      <w:pPr>
        <w:spacing w:line="130" w:lineRule="exact" w:before="0"/>
        <w:ind w:left="286" w:right="0" w:firstLine="0"/>
        <w:jc w:val="left"/>
        <w:rPr>
          <w:rFonts w:ascii="Calibri"/>
          <w:sz w:val="11"/>
        </w:rPr>
      </w:pPr>
      <w:r>
        <w:rPr>
          <w:rFonts w:ascii="Calibri"/>
          <w:color w:val="008356"/>
          <w:sz w:val="11"/>
        </w:rPr>
        <w:t>ROSUVASTATIN</w:t>
      </w:r>
    </w:p>
    <w:p>
      <w:pPr>
        <w:pStyle w:val="BodyText"/>
        <w:spacing w:line="151"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Lithium: </w:t>
      </w:r>
      <w:r>
        <w:rPr>
          <w:color w:val="231F1F"/>
          <w:w w:val="105"/>
        </w:rPr>
        <w:t>sodium bicarbonate increases excretion of </w:t>
      </w:r>
      <w:r>
        <w:rPr>
          <w:rFonts w:ascii="Calibri" w:hAnsi="Calibri"/>
          <w:color w:val="008356"/>
          <w:w w:val="105"/>
          <w:sz w:val="11"/>
        </w:rPr>
        <w:t>LITHIUM</w:t>
      </w:r>
    </w:p>
    <w:p>
      <w:pPr>
        <w:pStyle w:val="BodyText"/>
        <w:spacing w:line="131" w:lineRule="exact"/>
        <w:ind w:left="286"/>
      </w:pPr>
      <w:r>
        <w:rPr>
          <w:color w:val="231F1F"/>
          <w:w w:val="115"/>
        </w:rPr>
        <w:t>(reduced plasma concentration)</w:t>
      </w:r>
    </w:p>
    <w:p>
      <w:pPr>
        <w:spacing w:line="150" w:lineRule="exact" w:before="1"/>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Mycophenolate: </w:t>
      </w:r>
      <w:r>
        <w:rPr>
          <w:color w:val="231F1F"/>
          <w:w w:val="105"/>
          <w:sz w:val="12"/>
        </w:rPr>
        <w:t>antacids reduce absorption of </w:t>
      </w:r>
      <w:r>
        <w:rPr>
          <w:rFonts w:ascii="Calibri" w:hAnsi="Calibri"/>
          <w:color w:val="008356"/>
          <w:w w:val="105"/>
          <w:sz w:val="11"/>
        </w:rPr>
        <w:t>MYCOPHENOLATE</w:t>
      </w:r>
    </w:p>
    <w:p>
      <w:pPr>
        <w:spacing w:line="142"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Penicillamine: </w:t>
      </w:r>
      <w:r>
        <w:rPr>
          <w:color w:val="231F1F"/>
          <w:w w:val="105"/>
          <w:sz w:val="12"/>
        </w:rPr>
        <w:t>antacids reduce absorption of </w:t>
      </w:r>
      <w:r>
        <w:rPr>
          <w:rFonts w:ascii="Calibri" w:hAnsi="Calibri"/>
          <w:color w:val="008356"/>
          <w:w w:val="105"/>
          <w:sz w:val="11"/>
        </w:rPr>
        <w:t>PENICILLAMINE</w:t>
      </w:r>
    </w:p>
    <w:p>
      <w:pPr>
        <w:pStyle w:val="BodyText"/>
        <w:spacing w:line="220" w:lineRule="auto" w:before="1"/>
        <w:ind w:left="286" w:right="141" w:hanging="100"/>
        <w:rPr>
          <w:rFonts w:ascii="Calibri" w:hAnsi="Calibri"/>
          <w:sz w:val="11"/>
        </w:rPr>
      </w:pPr>
      <w:r>
        <w:rPr>
          <w:rFonts w:ascii="Lucida Sans Unicode" w:hAnsi="Lucida Sans Unicode"/>
          <w:color w:val="A7A8AC"/>
          <w:w w:val="95"/>
          <w:sz w:val="10"/>
        </w:rPr>
        <w:t>▶ </w:t>
      </w:r>
      <w:r>
        <w:rPr>
          <w:rFonts w:ascii="Calibri" w:hAnsi="Calibri"/>
          <w:color w:val="231F1F"/>
          <w:w w:val="105"/>
        </w:rPr>
        <w:t>Polystyrene Sulfonate Resins: </w:t>
      </w:r>
      <w:r>
        <w:rPr>
          <w:color w:val="231F1F"/>
          <w:w w:val="105"/>
        </w:rPr>
        <w:t>risk of intestinal obstruction when aluminium hydroxide given with </w:t>
      </w:r>
      <w:r>
        <w:rPr>
          <w:rFonts w:ascii="Calibri" w:hAnsi="Calibri"/>
          <w:color w:val="008356"/>
          <w:w w:val="105"/>
          <w:sz w:val="11"/>
        </w:rPr>
        <w:t>POLYSTYRENE</w:t>
      </w:r>
    </w:p>
    <w:p>
      <w:pPr>
        <w:pStyle w:val="BodyText"/>
        <w:spacing w:before="11"/>
        <w:ind w:left="0"/>
        <w:rPr>
          <w:rFonts w:ascii="Calibri"/>
          <w:sz w:val="13"/>
        </w:rPr>
      </w:pPr>
      <w:r>
        <w:rPr/>
        <w:br w:type="column"/>
      </w:r>
      <w:r>
        <w:rPr>
          <w:rFonts w:ascii="Calibri"/>
          <w:sz w:val="13"/>
        </w:rPr>
      </w:r>
    </w:p>
    <w:p>
      <w:pPr>
        <w:pStyle w:val="BodyText"/>
        <w:ind w:left="185"/>
        <w:rPr>
          <w:rFonts w:ascii="Arial"/>
        </w:rPr>
      </w:pPr>
      <w:r>
        <w:rPr>
          <w:rFonts w:ascii="Arial"/>
          <w:color w:val="008356"/>
        </w:rPr>
        <w:t>Antacids</w:t>
      </w:r>
    </w:p>
    <w:p>
      <w:pPr>
        <w:pStyle w:val="BodyText"/>
        <w:spacing w:line="146" w:lineRule="exact" w:before="4"/>
        <w:ind w:left="285"/>
        <w:rPr>
          <w:rFonts w:ascii="Calibri"/>
        </w:rPr>
      </w:pPr>
      <w:r>
        <w:rPr>
          <w:rFonts w:ascii="Calibri"/>
          <w:color w:val="231F1F"/>
        </w:rPr>
        <w:t>Polystyrene Sulfonate Resins (continued)</w:t>
      </w:r>
    </w:p>
    <w:p>
      <w:pPr>
        <w:spacing w:line="244" w:lineRule="auto" w:before="0"/>
        <w:ind w:left="285" w:right="617" w:hanging="1"/>
        <w:jc w:val="left"/>
        <w:rPr>
          <w:rFonts w:ascii="Calibri"/>
          <w:sz w:val="11"/>
        </w:rPr>
      </w:pPr>
      <w:r>
        <w:rPr>
          <w:rFonts w:ascii="Calibri"/>
          <w:color w:val="008356"/>
          <w:w w:val="110"/>
          <w:sz w:val="11"/>
        </w:rPr>
        <w:t>SULFONATE RESINS</w:t>
      </w:r>
      <w:r>
        <w:rPr>
          <w:color w:val="231F1F"/>
          <w:w w:val="110"/>
          <w:sz w:val="12"/>
        </w:rPr>
        <w:t>; risk of metabolic alkalosis when oral magnesium salts given with </w:t>
      </w:r>
      <w:r>
        <w:rPr>
          <w:rFonts w:ascii="Calibri"/>
          <w:color w:val="008356"/>
          <w:w w:val="110"/>
          <w:sz w:val="11"/>
        </w:rPr>
        <w:t>POLYSTYRENE SULFONATE RESINS</w:t>
      </w:r>
    </w:p>
    <w:p>
      <w:pPr>
        <w:pStyle w:val="BodyText"/>
        <w:spacing w:line="220" w:lineRule="auto" w:before="3"/>
        <w:ind w:left="285" w:right="795" w:hanging="100"/>
      </w:pPr>
      <w:r>
        <w:rPr>
          <w:rFonts w:ascii="Lucida Sans Unicode" w:hAnsi="Lucida Sans Unicode"/>
          <w:color w:val="A7A8AC"/>
          <w:w w:val="95"/>
          <w:sz w:val="10"/>
        </w:rPr>
        <w:t>▶ </w:t>
      </w:r>
      <w:r>
        <w:rPr>
          <w:rFonts w:ascii="Calibri" w:hAnsi="Calibri"/>
          <w:color w:val="231F1F"/>
          <w:w w:val="110"/>
        </w:rPr>
        <w:t>Riociguat: </w:t>
      </w:r>
      <w:r>
        <w:rPr>
          <w:color w:val="231F1F"/>
          <w:w w:val="110"/>
        </w:rPr>
        <w:t>antacids reduce absorption of </w:t>
      </w:r>
      <w:r>
        <w:rPr>
          <w:rFonts w:ascii="Calibri" w:hAnsi="Calibri"/>
          <w:color w:val="008356"/>
          <w:w w:val="110"/>
          <w:sz w:val="11"/>
        </w:rPr>
        <w:t>RIOCIGUAT </w:t>
      </w:r>
      <w:r>
        <w:rPr>
          <w:color w:val="231F1F"/>
          <w:w w:val="110"/>
        </w:rPr>
        <w:t>(give at least 2 hours before or 1 hour after riociguat)</w:t>
      </w:r>
    </w:p>
    <w:p>
      <w:pPr>
        <w:pStyle w:val="BodyText"/>
        <w:spacing w:line="220" w:lineRule="auto" w:before="12"/>
        <w:ind w:left="285" w:right="617"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aluminium hydroxide possibly increases absorption of </w:t>
      </w:r>
      <w:r>
        <w:rPr>
          <w:rFonts w:ascii="Calibri" w:hAnsi="Calibri"/>
          <w:color w:val="008356"/>
          <w:w w:val="105"/>
          <w:sz w:val="11"/>
        </w:rPr>
        <w:t>PSEUDOEPHEDRINE</w:t>
      </w:r>
    </w:p>
    <w:p>
      <w:pPr>
        <w:pStyle w:val="BodyText"/>
        <w:spacing w:line="155" w:lineRule="exact"/>
        <w:ind w:left="185"/>
      </w:pPr>
      <w:r>
        <w:rPr>
          <w:rFonts w:ascii="Lucida Sans Unicode" w:hAnsi="Lucida Sans Unicode"/>
          <w:color w:val="A7A8AC"/>
          <w:w w:val="95"/>
          <w:sz w:val="10"/>
        </w:rPr>
        <w:t>▶ </w:t>
      </w:r>
      <w:r>
        <w:rPr>
          <w:rFonts w:ascii="Calibri" w:hAnsi="Calibri"/>
          <w:color w:val="231F1F"/>
          <w:w w:val="105"/>
        </w:rPr>
        <w:t>Thyroid Hormones: </w:t>
      </w:r>
      <w:r>
        <w:rPr>
          <w:color w:val="231F1F"/>
          <w:w w:val="105"/>
        </w:rPr>
        <w:t>antacids possibly reduce absorption of</w:t>
      </w:r>
    </w:p>
    <w:p>
      <w:pPr>
        <w:spacing w:line="131" w:lineRule="exact" w:before="0"/>
        <w:ind w:left="285" w:right="0" w:firstLine="0"/>
        <w:jc w:val="left"/>
        <w:rPr>
          <w:rFonts w:ascii="Calibri"/>
          <w:sz w:val="11"/>
        </w:rPr>
      </w:pPr>
      <w:r>
        <w:rPr>
          <w:rFonts w:ascii="Calibri"/>
          <w:color w:val="008356"/>
          <w:sz w:val="11"/>
        </w:rPr>
        <w:t>LEVOTHYROXINE</w:t>
      </w:r>
    </w:p>
    <w:p>
      <w:pPr>
        <w:pStyle w:val="BodyText"/>
        <w:spacing w:line="154" w:lineRule="exact"/>
        <w:ind w:left="185"/>
      </w:pPr>
      <w:r>
        <w:rPr>
          <w:rFonts w:ascii="Lucida Sans Unicode" w:hAnsi="Lucida Sans Unicode"/>
          <w:color w:val="A7A8AC"/>
          <w:w w:val="95"/>
          <w:sz w:val="10"/>
        </w:rPr>
        <w:t>▶ </w:t>
      </w:r>
      <w:r>
        <w:rPr>
          <w:rFonts w:ascii="Calibri" w:hAnsi="Calibri"/>
          <w:color w:val="231F1F"/>
          <w:w w:val="105"/>
        </w:rPr>
        <w:t>Ulcer-healing Drugs: </w:t>
      </w:r>
      <w:r>
        <w:rPr>
          <w:color w:val="231F1F"/>
          <w:w w:val="105"/>
        </w:rPr>
        <w:t>antacids possibly reduce absorption of</w:t>
      </w:r>
    </w:p>
    <w:p>
      <w:pPr>
        <w:spacing w:line="131" w:lineRule="exact" w:before="0"/>
        <w:ind w:left="285" w:right="0" w:firstLine="0"/>
        <w:jc w:val="left"/>
        <w:rPr>
          <w:rFonts w:ascii="Calibri"/>
          <w:sz w:val="11"/>
        </w:rPr>
      </w:pPr>
      <w:r>
        <w:rPr>
          <w:rFonts w:ascii="Calibri"/>
          <w:color w:val="008356"/>
          <w:sz w:val="11"/>
        </w:rPr>
        <w:t>LANSOPRAZOLE</w:t>
      </w:r>
    </w:p>
    <w:p>
      <w:pPr>
        <w:pStyle w:val="BodyText"/>
        <w:spacing w:line="256" w:lineRule="auto" w:before="7"/>
        <w:ind w:left="185" w:right="1797"/>
      </w:pPr>
      <w:r>
        <w:rPr>
          <w:rFonts w:ascii="Trebuchet MS"/>
          <w:color w:val="008356"/>
          <w:w w:val="105"/>
        </w:rPr>
        <w:t>Antazoline </w:t>
      </w:r>
      <w:r>
        <w:rPr>
          <w:i/>
          <w:color w:val="231F1F"/>
          <w:w w:val="105"/>
        </w:rPr>
        <w:t>see </w:t>
      </w:r>
      <w:r>
        <w:rPr>
          <w:color w:val="231F1F"/>
          <w:w w:val="105"/>
        </w:rPr>
        <w:t>Antihistamines </w:t>
      </w:r>
      <w:r>
        <w:rPr>
          <w:rFonts w:ascii="Trebuchet MS"/>
          <w:color w:val="008356"/>
          <w:w w:val="105"/>
        </w:rPr>
        <w:t>Anthelmintics </w:t>
      </w:r>
      <w:r>
        <w:rPr>
          <w:i/>
          <w:color w:val="231F1F"/>
          <w:w w:val="105"/>
        </w:rPr>
        <w:t>see </w:t>
      </w:r>
      <w:r>
        <w:rPr>
          <w:color w:val="231F1F"/>
          <w:w w:val="105"/>
        </w:rPr>
        <w:t>individual drugs </w:t>
      </w:r>
      <w:r>
        <w:rPr>
          <w:rFonts w:ascii="Trebuchet MS"/>
          <w:color w:val="008356"/>
          <w:w w:val="105"/>
        </w:rPr>
        <w:t>Anthrax Vaccine </w:t>
      </w:r>
      <w:r>
        <w:rPr>
          <w:i/>
          <w:color w:val="231F1F"/>
          <w:w w:val="105"/>
        </w:rPr>
        <w:t>see </w:t>
      </w:r>
      <w:r>
        <w:rPr>
          <w:color w:val="231F1F"/>
          <w:w w:val="105"/>
        </w:rPr>
        <w:t>Vaccines</w:t>
      </w:r>
    </w:p>
    <w:p>
      <w:pPr>
        <w:pStyle w:val="BodyText"/>
        <w:spacing w:before="1"/>
        <w:ind w:left="185"/>
      </w:pPr>
      <w:r>
        <w:rPr>
          <w:rFonts w:ascii="Trebuchet MS"/>
          <w:color w:val="008356"/>
          <w:w w:val="105"/>
        </w:rPr>
        <w:t>Anti-D Immunoglobulins </w:t>
      </w:r>
      <w:r>
        <w:rPr>
          <w:i/>
          <w:color w:val="231F1F"/>
          <w:w w:val="105"/>
        </w:rPr>
        <w:t>see </w:t>
      </w:r>
      <w:r>
        <w:rPr>
          <w:color w:val="231F1F"/>
          <w:w w:val="105"/>
        </w:rPr>
        <w:t>Immunoglobulins</w:t>
      </w:r>
    </w:p>
    <w:p>
      <w:pPr>
        <w:pStyle w:val="BodyText"/>
        <w:spacing w:line="244" w:lineRule="auto" w:before="10"/>
        <w:ind w:left="285" w:hanging="100"/>
      </w:pPr>
      <w:r>
        <w:rPr>
          <w:rFonts w:ascii="Trebuchet MS"/>
          <w:color w:val="008356"/>
          <w:w w:val="110"/>
        </w:rPr>
        <w:t>Anti-arrhythmics </w:t>
      </w:r>
      <w:r>
        <w:rPr>
          <w:i/>
          <w:color w:val="231F1F"/>
          <w:w w:val="110"/>
        </w:rPr>
        <w:t>see </w:t>
      </w:r>
      <w:r>
        <w:rPr>
          <w:color w:val="231F1F"/>
          <w:w w:val="110"/>
        </w:rPr>
        <w:t>Adenosine, Amiodarone, Disopyramide, Dronedarone, Flecainide, Lidocaine, and Propafenone</w:t>
      </w:r>
    </w:p>
    <w:p>
      <w:pPr>
        <w:pStyle w:val="BodyText"/>
        <w:spacing w:before="9"/>
        <w:ind w:left="185"/>
      </w:pPr>
      <w:r>
        <w:rPr>
          <w:rFonts w:ascii="Trebuchet MS"/>
          <w:color w:val="008356"/>
          <w:w w:val="110"/>
        </w:rPr>
        <w:t>Antibacterials </w:t>
      </w:r>
      <w:r>
        <w:rPr>
          <w:i/>
          <w:color w:val="231F1F"/>
          <w:w w:val="110"/>
        </w:rPr>
        <w:t>see </w:t>
      </w:r>
      <w:r>
        <w:rPr>
          <w:color w:val="231F1F"/>
          <w:w w:val="110"/>
        </w:rPr>
        <w:t>individual drugs</w:t>
      </w:r>
    </w:p>
    <w:p>
      <w:pPr>
        <w:pStyle w:val="BodyText"/>
        <w:spacing w:line="244" w:lineRule="auto" w:before="9"/>
        <w:ind w:left="284" w:right="617" w:hanging="100"/>
      </w:pPr>
      <w:r>
        <w:rPr>
          <w:rFonts w:ascii="Trebuchet MS"/>
          <w:color w:val="008356"/>
          <w:w w:val="110"/>
        </w:rPr>
        <w:t>Antibiotics</w:t>
      </w:r>
      <w:r>
        <w:rPr>
          <w:rFonts w:ascii="Trebuchet MS"/>
          <w:color w:val="008356"/>
          <w:spacing w:val="-29"/>
          <w:w w:val="110"/>
        </w:rPr>
        <w:t> </w:t>
      </w:r>
      <w:r>
        <w:rPr>
          <w:rFonts w:ascii="Trebuchet MS"/>
          <w:color w:val="008356"/>
          <w:w w:val="110"/>
        </w:rPr>
        <w:t>(cytotoxic)</w:t>
      </w:r>
      <w:r>
        <w:rPr>
          <w:rFonts w:ascii="Trebuchet MS"/>
          <w:color w:val="008356"/>
          <w:spacing w:val="-18"/>
          <w:w w:val="110"/>
        </w:rPr>
        <w:t> </w:t>
      </w:r>
      <w:r>
        <w:rPr>
          <w:i/>
          <w:color w:val="231F1F"/>
          <w:w w:val="110"/>
        </w:rPr>
        <w:t>see</w:t>
      </w:r>
      <w:r>
        <w:rPr>
          <w:i/>
          <w:color w:val="231F1F"/>
          <w:spacing w:val="-22"/>
          <w:w w:val="110"/>
        </w:rPr>
        <w:t> </w:t>
      </w:r>
      <w:r>
        <w:rPr>
          <w:color w:val="231F1F"/>
          <w:w w:val="110"/>
        </w:rPr>
        <w:t>Bleomycin,</w:t>
      </w:r>
      <w:r>
        <w:rPr>
          <w:color w:val="231F1F"/>
          <w:spacing w:val="-22"/>
          <w:w w:val="110"/>
        </w:rPr>
        <w:t> </w:t>
      </w:r>
      <w:r>
        <w:rPr>
          <w:color w:val="231F1F"/>
          <w:w w:val="110"/>
        </w:rPr>
        <w:t>Doxorubicin,</w:t>
      </w:r>
      <w:r>
        <w:rPr>
          <w:color w:val="231F1F"/>
          <w:spacing w:val="-22"/>
          <w:w w:val="110"/>
        </w:rPr>
        <w:t> </w:t>
      </w:r>
      <w:r>
        <w:rPr>
          <w:color w:val="231F1F"/>
          <w:w w:val="110"/>
        </w:rPr>
        <w:t>Epirubicin, Idarubicin, Mitomycin, Mitoxantrone, and</w:t>
      </w:r>
      <w:r>
        <w:rPr>
          <w:color w:val="231F1F"/>
          <w:spacing w:val="14"/>
          <w:w w:val="110"/>
        </w:rPr>
        <w:t> </w:t>
      </w:r>
      <w:r>
        <w:rPr>
          <w:color w:val="231F1F"/>
          <w:w w:val="110"/>
        </w:rPr>
        <w:t>Pixantrone</w:t>
      </w:r>
    </w:p>
    <w:p>
      <w:pPr>
        <w:pStyle w:val="BodyText"/>
        <w:spacing w:line="244" w:lineRule="auto" w:before="8"/>
        <w:ind w:left="284" w:right="617" w:hanging="100"/>
      </w:pPr>
      <w:r>
        <w:rPr>
          <w:rFonts w:ascii="Trebuchet MS"/>
          <w:color w:val="008356"/>
          <w:w w:val="110"/>
        </w:rPr>
        <w:t>Anticoagulants </w:t>
      </w:r>
      <w:r>
        <w:rPr>
          <w:i/>
          <w:color w:val="231F1F"/>
          <w:w w:val="110"/>
        </w:rPr>
        <w:t>see </w:t>
      </w:r>
      <w:r>
        <w:rPr>
          <w:color w:val="231F1F"/>
          <w:w w:val="110"/>
        </w:rPr>
        <w:t>Apixaban, Argatroban, Bivalirudin, </w:t>
      </w:r>
      <w:r>
        <w:rPr>
          <w:color w:val="231F1F"/>
          <w:w w:val="115"/>
        </w:rPr>
        <w:t>Coumarins, Dabigatran, Danaparoid, Fondaparinux, Heparins, Phenindione, and Rivaroxaban</w:t>
      </w:r>
    </w:p>
    <w:p>
      <w:pPr>
        <w:pStyle w:val="BodyText"/>
        <w:spacing w:line="244" w:lineRule="auto" w:before="9"/>
        <w:ind w:left="284" w:right="632" w:hanging="100"/>
      </w:pPr>
      <w:r>
        <w:rPr>
          <w:rFonts w:ascii="Trebuchet MS" w:hAnsi="Trebuchet MS"/>
          <w:color w:val="008356"/>
          <w:w w:val="110"/>
        </w:rPr>
        <w:t>Antidepressants </w:t>
      </w:r>
      <w:r>
        <w:rPr>
          <w:i/>
          <w:color w:val="231F1F"/>
          <w:w w:val="110"/>
        </w:rPr>
        <w:t>see </w:t>
      </w:r>
      <w:r>
        <w:rPr>
          <w:color w:val="231F1F"/>
          <w:w w:val="110"/>
        </w:rPr>
        <w:t>Agomelatine; Antidepressants, SSRI; Antidepressants, Tricyclic; Antidepressants, Tricyclic (related); MAOIs; Mirtazapine; Moclobemide; Reboxetine; St John</w:t>
      </w:r>
      <w:r>
        <w:rPr>
          <w:rFonts w:ascii="Arial" w:hAnsi="Arial"/>
          <w:color w:val="231F1F"/>
          <w:w w:val="110"/>
        </w:rPr>
        <w:t>’</w:t>
      </w:r>
      <w:r>
        <w:rPr>
          <w:color w:val="231F1F"/>
          <w:w w:val="110"/>
        </w:rPr>
        <w:t>s Wort; Venlafaxine</w:t>
      </w:r>
    </w:p>
    <w:p>
      <w:pPr>
        <w:pStyle w:val="BodyText"/>
        <w:spacing w:before="8"/>
        <w:ind w:left="184"/>
        <w:rPr>
          <w:i/>
        </w:rPr>
      </w:pPr>
      <w:r>
        <w:rPr>
          <w:rFonts w:ascii="Trebuchet MS"/>
          <w:color w:val="008356"/>
          <w:w w:val="105"/>
        </w:rPr>
        <w:t>Antidepressants, Noradrenaline Re-uptake Inhibitors </w:t>
      </w:r>
      <w:r>
        <w:rPr>
          <w:i/>
          <w:color w:val="231F1F"/>
          <w:w w:val="105"/>
        </w:rPr>
        <w:t>see</w:t>
      </w:r>
    </w:p>
    <w:p>
      <w:pPr>
        <w:pStyle w:val="BodyText"/>
        <w:spacing w:before="3"/>
        <w:ind w:left="284"/>
      </w:pPr>
      <w:r>
        <w:rPr>
          <w:color w:val="231F1F"/>
          <w:w w:val="115"/>
        </w:rPr>
        <w:t>Reboxetine</w:t>
      </w:r>
    </w:p>
    <w:p>
      <w:pPr>
        <w:pStyle w:val="BodyText"/>
        <w:spacing w:before="11"/>
        <w:ind w:left="184"/>
        <w:rPr>
          <w:rFonts w:ascii="Trebuchet MS"/>
        </w:rPr>
      </w:pPr>
      <w:r>
        <w:rPr>
          <w:rFonts w:ascii="Trebuchet MS"/>
          <w:color w:val="008356"/>
          <w:w w:val="105"/>
        </w:rPr>
        <w:t>Antidepressants, SSRI</w:t>
      </w:r>
    </w:p>
    <w:p>
      <w:pPr>
        <w:spacing w:line="141" w:lineRule="exact" w:before="5"/>
        <w:ind w:left="285" w:right="0" w:firstLine="0"/>
        <w:jc w:val="left"/>
        <w:rPr>
          <w:sz w:val="12"/>
        </w:rPr>
      </w:pPr>
      <w:r>
        <w:rPr>
          <w:rFonts w:ascii="Calibri"/>
          <w:color w:val="008356"/>
          <w:w w:val="110"/>
          <w:sz w:val="11"/>
        </w:rPr>
        <w:t>NOTE </w:t>
      </w:r>
      <w:r>
        <w:rPr>
          <w:i/>
          <w:color w:val="231F1F"/>
          <w:w w:val="110"/>
          <w:sz w:val="12"/>
        </w:rPr>
        <w:t>see also </w:t>
      </w:r>
      <w:r>
        <w:rPr>
          <w:color w:val="231F1F"/>
          <w:w w:val="110"/>
          <w:sz w:val="12"/>
        </w:rPr>
        <w:t>Dapoxetine</w:t>
      </w:r>
    </w:p>
    <w:p>
      <w:pPr>
        <w:pStyle w:val="BodyText"/>
        <w:spacing w:line="220" w:lineRule="auto" w:before="8"/>
        <w:ind w:left="285" w:right="617"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sedative effects possibly increased when SSRIs given with </w:t>
      </w:r>
      <w:r>
        <w:rPr>
          <w:rFonts w:ascii="Calibri" w:hAnsi="Calibri"/>
          <w:color w:val="008356"/>
          <w:w w:val="105"/>
          <w:sz w:val="11"/>
        </w:rPr>
        <w:t>ALCOHOL</w:t>
      </w:r>
    </w:p>
    <w:p>
      <w:pPr>
        <w:pStyle w:val="BodyText"/>
        <w:spacing w:line="242" w:lineRule="auto"/>
        <w:ind w:left="285" w:right="578" w:hanging="100"/>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Aminophylline:</w:t>
      </w:r>
      <w:r>
        <w:rPr>
          <w:rFonts w:ascii="Calibri"/>
          <w:color w:val="231F1F"/>
          <w:spacing w:val="-18"/>
          <w:w w:val="115"/>
        </w:rPr>
        <w:t> </w:t>
      </w:r>
      <w:r>
        <w:rPr>
          <w:color w:val="231F1F"/>
          <w:w w:val="115"/>
        </w:rPr>
        <w:t>fluvoxamine</w:t>
      </w:r>
      <w:r>
        <w:rPr>
          <w:color w:val="231F1F"/>
          <w:spacing w:val="-21"/>
          <w:w w:val="115"/>
        </w:rPr>
        <w:t> </w:t>
      </w:r>
      <w:r>
        <w:rPr>
          <w:color w:val="231F1F"/>
          <w:w w:val="115"/>
        </w:rPr>
        <w:t>increases</w:t>
      </w:r>
      <w:r>
        <w:rPr>
          <w:color w:val="231F1F"/>
          <w:spacing w:val="-20"/>
          <w:w w:val="115"/>
        </w:rPr>
        <w:t> </w:t>
      </w:r>
      <w:r>
        <w:rPr>
          <w:color w:val="231F1F"/>
          <w:w w:val="115"/>
        </w:rPr>
        <w:t>plasma</w:t>
      </w:r>
      <w:r>
        <w:rPr>
          <w:color w:val="231F1F"/>
          <w:spacing w:val="-21"/>
          <w:w w:val="115"/>
        </w:rPr>
        <w:t> </w:t>
      </w:r>
      <w:r>
        <w:rPr>
          <w:color w:val="231F1F"/>
          <w:w w:val="115"/>
        </w:rPr>
        <w:t>concentration</w:t>
      </w:r>
      <w:r>
        <w:rPr>
          <w:color w:val="231F1F"/>
          <w:spacing w:val="-21"/>
          <w:w w:val="115"/>
        </w:rPr>
        <w:t> </w:t>
      </w:r>
      <w:r>
        <w:rPr>
          <w:color w:val="231F1F"/>
          <w:w w:val="115"/>
        </w:rPr>
        <w:t>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AMINOPHYLLINE</w:t>
      </w:r>
      <w:r>
        <w:rPr>
          <w:rFonts w:ascii="Calibri"/>
          <w:color w:val="008356"/>
          <w:spacing w:val="-13"/>
          <w:w w:val="115"/>
          <w:sz w:val="11"/>
        </w:rPr>
        <w:t> </w:t>
      </w:r>
      <w:r>
        <w:rPr>
          <w:color w:val="231F1F"/>
          <w:w w:val="115"/>
        </w:rPr>
        <w:t>(concomitant</w:t>
      </w:r>
      <w:r>
        <w:rPr>
          <w:color w:val="231F1F"/>
          <w:spacing w:val="-22"/>
          <w:w w:val="115"/>
        </w:rPr>
        <w:t> </w:t>
      </w:r>
      <w:r>
        <w:rPr>
          <w:color w:val="231F1F"/>
          <w:w w:val="115"/>
        </w:rPr>
        <w:t>use</w:t>
      </w:r>
      <w:r>
        <w:rPr>
          <w:color w:val="231F1F"/>
          <w:spacing w:val="-21"/>
          <w:w w:val="115"/>
        </w:rPr>
        <w:t> </w:t>
      </w:r>
      <w:r>
        <w:rPr>
          <w:color w:val="231F1F"/>
          <w:w w:val="115"/>
        </w:rPr>
        <w:t>should</w:t>
      </w:r>
      <w:r>
        <w:rPr>
          <w:color w:val="231F1F"/>
          <w:spacing w:val="-22"/>
          <w:w w:val="115"/>
        </w:rPr>
        <w:t> </w:t>
      </w:r>
      <w:r>
        <w:rPr>
          <w:color w:val="231F1F"/>
          <w:w w:val="115"/>
        </w:rPr>
        <w:t>usually</w:t>
      </w:r>
      <w:r>
        <w:rPr>
          <w:color w:val="231F1F"/>
          <w:spacing w:val="-21"/>
          <w:w w:val="115"/>
        </w:rPr>
        <w:t> </w:t>
      </w:r>
      <w:r>
        <w:rPr>
          <w:color w:val="231F1F"/>
          <w:w w:val="115"/>
        </w:rPr>
        <w:t>be</w:t>
      </w:r>
      <w:r>
        <w:rPr>
          <w:color w:val="231F1F"/>
          <w:spacing w:val="-22"/>
          <w:w w:val="115"/>
        </w:rPr>
        <w:t> </w:t>
      </w:r>
      <w:r>
        <w:rPr>
          <w:color w:val="231F1F"/>
          <w:w w:val="115"/>
        </w:rPr>
        <w:t>avoided, but where not possible halve aminophylline dose and monitor plasma-aminophylline</w:t>
      </w:r>
      <w:r>
        <w:rPr>
          <w:color w:val="231F1F"/>
          <w:spacing w:val="-7"/>
          <w:w w:val="115"/>
        </w:rPr>
        <w:t> </w:t>
      </w:r>
      <w:r>
        <w:rPr>
          <w:color w:val="231F1F"/>
          <w:w w:val="115"/>
        </w:rPr>
        <w:t>concentration)</w:t>
      </w:r>
    </w:p>
    <w:p>
      <w:pPr>
        <w:pStyle w:val="BodyText"/>
        <w:spacing w:line="151" w:lineRule="exact" w:before="2"/>
        <w:ind w:left="185"/>
      </w:pPr>
      <w:r>
        <w:rPr>
          <w:rFonts w:ascii="Lucida Sans Unicode" w:hAnsi="Lucida Sans Unicode"/>
          <w:color w:val="A7A8AC"/>
          <w:w w:val="95"/>
          <w:sz w:val="10"/>
        </w:rPr>
        <w:t>▶ </w:t>
      </w:r>
      <w:r>
        <w:rPr>
          <w:rFonts w:ascii="Calibri" w:hAnsi="Calibri"/>
          <w:color w:val="231F1F"/>
        </w:rPr>
        <w:t>Anaesthetics, Local: </w:t>
      </w:r>
      <w:r>
        <w:rPr>
          <w:color w:val="231F1F"/>
        </w:rPr>
        <w:t>fluvoxamine inhibits metabolism of</w:t>
      </w:r>
    </w:p>
    <w:p>
      <w:pPr>
        <w:pStyle w:val="BodyText"/>
        <w:spacing w:line="134" w:lineRule="exact"/>
        <w:ind w:left="285"/>
      </w:pPr>
      <w:r>
        <w:rPr>
          <w:rFonts w:ascii="Calibri" w:hAnsi="Calibri"/>
          <w:color w:val="008356"/>
          <w:w w:val="115"/>
          <w:sz w:val="11"/>
        </w:rPr>
        <w:t>ROPIVACAINE</w:t>
      </w:r>
      <w:r>
        <w:rPr>
          <w:rFonts w:ascii="Arial" w:hAnsi="Arial"/>
          <w:color w:val="231F1F"/>
          <w:w w:val="115"/>
        </w:rPr>
        <w:t>—</w:t>
      </w:r>
      <w:r>
        <w:rPr>
          <w:color w:val="231F1F"/>
          <w:w w:val="115"/>
        </w:rPr>
        <w:t>avoid prolonged administration of ropivacaine</w:t>
      </w:r>
    </w:p>
    <w:p>
      <w:pPr>
        <w:pStyle w:val="BodyText"/>
        <w:spacing w:line="244" w:lineRule="auto"/>
        <w:ind w:left="285" w:right="645"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increased risk of bleeding when SSRIs given with </w:t>
      </w:r>
      <w:r>
        <w:rPr>
          <w:rFonts w:ascii="Arial"/>
          <w:color w:val="231F1F"/>
          <w:w w:val="355"/>
          <w:position w:val="1"/>
          <w:sz w:val="7"/>
        </w:rPr>
        <w:t>l</w:t>
      </w:r>
      <w:r>
        <w:rPr>
          <w:rFonts w:ascii="Arial"/>
          <w:color w:val="231F1F"/>
          <w:spacing w:val="-38"/>
          <w:w w:val="355"/>
          <w:position w:val="1"/>
          <w:sz w:val="7"/>
        </w:rPr>
        <w:t> </w:t>
      </w:r>
      <w:r>
        <w:rPr>
          <w:rFonts w:ascii="Calibri"/>
          <w:color w:val="008356"/>
          <w:spacing w:val="4"/>
          <w:w w:val="110"/>
          <w:sz w:val="11"/>
        </w:rPr>
        <w:t>NSAIDS</w:t>
      </w:r>
      <w:r>
        <w:rPr>
          <w:rFonts w:ascii="Calibri"/>
          <w:color w:val="008356"/>
          <w:spacing w:val="13"/>
          <w:w w:val="110"/>
          <w:sz w:val="11"/>
        </w:rPr>
        <w:t> </w:t>
      </w:r>
      <w:r>
        <w:rPr>
          <w:color w:val="231F1F"/>
          <w:w w:val="110"/>
        </w:rPr>
        <w:t>or</w:t>
      </w:r>
      <w:r>
        <w:rPr>
          <w:color w:val="231F1F"/>
          <w:spacing w:val="1"/>
          <w:w w:val="110"/>
        </w:rPr>
        <w:t> </w:t>
      </w:r>
      <w:r>
        <w:rPr>
          <w:rFonts w:ascii="Arial"/>
          <w:color w:val="231F1F"/>
          <w:w w:val="355"/>
          <w:position w:val="1"/>
          <w:sz w:val="7"/>
        </w:rPr>
        <w:t>l</w:t>
      </w:r>
      <w:r>
        <w:rPr>
          <w:rFonts w:ascii="Arial"/>
          <w:color w:val="231F1F"/>
          <w:spacing w:val="-37"/>
          <w:w w:val="355"/>
          <w:position w:val="1"/>
          <w:sz w:val="7"/>
        </w:rPr>
        <w:t> </w:t>
      </w:r>
      <w:r>
        <w:rPr>
          <w:rFonts w:ascii="Calibri"/>
          <w:color w:val="008356"/>
          <w:spacing w:val="4"/>
          <w:w w:val="110"/>
          <w:sz w:val="11"/>
        </w:rPr>
        <w:t>ASPIRIN</w:t>
      </w:r>
      <w:r>
        <w:rPr>
          <w:color w:val="231F1F"/>
          <w:spacing w:val="4"/>
          <w:w w:val="110"/>
        </w:rPr>
        <w:t>;</w:t>
      </w:r>
      <w:r>
        <w:rPr>
          <w:color w:val="231F1F"/>
          <w:spacing w:val="1"/>
          <w:w w:val="110"/>
        </w:rPr>
        <w:t> </w:t>
      </w:r>
      <w:r>
        <w:rPr>
          <w:color w:val="231F1F"/>
          <w:w w:val="110"/>
        </w:rPr>
        <w:t>possible</w:t>
      </w:r>
      <w:r>
        <w:rPr>
          <w:color w:val="231F1F"/>
          <w:spacing w:val="1"/>
          <w:w w:val="110"/>
        </w:rPr>
        <w:t> </w:t>
      </w:r>
      <w:r>
        <w:rPr>
          <w:color w:val="231F1F"/>
          <w:w w:val="110"/>
        </w:rPr>
        <w:t>increased</w:t>
      </w:r>
      <w:r>
        <w:rPr>
          <w:color w:val="231F1F"/>
          <w:spacing w:val="1"/>
          <w:w w:val="110"/>
        </w:rPr>
        <w:t> </w:t>
      </w:r>
      <w:r>
        <w:rPr>
          <w:color w:val="231F1F"/>
          <w:w w:val="110"/>
        </w:rPr>
        <w:t>serotonergic effects when SSRIs given with </w:t>
      </w:r>
      <w:r>
        <w:rPr>
          <w:rFonts w:ascii="Calibri"/>
          <w:color w:val="008356"/>
          <w:spacing w:val="4"/>
          <w:w w:val="110"/>
          <w:sz w:val="11"/>
        </w:rPr>
        <w:t>FENTANYL</w:t>
      </w:r>
      <w:r>
        <w:rPr>
          <w:color w:val="231F1F"/>
          <w:spacing w:val="4"/>
          <w:w w:val="110"/>
        </w:rPr>
        <w:t>; </w:t>
      </w:r>
      <w:r>
        <w:rPr>
          <w:color w:val="231F1F"/>
          <w:w w:val="110"/>
        </w:rPr>
        <w:t>fluoxetine, fluvoxamine, paroxetine and sertraline possibly increase plasma concentration of </w:t>
      </w:r>
      <w:r>
        <w:rPr>
          <w:rFonts w:ascii="Calibri"/>
          <w:color w:val="008356"/>
          <w:spacing w:val="4"/>
          <w:w w:val="110"/>
          <w:sz w:val="11"/>
        </w:rPr>
        <w:t>METHADONE</w:t>
      </w:r>
      <w:r>
        <w:rPr>
          <w:color w:val="231F1F"/>
          <w:spacing w:val="4"/>
          <w:w w:val="110"/>
        </w:rPr>
        <w:t>; </w:t>
      </w:r>
      <w:r>
        <w:rPr>
          <w:color w:val="231F1F"/>
          <w:w w:val="110"/>
        </w:rPr>
        <w:t>increased risk of CNS toxicity when SSRIs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0"/>
          <w:sz w:val="11"/>
        </w:rPr>
        <w:t>TRAMADOL</w:t>
      </w:r>
    </w:p>
    <w:p>
      <w:pPr>
        <w:pStyle w:val="BodyText"/>
        <w:spacing w:line="138" w:lineRule="exact"/>
        <w:ind w:left="185"/>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Anti-arrhythmics:</w:t>
      </w:r>
      <w:r>
        <w:rPr>
          <w:rFonts w:ascii="Calibri"/>
          <w:color w:val="231F1F"/>
          <w:spacing w:val="-20"/>
          <w:w w:val="115"/>
        </w:rPr>
        <w:t> </w:t>
      </w:r>
      <w:r>
        <w:rPr>
          <w:color w:val="231F1F"/>
          <w:w w:val="115"/>
        </w:rPr>
        <w:t>manufacturer</w:t>
      </w:r>
      <w:r>
        <w:rPr>
          <w:color w:val="231F1F"/>
          <w:spacing w:val="-23"/>
          <w:w w:val="115"/>
        </w:rPr>
        <w:t> </w:t>
      </w:r>
      <w:r>
        <w:rPr>
          <w:color w:val="231F1F"/>
          <w:w w:val="115"/>
        </w:rPr>
        <w:t>of</w:t>
      </w:r>
      <w:r>
        <w:rPr>
          <w:color w:val="231F1F"/>
          <w:spacing w:val="-23"/>
          <w:w w:val="115"/>
        </w:rPr>
        <w:t> </w:t>
      </w:r>
      <w:r>
        <w:rPr>
          <w:color w:val="231F1F"/>
          <w:w w:val="115"/>
        </w:rPr>
        <w:t>citalopram</w:t>
      </w:r>
      <w:r>
        <w:rPr>
          <w:color w:val="231F1F"/>
          <w:spacing w:val="-24"/>
          <w:w w:val="115"/>
        </w:rPr>
        <w:t> </w:t>
      </w:r>
      <w:r>
        <w:rPr>
          <w:color w:val="231F1F"/>
          <w:w w:val="115"/>
        </w:rPr>
        <w:t>and</w:t>
      </w:r>
    </w:p>
    <w:p>
      <w:pPr>
        <w:pStyle w:val="BodyText"/>
        <w:spacing w:line="137" w:lineRule="exact"/>
        <w:ind w:left="285"/>
      </w:pPr>
      <w:r>
        <w:rPr>
          <w:color w:val="231F1F"/>
          <w:w w:val="115"/>
        </w:rPr>
        <w:t>escitalopram</w:t>
      </w:r>
      <w:r>
        <w:rPr>
          <w:color w:val="231F1F"/>
          <w:spacing w:val="-9"/>
          <w:w w:val="115"/>
        </w:rPr>
        <w:t> </w:t>
      </w:r>
      <w:r>
        <w:rPr>
          <w:color w:val="231F1F"/>
          <w:w w:val="115"/>
        </w:rPr>
        <w:t>advises</w:t>
      </w:r>
      <w:r>
        <w:rPr>
          <w:color w:val="231F1F"/>
          <w:spacing w:val="-8"/>
          <w:w w:val="115"/>
        </w:rPr>
        <w:t> </w:t>
      </w:r>
      <w:r>
        <w:rPr>
          <w:color w:val="231F1F"/>
          <w:w w:val="115"/>
        </w:rPr>
        <w:t>avoid</w:t>
      </w:r>
      <w:r>
        <w:rPr>
          <w:color w:val="231F1F"/>
          <w:spacing w:val="-8"/>
          <w:w w:val="115"/>
        </w:rPr>
        <w:t> </w:t>
      </w:r>
      <w:r>
        <w:rPr>
          <w:color w:val="231F1F"/>
          <w:w w:val="115"/>
        </w:rPr>
        <w:t>concomitant</w:t>
      </w:r>
      <w:r>
        <w:rPr>
          <w:color w:val="231F1F"/>
          <w:spacing w:val="-9"/>
          <w:w w:val="115"/>
        </w:rPr>
        <w:t> </w:t>
      </w:r>
      <w:r>
        <w:rPr>
          <w:color w:val="231F1F"/>
          <w:w w:val="115"/>
        </w:rPr>
        <w:t>use</w:t>
      </w:r>
      <w:r>
        <w:rPr>
          <w:color w:val="231F1F"/>
          <w:spacing w:val="-7"/>
          <w:w w:val="115"/>
        </w:rPr>
        <w:t> </w:t>
      </w:r>
      <w:r>
        <w:rPr>
          <w:color w:val="231F1F"/>
          <w:w w:val="115"/>
        </w:rPr>
        <w:t>with</w:t>
      </w:r>
    </w:p>
    <w:p>
      <w:pPr>
        <w:pStyle w:val="BodyText"/>
        <w:spacing w:line="244" w:lineRule="auto" w:before="5"/>
        <w:ind w:left="285" w:right="603"/>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AMIODARONE </w:t>
      </w:r>
      <w:r>
        <w:rPr>
          <w:color w:val="231F1F"/>
          <w:w w:val="110"/>
        </w:rPr>
        <w:t>(risk of ventricular arrhythmias); manufacturer of citalopram and escitalopram advises  avoid  concomitant use with </w:t>
      </w:r>
      <w:r>
        <w:rPr>
          <w:rFonts w:ascii="Arial"/>
          <w:color w:val="231F1F"/>
          <w:w w:val="355"/>
          <w:position w:val="1"/>
          <w:sz w:val="7"/>
        </w:rPr>
        <w:t>l </w:t>
      </w:r>
      <w:r>
        <w:rPr>
          <w:rFonts w:ascii="Calibri"/>
          <w:color w:val="008356"/>
          <w:spacing w:val="4"/>
          <w:w w:val="110"/>
          <w:sz w:val="11"/>
        </w:rPr>
        <w:t>DISOPYRAMIDE </w:t>
      </w:r>
      <w:r>
        <w:rPr>
          <w:color w:val="231F1F"/>
          <w:w w:val="110"/>
        </w:rPr>
        <w:t>(risk of ventricular arrhythmias); manufacturer of citalopram and escitalopram advises avoid concomitant use with </w:t>
      </w:r>
      <w:r>
        <w:rPr>
          <w:rFonts w:ascii="Arial"/>
          <w:color w:val="231F1F"/>
          <w:w w:val="355"/>
          <w:position w:val="1"/>
          <w:sz w:val="7"/>
        </w:rPr>
        <w:t>l </w:t>
      </w:r>
      <w:r>
        <w:rPr>
          <w:rFonts w:ascii="Calibri"/>
          <w:color w:val="008356"/>
          <w:spacing w:val="4"/>
          <w:w w:val="110"/>
          <w:sz w:val="11"/>
        </w:rPr>
        <w:t>DRONEDARONE </w:t>
      </w:r>
      <w:r>
        <w:rPr>
          <w:color w:val="231F1F"/>
          <w:w w:val="110"/>
        </w:rPr>
        <w:t>(risk of ventricular arrhythmias); fluoxetine increases plasma concentration of </w:t>
      </w:r>
      <w:r>
        <w:rPr>
          <w:rFonts w:ascii="Calibri"/>
          <w:color w:val="008356"/>
          <w:spacing w:val="4"/>
          <w:w w:val="110"/>
          <w:sz w:val="11"/>
        </w:rPr>
        <w:t>FLECAINIDE</w:t>
      </w:r>
      <w:r>
        <w:rPr>
          <w:color w:val="231F1F"/>
          <w:spacing w:val="4"/>
          <w:w w:val="110"/>
        </w:rPr>
        <w:t>; </w:t>
      </w:r>
      <w:r>
        <w:rPr>
          <w:color w:val="231F1F"/>
          <w:w w:val="110"/>
        </w:rPr>
        <w:t>fluoxetine and paroxetine possibly inhibit metabolism of</w:t>
      </w:r>
      <w:r>
        <w:rPr>
          <w:color w:val="231F1F"/>
          <w:spacing w:val="-6"/>
          <w:w w:val="110"/>
        </w:rPr>
        <w:t> </w:t>
      </w:r>
      <w:r>
        <w:rPr>
          <w:rFonts w:ascii="Calibri"/>
          <w:color w:val="008356"/>
          <w:spacing w:val="4"/>
          <w:w w:val="110"/>
          <w:sz w:val="11"/>
        </w:rPr>
        <w:t>PROPAFENONE</w:t>
      </w:r>
    </w:p>
    <w:p>
      <w:pPr>
        <w:pStyle w:val="BodyText"/>
        <w:ind w:left="285" w:right="718" w:hanging="100"/>
        <w:rPr>
          <w:i/>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Antibacterials:</w:t>
      </w:r>
      <w:r>
        <w:rPr>
          <w:rFonts w:ascii="Calibri"/>
          <w:color w:val="231F1F"/>
          <w:spacing w:val="-12"/>
          <w:w w:val="115"/>
        </w:rPr>
        <w:t> </w:t>
      </w:r>
      <w:r>
        <w:rPr>
          <w:color w:val="231F1F"/>
          <w:w w:val="115"/>
        </w:rPr>
        <w:t>manufacturer</w:t>
      </w:r>
      <w:r>
        <w:rPr>
          <w:color w:val="231F1F"/>
          <w:spacing w:val="-14"/>
          <w:w w:val="115"/>
        </w:rPr>
        <w:t> </w:t>
      </w:r>
      <w:r>
        <w:rPr>
          <w:color w:val="231F1F"/>
          <w:w w:val="115"/>
        </w:rPr>
        <w:t>of</w:t>
      </w:r>
      <w:r>
        <w:rPr>
          <w:color w:val="231F1F"/>
          <w:spacing w:val="-15"/>
          <w:w w:val="115"/>
        </w:rPr>
        <w:t> </w:t>
      </w:r>
      <w:r>
        <w:rPr>
          <w:color w:val="231F1F"/>
          <w:w w:val="115"/>
        </w:rPr>
        <w:t>citalopram</w:t>
      </w:r>
      <w:r>
        <w:rPr>
          <w:color w:val="231F1F"/>
          <w:spacing w:val="-15"/>
          <w:w w:val="115"/>
        </w:rPr>
        <w:t> </w:t>
      </w:r>
      <w:r>
        <w:rPr>
          <w:color w:val="231F1F"/>
          <w:w w:val="115"/>
        </w:rPr>
        <w:t>and</w:t>
      </w:r>
      <w:r>
        <w:rPr>
          <w:color w:val="231F1F"/>
          <w:spacing w:val="-15"/>
          <w:w w:val="115"/>
        </w:rPr>
        <w:t> </w:t>
      </w:r>
      <w:r>
        <w:rPr>
          <w:color w:val="231F1F"/>
          <w:spacing w:val="-2"/>
          <w:w w:val="115"/>
        </w:rPr>
        <w:t>escitalopram </w:t>
      </w:r>
      <w:r>
        <w:rPr>
          <w:color w:val="231F1F"/>
          <w:w w:val="115"/>
        </w:rPr>
        <w:t>advises</w:t>
      </w:r>
      <w:r>
        <w:rPr>
          <w:color w:val="231F1F"/>
          <w:spacing w:val="-6"/>
          <w:w w:val="115"/>
        </w:rPr>
        <w:t> </w:t>
      </w:r>
      <w:r>
        <w:rPr>
          <w:color w:val="231F1F"/>
          <w:w w:val="115"/>
        </w:rPr>
        <w:t>avoid</w:t>
      </w:r>
      <w:r>
        <w:rPr>
          <w:color w:val="231F1F"/>
          <w:spacing w:val="-6"/>
          <w:w w:val="115"/>
        </w:rPr>
        <w:t> </w:t>
      </w:r>
      <w:r>
        <w:rPr>
          <w:color w:val="231F1F"/>
          <w:w w:val="115"/>
        </w:rPr>
        <w:t>concomitant</w:t>
      </w:r>
      <w:r>
        <w:rPr>
          <w:color w:val="231F1F"/>
          <w:spacing w:val="-7"/>
          <w:w w:val="115"/>
        </w:rPr>
        <w:t> </w:t>
      </w:r>
      <w:r>
        <w:rPr>
          <w:color w:val="231F1F"/>
          <w:w w:val="115"/>
        </w:rPr>
        <w:t>use</w:t>
      </w:r>
      <w:r>
        <w:rPr>
          <w:color w:val="231F1F"/>
          <w:spacing w:val="-6"/>
          <w:w w:val="115"/>
        </w:rPr>
        <w:t> </w:t>
      </w:r>
      <w:r>
        <w:rPr>
          <w:color w:val="231F1F"/>
          <w:w w:val="115"/>
        </w:rPr>
        <w:t>with</w:t>
      </w:r>
      <w:r>
        <w:rPr>
          <w:color w:val="231F1F"/>
          <w:spacing w:val="-5"/>
          <w:w w:val="115"/>
        </w:rPr>
        <w:t> </w:t>
      </w:r>
      <w:r>
        <w:rPr>
          <w:i/>
          <w:color w:val="231F1F"/>
          <w:w w:val="115"/>
        </w:rPr>
        <w:t>intravenous</w:t>
      </w:r>
    </w:p>
    <w:p>
      <w:pPr>
        <w:pStyle w:val="BodyText"/>
        <w:spacing w:line="247" w:lineRule="auto" w:before="4"/>
        <w:ind w:left="285" w:right="795"/>
        <w:rPr>
          <w:rFonts w:ascii="Calibri"/>
          <w:sz w:val="11"/>
        </w:rPr>
      </w:pPr>
      <w:r>
        <w:rPr>
          <w:rFonts w:ascii="Arial"/>
          <w:color w:val="231F1F"/>
          <w:w w:val="355"/>
          <w:position w:val="1"/>
          <w:sz w:val="7"/>
        </w:rPr>
        <w:t>l </w:t>
      </w:r>
      <w:r>
        <w:rPr>
          <w:rFonts w:ascii="Calibri"/>
          <w:color w:val="008356"/>
          <w:spacing w:val="4"/>
          <w:w w:val="110"/>
          <w:sz w:val="11"/>
        </w:rPr>
        <w:t>ERYTHROMYCIN </w:t>
      </w:r>
      <w:r>
        <w:rPr>
          <w:color w:val="231F1F"/>
          <w:w w:val="110"/>
        </w:rPr>
        <w:t>(risk of ventricular arrhythmias); manufacturer of citalopram and escitalopram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3"/>
          <w:w w:val="110"/>
          <w:sz w:val="11"/>
        </w:rPr>
        <w:t>MOXIFLOXACIN </w:t>
      </w:r>
      <w:r>
        <w:rPr>
          <w:color w:val="231F1F"/>
          <w:w w:val="110"/>
        </w:rPr>
        <w:t>(risk of ventricular arrhythmias); possible increased risk of ventricular arrhythmias when citalopram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TELITHROMYCIN</w:t>
      </w:r>
    </w:p>
    <w:p>
      <w:pPr>
        <w:pStyle w:val="BodyText"/>
        <w:spacing w:line="138" w:lineRule="exact"/>
        <w:ind w:left="185"/>
      </w:pPr>
      <w:r>
        <w:rPr>
          <w:rFonts w:ascii="Arial"/>
          <w:color w:val="231F1F"/>
          <w:w w:val="355"/>
          <w:position w:val="1"/>
          <w:sz w:val="7"/>
        </w:rPr>
        <w:t>l </w:t>
      </w:r>
      <w:r>
        <w:rPr>
          <w:rFonts w:ascii="Calibri"/>
          <w:color w:val="231F1F"/>
          <w:w w:val="110"/>
        </w:rPr>
        <w:t>Anticoagulants: </w:t>
      </w:r>
      <w:r>
        <w:rPr>
          <w:color w:val="231F1F"/>
          <w:w w:val="110"/>
        </w:rPr>
        <w:t>SSRIs possibly enhance anticoagulant effect of</w:t>
      </w:r>
    </w:p>
    <w:p>
      <w:pPr>
        <w:spacing w:before="0"/>
        <w:ind w:left="285" w:right="571" w:hanging="1"/>
        <w:jc w:val="left"/>
        <w:rPr>
          <w:rFonts w:ascii="Calibri"/>
          <w:sz w:val="11"/>
        </w:rPr>
      </w:pPr>
      <w:r>
        <w:rPr>
          <w:rFonts w:ascii="Arial"/>
          <w:color w:val="231F1F"/>
          <w:w w:val="355"/>
          <w:position w:val="1"/>
          <w:sz w:val="7"/>
        </w:rPr>
        <w:t>l </w:t>
      </w:r>
      <w:r>
        <w:rPr>
          <w:rFonts w:ascii="Calibri"/>
          <w:color w:val="008356"/>
          <w:spacing w:val="4"/>
          <w:w w:val="110"/>
          <w:sz w:val="11"/>
        </w:rPr>
        <w:t>COUMARINS</w:t>
      </w:r>
      <w:r>
        <w:rPr>
          <w:color w:val="231F1F"/>
          <w:spacing w:val="4"/>
          <w:w w:val="110"/>
          <w:sz w:val="12"/>
        </w:rPr>
        <w:t>; </w:t>
      </w:r>
      <w:r>
        <w:rPr>
          <w:color w:val="231F1F"/>
          <w:w w:val="110"/>
          <w:sz w:val="12"/>
        </w:rPr>
        <w:t>possible increased risk of bleeding when </w:t>
      </w:r>
      <w:r>
        <w:rPr>
          <w:color w:val="231F1F"/>
          <w:spacing w:val="-3"/>
          <w:w w:val="110"/>
          <w:sz w:val="12"/>
        </w:rPr>
        <w:t>SSRIs </w:t>
      </w:r>
      <w:r>
        <w:rPr>
          <w:color w:val="231F1F"/>
          <w:w w:val="110"/>
          <w:sz w:val="12"/>
        </w:rPr>
        <w:t>given with </w:t>
      </w:r>
      <w:r>
        <w:rPr>
          <w:rFonts w:ascii="Arial"/>
          <w:color w:val="231F1F"/>
          <w:w w:val="355"/>
          <w:position w:val="1"/>
          <w:sz w:val="7"/>
        </w:rPr>
        <w:t>l </w:t>
      </w:r>
      <w:r>
        <w:rPr>
          <w:rFonts w:ascii="Calibri"/>
          <w:color w:val="008356"/>
          <w:spacing w:val="4"/>
          <w:w w:val="110"/>
          <w:sz w:val="11"/>
        </w:rPr>
        <w:t>DABIGATRAN</w:t>
      </w:r>
    </w:p>
    <w:p>
      <w:pPr>
        <w:pStyle w:val="BodyText"/>
        <w:spacing w:line="244" w:lineRule="auto"/>
        <w:ind w:left="285" w:right="645" w:hanging="100"/>
      </w:pPr>
      <w:r>
        <w:rPr>
          <w:rFonts w:ascii="Arial" w:hAnsi="Arial"/>
          <w:color w:val="231F1F"/>
          <w:w w:val="355"/>
          <w:position w:val="1"/>
          <w:sz w:val="7"/>
        </w:rPr>
        <w:t>l </w:t>
      </w:r>
      <w:r>
        <w:rPr>
          <w:rFonts w:ascii="Calibri" w:hAnsi="Calibri"/>
          <w:color w:val="231F1F"/>
          <w:w w:val="110"/>
        </w:rPr>
        <w:t>Antidepressants: </w:t>
      </w:r>
      <w:r>
        <w:rPr>
          <w:color w:val="231F1F"/>
          <w:w w:val="110"/>
        </w:rPr>
        <w:t>avoidance of fluvoxamine advised by manufacturer of </w:t>
      </w:r>
      <w:r>
        <w:rPr>
          <w:rFonts w:ascii="Arial" w:hAnsi="Arial"/>
          <w:color w:val="231F1F"/>
          <w:w w:val="355"/>
          <w:position w:val="1"/>
          <w:sz w:val="7"/>
        </w:rPr>
        <w:t>l </w:t>
      </w:r>
      <w:r>
        <w:rPr>
          <w:rFonts w:ascii="Calibri" w:hAnsi="Calibri"/>
          <w:color w:val="008356"/>
          <w:w w:val="110"/>
          <w:sz w:val="11"/>
        </w:rPr>
        <w:t>REBOXETINE</w:t>
      </w:r>
      <w:r>
        <w:rPr>
          <w:color w:val="231F1F"/>
          <w:w w:val="110"/>
        </w:rPr>
        <w:t>; possible increased serotonergic effects when SSRIs given with </w:t>
      </w:r>
      <w:r>
        <w:rPr>
          <w:rFonts w:ascii="Calibri" w:hAnsi="Calibri"/>
          <w:color w:val="008356"/>
          <w:w w:val="110"/>
          <w:sz w:val="11"/>
        </w:rPr>
        <w:t>DULOXETINE</w:t>
      </w:r>
      <w:r>
        <w:rPr>
          <w:color w:val="231F1F"/>
          <w:w w:val="110"/>
        </w:rPr>
        <w:t>; fluvoxamine inhibits metabolism of </w:t>
      </w:r>
      <w:r>
        <w:rPr>
          <w:rFonts w:ascii="Arial" w:hAnsi="Arial"/>
          <w:color w:val="231F1F"/>
          <w:w w:val="355"/>
          <w:position w:val="1"/>
          <w:sz w:val="7"/>
        </w:rPr>
        <w:t>l </w:t>
      </w:r>
      <w:r>
        <w:rPr>
          <w:rFonts w:ascii="Calibri" w:hAnsi="Calibri"/>
          <w:color w:val="008356"/>
          <w:w w:val="110"/>
          <w:sz w:val="11"/>
        </w:rPr>
        <w:t>DULOXETINE</w:t>
      </w:r>
      <w:r>
        <w:rPr>
          <w:rFonts w:ascii="Arial" w:hAnsi="Arial"/>
          <w:color w:val="231F1F"/>
          <w:w w:val="110"/>
        </w:rPr>
        <w:t>—</w:t>
      </w:r>
      <w:r>
        <w:rPr>
          <w:color w:val="231F1F"/>
          <w:w w:val="110"/>
        </w:rPr>
        <w:t>avoid concomitant use; citalopram, escitalopram, fluvoxamine, paroxetine or sertraline should not be started until 2 weeks after stopping </w:t>
      </w:r>
      <w:r>
        <w:rPr>
          <w:rFonts w:ascii="Arial" w:hAnsi="Arial"/>
          <w:color w:val="231F1F"/>
          <w:w w:val="355"/>
          <w:position w:val="1"/>
          <w:sz w:val="7"/>
        </w:rPr>
        <w:t>l </w:t>
      </w:r>
      <w:r>
        <w:rPr>
          <w:rFonts w:ascii="Calibri" w:hAnsi="Calibri"/>
          <w:color w:val="008356"/>
          <w:w w:val="110"/>
          <w:sz w:val="11"/>
        </w:rPr>
        <w:t>MAOIS</w:t>
      </w:r>
      <w:r>
        <w:rPr>
          <w:color w:val="231F1F"/>
          <w:w w:val="110"/>
        </w:rPr>
        <w:t>, also MAOIs should not be started until at least 1 week after stopping citalopram, escitalopram, fluvoxamine, paroxetine or sertraline; fluoxetine should not</w:t>
      </w:r>
    </w:p>
    <w:p>
      <w:pPr>
        <w:spacing w:after="0" w:line="244" w:lineRule="auto"/>
        <w:sectPr>
          <w:pgSz w:w="8390" w:h="11910"/>
          <w:pgMar w:header="0" w:footer="0" w:top="460" w:bottom="280" w:left="480" w:right="0"/>
          <w:cols w:num="2" w:equalWidth="0">
            <w:col w:w="3638" w:space="40"/>
            <w:col w:w="4232"/>
          </w:cols>
        </w:sectPr>
      </w:pPr>
    </w:p>
    <w:p>
      <w:pPr>
        <w:pStyle w:val="BodyText"/>
        <w:spacing w:before="8"/>
        <w:ind w:left="0"/>
        <w:rPr>
          <w:sz w:val="14"/>
        </w:rPr>
      </w:pPr>
    </w:p>
    <w:p>
      <w:pPr>
        <w:pStyle w:val="BodyText"/>
        <w:ind w:left="108"/>
        <w:rPr>
          <w:rFonts w:ascii="Arial"/>
        </w:rPr>
      </w:pPr>
      <w:r>
        <w:rPr>
          <w:rFonts w:ascii="Arial"/>
          <w:color w:val="008356"/>
        </w:rPr>
        <w:t>Antidepressants, SSRI</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Antidepressants (continued)</w:t>
      </w:r>
    </w:p>
    <w:p>
      <w:pPr>
        <w:pStyle w:val="BodyText"/>
        <w:spacing w:line="244" w:lineRule="auto"/>
        <w:ind w:right="124"/>
      </w:pPr>
      <w:r>
        <w:rPr>
          <w:color w:val="231F1F"/>
          <w:w w:val="105"/>
        </w:rPr>
        <w:t>be started until 2 weeks after stopping </w:t>
      </w:r>
      <w:r>
        <w:rPr>
          <w:rFonts w:ascii="Arial"/>
          <w:color w:val="231F1F"/>
          <w:w w:val="355"/>
          <w:position w:val="1"/>
          <w:sz w:val="7"/>
        </w:rPr>
        <w:t>l </w:t>
      </w:r>
      <w:r>
        <w:rPr>
          <w:rFonts w:ascii="Calibri"/>
          <w:color w:val="008356"/>
          <w:w w:val="105"/>
          <w:sz w:val="11"/>
        </w:rPr>
        <w:t>MAOIS</w:t>
      </w:r>
      <w:r>
        <w:rPr>
          <w:color w:val="231F1F"/>
          <w:w w:val="105"/>
        </w:rPr>
        <w:t>, also MAOIs should not be started until </w:t>
      </w:r>
      <w:r>
        <w:rPr>
          <w:color w:val="231F1F"/>
          <w:w w:val="130"/>
        </w:rPr>
        <w:t>at </w:t>
      </w:r>
      <w:r>
        <w:rPr>
          <w:color w:val="231F1F"/>
          <w:w w:val="105"/>
        </w:rPr>
        <w:t>least 5 weeks after stopping fluoxetine; CNS effects of SSRIs increased by </w:t>
      </w:r>
      <w:r>
        <w:rPr>
          <w:rFonts w:ascii="Arial"/>
          <w:color w:val="231F1F"/>
          <w:w w:val="355"/>
          <w:position w:val="1"/>
          <w:sz w:val="7"/>
        </w:rPr>
        <w:t>l </w:t>
      </w:r>
      <w:r>
        <w:rPr>
          <w:rFonts w:ascii="Calibri"/>
          <w:color w:val="008356"/>
          <w:w w:val="105"/>
          <w:sz w:val="11"/>
        </w:rPr>
        <w:t>MAOIS </w:t>
      </w:r>
      <w:r>
        <w:rPr>
          <w:color w:val="231F1F"/>
          <w:w w:val="105"/>
        </w:rPr>
        <w:t>(risk of serious toxicity); increased risk of CNS toxicity when escitalopram given with </w:t>
      </w:r>
      <w:r>
        <w:rPr>
          <w:rFonts w:ascii="Arial"/>
          <w:color w:val="231F1F"/>
          <w:w w:val="355"/>
          <w:position w:val="1"/>
          <w:sz w:val="7"/>
        </w:rPr>
        <w:t>l </w:t>
      </w:r>
      <w:r>
        <w:rPr>
          <w:rFonts w:ascii="Calibri"/>
          <w:color w:val="008356"/>
          <w:w w:val="105"/>
          <w:sz w:val="11"/>
        </w:rPr>
        <w:t>MOCLOBEMIDE</w:t>
      </w:r>
      <w:r>
        <w:rPr>
          <w:color w:val="231F1F"/>
          <w:w w:val="105"/>
        </w:rPr>
        <w:t>, preferably avoid concomitant use; after stopping citalopram, fluvoxamine, paroxetine or sertraline do not </w:t>
      </w:r>
      <w:r>
        <w:rPr>
          <w:color w:val="231F1F"/>
          <w:w w:val="130"/>
        </w:rPr>
        <w:t>start </w:t>
      </w:r>
      <w:r>
        <w:rPr>
          <w:rFonts w:ascii="Arial"/>
          <w:color w:val="231F1F"/>
          <w:w w:val="355"/>
          <w:position w:val="1"/>
          <w:sz w:val="7"/>
        </w:rPr>
        <w:t>l </w:t>
      </w:r>
      <w:r>
        <w:rPr>
          <w:rFonts w:ascii="Calibri"/>
          <w:color w:val="008356"/>
          <w:w w:val="105"/>
          <w:sz w:val="11"/>
        </w:rPr>
        <w:t>MOCLOBEMIDE </w:t>
      </w:r>
      <w:r>
        <w:rPr>
          <w:color w:val="231F1F"/>
          <w:w w:val="105"/>
        </w:rPr>
        <w:t>for </w:t>
      </w:r>
      <w:r>
        <w:rPr>
          <w:color w:val="231F1F"/>
          <w:w w:val="130"/>
        </w:rPr>
        <w:t>at </w:t>
      </w:r>
      <w:r>
        <w:rPr>
          <w:color w:val="231F1F"/>
          <w:w w:val="105"/>
        </w:rPr>
        <w:t>least 1 week; after stopping fluoxetine do not </w:t>
      </w:r>
      <w:r>
        <w:rPr>
          <w:color w:val="231F1F"/>
          <w:w w:val="130"/>
        </w:rPr>
        <w:t>start</w:t>
      </w:r>
    </w:p>
    <w:p>
      <w:pPr>
        <w:pStyle w:val="BodyText"/>
        <w:spacing w:line="244" w:lineRule="auto" w:before="7"/>
        <w:ind w:right="71"/>
      </w:pPr>
      <w:r>
        <w:rPr>
          <w:rFonts w:ascii="Arial" w:hAnsi="Arial"/>
          <w:color w:val="231F1F"/>
          <w:w w:val="355"/>
          <w:position w:val="1"/>
          <w:sz w:val="7"/>
        </w:rPr>
        <w:t>l </w:t>
      </w:r>
      <w:r>
        <w:rPr>
          <w:rFonts w:ascii="Calibri" w:hAnsi="Calibri"/>
          <w:color w:val="008356"/>
          <w:spacing w:val="4"/>
          <w:w w:val="105"/>
          <w:sz w:val="11"/>
        </w:rPr>
        <w:t>MOCLOBEMIDE </w:t>
      </w:r>
      <w:r>
        <w:rPr>
          <w:color w:val="231F1F"/>
          <w:w w:val="105"/>
        </w:rPr>
        <w:t>for 5 weeks; increased serotonergic effects when SSRIs given with </w:t>
      </w:r>
      <w:r>
        <w:rPr>
          <w:rFonts w:ascii="Arial" w:hAnsi="Arial"/>
          <w:color w:val="231F1F"/>
          <w:w w:val="355"/>
          <w:position w:val="1"/>
          <w:sz w:val="7"/>
        </w:rPr>
        <w:t>l </w:t>
      </w:r>
      <w:r>
        <w:rPr>
          <w:rFonts w:ascii="Calibri" w:hAnsi="Calibri"/>
          <w:color w:val="008356"/>
          <w:w w:val="105"/>
          <w:sz w:val="11"/>
        </w:rPr>
        <w:t>ST </w:t>
      </w:r>
      <w:r>
        <w:rPr>
          <w:rFonts w:ascii="Calibri" w:hAnsi="Calibri"/>
          <w:color w:val="008356"/>
          <w:spacing w:val="4"/>
          <w:w w:val="105"/>
          <w:sz w:val="11"/>
        </w:rPr>
        <w:t>JOHN</w:t>
      </w:r>
      <w:r>
        <w:rPr>
          <w:rFonts w:ascii="Arial" w:hAnsi="Arial"/>
          <w:color w:val="008356"/>
          <w:spacing w:val="4"/>
          <w:w w:val="105"/>
          <w:sz w:val="11"/>
        </w:rPr>
        <w:t>’</w:t>
      </w:r>
      <w:r>
        <w:rPr>
          <w:rFonts w:ascii="Calibri" w:hAnsi="Calibri"/>
          <w:color w:val="008356"/>
          <w:spacing w:val="4"/>
          <w:w w:val="105"/>
          <w:sz w:val="11"/>
        </w:rPr>
        <w:t>S </w:t>
      </w:r>
      <w:r>
        <w:rPr>
          <w:rFonts w:ascii="Calibri" w:hAnsi="Calibri"/>
          <w:color w:val="008356"/>
          <w:w w:val="105"/>
          <w:sz w:val="11"/>
        </w:rPr>
        <w:t>WORT</w:t>
      </w:r>
      <w:r>
        <w:rPr>
          <w:rFonts w:ascii="Arial" w:hAnsi="Arial"/>
          <w:color w:val="231F1F"/>
          <w:w w:val="105"/>
        </w:rPr>
        <w:t>—</w:t>
      </w:r>
      <w:r>
        <w:rPr>
          <w:color w:val="231F1F"/>
          <w:w w:val="105"/>
        </w:rPr>
        <w:t>avoid concomitant use; fluvoxamine inhibits metabolism of </w:t>
      </w:r>
      <w:r>
        <w:rPr>
          <w:rFonts w:ascii="Arial" w:hAnsi="Arial"/>
          <w:color w:val="231F1F"/>
          <w:w w:val="355"/>
          <w:position w:val="1"/>
          <w:sz w:val="7"/>
        </w:rPr>
        <w:t>l </w:t>
      </w:r>
      <w:r>
        <w:rPr>
          <w:rFonts w:ascii="Calibri" w:hAnsi="Calibri"/>
          <w:color w:val="008356"/>
          <w:spacing w:val="4"/>
          <w:w w:val="105"/>
          <w:sz w:val="11"/>
        </w:rPr>
        <w:t>AGOMELATINE </w:t>
      </w:r>
      <w:r>
        <w:rPr>
          <w:color w:val="231F1F"/>
          <w:w w:val="105"/>
        </w:rPr>
        <w:t>(increased plasma concentration);  possible  increased serotonergic effects  when  fluoxetine  or  fluvoxamine  given with </w:t>
      </w:r>
      <w:r>
        <w:rPr>
          <w:rFonts w:ascii="Calibri" w:hAnsi="Calibri"/>
          <w:color w:val="008356"/>
          <w:spacing w:val="4"/>
          <w:w w:val="105"/>
          <w:sz w:val="11"/>
        </w:rPr>
        <w:t>MIRTAZAPINE</w:t>
      </w:r>
      <w:r>
        <w:rPr>
          <w:color w:val="231F1F"/>
          <w:spacing w:val="4"/>
          <w:w w:val="105"/>
        </w:rPr>
        <w:t>; </w:t>
      </w:r>
      <w:r>
        <w:rPr>
          <w:color w:val="231F1F"/>
          <w:w w:val="105"/>
        </w:rPr>
        <w:t>SSRIs increase plasma  concentration of some </w:t>
      </w:r>
      <w:r>
        <w:rPr>
          <w:rFonts w:ascii="Arial" w:hAnsi="Arial"/>
          <w:color w:val="231F1F"/>
          <w:w w:val="355"/>
          <w:position w:val="1"/>
          <w:sz w:val="7"/>
        </w:rPr>
        <w:t>l </w:t>
      </w:r>
      <w:r>
        <w:rPr>
          <w:rFonts w:ascii="Calibri" w:hAnsi="Calibri"/>
          <w:color w:val="008356"/>
          <w:spacing w:val="4"/>
          <w:w w:val="105"/>
          <w:sz w:val="11"/>
        </w:rPr>
        <w:t>TRICYCLICS</w:t>
      </w:r>
      <w:r>
        <w:rPr>
          <w:color w:val="231F1F"/>
          <w:spacing w:val="4"/>
          <w:w w:val="105"/>
        </w:rPr>
        <w:t>; </w:t>
      </w:r>
      <w:r>
        <w:rPr>
          <w:color w:val="231F1F"/>
          <w:w w:val="105"/>
        </w:rPr>
        <w:t>manufacturer of citalopram  and escitalopram advises avoid concomitant use with </w:t>
      </w:r>
      <w:r>
        <w:rPr>
          <w:rFonts w:ascii="Arial" w:hAnsi="Arial"/>
          <w:color w:val="231F1F"/>
          <w:w w:val="355"/>
          <w:position w:val="1"/>
          <w:sz w:val="7"/>
        </w:rPr>
        <w:t>l </w:t>
      </w:r>
      <w:r>
        <w:rPr>
          <w:rFonts w:ascii="Calibri" w:hAnsi="Calibri"/>
          <w:color w:val="008356"/>
          <w:spacing w:val="4"/>
          <w:w w:val="105"/>
          <w:sz w:val="11"/>
        </w:rPr>
        <w:t>TRICYCLICS </w:t>
      </w:r>
      <w:r>
        <w:rPr>
          <w:color w:val="231F1F"/>
          <w:w w:val="105"/>
        </w:rPr>
        <w:t>(risk of ventricular</w:t>
      </w:r>
      <w:r>
        <w:rPr>
          <w:color w:val="231F1F"/>
          <w:spacing w:val="4"/>
          <w:w w:val="105"/>
        </w:rPr>
        <w:t> </w:t>
      </w:r>
      <w:r>
        <w:rPr>
          <w:color w:val="231F1F"/>
          <w:w w:val="105"/>
        </w:rPr>
        <w:t>arrhythmias)</w:t>
      </w:r>
    </w:p>
    <w:p>
      <w:pPr>
        <w:pStyle w:val="BodyText"/>
        <w:spacing w:line="144" w:lineRule="exact"/>
        <w:ind w:left="108"/>
      </w:pPr>
      <w:r>
        <w:rPr>
          <w:rFonts w:ascii="Arial"/>
          <w:color w:val="231F1F"/>
          <w:w w:val="355"/>
          <w:position w:val="1"/>
          <w:sz w:val="7"/>
        </w:rPr>
        <w:t>l </w:t>
      </w:r>
      <w:r>
        <w:rPr>
          <w:rFonts w:ascii="Calibri"/>
          <w:color w:val="231F1F"/>
          <w:w w:val="115"/>
        </w:rPr>
        <w:t>Antiepileptics: </w:t>
      </w:r>
      <w:r>
        <w:rPr>
          <w:color w:val="231F1F"/>
          <w:w w:val="115"/>
        </w:rPr>
        <w:t>SSRIs antagonise anticonvulsant effect of</w:t>
      </w:r>
    </w:p>
    <w:p>
      <w:pPr>
        <w:pStyle w:val="BodyText"/>
        <w:spacing w:line="244" w:lineRule="auto"/>
        <w:ind w:right="124" w:hanging="1"/>
      </w:pPr>
      <w:r>
        <w:rPr>
          <w:rFonts w:ascii="Arial"/>
          <w:color w:val="231F1F"/>
          <w:w w:val="355"/>
          <w:position w:val="1"/>
          <w:sz w:val="7"/>
        </w:rPr>
        <w:t>l </w:t>
      </w:r>
      <w:r>
        <w:rPr>
          <w:rFonts w:ascii="Calibri"/>
          <w:color w:val="008356"/>
          <w:w w:val="110"/>
          <w:sz w:val="11"/>
        </w:rPr>
        <w:t>ANTIEPILEPTICS </w:t>
      </w:r>
      <w:r>
        <w:rPr>
          <w:color w:val="231F1F"/>
          <w:w w:val="110"/>
        </w:rPr>
        <w:t>(convulsive threshold lowered); fluoxetine and fluvoxamine increase plasma concentration of</w:t>
      </w:r>
    </w:p>
    <w:p>
      <w:pPr>
        <w:spacing w:line="244" w:lineRule="auto" w:before="2"/>
        <w:ind w:left="208" w:right="38" w:firstLine="0"/>
        <w:jc w:val="left"/>
        <w:rPr>
          <w:rFonts w:ascii="Calibri"/>
          <w:sz w:val="11"/>
        </w:rPr>
      </w:pPr>
      <w:r>
        <w:rPr>
          <w:rFonts w:ascii="Arial"/>
          <w:color w:val="231F1F"/>
          <w:w w:val="355"/>
          <w:position w:val="1"/>
          <w:sz w:val="7"/>
        </w:rPr>
        <w:t>l </w:t>
      </w:r>
      <w:r>
        <w:rPr>
          <w:rFonts w:ascii="Calibri"/>
          <w:color w:val="008356"/>
          <w:spacing w:val="4"/>
          <w:w w:val="110"/>
          <w:sz w:val="11"/>
        </w:rPr>
        <w:t>CARBAMAZEPINE</w:t>
      </w:r>
      <w:r>
        <w:rPr>
          <w:color w:val="231F1F"/>
          <w:spacing w:val="4"/>
          <w:w w:val="110"/>
          <w:sz w:val="12"/>
        </w:rPr>
        <w:t>; </w:t>
      </w:r>
      <w:r>
        <w:rPr>
          <w:color w:val="231F1F"/>
          <w:w w:val="110"/>
          <w:sz w:val="12"/>
        </w:rPr>
        <w:t>fluoxetine and fluvoxamine increase plasma concentration of </w:t>
      </w:r>
      <w:r>
        <w:rPr>
          <w:rFonts w:ascii="Arial"/>
          <w:color w:val="231F1F"/>
          <w:w w:val="355"/>
          <w:position w:val="1"/>
          <w:sz w:val="7"/>
        </w:rPr>
        <w:t>l </w:t>
      </w:r>
      <w:r>
        <w:rPr>
          <w:rFonts w:ascii="Calibri"/>
          <w:color w:val="008356"/>
          <w:spacing w:val="4"/>
          <w:w w:val="110"/>
          <w:sz w:val="11"/>
        </w:rPr>
        <w:t>FOSPHENYTOIN</w:t>
      </w:r>
      <w:r>
        <w:rPr>
          <w:color w:val="231F1F"/>
          <w:spacing w:val="4"/>
          <w:w w:val="110"/>
          <w:sz w:val="12"/>
        </w:rPr>
        <w:t>; </w:t>
      </w:r>
      <w:r>
        <w:rPr>
          <w:color w:val="231F1F"/>
          <w:w w:val="110"/>
          <w:sz w:val="12"/>
        </w:rPr>
        <w:t>plasma concentration of sertraline possibly reduced by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also plasma concentration of fosphenytoin and phenytoin possibly increased; plasma concentration of paroxetine reduced by </w:t>
      </w:r>
      <w:r>
        <w:rPr>
          <w:rFonts w:ascii="Calibri"/>
          <w:color w:val="008356"/>
          <w:spacing w:val="4"/>
          <w:w w:val="110"/>
          <w:sz w:val="11"/>
        </w:rPr>
        <w:t>FOSPHENYTOIN</w:t>
      </w:r>
      <w:r>
        <w:rPr>
          <w:color w:val="231F1F"/>
          <w:spacing w:val="4"/>
          <w:w w:val="110"/>
          <w:sz w:val="12"/>
        </w:rPr>
        <w:t>, </w:t>
      </w:r>
      <w:r>
        <w:rPr>
          <w:rFonts w:ascii="Calibri"/>
          <w:color w:val="008356"/>
          <w:spacing w:val="4"/>
          <w:w w:val="110"/>
          <w:sz w:val="11"/>
        </w:rPr>
        <w:t>PHENOBARBITAL</w:t>
      </w:r>
      <w:r>
        <w:rPr>
          <w:color w:val="231F1F"/>
          <w:spacing w:val="4"/>
          <w:w w:val="110"/>
          <w:sz w:val="12"/>
        </w:rPr>
        <w:t>, </w:t>
      </w:r>
      <w:r>
        <w:rPr>
          <w:rFonts w:ascii="Calibri"/>
          <w:color w:val="008356"/>
          <w:spacing w:val="4"/>
          <w:w w:val="110"/>
          <w:sz w:val="11"/>
        </w:rPr>
        <w:t>PHENYTOIN </w:t>
      </w:r>
      <w:r>
        <w:rPr>
          <w:color w:val="231F1F"/>
          <w:w w:val="110"/>
          <w:sz w:val="12"/>
        </w:rPr>
        <w:t>and </w:t>
      </w:r>
      <w:r>
        <w:rPr>
          <w:rFonts w:ascii="Calibri"/>
          <w:color w:val="008356"/>
          <w:spacing w:val="4"/>
          <w:w w:val="110"/>
          <w:sz w:val="11"/>
        </w:rPr>
        <w:t>PRIMIDONE</w:t>
      </w:r>
      <w:r>
        <w:rPr>
          <w:color w:val="231F1F"/>
          <w:spacing w:val="4"/>
          <w:w w:val="110"/>
          <w:sz w:val="12"/>
        </w:rPr>
        <w:t>; </w:t>
      </w:r>
      <w:r>
        <w:rPr>
          <w:color w:val="231F1F"/>
          <w:w w:val="110"/>
          <w:sz w:val="12"/>
        </w:rPr>
        <w:t>fluoxetine and fluvoxamine increase plasma concentration of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p>
    <w:p>
      <w:pPr>
        <w:pStyle w:val="BodyText"/>
        <w:spacing w:line="220" w:lineRule="auto" w:before="1"/>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paroxetine possibly increased by </w:t>
      </w:r>
      <w:r>
        <w:rPr>
          <w:rFonts w:ascii="Calibri" w:hAnsi="Calibri"/>
          <w:color w:val="008356"/>
          <w:w w:val="105"/>
          <w:sz w:val="11"/>
        </w:rPr>
        <w:t>TERBINAFINE</w:t>
      </w:r>
    </w:p>
    <w:p>
      <w:pPr>
        <w:pStyle w:val="BodyText"/>
        <w:spacing w:line="242" w:lineRule="auto"/>
        <w:ind w:right="98" w:hanging="100"/>
        <w:rPr>
          <w:rFonts w:ascii="Calibri"/>
          <w:sz w:val="11"/>
        </w:rPr>
      </w:pPr>
      <w:r>
        <w:rPr>
          <w:rFonts w:ascii="Arial"/>
          <w:color w:val="231F1F"/>
          <w:w w:val="355"/>
          <w:position w:val="1"/>
          <w:sz w:val="7"/>
        </w:rPr>
        <w:t>l </w:t>
      </w:r>
      <w:r>
        <w:rPr>
          <w:rFonts w:ascii="Calibri"/>
          <w:color w:val="231F1F"/>
          <w:w w:val="110"/>
        </w:rPr>
        <w:t>Antihistamines: </w:t>
      </w:r>
      <w:r>
        <w:rPr>
          <w:color w:val="231F1F"/>
          <w:w w:val="110"/>
        </w:rPr>
        <w:t>manufacturer of citalopram and escitalopram advises avoid concomitant use with </w:t>
      </w:r>
      <w:r>
        <w:rPr>
          <w:rFonts w:ascii="Arial"/>
          <w:color w:val="231F1F"/>
          <w:w w:val="355"/>
          <w:position w:val="1"/>
          <w:sz w:val="7"/>
        </w:rPr>
        <w:t>l </w:t>
      </w:r>
      <w:r>
        <w:rPr>
          <w:rFonts w:ascii="Calibri"/>
          <w:color w:val="008356"/>
          <w:w w:val="110"/>
          <w:sz w:val="11"/>
        </w:rPr>
        <w:t>MIZOLASTINE </w:t>
      </w:r>
      <w:r>
        <w:rPr>
          <w:color w:val="231F1F"/>
          <w:w w:val="110"/>
        </w:rPr>
        <w:t>(risk of ventricular arrhythmias); antidepressant effect of SSRIs possibly antagonised by </w:t>
      </w:r>
      <w:r>
        <w:rPr>
          <w:rFonts w:ascii="Calibri"/>
          <w:color w:val="008356"/>
          <w:w w:val="110"/>
          <w:sz w:val="11"/>
        </w:rPr>
        <w:t>CYPROHEPTADINE</w:t>
      </w:r>
    </w:p>
    <w:p>
      <w:pPr>
        <w:spacing w:before="0"/>
        <w:ind w:left="208" w:right="409"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25"/>
          <w:position w:val="1"/>
          <w:sz w:val="7"/>
        </w:rPr>
        <w:t>l</w:t>
      </w:r>
      <w:r>
        <w:rPr>
          <w:rFonts w:ascii="Arial"/>
          <w:color w:val="231F1F"/>
          <w:spacing w:val="-54"/>
          <w:w w:val="32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w:t>
      </w:r>
    </w:p>
    <w:p>
      <w:pPr>
        <w:pStyle w:val="BodyText"/>
        <w:spacing w:line="247" w:lineRule="auto"/>
        <w:ind w:right="28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0"/>
          <w:sz w:val="11"/>
        </w:rPr>
        <w:t>ARTENIMOL</w:t>
      </w:r>
      <w:r>
        <w:rPr>
          <w:rFonts w:ascii="Calibri" w:hAnsi="Calibri"/>
          <w:color w:val="008356"/>
          <w:spacing w:val="-13"/>
          <w:w w:val="110"/>
          <w:sz w:val="11"/>
        </w:rPr>
        <w:t> </w:t>
      </w:r>
      <w:r>
        <w:rPr>
          <w:rFonts w:ascii="Calibri" w:hAnsi="Calibri"/>
          <w:color w:val="008356"/>
          <w:spacing w:val="3"/>
          <w:w w:val="110"/>
          <w:sz w:val="11"/>
        </w:rPr>
        <w:t>WITH</w:t>
      </w:r>
      <w:r>
        <w:rPr>
          <w:rFonts w:ascii="Calibri" w:hAnsi="Calibri"/>
          <w:color w:val="008356"/>
          <w:spacing w:val="-10"/>
          <w:w w:val="110"/>
          <w:sz w:val="11"/>
        </w:rPr>
        <w:t> </w:t>
      </w:r>
      <w:r>
        <w:rPr>
          <w:rFonts w:ascii="Calibri" w:hAnsi="Calibri"/>
          <w:color w:val="008356"/>
          <w:spacing w:val="4"/>
          <w:w w:val="110"/>
          <w:sz w:val="11"/>
        </w:rPr>
        <w:t>PIPERAQUINE</w:t>
      </w:r>
      <w:r>
        <w:rPr>
          <w:color w:val="231F1F"/>
          <w:spacing w:val="4"/>
          <w:w w:val="110"/>
        </w:rPr>
        <w:t>;</w:t>
      </w:r>
      <w:r>
        <w:rPr>
          <w:color w:val="231F1F"/>
          <w:spacing w:val="-17"/>
          <w:w w:val="110"/>
        </w:rPr>
        <w:t> </w:t>
      </w:r>
      <w:r>
        <w:rPr>
          <w:color w:val="231F1F"/>
          <w:w w:val="110"/>
        </w:rPr>
        <w:t>possible</w:t>
      </w:r>
      <w:r>
        <w:rPr>
          <w:color w:val="231F1F"/>
          <w:spacing w:val="-17"/>
          <w:w w:val="110"/>
        </w:rPr>
        <w:t> </w:t>
      </w:r>
      <w:r>
        <w:rPr>
          <w:color w:val="231F1F"/>
          <w:w w:val="110"/>
        </w:rPr>
        <w:t>increased</w:t>
      </w:r>
      <w:r>
        <w:rPr>
          <w:color w:val="231F1F"/>
          <w:spacing w:val="-17"/>
          <w:w w:val="110"/>
        </w:rPr>
        <w:t> </w:t>
      </w:r>
      <w:r>
        <w:rPr>
          <w:color w:val="231F1F"/>
          <w:w w:val="110"/>
        </w:rPr>
        <w:t>risk</w:t>
      </w:r>
      <w:r>
        <w:rPr>
          <w:color w:val="231F1F"/>
          <w:spacing w:val="-16"/>
          <w:w w:val="110"/>
        </w:rPr>
        <w:t> </w:t>
      </w:r>
      <w:r>
        <w:rPr>
          <w:color w:val="231F1F"/>
          <w:w w:val="110"/>
        </w:rPr>
        <w:t>of ventricular arrhythmias when citalopram or </w:t>
      </w:r>
      <w:r>
        <w:rPr>
          <w:color w:val="231F1F"/>
          <w:spacing w:val="-2"/>
          <w:w w:val="110"/>
        </w:rPr>
        <w:t>escitalopram </w:t>
      </w:r>
      <w:r>
        <w:rPr>
          <w:color w:val="231F1F"/>
          <w:w w:val="110"/>
        </w:rPr>
        <w:t>given with </w:t>
      </w:r>
      <w:r>
        <w:rPr>
          <w:rFonts w:ascii="Arial" w:hAnsi="Arial"/>
          <w:color w:val="231F1F"/>
          <w:w w:val="355"/>
          <w:position w:val="1"/>
          <w:sz w:val="7"/>
        </w:rPr>
        <w:t>l </w:t>
      </w:r>
      <w:r>
        <w:rPr>
          <w:rFonts w:ascii="Calibri" w:hAnsi="Calibri"/>
          <w:color w:val="008356"/>
          <w:spacing w:val="4"/>
          <w:w w:val="110"/>
          <w:sz w:val="11"/>
        </w:rPr>
        <w:t>ARTEMETHER </w:t>
      </w:r>
      <w:r>
        <w:rPr>
          <w:rFonts w:ascii="Calibri" w:hAnsi="Calibri"/>
          <w:color w:val="008356"/>
          <w:spacing w:val="3"/>
          <w:w w:val="110"/>
          <w:sz w:val="11"/>
        </w:rPr>
        <w:t>WITH LUMEFANTRINE</w:t>
      </w:r>
      <w:r>
        <w:rPr>
          <w:rFonts w:ascii="Arial" w:hAnsi="Arial"/>
          <w:color w:val="231F1F"/>
          <w:spacing w:val="3"/>
          <w:w w:val="110"/>
        </w:rPr>
        <w:t>—</w:t>
      </w:r>
      <w:r>
        <w:rPr>
          <w:color w:val="231F1F"/>
          <w:spacing w:val="3"/>
          <w:w w:val="110"/>
        </w:rPr>
        <w:t>avoid </w:t>
      </w:r>
      <w:r>
        <w:rPr>
          <w:color w:val="231F1F"/>
          <w:w w:val="110"/>
        </w:rPr>
        <w:t>concomitant use; possible increased risk of ventricular arrhythmias when citalopram or escitalopram given with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ARTENIMOL</w:t>
      </w:r>
      <w:r>
        <w:rPr>
          <w:rFonts w:ascii="Calibri" w:hAnsi="Calibri"/>
          <w:color w:val="008356"/>
          <w:spacing w:val="-15"/>
          <w:w w:val="110"/>
          <w:sz w:val="11"/>
        </w:rPr>
        <w:t> </w:t>
      </w:r>
      <w:r>
        <w:rPr>
          <w:rFonts w:ascii="Calibri" w:hAnsi="Calibri"/>
          <w:color w:val="008356"/>
          <w:spacing w:val="3"/>
          <w:w w:val="110"/>
          <w:sz w:val="11"/>
        </w:rPr>
        <w:t>WITH</w:t>
      </w:r>
      <w:r>
        <w:rPr>
          <w:rFonts w:ascii="Calibri" w:hAnsi="Calibri"/>
          <w:color w:val="008356"/>
          <w:spacing w:val="-12"/>
          <w:w w:val="110"/>
          <w:sz w:val="11"/>
        </w:rPr>
        <w:t> </w:t>
      </w:r>
      <w:r>
        <w:rPr>
          <w:rFonts w:ascii="Calibri" w:hAnsi="Calibri"/>
          <w:color w:val="008356"/>
          <w:spacing w:val="3"/>
          <w:w w:val="110"/>
          <w:sz w:val="11"/>
        </w:rPr>
        <w:t>PIPERAQUINE</w:t>
      </w:r>
      <w:r>
        <w:rPr>
          <w:rFonts w:ascii="Arial" w:hAnsi="Arial"/>
          <w:color w:val="231F1F"/>
          <w:spacing w:val="3"/>
          <w:w w:val="110"/>
        </w:rPr>
        <w:t>—</w:t>
      </w:r>
      <w:r>
        <w:rPr>
          <w:color w:val="231F1F"/>
          <w:spacing w:val="3"/>
          <w:w w:val="110"/>
        </w:rPr>
        <w:t>avoid</w:t>
      </w:r>
      <w:r>
        <w:rPr>
          <w:color w:val="231F1F"/>
          <w:spacing w:val="-18"/>
          <w:w w:val="110"/>
        </w:rPr>
        <w:t> </w:t>
      </w:r>
      <w:r>
        <w:rPr>
          <w:color w:val="231F1F"/>
          <w:w w:val="110"/>
        </w:rPr>
        <w:t>concomitant</w:t>
      </w:r>
      <w:r>
        <w:rPr>
          <w:color w:val="231F1F"/>
          <w:spacing w:val="-19"/>
          <w:w w:val="110"/>
        </w:rPr>
        <w:t> </w:t>
      </w:r>
      <w:r>
        <w:rPr>
          <w:color w:val="231F1F"/>
          <w:w w:val="110"/>
        </w:rPr>
        <w:t>use; possible increased risk of ventricular arrhythmias when citalopram and escitalopram given with </w:t>
      </w:r>
      <w:r>
        <w:rPr>
          <w:rFonts w:ascii="Arial" w:hAnsi="Arial"/>
          <w:color w:val="231F1F"/>
          <w:w w:val="355"/>
          <w:position w:val="1"/>
          <w:sz w:val="7"/>
        </w:rPr>
        <w:t>l </w:t>
      </w:r>
      <w:r>
        <w:rPr>
          <w:rFonts w:ascii="Calibri" w:hAnsi="Calibri"/>
          <w:color w:val="008356"/>
          <w:spacing w:val="4"/>
          <w:w w:val="110"/>
          <w:sz w:val="11"/>
        </w:rPr>
        <w:t>CHLOROQUINE</w:t>
      </w:r>
      <w:r>
        <w:rPr>
          <w:color w:val="231F1F"/>
          <w:spacing w:val="4"/>
          <w:w w:val="110"/>
        </w:rPr>
        <w:t>; </w:t>
      </w:r>
      <w:r>
        <w:rPr>
          <w:color w:val="231F1F"/>
          <w:w w:val="110"/>
        </w:rPr>
        <w:t>possible increased risk of ventricular arrhythmias when citalopram or escitalopram given with </w:t>
      </w:r>
      <w:r>
        <w:rPr>
          <w:rFonts w:ascii="Arial" w:hAnsi="Arial"/>
          <w:color w:val="231F1F"/>
          <w:w w:val="355"/>
          <w:position w:val="1"/>
          <w:sz w:val="7"/>
        </w:rPr>
        <w:t>l </w:t>
      </w:r>
      <w:r>
        <w:rPr>
          <w:rFonts w:ascii="Calibri" w:hAnsi="Calibri"/>
          <w:color w:val="008356"/>
          <w:spacing w:val="2"/>
          <w:w w:val="110"/>
          <w:sz w:val="11"/>
        </w:rPr>
        <w:t>QUININE</w:t>
      </w:r>
      <w:r>
        <w:rPr>
          <w:rFonts w:ascii="Arial" w:hAnsi="Arial"/>
          <w:color w:val="231F1F"/>
          <w:spacing w:val="2"/>
          <w:w w:val="110"/>
        </w:rPr>
        <w:t>—</w:t>
      </w:r>
      <w:r>
        <w:rPr>
          <w:color w:val="231F1F"/>
          <w:spacing w:val="2"/>
          <w:w w:val="110"/>
        </w:rPr>
        <w:t>avoid </w:t>
      </w:r>
      <w:r>
        <w:rPr>
          <w:color w:val="231F1F"/>
          <w:w w:val="110"/>
        </w:rPr>
        <w:t>concomitant</w:t>
      </w:r>
      <w:r>
        <w:rPr>
          <w:color w:val="231F1F"/>
          <w:spacing w:val="-4"/>
          <w:w w:val="110"/>
        </w:rPr>
        <w:t> </w:t>
      </w:r>
      <w:r>
        <w:rPr>
          <w:color w:val="231F1F"/>
          <w:w w:val="110"/>
        </w:rPr>
        <w:t>use</w:t>
      </w:r>
    </w:p>
    <w:p>
      <w:pPr>
        <w:pStyle w:val="BodyText"/>
        <w:spacing w:line="143" w:lineRule="exact"/>
        <w:ind w:left="108"/>
      </w:pPr>
      <w:r>
        <w:rPr>
          <w:rFonts w:ascii="Lucida Sans Unicode" w:hAnsi="Lucida Sans Unicode"/>
          <w:color w:val="A7A8AC"/>
          <w:w w:val="95"/>
          <w:sz w:val="10"/>
        </w:rPr>
        <w:t>▶ </w:t>
      </w:r>
      <w:r>
        <w:rPr>
          <w:rFonts w:ascii="Calibri" w:hAnsi="Calibri"/>
          <w:color w:val="231F1F"/>
          <w:w w:val="105"/>
        </w:rPr>
        <w:t>Antimuscarinics: </w:t>
      </w:r>
      <w:r>
        <w:rPr>
          <w:color w:val="231F1F"/>
          <w:w w:val="105"/>
        </w:rPr>
        <w:t>paroxetine increases plasma concentration of</w:t>
      </w:r>
    </w:p>
    <w:p>
      <w:pPr>
        <w:spacing w:line="135" w:lineRule="exact" w:before="0"/>
        <w:ind w:left="208" w:right="0" w:firstLine="0"/>
        <w:jc w:val="left"/>
        <w:rPr>
          <w:rFonts w:ascii="Calibri"/>
          <w:sz w:val="11"/>
        </w:rPr>
      </w:pPr>
      <w:r>
        <w:rPr>
          <w:rFonts w:ascii="Calibri"/>
          <w:color w:val="008356"/>
          <w:w w:val="105"/>
          <w:sz w:val="11"/>
        </w:rPr>
        <w:t>DARIFENACIN </w:t>
      </w:r>
      <w:r>
        <w:rPr>
          <w:color w:val="231F1F"/>
          <w:w w:val="105"/>
          <w:sz w:val="12"/>
        </w:rPr>
        <w:t>and </w:t>
      </w:r>
      <w:r>
        <w:rPr>
          <w:rFonts w:ascii="Calibri"/>
          <w:color w:val="008356"/>
          <w:w w:val="105"/>
          <w:sz w:val="11"/>
        </w:rPr>
        <w:t>PROCYCLIDINE</w:t>
      </w:r>
    </w:p>
    <w:p>
      <w:pPr>
        <w:pStyle w:val="BodyText"/>
        <w:spacing w:line="242" w:lineRule="auto"/>
        <w:ind w:hanging="100"/>
      </w:pPr>
      <w:r>
        <w:rPr>
          <w:rFonts w:ascii="Arial"/>
          <w:color w:val="231F1F"/>
          <w:w w:val="355"/>
          <w:position w:val="1"/>
          <w:sz w:val="7"/>
        </w:rPr>
        <w:t>l </w:t>
      </w:r>
      <w:r>
        <w:rPr>
          <w:rFonts w:ascii="Calibri"/>
          <w:color w:val="231F1F"/>
          <w:w w:val="110"/>
        </w:rPr>
        <w:t>Antipsychotics: </w:t>
      </w:r>
      <w:r>
        <w:rPr>
          <w:color w:val="231F1F"/>
          <w:w w:val="110"/>
        </w:rPr>
        <w:t>avoidance of fluoxetine, fluvoxamine and sertraline advised by manufacturer of </w:t>
      </w:r>
      <w:r>
        <w:rPr>
          <w:rFonts w:ascii="Arial"/>
          <w:color w:val="231F1F"/>
          <w:w w:val="355"/>
          <w:position w:val="1"/>
          <w:sz w:val="7"/>
        </w:rPr>
        <w:t>l </w:t>
      </w:r>
      <w:r>
        <w:rPr>
          <w:rFonts w:ascii="Calibri"/>
          <w:color w:val="008356"/>
          <w:w w:val="110"/>
          <w:sz w:val="11"/>
        </w:rPr>
        <w:t>DROPERIDOL </w:t>
      </w:r>
      <w:r>
        <w:rPr>
          <w:color w:val="231F1F"/>
          <w:w w:val="110"/>
        </w:rPr>
        <w:t>(risk of ventricular arrhythmias); manufacturer of citalopram and escitalopram advises avoid concomitant use with</w:t>
      </w:r>
    </w:p>
    <w:p>
      <w:pPr>
        <w:spacing w:before="4"/>
        <w:ind w:left="208" w:right="0" w:hanging="1"/>
        <w:jc w:val="left"/>
        <w:rPr>
          <w:sz w:val="12"/>
        </w:rPr>
      </w:pPr>
      <w:r>
        <w:rPr>
          <w:rFonts w:ascii="Arial"/>
          <w:color w:val="231F1F"/>
          <w:w w:val="355"/>
          <w:position w:val="1"/>
          <w:sz w:val="7"/>
        </w:rPr>
        <w:t>l </w:t>
      </w:r>
      <w:r>
        <w:rPr>
          <w:rFonts w:ascii="Calibri"/>
          <w:color w:val="008356"/>
          <w:w w:val="110"/>
          <w:sz w:val="11"/>
        </w:rPr>
        <w:t>HALOPERIDOL </w:t>
      </w:r>
      <w:r>
        <w:rPr>
          <w:color w:val="231F1F"/>
          <w:w w:val="110"/>
          <w:sz w:val="12"/>
        </w:rPr>
        <w:t>(risk of ventricular arrhythmias); fluoxetine increases plasma concentration of </w:t>
      </w:r>
      <w:r>
        <w:rPr>
          <w:rFonts w:ascii="Arial"/>
          <w:color w:val="231F1F"/>
          <w:w w:val="355"/>
          <w:position w:val="1"/>
          <w:sz w:val="7"/>
        </w:rPr>
        <w:t>l </w:t>
      </w:r>
      <w:r>
        <w:rPr>
          <w:rFonts w:ascii="Calibri"/>
          <w:color w:val="008356"/>
          <w:w w:val="110"/>
          <w:sz w:val="11"/>
        </w:rPr>
        <w:t>CLOZAPINE</w:t>
      </w:r>
      <w:r>
        <w:rPr>
          <w:color w:val="231F1F"/>
          <w:w w:val="110"/>
          <w:sz w:val="12"/>
        </w:rPr>
        <w:t>,</w:t>
      </w:r>
    </w:p>
    <w:p>
      <w:pPr>
        <w:spacing w:line="242" w:lineRule="auto" w:before="4"/>
        <w:ind w:left="208" w:right="124" w:firstLine="0"/>
        <w:jc w:val="left"/>
        <w:rPr>
          <w:sz w:val="12"/>
        </w:rPr>
      </w:pPr>
      <w:r>
        <w:rPr>
          <w:rFonts w:ascii="Arial"/>
          <w:color w:val="231F1F"/>
          <w:w w:val="355"/>
          <w:position w:val="1"/>
          <w:sz w:val="7"/>
        </w:rPr>
        <w:t>l </w:t>
      </w:r>
      <w:r>
        <w:rPr>
          <w:rFonts w:ascii="Calibri"/>
          <w:color w:val="008356"/>
          <w:w w:val="110"/>
          <w:sz w:val="11"/>
        </w:rPr>
        <w:t>HALOPERIDOL </w:t>
      </w:r>
      <w:r>
        <w:rPr>
          <w:color w:val="231F1F"/>
          <w:w w:val="110"/>
          <w:sz w:val="12"/>
        </w:rPr>
        <w:t>and </w:t>
      </w:r>
      <w:r>
        <w:rPr>
          <w:rFonts w:ascii="Calibri"/>
          <w:color w:val="008356"/>
          <w:w w:val="110"/>
          <w:sz w:val="11"/>
        </w:rPr>
        <w:t>RISPERIDONE</w:t>
      </w:r>
      <w:r>
        <w:rPr>
          <w:color w:val="231F1F"/>
          <w:w w:val="110"/>
          <w:sz w:val="12"/>
        </w:rPr>
        <w:t>; fluvoxamine possibly increases plasma concentration of </w:t>
      </w:r>
      <w:r>
        <w:rPr>
          <w:rFonts w:ascii="Calibri"/>
          <w:color w:val="008356"/>
          <w:w w:val="110"/>
          <w:sz w:val="11"/>
        </w:rPr>
        <w:t>ASENAPINE </w:t>
      </w:r>
      <w:r>
        <w:rPr>
          <w:color w:val="231F1F"/>
          <w:w w:val="110"/>
          <w:sz w:val="12"/>
        </w:rPr>
        <w:t>and </w:t>
      </w:r>
      <w:r>
        <w:rPr>
          <w:rFonts w:ascii="Calibri"/>
          <w:color w:val="008356"/>
          <w:w w:val="110"/>
          <w:sz w:val="11"/>
        </w:rPr>
        <w:t>HALOPERIDOL</w:t>
      </w:r>
      <w:r>
        <w:rPr>
          <w:color w:val="231F1F"/>
          <w:w w:val="110"/>
          <w:sz w:val="12"/>
        </w:rPr>
        <w:t>; paroxetine inhibits metabolism of </w:t>
      </w:r>
      <w:r>
        <w:rPr>
          <w:rFonts w:ascii="Calibri"/>
          <w:color w:val="008356"/>
          <w:w w:val="110"/>
          <w:sz w:val="11"/>
        </w:rPr>
        <w:t>PERPHENAZINE </w:t>
      </w:r>
      <w:r>
        <w:rPr>
          <w:color w:val="231F1F"/>
          <w:w w:val="110"/>
          <w:sz w:val="12"/>
        </w:rPr>
        <w:t>(reduce dose of perphenazine); fluoxetine and paroxetine possibly increase plasma concentration of</w:t>
      </w:r>
    </w:p>
    <w:p>
      <w:pPr>
        <w:pStyle w:val="BodyText"/>
        <w:spacing w:line="244" w:lineRule="auto" w:before="5"/>
        <w:ind w:right="115"/>
      </w:pPr>
      <w:r>
        <w:rPr>
          <w:rFonts w:ascii="Arial" w:hAnsi="Arial"/>
          <w:color w:val="231F1F"/>
          <w:w w:val="355"/>
          <w:position w:val="1"/>
          <w:sz w:val="7"/>
        </w:rPr>
        <w:t>l </w:t>
      </w:r>
      <w:r>
        <w:rPr>
          <w:rFonts w:ascii="Calibri" w:hAnsi="Calibri"/>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plasma concentration of paroxetine possibly increased by </w:t>
      </w:r>
      <w:r>
        <w:rPr>
          <w:rFonts w:ascii="Calibri" w:hAnsi="Calibri"/>
          <w:color w:val="008356"/>
          <w:spacing w:val="4"/>
          <w:w w:val="110"/>
          <w:sz w:val="11"/>
        </w:rPr>
        <w:t>ASENAPINE</w:t>
      </w:r>
      <w:r>
        <w:rPr>
          <w:color w:val="231F1F"/>
          <w:spacing w:val="4"/>
          <w:w w:val="110"/>
        </w:rPr>
        <w:t>; </w:t>
      </w:r>
      <w:r>
        <w:rPr>
          <w:color w:val="231F1F"/>
          <w:w w:val="110"/>
        </w:rPr>
        <w:t>fluvoxamine, paroxetine  and  sertraline  increase plasma  concentration of </w:t>
      </w:r>
      <w:r>
        <w:rPr>
          <w:rFonts w:ascii="Arial" w:hAnsi="Arial"/>
          <w:color w:val="231F1F"/>
          <w:w w:val="355"/>
          <w:position w:val="1"/>
          <w:sz w:val="7"/>
        </w:rPr>
        <w:t>l </w:t>
      </w:r>
      <w:r>
        <w:rPr>
          <w:rFonts w:ascii="Calibri" w:hAnsi="Calibri"/>
          <w:color w:val="008356"/>
          <w:spacing w:val="4"/>
          <w:w w:val="110"/>
          <w:sz w:val="11"/>
        </w:rPr>
        <w:t>CLOZAPINE</w:t>
      </w:r>
      <w:r>
        <w:rPr>
          <w:color w:val="231F1F"/>
          <w:spacing w:val="4"/>
          <w:w w:val="110"/>
        </w:rPr>
        <w:t>; </w:t>
      </w:r>
      <w:r>
        <w:rPr>
          <w:color w:val="231F1F"/>
          <w:w w:val="110"/>
        </w:rPr>
        <w:t>citalopram possibly increases plasma concentration of </w:t>
      </w:r>
      <w:r>
        <w:rPr>
          <w:rFonts w:ascii="Calibri" w:hAnsi="Calibri"/>
          <w:color w:val="008356"/>
          <w:spacing w:val="4"/>
          <w:w w:val="110"/>
          <w:sz w:val="11"/>
        </w:rPr>
        <w:t>CLOZAPINE </w:t>
      </w:r>
      <w:r>
        <w:rPr>
          <w:color w:val="231F1F"/>
          <w:w w:val="110"/>
        </w:rPr>
        <w:t>(increased risk of toxicity); fluvoxamine increases plasma concentration of </w:t>
      </w:r>
      <w:r>
        <w:rPr>
          <w:rFonts w:ascii="Calibri" w:hAnsi="Calibri"/>
          <w:color w:val="008356"/>
          <w:spacing w:val="2"/>
          <w:w w:val="110"/>
          <w:sz w:val="11"/>
        </w:rPr>
        <w:t>OLANZAPINE</w:t>
      </w:r>
      <w:r>
        <w:rPr>
          <w:color w:val="231F1F"/>
          <w:spacing w:val="2"/>
          <w:w w:val="110"/>
        </w:rPr>
        <w:t>; </w:t>
      </w:r>
      <w:r>
        <w:rPr>
          <w:color w:val="231F1F"/>
          <w:w w:val="110"/>
        </w:rPr>
        <w:t>manufacturer of citalopram and escitalopram advises avoid concomitant use with </w:t>
      </w:r>
      <w:r>
        <w:rPr>
          <w:rFonts w:ascii="Arial" w:hAnsi="Arial"/>
          <w:color w:val="231F1F"/>
          <w:w w:val="355"/>
          <w:position w:val="1"/>
          <w:sz w:val="7"/>
        </w:rPr>
        <w:t>l </w:t>
      </w:r>
      <w:r>
        <w:rPr>
          <w:rFonts w:ascii="Calibri" w:hAnsi="Calibri"/>
          <w:color w:val="008356"/>
          <w:spacing w:val="4"/>
          <w:w w:val="110"/>
          <w:sz w:val="11"/>
        </w:rPr>
        <w:t>PHENOTHIAZINES </w:t>
      </w:r>
      <w:r>
        <w:rPr>
          <w:color w:val="231F1F"/>
          <w:w w:val="110"/>
        </w:rPr>
        <w:t>(risk of ventricular arrhythmias); manufacturer of citalopram and escitalopram advises avoid concomitant use with </w:t>
      </w:r>
      <w:r>
        <w:rPr>
          <w:rFonts w:ascii="Arial" w:hAnsi="Arial"/>
          <w:color w:val="231F1F"/>
          <w:w w:val="355"/>
          <w:position w:val="1"/>
          <w:sz w:val="7"/>
        </w:rPr>
        <w:t>l </w:t>
      </w:r>
      <w:r>
        <w:rPr>
          <w:rFonts w:ascii="Calibri" w:hAnsi="Calibri"/>
          <w:color w:val="008356"/>
          <w:spacing w:val="4"/>
          <w:w w:val="110"/>
          <w:sz w:val="11"/>
        </w:rPr>
        <w:t>PIMOZIDE </w:t>
      </w:r>
      <w:r>
        <w:rPr>
          <w:color w:val="231F1F"/>
          <w:w w:val="110"/>
        </w:rPr>
        <w:t>(risk of ventricular arrhythmias); SSRIs possibly increase plasma concentration of </w:t>
      </w:r>
      <w:r>
        <w:rPr>
          <w:rFonts w:ascii="Arial" w:hAnsi="Arial"/>
          <w:color w:val="231F1F"/>
          <w:w w:val="355"/>
          <w:position w:val="1"/>
          <w:sz w:val="7"/>
        </w:rPr>
        <w:t>l</w:t>
      </w:r>
      <w:r>
        <w:rPr>
          <w:rFonts w:ascii="Arial" w:hAnsi="Arial"/>
          <w:color w:val="231F1F"/>
          <w:spacing w:val="-25"/>
          <w:w w:val="355"/>
          <w:position w:val="1"/>
          <w:sz w:val="7"/>
        </w:rPr>
        <w:t> </w:t>
      </w:r>
      <w:r>
        <w:rPr>
          <w:rFonts w:ascii="Calibri" w:hAnsi="Calibri"/>
          <w:color w:val="008356"/>
          <w:spacing w:val="4"/>
          <w:w w:val="110"/>
          <w:sz w:val="11"/>
        </w:rPr>
        <w:t>PIMOZIDE </w:t>
      </w:r>
      <w:r>
        <w:rPr>
          <w:color w:val="231F1F"/>
          <w:w w:val="110"/>
        </w:rPr>
        <w:t>(increased risk of ventricular</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Antidepressants, SSRI</w:t>
      </w:r>
    </w:p>
    <w:p>
      <w:pPr>
        <w:pStyle w:val="BodyText"/>
        <w:spacing w:line="145" w:lineRule="exact" w:before="4"/>
        <w:ind w:left="108"/>
        <w:rPr>
          <w:rFonts w:ascii="Calibri"/>
        </w:rPr>
      </w:pPr>
      <w:r>
        <w:rPr/>
        <w:pict>
          <v:rect style="position:absolute;margin-left:398.891296pt;margin-top:-8.430091pt;width:20.522993pt;height:149.443pt;mso-position-horizontal-relative:page;mso-position-vertical-relative:paragraph;z-index:1600" filled="true" fillcolor="#bfdbcf" stroked="false">
            <v:fill type="solid"/>
            <w10:wrap type="none"/>
          </v:rect>
        </w:pict>
      </w:r>
      <w:r>
        <w:rPr/>
        <w:pict>
          <v:shape style="position:absolute;margin-left:399.725769pt;margin-top:-3.466702pt;width:10.4pt;height:78.850pt;mso-position-horizontal-relative:page;mso-position-vertical-relative:paragraph;z-index:162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Antipsychotics (continued)</w:t>
      </w:r>
    </w:p>
    <w:p>
      <w:pPr>
        <w:pStyle w:val="BodyText"/>
        <w:spacing w:line="247" w:lineRule="auto"/>
        <w:ind w:right="848"/>
        <w:jc w:val="both"/>
      </w:pPr>
      <w:r>
        <w:rPr>
          <w:color w:val="231F1F"/>
          <w:w w:val="115"/>
        </w:rPr>
        <w:t>arrhythmias</w:t>
      </w:r>
      <w:r>
        <w:rPr>
          <w:rFonts w:ascii="Arial" w:hAnsi="Arial"/>
          <w:color w:val="231F1F"/>
          <w:w w:val="115"/>
        </w:rPr>
        <w:t>—</w:t>
      </w:r>
      <w:r>
        <w:rPr>
          <w:color w:val="231F1F"/>
          <w:w w:val="115"/>
        </w:rPr>
        <w:t>avoid</w:t>
      </w:r>
      <w:r>
        <w:rPr>
          <w:color w:val="231F1F"/>
          <w:spacing w:val="-18"/>
          <w:w w:val="115"/>
        </w:rPr>
        <w:t> </w:t>
      </w:r>
      <w:r>
        <w:rPr>
          <w:color w:val="231F1F"/>
          <w:w w:val="115"/>
        </w:rPr>
        <w:t>concomitant</w:t>
      </w:r>
      <w:r>
        <w:rPr>
          <w:color w:val="231F1F"/>
          <w:spacing w:val="-17"/>
          <w:w w:val="115"/>
        </w:rPr>
        <w:t> </w:t>
      </w:r>
      <w:r>
        <w:rPr>
          <w:color w:val="231F1F"/>
          <w:w w:val="115"/>
        </w:rPr>
        <w:t>use);</w:t>
      </w:r>
      <w:r>
        <w:rPr>
          <w:color w:val="231F1F"/>
          <w:spacing w:val="-17"/>
          <w:w w:val="115"/>
        </w:rPr>
        <w:t> </w:t>
      </w:r>
      <w:r>
        <w:rPr>
          <w:color w:val="231F1F"/>
          <w:w w:val="115"/>
        </w:rPr>
        <w:t>paroxetine</w:t>
      </w:r>
      <w:r>
        <w:rPr>
          <w:color w:val="231F1F"/>
          <w:spacing w:val="-17"/>
          <w:w w:val="115"/>
        </w:rPr>
        <w:t> </w:t>
      </w:r>
      <w:r>
        <w:rPr>
          <w:color w:val="231F1F"/>
          <w:w w:val="115"/>
        </w:rPr>
        <w:t>possibly increases</w:t>
      </w:r>
      <w:r>
        <w:rPr>
          <w:color w:val="231F1F"/>
          <w:spacing w:val="-18"/>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7"/>
          <w:w w:val="115"/>
        </w:rPr>
        <w:t> </w:t>
      </w:r>
      <w:r>
        <w:rPr>
          <w:rFonts w:ascii="Calibri" w:hAnsi="Calibri"/>
          <w:color w:val="008356"/>
          <w:spacing w:val="4"/>
          <w:w w:val="115"/>
          <w:sz w:val="11"/>
        </w:rPr>
        <w:t>RISPERIDONE</w:t>
      </w:r>
      <w:r>
        <w:rPr>
          <w:rFonts w:ascii="Calibri" w:hAnsi="Calibri"/>
          <w:color w:val="008356"/>
          <w:spacing w:val="-8"/>
          <w:w w:val="115"/>
          <w:sz w:val="11"/>
        </w:rPr>
        <w:t> </w:t>
      </w:r>
      <w:r>
        <w:rPr>
          <w:color w:val="231F1F"/>
          <w:w w:val="115"/>
        </w:rPr>
        <w:t>(increased risk of</w:t>
      </w:r>
      <w:r>
        <w:rPr>
          <w:color w:val="231F1F"/>
          <w:spacing w:val="-7"/>
          <w:w w:val="115"/>
        </w:rPr>
        <w:t> </w:t>
      </w:r>
      <w:r>
        <w:rPr>
          <w:color w:val="231F1F"/>
          <w:w w:val="115"/>
        </w:rPr>
        <w:t>toxicity)</w:t>
      </w:r>
    </w:p>
    <w:p>
      <w:pPr>
        <w:pStyle w:val="BodyText"/>
        <w:spacing w:line="242" w:lineRule="auto"/>
        <w:ind w:right="762"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plasma concentration of paroxetine and sertraline possibly reduced by </w:t>
      </w:r>
      <w:r>
        <w:rPr>
          <w:rFonts w:ascii="Calibri"/>
          <w:color w:val="008356"/>
          <w:w w:val="110"/>
          <w:sz w:val="11"/>
        </w:rPr>
        <w:t>DARUNAVIR</w:t>
      </w:r>
      <w:r>
        <w:rPr>
          <w:color w:val="231F1F"/>
          <w:w w:val="110"/>
        </w:rPr>
        <w:t>; plasma concentration of SSRIs possibly increased by </w:t>
      </w:r>
      <w:r>
        <w:rPr>
          <w:rFonts w:ascii="Arial"/>
          <w:color w:val="231F1F"/>
          <w:w w:val="355"/>
          <w:position w:val="1"/>
          <w:sz w:val="7"/>
        </w:rPr>
        <w:t>l </w:t>
      </w:r>
      <w:r>
        <w:rPr>
          <w:rFonts w:ascii="Calibri"/>
          <w:color w:val="008356"/>
          <w:w w:val="110"/>
          <w:sz w:val="11"/>
        </w:rPr>
        <w:t>RITONAVIR</w:t>
      </w:r>
      <w:r>
        <w:rPr>
          <w:color w:val="231F1F"/>
          <w:w w:val="110"/>
        </w:rPr>
        <w:t>; plasma concentration of paroxetine possibly reduced by </w:t>
      </w:r>
      <w:r>
        <w:rPr>
          <w:rFonts w:ascii="Calibri"/>
          <w:color w:val="008356"/>
          <w:w w:val="110"/>
          <w:sz w:val="11"/>
        </w:rPr>
        <w:t>RITONAVIR</w:t>
      </w:r>
    </w:p>
    <w:p>
      <w:pPr>
        <w:pStyle w:val="BodyText"/>
        <w:spacing w:line="242" w:lineRule="auto"/>
        <w:ind w:right="745" w:hanging="100"/>
        <w:rPr>
          <w:rFonts w:ascii="Calibri" w:hAnsi="Calibri"/>
          <w:sz w:val="11"/>
        </w:rPr>
      </w:pPr>
      <w:r>
        <w:rPr>
          <w:rFonts w:ascii="Arial" w:hAnsi="Arial"/>
          <w:color w:val="231F1F"/>
          <w:w w:val="355"/>
          <w:position w:val="1"/>
          <w:sz w:val="7"/>
        </w:rPr>
        <w:t>l </w:t>
      </w:r>
      <w:r>
        <w:rPr>
          <w:rFonts w:ascii="Calibri" w:hAnsi="Calibri"/>
          <w:color w:val="231F1F"/>
          <w:w w:val="110"/>
        </w:rPr>
        <w:t>Anxiolytics and Hypnotics: </w:t>
      </w:r>
      <w:r>
        <w:rPr>
          <w:color w:val="231F1F"/>
          <w:w w:val="110"/>
        </w:rPr>
        <w:t>fluoxetine increases plasma concentration of </w:t>
      </w:r>
      <w:r>
        <w:rPr>
          <w:rFonts w:ascii="Calibri" w:hAnsi="Calibri"/>
          <w:color w:val="008356"/>
          <w:w w:val="110"/>
          <w:sz w:val="11"/>
        </w:rPr>
        <w:t>ALPRAZOLAM</w:t>
      </w:r>
      <w:r>
        <w:rPr>
          <w:color w:val="231F1F"/>
          <w:w w:val="110"/>
        </w:rPr>
        <w:t>; fluvoxamine increases plasma concentration of some </w:t>
      </w:r>
      <w:r>
        <w:rPr>
          <w:rFonts w:ascii="Calibri" w:hAnsi="Calibri"/>
          <w:color w:val="008356"/>
          <w:w w:val="110"/>
          <w:sz w:val="11"/>
        </w:rPr>
        <w:t>BENZODIAZEPINES</w:t>
      </w:r>
      <w:r>
        <w:rPr>
          <w:color w:val="231F1F"/>
          <w:w w:val="110"/>
        </w:rPr>
        <w:t>; fluvoxamine increases plasma concentration of </w:t>
      </w:r>
      <w:r>
        <w:rPr>
          <w:rFonts w:ascii="Arial" w:hAnsi="Arial"/>
          <w:color w:val="231F1F"/>
          <w:w w:val="355"/>
          <w:position w:val="1"/>
          <w:sz w:val="7"/>
        </w:rPr>
        <w:t>l </w:t>
      </w:r>
      <w:r>
        <w:rPr>
          <w:rFonts w:ascii="Calibri" w:hAnsi="Calibri"/>
          <w:color w:val="008356"/>
          <w:w w:val="110"/>
          <w:sz w:val="11"/>
        </w:rPr>
        <w:t>MELATONIN</w:t>
      </w:r>
      <w:r>
        <w:rPr>
          <w:rFonts w:ascii="Arial" w:hAnsi="Arial"/>
          <w:color w:val="231F1F"/>
          <w:w w:val="110"/>
        </w:rPr>
        <w:t>—</w:t>
      </w:r>
      <w:r>
        <w:rPr>
          <w:color w:val="231F1F"/>
          <w:w w:val="110"/>
        </w:rPr>
        <w:t>avoid concomitant use; sedative effects possibly increased when sertraline given with </w:t>
      </w:r>
      <w:r>
        <w:rPr>
          <w:rFonts w:ascii="Calibri" w:hAnsi="Calibri"/>
          <w:color w:val="008356"/>
          <w:w w:val="110"/>
          <w:sz w:val="11"/>
        </w:rPr>
        <w:t>ZOLPIDEM</w:t>
      </w:r>
    </w:p>
    <w:p>
      <w:pPr>
        <w:pStyle w:val="BodyText"/>
        <w:spacing w:line="230" w:lineRule="auto"/>
        <w:ind w:right="95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Atomoxetine: </w:t>
      </w:r>
      <w:r>
        <w:rPr>
          <w:color w:val="231F1F"/>
          <w:w w:val="110"/>
        </w:rPr>
        <w:t>possible increased risk of convulsions</w:t>
      </w:r>
      <w:r>
        <w:rPr>
          <w:color w:val="231F1F"/>
          <w:spacing w:val="-23"/>
          <w:w w:val="110"/>
        </w:rPr>
        <w:t> </w:t>
      </w:r>
      <w:r>
        <w:rPr>
          <w:color w:val="231F1F"/>
          <w:spacing w:val="-4"/>
          <w:w w:val="110"/>
        </w:rPr>
        <w:t>when </w:t>
      </w:r>
      <w:r>
        <w:rPr>
          <w:color w:val="231F1F"/>
          <w:w w:val="110"/>
        </w:rPr>
        <w:t>antidepressants given with </w:t>
      </w:r>
      <w:r>
        <w:rPr>
          <w:rFonts w:ascii="Calibri" w:hAnsi="Calibri"/>
          <w:color w:val="008356"/>
          <w:spacing w:val="3"/>
          <w:w w:val="110"/>
          <w:sz w:val="11"/>
        </w:rPr>
        <w:t>ATOMOXETINE</w:t>
      </w:r>
      <w:r>
        <w:rPr>
          <w:color w:val="231F1F"/>
          <w:spacing w:val="3"/>
          <w:w w:val="110"/>
        </w:rPr>
        <w:t>; </w:t>
      </w:r>
      <w:r>
        <w:rPr>
          <w:color w:val="231F1F"/>
          <w:w w:val="110"/>
        </w:rPr>
        <w:t>fluoxetine and paroxetine possibly inhibit metabolism of</w:t>
      </w:r>
      <w:r>
        <w:rPr>
          <w:color w:val="231F1F"/>
          <w:spacing w:val="-25"/>
          <w:w w:val="110"/>
        </w:rPr>
        <w:t> </w:t>
      </w:r>
      <w:r>
        <w:rPr>
          <w:rFonts w:ascii="Calibri" w:hAnsi="Calibri"/>
          <w:color w:val="008356"/>
          <w:spacing w:val="4"/>
          <w:w w:val="110"/>
          <w:sz w:val="11"/>
        </w:rPr>
        <w:t>ATOMOXETINE</w:t>
      </w:r>
    </w:p>
    <w:p>
      <w:pPr>
        <w:pStyle w:val="BodyText"/>
        <w:spacing w:line="244" w:lineRule="auto"/>
        <w:ind w:right="701"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Beta-blockers:</w:t>
      </w:r>
      <w:r>
        <w:rPr>
          <w:rFonts w:ascii="Calibri" w:hAnsi="Calibri"/>
          <w:color w:val="231F1F"/>
          <w:spacing w:val="-10"/>
          <w:w w:val="115"/>
        </w:rPr>
        <w:t> </w:t>
      </w:r>
      <w:r>
        <w:rPr>
          <w:color w:val="231F1F"/>
          <w:w w:val="115"/>
        </w:rPr>
        <w:t>citalopram</w:t>
      </w:r>
      <w:r>
        <w:rPr>
          <w:color w:val="231F1F"/>
          <w:spacing w:val="-13"/>
          <w:w w:val="115"/>
        </w:rPr>
        <w:t> </w:t>
      </w:r>
      <w:r>
        <w:rPr>
          <w:color w:val="231F1F"/>
          <w:w w:val="115"/>
        </w:rPr>
        <w:t>and</w:t>
      </w:r>
      <w:r>
        <w:rPr>
          <w:color w:val="231F1F"/>
          <w:spacing w:val="-13"/>
          <w:w w:val="115"/>
        </w:rPr>
        <w:t> </w:t>
      </w:r>
      <w:r>
        <w:rPr>
          <w:color w:val="231F1F"/>
          <w:w w:val="115"/>
        </w:rPr>
        <w:t>escitalopram</w:t>
      </w:r>
      <w:r>
        <w:rPr>
          <w:color w:val="231F1F"/>
          <w:spacing w:val="-14"/>
          <w:w w:val="115"/>
        </w:rPr>
        <w:t> </w:t>
      </w:r>
      <w:r>
        <w:rPr>
          <w:color w:val="231F1F"/>
          <w:w w:val="115"/>
        </w:rPr>
        <w:t>increase</w:t>
      </w:r>
      <w:r>
        <w:rPr>
          <w:color w:val="231F1F"/>
          <w:spacing w:val="-13"/>
          <w:w w:val="115"/>
        </w:rPr>
        <w:t> </w:t>
      </w:r>
      <w:r>
        <w:rPr>
          <w:color w:val="231F1F"/>
          <w:w w:val="115"/>
        </w:rPr>
        <w:t>plasma concentration</w:t>
      </w:r>
      <w:r>
        <w:rPr>
          <w:color w:val="231F1F"/>
          <w:spacing w:val="-22"/>
          <w:w w:val="115"/>
        </w:rPr>
        <w:t> </w:t>
      </w:r>
      <w:r>
        <w:rPr>
          <w:color w:val="231F1F"/>
          <w:w w:val="115"/>
        </w:rPr>
        <w:t>of</w:t>
      </w:r>
      <w:r>
        <w:rPr>
          <w:color w:val="231F1F"/>
          <w:spacing w:val="-20"/>
          <w:w w:val="115"/>
        </w:rPr>
        <w:t> </w:t>
      </w:r>
      <w:r>
        <w:rPr>
          <w:rFonts w:ascii="Calibri" w:hAnsi="Calibri"/>
          <w:color w:val="008356"/>
          <w:spacing w:val="4"/>
          <w:w w:val="115"/>
          <w:sz w:val="11"/>
        </w:rPr>
        <w:t>METOPROLOL</w:t>
      </w:r>
      <w:r>
        <w:rPr>
          <w:color w:val="231F1F"/>
          <w:spacing w:val="4"/>
          <w:w w:val="115"/>
        </w:rPr>
        <w:t>;</w:t>
      </w:r>
      <w:r>
        <w:rPr>
          <w:color w:val="231F1F"/>
          <w:spacing w:val="-20"/>
          <w:w w:val="115"/>
        </w:rPr>
        <w:t> </w:t>
      </w:r>
      <w:r>
        <w:rPr>
          <w:color w:val="231F1F"/>
          <w:w w:val="115"/>
        </w:rPr>
        <w:t>paroxetine</w:t>
      </w:r>
      <w:r>
        <w:rPr>
          <w:color w:val="231F1F"/>
          <w:spacing w:val="-21"/>
          <w:w w:val="115"/>
        </w:rPr>
        <w:t> </w:t>
      </w:r>
      <w:r>
        <w:rPr>
          <w:color w:val="231F1F"/>
          <w:w w:val="115"/>
        </w:rPr>
        <w:t>possibly</w:t>
      </w:r>
      <w:r>
        <w:rPr>
          <w:color w:val="231F1F"/>
          <w:spacing w:val="-20"/>
          <w:w w:val="115"/>
        </w:rPr>
        <w:t> </w:t>
      </w:r>
      <w:r>
        <w:rPr>
          <w:color w:val="231F1F"/>
          <w:w w:val="115"/>
        </w:rPr>
        <w:t>increases the</w:t>
      </w:r>
      <w:r>
        <w:rPr>
          <w:color w:val="231F1F"/>
          <w:spacing w:val="-22"/>
          <w:w w:val="115"/>
        </w:rPr>
        <w:t> </w:t>
      </w:r>
      <w:r>
        <w:rPr>
          <w:color w:val="231F1F"/>
          <w:w w:val="115"/>
        </w:rPr>
        <w:t>plasma</w:t>
      </w:r>
      <w:r>
        <w:rPr>
          <w:color w:val="231F1F"/>
          <w:spacing w:val="-21"/>
          <w:w w:val="115"/>
        </w:rPr>
        <w:t> </w:t>
      </w:r>
      <w:r>
        <w:rPr>
          <w:color w:val="231F1F"/>
          <w:w w:val="115"/>
        </w:rPr>
        <w:t>concentration</w:t>
      </w:r>
      <w:r>
        <w:rPr>
          <w:color w:val="231F1F"/>
          <w:spacing w:val="-21"/>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METOPROLOL</w:t>
      </w:r>
      <w:r>
        <w:rPr>
          <w:rFonts w:ascii="Arial" w:hAnsi="Arial"/>
          <w:color w:val="231F1F"/>
          <w:spacing w:val="2"/>
          <w:w w:val="115"/>
        </w:rPr>
        <w:t>—</w:t>
      </w:r>
      <w:r>
        <w:rPr>
          <w:color w:val="231F1F"/>
          <w:spacing w:val="2"/>
          <w:w w:val="115"/>
        </w:rPr>
        <w:t>increased</w:t>
      </w:r>
      <w:r>
        <w:rPr>
          <w:color w:val="231F1F"/>
          <w:spacing w:val="-21"/>
          <w:w w:val="115"/>
        </w:rPr>
        <w:t> </w:t>
      </w:r>
      <w:r>
        <w:rPr>
          <w:color w:val="231F1F"/>
          <w:w w:val="115"/>
        </w:rPr>
        <w:t>risk</w:t>
      </w:r>
      <w:r>
        <w:rPr>
          <w:color w:val="231F1F"/>
          <w:spacing w:val="-21"/>
          <w:w w:val="115"/>
        </w:rPr>
        <w:t> </w:t>
      </w:r>
      <w:r>
        <w:rPr>
          <w:color w:val="231F1F"/>
          <w:spacing w:val="-6"/>
          <w:w w:val="115"/>
        </w:rPr>
        <w:t>of </w:t>
      </w:r>
      <w:r>
        <w:rPr>
          <w:color w:val="231F1F"/>
          <w:w w:val="115"/>
        </w:rPr>
        <w:t>AV block (manufacturer of paroxetine advises avoid concomitant use in cardiac insufficiency); fluvoxamine increases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Calibri" w:hAnsi="Calibri"/>
          <w:color w:val="008356"/>
          <w:spacing w:val="4"/>
          <w:w w:val="115"/>
          <w:sz w:val="11"/>
        </w:rPr>
        <w:t>PROPRANOLOL</w:t>
      </w:r>
      <w:r>
        <w:rPr>
          <w:color w:val="231F1F"/>
          <w:spacing w:val="4"/>
          <w:w w:val="115"/>
        </w:rPr>
        <w:t>;</w:t>
      </w:r>
      <w:r>
        <w:rPr>
          <w:color w:val="231F1F"/>
          <w:spacing w:val="-15"/>
          <w:w w:val="115"/>
        </w:rPr>
        <w:t> </w:t>
      </w:r>
      <w:r>
        <w:rPr>
          <w:color w:val="231F1F"/>
          <w:w w:val="115"/>
        </w:rPr>
        <w:t>increased risk</w:t>
      </w:r>
      <w:r>
        <w:rPr>
          <w:color w:val="231F1F"/>
          <w:spacing w:val="-7"/>
          <w:w w:val="115"/>
        </w:rPr>
        <w:t> </w:t>
      </w:r>
      <w:r>
        <w:rPr>
          <w:color w:val="231F1F"/>
          <w:w w:val="115"/>
        </w:rPr>
        <w:t>of</w:t>
      </w:r>
      <w:r>
        <w:rPr>
          <w:color w:val="231F1F"/>
          <w:spacing w:val="-6"/>
          <w:w w:val="115"/>
        </w:rPr>
        <w:t> </w:t>
      </w:r>
      <w:r>
        <w:rPr>
          <w:color w:val="231F1F"/>
          <w:w w:val="115"/>
        </w:rPr>
        <w:t>ventricular</w:t>
      </w:r>
      <w:r>
        <w:rPr>
          <w:color w:val="231F1F"/>
          <w:spacing w:val="-8"/>
          <w:w w:val="115"/>
        </w:rPr>
        <w:t> </w:t>
      </w:r>
      <w:r>
        <w:rPr>
          <w:color w:val="231F1F"/>
          <w:w w:val="115"/>
        </w:rPr>
        <w:t>arrhythmias</w:t>
      </w:r>
      <w:r>
        <w:rPr>
          <w:color w:val="231F1F"/>
          <w:spacing w:val="-8"/>
          <w:w w:val="115"/>
        </w:rPr>
        <w:t> </w:t>
      </w:r>
      <w:r>
        <w:rPr>
          <w:color w:val="231F1F"/>
          <w:w w:val="115"/>
        </w:rPr>
        <w:t>when</w:t>
      </w:r>
      <w:r>
        <w:rPr>
          <w:color w:val="231F1F"/>
          <w:spacing w:val="-6"/>
          <w:w w:val="115"/>
        </w:rPr>
        <w:t> </w:t>
      </w:r>
      <w:r>
        <w:rPr>
          <w:color w:val="231F1F"/>
          <w:w w:val="115"/>
        </w:rPr>
        <w:t>citalopram</w:t>
      </w:r>
      <w:r>
        <w:rPr>
          <w:color w:val="231F1F"/>
          <w:spacing w:val="-8"/>
          <w:w w:val="115"/>
        </w:rPr>
        <w:t> </w:t>
      </w:r>
      <w:r>
        <w:rPr>
          <w:color w:val="231F1F"/>
          <w:w w:val="115"/>
        </w:rPr>
        <w:t>given</w:t>
      </w:r>
      <w:r>
        <w:rPr>
          <w:color w:val="231F1F"/>
          <w:spacing w:val="-7"/>
          <w:w w:val="115"/>
        </w:rPr>
        <w:t> </w:t>
      </w:r>
      <w:r>
        <w:rPr>
          <w:color w:val="231F1F"/>
          <w:w w:val="115"/>
        </w:rPr>
        <w:t>with</w:t>
      </w:r>
    </w:p>
    <w:p>
      <w:pPr>
        <w:pStyle w:val="BodyText"/>
        <w:spacing w:line="242" w:lineRule="auto"/>
        <w:ind w:right="809"/>
      </w:pPr>
      <w:r>
        <w:rPr>
          <w:rFonts w:ascii="Arial" w:hAnsi="Arial"/>
          <w:color w:val="231F1F"/>
          <w:w w:val="355"/>
          <w:position w:val="1"/>
          <w:sz w:val="7"/>
        </w:rPr>
        <w:t>l </w:t>
      </w:r>
      <w:r>
        <w:rPr>
          <w:rFonts w:ascii="Calibri" w:hAnsi="Calibri"/>
          <w:color w:val="008356"/>
          <w:w w:val="115"/>
          <w:sz w:val="11"/>
        </w:rPr>
        <w:t>SOTALOL</w:t>
      </w:r>
      <w:r>
        <w:rPr>
          <w:rFonts w:ascii="Arial" w:hAnsi="Arial"/>
          <w:color w:val="231F1F"/>
          <w:w w:val="115"/>
        </w:rPr>
        <w:t>—</w:t>
      </w:r>
      <w:r>
        <w:rPr>
          <w:color w:val="231F1F"/>
          <w:w w:val="115"/>
        </w:rPr>
        <w:t>avoid concomitant use; manufacturer of escitalopram</w:t>
      </w:r>
      <w:r>
        <w:rPr>
          <w:color w:val="231F1F"/>
          <w:spacing w:val="-13"/>
          <w:w w:val="115"/>
        </w:rPr>
        <w:t> </w:t>
      </w:r>
      <w:r>
        <w:rPr>
          <w:color w:val="231F1F"/>
          <w:w w:val="115"/>
        </w:rPr>
        <w:t>advises</w:t>
      </w:r>
      <w:r>
        <w:rPr>
          <w:color w:val="231F1F"/>
          <w:spacing w:val="-14"/>
          <w:w w:val="115"/>
        </w:rPr>
        <w:t> </w:t>
      </w:r>
      <w:r>
        <w:rPr>
          <w:color w:val="231F1F"/>
          <w:w w:val="115"/>
        </w:rPr>
        <w:t>avoid</w:t>
      </w:r>
      <w:r>
        <w:rPr>
          <w:color w:val="231F1F"/>
          <w:spacing w:val="-14"/>
          <w:w w:val="115"/>
        </w:rPr>
        <w:t> </w:t>
      </w:r>
      <w:r>
        <w:rPr>
          <w:color w:val="231F1F"/>
          <w:w w:val="115"/>
        </w:rPr>
        <w:t>concomitant</w:t>
      </w:r>
      <w:r>
        <w:rPr>
          <w:color w:val="231F1F"/>
          <w:spacing w:val="-14"/>
          <w:w w:val="115"/>
        </w:rPr>
        <w:t> </w:t>
      </w:r>
      <w:r>
        <w:rPr>
          <w:color w:val="231F1F"/>
          <w:w w:val="115"/>
        </w:rPr>
        <w:t>use</w:t>
      </w:r>
      <w:r>
        <w:rPr>
          <w:color w:val="231F1F"/>
          <w:spacing w:val="-13"/>
          <w:w w:val="115"/>
        </w:rPr>
        <w:t> </w:t>
      </w:r>
      <w:r>
        <w:rPr>
          <w:color w:val="231F1F"/>
          <w:w w:val="115"/>
        </w:rPr>
        <w:t>with</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w w:val="115"/>
          <w:sz w:val="11"/>
        </w:rPr>
        <w:t>SOTALOL </w:t>
      </w:r>
      <w:r>
        <w:rPr>
          <w:color w:val="231F1F"/>
          <w:w w:val="115"/>
        </w:rPr>
        <w:t>(risk of ventricular</w:t>
      </w:r>
      <w:r>
        <w:rPr>
          <w:color w:val="231F1F"/>
          <w:spacing w:val="-13"/>
          <w:w w:val="115"/>
        </w:rPr>
        <w:t> </w:t>
      </w:r>
      <w:r>
        <w:rPr>
          <w:color w:val="231F1F"/>
          <w:w w:val="115"/>
        </w:rPr>
        <w:t>arrhythmias)</w:t>
      </w:r>
    </w:p>
    <w:p>
      <w:pPr>
        <w:pStyle w:val="BodyText"/>
        <w:spacing w:line="220" w:lineRule="auto" w:before="4"/>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Bupropion: </w:t>
      </w:r>
      <w:r>
        <w:rPr>
          <w:color w:val="231F1F"/>
          <w:w w:val="105"/>
        </w:rPr>
        <w:t>plasma concentration of citalopram possibly increased by </w:t>
      </w:r>
      <w:r>
        <w:rPr>
          <w:rFonts w:ascii="Calibri" w:hAnsi="Calibri"/>
          <w:color w:val="008356"/>
          <w:w w:val="105"/>
          <w:sz w:val="11"/>
        </w:rPr>
        <w:t>BUPROPION</w:t>
      </w:r>
    </w:p>
    <w:p>
      <w:pPr>
        <w:pStyle w:val="BodyText"/>
        <w:spacing w:line="220" w:lineRule="auto" w:before="9"/>
        <w:ind w:right="762" w:hanging="100"/>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fluoxetine possibly inhibits metabolism of </w:t>
      </w:r>
      <w:r>
        <w:rPr>
          <w:rFonts w:ascii="Calibri" w:hAnsi="Calibri"/>
          <w:color w:val="008356"/>
          <w:w w:val="105"/>
          <w:sz w:val="11"/>
        </w:rPr>
        <w:t>NIFEDIPINE </w:t>
      </w:r>
      <w:r>
        <w:rPr>
          <w:color w:val="231F1F"/>
          <w:w w:val="105"/>
        </w:rPr>
        <w:t>(increased plasma concentration)</w:t>
      </w:r>
    </w:p>
    <w:p>
      <w:pPr>
        <w:pStyle w:val="BodyText"/>
        <w:ind w:right="1004"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fluoxetine and fluvoxamine possibly </w:t>
      </w:r>
      <w:r>
        <w:rPr>
          <w:color w:val="231F1F"/>
          <w:spacing w:val="-3"/>
          <w:w w:val="110"/>
        </w:rPr>
        <w:t>reduce </w:t>
      </w:r>
      <w:r>
        <w:rPr>
          <w:color w:val="231F1F"/>
          <w:w w:val="110"/>
        </w:rPr>
        <w:t>antiplatelet effect of </w:t>
      </w:r>
      <w:r>
        <w:rPr>
          <w:rFonts w:ascii="Arial"/>
          <w:color w:val="231F1F"/>
          <w:w w:val="355"/>
          <w:position w:val="1"/>
          <w:sz w:val="7"/>
        </w:rPr>
        <w:t>l </w:t>
      </w:r>
      <w:r>
        <w:rPr>
          <w:rFonts w:ascii="Calibri"/>
          <w:color w:val="008356"/>
          <w:spacing w:val="4"/>
          <w:w w:val="110"/>
          <w:sz w:val="11"/>
        </w:rPr>
        <w:t>CLOPIDOGREL</w:t>
      </w:r>
    </w:p>
    <w:p>
      <w:pPr>
        <w:pStyle w:val="BodyText"/>
        <w:spacing w:line="244" w:lineRule="auto"/>
        <w:ind w:right="670"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SSRIs given with </w:t>
      </w:r>
      <w:r>
        <w:rPr>
          <w:rFonts w:ascii="Arial"/>
          <w:color w:val="231F1F"/>
          <w:w w:val="355"/>
          <w:position w:val="1"/>
          <w:sz w:val="7"/>
        </w:rPr>
        <w:t>l </w:t>
      </w:r>
      <w:r>
        <w:rPr>
          <w:rFonts w:ascii="Calibri"/>
          <w:color w:val="008356"/>
          <w:w w:val="110"/>
          <w:sz w:val="11"/>
        </w:rPr>
        <w:t>DAPOXETINE </w:t>
      </w:r>
      <w:r>
        <w:rPr>
          <w:color w:val="231F1F"/>
          <w:w w:val="110"/>
        </w:rPr>
        <w:t>(manufacturer of dapoxetine advises SSRIs should not be started until 1 week after stopping dapoxetine, avoid dapoxetine for 2 weeks after stopping SSRIs)</w:t>
      </w:r>
    </w:p>
    <w:p>
      <w:pPr>
        <w:pStyle w:val="BodyText"/>
        <w:spacing w:line="247" w:lineRule="auto"/>
        <w:ind w:right="677" w:hanging="100"/>
      </w:pPr>
      <w:r>
        <w:rPr>
          <w:rFonts w:ascii="Arial"/>
          <w:color w:val="231F1F"/>
          <w:w w:val="355"/>
          <w:position w:val="1"/>
          <w:sz w:val="7"/>
        </w:rPr>
        <w:t>l </w:t>
      </w:r>
      <w:r>
        <w:rPr>
          <w:rFonts w:ascii="Calibri"/>
          <w:color w:val="231F1F"/>
          <w:w w:val="110"/>
        </w:rPr>
        <w:t>Dopaminergics: </w:t>
      </w:r>
      <w:r>
        <w:rPr>
          <w:color w:val="231F1F"/>
          <w:w w:val="110"/>
        </w:rPr>
        <w:t>increased risk of CNS toxicity when SSRIs given with </w:t>
      </w:r>
      <w:r>
        <w:rPr>
          <w:rFonts w:ascii="Arial"/>
          <w:color w:val="231F1F"/>
          <w:w w:val="355"/>
          <w:position w:val="1"/>
          <w:sz w:val="7"/>
        </w:rPr>
        <w:t>l </w:t>
      </w:r>
      <w:r>
        <w:rPr>
          <w:rFonts w:ascii="Calibri"/>
          <w:color w:val="008356"/>
          <w:spacing w:val="4"/>
          <w:w w:val="110"/>
          <w:sz w:val="11"/>
        </w:rPr>
        <w:t>RASAGILINE</w:t>
      </w:r>
      <w:r>
        <w:rPr>
          <w:color w:val="231F1F"/>
          <w:spacing w:val="4"/>
          <w:w w:val="110"/>
        </w:rPr>
        <w:t>; </w:t>
      </w:r>
      <w:r>
        <w:rPr>
          <w:color w:val="231F1F"/>
          <w:w w:val="110"/>
        </w:rPr>
        <w:t>fluvoxamine should not be started until 2 weeks after stopping </w:t>
      </w:r>
      <w:r>
        <w:rPr>
          <w:rFonts w:ascii="Arial"/>
          <w:color w:val="231F1F"/>
          <w:w w:val="355"/>
          <w:position w:val="1"/>
          <w:sz w:val="7"/>
        </w:rPr>
        <w:t>l </w:t>
      </w:r>
      <w:r>
        <w:rPr>
          <w:rFonts w:ascii="Calibri"/>
          <w:color w:val="008356"/>
          <w:spacing w:val="4"/>
          <w:w w:val="110"/>
          <w:sz w:val="11"/>
        </w:rPr>
        <w:t>RASAGILINE</w:t>
      </w:r>
      <w:r>
        <w:rPr>
          <w:color w:val="231F1F"/>
          <w:spacing w:val="4"/>
          <w:w w:val="110"/>
        </w:rPr>
        <w:t>; </w:t>
      </w:r>
      <w:r>
        <w:rPr>
          <w:color w:val="231F1F"/>
          <w:w w:val="110"/>
        </w:rPr>
        <w:t>fluoxetine should not be started until 2 weeks after stopping </w:t>
      </w:r>
      <w:r>
        <w:rPr>
          <w:rFonts w:ascii="Arial"/>
          <w:color w:val="231F1F"/>
          <w:w w:val="355"/>
          <w:position w:val="1"/>
          <w:sz w:val="7"/>
        </w:rPr>
        <w:t>l </w:t>
      </w:r>
      <w:r>
        <w:rPr>
          <w:rFonts w:ascii="Calibri"/>
          <w:color w:val="008356"/>
          <w:spacing w:val="4"/>
          <w:w w:val="110"/>
          <w:sz w:val="11"/>
        </w:rPr>
        <w:t>RASAGILINE</w:t>
      </w:r>
      <w:r>
        <w:rPr>
          <w:color w:val="231F1F"/>
          <w:spacing w:val="4"/>
          <w:w w:val="110"/>
        </w:rPr>
        <w:t>, </w:t>
      </w:r>
      <w:r>
        <w:rPr>
          <w:color w:val="231F1F"/>
          <w:w w:val="110"/>
        </w:rPr>
        <w:t>also rasagiline should not be started until at least 5 weeks after stopping fluoxetine; avoidance of  citalopram  and escitalopram advised by manufacturer of </w:t>
      </w:r>
      <w:r>
        <w:rPr>
          <w:rFonts w:ascii="Calibri"/>
          <w:color w:val="008356"/>
          <w:spacing w:val="4"/>
          <w:w w:val="110"/>
          <w:sz w:val="11"/>
        </w:rPr>
        <w:t>SELEGILINE</w:t>
      </w:r>
      <w:r>
        <w:rPr>
          <w:color w:val="231F1F"/>
          <w:spacing w:val="4"/>
          <w:w w:val="110"/>
        </w:rPr>
        <w:t>; </w:t>
      </w:r>
      <w:r>
        <w:rPr>
          <w:color w:val="231F1F"/>
          <w:w w:val="110"/>
        </w:rPr>
        <w:t>increased risk of hypertension and CNS excitation when fluvoxamine or sertraline given with </w:t>
      </w:r>
      <w:r>
        <w:rPr>
          <w:rFonts w:ascii="Arial"/>
          <w:color w:val="231F1F"/>
          <w:w w:val="355"/>
          <w:position w:val="1"/>
          <w:sz w:val="7"/>
        </w:rPr>
        <w:t>l </w:t>
      </w:r>
      <w:r>
        <w:rPr>
          <w:rFonts w:ascii="Calibri"/>
          <w:color w:val="008356"/>
          <w:spacing w:val="4"/>
          <w:w w:val="110"/>
          <w:sz w:val="11"/>
        </w:rPr>
        <w:t>SELEGILINE </w:t>
      </w:r>
      <w:r>
        <w:rPr>
          <w:color w:val="231F1F"/>
          <w:w w:val="110"/>
        </w:rPr>
        <w:t>(selegiline should not be started until  1  week  after  stopping fluvoxamine or sertraline, avoid fluvoxamine or sertraline for</w:t>
      </w:r>
      <w:r>
        <w:rPr>
          <w:color w:val="231F1F"/>
          <w:spacing w:val="33"/>
          <w:w w:val="110"/>
        </w:rPr>
        <w:t> </w:t>
      </w:r>
      <w:r>
        <w:rPr>
          <w:color w:val="231F1F"/>
          <w:w w:val="110"/>
        </w:rPr>
        <w:t>2 weeks after stopping selegiline); increased risk of hypertension  and CNS excitation when paroxetine given </w:t>
      </w:r>
      <w:r>
        <w:rPr>
          <w:color w:val="231F1F"/>
          <w:spacing w:val="-4"/>
          <w:w w:val="110"/>
        </w:rPr>
        <w:t>with  </w:t>
      </w:r>
      <w:r>
        <w:rPr>
          <w:rFonts w:ascii="Arial"/>
          <w:color w:val="231F1F"/>
          <w:w w:val="355"/>
          <w:position w:val="1"/>
          <w:sz w:val="7"/>
        </w:rPr>
        <w:t>l </w:t>
      </w:r>
      <w:r>
        <w:rPr>
          <w:rFonts w:ascii="Calibri"/>
          <w:color w:val="008356"/>
          <w:spacing w:val="4"/>
          <w:w w:val="110"/>
          <w:sz w:val="11"/>
        </w:rPr>
        <w:t>SELEGILINE </w:t>
      </w:r>
      <w:r>
        <w:rPr>
          <w:color w:val="231F1F"/>
          <w:w w:val="110"/>
        </w:rPr>
        <w:t>(selegiline should not be started until 2 weeks after stopping paroxetine, avoid paroxetine for 2 weeks after stopping selegiline); increased risk of hypertension and CNS excitation when fluoxetine given with </w:t>
      </w:r>
      <w:r>
        <w:rPr>
          <w:rFonts w:ascii="Arial"/>
          <w:color w:val="231F1F"/>
          <w:w w:val="355"/>
          <w:position w:val="1"/>
          <w:sz w:val="7"/>
        </w:rPr>
        <w:t>l </w:t>
      </w:r>
      <w:r>
        <w:rPr>
          <w:rFonts w:ascii="Calibri"/>
          <w:color w:val="008356"/>
          <w:spacing w:val="4"/>
          <w:w w:val="110"/>
          <w:sz w:val="11"/>
        </w:rPr>
        <w:t>SELEGILINE </w:t>
      </w:r>
      <w:r>
        <w:rPr>
          <w:color w:val="231F1F"/>
          <w:w w:val="110"/>
        </w:rPr>
        <w:t>(selegiline should not be started until 5 weeks after stopping fluoxetine, avoid fluoxetine for 2 weeks after stopping</w:t>
      </w:r>
      <w:r>
        <w:rPr>
          <w:color w:val="231F1F"/>
          <w:spacing w:val="8"/>
          <w:w w:val="110"/>
        </w:rPr>
        <w:t> </w:t>
      </w:r>
      <w:r>
        <w:rPr>
          <w:color w:val="231F1F"/>
          <w:w w:val="110"/>
        </w:rPr>
        <w:t>selegiline)</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sertraline possibly increased by </w:t>
      </w:r>
      <w:r>
        <w:rPr>
          <w:rFonts w:ascii="Calibri" w:hAnsi="Calibri"/>
          <w:color w:val="008356"/>
          <w:w w:val="105"/>
          <w:sz w:val="11"/>
        </w:rPr>
        <w:t>GRAPEFRUIT JUICE</w:t>
      </w:r>
    </w:p>
    <w:p>
      <w:pPr>
        <w:pStyle w:val="BodyText"/>
        <w:spacing w:line="242" w:lineRule="auto"/>
        <w:ind w:right="670" w:hanging="100"/>
      </w:pPr>
      <w:r>
        <w:rPr>
          <w:rFonts w:ascii="Arial"/>
          <w:color w:val="231F1F"/>
          <w:w w:val="355"/>
          <w:position w:val="1"/>
          <w:sz w:val="7"/>
        </w:rPr>
        <w:t>l </w:t>
      </w:r>
      <w:r>
        <w:rPr>
          <w:rFonts w:ascii="Calibri"/>
          <w:color w:val="231F1F"/>
          <w:w w:val="110"/>
        </w:rPr>
        <w:t>Hormone Antagonists: </w:t>
      </w:r>
      <w:r>
        <w:rPr>
          <w:color w:val="231F1F"/>
          <w:w w:val="110"/>
        </w:rPr>
        <w:t>fluoxetine and paroxetine possibly inhibit metabolism of </w:t>
      </w:r>
      <w:r>
        <w:rPr>
          <w:rFonts w:ascii="Arial"/>
          <w:color w:val="231F1F"/>
          <w:w w:val="355"/>
          <w:position w:val="1"/>
          <w:sz w:val="7"/>
        </w:rPr>
        <w:t>l </w:t>
      </w:r>
      <w:r>
        <w:rPr>
          <w:rFonts w:ascii="Calibri"/>
          <w:color w:val="008356"/>
          <w:w w:val="110"/>
          <w:sz w:val="11"/>
        </w:rPr>
        <w:t>TAMOXIFEN </w:t>
      </w:r>
      <w:r>
        <w:rPr>
          <w:color w:val="231F1F"/>
          <w:w w:val="110"/>
        </w:rPr>
        <w:t>to active metabolite (avoid concomitant use)</w:t>
      </w:r>
    </w:p>
    <w:p>
      <w:pPr>
        <w:pStyle w:val="BodyText"/>
        <w:spacing w:line="232" w:lineRule="auto"/>
        <w:ind w:right="670" w:hanging="100"/>
      </w:pPr>
      <w:r>
        <w:rPr>
          <w:rFonts w:ascii="Arial"/>
          <w:color w:val="231F1F"/>
          <w:w w:val="355"/>
          <w:position w:val="1"/>
          <w:sz w:val="7"/>
        </w:rPr>
        <w:t>l </w:t>
      </w:r>
      <w:r>
        <w:rPr>
          <w:rFonts w:ascii="Calibri"/>
          <w:color w:val="231F1F"/>
          <w:w w:val="110"/>
        </w:rPr>
        <w:t>5HT</w:t>
      </w:r>
      <w:r>
        <w:rPr>
          <w:rFonts w:ascii="Calibri"/>
          <w:color w:val="231F1F"/>
          <w:w w:val="110"/>
          <w:vertAlign w:val="subscript"/>
        </w:rPr>
        <w:t>1</w:t>
      </w:r>
      <w:r>
        <w:rPr>
          <w:rFonts w:ascii="Calibri"/>
          <w:color w:val="231F1F"/>
          <w:w w:val="110"/>
          <w:vertAlign w:val="baseline"/>
        </w:rPr>
        <w:t>-receptor Agonists: </w:t>
      </w:r>
      <w:r>
        <w:rPr>
          <w:color w:val="231F1F"/>
          <w:w w:val="110"/>
          <w:vertAlign w:val="baseline"/>
        </w:rPr>
        <w:t>increased risk of CNS toxicity when </w:t>
      </w:r>
      <w:r>
        <w:rPr>
          <w:color w:val="231F1F"/>
          <w:w w:val="110"/>
          <w:position w:val="2"/>
          <w:vertAlign w:val="baseline"/>
        </w:rPr>
        <w:t>citalopram given with </w:t>
      </w:r>
      <w:r>
        <w:rPr>
          <w:rFonts w:ascii="Arial"/>
          <w:color w:val="231F1F"/>
          <w:w w:val="355"/>
          <w:position w:val="2"/>
          <w:sz w:val="7"/>
          <w:vertAlign w:val="baseline"/>
        </w:rPr>
        <w:t>l </w:t>
      </w:r>
      <w:r>
        <w:rPr>
          <w:rFonts w:ascii="Calibri"/>
          <w:color w:val="008356"/>
          <w:w w:val="110"/>
          <w:position w:val="2"/>
          <w:sz w:val="11"/>
          <w:vertAlign w:val="baseline"/>
        </w:rPr>
        <w:t>5HT</w:t>
      </w:r>
      <w:r>
        <w:rPr>
          <w:rFonts w:ascii="Calibri"/>
          <w:color w:val="008356"/>
          <w:w w:val="110"/>
          <w:position w:val="2"/>
          <w:sz w:val="11"/>
          <w:vertAlign w:val="subscript"/>
        </w:rPr>
        <w:t>1</w:t>
      </w:r>
      <w:r>
        <w:rPr>
          <w:rFonts w:ascii="Calibri"/>
          <w:color w:val="008356"/>
          <w:w w:val="110"/>
          <w:position w:val="2"/>
          <w:sz w:val="11"/>
          <w:vertAlign w:val="baseline"/>
        </w:rPr>
        <w:t> AGONISTS </w:t>
      </w:r>
      <w:r>
        <w:rPr>
          <w:color w:val="231F1F"/>
          <w:w w:val="110"/>
          <w:position w:val="2"/>
          <w:vertAlign w:val="baseline"/>
        </w:rPr>
        <w:t>(manufacturer of </w:t>
      </w:r>
      <w:r>
        <w:rPr>
          <w:color w:val="231F1F"/>
          <w:w w:val="110"/>
          <w:vertAlign w:val="baseline"/>
        </w:rPr>
        <w:t>citalopram advises avoid concomitant use); fluvoxamine inhibits the metabolism of </w:t>
      </w:r>
      <w:r>
        <w:rPr>
          <w:rFonts w:ascii="Calibri"/>
          <w:color w:val="008356"/>
          <w:w w:val="110"/>
          <w:sz w:val="11"/>
          <w:vertAlign w:val="baseline"/>
        </w:rPr>
        <w:t>FROVATRIPTAN</w:t>
      </w:r>
      <w:r>
        <w:rPr>
          <w:color w:val="231F1F"/>
          <w:w w:val="110"/>
          <w:vertAlign w:val="baseline"/>
        </w:rPr>
        <w:t>; possible increased</w:t>
      </w:r>
    </w:p>
    <w:p>
      <w:pPr>
        <w:pStyle w:val="BodyText"/>
        <w:spacing w:line="244" w:lineRule="auto"/>
        <w:ind w:right="679"/>
      </w:pPr>
      <w:r>
        <w:rPr>
          <w:color w:val="231F1F"/>
          <w:w w:val="110"/>
        </w:rPr>
        <w:t>serotonergic effects when SSRIs given with </w:t>
      </w:r>
      <w:r>
        <w:rPr>
          <w:rFonts w:ascii="Calibri"/>
          <w:color w:val="008356"/>
          <w:spacing w:val="3"/>
          <w:w w:val="110"/>
          <w:sz w:val="11"/>
        </w:rPr>
        <w:t>NARATRIPTAN</w:t>
      </w:r>
      <w:r>
        <w:rPr>
          <w:color w:val="231F1F"/>
          <w:spacing w:val="3"/>
          <w:w w:val="110"/>
        </w:rPr>
        <w:t>; </w:t>
      </w:r>
      <w:r>
        <w:rPr>
          <w:color w:val="231F1F"/>
          <w:w w:val="110"/>
        </w:rPr>
        <w:t>CNS toxicity reported when sertraline given with </w:t>
      </w:r>
      <w:r>
        <w:rPr>
          <w:rFonts w:ascii="Calibri"/>
          <w:color w:val="008356"/>
          <w:spacing w:val="3"/>
          <w:w w:val="110"/>
          <w:sz w:val="11"/>
        </w:rPr>
        <w:t>SUMATRIPTAN</w:t>
      </w:r>
      <w:r>
        <w:rPr>
          <w:color w:val="231F1F"/>
          <w:spacing w:val="3"/>
          <w:w w:val="110"/>
        </w:rPr>
        <w:t>;</w:t>
      </w:r>
      <w:r>
        <w:rPr>
          <w:color w:val="231F1F"/>
          <w:spacing w:val="-8"/>
          <w:w w:val="110"/>
        </w:rPr>
        <w:t> </w:t>
      </w:r>
      <w:r>
        <w:rPr>
          <w:color w:val="231F1F"/>
          <w:w w:val="110"/>
        </w:rPr>
        <w:t>increased</w:t>
      </w:r>
      <w:r>
        <w:rPr>
          <w:color w:val="231F1F"/>
          <w:spacing w:val="-8"/>
          <w:w w:val="110"/>
        </w:rPr>
        <w:t> </w:t>
      </w:r>
      <w:r>
        <w:rPr>
          <w:color w:val="231F1F"/>
          <w:w w:val="110"/>
        </w:rPr>
        <w:t>risk</w:t>
      </w:r>
      <w:r>
        <w:rPr>
          <w:color w:val="231F1F"/>
          <w:spacing w:val="-8"/>
          <w:w w:val="110"/>
        </w:rPr>
        <w:t> </w:t>
      </w:r>
      <w:r>
        <w:rPr>
          <w:color w:val="231F1F"/>
          <w:w w:val="110"/>
        </w:rPr>
        <w:t>of</w:t>
      </w:r>
      <w:r>
        <w:rPr>
          <w:color w:val="231F1F"/>
          <w:spacing w:val="-7"/>
          <w:w w:val="110"/>
        </w:rPr>
        <w:t> </w:t>
      </w:r>
      <w:r>
        <w:rPr>
          <w:color w:val="231F1F"/>
          <w:w w:val="110"/>
        </w:rPr>
        <w:t>CNS</w:t>
      </w:r>
      <w:r>
        <w:rPr>
          <w:color w:val="231F1F"/>
          <w:spacing w:val="-8"/>
          <w:w w:val="110"/>
        </w:rPr>
        <w:t> </w:t>
      </w:r>
      <w:r>
        <w:rPr>
          <w:color w:val="231F1F"/>
          <w:w w:val="110"/>
        </w:rPr>
        <w:t>toxicity</w:t>
      </w:r>
      <w:r>
        <w:rPr>
          <w:color w:val="231F1F"/>
          <w:spacing w:val="-8"/>
          <w:w w:val="110"/>
        </w:rPr>
        <w:t> </w:t>
      </w:r>
      <w:r>
        <w:rPr>
          <w:color w:val="231F1F"/>
          <w:w w:val="110"/>
        </w:rPr>
        <w:t>when</w:t>
      </w:r>
      <w:r>
        <w:rPr>
          <w:color w:val="231F1F"/>
          <w:spacing w:val="-9"/>
          <w:w w:val="110"/>
        </w:rPr>
        <w:t> </w:t>
      </w:r>
      <w:r>
        <w:rPr>
          <w:color w:val="231F1F"/>
          <w:w w:val="110"/>
        </w:rPr>
        <w:t>citalopram, escitalopram, fluoxetine, fluvoxamine or paroxetine given  with </w:t>
      </w:r>
      <w:r>
        <w:rPr>
          <w:rFonts w:ascii="Arial"/>
          <w:color w:val="231F1F"/>
          <w:w w:val="355"/>
          <w:position w:val="1"/>
          <w:sz w:val="7"/>
        </w:rPr>
        <w:t>l </w:t>
      </w:r>
      <w:r>
        <w:rPr>
          <w:rFonts w:ascii="Calibri"/>
          <w:color w:val="008356"/>
          <w:spacing w:val="3"/>
          <w:w w:val="110"/>
          <w:sz w:val="11"/>
        </w:rPr>
        <w:t>SUMATRIPTAN</w:t>
      </w:r>
      <w:r>
        <w:rPr>
          <w:color w:val="231F1F"/>
          <w:spacing w:val="3"/>
          <w:w w:val="110"/>
        </w:rPr>
        <w:t>; </w:t>
      </w:r>
      <w:r>
        <w:rPr>
          <w:color w:val="231F1F"/>
          <w:w w:val="110"/>
        </w:rPr>
        <w:t>fluvoxamine possibly inhibits metabolism of </w:t>
      </w:r>
      <w:r>
        <w:rPr>
          <w:rFonts w:ascii="Calibri"/>
          <w:color w:val="008356"/>
          <w:spacing w:val="4"/>
          <w:w w:val="110"/>
          <w:sz w:val="11"/>
        </w:rPr>
        <w:t>ZOLMITRIPTAN </w:t>
      </w:r>
      <w:r>
        <w:rPr>
          <w:color w:val="231F1F"/>
          <w:w w:val="110"/>
        </w:rPr>
        <w:t>(reduce dose of</w:t>
      </w:r>
      <w:r>
        <w:rPr>
          <w:color w:val="231F1F"/>
          <w:spacing w:val="-6"/>
          <w:w w:val="110"/>
        </w:rPr>
        <w:t> </w:t>
      </w:r>
      <w:r>
        <w:rPr>
          <w:color w:val="231F1F"/>
          <w:w w:val="110"/>
        </w:rPr>
        <w:t>zolmitriptan)</w:t>
      </w:r>
    </w:p>
    <w:p>
      <w:pPr>
        <w:pStyle w:val="BodyText"/>
        <w:spacing w:line="220" w:lineRule="auto" w:before="4"/>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possible increased serotonergic </w:t>
      </w:r>
      <w:r>
        <w:rPr>
          <w:color w:val="231F1F"/>
          <w:w w:val="105"/>
          <w:position w:val="2"/>
          <w:vertAlign w:val="baseline"/>
        </w:rPr>
        <w:t>effects when SSRIs given with </w:t>
      </w:r>
      <w:r>
        <w:rPr>
          <w:rFonts w:ascii="Calibri" w:hAnsi="Calibri"/>
          <w:color w:val="008356"/>
          <w:w w:val="105"/>
          <w:position w:val="2"/>
          <w:sz w:val="11"/>
          <w:vertAlign w:val="baseline"/>
        </w:rPr>
        <w:t>5HT</w:t>
      </w:r>
      <w:r>
        <w:rPr>
          <w:rFonts w:ascii="Calibri" w:hAnsi="Calibri"/>
          <w:color w:val="008356"/>
          <w:w w:val="105"/>
          <w:position w:val="2"/>
          <w:sz w:val="11"/>
          <w:vertAlign w:val="subscript"/>
        </w:rPr>
        <w:t>3</w:t>
      </w:r>
      <w:r>
        <w:rPr>
          <w:rFonts w:ascii="Calibri" w:hAnsi="Calibri"/>
          <w:color w:val="008356"/>
          <w:w w:val="105"/>
          <w:position w:val="2"/>
          <w:sz w:val="11"/>
          <w:vertAlign w:val="baseline"/>
        </w:rPr>
        <w:t> ANTAGONISTS</w:t>
      </w:r>
    </w:p>
    <w:p>
      <w:pPr>
        <w:spacing w:after="0" w:line="220" w:lineRule="auto"/>
        <w:rPr>
          <w:rFonts w:ascii="Calibri" w:hAnsi="Calibri"/>
          <w:sz w:val="11"/>
        </w:rPr>
        <w:sectPr>
          <w:pgSz w:w="8390" w:h="11910"/>
          <w:pgMar w:header="0" w:footer="0" w:top="460" w:bottom="0" w:left="480" w:right="0"/>
          <w:cols w:num="2" w:equalWidth="0">
            <w:col w:w="3592" w:space="84"/>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1648" filled="true" fillcolor="#bfdbcf" stroked="false">
            <v:fill type="solid"/>
            <w10:wrap type="none"/>
          </v:rect>
        </w:pict>
      </w:r>
      <w:r>
        <w:rPr/>
        <w:pict>
          <v:shape style="position:absolute;margin-left:7.751256pt;margin-top:35.804367pt;width:10.4pt;height:78.850pt;mso-position-horizontal-relative:page;mso-position-vertical-relative:page;z-index:167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Antidepressants, SSRI </w:t>
      </w:r>
      <w:r>
        <w:rPr>
          <w:rFonts w:ascii="Calibri"/>
          <w:color w:val="231F1F"/>
        </w:rPr>
        <w:t>(continued)</w:t>
      </w:r>
    </w:p>
    <w:p>
      <w:pPr>
        <w:pStyle w:val="BodyText"/>
        <w:spacing w:line="235" w:lineRule="auto"/>
        <w:ind w:left="286" w:right="389"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fluoxetine and fluvoxamine by 12 hours advised by manufacturer of </w:t>
      </w:r>
      <w:r>
        <w:rPr>
          <w:rFonts w:ascii="Calibri" w:hAnsi="Calibri"/>
          <w:color w:val="008356"/>
          <w:w w:val="105"/>
          <w:sz w:val="11"/>
        </w:rPr>
        <w:t>LOMITAPIDE</w:t>
      </w:r>
    </w:p>
    <w:p>
      <w:pPr>
        <w:pStyle w:val="BodyText"/>
        <w:spacing w:line="143" w:lineRule="exact"/>
        <w:ind w:left="186"/>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Lithium:</w:t>
      </w:r>
      <w:r>
        <w:rPr>
          <w:rFonts w:ascii="Calibri"/>
          <w:color w:val="231F1F"/>
          <w:spacing w:val="-13"/>
          <w:w w:val="115"/>
        </w:rPr>
        <w:t> </w:t>
      </w:r>
      <w:r>
        <w:rPr>
          <w:color w:val="231F1F"/>
          <w:w w:val="115"/>
        </w:rPr>
        <w:t>Increased</w:t>
      </w:r>
      <w:r>
        <w:rPr>
          <w:color w:val="231F1F"/>
          <w:spacing w:val="-15"/>
          <w:w w:val="115"/>
        </w:rPr>
        <w:t> </w:t>
      </w:r>
      <w:r>
        <w:rPr>
          <w:color w:val="231F1F"/>
          <w:w w:val="115"/>
        </w:rPr>
        <w:t>risk</w:t>
      </w:r>
      <w:r>
        <w:rPr>
          <w:color w:val="231F1F"/>
          <w:spacing w:val="-16"/>
          <w:w w:val="115"/>
        </w:rPr>
        <w:t> </w:t>
      </w:r>
      <w:r>
        <w:rPr>
          <w:color w:val="231F1F"/>
          <w:w w:val="115"/>
        </w:rPr>
        <w:t>of</w:t>
      </w:r>
      <w:r>
        <w:rPr>
          <w:color w:val="231F1F"/>
          <w:spacing w:val="-15"/>
          <w:w w:val="115"/>
        </w:rPr>
        <w:t> </w:t>
      </w:r>
      <w:r>
        <w:rPr>
          <w:color w:val="231F1F"/>
          <w:w w:val="115"/>
        </w:rPr>
        <w:t>CNS</w:t>
      </w:r>
      <w:r>
        <w:rPr>
          <w:color w:val="231F1F"/>
          <w:spacing w:val="-15"/>
          <w:w w:val="115"/>
        </w:rPr>
        <w:t> </w:t>
      </w:r>
      <w:r>
        <w:rPr>
          <w:color w:val="231F1F"/>
          <w:w w:val="115"/>
        </w:rPr>
        <w:t>effects</w:t>
      </w:r>
      <w:r>
        <w:rPr>
          <w:color w:val="231F1F"/>
          <w:spacing w:val="-16"/>
          <w:w w:val="115"/>
        </w:rPr>
        <w:t> </w:t>
      </w:r>
      <w:r>
        <w:rPr>
          <w:color w:val="231F1F"/>
          <w:w w:val="115"/>
        </w:rPr>
        <w:t>when</w:t>
      </w:r>
      <w:r>
        <w:rPr>
          <w:color w:val="231F1F"/>
          <w:spacing w:val="-15"/>
          <w:w w:val="115"/>
        </w:rPr>
        <w:t> </w:t>
      </w:r>
      <w:r>
        <w:rPr>
          <w:color w:val="231F1F"/>
          <w:w w:val="115"/>
        </w:rPr>
        <w:t>SSRIs</w:t>
      </w:r>
      <w:r>
        <w:rPr>
          <w:color w:val="231F1F"/>
          <w:spacing w:val="-16"/>
          <w:w w:val="115"/>
        </w:rPr>
        <w:t> </w:t>
      </w:r>
      <w:r>
        <w:rPr>
          <w:color w:val="231F1F"/>
          <w:w w:val="115"/>
        </w:rPr>
        <w:t>given</w:t>
      </w:r>
      <w:r>
        <w:rPr>
          <w:color w:val="231F1F"/>
          <w:spacing w:val="-16"/>
          <w:w w:val="115"/>
        </w:rPr>
        <w:t> </w:t>
      </w:r>
      <w:r>
        <w:rPr>
          <w:color w:val="231F1F"/>
          <w:w w:val="115"/>
        </w:rPr>
        <w:t>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LITHIUM </w:t>
      </w:r>
      <w:r>
        <w:rPr>
          <w:color w:val="231F1F"/>
          <w:w w:val="110"/>
          <w:sz w:val="12"/>
        </w:rPr>
        <w:t>(lithium toxicity reported)</w:t>
      </w:r>
    </w:p>
    <w:p>
      <w:pPr>
        <w:pStyle w:val="BodyText"/>
        <w:spacing w:line="244" w:lineRule="auto"/>
        <w:ind w:left="286" w:right="92"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0"/>
        </w:rPr>
        <w:t>Methylthioninium:</w:t>
      </w:r>
      <w:r>
        <w:rPr>
          <w:rFonts w:ascii="Calibri" w:hAnsi="Calibri"/>
          <w:color w:val="231F1F"/>
          <w:spacing w:val="-10"/>
          <w:w w:val="110"/>
        </w:rPr>
        <w:t> </w:t>
      </w:r>
      <w:r>
        <w:rPr>
          <w:color w:val="231F1F"/>
          <w:w w:val="110"/>
        </w:rPr>
        <w:t>risk</w:t>
      </w:r>
      <w:r>
        <w:rPr>
          <w:color w:val="231F1F"/>
          <w:spacing w:val="-13"/>
          <w:w w:val="110"/>
        </w:rPr>
        <w:t> </w:t>
      </w:r>
      <w:r>
        <w:rPr>
          <w:color w:val="231F1F"/>
          <w:w w:val="110"/>
        </w:rPr>
        <w:t>of</w:t>
      </w:r>
      <w:r>
        <w:rPr>
          <w:color w:val="231F1F"/>
          <w:spacing w:val="-13"/>
          <w:w w:val="110"/>
        </w:rPr>
        <w:t> </w:t>
      </w:r>
      <w:r>
        <w:rPr>
          <w:color w:val="231F1F"/>
          <w:w w:val="110"/>
        </w:rPr>
        <w:t>CNS</w:t>
      </w:r>
      <w:r>
        <w:rPr>
          <w:color w:val="231F1F"/>
          <w:spacing w:val="-13"/>
          <w:w w:val="110"/>
        </w:rPr>
        <w:t> </w:t>
      </w:r>
      <w:r>
        <w:rPr>
          <w:color w:val="231F1F"/>
          <w:w w:val="110"/>
        </w:rPr>
        <w:t>toxicity</w:t>
      </w:r>
      <w:r>
        <w:rPr>
          <w:color w:val="231F1F"/>
          <w:spacing w:val="-13"/>
          <w:w w:val="110"/>
        </w:rPr>
        <w:t> </w:t>
      </w:r>
      <w:r>
        <w:rPr>
          <w:color w:val="231F1F"/>
          <w:w w:val="110"/>
        </w:rPr>
        <w:t>when</w:t>
      </w:r>
      <w:r>
        <w:rPr>
          <w:color w:val="231F1F"/>
          <w:spacing w:val="-14"/>
          <w:w w:val="110"/>
        </w:rPr>
        <w:t> </w:t>
      </w:r>
      <w:r>
        <w:rPr>
          <w:color w:val="231F1F"/>
          <w:w w:val="110"/>
        </w:rPr>
        <w:t>SSRIs</w:t>
      </w:r>
      <w:r>
        <w:rPr>
          <w:color w:val="231F1F"/>
          <w:spacing w:val="-14"/>
          <w:w w:val="110"/>
        </w:rPr>
        <w:t> </w:t>
      </w:r>
      <w:r>
        <w:rPr>
          <w:color w:val="231F1F"/>
          <w:w w:val="110"/>
        </w:rPr>
        <w:t>given</w:t>
      </w:r>
      <w:r>
        <w:rPr>
          <w:color w:val="231F1F"/>
          <w:spacing w:val="-14"/>
          <w:w w:val="110"/>
        </w:rPr>
        <w:t> </w:t>
      </w:r>
      <w:r>
        <w:rPr>
          <w:color w:val="231F1F"/>
          <w:spacing w:val="-3"/>
          <w:w w:val="110"/>
        </w:rPr>
        <w:t>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w:t>
      </w:r>
      <w:r>
        <w:rPr>
          <w:color w:val="231F1F"/>
          <w:spacing w:val="-13"/>
          <w:w w:val="110"/>
        </w:rPr>
        <w:t> </w:t>
      </w:r>
      <w:r>
        <w:rPr>
          <w:color w:val="231F1F"/>
          <w:w w:val="110"/>
        </w:rPr>
        <w:t>concomitant</w:t>
      </w:r>
      <w:r>
        <w:rPr>
          <w:color w:val="231F1F"/>
          <w:spacing w:val="-13"/>
          <w:w w:val="110"/>
        </w:rPr>
        <w:t> </w:t>
      </w:r>
      <w:r>
        <w:rPr>
          <w:color w:val="231F1F"/>
          <w:w w:val="110"/>
        </w:rPr>
        <w:t>use</w:t>
      </w:r>
      <w:r>
        <w:rPr>
          <w:color w:val="231F1F"/>
          <w:spacing w:val="-13"/>
          <w:w w:val="110"/>
        </w:rPr>
        <w:t> </w:t>
      </w:r>
      <w:r>
        <w:rPr>
          <w:color w:val="231F1F"/>
          <w:w w:val="110"/>
        </w:rPr>
        <w:t>(if</w:t>
      </w:r>
      <w:r>
        <w:rPr>
          <w:color w:val="231F1F"/>
          <w:spacing w:val="-13"/>
          <w:w w:val="110"/>
        </w:rPr>
        <w:t> </w:t>
      </w:r>
      <w:r>
        <w:rPr>
          <w:color w:val="231F1F"/>
          <w:w w:val="110"/>
        </w:rPr>
        <w:t>avoidance not possible, use lowest possible dose of methylthioninium and observe patient for up to 4 hours after administration)</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Metoclopramide: </w:t>
      </w:r>
      <w:r>
        <w:rPr>
          <w:color w:val="231F1F"/>
          <w:w w:val="105"/>
        </w:rPr>
        <w:t>CNS toxicity reported when SSRIs given with</w:t>
      </w:r>
    </w:p>
    <w:p>
      <w:pPr>
        <w:spacing w:line="130" w:lineRule="exact" w:before="0"/>
        <w:ind w:left="286" w:right="0" w:firstLine="0"/>
        <w:jc w:val="left"/>
        <w:rPr>
          <w:rFonts w:ascii="Calibri"/>
          <w:sz w:val="11"/>
        </w:rPr>
      </w:pPr>
      <w:r>
        <w:rPr>
          <w:rFonts w:ascii="Calibri"/>
          <w:color w:val="008356"/>
          <w:spacing w:val="4"/>
          <w:sz w:val="11"/>
        </w:rPr>
        <w:t>METOCLOPRAMIDE</w:t>
      </w:r>
    </w:p>
    <w:p>
      <w:pPr>
        <w:pStyle w:val="BodyText"/>
        <w:ind w:left="286" w:right="-11" w:hanging="100"/>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231F1F"/>
          <w:w w:val="115"/>
        </w:rPr>
        <w:t>Muscle</w:t>
      </w:r>
      <w:r>
        <w:rPr>
          <w:rFonts w:ascii="Calibri" w:hAnsi="Calibri"/>
          <w:color w:val="231F1F"/>
          <w:spacing w:val="-16"/>
          <w:w w:val="115"/>
        </w:rPr>
        <w:t> </w:t>
      </w:r>
      <w:r>
        <w:rPr>
          <w:rFonts w:ascii="Calibri" w:hAnsi="Calibri"/>
          <w:color w:val="231F1F"/>
          <w:w w:val="115"/>
        </w:rPr>
        <w:t>Relaxants:</w:t>
      </w:r>
      <w:r>
        <w:rPr>
          <w:rFonts w:ascii="Calibri" w:hAnsi="Calibri"/>
          <w:color w:val="231F1F"/>
          <w:spacing w:val="-17"/>
          <w:w w:val="115"/>
        </w:rPr>
        <w:t> </w:t>
      </w:r>
      <w:r>
        <w:rPr>
          <w:color w:val="231F1F"/>
          <w:w w:val="115"/>
        </w:rPr>
        <w:t>fluvoxamine</w:t>
      </w:r>
      <w:r>
        <w:rPr>
          <w:color w:val="231F1F"/>
          <w:spacing w:val="-21"/>
          <w:w w:val="115"/>
        </w:rPr>
        <w:t> </w:t>
      </w:r>
      <w:r>
        <w:rPr>
          <w:color w:val="231F1F"/>
          <w:w w:val="115"/>
        </w:rPr>
        <w:t>increases</w:t>
      </w:r>
      <w:r>
        <w:rPr>
          <w:color w:val="231F1F"/>
          <w:spacing w:val="-19"/>
          <w:w w:val="115"/>
        </w:rPr>
        <w:t> </w:t>
      </w:r>
      <w:r>
        <w:rPr>
          <w:color w:val="231F1F"/>
          <w:w w:val="115"/>
        </w:rPr>
        <w:t>plasma</w:t>
      </w:r>
      <w:r>
        <w:rPr>
          <w:color w:val="231F1F"/>
          <w:spacing w:val="-20"/>
          <w:w w:val="115"/>
        </w:rPr>
        <w:t> </w:t>
      </w:r>
      <w:r>
        <w:rPr>
          <w:color w:val="231F1F"/>
          <w:spacing w:val="-2"/>
          <w:w w:val="115"/>
        </w:rPr>
        <w:t>concentration </w:t>
      </w:r>
      <w:r>
        <w:rPr>
          <w:color w:val="231F1F"/>
          <w:w w:val="115"/>
        </w:rPr>
        <w:t>of </w:t>
      </w:r>
      <w:r>
        <w:rPr>
          <w:rFonts w:ascii="Arial" w:hAnsi="Arial"/>
          <w:color w:val="231F1F"/>
          <w:w w:val="355"/>
          <w:position w:val="1"/>
          <w:sz w:val="7"/>
        </w:rPr>
        <w:t>l </w:t>
      </w:r>
      <w:r>
        <w:rPr>
          <w:rFonts w:ascii="Calibri" w:hAnsi="Calibri"/>
          <w:color w:val="008356"/>
          <w:spacing w:val="4"/>
          <w:w w:val="115"/>
          <w:sz w:val="11"/>
        </w:rPr>
        <w:t>TIZANIDINE </w:t>
      </w:r>
      <w:r>
        <w:rPr>
          <w:color w:val="231F1F"/>
          <w:w w:val="115"/>
        </w:rPr>
        <w:t>(increased risk of toxicity)</w:t>
      </w:r>
      <w:r>
        <w:rPr>
          <w:rFonts w:ascii="Arial" w:hAnsi="Arial"/>
          <w:color w:val="231F1F"/>
          <w:w w:val="115"/>
        </w:rPr>
        <w:t>—</w:t>
      </w:r>
      <w:r>
        <w:rPr>
          <w:color w:val="231F1F"/>
          <w:w w:val="115"/>
        </w:rPr>
        <w:t>avoid concomitant</w:t>
      </w:r>
      <w:r>
        <w:rPr>
          <w:color w:val="231F1F"/>
          <w:spacing w:val="-5"/>
          <w:w w:val="115"/>
        </w:rPr>
        <w:t> </w:t>
      </w:r>
      <w:r>
        <w:rPr>
          <w:color w:val="231F1F"/>
          <w:w w:val="115"/>
        </w:rPr>
        <w:t>use</w:t>
      </w:r>
    </w:p>
    <w:p>
      <w:pPr>
        <w:pStyle w:val="BodyText"/>
        <w:spacing w:line="220" w:lineRule="auto" w:before="9"/>
        <w:ind w:left="286" w:right="389" w:hanging="100"/>
        <w:rPr>
          <w:rFonts w:ascii="Calibri" w:hAnsi="Calibri"/>
          <w:sz w:val="11"/>
        </w:rPr>
      </w:pPr>
      <w:r>
        <w:rPr>
          <w:rFonts w:ascii="Lucida Sans Unicode" w:hAnsi="Lucida Sans Unicode"/>
          <w:color w:val="A7A8AC"/>
          <w:w w:val="95"/>
          <w:sz w:val="10"/>
        </w:rPr>
        <w:t>▶ </w:t>
      </w:r>
      <w:r>
        <w:rPr>
          <w:rFonts w:ascii="Calibri" w:hAnsi="Calibri"/>
          <w:color w:val="231F1F"/>
          <w:w w:val="105"/>
        </w:rPr>
        <w:t>Parasympathomimetics: </w:t>
      </w:r>
      <w:r>
        <w:rPr>
          <w:color w:val="231F1F"/>
          <w:w w:val="105"/>
        </w:rPr>
        <w:t>paroxetine increases plasma concentration of </w:t>
      </w:r>
      <w:r>
        <w:rPr>
          <w:rFonts w:ascii="Calibri" w:hAnsi="Calibri"/>
          <w:color w:val="008356"/>
          <w:w w:val="105"/>
          <w:sz w:val="11"/>
        </w:rPr>
        <w:t>GALANTAMINE</w:t>
      </w:r>
    </w:p>
    <w:p>
      <w:pPr>
        <w:pStyle w:val="BodyText"/>
        <w:ind w:left="286" w:right="389" w:hanging="100"/>
      </w:pPr>
      <w:r>
        <w:rPr>
          <w:rFonts w:ascii="Arial"/>
          <w:color w:val="231F1F"/>
          <w:w w:val="295"/>
          <w:position w:val="1"/>
          <w:sz w:val="7"/>
        </w:rPr>
        <w:t>l</w:t>
      </w:r>
      <w:r>
        <w:rPr>
          <w:rFonts w:ascii="Arial"/>
          <w:color w:val="231F1F"/>
          <w:spacing w:val="-44"/>
          <w:w w:val="295"/>
          <w:position w:val="1"/>
          <w:sz w:val="7"/>
        </w:rPr>
        <w:t> </w:t>
      </w:r>
      <w:r>
        <w:rPr>
          <w:rFonts w:ascii="Calibri"/>
          <w:color w:val="231F1F"/>
          <w:w w:val="115"/>
        </w:rPr>
        <w:t>Pentamidine</w:t>
      </w:r>
      <w:r>
        <w:rPr>
          <w:rFonts w:ascii="Calibri"/>
          <w:color w:val="231F1F"/>
          <w:spacing w:val="-21"/>
          <w:w w:val="115"/>
        </w:rPr>
        <w:t> </w:t>
      </w:r>
      <w:r>
        <w:rPr>
          <w:rFonts w:ascii="Calibri"/>
          <w:color w:val="231F1F"/>
          <w:w w:val="115"/>
        </w:rPr>
        <w:t>Isetionate:</w:t>
      </w:r>
      <w:r>
        <w:rPr>
          <w:rFonts w:ascii="Calibri"/>
          <w:color w:val="231F1F"/>
          <w:spacing w:val="-21"/>
          <w:w w:val="115"/>
        </w:rPr>
        <w:t> </w:t>
      </w:r>
      <w:r>
        <w:rPr>
          <w:color w:val="231F1F"/>
          <w:w w:val="115"/>
        </w:rPr>
        <w:t>manufacturer</w:t>
      </w:r>
      <w:r>
        <w:rPr>
          <w:color w:val="231F1F"/>
          <w:spacing w:val="-25"/>
          <w:w w:val="115"/>
        </w:rPr>
        <w:t> </w:t>
      </w:r>
      <w:r>
        <w:rPr>
          <w:color w:val="231F1F"/>
          <w:w w:val="115"/>
        </w:rPr>
        <w:t>of</w:t>
      </w:r>
      <w:r>
        <w:rPr>
          <w:color w:val="231F1F"/>
          <w:spacing w:val="-23"/>
          <w:w w:val="115"/>
        </w:rPr>
        <w:t> </w:t>
      </w:r>
      <w:r>
        <w:rPr>
          <w:color w:val="231F1F"/>
          <w:w w:val="115"/>
        </w:rPr>
        <w:t>citalopram</w:t>
      </w:r>
      <w:r>
        <w:rPr>
          <w:color w:val="231F1F"/>
          <w:spacing w:val="-25"/>
          <w:w w:val="115"/>
        </w:rPr>
        <w:t> </w:t>
      </w:r>
      <w:r>
        <w:rPr>
          <w:color w:val="231F1F"/>
          <w:spacing w:val="-5"/>
          <w:w w:val="115"/>
        </w:rPr>
        <w:t>and </w:t>
      </w:r>
      <w:r>
        <w:rPr>
          <w:color w:val="231F1F"/>
          <w:w w:val="115"/>
        </w:rPr>
        <w:t>escitalopram</w:t>
      </w:r>
      <w:r>
        <w:rPr>
          <w:color w:val="231F1F"/>
          <w:spacing w:val="-6"/>
          <w:w w:val="115"/>
        </w:rPr>
        <w:t> </w:t>
      </w:r>
      <w:r>
        <w:rPr>
          <w:color w:val="231F1F"/>
          <w:w w:val="115"/>
        </w:rPr>
        <w:t>advises</w:t>
      </w:r>
      <w:r>
        <w:rPr>
          <w:color w:val="231F1F"/>
          <w:spacing w:val="-5"/>
          <w:w w:val="115"/>
        </w:rPr>
        <w:t> </w:t>
      </w:r>
      <w:r>
        <w:rPr>
          <w:color w:val="231F1F"/>
          <w:w w:val="115"/>
        </w:rPr>
        <w:t>avoid</w:t>
      </w:r>
      <w:r>
        <w:rPr>
          <w:color w:val="231F1F"/>
          <w:spacing w:val="-5"/>
          <w:w w:val="115"/>
        </w:rPr>
        <w:t> </w:t>
      </w:r>
      <w:r>
        <w:rPr>
          <w:color w:val="231F1F"/>
          <w:w w:val="115"/>
        </w:rPr>
        <w:t>concomitant</w:t>
      </w:r>
      <w:r>
        <w:rPr>
          <w:color w:val="231F1F"/>
          <w:spacing w:val="-6"/>
          <w:w w:val="115"/>
        </w:rPr>
        <w:t> </w:t>
      </w:r>
      <w:r>
        <w:rPr>
          <w:color w:val="231F1F"/>
          <w:w w:val="115"/>
        </w:rPr>
        <w:t>use</w:t>
      </w:r>
      <w:r>
        <w:rPr>
          <w:color w:val="231F1F"/>
          <w:spacing w:val="-5"/>
          <w:w w:val="115"/>
        </w:rPr>
        <w:t> </w:t>
      </w:r>
      <w:r>
        <w:rPr>
          <w:color w:val="231F1F"/>
          <w:w w:val="115"/>
        </w:rPr>
        <w:t>with</w:t>
      </w:r>
    </w:p>
    <w:p>
      <w:pPr>
        <w:spacing w:line="141" w:lineRule="exact" w:before="4"/>
        <w:ind w:left="286" w:right="0" w:firstLine="0"/>
        <w:jc w:val="left"/>
        <w:rPr>
          <w:sz w:val="12"/>
        </w:rPr>
      </w:pPr>
      <w:r>
        <w:rPr>
          <w:rFonts w:ascii="Arial"/>
          <w:color w:val="231F1F"/>
          <w:w w:val="355"/>
          <w:position w:val="1"/>
          <w:sz w:val="7"/>
        </w:rPr>
        <w:t>l </w:t>
      </w:r>
      <w:r>
        <w:rPr>
          <w:rFonts w:ascii="Calibri"/>
          <w:color w:val="008356"/>
          <w:spacing w:val="4"/>
          <w:w w:val="110"/>
          <w:sz w:val="11"/>
        </w:rPr>
        <w:t>PENTAMIDINE ISETIONATE </w:t>
      </w:r>
      <w:r>
        <w:rPr>
          <w:color w:val="231F1F"/>
          <w:w w:val="110"/>
          <w:sz w:val="12"/>
        </w:rPr>
        <w:t>(risk of ventricular arrhythmias)</w:t>
      </w:r>
    </w:p>
    <w:p>
      <w:pPr>
        <w:pStyle w:val="BodyText"/>
        <w:ind w:left="286" w:right="144" w:hanging="100"/>
      </w:pP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231F1F"/>
          <w:w w:val="115"/>
        </w:rPr>
        <w:t>Pirfenidone:</w:t>
      </w:r>
      <w:r>
        <w:rPr>
          <w:rFonts w:ascii="Calibri" w:hAnsi="Calibri"/>
          <w:color w:val="231F1F"/>
          <w:spacing w:val="-9"/>
          <w:w w:val="115"/>
        </w:rPr>
        <w:t> </w:t>
      </w:r>
      <w:r>
        <w:rPr>
          <w:color w:val="231F1F"/>
          <w:w w:val="115"/>
        </w:rPr>
        <w:t>fluvoxamine</w:t>
      </w:r>
      <w:r>
        <w:rPr>
          <w:color w:val="231F1F"/>
          <w:spacing w:val="-11"/>
          <w:w w:val="115"/>
        </w:rPr>
        <w:t> </w:t>
      </w:r>
      <w:r>
        <w:rPr>
          <w:color w:val="231F1F"/>
          <w:w w:val="115"/>
        </w:rPr>
        <w:t>increases</w:t>
      </w:r>
      <w:r>
        <w:rPr>
          <w:color w:val="231F1F"/>
          <w:spacing w:val="-13"/>
          <w:w w:val="115"/>
        </w:rPr>
        <w:t> </w:t>
      </w:r>
      <w:r>
        <w:rPr>
          <w:color w:val="231F1F"/>
          <w:w w:val="115"/>
        </w:rPr>
        <w:t>plasma</w:t>
      </w:r>
      <w:r>
        <w:rPr>
          <w:color w:val="231F1F"/>
          <w:spacing w:val="-11"/>
          <w:w w:val="115"/>
        </w:rPr>
        <w:t> </w:t>
      </w:r>
      <w:r>
        <w:rPr>
          <w:color w:val="231F1F"/>
          <w:w w:val="115"/>
        </w:rPr>
        <w:t>concentration</w:t>
      </w:r>
      <w:r>
        <w:rPr>
          <w:color w:val="231F1F"/>
          <w:spacing w:val="-13"/>
          <w:w w:val="115"/>
        </w:rPr>
        <w:t> </w:t>
      </w:r>
      <w:r>
        <w:rPr>
          <w:color w:val="231F1F"/>
          <w:spacing w:val="-8"/>
          <w:w w:val="115"/>
        </w:rPr>
        <w:t>of </w:t>
      </w:r>
      <w:r>
        <w:rPr>
          <w:rFonts w:ascii="Arial" w:hAnsi="Arial"/>
          <w:color w:val="231F1F"/>
          <w:w w:val="115"/>
          <w:position w:val="1"/>
          <w:sz w:val="7"/>
        </w:rPr>
        <w:t>l</w:t>
      </w:r>
      <w:r>
        <w:rPr>
          <w:rFonts w:ascii="Arial" w:hAnsi="Arial"/>
          <w:color w:val="231F1F"/>
          <w:spacing w:val="-9"/>
          <w:w w:val="115"/>
          <w:position w:val="1"/>
          <w:sz w:val="7"/>
        </w:rPr>
        <w:t> </w:t>
      </w:r>
      <w:r>
        <w:rPr>
          <w:rFonts w:ascii="Calibri" w:hAnsi="Calibri"/>
          <w:color w:val="008356"/>
          <w:spacing w:val="2"/>
          <w:w w:val="115"/>
          <w:sz w:val="11"/>
        </w:rPr>
        <w:t>PIRFENIDONE</w:t>
      </w:r>
      <w:r>
        <w:rPr>
          <w:rFonts w:ascii="Arial" w:hAnsi="Arial"/>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8"/>
          <w:w w:val="115"/>
        </w:rPr>
        <w:t> </w:t>
      </w:r>
      <w:r>
        <w:rPr>
          <w:color w:val="231F1F"/>
          <w:w w:val="115"/>
        </w:rPr>
        <w:t>pirfenidone</w:t>
      </w:r>
      <w:r>
        <w:rPr>
          <w:color w:val="231F1F"/>
          <w:spacing w:val="-19"/>
          <w:w w:val="115"/>
        </w:rPr>
        <w:t> </w:t>
      </w:r>
      <w:r>
        <w:rPr>
          <w:color w:val="231F1F"/>
          <w:w w:val="115"/>
        </w:rPr>
        <w:t>advises</w:t>
      </w:r>
      <w:r>
        <w:rPr>
          <w:color w:val="231F1F"/>
          <w:spacing w:val="-20"/>
          <w:w w:val="115"/>
        </w:rPr>
        <w:t> </w:t>
      </w:r>
      <w:r>
        <w:rPr>
          <w:color w:val="231F1F"/>
          <w:w w:val="115"/>
        </w:rPr>
        <w:t>avoid </w:t>
      </w:r>
      <w:r>
        <w:rPr>
          <w:color w:val="231F1F"/>
          <w:w w:val="120"/>
        </w:rPr>
        <w:t>concomitant</w:t>
      </w:r>
      <w:r>
        <w:rPr>
          <w:color w:val="231F1F"/>
          <w:spacing w:val="-7"/>
          <w:w w:val="120"/>
        </w:rPr>
        <w:t> </w:t>
      </w:r>
      <w:r>
        <w:rPr>
          <w:color w:val="231F1F"/>
          <w:w w:val="120"/>
        </w:rPr>
        <w:t>use</w:t>
      </w:r>
    </w:p>
    <w:p>
      <w:pPr>
        <w:pStyle w:val="BodyText"/>
        <w:spacing w:before="1"/>
        <w:ind w:left="186"/>
      </w:pPr>
      <w:r>
        <w:rPr>
          <w:rFonts w:ascii="Arial"/>
          <w:color w:val="231F1F"/>
          <w:w w:val="355"/>
          <w:position w:val="1"/>
          <w:sz w:val="7"/>
        </w:rPr>
        <w:t>l </w:t>
      </w:r>
      <w:r>
        <w:rPr>
          <w:rFonts w:ascii="Calibri"/>
          <w:color w:val="231F1F"/>
          <w:w w:val="110"/>
        </w:rPr>
        <w:t>Pomalidomide: </w:t>
      </w:r>
      <w:r>
        <w:rPr>
          <w:color w:val="231F1F"/>
          <w:w w:val="110"/>
        </w:rPr>
        <w:t>fluvoxamine increases plasma concentration of</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POMALIDOMIDE</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Ranolazine: </w:t>
      </w:r>
      <w:r>
        <w:rPr>
          <w:color w:val="231F1F"/>
          <w:w w:val="105"/>
        </w:rPr>
        <w:t>paroxetine increases plasma concentration of</w:t>
      </w:r>
    </w:p>
    <w:p>
      <w:pPr>
        <w:spacing w:line="130" w:lineRule="exact" w:before="0"/>
        <w:ind w:left="286" w:right="0" w:firstLine="0"/>
        <w:jc w:val="left"/>
        <w:rPr>
          <w:rFonts w:ascii="Calibri"/>
          <w:sz w:val="11"/>
        </w:rPr>
      </w:pPr>
      <w:r>
        <w:rPr>
          <w:rFonts w:ascii="Calibri"/>
          <w:color w:val="008356"/>
          <w:sz w:val="11"/>
        </w:rPr>
        <w:t>RANOLAZINE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Roflumilast: </w:t>
      </w:r>
      <w:r>
        <w:rPr>
          <w:color w:val="231F1F"/>
          <w:w w:val="105"/>
        </w:rPr>
        <w:t>fluvoxamine inhibits the metabolism of</w:t>
      </w:r>
    </w:p>
    <w:p>
      <w:pPr>
        <w:spacing w:line="130" w:lineRule="exact" w:before="0"/>
        <w:ind w:left="286" w:right="0" w:firstLine="0"/>
        <w:jc w:val="left"/>
        <w:rPr>
          <w:rFonts w:ascii="Calibri"/>
          <w:sz w:val="11"/>
        </w:rPr>
      </w:pPr>
      <w:r>
        <w:rPr>
          <w:rFonts w:ascii="Calibri"/>
          <w:color w:val="008356"/>
          <w:sz w:val="11"/>
        </w:rPr>
        <w:t>ROFLUMILAST</w:t>
      </w:r>
    </w:p>
    <w:p>
      <w:pPr>
        <w:pStyle w:val="BodyText"/>
        <w:spacing w:line="154" w:lineRule="exact"/>
        <w:ind w:left="186"/>
      </w:pPr>
      <w:r>
        <w:rPr>
          <w:rFonts w:ascii="Lucida Sans Unicode" w:hAnsi="Lucida Sans Unicode"/>
          <w:color w:val="A7A8AC"/>
          <w:w w:val="95"/>
          <w:sz w:val="10"/>
        </w:rPr>
        <w:t>▶ </w:t>
      </w:r>
      <w:r>
        <w:rPr>
          <w:rFonts w:ascii="Calibri" w:hAnsi="Calibri"/>
          <w:color w:val="231F1F"/>
        </w:rPr>
        <w:t>Sympathomimetics: </w:t>
      </w:r>
      <w:r>
        <w:rPr>
          <w:color w:val="231F1F"/>
        </w:rPr>
        <w:t>metabolism of SSRIs possibly inhibited by</w:t>
      </w:r>
    </w:p>
    <w:p>
      <w:pPr>
        <w:spacing w:line="131" w:lineRule="exact" w:before="0"/>
        <w:ind w:left="286" w:right="0" w:firstLine="0"/>
        <w:jc w:val="left"/>
        <w:rPr>
          <w:rFonts w:ascii="Calibri"/>
          <w:sz w:val="11"/>
        </w:rPr>
      </w:pPr>
      <w:r>
        <w:rPr>
          <w:rFonts w:ascii="Calibri"/>
          <w:color w:val="008356"/>
          <w:sz w:val="11"/>
        </w:rPr>
        <w:t>METHYLPHENIDATE</w:t>
      </w:r>
    </w:p>
    <w:p>
      <w:pPr>
        <w:pStyle w:val="BodyText"/>
        <w:spacing w:line="242" w:lineRule="auto"/>
        <w:ind w:left="286" w:right="71" w:hanging="100"/>
        <w:jc w:val="both"/>
      </w:pPr>
      <w:r>
        <w:rPr>
          <w:rFonts w:ascii="Arial"/>
          <w:color w:val="231F1F"/>
          <w:w w:val="115"/>
          <w:position w:val="1"/>
          <w:sz w:val="7"/>
        </w:rPr>
        <w:t>l</w:t>
      </w:r>
      <w:r>
        <w:rPr>
          <w:rFonts w:ascii="Arial"/>
          <w:color w:val="231F1F"/>
          <w:spacing w:val="4"/>
          <w:w w:val="115"/>
          <w:position w:val="1"/>
          <w:sz w:val="7"/>
        </w:rPr>
        <w:t> </w:t>
      </w:r>
      <w:r>
        <w:rPr>
          <w:rFonts w:ascii="Calibri"/>
          <w:color w:val="231F1F"/>
          <w:w w:val="115"/>
        </w:rPr>
        <w:t>Theophylline:</w:t>
      </w:r>
      <w:r>
        <w:rPr>
          <w:rFonts w:ascii="Calibri"/>
          <w:color w:val="231F1F"/>
          <w:spacing w:val="-10"/>
          <w:w w:val="115"/>
        </w:rPr>
        <w:t> </w:t>
      </w:r>
      <w:r>
        <w:rPr>
          <w:color w:val="231F1F"/>
          <w:w w:val="115"/>
        </w:rPr>
        <w:t>fluvoxamine</w:t>
      </w:r>
      <w:r>
        <w:rPr>
          <w:color w:val="231F1F"/>
          <w:spacing w:val="-14"/>
          <w:w w:val="115"/>
        </w:rPr>
        <w:t> </w:t>
      </w:r>
      <w:r>
        <w:rPr>
          <w:color w:val="231F1F"/>
          <w:w w:val="115"/>
        </w:rPr>
        <w:t>increases</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 </w:t>
      </w:r>
      <w:r>
        <w:rPr>
          <w:rFonts w:ascii="Arial"/>
          <w:color w:val="231F1F"/>
          <w:w w:val="115"/>
          <w:position w:val="1"/>
          <w:sz w:val="7"/>
        </w:rPr>
        <w:t>l</w:t>
      </w:r>
      <w:r>
        <w:rPr>
          <w:rFonts w:ascii="Arial"/>
          <w:color w:val="231F1F"/>
          <w:spacing w:val="-4"/>
          <w:w w:val="115"/>
          <w:position w:val="1"/>
          <w:sz w:val="7"/>
        </w:rPr>
        <w:t> </w:t>
      </w:r>
      <w:r>
        <w:rPr>
          <w:rFonts w:ascii="Calibri"/>
          <w:color w:val="008356"/>
          <w:spacing w:val="4"/>
          <w:w w:val="115"/>
          <w:sz w:val="11"/>
        </w:rPr>
        <w:t>THEOPHYLLINE</w:t>
      </w:r>
      <w:r>
        <w:rPr>
          <w:rFonts w:ascii="Calibri"/>
          <w:color w:val="008356"/>
          <w:spacing w:val="-3"/>
          <w:w w:val="115"/>
          <w:sz w:val="11"/>
        </w:rPr>
        <w:t> </w:t>
      </w:r>
      <w:r>
        <w:rPr>
          <w:color w:val="231F1F"/>
          <w:w w:val="115"/>
        </w:rPr>
        <w:t>(concomitant</w:t>
      </w:r>
      <w:r>
        <w:rPr>
          <w:color w:val="231F1F"/>
          <w:spacing w:val="-13"/>
          <w:w w:val="115"/>
        </w:rPr>
        <w:t> </w:t>
      </w:r>
      <w:r>
        <w:rPr>
          <w:color w:val="231F1F"/>
          <w:w w:val="115"/>
        </w:rPr>
        <w:t>use</w:t>
      </w:r>
      <w:r>
        <w:rPr>
          <w:color w:val="231F1F"/>
          <w:spacing w:val="-13"/>
          <w:w w:val="115"/>
        </w:rPr>
        <w:t> </w:t>
      </w:r>
      <w:r>
        <w:rPr>
          <w:color w:val="231F1F"/>
          <w:w w:val="115"/>
        </w:rPr>
        <w:t>should</w:t>
      </w:r>
      <w:r>
        <w:rPr>
          <w:color w:val="231F1F"/>
          <w:spacing w:val="-14"/>
          <w:w w:val="115"/>
        </w:rPr>
        <w:t> </w:t>
      </w:r>
      <w:r>
        <w:rPr>
          <w:color w:val="231F1F"/>
          <w:w w:val="115"/>
        </w:rPr>
        <w:t>usually</w:t>
      </w:r>
      <w:r>
        <w:rPr>
          <w:color w:val="231F1F"/>
          <w:spacing w:val="-14"/>
          <w:w w:val="115"/>
        </w:rPr>
        <w:t> </w:t>
      </w:r>
      <w:r>
        <w:rPr>
          <w:color w:val="231F1F"/>
          <w:w w:val="115"/>
        </w:rPr>
        <w:t>be</w:t>
      </w:r>
      <w:r>
        <w:rPr>
          <w:color w:val="231F1F"/>
          <w:spacing w:val="-13"/>
          <w:w w:val="115"/>
        </w:rPr>
        <w:t> </w:t>
      </w:r>
      <w:r>
        <w:rPr>
          <w:color w:val="231F1F"/>
          <w:w w:val="115"/>
        </w:rPr>
        <w:t>avoided, </w:t>
      </w:r>
      <w:r>
        <w:rPr>
          <w:color w:val="231F1F"/>
          <w:w w:val="120"/>
        </w:rPr>
        <w:t>but</w:t>
      </w:r>
      <w:r>
        <w:rPr>
          <w:color w:val="231F1F"/>
          <w:spacing w:val="-21"/>
          <w:w w:val="120"/>
        </w:rPr>
        <w:t> </w:t>
      </w:r>
      <w:r>
        <w:rPr>
          <w:color w:val="231F1F"/>
          <w:w w:val="120"/>
        </w:rPr>
        <w:t>where</w:t>
      </w:r>
      <w:r>
        <w:rPr>
          <w:color w:val="231F1F"/>
          <w:spacing w:val="-21"/>
          <w:w w:val="120"/>
        </w:rPr>
        <w:t> </w:t>
      </w:r>
      <w:r>
        <w:rPr>
          <w:color w:val="231F1F"/>
          <w:w w:val="120"/>
        </w:rPr>
        <w:t>not</w:t>
      </w:r>
      <w:r>
        <w:rPr>
          <w:color w:val="231F1F"/>
          <w:spacing w:val="-20"/>
          <w:w w:val="120"/>
        </w:rPr>
        <w:t> </w:t>
      </w:r>
      <w:r>
        <w:rPr>
          <w:color w:val="231F1F"/>
          <w:w w:val="120"/>
        </w:rPr>
        <w:t>possible</w:t>
      </w:r>
      <w:r>
        <w:rPr>
          <w:color w:val="231F1F"/>
          <w:spacing w:val="-21"/>
          <w:w w:val="120"/>
        </w:rPr>
        <w:t> </w:t>
      </w:r>
      <w:r>
        <w:rPr>
          <w:color w:val="231F1F"/>
          <w:w w:val="120"/>
        </w:rPr>
        <w:t>halve</w:t>
      </w:r>
      <w:r>
        <w:rPr>
          <w:color w:val="231F1F"/>
          <w:spacing w:val="-20"/>
          <w:w w:val="120"/>
        </w:rPr>
        <w:t> </w:t>
      </w:r>
      <w:r>
        <w:rPr>
          <w:color w:val="231F1F"/>
          <w:w w:val="120"/>
        </w:rPr>
        <w:t>theophylline</w:t>
      </w:r>
      <w:r>
        <w:rPr>
          <w:color w:val="231F1F"/>
          <w:spacing w:val="-22"/>
          <w:w w:val="120"/>
        </w:rPr>
        <w:t> </w:t>
      </w:r>
      <w:r>
        <w:rPr>
          <w:color w:val="231F1F"/>
          <w:w w:val="120"/>
        </w:rPr>
        <w:t>dose</w:t>
      </w:r>
      <w:r>
        <w:rPr>
          <w:color w:val="231F1F"/>
          <w:spacing w:val="-20"/>
          <w:w w:val="120"/>
        </w:rPr>
        <w:t> </w:t>
      </w:r>
      <w:r>
        <w:rPr>
          <w:color w:val="231F1F"/>
          <w:w w:val="120"/>
        </w:rPr>
        <w:t>and</w:t>
      </w:r>
      <w:r>
        <w:rPr>
          <w:color w:val="231F1F"/>
          <w:spacing w:val="-21"/>
          <w:w w:val="120"/>
        </w:rPr>
        <w:t> </w:t>
      </w:r>
      <w:r>
        <w:rPr>
          <w:color w:val="231F1F"/>
          <w:w w:val="120"/>
        </w:rPr>
        <w:t>monitor plasma-theophylline</w:t>
      </w:r>
      <w:r>
        <w:rPr>
          <w:color w:val="231F1F"/>
          <w:spacing w:val="-7"/>
          <w:w w:val="120"/>
        </w:rPr>
        <w:t> </w:t>
      </w:r>
      <w:r>
        <w:rPr>
          <w:color w:val="231F1F"/>
          <w:w w:val="120"/>
        </w:rPr>
        <w:t>concentration)</w:t>
      </w:r>
    </w:p>
    <w:p>
      <w:pPr>
        <w:pStyle w:val="BodyText"/>
        <w:spacing w:line="220" w:lineRule="auto" w:before="10"/>
        <w:ind w:left="286" w:right="92" w:hanging="100"/>
        <w:rPr>
          <w:rFonts w:ascii="Calibri" w:hAnsi="Calibri"/>
          <w:sz w:val="11"/>
        </w:rPr>
      </w:pPr>
      <w:r>
        <w:rPr>
          <w:rFonts w:ascii="Lucida Sans Unicode" w:hAnsi="Lucida Sans Unicode"/>
          <w:color w:val="A7A8AC"/>
          <w:w w:val="95"/>
          <w:sz w:val="10"/>
        </w:rPr>
        <w:t>▶ </w:t>
      </w:r>
      <w:r>
        <w:rPr>
          <w:rFonts w:ascii="Calibri" w:hAnsi="Calibri"/>
          <w:color w:val="231F1F"/>
          <w:w w:val="110"/>
        </w:rPr>
        <w:t>Ticagrelor: </w:t>
      </w:r>
      <w:r>
        <w:rPr>
          <w:color w:val="231F1F"/>
          <w:w w:val="110"/>
        </w:rPr>
        <w:t>possible increased risk of bleeding when citalopram, paroxetine or sertraline given with </w:t>
      </w:r>
      <w:r>
        <w:rPr>
          <w:rFonts w:ascii="Calibri" w:hAnsi="Calibri"/>
          <w:color w:val="008356"/>
          <w:w w:val="110"/>
          <w:sz w:val="11"/>
        </w:rPr>
        <w:t>TICAGRELOR</w:t>
      </w:r>
    </w:p>
    <w:p>
      <w:pPr>
        <w:pStyle w:val="BodyText"/>
        <w:spacing w:line="237" w:lineRule="auto"/>
        <w:ind w:left="286" w:right="92"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citalopram, escitalopram and sertraline increased by </w:t>
      </w:r>
      <w:r>
        <w:rPr>
          <w:rFonts w:ascii="Calibri" w:hAnsi="Calibri"/>
          <w:color w:val="008356"/>
          <w:w w:val="110"/>
          <w:sz w:val="11"/>
        </w:rPr>
        <w:t>CIMETIDINE</w:t>
      </w:r>
      <w:r>
        <w:rPr>
          <w:color w:val="231F1F"/>
          <w:w w:val="110"/>
        </w:rPr>
        <w:t>; fluvoxamine possibly increases plasma concentration of </w:t>
      </w:r>
      <w:r>
        <w:rPr>
          <w:rFonts w:ascii="Calibri" w:hAnsi="Calibri"/>
          <w:color w:val="008356"/>
          <w:w w:val="110"/>
          <w:sz w:val="11"/>
        </w:rPr>
        <w:t>LANSOPRAZOLE</w:t>
      </w:r>
      <w:r>
        <w:rPr>
          <w:color w:val="231F1F"/>
          <w:w w:val="110"/>
        </w:rPr>
        <w:t>; plasma concentration of escitalopram increased by </w:t>
      </w:r>
      <w:r>
        <w:rPr>
          <w:rFonts w:ascii="Calibri" w:hAnsi="Calibri"/>
          <w:color w:val="008356"/>
          <w:w w:val="110"/>
          <w:sz w:val="11"/>
        </w:rPr>
        <w:t>OMEPRAZOLE</w:t>
      </w:r>
    </w:p>
    <w:p>
      <w:pPr>
        <w:pStyle w:val="BodyText"/>
        <w:spacing w:line="244" w:lineRule="auto" w:before="10"/>
        <w:ind w:left="286" w:right="663" w:hanging="100"/>
      </w:pPr>
      <w:r>
        <w:rPr>
          <w:rFonts w:ascii="Trebuchet MS"/>
          <w:color w:val="008356"/>
          <w:w w:val="110"/>
        </w:rPr>
        <w:t>Antidepressants,</w:t>
      </w:r>
      <w:r>
        <w:rPr>
          <w:rFonts w:ascii="Trebuchet MS"/>
          <w:color w:val="008356"/>
          <w:spacing w:val="-25"/>
          <w:w w:val="110"/>
        </w:rPr>
        <w:t> </w:t>
      </w:r>
      <w:r>
        <w:rPr>
          <w:rFonts w:ascii="Trebuchet MS"/>
          <w:color w:val="008356"/>
          <w:w w:val="110"/>
        </w:rPr>
        <w:t>SSRI</w:t>
      </w:r>
      <w:r>
        <w:rPr>
          <w:rFonts w:ascii="Trebuchet MS"/>
          <w:color w:val="008356"/>
          <w:spacing w:val="-25"/>
          <w:w w:val="110"/>
        </w:rPr>
        <w:t> </w:t>
      </w:r>
      <w:r>
        <w:rPr>
          <w:rFonts w:ascii="Trebuchet MS"/>
          <w:color w:val="008356"/>
          <w:w w:val="110"/>
        </w:rPr>
        <w:t>(related)</w:t>
      </w:r>
      <w:r>
        <w:rPr>
          <w:rFonts w:ascii="Trebuchet MS"/>
          <w:color w:val="008356"/>
          <w:spacing w:val="-10"/>
          <w:w w:val="110"/>
        </w:rPr>
        <w:t> </w:t>
      </w:r>
      <w:r>
        <w:rPr>
          <w:i/>
          <w:color w:val="231F1F"/>
          <w:w w:val="110"/>
        </w:rPr>
        <w:t>see</w:t>
      </w:r>
      <w:r>
        <w:rPr>
          <w:i/>
          <w:color w:val="231F1F"/>
          <w:spacing w:val="-18"/>
          <w:w w:val="110"/>
        </w:rPr>
        <w:t> </w:t>
      </w:r>
      <w:r>
        <w:rPr>
          <w:color w:val="231F1F"/>
          <w:w w:val="110"/>
        </w:rPr>
        <w:t>Duloxetine</w:t>
      </w:r>
      <w:r>
        <w:rPr>
          <w:color w:val="231F1F"/>
          <w:spacing w:val="-18"/>
          <w:w w:val="110"/>
        </w:rPr>
        <w:t> </w:t>
      </w:r>
      <w:r>
        <w:rPr>
          <w:color w:val="231F1F"/>
          <w:spacing w:val="-5"/>
          <w:w w:val="110"/>
        </w:rPr>
        <w:t>and </w:t>
      </w:r>
      <w:r>
        <w:rPr>
          <w:color w:val="231F1F"/>
          <w:w w:val="110"/>
        </w:rPr>
        <w:t>Venlafaxine</w:t>
      </w:r>
    </w:p>
    <w:p>
      <w:pPr>
        <w:pStyle w:val="BodyText"/>
        <w:spacing w:before="9"/>
        <w:ind w:left="186"/>
        <w:rPr>
          <w:rFonts w:ascii="Trebuchet MS"/>
        </w:rPr>
      </w:pPr>
      <w:r>
        <w:rPr>
          <w:rFonts w:ascii="Trebuchet MS"/>
          <w:color w:val="008356"/>
        </w:rPr>
        <w:t>Antidepressants, Tricyclic</w:t>
      </w:r>
    </w:p>
    <w:p>
      <w:pPr>
        <w:spacing w:line="220" w:lineRule="auto" w:before="1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tricyclics antagonise hypotensive effect of </w:t>
      </w:r>
      <w:r>
        <w:rPr>
          <w:rFonts w:ascii="Calibri" w:hAnsi="Calibri"/>
          <w:color w:val="008356"/>
          <w:w w:val="105"/>
          <w:sz w:val="11"/>
        </w:rPr>
        <w:t>ADRENERGIC NEURONE BLOCKERS</w:t>
      </w:r>
    </w:p>
    <w:p>
      <w:pPr>
        <w:pStyle w:val="BodyText"/>
        <w:spacing w:line="146" w:lineRule="exact"/>
        <w:ind w:left="186"/>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Alcohol:</w:t>
      </w:r>
      <w:r>
        <w:rPr>
          <w:rFonts w:ascii="Calibri"/>
          <w:color w:val="231F1F"/>
          <w:spacing w:val="-8"/>
          <w:w w:val="115"/>
        </w:rPr>
        <w:t> </w:t>
      </w:r>
      <w:r>
        <w:rPr>
          <w:color w:val="231F1F"/>
          <w:w w:val="115"/>
        </w:rPr>
        <w:t>increased</w:t>
      </w:r>
      <w:r>
        <w:rPr>
          <w:color w:val="231F1F"/>
          <w:spacing w:val="-12"/>
          <w:w w:val="115"/>
        </w:rPr>
        <w:t> </w:t>
      </w:r>
      <w:r>
        <w:rPr>
          <w:color w:val="231F1F"/>
          <w:w w:val="115"/>
        </w:rPr>
        <w:t>sedative</w:t>
      </w:r>
      <w:r>
        <w:rPr>
          <w:color w:val="231F1F"/>
          <w:spacing w:val="-12"/>
          <w:w w:val="115"/>
        </w:rPr>
        <w:t> </w:t>
      </w:r>
      <w:r>
        <w:rPr>
          <w:color w:val="231F1F"/>
          <w:w w:val="115"/>
        </w:rPr>
        <w:t>effect</w:t>
      </w:r>
      <w:r>
        <w:rPr>
          <w:color w:val="231F1F"/>
          <w:spacing w:val="-11"/>
          <w:w w:val="115"/>
        </w:rPr>
        <w:t> </w:t>
      </w:r>
      <w:r>
        <w:rPr>
          <w:color w:val="231F1F"/>
          <w:w w:val="115"/>
        </w:rPr>
        <w:t>when</w:t>
      </w:r>
      <w:r>
        <w:rPr>
          <w:color w:val="231F1F"/>
          <w:spacing w:val="-12"/>
          <w:w w:val="115"/>
        </w:rPr>
        <w:t> </w:t>
      </w:r>
      <w:r>
        <w:rPr>
          <w:color w:val="231F1F"/>
          <w:w w:val="115"/>
        </w:rPr>
        <w:t>tricyclics</w:t>
      </w:r>
      <w:r>
        <w:rPr>
          <w:color w:val="231F1F"/>
          <w:spacing w:val="-11"/>
          <w:w w:val="115"/>
        </w:rPr>
        <w:t> </w:t>
      </w:r>
      <w:r>
        <w:rPr>
          <w:color w:val="231F1F"/>
          <w:w w:val="115"/>
        </w:rPr>
        <w:t>given</w:t>
      </w:r>
      <w:r>
        <w:rPr>
          <w:color w:val="231F1F"/>
          <w:spacing w:val="-12"/>
          <w:w w:val="115"/>
        </w:rPr>
        <w:t> </w:t>
      </w:r>
      <w:r>
        <w:rPr>
          <w:color w:val="231F1F"/>
          <w:w w:val="115"/>
        </w:rPr>
        <w:t>with</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ALCOHOL</w:t>
      </w:r>
    </w:p>
    <w:p>
      <w:pPr>
        <w:spacing w:line="220" w:lineRule="auto" w:before="7"/>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Alpha</w:t>
      </w:r>
      <w:r>
        <w:rPr>
          <w:rFonts w:ascii="Calibri" w:hAnsi="Calibri"/>
          <w:color w:val="231F1F"/>
          <w:w w:val="105"/>
          <w:sz w:val="12"/>
          <w:vertAlign w:val="subscript"/>
        </w:rPr>
        <w:t>2</w:t>
      </w:r>
      <w:r>
        <w:rPr>
          <w:rFonts w:ascii="Calibri" w:hAnsi="Calibri"/>
          <w:color w:val="231F1F"/>
          <w:w w:val="105"/>
          <w:sz w:val="12"/>
          <w:vertAlign w:val="baseline"/>
        </w:rPr>
        <w:t>-adrenoceptor Stimulants: </w:t>
      </w:r>
      <w:r>
        <w:rPr>
          <w:color w:val="231F1F"/>
          <w:w w:val="105"/>
          <w:sz w:val="12"/>
          <w:vertAlign w:val="baseline"/>
        </w:rPr>
        <w:t>avoidance of tricyclics advised by manufacturer of </w:t>
      </w:r>
      <w:r>
        <w:rPr>
          <w:rFonts w:ascii="Calibri" w:hAnsi="Calibri"/>
          <w:color w:val="008356"/>
          <w:w w:val="105"/>
          <w:sz w:val="11"/>
          <w:vertAlign w:val="baseline"/>
        </w:rPr>
        <w:t>APRACLONIDINE </w:t>
      </w:r>
      <w:r>
        <w:rPr>
          <w:color w:val="231F1F"/>
          <w:w w:val="105"/>
          <w:sz w:val="12"/>
          <w:vertAlign w:val="baseline"/>
        </w:rPr>
        <w:t>and </w:t>
      </w:r>
      <w:r>
        <w:rPr>
          <w:rFonts w:ascii="Calibri" w:hAnsi="Calibri"/>
          <w:color w:val="008356"/>
          <w:w w:val="105"/>
          <w:sz w:val="11"/>
          <w:vertAlign w:val="baseline"/>
        </w:rPr>
        <w:t>BRIMONIDINE</w:t>
      </w:r>
    </w:p>
    <w:p>
      <w:pPr>
        <w:pStyle w:val="BodyText"/>
        <w:spacing w:line="237" w:lineRule="auto" w:before="2"/>
        <w:ind w:left="286" w:right="389" w:hanging="100"/>
        <w:rPr>
          <w:rFonts w:ascii="Calibri" w:hAnsi="Calibri"/>
          <w:sz w:val="11"/>
        </w:rPr>
      </w:pPr>
      <w:r>
        <w:rPr>
          <w:rFonts w:ascii="Lucida Sans Unicode" w:hAnsi="Lucida Sans Unicode"/>
          <w:color w:val="A7A8AC"/>
          <w:w w:val="95"/>
          <w:sz w:val="10"/>
        </w:rPr>
        <w:t>▶ </w:t>
      </w:r>
      <w:r>
        <w:rPr>
          <w:rFonts w:ascii="Calibri" w:hAnsi="Calibri"/>
          <w:color w:val="231F1F"/>
          <w:w w:val="105"/>
        </w:rPr>
        <w:t>Anaesthetics, General: </w:t>
      </w:r>
      <w:r>
        <w:rPr>
          <w:color w:val="231F1F"/>
          <w:w w:val="105"/>
        </w:rPr>
        <w:t>increased risk of arrhythmias and hypotension when tricyclics given with </w:t>
      </w:r>
      <w:r>
        <w:rPr>
          <w:rFonts w:ascii="Calibri" w:hAnsi="Calibri"/>
          <w:color w:val="008356"/>
          <w:w w:val="105"/>
          <w:sz w:val="11"/>
        </w:rPr>
        <w:t>GENERAL ANAESTHETICS</w:t>
      </w:r>
    </w:p>
    <w:p>
      <w:pPr>
        <w:pStyle w:val="BodyText"/>
        <w:spacing w:line="242" w:lineRule="auto"/>
        <w:ind w:left="286"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0"/>
        </w:rPr>
        <w:t>Analgesics: </w:t>
      </w:r>
      <w:r>
        <w:rPr>
          <w:color w:val="231F1F"/>
          <w:w w:val="110"/>
        </w:rPr>
        <w:t>increased risk of CNS toxicity when tricyclics </w:t>
      </w:r>
      <w:r>
        <w:rPr>
          <w:color w:val="231F1F"/>
          <w:spacing w:val="-4"/>
          <w:w w:val="110"/>
        </w:rPr>
        <w:t>given </w:t>
      </w:r>
      <w:r>
        <w:rPr>
          <w:color w:val="231F1F"/>
          <w:w w:val="110"/>
        </w:rPr>
        <w:t>with </w:t>
      </w:r>
      <w:r>
        <w:rPr>
          <w:rFonts w:ascii="Arial"/>
          <w:color w:val="231F1F"/>
          <w:w w:val="355"/>
          <w:position w:val="1"/>
          <w:sz w:val="7"/>
        </w:rPr>
        <w:t>l </w:t>
      </w:r>
      <w:r>
        <w:rPr>
          <w:rFonts w:ascii="Calibri"/>
          <w:color w:val="008356"/>
          <w:spacing w:val="4"/>
          <w:w w:val="110"/>
          <w:sz w:val="11"/>
        </w:rPr>
        <w:t>TRAMADOL</w:t>
      </w:r>
      <w:r>
        <w:rPr>
          <w:color w:val="231F1F"/>
          <w:spacing w:val="4"/>
          <w:w w:val="110"/>
        </w:rPr>
        <w:t>; </w:t>
      </w:r>
      <w:r>
        <w:rPr>
          <w:color w:val="231F1F"/>
          <w:w w:val="110"/>
        </w:rPr>
        <w:t>side-effects possibly increased when tricyclics given with </w:t>
      </w:r>
      <w:r>
        <w:rPr>
          <w:rFonts w:ascii="Calibri"/>
          <w:color w:val="008356"/>
          <w:spacing w:val="4"/>
          <w:w w:val="110"/>
          <w:sz w:val="11"/>
        </w:rPr>
        <w:t>NEFOPAM</w:t>
      </w:r>
      <w:r>
        <w:rPr>
          <w:color w:val="231F1F"/>
          <w:spacing w:val="4"/>
          <w:w w:val="110"/>
        </w:rPr>
        <w:t>; </w:t>
      </w:r>
      <w:r>
        <w:rPr>
          <w:color w:val="231F1F"/>
          <w:w w:val="110"/>
        </w:rPr>
        <w:t>sedative effects possibly increased when tricyclics given with </w:t>
      </w:r>
      <w:r>
        <w:rPr>
          <w:rFonts w:ascii="Calibri"/>
          <w:color w:val="008356"/>
          <w:spacing w:val="4"/>
          <w:w w:val="110"/>
          <w:sz w:val="11"/>
        </w:rPr>
        <w:t>OPIOID ANALGESICS</w:t>
      </w:r>
    </w:p>
    <w:p>
      <w:pPr>
        <w:pStyle w:val="BodyText"/>
        <w:spacing w:line="244" w:lineRule="auto"/>
        <w:ind w:left="286" w:right="13" w:hanging="100"/>
        <w:rPr>
          <w:rFonts w:ascii="Calibri" w:hAnsi="Calibri"/>
          <w:sz w:val="11"/>
        </w:rPr>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w:t>
      </w:r>
      <w:r>
        <w:rPr>
          <w:color w:val="231F1F"/>
          <w:spacing w:val="-11"/>
          <w:w w:val="110"/>
        </w:rPr>
        <w:t> </w:t>
      </w:r>
      <w:r>
        <w:rPr>
          <w:color w:val="231F1F"/>
          <w:w w:val="110"/>
        </w:rPr>
        <w:t>tricyclics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AMIODARONE</w:t>
      </w:r>
      <w:r>
        <w:rPr>
          <w:rFonts w:ascii="Arial" w:hAnsi="Arial"/>
          <w:color w:val="231F1F"/>
          <w:spacing w:val="3"/>
          <w:w w:val="110"/>
        </w:rPr>
        <w:t>—</w:t>
      </w:r>
      <w:r>
        <w:rPr>
          <w:color w:val="231F1F"/>
          <w:spacing w:val="3"/>
          <w:w w:val="110"/>
        </w:rPr>
        <w:t>avoid</w:t>
      </w:r>
      <w:r>
        <w:rPr>
          <w:color w:val="231F1F"/>
          <w:spacing w:val="-11"/>
          <w:w w:val="110"/>
        </w:rPr>
        <w:t> </w:t>
      </w:r>
      <w:r>
        <w:rPr>
          <w:color w:val="231F1F"/>
          <w:w w:val="110"/>
        </w:rPr>
        <w:t>concomitant use; increased risk of ventricular arrhythmias when tricyclics given with </w:t>
      </w:r>
      <w:r>
        <w:rPr>
          <w:rFonts w:ascii="Arial" w:hAnsi="Arial"/>
          <w:color w:val="231F1F"/>
          <w:w w:val="355"/>
          <w:position w:val="1"/>
          <w:sz w:val="7"/>
        </w:rPr>
        <w:t>l </w:t>
      </w:r>
      <w:r>
        <w:rPr>
          <w:rFonts w:ascii="Calibri" w:hAnsi="Calibri"/>
          <w:color w:val="008356"/>
          <w:spacing w:val="4"/>
          <w:w w:val="110"/>
          <w:sz w:val="11"/>
        </w:rPr>
        <w:t>DISOPYRAMIDE </w:t>
      </w:r>
      <w:r>
        <w:rPr>
          <w:color w:val="231F1F"/>
          <w:w w:val="110"/>
        </w:rPr>
        <w:t>or </w:t>
      </w:r>
      <w:r>
        <w:rPr>
          <w:rFonts w:ascii="Arial" w:hAnsi="Arial"/>
          <w:color w:val="231F1F"/>
          <w:w w:val="355"/>
          <w:position w:val="1"/>
          <w:sz w:val="7"/>
        </w:rPr>
        <w:t>l </w:t>
      </w:r>
      <w:r>
        <w:rPr>
          <w:rFonts w:ascii="Calibri" w:hAnsi="Calibri"/>
          <w:color w:val="008356"/>
          <w:spacing w:val="4"/>
          <w:w w:val="110"/>
          <w:sz w:val="11"/>
        </w:rPr>
        <w:t>FLECAINIDE</w:t>
      </w:r>
      <w:r>
        <w:rPr>
          <w:color w:val="231F1F"/>
          <w:spacing w:val="4"/>
          <w:w w:val="110"/>
        </w:rPr>
        <w:t>; </w:t>
      </w:r>
      <w:r>
        <w:rPr>
          <w:color w:val="231F1F"/>
          <w:w w:val="110"/>
        </w:rPr>
        <w:t>avoidance of tricyclics</w:t>
      </w:r>
      <w:r>
        <w:rPr>
          <w:color w:val="231F1F"/>
          <w:spacing w:val="-7"/>
          <w:w w:val="110"/>
        </w:rPr>
        <w:t> </w:t>
      </w:r>
      <w:r>
        <w:rPr>
          <w:color w:val="231F1F"/>
          <w:w w:val="110"/>
        </w:rPr>
        <w:t>advised</w:t>
      </w:r>
      <w:r>
        <w:rPr>
          <w:color w:val="231F1F"/>
          <w:spacing w:val="-8"/>
          <w:w w:val="110"/>
        </w:rPr>
        <w:t> </w:t>
      </w:r>
      <w:r>
        <w:rPr>
          <w:color w:val="231F1F"/>
          <w:w w:val="110"/>
        </w:rPr>
        <w:t>by</w:t>
      </w:r>
      <w:r>
        <w:rPr>
          <w:color w:val="231F1F"/>
          <w:spacing w:val="-6"/>
          <w:w w:val="110"/>
        </w:rPr>
        <w:t> </w:t>
      </w:r>
      <w:r>
        <w:rPr>
          <w:color w:val="231F1F"/>
          <w:w w:val="110"/>
        </w:rPr>
        <w:t>manufacturer</w:t>
      </w:r>
      <w:r>
        <w:rPr>
          <w:color w:val="231F1F"/>
          <w:spacing w:val="-7"/>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DRONEDARONE </w:t>
      </w:r>
      <w:r>
        <w:rPr>
          <w:color w:val="231F1F"/>
          <w:w w:val="110"/>
        </w:rPr>
        <w:t>(risk</w:t>
      </w:r>
      <w:r>
        <w:rPr>
          <w:color w:val="231F1F"/>
          <w:spacing w:val="-7"/>
          <w:w w:val="110"/>
        </w:rPr>
        <w:t> </w:t>
      </w:r>
      <w:r>
        <w:rPr>
          <w:color w:val="231F1F"/>
          <w:w w:val="110"/>
        </w:rPr>
        <w:t>of ventricular arrhythmias); increased risk of arrhythmias when tricyclics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0"/>
          <w:sz w:val="11"/>
        </w:rPr>
        <w:t>PROPAFENONE</w:t>
      </w:r>
    </w:p>
    <w:p>
      <w:pPr>
        <w:pStyle w:val="BodyText"/>
        <w:spacing w:line="139" w:lineRule="exact"/>
        <w:ind w:left="186"/>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Antibacterials:</w:t>
      </w:r>
      <w:r>
        <w:rPr>
          <w:rFonts w:ascii="Calibri"/>
          <w:color w:val="231F1F"/>
          <w:spacing w:val="-12"/>
          <w:w w:val="115"/>
        </w:rPr>
        <w:t> </w:t>
      </w:r>
      <w:r>
        <w:rPr>
          <w:color w:val="231F1F"/>
          <w:w w:val="115"/>
        </w:rPr>
        <w:t>increased</w:t>
      </w:r>
      <w:r>
        <w:rPr>
          <w:color w:val="231F1F"/>
          <w:spacing w:val="-14"/>
          <w:w w:val="115"/>
        </w:rPr>
        <w:t> </w:t>
      </w:r>
      <w:r>
        <w:rPr>
          <w:color w:val="231F1F"/>
          <w:w w:val="115"/>
        </w:rPr>
        <w:t>risk</w:t>
      </w:r>
      <w:r>
        <w:rPr>
          <w:color w:val="231F1F"/>
          <w:spacing w:val="-15"/>
          <w:w w:val="115"/>
        </w:rPr>
        <w:t> </w:t>
      </w:r>
      <w:r>
        <w:rPr>
          <w:color w:val="231F1F"/>
          <w:w w:val="115"/>
        </w:rPr>
        <w:t>of</w:t>
      </w:r>
      <w:r>
        <w:rPr>
          <w:color w:val="231F1F"/>
          <w:spacing w:val="-14"/>
          <w:w w:val="115"/>
        </w:rPr>
        <w:t> </w:t>
      </w:r>
      <w:r>
        <w:rPr>
          <w:color w:val="231F1F"/>
          <w:w w:val="115"/>
        </w:rPr>
        <w:t>ventricular</w:t>
      </w:r>
      <w:r>
        <w:rPr>
          <w:color w:val="231F1F"/>
          <w:spacing w:val="-15"/>
          <w:w w:val="115"/>
        </w:rPr>
        <w:t> </w:t>
      </w:r>
      <w:r>
        <w:rPr>
          <w:color w:val="231F1F"/>
          <w:w w:val="115"/>
        </w:rPr>
        <w:t>arrhythmias</w:t>
      </w:r>
      <w:r>
        <w:rPr>
          <w:color w:val="231F1F"/>
          <w:spacing w:val="-15"/>
          <w:w w:val="115"/>
        </w:rPr>
        <w:t> </w:t>
      </w:r>
      <w:r>
        <w:rPr>
          <w:color w:val="231F1F"/>
          <w:w w:val="115"/>
        </w:rPr>
        <w:t>when</w:t>
      </w:r>
    </w:p>
    <w:p>
      <w:pPr>
        <w:pStyle w:val="BodyText"/>
        <w:spacing w:line="247" w:lineRule="auto"/>
        <w:ind w:left="286" w:right="22"/>
      </w:pPr>
      <w:r>
        <w:rPr>
          <w:color w:val="231F1F"/>
          <w:w w:val="110"/>
        </w:rPr>
        <w:t>tricyclics</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w:t>
      </w:r>
      <w:r>
        <w:rPr>
          <w:color w:val="231F1F"/>
          <w:spacing w:val="-8"/>
          <w:w w:val="110"/>
        </w:rPr>
        <w:t> </w:t>
      </w:r>
      <w:r>
        <w:rPr>
          <w:color w:val="231F1F"/>
          <w:w w:val="110"/>
        </w:rPr>
        <w:t>concomitant</w:t>
      </w:r>
      <w:r>
        <w:rPr>
          <w:color w:val="231F1F"/>
          <w:spacing w:val="-8"/>
          <w:w w:val="110"/>
        </w:rPr>
        <w:t> </w:t>
      </w:r>
      <w:r>
        <w:rPr>
          <w:color w:val="231F1F"/>
          <w:w w:val="110"/>
        </w:rPr>
        <w:t>use; possible increased risk of ventricular arrhythmias when tricyclics that prolong the QT interval given</w:t>
      </w:r>
      <w:r>
        <w:rPr>
          <w:color w:val="231F1F"/>
          <w:spacing w:val="6"/>
          <w:w w:val="110"/>
        </w:rPr>
        <w:t> </w:t>
      </w:r>
      <w:r>
        <w:rPr>
          <w:color w:val="231F1F"/>
          <w:w w:val="110"/>
        </w:rPr>
        <w:t>with</w:t>
      </w:r>
    </w:p>
    <w:p>
      <w:pPr>
        <w:spacing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DELAMANID</w:t>
      </w:r>
      <w:r>
        <w:rPr>
          <w:color w:val="231F1F"/>
          <w:w w:val="110"/>
          <w:sz w:val="12"/>
        </w:rPr>
        <w:t>; possible increased risk of ventricular arrhythmias when tricyclics given with </w:t>
      </w:r>
      <w:r>
        <w:rPr>
          <w:rFonts w:ascii="Arial"/>
          <w:color w:val="231F1F"/>
          <w:w w:val="355"/>
          <w:position w:val="1"/>
          <w:sz w:val="7"/>
        </w:rPr>
        <w:t>l </w:t>
      </w:r>
      <w:r>
        <w:rPr>
          <w:rFonts w:ascii="Calibri"/>
          <w:color w:val="008356"/>
          <w:w w:val="110"/>
          <w:sz w:val="11"/>
        </w:rPr>
        <w:t>TELITHROMYCIN</w:t>
      </w:r>
    </w:p>
    <w:p>
      <w:pPr>
        <w:pStyle w:val="BodyText"/>
        <w:ind w:left="286" w:right="759" w:hanging="100"/>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Anticoagulants:</w:t>
      </w:r>
      <w:r>
        <w:rPr>
          <w:rFonts w:ascii="Calibri"/>
          <w:color w:val="231F1F"/>
          <w:spacing w:val="-17"/>
          <w:w w:val="115"/>
        </w:rPr>
        <w:t> </w:t>
      </w:r>
      <w:r>
        <w:rPr>
          <w:color w:val="231F1F"/>
          <w:w w:val="115"/>
        </w:rPr>
        <w:t>tricyclics</w:t>
      </w:r>
      <w:r>
        <w:rPr>
          <w:color w:val="231F1F"/>
          <w:spacing w:val="-21"/>
          <w:w w:val="115"/>
        </w:rPr>
        <w:t> </w:t>
      </w:r>
      <w:r>
        <w:rPr>
          <w:color w:val="231F1F"/>
          <w:w w:val="115"/>
        </w:rPr>
        <w:t>may</w:t>
      </w:r>
      <w:r>
        <w:rPr>
          <w:color w:val="231F1F"/>
          <w:spacing w:val="-20"/>
          <w:w w:val="115"/>
        </w:rPr>
        <w:t> </w:t>
      </w:r>
      <w:r>
        <w:rPr>
          <w:color w:val="231F1F"/>
          <w:w w:val="115"/>
        </w:rPr>
        <w:t>enhance</w:t>
      </w:r>
      <w:r>
        <w:rPr>
          <w:color w:val="231F1F"/>
          <w:spacing w:val="-20"/>
          <w:w w:val="115"/>
        </w:rPr>
        <w:t> </w:t>
      </w:r>
      <w:r>
        <w:rPr>
          <w:color w:val="231F1F"/>
          <w:w w:val="115"/>
        </w:rPr>
        <w:t>or</w:t>
      </w:r>
      <w:r>
        <w:rPr>
          <w:color w:val="231F1F"/>
          <w:spacing w:val="-21"/>
          <w:w w:val="115"/>
        </w:rPr>
        <w:t> </w:t>
      </w:r>
      <w:r>
        <w:rPr>
          <w:color w:val="231F1F"/>
          <w:spacing w:val="-3"/>
          <w:w w:val="115"/>
        </w:rPr>
        <w:t>reduce </w:t>
      </w:r>
      <w:r>
        <w:rPr>
          <w:color w:val="231F1F"/>
          <w:w w:val="115"/>
        </w:rPr>
        <w:t>anticoagulant</w:t>
      </w:r>
      <w:r>
        <w:rPr>
          <w:color w:val="231F1F"/>
          <w:spacing w:val="-8"/>
          <w:w w:val="115"/>
        </w:rPr>
        <w:t> </w:t>
      </w:r>
      <w:r>
        <w:rPr>
          <w:color w:val="231F1F"/>
          <w:w w:val="115"/>
        </w:rPr>
        <w:t>effect</w:t>
      </w:r>
      <w:r>
        <w:rPr>
          <w:color w:val="231F1F"/>
          <w:spacing w:val="-9"/>
          <w:w w:val="115"/>
        </w:rPr>
        <w:t> </w:t>
      </w:r>
      <w:r>
        <w:rPr>
          <w:color w:val="231F1F"/>
          <w:w w:val="115"/>
        </w:rPr>
        <w:t>of</w:t>
      </w:r>
      <w:r>
        <w:rPr>
          <w:color w:val="231F1F"/>
          <w:spacing w:val="-7"/>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5"/>
          <w:w w:val="115"/>
          <w:sz w:val="11"/>
        </w:rPr>
        <w:t>COUMARINS</w:t>
      </w:r>
    </w:p>
    <w:p>
      <w:pPr>
        <w:pStyle w:val="BodyText"/>
        <w:ind w:left="286" w:right="196" w:hanging="100"/>
      </w:pPr>
      <w:r>
        <w:rPr>
          <w:rFonts w:ascii="Arial"/>
          <w:color w:val="231F1F"/>
          <w:w w:val="355"/>
          <w:position w:val="1"/>
          <w:sz w:val="7"/>
        </w:rPr>
        <w:t>l </w:t>
      </w:r>
      <w:r>
        <w:rPr>
          <w:rFonts w:ascii="Calibri"/>
          <w:color w:val="231F1F"/>
          <w:w w:val="110"/>
        </w:rPr>
        <w:t>Antidepressants: </w:t>
      </w:r>
      <w:r>
        <w:rPr>
          <w:color w:val="231F1F"/>
          <w:w w:val="110"/>
        </w:rPr>
        <w:t>avoidance of tricyclics advised by manufacturer</w:t>
      </w:r>
      <w:r>
        <w:rPr>
          <w:color w:val="231F1F"/>
          <w:spacing w:val="-14"/>
          <w:w w:val="110"/>
        </w:rPr>
        <w:t> </w:t>
      </w:r>
      <w:r>
        <w:rPr>
          <w:color w:val="231F1F"/>
          <w:w w:val="110"/>
        </w:rPr>
        <w:t>of</w:t>
      </w:r>
      <w:r>
        <w:rPr>
          <w:color w:val="231F1F"/>
          <w:spacing w:val="-12"/>
          <w:w w:val="110"/>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CITALOPRAM</w:t>
      </w:r>
      <w:r>
        <w:rPr>
          <w:rFonts w:ascii="Calibri"/>
          <w:color w:val="008356"/>
          <w:spacing w:val="-3"/>
          <w:w w:val="110"/>
          <w:sz w:val="11"/>
        </w:rPr>
        <w:t> </w:t>
      </w:r>
      <w:r>
        <w:rPr>
          <w:color w:val="231F1F"/>
          <w:w w:val="110"/>
        </w:rPr>
        <w:t>and</w:t>
      </w:r>
      <w:r>
        <w:rPr>
          <w:color w:val="231F1F"/>
          <w:spacing w:val="-13"/>
          <w:w w:val="110"/>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ESCITALOPRAM</w:t>
      </w:r>
      <w:r>
        <w:rPr>
          <w:rFonts w:ascii="Calibri"/>
          <w:color w:val="008356"/>
          <w:spacing w:val="-4"/>
          <w:w w:val="110"/>
          <w:sz w:val="11"/>
        </w:rPr>
        <w:t> </w:t>
      </w:r>
      <w:r>
        <w:rPr>
          <w:color w:val="231F1F"/>
          <w:w w:val="110"/>
        </w:rPr>
        <w:t>(risk</w:t>
      </w:r>
      <w:r>
        <w:rPr>
          <w:color w:val="231F1F"/>
          <w:spacing w:val="-12"/>
          <w:w w:val="110"/>
        </w:rPr>
        <w:t> </w:t>
      </w:r>
      <w:r>
        <w:rPr>
          <w:color w:val="231F1F"/>
          <w:w w:val="110"/>
        </w:rPr>
        <w:t>of ventricular arrhythmias); possible increased</w:t>
      </w:r>
      <w:r>
        <w:rPr>
          <w:color w:val="231F1F"/>
          <w:spacing w:val="7"/>
          <w:w w:val="110"/>
        </w:rPr>
        <w:t> </w:t>
      </w:r>
      <w:r>
        <w:rPr>
          <w:color w:val="231F1F"/>
          <w:w w:val="110"/>
        </w:rPr>
        <w:t>serotonergic</w:t>
      </w:r>
    </w:p>
    <w:p>
      <w:pPr>
        <w:pStyle w:val="BodyText"/>
        <w:spacing w:before="8"/>
        <w:ind w:left="0"/>
        <w:rPr>
          <w:sz w:val="14"/>
        </w:rPr>
      </w:pPr>
      <w:r>
        <w:rPr/>
        <w:br w:type="column"/>
      </w:r>
      <w:r>
        <w:rPr>
          <w:sz w:val="14"/>
        </w:rPr>
      </w:r>
    </w:p>
    <w:p>
      <w:pPr>
        <w:pStyle w:val="BodyText"/>
        <w:ind w:left="182"/>
        <w:rPr>
          <w:rFonts w:ascii="Arial"/>
        </w:rPr>
      </w:pPr>
      <w:r>
        <w:rPr>
          <w:rFonts w:ascii="Arial"/>
          <w:color w:val="008356"/>
        </w:rPr>
        <w:t>Antidepressants, Tricyclic</w:t>
      </w:r>
    </w:p>
    <w:p>
      <w:pPr>
        <w:pStyle w:val="BodyText"/>
        <w:spacing w:line="146" w:lineRule="exact" w:before="5"/>
        <w:ind w:left="182"/>
        <w:rPr>
          <w:rFonts w:ascii="Calibri"/>
        </w:rPr>
      </w:pPr>
      <w:r>
        <w:rPr>
          <w:rFonts w:ascii="Arial"/>
          <w:color w:val="231F1F"/>
          <w:w w:val="355"/>
          <w:position w:val="1"/>
          <w:sz w:val="7"/>
        </w:rPr>
        <w:t>l </w:t>
      </w:r>
      <w:r>
        <w:rPr>
          <w:rFonts w:ascii="Calibri"/>
          <w:color w:val="231F1F"/>
          <w:w w:val="115"/>
        </w:rPr>
        <w:t>Antidepressants (continued)</w:t>
      </w:r>
    </w:p>
    <w:p>
      <w:pPr>
        <w:pStyle w:val="BodyText"/>
        <w:spacing w:line="247" w:lineRule="auto"/>
        <w:ind w:left="282" w:right="672"/>
      </w:pPr>
      <w:r>
        <w:rPr>
          <w:color w:val="231F1F"/>
          <w:w w:val="110"/>
        </w:rPr>
        <w:t>effects when amitriptyline or clomipramine given with </w:t>
      </w:r>
      <w:r>
        <w:rPr>
          <w:rFonts w:ascii="Calibri" w:hAnsi="Calibri"/>
          <w:color w:val="008356"/>
          <w:w w:val="110"/>
          <w:sz w:val="11"/>
        </w:rPr>
        <w:t>DULOXETINE</w:t>
      </w:r>
      <w:r>
        <w:rPr>
          <w:color w:val="231F1F"/>
          <w:w w:val="110"/>
        </w:rPr>
        <w:t>; increased risk of hypertension and CNS excitation when tricyclics given with </w:t>
      </w:r>
      <w:r>
        <w:rPr>
          <w:rFonts w:ascii="Arial" w:hAnsi="Arial"/>
          <w:color w:val="231F1F"/>
          <w:w w:val="355"/>
          <w:position w:val="1"/>
          <w:sz w:val="7"/>
        </w:rPr>
        <w:t>l </w:t>
      </w:r>
      <w:r>
        <w:rPr>
          <w:rFonts w:ascii="Calibri" w:hAnsi="Calibri"/>
          <w:color w:val="008356"/>
          <w:w w:val="110"/>
          <w:sz w:val="11"/>
        </w:rPr>
        <w:t>MAOIS</w:t>
      </w:r>
      <w:r>
        <w:rPr>
          <w:color w:val="231F1F"/>
          <w:w w:val="110"/>
        </w:rPr>
        <w:t>, tricyclics should not be started until 2 weeks after stopping MAOIs (3 weeks if starting clomipramine or imipramine), also MAOIs should not be started for at least 1</w:t>
      </w:r>
      <w:r>
        <w:rPr>
          <w:rFonts w:ascii="Arial" w:hAnsi="Arial"/>
          <w:color w:val="231F1F"/>
          <w:w w:val="110"/>
        </w:rPr>
        <w:t>–</w:t>
      </w:r>
      <w:r>
        <w:rPr>
          <w:color w:val="231F1F"/>
          <w:w w:val="110"/>
        </w:rPr>
        <w:t>2 weeks after stopping tricyclics (3 weeks in the case of clomipramine or imipramine); after stopping tricyclics do not start</w:t>
      </w:r>
    </w:p>
    <w:p>
      <w:pPr>
        <w:spacing w:line="242" w:lineRule="auto" w:before="3"/>
        <w:ind w:left="282" w:right="672" w:hanging="1"/>
        <w:jc w:val="left"/>
        <w:rPr>
          <w:rFonts w:ascii="Calibri" w:hAnsi="Calibri"/>
          <w:sz w:val="11"/>
        </w:rPr>
      </w:pPr>
      <w:r>
        <w:rPr>
          <w:rFonts w:ascii="Arial" w:hAnsi="Arial"/>
          <w:color w:val="231F1F"/>
          <w:w w:val="355"/>
          <w:position w:val="1"/>
          <w:sz w:val="7"/>
        </w:rPr>
        <w:t>l </w:t>
      </w:r>
      <w:r>
        <w:rPr>
          <w:rFonts w:ascii="Calibri" w:hAnsi="Calibri"/>
          <w:color w:val="008356"/>
          <w:w w:val="105"/>
          <w:sz w:val="11"/>
        </w:rPr>
        <w:t>MOCLOBEMIDE </w:t>
      </w:r>
      <w:r>
        <w:rPr>
          <w:color w:val="231F1F"/>
          <w:w w:val="105"/>
          <w:sz w:val="12"/>
        </w:rPr>
        <w:t>for </w:t>
      </w:r>
      <w:r>
        <w:rPr>
          <w:color w:val="231F1F"/>
          <w:w w:val="130"/>
          <w:sz w:val="12"/>
        </w:rPr>
        <w:t>at </w:t>
      </w:r>
      <w:r>
        <w:rPr>
          <w:color w:val="231F1F"/>
          <w:w w:val="105"/>
          <w:sz w:val="12"/>
        </w:rPr>
        <w:t>least 1 week; plasma concentration of some tricyclics increased by </w:t>
      </w:r>
      <w:r>
        <w:rPr>
          <w:rFonts w:ascii="Arial" w:hAnsi="Arial"/>
          <w:color w:val="231F1F"/>
          <w:w w:val="355"/>
          <w:position w:val="1"/>
          <w:sz w:val="7"/>
        </w:rPr>
        <w:t>l </w:t>
      </w:r>
      <w:r>
        <w:rPr>
          <w:rFonts w:ascii="Calibri" w:hAnsi="Calibri"/>
          <w:color w:val="008356"/>
          <w:w w:val="105"/>
          <w:sz w:val="11"/>
        </w:rPr>
        <w:t>SSRIS</w:t>
      </w:r>
      <w:r>
        <w:rPr>
          <w:color w:val="231F1F"/>
          <w:w w:val="105"/>
          <w:sz w:val="12"/>
        </w:rPr>
        <w:t>; plasma concentration of amitriptyline reduced by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pStyle w:val="BodyText"/>
        <w:spacing w:line="143" w:lineRule="exact"/>
        <w:ind w:left="182"/>
      </w:pPr>
      <w:r>
        <w:rPr>
          <w:rFonts w:ascii="Arial"/>
          <w:color w:val="231F1F"/>
          <w:w w:val="355"/>
          <w:position w:val="1"/>
          <w:sz w:val="7"/>
        </w:rPr>
        <w:t>l </w:t>
      </w:r>
      <w:r>
        <w:rPr>
          <w:rFonts w:ascii="Calibri"/>
          <w:color w:val="231F1F"/>
          <w:w w:val="115"/>
        </w:rPr>
        <w:t>Antiepileptics: </w:t>
      </w:r>
      <w:r>
        <w:rPr>
          <w:color w:val="231F1F"/>
          <w:w w:val="115"/>
        </w:rPr>
        <w:t>tricyclics antagonise anticonvulsant effect of</w:t>
      </w:r>
    </w:p>
    <w:p>
      <w:pPr>
        <w:spacing w:line="244" w:lineRule="auto" w:before="0"/>
        <w:ind w:left="282" w:right="544" w:firstLine="0"/>
        <w:jc w:val="left"/>
        <w:rPr>
          <w:sz w:val="12"/>
        </w:rPr>
      </w:pPr>
      <w:r>
        <w:rPr>
          <w:rFonts w:ascii="Arial"/>
          <w:color w:val="231F1F"/>
          <w:w w:val="355"/>
          <w:position w:val="1"/>
          <w:sz w:val="7"/>
        </w:rPr>
        <w:t>l </w:t>
      </w:r>
      <w:r>
        <w:rPr>
          <w:rFonts w:ascii="Calibri"/>
          <w:color w:val="008356"/>
          <w:spacing w:val="4"/>
          <w:w w:val="110"/>
          <w:sz w:val="11"/>
        </w:rPr>
        <w:t>ANTIEPILEPTICS </w:t>
      </w:r>
      <w:r>
        <w:rPr>
          <w:color w:val="231F1F"/>
          <w:w w:val="110"/>
          <w:sz w:val="12"/>
        </w:rPr>
        <w:t>(convulsive threshold lowered); metabolism of tricyclics accelerated by </w:t>
      </w:r>
      <w:r>
        <w:rPr>
          <w:rFonts w:ascii="Arial"/>
          <w:color w:val="231F1F"/>
          <w:w w:val="355"/>
          <w:position w:val="1"/>
          <w:sz w:val="7"/>
        </w:rPr>
        <w:t>l </w:t>
      </w:r>
      <w:r>
        <w:rPr>
          <w:rFonts w:ascii="Calibri"/>
          <w:color w:val="008356"/>
          <w:spacing w:val="4"/>
          <w:w w:val="110"/>
          <w:sz w:val="11"/>
        </w:rPr>
        <w:t>CARBAMAZEPINE </w:t>
      </w:r>
      <w:r>
        <w:rPr>
          <w:color w:val="231F1F"/>
          <w:w w:val="110"/>
          <w:sz w:val="12"/>
        </w:rPr>
        <w:t>(reduced plasma concentration and reduced effect); plasma concentration of tricyclics possibly reduced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FOSPHENYTOIN </w:t>
      </w:r>
      <w:r>
        <w:rPr>
          <w:color w:val="231F1F"/>
          <w:w w:val="110"/>
          <w:sz w:val="12"/>
        </w:rPr>
        <w:t>and</w:t>
      </w:r>
    </w:p>
    <w:p>
      <w:pPr>
        <w:spacing w:line="242" w:lineRule="auto" w:before="0"/>
        <w:ind w:left="282" w:right="611" w:firstLine="0"/>
        <w:jc w:val="left"/>
        <w:rPr>
          <w:sz w:val="12"/>
        </w:rPr>
      </w:pPr>
      <w:r>
        <w:rPr>
          <w:rFonts w:ascii="Arial"/>
          <w:color w:val="231F1F"/>
          <w:w w:val="355"/>
          <w:position w:val="1"/>
          <w:sz w:val="7"/>
        </w:rPr>
        <w:t>l </w:t>
      </w:r>
      <w:r>
        <w:rPr>
          <w:rFonts w:ascii="Calibri"/>
          <w:color w:val="008356"/>
          <w:w w:val="110"/>
          <w:sz w:val="11"/>
        </w:rPr>
        <w:t>PHENYTOIN</w:t>
      </w:r>
      <w:r>
        <w:rPr>
          <w:color w:val="231F1F"/>
          <w:w w:val="110"/>
          <w:sz w:val="12"/>
        </w:rPr>
        <w:t>; metabolism of tricyclics possibly accelerated by </w:t>
      </w:r>
      <w:r>
        <w:rPr>
          <w:rFonts w:ascii="Arial"/>
          <w:color w:val="231F1F"/>
          <w:w w:val="355"/>
          <w:position w:val="1"/>
          <w:sz w:val="7"/>
        </w:rPr>
        <w:t>l </w:t>
      </w:r>
      <w:r>
        <w:rPr>
          <w:rFonts w:ascii="Calibri"/>
          <w:color w:val="008356"/>
          <w:w w:val="110"/>
          <w:sz w:val="11"/>
        </w:rPr>
        <w:t>PHENOBARBITAL </w:t>
      </w:r>
      <w:r>
        <w:rPr>
          <w:color w:val="231F1F"/>
          <w:w w:val="110"/>
          <w:sz w:val="12"/>
        </w:rPr>
        <w:t>and </w:t>
      </w:r>
      <w:r>
        <w:rPr>
          <w:rFonts w:ascii="Arial"/>
          <w:color w:val="231F1F"/>
          <w:w w:val="355"/>
          <w:position w:val="1"/>
          <w:sz w:val="7"/>
        </w:rPr>
        <w:t>l </w:t>
      </w:r>
      <w:r>
        <w:rPr>
          <w:rFonts w:ascii="Calibri"/>
          <w:color w:val="008356"/>
          <w:w w:val="110"/>
          <w:sz w:val="11"/>
        </w:rPr>
        <w:t>PRIMIDONE </w:t>
      </w:r>
      <w:r>
        <w:rPr>
          <w:color w:val="231F1F"/>
          <w:w w:val="110"/>
          <w:sz w:val="12"/>
        </w:rPr>
        <w:t>(reduced plasma concentration)</w:t>
      </w:r>
    </w:p>
    <w:p>
      <w:pPr>
        <w:pStyle w:val="BodyText"/>
        <w:spacing w:line="230" w:lineRule="auto" w:before="5"/>
        <w:ind w:left="282" w:right="67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amitriptyline and nortriptyline possibly increased by </w:t>
      </w:r>
      <w:r>
        <w:rPr>
          <w:rFonts w:ascii="Calibri" w:hAnsi="Calibri"/>
          <w:color w:val="008356"/>
          <w:w w:val="110"/>
          <w:sz w:val="11"/>
        </w:rPr>
        <w:t>FLUCONAZOLE</w:t>
      </w:r>
      <w:r>
        <w:rPr>
          <w:color w:val="231F1F"/>
          <w:w w:val="110"/>
        </w:rPr>
        <w:t>; plasma concentration of tricyclics possibly increased by </w:t>
      </w:r>
      <w:r>
        <w:rPr>
          <w:rFonts w:ascii="Calibri" w:hAnsi="Calibri"/>
          <w:color w:val="008356"/>
          <w:w w:val="110"/>
          <w:sz w:val="11"/>
        </w:rPr>
        <w:t>TERBINAFINE</w:t>
      </w:r>
    </w:p>
    <w:p>
      <w:pPr>
        <w:pStyle w:val="BodyText"/>
        <w:spacing w:line="220" w:lineRule="auto" w:before="9"/>
        <w:ind w:left="282" w:right="67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Antihistamines: </w:t>
      </w:r>
      <w:r>
        <w:rPr>
          <w:color w:val="231F1F"/>
          <w:w w:val="110"/>
        </w:rPr>
        <w:t>increased antimuscarinic and sedative effects when tricyclics given with </w:t>
      </w:r>
      <w:r>
        <w:rPr>
          <w:rFonts w:ascii="Calibri" w:hAnsi="Calibri"/>
          <w:color w:val="008356"/>
          <w:w w:val="110"/>
          <w:sz w:val="11"/>
        </w:rPr>
        <w:t>ANTIHISTAMINES</w:t>
      </w:r>
    </w:p>
    <w:p>
      <w:pPr>
        <w:spacing w:line="247" w:lineRule="auto" w:before="0"/>
        <w:ind w:left="282" w:right="97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10"/>
          <w:position w:val="1"/>
          <w:sz w:val="7"/>
        </w:rPr>
        <w:t>l</w:t>
      </w:r>
      <w:r>
        <w:rPr>
          <w:rFonts w:ascii="Arial"/>
          <w:color w:val="231F1F"/>
          <w:spacing w:val="-50"/>
          <w:w w:val="310"/>
          <w:position w:val="1"/>
          <w:sz w:val="7"/>
        </w:rPr>
        <w:t> </w:t>
      </w:r>
      <w:r>
        <w:rPr>
          <w:rFonts w:ascii="Calibri"/>
          <w:color w:val="008356"/>
          <w:spacing w:val="4"/>
          <w:w w:val="110"/>
          <w:sz w:val="11"/>
        </w:rPr>
        <w:t>ARTEMETHER</w:t>
      </w:r>
      <w:r>
        <w:rPr>
          <w:rFonts w:ascii="Calibri"/>
          <w:color w:val="008356"/>
          <w:spacing w:val="-17"/>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WITH </w:t>
      </w:r>
      <w:r>
        <w:rPr>
          <w:rFonts w:ascii="Calibri"/>
          <w:color w:val="008356"/>
          <w:spacing w:val="5"/>
          <w:w w:val="110"/>
          <w:sz w:val="11"/>
        </w:rPr>
        <w:t>PIPERAQUINE</w:t>
      </w:r>
    </w:p>
    <w:p>
      <w:pPr>
        <w:pStyle w:val="BodyText"/>
        <w:spacing w:line="220" w:lineRule="auto" w:before="2"/>
        <w:ind w:left="282" w:right="68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increased risk of antimuscarinic side-effects when tricyclics given with </w:t>
      </w:r>
      <w:r>
        <w:rPr>
          <w:rFonts w:ascii="Calibri" w:hAnsi="Calibri"/>
          <w:color w:val="008356"/>
          <w:w w:val="110"/>
          <w:sz w:val="11"/>
        </w:rPr>
        <w:t>ANTIMUSCARINICS</w:t>
      </w:r>
    </w:p>
    <w:p>
      <w:pPr>
        <w:spacing w:before="0"/>
        <w:ind w:left="282" w:right="1342" w:hanging="100"/>
        <w:jc w:val="left"/>
        <w:rPr>
          <w:sz w:val="12"/>
        </w:rPr>
      </w:pPr>
      <w:r>
        <w:rPr>
          <w:rFonts w:ascii="Arial"/>
          <w:color w:val="231F1F"/>
          <w:w w:val="285"/>
          <w:position w:val="1"/>
          <w:sz w:val="7"/>
        </w:rPr>
        <w:t>l</w:t>
      </w:r>
      <w:r>
        <w:rPr>
          <w:rFonts w:ascii="Arial"/>
          <w:color w:val="231F1F"/>
          <w:spacing w:val="-43"/>
          <w:w w:val="285"/>
          <w:position w:val="1"/>
          <w:sz w:val="7"/>
        </w:rPr>
        <w:t> </w:t>
      </w:r>
      <w:r>
        <w:rPr>
          <w:rFonts w:ascii="Calibri"/>
          <w:color w:val="231F1F"/>
          <w:w w:val="115"/>
          <w:sz w:val="12"/>
        </w:rPr>
        <w:t>Antipsychotics:</w:t>
      </w:r>
      <w:r>
        <w:rPr>
          <w:rFonts w:ascii="Calibri"/>
          <w:color w:val="231F1F"/>
          <w:spacing w:val="-21"/>
          <w:w w:val="115"/>
          <w:sz w:val="12"/>
        </w:rPr>
        <w:t> </w:t>
      </w:r>
      <w:r>
        <w:rPr>
          <w:color w:val="231F1F"/>
          <w:w w:val="115"/>
          <w:sz w:val="12"/>
        </w:rPr>
        <w:t>avoidance</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tricyclics</w:t>
      </w:r>
      <w:r>
        <w:rPr>
          <w:color w:val="231F1F"/>
          <w:spacing w:val="-24"/>
          <w:w w:val="115"/>
          <w:sz w:val="12"/>
        </w:rPr>
        <w:t> </w:t>
      </w:r>
      <w:r>
        <w:rPr>
          <w:color w:val="231F1F"/>
          <w:w w:val="115"/>
          <w:sz w:val="12"/>
        </w:rPr>
        <w:t>advised</w:t>
      </w:r>
      <w:r>
        <w:rPr>
          <w:color w:val="231F1F"/>
          <w:spacing w:val="-24"/>
          <w:w w:val="115"/>
          <w:sz w:val="12"/>
        </w:rPr>
        <w:t> </w:t>
      </w:r>
      <w:r>
        <w:rPr>
          <w:color w:val="231F1F"/>
          <w:spacing w:val="-7"/>
          <w:w w:val="115"/>
          <w:sz w:val="12"/>
        </w:rPr>
        <w:t>by </w:t>
      </w:r>
      <w:r>
        <w:rPr>
          <w:color w:val="231F1F"/>
          <w:w w:val="115"/>
          <w:sz w:val="12"/>
        </w:rPr>
        <w:t>manufacturer</w:t>
      </w:r>
      <w:r>
        <w:rPr>
          <w:color w:val="231F1F"/>
          <w:spacing w:val="-25"/>
          <w:w w:val="115"/>
          <w:sz w:val="12"/>
        </w:rPr>
        <w:t> </w:t>
      </w:r>
      <w:r>
        <w:rPr>
          <w:color w:val="231F1F"/>
          <w:w w:val="115"/>
          <w:sz w:val="12"/>
        </w:rPr>
        <w:t>of</w:t>
      </w:r>
      <w:r>
        <w:rPr>
          <w:color w:val="231F1F"/>
          <w:spacing w:val="-24"/>
          <w:w w:val="115"/>
          <w:sz w:val="12"/>
        </w:rPr>
        <w:t> </w:t>
      </w:r>
      <w:r>
        <w:rPr>
          <w:rFonts w:ascii="Arial"/>
          <w:color w:val="231F1F"/>
          <w:w w:val="180"/>
          <w:position w:val="1"/>
          <w:sz w:val="7"/>
        </w:rPr>
        <w:t>l</w:t>
      </w:r>
      <w:r>
        <w:rPr>
          <w:rFonts w:ascii="Arial"/>
          <w:color w:val="231F1F"/>
          <w:spacing w:val="-25"/>
          <w:w w:val="180"/>
          <w:position w:val="1"/>
          <w:sz w:val="7"/>
        </w:rPr>
        <w:t> </w:t>
      </w:r>
      <w:r>
        <w:rPr>
          <w:rFonts w:ascii="Calibri"/>
          <w:color w:val="008356"/>
          <w:spacing w:val="4"/>
          <w:w w:val="115"/>
          <w:sz w:val="11"/>
        </w:rPr>
        <w:t>DROPERIDOL</w:t>
      </w:r>
      <w:r>
        <w:rPr>
          <w:color w:val="231F1F"/>
          <w:spacing w:val="4"/>
          <w:w w:val="115"/>
          <w:sz w:val="12"/>
        </w:rPr>
        <w:t>,</w:t>
      </w:r>
      <w:r>
        <w:rPr>
          <w:color w:val="231F1F"/>
          <w:spacing w:val="-24"/>
          <w:w w:val="115"/>
          <w:sz w:val="12"/>
        </w:rPr>
        <w:t> </w:t>
      </w:r>
      <w:r>
        <w:rPr>
          <w:rFonts w:ascii="Arial"/>
          <w:color w:val="231F1F"/>
          <w:w w:val="180"/>
          <w:position w:val="1"/>
          <w:sz w:val="7"/>
        </w:rPr>
        <w:t>l</w:t>
      </w:r>
      <w:r>
        <w:rPr>
          <w:rFonts w:ascii="Arial"/>
          <w:color w:val="231F1F"/>
          <w:spacing w:val="-25"/>
          <w:w w:val="180"/>
          <w:position w:val="1"/>
          <w:sz w:val="7"/>
        </w:rPr>
        <w:t> </w:t>
      </w:r>
      <w:r>
        <w:rPr>
          <w:rFonts w:ascii="Calibri"/>
          <w:color w:val="008356"/>
          <w:spacing w:val="4"/>
          <w:w w:val="115"/>
          <w:sz w:val="11"/>
        </w:rPr>
        <w:t>FLUPHENAZINE</w:t>
      </w:r>
      <w:r>
        <w:rPr>
          <w:color w:val="231F1F"/>
          <w:spacing w:val="4"/>
          <w:w w:val="115"/>
          <w:sz w:val="12"/>
        </w:rPr>
        <w:t>,</w:t>
      </w:r>
    </w:p>
    <w:p>
      <w:pPr>
        <w:spacing w:before="0"/>
        <w:ind w:left="282" w:right="0" w:firstLine="0"/>
        <w:jc w:val="left"/>
        <w:rPr>
          <w:sz w:val="12"/>
        </w:rPr>
      </w:pPr>
      <w:r>
        <w:rPr>
          <w:rFonts w:ascii="Arial"/>
          <w:color w:val="231F1F"/>
          <w:w w:val="355"/>
          <w:position w:val="1"/>
          <w:sz w:val="7"/>
        </w:rPr>
        <w:t>l </w:t>
      </w:r>
      <w:r>
        <w:rPr>
          <w:rFonts w:ascii="Calibri"/>
          <w:color w:val="008356"/>
          <w:w w:val="110"/>
          <w:sz w:val="11"/>
        </w:rPr>
        <w:t>HALOPERIDOL</w:t>
      </w:r>
      <w:r>
        <w:rPr>
          <w:color w:val="231F1F"/>
          <w:w w:val="110"/>
          <w:sz w:val="12"/>
        </w:rPr>
        <w:t>, </w:t>
      </w:r>
      <w:r>
        <w:rPr>
          <w:rFonts w:ascii="Arial"/>
          <w:color w:val="231F1F"/>
          <w:w w:val="355"/>
          <w:position w:val="1"/>
          <w:sz w:val="7"/>
        </w:rPr>
        <w:t>l </w:t>
      </w:r>
      <w:r>
        <w:rPr>
          <w:rFonts w:ascii="Calibri"/>
          <w:color w:val="008356"/>
          <w:w w:val="110"/>
          <w:sz w:val="11"/>
        </w:rPr>
        <w:t>SULPIRIDE </w:t>
      </w:r>
      <w:r>
        <w:rPr>
          <w:color w:val="231F1F"/>
          <w:w w:val="110"/>
          <w:sz w:val="12"/>
        </w:rPr>
        <w:t>and </w:t>
      </w:r>
      <w:r>
        <w:rPr>
          <w:rFonts w:ascii="Arial"/>
          <w:color w:val="231F1F"/>
          <w:w w:val="355"/>
          <w:position w:val="1"/>
          <w:sz w:val="7"/>
        </w:rPr>
        <w:t>l </w:t>
      </w:r>
      <w:r>
        <w:rPr>
          <w:rFonts w:ascii="Calibri"/>
          <w:color w:val="008356"/>
          <w:w w:val="110"/>
          <w:sz w:val="11"/>
        </w:rPr>
        <w:t>ZUCLOPENTHIXOL </w:t>
      </w:r>
      <w:r>
        <w:rPr>
          <w:color w:val="231F1F"/>
          <w:w w:val="110"/>
          <w:sz w:val="12"/>
        </w:rPr>
        <w:t>(risk of</w:t>
      </w:r>
    </w:p>
    <w:p>
      <w:pPr>
        <w:pStyle w:val="BodyText"/>
        <w:spacing w:line="247" w:lineRule="auto" w:before="3"/>
        <w:ind w:left="282" w:right="657"/>
        <w:rPr>
          <w:rFonts w:ascii="Calibri"/>
          <w:sz w:val="11"/>
        </w:rPr>
      </w:pPr>
      <w:r>
        <w:rPr>
          <w:color w:val="231F1F"/>
          <w:w w:val="110"/>
        </w:rPr>
        <w:t>ventricular arrhythmias); possible increased antimuscarinic side-effects when tricyclics given with </w:t>
      </w:r>
      <w:r>
        <w:rPr>
          <w:rFonts w:ascii="Calibri"/>
          <w:color w:val="008356"/>
          <w:spacing w:val="4"/>
          <w:w w:val="110"/>
          <w:sz w:val="11"/>
        </w:rPr>
        <w:t>CLOZAPINE</w:t>
      </w:r>
      <w:r>
        <w:rPr>
          <w:color w:val="231F1F"/>
          <w:spacing w:val="4"/>
          <w:w w:val="110"/>
        </w:rPr>
        <w:t>; </w:t>
      </w:r>
      <w:r>
        <w:rPr>
          <w:color w:val="231F1F"/>
          <w:w w:val="110"/>
        </w:rPr>
        <w:t>increased risk of antimuscarinic side-effects when tricyclics given </w:t>
      </w:r>
      <w:r>
        <w:rPr>
          <w:color w:val="231F1F"/>
          <w:spacing w:val="-4"/>
          <w:w w:val="110"/>
        </w:rPr>
        <w:t>with </w:t>
      </w:r>
      <w:r>
        <w:rPr>
          <w:rFonts w:ascii="Calibri"/>
          <w:color w:val="008356"/>
          <w:spacing w:val="4"/>
          <w:w w:val="110"/>
          <w:sz w:val="11"/>
        </w:rPr>
        <w:t>PHENOTHIAZINES</w:t>
      </w:r>
      <w:r>
        <w:rPr>
          <w:color w:val="231F1F"/>
          <w:spacing w:val="4"/>
          <w:w w:val="110"/>
        </w:rPr>
        <w:t>; </w:t>
      </w:r>
      <w:r>
        <w:rPr>
          <w:color w:val="231F1F"/>
          <w:w w:val="110"/>
        </w:rPr>
        <w:t>possible increased risk of ventricular arrhythmias when tricyclics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0"/>
          <w:sz w:val="11"/>
        </w:rPr>
        <w:t>RISPERIDONE</w:t>
      </w:r>
    </w:p>
    <w:p>
      <w:pPr>
        <w:pStyle w:val="BodyText"/>
        <w:spacing w:line="137" w:lineRule="exact"/>
        <w:ind w:left="182"/>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Antivirals:</w:t>
      </w:r>
      <w:r>
        <w:rPr>
          <w:rFonts w:ascii="Calibri"/>
          <w:color w:val="231F1F"/>
          <w:spacing w:val="-13"/>
          <w:w w:val="115"/>
        </w:rPr>
        <w:t> </w:t>
      </w:r>
      <w:r>
        <w:rPr>
          <w:color w:val="231F1F"/>
          <w:w w:val="115"/>
        </w:rPr>
        <w:t>plasma</w:t>
      </w:r>
      <w:r>
        <w:rPr>
          <w:color w:val="231F1F"/>
          <w:spacing w:val="-18"/>
          <w:w w:val="115"/>
        </w:rPr>
        <w:t> </w:t>
      </w:r>
      <w:r>
        <w:rPr>
          <w:color w:val="231F1F"/>
          <w:w w:val="115"/>
        </w:rPr>
        <w:t>concentration</w:t>
      </w:r>
      <w:r>
        <w:rPr>
          <w:color w:val="231F1F"/>
          <w:spacing w:val="-17"/>
          <w:w w:val="115"/>
        </w:rPr>
        <w:t> </w:t>
      </w:r>
      <w:r>
        <w:rPr>
          <w:color w:val="231F1F"/>
          <w:w w:val="115"/>
        </w:rPr>
        <w:t>of</w:t>
      </w:r>
      <w:r>
        <w:rPr>
          <w:color w:val="231F1F"/>
          <w:spacing w:val="-17"/>
          <w:w w:val="115"/>
        </w:rPr>
        <w:t> </w:t>
      </w:r>
      <w:r>
        <w:rPr>
          <w:color w:val="231F1F"/>
          <w:w w:val="115"/>
        </w:rPr>
        <w:t>tricyclics</w:t>
      </w:r>
      <w:r>
        <w:rPr>
          <w:color w:val="231F1F"/>
          <w:spacing w:val="-17"/>
          <w:w w:val="115"/>
        </w:rPr>
        <w:t> </w:t>
      </w:r>
      <w:r>
        <w:rPr>
          <w:color w:val="231F1F"/>
          <w:w w:val="115"/>
        </w:rPr>
        <w:t>possibly</w:t>
      </w:r>
    </w:p>
    <w:p>
      <w:pPr>
        <w:pStyle w:val="BodyText"/>
        <w:ind w:left="282" w:right="672"/>
      </w:pPr>
      <w:r>
        <w:rPr>
          <w:color w:val="231F1F"/>
          <w:w w:val="110"/>
        </w:rPr>
        <w:t>increased by </w:t>
      </w:r>
      <w:r>
        <w:rPr>
          <w:rFonts w:ascii="Arial" w:hAnsi="Arial"/>
          <w:color w:val="231F1F"/>
          <w:w w:val="355"/>
          <w:position w:val="1"/>
          <w:sz w:val="7"/>
        </w:rPr>
        <w:t>l </w:t>
      </w:r>
      <w:r>
        <w:rPr>
          <w:rFonts w:ascii="Calibri" w:hAnsi="Calibri"/>
          <w:color w:val="008356"/>
          <w:spacing w:val="3"/>
          <w:w w:val="110"/>
          <w:sz w:val="11"/>
        </w:rPr>
        <w:t>RITONAVIR</w:t>
      </w:r>
      <w:r>
        <w:rPr>
          <w:color w:val="231F1F"/>
          <w:spacing w:val="3"/>
          <w:w w:val="110"/>
        </w:rPr>
        <w:t>; </w:t>
      </w:r>
      <w:r>
        <w:rPr>
          <w:color w:val="231F1F"/>
          <w:w w:val="110"/>
        </w:rPr>
        <w:t>increased risk of ventricular arrhythmias when tricyclics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0"/>
          <w:sz w:val="11"/>
        </w:rPr>
        <w:t>SAQUINAVIR</w:t>
      </w:r>
      <w:r>
        <w:rPr>
          <w:rFonts w:ascii="Arial" w:hAnsi="Arial"/>
          <w:color w:val="231F1F"/>
          <w:w w:val="110"/>
        </w:rPr>
        <w:t>—</w:t>
      </w:r>
      <w:r>
        <w:rPr>
          <w:color w:val="231F1F"/>
          <w:w w:val="110"/>
        </w:rPr>
        <w:t>avoid concomitant use</w:t>
      </w:r>
    </w:p>
    <w:p>
      <w:pPr>
        <w:spacing w:line="220" w:lineRule="auto" w:before="13"/>
        <w:ind w:left="282" w:right="67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tricyclics given with </w:t>
      </w:r>
      <w:r>
        <w:rPr>
          <w:rFonts w:ascii="Calibri" w:hAnsi="Calibri"/>
          <w:color w:val="008356"/>
          <w:w w:val="105"/>
          <w:sz w:val="11"/>
        </w:rPr>
        <w:t>ANXIOLYTICS AND HYPNOTICS</w:t>
      </w:r>
    </w:p>
    <w:p>
      <w:pPr>
        <w:pStyle w:val="BodyText"/>
        <w:ind w:left="282" w:right="543"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increased risk of ventricular arrhythmias when tricyclics given with </w:t>
      </w:r>
      <w:r>
        <w:rPr>
          <w:rFonts w:ascii="Arial"/>
          <w:color w:val="231F1F"/>
          <w:w w:val="355"/>
          <w:position w:val="1"/>
          <w:sz w:val="7"/>
        </w:rPr>
        <w:t>l </w:t>
      </w:r>
      <w:r>
        <w:rPr>
          <w:rFonts w:ascii="Calibri"/>
          <w:color w:val="008356"/>
          <w:w w:val="110"/>
          <w:sz w:val="11"/>
        </w:rPr>
        <w:t>ATOMOXETINE</w:t>
      </w:r>
      <w:r>
        <w:rPr>
          <w:color w:val="231F1F"/>
          <w:w w:val="110"/>
        </w:rPr>
        <w:t>; possible increased risk of convulsions when antidepressants given with </w:t>
      </w:r>
      <w:r>
        <w:rPr>
          <w:rFonts w:ascii="Calibri"/>
          <w:color w:val="008356"/>
          <w:w w:val="110"/>
          <w:sz w:val="11"/>
        </w:rPr>
        <w:t>ATOMOXETINE</w:t>
      </w:r>
    </w:p>
    <w:p>
      <w:pPr>
        <w:pStyle w:val="BodyText"/>
        <w:ind w:left="282" w:right="645" w:hanging="100"/>
        <w:jc w:val="both"/>
        <w:rPr>
          <w:rFonts w:ascii="Calibri"/>
          <w:sz w:val="11"/>
        </w:rPr>
      </w:pPr>
      <w:r>
        <w:rPr>
          <w:rFonts w:ascii="Arial"/>
          <w:color w:val="231F1F"/>
          <w:w w:val="355"/>
          <w:position w:val="1"/>
          <w:sz w:val="7"/>
        </w:rPr>
        <w:t>l </w:t>
      </w:r>
      <w:r>
        <w:rPr>
          <w:rFonts w:ascii="Calibri"/>
          <w:color w:val="231F1F"/>
          <w:w w:val="110"/>
        </w:rPr>
        <w:t>Beta-blockers: </w:t>
      </w:r>
      <w:r>
        <w:rPr>
          <w:color w:val="231F1F"/>
          <w:w w:val="110"/>
        </w:rPr>
        <w:t>plasma concentration of imipramine increased by </w:t>
      </w:r>
      <w:r>
        <w:rPr>
          <w:rFonts w:ascii="Calibri"/>
          <w:color w:val="008356"/>
          <w:w w:val="110"/>
          <w:sz w:val="11"/>
        </w:rPr>
        <w:t>LABETALOL </w:t>
      </w:r>
      <w:r>
        <w:rPr>
          <w:color w:val="231F1F"/>
          <w:w w:val="110"/>
        </w:rPr>
        <w:t>and </w:t>
      </w:r>
      <w:r>
        <w:rPr>
          <w:rFonts w:ascii="Calibri"/>
          <w:color w:val="008356"/>
          <w:w w:val="110"/>
          <w:sz w:val="11"/>
        </w:rPr>
        <w:t>PROPRANOLOL</w:t>
      </w:r>
      <w:r>
        <w:rPr>
          <w:color w:val="231F1F"/>
          <w:w w:val="110"/>
        </w:rPr>
        <w:t>; increased risk of ventricular arrhythmias when tricyclics given with </w:t>
      </w:r>
      <w:r>
        <w:rPr>
          <w:rFonts w:ascii="Arial"/>
          <w:color w:val="231F1F"/>
          <w:w w:val="355"/>
          <w:position w:val="1"/>
          <w:sz w:val="7"/>
        </w:rPr>
        <w:t>l </w:t>
      </w:r>
      <w:r>
        <w:rPr>
          <w:rFonts w:ascii="Calibri"/>
          <w:color w:val="008356"/>
          <w:w w:val="110"/>
          <w:sz w:val="11"/>
        </w:rPr>
        <w:t>SOTALOL</w:t>
      </w:r>
    </w:p>
    <w:p>
      <w:pPr>
        <w:pStyle w:val="BodyText"/>
        <w:spacing w:line="230" w:lineRule="auto" w:before="2"/>
        <w:ind w:left="282" w:right="971" w:hanging="100"/>
      </w:pPr>
      <w:r>
        <w:rPr>
          <w:rFonts w:ascii="Lucida Sans Unicode" w:hAnsi="Lucida Sans Unicode"/>
          <w:color w:val="A7A8AC"/>
          <w:w w:val="95"/>
          <w:sz w:val="10"/>
        </w:rPr>
        <w:t>▶ </w:t>
      </w:r>
      <w:r>
        <w:rPr>
          <w:rFonts w:ascii="Calibri" w:hAnsi="Calibri"/>
          <w:color w:val="231F1F"/>
          <w:w w:val="105"/>
        </w:rPr>
        <w:t>Bupropion: </w:t>
      </w:r>
      <w:r>
        <w:rPr>
          <w:color w:val="231F1F"/>
          <w:w w:val="105"/>
        </w:rPr>
        <w:t>plasma concentration of tricyclics possibly increased by </w:t>
      </w:r>
      <w:r>
        <w:rPr>
          <w:rFonts w:ascii="Calibri" w:hAnsi="Calibri"/>
          <w:color w:val="008356"/>
          <w:w w:val="105"/>
          <w:sz w:val="11"/>
        </w:rPr>
        <w:t>BUPROPION </w:t>
      </w:r>
      <w:r>
        <w:rPr>
          <w:color w:val="231F1F"/>
          <w:w w:val="105"/>
        </w:rPr>
        <w:t>(possible increased risk of convulsions)</w:t>
      </w:r>
    </w:p>
    <w:p>
      <w:pPr>
        <w:spacing w:line="230" w:lineRule="auto" w:before="8"/>
        <w:ind w:left="282" w:right="61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plasma concentration of imipramine increased by </w:t>
      </w:r>
      <w:r>
        <w:rPr>
          <w:rFonts w:ascii="Calibri" w:hAnsi="Calibri"/>
          <w:color w:val="008356"/>
          <w:spacing w:val="3"/>
          <w:w w:val="105"/>
          <w:sz w:val="11"/>
        </w:rPr>
        <w:t>DILTIAZEM </w:t>
      </w:r>
      <w:r>
        <w:rPr>
          <w:color w:val="231F1F"/>
          <w:w w:val="105"/>
          <w:sz w:val="12"/>
        </w:rPr>
        <w:t>and </w:t>
      </w:r>
      <w:r>
        <w:rPr>
          <w:rFonts w:ascii="Calibri" w:hAnsi="Calibri"/>
          <w:color w:val="008356"/>
          <w:spacing w:val="4"/>
          <w:w w:val="105"/>
          <w:sz w:val="11"/>
        </w:rPr>
        <w:t>VERAPAMIL</w:t>
      </w:r>
      <w:r>
        <w:rPr>
          <w:color w:val="231F1F"/>
          <w:spacing w:val="4"/>
          <w:w w:val="105"/>
          <w:sz w:val="12"/>
        </w:rPr>
        <w:t>; </w:t>
      </w:r>
      <w:r>
        <w:rPr>
          <w:color w:val="231F1F"/>
          <w:w w:val="105"/>
          <w:sz w:val="12"/>
        </w:rPr>
        <w:t>plasma concentration  of tricyclics possibly increased by </w:t>
      </w:r>
      <w:r>
        <w:rPr>
          <w:rFonts w:ascii="Calibri" w:hAnsi="Calibri"/>
          <w:color w:val="008356"/>
          <w:spacing w:val="3"/>
          <w:w w:val="105"/>
          <w:sz w:val="11"/>
        </w:rPr>
        <w:t>DILTIAZEM </w:t>
      </w:r>
      <w:r>
        <w:rPr>
          <w:color w:val="231F1F"/>
          <w:w w:val="105"/>
          <w:sz w:val="12"/>
        </w:rPr>
        <w:t>and</w:t>
      </w:r>
      <w:r>
        <w:rPr>
          <w:color w:val="231F1F"/>
          <w:spacing w:val="17"/>
          <w:w w:val="105"/>
          <w:sz w:val="12"/>
        </w:rPr>
        <w:t> </w:t>
      </w:r>
      <w:r>
        <w:rPr>
          <w:rFonts w:ascii="Calibri" w:hAnsi="Calibri"/>
          <w:color w:val="008356"/>
          <w:spacing w:val="4"/>
          <w:w w:val="105"/>
          <w:sz w:val="11"/>
        </w:rPr>
        <w:t>VERAPAMIL</w:t>
      </w:r>
    </w:p>
    <w:p>
      <w:pPr>
        <w:pStyle w:val="BodyText"/>
        <w:spacing w:line="220" w:lineRule="auto" w:before="7"/>
        <w:ind w:left="282" w:right="672" w:hanging="100"/>
        <w:rPr>
          <w:rFonts w:ascii="Calibri" w:hAnsi="Calibri"/>
          <w:sz w:val="11"/>
        </w:rPr>
      </w:pPr>
      <w:r>
        <w:rPr>
          <w:rFonts w:ascii="Lucida Sans Unicode" w:hAnsi="Lucida Sans Unicode"/>
          <w:color w:val="A7A8AC"/>
          <w:w w:val="95"/>
          <w:sz w:val="10"/>
        </w:rPr>
        <w:t>▶ </w:t>
      </w:r>
      <w:r>
        <w:rPr>
          <w:rFonts w:ascii="Calibri" w:hAnsi="Calibri"/>
          <w:color w:val="231F1F"/>
          <w:w w:val="105"/>
        </w:rPr>
        <w:t>Cannabis Extract: </w:t>
      </w:r>
      <w:r>
        <w:rPr>
          <w:color w:val="231F1F"/>
          <w:w w:val="105"/>
        </w:rPr>
        <w:t>possible increased risk of hypertension and tachycardia when tricyclics given with </w:t>
      </w:r>
      <w:r>
        <w:rPr>
          <w:rFonts w:ascii="Calibri" w:hAnsi="Calibri"/>
          <w:color w:val="008356"/>
          <w:w w:val="105"/>
          <w:sz w:val="11"/>
        </w:rPr>
        <w:t>CANNABIS EXTRACT</w:t>
      </w:r>
    </w:p>
    <w:p>
      <w:pPr>
        <w:pStyle w:val="BodyText"/>
        <w:spacing w:line="146" w:lineRule="exact" w:before="1"/>
        <w:ind w:left="182"/>
      </w:pPr>
      <w:r>
        <w:rPr>
          <w:rFonts w:ascii="Arial"/>
          <w:color w:val="231F1F"/>
          <w:w w:val="355"/>
          <w:position w:val="1"/>
          <w:sz w:val="7"/>
        </w:rPr>
        <w:t>l </w:t>
      </w:r>
      <w:r>
        <w:rPr>
          <w:rFonts w:ascii="Calibri"/>
          <w:color w:val="231F1F"/>
          <w:w w:val="110"/>
        </w:rPr>
        <w:t>Clonidine: </w:t>
      </w:r>
      <w:r>
        <w:rPr>
          <w:color w:val="231F1F"/>
          <w:w w:val="110"/>
        </w:rPr>
        <w:t>tricyclics antagonise hypotensive effect of</w:t>
      </w:r>
    </w:p>
    <w:p>
      <w:pPr>
        <w:pStyle w:val="BodyText"/>
        <w:spacing w:line="244" w:lineRule="auto"/>
        <w:ind w:left="282" w:right="544" w:hanging="1"/>
      </w:pPr>
      <w:r>
        <w:rPr>
          <w:rFonts w:ascii="Arial"/>
          <w:color w:val="231F1F"/>
          <w:w w:val="355"/>
          <w:position w:val="1"/>
          <w:sz w:val="7"/>
        </w:rPr>
        <w:t>l </w:t>
      </w:r>
      <w:r>
        <w:rPr>
          <w:rFonts w:ascii="Calibri"/>
          <w:color w:val="008356"/>
          <w:w w:val="110"/>
          <w:sz w:val="11"/>
        </w:rPr>
        <w:t>CLONIDINE</w:t>
      </w:r>
      <w:r>
        <w:rPr>
          <w:color w:val="231F1F"/>
          <w:w w:val="110"/>
        </w:rPr>
        <w:t>, also increased risk of hypertension on clonidine withdrawal</w:t>
      </w:r>
    </w:p>
    <w:p>
      <w:pPr>
        <w:pStyle w:val="BodyText"/>
        <w:ind w:left="282" w:right="652" w:hanging="100"/>
        <w:rPr>
          <w:rFonts w:ascii="Calibri"/>
          <w:sz w:val="11"/>
        </w:rPr>
      </w:pPr>
      <w:r>
        <w:rPr>
          <w:rFonts w:ascii="Arial"/>
          <w:color w:val="231F1F"/>
          <w:w w:val="355"/>
          <w:position w:val="1"/>
          <w:sz w:val="7"/>
        </w:rPr>
        <w:t>l </w:t>
      </w:r>
      <w:r>
        <w:rPr>
          <w:rFonts w:ascii="Calibri"/>
          <w:color w:val="231F1F"/>
          <w:w w:val="115"/>
        </w:rPr>
        <w:t>Cytotoxics: </w:t>
      </w:r>
      <w:r>
        <w:rPr>
          <w:color w:val="231F1F"/>
          <w:w w:val="115"/>
        </w:rPr>
        <w:t>increased risk of ventricular arrhythmias when amitriptyline</w:t>
      </w:r>
      <w:r>
        <w:rPr>
          <w:color w:val="231F1F"/>
          <w:spacing w:val="-22"/>
          <w:w w:val="115"/>
        </w:rPr>
        <w:t> </w:t>
      </w:r>
      <w:r>
        <w:rPr>
          <w:color w:val="231F1F"/>
          <w:w w:val="115"/>
        </w:rPr>
        <w:t>or</w:t>
      </w:r>
      <w:r>
        <w:rPr>
          <w:color w:val="231F1F"/>
          <w:spacing w:val="-22"/>
          <w:w w:val="115"/>
        </w:rPr>
        <w:t> </w:t>
      </w:r>
      <w:r>
        <w:rPr>
          <w:color w:val="231F1F"/>
          <w:w w:val="115"/>
        </w:rPr>
        <w:t>clomipramine</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ARSENIC</w:t>
      </w:r>
      <w:r>
        <w:rPr>
          <w:rFonts w:ascii="Calibri"/>
          <w:color w:val="008356"/>
          <w:spacing w:val="-15"/>
          <w:w w:val="115"/>
          <w:sz w:val="11"/>
        </w:rPr>
        <w:t> </w:t>
      </w:r>
      <w:r>
        <w:rPr>
          <w:rFonts w:ascii="Calibri"/>
          <w:color w:val="008356"/>
          <w:spacing w:val="4"/>
          <w:w w:val="115"/>
          <w:sz w:val="11"/>
        </w:rPr>
        <w:t>TRIOXIDE</w:t>
      </w:r>
    </w:p>
    <w:p>
      <w:pPr>
        <w:pStyle w:val="BodyText"/>
        <w:spacing w:line="244" w:lineRule="auto"/>
        <w:ind w:left="282" w:right="647"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tricyclics given with </w:t>
      </w:r>
      <w:r>
        <w:rPr>
          <w:rFonts w:ascii="Arial"/>
          <w:color w:val="231F1F"/>
          <w:w w:val="355"/>
          <w:position w:val="1"/>
          <w:sz w:val="7"/>
        </w:rPr>
        <w:t>l </w:t>
      </w:r>
      <w:r>
        <w:rPr>
          <w:rFonts w:ascii="Calibri"/>
          <w:color w:val="008356"/>
          <w:spacing w:val="4"/>
          <w:w w:val="110"/>
          <w:sz w:val="11"/>
        </w:rPr>
        <w:t>DAPOXETINE </w:t>
      </w:r>
      <w:r>
        <w:rPr>
          <w:color w:val="231F1F"/>
          <w:w w:val="110"/>
        </w:rPr>
        <w:t>(manufacturer of dapoxetine advises tricyclics should not be started until 1</w:t>
      </w:r>
      <w:r>
        <w:rPr>
          <w:color w:val="231F1F"/>
          <w:spacing w:val="33"/>
          <w:w w:val="110"/>
        </w:rPr>
        <w:t> </w:t>
      </w:r>
      <w:r>
        <w:rPr>
          <w:color w:val="231F1F"/>
          <w:w w:val="110"/>
        </w:rPr>
        <w:t>week after stopping dapoxetine, avoid dapoxetine for 2 </w:t>
      </w:r>
      <w:r>
        <w:rPr>
          <w:color w:val="231F1F"/>
          <w:spacing w:val="-3"/>
          <w:w w:val="110"/>
        </w:rPr>
        <w:t>weeks </w:t>
      </w:r>
      <w:r>
        <w:rPr>
          <w:color w:val="231F1F"/>
          <w:w w:val="110"/>
        </w:rPr>
        <w:t>after stopping</w:t>
      </w:r>
      <w:r>
        <w:rPr>
          <w:color w:val="231F1F"/>
          <w:spacing w:val="-3"/>
          <w:w w:val="110"/>
        </w:rPr>
        <w:t> </w:t>
      </w:r>
      <w:r>
        <w:rPr>
          <w:color w:val="231F1F"/>
          <w:w w:val="110"/>
        </w:rPr>
        <w:t>tricyclics)</w:t>
      </w:r>
    </w:p>
    <w:p>
      <w:pPr>
        <w:pStyle w:val="BodyText"/>
        <w:spacing w:line="235" w:lineRule="auto"/>
        <w:ind w:left="282" w:right="672" w:hanging="100"/>
      </w:pPr>
      <w:r>
        <w:rPr>
          <w:rFonts w:ascii="Lucida Sans Unicode" w:hAnsi="Lucida Sans Unicode"/>
          <w:color w:val="A7A8AC"/>
          <w:w w:val="95"/>
          <w:sz w:val="10"/>
        </w:rPr>
        <w:t>▶ </w:t>
      </w:r>
      <w:r>
        <w:rPr>
          <w:rFonts w:ascii="Calibri" w:hAnsi="Calibri"/>
          <w:color w:val="231F1F"/>
          <w:w w:val="110"/>
        </w:rPr>
        <w:t>Disulfiram: </w:t>
      </w:r>
      <w:r>
        <w:rPr>
          <w:color w:val="231F1F"/>
          <w:w w:val="110"/>
        </w:rPr>
        <w:t>metabolism of tricyclics inhibited by </w:t>
      </w:r>
      <w:r>
        <w:rPr>
          <w:rFonts w:ascii="Calibri" w:hAnsi="Calibri"/>
          <w:color w:val="008356"/>
          <w:w w:val="110"/>
          <w:sz w:val="11"/>
        </w:rPr>
        <w:t>DISULFIRAM </w:t>
      </w:r>
      <w:r>
        <w:rPr>
          <w:color w:val="231F1F"/>
          <w:w w:val="110"/>
        </w:rPr>
        <w:t>(increased plasma concentration); concomitant amitriptyline reported to increase </w:t>
      </w:r>
      <w:r>
        <w:rPr>
          <w:rFonts w:ascii="Calibri" w:hAnsi="Calibri"/>
          <w:color w:val="008356"/>
          <w:w w:val="110"/>
          <w:sz w:val="11"/>
        </w:rPr>
        <w:t>DISULFIRAM </w:t>
      </w:r>
      <w:r>
        <w:rPr>
          <w:color w:val="231F1F"/>
          <w:w w:val="110"/>
        </w:rPr>
        <w:t>reaction with alcohol</w:t>
      </w:r>
    </w:p>
    <w:p>
      <w:pPr>
        <w:pStyle w:val="BodyText"/>
        <w:spacing w:line="220" w:lineRule="auto" w:before="2"/>
        <w:ind w:left="282" w:right="971"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increased risk of postural hypotension when tricyclics given with </w:t>
      </w:r>
      <w:r>
        <w:rPr>
          <w:rFonts w:ascii="Calibri" w:hAnsi="Calibri"/>
          <w:color w:val="008356"/>
          <w:w w:val="105"/>
          <w:sz w:val="11"/>
        </w:rPr>
        <w:t>DIURETICS</w:t>
      </w:r>
    </w:p>
    <w:p>
      <w:pPr>
        <w:pStyle w:val="BodyText"/>
        <w:ind w:left="282" w:right="698" w:hanging="100"/>
      </w:pPr>
      <w:r>
        <w:rPr>
          <w:rFonts w:ascii="Arial"/>
          <w:color w:val="231F1F"/>
          <w:w w:val="355"/>
          <w:position w:val="1"/>
          <w:sz w:val="7"/>
        </w:rPr>
        <w:t>l </w:t>
      </w:r>
      <w:r>
        <w:rPr>
          <w:rFonts w:ascii="Calibri"/>
          <w:color w:val="231F1F"/>
          <w:w w:val="110"/>
        </w:rPr>
        <w:t>Dopaminergics: </w:t>
      </w:r>
      <w:r>
        <w:rPr>
          <w:color w:val="231F1F"/>
          <w:w w:val="110"/>
        </w:rPr>
        <w:t>caution with tricyclics advised by manufacturer of </w:t>
      </w:r>
      <w:r>
        <w:rPr>
          <w:rFonts w:ascii="Calibri"/>
          <w:color w:val="008356"/>
          <w:w w:val="110"/>
          <w:sz w:val="11"/>
        </w:rPr>
        <w:t>ENTACAPONE</w:t>
      </w:r>
      <w:r>
        <w:rPr>
          <w:color w:val="231F1F"/>
          <w:w w:val="110"/>
        </w:rPr>
        <w:t>; increased risk of CNS toxicity</w:t>
      </w:r>
    </w:p>
    <w:p>
      <w:pPr>
        <w:spacing w:after="0"/>
        <w:sectPr>
          <w:pgSz w:w="8390" w:h="11910"/>
          <w:pgMar w:header="0" w:footer="0" w:top="460" w:bottom="280" w:left="480" w:right="0"/>
          <w:cols w:num="2" w:equalWidth="0">
            <w:col w:w="3641" w:space="40"/>
            <w:col w:w="4229"/>
          </w:cols>
        </w:sectPr>
      </w:pPr>
    </w:p>
    <w:p>
      <w:pPr>
        <w:pStyle w:val="BodyText"/>
        <w:spacing w:before="8"/>
        <w:ind w:left="0"/>
        <w:rPr>
          <w:sz w:val="14"/>
        </w:rPr>
      </w:pPr>
    </w:p>
    <w:p>
      <w:pPr>
        <w:pStyle w:val="BodyText"/>
        <w:ind w:left="108"/>
        <w:rPr>
          <w:rFonts w:ascii="Arial"/>
        </w:rPr>
      </w:pPr>
      <w:r>
        <w:rPr>
          <w:rFonts w:ascii="Arial"/>
          <w:color w:val="008356"/>
        </w:rPr>
        <w:t>Antidepressants, Tricyclic</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Dopaminergics (continued)</w:t>
      </w:r>
    </w:p>
    <w:p>
      <w:pPr>
        <w:spacing w:line="244" w:lineRule="auto" w:before="0"/>
        <w:ind w:left="208" w:right="507" w:firstLine="0"/>
        <w:jc w:val="left"/>
        <w:rPr>
          <w:rFonts w:ascii="Calibri"/>
          <w:sz w:val="11"/>
        </w:rPr>
      </w:pPr>
      <w:r>
        <w:rPr>
          <w:color w:val="231F1F"/>
          <w:w w:val="115"/>
          <w:sz w:val="12"/>
        </w:rPr>
        <w:t>when</w:t>
      </w:r>
      <w:r>
        <w:rPr>
          <w:color w:val="231F1F"/>
          <w:spacing w:val="-25"/>
          <w:w w:val="115"/>
          <w:sz w:val="12"/>
        </w:rPr>
        <w:t> </w:t>
      </w:r>
      <w:r>
        <w:rPr>
          <w:color w:val="231F1F"/>
          <w:w w:val="115"/>
          <w:sz w:val="12"/>
        </w:rPr>
        <w:t>tricyclics</w:t>
      </w:r>
      <w:r>
        <w:rPr>
          <w:color w:val="231F1F"/>
          <w:spacing w:val="-24"/>
          <w:w w:val="115"/>
          <w:sz w:val="12"/>
        </w:rPr>
        <w:t> </w:t>
      </w:r>
      <w:r>
        <w:rPr>
          <w:color w:val="231F1F"/>
          <w:w w:val="115"/>
          <w:sz w:val="12"/>
        </w:rPr>
        <w:t>given</w:t>
      </w:r>
      <w:r>
        <w:rPr>
          <w:color w:val="231F1F"/>
          <w:spacing w:val="-24"/>
          <w:w w:val="115"/>
          <w:sz w:val="12"/>
        </w:rPr>
        <w:t> </w:t>
      </w:r>
      <w:r>
        <w:rPr>
          <w:color w:val="231F1F"/>
          <w:w w:val="115"/>
          <w:sz w:val="12"/>
        </w:rPr>
        <w:t>with</w:t>
      </w:r>
      <w:r>
        <w:rPr>
          <w:color w:val="231F1F"/>
          <w:spacing w:val="-24"/>
          <w:w w:val="115"/>
          <w:sz w:val="12"/>
        </w:rPr>
        <w:t> </w:t>
      </w:r>
      <w:r>
        <w:rPr>
          <w:rFonts w:ascii="Arial"/>
          <w:color w:val="231F1F"/>
          <w:w w:val="350"/>
          <w:position w:val="1"/>
          <w:sz w:val="7"/>
        </w:rPr>
        <w:t>l</w:t>
      </w:r>
      <w:r>
        <w:rPr>
          <w:rFonts w:ascii="Arial"/>
          <w:color w:val="231F1F"/>
          <w:spacing w:val="-59"/>
          <w:w w:val="350"/>
          <w:position w:val="1"/>
          <w:sz w:val="7"/>
        </w:rPr>
        <w:t> </w:t>
      </w:r>
      <w:r>
        <w:rPr>
          <w:rFonts w:ascii="Calibri"/>
          <w:color w:val="008356"/>
          <w:spacing w:val="4"/>
          <w:w w:val="115"/>
          <w:sz w:val="11"/>
        </w:rPr>
        <w:t>RASAGILINE</w:t>
      </w:r>
      <w:r>
        <w:rPr>
          <w:color w:val="231F1F"/>
          <w:spacing w:val="4"/>
          <w:w w:val="115"/>
          <w:sz w:val="12"/>
        </w:rPr>
        <w:t>;</w:t>
      </w:r>
      <w:r>
        <w:rPr>
          <w:color w:val="231F1F"/>
          <w:spacing w:val="-24"/>
          <w:w w:val="115"/>
          <w:sz w:val="12"/>
        </w:rPr>
        <w:t> </w:t>
      </w:r>
      <w:r>
        <w:rPr>
          <w:color w:val="231F1F"/>
          <w:w w:val="115"/>
          <w:sz w:val="12"/>
        </w:rPr>
        <w:t>CNS</w:t>
      </w:r>
      <w:r>
        <w:rPr>
          <w:color w:val="231F1F"/>
          <w:spacing w:val="-24"/>
          <w:w w:val="115"/>
          <w:sz w:val="12"/>
        </w:rPr>
        <w:t> </w:t>
      </w:r>
      <w:r>
        <w:rPr>
          <w:color w:val="231F1F"/>
          <w:w w:val="115"/>
          <w:sz w:val="12"/>
        </w:rPr>
        <w:t>toxicity reported</w:t>
      </w:r>
      <w:r>
        <w:rPr>
          <w:color w:val="231F1F"/>
          <w:spacing w:val="-11"/>
          <w:w w:val="115"/>
          <w:sz w:val="12"/>
        </w:rPr>
        <w:t> </w:t>
      </w:r>
      <w:r>
        <w:rPr>
          <w:color w:val="231F1F"/>
          <w:w w:val="115"/>
          <w:sz w:val="12"/>
        </w:rPr>
        <w:t>when</w:t>
      </w:r>
      <w:r>
        <w:rPr>
          <w:color w:val="231F1F"/>
          <w:spacing w:val="-10"/>
          <w:w w:val="115"/>
          <w:sz w:val="12"/>
        </w:rPr>
        <w:t> </w:t>
      </w:r>
      <w:r>
        <w:rPr>
          <w:color w:val="231F1F"/>
          <w:w w:val="115"/>
          <w:sz w:val="12"/>
        </w:rPr>
        <w:t>tricyclics</w:t>
      </w:r>
      <w:r>
        <w:rPr>
          <w:color w:val="231F1F"/>
          <w:spacing w:val="-10"/>
          <w:w w:val="115"/>
          <w:sz w:val="12"/>
        </w:rPr>
        <w:t> </w:t>
      </w:r>
      <w:r>
        <w:rPr>
          <w:color w:val="231F1F"/>
          <w:w w:val="115"/>
          <w:sz w:val="12"/>
        </w:rPr>
        <w:t>given</w:t>
      </w:r>
      <w:r>
        <w:rPr>
          <w:color w:val="231F1F"/>
          <w:spacing w:val="-10"/>
          <w:w w:val="115"/>
          <w:sz w:val="12"/>
        </w:rPr>
        <w:t> </w:t>
      </w:r>
      <w:r>
        <w:rPr>
          <w:color w:val="231F1F"/>
          <w:w w:val="115"/>
          <w:sz w:val="12"/>
        </w:rPr>
        <w:t>with</w:t>
      </w:r>
      <w:r>
        <w:rPr>
          <w:color w:val="231F1F"/>
          <w:spacing w:val="-9"/>
          <w:w w:val="115"/>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5"/>
          <w:sz w:val="11"/>
        </w:rPr>
        <w:t>SELEGILINE</w:t>
      </w:r>
    </w:p>
    <w:p>
      <w:pPr>
        <w:pStyle w:val="BodyText"/>
        <w:spacing w:line="230" w:lineRule="auto"/>
        <w:ind w:right="507" w:hanging="100"/>
      </w:pPr>
      <w:r>
        <w:rPr>
          <w:rFonts w:ascii="Lucida Sans Unicode" w:hAnsi="Lucida Sans Unicode"/>
          <w:color w:val="A7A8AC"/>
          <w:w w:val="95"/>
          <w:sz w:val="10"/>
        </w:rPr>
        <w:t>▶ </w:t>
      </w:r>
      <w:r>
        <w:rPr>
          <w:rFonts w:ascii="Calibri" w:hAnsi="Calibri"/>
          <w:color w:val="231F1F"/>
          <w:w w:val="105"/>
        </w:rPr>
        <w:t>Histamine: </w:t>
      </w:r>
      <w:r>
        <w:rPr>
          <w:color w:val="231F1F"/>
          <w:w w:val="105"/>
        </w:rPr>
        <w:t>tricyclics theoretically antagonise effects of </w:t>
      </w:r>
      <w:r>
        <w:rPr>
          <w:rFonts w:ascii="Calibri" w:hAnsi="Calibri"/>
          <w:color w:val="008356"/>
          <w:w w:val="105"/>
          <w:sz w:val="11"/>
        </w:rPr>
        <w:t>HISTAMINE</w:t>
      </w:r>
      <w:r>
        <w:rPr>
          <w:rFonts w:ascii="Arial" w:hAnsi="Arial"/>
          <w:color w:val="231F1F"/>
          <w:w w:val="105"/>
        </w:rPr>
        <w:t>—</w:t>
      </w:r>
      <w:r>
        <w:rPr>
          <w:color w:val="231F1F"/>
          <w:w w:val="105"/>
        </w:rPr>
        <w:t>manufacturer of histamine advises avoid concomitant use</w:t>
      </w:r>
    </w:p>
    <w:p>
      <w:pPr>
        <w:pStyle w:val="BodyText"/>
        <w:spacing w:line="150"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Lithium: </w:t>
      </w:r>
      <w:r>
        <w:rPr>
          <w:color w:val="231F1F"/>
          <w:w w:val="105"/>
        </w:rPr>
        <w:t>risk of toxicity when tricyclics given with </w:t>
      </w:r>
      <w:r>
        <w:rPr>
          <w:color w:val="231F1F"/>
          <w:spacing w:val="5"/>
          <w:w w:val="105"/>
        </w:rPr>
        <w:t> </w:t>
      </w:r>
      <w:r>
        <w:rPr>
          <w:rFonts w:ascii="Calibri" w:hAnsi="Calibri"/>
          <w:color w:val="008356"/>
          <w:spacing w:val="5"/>
          <w:w w:val="105"/>
          <w:sz w:val="11"/>
        </w:rPr>
        <w:t>LITHIUM</w:t>
      </w:r>
    </w:p>
    <w:p>
      <w:pPr>
        <w:pStyle w:val="BodyText"/>
        <w:spacing w:line="138" w:lineRule="exact"/>
        <w:ind w:left="108"/>
      </w:pPr>
      <w:r>
        <w:rPr>
          <w:rFonts w:ascii="Arial"/>
          <w:color w:val="231F1F"/>
          <w:w w:val="355"/>
          <w:position w:val="1"/>
          <w:sz w:val="7"/>
        </w:rPr>
        <w:t>l</w:t>
      </w:r>
      <w:r>
        <w:rPr>
          <w:rFonts w:ascii="Arial"/>
          <w:color w:val="231F1F"/>
          <w:spacing w:val="-43"/>
          <w:w w:val="355"/>
          <w:position w:val="1"/>
          <w:sz w:val="7"/>
        </w:rPr>
        <w:t> </w:t>
      </w:r>
      <w:r>
        <w:rPr>
          <w:rFonts w:ascii="Calibri"/>
          <w:color w:val="231F1F"/>
          <w:w w:val="110"/>
        </w:rPr>
        <w:t>Methylthioninium:</w:t>
      </w:r>
      <w:r>
        <w:rPr>
          <w:rFonts w:ascii="Calibri"/>
          <w:color w:val="231F1F"/>
          <w:spacing w:val="-10"/>
          <w:w w:val="110"/>
        </w:rPr>
        <w:t> </w:t>
      </w:r>
      <w:r>
        <w:rPr>
          <w:color w:val="231F1F"/>
          <w:w w:val="110"/>
        </w:rPr>
        <w:t>risk</w:t>
      </w:r>
      <w:r>
        <w:rPr>
          <w:color w:val="231F1F"/>
          <w:spacing w:val="-12"/>
          <w:w w:val="110"/>
        </w:rPr>
        <w:t> </w:t>
      </w:r>
      <w:r>
        <w:rPr>
          <w:color w:val="231F1F"/>
          <w:w w:val="110"/>
        </w:rPr>
        <w:t>of</w:t>
      </w:r>
      <w:r>
        <w:rPr>
          <w:color w:val="231F1F"/>
          <w:spacing w:val="-13"/>
          <w:w w:val="110"/>
        </w:rPr>
        <w:t> </w:t>
      </w:r>
      <w:r>
        <w:rPr>
          <w:color w:val="231F1F"/>
          <w:w w:val="110"/>
        </w:rPr>
        <w:t>CNS</w:t>
      </w:r>
      <w:r>
        <w:rPr>
          <w:color w:val="231F1F"/>
          <w:spacing w:val="-12"/>
          <w:w w:val="110"/>
        </w:rPr>
        <w:t> </w:t>
      </w:r>
      <w:r>
        <w:rPr>
          <w:color w:val="231F1F"/>
          <w:w w:val="110"/>
        </w:rPr>
        <w:t>toxicity</w:t>
      </w:r>
      <w:r>
        <w:rPr>
          <w:color w:val="231F1F"/>
          <w:spacing w:val="-13"/>
          <w:w w:val="110"/>
        </w:rPr>
        <w:t> </w:t>
      </w:r>
      <w:r>
        <w:rPr>
          <w:color w:val="231F1F"/>
          <w:w w:val="110"/>
        </w:rPr>
        <w:t>when</w:t>
      </w:r>
      <w:r>
        <w:rPr>
          <w:color w:val="231F1F"/>
          <w:spacing w:val="-13"/>
          <w:w w:val="110"/>
        </w:rPr>
        <w:t> </w:t>
      </w:r>
      <w:r>
        <w:rPr>
          <w:color w:val="231F1F"/>
          <w:w w:val="110"/>
        </w:rPr>
        <w:t>clomipramine</w:t>
      </w:r>
    </w:p>
    <w:p>
      <w:pPr>
        <w:pStyle w:val="BodyText"/>
        <w:spacing w:line="247" w:lineRule="auto"/>
        <w:ind w:hanging="1"/>
      </w:pPr>
      <w:r>
        <w:rPr>
          <w:color w:val="231F1F"/>
          <w:w w:val="110"/>
        </w:rPr>
        <w:t>given with </w:t>
      </w:r>
      <w:r>
        <w:rPr>
          <w:rFonts w:ascii="Arial" w:hAnsi="Arial"/>
          <w:color w:val="231F1F"/>
          <w:w w:val="355"/>
          <w:position w:val="1"/>
          <w:sz w:val="7"/>
        </w:rPr>
        <w:t>l </w:t>
      </w:r>
      <w:r>
        <w:rPr>
          <w:rFonts w:ascii="Calibri" w:hAnsi="Calibri"/>
          <w:color w:val="008356"/>
          <w:w w:val="110"/>
          <w:sz w:val="11"/>
        </w:rPr>
        <w:t>METHYLTHIONINIUM</w:t>
      </w:r>
      <w:r>
        <w:rPr>
          <w:rFonts w:ascii="Arial" w:hAnsi="Arial"/>
          <w:color w:val="231F1F"/>
          <w:w w:val="110"/>
        </w:rPr>
        <w:t>—</w:t>
      </w:r>
      <w:r>
        <w:rPr>
          <w:color w:val="231F1F"/>
          <w:w w:val="110"/>
        </w:rPr>
        <w:t>avoid concomitant use (if avoidance not possible, use lowest possible dose of methylthioninium and observe patient for up to 4 hours after administration)</w:t>
      </w:r>
    </w:p>
    <w:p>
      <w:pPr>
        <w:pStyle w:val="BodyText"/>
        <w:spacing w:line="230" w:lineRule="auto" w:before="1"/>
        <w:ind w:right="88" w:hanging="100"/>
      </w:pPr>
      <w:r>
        <w:rPr>
          <w:rFonts w:ascii="Lucida Sans Unicode" w:hAnsi="Lucida Sans Unicode"/>
          <w:color w:val="A7A8AC"/>
          <w:w w:val="95"/>
          <w:sz w:val="10"/>
        </w:rPr>
        <w:t>▶ </w:t>
      </w:r>
      <w:r>
        <w:rPr>
          <w:rFonts w:ascii="Calibri" w:hAnsi="Calibri"/>
          <w:color w:val="231F1F"/>
          <w:w w:val="110"/>
        </w:rPr>
        <w:t>Moxonidine: </w:t>
      </w:r>
      <w:r>
        <w:rPr>
          <w:color w:val="231F1F"/>
          <w:w w:val="110"/>
        </w:rPr>
        <w:t>tricyclics possibly antagonise hypotensive effect of </w:t>
      </w:r>
      <w:r>
        <w:rPr>
          <w:rFonts w:ascii="Calibri" w:hAnsi="Calibri"/>
          <w:color w:val="008356"/>
          <w:w w:val="110"/>
          <w:sz w:val="11"/>
        </w:rPr>
        <w:t>MOXONIDINE </w:t>
      </w:r>
      <w:r>
        <w:rPr>
          <w:color w:val="231F1F"/>
          <w:w w:val="110"/>
        </w:rPr>
        <w:t>(manufacturer of moxonidine advises avoid concomitant use)</w:t>
      </w:r>
    </w:p>
    <w:p>
      <w:pPr>
        <w:pStyle w:val="BodyText"/>
        <w:spacing w:line="155" w:lineRule="exact" w:before="4"/>
        <w:ind w:left="108"/>
      </w:pPr>
      <w:r>
        <w:rPr>
          <w:rFonts w:ascii="Lucida Sans Unicode" w:hAnsi="Lucida Sans Unicode"/>
          <w:color w:val="A7A8AC"/>
          <w:w w:val="95"/>
          <w:sz w:val="10"/>
        </w:rPr>
        <w:t>▶ </w:t>
      </w:r>
      <w:r>
        <w:rPr>
          <w:rFonts w:ascii="Calibri" w:hAnsi="Calibri"/>
          <w:color w:val="231F1F"/>
          <w:w w:val="105"/>
        </w:rPr>
        <w:t>Muscle Relaxants: </w:t>
      </w:r>
      <w:r>
        <w:rPr>
          <w:color w:val="231F1F"/>
          <w:w w:val="105"/>
        </w:rPr>
        <w:t>tricyclics enhance muscle relaxant effect of</w:t>
      </w:r>
    </w:p>
    <w:p>
      <w:pPr>
        <w:spacing w:line="130" w:lineRule="exact" w:before="0"/>
        <w:ind w:left="208" w:right="0" w:firstLine="0"/>
        <w:jc w:val="left"/>
        <w:rPr>
          <w:rFonts w:ascii="Calibri"/>
          <w:sz w:val="11"/>
        </w:rPr>
      </w:pPr>
      <w:r>
        <w:rPr>
          <w:rFonts w:ascii="Calibri"/>
          <w:color w:val="008356"/>
          <w:sz w:val="11"/>
        </w:rPr>
        <w:t>BACLOFEN</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Nicorandil: </w:t>
      </w:r>
      <w:r>
        <w:rPr>
          <w:color w:val="231F1F"/>
          <w:w w:val="105"/>
        </w:rPr>
        <w:t>tricyclics possibly enhance hypotensive effect of</w:t>
      </w:r>
    </w:p>
    <w:p>
      <w:pPr>
        <w:spacing w:line="131" w:lineRule="exact" w:before="0"/>
        <w:ind w:left="208" w:right="0" w:firstLine="0"/>
        <w:jc w:val="left"/>
        <w:rPr>
          <w:rFonts w:ascii="Calibri"/>
          <w:sz w:val="11"/>
        </w:rPr>
      </w:pPr>
      <w:r>
        <w:rPr>
          <w:rFonts w:ascii="Calibri"/>
          <w:color w:val="008356"/>
          <w:sz w:val="11"/>
        </w:rPr>
        <w:t>NICORANDIL</w:t>
      </w:r>
    </w:p>
    <w:p>
      <w:pPr>
        <w:pStyle w:val="BodyText"/>
        <w:spacing w:line="230" w:lineRule="auto" w:before="3"/>
        <w:ind w:right="379" w:hanging="100"/>
        <w:jc w:val="both"/>
      </w:pPr>
      <w:r>
        <w:rPr>
          <w:rFonts w:ascii="Lucida Sans Unicode" w:hAnsi="Lucida Sans Unicode"/>
          <w:color w:val="A7A8AC"/>
          <w:w w:val="95"/>
          <w:sz w:val="10"/>
        </w:rPr>
        <w:t>▶ </w:t>
      </w:r>
      <w:r>
        <w:rPr>
          <w:rFonts w:ascii="Calibri" w:hAnsi="Calibri"/>
          <w:color w:val="231F1F"/>
          <w:w w:val="110"/>
        </w:rPr>
        <w:t>Nitrates: </w:t>
      </w:r>
      <w:r>
        <w:rPr>
          <w:color w:val="231F1F"/>
          <w:w w:val="110"/>
        </w:rPr>
        <w:t>tricyclics reduce effects of sublingual tablets of </w:t>
      </w:r>
      <w:r>
        <w:rPr>
          <w:rFonts w:ascii="Calibri" w:hAnsi="Calibri"/>
          <w:color w:val="008356"/>
          <w:w w:val="110"/>
          <w:sz w:val="11"/>
        </w:rPr>
        <w:t>NITRATES </w:t>
      </w:r>
      <w:r>
        <w:rPr>
          <w:color w:val="231F1F"/>
          <w:w w:val="110"/>
        </w:rPr>
        <w:t>(failure to dissolve under tongue owing to dry mouth)</w:t>
      </w:r>
    </w:p>
    <w:p>
      <w:pPr>
        <w:pStyle w:val="BodyText"/>
        <w:spacing w:line="230" w:lineRule="auto" w:before="7"/>
        <w:ind w:right="88" w:hanging="100"/>
      </w:pPr>
      <w:r>
        <w:rPr>
          <w:rFonts w:ascii="Lucida Sans Unicode" w:hAnsi="Lucida Sans Unicode"/>
          <w:color w:val="A7A8AC"/>
          <w:w w:val="95"/>
          <w:sz w:val="10"/>
        </w:rPr>
        <w:t>▶ </w:t>
      </w:r>
      <w:r>
        <w:rPr>
          <w:rFonts w:ascii="Calibri" w:hAnsi="Calibri"/>
          <w:color w:val="231F1F"/>
          <w:w w:val="110"/>
        </w:rPr>
        <w:t>Oestrogens: </w:t>
      </w:r>
      <w:r>
        <w:rPr>
          <w:color w:val="231F1F"/>
          <w:w w:val="110"/>
        </w:rPr>
        <w:t>antidepressant effect of tricyclics antagonised by </w:t>
      </w:r>
      <w:r>
        <w:rPr>
          <w:rFonts w:ascii="Calibri" w:hAnsi="Calibri"/>
          <w:color w:val="008356"/>
          <w:w w:val="110"/>
          <w:sz w:val="11"/>
        </w:rPr>
        <w:t>OESTROGENS </w:t>
      </w:r>
      <w:r>
        <w:rPr>
          <w:color w:val="231F1F"/>
          <w:w w:val="110"/>
        </w:rPr>
        <w:t>(but side-effects of tricyclics possibly increased due to increased plasma concentration)</w:t>
      </w:r>
    </w:p>
    <w:p>
      <w:pPr>
        <w:spacing w:line="247" w:lineRule="auto" w:before="4"/>
        <w:ind w:left="208" w:right="0" w:hanging="100"/>
        <w:jc w:val="left"/>
        <w:rPr>
          <w:rFonts w:ascii="Calibri"/>
          <w:sz w:val="11"/>
        </w:rPr>
      </w:pPr>
      <w:r>
        <w:rPr>
          <w:rFonts w:ascii="Arial"/>
          <w:color w:val="231F1F"/>
          <w:w w:val="355"/>
          <w:position w:val="1"/>
          <w:sz w:val="7"/>
        </w:rPr>
        <w:t>l </w:t>
      </w:r>
      <w:r>
        <w:rPr>
          <w:rFonts w:ascii="Calibri"/>
          <w:color w:val="231F1F"/>
          <w:w w:val="110"/>
          <w:sz w:val="12"/>
        </w:rPr>
        <w:t>Pentamidine Isetionate: </w:t>
      </w:r>
      <w:r>
        <w:rPr>
          <w:color w:val="231F1F"/>
          <w:w w:val="110"/>
          <w:sz w:val="12"/>
        </w:rPr>
        <w:t>increased risk of ventricular arrhythmias when tricyclics given with </w:t>
      </w:r>
      <w:r>
        <w:rPr>
          <w:rFonts w:ascii="Arial"/>
          <w:color w:val="231F1F"/>
          <w:w w:val="355"/>
          <w:position w:val="1"/>
          <w:sz w:val="7"/>
        </w:rPr>
        <w:t>l </w:t>
      </w:r>
      <w:r>
        <w:rPr>
          <w:rFonts w:ascii="Calibri"/>
          <w:color w:val="008356"/>
          <w:w w:val="110"/>
          <w:sz w:val="11"/>
        </w:rPr>
        <w:t>PENTAMIDINE ISETIONATE</w:t>
      </w:r>
    </w:p>
    <w:p>
      <w:pPr>
        <w:pStyle w:val="BodyText"/>
        <w:spacing w:line="220" w:lineRule="auto" w:before="2"/>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Sodium Oxybate: </w:t>
      </w:r>
      <w:r>
        <w:rPr>
          <w:color w:val="231F1F"/>
          <w:w w:val="105"/>
        </w:rPr>
        <w:t>increased risk of side-effects when tricyclics given with </w:t>
      </w:r>
      <w:r>
        <w:rPr>
          <w:rFonts w:ascii="Calibri" w:hAnsi="Calibri"/>
          <w:color w:val="008356"/>
          <w:w w:val="105"/>
          <w:sz w:val="11"/>
        </w:rPr>
        <w:t>SODIUM OXYBATE</w:t>
      </w:r>
    </w:p>
    <w:p>
      <w:pPr>
        <w:spacing w:line="242" w:lineRule="auto" w:before="0"/>
        <w:ind w:left="208" w:right="181" w:hanging="100"/>
        <w:jc w:val="left"/>
        <w:rPr>
          <w:rFonts w:ascii="Calibri"/>
          <w:sz w:val="11"/>
        </w:rPr>
      </w:pPr>
      <w:r>
        <w:rPr>
          <w:rFonts w:ascii="Arial"/>
          <w:color w:val="231F1F"/>
          <w:w w:val="355"/>
          <w:position w:val="1"/>
          <w:sz w:val="7"/>
        </w:rPr>
        <w:t>l </w:t>
      </w:r>
      <w:r>
        <w:rPr>
          <w:rFonts w:ascii="Calibri"/>
          <w:color w:val="231F1F"/>
          <w:w w:val="110"/>
          <w:sz w:val="12"/>
        </w:rPr>
        <w:t>Sympathomimetics: </w:t>
      </w:r>
      <w:r>
        <w:rPr>
          <w:color w:val="231F1F"/>
          <w:w w:val="110"/>
          <w:sz w:val="12"/>
        </w:rPr>
        <w:t>increased risk of hypertension and arrhythmias when tricyclics given with </w:t>
      </w:r>
      <w:r>
        <w:rPr>
          <w:rFonts w:ascii="Arial"/>
          <w:color w:val="231F1F"/>
          <w:w w:val="355"/>
          <w:position w:val="1"/>
          <w:sz w:val="7"/>
        </w:rPr>
        <w:t>l </w:t>
      </w:r>
      <w:r>
        <w:rPr>
          <w:rFonts w:ascii="Calibri"/>
          <w:color w:val="008356"/>
          <w:w w:val="110"/>
          <w:sz w:val="11"/>
        </w:rPr>
        <w:t>ADRENALINE (EPINEPHRINE) </w:t>
      </w:r>
      <w:r>
        <w:rPr>
          <w:color w:val="231F1F"/>
          <w:w w:val="110"/>
          <w:sz w:val="12"/>
        </w:rPr>
        <w:t>(but local anaesthetics with adrenaline appear to be safe); metabolism of tricyclics possibly inhibited by </w:t>
      </w:r>
      <w:r>
        <w:rPr>
          <w:rFonts w:ascii="Calibri"/>
          <w:color w:val="008356"/>
          <w:w w:val="110"/>
          <w:sz w:val="11"/>
        </w:rPr>
        <w:t>METHYLPHENIDATE</w:t>
      </w:r>
      <w:r>
        <w:rPr>
          <w:color w:val="231F1F"/>
          <w:w w:val="110"/>
          <w:sz w:val="12"/>
        </w:rPr>
        <w:t>; increased risk of hypertension and arrhythmias when tricyclics given with </w:t>
      </w:r>
      <w:r>
        <w:rPr>
          <w:rFonts w:ascii="Arial"/>
          <w:color w:val="231F1F"/>
          <w:w w:val="355"/>
          <w:position w:val="1"/>
          <w:sz w:val="7"/>
        </w:rPr>
        <w:t>l </w:t>
      </w:r>
      <w:r>
        <w:rPr>
          <w:rFonts w:ascii="Calibri"/>
          <w:color w:val="008356"/>
          <w:w w:val="110"/>
          <w:sz w:val="11"/>
        </w:rPr>
        <w:t>NORADRENALINE (NOREPINEPHRINE) </w:t>
      </w:r>
      <w:r>
        <w:rPr>
          <w:color w:val="231F1F"/>
          <w:w w:val="110"/>
          <w:sz w:val="12"/>
        </w:rPr>
        <w:t>or </w:t>
      </w:r>
      <w:r>
        <w:rPr>
          <w:rFonts w:ascii="Calibri"/>
          <w:color w:val="008356"/>
          <w:w w:val="110"/>
          <w:sz w:val="11"/>
        </w:rPr>
        <w:t>PHENYLEPHRINE</w:t>
      </w:r>
    </w:p>
    <w:p>
      <w:pPr>
        <w:spacing w:line="230" w:lineRule="auto" w:before="4"/>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Thyroid Hormones: </w:t>
      </w:r>
      <w:r>
        <w:rPr>
          <w:color w:val="231F1F"/>
          <w:w w:val="105"/>
          <w:sz w:val="12"/>
        </w:rPr>
        <w:t>effects of tricyclics possibly enhanced by </w:t>
      </w:r>
      <w:r>
        <w:rPr>
          <w:rFonts w:ascii="Calibri" w:hAnsi="Calibri"/>
          <w:color w:val="008356"/>
          <w:w w:val="105"/>
          <w:sz w:val="11"/>
        </w:rPr>
        <w:t>THYROID HORMONES</w:t>
      </w:r>
      <w:r>
        <w:rPr>
          <w:color w:val="231F1F"/>
          <w:w w:val="105"/>
          <w:sz w:val="12"/>
        </w:rPr>
        <w:t>; effects of amitriptyline and imipramine enhanced by </w:t>
      </w:r>
      <w:r>
        <w:rPr>
          <w:rFonts w:ascii="Calibri" w:hAnsi="Calibri"/>
          <w:color w:val="008356"/>
          <w:w w:val="105"/>
          <w:sz w:val="11"/>
        </w:rPr>
        <w:t>THYROID HORMONES</w:t>
      </w:r>
    </w:p>
    <w:p>
      <w:pPr>
        <w:pStyle w:val="BodyText"/>
        <w:spacing w:line="237" w:lineRule="auto" w:before="1"/>
        <w:ind w:right="181" w:hanging="100"/>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tricyclics possibly increased by </w:t>
      </w:r>
      <w:r>
        <w:rPr>
          <w:rFonts w:ascii="Calibri" w:hAnsi="Calibri"/>
          <w:color w:val="008356"/>
          <w:w w:val="110"/>
          <w:sz w:val="11"/>
        </w:rPr>
        <w:t>CIMETIDINE</w:t>
      </w:r>
      <w:r>
        <w:rPr>
          <w:color w:val="231F1F"/>
          <w:w w:val="110"/>
        </w:rPr>
        <w:t>; metabolism of amitriptyline, doxepin, imipramine and nortriptyline inhibited by </w:t>
      </w:r>
      <w:r>
        <w:rPr>
          <w:rFonts w:ascii="Calibri" w:hAnsi="Calibri"/>
          <w:color w:val="008356"/>
          <w:w w:val="110"/>
          <w:sz w:val="11"/>
        </w:rPr>
        <w:t>CIMETIDINE </w:t>
      </w:r>
      <w:r>
        <w:rPr>
          <w:color w:val="231F1F"/>
          <w:w w:val="110"/>
        </w:rPr>
        <w:t>(increased plasma concentration)</w:t>
      </w:r>
    </w:p>
    <w:p>
      <w:pPr>
        <w:pStyle w:val="BodyText"/>
        <w:spacing w:before="6"/>
        <w:ind w:left="108"/>
        <w:jc w:val="both"/>
        <w:rPr>
          <w:rFonts w:ascii="Trebuchet MS"/>
        </w:rPr>
      </w:pPr>
      <w:r>
        <w:rPr>
          <w:rFonts w:ascii="Trebuchet MS"/>
          <w:color w:val="008356"/>
        </w:rPr>
        <w:t>Antidepressants, Tricyclic (related)</w:t>
      </w:r>
    </w:p>
    <w:p>
      <w:pPr>
        <w:pStyle w:val="BodyText"/>
        <w:spacing w:before="1"/>
        <w:ind w:right="393"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Alcohol:</w:t>
      </w:r>
      <w:r>
        <w:rPr>
          <w:rFonts w:ascii="Calibri"/>
          <w:color w:val="231F1F"/>
          <w:spacing w:val="-13"/>
          <w:w w:val="115"/>
        </w:rPr>
        <w:t> </w:t>
      </w:r>
      <w:r>
        <w:rPr>
          <w:color w:val="231F1F"/>
          <w:w w:val="115"/>
        </w:rPr>
        <w:t>increased</w:t>
      </w:r>
      <w:r>
        <w:rPr>
          <w:color w:val="231F1F"/>
          <w:spacing w:val="-18"/>
          <w:w w:val="115"/>
        </w:rPr>
        <w:t> </w:t>
      </w:r>
      <w:r>
        <w:rPr>
          <w:color w:val="231F1F"/>
          <w:w w:val="115"/>
        </w:rPr>
        <w:t>sedative</w:t>
      </w:r>
      <w:r>
        <w:rPr>
          <w:color w:val="231F1F"/>
          <w:spacing w:val="-16"/>
          <w:w w:val="115"/>
        </w:rPr>
        <w:t> </w:t>
      </w:r>
      <w:r>
        <w:rPr>
          <w:color w:val="231F1F"/>
          <w:w w:val="115"/>
        </w:rPr>
        <w:t>effect</w:t>
      </w:r>
      <w:r>
        <w:rPr>
          <w:color w:val="231F1F"/>
          <w:spacing w:val="-17"/>
          <w:w w:val="115"/>
        </w:rPr>
        <w:t> </w:t>
      </w:r>
      <w:r>
        <w:rPr>
          <w:color w:val="231F1F"/>
          <w:w w:val="115"/>
        </w:rPr>
        <w:t>when</w:t>
      </w:r>
      <w:r>
        <w:rPr>
          <w:color w:val="231F1F"/>
          <w:spacing w:val="-17"/>
          <w:w w:val="115"/>
        </w:rPr>
        <w:t> </w:t>
      </w:r>
      <w:r>
        <w:rPr>
          <w:color w:val="231F1F"/>
          <w:w w:val="115"/>
        </w:rPr>
        <w:t>tricyclic-related antidepressants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ALCOHOL</w:t>
      </w:r>
    </w:p>
    <w:p>
      <w:pPr>
        <w:pStyle w:val="BodyText"/>
        <w:spacing w:line="230" w:lineRule="auto" w:before="1"/>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w:t>
      </w:r>
      <w:r>
        <w:rPr>
          <w:rFonts w:ascii="Calibri" w:hAnsi="Calibri"/>
          <w:color w:val="231F1F"/>
          <w:w w:val="105"/>
          <w:vertAlign w:val="subscript"/>
        </w:rPr>
        <w:t>2</w:t>
      </w:r>
      <w:r>
        <w:rPr>
          <w:rFonts w:ascii="Calibri" w:hAnsi="Calibri"/>
          <w:color w:val="231F1F"/>
          <w:w w:val="105"/>
          <w:vertAlign w:val="baseline"/>
        </w:rPr>
        <w:t>-adrenoceptor Stimulants: </w:t>
      </w:r>
      <w:r>
        <w:rPr>
          <w:color w:val="231F1F"/>
          <w:w w:val="105"/>
          <w:vertAlign w:val="baseline"/>
        </w:rPr>
        <w:t>avoidance of tricyclic-related antidepressants advised by manufacturer of </w:t>
      </w:r>
      <w:r>
        <w:rPr>
          <w:rFonts w:ascii="Calibri" w:hAnsi="Calibri"/>
          <w:color w:val="008356"/>
          <w:spacing w:val="4"/>
          <w:w w:val="105"/>
          <w:sz w:val="11"/>
          <w:vertAlign w:val="baseline"/>
        </w:rPr>
        <w:t>APRACLONIDINE </w:t>
      </w:r>
      <w:r>
        <w:rPr>
          <w:color w:val="231F1F"/>
          <w:w w:val="105"/>
          <w:vertAlign w:val="baseline"/>
        </w:rPr>
        <w:t>and</w:t>
      </w:r>
      <w:r>
        <w:rPr>
          <w:color w:val="231F1F"/>
          <w:spacing w:val="-1"/>
          <w:w w:val="105"/>
          <w:vertAlign w:val="baseline"/>
        </w:rPr>
        <w:t> </w:t>
      </w:r>
      <w:r>
        <w:rPr>
          <w:rFonts w:ascii="Calibri" w:hAnsi="Calibri"/>
          <w:color w:val="008356"/>
          <w:spacing w:val="4"/>
          <w:w w:val="105"/>
          <w:sz w:val="11"/>
          <w:vertAlign w:val="baseline"/>
        </w:rPr>
        <w:t>BRIMONIDINE</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trazodone possibly increased by </w:t>
      </w:r>
      <w:r>
        <w:rPr>
          <w:rFonts w:ascii="Calibri" w:hAnsi="Calibri"/>
          <w:color w:val="008356"/>
          <w:w w:val="105"/>
          <w:sz w:val="11"/>
        </w:rPr>
        <w:t>CLARITHROMYCIN</w:t>
      </w:r>
    </w:p>
    <w:p>
      <w:pPr>
        <w:pStyle w:val="BodyText"/>
        <w:spacing w:line="220" w:lineRule="auto" w:before="9"/>
        <w:ind w:right="5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trazodone may enhance or reduce anticoagulant effect of </w:t>
      </w:r>
      <w:r>
        <w:rPr>
          <w:rFonts w:ascii="Calibri" w:hAnsi="Calibri"/>
          <w:color w:val="008356"/>
          <w:w w:val="105"/>
          <w:sz w:val="11"/>
        </w:rPr>
        <w:t>WARFARIN</w:t>
      </w:r>
    </w:p>
    <w:p>
      <w:pPr>
        <w:pStyle w:val="BodyText"/>
        <w:spacing w:line="244" w:lineRule="auto"/>
        <w:ind w:right="117" w:hanging="100"/>
      </w:pPr>
      <w:r>
        <w:rPr>
          <w:rFonts w:ascii="Arial" w:hAnsi="Arial"/>
          <w:color w:val="231F1F"/>
          <w:w w:val="355"/>
          <w:position w:val="1"/>
          <w:sz w:val="7"/>
        </w:rPr>
        <w:t>l </w:t>
      </w:r>
      <w:r>
        <w:rPr>
          <w:rFonts w:ascii="Calibri" w:hAnsi="Calibri"/>
          <w:color w:val="231F1F"/>
          <w:w w:val="110"/>
        </w:rPr>
        <w:t>Antidepressants: </w:t>
      </w:r>
      <w:r>
        <w:rPr>
          <w:color w:val="231F1F"/>
          <w:w w:val="110"/>
        </w:rPr>
        <w:t>tricyclic-related antidepressants should not be started until 2 weeks after stopping </w:t>
      </w:r>
      <w:r>
        <w:rPr>
          <w:rFonts w:ascii="Arial" w:hAnsi="Arial"/>
          <w:color w:val="231F1F"/>
          <w:w w:val="355"/>
          <w:position w:val="1"/>
          <w:sz w:val="7"/>
        </w:rPr>
        <w:t>l </w:t>
      </w:r>
      <w:r>
        <w:rPr>
          <w:rFonts w:ascii="Calibri" w:hAnsi="Calibri"/>
          <w:color w:val="008356"/>
          <w:w w:val="110"/>
          <w:sz w:val="11"/>
        </w:rPr>
        <w:t>MAOIS</w:t>
      </w:r>
      <w:r>
        <w:rPr>
          <w:color w:val="231F1F"/>
          <w:w w:val="110"/>
        </w:rPr>
        <w:t>, also MAOIs should not be started until at least 1</w:t>
      </w:r>
      <w:r>
        <w:rPr>
          <w:rFonts w:ascii="Arial" w:hAnsi="Arial"/>
          <w:color w:val="231F1F"/>
          <w:w w:val="110"/>
        </w:rPr>
        <w:t>–</w:t>
      </w:r>
      <w:r>
        <w:rPr>
          <w:color w:val="231F1F"/>
          <w:w w:val="110"/>
        </w:rPr>
        <w:t>2 weeks after stopping tricyclic-related antidepressants; after stopping tricyclic- related antidepressants do not start </w:t>
      </w:r>
      <w:r>
        <w:rPr>
          <w:rFonts w:ascii="Arial" w:hAnsi="Arial"/>
          <w:color w:val="231F1F"/>
          <w:w w:val="355"/>
          <w:position w:val="1"/>
          <w:sz w:val="7"/>
        </w:rPr>
        <w:t>l </w:t>
      </w:r>
      <w:r>
        <w:rPr>
          <w:rFonts w:ascii="Calibri" w:hAnsi="Calibri"/>
          <w:color w:val="008356"/>
          <w:w w:val="110"/>
          <w:sz w:val="11"/>
        </w:rPr>
        <w:t>MOCLOBEMIDE </w:t>
      </w:r>
      <w:r>
        <w:rPr>
          <w:color w:val="231F1F"/>
          <w:w w:val="110"/>
        </w:rPr>
        <w:t>for at least 1 week</w:t>
      </w:r>
    </w:p>
    <w:p>
      <w:pPr>
        <w:pStyle w:val="BodyText"/>
        <w:spacing w:line="242" w:lineRule="auto"/>
        <w:ind w:right="88" w:hanging="100"/>
      </w:pPr>
      <w:r>
        <w:rPr>
          <w:rFonts w:ascii="Arial"/>
          <w:color w:val="231F1F"/>
          <w:w w:val="355"/>
          <w:position w:val="1"/>
          <w:sz w:val="7"/>
        </w:rPr>
        <w:t>l </w:t>
      </w:r>
      <w:r>
        <w:rPr>
          <w:rFonts w:ascii="Calibri"/>
          <w:color w:val="231F1F"/>
          <w:w w:val="110"/>
        </w:rPr>
        <w:t>Antiepileptics: </w:t>
      </w:r>
      <w:r>
        <w:rPr>
          <w:color w:val="231F1F"/>
          <w:w w:val="110"/>
        </w:rPr>
        <w:t>tricyclic-related antidepressants possibly antagonise anticonvulsant effect of </w:t>
      </w:r>
      <w:r>
        <w:rPr>
          <w:rFonts w:ascii="Arial"/>
          <w:color w:val="231F1F"/>
          <w:w w:val="355"/>
          <w:position w:val="1"/>
          <w:sz w:val="7"/>
        </w:rPr>
        <w:t>l </w:t>
      </w:r>
      <w:r>
        <w:rPr>
          <w:rFonts w:ascii="Calibri"/>
          <w:color w:val="008356"/>
          <w:w w:val="110"/>
          <w:sz w:val="11"/>
        </w:rPr>
        <w:t>ANTIEPILEPTICS </w:t>
      </w:r>
      <w:r>
        <w:rPr>
          <w:color w:val="231F1F"/>
          <w:w w:val="110"/>
        </w:rPr>
        <w:t>(convulsive threshold lowered); plasma concentration of mianserin and trazodone reduced by </w:t>
      </w:r>
      <w:r>
        <w:rPr>
          <w:rFonts w:ascii="Arial"/>
          <w:color w:val="231F1F"/>
          <w:w w:val="355"/>
          <w:position w:val="1"/>
          <w:sz w:val="7"/>
        </w:rPr>
        <w:t>l </w:t>
      </w:r>
      <w:r>
        <w:rPr>
          <w:rFonts w:ascii="Calibri"/>
          <w:color w:val="008356"/>
          <w:w w:val="110"/>
          <w:sz w:val="11"/>
        </w:rPr>
        <w:t>CARBAMAZEPINE</w:t>
      </w:r>
      <w:r>
        <w:rPr>
          <w:color w:val="231F1F"/>
          <w:w w:val="110"/>
        </w:rPr>
        <w:t>; plasma concentration of mianserin reduced by</w:t>
      </w:r>
    </w:p>
    <w:p>
      <w:pPr>
        <w:spacing w:line="242" w:lineRule="auto" w:before="4"/>
        <w:ind w:left="208" w:right="189" w:firstLine="0"/>
        <w:jc w:val="left"/>
        <w:rPr>
          <w:sz w:val="12"/>
        </w:rPr>
      </w:pP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FOSPHENYTOIN</w:t>
      </w:r>
      <w:r>
        <w:rPr>
          <w:rFonts w:ascii="Calibri"/>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PHENYTOIN</w:t>
      </w:r>
      <w:r>
        <w:rPr>
          <w:color w:val="231F1F"/>
          <w:spacing w:val="4"/>
          <w:w w:val="110"/>
          <w:sz w:val="12"/>
        </w:rPr>
        <w:t>;</w:t>
      </w:r>
      <w:r>
        <w:rPr>
          <w:color w:val="231F1F"/>
          <w:spacing w:val="-10"/>
          <w:w w:val="110"/>
          <w:sz w:val="12"/>
        </w:rPr>
        <w:t> </w:t>
      </w:r>
      <w:r>
        <w:rPr>
          <w:color w:val="231F1F"/>
          <w:w w:val="110"/>
          <w:sz w:val="12"/>
        </w:rPr>
        <w:t>metabolism</w:t>
      </w:r>
      <w:r>
        <w:rPr>
          <w:color w:val="231F1F"/>
          <w:spacing w:val="-10"/>
          <w:w w:val="110"/>
          <w:sz w:val="12"/>
        </w:rPr>
        <w:t> </w:t>
      </w:r>
      <w:r>
        <w:rPr>
          <w:color w:val="231F1F"/>
          <w:w w:val="110"/>
          <w:sz w:val="12"/>
        </w:rPr>
        <w:t>of</w:t>
      </w:r>
      <w:r>
        <w:rPr>
          <w:color w:val="231F1F"/>
          <w:spacing w:val="-11"/>
          <w:w w:val="110"/>
          <w:sz w:val="12"/>
        </w:rPr>
        <w:t> </w:t>
      </w:r>
      <w:r>
        <w:rPr>
          <w:color w:val="231F1F"/>
          <w:w w:val="110"/>
          <w:sz w:val="12"/>
        </w:rPr>
        <w:t>mianserin accelerated</w:t>
      </w:r>
      <w:r>
        <w:rPr>
          <w:color w:val="231F1F"/>
          <w:spacing w:val="-11"/>
          <w:w w:val="110"/>
          <w:sz w:val="12"/>
        </w:rPr>
        <w:t> </w:t>
      </w:r>
      <w:r>
        <w:rPr>
          <w:color w:val="231F1F"/>
          <w:w w:val="110"/>
          <w:sz w:val="12"/>
        </w:rPr>
        <w:t>by</w:t>
      </w:r>
      <w:r>
        <w:rPr>
          <w:color w:val="231F1F"/>
          <w:spacing w:val="-11"/>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PHENOBARBITAL</w:t>
      </w:r>
      <w:r>
        <w:rPr>
          <w:rFonts w:ascii="Calibri"/>
          <w:color w:val="008356"/>
          <w:spacing w:val="-2"/>
          <w:w w:val="110"/>
          <w:sz w:val="11"/>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PRIMIDONE</w:t>
      </w:r>
      <w:r>
        <w:rPr>
          <w:rFonts w:ascii="Calibri"/>
          <w:color w:val="008356"/>
          <w:spacing w:val="-1"/>
          <w:w w:val="110"/>
          <w:sz w:val="11"/>
        </w:rPr>
        <w:t> </w:t>
      </w:r>
      <w:r>
        <w:rPr>
          <w:color w:val="231F1F"/>
          <w:w w:val="110"/>
          <w:sz w:val="12"/>
        </w:rPr>
        <w:t>(reduced plasma</w:t>
      </w:r>
      <w:r>
        <w:rPr>
          <w:color w:val="231F1F"/>
          <w:spacing w:val="-3"/>
          <w:w w:val="110"/>
          <w:sz w:val="12"/>
        </w:rPr>
        <w:t> </w:t>
      </w:r>
      <w:r>
        <w:rPr>
          <w:color w:val="231F1F"/>
          <w:w w:val="110"/>
          <w:sz w:val="12"/>
        </w:rPr>
        <w:t>concentration)</w:t>
      </w:r>
    </w:p>
    <w:p>
      <w:pPr>
        <w:pStyle w:val="BodyText"/>
        <w:spacing w:line="242" w:lineRule="auto" w:before="2"/>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Antihistamines: </w:t>
      </w:r>
      <w:r>
        <w:rPr>
          <w:color w:val="231F1F"/>
          <w:w w:val="110"/>
        </w:rPr>
        <w:t>possible increased antimuscarinic and sedative effects when tricyclic-related antidepressants given with </w:t>
      </w:r>
      <w:r>
        <w:rPr>
          <w:rFonts w:ascii="Calibri" w:hAnsi="Calibri"/>
          <w:color w:val="008356"/>
          <w:w w:val="110"/>
          <w:sz w:val="11"/>
        </w:rPr>
        <w:t>ANTIHISTAMINES</w:t>
      </w:r>
    </w:p>
    <w:p>
      <w:pPr>
        <w:pStyle w:val="BodyText"/>
        <w:spacing w:line="140" w:lineRule="exact"/>
        <w:ind w:left="108"/>
      </w:pPr>
      <w:r>
        <w:rPr>
          <w:rFonts w:ascii="Arial"/>
          <w:color w:val="231F1F"/>
          <w:w w:val="355"/>
          <w:position w:val="1"/>
          <w:sz w:val="7"/>
        </w:rPr>
        <w:t>l </w:t>
      </w:r>
      <w:r>
        <w:rPr>
          <w:rFonts w:ascii="Calibri"/>
          <w:color w:val="231F1F"/>
          <w:w w:val="115"/>
        </w:rPr>
        <w:t>Antimalarials: </w:t>
      </w:r>
      <w:r>
        <w:rPr>
          <w:color w:val="231F1F"/>
          <w:w w:val="115"/>
        </w:rPr>
        <w:t>avoidance of antidepressants advised by</w:t>
      </w:r>
    </w:p>
    <w:p>
      <w:pPr>
        <w:spacing w:line="141" w:lineRule="exact" w:before="0"/>
        <w:ind w:left="208" w:right="0" w:firstLine="0"/>
        <w:jc w:val="left"/>
        <w:rPr>
          <w:sz w:val="12"/>
        </w:rPr>
      </w:pPr>
      <w:r>
        <w:rPr>
          <w:color w:val="231F1F"/>
          <w:w w:val="110"/>
          <w:sz w:val="12"/>
        </w:rPr>
        <w:t>manufacturer of </w:t>
      </w:r>
      <w:r>
        <w:rPr>
          <w:rFonts w:ascii="Arial"/>
          <w:color w:val="231F1F"/>
          <w:w w:val="355"/>
          <w:position w:val="1"/>
          <w:sz w:val="7"/>
        </w:rPr>
        <w:t>l </w:t>
      </w:r>
      <w:r>
        <w:rPr>
          <w:rFonts w:ascii="Calibri"/>
          <w:color w:val="008356"/>
          <w:spacing w:val="4"/>
          <w:w w:val="110"/>
          <w:sz w:val="11"/>
        </w:rPr>
        <w:t>ARTEMETHER </w:t>
      </w:r>
      <w:r>
        <w:rPr>
          <w:rFonts w:ascii="Calibri"/>
          <w:color w:val="008356"/>
          <w:spacing w:val="3"/>
          <w:w w:val="110"/>
          <w:sz w:val="11"/>
        </w:rPr>
        <w:t>WITH </w:t>
      </w:r>
      <w:r>
        <w:rPr>
          <w:rFonts w:ascii="Calibri"/>
          <w:color w:val="008356"/>
          <w:spacing w:val="4"/>
          <w:w w:val="110"/>
          <w:sz w:val="11"/>
        </w:rPr>
        <w:t>LUMEFANTRINE </w:t>
      </w:r>
      <w:r>
        <w:rPr>
          <w:color w:val="231F1F"/>
          <w:w w:val="110"/>
          <w:sz w:val="12"/>
        </w:rPr>
        <w:t>and</w:t>
      </w:r>
    </w:p>
    <w:p>
      <w:pPr>
        <w:spacing w:before="9"/>
        <w:ind w:left="208" w:right="0" w:firstLine="0"/>
        <w:jc w:val="left"/>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Antidepressants, Tricyclic (related) </w:t>
      </w:r>
      <w:r>
        <w:rPr>
          <w:rFonts w:ascii="Calibri"/>
          <w:color w:val="231F1F"/>
        </w:rPr>
        <w:t>(continued)</w:t>
      </w:r>
    </w:p>
    <w:p>
      <w:pPr>
        <w:pStyle w:val="BodyText"/>
        <w:spacing w:line="242" w:lineRule="auto"/>
        <w:ind w:right="670" w:hanging="100"/>
        <w:rPr>
          <w:rFonts w:ascii="Calibri" w:hAnsi="Calibri"/>
          <w:sz w:val="11"/>
        </w:rPr>
      </w:pPr>
      <w:r>
        <w:rPr/>
        <w:pict>
          <v:rect style="position:absolute;margin-left:398.891296pt;margin-top:-8.517115pt;width:20.522993pt;height:149.443pt;mso-position-horizontal-relative:page;mso-position-vertical-relative:paragraph;z-index:1696" filled="true" fillcolor="#bfdbcf" stroked="false">
            <v:fill type="solid"/>
            <w10:wrap type="none"/>
          </v:rect>
        </w:pict>
      </w:r>
      <w:r>
        <w:rPr/>
        <w:pict>
          <v:shape style="position:absolute;margin-left:399.725769pt;margin-top:-3.553726pt;width:10.4pt;height:78.850pt;mso-position-horizontal-relative:page;mso-position-vertical-relative:paragraph;z-index:172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Antimuscarinics: </w:t>
      </w:r>
      <w:r>
        <w:rPr>
          <w:color w:val="231F1F"/>
          <w:w w:val="110"/>
        </w:rPr>
        <w:t>possible increased antimuscarinic side-effects when tricyclic-related antidepressants given with </w:t>
      </w:r>
      <w:r>
        <w:rPr>
          <w:rFonts w:ascii="Calibri" w:hAnsi="Calibri"/>
          <w:color w:val="008356"/>
          <w:w w:val="110"/>
          <w:sz w:val="11"/>
        </w:rPr>
        <w:t>ANTIMUSCARINICS</w:t>
      </w:r>
    </w:p>
    <w:p>
      <w:pPr>
        <w:pStyle w:val="BodyText"/>
        <w:spacing w:line="140" w:lineRule="exact"/>
        <w:ind w:left="108"/>
      </w:pPr>
      <w:r>
        <w:rPr>
          <w:rFonts w:ascii="Arial"/>
          <w:color w:val="231F1F"/>
          <w:w w:val="355"/>
          <w:position w:val="1"/>
          <w:sz w:val="7"/>
        </w:rPr>
        <w:t>l </w:t>
      </w:r>
      <w:r>
        <w:rPr>
          <w:rFonts w:ascii="Calibri"/>
          <w:color w:val="231F1F"/>
          <w:w w:val="115"/>
        </w:rPr>
        <w:t>Antivirals: </w:t>
      </w:r>
      <w:r>
        <w:rPr>
          <w:color w:val="231F1F"/>
          <w:w w:val="115"/>
        </w:rPr>
        <w:t>plasma concentration of trazodone increased by</w:t>
      </w:r>
    </w:p>
    <w:p>
      <w:pPr>
        <w:pStyle w:val="BodyText"/>
        <w:spacing w:line="244" w:lineRule="auto"/>
        <w:ind w:right="670"/>
      </w:pPr>
      <w:r>
        <w:rPr>
          <w:rFonts w:ascii="Arial"/>
          <w:color w:val="231F1F"/>
          <w:w w:val="355"/>
          <w:position w:val="1"/>
          <w:sz w:val="7"/>
        </w:rPr>
        <w:t>l </w:t>
      </w:r>
      <w:r>
        <w:rPr>
          <w:rFonts w:ascii="Calibri"/>
          <w:color w:val="008356"/>
          <w:w w:val="110"/>
          <w:sz w:val="11"/>
        </w:rPr>
        <w:t>RITONAVIR </w:t>
      </w:r>
      <w:r>
        <w:rPr>
          <w:color w:val="231F1F"/>
          <w:w w:val="110"/>
        </w:rPr>
        <w:t>(increased risk of toxicity); increased risk of ventricular arrhythmias when trazodone given with</w:t>
      </w:r>
    </w:p>
    <w:p>
      <w:pPr>
        <w:spacing w:line="244" w:lineRule="auto" w:before="0"/>
        <w:ind w:left="208" w:right="670" w:firstLine="0"/>
        <w:jc w:val="left"/>
        <w:rPr>
          <w:rFonts w:ascii="Calibri" w:hAnsi="Calibri"/>
          <w:sz w:val="11"/>
        </w:rPr>
      </w:pP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sz w:val="12"/>
        </w:rPr>
        <w:t>—</w:t>
      </w:r>
      <w:r>
        <w:rPr>
          <w:color w:val="231F1F"/>
          <w:w w:val="110"/>
          <w:sz w:val="12"/>
        </w:rPr>
        <w:t>avoid concomitant use; plasma concentration of trazodone possibly increased by </w:t>
      </w:r>
      <w:r>
        <w:rPr>
          <w:rFonts w:ascii="Calibri" w:hAnsi="Calibri"/>
          <w:color w:val="008356"/>
          <w:w w:val="110"/>
          <w:sz w:val="11"/>
        </w:rPr>
        <w:t>TELAPREVIR</w:t>
      </w:r>
    </w:p>
    <w:p>
      <w:pPr>
        <w:spacing w:line="237" w:lineRule="auto" w:before="0"/>
        <w:ind w:left="208" w:right="7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tricyclic-related antidepressants given with </w:t>
      </w:r>
      <w:r>
        <w:rPr>
          <w:rFonts w:ascii="Calibri" w:hAnsi="Calibri"/>
          <w:color w:val="008356"/>
          <w:w w:val="105"/>
          <w:sz w:val="11"/>
        </w:rPr>
        <w:t>ANXIOLYTICS AND HYPNOTICS</w:t>
      </w:r>
    </w:p>
    <w:p>
      <w:pPr>
        <w:pStyle w:val="BodyText"/>
        <w:spacing w:line="220" w:lineRule="auto" w:before="1"/>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tricyclic-related antidepressants given with </w:t>
      </w:r>
      <w:r>
        <w:rPr>
          <w:rFonts w:ascii="Calibri" w:hAnsi="Calibri"/>
          <w:color w:val="008356"/>
          <w:w w:val="110"/>
          <w:sz w:val="11"/>
        </w:rPr>
        <w:t>DIAZOXIDE</w:t>
      </w:r>
    </w:p>
    <w:p>
      <w:pPr>
        <w:pStyle w:val="BodyText"/>
        <w:spacing w:line="230" w:lineRule="auto" w:before="3"/>
        <w:ind w:right="670" w:hanging="100"/>
      </w:pPr>
      <w:r>
        <w:rPr>
          <w:rFonts w:ascii="Lucida Sans Unicode" w:hAnsi="Lucida Sans Unicode"/>
          <w:color w:val="A7A8AC"/>
          <w:w w:val="95"/>
          <w:sz w:val="10"/>
        </w:rPr>
        <w:t>▶ </w:t>
      </w:r>
      <w:r>
        <w:rPr>
          <w:rFonts w:ascii="Calibri" w:hAnsi="Calibri"/>
          <w:color w:val="231F1F"/>
          <w:w w:val="110"/>
        </w:rPr>
        <w:t>Nitrates: </w:t>
      </w:r>
      <w:r>
        <w:rPr>
          <w:color w:val="231F1F"/>
          <w:w w:val="110"/>
        </w:rPr>
        <w:t>tricyclic-related antidepressants possibly reduce effects of sublingual tablets of </w:t>
      </w:r>
      <w:r>
        <w:rPr>
          <w:rFonts w:ascii="Calibri" w:hAnsi="Calibri"/>
          <w:color w:val="008356"/>
          <w:w w:val="110"/>
          <w:sz w:val="11"/>
        </w:rPr>
        <w:t>NITRATES </w:t>
      </w:r>
      <w:r>
        <w:rPr>
          <w:color w:val="231F1F"/>
          <w:w w:val="110"/>
        </w:rPr>
        <w:t>(failure to dissolve under tongue owing to dry mouth)</w:t>
      </w:r>
    </w:p>
    <w:p>
      <w:pPr>
        <w:spacing w:line="235" w:lineRule="auto" w:before="6"/>
        <w:ind w:left="208" w:right="90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tricyclic-related antidepressants given with </w:t>
      </w:r>
      <w:r>
        <w:rPr>
          <w:rFonts w:ascii="Calibri" w:hAnsi="Calibri"/>
          <w:color w:val="008356"/>
          <w:w w:val="105"/>
          <w:sz w:val="11"/>
        </w:rPr>
        <w:t>HYDRALAZINE </w:t>
      </w:r>
      <w:r>
        <w:rPr>
          <w:color w:val="231F1F"/>
          <w:w w:val="105"/>
          <w:sz w:val="12"/>
        </w:rPr>
        <w:t>or </w:t>
      </w:r>
      <w:r>
        <w:rPr>
          <w:rFonts w:ascii="Calibri" w:hAnsi="Calibri"/>
          <w:color w:val="008356"/>
          <w:w w:val="105"/>
          <w:sz w:val="11"/>
        </w:rPr>
        <w:t>SODIUM NITROPRUSSIDE</w:t>
      </w:r>
    </w:p>
    <w:p>
      <w:pPr>
        <w:pStyle w:val="BodyText"/>
        <w:spacing w:before="7"/>
        <w:ind w:left="108"/>
        <w:rPr>
          <w:rFonts w:ascii="Trebuchet MS"/>
        </w:rPr>
      </w:pPr>
      <w:r>
        <w:rPr>
          <w:rFonts w:ascii="Trebuchet MS"/>
          <w:color w:val="008356"/>
        </w:rPr>
        <w:t>Antidiabetics</w:t>
      </w:r>
    </w:p>
    <w:p>
      <w:pPr>
        <w:pStyle w:val="BodyText"/>
        <w:spacing w:line="244" w:lineRule="auto" w:before="4"/>
        <w:ind w:right="776"/>
        <w:jc w:val="both"/>
      </w:pPr>
      <w:r>
        <w:rPr>
          <w:rFonts w:ascii="Calibri"/>
          <w:color w:val="008356"/>
          <w:spacing w:val="3"/>
          <w:w w:val="115"/>
          <w:sz w:val="11"/>
        </w:rPr>
        <w:t>NOTE</w:t>
      </w:r>
      <w:r>
        <w:rPr>
          <w:rFonts w:ascii="Calibri"/>
          <w:color w:val="008356"/>
          <w:spacing w:val="-2"/>
          <w:w w:val="115"/>
          <w:sz w:val="11"/>
        </w:rPr>
        <w:t> </w:t>
      </w:r>
      <w:r>
        <w:rPr>
          <w:color w:val="231F1F"/>
          <w:w w:val="115"/>
        </w:rPr>
        <w:t>Other</w:t>
      </w:r>
      <w:r>
        <w:rPr>
          <w:color w:val="231F1F"/>
          <w:spacing w:val="-9"/>
          <w:w w:val="115"/>
        </w:rPr>
        <w:t> </w:t>
      </w:r>
      <w:r>
        <w:rPr>
          <w:color w:val="231F1F"/>
          <w:w w:val="115"/>
        </w:rPr>
        <w:t>drugs</w:t>
      </w:r>
      <w:r>
        <w:rPr>
          <w:color w:val="231F1F"/>
          <w:spacing w:val="-9"/>
          <w:w w:val="115"/>
        </w:rPr>
        <w:t> </w:t>
      </w:r>
      <w:r>
        <w:rPr>
          <w:color w:val="231F1F"/>
          <w:w w:val="115"/>
        </w:rPr>
        <w:t>administered</w:t>
      </w:r>
      <w:r>
        <w:rPr>
          <w:color w:val="231F1F"/>
          <w:spacing w:val="-9"/>
          <w:w w:val="115"/>
        </w:rPr>
        <w:t> </w:t>
      </w:r>
      <w:r>
        <w:rPr>
          <w:color w:val="231F1F"/>
          <w:w w:val="115"/>
        </w:rPr>
        <w:t>orally</w:t>
      </w:r>
      <w:r>
        <w:rPr>
          <w:color w:val="231F1F"/>
          <w:spacing w:val="-9"/>
          <w:w w:val="115"/>
        </w:rPr>
        <w:t> </w:t>
      </w:r>
      <w:r>
        <w:rPr>
          <w:color w:val="231F1F"/>
          <w:w w:val="115"/>
        </w:rPr>
        <w:t>may</w:t>
      </w:r>
      <w:r>
        <w:rPr>
          <w:color w:val="231F1F"/>
          <w:spacing w:val="-9"/>
          <w:w w:val="115"/>
        </w:rPr>
        <w:t> </w:t>
      </w:r>
      <w:r>
        <w:rPr>
          <w:color w:val="231F1F"/>
          <w:w w:val="115"/>
        </w:rPr>
        <w:t>need</w:t>
      </w:r>
      <w:r>
        <w:rPr>
          <w:color w:val="231F1F"/>
          <w:spacing w:val="-9"/>
          <w:w w:val="115"/>
        </w:rPr>
        <w:t> </w:t>
      </w:r>
      <w:r>
        <w:rPr>
          <w:color w:val="231F1F"/>
          <w:w w:val="115"/>
        </w:rPr>
        <w:t>to</w:t>
      </w:r>
      <w:r>
        <w:rPr>
          <w:color w:val="231F1F"/>
          <w:spacing w:val="-9"/>
          <w:w w:val="115"/>
        </w:rPr>
        <w:t> </w:t>
      </w:r>
      <w:r>
        <w:rPr>
          <w:color w:val="231F1F"/>
          <w:w w:val="115"/>
        </w:rPr>
        <w:t>be</w:t>
      </w:r>
      <w:r>
        <w:rPr>
          <w:color w:val="231F1F"/>
          <w:spacing w:val="-8"/>
          <w:w w:val="115"/>
        </w:rPr>
        <w:t> </w:t>
      </w:r>
      <w:r>
        <w:rPr>
          <w:color w:val="231F1F"/>
          <w:w w:val="115"/>
        </w:rPr>
        <w:t>taken at</w:t>
      </w:r>
      <w:r>
        <w:rPr>
          <w:color w:val="231F1F"/>
          <w:spacing w:val="-4"/>
          <w:w w:val="115"/>
        </w:rPr>
        <w:t> </w:t>
      </w:r>
      <w:r>
        <w:rPr>
          <w:color w:val="231F1F"/>
          <w:w w:val="115"/>
        </w:rPr>
        <w:t>least</w:t>
      </w:r>
      <w:r>
        <w:rPr>
          <w:color w:val="231F1F"/>
          <w:spacing w:val="-4"/>
          <w:w w:val="115"/>
        </w:rPr>
        <w:t> </w:t>
      </w:r>
      <w:r>
        <w:rPr>
          <w:color w:val="231F1F"/>
          <w:w w:val="115"/>
        </w:rPr>
        <w:t>1</w:t>
      </w:r>
      <w:r>
        <w:rPr>
          <w:color w:val="231F1F"/>
          <w:spacing w:val="-4"/>
          <w:w w:val="115"/>
        </w:rPr>
        <w:t> </w:t>
      </w:r>
      <w:r>
        <w:rPr>
          <w:color w:val="231F1F"/>
          <w:w w:val="115"/>
        </w:rPr>
        <w:t>hour</w:t>
      </w:r>
      <w:r>
        <w:rPr>
          <w:color w:val="231F1F"/>
          <w:spacing w:val="-5"/>
          <w:w w:val="115"/>
        </w:rPr>
        <w:t> </w:t>
      </w:r>
      <w:r>
        <w:rPr>
          <w:color w:val="231F1F"/>
          <w:w w:val="115"/>
        </w:rPr>
        <w:t>before</w:t>
      </w:r>
      <w:r>
        <w:rPr>
          <w:color w:val="231F1F"/>
          <w:spacing w:val="-4"/>
          <w:w w:val="115"/>
        </w:rPr>
        <w:t> </w:t>
      </w:r>
      <w:r>
        <w:rPr>
          <w:color w:val="231F1F"/>
          <w:w w:val="115"/>
        </w:rPr>
        <w:t>or</w:t>
      </w:r>
      <w:r>
        <w:rPr>
          <w:color w:val="231F1F"/>
          <w:spacing w:val="-4"/>
          <w:w w:val="115"/>
        </w:rPr>
        <w:t> </w:t>
      </w:r>
      <w:r>
        <w:rPr>
          <w:color w:val="231F1F"/>
          <w:w w:val="115"/>
        </w:rPr>
        <w:t>4</w:t>
      </w:r>
      <w:r>
        <w:rPr>
          <w:color w:val="231F1F"/>
          <w:spacing w:val="-4"/>
          <w:w w:val="115"/>
        </w:rPr>
        <w:t> </w:t>
      </w:r>
      <w:r>
        <w:rPr>
          <w:color w:val="231F1F"/>
          <w:w w:val="115"/>
        </w:rPr>
        <w:t>hours</w:t>
      </w:r>
      <w:r>
        <w:rPr>
          <w:color w:val="231F1F"/>
          <w:spacing w:val="-4"/>
          <w:w w:val="115"/>
        </w:rPr>
        <w:t> </w:t>
      </w:r>
      <w:r>
        <w:rPr>
          <w:color w:val="231F1F"/>
          <w:w w:val="115"/>
        </w:rPr>
        <w:t>after</w:t>
      </w:r>
      <w:r>
        <w:rPr>
          <w:color w:val="231F1F"/>
          <w:spacing w:val="-3"/>
          <w:w w:val="115"/>
        </w:rPr>
        <w:t> </w:t>
      </w:r>
      <w:r>
        <w:rPr>
          <w:color w:val="231F1F"/>
          <w:w w:val="115"/>
        </w:rPr>
        <w:t>lixisenatide</w:t>
      </w:r>
      <w:r>
        <w:rPr>
          <w:color w:val="231F1F"/>
          <w:spacing w:val="-5"/>
          <w:w w:val="115"/>
        </w:rPr>
        <w:t> </w:t>
      </w:r>
      <w:r>
        <w:rPr>
          <w:color w:val="231F1F"/>
          <w:w w:val="115"/>
        </w:rPr>
        <w:t>injection, or</w:t>
      </w:r>
      <w:r>
        <w:rPr>
          <w:color w:val="231F1F"/>
          <w:spacing w:val="-4"/>
          <w:w w:val="115"/>
        </w:rPr>
        <w:t> </w:t>
      </w:r>
      <w:r>
        <w:rPr>
          <w:color w:val="231F1F"/>
          <w:w w:val="115"/>
        </w:rPr>
        <w:t>taken</w:t>
      </w:r>
      <w:r>
        <w:rPr>
          <w:color w:val="231F1F"/>
          <w:spacing w:val="-5"/>
          <w:w w:val="115"/>
        </w:rPr>
        <w:t> </w:t>
      </w:r>
      <w:r>
        <w:rPr>
          <w:color w:val="231F1F"/>
          <w:w w:val="115"/>
        </w:rPr>
        <w:t>with</w:t>
      </w:r>
      <w:r>
        <w:rPr>
          <w:color w:val="231F1F"/>
          <w:spacing w:val="-3"/>
          <w:w w:val="115"/>
        </w:rPr>
        <w:t> </w:t>
      </w:r>
      <w:r>
        <w:rPr>
          <w:color w:val="231F1F"/>
          <w:w w:val="115"/>
        </w:rPr>
        <w:t>a</w:t>
      </w:r>
      <w:r>
        <w:rPr>
          <w:color w:val="231F1F"/>
          <w:spacing w:val="-3"/>
          <w:w w:val="115"/>
        </w:rPr>
        <w:t> </w:t>
      </w:r>
      <w:r>
        <w:rPr>
          <w:color w:val="231F1F"/>
          <w:w w:val="115"/>
        </w:rPr>
        <w:t>meal</w:t>
      </w:r>
      <w:r>
        <w:rPr>
          <w:color w:val="231F1F"/>
          <w:spacing w:val="-2"/>
          <w:w w:val="115"/>
        </w:rPr>
        <w:t> </w:t>
      </w:r>
      <w:r>
        <w:rPr>
          <w:color w:val="231F1F"/>
          <w:w w:val="115"/>
        </w:rPr>
        <w:t>when</w:t>
      </w:r>
      <w:r>
        <w:rPr>
          <w:color w:val="231F1F"/>
          <w:spacing w:val="-5"/>
          <w:w w:val="115"/>
        </w:rPr>
        <w:t> </w:t>
      </w:r>
      <w:r>
        <w:rPr>
          <w:color w:val="231F1F"/>
          <w:w w:val="115"/>
        </w:rPr>
        <w:t>lixisenatide</w:t>
      </w:r>
      <w:r>
        <w:rPr>
          <w:color w:val="231F1F"/>
          <w:spacing w:val="-4"/>
          <w:w w:val="115"/>
        </w:rPr>
        <w:t> </w:t>
      </w:r>
      <w:r>
        <w:rPr>
          <w:color w:val="231F1F"/>
          <w:w w:val="115"/>
        </w:rPr>
        <w:t>is</w:t>
      </w:r>
      <w:r>
        <w:rPr>
          <w:color w:val="231F1F"/>
          <w:spacing w:val="-3"/>
          <w:w w:val="115"/>
        </w:rPr>
        <w:t> </w:t>
      </w:r>
      <w:r>
        <w:rPr>
          <w:color w:val="231F1F"/>
          <w:w w:val="115"/>
        </w:rPr>
        <w:t>not</w:t>
      </w:r>
      <w:r>
        <w:rPr>
          <w:color w:val="231F1F"/>
          <w:spacing w:val="-3"/>
          <w:w w:val="115"/>
        </w:rPr>
        <w:t> </w:t>
      </w:r>
      <w:r>
        <w:rPr>
          <w:color w:val="231F1F"/>
          <w:w w:val="115"/>
        </w:rPr>
        <w:t>administered, to minimise possible interference with</w:t>
      </w:r>
      <w:r>
        <w:rPr>
          <w:color w:val="231F1F"/>
          <w:spacing w:val="-19"/>
          <w:w w:val="115"/>
        </w:rPr>
        <w:t> </w:t>
      </w:r>
      <w:r>
        <w:rPr>
          <w:color w:val="231F1F"/>
          <w:w w:val="115"/>
        </w:rPr>
        <w:t>absorption</w:t>
      </w:r>
    </w:p>
    <w:p>
      <w:pPr>
        <w:pStyle w:val="BodyText"/>
        <w:spacing w:line="244" w:lineRule="auto" w:before="2"/>
        <w:ind w:right="695"/>
      </w:pPr>
      <w:r>
        <w:rPr>
          <w:rFonts w:ascii="Calibri"/>
          <w:color w:val="008356"/>
          <w:w w:val="115"/>
          <w:sz w:val="11"/>
        </w:rPr>
        <w:t>NOTE </w:t>
      </w:r>
      <w:r>
        <w:rPr>
          <w:color w:val="231F1F"/>
          <w:w w:val="115"/>
        </w:rPr>
        <w:t>Other drugs administered orally may need to be taken at least 1 hour before or 4 hours after exenatide injection, or taken with a meal when exenatide is not administered, to minimise possible interference with absorption</w:t>
      </w:r>
    </w:p>
    <w:p>
      <w:pPr>
        <w:pStyle w:val="BodyText"/>
        <w:spacing w:line="22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hypoglycaemic effect of insulin, metformin and sulfonylureas possibly enhanced by </w:t>
      </w:r>
      <w:r>
        <w:rPr>
          <w:rFonts w:ascii="Calibri" w:hAnsi="Calibri"/>
          <w:color w:val="008356"/>
          <w:w w:val="105"/>
          <w:sz w:val="11"/>
        </w:rPr>
        <w:t>ACE INHIBITORS</w:t>
      </w:r>
    </w:p>
    <w:p>
      <w:pPr>
        <w:pStyle w:val="BodyText"/>
        <w:spacing w:line="230" w:lineRule="auto" w:before="5"/>
        <w:ind w:right="84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hypoglycaemic effect of antidiabetics enhanced by </w:t>
      </w:r>
      <w:r>
        <w:rPr>
          <w:rFonts w:ascii="Calibri" w:hAnsi="Calibri"/>
          <w:color w:val="008356"/>
          <w:w w:val="105"/>
          <w:sz w:val="11"/>
        </w:rPr>
        <w:t>ALCOHOL</w:t>
      </w:r>
      <w:r>
        <w:rPr>
          <w:color w:val="231F1F"/>
          <w:w w:val="105"/>
        </w:rPr>
        <w:t>; increased risk of lactic acidosis when metformin given with </w:t>
      </w:r>
      <w:r>
        <w:rPr>
          <w:rFonts w:ascii="Calibri" w:hAnsi="Calibri"/>
          <w:color w:val="008356"/>
          <w:w w:val="105"/>
          <w:sz w:val="11"/>
        </w:rPr>
        <w:t>ALCOHOL</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Anabolic Steroids: </w:t>
      </w:r>
      <w:r>
        <w:rPr>
          <w:color w:val="231F1F"/>
          <w:w w:val="105"/>
        </w:rPr>
        <w:t>hypoglycaemic effect of antidiabetics possibly enhanced by </w:t>
      </w:r>
      <w:r>
        <w:rPr>
          <w:rFonts w:ascii="Calibri" w:hAnsi="Calibri"/>
          <w:color w:val="008356"/>
          <w:w w:val="105"/>
          <w:sz w:val="11"/>
        </w:rPr>
        <w:t>ANABOLIC STEROIDS</w:t>
      </w:r>
    </w:p>
    <w:p>
      <w:pPr>
        <w:pStyle w:val="BodyText"/>
        <w:spacing w:line="146" w:lineRule="exact"/>
        <w:ind w:left="108"/>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Analgesics:</w:t>
      </w:r>
      <w:r>
        <w:rPr>
          <w:rFonts w:ascii="Calibri"/>
          <w:color w:val="231F1F"/>
          <w:spacing w:val="-14"/>
          <w:w w:val="115"/>
        </w:rPr>
        <w:t> </w:t>
      </w:r>
      <w:r>
        <w:rPr>
          <w:color w:val="231F1F"/>
          <w:w w:val="115"/>
        </w:rPr>
        <w:t>effects</w:t>
      </w:r>
      <w:r>
        <w:rPr>
          <w:color w:val="231F1F"/>
          <w:spacing w:val="-18"/>
          <w:w w:val="115"/>
        </w:rPr>
        <w:t> </w:t>
      </w:r>
      <w:r>
        <w:rPr>
          <w:color w:val="231F1F"/>
          <w:w w:val="115"/>
        </w:rPr>
        <w:t>of</w:t>
      </w:r>
      <w:r>
        <w:rPr>
          <w:color w:val="231F1F"/>
          <w:spacing w:val="-17"/>
          <w:w w:val="115"/>
        </w:rPr>
        <w:t> </w:t>
      </w:r>
      <w:r>
        <w:rPr>
          <w:color w:val="231F1F"/>
          <w:w w:val="115"/>
        </w:rPr>
        <w:t>sulfonylureas</w:t>
      </w:r>
      <w:r>
        <w:rPr>
          <w:color w:val="231F1F"/>
          <w:spacing w:val="-17"/>
          <w:w w:val="115"/>
        </w:rPr>
        <w:t> </w:t>
      </w:r>
      <w:r>
        <w:rPr>
          <w:color w:val="231F1F"/>
          <w:w w:val="115"/>
        </w:rPr>
        <w:t>possibly</w:t>
      </w:r>
      <w:r>
        <w:rPr>
          <w:color w:val="231F1F"/>
          <w:spacing w:val="-18"/>
          <w:w w:val="115"/>
        </w:rPr>
        <w:t> </w:t>
      </w:r>
      <w:r>
        <w:rPr>
          <w:color w:val="231F1F"/>
          <w:w w:val="115"/>
        </w:rPr>
        <w:t>enhanced</w:t>
      </w:r>
      <w:r>
        <w:rPr>
          <w:color w:val="231F1F"/>
          <w:spacing w:val="-19"/>
          <w:w w:val="115"/>
        </w:rPr>
        <w:t> </w:t>
      </w:r>
      <w:r>
        <w:rPr>
          <w:color w:val="231F1F"/>
          <w:w w:val="115"/>
        </w:rPr>
        <w:t>by</w:t>
      </w:r>
    </w:p>
    <w:p>
      <w:pPr>
        <w:pStyle w:val="BodyText"/>
        <w:spacing w:line="141" w:lineRule="exact"/>
      </w:pPr>
      <w:r>
        <w:rPr>
          <w:rFonts w:ascii="Arial"/>
          <w:color w:val="231F1F"/>
          <w:w w:val="115"/>
          <w:position w:val="1"/>
          <w:sz w:val="7"/>
        </w:rPr>
        <w:t>l</w:t>
      </w:r>
      <w:r>
        <w:rPr>
          <w:rFonts w:ascii="Arial"/>
          <w:color w:val="231F1F"/>
          <w:spacing w:val="3"/>
          <w:w w:val="115"/>
          <w:position w:val="1"/>
          <w:sz w:val="7"/>
        </w:rPr>
        <w:t> </w:t>
      </w:r>
      <w:r>
        <w:rPr>
          <w:rFonts w:ascii="Calibri"/>
          <w:color w:val="008356"/>
          <w:spacing w:val="4"/>
          <w:w w:val="115"/>
          <w:sz w:val="11"/>
        </w:rPr>
        <w:t>NSAIDS</w:t>
      </w:r>
      <w:r>
        <w:rPr>
          <w:color w:val="231F1F"/>
          <w:spacing w:val="4"/>
          <w:w w:val="115"/>
        </w:rPr>
        <w:t>;</w:t>
      </w:r>
      <w:r>
        <w:rPr>
          <w:color w:val="231F1F"/>
          <w:spacing w:val="-6"/>
          <w:w w:val="115"/>
        </w:rPr>
        <w:t> </w:t>
      </w:r>
      <w:r>
        <w:rPr>
          <w:color w:val="231F1F"/>
          <w:w w:val="115"/>
        </w:rPr>
        <w:t>lixisenatide</w:t>
      </w:r>
      <w:r>
        <w:rPr>
          <w:color w:val="231F1F"/>
          <w:spacing w:val="-7"/>
          <w:w w:val="115"/>
        </w:rPr>
        <w:t> </w:t>
      </w:r>
      <w:r>
        <w:rPr>
          <w:color w:val="231F1F"/>
          <w:w w:val="115"/>
        </w:rPr>
        <w:t>possibly</w:t>
      </w:r>
      <w:r>
        <w:rPr>
          <w:color w:val="231F1F"/>
          <w:spacing w:val="-6"/>
          <w:w w:val="115"/>
        </w:rPr>
        <w:t> </w:t>
      </w:r>
      <w:r>
        <w:rPr>
          <w:color w:val="231F1F"/>
          <w:w w:val="115"/>
        </w:rPr>
        <w:t>reduces</w:t>
      </w:r>
      <w:r>
        <w:rPr>
          <w:color w:val="231F1F"/>
          <w:spacing w:val="-7"/>
          <w:w w:val="115"/>
        </w:rPr>
        <w:t> </w:t>
      </w:r>
      <w:r>
        <w:rPr>
          <w:color w:val="231F1F"/>
          <w:w w:val="115"/>
        </w:rPr>
        <w:t>the</w:t>
      </w:r>
      <w:r>
        <w:rPr>
          <w:color w:val="231F1F"/>
          <w:spacing w:val="-7"/>
          <w:w w:val="115"/>
        </w:rPr>
        <w:t> </w:t>
      </w:r>
      <w:r>
        <w:rPr>
          <w:color w:val="231F1F"/>
          <w:w w:val="115"/>
        </w:rPr>
        <w:t>absorption</w:t>
      </w:r>
      <w:r>
        <w:rPr>
          <w:color w:val="231F1F"/>
          <w:spacing w:val="-6"/>
          <w:w w:val="115"/>
        </w:rPr>
        <w:t> </w:t>
      </w:r>
      <w:r>
        <w:rPr>
          <w:color w:val="231F1F"/>
          <w:w w:val="115"/>
        </w:rPr>
        <w:t>of</w:t>
      </w:r>
    </w:p>
    <w:p>
      <w:pPr>
        <w:spacing w:line="140" w:lineRule="exact" w:before="3"/>
        <w:ind w:left="208" w:right="0" w:firstLine="0"/>
        <w:jc w:val="left"/>
        <w:rPr>
          <w:sz w:val="12"/>
        </w:rPr>
      </w:pPr>
      <w:r>
        <w:rPr>
          <w:rFonts w:ascii="Calibri"/>
          <w:color w:val="008356"/>
          <w:w w:val="115"/>
          <w:sz w:val="11"/>
        </w:rPr>
        <w:t>PARACETAMOL </w:t>
      </w:r>
      <w:r>
        <w:rPr>
          <w:color w:val="231F1F"/>
          <w:w w:val="115"/>
          <w:sz w:val="12"/>
        </w:rPr>
        <w:t>when given 1 to 4 hours before paracetamol</w:t>
      </w:r>
    </w:p>
    <w:p>
      <w:pPr>
        <w:pStyle w:val="BodyText"/>
        <w:spacing w:line="220" w:lineRule="auto" w:before="7"/>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hypoglycaemic effect of gliclazide, insulin and metformin possibly enhanced by</w:t>
      </w:r>
      <w:r>
        <w:rPr>
          <w:color w:val="231F1F"/>
          <w:spacing w:val="25"/>
          <w:w w:val="105"/>
        </w:rPr>
        <w:t> </w:t>
      </w:r>
      <w:r>
        <w:rPr>
          <w:rFonts w:ascii="Calibri" w:hAnsi="Calibri"/>
          <w:color w:val="008356"/>
          <w:spacing w:val="5"/>
          <w:w w:val="105"/>
          <w:sz w:val="11"/>
        </w:rPr>
        <w:t>DISOPYRAMIDE</w:t>
      </w:r>
    </w:p>
    <w:p>
      <w:pPr>
        <w:pStyle w:val="BodyText"/>
        <w:spacing w:line="242" w:lineRule="auto"/>
        <w:ind w:right="734" w:hanging="100"/>
      </w:pPr>
      <w:r>
        <w:rPr>
          <w:rFonts w:ascii="Arial"/>
          <w:color w:val="231F1F"/>
          <w:w w:val="355"/>
          <w:position w:val="1"/>
          <w:sz w:val="7"/>
        </w:rPr>
        <w:t>l </w:t>
      </w:r>
      <w:r>
        <w:rPr>
          <w:rFonts w:ascii="Calibri"/>
          <w:color w:val="231F1F"/>
          <w:w w:val="110"/>
        </w:rPr>
        <w:t>Antibacterials: </w:t>
      </w:r>
      <w:r>
        <w:rPr>
          <w:color w:val="231F1F"/>
          <w:w w:val="110"/>
        </w:rPr>
        <w:t>hypoglycaemic effect of acarbose possibly enhanced by </w:t>
      </w:r>
      <w:r>
        <w:rPr>
          <w:rFonts w:ascii="Calibri"/>
          <w:color w:val="008356"/>
          <w:spacing w:val="4"/>
          <w:w w:val="110"/>
          <w:sz w:val="11"/>
        </w:rPr>
        <w:t>NEOMYCIN</w:t>
      </w:r>
      <w:r>
        <w:rPr>
          <w:color w:val="231F1F"/>
          <w:spacing w:val="4"/>
          <w:w w:val="110"/>
        </w:rPr>
        <w:t>, </w:t>
      </w:r>
      <w:r>
        <w:rPr>
          <w:color w:val="231F1F"/>
          <w:w w:val="110"/>
        </w:rPr>
        <w:t>also severity of gastro-intestinal effects increased; effects of repaglinide enhanced by </w:t>
      </w:r>
      <w:r>
        <w:rPr>
          <w:rFonts w:ascii="Calibri"/>
          <w:color w:val="008356"/>
          <w:spacing w:val="4"/>
          <w:w w:val="110"/>
          <w:sz w:val="11"/>
        </w:rPr>
        <w:t>CLARITHROMYCIN</w:t>
      </w:r>
      <w:r>
        <w:rPr>
          <w:color w:val="231F1F"/>
          <w:spacing w:val="4"/>
          <w:w w:val="110"/>
        </w:rPr>
        <w:t>;</w:t>
      </w:r>
      <w:r>
        <w:rPr>
          <w:color w:val="231F1F"/>
          <w:spacing w:val="-9"/>
          <w:w w:val="110"/>
        </w:rPr>
        <w:t> </w:t>
      </w:r>
      <w:r>
        <w:rPr>
          <w:color w:val="231F1F"/>
          <w:w w:val="110"/>
        </w:rPr>
        <w:t>effects</w:t>
      </w:r>
      <w:r>
        <w:rPr>
          <w:color w:val="231F1F"/>
          <w:spacing w:val="-10"/>
          <w:w w:val="110"/>
        </w:rPr>
        <w:t> </w:t>
      </w:r>
      <w:r>
        <w:rPr>
          <w:color w:val="231F1F"/>
          <w:w w:val="110"/>
        </w:rPr>
        <w:t>of</w:t>
      </w:r>
      <w:r>
        <w:rPr>
          <w:color w:val="231F1F"/>
          <w:spacing w:val="-10"/>
          <w:w w:val="110"/>
        </w:rPr>
        <w:t> </w:t>
      </w:r>
      <w:r>
        <w:rPr>
          <w:color w:val="231F1F"/>
          <w:w w:val="110"/>
        </w:rPr>
        <w:t>glibenclamide</w:t>
      </w:r>
      <w:r>
        <w:rPr>
          <w:color w:val="231F1F"/>
          <w:spacing w:val="-10"/>
          <w:w w:val="110"/>
        </w:rPr>
        <w:t> </w:t>
      </w:r>
      <w:r>
        <w:rPr>
          <w:color w:val="231F1F"/>
          <w:w w:val="110"/>
        </w:rPr>
        <w:t>possibly</w:t>
      </w:r>
      <w:r>
        <w:rPr>
          <w:color w:val="231F1F"/>
          <w:spacing w:val="-10"/>
          <w:w w:val="110"/>
        </w:rPr>
        <w:t> </w:t>
      </w:r>
      <w:r>
        <w:rPr>
          <w:color w:val="231F1F"/>
          <w:w w:val="110"/>
        </w:rPr>
        <w:t>enhanced by </w:t>
      </w:r>
      <w:r>
        <w:rPr>
          <w:rFonts w:ascii="Calibri"/>
          <w:color w:val="008356"/>
          <w:spacing w:val="4"/>
          <w:w w:val="110"/>
          <w:sz w:val="11"/>
        </w:rPr>
        <w:t>NORFLOXACIN</w:t>
      </w:r>
      <w:r>
        <w:rPr>
          <w:color w:val="231F1F"/>
          <w:spacing w:val="4"/>
          <w:w w:val="110"/>
        </w:rPr>
        <w:t>; </w:t>
      </w:r>
      <w:r>
        <w:rPr>
          <w:color w:val="231F1F"/>
          <w:w w:val="110"/>
        </w:rPr>
        <w:t>plasma concentration of canagliflozin and nateglinide reduced by </w:t>
      </w:r>
      <w:r>
        <w:rPr>
          <w:rFonts w:ascii="Arial"/>
          <w:color w:val="231F1F"/>
          <w:w w:val="355"/>
          <w:position w:val="1"/>
          <w:sz w:val="7"/>
        </w:rPr>
        <w:t>l </w:t>
      </w:r>
      <w:r>
        <w:rPr>
          <w:rFonts w:ascii="Calibri"/>
          <w:color w:val="008356"/>
          <w:spacing w:val="4"/>
          <w:w w:val="110"/>
          <w:sz w:val="11"/>
        </w:rPr>
        <w:t>RIFAMPICIN</w:t>
      </w:r>
      <w:r>
        <w:rPr>
          <w:color w:val="231F1F"/>
          <w:spacing w:val="4"/>
          <w:w w:val="110"/>
        </w:rPr>
        <w:t>; </w:t>
      </w:r>
      <w:r>
        <w:rPr>
          <w:color w:val="231F1F"/>
          <w:w w:val="110"/>
        </w:rPr>
        <w:t>effects of linagliptin possibly reduced by </w:t>
      </w:r>
      <w:r>
        <w:rPr>
          <w:rFonts w:ascii="Calibri"/>
          <w:color w:val="008356"/>
          <w:spacing w:val="4"/>
          <w:w w:val="110"/>
          <w:sz w:val="11"/>
        </w:rPr>
        <w:t>RIFAMPICIN</w:t>
      </w:r>
      <w:r>
        <w:rPr>
          <w:color w:val="231F1F"/>
          <w:spacing w:val="4"/>
          <w:w w:val="110"/>
        </w:rPr>
        <w:t>; </w:t>
      </w:r>
      <w:r>
        <w:rPr>
          <w:color w:val="231F1F"/>
          <w:w w:val="110"/>
        </w:rPr>
        <w:t>hypoglycaemic effect of repaglinide possibly antagonised by </w:t>
      </w:r>
      <w:r>
        <w:rPr>
          <w:rFonts w:ascii="Calibri"/>
          <w:color w:val="008356"/>
          <w:spacing w:val="4"/>
          <w:w w:val="110"/>
          <w:sz w:val="11"/>
        </w:rPr>
        <w:t>RIFAMPICIN</w:t>
      </w:r>
      <w:r>
        <w:rPr>
          <w:color w:val="231F1F"/>
          <w:spacing w:val="4"/>
          <w:w w:val="110"/>
        </w:rPr>
        <w:t>; </w:t>
      </w:r>
      <w:r>
        <w:rPr>
          <w:color w:val="231F1F"/>
          <w:w w:val="110"/>
        </w:rPr>
        <w:t>effects of sulfonylureas</w:t>
      </w:r>
      <w:r>
        <w:rPr>
          <w:color w:val="231F1F"/>
          <w:spacing w:val="-7"/>
          <w:w w:val="110"/>
        </w:rPr>
        <w:t> </w:t>
      </w:r>
      <w:r>
        <w:rPr>
          <w:color w:val="231F1F"/>
          <w:w w:val="110"/>
        </w:rPr>
        <w:t>enhanced</w:t>
      </w:r>
      <w:r>
        <w:rPr>
          <w:color w:val="231F1F"/>
          <w:spacing w:val="-8"/>
          <w:w w:val="110"/>
        </w:rPr>
        <w:t> </w:t>
      </w:r>
      <w:r>
        <w:rPr>
          <w:color w:val="231F1F"/>
          <w:w w:val="110"/>
        </w:rPr>
        <w:t>by</w:t>
      </w:r>
      <w:r>
        <w:rPr>
          <w:color w:val="231F1F"/>
          <w:spacing w:val="-7"/>
          <w:w w:val="110"/>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CHLORAMPHENICOL</w:t>
      </w:r>
      <w:r>
        <w:rPr>
          <w:color w:val="231F1F"/>
          <w:spacing w:val="4"/>
          <w:w w:val="110"/>
        </w:rPr>
        <w:t>;</w:t>
      </w:r>
      <w:r>
        <w:rPr>
          <w:color w:val="231F1F"/>
          <w:spacing w:val="-7"/>
          <w:w w:val="110"/>
        </w:rPr>
        <w:t> </w:t>
      </w:r>
      <w:r>
        <w:rPr>
          <w:color w:val="231F1F"/>
          <w:w w:val="110"/>
        </w:rPr>
        <w:t>metabolism of tolbutamide accelerated by </w:t>
      </w:r>
      <w:r>
        <w:rPr>
          <w:rFonts w:ascii="Arial"/>
          <w:color w:val="231F1F"/>
          <w:w w:val="355"/>
          <w:position w:val="1"/>
          <w:sz w:val="7"/>
        </w:rPr>
        <w:t>l </w:t>
      </w:r>
      <w:r>
        <w:rPr>
          <w:rFonts w:ascii="Calibri"/>
          <w:color w:val="008356"/>
          <w:spacing w:val="3"/>
          <w:w w:val="110"/>
          <w:sz w:val="11"/>
        </w:rPr>
        <w:t>RIFAMYCINS </w:t>
      </w:r>
      <w:r>
        <w:rPr>
          <w:color w:val="231F1F"/>
          <w:w w:val="110"/>
        </w:rPr>
        <w:t>(reduced effect); metabolism of sulfonylureas possibly accelerated</w:t>
      </w:r>
      <w:r>
        <w:rPr>
          <w:color w:val="231F1F"/>
          <w:spacing w:val="7"/>
          <w:w w:val="110"/>
        </w:rPr>
        <w:t> </w:t>
      </w:r>
      <w:r>
        <w:rPr>
          <w:color w:val="231F1F"/>
          <w:w w:val="110"/>
        </w:rPr>
        <w:t>by</w:t>
      </w:r>
    </w:p>
    <w:p>
      <w:pPr>
        <w:spacing w:line="244" w:lineRule="auto" w:before="11"/>
        <w:ind w:left="208" w:right="752"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RIFAMYCINS</w:t>
      </w:r>
      <w:r>
        <w:rPr>
          <w:rFonts w:ascii="Calibri" w:hAnsi="Calibri"/>
          <w:color w:val="008356"/>
          <w:spacing w:val="-12"/>
          <w:w w:val="115"/>
          <w:sz w:val="11"/>
        </w:rPr>
        <w:t> </w:t>
      </w:r>
      <w:r>
        <w:rPr>
          <w:color w:val="231F1F"/>
          <w:w w:val="115"/>
          <w:sz w:val="12"/>
        </w:rPr>
        <w:t>(reduced</w:t>
      </w:r>
      <w:r>
        <w:rPr>
          <w:color w:val="231F1F"/>
          <w:spacing w:val="-20"/>
          <w:w w:val="115"/>
          <w:sz w:val="12"/>
        </w:rPr>
        <w:t> </w:t>
      </w:r>
      <w:r>
        <w:rPr>
          <w:color w:val="231F1F"/>
          <w:w w:val="115"/>
          <w:sz w:val="12"/>
        </w:rPr>
        <w:t>effect);</w:t>
      </w:r>
      <w:r>
        <w:rPr>
          <w:color w:val="231F1F"/>
          <w:spacing w:val="-21"/>
          <w:w w:val="115"/>
          <w:sz w:val="12"/>
        </w:rPr>
        <w:t> </w:t>
      </w:r>
      <w:r>
        <w:rPr>
          <w:color w:val="231F1F"/>
          <w:w w:val="115"/>
          <w:sz w:val="12"/>
        </w:rPr>
        <w:t>effects</w:t>
      </w:r>
      <w:r>
        <w:rPr>
          <w:color w:val="231F1F"/>
          <w:spacing w:val="-20"/>
          <w:w w:val="115"/>
          <w:sz w:val="12"/>
        </w:rPr>
        <w:t> </w:t>
      </w:r>
      <w:r>
        <w:rPr>
          <w:color w:val="231F1F"/>
          <w:w w:val="115"/>
          <w:sz w:val="12"/>
        </w:rPr>
        <w:t>of</w:t>
      </w:r>
      <w:r>
        <w:rPr>
          <w:color w:val="231F1F"/>
          <w:spacing w:val="-20"/>
          <w:w w:val="115"/>
          <w:sz w:val="12"/>
        </w:rPr>
        <w:t> </w:t>
      </w:r>
      <w:r>
        <w:rPr>
          <w:color w:val="231F1F"/>
          <w:w w:val="115"/>
          <w:sz w:val="12"/>
        </w:rPr>
        <w:t>sulfonylureas</w:t>
      </w:r>
      <w:r>
        <w:rPr>
          <w:color w:val="231F1F"/>
          <w:spacing w:val="-21"/>
          <w:w w:val="115"/>
          <w:sz w:val="12"/>
        </w:rPr>
        <w:t> </w:t>
      </w:r>
      <w:r>
        <w:rPr>
          <w:color w:val="231F1F"/>
          <w:w w:val="115"/>
          <w:sz w:val="12"/>
        </w:rPr>
        <w:t>rarely enhanced by </w:t>
      </w:r>
      <w:r>
        <w:rPr>
          <w:rFonts w:ascii="Calibri" w:hAnsi="Calibri"/>
          <w:color w:val="008356"/>
          <w:spacing w:val="4"/>
          <w:w w:val="115"/>
          <w:sz w:val="11"/>
        </w:rPr>
        <w:t>SULFONAMIDES </w:t>
      </w:r>
      <w:r>
        <w:rPr>
          <w:color w:val="231F1F"/>
          <w:w w:val="115"/>
          <w:sz w:val="12"/>
        </w:rPr>
        <w:t>and </w:t>
      </w:r>
      <w:r>
        <w:rPr>
          <w:rFonts w:ascii="Calibri" w:hAnsi="Calibri"/>
          <w:color w:val="008356"/>
          <w:spacing w:val="4"/>
          <w:w w:val="115"/>
          <w:sz w:val="11"/>
        </w:rPr>
        <w:t>TRIMETHOPRIM</w:t>
      </w:r>
      <w:r>
        <w:rPr>
          <w:color w:val="231F1F"/>
          <w:spacing w:val="4"/>
          <w:w w:val="115"/>
          <w:sz w:val="12"/>
        </w:rPr>
        <w:t>; </w:t>
      </w:r>
      <w:r>
        <w:rPr>
          <w:color w:val="231F1F"/>
          <w:w w:val="115"/>
          <w:sz w:val="12"/>
        </w:rPr>
        <w:t>hypoglycaemic</w:t>
      </w:r>
      <w:r>
        <w:rPr>
          <w:color w:val="231F1F"/>
          <w:spacing w:val="-15"/>
          <w:w w:val="115"/>
          <w:sz w:val="12"/>
        </w:rPr>
        <w:t> </w:t>
      </w:r>
      <w:r>
        <w:rPr>
          <w:color w:val="231F1F"/>
          <w:w w:val="115"/>
          <w:sz w:val="12"/>
        </w:rPr>
        <w:t>effect</w:t>
      </w:r>
      <w:r>
        <w:rPr>
          <w:color w:val="231F1F"/>
          <w:spacing w:val="-16"/>
          <w:w w:val="115"/>
          <w:sz w:val="12"/>
        </w:rPr>
        <w:t> </w:t>
      </w:r>
      <w:r>
        <w:rPr>
          <w:color w:val="231F1F"/>
          <w:w w:val="115"/>
          <w:sz w:val="12"/>
        </w:rPr>
        <w:t>of</w:t>
      </w:r>
      <w:r>
        <w:rPr>
          <w:color w:val="231F1F"/>
          <w:spacing w:val="-15"/>
          <w:w w:val="115"/>
          <w:sz w:val="12"/>
        </w:rPr>
        <w:t> </w:t>
      </w:r>
      <w:r>
        <w:rPr>
          <w:color w:val="231F1F"/>
          <w:w w:val="115"/>
          <w:sz w:val="12"/>
        </w:rPr>
        <w:t>sulfonylureas</w:t>
      </w:r>
      <w:r>
        <w:rPr>
          <w:color w:val="231F1F"/>
          <w:spacing w:val="-14"/>
          <w:w w:val="115"/>
          <w:sz w:val="12"/>
        </w:rPr>
        <w:t> </w:t>
      </w:r>
      <w:r>
        <w:rPr>
          <w:color w:val="231F1F"/>
          <w:w w:val="115"/>
          <w:sz w:val="12"/>
        </w:rPr>
        <w:t>possibly</w:t>
      </w:r>
      <w:r>
        <w:rPr>
          <w:color w:val="231F1F"/>
          <w:spacing w:val="-16"/>
          <w:w w:val="115"/>
          <w:sz w:val="12"/>
        </w:rPr>
        <w:t> </w:t>
      </w:r>
      <w:r>
        <w:rPr>
          <w:color w:val="231F1F"/>
          <w:w w:val="115"/>
          <w:sz w:val="12"/>
        </w:rPr>
        <w:t>enhanced</w:t>
      </w:r>
      <w:r>
        <w:rPr>
          <w:color w:val="231F1F"/>
          <w:spacing w:val="-16"/>
          <w:w w:val="115"/>
          <w:sz w:val="12"/>
        </w:rPr>
        <w:t> </w:t>
      </w:r>
      <w:r>
        <w:rPr>
          <w:color w:val="231F1F"/>
          <w:w w:val="115"/>
          <w:sz w:val="12"/>
        </w:rPr>
        <w:t>by </w:t>
      </w:r>
      <w:r>
        <w:rPr>
          <w:rFonts w:ascii="Calibri" w:hAnsi="Calibri"/>
          <w:color w:val="008356"/>
          <w:spacing w:val="4"/>
          <w:w w:val="110"/>
          <w:sz w:val="11"/>
        </w:rPr>
        <w:t>TETRACYCLINES</w:t>
      </w:r>
      <w:r>
        <w:rPr>
          <w:color w:val="231F1F"/>
          <w:spacing w:val="4"/>
          <w:w w:val="110"/>
          <w:sz w:val="12"/>
        </w:rPr>
        <w:t>;</w:t>
      </w:r>
      <w:r>
        <w:rPr>
          <w:color w:val="231F1F"/>
          <w:spacing w:val="-8"/>
          <w:w w:val="110"/>
          <w:sz w:val="12"/>
        </w:rPr>
        <w:t> </w:t>
      </w:r>
      <w:r>
        <w:rPr>
          <w:color w:val="231F1F"/>
          <w:w w:val="110"/>
          <w:sz w:val="12"/>
        </w:rPr>
        <w:t>hypoglycaemic</w:t>
      </w:r>
      <w:r>
        <w:rPr>
          <w:color w:val="231F1F"/>
          <w:spacing w:val="-9"/>
          <w:w w:val="110"/>
          <w:sz w:val="12"/>
        </w:rPr>
        <w:t> </w:t>
      </w:r>
      <w:r>
        <w:rPr>
          <w:color w:val="231F1F"/>
          <w:w w:val="110"/>
          <w:sz w:val="12"/>
        </w:rPr>
        <w:t>effect</w:t>
      </w:r>
      <w:r>
        <w:rPr>
          <w:color w:val="231F1F"/>
          <w:spacing w:val="-8"/>
          <w:w w:val="110"/>
          <w:sz w:val="12"/>
        </w:rPr>
        <w:t> </w:t>
      </w:r>
      <w:r>
        <w:rPr>
          <w:color w:val="231F1F"/>
          <w:w w:val="110"/>
          <w:sz w:val="12"/>
        </w:rPr>
        <w:t>of</w:t>
      </w:r>
      <w:r>
        <w:rPr>
          <w:color w:val="231F1F"/>
          <w:spacing w:val="-8"/>
          <w:w w:val="110"/>
          <w:sz w:val="12"/>
        </w:rPr>
        <w:t> </w:t>
      </w:r>
      <w:r>
        <w:rPr>
          <w:color w:val="231F1F"/>
          <w:w w:val="110"/>
          <w:sz w:val="12"/>
        </w:rPr>
        <w:t>repaglinide</w:t>
      </w:r>
      <w:r>
        <w:rPr>
          <w:color w:val="231F1F"/>
          <w:spacing w:val="-8"/>
          <w:w w:val="110"/>
          <w:sz w:val="12"/>
        </w:rPr>
        <w:t> </w:t>
      </w:r>
      <w:r>
        <w:rPr>
          <w:color w:val="231F1F"/>
          <w:w w:val="110"/>
          <w:sz w:val="12"/>
        </w:rPr>
        <w:t>possibly </w:t>
      </w:r>
      <w:r>
        <w:rPr>
          <w:color w:val="231F1F"/>
          <w:w w:val="115"/>
          <w:sz w:val="12"/>
        </w:rPr>
        <w:t>enhanced</w:t>
      </w:r>
      <w:r>
        <w:rPr>
          <w:color w:val="231F1F"/>
          <w:spacing w:val="-22"/>
          <w:w w:val="115"/>
          <w:sz w:val="12"/>
        </w:rPr>
        <w:t> </w:t>
      </w:r>
      <w:r>
        <w:rPr>
          <w:color w:val="231F1F"/>
          <w:w w:val="115"/>
          <w:sz w:val="12"/>
        </w:rPr>
        <w:t>by</w:t>
      </w:r>
      <w:r>
        <w:rPr>
          <w:color w:val="231F1F"/>
          <w:spacing w:val="-20"/>
          <w:w w:val="115"/>
          <w:sz w:val="12"/>
        </w:rPr>
        <w:t> </w:t>
      </w:r>
      <w:r>
        <w:rPr>
          <w:rFonts w:ascii="Calibri" w:hAnsi="Calibri"/>
          <w:color w:val="008356"/>
          <w:spacing w:val="2"/>
          <w:w w:val="115"/>
          <w:sz w:val="11"/>
        </w:rPr>
        <w:t>TRIMETHOPRIM</w:t>
      </w:r>
      <w:r>
        <w:rPr>
          <w:rFonts w:ascii="Arial" w:hAnsi="Arial"/>
          <w:color w:val="231F1F"/>
          <w:spacing w:val="2"/>
          <w:w w:val="115"/>
          <w:sz w:val="12"/>
        </w:rPr>
        <w:t>—</w:t>
      </w:r>
      <w:r>
        <w:rPr>
          <w:color w:val="231F1F"/>
          <w:spacing w:val="2"/>
          <w:w w:val="115"/>
          <w:sz w:val="12"/>
        </w:rPr>
        <w:t>manufacturer</w:t>
      </w:r>
      <w:r>
        <w:rPr>
          <w:color w:val="231F1F"/>
          <w:spacing w:val="-22"/>
          <w:w w:val="115"/>
          <w:sz w:val="12"/>
        </w:rPr>
        <w:t> </w:t>
      </w:r>
      <w:r>
        <w:rPr>
          <w:color w:val="231F1F"/>
          <w:w w:val="115"/>
          <w:sz w:val="12"/>
        </w:rPr>
        <w:t>advises</w:t>
      </w:r>
      <w:r>
        <w:rPr>
          <w:color w:val="231F1F"/>
          <w:spacing w:val="-21"/>
          <w:w w:val="115"/>
          <w:sz w:val="12"/>
        </w:rPr>
        <w:t> </w:t>
      </w:r>
      <w:r>
        <w:rPr>
          <w:color w:val="231F1F"/>
          <w:w w:val="115"/>
          <w:sz w:val="12"/>
        </w:rPr>
        <w:t>avoid concomitant</w:t>
      </w:r>
      <w:r>
        <w:rPr>
          <w:color w:val="231F1F"/>
          <w:spacing w:val="-5"/>
          <w:w w:val="115"/>
          <w:sz w:val="12"/>
        </w:rPr>
        <w:t> </w:t>
      </w:r>
      <w:r>
        <w:rPr>
          <w:color w:val="231F1F"/>
          <w:w w:val="115"/>
          <w:sz w:val="12"/>
        </w:rPr>
        <w:t>use</w:t>
      </w:r>
    </w:p>
    <w:p>
      <w:pPr>
        <w:pStyle w:val="BodyText"/>
        <w:spacing w:line="242" w:lineRule="auto"/>
        <w:ind w:right="670" w:hanging="100"/>
      </w:pPr>
      <w:r>
        <w:rPr>
          <w:rFonts w:ascii="Arial"/>
          <w:color w:val="231F1F"/>
          <w:w w:val="355"/>
          <w:position w:val="1"/>
          <w:sz w:val="7"/>
        </w:rPr>
        <w:t>l </w:t>
      </w:r>
      <w:r>
        <w:rPr>
          <w:rFonts w:ascii="Calibri"/>
          <w:color w:val="231F1F"/>
          <w:w w:val="110"/>
        </w:rPr>
        <w:t>Anticoagulants: </w:t>
      </w:r>
      <w:r>
        <w:rPr>
          <w:color w:val="231F1F"/>
          <w:w w:val="110"/>
        </w:rPr>
        <w:t>exenatide possibly enhances anticoagulant effect of </w:t>
      </w:r>
      <w:r>
        <w:rPr>
          <w:rFonts w:ascii="Calibri"/>
          <w:color w:val="008356"/>
          <w:spacing w:val="3"/>
          <w:w w:val="110"/>
          <w:sz w:val="11"/>
        </w:rPr>
        <w:t>WARFARIN</w:t>
      </w:r>
      <w:r>
        <w:rPr>
          <w:color w:val="231F1F"/>
          <w:spacing w:val="3"/>
          <w:w w:val="110"/>
        </w:rPr>
        <w:t>; </w:t>
      </w:r>
      <w:r>
        <w:rPr>
          <w:color w:val="231F1F"/>
          <w:w w:val="110"/>
        </w:rPr>
        <w:t>hypoglycaemic effect of sulfonylureas possibly enhanced by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COUMARINS</w:t>
      </w:r>
      <w:r>
        <w:rPr>
          <w:color w:val="231F1F"/>
          <w:spacing w:val="4"/>
          <w:w w:val="110"/>
        </w:rPr>
        <w:t>, </w:t>
      </w:r>
      <w:r>
        <w:rPr>
          <w:color w:val="231F1F"/>
          <w:w w:val="110"/>
        </w:rPr>
        <w:t>also possible changes </w:t>
      </w:r>
      <w:r>
        <w:rPr>
          <w:color w:val="231F1F"/>
          <w:spacing w:val="-6"/>
          <w:w w:val="110"/>
        </w:rPr>
        <w:t>to </w:t>
      </w:r>
      <w:r>
        <w:rPr>
          <w:color w:val="231F1F"/>
          <w:w w:val="110"/>
        </w:rPr>
        <w:t>anticoagulant effect</w:t>
      </w:r>
    </w:p>
    <w:p>
      <w:pPr>
        <w:pStyle w:val="BodyText"/>
        <w:spacing w:line="230" w:lineRule="auto"/>
        <w:ind w:right="762" w:hanging="100"/>
        <w:rPr>
          <w:rFonts w:ascii="Calibri" w:hAnsi="Calibri"/>
          <w:sz w:val="9"/>
        </w:rPr>
      </w:pPr>
      <w:r>
        <w:rPr>
          <w:rFonts w:ascii="Lucida Sans Unicode" w:hAnsi="Lucida Sans Unicode"/>
          <w:color w:val="A7A8AC"/>
          <w:w w:val="95"/>
          <w:sz w:val="10"/>
        </w:rPr>
        <w:t>▶ </w:t>
      </w:r>
      <w:r>
        <w:rPr>
          <w:rFonts w:ascii="Calibri" w:hAnsi="Calibri"/>
          <w:color w:val="231F1F"/>
          <w:w w:val="105"/>
        </w:rPr>
        <w:t>Antidepressants: </w:t>
      </w:r>
      <w:r>
        <w:rPr>
          <w:color w:val="231F1F"/>
          <w:w w:val="105"/>
        </w:rPr>
        <w:t>hypoglycaemic  effect  of  antidiabetics possibly enhanced by </w:t>
      </w:r>
      <w:r>
        <w:rPr>
          <w:rFonts w:ascii="Calibri" w:hAnsi="Calibri"/>
          <w:color w:val="008356"/>
          <w:spacing w:val="4"/>
          <w:w w:val="105"/>
          <w:sz w:val="11"/>
        </w:rPr>
        <w:t>MAOI</w:t>
      </w:r>
      <w:r>
        <w:rPr>
          <w:rFonts w:ascii="Calibri" w:hAnsi="Calibri"/>
          <w:color w:val="008356"/>
          <w:spacing w:val="4"/>
          <w:w w:val="105"/>
          <w:sz w:val="9"/>
        </w:rPr>
        <w:t>S</w:t>
      </w:r>
      <w:r>
        <w:rPr>
          <w:color w:val="231F1F"/>
          <w:spacing w:val="4"/>
          <w:w w:val="105"/>
        </w:rPr>
        <w:t>; </w:t>
      </w:r>
      <w:r>
        <w:rPr>
          <w:color w:val="231F1F"/>
          <w:w w:val="105"/>
        </w:rPr>
        <w:t>hypoglycaemic effect of insulin, metformin and sulfonylureas enhanced by</w:t>
      </w:r>
      <w:r>
        <w:rPr>
          <w:color w:val="231F1F"/>
          <w:spacing w:val="22"/>
          <w:w w:val="105"/>
        </w:rPr>
        <w:t> </w:t>
      </w:r>
      <w:r>
        <w:rPr>
          <w:rFonts w:ascii="Calibri" w:hAnsi="Calibri"/>
          <w:color w:val="008356"/>
          <w:spacing w:val="4"/>
          <w:w w:val="105"/>
          <w:sz w:val="11"/>
        </w:rPr>
        <w:t>MAOI</w:t>
      </w:r>
      <w:r>
        <w:rPr>
          <w:rFonts w:ascii="Calibri" w:hAnsi="Calibri"/>
          <w:color w:val="008356"/>
          <w:spacing w:val="4"/>
          <w:w w:val="105"/>
          <w:sz w:val="9"/>
        </w:rPr>
        <w:t>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manufacturer of dapagliflozin advises avoid concomitant use with </w:t>
      </w:r>
      <w:r>
        <w:rPr>
          <w:rFonts w:ascii="Calibri" w:hAnsi="Calibri"/>
          <w:color w:val="008356"/>
          <w:w w:val="105"/>
          <w:sz w:val="11"/>
        </w:rPr>
        <w:t>PIOGLITAZONE</w:t>
      </w:r>
    </w:p>
    <w:p>
      <w:pPr>
        <w:pStyle w:val="BodyText"/>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Antiepileptics: </w:t>
      </w:r>
      <w:r>
        <w:rPr>
          <w:color w:val="231F1F"/>
          <w:w w:val="110"/>
        </w:rPr>
        <w:t>tolbutamide transiently increases plasma concentration of </w:t>
      </w:r>
      <w:r>
        <w:rPr>
          <w:rFonts w:ascii="Calibri" w:hAnsi="Calibri"/>
          <w:color w:val="008356"/>
          <w:w w:val="110"/>
          <w:sz w:val="11"/>
        </w:rPr>
        <w:t>FOSPHENYTOIN </w:t>
      </w:r>
      <w:r>
        <w:rPr>
          <w:color w:val="231F1F"/>
          <w:w w:val="110"/>
        </w:rPr>
        <w:t>and </w:t>
      </w:r>
      <w:r>
        <w:rPr>
          <w:rFonts w:ascii="Calibri" w:hAnsi="Calibri"/>
          <w:color w:val="008356"/>
          <w:w w:val="110"/>
          <w:sz w:val="11"/>
        </w:rPr>
        <w:t>PHENYTOIN </w:t>
      </w:r>
      <w:r>
        <w:rPr>
          <w:color w:val="231F1F"/>
          <w:w w:val="110"/>
        </w:rPr>
        <w:t>(possibility of toxicity); plasma concentration of glibenclamide possibly reduced by </w:t>
      </w:r>
      <w:r>
        <w:rPr>
          <w:rFonts w:ascii="Calibri" w:hAnsi="Calibri"/>
          <w:color w:val="008356"/>
          <w:w w:val="110"/>
          <w:sz w:val="11"/>
        </w:rPr>
        <w:t>TOPIRAMATE</w:t>
      </w:r>
      <w:r>
        <w:rPr>
          <w:color w:val="231F1F"/>
          <w:w w:val="110"/>
        </w:rPr>
        <w:t>; plasma concentration of metformin possibly increased by </w:t>
      </w:r>
      <w:r>
        <w:rPr>
          <w:rFonts w:ascii="Calibri" w:hAnsi="Calibri"/>
          <w:color w:val="008356"/>
          <w:w w:val="110"/>
          <w:sz w:val="11"/>
        </w:rPr>
        <w:t>TOPIRAMATE</w:t>
      </w:r>
    </w:p>
    <w:p>
      <w:pPr>
        <w:pStyle w:val="BodyText"/>
        <w:spacing w:line="141"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pioglitazone, saxagliptin</w:t>
      </w:r>
    </w:p>
    <w:p>
      <w:pPr>
        <w:spacing w:before="0"/>
        <w:ind w:left="208" w:right="0" w:firstLine="0"/>
        <w:jc w:val="left"/>
        <w:rPr>
          <w:sz w:val="12"/>
        </w:rPr>
      </w:pPr>
      <w:r>
        <w:rPr>
          <w:color w:val="231F1F"/>
          <w:w w:val="115"/>
          <w:sz w:val="12"/>
        </w:rPr>
        <w:t>and tolbutamide increased by </w:t>
      </w:r>
      <w:r>
        <w:rPr>
          <w:rFonts w:ascii="Calibri"/>
          <w:color w:val="008356"/>
          <w:w w:val="115"/>
          <w:sz w:val="11"/>
        </w:rPr>
        <w:t>KETOCONAZOLE</w:t>
      </w:r>
      <w:r>
        <w:rPr>
          <w:color w:val="231F1F"/>
          <w:w w:val="115"/>
          <w:sz w:val="12"/>
        </w:rPr>
        <w:t>; plasma</w:t>
      </w:r>
    </w:p>
    <w:p>
      <w:pPr>
        <w:spacing w:after="0"/>
        <w:jc w:val="left"/>
        <w:rPr>
          <w:sz w:val="12"/>
        </w:rPr>
        <w:sectPr>
          <w:pgSz w:w="8390" w:h="11910"/>
          <w:pgMar w:header="0" w:footer="0" w:top="460" w:bottom="0" w:left="480" w:right="0"/>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744" filled="true" fillcolor="#bfdbcf" stroked="false">
            <v:fill type="solid"/>
            <w10:wrap type="none"/>
          </v:rect>
        </w:pict>
      </w:r>
      <w:r>
        <w:rPr/>
        <w:pict>
          <v:shape style="position:absolute;margin-left:7.751256pt;margin-top:35.804367pt;width:10.4pt;height:78.850pt;mso-position-horizontal-relative:page;mso-position-vertical-relative:page;z-index:176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Antidiabetics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Antifungals (continued)</w:t>
      </w:r>
    </w:p>
    <w:p>
      <w:pPr>
        <w:pStyle w:val="BodyText"/>
        <w:spacing w:line="244" w:lineRule="auto"/>
        <w:ind w:left="286" w:right="21"/>
        <w:rPr>
          <w:rFonts w:ascii="Calibri" w:hAnsi="Calibri"/>
          <w:sz w:val="11"/>
        </w:rPr>
      </w:pPr>
      <w:r>
        <w:rPr>
          <w:color w:val="231F1F"/>
          <w:w w:val="110"/>
        </w:rPr>
        <w:t>concentration of sulfonylureas increased by </w:t>
      </w:r>
      <w:r>
        <w:rPr>
          <w:rFonts w:ascii="Arial" w:hAnsi="Arial"/>
          <w:color w:val="231F1F"/>
          <w:w w:val="355"/>
          <w:position w:val="1"/>
          <w:sz w:val="7"/>
        </w:rPr>
        <w:t>l </w:t>
      </w:r>
      <w:r>
        <w:rPr>
          <w:rFonts w:ascii="Calibri" w:hAnsi="Calibri"/>
          <w:color w:val="008356"/>
          <w:spacing w:val="4"/>
          <w:w w:val="110"/>
          <w:sz w:val="11"/>
        </w:rPr>
        <w:t>FLUCONAZOLE </w:t>
      </w:r>
      <w:r>
        <w:rPr>
          <w:color w:val="231F1F"/>
          <w:w w:val="110"/>
        </w:rPr>
        <w:t>and </w:t>
      </w:r>
      <w:r>
        <w:rPr>
          <w:rFonts w:ascii="Arial" w:hAnsi="Arial"/>
          <w:color w:val="231F1F"/>
          <w:w w:val="355"/>
          <w:position w:val="1"/>
          <w:sz w:val="7"/>
        </w:rPr>
        <w:t>l </w:t>
      </w:r>
      <w:r>
        <w:rPr>
          <w:rFonts w:ascii="Calibri" w:hAnsi="Calibri"/>
          <w:color w:val="008356"/>
          <w:spacing w:val="4"/>
          <w:w w:val="110"/>
          <w:sz w:val="11"/>
        </w:rPr>
        <w:t>MICONAZOLE</w:t>
      </w:r>
      <w:r>
        <w:rPr>
          <w:color w:val="231F1F"/>
          <w:spacing w:val="4"/>
          <w:w w:val="110"/>
        </w:rPr>
        <w:t>; </w:t>
      </w:r>
      <w:r>
        <w:rPr>
          <w:color w:val="231F1F"/>
          <w:w w:val="110"/>
        </w:rPr>
        <w:t>hypoglycaemic effect of gliclazide and glipizide</w:t>
      </w:r>
      <w:r>
        <w:rPr>
          <w:color w:val="231F1F"/>
          <w:spacing w:val="-5"/>
          <w:w w:val="110"/>
        </w:rPr>
        <w:t> </w:t>
      </w:r>
      <w:r>
        <w:rPr>
          <w:color w:val="231F1F"/>
          <w:w w:val="110"/>
        </w:rPr>
        <w:t>enhanced</w:t>
      </w:r>
      <w:r>
        <w:rPr>
          <w:color w:val="231F1F"/>
          <w:spacing w:val="-5"/>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MICONAZOLE</w:t>
      </w:r>
      <w:r>
        <w:rPr>
          <w:rFonts w:ascii="Arial" w:hAnsi="Arial"/>
          <w:color w:val="231F1F"/>
          <w:spacing w:val="3"/>
          <w:w w:val="110"/>
        </w:rPr>
        <w:t>—</w:t>
      </w:r>
      <w:r>
        <w:rPr>
          <w:color w:val="231F1F"/>
          <w:spacing w:val="3"/>
          <w:w w:val="110"/>
        </w:rPr>
        <w:t>avoid</w:t>
      </w:r>
      <w:r>
        <w:rPr>
          <w:color w:val="231F1F"/>
          <w:spacing w:val="-5"/>
          <w:w w:val="110"/>
        </w:rPr>
        <w:t> </w:t>
      </w:r>
      <w:r>
        <w:rPr>
          <w:color w:val="231F1F"/>
          <w:w w:val="110"/>
        </w:rPr>
        <w:t>concomitant</w:t>
      </w:r>
      <w:r>
        <w:rPr>
          <w:color w:val="231F1F"/>
          <w:spacing w:val="-6"/>
          <w:w w:val="110"/>
        </w:rPr>
        <w:t> </w:t>
      </w:r>
      <w:r>
        <w:rPr>
          <w:color w:val="231F1F"/>
          <w:spacing w:val="-3"/>
          <w:w w:val="110"/>
        </w:rPr>
        <w:t>use; </w:t>
      </w:r>
      <w:r>
        <w:rPr>
          <w:color w:val="231F1F"/>
          <w:w w:val="110"/>
        </w:rPr>
        <w:t>hypoglycaemic effect of nateglinide possibly enhanced by </w:t>
      </w:r>
      <w:r>
        <w:rPr>
          <w:rFonts w:ascii="Calibri" w:hAnsi="Calibri"/>
          <w:color w:val="008356"/>
          <w:spacing w:val="4"/>
          <w:w w:val="110"/>
          <w:sz w:val="11"/>
        </w:rPr>
        <w:t>FLUCONAZOLE</w:t>
      </w:r>
      <w:r>
        <w:rPr>
          <w:color w:val="231F1F"/>
          <w:spacing w:val="4"/>
          <w:w w:val="110"/>
        </w:rPr>
        <w:t>; </w:t>
      </w:r>
      <w:r>
        <w:rPr>
          <w:color w:val="231F1F"/>
          <w:w w:val="110"/>
        </w:rPr>
        <w:t>hypoglycaemic effect of repaglinide possibly enhanced</w:t>
      </w:r>
      <w:r>
        <w:rPr>
          <w:color w:val="231F1F"/>
          <w:spacing w:val="-7"/>
          <w:w w:val="110"/>
        </w:rPr>
        <w:t> </w:t>
      </w:r>
      <w:r>
        <w:rPr>
          <w:color w:val="231F1F"/>
          <w:w w:val="110"/>
        </w:rPr>
        <w:t>by</w:t>
      </w:r>
      <w:r>
        <w:rPr>
          <w:color w:val="231F1F"/>
          <w:spacing w:val="-7"/>
          <w:w w:val="110"/>
        </w:rPr>
        <w:t> </w:t>
      </w:r>
      <w:r>
        <w:rPr>
          <w:rFonts w:ascii="Calibri" w:hAnsi="Calibri"/>
          <w:color w:val="008356"/>
          <w:spacing w:val="4"/>
          <w:w w:val="110"/>
          <w:sz w:val="11"/>
        </w:rPr>
        <w:t>ITRACONAZOLE</w:t>
      </w:r>
      <w:r>
        <w:rPr>
          <w:color w:val="231F1F"/>
          <w:spacing w:val="4"/>
          <w:w w:val="110"/>
        </w:rPr>
        <w:t>;</w:t>
      </w:r>
      <w:r>
        <w:rPr>
          <w:color w:val="231F1F"/>
          <w:spacing w:val="-7"/>
          <w:w w:val="110"/>
        </w:rPr>
        <w:t> </w:t>
      </w:r>
      <w:r>
        <w:rPr>
          <w:color w:val="231F1F"/>
          <w:w w:val="110"/>
        </w:rPr>
        <w:t>hypoglycaemic</w:t>
      </w:r>
      <w:r>
        <w:rPr>
          <w:color w:val="231F1F"/>
          <w:spacing w:val="-6"/>
          <w:w w:val="110"/>
        </w:rPr>
        <w:t> </w:t>
      </w:r>
      <w:r>
        <w:rPr>
          <w:color w:val="231F1F"/>
          <w:w w:val="110"/>
        </w:rPr>
        <w:t>effect</w:t>
      </w:r>
      <w:r>
        <w:rPr>
          <w:color w:val="231F1F"/>
          <w:spacing w:val="-7"/>
          <w:w w:val="110"/>
        </w:rPr>
        <w:t> </w:t>
      </w:r>
      <w:r>
        <w:rPr>
          <w:color w:val="231F1F"/>
          <w:w w:val="110"/>
        </w:rPr>
        <w:t>of</w:t>
      </w:r>
      <w:r>
        <w:rPr>
          <w:color w:val="231F1F"/>
          <w:spacing w:val="-6"/>
          <w:w w:val="110"/>
        </w:rPr>
        <w:t> </w:t>
      </w:r>
      <w:r>
        <w:rPr>
          <w:color w:val="231F1F"/>
          <w:w w:val="110"/>
        </w:rPr>
        <w:t>glipizide possibly enhanced by </w:t>
      </w:r>
      <w:r>
        <w:rPr>
          <w:rFonts w:ascii="Calibri" w:hAnsi="Calibri"/>
          <w:color w:val="008356"/>
          <w:spacing w:val="4"/>
          <w:w w:val="110"/>
          <w:sz w:val="11"/>
        </w:rPr>
        <w:t>POSACONAZOLE</w:t>
      </w:r>
      <w:r>
        <w:rPr>
          <w:color w:val="231F1F"/>
          <w:spacing w:val="4"/>
          <w:w w:val="110"/>
        </w:rPr>
        <w:t>; </w:t>
      </w:r>
      <w:r>
        <w:rPr>
          <w:color w:val="231F1F"/>
          <w:w w:val="110"/>
        </w:rPr>
        <w:t>plasma concentration of sulfonylureas possibly increased by</w:t>
      </w:r>
      <w:r>
        <w:rPr>
          <w:color w:val="231F1F"/>
          <w:spacing w:val="-19"/>
          <w:w w:val="110"/>
        </w:rPr>
        <w:t> </w:t>
      </w:r>
      <w:r>
        <w:rPr>
          <w:rFonts w:ascii="Calibri" w:hAnsi="Calibri"/>
          <w:color w:val="008356"/>
          <w:spacing w:val="4"/>
          <w:w w:val="110"/>
          <w:sz w:val="11"/>
        </w:rPr>
        <w:t>VORICONAZOLE</w:t>
      </w:r>
    </w:p>
    <w:p>
      <w:pPr>
        <w:pStyle w:val="BodyText"/>
        <w:spacing w:line="230" w:lineRule="auto"/>
        <w:ind w:left="286" w:right="107" w:hanging="100"/>
      </w:pPr>
      <w:r>
        <w:rPr>
          <w:rFonts w:ascii="Lucida Sans Unicode" w:hAnsi="Lucida Sans Unicode"/>
          <w:color w:val="A7A8AC"/>
          <w:w w:val="95"/>
          <w:sz w:val="10"/>
        </w:rPr>
        <w:t>▶ </w:t>
      </w:r>
      <w:r>
        <w:rPr>
          <w:rFonts w:ascii="Calibri" w:hAnsi="Calibri"/>
          <w:color w:val="231F1F"/>
          <w:w w:val="110"/>
        </w:rPr>
        <w:t>Antihistamines: </w:t>
      </w:r>
      <w:r>
        <w:rPr>
          <w:color w:val="231F1F"/>
          <w:w w:val="110"/>
        </w:rPr>
        <w:t>thrombocyte count depressed when metformin given with </w:t>
      </w:r>
      <w:r>
        <w:rPr>
          <w:rFonts w:ascii="Calibri" w:hAnsi="Calibri"/>
          <w:color w:val="008356"/>
          <w:spacing w:val="4"/>
          <w:w w:val="110"/>
          <w:sz w:val="11"/>
        </w:rPr>
        <w:t>KETOTIFEN </w:t>
      </w:r>
      <w:r>
        <w:rPr>
          <w:color w:val="231F1F"/>
          <w:w w:val="110"/>
        </w:rPr>
        <w:t>(manufacturer of ketotifen advises avoid concomitant</w:t>
      </w:r>
      <w:r>
        <w:rPr>
          <w:color w:val="231F1F"/>
          <w:spacing w:val="-6"/>
          <w:w w:val="110"/>
        </w:rPr>
        <w:t> </w:t>
      </w:r>
      <w:r>
        <w:rPr>
          <w:color w:val="231F1F"/>
          <w:w w:val="110"/>
        </w:rPr>
        <w:t>use)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hypoglycaemic effect of sulfonylureas possibly antagonised by </w:t>
      </w:r>
      <w:r>
        <w:rPr>
          <w:rFonts w:ascii="Calibri" w:hAnsi="Calibri"/>
          <w:color w:val="008356"/>
          <w:spacing w:val="4"/>
          <w:w w:val="105"/>
          <w:sz w:val="11"/>
        </w:rPr>
        <w:t>PHENOTHIAZINES</w:t>
      </w:r>
    </w:p>
    <w:p>
      <w:pPr>
        <w:pStyle w:val="BodyText"/>
        <w:spacing w:line="235" w:lineRule="auto" w:before="2"/>
        <w:ind w:left="286" w:right="107"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tolbutamide possibly increased by </w:t>
      </w:r>
      <w:r>
        <w:rPr>
          <w:rFonts w:ascii="Calibri" w:hAnsi="Calibri"/>
          <w:color w:val="008356"/>
          <w:w w:val="110"/>
          <w:sz w:val="11"/>
        </w:rPr>
        <w:t>RITONAVIR</w:t>
      </w:r>
      <w:r>
        <w:rPr>
          <w:color w:val="231F1F"/>
          <w:w w:val="110"/>
        </w:rPr>
        <w:t>; plasma concentration of metformin increased by </w:t>
      </w:r>
      <w:r>
        <w:rPr>
          <w:rFonts w:ascii="Calibri" w:hAnsi="Calibri"/>
          <w:color w:val="008356"/>
          <w:w w:val="110"/>
          <w:sz w:val="11"/>
        </w:rPr>
        <w:t>TELAPREVIR </w:t>
      </w:r>
      <w:r>
        <w:rPr>
          <w:color w:val="231F1F"/>
          <w:w w:val="110"/>
        </w:rPr>
        <w:t>(consider reducing dose of metformin)</w:t>
      </w:r>
    </w:p>
    <w:p>
      <w:pPr>
        <w:pStyle w:val="BodyText"/>
        <w:spacing w:line="156" w:lineRule="exact" w:before="1"/>
        <w:ind w:left="186"/>
      </w:pPr>
      <w:r>
        <w:rPr>
          <w:rFonts w:ascii="Lucida Sans Unicode" w:hAnsi="Lucida Sans Unicode"/>
          <w:color w:val="A7A8AC"/>
          <w:w w:val="95"/>
          <w:sz w:val="10"/>
        </w:rPr>
        <w:t>▶ </w:t>
      </w:r>
      <w:r>
        <w:rPr>
          <w:rFonts w:ascii="Calibri" w:hAnsi="Calibri"/>
          <w:color w:val="231F1F"/>
          <w:w w:val="105"/>
        </w:rPr>
        <w:t>Aprepitant: </w:t>
      </w:r>
      <w:r>
        <w:rPr>
          <w:color w:val="231F1F"/>
          <w:w w:val="105"/>
        </w:rPr>
        <w:t>plasma concentration of tolbutamide reduced by</w:t>
      </w:r>
    </w:p>
    <w:p>
      <w:pPr>
        <w:spacing w:line="131" w:lineRule="exact" w:before="0"/>
        <w:ind w:left="286" w:right="0" w:firstLine="0"/>
        <w:jc w:val="left"/>
        <w:rPr>
          <w:rFonts w:ascii="Calibri"/>
          <w:sz w:val="11"/>
        </w:rPr>
      </w:pPr>
      <w:r>
        <w:rPr>
          <w:rFonts w:ascii="Calibri"/>
          <w:color w:val="008356"/>
          <w:sz w:val="11"/>
        </w:rPr>
        <w:t>APREPITANT</w:t>
      </w:r>
    </w:p>
    <w:p>
      <w:pPr>
        <w:pStyle w:val="BodyText"/>
        <w:spacing w:line="242" w:lineRule="auto"/>
        <w:ind w:left="286" w:right="76"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warning signs of hypoglycaemia (such as tremor) with antidiabetics may be masked when given with </w:t>
      </w:r>
      <w:r>
        <w:rPr>
          <w:rFonts w:ascii="Calibri" w:hAnsi="Calibri"/>
          <w:color w:val="008356"/>
          <w:spacing w:val="4"/>
          <w:w w:val="105"/>
          <w:sz w:val="11"/>
        </w:rPr>
        <w:t>BETA-BLOCKERS</w:t>
      </w:r>
      <w:r>
        <w:rPr>
          <w:color w:val="231F1F"/>
          <w:spacing w:val="4"/>
          <w:w w:val="105"/>
        </w:rPr>
        <w:t>; </w:t>
      </w:r>
      <w:r>
        <w:rPr>
          <w:color w:val="231F1F"/>
          <w:w w:val="105"/>
        </w:rPr>
        <w:t>hypoglycaemic effect of insulin enhanced by </w:t>
      </w:r>
      <w:r>
        <w:rPr>
          <w:rFonts w:ascii="Calibri" w:hAnsi="Calibri"/>
          <w:color w:val="008356"/>
          <w:spacing w:val="4"/>
          <w:w w:val="105"/>
          <w:sz w:val="11"/>
        </w:rPr>
        <w:t>BETA-BLOCKERS</w:t>
      </w:r>
    </w:p>
    <w:p>
      <w:pPr>
        <w:pStyle w:val="BodyText"/>
        <w:spacing w:line="139" w:lineRule="exact"/>
        <w:ind w:left="186"/>
      </w:pPr>
      <w:r>
        <w:rPr>
          <w:rFonts w:ascii="Arial"/>
          <w:color w:val="231F1F"/>
          <w:w w:val="115"/>
          <w:position w:val="1"/>
          <w:sz w:val="7"/>
        </w:rPr>
        <w:t>l</w:t>
      </w:r>
      <w:r>
        <w:rPr>
          <w:rFonts w:ascii="Arial"/>
          <w:color w:val="231F1F"/>
          <w:spacing w:val="8"/>
          <w:w w:val="115"/>
          <w:position w:val="1"/>
          <w:sz w:val="7"/>
        </w:rPr>
        <w:t> </w:t>
      </w:r>
      <w:r>
        <w:rPr>
          <w:rFonts w:ascii="Calibri"/>
          <w:color w:val="231F1F"/>
          <w:w w:val="115"/>
        </w:rPr>
        <w:t>Bosentan:</w:t>
      </w:r>
      <w:r>
        <w:rPr>
          <w:rFonts w:ascii="Calibri"/>
          <w:color w:val="231F1F"/>
          <w:spacing w:val="-8"/>
          <w:w w:val="115"/>
        </w:rPr>
        <w:t> </w:t>
      </w:r>
      <w:r>
        <w:rPr>
          <w:color w:val="231F1F"/>
          <w:w w:val="115"/>
        </w:rPr>
        <w:t>increased</w:t>
      </w:r>
      <w:r>
        <w:rPr>
          <w:color w:val="231F1F"/>
          <w:spacing w:val="-11"/>
          <w:w w:val="115"/>
        </w:rPr>
        <w:t> </w:t>
      </w:r>
      <w:r>
        <w:rPr>
          <w:color w:val="231F1F"/>
          <w:w w:val="115"/>
        </w:rPr>
        <w:t>risk</w:t>
      </w:r>
      <w:r>
        <w:rPr>
          <w:color w:val="231F1F"/>
          <w:spacing w:val="-11"/>
          <w:w w:val="115"/>
        </w:rPr>
        <w:t> </w:t>
      </w:r>
      <w:r>
        <w:rPr>
          <w:color w:val="231F1F"/>
          <w:w w:val="115"/>
        </w:rPr>
        <w:t>of</w:t>
      </w:r>
      <w:r>
        <w:rPr>
          <w:color w:val="231F1F"/>
          <w:spacing w:val="-10"/>
          <w:w w:val="115"/>
        </w:rPr>
        <w:t> </w:t>
      </w:r>
      <w:r>
        <w:rPr>
          <w:color w:val="231F1F"/>
          <w:w w:val="115"/>
        </w:rPr>
        <w:t>hepatotoxicity</w:t>
      </w:r>
      <w:r>
        <w:rPr>
          <w:color w:val="231F1F"/>
          <w:spacing w:val="-10"/>
          <w:w w:val="115"/>
        </w:rPr>
        <w:t> </w:t>
      </w:r>
      <w:r>
        <w:rPr>
          <w:color w:val="231F1F"/>
          <w:w w:val="115"/>
        </w:rPr>
        <w:t>when</w:t>
      </w:r>
      <w:r>
        <w:rPr>
          <w:color w:val="231F1F"/>
          <w:spacing w:val="-11"/>
          <w:w w:val="115"/>
        </w:rPr>
        <w:t> </w:t>
      </w:r>
      <w:r>
        <w:rPr>
          <w:color w:val="231F1F"/>
          <w:spacing w:val="-2"/>
          <w:w w:val="115"/>
        </w:rPr>
        <w:t>glibenclamide</w:t>
      </w:r>
    </w:p>
    <w:p>
      <w:pPr>
        <w:spacing w:line="140" w:lineRule="exact" w:before="0"/>
        <w:ind w:left="286" w:right="0" w:firstLine="0"/>
        <w:jc w:val="left"/>
        <w:rPr>
          <w:sz w:val="12"/>
        </w:rPr>
      </w:pPr>
      <w:r>
        <w:rPr>
          <w:color w:val="231F1F"/>
          <w:w w:val="115"/>
          <w:sz w:val="12"/>
        </w:rPr>
        <w:t>given with </w:t>
      </w:r>
      <w:r>
        <w:rPr>
          <w:rFonts w:ascii="Arial" w:hAnsi="Arial"/>
          <w:color w:val="231F1F"/>
          <w:w w:val="355"/>
          <w:position w:val="1"/>
          <w:sz w:val="7"/>
        </w:rPr>
        <w:t>l </w:t>
      </w:r>
      <w:r>
        <w:rPr>
          <w:rFonts w:ascii="Calibri" w:hAnsi="Calibri"/>
          <w:color w:val="008356"/>
          <w:w w:val="115"/>
          <w:sz w:val="11"/>
        </w:rPr>
        <w:t>BOSENTAN</w:t>
      </w:r>
      <w:r>
        <w:rPr>
          <w:rFonts w:ascii="Arial" w:hAnsi="Arial"/>
          <w:color w:val="231F1F"/>
          <w:w w:val="115"/>
          <w:sz w:val="12"/>
        </w:rPr>
        <w:t>—</w:t>
      </w:r>
      <w:r>
        <w:rPr>
          <w:color w:val="231F1F"/>
          <w:w w:val="115"/>
          <w:sz w:val="12"/>
        </w:rPr>
        <w:t>avoid concomitant use</w:t>
      </w:r>
    </w:p>
    <w:p>
      <w:pPr>
        <w:pStyle w:val="BodyText"/>
        <w:spacing w:line="220" w:lineRule="auto" w:before="7"/>
        <w:ind w:left="286" w:right="21"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glucose tolerance occasionally impaired when insulin given with </w:t>
      </w:r>
      <w:r>
        <w:rPr>
          <w:rFonts w:ascii="Calibri" w:hAnsi="Calibri"/>
          <w:color w:val="008356"/>
          <w:w w:val="105"/>
          <w:sz w:val="11"/>
        </w:rPr>
        <w:t>NIFEDIPINE</w:t>
      </w:r>
    </w:p>
    <w:p>
      <w:pPr>
        <w:pStyle w:val="BodyText"/>
        <w:spacing w:line="232" w:lineRule="auto" w:before="2"/>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canagliflozin and sitagliptin increase plasma concentration of </w:t>
      </w:r>
      <w:r>
        <w:rPr>
          <w:rFonts w:ascii="Calibri" w:hAnsi="Calibri"/>
          <w:color w:val="008356"/>
          <w:spacing w:val="4"/>
          <w:w w:val="105"/>
          <w:sz w:val="11"/>
        </w:rPr>
        <w:t>DIGOXIN</w:t>
      </w:r>
      <w:r>
        <w:rPr>
          <w:color w:val="231F1F"/>
          <w:spacing w:val="4"/>
          <w:w w:val="105"/>
        </w:rPr>
        <w:t>; </w:t>
      </w:r>
      <w:r>
        <w:rPr>
          <w:color w:val="231F1F"/>
          <w:w w:val="105"/>
        </w:rPr>
        <w:t>acarbose possibly reduces plasma concentration of</w:t>
      </w:r>
      <w:r>
        <w:rPr>
          <w:color w:val="231F1F"/>
          <w:spacing w:val="2"/>
          <w:w w:val="105"/>
        </w:rPr>
        <w:t> </w:t>
      </w:r>
      <w:r>
        <w:rPr>
          <w:rFonts w:ascii="Calibri" w:hAnsi="Calibri"/>
          <w:color w:val="008356"/>
          <w:spacing w:val="4"/>
          <w:w w:val="105"/>
          <w:sz w:val="11"/>
        </w:rPr>
        <w:t>DIGOXIN</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hypoglycaemic effect of repaglinide possibly enhanced by </w:t>
      </w:r>
      <w:r>
        <w:rPr>
          <w:rFonts w:ascii="Calibri" w:hAnsi="Calibri"/>
          <w:color w:val="008356"/>
          <w:w w:val="105"/>
          <w:sz w:val="11"/>
        </w:rPr>
        <w:t>CICLOSPORIN</w:t>
      </w:r>
    </w:p>
    <w:p>
      <w:pPr>
        <w:pStyle w:val="BodyText"/>
        <w:spacing w:line="220" w:lineRule="auto" w:before="9"/>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hypoglycaemic effect of antidiabetics antagonised by </w:t>
      </w:r>
      <w:r>
        <w:rPr>
          <w:rFonts w:ascii="Calibri" w:hAnsi="Calibri"/>
          <w:color w:val="008356"/>
          <w:w w:val="105"/>
          <w:sz w:val="11"/>
        </w:rPr>
        <w:t>CORTICOSTEROIDS</w:t>
      </w:r>
    </w:p>
    <w:p>
      <w:pPr>
        <w:pStyle w:val="BodyText"/>
        <w:spacing w:line="242" w:lineRule="auto"/>
        <w:ind w:left="286" w:hanging="100"/>
      </w:pPr>
      <w:r>
        <w:rPr>
          <w:rFonts w:ascii="Arial"/>
          <w:color w:val="231F1F"/>
          <w:w w:val="355"/>
          <w:position w:val="1"/>
          <w:sz w:val="7"/>
        </w:rPr>
        <w:t>l </w:t>
      </w:r>
      <w:r>
        <w:rPr>
          <w:rFonts w:ascii="Calibri"/>
          <w:color w:val="231F1F"/>
          <w:w w:val="110"/>
        </w:rPr>
        <w:t>Cytotoxics: </w:t>
      </w:r>
      <w:r>
        <w:rPr>
          <w:color w:val="231F1F"/>
          <w:w w:val="110"/>
        </w:rPr>
        <w:t>avoidance of repaglinide advised by manufacturer of </w:t>
      </w:r>
      <w:r>
        <w:rPr>
          <w:rFonts w:ascii="Arial"/>
          <w:color w:val="231F1F"/>
          <w:w w:val="355"/>
          <w:position w:val="1"/>
          <w:sz w:val="7"/>
        </w:rPr>
        <w:t>l </w:t>
      </w:r>
      <w:r>
        <w:rPr>
          <w:rFonts w:ascii="Calibri"/>
          <w:color w:val="008356"/>
          <w:w w:val="110"/>
          <w:sz w:val="11"/>
        </w:rPr>
        <w:t>LAPATINIB</w:t>
      </w:r>
      <w:r>
        <w:rPr>
          <w:color w:val="231F1F"/>
          <w:w w:val="110"/>
        </w:rPr>
        <w:t>; plasma concentration of metformin possibly increased by </w:t>
      </w:r>
      <w:r>
        <w:rPr>
          <w:rFonts w:ascii="Calibri"/>
          <w:color w:val="008356"/>
          <w:w w:val="110"/>
          <w:sz w:val="11"/>
        </w:rPr>
        <w:t>VANDETANIB </w:t>
      </w:r>
      <w:r>
        <w:rPr>
          <w:color w:val="231F1F"/>
          <w:w w:val="110"/>
        </w:rPr>
        <w:t>(consider reducing dose of metformin)</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Deferasirox: </w:t>
      </w:r>
      <w:r>
        <w:rPr>
          <w:color w:val="231F1F"/>
          <w:w w:val="105"/>
        </w:rPr>
        <w:t>plasma concentration of repaglinide increased by</w:t>
      </w:r>
    </w:p>
    <w:p>
      <w:pPr>
        <w:spacing w:line="131" w:lineRule="exact" w:before="0"/>
        <w:ind w:left="286" w:right="0" w:firstLine="0"/>
        <w:jc w:val="left"/>
        <w:rPr>
          <w:rFonts w:ascii="Calibri"/>
          <w:sz w:val="11"/>
        </w:rPr>
      </w:pPr>
      <w:r>
        <w:rPr>
          <w:rFonts w:ascii="Calibri"/>
          <w:color w:val="008356"/>
          <w:spacing w:val="4"/>
          <w:sz w:val="11"/>
        </w:rPr>
        <w:t>DEFERASIROX</w:t>
      </w:r>
    </w:p>
    <w:p>
      <w:pPr>
        <w:pStyle w:val="BodyText"/>
        <w:spacing w:line="220" w:lineRule="auto" w:before="7"/>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hypoglycaemic effect of antidiabetics antagonised  by </w:t>
      </w:r>
      <w:r>
        <w:rPr>
          <w:rFonts w:ascii="Calibri" w:hAnsi="Calibri"/>
          <w:color w:val="008356"/>
          <w:spacing w:val="4"/>
          <w:w w:val="105"/>
          <w:sz w:val="11"/>
        </w:rPr>
        <w:t>DIAZOXIDE</w:t>
      </w:r>
    </w:p>
    <w:p>
      <w:pPr>
        <w:spacing w:line="242" w:lineRule="auto" w:before="0"/>
        <w:ind w:left="286" w:right="10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canagliflozin possibly enhances diuretic effect of </w:t>
      </w:r>
      <w:r>
        <w:rPr>
          <w:rFonts w:ascii="Calibri" w:hAnsi="Calibri"/>
          <w:color w:val="008356"/>
          <w:spacing w:val="4"/>
          <w:w w:val="105"/>
          <w:sz w:val="11"/>
        </w:rPr>
        <w:t>DIURETICS</w:t>
      </w:r>
      <w:r>
        <w:rPr>
          <w:color w:val="231F1F"/>
          <w:spacing w:val="4"/>
          <w:w w:val="105"/>
          <w:sz w:val="12"/>
        </w:rPr>
        <w:t>; </w:t>
      </w:r>
      <w:r>
        <w:rPr>
          <w:color w:val="231F1F"/>
          <w:w w:val="105"/>
          <w:sz w:val="12"/>
        </w:rPr>
        <w:t>manufacturer of canagliflozin advises avoid concomitant use with </w:t>
      </w:r>
      <w:r>
        <w:rPr>
          <w:rFonts w:ascii="Calibri" w:hAnsi="Calibri"/>
          <w:color w:val="008356"/>
          <w:spacing w:val="3"/>
          <w:w w:val="105"/>
          <w:sz w:val="11"/>
        </w:rPr>
        <w:t>LOOP  </w:t>
      </w:r>
      <w:r>
        <w:rPr>
          <w:rFonts w:ascii="Calibri" w:hAnsi="Calibri"/>
          <w:color w:val="008356"/>
          <w:spacing w:val="4"/>
          <w:w w:val="105"/>
          <w:sz w:val="11"/>
        </w:rPr>
        <w:t>DIURETICS</w:t>
      </w:r>
      <w:r>
        <w:rPr>
          <w:color w:val="231F1F"/>
          <w:spacing w:val="4"/>
          <w:w w:val="105"/>
          <w:sz w:val="12"/>
        </w:rPr>
        <w:t>;  </w:t>
      </w:r>
      <w:r>
        <w:rPr>
          <w:color w:val="231F1F"/>
          <w:w w:val="105"/>
          <w:sz w:val="12"/>
        </w:rPr>
        <w:t>hypoglycaemic  effect of antidiabetics antagonised by </w:t>
      </w:r>
      <w:r>
        <w:rPr>
          <w:rFonts w:ascii="Calibri" w:hAnsi="Calibri"/>
          <w:color w:val="008356"/>
          <w:spacing w:val="3"/>
          <w:w w:val="105"/>
          <w:sz w:val="11"/>
        </w:rPr>
        <w:t>LOOP </w:t>
      </w:r>
      <w:r>
        <w:rPr>
          <w:rFonts w:ascii="Calibri" w:hAnsi="Calibri"/>
          <w:color w:val="008356"/>
          <w:spacing w:val="4"/>
          <w:w w:val="105"/>
          <w:sz w:val="11"/>
        </w:rPr>
        <w:t>DIURETICS </w:t>
      </w:r>
      <w:r>
        <w:rPr>
          <w:color w:val="231F1F"/>
          <w:w w:val="105"/>
          <w:sz w:val="12"/>
        </w:rPr>
        <w:t>and </w:t>
      </w:r>
      <w:r>
        <w:rPr>
          <w:rFonts w:ascii="Calibri" w:hAnsi="Calibri"/>
          <w:color w:val="008356"/>
          <w:spacing w:val="5"/>
          <w:w w:val="105"/>
          <w:sz w:val="11"/>
        </w:rPr>
        <w:t>THIAZIDES </w:t>
      </w:r>
      <w:r>
        <w:rPr>
          <w:rFonts w:ascii="Calibri" w:hAnsi="Calibri"/>
          <w:color w:val="008356"/>
          <w:spacing w:val="3"/>
          <w:w w:val="105"/>
          <w:sz w:val="11"/>
        </w:rPr>
        <w:t>AND RELATED </w:t>
      </w:r>
      <w:r>
        <w:rPr>
          <w:rFonts w:ascii="Calibri" w:hAnsi="Calibri"/>
          <w:color w:val="008356"/>
          <w:spacing w:val="4"/>
          <w:w w:val="105"/>
          <w:sz w:val="11"/>
        </w:rPr>
        <w:t>DIURETICS</w:t>
      </w:r>
      <w:r>
        <w:rPr>
          <w:color w:val="231F1F"/>
          <w:spacing w:val="4"/>
          <w:w w:val="105"/>
          <w:sz w:val="12"/>
        </w:rPr>
        <w:t>; </w:t>
      </w:r>
      <w:r>
        <w:rPr>
          <w:color w:val="231F1F"/>
          <w:w w:val="105"/>
          <w:sz w:val="12"/>
        </w:rPr>
        <w:t>dapagliflozin possibly enhances diuretic effect of </w:t>
      </w:r>
      <w:r>
        <w:rPr>
          <w:rFonts w:ascii="Calibri" w:hAnsi="Calibri"/>
          <w:color w:val="008356"/>
          <w:spacing w:val="3"/>
          <w:w w:val="105"/>
          <w:sz w:val="11"/>
        </w:rPr>
        <w:t>LOOP </w:t>
      </w:r>
      <w:r>
        <w:rPr>
          <w:rFonts w:ascii="Calibri" w:hAnsi="Calibri"/>
          <w:color w:val="008356"/>
          <w:spacing w:val="4"/>
          <w:w w:val="105"/>
          <w:sz w:val="11"/>
        </w:rPr>
        <w:t>DIURETICS </w:t>
      </w:r>
      <w:r>
        <w:rPr>
          <w:color w:val="231F1F"/>
          <w:w w:val="105"/>
          <w:sz w:val="12"/>
        </w:rPr>
        <w:t>and </w:t>
      </w:r>
      <w:r>
        <w:rPr>
          <w:rFonts w:ascii="Calibri" w:hAnsi="Calibri"/>
          <w:color w:val="008356"/>
          <w:spacing w:val="4"/>
          <w:w w:val="105"/>
          <w:sz w:val="11"/>
        </w:rPr>
        <w:t>THIAZIDES </w:t>
      </w:r>
      <w:r>
        <w:rPr>
          <w:rFonts w:ascii="Calibri" w:hAnsi="Calibri"/>
          <w:color w:val="008356"/>
          <w:spacing w:val="3"/>
          <w:w w:val="105"/>
          <w:sz w:val="11"/>
        </w:rPr>
        <w:t>AND RELATED </w:t>
      </w:r>
      <w:r>
        <w:rPr>
          <w:rFonts w:ascii="Calibri" w:hAnsi="Calibri"/>
          <w:color w:val="008356"/>
          <w:spacing w:val="5"/>
          <w:w w:val="105"/>
          <w:sz w:val="11"/>
        </w:rPr>
        <w:t>DIURETICS</w:t>
      </w:r>
    </w:p>
    <w:p>
      <w:pPr>
        <w:pStyle w:val="BodyText"/>
        <w:spacing w:line="220" w:lineRule="auto" w:before="1"/>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plasma concentration of  tolbutamide reduced by </w:t>
      </w:r>
      <w:r>
        <w:rPr>
          <w:rFonts w:ascii="Calibri" w:hAnsi="Calibri"/>
          <w:color w:val="008356"/>
          <w:spacing w:val="4"/>
          <w:w w:val="105"/>
          <w:sz w:val="11"/>
        </w:rPr>
        <w:t>FOSAPREPITANT</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Hormone Antagonists: </w:t>
      </w:r>
      <w:r>
        <w:rPr>
          <w:color w:val="231F1F"/>
          <w:w w:val="105"/>
          <w:sz w:val="12"/>
        </w:rPr>
        <w:t>requirements for antidiabetics possibly reduced by </w:t>
      </w:r>
      <w:r>
        <w:rPr>
          <w:rFonts w:ascii="Calibri" w:hAnsi="Calibri"/>
          <w:color w:val="008356"/>
          <w:w w:val="105"/>
          <w:sz w:val="11"/>
        </w:rPr>
        <w:t>LANREOTIDE</w:t>
      </w:r>
      <w:r>
        <w:rPr>
          <w:color w:val="231F1F"/>
          <w:w w:val="105"/>
          <w:sz w:val="12"/>
        </w:rPr>
        <w:t>, </w:t>
      </w:r>
      <w:r>
        <w:rPr>
          <w:rFonts w:ascii="Calibri" w:hAnsi="Calibri"/>
          <w:color w:val="008356"/>
          <w:w w:val="105"/>
          <w:sz w:val="11"/>
        </w:rPr>
        <w:t>OCTREOTIDE </w:t>
      </w:r>
      <w:r>
        <w:rPr>
          <w:color w:val="231F1F"/>
          <w:w w:val="105"/>
          <w:sz w:val="12"/>
        </w:rPr>
        <w:t>and </w:t>
      </w:r>
      <w:r>
        <w:rPr>
          <w:rFonts w:ascii="Calibri" w:hAnsi="Calibri"/>
          <w:color w:val="008356"/>
          <w:w w:val="105"/>
          <w:sz w:val="11"/>
        </w:rPr>
        <w:t>PASIREOTIDE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Leflunomide: </w:t>
      </w:r>
      <w:r>
        <w:rPr>
          <w:color w:val="231F1F"/>
          <w:w w:val="105"/>
        </w:rPr>
        <w:t>hypoglycaemic effect of tolbutamide possibly enhanced by </w:t>
      </w:r>
      <w:r>
        <w:rPr>
          <w:rFonts w:ascii="Calibri" w:hAnsi="Calibri"/>
          <w:color w:val="008356"/>
          <w:w w:val="105"/>
          <w:sz w:val="11"/>
        </w:rPr>
        <w:t>LEFLUNOMIDE</w:t>
      </w:r>
    </w:p>
    <w:p>
      <w:pPr>
        <w:pStyle w:val="BodyText"/>
        <w:spacing w:line="244" w:lineRule="auto"/>
        <w:ind w:left="286" w:right="45" w:hanging="100"/>
        <w:rPr>
          <w:rFonts w:ascii="Calibri" w:hAnsi="Calibri"/>
          <w:sz w:val="11"/>
        </w:rPr>
      </w:pPr>
      <w:r>
        <w:rPr>
          <w:rFonts w:ascii="Arial" w:hAnsi="Arial"/>
          <w:color w:val="231F1F"/>
          <w:w w:val="355"/>
          <w:position w:val="1"/>
          <w:sz w:val="7"/>
        </w:rPr>
        <w:t>l </w:t>
      </w:r>
      <w:r>
        <w:rPr>
          <w:rFonts w:ascii="Calibri" w:hAnsi="Calibri"/>
          <w:color w:val="231F1F"/>
          <w:w w:val="115"/>
        </w:rPr>
        <w:t>Lipid-regulating Drugs: </w:t>
      </w:r>
      <w:r>
        <w:rPr>
          <w:color w:val="231F1F"/>
          <w:w w:val="115"/>
        </w:rPr>
        <w:t>absorption of glibenclamide and glipizide</w:t>
      </w:r>
      <w:r>
        <w:rPr>
          <w:color w:val="231F1F"/>
          <w:spacing w:val="-25"/>
          <w:w w:val="115"/>
        </w:rPr>
        <w:t> </w:t>
      </w:r>
      <w:r>
        <w:rPr>
          <w:color w:val="231F1F"/>
          <w:w w:val="115"/>
        </w:rPr>
        <w:t>reduced</w:t>
      </w:r>
      <w:r>
        <w:rPr>
          <w:color w:val="231F1F"/>
          <w:spacing w:val="-24"/>
          <w:w w:val="115"/>
        </w:rPr>
        <w:t> </w:t>
      </w:r>
      <w:r>
        <w:rPr>
          <w:color w:val="231F1F"/>
          <w:w w:val="115"/>
        </w:rPr>
        <w:t>by</w:t>
      </w:r>
      <w:r>
        <w:rPr>
          <w:color w:val="231F1F"/>
          <w:spacing w:val="-24"/>
          <w:w w:val="115"/>
        </w:rPr>
        <w:t> </w:t>
      </w:r>
      <w:r>
        <w:rPr>
          <w:rFonts w:ascii="Calibri" w:hAnsi="Calibri"/>
          <w:color w:val="008356"/>
          <w:spacing w:val="4"/>
          <w:w w:val="115"/>
          <w:sz w:val="11"/>
        </w:rPr>
        <w:t>COLESEVELAM</w:t>
      </w:r>
      <w:r>
        <w:rPr>
          <w:color w:val="231F1F"/>
          <w:spacing w:val="4"/>
          <w:w w:val="115"/>
        </w:rPr>
        <w:t>;</w:t>
      </w:r>
      <w:r>
        <w:rPr>
          <w:color w:val="231F1F"/>
          <w:spacing w:val="-24"/>
          <w:w w:val="115"/>
        </w:rPr>
        <w:t> </w:t>
      </w:r>
      <w:r>
        <w:rPr>
          <w:color w:val="231F1F"/>
          <w:w w:val="115"/>
        </w:rPr>
        <w:t>absorption</w:t>
      </w:r>
      <w:r>
        <w:rPr>
          <w:color w:val="231F1F"/>
          <w:spacing w:val="-24"/>
          <w:w w:val="115"/>
        </w:rPr>
        <w:t> </w:t>
      </w:r>
      <w:r>
        <w:rPr>
          <w:color w:val="231F1F"/>
          <w:w w:val="115"/>
        </w:rPr>
        <w:t>of</w:t>
      </w:r>
      <w:r>
        <w:rPr>
          <w:color w:val="231F1F"/>
          <w:spacing w:val="-24"/>
          <w:w w:val="115"/>
        </w:rPr>
        <w:t> </w:t>
      </w:r>
      <w:r>
        <w:rPr>
          <w:color w:val="231F1F"/>
          <w:w w:val="115"/>
        </w:rPr>
        <w:t>glimepiride reduced by </w:t>
      </w:r>
      <w:r>
        <w:rPr>
          <w:rFonts w:ascii="Calibri" w:hAnsi="Calibri"/>
          <w:color w:val="008356"/>
          <w:spacing w:val="2"/>
          <w:w w:val="115"/>
          <w:sz w:val="11"/>
        </w:rPr>
        <w:t>COLESEVELAM</w:t>
      </w:r>
      <w:r>
        <w:rPr>
          <w:rFonts w:ascii="Arial" w:hAnsi="Arial"/>
          <w:color w:val="231F1F"/>
          <w:spacing w:val="2"/>
          <w:w w:val="115"/>
        </w:rPr>
        <w:t>—</w:t>
      </w:r>
      <w:r>
        <w:rPr>
          <w:color w:val="231F1F"/>
          <w:spacing w:val="2"/>
          <w:w w:val="115"/>
        </w:rPr>
        <w:t>manufacturer </w:t>
      </w:r>
      <w:r>
        <w:rPr>
          <w:color w:val="231F1F"/>
          <w:w w:val="115"/>
        </w:rPr>
        <w:t>of glimepiride advises give at least 4 hours before colesevelam; hypoglycaemic effect of acarbose possibly enhanced by </w:t>
      </w:r>
      <w:r>
        <w:rPr>
          <w:rFonts w:ascii="Calibri" w:hAnsi="Calibri"/>
          <w:color w:val="008356"/>
          <w:spacing w:val="4"/>
          <w:w w:val="110"/>
          <w:sz w:val="11"/>
        </w:rPr>
        <w:t>COLESTYRAMINE</w:t>
      </w:r>
      <w:r>
        <w:rPr>
          <w:color w:val="231F1F"/>
          <w:spacing w:val="4"/>
          <w:w w:val="110"/>
        </w:rPr>
        <w:t>;</w:t>
      </w:r>
      <w:r>
        <w:rPr>
          <w:color w:val="231F1F"/>
          <w:spacing w:val="-8"/>
          <w:w w:val="110"/>
        </w:rPr>
        <w:t> </w:t>
      </w:r>
      <w:r>
        <w:rPr>
          <w:color w:val="231F1F"/>
          <w:w w:val="110"/>
        </w:rPr>
        <w:t>hypoglycaemic</w:t>
      </w:r>
      <w:r>
        <w:rPr>
          <w:color w:val="231F1F"/>
          <w:spacing w:val="-9"/>
          <w:w w:val="110"/>
        </w:rPr>
        <w:t> </w:t>
      </w:r>
      <w:r>
        <w:rPr>
          <w:color w:val="231F1F"/>
          <w:w w:val="110"/>
        </w:rPr>
        <w:t>effect</w:t>
      </w:r>
      <w:r>
        <w:rPr>
          <w:color w:val="231F1F"/>
          <w:spacing w:val="-8"/>
          <w:w w:val="110"/>
        </w:rPr>
        <w:t> </w:t>
      </w:r>
      <w:r>
        <w:rPr>
          <w:color w:val="231F1F"/>
          <w:w w:val="110"/>
        </w:rPr>
        <w:t>of</w:t>
      </w:r>
      <w:r>
        <w:rPr>
          <w:color w:val="231F1F"/>
          <w:spacing w:val="-8"/>
          <w:w w:val="110"/>
        </w:rPr>
        <w:t> </w:t>
      </w:r>
      <w:r>
        <w:rPr>
          <w:color w:val="231F1F"/>
          <w:w w:val="110"/>
        </w:rPr>
        <w:t>nateglinide</w:t>
      </w:r>
      <w:r>
        <w:rPr>
          <w:color w:val="231F1F"/>
          <w:spacing w:val="-9"/>
          <w:w w:val="110"/>
        </w:rPr>
        <w:t> </w:t>
      </w:r>
      <w:r>
        <w:rPr>
          <w:color w:val="231F1F"/>
          <w:w w:val="110"/>
        </w:rPr>
        <w:t>possibly </w:t>
      </w:r>
      <w:r>
        <w:rPr>
          <w:color w:val="231F1F"/>
          <w:w w:val="115"/>
        </w:rPr>
        <w:t>enhanced by </w:t>
      </w:r>
      <w:r>
        <w:rPr>
          <w:rFonts w:ascii="Calibri" w:hAnsi="Calibri"/>
          <w:color w:val="008356"/>
          <w:spacing w:val="4"/>
          <w:w w:val="115"/>
          <w:sz w:val="11"/>
        </w:rPr>
        <w:t>GEMFIBROZIL</w:t>
      </w:r>
      <w:r>
        <w:rPr>
          <w:color w:val="231F1F"/>
          <w:spacing w:val="4"/>
          <w:w w:val="115"/>
        </w:rPr>
        <w:t>; </w:t>
      </w:r>
      <w:r>
        <w:rPr>
          <w:color w:val="231F1F"/>
          <w:w w:val="115"/>
        </w:rPr>
        <w:t>increased risk of severe hypoglycaemia</w:t>
      </w:r>
      <w:r>
        <w:rPr>
          <w:color w:val="231F1F"/>
          <w:spacing w:val="-24"/>
          <w:w w:val="115"/>
        </w:rPr>
        <w:t> </w:t>
      </w:r>
      <w:r>
        <w:rPr>
          <w:color w:val="231F1F"/>
          <w:w w:val="115"/>
        </w:rPr>
        <w:t>when</w:t>
      </w:r>
      <w:r>
        <w:rPr>
          <w:color w:val="231F1F"/>
          <w:spacing w:val="-24"/>
          <w:w w:val="115"/>
        </w:rPr>
        <w:t> </w:t>
      </w:r>
      <w:r>
        <w:rPr>
          <w:color w:val="231F1F"/>
          <w:w w:val="115"/>
        </w:rPr>
        <w:t>repaglinide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160"/>
          <w:position w:val="1"/>
          <w:sz w:val="7"/>
        </w:rPr>
        <w:t>l</w:t>
      </w:r>
      <w:r>
        <w:rPr>
          <w:rFonts w:ascii="Arial" w:hAnsi="Arial"/>
          <w:color w:val="231F1F"/>
          <w:spacing w:val="-22"/>
          <w:w w:val="160"/>
          <w:position w:val="1"/>
          <w:sz w:val="7"/>
        </w:rPr>
        <w:t> </w:t>
      </w:r>
      <w:r>
        <w:rPr>
          <w:rFonts w:ascii="Calibri" w:hAnsi="Calibri"/>
          <w:color w:val="008356"/>
          <w:spacing w:val="4"/>
          <w:w w:val="115"/>
          <w:sz w:val="11"/>
        </w:rPr>
        <w:t>GEMFIBROZIL</w:t>
      </w:r>
      <w:r>
        <w:rPr>
          <w:rFonts w:ascii="Arial" w:hAnsi="Arial"/>
          <w:color w:val="231F1F"/>
          <w:spacing w:val="4"/>
          <w:w w:val="115"/>
        </w:rPr>
        <w:t>— </w:t>
      </w:r>
      <w:r>
        <w:rPr>
          <w:color w:val="231F1F"/>
          <w:w w:val="115"/>
        </w:rPr>
        <w:t>avoid concomitant use; plasma concentration of glibenclamide possibly increased by </w:t>
      </w:r>
      <w:r>
        <w:rPr>
          <w:rFonts w:ascii="Calibri" w:hAnsi="Calibri"/>
          <w:color w:val="008356"/>
          <w:spacing w:val="3"/>
          <w:w w:val="115"/>
          <w:sz w:val="11"/>
        </w:rPr>
        <w:t>FLUVASTATIN</w:t>
      </w:r>
      <w:r>
        <w:rPr>
          <w:color w:val="231F1F"/>
          <w:spacing w:val="3"/>
          <w:w w:val="115"/>
        </w:rPr>
        <w:t>; </w:t>
      </w:r>
      <w:r>
        <w:rPr>
          <w:color w:val="231F1F"/>
          <w:w w:val="115"/>
        </w:rPr>
        <w:t>manufacturer of canagliflozin advises give at least 1 hour before</w:t>
      </w:r>
      <w:r>
        <w:rPr>
          <w:color w:val="231F1F"/>
          <w:spacing w:val="-15"/>
          <w:w w:val="115"/>
        </w:rPr>
        <w:t> </w:t>
      </w:r>
      <w:r>
        <w:rPr>
          <w:color w:val="231F1F"/>
          <w:w w:val="115"/>
        </w:rPr>
        <w:t>or</w:t>
      </w:r>
      <w:r>
        <w:rPr>
          <w:color w:val="231F1F"/>
          <w:spacing w:val="-15"/>
          <w:w w:val="115"/>
        </w:rPr>
        <w:t> </w:t>
      </w:r>
      <w:r>
        <w:rPr>
          <w:color w:val="231F1F"/>
          <w:w w:val="115"/>
        </w:rPr>
        <w:t>4</w:t>
      </w:r>
      <w:r>
        <w:rPr>
          <w:rFonts w:ascii="Arial" w:hAnsi="Arial"/>
          <w:color w:val="231F1F"/>
          <w:w w:val="115"/>
        </w:rPr>
        <w:t>–</w:t>
      </w:r>
      <w:r>
        <w:rPr>
          <w:color w:val="231F1F"/>
          <w:w w:val="115"/>
        </w:rPr>
        <w:t>6</w:t>
      </w:r>
      <w:r>
        <w:rPr>
          <w:color w:val="231F1F"/>
          <w:spacing w:val="-15"/>
          <w:w w:val="115"/>
        </w:rPr>
        <w:t> </w:t>
      </w:r>
      <w:r>
        <w:rPr>
          <w:color w:val="231F1F"/>
          <w:w w:val="115"/>
        </w:rPr>
        <w:t>hours</w:t>
      </w:r>
      <w:r>
        <w:rPr>
          <w:color w:val="231F1F"/>
          <w:spacing w:val="-15"/>
          <w:w w:val="115"/>
        </w:rPr>
        <w:t> </w:t>
      </w:r>
      <w:r>
        <w:rPr>
          <w:color w:val="231F1F"/>
          <w:w w:val="115"/>
        </w:rPr>
        <w:t>after</w:t>
      </w:r>
      <w:r>
        <w:rPr>
          <w:color w:val="231F1F"/>
          <w:spacing w:val="-15"/>
          <w:w w:val="115"/>
        </w:rPr>
        <w:t> </w:t>
      </w:r>
      <w:r>
        <w:rPr>
          <w:rFonts w:ascii="Calibri" w:hAnsi="Calibri"/>
          <w:color w:val="008356"/>
          <w:spacing w:val="3"/>
          <w:w w:val="115"/>
          <w:sz w:val="11"/>
        </w:rPr>
        <w:t>BILE</w:t>
      </w:r>
      <w:r>
        <w:rPr>
          <w:rFonts w:ascii="Calibri" w:hAnsi="Calibri"/>
          <w:color w:val="008356"/>
          <w:spacing w:val="-8"/>
          <w:w w:val="115"/>
          <w:sz w:val="11"/>
        </w:rPr>
        <w:t> </w:t>
      </w:r>
      <w:r>
        <w:rPr>
          <w:rFonts w:ascii="Calibri" w:hAnsi="Calibri"/>
          <w:color w:val="008356"/>
          <w:spacing w:val="3"/>
          <w:w w:val="115"/>
          <w:sz w:val="11"/>
        </w:rPr>
        <w:t>ACID</w:t>
      </w:r>
      <w:r>
        <w:rPr>
          <w:rFonts w:ascii="Calibri" w:hAnsi="Calibri"/>
          <w:color w:val="008356"/>
          <w:spacing w:val="-7"/>
          <w:w w:val="115"/>
          <w:sz w:val="11"/>
        </w:rPr>
        <w:t> </w:t>
      </w:r>
      <w:r>
        <w:rPr>
          <w:rFonts w:ascii="Calibri" w:hAnsi="Calibri"/>
          <w:color w:val="008356"/>
          <w:spacing w:val="4"/>
          <w:w w:val="115"/>
          <w:sz w:val="11"/>
        </w:rPr>
        <w:t>SEQUESTRANTS</w:t>
      </w:r>
      <w:r>
        <w:rPr>
          <w:color w:val="231F1F"/>
          <w:spacing w:val="4"/>
          <w:w w:val="115"/>
        </w:rPr>
        <w:t>;</w:t>
      </w:r>
      <w:r>
        <w:rPr>
          <w:color w:val="231F1F"/>
          <w:spacing w:val="-15"/>
          <w:w w:val="115"/>
        </w:rPr>
        <w:t> </w:t>
      </w:r>
      <w:r>
        <w:rPr>
          <w:color w:val="231F1F"/>
          <w:w w:val="115"/>
        </w:rPr>
        <w:t>may</w:t>
      </w:r>
      <w:r>
        <w:rPr>
          <w:color w:val="231F1F"/>
          <w:spacing w:val="-15"/>
          <w:w w:val="115"/>
        </w:rPr>
        <w:t> </w:t>
      </w:r>
      <w:r>
        <w:rPr>
          <w:color w:val="231F1F"/>
          <w:w w:val="115"/>
        </w:rPr>
        <w:t>be improved glucose tolerance and an additive effect when insulin or sulfonylureas given with </w:t>
      </w:r>
      <w:r>
        <w:rPr>
          <w:rFonts w:ascii="Calibri" w:hAnsi="Calibri"/>
          <w:color w:val="008356"/>
          <w:spacing w:val="3"/>
          <w:w w:val="115"/>
          <w:sz w:val="11"/>
        </w:rPr>
        <w:t>FIBRATES</w:t>
      </w:r>
      <w:r>
        <w:rPr>
          <w:color w:val="231F1F"/>
          <w:spacing w:val="3"/>
          <w:w w:val="115"/>
        </w:rPr>
        <w:t>; </w:t>
      </w:r>
      <w:r>
        <w:rPr>
          <w:color w:val="231F1F"/>
          <w:w w:val="115"/>
        </w:rPr>
        <w:t>separating administration from linagliptin by 12 hours advised by manufacturer of</w:t>
      </w:r>
      <w:r>
        <w:rPr>
          <w:color w:val="231F1F"/>
          <w:spacing w:val="-10"/>
          <w:w w:val="115"/>
        </w:rPr>
        <w:t> </w:t>
      </w:r>
      <w:r>
        <w:rPr>
          <w:rFonts w:ascii="Calibri" w:hAnsi="Calibri"/>
          <w:color w:val="008356"/>
          <w:spacing w:val="3"/>
          <w:w w:val="115"/>
          <w:sz w:val="11"/>
        </w:rPr>
        <w:t>LOMITAPIDE</w:t>
      </w:r>
    </w:p>
    <w:p>
      <w:pPr>
        <w:pStyle w:val="BodyText"/>
        <w:spacing w:line="220" w:lineRule="auto" w:before="7"/>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hypoglycaemic effect of  antidiabetics antagonised by </w:t>
      </w:r>
      <w:r>
        <w:rPr>
          <w:rFonts w:ascii="Calibri" w:hAnsi="Calibri"/>
          <w:color w:val="008356"/>
          <w:spacing w:val="4"/>
          <w:w w:val="105"/>
          <w:sz w:val="11"/>
        </w:rPr>
        <w:t>OESTROGENS</w:t>
      </w:r>
    </w:p>
    <w:p>
      <w:pPr>
        <w:pStyle w:val="BodyText"/>
        <w:spacing w:before="9"/>
        <w:ind w:left="0"/>
        <w:rPr>
          <w:rFonts w:ascii="Calibri"/>
          <w:sz w:val="13"/>
        </w:rPr>
      </w:pPr>
      <w:r>
        <w:rPr/>
        <w:br w:type="column"/>
      </w:r>
      <w:r>
        <w:rPr>
          <w:rFonts w:ascii="Calibri"/>
          <w:sz w:val="13"/>
        </w:rPr>
      </w:r>
    </w:p>
    <w:p>
      <w:pPr>
        <w:pStyle w:val="BodyText"/>
        <w:spacing w:line="144" w:lineRule="exact"/>
        <w:ind w:left="178"/>
        <w:rPr>
          <w:rFonts w:ascii="Calibri"/>
        </w:rPr>
      </w:pPr>
      <w:r>
        <w:rPr>
          <w:rFonts w:ascii="Arial"/>
          <w:color w:val="008356"/>
        </w:rPr>
        <w:t>Antidiabetics </w:t>
      </w:r>
      <w:r>
        <w:rPr>
          <w:rFonts w:ascii="Calibri"/>
          <w:color w:val="231F1F"/>
        </w:rPr>
        <w:t>(continued)</w:t>
      </w:r>
    </w:p>
    <w:p>
      <w:pPr>
        <w:pStyle w:val="BodyText"/>
        <w:spacing w:line="154" w:lineRule="exact"/>
        <w:ind w:left="178"/>
      </w:pPr>
      <w:r>
        <w:rPr>
          <w:rFonts w:ascii="Lucida Sans Unicode" w:hAnsi="Lucida Sans Unicode"/>
          <w:color w:val="A7A8AC"/>
          <w:w w:val="95"/>
          <w:sz w:val="10"/>
        </w:rPr>
        <w:t>▶ </w:t>
      </w:r>
      <w:r>
        <w:rPr>
          <w:rFonts w:ascii="Calibri" w:hAnsi="Calibri"/>
          <w:color w:val="231F1F"/>
          <w:w w:val="105"/>
        </w:rPr>
        <w:t>Orlistat: </w:t>
      </w:r>
      <w:r>
        <w:rPr>
          <w:color w:val="231F1F"/>
          <w:w w:val="105"/>
        </w:rPr>
        <w:t>avoidance of acarbose advised by manufacturer of</w:t>
      </w:r>
    </w:p>
    <w:p>
      <w:pPr>
        <w:spacing w:line="130" w:lineRule="exact" w:before="0"/>
        <w:ind w:left="277" w:right="0" w:firstLine="0"/>
        <w:jc w:val="left"/>
        <w:rPr>
          <w:rFonts w:ascii="Calibri"/>
          <w:sz w:val="11"/>
        </w:rPr>
      </w:pPr>
      <w:r>
        <w:rPr>
          <w:rFonts w:ascii="Calibri"/>
          <w:color w:val="008356"/>
          <w:sz w:val="11"/>
        </w:rPr>
        <w:t>ORLISTAT</w:t>
      </w:r>
    </w:p>
    <w:p>
      <w:pPr>
        <w:pStyle w:val="BodyText"/>
        <w:spacing w:line="154" w:lineRule="exact"/>
        <w:ind w:left="178"/>
      </w:pPr>
      <w:r>
        <w:rPr>
          <w:rFonts w:ascii="Lucida Sans Unicode" w:hAnsi="Lucida Sans Unicode"/>
          <w:color w:val="A7A8AC"/>
          <w:w w:val="95"/>
          <w:sz w:val="10"/>
        </w:rPr>
        <w:t>▶ </w:t>
      </w:r>
      <w:r>
        <w:rPr>
          <w:rFonts w:ascii="Calibri" w:hAnsi="Calibri"/>
          <w:color w:val="231F1F"/>
          <w:w w:val="105"/>
        </w:rPr>
        <w:t>Pancreatin: </w:t>
      </w:r>
      <w:r>
        <w:rPr>
          <w:color w:val="231F1F"/>
          <w:w w:val="105"/>
        </w:rPr>
        <w:t>hypoglycaemic effect of acarbose antagonised by</w:t>
      </w:r>
    </w:p>
    <w:p>
      <w:pPr>
        <w:spacing w:line="131" w:lineRule="exact" w:before="0"/>
        <w:ind w:left="277" w:right="0" w:firstLine="0"/>
        <w:jc w:val="left"/>
        <w:rPr>
          <w:rFonts w:ascii="Calibri"/>
          <w:sz w:val="11"/>
        </w:rPr>
      </w:pPr>
      <w:r>
        <w:rPr>
          <w:rFonts w:ascii="Calibri"/>
          <w:color w:val="008356"/>
          <w:sz w:val="11"/>
        </w:rPr>
        <w:t>PANCREATIN</w:t>
      </w:r>
    </w:p>
    <w:p>
      <w:pPr>
        <w:pStyle w:val="BodyText"/>
        <w:spacing w:line="220" w:lineRule="auto" w:before="8"/>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hypoglycaemic effect of antidiabetics antagonised by </w:t>
      </w:r>
      <w:r>
        <w:rPr>
          <w:rFonts w:ascii="Calibri" w:hAnsi="Calibri"/>
          <w:color w:val="008356"/>
          <w:w w:val="105"/>
          <w:sz w:val="11"/>
        </w:rPr>
        <w:t>PROGESTOGENS</w:t>
      </w:r>
    </w:p>
    <w:p>
      <w:pPr>
        <w:pStyle w:val="BodyText"/>
        <w:spacing w:line="146" w:lineRule="exact"/>
        <w:ind w:left="178"/>
      </w:pPr>
      <w:r>
        <w:rPr>
          <w:rFonts w:ascii="Arial"/>
          <w:color w:val="231F1F"/>
          <w:w w:val="355"/>
          <w:position w:val="1"/>
          <w:sz w:val="7"/>
        </w:rPr>
        <w:t>l </w:t>
      </w:r>
      <w:r>
        <w:rPr>
          <w:rFonts w:ascii="Calibri"/>
          <w:color w:val="231F1F"/>
          <w:w w:val="115"/>
        </w:rPr>
        <w:t>Sulfinpyrazone: </w:t>
      </w:r>
      <w:r>
        <w:rPr>
          <w:color w:val="231F1F"/>
          <w:w w:val="115"/>
        </w:rPr>
        <w:t>effects of sulfonylureas enhanced by</w:t>
      </w:r>
    </w:p>
    <w:p>
      <w:pPr>
        <w:spacing w:line="133" w:lineRule="exact" w:before="6"/>
        <w:ind w:left="277" w:right="0" w:firstLine="0"/>
        <w:jc w:val="left"/>
        <w:rPr>
          <w:rFonts w:ascii="Calibri"/>
          <w:sz w:val="11"/>
        </w:rPr>
      </w:pPr>
      <w:r>
        <w:rPr>
          <w:rFonts w:ascii="Arial"/>
          <w:color w:val="231F1F"/>
          <w:w w:val="105"/>
          <w:position w:val="1"/>
          <w:sz w:val="7"/>
        </w:rPr>
        <w:t>l </w:t>
      </w:r>
      <w:r>
        <w:rPr>
          <w:rFonts w:ascii="Arial"/>
          <w:color w:val="231F1F"/>
          <w:spacing w:val="2"/>
          <w:w w:val="105"/>
          <w:position w:val="1"/>
          <w:sz w:val="7"/>
        </w:rPr>
        <w:t> </w:t>
      </w:r>
      <w:r>
        <w:rPr>
          <w:rFonts w:ascii="Calibri"/>
          <w:color w:val="008356"/>
          <w:spacing w:val="4"/>
          <w:w w:val="105"/>
          <w:sz w:val="11"/>
        </w:rPr>
        <w:t>SULFINPYRAZONE</w:t>
      </w:r>
    </w:p>
    <w:p>
      <w:pPr>
        <w:pStyle w:val="BodyText"/>
        <w:spacing w:line="220" w:lineRule="auto" w:before="7"/>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Teriflunomide: </w:t>
      </w:r>
      <w:r>
        <w:rPr>
          <w:color w:val="231F1F"/>
          <w:w w:val="105"/>
        </w:rPr>
        <w:t>plasma concentration of repaglinide increased  by</w:t>
      </w:r>
      <w:r>
        <w:rPr>
          <w:color w:val="231F1F"/>
          <w:spacing w:val="-1"/>
          <w:w w:val="105"/>
        </w:rPr>
        <w:t> </w:t>
      </w:r>
      <w:r>
        <w:rPr>
          <w:rFonts w:ascii="Calibri" w:hAnsi="Calibri"/>
          <w:color w:val="008356"/>
          <w:spacing w:val="4"/>
          <w:w w:val="105"/>
          <w:sz w:val="11"/>
        </w:rPr>
        <w:t>TERIFLUNOMIDE</w:t>
      </w:r>
    </w:p>
    <w:p>
      <w:pPr>
        <w:pStyle w:val="BodyText"/>
        <w:spacing w:line="220" w:lineRule="auto" w:before="10"/>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Testosterone: </w:t>
      </w:r>
      <w:r>
        <w:rPr>
          <w:color w:val="231F1F"/>
          <w:w w:val="105"/>
        </w:rPr>
        <w:t>hypoglycaemic effect of antidiabetics possibly enhanced by </w:t>
      </w:r>
      <w:r>
        <w:rPr>
          <w:rFonts w:ascii="Calibri" w:hAnsi="Calibri"/>
          <w:color w:val="008356"/>
          <w:w w:val="105"/>
          <w:sz w:val="11"/>
        </w:rPr>
        <w:t>TESTOSTERONE</w:t>
      </w:r>
    </w:p>
    <w:p>
      <w:pPr>
        <w:pStyle w:val="BodyText"/>
        <w:spacing w:line="230" w:lineRule="auto" w:before="3"/>
        <w:ind w:left="277" w:right="585"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excretion of metformin reduced by </w:t>
      </w:r>
      <w:r>
        <w:rPr>
          <w:rFonts w:ascii="Calibri" w:hAnsi="Calibri"/>
          <w:color w:val="008356"/>
          <w:w w:val="110"/>
          <w:sz w:val="11"/>
        </w:rPr>
        <w:t>CIMETIDINE </w:t>
      </w:r>
      <w:r>
        <w:rPr>
          <w:color w:val="231F1F"/>
          <w:w w:val="110"/>
        </w:rPr>
        <w:t>(increased plasma concentration); hypoglycaemic effect of sulfonylureas enhanced by </w:t>
      </w:r>
      <w:r>
        <w:rPr>
          <w:rFonts w:ascii="Calibri" w:hAnsi="Calibri"/>
          <w:color w:val="008356"/>
          <w:w w:val="110"/>
          <w:sz w:val="11"/>
        </w:rPr>
        <w:t>CIMETIDINE</w:t>
      </w:r>
    </w:p>
    <w:p>
      <w:pPr>
        <w:pStyle w:val="BodyText"/>
        <w:spacing w:line="244" w:lineRule="auto" w:before="10"/>
        <w:ind w:left="277" w:right="765" w:hanging="100"/>
      </w:pPr>
      <w:r>
        <w:rPr>
          <w:rFonts w:ascii="Trebuchet MS"/>
          <w:color w:val="008356"/>
          <w:w w:val="110"/>
        </w:rPr>
        <w:t>Antiepileptics </w:t>
      </w:r>
      <w:r>
        <w:rPr>
          <w:i/>
          <w:color w:val="231F1F"/>
          <w:w w:val="110"/>
        </w:rPr>
        <w:t>see </w:t>
      </w:r>
      <w:r>
        <w:rPr>
          <w:color w:val="231F1F"/>
          <w:w w:val="110"/>
        </w:rPr>
        <w:t>Carbamazepine, Eslicarbazepine, Ethosuximide, Fosphenytoin, Gabapentin, Lacosamide, Lamotrigine, Levetiracetam, Oxcarbazepine, Perampanel, Phenobarbital, Phenytoin, Pregabalin, Primidone, Retigabine, Rufinamide, Sodium valproate, Stiripentol, Tiagabine, Topiramate, Valproic acid, Vigabatrin, and Zonisamide</w:t>
      </w:r>
    </w:p>
    <w:p>
      <w:pPr>
        <w:pStyle w:val="BodyText"/>
        <w:spacing w:line="244" w:lineRule="auto" w:before="11"/>
        <w:ind w:left="277" w:right="765" w:hanging="100"/>
      </w:pPr>
      <w:r>
        <w:rPr>
          <w:rFonts w:ascii="Trebuchet MS"/>
          <w:color w:val="008356"/>
          <w:w w:val="110"/>
        </w:rPr>
        <w:t>Antifungals </w:t>
      </w:r>
      <w:r>
        <w:rPr>
          <w:i/>
          <w:color w:val="231F1F"/>
          <w:w w:val="110"/>
        </w:rPr>
        <w:t>see </w:t>
      </w:r>
      <w:r>
        <w:rPr>
          <w:color w:val="231F1F"/>
          <w:w w:val="110"/>
        </w:rPr>
        <w:t>Amphotericin; Antifungals, Imidazole; Antifungals, Triazole; Caspofungin; Flucytosine; Griseofulvin; Micafungin; Terbinafine</w:t>
      </w:r>
    </w:p>
    <w:p>
      <w:pPr>
        <w:pStyle w:val="BodyText"/>
        <w:spacing w:before="8"/>
        <w:ind w:left="178"/>
        <w:rPr>
          <w:rFonts w:ascii="Trebuchet MS"/>
        </w:rPr>
      </w:pPr>
      <w:r>
        <w:rPr>
          <w:rFonts w:ascii="Trebuchet MS"/>
          <w:color w:val="008356"/>
        </w:rPr>
        <w:t>Antifungals, Imidazole</w:t>
      </w:r>
    </w:p>
    <w:p>
      <w:pPr>
        <w:pStyle w:val="BodyText"/>
        <w:spacing w:line="220" w:lineRule="auto" w:before="10"/>
        <w:ind w:left="277" w:right="1168"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possibility of disulfiram-like reaction when ketoconazole given with </w:t>
      </w:r>
      <w:r>
        <w:rPr>
          <w:rFonts w:ascii="Calibri" w:hAnsi="Calibri"/>
          <w:color w:val="008356"/>
          <w:w w:val="110"/>
          <w:sz w:val="11"/>
        </w:rPr>
        <w:t>ALCOHOL</w:t>
      </w:r>
    </w:p>
    <w:p>
      <w:pPr>
        <w:pStyle w:val="BodyText"/>
        <w:spacing w:line="155" w:lineRule="exact"/>
        <w:ind w:left="178"/>
      </w:pPr>
      <w:r>
        <w:rPr>
          <w:rFonts w:ascii="Lucida Sans Unicode" w:hAnsi="Lucida Sans Unicode"/>
          <w:color w:val="A7A8AC"/>
          <w:w w:val="95"/>
          <w:sz w:val="10"/>
        </w:rPr>
        <w:t>▶ </w:t>
      </w:r>
      <w:r>
        <w:rPr>
          <w:rFonts w:ascii="Calibri" w:hAnsi="Calibri"/>
          <w:color w:val="231F1F"/>
          <w:w w:val="105"/>
        </w:rPr>
        <w:t>Aliskiren: </w:t>
      </w:r>
      <w:r>
        <w:rPr>
          <w:color w:val="231F1F"/>
          <w:w w:val="105"/>
        </w:rPr>
        <w:t>ketoconazole increases plasma concentration of</w:t>
      </w:r>
    </w:p>
    <w:p>
      <w:pPr>
        <w:spacing w:line="131" w:lineRule="exact" w:before="0"/>
        <w:ind w:left="277" w:right="0" w:firstLine="0"/>
        <w:jc w:val="left"/>
        <w:rPr>
          <w:rFonts w:ascii="Calibri"/>
          <w:sz w:val="11"/>
        </w:rPr>
      </w:pPr>
      <w:r>
        <w:rPr>
          <w:rFonts w:ascii="Calibri"/>
          <w:color w:val="008356"/>
          <w:w w:val="105"/>
          <w:sz w:val="11"/>
        </w:rPr>
        <w:t>ALISKIREN</w:t>
      </w:r>
    </w:p>
    <w:p>
      <w:pPr>
        <w:pStyle w:val="BodyText"/>
        <w:ind w:left="277" w:right="765" w:hanging="100"/>
        <w:rPr>
          <w:rFonts w:ascii="Calibri"/>
          <w:sz w:val="11"/>
        </w:rPr>
      </w:pPr>
      <w:r>
        <w:rPr>
          <w:rFonts w:ascii="Arial"/>
          <w:color w:val="231F1F"/>
          <w:w w:val="355"/>
          <w:position w:val="1"/>
          <w:sz w:val="7"/>
        </w:rPr>
        <w:t>l </w:t>
      </w:r>
      <w:r>
        <w:rPr>
          <w:rFonts w:ascii="Calibri"/>
          <w:color w:val="231F1F"/>
          <w:w w:val="110"/>
        </w:rPr>
        <w:t>Alpha-blockers: </w:t>
      </w:r>
      <w:r>
        <w:rPr>
          <w:color w:val="231F1F"/>
          <w:w w:val="110"/>
        </w:rPr>
        <w:t>ketoconazole possibly increases plasma concentration of </w:t>
      </w:r>
      <w:r>
        <w:rPr>
          <w:rFonts w:ascii="Calibri"/>
          <w:color w:val="008356"/>
          <w:w w:val="110"/>
          <w:sz w:val="11"/>
        </w:rPr>
        <w:t>ALFUZOSIN</w:t>
      </w:r>
      <w:r>
        <w:rPr>
          <w:color w:val="231F1F"/>
          <w:w w:val="110"/>
        </w:rPr>
        <w:t>; ketoconazole increases plasma concentration of </w:t>
      </w:r>
      <w:r>
        <w:rPr>
          <w:rFonts w:ascii="Arial"/>
          <w:color w:val="231F1F"/>
          <w:w w:val="355"/>
          <w:position w:val="1"/>
          <w:sz w:val="7"/>
        </w:rPr>
        <w:t>l </w:t>
      </w:r>
      <w:r>
        <w:rPr>
          <w:rFonts w:ascii="Calibri"/>
          <w:color w:val="008356"/>
          <w:w w:val="110"/>
          <w:sz w:val="11"/>
        </w:rPr>
        <w:t>TAMSULOSIN</w:t>
      </w:r>
    </w:p>
    <w:p>
      <w:pPr>
        <w:pStyle w:val="BodyText"/>
        <w:ind w:left="277" w:right="765" w:hanging="100"/>
        <w:rPr>
          <w:rFonts w:ascii="Calibri"/>
          <w:sz w:val="11"/>
        </w:rPr>
      </w:pPr>
      <w:r>
        <w:rPr>
          <w:rFonts w:ascii="Arial"/>
          <w:color w:val="231F1F"/>
          <w:w w:val="355"/>
          <w:position w:val="1"/>
          <w:sz w:val="7"/>
        </w:rPr>
        <w:t>l </w:t>
      </w:r>
      <w:r>
        <w:rPr>
          <w:rFonts w:ascii="Calibri"/>
          <w:color w:val="231F1F"/>
          <w:w w:val="110"/>
        </w:rPr>
        <w:t>Aminophylline: </w:t>
      </w:r>
      <w:r>
        <w:rPr>
          <w:color w:val="231F1F"/>
          <w:w w:val="110"/>
        </w:rPr>
        <w:t>ketoconazole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5"/>
          <w:w w:val="110"/>
          <w:sz w:val="11"/>
        </w:rPr>
        <w:t>AMINOPHYLLINE</w:t>
      </w:r>
    </w:p>
    <w:p>
      <w:pPr>
        <w:pStyle w:val="BodyText"/>
        <w:spacing w:line="142" w:lineRule="exact"/>
        <w:ind w:left="178"/>
      </w:pPr>
      <w:r>
        <w:rPr>
          <w:rFonts w:ascii="Arial"/>
          <w:color w:val="231F1F"/>
          <w:w w:val="355"/>
          <w:position w:val="1"/>
          <w:sz w:val="7"/>
        </w:rPr>
        <w:t>l </w:t>
      </w:r>
      <w:r>
        <w:rPr>
          <w:rFonts w:ascii="Calibri"/>
          <w:color w:val="231F1F"/>
          <w:w w:val="115"/>
        </w:rPr>
        <w:t>Analgesics: </w:t>
      </w:r>
      <w:r>
        <w:rPr>
          <w:color w:val="231F1F"/>
          <w:w w:val="115"/>
        </w:rPr>
        <w:t>ketoconazole inhibits metabolism of</w:t>
      </w:r>
    </w:p>
    <w:p>
      <w:pPr>
        <w:pStyle w:val="BodyText"/>
        <w:spacing w:line="249" w:lineRule="auto"/>
        <w:ind w:left="277" w:right="585"/>
        <w:rPr>
          <w:rFonts w:ascii="Calibri" w:hAnsi="Calibri"/>
          <w:sz w:val="11"/>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BUPRENORPHINE </w:t>
      </w:r>
      <w:r>
        <w:rPr>
          <w:color w:val="231F1F"/>
          <w:w w:val="115"/>
        </w:rPr>
        <w:t>(reduce dose of buprenorphine); possible increased risk of ventricular arrhythmias when </w:t>
      </w:r>
      <w:r>
        <w:rPr>
          <w:color w:val="231F1F"/>
          <w:spacing w:val="-2"/>
          <w:w w:val="115"/>
        </w:rPr>
        <w:t>ketoconazole </w:t>
      </w:r>
      <w:r>
        <w:rPr>
          <w:color w:val="231F1F"/>
          <w:w w:val="115"/>
        </w:rPr>
        <w:t>given with </w:t>
      </w:r>
      <w:r>
        <w:rPr>
          <w:rFonts w:ascii="Arial" w:hAnsi="Arial"/>
          <w:color w:val="231F1F"/>
          <w:w w:val="355"/>
          <w:position w:val="1"/>
          <w:sz w:val="7"/>
        </w:rPr>
        <w:t>l </w:t>
      </w:r>
      <w:r>
        <w:rPr>
          <w:rFonts w:ascii="Calibri" w:hAnsi="Calibri"/>
          <w:color w:val="008356"/>
          <w:w w:val="115"/>
          <w:sz w:val="11"/>
        </w:rPr>
        <w:t>METHADONE</w:t>
      </w:r>
      <w:r>
        <w:rPr>
          <w:rFonts w:ascii="Arial" w:hAnsi="Arial"/>
          <w:color w:val="231F1F"/>
          <w:w w:val="115"/>
        </w:rPr>
        <w:t>—</w:t>
      </w:r>
      <w:r>
        <w:rPr>
          <w:color w:val="231F1F"/>
          <w:w w:val="115"/>
        </w:rPr>
        <w:t>manufacturer of ketoconazole advises avoid concomitant use; ketoconazole increases plasma concentration of </w:t>
      </w:r>
      <w:r>
        <w:rPr>
          <w:rFonts w:ascii="Calibri" w:hAnsi="Calibri"/>
          <w:color w:val="008356"/>
          <w:spacing w:val="4"/>
          <w:w w:val="115"/>
          <w:sz w:val="11"/>
        </w:rPr>
        <w:t>OXYCODONE</w:t>
      </w:r>
      <w:r>
        <w:rPr>
          <w:color w:val="231F1F"/>
          <w:spacing w:val="4"/>
          <w:w w:val="115"/>
        </w:rPr>
        <w:t>; </w:t>
      </w:r>
      <w:r>
        <w:rPr>
          <w:color w:val="231F1F"/>
          <w:w w:val="115"/>
        </w:rPr>
        <w:t>manufacturer of ketoconazole advises avoid concomitant use with </w:t>
      </w:r>
      <w:r>
        <w:rPr>
          <w:rFonts w:ascii="Calibri" w:hAnsi="Calibri"/>
          <w:color w:val="008356"/>
          <w:spacing w:val="3"/>
          <w:w w:val="115"/>
          <w:sz w:val="11"/>
        </w:rPr>
        <w:t>PARACETAMOL</w:t>
      </w:r>
    </w:p>
    <w:p>
      <w:pPr>
        <w:pStyle w:val="BodyText"/>
        <w:spacing w:line="138" w:lineRule="exact"/>
        <w:ind w:left="17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ketoconazole reduced by </w:t>
      </w:r>
      <w:r>
        <w:rPr>
          <w:rFonts w:ascii="Calibri" w:hAnsi="Calibri"/>
          <w:color w:val="008356"/>
          <w:w w:val="105"/>
          <w:sz w:val="11"/>
        </w:rPr>
        <w:t>ANTACIDS</w:t>
      </w:r>
    </w:p>
    <w:p>
      <w:pPr>
        <w:pStyle w:val="BodyText"/>
        <w:spacing w:line="220" w:lineRule="auto"/>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Anthelmintics: </w:t>
      </w:r>
      <w:r>
        <w:rPr>
          <w:color w:val="231F1F"/>
          <w:w w:val="105"/>
        </w:rPr>
        <w:t>ketoconazole  increases  plasma  </w:t>
      </w:r>
      <w:r>
        <w:rPr>
          <w:color w:val="231F1F"/>
          <w:spacing w:val="-2"/>
          <w:w w:val="105"/>
        </w:rPr>
        <w:t>concentration </w:t>
      </w:r>
      <w:r>
        <w:rPr>
          <w:color w:val="231F1F"/>
          <w:w w:val="105"/>
        </w:rPr>
        <w:t>of </w:t>
      </w:r>
      <w:r>
        <w:rPr>
          <w:rFonts w:ascii="Calibri" w:hAnsi="Calibri"/>
          <w:color w:val="008356"/>
          <w:spacing w:val="5"/>
          <w:w w:val="105"/>
          <w:sz w:val="11"/>
        </w:rPr>
        <w:t>PRAZIQUANTEL</w:t>
      </w:r>
    </w:p>
    <w:p>
      <w:pPr>
        <w:pStyle w:val="BodyText"/>
        <w:spacing w:line="242" w:lineRule="auto"/>
        <w:ind w:left="277" w:right="765"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 ketoconazole given with </w:t>
      </w:r>
      <w:r>
        <w:rPr>
          <w:rFonts w:ascii="Arial" w:hAnsi="Arial"/>
          <w:color w:val="231F1F"/>
          <w:w w:val="355"/>
          <w:position w:val="1"/>
          <w:sz w:val="7"/>
        </w:rPr>
        <w:t>l </w:t>
      </w:r>
      <w:r>
        <w:rPr>
          <w:rFonts w:ascii="Calibri" w:hAnsi="Calibri"/>
          <w:color w:val="008356"/>
          <w:w w:val="110"/>
          <w:sz w:val="11"/>
        </w:rPr>
        <w:t>DISOPYRAMIDE</w:t>
      </w:r>
      <w:r>
        <w:rPr>
          <w:rFonts w:ascii="Arial" w:hAnsi="Arial"/>
          <w:color w:val="231F1F"/>
          <w:w w:val="110"/>
        </w:rPr>
        <w:t>—</w:t>
      </w:r>
      <w:r>
        <w:rPr>
          <w:color w:val="231F1F"/>
          <w:w w:val="110"/>
        </w:rPr>
        <w:t>avoid concomitant use; ketoconazole increases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w:t>
      </w:r>
    </w:p>
    <w:p>
      <w:pPr>
        <w:pStyle w:val="BodyText"/>
        <w:spacing w:line="244" w:lineRule="auto"/>
        <w:ind w:left="277" w:right="649" w:hanging="100"/>
      </w:pPr>
      <w:r>
        <w:rPr>
          <w:rFonts w:ascii="Arial" w:hAnsi="Arial"/>
          <w:color w:val="231F1F"/>
          <w:w w:val="355"/>
          <w:position w:val="1"/>
          <w:sz w:val="7"/>
        </w:rPr>
        <w:t>l </w:t>
      </w:r>
      <w:r>
        <w:rPr>
          <w:rFonts w:ascii="Calibri" w:hAnsi="Calibri"/>
          <w:color w:val="231F1F"/>
          <w:w w:val="110"/>
        </w:rPr>
        <w:t>Antibacterials: </w:t>
      </w:r>
      <w:r>
        <w:rPr>
          <w:color w:val="231F1F"/>
          <w:w w:val="110"/>
        </w:rPr>
        <w:t>manufacturer of ketoconazole advises avoid concomitant </w:t>
      </w:r>
      <w:r>
        <w:rPr>
          <w:rFonts w:ascii="Arial" w:hAnsi="Arial"/>
          <w:color w:val="231F1F"/>
          <w:w w:val="355"/>
          <w:position w:val="1"/>
          <w:sz w:val="7"/>
        </w:rPr>
        <w:t>l </w:t>
      </w:r>
      <w:r>
        <w:rPr>
          <w:rFonts w:ascii="Calibri" w:hAnsi="Calibri"/>
          <w:color w:val="008356"/>
          <w:spacing w:val="4"/>
          <w:w w:val="110"/>
          <w:sz w:val="11"/>
        </w:rPr>
        <w:t>CLARITHROMYCIN </w:t>
      </w:r>
      <w:r>
        <w:rPr>
          <w:color w:val="231F1F"/>
          <w:w w:val="110"/>
        </w:rPr>
        <w:t>in severe renal impairment; metabolism of ketoconazole accelerated by </w:t>
      </w:r>
      <w:r>
        <w:rPr>
          <w:rFonts w:ascii="Arial" w:hAnsi="Arial"/>
          <w:color w:val="231F1F"/>
          <w:w w:val="355"/>
          <w:position w:val="1"/>
          <w:sz w:val="7"/>
        </w:rPr>
        <w:t>l </w:t>
      </w:r>
      <w:r>
        <w:rPr>
          <w:rFonts w:ascii="Calibri" w:hAnsi="Calibri"/>
          <w:color w:val="008356"/>
          <w:spacing w:val="4"/>
          <w:w w:val="110"/>
          <w:sz w:val="11"/>
        </w:rPr>
        <w:t>RIFAMPICIN </w:t>
      </w:r>
      <w:r>
        <w:rPr>
          <w:color w:val="231F1F"/>
          <w:w w:val="110"/>
        </w:rPr>
        <w:t>(reduced plasma concentration), also  plasma  concentration of rifampicin may be reduced by ketoconazole; </w:t>
      </w:r>
      <w:r>
        <w:rPr>
          <w:color w:val="231F1F"/>
          <w:spacing w:val="-3"/>
          <w:w w:val="110"/>
        </w:rPr>
        <w:t>ketoconazole </w:t>
      </w:r>
      <w:r>
        <w:rPr>
          <w:color w:val="231F1F"/>
          <w:w w:val="110"/>
        </w:rPr>
        <w:t>increases plasma concentration of </w:t>
      </w:r>
      <w:r>
        <w:rPr>
          <w:rFonts w:ascii="Calibri" w:hAnsi="Calibri"/>
          <w:color w:val="008356"/>
          <w:spacing w:val="3"/>
          <w:w w:val="110"/>
          <w:sz w:val="11"/>
        </w:rPr>
        <w:t>BEDAQUILINE</w:t>
      </w:r>
      <w:r>
        <w:rPr>
          <w:rFonts w:ascii="Arial" w:hAnsi="Arial"/>
          <w:color w:val="231F1F"/>
          <w:spacing w:val="3"/>
          <w:w w:val="110"/>
        </w:rPr>
        <w:t>—</w:t>
      </w:r>
      <w:r>
        <w:rPr>
          <w:color w:val="231F1F"/>
          <w:spacing w:val="3"/>
          <w:w w:val="110"/>
        </w:rPr>
        <w:t>avoid </w:t>
      </w:r>
      <w:r>
        <w:rPr>
          <w:color w:val="231F1F"/>
          <w:w w:val="110"/>
        </w:rPr>
        <w:t>concomitant use  if ketoconazole given for more than  14 days; avoidance of ketoconazole advised by manufacturer of </w:t>
      </w:r>
      <w:r>
        <w:rPr>
          <w:rFonts w:ascii="Calibri" w:hAnsi="Calibri"/>
          <w:color w:val="008356"/>
          <w:spacing w:val="4"/>
          <w:w w:val="110"/>
          <w:sz w:val="11"/>
        </w:rPr>
        <w:t>FIDAXOMICIN</w:t>
      </w:r>
      <w:r>
        <w:rPr>
          <w:color w:val="231F1F"/>
          <w:spacing w:val="4"/>
          <w:w w:val="110"/>
        </w:rPr>
        <w:t>; </w:t>
      </w:r>
      <w:r>
        <w:rPr>
          <w:color w:val="231F1F"/>
          <w:w w:val="110"/>
        </w:rPr>
        <w:t>plasma concentration of ketoconazole possibly reduced by </w:t>
      </w:r>
      <w:r>
        <w:rPr>
          <w:rFonts w:ascii="Calibri" w:hAnsi="Calibri"/>
          <w:color w:val="008356"/>
          <w:spacing w:val="4"/>
          <w:w w:val="110"/>
          <w:sz w:val="11"/>
        </w:rPr>
        <w:t>ISONIAZID</w:t>
      </w:r>
      <w:r>
        <w:rPr>
          <w:color w:val="231F1F"/>
          <w:spacing w:val="4"/>
          <w:w w:val="110"/>
        </w:rPr>
        <w:t>; </w:t>
      </w:r>
      <w:r>
        <w:rPr>
          <w:color w:val="231F1F"/>
          <w:w w:val="110"/>
        </w:rPr>
        <w:t>ketoconazole increases the plasma concentration</w:t>
      </w:r>
      <w:r>
        <w:rPr>
          <w:color w:val="231F1F"/>
          <w:spacing w:val="-5"/>
          <w:w w:val="110"/>
        </w:rPr>
        <w:t> </w:t>
      </w:r>
      <w:r>
        <w:rPr>
          <w:color w:val="231F1F"/>
          <w:w w:val="110"/>
        </w:rPr>
        <w:t>of</w:t>
      </w:r>
      <w:r>
        <w:rPr>
          <w:color w:val="231F1F"/>
          <w:spacing w:val="-3"/>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3"/>
          <w:w w:val="110"/>
          <w:sz w:val="11"/>
        </w:rPr>
        <w:t>TELITHROMYCIN</w:t>
      </w:r>
      <w:r>
        <w:rPr>
          <w:rFonts w:ascii="Arial" w:hAnsi="Arial"/>
          <w:color w:val="231F1F"/>
          <w:spacing w:val="3"/>
          <w:w w:val="110"/>
        </w:rPr>
        <w:t>—</w:t>
      </w:r>
      <w:r>
        <w:rPr>
          <w:color w:val="231F1F"/>
          <w:spacing w:val="3"/>
          <w:w w:val="110"/>
        </w:rPr>
        <w:t>avoid</w:t>
      </w:r>
      <w:r>
        <w:rPr>
          <w:color w:val="231F1F"/>
          <w:spacing w:val="-4"/>
          <w:w w:val="110"/>
        </w:rPr>
        <w:t> </w:t>
      </w:r>
      <w:r>
        <w:rPr>
          <w:color w:val="231F1F"/>
          <w:w w:val="110"/>
        </w:rPr>
        <w:t>in</w:t>
      </w:r>
      <w:r>
        <w:rPr>
          <w:color w:val="231F1F"/>
          <w:spacing w:val="-3"/>
          <w:w w:val="110"/>
        </w:rPr>
        <w:t> </w:t>
      </w:r>
      <w:r>
        <w:rPr>
          <w:color w:val="231F1F"/>
          <w:w w:val="110"/>
        </w:rPr>
        <w:t>severe</w:t>
      </w:r>
      <w:r>
        <w:rPr>
          <w:color w:val="231F1F"/>
          <w:spacing w:val="-4"/>
          <w:w w:val="110"/>
        </w:rPr>
        <w:t> </w:t>
      </w:r>
      <w:r>
        <w:rPr>
          <w:color w:val="231F1F"/>
          <w:w w:val="110"/>
        </w:rPr>
        <w:t>renal</w:t>
      </w:r>
      <w:r>
        <w:rPr>
          <w:color w:val="231F1F"/>
          <w:spacing w:val="-4"/>
          <w:w w:val="110"/>
        </w:rPr>
        <w:t> </w:t>
      </w:r>
      <w:r>
        <w:rPr>
          <w:color w:val="231F1F"/>
          <w:w w:val="110"/>
        </w:rPr>
        <w:t>and hepatic</w:t>
      </w:r>
      <w:r>
        <w:rPr>
          <w:color w:val="231F1F"/>
          <w:spacing w:val="-2"/>
          <w:w w:val="110"/>
        </w:rPr>
        <w:t> </w:t>
      </w:r>
      <w:r>
        <w:rPr>
          <w:color w:val="231F1F"/>
          <w:w w:val="110"/>
        </w:rPr>
        <w:t>impairment</w:t>
      </w:r>
    </w:p>
    <w:p>
      <w:pPr>
        <w:pStyle w:val="BodyText"/>
        <w:spacing w:line="244" w:lineRule="auto"/>
        <w:ind w:left="277" w:right="609"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Anticoagulants:</w:t>
      </w:r>
      <w:r>
        <w:rPr>
          <w:rFonts w:ascii="Calibri" w:hAnsi="Calibri"/>
          <w:color w:val="231F1F"/>
          <w:spacing w:val="-13"/>
          <w:w w:val="115"/>
        </w:rPr>
        <w:t> </w:t>
      </w:r>
      <w:r>
        <w:rPr>
          <w:color w:val="231F1F"/>
          <w:w w:val="115"/>
        </w:rPr>
        <w:t>ketoconazole</w:t>
      </w:r>
      <w:r>
        <w:rPr>
          <w:color w:val="231F1F"/>
          <w:spacing w:val="-18"/>
          <w:w w:val="115"/>
        </w:rPr>
        <w:t> </w:t>
      </w:r>
      <w:r>
        <w:rPr>
          <w:color w:val="231F1F"/>
          <w:w w:val="115"/>
        </w:rPr>
        <w:t>increases</w:t>
      </w:r>
      <w:r>
        <w:rPr>
          <w:color w:val="231F1F"/>
          <w:spacing w:val="-16"/>
          <w:w w:val="115"/>
        </w:rPr>
        <w:t> </w:t>
      </w:r>
      <w:r>
        <w:rPr>
          <w:color w:val="231F1F"/>
          <w:w w:val="115"/>
        </w:rPr>
        <w:t>plasma</w:t>
      </w:r>
      <w:r>
        <w:rPr>
          <w:color w:val="231F1F"/>
          <w:spacing w:val="-17"/>
          <w:w w:val="115"/>
        </w:rPr>
        <w:t> </w:t>
      </w:r>
      <w:r>
        <w:rPr>
          <w:color w:val="231F1F"/>
          <w:w w:val="115"/>
        </w:rPr>
        <w:t>concentration of </w:t>
      </w:r>
      <w:r>
        <w:rPr>
          <w:rFonts w:ascii="Arial" w:hAnsi="Arial"/>
          <w:color w:val="231F1F"/>
          <w:w w:val="355"/>
          <w:position w:val="1"/>
          <w:sz w:val="7"/>
        </w:rPr>
        <w:t>l </w:t>
      </w:r>
      <w:r>
        <w:rPr>
          <w:rFonts w:ascii="Calibri" w:hAnsi="Calibri"/>
          <w:color w:val="008356"/>
          <w:w w:val="115"/>
          <w:sz w:val="11"/>
        </w:rPr>
        <w:t>APIXABAN</w:t>
      </w:r>
      <w:r>
        <w:rPr>
          <w:rFonts w:ascii="Arial" w:hAnsi="Arial"/>
          <w:color w:val="231F1F"/>
          <w:w w:val="115"/>
        </w:rPr>
        <w:t>—</w:t>
      </w:r>
      <w:r>
        <w:rPr>
          <w:color w:val="231F1F"/>
          <w:w w:val="115"/>
        </w:rPr>
        <w:t>manufacturer of apixaban advises avoid concomitant use; miconazole enhances anticoagulant effect of</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COUMARINS</w:t>
      </w:r>
      <w:r>
        <w:rPr>
          <w:rFonts w:ascii="Calibri" w:hAnsi="Calibri"/>
          <w:color w:val="008356"/>
          <w:spacing w:val="-10"/>
          <w:w w:val="115"/>
          <w:sz w:val="11"/>
        </w:rPr>
        <w:t> </w:t>
      </w:r>
      <w:r>
        <w:rPr>
          <w:color w:val="231F1F"/>
          <w:w w:val="115"/>
        </w:rPr>
        <w:t>(miconazole</w:t>
      </w:r>
      <w:r>
        <w:rPr>
          <w:color w:val="231F1F"/>
          <w:spacing w:val="-20"/>
          <w:w w:val="115"/>
        </w:rPr>
        <w:t> </w:t>
      </w:r>
      <w:r>
        <w:rPr>
          <w:color w:val="231F1F"/>
          <w:w w:val="115"/>
        </w:rPr>
        <w:t>oral</w:t>
      </w:r>
      <w:r>
        <w:rPr>
          <w:color w:val="231F1F"/>
          <w:spacing w:val="-19"/>
          <w:w w:val="115"/>
        </w:rPr>
        <w:t> </w:t>
      </w:r>
      <w:r>
        <w:rPr>
          <w:color w:val="231F1F"/>
          <w:w w:val="115"/>
        </w:rPr>
        <w:t>gel</w:t>
      </w:r>
      <w:r>
        <w:rPr>
          <w:color w:val="231F1F"/>
          <w:spacing w:val="-19"/>
          <w:w w:val="115"/>
        </w:rPr>
        <w:t> </w:t>
      </w:r>
      <w:r>
        <w:rPr>
          <w:color w:val="231F1F"/>
          <w:w w:val="115"/>
        </w:rPr>
        <w:t>and</w:t>
      </w:r>
      <w:r>
        <w:rPr>
          <w:color w:val="231F1F"/>
          <w:spacing w:val="-19"/>
          <w:w w:val="115"/>
        </w:rPr>
        <w:t> </w:t>
      </w:r>
      <w:r>
        <w:rPr>
          <w:color w:val="231F1F"/>
          <w:w w:val="115"/>
        </w:rPr>
        <w:t>possibly</w:t>
      </w:r>
      <w:r>
        <w:rPr>
          <w:color w:val="231F1F"/>
          <w:spacing w:val="-19"/>
          <w:w w:val="115"/>
        </w:rPr>
        <w:t> </w:t>
      </w:r>
      <w:r>
        <w:rPr>
          <w:color w:val="231F1F"/>
          <w:w w:val="115"/>
        </w:rPr>
        <w:t>vaginal</w:t>
      </w:r>
      <w:r>
        <w:rPr>
          <w:color w:val="231F1F"/>
          <w:spacing w:val="-19"/>
          <w:w w:val="115"/>
        </w:rPr>
        <w:t> </w:t>
      </w:r>
      <w:r>
        <w:rPr>
          <w:color w:val="231F1F"/>
          <w:spacing w:val="-4"/>
          <w:w w:val="115"/>
        </w:rPr>
        <w:t>and </w:t>
      </w:r>
      <w:r>
        <w:rPr>
          <w:color w:val="231F1F"/>
          <w:w w:val="115"/>
        </w:rPr>
        <w:t>topical formulations absorbed); ketoconazole enhances anticoagulant</w:t>
      </w:r>
      <w:r>
        <w:rPr>
          <w:color w:val="231F1F"/>
          <w:spacing w:val="-18"/>
          <w:w w:val="115"/>
        </w:rPr>
        <w:t> </w:t>
      </w:r>
      <w:r>
        <w:rPr>
          <w:color w:val="231F1F"/>
          <w:w w:val="115"/>
        </w:rPr>
        <w:t>effect</w:t>
      </w:r>
      <w:r>
        <w:rPr>
          <w:color w:val="231F1F"/>
          <w:spacing w:val="-18"/>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COUMARINS</w:t>
      </w:r>
      <w:r>
        <w:rPr>
          <w:color w:val="231F1F"/>
          <w:spacing w:val="4"/>
          <w:w w:val="115"/>
        </w:rPr>
        <w:t>;</w:t>
      </w:r>
      <w:r>
        <w:rPr>
          <w:color w:val="231F1F"/>
          <w:spacing w:val="-17"/>
          <w:w w:val="115"/>
        </w:rPr>
        <w:t> </w:t>
      </w:r>
      <w:r>
        <w:rPr>
          <w:color w:val="231F1F"/>
          <w:w w:val="115"/>
        </w:rPr>
        <w:t>ketoconazole</w:t>
      </w:r>
      <w:r>
        <w:rPr>
          <w:color w:val="231F1F"/>
          <w:spacing w:val="-17"/>
          <w:w w:val="115"/>
        </w:rPr>
        <w:t> </w:t>
      </w:r>
      <w:r>
        <w:rPr>
          <w:color w:val="231F1F"/>
          <w:w w:val="115"/>
        </w:rPr>
        <w:t>increases plasma</w:t>
      </w:r>
      <w:r>
        <w:rPr>
          <w:color w:val="231F1F"/>
          <w:spacing w:val="-25"/>
          <w:w w:val="115"/>
        </w:rPr>
        <w:t> </w:t>
      </w:r>
      <w:r>
        <w:rPr>
          <w:color w:val="231F1F"/>
          <w:w w:val="115"/>
        </w:rPr>
        <w:t>concentration</w:t>
      </w:r>
      <w:r>
        <w:rPr>
          <w:color w:val="231F1F"/>
          <w:spacing w:val="-24"/>
          <w:w w:val="115"/>
        </w:rPr>
        <w:t> </w:t>
      </w:r>
      <w:r>
        <w:rPr>
          <w:color w:val="231F1F"/>
          <w:w w:val="115"/>
        </w:rPr>
        <w:t>of</w:t>
      </w:r>
      <w:r>
        <w:rPr>
          <w:color w:val="231F1F"/>
          <w:spacing w:val="-24"/>
          <w:w w:val="115"/>
        </w:rPr>
        <w:t> </w:t>
      </w:r>
      <w:r>
        <w:rPr>
          <w:rFonts w:ascii="Arial" w:hAnsi="Arial"/>
          <w:color w:val="231F1F"/>
          <w:w w:val="300"/>
          <w:position w:val="1"/>
          <w:sz w:val="7"/>
        </w:rPr>
        <w:t>l</w:t>
      </w:r>
      <w:r>
        <w:rPr>
          <w:rFonts w:ascii="Arial" w:hAnsi="Arial"/>
          <w:color w:val="231F1F"/>
          <w:spacing w:val="-49"/>
          <w:w w:val="300"/>
          <w:position w:val="1"/>
          <w:sz w:val="7"/>
        </w:rPr>
        <w:t> </w:t>
      </w:r>
      <w:r>
        <w:rPr>
          <w:rFonts w:ascii="Calibri" w:hAnsi="Calibri"/>
          <w:color w:val="008356"/>
          <w:spacing w:val="4"/>
          <w:w w:val="115"/>
          <w:sz w:val="11"/>
        </w:rPr>
        <w:t>DABIGATRAN</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300"/>
          <w:position w:val="1"/>
          <w:sz w:val="7"/>
        </w:rPr>
        <w:t>l</w:t>
      </w:r>
      <w:r>
        <w:rPr>
          <w:rFonts w:ascii="Arial" w:hAnsi="Arial"/>
          <w:color w:val="231F1F"/>
          <w:spacing w:val="-49"/>
          <w:w w:val="300"/>
          <w:position w:val="1"/>
          <w:sz w:val="7"/>
        </w:rPr>
        <w:t> </w:t>
      </w:r>
      <w:r>
        <w:rPr>
          <w:rFonts w:ascii="Calibri" w:hAnsi="Calibri"/>
          <w:color w:val="008356"/>
          <w:spacing w:val="4"/>
          <w:w w:val="115"/>
          <w:sz w:val="11"/>
        </w:rPr>
        <w:t>RIVAROXABAN</w:t>
      </w:r>
      <w:r>
        <w:rPr>
          <w:rFonts w:ascii="Arial" w:hAnsi="Arial"/>
          <w:color w:val="231F1F"/>
          <w:spacing w:val="4"/>
          <w:w w:val="115"/>
        </w:rPr>
        <w:t>— </w:t>
      </w:r>
      <w:r>
        <w:rPr>
          <w:color w:val="231F1F"/>
          <w:w w:val="115"/>
        </w:rPr>
        <w:t>avoid concomitant</w:t>
      </w:r>
      <w:r>
        <w:rPr>
          <w:color w:val="231F1F"/>
          <w:spacing w:val="-9"/>
          <w:w w:val="115"/>
        </w:rPr>
        <w:t> </w:t>
      </w:r>
      <w:r>
        <w:rPr>
          <w:color w:val="231F1F"/>
          <w:w w:val="115"/>
        </w:rPr>
        <w:t>use</w:t>
      </w:r>
    </w:p>
    <w:p>
      <w:pPr>
        <w:pStyle w:val="BodyText"/>
        <w:ind w:left="277" w:right="765"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avoidance of imidazoles advised by manufacturer of </w:t>
      </w:r>
      <w:r>
        <w:rPr>
          <w:rFonts w:ascii="Arial"/>
          <w:color w:val="231F1F"/>
          <w:w w:val="355"/>
          <w:position w:val="1"/>
          <w:sz w:val="7"/>
        </w:rPr>
        <w:t>l </w:t>
      </w:r>
      <w:r>
        <w:rPr>
          <w:rFonts w:ascii="Calibri"/>
          <w:color w:val="008356"/>
          <w:w w:val="110"/>
          <w:sz w:val="11"/>
        </w:rPr>
        <w:t>REBOXETINE</w:t>
      </w:r>
      <w:r>
        <w:rPr>
          <w:color w:val="231F1F"/>
          <w:w w:val="110"/>
        </w:rPr>
        <w:t>; ketoconazole increases plasma concentration of </w:t>
      </w:r>
      <w:r>
        <w:rPr>
          <w:rFonts w:ascii="Calibri"/>
          <w:color w:val="008356"/>
          <w:w w:val="110"/>
          <w:sz w:val="11"/>
        </w:rPr>
        <w:t>MIRTAZAPINE</w:t>
      </w:r>
    </w:p>
    <w:p>
      <w:pPr>
        <w:pStyle w:val="BodyText"/>
        <w:spacing w:line="144" w:lineRule="exact"/>
        <w:ind w:left="178"/>
      </w:pPr>
      <w:r>
        <w:rPr>
          <w:rFonts w:ascii="Arial"/>
          <w:color w:val="231F1F"/>
          <w:w w:val="355"/>
          <w:position w:val="1"/>
          <w:sz w:val="7"/>
        </w:rPr>
        <w:t>l </w:t>
      </w:r>
      <w:r>
        <w:rPr>
          <w:rFonts w:ascii="Calibri"/>
          <w:color w:val="231F1F"/>
          <w:w w:val="115"/>
        </w:rPr>
        <w:t>Antidiabetics: </w:t>
      </w:r>
      <w:r>
        <w:rPr>
          <w:color w:val="231F1F"/>
          <w:w w:val="115"/>
        </w:rPr>
        <w:t>miconazole enhances hypoglycaemic effect of</w:t>
      </w:r>
    </w:p>
    <w:p>
      <w:pPr>
        <w:spacing w:line="141" w:lineRule="exact" w:before="0"/>
        <w:ind w:left="277" w:right="0" w:firstLine="0"/>
        <w:jc w:val="left"/>
        <w:rPr>
          <w:sz w:val="12"/>
        </w:rPr>
      </w:pPr>
      <w:r>
        <w:rPr>
          <w:rFonts w:ascii="Arial" w:hAnsi="Arial"/>
          <w:color w:val="231F1F"/>
          <w:w w:val="355"/>
          <w:position w:val="1"/>
          <w:sz w:val="7"/>
        </w:rPr>
        <w:t>l </w:t>
      </w:r>
      <w:r>
        <w:rPr>
          <w:rFonts w:ascii="Calibri" w:hAnsi="Calibri"/>
          <w:color w:val="008356"/>
          <w:w w:val="115"/>
          <w:sz w:val="11"/>
        </w:rPr>
        <w:t>GLICLAZIDE </w:t>
      </w:r>
      <w:r>
        <w:rPr>
          <w:color w:val="231F1F"/>
          <w:w w:val="115"/>
          <w:sz w:val="12"/>
        </w:rPr>
        <w:t>and </w:t>
      </w:r>
      <w:r>
        <w:rPr>
          <w:rFonts w:ascii="Arial" w:hAnsi="Arial"/>
          <w:color w:val="231F1F"/>
          <w:w w:val="355"/>
          <w:position w:val="1"/>
          <w:sz w:val="7"/>
        </w:rPr>
        <w:t>l </w:t>
      </w:r>
      <w:r>
        <w:rPr>
          <w:rFonts w:ascii="Calibri" w:hAnsi="Calibri"/>
          <w:color w:val="008356"/>
          <w:w w:val="115"/>
          <w:sz w:val="11"/>
        </w:rPr>
        <w:t>GLIPIZIDE</w:t>
      </w:r>
      <w:r>
        <w:rPr>
          <w:rFonts w:ascii="Arial" w:hAnsi="Arial"/>
          <w:color w:val="231F1F"/>
          <w:w w:val="115"/>
          <w:sz w:val="12"/>
        </w:rPr>
        <w:t>—</w:t>
      </w:r>
      <w:r>
        <w:rPr>
          <w:color w:val="231F1F"/>
          <w:w w:val="115"/>
          <w:sz w:val="12"/>
        </w:rPr>
        <w:t>avoid concomitant use;</w:t>
      </w:r>
    </w:p>
    <w:p>
      <w:pPr>
        <w:spacing w:after="0" w:line="141" w:lineRule="exact"/>
        <w:jc w:val="left"/>
        <w:rPr>
          <w:sz w:val="12"/>
        </w:rPr>
        <w:sectPr>
          <w:headerReference w:type="even" r:id="rId11"/>
          <w:headerReference w:type="default" r:id="rId12"/>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Antifungals, Imidazole</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Antidiabetics (continued)</w:t>
      </w:r>
    </w:p>
    <w:p>
      <w:pPr>
        <w:pStyle w:val="BodyText"/>
        <w:spacing w:line="137" w:lineRule="exact"/>
      </w:pPr>
      <w:r>
        <w:rPr>
          <w:color w:val="231F1F"/>
          <w:w w:val="115"/>
        </w:rPr>
        <w:t>ketoconazole increases plasma concentration of</w:t>
      </w:r>
    </w:p>
    <w:p>
      <w:pPr>
        <w:spacing w:before="6"/>
        <w:ind w:left="208" w:right="0" w:firstLine="0"/>
        <w:jc w:val="left"/>
        <w:rPr>
          <w:sz w:val="12"/>
        </w:rPr>
      </w:pPr>
      <w:r>
        <w:rPr>
          <w:rFonts w:ascii="Calibri"/>
          <w:color w:val="008356"/>
          <w:w w:val="105"/>
          <w:sz w:val="11"/>
        </w:rPr>
        <w:t>PIOGLITAZONE</w:t>
      </w:r>
      <w:r>
        <w:rPr>
          <w:color w:val="231F1F"/>
          <w:w w:val="105"/>
          <w:sz w:val="12"/>
        </w:rPr>
        <w:t>, </w:t>
      </w:r>
      <w:r>
        <w:rPr>
          <w:rFonts w:ascii="Calibri"/>
          <w:color w:val="008356"/>
          <w:w w:val="105"/>
          <w:sz w:val="11"/>
        </w:rPr>
        <w:t>SAXAGLIPTIN </w:t>
      </w:r>
      <w:r>
        <w:rPr>
          <w:color w:val="231F1F"/>
          <w:w w:val="105"/>
          <w:sz w:val="12"/>
        </w:rPr>
        <w:t>and </w:t>
      </w:r>
      <w:r>
        <w:rPr>
          <w:rFonts w:ascii="Calibri"/>
          <w:color w:val="008356"/>
          <w:w w:val="105"/>
          <w:sz w:val="11"/>
        </w:rPr>
        <w:t>TOLBUTAMIDE</w:t>
      </w:r>
      <w:r>
        <w:rPr>
          <w:color w:val="231F1F"/>
          <w:w w:val="105"/>
          <w:sz w:val="12"/>
        </w:rPr>
        <w:t>; miconazole</w:t>
      </w:r>
    </w:p>
    <w:p>
      <w:pPr>
        <w:spacing w:line="141" w:lineRule="exact" w:before="1"/>
        <w:ind w:left="208" w:right="0" w:firstLine="0"/>
        <w:jc w:val="left"/>
        <w:rPr>
          <w:rFonts w:ascii="Calibri"/>
          <w:sz w:val="11"/>
        </w:rPr>
      </w:pPr>
      <w:r>
        <w:rPr>
          <w:color w:val="231F1F"/>
          <w:w w:val="110"/>
          <w:sz w:val="12"/>
        </w:rPr>
        <w:t>increases plasma concentration of </w:t>
      </w:r>
      <w:r>
        <w:rPr>
          <w:rFonts w:ascii="Arial"/>
          <w:color w:val="231F1F"/>
          <w:w w:val="355"/>
          <w:position w:val="1"/>
          <w:sz w:val="7"/>
        </w:rPr>
        <w:t>l </w:t>
      </w:r>
      <w:r>
        <w:rPr>
          <w:rFonts w:ascii="Calibri"/>
          <w:color w:val="008356"/>
          <w:spacing w:val="4"/>
          <w:w w:val="110"/>
          <w:sz w:val="11"/>
        </w:rPr>
        <w:t>SULFONYLUREAS</w:t>
      </w:r>
    </w:p>
    <w:p>
      <w:pPr>
        <w:pStyle w:val="BodyText"/>
        <w:spacing w:line="242" w:lineRule="auto"/>
        <w:ind w:right="88" w:hanging="100"/>
      </w:pPr>
      <w:r>
        <w:rPr>
          <w:rFonts w:ascii="Arial"/>
          <w:color w:val="231F1F"/>
          <w:w w:val="355"/>
          <w:position w:val="1"/>
          <w:sz w:val="7"/>
        </w:rPr>
        <w:t>l </w:t>
      </w:r>
      <w:r>
        <w:rPr>
          <w:rFonts w:ascii="Calibri"/>
          <w:color w:val="231F1F"/>
          <w:w w:val="110"/>
        </w:rPr>
        <w:t>Antiepileptics: </w:t>
      </w:r>
      <w:r>
        <w:rPr>
          <w:color w:val="231F1F"/>
          <w:w w:val="110"/>
        </w:rPr>
        <w:t>miconazole possibly increases plasma concentration of </w:t>
      </w:r>
      <w:r>
        <w:rPr>
          <w:rFonts w:ascii="Calibri"/>
          <w:color w:val="008356"/>
          <w:w w:val="110"/>
          <w:sz w:val="11"/>
        </w:rPr>
        <w:t>CARBAMAZEPINE</w:t>
      </w:r>
      <w:r>
        <w:rPr>
          <w:color w:val="231F1F"/>
          <w:w w:val="110"/>
        </w:rPr>
        <w:t>; plasma concentration of ketoconazole possibly reduced by </w:t>
      </w:r>
      <w:r>
        <w:rPr>
          <w:rFonts w:ascii="Calibri"/>
          <w:color w:val="008356"/>
          <w:w w:val="110"/>
          <w:sz w:val="11"/>
        </w:rPr>
        <w:t>CARBAMAZEPINE</w:t>
      </w:r>
      <w:r>
        <w:rPr>
          <w:color w:val="231F1F"/>
          <w:w w:val="110"/>
        </w:rPr>
        <w:t>, also plasma concentration of carbamazepine possibly increased; plasma concentration of ketoconazole reduced by</w:t>
      </w:r>
    </w:p>
    <w:p>
      <w:pPr>
        <w:spacing w:line="249" w:lineRule="auto" w:before="7"/>
        <w:ind w:left="208" w:right="88" w:firstLine="0"/>
        <w:jc w:val="left"/>
        <w:rPr>
          <w:rFonts w:ascii="Calibri"/>
          <w:sz w:val="11"/>
        </w:rPr>
      </w:pP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w:t>
      </w:r>
      <w:r>
        <w:rPr>
          <w:color w:val="231F1F"/>
          <w:w w:val="110"/>
          <w:sz w:val="12"/>
        </w:rPr>
        <w:t>; miconazole enhances anticonvulsant effect of </w:t>
      </w: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 </w:t>
      </w:r>
      <w:r>
        <w:rPr>
          <w:color w:val="231F1F"/>
          <w:w w:val="110"/>
          <w:sz w:val="12"/>
        </w:rPr>
        <w:t>(plasma concentration of fosphenytoin and phenytoin increased); ketoconazole increases plasma concentration of </w:t>
      </w:r>
      <w:r>
        <w:rPr>
          <w:rFonts w:ascii="Calibri"/>
          <w:color w:val="008356"/>
          <w:w w:val="110"/>
          <w:sz w:val="11"/>
        </w:rPr>
        <w:t>PERAMPANEL</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Antifungals: </w:t>
      </w:r>
      <w:r>
        <w:rPr>
          <w:color w:val="231F1F"/>
          <w:w w:val="105"/>
        </w:rPr>
        <w:t>imidazoles possibly antagonise effects of</w:t>
      </w:r>
    </w:p>
    <w:p>
      <w:pPr>
        <w:spacing w:line="130" w:lineRule="exact" w:before="0"/>
        <w:ind w:left="208" w:right="0" w:firstLine="0"/>
        <w:jc w:val="left"/>
        <w:rPr>
          <w:rFonts w:ascii="Calibri"/>
          <w:sz w:val="11"/>
        </w:rPr>
      </w:pPr>
      <w:r>
        <w:rPr>
          <w:rFonts w:ascii="Calibri"/>
          <w:color w:val="008356"/>
          <w:sz w:val="11"/>
        </w:rPr>
        <w:t>AMPHOTERICIN</w:t>
      </w:r>
    </w:p>
    <w:p>
      <w:pPr>
        <w:pStyle w:val="BodyText"/>
        <w:spacing w:line="145" w:lineRule="exact"/>
        <w:ind w:left="108"/>
      </w:pPr>
      <w:r>
        <w:rPr>
          <w:rFonts w:ascii="Arial"/>
          <w:color w:val="231F1F"/>
          <w:w w:val="355"/>
          <w:position w:val="1"/>
          <w:sz w:val="7"/>
        </w:rPr>
        <w:t>l </w:t>
      </w:r>
      <w:r>
        <w:rPr>
          <w:rFonts w:ascii="Calibri"/>
          <w:color w:val="231F1F"/>
          <w:w w:val="110"/>
        </w:rPr>
        <w:t>Antihistamines: </w:t>
      </w:r>
      <w:r>
        <w:rPr>
          <w:color w:val="231F1F"/>
          <w:w w:val="110"/>
        </w:rPr>
        <w:t>imidazoles possibly inhibit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MIZOLASTINE </w:t>
      </w:r>
      <w:r>
        <w:rPr>
          <w:color w:val="231F1F"/>
          <w:w w:val="110"/>
          <w:sz w:val="12"/>
        </w:rPr>
        <w:t>(avoid concomitant use)</w:t>
      </w:r>
    </w:p>
    <w:p>
      <w:pPr>
        <w:spacing w:line="242" w:lineRule="auto" w:before="0"/>
        <w:ind w:left="208" w:right="34"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imidazoles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avoidance of imidazoles advised by manufacturer of </w:t>
      </w:r>
      <w:r>
        <w:rPr>
          <w:rFonts w:ascii="Arial"/>
          <w:color w:val="231F1F"/>
          <w:w w:val="355"/>
          <w:position w:val="1"/>
          <w:sz w:val="7"/>
        </w:rPr>
        <w:t>l </w:t>
      </w:r>
      <w:r>
        <w:rPr>
          <w:rFonts w:ascii="Calibri"/>
          <w:color w:val="008356"/>
          <w:spacing w:val="4"/>
          <w:w w:val="110"/>
          <w:sz w:val="11"/>
        </w:rPr>
        <w:t>ARTENIMOL </w:t>
      </w:r>
      <w:r>
        <w:rPr>
          <w:rFonts w:ascii="Calibri"/>
          <w:color w:val="008356"/>
          <w:spacing w:val="5"/>
          <w:w w:val="110"/>
          <w:sz w:val="11"/>
        </w:rPr>
        <w:t>WITH </w:t>
      </w:r>
      <w:r>
        <w:rPr>
          <w:rFonts w:ascii="Calibri"/>
          <w:color w:val="008356"/>
          <w:spacing w:val="4"/>
          <w:w w:val="110"/>
          <w:sz w:val="11"/>
        </w:rPr>
        <w:t>PIPERAQUINE </w:t>
      </w:r>
      <w:r>
        <w:rPr>
          <w:color w:val="231F1F"/>
          <w:w w:val="110"/>
          <w:sz w:val="12"/>
        </w:rPr>
        <w:t>(possible risk of ventricular arrhythmias); ketoconazole increases plasma concentration of</w:t>
      </w:r>
      <w:r>
        <w:rPr>
          <w:color w:val="231F1F"/>
          <w:spacing w:val="5"/>
          <w:w w:val="110"/>
          <w:sz w:val="12"/>
        </w:rPr>
        <w:t> </w:t>
      </w:r>
      <w:r>
        <w:rPr>
          <w:rFonts w:ascii="Calibri"/>
          <w:color w:val="008356"/>
          <w:spacing w:val="4"/>
          <w:w w:val="110"/>
          <w:sz w:val="11"/>
        </w:rPr>
        <w:t>MEFLOQUINE</w:t>
      </w:r>
    </w:p>
    <w:p>
      <w:pPr>
        <w:pStyle w:val="BodyText"/>
        <w:spacing w:line="244" w:lineRule="auto"/>
        <w:ind w:right="70" w:hanging="100"/>
      </w:pPr>
      <w:r>
        <w:rPr>
          <w:rFonts w:ascii="Arial" w:hAnsi="Arial"/>
          <w:color w:val="231F1F"/>
          <w:w w:val="355"/>
          <w:position w:val="1"/>
          <w:sz w:val="7"/>
        </w:rPr>
        <w:t>l </w:t>
      </w:r>
      <w:r>
        <w:rPr>
          <w:rFonts w:ascii="Calibri" w:hAnsi="Calibri"/>
          <w:color w:val="231F1F"/>
          <w:w w:val="110"/>
        </w:rPr>
        <w:t>Antimuscarinics: </w:t>
      </w:r>
      <w:r>
        <w:rPr>
          <w:color w:val="231F1F"/>
          <w:w w:val="110"/>
        </w:rPr>
        <w:t>absorption of ketoconazole reduced by </w:t>
      </w:r>
      <w:r>
        <w:rPr>
          <w:rFonts w:ascii="Calibri" w:hAnsi="Calibri"/>
          <w:color w:val="008356"/>
          <w:spacing w:val="4"/>
          <w:w w:val="110"/>
          <w:sz w:val="11"/>
        </w:rPr>
        <w:t>ANTIMUSCARINICS</w:t>
      </w:r>
      <w:r>
        <w:rPr>
          <w:color w:val="231F1F"/>
          <w:spacing w:val="4"/>
          <w:w w:val="110"/>
        </w:rPr>
        <w:t>; </w:t>
      </w:r>
      <w:r>
        <w:rPr>
          <w:color w:val="231F1F"/>
          <w:w w:val="110"/>
        </w:rPr>
        <w:t>ketoconazole increases plasma concentration of </w:t>
      </w:r>
      <w:r>
        <w:rPr>
          <w:rFonts w:ascii="Calibri" w:hAnsi="Calibri"/>
          <w:color w:val="008356"/>
          <w:spacing w:val="3"/>
          <w:w w:val="110"/>
          <w:sz w:val="11"/>
        </w:rPr>
        <w:t>DARIFENACIN</w:t>
      </w:r>
      <w:r>
        <w:rPr>
          <w:rFonts w:ascii="Arial" w:hAnsi="Arial"/>
          <w:color w:val="231F1F"/>
          <w:spacing w:val="3"/>
          <w:w w:val="110"/>
        </w:rPr>
        <w:t>—</w:t>
      </w:r>
      <w:r>
        <w:rPr>
          <w:color w:val="231F1F"/>
          <w:spacing w:val="3"/>
          <w:w w:val="110"/>
        </w:rPr>
        <w:t>avoid </w:t>
      </w:r>
      <w:r>
        <w:rPr>
          <w:color w:val="231F1F"/>
          <w:w w:val="110"/>
        </w:rPr>
        <w:t>concomitant use; manufacturer of fesoterodine advises dose reduction when ketoconazole given with </w:t>
      </w:r>
      <w:r>
        <w:rPr>
          <w:rFonts w:ascii="Calibri" w:hAnsi="Calibri"/>
          <w:color w:val="008356"/>
          <w:spacing w:val="2"/>
          <w:w w:val="110"/>
          <w:sz w:val="11"/>
        </w:rPr>
        <w:t>FESOTERODINE</w:t>
      </w:r>
      <w:r>
        <w:rPr>
          <w:rFonts w:ascii="Arial" w:hAnsi="Arial"/>
          <w:color w:val="231F1F"/>
          <w:spacing w:val="2"/>
          <w:w w:val="110"/>
        </w:rPr>
        <w:t>—</w:t>
      </w:r>
      <w:r>
        <w:rPr>
          <w:color w:val="231F1F"/>
          <w:spacing w:val="2"/>
          <w:w w:val="110"/>
        </w:rPr>
        <w:t>consult </w:t>
      </w:r>
      <w:r>
        <w:rPr>
          <w:color w:val="231F1F"/>
          <w:w w:val="110"/>
        </w:rPr>
        <w:t>fesoterodine product literature; ketoconazole increases plasma concentration of </w:t>
      </w:r>
      <w:r>
        <w:rPr>
          <w:rFonts w:ascii="Calibri" w:hAnsi="Calibri"/>
          <w:color w:val="008356"/>
          <w:spacing w:val="4"/>
          <w:w w:val="110"/>
          <w:sz w:val="11"/>
        </w:rPr>
        <w:t>OXYBUTYNIN</w:t>
      </w:r>
      <w:r>
        <w:rPr>
          <w:color w:val="231F1F"/>
          <w:spacing w:val="4"/>
          <w:w w:val="110"/>
        </w:rPr>
        <w:t>; </w:t>
      </w:r>
      <w:r>
        <w:rPr>
          <w:color w:val="231F1F"/>
          <w:w w:val="110"/>
        </w:rPr>
        <w:t>ketoconazole increases plasma concentration of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SOLIFENACIN</w:t>
      </w:r>
      <w:r>
        <w:rPr>
          <w:rFonts w:ascii="Arial" w:hAnsi="Arial"/>
          <w:color w:val="231F1F"/>
          <w:spacing w:val="3"/>
          <w:w w:val="110"/>
        </w:rPr>
        <w:t>—</w:t>
      </w:r>
      <w:r>
        <w:rPr>
          <w:color w:val="231F1F"/>
          <w:spacing w:val="3"/>
          <w:w w:val="110"/>
        </w:rPr>
        <w:t>see </w:t>
      </w:r>
      <w:r>
        <w:rPr>
          <w:color w:val="231F1F"/>
          <w:w w:val="110"/>
        </w:rPr>
        <w:t>under Solifenacin,</w:t>
      </w:r>
    </w:p>
    <w:p>
      <w:pPr>
        <w:pStyle w:val="BodyText"/>
        <w:spacing w:line="249" w:lineRule="auto"/>
        <w:ind w:right="181"/>
        <w:rPr>
          <w:rFonts w:ascii="Calibri"/>
          <w:sz w:val="11"/>
        </w:rPr>
      </w:pPr>
      <w:r>
        <w:rPr>
          <w:color w:val="231F1F"/>
          <w:w w:val="110"/>
        </w:rPr>
        <w:t>p. 670; avoidance of ketoconazole advised by manufacturer of </w:t>
      </w:r>
      <w:r>
        <w:rPr>
          <w:rFonts w:ascii="Arial"/>
          <w:color w:val="231F1F"/>
          <w:w w:val="355"/>
          <w:position w:val="1"/>
          <w:sz w:val="7"/>
        </w:rPr>
        <w:t>l </w:t>
      </w:r>
      <w:r>
        <w:rPr>
          <w:rFonts w:ascii="Calibri"/>
          <w:color w:val="008356"/>
          <w:w w:val="110"/>
          <w:sz w:val="11"/>
        </w:rPr>
        <w:t>TOLTERODINE</w:t>
      </w:r>
    </w:p>
    <w:p>
      <w:pPr>
        <w:pStyle w:val="BodyText"/>
        <w:spacing w:line="139" w:lineRule="exact"/>
        <w:ind w:left="108"/>
      </w:pPr>
      <w:r>
        <w:rPr>
          <w:rFonts w:ascii="Arial"/>
          <w:color w:val="231F1F"/>
          <w:w w:val="355"/>
          <w:position w:val="1"/>
          <w:sz w:val="7"/>
        </w:rPr>
        <w:t>l </w:t>
      </w:r>
      <w:r>
        <w:rPr>
          <w:rFonts w:ascii="Calibri"/>
          <w:color w:val="231F1F"/>
          <w:w w:val="110"/>
        </w:rPr>
        <w:t>Antipsychotics: </w:t>
      </w:r>
      <w:r>
        <w:rPr>
          <w:color w:val="231F1F"/>
          <w:w w:val="110"/>
        </w:rPr>
        <w:t>ketoconazole inhibits metabolism of</w:t>
      </w:r>
    </w:p>
    <w:p>
      <w:pPr>
        <w:pStyle w:val="BodyText"/>
        <w:spacing w:line="244" w:lineRule="auto"/>
        <w:ind w:right="143"/>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ARIPIPRAZOLE</w:t>
      </w:r>
      <w:r>
        <w:rPr>
          <w:rFonts w:ascii="Calibri" w:hAnsi="Calibri"/>
          <w:color w:val="008356"/>
          <w:spacing w:val="-7"/>
          <w:w w:val="115"/>
          <w:sz w:val="11"/>
        </w:rPr>
        <w:t> </w:t>
      </w:r>
      <w:r>
        <w:rPr>
          <w:color w:val="231F1F"/>
          <w:w w:val="115"/>
        </w:rPr>
        <w:t>(reduce</w:t>
      </w:r>
      <w:r>
        <w:rPr>
          <w:color w:val="231F1F"/>
          <w:spacing w:val="-16"/>
          <w:w w:val="115"/>
        </w:rPr>
        <w:t> </w:t>
      </w:r>
      <w:r>
        <w:rPr>
          <w:color w:val="231F1F"/>
          <w:w w:val="115"/>
        </w:rPr>
        <w:t>dose</w:t>
      </w:r>
      <w:r>
        <w:rPr>
          <w:color w:val="231F1F"/>
          <w:spacing w:val="-16"/>
          <w:w w:val="115"/>
        </w:rPr>
        <w:t> </w:t>
      </w:r>
      <w:r>
        <w:rPr>
          <w:color w:val="231F1F"/>
          <w:w w:val="115"/>
        </w:rPr>
        <w:t>of</w:t>
      </w:r>
      <w:r>
        <w:rPr>
          <w:color w:val="231F1F"/>
          <w:spacing w:val="-16"/>
          <w:w w:val="115"/>
        </w:rPr>
        <w:t> </w:t>
      </w:r>
      <w:r>
        <w:rPr>
          <w:color w:val="231F1F"/>
          <w:w w:val="115"/>
        </w:rPr>
        <w:t>aripiprazole);</w:t>
      </w:r>
      <w:r>
        <w:rPr>
          <w:color w:val="231F1F"/>
          <w:spacing w:val="-16"/>
          <w:w w:val="115"/>
        </w:rPr>
        <w:t> </w:t>
      </w:r>
      <w:r>
        <w:rPr>
          <w:color w:val="231F1F"/>
          <w:w w:val="115"/>
        </w:rPr>
        <w:t>ketoconazole increases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 use; increased risk of ventricular arrhythmias when</w:t>
      </w:r>
      <w:r>
        <w:rPr>
          <w:color w:val="231F1F"/>
          <w:spacing w:val="-25"/>
          <w:w w:val="115"/>
        </w:rPr>
        <w:t> </w:t>
      </w:r>
      <w:r>
        <w:rPr>
          <w:color w:val="231F1F"/>
          <w:w w:val="115"/>
        </w:rPr>
        <w:t>imidazoles</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20"/>
          <w:position w:val="1"/>
          <w:sz w:val="7"/>
        </w:rPr>
        <w:t>l</w:t>
      </w:r>
      <w:r>
        <w:rPr>
          <w:rFonts w:ascii="Arial" w:hAnsi="Arial"/>
          <w:color w:val="231F1F"/>
          <w:spacing w:val="-53"/>
          <w:w w:val="320"/>
          <w:position w:val="1"/>
          <w:sz w:val="7"/>
        </w:rPr>
        <w:t> </w:t>
      </w:r>
      <w:r>
        <w:rPr>
          <w:rFonts w:ascii="Calibri" w:hAnsi="Calibri"/>
          <w:color w:val="008356"/>
          <w:spacing w:val="2"/>
          <w:w w:val="115"/>
          <w:sz w:val="11"/>
        </w:rPr>
        <w:t>PIMOZIDE</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 use; imidazoles possibly increase plasma concentration of</w:t>
      </w:r>
      <w:r>
        <w:rPr>
          <w:color w:val="231F1F"/>
          <w:w w:val="115"/>
          <w:position w:val="1"/>
        </w:rPr>
        <w:t> </w:t>
      </w:r>
      <w:r>
        <w:rPr>
          <w:rFonts w:ascii="Arial" w:hAnsi="Arial"/>
          <w:color w:val="231F1F"/>
          <w:w w:val="355"/>
          <w:position w:val="1"/>
          <w:sz w:val="7"/>
        </w:rPr>
        <w:t>l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 </w:t>
      </w:r>
      <w:r>
        <w:rPr>
          <w:color w:val="231F1F"/>
          <w:w w:val="115"/>
        </w:rPr>
        <w:t>of quetiapine advises avoid concomitant</w:t>
      </w:r>
      <w:r>
        <w:rPr>
          <w:color w:val="231F1F"/>
          <w:spacing w:val="-6"/>
          <w:w w:val="115"/>
        </w:rPr>
        <w:t> </w:t>
      </w:r>
      <w:r>
        <w:rPr>
          <w:color w:val="231F1F"/>
          <w:w w:val="115"/>
        </w:rPr>
        <w:t>use</w:t>
      </w:r>
    </w:p>
    <w:p>
      <w:pPr>
        <w:pStyle w:val="BodyText"/>
        <w:ind w:right="181" w:hanging="100"/>
      </w:pPr>
      <w:r>
        <w:rPr>
          <w:rFonts w:ascii="Arial" w:hAnsi="Arial"/>
          <w:color w:val="231F1F"/>
          <w:w w:val="355"/>
          <w:position w:val="1"/>
          <w:sz w:val="7"/>
        </w:rPr>
        <w:t>l</w:t>
      </w:r>
      <w:r>
        <w:rPr>
          <w:rFonts w:ascii="Arial" w:hAnsi="Arial"/>
          <w:color w:val="231F1F"/>
          <w:spacing w:val="-38"/>
          <w:w w:val="355"/>
          <w:position w:val="1"/>
          <w:sz w:val="7"/>
        </w:rPr>
        <w:t> </w:t>
      </w:r>
      <w:r>
        <w:rPr>
          <w:rFonts w:ascii="Calibri" w:hAnsi="Calibri"/>
          <w:color w:val="231F1F"/>
          <w:w w:val="115"/>
        </w:rPr>
        <w:t>Antivirals:</w:t>
      </w:r>
      <w:r>
        <w:rPr>
          <w:rFonts w:ascii="Calibri" w:hAnsi="Calibri"/>
          <w:color w:val="231F1F"/>
          <w:spacing w:val="-7"/>
          <w:w w:val="115"/>
        </w:rPr>
        <w:t> </w:t>
      </w:r>
      <w:r>
        <w:rPr>
          <w:color w:val="231F1F"/>
          <w:w w:val="115"/>
        </w:rPr>
        <w:t>ketoconazole</w:t>
      </w:r>
      <w:r>
        <w:rPr>
          <w:color w:val="231F1F"/>
          <w:spacing w:val="-10"/>
          <w:w w:val="115"/>
        </w:rPr>
        <w:t> </w:t>
      </w:r>
      <w:r>
        <w:rPr>
          <w:color w:val="231F1F"/>
          <w:w w:val="115"/>
        </w:rPr>
        <w:t>increases</w:t>
      </w:r>
      <w:r>
        <w:rPr>
          <w:color w:val="231F1F"/>
          <w:spacing w:val="-10"/>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 </w:t>
      </w:r>
      <w:r>
        <w:rPr>
          <w:rFonts w:ascii="Arial" w:hAnsi="Arial"/>
          <w:color w:val="231F1F"/>
          <w:w w:val="355"/>
          <w:position w:val="1"/>
          <w:sz w:val="7"/>
        </w:rPr>
        <w:t>l </w:t>
      </w:r>
      <w:r>
        <w:rPr>
          <w:rFonts w:ascii="Calibri" w:hAnsi="Calibri"/>
          <w:color w:val="008356"/>
          <w:spacing w:val="4"/>
          <w:w w:val="115"/>
          <w:sz w:val="11"/>
        </w:rPr>
        <w:t>BOCEPREVIR</w:t>
      </w:r>
      <w:r>
        <w:rPr>
          <w:color w:val="231F1F"/>
          <w:spacing w:val="4"/>
          <w:w w:val="115"/>
        </w:rPr>
        <w:t>; </w:t>
      </w:r>
      <w:r>
        <w:rPr>
          <w:color w:val="231F1F"/>
          <w:w w:val="115"/>
        </w:rPr>
        <w:t>ketoconazole increases the plasma concentration</w:t>
      </w:r>
      <w:r>
        <w:rPr>
          <w:color w:val="231F1F"/>
          <w:spacing w:val="-24"/>
          <w:w w:val="115"/>
        </w:rPr>
        <w:t> </w:t>
      </w:r>
      <w:r>
        <w:rPr>
          <w:color w:val="231F1F"/>
          <w:w w:val="115"/>
        </w:rPr>
        <w:t>of</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DACLATASVIR</w:t>
      </w:r>
      <w:r>
        <w:rPr>
          <w:rFonts w:ascii="Arial" w:hAnsi="Arial"/>
          <w:color w:val="231F1F"/>
          <w:spacing w:val="2"/>
          <w:w w:val="115"/>
        </w:rPr>
        <w:t>—</w:t>
      </w:r>
      <w:r>
        <w:rPr>
          <w:color w:val="231F1F"/>
          <w:spacing w:val="2"/>
          <w:w w:val="115"/>
        </w:rPr>
        <w:t>reduce</w:t>
      </w:r>
      <w:r>
        <w:rPr>
          <w:color w:val="231F1F"/>
          <w:spacing w:val="-24"/>
          <w:w w:val="115"/>
        </w:rPr>
        <w:t> </w:t>
      </w:r>
      <w:r>
        <w:rPr>
          <w:color w:val="231F1F"/>
          <w:w w:val="115"/>
        </w:rPr>
        <w:t>dose</w:t>
      </w:r>
      <w:r>
        <w:rPr>
          <w:color w:val="231F1F"/>
          <w:spacing w:val="-25"/>
          <w:w w:val="115"/>
        </w:rPr>
        <w:t> </w:t>
      </w:r>
      <w:r>
        <w:rPr>
          <w:color w:val="231F1F"/>
          <w:w w:val="115"/>
        </w:rPr>
        <w:t>of</w:t>
      </w:r>
      <w:r>
        <w:rPr>
          <w:color w:val="231F1F"/>
          <w:spacing w:val="-24"/>
          <w:w w:val="115"/>
        </w:rPr>
        <w:t> </w:t>
      </w:r>
      <w:r>
        <w:rPr>
          <w:color w:val="231F1F"/>
          <w:w w:val="115"/>
        </w:rPr>
        <w:t>daclatasvir</w:t>
      </w:r>
    </w:p>
    <w:p>
      <w:pPr>
        <w:pStyle w:val="BodyText"/>
        <w:spacing w:line="247" w:lineRule="auto"/>
        <w:ind w:right="2"/>
      </w:pPr>
      <w:r>
        <w:rPr>
          <w:color w:val="231F1F"/>
          <w:w w:val="115"/>
        </w:rPr>
        <w:t>(see under Daclatasvir, p. 544); plasma concentration of both drugs increased when ketoconazole given with </w:t>
      </w:r>
      <w:r>
        <w:rPr>
          <w:rFonts w:ascii="Calibri"/>
          <w:color w:val="008356"/>
          <w:w w:val="115"/>
          <w:sz w:val="11"/>
        </w:rPr>
        <w:t>DARUNAVIR</w:t>
      </w:r>
      <w:r>
        <w:rPr>
          <w:color w:val="231F1F"/>
          <w:w w:val="115"/>
        </w:rPr>
        <w:t>; plasma concentration of ketoconazole reduced by</w:t>
      </w:r>
    </w:p>
    <w:p>
      <w:pPr>
        <w:pStyle w:val="BodyText"/>
        <w:spacing w:line="244" w:lineRule="auto"/>
        <w:ind w:right="62"/>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3"/>
          <w:w w:val="115"/>
          <w:sz w:val="11"/>
        </w:rPr>
        <w:t>EFAVIRENZ</w:t>
      </w:r>
      <w:r>
        <w:rPr>
          <w:color w:val="231F1F"/>
          <w:spacing w:val="3"/>
          <w:w w:val="115"/>
        </w:rPr>
        <w:t>;</w:t>
      </w:r>
      <w:r>
        <w:rPr>
          <w:color w:val="231F1F"/>
          <w:spacing w:val="-14"/>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color w:val="231F1F"/>
          <w:w w:val="115"/>
        </w:rPr>
        <w:t>ketoconazole</w:t>
      </w:r>
      <w:r>
        <w:rPr>
          <w:color w:val="231F1F"/>
          <w:spacing w:val="-15"/>
          <w:w w:val="115"/>
        </w:rPr>
        <w:t> </w:t>
      </w:r>
      <w:r>
        <w:rPr>
          <w:color w:val="231F1F"/>
          <w:w w:val="115"/>
        </w:rPr>
        <w:t>increased by </w:t>
      </w:r>
      <w:r>
        <w:rPr>
          <w:rFonts w:ascii="Calibri" w:hAnsi="Calibri"/>
          <w:color w:val="008356"/>
          <w:spacing w:val="4"/>
          <w:w w:val="115"/>
          <w:sz w:val="11"/>
        </w:rPr>
        <w:t>FOSAMPRENAVIR </w:t>
      </w:r>
      <w:r>
        <w:rPr>
          <w:color w:val="231F1F"/>
          <w:w w:val="115"/>
        </w:rPr>
        <w:t>(also plasma concentration of fosamprenavir possibly increased); ketoconazole increases plasma concentration of </w:t>
      </w:r>
      <w:r>
        <w:rPr>
          <w:rFonts w:ascii="Arial" w:hAnsi="Arial"/>
          <w:color w:val="231F1F"/>
          <w:w w:val="355"/>
          <w:position w:val="1"/>
          <w:sz w:val="7"/>
        </w:rPr>
        <w:t>l </w:t>
      </w:r>
      <w:r>
        <w:rPr>
          <w:rFonts w:ascii="Calibri" w:hAnsi="Calibri"/>
          <w:color w:val="008356"/>
          <w:spacing w:val="3"/>
          <w:w w:val="115"/>
          <w:sz w:val="11"/>
        </w:rPr>
        <w:t>INDINAVIR </w:t>
      </w:r>
      <w:r>
        <w:rPr>
          <w:color w:val="231F1F"/>
          <w:w w:val="115"/>
        </w:rPr>
        <w:t>and </w:t>
      </w:r>
      <w:r>
        <w:rPr>
          <w:rFonts w:ascii="Arial" w:hAnsi="Arial"/>
          <w:color w:val="231F1F"/>
          <w:w w:val="355"/>
          <w:position w:val="1"/>
          <w:sz w:val="7"/>
        </w:rPr>
        <w:t>l </w:t>
      </w:r>
      <w:r>
        <w:rPr>
          <w:rFonts w:ascii="Calibri" w:hAnsi="Calibri"/>
          <w:color w:val="008356"/>
          <w:spacing w:val="4"/>
          <w:w w:val="115"/>
          <w:sz w:val="11"/>
        </w:rPr>
        <w:t>MARAVIROC </w:t>
      </w:r>
      <w:r>
        <w:rPr>
          <w:color w:val="231F1F"/>
          <w:w w:val="115"/>
        </w:rPr>
        <w:t>(consider</w:t>
      </w:r>
      <w:r>
        <w:rPr>
          <w:color w:val="231F1F"/>
          <w:spacing w:val="-10"/>
          <w:w w:val="115"/>
        </w:rPr>
        <w:t> </w:t>
      </w:r>
      <w:r>
        <w:rPr>
          <w:color w:val="231F1F"/>
          <w:w w:val="115"/>
        </w:rPr>
        <w:t>reducing</w:t>
      </w:r>
      <w:r>
        <w:rPr>
          <w:color w:val="231F1F"/>
          <w:spacing w:val="-8"/>
          <w:w w:val="115"/>
        </w:rPr>
        <w:t> </w:t>
      </w:r>
      <w:r>
        <w:rPr>
          <w:color w:val="231F1F"/>
          <w:w w:val="115"/>
        </w:rPr>
        <w:t>dose</w:t>
      </w:r>
      <w:r>
        <w:rPr>
          <w:color w:val="231F1F"/>
          <w:spacing w:val="-9"/>
          <w:w w:val="115"/>
        </w:rPr>
        <w:t> </w:t>
      </w:r>
      <w:r>
        <w:rPr>
          <w:color w:val="231F1F"/>
          <w:w w:val="115"/>
        </w:rPr>
        <w:t>of</w:t>
      </w:r>
      <w:r>
        <w:rPr>
          <w:color w:val="231F1F"/>
          <w:spacing w:val="-9"/>
          <w:w w:val="115"/>
        </w:rPr>
        <w:t> </w:t>
      </w:r>
      <w:r>
        <w:rPr>
          <w:color w:val="231F1F"/>
          <w:w w:val="115"/>
        </w:rPr>
        <w:t>indinavir</w:t>
      </w:r>
      <w:r>
        <w:rPr>
          <w:color w:val="231F1F"/>
          <w:spacing w:val="-9"/>
          <w:w w:val="115"/>
        </w:rPr>
        <w:t> </w:t>
      </w:r>
      <w:r>
        <w:rPr>
          <w:color w:val="231F1F"/>
          <w:w w:val="115"/>
        </w:rPr>
        <w:t>and</w:t>
      </w:r>
      <w:r>
        <w:rPr>
          <w:color w:val="231F1F"/>
          <w:spacing w:val="-9"/>
          <w:w w:val="115"/>
        </w:rPr>
        <w:t> </w:t>
      </w:r>
      <w:r>
        <w:rPr>
          <w:color w:val="231F1F"/>
          <w:w w:val="115"/>
        </w:rPr>
        <w:t>maraviroc);</w:t>
      </w:r>
      <w:r>
        <w:rPr>
          <w:color w:val="231F1F"/>
          <w:spacing w:val="-9"/>
          <w:w w:val="115"/>
        </w:rPr>
        <w:t> </w:t>
      </w:r>
      <w:r>
        <w:rPr>
          <w:color w:val="231F1F"/>
          <w:w w:val="115"/>
        </w:rPr>
        <w:t>plasma concentration of ketoconazole reduced by </w:t>
      </w:r>
      <w:r>
        <w:rPr>
          <w:rFonts w:ascii="Arial" w:hAnsi="Arial"/>
          <w:color w:val="231F1F"/>
          <w:w w:val="355"/>
          <w:position w:val="1"/>
          <w:sz w:val="7"/>
        </w:rPr>
        <w:t>l </w:t>
      </w:r>
      <w:r>
        <w:rPr>
          <w:rFonts w:ascii="Calibri" w:hAnsi="Calibri"/>
          <w:color w:val="008356"/>
          <w:spacing w:val="4"/>
          <w:w w:val="115"/>
          <w:sz w:val="11"/>
        </w:rPr>
        <w:t>NEVIRAPINE</w:t>
      </w:r>
      <w:r>
        <w:rPr>
          <w:rFonts w:ascii="Arial" w:hAnsi="Arial"/>
          <w:color w:val="231F1F"/>
          <w:spacing w:val="4"/>
          <w:w w:val="115"/>
        </w:rPr>
        <w:t>— </w:t>
      </w:r>
      <w:r>
        <w:rPr>
          <w:color w:val="231F1F"/>
          <w:w w:val="115"/>
        </w:rPr>
        <w:t>avoid concomitant use; plasma concentration of ketoconazole increased by </w:t>
      </w:r>
      <w:r>
        <w:rPr>
          <w:rFonts w:ascii="Arial" w:hAnsi="Arial"/>
          <w:color w:val="231F1F"/>
          <w:w w:val="355"/>
          <w:position w:val="1"/>
          <w:sz w:val="7"/>
        </w:rPr>
        <w:t>l </w:t>
      </w:r>
      <w:r>
        <w:rPr>
          <w:rFonts w:ascii="Calibri" w:hAnsi="Calibri"/>
          <w:color w:val="008356"/>
          <w:spacing w:val="3"/>
          <w:w w:val="115"/>
          <w:sz w:val="11"/>
        </w:rPr>
        <w:t>RITONAVIR </w:t>
      </w:r>
      <w:r>
        <w:rPr>
          <w:color w:val="231F1F"/>
          <w:w w:val="115"/>
        </w:rPr>
        <w:t>(reduce dose of ketoconazole); imidazoles possibly increase plasma concentration</w:t>
      </w:r>
      <w:r>
        <w:rPr>
          <w:color w:val="231F1F"/>
          <w:spacing w:val="-19"/>
          <w:w w:val="115"/>
        </w:rPr>
        <w:t> </w:t>
      </w:r>
      <w:r>
        <w:rPr>
          <w:color w:val="231F1F"/>
          <w:w w:val="115"/>
        </w:rPr>
        <w:t>of</w:t>
      </w:r>
      <w:r>
        <w:rPr>
          <w:color w:val="231F1F"/>
          <w:spacing w:val="-19"/>
          <w:w w:val="115"/>
        </w:rPr>
        <w:t> </w:t>
      </w:r>
      <w:r>
        <w:rPr>
          <w:rFonts w:ascii="Calibri" w:hAnsi="Calibri"/>
          <w:color w:val="008356"/>
          <w:spacing w:val="4"/>
          <w:w w:val="115"/>
          <w:sz w:val="11"/>
        </w:rPr>
        <w:t>SAQUINAVIR</w:t>
      </w:r>
      <w:r>
        <w:rPr>
          <w:color w:val="231F1F"/>
          <w:spacing w:val="4"/>
          <w:w w:val="115"/>
        </w:rPr>
        <w:t>;</w:t>
      </w:r>
      <w:r>
        <w:rPr>
          <w:color w:val="231F1F"/>
          <w:spacing w:val="-20"/>
          <w:w w:val="115"/>
        </w:rPr>
        <w:t> </w:t>
      </w:r>
      <w:r>
        <w:rPr>
          <w:color w:val="231F1F"/>
          <w:w w:val="115"/>
        </w:rPr>
        <w:t>ketoconazole</w:t>
      </w:r>
      <w:r>
        <w:rPr>
          <w:color w:val="231F1F"/>
          <w:spacing w:val="-20"/>
          <w:w w:val="115"/>
        </w:rPr>
        <w:t> </w:t>
      </w:r>
      <w:r>
        <w:rPr>
          <w:color w:val="231F1F"/>
          <w:w w:val="115"/>
        </w:rPr>
        <w:t>increases</w:t>
      </w:r>
      <w:r>
        <w:rPr>
          <w:color w:val="231F1F"/>
          <w:spacing w:val="-19"/>
          <w:w w:val="115"/>
        </w:rPr>
        <w:t> </w:t>
      </w:r>
      <w:r>
        <w:rPr>
          <w:color w:val="231F1F"/>
          <w:w w:val="115"/>
        </w:rPr>
        <w:t>plasma concentration of </w:t>
      </w:r>
      <w:r>
        <w:rPr>
          <w:rFonts w:ascii="Arial" w:hAnsi="Arial"/>
          <w:color w:val="231F1F"/>
          <w:w w:val="355"/>
          <w:position w:val="1"/>
          <w:sz w:val="7"/>
        </w:rPr>
        <w:t>l </w:t>
      </w:r>
      <w:r>
        <w:rPr>
          <w:rFonts w:ascii="Calibri" w:hAnsi="Calibri"/>
          <w:color w:val="008356"/>
          <w:w w:val="115"/>
          <w:sz w:val="11"/>
        </w:rPr>
        <w:t>SAQUINAVIR</w:t>
      </w:r>
      <w:r>
        <w:rPr>
          <w:rFonts w:ascii="Arial" w:hAnsi="Arial"/>
          <w:color w:val="231F1F"/>
          <w:w w:val="115"/>
        </w:rPr>
        <w:t>—</w:t>
      </w:r>
      <w:r>
        <w:rPr>
          <w:color w:val="231F1F"/>
          <w:w w:val="115"/>
        </w:rPr>
        <w:t>manufacturer of ketoconazole advises avoid concomitant use; avoidance of ketoconazole advised by manufacturer of </w:t>
      </w:r>
      <w:r>
        <w:rPr>
          <w:rFonts w:ascii="Arial" w:hAnsi="Arial"/>
          <w:color w:val="231F1F"/>
          <w:w w:val="355"/>
          <w:position w:val="1"/>
          <w:sz w:val="7"/>
        </w:rPr>
        <w:t>l </w:t>
      </w:r>
      <w:r>
        <w:rPr>
          <w:rFonts w:ascii="Calibri" w:hAnsi="Calibri"/>
          <w:color w:val="008356"/>
          <w:spacing w:val="4"/>
          <w:w w:val="115"/>
          <w:sz w:val="11"/>
        </w:rPr>
        <w:t>SIMEPREVIR</w:t>
      </w:r>
      <w:r>
        <w:rPr>
          <w:color w:val="231F1F"/>
          <w:spacing w:val="4"/>
          <w:w w:val="115"/>
        </w:rPr>
        <w:t>; </w:t>
      </w:r>
      <w:r>
        <w:rPr>
          <w:color w:val="231F1F"/>
          <w:w w:val="115"/>
        </w:rPr>
        <w:t>plasma</w:t>
      </w:r>
      <w:r>
        <w:rPr>
          <w:color w:val="231F1F"/>
          <w:spacing w:val="-7"/>
          <w:w w:val="115"/>
        </w:rPr>
        <w:t> </w:t>
      </w:r>
      <w:r>
        <w:rPr>
          <w:color w:val="231F1F"/>
          <w:w w:val="115"/>
        </w:rPr>
        <w:t>concentration</w:t>
      </w:r>
      <w:r>
        <w:rPr>
          <w:color w:val="231F1F"/>
          <w:spacing w:val="-6"/>
          <w:w w:val="115"/>
        </w:rPr>
        <w:t> </w:t>
      </w:r>
      <w:r>
        <w:rPr>
          <w:color w:val="231F1F"/>
          <w:w w:val="115"/>
        </w:rPr>
        <w:t>of</w:t>
      </w:r>
      <w:r>
        <w:rPr>
          <w:color w:val="231F1F"/>
          <w:spacing w:val="-5"/>
          <w:w w:val="115"/>
        </w:rPr>
        <w:t> </w:t>
      </w:r>
      <w:r>
        <w:rPr>
          <w:color w:val="231F1F"/>
          <w:w w:val="115"/>
        </w:rPr>
        <w:t>both</w:t>
      </w:r>
      <w:r>
        <w:rPr>
          <w:color w:val="231F1F"/>
          <w:spacing w:val="-5"/>
          <w:w w:val="115"/>
        </w:rPr>
        <w:t> </w:t>
      </w:r>
      <w:r>
        <w:rPr>
          <w:color w:val="231F1F"/>
          <w:w w:val="115"/>
        </w:rPr>
        <w:t>drugs</w:t>
      </w:r>
      <w:r>
        <w:rPr>
          <w:color w:val="231F1F"/>
          <w:spacing w:val="-5"/>
          <w:w w:val="115"/>
        </w:rPr>
        <w:t> </w:t>
      </w:r>
      <w:r>
        <w:rPr>
          <w:color w:val="231F1F"/>
          <w:w w:val="115"/>
        </w:rPr>
        <w:t>possibly</w:t>
      </w:r>
      <w:r>
        <w:rPr>
          <w:color w:val="231F1F"/>
          <w:spacing w:val="-6"/>
          <w:w w:val="115"/>
        </w:rPr>
        <w:t> </w:t>
      </w:r>
      <w:r>
        <w:rPr>
          <w:color w:val="231F1F"/>
          <w:w w:val="115"/>
        </w:rPr>
        <w:t>increased</w:t>
      </w:r>
      <w:r>
        <w:rPr>
          <w:color w:val="231F1F"/>
          <w:spacing w:val="-6"/>
          <w:w w:val="115"/>
        </w:rPr>
        <w:t> </w:t>
      </w:r>
      <w:r>
        <w:rPr>
          <w:color w:val="231F1F"/>
          <w:w w:val="115"/>
        </w:rPr>
        <w:t>when ketoconazole given with </w:t>
      </w:r>
      <w:r>
        <w:rPr>
          <w:rFonts w:ascii="Calibri" w:hAnsi="Calibri"/>
          <w:color w:val="008356"/>
          <w:spacing w:val="4"/>
          <w:w w:val="115"/>
          <w:sz w:val="11"/>
        </w:rPr>
        <w:t>TELAPREVIR </w:t>
      </w:r>
      <w:r>
        <w:rPr>
          <w:color w:val="231F1F"/>
          <w:w w:val="115"/>
        </w:rPr>
        <w:t>(increased risk of ventricular</w:t>
      </w:r>
      <w:r>
        <w:rPr>
          <w:color w:val="231F1F"/>
          <w:spacing w:val="-7"/>
          <w:w w:val="115"/>
        </w:rPr>
        <w:t> </w:t>
      </w:r>
      <w:r>
        <w:rPr>
          <w:color w:val="231F1F"/>
          <w:w w:val="115"/>
        </w:rPr>
        <w:t>arrhythmias)</w:t>
      </w:r>
      <w:r>
        <w:rPr>
          <w:rFonts w:ascii="Arial" w:hAnsi="Arial"/>
          <w:color w:val="231F1F"/>
          <w:w w:val="115"/>
        </w:rPr>
        <w:t>—</w:t>
      </w:r>
      <w:r>
        <w:rPr>
          <w:color w:val="231F1F"/>
          <w:w w:val="115"/>
        </w:rPr>
        <w:t>reduce</w:t>
      </w:r>
      <w:r>
        <w:rPr>
          <w:color w:val="231F1F"/>
          <w:spacing w:val="-7"/>
          <w:w w:val="115"/>
        </w:rPr>
        <w:t> </w:t>
      </w:r>
      <w:r>
        <w:rPr>
          <w:color w:val="231F1F"/>
          <w:w w:val="115"/>
        </w:rPr>
        <w:t>dose</w:t>
      </w:r>
      <w:r>
        <w:rPr>
          <w:color w:val="231F1F"/>
          <w:spacing w:val="-7"/>
          <w:w w:val="115"/>
        </w:rPr>
        <w:t> </w:t>
      </w:r>
      <w:r>
        <w:rPr>
          <w:color w:val="231F1F"/>
          <w:w w:val="115"/>
        </w:rPr>
        <w:t>of</w:t>
      </w:r>
      <w:r>
        <w:rPr>
          <w:color w:val="231F1F"/>
          <w:spacing w:val="-7"/>
          <w:w w:val="115"/>
        </w:rPr>
        <w:t> </w:t>
      </w:r>
      <w:r>
        <w:rPr>
          <w:color w:val="231F1F"/>
          <w:w w:val="115"/>
        </w:rPr>
        <w:t>ketoconazole</w:t>
      </w:r>
    </w:p>
    <w:p>
      <w:pPr>
        <w:pStyle w:val="BodyText"/>
        <w:spacing w:line="247" w:lineRule="auto"/>
        <w:ind w:right="14" w:hanging="100"/>
        <w:rPr>
          <w:rFonts w:ascii="Calibri" w:hAnsi="Calibri"/>
          <w:sz w:val="11"/>
        </w:rPr>
      </w:pPr>
      <w:r>
        <w:rPr>
          <w:rFonts w:ascii="Arial" w:hAnsi="Arial"/>
          <w:color w:val="231F1F"/>
          <w:w w:val="355"/>
          <w:position w:val="1"/>
          <w:sz w:val="7"/>
        </w:rPr>
        <w:t>l </w:t>
      </w:r>
      <w:r>
        <w:rPr>
          <w:rFonts w:ascii="Calibri" w:hAnsi="Calibri"/>
          <w:color w:val="231F1F"/>
          <w:w w:val="115"/>
        </w:rPr>
        <w:t>Anxiolytics and Hypnotics: </w:t>
      </w:r>
      <w:r>
        <w:rPr>
          <w:color w:val="231F1F"/>
          <w:w w:val="115"/>
        </w:rPr>
        <w:t>ketoconazole increases plasma concentration of </w:t>
      </w:r>
      <w:r>
        <w:rPr>
          <w:rFonts w:ascii="Arial" w:hAnsi="Arial"/>
          <w:color w:val="231F1F"/>
          <w:w w:val="355"/>
          <w:position w:val="1"/>
          <w:sz w:val="7"/>
        </w:rPr>
        <w:t>l </w:t>
      </w:r>
      <w:r>
        <w:rPr>
          <w:rFonts w:ascii="Calibri" w:hAnsi="Calibri"/>
          <w:color w:val="008356"/>
          <w:w w:val="115"/>
          <w:sz w:val="11"/>
        </w:rPr>
        <w:t>ALPRAZOLAM</w:t>
      </w:r>
      <w:r>
        <w:rPr>
          <w:rFonts w:ascii="Arial" w:hAnsi="Arial"/>
          <w:color w:val="231F1F"/>
          <w:w w:val="115"/>
        </w:rPr>
        <w:t>—</w:t>
      </w:r>
      <w:r>
        <w:rPr>
          <w:color w:val="231F1F"/>
          <w:w w:val="115"/>
        </w:rPr>
        <w:t>manufacturer of ketoconazole advises avoid concomitant use; ketoconazole increases plasma concentration of </w:t>
      </w:r>
      <w:r>
        <w:rPr>
          <w:rFonts w:ascii="Arial" w:hAnsi="Arial"/>
          <w:color w:val="231F1F"/>
          <w:w w:val="355"/>
          <w:position w:val="1"/>
          <w:sz w:val="7"/>
        </w:rPr>
        <w:t>l </w:t>
      </w:r>
      <w:r>
        <w:rPr>
          <w:rFonts w:ascii="Calibri" w:hAnsi="Calibri"/>
          <w:color w:val="008356"/>
          <w:w w:val="115"/>
          <w:sz w:val="11"/>
        </w:rPr>
        <w:t>MIDAZOLAM </w:t>
      </w:r>
      <w:r>
        <w:rPr>
          <w:color w:val="231F1F"/>
          <w:w w:val="115"/>
        </w:rPr>
        <w:t>(risk of prolonged sedation</w:t>
      </w:r>
      <w:r>
        <w:rPr>
          <w:rFonts w:ascii="Arial" w:hAnsi="Arial"/>
          <w:color w:val="231F1F"/>
          <w:w w:val="115"/>
        </w:rPr>
        <w:t>—</w:t>
      </w:r>
      <w:r>
        <w:rPr>
          <w:color w:val="231F1F"/>
          <w:w w:val="115"/>
        </w:rPr>
        <w:t>avoid concomitant use of </w:t>
      </w:r>
      <w:r>
        <w:rPr>
          <w:i/>
          <w:color w:val="231F1F"/>
          <w:w w:val="115"/>
        </w:rPr>
        <w:t>oral </w:t>
      </w:r>
      <w:r>
        <w:rPr>
          <w:color w:val="231F1F"/>
          <w:w w:val="115"/>
        </w:rPr>
        <w:t>midazolam); ketoconazole increases plasma concentration of </w:t>
      </w:r>
      <w:r>
        <w:rPr>
          <w:rFonts w:ascii="Calibri" w:hAnsi="Calibri"/>
          <w:color w:val="008356"/>
          <w:w w:val="115"/>
          <w:sz w:val="11"/>
        </w:rPr>
        <w:t>ZOLPIDEM</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Aprepitant: </w:t>
      </w:r>
      <w:r>
        <w:rPr>
          <w:color w:val="231F1F"/>
          <w:w w:val="105"/>
        </w:rPr>
        <w:t>ketoconazole increases plasma concentration of</w:t>
      </w:r>
    </w:p>
    <w:p>
      <w:pPr>
        <w:spacing w:line="130" w:lineRule="exact" w:before="0"/>
        <w:ind w:left="208" w:right="0" w:firstLine="0"/>
        <w:jc w:val="left"/>
        <w:rPr>
          <w:rFonts w:ascii="Calibri"/>
          <w:sz w:val="11"/>
        </w:rPr>
      </w:pPr>
      <w:r>
        <w:rPr>
          <w:rFonts w:ascii="Calibri"/>
          <w:color w:val="008356"/>
          <w:sz w:val="11"/>
        </w:rPr>
        <w:t>APREPITANT</w:t>
      </w:r>
    </w:p>
    <w:p>
      <w:pPr>
        <w:pStyle w:val="BodyText"/>
        <w:spacing w:line="145" w:lineRule="exact"/>
        <w:ind w:left="108"/>
      </w:pPr>
      <w:r>
        <w:rPr>
          <w:rFonts w:ascii="Arial"/>
          <w:color w:val="231F1F"/>
          <w:w w:val="355"/>
          <w:position w:val="1"/>
          <w:sz w:val="7"/>
        </w:rPr>
        <w:t>l </w:t>
      </w:r>
      <w:r>
        <w:rPr>
          <w:rFonts w:ascii="Calibri"/>
          <w:color w:val="231F1F"/>
          <w:w w:val="120"/>
        </w:rPr>
        <w:t>Avanafil: </w:t>
      </w:r>
      <w:r>
        <w:rPr>
          <w:color w:val="231F1F"/>
          <w:w w:val="120"/>
        </w:rPr>
        <w:t>ketoconazole increases plasma concentration of</w:t>
      </w:r>
    </w:p>
    <w:p>
      <w:pPr>
        <w:spacing w:line="142" w:lineRule="exact" w:before="0"/>
        <w:ind w:left="208"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AVANAFIL</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before="7"/>
        <w:ind w:left="0"/>
        <w:rPr>
          <w:sz w:val="14"/>
        </w:rPr>
      </w:pPr>
      <w:r>
        <w:rPr/>
        <w:br w:type="column"/>
      </w:r>
      <w:r>
        <w:rPr>
          <w:sz w:val="14"/>
        </w:rPr>
      </w:r>
    </w:p>
    <w:p>
      <w:pPr>
        <w:pStyle w:val="BodyText"/>
        <w:spacing w:line="144" w:lineRule="exact"/>
        <w:ind w:left="108"/>
        <w:rPr>
          <w:rFonts w:ascii="Calibri"/>
        </w:rPr>
      </w:pPr>
      <w:r>
        <w:rPr>
          <w:rFonts w:ascii="Arial"/>
          <w:color w:val="008356"/>
        </w:rPr>
        <w:t>Antifungals, Imidazole </w:t>
      </w:r>
      <w:r>
        <w:rPr>
          <w:rFonts w:ascii="Calibri"/>
          <w:color w:val="231F1F"/>
        </w:rPr>
        <w:t>(continued)</w:t>
      </w:r>
    </w:p>
    <w:p>
      <w:pPr>
        <w:pStyle w:val="BodyText"/>
        <w:spacing w:line="220" w:lineRule="auto" w:before="6"/>
        <w:ind w:right="670" w:hanging="100"/>
        <w:rPr>
          <w:rFonts w:ascii="Calibri" w:hAnsi="Calibri"/>
          <w:sz w:val="11"/>
        </w:rPr>
      </w:pPr>
      <w:r>
        <w:rPr/>
        <w:pict>
          <v:rect style="position:absolute;margin-left:398.891296pt;margin-top:-8.655787pt;width:20.522993pt;height:149.443pt;mso-position-horizontal-relative:page;mso-position-vertical-relative:paragraph;z-index:1792" filled="true" fillcolor="#bfdbcf" stroked="false">
            <v:fill type="solid"/>
            <w10:wrap type="none"/>
          </v:rect>
        </w:pict>
      </w:r>
      <w:r>
        <w:rPr/>
        <w:pict>
          <v:shape style="position:absolute;margin-left:399.725769pt;margin-top:-3.692398pt;width:10.4pt;height:78.850pt;mso-position-horizontal-relative:page;mso-position-vertical-relative:paragraph;z-index:181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Beta-blockers: </w:t>
      </w:r>
      <w:r>
        <w:rPr>
          <w:color w:val="231F1F"/>
          <w:w w:val="105"/>
        </w:rPr>
        <w:t>ketoconazole possibly increases plasma concentration of </w:t>
      </w:r>
      <w:r>
        <w:rPr>
          <w:rFonts w:ascii="Calibri" w:hAnsi="Calibri"/>
          <w:color w:val="008356"/>
          <w:w w:val="105"/>
          <w:sz w:val="11"/>
        </w:rPr>
        <w:t>NADOLOL</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Bosentan: </w:t>
      </w:r>
      <w:r>
        <w:rPr>
          <w:color w:val="231F1F"/>
          <w:w w:val="105"/>
        </w:rPr>
        <w:t>ketoconazole increases plasma concentration of</w:t>
      </w:r>
    </w:p>
    <w:p>
      <w:pPr>
        <w:spacing w:line="131" w:lineRule="exact" w:before="0"/>
        <w:ind w:left="208" w:right="0" w:firstLine="0"/>
        <w:jc w:val="left"/>
        <w:rPr>
          <w:rFonts w:ascii="Calibri"/>
          <w:sz w:val="11"/>
        </w:rPr>
      </w:pPr>
      <w:r>
        <w:rPr>
          <w:rFonts w:ascii="Calibri"/>
          <w:color w:val="008356"/>
          <w:sz w:val="11"/>
        </w:rPr>
        <w:t>BOSENTAN</w:t>
      </w:r>
    </w:p>
    <w:p>
      <w:pPr>
        <w:pStyle w:val="BodyText"/>
        <w:spacing w:line="244" w:lineRule="auto"/>
        <w:ind w:right="703"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10"/>
        </w:rPr>
        <w:t>Calcium-channel Blockers: </w:t>
      </w:r>
      <w:r>
        <w:rPr>
          <w:color w:val="231F1F"/>
          <w:w w:val="110"/>
        </w:rPr>
        <w:t>ketoconazole inhibits metabolism </w:t>
      </w:r>
      <w:r>
        <w:rPr>
          <w:color w:val="231F1F"/>
          <w:spacing w:val="-8"/>
          <w:w w:val="110"/>
        </w:rPr>
        <w:t>of </w:t>
      </w:r>
      <w:r>
        <w:rPr>
          <w:rFonts w:ascii="Arial" w:hAnsi="Arial"/>
          <w:color w:val="231F1F"/>
          <w:w w:val="355"/>
          <w:position w:val="1"/>
          <w:sz w:val="7"/>
        </w:rPr>
        <w:t>l </w:t>
      </w:r>
      <w:r>
        <w:rPr>
          <w:rFonts w:ascii="Calibri" w:hAnsi="Calibri"/>
          <w:color w:val="008356"/>
          <w:spacing w:val="4"/>
          <w:w w:val="110"/>
          <w:sz w:val="11"/>
        </w:rPr>
        <w:t>FELODIPINE </w:t>
      </w:r>
      <w:r>
        <w:rPr>
          <w:color w:val="231F1F"/>
          <w:w w:val="110"/>
        </w:rPr>
        <w:t>(increased plasma concentration)</w:t>
      </w:r>
      <w:r>
        <w:rPr>
          <w:rFonts w:ascii="Arial" w:hAnsi="Arial"/>
          <w:color w:val="231F1F"/>
          <w:w w:val="110"/>
        </w:rPr>
        <w:t>— </w:t>
      </w:r>
      <w:r>
        <w:rPr>
          <w:color w:val="231F1F"/>
          <w:w w:val="110"/>
        </w:rPr>
        <w:t>manufacturer of ketoconazole  advises  avoid  concomitant use; avoidance of ketoconazole advised by manufacturer of </w:t>
      </w:r>
      <w:r>
        <w:rPr>
          <w:rFonts w:ascii="Calibri" w:hAnsi="Calibri"/>
          <w:color w:val="008356"/>
          <w:spacing w:val="4"/>
          <w:w w:val="110"/>
          <w:sz w:val="11"/>
        </w:rPr>
        <w:t>LERCANIDIPINE</w:t>
      </w:r>
      <w:r>
        <w:rPr>
          <w:color w:val="231F1F"/>
          <w:spacing w:val="4"/>
          <w:w w:val="110"/>
        </w:rPr>
        <w:t>; </w:t>
      </w:r>
      <w:r>
        <w:rPr>
          <w:color w:val="231F1F"/>
          <w:w w:val="110"/>
        </w:rPr>
        <w:t>ketoconazole possibly inhibits metabolism of </w:t>
      </w:r>
      <w:r>
        <w:rPr>
          <w:rFonts w:ascii="Calibri" w:hAnsi="Calibri"/>
          <w:color w:val="008356"/>
          <w:spacing w:val="4"/>
          <w:w w:val="110"/>
          <w:sz w:val="11"/>
        </w:rPr>
        <w:t>DIHYDROPYRIDINES </w:t>
      </w:r>
      <w:r>
        <w:rPr>
          <w:color w:val="231F1F"/>
          <w:w w:val="110"/>
        </w:rPr>
        <w:t>(increased plasma</w:t>
      </w:r>
      <w:r>
        <w:rPr>
          <w:color w:val="231F1F"/>
          <w:spacing w:val="1"/>
          <w:w w:val="110"/>
        </w:rPr>
        <w:t> </w:t>
      </w:r>
      <w:r>
        <w:rPr>
          <w:color w:val="231F1F"/>
          <w:w w:val="110"/>
        </w:rPr>
        <w:t>concentration)</w:t>
      </w:r>
    </w:p>
    <w:p>
      <w:pPr>
        <w:spacing w:line="220" w:lineRule="auto" w:before="2"/>
        <w:ind w:left="208" w:right="132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Cannabis Extract: </w:t>
      </w:r>
      <w:r>
        <w:rPr>
          <w:color w:val="231F1F"/>
          <w:w w:val="105"/>
          <w:sz w:val="12"/>
        </w:rPr>
        <w:t>ketoconazole increases plasma concentration of </w:t>
      </w:r>
      <w:r>
        <w:rPr>
          <w:rFonts w:ascii="Calibri" w:hAnsi="Calibri"/>
          <w:color w:val="008356"/>
          <w:w w:val="105"/>
          <w:sz w:val="11"/>
        </w:rPr>
        <w:t>CANNABIS EXTRACT</w:t>
      </w:r>
    </w:p>
    <w:p>
      <w:pPr>
        <w:pStyle w:val="BodyText"/>
        <w:spacing w:line="146" w:lineRule="exact"/>
        <w:ind w:left="108"/>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Ciclosporin: </w:t>
      </w:r>
      <w:r>
        <w:rPr>
          <w:color w:val="231F1F"/>
          <w:w w:val="115"/>
        </w:rPr>
        <w:t>ketoconazole inhibits metabolism of</w:t>
      </w:r>
    </w:p>
    <w:p>
      <w:pPr>
        <w:spacing w:line="242" w:lineRule="auto" w:before="0"/>
        <w:ind w:left="208" w:right="67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(increased plasma concentration); miconazole possibly inhibits metabolism of </w:t>
      </w:r>
      <w:r>
        <w:rPr>
          <w:rFonts w:ascii="Arial"/>
          <w:color w:val="231F1F"/>
          <w:w w:val="355"/>
          <w:position w:val="1"/>
          <w:sz w:val="7"/>
        </w:rPr>
        <w:t>l </w:t>
      </w:r>
      <w:r>
        <w:rPr>
          <w:rFonts w:ascii="Calibri"/>
          <w:color w:val="008356"/>
          <w:w w:val="110"/>
          <w:sz w:val="11"/>
        </w:rPr>
        <w:t>CICLOSPORIN </w:t>
      </w:r>
      <w:r>
        <w:rPr>
          <w:color w:val="231F1F"/>
          <w:w w:val="110"/>
          <w:sz w:val="12"/>
        </w:rPr>
        <w:t>(increased plasma concentration)</w:t>
      </w:r>
    </w:p>
    <w:p>
      <w:pPr>
        <w:pStyle w:val="BodyText"/>
        <w:spacing w:line="146" w:lineRule="exact" w:before="1"/>
        <w:ind w:left="108"/>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Cilostazol: </w:t>
      </w:r>
      <w:r>
        <w:rPr>
          <w:color w:val="231F1F"/>
          <w:w w:val="115"/>
        </w:rPr>
        <w:t>ketoconazole increases plasma concentration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CILOSTAZOL </w:t>
      </w:r>
      <w:r>
        <w:rPr>
          <w:color w:val="231F1F"/>
          <w:w w:val="110"/>
          <w:sz w:val="12"/>
        </w:rPr>
        <w:t>(see under Cilostazol, p. 206)</w:t>
      </w:r>
    </w:p>
    <w:p>
      <w:pPr>
        <w:pStyle w:val="BodyText"/>
        <w:spacing w:line="151"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Cinacalcet: </w:t>
      </w:r>
      <w:r>
        <w:rPr>
          <w:color w:val="231F1F"/>
          <w:w w:val="105"/>
        </w:rPr>
        <w:t>ketoconazole inhibits metabolism of </w:t>
      </w:r>
      <w:r>
        <w:rPr>
          <w:rFonts w:ascii="Calibri" w:hAnsi="Calibri"/>
          <w:color w:val="008356"/>
          <w:w w:val="105"/>
          <w:sz w:val="11"/>
        </w:rPr>
        <w:t>CINACALCET</w:t>
      </w:r>
    </w:p>
    <w:p>
      <w:pPr>
        <w:pStyle w:val="BodyText"/>
        <w:spacing w:line="132" w:lineRule="exact"/>
      </w:pPr>
      <w:r>
        <w:rPr>
          <w:color w:val="231F1F"/>
          <w:w w:val="115"/>
        </w:rPr>
        <w:t>(increased plasma concentration)</w:t>
      </w:r>
    </w:p>
    <w:p>
      <w:pPr>
        <w:pStyle w:val="BodyText"/>
        <w:ind w:right="699"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ketoconazole possibly reduces antiplatelet effect of </w:t>
      </w:r>
      <w:r>
        <w:rPr>
          <w:rFonts w:ascii="Arial"/>
          <w:color w:val="231F1F"/>
          <w:w w:val="355"/>
          <w:position w:val="1"/>
          <w:sz w:val="7"/>
        </w:rPr>
        <w:t>l </w:t>
      </w:r>
      <w:r>
        <w:rPr>
          <w:rFonts w:ascii="Calibri"/>
          <w:color w:val="008356"/>
          <w:w w:val="110"/>
          <w:sz w:val="11"/>
        </w:rPr>
        <w:t>CLOPIDOGREL</w:t>
      </w:r>
    </w:p>
    <w:p>
      <w:pPr>
        <w:pStyle w:val="BodyText"/>
        <w:spacing w:line="230" w:lineRule="auto" w:before="2"/>
        <w:ind w:right="670" w:hanging="100"/>
      </w:pPr>
      <w:r>
        <w:rPr>
          <w:rFonts w:ascii="Lucida Sans Unicode" w:hAnsi="Lucida Sans Unicode"/>
          <w:color w:val="A7A8AC"/>
          <w:w w:val="95"/>
          <w:sz w:val="10"/>
        </w:rPr>
        <w:t>▶ </w:t>
      </w:r>
      <w:r>
        <w:rPr>
          <w:rFonts w:ascii="Calibri" w:hAnsi="Calibri"/>
          <w:color w:val="231F1F"/>
          <w:w w:val="105"/>
        </w:rPr>
        <w:t>Cobicistat: </w:t>
      </w:r>
      <w:r>
        <w:rPr>
          <w:color w:val="231F1F"/>
          <w:w w:val="105"/>
        </w:rPr>
        <w:t>plasma concentration of ketoconazole possibly increased by </w:t>
      </w:r>
      <w:r>
        <w:rPr>
          <w:rFonts w:ascii="Calibri" w:hAnsi="Calibri"/>
          <w:color w:val="008356"/>
          <w:w w:val="105"/>
          <w:sz w:val="11"/>
        </w:rPr>
        <w:t>COBICISTAT</w:t>
      </w:r>
      <w:r>
        <w:rPr>
          <w:rFonts w:ascii="Arial" w:hAnsi="Arial"/>
          <w:color w:val="231F1F"/>
          <w:w w:val="105"/>
        </w:rPr>
        <w:t>—</w:t>
      </w:r>
      <w:r>
        <w:rPr>
          <w:color w:val="231F1F"/>
          <w:w w:val="105"/>
        </w:rPr>
        <w:t>manufacturer of cobicistat advises reduce dose of ketoconazole</w:t>
      </w:r>
    </w:p>
    <w:p>
      <w:pPr>
        <w:pStyle w:val="BodyText"/>
        <w:spacing w:line="146" w:lineRule="exact" w:before="2"/>
        <w:ind w:left="108"/>
      </w:pPr>
      <w:r>
        <w:rPr>
          <w:rFonts w:ascii="Arial"/>
          <w:color w:val="231F1F"/>
          <w:w w:val="355"/>
          <w:position w:val="1"/>
          <w:sz w:val="7"/>
        </w:rPr>
        <w:t>l </w:t>
      </w:r>
      <w:r>
        <w:rPr>
          <w:rFonts w:ascii="Calibri"/>
          <w:color w:val="231F1F"/>
          <w:w w:val="110"/>
        </w:rPr>
        <w:t>Colchicine: </w:t>
      </w:r>
      <w:r>
        <w:rPr>
          <w:color w:val="231F1F"/>
          <w:w w:val="110"/>
        </w:rPr>
        <w:t>ketoconazole possibly increases risk of</w:t>
      </w:r>
    </w:p>
    <w:p>
      <w:pPr>
        <w:pStyle w:val="BodyText"/>
        <w:ind w:right="789"/>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5"/>
          <w:sz w:val="11"/>
        </w:rPr>
        <w:t>COLCHICINE</w:t>
      </w:r>
      <w:r>
        <w:rPr>
          <w:rFonts w:ascii="Calibri" w:hAnsi="Calibri"/>
          <w:color w:val="008356"/>
          <w:spacing w:val="-16"/>
          <w:w w:val="115"/>
          <w:sz w:val="11"/>
        </w:rPr>
        <w:t> </w:t>
      </w:r>
      <w:r>
        <w:rPr>
          <w:color w:val="231F1F"/>
          <w:w w:val="115"/>
        </w:rPr>
        <w:t>toxicity</w:t>
      </w:r>
      <w:r>
        <w:rPr>
          <w:rFonts w:ascii="Arial" w:hAnsi="Arial"/>
          <w:color w:val="231F1F"/>
          <w:w w:val="115"/>
        </w:rPr>
        <w:t>—</w:t>
      </w:r>
      <w:r>
        <w:rPr>
          <w:color w:val="231F1F"/>
          <w:w w:val="115"/>
        </w:rPr>
        <w:t>suspend</w:t>
      </w:r>
      <w:r>
        <w:rPr>
          <w:color w:val="231F1F"/>
          <w:spacing w:val="-24"/>
          <w:w w:val="115"/>
        </w:rPr>
        <w:t> </w:t>
      </w:r>
      <w:r>
        <w:rPr>
          <w:color w:val="231F1F"/>
          <w:w w:val="115"/>
        </w:rPr>
        <w:t>or</w:t>
      </w:r>
      <w:r>
        <w:rPr>
          <w:color w:val="231F1F"/>
          <w:spacing w:val="-24"/>
          <w:w w:val="115"/>
        </w:rPr>
        <w:t> </w:t>
      </w:r>
      <w:r>
        <w:rPr>
          <w:color w:val="231F1F"/>
          <w:w w:val="115"/>
        </w:rPr>
        <w:t>reduce</w:t>
      </w:r>
      <w:r>
        <w:rPr>
          <w:color w:val="231F1F"/>
          <w:spacing w:val="-25"/>
          <w:w w:val="115"/>
        </w:rPr>
        <w:t> </w:t>
      </w:r>
      <w:r>
        <w:rPr>
          <w:color w:val="231F1F"/>
          <w:w w:val="115"/>
        </w:rPr>
        <w:t>dose</w:t>
      </w:r>
      <w:r>
        <w:rPr>
          <w:color w:val="231F1F"/>
          <w:spacing w:val="-24"/>
          <w:w w:val="115"/>
        </w:rPr>
        <w:t> </w:t>
      </w:r>
      <w:r>
        <w:rPr>
          <w:color w:val="231F1F"/>
          <w:w w:val="115"/>
        </w:rPr>
        <w:t>of</w:t>
      </w:r>
      <w:r>
        <w:rPr>
          <w:color w:val="231F1F"/>
          <w:spacing w:val="-23"/>
          <w:w w:val="115"/>
        </w:rPr>
        <w:t> </w:t>
      </w:r>
      <w:r>
        <w:rPr>
          <w:color w:val="231F1F"/>
          <w:w w:val="115"/>
        </w:rPr>
        <w:t>colchicine (avoid concomitant use in hepatic or renal</w:t>
      </w:r>
      <w:r>
        <w:rPr>
          <w:color w:val="231F1F"/>
          <w:spacing w:val="-25"/>
          <w:w w:val="115"/>
        </w:rPr>
        <w:t> </w:t>
      </w:r>
      <w:r>
        <w:rPr>
          <w:color w:val="231F1F"/>
          <w:w w:val="115"/>
        </w:rPr>
        <w:t>impairment)</w:t>
      </w:r>
    </w:p>
    <w:p>
      <w:pPr>
        <w:spacing w:line="244" w:lineRule="auto" w:before="3"/>
        <w:ind w:left="208" w:right="672" w:hanging="100"/>
        <w:jc w:val="left"/>
        <w:rPr>
          <w:rFonts w:ascii="Calibri"/>
          <w:sz w:val="11"/>
        </w:rPr>
      </w:pPr>
      <w:r>
        <w:rPr>
          <w:rFonts w:ascii="Arial"/>
          <w:color w:val="231F1F"/>
          <w:w w:val="355"/>
          <w:position w:val="1"/>
          <w:sz w:val="7"/>
        </w:rPr>
        <w:t>l </w:t>
      </w:r>
      <w:r>
        <w:rPr>
          <w:rFonts w:ascii="Calibri"/>
          <w:color w:val="231F1F"/>
          <w:w w:val="110"/>
          <w:sz w:val="12"/>
        </w:rPr>
        <w:t>Corticosteroids: </w:t>
      </w:r>
      <w:r>
        <w:rPr>
          <w:color w:val="231F1F"/>
          <w:w w:val="110"/>
          <w:sz w:val="12"/>
        </w:rPr>
        <w:t>ketoconazole possibly inhibits metabolism of </w:t>
      </w:r>
      <w:r>
        <w:rPr>
          <w:rFonts w:ascii="Calibri"/>
          <w:color w:val="008356"/>
          <w:spacing w:val="4"/>
          <w:w w:val="110"/>
          <w:sz w:val="11"/>
        </w:rPr>
        <w:t>CORTICOSTEROIDS</w:t>
      </w:r>
      <w:r>
        <w:rPr>
          <w:color w:val="231F1F"/>
          <w:spacing w:val="4"/>
          <w:w w:val="110"/>
          <w:sz w:val="12"/>
        </w:rPr>
        <w:t>; </w:t>
      </w:r>
      <w:r>
        <w:rPr>
          <w:color w:val="231F1F"/>
          <w:w w:val="110"/>
          <w:sz w:val="12"/>
        </w:rPr>
        <w:t>ketoconazole increases the plasma concentration of </w:t>
      </w:r>
      <w:r>
        <w:rPr>
          <w:i/>
          <w:color w:val="231F1F"/>
          <w:w w:val="110"/>
          <w:sz w:val="12"/>
        </w:rPr>
        <w:t>inhaled </w:t>
      </w:r>
      <w:r>
        <w:rPr>
          <w:color w:val="231F1F"/>
          <w:w w:val="110"/>
          <w:sz w:val="12"/>
        </w:rPr>
        <w:t>and </w:t>
      </w:r>
      <w:r>
        <w:rPr>
          <w:i/>
          <w:color w:val="231F1F"/>
          <w:w w:val="110"/>
          <w:sz w:val="12"/>
        </w:rPr>
        <w:t>oral  </w:t>
      </w:r>
      <w:r>
        <w:rPr>
          <w:color w:val="231F1F"/>
          <w:w w:val="110"/>
          <w:sz w:val="12"/>
        </w:rPr>
        <w:t>(and possibly also </w:t>
      </w:r>
      <w:r>
        <w:rPr>
          <w:i/>
          <w:color w:val="231F1F"/>
          <w:w w:val="110"/>
          <w:sz w:val="12"/>
        </w:rPr>
        <w:t>intranasal </w:t>
      </w:r>
      <w:r>
        <w:rPr>
          <w:color w:val="231F1F"/>
          <w:w w:val="110"/>
          <w:sz w:val="12"/>
        </w:rPr>
        <w:t>and </w:t>
      </w:r>
      <w:r>
        <w:rPr>
          <w:i/>
          <w:color w:val="231F1F"/>
          <w:w w:val="110"/>
          <w:sz w:val="12"/>
        </w:rPr>
        <w:t>rectal</w:t>
      </w:r>
      <w:r>
        <w:rPr>
          <w:color w:val="231F1F"/>
          <w:w w:val="110"/>
          <w:sz w:val="12"/>
        </w:rPr>
        <w:t>) </w:t>
      </w:r>
      <w:r>
        <w:rPr>
          <w:rFonts w:ascii="Arial"/>
          <w:color w:val="231F1F"/>
          <w:w w:val="355"/>
          <w:position w:val="1"/>
          <w:sz w:val="7"/>
        </w:rPr>
        <w:t>l </w:t>
      </w:r>
      <w:r>
        <w:rPr>
          <w:rFonts w:ascii="Calibri"/>
          <w:color w:val="008356"/>
          <w:spacing w:val="4"/>
          <w:w w:val="110"/>
          <w:sz w:val="11"/>
        </w:rPr>
        <w:t>BUDESONIDE</w:t>
      </w:r>
      <w:r>
        <w:rPr>
          <w:color w:val="231F1F"/>
          <w:spacing w:val="4"/>
          <w:w w:val="110"/>
          <w:sz w:val="12"/>
        </w:rPr>
        <w:t>; </w:t>
      </w:r>
      <w:r>
        <w:rPr>
          <w:color w:val="231F1F"/>
          <w:w w:val="110"/>
          <w:sz w:val="12"/>
        </w:rPr>
        <w:t>ketoconazole increases plasma concentration of active metabolite of </w:t>
      </w:r>
      <w:r>
        <w:rPr>
          <w:rFonts w:ascii="Arial"/>
          <w:color w:val="231F1F"/>
          <w:w w:val="355"/>
          <w:position w:val="1"/>
          <w:sz w:val="7"/>
        </w:rPr>
        <w:t>l </w:t>
      </w:r>
      <w:r>
        <w:rPr>
          <w:rFonts w:ascii="Calibri"/>
          <w:color w:val="008356"/>
          <w:spacing w:val="4"/>
          <w:w w:val="110"/>
          <w:sz w:val="11"/>
        </w:rPr>
        <w:t>CICLESONIDE</w:t>
      </w:r>
      <w:r>
        <w:rPr>
          <w:color w:val="231F1F"/>
          <w:spacing w:val="4"/>
          <w:w w:val="110"/>
          <w:sz w:val="12"/>
        </w:rPr>
        <w:t>; </w:t>
      </w:r>
      <w:r>
        <w:rPr>
          <w:color w:val="231F1F"/>
          <w:w w:val="110"/>
          <w:sz w:val="12"/>
        </w:rPr>
        <w:t>ketoconazole possibly increases plasma concentration of </w:t>
      </w:r>
      <w:r>
        <w:rPr>
          <w:i/>
          <w:color w:val="231F1F"/>
          <w:w w:val="110"/>
          <w:sz w:val="12"/>
        </w:rPr>
        <w:t>inhaled </w:t>
      </w:r>
      <w:r>
        <w:rPr>
          <w:rFonts w:ascii="Calibri"/>
          <w:color w:val="008356"/>
          <w:spacing w:val="4"/>
          <w:w w:val="110"/>
          <w:sz w:val="11"/>
        </w:rPr>
        <w:t>FLUTICASONE</w:t>
      </w:r>
      <w:r>
        <w:rPr>
          <w:color w:val="231F1F"/>
          <w:spacing w:val="4"/>
          <w:w w:val="110"/>
          <w:sz w:val="12"/>
        </w:rPr>
        <w:t>; </w:t>
      </w:r>
      <w:r>
        <w:rPr>
          <w:color w:val="231F1F"/>
          <w:w w:val="110"/>
          <w:sz w:val="12"/>
        </w:rPr>
        <w:t>ketoconazole inhibits the metabolism </w:t>
      </w:r>
      <w:r>
        <w:rPr>
          <w:color w:val="231F1F"/>
          <w:spacing w:val="-6"/>
          <w:w w:val="110"/>
          <w:sz w:val="12"/>
        </w:rPr>
        <w:t>of </w:t>
      </w:r>
      <w:r>
        <w:rPr>
          <w:rFonts w:ascii="Calibri"/>
          <w:color w:val="008356"/>
          <w:spacing w:val="4"/>
          <w:w w:val="110"/>
          <w:sz w:val="11"/>
        </w:rPr>
        <w:t>METHYLPREDNISOLONE</w:t>
      </w:r>
      <w:r>
        <w:rPr>
          <w:color w:val="231F1F"/>
          <w:spacing w:val="4"/>
          <w:w w:val="110"/>
          <w:sz w:val="12"/>
        </w:rPr>
        <w:t>; </w:t>
      </w:r>
      <w:r>
        <w:rPr>
          <w:color w:val="231F1F"/>
          <w:w w:val="110"/>
          <w:sz w:val="12"/>
        </w:rPr>
        <w:t>ketoconazole increases plasma concentration of </w:t>
      </w:r>
      <w:r>
        <w:rPr>
          <w:i/>
          <w:color w:val="231F1F"/>
          <w:w w:val="110"/>
          <w:sz w:val="12"/>
        </w:rPr>
        <w:t>inhaled</w:t>
      </w:r>
      <w:r>
        <w:rPr>
          <w:i/>
          <w:color w:val="231F1F"/>
          <w:spacing w:val="-12"/>
          <w:w w:val="110"/>
          <w:sz w:val="12"/>
        </w:rPr>
        <w:t> </w:t>
      </w:r>
      <w:r>
        <w:rPr>
          <w:rFonts w:ascii="Calibri"/>
          <w:color w:val="008356"/>
          <w:spacing w:val="4"/>
          <w:w w:val="110"/>
          <w:sz w:val="11"/>
        </w:rPr>
        <w:t>MOMETASONE</w:t>
      </w:r>
    </w:p>
    <w:p>
      <w:pPr>
        <w:pStyle w:val="BodyText"/>
        <w:spacing w:line="139" w:lineRule="exact"/>
        <w:ind w:left="108"/>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Cytotoxics: </w:t>
      </w:r>
      <w:r>
        <w:rPr>
          <w:color w:val="231F1F"/>
          <w:w w:val="115"/>
        </w:rPr>
        <w:t>ketoconazole inhibits the metabolism of</w:t>
      </w:r>
    </w:p>
    <w:p>
      <w:pPr>
        <w:pStyle w:val="BodyText"/>
        <w:spacing w:line="244" w:lineRule="auto"/>
        <w:ind w:right="633"/>
      </w:pPr>
      <w:r>
        <w:rPr>
          <w:rFonts w:ascii="Calibri" w:hAnsi="Calibri"/>
          <w:color w:val="008356"/>
          <w:w w:val="115"/>
          <w:sz w:val="11"/>
        </w:rPr>
        <w:t>IFOSFAMIDE</w:t>
      </w:r>
      <w:r>
        <w:rPr>
          <w:color w:val="231F1F"/>
          <w:w w:val="115"/>
        </w:rPr>
        <w:t>; possible increased risk of neutropenia when ketoconazole given with </w:t>
      </w:r>
      <w:r>
        <w:rPr>
          <w:rFonts w:ascii="Arial" w:hAnsi="Arial"/>
          <w:color w:val="231F1F"/>
          <w:w w:val="355"/>
          <w:position w:val="1"/>
          <w:sz w:val="7"/>
        </w:rPr>
        <w:t>l </w:t>
      </w:r>
      <w:r>
        <w:rPr>
          <w:rFonts w:ascii="Calibri" w:hAnsi="Calibri"/>
          <w:color w:val="008356"/>
          <w:w w:val="115"/>
          <w:sz w:val="11"/>
        </w:rPr>
        <w:t>BRENTUXIMAB VEDOTIN</w:t>
      </w:r>
      <w:r>
        <w:rPr>
          <w:color w:val="231F1F"/>
          <w:w w:val="115"/>
        </w:rPr>
        <w:t>; ketoconazole possibly increases the plasma concentration of </w:t>
      </w:r>
      <w:r>
        <w:rPr>
          <w:rFonts w:ascii="Calibri" w:hAnsi="Calibri"/>
          <w:color w:val="008356"/>
          <w:w w:val="115"/>
          <w:sz w:val="11"/>
        </w:rPr>
        <w:t>AFATINIB</w:t>
      </w:r>
      <w:r>
        <w:rPr>
          <w:rFonts w:ascii="Arial" w:hAnsi="Arial"/>
          <w:color w:val="231F1F"/>
          <w:w w:val="115"/>
        </w:rPr>
        <w:t>—</w:t>
      </w:r>
      <w:r>
        <w:rPr>
          <w:color w:val="231F1F"/>
          <w:w w:val="115"/>
        </w:rPr>
        <w:t>manufacturer of afatinib advises separating administration of ketoconazole by 6 to 12 hours; ketoconazole increases plasma concentration of </w:t>
      </w:r>
      <w:r>
        <w:rPr>
          <w:rFonts w:ascii="Calibri" w:hAnsi="Calibri"/>
          <w:color w:val="008356"/>
          <w:w w:val="115"/>
          <w:sz w:val="11"/>
        </w:rPr>
        <w:t>AXITINIB </w:t>
      </w:r>
      <w:r>
        <w:rPr>
          <w:color w:val="231F1F"/>
          <w:w w:val="115"/>
        </w:rPr>
        <w:t>(reduce dose of axitinib</w:t>
      </w:r>
      <w:r>
        <w:rPr>
          <w:rFonts w:ascii="Arial" w:hAnsi="Arial"/>
          <w:color w:val="231F1F"/>
          <w:w w:val="115"/>
        </w:rPr>
        <w:t>—</w:t>
      </w:r>
      <w:r>
        <w:rPr>
          <w:color w:val="231F1F"/>
          <w:w w:val="115"/>
        </w:rPr>
        <w:t>consult axitinib product literature); ketoconazole increases the plasma concentration of</w:t>
      </w:r>
    </w:p>
    <w:p>
      <w:pPr>
        <w:spacing w:line="244" w:lineRule="auto" w:before="5"/>
        <w:ind w:left="208" w:right="670" w:firstLine="0"/>
        <w:jc w:val="left"/>
        <w:rPr>
          <w:sz w:val="12"/>
        </w:rPr>
      </w:pPr>
      <w:r>
        <w:rPr>
          <w:rFonts w:ascii="Arial" w:hAnsi="Arial"/>
          <w:color w:val="231F1F"/>
          <w:w w:val="355"/>
          <w:position w:val="1"/>
          <w:sz w:val="7"/>
        </w:rPr>
        <w:t>l </w:t>
      </w:r>
      <w:r>
        <w:rPr>
          <w:rFonts w:ascii="Calibri" w:hAnsi="Calibri"/>
          <w:color w:val="008356"/>
          <w:w w:val="115"/>
          <w:sz w:val="11"/>
        </w:rPr>
        <w:t>BOSUTINIB</w:t>
      </w:r>
      <w:r>
        <w:rPr>
          <w:rFonts w:ascii="Arial" w:hAnsi="Arial"/>
          <w:color w:val="231F1F"/>
          <w:w w:val="115"/>
          <w:sz w:val="12"/>
        </w:rPr>
        <w:t>—</w:t>
      </w:r>
      <w:r>
        <w:rPr>
          <w:color w:val="231F1F"/>
          <w:w w:val="115"/>
          <w:sz w:val="12"/>
        </w:rPr>
        <w:t>manufacturer of bosutinib advises avoid or consider reducing dose of bosutinib; ketoconazole increases plasma concentration of </w:t>
      </w:r>
      <w:r>
        <w:rPr>
          <w:rFonts w:ascii="Calibri" w:hAnsi="Calibri"/>
          <w:color w:val="008356"/>
          <w:w w:val="115"/>
          <w:sz w:val="11"/>
        </w:rPr>
        <w:t>BORTEZOMIB</w:t>
      </w:r>
      <w:r>
        <w:rPr>
          <w:color w:val="231F1F"/>
          <w:w w:val="115"/>
          <w:sz w:val="12"/>
        </w:rPr>
        <w:t>, </w:t>
      </w:r>
      <w:r>
        <w:rPr>
          <w:rFonts w:ascii="Calibri" w:hAnsi="Calibri"/>
          <w:color w:val="008356"/>
          <w:w w:val="115"/>
          <w:sz w:val="11"/>
        </w:rPr>
        <w:t>CABOZANTINIB</w:t>
      </w:r>
      <w:r>
        <w:rPr>
          <w:color w:val="231F1F"/>
          <w:w w:val="115"/>
          <w:sz w:val="12"/>
        </w:rPr>
        <w:t>, </w:t>
      </w:r>
      <w:r>
        <w:rPr>
          <w:rFonts w:ascii="Calibri" w:hAnsi="Calibri"/>
          <w:color w:val="008356"/>
          <w:w w:val="105"/>
          <w:sz w:val="11"/>
        </w:rPr>
        <w:t>DABRAFENIB</w:t>
      </w:r>
      <w:r>
        <w:rPr>
          <w:color w:val="231F1F"/>
          <w:w w:val="105"/>
          <w:sz w:val="12"/>
        </w:rPr>
        <w:t>, </w:t>
      </w:r>
      <w:r>
        <w:rPr>
          <w:rFonts w:ascii="Calibri" w:hAnsi="Calibri"/>
          <w:color w:val="008356"/>
          <w:w w:val="105"/>
          <w:sz w:val="11"/>
        </w:rPr>
        <w:t>ETOPOSIDE</w:t>
      </w:r>
      <w:r>
        <w:rPr>
          <w:color w:val="231F1F"/>
          <w:w w:val="105"/>
          <w:sz w:val="12"/>
        </w:rPr>
        <w:t>, </w:t>
      </w:r>
      <w:r>
        <w:rPr>
          <w:rFonts w:ascii="Calibri" w:hAnsi="Calibri"/>
          <w:color w:val="008356"/>
          <w:w w:val="105"/>
          <w:sz w:val="11"/>
        </w:rPr>
        <w:t>IDELALISIB</w:t>
      </w:r>
      <w:r>
        <w:rPr>
          <w:color w:val="231F1F"/>
          <w:w w:val="105"/>
          <w:sz w:val="12"/>
        </w:rPr>
        <w:t>, </w:t>
      </w:r>
      <w:r>
        <w:rPr>
          <w:rFonts w:ascii="Calibri" w:hAnsi="Calibri"/>
          <w:color w:val="008356"/>
          <w:w w:val="105"/>
          <w:sz w:val="11"/>
        </w:rPr>
        <w:t>IMATINIB </w:t>
      </w:r>
      <w:r>
        <w:rPr>
          <w:color w:val="231F1F"/>
          <w:w w:val="105"/>
          <w:sz w:val="12"/>
        </w:rPr>
        <w:t>and </w:t>
      </w:r>
      <w:r>
        <w:rPr>
          <w:rFonts w:ascii="Calibri" w:hAnsi="Calibri"/>
          <w:color w:val="008356"/>
          <w:w w:val="105"/>
          <w:sz w:val="11"/>
        </w:rPr>
        <w:t>PONATINIB</w:t>
      </w:r>
      <w:r>
        <w:rPr>
          <w:color w:val="231F1F"/>
          <w:w w:val="105"/>
          <w:sz w:val="12"/>
        </w:rPr>
        <w:t>;</w:t>
      </w:r>
    </w:p>
    <w:p>
      <w:pPr>
        <w:pStyle w:val="BodyText"/>
      </w:pPr>
      <w:r>
        <w:rPr>
          <w:color w:val="231F1F"/>
          <w:w w:val="115"/>
        </w:rPr>
        <w:t>ketoconazole increases plasma concentration of </w:t>
      </w:r>
      <w:r>
        <w:rPr>
          <w:rFonts w:ascii="Arial"/>
          <w:color w:val="231F1F"/>
          <w:w w:val="355"/>
          <w:position w:val="1"/>
          <w:sz w:val="7"/>
        </w:rPr>
        <w:t>l </w:t>
      </w:r>
      <w:r>
        <w:rPr>
          <w:rFonts w:ascii="Calibri"/>
          <w:color w:val="008356"/>
          <w:w w:val="115"/>
          <w:sz w:val="11"/>
        </w:rPr>
        <w:t>CRIZOTINIB</w:t>
      </w:r>
      <w:r>
        <w:rPr>
          <w:color w:val="231F1F"/>
          <w:w w:val="115"/>
        </w:rPr>
        <w:t>,</w:t>
      </w:r>
    </w:p>
    <w:p>
      <w:pPr>
        <w:spacing w:before="2"/>
        <w:ind w:left="208" w:right="0" w:firstLine="0"/>
        <w:jc w:val="left"/>
        <w:rPr>
          <w:sz w:val="12"/>
        </w:rPr>
      </w:pPr>
      <w:r>
        <w:rPr>
          <w:rFonts w:ascii="Arial" w:hAnsi="Arial"/>
          <w:color w:val="231F1F"/>
          <w:w w:val="355"/>
          <w:position w:val="1"/>
          <w:sz w:val="7"/>
        </w:rPr>
        <w:t>l </w:t>
      </w:r>
      <w:r>
        <w:rPr>
          <w:rFonts w:ascii="Calibri" w:hAnsi="Calibri"/>
          <w:color w:val="008356"/>
          <w:spacing w:val="3"/>
          <w:w w:val="120"/>
          <w:sz w:val="11"/>
        </w:rPr>
        <w:t>LAPATINIB</w:t>
      </w:r>
      <w:r>
        <w:rPr>
          <w:color w:val="231F1F"/>
          <w:spacing w:val="3"/>
          <w:w w:val="120"/>
          <w:sz w:val="12"/>
        </w:rPr>
        <w:t>, </w:t>
      </w:r>
      <w:r>
        <w:rPr>
          <w:rFonts w:ascii="Arial" w:hAnsi="Arial"/>
          <w:color w:val="231F1F"/>
          <w:w w:val="355"/>
          <w:position w:val="1"/>
          <w:sz w:val="7"/>
        </w:rPr>
        <w:t>l </w:t>
      </w:r>
      <w:r>
        <w:rPr>
          <w:rFonts w:ascii="Calibri" w:hAnsi="Calibri"/>
          <w:color w:val="008356"/>
          <w:spacing w:val="3"/>
          <w:w w:val="120"/>
          <w:sz w:val="11"/>
        </w:rPr>
        <w:t>NILOTINIB </w:t>
      </w:r>
      <w:r>
        <w:rPr>
          <w:color w:val="231F1F"/>
          <w:w w:val="120"/>
          <w:sz w:val="12"/>
        </w:rPr>
        <w:t>and </w:t>
      </w:r>
      <w:r>
        <w:rPr>
          <w:rFonts w:ascii="Arial" w:hAnsi="Arial"/>
          <w:color w:val="231F1F"/>
          <w:w w:val="355"/>
          <w:position w:val="1"/>
          <w:sz w:val="7"/>
        </w:rPr>
        <w:t>l </w:t>
      </w:r>
      <w:r>
        <w:rPr>
          <w:rFonts w:ascii="Calibri" w:hAnsi="Calibri"/>
          <w:color w:val="008356"/>
          <w:spacing w:val="3"/>
          <w:w w:val="120"/>
          <w:sz w:val="11"/>
        </w:rPr>
        <w:t>REGORAFENIB</w:t>
      </w:r>
      <w:r>
        <w:rPr>
          <w:rFonts w:ascii="Arial" w:hAnsi="Arial"/>
          <w:color w:val="231F1F"/>
          <w:spacing w:val="3"/>
          <w:w w:val="120"/>
          <w:sz w:val="12"/>
        </w:rPr>
        <w:t>—</w:t>
      </w:r>
      <w:r>
        <w:rPr>
          <w:color w:val="231F1F"/>
          <w:spacing w:val="3"/>
          <w:w w:val="120"/>
          <w:sz w:val="12"/>
        </w:rPr>
        <w:t>avoid</w:t>
      </w:r>
    </w:p>
    <w:p>
      <w:pPr>
        <w:pStyle w:val="BodyText"/>
        <w:spacing w:line="244" w:lineRule="auto" w:before="1"/>
        <w:ind w:right="702"/>
      </w:pPr>
      <w:r>
        <w:rPr>
          <w:color w:val="231F1F"/>
          <w:w w:val="110"/>
        </w:rPr>
        <w:t>concomitant use; ketoconazole possibly increases plasma concentration of </w:t>
      </w:r>
      <w:r>
        <w:rPr>
          <w:rFonts w:ascii="Calibri" w:hAnsi="Calibri"/>
          <w:color w:val="008356"/>
          <w:spacing w:val="4"/>
          <w:w w:val="110"/>
          <w:sz w:val="11"/>
        </w:rPr>
        <w:t>DASATINIB</w:t>
      </w:r>
      <w:r>
        <w:rPr>
          <w:color w:val="231F1F"/>
          <w:spacing w:val="4"/>
          <w:w w:val="110"/>
        </w:rPr>
        <w:t>;  </w:t>
      </w:r>
      <w:r>
        <w:rPr>
          <w:color w:val="231F1F"/>
          <w:w w:val="110"/>
        </w:rPr>
        <w:t>ketoconazole  inhibits metabolism of </w:t>
      </w:r>
      <w:r>
        <w:rPr>
          <w:rFonts w:ascii="Calibri" w:hAnsi="Calibri"/>
          <w:color w:val="008356"/>
          <w:spacing w:val="4"/>
          <w:w w:val="110"/>
          <w:sz w:val="11"/>
        </w:rPr>
        <w:t>ERLOTINIB </w:t>
      </w:r>
      <w:r>
        <w:rPr>
          <w:color w:val="231F1F"/>
          <w:w w:val="110"/>
        </w:rPr>
        <w:t>and </w:t>
      </w:r>
      <w:r>
        <w:rPr>
          <w:rFonts w:ascii="Calibri" w:hAnsi="Calibri"/>
          <w:color w:val="008356"/>
          <w:spacing w:val="4"/>
          <w:w w:val="110"/>
          <w:sz w:val="11"/>
        </w:rPr>
        <w:t>SUNITINIB </w:t>
      </w:r>
      <w:r>
        <w:rPr>
          <w:color w:val="231F1F"/>
          <w:w w:val="110"/>
        </w:rPr>
        <w:t>(increased plasma concentration); ketoconazole increases  plasma  </w:t>
      </w:r>
      <w:r>
        <w:rPr>
          <w:color w:val="231F1F"/>
          <w:spacing w:val="-2"/>
          <w:w w:val="110"/>
        </w:rPr>
        <w:t>concentration </w:t>
      </w:r>
      <w:r>
        <w:rPr>
          <w:color w:val="231F1F"/>
          <w:w w:val="110"/>
        </w:rPr>
        <w:t>of </w:t>
      </w:r>
      <w:r>
        <w:rPr>
          <w:rFonts w:ascii="Arial" w:hAnsi="Arial"/>
          <w:color w:val="231F1F"/>
          <w:w w:val="355"/>
          <w:position w:val="1"/>
          <w:sz w:val="7"/>
        </w:rPr>
        <w:t>l </w:t>
      </w:r>
      <w:r>
        <w:rPr>
          <w:rFonts w:ascii="Calibri" w:hAnsi="Calibri"/>
          <w:color w:val="008356"/>
          <w:spacing w:val="2"/>
          <w:w w:val="110"/>
          <w:sz w:val="11"/>
        </w:rPr>
        <w:t>EVEROLIMUS</w:t>
      </w:r>
      <w:r>
        <w:rPr>
          <w:rFonts w:ascii="Arial" w:hAnsi="Arial"/>
          <w:color w:val="231F1F"/>
          <w:spacing w:val="2"/>
          <w:w w:val="110"/>
        </w:rPr>
        <w:t>—</w:t>
      </w:r>
      <w:r>
        <w:rPr>
          <w:color w:val="231F1F"/>
          <w:spacing w:val="2"/>
          <w:w w:val="110"/>
        </w:rPr>
        <w:t>manufacturer </w:t>
      </w:r>
      <w:r>
        <w:rPr>
          <w:color w:val="231F1F"/>
          <w:w w:val="110"/>
        </w:rPr>
        <w:t>of ketoconazole advises avoid concomitant use; ketoconazole increases plasma concentration of </w:t>
      </w:r>
      <w:r>
        <w:rPr>
          <w:rFonts w:ascii="Arial" w:hAnsi="Arial"/>
          <w:color w:val="231F1F"/>
          <w:w w:val="355"/>
          <w:position w:val="1"/>
          <w:sz w:val="7"/>
        </w:rPr>
        <w:t>l </w:t>
      </w:r>
      <w:r>
        <w:rPr>
          <w:rFonts w:ascii="Calibri" w:hAnsi="Calibri"/>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 ketoconazole increases plasma concentration of </w:t>
      </w:r>
      <w:r>
        <w:rPr>
          <w:rFonts w:ascii="Arial" w:hAnsi="Arial"/>
          <w:color w:val="231F1F"/>
          <w:w w:val="355"/>
          <w:position w:val="1"/>
          <w:sz w:val="7"/>
        </w:rPr>
        <w:t>l </w:t>
      </w:r>
      <w:r>
        <w:rPr>
          <w:rFonts w:ascii="Calibri" w:hAnsi="Calibri"/>
          <w:color w:val="008356"/>
          <w:spacing w:val="3"/>
          <w:w w:val="110"/>
          <w:sz w:val="11"/>
        </w:rPr>
        <w:t>PAZOPANIB </w:t>
      </w:r>
      <w:r>
        <w:rPr>
          <w:color w:val="231F1F"/>
          <w:w w:val="110"/>
        </w:rPr>
        <w:t>(reduce dose of pazopanib); manufacturer of ruxolitinib advises dose reduction when ketoconazole given with </w:t>
      </w:r>
      <w:r>
        <w:rPr>
          <w:rFonts w:ascii="Arial" w:hAnsi="Arial"/>
          <w:color w:val="231F1F"/>
          <w:w w:val="355"/>
          <w:position w:val="1"/>
          <w:sz w:val="7"/>
        </w:rPr>
        <w:t>l </w:t>
      </w:r>
      <w:r>
        <w:rPr>
          <w:rFonts w:ascii="Calibri" w:hAnsi="Calibri"/>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 ketoconazole increases plasma concentration</w:t>
      </w:r>
      <w:r>
        <w:rPr>
          <w:color w:val="231F1F"/>
          <w:spacing w:val="-7"/>
          <w:w w:val="110"/>
        </w:rPr>
        <w:t> </w:t>
      </w:r>
      <w:r>
        <w:rPr>
          <w:color w:val="231F1F"/>
          <w:w w:val="110"/>
        </w:rPr>
        <w:t>of</w:t>
      </w:r>
      <w:r>
        <w:rPr>
          <w:color w:val="231F1F"/>
          <w:spacing w:val="-3"/>
          <w:w w:val="110"/>
        </w:rPr>
        <w:t> </w:t>
      </w:r>
      <w:r>
        <w:rPr>
          <w:color w:val="231F1F"/>
          <w:w w:val="110"/>
        </w:rPr>
        <w:t>active</w:t>
      </w:r>
      <w:r>
        <w:rPr>
          <w:color w:val="231F1F"/>
          <w:spacing w:val="-6"/>
          <w:w w:val="110"/>
        </w:rPr>
        <w:t> </w:t>
      </w:r>
      <w:r>
        <w:rPr>
          <w:color w:val="231F1F"/>
          <w:w w:val="110"/>
        </w:rPr>
        <w:t>metabolite</w:t>
      </w:r>
      <w:r>
        <w:rPr>
          <w:color w:val="231F1F"/>
          <w:spacing w:val="-4"/>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3"/>
          <w:w w:val="110"/>
          <w:sz w:val="11"/>
        </w:rPr>
        <w:t>TEMSIROLIMUS</w:t>
      </w:r>
      <w:r>
        <w:rPr>
          <w:rFonts w:ascii="Arial" w:hAnsi="Arial"/>
          <w:color w:val="231F1F"/>
          <w:spacing w:val="3"/>
          <w:w w:val="110"/>
        </w:rPr>
        <w:t>—</w:t>
      </w:r>
      <w:r>
        <w:rPr>
          <w:color w:val="231F1F"/>
          <w:spacing w:val="3"/>
          <w:w w:val="110"/>
        </w:rPr>
        <w:t>avoid </w:t>
      </w:r>
      <w:r>
        <w:rPr>
          <w:color w:val="231F1F"/>
          <w:w w:val="110"/>
        </w:rPr>
        <w:t>concomitant use; avoidance of ketoconazole advised by manufacturer of </w:t>
      </w:r>
      <w:r>
        <w:rPr>
          <w:rFonts w:ascii="Arial" w:hAnsi="Arial"/>
          <w:color w:val="231F1F"/>
          <w:w w:val="355"/>
          <w:position w:val="1"/>
          <w:sz w:val="7"/>
        </w:rPr>
        <w:t>l </w:t>
      </w:r>
      <w:r>
        <w:rPr>
          <w:rFonts w:ascii="Calibri" w:hAnsi="Calibri"/>
          <w:color w:val="008356"/>
          <w:spacing w:val="4"/>
          <w:w w:val="110"/>
          <w:sz w:val="11"/>
        </w:rPr>
        <w:t>CABAZITAXEL</w:t>
      </w:r>
      <w:r>
        <w:rPr>
          <w:color w:val="231F1F"/>
          <w:spacing w:val="4"/>
          <w:w w:val="110"/>
        </w:rPr>
        <w:t>; </w:t>
      </w:r>
      <w:r>
        <w:rPr>
          <w:i/>
          <w:color w:val="231F1F"/>
          <w:w w:val="110"/>
        </w:rPr>
        <w:t>in vitro </w:t>
      </w:r>
      <w:r>
        <w:rPr>
          <w:color w:val="231F1F"/>
          <w:w w:val="110"/>
        </w:rPr>
        <w:t>studies suggest a possible interaction between ketoconazole and </w:t>
      </w:r>
      <w:r>
        <w:rPr>
          <w:rFonts w:ascii="Calibri" w:hAnsi="Calibri"/>
          <w:color w:val="008356"/>
          <w:spacing w:val="4"/>
          <w:w w:val="110"/>
          <w:sz w:val="11"/>
        </w:rPr>
        <w:t>DOCETAXEL </w:t>
      </w:r>
      <w:r>
        <w:rPr>
          <w:color w:val="231F1F"/>
          <w:w w:val="110"/>
        </w:rPr>
        <w:t>(consult docetaxel product literature); ketoconazole reduces plasma concentration of </w:t>
      </w:r>
      <w:r>
        <w:rPr>
          <w:rFonts w:ascii="Arial" w:hAnsi="Arial"/>
          <w:color w:val="231F1F"/>
          <w:w w:val="355"/>
          <w:position w:val="1"/>
          <w:sz w:val="7"/>
        </w:rPr>
        <w:t>l </w:t>
      </w:r>
      <w:r>
        <w:rPr>
          <w:rFonts w:ascii="Calibri" w:hAnsi="Calibri"/>
          <w:color w:val="008356"/>
          <w:spacing w:val="4"/>
          <w:w w:val="110"/>
          <w:sz w:val="11"/>
        </w:rPr>
        <w:t>IRINOTECAN </w:t>
      </w:r>
      <w:r>
        <w:rPr>
          <w:color w:val="231F1F"/>
          <w:w w:val="110"/>
        </w:rPr>
        <w:t>(but concentration of active metabolite of  irinotecan  increased)</w:t>
      </w:r>
      <w:r>
        <w:rPr>
          <w:rFonts w:ascii="Arial" w:hAnsi="Arial"/>
          <w:color w:val="231F1F"/>
          <w:w w:val="110"/>
        </w:rPr>
        <w:t>—</w:t>
      </w:r>
      <w:r>
        <w:rPr>
          <w:color w:val="231F1F"/>
          <w:w w:val="110"/>
        </w:rPr>
        <w:t>avoid concomitant use; ketoconazole  increases  plasma concentration of </w:t>
      </w:r>
      <w:r>
        <w:rPr>
          <w:rFonts w:ascii="Arial" w:hAnsi="Arial"/>
          <w:color w:val="231F1F"/>
          <w:w w:val="355"/>
          <w:position w:val="1"/>
          <w:sz w:val="7"/>
        </w:rPr>
        <w:t>l </w:t>
      </w:r>
      <w:r>
        <w:rPr>
          <w:rFonts w:ascii="Calibri" w:hAnsi="Calibri"/>
          <w:color w:val="008356"/>
          <w:spacing w:val="2"/>
          <w:w w:val="110"/>
          <w:sz w:val="11"/>
        </w:rPr>
        <w:t>VINFLUNINE</w:t>
      </w:r>
      <w:r>
        <w:rPr>
          <w:rFonts w:ascii="Arial" w:hAnsi="Arial"/>
          <w:color w:val="231F1F"/>
          <w:spacing w:val="2"/>
          <w:w w:val="110"/>
        </w:rPr>
        <w:t>—</w:t>
      </w:r>
      <w:r>
        <w:rPr>
          <w:color w:val="231F1F"/>
          <w:spacing w:val="2"/>
          <w:w w:val="110"/>
        </w:rPr>
        <w:t>manufacturer </w:t>
      </w:r>
      <w:r>
        <w:rPr>
          <w:color w:val="231F1F"/>
          <w:w w:val="110"/>
        </w:rPr>
        <w:t>of vinflunine advises avoid concomitant</w:t>
      </w:r>
      <w:r>
        <w:rPr>
          <w:color w:val="231F1F"/>
          <w:spacing w:val="-6"/>
          <w:w w:val="110"/>
        </w:rPr>
        <w:t> </w:t>
      </w:r>
      <w:r>
        <w:rPr>
          <w:color w:val="231F1F"/>
          <w:w w:val="110"/>
        </w:rPr>
        <w:t>use</w:t>
      </w:r>
    </w:p>
    <w:p>
      <w:pPr>
        <w:spacing w:after="0" w:line="244" w:lineRule="auto"/>
        <w:sectPr>
          <w:pgSz w:w="8390" w:h="11910"/>
          <w:pgMar w:header="0" w:footer="0" w:top="460" w:bottom="0" w:left="480" w:right="0"/>
          <w:cols w:num="2" w:equalWidth="0">
            <w:col w:w="3603" w:space="73"/>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1840" filled="true" fillcolor="#bfdbcf" stroked="false">
            <v:fill type="solid"/>
            <w10:wrap type="none"/>
          </v:rect>
        </w:pict>
      </w:r>
      <w:r>
        <w:rPr/>
        <w:pict>
          <v:shape style="position:absolute;margin-left:7.751256pt;margin-top:35.804367pt;width:10.4pt;height:78.850pt;mso-position-horizontal-relative:page;mso-position-vertical-relative:page;z-index:186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Antifungals, Imidazole </w:t>
      </w:r>
      <w:r>
        <w:rPr>
          <w:rFonts w:ascii="Calibri"/>
          <w:color w:val="231F1F"/>
        </w:rPr>
        <w:t>(continued)</w:t>
      </w:r>
    </w:p>
    <w:p>
      <w:pPr>
        <w:pStyle w:val="BodyText"/>
        <w:ind w:left="286" w:right="102" w:hanging="100"/>
      </w:pP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231F1F"/>
          <w:w w:val="115"/>
        </w:rPr>
        <w:t>Dapoxetine:</w:t>
      </w:r>
      <w:r>
        <w:rPr>
          <w:rFonts w:ascii="Calibri" w:hAnsi="Calibri"/>
          <w:color w:val="231F1F"/>
          <w:spacing w:val="-8"/>
          <w:w w:val="115"/>
        </w:rPr>
        <w:t> </w:t>
      </w:r>
      <w:r>
        <w:rPr>
          <w:color w:val="231F1F"/>
          <w:w w:val="115"/>
        </w:rPr>
        <w:t>ketoconazole</w:t>
      </w:r>
      <w:r>
        <w:rPr>
          <w:color w:val="231F1F"/>
          <w:spacing w:val="-11"/>
          <w:w w:val="115"/>
        </w:rPr>
        <w:t> </w:t>
      </w:r>
      <w:r>
        <w:rPr>
          <w:color w:val="231F1F"/>
          <w:w w:val="115"/>
        </w:rPr>
        <w:t>increases</w:t>
      </w:r>
      <w:r>
        <w:rPr>
          <w:color w:val="231F1F"/>
          <w:spacing w:val="-11"/>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spacing w:val="-8"/>
          <w:w w:val="115"/>
        </w:rPr>
        <w:t>of </w:t>
      </w:r>
      <w:r>
        <w:rPr>
          <w:rFonts w:ascii="Arial" w:hAnsi="Arial"/>
          <w:color w:val="231F1F"/>
          <w:w w:val="225"/>
          <w:position w:val="1"/>
          <w:sz w:val="7"/>
        </w:rPr>
        <w:t>l</w:t>
      </w:r>
      <w:r>
        <w:rPr>
          <w:rFonts w:ascii="Arial" w:hAnsi="Arial"/>
          <w:color w:val="231F1F"/>
          <w:spacing w:val="-35"/>
          <w:w w:val="225"/>
          <w:position w:val="1"/>
          <w:sz w:val="7"/>
        </w:rPr>
        <w:t> </w:t>
      </w:r>
      <w:r>
        <w:rPr>
          <w:rFonts w:ascii="Calibri" w:hAnsi="Calibri"/>
          <w:color w:val="008356"/>
          <w:w w:val="120"/>
          <w:sz w:val="11"/>
        </w:rPr>
        <w:t>DAPOXETINE</w:t>
      </w:r>
      <w:r>
        <w:rPr>
          <w:rFonts w:ascii="Arial" w:hAnsi="Arial"/>
          <w:color w:val="231F1F"/>
          <w:w w:val="120"/>
        </w:rPr>
        <w:t>—</w:t>
      </w:r>
      <w:r>
        <w:rPr>
          <w:color w:val="231F1F"/>
          <w:w w:val="120"/>
        </w:rPr>
        <w:t>manufacturer</w:t>
      </w:r>
      <w:r>
        <w:rPr>
          <w:color w:val="231F1F"/>
          <w:spacing w:val="-25"/>
          <w:w w:val="120"/>
        </w:rPr>
        <w:t> </w:t>
      </w:r>
      <w:r>
        <w:rPr>
          <w:color w:val="231F1F"/>
          <w:w w:val="120"/>
        </w:rPr>
        <w:t>of</w:t>
      </w:r>
      <w:r>
        <w:rPr>
          <w:color w:val="231F1F"/>
          <w:spacing w:val="-26"/>
          <w:w w:val="120"/>
        </w:rPr>
        <w:t> </w:t>
      </w:r>
      <w:r>
        <w:rPr>
          <w:color w:val="231F1F"/>
          <w:w w:val="120"/>
        </w:rPr>
        <w:t>dapoxetine</w:t>
      </w:r>
      <w:r>
        <w:rPr>
          <w:color w:val="231F1F"/>
          <w:spacing w:val="-26"/>
          <w:w w:val="120"/>
        </w:rPr>
        <w:t> </w:t>
      </w:r>
      <w:r>
        <w:rPr>
          <w:color w:val="231F1F"/>
          <w:w w:val="120"/>
        </w:rPr>
        <w:t>advises</w:t>
      </w:r>
      <w:r>
        <w:rPr>
          <w:color w:val="231F1F"/>
          <w:spacing w:val="-25"/>
          <w:w w:val="120"/>
        </w:rPr>
        <w:t> </w:t>
      </w:r>
      <w:r>
        <w:rPr>
          <w:color w:val="231F1F"/>
          <w:w w:val="120"/>
        </w:rPr>
        <w:t>avoid concomitant</w:t>
      </w:r>
      <w:r>
        <w:rPr>
          <w:color w:val="231F1F"/>
          <w:spacing w:val="-7"/>
          <w:w w:val="120"/>
        </w:rPr>
        <w:t> </w:t>
      </w:r>
      <w:r>
        <w:rPr>
          <w:color w:val="231F1F"/>
          <w:w w:val="120"/>
        </w:rPr>
        <w:t>use</w:t>
      </w:r>
    </w:p>
    <w:p>
      <w:pPr>
        <w:pStyle w:val="BodyText"/>
        <w:spacing w:line="146" w:lineRule="exact"/>
        <w:ind w:left="186"/>
      </w:pPr>
      <w:r>
        <w:rPr>
          <w:rFonts w:ascii="Arial"/>
          <w:color w:val="231F1F"/>
          <w:w w:val="355"/>
          <w:position w:val="1"/>
          <w:sz w:val="7"/>
        </w:rPr>
        <w:t>l</w:t>
      </w:r>
      <w:r>
        <w:rPr>
          <w:rFonts w:ascii="Arial"/>
          <w:color w:val="231F1F"/>
          <w:spacing w:val="-48"/>
          <w:w w:val="355"/>
          <w:position w:val="1"/>
          <w:sz w:val="7"/>
        </w:rPr>
        <w:t> </w:t>
      </w:r>
      <w:r>
        <w:rPr>
          <w:rFonts w:ascii="Calibri"/>
          <w:color w:val="231F1F"/>
          <w:w w:val="120"/>
        </w:rPr>
        <w:t>Diuretics:</w:t>
      </w:r>
      <w:r>
        <w:rPr>
          <w:rFonts w:ascii="Calibri"/>
          <w:color w:val="231F1F"/>
          <w:spacing w:val="-15"/>
          <w:w w:val="120"/>
        </w:rPr>
        <w:t> </w:t>
      </w:r>
      <w:r>
        <w:rPr>
          <w:color w:val="231F1F"/>
          <w:w w:val="120"/>
        </w:rPr>
        <w:t>ketoconazole</w:t>
      </w:r>
      <w:r>
        <w:rPr>
          <w:color w:val="231F1F"/>
          <w:spacing w:val="-19"/>
          <w:w w:val="120"/>
        </w:rPr>
        <w:t> </w:t>
      </w:r>
      <w:r>
        <w:rPr>
          <w:color w:val="231F1F"/>
          <w:w w:val="120"/>
        </w:rPr>
        <w:t>increases</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w w:val="120"/>
        </w:rPr>
        <w:t>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hanging="100"/>
      </w:pPr>
      <w:r>
        <w:rPr>
          <w:rFonts w:ascii="Arial"/>
          <w:color w:val="231F1F"/>
          <w:w w:val="355"/>
          <w:position w:val="1"/>
          <w:sz w:val="7"/>
        </w:rPr>
        <w:t>l </w:t>
      </w:r>
      <w:r>
        <w:rPr>
          <w:rFonts w:ascii="Calibri"/>
          <w:color w:val="231F1F"/>
          <w:w w:val="105"/>
        </w:rPr>
        <w:t>Domperidone: </w:t>
      </w:r>
      <w:r>
        <w:rPr>
          <w:color w:val="231F1F"/>
          <w:w w:val="105"/>
        </w:rPr>
        <w:t>manufacturer of ketoconazole advises avoid concomitant use with </w:t>
      </w:r>
      <w:r>
        <w:rPr>
          <w:rFonts w:ascii="Arial"/>
          <w:color w:val="231F1F"/>
          <w:w w:val="355"/>
          <w:position w:val="1"/>
          <w:sz w:val="7"/>
        </w:rPr>
        <w:t>l </w:t>
      </w:r>
      <w:r>
        <w:rPr>
          <w:rFonts w:ascii="Calibri"/>
          <w:color w:val="008356"/>
          <w:w w:val="105"/>
          <w:sz w:val="11"/>
        </w:rPr>
        <w:t>DOMPERIDONE </w:t>
      </w:r>
      <w:r>
        <w:rPr>
          <w:color w:val="231F1F"/>
          <w:w w:val="105"/>
        </w:rPr>
        <w:t>(risk of ventricular arrhythmias)</w:t>
      </w:r>
    </w:p>
    <w:p>
      <w:pPr>
        <w:pStyle w:val="BodyText"/>
        <w:spacing w:line="242" w:lineRule="auto" w:before="1"/>
        <w:ind w:left="286" w:hanging="100"/>
      </w:pPr>
      <w:r>
        <w:rPr>
          <w:rFonts w:ascii="Arial" w:hAnsi="Arial"/>
          <w:color w:val="231F1F"/>
          <w:w w:val="355"/>
          <w:position w:val="1"/>
          <w:sz w:val="7"/>
        </w:rPr>
        <w:t>l </w:t>
      </w:r>
      <w:r>
        <w:rPr>
          <w:rFonts w:ascii="Calibri" w:hAnsi="Calibri"/>
          <w:color w:val="231F1F"/>
          <w:w w:val="110"/>
        </w:rPr>
        <w:t>Ergot Alkaloids: </w:t>
      </w:r>
      <w:r>
        <w:rPr>
          <w:color w:val="231F1F"/>
          <w:w w:val="110"/>
        </w:rPr>
        <w:t>manufacturer of ketoconazole advises avoid concomitant use with </w:t>
      </w:r>
      <w:r>
        <w:rPr>
          <w:rFonts w:ascii="Arial" w:hAnsi="Arial"/>
          <w:color w:val="231F1F"/>
          <w:w w:val="355"/>
          <w:position w:val="1"/>
          <w:sz w:val="7"/>
        </w:rPr>
        <w:t>l </w:t>
      </w:r>
      <w:r>
        <w:rPr>
          <w:rFonts w:ascii="Calibri" w:hAnsi="Calibri"/>
          <w:color w:val="008356"/>
          <w:w w:val="110"/>
          <w:sz w:val="11"/>
        </w:rPr>
        <w:t>ERGOT ALKALOIDS</w:t>
      </w:r>
      <w:r>
        <w:rPr>
          <w:color w:val="231F1F"/>
          <w:w w:val="110"/>
        </w:rPr>
        <w:t>; increased risk of ergotism when imidazoles given with </w:t>
      </w:r>
      <w:r>
        <w:rPr>
          <w:rFonts w:ascii="Arial" w:hAnsi="Arial"/>
          <w:color w:val="231F1F"/>
          <w:w w:val="355"/>
          <w:position w:val="1"/>
          <w:sz w:val="7"/>
        </w:rPr>
        <w:t>l </w:t>
      </w:r>
      <w:r>
        <w:rPr>
          <w:rFonts w:ascii="Calibri" w:hAnsi="Calibri"/>
          <w:color w:val="008356"/>
          <w:w w:val="110"/>
          <w:sz w:val="11"/>
        </w:rPr>
        <w:t>ERGOTAMINE</w:t>
      </w:r>
      <w:r>
        <w:rPr>
          <w:rFonts w:ascii="Arial" w:hAnsi="Arial"/>
          <w:color w:val="231F1F"/>
          <w:w w:val="110"/>
        </w:rPr>
        <w:t>—</w:t>
      </w:r>
      <w:r>
        <w:rPr>
          <w:color w:val="231F1F"/>
          <w:w w:val="110"/>
        </w:rPr>
        <w:t>avoid concomitant use</w:t>
      </w:r>
    </w:p>
    <w:p>
      <w:pPr>
        <w:pStyle w:val="BodyText"/>
        <w:spacing w:line="144" w:lineRule="exact"/>
        <w:ind w:left="186"/>
      </w:pPr>
      <w:r>
        <w:rPr>
          <w:rFonts w:ascii="Arial"/>
          <w:color w:val="231F1F"/>
          <w:w w:val="355"/>
          <w:position w:val="1"/>
          <w:sz w:val="7"/>
        </w:rPr>
        <w:t>l</w:t>
      </w:r>
      <w:r>
        <w:rPr>
          <w:rFonts w:ascii="Arial"/>
          <w:color w:val="231F1F"/>
          <w:spacing w:val="-39"/>
          <w:w w:val="355"/>
          <w:position w:val="1"/>
          <w:sz w:val="7"/>
        </w:rPr>
        <w:t> </w:t>
      </w:r>
      <w:r>
        <w:rPr>
          <w:rFonts w:ascii="Calibri"/>
          <w:color w:val="231F1F"/>
          <w:w w:val="115"/>
        </w:rPr>
        <w:t>Fingolimod:</w:t>
      </w:r>
      <w:r>
        <w:rPr>
          <w:rFonts w:ascii="Calibri"/>
          <w:color w:val="231F1F"/>
          <w:spacing w:val="-8"/>
          <w:w w:val="115"/>
        </w:rPr>
        <w:t> </w:t>
      </w:r>
      <w:r>
        <w:rPr>
          <w:color w:val="231F1F"/>
          <w:w w:val="115"/>
        </w:rPr>
        <w:t>ketoconazole</w:t>
      </w:r>
      <w:r>
        <w:rPr>
          <w:color w:val="231F1F"/>
          <w:spacing w:val="-10"/>
          <w:w w:val="115"/>
        </w:rPr>
        <w:t> </w:t>
      </w:r>
      <w:r>
        <w:rPr>
          <w:color w:val="231F1F"/>
          <w:w w:val="115"/>
        </w:rPr>
        <w:t>increases</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FINGOLIMOD</w:t>
      </w:r>
    </w:p>
    <w:p>
      <w:pPr>
        <w:pStyle w:val="BodyText"/>
        <w:spacing w:line="220" w:lineRule="auto" w:before="8"/>
        <w:ind w:left="286" w:right="171"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ketoconazole  increases  plasma  </w:t>
      </w:r>
      <w:r>
        <w:rPr>
          <w:color w:val="231F1F"/>
          <w:spacing w:val="-2"/>
          <w:w w:val="105"/>
        </w:rPr>
        <w:t>concentration </w:t>
      </w:r>
      <w:r>
        <w:rPr>
          <w:color w:val="231F1F"/>
          <w:w w:val="105"/>
        </w:rPr>
        <w:t>of </w:t>
      </w:r>
      <w:r>
        <w:rPr>
          <w:rFonts w:ascii="Calibri" w:hAnsi="Calibri"/>
          <w:color w:val="008356"/>
          <w:spacing w:val="4"/>
          <w:w w:val="105"/>
          <w:sz w:val="11"/>
        </w:rPr>
        <w:t>FOSAPREPITANT</w:t>
      </w:r>
    </w:p>
    <w:p>
      <w:pPr>
        <w:pStyle w:val="BodyText"/>
        <w:spacing w:line="220" w:lineRule="auto" w:before="8"/>
        <w:ind w:left="286" w:right="102" w:hanging="100"/>
        <w:rPr>
          <w:rFonts w:ascii="Calibri" w:hAnsi="Calibri"/>
          <w:sz w:val="11"/>
        </w:rPr>
      </w:pPr>
      <w:r>
        <w:rPr>
          <w:rFonts w:ascii="Lucida Sans Unicode" w:hAnsi="Lucida Sans Unicode"/>
          <w:color w:val="A7A8AC"/>
          <w:w w:val="95"/>
          <w:sz w:val="10"/>
        </w:rPr>
        <w:t>▶ </w:t>
      </w:r>
      <w:r>
        <w:rPr>
          <w:rFonts w:ascii="Calibri" w:hAnsi="Calibri"/>
          <w:color w:val="231F1F"/>
          <w:w w:val="105"/>
        </w:rPr>
        <w:t>Hormone Antagonists: </w:t>
      </w:r>
      <w:r>
        <w:rPr>
          <w:color w:val="231F1F"/>
          <w:w w:val="105"/>
        </w:rPr>
        <w:t>manufacturer of ketoconazole </w:t>
      </w:r>
      <w:r>
        <w:rPr>
          <w:color w:val="231F1F"/>
          <w:spacing w:val="-3"/>
          <w:w w:val="105"/>
        </w:rPr>
        <w:t>advises </w:t>
      </w:r>
      <w:r>
        <w:rPr>
          <w:color w:val="231F1F"/>
          <w:w w:val="105"/>
        </w:rPr>
        <w:t>avoid concomitant use with</w:t>
      </w:r>
      <w:r>
        <w:rPr>
          <w:color w:val="231F1F"/>
          <w:spacing w:val="6"/>
          <w:w w:val="105"/>
        </w:rPr>
        <w:t> </w:t>
      </w:r>
      <w:r>
        <w:rPr>
          <w:rFonts w:ascii="Calibri" w:hAnsi="Calibri"/>
          <w:color w:val="008356"/>
          <w:spacing w:val="4"/>
          <w:w w:val="105"/>
          <w:sz w:val="11"/>
        </w:rPr>
        <w:t>PASIREOTIDE</w:t>
      </w:r>
    </w:p>
    <w:p>
      <w:pPr>
        <w:pStyle w:val="BodyText"/>
        <w:ind w:left="286"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ketoconazole increases plasma concentration of </w:t>
      </w:r>
      <w:r>
        <w:rPr>
          <w:rFonts w:ascii="Calibri" w:hAnsi="Calibri"/>
          <w:color w:val="008356"/>
          <w:spacing w:val="3"/>
          <w:w w:val="110"/>
          <w:sz w:val="11"/>
          <w:vertAlign w:val="baseline"/>
        </w:rPr>
        <w:t>ALMOTRIPTAN </w:t>
      </w:r>
      <w:r>
        <w:rPr>
          <w:color w:val="231F1F"/>
          <w:w w:val="110"/>
          <w:vertAlign w:val="baseline"/>
        </w:rPr>
        <w:t>(increased risk of toxicity); ketoconazole increases plasma concentration of </w:t>
      </w:r>
      <w:r>
        <w:rPr>
          <w:rFonts w:ascii="Arial" w:hAnsi="Arial"/>
          <w:color w:val="231F1F"/>
          <w:w w:val="355"/>
          <w:position w:val="1"/>
          <w:sz w:val="7"/>
          <w:vertAlign w:val="baseline"/>
        </w:rPr>
        <w:t>l </w:t>
      </w:r>
      <w:r>
        <w:rPr>
          <w:rFonts w:ascii="Calibri" w:hAnsi="Calibri"/>
          <w:color w:val="008356"/>
          <w:spacing w:val="2"/>
          <w:w w:val="110"/>
          <w:sz w:val="11"/>
          <w:vertAlign w:val="baseline"/>
        </w:rPr>
        <w:t>ELETRIPTAN </w:t>
      </w:r>
      <w:r>
        <w:rPr>
          <w:color w:val="231F1F"/>
          <w:w w:val="110"/>
          <w:vertAlign w:val="baseline"/>
        </w:rPr>
        <w:t>(risk of toxicity)</w:t>
      </w:r>
      <w:r>
        <w:rPr>
          <w:rFonts w:ascii="Arial" w:hAnsi="Arial"/>
          <w:color w:val="231F1F"/>
          <w:w w:val="110"/>
          <w:vertAlign w:val="baseline"/>
        </w:rPr>
        <w:t>—</w:t>
      </w:r>
      <w:r>
        <w:rPr>
          <w:color w:val="231F1F"/>
          <w:w w:val="110"/>
          <w:vertAlign w:val="baseline"/>
        </w:rPr>
        <w:t>avoid concomitant</w:t>
      </w:r>
      <w:r>
        <w:rPr>
          <w:color w:val="231F1F"/>
          <w:spacing w:val="-7"/>
          <w:w w:val="110"/>
          <w:vertAlign w:val="baseline"/>
        </w:rPr>
        <w:t> </w:t>
      </w:r>
      <w:r>
        <w:rPr>
          <w:color w:val="231F1F"/>
          <w:w w:val="110"/>
          <w:vertAlign w:val="baseline"/>
        </w:rPr>
        <w:t>use</w:t>
      </w:r>
    </w:p>
    <w:p>
      <w:pPr>
        <w:pStyle w:val="BodyText"/>
        <w:spacing w:line="146" w:lineRule="exact" w:before="4"/>
        <w:ind w:left="186"/>
      </w:pPr>
      <w:r>
        <w:rPr>
          <w:rFonts w:ascii="Arial"/>
          <w:color w:val="231F1F"/>
          <w:w w:val="355"/>
          <w:position w:val="1"/>
          <w:sz w:val="7"/>
        </w:rPr>
        <w:t>l </w:t>
      </w:r>
      <w:r>
        <w:rPr>
          <w:rFonts w:ascii="Calibri"/>
          <w:color w:val="231F1F"/>
          <w:w w:val="115"/>
        </w:rPr>
        <w:t>Ivabradine: </w:t>
      </w:r>
      <w:r>
        <w:rPr>
          <w:color w:val="231F1F"/>
          <w:w w:val="115"/>
        </w:rPr>
        <w:t>ketoconazole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IVABRADINE</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145" w:lineRule="exact"/>
        <w:ind w:left="186"/>
      </w:pPr>
      <w:r>
        <w:rPr>
          <w:rFonts w:ascii="Arial"/>
          <w:color w:val="231F1F"/>
          <w:w w:val="355"/>
          <w:position w:val="1"/>
          <w:sz w:val="7"/>
        </w:rPr>
        <w:t>l</w:t>
      </w:r>
      <w:r>
        <w:rPr>
          <w:rFonts w:ascii="Arial"/>
          <w:color w:val="231F1F"/>
          <w:spacing w:val="-48"/>
          <w:w w:val="355"/>
          <w:position w:val="1"/>
          <w:sz w:val="7"/>
        </w:rPr>
        <w:t> </w:t>
      </w:r>
      <w:r>
        <w:rPr>
          <w:rFonts w:ascii="Calibri"/>
          <w:color w:val="231F1F"/>
          <w:w w:val="120"/>
        </w:rPr>
        <w:t>Ivacaftor:</w:t>
      </w:r>
      <w:r>
        <w:rPr>
          <w:rFonts w:ascii="Calibri"/>
          <w:color w:val="231F1F"/>
          <w:spacing w:val="-15"/>
          <w:w w:val="120"/>
        </w:rPr>
        <w:t> </w:t>
      </w:r>
      <w:r>
        <w:rPr>
          <w:color w:val="231F1F"/>
          <w:w w:val="120"/>
        </w:rPr>
        <w:t>ketoconazole</w:t>
      </w:r>
      <w:r>
        <w:rPr>
          <w:color w:val="231F1F"/>
          <w:spacing w:val="-19"/>
          <w:w w:val="120"/>
        </w:rPr>
        <w:t> </w:t>
      </w:r>
      <w:r>
        <w:rPr>
          <w:color w:val="231F1F"/>
          <w:w w:val="120"/>
        </w:rPr>
        <w:t>increases</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w w:val="120"/>
        </w:rPr>
        <w:t>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IVACAFTOR </w:t>
      </w:r>
      <w:r>
        <w:rPr>
          <w:color w:val="231F1F"/>
          <w:w w:val="110"/>
          <w:sz w:val="12"/>
        </w:rPr>
        <w:t>(see under Ivacaftor, p. 257)</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Lanthanum: </w:t>
      </w:r>
      <w:r>
        <w:rPr>
          <w:color w:val="231F1F"/>
          <w:w w:val="105"/>
        </w:rPr>
        <w:t>absorption of ketoconazole possibly reduced by</w:t>
      </w:r>
    </w:p>
    <w:p>
      <w:pPr>
        <w:spacing w:line="134" w:lineRule="exact" w:before="0"/>
        <w:ind w:left="286" w:right="0" w:firstLine="0"/>
        <w:jc w:val="left"/>
        <w:rPr>
          <w:sz w:val="12"/>
        </w:rPr>
      </w:pPr>
      <w:r>
        <w:rPr>
          <w:rFonts w:ascii="Calibri"/>
          <w:color w:val="008356"/>
          <w:w w:val="110"/>
          <w:sz w:val="11"/>
        </w:rPr>
        <w:t>LANTHANUM </w:t>
      </w:r>
      <w:r>
        <w:rPr>
          <w:color w:val="231F1F"/>
          <w:w w:val="110"/>
          <w:sz w:val="12"/>
        </w:rPr>
        <w:t>(give at least 2 hours apart)</w:t>
      </w:r>
    </w:p>
    <w:p>
      <w:pPr>
        <w:pStyle w:val="BodyText"/>
        <w:ind w:left="286" w:hanging="100"/>
      </w:pPr>
      <w:r>
        <w:rPr>
          <w:rFonts w:ascii="Arial"/>
          <w:color w:val="231F1F"/>
          <w:w w:val="355"/>
          <w:position w:val="1"/>
          <w:sz w:val="7"/>
        </w:rPr>
        <w:t>l </w:t>
      </w:r>
      <w:r>
        <w:rPr>
          <w:rFonts w:ascii="Calibri"/>
          <w:color w:val="231F1F"/>
          <w:w w:val="110"/>
        </w:rPr>
        <w:t>Lenalidomide: </w:t>
      </w:r>
      <w:r>
        <w:rPr>
          <w:color w:val="231F1F"/>
          <w:w w:val="110"/>
        </w:rPr>
        <w:t>ketoconazole possibly increases plasma concentration of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LENALIDOMIDE </w:t>
      </w:r>
      <w:r>
        <w:rPr>
          <w:color w:val="231F1F"/>
          <w:w w:val="110"/>
        </w:rPr>
        <w:t>(increased risk of toxicity)</w:t>
      </w:r>
    </w:p>
    <w:p>
      <w:pPr>
        <w:pStyle w:val="BodyText"/>
        <w:ind w:left="286" w:hanging="100"/>
      </w:pPr>
      <w:r>
        <w:rPr>
          <w:rFonts w:ascii="Arial"/>
          <w:color w:val="231F1F"/>
          <w:w w:val="355"/>
          <w:position w:val="1"/>
          <w:sz w:val="7"/>
        </w:rPr>
        <w:t>l </w:t>
      </w:r>
      <w:r>
        <w:rPr>
          <w:rFonts w:ascii="Calibri"/>
          <w:color w:val="231F1F"/>
          <w:w w:val="110"/>
        </w:rPr>
        <w:t>Lipid-regulating Drugs: </w:t>
      </w:r>
      <w:r>
        <w:rPr>
          <w:color w:val="231F1F"/>
          <w:w w:val="110"/>
        </w:rPr>
        <w:t>possible increased risk of myopathy when imidazoles given with </w:t>
      </w:r>
      <w:r>
        <w:rPr>
          <w:rFonts w:ascii="Calibri"/>
          <w:color w:val="008356"/>
          <w:w w:val="110"/>
          <w:sz w:val="11"/>
        </w:rPr>
        <w:t>ATORVASTATIN</w:t>
      </w:r>
      <w:r>
        <w:rPr>
          <w:color w:val="231F1F"/>
          <w:w w:val="110"/>
        </w:rPr>
        <w:t>; possible increased risk of myopathy when ketoconazole given with</w:t>
      </w:r>
    </w:p>
    <w:p>
      <w:pPr>
        <w:pStyle w:val="BodyText"/>
        <w:spacing w:line="244" w:lineRule="auto" w:before="1"/>
        <w:ind w:left="286" w:right="18"/>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w w:val="115"/>
          <w:sz w:val="11"/>
        </w:rPr>
        <w:t>ATORVASTATIN</w:t>
      </w:r>
      <w:r>
        <w:rPr>
          <w:rFonts w:ascii="Arial" w:hAnsi="Arial"/>
          <w:color w:val="231F1F"/>
          <w:w w:val="115"/>
        </w:rPr>
        <w:t>—</w:t>
      </w:r>
      <w:r>
        <w:rPr>
          <w:color w:val="231F1F"/>
          <w:w w:val="115"/>
        </w:rPr>
        <w:t>manufacturer</w:t>
      </w:r>
      <w:r>
        <w:rPr>
          <w:color w:val="231F1F"/>
          <w:spacing w:val="-23"/>
          <w:w w:val="115"/>
        </w:rPr>
        <w:t> </w:t>
      </w:r>
      <w:r>
        <w:rPr>
          <w:color w:val="231F1F"/>
          <w:w w:val="115"/>
        </w:rPr>
        <w:t>of</w:t>
      </w:r>
      <w:r>
        <w:rPr>
          <w:color w:val="231F1F"/>
          <w:spacing w:val="-25"/>
          <w:w w:val="115"/>
        </w:rPr>
        <w:t> </w:t>
      </w:r>
      <w:r>
        <w:rPr>
          <w:color w:val="231F1F"/>
          <w:w w:val="115"/>
        </w:rPr>
        <w:t>ketoconazole</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 use; increased risk of myopathy when ketoconazole</w:t>
      </w:r>
      <w:r>
        <w:rPr>
          <w:color w:val="231F1F"/>
          <w:spacing w:val="-17"/>
          <w:w w:val="115"/>
        </w:rPr>
        <w:t> </w:t>
      </w:r>
      <w:r>
        <w:rPr>
          <w:color w:val="231F1F"/>
          <w:w w:val="115"/>
        </w:rPr>
        <w:t>given</w:t>
      </w:r>
      <w:r>
        <w:rPr>
          <w:color w:val="231F1F"/>
          <w:spacing w:val="-16"/>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3"/>
          <w:w w:val="115"/>
          <w:sz w:val="11"/>
        </w:rPr>
        <w:t>SIMVASTATIN</w:t>
      </w:r>
      <w:r>
        <w:rPr>
          <w:rFonts w:ascii="Calibri" w:hAnsi="Calibri"/>
          <w:color w:val="008356"/>
          <w:spacing w:val="-6"/>
          <w:w w:val="115"/>
          <w:sz w:val="11"/>
        </w:rPr>
        <w:t> </w:t>
      </w:r>
      <w:r>
        <w:rPr>
          <w:color w:val="231F1F"/>
          <w:w w:val="115"/>
        </w:rPr>
        <w:t>(avoid</w:t>
      </w:r>
      <w:r>
        <w:rPr>
          <w:color w:val="231F1F"/>
          <w:spacing w:val="-16"/>
          <w:w w:val="115"/>
        </w:rPr>
        <w:t> </w:t>
      </w:r>
      <w:r>
        <w:rPr>
          <w:color w:val="231F1F"/>
          <w:w w:val="115"/>
        </w:rPr>
        <w:t>concomitant use); possible increased risk of myopathy when miconazole given with </w:t>
      </w:r>
      <w:r>
        <w:rPr>
          <w:rFonts w:ascii="Arial" w:hAnsi="Arial"/>
          <w:color w:val="231F1F"/>
          <w:w w:val="355"/>
          <w:position w:val="1"/>
          <w:sz w:val="7"/>
        </w:rPr>
        <w:t>l </w:t>
      </w:r>
      <w:r>
        <w:rPr>
          <w:rFonts w:ascii="Calibri" w:hAnsi="Calibri"/>
          <w:color w:val="008356"/>
          <w:spacing w:val="3"/>
          <w:w w:val="115"/>
          <w:sz w:val="11"/>
        </w:rPr>
        <w:t>SIMVASTATIN</w:t>
      </w:r>
      <w:r>
        <w:rPr>
          <w:color w:val="231F1F"/>
          <w:spacing w:val="3"/>
          <w:w w:val="115"/>
        </w:rPr>
        <w:t>; </w:t>
      </w:r>
      <w:r>
        <w:rPr>
          <w:color w:val="231F1F"/>
          <w:w w:val="115"/>
        </w:rPr>
        <w:t>ketoconazole increases plasma concentration</w:t>
      </w:r>
      <w:r>
        <w:rPr>
          <w:color w:val="231F1F"/>
          <w:spacing w:val="-11"/>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LOMITAPIDE</w:t>
      </w:r>
      <w:r>
        <w:rPr>
          <w:rFonts w:ascii="Arial" w:hAnsi="Arial"/>
          <w:color w:val="231F1F"/>
          <w:spacing w:val="2"/>
          <w:w w:val="115"/>
        </w:rPr>
        <w:t>—</w:t>
      </w:r>
      <w:r>
        <w:rPr>
          <w:color w:val="231F1F"/>
          <w:spacing w:val="2"/>
          <w:w w:val="115"/>
        </w:rPr>
        <w:t>avoid</w:t>
      </w:r>
      <w:r>
        <w:rPr>
          <w:color w:val="231F1F"/>
          <w:spacing w:val="-10"/>
          <w:w w:val="115"/>
        </w:rPr>
        <w:t> </w:t>
      </w:r>
      <w:r>
        <w:rPr>
          <w:color w:val="231F1F"/>
          <w:w w:val="115"/>
        </w:rPr>
        <w:t>concomitant</w:t>
      </w:r>
      <w:r>
        <w:rPr>
          <w:color w:val="231F1F"/>
          <w:spacing w:val="-11"/>
          <w:w w:val="115"/>
        </w:rPr>
        <w:t> </w:t>
      </w:r>
      <w:r>
        <w:rPr>
          <w:color w:val="231F1F"/>
          <w:w w:val="115"/>
        </w:rPr>
        <w:t>use</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Macitentan: </w:t>
      </w:r>
      <w:r>
        <w:rPr>
          <w:color w:val="231F1F"/>
          <w:w w:val="105"/>
        </w:rPr>
        <w:t>ketoconazole increases plasma concentration of</w:t>
      </w:r>
    </w:p>
    <w:p>
      <w:pPr>
        <w:spacing w:line="130" w:lineRule="exact" w:before="0"/>
        <w:ind w:left="286" w:right="0" w:firstLine="0"/>
        <w:jc w:val="left"/>
        <w:rPr>
          <w:rFonts w:ascii="Calibri"/>
          <w:sz w:val="11"/>
        </w:rPr>
      </w:pPr>
      <w:r>
        <w:rPr>
          <w:rFonts w:ascii="Calibri"/>
          <w:color w:val="008356"/>
          <w:sz w:val="11"/>
        </w:rPr>
        <w:t>MACITENTAN</w:t>
      </w:r>
    </w:p>
    <w:p>
      <w:pPr>
        <w:pStyle w:val="BodyText"/>
        <w:spacing w:line="230" w:lineRule="auto" w:before="3"/>
        <w:ind w:left="286" w:hanging="100"/>
      </w:pPr>
      <w:r>
        <w:rPr>
          <w:rFonts w:ascii="Lucida Sans Unicode" w:hAnsi="Lucida Sans Unicode"/>
          <w:color w:val="A7A8AC"/>
          <w:w w:val="95"/>
          <w:sz w:val="10"/>
        </w:rPr>
        <w:t>▶ </w:t>
      </w:r>
      <w:r>
        <w:rPr>
          <w:rFonts w:ascii="Calibri" w:hAnsi="Calibri"/>
          <w:color w:val="231F1F"/>
          <w:w w:val="110"/>
        </w:rPr>
        <w:t>Mirabegron: </w:t>
      </w:r>
      <w:r>
        <w:rPr>
          <w:color w:val="231F1F"/>
          <w:w w:val="110"/>
        </w:rPr>
        <w:t>when given with ketoconazole avoid or reduce dose of </w:t>
      </w:r>
      <w:r>
        <w:rPr>
          <w:rFonts w:ascii="Calibri" w:hAnsi="Calibri"/>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before="3"/>
        <w:ind w:left="186"/>
      </w:pPr>
      <w:r>
        <w:rPr>
          <w:rFonts w:ascii="Arial"/>
          <w:color w:val="231F1F"/>
          <w:w w:val="355"/>
          <w:position w:val="1"/>
          <w:sz w:val="7"/>
        </w:rPr>
        <w:t>l </w:t>
      </w:r>
      <w:r>
        <w:rPr>
          <w:rFonts w:ascii="Calibri"/>
          <w:color w:val="231F1F"/>
          <w:w w:val="110"/>
        </w:rPr>
        <w:t>Nintedanib: </w:t>
      </w:r>
      <w:r>
        <w:rPr>
          <w:color w:val="231F1F"/>
          <w:w w:val="110"/>
        </w:rPr>
        <w:t>ketoconazole increases plasma concentration of</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NINTEDANIB</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anecdotal reports of contraceptive failure when imidazoles given with </w:t>
      </w:r>
      <w:r>
        <w:rPr>
          <w:rFonts w:ascii="Calibri" w:hAnsi="Calibri"/>
          <w:color w:val="008356"/>
          <w:w w:val="110"/>
          <w:sz w:val="11"/>
        </w:rPr>
        <w:t>OESTROGENS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Parasympathomimetics: </w:t>
      </w:r>
      <w:r>
        <w:rPr>
          <w:color w:val="231F1F"/>
          <w:w w:val="105"/>
        </w:rPr>
        <w:t>ketoconazole increases plasma concentration of </w:t>
      </w:r>
      <w:r>
        <w:rPr>
          <w:rFonts w:ascii="Calibri" w:hAnsi="Calibri"/>
          <w:color w:val="008356"/>
          <w:w w:val="105"/>
          <w:sz w:val="11"/>
        </w:rPr>
        <w:t>GALANTAMINE</w:t>
      </w:r>
    </w:p>
    <w:p>
      <w:pPr>
        <w:pStyle w:val="BodyText"/>
        <w:spacing w:line="146" w:lineRule="exact" w:before="1"/>
        <w:ind w:left="186"/>
      </w:pPr>
      <w:r>
        <w:rPr>
          <w:rFonts w:ascii="Arial"/>
          <w:color w:val="231F1F"/>
          <w:w w:val="355"/>
          <w:position w:val="1"/>
          <w:sz w:val="7"/>
        </w:rPr>
        <w:t>l </w:t>
      </w:r>
      <w:r>
        <w:rPr>
          <w:rFonts w:ascii="Calibri"/>
          <w:color w:val="231F1F"/>
          <w:w w:val="115"/>
        </w:rPr>
        <w:t>Ranolazine: </w:t>
      </w:r>
      <w:r>
        <w:rPr>
          <w:color w:val="231F1F"/>
          <w:w w:val="115"/>
        </w:rPr>
        <w:t>ketoconazole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5"/>
          <w:sz w:val="11"/>
        </w:rPr>
        <w:t>RANOLAZINE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45" w:lineRule="exact"/>
        <w:ind w:left="186"/>
      </w:pPr>
      <w:r>
        <w:rPr>
          <w:rFonts w:ascii="Arial"/>
          <w:color w:val="231F1F"/>
          <w:w w:val="355"/>
          <w:position w:val="1"/>
          <w:sz w:val="7"/>
        </w:rPr>
        <w:t>l</w:t>
      </w:r>
      <w:r>
        <w:rPr>
          <w:rFonts w:ascii="Arial"/>
          <w:color w:val="231F1F"/>
          <w:spacing w:val="-49"/>
          <w:w w:val="355"/>
          <w:position w:val="1"/>
          <w:sz w:val="7"/>
        </w:rPr>
        <w:t> </w:t>
      </w:r>
      <w:r>
        <w:rPr>
          <w:rFonts w:ascii="Calibri"/>
          <w:color w:val="231F1F"/>
          <w:w w:val="120"/>
        </w:rPr>
        <w:t>Retinoids:</w:t>
      </w:r>
      <w:r>
        <w:rPr>
          <w:rFonts w:ascii="Calibri"/>
          <w:color w:val="231F1F"/>
          <w:spacing w:val="-18"/>
          <w:w w:val="120"/>
        </w:rPr>
        <w:t> </w:t>
      </w:r>
      <w:r>
        <w:rPr>
          <w:color w:val="231F1F"/>
          <w:w w:val="120"/>
        </w:rPr>
        <w:t>ketoconazole</w:t>
      </w:r>
      <w:r>
        <w:rPr>
          <w:color w:val="231F1F"/>
          <w:spacing w:val="-20"/>
          <w:w w:val="120"/>
        </w:rPr>
        <w:t> </w:t>
      </w:r>
      <w:r>
        <w:rPr>
          <w:color w:val="231F1F"/>
          <w:w w:val="120"/>
        </w:rPr>
        <w:t>increases</w:t>
      </w:r>
      <w:r>
        <w:rPr>
          <w:color w:val="231F1F"/>
          <w:spacing w:val="-20"/>
          <w:w w:val="120"/>
        </w:rPr>
        <w:t> </w:t>
      </w:r>
      <w:r>
        <w:rPr>
          <w:color w:val="231F1F"/>
          <w:w w:val="120"/>
        </w:rPr>
        <w:t>plasma</w:t>
      </w:r>
      <w:r>
        <w:rPr>
          <w:color w:val="231F1F"/>
          <w:spacing w:val="-21"/>
          <w:w w:val="120"/>
        </w:rPr>
        <w:t> </w:t>
      </w:r>
      <w:r>
        <w:rPr>
          <w:color w:val="231F1F"/>
          <w:w w:val="120"/>
        </w:rPr>
        <w:t>concentration</w:t>
      </w:r>
      <w:r>
        <w:rPr>
          <w:color w:val="231F1F"/>
          <w:spacing w:val="-21"/>
          <w:w w:val="120"/>
        </w:rPr>
        <w:t> </w:t>
      </w:r>
      <w:r>
        <w:rPr>
          <w:color w:val="231F1F"/>
          <w:w w:val="120"/>
        </w:rPr>
        <w:t>of</w:t>
      </w:r>
    </w:p>
    <w:p>
      <w:pPr>
        <w:spacing w:before="0"/>
        <w:ind w:left="286" w:right="0" w:firstLine="0"/>
        <w:jc w:val="left"/>
        <w:rPr>
          <w:sz w:val="12"/>
        </w:rPr>
      </w:pPr>
      <w:r>
        <w:rPr>
          <w:rFonts w:ascii="Calibri"/>
          <w:color w:val="008356"/>
          <w:w w:val="110"/>
          <w:sz w:val="11"/>
        </w:rPr>
        <w:t>ALITRETINOIN</w:t>
      </w:r>
      <w:r>
        <w:rPr>
          <w:color w:val="231F1F"/>
          <w:w w:val="110"/>
          <w:sz w:val="12"/>
        </w:rPr>
        <w:t>; ketoconazole possibly increases risk of</w:t>
      </w:r>
    </w:p>
    <w:p>
      <w:pPr>
        <w:spacing w:line="141" w:lineRule="exact" w:before="1"/>
        <w:ind w:left="286" w:right="0" w:firstLine="0"/>
        <w:jc w:val="left"/>
        <w:rPr>
          <w:sz w:val="12"/>
        </w:rPr>
      </w:pPr>
      <w:r>
        <w:rPr>
          <w:rFonts w:ascii="Arial"/>
          <w:color w:val="231F1F"/>
          <w:w w:val="355"/>
          <w:position w:val="1"/>
          <w:sz w:val="7"/>
        </w:rPr>
        <w:t>l </w:t>
      </w:r>
      <w:r>
        <w:rPr>
          <w:rFonts w:ascii="Calibri"/>
          <w:color w:val="008356"/>
          <w:w w:val="110"/>
          <w:sz w:val="11"/>
        </w:rPr>
        <w:t>TRETINOIN </w:t>
      </w:r>
      <w:r>
        <w:rPr>
          <w:color w:val="231F1F"/>
          <w:w w:val="110"/>
          <w:sz w:val="12"/>
        </w:rPr>
        <w:t>toxicity</w:t>
      </w:r>
    </w:p>
    <w:p>
      <w:pPr>
        <w:pStyle w:val="BodyText"/>
        <w:spacing w:line="220" w:lineRule="auto" w:before="8"/>
        <w:ind w:left="286" w:right="102" w:hanging="100"/>
        <w:rPr>
          <w:rFonts w:ascii="Calibri" w:hAnsi="Calibri"/>
          <w:sz w:val="11"/>
        </w:rPr>
      </w:pPr>
      <w:r>
        <w:rPr>
          <w:rFonts w:ascii="Lucida Sans Unicode" w:hAnsi="Lucida Sans Unicode"/>
          <w:color w:val="A7A8AC"/>
          <w:w w:val="95"/>
          <w:sz w:val="10"/>
        </w:rPr>
        <w:t>▶ </w:t>
      </w:r>
      <w:r>
        <w:rPr>
          <w:rFonts w:ascii="Calibri" w:hAnsi="Calibri"/>
          <w:color w:val="231F1F"/>
          <w:w w:val="105"/>
        </w:rPr>
        <w:t>Riociguat: </w:t>
      </w:r>
      <w:r>
        <w:rPr>
          <w:color w:val="231F1F"/>
          <w:w w:val="105"/>
        </w:rPr>
        <w:t>avoidance of ketoconazole advised by  </w:t>
      </w:r>
      <w:r>
        <w:rPr>
          <w:color w:val="231F1F"/>
          <w:spacing w:val="-3"/>
          <w:w w:val="105"/>
        </w:rPr>
        <w:t>manufacturer </w:t>
      </w:r>
      <w:r>
        <w:rPr>
          <w:color w:val="231F1F"/>
          <w:spacing w:val="25"/>
          <w:w w:val="105"/>
        </w:rPr>
        <w:t> </w:t>
      </w:r>
      <w:r>
        <w:rPr>
          <w:color w:val="231F1F"/>
          <w:w w:val="105"/>
        </w:rPr>
        <w:t>of </w:t>
      </w:r>
      <w:r>
        <w:rPr>
          <w:rFonts w:ascii="Calibri" w:hAnsi="Calibri"/>
          <w:color w:val="008356"/>
          <w:spacing w:val="3"/>
          <w:w w:val="105"/>
          <w:sz w:val="11"/>
        </w:rPr>
        <w:t>RIOCIGUAT</w:t>
      </w:r>
    </w:p>
    <w:p>
      <w:pPr>
        <w:pStyle w:val="BodyText"/>
        <w:spacing w:line="244" w:lineRule="auto"/>
        <w:ind w:left="286" w:right="200"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Sildenafil:</w:t>
      </w:r>
      <w:r>
        <w:rPr>
          <w:rFonts w:ascii="Calibri" w:hAnsi="Calibri"/>
          <w:color w:val="231F1F"/>
          <w:spacing w:val="-7"/>
          <w:w w:val="115"/>
        </w:rPr>
        <w:t> </w:t>
      </w:r>
      <w:r>
        <w:rPr>
          <w:color w:val="231F1F"/>
          <w:w w:val="115"/>
        </w:rPr>
        <w:t>ketoconazole</w:t>
      </w:r>
      <w:r>
        <w:rPr>
          <w:color w:val="231F1F"/>
          <w:spacing w:val="-12"/>
          <w:w w:val="115"/>
        </w:rPr>
        <w:t> </w:t>
      </w:r>
      <w:r>
        <w:rPr>
          <w:color w:val="231F1F"/>
          <w:w w:val="115"/>
        </w:rPr>
        <w:t>increases</w:t>
      </w:r>
      <w:r>
        <w:rPr>
          <w:color w:val="231F1F"/>
          <w:spacing w:val="-11"/>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spacing w:val="-8"/>
          <w:w w:val="115"/>
        </w:rPr>
        <w:t>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SILDENAFIL</w:t>
      </w:r>
      <w:r>
        <w:rPr>
          <w:rFonts w:ascii="Arial" w:hAnsi="Arial"/>
          <w:color w:val="231F1F"/>
          <w:spacing w:val="2"/>
          <w:w w:val="115"/>
        </w:rPr>
        <w:t>—</w:t>
      </w:r>
      <w:r>
        <w:rPr>
          <w:color w:val="231F1F"/>
          <w:spacing w:val="2"/>
          <w:w w:val="115"/>
        </w:rPr>
        <w:t>reduce</w:t>
      </w:r>
      <w:r>
        <w:rPr>
          <w:color w:val="231F1F"/>
          <w:spacing w:val="-13"/>
          <w:w w:val="115"/>
        </w:rPr>
        <w:t> </w:t>
      </w:r>
      <w:r>
        <w:rPr>
          <w:color w:val="231F1F"/>
          <w:w w:val="115"/>
        </w:rPr>
        <w:t>initial</w:t>
      </w:r>
      <w:r>
        <w:rPr>
          <w:color w:val="231F1F"/>
          <w:spacing w:val="-14"/>
          <w:w w:val="115"/>
        </w:rPr>
        <w:t> </w:t>
      </w:r>
      <w:r>
        <w:rPr>
          <w:color w:val="231F1F"/>
          <w:w w:val="115"/>
        </w:rPr>
        <w:t>dose</w:t>
      </w:r>
      <w:r>
        <w:rPr>
          <w:color w:val="231F1F"/>
          <w:spacing w:val="-14"/>
          <w:w w:val="115"/>
        </w:rPr>
        <w:t> </w:t>
      </w:r>
      <w:r>
        <w:rPr>
          <w:color w:val="231F1F"/>
          <w:w w:val="115"/>
        </w:rPr>
        <w:t>of</w:t>
      </w:r>
      <w:r>
        <w:rPr>
          <w:color w:val="231F1F"/>
          <w:spacing w:val="-13"/>
          <w:w w:val="115"/>
        </w:rPr>
        <w:t> </w:t>
      </w:r>
      <w:r>
        <w:rPr>
          <w:color w:val="231F1F"/>
          <w:w w:val="115"/>
        </w:rPr>
        <w:t>sildenafil</w:t>
      </w:r>
      <w:r>
        <w:rPr>
          <w:color w:val="231F1F"/>
          <w:spacing w:val="-14"/>
          <w:w w:val="115"/>
        </w:rPr>
        <w:t> </w:t>
      </w:r>
      <w:r>
        <w:rPr>
          <w:color w:val="231F1F"/>
          <w:w w:val="115"/>
        </w:rPr>
        <w:t>for</w:t>
      </w:r>
      <w:r>
        <w:rPr>
          <w:color w:val="231F1F"/>
          <w:spacing w:val="-14"/>
          <w:w w:val="115"/>
        </w:rPr>
        <w:t> </w:t>
      </w:r>
      <w:r>
        <w:rPr>
          <w:color w:val="231F1F"/>
          <w:w w:val="115"/>
        </w:rPr>
        <w:t>erectile dysfunction and avoid concomitant use of sildenafil for pulmonary</w:t>
      </w:r>
      <w:r>
        <w:rPr>
          <w:color w:val="231F1F"/>
          <w:spacing w:val="-5"/>
          <w:w w:val="115"/>
        </w:rPr>
        <w:t> </w:t>
      </w:r>
      <w:r>
        <w:rPr>
          <w:color w:val="231F1F"/>
          <w:w w:val="115"/>
        </w:rPr>
        <w:t>hypertension</w:t>
      </w:r>
    </w:p>
    <w:p>
      <w:pPr>
        <w:pStyle w:val="BodyText"/>
        <w:spacing w:line="242" w:lineRule="auto"/>
        <w:ind w:left="286" w:right="138" w:hanging="100"/>
        <w:rPr>
          <w:rFonts w:ascii="Calibri" w:hAnsi="Calibri"/>
          <w:sz w:val="11"/>
        </w:rPr>
      </w:pPr>
      <w:r>
        <w:rPr>
          <w:rFonts w:ascii="Arial" w:hAnsi="Arial"/>
          <w:color w:val="231F1F"/>
          <w:w w:val="355"/>
          <w:position w:val="1"/>
          <w:sz w:val="7"/>
        </w:rPr>
        <w:t>l</w:t>
      </w:r>
      <w:r>
        <w:rPr>
          <w:rFonts w:ascii="Arial" w:hAnsi="Arial"/>
          <w:color w:val="231F1F"/>
          <w:spacing w:val="-35"/>
          <w:w w:val="355"/>
          <w:position w:val="1"/>
          <w:sz w:val="7"/>
        </w:rPr>
        <w:t> </w:t>
      </w:r>
      <w:r>
        <w:rPr>
          <w:rFonts w:ascii="Calibri" w:hAnsi="Calibri"/>
          <w:color w:val="231F1F"/>
          <w:w w:val="115"/>
        </w:rPr>
        <w:t>Sirolimus:</w:t>
      </w:r>
      <w:r>
        <w:rPr>
          <w:rFonts w:ascii="Calibri" w:hAnsi="Calibri"/>
          <w:color w:val="231F1F"/>
          <w:spacing w:val="-4"/>
          <w:w w:val="115"/>
        </w:rPr>
        <w:t> </w:t>
      </w:r>
      <w:r>
        <w:rPr>
          <w:color w:val="231F1F"/>
          <w:w w:val="115"/>
        </w:rPr>
        <w:t>ketoconazole</w:t>
      </w:r>
      <w:r>
        <w:rPr>
          <w:color w:val="231F1F"/>
          <w:spacing w:val="-7"/>
          <w:w w:val="115"/>
        </w:rPr>
        <w:t> </w:t>
      </w:r>
      <w:r>
        <w:rPr>
          <w:color w:val="231F1F"/>
          <w:w w:val="115"/>
        </w:rPr>
        <w:t>increases</w:t>
      </w:r>
      <w:r>
        <w:rPr>
          <w:color w:val="231F1F"/>
          <w:spacing w:val="-7"/>
          <w:w w:val="115"/>
        </w:rPr>
        <w:t> </w:t>
      </w:r>
      <w:r>
        <w:rPr>
          <w:color w:val="231F1F"/>
          <w:w w:val="115"/>
        </w:rPr>
        <w:t>plasma</w:t>
      </w:r>
      <w:r>
        <w:rPr>
          <w:color w:val="231F1F"/>
          <w:spacing w:val="-7"/>
          <w:w w:val="115"/>
        </w:rPr>
        <w:t> </w:t>
      </w:r>
      <w:r>
        <w:rPr>
          <w:color w:val="231F1F"/>
          <w:w w:val="115"/>
        </w:rPr>
        <w:t>concentration</w:t>
      </w:r>
      <w:r>
        <w:rPr>
          <w:color w:val="231F1F"/>
          <w:spacing w:val="-9"/>
          <w:w w:val="115"/>
        </w:rPr>
        <w:t> </w:t>
      </w:r>
      <w:r>
        <w:rPr>
          <w:color w:val="231F1F"/>
          <w:w w:val="115"/>
        </w:rPr>
        <w:t>of </w:t>
      </w:r>
      <w:r>
        <w:rPr>
          <w:rFonts w:ascii="Arial" w:hAnsi="Arial"/>
          <w:color w:val="231F1F"/>
          <w:w w:val="235"/>
          <w:position w:val="1"/>
          <w:sz w:val="7"/>
        </w:rPr>
        <w:t>l</w:t>
      </w:r>
      <w:r>
        <w:rPr>
          <w:rFonts w:ascii="Arial" w:hAnsi="Arial"/>
          <w:color w:val="231F1F"/>
          <w:spacing w:val="-37"/>
          <w:w w:val="235"/>
          <w:position w:val="1"/>
          <w:sz w:val="7"/>
        </w:rPr>
        <w:t> </w:t>
      </w:r>
      <w:r>
        <w:rPr>
          <w:rFonts w:ascii="Calibri" w:hAnsi="Calibri"/>
          <w:color w:val="008356"/>
          <w:spacing w:val="3"/>
          <w:w w:val="115"/>
          <w:sz w:val="11"/>
        </w:rPr>
        <w:t>SIROLIMUS</w:t>
      </w:r>
      <w:r>
        <w:rPr>
          <w:rFonts w:ascii="Arial" w:hAnsi="Arial"/>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miconazole</w:t>
      </w:r>
      <w:r>
        <w:rPr>
          <w:color w:val="231F1F"/>
          <w:spacing w:val="-24"/>
          <w:w w:val="115"/>
        </w:rPr>
        <w:t> </w:t>
      </w:r>
      <w:r>
        <w:rPr>
          <w:color w:val="231F1F"/>
          <w:w w:val="115"/>
        </w:rPr>
        <w:t>increases plasma concentration of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SIROLIMUS</w:t>
      </w:r>
    </w:p>
    <w:p>
      <w:pPr>
        <w:pStyle w:val="BodyText"/>
        <w:spacing w:line="141" w:lineRule="exact"/>
        <w:ind w:left="186"/>
      </w:pPr>
      <w:r>
        <w:rPr>
          <w:rFonts w:ascii="Arial"/>
          <w:color w:val="231F1F"/>
          <w:w w:val="355"/>
          <w:position w:val="1"/>
          <w:sz w:val="7"/>
        </w:rPr>
        <w:t>l </w:t>
      </w:r>
      <w:r>
        <w:rPr>
          <w:rFonts w:ascii="Calibri"/>
          <w:color w:val="231F1F"/>
          <w:w w:val="110"/>
        </w:rPr>
        <w:t>Sympathomimetics, Beta</w:t>
      </w:r>
      <w:r>
        <w:rPr>
          <w:rFonts w:ascii="Calibri"/>
          <w:color w:val="231F1F"/>
          <w:w w:val="110"/>
          <w:vertAlign w:val="subscript"/>
        </w:rPr>
        <w:t>2</w:t>
      </w:r>
      <w:r>
        <w:rPr>
          <w:rFonts w:ascii="Calibri"/>
          <w:color w:val="231F1F"/>
          <w:w w:val="110"/>
          <w:vertAlign w:val="baseline"/>
        </w:rPr>
        <w:t>: </w:t>
      </w:r>
      <w:r>
        <w:rPr>
          <w:color w:val="231F1F"/>
          <w:w w:val="110"/>
          <w:vertAlign w:val="baseline"/>
        </w:rPr>
        <w:t>ketoconazole increases plasma</w:t>
      </w:r>
    </w:p>
    <w:p>
      <w:pPr>
        <w:spacing w:line="242" w:lineRule="auto" w:before="0"/>
        <w:ind w:left="286" w:right="102" w:firstLine="0"/>
        <w:jc w:val="left"/>
        <w:rPr>
          <w:sz w:val="12"/>
        </w:rPr>
      </w:pPr>
      <w:r>
        <w:rPr>
          <w:color w:val="231F1F"/>
          <w:w w:val="110"/>
          <w:sz w:val="12"/>
        </w:rPr>
        <w:t>concentration of </w:t>
      </w:r>
      <w:r>
        <w:rPr>
          <w:rFonts w:ascii="Calibri"/>
          <w:color w:val="008356"/>
          <w:w w:val="110"/>
          <w:sz w:val="11"/>
        </w:rPr>
        <w:t>OLODATEROL</w:t>
      </w:r>
      <w:r>
        <w:rPr>
          <w:color w:val="231F1F"/>
          <w:w w:val="110"/>
          <w:sz w:val="12"/>
        </w:rPr>
        <w:t>; ketoconazole inhibits metabolism of </w:t>
      </w:r>
      <w:r>
        <w:rPr>
          <w:rFonts w:ascii="Arial"/>
          <w:color w:val="231F1F"/>
          <w:w w:val="355"/>
          <w:position w:val="1"/>
          <w:sz w:val="7"/>
        </w:rPr>
        <w:t>l </w:t>
      </w:r>
      <w:r>
        <w:rPr>
          <w:rFonts w:ascii="Calibri"/>
          <w:color w:val="008356"/>
          <w:w w:val="110"/>
          <w:sz w:val="11"/>
        </w:rPr>
        <w:t>SALMETEROL </w:t>
      </w:r>
      <w:r>
        <w:rPr>
          <w:color w:val="231F1F"/>
          <w:w w:val="110"/>
          <w:sz w:val="12"/>
        </w:rPr>
        <w:t>(increased plasma concentration)</w:t>
      </w:r>
    </w:p>
    <w:p>
      <w:pPr>
        <w:pStyle w:val="BodyText"/>
        <w:spacing w:line="242" w:lineRule="auto"/>
        <w:ind w:left="286" w:right="102"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ketoconazole increases plasma concentration of </w:t>
      </w:r>
      <w:r>
        <w:rPr>
          <w:rFonts w:ascii="Arial"/>
          <w:color w:val="231F1F"/>
          <w:w w:val="355"/>
          <w:position w:val="1"/>
          <w:sz w:val="7"/>
        </w:rPr>
        <w:t>l </w:t>
      </w:r>
      <w:r>
        <w:rPr>
          <w:rFonts w:ascii="Calibri"/>
          <w:color w:val="008356"/>
          <w:spacing w:val="3"/>
          <w:w w:val="110"/>
          <w:sz w:val="11"/>
        </w:rPr>
        <w:t>TACROLIMUS </w:t>
      </w:r>
      <w:r>
        <w:rPr>
          <w:color w:val="231F1F"/>
          <w:w w:val="110"/>
        </w:rPr>
        <w:t>(consider reducing dose of tacrolimus); miconazole </w:t>
      </w:r>
      <w:r>
        <w:rPr>
          <w:i/>
          <w:color w:val="231F1F"/>
          <w:w w:val="110"/>
        </w:rPr>
        <w:t>oral gel </w:t>
      </w:r>
      <w:r>
        <w:rPr>
          <w:color w:val="231F1F"/>
          <w:w w:val="110"/>
        </w:rPr>
        <w:t>possibly increases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TACROLIMUS</w:t>
      </w:r>
    </w:p>
    <w:p>
      <w:pPr>
        <w:pStyle w:val="BodyText"/>
        <w:ind w:left="286" w:right="239"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Tadalafil:</w:t>
      </w:r>
      <w:r>
        <w:rPr>
          <w:rFonts w:ascii="Calibri" w:hAnsi="Calibri"/>
          <w:color w:val="231F1F"/>
          <w:spacing w:val="-9"/>
          <w:w w:val="115"/>
        </w:rPr>
        <w:t> </w:t>
      </w:r>
      <w:r>
        <w:rPr>
          <w:color w:val="231F1F"/>
          <w:w w:val="115"/>
        </w:rPr>
        <w:t>ketoconazole</w:t>
      </w:r>
      <w:r>
        <w:rPr>
          <w:color w:val="231F1F"/>
          <w:spacing w:val="-12"/>
          <w:w w:val="115"/>
        </w:rPr>
        <w:t> </w:t>
      </w:r>
      <w:r>
        <w:rPr>
          <w:color w:val="231F1F"/>
          <w:w w:val="115"/>
        </w:rPr>
        <w:t>increases</w:t>
      </w:r>
      <w:r>
        <w:rPr>
          <w:color w:val="231F1F"/>
          <w:spacing w:val="-12"/>
          <w:w w:val="115"/>
        </w:rPr>
        <w:t> </w:t>
      </w:r>
      <w:r>
        <w:rPr>
          <w:color w:val="231F1F"/>
          <w:w w:val="115"/>
        </w:rPr>
        <w:t>plasma</w:t>
      </w:r>
      <w:r>
        <w:rPr>
          <w:color w:val="231F1F"/>
          <w:spacing w:val="-11"/>
          <w:w w:val="115"/>
        </w:rPr>
        <w:t> </w:t>
      </w:r>
      <w:r>
        <w:rPr>
          <w:color w:val="231F1F"/>
          <w:w w:val="115"/>
        </w:rPr>
        <w:t>concentration</w:t>
      </w:r>
      <w:r>
        <w:rPr>
          <w:color w:val="231F1F"/>
          <w:spacing w:val="-13"/>
          <w:w w:val="115"/>
        </w:rPr>
        <w:t> </w:t>
      </w:r>
      <w:r>
        <w:rPr>
          <w:color w:val="231F1F"/>
          <w:spacing w:val="-8"/>
          <w:w w:val="115"/>
        </w:rPr>
        <w:t>of </w:t>
      </w:r>
      <w:r>
        <w:rPr>
          <w:rFonts w:ascii="Arial" w:hAnsi="Arial"/>
          <w:color w:val="231F1F"/>
          <w:w w:val="355"/>
          <w:position w:val="1"/>
          <w:sz w:val="7"/>
        </w:rPr>
        <w:t>l </w:t>
      </w:r>
      <w:r>
        <w:rPr>
          <w:rFonts w:ascii="Calibri" w:hAnsi="Calibri"/>
          <w:color w:val="008356"/>
          <w:spacing w:val="2"/>
          <w:w w:val="115"/>
          <w:sz w:val="11"/>
        </w:rPr>
        <w:t>TADALAFIL</w:t>
      </w:r>
      <w:r>
        <w:rPr>
          <w:rFonts w:ascii="Arial" w:hAnsi="Arial"/>
          <w:color w:val="231F1F"/>
          <w:spacing w:val="2"/>
          <w:w w:val="115"/>
        </w:rPr>
        <w:t>—</w:t>
      </w:r>
      <w:r>
        <w:rPr>
          <w:color w:val="231F1F"/>
          <w:spacing w:val="2"/>
          <w:w w:val="115"/>
        </w:rPr>
        <w:t>avoid </w:t>
      </w:r>
      <w:r>
        <w:rPr>
          <w:color w:val="231F1F"/>
          <w:w w:val="115"/>
        </w:rPr>
        <w:t>concomitant use of tadalafil for pulmonary</w:t>
      </w:r>
      <w:r>
        <w:rPr>
          <w:color w:val="231F1F"/>
          <w:spacing w:val="-5"/>
          <w:w w:val="115"/>
        </w:rPr>
        <w:t> </w:t>
      </w:r>
      <w:r>
        <w:rPr>
          <w:color w:val="231F1F"/>
          <w:w w:val="115"/>
        </w:rPr>
        <w:t>hypertension</w:t>
      </w:r>
    </w:p>
    <w:p>
      <w:pPr>
        <w:pStyle w:val="BodyText"/>
        <w:spacing w:before="6"/>
        <w:ind w:left="0"/>
        <w:rPr>
          <w:sz w:val="14"/>
        </w:rPr>
      </w:pPr>
      <w:r>
        <w:rPr/>
        <w:br w:type="column"/>
      </w:r>
      <w:r>
        <w:rPr>
          <w:sz w:val="14"/>
        </w:rPr>
      </w:r>
    </w:p>
    <w:p>
      <w:pPr>
        <w:pStyle w:val="BodyText"/>
        <w:spacing w:line="144" w:lineRule="exact" w:before="1"/>
        <w:ind w:left="186"/>
        <w:rPr>
          <w:rFonts w:ascii="Calibri"/>
        </w:rPr>
      </w:pPr>
      <w:r>
        <w:rPr>
          <w:rFonts w:ascii="Arial"/>
          <w:color w:val="008356"/>
        </w:rPr>
        <w:t>Antifungals, Imidazole </w:t>
      </w:r>
      <w:r>
        <w:rPr>
          <w:rFonts w:ascii="Calibri"/>
          <w:color w:val="231F1F"/>
        </w:rPr>
        <w:t>(continued)</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Theophylline: </w:t>
      </w:r>
      <w:r>
        <w:rPr>
          <w:color w:val="231F1F"/>
          <w:w w:val="110"/>
        </w:rPr>
        <w:t>ketoconazole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5"/>
          <w:w w:val="110"/>
          <w:sz w:val="11"/>
        </w:rPr>
        <w:t>THEOPHYLLINE</w:t>
      </w:r>
    </w:p>
    <w:p>
      <w:pPr>
        <w:pStyle w:val="BodyText"/>
        <w:ind w:left="286" w:right="766"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Ticagrelor:</w:t>
      </w:r>
      <w:r>
        <w:rPr>
          <w:rFonts w:ascii="Calibri" w:hAnsi="Calibri"/>
          <w:color w:val="231F1F"/>
          <w:spacing w:val="-10"/>
          <w:w w:val="115"/>
        </w:rPr>
        <w:t> </w:t>
      </w:r>
      <w:r>
        <w:rPr>
          <w:color w:val="231F1F"/>
          <w:w w:val="115"/>
        </w:rPr>
        <w:t>ketoconazole</w:t>
      </w:r>
      <w:r>
        <w:rPr>
          <w:color w:val="231F1F"/>
          <w:spacing w:val="-13"/>
          <w:w w:val="115"/>
        </w:rPr>
        <w:t> </w:t>
      </w:r>
      <w:r>
        <w:rPr>
          <w:color w:val="231F1F"/>
          <w:w w:val="115"/>
        </w:rPr>
        <w:t>increases</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spacing w:val="-7"/>
          <w:w w:val="115"/>
        </w:rPr>
        <w:t>of </w:t>
      </w:r>
      <w:r>
        <w:rPr>
          <w:rFonts w:ascii="Arial" w:hAnsi="Arial"/>
          <w:color w:val="231F1F"/>
          <w:w w:val="355"/>
          <w:position w:val="1"/>
          <w:sz w:val="7"/>
        </w:rPr>
        <w:t>l </w:t>
      </w:r>
      <w:r>
        <w:rPr>
          <w:rFonts w:ascii="Calibri" w:hAnsi="Calibri"/>
          <w:color w:val="008356"/>
          <w:w w:val="115"/>
          <w:sz w:val="11"/>
        </w:rPr>
        <w:t>TICAGRELOR</w:t>
      </w:r>
      <w:r>
        <w:rPr>
          <w:rFonts w:ascii="Arial" w:hAnsi="Arial"/>
          <w:color w:val="231F1F"/>
          <w:w w:val="115"/>
        </w:rPr>
        <w:t>—</w:t>
      </w:r>
      <w:r>
        <w:rPr>
          <w:color w:val="231F1F"/>
          <w:w w:val="115"/>
        </w:rPr>
        <w:t>manufacturer of ticagrelor advises avoid concomitant</w:t>
      </w:r>
      <w:r>
        <w:rPr>
          <w:color w:val="231F1F"/>
          <w:spacing w:val="-5"/>
          <w:w w:val="115"/>
        </w:rPr>
        <w:t> </w:t>
      </w:r>
      <w:r>
        <w:rPr>
          <w:color w:val="231F1F"/>
          <w:w w:val="115"/>
        </w:rPr>
        <w:t>use</w:t>
      </w:r>
    </w:p>
    <w:p>
      <w:pPr>
        <w:pStyle w:val="BodyText"/>
        <w:spacing w:line="230" w:lineRule="auto"/>
        <w:ind w:left="286" w:right="670" w:hanging="100"/>
      </w:pPr>
      <w:r>
        <w:rPr>
          <w:rFonts w:ascii="Lucida Sans Unicode" w:hAnsi="Lucida Sans Unicode"/>
          <w:color w:val="A7A8AC"/>
          <w:w w:val="95"/>
          <w:sz w:val="10"/>
        </w:rPr>
        <w:t>▶ </w:t>
      </w:r>
      <w:r>
        <w:rPr>
          <w:rFonts w:ascii="Calibri" w:hAnsi="Calibri"/>
          <w:color w:val="231F1F"/>
          <w:w w:val="110"/>
        </w:rPr>
        <w:t>Tolvaptan: </w:t>
      </w:r>
      <w:r>
        <w:rPr>
          <w:color w:val="231F1F"/>
          <w:w w:val="110"/>
        </w:rPr>
        <w:t>ketoconazole increases plasma concentration </w:t>
      </w:r>
      <w:r>
        <w:rPr>
          <w:color w:val="231F1F"/>
          <w:spacing w:val="-7"/>
          <w:w w:val="110"/>
        </w:rPr>
        <w:t>of </w:t>
      </w:r>
      <w:r>
        <w:rPr>
          <w:rFonts w:ascii="Calibri" w:hAnsi="Calibri"/>
          <w:color w:val="008356"/>
          <w:w w:val="110"/>
          <w:sz w:val="11"/>
        </w:rPr>
        <w:t>TOLVAPTAN</w:t>
      </w:r>
      <w:r>
        <w:rPr>
          <w:rFonts w:ascii="Arial" w:hAnsi="Arial"/>
          <w:color w:val="231F1F"/>
          <w:w w:val="110"/>
        </w:rPr>
        <w:t>—</w:t>
      </w:r>
      <w:r>
        <w:rPr>
          <w:color w:val="231F1F"/>
          <w:w w:val="110"/>
        </w:rPr>
        <w:t>manufacturer of ketoconazole advises avoid concomitant</w:t>
      </w:r>
      <w:r>
        <w:rPr>
          <w:color w:val="231F1F"/>
          <w:spacing w:val="-3"/>
          <w:w w:val="110"/>
        </w:rPr>
        <w:t> </w:t>
      </w:r>
      <w:r>
        <w:rPr>
          <w:color w:val="231F1F"/>
          <w:w w:val="110"/>
        </w:rPr>
        <w:t>use</w:t>
      </w:r>
    </w:p>
    <w:p>
      <w:pPr>
        <w:spacing w:line="220" w:lineRule="auto" w:before="12"/>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Ulcer-healing Drugs: </w:t>
      </w:r>
      <w:r>
        <w:rPr>
          <w:color w:val="231F1F"/>
          <w:w w:val="105"/>
          <w:sz w:val="12"/>
        </w:rPr>
        <w:t>absorption of ketoconazole reduced by </w:t>
      </w:r>
      <w:r>
        <w:rPr>
          <w:rFonts w:ascii="Calibri" w:hAnsi="Calibri"/>
          <w:color w:val="008356"/>
          <w:w w:val="105"/>
          <w:position w:val="2"/>
          <w:sz w:val="11"/>
        </w:rPr>
        <w:t>HISTAMINE H</w:t>
      </w:r>
      <w:r>
        <w:rPr>
          <w:rFonts w:ascii="Calibri" w:hAnsi="Calibri"/>
          <w:color w:val="008356"/>
          <w:w w:val="105"/>
          <w:position w:val="2"/>
          <w:sz w:val="11"/>
          <w:vertAlign w:val="subscript"/>
        </w:rPr>
        <w:t>2</w:t>
      </w:r>
      <w:r>
        <w:rPr>
          <w:rFonts w:ascii="Calibri" w:hAnsi="Calibri"/>
          <w:color w:val="008356"/>
          <w:w w:val="105"/>
          <w:position w:val="2"/>
          <w:sz w:val="11"/>
          <w:vertAlign w:val="baseline"/>
        </w:rPr>
        <w:t>-ANTAGONISTS</w:t>
      </w:r>
      <w:r>
        <w:rPr>
          <w:color w:val="231F1F"/>
          <w:w w:val="105"/>
          <w:position w:val="2"/>
          <w:sz w:val="12"/>
          <w:vertAlign w:val="baseline"/>
        </w:rPr>
        <w:t>, </w:t>
      </w:r>
      <w:r>
        <w:rPr>
          <w:rFonts w:ascii="Calibri" w:hAnsi="Calibri"/>
          <w:color w:val="008356"/>
          <w:w w:val="105"/>
          <w:position w:val="2"/>
          <w:sz w:val="11"/>
          <w:vertAlign w:val="baseline"/>
        </w:rPr>
        <w:t>PROTON PUMP INHIBITORS </w:t>
      </w:r>
      <w:r>
        <w:rPr>
          <w:color w:val="231F1F"/>
          <w:w w:val="105"/>
          <w:position w:val="2"/>
          <w:sz w:val="12"/>
          <w:vertAlign w:val="baseline"/>
        </w:rPr>
        <w:t>and </w:t>
      </w:r>
      <w:r>
        <w:rPr>
          <w:rFonts w:ascii="Calibri" w:hAnsi="Calibri"/>
          <w:color w:val="008356"/>
          <w:w w:val="105"/>
          <w:sz w:val="11"/>
          <w:vertAlign w:val="baseline"/>
        </w:rPr>
        <w:t>SUCRALFATE</w:t>
      </w:r>
    </w:p>
    <w:p>
      <w:pPr>
        <w:spacing w:line="230" w:lineRule="auto" w:before="4"/>
        <w:ind w:left="286" w:right="819" w:hanging="100"/>
        <w:jc w:val="left"/>
        <w:rPr>
          <w:sz w:val="12"/>
        </w:rPr>
      </w:pPr>
      <w:r>
        <w:rPr>
          <w:rFonts w:ascii="Lucida Sans Unicode" w:hAnsi="Lucida Sans Unicode"/>
          <w:color w:val="A7A8AC"/>
          <w:w w:val="95"/>
          <w:sz w:val="10"/>
        </w:rPr>
        <w:t>▶ </w:t>
      </w:r>
      <w:r>
        <w:rPr>
          <w:rFonts w:ascii="Calibri" w:hAnsi="Calibri"/>
          <w:color w:val="231F1F"/>
          <w:w w:val="110"/>
          <w:sz w:val="12"/>
        </w:rPr>
        <w:t>Ulipristal: </w:t>
      </w:r>
      <w:r>
        <w:rPr>
          <w:color w:val="231F1F"/>
          <w:w w:val="110"/>
          <w:sz w:val="12"/>
        </w:rPr>
        <w:t>ketoconazole increases plasma concentration of </w:t>
      </w:r>
      <w:r>
        <w:rPr>
          <w:i/>
          <w:color w:val="231F1F"/>
          <w:w w:val="110"/>
          <w:sz w:val="12"/>
        </w:rPr>
        <w:t>low-dose </w:t>
      </w:r>
      <w:r>
        <w:rPr>
          <w:rFonts w:ascii="Calibri" w:hAnsi="Calibri"/>
          <w:color w:val="008356"/>
          <w:w w:val="110"/>
          <w:sz w:val="11"/>
        </w:rPr>
        <w:t>ULIPRISTAL</w:t>
      </w:r>
      <w:r>
        <w:rPr>
          <w:rFonts w:ascii="Arial" w:hAnsi="Arial"/>
          <w:color w:val="231F1F"/>
          <w:w w:val="110"/>
          <w:sz w:val="12"/>
        </w:rPr>
        <w:t>—</w:t>
      </w:r>
      <w:r>
        <w:rPr>
          <w:color w:val="231F1F"/>
          <w:w w:val="110"/>
          <w:sz w:val="12"/>
        </w:rPr>
        <w:t>manufacturer of </w:t>
      </w:r>
      <w:r>
        <w:rPr>
          <w:i/>
          <w:color w:val="231F1F"/>
          <w:w w:val="110"/>
          <w:sz w:val="12"/>
        </w:rPr>
        <w:t>low-dose </w:t>
      </w:r>
      <w:r>
        <w:rPr>
          <w:color w:val="231F1F"/>
          <w:w w:val="110"/>
          <w:sz w:val="12"/>
        </w:rPr>
        <w:t>ulipristal advises avoid concomitant use</w:t>
      </w:r>
    </w:p>
    <w:p>
      <w:pPr>
        <w:pStyle w:val="BodyText"/>
        <w:spacing w:line="146" w:lineRule="exact" w:before="3"/>
        <w:ind w:left="186"/>
      </w:pPr>
      <w:r>
        <w:rPr>
          <w:rFonts w:ascii="Arial"/>
          <w:color w:val="231F1F"/>
          <w:w w:val="355"/>
          <w:position w:val="1"/>
          <w:sz w:val="7"/>
        </w:rPr>
        <w:t>l </w:t>
      </w:r>
      <w:r>
        <w:rPr>
          <w:rFonts w:ascii="Calibri"/>
          <w:color w:val="231F1F"/>
          <w:w w:val="115"/>
        </w:rPr>
        <w:t>Vardenafil: </w:t>
      </w:r>
      <w:r>
        <w:rPr>
          <w:color w:val="231F1F"/>
          <w:w w:val="115"/>
        </w:rPr>
        <w:t>ketoconazole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VARDENAFIL</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spacing w:line="230" w:lineRule="auto" w:before="4"/>
        <w:ind w:left="286" w:right="991" w:hanging="100"/>
        <w:jc w:val="left"/>
        <w:rPr>
          <w:sz w:val="12"/>
        </w:rPr>
      </w:pPr>
      <w:r>
        <w:rPr>
          <w:rFonts w:ascii="Lucida Sans Unicode" w:hAnsi="Lucida Sans Unicode"/>
          <w:color w:val="A7A8AC"/>
          <w:w w:val="95"/>
          <w:sz w:val="10"/>
        </w:rPr>
        <w:t>▶ </w:t>
      </w:r>
      <w:r>
        <w:rPr>
          <w:rFonts w:ascii="Calibri" w:hAnsi="Calibri"/>
          <w:color w:val="231F1F"/>
          <w:sz w:val="12"/>
        </w:rPr>
        <w:t>Vitamins: </w:t>
      </w:r>
      <w:r>
        <w:rPr>
          <w:color w:val="231F1F"/>
          <w:sz w:val="12"/>
        </w:rPr>
        <w:t>miconazole possibly reduces effects of </w:t>
      </w:r>
      <w:r>
        <w:rPr>
          <w:rFonts w:ascii="Calibri" w:hAnsi="Calibri"/>
          <w:color w:val="008356"/>
          <w:sz w:val="11"/>
        </w:rPr>
        <w:t>ALFACALCIDOL</w:t>
      </w:r>
      <w:r>
        <w:rPr>
          <w:color w:val="231F1F"/>
          <w:sz w:val="12"/>
        </w:rPr>
        <w:t>, </w:t>
      </w:r>
      <w:r>
        <w:rPr>
          <w:rFonts w:ascii="Calibri" w:hAnsi="Calibri"/>
          <w:color w:val="008356"/>
          <w:sz w:val="11"/>
        </w:rPr>
        <w:t>CALCITRIOL</w:t>
      </w:r>
      <w:r>
        <w:rPr>
          <w:color w:val="231F1F"/>
          <w:sz w:val="12"/>
        </w:rPr>
        <w:t>, </w:t>
      </w:r>
      <w:r>
        <w:rPr>
          <w:rFonts w:ascii="Calibri" w:hAnsi="Calibri"/>
          <w:color w:val="008356"/>
          <w:sz w:val="11"/>
        </w:rPr>
        <w:t>COLECALCIFEROL</w:t>
      </w:r>
      <w:r>
        <w:rPr>
          <w:color w:val="231F1F"/>
          <w:sz w:val="12"/>
        </w:rPr>
        <w:t>, </w:t>
      </w:r>
      <w:r>
        <w:rPr>
          <w:rFonts w:ascii="Calibri" w:hAnsi="Calibri"/>
          <w:color w:val="008356"/>
          <w:sz w:val="11"/>
        </w:rPr>
        <w:t>DIHYDROTACHYSTEROL</w:t>
      </w:r>
      <w:r>
        <w:rPr>
          <w:color w:val="231F1F"/>
          <w:sz w:val="12"/>
        </w:rPr>
        <w:t>, </w:t>
      </w:r>
      <w:r>
        <w:rPr>
          <w:rFonts w:ascii="Calibri" w:hAnsi="Calibri"/>
          <w:color w:val="008356"/>
          <w:sz w:val="11"/>
        </w:rPr>
        <w:t>ERGOCALCIFEROL</w:t>
      </w:r>
      <w:r>
        <w:rPr>
          <w:color w:val="231F1F"/>
          <w:sz w:val="12"/>
        </w:rPr>
        <w:t>, </w:t>
      </w:r>
      <w:r>
        <w:rPr>
          <w:rFonts w:ascii="Calibri" w:hAnsi="Calibri"/>
          <w:color w:val="008356"/>
          <w:sz w:val="11"/>
        </w:rPr>
        <w:t>PARICALCITOL </w:t>
      </w:r>
      <w:r>
        <w:rPr>
          <w:color w:val="231F1F"/>
          <w:sz w:val="12"/>
        </w:rPr>
        <w:t>and</w:t>
      </w:r>
    </w:p>
    <w:p>
      <w:pPr>
        <w:spacing w:before="4"/>
        <w:ind w:left="286" w:right="670" w:firstLine="0"/>
        <w:jc w:val="left"/>
        <w:rPr>
          <w:rFonts w:ascii="Calibri"/>
          <w:sz w:val="11"/>
        </w:rPr>
      </w:pPr>
      <w:r>
        <w:rPr>
          <w:rFonts w:ascii="Calibri"/>
          <w:color w:val="008356"/>
          <w:w w:val="110"/>
          <w:sz w:val="11"/>
        </w:rPr>
        <w:t>VITAMIN D</w:t>
      </w:r>
      <w:r>
        <w:rPr>
          <w:color w:val="231F1F"/>
          <w:w w:val="110"/>
          <w:sz w:val="12"/>
        </w:rPr>
        <w:t>; ketoconazole possibly increases plasma concentration of </w:t>
      </w:r>
      <w:r>
        <w:rPr>
          <w:rFonts w:ascii="Calibri"/>
          <w:color w:val="008356"/>
          <w:w w:val="110"/>
          <w:sz w:val="11"/>
        </w:rPr>
        <w:t>PARICALCITOL</w:t>
      </w:r>
    </w:p>
    <w:p>
      <w:pPr>
        <w:pStyle w:val="BodyText"/>
        <w:spacing w:before="9"/>
        <w:ind w:left="186"/>
      </w:pPr>
      <w:r>
        <w:rPr>
          <w:rFonts w:ascii="Trebuchet MS"/>
          <w:color w:val="008356"/>
          <w:w w:val="105"/>
        </w:rPr>
        <w:t>Antifungals, Polyene </w:t>
      </w:r>
      <w:r>
        <w:rPr>
          <w:i/>
          <w:color w:val="231F1F"/>
          <w:w w:val="105"/>
        </w:rPr>
        <w:t>see </w:t>
      </w:r>
      <w:r>
        <w:rPr>
          <w:color w:val="231F1F"/>
          <w:w w:val="105"/>
        </w:rPr>
        <w:t>Amphotericin</w:t>
      </w:r>
    </w:p>
    <w:p>
      <w:pPr>
        <w:pStyle w:val="BodyText"/>
        <w:spacing w:before="10"/>
        <w:ind w:left="186"/>
        <w:rPr>
          <w:rFonts w:ascii="Trebuchet MS"/>
        </w:rPr>
      </w:pPr>
      <w:r>
        <w:rPr>
          <w:rFonts w:ascii="Trebuchet MS"/>
          <w:color w:val="008356"/>
        </w:rPr>
        <w:t>Antifungals, Triazole</w:t>
      </w:r>
    </w:p>
    <w:p>
      <w:pPr>
        <w:pStyle w:val="BodyText"/>
        <w:spacing w:before="4"/>
        <w:ind w:left="286" w:right="625" w:hanging="1"/>
      </w:pPr>
      <w:r>
        <w:rPr>
          <w:rFonts w:ascii="Calibri"/>
          <w:color w:val="008356"/>
          <w:w w:val="115"/>
          <w:sz w:val="11"/>
        </w:rPr>
        <w:t>NOTE </w:t>
      </w:r>
      <w:r>
        <w:rPr>
          <w:color w:val="231F1F"/>
          <w:w w:val="115"/>
        </w:rPr>
        <w:t>In general, fluconazole interactions relate to multiple- dose treatment</w:t>
      </w:r>
    </w:p>
    <w:p>
      <w:pPr>
        <w:pStyle w:val="BodyText"/>
        <w:spacing w:line="146" w:lineRule="exact" w:before="2"/>
        <w:ind w:left="186"/>
      </w:pPr>
      <w:r>
        <w:rPr>
          <w:rFonts w:ascii="Arial"/>
          <w:color w:val="231F1F"/>
          <w:w w:val="355"/>
          <w:position w:val="1"/>
          <w:sz w:val="7"/>
        </w:rPr>
        <w:t>l </w:t>
      </w:r>
      <w:r>
        <w:rPr>
          <w:rFonts w:ascii="Calibri"/>
          <w:color w:val="231F1F"/>
          <w:w w:val="120"/>
        </w:rPr>
        <w:t>Aliskiren: </w:t>
      </w:r>
      <w:r>
        <w:rPr>
          <w:color w:val="231F1F"/>
          <w:w w:val="120"/>
        </w:rPr>
        <w:t>itraconazole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ALISKIREN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Aminophylline: </w:t>
      </w:r>
      <w:r>
        <w:rPr>
          <w:color w:val="231F1F"/>
          <w:w w:val="110"/>
        </w:rPr>
        <w:t>fluconazole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5"/>
          <w:w w:val="110"/>
          <w:sz w:val="11"/>
        </w:rPr>
        <w:t>AMINOPHYLLINE</w:t>
      </w:r>
    </w:p>
    <w:p>
      <w:pPr>
        <w:pStyle w:val="BodyText"/>
        <w:ind w:left="286" w:right="670" w:hanging="100"/>
      </w:pPr>
      <w:r>
        <w:rPr>
          <w:rFonts w:ascii="Arial"/>
          <w:color w:val="231F1F"/>
          <w:w w:val="355"/>
          <w:position w:val="1"/>
          <w:sz w:val="7"/>
        </w:rPr>
        <w:t>l </w:t>
      </w:r>
      <w:r>
        <w:rPr>
          <w:rFonts w:ascii="Calibri"/>
          <w:color w:val="231F1F"/>
          <w:w w:val="110"/>
        </w:rPr>
        <w:t>Analgesics: </w:t>
      </w:r>
      <w:r>
        <w:rPr>
          <w:color w:val="231F1F"/>
          <w:w w:val="110"/>
        </w:rPr>
        <w:t>fluconazole increases plasma concentration of </w:t>
      </w:r>
      <w:r>
        <w:rPr>
          <w:rFonts w:ascii="Calibri"/>
          <w:color w:val="008356"/>
          <w:w w:val="110"/>
          <w:sz w:val="11"/>
        </w:rPr>
        <w:t>CELECOXIB </w:t>
      </w:r>
      <w:r>
        <w:rPr>
          <w:color w:val="231F1F"/>
          <w:w w:val="110"/>
        </w:rPr>
        <w:t>(halve dose of celecoxib); voriconazole increases plasma concentration of </w:t>
      </w:r>
      <w:r>
        <w:rPr>
          <w:rFonts w:ascii="Calibri"/>
          <w:color w:val="008356"/>
          <w:w w:val="110"/>
          <w:sz w:val="11"/>
        </w:rPr>
        <w:t>DICLOFENAC</w:t>
      </w:r>
      <w:r>
        <w:rPr>
          <w:color w:val="231F1F"/>
          <w:w w:val="110"/>
        </w:rPr>
        <w:t>, </w:t>
      </w:r>
      <w:r>
        <w:rPr>
          <w:rFonts w:ascii="Calibri"/>
          <w:color w:val="008356"/>
          <w:w w:val="110"/>
          <w:sz w:val="11"/>
        </w:rPr>
        <w:t>IBUPROFEN </w:t>
      </w:r>
      <w:r>
        <w:rPr>
          <w:color w:val="231F1F"/>
          <w:w w:val="110"/>
        </w:rPr>
        <w:t>and</w:t>
      </w:r>
    </w:p>
    <w:p>
      <w:pPr>
        <w:pStyle w:val="BodyText"/>
        <w:spacing w:line="244" w:lineRule="auto"/>
        <w:ind w:left="286" w:right="663"/>
      </w:pPr>
      <w:r>
        <w:rPr>
          <w:rFonts w:ascii="Arial"/>
          <w:color w:val="231F1F"/>
          <w:w w:val="355"/>
          <w:position w:val="1"/>
          <w:sz w:val="7"/>
        </w:rPr>
        <w:t>l </w:t>
      </w:r>
      <w:r>
        <w:rPr>
          <w:rFonts w:ascii="Calibri"/>
          <w:color w:val="008356"/>
          <w:spacing w:val="4"/>
          <w:w w:val="105"/>
          <w:sz w:val="11"/>
        </w:rPr>
        <w:t>OXYCODONE</w:t>
      </w:r>
      <w:r>
        <w:rPr>
          <w:color w:val="231F1F"/>
          <w:spacing w:val="4"/>
          <w:w w:val="105"/>
        </w:rPr>
        <w:t>; </w:t>
      </w:r>
      <w:r>
        <w:rPr>
          <w:color w:val="231F1F"/>
          <w:w w:val="105"/>
        </w:rPr>
        <w:t>fluconazole increases plasma concentration of </w:t>
      </w:r>
      <w:r>
        <w:rPr>
          <w:rFonts w:ascii="Calibri"/>
          <w:color w:val="008356"/>
          <w:spacing w:val="4"/>
          <w:w w:val="105"/>
          <w:sz w:val="11"/>
        </w:rPr>
        <w:t>FLURBIPROFEN</w:t>
      </w:r>
      <w:r>
        <w:rPr>
          <w:color w:val="231F1F"/>
          <w:spacing w:val="4"/>
          <w:w w:val="105"/>
        </w:rPr>
        <w:t>, </w:t>
      </w:r>
      <w:r>
        <w:rPr>
          <w:rFonts w:ascii="Calibri"/>
          <w:color w:val="008356"/>
          <w:spacing w:val="4"/>
          <w:w w:val="105"/>
          <w:sz w:val="11"/>
        </w:rPr>
        <w:t>IBUPROFEN </w:t>
      </w:r>
      <w:r>
        <w:rPr>
          <w:color w:val="231F1F"/>
          <w:w w:val="105"/>
        </w:rPr>
        <w:t>and </w:t>
      </w:r>
      <w:r>
        <w:rPr>
          <w:rFonts w:ascii="Calibri"/>
          <w:color w:val="008356"/>
          <w:spacing w:val="4"/>
          <w:w w:val="105"/>
          <w:sz w:val="11"/>
        </w:rPr>
        <w:t>METHADONE</w:t>
      </w:r>
      <w:r>
        <w:rPr>
          <w:color w:val="231F1F"/>
          <w:spacing w:val="4"/>
          <w:w w:val="105"/>
        </w:rPr>
        <w:t>; </w:t>
      </w:r>
      <w:r>
        <w:rPr>
          <w:color w:val="231F1F"/>
          <w:w w:val="105"/>
        </w:rPr>
        <w:t>fluconazole increases plasma concentration of </w:t>
      </w:r>
      <w:r>
        <w:rPr>
          <w:rFonts w:ascii="Calibri"/>
          <w:color w:val="008356"/>
          <w:spacing w:val="3"/>
          <w:w w:val="105"/>
          <w:sz w:val="11"/>
        </w:rPr>
        <w:t>PARECOXIB </w:t>
      </w:r>
      <w:r>
        <w:rPr>
          <w:color w:val="231F1F"/>
          <w:w w:val="105"/>
        </w:rPr>
        <w:t>(reduce dose of parecoxib);  voriconazole  increases   plasma   concentration   of</w:t>
      </w:r>
      <w:r>
        <w:rPr>
          <w:color w:val="231F1F"/>
          <w:w w:val="105"/>
          <w:position w:val="1"/>
        </w:rPr>
        <w:t> </w:t>
      </w:r>
      <w:r>
        <w:rPr>
          <w:rFonts w:ascii="Arial"/>
          <w:color w:val="231F1F"/>
          <w:w w:val="355"/>
          <w:position w:val="1"/>
          <w:sz w:val="7"/>
        </w:rPr>
        <w:t>l </w:t>
      </w:r>
      <w:r>
        <w:rPr>
          <w:rFonts w:ascii="Calibri"/>
          <w:color w:val="008356"/>
          <w:spacing w:val="4"/>
          <w:w w:val="105"/>
          <w:sz w:val="11"/>
        </w:rPr>
        <w:t>ALFENTANIL </w:t>
      </w:r>
      <w:r>
        <w:rPr>
          <w:color w:val="231F1F"/>
          <w:w w:val="105"/>
        </w:rPr>
        <w:t>and </w:t>
      </w:r>
      <w:r>
        <w:rPr>
          <w:rFonts w:ascii="Arial"/>
          <w:color w:val="231F1F"/>
          <w:w w:val="355"/>
          <w:position w:val="1"/>
          <w:sz w:val="7"/>
        </w:rPr>
        <w:t>l </w:t>
      </w:r>
      <w:r>
        <w:rPr>
          <w:rFonts w:ascii="Calibri"/>
          <w:color w:val="008356"/>
          <w:spacing w:val="4"/>
          <w:w w:val="105"/>
          <w:sz w:val="11"/>
        </w:rPr>
        <w:t>METHADONE </w:t>
      </w:r>
      <w:r>
        <w:rPr>
          <w:color w:val="231F1F"/>
          <w:w w:val="105"/>
        </w:rPr>
        <w:t>(consider reducing dose of alfentanil  and  methadone);  fluconazole   inhibits  metabolism of </w:t>
      </w:r>
      <w:r>
        <w:rPr>
          <w:rFonts w:ascii="Calibri"/>
          <w:color w:val="008356"/>
          <w:spacing w:val="4"/>
          <w:w w:val="105"/>
          <w:sz w:val="11"/>
        </w:rPr>
        <w:t>ALFENTANIL </w:t>
      </w:r>
      <w:r>
        <w:rPr>
          <w:color w:val="231F1F"/>
          <w:w w:val="105"/>
        </w:rPr>
        <w:t>(risk of prolonged or delayed respiratory depression); itraconazole possibly inhibits metabolism of </w:t>
      </w:r>
      <w:r>
        <w:rPr>
          <w:rFonts w:ascii="Calibri"/>
          <w:color w:val="008356"/>
          <w:spacing w:val="4"/>
          <w:w w:val="105"/>
          <w:sz w:val="11"/>
        </w:rPr>
        <w:t>ALFENTANIL</w:t>
      </w:r>
      <w:r>
        <w:rPr>
          <w:color w:val="231F1F"/>
          <w:spacing w:val="4"/>
          <w:w w:val="105"/>
        </w:rPr>
        <w:t>; </w:t>
      </w:r>
      <w:r>
        <w:rPr>
          <w:color w:val="231F1F"/>
          <w:w w:val="105"/>
        </w:rPr>
        <w:t>triazoles possibly increase  plasma  concentration of </w:t>
      </w:r>
      <w:r>
        <w:rPr>
          <w:rFonts w:ascii="Arial"/>
          <w:color w:val="231F1F"/>
          <w:w w:val="355"/>
          <w:position w:val="1"/>
          <w:sz w:val="7"/>
        </w:rPr>
        <w:t>l </w:t>
      </w:r>
      <w:r>
        <w:rPr>
          <w:rFonts w:ascii="Calibri"/>
          <w:color w:val="008356"/>
          <w:spacing w:val="4"/>
          <w:w w:val="105"/>
          <w:sz w:val="11"/>
        </w:rPr>
        <w:t>FENTANYL</w:t>
      </w:r>
      <w:r>
        <w:rPr>
          <w:color w:val="231F1F"/>
          <w:spacing w:val="4"/>
          <w:w w:val="105"/>
        </w:rPr>
        <w:t>; </w:t>
      </w:r>
      <w:r>
        <w:rPr>
          <w:color w:val="231F1F"/>
          <w:w w:val="105"/>
        </w:rPr>
        <w:t>itraconazole possibly increases plasma concentration of </w:t>
      </w:r>
      <w:r>
        <w:rPr>
          <w:rFonts w:ascii="Arial"/>
          <w:color w:val="231F1F"/>
          <w:w w:val="355"/>
          <w:position w:val="1"/>
          <w:sz w:val="7"/>
        </w:rPr>
        <w:t>l </w:t>
      </w:r>
      <w:r>
        <w:rPr>
          <w:rFonts w:ascii="Calibri"/>
          <w:color w:val="008356"/>
          <w:spacing w:val="4"/>
          <w:w w:val="105"/>
          <w:sz w:val="11"/>
        </w:rPr>
        <w:t>METHADONE </w:t>
      </w:r>
      <w:r>
        <w:rPr>
          <w:color w:val="231F1F"/>
          <w:w w:val="105"/>
        </w:rPr>
        <w:t>(increased risk of</w:t>
      </w:r>
      <w:r>
        <w:rPr>
          <w:color w:val="231F1F"/>
          <w:spacing w:val="2"/>
          <w:w w:val="105"/>
        </w:rPr>
        <w:t> </w:t>
      </w:r>
      <w:r>
        <w:rPr>
          <w:color w:val="231F1F"/>
          <w:w w:val="105"/>
        </w:rPr>
        <w:t>ventricular</w:t>
      </w:r>
    </w:p>
    <w:p>
      <w:pPr>
        <w:pStyle w:val="BodyText"/>
        <w:spacing w:before="1"/>
        <w:ind w:left="286"/>
      </w:pPr>
      <w:r>
        <w:rPr>
          <w:color w:val="231F1F"/>
          <w:w w:val="115"/>
        </w:rPr>
        <w:t>arrhythmias); itraconazole increases plasma concentration of</w:t>
      </w:r>
    </w:p>
    <w:p>
      <w:pPr>
        <w:spacing w:line="133" w:lineRule="exact" w:before="12"/>
        <w:ind w:left="286" w:right="0" w:firstLine="0"/>
        <w:jc w:val="left"/>
        <w:rPr>
          <w:rFonts w:ascii="Calibri"/>
          <w:sz w:val="11"/>
        </w:rPr>
      </w:pPr>
      <w:r>
        <w:rPr>
          <w:rFonts w:ascii="Calibri"/>
          <w:color w:val="008356"/>
          <w:sz w:val="11"/>
        </w:rPr>
        <w:t>OXYCODONE</w:t>
      </w:r>
    </w:p>
    <w:p>
      <w:pPr>
        <w:pStyle w:val="BodyText"/>
        <w:spacing w:line="149"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itraconazole reduced by </w:t>
      </w:r>
      <w:r>
        <w:rPr>
          <w:rFonts w:ascii="Calibri" w:hAnsi="Calibri"/>
          <w:color w:val="008356"/>
          <w:w w:val="105"/>
          <w:sz w:val="11"/>
        </w:rPr>
        <w:t>ANTACIDS</w:t>
      </w:r>
    </w:p>
    <w:p>
      <w:pPr>
        <w:pStyle w:val="BodyText"/>
        <w:spacing w:line="138" w:lineRule="exact"/>
        <w:ind w:left="186"/>
      </w:pPr>
      <w:r>
        <w:rPr>
          <w:rFonts w:ascii="Arial"/>
          <w:color w:val="231F1F"/>
          <w:w w:val="355"/>
          <w:position w:val="1"/>
          <w:sz w:val="7"/>
        </w:rPr>
        <w:t>l </w:t>
      </w:r>
      <w:r>
        <w:rPr>
          <w:rFonts w:ascii="Calibri"/>
          <w:color w:val="231F1F"/>
          <w:w w:val="115"/>
        </w:rPr>
        <w:t>Anti-arrhythmics: </w:t>
      </w:r>
      <w:r>
        <w:rPr>
          <w:color w:val="231F1F"/>
          <w:w w:val="115"/>
        </w:rPr>
        <w:t>manufacturer of itraconazole advises avoid</w:t>
      </w:r>
    </w:p>
    <w:p>
      <w:pPr>
        <w:spacing w:line="247" w:lineRule="auto" w:before="0"/>
        <w:ind w:left="286" w:right="670" w:firstLine="0"/>
        <w:jc w:val="left"/>
        <w:rPr>
          <w:rFonts w:ascii="Calibri"/>
          <w:sz w:val="11"/>
        </w:rPr>
      </w:pPr>
      <w:r>
        <w:rPr>
          <w:color w:val="231F1F"/>
          <w:w w:val="110"/>
          <w:sz w:val="12"/>
        </w:rPr>
        <w:t>concomitant use with </w:t>
      </w:r>
      <w:r>
        <w:rPr>
          <w:rFonts w:ascii="Arial"/>
          <w:color w:val="231F1F"/>
          <w:w w:val="355"/>
          <w:position w:val="1"/>
          <w:sz w:val="7"/>
        </w:rPr>
        <w:t>l </w:t>
      </w:r>
      <w:r>
        <w:rPr>
          <w:rFonts w:ascii="Calibri"/>
          <w:color w:val="008356"/>
          <w:spacing w:val="4"/>
          <w:w w:val="110"/>
          <w:sz w:val="11"/>
        </w:rPr>
        <w:t>DISOPYRAMIDE</w:t>
      </w:r>
      <w:r>
        <w:rPr>
          <w:color w:val="231F1F"/>
          <w:spacing w:val="4"/>
          <w:w w:val="110"/>
          <w:sz w:val="12"/>
        </w:rPr>
        <w:t>; </w:t>
      </w:r>
      <w:r>
        <w:rPr>
          <w:color w:val="231F1F"/>
          <w:w w:val="110"/>
          <w:sz w:val="12"/>
        </w:rPr>
        <w:t>avoidance of itraconazole, posaconazole and voriconazole advised </w:t>
      </w:r>
      <w:r>
        <w:rPr>
          <w:color w:val="231F1F"/>
          <w:spacing w:val="-7"/>
          <w:w w:val="110"/>
          <w:sz w:val="12"/>
        </w:rPr>
        <w:t>by </w:t>
      </w:r>
      <w:r>
        <w:rPr>
          <w:color w:val="231F1F"/>
          <w:w w:val="110"/>
          <w:sz w:val="12"/>
        </w:rPr>
        <w:t>manufacturer of </w:t>
      </w:r>
      <w:r>
        <w:rPr>
          <w:rFonts w:ascii="Arial"/>
          <w:color w:val="231F1F"/>
          <w:w w:val="355"/>
          <w:position w:val="1"/>
          <w:sz w:val="7"/>
        </w:rPr>
        <w:t>l </w:t>
      </w:r>
      <w:r>
        <w:rPr>
          <w:rFonts w:ascii="Calibri"/>
          <w:color w:val="008356"/>
          <w:spacing w:val="5"/>
          <w:w w:val="110"/>
          <w:sz w:val="11"/>
        </w:rPr>
        <w:t>DRONEDARONE</w:t>
      </w:r>
    </w:p>
    <w:p>
      <w:pPr>
        <w:pStyle w:val="BodyText"/>
        <w:spacing w:line="139" w:lineRule="exact"/>
        <w:ind w:left="186"/>
      </w:pPr>
      <w:r>
        <w:rPr>
          <w:rFonts w:ascii="Arial"/>
          <w:color w:val="231F1F"/>
          <w:w w:val="355"/>
          <w:position w:val="1"/>
          <w:sz w:val="7"/>
        </w:rPr>
        <w:t>l </w:t>
      </w:r>
      <w:r>
        <w:rPr>
          <w:rFonts w:ascii="Calibri"/>
          <w:color w:val="231F1F"/>
          <w:w w:val="115"/>
        </w:rPr>
        <w:t>Antibacterials: </w:t>
      </w:r>
      <w:r>
        <w:rPr>
          <w:color w:val="231F1F"/>
          <w:w w:val="115"/>
        </w:rPr>
        <w:t>plasma concentration of itraconazole increased</w:t>
      </w:r>
    </w:p>
    <w:p>
      <w:pPr>
        <w:pStyle w:val="BodyText"/>
        <w:spacing w:line="244" w:lineRule="auto"/>
        <w:ind w:left="286" w:right="623"/>
      </w:pPr>
      <w:r>
        <w:rPr>
          <w:color w:val="231F1F"/>
          <w:w w:val="110"/>
        </w:rPr>
        <w:t>by </w:t>
      </w:r>
      <w:r>
        <w:rPr>
          <w:rFonts w:ascii="Calibri" w:hAnsi="Calibri"/>
          <w:color w:val="008356"/>
          <w:spacing w:val="4"/>
          <w:w w:val="110"/>
          <w:sz w:val="11"/>
        </w:rPr>
        <w:t>CLARITHROMYCIN</w:t>
      </w:r>
      <w:r>
        <w:rPr>
          <w:color w:val="231F1F"/>
          <w:spacing w:val="4"/>
          <w:w w:val="110"/>
        </w:rPr>
        <w:t>; </w:t>
      </w:r>
      <w:r>
        <w:rPr>
          <w:color w:val="231F1F"/>
          <w:w w:val="110"/>
        </w:rPr>
        <w:t>manufacturer of fluconazole advises avoid concomitant use with </w:t>
      </w:r>
      <w:r>
        <w:rPr>
          <w:rFonts w:ascii="Calibri" w:hAnsi="Calibri"/>
          <w:color w:val="008356"/>
          <w:spacing w:val="4"/>
          <w:w w:val="110"/>
          <w:sz w:val="11"/>
        </w:rPr>
        <w:t>ERYTHROMYCIN</w:t>
      </w:r>
      <w:r>
        <w:rPr>
          <w:color w:val="231F1F"/>
          <w:spacing w:val="4"/>
          <w:w w:val="110"/>
        </w:rPr>
        <w:t>; </w:t>
      </w:r>
      <w:r>
        <w:rPr>
          <w:color w:val="231F1F"/>
          <w:w w:val="110"/>
        </w:rPr>
        <w:t>triazoles</w:t>
      </w:r>
      <w:r>
        <w:rPr>
          <w:color w:val="231F1F"/>
          <w:spacing w:val="-21"/>
          <w:w w:val="110"/>
        </w:rPr>
        <w:t> </w:t>
      </w:r>
      <w:r>
        <w:rPr>
          <w:color w:val="231F1F"/>
          <w:w w:val="110"/>
        </w:rPr>
        <w:t>possibly increase plasma concentration of </w:t>
      </w:r>
      <w:r>
        <w:rPr>
          <w:rFonts w:ascii="Arial" w:hAnsi="Arial"/>
          <w:color w:val="231F1F"/>
          <w:w w:val="355"/>
          <w:position w:val="1"/>
          <w:sz w:val="7"/>
        </w:rPr>
        <w:t>l </w:t>
      </w:r>
      <w:r>
        <w:rPr>
          <w:rFonts w:ascii="Calibri" w:hAnsi="Calibri"/>
          <w:color w:val="008356"/>
          <w:spacing w:val="4"/>
          <w:w w:val="110"/>
          <w:sz w:val="11"/>
        </w:rPr>
        <w:t>RIFABUTIN </w:t>
      </w:r>
      <w:r>
        <w:rPr>
          <w:color w:val="231F1F"/>
          <w:w w:val="110"/>
        </w:rPr>
        <w:t>(increased risk of uveitis</w:t>
      </w:r>
      <w:r>
        <w:rPr>
          <w:rFonts w:ascii="Arial" w:hAnsi="Arial"/>
          <w:color w:val="231F1F"/>
          <w:w w:val="110"/>
        </w:rPr>
        <w:t>—</w:t>
      </w:r>
      <w:r>
        <w:rPr>
          <w:color w:val="231F1F"/>
          <w:w w:val="110"/>
        </w:rPr>
        <w:t>reduce rifabutin dose); posaconazole increases plasma concentration of </w:t>
      </w:r>
      <w:r>
        <w:rPr>
          <w:rFonts w:ascii="Arial" w:hAnsi="Arial"/>
          <w:color w:val="231F1F"/>
          <w:w w:val="355"/>
          <w:position w:val="1"/>
          <w:sz w:val="7"/>
        </w:rPr>
        <w:t>l </w:t>
      </w:r>
      <w:r>
        <w:rPr>
          <w:rFonts w:ascii="Calibri" w:hAnsi="Calibri"/>
          <w:color w:val="008356"/>
          <w:spacing w:val="3"/>
          <w:w w:val="110"/>
          <w:sz w:val="11"/>
        </w:rPr>
        <w:t>RIFABUTIN </w:t>
      </w:r>
      <w:r>
        <w:rPr>
          <w:color w:val="231F1F"/>
          <w:w w:val="110"/>
        </w:rPr>
        <w:t>(also plasma concentration of posaconazole reduced); voriconazole increases plasma concentration of </w:t>
      </w:r>
      <w:r>
        <w:rPr>
          <w:rFonts w:ascii="Arial" w:hAnsi="Arial"/>
          <w:color w:val="231F1F"/>
          <w:w w:val="355"/>
          <w:position w:val="1"/>
          <w:sz w:val="7"/>
        </w:rPr>
        <w:t>l </w:t>
      </w:r>
      <w:r>
        <w:rPr>
          <w:rFonts w:ascii="Calibri" w:hAnsi="Calibri"/>
          <w:color w:val="008356"/>
          <w:spacing w:val="4"/>
          <w:w w:val="110"/>
          <w:sz w:val="11"/>
        </w:rPr>
        <w:t>RIFABUTIN</w:t>
      </w:r>
      <w:r>
        <w:rPr>
          <w:color w:val="231F1F"/>
          <w:spacing w:val="4"/>
          <w:w w:val="110"/>
        </w:rPr>
        <w:t>, </w:t>
      </w:r>
      <w:r>
        <w:rPr>
          <w:color w:val="231F1F"/>
          <w:w w:val="110"/>
        </w:rPr>
        <w:t>also rifabutin reduces plasma concentration of voriconazole (increase dose of voriconazole and also monitor for rifabutin toxicity); fluconazole increases plasma concentration of </w:t>
      </w:r>
      <w:r>
        <w:rPr>
          <w:rFonts w:ascii="Arial" w:hAnsi="Arial"/>
          <w:color w:val="231F1F"/>
          <w:w w:val="355"/>
          <w:position w:val="1"/>
          <w:sz w:val="7"/>
        </w:rPr>
        <w:t>l </w:t>
      </w:r>
      <w:r>
        <w:rPr>
          <w:rFonts w:ascii="Calibri" w:hAnsi="Calibri"/>
          <w:color w:val="008356"/>
          <w:spacing w:val="3"/>
          <w:w w:val="110"/>
          <w:sz w:val="11"/>
        </w:rPr>
        <w:t>RIFABUTIN </w:t>
      </w:r>
      <w:r>
        <w:rPr>
          <w:color w:val="231F1F"/>
          <w:w w:val="110"/>
        </w:rPr>
        <w:t>(increased risk of uveitis</w:t>
      </w:r>
      <w:r>
        <w:rPr>
          <w:rFonts w:ascii="Arial" w:hAnsi="Arial"/>
          <w:color w:val="231F1F"/>
          <w:w w:val="110"/>
        </w:rPr>
        <w:t>—</w:t>
      </w:r>
      <w:r>
        <w:rPr>
          <w:color w:val="231F1F"/>
          <w:w w:val="110"/>
        </w:rPr>
        <w:t>reduce rifabutin dose); plasma concentration of itraconazole reduced by </w:t>
      </w:r>
      <w:r>
        <w:rPr>
          <w:rFonts w:ascii="Arial" w:hAnsi="Arial"/>
          <w:color w:val="231F1F"/>
          <w:w w:val="355"/>
          <w:position w:val="1"/>
          <w:sz w:val="7"/>
        </w:rPr>
        <w:t>l </w:t>
      </w:r>
      <w:r>
        <w:rPr>
          <w:rFonts w:ascii="Calibri" w:hAnsi="Calibri"/>
          <w:color w:val="008356"/>
          <w:spacing w:val="4"/>
          <w:w w:val="110"/>
          <w:sz w:val="11"/>
        </w:rPr>
        <w:t>RIFABUTIN</w:t>
      </w:r>
      <w:r>
        <w:rPr>
          <w:rFonts w:ascii="Calibri" w:hAnsi="Calibri"/>
          <w:color w:val="008356"/>
          <w:spacing w:val="-15"/>
          <w:w w:val="110"/>
          <w:sz w:val="11"/>
        </w:rPr>
        <w:t> </w:t>
      </w:r>
      <w:r>
        <w:rPr>
          <w:color w:val="231F1F"/>
          <w:w w:val="110"/>
        </w:rPr>
        <w:t>and</w:t>
      </w:r>
    </w:p>
    <w:p>
      <w:pPr>
        <w:pStyle w:val="BodyText"/>
        <w:spacing w:line="244" w:lineRule="auto" w:before="4"/>
        <w:ind w:left="286" w:right="712"/>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RIFAMPICIN</w:t>
      </w:r>
      <w:r>
        <w:rPr>
          <w:rFonts w:ascii="Arial" w:hAnsi="Arial"/>
          <w:color w:val="231F1F"/>
          <w:w w:val="115"/>
        </w:rPr>
        <w:t>—</w:t>
      </w:r>
      <w:r>
        <w:rPr>
          <w:color w:val="231F1F"/>
          <w:w w:val="115"/>
        </w:rPr>
        <w:t>manufacturer</w:t>
      </w:r>
      <w:r>
        <w:rPr>
          <w:color w:val="231F1F"/>
          <w:spacing w:val="-13"/>
          <w:w w:val="115"/>
        </w:rPr>
        <w:t> </w:t>
      </w:r>
      <w:r>
        <w:rPr>
          <w:color w:val="231F1F"/>
          <w:w w:val="115"/>
        </w:rPr>
        <w:t>of</w:t>
      </w:r>
      <w:r>
        <w:rPr>
          <w:color w:val="231F1F"/>
          <w:spacing w:val="-14"/>
          <w:w w:val="115"/>
        </w:rPr>
        <w:t> </w:t>
      </w:r>
      <w:r>
        <w:rPr>
          <w:color w:val="231F1F"/>
          <w:w w:val="115"/>
        </w:rPr>
        <w:t>itraconazole</w:t>
      </w:r>
      <w:r>
        <w:rPr>
          <w:color w:val="231F1F"/>
          <w:spacing w:val="-14"/>
          <w:w w:val="115"/>
        </w:rPr>
        <w:t> </w:t>
      </w:r>
      <w:r>
        <w:rPr>
          <w:color w:val="231F1F"/>
          <w:w w:val="115"/>
        </w:rPr>
        <w:t>advises</w:t>
      </w:r>
      <w:r>
        <w:rPr>
          <w:color w:val="231F1F"/>
          <w:spacing w:val="-15"/>
          <w:w w:val="115"/>
        </w:rPr>
        <w:t> </w:t>
      </w:r>
      <w:r>
        <w:rPr>
          <w:color w:val="231F1F"/>
          <w:w w:val="115"/>
        </w:rPr>
        <w:t>avoid concomitant use; plasma concentration of posaconazole reduced by </w:t>
      </w:r>
      <w:r>
        <w:rPr>
          <w:rFonts w:ascii="Arial" w:hAnsi="Arial"/>
          <w:color w:val="231F1F"/>
          <w:w w:val="355"/>
          <w:position w:val="1"/>
          <w:sz w:val="7"/>
        </w:rPr>
        <w:t>l </w:t>
      </w:r>
      <w:r>
        <w:rPr>
          <w:rFonts w:ascii="Calibri" w:hAnsi="Calibri"/>
          <w:color w:val="008356"/>
          <w:spacing w:val="4"/>
          <w:w w:val="115"/>
          <w:sz w:val="11"/>
        </w:rPr>
        <w:t>RIFAMPICIN</w:t>
      </w:r>
      <w:r>
        <w:rPr>
          <w:color w:val="231F1F"/>
          <w:spacing w:val="4"/>
          <w:w w:val="115"/>
        </w:rPr>
        <w:t>; </w:t>
      </w:r>
      <w:r>
        <w:rPr>
          <w:color w:val="231F1F"/>
          <w:w w:val="115"/>
        </w:rPr>
        <w:t>plasma concentration of voriconazole</w:t>
      </w:r>
      <w:r>
        <w:rPr>
          <w:color w:val="231F1F"/>
          <w:spacing w:val="-21"/>
          <w:w w:val="115"/>
        </w:rPr>
        <w:t> </w:t>
      </w:r>
      <w:r>
        <w:rPr>
          <w:color w:val="231F1F"/>
          <w:w w:val="115"/>
        </w:rPr>
        <w:t>reduced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RIFAMPICIN</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 use;</w:t>
      </w:r>
      <w:r>
        <w:rPr>
          <w:color w:val="231F1F"/>
          <w:spacing w:val="-17"/>
          <w:w w:val="115"/>
        </w:rPr>
        <w:t> </w:t>
      </w:r>
      <w:r>
        <w:rPr>
          <w:color w:val="231F1F"/>
          <w:w w:val="115"/>
        </w:rPr>
        <w:t>metabolism</w:t>
      </w:r>
      <w:r>
        <w:rPr>
          <w:color w:val="231F1F"/>
          <w:spacing w:val="-17"/>
          <w:w w:val="115"/>
        </w:rPr>
        <w:t> </w:t>
      </w:r>
      <w:r>
        <w:rPr>
          <w:color w:val="231F1F"/>
          <w:w w:val="115"/>
        </w:rPr>
        <w:t>of</w:t>
      </w:r>
      <w:r>
        <w:rPr>
          <w:color w:val="231F1F"/>
          <w:spacing w:val="-18"/>
          <w:w w:val="115"/>
        </w:rPr>
        <w:t> </w:t>
      </w:r>
      <w:r>
        <w:rPr>
          <w:color w:val="231F1F"/>
          <w:w w:val="115"/>
        </w:rPr>
        <w:t>fluconazole</w:t>
      </w:r>
      <w:r>
        <w:rPr>
          <w:color w:val="231F1F"/>
          <w:spacing w:val="-18"/>
          <w:w w:val="115"/>
        </w:rPr>
        <w:t> </w:t>
      </w:r>
      <w:r>
        <w:rPr>
          <w:color w:val="231F1F"/>
          <w:w w:val="115"/>
        </w:rPr>
        <w:t>accelerated</w:t>
      </w:r>
      <w:r>
        <w:rPr>
          <w:color w:val="231F1F"/>
          <w:spacing w:val="-17"/>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RIFAMPICIN </w:t>
      </w:r>
      <w:r>
        <w:rPr>
          <w:color w:val="231F1F"/>
          <w:w w:val="115"/>
        </w:rPr>
        <w:t>(reduced plasma concentration); fluconazole possibly increases plasma concentration of </w:t>
      </w:r>
      <w:r>
        <w:rPr>
          <w:rFonts w:ascii="Calibri" w:hAnsi="Calibri"/>
          <w:color w:val="008356"/>
          <w:spacing w:val="3"/>
          <w:w w:val="115"/>
          <w:sz w:val="11"/>
        </w:rPr>
        <w:t>BEDAQUILINE</w:t>
      </w:r>
      <w:r>
        <w:rPr>
          <w:rFonts w:ascii="Arial" w:hAnsi="Arial"/>
          <w:color w:val="231F1F"/>
          <w:spacing w:val="3"/>
          <w:w w:val="115"/>
        </w:rPr>
        <w:t>—</w:t>
      </w:r>
      <w:r>
        <w:rPr>
          <w:color w:val="231F1F"/>
          <w:spacing w:val="3"/>
          <w:w w:val="115"/>
        </w:rPr>
        <w:t>avoid </w:t>
      </w:r>
      <w:r>
        <w:rPr>
          <w:color w:val="231F1F"/>
          <w:w w:val="115"/>
        </w:rPr>
        <w:t>concomitant</w:t>
      </w:r>
      <w:r>
        <w:rPr>
          <w:color w:val="231F1F"/>
          <w:spacing w:val="-8"/>
          <w:w w:val="115"/>
        </w:rPr>
        <w:t> </w:t>
      </w:r>
      <w:r>
        <w:rPr>
          <w:color w:val="231F1F"/>
          <w:w w:val="115"/>
        </w:rPr>
        <w:t>use</w:t>
      </w:r>
      <w:r>
        <w:rPr>
          <w:color w:val="231F1F"/>
          <w:spacing w:val="-5"/>
          <w:w w:val="115"/>
        </w:rPr>
        <w:t> </w:t>
      </w:r>
      <w:r>
        <w:rPr>
          <w:color w:val="231F1F"/>
          <w:w w:val="115"/>
        </w:rPr>
        <w:t>if</w:t>
      </w:r>
      <w:r>
        <w:rPr>
          <w:color w:val="231F1F"/>
          <w:spacing w:val="-6"/>
          <w:w w:val="115"/>
        </w:rPr>
        <w:t> </w:t>
      </w:r>
      <w:r>
        <w:rPr>
          <w:color w:val="231F1F"/>
          <w:w w:val="115"/>
        </w:rPr>
        <w:t>fluconazole</w:t>
      </w:r>
      <w:r>
        <w:rPr>
          <w:color w:val="231F1F"/>
          <w:spacing w:val="-8"/>
          <w:w w:val="115"/>
        </w:rPr>
        <w:t> </w:t>
      </w:r>
      <w:r>
        <w:rPr>
          <w:color w:val="231F1F"/>
          <w:w w:val="115"/>
        </w:rPr>
        <w:t>given</w:t>
      </w:r>
      <w:r>
        <w:rPr>
          <w:color w:val="231F1F"/>
          <w:spacing w:val="-6"/>
          <w:w w:val="115"/>
        </w:rPr>
        <w:t> </w:t>
      </w:r>
      <w:r>
        <w:rPr>
          <w:color w:val="231F1F"/>
          <w:w w:val="115"/>
        </w:rPr>
        <w:t>for</w:t>
      </w:r>
      <w:r>
        <w:rPr>
          <w:color w:val="231F1F"/>
          <w:spacing w:val="-6"/>
          <w:w w:val="115"/>
        </w:rPr>
        <w:t> </w:t>
      </w:r>
      <w:r>
        <w:rPr>
          <w:color w:val="231F1F"/>
          <w:w w:val="115"/>
        </w:rPr>
        <w:t>more</w:t>
      </w:r>
      <w:r>
        <w:rPr>
          <w:color w:val="231F1F"/>
          <w:spacing w:val="-7"/>
          <w:w w:val="115"/>
        </w:rPr>
        <w:t> </w:t>
      </w:r>
      <w:r>
        <w:rPr>
          <w:color w:val="231F1F"/>
          <w:w w:val="115"/>
        </w:rPr>
        <w:t>than</w:t>
      </w:r>
      <w:r>
        <w:rPr>
          <w:color w:val="231F1F"/>
          <w:spacing w:val="-6"/>
          <w:w w:val="115"/>
        </w:rPr>
        <w:t> </w:t>
      </w:r>
      <w:r>
        <w:rPr>
          <w:color w:val="231F1F"/>
          <w:w w:val="115"/>
        </w:rPr>
        <w:t>14</w:t>
      </w:r>
      <w:r>
        <w:rPr>
          <w:color w:val="231F1F"/>
          <w:spacing w:val="-5"/>
          <w:w w:val="115"/>
        </w:rPr>
        <w:t> </w:t>
      </w:r>
      <w:r>
        <w:rPr>
          <w:color w:val="231F1F"/>
          <w:spacing w:val="-3"/>
          <w:w w:val="115"/>
        </w:rPr>
        <w:t>days</w:t>
      </w:r>
    </w:p>
    <w:p>
      <w:pPr>
        <w:pStyle w:val="BodyText"/>
        <w:ind w:left="286" w:right="625" w:hanging="100"/>
      </w:pPr>
      <w:r>
        <w:rPr>
          <w:rFonts w:ascii="Arial"/>
          <w:color w:val="231F1F"/>
          <w:w w:val="355"/>
          <w:position w:val="1"/>
          <w:sz w:val="7"/>
        </w:rPr>
        <w:t>l </w:t>
      </w:r>
      <w:r>
        <w:rPr>
          <w:rFonts w:ascii="Calibri"/>
          <w:color w:val="231F1F"/>
          <w:w w:val="110"/>
        </w:rPr>
        <w:t>Anticoagulants: </w:t>
      </w:r>
      <w:r>
        <w:rPr>
          <w:color w:val="231F1F"/>
          <w:w w:val="110"/>
        </w:rPr>
        <w:t>avoidance of itraconazole, posaconazole and voriconazole advised by manufacturer of </w:t>
      </w:r>
      <w:r>
        <w:rPr>
          <w:rFonts w:ascii="Calibri"/>
          <w:color w:val="008356"/>
          <w:w w:val="110"/>
          <w:sz w:val="11"/>
        </w:rPr>
        <w:t>APIXABAN</w:t>
      </w:r>
      <w:r>
        <w:rPr>
          <w:color w:val="231F1F"/>
          <w:w w:val="110"/>
        </w:rPr>
        <w:t>; fluconazole, itraconazole and voriconazole enhance</w:t>
      </w:r>
    </w:p>
    <w:p>
      <w:pPr>
        <w:spacing w:after="0"/>
        <w:sectPr>
          <w:headerReference w:type="even" r:id="rId13"/>
          <w:headerReference w:type="default" r:id="rId14"/>
          <w:pgSz w:w="8390" w:h="11910"/>
          <w:pgMar w:header="0" w:footer="0" w:top="460" w:bottom="280" w:left="480" w:right="0"/>
          <w:pgNumType w:start="1152"/>
          <w:cols w:num="2" w:equalWidth="0">
            <w:col w:w="3629" w:space="47"/>
            <w:col w:w="4234"/>
          </w:cols>
        </w:sectPr>
      </w:pPr>
    </w:p>
    <w:p>
      <w:pPr>
        <w:pStyle w:val="BodyText"/>
        <w:spacing w:before="8"/>
        <w:ind w:left="0"/>
        <w:rPr>
          <w:sz w:val="14"/>
        </w:rPr>
      </w:pPr>
    </w:p>
    <w:p>
      <w:pPr>
        <w:pStyle w:val="BodyText"/>
        <w:ind w:left="108"/>
        <w:rPr>
          <w:rFonts w:ascii="Arial"/>
        </w:rPr>
      </w:pPr>
      <w:r>
        <w:rPr>
          <w:rFonts w:ascii="Arial"/>
          <w:color w:val="008356"/>
        </w:rPr>
        <w:t>Antifungals, Triazole</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Anticoagulants (continued)</w:t>
      </w:r>
    </w:p>
    <w:p>
      <w:pPr>
        <w:spacing w:line="242" w:lineRule="auto" w:before="0"/>
        <w:ind w:left="208" w:right="138" w:firstLine="0"/>
        <w:jc w:val="left"/>
        <w:rPr>
          <w:rFonts w:ascii="Calibri"/>
          <w:sz w:val="11"/>
        </w:rPr>
      </w:pPr>
      <w:r>
        <w:rPr>
          <w:color w:val="231F1F"/>
          <w:w w:val="110"/>
          <w:sz w:val="12"/>
        </w:rPr>
        <w:t>anticoagulant effect of </w:t>
      </w:r>
      <w:r>
        <w:rPr>
          <w:rFonts w:ascii="Arial"/>
          <w:color w:val="231F1F"/>
          <w:w w:val="355"/>
          <w:position w:val="1"/>
          <w:sz w:val="7"/>
        </w:rPr>
        <w:t>l </w:t>
      </w:r>
      <w:r>
        <w:rPr>
          <w:rFonts w:ascii="Calibri"/>
          <w:color w:val="008356"/>
          <w:w w:val="110"/>
          <w:sz w:val="11"/>
        </w:rPr>
        <w:t>COUMARINS</w:t>
      </w:r>
      <w:r>
        <w:rPr>
          <w:color w:val="231F1F"/>
          <w:w w:val="110"/>
          <w:sz w:val="12"/>
        </w:rPr>
        <w:t>; avoidance of itraconazole advised by manufacturer of </w:t>
      </w:r>
      <w:r>
        <w:rPr>
          <w:rFonts w:ascii="Calibri"/>
          <w:color w:val="008356"/>
          <w:w w:val="110"/>
          <w:sz w:val="11"/>
        </w:rPr>
        <w:t>DABIGATRAN </w:t>
      </w:r>
      <w:r>
        <w:rPr>
          <w:color w:val="231F1F"/>
          <w:w w:val="110"/>
          <w:sz w:val="12"/>
        </w:rPr>
        <w:t>and </w:t>
      </w:r>
      <w:r>
        <w:rPr>
          <w:rFonts w:ascii="Calibri"/>
          <w:color w:val="008356"/>
          <w:w w:val="110"/>
          <w:sz w:val="11"/>
        </w:rPr>
        <w:t>RIVAROXABAN</w:t>
      </w:r>
      <w:r>
        <w:rPr>
          <w:color w:val="231F1F"/>
          <w:w w:val="110"/>
          <w:sz w:val="12"/>
        </w:rPr>
        <w:t>; avoidance of posaconazole and voriconazole advised by manufacturer of </w:t>
      </w:r>
      <w:r>
        <w:rPr>
          <w:rFonts w:ascii="Calibri"/>
          <w:color w:val="008356"/>
          <w:w w:val="110"/>
          <w:sz w:val="11"/>
        </w:rPr>
        <w:t>RIVAROXABAN</w:t>
      </w:r>
    </w:p>
    <w:p>
      <w:pPr>
        <w:spacing w:line="242" w:lineRule="auto" w:before="0"/>
        <w:ind w:left="208" w:right="0" w:hanging="100"/>
        <w:jc w:val="left"/>
        <w:rPr>
          <w:sz w:val="12"/>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avoidance of triazoles advised by manufacturer of </w:t>
      </w:r>
      <w:r>
        <w:rPr>
          <w:rFonts w:ascii="Arial" w:hAnsi="Arial"/>
          <w:color w:val="231F1F"/>
          <w:w w:val="355"/>
          <w:position w:val="1"/>
          <w:sz w:val="7"/>
        </w:rPr>
        <w:t>l </w:t>
      </w:r>
      <w:r>
        <w:rPr>
          <w:rFonts w:ascii="Calibri" w:hAnsi="Calibri"/>
          <w:color w:val="008356"/>
          <w:w w:val="110"/>
          <w:sz w:val="11"/>
        </w:rPr>
        <w:t>REBOXETINE</w:t>
      </w:r>
      <w:r>
        <w:rPr>
          <w:color w:val="231F1F"/>
          <w:w w:val="110"/>
          <w:sz w:val="12"/>
        </w:rPr>
        <w:t>; fluconazole possibly increases plasma concentration of </w:t>
      </w:r>
      <w:r>
        <w:rPr>
          <w:rFonts w:ascii="Calibri" w:hAnsi="Calibri"/>
          <w:color w:val="008356"/>
          <w:w w:val="110"/>
          <w:sz w:val="11"/>
        </w:rPr>
        <w:t>AMITRIPTYLINE </w:t>
      </w:r>
      <w:r>
        <w:rPr>
          <w:color w:val="231F1F"/>
          <w:w w:val="110"/>
          <w:sz w:val="12"/>
        </w:rPr>
        <w:t>and </w:t>
      </w:r>
      <w:r>
        <w:rPr>
          <w:rFonts w:ascii="Calibri" w:hAnsi="Calibri"/>
          <w:color w:val="008356"/>
          <w:w w:val="110"/>
          <w:sz w:val="11"/>
        </w:rPr>
        <w:t>NORTRIPTYLINE</w:t>
      </w:r>
      <w:r>
        <w:rPr>
          <w:color w:val="231F1F"/>
          <w:w w:val="110"/>
          <w:sz w:val="12"/>
        </w:rPr>
        <w:t>; plasma concentration of voriconazole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sz w:val="12"/>
        </w:rPr>
        <w:t>—</w:t>
      </w:r>
      <w:r>
        <w:rPr>
          <w:color w:val="231F1F"/>
          <w:w w:val="110"/>
          <w:sz w:val="12"/>
        </w:rPr>
        <w:t>avoid concomitant use</w:t>
      </w:r>
    </w:p>
    <w:p>
      <w:pPr>
        <w:pStyle w:val="BodyText"/>
        <w:spacing w:line="237" w:lineRule="auto"/>
        <w:ind w:hanging="100"/>
      </w:pPr>
      <w:r>
        <w:rPr>
          <w:rFonts w:ascii="Arial"/>
          <w:color w:val="231F1F"/>
          <w:w w:val="355"/>
          <w:position w:val="1"/>
          <w:sz w:val="7"/>
        </w:rPr>
        <w:t>l </w:t>
      </w:r>
      <w:r>
        <w:rPr>
          <w:rFonts w:ascii="Calibri"/>
          <w:color w:val="231F1F"/>
          <w:w w:val="110"/>
        </w:rPr>
        <w:t>Antidiabetics: </w:t>
      </w:r>
      <w:r>
        <w:rPr>
          <w:color w:val="231F1F"/>
          <w:w w:val="110"/>
        </w:rPr>
        <w:t>posaconazole possibly enhances hypoglycaemic effect of </w:t>
      </w:r>
      <w:r>
        <w:rPr>
          <w:rFonts w:ascii="Calibri"/>
          <w:color w:val="008356"/>
          <w:w w:val="110"/>
          <w:sz w:val="11"/>
        </w:rPr>
        <w:t>GLIPIZIDE</w:t>
      </w:r>
      <w:r>
        <w:rPr>
          <w:color w:val="231F1F"/>
          <w:w w:val="110"/>
        </w:rPr>
        <w:t>; fluconazole possibly enhances</w:t>
      </w:r>
    </w:p>
    <w:p>
      <w:pPr>
        <w:spacing w:line="247" w:lineRule="auto" w:before="0"/>
        <w:ind w:left="208" w:right="0" w:firstLine="0"/>
        <w:jc w:val="left"/>
        <w:rPr>
          <w:rFonts w:ascii="Calibri"/>
          <w:sz w:val="11"/>
        </w:rPr>
      </w:pPr>
      <w:r>
        <w:rPr>
          <w:color w:val="231F1F"/>
          <w:w w:val="110"/>
          <w:sz w:val="12"/>
        </w:rPr>
        <w:t>hypoglycaemic effect of </w:t>
      </w:r>
      <w:r>
        <w:rPr>
          <w:rFonts w:ascii="Calibri"/>
          <w:color w:val="008356"/>
          <w:w w:val="110"/>
          <w:sz w:val="11"/>
        </w:rPr>
        <w:t>NATEGLINIDE</w:t>
      </w:r>
      <w:r>
        <w:rPr>
          <w:color w:val="231F1F"/>
          <w:w w:val="110"/>
          <w:sz w:val="12"/>
        </w:rPr>
        <w:t>; itraconazole possibly enhances hypoglycaemic effect of </w:t>
      </w:r>
      <w:r>
        <w:rPr>
          <w:rFonts w:ascii="Calibri"/>
          <w:color w:val="008356"/>
          <w:w w:val="110"/>
          <w:sz w:val="11"/>
        </w:rPr>
        <w:t>REPAGLINIDE</w:t>
      </w:r>
      <w:r>
        <w:rPr>
          <w:color w:val="231F1F"/>
          <w:w w:val="110"/>
          <w:sz w:val="12"/>
        </w:rPr>
        <w:t>; fluconazole increases plasma concentration of </w:t>
      </w:r>
      <w:r>
        <w:rPr>
          <w:rFonts w:ascii="Arial"/>
          <w:color w:val="231F1F"/>
          <w:w w:val="355"/>
          <w:position w:val="1"/>
          <w:sz w:val="7"/>
        </w:rPr>
        <w:t>l </w:t>
      </w:r>
      <w:r>
        <w:rPr>
          <w:rFonts w:ascii="Calibri"/>
          <w:color w:val="008356"/>
          <w:w w:val="110"/>
          <w:sz w:val="11"/>
        </w:rPr>
        <w:t>SULFONYLUREAS</w:t>
      </w:r>
      <w:r>
        <w:rPr>
          <w:color w:val="231F1F"/>
          <w:w w:val="110"/>
          <w:sz w:val="12"/>
        </w:rPr>
        <w:t>; voriconazole possibly increases plasma concentration of </w:t>
      </w:r>
      <w:r>
        <w:rPr>
          <w:rFonts w:ascii="Calibri"/>
          <w:color w:val="008356"/>
          <w:w w:val="110"/>
          <w:sz w:val="11"/>
        </w:rPr>
        <w:t>SULFONYLUREAS</w:t>
      </w:r>
    </w:p>
    <w:p>
      <w:pPr>
        <w:pStyle w:val="BodyText"/>
        <w:spacing w:line="141" w:lineRule="exact"/>
        <w:ind w:left="108"/>
      </w:pPr>
      <w:r>
        <w:rPr>
          <w:rFonts w:ascii="Arial"/>
          <w:color w:val="231F1F"/>
          <w:w w:val="355"/>
          <w:position w:val="1"/>
          <w:sz w:val="7"/>
        </w:rPr>
        <w:t>l</w:t>
      </w:r>
      <w:r>
        <w:rPr>
          <w:rFonts w:ascii="Arial"/>
          <w:color w:val="231F1F"/>
          <w:spacing w:val="-40"/>
          <w:w w:val="355"/>
          <w:position w:val="1"/>
          <w:sz w:val="7"/>
        </w:rPr>
        <w:t> </w:t>
      </w:r>
      <w:r>
        <w:rPr>
          <w:rFonts w:ascii="Calibri"/>
          <w:color w:val="231F1F"/>
          <w:w w:val="110"/>
        </w:rPr>
        <w:t>Antiepileptics: </w:t>
      </w:r>
      <w:r>
        <w:rPr>
          <w:color w:val="231F1F"/>
          <w:w w:val="110"/>
        </w:rPr>
        <w:t>fluconazole possibly increases plasma</w:t>
      </w:r>
    </w:p>
    <w:p>
      <w:pPr>
        <w:spacing w:line="244" w:lineRule="auto" w:before="0"/>
        <w:ind w:left="208" w:right="0" w:firstLine="0"/>
        <w:jc w:val="left"/>
        <w:rPr>
          <w:sz w:val="12"/>
        </w:rPr>
      </w:pPr>
      <w:r>
        <w:rPr>
          <w:color w:val="231F1F"/>
          <w:w w:val="110"/>
          <w:sz w:val="12"/>
        </w:rPr>
        <w:t>concentration of </w:t>
      </w:r>
      <w:r>
        <w:rPr>
          <w:rFonts w:ascii="Calibri"/>
          <w:color w:val="008356"/>
          <w:spacing w:val="4"/>
          <w:w w:val="110"/>
          <w:sz w:val="11"/>
        </w:rPr>
        <w:t>CARBAMAZEPINE</w:t>
      </w:r>
      <w:r>
        <w:rPr>
          <w:color w:val="231F1F"/>
          <w:spacing w:val="4"/>
          <w:w w:val="110"/>
          <w:sz w:val="12"/>
        </w:rPr>
        <w:t>; </w:t>
      </w:r>
      <w:r>
        <w:rPr>
          <w:color w:val="231F1F"/>
          <w:w w:val="110"/>
          <w:sz w:val="12"/>
        </w:rPr>
        <w:t>plasma concentration of voriconazole</w:t>
      </w:r>
      <w:r>
        <w:rPr>
          <w:color w:val="231F1F"/>
          <w:spacing w:val="-7"/>
          <w:w w:val="110"/>
          <w:sz w:val="12"/>
        </w:rPr>
        <w:t> </w:t>
      </w:r>
      <w:r>
        <w:rPr>
          <w:color w:val="231F1F"/>
          <w:w w:val="110"/>
          <w:sz w:val="12"/>
        </w:rPr>
        <w:t>possibly</w:t>
      </w:r>
      <w:r>
        <w:rPr>
          <w:color w:val="231F1F"/>
          <w:spacing w:val="-4"/>
          <w:w w:val="110"/>
          <w:sz w:val="12"/>
        </w:rPr>
        <w:t> </w:t>
      </w:r>
      <w:r>
        <w:rPr>
          <w:color w:val="231F1F"/>
          <w:w w:val="110"/>
          <w:sz w:val="12"/>
        </w:rPr>
        <w:t>reduced</w:t>
      </w:r>
      <w:r>
        <w:rPr>
          <w:color w:val="231F1F"/>
          <w:spacing w:val="-5"/>
          <w:w w:val="110"/>
          <w:sz w:val="12"/>
        </w:rPr>
        <w:t> </w:t>
      </w:r>
      <w:r>
        <w:rPr>
          <w:color w:val="231F1F"/>
          <w:w w:val="110"/>
          <w:sz w:val="12"/>
        </w:rPr>
        <w:t>by</w:t>
      </w:r>
      <w:r>
        <w:rPr>
          <w:color w:val="231F1F"/>
          <w:spacing w:val="-4"/>
          <w:w w:val="110"/>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CARBAMAZEPINE</w:t>
      </w:r>
      <w:r>
        <w:rPr>
          <w:color w:val="231F1F"/>
          <w:spacing w:val="4"/>
          <w:w w:val="110"/>
          <w:sz w:val="12"/>
        </w:rPr>
        <w:t>,</w:t>
      </w:r>
    </w:p>
    <w:p>
      <w:pPr>
        <w:pStyle w:val="BodyText"/>
        <w:spacing w:line="247" w:lineRule="auto"/>
        <w:ind w:right="60"/>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PHENOBARBITAL</w:t>
      </w:r>
      <w:r>
        <w:rPr>
          <w:rFonts w:ascii="Calibri" w:hAnsi="Calibri"/>
          <w:color w:val="008356"/>
          <w:spacing w:val="-1"/>
          <w:w w:val="110"/>
          <w:sz w:val="11"/>
        </w:rPr>
        <w:t> </w:t>
      </w:r>
      <w:r>
        <w:rPr>
          <w:color w:val="231F1F"/>
          <w:w w:val="110"/>
        </w:rPr>
        <w:t>and</w:t>
      </w:r>
      <w:r>
        <w:rPr>
          <w:color w:val="231F1F"/>
          <w:spacing w:val="-12"/>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0"/>
          <w:sz w:val="11"/>
        </w:rPr>
        <w:t>PRIMIDONE</w:t>
      </w:r>
      <w:r>
        <w:rPr>
          <w:rFonts w:ascii="Arial" w:hAnsi="Arial"/>
          <w:color w:val="231F1F"/>
          <w:spacing w:val="3"/>
          <w:w w:val="110"/>
        </w:rPr>
        <w:t>—</w:t>
      </w:r>
      <w:r>
        <w:rPr>
          <w:color w:val="231F1F"/>
          <w:spacing w:val="3"/>
          <w:w w:val="110"/>
        </w:rPr>
        <w:t>avoid</w:t>
      </w:r>
      <w:r>
        <w:rPr>
          <w:color w:val="231F1F"/>
          <w:spacing w:val="-12"/>
          <w:w w:val="110"/>
        </w:rPr>
        <w:t> </w:t>
      </w:r>
      <w:r>
        <w:rPr>
          <w:color w:val="231F1F"/>
          <w:w w:val="110"/>
        </w:rPr>
        <w:t>concomitant</w:t>
      </w:r>
      <w:r>
        <w:rPr>
          <w:color w:val="231F1F"/>
          <w:spacing w:val="-12"/>
          <w:w w:val="110"/>
        </w:rPr>
        <w:t> </w:t>
      </w:r>
      <w:r>
        <w:rPr>
          <w:color w:val="231F1F"/>
          <w:w w:val="110"/>
        </w:rPr>
        <w:t>use; plasma concentration of itraconazole and posaconazole possibly</w:t>
      </w:r>
      <w:r>
        <w:rPr>
          <w:color w:val="231F1F"/>
          <w:spacing w:val="-9"/>
          <w:w w:val="110"/>
        </w:rPr>
        <w:t> </w:t>
      </w:r>
      <w:r>
        <w:rPr>
          <w:color w:val="231F1F"/>
          <w:w w:val="110"/>
        </w:rPr>
        <w:t>reduced</w:t>
      </w:r>
      <w:r>
        <w:rPr>
          <w:color w:val="231F1F"/>
          <w:spacing w:val="-7"/>
          <w:w w:val="110"/>
        </w:rPr>
        <w:t> </w:t>
      </w:r>
      <w:r>
        <w:rPr>
          <w:color w:val="231F1F"/>
          <w:w w:val="110"/>
        </w:rPr>
        <w:t>by</w:t>
      </w:r>
      <w:r>
        <w:rPr>
          <w:color w:val="231F1F"/>
          <w:spacing w:val="-6"/>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CARBAMAZEPINE</w:t>
      </w:r>
      <w:r>
        <w:rPr>
          <w:color w:val="231F1F"/>
          <w:spacing w:val="4"/>
          <w:w w:val="110"/>
        </w:rPr>
        <w:t>;</w:t>
      </w:r>
      <w:r>
        <w:rPr>
          <w:color w:val="231F1F"/>
          <w:spacing w:val="-6"/>
          <w:w w:val="110"/>
        </w:rPr>
        <w:t> </w:t>
      </w:r>
      <w:r>
        <w:rPr>
          <w:color w:val="231F1F"/>
          <w:w w:val="110"/>
        </w:rPr>
        <w:t>voriconazole</w:t>
      </w:r>
      <w:r>
        <w:rPr>
          <w:color w:val="231F1F"/>
          <w:spacing w:val="-9"/>
          <w:w w:val="110"/>
        </w:rPr>
        <w:t> </w:t>
      </w:r>
      <w:r>
        <w:rPr>
          <w:color w:val="231F1F"/>
          <w:w w:val="110"/>
        </w:rPr>
        <w:t>increases plasma concentration of </w:t>
      </w:r>
      <w:r>
        <w:rPr>
          <w:rFonts w:ascii="Arial" w:hAnsi="Arial"/>
          <w:color w:val="231F1F"/>
          <w:w w:val="355"/>
          <w:position w:val="1"/>
          <w:sz w:val="7"/>
        </w:rPr>
        <w:t>l </w:t>
      </w:r>
      <w:r>
        <w:rPr>
          <w:rFonts w:ascii="Calibri" w:hAnsi="Calibri"/>
          <w:color w:val="008356"/>
          <w:spacing w:val="4"/>
          <w:w w:val="110"/>
          <w:sz w:val="11"/>
        </w:rPr>
        <w:t>FOSPHENYTOIN </w:t>
      </w:r>
      <w:r>
        <w:rPr>
          <w:color w:val="231F1F"/>
          <w:w w:val="110"/>
        </w:rPr>
        <w:t>and </w:t>
      </w:r>
      <w:r>
        <w:rPr>
          <w:rFonts w:ascii="Arial" w:hAnsi="Arial"/>
          <w:color w:val="231F1F"/>
          <w:w w:val="355"/>
          <w:position w:val="1"/>
          <w:sz w:val="7"/>
        </w:rPr>
        <w:t>l </w:t>
      </w:r>
      <w:r>
        <w:rPr>
          <w:rFonts w:ascii="Calibri" w:hAnsi="Calibri"/>
          <w:color w:val="008356"/>
          <w:spacing w:val="4"/>
          <w:w w:val="110"/>
          <w:sz w:val="11"/>
        </w:rPr>
        <w:t>PHENYTOIN</w:t>
      </w:r>
      <w:r>
        <w:rPr>
          <w:color w:val="231F1F"/>
          <w:spacing w:val="4"/>
          <w:w w:val="110"/>
        </w:rPr>
        <w:t>, </w:t>
      </w:r>
      <w:r>
        <w:rPr>
          <w:color w:val="231F1F"/>
          <w:w w:val="110"/>
        </w:rPr>
        <w:t>also fosphenytoin and phenytoin reduces plasma  concentration of voriconazole (increase dose of voriconazole and also monitor for fosphenytoin and phenytoin toxicity); plasma concentration of posaconazole reduced</w:t>
      </w:r>
      <w:r>
        <w:rPr>
          <w:color w:val="231F1F"/>
          <w:spacing w:val="7"/>
          <w:w w:val="110"/>
        </w:rPr>
        <w:t> </w:t>
      </w:r>
      <w:r>
        <w:rPr>
          <w:color w:val="231F1F"/>
          <w:w w:val="110"/>
        </w:rPr>
        <w:t>by</w:t>
      </w:r>
    </w:p>
    <w:p>
      <w:pPr>
        <w:spacing w:line="244" w:lineRule="auto" w:before="0"/>
        <w:ind w:left="208" w:right="138" w:firstLine="0"/>
        <w:jc w:val="left"/>
        <w:rPr>
          <w:sz w:val="12"/>
        </w:rPr>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FOSPHENYTOIN </w:t>
      </w:r>
      <w:r>
        <w:rPr>
          <w:color w:val="231F1F"/>
          <w:w w:val="110"/>
          <w:sz w:val="12"/>
        </w:rPr>
        <w:t>and</w:t>
      </w:r>
      <w:r>
        <w:rPr>
          <w:color w:val="231F1F"/>
          <w:spacing w:val="-8"/>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PHENYTOIN</w:t>
      </w:r>
      <w:r>
        <w:rPr>
          <w:color w:val="231F1F"/>
          <w:spacing w:val="4"/>
          <w:w w:val="110"/>
          <w:sz w:val="12"/>
        </w:rPr>
        <w:t>;</w:t>
      </w:r>
      <w:r>
        <w:rPr>
          <w:color w:val="231F1F"/>
          <w:spacing w:val="-6"/>
          <w:w w:val="110"/>
          <w:sz w:val="12"/>
        </w:rPr>
        <w:t> </w:t>
      </w:r>
      <w:r>
        <w:rPr>
          <w:color w:val="231F1F"/>
          <w:w w:val="110"/>
          <w:sz w:val="12"/>
        </w:rPr>
        <w:t>plasma</w:t>
      </w:r>
      <w:r>
        <w:rPr>
          <w:color w:val="231F1F"/>
          <w:spacing w:val="-7"/>
          <w:w w:val="110"/>
          <w:sz w:val="12"/>
        </w:rPr>
        <w:t> </w:t>
      </w:r>
      <w:r>
        <w:rPr>
          <w:color w:val="231F1F"/>
          <w:w w:val="110"/>
          <w:sz w:val="12"/>
        </w:rPr>
        <w:t>concentration</w:t>
      </w:r>
      <w:r>
        <w:rPr>
          <w:color w:val="231F1F"/>
          <w:spacing w:val="-8"/>
          <w:w w:val="110"/>
          <w:sz w:val="12"/>
        </w:rPr>
        <w:t> </w:t>
      </w:r>
      <w:r>
        <w:rPr>
          <w:color w:val="231F1F"/>
          <w:w w:val="110"/>
          <w:sz w:val="12"/>
        </w:rPr>
        <w:t>of itraconazole</w:t>
      </w:r>
      <w:r>
        <w:rPr>
          <w:color w:val="231F1F"/>
          <w:spacing w:val="-13"/>
          <w:w w:val="110"/>
          <w:sz w:val="12"/>
        </w:rPr>
        <w:t> </w:t>
      </w:r>
      <w:r>
        <w:rPr>
          <w:color w:val="231F1F"/>
          <w:w w:val="110"/>
          <w:sz w:val="12"/>
        </w:rPr>
        <w:t>reduced</w:t>
      </w:r>
      <w:r>
        <w:rPr>
          <w:color w:val="231F1F"/>
          <w:spacing w:val="-14"/>
          <w:w w:val="110"/>
          <w:sz w:val="12"/>
        </w:rPr>
        <w:t> </w:t>
      </w:r>
      <w:r>
        <w:rPr>
          <w:color w:val="231F1F"/>
          <w:w w:val="110"/>
          <w:sz w:val="12"/>
        </w:rPr>
        <w:t>by</w:t>
      </w:r>
      <w:r>
        <w:rPr>
          <w:color w:val="231F1F"/>
          <w:spacing w:val="-13"/>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FOSPHENYTOIN</w:t>
      </w:r>
      <w:r>
        <w:rPr>
          <w:rFonts w:ascii="Calibri" w:hAnsi="Calibri"/>
          <w:color w:val="008356"/>
          <w:spacing w:val="-4"/>
          <w:w w:val="110"/>
          <w:sz w:val="11"/>
        </w:rPr>
        <w:t> </w:t>
      </w:r>
      <w:r>
        <w:rPr>
          <w:color w:val="231F1F"/>
          <w:w w:val="110"/>
          <w:sz w:val="12"/>
        </w:rPr>
        <w:t>and</w:t>
      </w:r>
      <w:r>
        <w:rPr>
          <w:color w:val="231F1F"/>
          <w:spacing w:val="-13"/>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PHENYTOIN</w:t>
      </w:r>
      <w:r>
        <w:rPr>
          <w:rFonts w:ascii="Arial" w:hAnsi="Arial"/>
          <w:color w:val="231F1F"/>
          <w:spacing w:val="4"/>
          <w:w w:val="110"/>
          <w:sz w:val="12"/>
        </w:rPr>
        <w:t>— </w:t>
      </w:r>
      <w:r>
        <w:rPr>
          <w:color w:val="231F1F"/>
          <w:w w:val="110"/>
          <w:sz w:val="12"/>
        </w:rPr>
        <w:t>avoid concomitant use; fluconazole increases plasma concentration</w:t>
      </w:r>
      <w:r>
        <w:rPr>
          <w:color w:val="231F1F"/>
          <w:spacing w:val="-9"/>
          <w:w w:val="110"/>
          <w:sz w:val="12"/>
        </w:rPr>
        <w:t> </w:t>
      </w:r>
      <w:r>
        <w:rPr>
          <w:color w:val="231F1F"/>
          <w:w w:val="110"/>
          <w:sz w:val="12"/>
        </w:rPr>
        <w:t>of</w:t>
      </w:r>
      <w:r>
        <w:rPr>
          <w:color w:val="231F1F"/>
          <w:spacing w:val="-9"/>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FOSPHENYTOIN</w:t>
      </w:r>
      <w:r>
        <w:rPr>
          <w:rFonts w:ascii="Calibri" w:hAnsi="Calibri"/>
          <w:color w:val="008356"/>
          <w:spacing w:val="-1"/>
          <w:w w:val="110"/>
          <w:sz w:val="11"/>
        </w:rPr>
        <w:t> </w:t>
      </w:r>
      <w:r>
        <w:rPr>
          <w:color w:val="231F1F"/>
          <w:w w:val="110"/>
          <w:sz w:val="12"/>
        </w:rPr>
        <w:t>and</w:t>
      </w:r>
      <w:r>
        <w:rPr>
          <w:color w:val="231F1F"/>
          <w:spacing w:val="-9"/>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PHENYTOIN</w:t>
      </w:r>
      <w:r>
        <w:rPr>
          <w:rFonts w:ascii="Calibri" w:hAnsi="Calibri"/>
          <w:color w:val="008356"/>
          <w:spacing w:val="1"/>
          <w:w w:val="110"/>
          <w:sz w:val="11"/>
        </w:rPr>
        <w:t> </w:t>
      </w:r>
      <w:r>
        <w:rPr>
          <w:color w:val="231F1F"/>
          <w:w w:val="110"/>
          <w:sz w:val="12"/>
        </w:rPr>
        <w:t>(consider reducing dose of fosphenytoin and phenytoin); plasma concentration of itraconazole and posaconazole possibly reduced by </w:t>
      </w:r>
      <w:r>
        <w:rPr>
          <w:rFonts w:ascii="Arial" w:hAnsi="Arial"/>
          <w:color w:val="231F1F"/>
          <w:w w:val="355"/>
          <w:position w:val="1"/>
          <w:sz w:val="7"/>
        </w:rPr>
        <w:t>l </w:t>
      </w:r>
      <w:r>
        <w:rPr>
          <w:rFonts w:ascii="Calibri" w:hAnsi="Calibri"/>
          <w:color w:val="008356"/>
          <w:spacing w:val="4"/>
          <w:w w:val="110"/>
          <w:sz w:val="11"/>
        </w:rPr>
        <w:t>PHENOBARBITAL</w:t>
      </w:r>
      <w:r>
        <w:rPr>
          <w:color w:val="231F1F"/>
          <w:spacing w:val="4"/>
          <w:w w:val="110"/>
          <w:sz w:val="12"/>
        </w:rPr>
        <w:t>; </w:t>
      </w:r>
      <w:r>
        <w:rPr>
          <w:color w:val="231F1F"/>
          <w:w w:val="110"/>
          <w:sz w:val="12"/>
        </w:rPr>
        <w:t>plasma concentration of itraconazole and posaconazole possibly reduced</w:t>
      </w:r>
      <w:r>
        <w:rPr>
          <w:color w:val="231F1F"/>
          <w:spacing w:val="8"/>
          <w:w w:val="110"/>
          <w:sz w:val="12"/>
        </w:rPr>
        <w:t> </w:t>
      </w:r>
      <w:r>
        <w:rPr>
          <w:color w:val="231F1F"/>
          <w:w w:val="110"/>
          <w:sz w:val="12"/>
        </w:rPr>
        <w:t>by</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PRIMIDONE</w:t>
      </w:r>
    </w:p>
    <w:p>
      <w:pPr>
        <w:pStyle w:val="BodyText"/>
        <w:spacing w:line="242" w:lineRule="auto"/>
        <w:ind w:right="15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triazoles possibly antagonise effects of </w:t>
      </w:r>
      <w:r>
        <w:rPr>
          <w:rFonts w:ascii="Calibri" w:hAnsi="Calibri"/>
          <w:color w:val="008356"/>
          <w:spacing w:val="4"/>
          <w:w w:val="110"/>
          <w:sz w:val="11"/>
        </w:rPr>
        <w:t>AMPHOTERICIN</w:t>
      </w:r>
      <w:r>
        <w:rPr>
          <w:color w:val="231F1F"/>
          <w:spacing w:val="4"/>
          <w:w w:val="110"/>
        </w:rPr>
        <w:t>; </w:t>
      </w:r>
      <w:r>
        <w:rPr>
          <w:color w:val="231F1F"/>
          <w:w w:val="110"/>
        </w:rPr>
        <w:t>monitoring for increased voriconazole side effects advised by manufacturer of </w:t>
      </w:r>
      <w:r>
        <w:rPr>
          <w:rFonts w:ascii="Calibri" w:hAnsi="Calibri"/>
          <w:color w:val="008356"/>
          <w:spacing w:val="4"/>
          <w:w w:val="110"/>
          <w:sz w:val="11"/>
        </w:rPr>
        <w:t>FLUCONAZOLE </w:t>
      </w:r>
      <w:r>
        <w:rPr>
          <w:color w:val="231F1F"/>
          <w:w w:val="110"/>
        </w:rPr>
        <w:t>if voriconazole given after fluconazole; plasma </w:t>
      </w:r>
      <w:r>
        <w:rPr>
          <w:color w:val="231F1F"/>
          <w:spacing w:val="-2"/>
          <w:w w:val="110"/>
        </w:rPr>
        <w:t>concentration </w:t>
      </w:r>
      <w:r>
        <w:rPr>
          <w:color w:val="231F1F"/>
          <w:w w:val="110"/>
        </w:rPr>
        <w:t>of itraconazole increased by </w:t>
      </w:r>
      <w:r>
        <w:rPr>
          <w:rFonts w:ascii="Calibri" w:hAnsi="Calibri"/>
          <w:color w:val="008356"/>
          <w:spacing w:val="4"/>
          <w:w w:val="110"/>
          <w:sz w:val="11"/>
        </w:rPr>
        <w:t>MICAFUNGIN </w:t>
      </w:r>
      <w:r>
        <w:rPr>
          <w:color w:val="231F1F"/>
          <w:w w:val="110"/>
        </w:rPr>
        <w:t>(consider</w:t>
      </w:r>
      <w:r>
        <w:rPr>
          <w:color w:val="231F1F"/>
          <w:spacing w:val="-20"/>
          <w:w w:val="110"/>
        </w:rPr>
        <w:t> </w:t>
      </w:r>
      <w:r>
        <w:rPr>
          <w:color w:val="231F1F"/>
          <w:w w:val="110"/>
        </w:rPr>
        <w:t>reducing dose of itraconazole); plasma concentration of fluconazole increased by</w:t>
      </w:r>
      <w:r>
        <w:rPr>
          <w:color w:val="231F1F"/>
          <w:spacing w:val="-7"/>
          <w:w w:val="110"/>
        </w:rPr>
        <w:t> </w:t>
      </w:r>
      <w:r>
        <w:rPr>
          <w:rFonts w:ascii="Calibri" w:hAnsi="Calibri"/>
          <w:color w:val="008356"/>
          <w:spacing w:val="5"/>
          <w:w w:val="110"/>
          <w:sz w:val="11"/>
        </w:rPr>
        <w:t>TERBINAFINE</w:t>
      </w:r>
    </w:p>
    <w:p>
      <w:pPr>
        <w:pStyle w:val="BodyText"/>
        <w:spacing w:line="138" w:lineRule="exact"/>
        <w:ind w:left="108"/>
      </w:pPr>
      <w:r>
        <w:rPr>
          <w:rFonts w:ascii="Arial"/>
          <w:color w:val="231F1F"/>
          <w:w w:val="355"/>
          <w:position w:val="1"/>
          <w:sz w:val="7"/>
        </w:rPr>
        <w:t>l </w:t>
      </w:r>
      <w:r>
        <w:rPr>
          <w:rFonts w:ascii="Calibri"/>
          <w:color w:val="231F1F"/>
          <w:w w:val="115"/>
        </w:rPr>
        <w:t>Antihistamines: </w:t>
      </w:r>
      <w:r>
        <w:rPr>
          <w:color w:val="231F1F"/>
          <w:w w:val="115"/>
        </w:rPr>
        <w:t>itraconazole inhibits metabolism of</w:t>
      </w:r>
    </w:p>
    <w:p>
      <w:pPr>
        <w:spacing w:line="140" w:lineRule="exact" w:before="0"/>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MIZOLASTINE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spacing w:line="242" w:lineRule="auto" w:before="0"/>
        <w:ind w:left="208" w:right="17"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triazoles advised by </w:t>
      </w:r>
      <w:r>
        <w:rPr>
          <w:color w:val="231F1F"/>
          <w:spacing w:val="-2"/>
          <w:w w:val="110"/>
          <w:sz w:val="12"/>
        </w:rPr>
        <w:t>manufacturer </w:t>
      </w:r>
      <w:r>
        <w:rPr>
          <w:color w:val="231F1F"/>
          <w:w w:val="110"/>
          <w:sz w:val="12"/>
        </w:rPr>
        <w:t>of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ARTEMETHER WITH LUMEFANTRINE</w:t>
      </w:r>
      <w:r>
        <w:rPr>
          <w:color w:val="231F1F"/>
          <w:spacing w:val="4"/>
          <w:w w:val="110"/>
          <w:sz w:val="12"/>
        </w:rPr>
        <w:t>; </w:t>
      </w:r>
      <w:r>
        <w:rPr>
          <w:color w:val="231F1F"/>
          <w:w w:val="110"/>
          <w:sz w:val="12"/>
        </w:rPr>
        <w:t>avoidance of triazoles advised by manufacturer of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ARTENIMOL WITH </w:t>
      </w:r>
      <w:r>
        <w:rPr>
          <w:rFonts w:ascii="Calibri"/>
          <w:color w:val="008356"/>
          <w:spacing w:val="5"/>
          <w:w w:val="110"/>
          <w:sz w:val="11"/>
        </w:rPr>
        <w:t>PIPERAQUINE </w:t>
      </w:r>
      <w:r>
        <w:rPr>
          <w:color w:val="231F1F"/>
          <w:w w:val="110"/>
          <w:sz w:val="12"/>
        </w:rPr>
        <w:t>(possible risk of ventricular arrhythmias)</w:t>
      </w:r>
    </w:p>
    <w:p>
      <w:pPr>
        <w:pStyle w:val="BodyText"/>
        <w:spacing w:line="244" w:lineRule="auto"/>
        <w:ind w:right="58" w:hanging="100"/>
      </w:pPr>
      <w:r>
        <w:rPr>
          <w:rFonts w:ascii="Arial" w:hAnsi="Arial"/>
          <w:color w:val="231F1F"/>
          <w:w w:val="355"/>
          <w:position w:val="1"/>
          <w:sz w:val="7"/>
        </w:rPr>
        <w:t>l </w:t>
      </w:r>
      <w:r>
        <w:rPr>
          <w:rFonts w:ascii="Calibri" w:hAnsi="Calibri"/>
          <w:color w:val="231F1F"/>
          <w:w w:val="110"/>
        </w:rPr>
        <w:t>Antimuscarinics: </w:t>
      </w:r>
      <w:r>
        <w:rPr>
          <w:color w:val="231F1F"/>
          <w:w w:val="110"/>
        </w:rPr>
        <w:t>avoidance of itraconazole advised by manufacturer</w:t>
      </w:r>
      <w:r>
        <w:rPr>
          <w:color w:val="231F1F"/>
          <w:spacing w:val="-9"/>
          <w:w w:val="110"/>
        </w:rPr>
        <w:t> </w:t>
      </w:r>
      <w:r>
        <w:rPr>
          <w:color w:val="231F1F"/>
          <w:w w:val="110"/>
        </w:rPr>
        <w:t>of</w:t>
      </w:r>
      <w:r>
        <w:rPr>
          <w:color w:val="231F1F"/>
          <w:spacing w:val="-10"/>
          <w:w w:val="110"/>
        </w:rPr>
        <w:t> </w:t>
      </w:r>
      <w:r>
        <w:rPr>
          <w:rFonts w:ascii="Calibri" w:hAnsi="Calibri"/>
          <w:color w:val="008356"/>
          <w:spacing w:val="4"/>
          <w:w w:val="110"/>
          <w:sz w:val="11"/>
        </w:rPr>
        <w:t>DARIFENACIN</w:t>
      </w:r>
      <w:r>
        <w:rPr>
          <w:rFonts w:ascii="Calibri" w:hAnsi="Calibri"/>
          <w:color w:val="008356"/>
          <w:spacing w:val="1"/>
          <w:w w:val="110"/>
          <w:sz w:val="11"/>
        </w:rPr>
        <w:t> </w:t>
      </w:r>
      <w:r>
        <w:rPr>
          <w:color w:val="231F1F"/>
          <w:w w:val="110"/>
        </w:rPr>
        <w:t>and</w:t>
      </w:r>
      <w:r>
        <w:rPr>
          <w:color w:val="231F1F"/>
          <w:spacing w:val="-10"/>
          <w:w w:val="110"/>
        </w:rPr>
        <w:t> </w:t>
      </w:r>
      <w:r>
        <w:rPr>
          <w:rFonts w:ascii="Calibri" w:hAnsi="Calibri"/>
          <w:color w:val="008356"/>
          <w:spacing w:val="3"/>
          <w:w w:val="110"/>
          <w:sz w:val="11"/>
        </w:rPr>
        <w:t>TOLTERODINE</w:t>
      </w:r>
      <w:r>
        <w:rPr>
          <w:color w:val="231F1F"/>
          <w:spacing w:val="3"/>
          <w:w w:val="110"/>
        </w:rPr>
        <w:t>;</w:t>
      </w:r>
      <w:r>
        <w:rPr>
          <w:color w:val="231F1F"/>
          <w:spacing w:val="-10"/>
          <w:w w:val="110"/>
        </w:rPr>
        <w:t> </w:t>
      </w:r>
      <w:r>
        <w:rPr>
          <w:color w:val="231F1F"/>
          <w:w w:val="110"/>
        </w:rPr>
        <w:t>manufacturer of fesoterodine advises dose reduction when itraconazole given with </w:t>
      </w:r>
      <w:r>
        <w:rPr>
          <w:rFonts w:ascii="Calibri" w:hAnsi="Calibri"/>
          <w:color w:val="008356"/>
          <w:spacing w:val="2"/>
          <w:w w:val="110"/>
          <w:sz w:val="11"/>
        </w:rPr>
        <w:t>FESOTERODINE</w:t>
      </w:r>
      <w:r>
        <w:rPr>
          <w:rFonts w:ascii="Arial" w:hAnsi="Arial"/>
          <w:color w:val="231F1F"/>
          <w:spacing w:val="2"/>
          <w:w w:val="110"/>
        </w:rPr>
        <w:t>—</w:t>
      </w:r>
      <w:r>
        <w:rPr>
          <w:color w:val="231F1F"/>
          <w:spacing w:val="2"/>
          <w:w w:val="110"/>
        </w:rPr>
        <w:t>consult </w:t>
      </w:r>
      <w:r>
        <w:rPr>
          <w:color w:val="231F1F"/>
          <w:w w:val="110"/>
        </w:rPr>
        <w:t>fesoterodine product literature; itraconazole possibly increases plasma concentration of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SOLIFENACIN</w:t>
      </w:r>
      <w:r>
        <w:rPr>
          <w:rFonts w:ascii="Arial" w:hAnsi="Arial"/>
          <w:color w:val="231F1F"/>
          <w:spacing w:val="3"/>
          <w:w w:val="110"/>
        </w:rPr>
        <w:t>—</w:t>
      </w:r>
      <w:r>
        <w:rPr>
          <w:color w:val="231F1F"/>
          <w:spacing w:val="3"/>
          <w:w w:val="110"/>
        </w:rPr>
        <w:t>see </w:t>
      </w:r>
      <w:r>
        <w:rPr>
          <w:color w:val="231F1F"/>
          <w:w w:val="110"/>
        </w:rPr>
        <w:t>under Solifenacin,</w:t>
      </w:r>
    </w:p>
    <w:p>
      <w:pPr>
        <w:pStyle w:val="BodyText"/>
        <w:spacing w:line="136" w:lineRule="exact"/>
      </w:pPr>
      <w:r>
        <w:rPr>
          <w:color w:val="231F1F"/>
          <w:w w:val="110"/>
        </w:rPr>
        <w:t>p. 670</w:t>
      </w:r>
    </w:p>
    <w:p>
      <w:pPr>
        <w:pStyle w:val="BodyText"/>
        <w:spacing w:line="244" w:lineRule="auto"/>
        <w:ind w:right="-8" w:hanging="100"/>
      </w:pPr>
      <w:r>
        <w:rPr>
          <w:rFonts w:ascii="Arial" w:hAnsi="Arial"/>
          <w:color w:val="231F1F"/>
          <w:w w:val="355"/>
          <w:position w:val="1"/>
          <w:sz w:val="7"/>
        </w:rPr>
        <w:t>l </w:t>
      </w:r>
      <w:r>
        <w:rPr>
          <w:rFonts w:ascii="Calibri" w:hAnsi="Calibri"/>
          <w:color w:val="231F1F"/>
          <w:w w:val="115"/>
        </w:rPr>
        <w:t>Antipsychotics: </w:t>
      </w:r>
      <w:r>
        <w:rPr>
          <w:color w:val="231F1F"/>
          <w:w w:val="115"/>
        </w:rPr>
        <w:t>itraconazole possibly increases plasma concentration of </w:t>
      </w:r>
      <w:r>
        <w:rPr>
          <w:rFonts w:ascii="Calibri" w:hAnsi="Calibri"/>
          <w:color w:val="008356"/>
          <w:spacing w:val="4"/>
          <w:w w:val="115"/>
          <w:sz w:val="11"/>
        </w:rPr>
        <w:t>HALOPERIDOL</w:t>
      </w:r>
      <w:r>
        <w:rPr>
          <w:color w:val="231F1F"/>
          <w:spacing w:val="4"/>
          <w:w w:val="115"/>
        </w:rPr>
        <w:t>; </w:t>
      </w:r>
      <w:r>
        <w:rPr>
          <w:color w:val="231F1F"/>
          <w:w w:val="115"/>
        </w:rPr>
        <w:t>itraconazole possibly increases plasma concentration of </w:t>
      </w:r>
      <w:r>
        <w:rPr>
          <w:rFonts w:ascii="Arial" w:hAnsi="Arial"/>
          <w:color w:val="231F1F"/>
          <w:w w:val="355"/>
          <w:position w:val="1"/>
          <w:sz w:val="7"/>
        </w:rPr>
        <w:t>l </w:t>
      </w:r>
      <w:r>
        <w:rPr>
          <w:rFonts w:ascii="Calibri" w:hAnsi="Calibri"/>
          <w:color w:val="008356"/>
          <w:spacing w:val="4"/>
          <w:w w:val="115"/>
          <w:sz w:val="11"/>
        </w:rPr>
        <w:t>ARIPIPRAZOLE </w:t>
      </w:r>
      <w:r>
        <w:rPr>
          <w:color w:val="231F1F"/>
          <w:w w:val="115"/>
        </w:rPr>
        <w:t>(reduce dose of aripiprazole</w:t>
      </w:r>
      <w:r>
        <w:rPr>
          <w:rFonts w:ascii="Arial" w:hAnsi="Arial"/>
          <w:color w:val="231F1F"/>
          <w:w w:val="115"/>
        </w:rPr>
        <w:t>—</w:t>
      </w:r>
      <w:r>
        <w:rPr>
          <w:color w:val="231F1F"/>
          <w:w w:val="115"/>
        </w:rPr>
        <w:t>consult aripiprazole product </w:t>
      </w:r>
      <w:r>
        <w:rPr>
          <w:color w:val="231F1F"/>
          <w:spacing w:val="-2"/>
          <w:w w:val="115"/>
        </w:rPr>
        <w:t>literature); </w:t>
      </w:r>
      <w:r>
        <w:rPr>
          <w:color w:val="231F1F"/>
          <w:w w:val="115"/>
        </w:rPr>
        <w:t>itraconazole, posaconazole and voriconazole possibly increase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 use; fluconazole possibly increases the plasma concentration of </w:t>
      </w:r>
      <w:r>
        <w:rPr>
          <w:rFonts w:ascii="Arial" w:hAnsi="Arial"/>
          <w:color w:val="231F1F"/>
          <w:w w:val="355"/>
          <w:position w:val="1"/>
          <w:sz w:val="7"/>
        </w:rPr>
        <w:t>l </w:t>
      </w:r>
      <w:r>
        <w:rPr>
          <w:rFonts w:ascii="Calibri" w:hAnsi="Calibri"/>
          <w:color w:val="008356"/>
          <w:spacing w:val="4"/>
          <w:w w:val="115"/>
          <w:sz w:val="11"/>
        </w:rPr>
        <w:t>LURASIDONE </w:t>
      </w:r>
      <w:r>
        <w:rPr>
          <w:color w:val="231F1F"/>
          <w:w w:val="115"/>
        </w:rPr>
        <w:t>(see under Lurasidone,</w:t>
      </w:r>
    </w:p>
    <w:p>
      <w:pPr>
        <w:pStyle w:val="BodyText"/>
        <w:spacing w:line="244" w:lineRule="auto"/>
        <w:ind w:right="315"/>
      </w:pPr>
      <w:r>
        <w:rPr>
          <w:color w:val="231F1F"/>
          <w:w w:val="110"/>
        </w:rPr>
        <w:t>p. 315); increased risk of ventricular arrhythmias when triazoles given with </w:t>
      </w:r>
      <w:r>
        <w:rPr>
          <w:rFonts w:ascii="Arial" w:hAnsi="Arial"/>
          <w:color w:val="231F1F"/>
          <w:w w:val="355"/>
          <w:position w:val="1"/>
          <w:sz w:val="7"/>
        </w:rPr>
        <w:t>l </w:t>
      </w:r>
      <w:r>
        <w:rPr>
          <w:rFonts w:ascii="Calibri" w:hAnsi="Calibri"/>
          <w:color w:val="008356"/>
          <w:w w:val="110"/>
          <w:sz w:val="11"/>
        </w:rPr>
        <w:t>PIMOZIDE</w:t>
      </w:r>
      <w:r>
        <w:rPr>
          <w:rFonts w:ascii="Arial" w:hAnsi="Arial"/>
          <w:color w:val="231F1F"/>
          <w:w w:val="110"/>
        </w:rPr>
        <w:t>—</w:t>
      </w:r>
      <w:r>
        <w:rPr>
          <w:color w:val="231F1F"/>
          <w:w w:val="110"/>
        </w:rPr>
        <w:t>avoid concomitant use; triazoles possibly increase plasma concentration of</w:t>
      </w:r>
    </w:p>
    <w:p>
      <w:pPr>
        <w:pStyle w:val="BodyText"/>
        <w:spacing w:line="247" w:lineRule="auto" w:before="1"/>
        <w:ind w:right="14" w:hanging="1"/>
        <w:rPr>
          <w:rFonts w:ascii="Calibri" w:hAnsi="Calibri"/>
          <w:sz w:val="11"/>
        </w:rPr>
      </w:pPr>
      <w:r>
        <w:rPr>
          <w:rFonts w:ascii="Arial" w:hAnsi="Arial"/>
          <w:color w:val="231F1F"/>
          <w:w w:val="355"/>
          <w:position w:val="1"/>
          <w:sz w:val="7"/>
        </w:rPr>
        <w:t>l </w:t>
      </w:r>
      <w:r>
        <w:rPr>
          <w:rFonts w:ascii="Calibri" w:hAnsi="Calibri"/>
          <w:color w:val="008356"/>
          <w:w w:val="115"/>
          <w:sz w:val="11"/>
        </w:rPr>
        <w:t>QUETIAPINE</w:t>
      </w:r>
      <w:r>
        <w:rPr>
          <w:rFonts w:ascii="Arial" w:hAnsi="Arial"/>
          <w:color w:val="231F1F"/>
          <w:w w:val="115"/>
        </w:rPr>
        <w:t>—</w:t>
      </w:r>
      <w:r>
        <w:rPr>
          <w:color w:val="231F1F"/>
          <w:w w:val="115"/>
        </w:rPr>
        <w:t>manufacturer of quetiapine advises avoid concomitant use; itraconazole possibly increases side-effects of </w:t>
      </w:r>
      <w:r>
        <w:rPr>
          <w:rFonts w:ascii="Calibri" w:hAnsi="Calibri"/>
          <w:color w:val="008356"/>
          <w:w w:val="115"/>
          <w:sz w:val="11"/>
        </w:rPr>
        <w:t>RISPERIDONE</w:t>
      </w:r>
    </w:p>
    <w:p>
      <w:pPr>
        <w:pStyle w:val="BodyText"/>
        <w:spacing w:line="139" w:lineRule="exact"/>
        <w:ind w:left="108"/>
      </w:pPr>
      <w:r>
        <w:rPr>
          <w:rFonts w:ascii="Arial"/>
          <w:color w:val="231F1F"/>
          <w:w w:val="355"/>
          <w:position w:val="1"/>
          <w:sz w:val="7"/>
        </w:rPr>
        <w:t>l</w:t>
      </w:r>
      <w:r>
        <w:rPr>
          <w:rFonts w:ascii="Arial"/>
          <w:color w:val="231F1F"/>
          <w:spacing w:val="-38"/>
          <w:w w:val="355"/>
          <w:position w:val="1"/>
          <w:sz w:val="7"/>
        </w:rPr>
        <w:t> </w:t>
      </w:r>
      <w:r>
        <w:rPr>
          <w:rFonts w:ascii="Calibri"/>
          <w:color w:val="231F1F"/>
          <w:w w:val="115"/>
        </w:rPr>
        <w:t>Antivirals:</w:t>
      </w:r>
      <w:r>
        <w:rPr>
          <w:rFonts w:ascii="Calibri"/>
          <w:color w:val="231F1F"/>
          <w:spacing w:val="-6"/>
          <w:w w:val="115"/>
        </w:rPr>
        <w:t> </w:t>
      </w:r>
      <w:r>
        <w:rPr>
          <w:color w:val="231F1F"/>
          <w:w w:val="115"/>
        </w:rPr>
        <w:t>plasma</w:t>
      </w:r>
      <w:r>
        <w:rPr>
          <w:color w:val="231F1F"/>
          <w:spacing w:val="-10"/>
          <w:w w:val="115"/>
        </w:rPr>
        <w:t> </w:t>
      </w:r>
      <w:r>
        <w:rPr>
          <w:color w:val="231F1F"/>
          <w:w w:val="115"/>
        </w:rPr>
        <w:t>concentration</w:t>
      </w:r>
      <w:r>
        <w:rPr>
          <w:color w:val="231F1F"/>
          <w:spacing w:val="-9"/>
          <w:w w:val="115"/>
        </w:rPr>
        <w:t> </w:t>
      </w:r>
      <w:r>
        <w:rPr>
          <w:color w:val="231F1F"/>
          <w:w w:val="115"/>
        </w:rPr>
        <w:t>of</w:t>
      </w:r>
      <w:r>
        <w:rPr>
          <w:color w:val="231F1F"/>
          <w:spacing w:val="-9"/>
          <w:w w:val="115"/>
        </w:rPr>
        <w:t> </w:t>
      </w:r>
      <w:r>
        <w:rPr>
          <w:color w:val="231F1F"/>
          <w:w w:val="115"/>
        </w:rPr>
        <w:t>voriconazole</w:t>
      </w:r>
      <w:r>
        <w:rPr>
          <w:color w:val="231F1F"/>
          <w:spacing w:val="-11"/>
          <w:w w:val="115"/>
        </w:rPr>
        <w:t> </w:t>
      </w:r>
      <w:r>
        <w:rPr>
          <w:color w:val="231F1F"/>
          <w:w w:val="115"/>
        </w:rPr>
        <w:t>increased</w:t>
      </w:r>
      <w:r>
        <w:rPr>
          <w:color w:val="231F1F"/>
          <w:spacing w:val="-10"/>
          <w:w w:val="115"/>
        </w:rPr>
        <w:t> </w:t>
      </w:r>
      <w:r>
        <w:rPr>
          <w:color w:val="231F1F"/>
          <w:w w:val="115"/>
        </w:rPr>
        <w:t>or</w:t>
      </w:r>
    </w:p>
    <w:p>
      <w:pPr>
        <w:pStyle w:val="BodyText"/>
      </w:pPr>
      <w:r>
        <w:rPr>
          <w:color w:val="231F1F"/>
          <w:w w:val="110"/>
        </w:rPr>
        <w:t>decreased by </w:t>
      </w:r>
      <w:r>
        <w:rPr>
          <w:rFonts w:ascii="Arial"/>
          <w:color w:val="231F1F"/>
          <w:w w:val="355"/>
          <w:position w:val="1"/>
          <w:sz w:val="7"/>
        </w:rPr>
        <w:t>l </w:t>
      </w:r>
      <w:r>
        <w:rPr>
          <w:rFonts w:ascii="Calibri"/>
          <w:color w:val="008356"/>
          <w:w w:val="110"/>
          <w:sz w:val="11"/>
        </w:rPr>
        <w:t>ATAZANAVIR </w:t>
      </w:r>
      <w:r>
        <w:rPr>
          <w:color w:val="231F1F"/>
          <w:w w:val="110"/>
        </w:rPr>
        <w:t>and plasma concentration of atazanavir also reduced; posaconazole increases plasma</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Antifungals, Triazole</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1888" filled="true" fillcolor="#bfdbcf" stroked="false">
            <v:fill type="solid"/>
            <w10:wrap type="none"/>
          </v:rect>
        </w:pict>
      </w:r>
      <w:r>
        <w:rPr/>
        <w:pict>
          <v:shape style="position:absolute;margin-left:399.725769pt;margin-top:-3.416702pt;width:10.4pt;height:78.850pt;mso-position-horizontal-relative:page;mso-position-vertical-relative:paragraph;z-index:191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pStyle w:val="BodyText"/>
        <w:spacing w:line="247" w:lineRule="auto"/>
        <w:ind w:right="725"/>
      </w:pPr>
      <w:r>
        <w:rPr>
          <w:color w:val="231F1F"/>
          <w:w w:val="110"/>
        </w:rPr>
        <w:t>concentration of </w:t>
      </w:r>
      <w:r>
        <w:rPr>
          <w:rFonts w:ascii="Arial" w:hAnsi="Arial"/>
          <w:color w:val="231F1F"/>
          <w:w w:val="355"/>
          <w:position w:val="1"/>
          <w:sz w:val="7"/>
        </w:rPr>
        <w:t>l </w:t>
      </w:r>
      <w:r>
        <w:rPr>
          <w:rFonts w:ascii="Calibri" w:hAnsi="Calibri"/>
          <w:color w:val="008356"/>
          <w:spacing w:val="3"/>
          <w:w w:val="110"/>
          <w:sz w:val="11"/>
        </w:rPr>
        <w:t>ATAZANAVIR</w:t>
      </w:r>
      <w:r>
        <w:rPr>
          <w:color w:val="231F1F"/>
          <w:spacing w:val="3"/>
          <w:w w:val="110"/>
        </w:rPr>
        <w:t>; </w:t>
      </w:r>
      <w:r>
        <w:rPr>
          <w:color w:val="231F1F"/>
          <w:w w:val="110"/>
        </w:rPr>
        <w:t>itraconazole, posaconazole and voriconazole possibly increase </w:t>
      </w:r>
      <w:r>
        <w:rPr>
          <w:color w:val="231F1F"/>
          <w:w w:val="130"/>
        </w:rPr>
        <w:t>the </w:t>
      </w:r>
      <w:r>
        <w:rPr>
          <w:color w:val="231F1F"/>
          <w:w w:val="110"/>
        </w:rPr>
        <w:t>plasma </w:t>
      </w:r>
      <w:r>
        <w:rPr>
          <w:color w:val="231F1F"/>
          <w:spacing w:val="-2"/>
          <w:w w:val="110"/>
        </w:rPr>
        <w:t>concentration </w:t>
      </w:r>
      <w:r>
        <w:rPr>
          <w:color w:val="231F1F"/>
          <w:w w:val="110"/>
        </w:rPr>
        <w:t>of </w:t>
      </w:r>
      <w:r>
        <w:rPr>
          <w:rFonts w:ascii="Arial" w:hAnsi="Arial"/>
          <w:color w:val="231F1F"/>
          <w:w w:val="355"/>
          <w:position w:val="1"/>
          <w:sz w:val="7"/>
        </w:rPr>
        <w:t>l </w:t>
      </w:r>
      <w:r>
        <w:rPr>
          <w:rFonts w:ascii="Calibri" w:hAnsi="Calibri"/>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 (see under Daclatasvir, p. 544); plasma concentration of voriconazole reduced by </w:t>
      </w:r>
      <w:r>
        <w:rPr>
          <w:rFonts w:ascii="Arial" w:hAnsi="Arial"/>
          <w:color w:val="231F1F"/>
          <w:w w:val="355"/>
          <w:position w:val="1"/>
          <w:sz w:val="7"/>
        </w:rPr>
        <w:t>l </w:t>
      </w:r>
      <w:r>
        <w:rPr>
          <w:rFonts w:ascii="Calibri" w:hAnsi="Calibri"/>
          <w:color w:val="008356"/>
          <w:spacing w:val="3"/>
          <w:w w:val="110"/>
          <w:sz w:val="11"/>
        </w:rPr>
        <w:t>EFAVIRENZ</w:t>
      </w:r>
      <w:r>
        <w:rPr>
          <w:color w:val="231F1F"/>
          <w:spacing w:val="3"/>
          <w:w w:val="110"/>
        </w:rPr>
        <w:t>, </w:t>
      </w:r>
      <w:r>
        <w:rPr>
          <w:color w:val="231F1F"/>
          <w:w w:val="110"/>
        </w:rPr>
        <w:t>also plasma concentration of efavirenz increased (increase voriconazole dose and reduce efavirenz dose); plasma concentration of itraconazole and posaconazole reduced by </w:t>
      </w:r>
      <w:r>
        <w:rPr>
          <w:rFonts w:ascii="Arial" w:hAnsi="Arial"/>
          <w:color w:val="231F1F"/>
          <w:w w:val="355"/>
          <w:position w:val="1"/>
          <w:sz w:val="7"/>
        </w:rPr>
        <w:t>l </w:t>
      </w:r>
      <w:r>
        <w:rPr>
          <w:rFonts w:ascii="Calibri" w:hAnsi="Calibri"/>
          <w:color w:val="008356"/>
          <w:spacing w:val="3"/>
          <w:w w:val="110"/>
          <w:sz w:val="11"/>
        </w:rPr>
        <w:t>EFAVIRENZ</w:t>
      </w:r>
      <w:r>
        <w:rPr>
          <w:color w:val="231F1F"/>
          <w:spacing w:val="3"/>
          <w:w w:val="110"/>
        </w:rPr>
        <w:t>; </w:t>
      </w:r>
      <w:r>
        <w:rPr>
          <w:color w:val="231F1F"/>
          <w:w w:val="110"/>
        </w:rPr>
        <w:t>plasma concentration of both drugs may increase when itraconazole given with </w:t>
      </w:r>
      <w:r>
        <w:rPr>
          <w:rFonts w:ascii="Calibri" w:hAnsi="Calibri"/>
          <w:color w:val="008356"/>
          <w:spacing w:val="4"/>
          <w:w w:val="110"/>
          <w:sz w:val="11"/>
        </w:rPr>
        <w:t>FOSAMPRENAVIR</w:t>
      </w:r>
      <w:r>
        <w:rPr>
          <w:color w:val="231F1F"/>
          <w:spacing w:val="4"/>
          <w:w w:val="110"/>
        </w:rPr>
        <w:t>; </w:t>
      </w:r>
      <w:r>
        <w:rPr>
          <w:color w:val="231F1F"/>
          <w:w w:val="110"/>
        </w:rPr>
        <w:t>plasma concentration of posaconazole possibly reduced by </w:t>
      </w:r>
      <w:r>
        <w:rPr>
          <w:rFonts w:ascii="Calibri" w:hAnsi="Calibri"/>
          <w:color w:val="008356"/>
          <w:spacing w:val="4"/>
          <w:w w:val="110"/>
          <w:sz w:val="11"/>
        </w:rPr>
        <w:t>FOSAMPRENAVIR</w:t>
      </w:r>
      <w:r>
        <w:rPr>
          <w:color w:val="231F1F"/>
          <w:spacing w:val="4"/>
          <w:w w:val="110"/>
        </w:rPr>
        <w:t>; </w:t>
      </w:r>
      <w:r>
        <w:rPr>
          <w:color w:val="231F1F"/>
          <w:w w:val="110"/>
        </w:rPr>
        <w:t>itraconazole increases plasma concentration of </w:t>
      </w:r>
      <w:r>
        <w:rPr>
          <w:rFonts w:ascii="Arial" w:hAnsi="Arial"/>
          <w:color w:val="231F1F"/>
          <w:w w:val="355"/>
          <w:position w:val="1"/>
          <w:sz w:val="7"/>
        </w:rPr>
        <w:t>l </w:t>
      </w:r>
      <w:r>
        <w:rPr>
          <w:rFonts w:ascii="Calibri" w:hAnsi="Calibri"/>
          <w:color w:val="008356"/>
          <w:spacing w:val="4"/>
          <w:w w:val="110"/>
          <w:sz w:val="11"/>
        </w:rPr>
        <w:t>INDINAVIR </w:t>
      </w:r>
      <w:r>
        <w:rPr>
          <w:color w:val="231F1F"/>
          <w:w w:val="110"/>
        </w:rPr>
        <w:t>(consider reducing dose of indinavir); fluconazole increases plasma concentration of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NEVIRAPINE</w:t>
      </w:r>
      <w:r>
        <w:rPr>
          <w:color w:val="231F1F"/>
          <w:spacing w:val="4"/>
          <w:w w:val="110"/>
        </w:rPr>
        <w:t>,</w:t>
      </w:r>
      <w:r>
        <w:rPr>
          <w:color w:val="231F1F"/>
          <w:spacing w:val="-5"/>
          <w:w w:val="110"/>
        </w:rPr>
        <w:t> </w:t>
      </w:r>
      <w:r>
        <w:rPr>
          <w:rFonts w:ascii="Calibri" w:hAnsi="Calibri"/>
          <w:color w:val="008356"/>
          <w:spacing w:val="3"/>
          <w:w w:val="110"/>
          <w:sz w:val="11"/>
        </w:rPr>
        <w:t>RITONAVIR</w:t>
      </w:r>
      <w:r>
        <w:rPr>
          <w:rFonts w:ascii="Calibri" w:hAnsi="Calibri"/>
          <w:color w:val="008356"/>
          <w:spacing w:val="5"/>
          <w:w w:val="110"/>
          <w:sz w:val="11"/>
        </w:rPr>
        <w:t> </w:t>
      </w:r>
      <w:r>
        <w:rPr>
          <w:color w:val="231F1F"/>
          <w:w w:val="110"/>
        </w:rPr>
        <w:t>and</w:t>
      </w:r>
      <w:r>
        <w:rPr>
          <w:color w:val="231F1F"/>
          <w:spacing w:val="-6"/>
          <w:w w:val="110"/>
        </w:rPr>
        <w:t> </w:t>
      </w:r>
      <w:r>
        <w:rPr>
          <w:rFonts w:ascii="Calibri" w:hAnsi="Calibri"/>
          <w:color w:val="008356"/>
          <w:spacing w:val="4"/>
          <w:w w:val="110"/>
          <w:sz w:val="11"/>
        </w:rPr>
        <w:t>TIPRANAVIR</w:t>
      </w:r>
      <w:r>
        <w:rPr>
          <w:color w:val="231F1F"/>
          <w:spacing w:val="4"/>
          <w:w w:val="110"/>
        </w:rPr>
        <w:t>;</w:t>
      </w:r>
      <w:r>
        <w:rPr>
          <w:color w:val="231F1F"/>
          <w:spacing w:val="-6"/>
          <w:w w:val="110"/>
        </w:rPr>
        <w:t> </w:t>
      </w:r>
      <w:r>
        <w:rPr>
          <w:color w:val="231F1F"/>
          <w:w w:val="110"/>
        </w:rPr>
        <w:t>plasma</w:t>
      </w:r>
    </w:p>
    <w:p>
      <w:pPr>
        <w:pStyle w:val="BodyText"/>
        <w:spacing w:line="128" w:lineRule="exact"/>
      </w:pPr>
      <w:r>
        <w:rPr>
          <w:color w:val="231F1F"/>
          <w:w w:val="115"/>
        </w:rPr>
        <w:t>concentration of itraconazole possibly reduced by</w:t>
      </w:r>
    </w:p>
    <w:p>
      <w:pPr>
        <w:pStyle w:val="BodyText"/>
        <w:spacing w:before="3"/>
        <w:ind w:right="625"/>
      </w:pPr>
      <w:r>
        <w:rPr>
          <w:rFonts w:ascii="Calibri" w:hAnsi="Calibri"/>
          <w:color w:val="008356"/>
          <w:spacing w:val="2"/>
          <w:w w:val="110"/>
          <w:sz w:val="11"/>
        </w:rPr>
        <w:t>NEVIRAPINE</w:t>
      </w:r>
      <w:r>
        <w:rPr>
          <w:rFonts w:ascii="Arial" w:hAnsi="Arial"/>
          <w:color w:val="231F1F"/>
          <w:spacing w:val="2"/>
          <w:w w:val="110"/>
        </w:rPr>
        <w:t>—</w:t>
      </w:r>
      <w:r>
        <w:rPr>
          <w:color w:val="231F1F"/>
          <w:spacing w:val="2"/>
          <w:w w:val="110"/>
        </w:rPr>
        <w:t>consider </w:t>
      </w:r>
      <w:r>
        <w:rPr>
          <w:color w:val="231F1F"/>
          <w:w w:val="110"/>
        </w:rPr>
        <w:t>increasing dose of itraconazole; plasma </w:t>
      </w:r>
      <w:r>
        <w:rPr>
          <w:color w:val="231F1F"/>
          <w:w w:val="115"/>
        </w:rPr>
        <w:t>concentration</w:t>
      </w:r>
      <w:r>
        <w:rPr>
          <w:color w:val="231F1F"/>
          <w:spacing w:val="-22"/>
          <w:w w:val="115"/>
        </w:rPr>
        <w:t> </w:t>
      </w:r>
      <w:r>
        <w:rPr>
          <w:color w:val="231F1F"/>
          <w:w w:val="115"/>
        </w:rPr>
        <w:t>of</w:t>
      </w:r>
      <w:r>
        <w:rPr>
          <w:color w:val="231F1F"/>
          <w:spacing w:val="-21"/>
          <w:w w:val="115"/>
        </w:rPr>
        <w:t> </w:t>
      </w:r>
      <w:r>
        <w:rPr>
          <w:color w:val="231F1F"/>
          <w:w w:val="115"/>
        </w:rPr>
        <w:t>voriconazole</w:t>
      </w:r>
      <w:r>
        <w:rPr>
          <w:color w:val="231F1F"/>
          <w:spacing w:val="-21"/>
          <w:w w:val="115"/>
        </w:rPr>
        <w:t> </w:t>
      </w:r>
      <w:r>
        <w:rPr>
          <w:color w:val="231F1F"/>
          <w:w w:val="115"/>
        </w:rPr>
        <w:t>reduced</w:t>
      </w:r>
      <w:r>
        <w:rPr>
          <w:color w:val="231F1F"/>
          <w:spacing w:val="-21"/>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avoid </w:t>
      </w:r>
      <w:r>
        <w:rPr>
          <w:color w:val="231F1F"/>
          <w:w w:val="115"/>
        </w:rPr>
        <w:t>concomitant use; combination of itraconazole</w:t>
      </w:r>
      <w:r>
        <w:rPr>
          <w:color w:val="231F1F"/>
          <w:spacing w:val="-18"/>
          <w:w w:val="115"/>
        </w:rPr>
        <w:t> </w:t>
      </w:r>
      <w:r>
        <w:rPr>
          <w:color w:val="231F1F"/>
          <w:w w:val="115"/>
        </w:rPr>
        <w:t>with</w:t>
      </w:r>
    </w:p>
    <w:p>
      <w:pPr>
        <w:pStyle w:val="BodyText"/>
        <w:spacing w:line="244" w:lineRule="auto" w:before="10"/>
        <w:ind w:right="670"/>
      </w:pPr>
      <w:r>
        <w:rPr>
          <w:rFonts w:ascii="Arial"/>
          <w:color w:val="231F1F"/>
          <w:w w:val="355"/>
          <w:position w:val="1"/>
          <w:sz w:val="7"/>
        </w:rPr>
        <w:t>l </w:t>
      </w:r>
      <w:r>
        <w:rPr>
          <w:rFonts w:ascii="Calibri"/>
          <w:color w:val="008356"/>
          <w:w w:val="110"/>
          <w:sz w:val="11"/>
        </w:rPr>
        <w:t>RITONAVIR </w:t>
      </w:r>
      <w:r>
        <w:rPr>
          <w:color w:val="231F1F"/>
          <w:w w:val="110"/>
        </w:rPr>
        <w:t>may increase plasma concentration of either drug (or both); triazoles possibly increase plasma concentration of </w:t>
      </w:r>
      <w:r>
        <w:rPr>
          <w:rFonts w:ascii="Calibri"/>
          <w:color w:val="008356"/>
          <w:w w:val="110"/>
          <w:sz w:val="11"/>
        </w:rPr>
        <w:t>SAQUINAVIR</w:t>
      </w:r>
      <w:r>
        <w:rPr>
          <w:color w:val="231F1F"/>
          <w:w w:val="110"/>
        </w:rPr>
        <w:t>; fluconazole, itraconazole, posaconazole and voriconazole possibly increase plasma concentration of</w:t>
      </w:r>
    </w:p>
    <w:p>
      <w:pPr>
        <w:pStyle w:val="BodyText"/>
        <w:spacing w:line="244" w:lineRule="auto" w:before="3"/>
        <w:ind w:right="773"/>
      </w:pPr>
      <w:r>
        <w:rPr>
          <w:rFonts w:ascii="Arial" w:hAnsi="Arial"/>
          <w:color w:val="231F1F"/>
          <w:w w:val="355"/>
          <w:position w:val="1"/>
          <w:sz w:val="7"/>
        </w:rPr>
        <w:t>l </w:t>
      </w:r>
      <w:r>
        <w:rPr>
          <w:rFonts w:ascii="Calibri" w:hAnsi="Calibri"/>
          <w:color w:val="008356"/>
          <w:spacing w:val="2"/>
          <w:w w:val="115"/>
          <w:sz w:val="11"/>
        </w:rPr>
        <w:t>SIMEPREVIR</w:t>
      </w:r>
      <w:r>
        <w:rPr>
          <w:rFonts w:ascii="Arial" w:hAnsi="Arial"/>
          <w:color w:val="231F1F"/>
          <w:spacing w:val="2"/>
          <w:w w:val="115"/>
        </w:rPr>
        <w:t>—</w:t>
      </w:r>
      <w:r>
        <w:rPr>
          <w:color w:val="231F1F"/>
          <w:spacing w:val="2"/>
          <w:w w:val="115"/>
        </w:rPr>
        <w:t>manufacturer </w:t>
      </w:r>
      <w:r>
        <w:rPr>
          <w:color w:val="231F1F"/>
          <w:w w:val="115"/>
        </w:rPr>
        <w:t>of simeprevir advises avoid concomitant use; plasma concentration of voriconazole possibly</w:t>
      </w:r>
      <w:r>
        <w:rPr>
          <w:color w:val="231F1F"/>
          <w:spacing w:val="-18"/>
          <w:w w:val="115"/>
        </w:rPr>
        <w:t> </w:t>
      </w:r>
      <w:r>
        <w:rPr>
          <w:color w:val="231F1F"/>
          <w:w w:val="115"/>
        </w:rPr>
        <w:t>affected</w:t>
      </w:r>
      <w:r>
        <w:rPr>
          <w:color w:val="231F1F"/>
          <w:spacing w:val="-18"/>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TELAPREVIR</w:t>
      </w:r>
      <w:r>
        <w:rPr>
          <w:rFonts w:ascii="Calibri" w:hAnsi="Calibri"/>
          <w:color w:val="008356"/>
          <w:spacing w:val="-8"/>
          <w:w w:val="115"/>
          <w:sz w:val="11"/>
        </w:rPr>
        <w:t> </w:t>
      </w:r>
      <w:r>
        <w:rPr>
          <w:color w:val="231F1F"/>
          <w:w w:val="115"/>
        </w:rPr>
        <w:t>(possible</w:t>
      </w:r>
      <w:r>
        <w:rPr>
          <w:color w:val="231F1F"/>
          <w:spacing w:val="-17"/>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 ventricular arrhythmias); plasma concentration of posaconazole</w:t>
      </w:r>
      <w:r>
        <w:rPr>
          <w:color w:val="231F1F"/>
          <w:spacing w:val="-20"/>
          <w:w w:val="115"/>
        </w:rPr>
        <w:t> </w:t>
      </w:r>
      <w:r>
        <w:rPr>
          <w:color w:val="231F1F"/>
          <w:w w:val="115"/>
        </w:rPr>
        <w:t>possibly</w:t>
      </w:r>
      <w:r>
        <w:rPr>
          <w:color w:val="231F1F"/>
          <w:spacing w:val="-21"/>
          <w:w w:val="115"/>
        </w:rPr>
        <w:t> </w:t>
      </w:r>
      <w:r>
        <w:rPr>
          <w:color w:val="231F1F"/>
          <w:w w:val="115"/>
        </w:rPr>
        <w:t>increased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TELAPREVIR</w:t>
      </w:r>
      <w:r>
        <w:rPr>
          <w:rFonts w:ascii="Calibri" w:hAnsi="Calibri"/>
          <w:color w:val="008356"/>
          <w:spacing w:val="-11"/>
          <w:w w:val="115"/>
          <w:sz w:val="11"/>
        </w:rPr>
        <w:t> </w:t>
      </w:r>
      <w:r>
        <w:rPr>
          <w:color w:val="231F1F"/>
          <w:w w:val="115"/>
        </w:rPr>
        <w:t>(increased risk of ventricular arrhythmias); plasma concentration of itraconazole</w:t>
      </w:r>
      <w:r>
        <w:rPr>
          <w:color w:val="231F1F"/>
          <w:spacing w:val="-19"/>
          <w:w w:val="115"/>
        </w:rPr>
        <w:t> </w:t>
      </w:r>
      <w:r>
        <w:rPr>
          <w:color w:val="231F1F"/>
          <w:w w:val="115"/>
        </w:rPr>
        <w:t>possibly</w:t>
      </w:r>
      <w:r>
        <w:rPr>
          <w:color w:val="231F1F"/>
          <w:spacing w:val="-19"/>
          <w:w w:val="115"/>
        </w:rPr>
        <w:t> </w:t>
      </w:r>
      <w:r>
        <w:rPr>
          <w:color w:val="231F1F"/>
          <w:w w:val="115"/>
        </w:rPr>
        <w:t>increased</w:t>
      </w:r>
      <w:r>
        <w:rPr>
          <w:color w:val="231F1F"/>
          <w:spacing w:val="-19"/>
          <w:w w:val="115"/>
        </w:rPr>
        <w:t> </w:t>
      </w:r>
      <w:r>
        <w:rPr>
          <w:color w:val="231F1F"/>
          <w:w w:val="115"/>
        </w:rPr>
        <w:t>by</w:t>
      </w:r>
      <w:r>
        <w:rPr>
          <w:color w:val="231F1F"/>
          <w:spacing w:val="-19"/>
          <w:w w:val="115"/>
        </w:rPr>
        <w:t> </w:t>
      </w:r>
      <w:r>
        <w:rPr>
          <w:rFonts w:ascii="Calibri" w:hAnsi="Calibri"/>
          <w:color w:val="008356"/>
          <w:spacing w:val="4"/>
          <w:w w:val="115"/>
          <w:sz w:val="11"/>
        </w:rPr>
        <w:t>TELAPREVIR</w:t>
      </w:r>
      <w:r>
        <w:rPr>
          <w:color w:val="231F1F"/>
          <w:spacing w:val="4"/>
          <w:w w:val="115"/>
        </w:rPr>
        <w:t>;</w:t>
      </w:r>
      <w:r>
        <w:rPr>
          <w:color w:val="231F1F"/>
          <w:spacing w:val="-19"/>
          <w:w w:val="115"/>
        </w:rPr>
        <w:t> </w:t>
      </w:r>
      <w:r>
        <w:rPr>
          <w:color w:val="231F1F"/>
          <w:w w:val="115"/>
        </w:rPr>
        <w:t>fluconazole increases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ZIDOVUDINE</w:t>
      </w:r>
      <w:r>
        <w:rPr>
          <w:rFonts w:ascii="Calibri" w:hAnsi="Calibri"/>
          <w:color w:val="008356"/>
          <w:spacing w:val="-6"/>
          <w:w w:val="115"/>
          <w:sz w:val="11"/>
        </w:rPr>
        <w:t> </w:t>
      </w:r>
      <w:r>
        <w:rPr>
          <w:color w:val="231F1F"/>
          <w:w w:val="115"/>
        </w:rPr>
        <w:t>(increased risk of</w:t>
      </w:r>
      <w:r>
        <w:rPr>
          <w:color w:val="231F1F"/>
          <w:spacing w:val="-7"/>
          <w:w w:val="115"/>
        </w:rPr>
        <w:t> </w:t>
      </w:r>
      <w:r>
        <w:rPr>
          <w:color w:val="231F1F"/>
          <w:w w:val="115"/>
        </w:rPr>
        <w:t>toxicity)</w:t>
      </w:r>
    </w:p>
    <w:p>
      <w:pPr>
        <w:pStyle w:val="BodyText"/>
        <w:spacing w:line="244" w:lineRule="auto" w:before="2"/>
        <w:ind w:right="699" w:hanging="100"/>
      </w:pPr>
      <w:r>
        <w:rPr>
          <w:rFonts w:ascii="Arial"/>
          <w:color w:val="231F1F"/>
          <w:w w:val="355"/>
          <w:position w:val="1"/>
          <w:sz w:val="7"/>
        </w:rPr>
        <w:t>l </w:t>
      </w:r>
      <w:r>
        <w:rPr>
          <w:rFonts w:ascii="Calibri"/>
          <w:color w:val="231F1F"/>
          <w:w w:val="110"/>
        </w:rPr>
        <w:t>Anxiolytics and Hypnotics: </w:t>
      </w:r>
      <w:r>
        <w:rPr>
          <w:color w:val="231F1F"/>
          <w:w w:val="110"/>
        </w:rPr>
        <w:t>itraconazole increases plasma concentration of </w:t>
      </w:r>
      <w:r>
        <w:rPr>
          <w:rFonts w:ascii="Calibri"/>
          <w:color w:val="008356"/>
          <w:w w:val="110"/>
          <w:sz w:val="11"/>
        </w:rPr>
        <w:t>ALPRAZOLAM</w:t>
      </w:r>
      <w:r>
        <w:rPr>
          <w:color w:val="231F1F"/>
          <w:w w:val="110"/>
        </w:rPr>
        <w:t>; fluconazole and voriconazole increase plasma concentration of </w:t>
      </w:r>
      <w:r>
        <w:rPr>
          <w:rFonts w:ascii="Arial"/>
          <w:color w:val="231F1F"/>
          <w:w w:val="355"/>
          <w:position w:val="1"/>
          <w:sz w:val="7"/>
        </w:rPr>
        <w:t>l </w:t>
      </w:r>
      <w:r>
        <w:rPr>
          <w:rFonts w:ascii="Calibri"/>
          <w:color w:val="008356"/>
          <w:w w:val="110"/>
          <w:sz w:val="11"/>
        </w:rPr>
        <w:t>DIAZEPAM </w:t>
      </w:r>
      <w:r>
        <w:rPr>
          <w:color w:val="231F1F"/>
          <w:w w:val="110"/>
        </w:rPr>
        <w:t>(risk of prolonged sedation); fluconazole, itraconazole, posaconazole and voriconazole increase plasma concentration of</w:t>
      </w:r>
    </w:p>
    <w:p>
      <w:pPr>
        <w:pStyle w:val="BodyText"/>
        <w:spacing w:line="244" w:lineRule="auto"/>
        <w:ind w:right="762"/>
      </w:pPr>
      <w:r>
        <w:rPr>
          <w:rFonts w:ascii="Arial"/>
          <w:color w:val="231F1F"/>
          <w:w w:val="355"/>
          <w:position w:val="1"/>
          <w:sz w:val="7"/>
        </w:rPr>
        <w:t>l </w:t>
      </w:r>
      <w:r>
        <w:rPr>
          <w:rFonts w:ascii="Calibri"/>
          <w:color w:val="008356"/>
          <w:w w:val="105"/>
          <w:sz w:val="11"/>
        </w:rPr>
        <w:t>MIDAZOLAM </w:t>
      </w:r>
      <w:r>
        <w:rPr>
          <w:color w:val="231F1F"/>
          <w:w w:val="105"/>
        </w:rPr>
        <w:t>(risk of prolonged sedation); itraconazole increases plasma concentration of </w:t>
      </w:r>
      <w:r>
        <w:rPr>
          <w:rFonts w:ascii="Calibri"/>
          <w:color w:val="008356"/>
          <w:w w:val="105"/>
          <w:sz w:val="11"/>
        </w:rPr>
        <w:t>BUSPIRONE </w:t>
      </w:r>
      <w:r>
        <w:rPr>
          <w:color w:val="231F1F"/>
          <w:w w:val="105"/>
        </w:rPr>
        <w:t>(reduce dose of buspirone)</w:t>
      </w:r>
    </w:p>
    <w:p>
      <w:pPr>
        <w:pStyle w:val="BodyText"/>
        <w:spacing w:line="242" w:lineRule="auto"/>
        <w:ind w:right="633" w:hanging="100"/>
      </w:pPr>
      <w:r>
        <w:rPr>
          <w:rFonts w:ascii="Arial" w:hAnsi="Arial"/>
          <w:color w:val="231F1F"/>
          <w:w w:val="355"/>
          <w:position w:val="1"/>
          <w:sz w:val="7"/>
        </w:rPr>
        <w:t>l </w:t>
      </w:r>
      <w:r>
        <w:rPr>
          <w:rFonts w:ascii="Calibri" w:hAnsi="Calibri"/>
          <w:color w:val="231F1F"/>
          <w:w w:val="120"/>
        </w:rPr>
        <w:t>Avanafil: </w:t>
      </w:r>
      <w:r>
        <w:rPr>
          <w:color w:val="231F1F"/>
          <w:w w:val="120"/>
        </w:rPr>
        <w:t>itraconazole and voriconazole possibly increase plasma concentration of </w:t>
      </w:r>
      <w:r>
        <w:rPr>
          <w:rFonts w:ascii="Arial" w:hAnsi="Arial"/>
          <w:color w:val="231F1F"/>
          <w:w w:val="355"/>
          <w:position w:val="1"/>
          <w:sz w:val="7"/>
        </w:rPr>
        <w:t>l </w:t>
      </w:r>
      <w:r>
        <w:rPr>
          <w:rFonts w:ascii="Calibri" w:hAnsi="Calibri"/>
          <w:color w:val="008356"/>
          <w:w w:val="120"/>
          <w:sz w:val="11"/>
        </w:rPr>
        <w:t>AVANAFIL</w:t>
      </w:r>
      <w:r>
        <w:rPr>
          <w:rFonts w:ascii="Arial" w:hAnsi="Arial"/>
          <w:color w:val="231F1F"/>
          <w:w w:val="120"/>
        </w:rPr>
        <w:t>—</w:t>
      </w:r>
      <w:r>
        <w:rPr>
          <w:color w:val="231F1F"/>
          <w:w w:val="120"/>
        </w:rPr>
        <w:t>manufacturer of </w:t>
      </w:r>
      <w:r>
        <w:rPr>
          <w:color w:val="231F1F"/>
          <w:w w:val="115"/>
        </w:rPr>
        <w:t>avanafil advises avoid concomitant use; fluconazole possibly </w:t>
      </w:r>
      <w:r>
        <w:rPr>
          <w:color w:val="231F1F"/>
          <w:w w:val="120"/>
        </w:rPr>
        <w:t>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20"/>
          <w:sz w:val="11"/>
        </w:rPr>
        <w:t>AVANAFIL</w:t>
      </w:r>
      <w:r>
        <w:rPr>
          <w:rFonts w:ascii="Arial" w:hAnsi="Arial"/>
          <w:color w:val="231F1F"/>
          <w:spacing w:val="2"/>
          <w:w w:val="120"/>
        </w:rPr>
        <w:t>—</w:t>
      </w:r>
      <w:r>
        <w:rPr>
          <w:color w:val="231F1F"/>
          <w:spacing w:val="2"/>
          <w:w w:val="120"/>
        </w:rPr>
        <w:t>see </w:t>
      </w:r>
      <w:r>
        <w:rPr>
          <w:color w:val="231F1F"/>
          <w:w w:val="120"/>
        </w:rPr>
        <w:t>under Avanafil, p. 698</w:t>
      </w:r>
    </w:p>
    <w:p>
      <w:pPr>
        <w:pStyle w:val="BodyText"/>
        <w:spacing w:line="247" w:lineRule="auto"/>
        <w:ind w:right="762" w:hanging="100"/>
        <w:rPr>
          <w:rFonts w:ascii="Calibri" w:hAnsi="Calibri"/>
          <w:sz w:val="11"/>
        </w:rPr>
      </w:pPr>
      <w:r>
        <w:rPr>
          <w:rFonts w:ascii="Arial" w:hAnsi="Arial"/>
          <w:color w:val="231F1F"/>
          <w:w w:val="355"/>
          <w:position w:val="1"/>
          <w:sz w:val="7"/>
        </w:rPr>
        <w:t>l </w:t>
      </w:r>
      <w:r>
        <w:rPr>
          <w:rFonts w:ascii="Calibri" w:hAnsi="Calibri"/>
          <w:color w:val="231F1F"/>
          <w:w w:val="110"/>
        </w:rPr>
        <w:t>Bosentan: </w:t>
      </w:r>
      <w:r>
        <w:rPr>
          <w:color w:val="231F1F"/>
          <w:w w:val="110"/>
        </w:rPr>
        <w:t>fluconazole possibly increases plasma concentration of </w:t>
      </w:r>
      <w:r>
        <w:rPr>
          <w:rFonts w:ascii="Arial" w:hAnsi="Arial"/>
          <w:color w:val="231F1F"/>
          <w:w w:val="355"/>
          <w:position w:val="1"/>
          <w:sz w:val="7"/>
        </w:rPr>
        <w:t>l </w:t>
      </w:r>
      <w:r>
        <w:rPr>
          <w:rFonts w:ascii="Calibri" w:hAnsi="Calibri"/>
          <w:color w:val="008356"/>
          <w:w w:val="110"/>
          <w:sz w:val="11"/>
        </w:rPr>
        <w:t>BOSENTAN</w:t>
      </w:r>
      <w:r>
        <w:rPr>
          <w:rFonts w:ascii="Arial" w:hAnsi="Arial"/>
          <w:color w:val="231F1F"/>
          <w:w w:val="110"/>
        </w:rPr>
        <w:t>—</w:t>
      </w:r>
      <w:r>
        <w:rPr>
          <w:color w:val="231F1F"/>
          <w:w w:val="110"/>
        </w:rPr>
        <w:t>avoid concomitant use; itraconazole possibly increases plasma concentration of </w:t>
      </w:r>
      <w:r>
        <w:rPr>
          <w:rFonts w:ascii="Calibri" w:hAnsi="Calibri"/>
          <w:color w:val="008356"/>
          <w:w w:val="110"/>
          <w:sz w:val="11"/>
        </w:rPr>
        <w:t>BOSENTAN</w:t>
      </w:r>
    </w:p>
    <w:p>
      <w:pPr>
        <w:pStyle w:val="BodyText"/>
        <w:spacing w:line="237" w:lineRule="auto"/>
        <w:ind w:right="670" w:hanging="100"/>
        <w:rPr>
          <w:rFonts w:ascii="Calibri"/>
          <w:sz w:val="11"/>
        </w:rPr>
      </w:pPr>
      <w:r>
        <w:rPr>
          <w:rFonts w:ascii="Arial"/>
          <w:color w:val="231F1F"/>
          <w:w w:val="355"/>
          <w:position w:val="1"/>
          <w:sz w:val="7"/>
        </w:rPr>
        <w:t>l </w:t>
      </w:r>
      <w:r>
        <w:rPr>
          <w:rFonts w:ascii="Calibri"/>
          <w:color w:val="231F1F"/>
          <w:w w:val="105"/>
        </w:rPr>
        <w:t>Calcium-channel Blockers: </w:t>
      </w:r>
      <w:r>
        <w:rPr>
          <w:color w:val="231F1F"/>
          <w:w w:val="105"/>
        </w:rPr>
        <w:t>negative inotropic effect possibly increased when itraconazole given with </w:t>
      </w:r>
      <w:r>
        <w:rPr>
          <w:rFonts w:ascii="Calibri"/>
          <w:color w:val="008356"/>
          <w:w w:val="105"/>
          <w:sz w:val="11"/>
        </w:rPr>
        <w:t>CALCIUM-CHANNEL</w:t>
      </w:r>
    </w:p>
    <w:p>
      <w:pPr>
        <w:pStyle w:val="BodyText"/>
        <w:spacing w:line="244" w:lineRule="auto"/>
        <w:ind w:right="670"/>
      </w:pPr>
      <w:r>
        <w:rPr>
          <w:rFonts w:ascii="Calibri"/>
          <w:color w:val="008356"/>
          <w:w w:val="110"/>
          <w:sz w:val="11"/>
        </w:rPr>
        <w:t>BLOCKERS</w:t>
      </w:r>
      <w:r>
        <w:rPr>
          <w:color w:val="231F1F"/>
          <w:w w:val="110"/>
        </w:rPr>
        <w:t>; itraconazole inhibits metabolism of </w:t>
      </w:r>
      <w:r>
        <w:rPr>
          <w:rFonts w:ascii="Arial"/>
          <w:color w:val="231F1F"/>
          <w:w w:val="355"/>
          <w:position w:val="1"/>
          <w:sz w:val="7"/>
        </w:rPr>
        <w:t>l </w:t>
      </w:r>
      <w:r>
        <w:rPr>
          <w:rFonts w:ascii="Calibri"/>
          <w:color w:val="008356"/>
          <w:w w:val="110"/>
          <w:sz w:val="11"/>
        </w:rPr>
        <w:t>FELODIPINE </w:t>
      </w:r>
      <w:r>
        <w:rPr>
          <w:color w:val="231F1F"/>
          <w:w w:val="110"/>
        </w:rPr>
        <w:t>(increased plasma concentration); avoidance of itraconazole advised by manufacturer of </w:t>
      </w:r>
      <w:r>
        <w:rPr>
          <w:rFonts w:ascii="Calibri"/>
          <w:color w:val="008356"/>
          <w:w w:val="110"/>
          <w:sz w:val="11"/>
        </w:rPr>
        <w:t>LERCANIDIPINE</w:t>
      </w:r>
      <w:r>
        <w:rPr>
          <w:color w:val="231F1F"/>
          <w:w w:val="110"/>
        </w:rPr>
        <w:t>; itraconazole possibly inhibits metabolism of </w:t>
      </w:r>
      <w:r>
        <w:rPr>
          <w:rFonts w:ascii="Calibri"/>
          <w:color w:val="008356"/>
          <w:w w:val="110"/>
          <w:sz w:val="11"/>
        </w:rPr>
        <w:t>DIHYDROPYRIDINES </w:t>
      </w:r>
      <w:r>
        <w:rPr>
          <w:color w:val="231F1F"/>
          <w:w w:val="110"/>
        </w:rPr>
        <w:t>(increased plasma concentration)</w:t>
      </w:r>
    </w:p>
    <w:p>
      <w:pPr>
        <w:pStyle w:val="BodyText"/>
        <w:ind w:right="762"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itraconazole increases plasma concentration of </w:t>
      </w:r>
      <w:r>
        <w:rPr>
          <w:rFonts w:ascii="Arial"/>
          <w:color w:val="231F1F"/>
          <w:w w:val="355"/>
          <w:position w:val="1"/>
          <w:sz w:val="7"/>
        </w:rPr>
        <w:t>l </w:t>
      </w:r>
      <w:r>
        <w:rPr>
          <w:rFonts w:ascii="Calibri"/>
          <w:color w:val="008356"/>
          <w:w w:val="110"/>
          <w:sz w:val="11"/>
        </w:rPr>
        <w:t>DIGOXIN</w:t>
      </w:r>
    </w:p>
    <w:p>
      <w:pPr>
        <w:pStyle w:val="BodyText"/>
        <w:ind w:right="670" w:hanging="100"/>
      </w:pPr>
      <w:r>
        <w:rPr>
          <w:rFonts w:ascii="Arial"/>
          <w:color w:val="231F1F"/>
          <w:w w:val="355"/>
          <w:position w:val="1"/>
          <w:sz w:val="7"/>
        </w:rPr>
        <w:t>l </w:t>
      </w:r>
      <w:r>
        <w:rPr>
          <w:rFonts w:ascii="Calibri"/>
          <w:color w:val="231F1F"/>
          <w:w w:val="110"/>
        </w:rPr>
        <w:t>Ciclosporin: </w:t>
      </w:r>
      <w:r>
        <w:rPr>
          <w:color w:val="231F1F"/>
          <w:w w:val="110"/>
        </w:rPr>
        <w:t>fluconazole, itraconazole, posaconazole and voriconazole inhibit metabolism of </w:t>
      </w:r>
      <w:r>
        <w:rPr>
          <w:rFonts w:ascii="Arial"/>
          <w:color w:val="231F1F"/>
          <w:w w:val="355"/>
          <w:position w:val="1"/>
          <w:sz w:val="7"/>
        </w:rPr>
        <w:t>l </w:t>
      </w:r>
      <w:r>
        <w:rPr>
          <w:rFonts w:ascii="Calibri"/>
          <w:color w:val="008356"/>
          <w:w w:val="110"/>
          <w:sz w:val="11"/>
        </w:rPr>
        <w:t>CICLOSPORIN </w:t>
      </w:r>
      <w:r>
        <w:rPr>
          <w:color w:val="231F1F"/>
          <w:w w:val="110"/>
        </w:rPr>
        <w:t>(increased plasma concentration)</w:t>
      </w:r>
    </w:p>
    <w:p>
      <w:pPr>
        <w:pStyle w:val="BodyText"/>
        <w:ind w:right="762" w:hanging="100"/>
      </w:pPr>
      <w:r>
        <w:rPr>
          <w:rFonts w:ascii="Arial"/>
          <w:color w:val="231F1F"/>
          <w:w w:val="355"/>
          <w:position w:val="1"/>
          <w:sz w:val="7"/>
        </w:rPr>
        <w:t>l </w:t>
      </w:r>
      <w:r>
        <w:rPr>
          <w:rFonts w:ascii="Calibri"/>
          <w:color w:val="231F1F"/>
          <w:w w:val="110"/>
        </w:rPr>
        <w:t>Cilostazol: </w:t>
      </w:r>
      <w:r>
        <w:rPr>
          <w:color w:val="231F1F"/>
          <w:w w:val="110"/>
        </w:rPr>
        <w:t>itraconazole possibly increases plasma 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w:t>
      </w:r>
    </w:p>
    <w:p>
      <w:pPr>
        <w:pStyle w:val="BodyText"/>
        <w:spacing w:line="237" w:lineRule="auto"/>
        <w:ind w:right="670"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fluconazole, itraconazole and </w:t>
      </w:r>
      <w:r>
        <w:rPr>
          <w:color w:val="231F1F"/>
          <w:spacing w:val="-2"/>
          <w:w w:val="110"/>
        </w:rPr>
        <w:t>voriconazole </w:t>
      </w:r>
      <w:r>
        <w:rPr>
          <w:color w:val="231F1F"/>
          <w:w w:val="110"/>
        </w:rPr>
        <w:t>possibly reduce antiplatelet effect of </w:t>
      </w:r>
      <w:r>
        <w:rPr>
          <w:rFonts w:ascii="Arial"/>
          <w:color w:val="231F1F"/>
          <w:w w:val="355"/>
          <w:position w:val="1"/>
          <w:sz w:val="7"/>
        </w:rPr>
        <w:t>l </w:t>
      </w:r>
      <w:r>
        <w:rPr>
          <w:rFonts w:ascii="Calibri"/>
          <w:color w:val="008356"/>
          <w:spacing w:val="4"/>
          <w:w w:val="110"/>
          <w:sz w:val="11"/>
        </w:rPr>
        <w:t>CLOPIDOGREL</w:t>
      </w:r>
    </w:p>
    <w:p>
      <w:pPr>
        <w:pStyle w:val="BodyText"/>
        <w:spacing w:line="230" w:lineRule="auto"/>
        <w:ind w:right="762" w:hanging="100"/>
      </w:pPr>
      <w:r>
        <w:rPr>
          <w:rFonts w:ascii="Lucida Sans Unicode" w:hAnsi="Lucida Sans Unicode"/>
          <w:color w:val="A7A8AC"/>
          <w:w w:val="95"/>
          <w:sz w:val="10"/>
        </w:rPr>
        <w:t>▶ </w:t>
      </w:r>
      <w:r>
        <w:rPr>
          <w:rFonts w:ascii="Calibri" w:hAnsi="Calibri"/>
          <w:color w:val="231F1F"/>
          <w:w w:val="105"/>
        </w:rPr>
        <w:t>Cobicistat: </w:t>
      </w:r>
      <w:r>
        <w:rPr>
          <w:color w:val="231F1F"/>
          <w:w w:val="105"/>
        </w:rPr>
        <w:t>plasma concentration of itraconazole possibly increased by </w:t>
      </w:r>
      <w:r>
        <w:rPr>
          <w:rFonts w:ascii="Calibri" w:hAnsi="Calibri"/>
          <w:color w:val="008356"/>
          <w:w w:val="105"/>
          <w:sz w:val="11"/>
        </w:rPr>
        <w:t>COBICISTAT</w:t>
      </w:r>
      <w:r>
        <w:rPr>
          <w:rFonts w:ascii="Arial" w:hAnsi="Arial"/>
          <w:color w:val="231F1F"/>
          <w:w w:val="105"/>
        </w:rPr>
        <w:t>—</w:t>
      </w:r>
      <w:r>
        <w:rPr>
          <w:color w:val="231F1F"/>
          <w:w w:val="105"/>
        </w:rPr>
        <w:t>manufacturer of cobicistat advises reduce dose of itraconazole</w:t>
      </w:r>
    </w:p>
    <w:p>
      <w:pPr>
        <w:pStyle w:val="BodyText"/>
        <w:spacing w:line="244" w:lineRule="auto"/>
        <w:ind w:right="697" w:hanging="100"/>
      </w:pPr>
      <w:r>
        <w:rPr>
          <w:rFonts w:ascii="Arial" w:hAnsi="Arial"/>
          <w:color w:val="231F1F"/>
          <w:w w:val="345"/>
          <w:position w:val="1"/>
          <w:sz w:val="7"/>
        </w:rPr>
        <w:t>l</w:t>
      </w:r>
      <w:r>
        <w:rPr>
          <w:rFonts w:ascii="Arial" w:hAnsi="Arial"/>
          <w:color w:val="231F1F"/>
          <w:spacing w:val="-54"/>
          <w:w w:val="345"/>
          <w:position w:val="1"/>
          <w:sz w:val="7"/>
        </w:rPr>
        <w:t> </w:t>
      </w:r>
      <w:r>
        <w:rPr>
          <w:rFonts w:ascii="Calibri" w:hAnsi="Calibri"/>
          <w:color w:val="231F1F"/>
          <w:w w:val="115"/>
        </w:rPr>
        <w:t>Colchicine:</w:t>
      </w:r>
      <w:r>
        <w:rPr>
          <w:rFonts w:ascii="Calibri" w:hAnsi="Calibri"/>
          <w:color w:val="231F1F"/>
          <w:spacing w:val="-21"/>
          <w:w w:val="115"/>
        </w:rPr>
        <w:t> </w:t>
      </w:r>
      <w:r>
        <w:rPr>
          <w:color w:val="231F1F"/>
          <w:w w:val="115"/>
        </w:rPr>
        <w:t>itraconazole</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rFonts w:ascii="Arial" w:hAnsi="Arial"/>
          <w:color w:val="231F1F"/>
          <w:w w:val="345"/>
          <w:position w:val="1"/>
          <w:sz w:val="7"/>
        </w:rPr>
        <w:t>l</w:t>
      </w:r>
      <w:r>
        <w:rPr>
          <w:rFonts w:ascii="Arial" w:hAnsi="Arial"/>
          <w:color w:val="231F1F"/>
          <w:spacing w:val="-58"/>
          <w:w w:val="345"/>
          <w:position w:val="1"/>
          <w:sz w:val="7"/>
        </w:rPr>
        <w:t> </w:t>
      </w:r>
      <w:r>
        <w:rPr>
          <w:rFonts w:ascii="Calibri" w:hAnsi="Calibri"/>
          <w:color w:val="008356"/>
          <w:spacing w:val="2"/>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spacing w:line="240" w:lineRule="auto" w:before="0"/>
        <w:ind w:left="208" w:right="670" w:hanging="100"/>
        <w:jc w:val="left"/>
        <w:rPr>
          <w:sz w:val="12"/>
        </w:rPr>
      </w:pPr>
      <w:r>
        <w:rPr>
          <w:rFonts w:ascii="Arial"/>
          <w:color w:val="231F1F"/>
          <w:w w:val="355"/>
          <w:position w:val="1"/>
          <w:sz w:val="7"/>
        </w:rPr>
        <w:t>l </w:t>
      </w:r>
      <w:r>
        <w:rPr>
          <w:rFonts w:ascii="Calibri"/>
          <w:color w:val="231F1F"/>
          <w:w w:val="110"/>
          <w:sz w:val="12"/>
        </w:rPr>
        <w:t>Corticosteroids: </w:t>
      </w:r>
      <w:r>
        <w:rPr>
          <w:color w:val="231F1F"/>
          <w:w w:val="110"/>
          <w:sz w:val="12"/>
        </w:rPr>
        <w:t>itraconazole possibly inhibits metabolism of </w:t>
      </w:r>
      <w:r>
        <w:rPr>
          <w:rFonts w:ascii="Calibri"/>
          <w:color w:val="008356"/>
          <w:w w:val="110"/>
          <w:sz w:val="11"/>
        </w:rPr>
        <w:t>CORTICOSTEROIDS </w:t>
      </w:r>
      <w:r>
        <w:rPr>
          <w:color w:val="231F1F"/>
          <w:w w:val="110"/>
          <w:sz w:val="12"/>
        </w:rPr>
        <w:t>and </w:t>
      </w:r>
      <w:r>
        <w:rPr>
          <w:rFonts w:ascii="Calibri"/>
          <w:color w:val="008356"/>
          <w:w w:val="110"/>
          <w:sz w:val="11"/>
        </w:rPr>
        <w:t>METHYLPREDNISOLONE</w:t>
      </w:r>
      <w:r>
        <w:rPr>
          <w:color w:val="231F1F"/>
          <w:w w:val="110"/>
          <w:sz w:val="12"/>
        </w:rPr>
        <w:t>; itraconazole increases the plasma concentration of </w:t>
      </w:r>
      <w:r>
        <w:rPr>
          <w:i/>
          <w:color w:val="231F1F"/>
          <w:w w:val="110"/>
          <w:sz w:val="12"/>
        </w:rPr>
        <w:t>inhaled </w:t>
      </w:r>
      <w:r>
        <w:rPr>
          <w:color w:val="231F1F"/>
          <w:w w:val="110"/>
          <w:sz w:val="12"/>
        </w:rPr>
        <w:t>and </w:t>
      </w:r>
      <w:r>
        <w:rPr>
          <w:i/>
          <w:color w:val="231F1F"/>
          <w:w w:val="110"/>
          <w:sz w:val="12"/>
        </w:rPr>
        <w:t>oral </w:t>
      </w:r>
      <w:r>
        <w:rPr>
          <w:color w:val="231F1F"/>
          <w:w w:val="110"/>
          <w:sz w:val="12"/>
        </w:rPr>
        <w:t>(and</w:t>
      </w:r>
    </w:p>
    <w:p>
      <w:pPr>
        <w:spacing w:after="0" w:line="240" w:lineRule="auto"/>
        <w:jc w:val="left"/>
        <w:rPr>
          <w:sz w:val="12"/>
        </w:rPr>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936" filled="true" fillcolor="#bfdbcf" stroked="false">
            <v:fill type="solid"/>
            <w10:wrap type="none"/>
          </v:rect>
        </w:pict>
      </w:r>
      <w:r>
        <w:rPr/>
        <w:pict>
          <v:shape style="position:absolute;margin-left:7.751256pt;margin-top:35.804367pt;width:10.4pt;height:78.850pt;mso-position-horizontal-relative:page;mso-position-vertical-relative:page;z-index:196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Antifungals, Triazole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Corticosteroids (continued)</w:t>
      </w:r>
    </w:p>
    <w:p>
      <w:pPr>
        <w:spacing w:line="252" w:lineRule="auto" w:before="0"/>
        <w:ind w:left="286" w:right="37" w:firstLine="0"/>
        <w:jc w:val="left"/>
        <w:rPr>
          <w:rFonts w:ascii="Calibri"/>
          <w:sz w:val="11"/>
        </w:rPr>
      </w:pPr>
      <w:r>
        <w:rPr>
          <w:color w:val="231F1F"/>
          <w:w w:val="110"/>
          <w:sz w:val="12"/>
        </w:rPr>
        <w:t>possibly also </w:t>
      </w:r>
      <w:r>
        <w:rPr>
          <w:i/>
          <w:color w:val="231F1F"/>
          <w:w w:val="110"/>
          <w:sz w:val="12"/>
        </w:rPr>
        <w:t>intranasal </w:t>
      </w:r>
      <w:r>
        <w:rPr>
          <w:color w:val="231F1F"/>
          <w:w w:val="110"/>
          <w:sz w:val="12"/>
        </w:rPr>
        <w:t>and </w:t>
      </w:r>
      <w:r>
        <w:rPr>
          <w:i/>
          <w:color w:val="231F1F"/>
          <w:w w:val="110"/>
          <w:sz w:val="12"/>
        </w:rPr>
        <w:t>rectal</w:t>
      </w:r>
      <w:r>
        <w:rPr>
          <w:color w:val="231F1F"/>
          <w:w w:val="110"/>
          <w:sz w:val="12"/>
        </w:rPr>
        <w:t>) </w:t>
      </w:r>
      <w:r>
        <w:rPr>
          <w:rFonts w:ascii="Arial"/>
          <w:color w:val="231F1F"/>
          <w:w w:val="355"/>
          <w:position w:val="1"/>
          <w:sz w:val="7"/>
        </w:rPr>
        <w:t>l </w:t>
      </w:r>
      <w:r>
        <w:rPr>
          <w:rFonts w:ascii="Calibri"/>
          <w:color w:val="008356"/>
          <w:w w:val="110"/>
          <w:sz w:val="11"/>
        </w:rPr>
        <w:t>BUDESONIDE</w:t>
      </w:r>
      <w:r>
        <w:rPr>
          <w:color w:val="231F1F"/>
          <w:w w:val="110"/>
          <w:sz w:val="12"/>
        </w:rPr>
        <w:t>; itraconazole increases plasma concentration of </w:t>
      </w:r>
      <w:r>
        <w:rPr>
          <w:i/>
          <w:color w:val="231F1F"/>
          <w:w w:val="110"/>
          <w:sz w:val="12"/>
        </w:rPr>
        <w:t>inhaled </w:t>
      </w:r>
      <w:r>
        <w:rPr>
          <w:rFonts w:ascii="Calibri"/>
          <w:color w:val="008356"/>
          <w:w w:val="110"/>
          <w:sz w:val="11"/>
        </w:rPr>
        <w:t>FLUTICASONE</w:t>
      </w:r>
    </w:p>
    <w:p>
      <w:pPr>
        <w:pStyle w:val="BodyText"/>
        <w:spacing w:line="138" w:lineRule="exact"/>
        <w:ind w:left="186"/>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231F1F"/>
          <w:w w:val="110"/>
        </w:rPr>
        <w:t>Cytotoxics: </w:t>
      </w:r>
      <w:r>
        <w:rPr>
          <w:color w:val="231F1F"/>
          <w:w w:val="110"/>
        </w:rPr>
        <w:t>itraconazole inhibits metabolism of </w:t>
      </w:r>
      <w:r>
        <w:rPr>
          <w:rFonts w:ascii="Calibri"/>
          <w:color w:val="008356"/>
          <w:spacing w:val="3"/>
          <w:w w:val="110"/>
          <w:sz w:val="11"/>
        </w:rPr>
        <w:t>BUSULFAN</w:t>
      </w:r>
    </w:p>
    <w:p>
      <w:pPr>
        <w:pStyle w:val="BodyText"/>
        <w:spacing w:line="247" w:lineRule="auto"/>
        <w:ind w:left="286" w:right="37"/>
      </w:pPr>
      <w:r>
        <w:rPr>
          <w:color w:val="231F1F"/>
          <w:w w:val="110"/>
        </w:rPr>
        <w:t>(increased risk of toxicity); fluconazole and itraconazole possibly increase side-effects of </w:t>
      </w:r>
      <w:r>
        <w:rPr>
          <w:rFonts w:ascii="Calibri" w:hAnsi="Calibri"/>
          <w:color w:val="008356"/>
          <w:spacing w:val="4"/>
          <w:w w:val="110"/>
          <w:sz w:val="11"/>
        </w:rPr>
        <w:t>CYCLOPHOSPHAMIDE</w:t>
      </w:r>
      <w:r>
        <w:rPr>
          <w:color w:val="231F1F"/>
          <w:spacing w:val="4"/>
          <w:w w:val="110"/>
        </w:rPr>
        <w:t>; </w:t>
      </w:r>
      <w:r>
        <w:rPr>
          <w:color w:val="231F1F"/>
          <w:w w:val="110"/>
        </w:rPr>
        <w:t>itraconazole possibly increases the plasma concentration of </w:t>
      </w:r>
      <w:r>
        <w:rPr>
          <w:rFonts w:ascii="Calibri" w:hAnsi="Calibri"/>
          <w:color w:val="008356"/>
          <w:w w:val="110"/>
          <w:sz w:val="11"/>
        </w:rPr>
        <w:t>AFATINIB</w:t>
      </w:r>
      <w:r>
        <w:rPr>
          <w:rFonts w:ascii="Arial" w:hAnsi="Arial"/>
          <w:color w:val="231F1F"/>
          <w:w w:val="110"/>
        </w:rPr>
        <w:t>—</w:t>
      </w:r>
      <w:r>
        <w:rPr>
          <w:color w:val="231F1F"/>
          <w:w w:val="110"/>
        </w:rPr>
        <w:t>manufacturer of afatinib advises separating administration of itraconazole by 6 to 12 hours; itraconazole possibly increases plasma concentration of </w:t>
      </w:r>
      <w:r>
        <w:rPr>
          <w:rFonts w:ascii="Calibri" w:hAnsi="Calibri"/>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fluconazole, itraconazole, posaconazole and voriconazole possibly increase the plasma concentration of </w:t>
      </w:r>
      <w:r>
        <w:rPr>
          <w:rFonts w:ascii="Arial" w:hAnsi="Arial"/>
          <w:color w:val="231F1F"/>
          <w:w w:val="355"/>
          <w:position w:val="1"/>
          <w:sz w:val="7"/>
        </w:rPr>
        <w:t>l </w:t>
      </w:r>
      <w:r>
        <w:rPr>
          <w:rFonts w:ascii="Calibri" w:hAnsi="Calibri"/>
          <w:color w:val="008356"/>
          <w:spacing w:val="4"/>
          <w:w w:val="110"/>
          <w:sz w:val="11"/>
        </w:rPr>
        <w:t>BOSUTINIB</w:t>
      </w:r>
      <w:r>
        <w:rPr>
          <w:rFonts w:ascii="Arial" w:hAnsi="Arial"/>
          <w:color w:val="231F1F"/>
          <w:spacing w:val="4"/>
          <w:w w:val="110"/>
        </w:rPr>
        <w:t>— </w:t>
      </w:r>
      <w:r>
        <w:rPr>
          <w:color w:val="231F1F"/>
          <w:w w:val="110"/>
        </w:rPr>
        <w:t>manufacturer of bosutinib advises avoid or consider reducing dose of bosutinib; itraconazole possibly increases plasma concentration of </w:t>
      </w:r>
      <w:r>
        <w:rPr>
          <w:rFonts w:ascii="Calibri" w:hAnsi="Calibri"/>
          <w:color w:val="008356"/>
          <w:spacing w:val="4"/>
          <w:w w:val="110"/>
          <w:sz w:val="11"/>
        </w:rPr>
        <w:t>CABOZANTINIB</w:t>
      </w:r>
      <w:r>
        <w:rPr>
          <w:color w:val="231F1F"/>
          <w:spacing w:val="4"/>
          <w:w w:val="110"/>
        </w:rPr>
        <w:t>; </w:t>
      </w:r>
      <w:r>
        <w:rPr>
          <w:color w:val="231F1F"/>
          <w:w w:val="110"/>
        </w:rPr>
        <w:t>itraconazole and voriconazole possibly increase plasma concentration</w:t>
      </w:r>
      <w:r>
        <w:rPr>
          <w:color w:val="231F1F"/>
          <w:spacing w:val="17"/>
          <w:w w:val="110"/>
        </w:rPr>
        <w:t> </w:t>
      </w:r>
      <w:r>
        <w:rPr>
          <w:color w:val="231F1F"/>
          <w:w w:val="110"/>
        </w:rPr>
        <w:t>of</w:t>
      </w:r>
    </w:p>
    <w:p>
      <w:pPr>
        <w:pStyle w:val="BodyText"/>
        <w:spacing w:line="247" w:lineRule="auto"/>
        <w:ind w:left="286" w:right="9"/>
      </w:pPr>
      <w:r>
        <w:rPr>
          <w:rFonts w:ascii="Arial" w:hAnsi="Arial"/>
          <w:color w:val="231F1F"/>
          <w:w w:val="355"/>
          <w:position w:val="1"/>
          <w:sz w:val="7"/>
        </w:rPr>
        <w:t>l </w:t>
      </w:r>
      <w:r>
        <w:rPr>
          <w:rFonts w:ascii="Calibri" w:hAnsi="Calibri"/>
          <w:color w:val="008356"/>
          <w:spacing w:val="2"/>
          <w:w w:val="115"/>
          <w:sz w:val="11"/>
        </w:rPr>
        <w:t>CRIZOTINIB</w:t>
      </w:r>
      <w:r>
        <w:rPr>
          <w:rFonts w:ascii="Arial" w:hAnsi="Arial"/>
          <w:color w:val="231F1F"/>
          <w:spacing w:val="2"/>
          <w:w w:val="115"/>
        </w:rPr>
        <w:t>—</w:t>
      </w:r>
      <w:r>
        <w:rPr>
          <w:color w:val="231F1F"/>
          <w:spacing w:val="2"/>
          <w:w w:val="115"/>
        </w:rPr>
        <w:t>manufacturer </w:t>
      </w:r>
      <w:r>
        <w:rPr>
          <w:color w:val="231F1F"/>
          <w:w w:val="115"/>
        </w:rPr>
        <w:t>of crizotinib advises avoid concomitant use; avoidance of itraconazole advised by manufacturer of </w:t>
      </w:r>
      <w:r>
        <w:rPr>
          <w:rFonts w:ascii="Calibri" w:hAnsi="Calibri"/>
          <w:color w:val="008356"/>
          <w:spacing w:val="3"/>
          <w:w w:val="115"/>
          <w:sz w:val="11"/>
        </w:rPr>
        <w:t>DASATINIB </w:t>
      </w:r>
      <w:r>
        <w:rPr>
          <w:color w:val="231F1F"/>
          <w:w w:val="115"/>
        </w:rPr>
        <w:t>and </w:t>
      </w:r>
      <w:r>
        <w:rPr>
          <w:rFonts w:ascii="Arial" w:hAnsi="Arial"/>
          <w:color w:val="231F1F"/>
          <w:w w:val="355"/>
          <w:position w:val="1"/>
          <w:sz w:val="7"/>
        </w:rPr>
        <w:t>l </w:t>
      </w:r>
      <w:r>
        <w:rPr>
          <w:rFonts w:ascii="Calibri" w:hAnsi="Calibri"/>
          <w:color w:val="008356"/>
          <w:spacing w:val="4"/>
          <w:w w:val="115"/>
          <w:sz w:val="11"/>
        </w:rPr>
        <w:t>TEMSIROLIMUS </w:t>
      </w:r>
      <w:r>
        <w:rPr>
          <w:color w:val="231F1F"/>
          <w:w w:val="115"/>
        </w:rPr>
        <w:t>(plasma concentration of dasatinib and temsirolimus possibly increased); itraconazole, posaconazole and voriconazole possibly increase plasma concentration of </w:t>
      </w:r>
      <w:r>
        <w:rPr>
          <w:rFonts w:ascii="Arial" w:hAnsi="Arial"/>
          <w:color w:val="231F1F"/>
          <w:w w:val="355"/>
          <w:position w:val="1"/>
          <w:sz w:val="7"/>
        </w:rPr>
        <w:t>l </w:t>
      </w:r>
      <w:r>
        <w:rPr>
          <w:rFonts w:ascii="Calibri" w:hAnsi="Calibri"/>
          <w:color w:val="008356"/>
          <w:spacing w:val="4"/>
          <w:w w:val="115"/>
          <w:sz w:val="11"/>
        </w:rPr>
        <w:t>EVEROLIMUS</w:t>
      </w:r>
      <w:r>
        <w:rPr>
          <w:rFonts w:ascii="Arial" w:hAnsi="Arial"/>
          <w:color w:val="231F1F"/>
          <w:spacing w:val="4"/>
          <w:w w:val="115"/>
        </w:rPr>
        <w:t>— </w:t>
      </w:r>
      <w:r>
        <w:rPr>
          <w:color w:val="231F1F"/>
          <w:w w:val="115"/>
        </w:rPr>
        <w:t>manufacturer of everolimus advises avoid concomitant use; itraconazole increases plasma concentration of </w:t>
      </w:r>
      <w:r>
        <w:rPr>
          <w:rFonts w:ascii="Calibri" w:hAnsi="Calibri"/>
          <w:color w:val="008356"/>
          <w:spacing w:val="4"/>
          <w:w w:val="115"/>
          <w:sz w:val="11"/>
        </w:rPr>
        <w:t>GEFITINIB</w:t>
      </w:r>
      <w:r>
        <w:rPr>
          <w:color w:val="231F1F"/>
          <w:spacing w:val="4"/>
          <w:w w:val="115"/>
        </w:rPr>
        <w:t>; </w:t>
      </w:r>
      <w:r>
        <w:rPr>
          <w:color w:val="231F1F"/>
          <w:w w:val="115"/>
        </w:rPr>
        <w:t>fluconazole,</w:t>
      </w:r>
      <w:r>
        <w:rPr>
          <w:color w:val="231F1F"/>
          <w:spacing w:val="-10"/>
          <w:w w:val="115"/>
        </w:rPr>
        <w:t> </w:t>
      </w:r>
      <w:r>
        <w:rPr>
          <w:color w:val="231F1F"/>
          <w:w w:val="115"/>
        </w:rPr>
        <w:t>itraconazole</w:t>
      </w:r>
      <w:r>
        <w:rPr>
          <w:color w:val="231F1F"/>
          <w:spacing w:val="-11"/>
          <w:w w:val="115"/>
        </w:rPr>
        <w:t> </w:t>
      </w:r>
      <w:r>
        <w:rPr>
          <w:color w:val="231F1F"/>
          <w:w w:val="115"/>
        </w:rPr>
        <w:t>and</w:t>
      </w:r>
      <w:r>
        <w:rPr>
          <w:color w:val="231F1F"/>
          <w:spacing w:val="-10"/>
          <w:w w:val="115"/>
        </w:rPr>
        <w:t> </w:t>
      </w:r>
      <w:r>
        <w:rPr>
          <w:color w:val="231F1F"/>
          <w:w w:val="115"/>
        </w:rPr>
        <w:t>voriconazole</w:t>
      </w:r>
      <w:r>
        <w:rPr>
          <w:color w:val="231F1F"/>
          <w:spacing w:val="-11"/>
          <w:w w:val="115"/>
        </w:rPr>
        <w:t> </w:t>
      </w:r>
      <w:r>
        <w:rPr>
          <w:color w:val="231F1F"/>
          <w:w w:val="115"/>
        </w:rPr>
        <w:t>possibly</w:t>
      </w:r>
      <w:r>
        <w:rPr>
          <w:color w:val="231F1F"/>
          <w:spacing w:val="-9"/>
          <w:w w:val="115"/>
        </w:rPr>
        <w:t> </w:t>
      </w:r>
      <w:r>
        <w:rPr>
          <w:color w:val="231F1F"/>
          <w:w w:val="115"/>
        </w:rPr>
        <w:t>increase the plasma concentration of </w:t>
      </w:r>
      <w:r>
        <w:rPr>
          <w:rFonts w:ascii="Arial" w:hAnsi="Arial"/>
          <w:color w:val="231F1F"/>
          <w:w w:val="355"/>
          <w:position w:val="1"/>
          <w:sz w:val="7"/>
        </w:rPr>
        <w:t>l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(see under Ibrutinib, p. 809); avoidance of itraconazole, posaconazole and voriconazole advised by manufacturer</w:t>
      </w:r>
      <w:r>
        <w:rPr>
          <w:color w:val="231F1F"/>
          <w:spacing w:val="-11"/>
          <w:w w:val="115"/>
        </w:rPr>
        <w:t> </w:t>
      </w:r>
      <w:r>
        <w:rPr>
          <w:color w:val="231F1F"/>
          <w:w w:val="115"/>
        </w:rPr>
        <w:t>of</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5"/>
          <w:sz w:val="11"/>
        </w:rPr>
        <w:t>LAPATINIB</w:t>
      </w:r>
      <w:r>
        <w:rPr>
          <w:color w:val="231F1F"/>
          <w:spacing w:val="3"/>
          <w:w w:val="115"/>
        </w:rPr>
        <w:t>;</w:t>
      </w:r>
      <w:r>
        <w:rPr>
          <w:color w:val="231F1F"/>
          <w:spacing w:val="-10"/>
          <w:w w:val="115"/>
        </w:rPr>
        <w:t> </w:t>
      </w:r>
      <w:r>
        <w:rPr>
          <w:color w:val="231F1F"/>
          <w:w w:val="115"/>
        </w:rPr>
        <w:t>avoidance</w:t>
      </w:r>
      <w:r>
        <w:rPr>
          <w:color w:val="231F1F"/>
          <w:spacing w:val="-9"/>
          <w:w w:val="115"/>
        </w:rPr>
        <w:t> </w:t>
      </w:r>
      <w:r>
        <w:rPr>
          <w:color w:val="231F1F"/>
          <w:w w:val="115"/>
        </w:rPr>
        <w:t>of</w:t>
      </w:r>
      <w:r>
        <w:rPr>
          <w:color w:val="231F1F"/>
          <w:spacing w:val="-10"/>
          <w:w w:val="115"/>
        </w:rPr>
        <w:t> </w:t>
      </w:r>
      <w:r>
        <w:rPr>
          <w:color w:val="231F1F"/>
          <w:w w:val="115"/>
        </w:rPr>
        <w:t>itraconazole</w:t>
      </w:r>
      <w:r>
        <w:rPr>
          <w:color w:val="231F1F"/>
          <w:spacing w:val="-9"/>
          <w:w w:val="115"/>
        </w:rPr>
        <w:t> </w:t>
      </w:r>
      <w:r>
        <w:rPr>
          <w:color w:val="231F1F"/>
          <w:w w:val="115"/>
        </w:rPr>
        <w:t>and voriconazole advised by manufacturer of </w:t>
      </w:r>
      <w:r>
        <w:rPr>
          <w:rFonts w:ascii="Arial" w:hAnsi="Arial"/>
          <w:color w:val="231F1F"/>
          <w:w w:val="355"/>
          <w:position w:val="1"/>
          <w:sz w:val="7"/>
        </w:rPr>
        <w:t>l </w:t>
      </w:r>
      <w:r>
        <w:rPr>
          <w:rFonts w:ascii="Calibri" w:hAnsi="Calibri"/>
          <w:color w:val="008356"/>
          <w:spacing w:val="4"/>
          <w:w w:val="115"/>
          <w:sz w:val="11"/>
        </w:rPr>
        <w:t>NILOTINIB</w:t>
      </w:r>
      <w:r>
        <w:rPr>
          <w:color w:val="231F1F"/>
          <w:spacing w:val="4"/>
          <w:w w:val="115"/>
        </w:rPr>
        <w:t>; </w:t>
      </w:r>
      <w:r>
        <w:rPr>
          <w:color w:val="231F1F"/>
          <w:w w:val="115"/>
        </w:rPr>
        <w:t>itraconazole and voriconazole possibly increase plasma concentration of </w:t>
      </w:r>
      <w:r>
        <w:rPr>
          <w:rFonts w:ascii="Arial" w:hAnsi="Arial"/>
          <w:color w:val="231F1F"/>
          <w:w w:val="355"/>
          <w:position w:val="1"/>
          <w:sz w:val="7"/>
        </w:rPr>
        <w:t>l </w:t>
      </w:r>
      <w:r>
        <w:rPr>
          <w:rFonts w:ascii="Calibri" w:hAnsi="Calibri"/>
          <w:color w:val="008356"/>
          <w:spacing w:val="3"/>
          <w:w w:val="115"/>
          <w:sz w:val="11"/>
        </w:rPr>
        <w:t>PAZOPANIB </w:t>
      </w:r>
      <w:r>
        <w:rPr>
          <w:color w:val="231F1F"/>
          <w:w w:val="115"/>
        </w:rPr>
        <w:t>(reduce dose of pazopanib); itraconazole and voriconazole possibly increase plasma concentration</w:t>
      </w:r>
      <w:r>
        <w:rPr>
          <w:color w:val="231F1F"/>
          <w:spacing w:val="-22"/>
          <w:w w:val="115"/>
        </w:rPr>
        <w:t> </w:t>
      </w:r>
      <w:r>
        <w:rPr>
          <w:color w:val="231F1F"/>
          <w:w w:val="115"/>
        </w:rPr>
        <w:t>of</w:t>
      </w:r>
      <w:r>
        <w:rPr>
          <w:color w:val="231F1F"/>
          <w:spacing w:val="-22"/>
          <w:w w:val="115"/>
        </w:rPr>
        <w:t> </w:t>
      </w:r>
      <w:r>
        <w:rPr>
          <w:rFonts w:ascii="Calibri" w:hAnsi="Calibri"/>
          <w:color w:val="008356"/>
          <w:spacing w:val="2"/>
          <w:w w:val="115"/>
          <w:sz w:val="11"/>
        </w:rPr>
        <w:t>PONATINIB</w:t>
      </w:r>
      <w:r>
        <w:rPr>
          <w:rFonts w:ascii="Arial" w:hAnsi="Arial"/>
          <w:color w:val="231F1F"/>
          <w:spacing w:val="2"/>
          <w:w w:val="115"/>
        </w:rPr>
        <w:t>—</w:t>
      </w:r>
      <w:r>
        <w:rPr>
          <w:color w:val="231F1F"/>
          <w:spacing w:val="2"/>
          <w:w w:val="115"/>
        </w:rPr>
        <w:t>consider</w:t>
      </w:r>
      <w:r>
        <w:rPr>
          <w:color w:val="231F1F"/>
          <w:spacing w:val="-21"/>
          <w:w w:val="115"/>
        </w:rPr>
        <w:t> </w:t>
      </w:r>
      <w:r>
        <w:rPr>
          <w:color w:val="231F1F"/>
          <w:w w:val="115"/>
        </w:rPr>
        <w:t>reducing</w:t>
      </w:r>
      <w:r>
        <w:rPr>
          <w:color w:val="231F1F"/>
          <w:spacing w:val="-22"/>
          <w:w w:val="115"/>
        </w:rPr>
        <w:t> </w:t>
      </w:r>
      <w:r>
        <w:rPr>
          <w:color w:val="231F1F"/>
          <w:w w:val="115"/>
        </w:rPr>
        <w:t>initial</w:t>
      </w:r>
      <w:r>
        <w:rPr>
          <w:color w:val="231F1F"/>
          <w:spacing w:val="-21"/>
          <w:w w:val="115"/>
        </w:rPr>
        <w:t> </w:t>
      </w:r>
      <w:r>
        <w:rPr>
          <w:color w:val="231F1F"/>
          <w:w w:val="115"/>
        </w:rPr>
        <w:t>dose</w:t>
      </w:r>
      <w:r>
        <w:rPr>
          <w:color w:val="231F1F"/>
          <w:spacing w:val="-21"/>
          <w:w w:val="115"/>
        </w:rPr>
        <w:t> </w:t>
      </w:r>
      <w:r>
        <w:rPr>
          <w:color w:val="231F1F"/>
          <w:spacing w:val="-6"/>
          <w:w w:val="115"/>
        </w:rPr>
        <w:t>of </w:t>
      </w:r>
      <w:r>
        <w:rPr>
          <w:color w:val="231F1F"/>
          <w:w w:val="115"/>
        </w:rPr>
        <w:t>ponatinib (see under Ponatinib, p. 814); manufacturer of ruxolitinib advises dose reduction when fluconazole, itraconazole,</w:t>
      </w:r>
      <w:r>
        <w:rPr>
          <w:color w:val="231F1F"/>
          <w:spacing w:val="-7"/>
          <w:w w:val="115"/>
        </w:rPr>
        <w:t> </w:t>
      </w:r>
      <w:r>
        <w:rPr>
          <w:color w:val="231F1F"/>
          <w:w w:val="115"/>
        </w:rPr>
        <w:t>posaconazole</w:t>
      </w:r>
      <w:r>
        <w:rPr>
          <w:color w:val="231F1F"/>
          <w:spacing w:val="-7"/>
          <w:w w:val="115"/>
        </w:rPr>
        <w:t> </w:t>
      </w:r>
      <w:r>
        <w:rPr>
          <w:color w:val="231F1F"/>
          <w:w w:val="115"/>
        </w:rPr>
        <w:t>and</w:t>
      </w:r>
      <w:r>
        <w:rPr>
          <w:color w:val="231F1F"/>
          <w:spacing w:val="-5"/>
          <w:w w:val="115"/>
        </w:rPr>
        <w:t> </w:t>
      </w:r>
      <w:r>
        <w:rPr>
          <w:color w:val="231F1F"/>
          <w:w w:val="115"/>
        </w:rPr>
        <w:t>voriconazole</w:t>
      </w:r>
      <w:r>
        <w:rPr>
          <w:color w:val="231F1F"/>
          <w:spacing w:val="-7"/>
          <w:w w:val="115"/>
        </w:rPr>
        <w:t> </w:t>
      </w:r>
      <w:r>
        <w:rPr>
          <w:color w:val="231F1F"/>
          <w:w w:val="115"/>
        </w:rPr>
        <w:t>given</w:t>
      </w:r>
      <w:r>
        <w:rPr>
          <w:color w:val="231F1F"/>
          <w:spacing w:val="-6"/>
          <w:w w:val="115"/>
        </w:rPr>
        <w:t> </w:t>
      </w:r>
      <w:r>
        <w:rPr>
          <w:color w:val="231F1F"/>
          <w:w w:val="115"/>
        </w:rPr>
        <w:t>with</w:t>
      </w:r>
    </w:p>
    <w:p>
      <w:pPr>
        <w:spacing w:line="136" w:lineRule="exact" w:before="0"/>
        <w:ind w:left="286" w:right="0" w:firstLine="0"/>
        <w:jc w:val="left"/>
        <w:rPr>
          <w:sz w:val="12"/>
        </w:rPr>
      </w:pPr>
      <w:r>
        <w:rPr>
          <w:rFonts w:ascii="Arial" w:hAnsi="Arial"/>
          <w:color w:val="231F1F"/>
          <w:w w:val="330"/>
          <w:position w:val="1"/>
          <w:sz w:val="7"/>
        </w:rPr>
        <w:t>l</w:t>
      </w:r>
      <w:r>
        <w:rPr>
          <w:rFonts w:ascii="Arial" w:hAnsi="Arial"/>
          <w:color w:val="231F1F"/>
          <w:spacing w:val="-55"/>
          <w:w w:val="330"/>
          <w:position w:val="1"/>
          <w:sz w:val="7"/>
        </w:rPr>
        <w:t> </w:t>
      </w:r>
      <w:r>
        <w:rPr>
          <w:rFonts w:ascii="Calibri" w:hAnsi="Calibri"/>
          <w:color w:val="008356"/>
          <w:spacing w:val="2"/>
          <w:w w:val="115"/>
          <w:sz w:val="11"/>
        </w:rPr>
        <w:t>RUXOLITINIB</w:t>
      </w:r>
      <w:r>
        <w:rPr>
          <w:rFonts w:ascii="Arial" w:hAnsi="Arial"/>
          <w:color w:val="231F1F"/>
          <w:spacing w:val="2"/>
          <w:w w:val="115"/>
          <w:sz w:val="12"/>
        </w:rPr>
        <w:t>—</w:t>
      </w:r>
      <w:r>
        <w:rPr>
          <w:color w:val="231F1F"/>
          <w:spacing w:val="2"/>
          <w:w w:val="115"/>
          <w:sz w:val="12"/>
        </w:rPr>
        <w:t>consult</w:t>
      </w:r>
      <w:r>
        <w:rPr>
          <w:color w:val="231F1F"/>
          <w:spacing w:val="-24"/>
          <w:w w:val="115"/>
          <w:sz w:val="12"/>
        </w:rPr>
        <w:t> </w:t>
      </w:r>
      <w:r>
        <w:rPr>
          <w:color w:val="231F1F"/>
          <w:w w:val="115"/>
          <w:sz w:val="12"/>
        </w:rPr>
        <w:t>ruxolitinib</w:t>
      </w:r>
      <w:r>
        <w:rPr>
          <w:color w:val="231F1F"/>
          <w:spacing w:val="-25"/>
          <w:w w:val="115"/>
          <w:sz w:val="12"/>
        </w:rPr>
        <w:t> </w:t>
      </w:r>
      <w:r>
        <w:rPr>
          <w:color w:val="231F1F"/>
          <w:w w:val="115"/>
          <w:sz w:val="12"/>
        </w:rPr>
        <w:t>product</w:t>
      </w:r>
      <w:r>
        <w:rPr>
          <w:color w:val="231F1F"/>
          <w:spacing w:val="-24"/>
          <w:w w:val="115"/>
          <w:sz w:val="12"/>
        </w:rPr>
        <w:t> </w:t>
      </w:r>
      <w:r>
        <w:rPr>
          <w:color w:val="231F1F"/>
          <w:w w:val="115"/>
          <w:sz w:val="12"/>
        </w:rPr>
        <w:t>literature;</w:t>
      </w:r>
    </w:p>
    <w:p>
      <w:pPr>
        <w:pStyle w:val="BodyText"/>
        <w:spacing w:line="247" w:lineRule="auto"/>
        <w:ind w:left="286" w:right="36"/>
      </w:pPr>
      <w:r>
        <w:rPr>
          <w:color w:val="231F1F"/>
          <w:w w:val="120"/>
        </w:rPr>
        <w:t>itraconazole</w:t>
      </w:r>
      <w:r>
        <w:rPr>
          <w:color w:val="231F1F"/>
          <w:spacing w:val="-23"/>
          <w:w w:val="120"/>
        </w:rPr>
        <w:t> </w:t>
      </w:r>
      <w:r>
        <w:rPr>
          <w:color w:val="231F1F"/>
          <w:w w:val="120"/>
        </w:rPr>
        <w:t>and</w:t>
      </w:r>
      <w:r>
        <w:rPr>
          <w:color w:val="231F1F"/>
          <w:spacing w:val="-22"/>
          <w:w w:val="120"/>
        </w:rPr>
        <w:t> </w:t>
      </w:r>
      <w:r>
        <w:rPr>
          <w:color w:val="231F1F"/>
          <w:w w:val="120"/>
        </w:rPr>
        <w:t>voriconazole</w:t>
      </w:r>
      <w:r>
        <w:rPr>
          <w:color w:val="231F1F"/>
          <w:spacing w:val="-23"/>
          <w:w w:val="120"/>
        </w:rPr>
        <w:t> </w:t>
      </w:r>
      <w:r>
        <w:rPr>
          <w:color w:val="231F1F"/>
          <w:w w:val="120"/>
        </w:rPr>
        <w:t>possibly</w:t>
      </w:r>
      <w:r>
        <w:rPr>
          <w:color w:val="231F1F"/>
          <w:spacing w:val="-22"/>
          <w:w w:val="120"/>
        </w:rPr>
        <w:t> </w:t>
      </w:r>
      <w:r>
        <w:rPr>
          <w:color w:val="231F1F"/>
          <w:w w:val="120"/>
        </w:rPr>
        <w:t>increase</w:t>
      </w:r>
      <w:r>
        <w:rPr>
          <w:color w:val="231F1F"/>
          <w:spacing w:val="-22"/>
          <w:w w:val="120"/>
        </w:rPr>
        <w:t> </w:t>
      </w:r>
      <w:r>
        <w:rPr>
          <w:color w:val="231F1F"/>
          <w:w w:val="120"/>
        </w:rPr>
        <w:t>the</w:t>
      </w:r>
      <w:r>
        <w:rPr>
          <w:color w:val="231F1F"/>
          <w:spacing w:val="-22"/>
          <w:w w:val="120"/>
        </w:rPr>
        <w:t> </w:t>
      </w:r>
      <w:r>
        <w:rPr>
          <w:color w:val="231F1F"/>
          <w:w w:val="120"/>
        </w:rPr>
        <w:t>plasma </w:t>
      </w:r>
      <w:r>
        <w:rPr>
          <w:color w:val="231F1F"/>
          <w:w w:val="115"/>
        </w:rPr>
        <w:t>concentration</w:t>
      </w:r>
      <w:r>
        <w:rPr>
          <w:color w:val="231F1F"/>
          <w:spacing w:val="-12"/>
          <w:w w:val="115"/>
        </w:rPr>
        <w:t> </w:t>
      </w:r>
      <w:r>
        <w:rPr>
          <w:color w:val="231F1F"/>
          <w:w w:val="115"/>
        </w:rPr>
        <w:t>of</w:t>
      </w:r>
      <w:r>
        <w:rPr>
          <w:color w:val="231F1F"/>
          <w:spacing w:val="-10"/>
          <w:w w:val="115"/>
        </w:rPr>
        <w:t> </w:t>
      </w:r>
      <w:r>
        <w:rPr>
          <w:rFonts w:ascii="Arial" w:hAnsi="Arial"/>
          <w:color w:val="231F1F"/>
          <w:w w:val="115"/>
          <w:position w:val="1"/>
          <w:sz w:val="7"/>
        </w:rPr>
        <w:t>l </w:t>
      </w:r>
      <w:r>
        <w:rPr>
          <w:rFonts w:ascii="Calibri" w:hAnsi="Calibri"/>
          <w:color w:val="008356"/>
          <w:w w:val="115"/>
          <w:sz w:val="11"/>
        </w:rPr>
        <w:t>CABAZITAXEL</w:t>
      </w:r>
      <w:r>
        <w:rPr>
          <w:rFonts w:ascii="Arial" w:hAnsi="Arial"/>
          <w:color w:val="231F1F"/>
          <w:w w:val="115"/>
        </w:rPr>
        <w:t>—</w:t>
      </w:r>
      <w:r>
        <w:rPr>
          <w:color w:val="231F1F"/>
          <w:w w:val="115"/>
        </w:rPr>
        <w:t>manufacturer</w:t>
      </w:r>
      <w:r>
        <w:rPr>
          <w:color w:val="231F1F"/>
          <w:spacing w:val="-10"/>
          <w:w w:val="115"/>
        </w:rPr>
        <w:t> </w:t>
      </w:r>
      <w:r>
        <w:rPr>
          <w:color w:val="231F1F"/>
          <w:w w:val="115"/>
        </w:rPr>
        <w:t>of</w:t>
      </w:r>
      <w:r>
        <w:rPr>
          <w:color w:val="231F1F"/>
          <w:spacing w:val="-10"/>
          <w:w w:val="115"/>
        </w:rPr>
        <w:t> </w:t>
      </w:r>
      <w:r>
        <w:rPr>
          <w:color w:val="231F1F"/>
          <w:w w:val="115"/>
        </w:rPr>
        <w:t>cabazitaxel </w:t>
      </w:r>
      <w:r>
        <w:rPr>
          <w:color w:val="231F1F"/>
          <w:w w:val="120"/>
        </w:rPr>
        <w:t>advises avoid or consider reducing dose of cabazitaxel; itraconazole and voriconazole possibly increase plasma concentration</w:t>
      </w:r>
      <w:r>
        <w:rPr>
          <w:color w:val="231F1F"/>
          <w:spacing w:val="-24"/>
          <w:w w:val="120"/>
        </w:rPr>
        <w:t> </w:t>
      </w:r>
      <w:r>
        <w:rPr>
          <w:color w:val="231F1F"/>
          <w:w w:val="120"/>
        </w:rPr>
        <w:t>of</w:t>
      </w:r>
      <w:r>
        <w:rPr>
          <w:color w:val="231F1F"/>
          <w:spacing w:val="-23"/>
          <w:w w:val="120"/>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w w:val="120"/>
          <w:sz w:val="11"/>
        </w:rPr>
        <w:t>DOCETAXEL</w:t>
      </w:r>
      <w:r>
        <w:rPr>
          <w:rFonts w:ascii="Arial" w:hAnsi="Arial"/>
          <w:color w:val="231F1F"/>
          <w:w w:val="120"/>
        </w:rPr>
        <w:t>—</w:t>
      </w:r>
      <w:r>
        <w:rPr>
          <w:color w:val="231F1F"/>
          <w:w w:val="120"/>
        </w:rPr>
        <w:t>manufacturer</w:t>
      </w:r>
      <w:r>
        <w:rPr>
          <w:color w:val="231F1F"/>
          <w:spacing w:val="-23"/>
          <w:w w:val="120"/>
        </w:rPr>
        <w:t> </w:t>
      </w:r>
      <w:r>
        <w:rPr>
          <w:color w:val="231F1F"/>
          <w:w w:val="120"/>
        </w:rPr>
        <w:t>of</w:t>
      </w:r>
      <w:r>
        <w:rPr>
          <w:color w:val="231F1F"/>
          <w:spacing w:val="-23"/>
          <w:w w:val="120"/>
        </w:rPr>
        <w:t> </w:t>
      </w:r>
      <w:r>
        <w:rPr>
          <w:color w:val="231F1F"/>
          <w:w w:val="120"/>
        </w:rPr>
        <w:t>docetaxel advises avoid concomitant use or consider reducing docetaxel</w:t>
      </w:r>
      <w:r>
        <w:rPr>
          <w:color w:val="231F1F"/>
          <w:spacing w:val="-23"/>
          <w:w w:val="120"/>
        </w:rPr>
        <w:t> </w:t>
      </w:r>
      <w:r>
        <w:rPr>
          <w:color w:val="231F1F"/>
          <w:w w:val="120"/>
        </w:rPr>
        <w:t>dose;</w:t>
      </w:r>
      <w:r>
        <w:rPr>
          <w:color w:val="231F1F"/>
          <w:spacing w:val="-23"/>
          <w:w w:val="120"/>
        </w:rPr>
        <w:t> </w:t>
      </w:r>
      <w:r>
        <w:rPr>
          <w:color w:val="231F1F"/>
          <w:w w:val="120"/>
        </w:rPr>
        <w:t>increased</w:t>
      </w:r>
      <w:r>
        <w:rPr>
          <w:color w:val="231F1F"/>
          <w:spacing w:val="-24"/>
          <w:w w:val="120"/>
        </w:rPr>
        <w:t> </w:t>
      </w:r>
      <w:r>
        <w:rPr>
          <w:color w:val="231F1F"/>
          <w:w w:val="120"/>
        </w:rPr>
        <w:t>risk</w:t>
      </w:r>
      <w:r>
        <w:rPr>
          <w:color w:val="231F1F"/>
          <w:spacing w:val="-22"/>
          <w:w w:val="120"/>
        </w:rPr>
        <w:t> </w:t>
      </w:r>
      <w:r>
        <w:rPr>
          <w:color w:val="231F1F"/>
          <w:w w:val="120"/>
        </w:rPr>
        <w:t>of</w:t>
      </w:r>
      <w:r>
        <w:rPr>
          <w:color w:val="231F1F"/>
          <w:spacing w:val="-23"/>
          <w:w w:val="120"/>
        </w:rPr>
        <w:t> </w:t>
      </w:r>
      <w:r>
        <w:rPr>
          <w:color w:val="231F1F"/>
          <w:w w:val="120"/>
        </w:rPr>
        <w:t>toxicity</w:t>
      </w:r>
      <w:r>
        <w:rPr>
          <w:color w:val="231F1F"/>
          <w:spacing w:val="-23"/>
          <w:w w:val="120"/>
        </w:rPr>
        <w:t> </w:t>
      </w:r>
      <w:r>
        <w:rPr>
          <w:color w:val="231F1F"/>
          <w:w w:val="120"/>
        </w:rPr>
        <w:t>when</w:t>
      </w:r>
      <w:r>
        <w:rPr>
          <w:color w:val="231F1F"/>
          <w:spacing w:val="-23"/>
          <w:w w:val="120"/>
        </w:rPr>
        <w:t> </w:t>
      </w:r>
      <w:r>
        <w:rPr>
          <w:color w:val="231F1F"/>
          <w:w w:val="120"/>
        </w:rPr>
        <w:t>itraconazole given with </w:t>
      </w:r>
      <w:r>
        <w:rPr>
          <w:rFonts w:ascii="Arial" w:hAnsi="Arial"/>
          <w:color w:val="231F1F"/>
          <w:w w:val="355"/>
          <w:position w:val="1"/>
          <w:sz w:val="7"/>
        </w:rPr>
        <w:t>l </w:t>
      </w:r>
      <w:r>
        <w:rPr>
          <w:rFonts w:ascii="Calibri" w:hAnsi="Calibri"/>
          <w:color w:val="008356"/>
          <w:spacing w:val="2"/>
          <w:w w:val="120"/>
          <w:sz w:val="11"/>
        </w:rPr>
        <w:t>IRINOTECAN</w:t>
      </w:r>
      <w:r>
        <w:rPr>
          <w:rFonts w:ascii="Arial" w:hAnsi="Arial"/>
          <w:color w:val="231F1F"/>
          <w:spacing w:val="2"/>
          <w:w w:val="120"/>
        </w:rPr>
        <w:t>—</w:t>
      </w:r>
      <w:r>
        <w:rPr>
          <w:color w:val="231F1F"/>
          <w:spacing w:val="2"/>
          <w:w w:val="120"/>
        </w:rPr>
        <w:t>avoid </w:t>
      </w:r>
      <w:r>
        <w:rPr>
          <w:color w:val="231F1F"/>
          <w:w w:val="120"/>
        </w:rPr>
        <w:t>concomitant use; itraconazole</w:t>
      </w:r>
      <w:r>
        <w:rPr>
          <w:color w:val="231F1F"/>
          <w:spacing w:val="-17"/>
          <w:w w:val="120"/>
        </w:rPr>
        <w:t> </w:t>
      </w:r>
      <w:r>
        <w:rPr>
          <w:color w:val="231F1F"/>
          <w:w w:val="120"/>
        </w:rPr>
        <w:t>possibly</w:t>
      </w:r>
      <w:r>
        <w:rPr>
          <w:color w:val="231F1F"/>
          <w:spacing w:val="-16"/>
          <w:w w:val="120"/>
        </w:rPr>
        <w:t> </w:t>
      </w:r>
      <w:r>
        <w:rPr>
          <w:color w:val="231F1F"/>
          <w:w w:val="120"/>
        </w:rPr>
        <w:t>increases</w:t>
      </w:r>
      <w:r>
        <w:rPr>
          <w:color w:val="231F1F"/>
          <w:spacing w:val="-15"/>
          <w:w w:val="120"/>
        </w:rPr>
        <w:t> </w:t>
      </w:r>
      <w:r>
        <w:rPr>
          <w:color w:val="231F1F"/>
          <w:w w:val="120"/>
        </w:rPr>
        <w:t>risk</w:t>
      </w:r>
      <w:r>
        <w:rPr>
          <w:color w:val="231F1F"/>
          <w:spacing w:val="-15"/>
          <w:w w:val="120"/>
        </w:rPr>
        <w:t> </w:t>
      </w:r>
      <w:r>
        <w:rPr>
          <w:color w:val="231F1F"/>
          <w:w w:val="120"/>
        </w:rPr>
        <w:t>of</w:t>
      </w:r>
      <w:r>
        <w:rPr>
          <w:color w:val="231F1F"/>
          <w:spacing w:val="-16"/>
          <w:w w:val="120"/>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20"/>
          <w:sz w:val="11"/>
        </w:rPr>
        <w:t>VINBLASTINE</w:t>
      </w:r>
      <w:r>
        <w:rPr>
          <w:color w:val="231F1F"/>
          <w:spacing w:val="4"/>
          <w:w w:val="120"/>
        </w:rPr>
        <w:t>,</w:t>
      </w:r>
    </w:p>
    <w:p>
      <w:pPr>
        <w:spacing w:line="242" w:lineRule="auto" w:before="0"/>
        <w:ind w:left="286" w:right="104" w:firstLine="0"/>
        <w:jc w:val="left"/>
        <w:rPr>
          <w:sz w:val="12"/>
        </w:rPr>
      </w:pPr>
      <w:r>
        <w:rPr>
          <w:rFonts w:ascii="Arial"/>
          <w:color w:val="231F1F"/>
          <w:w w:val="355"/>
          <w:position w:val="1"/>
          <w:sz w:val="7"/>
        </w:rPr>
        <w:t>l </w:t>
      </w:r>
      <w:r>
        <w:rPr>
          <w:rFonts w:ascii="Calibri"/>
          <w:color w:val="008356"/>
          <w:spacing w:val="4"/>
          <w:w w:val="115"/>
          <w:sz w:val="11"/>
        </w:rPr>
        <w:t>VINDESINE</w:t>
      </w:r>
      <w:r>
        <w:rPr>
          <w:color w:val="231F1F"/>
          <w:spacing w:val="4"/>
          <w:w w:val="115"/>
          <w:sz w:val="12"/>
        </w:rPr>
        <w:t>, </w:t>
      </w:r>
      <w:r>
        <w:rPr>
          <w:rFonts w:ascii="Arial"/>
          <w:color w:val="231F1F"/>
          <w:w w:val="355"/>
          <w:position w:val="1"/>
          <w:sz w:val="7"/>
        </w:rPr>
        <w:t>l </w:t>
      </w:r>
      <w:r>
        <w:rPr>
          <w:rFonts w:ascii="Calibri"/>
          <w:color w:val="008356"/>
          <w:spacing w:val="4"/>
          <w:w w:val="115"/>
          <w:sz w:val="11"/>
        </w:rPr>
        <w:t>VINFLUNINE </w:t>
      </w:r>
      <w:r>
        <w:rPr>
          <w:color w:val="231F1F"/>
          <w:w w:val="115"/>
          <w:sz w:val="12"/>
        </w:rPr>
        <w:t>and </w:t>
      </w:r>
      <w:r>
        <w:rPr>
          <w:rFonts w:ascii="Arial"/>
          <w:color w:val="231F1F"/>
          <w:w w:val="355"/>
          <w:position w:val="1"/>
          <w:sz w:val="7"/>
        </w:rPr>
        <w:t>l </w:t>
      </w:r>
      <w:r>
        <w:rPr>
          <w:rFonts w:ascii="Calibri"/>
          <w:color w:val="008356"/>
          <w:spacing w:val="4"/>
          <w:w w:val="115"/>
          <w:sz w:val="11"/>
        </w:rPr>
        <w:t>VINORELBINE </w:t>
      </w:r>
      <w:r>
        <w:rPr>
          <w:color w:val="231F1F"/>
          <w:w w:val="115"/>
          <w:sz w:val="12"/>
        </w:rPr>
        <w:t>toxicity; posaconazole</w:t>
      </w:r>
      <w:r>
        <w:rPr>
          <w:color w:val="231F1F"/>
          <w:spacing w:val="-21"/>
          <w:w w:val="115"/>
          <w:sz w:val="12"/>
        </w:rPr>
        <w:t> </w:t>
      </w:r>
      <w:r>
        <w:rPr>
          <w:color w:val="231F1F"/>
          <w:w w:val="115"/>
          <w:sz w:val="12"/>
        </w:rPr>
        <w:t>possibly</w:t>
      </w:r>
      <w:r>
        <w:rPr>
          <w:color w:val="231F1F"/>
          <w:spacing w:val="-21"/>
          <w:w w:val="115"/>
          <w:sz w:val="12"/>
        </w:rPr>
        <w:t> </w:t>
      </w:r>
      <w:r>
        <w:rPr>
          <w:color w:val="231F1F"/>
          <w:w w:val="115"/>
          <w:sz w:val="12"/>
        </w:rPr>
        <w:t>inhibits</w:t>
      </w:r>
      <w:r>
        <w:rPr>
          <w:color w:val="231F1F"/>
          <w:spacing w:val="-21"/>
          <w:w w:val="115"/>
          <w:sz w:val="12"/>
        </w:rPr>
        <w:t> </w:t>
      </w:r>
      <w:r>
        <w:rPr>
          <w:color w:val="231F1F"/>
          <w:w w:val="115"/>
          <w:sz w:val="12"/>
        </w:rPr>
        <w:t>metabolism</w:t>
      </w:r>
      <w:r>
        <w:rPr>
          <w:color w:val="231F1F"/>
          <w:spacing w:val="-21"/>
          <w:w w:val="115"/>
          <w:sz w:val="12"/>
        </w:rPr>
        <w:t> </w:t>
      </w:r>
      <w:r>
        <w:rPr>
          <w:color w:val="231F1F"/>
          <w:w w:val="115"/>
          <w:sz w:val="12"/>
        </w:rPr>
        <w:t>of</w:t>
      </w:r>
      <w:r>
        <w:rPr>
          <w:color w:val="231F1F"/>
          <w:spacing w:val="-20"/>
          <w:w w:val="115"/>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VINBLASTINE </w:t>
      </w:r>
      <w:r>
        <w:rPr>
          <w:color w:val="231F1F"/>
          <w:w w:val="115"/>
          <w:sz w:val="12"/>
        </w:rPr>
        <w:t>and </w:t>
      </w:r>
      <w:r>
        <w:rPr>
          <w:rFonts w:ascii="Arial"/>
          <w:color w:val="231F1F"/>
          <w:w w:val="355"/>
          <w:position w:val="1"/>
          <w:sz w:val="7"/>
        </w:rPr>
        <w:t>l </w:t>
      </w:r>
      <w:r>
        <w:rPr>
          <w:rFonts w:ascii="Calibri"/>
          <w:color w:val="008356"/>
          <w:spacing w:val="4"/>
          <w:w w:val="115"/>
          <w:sz w:val="11"/>
        </w:rPr>
        <w:t>VINCRISTINE </w:t>
      </w:r>
      <w:r>
        <w:rPr>
          <w:color w:val="231F1F"/>
          <w:w w:val="115"/>
          <w:sz w:val="12"/>
        </w:rPr>
        <w:t>(increased risk of neurotoxicity); itraconazole</w:t>
      </w:r>
      <w:r>
        <w:rPr>
          <w:color w:val="231F1F"/>
          <w:spacing w:val="-10"/>
          <w:w w:val="115"/>
          <w:sz w:val="12"/>
        </w:rPr>
        <w:t> </w:t>
      </w:r>
      <w:r>
        <w:rPr>
          <w:color w:val="231F1F"/>
          <w:w w:val="115"/>
          <w:sz w:val="12"/>
        </w:rPr>
        <w:t>increases</w:t>
      </w:r>
      <w:r>
        <w:rPr>
          <w:color w:val="231F1F"/>
          <w:spacing w:val="-8"/>
          <w:w w:val="115"/>
          <w:sz w:val="12"/>
        </w:rPr>
        <w:t> </w:t>
      </w:r>
      <w:r>
        <w:rPr>
          <w:color w:val="231F1F"/>
          <w:w w:val="115"/>
          <w:sz w:val="12"/>
        </w:rPr>
        <w:t>risk</w:t>
      </w:r>
      <w:r>
        <w:rPr>
          <w:color w:val="231F1F"/>
          <w:spacing w:val="-8"/>
          <w:w w:val="115"/>
          <w:sz w:val="12"/>
        </w:rPr>
        <w:t> </w:t>
      </w:r>
      <w:r>
        <w:rPr>
          <w:color w:val="231F1F"/>
          <w:w w:val="115"/>
          <w:sz w:val="12"/>
        </w:rPr>
        <w:t>of</w:t>
      </w:r>
      <w:r>
        <w:rPr>
          <w:color w:val="231F1F"/>
          <w:spacing w:val="-8"/>
          <w:w w:val="115"/>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5"/>
          <w:sz w:val="11"/>
        </w:rPr>
        <w:t>VINCRISTINE </w:t>
      </w:r>
      <w:r>
        <w:rPr>
          <w:color w:val="231F1F"/>
          <w:w w:val="115"/>
          <w:sz w:val="12"/>
        </w:rPr>
        <w:t>toxicity</w:t>
      </w:r>
    </w:p>
    <w:p>
      <w:pPr>
        <w:pStyle w:val="BodyText"/>
        <w:spacing w:line="244" w:lineRule="auto"/>
        <w:ind w:left="286" w:right="37" w:hanging="100"/>
      </w:pPr>
      <w:r>
        <w:rPr>
          <w:rFonts w:ascii="Arial"/>
          <w:color w:val="231F1F"/>
          <w:w w:val="355"/>
          <w:position w:val="1"/>
          <w:sz w:val="7"/>
        </w:rPr>
        <w:t>l </w:t>
      </w:r>
      <w:r>
        <w:rPr>
          <w:rFonts w:ascii="Calibri"/>
          <w:color w:val="231F1F"/>
          <w:w w:val="110"/>
        </w:rPr>
        <w:t>Dapoxetine: </w:t>
      </w:r>
      <w:r>
        <w:rPr>
          <w:color w:val="231F1F"/>
          <w:w w:val="110"/>
        </w:rPr>
        <w:t>manufacturer of dapoxetine advises dose reduction when fluconazole given with </w:t>
      </w:r>
      <w:r>
        <w:rPr>
          <w:rFonts w:ascii="Calibri"/>
          <w:color w:val="008356"/>
          <w:spacing w:val="4"/>
          <w:w w:val="110"/>
          <w:sz w:val="11"/>
        </w:rPr>
        <w:t>DAPOXETINE  </w:t>
      </w:r>
      <w:r>
        <w:rPr>
          <w:color w:val="231F1F"/>
          <w:w w:val="110"/>
        </w:rPr>
        <w:t>(see under Dapoxetine, p. 703); avoidance of itraconazole </w:t>
      </w:r>
      <w:r>
        <w:rPr>
          <w:color w:val="231F1F"/>
          <w:spacing w:val="-3"/>
          <w:w w:val="110"/>
        </w:rPr>
        <w:t>advised </w:t>
      </w:r>
      <w:r>
        <w:rPr>
          <w:color w:val="231F1F"/>
          <w:w w:val="110"/>
        </w:rPr>
        <w:t>by manufacturer of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DAPOXETINE </w:t>
      </w:r>
      <w:r>
        <w:rPr>
          <w:color w:val="231F1F"/>
          <w:w w:val="110"/>
        </w:rPr>
        <w:t>(increased risk of toxicity)</w:t>
      </w:r>
    </w:p>
    <w:p>
      <w:pPr>
        <w:pStyle w:val="BodyText"/>
        <w:spacing w:line="139" w:lineRule="exact"/>
        <w:ind w:left="186"/>
      </w:pPr>
      <w:r>
        <w:rPr>
          <w:rFonts w:ascii="Arial"/>
          <w:color w:val="231F1F"/>
          <w:w w:val="355"/>
          <w:position w:val="1"/>
          <w:sz w:val="7"/>
        </w:rPr>
        <w:t>l </w:t>
      </w:r>
      <w:r>
        <w:rPr>
          <w:rFonts w:ascii="Calibri"/>
          <w:color w:val="231F1F"/>
          <w:w w:val="120"/>
        </w:rPr>
        <w:t>Diuretics: </w:t>
      </w:r>
      <w:r>
        <w:rPr>
          <w:color w:val="231F1F"/>
          <w:w w:val="120"/>
        </w:rPr>
        <w:t>fluconazole increases plasma concentration of</w:t>
      </w:r>
    </w:p>
    <w:p>
      <w:pPr>
        <w:spacing w:line="244" w:lineRule="auto" w:before="0"/>
        <w:ind w:left="286" w:right="317" w:firstLine="0"/>
        <w:jc w:val="left"/>
        <w:rPr>
          <w:rFonts w:ascii="Calibri" w:hAnsi="Calibri"/>
          <w:sz w:val="11"/>
        </w:rPr>
      </w:pPr>
      <w:r>
        <w:rPr>
          <w:rFonts w:ascii="Calibri" w:hAnsi="Calibri"/>
          <w:color w:val="008356"/>
          <w:w w:val="110"/>
          <w:sz w:val="11"/>
        </w:rPr>
        <w:t>EPLERENONE </w:t>
      </w:r>
      <w:r>
        <w:rPr>
          <w:color w:val="231F1F"/>
          <w:w w:val="110"/>
          <w:sz w:val="12"/>
        </w:rPr>
        <w:t>(reduce dose of eplerenone); itraconazole increases plasma concentration of </w:t>
      </w:r>
      <w:r>
        <w:rPr>
          <w:rFonts w:ascii="Arial" w:hAnsi="Arial"/>
          <w:color w:val="231F1F"/>
          <w:w w:val="355"/>
          <w:position w:val="1"/>
          <w:sz w:val="7"/>
        </w:rPr>
        <w:t>l </w:t>
      </w:r>
      <w:r>
        <w:rPr>
          <w:rFonts w:ascii="Calibri" w:hAnsi="Calibri"/>
          <w:color w:val="008356"/>
          <w:w w:val="110"/>
          <w:sz w:val="11"/>
        </w:rPr>
        <w:t>EPLERENONE</w:t>
      </w:r>
      <w:r>
        <w:rPr>
          <w:rFonts w:ascii="Arial" w:hAnsi="Arial"/>
          <w:color w:val="231F1F"/>
          <w:w w:val="110"/>
          <w:sz w:val="12"/>
        </w:rPr>
        <w:t>—</w:t>
      </w:r>
      <w:r>
        <w:rPr>
          <w:color w:val="231F1F"/>
          <w:w w:val="110"/>
          <w:sz w:val="12"/>
        </w:rPr>
        <w:t>avoid concomitant use; plasma concentration of fluconazole increased by </w:t>
      </w:r>
      <w:r>
        <w:rPr>
          <w:rFonts w:ascii="Calibri" w:hAnsi="Calibri"/>
          <w:color w:val="008356"/>
          <w:w w:val="110"/>
          <w:sz w:val="11"/>
        </w:rPr>
        <w:t>HYDROCHLOROTHIAZIDE</w:t>
      </w:r>
    </w:p>
    <w:p>
      <w:pPr>
        <w:pStyle w:val="BodyText"/>
        <w:spacing w:line="141" w:lineRule="exact"/>
        <w:ind w:left="186"/>
      </w:pPr>
      <w:r>
        <w:rPr>
          <w:rFonts w:ascii="Arial"/>
          <w:color w:val="231F1F"/>
          <w:w w:val="355"/>
          <w:position w:val="1"/>
          <w:sz w:val="7"/>
        </w:rPr>
        <w:t>l </w:t>
      </w:r>
      <w:r>
        <w:rPr>
          <w:rFonts w:ascii="Calibri"/>
          <w:color w:val="231F1F"/>
          <w:w w:val="110"/>
        </w:rPr>
        <w:t>Domperidone: </w:t>
      </w:r>
      <w:r>
        <w:rPr>
          <w:color w:val="231F1F"/>
          <w:w w:val="110"/>
        </w:rPr>
        <w:t>possible increased risk of ventricular</w:t>
      </w:r>
    </w:p>
    <w:p>
      <w:pPr>
        <w:pStyle w:val="BodyText"/>
        <w:ind w:left="286"/>
      </w:pPr>
      <w:r>
        <w:rPr>
          <w:color w:val="231F1F"/>
          <w:w w:val="115"/>
        </w:rPr>
        <w:t>arrhythmias when itraconazole or voriconazole given with</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DOMPERIDONE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2" w:lineRule="auto"/>
        <w:ind w:left="286" w:right="9"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voriconazole given with </w:t>
      </w:r>
      <w:r>
        <w:rPr>
          <w:rFonts w:ascii="Arial" w:hAnsi="Arial"/>
          <w:color w:val="231F1F"/>
          <w:w w:val="355"/>
          <w:position w:val="1"/>
          <w:sz w:val="7"/>
        </w:rPr>
        <w:t>l </w:t>
      </w:r>
      <w:r>
        <w:rPr>
          <w:rFonts w:ascii="Calibri" w:hAnsi="Calibri"/>
          <w:color w:val="008356"/>
          <w:w w:val="110"/>
          <w:sz w:val="11"/>
        </w:rPr>
        <w:t>ERGOMETRINE</w:t>
      </w:r>
      <w:r>
        <w:rPr>
          <w:rFonts w:ascii="Arial" w:hAnsi="Arial"/>
          <w:color w:val="231F1F"/>
          <w:w w:val="110"/>
        </w:rPr>
        <w:t>—</w:t>
      </w:r>
      <w:r>
        <w:rPr>
          <w:color w:val="231F1F"/>
          <w:w w:val="110"/>
        </w:rPr>
        <w:t>avoid concomitant use; manufacturer of itraconazole advises avoid concomitant use with </w:t>
      </w:r>
      <w:r>
        <w:rPr>
          <w:rFonts w:ascii="Arial" w:hAnsi="Arial"/>
          <w:color w:val="231F1F"/>
          <w:w w:val="355"/>
          <w:position w:val="1"/>
          <w:sz w:val="7"/>
        </w:rPr>
        <w:t>l </w:t>
      </w:r>
      <w:r>
        <w:rPr>
          <w:rFonts w:ascii="Calibri" w:hAnsi="Calibri"/>
          <w:color w:val="008356"/>
          <w:w w:val="110"/>
          <w:sz w:val="11"/>
        </w:rPr>
        <w:t>ERGOMETRINE </w:t>
      </w:r>
      <w:r>
        <w:rPr>
          <w:color w:val="231F1F"/>
          <w:w w:val="110"/>
        </w:rPr>
        <w:t>(increased risk of ergotism); increased risk of ergotism when triazoles given with </w:t>
      </w:r>
      <w:r>
        <w:rPr>
          <w:rFonts w:ascii="Arial" w:hAnsi="Arial"/>
          <w:color w:val="231F1F"/>
          <w:w w:val="355"/>
          <w:position w:val="1"/>
          <w:sz w:val="7"/>
        </w:rPr>
        <w:t>l </w:t>
      </w:r>
      <w:r>
        <w:rPr>
          <w:rFonts w:ascii="Calibri" w:hAnsi="Calibri"/>
          <w:color w:val="008356"/>
          <w:w w:val="110"/>
          <w:sz w:val="11"/>
        </w:rPr>
        <w:t>ERGOTAMINE</w:t>
      </w:r>
      <w:r>
        <w:rPr>
          <w:rFonts w:ascii="Arial" w:hAnsi="Arial"/>
          <w:color w:val="231F1F"/>
          <w:w w:val="110"/>
        </w:rPr>
        <w:t>— </w:t>
      </w:r>
      <w:r>
        <w:rPr>
          <w:color w:val="231F1F"/>
          <w:w w:val="110"/>
        </w:rPr>
        <w:t>avoid concomitant use</w:t>
      </w:r>
    </w:p>
    <w:p>
      <w:pPr>
        <w:pStyle w:val="BodyText"/>
        <w:ind w:left="286"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itraconazole increases plasma concentration of </w:t>
      </w:r>
      <w:r>
        <w:rPr>
          <w:rFonts w:ascii="Arial" w:hAnsi="Arial"/>
          <w:color w:val="231F1F"/>
          <w:w w:val="355"/>
          <w:position w:val="1"/>
          <w:sz w:val="7"/>
          <w:vertAlign w:val="baseline"/>
        </w:rPr>
        <w:t>l </w:t>
      </w:r>
      <w:r>
        <w:rPr>
          <w:rFonts w:ascii="Calibri" w:hAnsi="Calibri"/>
          <w:color w:val="008356"/>
          <w:w w:val="110"/>
          <w:sz w:val="11"/>
          <w:vertAlign w:val="baseline"/>
        </w:rPr>
        <w:t>ELETRIPTAN </w:t>
      </w:r>
      <w:r>
        <w:rPr>
          <w:color w:val="231F1F"/>
          <w:w w:val="110"/>
          <w:vertAlign w:val="baseline"/>
        </w:rPr>
        <w:t>(risk of toxicity)</w:t>
      </w:r>
      <w:r>
        <w:rPr>
          <w:rFonts w:ascii="Arial" w:hAnsi="Arial"/>
          <w:color w:val="231F1F"/>
          <w:w w:val="110"/>
          <w:vertAlign w:val="baseline"/>
        </w:rPr>
        <w:t>—</w:t>
      </w:r>
      <w:r>
        <w:rPr>
          <w:color w:val="231F1F"/>
          <w:w w:val="110"/>
          <w:vertAlign w:val="baseline"/>
        </w:rPr>
        <w:t>avoid concomitant use</w:t>
      </w:r>
    </w:p>
    <w:p>
      <w:pPr>
        <w:pStyle w:val="BodyText"/>
        <w:spacing w:before="7"/>
        <w:ind w:left="0"/>
        <w:rPr>
          <w:sz w:val="14"/>
        </w:rPr>
      </w:pPr>
      <w:r>
        <w:rPr/>
        <w:br w:type="column"/>
      </w:r>
      <w:r>
        <w:rPr>
          <w:sz w:val="14"/>
        </w:rPr>
      </w:r>
    </w:p>
    <w:p>
      <w:pPr>
        <w:pStyle w:val="BodyText"/>
        <w:spacing w:line="144" w:lineRule="exact"/>
        <w:ind w:left="180"/>
        <w:rPr>
          <w:rFonts w:ascii="Calibri"/>
        </w:rPr>
      </w:pPr>
      <w:r>
        <w:rPr>
          <w:rFonts w:ascii="Arial"/>
          <w:color w:val="008356"/>
        </w:rPr>
        <w:t>Antifungals, Triazole </w:t>
      </w:r>
      <w:r>
        <w:rPr>
          <w:rFonts w:ascii="Calibri"/>
          <w:color w:val="231F1F"/>
        </w:rPr>
        <w:t>(continued)</w:t>
      </w:r>
    </w:p>
    <w:p>
      <w:pPr>
        <w:pStyle w:val="BodyText"/>
        <w:spacing w:line="242" w:lineRule="auto"/>
        <w:ind w:left="279" w:right="641" w:hanging="100"/>
      </w:pPr>
      <w:r>
        <w:rPr>
          <w:rFonts w:ascii="Arial" w:hAnsi="Arial"/>
          <w:color w:val="231F1F"/>
          <w:w w:val="355"/>
          <w:position w:val="1"/>
          <w:sz w:val="7"/>
        </w:rPr>
        <w:t>l </w:t>
      </w:r>
      <w:r>
        <w:rPr>
          <w:rFonts w:ascii="Calibri" w:hAnsi="Calibri"/>
          <w:color w:val="231F1F"/>
          <w:w w:val="115"/>
        </w:rPr>
        <w:t>Ivabradine: </w:t>
      </w:r>
      <w:r>
        <w:rPr>
          <w:color w:val="231F1F"/>
          <w:w w:val="115"/>
        </w:rPr>
        <w:t>fluconazole increases plasma concentration of </w:t>
      </w:r>
      <w:r>
        <w:rPr>
          <w:rFonts w:ascii="Calibri" w:hAnsi="Calibri"/>
          <w:color w:val="008356"/>
          <w:spacing w:val="2"/>
          <w:w w:val="110"/>
          <w:sz w:val="11"/>
        </w:rPr>
        <w:t>IVABRADINE</w:t>
      </w:r>
      <w:r>
        <w:rPr>
          <w:rFonts w:ascii="Arial" w:hAnsi="Arial"/>
          <w:color w:val="231F1F"/>
          <w:spacing w:val="2"/>
          <w:w w:val="110"/>
        </w:rPr>
        <w:t>—</w:t>
      </w:r>
      <w:r>
        <w:rPr>
          <w:color w:val="231F1F"/>
          <w:spacing w:val="2"/>
          <w:w w:val="110"/>
        </w:rPr>
        <w:t>reduce </w:t>
      </w:r>
      <w:r>
        <w:rPr>
          <w:color w:val="231F1F"/>
          <w:w w:val="110"/>
        </w:rPr>
        <w:t>initial dose of ivabradine; itraconazole </w:t>
      </w:r>
      <w:r>
        <w:rPr>
          <w:color w:val="231F1F"/>
          <w:w w:val="115"/>
        </w:rPr>
        <w:t>possibly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IVABRADINE</w:t>
      </w:r>
      <w:r>
        <w:rPr>
          <w:rFonts w:ascii="Arial" w:hAnsi="Arial"/>
          <w:color w:val="231F1F"/>
          <w:spacing w:val="4"/>
          <w:w w:val="115"/>
        </w:rPr>
        <w:t>— </w:t>
      </w:r>
      <w:r>
        <w:rPr>
          <w:color w:val="231F1F"/>
          <w:w w:val="115"/>
        </w:rPr>
        <w:t>avoid concomitant use</w:t>
      </w:r>
    </w:p>
    <w:p>
      <w:pPr>
        <w:pStyle w:val="BodyText"/>
        <w:spacing w:line="244" w:lineRule="auto"/>
        <w:ind w:left="279" w:right="655" w:hanging="100"/>
      </w:pPr>
      <w:r>
        <w:rPr>
          <w:rFonts w:ascii="Arial"/>
          <w:color w:val="231F1F"/>
          <w:w w:val="355"/>
          <w:position w:val="1"/>
          <w:sz w:val="7"/>
        </w:rPr>
        <w:t>l </w:t>
      </w:r>
      <w:r>
        <w:rPr>
          <w:rFonts w:ascii="Calibri"/>
          <w:color w:val="231F1F"/>
          <w:w w:val="115"/>
        </w:rPr>
        <w:t>Ivacaftor: </w:t>
      </w:r>
      <w:r>
        <w:rPr>
          <w:color w:val="231F1F"/>
          <w:w w:val="115"/>
        </w:rPr>
        <w:t>itraconazole, posaconazole and voriconazole possibly increase plasma concentration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IVACAFTOR </w:t>
      </w:r>
      <w:r>
        <w:rPr>
          <w:color w:val="231F1F"/>
          <w:spacing w:val="-3"/>
          <w:w w:val="115"/>
        </w:rPr>
        <w:t>(see </w:t>
      </w:r>
      <w:r>
        <w:rPr>
          <w:color w:val="231F1F"/>
          <w:w w:val="115"/>
        </w:rPr>
        <w:t>under Ivacaftor, p. 257); fluconazole increases plasma concentration of </w:t>
      </w:r>
      <w:r>
        <w:rPr>
          <w:rFonts w:ascii="Arial"/>
          <w:color w:val="231F1F"/>
          <w:w w:val="355"/>
          <w:position w:val="1"/>
          <w:sz w:val="7"/>
        </w:rPr>
        <w:t>l </w:t>
      </w:r>
      <w:r>
        <w:rPr>
          <w:rFonts w:ascii="Calibri"/>
          <w:color w:val="008356"/>
          <w:spacing w:val="3"/>
          <w:w w:val="115"/>
          <w:sz w:val="11"/>
        </w:rPr>
        <w:t>IVACAFTOR </w:t>
      </w:r>
      <w:r>
        <w:rPr>
          <w:color w:val="231F1F"/>
          <w:w w:val="115"/>
        </w:rPr>
        <w:t>(see under Ivacaftor, p. 257)</w:t>
      </w:r>
    </w:p>
    <w:p>
      <w:pPr>
        <w:pStyle w:val="BodyText"/>
        <w:spacing w:line="140" w:lineRule="exact"/>
        <w:ind w:left="180"/>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Lenalidomide: </w:t>
      </w:r>
      <w:r>
        <w:rPr>
          <w:color w:val="231F1F"/>
          <w:w w:val="115"/>
        </w:rPr>
        <w:t>itraconazole possibly increases plasma</w:t>
      </w:r>
    </w:p>
    <w:p>
      <w:pPr>
        <w:spacing w:line="140" w:lineRule="exact" w:before="0"/>
        <w:ind w:left="279" w:right="0" w:firstLine="0"/>
        <w:jc w:val="left"/>
        <w:rPr>
          <w:sz w:val="12"/>
        </w:rPr>
      </w:pPr>
      <w:r>
        <w:rPr>
          <w:color w:val="231F1F"/>
          <w:w w:val="110"/>
          <w:sz w:val="12"/>
        </w:rPr>
        <w:t>concentration of </w:t>
      </w:r>
      <w:r>
        <w:rPr>
          <w:rFonts w:ascii="Arial"/>
          <w:color w:val="231F1F"/>
          <w:w w:val="355"/>
          <w:position w:val="1"/>
          <w:sz w:val="7"/>
        </w:rPr>
        <w:t>l </w:t>
      </w:r>
      <w:r>
        <w:rPr>
          <w:rFonts w:ascii="Calibri"/>
          <w:color w:val="008356"/>
          <w:w w:val="110"/>
          <w:sz w:val="11"/>
        </w:rPr>
        <w:t>LENALIDOMIDE </w:t>
      </w:r>
      <w:r>
        <w:rPr>
          <w:color w:val="231F1F"/>
          <w:w w:val="110"/>
          <w:sz w:val="12"/>
        </w:rPr>
        <w:t>(increased risk of toxicity)</w:t>
      </w:r>
    </w:p>
    <w:p>
      <w:pPr>
        <w:pStyle w:val="BodyText"/>
        <w:spacing w:line="220" w:lineRule="auto" w:before="2"/>
        <w:ind w:left="279" w:right="618"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fluconazole increases plasma concentration of </w:t>
      </w:r>
      <w:r>
        <w:rPr>
          <w:rFonts w:ascii="Calibri" w:hAnsi="Calibri"/>
          <w:color w:val="008356"/>
          <w:w w:val="105"/>
          <w:sz w:val="11"/>
        </w:rPr>
        <w:t>ZAFIRLUKAST</w:t>
      </w:r>
    </w:p>
    <w:p>
      <w:pPr>
        <w:pStyle w:val="BodyText"/>
        <w:ind w:left="279" w:right="963" w:hanging="100"/>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Lipid-regulating</w:t>
      </w:r>
      <w:r>
        <w:rPr>
          <w:rFonts w:ascii="Calibri"/>
          <w:color w:val="231F1F"/>
          <w:spacing w:val="-18"/>
          <w:w w:val="115"/>
        </w:rPr>
        <w:t> </w:t>
      </w:r>
      <w:r>
        <w:rPr>
          <w:rFonts w:ascii="Calibri"/>
          <w:color w:val="231F1F"/>
          <w:w w:val="115"/>
        </w:rPr>
        <w:t>Drugs:</w:t>
      </w:r>
      <w:r>
        <w:rPr>
          <w:rFonts w:ascii="Calibri"/>
          <w:color w:val="231F1F"/>
          <w:spacing w:val="-19"/>
          <w:w w:val="115"/>
        </w:rPr>
        <w:t> </w:t>
      </w:r>
      <w:r>
        <w:rPr>
          <w:color w:val="231F1F"/>
          <w:w w:val="115"/>
        </w:rPr>
        <w:t>increased</w:t>
      </w:r>
      <w:r>
        <w:rPr>
          <w:color w:val="231F1F"/>
          <w:spacing w:val="-21"/>
          <w:w w:val="115"/>
        </w:rPr>
        <w:t> </w:t>
      </w:r>
      <w:r>
        <w:rPr>
          <w:color w:val="231F1F"/>
          <w:w w:val="115"/>
        </w:rPr>
        <w:t>risk</w:t>
      </w:r>
      <w:r>
        <w:rPr>
          <w:color w:val="231F1F"/>
          <w:spacing w:val="-21"/>
          <w:w w:val="115"/>
        </w:rPr>
        <w:t> </w:t>
      </w:r>
      <w:r>
        <w:rPr>
          <w:color w:val="231F1F"/>
          <w:w w:val="115"/>
        </w:rPr>
        <w:t>of</w:t>
      </w:r>
      <w:r>
        <w:rPr>
          <w:color w:val="231F1F"/>
          <w:spacing w:val="-21"/>
          <w:w w:val="115"/>
        </w:rPr>
        <w:t> </w:t>
      </w:r>
      <w:r>
        <w:rPr>
          <w:color w:val="231F1F"/>
          <w:w w:val="115"/>
        </w:rPr>
        <w:t>myopathy</w:t>
      </w:r>
      <w:r>
        <w:rPr>
          <w:color w:val="231F1F"/>
          <w:spacing w:val="-22"/>
          <w:w w:val="115"/>
        </w:rPr>
        <w:t> </w:t>
      </w:r>
      <w:r>
        <w:rPr>
          <w:color w:val="231F1F"/>
          <w:spacing w:val="-4"/>
          <w:w w:val="115"/>
        </w:rPr>
        <w:t>when </w:t>
      </w:r>
      <w:r>
        <w:rPr>
          <w:color w:val="231F1F"/>
          <w:w w:val="115"/>
        </w:rPr>
        <w:t>itraconazole,</w:t>
      </w:r>
      <w:r>
        <w:rPr>
          <w:color w:val="231F1F"/>
          <w:spacing w:val="-11"/>
          <w:w w:val="115"/>
        </w:rPr>
        <w:t> </w:t>
      </w:r>
      <w:r>
        <w:rPr>
          <w:color w:val="231F1F"/>
          <w:w w:val="115"/>
        </w:rPr>
        <w:t>posaconazole</w:t>
      </w:r>
      <w:r>
        <w:rPr>
          <w:color w:val="231F1F"/>
          <w:spacing w:val="-10"/>
          <w:w w:val="115"/>
        </w:rPr>
        <w:t> </w:t>
      </w:r>
      <w:r>
        <w:rPr>
          <w:color w:val="231F1F"/>
          <w:w w:val="115"/>
        </w:rPr>
        <w:t>or</w:t>
      </w:r>
      <w:r>
        <w:rPr>
          <w:color w:val="231F1F"/>
          <w:spacing w:val="-10"/>
          <w:w w:val="115"/>
        </w:rPr>
        <w:t> </w:t>
      </w:r>
      <w:r>
        <w:rPr>
          <w:color w:val="231F1F"/>
          <w:w w:val="115"/>
        </w:rPr>
        <w:t>voriconazole</w:t>
      </w:r>
      <w:r>
        <w:rPr>
          <w:color w:val="231F1F"/>
          <w:spacing w:val="-11"/>
          <w:w w:val="115"/>
        </w:rPr>
        <w:t> </w:t>
      </w:r>
      <w:r>
        <w:rPr>
          <w:color w:val="231F1F"/>
          <w:w w:val="115"/>
        </w:rPr>
        <w:t>given</w:t>
      </w:r>
      <w:r>
        <w:rPr>
          <w:color w:val="231F1F"/>
          <w:spacing w:val="-9"/>
          <w:w w:val="115"/>
        </w:rPr>
        <w:t> </w:t>
      </w:r>
      <w:r>
        <w:rPr>
          <w:color w:val="231F1F"/>
          <w:w w:val="115"/>
        </w:rPr>
        <w:t>with</w:t>
      </w:r>
    </w:p>
    <w:p>
      <w:pPr>
        <w:pStyle w:val="BodyText"/>
        <w:spacing w:line="244" w:lineRule="auto" w:before="4"/>
        <w:ind w:left="279" w:right="618"/>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ATORVASTATIN</w:t>
      </w:r>
      <w:r>
        <w:rPr>
          <w:color w:val="231F1F"/>
          <w:spacing w:val="2"/>
          <w:w w:val="115"/>
        </w:rPr>
        <w:t>;</w:t>
      </w:r>
      <w:r>
        <w:rPr>
          <w:color w:val="231F1F"/>
          <w:spacing w:val="-14"/>
          <w:w w:val="115"/>
        </w:rPr>
        <w:t> </w:t>
      </w:r>
      <w:r>
        <w:rPr>
          <w:color w:val="231F1F"/>
          <w:w w:val="115"/>
        </w:rPr>
        <w:t>possible</w:t>
      </w:r>
      <w:r>
        <w:rPr>
          <w:color w:val="231F1F"/>
          <w:spacing w:val="-15"/>
          <w:w w:val="115"/>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5"/>
          <w:w w:val="115"/>
        </w:rPr>
        <w:t> </w:t>
      </w:r>
      <w:r>
        <w:rPr>
          <w:color w:val="231F1F"/>
          <w:w w:val="115"/>
        </w:rPr>
        <w:t>myopathy</w:t>
      </w:r>
      <w:r>
        <w:rPr>
          <w:color w:val="231F1F"/>
          <w:spacing w:val="-14"/>
          <w:w w:val="115"/>
        </w:rPr>
        <w:t> </w:t>
      </w:r>
      <w:r>
        <w:rPr>
          <w:color w:val="231F1F"/>
          <w:w w:val="115"/>
        </w:rPr>
        <w:t>when fluconazole</w:t>
      </w:r>
      <w:r>
        <w:rPr>
          <w:color w:val="231F1F"/>
          <w:spacing w:val="-18"/>
          <w:w w:val="115"/>
        </w:rPr>
        <w:t> </w:t>
      </w:r>
      <w:r>
        <w:rPr>
          <w:color w:val="231F1F"/>
          <w:w w:val="115"/>
        </w:rPr>
        <w:t>given</w:t>
      </w:r>
      <w:r>
        <w:rPr>
          <w:color w:val="231F1F"/>
          <w:spacing w:val="-17"/>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ATORVASTATIN</w:t>
      </w:r>
      <w:r>
        <w:rPr>
          <w:rFonts w:ascii="Calibri" w:hAnsi="Calibri"/>
          <w:color w:val="008356"/>
          <w:spacing w:val="-7"/>
          <w:w w:val="115"/>
          <w:sz w:val="11"/>
        </w:rPr>
        <w:t> </w:t>
      </w:r>
      <w:r>
        <w:rPr>
          <w:color w:val="231F1F"/>
          <w:w w:val="115"/>
        </w:rPr>
        <w:t>or</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SIMVASTATIN</w:t>
      </w:r>
      <w:r>
        <w:rPr>
          <w:color w:val="231F1F"/>
          <w:spacing w:val="3"/>
          <w:w w:val="115"/>
        </w:rPr>
        <w:t>; </w:t>
      </w:r>
      <w:r>
        <w:rPr>
          <w:color w:val="231F1F"/>
          <w:w w:val="115"/>
        </w:rPr>
        <w:t>fluconazole</w:t>
      </w:r>
      <w:r>
        <w:rPr>
          <w:color w:val="231F1F"/>
          <w:spacing w:val="-23"/>
          <w:w w:val="115"/>
        </w:rPr>
        <w:t> </w:t>
      </w:r>
      <w:r>
        <w:rPr>
          <w:color w:val="231F1F"/>
          <w:w w:val="115"/>
        </w:rPr>
        <w:t>increases</w:t>
      </w:r>
      <w:r>
        <w:rPr>
          <w:color w:val="231F1F"/>
          <w:spacing w:val="-23"/>
          <w:w w:val="115"/>
        </w:rPr>
        <w:t> </w:t>
      </w:r>
      <w:r>
        <w:rPr>
          <w:color w:val="231F1F"/>
          <w:w w:val="115"/>
        </w:rPr>
        <w:t>plasma</w:t>
      </w:r>
      <w:r>
        <w:rPr>
          <w:color w:val="231F1F"/>
          <w:spacing w:val="-22"/>
          <w:w w:val="115"/>
        </w:rPr>
        <w:t> </w:t>
      </w:r>
      <w:r>
        <w:rPr>
          <w:color w:val="231F1F"/>
          <w:w w:val="115"/>
        </w:rPr>
        <w:t>concentration</w:t>
      </w:r>
      <w:r>
        <w:rPr>
          <w:color w:val="231F1F"/>
          <w:spacing w:val="-23"/>
          <w:w w:val="115"/>
        </w:rPr>
        <w:t> </w:t>
      </w:r>
      <w:r>
        <w:rPr>
          <w:color w:val="231F1F"/>
          <w:w w:val="115"/>
        </w:rPr>
        <w:t>of</w:t>
      </w:r>
      <w:r>
        <w:rPr>
          <w:color w:val="231F1F"/>
          <w:spacing w:val="-22"/>
          <w:w w:val="115"/>
        </w:rPr>
        <w:t> </w:t>
      </w:r>
      <w:r>
        <w:rPr>
          <w:rFonts w:ascii="Calibri" w:hAnsi="Calibri"/>
          <w:color w:val="008356"/>
          <w:w w:val="115"/>
          <w:sz w:val="11"/>
        </w:rPr>
        <w:t>FLUVASTATIN</w:t>
      </w:r>
      <w:r>
        <w:rPr>
          <w:rFonts w:ascii="Arial" w:hAnsi="Arial"/>
          <w:color w:val="231F1F"/>
          <w:w w:val="115"/>
        </w:rPr>
        <w:t>— </w:t>
      </w:r>
      <w:r>
        <w:rPr>
          <w:color w:val="231F1F"/>
          <w:w w:val="115"/>
        </w:rPr>
        <w:t>possible increased risk of myopathy; itraconazole increases plasma concentration of </w:t>
      </w:r>
      <w:r>
        <w:rPr>
          <w:rFonts w:ascii="Arial" w:hAnsi="Arial"/>
          <w:color w:val="231F1F"/>
          <w:w w:val="355"/>
          <w:position w:val="1"/>
          <w:sz w:val="7"/>
        </w:rPr>
        <w:t>l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 </w:t>
      </w:r>
      <w:r>
        <w:rPr>
          <w:color w:val="231F1F"/>
          <w:w w:val="115"/>
        </w:rPr>
        <w:t>dose of rosuvastatin (consult product literature); increased risk of myopathy</w:t>
      </w:r>
      <w:r>
        <w:rPr>
          <w:color w:val="231F1F"/>
          <w:spacing w:val="-7"/>
          <w:w w:val="115"/>
        </w:rPr>
        <w:t> </w:t>
      </w:r>
      <w:r>
        <w:rPr>
          <w:color w:val="231F1F"/>
          <w:w w:val="115"/>
        </w:rPr>
        <w:t>when</w:t>
      </w:r>
      <w:r>
        <w:rPr>
          <w:color w:val="231F1F"/>
          <w:spacing w:val="-6"/>
          <w:w w:val="115"/>
        </w:rPr>
        <w:t> </w:t>
      </w:r>
      <w:r>
        <w:rPr>
          <w:color w:val="231F1F"/>
          <w:w w:val="115"/>
        </w:rPr>
        <w:t>itraconazole</w:t>
      </w:r>
      <w:r>
        <w:rPr>
          <w:color w:val="231F1F"/>
          <w:spacing w:val="-6"/>
          <w:w w:val="115"/>
        </w:rPr>
        <w:t> </w:t>
      </w:r>
      <w:r>
        <w:rPr>
          <w:color w:val="231F1F"/>
          <w:w w:val="115"/>
        </w:rPr>
        <w:t>or</w:t>
      </w:r>
      <w:r>
        <w:rPr>
          <w:color w:val="231F1F"/>
          <w:spacing w:val="-6"/>
          <w:w w:val="115"/>
        </w:rPr>
        <w:t> </w:t>
      </w:r>
      <w:r>
        <w:rPr>
          <w:color w:val="231F1F"/>
          <w:w w:val="115"/>
        </w:rPr>
        <w:t>posaconazole</w:t>
      </w:r>
      <w:r>
        <w:rPr>
          <w:color w:val="231F1F"/>
          <w:spacing w:val="-6"/>
          <w:w w:val="115"/>
        </w:rPr>
        <w:t> </w:t>
      </w:r>
      <w:r>
        <w:rPr>
          <w:color w:val="231F1F"/>
          <w:w w:val="115"/>
        </w:rPr>
        <w:t>given</w:t>
      </w:r>
      <w:r>
        <w:rPr>
          <w:color w:val="231F1F"/>
          <w:spacing w:val="-6"/>
          <w:w w:val="115"/>
        </w:rPr>
        <w:t> </w:t>
      </w:r>
      <w:r>
        <w:rPr>
          <w:color w:val="231F1F"/>
          <w:w w:val="115"/>
        </w:rPr>
        <w:t>with</w:t>
      </w:r>
    </w:p>
    <w:p>
      <w:pPr>
        <w:pStyle w:val="BodyText"/>
        <w:spacing w:line="242" w:lineRule="auto" w:before="4"/>
        <w:ind w:left="279" w:right="902"/>
        <w:jc w:val="both"/>
      </w:pPr>
      <w:r>
        <w:rPr>
          <w:rFonts w:ascii="Arial"/>
          <w:color w:val="231F1F"/>
          <w:w w:val="355"/>
          <w:position w:val="1"/>
          <w:sz w:val="7"/>
        </w:rPr>
        <w:t>l</w:t>
      </w:r>
      <w:r>
        <w:rPr>
          <w:rFonts w:ascii="Arial"/>
          <w:color w:val="231F1F"/>
          <w:spacing w:val="-49"/>
          <w:w w:val="355"/>
          <w:position w:val="1"/>
          <w:sz w:val="7"/>
        </w:rPr>
        <w:t> </w:t>
      </w:r>
      <w:r>
        <w:rPr>
          <w:rFonts w:ascii="Calibri"/>
          <w:color w:val="008356"/>
          <w:spacing w:val="3"/>
          <w:w w:val="110"/>
          <w:sz w:val="11"/>
        </w:rPr>
        <w:t>SIMVASTATIN </w:t>
      </w:r>
      <w:r>
        <w:rPr>
          <w:color w:val="231F1F"/>
          <w:w w:val="110"/>
        </w:rPr>
        <w:t>(avoid concomitant use); increased risk </w:t>
      </w:r>
      <w:r>
        <w:rPr>
          <w:color w:val="231F1F"/>
          <w:spacing w:val="-6"/>
          <w:w w:val="110"/>
        </w:rPr>
        <w:t>of </w:t>
      </w:r>
      <w:r>
        <w:rPr>
          <w:color w:val="231F1F"/>
          <w:w w:val="110"/>
        </w:rPr>
        <w:t>myopathy</w:t>
      </w:r>
      <w:r>
        <w:rPr>
          <w:color w:val="231F1F"/>
          <w:spacing w:val="-5"/>
          <w:w w:val="110"/>
        </w:rPr>
        <w:t> </w:t>
      </w:r>
      <w:r>
        <w:rPr>
          <w:color w:val="231F1F"/>
          <w:w w:val="110"/>
        </w:rPr>
        <w:t>when</w:t>
      </w:r>
      <w:r>
        <w:rPr>
          <w:color w:val="231F1F"/>
          <w:spacing w:val="-4"/>
          <w:w w:val="110"/>
        </w:rPr>
        <w:t> </w:t>
      </w:r>
      <w:r>
        <w:rPr>
          <w:color w:val="231F1F"/>
          <w:w w:val="110"/>
        </w:rPr>
        <w:t>voriconazole</w:t>
      </w:r>
      <w:r>
        <w:rPr>
          <w:color w:val="231F1F"/>
          <w:spacing w:val="-5"/>
          <w:w w:val="110"/>
        </w:rPr>
        <w:t> </w:t>
      </w:r>
      <w:r>
        <w:rPr>
          <w:color w:val="231F1F"/>
          <w:w w:val="110"/>
        </w:rPr>
        <w:t>given</w:t>
      </w:r>
      <w:r>
        <w:rPr>
          <w:color w:val="231F1F"/>
          <w:spacing w:val="-3"/>
          <w:w w:val="110"/>
        </w:rPr>
        <w:t> </w:t>
      </w:r>
      <w:r>
        <w:rPr>
          <w:color w:val="231F1F"/>
          <w:w w:val="110"/>
        </w:rPr>
        <w:t>with</w:t>
      </w:r>
      <w:r>
        <w:rPr>
          <w:color w:val="231F1F"/>
          <w:spacing w:val="-4"/>
          <w:w w:val="110"/>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SIMVASTATIN</w:t>
      </w:r>
      <w:r>
        <w:rPr>
          <w:color w:val="231F1F"/>
          <w:spacing w:val="3"/>
          <w:w w:val="110"/>
        </w:rPr>
        <w:t>; </w:t>
      </w:r>
      <w:r>
        <w:rPr>
          <w:color w:val="231F1F"/>
          <w:w w:val="110"/>
        </w:rPr>
        <w:t>avoidance of triazoles advised by manufacturer</w:t>
      </w:r>
      <w:r>
        <w:rPr>
          <w:color w:val="231F1F"/>
          <w:spacing w:val="13"/>
          <w:w w:val="110"/>
        </w:rPr>
        <w:t> </w:t>
      </w:r>
      <w:r>
        <w:rPr>
          <w:color w:val="231F1F"/>
          <w:w w:val="110"/>
        </w:rPr>
        <w:t>of</w:t>
      </w:r>
    </w:p>
    <w:p>
      <w:pPr>
        <w:pStyle w:val="BodyText"/>
        <w:spacing w:before="6"/>
        <w:ind w:left="279" w:right="641"/>
      </w:pPr>
      <w:r>
        <w:rPr>
          <w:rFonts w:ascii="Arial"/>
          <w:color w:val="231F1F"/>
          <w:w w:val="355"/>
          <w:position w:val="1"/>
          <w:sz w:val="7"/>
        </w:rPr>
        <w:t>l</w:t>
      </w:r>
      <w:r>
        <w:rPr>
          <w:rFonts w:ascii="Arial"/>
          <w:color w:val="231F1F"/>
          <w:spacing w:val="-60"/>
          <w:w w:val="355"/>
          <w:position w:val="1"/>
          <w:sz w:val="7"/>
        </w:rPr>
        <w:t> </w:t>
      </w:r>
      <w:r>
        <w:rPr>
          <w:rFonts w:ascii="Calibri"/>
          <w:color w:val="008356"/>
          <w:spacing w:val="3"/>
          <w:w w:val="110"/>
          <w:sz w:val="11"/>
        </w:rPr>
        <w:t>LOMITAPIDE </w:t>
      </w:r>
      <w:r>
        <w:rPr>
          <w:color w:val="231F1F"/>
          <w:w w:val="110"/>
        </w:rPr>
        <w:t>(plasma concentration of lomitapide possibly increased)</w:t>
      </w:r>
    </w:p>
    <w:p>
      <w:pPr>
        <w:pStyle w:val="BodyText"/>
        <w:spacing w:line="230" w:lineRule="auto" w:before="7"/>
        <w:ind w:left="279" w:right="641" w:hanging="100"/>
      </w:pPr>
      <w:r>
        <w:rPr>
          <w:rFonts w:ascii="Lucida Sans Unicode" w:hAnsi="Lucida Sans Unicode"/>
          <w:color w:val="A7A8AC"/>
          <w:w w:val="95"/>
          <w:sz w:val="10"/>
        </w:rPr>
        <w:t>▶ </w:t>
      </w:r>
      <w:r>
        <w:rPr>
          <w:rFonts w:ascii="Calibri" w:hAnsi="Calibri"/>
          <w:color w:val="231F1F"/>
          <w:w w:val="110"/>
        </w:rPr>
        <w:t>Mirabegron: </w:t>
      </w:r>
      <w:r>
        <w:rPr>
          <w:color w:val="231F1F"/>
          <w:w w:val="110"/>
        </w:rPr>
        <w:t>when given with itraconazole avoid or reduce dose of </w:t>
      </w:r>
      <w:r>
        <w:rPr>
          <w:rFonts w:ascii="Calibri" w:hAnsi="Calibri"/>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220" w:lineRule="auto" w:before="12"/>
        <w:ind w:left="279" w:right="747"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plasma concentration of  voriconazole increased by</w:t>
      </w:r>
      <w:r>
        <w:rPr>
          <w:color w:val="231F1F"/>
          <w:spacing w:val="-1"/>
          <w:w w:val="105"/>
        </w:rPr>
        <w:t> </w:t>
      </w:r>
      <w:r>
        <w:rPr>
          <w:rFonts w:ascii="Calibri" w:hAnsi="Calibri"/>
          <w:color w:val="008356"/>
          <w:spacing w:val="5"/>
          <w:w w:val="105"/>
          <w:sz w:val="11"/>
        </w:rPr>
        <w:t>OESTROGENS</w:t>
      </w:r>
    </w:p>
    <w:p>
      <w:pPr>
        <w:pStyle w:val="BodyText"/>
        <w:spacing w:line="220" w:lineRule="auto" w:before="8"/>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plasma concentration of voriconazole possibly increased by </w:t>
      </w:r>
      <w:r>
        <w:rPr>
          <w:rFonts w:ascii="Calibri" w:hAnsi="Calibri"/>
          <w:color w:val="008356"/>
          <w:w w:val="105"/>
          <w:sz w:val="11"/>
        </w:rPr>
        <w:t>PROGESTOGENS</w:t>
      </w:r>
    </w:p>
    <w:p>
      <w:pPr>
        <w:pStyle w:val="BodyText"/>
        <w:ind w:left="279" w:right="641" w:hanging="100"/>
      </w:pPr>
      <w:r>
        <w:rPr>
          <w:rFonts w:ascii="Arial" w:hAnsi="Arial"/>
          <w:color w:val="231F1F"/>
          <w:w w:val="355"/>
          <w:position w:val="1"/>
          <w:sz w:val="7"/>
        </w:rPr>
        <w:t>l </w:t>
      </w:r>
      <w:r>
        <w:rPr>
          <w:rFonts w:ascii="Calibri" w:hAnsi="Calibri"/>
          <w:color w:val="231F1F"/>
          <w:w w:val="110"/>
        </w:rPr>
        <w:t>Ranolazine: </w:t>
      </w:r>
      <w:r>
        <w:rPr>
          <w:color w:val="231F1F"/>
          <w:w w:val="110"/>
        </w:rPr>
        <w:t>itraconazole, posaconazole and voriconazole possibly increase plasma concentration of </w:t>
      </w:r>
      <w:r>
        <w:rPr>
          <w:rFonts w:ascii="Arial" w:hAnsi="Arial"/>
          <w:color w:val="231F1F"/>
          <w:w w:val="355"/>
          <w:position w:val="1"/>
          <w:sz w:val="7"/>
        </w:rPr>
        <w:t>l </w:t>
      </w:r>
      <w:r>
        <w:rPr>
          <w:rFonts w:ascii="Calibri" w:hAnsi="Calibri"/>
          <w:color w:val="008356"/>
          <w:w w:val="110"/>
          <w:sz w:val="11"/>
        </w:rPr>
        <w:t>RANOLAZINE</w:t>
      </w:r>
      <w:r>
        <w:rPr>
          <w:rFonts w:ascii="Arial" w:hAnsi="Arial"/>
          <w:color w:val="231F1F"/>
          <w:w w:val="110"/>
        </w:rPr>
        <w:t>— </w:t>
      </w:r>
      <w:r>
        <w:rPr>
          <w:color w:val="231F1F"/>
          <w:w w:val="110"/>
        </w:rPr>
        <w:t>manufacturer of ranolazine advises avoid concomitant use</w:t>
      </w:r>
    </w:p>
    <w:p>
      <w:pPr>
        <w:pStyle w:val="BodyText"/>
        <w:spacing w:before="1"/>
        <w:ind w:left="279" w:right="589" w:hanging="100"/>
      </w:pPr>
      <w:r>
        <w:rPr>
          <w:rFonts w:ascii="Arial"/>
          <w:color w:val="231F1F"/>
          <w:w w:val="355"/>
          <w:position w:val="1"/>
          <w:sz w:val="7"/>
        </w:rPr>
        <w:t>l </w:t>
      </w:r>
      <w:r>
        <w:rPr>
          <w:rFonts w:ascii="Calibri"/>
          <w:color w:val="231F1F"/>
          <w:w w:val="110"/>
        </w:rPr>
        <w:t>Retinoids: </w:t>
      </w:r>
      <w:r>
        <w:rPr>
          <w:color w:val="231F1F"/>
          <w:w w:val="110"/>
        </w:rPr>
        <w:t>fluconazole and voriconazole possibly increase risk of </w:t>
      </w:r>
      <w:r>
        <w:rPr>
          <w:rFonts w:ascii="Arial"/>
          <w:color w:val="231F1F"/>
          <w:w w:val="355"/>
          <w:position w:val="1"/>
          <w:sz w:val="7"/>
        </w:rPr>
        <w:t>l </w:t>
      </w:r>
      <w:r>
        <w:rPr>
          <w:rFonts w:ascii="Calibri"/>
          <w:color w:val="008356"/>
          <w:w w:val="110"/>
          <w:sz w:val="11"/>
        </w:rPr>
        <w:t>TRETINOIN </w:t>
      </w:r>
      <w:r>
        <w:rPr>
          <w:color w:val="231F1F"/>
          <w:w w:val="110"/>
        </w:rPr>
        <w:t>toxicity</w:t>
      </w:r>
    </w:p>
    <w:p>
      <w:pPr>
        <w:pStyle w:val="BodyText"/>
        <w:spacing w:line="220" w:lineRule="auto" w:before="6"/>
        <w:ind w:left="279" w:right="747" w:hanging="100"/>
        <w:rPr>
          <w:rFonts w:ascii="Calibri" w:hAnsi="Calibri"/>
          <w:sz w:val="11"/>
        </w:rPr>
      </w:pPr>
      <w:r>
        <w:rPr>
          <w:rFonts w:ascii="Lucida Sans Unicode" w:hAnsi="Lucida Sans Unicode"/>
          <w:color w:val="A7A8AC"/>
          <w:w w:val="95"/>
          <w:sz w:val="10"/>
        </w:rPr>
        <w:t>▶ </w:t>
      </w:r>
      <w:r>
        <w:rPr>
          <w:rFonts w:ascii="Calibri" w:hAnsi="Calibri"/>
          <w:color w:val="231F1F"/>
          <w:w w:val="105"/>
        </w:rPr>
        <w:t>Riociguat: </w:t>
      </w:r>
      <w:r>
        <w:rPr>
          <w:color w:val="231F1F"/>
          <w:w w:val="105"/>
        </w:rPr>
        <w:t>avoidance of itraconazole and voriconazole advised  by manufacturer of</w:t>
      </w:r>
      <w:r>
        <w:rPr>
          <w:color w:val="231F1F"/>
          <w:spacing w:val="1"/>
          <w:w w:val="105"/>
        </w:rPr>
        <w:t> </w:t>
      </w:r>
      <w:r>
        <w:rPr>
          <w:rFonts w:ascii="Calibri" w:hAnsi="Calibri"/>
          <w:color w:val="008356"/>
          <w:spacing w:val="3"/>
          <w:w w:val="105"/>
          <w:sz w:val="11"/>
        </w:rPr>
        <w:t>RIOCIGUAT</w:t>
      </w:r>
    </w:p>
    <w:p>
      <w:pPr>
        <w:pStyle w:val="BodyText"/>
        <w:spacing w:line="151" w:lineRule="exact"/>
        <w:ind w:left="180"/>
      </w:pPr>
      <w:r>
        <w:rPr>
          <w:rFonts w:ascii="Lucida Sans Unicode" w:hAnsi="Lucida Sans Unicode"/>
          <w:color w:val="A7A8AC"/>
          <w:w w:val="95"/>
          <w:sz w:val="10"/>
        </w:rPr>
        <w:t>▶ </w:t>
      </w:r>
      <w:r>
        <w:rPr>
          <w:rFonts w:ascii="Calibri" w:hAnsi="Calibri"/>
          <w:color w:val="231F1F"/>
          <w:w w:val="105"/>
        </w:rPr>
        <w:t>Sildenafil: </w:t>
      </w:r>
      <w:r>
        <w:rPr>
          <w:color w:val="231F1F"/>
          <w:w w:val="105"/>
        </w:rPr>
        <w:t>itraconazole increases plasma concentration of</w:t>
      </w:r>
    </w:p>
    <w:p>
      <w:pPr>
        <w:spacing w:line="134" w:lineRule="exact" w:before="0"/>
        <w:ind w:left="279" w:right="0" w:firstLine="0"/>
        <w:jc w:val="left"/>
        <w:rPr>
          <w:sz w:val="12"/>
        </w:rPr>
      </w:pPr>
      <w:r>
        <w:rPr>
          <w:rFonts w:ascii="Calibri" w:hAnsi="Calibri"/>
          <w:color w:val="008356"/>
          <w:w w:val="110"/>
          <w:sz w:val="11"/>
        </w:rPr>
        <w:t>SILDENAFIL</w:t>
      </w:r>
      <w:r>
        <w:rPr>
          <w:rFonts w:ascii="Arial" w:hAnsi="Arial"/>
          <w:color w:val="231F1F"/>
          <w:w w:val="110"/>
          <w:sz w:val="12"/>
        </w:rPr>
        <w:t>—</w:t>
      </w:r>
      <w:r>
        <w:rPr>
          <w:color w:val="231F1F"/>
          <w:w w:val="110"/>
          <w:sz w:val="12"/>
        </w:rPr>
        <w:t>reduce initial dose of sildenafil</w:t>
      </w:r>
    </w:p>
    <w:p>
      <w:pPr>
        <w:pStyle w:val="BodyText"/>
        <w:spacing w:line="242" w:lineRule="auto"/>
        <w:ind w:left="279" w:right="640" w:hanging="100"/>
      </w:pPr>
      <w:r>
        <w:rPr>
          <w:rFonts w:ascii="Arial" w:hAnsi="Arial"/>
          <w:color w:val="231F1F"/>
          <w:w w:val="355"/>
          <w:position w:val="1"/>
          <w:sz w:val="7"/>
        </w:rPr>
        <w:t>l </w:t>
      </w:r>
      <w:r>
        <w:rPr>
          <w:rFonts w:ascii="Calibri" w:hAnsi="Calibri"/>
          <w:color w:val="231F1F"/>
          <w:w w:val="110"/>
        </w:rPr>
        <w:t>Sirolimus: </w:t>
      </w:r>
      <w:r>
        <w:rPr>
          <w:color w:val="231F1F"/>
          <w:w w:val="110"/>
        </w:rPr>
        <w:t>fluconazole and posaconazole possibly increase plasma concentration of </w:t>
      </w:r>
      <w:r>
        <w:rPr>
          <w:rFonts w:ascii="Calibri" w:hAnsi="Calibri"/>
          <w:color w:val="008356"/>
          <w:w w:val="110"/>
          <w:sz w:val="11"/>
        </w:rPr>
        <w:t>SIROLIMUS</w:t>
      </w:r>
      <w:r>
        <w:rPr>
          <w:color w:val="231F1F"/>
          <w:w w:val="110"/>
        </w:rPr>
        <w:t>; itraconazole and voriconazole increase plasma concentration of </w:t>
      </w:r>
      <w:r>
        <w:rPr>
          <w:rFonts w:ascii="Arial" w:hAnsi="Arial"/>
          <w:color w:val="231F1F"/>
          <w:w w:val="355"/>
          <w:position w:val="1"/>
          <w:sz w:val="7"/>
        </w:rPr>
        <w:t>l </w:t>
      </w:r>
      <w:r>
        <w:rPr>
          <w:rFonts w:ascii="Calibri" w:hAnsi="Calibri"/>
          <w:color w:val="008356"/>
          <w:w w:val="110"/>
          <w:sz w:val="11"/>
        </w:rPr>
        <w:t>SIROLIMUS</w:t>
      </w:r>
      <w:r>
        <w:rPr>
          <w:rFonts w:ascii="Arial" w:hAnsi="Arial"/>
          <w:color w:val="231F1F"/>
          <w:w w:val="110"/>
        </w:rPr>
        <w:t>— </w:t>
      </w:r>
      <w:r>
        <w:rPr>
          <w:color w:val="231F1F"/>
          <w:w w:val="110"/>
        </w:rPr>
        <w:t>avoid concomitant use</w:t>
      </w:r>
    </w:p>
    <w:p>
      <w:pPr>
        <w:pStyle w:val="BodyText"/>
        <w:ind w:left="279" w:right="665" w:hanging="100"/>
      </w:pPr>
      <w:r>
        <w:rPr>
          <w:rFonts w:ascii="Arial"/>
          <w:color w:val="231F1F"/>
          <w:w w:val="355"/>
          <w:position w:val="1"/>
          <w:sz w:val="7"/>
        </w:rPr>
        <w:t>l </w:t>
      </w:r>
      <w:r>
        <w:rPr>
          <w:rFonts w:ascii="Calibri"/>
          <w:color w:val="231F1F"/>
          <w:w w:val="110"/>
        </w:rPr>
        <w:t>Tacrolimus: </w:t>
      </w:r>
      <w:r>
        <w:rPr>
          <w:color w:val="231F1F"/>
          <w:w w:val="110"/>
        </w:rPr>
        <w:t>fluconazole, itraconazole, posaconazole and voriconazole increase plasma concentration of </w:t>
      </w:r>
      <w:r>
        <w:rPr>
          <w:rFonts w:ascii="Arial"/>
          <w:color w:val="231F1F"/>
          <w:w w:val="355"/>
          <w:position w:val="1"/>
          <w:sz w:val="7"/>
        </w:rPr>
        <w:t>l </w:t>
      </w:r>
      <w:r>
        <w:rPr>
          <w:rFonts w:ascii="Calibri"/>
          <w:color w:val="008356"/>
          <w:w w:val="110"/>
          <w:sz w:val="11"/>
        </w:rPr>
        <w:t>TACROLIMUS </w:t>
      </w:r>
      <w:r>
        <w:rPr>
          <w:color w:val="231F1F"/>
          <w:w w:val="110"/>
        </w:rPr>
        <w:t>(consider reducing dose of tacrolimus)</w:t>
      </w:r>
    </w:p>
    <w:p>
      <w:pPr>
        <w:pStyle w:val="BodyText"/>
        <w:spacing w:line="220" w:lineRule="auto" w:before="8"/>
        <w:ind w:left="279"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Tadalafil: </w:t>
      </w:r>
      <w:r>
        <w:rPr>
          <w:color w:val="231F1F"/>
          <w:w w:val="105"/>
        </w:rPr>
        <w:t>itraconazole possibly increases plasma concentration of </w:t>
      </w:r>
      <w:r>
        <w:rPr>
          <w:rFonts w:ascii="Calibri" w:hAnsi="Calibri"/>
          <w:color w:val="008356"/>
          <w:w w:val="105"/>
          <w:sz w:val="11"/>
        </w:rPr>
        <w:t>TADALAFIL</w:t>
      </w:r>
    </w:p>
    <w:p>
      <w:pPr>
        <w:pStyle w:val="BodyText"/>
        <w:spacing w:before="1"/>
        <w:ind w:left="279" w:right="641" w:hanging="100"/>
        <w:rPr>
          <w:rFonts w:ascii="Calibri"/>
          <w:sz w:val="11"/>
        </w:rPr>
      </w:pPr>
      <w:r>
        <w:rPr>
          <w:rFonts w:ascii="Arial"/>
          <w:color w:val="231F1F"/>
          <w:w w:val="355"/>
          <w:position w:val="1"/>
          <w:sz w:val="7"/>
        </w:rPr>
        <w:t>l </w:t>
      </w:r>
      <w:r>
        <w:rPr>
          <w:rFonts w:ascii="Calibri"/>
          <w:color w:val="231F1F"/>
          <w:w w:val="110"/>
        </w:rPr>
        <w:t>Theophylline: </w:t>
      </w:r>
      <w:r>
        <w:rPr>
          <w:color w:val="231F1F"/>
          <w:w w:val="110"/>
        </w:rPr>
        <w:t>fluconazole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5"/>
          <w:w w:val="110"/>
          <w:sz w:val="11"/>
        </w:rPr>
        <w:t>THEOPHYLLINE</w:t>
      </w:r>
    </w:p>
    <w:p>
      <w:pPr>
        <w:pStyle w:val="BodyText"/>
        <w:spacing w:line="242" w:lineRule="auto"/>
        <w:ind w:left="279" w:right="609" w:hanging="100"/>
      </w:pPr>
      <w:r>
        <w:rPr>
          <w:rFonts w:ascii="Arial" w:hAnsi="Arial"/>
          <w:color w:val="231F1F"/>
          <w:w w:val="355"/>
          <w:position w:val="1"/>
          <w:sz w:val="7"/>
        </w:rPr>
        <w:t>l </w:t>
      </w:r>
      <w:r>
        <w:rPr>
          <w:rFonts w:ascii="Calibri" w:hAnsi="Calibri"/>
          <w:color w:val="231F1F"/>
          <w:w w:val="115"/>
        </w:rPr>
        <w:t>Ulcer-healing Drugs: </w:t>
      </w:r>
      <w:r>
        <w:rPr>
          <w:color w:val="231F1F"/>
          <w:w w:val="115"/>
        </w:rPr>
        <w:t>plasma concentration of posaconazole </w:t>
      </w:r>
      <w:r>
        <w:rPr>
          <w:color w:val="231F1F"/>
          <w:w w:val="110"/>
        </w:rPr>
        <w:t>reduced by </w:t>
      </w:r>
      <w:r>
        <w:rPr>
          <w:rFonts w:ascii="Arial" w:hAnsi="Arial"/>
          <w:color w:val="231F1F"/>
          <w:w w:val="110"/>
          <w:position w:val="1"/>
          <w:sz w:val="7"/>
        </w:rPr>
        <w:t>l </w:t>
      </w:r>
      <w:r>
        <w:rPr>
          <w:rFonts w:ascii="Calibri" w:hAnsi="Calibri"/>
          <w:color w:val="008356"/>
          <w:w w:val="110"/>
          <w:sz w:val="11"/>
        </w:rPr>
        <w:t>CIMETIDINE </w:t>
      </w:r>
      <w:r>
        <w:rPr>
          <w:color w:val="231F1F"/>
          <w:w w:val="110"/>
        </w:rPr>
        <w:t>and </w:t>
      </w:r>
      <w:r>
        <w:rPr>
          <w:rFonts w:ascii="Arial" w:hAnsi="Arial"/>
          <w:color w:val="231F1F"/>
          <w:w w:val="110"/>
          <w:position w:val="1"/>
          <w:sz w:val="7"/>
        </w:rPr>
        <w:t>l </w:t>
      </w:r>
      <w:r>
        <w:rPr>
          <w:rFonts w:ascii="Calibri" w:hAnsi="Calibri"/>
          <w:color w:val="008356"/>
          <w:w w:val="110"/>
          <w:sz w:val="11"/>
        </w:rPr>
        <w:t>ESOMEPRAZOLE</w:t>
      </w:r>
      <w:r>
        <w:rPr>
          <w:rFonts w:ascii="Arial" w:hAnsi="Arial"/>
          <w:color w:val="231F1F"/>
          <w:w w:val="110"/>
        </w:rPr>
        <w:t>—</w:t>
      </w:r>
      <w:r>
        <w:rPr>
          <w:color w:val="231F1F"/>
          <w:w w:val="110"/>
        </w:rPr>
        <w:t>manufacturer </w:t>
      </w:r>
      <w:r>
        <w:rPr>
          <w:color w:val="231F1F"/>
          <w:w w:val="115"/>
        </w:rPr>
        <w:t>of posaconazole </w:t>
      </w:r>
      <w:r>
        <w:rPr>
          <w:i/>
          <w:color w:val="231F1F"/>
          <w:w w:val="115"/>
        </w:rPr>
        <w:t>suspension </w:t>
      </w:r>
      <w:r>
        <w:rPr>
          <w:color w:val="231F1F"/>
          <w:w w:val="115"/>
        </w:rPr>
        <w:t>advises avoid concomitant use; plasma concentration of posaconazole possibly reduced by</w:t>
      </w:r>
    </w:p>
    <w:p>
      <w:pPr>
        <w:spacing w:before="2"/>
        <w:ind w:left="279" w:right="747" w:firstLine="0"/>
        <w:jc w:val="left"/>
        <w:rPr>
          <w:rFonts w:ascii="Arial" w:hAnsi="Arial"/>
          <w:sz w:val="12"/>
        </w:rPr>
      </w:pPr>
      <w:r>
        <w:rPr>
          <w:rFonts w:ascii="Arial" w:hAnsi="Arial"/>
          <w:color w:val="231F1F"/>
          <w:w w:val="110"/>
          <w:position w:val="1"/>
          <w:sz w:val="7"/>
        </w:rPr>
        <w:t>l</w:t>
      </w:r>
      <w:r>
        <w:rPr>
          <w:rFonts w:ascii="Arial" w:hAnsi="Arial"/>
          <w:color w:val="231F1F"/>
          <w:spacing w:val="-4"/>
          <w:w w:val="110"/>
          <w:position w:val="1"/>
          <w:sz w:val="7"/>
        </w:rPr>
        <w:t> </w:t>
      </w:r>
      <w:r>
        <w:rPr>
          <w:rFonts w:ascii="Calibri" w:hAnsi="Calibri"/>
          <w:color w:val="008356"/>
          <w:spacing w:val="3"/>
          <w:w w:val="110"/>
          <w:sz w:val="11"/>
        </w:rPr>
        <w:t>FAMOTIDINE</w:t>
      </w:r>
      <w:r>
        <w:rPr>
          <w:color w:val="231F1F"/>
          <w:spacing w:val="3"/>
          <w:w w:val="110"/>
          <w:sz w:val="12"/>
        </w:rPr>
        <w:t>,</w:t>
      </w:r>
      <w:r>
        <w:rPr>
          <w:color w:val="231F1F"/>
          <w:spacing w:val="-12"/>
          <w:w w:val="110"/>
          <w:sz w:val="12"/>
        </w:rPr>
        <w:t> </w:t>
      </w:r>
      <w:r>
        <w:rPr>
          <w:rFonts w:ascii="Arial" w:hAnsi="Arial"/>
          <w:color w:val="231F1F"/>
          <w:w w:val="110"/>
          <w:position w:val="1"/>
          <w:sz w:val="7"/>
        </w:rPr>
        <w:t>l</w:t>
      </w:r>
      <w:r>
        <w:rPr>
          <w:rFonts w:ascii="Arial" w:hAnsi="Arial"/>
          <w:color w:val="231F1F"/>
          <w:spacing w:val="-3"/>
          <w:w w:val="110"/>
          <w:position w:val="1"/>
          <w:sz w:val="7"/>
        </w:rPr>
        <w:t> </w:t>
      </w:r>
      <w:r>
        <w:rPr>
          <w:rFonts w:ascii="Calibri" w:hAnsi="Calibri"/>
          <w:color w:val="008356"/>
          <w:spacing w:val="4"/>
          <w:w w:val="110"/>
          <w:sz w:val="11"/>
        </w:rPr>
        <w:t>LANSOPRAZOLE</w:t>
      </w:r>
      <w:r>
        <w:rPr>
          <w:color w:val="231F1F"/>
          <w:spacing w:val="4"/>
          <w:w w:val="110"/>
          <w:sz w:val="12"/>
        </w:rPr>
        <w:t>,</w:t>
      </w:r>
      <w:r>
        <w:rPr>
          <w:color w:val="231F1F"/>
          <w:spacing w:val="-12"/>
          <w:w w:val="110"/>
          <w:sz w:val="12"/>
        </w:rPr>
        <w:t> </w:t>
      </w:r>
      <w:r>
        <w:rPr>
          <w:rFonts w:ascii="Arial" w:hAnsi="Arial"/>
          <w:color w:val="231F1F"/>
          <w:w w:val="110"/>
          <w:position w:val="1"/>
          <w:sz w:val="7"/>
        </w:rPr>
        <w:t>l</w:t>
      </w:r>
      <w:r>
        <w:rPr>
          <w:rFonts w:ascii="Arial" w:hAnsi="Arial"/>
          <w:color w:val="231F1F"/>
          <w:spacing w:val="-3"/>
          <w:w w:val="110"/>
          <w:position w:val="1"/>
          <w:sz w:val="7"/>
        </w:rPr>
        <w:t> </w:t>
      </w:r>
      <w:r>
        <w:rPr>
          <w:rFonts w:ascii="Calibri" w:hAnsi="Calibri"/>
          <w:color w:val="008356"/>
          <w:spacing w:val="4"/>
          <w:w w:val="110"/>
          <w:sz w:val="11"/>
        </w:rPr>
        <w:t>NIZATIDINE</w:t>
      </w:r>
      <w:r>
        <w:rPr>
          <w:color w:val="231F1F"/>
          <w:spacing w:val="4"/>
          <w:w w:val="110"/>
          <w:sz w:val="12"/>
        </w:rPr>
        <w:t>,</w:t>
      </w:r>
      <w:r>
        <w:rPr>
          <w:color w:val="231F1F"/>
          <w:spacing w:val="-13"/>
          <w:w w:val="110"/>
          <w:sz w:val="12"/>
        </w:rPr>
        <w:t> </w:t>
      </w:r>
      <w:r>
        <w:rPr>
          <w:rFonts w:ascii="Arial" w:hAnsi="Arial"/>
          <w:color w:val="231F1F"/>
          <w:w w:val="110"/>
          <w:position w:val="1"/>
          <w:sz w:val="7"/>
        </w:rPr>
        <w:t>l</w:t>
      </w:r>
      <w:r>
        <w:rPr>
          <w:rFonts w:ascii="Arial" w:hAnsi="Arial"/>
          <w:color w:val="231F1F"/>
          <w:spacing w:val="-5"/>
          <w:w w:val="110"/>
          <w:position w:val="1"/>
          <w:sz w:val="7"/>
        </w:rPr>
        <w:t> </w:t>
      </w:r>
      <w:r>
        <w:rPr>
          <w:rFonts w:ascii="Calibri" w:hAnsi="Calibri"/>
          <w:color w:val="008356"/>
          <w:spacing w:val="4"/>
          <w:w w:val="110"/>
          <w:sz w:val="11"/>
        </w:rPr>
        <w:t>OMEPRAZOLE</w:t>
      </w:r>
      <w:r>
        <w:rPr>
          <w:color w:val="231F1F"/>
          <w:spacing w:val="4"/>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PANTOPRAZOLE</w:t>
      </w:r>
      <w:r>
        <w:rPr>
          <w:color w:val="231F1F"/>
          <w:spacing w:val="4"/>
          <w:w w:val="115"/>
          <w:sz w:val="12"/>
        </w:rPr>
        <w:t>,</w:t>
      </w:r>
      <w:r>
        <w:rPr>
          <w:color w:val="231F1F"/>
          <w:spacing w:val="-17"/>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RABEPRAZOLE</w:t>
      </w:r>
      <w:r>
        <w:rPr>
          <w:rFonts w:ascii="Calibri" w:hAnsi="Calibri"/>
          <w:color w:val="008356"/>
          <w:spacing w:val="-8"/>
          <w:w w:val="115"/>
          <w:sz w:val="11"/>
        </w:rPr>
        <w:t> </w:t>
      </w:r>
      <w:r>
        <w:rPr>
          <w:color w:val="231F1F"/>
          <w:w w:val="115"/>
          <w:sz w:val="12"/>
        </w:rPr>
        <w:t>and</w:t>
      </w:r>
      <w:r>
        <w:rPr>
          <w:color w:val="231F1F"/>
          <w:spacing w:val="-18"/>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RANITIDINE</w:t>
      </w:r>
      <w:r>
        <w:rPr>
          <w:rFonts w:ascii="Arial" w:hAnsi="Arial"/>
          <w:color w:val="231F1F"/>
          <w:spacing w:val="4"/>
          <w:w w:val="115"/>
          <w:sz w:val="12"/>
        </w:rPr>
        <w:t>—</w:t>
      </w:r>
    </w:p>
    <w:p>
      <w:pPr>
        <w:spacing w:line="247" w:lineRule="auto" w:before="3"/>
        <w:ind w:left="279" w:right="618" w:firstLine="0"/>
        <w:jc w:val="left"/>
        <w:rPr>
          <w:rFonts w:ascii="Calibri"/>
          <w:sz w:val="11"/>
        </w:rPr>
      </w:pPr>
      <w:r>
        <w:rPr>
          <w:color w:val="231F1F"/>
          <w:w w:val="110"/>
          <w:sz w:val="12"/>
        </w:rPr>
        <w:t>manufacturer of posaconazole </w:t>
      </w:r>
      <w:r>
        <w:rPr>
          <w:i/>
          <w:color w:val="231F1F"/>
          <w:w w:val="110"/>
          <w:sz w:val="12"/>
        </w:rPr>
        <w:t>suspension </w:t>
      </w:r>
      <w:r>
        <w:rPr>
          <w:color w:val="231F1F"/>
          <w:w w:val="110"/>
          <w:sz w:val="12"/>
        </w:rPr>
        <w:t>advises avoid concomitant use; voriconazole possibly increases plasma concentration of </w:t>
      </w:r>
      <w:r>
        <w:rPr>
          <w:rFonts w:ascii="Calibri"/>
          <w:color w:val="008356"/>
          <w:w w:val="110"/>
          <w:sz w:val="11"/>
        </w:rPr>
        <w:t>ESOMEPRAZOLE</w:t>
      </w:r>
      <w:r>
        <w:rPr>
          <w:color w:val="231F1F"/>
          <w:w w:val="110"/>
          <w:sz w:val="12"/>
        </w:rPr>
        <w:t>; voriconazole increases plasma concentration of </w:t>
      </w:r>
      <w:r>
        <w:rPr>
          <w:rFonts w:ascii="Calibri"/>
          <w:color w:val="008356"/>
          <w:w w:val="110"/>
          <w:sz w:val="11"/>
        </w:rPr>
        <w:t>OMEPRAZOLE </w:t>
      </w:r>
      <w:r>
        <w:rPr>
          <w:color w:val="231F1F"/>
          <w:w w:val="110"/>
          <w:sz w:val="12"/>
        </w:rPr>
        <w:t>(consider reducing dose of omeprazole); absorption of itraconazole reduced by </w:t>
      </w:r>
      <w:r>
        <w:rPr>
          <w:rFonts w:ascii="Calibri"/>
          <w:color w:val="008356"/>
          <w:w w:val="110"/>
          <w:position w:val="2"/>
          <w:sz w:val="11"/>
        </w:rPr>
        <w:t>HISTAMINE H</w:t>
      </w:r>
      <w:r>
        <w:rPr>
          <w:rFonts w:ascii="Calibri"/>
          <w:color w:val="008356"/>
          <w:w w:val="110"/>
          <w:position w:val="2"/>
          <w:sz w:val="11"/>
          <w:vertAlign w:val="subscript"/>
        </w:rPr>
        <w:t>2</w:t>
      </w:r>
      <w:r>
        <w:rPr>
          <w:rFonts w:ascii="Calibri"/>
          <w:color w:val="008356"/>
          <w:w w:val="110"/>
          <w:position w:val="2"/>
          <w:sz w:val="11"/>
          <w:vertAlign w:val="baseline"/>
        </w:rPr>
        <w:t>-ANTAGONISTS </w:t>
      </w:r>
      <w:r>
        <w:rPr>
          <w:color w:val="231F1F"/>
          <w:w w:val="110"/>
          <w:position w:val="2"/>
          <w:sz w:val="12"/>
          <w:vertAlign w:val="baseline"/>
        </w:rPr>
        <w:t>and </w:t>
      </w:r>
      <w:r>
        <w:rPr>
          <w:rFonts w:ascii="Calibri"/>
          <w:color w:val="008356"/>
          <w:w w:val="110"/>
          <w:position w:val="2"/>
          <w:sz w:val="11"/>
          <w:vertAlign w:val="baseline"/>
        </w:rPr>
        <w:t>PROTON PUMP INHIBITORS</w:t>
      </w:r>
    </w:p>
    <w:p>
      <w:pPr>
        <w:pStyle w:val="BodyText"/>
        <w:spacing w:line="125" w:lineRule="exact"/>
        <w:ind w:left="180"/>
      </w:pPr>
      <w:r>
        <w:rPr>
          <w:rFonts w:ascii="Lucida Sans Unicode" w:hAnsi="Lucida Sans Unicode"/>
          <w:color w:val="A7A8AC"/>
          <w:w w:val="95"/>
          <w:sz w:val="10"/>
        </w:rPr>
        <w:t>▶ </w:t>
      </w:r>
      <w:r>
        <w:rPr>
          <w:rFonts w:ascii="Calibri" w:hAnsi="Calibri"/>
          <w:color w:val="231F1F"/>
          <w:w w:val="105"/>
        </w:rPr>
        <w:t>Ulipristal: </w:t>
      </w:r>
      <w:r>
        <w:rPr>
          <w:color w:val="231F1F"/>
          <w:w w:val="105"/>
        </w:rPr>
        <w:t>avoidance of itraconazole advised by manufacturer</w:t>
      </w:r>
    </w:p>
    <w:p>
      <w:pPr>
        <w:spacing w:line="135" w:lineRule="exact" w:before="0"/>
        <w:ind w:left="279" w:right="0" w:firstLine="0"/>
        <w:jc w:val="left"/>
        <w:rPr>
          <w:rFonts w:ascii="Calibri"/>
          <w:sz w:val="11"/>
        </w:rPr>
      </w:pPr>
      <w:r>
        <w:rPr>
          <w:color w:val="231F1F"/>
          <w:w w:val="105"/>
          <w:sz w:val="12"/>
        </w:rPr>
        <w:t>of </w:t>
      </w:r>
      <w:r>
        <w:rPr>
          <w:rFonts w:ascii="Calibri"/>
          <w:color w:val="008356"/>
          <w:w w:val="105"/>
          <w:sz w:val="11"/>
        </w:rPr>
        <w:t>ULIPRISTAL</w:t>
      </w:r>
    </w:p>
    <w:p>
      <w:pPr>
        <w:pStyle w:val="BodyText"/>
        <w:ind w:left="279" w:right="859" w:hanging="100"/>
      </w:pPr>
      <w:r>
        <w:rPr>
          <w:rFonts w:ascii="Arial" w:hAnsi="Arial"/>
          <w:color w:val="231F1F"/>
          <w:w w:val="355"/>
          <w:position w:val="1"/>
          <w:sz w:val="7"/>
        </w:rPr>
        <w:t>l </w:t>
      </w:r>
      <w:r>
        <w:rPr>
          <w:rFonts w:ascii="Calibri" w:hAnsi="Calibri"/>
          <w:color w:val="231F1F"/>
          <w:w w:val="115"/>
        </w:rPr>
        <w:t>Vardenafil: </w:t>
      </w:r>
      <w:r>
        <w:rPr>
          <w:color w:val="231F1F"/>
          <w:w w:val="115"/>
        </w:rPr>
        <w:t>itraconazole possibly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 </w:t>
      </w:r>
      <w:r>
        <w:rPr>
          <w:color w:val="231F1F"/>
          <w:w w:val="115"/>
        </w:rPr>
        <w:t>concomitant use</w:t>
      </w:r>
    </w:p>
    <w:p>
      <w:pPr>
        <w:pStyle w:val="BodyText"/>
        <w:spacing w:before="5"/>
        <w:ind w:left="180"/>
        <w:rPr>
          <w:rFonts w:ascii="Trebuchet MS"/>
        </w:rPr>
      </w:pPr>
      <w:r>
        <w:rPr>
          <w:rFonts w:ascii="Trebuchet MS"/>
          <w:color w:val="008356"/>
        </w:rPr>
        <w:t>Antihistamines</w:t>
      </w:r>
    </w:p>
    <w:p>
      <w:pPr>
        <w:pStyle w:val="BodyText"/>
        <w:spacing w:line="244" w:lineRule="auto" w:before="4"/>
        <w:ind w:left="279" w:right="725" w:hanging="1"/>
      </w:pPr>
      <w:r>
        <w:rPr>
          <w:rFonts w:ascii="Calibri"/>
          <w:color w:val="008356"/>
          <w:w w:val="115"/>
          <w:sz w:val="11"/>
        </w:rPr>
        <w:t>NOTE </w:t>
      </w:r>
      <w:r>
        <w:rPr>
          <w:color w:val="231F1F"/>
          <w:w w:val="115"/>
        </w:rPr>
        <w:t>Sedative interactions apply to a lesser extent to the non-sedating antihistamines. Interactions do not generally apply to antihistamines used for topical action (including inhalation)</w:t>
      </w:r>
    </w:p>
    <w:p>
      <w:pPr>
        <w:spacing w:after="0" w:line="244" w:lineRule="auto"/>
        <w:sectPr>
          <w:pgSz w:w="8390" w:h="11910"/>
          <w:pgMar w:header="0" w:footer="0" w:top="460" w:bottom="280" w:left="480" w:right="0"/>
          <w:cols w:num="2" w:equalWidth="0">
            <w:col w:w="3643" w:space="40"/>
            <w:col w:w="4227"/>
          </w:cols>
        </w:sectPr>
      </w:pPr>
    </w:p>
    <w:p>
      <w:pPr>
        <w:pStyle w:val="BodyText"/>
        <w:spacing w:before="7"/>
        <w:ind w:left="0"/>
        <w:rPr>
          <w:sz w:val="14"/>
        </w:rPr>
      </w:pPr>
    </w:p>
    <w:p>
      <w:pPr>
        <w:pStyle w:val="BodyText"/>
        <w:spacing w:line="144" w:lineRule="exact"/>
        <w:ind w:left="108"/>
        <w:rPr>
          <w:rFonts w:ascii="Calibri"/>
        </w:rPr>
      </w:pPr>
      <w:r>
        <w:rPr>
          <w:rFonts w:ascii="Arial"/>
          <w:color w:val="008356"/>
        </w:rPr>
        <w:t>Antihistamines </w:t>
      </w:r>
      <w:r>
        <w:rPr>
          <w:rFonts w:ascii="Calibri"/>
          <w:color w:val="231F1F"/>
        </w:rPr>
        <w:t>(continued)</w:t>
      </w:r>
    </w:p>
    <w:p>
      <w:pPr>
        <w:pStyle w:val="BodyText"/>
        <w:spacing w:line="230" w:lineRule="auto" w:before="2"/>
        <w:ind w:hanging="100"/>
      </w:pPr>
      <w:r>
        <w:rPr>
          <w:rFonts w:ascii="Lucida Sans Unicode" w:hAnsi="Lucida Sans Unicode"/>
          <w:color w:val="A7A8AC"/>
          <w:w w:val="95"/>
          <w:sz w:val="10"/>
        </w:rPr>
        <w:t>▶ </w:t>
      </w:r>
      <w:r>
        <w:rPr>
          <w:rFonts w:ascii="Calibri" w:hAnsi="Calibri"/>
          <w:color w:val="231F1F"/>
          <w:w w:val="110"/>
        </w:rPr>
        <w:t>Alcohol: </w:t>
      </w:r>
      <w:r>
        <w:rPr>
          <w:color w:val="231F1F"/>
          <w:w w:val="110"/>
        </w:rPr>
        <w:t>increased sedative effect when antihistamines given with </w:t>
      </w:r>
      <w:r>
        <w:rPr>
          <w:rFonts w:ascii="Calibri" w:hAnsi="Calibri"/>
          <w:color w:val="008356"/>
          <w:w w:val="110"/>
          <w:sz w:val="11"/>
        </w:rPr>
        <w:t>ALCOHOL </w:t>
      </w:r>
      <w:r>
        <w:rPr>
          <w:color w:val="231F1F"/>
          <w:w w:val="110"/>
        </w:rPr>
        <w:t>(possibly less effect with non-sedating antihistamines)</w:t>
      </w:r>
    </w:p>
    <w:p>
      <w:pPr>
        <w:pStyle w:val="BodyText"/>
        <w:spacing w:before="3"/>
        <w:ind w:right="116"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sedative effects possibly increased when sedating antihistamines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OPIOID ANALGESICS</w:t>
      </w:r>
    </w:p>
    <w:p>
      <w:pPr>
        <w:pStyle w:val="BodyText"/>
        <w:spacing w:line="147"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fexofenadine reduced by </w:t>
      </w:r>
      <w:r>
        <w:rPr>
          <w:color w:val="231F1F"/>
          <w:spacing w:val="6"/>
          <w:w w:val="105"/>
        </w:rPr>
        <w:t> </w:t>
      </w:r>
      <w:r>
        <w:rPr>
          <w:rFonts w:ascii="Calibri" w:hAnsi="Calibri"/>
          <w:color w:val="008356"/>
          <w:spacing w:val="4"/>
          <w:w w:val="105"/>
          <w:sz w:val="11"/>
        </w:rPr>
        <w:t>ANTACIDS</w:t>
      </w:r>
    </w:p>
    <w:p>
      <w:pPr>
        <w:pStyle w:val="BodyText"/>
        <w:spacing w:line="138" w:lineRule="exact"/>
        <w:ind w:left="108"/>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Anti-arrhythmics:</w:t>
      </w:r>
      <w:r>
        <w:rPr>
          <w:rFonts w:ascii="Calibri"/>
          <w:color w:val="231F1F"/>
          <w:spacing w:val="-20"/>
          <w:w w:val="115"/>
        </w:rPr>
        <w:t> </w:t>
      </w:r>
      <w:r>
        <w:rPr>
          <w:color w:val="231F1F"/>
          <w:w w:val="115"/>
        </w:rPr>
        <w:t>increased</w:t>
      </w:r>
      <w:r>
        <w:rPr>
          <w:color w:val="231F1F"/>
          <w:spacing w:val="-23"/>
          <w:w w:val="115"/>
        </w:rPr>
        <w:t> </w:t>
      </w:r>
      <w:r>
        <w:rPr>
          <w:color w:val="231F1F"/>
          <w:w w:val="115"/>
        </w:rPr>
        <w:t>risk</w:t>
      </w:r>
      <w:r>
        <w:rPr>
          <w:color w:val="231F1F"/>
          <w:spacing w:val="-22"/>
          <w:w w:val="115"/>
        </w:rPr>
        <w:t> </w:t>
      </w:r>
      <w:r>
        <w:rPr>
          <w:color w:val="231F1F"/>
          <w:w w:val="115"/>
        </w:rPr>
        <w:t>of</w:t>
      </w:r>
      <w:r>
        <w:rPr>
          <w:color w:val="231F1F"/>
          <w:spacing w:val="-23"/>
          <w:w w:val="115"/>
        </w:rPr>
        <w:t> </w:t>
      </w:r>
      <w:r>
        <w:rPr>
          <w:color w:val="231F1F"/>
          <w:w w:val="115"/>
        </w:rPr>
        <w:t>ventricular</w:t>
      </w:r>
      <w:r>
        <w:rPr>
          <w:color w:val="231F1F"/>
          <w:spacing w:val="-23"/>
          <w:w w:val="115"/>
        </w:rPr>
        <w:t> </w:t>
      </w:r>
      <w:r>
        <w:rPr>
          <w:color w:val="231F1F"/>
          <w:w w:val="115"/>
        </w:rPr>
        <w:t>arrhythmias</w:t>
      </w:r>
    </w:p>
    <w:p>
      <w:pPr>
        <w:spacing w:line="242" w:lineRule="auto" w:before="0"/>
        <w:ind w:left="208" w:right="38" w:firstLine="0"/>
        <w:jc w:val="left"/>
        <w:rPr>
          <w:sz w:val="12"/>
        </w:rPr>
      </w:pPr>
      <w:r>
        <w:rPr>
          <w:color w:val="231F1F"/>
          <w:w w:val="110"/>
          <w:sz w:val="12"/>
        </w:rPr>
        <w:t>when</w:t>
      </w:r>
      <w:r>
        <w:rPr>
          <w:color w:val="231F1F"/>
          <w:spacing w:val="-14"/>
          <w:w w:val="110"/>
          <w:sz w:val="12"/>
        </w:rPr>
        <w:t> </w:t>
      </w:r>
      <w:r>
        <w:rPr>
          <w:color w:val="231F1F"/>
          <w:w w:val="110"/>
          <w:sz w:val="12"/>
        </w:rPr>
        <w:t>mizolastine</w:t>
      </w:r>
      <w:r>
        <w:rPr>
          <w:color w:val="231F1F"/>
          <w:spacing w:val="-13"/>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3"/>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AMIODARONE</w:t>
      </w:r>
      <w:r>
        <w:rPr>
          <w:color w:val="231F1F"/>
          <w:spacing w:val="4"/>
          <w:w w:val="110"/>
          <w:sz w:val="12"/>
        </w:rPr>
        <w:t>,</w:t>
      </w:r>
      <w:r>
        <w:rPr>
          <w:color w:val="231F1F"/>
          <w:spacing w:val="-12"/>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5"/>
          <w:w w:val="110"/>
          <w:sz w:val="11"/>
        </w:rPr>
        <w:t>DISOPYRAMIDE </w:t>
      </w:r>
      <w:r>
        <w:rPr>
          <w:color w:val="231F1F"/>
          <w:w w:val="110"/>
          <w:sz w:val="12"/>
        </w:rPr>
        <w:t>or </w:t>
      </w:r>
      <w:r>
        <w:rPr>
          <w:rFonts w:ascii="Arial" w:hAnsi="Arial"/>
          <w:color w:val="231F1F"/>
          <w:w w:val="355"/>
          <w:position w:val="1"/>
          <w:sz w:val="7"/>
        </w:rPr>
        <w:t>l </w:t>
      </w:r>
      <w:r>
        <w:rPr>
          <w:rFonts w:ascii="Calibri" w:hAnsi="Calibri"/>
          <w:color w:val="008356"/>
          <w:spacing w:val="3"/>
          <w:w w:val="110"/>
          <w:sz w:val="11"/>
        </w:rPr>
        <w:t>FLECAINIDE</w:t>
      </w:r>
      <w:r>
        <w:rPr>
          <w:rFonts w:ascii="Arial" w:hAnsi="Arial"/>
          <w:color w:val="231F1F"/>
          <w:spacing w:val="3"/>
          <w:w w:val="110"/>
          <w:sz w:val="12"/>
        </w:rPr>
        <w:t>—</w:t>
      </w:r>
      <w:r>
        <w:rPr>
          <w:color w:val="231F1F"/>
          <w:spacing w:val="3"/>
          <w:w w:val="110"/>
          <w:sz w:val="12"/>
        </w:rPr>
        <w:t>avoid </w:t>
      </w:r>
      <w:r>
        <w:rPr>
          <w:color w:val="231F1F"/>
          <w:w w:val="110"/>
          <w:sz w:val="12"/>
        </w:rPr>
        <w:t>concomitant use; manufacturer of mizolastine advises avoid concomitant use with </w:t>
      </w:r>
      <w:r>
        <w:rPr>
          <w:rFonts w:ascii="Calibri" w:hAnsi="Calibri"/>
          <w:color w:val="008356"/>
          <w:spacing w:val="3"/>
          <w:w w:val="110"/>
          <w:sz w:val="11"/>
        </w:rPr>
        <w:t>PROPAFENONE </w:t>
      </w:r>
      <w:r>
        <w:rPr>
          <w:color w:val="231F1F"/>
          <w:w w:val="110"/>
          <w:sz w:val="12"/>
        </w:rPr>
        <w:t>(possible risk of ventricular</w:t>
      </w:r>
      <w:r>
        <w:rPr>
          <w:color w:val="231F1F"/>
          <w:spacing w:val="-3"/>
          <w:w w:val="110"/>
          <w:sz w:val="12"/>
        </w:rPr>
        <w:t> </w:t>
      </w:r>
      <w:r>
        <w:rPr>
          <w:color w:val="231F1F"/>
          <w:w w:val="110"/>
          <w:sz w:val="12"/>
        </w:rPr>
        <w:t>arrhythmias)</w:t>
      </w:r>
    </w:p>
    <w:p>
      <w:pPr>
        <w:pStyle w:val="BodyText"/>
        <w:spacing w:line="244" w:lineRule="auto" w:before="1"/>
        <w:ind w:right="116" w:hanging="100"/>
      </w:pPr>
      <w:r>
        <w:rPr>
          <w:rFonts w:ascii="Arial" w:hAnsi="Arial"/>
          <w:color w:val="231F1F"/>
          <w:w w:val="355"/>
          <w:position w:val="1"/>
          <w:sz w:val="7"/>
        </w:rPr>
        <w:t>l </w:t>
      </w:r>
      <w:r>
        <w:rPr>
          <w:rFonts w:ascii="Calibri" w:hAnsi="Calibri"/>
          <w:color w:val="231F1F"/>
          <w:w w:val="110"/>
        </w:rPr>
        <w:t>Antibacterials: </w:t>
      </w:r>
      <w:r>
        <w:rPr>
          <w:color w:val="231F1F"/>
          <w:w w:val="110"/>
        </w:rPr>
        <w:t>manufacturer of loratadine advises plasma concentration possibly increased by </w:t>
      </w:r>
      <w:r>
        <w:rPr>
          <w:rFonts w:ascii="Calibri" w:hAnsi="Calibri"/>
          <w:color w:val="008356"/>
          <w:w w:val="110"/>
          <w:sz w:val="11"/>
        </w:rPr>
        <w:t>ERYTHROMYCIN</w:t>
      </w:r>
      <w:r>
        <w:rPr>
          <w:color w:val="231F1F"/>
          <w:w w:val="110"/>
        </w:rPr>
        <w:t>; metabolism of mizolastine inhibited by </w:t>
      </w: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rPr>
        <w:t>— </w:t>
      </w:r>
      <w:r>
        <w:rPr>
          <w:color w:val="231F1F"/>
          <w:w w:val="110"/>
        </w:rPr>
        <w:t>avoid concomitant use; increased risk of ventricular arrhythmias when mizolastine given with </w:t>
      </w: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 </w:t>
      </w:r>
      <w:r>
        <w:rPr>
          <w:color w:val="231F1F"/>
          <w:w w:val="110"/>
        </w:rPr>
        <w:t>avoid concomitant use; effects of fexofenadine possibly reduced by </w:t>
      </w:r>
      <w:r>
        <w:rPr>
          <w:rFonts w:ascii="Calibri" w:hAnsi="Calibri"/>
          <w:color w:val="008356"/>
          <w:w w:val="110"/>
          <w:sz w:val="11"/>
        </w:rPr>
        <w:t>RIFAMPICIN</w:t>
      </w:r>
      <w:r>
        <w:rPr>
          <w:color w:val="231F1F"/>
          <w:w w:val="110"/>
        </w:rPr>
        <w:t>; metabolism of mizolastine possibly inhibited by </w:t>
      </w:r>
      <w:r>
        <w:rPr>
          <w:rFonts w:ascii="Arial" w:hAnsi="Arial"/>
          <w:color w:val="231F1F"/>
          <w:w w:val="355"/>
          <w:position w:val="1"/>
          <w:sz w:val="7"/>
        </w:rPr>
        <w:t>l </w:t>
      </w:r>
      <w:r>
        <w:rPr>
          <w:rFonts w:ascii="Calibri" w:hAnsi="Calibri"/>
          <w:color w:val="008356"/>
          <w:w w:val="110"/>
          <w:sz w:val="11"/>
        </w:rPr>
        <w:t>MACROLIDES </w:t>
      </w:r>
      <w:r>
        <w:rPr>
          <w:color w:val="231F1F"/>
          <w:w w:val="110"/>
        </w:rPr>
        <w:t>(avoid concomitant use)</w:t>
      </w:r>
    </w:p>
    <w:p>
      <w:pPr>
        <w:pStyle w:val="BodyText"/>
        <w:spacing w:line="138" w:lineRule="exact"/>
        <w:ind w:left="108"/>
      </w:pPr>
      <w:r>
        <w:rPr>
          <w:rFonts w:ascii="Arial"/>
          <w:color w:val="231F1F"/>
          <w:w w:val="355"/>
          <w:position w:val="1"/>
          <w:sz w:val="7"/>
        </w:rPr>
        <w:t>l </w:t>
      </w:r>
      <w:r>
        <w:rPr>
          <w:rFonts w:ascii="Calibri"/>
          <w:color w:val="231F1F"/>
          <w:w w:val="110"/>
        </w:rPr>
        <w:t>Antidepressants: </w:t>
      </w:r>
      <w:r>
        <w:rPr>
          <w:color w:val="231F1F"/>
          <w:w w:val="110"/>
        </w:rPr>
        <w:t>avoidance of mizolastine advised by</w:t>
      </w:r>
    </w:p>
    <w:p>
      <w:pPr>
        <w:pStyle w:val="BodyText"/>
        <w:spacing w:line="247" w:lineRule="auto"/>
        <w:ind w:right="62"/>
        <w:rPr>
          <w:rFonts w:ascii="Calibri"/>
          <w:sz w:val="11"/>
        </w:rPr>
      </w:pPr>
      <w:r>
        <w:rPr>
          <w:color w:val="231F1F"/>
          <w:w w:val="110"/>
        </w:rPr>
        <w:t>manufacturer of </w:t>
      </w:r>
      <w:r>
        <w:rPr>
          <w:rFonts w:ascii="Arial"/>
          <w:color w:val="231F1F"/>
          <w:w w:val="355"/>
          <w:position w:val="1"/>
          <w:sz w:val="7"/>
        </w:rPr>
        <w:t>l </w:t>
      </w:r>
      <w:r>
        <w:rPr>
          <w:rFonts w:ascii="Calibri"/>
          <w:color w:val="008356"/>
          <w:spacing w:val="3"/>
          <w:w w:val="110"/>
          <w:sz w:val="11"/>
        </w:rPr>
        <w:t>CITALOPRAM </w:t>
      </w:r>
      <w:r>
        <w:rPr>
          <w:color w:val="231F1F"/>
          <w:w w:val="110"/>
        </w:rPr>
        <w:t>and </w:t>
      </w:r>
      <w:r>
        <w:rPr>
          <w:rFonts w:ascii="Arial"/>
          <w:color w:val="231F1F"/>
          <w:w w:val="355"/>
          <w:position w:val="1"/>
          <w:sz w:val="7"/>
        </w:rPr>
        <w:t>l </w:t>
      </w:r>
      <w:r>
        <w:rPr>
          <w:rFonts w:ascii="Calibri"/>
          <w:color w:val="008356"/>
          <w:spacing w:val="4"/>
          <w:w w:val="110"/>
          <w:sz w:val="11"/>
        </w:rPr>
        <w:t>ESCITALOPRAM </w:t>
      </w:r>
      <w:r>
        <w:rPr>
          <w:color w:val="231F1F"/>
          <w:w w:val="110"/>
        </w:rPr>
        <w:t>(risk of ventricular arrhythmias); increased antimuscarinic and sedative effects when antihistamines given with </w:t>
      </w:r>
      <w:r>
        <w:rPr>
          <w:rFonts w:ascii="Calibri"/>
          <w:color w:val="008356"/>
          <w:spacing w:val="4"/>
          <w:w w:val="110"/>
          <w:sz w:val="11"/>
        </w:rPr>
        <w:t>MAOI</w:t>
      </w:r>
      <w:r>
        <w:rPr>
          <w:rFonts w:ascii="Calibri"/>
          <w:color w:val="008356"/>
          <w:spacing w:val="4"/>
          <w:w w:val="110"/>
          <w:sz w:val="9"/>
        </w:rPr>
        <w:t>S </w:t>
      </w:r>
      <w:r>
        <w:rPr>
          <w:color w:val="231F1F"/>
          <w:w w:val="110"/>
        </w:rPr>
        <w:t>or </w:t>
      </w:r>
      <w:r>
        <w:rPr>
          <w:rFonts w:ascii="Calibri"/>
          <w:color w:val="008356"/>
          <w:spacing w:val="4"/>
          <w:w w:val="110"/>
          <w:sz w:val="11"/>
        </w:rPr>
        <w:t>TRICYCLICS</w:t>
      </w:r>
      <w:r>
        <w:rPr>
          <w:color w:val="231F1F"/>
          <w:spacing w:val="4"/>
          <w:w w:val="110"/>
        </w:rPr>
        <w:t>; </w:t>
      </w:r>
      <w:r>
        <w:rPr>
          <w:color w:val="231F1F"/>
          <w:w w:val="110"/>
        </w:rPr>
        <w:t>manufacturer of promethazine advises avoid for 2 weeks after stopping </w:t>
      </w:r>
      <w:r>
        <w:rPr>
          <w:rFonts w:ascii="Calibri"/>
          <w:color w:val="008356"/>
          <w:spacing w:val="3"/>
          <w:w w:val="110"/>
          <w:sz w:val="11"/>
        </w:rPr>
        <w:t>MAOI</w:t>
      </w:r>
      <w:r>
        <w:rPr>
          <w:rFonts w:ascii="Calibri"/>
          <w:color w:val="008356"/>
          <w:spacing w:val="3"/>
          <w:w w:val="110"/>
          <w:sz w:val="9"/>
        </w:rPr>
        <w:t>S</w:t>
      </w:r>
      <w:r>
        <w:rPr>
          <w:color w:val="231F1F"/>
          <w:spacing w:val="3"/>
          <w:w w:val="110"/>
        </w:rPr>
        <w:t>; </w:t>
      </w:r>
      <w:r>
        <w:rPr>
          <w:color w:val="231F1F"/>
          <w:w w:val="110"/>
        </w:rPr>
        <w:t>manufacturer of hydroxyzine advises avoid concomitant use with </w:t>
      </w:r>
      <w:r>
        <w:rPr>
          <w:rFonts w:ascii="Calibri"/>
          <w:color w:val="008356"/>
          <w:spacing w:val="3"/>
          <w:w w:val="110"/>
          <w:sz w:val="11"/>
        </w:rPr>
        <w:t>MAOI</w:t>
      </w:r>
      <w:r>
        <w:rPr>
          <w:rFonts w:ascii="Calibri"/>
          <w:color w:val="008356"/>
          <w:spacing w:val="3"/>
          <w:w w:val="110"/>
          <w:sz w:val="9"/>
        </w:rPr>
        <w:t>S</w:t>
      </w:r>
      <w:r>
        <w:rPr>
          <w:color w:val="231F1F"/>
          <w:spacing w:val="3"/>
          <w:w w:val="110"/>
        </w:rPr>
        <w:t>; </w:t>
      </w:r>
      <w:r>
        <w:rPr>
          <w:color w:val="231F1F"/>
          <w:w w:val="110"/>
        </w:rPr>
        <w:t>cyproheptadine possibly antagonises antidepressant effect of </w:t>
      </w:r>
      <w:r>
        <w:rPr>
          <w:rFonts w:ascii="Calibri"/>
          <w:color w:val="008356"/>
          <w:spacing w:val="4"/>
          <w:w w:val="110"/>
          <w:sz w:val="11"/>
        </w:rPr>
        <w:t>SSRI</w:t>
      </w:r>
      <w:r>
        <w:rPr>
          <w:rFonts w:ascii="Calibri"/>
          <w:color w:val="008356"/>
          <w:spacing w:val="4"/>
          <w:w w:val="110"/>
          <w:sz w:val="9"/>
        </w:rPr>
        <w:t>S</w:t>
      </w:r>
      <w:r>
        <w:rPr>
          <w:color w:val="231F1F"/>
          <w:spacing w:val="4"/>
          <w:w w:val="110"/>
        </w:rPr>
        <w:t>; </w:t>
      </w:r>
      <w:r>
        <w:rPr>
          <w:color w:val="231F1F"/>
          <w:w w:val="110"/>
        </w:rPr>
        <w:t>possible increased antimuscarinic and sedative effects when antihistamines given with </w:t>
      </w:r>
      <w:r>
        <w:rPr>
          <w:rFonts w:ascii="Calibri"/>
          <w:color w:val="008356"/>
          <w:spacing w:val="4"/>
          <w:w w:val="110"/>
          <w:sz w:val="11"/>
        </w:rPr>
        <w:t>TRICYCLIC-RELATED </w:t>
      </w:r>
      <w:r>
        <w:rPr>
          <w:rFonts w:ascii="Calibri"/>
          <w:color w:val="008356"/>
          <w:spacing w:val="5"/>
          <w:w w:val="110"/>
          <w:sz w:val="11"/>
        </w:rPr>
        <w:t>ANTIDEPRESSANTS</w:t>
      </w:r>
    </w:p>
    <w:p>
      <w:pPr>
        <w:pStyle w:val="BodyText"/>
        <w:spacing w:line="139" w:lineRule="exact"/>
        <w:ind w:hanging="100"/>
      </w:pPr>
      <w:r>
        <w:rPr>
          <w:rFonts w:ascii="Lucida Sans Unicode" w:hAnsi="Lucida Sans Unicode"/>
          <w:color w:val="A7A8AC"/>
          <w:w w:val="95"/>
          <w:sz w:val="10"/>
        </w:rPr>
        <w:t>▶ </w:t>
      </w:r>
      <w:r>
        <w:rPr>
          <w:rFonts w:ascii="Calibri" w:hAnsi="Calibri"/>
          <w:color w:val="231F1F"/>
          <w:w w:val="105"/>
        </w:rPr>
        <w:t>Antidiabetics: </w:t>
      </w:r>
      <w:r>
        <w:rPr>
          <w:color w:val="231F1F"/>
          <w:w w:val="105"/>
        </w:rPr>
        <w:t>thrombocyte count depressed when ketotifen</w:t>
      </w:r>
    </w:p>
    <w:p>
      <w:pPr>
        <w:pStyle w:val="BodyText"/>
        <w:spacing w:line="242" w:lineRule="auto"/>
        <w:ind w:right="116"/>
      </w:pPr>
      <w:r>
        <w:rPr>
          <w:color w:val="231F1F"/>
          <w:w w:val="110"/>
        </w:rPr>
        <w:t>given with </w:t>
      </w:r>
      <w:r>
        <w:rPr>
          <w:rFonts w:ascii="Calibri"/>
          <w:color w:val="008356"/>
          <w:w w:val="110"/>
          <w:sz w:val="11"/>
        </w:rPr>
        <w:t>METFORMIN </w:t>
      </w:r>
      <w:r>
        <w:rPr>
          <w:color w:val="231F1F"/>
          <w:w w:val="110"/>
        </w:rPr>
        <w:t>(manufacturer of ketotifen advises </w:t>
      </w:r>
      <w:r>
        <w:rPr>
          <w:color w:val="231F1F"/>
          <w:w w:val="115"/>
        </w:rPr>
        <w:t>avoid concomitant use)</w:t>
      </w:r>
    </w:p>
    <w:p>
      <w:pPr>
        <w:pStyle w:val="BodyText"/>
        <w:spacing w:line="146" w:lineRule="exact"/>
        <w:ind w:left="108"/>
      </w:pPr>
      <w:r>
        <w:rPr>
          <w:rFonts w:ascii="Arial"/>
          <w:color w:val="231F1F"/>
          <w:w w:val="355"/>
          <w:position w:val="1"/>
          <w:sz w:val="7"/>
        </w:rPr>
        <w:t>l </w:t>
      </w:r>
      <w:r>
        <w:rPr>
          <w:rFonts w:ascii="Calibri"/>
          <w:color w:val="231F1F"/>
          <w:w w:val="115"/>
        </w:rPr>
        <w:t>Antifungals: </w:t>
      </w:r>
      <w:r>
        <w:rPr>
          <w:color w:val="231F1F"/>
          <w:w w:val="115"/>
        </w:rPr>
        <w:t>metabolism of mizolastine inhibited by</w:t>
      </w:r>
    </w:p>
    <w:p>
      <w:pPr>
        <w:spacing w:line="242" w:lineRule="auto" w:before="0"/>
        <w:ind w:left="208" w:right="0" w:firstLine="0"/>
        <w:jc w:val="left"/>
        <w:rPr>
          <w:sz w:val="12"/>
        </w:rPr>
      </w:pPr>
      <w:r>
        <w:rPr>
          <w:rFonts w:ascii="Arial" w:hAnsi="Arial"/>
          <w:color w:val="231F1F"/>
          <w:w w:val="355"/>
          <w:position w:val="1"/>
          <w:sz w:val="7"/>
        </w:rPr>
        <w:t>l </w:t>
      </w:r>
      <w:r>
        <w:rPr>
          <w:rFonts w:ascii="Calibri" w:hAnsi="Calibri"/>
          <w:color w:val="008356"/>
          <w:w w:val="110"/>
          <w:sz w:val="11"/>
        </w:rPr>
        <w:t>ITRACONAZOLE</w:t>
      </w:r>
      <w:r>
        <w:rPr>
          <w:rFonts w:ascii="Arial" w:hAnsi="Arial"/>
          <w:color w:val="231F1F"/>
          <w:w w:val="110"/>
          <w:sz w:val="12"/>
        </w:rPr>
        <w:t>—</w:t>
      </w:r>
      <w:r>
        <w:rPr>
          <w:color w:val="231F1F"/>
          <w:w w:val="110"/>
          <w:sz w:val="12"/>
        </w:rPr>
        <w:t>avoid concomitant use; metabolism of mizolastine possibly inhibited by </w:t>
      </w:r>
      <w:r>
        <w:rPr>
          <w:rFonts w:ascii="Arial" w:hAnsi="Arial"/>
          <w:color w:val="231F1F"/>
          <w:w w:val="355"/>
          <w:position w:val="1"/>
          <w:sz w:val="7"/>
        </w:rPr>
        <w:t>l </w:t>
      </w:r>
      <w:r>
        <w:rPr>
          <w:rFonts w:ascii="Calibri" w:hAnsi="Calibri"/>
          <w:color w:val="008356"/>
          <w:w w:val="110"/>
          <w:sz w:val="11"/>
        </w:rPr>
        <w:t>IMIDAZOLES </w:t>
      </w:r>
      <w:r>
        <w:rPr>
          <w:color w:val="231F1F"/>
          <w:w w:val="110"/>
          <w:sz w:val="12"/>
        </w:rPr>
        <w:t>(avoid concomitant use)</w:t>
      </w:r>
    </w:p>
    <w:p>
      <w:pPr>
        <w:spacing w:before="0"/>
        <w:ind w:left="208" w:right="89"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mizolastine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ARTENIMOL</w:t>
      </w:r>
      <w:r>
        <w:rPr>
          <w:rFonts w:ascii="Calibri"/>
          <w:color w:val="008356"/>
          <w:spacing w:val="-15"/>
          <w:w w:val="110"/>
          <w:sz w:val="11"/>
        </w:rPr>
        <w:t> </w:t>
      </w:r>
      <w:r>
        <w:rPr>
          <w:rFonts w:ascii="Calibri"/>
          <w:color w:val="008356"/>
          <w:spacing w:val="4"/>
          <w:w w:val="110"/>
          <w:sz w:val="11"/>
        </w:rPr>
        <w:t>WITH</w:t>
      </w:r>
      <w:r>
        <w:rPr>
          <w:rFonts w:ascii="Calibri"/>
          <w:color w:val="008356"/>
          <w:spacing w:val="-12"/>
          <w:w w:val="110"/>
          <w:sz w:val="11"/>
        </w:rPr>
        <w:t> </w:t>
      </w:r>
      <w:r>
        <w:rPr>
          <w:rFonts w:ascii="Calibri"/>
          <w:color w:val="008356"/>
          <w:spacing w:val="4"/>
          <w:w w:val="110"/>
          <w:sz w:val="11"/>
        </w:rPr>
        <w:t>PIPERAQUINE</w:t>
      </w:r>
      <w:r>
        <w:rPr>
          <w:rFonts w:ascii="Calibri"/>
          <w:color w:val="008356"/>
          <w:spacing w:val="-10"/>
          <w:w w:val="110"/>
          <w:sz w:val="11"/>
        </w:rPr>
        <w:t> </w:t>
      </w:r>
      <w:r>
        <w:rPr>
          <w:color w:val="231F1F"/>
          <w:w w:val="110"/>
          <w:sz w:val="12"/>
        </w:rPr>
        <w:t>(possible</w:t>
      </w:r>
      <w:r>
        <w:rPr>
          <w:color w:val="231F1F"/>
          <w:spacing w:val="-19"/>
          <w:w w:val="110"/>
          <w:sz w:val="12"/>
        </w:rPr>
        <w:t> </w:t>
      </w:r>
      <w:r>
        <w:rPr>
          <w:color w:val="231F1F"/>
          <w:w w:val="110"/>
          <w:sz w:val="12"/>
        </w:rPr>
        <w:t>risk of ventricular</w:t>
      </w:r>
      <w:r>
        <w:rPr>
          <w:color w:val="231F1F"/>
          <w:spacing w:val="-4"/>
          <w:w w:val="110"/>
          <w:sz w:val="12"/>
        </w:rPr>
        <w:t> </w:t>
      </w:r>
      <w:r>
        <w:rPr>
          <w:color w:val="231F1F"/>
          <w:w w:val="110"/>
          <w:sz w:val="12"/>
        </w:rPr>
        <w:t>arrhythmias)</w:t>
      </w:r>
    </w:p>
    <w:p>
      <w:pPr>
        <w:pStyle w:val="BodyText"/>
        <w:spacing w:line="220" w:lineRule="auto" w:before="5"/>
        <w:ind w:right="11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increased risk of antimuscarinic </w:t>
      </w:r>
      <w:r>
        <w:rPr>
          <w:color w:val="231F1F"/>
          <w:spacing w:val="-2"/>
          <w:w w:val="105"/>
        </w:rPr>
        <w:t>side-effects </w:t>
      </w:r>
      <w:r>
        <w:rPr>
          <w:color w:val="231F1F"/>
          <w:w w:val="105"/>
        </w:rPr>
        <w:t>when antihistamines given with</w:t>
      </w:r>
      <w:r>
        <w:rPr>
          <w:color w:val="231F1F"/>
          <w:spacing w:val="8"/>
          <w:w w:val="105"/>
        </w:rPr>
        <w:t> </w:t>
      </w:r>
      <w:r>
        <w:rPr>
          <w:rFonts w:ascii="Calibri" w:hAnsi="Calibri"/>
          <w:color w:val="008356"/>
          <w:spacing w:val="5"/>
          <w:w w:val="105"/>
          <w:sz w:val="11"/>
        </w:rPr>
        <w:t>ANTIMUSCARINICS</w:t>
      </w:r>
    </w:p>
    <w:p>
      <w:pPr>
        <w:pStyle w:val="BodyText"/>
        <w:spacing w:line="242" w:lineRule="auto" w:before="1"/>
        <w:ind w:right="116"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chlorphenamine possibly increased by </w:t>
      </w:r>
      <w:r>
        <w:rPr>
          <w:rFonts w:ascii="Calibri" w:hAnsi="Calibri"/>
          <w:color w:val="008356"/>
          <w:spacing w:val="3"/>
          <w:w w:val="110"/>
          <w:sz w:val="11"/>
        </w:rPr>
        <w:t>LOPINAVIR</w:t>
      </w:r>
      <w:r>
        <w:rPr>
          <w:color w:val="231F1F"/>
          <w:spacing w:val="3"/>
          <w:w w:val="110"/>
        </w:rPr>
        <w:t>; </w:t>
      </w:r>
      <w:r>
        <w:rPr>
          <w:color w:val="231F1F"/>
          <w:w w:val="110"/>
        </w:rPr>
        <w:t>plasma concentration of non- sedating antihistamines possibly increased by </w:t>
      </w:r>
      <w:r>
        <w:rPr>
          <w:rFonts w:ascii="Calibri" w:hAnsi="Calibri"/>
          <w:color w:val="008356"/>
          <w:spacing w:val="3"/>
          <w:w w:val="110"/>
          <w:sz w:val="11"/>
        </w:rPr>
        <w:t>RITONAVIR</w:t>
      </w:r>
      <w:r>
        <w:rPr>
          <w:color w:val="231F1F"/>
          <w:spacing w:val="3"/>
          <w:w w:val="110"/>
        </w:rPr>
        <w:t>; </w:t>
      </w:r>
      <w:r>
        <w:rPr>
          <w:color w:val="231F1F"/>
          <w:w w:val="110"/>
        </w:rPr>
        <w:t>increased risk of ventricular arrhythmias when mizolastine 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spacing w:line="220" w:lineRule="auto" w:before="6"/>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antihistamines given with </w:t>
      </w:r>
      <w:r>
        <w:rPr>
          <w:rFonts w:ascii="Calibri" w:hAnsi="Calibri"/>
          <w:color w:val="008356"/>
          <w:w w:val="105"/>
          <w:sz w:val="11"/>
        </w:rPr>
        <w:t>ANXIOLYTICS AND HYPNOTICS</w:t>
      </w:r>
    </w:p>
    <w:p>
      <w:pPr>
        <w:pStyle w:val="BodyText"/>
        <w:ind w:right="106"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Beta-blockers:</w:t>
      </w:r>
      <w:r>
        <w:rPr>
          <w:rFonts w:ascii="Calibri" w:hAns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mizolastine</w:t>
      </w:r>
      <w:r>
        <w:rPr>
          <w:color w:val="231F1F"/>
          <w:spacing w:val="-11"/>
          <w:w w:val="115"/>
        </w:rPr>
        <w:t> </w:t>
      </w:r>
      <w:r>
        <w:rPr>
          <w:color w:val="231F1F"/>
          <w:w w:val="115"/>
        </w:rPr>
        <w:t>given</w:t>
      </w:r>
      <w:r>
        <w:rPr>
          <w:color w:val="231F1F"/>
          <w:spacing w:val="-10"/>
          <w:w w:val="115"/>
        </w:rPr>
        <w:t> </w:t>
      </w:r>
      <w:r>
        <w:rPr>
          <w:color w:val="231F1F"/>
          <w:w w:val="115"/>
        </w:rPr>
        <w:t>with</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w w:val="115"/>
          <w:sz w:val="11"/>
        </w:rPr>
        <w:t>SOTALOL</w:t>
      </w:r>
      <w:r>
        <w:rPr>
          <w:rFonts w:ascii="Arial" w:hAnsi="Arial"/>
          <w:color w:val="231F1F"/>
          <w:w w:val="115"/>
        </w:rPr>
        <w:t>—</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Betahistine: </w:t>
      </w:r>
      <w:r>
        <w:rPr>
          <w:color w:val="231F1F"/>
          <w:w w:val="105"/>
        </w:rPr>
        <w:t>antihistamines theoretically antagonise effect of</w:t>
      </w:r>
    </w:p>
    <w:p>
      <w:pPr>
        <w:spacing w:line="130" w:lineRule="exact" w:before="0"/>
        <w:ind w:left="208" w:right="0" w:firstLine="0"/>
        <w:jc w:val="left"/>
        <w:rPr>
          <w:rFonts w:ascii="Calibri"/>
          <w:sz w:val="11"/>
        </w:rPr>
      </w:pPr>
      <w:r>
        <w:rPr>
          <w:rFonts w:ascii="Calibri"/>
          <w:color w:val="008356"/>
          <w:sz w:val="11"/>
        </w:rPr>
        <w:t>BETAHISTINE</w:t>
      </w:r>
    </w:p>
    <w:p>
      <w:pPr>
        <w:pStyle w:val="BodyText"/>
        <w:ind w:right="132"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Cytotoxics:</w:t>
      </w:r>
      <w:r>
        <w:rPr>
          <w:rFonts w:ascii="Calibri" w:hAnsi="Calibri"/>
          <w:color w:val="231F1F"/>
          <w:spacing w:val="-14"/>
          <w:w w:val="115"/>
        </w:rPr>
        <w:t> </w:t>
      </w:r>
      <w:r>
        <w:rPr>
          <w:color w:val="231F1F"/>
          <w:w w:val="115"/>
        </w:rPr>
        <w:t>possible</w:t>
      </w:r>
      <w:r>
        <w:rPr>
          <w:color w:val="231F1F"/>
          <w:spacing w:val="-18"/>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ventricular</w:t>
      </w:r>
      <w:r>
        <w:rPr>
          <w:color w:val="231F1F"/>
          <w:spacing w:val="-17"/>
          <w:w w:val="115"/>
        </w:rPr>
        <w:t> </w:t>
      </w:r>
      <w:r>
        <w:rPr>
          <w:color w:val="231F1F"/>
          <w:w w:val="115"/>
        </w:rPr>
        <w:t>arrhythmias when mizolastine given with </w:t>
      </w:r>
      <w:r>
        <w:rPr>
          <w:rFonts w:ascii="Arial" w:hAnsi="Arial"/>
          <w:color w:val="231F1F"/>
          <w:w w:val="355"/>
          <w:position w:val="1"/>
          <w:sz w:val="7"/>
        </w:rPr>
        <w:t>l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 </w:t>
      </w:r>
      <w:r>
        <w:rPr>
          <w:color w:val="231F1F"/>
          <w:w w:val="115"/>
        </w:rPr>
        <w:t>concomitant</w:t>
      </w:r>
      <w:r>
        <w:rPr>
          <w:color w:val="231F1F"/>
          <w:spacing w:val="-6"/>
          <w:w w:val="115"/>
        </w:rPr>
        <w:t> </w:t>
      </w:r>
      <w:r>
        <w:rPr>
          <w:color w:val="231F1F"/>
          <w:w w:val="115"/>
        </w:rPr>
        <w:t>use</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bilastine reduced by</w:t>
      </w:r>
    </w:p>
    <w:p>
      <w:pPr>
        <w:spacing w:line="130" w:lineRule="exact" w:before="0"/>
        <w:ind w:left="208" w:right="0" w:firstLine="0"/>
        <w:jc w:val="left"/>
        <w:rPr>
          <w:rFonts w:ascii="Calibri"/>
          <w:sz w:val="11"/>
        </w:rPr>
      </w:pPr>
      <w:r>
        <w:rPr>
          <w:rFonts w:ascii="Calibri"/>
          <w:color w:val="008356"/>
          <w:spacing w:val="4"/>
          <w:sz w:val="11"/>
        </w:rPr>
        <w:t>GRAPEFRUIT</w:t>
      </w:r>
      <w:r>
        <w:rPr>
          <w:rFonts w:ascii="Calibri"/>
          <w:color w:val="008356"/>
          <w:spacing w:val="2"/>
          <w:sz w:val="11"/>
        </w:rPr>
        <w:t> </w:t>
      </w:r>
      <w:r>
        <w:rPr>
          <w:rFonts w:ascii="Calibri"/>
          <w:color w:val="008356"/>
          <w:spacing w:val="5"/>
          <w:sz w:val="11"/>
        </w:rPr>
        <w:t>JUICE</w:t>
      </w:r>
    </w:p>
    <w:p>
      <w:pPr>
        <w:pStyle w:val="BodyText"/>
        <w:spacing w:line="230" w:lineRule="auto" w:before="3"/>
        <w:ind w:right="116" w:hanging="100"/>
      </w:pPr>
      <w:r>
        <w:rPr>
          <w:rFonts w:ascii="Lucida Sans Unicode" w:hAnsi="Lucida Sans Unicode"/>
          <w:color w:val="A7A8AC"/>
          <w:w w:val="95"/>
          <w:sz w:val="10"/>
        </w:rPr>
        <w:t>▶ </w:t>
      </w:r>
      <w:r>
        <w:rPr>
          <w:rFonts w:ascii="Calibri" w:hAnsi="Calibri"/>
          <w:color w:val="231F1F"/>
          <w:w w:val="105"/>
        </w:rPr>
        <w:t>Histamine: </w:t>
      </w:r>
      <w:r>
        <w:rPr>
          <w:color w:val="231F1F"/>
          <w:w w:val="105"/>
        </w:rPr>
        <w:t>antihistamines theoretically antagonise effects </w:t>
      </w:r>
      <w:r>
        <w:rPr>
          <w:color w:val="231F1F"/>
          <w:spacing w:val="-7"/>
          <w:w w:val="105"/>
        </w:rPr>
        <w:t>of </w:t>
      </w:r>
      <w:r>
        <w:rPr>
          <w:rFonts w:ascii="Calibri" w:hAnsi="Calibri"/>
          <w:color w:val="008356"/>
          <w:w w:val="105"/>
          <w:sz w:val="11"/>
        </w:rPr>
        <w:t>HISTAMINE</w:t>
      </w:r>
      <w:r>
        <w:rPr>
          <w:rFonts w:ascii="Arial" w:hAnsi="Arial"/>
          <w:color w:val="231F1F"/>
          <w:w w:val="105"/>
        </w:rPr>
        <w:t>—</w:t>
      </w:r>
      <w:r>
        <w:rPr>
          <w:color w:val="231F1F"/>
          <w:w w:val="105"/>
        </w:rPr>
        <w:t>manufacturer of histamine advises avoid concomitant</w:t>
      </w:r>
      <w:r>
        <w:rPr>
          <w:color w:val="231F1F"/>
          <w:spacing w:val="-2"/>
          <w:w w:val="105"/>
        </w:rPr>
        <w:t> </w:t>
      </w:r>
      <w:r>
        <w:rPr>
          <w:color w:val="231F1F"/>
          <w:w w:val="105"/>
        </w:rPr>
        <w:t>use</w:t>
      </w:r>
    </w:p>
    <w:p>
      <w:pPr>
        <w:pStyle w:val="BodyText"/>
        <w:spacing w:line="230" w:lineRule="auto" w:before="7"/>
        <w:ind w:right="56"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manufacturer of loratadine advises plasma concentration possibly increased by </w:t>
      </w:r>
      <w:r>
        <w:rPr>
          <w:rFonts w:ascii="Calibri" w:hAnsi="Calibri"/>
          <w:color w:val="008356"/>
          <w:spacing w:val="4"/>
          <w:w w:val="110"/>
          <w:sz w:val="11"/>
        </w:rPr>
        <w:t>CIMETIDINE</w:t>
      </w:r>
      <w:r>
        <w:rPr>
          <w:color w:val="231F1F"/>
          <w:spacing w:val="4"/>
          <w:w w:val="110"/>
        </w:rPr>
        <w:t>; </w:t>
      </w:r>
      <w:r>
        <w:rPr>
          <w:color w:val="231F1F"/>
          <w:w w:val="110"/>
        </w:rPr>
        <w:t>plasma concentration of hydroxyzine increased by</w:t>
      </w:r>
      <w:r>
        <w:rPr>
          <w:color w:val="231F1F"/>
          <w:spacing w:val="7"/>
          <w:w w:val="110"/>
        </w:rPr>
        <w:t> </w:t>
      </w:r>
      <w:r>
        <w:rPr>
          <w:rFonts w:ascii="Calibri" w:hAnsi="Calibri"/>
          <w:color w:val="008356"/>
          <w:spacing w:val="3"/>
          <w:w w:val="110"/>
          <w:sz w:val="11"/>
        </w:rPr>
        <w:t>CIMETIDINE</w:t>
      </w:r>
    </w:p>
    <w:p>
      <w:pPr>
        <w:pStyle w:val="BodyText"/>
        <w:spacing w:line="220" w:lineRule="auto" w:before="9"/>
        <w:ind w:right="38" w:hanging="100"/>
        <w:rPr>
          <w:rFonts w:ascii="Calibri" w:hAnsi="Calibri"/>
          <w:sz w:val="11"/>
        </w:rPr>
      </w:pPr>
      <w:r>
        <w:rPr>
          <w:rFonts w:ascii="Lucida Sans Unicode" w:hAnsi="Lucida Sans Unicode"/>
          <w:color w:val="A7A8AC"/>
          <w:w w:val="95"/>
          <w:sz w:val="10"/>
        </w:rPr>
        <w:t>▶ </w:t>
      </w:r>
      <w:r>
        <w:rPr>
          <w:rFonts w:ascii="Calibri" w:hAnsi="Calibri"/>
          <w:color w:val="231F1F"/>
          <w:w w:val="110"/>
        </w:rPr>
        <w:t>Ulipristal: </w:t>
      </w:r>
      <w:r>
        <w:rPr>
          <w:color w:val="231F1F"/>
          <w:w w:val="110"/>
        </w:rPr>
        <w:t>manufacturer of ulipristal advises give fexofenadine at least 1.5 hours before or after </w:t>
      </w:r>
      <w:r>
        <w:rPr>
          <w:rFonts w:ascii="Calibri" w:hAnsi="Calibri"/>
          <w:color w:val="008356"/>
          <w:w w:val="110"/>
          <w:sz w:val="11"/>
        </w:rPr>
        <w:t>ULIPRISTAL</w:t>
      </w:r>
    </w:p>
    <w:p>
      <w:pPr>
        <w:pStyle w:val="BodyText"/>
        <w:spacing w:before="9"/>
        <w:ind w:left="108"/>
      </w:pPr>
      <w:r>
        <w:rPr>
          <w:rFonts w:ascii="Trebuchet MS"/>
          <w:color w:val="008356"/>
          <w:w w:val="105"/>
        </w:rPr>
        <w:t>Antihistamines, Non-sedating </w:t>
      </w:r>
      <w:r>
        <w:rPr>
          <w:i/>
          <w:color w:val="231F1F"/>
          <w:w w:val="105"/>
        </w:rPr>
        <w:t>see </w:t>
      </w:r>
      <w:r>
        <w:rPr>
          <w:color w:val="231F1F"/>
          <w:w w:val="105"/>
        </w:rPr>
        <w:t>Antihistamines</w:t>
      </w:r>
    </w:p>
    <w:p>
      <w:pPr>
        <w:pStyle w:val="BodyText"/>
        <w:spacing w:before="10"/>
        <w:ind w:left="108"/>
      </w:pPr>
      <w:r>
        <w:rPr>
          <w:rFonts w:ascii="Trebuchet MS"/>
          <w:color w:val="008356"/>
          <w:w w:val="105"/>
        </w:rPr>
        <w:t>Antihistamines, Sedating </w:t>
      </w:r>
      <w:r>
        <w:rPr>
          <w:i/>
          <w:color w:val="231F1F"/>
          <w:w w:val="105"/>
        </w:rPr>
        <w:t>see </w:t>
      </w:r>
      <w:r>
        <w:rPr>
          <w:color w:val="231F1F"/>
          <w:w w:val="105"/>
        </w:rPr>
        <w:t>Antihistamines</w:t>
      </w:r>
    </w:p>
    <w:p>
      <w:pPr>
        <w:pStyle w:val="BodyText"/>
        <w:spacing w:line="244" w:lineRule="auto" w:before="10"/>
        <w:ind w:right="116" w:hanging="100"/>
      </w:pPr>
      <w:r>
        <w:rPr>
          <w:rFonts w:ascii="Trebuchet MS"/>
          <w:color w:val="008356"/>
          <w:w w:val="110"/>
        </w:rPr>
        <w:t>Antimalarials </w:t>
      </w:r>
      <w:r>
        <w:rPr>
          <w:i/>
          <w:color w:val="231F1F"/>
          <w:w w:val="110"/>
        </w:rPr>
        <w:t>see </w:t>
      </w:r>
      <w:r>
        <w:rPr>
          <w:color w:val="231F1F"/>
          <w:w w:val="110"/>
        </w:rPr>
        <w:t>Artemether with Lumefantrine, Artenimol with Piperaquine, Chloroquine, Hydroxychloroquine, Mefloquine, Primaquine, Proguanil, Pyrimethamine, and Quinine</w:t>
      </w:r>
    </w:p>
    <w:p>
      <w:pPr>
        <w:pStyle w:val="BodyText"/>
        <w:spacing w:line="244" w:lineRule="auto" w:before="10"/>
        <w:ind w:left="207" w:hanging="100"/>
      </w:pPr>
      <w:r>
        <w:rPr>
          <w:rFonts w:ascii="Trebuchet MS"/>
          <w:color w:val="008356"/>
          <w:w w:val="110"/>
        </w:rPr>
        <w:t>Antimetabolites </w:t>
      </w:r>
      <w:r>
        <w:rPr>
          <w:i/>
          <w:color w:val="231F1F"/>
          <w:w w:val="110"/>
        </w:rPr>
        <w:t>see </w:t>
      </w:r>
      <w:r>
        <w:rPr>
          <w:color w:val="231F1F"/>
          <w:w w:val="110"/>
        </w:rPr>
        <w:t>Capecitabine, Cladribine, Cytarabine, Decitabine, Fludarabine, Fluorouracil, Gemcitabine,</w:t>
      </w:r>
    </w:p>
    <w:p>
      <w:pPr>
        <w:pStyle w:val="BodyText"/>
        <w:spacing w:before="6"/>
        <w:ind w:left="0"/>
        <w:rPr>
          <w:sz w:val="14"/>
        </w:rPr>
      </w:pPr>
      <w:r>
        <w:rPr/>
        <w:br w:type="column"/>
      </w:r>
      <w:r>
        <w:rPr>
          <w:sz w:val="14"/>
        </w:rPr>
      </w:r>
    </w:p>
    <w:p>
      <w:pPr>
        <w:pStyle w:val="BodyText"/>
        <w:spacing w:line="145" w:lineRule="exact" w:before="1"/>
        <w:ind w:left="108"/>
        <w:rPr>
          <w:rFonts w:ascii="Calibri"/>
        </w:rPr>
      </w:pPr>
      <w:r>
        <w:rPr>
          <w:rFonts w:ascii="Arial"/>
          <w:color w:val="008356"/>
        </w:rPr>
        <w:t>Antimetabolites </w:t>
      </w:r>
      <w:r>
        <w:rPr>
          <w:rFonts w:ascii="Calibri"/>
          <w:color w:val="231F1F"/>
        </w:rPr>
        <w:t>(continued)</w:t>
      </w:r>
    </w:p>
    <w:p>
      <w:pPr>
        <w:pStyle w:val="BodyText"/>
        <w:spacing w:line="247" w:lineRule="auto"/>
        <w:ind w:right="670"/>
      </w:pPr>
      <w:r>
        <w:rPr/>
        <w:pict>
          <v:rect style="position:absolute;margin-left:398.891296pt;margin-top:-8.61764pt;width:20.522993pt;height:149.443pt;mso-position-horizontal-relative:page;mso-position-vertical-relative:paragraph;z-index:1984" filled="true" fillcolor="#bfdbcf" stroked="false">
            <v:fill type="solid"/>
            <w10:wrap type="none"/>
          </v:rect>
        </w:pict>
      </w:r>
      <w:r>
        <w:rPr/>
        <w:pict>
          <v:shape style="position:absolute;margin-left:399.725769pt;margin-top:-3.654251pt;width:10.4pt;height:78.850pt;mso-position-horizontal-relative:page;mso-position-vertical-relative:paragraph;z-index:200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color w:val="231F1F"/>
          <w:w w:val="115"/>
        </w:rPr>
        <w:t>Mercaptopurine, Methotrexate, Pemetrexed, Raltitrexed, Tegafur, and Tioguanine</w:t>
      </w:r>
    </w:p>
    <w:p>
      <w:pPr>
        <w:pStyle w:val="BodyText"/>
        <w:spacing w:before="5"/>
        <w:ind w:left="108"/>
        <w:rPr>
          <w:rFonts w:ascii="Trebuchet MS"/>
        </w:rPr>
      </w:pPr>
      <w:r>
        <w:rPr>
          <w:rFonts w:ascii="Trebuchet MS"/>
          <w:color w:val="008356"/>
        </w:rPr>
        <w:t>Antimuscarinics</w:t>
      </w:r>
    </w:p>
    <w:p>
      <w:pPr>
        <w:pStyle w:val="BodyText"/>
        <w:spacing w:line="244" w:lineRule="auto" w:before="4"/>
        <w:ind w:right="625"/>
      </w:pPr>
      <w:r>
        <w:rPr>
          <w:rFonts w:ascii="Calibri"/>
          <w:color w:val="008356"/>
          <w:w w:val="115"/>
          <w:sz w:val="11"/>
        </w:rPr>
        <w:t>NOTE </w:t>
      </w:r>
      <w:r>
        <w:rPr>
          <w:color w:val="231F1F"/>
          <w:w w:val="115"/>
        </w:rPr>
        <w:t>Many drugs have antimuscarinic effects; concomitant use of two or more such drugs can increase side-effects such as dry mouth, urine retention, and constipation; concomitant use can also lead to confusion in the elderly. Interactions do not generally apply to antimuscarinics used by inhalation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10"/>
        </w:rPr>
        <w:t>Alcohol: </w:t>
      </w:r>
      <w:r>
        <w:rPr>
          <w:color w:val="231F1F"/>
          <w:w w:val="110"/>
        </w:rPr>
        <w:t>increased sedative effect when hyoscine given with</w:t>
      </w:r>
    </w:p>
    <w:p>
      <w:pPr>
        <w:spacing w:line="130" w:lineRule="exact" w:before="0"/>
        <w:ind w:left="208" w:right="0" w:firstLine="0"/>
        <w:jc w:val="left"/>
        <w:rPr>
          <w:rFonts w:ascii="Calibri"/>
          <w:sz w:val="11"/>
        </w:rPr>
      </w:pPr>
      <w:r>
        <w:rPr>
          <w:rFonts w:ascii="Calibri"/>
          <w:color w:val="008356"/>
          <w:sz w:val="11"/>
        </w:rPr>
        <w:t>ALCOHOL</w:t>
      </w:r>
    </w:p>
    <w:p>
      <w:pPr>
        <w:pStyle w:val="BodyText"/>
        <w:spacing w:line="237" w:lineRule="auto"/>
        <w:ind w:right="796"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risk of antimuscarinic side- effects when antimuscarinics given with </w:t>
      </w:r>
      <w:r>
        <w:rPr>
          <w:rFonts w:ascii="Calibri" w:hAnsi="Calibri"/>
          <w:color w:val="008356"/>
          <w:w w:val="110"/>
          <w:sz w:val="11"/>
        </w:rPr>
        <w:t>CODEINE</w:t>
      </w:r>
      <w:r>
        <w:rPr>
          <w:color w:val="231F1F"/>
          <w:w w:val="110"/>
        </w:rPr>
        <w:t>; increased risk of antimuscarinic side-effects when antimuscarinics given with </w:t>
      </w:r>
      <w:r>
        <w:rPr>
          <w:rFonts w:ascii="Calibri" w:hAnsi="Calibri"/>
          <w:color w:val="008356"/>
          <w:w w:val="110"/>
          <w:sz w:val="11"/>
        </w:rPr>
        <w:t>NEFOPAM</w:t>
      </w:r>
    </w:p>
    <w:p>
      <w:pPr>
        <w:spacing w:line="242" w:lineRule="auto" w:before="0"/>
        <w:ind w:left="208" w:right="692" w:hanging="100"/>
        <w:jc w:val="left"/>
        <w:rPr>
          <w:rFonts w:ascii="Calibri"/>
          <w:sz w:val="11"/>
        </w:rPr>
      </w:pPr>
      <w:r>
        <w:rPr>
          <w:rFonts w:ascii="Arial"/>
          <w:color w:val="231F1F"/>
          <w:w w:val="355"/>
          <w:position w:val="1"/>
          <w:sz w:val="7"/>
        </w:rPr>
        <w:t>l </w:t>
      </w:r>
      <w:r>
        <w:rPr>
          <w:rFonts w:ascii="Calibri"/>
          <w:color w:val="231F1F"/>
          <w:w w:val="110"/>
          <w:sz w:val="12"/>
        </w:rPr>
        <w:t>Anti-arrhythmics: </w:t>
      </w:r>
      <w:r>
        <w:rPr>
          <w:color w:val="231F1F"/>
          <w:w w:val="110"/>
          <w:sz w:val="12"/>
        </w:rPr>
        <w:t>increased risk of ventricular arrhythmias when tolterodine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AMIODARONE</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5"/>
          <w:w w:val="110"/>
          <w:sz w:val="11"/>
        </w:rPr>
        <w:t>DISOPYRAMIDE </w:t>
      </w:r>
      <w:r>
        <w:rPr>
          <w:color w:val="231F1F"/>
          <w:w w:val="110"/>
          <w:sz w:val="12"/>
        </w:rPr>
        <w:t>or </w:t>
      </w:r>
      <w:r>
        <w:rPr>
          <w:rFonts w:ascii="Arial"/>
          <w:color w:val="231F1F"/>
          <w:w w:val="355"/>
          <w:position w:val="1"/>
          <w:sz w:val="7"/>
        </w:rPr>
        <w:t>l </w:t>
      </w:r>
      <w:r>
        <w:rPr>
          <w:rFonts w:ascii="Calibri"/>
          <w:color w:val="008356"/>
          <w:spacing w:val="4"/>
          <w:w w:val="110"/>
          <w:sz w:val="11"/>
        </w:rPr>
        <w:t>FLECAINIDE</w:t>
      </w:r>
      <w:r>
        <w:rPr>
          <w:color w:val="231F1F"/>
          <w:spacing w:val="4"/>
          <w:w w:val="110"/>
          <w:sz w:val="12"/>
        </w:rPr>
        <w:t>; </w:t>
      </w:r>
      <w:r>
        <w:rPr>
          <w:color w:val="231F1F"/>
          <w:w w:val="110"/>
          <w:sz w:val="12"/>
        </w:rPr>
        <w:t>increased risk of antimuscarinic side-effects when antimuscarinics given with </w:t>
      </w:r>
      <w:r>
        <w:rPr>
          <w:rFonts w:ascii="Calibri"/>
          <w:color w:val="008356"/>
          <w:spacing w:val="5"/>
          <w:w w:val="110"/>
          <w:sz w:val="11"/>
        </w:rPr>
        <w:t>DISOPYRAMIDE</w:t>
      </w:r>
    </w:p>
    <w:p>
      <w:pPr>
        <w:pStyle w:val="BodyText"/>
        <w:spacing w:line="242" w:lineRule="auto"/>
        <w:ind w:right="73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manufacturer of fesoterodine advises dose reduction when fesoterodine given with </w:t>
      </w:r>
      <w:r>
        <w:rPr>
          <w:rFonts w:ascii="Calibri" w:hAnsi="Calibri"/>
          <w:color w:val="008356"/>
          <w:w w:val="110"/>
          <w:sz w:val="11"/>
        </w:rPr>
        <w:t>CLARITHROMYCIN </w:t>
      </w:r>
      <w:r>
        <w:rPr>
          <w:color w:val="231F1F"/>
          <w:w w:val="110"/>
        </w:rPr>
        <w:t>and </w:t>
      </w:r>
      <w:r>
        <w:rPr>
          <w:rFonts w:ascii="Calibri" w:hAnsi="Calibri"/>
          <w:color w:val="008356"/>
          <w:w w:val="110"/>
          <w:sz w:val="11"/>
        </w:rPr>
        <w:t>TELITHROMYCIN</w:t>
      </w:r>
      <w:r>
        <w:rPr>
          <w:rFonts w:ascii="Arial" w:hAnsi="Arial"/>
          <w:color w:val="231F1F"/>
          <w:w w:val="110"/>
        </w:rPr>
        <w:t>—</w:t>
      </w:r>
      <w:r>
        <w:rPr>
          <w:color w:val="231F1F"/>
          <w:w w:val="110"/>
        </w:rPr>
        <w:t>consult fesoterodine product literature; manufacturer of tolterodine advises avoid concomitant use with </w:t>
      </w:r>
      <w:r>
        <w:rPr>
          <w:rFonts w:ascii="Calibri" w:hAnsi="Calibri"/>
          <w:color w:val="008356"/>
          <w:w w:val="110"/>
          <w:sz w:val="11"/>
        </w:rPr>
        <w:t>CLARITHROMYCIN </w:t>
      </w:r>
      <w:r>
        <w:rPr>
          <w:color w:val="231F1F"/>
          <w:w w:val="110"/>
        </w:rPr>
        <w:t>and </w:t>
      </w:r>
      <w:r>
        <w:rPr>
          <w:rFonts w:ascii="Calibri" w:hAnsi="Calibri"/>
          <w:color w:val="008356"/>
          <w:w w:val="110"/>
          <w:sz w:val="11"/>
        </w:rPr>
        <w:t>ERYTHROMYCIN</w:t>
      </w:r>
      <w:r>
        <w:rPr>
          <w:color w:val="231F1F"/>
          <w:w w:val="110"/>
        </w:rPr>
        <w:t>; plasma concentration of darifenacin possibly increased by </w:t>
      </w:r>
      <w:r>
        <w:rPr>
          <w:rFonts w:ascii="Calibri" w:hAnsi="Calibri"/>
          <w:color w:val="008356"/>
          <w:w w:val="110"/>
          <w:sz w:val="11"/>
        </w:rPr>
        <w:t>ERYTHROMYCIN</w:t>
      </w:r>
      <w:r>
        <w:rPr>
          <w:color w:val="231F1F"/>
          <w:w w:val="110"/>
        </w:rPr>
        <w:t>; plasma concentration of active metabolite of fesoterodine reduced by </w:t>
      </w:r>
      <w:r>
        <w:rPr>
          <w:rFonts w:ascii="Calibri" w:hAnsi="Calibri"/>
          <w:color w:val="008356"/>
          <w:w w:val="110"/>
          <w:sz w:val="11"/>
        </w:rPr>
        <w:t>RIFAMPICIN</w:t>
      </w:r>
    </w:p>
    <w:p>
      <w:pPr>
        <w:pStyle w:val="BodyText"/>
        <w:spacing w:line="230" w:lineRule="auto"/>
        <w:ind w:right="670"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darifenacin and procyclidine increased by </w:t>
      </w:r>
      <w:r>
        <w:rPr>
          <w:rFonts w:ascii="Calibri" w:hAnsi="Calibri"/>
          <w:color w:val="008356"/>
          <w:w w:val="110"/>
          <w:sz w:val="11"/>
        </w:rPr>
        <w:t>PAROXETINE</w:t>
      </w:r>
      <w:r>
        <w:rPr>
          <w:color w:val="231F1F"/>
          <w:w w:val="110"/>
        </w:rPr>
        <w:t>; increased risk of antimuscarinic side-effects when antimuscarinics given with</w:t>
      </w:r>
    </w:p>
    <w:p>
      <w:pPr>
        <w:spacing w:line="249" w:lineRule="auto" w:before="0"/>
        <w:ind w:left="208" w:right="670" w:firstLine="0"/>
        <w:jc w:val="left"/>
        <w:rPr>
          <w:rFonts w:ascii="Calibri"/>
          <w:sz w:val="11"/>
        </w:rPr>
      </w:pPr>
      <w:r>
        <w:rPr>
          <w:rFonts w:ascii="Calibri"/>
          <w:color w:val="008356"/>
          <w:w w:val="110"/>
          <w:sz w:val="11"/>
        </w:rPr>
        <w:t>MAOI</w:t>
      </w:r>
      <w:r>
        <w:rPr>
          <w:rFonts w:ascii="Calibri"/>
          <w:color w:val="008356"/>
          <w:w w:val="110"/>
          <w:sz w:val="9"/>
        </w:rPr>
        <w:t>S </w:t>
      </w:r>
      <w:r>
        <w:rPr>
          <w:color w:val="231F1F"/>
          <w:w w:val="110"/>
          <w:sz w:val="12"/>
        </w:rPr>
        <w:t>or </w:t>
      </w:r>
      <w:r>
        <w:rPr>
          <w:rFonts w:ascii="Calibri"/>
          <w:color w:val="008356"/>
          <w:w w:val="110"/>
          <w:sz w:val="11"/>
        </w:rPr>
        <w:t>TRICYCLICS</w:t>
      </w:r>
      <w:r>
        <w:rPr>
          <w:color w:val="231F1F"/>
          <w:w w:val="110"/>
          <w:sz w:val="12"/>
        </w:rPr>
        <w:t>; possible increased antimuscarinic side- effects when antimuscarinics given with </w:t>
      </w:r>
      <w:r>
        <w:rPr>
          <w:rFonts w:ascii="Calibri"/>
          <w:color w:val="008356"/>
          <w:w w:val="110"/>
          <w:sz w:val="11"/>
        </w:rPr>
        <w:t>TRICYCLIC-RELATED ANTIDEPRESSANTS</w:t>
      </w:r>
    </w:p>
    <w:p>
      <w:pPr>
        <w:pStyle w:val="BodyText"/>
        <w:spacing w:line="138" w:lineRule="exact"/>
        <w:ind w:left="108"/>
      </w:pPr>
      <w:r>
        <w:rPr>
          <w:rFonts w:ascii="Arial"/>
          <w:color w:val="231F1F"/>
          <w:w w:val="355"/>
          <w:position w:val="1"/>
          <w:sz w:val="7"/>
        </w:rPr>
        <w:t>l </w:t>
      </w:r>
      <w:r>
        <w:rPr>
          <w:rFonts w:ascii="Calibri"/>
          <w:color w:val="231F1F"/>
          <w:w w:val="115"/>
        </w:rPr>
        <w:t>Antifungals: </w:t>
      </w:r>
      <w:r>
        <w:rPr>
          <w:color w:val="231F1F"/>
          <w:w w:val="115"/>
        </w:rPr>
        <w:t>antimuscarinics reduce absorption of</w:t>
      </w:r>
    </w:p>
    <w:p>
      <w:pPr>
        <w:pStyle w:val="BodyText"/>
        <w:spacing w:line="244" w:lineRule="auto"/>
        <w:ind w:right="673"/>
      </w:pPr>
      <w:r>
        <w:rPr>
          <w:rFonts w:ascii="Calibri" w:hAnsi="Calibri"/>
          <w:color w:val="008356"/>
          <w:spacing w:val="4"/>
          <w:w w:val="110"/>
          <w:sz w:val="11"/>
        </w:rPr>
        <w:t>KETOCONAZOLE</w:t>
      </w:r>
      <w:r>
        <w:rPr>
          <w:color w:val="231F1F"/>
          <w:spacing w:val="4"/>
          <w:w w:val="110"/>
        </w:rPr>
        <w:t>; </w:t>
      </w:r>
      <w:r>
        <w:rPr>
          <w:color w:val="231F1F"/>
          <w:w w:val="110"/>
        </w:rPr>
        <w:t>manufacturer of fesoterodine advises dose reduction when fesoterodine given with </w:t>
      </w:r>
      <w:r>
        <w:rPr>
          <w:rFonts w:ascii="Calibri" w:hAnsi="Calibri"/>
          <w:color w:val="008356"/>
          <w:spacing w:val="4"/>
          <w:w w:val="110"/>
          <w:sz w:val="11"/>
        </w:rPr>
        <w:t>ITRACONAZOLE </w:t>
      </w:r>
      <w:r>
        <w:rPr>
          <w:color w:val="231F1F"/>
          <w:w w:val="110"/>
        </w:rPr>
        <w:t>and </w:t>
      </w:r>
      <w:r>
        <w:rPr>
          <w:rFonts w:ascii="Calibri" w:hAnsi="Calibri"/>
          <w:color w:val="008356"/>
          <w:spacing w:val="2"/>
          <w:w w:val="110"/>
          <w:sz w:val="11"/>
        </w:rPr>
        <w:t>KETOCONAZOLE</w:t>
      </w:r>
      <w:r>
        <w:rPr>
          <w:rFonts w:ascii="Arial" w:hAnsi="Arial"/>
          <w:color w:val="231F1F"/>
          <w:spacing w:val="2"/>
          <w:w w:val="110"/>
        </w:rPr>
        <w:t>—</w:t>
      </w:r>
      <w:r>
        <w:rPr>
          <w:color w:val="231F1F"/>
          <w:spacing w:val="2"/>
          <w:w w:val="110"/>
        </w:rPr>
        <w:t>consult </w:t>
      </w:r>
      <w:r>
        <w:rPr>
          <w:color w:val="231F1F"/>
          <w:w w:val="110"/>
        </w:rPr>
        <w:t>fesoterodine product literature; plasma concentration of darifenacin increased by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 </w:t>
      </w:r>
      <w:r>
        <w:rPr>
          <w:color w:val="231F1F"/>
          <w:w w:val="110"/>
        </w:rPr>
        <w:t>concomitant use; plasma concentration of solifenacin increased by </w:t>
      </w:r>
      <w:r>
        <w:rPr>
          <w:rFonts w:ascii="Arial" w:hAnsi="Arial"/>
          <w:color w:val="231F1F"/>
          <w:w w:val="355"/>
          <w:position w:val="1"/>
          <w:sz w:val="7"/>
        </w:rPr>
        <w:t>l </w:t>
      </w:r>
      <w:r>
        <w:rPr>
          <w:rFonts w:ascii="Calibri" w:hAnsi="Calibri"/>
          <w:color w:val="008356"/>
          <w:spacing w:val="4"/>
          <w:w w:val="110"/>
          <w:sz w:val="11"/>
        </w:rPr>
        <w:t>KETOCONAZOLE</w:t>
      </w:r>
      <w:r>
        <w:rPr>
          <w:rFonts w:ascii="Arial" w:hAnsi="Arial"/>
          <w:color w:val="231F1F"/>
          <w:spacing w:val="4"/>
          <w:w w:val="110"/>
        </w:rPr>
        <w:t>— </w:t>
      </w:r>
      <w:r>
        <w:rPr>
          <w:color w:val="231F1F"/>
          <w:w w:val="110"/>
        </w:rPr>
        <w:t>see under Solifenacin, p. 670; plasma concentration of oxybutynin increased by </w:t>
      </w:r>
      <w:r>
        <w:rPr>
          <w:rFonts w:ascii="Calibri" w:hAnsi="Calibri"/>
          <w:color w:val="008356"/>
          <w:spacing w:val="4"/>
          <w:w w:val="110"/>
          <w:sz w:val="11"/>
        </w:rPr>
        <w:t>KETOCONAZOLE</w:t>
      </w:r>
      <w:r>
        <w:rPr>
          <w:color w:val="231F1F"/>
          <w:spacing w:val="4"/>
          <w:w w:val="110"/>
        </w:rPr>
        <w:t>; </w:t>
      </w:r>
      <w:r>
        <w:rPr>
          <w:color w:val="231F1F"/>
          <w:w w:val="110"/>
        </w:rPr>
        <w:t>manufacturer of tolterodine advises avoid concomitant use with </w:t>
      </w:r>
      <w:r>
        <w:rPr>
          <w:rFonts w:ascii="Calibri" w:hAnsi="Calibri"/>
          <w:color w:val="008356"/>
          <w:spacing w:val="3"/>
          <w:w w:val="110"/>
          <w:sz w:val="11"/>
        </w:rPr>
        <w:t>ITRACONAZOLE </w:t>
      </w:r>
      <w:r>
        <w:rPr>
          <w:color w:val="231F1F"/>
          <w:w w:val="110"/>
        </w:rPr>
        <w:t>and </w:t>
      </w:r>
      <w:r>
        <w:rPr>
          <w:rFonts w:ascii="Arial" w:hAnsi="Arial"/>
          <w:color w:val="231F1F"/>
          <w:w w:val="355"/>
          <w:position w:val="1"/>
          <w:sz w:val="7"/>
        </w:rPr>
        <w:t>l </w:t>
      </w:r>
      <w:r>
        <w:rPr>
          <w:rFonts w:ascii="Calibri" w:hAnsi="Calibri"/>
          <w:color w:val="008356"/>
          <w:spacing w:val="4"/>
          <w:w w:val="110"/>
          <w:sz w:val="11"/>
        </w:rPr>
        <w:t>KETOCONAZOLE</w:t>
      </w:r>
      <w:r>
        <w:rPr>
          <w:color w:val="231F1F"/>
          <w:spacing w:val="4"/>
          <w:w w:val="110"/>
        </w:rPr>
        <w:t>; </w:t>
      </w:r>
      <w:r>
        <w:rPr>
          <w:color w:val="231F1F"/>
          <w:w w:val="110"/>
        </w:rPr>
        <w:t>manufacturer of darifenacin advises avoid concomitant use with </w:t>
      </w:r>
      <w:r>
        <w:rPr>
          <w:rFonts w:ascii="Calibri" w:hAnsi="Calibri"/>
          <w:color w:val="008356"/>
          <w:spacing w:val="4"/>
          <w:w w:val="110"/>
          <w:sz w:val="11"/>
        </w:rPr>
        <w:t>ITRACONAZOLE</w:t>
      </w:r>
      <w:r>
        <w:rPr>
          <w:color w:val="231F1F"/>
          <w:spacing w:val="4"/>
          <w:w w:val="110"/>
        </w:rPr>
        <w:t>; </w:t>
      </w:r>
      <w:r>
        <w:rPr>
          <w:color w:val="231F1F"/>
          <w:w w:val="110"/>
        </w:rPr>
        <w:t>plasma concentration of solifenacin possibly increased</w:t>
      </w:r>
      <w:r>
        <w:rPr>
          <w:color w:val="231F1F"/>
          <w:spacing w:val="4"/>
          <w:w w:val="110"/>
        </w:rPr>
        <w:t> </w:t>
      </w:r>
      <w:r>
        <w:rPr>
          <w:color w:val="231F1F"/>
          <w:w w:val="110"/>
        </w:rPr>
        <w:t>by</w:t>
      </w:r>
    </w:p>
    <w:p>
      <w:pPr>
        <w:spacing w:line="139" w:lineRule="exact" w:before="0"/>
        <w:ind w:left="208" w:right="0" w:firstLine="0"/>
        <w:jc w:val="left"/>
        <w:rPr>
          <w:sz w:val="12"/>
        </w:rPr>
      </w:pPr>
      <w:r>
        <w:rPr>
          <w:rFonts w:ascii="Arial" w:hAnsi="Arial"/>
          <w:color w:val="231F1F"/>
          <w:w w:val="355"/>
          <w:position w:val="1"/>
          <w:sz w:val="7"/>
        </w:rPr>
        <w:t>l </w:t>
      </w:r>
      <w:r>
        <w:rPr>
          <w:rFonts w:ascii="Calibri" w:hAnsi="Calibri"/>
          <w:color w:val="008356"/>
          <w:w w:val="110"/>
          <w:sz w:val="11"/>
        </w:rPr>
        <w:t>ITRACONAZOLE</w:t>
      </w:r>
      <w:r>
        <w:rPr>
          <w:rFonts w:ascii="Arial" w:hAnsi="Arial"/>
          <w:color w:val="231F1F"/>
          <w:w w:val="110"/>
          <w:sz w:val="12"/>
        </w:rPr>
        <w:t>—</w:t>
      </w:r>
      <w:r>
        <w:rPr>
          <w:color w:val="231F1F"/>
          <w:w w:val="110"/>
          <w:sz w:val="12"/>
        </w:rPr>
        <w:t>see under Solifenacin, p. 670</w:t>
      </w:r>
    </w:p>
    <w:p>
      <w:pPr>
        <w:pStyle w:val="BodyText"/>
        <w:spacing w:line="220" w:lineRule="auto" w:before="2"/>
        <w:ind w:right="81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Antihistamines: </w:t>
      </w:r>
      <w:r>
        <w:rPr>
          <w:color w:val="231F1F"/>
          <w:w w:val="110"/>
        </w:rPr>
        <w:t>increased risk of antimuscarinic side-effects when antimuscarinics given with </w:t>
      </w:r>
      <w:r>
        <w:rPr>
          <w:rFonts w:ascii="Calibri" w:hAnsi="Calibri"/>
          <w:color w:val="008356"/>
          <w:w w:val="110"/>
          <w:sz w:val="11"/>
        </w:rPr>
        <w:t>ANTIHISTAMINES</w:t>
      </w:r>
    </w:p>
    <w:p>
      <w:pPr>
        <w:pStyle w:val="BodyText"/>
        <w:spacing w:line="237" w:lineRule="auto" w:before="2"/>
        <w:ind w:right="670"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antimuscarinics possibly reduce effects of </w:t>
      </w:r>
      <w:r>
        <w:rPr>
          <w:rFonts w:ascii="Calibri" w:hAnsi="Calibri"/>
          <w:color w:val="008356"/>
          <w:w w:val="110"/>
          <w:sz w:val="11"/>
        </w:rPr>
        <w:t>HALOPERIDOL</w:t>
      </w:r>
      <w:r>
        <w:rPr>
          <w:color w:val="231F1F"/>
          <w:w w:val="110"/>
        </w:rPr>
        <w:t>; increased risk of antimuscarinic side-effects when antimuscarinics given with </w:t>
      </w:r>
      <w:r>
        <w:rPr>
          <w:rFonts w:ascii="Calibri" w:hAnsi="Calibri"/>
          <w:color w:val="008356"/>
          <w:w w:val="110"/>
          <w:sz w:val="11"/>
        </w:rPr>
        <w:t>CLOZAPINE</w:t>
      </w:r>
      <w:r>
        <w:rPr>
          <w:color w:val="231F1F"/>
          <w:w w:val="110"/>
        </w:rPr>
        <w:t>; antimuscarinics reduce plasma concentration of </w:t>
      </w:r>
      <w:r>
        <w:rPr>
          <w:rFonts w:ascii="Calibri" w:hAnsi="Calibri"/>
          <w:color w:val="008356"/>
          <w:w w:val="110"/>
          <w:sz w:val="11"/>
        </w:rPr>
        <w:t>PHENOTHIAZINES</w:t>
      </w:r>
      <w:r>
        <w:rPr>
          <w:color w:val="231F1F"/>
          <w:w w:val="110"/>
        </w:rPr>
        <w:t>, but risk of antimuscarinic side-effects increased</w:t>
      </w:r>
    </w:p>
    <w:p>
      <w:pPr>
        <w:spacing w:line="242" w:lineRule="auto" w:before="0"/>
        <w:ind w:left="208" w:right="676" w:hanging="100"/>
        <w:jc w:val="left"/>
        <w:rPr>
          <w:sz w:val="12"/>
        </w:rPr>
      </w:pPr>
      <w:r>
        <w:rPr>
          <w:rFonts w:ascii="Arial" w:hAnsi="Arial"/>
          <w:color w:val="231F1F"/>
          <w:w w:val="355"/>
          <w:position w:val="1"/>
          <w:sz w:val="7"/>
        </w:rPr>
        <w:t>l </w:t>
      </w:r>
      <w:r>
        <w:rPr>
          <w:rFonts w:ascii="Calibri" w:hAnsi="Calibri"/>
          <w:color w:val="231F1F"/>
          <w:w w:val="110"/>
          <w:sz w:val="12"/>
        </w:rPr>
        <w:t>Antivirals: </w:t>
      </w:r>
      <w:r>
        <w:rPr>
          <w:color w:val="231F1F"/>
          <w:w w:val="110"/>
          <w:sz w:val="12"/>
        </w:rPr>
        <w:t>manufacturer of fesoterodine advises dose reduction when fesoterodine given with </w:t>
      </w:r>
      <w:r>
        <w:rPr>
          <w:rFonts w:ascii="Calibri" w:hAnsi="Calibri"/>
          <w:color w:val="008356"/>
          <w:spacing w:val="3"/>
          <w:w w:val="110"/>
          <w:sz w:val="11"/>
        </w:rPr>
        <w:t>ATAZANAVIR</w:t>
      </w:r>
      <w:r>
        <w:rPr>
          <w:color w:val="231F1F"/>
          <w:spacing w:val="3"/>
          <w:w w:val="110"/>
          <w:sz w:val="12"/>
        </w:rPr>
        <w:t>, </w:t>
      </w:r>
      <w:r>
        <w:rPr>
          <w:rFonts w:ascii="Calibri" w:hAnsi="Calibri"/>
          <w:color w:val="008356"/>
          <w:spacing w:val="4"/>
          <w:w w:val="110"/>
          <w:sz w:val="11"/>
        </w:rPr>
        <w:t>INDINAVIR</w:t>
      </w:r>
      <w:r>
        <w:rPr>
          <w:color w:val="231F1F"/>
          <w:spacing w:val="4"/>
          <w:w w:val="110"/>
          <w:sz w:val="12"/>
        </w:rPr>
        <w:t>, </w:t>
      </w:r>
      <w:r>
        <w:rPr>
          <w:rFonts w:ascii="Calibri" w:hAnsi="Calibri"/>
          <w:color w:val="008356"/>
          <w:spacing w:val="3"/>
          <w:w w:val="110"/>
          <w:sz w:val="11"/>
        </w:rPr>
        <w:t>RITONAVIR </w:t>
      </w:r>
      <w:r>
        <w:rPr>
          <w:color w:val="231F1F"/>
          <w:w w:val="110"/>
          <w:sz w:val="12"/>
        </w:rPr>
        <w:t>and </w:t>
      </w:r>
      <w:r>
        <w:rPr>
          <w:rFonts w:ascii="Calibri" w:hAnsi="Calibri"/>
          <w:color w:val="008356"/>
          <w:spacing w:val="2"/>
          <w:w w:val="110"/>
          <w:sz w:val="11"/>
        </w:rPr>
        <w:t>SAQUINAVIR</w:t>
      </w:r>
      <w:r>
        <w:rPr>
          <w:rFonts w:ascii="Arial" w:hAnsi="Arial"/>
          <w:color w:val="231F1F"/>
          <w:spacing w:val="2"/>
          <w:w w:val="110"/>
          <w:sz w:val="12"/>
        </w:rPr>
        <w:t>—</w:t>
      </w:r>
      <w:r>
        <w:rPr>
          <w:color w:val="231F1F"/>
          <w:spacing w:val="2"/>
          <w:w w:val="110"/>
          <w:sz w:val="12"/>
        </w:rPr>
        <w:t>consult </w:t>
      </w:r>
      <w:r>
        <w:rPr>
          <w:color w:val="231F1F"/>
          <w:w w:val="110"/>
          <w:sz w:val="12"/>
        </w:rPr>
        <w:t>fesoterodine product literature; manufacturer of darifenacin advises avoid </w:t>
      </w:r>
      <w:r>
        <w:rPr>
          <w:color w:val="231F1F"/>
          <w:w w:val="105"/>
          <w:sz w:val="12"/>
        </w:rPr>
        <w:t>concomitant use with </w:t>
      </w:r>
      <w:r>
        <w:rPr>
          <w:rFonts w:ascii="Calibri" w:hAnsi="Calibri"/>
          <w:color w:val="008356"/>
          <w:spacing w:val="3"/>
          <w:w w:val="105"/>
          <w:sz w:val="11"/>
        </w:rPr>
        <w:t>ATAZANAVIR</w:t>
      </w:r>
      <w:r>
        <w:rPr>
          <w:color w:val="231F1F"/>
          <w:spacing w:val="3"/>
          <w:w w:val="105"/>
          <w:sz w:val="12"/>
        </w:rPr>
        <w:t>, </w:t>
      </w:r>
      <w:r>
        <w:rPr>
          <w:rFonts w:ascii="Calibri" w:hAnsi="Calibri"/>
          <w:color w:val="008356"/>
          <w:spacing w:val="4"/>
          <w:w w:val="105"/>
          <w:sz w:val="11"/>
        </w:rPr>
        <w:t>FOSAMPRENAVIR</w:t>
      </w:r>
      <w:r>
        <w:rPr>
          <w:color w:val="231F1F"/>
          <w:spacing w:val="4"/>
          <w:w w:val="105"/>
          <w:sz w:val="12"/>
        </w:rPr>
        <w:t>, </w:t>
      </w:r>
      <w:r>
        <w:rPr>
          <w:rFonts w:ascii="Calibri" w:hAnsi="Calibri"/>
          <w:color w:val="008356"/>
          <w:spacing w:val="4"/>
          <w:w w:val="105"/>
          <w:sz w:val="11"/>
        </w:rPr>
        <w:t>INDINAVIR</w:t>
      </w:r>
      <w:r>
        <w:rPr>
          <w:color w:val="231F1F"/>
          <w:spacing w:val="4"/>
          <w:w w:val="105"/>
          <w:sz w:val="12"/>
        </w:rPr>
        <w:t>, </w:t>
      </w:r>
      <w:r>
        <w:rPr>
          <w:rFonts w:ascii="Calibri" w:hAnsi="Calibri"/>
          <w:color w:val="008356"/>
          <w:spacing w:val="3"/>
          <w:w w:val="110"/>
          <w:sz w:val="11"/>
        </w:rPr>
        <w:t>LOPINAVIR</w:t>
      </w:r>
      <w:r>
        <w:rPr>
          <w:color w:val="231F1F"/>
          <w:spacing w:val="3"/>
          <w:w w:val="110"/>
          <w:sz w:val="12"/>
        </w:rPr>
        <w:t>,</w:t>
      </w:r>
      <w:r>
        <w:rPr>
          <w:color w:val="231F1F"/>
          <w:spacing w:val="-9"/>
          <w:w w:val="110"/>
          <w:sz w:val="12"/>
        </w:rPr>
        <w:t> </w:t>
      </w:r>
      <w:r>
        <w:rPr>
          <w:rFonts w:ascii="Calibri" w:hAnsi="Calibri"/>
          <w:color w:val="008356"/>
          <w:spacing w:val="3"/>
          <w:w w:val="110"/>
          <w:sz w:val="11"/>
        </w:rPr>
        <w:t>RITONAVIR</w:t>
      </w:r>
      <w:r>
        <w:rPr>
          <w:color w:val="231F1F"/>
          <w:spacing w:val="3"/>
          <w:w w:val="110"/>
          <w:sz w:val="12"/>
        </w:rPr>
        <w:t>,</w:t>
      </w:r>
      <w:r>
        <w:rPr>
          <w:color w:val="231F1F"/>
          <w:spacing w:val="-8"/>
          <w:w w:val="110"/>
          <w:sz w:val="12"/>
        </w:rPr>
        <w:t> </w:t>
      </w:r>
      <w:r>
        <w:rPr>
          <w:rFonts w:ascii="Calibri" w:hAnsi="Calibri"/>
          <w:color w:val="008356"/>
          <w:spacing w:val="3"/>
          <w:w w:val="110"/>
          <w:sz w:val="11"/>
        </w:rPr>
        <w:t>SAQUINAVIR</w:t>
      </w:r>
      <w:r>
        <w:rPr>
          <w:rFonts w:ascii="Calibri" w:hAnsi="Calibri"/>
          <w:color w:val="008356"/>
          <w:spacing w:val="1"/>
          <w:w w:val="110"/>
          <w:sz w:val="11"/>
        </w:rPr>
        <w:t> </w:t>
      </w:r>
      <w:r>
        <w:rPr>
          <w:color w:val="231F1F"/>
          <w:w w:val="110"/>
          <w:sz w:val="12"/>
        </w:rPr>
        <w:t>and</w:t>
      </w:r>
      <w:r>
        <w:rPr>
          <w:color w:val="231F1F"/>
          <w:spacing w:val="-9"/>
          <w:w w:val="110"/>
          <w:sz w:val="12"/>
        </w:rPr>
        <w:t> </w:t>
      </w:r>
      <w:r>
        <w:rPr>
          <w:rFonts w:ascii="Calibri" w:hAnsi="Calibri"/>
          <w:color w:val="008356"/>
          <w:spacing w:val="4"/>
          <w:w w:val="110"/>
          <w:sz w:val="11"/>
        </w:rPr>
        <w:t>TIPRANAVIR</w:t>
      </w:r>
      <w:r>
        <w:rPr>
          <w:color w:val="231F1F"/>
          <w:spacing w:val="4"/>
          <w:w w:val="110"/>
          <w:sz w:val="12"/>
        </w:rPr>
        <w:t>;</w:t>
      </w:r>
    </w:p>
    <w:p>
      <w:pPr>
        <w:spacing w:line="247" w:lineRule="auto" w:before="4"/>
        <w:ind w:left="208" w:right="762" w:firstLine="0"/>
        <w:jc w:val="left"/>
        <w:rPr>
          <w:sz w:val="12"/>
        </w:rPr>
      </w:pPr>
      <w:r>
        <w:rPr>
          <w:color w:val="231F1F"/>
          <w:w w:val="110"/>
          <w:sz w:val="12"/>
        </w:rPr>
        <w:t>manufacturer of tolterodine advises avoid concomitant use </w:t>
      </w:r>
      <w:r>
        <w:rPr>
          <w:color w:val="231F1F"/>
          <w:w w:val="105"/>
          <w:sz w:val="12"/>
        </w:rPr>
        <w:t>with </w:t>
      </w:r>
      <w:r>
        <w:rPr>
          <w:rFonts w:ascii="Calibri"/>
          <w:color w:val="008356"/>
          <w:w w:val="105"/>
          <w:sz w:val="11"/>
        </w:rPr>
        <w:t>FOSAMPRENAVIR</w:t>
      </w:r>
      <w:r>
        <w:rPr>
          <w:color w:val="231F1F"/>
          <w:w w:val="105"/>
          <w:sz w:val="12"/>
        </w:rPr>
        <w:t>, </w:t>
      </w:r>
      <w:r>
        <w:rPr>
          <w:rFonts w:ascii="Calibri"/>
          <w:color w:val="008356"/>
          <w:w w:val="105"/>
          <w:sz w:val="11"/>
        </w:rPr>
        <w:t>INDINAVIR</w:t>
      </w:r>
      <w:r>
        <w:rPr>
          <w:color w:val="231F1F"/>
          <w:w w:val="105"/>
          <w:sz w:val="12"/>
        </w:rPr>
        <w:t>, </w:t>
      </w:r>
      <w:r>
        <w:rPr>
          <w:rFonts w:ascii="Calibri"/>
          <w:color w:val="008356"/>
          <w:w w:val="105"/>
          <w:sz w:val="11"/>
        </w:rPr>
        <w:t>LOPINAVIR</w:t>
      </w:r>
      <w:r>
        <w:rPr>
          <w:color w:val="231F1F"/>
          <w:w w:val="105"/>
          <w:sz w:val="12"/>
        </w:rPr>
        <w:t>, </w:t>
      </w:r>
      <w:r>
        <w:rPr>
          <w:rFonts w:ascii="Calibri"/>
          <w:color w:val="008356"/>
          <w:w w:val="105"/>
          <w:sz w:val="11"/>
        </w:rPr>
        <w:t>RITONAVIR </w:t>
      </w:r>
      <w:r>
        <w:rPr>
          <w:color w:val="231F1F"/>
          <w:w w:val="105"/>
          <w:sz w:val="12"/>
        </w:rPr>
        <w:t>and</w:t>
      </w:r>
    </w:p>
    <w:p>
      <w:pPr>
        <w:pStyle w:val="BodyText"/>
        <w:ind w:right="907" w:hanging="1"/>
      </w:pPr>
      <w:r>
        <w:rPr>
          <w:rFonts w:ascii="Calibri" w:hAnsi="Calibri"/>
          <w:color w:val="008356"/>
          <w:spacing w:val="4"/>
          <w:w w:val="110"/>
          <w:sz w:val="11"/>
        </w:rPr>
        <w:t>SAQUINAVIR</w:t>
      </w:r>
      <w:r>
        <w:rPr>
          <w:color w:val="231F1F"/>
          <w:spacing w:val="4"/>
          <w:w w:val="110"/>
        </w:rPr>
        <w:t>; </w:t>
      </w:r>
      <w:r>
        <w:rPr>
          <w:color w:val="231F1F"/>
          <w:w w:val="110"/>
        </w:rPr>
        <w:t>plasma concentration of solifenacin possibly increased by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0"/>
          <w:sz w:val="11"/>
        </w:rPr>
        <w:t>RITONAVIR</w:t>
      </w:r>
      <w:r>
        <w:rPr>
          <w:rFonts w:ascii="Arial" w:hAnsi="Arial"/>
          <w:color w:val="231F1F"/>
          <w:spacing w:val="2"/>
          <w:w w:val="110"/>
        </w:rPr>
        <w:t>—</w:t>
      </w:r>
      <w:r>
        <w:rPr>
          <w:color w:val="231F1F"/>
          <w:spacing w:val="2"/>
          <w:w w:val="110"/>
        </w:rPr>
        <w:t>see </w:t>
      </w:r>
      <w:r>
        <w:rPr>
          <w:color w:val="231F1F"/>
          <w:w w:val="110"/>
        </w:rPr>
        <w:t>under Solifenacin, p. 670</w:t>
      </w:r>
    </w:p>
    <w:p>
      <w:pPr>
        <w:pStyle w:val="BodyText"/>
        <w:ind w:right="736"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Beta-blockers:</w:t>
      </w:r>
      <w:r>
        <w:rPr>
          <w:rFonts w:ascii="Calibri"/>
          <w:color w:val="231F1F"/>
          <w:spacing w:val="-14"/>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tolterodine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5"/>
          <w:sz w:val="11"/>
        </w:rPr>
        <w:t>SOTALOL</w:t>
      </w:r>
    </w:p>
    <w:p>
      <w:pPr>
        <w:pStyle w:val="BodyText"/>
        <w:spacing w:line="230" w:lineRule="auto"/>
        <w:ind w:right="71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solifenacin increased by </w:t>
      </w:r>
      <w:r>
        <w:rPr>
          <w:rFonts w:ascii="Calibri" w:hAnsi="Calibri"/>
          <w:color w:val="008356"/>
          <w:w w:val="105"/>
          <w:sz w:val="11"/>
        </w:rPr>
        <w:t>VERAPAMIL</w:t>
      </w:r>
      <w:r>
        <w:rPr>
          <w:color w:val="231F1F"/>
          <w:w w:val="105"/>
        </w:rPr>
        <w:t>; manufacturer of darifenacin advises avoid concomitant use with </w:t>
      </w:r>
      <w:r>
        <w:rPr>
          <w:rFonts w:ascii="Calibri" w:hAnsi="Calibri"/>
          <w:color w:val="008356"/>
          <w:w w:val="105"/>
          <w:sz w:val="11"/>
        </w:rPr>
        <w:t>VERAPAMIL</w:t>
      </w:r>
    </w:p>
    <w:p>
      <w:pPr>
        <w:pStyle w:val="BodyText"/>
        <w:spacing w:line="220" w:lineRule="auto" w:before="7"/>
        <w:ind w:right="995"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darifenacin possibly increases plasma concentration of </w:t>
      </w:r>
      <w:r>
        <w:rPr>
          <w:rFonts w:ascii="Calibri" w:hAnsi="Calibri"/>
          <w:color w:val="008356"/>
          <w:w w:val="105"/>
          <w:sz w:val="11"/>
        </w:rPr>
        <w:t>DIGOXIN</w:t>
      </w:r>
    </w:p>
    <w:p>
      <w:pPr>
        <w:pStyle w:val="BodyText"/>
        <w:spacing w:line="220" w:lineRule="auto" w:before="8"/>
        <w:ind w:right="1121"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manufacturer of darifenacin advises avoid concomitant use with </w:t>
      </w:r>
      <w:r>
        <w:rPr>
          <w:rFonts w:ascii="Calibri" w:hAnsi="Calibri"/>
          <w:color w:val="008356"/>
          <w:w w:val="110"/>
          <w:sz w:val="11"/>
        </w:rPr>
        <w:t>CICLOSPORIN</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Domperidone: </w:t>
      </w:r>
      <w:r>
        <w:rPr>
          <w:color w:val="231F1F"/>
          <w:w w:val="105"/>
        </w:rPr>
        <w:t>antimuscarinics antagonise effects of</w:t>
      </w:r>
    </w:p>
    <w:p>
      <w:pPr>
        <w:spacing w:line="135" w:lineRule="exact" w:before="0"/>
        <w:ind w:left="208" w:right="0" w:firstLine="0"/>
        <w:jc w:val="left"/>
        <w:rPr>
          <w:sz w:val="12"/>
        </w:rPr>
      </w:pPr>
      <w:r>
        <w:rPr>
          <w:rFonts w:ascii="Calibri"/>
          <w:color w:val="008356"/>
          <w:w w:val="110"/>
          <w:sz w:val="11"/>
        </w:rPr>
        <w:t>DOMPERIDONE </w:t>
      </w:r>
      <w:r>
        <w:rPr>
          <w:color w:val="231F1F"/>
          <w:w w:val="110"/>
          <w:sz w:val="12"/>
        </w:rPr>
        <w:t>on gastro-intestinal activity</w:t>
      </w:r>
    </w:p>
    <w:p>
      <w:pPr>
        <w:spacing w:after="0" w:line="135" w:lineRule="exact"/>
        <w:jc w:val="left"/>
        <w:rPr>
          <w:sz w:val="12"/>
        </w:rPr>
        <w:sectPr>
          <w:pgSz w:w="8390" w:h="11910"/>
          <w:pgMar w:header="0" w:footer="0" w:top="460" w:bottom="0" w:left="480" w:right="0"/>
          <w:cols w:num="2" w:equalWidth="0">
            <w:col w:w="3604" w:space="72"/>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2032" filled="true" fillcolor="#bfdbcf" stroked="false">
            <v:fill type="solid"/>
            <w10:wrap type="none"/>
          </v:rect>
        </w:pict>
      </w:r>
      <w:r>
        <w:rPr/>
        <w:pict>
          <v:shape style="position:absolute;margin-left:7.751256pt;margin-top:35.804367pt;width:10.4pt;height:78.850pt;mso-position-horizontal-relative:page;mso-position-vertical-relative:page;z-index:205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jc w:val="both"/>
        <w:rPr>
          <w:rFonts w:ascii="Calibri"/>
        </w:rPr>
      </w:pPr>
      <w:r>
        <w:rPr>
          <w:rFonts w:ascii="Arial"/>
          <w:color w:val="008356"/>
        </w:rPr>
        <w:t>Antimuscarinics </w:t>
      </w:r>
      <w:r>
        <w:rPr>
          <w:rFonts w:ascii="Calibri"/>
          <w:color w:val="231F1F"/>
        </w:rPr>
        <w:t>(continued)</w:t>
      </w:r>
    </w:p>
    <w:p>
      <w:pPr>
        <w:pStyle w:val="BodyText"/>
        <w:spacing w:line="150" w:lineRule="exact"/>
        <w:ind w:left="186"/>
        <w:jc w:val="both"/>
      </w:pPr>
      <w:r>
        <w:rPr>
          <w:rFonts w:ascii="Lucida Sans Unicode" w:hAnsi="Lucida Sans Unicode"/>
          <w:color w:val="A7A8AC"/>
          <w:w w:val="95"/>
          <w:sz w:val="10"/>
        </w:rPr>
        <w:t>▶ </w:t>
      </w:r>
      <w:r>
        <w:rPr>
          <w:rFonts w:ascii="Calibri" w:hAnsi="Calibri"/>
          <w:color w:val="231F1F"/>
          <w:w w:val="105"/>
        </w:rPr>
        <w:t>Dopaminergics: </w:t>
      </w:r>
      <w:r>
        <w:rPr>
          <w:color w:val="231F1F"/>
          <w:w w:val="105"/>
        </w:rPr>
        <w:t>antimuscarinics possibly reduce absorption of</w:t>
      </w:r>
    </w:p>
    <w:p>
      <w:pPr>
        <w:spacing w:line="134" w:lineRule="exact" w:before="0"/>
        <w:ind w:left="286" w:right="0" w:firstLine="0"/>
        <w:jc w:val="left"/>
        <w:rPr>
          <w:rFonts w:ascii="Calibri"/>
          <w:sz w:val="11"/>
        </w:rPr>
      </w:pPr>
      <w:r>
        <w:rPr>
          <w:rFonts w:ascii="Calibri"/>
          <w:color w:val="008356"/>
          <w:w w:val="105"/>
          <w:sz w:val="11"/>
        </w:rPr>
        <w:t>CO-BENELDOPA</w:t>
      </w:r>
      <w:r>
        <w:rPr>
          <w:color w:val="231F1F"/>
          <w:w w:val="105"/>
          <w:sz w:val="12"/>
        </w:rPr>
        <w:t>, </w:t>
      </w:r>
      <w:r>
        <w:rPr>
          <w:rFonts w:ascii="Calibri"/>
          <w:color w:val="008356"/>
          <w:w w:val="105"/>
          <w:sz w:val="11"/>
        </w:rPr>
        <w:t>CO-CARELDOPA </w:t>
      </w:r>
      <w:r>
        <w:rPr>
          <w:color w:val="231F1F"/>
          <w:w w:val="105"/>
          <w:sz w:val="12"/>
        </w:rPr>
        <w:t>and </w:t>
      </w:r>
      <w:r>
        <w:rPr>
          <w:rFonts w:ascii="Calibri"/>
          <w:color w:val="008356"/>
          <w:w w:val="105"/>
          <w:sz w:val="11"/>
        </w:rPr>
        <w:t>LEVODOPA</w:t>
      </w:r>
    </w:p>
    <w:p>
      <w:pPr>
        <w:pStyle w:val="BodyText"/>
        <w:spacing w:line="220" w:lineRule="auto" w:before="7"/>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Hormone Antagonists: </w:t>
      </w:r>
      <w:r>
        <w:rPr>
          <w:color w:val="231F1F"/>
          <w:w w:val="105"/>
        </w:rPr>
        <w:t>possible increased risk of bradycardia when ipratropium or oxybutynin given with </w:t>
      </w:r>
      <w:r>
        <w:rPr>
          <w:rFonts w:ascii="Calibri" w:hAnsi="Calibri"/>
          <w:color w:val="008356"/>
          <w:w w:val="105"/>
          <w:sz w:val="11"/>
        </w:rPr>
        <w:t>PASIREOTIDE</w:t>
      </w:r>
    </w:p>
    <w:p>
      <w:pPr>
        <w:pStyle w:val="BodyText"/>
        <w:spacing w:line="155" w:lineRule="exact"/>
        <w:ind w:left="186"/>
        <w:jc w:val="both"/>
      </w:pPr>
      <w:r>
        <w:rPr>
          <w:rFonts w:ascii="Lucida Sans Unicode" w:hAnsi="Lucida Sans Unicode"/>
          <w:color w:val="A7A8AC"/>
          <w:w w:val="95"/>
          <w:sz w:val="10"/>
        </w:rPr>
        <w:t>▶ </w:t>
      </w:r>
      <w:r>
        <w:rPr>
          <w:rFonts w:ascii="Calibri" w:hAnsi="Calibri"/>
          <w:color w:val="231F1F"/>
          <w:w w:val="105"/>
        </w:rPr>
        <w:t>Memantine: </w:t>
      </w:r>
      <w:r>
        <w:rPr>
          <w:color w:val="231F1F"/>
          <w:w w:val="105"/>
        </w:rPr>
        <w:t>effects of antimuscarinics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151" w:lineRule="exact"/>
        <w:ind w:left="186"/>
        <w:jc w:val="both"/>
      </w:pPr>
      <w:r>
        <w:rPr>
          <w:rFonts w:ascii="Lucida Sans Unicode" w:hAnsi="Lucida Sans Unicode"/>
          <w:color w:val="A7A8AC"/>
          <w:w w:val="95"/>
          <w:sz w:val="10"/>
        </w:rPr>
        <w:t>▶ </w:t>
      </w:r>
      <w:r>
        <w:rPr>
          <w:rFonts w:ascii="Calibri" w:hAnsi="Calibri"/>
          <w:color w:val="231F1F"/>
          <w:w w:val="105"/>
        </w:rPr>
        <w:t>Metoclopramide: </w:t>
      </w:r>
      <w:r>
        <w:rPr>
          <w:color w:val="231F1F"/>
          <w:w w:val="105"/>
        </w:rPr>
        <w:t>antimuscarinics antagonise effects of</w:t>
      </w:r>
    </w:p>
    <w:p>
      <w:pPr>
        <w:spacing w:line="134" w:lineRule="exact" w:before="0"/>
        <w:ind w:left="286" w:right="0" w:firstLine="0"/>
        <w:jc w:val="left"/>
        <w:rPr>
          <w:sz w:val="12"/>
        </w:rPr>
      </w:pPr>
      <w:r>
        <w:rPr>
          <w:rFonts w:ascii="Calibri"/>
          <w:color w:val="008356"/>
          <w:w w:val="110"/>
          <w:sz w:val="11"/>
        </w:rPr>
        <w:t>METOCLOPRAMIDE </w:t>
      </w:r>
      <w:r>
        <w:rPr>
          <w:color w:val="231F1F"/>
          <w:w w:val="110"/>
          <w:sz w:val="12"/>
        </w:rPr>
        <w:t>on gastro-intestinal activity</w:t>
      </w:r>
    </w:p>
    <w:p>
      <w:pPr>
        <w:pStyle w:val="BodyText"/>
        <w:spacing w:line="230" w:lineRule="auto" w:before="4"/>
        <w:ind w:left="286" w:right="20" w:hanging="100"/>
        <w:jc w:val="both"/>
      </w:pPr>
      <w:r>
        <w:rPr>
          <w:rFonts w:ascii="Lucida Sans Unicode" w:hAnsi="Lucida Sans Unicode"/>
          <w:color w:val="A7A8AC"/>
          <w:w w:val="95"/>
          <w:sz w:val="10"/>
        </w:rPr>
        <w:t>▶ </w:t>
      </w:r>
      <w:r>
        <w:rPr>
          <w:rFonts w:ascii="Calibri" w:hAnsi="Calibri"/>
          <w:color w:val="231F1F"/>
          <w:w w:val="110"/>
        </w:rPr>
        <w:t>Nitrates: </w:t>
      </w:r>
      <w:r>
        <w:rPr>
          <w:color w:val="231F1F"/>
          <w:w w:val="110"/>
        </w:rPr>
        <w:t>antimuscarinics possibly reduce effects of sublingual tablets of </w:t>
      </w:r>
      <w:r>
        <w:rPr>
          <w:rFonts w:ascii="Calibri" w:hAnsi="Calibri"/>
          <w:color w:val="008356"/>
          <w:w w:val="110"/>
          <w:sz w:val="11"/>
        </w:rPr>
        <w:t>NITRATES </w:t>
      </w:r>
      <w:r>
        <w:rPr>
          <w:color w:val="231F1F"/>
          <w:w w:val="110"/>
        </w:rPr>
        <w:t>(failure to dissolve under tongue owing to dry mouth)</w:t>
      </w:r>
    </w:p>
    <w:p>
      <w:pPr>
        <w:pStyle w:val="BodyText"/>
        <w:spacing w:line="156" w:lineRule="exact" w:before="3"/>
        <w:ind w:left="186"/>
        <w:jc w:val="both"/>
      </w:pPr>
      <w:r>
        <w:rPr>
          <w:rFonts w:ascii="Lucida Sans Unicode" w:hAnsi="Lucida Sans Unicode"/>
          <w:color w:val="A7A8AC"/>
          <w:w w:val="95"/>
          <w:sz w:val="10"/>
        </w:rPr>
        <w:t>▶ </w:t>
      </w:r>
      <w:r>
        <w:rPr>
          <w:rFonts w:ascii="Calibri" w:hAnsi="Calibri"/>
          <w:color w:val="231F1F"/>
        </w:rPr>
        <w:t>Parasympathomimetics: </w:t>
      </w:r>
      <w:r>
        <w:rPr>
          <w:color w:val="231F1F"/>
        </w:rPr>
        <w:t>antimuscarinics antagonise effects of</w:t>
      </w:r>
    </w:p>
    <w:p>
      <w:pPr>
        <w:spacing w:line="132" w:lineRule="exact" w:before="0"/>
        <w:ind w:left="286" w:right="0" w:firstLine="0"/>
        <w:jc w:val="left"/>
        <w:rPr>
          <w:rFonts w:ascii="Calibri"/>
          <w:sz w:val="11"/>
        </w:rPr>
      </w:pPr>
      <w:r>
        <w:rPr>
          <w:rFonts w:ascii="Calibri"/>
          <w:color w:val="008356"/>
          <w:sz w:val="11"/>
        </w:rPr>
        <w:t>PARASYMPATHOMIMETICS</w:t>
      </w:r>
    </w:p>
    <w:p>
      <w:pPr>
        <w:pStyle w:val="BodyText"/>
        <w:spacing w:before="7"/>
        <w:ind w:left="186"/>
        <w:rPr>
          <w:rFonts w:ascii="Trebuchet MS"/>
        </w:rPr>
      </w:pPr>
      <w:r>
        <w:rPr>
          <w:rFonts w:ascii="Trebuchet MS"/>
          <w:color w:val="008356"/>
        </w:rPr>
        <w:t>Antipsychotics</w:t>
      </w:r>
    </w:p>
    <w:p>
      <w:pPr>
        <w:pStyle w:val="BodyText"/>
        <w:spacing w:before="5"/>
        <w:ind w:left="286" w:right="107"/>
      </w:pPr>
      <w:r>
        <w:rPr>
          <w:rFonts w:ascii="Calibri"/>
          <w:color w:val="008356"/>
          <w:spacing w:val="3"/>
          <w:w w:val="115"/>
          <w:sz w:val="11"/>
        </w:rPr>
        <w:t>NOTE</w:t>
      </w:r>
      <w:r>
        <w:rPr>
          <w:rFonts w:ascii="Calibri"/>
          <w:color w:val="008356"/>
          <w:spacing w:val="-10"/>
          <w:w w:val="115"/>
          <w:sz w:val="11"/>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toxicity</w:t>
      </w:r>
      <w:r>
        <w:rPr>
          <w:color w:val="231F1F"/>
          <w:spacing w:val="-18"/>
          <w:w w:val="115"/>
        </w:rPr>
        <w:t> </w:t>
      </w:r>
      <w:r>
        <w:rPr>
          <w:color w:val="231F1F"/>
          <w:w w:val="115"/>
        </w:rPr>
        <w:t>with</w:t>
      </w:r>
      <w:r>
        <w:rPr>
          <w:color w:val="231F1F"/>
          <w:spacing w:val="-17"/>
          <w:w w:val="115"/>
        </w:rPr>
        <w:t> </w:t>
      </w:r>
      <w:r>
        <w:rPr>
          <w:color w:val="231F1F"/>
          <w:w w:val="115"/>
        </w:rPr>
        <w:t>myelosuppressive</w:t>
      </w:r>
      <w:r>
        <w:rPr>
          <w:color w:val="231F1F"/>
          <w:spacing w:val="-16"/>
          <w:w w:val="115"/>
        </w:rPr>
        <w:t> </w:t>
      </w:r>
      <w:r>
        <w:rPr>
          <w:color w:val="231F1F"/>
          <w:spacing w:val="-3"/>
          <w:w w:val="115"/>
        </w:rPr>
        <w:t>drugs </w:t>
      </w:r>
      <w:r>
        <w:rPr>
          <w:rFonts w:ascii="Calibri"/>
          <w:color w:val="008356"/>
          <w:spacing w:val="3"/>
          <w:w w:val="115"/>
          <w:sz w:val="11"/>
        </w:rPr>
        <w:t>NOTE </w:t>
      </w:r>
      <w:r>
        <w:rPr>
          <w:color w:val="231F1F"/>
          <w:w w:val="115"/>
        </w:rPr>
        <w:t>Avoid concomitant use of clozapine with drugs that have a substantial potential for causing</w:t>
      </w:r>
      <w:r>
        <w:rPr>
          <w:color w:val="231F1F"/>
          <w:spacing w:val="-22"/>
          <w:w w:val="115"/>
        </w:rPr>
        <w:t> </w:t>
      </w:r>
      <w:r>
        <w:rPr>
          <w:color w:val="231F1F"/>
          <w:w w:val="115"/>
        </w:rPr>
        <w:t>agranulocytosis</w:t>
      </w:r>
    </w:p>
    <w:p>
      <w:pPr>
        <w:pStyle w:val="BodyText"/>
        <w:spacing w:line="220" w:lineRule="auto" w:before="12"/>
        <w:ind w:left="286" w:right="490"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antipsychotics given with </w:t>
      </w:r>
      <w:r>
        <w:rPr>
          <w:rFonts w:ascii="Calibri" w:hAnsi="Calibri"/>
          <w:color w:val="008356"/>
          <w:w w:val="105"/>
          <w:sz w:val="11"/>
        </w:rPr>
        <w:t>ACE INHIBITORS</w:t>
      </w:r>
    </w:p>
    <w:p>
      <w:pPr>
        <w:spacing w:line="242"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Adrenergic Neurone Blockers: </w:t>
      </w:r>
      <w:r>
        <w:rPr>
          <w:color w:val="231F1F"/>
          <w:w w:val="110"/>
          <w:sz w:val="12"/>
        </w:rPr>
        <w:t>enhanced hypotensive effect when phenothiazines given with </w:t>
      </w:r>
      <w:r>
        <w:rPr>
          <w:rFonts w:ascii="Calibri" w:hAnsi="Calibri"/>
          <w:color w:val="008356"/>
          <w:w w:val="110"/>
          <w:sz w:val="11"/>
        </w:rPr>
        <w:t>ADRENERGIC NEURONE BLOCKERS</w:t>
      </w:r>
      <w:r>
        <w:rPr>
          <w:color w:val="231F1F"/>
          <w:w w:val="110"/>
          <w:sz w:val="12"/>
        </w:rPr>
        <w:t>; higher doses of chlorpromazine antagonise hypotensive effect of </w:t>
      </w:r>
      <w:r>
        <w:rPr>
          <w:rFonts w:ascii="Calibri" w:hAnsi="Calibri"/>
          <w:color w:val="008356"/>
          <w:w w:val="110"/>
          <w:sz w:val="11"/>
        </w:rPr>
        <w:t>ADRENERGIC NEURONE BLOCKERS</w:t>
      </w:r>
      <w:r>
        <w:rPr>
          <w:color w:val="231F1F"/>
          <w:w w:val="110"/>
          <w:sz w:val="12"/>
        </w:rPr>
        <w:t>; haloperidol antagonises hypotensive effect of </w:t>
      </w:r>
      <w:r>
        <w:rPr>
          <w:rFonts w:ascii="Calibri" w:hAnsi="Calibri"/>
          <w:color w:val="008356"/>
          <w:w w:val="110"/>
          <w:sz w:val="11"/>
        </w:rPr>
        <w:t>ADRENERGIC NEURONE BLOCKERS</w:t>
      </w:r>
    </w:p>
    <w:p>
      <w:pPr>
        <w:pStyle w:val="BodyText"/>
        <w:spacing w:line="148" w:lineRule="exact"/>
        <w:ind w:left="186"/>
        <w:jc w:val="both"/>
      </w:pPr>
      <w:r>
        <w:rPr>
          <w:rFonts w:ascii="Lucida Sans Unicode" w:hAnsi="Lucida Sans Unicode"/>
          <w:color w:val="A7A8AC"/>
          <w:w w:val="95"/>
          <w:sz w:val="10"/>
        </w:rPr>
        <w:t>▶ </w:t>
      </w:r>
      <w:r>
        <w:rPr>
          <w:rFonts w:ascii="Calibri" w:hAnsi="Calibri"/>
          <w:color w:val="231F1F"/>
          <w:w w:val="105"/>
        </w:rPr>
        <w:t>Adsorbents: </w:t>
      </w:r>
      <w:r>
        <w:rPr>
          <w:color w:val="231F1F"/>
          <w:w w:val="105"/>
        </w:rPr>
        <w:t>absorption of phenothiazines possibly reduced by</w:t>
      </w:r>
    </w:p>
    <w:p>
      <w:pPr>
        <w:spacing w:line="130" w:lineRule="exact" w:before="0"/>
        <w:ind w:left="286" w:right="0" w:firstLine="0"/>
        <w:jc w:val="left"/>
        <w:rPr>
          <w:rFonts w:ascii="Calibri"/>
          <w:sz w:val="11"/>
        </w:rPr>
      </w:pPr>
      <w:r>
        <w:rPr>
          <w:rFonts w:ascii="Calibri"/>
          <w:color w:val="008356"/>
          <w:sz w:val="11"/>
        </w:rPr>
        <w:t>KAOLIN</w:t>
      </w:r>
    </w:p>
    <w:p>
      <w:pPr>
        <w:pStyle w:val="BodyText"/>
        <w:spacing w:line="220" w:lineRule="auto" w:before="7"/>
        <w:ind w:left="286" w:right="10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increased sedative effect when antipsychotics given with </w:t>
      </w:r>
      <w:r>
        <w:rPr>
          <w:rFonts w:ascii="Calibri" w:hAnsi="Calibri"/>
          <w:color w:val="008356"/>
          <w:w w:val="105"/>
          <w:sz w:val="11"/>
        </w:rPr>
        <w:t>ALCOHOL</w:t>
      </w:r>
    </w:p>
    <w:p>
      <w:pPr>
        <w:pStyle w:val="BodyText"/>
        <w:spacing w:line="220" w:lineRule="auto" w:before="8"/>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enhanced hypotensive effect when antipsychotics given with </w:t>
      </w:r>
      <w:r>
        <w:rPr>
          <w:rFonts w:ascii="Calibri" w:hAnsi="Calibri"/>
          <w:color w:val="008356"/>
          <w:w w:val="105"/>
          <w:sz w:val="11"/>
        </w:rPr>
        <w:t>ALPHA-BLOCKERS</w:t>
      </w:r>
    </w:p>
    <w:p>
      <w:pPr>
        <w:spacing w:line="240" w:lineRule="auto" w:before="0"/>
        <w:ind w:left="286" w:right="490" w:hanging="100"/>
        <w:jc w:val="left"/>
        <w:rPr>
          <w:rFonts w:ascii="Calibri"/>
          <w:sz w:val="11"/>
        </w:rPr>
      </w:pPr>
      <w:r>
        <w:rPr>
          <w:rFonts w:ascii="Arial"/>
          <w:color w:val="231F1F"/>
          <w:w w:val="355"/>
          <w:position w:val="1"/>
          <w:sz w:val="7"/>
        </w:rPr>
        <w:t>l </w:t>
      </w:r>
      <w:r>
        <w:rPr>
          <w:rFonts w:ascii="Calibri"/>
          <w:color w:val="231F1F"/>
          <w:w w:val="110"/>
          <w:sz w:val="12"/>
        </w:rPr>
        <w:t>Anaesthetics, General: </w:t>
      </w:r>
      <w:r>
        <w:rPr>
          <w:color w:val="231F1F"/>
          <w:w w:val="110"/>
          <w:sz w:val="12"/>
        </w:rPr>
        <w:t>droperidol enhances effects </w:t>
      </w:r>
      <w:r>
        <w:rPr>
          <w:color w:val="231F1F"/>
          <w:spacing w:val="-9"/>
          <w:w w:val="110"/>
          <w:sz w:val="12"/>
        </w:rPr>
        <w:t>of </w:t>
      </w:r>
      <w:r>
        <w:rPr>
          <w:rFonts w:ascii="Calibri"/>
          <w:color w:val="008356"/>
          <w:spacing w:val="4"/>
          <w:w w:val="110"/>
          <w:sz w:val="11"/>
        </w:rPr>
        <w:t>THIOPENTAL</w:t>
      </w:r>
      <w:r>
        <w:rPr>
          <w:color w:val="231F1F"/>
          <w:spacing w:val="4"/>
          <w:w w:val="110"/>
          <w:sz w:val="12"/>
        </w:rPr>
        <w:t>; </w:t>
      </w:r>
      <w:r>
        <w:rPr>
          <w:color w:val="231F1F"/>
          <w:w w:val="110"/>
          <w:sz w:val="12"/>
        </w:rPr>
        <w:t>enhanced hypotensive effect when antipsychotics given with </w:t>
      </w:r>
      <w:r>
        <w:rPr>
          <w:rFonts w:ascii="Arial"/>
          <w:color w:val="231F1F"/>
          <w:w w:val="355"/>
          <w:position w:val="1"/>
          <w:sz w:val="7"/>
        </w:rPr>
        <w:t>l </w:t>
      </w:r>
      <w:r>
        <w:rPr>
          <w:rFonts w:ascii="Calibri"/>
          <w:color w:val="008356"/>
          <w:spacing w:val="4"/>
          <w:w w:val="110"/>
          <w:sz w:val="11"/>
        </w:rPr>
        <w:t>GENERAL </w:t>
      </w:r>
      <w:r>
        <w:rPr>
          <w:rFonts w:ascii="Calibri"/>
          <w:color w:val="008356"/>
          <w:spacing w:val="5"/>
          <w:w w:val="110"/>
          <w:sz w:val="11"/>
        </w:rPr>
        <w:t>ANAESTHETICS</w:t>
      </w:r>
    </w:p>
    <w:p>
      <w:pPr>
        <w:pStyle w:val="BodyText"/>
        <w:spacing w:line="244" w:lineRule="auto"/>
        <w:ind w:left="286" w:right="7" w:hanging="100"/>
        <w:rPr>
          <w:rFonts w:ascii="Calibri" w:hAnsi="Calibri"/>
          <w:sz w:val="11"/>
        </w:rPr>
      </w:pPr>
      <w:r>
        <w:rPr>
          <w:rFonts w:ascii="Arial" w:hAnsi="Arial"/>
          <w:color w:val="231F1F"/>
          <w:w w:val="355"/>
          <w:position w:val="1"/>
          <w:sz w:val="7"/>
        </w:rPr>
        <w:t>l </w:t>
      </w:r>
      <w:r>
        <w:rPr>
          <w:rFonts w:ascii="Calibri" w:hAnsi="Calibri"/>
          <w:color w:val="231F1F"/>
          <w:w w:val="105"/>
        </w:rPr>
        <w:t>Analgesics: </w:t>
      </w:r>
      <w:r>
        <w:rPr>
          <w:color w:val="231F1F"/>
          <w:w w:val="105"/>
        </w:rPr>
        <w:t>possible severe drowsiness when haloperidol </w:t>
      </w:r>
      <w:r>
        <w:rPr>
          <w:color w:val="231F1F"/>
          <w:spacing w:val="-4"/>
          <w:w w:val="105"/>
        </w:rPr>
        <w:t>given </w:t>
      </w:r>
      <w:r>
        <w:rPr>
          <w:color w:val="231F1F"/>
          <w:w w:val="105"/>
        </w:rPr>
        <w:t>with </w:t>
      </w:r>
      <w:r>
        <w:rPr>
          <w:rFonts w:ascii="Calibri" w:hAnsi="Calibri"/>
          <w:color w:val="008356"/>
          <w:spacing w:val="3"/>
          <w:w w:val="105"/>
          <w:sz w:val="11"/>
        </w:rPr>
        <w:t>ACEMETACIN </w:t>
      </w:r>
      <w:r>
        <w:rPr>
          <w:color w:val="231F1F"/>
          <w:w w:val="105"/>
        </w:rPr>
        <w:t>or </w:t>
      </w:r>
      <w:r>
        <w:rPr>
          <w:rFonts w:ascii="Calibri" w:hAnsi="Calibri"/>
          <w:color w:val="008356"/>
          <w:spacing w:val="4"/>
          <w:w w:val="105"/>
          <w:sz w:val="11"/>
        </w:rPr>
        <w:t>INDOMETACIN</w:t>
      </w:r>
      <w:r>
        <w:rPr>
          <w:color w:val="231F1F"/>
          <w:spacing w:val="4"/>
          <w:w w:val="105"/>
        </w:rPr>
        <w:t>; </w:t>
      </w:r>
      <w:r>
        <w:rPr>
          <w:color w:val="231F1F"/>
          <w:w w:val="105"/>
        </w:rPr>
        <w:t>increased risk of ventricular arrhythmias  when  antipsychotics  </w:t>
      </w:r>
      <w:r>
        <w:rPr>
          <w:color w:val="231F1F"/>
          <w:w w:val="125"/>
        </w:rPr>
        <w:t>that  </w:t>
      </w:r>
      <w:r>
        <w:rPr>
          <w:color w:val="231F1F"/>
          <w:w w:val="105"/>
        </w:rPr>
        <w:t>prolong  the   QT interval given with </w:t>
      </w:r>
      <w:r>
        <w:rPr>
          <w:rFonts w:ascii="Arial" w:hAnsi="Arial"/>
          <w:color w:val="231F1F"/>
          <w:w w:val="355"/>
          <w:position w:val="1"/>
          <w:sz w:val="7"/>
        </w:rPr>
        <w:t>l </w:t>
      </w:r>
      <w:r>
        <w:rPr>
          <w:rFonts w:ascii="Calibri" w:hAnsi="Calibri"/>
          <w:color w:val="008356"/>
          <w:spacing w:val="4"/>
          <w:w w:val="105"/>
          <w:sz w:val="11"/>
        </w:rPr>
        <w:t>METHADONE</w:t>
      </w:r>
      <w:r>
        <w:rPr>
          <w:color w:val="231F1F"/>
          <w:spacing w:val="4"/>
          <w:w w:val="105"/>
        </w:rPr>
        <w:t>; </w:t>
      </w:r>
      <w:r>
        <w:rPr>
          <w:color w:val="231F1F"/>
          <w:w w:val="105"/>
        </w:rPr>
        <w:t>increased risk of ventricular arrhythmias when amisulpride given with </w:t>
      </w:r>
      <w:r>
        <w:rPr>
          <w:rFonts w:ascii="Arial" w:hAnsi="Arial"/>
          <w:color w:val="231F1F"/>
          <w:w w:val="355"/>
          <w:position w:val="1"/>
          <w:sz w:val="7"/>
        </w:rPr>
        <w:t>l </w:t>
      </w:r>
      <w:r>
        <w:rPr>
          <w:rFonts w:ascii="Calibri" w:hAnsi="Calibri"/>
          <w:color w:val="008356"/>
          <w:spacing w:val="4"/>
          <w:w w:val="105"/>
          <w:sz w:val="11"/>
        </w:rPr>
        <w:t>METHADONE</w:t>
      </w:r>
      <w:r>
        <w:rPr>
          <w:rFonts w:ascii="Arial" w:hAnsi="Arial"/>
          <w:color w:val="231F1F"/>
          <w:spacing w:val="4"/>
          <w:w w:val="105"/>
        </w:rPr>
        <w:t>— </w:t>
      </w:r>
      <w:r>
        <w:rPr>
          <w:color w:val="231F1F"/>
          <w:w w:val="105"/>
        </w:rPr>
        <w:t>avoid concomitant use; increased risk of convulsions when antipsychotics given with </w:t>
      </w:r>
      <w:r>
        <w:rPr>
          <w:rFonts w:ascii="Calibri" w:hAnsi="Calibri"/>
          <w:color w:val="008356"/>
          <w:spacing w:val="4"/>
          <w:w w:val="105"/>
          <w:sz w:val="11"/>
        </w:rPr>
        <w:t>TRAMADOL</w:t>
      </w:r>
      <w:r>
        <w:rPr>
          <w:color w:val="231F1F"/>
          <w:spacing w:val="4"/>
          <w:w w:val="105"/>
        </w:rPr>
        <w:t>;  </w:t>
      </w:r>
      <w:r>
        <w:rPr>
          <w:color w:val="231F1F"/>
          <w:w w:val="105"/>
        </w:rPr>
        <w:t>enhanced  hypotensive and sedative effects when antipsychotics given with </w:t>
      </w:r>
      <w:r>
        <w:rPr>
          <w:rFonts w:ascii="Calibri" w:hAnsi="Calibri"/>
          <w:color w:val="008356"/>
          <w:spacing w:val="5"/>
          <w:w w:val="105"/>
          <w:sz w:val="11"/>
        </w:rPr>
        <w:t>OPIOID </w:t>
      </w:r>
      <w:r>
        <w:rPr>
          <w:rFonts w:ascii="Calibri" w:hAnsi="Calibri"/>
          <w:color w:val="008356"/>
          <w:spacing w:val="4"/>
          <w:w w:val="105"/>
          <w:sz w:val="11"/>
        </w:rPr>
        <w:t>ANALGESICS</w:t>
      </w:r>
    </w:p>
    <w:p>
      <w:pPr>
        <w:spacing w:line="237" w:lineRule="auto" w:before="0"/>
        <w:ind w:left="286" w:right="19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antipsychotics given with </w:t>
      </w:r>
      <w:r>
        <w:rPr>
          <w:rFonts w:ascii="Calibri" w:hAnsi="Calibri"/>
          <w:color w:val="008356"/>
          <w:w w:val="105"/>
          <w:sz w:val="11"/>
        </w:rPr>
        <w:t>ANGIOTENSIN-II RECEPTOR ANTAGONISTS</w:t>
      </w:r>
    </w:p>
    <w:p>
      <w:pPr>
        <w:pStyle w:val="BodyText"/>
        <w:spacing w:line="220" w:lineRule="auto" w:before="5"/>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phenothiazines and  sulpiride reduced by </w:t>
      </w:r>
      <w:r>
        <w:rPr>
          <w:rFonts w:ascii="Calibri" w:hAnsi="Calibri"/>
          <w:color w:val="008356"/>
          <w:spacing w:val="4"/>
          <w:w w:val="105"/>
          <w:sz w:val="11"/>
        </w:rPr>
        <w:t>ANTACIDS</w:t>
      </w:r>
    </w:p>
    <w:p>
      <w:pPr>
        <w:pStyle w:val="BodyText"/>
        <w:spacing w:line="244" w:lineRule="auto"/>
        <w:ind w:left="286" w:right="27"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 antipsychotics </w:t>
      </w:r>
      <w:r>
        <w:rPr>
          <w:color w:val="231F1F"/>
          <w:w w:val="130"/>
        </w:rPr>
        <w:t>that </w:t>
      </w:r>
      <w:r>
        <w:rPr>
          <w:color w:val="231F1F"/>
          <w:w w:val="110"/>
        </w:rPr>
        <w:t>prolong </w:t>
      </w:r>
      <w:r>
        <w:rPr>
          <w:color w:val="231F1F"/>
          <w:w w:val="130"/>
        </w:rPr>
        <w:t>the </w:t>
      </w:r>
      <w:r>
        <w:rPr>
          <w:color w:val="231F1F"/>
          <w:w w:val="110"/>
        </w:rPr>
        <w:t>QT interval given with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ANTI-ARRHYTHMICS</w:t>
      </w:r>
      <w:r>
        <w:rPr>
          <w:rFonts w:ascii="Calibri" w:hAnsi="Calibri"/>
          <w:color w:val="008356"/>
          <w:spacing w:val="2"/>
          <w:w w:val="110"/>
          <w:sz w:val="11"/>
        </w:rPr>
        <w:t> </w:t>
      </w:r>
      <w:r>
        <w:rPr>
          <w:color w:val="231F1F"/>
          <w:w w:val="130"/>
        </w:rPr>
        <w:t>that</w:t>
      </w:r>
      <w:r>
        <w:rPr>
          <w:color w:val="231F1F"/>
          <w:spacing w:val="-14"/>
          <w:w w:val="130"/>
        </w:rPr>
        <w:t> </w:t>
      </w:r>
      <w:r>
        <w:rPr>
          <w:color w:val="231F1F"/>
          <w:w w:val="110"/>
        </w:rPr>
        <w:t>prolong</w:t>
      </w:r>
      <w:r>
        <w:rPr>
          <w:color w:val="231F1F"/>
          <w:spacing w:val="-8"/>
          <w:w w:val="110"/>
        </w:rPr>
        <w:t> </w:t>
      </w:r>
      <w:r>
        <w:rPr>
          <w:color w:val="231F1F"/>
          <w:w w:val="130"/>
        </w:rPr>
        <w:t>the</w:t>
      </w:r>
      <w:r>
        <w:rPr>
          <w:color w:val="231F1F"/>
          <w:spacing w:val="-14"/>
          <w:w w:val="130"/>
        </w:rPr>
        <w:t> </w:t>
      </w:r>
      <w:r>
        <w:rPr>
          <w:color w:val="231F1F"/>
          <w:w w:val="110"/>
        </w:rPr>
        <w:t>QT</w:t>
      </w:r>
      <w:r>
        <w:rPr>
          <w:color w:val="231F1F"/>
          <w:spacing w:val="-8"/>
          <w:w w:val="110"/>
        </w:rPr>
        <w:t> </w:t>
      </w:r>
      <w:r>
        <w:rPr>
          <w:color w:val="231F1F"/>
          <w:w w:val="110"/>
        </w:rPr>
        <w:t>interval;</w:t>
      </w:r>
      <w:r>
        <w:rPr>
          <w:color w:val="231F1F"/>
          <w:spacing w:val="-8"/>
          <w:w w:val="110"/>
        </w:rPr>
        <w:t> </w:t>
      </w:r>
      <w:r>
        <w:rPr>
          <w:color w:val="231F1F"/>
          <w:w w:val="110"/>
        </w:rPr>
        <w:t>increased risk of ventricular arrhythmias when amisulpride, droperidol, haloperidol, phenothiazines, pimozide or  zuclopenthixol given</w:t>
      </w:r>
      <w:r>
        <w:rPr>
          <w:color w:val="231F1F"/>
          <w:spacing w:val="-7"/>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AMIODARONE</w:t>
      </w:r>
      <w:r>
        <w:rPr>
          <w:rFonts w:ascii="Arial" w:hAnsi="Arial"/>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8"/>
          <w:w w:val="110"/>
        </w:rPr>
        <w:t> </w:t>
      </w:r>
      <w:r>
        <w:rPr>
          <w:color w:val="231F1F"/>
          <w:w w:val="110"/>
        </w:rPr>
        <w:t>use;</w:t>
      </w:r>
      <w:r>
        <w:rPr>
          <w:color w:val="231F1F"/>
          <w:spacing w:val="-6"/>
          <w:w w:val="110"/>
        </w:rPr>
        <w:t> </w:t>
      </w:r>
      <w:r>
        <w:rPr>
          <w:color w:val="231F1F"/>
          <w:w w:val="110"/>
        </w:rPr>
        <w:t>increased risk of ventricular arrhythmias when benperidol given</w:t>
      </w:r>
      <w:r>
        <w:rPr>
          <w:color w:val="231F1F"/>
          <w:spacing w:val="12"/>
          <w:w w:val="110"/>
        </w:rPr>
        <w:t> </w:t>
      </w:r>
      <w:r>
        <w:rPr>
          <w:color w:val="231F1F"/>
          <w:w w:val="110"/>
        </w:rPr>
        <w:t>with</w:t>
      </w:r>
    </w:p>
    <w:p>
      <w:pPr>
        <w:pStyle w:val="BodyText"/>
        <w:spacing w:line="247" w:lineRule="auto" w:before="4"/>
        <w:ind w:left="286" w:right="81"/>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AMIODARONE</w:t>
      </w:r>
      <w:r>
        <w:rPr>
          <w:rFonts w:ascii="Arial" w:hAnsi="Arial"/>
          <w:color w:val="231F1F"/>
          <w:spacing w:val="2"/>
          <w:w w:val="115"/>
        </w:rPr>
        <w:t>—</w:t>
      </w:r>
      <w:r>
        <w:rPr>
          <w:color w:val="231F1F"/>
          <w:spacing w:val="2"/>
          <w:w w:val="115"/>
        </w:rPr>
        <w:t>manufacturer</w:t>
      </w:r>
      <w:r>
        <w:rPr>
          <w:color w:val="231F1F"/>
          <w:spacing w:val="-22"/>
          <w:w w:val="115"/>
        </w:rPr>
        <w:t> </w:t>
      </w:r>
      <w:r>
        <w:rPr>
          <w:color w:val="231F1F"/>
          <w:w w:val="115"/>
        </w:rPr>
        <w:t>of</w:t>
      </w:r>
      <w:r>
        <w:rPr>
          <w:color w:val="231F1F"/>
          <w:spacing w:val="-22"/>
          <w:w w:val="115"/>
        </w:rPr>
        <w:t> </w:t>
      </w:r>
      <w:r>
        <w:rPr>
          <w:color w:val="231F1F"/>
          <w:w w:val="115"/>
        </w:rPr>
        <w:t>benperidol</w:t>
      </w:r>
      <w:r>
        <w:rPr>
          <w:color w:val="231F1F"/>
          <w:spacing w:val="-22"/>
          <w:w w:val="115"/>
        </w:rPr>
        <w:t> </w:t>
      </w:r>
      <w:r>
        <w:rPr>
          <w:color w:val="231F1F"/>
          <w:w w:val="115"/>
        </w:rPr>
        <w:t>advises</w:t>
      </w:r>
      <w:r>
        <w:rPr>
          <w:color w:val="231F1F"/>
          <w:spacing w:val="-22"/>
          <w:w w:val="115"/>
        </w:rPr>
        <w:t> </w:t>
      </w:r>
      <w:r>
        <w:rPr>
          <w:color w:val="231F1F"/>
          <w:w w:val="115"/>
        </w:rPr>
        <w:t>avoid concomitant use; increased risk of ventricular arrhythmias when</w:t>
      </w:r>
      <w:r>
        <w:rPr>
          <w:color w:val="231F1F"/>
          <w:spacing w:val="-25"/>
          <w:w w:val="115"/>
        </w:rPr>
        <w:t> </w:t>
      </w:r>
      <w:r>
        <w:rPr>
          <w:color w:val="231F1F"/>
          <w:w w:val="115"/>
        </w:rPr>
        <w:t>sulpiride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135"/>
          <w:position w:val="1"/>
          <w:sz w:val="7"/>
        </w:rPr>
        <w:t>l</w:t>
      </w:r>
      <w:r>
        <w:rPr>
          <w:rFonts w:ascii="Arial" w:hAnsi="Arial"/>
          <w:color w:val="231F1F"/>
          <w:spacing w:val="-17"/>
          <w:w w:val="135"/>
          <w:position w:val="1"/>
          <w:sz w:val="7"/>
        </w:rPr>
        <w:t> </w:t>
      </w:r>
      <w:r>
        <w:rPr>
          <w:rFonts w:ascii="Calibri" w:hAnsi="Calibri"/>
          <w:color w:val="008356"/>
          <w:spacing w:val="4"/>
          <w:w w:val="115"/>
          <w:sz w:val="11"/>
        </w:rPr>
        <w:t>AMIODARONE</w:t>
      </w:r>
      <w:r>
        <w:rPr>
          <w:rFonts w:ascii="Calibri" w:hAnsi="Calibri"/>
          <w:color w:val="008356"/>
          <w:spacing w:val="-16"/>
          <w:w w:val="115"/>
          <w:sz w:val="11"/>
        </w:rPr>
        <w:t> </w:t>
      </w:r>
      <w:r>
        <w:rPr>
          <w:color w:val="231F1F"/>
          <w:w w:val="115"/>
        </w:rPr>
        <w:t>or</w:t>
      </w:r>
      <w:r>
        <w:rPr>
          <w:color w:val="231F1F"/>
          <w:spacing w:val="-23"/>
          <w:w w:val="115"/>
        </w:rPr>
        <w:t> </w:t>
      </w:r>
      <w:r>
        <w:rPr>
          <w:rFonts w:ascii="Arial" w:hAnsi="Arial"/>
          <w:color w:val="231F1F"/>
          <w:w w:val="135"/>
          <w:position w:val="1"/>
          <w:sz w:val="7"/>
        </w:rPr>
        <w:t>l</w:t>
      </w:r>
      <w:r>
        <w:rPr>
          <w:rFonts w:ascii="Arial" w:hAnsi="Arial"/>
          <w:color w:val="231F1F"/>
          <w:spacing w:val="-17"/>
          <w:w w:val="135"/>
          <w:position w:val="1"/>
          <w:sz w:val="7"/>
        </w:rPr>
        <w:t> </w:t>
      </w:r>
      <w:r>
        <w:rPr>
          <w:rFonts w:ascii="Calibri" w:hAnsi="Calibri"/>
          <w:color w:val="008356"/>
          <w:spacing w:val="4"/>
          <w:w w:val="115"/>
          <w:sz w:val="11"/>
        </w:rPr>
        <w:t>DISOPYRAMIDE</w:t>
      </w:r>
      <w:r>
        <w:rPr>
          <w:color w:val="231F1F"/>
          <w:spacing w:val="4"/>
          <w:w w:val="115"/>
        </w:rPr>
        <w:t>; </w:t>
      </w:r>
      <w:r>
        <w:rPr>
          <w:color w:val="231F1F"/>
          <w:w w:val="115"/>
        </w:rPr>
        <w:t>increased</w:t>
      </w:r>
      <w:r>
        <w:rPr>
          <w:color w:val="231F1F"/>
          <w:spacing w:val="-9"/>
          <w:w w:val="115"/>
        </w:rPr>
        <w:t> </w:t>
      </w:r>
      <w:r>
        <w:rPr>
          <w:color w:val="231F1F"/>
          <w:w w:val="115"/>
        </w:rPr>
        <w:t>risk</w:t>
      </w:r>
      <w:r>
        <w:rPr>
          <w:color w:val="231F1F"/>
          <w:spacing w:val="-8"/>
          <w:w w:val="115"/>
        </w:rPr>
        <w:t> </w:t>
      </w:r>
      <w:r>
        <w:rPr>
          <w:color w:val="231F1F"/>
          <w:w w:val="115"/>
        </w:rPr>
        <w:t>of</w:t>
      </w:r>
      <w:r>
        <w:rPr>
          <w:color w:val="231F1F"/>
          <w:spacing w:val="-7"/>
          <w:w w:val="115"/>
        </w:rPr>
        <w:t> </w:t>
      </w:r>
      <w:r>
        <w:rPr>
          <w:color w:val="231F1F"/>
          <w:w w:val="115"/>
        </w:rPr>
        <w:t>ventricular</w:t>
      </w:r>
      <w:r>
        <w:rPr>
          <w:color w:val="231F1F"/>
          <w:spacing w:val="-9"/>
          <w:w w:val="115"/>
        </w:rPr>
        <w:t> </w:t>
      </w:r>
      <w:r>
        <w:rPr>
          <w:color w:val="231F1F"/>
          <w:w w:val="115"/>
        </w:rPr>
        <w:t>arrhythmias</w:t>
      </w:r>
      <w:r>
        <w:rPr>
          <w:color w:val="231F1F"/>
          <w:spacing w:val="-9"/>
          <w:w w:val="115"/>
        </w:rPr>
        <w:t> </w:t>
      </w:r>
      <w:r>
        <w:rPr>
          <w:color w:val="231F1F"/>
          <w:w w:val="115"/>
        </w:rPr>
        <w:t>when</w:t>
      </w:r>
      <w:r>
        <w:rPr>
          <w:color w:val="231F1F"/>
          <w:spacing w:val="-8"/>
          <w:w w:val="115"/>
        </w:rPr>
        <w:t> </w:t>
      </w:r>
      <w:r>
        <w:rPr>
          <w:color w:val="231F1F"/>
          <w:w w:val="115"/>
        </w:rPr>
        <w:t>amisulpride, droperidol,</w:t>
      </w:r>
      <w:r>
        <w:rPr>
          <w:color w:val="231F1F"/>
          <w:spacing w:val="-7"/>
          <w:w w:val="115"/>
        </w:rPr>
        <w:t> </w:t>
      </w:r>
      <w:r>
        <w:rPr>
          <w:color w:val="231F1F"/>
          <w:w w:val="115"/>
        </w:rPr>
        <w:t>pimozide</w:t>
      </w:r>
      <w:r>
        <w:rPr>
          <w:color w:val="231F1F"/>
          <w:spacing w:val="-5"/>
          <w:w w:val="115"/>
        </w:rPr>
        <w:t> </w:t>
      </w:r>
      <w:r>
        <w:rPr>
          <w:color w:val="231F1F"/>
          <w:w w:val="115"/>
        </w:rPr>
        <w:t>or</w:t>
      </w:r>
      <w:r>
        <w:rPr>
          <w:color w:val="231F1F"/>
          <w:spacing w:val="-5"/>
          <w:w w:val="115"/>
        </w:rPr>
        <w:t> </w:t>
      </w:r>
      <w:r>
        <w:rPr>
          <w:color w:val="231F1F"/>
          <w:w w:val="115"/>
        </w:rPr>
        <w:t>zuclopenthixol</w:t>
      </w:r>
      <w:r>
        <w:rPr>
          <w:color w:val="231F1F"/>
          <w:spacing w:val="-6"/>
          <w:w w:val="115"/>
        </w:rPr>
        <w:t> </w:t>
      </w:r>
      <w:r>
        <w:rPr>
          <w:color w:val="231F1F"/>
          <w:w w:val="115"/>
        </w:rPr>
        <w:t>given</w:t>
      </w:r>
      <w:r>
        <w:rPr>
          <w:color w:val="231F1F"/>
          <w:spacing w:val="-5"/>
          <w:w w:val="115"/>
        </w:rPr>
        <w:t> </w:t>
      </w:r>
      <w:r>
        <w:rPr>
          <w:color w:val="231F1F"/>
          <w:w w:val="115"/>
        </w:rPr>
        <w:t>with</w:t>
      </w:r>
    </w:p>
    <w:p>
      <w:pPr>
        <w:pStyle w:val="BodyText"/>
        <w:spacing w:line="244" w:lineRule="auto"/>
        <w:ind w:left="286" w:right="103"/>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DISOPYRAMIDE</w:t>
      </w:r>
      <w:r>
        <w:rPr>
          <w:rFonts w:ascii="Arial" w:hAnsi="Arial"/>
          <w:color w:val="231F1F"/>
          <w:spacing w:val="3"/>
          <w:w w:val="110"/>
        </w:rPr>
        <w:t>—</w:t>
      </w:r>
      <w:r>
        <w:rPr>
          <w:color w:val="231F1F"/>
          <w:spacing w:val="3"/>
          <w:w w:val="110"/>
        </w:rPr>
        <w:t>avoid</w:t>
      </w:r>
      <w:r>
        <w:rPr>
          <w:color w:val="231F1F"/>
          <w:spacing w:val="-7"/>
          <w:w w:val="110"/>
        </w:rPr>
        <w:t> </w:t>
      </w:r>
      <w:r>
        <w:rPr>
          <w:color w:val="231F1F"/>
          <w:w w:val="110"/>
        </w:rPr>
        <w:t>concomitant</w:t>
      </w:r>
      <w:r>
        <w:rPr>
          <w:color w:val="231F1F"/>
          <w:spacing w:val="-6"/>
          <w:w w:val="110"/>
        </w:rPr>
        <w:t> </w:t>
      </w:r>
      <w:r>
        <w:rPr>
          <w:color w:val="231F1F"/>
          <w:w w:val="110"/>
        </w:rPr>
        <w:t>use;</w:t>
      </w:r>
      <w:r>
        <w:rPr>
          <w:color w:val="231F1F"/>
          <w:spacing w:val="-5"/>
          <w:w w:val="110"/>
        </w:rPr>
        <w:t> </w:t>
      </w:r>
      <w:r>
        <w:rPr>
          <w:color w:val="231F1F"/>
          <w:w w:val="110"/>
        </w:rPr>
        <w:t>possible</w:t>
      </w:r>
      <w:r>
        <w:rPr>
          <w:color w:val="231F1F"/>
          <w:spacing w:val="-6"/>
          <w:w w:val="110"/>
        </w:rPr>
        <w:t> </w:t>
      </w:r>
      <w:r>
        <w:rPr>
          <w:color w:val="231F1F"/>
          <w:w w:val="110"/>
        </w:rPr>
        <w:t>increased risk of ventricular arrhythmias when haloperidol given </w:t>
      </w:r>
      <w:r>
        <w:rPr>
          <w:color w:val="231F1F"/>
          <w:spacing w:val="-3"/>
          <w:w w:val="110"/>
        </w:rPr>
        <w:t>with  </w:t>
      </w:r>
      <w:r>
        <w:rPr>
          <w:rFonts w:ascii="Arial" w:hAnsi="Arial"/>
          <w:color w:val="231F1F"/>
          <w:w w:val="355"/>
          <w:position w:val="1"/>
          <w:sz w:val="7"/>
        </w:rPr>
        <w:t>l </w:t>
      </w:r>
      <w:r>
        <w:rPr>
          <w:rFonts w:ascii="Calibri" w:hAnsi="Calibri"/>
          <w:color w:val="008356"/>
          <w:spacing w:val="3"/>
          <w:w w:val="110"/>
          <w:sz w:val="11"/>
        </w:rPr>
        <w:t>DISOPYRAMIDE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phenothiazines given</w:t>
      </w:r>
      <w:r>
        <w:rPr>
          <w:color w:val="231F1F"/>
          <w:spacing w:val="14"/>
          <w:w w:val="110"/>
        </w:rPr>
        <w:t> </w:t>
      </w:r>
      <w:r>
        <w:rPr>
          <w:color w:val="231F1F"/>
          <w:w w:val="110"/>
        </w:rPr>
        <w:t>with</w:t>
      </w:r>
    </w:p>
    <w:p>
      <w:pPr>
        <w:spacing w:line="244" w:lineRule="auto" w:before="2"/>
        <w:ind w:left="286" w:right="0" w:firstLine="0"/>
        <w:jc w:val="left"/>
        <w:rPr>
          <w:rFonts w:ascii="Calibri"/>
          <w:sz w:val="11"/>
        </w:rPr>
      </w:pPr>
      <w:r>
        <w:rPr>
          <w:rFonts w:ascii="Arial"/>
          <w:color w:val="231F1F"/>
          <w:w w:val="355"/>
          <w:position w:val="1"/>
          <w:sz w:val="7"/>
        </w:rPr>
        <w:t>l </w:t>
      </w:r>
      <w:r>
        <w:rPr>
          <w:rFonts w:ascii="Calibri"/>
          <w:color w:val="008356"/>
          <w:spacing w:val="4"/>
          <w:w w:val="110"/>
          <w:sz w:val="11"/>
        </w:rPr>
        <w:t>DISOPYRAMIDE</w:t>
      </w:r>
      <w:r>
        <w:rPr>
          <w:color w:val="231F1F"/>
          <w:spacing w:val="4"/>
          <w:w w:val="110"/>
          <w:sz w:val="12"/>
        </w:rPr>
        <w:t>; </w:t>
      </w:r>
      <w:r>
        <w:rPr>
          <w:color w:val="231F1F"/>
          <w:w w:val="110"/>
          <w:sz w:val="12"/>
        </w:rPr>
        <w:t>avoidance of phenothiazines advised by manufacturer of </w:t>
      </w:r>
      <w:r>
        <w:rPr>
          <w:rFonts w:ascii="Arial"/>
          <w:color w:val="231F1F"/>
          <w:w w:val="355"/>
          <w:position w:val="1"/>
          <w:sz w:val="7"/>
        </w:rPr>
        <w:t>l </w:t>
      </w:r>
      <w:r>
        <w:rPr>
          <w:rFonts w:ascii="Calibri"/>
          <w:color w:val="008356"/>
          <w:spacing w:val="4"/>
          <w:w w:val="110"/>
          <w:sz w:val="11"/>
        </w:rPr>
        <w:t>DRONEDARONE </w:t>
      </w:r>
      <w:r>
        <w:rPr>
          <w:color w:val="231F1F"/>
          <w:w w:val="110"/>
          <w:sz w:val="12"/>
        </w:rPr>
        <w:t>(risk of ventricular arrhythmias); increased risk of arrhythmias when clozapine given with </w:t>
      </w:r>
      <w:r>
        <w:rPr>
          <w:rFonts w:ascii="Arial"/>
          <w:color w:val="231F1F"/>
          <w:w w:val="355"/>
          <w:position w:val="1"/>
          <w:sz w:val="7"/>
        </w:rPr>
        <w:t>l </w:t>
      </w:r>
      <w:r>
        <w:rPr>
          <w:rFonts w:ascii="Calibri"/>
          <w:color w:val="008356"/>
          <w:spacing w:val="5"/>
          <w:w w:val="110"/>
          <w:sz w:val="11"/>
        </w:rPr>
        <w:t>FLECAINIDE</w:t>
      </w:r>
    </w:p>
    <w:p>
      <w:pPr>
        <w:spacing w:line="242" w:lineRule="auto" w:before="0"/>
        <w:ind w:left="286" w:right="23" w:hanging="100"/>
        <w:jc w:val="left"/>
        <w:rPr>
          <w:sz w:val="12"/>
        </w:rPr>
      </w:pPr>
      <w:r>
        <w:rPr>
          <w:rFonts w:ascii="Arial" w:hAnsi="Arial"/>
          <w:color w:val="231F1F"/>
          <w:w w:val="355"/>
          <w:position w:val="1"/>
          <w:sz w:val="7"/>
        </w:rPr>
        <w:t>l </w:t>
      </w:r>
      <w:r>
        <w:rPr>
          <w:rFonts w:ascii="Calibri" w:hAnsi="Calibri"/>
          <w:color w:val="231F1F"/>
          <w:w w:val="110"/>
          <w:sz w:val="12"/>
        </w:rPr>
        <w:t>Antibacterials: </w:t>
      </w:r>
      <w:r>
        <w:rPr>
          <w:color w:val="231F1F"/>
          <w:w w:val="110"/>
          <w:sz w:val="12"/>
        </w:rPr>
        <w:t>plasma concentration of lurasidone possibly increased</w:t>
      </w:r>
      <w:r>
        <w:rPr>
          <w:color w:val="231F1F"/>
          <w:spacing w:val="-20"/>
          <w:w w:val="110"/>
          <w:sz w:val="12"/>
        </w:rPr>
        <w:t> </w:t>
      </w:r>
      <w:r>
        <w:rPr>
          <w:color w:val="231F1F"/>
          <w:w w:val="110"/>
          <w:sz w:val="12"/>
        </w:rPr>
        <w:t>by</w:t>
      </w:r>
      <w:r>
        <w:rPr>
          <w:color w:val="231F1F"/>
          <w:spacing w:val="-19"/>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CLARITHROMYCIN</w:t>
      </w:r>
      <w:r>
        <w:rPr>
          <w:rFonts w:ascii="Calibri" w:hAnsi="Calibri"/>
          <w:color w:val="008356"/>
          <w:spacing w:val="-11"/>
          <w:w w:val="110"/>
          <w:sz w:val="11"/>
        </w:rPr>
        <w:t> </w:t>
      </w:r>
      <w:r>
        <w:rPr>
          <w:color w:val="231F1F"/>
          <w:w w:val="110"/>
          <w:sz w:val="12"/>
        </w:rPr>
        <w:t>and</w:t>
      </w:r>
      <w:r>
        <w:rPr>
          <w:color w:val="231F1F"/>
          <w:spacing w:val="-19"/>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0"/>
          <w:sz w:val="11"/>
        </w:rPr>
        <w:t>TELITHROMYCIN</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of ventricular arrhythmias when</w:t>
      </w:r>
      <w:r>
        <w:rPr>
          <w:color w:val="231F1F"/>
          <w:spacing w:val="-21"/>
          <w:w w:val="110"/>
          <w:sz w:val="12"/>
        </w:rPr>
        <w:t> </w:t>
      </w:r>
      <w:r>
        <w:rPr>
          <w:color w:val="231F1F"/>
          <w:w w:val="110"/>
          <w:sz w:val="12"/>
        </w:rPr>
        <w:t>pimozide</w:t>
      </w:r>
      <w:r>
        <w:rPr>
          <w:color w:val="231F1F"/>
          <w:spacing w:val="-21"/>
          <w:w w:val="110"/>
          <w:sz w:val="12"/>
        </w:rPr>
        <w:t> </w:t>
      </w:r>
      <w:r>
        <w:rPr>
          <w:color w:val="231F1F"/>
          <w:w w:val="110"/>
          <w:sz w:val="12"/>
        </w:rPr>
        <w:t>given</w:t>
      </w:r>
      <w:r>
        <w:rPr>
          <w:color w:val="231F1F"/>
          <w:spacing w:val="-21"/>
          <w:w w:val="110"/>
          <w:sz w:val="12"/>
        </w:rPr>
        <w:t> </w:t>
      </w:r>
      <w:r>
        <w:rPr>
          <w:color w:val="231F1F"/>
          <w:w w:val="110"/>
          <w:sz w:val="12"/>
        </w:rPr>
        <w:t>with</w:t>
      </w:r>
      <w:r>
        <w:rPr>
          <w:color w:val="231F1F"/>
          <w:spacing w:val="-21"/>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0"/>
          <w:sz w:val="11"/>
        </w:rPr>
        <w:t>CLARITHROMYCIN</w:t>
      </w:r>
      <w:r>
        <w:rPr>
          <w:color w:val="231F1F"/>
          <w:spacing w:val="4"/>
          <w:w w:val="110"/>
          <w:sz w:val="12"/>
        </w:rPr>
        <w:t>,</w:t>
      </w:r>
      <w:r>
        <w:rPr>
          <w:color w:val="231F1F"/>
          <w:spacing w:val="-20"/>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0"/>
          <w:sz w:val="11"/>
        </w:rPr>
        <w:t>MOXIFLOXACIN </w:t>
      </w:r>
      <w:r>
        <w:rPr>
          <w:color w:val="231F1F"/>
          <w:w w:val="110"/>
          <w:sz w:val="12"/>
        </w:rPr>
        <w:t>or </w:t>
      </w:r>
      <w:r>
        <w:rPr>
          <w:rFonts w:ascii="Arial" w:hAnsi="Arial"/>
          <w:color w:val="231F1F"/>
          <w:w w:val="355"/>
          <w:position w:val="1"/>
          <w:sz w:val="7"/>
        </w:rPr>
        <w:t>l </w:t>
      </w:r>
      <w:r>
        <w:rPr>
          <w:rFonts w:ascii="Calibri" w:hAnsi="Calibri"/>
          <w:color w:val="008356"/>
          <w:spacing w:val="3"/>
          <w:w w:val="110"/>
          <w:sz w:val="11"/>
        </w:rPr>
        <w:t>TELITHROMYCIN</w:t>
      </w:r>
      <w:r>
        <w:rPr>
          <w:rFonts w:ascii="Arial" w:hAnsi="Arial"/>
          <w:color w:val="231F1F"/>
          <w:spacing w:val="3"/>
          <w:w w:val="110"/>
          <w:sz w:val="12"/>
        </w:rPr>
        <w:t>—</w:t>
      </w:r>
      <w:r>
        <w:rPr>
          <w:color w:val="231F1F"/>
          <w:spacing w:val="3"/>
          <w:w w:val="110"/>
          <w:sz w:val="12"/>
        </w:rPr>
        <w:t>avoid </w:t>
      </w:r>
      <w:r>
        <w:rPr>
          <w:color w:val="231F1F"/>
          <w:w w:val="110"/>
          <w:sz w:val="12"/>
        </w:rPr>
        <w:t>concomitant use; plasma concentration of quetiapine possibly increased</w:t>
      </w:r>
      <w:r>
        <w:rPr>
          <w:color w:val="231F1F"/>
          <w:spacing w:val="8"/>
          <w:w w:val="110"/>
          <w:sz w:val="12"/>
        </w:rPr>
        <w:t> </w:t>
      </w:r>
      <w:r>
        <w:rPr>
          <w:color w:val="231F1F"/>
          <w:w w:val="110"/>
          <w:sz w:val="12"/>
        </w:rPr>
        <w:t>by</w:t>
      </w:r>
    </w:p>
    <w:p>
      <w:pPr>
        <w:spacing w:before="2"/>
        <w:ind w:left="286" w:right="0" w:firstLine="0"/>
        <w:jc w:val="left"/>
        <w:rPr>
          <w:sz w:val="12"/>
        </w:rPr>
      </w:pPr>
      <w:r>
        <w:rPr>
          <w:rFonts w:ascii="Arial" w:hAnsi="Arial"/>
          <w:color w:val="231F1F"/>
          <w:w w:val="110"/>
          <w:position w:val="1"/>
          <w:sz w:val="7"/>
        </w:rPr>
        <w:t>l </w:t>
      </w:r>
      <w:r>
        <w:rPr>
          <w:rFonts w:ascii="Calibri" w:hAnsi="Calibri"/>
          <w:color w:val="008356"/>
          <w:w w:val="110"/>
          <w:sz w:val="11"/>
        </w:rPr>
        <w:t>CLARITHROMYCIN</w:t>
      </w:r>
      <w:r>
        <w:rPr>
          <w:rFonts w:ascii="Arial" w:hAnsi="Arial"/>
          <w:color w:val="231F1F"/>
          <w:w w:val="110"/>
          <w:sz w:val="12"/>
        </w:rPr>
        <w:t>—</w:t>
      </w:r>
      <w:r>
        <w:rPr>
          <w:color w:val="231F1F"/>
          <w:w w:val="110"/>
          <w:sz w:val="12"/>
        </w:rPr>
        <w:t>manufacturer of quetiapine advises avoid</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Antipsychotics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Antibacterials (continued)</w:t>
      </w:r>
    </w:p>
    <w:p>
      <w:pPr>
        <w:pStyle w:val="BodyText"/>
        <w:spacing w:line="249" w:lineRule="auto"/>
        <w:ind w:left="286" w:right="629"/>
      </w:pPr>
      <w:r>
        <w:rPr>
          <w:color w:val="231F1F"/>
          <w:w w:val="110"/>
        </w:rPr>
        <w:t>concomitant use; plasma concentration  of  lurasidone possibly</w:t>
      </w:r>
      <w:r>
        <w:rPr>
          <w:color w:val="231F1F"/>
          <w:spacing w:val="-7"/>
          <w:w w:val="110"/>
        </w:rPr>
        <w:t> </w:t>
      </w:r>
      <w:r>
        <w:rPr>
          <w:color w:val="231F1F"/>
          <w:w w:val="110"/>
        </w:rPr>
        <w:t>increased</w:t>
      </w:r>
      <w:r>
        <w:rPr>
          <w:color w:val="231F1F"/>
          <w:spacing w:val="-7"/>
          <w:w w:val="110"/>
        </w:rPr>
        <w:t> </w:t>
      </w:r>
      <w:r>
        <w:rPr>
          <w:color w:val="231F1F"/>
          <w:w w:val="110"/>
        </w:rPr>
        <w:t>by</w:t>
      </w:r>
      <w:r>
        <w:rPr>
          <w:color w:val="231F1F"/>
          <w:spacing w:val="-7"/>
          <w:w w:val="110"/>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ERYTHROMYCIN</w:t>
      </w:r>
      <w:r>
        <w:rPr>
          <w:rFonts w:ascii="Calibri"/>
          <w:color w:val="008356"/>
          <w:spacing w:val="5"/>
          <w:w w:val="110"/>
          <w:sz w:val="11"/>
        </w:rPr>
        <w:t> </w:t>
      </w:r>
      <w:r>
        <w:rPr>
          <w:color w:val="231F1F"/>
          <w:w w:val="110"/>
        </w:rPr>
        <w:t>(see</w:t>
      </w:r>
      <w:r>
        <w:rPr>
          <w:color w:val="231F1F"/>
          <w:spacing w:val="-7"/>
          <w:w w:val="110"/>
        </w:rPr>
        <w:t> </w:t>
      </w:r>
      <w:r>
        <w:rPr>
          <w:color w:val="231F1F"/>
          <w:w w:val="110"/>
        </w:rPr>
        <w:t>under</w:t>
      </w:r>
      <w:r>
        <w:rPr>
          <w:color w:val="231F1F"/>
          <w:spacing w:val="-6"/>
          <w:w w:val="110"/>
        </w:rPr>
        <w:t> </w:t>
      </w:r>
      <w:r>
        <w:rPr>
          <w:color w:val="231F1F"/>
          <w:w w:val="110"/>
        </w:rPr>
        <w:t>Lurasidone,</w:t>
      </w:r>
    </w:p>
    <w:p>
      <w:pPr>
        <w:pStyle w:val="BodyText"/>
        <w:spacing w:line="247" w:lineRule="auto"/>
        <w:ind w:left="286" w:right="624"/>
      </w:pPr>
      <w:r>
        <w:rPr>
          <w:color w:val="231F1F"/>
          <w:w w:val="110"/>
        </w:rPr>
        <w:t>p. 315); increased risk of ventricular arrhythmias when amisulpride given with </w:t>
      </w: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rPr>
        <w:t>—</w:t>
      </w:r>
      <w:r>
        <w:rPr>
          <w:color w:val="231F1F"/>
          <w:w w:val="110"/>
        </w:rPr>
        <w:t>avoid concomitant use;  plasma concentration of  clozapine possibly increased by</w:t>
      </w:r>
      <w:r>
        <w:rPr>
          <w:color w:val="231F1F"/>
          <w:w w:val="110"/>
          <w:position w:val="1"/>
        </w:rPr>
        <w:t> </w:t>
      </w:r>
      <w:r>
        <w:rPr>
          <w:rFonts w:ascii="Arial" w:hAnsi="Arial"/>
          <w:color w:val="231F1F"/>
          <w:w w:val="355"/>
          <w:position w:val="1"/>
          <w:sz w:val="7"/>
        </w:rPr>
        <w:t>l </w:t>
      </w:r>
      <w:r>
        <w:rPr>
          <w:rFonts w:ascii="Calibri" w:hAnsi="Calibri"/>
          <w:color w:val="008356"/>
          <w:w w:val="110"/>
          <w:sz w:val="11"/>
        </w:rPr>
        <w:t>ERYTHROMYCIN </w:t>
      </w:r>
      <w:r>
        <w:rPr>
          <w:color w:val="231F1F"/>
          <w:w w:val="110"/>
        </w:rPr>
        <w:t>(possible increased risk of convulsions); possible increased risk of ventricular arrhythmias when pimozide given with </w:t>
      </w: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rPr>
        <w:t>—</w:t>
      </w:r>
      <w:r>
        <w:rPr>
          <w:color w:val="231F1F"/>
          <w:w w:val="110"/>
        </w:rPr>
        <w:t>avoid concomitant use; plasma concentration of quetiapine increased by</w:t>
      </w:r>
    </w:p>
    <w:p>
      <w:pPr>
        <w:pStyle w:val="BodyText"/>
        <w:spacing w:line="244" w:lineRule="auto"/>
        <w:ind w:left="286" w:right="633"/>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ERYTHROMYCIN</w:t>
      </w:r>
      <w:r>
        <w:rPr>
          <w:rFonts w:ascii="Arial" w:hAnsi="Arial"/>
          <w:color w:val="231F1F"/>
          <w:spacing w:val="2"/>
          <w:w w:val="115"/>
        </w:rPr>
        <w:t>—</w:t>
      </w:r>
      <w:r>
        <w:rPr>
          <w:color w:val="231F1F"/>
          <w:spacing w:val="2"/>
          <w:w w:val="115"/>
        </w:rPr>
        <w:t>manufacturer</w:t>
      </w:r>
      <w:r>
        <w:rPr>
          <w:color w:val="231F1F"/>
          <w:spacing w:val="-23"/>
          <w:w w:val="115"/>
        </w:rPr>
        <w:t> </w:t>
      </w:r>
      <w:r>
        <w:rPr>
          <w:color w:val="231F1F"/>
          <w:w w:val="115"/>
        </w:rPr>
        <w:t>of</w:t>
      </w:r>
      <w:r>
        <w:rPr>
          <w:color w:val="231F1F"/>
          <w:spacing w:val="-22"/>
          <w:w w:val="115"/>
        </w:rPr>
        <w:t> </w:t>
      </w:r>
      <w:r>
        <w:rPr>
          <w:color w:val="231F1F"/>
          <w:w w:val="115"/>
        </w:rPr>
        <w:t>quetiapine</w:t>
      </w:r>
      <w:r>
        <w:rPr>
          <w:color w:val="231F1F"/>
          <w:spacing w:val="-23"/>
          <w:w w:val="115"/>
        </w:rPr>
        <w:t> </w:t>
      </w:r>
      <w:r>
        <w:rPr>
          <w:color w:val="231F1F"/>
          <w:w w:val="115"/>
        </w:rPr>
        <w:t>advises</w:t>
      </w:r>
      <w:r>
        <w:rPr>
          <w:color w:val="231F1F"/>
          <w:spacing w:val="-23"/>
          <w:w w:val="115"/>
        </w:rPr>
        <w:t> </w:t>
      </w:r>
      <w:r>
        <w:rPr>
          <w:color w:val="231F1F"/>
          <w:w w:val="115"/>
        </w:rPr>
        <w:t>avoid concomitant use; increased risk of ventricular arrhythmias when sulpiride given with </w:t>
      </w:r>
      <w:r>
        <w:rPr>
          <w:i/>
          <w:color w:val="231F1F"/>
          <w:w w:val="115"/>
        </w:rPr>
        <w:t>parenteral </w:t>
      </w:r>
      <w:r>
        <w:rPr>
          <w:rFonts w:ascii="Arial" w:hAnsi="Arial"/>
          <w:color w:val="231F1F"/>
          <w:w w:val="355"/>
          <w:position w:val="1"/>
          <w:sz w:val="7"/>
        </w:rPr>
        <w:t>l </w:t>
      </w:r>
      <w:r>
        <w:rPr>
          <w:rFonts w:ascii="Calibri" w:hAnsi="Calibri"/>
          <w:color w:val="008356"/>
          <w:spacing w:val="4"/>
          <w:w w:val="115"/>
          <w:sz w:val="11"/>
        </w:rPr>
        <w:t>ERYTHROMYCIN</w:t>
      </w:r>
      <w:r>
        <w:rPr>
          <w:color w:val="231F1F"/>
          <w:spacing w:val="4"/>
          <w:w w:val="115"/>
        </w:rPr>
        <w:t>; </w:t>
      </w:r>
      <w:r>
        <w:rPr>
          <w:color w:val="231F1F"/>
          <w:w w:val="115"/>
        </w:rPr>
        <w:t>increased risk of ventricular arrhythmias when </w:t>
      </w:r>
      <w:r>
        <w:rPr>
          <w:color w:val="231F1F"/>
          <w:w w:val="110"/>
        </w:rPr>
        <w:t>zuclopenthixol</w:t>
      </w:r>
      <w:r>
        <w:rPr>
          <w:color w:val="231F1F"/>
          <w:spacing w:val="-10"/>
          <w:w w:val="110"/>
        </w:rPr>
        <w:t> </w:t>
      </w:r>
      <w:r>
        <w:rPr>
          <w:color w:val="231F1F"/>
          <w:w w:val="110"/>
        </w:rPr>
        <w:t>given</w:t>
      </w:r>
      <w:r>
        <w:rPr>
          <w:color w:val="231F1F"/>
          <w:spacing w:val="-8"/>
          <w:w w:val="110"/>
        </w:rPr>
        <w:t> </w:t>
      </w:r>
      <w:r>
        <w:rPr>
          <w:color w:val="231F1F"/>
          <w:w w:val="110"/>
        </w:rPr>
        <w:t>with</w:t>
      </w:r>
      <w:r>
        <w:rPr>
          <w:color w:val="231F1F"/>
          <w:spacing w:val="-9"/>
          <w:w w:val="110"/>
        </w:rPr>
        <w:t> </w:t>
      </w:r>
      <w:r>
        <w:rPr>
          <w:i/>
          <w:color w:val="231F1F"/>
          <w:w w:val="110"/>
        </w:rPr>
        <w:t>parenteral</w:t>
      </w:r>
      <w:r>
        <w:rPr>
          <w:i/>
          <w:color w:val="231F1F"/>
          <w:spacing w:val="-8"/>
          <w:w w:val="110"/>
        </w:rPr>
        <w:t> </w:t>
      </w:r>
      <w:r>
        <w:rPr>
          <w:rFonts w:ascii="Arial" w:hAnsi="Arial"/>
          <w:color w:val="231F1F"/>
          <w:w w:val="110"/>
          <w:position w:val="1"/>
          <w:sz w:val="7"/>
        </w:rPr>
        <w:t>l</w:t>
      </w:r>
      <w:r>
        <w:rPr>
          <w:rFonts w:ascii="Arial" w:hAnsi="Arial"/>
          <w:color w:val="231F1F"/>
          <w:spacing w:val="1"/>
          <w:w w:val="110"/>
          <w:position w:val="1"/>
          <w:sz w:val="7"/>
        </w:rPr>
        <w:t>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5"/>
        </w:rPr>
        <w:t>concomitant use; plasma concentration of clozapine increased by </w:t>
      </w:r>
      <w:r>
        <w:rPr>
          <w:rFonts w:ascii="Calibri" w:hAnsi="Calibri"/>
          <w:color w:val="008356"/>
          <w:spacing w:val="4"/>
          <w:w w:val="115"/>
          <w:sz w:val="11"/>
        </w:rPr>
        <w:t>CIPROFLOXACIN</w:t>
      </w:r>
      <w:r>
        <w:rPr>
          <w:color w:val="231F1F"/>
          <w:spacing w:val="4"/>
          <w:w w:val="115"/>
        </w:rPr>
        <w:t>; </w:t>
      </w:r>
      <w:r>
        <w:rPr>
          <w:color w:val="231F1F"/>
          <w:w w:val="115"/>
        </w:rPr>
        <w:t>plasma concentration of olanzapine</w:t>
      </w:r>
      <w:r>
        <w:rPr>
          <w:color w:val="231F1F"/>
          <w:spacing w:val="-19"/>
          <w:w w:val="115"/>
        </w:rPr>
        <w:t> </w:t>
      </w:r>
      <w:r>
        <w:rPr>
          <w:color w:val="231F1F"/>
          <w:w w:val="115"/>
        </w:rPr>
        <w:t>possibly</w:t>
      </w:r>
      <w:r>
        <w:rPr>
          <w:color w:val="231F1F"/>
          <w:spacing w:val="-18"/>
          <w:w w:val="115"/>
        </w:rPr>
        <w:t> </w:t>
      </w:r>
      <w:r>
        <w:rPr>
          <w:color w:val="231F1F"/>
          <w:w w:val="115"/>
        </w:rPr>
        <w:t>increased</w:t>
      </w:r>
      <w:r>
        <w:rPr>
          <w:color w:val="231F1F"/>
          <w:spacing w:val="-19"/>
          <w:w w:val="115"/>
        </w:rPr>
        <w:t> </w:t>
      </w:r>
      <w:r>
        <w:rPr>
          <w:color w:val="231F1F"/>
          <w:w w:val="115"/>
        </w:rPr>
        <w:t>by</w:t>
      </w:r>
      <w:r>
        <w:rPr>
          <w:color w:val="231F1F"/>
          <w:spacing w:val="-18"/>
          <w:w w:val="115"/>
        </w:rPr>
        <w:t> </w:t>
      </w:r>
      <w:r>
        <w:rPr>
          <w:rFonts w:ascii="Calibri" w:hAnsi="Calibri"/>
          <w:color w:val="008356"/>
          <w:spacing w:val="4"/>
          <w:w w:val="115"/>
          <w:sz w:val="11"/>
        </w:rPr>
        <w:t>CIPROFLOXACIN</w:t>
      </w:r>
      <w:r>
        <w:rPr>
          <w:color w:val="231F1F"/>
          <w:spacing w:val="4"/>
          <w:w w:val="115"/>
        </w:rPr>
        <w:t>;</w:t>
      </w:r>
      <w:r>
        <w:rPr>
          <w:color w:val="231F1F"/>
          <w:spacing w:val="-19"/>
          <w:w w:val="115"/>
        </w:rPr>
        <w:t> </w:t>
      </w:r>
      <w:r>
        <w:rPr>
          <w:color w:val="231F1F"/>
          <w:w w:val="115"/>
        </w:rPr>
        <w:t>increased risk</w:t>
      </w:r>
      <w:r>
        <w:rPr>
          <w:color w:val="231F1F"/>
          <w:spacing w:val="-6"/>
          <w:w w:val="115"/>
        </w:rPr>
        <w:t> </w:t>
      </w:r>
      <w:r>
        <w:rPr>
          <w:color w:val="231F1F"/>
          <w:w w:val="115"/>
        </w:rPr>
        <w:t>of</w:t>
      </w:r>
      <w:r>
        <w:rPr>
          <w:color w:val="231F1F"/>
          <w:spacing w:val="-6"/>
          <w:w w:val="115"/>
        </w:rPr>
        <w:t> </w:t>
      </w:r>
      <w:r>
        <w:rPr>
          <w:color w:val="231F1F"/>
          <w:w w:val="115"/>
        </w:rPr>
        <w:t>ventricular</w:t>
      </w:r>
      <w:r>
        <w:rPr>
          <w:color w:val="231F1F"/>
          <w:spacing w:val="-6"/>
          <w:w w:val="115"/>
        </w:rPr>
        <w:t> </w:t>
      </w:r>
      <w:r>
        <w:rPr>
          <w:color w:val="231F1F"/>
          <w:w w:val="115"/>
        </w:rPr>
        <w:t>arrhythmias</w:t>
      </w:r>
      <w:r>
        <w:rPr>
          <w:color w:val="231F1F"/>
          <w:spacing w:val="-8"/>
          <w:w w:val="115"/>
        </w:rPr>
        <w:t> </w:t>
      </w:r>
      <w:r>
        <w:rPr>
          <w:color w:val="231F1F"/>
          <w:w w:val="115"/>
        </w:rPr>
        <w:t>when</w:t>
      </w:r>
      <w:r>
        <w:rPr>
          <w:color w:val="231F1F"/>
          <w:spacing w:val="-7"/>
          <w:w w:val="115"/>
        </w:rPr>
        <w:t> </w:t>
      </w:r>
      <w:r>
        <w:rPr>
          <w:color w:val="231F1F"/>
          <w:w w:val="115"/>
        </w:rPr>
        <w:t>droperidol,</w:t>
      </w:r>
      <w:r>
        <w:rPr>
          <w:color w:val="231F1F"/>
          <w:spacing w:val="-6"/>
          <w:w w:val="115"/>
        </w:rPr>
        <w:t> </w:t>
      </w:r>
      <w:r>
        <w:rPr>
          <w:color w:val="231F1F"/>
          <w:spacing w:val="-2"/>
          <w:w w:val="115"/>
        </w:rPr>
        <w:t>haloperidol, </w:t>
      </w:r>
      <w:r>
        <w:rPr>
          <w:color w:val="231F1F"/>
          <w:w w:val="115"/>
        </w:rPr>
        <w:t>phenothiazines or zuclopenthixol given</w:t>
      </w:r>
      <w:r>
        <w:rPr>
          <w:color w:val="231F1F"/>
          <w:spacing w:val="-15"/>
          <w:w w:val="115"/>
        </w:rPr>
        <w:t> </w:t>
      </w:r>
      <w:r>
        <w:rPr>
          <w:color w:val="231F1F"/>
          <w:w w:val="115"/>
        </w:rPr>
        <w:t>with</w:t>
      </w:r>
    </w:p>
    <w:p>
      <w:pPr>
        <w:pStyle w:val="BodyText"/>
        <w:spacing w:line="244" w:lineRule="auto" w:before="1"/>
        <w:ind w:left="286" w:right="670" w:hanging="1"/>
      </w:pP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w:t>
      </w:r>
      <w:r>
        <w:rPr>
          <w:color w:val="231F1F"/>
          <w:w w:val="110"/>
        </w:rPr>
        <w:t>avoid concomitant use; increased risk of ventricular arrhythmias when benperidol given with</w:t>
      </w:r>
    </w:p>
    <w:p>
      <w:pPr>
        <w:pStyle w:val="BodyText"/>
        <w:spacing w:line="244" w:lineRule="auto" w:before="1"/>
        <w:ind w:left="286" w:right="57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MOXIFLOXACIN</w:t>
      </w:r>
      <w:r>
        <w:rPr>
          <w:rFonts w:ascii="Arial" w:hAnsi="Arial"/>
          <w:color w:val="231F1F"/>
          <w:spacing w:val="2"/>
          <w:w w:val="115"/>
        </w:rPr>
        <w:t>—</w:t>
      </w:r>
      <w:r>
        <w:rPr>
          <w:color w:val="231F1F"/>
          <w:spacing w:val="2"/>
          <w:w w:val="115"/>
        </w:rPr>
        <w:t>manufacturer</w:t>
      </w:r>
      <w:r>
        <w:rPr>
          <w:color w:val="231F1F"/>
          <w:spacing w:val="-20"/>
          <w:w w:val="115"/>
        </w:rPr>
        <w:t> </w:t>
      </w:r>
      <w:r>
        <w:rPr>
          <w:color w:val="231F1F"/>
          <w:w w:val="115"/>
        </w:rPr>
        <w:t>of</w:t>
      </w:r>
      <w:r>
        <w:rPr>
          <w:color w:val="231F1F"/>
          <w:spacing w:val="-19"/>
          <w:w w:val="115"/>
        </w:rPr>
        <w:t> </w:t>
      </w:r>
      <w:r>
        <w:rPr>
          <w:color w:val="231F1F"/>
          <w:w w:val="115"/>
        </w:rPr>
        <w:t>benperidol</w:t>
      </w:r>
      <w:r>
        <w:rPr>
          <w:color w:val="231F1F"/>
          <w:spacing w:val="-21"/>
          <w:w w:val="115"/>
        </w:rPr>
        <w:t> </w:t>
      </w:r>
      <w:r>
        <w:rPr>
          <w:color w:val="231F1F"/>
          <w:w w:val="115"/>
        </w:rPr>
        <w:t>advises</w:t>
      </w:r>
      <w:r>
        <w:rPr>
          <w:color w:val="231F1F"/>
          <w:spacing w:val="-19"/>
          <w:w w:val="115"/>
        </w:rPr>
        <w:t> </w:t>
      </w:r>
      <w:r>
        <w:rPr>
          <w:color w:val="231F1F"/>
          <w:w w:val="115"/>
        </w:rPr>
        <w:t>avoid concomitant use; plasma concentration of aripiprazole possibly reduced by </w:t>
      </w:r>
      <w:r>
        <w:rPr>
          <w:rFonts w:ascii="Arial" w:hAnsi="Arial"/>
          <w:color w:val="231F1F"/>
          <w:w w:val="355"/>
          <w:position w:val="1"/>
          <w:sz w:val="7"/>
        </w:rPr>
        <w:t>l </w:t>
      </w:r>
      <w:r>
        <w:rPr>
          <w:rFonts w:ascii="Calibri" w:hAnsi="Calibri"/>
          <w:color w:val="008356"/>
          <w:spacing w:val="4"/>
          <w:w w:val="115"/>
          <w:sz w:val="11"/>
        </w:rPr>
        <w:t>RIFABUTIN </w:t>
      </w:r>
      <w:r>
        <w:rPr>
          <w:color w:val="231F1F"/>
          <w:w w:val="115"/>
        </w:rPr>
        <w:t>and </w:t>
      </w:r>
      <w:r>
        <w:rPr>
          <w:rFonts w:ascii="Arial" w:hAnsi="Arial"/>
          <w:color w:val="231F1F"/>
          <w:w w:val="355"/>
          <w:position w:val="1"/>
          <w:sz w:val="7"/>
        </w:rPr>
        <w:t>l </w:t>
      </w:r>
      <w:r>
        <w:rPr>
          <w:rFonts w:ascii="Calibri" w:hAnsi="Calibri"/>
          <w:color w:val="008356"/>
          <w:spacing w:val="4"/>
          <w:w w:val="115"/>
          <w:sz w:val="11"/>
        </w:rPr>
        <w:t>RIFAMPICIN </w:t>
      </w:r>
      <w:r>
        <w:rPr>
          <w:color w:val="231F1F"/>
          <w:w w:val="115"/>
        </w:rPr>
        <w:t>(avoid concomitant use or consider increasing </w:t>
      </w:r>
      <w:r>
        <w:rPr>
          <w:color w:val="231F1F"/>
          <w:w w:val="135"/>
        </w:rPr>
        <w:t>the </w:t>
      </w:r>
      <w:r>
        <w:rPr>
          <w:color w:val="231F1F"/>
          <w:w w:val="115"/>
        </w:rPr>
        <w:t>dose of aripiprazole</w:t>
      </w:r>
      <w:r>
        <w:rPr>
          <w:rFonts w:ascii="Arial" w:hAnsi="Arial"/>
          <w:color w:val="231F1F"/>
          <w:w w:val="115"/>
        </w:rPr>
        <w:t>—</w:t>
      </w:r>
      <w:r>
        <w:rPr>
          <w:color w:val="231F1F"/>
          <w:w w:val="115"/>
        </w:rPr>
        <w:t>consult</w:t>
      </w:r>
      <w:r>
        <w:rPr>
          <w:color w:val="231F1F"/>
          <w:spacing w:val="-11"/>
          <w:w w:val="115"/>
        </w:rPr>
        <w:t> </w:t>
      </w:r>
      <w:r>
        <w:rPr>
          <w:color w:val="231F1F"/>
          <w:w w:val="115"/>
        </w:rPr>
        <w:t>aripiprazole</w:t>
      </w:r>
      <w:r>
        <w:rPr>
          <w:color w:val="231F1F"/>
          <w:spacing w:val="-12"/>
          <w:w w:val="115"/>
        </w:rPr>
        <w:t> </w:t>
      </w:r>
      <w:r>
        <w:rPr>
          <w:color w:val="231F1F"/>
          <w:w w:val="115"/>
        </w:rPr>
        <w:t>product</w:t>
      </w:r>
      <w:r>
        <w:rPr>
          <w:color w:val="231F1F"/>
          <w:spacing w:val="-10"/>
          <w:w w:val="115"/>
        </w:rPr>
        <w:t> </w:t>
      </w:r>
      <w:r>
        <w:rPr>
          <w:color w:val="231F1F"/>
          <w:w w:val="115"/>
        </w:rPr>
        <w:t>literature);</w:t>
      </w:r>
      <w:r>
        <w:rPr>
          <w:color w:val="231F1F"/>
          <w:spacing w:val="-11"/>
          <w:w w:val="115"/>
        </w:rPr>
        <w:t> </w:t>
      </w:r>
      <w:r>
        <w:rPr>
          <w:color w:val="231F1F"/>
          <w:w w:val="115"/>
        </w:rPr>
        <w:t>plasma concentration</w:t>
      </w:r>
      <w:r>
        <w:rPr>
          <w:color w:val="231F1F"/>
          <w:spacing w:val="-16"/>
          <w:w w:val="115"/>
        </w:rPr>
        <w:t> </w:t>
      </w:r>
      <w:r>
        <w:rPr>
          <w:color w:val="231F1F"/>
          <w:w w:val="115"/>
        </w:rPr>
        <w:t>of</w:t>
      </w:r>
      <w:r>
        <w:rPr>
          <w:color w:val="231F1F"/>
          <w:spacing w:val="-15"/>
          <w:w w:val="115"/>
        </w:rPr>
        <w:t> </w:t>
      </w:r>
      <w:r>
        <w:rPr>
          <w:color w:val="231F1F"/>
          <w:w w:val="115"/>
        </w:rPr>
        <w:t>lurasidone</w:t>
      </w:r>
      <w:r>
        <w:rPr>
          <w:color w:val="231F1F"/>
          <w:spacing w:val="-16"/>
          <w:w w:val="115"/>
        </w:rPr>
        <w:t> </w:t>
      </w:r>
      <w:r>
        <w:rPr>
          <w:color w:val="231F1F"/>
          <w:w w:val="115"/>
        </w:rPr>
        <w:t>reduced</w:t>
      </w:r>
      <w:r>
        <w:rPr>
          <w:color w:val="231F1F"/>
          <w:spacing w:val="-15"/>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RIFAMPICIN</w:t>
      </w:r>
      <w:r>
        <w:rPr>
          <w:rFonts w:ascii="Arial" w:hAnsi="Arial"/>
          <w:color w:val="231F1F"/>
          <w:spacing w:val="2"/>
          <w:w w:val="115"/>
        </w:rPr>
        <w:t>—</w:t>
      </w:r>
      <w:r>
        <w:rPr>
          <w:color w:val="231F1F"/>
          <w:spacing w:val="2"/>
          <w:w w:val="115"/>
        </w:rPr>
        <w:t>avoid </w:t>
      </w:r>
      <w:r>
        <w:rPr>
          <w:color w:val="231F1F"/>
          <w:w w:val="115"/>
        </w:rPr>
        <w:t>concomitant use; plasma concentration of clozapine possibly reduced</w:t>
      </w:r>
      <w:r>
        <w:rPr>
          <w:color w:val="231F1F"/>
          <w:spacing w:val="-24"/>
          <w:w w:val="115"/>
        </w:rPr>
        <w:t> </w:t>
      </w:r>
      <w:r>
        <w:rPr>
          <w:color w:val="231F1F"/>
          <w:w w:val="115"/>
        </w:rPr>
        <w:t>by</w:t>
      </w:r>
      <w:r>
        <w:rPr>
          <w:color w:val="231F1F"/>
          <w:spacing w:val="-22"/>
          <w:w w:val="115"/>
        </w:rPr>
        <w:t> </w:t>
      </w:r>
      <w:r>
        <w:rPr>
          <w:rFonts w:ascii="Calibri" w:hAnsi="Calibri"/>
          <w:color w:val="008356"/>
          <w:spacing w:val="4"/>
          <w:w w:val="115"/>
          <w:sz w:val="11"/>
        </w:rPr>
        <w:t>RIFAMPICIN</w:t>
      </w:r>
      <w:r>
        <w:rPr>
          <w:color w:val="231F1F"/>
          <w:spacing w:val="4"/>
          <w:w w:val="115"/>
        </w:rPr>
        <w:t>;</w:t>
      </w:r>
      <w:r>
        <w:rPr>
          <w:color w:val="231F1F"/>
          <w:spacing w:val="-23"/>
          <w:w w:val="115"/>
        </w:rPr>
        <w:t> </w:t>
      </w:r>
      <w:r>
        <w:rPr>
          <w:color w:val="231F1F"/>
          <w:w w:val="115"/>
        </w:rPr>
        <w:t>metabolism</w:t>
      </w:r>
      <w:r>
        <w:rPr>
          <w:color w:val="231F1F"/>
          <w:spacing w:val="-23"/>
          <w:w w:val="115"/>
        </w:rPr>
        <w:t> </w:t>
      </w:r>
      <w:r>
        <w:rPr>
          <w:color w:val="231F1F"/>
          <w:w w:val="115"/>
        </w:rPr>
        <w:t>of</w:t>
      </w:r>
      <w:r>
        <w:rPr>
          <w:color w:val="231F1F"/>
          <w:spacing w:val="-23"/>
          <w:w w:val="115"/>
        </w:rPr>
        <w:t> </w:t>
      </w:r>
      <w:r>
        <w:rPr>
          <w:color w:val="231F1F"/>
          <w:w w:val="115"/>
        </w:rPr>
        <w:t>haloperidol</w:t>
      </w:r>
      <w:r>
        <w:rPr>
          <w:color w:val="231F1F"/>
          <w:spacing w:val="-23"/>
          <w:w w:val="115"/>
        </w:rPr>
        <w:t> </w:t>
      </w:r>
      <w:r>
        <w:rPr>
          <w:color w:val="231F1F"/>
          <w:w w:val="115"/>
        </w:rPr>
        <w:t>accelerated by </w:t>
      </w:r>
      <w:r>
        <w:rPr>
          <w:rFonts w:ascii="Arial" w:hAnsi="Arial"/>
          <w:color w:val="231F1F"/>
          <w:w w:val="355"/>
          <w:position w:val="1"/>
          <w:sz w:val="7"/>
        </w:rPr>
        <w:t>l </w:t>
      </w:r>
      <w:r>
        <w:rPr>
          <w:rFonts w:ascii="Calibri" w:hAnsi="Calibri"/>
          <w:color w:val="008356"/>
          <w:spacing w:val="4"/>
          <w:w w:val="115"/>
          <w:sz w:val="11"/>
        </w:rPr>
        <w:t>RIFAMPICIN </w:t>
      </w:r>
      <w:r>
        <w:rPr>
          <w:color w:val="231F1F"/>
          <w:w w:val="115"/>
        </w:rPr>
        <w:t>(reduced plasma concentration); avoid concomitant</w:t>
      </w:r>
      <w:r>
        <w:rPr>
          <w:color w:val="231F1F"/>
          <w:spacing w:val="-15"/>
          <w:w w:val="115"/>
        </w:rPr>
        <w:t> </w:t>
      </w:r>
      <w:r>
        <w:rPr>
          <w:color w:val="231F1F"/>
          <w:w w:val="115"/>
        </w:rPr>
        <w:t>use</w:t>
      </w:r>
      <w:r>
        <w:rPr>
          <w:color w:val="231F1F"/>
          <w:spacing w:val="-13"/>
          <w:w w:val="115"/>
        </w:rPr>
        <w:t> </w:t>
      </w:r>
      <w:r>
        <w:rPr>
          <w:color w:val="231F1F"/>
          <w:w w:val="115"/>
        </w:rPr>
        <w:t>of</w:t>
      </w:r>
      <w:r>
        <w:rPr>
          <w:color w:val="231F1F"/>
          <w:spacing w:val="-14"/>
          <w:w w:val="115"/>
        </w:rPr>
        <w:t> </w:t>
      </w:r>
      <w:r>
        <w:rPr>
          <w:color w:val="231F1F"/>
          <w:w w:val="115"/>
        </w:rPr>
        <w:t>clozapine</w:t>
      </w:r>
      <w:r>
        <w:rPr>
          <w:color w:val="231F1F"/>
          <w:spacing w:val="-14"/>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CHLORAMPHENICOL</w:t>
      </w:r>
      <w:r>
        <w:rPr>
          <w:rFonts w:ascii="Calibri" w:hAnsi="Calibri"/>
          <w:color w:val="008356"/>
          <w:spacing w:val="-4"/>
          <w:w w:val="115"/>
          <w:sz w:val="11"/>
        </w:rPr>
        <w:t> </w:t>
      </w:r>
      <w:r>
        <w:rPr>
          <w:color w:val="231F1F"/>
          <w:w w:val="115"/>
        </w:rPr>
        <w:t>or</w:t>
      </w:r>
    </w:p>
    <w:p>
      <w:pPr>
        <w:pStyle w:val="BodyText"/>
        <w:spacing w:line="244" w:lineRule="auto" w:before="5"/>
        <w:ind w:left="286" w:right="610"/>
      </w:pP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SULFONAMIDES</w:t>
      </w:r>
      <w:r>
        <w:rPr>
          <w:rFonts w:ascii="Calibri"/>
          <w:color w:val="008356"/>
          <w:spacing w:val="5"/>
          <w:w w:val="110"/>
          <w:sz w:val="11"/>
        </w:rPr>
        <w:t> </w:t>
      </w:r>
      <w:r>
        <w:rPr>
          <w:color w:val="231F1F"/>
          <w:w w:val="110"/>
        </w:rPr>
        <w:t>(increased</w:t>
      </w:r>
      <w:r>
        <w:rPr>
          <w:color w:val="231F1F"/>
          <w:spacing w:val="-5"/>
          <w:w w:val="110"/>
        </w:rPr>
        <w:t> </w:t>
      </w:r>
      <w:r>
        <w:rPr>
          <w:color w:val="231F1F"/>
          <w:w w:val="110"/>
        </w:rPr>
        <w:t>risk</w:t>
      </w:r>
      <w:r>
        <w:rPr>
          <w:color w:val="231F1F"/>
          <w:spacing w:val="-6"/>
          <w:w w:val="110"/>
        </w:rPr>
        <w:t> </w:t>
      </w:r>
      <w:r>
        <w:rPr>
          <w:color w:val="231F1F"/>
          <w:w w:val="110"/>
        </w:rPr>
        <w:t>of</w:t>
      </w:r>
      <w:r>
        <w:rPr>
          <w:color w:val="231F1F"/>
          <w:spacing w:val="-5"/>
          <w:w w:val="110"/>
        </w:rPr>
        <w:t> </w:t>
      </w:r>
      <w:r>
        <w:rPr>
          <w:color w:val="231F1F"/>
          <w:w w:val="110"/>
        </w:rPr>
        <w:t>agranulocytosis);</w:t>
      </w:r>
      <w:r>
        <w:rPr>
          <w:color w:val="231F1F"/>
          <w:spacing w:val="-6"/>
          <w:w w:val="110"/>
        </w:rPr>
        <w:t> </w:t>
      </w:r>
      <w:r>
        <w:rPr>
          <w:color w:val="231F1F"/>
          <w:w w:val="110"/>
        </w:rPr>
        <w:t>increased risk of ventricular arrhythmias when droperidol,  haloperidol or pimozide given with </w:t>
      </w:r>
      <w:r>
        <w:rPr>
          <w:rFonts w:ascii="Arial"/>
          <w:color w:val="231F1F"/>
          <w:w w:val="355"/>
          <w:position w:val="1"/>
          <w:sz w:val="7"/>
        </w:rPr>
        <w:t>l </w:t>
      </w:r>
      <w:r>
        <w:rPr>
          <w:rFonts w:ascii="Calibri"/>
          <w:color w:val="008356"/>
          <w:spacing w:val="4"/>
          <w:w w:val="110"/>
          <w:sz w:val="11"/>
        </w:rPr>
        <w:t>DELAMANID</w:t>
      </w:r>
      <w:r>
        <w:rPr>
          <w:color w:val="231F1F"/>
          <w:spacing w:val="4"/>
          <w:w w:val="110"/>
        </w:rPr>
        <w:t>; </w:t>
      </w:r>
      <w:r>
        <w:rPr>
          <w:color w:val="231F1F"/>
          <w:w w:val="110"/>
        </w:rPr>
        <w:t>increased risk of ventricular arrhythmias when phenothiazines  </w:t>
      </w:r>
      <w:r>
        <w:rPr>
          <w:color w:val="231F1F"/>
          <w:w w:val="130"/>
        </w:rPr>
        <w:t>that  </w:t>
      </w:r>
      <w:r>
        <w:rPr>
          <w:color w:val="231F1F"/>
          <w:w w:val="110"/>
        </w:rPr>
        <w:t>prolong the QT interval given with </w:t>
      </w:r>
      <w:r>
        <w:rPr>
          <w:rFonts w:ascii="Arial"/>
          <w:color w:val="231F1F"/>
          <w:w w:val="355"/>
          <w:position w:val="1"/>
          <w:sz w:val="7"/>
        </w:rPr>
        <w:t>l </w:t>
      </w:r>
      <w:r>
        <w:rPr>
          <w:rFonts w:ascii="Calibri"/>
          <w:color w:val="008356"/>
          <w:spacing w:val="4"/>
          <w:w w:val="110"/>
          <w:sz w:val="11"/>
        </w:rPr>
        <w:t>DELAMANID</w:t>
      </w:r>
      <w:r>
        <w:rPr>
          <w:color w:val="231F1F"/>
          <w:spacing w:val="4"/>
          <w:w w:val="110"/>
        </w:rPr>
        <w:t>; </w:t>
      </w:r>
      <w:r>
        <w:rPr>
          <w:color w:val="231F1F"/>
          <w:w w:val="110"/>
        </w:rPr>
        <w:t>manufacturer of droperidol advises avoid concomitant use with </w:t>
      </w:r>
      <w:r>
        <w:rPr>
          <w:rFonts w:ascii="Arial"/>
          <w:color w:val="231F1F"/>
          <w:w w:val="355"/>
          <w:position w:val="1"/>
          <w:sz w:val="7"/>
        </w:rPr>
        <w:t>l </w:t>
      </w:r>
      <w:r>
        <w:rPr>
          <w:rFonts w:ascii="Calibri"/>
          <w:color w:val="008356"/>
          <w:spacing w:val="5"/>
          <w:w w:val="110"/>
          <w:sz w:val="11"/>
        </w:rPr>
        <w:t>MACROLIDES </w:t>
      </w:r>
      <w:r>
        <w:rPr>
          <w:color w:val="231F1F"/>
          <w:w w:val="110"/>
        </w:rPr>
        <w:t>(risk of ventricular arrhythmias); possible increased risk of ventricular arrhythmias when chlorpromazine given</w:t>
      </w:r>
      <w:r>
        <w:rPr>
          <w:color w:val="231F1F"/>
          <w:spacing w:val="29"/>
          <w:w w:val="110"/>
        </w:rPr>
        <w:t> </w:t>
      </w:r>
      <w:r>
        <w:rPr>
          <w:color w:val="231F1F"/>
          <w:w w:val="110"/>
        </w:rPr>
        <w:t>with</w:t>
      </w:r>
    </w:p>
    <w:p>
      <w:pPr>
        <w:spacing w:before="7"/>
        <w:ind w:left="286" w:right="670" w:hanging="1"/>
        <w:jc w:val="left"/>
        <w:rPr>
          <w:rFonts w:ascii="Calibri"/>
          <w:sz w:val="11"/>
        </w:rPr>
      </w:pPr>
      <w:r>
        <w:rPr>
          <w:rFonts w:ascii="Arial"/>
          <w:color w:val="231F1F"/>
          <w:w w:val="355"/>
          <w:position w:val="1"/>
          <w:sz w:val="7"/>
        </w:rPr>
        <w:t>l </w:t>
      </w:r>
      <w:r>
        <w:rPr>
          <w:rFonts w:ascii="Calibri"/>
          <w:color w:val="008356"/>
          <w:w w:val="110"/>
          <w:sz w:val="11"/>
        </w:rPr>
        <w:t>TELITHROMYCIN</w:t>
      </w:r>
      <w:r>
        <w:rPr>
          <w:color w:val="231F1F"/>
          <w:w w:val="110"/>
          <w:sz w:val="12"/>
        </w:rPr>
        <w:t>; plasma concentration of quetiapine possibly increased by </w:t>
      </w:r>
      <w:r>
        <w:rPr>
          <w:rFonts w:ascii="Calibri"/>
          <w:color w:val="008356"/>
          <w:w w:val="110"/>
          <w:sz w:val="11"/>
        </w:rPr>
        <w:t>TELITHROMYCIN</w:t>
      </w:r>
    </w:p>
    <w:p>
      <w:pPr>
        <w:pStyle w:val="BodyText"/>
        <w:spacing w:line="244" w:lineRule="auto"/>
        <w:ind w:left="286" w:right="647" w:hanging="100"/>
      </w:pPr>
      <w:r>
        <w:rPr>
          <w:rFonts w:ascii="Arial"/>
          <w:color w:val="231F1F"/>
          <w:w w:val="355"/>
          <w:position w:val="1"/>
          <w:sz w:val="7"/>
        </w:rPr>
        <w:t>l </w:t>
      </w:r>
      <w:r>
        <w:rPr>
          <w:rFonts w:ascii="Calibri"/>
          <w:color w:val="231F1F"/>
          <w:w w:val="110"/>
        </w:rPr>
        <w:t>Antidepressants: </w:t>
      </w:r>
      <w:r>
        <w:rPr>
          <w:color w:val="231F1F"/>
          <w:w w:val="110"/>
        </w:rPr>
        <w:t>plasma concentration of clozapine possibly increased by </w:t>
      </w:r>
      <w:r>
        <w:rPr>
          <w:rFonts w:ascii="Calibri"/>
          <w:color w:val="008356"/>
          <w:spacing w:val="3"/>
          <w:w w:val="110"/>
          <w:sz w:val="11"/>
        </w:rPr>
        <w:t>CITALOPRAM </w:t>
      </w:r>
      <w:r>
        <w:rPr>
          <w:color w:val="231F1F"/>
          <w:w w:val="110"/>
        </w:rPr>
        <w:t>(increased risk of toxicity); avoidance of haloperidol, phenothiazines and pimozide advised by manufacturer of </w:t>
      </w:r>
      <w:r>
        <w:rPr>
          <w:rFonts w:ascii="Arial"/>
          <w:color w:val="231F1F"/>
          <w:w w:val="355"/>
          <w:position w:val="1"/>
          <w:sz w:val="7"/>
        </w:rPr>
        <w:t>l</w:t>
      </w:r>
      <w:r>
        <w:rPr>
          <w:rFonts w:ascii="Arial"/>
          <w:color w:val="231F1F"/>
          <w:spacing w:val="-47"/>
          <w:w w:val="355"/>
          <w:position w:val="1"/>
          <w:sz w:val="7"/>
        </w:rPr>
        <w:t> </w:t>
      </w:r>
      <w:r>
        <w:rPr>
          <w:rFonts w:ascii="Calibri"/>
          <w:color w:val="008356"/>
          <w:spacing w:val="3"/>
          <w:w w:val="110"/>
          <w:sz w:val="11"/>
        </w:rPr>
        <w:t>CITALOPRAM </w:t>
      </w:r>
      <w:r>
        <w:rPr>
          <w:color w:val="231F1F"/>
          <w:w w:val="110"/>
        </w:rPr>
        <w:t>(risk of ventricular arrhythmias); avoidance of haloperidol, phenothiazines and pimozide</w:t>
      </w:r>
      <w:r>
        <w:rPr>
          <w:color w:val="231F1F"/>
          <w:spacing w:val="-5"/>
          <w:w w:val="110"/>
        </w:rPr>
        <w:t> </w:t>
      </w:r>
      <w:r>
        <w:rPr>
          <w:color w:val="231F1F"/>
          <w:w w:val="110"/>
        </w:rPr>
        <w:t>advised</w:t>
      </w:r>
      <w:r>
        <w:rPr>
          <w:color w:val="231F1F"/>
          <w:spacing w:val="-5"/>
          <w:w w:val="110"/>
        </w:rPr>
        <w:t> </w:t>
      </w:r>
      <w:r>
        <w:rPr>
          <w:color w:val="231F1F"/>
          <w:w w:val="110"/>
        </w:rPr>
        <w:t>by</w:t>
      </w:r>
      <w:r>
        <w:rPr>
          <w:color w:val="231F1F"/>
          <w:spacing w:val="-5"/>
          <w:w w:val="110"/>
        </w:rPr>
        <w:t> </w:t>
      </w:r>
      <w:r>
        <w:rPr>
          <w:color w:val="231F1F"/>
          <w:w w:val="110"/>
        </w:rPr>
        <w:t>manufacturer</w:t>
      </w:r>
      <w:r>
        <w:rPr>
          <w:color w:val="231F1F"/>
          <w:spacing w:val="-6"/>
          <w:w w:val="110"/>
        </w:rPr>
        <w:t> </w:t>
      </w:r>
      <w:r>
        <w:rPr>
          <w:color w:val="231F1F"/>
          <w:w w:val="110"/>
        </w:rPr>
        <w:t>of</w:t>
      </w:r>
      <w:r>
        <w:rPr>
          <w:color w:val="231F1F"/>
          <w:spacing w:val="-4"/>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ESCITALOPRAM</w:t>
      </w:r>
      <w:r>
        <w:rPr>
          <w:rFonts w:ascii="Calibri"/>
          <w:color w:val="008356"/>
          <w:spacing w:val="7"/>
          <w:w w:val="110"/>
          <w:sz w:val="11"/>
        </w:rPr>
        <w:t> </w:t>
      </w:r>
      <w:r>
        <w:rPr>
          <w:color w:val="231F1F"/>
          <w:w w:val="110"/>
        </w:rPr>
        <w:t>(risk</w:t>
      </w:r>
      <w:r>
        <w:rPr>
          <w:color w:val="231F1F"/>
          <w:spacing w:val="-6"/>
          <w:w w:val="110"/>
        </w:rPr>
        <w:t> of </w:t>
      </w:r>
      <w:r>
        <w:rPr>
          <w:color w:val="231F1F"/>
          <w:w w:val="110"/>
        </w:rPr>
        <w:t>ventricular arrhythmias); plasma concentration  of aripiprazole possibly increased by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FLUOXETINE </w:t>
      </w:r>
      <w:r>
        <w:rPr>
          <w:color w:val="231F1F"/>
          <w:w w:val="110"/>
        </w:rPr>
        <w:t>and</w:t>
      </w:r>
    </w:p>
    <w:p>
      <w:pPr>
        <w:pStyle w:val="BodyText"/>
        <w:spacing w:line="247" w:lineRule="auto"/>
        <w:ind w:left="286" w:right="846"/>
      </w:pPr>
      <w:r>
        <w:rPr>
          <w:rFonts w:ascii="Arial" w:hAnsi="Arial"/>
          <w:color w:val="231F1F"/>
          <w:w w:val="355"/>
          <w:position w:val="1"/>
          <w:sz w:val="7"/>
        </w:rPr>
        <w:t>l </w:t>
      </w:r>
      <w:r>
        <w:rPr>
          <w:rFonts w:ascii="Calibri" w:hAnsi="Calibri"/>
          <w:color w:val="008356"/>
          <w:spacing w:val="3"/>
          <w:w w:val="120"/>
          <w:sz w:val="11"/>
        </w:rPr>
        <w:t>PAROXETINE </w:t>
      </w:r>
      <w:r>
        <w:rPr>
          <w:color w:val="231F1F"/>
          <w:w w:val="120"/>
        </w:rPr>
        <w:t>(reduce dose of aripiprazole</w:t>
      </w:r>
      <w:r>
        <w:rPr>
          <w:rFonts w:ascii="Arial" w:hAnsi="Arial"/>
          <w:color w:val="231F1F"/>
          <w:w w:val="120"/>
        </w:rPr>
        <w:t>—</w:t>
      </w:r>
      <w:r>
        <w:rPr>
          <w:color w:val="231F1F"/>
          <w:w w:val="120"/>
        </w:rPr>
        <w:t>consult aripiprazole</w:t>
      </w:r>
      <w:r>
        <w:rPr>
          <w:color w:val="231F1F"/>
          <w:spacing w:val="-26"/>
          <w:w w:val="120"/>
        </w:rPr>
        <w:t> </w:t>
      </w:r>
      <w:r>
        <w:rPr>
          <w:color w:val="231F1F"/>
          <w:w w:val="120"/>
        </w:rPr>
        <w:t>product</w:t>
      </w:r>
      <w:r>
        <w:rPr>
          <w:color w:val="231F1F"/>
          <w:spacing w:val="-26"/>
          <w:w w:val="120"/>
        </w:rPr>
        <w:t> </w:t>
      </w:r>
      <w:r>
        <w:rPr>
          <w:color w:val="231F1F"/>
          <w:w w:val="120"/>
        </w:rPr>
        <w:t>literature);</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spacing w:val="-8"/>
          <w:w w:val="120"/>
        </w:rPr>
        <w:t>of </w:t>
      </w:r>
      <w:r>
        <w:rPr>
          <w:color w:val="231F1F"/>
          <w:w w:val="120"/>
        </w:rPr>
        <w:t>clozapine,</w:t>
      </w:r>
      <w:r>
        <w:rPr>
          <w:color w:val="231F1F"/>
          <w:spacing w:val="-15"/>
          <w:w w:val="120"/>
        </w:rPr>
        <w:t> </w:t>
      </w:r>
      <w:r>
        <w:rPr>
          <w:color w:val="231F1F"/>
          <w:w w:val="120"/>
        </w:rPr>
        <w:t>haloperidol</w:t>
      </w:r>
      <w:r>
        <w:rPr>
          <w:color w:val="231F1F"/>
          <w:spacing w:val="-15"/>
          <w:w w:val="120"/>
        </w:rPr>
        <w:t> </w:t>
      </w:r>
      <w:r>
        <w:rPr>
          <w:color w:val="231F1F"/>
          <w:w w:val="120"/>
        </w:rPr>
        <w:t>and</w:t>
      </w:r>
      <w:r>
        <w:rPr>
          <w:color w:val="231F1F"/>
          <w:spacing w:val="-15"/>
          <w:w w:val="120"/>
        </w:rPr>
        <w:t> </w:t>
      </w:r>
      <w:r>
        <w:rPr>
          <w:color w:val="231F1F"/>
          <w:w w:val="120"/>
        </w:rPr>
        <w:t>risperidone</w:t>
      </w:r>
      <w:r>
        <w:rPr>
          <w:color w:val="231F1F"/>
          <w:spacing w:val="-15"/>
          <w:w w:val="120"/>
        </w:rPr>
        <w:t> </w:t>
      </w:r>
      <w:r>
        <w:rPr>
          <w:color w:val="231F1F"/>
          <w:w w:val="120"/>
        </w:rPr>
        <w:t>increased</w:t>
      </w:r>
      <w:r>
        <w:rPr>
          <w:color w:val="231F1F"/>
          <w:spacing w:val="-16"/>
          <w:w w:val="120"/>
        </w:rPr>
        <w:t> </w:t>
      </w:r>
      <w:r>
        <w:rPr>
          <w:color w:val="231F1F"/>
          <w:w w:val="120"/>
        </w:rPr>
        <w:t>by</w:t>
      </w:r>
    </w:p>
    <w:p>
      <w:pPr>
        <w:spacing w:before="1"/>
        <w:ind w:left="286" w:right="670" w:hanging="1"/>
        <w:jc w:val="left"/>
        <w:rPr>
          <w:sz w:val="12"/>
        </w:rPr>
      </w:pPr>
      <w:r>
        <w:rPr>
          <w:rFonts w:ascii="Arial"/>
          <w:color w:val="231F1F"/>
          <w:w w:val="355"/>
          <w:position w:val="1"/>
          <w:sz w:val="7"/>
        </w:rPr>
        <w:t>l</w:t>
      </w:r>
      <w:r>
        <w:rPr>
          <w:rFonts w:ascii="Arial"/>
          <w:color w:val="231F1F"/>
          <w:spacing w:val="-39"/>
          <w:w w:val="355"/>
          <w:position w:val="1"/>
          <w:sz w:val="7"/>
        </w:rPr>
        <w:t> </w:t>
      </w:r>
      <w:r>
        <w:rPr>
          <w:rFonts w:ascii="Calibri"/>
          <w:color w:val="008356"/>
          <w:spacing w:val="4"/>
          <w:w w:val="110"/>
          <w:sz w:val="11"/>
        </w:rPr>
        <w:t>FLUOXETINE</w:t>
      </w:r>
      <w:r>
        <w:rPr>
          <w:color w:val="231F1F"/>
          <w:spacing w:val="4"/>
          <w:w w:val="110"/>
          <w:sz w:val="12"/>
        </w:rPr>
        <w:t>; </w:t>
      </w:r>
      <w:r>
        <w:rPr>
          <w:color w:val="231F1F"/>
          <w:w w:val="110"/>
          <w:sz w:val="12"/>
        </w:rPr>
        <w:t>manufacturer of droperidol advises </w:t>
      </w:r>
      <w:r>
        <w:rPr>
          <w:color w:val="231F1F"/>
          <w:spacing w:val="-3"/>
          <w:w w:val="110"/>
          <w:sz w:val="12"/>
        </w:rPr>
        <w:t>avoid </w:t>
      </w:r>
      <w:r>
        <w:rPr>
          <w:color w:val="231F1F"/>
          <w:w w:val="110"/>
          <w:sz w:val="12"/>
        </w:rPr>
        <w:t>concomitant</w:t>
      </w:r>
      <w:r>
        <w:rPr>
          <w:color w:val="231F1F"/>
          <w:spacing w:val="-9"/>
          <w:w w:val="110"/>
          <w:sz w:val="12"/>
        </w:rPr>
        <w:t> </w:t>
      </w:r>
      <w:r>
        <w:rPr>
          <w:color w:val="231F1F"/>
          <w:w w:val="110"/>
          <w:sz w:val="12"/>
        </w:rPr>
        <w:t>use</w:t>
      </w:r>
      <w:r>
        <w:rPr>
          <w:color w:val="231F1F"/>
          <w:spacing w:val="-8"/>
          <w:w w:val="110"/>
          <w:sz w:val="12"/>
        </w:rPr>
        <w:t> </w:t>
      </w:r>
      <w:r>
        <w:rPr>
          <w:color w:val="231F1F"/>
          <w:w w:val="110"/>
          <w:sz w:val="12"/>
        </w:rPr>
        <w:t>with</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FLUOXETINE</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FLUVOXAMINE</w:t>
      </w:r>
      <w:r>
        <w:rPr>
          <w:color w:val="231F1F"/>
          <w:spacing w:val="4"/>
          <w:w w:val="110"/>
          <w:sz w:val="12"/>
        </w:rPr>
        <w:t>,</w:t>
      </w:r>
    </w:p>
    <w:p>
      <w:pPr>
        <w:spacing w:line="244" w:lineRule="auto" w:before="3"/>
        <w:ind w:left="286" w:right="909" w:firstLine="0"/>
        <w:jc w:val="left"/>
        <w:rPr>
          <w:sz w:val="12"/>
        </w:rPr>
      </w:pPr>
      <w:r>
        <w:rPr>
          <w:rFonts w:ascii="Arial"/>
          <w:color w:val="231F1F"/>
          <w:w w:val="355"/>
          <w:position w:val="1"/>
          <w:sz w:val="7"/>
        </w:rPr>
        <w:t>l </w:t>
      </w:r>
      <w:r>
        <w:rPr>
          <w:rFonts w:ascii="Calibri"/>
          <w:color w:val="008356"/>
          <w:spacing w:val="4"/>
          <w:w w:val="110"/>
          <w:sz w:val="11"/>
        </w:rPr>
        <w:t>SERTRALINE </w:t>
      </w:r>
      <w:r>
        <w:rPr>
          <w:color w:val="231F1F"/>
          <w:w w:val="110"/>
          <w:sz w:val="12"/>
        </w:rPr>
        <w:t>and </w:t>
      </w:r>
      <w:r>
        <w:rPr>
          <w:rFonts w:ascii="Arial"/>
          <w:color w:val="231F1F"/>
          <w:w w:val="355"/>
          <w:position w:val="1"/>
          <w:sz w:val="7"/>
        </w:rPr>
        <w:t>l </w:t>
      </w:r>
      <w:r>
        <w:rPr>
          <w:rFonts w:ascii="Calibri"/>
          <w:color w:val="008356"/>
          <w:spacing w:val="4"/>
          <w:w w:val="110"/>
          <w:sz w:val="11"/>
        </w:rPr>
        <w:t>TRICYCLICS </w:t>
      </w:r>
      <w:r>
        <w:rPr>
          <w:color w:val="231F1F"/>
          <w:w w:val="110"/>
          <w:sz w:val="12"/>
        </w:rPr>
        <w:t>(risk of ventricular arrhythmias); plasma concentration of asenapine and haloperidol possibly increased by </w:t>
      </w:r>
      <w:r>
        <w:rPr>
          <w:rFonts w:ascii="Calibri"/>
          <w:color w:val="008356"/>
          <w:spacing w:val="4"/>
          <w:w w:val="110"/>
          <w:sz w:val="11"/>
        </w:rPr>
        <w:t>FLUVOXAMINE</w:t>
      </w:r>
      <w:r>
        <w:rPr>
          <w:color w:val="231F1F"/>
          <w:spacing w:val="4"/>
          <w:w w:val="110"/>
          <w:sz w:val="12"/>
        </w:rPr>
        <w:t>; </w:t>
      </w:r>
      <w:r>
        <w:rPr>
          <w:color w:val="231F1F"/>
          <w:w w:val="110"/>
          <w:sz w:val="12"/>
        </w:rPr>
        <w:t>plasma concentration of clozapine and  olanzapine increased </w:t>
      </w:r>
      <w:r>
        <w:rPr>
          <w:color w:val="231F1F"/>
          <w:spacing w:val="-7"/>
          <w:w w:val="110"/>
          <w:sz w:val="12"/>
        </w:rPr>
        <w:t>by  </w:t>
      </w:r>
      <w:r>
        <w:rPr>
          <w:rFonts w:ascii="Arial"/>
          <w:color w:val="231F1F"/>
          <w:w w:val="355"/>
          <w:position w:val="1"/>
          <w:sz w:val="7"/>
        </w:rPr>
        <w:t>l </w:t>
      </w:r>
      <w:r>
        <w:rPr>
          <w:rFonts w:ascii="Calibri"/>
          <w:color w:val="008356"/>
          <w:spacing w:val="4"/>
          <w:w w:val="110"/>
          <w:sz w:val="11"/>
        </w:rPr>
        <w:t>FLUVOXAMINE</w:t>
      </w:r>
      <w:r>
        <w:rPr>
          <w:color w:val="231F1F"/>
          <w:spacing w:val="4"/>
          <w:w w:val="110"/>
          <w:sz w:val="12"/>
        </w:rPr>
        <w:t>; </w:t>
      </w:r>
      <w:r>
        <w:rPr>
          <w:color w:val="231F1F"/>
          <w:w w:val="110"/>
          <w:sz w:val="12"/>
        </w:rPr>
        <w:t>asenapine possibly increases plasma concentration of </w:t>
      </w:r>
      <w:r>
        <w:rPr>
          <w:rFonts w:ascii="Calibri"/>
          <w:color w:val="008356"/>
          <w:spacing w:val="4"/>
          <w:w w:val="110"/>
          <w:sz w:val="11"/>
        </w:rPr>
        <w:t>PAROXETINE</w:t>
      </w:r>
      <w:r>
        <w:rPr>
          <w:color w:val="231F1F"/>
          <w:spacing w:val="4"/>
          <w:w w:val="110"/>
          <w:sz w:val="12"/>
        </w:rPr>
        <w:t>; </w:t>
      </w:r>
      <w:r>
        <w:rPr>
          <w:color w:val="231F1F"/>
          <w:w w:val="110"/>
          <w:sz w:val="12"/>
        </w:rPr>
        <w:t>plasma concentration of clozapine</w:t>
      </w:r>
      <w:r>
        <w:rPr>
          <w:color w:val="231F1F"/>
          <w:spacing w:val="-6"/>
          <w:w w:val="110"/>
          <w:sz w:val="12"/>
        </w:rPr>
        <w:t> </w:t>
      </w:r>
      <w:r>
        <w:rPr>
          <w:color w:val="231F1F"/>
          <w:w w:val="110"/>
          <w:sz w:val="12"/>
        </w:rPr>
        <w:t>increased</w:t>
      </w:r>
      <w:r>
        <w:rPr>
          <w:color w:val="231F1F"/>
          <w:spacing w:val="-5"/>
          <w:w w:val="110"/>
          <w:sz w:val="12"/>
        </w:rPr>
        <w:t> </w:t>
      </w:r>
      <w:r>
        <w:rPr>
          <w:color w:val="231F1F"/>
          <w:w w:val="110"/>
          <w:sz w:val="12"/>
        </w:rPr>
        <w:t>by</w:t>
      </w:r>
      <w:r>
        <w:rPr>
          <w:color w:val="231F1F"/>
          <w:spacing w:val="-6"/>
          <w:w w:val="110"/>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3"/>
          <w:w w:val="110"/>
          <w:sz w:val="11"/>
        </w:rPr>
        <w:t>PAROXETINE</w:t>
      </w:r>
      <w:r>
        <w:rPr>
          <w:rFonts w:ascii="Calibri"/>
          <w:color w:val="008356"/>
          <w:spacing w:val="5"/>
          <w:w w:val="110"/>
          <w:sz w:val="11"/>
        </w:rPr>
        <w:t> </w:t>
      </w:r>
      <w:r>
        <w:rPr>
          <w:color w:val="231F1F"/>
          <w:w w:val="110"/>
          <w:sz w:val="12"/>
        </w:rPr>
        <w:t>and</w:t>
      </w:r>
      <w:r>
        <w:rPr>
          <w:color w:val="231F1F"/>
          <w:spacing w:val="-4"/>
          <w:w w:val="110"/>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SERTRALINE</w:t>
      </w:r>
      <w:r>
        <w:rPr>
          <w:color w:val="231F1F"/>
          <w:spacing w:val="4"/>
          <w:w w:val="110"/>
          <w:sz w:val="12"/>
        </w:rPr>
        <w:t>;</w:t>
      </w:r>
    </w:p>
    <w:p>
      <w:pPr>
        <w:pStyle w:val="BodyText"/>
        <w:spacing w:line="244" w:lineRule="auto" w:before="2"/>
        <w:ind w:left="286" w:right="591"/>
      </w:pPr>
      <w:r>
        <w:rPr>
          <w:color w:val="231F1F"/>
          <w:w w:val="115"/>
        </w:rPr>
        <w:t>plasma concentration of risperidone possibly increased by </w:t>
      </w:r>
      <w:r>
        <w:rPr>
          <w:rFonts w:ascii="Calibri" w:hAnsi="Calibri"/>
          <w:color w:val="008356"/>
          <w:spacing w:val="3"/>
          <w:w w:val="115"/>
          <w:sz w:val="11"/>
        </w:rPr>
        <w:t>PAROXETINE </w:t>
      </w:r>
      <w:r>
        <w:rPr>
          <w:color w:val="231F1F"/>
          <w:w w:val="115"/>
        </w:rPr>
        <w:t>(increased risk of toxicity); metabolism of perphenazine inhibited by </w:t>
      </w:r>
      <w:r>
        <w:rPr>
          <w:rFonts w:ascii="Calibri" w:hAnsi="Calibri"/>
          <w:color w:val="008356"/>
          <w:spacing w:val="3"/>
          <w:w w:val="115"/>
          <w:sz w:val="11"/>
        </w:rPr>
        <w:t>PAROXETINE </w:t>
      </w:r>
      <w:r>
        <w:rPr>
          <w:color w:val="231F1F"/>
          <w:w w:val="115"/>
        </w:rPr>
        <w:t>(reduce dose of perphenazine); plasma concentration of haloperidol increased</w:t>
      </w:r>
      <w:r>
        <w:rPr>
          <w:color w:val="231F1F"/>
          <w:spacing w:val="-21"/>
          <w:w w:val="115"/>
        </w:rPr>
        <w:t> </w:t>
      </w:r>
      <w:r>
        <w:rPr>
          <w:color w:val="231F1F"/>
          <w:w w:val="115"/>
        </w:rPr>
        <w:t>by</w:t>
      </w:r>
      <w:r>
        <w:rPr>
          <w:color w:val="231F1F"/>
          <w:spacing w:val="-21"/>
          <w:w w:val="115"/>
        </w:rPr>
        <w:t> </w:t>
      </w:r>
      <w:r>
        <w:rPr>
          <w:rFonts w:ascii="Calibri" w:hAnsi="Calibri"/>
          <w:color w:val="008356"/>
          <w:spacing w:val="4"/>
          <w:w w:val="115"/>
          <w:sz w:val="11"/>
        </w:rPr>
        <w:t>VENLAFAXINE</w:t>
      </w:r>
      <w:r>
        <w:rPr>
          <w:color w:val="231F1F"/>
          <w:spacing w:val="4"/>
          <w:w w:val="115"/>
        </w:rPr>
        <w:t>;</w:t>
      </w:r>
      <w:r>
        <w:rPr>
          <w:color w:val="231F1F"/>
          <w:spacing w:val="-20"/>
          <w:w w:val="115"/>
        </w:rPr>
        <w:t> </w:t>
      </w:r>
      <w:r>
        <w:rPr>
          <w:color w:val="231F1F"/>
          <w:w w:val="115"/>
        </w:rPr>
        <w:t>clozapine</w:t>
      </w:r>
      <w:r>
        <w:rPr>
          <w:color w:val="231F1F"/>
          <w:spacing w:val="-21"/>
          <w:w w:val="115"/>
        </w:rPr>
        <w:t> </w:t>
      </w:r>
      <w:r>
        <w:rPr>
          <w:color w:val="231F1F"/>
          <w:w w:val="115"/>
        </w:rPr>
        <w:t>possibly</w:t>
      </w:r>
      <w:r>
        <w:rPr>
          <w:color w:val="231F1F"/>
          <w:spacing w:val="-21"/>
          <w:w w:val="115"/>
        </w:rPr>
        <w:t> </w:t>
      </w:r>
      <w:r>
        <w:rPr>
          <w:color w:val="231F1F"/>
          <w:w w:val="115"/>
        </w:rPr>
        <w:t>increases</w:t>
      </w:r>
      <w:r>
        <w:rPr>
          <w:color w:val="231F1F"/>
          <w:spacing w:val="-21"/>
          <w:w w:val="115"/>
        </w:rPr>
        <w:t> </w:t>
      </w:r>
      <w:r>
        <w:rPr>
          <w:color w:val="231F1F"/>
          <w:w w:val="115"/>
        </w:rPr>
        <w:t>CNS effects</w:t>
      </w:r>
      <w:r>
        <w:rPr>
          <w:color w:val="231F1F"/>
          <w:spacing w:val="-15"/>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MAOIS</w:t>
      </w:r>
      <w:r>
        <w:rPr>
          <w:color w:val="231F1F"/>
          <w:spacing w:val="4"/>
          <w:w w:val="115"/>
        </w:rPr>
        <w:t>;</w:t>
      </w:r>
      <w:r>
        <w:rPr>
          <w:color w:val="231F1F"/>
          <w:spacing w:val="-16"/>
          <w:w w:val="115"/>
        </w:rPr>
        <w:t> </w:t>
      </w:r>
      <w:r>
        <w:rPr>
          <w:color w:val="231F1F"/>
          <w:w w:val="115"/>
        </w:rPr>
        <w:t>plasma</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color w:val="231F1F"/>
          <w:w w:val="115"/>
        </w:rPr>
        <w:t>pimozide</w:t>
      </w:r>
      <w:r>
        <w:rPr>
          <w:color w:val="231F1F"/>
          <w:spacing w:val="-15"/>
          <w:w w:val="115"/>
        </w:rPr>
        <w:t> </w:t>
      </w:r>
      <w:r>
        <w:rPr>
          <w:color w:val="231F1F"/>
          <w:w w:val="115"/>
        </w:rPr>
        <w:t>possibly increased by </w:t>
      </w:r>
      <w:r>
        <w:rPr>
          <w:rFonts w:ascii="Arial" w:hAnsi="Arial"/>
          <w:color w:val="231F1F"/>
          <w:w w:val="355"/>
          <w:position w:val="1"/>
          <w:sz w:val="7"/>
        </w:rPr>
        <w:t>l </w:t>
      </w:r>
      <w:r>
        <w:rPr>
          <w:rFonts w:ascii="Calibri" w:hAnsi="Calibri"/>
          <w:color w:val="008356"/>
          <w:spacing w:val="4"/>
          <w:w w:val="115"/>
          <w:sz w:val="11"/>
        </w:rPr>
        <w:t>SSRIS </w:t>
      </w:r>
      <w:r>
        <w:rPr>
          <w:color w:val="231F1F"/>
          <w:w w:val="115"/>
        </w:rPr>
        <w:t>(increased risk of ventricular arrhythmias</w:t>
      </w:r>
      <w:r>
        <w:rPr>
          <w:rFonts w:ascii="Arial" w:hAnsi="Arial"/>
          <w:color w:val="231F1F"/>
          <w:w w:val="115"/>
        </w:rPr>
        <w:t>—</w:t>
      </w:r>
      <w:r>
        <w:rPr>
          <w:color w:val="231F1F"/>
          <w:w w:val="115"/>
        </w:rPr>
        <w:t>avoid concomitant use); plasma concentration of</w:t>
      </w:r>
      <w:r>
        <w:rPr>
          <w:color w:val="231F1F"/>
          <w:spacing w:val="-15"/>
          <w:w w:val="115"/>
        </w:rPr>
        <w:t> </w:t>
      </w:r>
      <w:r>
        <w:rPr>
          <w:color w:val="231F1F"/>
          <w:w w:val="115"/>
        </w:rPr>
        <w:t>lurasidone</w:t>
      </w:r>
      <w:r>
        <w:rPr>
          <w:color w:val="231F1F"/>
          <w:spacing w:val="-16"/>
          <w:w w:val="115"/>
        </w:rPr>
        <w:t> </w:t>
      </w:r>
      <w:r>
        <w:rPr>
          <w:color w:val="231F1F"/>
          <w:w w:val="115"/>
        </w:rPr>
        <w:t>possibly</w:t>
      </w:r>
      <w:r>
        <w:rPr>
          <w:color w:val="231F1F"/>
          <w:spacing w:val="-16"/>
          <w:w w:val="115"/>
        </w:rPr>
        <w:t> </w:t>
      </w:r>
      <w:r>
        <w:rPr>
          <w:color w:val="231F1F"/>
          <w:w w:val="115"/>
        </w:rPr>
        <w:t>reduced</w:t>
      </w:r>
      <w:r>
        <w:rPr>
          <w:color w:val="231F1F"/>
          <w:spacing w:val="-15"/>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ST</w:t>
      </w:r>
      <w:r>
        <w:rPr>
          <w:rFonts w:ascii="Calibri" w:hAnsi="Calibri"/>
          <w:color w:val="008356"/>
          <w:spacing w:val="-11"/>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9"/>
          <w:w w:val="115"/>
          <w:sz w:val="11"/>
        </w:rPr>
        <w:t> </w:t>
      </w:r>
      <w:r>
        <w:rPr>
          <w:rFonts w:ascii="Calibri" w:hAnsi="Calibri"/>
          <w:color w:val="008356"/>
          <w:w w:val="115"/>
          <w:sz w:val="11"/>
        </w:rPr>
        <w:t>WORT</w:t>
      </w:r>
      <w:r>
        <w:rPr>
          <w:rFonts w:ascii="Arial" w:hAnsi="Arial"/>
          <w:color w:val="231F1F"/>
          <w:w w:val="115"/>
        </w:rPr>
        <w:t>—</w:t>
      </w:r>
      <w:r>
        <w:rPr>
          <w:color w:val="231F1F"/>
          <w:w w:val="115"/>
        </w:rPr>
        <w:t>avoid concomitant use; plasma concentration of aripiprazole possibly</w:t>
      </w:r>
      <w:r>
        <w:rPr>
          <w:color w:val="231F1F"/>
          <w:spacing w:val="-18"/>
          <w:w w:val="115"/>
        </w:rPr>
        <w:t> </w:t>
      </w:r>
      <w:r>
        <w:rPr>
          <w:color w:val="231F1F"/>
          <w:w w:val="115"/>
        </w:rPr>
        <w:t>reduced</w:t>
      </w:r>
      <w:r>
        <w:rPr>
          <w:color w:val="231F1F"/>
          <w:spacing w:val="-18"/>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ST</w:t>
      </w:r>
      <w:r>
        <w:rPr>
          <w:rFonts w:ascii="Calibri" w:hAnsi="Calibri"/>
          <w:color w:val="008356"/>
          <w:spacing w:val="-13"/>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1"/>
          <w:w w:val="115"/>
          <w:sz w:val="11"/>
        </w:rPr>
        <w:t> </w:t>
      </w:r>
      <w:r>
        <w:rPr>
          <w:rFonts w:ascii="Calibri" w:hAnsi="Calibri"/>
          <w:color w:val="008356"/>
          <w:spacing w:val="3"/>
          <w:w w:val="115"/>
          <w:sz w:val="11"/>
        </w:rPr>
        <w:t>WORT</w:t>
      </w:r>
      <w:r>
        <w:rPr>
          <w:rFonts w:ascii="Calibri" w:hAnsi="Calibri"/>
          <w:color w:val="008356"/>
          <w:spacing w:val="-9"/>
          <w:w w:val="115"/>
          <w:sz w:val="11"/>
        </w:rPr>
        <w:t> </w:t>
      </w:r>
      <w:r>
        <w:rPr>
          <w:color w:val="231F1F"/>
          <w:w w:val="115"/>
        </w:rPr>
        <w:t>(avoid</w:t>
      </w:r>
      <w:r>
        <w:rPr>
          <w:color w:val="231F1F"/>
          <w:spacing w:val="-18"/>
          <w:w w:val="115"/>
        </w:rPr>
        <w:t> </w:t>
      </w:r>
      <w:r>
        <w:rPr>
          <w:color w:val="231F1F"/>
          <w:w w:val="115"/>
        </w:rPr>
        <w:t>concomitant</w:t>
      </w:r>
      <w:r>
        <w:rPr>
          <w:color w:val="231F1F"/>
          <w:spacing w:val="-19"/>
          <w:w w:val="115"/>
        </w:rPr>
        <w:t> </w:t>
      </w:r>
      <w:r>
        <w:rPr>
          <w:color w:val="231F1F"/>
          <w:w w:val="115"/>
        </w:rPr>
        <w:t>use or</w:t>
      </w:r>
      <w:r>
        <w:rPr>
          <w:color w:val="231F1F"/>
          <w:spacing w:val="-7"/>
          <w:w w:val="115"/>
        </w:rPr>
        <w:t> </w:t>
      </w:r>
      <w:r>
        <w:rPr>
          <w:color w:val="231F1F"/>
          <w:w w:val="115"/>
        </w:rPr>
        <w:t>consider</w:t>
      </w:r>
      <w:r>
        <w:rPr>
          <w:color w:val="231F1F"/>
          <w:spacing w:val="-6"/>
          <w:w w:val="115"/>
        </w:rPr>
        <w:t> </w:t>
      </w:r>
      <w:r>
        <w:rPr>
          <w:color w:val="231F1F"/>
          <w:w w:val="115"/>
        </w:rPr>
        <w:t>increasing</w:t>
      </w:r>
      <w:r>
        <w:rPr>
          <w:color w:val="231F1F"/>
          <w:spacing w:val="-6"/>
          <w:w w:val="115"/>
        </w:rPr>
        <w:t> </w:t>
      </w:r>
      <w:r>
        <w:rPr>
          <w:color w:val="231F1F"/>
          <w:w w:val="115"/>
        </w:rPr>
        <w:t>the</w:t>
      </w:r>
      <w:r>
        <w:rPr>
          <w:color w:val="231F1F"/>
          <w:spacing w:val="-5"/>
          <w:w w:val="115"/>
        </w:rPr>
        <w:t> </w:t>
      </w:r>
      <w:r>
        <w:rPr>
          <w:color w:val="231F1F"/>
          <w:w w:val="115"/>
        </w:rPr>
        <w:t>dose</w:t>
      </w:r>
      <w:r>
        <w:rPr>
          <w:color w:val="231F1F"/>
          <w:spacing w:val="-6"/>
          <w:w w:val="115"/>
        </w:rPr>
        <w:t> </w:t>
      </w:r>
      <w:r>
        <w:rPr>
          <w:color w:val="231F1F"/>
          <w:w w:val="115"/>
        </w:rPr>
        <w:t>of</w:t>
      </w:r>
      <w:r>
        <w:rPr>
          <w:color w:val="231F1F"/>
          <w:spacing w:val="-6"/>
          <w:w w:val="115"/>
        </w:rPr>
        <w:t> </w:t>
      </w:r>
      <w:r>
        <w:rPr>
          <w:color w:val="231F1F"/>
          <w:w w:val="115"/>
        </w:rPr>
        <w:t>aripiprazole</w:t>
      </w:r>
      <w:r>
        <w:rPr>
          <w:rFonts w:ascii="Arial" w:hAnsi="Arial"/>
          <w:color w:val="231F1F"/>
          <w:w w:val="115"/>
        </w:rPr>
        <w:t>—</w:t>
      </w:r>
      <w:r>
        <w:rPr>
          <w:color w:val="231F1F"/>
          <w:w w:val="115"/>
        </w:rPr>
        <w:t>consult</w:t>
      </w:r>
    </w:p>
    <w:p>
      <w:pPr>
        <w:spacing w:after="0" w:line="244" w:lineRule="auto"/>
        <w:sectPr>
          <w:pgSz w:w="8390" w:h="11910"/>
          <w:pgMar w:header="0" w:footer="0" w:top="460" w:bottom="280" w:left="480" w:right="0"/>
          <w:cols w:num="2" w:equalWidth="0">
            <w:col w:w="3636" w:space="40"/>
            <w:col w:w="4234"/>
          </w:cols>
        </w:sectPr>
      </w:pPr>
    </w:p>
    <w:p>
      <w:pPr>
        <w:pStyle w:val="BodyText"/>
        <w:spacing w:before="8"/>
        <w:ind w:left="0"/>
        <w:rPr>
          <w:sz w:val="14"/>
        </w:rPr>
      </w:pPr>
    </w:p>
    <w:p>
      <w:pPr>
        <w:pStyle w:val="BodyText"/>
        <w:ind w:left="108"/>
        <w:rPr>
          <w:rFonts w:ascii="Arial"/>
        </w:rPr>
      </w:pPr>
      <w:r>
        <w:rPr>
          <w:rFonts w:ascii="Arial"/>
          <w:color w:val="008356"/>
        </w:rPr>
        <w:t>Antipsychotics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Antidepressants (continued)</w:t>
      </w:r>
    </w:p>
    <w:p>
      <w:pPr>
        <w:pStyle w:val="BodyText"/>
        <w:spacing w:line="249" w:lineRule="auto"/>
        <w:ind w:right="202"/>
        <w:rPr>
          <w:rFonts w:ascii="Calibri"/>
          <w:sz w:val="11"/>
        </w:rPr>
      </w:pPr>
      <w:r>
        <w:rPr>
          <w:color w:val="231F1F"/>
          <w:w w:val="115"/>
        </w:rPr>
        <w:t>aripiprazole product literature); manufacturer of fluphenazine, haloperidol, sulpiride and zuclopenthixol advises avoid concomitant use with </w:t>
      </w:r>
      <w:r>
        <w:rPr>
          <w:rFonts w:ascii="Arial"/>
          <w:color w:val="231F1F"/>
          <w:w w:val="355"/>
          <w:position w:val="1"/>
          <w:sz w:val="7"/>
        </w:rPr>
        <w:t>l </w:t>
      </w:r>
      <w:r>
        <w:rPr>
          <w:rFonts w:ascii="Calibri"/>
          <w:color w:val="008356"/>
          <w:spacing w:val="4"/>
          <w:w w:val="115"/>
          <w:sz w:val="11"/>
        </w:rPr>
        <w:t>TRICYCLICS </w:t>
      </w:r>
      <w:r>
        <w:rPr>
          <w:color w:val="231F1F"/>
          <w:w w:val="115"/>
        </w:rPr>
        <w:t>(risk of ventricular arrhythmias); increased risk of </w:t>
      </w:r>
      <w:r>
        <w:rPr>
          <w:color w:val="231F1F"/>
          <w:spacing w:val="-3"/>
          <w:w w:val="115"/>
        </w:rPr>
        <w:t>antimuscarinic </w:t>
      </w:r>
      <w:r>
        <w:rPr>
          <w:color w:val="231F1F"/>
          <w:w w:val="115"/>
        </w:rPr>
        <w:t>side-effects when phenothiazines given with </w:t>
      </w:r>
      <w:r>
        <w:rPr>
          <w:rFonts w:ascii="Calibri"/>
          <w:color w:val="008356"/>
          <w:spacing w:val="4"/>
          <w:w w:val="115"/>
          <w:sz w:val="11"/>
        </w:rPr>
        <w:t>TRICYCLICS</w:t>
      </w:r>
      <w:r>
        <w:rPr>
          <w:color w:val="231F1F"/>
          <w:spacing w:val="4"/>
          <w:w w:val="115"/>
        </w:rPr>
        <w:t>; </w:t>
      </w:r>
      <w:r>
        <w:rPr>
          <w:color w:val="231F1F"/>
          <w:w w:val="115"/>
        </w:rPr>
        <w:t>possible increased risk of ventricular arrhythmias when risperidone given with </w:t>
      </w:r>
      <w:r>
        <w:rPr>
          <w:rFonts w:ascii="Arial"/>
          <w:color w:val="231F1F"/>
          <w:w w:val="355"/>
          <w:position w:val="1"/>
          <w:sz w:val="7"/>
        </w:rPr>
        <w:t>l </w:t>
      </w:r>
      <w:r>
        <w:rPr>
          <w:rFonts w:ascii="Calibri"/>
          <w:color w:val="008356"/>
          <w:spacing w:val="4"/>
          <w:w w:val="115"/>
          <w:sz w:val="11"/>
        </w:rPr>
        <w:t>TRICYCLICS</w:t>
      </w:r>
      <w:r>
        <w:rPr>
          <w:color w:val="231F1F"/>
          <w:spacing w:val="4"/>
          <w:w w:val="115"/>
        </w:rPr>
        <w:t>; </w:t>
      </w:r>
      <w:r>
        <w:rPr>
          <w:color w:val="231F1F"/>
          <w:w w:val="115"/>
        </w:rPr>
        <w:t>possible increased antimuscarinic side-effects when clozapine given with </w:t>
      </w:r>
      <w:r>
        <w:rPr>
          <w:rFonts w:ascii="Calibri"/>
          <w:color w:val="008356"/>
          <w:spacing w:val="4"/>
          <w:w w:val="115"/>
          <w:sz w:val="11"/>
        </w:rPr>
        <w:t>TRICYCLICS</w:t>
      </w:r>
    </w:p>
    <w:p>
      <w:pPr>
        <w:pStyle w:val="BodyText"/>
        <w:spacing w:line="220" w:lineRule="auto"/>
        <w:ind w:right="20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phenothiazines possibly antagonise hypoglycaemic effect of </w:t>
      </w:r>
      <w:r>
        <w:rPr>
          <w:rFonts w:ascii="Calibri" w:hAnsi="Calibri"/>
          <w:color w:val="008356"/>
          <w:w w:val="105"/>
          <w:sz w:val="11"/>
        </w:rPr>
        <w:t>SULFONYLUREAS</w:t>
      </w:r>
    </w:p>
    <w:p>
      <w:pPr>
        <w:pStyle w:val="BodyText"/>
        <w:spacing w:line="244" w:lineRule="auto"/>
        <w:ind w:right="49" w:hanging="100"/>
      </w:pPr>
      <w:r>
        <w:rPr>
          <w:rFonts w:ascii="Arial"/>
          <w:color w:val="231F1F"/>
          <w:w w:val="355"/>
          <w:position w:val="1"/>
          <w:sz w:val="7"/>
        </w:rPr>
        <w:t>l </w:t>
      </w:r>
      <w:r>
        <w:rPr>
          <w:rFonts w:ascii="Calibri"/>
          <w:color w:val="231F1F"/>
          <w:w w:val="110"/>
        </w:rPr>
        <w:t>Antiepileptics: </w:t>
      </w:r>
      <w:r>
        <w:rPr>
          <w:color w:val="231F1F"/>
          <w:w w:val="110"/>
        </w:rPr>
        <w:t>antipsychotics antagonise anticonvulsant effect of </w:t>
      </w:r>
      <w:r>
        <w:rPr>
          <w:rFonts w:ascii="Arial"/>
          <w:color w:val="231F1F"/>
          <w:w w:val="355"/>
          <w:position w:val="1"/>
          <w:sz w:val="7"/>
        </w:rPr>
        <w:t>l </w:t>
      </w:r>
      <w:r>
        <w:rPr>
          <w:rFonts w:ascii="Calibri"/>
          <w:color w:val="008356"/>
          <w:w w:val="110"/>
          <w:sz w:val="11"/>
        </w:rPr>
        <w:t>ANTIEPILEPTICS </w:t>
      </w:r>
      <w:r>
        <w:rPr>
          <w:color w:val="231F1F"/>
          <w:w w:val="110"/>
        </w:rPr>
        <w:t>(convulsive threshold lowered); metabolism of haloperidol, olanzapine, quetiapine and risperidone accelerated by </w:t>
      </w:r>
      <w:r>
        <w:rPr>
          <w:rFonts w:ascii="Calibri"/>
          <w:color w:val="008356"/>
          <w:w w:val="110"/>
          <w:sz w:val="11"/>
        </w:rPr>
        <w:t>CARBAMAZEPINE </w:t>
      </w:r>
      <w:r>
        <w:rPr>
          <w:color w:val="231F1F"/>
          <w:w w:val="110"/>
        </w:rPr>
        <w:t>(reduced plasma concentration); metabolism of clozapine accelerated by</w:t>
      </w:r>
    </w:p>
    <w:p>
      <w:pPr>
        <w:pStyle w:val="BodyText"/>
        <w:spacing w:line="247" w:lineRule="auto"/>
        <w:ind w:right="68"/>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CARBAMAZEPINE </w:t>
      </w:r>
      <w:r>
        <w:rPr>
          <w:color w:val="231F1F"/>
          <w:w w:val="110"/>
        </w:rPr>
        <w:t>(reduced plasma concentration), also avoid concomitant use of drugs with substantial potential for  causing agranulocytosis; plasma  concentration  of aripiprazole reduced by </w:t>
      </w: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4"/>
          <w:w w:val="110"/>
          <w:sz w:val="11"/>
        </w:rPr>
        <w:t>CARBAMAZEPINE </w:t>
      </w:r>
      <w:r>
        <w:rPr>
          <w:color w:val="231F1F"/>
          <w:w w:val="110"/>
        </w:rPr>
        <w:t>(avoid concomitant use or consider increasing the dose of aripiprazole </w:t>
      </w:r>
      <w:r>
        <w:rPr>
          <w:rFonts w:ascii="Arial" w:hAnsi="Arial"/>
          <w:color w:val="231F1F"/>
          <w:w w:val="110"/>
        </w:rPr>
        <w:t>—</w:t>
      </w:r>
      <w:r>
        <w:rPr>
          <w:color w:val="231F1F"/>
          <w:w w:val="110"/>
        </w:rPr>
        <w:t>consult aripiprazole product literature); plasma concentration of paliperidone reduced by </w:t>
      </w:r>
      <w:r>
        <w:rPr>
          <w:rFonts w:ascii="Calibri" w:hAnsi="Calibri"/>
          <w:color w:val="008356"/>
          <w:spacing w:val="4"/>
          <w:w w:val="110"/>
          <w:sz w:val="11"/>
        </w:rPr>
        <w:t>CARBAMAZEPINE</w:t>
      </w:r>
      <w:r>
        <w:rPr>
          <w:color w:val="231F1F"/>
          <w:spacing w:val="4"/>
          <w:w w:val="110"/>
        </w:rPr>
        <w:t>; </w:t>
      </w:r>
      <w:r>
        <w:rPr>
          <w:color w:val="231F1F"/>
          <w:w w:val="110"/>
        </w:rPr>
        <w:t>plasma concentration of lurasidone possibly reduced</w:t>
      </w:r>
      <w:r>
        <w:rPr>
          <w:color w:val="231F1F"/>
          <w:spacing w:val="6"/>
          <w:w w:val="110"/>
        </w:rPr>
        <w:t> </w:t>
      </w:r>
      <w:r>
        <w:rPr>
          <w:color w:val="231F1F"/>
          <w:w w:val="110"/>
        </w:rPr>
        <w:t>by</w:t>
      </w:r>
    </w:p>
    <w:p>
      <w:pPr>
        <w:spacing w:line="141" w:lineRule="exact" w:before="0"/>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20"/>
          <w:sz w:val="11"/>
        </w:rPr>
        <w:t>PHENOBARBITAL</w:t>
      </w:r>
      <w:r>
        <w:rPr>
          <w:color w:val="231F1F"/>
          <w:spacing w:val="4"/>
          <w:w w:val="120"/>
          <w:sz w:val="12"/>
        </w:rPr>
        <w:t>,</w:t>
      </w:r>
    </w:p>
    <w:p>
      <w:pPr>
        <w:spacing w:line="244" w:lineRule="auto" w:before="0"/>
        <w:ind w:left="208" w:right="89" w:firstLine="0"/>
        <w:jc w:val="left"/>
        <w:rPr>
          <w:sz w:val="12"/>
        </w:rPr>
      </w:pPr>
      <w:r>
        <w:rPr>
          <w:rFonts w:ascii="Arial" w:hAnsi="Arial"/>
          <w:color w:val="231F1F"/>
          <w:w w:val="355"/>
          <w:position w:val="1"/>
          <w:sz w:val="7"/>
        </w:rPr>
        <w:t>l </w:t>
      </w:r>
      <w:r>
        <w:rPr>
          <w:rFonts w:ascii="Calibri" w:hAnsi="Calibri"/>
          <w:color w:val="008356"/>
          <w:spacing w:val="4"/>
          <w:w w:val="110"/>
          <w:sz w:val="11"/>
        </w:rPr>
        <w:t>PHENYTOIN </w:t>
      </w:r>
      <w:r>
        <w:rPr>
          <w:color w:val="231F1F"/>
          <w:w w:val="110"/>
          <w:sz w:val="12"/>
        </w:rPr>
        <w:t>and </w:t>
      </w:r>
      <w:r>
        <w:rPr>
          <w:rFonts w:ascii="Arial" w:hAnsi="Arial"/>
          <w:color w:val="231F1F"/>
          <w:w w:val="355"/>
          <w:position w:val="1"/>
          <w:sz w:val="7"/>
        </w:rPr>
        <w:t>l </w:t>
      </w:r>
      <w:r>
        <w:rPr>
          <w:rFonts w:ascii="Calibri" w:hAnsi="Calibri"/>
          <w:color w:val="008356"/>
          <w:spacing w:val="3"/>
          <w:w w:val="110"/>
          <w:sz w:val="11"/>
        </w:rPr>
        <w:t>PRIMIDONE</w:t>
      </w:r>
      <w:r>
        <w:rPr>
          <w:rFonts w:ascii="Arial" w:hAnsi="Arial"/>
          <w:color w:val="231F1F"/>
          <w:spacing w:val="3"/>
          <w:w w:val="110"/>
          <w:sz w:val="12"/>
        </w:rPr>
        <w:t>—</w:t>
      </w:r>
      <w:r>
        <w:rPr>
          <w:color w:val="231F1F"/>
          <w:spacing w:val="3"/>
          <w:w w:val="110"/>
          <w:sz w:val="12"/>
        </w:rPr>
        <w:t>avoid </w:t>
      </w:r>
      <w:r>
        <w:rPr>
          <w:color w:val="231F1F"/>
          <w:w w:val="110"/>
          <w:sz w:val="12"/>
        </w:rPr>
        <w:t>concomitant use; chlorpromazine possibly increases or decreases plasma concentration of </w:t>
      </w:r>
      <w:r>
        <w:rPr>
          <w:rFonts w:ascii="Calibri" w:hAnsi="Calibri"/>
          <w:color w:val="008356"/>
          <w:spacing w:val="4"/>
          <w:w w:val="110"/>
          <w:sz w:val="11"/>
        </w:rPr>
        <w:t>FOSPHENYTOIN </w:t>
      </w:r>
      <w:r>
        <w:rPr>
          <w:color w:val="231F1F"/>
          <w:w w:val="110"/>
          <w:sz w:val="12"/>
        </w:rPr>
        <w:t>and </w:t>
      </w:r>
      <w:r>
        <w:rPr>
          <w:rFonts w:ascii="Calibri" w:hAnsi="Calibri"/>
          <w:color w:val="008356"/>
          <w:spacing w:val="4"/>
          <w:w w:val="110"/>
          <w:sz w:val="11"/>
        </w:rPr>
        <w:t>PHENYTOIN</w:t>
      </w:r>
      <w:r>
        <w:rPr>
          <w:color w:val="231F1F"/>
          <w:spacing w:val="4"/>
          <w:w w:val="110"/>
          <w:sz w:val="12"/>
        </w:rPr>
        <w:t>; </w:t>
      </w:r>
      <w:r>
        <w:rPr>
          <w:color w:val="231F1F"/>
          <w:w w:val="110"/>
          <w:sz w:val="12"/>
        </w:rPr>
        <w:t>metabolism of clozapine and quetiapine accelerated by </w:t>
      </w:r>
      <w:r>
        <w:rPr>
          <w:rFonts w:ascii="Calibri" w:hAnsi="Calibri"/>
          <w:color w:val="008356"/>
          <w:spacing w:val="4"/>
          <w:w w:val="110"/>
          <w:sz w:val="11"/>
        </w:rPr>
        <w:t>FOSPHENYTOIN </w:t>
      </w:r>
      <w:r>
        <w:rPr>
          <w:color w:val="231F1F"/>
          <w:w w:val="110"/>
          <w:sz w:val="12"/>
        </w:rPr>
        <w:t>(reduced plasma concentration); plasma concentration of aripiprazole possibly reduced by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0"/>
          <w:sz w:val="11"/>
        </w:rPr>
        <w:t>FOSPHENYTOIN</w:t>
      </w:r>
      <w:r>
        <w:rPr>
          <w:color w:val="231F1F"/>
          <w:spacing w:val="4"/>
          <w:w w:val="110"/>
          <w:sz w:val="12"/>
        </w:rPr>
        <w:t>,</w:t>
      </w:r>
    </w:p>
    <w:p>
      <w:pPr>
        <w:spacing w:before="0"/>
        <w:ind w:left="208" w:right="0" w:firstLine="0"/>
        <w:jc w:val="left"/>
        <w:rPr>
          <w:sz w:val="12"/>
        </w:rPr>
      </w:pPr>
      <w:r>
        <w:rPr>
          <w:rFonts w:ascii="Arial"/>
          <w:color w:val="231F1F"/>
          <w:w w:val="355"/>
          <w:position w:val="1"/>
          <w:sz w:val="7"/>
        </w:rPr>
        <w:t>l </w:t>
      </w:r>
      <w:r>
        <w:rPr>
          <w:rFonts w:ascii="Calibri"/>
          <w:color w:val="008356"/>
          <w:spacing w:val="4"/>
          <w:w w:val="110"/>
          <w:sz w:val="11"/>
        </w:rPr>
        <w:t>PHENOBARBITAL</w:t>
      </w:r>
      <w:r>
        <w:rPr>
          <w:color w:val="231F1F"/>
          <w:spacing w:val="4"/>
          <w:w w:val="110"/>
          <w:sz w:val="12"/>
        </w:rPr>
        <w:t>, </w:t>
      </w:r>
      <w:r>
        <w:rPr>
          <w:rFonts w:ascii="Arial"/>
          <w:color w:val="231F1F"/>
          <w:w w:val="355"/>
          <w:position w:val="1"/>
          <w:sz w:val="7"/>
        </w:rPr>
        <w:t>l </w:t>
      </w:r>
      <w:r>
        <w:rPr>
          <w:rFonts w:ascii="Calibri"/>
          <w:color w:val="008356"/>
          <w:spacing w:val="4"/>
          <w:w w:val="110"/>
          <w:sz w:val="11"/>
        </w:rPr>
        <w:t>PHENYTOIN </w:t>
      </w:r>
      <w:r>
        <w:rPr>
          <w:color w:val="231F1F"/>
          <w:w w:val="110"/>
          <w:sz w:val="12"/>
        </w:rPr>
        <w:t>and </w:t>
      </w:r>
      <w:r>
        <w:rPr>
          <w:rFonts w:ascii="Arial"/>
          <w:color w:val="231F1F"/>
          <w:w w:val="355"/>
          <w:position w:val="1"/>
          <w:sz w:val="7"/>
        </w:rPr>
        <w:t>l </w:t>
      </w:r>
      <w:r>
        <w:rPr>
          <w:rFonts w:ascii="Calibri"/>
          <w:color w:val="008356"/>
          <w:spacing w:val="4"/>
          <w:w w:val="110"/>
          <w:sz w:val="11"/>
        </w:rPr>
        <w:t>PRIMIDONE </w:t>
      </w:r>
      <w:r>
        <w:rPr>
          <w:color w:val="231F1F"/>
          <w:w w:val="110"/>
          <w:sz w:val="12"/>
        </w:rPr>
        <w:t>(avoid</w:t>
      </w:r>
    </w:p>
    <w:p>
      <w:pPr>
        <w:spacing w:line="244" w:lineRule="auto" w:before="2"/>
        <w:ind w:left="208" w:right="69" w:firstLine="0"/>
        <w:jc w:val="left"/>
        <w:rPr>
          <w:rFonts w:ascii="Calibri" w:hAnsi="Calibri"/>
          <w:sz w:val="11"/>
        </w:rPr>
      </w:pPr>
      <w:r>
        <w:rPr>
          <w:color w:val="231F1F"/>
          <w:w w:val="110"/>
          <w:sz w:val="12"/>
        </w:rPr>
        <w:t>concomitant use or consider increasing the dose of aripiprazole</w:t>
      </w:r>
      <w:r>
        <w:rPr>
          <w:rFonts w:ascii="Arial" w:hAnsi="Arial"/>
          <w:color w:val="231F1F"/>
          <w:w w:val="110"/>
          <w:sz w:val="12"/>
        </w:rPr>
        <w:t>—</w:t>
      </w:r>
      <w:r>
        <w:rPr>
          <w:color w:val="231F1F"/>
          <w:w w:val="110"/>
          <w:sz w:val="12"/>
        </w:rPr>
        <w:t>consult aripiprazole product literature); </w:t>
      </w:r>
      <w:r>
        <w:rPr>
          <w:color w:val="231F1F"/>
          <w:spacing w:val="-3"/>
          <w:w w:val="110"/>
          <w:sz w:val="12"/>
        </w:rPr>
        <w:t>plasma </w:t>
      </w:r>
      <w:r>
        <w:rPr>
          <w:color w:val="231F1F"/>
          <w:w w:val="110"/>
          <w:sz w:val="12"/>
        </w:rPr>
        <w:t>concentration of haloperidol reduced by </w:t>
      </w:r>
      <w:r>
        <w:rPr>
          <w:rFonts w:ascii="Calibri" w:hAnsi="Calibri"/>
          <w:color w:val="008356"/>
          <w:spacing w:val="4"/>
          <w:w w:val="110"/>
          <w:sz w:val="11"/>
        </w:rPr>
        <w:t>FOSPHENYTOIN </w:t>
      </w:r>
      <w:r>
        <w:rPr>
          <w:color w:val="231F1F"/>
          <w:w w:val="110"/>
          <w:sz w:val="12"/>
        </w:rPr>
        <w:t>and </w:t>
      </w:r>
      <w:r>
        <w:rPr>
          <w:rFonts w:ascii="Calibri" w:hAnsi="Calibri"/>
          <w:color w:val="008356"/>
          <w:spacing w:val="4"/>
          <w:w w:val="110"/>
          <w:sz w:val="11"/>
        </w:rPr>
        <w:t>PHENYTOIN</w:t>
      </w:r>
      <w:r>
        <w:rPr>
          <w:color w:val="231F1F"/>
          <w:spacing w:val="4"/>
          <w:w w:val="110"/>
          <w:sz w:val="12"/>
        </w:rPr>
        <w:t>; </w:t>
      </w:r>
      <w:r>
        <w:rPr>
          <w:color w:val="231F1F"/>
          <w:w w:val="110"/>
          <w:sz w:val="12"/>
        </w:rPr>
        <w:t>metabolism of haloperidol accelerated by </w:t>
      </w:r>
      <w:r>
        <w:rPr>
          <w:rFonts w:ascii="Calibri" w:hAnsi="Calibri"/>
          <w:color w:val="008356"/>
          <w:spacing w:val="4"/>
          <w:w w:val="110"/>
          <w:sz w:val="11"/>
        </w:rPr>
        <w:t>PHENOBARBITAL </w:t>
      </w:r>
      <w:r>
        <w:rPr>
          <w:color w:val="231F1F"/>
          <w:w w:val="110"/>
          <w:sz w:val="12"/>
        </w:rPr>
        <w:t>and </w:t>
      </w:r>
      <w:r>
        <w:rPr>
          <w:rFonts w:ascii="Calibri" w:hAnsi="Calibri"/>
          <w:color w:val="008356"/>
          <w:spacing w:val="4"/>
          <w:w w:val="110"/>
          <w:sz w:val="11"/>
        </w:rPr>
        <w:t>PRIMIDONE </w:t>
      </w:r>
      <w:r>
        <w:rPr>
          <w:color w:val="231F1F"/>
          <w:w w:val="110"/>
          <w:sz w:val="12"/>
        </w:rPr>
        <w:t>(reduced plasma concentration); plasma concentration of both drugs reduced when chlorpromazine given with </w:t>
      </w:r>
      <w:r>
        <w:rPr>
          <w:rFonts w:ascii="Calibri" w:hAnsi="Calibri"/>
          <w:color w:val="008356"/>
          <w:spacing w:val="4"/>
          <w:w w:val="110"/>
          <w:sz w:val="11"/>
        </w:rPr>
        <w:t>PHENOBARBITAL </w:t>
      </w:r>
      <w:r>
        <w:rPr>
          <w:color w:val="231F1F"/>
          <w:w w:val="110"/>
          <w:sz w:val="12"/>
        </w:rPr>
        <w:t>and </w:t>
      </w:r>
      <w:r>
        <w:rPr>
          <w:rFonts w:ascii="Calibri" w:hAnsi="Calibri"/>
          <w:color w:val="008356"/>
          <w:spacing w:val="4"/>
          <w:w w:val="110"/>
          <w:sz w:val="11"/>
        </w:rPr>
        <w:t>PRIMIDONE</w:t>
      </w:r>
      <w:r>
        <w:rPr>
          <w:color w:val="231F1F"/>
          <w:spacing w:val="4"/>
          <w:w w:val="110"/>
          <w:sz w:val="12"/>
        </w:rPr>
        <w:t>; </w:t>
      </w:r>
      <w:r>
        <w:rPr>
          <w:color w:val="231F1F"/>
          <w:w w:val="110"/>
          <w:sz w:val="12"/>
        </w:rPr>
        <w:t>plasma concentration of clozapine possibly reduced by </w:t>
      </w:r>
      <w:r>
        <w:rPr>
          <w:rFonts w:ascii="Calibri" w:hAnsi="Calibri"/>
          <w:color w:val="008356"/>
          <w:spacing w:val="4"/>
          <w:w w:val="110"/>
          <w:sz w:val="11"/>
        </w:rPr>
        <w:t>PHENOBARBITAL </w:t>
      </w:r>
      <w:r>
        <w:rPr>
          <w:color w:val="231F1F"/>
          <w:w w:val="110"/>
          <w:sz w:val="12"/>
        </w:rPr>
        <w:t>and </w:t>
      </w:r>
      <w:r>
        <w:rPr>
          <w:rFonts w:ascii="Calibri" w:hAnsi="Calibri"/>
          <w:color w:val="008356"/>
          <w:spacing w:val="4"/>
          <w:w w:val="110"/>
          <w:sz w:val="11"/>
        </w:rPr>
        <w:t>PRIMIDONE</w:t>
      </w:r>
      <w:r>
        <w:rPr>
          <w:color w:val="231F1F"/>
          <w:spacing w:val="4"/>
          <w:w w:val="110"/>
          <w:sz w:val="12"/>
        </w:rPr>
        <w:t>; </w:t>
      </w:r>
      <w:r>
        <w:rPr>
          <w:color w:val="231F1F"/>
          <w:w w:val="110"/>
          <w:sz w:val="12"/>
        </w:rPr>
        <w:t>metabolism of clozapine and quetiapine accelerated by </w:t>
      </w:r>
      <w:r>
        <w:rPr>
          <w:rFonts w:ascii="Calibri" w:hAnsi="Calibri"/>
          <w:color w:val="008356"/>
          <w:spacing w:val="4"/>
          <w:w w:val="110"/>
          <w:sz w:val="11"/>
        </w:rPr>
        <w:t>PHENYTOIN </w:t>
      </w:r>
      <w:r>
        <w:rPr>
          <w:color w:val="231F1F"/>
          <w:w w:val="110"/>
          <w:sz w:val="12"/>
        </w:rPr>
        <w:t>(reduced plasma concentration); increased risk  of  side-effects including neutropenia when olanzapine given with </w:t>
      </w:r>
      <w:r>
        <w:rPr>
          <w:rFonts w:ascii="Arial" w:hAnsi="Arial"/>
          <w:color w:val="231F1F"/>
          <w:w w:val="355"/>
          <w:position w:val="1"/>
          <w:sz w:val="7"/>
        </w:rPr>
        <w:t>l </w:t>
      </w:r>
      <w:r>
        <w:rPr>
          <w:rFonts w:ascii="Calibri" w:hAnsi="Calibri"/>
          <w:color w:val="008356"/>
          <w:spacing w:val="5"/>
          <w:w w:val="110"/>
          <w:sz w:val="11"/>
        </w:rPr>
        <w:t>SODIUM </w:t>
      </w:r>
      <w:r>
        <w:rPr>
          <w:rFonts w:ascii="Calibri" w:hAnsi="Calibri"/>
          <w:color w:val="008356"/>
          <w:spacing w:val="3"/>
          <w:w w:val="110"/>
          <w:sz w:val="11"/>
        </w:rPr>
        <w:t>VALPROATE </w:t>
      </w:r>
      <w:r>
        <w:rPr>
          <w:color w:val="231F1F"/>
          <w:w w:val="110"/>
          <w:sz w:val="12"/>
        </w:rPr>
        <w:t>and </w:t>
      </w:r>
      <w:r>
        <w:rPr>
          <w:rFonts w:ascii="Arial" w:hAnsi="Arial"/>
          <w:color w:val="231F1F"/>
          <w:w w:val="355"/>
          <w:position w:val="1"/>
          <w:sz w:val="7"/>
        </w:rPr>
        <w:t>l </w:t>
      </w:r>
      <w:r>
        <w:rPr>
          <w:rFonts w:ascii="Calibri" w:hAnsi="Calibri"/>
          <w:color w:val="008356"/>
          <w:spacing w:val="3"/>
          <w:w w:val="110"/>
          <w:sz w:val="11"/>
        </w:rPr>
        <w:t>VALPROIC ACID</w:t>
      </w:r>
      <w:r>
        <w:rPr>
          <w:color w:val="231F1F"/>
          <w:spacing w:val="3"/>
          <w:w w:val="110"/>
          <w:sz w:val="12"/>
        </w:rPr>
        <w:t>; </w:t>
      </w:r>
      <w:r>
        <w:rPr>
          <w:color w:val="231F1F"/>
          <w:w w:val="110"/>
          <w:sz w:val="12"/>
        </w:rPr>
        <w:t>plasma concentration of clozapine possibly increased or decreased by </w:t>
      </w:r>
      <w:r>
        <w:rPr>
          <w:rFonts w:ascii="Calibri" w:hAnsi="Calibri"/>
          <w:color w:val="008356"/>
          <w:spacing w:val="5"/>
          <w:w w:val="110"/>
          <w:sz w:val="11"/>
        </w:rPr>
        <w:t>SODIUM </w:t>
      </w:r>
      <w:r>
        <w:rPr>
          <w:rFonts w:ascii="Calibri" w:hAnsi="Calibri"/>
          <w:color w:val="008356"/>
          <w:spacing w:val="3"/>
          <w:w w:val="110"/>
          <w:sz w:val="11"/>
        </w:rPr>
        <w:t>VALPROATE </w:t>
      </w:r>
      <w:r>
        <w:rPr>
          <w:color w:val="231F1F"/>
          <w:w w:val="110"/>
          <w:sz w:val="12"/>
        </w:rPr>
        <w:t>and </w:t>
      </w:r>
      <w:r>
        <w:rPr>
          <w:rFonts w:ascii="Calibri" w:hAnsi="Calibri"/>
          <w:color w:val="008356"/>
          <w:spacing w:val="3"/>
          <w:w w:val="110"/>
          <w:sz w:val="11"/>
        </w:rPr>
        <w:t>VALPROIC</w:t>
      </w:r>
      <w:r>
        <w:rPr>
          <w:rFonts w:ascii="Calibri" w:hAnsi="Calibri"/>
          <w:color w:val="008356"/>
          <w:spacing w:val="5"/>
          <w:w w:val="110"/>
          <w:sz w:val="11"/>
        </w:rPr>
        <w:t> </w:t>
      </w:r>
      <w:r>
        <w:rPr>
          <w:rFonts w:ascii="Calibri" w:hAnsi="Calibri"/>
          <w:color w:val="008356"/>
          <w:spacing w:val="4"/>
          <w:w w:val="110"/>
          <w:sz w:val="11"/>
        </w:rPr>
        <w:t>ACID</w:t>
      </w:r>
    </w:p>
    <w:p>
      <w:pPr>
        <w:pStyle w:val="BodyText"/>
        <w:spacing w:line="242" w:lineRule="auto"/>
        <w:ind w:right="121"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lurasidone increased </w:t>
      </w:r>
      <w:r>
        <w:rPr>
          <w:color w:val="231F1F"/>
          <w:spacing w:val="-8"/>
          <w:w w:val="110"/>
        </w:rPr>
        <w:t>by </w:t>
      </w:r>
      <w:r>
        <w:rPr>
          <w:rFonts w:ascii="Arial" w:hAnsi="Arial"/>
          <w:color w:val="231F1F"/>
          <w:w w:val="355"/>
          <w:position w:val="1"/>
          <w:sz w:val="7"/>
        </w:rPr>
        <w:t>l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 </w:t>
      </w:r>
      <w:r>
        <w:rPr>
          <w:color w:val="231F1F"/>
          <w:w w:val="110"/>
        </w:rPr>
        <w:t>concomitant use; metabolism of aripiprazole inhibited by </w:t>
      </w:r>
      <w:r>
        <w:rPr>
          <w:rFonts w:ascii="Arial" w:hAnsi="Arial"/>
          <w:color w:val="231F1F"/>
          <w:w w:val="355"/>
          <w:position w:val="1"/>
          <w:sz w:val="7"/>
        </w:rPr>
        <w:t>l </w:t>
      </w:r>
      <w:r>
        <w:rPr>
          <w:rFonts w:ascii="Calibri" w:hAnsi="Calibri"/>
          <w:color w:val="008356"/>
          <w:spacing w:val="4"/>
          <w:w w:val="110"/>
          <w:sz w:val="11"/>
        </w:rPr>
        <w:t>KETOCONAZOLE </w:t>
      </w:r>
      <w:r>
        <w:rPr>
          <w:color w:val="231F1F"/>
          <w:w w:val="110"/>
        </w:rPr>
        <w:t>(reduce dose of aripiprazole); plasma concentration of lurasidone possibly increased by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FLUCONAZOLE </w:t>
      </w:r>
      <w:r>
        <w:rPr>
          <w:color w:val="231F1F"/>
          <w:w w:val="110"/>
        </w:rPr>
        <w:t>(see under Lurasidone, p. 315); plasma concentration of lurasidone possibly increased by</w:t>
      </w:r>
    </w:p>
    <w:p>
      <w:pPr>
        <w:spacing w:before="3"/>
        <w:ind w:left="208" w:right="0" w:firstLine="0"/>
        <w:jc w:val="left"/>
        <w:rPr>
          <w:sz w:val="12"/>
        </w:rPr>
      </w:pPr>
      <w:r>
        <w:rPr>
          <w:rFonts w:ascii="Arial" w:hAnsi="Arial"/>
          <w:color w:val="231F1F"/>
          <w:w w:val="110"/>
          <w:position w:val="1"/>
          <w:sz w:val="7"/>
        </w:rPr>
        <w:t>l </w:t>
      </w:r>
      <w:r>
        <w:rPr>
          <w:rFonts w:ascii="Calibri" w:hAnsi="Calibri"/>
          <w:color w:val="008356"/>
          <w:w w:val="110"/>
          <w:sz w:val="11"/>
        </w:rPr>
        <w:t>ITRACONAZOLE</w:t>
      </w:r>
      <w:r>
        <w:rPr>
          <w:color w:val="231F1F"/>
          <w:w w:val="110"/>
          <w:sz w:val="12"/>
        </w:rPr>
        <w:t>, </w:t>
      </w:r>
      <w:r>
        <w:rPr>
          <w:rFonts w:ascii="Arial" w:hAnsi="Arial"/>
          <w:color w:val="231F1F"/>
          <w:w w:val="110"/>
          <w:position w:val="1"/>
          <w:sz w:val="7"/>
        </w:rPr>
        <w:t>l </w:t>
      </w:r>
      <w:r>
        <w:rPr>
          <w:rFonts w:ascii="Calibri" w:hAnsi="Calibri"/>
          <w:color w:val="008356"/>
          <w:w w:val="110"/>
          <w:sz w:val="11"/>
        </w:rPr>
        <w:t>POSACONAZOLE </w:t>
      </w:r>
      <w:r>
        <w:rPr>
          <w:color w:val="231F1F"/>
          <w:w w:val="110"/>
          <w:sz w:val="12"/>
        </w:rPr>
        <w:t>and </w:t>
      </w: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avoid</w:t>
      </w:r>
    </w:p>
    <w:p>
      <w:pPr>
        <w:pStyle w:val="BodyText"/>
        <w:spacing w:line="244" w:lineRule="auto" w:before="1"/>
        <w:ind w:right="38"/>
      </w:pPr>
      <w:r>
        <w:rPr>
          <w:color w:val="231F1F"/>
          <w:w w:val="110"/>
        </w:rPr>
        <w:t>concomitant use; plasma concentration of  aripiprazole possibly increased by </w:t>
      </w:r>
      <w:r>
        <w:rPr>
          <w:rFonts w:ascii="Arial" w:hAnsi="Arial"/>
          <w:color w:val="231F1F"/>
          <w:w w:val="355"/>
          <w:position w:val="1"/>
          <w:sz w:val="7"/>
        </w:rPr>
        <w:t>l </w:t>
      </w:r>
      <w:r>
        <w:rPr>
          <w:rFonts w:ascii="Calibri" w:hAnsi="Calibri"/>
          <w:color w:val="008356"/>
          <w:spacing w:val="4"/>
          <w:w w:val="110"/>
          <w:sz w:val="11"/>
        </w:rPr>
        <w:t>ITRACONAZOLE </w:t>
      </w:r>
      <w:r>
        <w:rPr>
          <w:color w:val="231F1F"/>
          <w:w w:val="110"/>
        </w:rPr>
        <w:t>(reduce dose of aripiprazole</w:t>
      </w:r>
      <w:r>
        <w:rPr>
          <w:rFonts w:ascii="Arial" w:hAnsi="Arial"/>
          <w:color w:val="231F1F"/>
          <w:w w:val="110"/>
        </w:rPr>
        <w:t>—</w:t>
      </w:r>
      <w:r>
        <w:rPr>
          <w:color w:val="231F1F"/>
          <w:w w:val="110"/>
        </w:rPr>
        <w:t>consult aripiprazole product literature); side- effects of risperidone possibly increased by </w:t>
      </w:r>
      <w:r>
        <w:rPr>
          <w:rFonts w:ascii="Calibri" w:hAnsi="Calibri"/>
          <w:color w:val="008356"/>
          <w:spacing w:val="4"/>
          <w:w w:val="110"/>
          <w:sz w:val="11"/>
        </w:rPr>
        <w:t>ITRACONAZOLE</w:t>
      </w:r>
      <w:r>
        <w:rPr>
          <w:color w:val="231F1F"/>
          <w:spacing w:val="4"/>
          <w:w w:val="110"/>
        </w:rPr>
        <w:t>; </w:t>
      </w:r>
      <w:r>
        <w:rPr>
          <w:color w:val="231F1F"/>
          <w:w w:val="110"/>
        </w:rPr>
        <w:t>plasma concentration of haloperidol possibly increased by </w:t>
      </w:r>
      <w:r>
        <w:rPr>
          <w:rFonts w:ascii="Calibri" w:hAnsi="Calibri"/>
          <w:color w:val="008356"/>
          <w:spacing w:val="4"/>
          <w:w w:val="110"/>
          <w:sz w:val="11"/>
        </w:rPr>
        <w:t>ITRACONAZOLE</w:t>
      </w:r>
      <w:r>
        <w:rPr>
          <w:color w:val="231F1F"/>
          <w:spacing w:val="4"/>
          <w:w w:val="110"/>
        </w:rPr>
        <w:t>; </w:t>
      </w:r>
      <w:r>
        <w:rPr>
          <w:color w:val="231F1F"/>
          <w:w w:val="110"/>
        </w:rPr>
        <w:t>increased risk of ventricular arrhythmias </w:t>
      </w:r>
      <w:r>
        <w:rPr>
          <w:color w:val="231F1F"/>
          <w:spacing w:val="-3"/>
          <w:w w:val="110"/>
        </w:rPr>
        <w:t>when </w:t>
      </w:r>
      <w:r>
        <w:rPr>
          <w:color w:val="231F1F"/>
          <w:w w:val="110"/>
        </w:rPr>
        <w:t>pimozide given with </w:t>
      </w:r>
      <w:r>
        <w:rPr>
          <w:rFonts w:ascii="Arial" w:hAnsi="Arial"/>
          <w:color w:val="231F1F"/>
          <w:w w:val="355"/>
          <w:position w:val="1"/>
          <w:sz w:val="7"/>
        </w:rPr>
        <w:t>l </w:t>
      </w:r>
      <w:r>
        <w:rPr>
          <w:rFonts w:ascii="Calibri" w:hAnsi="Calibri"/>
          <w:color w:val="008356"/>
          <w:spacing w:val="4"/>
          <w:w w:val="110"/>
          <w:sz w:val="11"/>
        </w:rPr>
        <w:t>IMIDAZOLES </w:t>
      </w:r>
      <w:r>
        <w:rPr>
          <w:color w:val="231F1F"/>
          <w:w w:val="110"/>
        </w:rPr>
        <w:t>or </w:t>
      </w:r>
      <w:r>
        <w:rPr>
          <w:rFonts w:ascii="Arial" w:hAnsi="Arial"/>
          <w:color w:val="231F1F"/>
          <w:w w:val="355"/>
          <w:position w:val="1"/>
          <w:sz w:val="7"/>
        </w:rPr>
        <w:t>l </w:t>
      </w:r>
      <w:r>
        <w:rPr>
          <w:rFonts w:ascii="Calibri" w:hAnsi="Calibri"/>
          <w:color w:val="008356"/>
          <w:spacing w:val="2"/>
          <w:w w:val="110"/>
          <w:sz w:val="11"/>
        </w:rPr>
        <w:t>TRIAZOLES</w:t>
      </w:r>
      <w:r>
        <w:rPr>
          <w:rFonts w:ascii="Arial" w:hAnsi="Arial"/>
          <w:color w:val="231F1F"/>
          <w:spacing w:val="2"/>
          <w:w w:val="110"/>
        </w:rPr>
        <w:t>—</w:t>
      </w:r>
      <w:r>
        <w:rPr>
          <w:color w:val="231F1F"/>
          <w:spacing w:val="2"/>
          <w:w w:val="110"/>
        </w:rPr>
        <w:t>avoid </w:t>
      </w:r>
      <w:r>
        <w:rPr>
          <w:color w:val="231F1F"/>
          <w:w w:val="110"/>
        </w:rPr>
        <w:t>concomitant use; plasma  concentration  of  quetiapine possibly increased by </w:t>
      </w:r>
      <w:r>
        <w:rPr>
          <w:rFonts w:ascii="Arial" w:hAnsi="Arial"/>
          <w:color w:val="231F1F"/>
          <w:w w:val="355"/>
          <w:position w:val="1"/>
          <w:sz w:val="7"/>
        </w:rPr>
        <w:t>l </w:t>
      </w:r>
      <w:r>
        <w:rPr>
          <w:rFonts w:ascii="Calibri" w:hAnsi="Calibri"/>
          <w:color w:val="008356"/>
          <w:spacing w:val="4"/>
          <w:w w:val="110"/>
          <w:sz w:val="11"/>
        </w:rPr>
        <w:t>IMIDAZOLES </w:t>
      </w:r>
      <w:r>
        <w:rPr>
          <w:color w:val="231F1F"/>
          <w:w w:val="110"/>
        </w:rPr>
        <w:t>and </w:t>
      </w:r>
      <w:r>
        <w:rPr>
          <w:rFonts w:ascii="Arial" w:hAnsi="Arial"/>
          <w:color w:val="231F1F"/>
          <w:w w:val="355"/>
          <w:position w:val="1"/>
          <w:sz w:val="7"/>
        </w:rPr>
        <w:t>l </w:t>
      </w:r>
      <w:r>
        <w:rPr>
          <w:rFonts w:ascii="Calibri" w:hAnsi="Calibri"/>
          <w:color w:val="008356"/>
          <w:spacing w:val="4"/>
          <w:w w:val="110"/>
          <w:sz w:val="11"/>
        </w:rPr>
        <w:t>TRIAZOLES</w:t>
      </w:r>
      <w:r>
        <w:rPr>
          <w:rFonts w:ascii="Arial" w:hAnsi="Arial"/>
          <w:color w:val="231F1F"/>
          <w:spacing w:val="4"/>
          <w:w w:val="110"/>
        </w:rPr>
        <w:t>— </w:t>
      </w:r>
      <w:r>
        <w:rPr>
          <w:color w:val="231F1F"/>
          <w:w w:val="110"/>
        </w:rPr>
        <w:t>manufacturer</w:t>
      </w:r>
      <w:r>
        <w:rPr>
          <w:color w:val="231F1F"/>
          <w:spacing w:val="17"/>
          <w:w w:val="110"/>
        </w:rPr>
        <w:t> </w:t>
      </w:r>
      <w:r>
        <w:rPr>
          <w:color w:val="231F1F"/>
          <w:w w:val="110"/>
        </w:rPr>
        <w:t>of quetiapine advises avoid concomitant use</w:t>
      </w:r>
    </w:p>
    <w:p>
      <w:pPr>
        <w:pStyle w:val="BodyText"/>
        <w:spacing w:line="244" w:lineRule="auto" w:before="4"/>
        <w:ind w:right="30" w:hanging="100"/>
      </w:pPr>
      <w:r>
        <w:rPr>
          <w:rFonts w:ascii="Arial"/>
          <w:color w:val="231F1F"/>
          <w:w w:val="355"/>
          <w:position w:val="1"/>
          <w:sz w:val="7"/>
        </w:rPr>
        <w:t>l </w:t>
      </w:r>
      <w:r>
        <w:rPr>
          <w:rFonts w:ascii="Calibri"/>
          <w:color w:val="231F1F"/>
          <w:w w:val="110"/>
        </w:rPr>
        <w:t>Antimalarials: </w:t>
      </w:r>
      <w:r>
        <w:rPr>
          <w:color w:val="231F1F"/>
          <w:w w:val="110"/>
        </w:rPr>
        <w:t>avoidance of antipsychotics advised by manufacturer</w:t>
      </w:r>
      <w:r>
        <w:rPr>
          <w:color w:val="231F1F"/>
          <w:spacing w:val="-23"/>
          <w:w w:val="110"/>
        </w:rPr>
        <w:t> </w:t>
      </w:r>
      <w:r>
        <w:rPr>
          <w:color w:val="231F1F"/>
          <w:w w:val="110"/>
        </w:rPr>
        <w:t>of</w:t>
      </w:r>
      <w:r>
        <w:rPr>
          <w:color w:val="231F1F"/>
          <w:spacing w:val="-22"/>
          <w:w w:val="110"/>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rPr>
        <w:t>;</w:t>
      </w:r>
      <w:r>
        <w:rPr>
          <w:color w:val="231F1F"/>
          <w:spacing w:val="-22"/>
          <w:w w:val="110"/>
        </w:rPr>
        <w:t> </w:t>
      </w:r>
      <w:r>
        <w:rPr>
          <w:color w:val="231F1F"/>
          <w:w w:val="110"/>
        </w:rPr>
        <w:t>avoidance of droperidol, haloperidol, phenothiazines and pimozide advised by manufacturer of </w:t>
      </w:r>
      <w:r>
        <w:rPr>
          <w:rFonts w:ascii="Arial"/>
          <w:color w:val="231F1F"/>
          <w:w w:val="355"/>
          <w:position w:val="1"/>
          <w:sz w:val="7"/>
        </w:rPr>
        <w:t>l </w:t>
      </w:r>
      <w:r>
        <w:rPr>
          <w:rFonts w:ascii="Calibri"/>
          <w:color w:val="008356"/>
          <w:spacing w:val="4"/>
          <w:w w:val="110"/>
          <w:sz w:val="11"/>
        </w:rPr>
        <w:t>ARTENIMOL WITH </w:t>
      </w:r>
      <w:r>
        <w:rPr>
          <w:rFonts w:ascii="Calibri"/>
          <w:color w:val="008356"/>
          <w:spacing w:val="5"/>
          <w:w w:val="110"/>
          <w:sz w:val="11"/>
        </w:rPr>
        <w:t>PIPERAQUINE </w:t>
      </w:r>
      <w:r>
        <w:rPr>
          <w:color w:val="231F1F"/>
          <w:w w:val="110"/>
        </w:rPr>
        <w:t>(possible risk of ventricular arrhythmias); increased risk of ventricular arrhythmias when droperidol given</w:t>
      </w:r>
      <w:r>
        <w:rPr>
          <w:color w:val="231F1F"/>
          <w:spacing w:val="9"/>
          <w:w w:val="110"/>
        </w:rPr>
        <w:t> </w:t>
      </w:r>
      <w:r>
        <w:rPr>
          <w:color w:val="231F1F"/>
          <w:w w:val="110"/>
        </w:rPr>
        <w:t>with</w:t>
      </w:r>
    </w:p>
    <w:p>
      <w:pPr>
        <w:spacing w:before="2"/>
        <w:ind w:left="208" w:right="0" w:firstLine="0"/>
        <w:jc w:val="left"/>
        <w:rPr>
          <w:sz w:val="12"/>
        </w:rPr>
      </w:pPr>
      <w:r>
        <w:rPr>
          <w:rFonts w:ascii="Arial" w:hAnsi="Arial"/>
          <w:color w:val="231F1F"/>
          <w:w w:val="110"/>
          <w:position w:val="1"/>
          <w:sz w:val="7"/>
        </w:rPr>
        <w:t>l </w:t>
      </w:r>
      <w:r>
        <w:rPr>
          <w:rFonts w:ascii="Calibri" w:hAnsi="Calibri"/>
          <w:color w:val="008356"/>
          <w:w w:val="110"/>
          <w:sz w:val="11"/>
        </w:rPr>
        <w:t>CHLOROQUINE</w:t>
      </w:r>
      <w:r>
        <w:rPr>
          <w:color w:val="231F1F"/>
          <w:w w:val="110"/>
          <w:sz w:val="12"/>
        </w:rPr>
        <w:t>, </w:t>
      </w:r>
      <w:r>
        <w:rPr>
          <w:rFonts w:ascii="Arial" w:hAnsi="Arial"/>
          <w:color w:val="231F1F"/>
          <w:w w:val="110"/>
          <w:position w:val="1"/>
          <w:sz w:val="7"/>
        </w:rPr>
        <w:t>l </w:t>
      </w:r>
      <w:r>
        <w:rPr>
          <w:rFonts w:ascii="Calibri" w:hAnsi="Calibri"/>
          <w:color w:val="008356"/>
          <w:w w:val="110"/>
          <w:sz w:val="11"/>
        </w:rPr>
        <w:t>HYDROXYCHLOROQUINE </w:t>
      </w:r>
      <w:r>
        <w:rPr>
          <w:color w:val="231F1F"/>
          <w:w w:val="110"/>
          <w:sz w:val="12"/>
        </w:rPr>
        <w:t>or </w:t>
      </w:r>
      <w:r>
        <w:rPr>
          <w:rFonts w:ascii="Arial" w:hAnsi="Arial"/>
          <w:color w:val="231F1F"/>
          <w:w w:val="110"/>
          <w:position w:val="1"/>
          <w:sz w:val="7"/>
        </w:rPr>
        <w:t>l </w:t>
      </w:r>
      <w:r>
        <w:rPr>
          <w:rFonts w:ascii="Calibri" w:hAnsi="Calibri"/>
          <w:color w:val="008356"/>
          <w:w w:val="110"/>
          <w:sz w:val="11"/>
        </w:rPr>
        <w:t>QUININE</w:t>
      </w:r>
      <w:r>
        <w:rPr>
          <w:rFonts w:ascii="Arial" w:hAnsi="Arial"/>
          <w:color w:val="231F1F"/>
          <w:w w:val="110"/>
          <w:sz w:val="12"/>
        </w:rPr>
        <w:t>—</w:t>
      </w:r>
      <w:r>
        <w:rPr>
          <w:color w:val="231F1F"/>
          <w:w w:val="110"/>
          <w:sz w:val="12"/>
        </w:rPr>
        <w:t>avoid</w:t>
      </w:r>
    </w:p>
    <w:p>
      <w:pPr>
        <w:pStyle w:val="BodyText"/>
        <w:spacing w:line="247" w:lineRule="auto" w:before="3"/>
      </w:pPr>
      <w:r>
        <w:rPr>
          <w:color w:val="231F1F"/>
          <w:w w:val="110"/>
        </w:rPr>
        <w:t>concomitant use; possible increased risk of ventricular arrhythmias when haloperidol given with </w:t>
      </w:r>
      <w:r>
        <w:rPr>
          <w:rFonts w:ascii="Arial"/>
          <w:color w:val="231F1F"/>
          <w:w w:val="355"/>
          <w:position w:val="1"/>
          <w:sz w:val="7"/>
        </w:rPr>
        <w:t>l </w:t>
      </w:r>
      <w:r>
        <w:rPr>
          <w:rFonts w:ascii="Calibri"/>
          <w:color w:val="008356"/>
          <w:spacing w:val="4"/>
          <w:w w:val="110"/>
          <w:sz w:val="11"/>
        </w:rPr>
        <w:t>MEFLOQUINE </w:t>
      </w:r>
      <w:r>
        <w:rPr>
          <w:color w:val="231F1F"/>
          <w:spacing w:val="-6"/>
          <w:w w:val="110"/>
        </w:rPr>
        <w:t>or</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Antipsychotics</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2080" filled="true" fillcolor="#bfdbcf" stroked="false">
            <v:fill type="solid"/>
            <w10:wrap type="none"/>
          </v:rect>
        </w:pict>
      </w:r>
      <w:r>
        <w:rPr/>
        <w:pict>
          <v:shape style="position:absolute;margin-left:399.725769pt;margin-top:-3.416702pt;width:10.4pt;height:78.850pt;mso-position-horizontal-relative:page;mso-position-vertical-relative:paragraph;z-index:210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Antimalarials (continued)</w:t>
      </w:r>
    </w:p>
    <w:p>
      <w:pPr>
        <w:pStyle w:val="BodyText"/>
        <w:spacing w:line="244" w:lineRule="auto"/>
        <w:ind w:right="745"/>
      </w:pPr>
      <w:r>
        <w:rPr>
          <w:rFonts w:ascii="Arial" w:hAnsi="Arial"/>
          <w:color w:val="231F1F"/>
          <w:w w:val="355"/>
          <w:position w:val="1"/>
          <w:sz w:val="7"/>
        </w:rPr>
        <w:t>l </w:t>
      </w:r>
      <w:r>
        <w:rPr>
          <w:rFonts w:ascii="Calibri" w:hAnsi="Calibri"/>
          <w:color w:val="008356"/>
          <w:spacing w:val="2"/>
          <w:w w:val="110"/>
          <w:sz w:val="11"/>
        </w:rPr>
        <w:t>QUININE</w:t>
      </w:r>
      <w:r>
        <w:rPr>
          <w:rFonts w:ascii="Arial" w:hAnsi="Arial"/>
          <w:color w:val="231F1F"/>
          <w:spacing w:val="2"/>
          <w:w w:val="110"/>
        </w:rPr>
        <w:t>—</w:t>
      </w:r>
      <w:r>
        <w:rPr>
          <w:color w:val="231F1F"/>
          <w:spacing w:val="2"/>
          <w:w w:val="110"/>
        </w:rPr>
        <w:t>avoid </w:t>
      </w:r>
      <w:r>
        <w:rPr>
          <w:color w:val="231F1F"/>
          <w:w w:val="110"/>
        </w:rPr>
        <w:t>concomitant use; manufacturer of risperidone advises possible risk of ventricular arrhythmias when</w:t>
      </w:r>
      <w:r>
        <w:rPr>
          <w:color w:val="231F1F"/>
          <w:spacing w:val="-5"/>
          <w:w w:val="110"/>
        </w:rPr>
        <w:t> </w:t>
      </w:r>
      <w:r>
        <w:rPr>
          <w:color w:val="231F1F"/>
          <w:w w:val="110"/>
        </w:rPr>
        <w:t>risperidone</w:t>
      </w:r>
      <w:r>
        <w:rPr>
          <w:color w:val="231F1F"/>
          <w:spacing w:val="-4"/>
          <w:w w:val="110"/>
        </w:rPr>
        <w:t> </w:t>
      </w:r>
      <w:r>
        <w:rPr>
          <w:color w:val="231F1F"/>
          <w:w w:val="110"/>
        </w:rPr>
        <w:t>given</w:t>
      </w:r>
      <w:r>
        <w:rPr>
          <w:color w:val="231F1F"/>
          <w:spacing w:val="-3"/>
          <w:w w:val="110"/>
        </w:rPr>
        <w:t> </w:t>
      </w:r>
      <w:r>
        <w:rPr>
          <w:color w:val="231F1F"/>
          <w:w w:val="110"/>
        </w:rPr>
        <w:t>with</w:t>
      </w:r>
      <w:r>
        <w:rPr>
          <w:color w:val="231F1F"/>
          <w:spacing w:val="-3"/>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MEFLOQUINE</w:t>
      </w:r>
      <w:r>
        <w:rPr>
          <w:color w:val="231F1F"/>
          <w:spacing w:val="4"/>
          <w:w w:val="110"/>
        </w:rPr>
        <w:t>;</w:t>
      </w:r>
      <w:r>
        <w:rPr>
          <w:color w:val="231F1F"/>
          <w:spacing w:val="-2"/>
          <w:w w:val="110"/>
        </w:rPr>
        <w:t> </w:t>
      </w:r>
      <w:r>
        <w:rPr>
          <w:color w:val="231F1F"/>
          <w:w w:val="110"/>
        </w:rPr>
        <w:t>increased</w:t>
      </w:r>
      <w:r>
        <w:rPr>
          <w:color w:val="231F1F"/>
          <w:spacing w:val="-4"/>
          <w:w w:val="110"/>
        </w:rPr>
        <w:t> </w:t>
      </w:r>
      <w:r>
        <w:rPr>
          <w:color w:val="231F1F"/>
          <w:w w:val="110"/>
        </w:rPr>
        <w:t>risk</w:t>
      </w:r>
      <w:r>
        <w:rPr>
          <w:color w:val="231F1F"/>
          <w:spacing w:val="-2"/>
          <w:w w:val="110"/>
        </w:rPr>
        <w:t> </w:t>
      </w:r>
      <w:r>
        <w:rPr>
          <w:color w:val="231F1F"/>
          <w:w w:val="110"/>
        </w:rPr>
        <w:t>of ventricular arrhythmias when pimozide given</w:t>
      </w:r>
      <w:r>
        <w:rPr>
          <w:color w:val="231F1F"/>
          <w:spacing w:val="6"/>
          <w:w w:val="110"/>
        </w:rPr>
        <w:t> </w:t>
      </w:r>
      <w:r>
        <w:rPr>
          <w:color w:val="231F1F"/>
          <w:w w:val="110"/>
        </w:rPr>
        <w:t>with</w:t>
      </w:r>
    </w:p>
    <w:p>
      <w:pPr>
        <w:pStyle w:val="BodyText"/>
        <w:spacing w:line="244" w:lineRule="auto" w:before="2"/>
        <w:ind w:right="762"/>
        <w:rPr>
          <w:rFonts w:ascii="Calibri" w:hAnsi="Calibri"/>
          <w:sz w:val="11"/>
        </w:rPr>
      </w:pPr>
      <w:r>
        <w:rPr>
          <w:rFonts w:ascii="Arial" w:hAnsi="Arial"/>
          <w:color w:val="231F1F"/>
          <w:w w:val="355"/>
          <w:position w:val="1"/>
          <w:sz w:val="7"/>
        </w:rPr>
        <w:t>l </w:t>
      </w:r>
      <w:r>
        <w:rPr>
          <w:rFonts w:ascii="Calibri" w:hAnsi="Calibri"/>
          <w:color w:val="008356"/>
          <w:spacing w:val="4"/>
          <w:w w:val="110"/>
          <w:sz w:val="11"/>
        </w:rPr>
        <w:t>MEFLOQUINE </w:t>
      </w:r>
      <w:r>
        <w:rPr>
          <w:color w:val="231F1F"/>
          <w:w w:val="110"/>
        </w:rPr>
        <w:t>or </w:t>
      </w:r>
      <w:r>
        <w:rPr>
          <w:rFonts w:ascii="Arial" w:hAnsi="Arial"/>
          <w:color w:val="231F1F"/>
          <w:w w:val="355"/>
          <w:position w:val="1"/>
          <w:sz w:val="7"/>
        </w:rPr>
        <w:t>l </w:t>
      </w:r>
      <w:r>
        <w:rPr>
          <w:rFonts w:ascii="Calibri" w:hAnsi="Calibri"/>
          <w:color w:val="008356"/>
          <w:spacing w:val="2"/>
          <w:w w:val="110"/>
          <w:sz w:val="11"/>
        </w:rPr>
        <w:t>QUININE</w:t>
      </w:r>
      <w:r>
        <w:rPr>
          <w:rFonts w:ascii="Arial" w:hAnsi="Arial"/>
          <w:color w:val="231F1F"/>
          <w:spacing w:val="2"/>
          <w:w w:val="110"/>
        </w:rPr>
        <w:t>—</w:t>
      </w:r>
      <w:r>
        <w:rPr>
          <w:color w:val="231F1F"/>
          <w:spacing w:val="2"/>
          <w:w w:val="110"/>
        </w:rPr>
        <w:t>avoid </w:t>
      </w:r>
      <w:r>
        <w:rPr>
          <w:color w:val="231F1F"/>
          <w:w w:val="110"/>
        </w:rPr>
        <w:t>concomitant use; manufacturer of amisulpride advises avoid concomitant </w:t>
      </w:r>
      <w:r>
        <w:rPr>
          <w:color w:val="231F1F"/>
          <w:spacing w:val="-5"/>
          <w:w w:val="110"/>
        </w:rPr>
        <w:t>use </w:t>
      </w:r>
      <w:r>
        <w:rPr>
          <w:color w:val="231F1F"/>
          <w:w w:val="110"/>
        </w:rPr>
        <w:t>with </w:t>
      </w:r>
      <w:r>
        <w:rPr>
          <w:rFonts w:ascii="Calibri" w:hAnsi="Calibri"/>
          <w:color w:val="008356"/>
          <w:spacing w:val="4"/>
          <w:w w:val="110"/>
          <w:sz w:val="11"/>
        </w:rPr>
        <w:t>MEFLOQUINE</w:t>
      </w:r>
      <w:r>
        <w:rPr>
          <w:color w:val="231F1F"/>
          <w:spacing w:val="4"/>
          <w:w w:val="110"/>
        </w:rPr>
        <w:t>; </w:t>
      </w:r>
      <w:r>
        <w:rPr>
          <w:color w:val="231F1F"/>
          <w:w w:val="110"/>
        </w:rPr>
        <w:t>possible increased risk of ventricular arrhythmias when risperidone given with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5"/>
          <w:w w:val="110"/>
          <w:sz w:val="11"/>
        </w:rPr>
        <w:t>QUININE</w:t>
      </w:r>
    </w:p>
    <w:p>
      <w:pPr>
        <w:pStyle w:val="BodyText"/>
        <w:spacing w:line="242" w:lineRule="auto"/>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increased risk of antimuscarinic side-effects when clozapine given with </w:t>
      </w:r>
      <w:r>
        <w:rPr>
          <w:rFonts w:ascii="Calibri" w:hAnsi="Calibri"/>
          <w:color w:val="008356"/>
          <w:w w:val="110"/>
          <w:sz w:val="11"/>
        </w:rPr>
        <w:t>ANTIMUSCARINICS</w:t>
      </w:r>
      <w:r>
        <w:rPr>
          <w:color w:val="231F1F"/>
          <w:w w:val="110"/>
        </w:rPr>
        <w:t>; plasma concentration of phenothiazines reduced by </w:t>
      </w:r>
      <w:r>
        <w:rPr>
          <w:rFonts w:ascii="Calibri" w:hAnsi="Calibri"/>
          <w:color w:val="008356"/>
          <w:w w:val="110"/>
          <w:sz w:val="11"/>
        </w:rPr>
        <w:t>ANTIMUSCARINICS</w:t>
      </w:r>
      <w:r>
        <w:rPr>
          <w:color w:val="231F1F"/>
          <w:w w:val="110"/>
        </w:rPr>
        <w:t>, but risk of antimuscarinic side-effects increased; effects of haloperidol possibly reduced by </w:t>
      </w:r>
      <w:r>
        <w:rPr>
          <w:rFonts w:ascii="Calibri" w:hAnsi="Calibri"/>
          <w:color w:val="008356"/>
          <w:w w:val="110"/>
          <w:sz w:val="11"/>
        </w:rPr>
        <w:t>ANTIMUSCARINICS</w:t>
      </w:r>
    </w:p>
    <w:p>
      <w:pPr>
        <w:pStyle w:val="BodyText"/>
        <w:spacing w:line="244" w:lineRule="auto"/>
        <w:ind w:right="676"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Antipsychotics:</w:t>
      </w:r>
      <w:r>
        <w:rPr>
          <w:rFonts w:ascii="Calibri" w:hAns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w w:val="115"/>
        </w:rPr>
        <w:t>when amisulpride,</w:t>
      </w:r>
      <w:r>
        <w:rPr>
          <w:color w:val="231F1F"/>
          <w:spacing w:val="-23"/>
          <w:w w:val="115"/>
        </w:rPr>
        <w:t> </w:t>
      </w:r>
      <w:r>
        <w:rPr>
          <w:color w:val="231F1F"/>
          <w:w w:val="115"/>
        </w:rPr>
        <w:t>pimozide</w:t>
      </w:r>
      <w:r>
        <w:rPr>
          <w:color w:val="231F1F"/>
          <w:spacing w:val="-23"/>
          <w:w w:val="115"/>
        </w:rPr>
        <w:t> </w:t>
      </w:r>
      <w:r>
        <w:rPr>
          <w:color w:val="231F1F"/>
          <w:w w:val="115"/>
        </w:rPr>
        <w:t>or</w:t>
      </w:r>
      <w:r>
        <w:rPr>
          <w:color w:val="231F1F"/>
          <w:spacing w:val="-22"/>
          <w:w w:val="115"/>
        </w:rPr>
        <w:t> </w:t>
      </w:r>
      <w:r>
        <w:rPr>
          <w:color w:val="231F1F"/>
          <w:w w:val="115"/>
        </w:rPr>
        <w:t>sulpiride</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DROPERIDOL</w:t>
      </w:r>
      <w:r>
        <w:rPr>
          <w:rFonts w:ascii="Arial" w:hAnsi="Arial"/>
          <w:color w:val="231F1F"/>
          <w:spacing w:val="3"/>
          <w:w w:val="115"/>
        </w:rPr>
        <w:t>— </w:t>
      </w:r>
      <w:r>
        <w:rPr>
          <w:color w:val="231F1F"/>
          <w:w w:val="115"/>
        </w:rPr>
        <w:t>avoid concomitant use; increased risk of ventricular arrhythmias when phenothiazines </w:t>
      </w:r>
      <w:r>
        <w:rPr>
          <w:color w:val="231F1F"/>
          <w:w w:val="145"/>
        </w:rPr>
        <w:t>that </w:t>
      </w:r>
      <w:r>
        <w:rPr>
          <w:color w:val="231F1F"/>
          <w:w w:val="115"/>
        </w:rPr>
        <w:t>prolong </w:t>
      </w:r>
      <w:r>
        <w:rPr>
          <w:color w:val="231F1F"/>
          <w:w w:val="145"/>
        </w:rPr>
        <w:t>the </w:t>
      </w:r>
      <w:r>
        <w:rPr>
          <w:color w:val="231F1F"/>
          <w:w w:val="115"/>
        </w:rPr>
        <w:t>QT interval</w:t>
      </w:r>
      <w:r>
        <w:rPr>
          <w:color w:val="231F1F"/>
          <w:spacing w:val="-15"/>
          <w:w w:val="115"/>
        </w:rPr>
        <w:t> </w:t>
      </w:r>
      <w:r>
        <w:rPr>
          <w:color w:val="231F1F"/>
          <w:w w:val="115"/>
        </w:rPr>
        <w:t>given</w:t>
      </w:r>
      <w:r>
        <w:rPr>
          <w:color w:val="231F1F"/>
          <w:spacing w:val="-15"/>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5"/>
          <w:sz w:val="11"/>
        </w:rPr>
        <w:t>DROPERIDOL</w:t>
      </w:r>
      <w:r>
        <w:rPr>
          <w:rFonts w:ascii="Arial" w:hAnsi="Arial"/>
          <w:color w:val="231F1F"/>
          <w:spacing w:val="3"/>
          <w:w w:val="115"/>
        </w:rPr>
        <w:t>—</w:t>
      </w:r>
      <w:r>
        <w:rPr>
          <w:color w:val="231F1F"/>
          <w:spacing w:val="3"/>
          <w:w w:val="115"/>
        </w:rPr>
        <w:t>avoid</w:t>
      </w:r>
      <w:r>
        <w:rPr>
          <w:color w:val="231F1F"/>
          <w:spacing w:val="-15"/>
          <w:w w:val="115"/>
        </w:rPr>
        <w:t> </w:t>
      </w:r>
      <w:r>
        <w:rPr>
          <w:color w:val="231F1F"/>
          <w:w w:val="115"/>
        </w:rPr>
        <w:t>concomitant</w:t>
      </w:r>
      <w:r>
        <w:rPr>
          <w:color w:val="231F1F"/>
          <w:spacing w:val="-15"/>
          <w:w w:val="115"/>
        </w:rPr>
        <w:t> </w:t>
      </w:r>
      <w:r>
        <w:rPr>
          <w:color w:val="231F1F"/>
          <w:w w:val="115"/>
        </w:rPr>
        <w:t>use; avoid concomitant use of clozapine with depot formulation of</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5"/>
          <w:sz w:val="11"/>
        </w:rPr>
        <w:t>FLUPENTIXOL</w:t>
      </w:r>
      <w:r>
        <w:rPr>
          <w:color w:val="231F1F"/>
          <w:spacing w:val="4"/>
          <w:w w:val="115"/>
        </w:rPr>
        <w:t>,</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FLUPHENAZINE</w:t>
      </w:r>
      <w:r>
        <w:rPr>
          <w:color w:val="231F1F"/>
          <w:spacing w:val="4"/>
          <w:w w:val="115"/>
        </w:rPr>
        <w:t>,</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5"/>
          <w:sz w:val="11"/>
        </w:rPr>
        <w:t>HALOPERIDOL</w:t>
      </w:r>
      <w:r>
        <w:rPr>
          <w:color w:val="231F1F"/>
          <w:spacing w:val="4"/>
          <w:w w:val="115"/>
        </w:rPr>
        <w:t>,</w:t>
      </w:r>
    </w:p>
    <w:p>
      <w:pPr>
        <w:spacing w:before="0"/>
        <w:ind w:left="208" w:right="0" w:firstLine="0"/>
        <w:jc w:val="left"/>
        <w:rPr>
          <w:sz w:val="12"/>
        </w:rPr>
      </w:pPr>
      <w:r>
        <w:rPr>
          <w:rFonts w:ascii="Arial"/>
          <w:color w:val="231F1F"/>
          <w:w w:val="355"/>
          <w:position w:val="1"/>
          <w:sz w:val="7"/>
        </w:rPr>
        <w:t>l </w:t>
      </w:r>
      <w:r>
        <w:rPr>
          <w:rFonts w:ascii="Calibri"/>
          <w:color w:val="008356"/>
          <w:w w:val="110"/>
          <w:sz w:val="11"/>
        </w:rPr>
        <w:t>PIPOTIAZINE</w:t>
      </w:r>
      <w:r>
        <w:rPr>
          <w:color w:val="231F1F"/>
          <w:w w:val="110"/>
          <w:sz w:val="12"/>
        </w:rPr>
        <w:t>, </w:t>
      </w:r>
      <w:r>
        <w:rPr>
          <w:rFonts w:ascii="Arial"/>
          <w:color w:val="231F1F"/>
          <w:w w:val="355"/>
          <w:position w:val="1"/>
          <w:sz w:val="7"/>
        </w:rPr>
        <w:t>l </w:t>
      </w:r>
      <w:r>
        <w:rPr>
          <w:rFonts w:ascii="Calibri"/>
          <w:color w:val="008356"/>
          <w:w w:val="110"/>
          <w:sz w:val="11"/>
        </w:rPr>
        <w:t>RISPERIDONE </w:t>
      </w:r>
      <w:r>
        <w:rPr>
          <w:color w:val="231F1F"/>
          <w:w w:val="110"/>
          <w:sz w:val="12"/>
        </w:rPr>
        <w:t>or </w:t>
      </w:r>
      <w:r>
        <w:rPr>
          <w:rFonts w:ascii="Arial"/>
          <w:color w:val="231F1F"/>
          <w:w w:val="355"/>
          <w:position w:val="1"/>
          <w:sz w:val="7"/>
        </w:rPr>
        <w:t>l </w:t>
      </w:r>
      <w:r>
        <w:rPr>
          <w:rFonts w:ascii="Calibri"/>
          <w:color w:val="008356"/>
          <w:w w:val="110"/>
          <w:sz w:val="11"/>
        </w:rPr>
        <w:t>ZUCLOPENTHIXOL </w:t>
      </w:r>
      <w:r>
        <w:rPr>
          <w:color w:val="231F1F"/>
          <w:w w:val="110"/>
          <w:sz w:val="12"/>
        </w:rPr>
        <w:t>as cannot</w:t>
      </w:r>
    </w:p>
    <w:p>
      <w:pPr>
        <w:pStyle w:val="BodyText"/>
        <w:spacing w:line="249" w:lineRule="auto"/>
        <w:ind w:right="618"/>
      </w:pPr>
      <w:r>
        <w:rPr>
          <w:color w:val="231F1F"/>
          <w:w w:val="115"/>
        </w:rPr>
        <w:t>be withdrawn quickly if neutropenia occurs; increased risk of ventricular arrhythmias when sulpiride given with</w:t>
      </w:r>
    </w:p>
    <w:p>
      <w:pPr>
        <w:pStyle w:val="BodyText"/>
        <w:spacing w:line="244" w:lineRule="auto"/>
        <w:ind w:right="754"/>
      </w:pPr>
      <w:r>
        <w:rPr>
          <w:rFonts w:ascii="Arial" w:hAnsi="Arial"/>
          <w:color w:val="231F1F"/>
          <w:w w:val="355"/>
          <w:position w:val="1"/>
          <w:sz w:val="7"/>
        </w:rPr>
        <w:t>l </w:t>
      </w:r>
      <w:r>
        <w:rPr>
          <w:rFonts w:ascii="Calibri" w:hAnsi="Calibri"/>
          <w:color w:val="008356"/>
          <w:w w:val="110"/>
          <w:sz w:val="11"/>
        </w:rPr>
        <w:t>HALOPERIDOL</w:t>
      </w:r>
      <w:r>
        <w:rPr>
          <w:color w:val="231F1F"/>
          <w:w w:val="110"/>
        </w:rPr>
        <w:t>; chlorpromazine possibly increases plasma concentration of </w:t>
      </w:r>
      <w:r>
        <w:rPr>
          <w:rFonts w:ascii="Calibri" w:hAnsi="Calibri"/>
          <w:color w:val="008356"/>
          <w:w w:val="110"/>
          <w:sz w:val="11"/>
        </w:rPr>
        <w:t>HALOPERIDOL</w:t>
      </w:r>
      <w:r>
        <w:rPr>
          <w:color w:val="231F1F"/>
          <w:w w:val="110"/>
        </w:rPr>
        <w:t>; increased risk of ventricular arrhythmias when droperidol given with </w:t>
      </w:r>
      <w:r>
        <w:rPr>
          <w:rFonts w:ascii="Arial" w:hAnsi="Arial"/>
          <w:color w:val="231F1F"/>
          <w:w w:val="355"/>
          <w:position w:val="1"/>
          <w:sz w:val="7"/>
        </w:rPr>
        <w:t>l </w:t>
      </w:r>
      <w:r>
        <w:rPr>
          <w:rFonts w:ascii="Calibri" w:hAnsi="Calibri"/>
          <w:color w:val="008356"/>
          <w:w w:val="110"/>
          <w:sz w:val="11"/>
        </w:rPr>
        <w:t>HALOPERIDOL</w:t>
      </w:r>
      <w:r>
        <w:rPr>
          <w:rFonts w:ascii="Arial" w:hAnsi="Arial"/>
          <w:color w:val="231F1F"/>
          <w:w w:val="110"/>
        </w:rPr>
        <w:t>— </w:t>
      </w:r>
      <w:r>
        <w:rPr>
          <w:color w:val="231F1F"/>
          <w:w w:val="110"/>
        </w:rPr>
        <w:t>avoid concomitant use; increased risk of ventricular arrhythmias when pimozide given with </w:t>
      </w:r>
      <w:r>
        <w:rPr>
          <w:rFonts w:ascii="Arial" w:hAnsi="Arial"/>
          <w:color w:val="231F1F"/>
          <w:w w:val="355"/>
          <w:position w:val="1"/>
          <w:sz w:val="7"/>
        </w:rPr>
        <w:t>l </w:t>
      </w:r>
      <w:r>
        <w:rPr>
          <w:rFonts w:ascii="Calibri" w:hAnsi="Calibri"/>
          <w:color w:val="008356"/>
          <w:w w:val="110"/>
          <w:sz w:val="11"/>
        </w:rPr>
        <w:t>PHENOTHIAZINES</w:t>
      </w:r>
      <w:r>
        <w:rPr>
          <w:rFonts w:ascii="Arial" w:hAnsi="Arial"/>
          <w:color w:val="231F1F"/>
          <w:w w:val="110"/>
        </w:rPr>
        <w:t>— </w:t>
      </w:r>
      <w:r>
        <w:rPr>
          <w:color w:val="231F1F"/>
          <w:w w:val="110"/>
        </w:rPr>
        <w:t>avoid concomitant use; lurasidone possibly increases plasma concentration of </w:t>
      </w:r>
      <w:r>
        <w:rPr>
          <w:rFonts w:ascii="Calibri" w:hAnsi="Calibri"/>
          <w:color w:val="008356"/>
          <w:w w:val="110"/>
          <w:sz w:val="11"/>
        </w:rPr>
        <w:t>PIMOZIDE </w:t>
      </w:r>
      <w:r>
        <w:rPr>
          <w:color w:val="231F1F"/>
          <w:w w:val="110"/>
        </w:rPr>
        <w:t>(increased risk of toxicity); possible increased risk of ventricular arrhythmias when antipsychotics that prolong the QT interval given with</w:t>
      </w:r>
    </w:p>
    <w:p>
      <w:pPr>
        <w:spacing w:line="244" w:lineRule="auto" w:before="3"/>
        <w:ind w:left="208" w:right="659" w:firstLine="0"/>
        <w:jc w:val="left"/>
        <w:rPr>
          <w:rFonts w:ascii="Calibri"/>
          <w:sz w:val="11"/>
        </w:rPr>
      </w:pP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RISPERIDONE</w:t>
      </w:r>
      <w:r>
        <w:rPr>
          <w:color w:val="231F1F"/>
          <w:spacing w:val="4"/>
          <w:w w:val="115"/>
          <w:sz w:val="12"/>
        </w:rPr>
        <w:t>;</w:t>
      </w:r>
      <w:r>
        <w:rPr>
          <w:color w:val="231F1F"/>
          <w:spacing w:val="-16"/>
          <w:w w:val="115"/>
          <w:sz w:val="12"/>
        </w:rPr>
        <w:t> </w:t>
      </w:r>
      <w:r>
        <w:rPr>
          <w:color w:val="231F1F"/>
          <w:w w:val="115"/>
          <w:sz w:val="12"/>
        </w:rPr>
        <w:t>increased</w:t>
      </w:r>
      <w:r>
        <w:rPr>
          <w:color w:val="231F1F"/>
          <w:spacing w:val="-16"/>
          <w:w w:val="115"/>
          <w:sz w:val="12"/>
        </w:rPr>
        <w:t> </w:t>
      </w:r>
      <w:r>
        <w:rPr>
          <w:color w:val="231F1F"/>
          <w:w w:val="115"/>
          <w:sz w:val="12"/>
        </w:rPr>
        <w:t>risk</w:t>
      </w:r>
      <w:r>
        <w:rPr>
          <w:color w:val="231F1F"/>
          <w:spacing w:val="-16"/>
          <w:w w:val="115"/>
          <w:sz w:val="12"/>
        </w:rPr>
        <w:t> </w:t>
      </w:r>
      <w:r>
        <w:rPr>
          <w:color w:val="231F1F"/>
          <w:w w:val="115"/>
          <w:sz w:val="12"/>
        </w:rPr>
        <w:t>of</w:t>
      </w:r>
      <w:r>
        <w:rPr>
          <w:color w:val="231F1F"/>
          <w:spacing w:val="-15"/>
          <w:w w:val="115"/>
          <w:sz w:val="12"/>
        </w:rPr>
        <w:t> </w:t>
      </w:r>
      <w:r>
        <w:rPr>
          <w:color w:val="231F1F"/>
          <w:w w:val="115"/>
          <w:sz w:val="12"/>
        </w:rPr>
        <w:t>ventricular</w:t>
      </w:r>
      <w:r>
        <w:rPr>
          <w:color w:val="231F1F"/>
          <w:spacing w:val="-17"/>
          <w:w w:val="115"/>
          <w:sz w:val="12"/>
        </w:rPr>
        <w:t> </w:t>
      </w:r>
      <w:r>
        <w:rPr>
          <w:color w:val="231F1F"/>
          <w:w w:val="115"/>
          <w:sz w:val="12"/>
        </w:rPr>
        <w:t>arrhythmias</w:t>
      </w:r>
      <w:r>
        <w:rPr>
          <w:color w:val="231F1F"/>
          <w:spacing w:val="-16"/>
          <w:w w:val="115"/>
          <w:sz w:val="12"/>
        </w:rPr>
        <w:t> </w:t>
      </w:r>
      <w:r>
        <w:rPr>
          <w:color w:val="231F1F"/>
          <w:spacing w:val="-3"/>
          <w:w w:val="115"/>
          <w:sz w:val="12"/>
        </w:rPr>
        <w:t>when </w:t>
      </w:r>
      <w:r>
        <w:rPr>
          <w:color w:val="231F1F"/>
          <w:w w:val="115"/>
          <w:sz w:val="12"/>
        </w:rPr>
        <w:t>pimozide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5"/>
          <w:sz w:val="11"/>
        </w:rPr>
        <w:t>SULPIRIDE</w:t>
      </w:r>
    </w:p>
    <w:p>
      <w:pPr>
        <w:pStyle w:val="BodyText"/>
        <w:spacing w:line="140" w:lineRule="exact"/>
        <w:ind w:left="108"/>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Antivirals: </w:t>
      </w:r>
      <w:r>
        <w:rPr>
          <w:color w:val="231F1F"/>
          <w:w w:val="115"/>
        </w:rPr>
        <w:t>plasma concentration of aripiprazole possibly</w:t>
      </w:r>
    </w:p>
    <w:p>
      <w:pPr>
        <w:spacing w:before="0"/>
        <w:ind w:left="208" w:right="0" w:firstLine="0"/>
        <w:jc w:val="left"/>
        <w:rPr>
          <w:sz w:val="12"/>
        </w:rPr>
      </w:pPr>
      <w:r>
        <w:rPr>
          <w:color w:val="231F1F"/>
          <w:w w:val="110"/>
          <w:sz w:val="12"/>
        </w:rPr>
        <w:t>increased by </w:t>
      </w:r>
      <w:r>
        <w:rPr>
          <w:rFonts w:ascii="Arial"/>
          <w:color w:val="231F1F"/>
          <w:w w:val="355"/>
          <w:position w:val="1"/>
          <w:sz w:val="7"/>
        </w:rPr>
        <w:t>l </w:t>
      </w:r>
      <w:r>
        <w:rPr>
          <w:rFonts w:ascii="Calibri"/>
          <w:color w:val="008356"/>
          <w:w w:val="110"/>
          <w:sz w:val="11"/>
        </w:rPr>
        <w:t>ATAZANAVIR</w:t>
      </w:r>
      <w:r>
        <w:rPr>
          <w:color w:val="231F1F"/>
          <w:w w:val="110"/>
          <w:sz w:val="12"/>
        </w:rPr>
        <w:t>, </w:t>
      </w:r>
      <w:r>
        <w:rPr>
          <w:rFonts w:ascii="Arial"/>
          <w:color w:val="231F1F"/>
          <w:w w:val="355"/>
          <w:position w:val="1"/>
          <w:sz w:val="7"/>
        </w:rPr>
        <w:t>l </w:t>
      </w:r>
      <w:r>
        <w:rPr>
          <w:rFonts w:ascii="Calibri"/>
          <w:color w:val="008356"/>
          <w:w w:val="110"/>
          <w:sz w:val="11"/>
        </w:rPr>
        <w:t>DARUNAVIR</w:t>
      </w:r>
      <w:r>
        <w:rPr>
          <w:color w:val="231F1F"/>
          <w:w w:val="110"/>
          <w:sz w:val="12"/>
        </w:rPr>
        <w:t>, </w:t>
      </w:r>
      <w:r>
        <w:rPr>
          <w:rFonts w:ascii="Arial"/>
          <w:color w:val="231F1F"/>
          <w:w w:val="355"/>
          <w:position w:val="1"/>
          <w:sz w:val="7"/>
        </w:rPr>
        <w:t>l </w:t>
      </w:r>
      <w:r>
        <w:rPr>
          <w:rFonts w:ascii="Calibri"/>
          <w:color w:val="008356"/>
          <w:w w:val="110"/>
          <w:sz w:val="11"/>
        </w:rPr>
        <w:t>FOSAMPRENAVIR</w:t>
      </w:r>
      <w:r>
        <w:rPr>
          <w:color w:val="231F1F"/>
          <w:w w:val="110"/>
          <w:sz w:val="12"/>
        </w:rPr>
        <w:t>,</w:t>
      </w:r>
    </w:p>
    <w:p>
      <w:pPr>
        <w:spacing w:before="2"/>
        <w:ind w:left="208" w:right="0" w:firstLine="0"/>
        <w:jc w:val="left"/>
        <w:rPr>
          <w:sz w:val="12"/>
        </w:rPr>
      </w:pPr>
      <w:r>
        <w:rPr>
          <w:rFonts w:ascii="Arial"/>
          <w:color w:val="231F1F"/>
          <w:w w:val="355"/>
          <w:position w:val="1"/>
          <w:sz w:val="7"/>
        </w:rPr>
        <w:t>l </w:t>
      </w:r>
      <w:r>
        <w:rPr>
          <w:rFonts w:ascii="Calibri"/>
          <w:color w:val="008356"/>
          <w:spacing w:val="4"/>
          <w:w w:val="115"/>
          <w:sz w:val="11"/>
        </w:rPr>
        <w:t>INDINAVIR</w:t>
      </w:r>
      <w:r>
        <w:rPr>
          <w:color w:val="231F1F"/>
          <w:spacing w:val="4"/>
          <w:w w:val="115"/>
          <w:sz w:val="12"/>
        </w:rPr>
        <w:t>, </w:t>
      </w:r>
      <w:r>
        <w:rPr>
          <w:rFonts w:ascii="Arial"/>
          <w:color w:val="231F1F"/>
          <w:w w:val="355"/>
          <w:position w:val="1"/>
          <w:sz w:val="7"/>
        </w:rPr>
        <w:t>l </w:t>
      </w:r>
      <w:r>
        <w:rPr>
          <w:rFonts w:ascii="Calibri"/>
          <w:color w:val="008356"/>
          <w:spacing w:val="3"/>
          <w:w w:val="115"/>
          <w:sz w:val="11"/>
        </w:rPr>
        <w:t>LOPINAVIR</w:t>
      </w:r>
      <w:r>
        <w:rPr>
          <w:color w:val="231F1F"/>
          <w:spacing w:val="3"/>
          <w:w w:val="115"/>
          <w:sz w:val="12"/>
        </w:rPr>
        <w:t>, </w:t>
      </w:r>
      <w:r>
        <w:rPr>
          <w:rFonts w:ascii="Arial"/>
          <w:color w:val="231F1F"/>
          <w:w w:val="355"/>
          <w:position w:val="1"/>
          <w:sz w:val="7"/>
        </w:rPr>
        <w:t>l </w:t>
      </w:r>
      <w:r>
        <w:rPr>
          <w:rFonts w:ascii="Calibri"/>
          <w:color w:val="008356"/>
          <w:spacing w:val="3"/>
          <w:w w:val="115"/>
          <w:sz w:val="11"/>
        </w:rPr>
        <w:t>RITONAVIR</w:t>
      </w:r>
      <w:r>
        <w:rPr>
          <w:color w:val="231F1F"/>
          <w:spacing w:val="3"/>
          <w:w w:val="115"/>
          <w:sz w:val="12"/>
        </w:rPr>
        <w:t>, </w:t>
      </w:r>
      <w:r>
        <w:rPr>
          <w:rFonts w:ascii="Arial"/>
          <w:color w:val="231F1F"/>
          <w:w w:val="355"/>
          <w:position w:val="1"/>
          <w:sz w:val="7"/>
        </w:rPr>
        <w:t>l </w:t>
      </w:r>
      <w:r>
        <w:rPr>
          <w:rFonts w:ascii="Calibri"/>
          <w:color w:val="008356"/>
          <w:spacing w:val="4"/>
          <w:w w:val="115"/>
          <w:sz w:val="11"/>
        </w:rPr>
        <w:t>SAQUINAVIR </w:t>
      </w:r>
      <w:r>
        <w:rPr>
          <w:color w:val="231F1F"/>
          <w:w w:val="115"/>
          <w:sz w:val="12"/>
        </w:rPr>
        <w:t>and</w:t>
      </w:r>
    </w:p>
    <w:p>
      <w:pPr>
        <w:spacing w:line="244" w:lineRule="auto" w:before="1"/>
        <w:ind w:left="208" w:right="700" w:firstLine="0"/>
        <w:jc w:val="left"/>
        <w:rPr>
          <w:sz w:val="12"/>
        </w:rPr>
      </w:pPr>
      <w:r>
        <w:rPr>
          <w:rFonts w:ascii="Arial" w:hAnsi="Arial"/>
          <w:color w:val="231F1F"/>
          <w:w w:val="355"/>
          <w:position w:val="1"/>
          <w:sz w:val="7"/>
        </w:rPr>
        <w:t>l </w:t>
      </w:r>
      <w:r>
        <w:rPr>
          <w:rFonts w:ascii="Calibri" w:hAnsi="Calibri"/>
          <w:color w:val="008356"/>
          <w:spacing w:val="4"/>
          <w:w w:val="120"/>
          <w:sz w:val="11"/>
        </w:rPr>
        <w:t>TIPRANAVIR </w:t>
      </w:r>
      <w:r>
        <w:rPr>
          <w:color w:val="231F1F"/>
          <w:w w:val="120"/>
          <w:sz w:val="12"/>
        </w:rPr>
        <w:t>(reduce dose of aripiprazole</w:t>
      </w:r>
      <w:r>
        <w:rPr>
          <w:rFonts w:ascii="Arial" w:hAnsi="Arial"/>
          <w:color w:val="231F1F"/>
          <w:w w:val="120"/>
          <w:sz w:val="12"/>
        </w:rPr>
        <w:t>—</w:t>
      </w:r>
      <w:r>
        <w:rPr>
          <w:color w:val="231F1F"/>
          <w:w w:val="120"/>
          <w:sz w:val="12"/>
        </w:rPr>
        <w:t>consult aripiprazole product literature); plasma concentration of </w:t>
      </w:r>
      <w:r>
        <w:rPr>
          <w:color w:val="231F1F"/>
          <w:w w:val="115"/>
          <w:sz w:val="12"/>
        </w:rPr>
        <w:t>quetiapine</w:t>
      </w:r>
      <w:r>
        <w:rPr>
          <w:color w:val="231F1F"/>
          <w:spacing w:val="-18"/>
          <w:w w:val="115"/>
          <w:sz w:val="12"/>
        </w:rPr>
        <w:t> </w:t>
      </w:r>
      <w:r>
        <w:rPr>
          <w:color w:val="231F1F"/>
          <w:w w:val="115"/>
          <w:sz w:val="12"/>
        </w:rPr>
        <w:t>possibly</w:t>
      </w:r>
      <w:r>
        <w:rPr>
          <w:color w:val="231F1F"/>
          <w:spacing w:val="-18"/>
          <w:w w:val="115"/>
          <w:sz w:val="12"/>
        </w:rPr>
        <w:t> </w:t>
      </w:r>
      <w:r>
        <w:rPr>
          <w:color w:val="231F1F"/>
          <w:w w:val="115"/>
          <w:sz w:val="12"/>
        </w:rPr>
        <w:t>increased</w:t>
      </w:r>
      <w:r>
        <w:rPr>
          <w:color w:val="231F1F"/>
          <w:spacing w:val="-19"/>
          <w:w w:val="115"/>
          <w:sz w:val="12"/>
        </w:rPr>
        <w:t> </w:t>
      </w:r>
      <w:r>
        <w:rPr>
          <w:color w:val="231F1F"/>
          <w:w w:val="115"/>
          <w:sz w:val="12"/>
        </w:rPr>
        <w:t>by</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3"/>
          <w:w w:val="115"/>
          <w:sz w:val="11"/>
        </w:rPr>
        <w:t>ATAZANAVIR</w:t>
      </w:r>
      <w:r>
        <w:rPr>
          <w:color w:val="231F1F"/>
          <w:spacing w:val="3"/>
          <w:w w:val="115"/>
          <w:sz w:val="12"/>
        </w:rPr>
        <w:t>,</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4"/>
          <w:w w:val="115"/>
          <w:sz w:val="11"/>
        </w:rPr>
        <w:t>BOCEPREVIR</w:t>
      </w:r>
      <w:r>
        <w:rPr>
          <w:color w:val="231F1F"/>
          <w:spacing w:val="4"/>
          <w:w w:val="115"/>
          <w:sz w:val="12"/>
        </w:rPr>
        <w:t>, </w:t>
      </w:r>
      <w:r>
        <w:rPr>
          <w:rFonts w:ascii="Arial" w:hAnsi="Arial"/>
          <w:color w:val="231F1F"/>
          <w:w w:val="145"/>
          <w:position w:val="1"/>
          <w:sz w:val="7"/>
        </w:rPr>
        <w:t>l</w:t>
      </w:r>
      <w:r>
        <w:rPr>
          <w:rFonts w:ascii="Arial" w:hAnsi="Arial"/>
          <w:color w:val="231F1F"/>
          <w:spacing w:val="-19"/>
          <w:w w:val="145"/>
          <w:position w:val="1"/>
          <w:sz w:val="7"/>
        </w:rPr>
        <w:t> </w:t>
      </w:r>
      <w:r>
        <w:rPr>
          <w:rFonts w:ascii="Calibri" w:hAnsi="Calibri"/>
          <w:color w:val="008356"/>
          <w:spacing w:val="3"/>
          <w:w w:val="120"/>
          <w:sz w:val="11"/>
        </w:rPr>
        <w:t>DARUNAVIR</w:t>
      </w:r>
      <w:r>
        <w:rPr>
          <w:color w:val="231F1F"/>
          <w:spacing w:val="3"/>
          <w:w w:val="120"/>
          <w:sz w:val="12"/>
        </w:rPr>
        <w:t>,</w:t>
      </w:r>
      <w:r>
        <w:rPr>
          <w:color w:val="231F1F"/>
          <w:spacing w:val="-25"/>
          <w:w w:val="120"/>
          <w:sz w:val="12"/>
        </w:rPr>
        <w:t> </w:t>
      </w:r>
      <w:r>
        <w:rPr>
          <w:rFonts w:ascii="Arial" w:hAnsi="Arial"/>
          <w:color w:val="231F1F"/>
          <w:w w:val="145"/>
          <w:position w:val="1"/>
          <w:sz w:val="7"/>
        </w:rPr>
        <w:t>l</w:t>
      </w:r>
      <w:r>
        <w:rPr>
          <w:rFonts w:ascii="Arial" w:hAnsi="Arial"/>
          <w:color w:val="231F1F"/>
          <w:spacing w:val="-19"/>
          <w:w w:val="145"/>
          <w:position w:val="1"/>
          <w:sz w:val="7"/>
        </w:rPr>
        <w:t> </w:t>
      </w:r>
      <w:r>
        <w:rPr>
          <w:rFonts w:ascii="Calibri" w:hAnsi="Calibri"/>
          <w:color w:val="008356"/>
          <w:spacing w:val="4"/>
          <w:w w:val="120"/>
          <w:sz w:val="11"/>
        </w:rPr>
        <w:t>FOSAMPRENAVIR</w:t>
      </w:r>
      <w:r>
        <w:rPr>
          <w:color w:val="231F1F"/>
          <w:spacing w:val="4"/>
          <w:w w:val="120"/>
          <w:sz w:val="12"/>
        </w:rPr>
        <w:t>,</w:t>
      </w:r>
      <w:r>
        <w:rPr>
          <w:color w:val="231F1F"/>
          <w:spacing w:val="-25"/>
          <w:w w:val="120"/>
          <w:sz w:val="12"/>
        </w:rPr>
        <w:t> </w:t>
      </w:r>
      <w:r>
        <w:rPr>
          <w:rFonts w:ascii="Arial" w:hAnsi="Arial"/>
          <w:color w:val="231F1F"/>
          <w:w w:val="145"/>
          <w:position w:val="1"/>
          <w:sz w:val="7"/>
        </w:rPr>
        <w:t>l</w:t>
      </w:r>
      <w:r>
        <w:rPr>
          <w:rFonts w:ascii="Arial" w:hAnsi="Arial"/>
          <w:color w:val="231F1F"/>
          <w:spacing w:val="-19"/>
          <w:w w:val="145"/>
          <w:position w:val="1"/>
          <w:sz w:val="7"/>
        </w:rPr>
        <w:t> </w:t>
      </w:r>
      <w:r>
        <w:rPr>
          <w:rFonts w:ascii="Calibri" w:hAnsi="Calibri"/>
          <w:color w:val="008356"/>
          <w:spacing w:val="4"/>
          <w:w w:val="120"/>
          <w:sz w:val="11"/>
        </w:rPr>
        <w:t>INDINAVIR</w:t>
      </w:r>
      <w:r>
        <w:rPr>
          <w:color w:val="231F1F"/>
          <w:spacing w:val="4"/>
          <w:w w:val="120"/>
          <w:sz w:val="12"/>
        </w:rPr>
        <w:t>,</w:t>
      </w:r>
      <w:r>
        <w:rPr>
          <w:color w:val="231F1F"/>
          <w:spacing w:val="-25"/>
          <w:w w:val="120"/>
          <w:sz w:val="12"/>
        </w:rPr>
        <w:t> </w:t>
      </w:r>
      <w:r>
        <w:rPr>
          <w:rFonts w:ascii="Arial" w:hAnsi="Arial"/>
          <w:color w:val="231F1F"/>
          <w:w w:val="145"/>
          <w:position w:val="1"/>
          <w:sz w:val="7"/>
        </w:rPr>
        <w:t>l</w:t>
      </w:r>
      <w:r>
        <w:rPr>
          <w:rFonts w:ascii="Arial" w:hAnsi="Arial"/>
          <w:color w:val="231F1F"/>
          <w:spacing w:val="-18"/>
          <w:w w:val="145"/>
          <w:position w:val="1"/>
          <w:sz w:val="7"/>
        </w:rPr>
        <w:t> </w:t>
      </w:r>
      <w:r>
        <w:rPr>
          <w:rFonts w:ascii="Calibri" w:hAnsi="Calibri"/>
          <w:color w:val="008356"/>
          <w:spacing w:val="3"/>
          <w:w w:val="120"/>
          <w:sz w:val="11"/>
        </w:rPr>
        <w:t>LOPINAVIR</w:t>
      </w:r>
      <w:r>
        <w:rPr>
          <w:color w:val="231F1F"/>
          <w:spacing w:val="3"/>
          <w:w w:val="120"/>
          <w:sz w:val="12"/>
        </w:rPr>
        <w:t>,</w:t>
      </w:r>
    </w:p>
    <w:p>
      <w:pPr>
        <w:spacing w:line="142" w:lineRule="exact" w:before="0"/>
        <w:ind w:left="208" w:right="0" w:firstLine="0"/>
        <w:jc w:val="left"/>
        <w:rPr>
          <w:rFonts w:ascii="Arial" w:hAnsi="Arial"/>
          <w:sz w:val="12"/>
        </w:rPr>
      </w:pPr>
      <w:r>
        <w:rPr>
          <w:rFonts w:ascii="Arial" w:hAnsi="Arial"/>
          <w:color w:val="231F1F"/>
          <w:w w:val="355"/>
          <w:position w:val="1"/>
          <w:sz w:val="7"/>
        </w:rPr>
        <w:t>l </w:t>
      </w:r>
      <w:r>
        <w:rPr>
          <w:rFonts w:ascii="Calibri" w:hAnsi="Calibri"/>
          <w:color w:val="008356"/>
          <w:spacing w:val="3"/>
          <w:w w:val="115"/>
          <w:sz w:val="11"/>
        </w:rPr>
        <w:t>RITONAVIR</w:t>
      </w:r>
      <w:r>
        <w:rPr>
          <w:color w:val="231F1F"/>
          <w:spacing w:val="3"/>
          <w:w w:val="115"/>
          <w:sz w:val="12"/>
        </w:rPr>
        <w:t>, </w:t>
      </w:r>
      <w:r>
        <w:rPr>
          <w:rFonts w:ascii="Arial" w:hAnsi="Arial"/>
          <w:color w:val="231F1F"/>
          <w:w w:val="355"/>
          <w:position w:val="1"/>
          <w:sz w:val="7"/>
        </w:rPr>
        <w:t>l </w:t>
      </w:r>
      <w:r>
        <w:rPr>
          <w:rFonts w:ascii="Calibri" w:hAnsi="Calibri"/>
          <w:color w:val="008356"/>
          <w:spacing w:val="4"/>
          <w:w w:val="115"/>
          <w:sz w:val="11"/>
        </w:rPr>
        <w:t>SAQUINAVIR</w:t>
      </w:r>
      <w:r>
        <w:rPr>
          <w:color w:val="231F1F"/>
          <w:spacing w:val="4"/>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TELAPREVIR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TIPRANAVIR</w:t>
      </w:r>
      <w:r>
        <w:rPr>
          <w:rFonts w:ascii="Arial" w:hAnsi="Arial"/>
          <w:color w:val="231F1F"/>
          <w:spacing w:val="4"/>
          <w:w w:val="115"/>
          <w:sz w:val="12"/>
        </w:rPr>
        <w:t>—</w:t>
      </w:r>
    </w:p>
    <w:p>
      <w:pPr>
        <w:pStyle w:val="BodyText"/>
        <w:spacing w:line="247" w:lineRule="auto" w:before="2"/>
        <w:ind w:right="670"/>
      </w:pPr>
      <w:r>
        <w:rPr>
          <w:color w:val="231F1F"/>
          <w:w w:val="115"/>
        </w:rPr>
        <w:t>manufacturer of quetiapine advises avoid concomitant use; plasma concentration of pimozide possibly increased by</w:t>
      </w:r>
    </w:p>
    <w:p>
      <w:pPr>
        <w:spacing w:line="242" w:lineRule="auto" w:before="2"/>
        <w:ind w:left="208" w:right="669" w:firstLine="0"/>
        <w:jc w:val="left"/>
        <w:rPr>
          <w:sz w:val="12"/>
        </w:rPr>
      </w:pPr>
      <w:r>
        <w:rPr>
          <w:rFonts w:ascii="Arial" w:hAnsi="Arial"/>
          <w:color w:val="231F1F"/>
          <w:w w:val="250"/>
          <w:position w:val="1"/>
          <w:sz w:val="7"/>
        </w:rPr>
        <w:t>l</w:t>
      </w:r>
      <w:r>
        <w:rPr>
          <w:rFonts w:ascii="Arial" w:hAnsi="Arial"/>
          <w:color w:val="231F1F"/>
          <w:spacing w:val="-40"/>
          <w:w w:val="250"/>
          <w:position w:val="1"/>
          <w:sz w:val="7"/>
        </w:rPr>
        <w:t> </w:t>
      </w:r>
      <w:r>
        <w:rPr>
          <w:rFonts w:ascii="Calibri" w:hAnsi="Calibri"/>
          <w:color w:val="008356"/>
          <w:spacing w:val="2"/>
          <w:w w:val="115"/>
          <w:sz w:val="11"/>
        </w:rPr>
        <w:t>ATAZANAVIR</w:t>
      </w:r>
      <w:r>
        <w:rPr>
          <w:rFonts w:ascii="Arial" w:hAnsi="Arial"/>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w:t>
      </w:r>
      <w:r>
        <w:rPr>
          <w:color w:val="231F1F"/>
          <w:spacing w:val="-24"/>
          <w:w w:val="115"/>
          <w:sz w:val="12"/>
        </w:rPr>
        <w:t> </w:t>
      </w:r>
      <w:r>
        <w:rPr>
          <w:color w:val="231F1F"/>
          <w:w w:val="115"/>
          <w:sz w:val="12"/>
        </w:rPr>
        <w:t>avoidance</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pimozide advised</w:t>
      </w:r>
      <w:r>
        <w:rPr>
          <w:color w:val="231F1F"/>
          <w:spacing w:val="-17"/>
          <w:w w:val="115"/>
          <w:sz w:val="12"/>
        </w:rPr>
        <w:t> </w:t>
      </w:r>
      <w:r>
        <w:rPr>
          <w:color w:val="231F1F"/>
          <w:w w:val="115"/>
          <w:sz w:val="12"/>
        </w:rPr>
        <w:t>by</w:t>
      </w:r>
      <w:r>
        <w:rPr>
          <w:color w:val="231F1F"/>
          <w:spacing w:val="-15"/>
          <w:w w:val="115"/>
          <w:sz w:val="12"/>
        </w:rPr>
        <w:t> </w:t>
      </w:r>
      <w:r>
        <w:rPr>
          <w:color w:val="231F1F"/>
          <w:w w:val="115"/>
          <w:sz w:val="12"/>
        </w:rPr>
        <w:t>manufacturer</w:t>
      </w:r>
      <w:r>
        <w:rPr>
          <w:color w:val="231F1F"/>
          <w:spacing w:val="-15"/>
          <w:w w:val="115"/>
          <w:sz w:val="12"/>
        </w:rPr>
        <w:t> </w:t>
      </w:r>
      <w:r>
        <w:rPr>
          <w:color w:val="231F1F"/>
          <w:w w:val="115"/>
          <w:sz w:val="12"/>
        </w:rPr>
        <w:t>of</w:t>
      </w:r>
      <w:r>
        <w:rPr>
          <w:color w:val="231F1F"/>
          <w:spacing w:val="-15"/>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BOCEPREVIR</w:t>
      </w:r>
      <w:r>
        <w:rPr>
          <w:rFonts w:ascii="Calibri" w:hAnsi="Calibri"/>
          <w:color w:val="008356"/>
          <w:spacing w:val="-5"/>
          <w:w w:val="115"/>
          <w:sz w:val="11"/>
        </w:rPr>
        <w:t> </w:t>
      </w:r>
      <w:r>
        <w:rPr>
          <w:color w:val="231F1F"/>
          <w:w w:val="115"/>
          <w:sz w:val="12"/>
        </w:rPr>
        <w:t>and</w:t>
      </w:r>
      <w:r>
        <w:rPr>
          <w:color w:val="231F1F"/>
          <w:spacing w:val="-16"/>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TELAPREVIR</w:t>
      </w:r>
      <w:r>
        <w:rPr>
          <w:color w:val="231F1F"/>
          <w:spacing w:val="4"/>
          <w:w w:val="115"/>
          <w:sz w:val="12"/>
        </w:rPr>
        <w:t>; </w:t>
      </w:r>
      <w:r>
        <w:rPr>
          <w:color w:val="231F1F"/>
          <w:w w:val="115"/>
          <w:sz w:val="12"/>
        </w:rPr>
        <w:t>plasma</w:t>
      </w:r>
      <w:r>
        <w:rPr>
          <w:color w:val="231F1F"/>
          <w:spacing w:val="-6"/>
          <w:w w:val="115"/>
          <w:sz w:val="12"/>
        </w:rPr>
        <w:t> </w:t>
      </w:r>
      <w:r>
        <w:rPr>
          <w:color w:val="231F1F"/>
          <w:w w:val="115"/>
          <w:sz w:val="12"/>
        </w:rPr>
        <w:t>concentration</w:t>
      </w:r>
      <w:r>
        <w:rPr>
          <w:color w:val="231F1F"/>
          <w:spacing w:val="-7"/>
          <w:w w:val="115"/>
          <w:sz w:val="12"/>
        </w:rPr>
        <w:t> </w:t>
      </w:r>
      <w:r>
        <w:rPr>
          <w:color w:val="231F1F"/>
          <w:w w:val="115"/>
          <w:sz w:val="12"/>
        </w:rPr>
        <w:t>of</w:t>
      </w:r>
      <w:r>
        <w:rPr>
          <w:color w:val="231F1F"/>
          <w:spacing w:val="-4"/>
          <w:w w:val="115"/>
          <w:sz w:val="12"/>
        </w:rPr>
        <w:t> </w:t>
      </w:r>
      <w:r>
        <w:rPr>
          <w:color w:val="231F1F"/>
          <w:w w:val="115"/>
          <w:sz w:val="12"/>
        </w:rPr>
        <w:t>lurasidone</w:t>
      </w:r>
      <w:r>
        <w:rPr>
          <w:color w:val="231F1F"/>
          <w:spacing w:val="-6"/>
          <w:w w:val="115"/>
          <w:sz w:val="12"/>
        </w:rPr>
        <w:t> </w:t>
      </w:r>
      <w:r>
        <w:rPr>
          <w:color w:val="231F1F"/>
          <w:w w:val="115"/>
          <w:sz w:val="12"/>
        </w:rPr>
        <w:t>possibly</w:t>
      </w:r>
      <w:r>
        <w:rPr>
          <w:color w:val="231F1F"/>
          <w:spacing w:val="-6"/>
          <w:w w:val="115"/>
          <w:sz w:val="12"/>
        </w:rPr>
        <w:t> </w:t>
      </w:r>
      <w:r>
        <w:rPr>
          <w:color w:val="231F1F"/>
          <w:w w:val="115"/>
          <w:sz w:val="12"/>
        </w:rPr>
        <w:t>increased</w:t>
      </w:r>
      <w:r>
        <w:rPr>
          <w:color w:val="231F1F"/>
          <w:spacing w:val="-6"/>
          <w:w w:val="115"/>
          <w:sz w:val="12"/>
        </w:rPr>
        <w:t> </w:t>
      </w:r>
      <w:r>
        <w:rPr>
          <w:color w:val="231F1F"/>
          <w:w w:val="115"/>
          <w:sz w:val="12"/>
        </w:rPr>
        <w:t>by</w:t>
      </w:r>
    </w:p>
    <w:p>
      <w:pPr>
        <w:spacing w:before="5"/>
        <w:ind w:left="208" w:right="0" w:firstLine="0"/>
        <w:jc w:val="left"/>
        <w:rPr>
          <w:sz w:val="12"/>
        </w:rPr>
      </w:pPr>
      <w:r>
        <w:rPr>
          <w:rFonts w:ascii="Arial"/>
          <w:color w:val="231F1F"/>
          <w:w w:val="355"/>
          <w:position w:val="1"/>
          <w:sz w:val="7"/>
        </w:rPr>
        <w:t>l </w:t>
      </w:r>
      <w:r>
        <w:rPr>
          <w:rFonts w:ascii="Calibri"/>
          <w:color w:val="008356"/>
          <w:spacing w:val="4"/>
          <w:w w:val="115"/>
          <w:sz w:val="11"/>
        </w:rPr>
        <w:t>BOCEPREVIR</w:t>
      </w:r>
      <w:r>
        <w:rPr>
          <w:color w:val="231F1F"/>
          <w:spacing w:val="4"/>
          <w:w w:val="115"/>
          <w:sz w:val="12"/>
        </w:rPr>
        <w:t>, </w:t>
      </w:r>
      <w:r>
        <w:rPr>
          <w:rFonts w:ascii="Arial"/>
          <w:color w:val="231F1F"/>
          <w:w w:val="355"/>
          <w:position w:val="1"/>
          <w:sz w:val="7"/>
        </w:rPr>
        <w:t>l </w:t>
      </w:r>
      <w:r>
        <w:rPr>
          <w:rFonts w:ascii="Calibri"/>
          <w:color w:val="008356"/>
          <w:spacing w:val="4"/>
          <w:w w:val="115"/>
          <w:sz w:val="11"/>
        </w:rPr>
        <w:t>INDINAVIR</w:t>
      </w:r>
      <w:r>
        <w:rPr>
          <w:color w:val="231F1F"/>
          <w:spacing w:val="4"/>
          <w:w w:val="115"/>
          <w:sz w:val="12"/>
        </w:rPr>
        <w:t>, </w:t>
      </w:r>
      <w:r>
        <w:rPr>
          <w:rFonts w:ascii="Arial"/>
          <w:color w:val="231F1F"/>
          <w:w w:val="355"/>
          <w:position w:val="1"/>
          <w:sz w:val="7"/>
        </w:rPr>
        <w:t>l </w:t>
      </w:r>
      <w:r>
        <w:rPr>
          <w:rFonts w:ascii="Calibri"/>
          <w:color w:val="008356"/>
          <w:spacing w:val="3"/>
          <w:w w:val="115"/>
          <w:sz w:val="11"/>
        </w:rPr>
        <w:t>RITONAVIR</w:t>
      </w:r>
      <w:r>
        <w:rPr>
          <w:color w:val="231F1F"/>
          <w:spacing w:val="3"/>
          <w:w w:val="115"/>
          <w:sz w:val="12"/>
        </w:rPr>
        <w:t>, </w:t>
      </w:r>
      <w:r>
        <w:rPr>
          <w:rFonts w:ascii="Arial"/>
          <w:color w:val="231F1F"/>
          <w:w w:val="355"/>
          <w:position w:val="1"/>
          <w:sz w:val="7"/>
        </w:rPr>
        <w:t>l </w:t>
      </w:r>
      <w:r>
        <w:rPr>
          <w:rFonts w:ascii="Calibri"/>
          <w:color w:val="008356"/>
          <w:spacing w:val="4"/>
          <w:w w:val="115"/>
          <w:sz w:val="11"/>
        </w:rPr>
        <w:t>SAQUINAVIR </w:t>
      </w:r>
      <w:r>
        <w:rPr>
          <w:color w:val="231F1F"/>
          <w:w w:val="115"/>
          <w:sz w:val="12"/>
        </w:rPr>
        <w:t>and</w:t>
      </w:r>
    </w:p>
    <w:p>
      <w:pPr>
        <w:spacing w:before="2"/>
        <w:ind w:left="208" w:right="639"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TELAPREVIR</w:t>
      </w:r>
      <w:r>
        <w:rPr>
          <w:rFonts w:ascii="Arial" w:hAnsi="Arial"/>
          <w:color w:val="231F1F"/>
          <w:spacing w:val="3"/>
          <w:w w:val="115"/>
          <w:sz w:val="12"/>
        </w:rPr>
        <w:t>—</w:t>
      </w:r>
      <w:r>
        <w:rPr>
          <w:color w:val="231F1F"/>
          <w:spacing w:val="3"/>
          <w:w w:val="115"/>
          <w:sz w:val="12"/>
        </w:rPr>
        <w:t>avoid </w:t>
      </w:r>
      <w:r>
        <w:rPr>
          <w:color w:val="231F1F"/>
          <w:w w:val="115"/>
          <w:sz w:val="12"/>
        </w:rPr>
        <w:t>concomitant use; plasma concentration of aripiprazole possibly reduced by </w:t>
      </w:r>
      <w:r>
        <w:rPr>
          <w:rFonts w:ascii="Arial" w:hAnsi="Arial"/>
          <w:color w:val="231F1F"/>
          <w:w w:val="355"/>
          <w:position w:val="1"/>
          <w:sz w:val="7"/>
        </w:rPr>
        <w:t>l </w:t>
      </w:r>
      <w:r>
        <w:rPr>
          <w:rFonts w:ascii="Calibri" w:hAnsi="Calibri"/>
          <w:color w:val="008356"/>
          <w:spacing w:val="3"/>
          <w:w w:val="115"/>
          <w:sz w:val="11"/>
        </w:rPr>
        <w:t>EFAVIRENZ </w:t>
      </w:r>
      <w:r>
        <w:rPr>
          <w:color w:val="231F1F"/>
          <w:w w:val="115"/>
          <w:sz w:val="12"/>
        </w:rPr>
        <w:t>and</w:t>
      </w:r>
    </w:p>
    <w:p>
      <w:pPr>
        <w:pStyle w:val="BodyText"/>
        <w:spacing w:line="247" w:lineRule="auto" w:before="3"/>
        <w:ind w:right="661"/>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5"/>
          <w:sz w:val="11"/>
        </w:rPr>
        <w:t>NEVIRAPINE</w:t>
      </w:r>
      <w:r>
        <w:rPr>
          <w:rFonts w:ascii="Calibri" w:hAnsi="Calibri"/>
          <w:color w:val="008356"/>
          <w:spacing w:val="-2"/>
          <w:w w:val="115"/>
          <w:sz w:val="11"/>
        </w:rPr>
        <w:t> </w:t>
      </w:r>
      <w:r>
        <w:rPr>
          <w:color w:val="231F1F"/>
          <w:w w:val="115"/>
        </w:rPr>
        <w:t>(avoid</w:t>
      </w:r>
      <w:r>
        <w:rPr>
          <w:color w:val="231F1F"/>
          <w:spacing w:val="-11"/>
          <w:w w:val="115"/>
        </w:rPr>
        <w:t> </w:t>
      </w:r>
      <w:r>
        <w:rPr>
          <w:color w:val="231F1F"/>
          <w:w w:val="115"/>
        </w:rPr>
        <w:t>concomitant</w:t>
      </w:r>
      <w:r>
        <w:rPr>
          <w:color w:val="231F1F"/>
          <w:spacing w:val="-13"/>
          <w:w w:val="115"/>
        </w:rPr>
        <w:t> </w:t>
      </w:r>
      <w:r>
        <w:rPr>
          <w:color w:val="231F1F"/>
          <w:w w:val="115"/>
        </w:rPr>
        <w:t>use</w:t>
      </w:r>
      <w:r>
        <w:rPr>
          <w:color w:val="231F1F"/>
          <w:spacing w:val="-11"/>
          <w:w w:val="115"/>
        </w:rPr>
        <w:t> </w:t>
      </w:r>
      <w:r>
        <w:rPr>
          <w:color w:val="231F1F"/>
          <w:w w:val="115"/>
        </w:rPr>
        <w:t>or</w:t>
      </w:r>
      <w:r>
        <w:rPr>
          <w:color w:val="231F1F"/>
          <w:spacing w:val="-12"/>
          <w:w w:val="115"/>
        </w:rPr>
        <w:t> </w:t>
      </w:r>
      <w:r>
        <w:rPr>
          <w:color w:val="231F1F"/>
          <w:w w:val="115"/>
        </w:rPr>
        <w:t>consider</w:t>
      </w:r>
      <w:r>
        <w:rPr>
          <w:color w:val="231F1F"/>
          <w:spacing w:val="-11"/>
          <w:w w:val="115"/>
        </w:rPr>
        <w:t> </w:t>
      </w:r>
      <w:r>
        <w:rPr>
          <w:color w:val="231F1F"/>
          <w:w w:val="115"/>
        </w:rPr>
        <w:t>increasing the dose of aripiprazole</w:t>
      </w:r>
      <w:r>
        <w:rPr>
          <w:rFonts w:ascii="Arial" w:hAnsi="Arial"/>
          <w:color w:val="231F1F"/>
          <w:w w:val="115"/>
        </w:rPr>
        <w:t>—</w:t>
      </w:r>
      <w:r>
        <w:rPr>
          <w:color w:val="231F1F"/>
          <w:w w:val="115"/>
        </w:rPr>
        <w:t>consult aripiprazole product literature); plasma concentration of pimozide possibly increased by </w:t>
      </w:r>
      <w:r>
        <w:rPr>
          <w:rFonts w:ascii="Arial" w:hAnsi="Arial"/>
          <w:color w:val="231F1F"/>
          <w:w w:val="355"/>
          <w:position w:val="1"/>
          <w:sz w:val="7"/>
        </w:rPr>
        <w:t>l </w:t>
      </w:r>
      <w:r>
        <w:rPr>
          <w:rFonts w:ascii="Calibri" w:hAnsi="Calibri"/>
          <w:color w:val="008356"/>
          <w:spacing w:val="3"/>
          <w:w w:val="115"/>
          <w:sz w:val="11"/>
        </w:rPr>
        <w:t>EFAVIRENZ</w:t>
      </w:r>
      <w:r>
        <w:rPr>
          <w:color w:val="231F1F"/>
          <w:spacing w:val="3"/>
          <w:w w:val="115"/>
        </w:rPr>
        <w:t>, </w:t>
      </w:r>
      <w:r>
        <w:rPr>
          <w:rFonts w:ascii="Arial" w:hAnsi="Arial"/>
          <w:color w:val="231F1F"/>
          <w:w w:val="355"/>
          <w:position w:val="1"/>
          <w:sz w:val="7"/>
        </w:rPr>
        <w:t>l </w:t>
      </w:r>
      <w:r>
        <w:rPr>
          <w:rFonts w:ascii="Calibri" w:hAnsi="Calibri"/>
          <w:color w:val="008356"/>
          <w:spacing w:val="3"/>
          <w:w w:val="115"/>
          <w:sz w:val="11"/>
        </w:rPr>
        <w:t>INDINAVIR </w:t>
      </w:r>
      <w:r>
        <w:rPr>
          <w:color w:val="231F1F"/>
          <w:w w:val="115"/>
        </w:rPr>
        <w:t>and </w:t>
      </w:r>
      <w:r>
        <w:rPr>
          <w:rFonts w:ascii="Arial" w:hAnsi="Arial"/>
          <w:color w:val="231F1F"/>
          <w:w w:val="355"/>
          <w:position w:val="1"/>
          <w:sz w:val="7"/>
        </w:rPr>
        <w:t>l </w:t>
      </w:r>
      <w:r>
        <w:rPr>
          <w:rFonts w:ascii="Calibri" w:hAnsi="Calibri"/>
          <w:color w:val="008356"/>
          <w:spacing w:val="4"/>
          <w:w w:val="115"/>
          <w:sz w:val="11"/>
        </w:rPr>
        <w:t>SAQUINAVIR </w:t>
      </w:r>
      <w:r>
        <w:rPr>
          <w:color w:val="231F1F"/>
          <w:w w:val="115"/>
        </w:rPr>
        <w:t>(increased risk of ventricular arrhythmias</w:t>
      </w:r>
      <w:r>
        <w:rPr>
          <w:rFonts w:ascii="Arial" w:hAnsi="Arial"/>
          <w:color w:val="231F1F"/>
          <w:w w:val="115"/>
        </w:rPr>
        <w:t>—</w:t>
      </w:r>
      <w:r>
        <w:rPr>
          <w:color w:val="231F1F"/>
          <w:w w:val="115"/>
        </w:rPr>
        <w:t>avoid concomitant use); plasma concentration of pimozide increased</w:t>
      </w:r>
      <w:r>
        <w:rPr>
          <w:color w:val="231F1F"/>
          <w:spacing w:val="-25"/>
          <w:w w:val="115"/>
        </w:rPr>
        <w:t> </w:t>
      </w:r>
      <w:r>
        <w:rPr>
          <w:color w:val="231F1F"/>
          <w:w w:val="115"/>
        </w:rPr>
        <w:t>by</w:t>
      </w:r>
      <w:r>
        <w:rPr>
          <w:color w:val="231F1F"/>
          <w:spacing w:val="-24"/>
          <w:w w:val="115"/>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4"/>
          <w:w w:val="115"/>
          <w:sz w:val="11"/>
        </w:rPr>
        <w:t>FOSAMPRENAVIR</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3"/>
          <w:w w:val="115"/>
          <w:sz w:val="11"/>
        </w:rPr>
        <w:t>RITONAVIR</w:t>
      </w:r>
      <w:r>
        <w:rPr>
          <w:rFonts w:ascii="Calibri" w:hAnsi="Calibri"/>
          <w:color w:val="008356"/>
          <w:spacing w:val="-16"/>
          <w:w w:val="115"/>
          <w:sz w:val="11"/>
        </w:rPr>
        <w:t> </w:t>
      </w:r>
      <w:r>
        <w:rPr>
          <w:color w:val="231F1F"/>
          <w:w w:val="115"/>
        </w:rPr>
        <w:t>(increased</w:t>
      </w:r>
      <w:r>
        <w:rPr>
          <w:color w:val="231F1F"/>
          <w:spacing w:val="-25"/>
          <w:w w:val="115"/>
        </w:rPr>
        <w:t> </w:t>
      </w:r>
      <w:r>
        <w:rPr>
          <w:color w:val="231F1F"/>
          <w:w w:val="115"/>
        </w:rPr>
        <w:t>risk of ventricular arrhythmias</w:t>
      </w:r>
      <w:r>
        <w:rPr>
          <w:rFonts w:ascii="Arial" w:hAnsi="Arial"/>
          <w:color w:val="231F1F"/>
          <w:w w:val="115"/>
        </w:rPr>
        <w:t>—</w:t>
      </w:r>
      <w:r>
        <w:rPr>
          <w:color w:val="231F1F"/>
          <w:w w:val="115"/>
        </w:rPr>
        <w:t>avoid concomitant use); plasma concentration of antipsychotics possibly increased</w:t>
      </w:r>
      <w:r>
        <w:rPr>
          <w:color w:val="231F1F"/>
          <w:spacing w:val="-25"/>
          <w:w w:val="115"/>
        </w:rPr>
        <w:t> </w:t>
      </w:r>
      <w:r>
        <w:rPr>
          <w:color w:val="231F1F"/>
          <w:w w:val="115"/>
        </w:rPr>
        <w:t>by</w:t>
      </w:r>
    </w:p>
    <w:p>
      <w:pPr>
        <w:pStyle w:val="BodyText"/>
        <w:spacing w:line="242" w:lineRule="auto"/>
        <w:ind w:right="745"/>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5"/>
          <w:sz w:val="11"/>
        </w:rPr>
        <w:t>RITONAVIR</w:t>
      </w:r>
      <w:r>
        <w:rPr>
          <w:color w:val="231F1F"/>
          <w:spacing w:val="3"/>
          <w:w w:val="115"/>
        </w:rPr>
        <w:t>;</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3"/>
          <w:w w:val="115"/>
        </w:rPr>
        <w:t> </w:t>
      </w:r>
      <w:r>
        <w:rPr>
          <w:color w:val="231F1F"/>
          <w:w w:val="115"/>
        </w:rPr>
        <w:t>olanzapine</w:t>
      </w:r>
      <w:r>
        <w:rPr>
          <w:color w:val="231F1F"/>
          <w:spacing w:val="-13"/>
          <w:w w:val="115"/>
        </w:rPr>
        <w:t> </w:t>
      </w:r>
      <w:r>
        <w:rPr>
          <w:color w:val="231F1F"/>
          <w:w w:val="115"/>
        </w:rPr>
        <w:t>reduced</w:t>
      </w:r>
      <w:r>
        <w:rPr>
          <w:color w:val="231F1F"/>
          <w:spacing w:val="-13"/>
          <w:w w:val="115"/>
        </w:rPr>
        <w:t> </w:t>
      </w:r>
      <w:r>
        <w:rPr>
          <w:color w:val="231F1F"/>
          <w:spacing w:val="-7"/>
          <w:w w:val="115"/>
        </w:rPr>
        <w:t>by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consider </w:t>
      </w:r>
      <w:r>
        <w:rPr>
          <w:color w:val="231F1F"/>
          <w:w w:val="115"/>
        </w:rPr>
        <w:t>increasing dose of olanzapine; avoidance</w:t>
      </w:r>
      <w:r>
        <w:rPr>
          <w:color w:val="231F1F"/>
          <w:spacing w:val="-7"/>
          <w:w w:val="115"/>
        </w:rPr>
        <w:t> </w:t>
      </w:r>
      <w:r>
        <w:rPr>
          <w:color w:val="231F1F"/>
          <w:w w:val="115"/>
        </w:rPr>
        <w:t>of</w:t>
      </w:r>
      <w:r>
        <w:rPr>
          <w:color w:val="231F1F"/>
          <w:spacing w:val="-5"/>
          <w:w w:val="115"/>
        </w:rPr>
        <w:t> </w:t>
      </w:r>
      <w:r>
        <w:rPr>
          <w:color w:val="231F1F"/>
          <w:w w:val="115"/>
        </w:rPr>
        <w:t>clozapine</w:t>
      </w:r>
      <w:r>
        <w:rPr>
          <w:color w:val="231F1F"/>
          <w:spacing w:val="-5"/>
          <w:w w:val="115"/>
        </w:rPr>
        <w:t> </w:t>
      </w:r>
      <w:r>
        <w:rPr>
          <w:color w:val="231F1F"/>
          <w:w w:val="115"/>
        </w:rPr>
        <w:t>advised</w:t>
      </w:r>
      <w:r>
        <w:rPr>
          <w:color w:val="231F1F"/>
          <w:spacing w:val="-7"/>
          <w:w w:val="115"/>
        </w:rPr>
        <w:t> </w:t>
      </w:r>
      <w:r>
        <w:rPr>
          <w:color w:val="231F1F"/>
          <w:w w:val="115"/>
        </w:rPr>
        <w:t>by</w:t>
      </w:r>
      <w:r>
        <w:rPr>
          <w:color w:val="231F1F"/>
          <w:spacing w:val="-4"/>
          <w:w w:val="115"/>
        </w:rPr>
        <w:t> </w:t>
      </w:r>
      <w:r>
        <w:rPr>
          <w:color w:val="231F1F"/>
          <w:w w:val="115"/>
        </w:rPr>
        <w:t>manufacturer</w:t>
      </w:r>
      <w:r>
        <w:rPr>
          <w:color w:val="231F1F"/>
          <w:spacing w:val="-5"/>
          <w:w w:val="115"/>
        </w:rPr>
        <w:t> </w:t>
      </w:r>
      <w:r>
        <w:rPr>
          <w:color w:val="231F1F"/>
          <w:w w:val="115"/>
        </w:rPr>
        <w:t>of</w:t>
      </w:r>
    </w:p>
    <w:p>
      <w:pPr>
        <w:pStyle w:val="BodyText"/>
        <w:spacing w:line="244" w:lineRule="auto" w:before="4"/>
        <w:ind w:right="724"/>
      </w:pPr>
      <w:r>
        <w:rPr>
          <w:rFonts w:ascii="Arial" w:hAnsi="Arial"/>
          <w:color w:val="231F1F"/>
          <w:w w:val="355"/>
          <w:position w:val="1"/>
          <w:sz w:val="7"/>
        </w:rPr>
        <w:t>l </w:t>
      </w:r>
      <w:r>
        <w:rPr>
          <w:rFonts w:ascii="Calibri" w:hAnsi="Calibri"/>
          <w:color w:val="008356"/>
          <w:w w:val="110"/>
          <w:sz w:val="11"/>
        </w:rPr>
        <w:t>RITONAVIR </w:t>
      </w:r>
      <w:r>
        <w:rPr>
          <w:color w:val="231F1F"/>
          <w:w w:val="110"/>
        </w:rPr>
        <w:t>(increased risk of toxicity); increased risk of ventricular arrhythmias when clozapine, haloperidol or phenothiazines given with </w:t>
      </w: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w:t>
      </w:r>
    </w:p>
    <w:p>
      <w:pPr>
        <w:pStyle w:val="BodyText"/>
        <w:spacing w:line="244" w:lineRule="auto"/>
        <w:ind w:right="692" w:hanging="100"/>
      </w:pPr>
      <w:r>
        <w:rPr>
          <w:rFonts w:ascii="Arial"/>
          <w:color w:val="231F1F"/>
          <w:w w:val="355"/>
          <w:position w:val="1"/>
          <w:sz w:val="7"/>
        </w:rPr>
        <w:t>l </w:t>
      </w:r>
      <w:r>
        <w:rPr>
          <w:rFonts w:ascii="Calibri"/>
          <w:color w:val="231F1F"/>
          <w:w w:val="110"/>
        </w:rPr>
        <w:t>Anxiolytics and Hypnotics: </w:t>
      </w:r>
      <w:r>
        <w:rPr>
          <w:color w:val="231F1F"/>
          <w:w w:val="110"/>
        </w:rPr>
        <w:t>increased sedative effect when antipsychotics</w:t>
      </w:r>
      <w:r>
        <w:rPr>
          <w:color w:val="231F1F"/>
          <w:spacing w:val="-14"/>
          <w:w w:val="110"/>
        </w:rPr>
        <w:t> </w:t>
      </w:r>
      <w:r>
        <w:rPr>
          <w:color w:val="231F1F"/>
          <w:w w:val="110"/>
        </w:rPr>
        <w:t>given</w:t>
      </w:r>
      <w:r>
        <w:rPr>
          <w:color w:val="231F1F"/>
          <w:spacing w:val="-14"/>
          <w:w w:val="110"/>
        </w:rPr>
        <w:t> </w:t>
      </w:r>
      <w:r>
        <w:rPr>
          <w:color w:val="231F1F"/>
          <w:w w:val="110"/>
        </w:rPr>
        <w:t>with</w:t>
      </w:r>
      <w:r>
        <w:rPr>
          <w:color w:val="231F1F"/>
          <w:spacing w:val="-13"/>
          <w:w w:val="110"/>
        </w:rPr>
        <w:t> </w:t>
      </w:r>
      <w:r>
        <w:rPr>
          <w:rFonts w:ascii="Calibri"/>
          <w:color w:val="008356"/>
          <w:spacing w:val="3"/>
          <w:w w:val="110"/>
          <w:sz w:val="11"/>
        </w:rPr>
        <w:t>ANXIOLYTICS</w:t>
      </w:r>
      <w:r>
        <w:rPr>
          <w:rFonts w:ascii="Calibri"/>
          <w:color w:val="008356"/>
          <w:spacing w:val="-6"/>
          <w:w w:val="110"/>
          <w:sz w:val="11"/>
        </w:rPr>
        <w:t> </w:t>
      </w:r>
      <w:r>
        <w:rPr>
          <w:rFonts w:ascii="Calibri"/>
          <w:color w:val="008356"/>
          <w:spacing w:val="3"/>
          <w:w w:val="110"/>
          <w:sz w:val="11"/>
        </w:rPr>
        <w:t>AND</w:t>
      </w:r>
      <w:r>
        <w:rPr>
          <w:rFonts w:ascii="Calibri"/>
          <w:color w:val="008356"/>
          <w:spacing w:val="-7"/>
          <w:w w:val="110"/>
          <w:sz w:val="11"/>
        </w:rPr>
        <w:t> </w:t>
      </w:r>
      <w:r>
        <w:rPr>
          <w:rFonts w:ascii="Calibri"/>
          <w:color w:val="008356"/>
          <w:spacing w:val="4"/>
          <w:w w:val="110"/>
          <w:sz w:val="11"/>
        </w:rPr>
        <w:t>HYPNOTICS</w:t>
      </w:r>
      <w:r>
        <w:rPr>
          <w:color w:val="231F1F"/>
          <w:spacing w:val="4"/>
          <w:w w:val="110"/>
        </w:rPr>
        <w:t>;</w:t>
      </w:r>
      <w:r>
        <w:rPr>
          <w:color w:val="231F1F"/>
          <w:spacing w:val="-14"/>
          <w:w w:val="110"/>
        </w:rPr>
        <w:t> </w:t>
      </w:r>
      <w:r>
        <w:rPr>
          <w:color w:val="231F1F"/>
          <w:w w:val="110"/>
        </w:rPr>
        <w:t>plasma concentration of haloperidol possibly increased by </w:t>
      </w:r>
      <w:r>
        <w:rPr>
          <w:rFonts w:ascii="Calibri"/>
          <w:color w:val="008356"/>
          <w:spacing w:val="4"/>
          <w:w w:val="110"/>
          <w:sz w:val="11"/>
        </w:rPr>
        <w:t>ALPRAZOLAM</w:t>
      </w:r>
      <w:r>
        <w:rPr>
          <w:color w:val="231F1F"/>
          <w:spacing w:val="4"/>
          <w:w w:val="110"/>
        </w:rPr>
        <w:t>; </w:t>
      </w:r>
      <w:r>
        <w:rPr>
          <w:color w:val="231F1F"/>
          <w:w w:val="110"/>
        </w:rPr>
        <w:t>lurasidone increases plasma concentration of </w:t>
      </w:r>
      <w:r>
        <w:rPr>
          <w:rFonts w:ascii="Calibri"/>
          <w:color w:val="008356"/>
          <w:spacing w:val="4"/>
          <w:w w:val="110"/>
          <w:sz w:val="11"/>
        </w:rPr>
        <w:t>MIDAZOLAM</w:t>
      </w:r>
      <w:r>
        <w:rPr>
          <w:color w:val="231F1F"/>
          <w:spacing w:val="4"/>
          <w:w w:val="110"/>
        </w:rPr>
        <w:t>; </w:t>
      </w:r>
      <w:r>
        <w:rPr>
          <w:color w:val="231F1F"/>
          <w:w w:val="110"/>
        </w:rPr>
        <w:t>serious adverse events reported with concomitant use of clozapine</w:t>
      </w:r>
      <w:r>
        <w:rPr>
          <w:color w:val="231F1F"/>
          <w:spacing w:val="-4"/>
          <w:w w:val="110"/>
        </w:rPr>
        <w:t> </w:t>
      </w:r>
      <w:r>
        <w:rPr>
          <w:color w:val="231F1F"/>
          <w:w w:val="110"/>
        </w:rPr>
        <w:t>and</w:t>
      </w:r>
    </w:p>
    <w:p>
      <w:pPr>
        <w:spacing w:after="0" w:line="244" w:lineRule="auto"/>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128" filled="true" fillcolor="#bfdbcf" stroked="false">
            <v:fill type="solid"/>
            <w10:wrap type="none"/>
          </v:rect>
        </w:pict>
      </w:r>
      <w:r>
        <w:rPr/>
        <w:pict>
          <v:shape style="position:absolute;margin-left:7.751256pt;margin-top:35.804367pt;width:10.4pt;height:78.850pt;mso-position-horizontal-relative:page;mso-position-vertical-relative:page;z-index:215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Antipsychotics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05"/>
        </w:rPr>
        <w:t>Anxiolytics and Hypnotics (continued)</w:t>
      </w:r>
    </w:p>
    <w:p>
      <w:pPr>
        <w:spacing w:line="247" w:lineRule="auto" w:before="0"/>
        <w:ind w:left="286" w:right="51" w:hanging="1"/>
        <w:jc w:val="left"/>
        <w:rPr>
          <w:i/>
          <w:sz w:val="12"/>
        </w:rPr>
      </w:pPr>
      <w:r>
        <w:rPr>
          <w:rFonts w:ascii="Arial"/>
          <w:color w:val="231F1F"/>
          <w:w w:val="355"/>
          <w:position w:val="1"/>
          <w:sz w:val="7"/>
        </w:rPr>
        <w:t>l </w:t>
      </w:r>
      <w:r>
        <w:rPr>
          <w:rFonts w:ascii="Calibri"/>
          <w:color w:val="008356"/>
          <w:w w:val="110"/>
          <w:sz w:val="11"/>
        </w:rPr>
        <w:t>BENZODIAZEPINES </w:t>
      </w:r>
      <w:r>
        <w:rPr>
          <w:color w:val="231F1F"/>
          <w:w w:val="110"/>
          <w:sz w:val="12"/>
        </w:rPr>
        <w:t>(causality not established); increased risk of hypotension, bradycardia and respiratory depression when </w:t>
      </w:r>
      <w:r>
        <w:rPr>
          <w:i/>
          <w:color w:val="231F1F"/>
          <w:w w:val="110"/>
          <w:sz w:val="12"/>
        </w:rPr>
        <w:t>intramuscular </w:t>
      </w:r>
      <w:r>
        <w:rPr>
          <w:color w:val="231F1F"/>
          <w:w w:val="110"/>
          <w:sz w:val="12"/>
        </w:rPr>
        <w:t>olanzapine given with </w:t>
      </w:r>
      <w:r>
        <w:rPr>
          <w:i/>
          <w:color w:val="231F1F"/>
          <w:w w:val="110"/>
          <w:sz w:val="12"/>
        </w:rPr>
        <w:t>parenteral</w:t>
      </w:r>
    </w:p>
    <w:p>
      <w:pPr>
        <w:spacing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BENZODIAZEPINES</w:t>
      </w:r>
      <w:r>
        <w:rPr>
          <w:color w:val="231F1F"/>
          <w:w w:val="110"/>
          <w:sz w:val="12"/>
        </w:rPr>
        <w:t>; plasma concentration of haloperidol increased by </w:t>
      </w:r>
      <w:r>
        <w:rPr>
          <w:rFonts w:ascii="Calibri"/>
          <w:color w:val="008356"/>
          <w:w w:val="110"/>
          <w:sz w:val="11"/>
        </w:rPr>
        <w:t>BUSPIRONE</w:t>
      </w:r>
    </w:p>
    <w:p>
      <w:pPr>
        <w:pStyle w:val="BodyText"/>
        <w:spacing w:line="146" w:lineRule="exact"/>
        <w:ind w:left="186"/>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Aprepitant:</w:t>
      </w:r>
      <w:r>
        <w:rPr>
          <w:rFonts w:ascii="Calibri"/>
          <w:color w:val="231F1F"/>
          <w:spacing w:val="-14"/>
          <w:w w:val="115"/>
        </w:rPr>
        <w:t> </w:t>
      </w:r>
      <w:r>
        <w:rPr>
          <w:color w:val="231F1F"/>
          <w:w w:val="115"/>
        </w:rPr>
        <w:t>avoidance</w:t>
      </w:r>
      <w:r>
        <w:rPr>
          <w:color w:val="231F1F"/>
          <w:spacing w:val="-17"/>
          <w:w w:val="115"/>
        </w:rPr>
        <w:t> </w:t>
      </w:r>
      <w:r>
        <w:rPr>
          <w:color w:val="231F1F"/>
          <w:w w:val="115"/>
        </w:rPr>
        <w:t>of</w:t>
      </w:r>
      <w:r>
        <w:rPr>
          <w:color w:val="231F1F"/>
          <w:spacing w:val="-17"/>
          <w:w w:val="115"/>
        </w:rPr>
        <w:t> </w:t>
      </w:r>
      <w:r>
        <w:rPr>
          <w:color w:val="231F1F"/>
          <w:w w:val="115"/>
        </w:rPr>
        <w:t>pimozide</w:t>
      </w:r>
      <w:r>
        <w:rPr>
          <w:color w:val="231F1F"/>
          <w:spacing w:val="-18"/>
          <w:w w:val="115"/>
        </w:rPr>
        <w:t> </w:t>
      </w:r>
      <w:r>
        <w:rPr>
          <w:color w:val="231F1F"/>
          <w:w w:val="115"/>
        </w:rPr>
        <w:t>advised</w:t>
      </w:r>
      <w:r>
        <w:rPr>
          <w:color w:val="231F1F"/>
          <w:spacing w:val="-17"/>
          <w:w w:val="115"/>
        </w:rPr>
        <w:t> </w:t>
      </w:r>
      <w:r>
        <w:rPr>
          <w:color w:val="231F1F"/>
          <w:w w:val="115"/>
        </w:rPr>
        <w:t>by</w:t>
      </w:r>
      <w:r>
        <w:rPr>
          <w:color w:val="231F1F"/>
          <w:spacing w:val="-17"/>
          <w:w w:val="115"/>
        </w:rPr>
        <w:t> </w:t>
      </w:r>
      <w:r>
        <w:rPr>
          <w:color w:val="231F1F"/>
          <w:w w:val="115"/>
        </w:rPr>
        <w:t>manufacturer</w:t>
      </w:r>
      <w:r>
        <w:rPr>
          <w:color w:val="231F1F"/>
          <w:spacing w:val="-18"/>
          <w:w w:val="115"/>
        </w:rPr>
        <w:t> </w:t>
      </w:r>
      <w:r>
        <w:rPr>
          <w:color w:val="231F1F"/>
          <w:w w:val="115"/>
        </w:rPr>
        <w:t>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20"/>
          <w:sz w:val="11"/>
        </w:rPr>
        <w:t>APREPITANT</w:t>
      </w:r>
    </w:p>
    <w:p>
      <w:pPr>
        <w:pStyle w:val="BodyText"/>
        <w:ind w:left="286" w:hanging="100"/>
      </w:pPr>
      <w:r>
        <w:rPr>
          <w:rFonts w:ascii="Arial"/>
          <w:color w:val="231F1F"/>
          <w:w w:val="355"/>
          <w:position w:val="1"/>
          <w:sz w:val="7"/>
        </w:rPr>
        <w:t>l </w:t>
      </w:r>
      <w:r>
        <w:rPr>
          <w:rFonts w:ascii="Calibri"/>
          <w:color w:val="231F1F"/>
          <w:w w:val="110"/>
        </w:rPr>
        <w:t>Atomoxetine: </w:t>
      </w:r>
      <w:r>
        <w:rPr>
          <w:color w:val="231F1F"/>
          <w:w w:val="110"/>
        </w:rPr>
        <w:t>increased risk of ventricular arrhythmias when antipsychotics that prolong the QT interval given with</w:t>
      </w:r>
    </w:p>
    <w:p>
      <w:pPr>
        <w:spacing w:line="133" w:lineRule="exact" w:before="11"/>
        <w:ind w:left="286" w:right="0" w:firstLine="0"/>
        <w:jc w:val="left"/>
        <w:rPr>
          <w:rFonts w:ascii="Calibri"/>
          <w:sz w:val="11"/>
        </w:rPr>
      </w:pPr>
      <w:r>
        <w:rPr>
          <w:rFonts w:ascii="Arial"/>
          <w:color w:val="231F1F"/>
          <w:w w:val="355"/>
          <w:position w:val="1"/>
          <w:sz w:val="7"/>
        </w:rPr>
        <w:t>l </w:t>
      </w:r>
      <w:r>
        <w:rPr>
          <w:rFonts w:ascii="Calibri"/>
          <w:color w:val="008356"/>
          <w:w w:val="115"/>
          <w:sz w:val="11"/>
        </w:rPr>
        <w:t>ATOMOXETINE</w:t>
      </w:r>
    </w:p>
    <w:p>
      <w:pPr>
        <w:pStyle w:val="BodyText"/>
        <w:spacing w:line="244" w:lineRule="auto"/>
        <w:ind w:left="286" w:right="51" w:hanging="100"/>
      </w:pPr>
      <w:r>
        <w:rPr>
          <w:rFonts w:ascii="Arial" w:hAnsi="Arial"/>
          <w:color w:val="231F1F"/>
          <w:w w:val="355"/>
          <w:position w:val="1"/>
          <w:sz w:val="7"/>
        </w:rPr>
        <w:t>l </w:t>
      </w:r>
      <w:r>
        <w:rPr>
          <w:rFonts w:ascii="Calibri" w:hAnsi="Calibri"/>
          <w:color w:val="231F1F"/>
          <w:w w:val="115"/>
        </w:rPr>
        <w:t>Beta-blockers: </w:t>
      </w:r>
      <w:r>
        <w:rPr>
          <w:color w:val="231F1F"/>
          <w:w w:val="115"/>
        </w:rPr>
        <w:t>enhanced hypotensive effect when phenothiazines given with </w:t>
      </w:r>
      <w:r>
        <w:rPr>
          <w:rFonts w:ascii="Calibri" w:hAnsi="Calibri"/>
          <w:color w:val="008356"/>
          <w:spacing w:val="4"/>
          <w:w w:val="115"/>
          <w:sz w:val="11"/>
        </w:rPr>
        <w:t>BETA-BLOCKERS</w:t>
      </w:r>
      <w:r>
        <w:rPr>
          <w:color w:val="231F1F"/>
          <w:spacing w:val="4"/>
          <w:w w:val="115"/>
        </w:rPr>
        <w:t>; </w:t>
      </w:r>
      <w:r>
        <w:rPr>
          <w:color w:val="231F1F"/>
          <w:w w:val="115"/>
        </w:rPr>
        <w:t>plasma concentration of both drugs may increase when chlorpromazine</w:t>
      </w:r>
      <w:r>
        <w:rPr>
          <w:color w:val="231F1F"/>
          <w:spacing w:val="-21"/>
          <w:w w:val="115"/>
        </w:rPr>
        <w:t> </w:t>
      </w:r>
      <w:r>
        <w:rPr>
          <w:color w:val="231F1F"/>
          <w:w w:val="115"/>
        </w:rPr>
        <w:t>given</w:t>
      </w:r>
      <w:r>
        <w:rPr>
          <w:color w:val="231F1F"/>
          <w:spacing w:val="-22"/>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PROPRANOLOL</w:t>
      </w:r>
      <w:r>
        <w:rPr>
          <w:color w:val="231F1F"/>
          <w:spacing w:val="4"/>
          <w:w w:val="115"/>
        </w:rPr>
        <w:t>;</w:t>
      </w:r>
      <w:r>
        <w:rPr>
          <w:color w:val="231F1F"/>
          <w:spacing w:val="-21"/>
          <w:w w:val="115"/>
        </w:rPr>
        <w:t> </w:t>
      </w:r>
      <w:r>
        <w:rPr>
          <w:color w:val="231F1F"/>
          <w:w w:val="115"/>
        </w:rPr>
        <w:t>increased</w:t>
      </w:r>
      <w:r>
        <w:rPr>
          <w:color w:val="231F1F"/>
          <w:spacing w:val="-21"/>
          <w:w w:val="115"/>
        </w:rPr>
        <w:t> </w:t>
      </w:r>
      <w:r>
        <w:rPr>
          <w:color w:val="231F1F"/>
          <w:w w:val="115"/>
        </w:rPr>
        <w:t>risk</w:t>
      </w:r>
      <w:r>
        <w:rPr>
          <w:color w:val="231F1F"/>
          <w:spacing w:val="-21"/>
          <w:w w:val="115"/>
        </w:rPr>
        <w:t> </w:t>
      </w:r>
      <w:r>
        <w:rPr>
          <w:color w:val="231F1F"/>
          <w:w w:val="115"/>
        </w:rPr>
        <w:t>of ventricular arrhythmias when droperidol or zuclopenthixol given</w:t>
      </w:r>
      <w:r>
        <w:rPr>
          <w:color w:val="231F1F"/>
          <w:spacing w:val="-16"/>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SOTALOL</w:t>
      </w:r>
      <w:r>
        <w:rPr>
          <w:rFonts w:ascii="Arial" w:hAnsi="Arial"/>
          <w:color w:val="231F1F"/>
          <w:w w:val="115"/>
        </w:rPr>
        <w:t>—</w:t>
      </w:r>
      <w:r>
        <w:rPr>
          <w:color w:val="231F1F"/>
          <w:w w:val="115"/>
        </w:rPr>
        <w:t>avoid</w:t>
      </w:r>
      <w:r>
        <w:rPr>
          <w:color w:val="231F1F"/>
          <w:spacing w:val="-15"/>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increased</w:t>
      </w:r>
      <w:r>
        <w:rPr>
          <w:color w:val="231F1F"/>
          <w:spacing w:val="-16"/>
          <w:w w:val="115"/>
        </w:rPr>
        <w:t> </w:t>
      </w:r>
      <w:r>
        <w:rPr>
          <w:color w:val="231F1F"/>
          <w:spacing w:val="-3"/>
          <w:w w:val="115"/>
        </w:rPr>
        <w:t>risk </w:t>
      </w:r>
      <w:r>
        <w:rPr>
          <w:color w:val="231F1F"/>
          <w:w w:val="115"/>
        </w:rPr>
        <w:t>of ventricular arrhythmias when amisulpride, phenothiazines,</w:t>
      </w:r>
      <w:r>
        <w:rPr>
          <w:color w:val="231F1F"/>
          <w:spacing w:val="-12"/>
          <w:w w:val="115"/>
        </w:rPr>
        <w:t> </w:t>
      </w:r>
      <w:r>
        <w:rPr>
          <w:color w:val="231F1F"/>
          <w:w w:val="115"/>
        </w:rPr>
        <w:t>pimozide</w:t>
      </w:r>
      <w:r>
        <w:rPr>
          <w:color w:val="231F1F"/>
          <w:spacing w:val="-13"/>
          <w:w w:val="115"/>
        </w:rPr>
        <w:t> </w:t>
      </w:r>
      <w:r>
        <w:rPr>
          <w:color w:val="231F1F"/>
          <w:w w:val="115"/>
        </w:rPr>
        <w:t>or</w:t>
      </w:r>
      <w:r>
        <w:rPr>
          <w:color w:val="231F1F"/>
          <w:spacing w:val="-13"/>
          <w:w w:val="115"/>
        </w:rPr>
        <w:t> </w:t>
      </w:r>
      <w:r>
        <w:rPr>
          <w:color w:val="231F1F"/>
          <w:w w:val="115"/>
        </w:rPr>
        <w:t>sulpiride</w:t>
      </w:r>
      <w:r>
        <w:rPr>
          <w:color w:val="231F1F"/>
          <w:spacing w:val="-12"/>
          <w:w w:val="115"/>
        </w:rPr>
        <w:t> </w:t>
      </w:r>
      <w:r>
        <w:rPr>
          <w:color w:val="231F1F"/>
          <w:w w:val="115"/>
        </w:rPr>
        <w:t>given</w:t>
      </w:r>
      <w:r>
        <w:rPr>
          <w:color w:val="231F1F"/>
          <w:spacing w:val="-13"/>
          <w:w w:val="115"/>
        </w:rPr>
        <w:t> </w:t>
      </w:r>
      <w:r>
        <w:rPr>
          <w:color w:val="231F1F"/>
          <w:w w:val="115"/>
        </w:rPr>
        <w:t>with</w:t>
      </w:r>
      <w:r>
        <w:rPr>
          <w:color w:val="231F1F"/>
          <w:spacing w:val="-13"/>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5"/>
          <w:sz w:val="11"/>
        </w:rPr>
        <w:t>SOTALOL</w:t>
      </w:r>
      <w:r>
        <w:rPr>
          <w:color w:val="231F1F"/>
          <w:spacing w:val="3"/>
          <w:w w:val="115"/>
        </w:rPr>
        <w:t>; </w:t>
      </w:r>
      <w:r>
        <w:rPr>
          <w:color w:val="231F1F"/>
          <w:w w:val="115"/>
        </w:rPr>
        <w:t>possible increased risk of ventricular arrhythmias when risperidone</w:t>
      </w:r>
      <w:r>
        <w:rPr>
          <w:color w:val="231F1F"/>
          <w:spacing w:val="-14"/>
          <w:w w:val="115"/>
        </w:rPr>
        <w:t> </w:t>
      </w:r>
      <w:r>
        <w:rPr>
          <w:color w:val="231F1F"/>
          <w:w w:val="115"/>
        </w:rPr>
        <w:t>given</w:t>
      </w:r>
      <w:r>
        <w:rPr>
          <w:color w:val="231F1F"/>
          <w:spacing w:val="-12"/>
          <w:w w:val="115"/>
        </w:rPr>
        <w:t> </w:t>
      </w:r>
      <w:r>
        <w:rPr>
          <w:color w:val="231F1F"/>
          <w:w w:val="115"/>
        </w:rPr>
        <w:t>with</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5"/>
          <w:sz w:val="11"/>
        </w:rPr>
        <w:t>SOTALOL</w:t>
      </w:r>
      <w:r>
        <w:rPr>
          <w:color w:val="231F1F"/>
          <w:spacing w:val="3"/>
          <w:w w:val="115"/>
        </w:rPr>
        <w:t>;</w:t>
      </w:r>
      <w:r>
        <w:rPr>
          <w:color w:val="231F1F"/>
          <w:spacing w:val="-12"/>
          <w:w w:val="115"/>
        </w:rPr>
        <w:t> </w:t>
      </w:r>
      <w:r>
        <w:rPr>
          <w:color w:val="231F1F"/>
          <w:w w:val="115"/>
        </w:rPr>
        <w:t>possible</w:t>
      </w:r>
      <w:r>
        <w:rPr>
          <w:color w:val="231F1F"/>
          <w:spacing w:val="-13"/>
          <w:w w:val="115"/>
        </w:rPr>
        <w:t> </w:t>
      </w:r>
      <w:r>
        <w:rPr>
          <w:color w:val="231F1F"/>
          <w:w w:val="115"/>
        </w:rPr>
        <w:t>increased</w:t>
      </w:r>
      <w:r>
        <w:rPr>
          <w:color w:val="231F1F"/>
          <w:spacing w:val="-13"/>
          <w:w w:val="115"/>
        </w:rPr>
        <w:t> </w:t>
      </w:r>
      <w:r>
        <w:rPr>
          <w:color w:val="231F1F"/>
          <w:w w:val="115"/>
        </w:rPr>
        <w:t>risk</w:t>
      </w:r>
      <w:r>
        <w:rPr>
          <w:color w:val="231F1F"/>
          <w:spacing w:val="-12"/>
          <w:w w:val="115"/>
        </w:rPr>
        <w:t> </w:t>
      </w:r>
      <w:r>
        <w:rPr>
          <w:color w:val="231F1F"/>
          <w:w w:val="115"/>
        </w:rPr>
        <w:t>of ventricular</w:t>
      </w:r>
      <w:r>
        <w:rPr>
          <w:color w:val="231F1F"/>
          <w:spacing w:val="-6"/>
          <w:w w:val="115"/>
        </w:rPr>
        <w:t> </w:t>
      </w:r>
      <w:r>
        <w:rPr>
          <w:color w:val="231F1F"/>
          <w:w w:val="115"/>
        </w:rPr>
        <w:t>arrhythmias</w:t>
      </w:r>
      <w:r>
        <w:rPr>
          <w:color w:val="231F1F"/>
          <w:spacing w:val="-6"/>
          <w:w w:val="115"/>
        </w:rPr>
        <w:t> </w:t>
      </w:r>
      <w:r>
        <w:rPr>
          <w:color w:val="231F1F"/>
          <w:w w:val="115"/>
        </w:rPr>
        <w:t>when</w:t>
      </w:r>
      <w:r>
        <w:rPr>
          <w:color w:val="231F1F"/>
          <w:spacing w:val="-4"/>
          <w:w w:val="115"/>
        </w:rPr>
        <w:t> </w:t>
      </w:r>
      <w:r>
        <w:rPr>
          <w:color w:val="231F1F"/>
          <w:w w:val="115"/>
        </w:rPr>
        <w:t>haloperidol</w:t>
      </w:r>
      <w:r>
        <w:rPr>
          <w:color w:val="231F1F"/>
          <w:spacing w:val="-6"/>
          <w:w w:val="115"/>
        </w:rPr>
        <w:t> </w:t>
      </w:r>
      <w:r>
        <w:rPr>
          <w:color w:val="231F1F"/>
          <w:w w:val="115"/>
        </w:rPr>
        <w:t>given</w:t>
      </w:r>
      <w:r>
        <w:rPr>
          <w:color w:val="231F1F"/>
          <w:spacing w:val="-5"/>
          <w:w w:val="115"/>
        </w:rPr>
        <w:t> </w:t>
      </w:r>
      <w:r>
        <w:rPr>
          <w:color w:val="231F1F"/>
          <w:w w:val="115"/>
        </w:rPr>
        <w:t>with</w:t>
      </w:r>
    </w:p>
    <w:p>
      <w:pPr>
        <w:spacing w:line="141" w:lineRule="exact" w:before="3"/>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5"/>
          <w:sz w:val="11"/>
        </w:rPr>
        <w:t>SOTALOL</w:t>
      </w:r>
      <w:r>
        <w:rPr>
          <w:rFonts w:ascii="Arial" w:hAnsi="Arial"/>
          <w:color w:val="231F1F"/>
          <w:w w:val="115"/>
          <w:sz w:val="12"/>
        </w:rPr>
        <w:t>—</w:t>
      </w:r>
      <w:r>
        <w:rPr>
          <w:color w:val="231F1F"/>
          <w:w w:val="115"/>
          <w:sz w:val="12"/>
        </w:rPr>
        <w:t>avoid concomitant use</w:t>
      </w:r>
    </w:p>
    <w:p>
      <w:pPr>
        <w:pStyle w:val="BodyText"/>
        <w:spacing w:line="242" w:lineRule="auto"/>
        <w:ind w:left="286" w:right="21" w:hanging="100"/>
      </w:pPr>
      <w:r>
        <w:rPr>
          <w:rFonts w:ascii="Arial"/>
          <w:color w:val="231F1F"/>
          <w:w w:val="355"/>
          <w:position w:val="1"/>
          <w:sz w:val="7"/>
        </w:rPr>
        <w:t>l </w:t>
      </w:r>
      <w:r>
        <w:rPr>
          <w:rFonts w:ascii="Calibri"/>
          <w:color w:val="231F1F"/>
          <w:w w:val="105"/>
        </w:rPr>
        <w:t>Calcium-channel Blockers: </w:t>
      </w:r>
      <w:r>
        <w:rPr>
          <w:color w:val="231F1F"/>
          <w:w w:val="105"/>
        </w:rPr>
        <w:t>enhanced hypotensive effect when antipsychotics given with </w:t>
      </w:r>
      <w:r>
        <w:rPr>
          <w:rFonts w:ascii="Calibri"/>
          <w:color w:val="008356"/>
          <w:spacing w:val="4"/>
          <w:w w:val="105"/>
          <w:sz w:val="11"/>
        </w:rPr>
        <w:t>CALCIUM-CHANNEL BLOCKERS</w:t>
      </w:r>
      <w:r>
        <w:rPr>
          <w:color w:val="231F1F"/>
          <w:spacing w:val="4"/>
          <w:w w:val="105"/>
        </w:rPr>
        <w:t>; </w:t>
      </w:r>
      <w:r>
        <w:rPr>
          <w:color w:val="231F1F"/>
          <w:w w:val="105"/>
        </w:rPr>
        <w:t>plasma </w:t>
      </w:r>
      <w:r>
        <w:rPr>
          <w:color w:val="231F1F"/>
          <w:w w:val="130"/>
        </w:rPr>
        <w:t>concentration </w:t>
      </w:r>
      <w:r>
        <w:rPr>
          <w:color w:val="231F1F"/>
          <w:w w:val="105"/>
        </w:rPr>
        <w:t>of lurasidone increased by </w:t>
      </w:r>
      <w:r>
        <w:rPr>
          <w:rFonts w:ascii="Arial"/>
          <w:color w:val="231F1F"/>
          <w:w w:val="355"/>
          <w:position w:val="1"/>
          <w:sz w:val="7"/>
        </w:rPr>
        <w:t>l </w:t>
      </w:r>
      <w:r>
        <w:rPr>
          <w:rFonts w:ascii="Calibri"/>
          <w:color w:val="008356"/>
          <w:spacing w:val="3"/>
          <w:w w:val="105"/>
          <w:sz w:val="11"/>
        </w:rPr>
        <w:t>DILTIAZEM </w:t>
      </w:r>
      <w:r>
        <w:rPr>
          <w:color w:val="231F1F"/>
          <w:w w:val="105"/>
        </w:rPr>
        <w:t>(see under Lurasidone,  p. 315); plasma </w:t>
      </w:r>
      <w:r>
        <w:rPr>
          <w:color w:val="231F1F"/>
          <w:w w:val="130"/>
        </w:rPr>
        <w:t>concentration </w:t>
      </w:r>
      <w:r>
        <w:rPr>
          <w:color w:val="231F1F"/>
          <w:w w:val="105"/>
        </w:rPr>
        <w:t>of  lurasidone possibly increased by </w:t>
      </w:r>
      <w:r>
        <w:rPr>
          <w:rFonts w:ascii="Arial"/>
          <w:color w:val="231F1F"/>
          <w:w w:val="355"/>
          <w:position w:val="1"/>
          <w:sz w:val="7"/>
        </w:rPr>
        <w:t>l </w:t>
      </w:r>
      <w:r>
        <w:rPr>
          <w:rFonts w:ascii="Calibri"/>
          <w:color w:val="008356"/>
          <w:spacing w:val="4"/>
          <w:w w:val="105"/>
          <w:sz w:val="11"/>
        </w:rPr>
        <w:t>VERAPAMIL </w:t>
      </w:r>
      <w:r>
        <w:rPr>
          <w:color w:val="231F1F"/>
          <w:w w:val="105"/>
        </w:rPr>
        <w:t>(see under Lurasidone, p.</w:t>
      </w:r>
      <w:r>
        <w:rPr>
          <w:color w:val="231F1F"/>
          <w:spacing w:val="1"/>
          <w:w w:val="105"/>
        </w:rPr>
        <w:t> </w:t>
      </w:r>
      <w:r>
        <w:rPr>
          <w:color w:val="231F1F"/>
          <w:w w:val="105"/>
        </w:rPr>
        <w:t>315)</w:t>
      </w:r>
    </w:p>
    <w:p>
      <w:pPr>
        <w:pStyle w:val="BodyText"/>
        <w:spacing w:line="220" w:lineRule="auto" w:before="11"/>
        <w:ind w:left="286" w:right="51"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phenothiazines given with </w:t>
      </w:r>
      <w:r>
        <w:rPr>
          <w:rFonts w:ascii="Calibri" w:hAnsi="Calibri"/>
          <w:color w:val="008356"/>
          <w:w w:val="105"/>
          <w:sz w:val="11"/>
        </w:rPr>
        <w:t>CLONIDINE</w:t>
      </w:r>
    </w:p>
    <w:p>
      <w:pPr>
        <w:pStyle w:val="BodyText"/>
        <w:ind w:left="286" w:right="173" w:hanging="100"/>
      </w:pPr>
      <w:r>
        <w:rPr>
          <w:rFonts w:ascii="Arial" w:hAnsi="Arial"/>
          <w:color w:val="231F1F"/>
          <w:w w:val="355"/>
          <w:position w:val="1"/>
          <w:sz w:val="7"/>
        </w:rPr>
        <w:t>l </w:t>
      </w:r>
      <w:r>
        <w:rPr>
          <w:rFonts w:ascii="Calibri" w:hAnsi="Calibri"/>
          <w:color w:val="231F1F"/>
          <w:w w:val="115"/>
        </w:rPr>
        <w:t>Cobicistat: </w:t>
      </w:r>
      <w:r>
        <w:rPr>
          <w:color w:val="231F1F"/>
          <w:w w:val="115"/>
        </w:rPr>
        <w:t>plasma concentration of lurasidone possibly increased</w:t>
      </w:r>
      <w:r>
        <w:rPr>
          <w:color w:val="231F1F"/>
          <w:spacing w:val="-25"/>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COBICISTAT</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5"/>
          <w:w w:val="115"/>
        </w:rPr>
        <w:t> </w:t>
      </w:r>
      <w:r>
        <w:rPr>
          <w:color w:val="231F1F"/>
          <w:w w:val="115"/>
        </w:rPr>
        <w:t>use;</w:t>
      </w:r>
      <w:r>
        <w:rPr>
          <w:color w:val="231F1F"/>
          <w:spacing w:val="-24"/>
          <w:w w:val="115"/>
        </w:rPr>
        <w:t> </w:t>
      </w:r>
      <w:r>
        <w:rPr>
          <w:color w:val="231F1F"/>
          <w:w w:val="115"/>
        </w:rPr>
        <w:t>plasma concentration of pimozide possibly increased</w:t>
      </w:r>
      <w:r>
        <w:rPr>
          <w:color w:val="231F1F"/>
          <w:spacing w:val="-26"/>
          <w:w w:val="115"/>
        </w:rPr>
        <w:t> </w:t>
      </w:r>
      <w:r>
        <w:rPr>
          <w:color w:val="231F1F"/>
          <w:w w:val="115"/>
        </w:rPr>
        <w:t>by</w:t>
      </w:r>
    </w:p>
    <w:p>
      <w:pPr>
        <w:pStyle w:val="BodyText"/>
        <w:spacing w:line="244" w:lineRule="auto" w:before="5"/>
        <w:ind w:left="286" w:right="311"/>
      </w:pP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advises avoid </w:t>
      </w:r>
      <w:r>
        <w:rPr>
          <w:color w:val="231F1F"/>
          <w:w w:val="120"/>
        </w:rPr>
        <w:t>concomitant use</w:t>
      </w:r>
    </w:p>
    <w:p>
      <w:pPr>
        <w:pStyle w:val="BodyText"/>
        <w:spacing w:line="144" w:lineRule="exact"/>
        <w:ind w:left="186"/>
      </w:pPr>
      <w:r>
        <w:rPr>
          <w:rFonts w:ascii="Arial"/>
          <w:color w:val="231F1F"/>
          <w:w w:val="355"/>
          <w:position w:val="1"/>
          <w:sz w:val="7"/>
        </w:rPr>
        <w:t>l </w:t>
      </w:r>
      <w:r>
        <w:rPr>
          <w:rFonts w:ascii="Calibri"/>
          <w:color w:val="231F1F"/>
          <w:w w:val="110"/>
        </w:rPr>
        <w:t>Cytotoxics: </w:t>
      </w:r>
      <w:r>
        <w:rPr>
          <w:color w:val="231F1F"/>
          <w:w w:val="110"/>
        </w:rPr>
        <w:t>avoid concomitant use of clozapine with</w:t>
      </w:r>
    </w:p>
    <w:p>
      <w:pPr>
        <w:pStyle w:val="BodyText"/>
        <w:spacing w:line="244" w:lineRule="auto"/>
        <w:ind w:left="286" w:right="26"/>
      </w:pPr>
      <w:r>
        <w:rPr>
          <w:rFonts w:ascii="Arial" w:hAnsi="Arial"/>
          <w:color w:val="231F1F"/>
          <w:w w:val="355"/>
          <w:position w:val="1"/>
          <w:sz w:val="7"/>
        </w:rPr>
        <w:t>l </w:t>
      </w:r>
      <w:r>
        <w:rPr>
          <w:rFonts w:ascii="Calibri" w:hAnsi="Calibri"/>
          <w:color w:val="008356"/>
          <w:spacing w:val="3"/>
          <w:w w:val="115"/>
          <w:sz w:val="11"/>
        </w:rPr>
        <w:t>CYTOTOXICS </w:t>
      </w:r>
      <w:r>
        <w:rPr>
          <w:color w:val="231F1F"/>
          <w:w w:val="115"/>
        </w:rPr>
        <w:t>(increased risk of agranulocytosis); possible increased risk of ventricular arrhythmias when haloperidol given with </w:t>
      </w:r>
      <w:r>
        <w:rPr>
          <w:rFonts w:ascii="Arial" w:hAnsi="Arial"/>
          <w:color w:val="231F1F"/>
          <w:w w:val="355"/>
          <w:position w:val="1"/>
          <w:sz w:val="7"/>
        </w:rPr>
        <w:t>l </w:t>
      </w:r>
      <w:r>
        <w:rPr>
          <w:rFonts w:ascii="Calibri" w:hAnsi="Calibri"/>
          <w:color w:val="008356"/>
          <w:spacing w:val="4"/>
          <w:w w:val="115"/>
          <w:sz w:val="11"/>
        </w:rPr>
        <w:t>BOSUTINIB</w:t>
      </w:r>
      <w:r>
        <w:rPr>
          <w:color w:val="231F1F"/>
          <w:spacing w:val="4"/>
          <w:w w:val="115"/>
        </w:rPr>
        <w:t>; </w:t>
      </w:r>
      <w:r>
        <w:rPr>
          <w:color w:val="231F1F"/>
          <w:w w:val="115"/>
        </w:rPr>
        <w:t>caution with pimozide advised by manufacturer of </w:t>
      </w:r>
      <w:r>
        <w:rPr>
          <w:rFonts w:ascii="Arial" w:hAnsi="Arial"/>
          <w:color w:val="231F1F"/>
          <w:w w:val="355"/>
          <w:position w:val="1"/>
          <w:sz w:val="7"/>
        </w:rPr>
        <w:t>l </w:t>
      </w:r>
      <w:r>
        <w:rPr>
          <w:rFonts w:ascii="Calibri" w:hAnsi="Calibri"/>
          <w:color w:val="008356"/>
          <w:spacing w:val="4"/>
          <w:w w:val="115"/>
          <w:sz w:val="11"/>
        </w:rPr>
        <w:t>CRIZOTINIB</w:t>
      </w:r>
      <w:r>
        <w:rPr>
          <w:color w:val="231F1F"/>
          <w:spacing w:val="4"/>
          <w:w w:val="115"/>
        </w:rPr>
        <w:t>; </w:t>
      </w:r>
      <w:r>
        <w:rPr>
          <w:color w:val="231F1F"/>
          <w:w w:val="115"/>
        </w:rPr>
        <w:t>avoidance of pimozide and quetiapine</w:t>
      </w:r>
      <w:r>
        <w:rPr>
          <w:color w:val="231F1F"/>
          <w:spacing w:val="-14"/>
          <w:w w:val="115"/>
        </w:rPr>
        <w:t> </w:t>
      </w:r>
      <w:r>
        <w:rPr>
          <w:color w:val="231F1F"/>
          <w:w w:val="115"/>
        </w:rPr>
        <w:t>advised</w:t>
      </w:r>
      <w:r>
        <w:rPr>
          <w:color w:val="231F1F"/>
          <w:spacing w:val="-15"/>
          <w:w w:val="115"/>
        </w:rPr>
        <w:t> </w:t>
      </w:r>
      <w:r>
        <w:rPr>
          <w:color w:val="231F1F"/>
          <w:w w:val="115"/>
        </w:rPr>
        <w:t>by</w:t>
      </w:r>
      <w:r>
        <w:rPr>
          <w:color w:val="231F1F"/>
          <w:spacing w:val="-13"/>
          <w:w w:val="115"/>
        </w:rPr>
        <w:t> </w:t>
      </w:r>
      <w:r>
        <w:rPr>
          <w:color w:val="231F1F"/>
          <w:w w:val="115"/>
        </w:rPr>
        <w:t>manufacturer</w:t>
      </w:r>
      <w:r>
        <w:rPr>
          <w:color w:val="231F1F"/>
          <w:spacing w:val="-14"/>
          <w:w w:val="115"/>
        </w:rPr>
        <w:t> </w:t>
      </w:r>
      <w:r>
        <w:rPr>
          <w:color w:val="231F1F"/>
          <w:w w:val="115"/>
        </w:rPr>
        <w:t>of</w:t>
      </w:r>
      <w:r>
        <w:rPr>
          <w:color w:val="231F1F"/>
          <w:spacing w:val="-13"/>
          <w:w w:val="115"/>
        </w:rPr>
        <w:t> </w:t>
      </w:r>
      <w:r>
        <w:rPr>
          <w:rFonts w:ascii="Calibri" w:hAnsi="Calibri"/>
          <w:color w:val="008356"/>
          <w:spacing w:val="4"/>
          <w:w w:val="115"/>
          <w:sz w:val="11"/>
        </w:rPr>
        <w:t>IDELALISIB</w:t>
      </w:r>
      <w:r>
        <w:rPr>
          <w:color w:val="231F1F"/>
          <w:spacing w:val="4"/>
          <w:w w:val="115"/>
        </w:rPr>
        <w:t>;</w:t>
      </w:r>
      <w:r>
        <w:rPr>
          <w:color w:val="231F1F"/>
          <w:spacing w:val="-13"/>
          <w:w w:val="115"/>
        </w:rPr>
        <w:t> </w:t>
      </w:r>
      <w:r>
        <w:rPr>
          <w:color w:val="231F1F"/>
          <w:w w:val="115"/>
        </w:rPr>
        <w:t>avoidance of</w:t>
      </w:r>
      <w:r>
        <w:rPr>
          <w:color w:val="231F1F"/>
          <w:spacing w:val="-16"/>
          <w:w w:val="115"/>
        </w:rPr>
        <w:t> </w:t>
      </w:r>
      <w:r>
        <w:rPr>
          <w:color w:val="231F1F"/>
          <w:w w:val="115"/>
        </w:rPr>
        <w:t>pimozide</w:t>
      </w:r>
      <w:r>
        <w:rPr>
          <w:color w:val="231F1F"/>
          <w:spacing w:val="-17"/>
          <w:w w:val="115"/>
        </w:rPr>
        <w:t> </w:t>
      </w:r>
      <w:r>
        <w:rPr>
          <w:color w:val="231F1F"/>
          <w:w w:val="115"/>
        </w:rPr>
        <w:t>advised</w:t>
      </w:r>
      <w:r>
        <w:rPr>
          <w:color w:val="231F1F"/>
          <w:spacing w:val="-16"/>
          <w:w w:val="115"/>
        </w:rPr>
        <w:t> </w:t>
      </w:r>
      <w:r>
        <w:rPr>
          <w:color w:val="231F1F"/>
          <w:w w:val="115"/>
        </w:rPr>
        <w:t>by</w:t>
      </w:r>
      <w:r>
        <w:rPr>
          <w:color w:val="231F1F"/>
          <w:spacing w:val="-17"/>
          <w:w w:val="115"/>
        </w:rPr>
        <w:t> </w:t>
      </w:r>
      <w:r>
        <w:rPr>
          <w:color w:val="231F1F"/>
          <w:w w:val="115"/>
        </w:rPr>
        <w:t>manufacturer</w:t>
      </w:r>
      <w:r>
        <w:rPr>
          <w:color w:val="231F1F"/>
          <w:spacing w:val="-16"/>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LAPATINIB</w:t>
      </w:r>
      <w:r>
        <w:rPr>
          <w:color w:val="231F1F"/>
          <w:spacing w:val="3"/>
          <w:w w:val="115"/>
        </w:rPr>
        <w:t>;</w:t>
      </w:r>
      <w:r>
        <w:rPr>
          <w:color w:val="231F1F"/>
          <w:spacing w:val="-16"/>
          <w:w w:val="115"/>
        </w:rPr>
        <w:t> </w:t>
      </w:r>
      <w:r>
        <w:rPr>
          <w:color w:val="231F1F"/>
          <w:w w:val="115"/>
        </w:rPr>
        <w:t>possible increased risk of ventricular arrhythmias when amisulpride, chlorpromazine, haloperidol, pimozide, sulpiride or zuclopenthixol</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25"/>
          <w:position w:val="1"/>
          <w:sz w:val="7"/>
        </w:rPr>
        <w:t>l</w:t>
      </w:r>
      <w:r>
        <w:rPr>
          <w:rFonts w:ascii="Arial" w:hAnsi="Arial"/>
          <w:color w:val="231F1F"/>
          <w:spacing w:val="-35"/>
          <w:w w:val="225"/>
          <w:position w:val="1"/>
          <w:sz w:val="7"/>
        </w:rPr>
        <w:t>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 use; increased risk of ventricular arrhythmias when antipsychotics</w:t>
      </w:r>
      <w:r>
        <w:rPr>
          <w:color w:val="231F1F"/>
          <w:spacing w:val="-5"/>
          <w:w w:val="115"/>
        </w:rPr>
        <w:t> </w:t>
      </w:r>
      <w:r>
        <w:rPr>
          <w:color w:val="231F1F"/>
          <w:w w:val="130"/>
        </w:rPr>
        <w:t>that</w:t>
      </w:r>
      <w:r>
        <w:rPr>
          <w:color w:val="231F1F"/>
          <w:spacing w:val="-10"/>
          <w:w w:val="130"/>
        </w:rPr>
        <w:t> </w:t>
      </w:r>
      <w:r>
        <w:rPr>
          <w:color w:val="231F1F"/>
          <w:w w:val="115"/>
        </w:rPr>
        <w:t>prolong</w:t>
      </w:r>
      <w:r>
        <w:rPr>
          <w:color w:val="231F1F"/>
          <w:spacing w:val="-6"/>
          <w:w w:val="115"/>
        </w:rPr>
        <w:t> </w:t>
      </w:r>
      <w:r>
        <w:rPr>
          <w:color w:val="231F1F"/>
          <w:w w:val="115"/>
        </w:rPr>
        <w:t>the</w:t>
      </w:r>
      <w:r>
        <w:rPr>
          <w:color w:val="231F1F"/>
          <w:spacing w:val="-4"/>
          <w:w w:val="115"/>
        </w:rPr>
        <w:t> </w:t>
      </w:r>
      <w:r>
        <w:rPr>
          <w:color w:val="231F1F"/>
          <w:w w:val="115"/>
        </w:rPr>
        <w:t>QT</w:t>
      </w:r>
      <w:r>
        <w:rPr>
          <w:color w:val="231F1F"/>
          <w:spacing w:val="-6"/>
          <w:w w:val="115"/>
        </w:rPr>
        <w:t> </w:t>
      </w:r>
      <w:r>
        <w:rPr>
          <w:color w:val="231F1F"/>
          <w:w w:val="115"/>
        </w:rPr>
        <w:t>interval</w:t>
      </w:r>
      <w:r>
        <w:rPr>
          <w:color w:val="231F1F"/>
          <w:spacing w:val="-6"/>
          <w:w w:val="115"/>
        </w:rPr>
        <w:t> </w:t>
      </w:r>
      <w:r>
        <w:rPr>
          <w:color w:val="231F1F"/>
          <w:w w:val="115"/>
        </w:rPr>
        <w:t>given</w:t>
      </w:r>
      <w:r>
        <w:rPr>
          <w:color w:val="231F1F"/>
          <w:spacing w:val="-5"/>
          <w:w w:val="115"/>
        </w:rPr>
        <w:t> </w:t>
      </w:r>
      <w:r>
        <w:rPr>
          <w:color w:val="231F1F"/>
          <w:w w:val="115"/>
        </w:rPr>
        <w:t>with</w:t>
      </w:r>
    </w:p>
    <w:p>
      <w:pPr>
        <w:spacing w:before="8"/>
        <w:ind w:left="286" w:right="58" w:firstLine="0"/>
        <w:jc w:val="left"/>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ARSENIC TRIOXIDE</w:t>
      </w:r>
      <w:r>
        <w:rPr>
          <w:color w:val="231F1F"/>
          <w:spacing w:val="4"/>
          <w:w w:val="110"/>
          <w:sz w:val="12"/>
        </w:rPr>
        <w:t>; </w:t>
      </w:r>
      <w:r>
        <w:rPr>
          <w:color w:val="231F1F"/>
          <w:w w:val="110"/>
          <w:sz w:val="12"/>
        </w:rPr>
        <w:t>increased risk of ventricular arrhythmias when haloperidol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ARSENIC TRIOXIDE</w:t>
      </w:r>
    </w:p>
    <w:p>
      <w:pPr>
        <w:pStyle w:val="BodyText"/>
        <w:spacing w:line="220" w:lineRule="auto" w:before="8"/>
        <w:ind w:left="286" w:right="173" w:hanging="100"/>
        <w:rPr>
          <w:rFonts w:ascii="Calibri" w:hAnsi="Calibri"/>
          <w:sz w:val="11"/>
        </w:rPr>
      </w:pPr>
      <w:r>
        <w:rPr>
          <w:rFonts w:ascii="Lucida Sans Unicode" w:hAnsi="Lucida Sans Unicode"/>
          <w:color w:val="A7A8AC"/>
          <w:w w:val="95"/>
          <w:sz w:val="10"/>
        </w:rPr>
        <w:t>▶ </w:t>
      </w:r>
      <w:r>
        <w:rPr>
          <w:rFonts w:ascii="Calibri" w:hAnsi="Calibri"/>
          <w:color w:val="231F1F"/>
          <w:w w:val="105"/>
        </w:rPr>
        <w:t>Deferasirox:  </w:t>
      </w:r>
      <w:r>
        <w:rPr>
          <w:color w:val="231F1F"/>
          <w:w w:val="105"/>
        </w:rPr>
        <w:t>avoidance of clozapine advised by </w:t>
      </w:r>
      <w:r>
        <w:rPr>
          <w:color w:val="231F1F"/>
          <w:spacing w:val="-2"/>
          <w:w w:val="105"/>
        </w:rPr>
        <w:t>manufacturer  </w:t>
      </w:r>
      <w:r>
        <w:rPr>
          <w:color w:val="231F1F"/>
          <w:w w:val="105"/>
        </w:rPr>
        <w:t>of </w:t>
      </w:r>
      <w:r>
        <w:rPr>
          <w:rFonts w:ascii="Calibri" w:hAnsi="Calibri"/>
          <w:color w:val="008356"/>
          <w:spacing w:val="4"/>
          <w:w w:val="105"/>
          <w:sz w:val="11"/>
        </w:rPr>
        <w:t>DEFERASIROX</w:t>
      </w:r>
    </w:p>
    <w:p>
      <w:pPr>
        <w:pStyle w:val="BodyText"/>
        <w:spacing w:line="242" w:lineRule="auto"/>
        <w:ind w:left="286" w:right="51" w:hanging="100"/>
        <w:rPr>
          <w:rFonts w:ascii="Calibri" w:hAnsi="Calibri"/>
          <w:sz w:val="11"/>
        </w:rPr>
      </w:pPr>
      <w:r>
        <w:rPr>
          <w:rFonts w:ascii="Lucida Sans Unicode" w:hAnsi="Lucida Sans Unicode"/>
          <w:color w:val="A7A8AC"/>
          <w:w w:val="95"/>
          <w:sz w:val="10"/>
        </w:rPr>
        <w:t>▶ </w:t>
      </w:r>
      <w:r>
        <w:rPr>
          <w:rFonts w:ascii="Calibri" w:hAnsi="Calibri"/>
          <w:color w:val="231F1F"/>
          <w:w w:val="110"/>
        </w:rPr>
        <w:t>Desferrioxamine: </w:t>
      </w:r>
      <w:r>
        <w:rPr>
          <w:color w:val="231F1F"/>
          <w:w w:val="110"/>
        </w:rPr>
        <w:t>manufacturer of levomepromazine advises avoid concomitant use with </w:t>
      </w:r>
      <w:r>
        <w:rPr>
          <w:rFonts w:ascii="Calibri" w:hAnsi="Calibri"/>
          <w:color w:val="008356"/>
          <w:w w:val="110"/>
          <w:sz w:val="11"/>
        </w:rPr>
        <w:t>DESFERRIOXAMINE</w:t>
      </w:r>
      <w:r>
        <w:rPr>
          <w:color w:val="231F1F"/>
          <w:w w:val="110"/>
        </w:rPr>
        <w:t>; avoidance of prochlorperazine advised by manufacturer of </w:t>
      </w:r>
      <w:r>
        <w:rPr>
          <w:rFonts w:ascii="Calibri" w:hAnsi="Calibri"/>
          <w:color w:val="008356"/>
          <w:w w:val="110"/>
          <w:sz w:val="11"/>
        </w:rPr>
        <w:t>DESFERRIOXAMINE</w:t>
      </w:r>
    </w:p>
    <w:p>
      <w:pPr>
        <w:pStyle w:val="BodyText"/>
        <w:spacing w:line="220" w:lineRule="auto" w:before="3"/>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phenothiazines given with </w:t>
      </w:r>
      <w:r>
        <w:rPr>
          <w:rFonts w:ascii="Calibri" w:hAnsi="Calibri"/>
          <w:color w:val="008356"/>
          <w:w w:val="105"/>
          <w:sz w:val="11"/>
        </w:rPr>
        <w:t>DIAZOXIDE</w:t>
      </w:r>
    </w:p>
    <w:p>
      <w:pPr>
        <w:pStyle w:val="BodyText"/>
        <w:spacing w:line="244" w:lineRule="auto"/>
        <w:ind w:left="286" w:right="-7" w:hanging="100"/>
        <w:rPr>
          <w:rFonts w:ascii="Calibri"/>
          <w:sz w:val="11"/>
        </w:rPr>
      </w:pPr>
      <w:r>
        <w:rPr>
          <w:rFonts w:ascii="Arial"/>
          <w:color w:val="231F1F"/>
          <w:w w:val="355"/>
          <w:position w:val="1"/>
          <w:sz w:val="7"/>
        </w:rPr>
        <w:t>l </w:t>
      </w:r>
      <w:r>
        <w:rPr>
          <w:rFonts w:ascii="Calibri"/>
          <w:color w:val="231F1F"/>
          <w:w w:val="115"/>
        </w:rPr>
        <w:t>Diuretics: </w:t>
      </w:r>
      <w:r>
        <w:rPr>
          <w:color w:val="231F1F"/>
          <w:w w:val="115"/>
        </w:rPr>
        <w:t>risk of ventricular arrhythmias with amisulpride increased by hypokalaemia caused by </w:t>
      </w:r>
      <w:r>
        <w:rPr>
          <w:rFonts w:ascii="Arial"/>
          <w:color w:val="231F1F"/>
          <w:w w:val="355"/>
          <w:position w:val="1"/>
          <w:sz w:val="7"/>
        </w:rPr>
        <w:t>l </w:t>
      </w:r>
      <w:r>
        <w:rPr>
          <w:rFonts w:ascii="Calibri"/>
          <w:color w:val="008356"/>
          <w:spacing w:val="4"/>
          <w:w w:val="115"/>
          <w:sz w:val="11"/>
        </w:rPr>
        <w:t>DIURETICS</w:t>
      </w:r>
      <w:r>
        <w:rPr>
          <w:color w:val="231F1F"/>
          <w:spacing w:val="4"/>
          <w:w w:val="115"/>
        </w:rPr>
        <w:t>; </w:t>
      </w:r>
      <w:r>
        <w:rPr>
          <w:color w:val="231F1F"/>
          <w:w w:val="115"/>
        </w:rPr>
        <w:t>risk of ventricular arrhythmias with pimozide increased by hypokalaemia</w:t>
      </w:r>
      <w:r>
        <w:rPr>
          <w:color w:val="231F1F"/>
          <w:spacing w:val="-18"/>
          <w:w w:val="115"/>
        </w:rPr>
        <w:t> </w:t>
      </w:r>
      <w:r>
        <w:rPr>
          <w:color w:val="231F1F"/>
          <w:w w:val="115"/>
        </w:rPr>
        <w:t>caused</w:t>
      </w:r>
      <w:r>
        <w:rPr>
          <w:color w:val="231F1F"/>
          <w:spacing w:val="-16"/>
          <w:w w:val="115"/>
        </w:rPr>
        <w:t> </w:t>
      </w:r>
      <w:r>
        <w:rPr>
          <w:color w:val="231F1F"/>
          <w:w w:val="115"/>
        </w:rPr>
        <w:t>by</w:t>
      </w:r>
      <w:r>
        <w:rPr>
          <w:color w:val="231F1F"/>
          <w:spacing w:val="-16"/>
          <w:w w:val="115"/>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DIURETICS</w:t>
      </w:r>
      <w:r>
        <w:rPr>
          <w:rFonts w:ascii="Calibri"/>
          <w:color w:val="008356"/>
          <w:spacing w:val="-7"/>
          <w:w w:val="115"/>
          <w:sz w:val="11"/>
        </w:rPr>
        <w:t> </w:t>
      </w:r>
      <w:r>
        <w:rPr>
          <w:color w:val="231F1F"/>
          <w:w w:val="115"/>
        </w:rPr>
        <w:t>(avoid</w:t>
      </w:r>
      <w:r>
        <w:rPr>
          <w:color w:val="231F1F"/>
          <w:spacing w:val="-16"/>
          <w:w w:val="115"/>
        </w:rPr>
        <w:t> </w:t>
      </w:r>
      <w:r>
        <w:rPr>
          <w:color w:val="231F1F"/>
          <w:w w:val="115"/>
        </w:rPr>
        <w:t>concomitant</w:t>
      </w:r>
      <w:r>
        <w:rPr>
          <w:color w:val="231F1F"/>
          <w:spacing w:val="-17"/>
          <w:w w:val="115"/>
        </w:rPr>
        <w:t> </w:t>
      </w:r>
      <w:r>
        <w:rPr>
          <w:color w:val="231F1F"/>
          <w:spacing w:val="-3"/>
          <w:w w:val="115"/>
        </w:rPr>
        <w:t>use); </w:t>
      </w:r>
      <w:r>
        <w:rPr>
          <w:color w:val="231F1F"/>
          <w:w w:val="115"/>
        </w:rPr>
        <w:t>enhanced hypotensive effect when phenothiazines given with</w:t>
      </w:r>
      <w:r>
        <w:rPr>
          <w:color w:val="231F1F"/>
          <w:spacing w:val="-5"/>
          <w:w w:val="115"/>
        </w:rPr>
        <w:t> </w:t>
      </w:r>
      <w:r>
        <w:rPr>
          <w:rFonts w:ascii="Calibri"/>
          <w:color w:val="008356"/>
          <w:spacing w:val="5"/>
          <w:w w:val="115"/>
          <w:sz w:val="11"/>
        </w:rPr>
        <w:t>DIURETICS</w:t>
      </w:r>
    </w:p>
    <w:p>
      <w:pPr>
        <w:spacing w:line="242" w:lineRule="auto" w:before="0"/>
        <w:ind w:left="286" w:right="43" w:hanging="100"/>
        <w:jc w:val="left"/>
        <w:rPr>
          <w:sz w:val="12"/>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increased risk of extrapyramidal side-effects when antipsychotics given with </w:t>
      </w:r>
      <w:r>
        <w:rPr>
          <w:rFonts w:ascii="Calibri" w:hAnsi="Calibri"/>
          <w:color w:val="008356"/>
          <w:spacing w:val="4"/>
          <w:w w:val="110"/>
          <w:sz w:val="11"/>
        </w:rPr>
        <w:t>AMANTADINE</w:t>
      </w:r>
      <w:r>
        <w:rPr>
          <w:color w:val="231F1F"/>
          <w:spacing w:val="4"/>
          <w:w w:val="110"/>
          <w:sz w:val="12"/>
        </w:rPr>
        <w:t>; </w:t>
      </w:r>
      <w:r>
        <w:rPr>
          <w:color w:val="231F1F"/>
          <w:w w:val="110"/>
          <w:sz w:val="12"/>
        </w:rPr>
        <w:t>antipsychotics antagonise effects of </w:t>
      </w:r>
      <w:r>
        <w:rPr>
          <w:rFonts w:ascii="Calibri" w:hAnsi="Calibri"/>
          <w:color w:val="008356"/>
          <w:spacing w:val="4"/>
          <w:w w:val="110"/>
          <w:sz w:val="11"/>
        </w:rPr>
        <w:t>APOMORPHINE</w:t>
      </w:r>
      <w:r>
        <w:rPr>
          <w:color w:val="231F1F"/>
          <w:spacing w:val="4"/>
          <w:w w:val="110"/>
          <w:sz w:val="12"/>
        </w:rPr>
        <w:t>, </w:t>
      </w:r>
      <w:r>
        <w:rPr>
          <w:rFonts w:ascii="Calibri" w:hAnsi="Calibri"/>
          <w:color w:val="008356"/>
          <w:spacing w:val="4"/>
          <w:w w:val="110"/>
          <w:sz w:val="11"/>
        </w:rPr>
        <w:t>CO-BENELDOPA</w:t>
      </w:r>
      <w:r>
        <w:rPr>
          <w:color w:val="231F1F"/>
          <w:spacing w:val="4"/>
          <w:w w:val="110"/>
          <w:sz w:val="12"/>
        </w:rPr>
        <w:t>, </w:t>
      </w:r>
      <w:r>
        <w:rPr>
          <w:rFonts w:ascii="Calibri" w:hAnsi="Calibri"/>
          <w:color w:val="008356"/>
          <w:spacing w:val="5"/>
          <w:w w:val="110"/>
          <w:sz w:val="11"/>
        </w:rPr>
        <w:t>CO- </w:t>
      </w:r>
      <w:r>
        <w:rPr>
          <w:rFonts w:ascii="Calibri" w:hAnsi="Calibri"/>
          <w:color w:val="008356"/>
          <w:spacing w:val="4"/>
          <w:w w:val="110"/>
          <w:sz w:val="11"/>
        </w:rPr>
        <w:t>CARELDOPA</w:t>
      </w:r>
      <w:r>
        <w:rPr>
          <w:color w:val="231F1F"/>
          <w:spacing w:val="4"/>
          <w:w w:val="110"/>
          <w:sz w:val="12"/>
        </w:rPr>
        <w:t>, </w:t>
      </w:r>
      <w:r>
        <w:rPr>
          <w:rFonts w:ascii="Calibri" w:hAnsi="Calibri"/>
          <w:color w:val="008356"/>
          <w:spacing w:val="3"/>
          <w:w w:val="110"/>
          <w:sz w:val="11"/>
        </w:rPr>
        <w:t>LEVODOPA </w:t>
      </w:r>
      <w:r>
        <w:rPr>
          <w:color w:val="231F1F"/>
          <w:w w:val="110"/>
          <w:sz w:val="12"/>
        </w:rPr>
        <w:t>and </w:t>
      </w:r>
      <w:r>
        <w:rPr>
          <w:rFonts w:ascii="Calibri" w:hAnsi="Calibri"/>
          <w:color w:val="008356"/>
          <w:spacing w:val="4"/>
          <w:w w:val="110"/>
          <w:sz w:val="11"/>
        </w:rPr>
        <w:t>PERGOLIDE</w:t>
      </w:r>
      <w:r>
        <w:rPr>
          <w:color w:val="231F1F"/>
          <w:spacing w:val="4"/>
          <w:w w:val="110"/>
          <w:sz w:val="12"/>
        </w:rPr>
        <w:t>; </w:t>
      </w:r>
      <w:r>
        <w:rPr>
          <w:color w:val="231F1F"/>
          <w:w w:val="110"/>
          <w:sz w:val="12"/>
        </w:rPr>
        <w:t>antipsychotics antagonise hypoprolactinaemic and antiparkinsonian  </w:t>
      </w:r>
      <w:r>
        <w:rPr>
          <w:color w:val="231F1F"/>
          <w:spacing w:val="-3"/>
          <w:w w:val="110"/>
          <w:sz w:val="12"/>
        </w:rPr>
        <w:t>effects </w:t>
      </w:r>
      <w:r>
        <w:rPr>
          <w:color w:val="231F1F"/>
          <w:w w:val="110"/>
          <w:sz w:val="12"/>
        </w:rPr>
        <w:t>of </w:t>
      </w:r>
      <w:r>
        <w:rPr>
          <w:rFonts w:ascii="Calibri" w:hAnsi="Calibri"/>
          <w:color w:val="008356"/>
          <w:spacing w:val="4"/>
          <w:w w:val="110"/>
          <w:sz w:val="11"/>
        </w:rPr>
        <w:t>BROMOCRIPTINE </w:t>
      </w:r>
      <w:r>
        <w:rPr>
          <w:color w:val="231F1F"/>
          <w:w w:val="110"/>
          <w:sz w:val="12"/>
        </w:rPr>
        <w:t>and </w:t>
      </w:r>
      <w:r>
        <w:rPr>
          <w:rFonts w:ascii="Calibri" w:hAnsi="Calibri"/>
          <w:color w:val="008356"/>
          <w:spacing w:val="4"/>
          <w:w w:val="110"/>
          <w:sz w:val="11"/>
        </w:rPr>
        <w:t>CABERGOLINE</w:t>
      </w:r>
      <w:r>
        <w:rPr>
          <w:color w:val="231F1F"/>
          <w:spacing w:val="4"/>
          <w:w w:val="110"/>
          <w:sz w:val="12"/>
        </w:rPr>
        <w:t>; </w:t>
      </w:r>
      <w:r>
        <w:rPr>
          <w:color w:val="231F1F"/>
          <w:w w:val="110"/>
          <w:sz w:val="12"/>
        </w:rPr>
        <w:t>manufacturer of amisulpride advises avoid concomitant use of</w:t>
      </w:r>
      <w:r>
        <w:rPr>
          <w:color w:val="231F1F"/>
          <w:spacing w:val="-17"/>
          <w:w w:val="110"/>
          <w:sz w:val="12"/>
        </w:rPr>
        <w:t> </w:t>
      </w:r>
      <w:r>
        <w:rPr>
          <w:rFonts w:ascii="Calibri" w:hAnsi="Calibri"/>
          <w:color w:val="008356"/>
          <w:spacing w:val="4"/>
          <w:w w:val="110"/>
          <w:sz w:val="11"/>
        </w:rPr>
        <w:t>CO-BENELDOPA</w:t>
      </w:r>
      <w:r>
        <w:rPr>
          <w:color w:val="231F1F"/>
          <w:spacing w:val="4"/>
          <w:w w:val="110"/>
          <w:sz w:val="12"/>
        </w:rPr>
        <w:t>, </w:t>
      </w:r>
      <w:r>
        <w:rPr>
          <w:rFonts w:ascii="Calibri" w:hAnsi="Calibri"/>
          <w:color w:val="008356"/>
          <w:spacing w:val="4"/>
          <w:w w:val="110"/>
          <w:sz w:val="11"/>
        </w:rPr>
        <w:t>CO-CARELDOPA </w:t>
      </w:r>
      <w:r>
        <w:rPr>
          <w:color w:val="231F1F"/>
          <w:w w:val="110"/>
          <w:sz w:val="12"/>
        </w:rPr>
        <w:t>and </w:t>
      </w:r>
      <w:r>
        <w:rPr>
          <w:rFonts w:ascii="Calibri" w:hAnsi="Calibri"/>
          <w:color w:val="008356"/>
          <w:spacing w:val="3"/>
          <w:w w:val="110"/>
          <w:sz w:val="11"/>
        </w:rPr>
        <w:t>LEVODOPA </w:t>
      </w:r>
      <w:r>
        <w:rPr>
          <w:color w:val="231F1F"/>
          <w:w w:val="110"/>
          <w:sz w:val="12"/>
        </w:rPr>
        <w:t>(antagonism of effect); avoidance of antipsychotics advised by manufacturer of </w:t>
      </w:r>
      <w:r>
        <w:rPr>
          <w:rFonts w:ascii="Calibri" w:hAnsi="Calibri"/>
          <w:color w:val="008356"/>
          <w:spacing w:val="4"/>
          <w:w w:val="110"/>
          <w:sz w:val="11"/>
        </w:rPr>
        <w:t>PRAMIPEXOLE</w:t>
      </w:r>
      <w:r>
        <w:rPr>
          <w:color w:val="231F1F"/>
          <w:spacing w:val="4"/>
          <w:w w:val="110"/>
          <w:sz w:val="12"/>
        </w:rPr>
        <w:t>, </w:t>
      </w:r>
      <w:r>
        <w:rPr>
          <w:rFonts w:ascii="Calibri" w:hAnsi="Calibri"/>
          <w:color w:val="008356"/>
          <w:spacing w:val="4"/>
          <w:w w:val="110"/>
          <w:sz w:val="11"/>
        </w:rPr>
        <w:t>ROPINIROLE </w:t>
      </w:r>
      <w:r>
        <w:rPr>
          <w:color w:val="231F1F"/>
          <w:w w:val="110"/>
          <w:sz w:val="12"/>
        </w:rPr>
        <w:t>and </w:t>
      </w:r>
      <w:r>
        <w:rPr>
          <w:rFonts w:ascii="Calibri" w:hAnsi="Calibri"/>
          <w:color w:val="008356"/>
          <w:spacing w:val="3"/>
          <w:w w:val="110"/>
          <w:sz w:val="11"/>
        </w:rPr>
        <w:t>ROTIGOTINE </w:t>
      </w:r>
      <w:r>
        <w:rPr>
          <w:color w:val="231F1F"/>
          <w:w w:val="110"/>
          <w:sz w:val="12"/>
        </w:rPr>
        <w:t>(antagonism of effect)</w:t>
      </w:r>
    </w:p>
    <w:p>
      <w:pPr>
        <w:pStyle w:val="BodyText"/>
        <w:spacing w:before="7"/>
        <w:ind w:left="0"/>
        <w:rPr>
          <w:sz w:val="14"/>
        </w:rPr>
      </w:pPr>
      <w:r>
        <w:rPr/>
        <w:br w:type="column"/>
      </w:r>
      <w:r>
        <w:rPr>
          <w:sz w:val="14"/>
        </w:rPr>
      </w:r>
    </w:p>
    <w:p>
      <w:pPr>
        <w:pStyle w:val="BodyText"/>
        <w:spacing w:line="144" w:lineRule="exact"/>
        <w:ind w:left="186"/>
        <w:rPr>
          <w:rFonts w:ascii="Calibri"/>
        </w:rPr>
      </w:pPr>
      <w:r>
        <w:rPr>
          <w:rFonts w:ascii="Arial"/>
          <w:color w:val="008356"/>
        </w:rPr>
        <w:t>Antipsychotics </w:t>
      </w:r>
      <w:r>
        <w:rPr>
          <w:rFonts w:ascii="Calibri"/>
          <w:color w:val="231F1F"/>
        </w:rPr>
        <w:t>(continued)</w:t>
      </w:r>
    </w:p>
    <w:p>
      <w:pPr>
        <w:pStyle w:val="BodyText"/>
        <w:spacing w:line="220" w:lineRule="auto" w:before="6"/>
        <w:ind w:left="286" w:right="605" w:hanging="100"/>
      </w:pPr>
      <w:r>
        <w:rPr>
          <w:rFonts w:ascii="Lucida Sans Unicode" w:hAnsi="Lucida Sans Unicode"/>
          <w:color w:val="A7A8AC"/>
          <w:w w:val="95"/>
          <w:sz w:val="10"/>
        </w:rPr>
        <w:t>▶ </w:t>
      </w:r>
      <w:r>
        <w:rPr>
          <w:rFonts w:ascii="Calibri" w:hAnsi="Calibri"/>
          <w:color w:val="231F1F"/>
          <w:w w:val="105"/>
        </w:rPr>
        <w:t>Ergot Alkaloids: </w:t>
      </w:r>
      <w:r>
        <w:rPr>
          <w:color w:val="231F1F"/>
          <w:w w:val="105"/>
        </w:rPr>
        <w:t>lurasidone possibly increases plasma concentration of </w:t>
      </w:r>
      <w:r>
        <w:rPr>
          <w:rFonts w:ascii="Calibri" w:hAnsi="Calibri"/>
          <w:color w:val="008356"/>
          <w:w w:val="105"/>
          <w:sz w:val="11"/>
        </w:rPr>
        <w:t>ERGOT ALKALOIDS </w:t>
      </w:r>
      <w:r>
        <w:rPr>
          <w:color w:val="231F1F"/>
          <w:w w:val="105"/>
        </w:rPr>
        <w:t>(increased risk of toxicity)</w:t>
      </w:r>
    </w:p>
    <w:p>
      <w:pPr>
        <w:spacing w:before="0"/>
        <w:ind w:left="286" w:right="482" w:hanging="100"/>
        <w:jc w:val="left"/>
        <w:rPr>
          <w:rFonts w:ascii="Calibri"/>
          <w:sz w:val="11"/>
        </w:rPr>
      </w:pPr>
      <w:r>
        <w:rPr>
          <w:rFonts w:ascii="Arial"/>
          <w:color w:val="231F1F"/>
          <w:w w:val="355"/>
          <w:position w:val="1"/>
          <w:sz w:val="7"/>
        </w:rPr>
        <w:t>l </w:t>
      </w:r>
      <w:r>
        <w:rPr>
          <w:rFonts w:ascii="Calibri"/>
          <w:color w:val="231F1F"/>
          <w:w w:val="110"/>
          <w:sz w:val="12"/>
        </w:rPr>
        <w:t>Fosaprepitant: </w:t>
      </w:r>
      <w:r>
        <w:rPr>
          <w:color w:val="231F1F"/>
          <w:w w:val="110"/>
          <w:sz w:val="12"/>
        </w:rPr>
        <w:t>avoidance of pimozide advised by manufacturer of </w:t>
      </w:r>
      <w:r>
        <w:rPr>
          <w:rFonts w:ascii="Arial"/>
          <w:color w:val="231F1F"/>
          <w:w w:val="355"/>
          <w:position w:val="1"/>
          <w:sz w:val="7"/>
        </w:rPr>
        <w:t>l </w:t>
      </w:r>
      <w:r>
        <w:rPr>
          <w:rFonts w:ascii="Calibri"/>
          <w:color w:val="008356"/>
          <w:w w:val="110"/>
          <w:sz w:val="11"/>
        </w:rPr>
        <w:t>FOSAPREPITANT</w:t>
      </w:r>
    </w:p>
    <w:p>
      <w:pPr>
        <w:pStyle w:val="BodyText"/>
        <w:ind w:left="286" w:right="605" w:hanging="100"/>
      </w:pPr>
      <w:r>
        <w:rPr>
          <w:rFonts w:ascii="Arial"/>
          <w:color w:val="231F1F"/>
          <w:w w:val="355"/>
          <w:position w:val="1"/>
          <w:sz w:val="7"/>
        </w:rPr>
        <w:t>l </w:t>
      </w:r>
      <w:r>
        <w:rPr>
          <w:rFonts w:ascii="Calibri"/>
          <w:color w:val="231F1F"/>
          <w:w w:val="110"/>
        </w:rPr>
        <w:t>Grapefruit Juice: </w:t>
      </w:r>
      <w:r>
        <w:rPr>
          <w:color w:val="231F1F"/>
          <w:w w:val="110"/>
        </w:rPr>
        <w:t>manufacturer of lurasidone and pimozide advises avoid concomitant use with </w:t>
      </w:r>
      <w:r>
        <w:rPr>
          <w:rFonts w:ascii="Calibri"/>
          <w:color w:val="008356"/>
          <w:w w:val="110"/>
          <w:sz w:val="11"/>
        </w:rPr>
        <w:t>GRAPEFRUIT JUICE</w:t>
      </w:r>
      <w:r>
        <w:rPr>
          <w:color w:val="231F1F"/>
          <w:w w:val="110"/>
        </w:rPr>
        <w:t>; plasma concentration of quetiapine possibly increased by</w:t>
      </w:r>
    </w:p>
    <w:p>
      <w:pPr>
        <w:spacing w:line="244" w:lineRule="auto" w:before="3"/>
        <w:ind w:left="286" w:right="574" w:firstLine="0"/>
        <w:jc w:val="left"/>
        <w:rPr>
          <w:sz w:val="12"/>
        </w:rPr>
      </w:pPr>
      <w:r>
        <w:rPr>
          <w:rFonts w:ascii="Arial" w:hAnsi="Arial"/>
          <w:color w:val="231F1F"/>
          <w:w w:val="115"/>
          <w:position w:val="1"/>
          <w:sz w:val="7"/>
        </w:rPr>
        <w:t>l</w:t>
      </w:r>
      <w:r>
        <w:rPr>
          <w:rFonts w:ascii="Arial" w:hAnsi="Arial"/>
          <w:color w:val="231F1F"/>
          <w:spacing w:val="-9"/>
          <w:w w:val="115"/>
          <w:position w:val="1"/>
          <w:sz w:val="7"/>
        </w:rPr>
        <w:t> </w:t>
      </w:r>
      <w:r>
        <w:rPr>
          <w:rFonts w:ascii="Calibri" w:hAnsi="Calibri"/>
          <w:color w:val="008356"/>
          <w:spacing w:val="4"/>
          <w:w w:val="115"/>
          <w:sz w:val="11"/>
        </w:rPr>
        <w:t>GRAPEFRUIT</w:t>
      </w:r>
      <w:r>
        <w:rPr>
          <w:rFonts w:ascii="Calibri" w:hAnsi="Calibri"/>
          <w:color w:val="008356"/>
          <w:spacing w:val="-14"/>
          <w:w w:val="115"/>
          <w:sz w:val="11"/>
        </w:rPr>
        <w:t> </w:t>
      </w:r>
      <w:r>
        <w:rPr>
          <w:rFonts w:ascii="Calibri" w:hAnsi="Calibri"/>
          <w:color w:val="008356"/>
          <w:w w:val="115"/>
          <w:sz w:val="11"/>
        </w:rPr>
        <w:t>JUICE</w:t>
      </w:r>
      <w:r>
        <w:rPr>
          <w:rFonts w:ascii="Arial" w:hAnsi="Arial"/>
          <w:color w:val="231F1F"/>
          <w:w w:val="115"/>
          <w:sz w:val="12"/>
        </w:rPr>
        <w:t>—</w:t>
      </w:r>
      <w:r>
        <w:rPr>
          <w:color w:val="231F1F"/>
          <w:w w:val="115"/>
          <w:sz w:val="12"/>
        </w:rPr>
        <w:t>manufacturer</w:t>
      </w:r>
      <w:r>
        <w:rPr>
          <w:color w:val="231F1F"/>
          <w:spacing w:val="-20"/>
          <w:w w:val="115"/>
          <w:sz w:val="12"/>
        </w:rPr>
        <w:t> </w:t>
      </w:r>
      <w:r>
        <w:rPr>
          <w:color w:val="231F1F"/>
          <w:w w:val="115"/>
          <w:sz w:val="12"/>
        </w:rPr>
        <w:t>of</w:t>
      </w:r>
      <w:r>
        <w:rPr>
          <w:color w:val="231F1F"/>
          <w:spacing w:val="-19"/>
          <w:w w:val="115"/>
          <w:sz w:val="12"/>
        </w:rPr>
        <w:t> </w:t>
      </w:r>
      <w:r>
        <w:rPr>
          <w:color w:val="231F1F"/>
          <w:w w:val="115"/>
          <w:sz w:val="12"/>
        </w:rPr>
        <w:t>quetiapine</w:t>
      </w:r>
      <w:r>
        <w:rPr>
          <w:color w:val="231F1F"/>
          <w:spacing w:val="-19"/>
          <w:w w:val="115"/>
          <w:sz w:val="12"/>
        </w:rPr>
        <w:t> </w:t>
      </w:r>
      <w:r>
        <w:rPr>
          <w:color w:val="231F1F"/>
          <w:w w:val="115"/>
          <w:sz w:val="12"/>
        </w:rPr>
        <w:t>advises</w:t>
      </w:r>
      <w:r>
        <w:rPr>
          <w:color w:val="231F1F"/>
          <w:spacing w:val="-20"/>
          <w:w w:val="115"/>
          <w:sz w:val="12"/>
        </w:rPr>
        <w:t> </w:t>
      </w:r>
      <w:r>
        <w:rPr>
          <w:color w:val="231F1F"/>
          <w:w w:val="115"/>
          <w:sz w:val="12"/>
        </w:rPr>
        <w:t>avoid </w:t>
      </w:r>
      <w:r>
        <w:rPr>
          <w:color w:val="231F1F"/>
          <w:w w:val="120"/>
          <w:sz w:val="12"/>
        </w:rPr>
        <w:t>concomitant</w:t>
      </w:r>
      <w:r>
        <w:rPr>
          <w:color w:val="231F1F"/>
          <w:spacing w:val="-7"/>
          <w:w w:val="120"/>
          <w:sz w:val="12"/>
        </w:rPr>
        <w:t> </w:t>
      </w:r>
      <w:r>
        <w:rPr>
          <w:color w:val="231F1F"/>
          <w:w w:val="120"/>
          <w:sz w:val="12"/>
        </w:rPr>
        <w:t>use</w:t>
      </w:r>
    </w:p>
    <w:p>
      <w:pPr>
        <w:pStyle w:val="BodyText"/>
        <w:spacing w:line="230" w:lineRule="auto" w:before="2"/>
        <w:ind w:left="286" w:right="700" w:hanging="100"/>
      </w:pPr>
      <w:r>
        <w:rPr>
          <w:rFonts w:ascii="Lucida Sans Unicode" w:hAnsi="Lucida Sans Unicode"/>
          <w:color w:val="A7A8AC"/>
          <w:w w:val="95"/>
          <w:sz w:val="10"/>
        </w:rPr>
        <w:t>▶ </w:t>
      </w:r>
      <w:r>
        <w:rPr>
          <w:rFonts w:ascii="Calibri" w:hAnsi="Calibri"/>
          <w:color w:val="231F1F"/>
          <w:w w:val="105"/>
        </w:rPr>
        <w:t>Histamine: </w:t>
      </w:r>
      <w:r>
        <w:rPr>
          <w:color w:val="231F1F"/>
          <w:w w:val="105"/>
        </w:rPr>
        <w:t>antipsychotics theoretically antagonise effects </w:t>
      </w:r>
      <w:r>
        <w:rPr>
          <w:color w:val="231F1F"/>
          <w:spacing w:val="-8"/>
          <w:w w:val="105"/>
        </w:rPr>
        <w:t>of </w:t>
      </w:r>
      <w:r>
        <w:rPr>
          <w:rFonts w:ascii="Calibri" w:hAnsi="Calibri"/>
          <w:color w:val="008356"/>
          <w:w w:val="105"/>
          <w:sz w:val="11"/>
        </w:rPr>
        <w:t>HISTAMINE</w:t>
      </w:r>
      <w:r>
        <w:rPr>
          <w:rFonts w:ascii="Arial" w:hAnsi="Arial"/>
          <w:color w:val="231F1F"/>
          <w:w w:val="105"/>
        </w:rPr>
        <w:t>—</w:t>
      </w:r>
      <w:r>
        <w:rPr>
          <w:color w:val="231F1F"/>
          <w:w w:val="105"/>
        </w:rPr>
        <w:t>manufacturer of histamine advises avoid concomitant</w:t>
      </w:r>
      <w:r>
        <w:rPr>
          <w:color w:val="231F1F"/>
          <w:spacing w:val="-1"/>
          <w:w w:val="105"/>
        </w:rPr>
        <w:t> </w:t>
      </w:r>
      <w:r>
        <w:rPr>
          <w:color w:val="231F1F"/>
          <w:w w:val="105"/>
        </w:rPr>
        <w:t>use</w:t>
      </w:r>
    </w:p>
    <w:p>
      <w:pPr>
        <w:pStyle w:val="BodyText"/>
        <w:spacing w:before="2"/>
        <w:ind w:left="286" w:right="700" w:hanging="100"/>
      </w:pPr>
      <w:r>
        <w:rPr>
          <w:rFonts w:ascii="Arial"/>
          <w:color w:val="231F1F"/>
          <w:w w:val="355"/>
          <w:position w:val="1"/>
          <w:sz w:val="7"/>
        </w:rPr>
        <w:t>l </w:t>
      </w:r>
      <w:r>
        <w:rPr>
          <w:rFonts w:ascii="Calibri"/>
          <w:color w:val="231F1F"/>
          <w:w w:val="110"/>
        </w:rPr>
        <w:t>Hormone Antagonists: </w:t>
      </w:r>
      <w:r>
        <w:rPr>
          <w:color w:val="231F1F"/>
          <w:w w:val="110"/>
        </w:rPr>
        <w:t>manufacturer of droperidol advises avoid concomitant use with </w:t>
      </w:r>
      <w:r>
        <w:rPr>
          <w:rFonts w:ascii="Arial"/>
          <w:color w:val="231F1F"/>
          <w:w w:val="355"/>
          <w:position w:val="1"/>
          <w:sz w:val="7"/>
        </w:rPr>
        <w:t>l </w:t>
      </w:r>
      <w:r>
        <w:rPr>
          <w:rFonts w:ascii="Calibri"/>
          <w:color w:val="008356"/>
          <w:w w:val="110"/>
          <w:sz w:val="11"/>
        </w:rPr>
        <w:t>TAMOXIFEN </w:t>
      </w:r>
      <w:r>
        <w:rPr>
          <w:color w:val="231F1F"/>
          <w:w w:val="110"/>
        </w:rPr>
        <w:t>(risk of ventricular arrhythmias)</w:t>
      </w:r>
    </w:p>
    <w:p>
      <w:pPr>
        <w:pStyle w:val="BodyText"/>
        <w:spacing w:before="3"/>
        <w:ind w:left="286" w:right="605" w:hanging="100"/>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t>
      </w:r>
      <w:r>
        <w:rPr>
          <w:color w:val="231F1F"/>
          <w:spacing w:val="-4"/>
          <w:w w:val="110"/>
        </w:rPr>
        <w:t>when </w:t>
      </w:r>
      <w:r>
        <w:rPr>
          <w:color w:val="231F1F"/>
          <w:w w:val="110"/>
        </w:rPr>
        <w:t>pimozide given with </w:t>
      </w:r>
      <w:r>
        <w:rPr>
          <w:rFonts w:ascii="Arial"/>
          <w:color w:val="231F1F"/>
          <w:w w:val="355"/>
          <w:position w:val="1"/>
          <w:sz w:val="7"/>
        </w:rPr>
        <w:t>l </w:t>
      </w:r>
      <w:r>
        <w:rPr>
          <w:rFonts w:ascii="Calibri"/>
          <w:color w:val="008356"/>
          <w:spacing w:val="4"/>
          <w:w w:val="110"/>
          <w:sz w:val="11"/>
        </w:rPr>
        <w:t>IVABRADINE</w:t>
      </w:r>
    </w:p>
    <w:p>
      <w:pPr>
        <w:pStyle w:val="BodyText"/>
        <w:spacing w:line="247" w:lineRule="auto"/>
        <w:ind w:left="286" w:right="520" w:hanging="100"/>
        <w:rPr>
          <w:rFonts w:ascii="Calibri"/>
          <w:sz w:val="11"/>
        </w:rPr>
      </w:pPr>
      <w:r>
        <w:rPr>
          <w:rFonts w:ascii="Arial"/>
          <w:color w:val="231F1F"/>
          <w:w w:val="355"/>
          <w:position w:val="1"/>
          <w:sz w:val="7"/>
        </w:rPr>
        <w:t>l </w:t>
      </w:r>
      <w:r>
        <w:rPr>
          <w:rFonts w:ascii="Calibri"/>
          <w:color w:val="231F1F"/>
          <w:w w:val="115"/>
        </w:rPr>
        <w:t>Lithium: </w:t>
      </w:r>
      <w:r>
        <w:rPr>
          <w:color w:val="231F1F"/>
          <w:w w:val="115"/>
        </w:rPr>
        <w:t>increased risk of extrapyramidal side-effects and possibly neurotoxicity when clozapine, flupentixol, haloperidol, phenothiazines, risperidone or zuclopenthixol given with </w:t>
      </w:r>
      <w:r>
        <w:rPr>
          <w:rFonts w:ascii="Arial"/>
          <w:color w:val="231F1F"/>
          <w:w w:val="355"/>
          <w:position w:val="1"/>
          <w:sz w:val="7"/>
        </w:rPr>
        <w:t>l </w:t>
      </w:r>
      <w:r>
        <w:rPr>
          <w:rFonts w:ascii="Calibri"/>
          <w:color w:val="008356"/>
          <w:w w:val="115"/>
          <w:sz w:val="11"/>
        </w:rPr>
        <w:t>LITHIUM</w:t>
      </w:r>
      <w:r>
        <w:rPr>
          <w:color w:val="231F1F"/>
          <w:w w:val="115"/>
        </w:rPr>
        <w:t>; possible risk of toxicity when olanzapine given with </w:t>
      </w:r>
      <w:r>
        <w:rPr>
          <w:rFonts w:ascii="Calibri"/>
          <w:color w:val="008356"/>
          <w:w w:val="115"/>
          <w:sz w:val="11"/>
        </w:rPr>
        <w:t>LITHIUM</w:t>
      </w:r>
      <w:r>
        <w:rPr>
          <w:color w:val="231F1F"/>
          <w:w w:val="115"/>
        </w:rPr>
        <w:t>; extrapyramidal side-effects of quetiapine possibly increased by </w:t>
      </w:r>
      <w:r>
        <w:rPr>
          <w:rFonts w:ascii="Calibri"/>
          <w:color w:val="008356"/>
          <w:w w:val="115"/>
          <w:sz w:val="11"/>
        </w:rPr>
        <w:t>LITHIUM</w:t>
      </w:r>
      <w:r>
        <w:rPr>
          <w:color w:val="231F1F"/>
          <w:w w:val="115"/>
        </w:rPr>
        <w:t>; increased risk of extrapyramidal side-effects when sulpiride given with </w:t>
      </w:r>
      <w:r>
        <w:rPr>
          <w:rFonts w:ascii="Calibri"/>
          <w:color w:val="008356"/>
          <w:w w:val="115"/>
          <w:sz w:val="11"/>
        </w:rPr>
        <w:t>LITHIUM</w:t>
      </w:r>
    </w:p>
    <w:p>
      <w:pPr>
        <w:pStyle w:val="BodyText"/>
        <w:spacing w:line="149" w:lineRule="exact"/>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antipsychotics possibly reduced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30" w:lineRule="auto"/>
        <w:ind w:left="286" w:right="590" w:hanging="100"/>
        <w:jc w:val="both"/>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antipsychotics given with </w:t>
      </w:r>
      <w:r>
        <w:rPr>
          <w:rFonts w:ascii="Calibri" w:hAnsi="Calibri"/>
          <w:color w:val="008356"/>
          <w:w w:val="110"/>
          <w:sz w:val="11"/>
        </w:rPr>
        <w:t>METHYLDOPA </w:t>
      </w:r>
      <w:r>
        <w:rPr>
          <w:color w:val="231F1F"/>
          <w:w w:val="110"/>
        </w:rPr>
        <w:t>(also increased risk of extrapyramidal effects)</w:t>
      </w:r>
    </w:p>
    <w:p>
      <w:pPr>
        <w:pStyle w:val="BodyText"/>
        <w:spacing w:line="220" w:lineRule="auto" w:before="12"/>
        <w:ind w:left="286" w:right="66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Metoclopramide: </w:t>
      </w:r>
      <w:r>
        <w:rPr>
          <w:color w:val="231F1F"/>
          <w:w w:val="105"/>
        </w:rPr>
        <w:t>increased risk of extrapyramidal side-effects when antipsychotics given with </w:t>
      </w:r>
      <w:r>
        <w:rPr>
          <w:rFonts w:ascii="Calibri" w:hAnsi="Calibri"/>
          <w:color w:val="008356"/>
          <w:w w:val="105"/>
          <w:sz w:val="11"/>
        </w:rPr>
        <w:t>METOCLOPRAMIDE</w:t>
      </w:r>
    </w:p>
    <w:p>
      <w:pPr>
        <w:pStyle w:val="BodyText"/>
        <w:spacing w:line="220" w:lineRule="auto" w:before="8"/>
        <w:ind w:left="286"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phenothiazines given with </w:t>
      </w:r>
      <w:r>
        <w:rPr>
          <w:rFonts w:ascii="Calibri" w:hAnsi="Calibri"/>
          <w:color w:val="008356"/>
          <w:w w:val="105"/>
          <w:sz w:val="11"/>
        </w:rPr>
        <w:t>MOXONIDINE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Muscle Relaxants: </w:t>
      </w:r>
      <w:r>
        <w:rPr>
          <w:color w:val="231F1F"/>
          <w:w w:val="105"/>
        </w:rPr>
        <w:t>promazine possibly enhances effects of</w:t>
      </w:r>
    </w:p>
    <w:p>
      <w:pPr>
        <w:spacing w:line="130" w:lineRule="exact" w:before="0"/>
        <w:ind w:left="286" w:right="0" w:firstLine="0"/>
        <w:jc w:val="left"/>
        <w:rPr>
          <w:rFonts w:ascii="Calibri"/>
          <w:sz w:val="11"/>
        </w:rPr>
      </w:pPr>
      <w:r>
        <w:rPr>
          <w:rFonts w:ascii="Calibri"/>
          <w:color w:val="008356"/>
          <w:sz w:val="11"/>
        </w:rPr>
        <w:t>SUXAMETHONIUM</w:t>
      </w:r>
    </w:p>
    <w:p>
      <w:pPr>
        <w:pStyle w:val="BodyText"/>
        <w:spacing w:line="220" w:lineRule="auto" w:before="7"/>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phenothiazines given with </w:t>
      </w:r>
      <w:r>
        <w:rPr>
          <w:rFonts w:ascii="Calibri" w:hAnsi="Calibri"/>
          <w:color w:val="008356"/>
          <w:w w:val="105"/>
          <w:sz w:val="11"/>
        </w:rPr>
        <w:t>NITRATES</w:t>
      </w:r>
    </w:p>
    <w:p>
      <w:pPr>
        <w:pStyle w:val="BodyText"/>
        <w:spacing w:line="146" w:lineRule="exact"/>
        <w:ind w:left="186"/>
      </w:pPr>
      <w:r>
        <w:rPr>
          <w:rFonts w:ascii="Arial"/>
          <w:color w:val="231F1F"/>
          <w:w w:val="355"/>
          <w:position w:val="1"/>
          <w:sz w:val="7"/>
        </w:rPr>
        <w:t>l </w:t>
      </w:r>
      <w:r>
        <w:rPr>
          <w:rFonts w:ascii="Calibri"/>
          <w:color w:val="231F1F"/>
          <w:w w:val="115"/>
        </w:rPr>
        <w:t>Penicillamine: </w:t>
      </w:r>
      <w:r>
        <w:rPr>
          <w:color w:val="231F1F"/>
          <w:w w:val="115"/>
        </w:rPr>
        <w:t>avoid concomitant use of clozapine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PENICILLAMINE </w:t>
      </w:r>
      <w:r>
        <w:rPr>
          <w:color w:val="231F1F"/>
          <w:w w:val="110"/>
          <w:sz w:val="12"/>
        </w:rPr>
        <w:t>(increased risk of agranulocytosis)</w:t>
      </w:r>
    </w:p>
    <w:p>
      <w:pPr>
        <w:pStyle w:val="BodyText"/>
        <w:ind w:left="286" w:right="605" w:hanging="100"/>
      </w:pPr>
      <w:r>
        <w:rPr>
          <w:rFonts w:ascii="Arial"/>
          <w:color w:val="231F1F"/>
          <w:w w:val="355"/>
          <w:position w:val="1"/>
          <w:sz w:val="7"/>
        </w:rPr>
        <w:t>l </w:t>
      </w:r>
      <w:r>
        <w:rPr>
          <w:rFonts w:ascii="Calibri"/>
          <w:color w:val="231F1F"/>
          <w:w w:val="110"/>
        </w:rPr>
        <w:t>Pentamidine Isetionate: </w:t>
      </w:r>
      <w:r>
        <w:rPr>
          <w:color w:val="231F1F"/>
          <w:w w:val="110"/>
        </w:rPr>
        <w:t>increased risk of ventricular arrhythmias when amisulpride or droperidol given with</w:t>
      </w:r>
    </w:p>
    <w:p>
      <w:pPr>
        <w:spacing w:line="247" w:lineRule="auto" w:before="4"/>
        <w:ind w:left="286" w:right="637" w:firstLine="0"/>
        <w:jc w:val="left"/>
        <w:rPr>
          <w:rFonts w:ascii="Calibri" w:hAnsi="Calibri"/>
          <w:sz w:val="11"/>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PENTAMIDINE</w:t>
      </w:r>
      <w:r>
        <w:rPr>
          <w:rFonts w:ascii="Calibri" w:hAnsi="Calibri"/>
          <w:color w:val="008356"/>
          <w:spacing w:val="-8"/>
          <w:w w:val="110"/>
          <w:sz w:val="11"/>
        </w:rPr>
        <w:t> </w:t>
      </w:r>
      <w:r>
        <w:rPr>
          <w:rFonts w:ascii="Calibri" w:hAnsi="Calibri"/>
          <w:color w:val="008356"/>
          <w:spacing w:val="2"/>
          <w:w w:val="110"/>
          <w:sz w:val="11"/>
        </w:rPr>
        <w:t>ISETIONATE</w:t>
      </w:r>
      <w:r>
        <w:rPr>
          <w:rFonts w:ascii="Arial" w:hAnsi="Arial"/>
          <w:color w:val="231F1F"/>
          <w:spacing w:val="2"/>
          <w:w w:val="110"/>
          <w:sz w:val="12"/>
        </w:rPr>
        <w:t>—</w:t>
      </w:r>
      <w:r>
        <w:rPr>
          <w:color w:val="231F1F"/>
          <w:spacing w:val="2"/>
          <w:w w:val="110"/>
          <w:sz w:val="12"/>
        </w:rPr>
        <w:t>avoid</w:t>
      </w:r>
      <w:r>
        <w:rPr>
          <w:color w:val="231F1F"/>
          <w:spacing w:val="-16"/>
          <w:w w:val="110"/>
          <w:sz w:val="12"/>
        </w:rPr>
        <w:t> </w:t>
      </w:r>
      <w:r>
        <w:rPr>
          <w:color w:val="231F1F"/>
          <w:w w:val="110"/>
          <w:sz w:val="12"/>
        </w:rPr>
        <w:t>concomitant</w:t>
      </w:r>
      <w:r>
        <w:rPr>
          <w:color w:val="231F1F"/>
          <w:spacing w:val="-16"/>
          <w:w w:val="110"/>
          <w:sz w:val="12"/>
        </w:rPr>
        <w:t> </w:t>
      </w:r>
      <w:r>
        <w:rPr>
          <w:color w:val="231F1F"/>
          <w:w w:val="110"/>
          <w:sz w:val="12"/>
        </w:rPr>
        <w:t>use;</w:t>
      </w:r>
      <w:r>
        <w:rPr>
          <w:color w:val="231F1F"/>
          <w:spacing w:val="-15"/>
          <w:w w:val="110"/>
          <w:sz w:val="12"/>
        </w:rPr>
        <w:t> </w:t>
      </w:r>
      <w:r>
        <w:rPr>
          <w:color w:val="231F1F"/>
          <w:w w:val="110"/>
          <w:sz w:val="12"/>
        </w:rPr>
        <w:t>increased risk of ventricular arrhythmias when phenothiazines given with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PENTAMIDINE ISETIONATE</w:t>
      </w:r>
    </w:p>
    <w:p>
      <w:pPr>
        <w:pStyle w:val="BodyText"/>
        <w:spacing w:line="148" w:lineRule="exact"/>
        <w:ind w:left="186"/>
      </w:pPr>
      <w:r>
        <w:rPr>
          <w:rFonts w:ascii="Lucida Sans Unicode" w:hAnsi="Lucida Sans Unicode"/>
          <w:color w:val="A7A8AC"/>
          <w:w w:val="95"/>
          <w:sz w:val="10"/>
        </w:rPr>
        <w:t>▶ </w:t>
      </w:r>
      <w:r>
        <w:rPr>
          <w:rFonts w:ascii="Calibri" w:hAnsi="Calibri"/>
          <w:color w:val="231F1F"/>
          <w:w w:val="105"/>
        </w:rPr>
        <w:t>Sodium Benzoate: </w:t>
      </w:r>
      <w:r>
        <w:rPr>
          <w:color w:val="231F1F"/>
          <w:w w:val="105"/>
        </w:rPr>
        <w:t>haloperidol possibly reduces effects of</w:t>
      </w:r>
    </w:p>
    <w:p>
      <w:pPr>
        <w:spacing w:line="131" w:lineRule="exact" w:before="0"/>
        <w:ind w:left="286" w:right="0" w:firstLine="0"/>
        <w:jc w:val="left"/>
        <w:rPr>
          <w:rFonts w:ascii="Calibri"/>
          <w:sz w:val="11"/>
        </w:rPr>
      </w:pPr>
      <w:r>
        <w:rPr>
          <w:rFonts w:ascii="Calibri"/>
          <w:color w:val="008356"/>
          <w:sz w:val="11"/>
        </w:rPr>
        <w:t>SODIUM BENZOATE</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Sodium Oxybate: </w:t>
      </w:r>
      <w:r>
        <w:rPr>
          <w:color w:val="231F1F"/>
          <w:w w:val="105"/>
        </w:rPr>
        <w:t>antipsychotics possibly enhance effects of</w:t>
      </w:r>
    </w:p>
    <w:p>
      <w:pPr>
        <w:spacing w:line="130" w:lineRule="exact" w:before="0"/>
        <w:ind w:left="286" w:right="0" w:firstLine="0"/>
        <w:jc w:val="left"/>
        <w:rPr>
          <w:rFonts w:ascii="Calibri"/>
          <w:sz w:val="11"/>
        </w:rPr>
      </w:pPr>
      <w:r>
        <w:rPr>
          <w:rFonts w:ascii="Calibri"/>
          <w:color w:val="008356"/>
          <w:sz w:val="11"/>
        </w:rPr>
        <w:t>SODIUM OXYBATE</w:t>
      </w:r>
    </w:p>
    <w:p>
      <w:pPr>
        <w:pStyle w:val="BodyText"/>
        <w:spacing w:line="154" w:lineRule="exact"/>
        <w:ind w:left="186"/>
      </w:pPr>
      <w:r>
        <w:rPr>
          <w:rFonts w:ascii="Lucida Sans Unicode" w:hAnsi="Lucida Sans Unicode"/>
          <w:color w:val="A7A8AC"/>
          <w:w w:val="95"/>
          <w:sz w:val="10"/>
        </w:rPr>
        <w:t>▶ </w:t>
      </w:r>
      <w:r>
        <w:rPr>
          <w:rFonts w:ascii="Calibri" w:hAnsi="Calibri"/>
          <w:color w:val="231F1F"/>
        </w:rPr>
        <w:t>Sodium Phenylbutyrate: </w:t>
      </w:r>
      <w:r>
        <w:rPr>
          <w:color w:val="231F1F"/>
        </w:rPr>
        <w:t>haloperidol possibly reduces effects of</w:t>
      </w:r>
    </w:p>
    <w:p>
      <w:pPr>
        <w:spacing w:line="130" w:lineRule="exact" w:before="0"/>
        <w:ind w:left="286" w:right="0" w:firstLine="0"/>
        <w:jc w:val="left"/>
        <w:rPr>
          <w:rFonts w:ascii="Calibri"/>
          <w:sz w:val="11"/>
        </w:rPr>
      </w:pPr>
      <w:r>
        <w:rPr>
          <w:rFonts w:ascii="Calibri"/>
          <w:color w:val="008356"/>
          <w:sz w:val="11"/>
        </w:rPr>
        <w:t>SODIUM PHENYLBUTYRATE</w:t>
      </w:r>
    </w:p>
    <w:p>
      <w:pPr>
        <w:spacing w:line="240" w:lineRule="auto" w:before="0"/>
        <w:ind w:left="286" w:right="76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Sympathomimetics: </w:t>
      </w:r>
      <w:r>
        <w:rPr>
          <w:color w:val="231F1F"/>
          <w:w w:val="110"/>
          <w:sz w:val="12"/>
        </w:rPr>
        <w:t>antipsychotics antagonise hypertensive effect of </w:t>
      </w:r>
      <w:r>
        <w:rPr>
          <w:rFonts w:ascii="Calibri" w:hAnsi="Calibri"/>
          <w:color w:val="008356"/>
          <w:w w:val="110"/>
          <w:sz w:val="11"/>
        </w:rPr>
        <w:t>SYMPATHOMIMETICS</w:t>
      </w:r>
      <w:r>
        <w:rPr>
          <w:color w:val="231F1F"/>
          <w:w w:val="110"/>
          <w:sz w:val="12"/>
        </w:rPr>
        <w:t>; antipsychotic effects of chlorpromazine possibly antagonised by </w:t>
      </w:r>
      <w:r>
        <w:rPr>
          <w:rFonts w:ascii="Calibri" w:hAnsi="Calibri"/>
          <w:color w:val="008356"/>
          <w:w w:val="110"/>
          <w:sz w:val="11"/>
        </w:rPr>
        <w:t>DEXAMFETAMINE</w:t>
      </w:r>
      <w:r>
        <w:rPr>
          <w:color w:val="231F1F"/>
          <w:w w:val="110"/>
          <w:sz w:val="12"/>
        </w:rPr>
        <w:t>; chlorpromazine possibly reduces effects of </w:t>
      </w:r>
      <w:r>
        <w:rPr>
          <w:rFonts w:ascii="Calibri" w:hAnsi="Calibri"/>
          <w:color w:val="008356"/>
          <w:w w:val="110"/>
          <w:sz w:val="11"/>
        </w:rPr>
        <w:t>LISDEXAMFETAMINE</w:t>
      </w:r>
      <w:r>
        <w:rPr>
          <w:color w:val="231F1F"/>
          <w:w w:val="110"/>
          <w:sz w:val="12"/>
        </w:rPr>
        <w:t>; side-effects of risperidone possibly increased by </w:t>
      </w:r>
      <w:r>
        <w:rPr>
          <w:rFonts w:ascii="Calibri" w:hAnsi="Calibri"/>
          <w:color w:val="008356"/>
          <w:w w:val="110"/>
          <w:sz w:val="11"/>
        </w:rPr>
        <w:t>METHYLPHENIDATE</w:t>
      </w:r>
    </w:p>
    <w:p>
      <w:pPr>
        <w:pStyle w:val="BodyText"/>
        <w:ind w:left="286" w:right="605" w:hanging="100"/>
      </w:pPr>
      <w:r>
        <w:rPr>
          <w:rFonts w:ascii="Arial"/>
          <w:color w:val="231F1F"/>
          <w:w w:val="355"/>
          <w:position w:val="1"/>
          <w:sz w:val="7"/>
        </w:rPr>
        <w:t>l </w:t>
      </w:r>
      <w:r>
        <w:rPr>
          <w:rFonts w:ascii="Calibri"/>
          <w:color w:val="231F1F"/>
          <w:w w:val="110"/>
        </w:rPr>
        <w:t>Tacrolimus: </w:t>
      </w:r>
      <w:r>
        <w:rPr>
          <w:color w:val="231F1F"/>
          <w:w w:val="110"/>
        </w:rPr>
        <w:t>manufacturer of droperidol advises avoid concomitant use with </w:t>
      </w:r>
      <w:r>
        <w:rPr>
          <w:rFonts w:ascii="Arial"/>
          <w:color w:val="231F1F"/>
          <w:w w:val="355"/>
          <w:position w:val="1"/>
          <w:sz w:val="7"/>
        </w:rPr>
        <w:t>l </w:t>
      </w:r>
      <w:r>
        <w:rPr>
          <w:rFonts w:ascii="Calibri"/>
          <w:color w:val="008356"/>
          <w:spacing w:val="3"/>
          <w:w w:val="110"/>
          <w:sz w:val="11"/>
        </w:rPr>
        <w:t>TACROLIMUS </w:t>
      </w:r>
      <w:r>
        <w:rPr>
          <w:color w:val="231F1F"/>
          <w:w w:val="110"/>
        </w:rPr>
        <w:t>(risk of ventricular arrhythmias)</w:t>
      </w:r>
    </w:p>
    <w:p>
      <w:pPr>
        <w:pStyle w:val="BodyText"/>
        <w:spacing w:line="220" w:lineRule="auto" w:before="6"/>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Tetrabenazine: </w:t>
      </w:r>
      <w:r>
        <w:rPr>
          <w:color w:val="231F1F"/>
          <w:w w:val="110"/>
        </w:rPr>
        <w:t>increased risk of extrapyramidal side-effects when antipsychotics given with </w:t>
      </w:r>
      <w:r>
        <w:rPr>
          <w:rFonts w:ascii="Calibri" w:hAnsi="Calibri"/>
          <w:color w:val="008356"/>
          <w:w w:val="110"/>
          <w:sz w:val="11"/>
        </w:rPr>
        <w:t>TETRABENAZINE</w:t>
      </w:r>
    </w:p>
    <w:p>
      <w:pPr>
        <w:pStyle w:val="BodyText"/>
        <w:spacing w:line="235" w:lineRule="auto" w:before="3"/>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effects of antipsychotics, chlorpromazine and clozapine possibly enhanced by </w:t>
      </w:r>
      <w:r>
        <w:rPr>
          <w:rFonts w:ascii="Calibri" w:hAnsi="Calibri"/>
          <w:color w:val="008356"/>
          <w:w w:val="110"/>
          <w:sz w:val="11"/>
        </w:rPr>
        <w:t>CIMETIDINE</w:t>
      </w:r>
      <w:r>
        <w:rPr>
          <w:color w:val="231F1F"/>
          <w:w w:val="110"/>
        </w:rPr>
        <w:t>; plasma concentration of clozapine possibly reduced by </w:t>
      </w:r>
      <w:r>
        <w:rPr>
          <w:rFonts w:ascii="Calibri" w:hAnsi="Calibri"/>
          <w:color w:val="008356"/>
          <w:w w:val="110"/>
          <w:sz w:val="11"/>
        </w:rPr>
        <w:t>OMEPRAZOLE</w:t>
      </w:r>
      <w:r>
        <w:rPr>
          <w:color w:val="231F1F"/>
          <w:w w:val="110"/>
        </w:rPr>
        <w:t>; absorption of sulpiride reduced by </w:t>
      </w:r>
      <w:r>
        <w:rPr>
          <w:rFonts w:ascii="Calibri" w:hAnsi="Calibri"/>
          <w:color w:val="008356"/>
          <w:w w:val="110"/>
          <w:sz w:val="11"/>
        </w:rPr>
        <w:t>SUCRALFATE</w:t>
      </w:r>
    </w:p>
    <w:p>
      <w:pPr>
        <w:spacing w:line="237" w:lineRule="auto" w:before="0"/>
        <w:ind w:left="286" w:right="70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phenothiazines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6"/>
        <w:ind w:left="186"/>
      </w:pPr>
      <w:r>
        <w:rPr>
          <w:rFonts w:ascii="Trebuchet MS"/>
          <w:color w:val="008356"/>
          <w:w w:val="110"/>
        </w:rPr>
        <w:t>Antivirals </w:t>
      </w:r>
      <w:r>
        <w:rPr>
          <w:i/>
          <w:color w:val="231F1F"/>
          <w:w w:val="110"/>
        </w:rPr>
        <w:t>see </w:t>
      </w:r>
      <w:r>
        <w:rPr>
          <w:color w:val="231F1F"/>
          <w:w w:val="110"/>
        </w:rPr>
        <w:t>individual drugs</w:t>
      </w:r>
    </w:p>
    <w:p>
      <w:pPr>
        <w:pStyle w:val="BodyText"/>
        <w:spacing w:before="10"/>
        <w:ind w:left="186"/>
        <w:jc w:val="both"/>
        <w:rPr>
          <w:rFonts w:ascii="Trebuchet MS"/>
        </w:rPr>
      </w:pPr>
      <w:r>
        <w:rPr>
          <w:rFonts w:ascii="Trebuchet MS"/>
          <w:color w:val="008356"/>
        </w:rPr>
        <w:t>Anxiolytics and Hypnotics</w:t>
      </w:r>
    </w:p>
    <w:p>
      <w:pPr>
        <w:pStyle w:val="BodyText"/>
        <w:spacing w:line="220" w:lineRule="auto" w:before="10"/>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ACE Inhibitors: </w:t>
      </w:r>
      <w:r>
        <w:rPr>
          <w:color w:val="231F1F"/>
          <w:w w:val="110"/>
        </w:rPr>
        <w:t>enhanced hypotensive effect when anxiolytics and hypnotics given with </w:t>
      </w:r>
      <w:r>
        <w:rPr>
          <w:rFonts w:ascii="Calibri" w:hAnsi="Calibri"/>
          <w:color w:val="008356"/>
          <w:w w:val="110"/>
          <w:sz w:val="11"/>
        </w:rPr>
        <w:t>ACE INHIBITORS</w:t>
      </w:r>
    </w:p>
    <w:p>
      <w:pPr>
        <w:spacing w:after="0" w:line="220" w:lineRule="auto"/>
        <w:rPr>
          <w:rFonts w:ascii="Calibri" w:hAnsi="Calibri"/>
          <w:sz w:val="11"/>
        </w:rPr>
        <w:sectPr>
          <w:pgSz w:w="8390" w:h="11910"/>
          <w:pgMar w:header="0" w:footer="0" w:top="460" w:bottom="0" w:left="480" w:right="0"/>
          <w:cols w:num="2" w:equalWidth="0">
            <w:col w:w="3632" w:space="43"/>
            <w:col w:w="4235"/>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Anxiolytics and Hypnotics </w:t>
      </w:r>
      <w:r>
        <w:rPr>
          <w:rFonts w:ascii="Calibri"/>
          <w:color w:val="231F1F"/>
        </w:rPr>
        <w:t>(continued)</w:t>
      </w:r>
    </w:p>
    <w:p>
      <w:pPr>
        <w:spacing w:line="237" w:lineRule="auto" w:before="0"/>
        <w:ind w:left="208" w:right="1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anxiolytics and hypnotics given with </w:t>
      </w:r>
      <w:r>
        <w:rPr>
          <w:rFonts w:ascii="Calibri" w:hAnsi="Calibri"/>
          <w:color w:val="008356"/>
          <w:w w:val="105"/>
          <w:sz w:val="11"/>
        </w:rPr>
        <w:t>ADRENERGIC NEURONE BLOCKERS</w:t>
      </w:r>
    </w:p>
    <w:p>
      <w:pPr>
        <w:pStyle w:val="BodyText"/>
        <w:spacing w:line="220" w:lineRule="auto" w:before="5"/>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increased sedative effect when anxiolytics and hypnotics given with </w:t>
      </w:r>
      <w:r>
        <w:rPr>
          <w:rFonts w:ascii="Calibri" w:hAnsi="Calibri"/>
          <w:color w:val="008356"/>
          <w:w w:val="105"/>
          <w:sz w:val="11"/>
        </w:rPr>
        <w:t>ALCOHOL</w:t>
      </w:r>
    </w:p>
    <w:p>
      <w:pPr>
        <w:pStyle w:val="BodyText"/>
        <w:spacing w:line="220" w:lineRule="auto" w:before="8"/>
        <w:ind w:right="43"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and sedative effects when anxiolytics and hypnotics given with </w:t>
      </w:r>
      <w:r>
        <w:rPr>
          <w:rFonts w:ascii="Calibri" w:hAnsi="Calibri"/>
          <w:color w:val="008356"/>
          <w:w w:val="110"/>
          <w:sz w:val="11"/>
        </w:rPr>
        <w:t>ALPHA-BLOCKERS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Aminophylline: </w:t>
      </w:r>
      <w:r>
        <w:rPr>
          <w:color w:val="231F1F"/>
          <w:w w:val="105"/>
        </w:rPr>
        <w:t>effects of benzodiazepines possibly reduced by</w:t>
      </w:r>
    </w:p>
    <w:p>
      <w:pPr>
        <w:spacing w:line="131" w:lineRule="exact" w:before="0"/>
        <w:ind w:left="208" w:right="0" w:firstLine="0"/>
        <w:jc w:val="left"/>
        <w:rPr>
          <w:rFonts w:ascii="Calibri"/>
          <w:sz w:val="11"/>
        </w:rPr>
      </w:pPr>
      <w:r>
        <w:rPr>
          <w:rFonts w:ascii="Calibri"/>
          <w:color w:val="008356"/>
          <w:sz w:val="11"/>
        </w:rPr>
        <w:t>AMINOPHYLLINE</w:t>
      </w:r>
    </w:p>
    <w:p>
      <w:pPr>
        <w:pStyle w:val="BodyText"/>
        <w:spacing w:line="220" w:lineRule="auto" w:before="8"/>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Anaesthetics, General: </w:t>
      </w:r>
      <w:r>
        <w:rPr>
          <w:color w:val="231F1F"/>
          <w:w w:val="105"/>
        </w:rPr>
        <w:t>increased sedative effect when anxiolytics and hypnotics given with </w:t>
      </w:r>
      <w:r>
        <w:rPr>
          <w:rFonts w:ascii="Calibri" w:hAnsi="Calibri"/>
          <w:color w:val="008356"/>
          <w:w w:val="105"/>
          <w:sz w:val="11"/>
        </w:rPr>
        <w:t>GENERAL ANAESTHETICS</w:t>
      </w:r>
    </w:p>
    <w:p>
      <w:pPr>
        <w:pStyle w:val="BodyText"/>
        <w:spacing w:line="230" w:lineRule="auto" w:before="4"/>
        <w:ind w:right="43"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metabolism of midazolam possibly inhibited by </w:t>
      </w:r>
      <w:r>
        <w:rPr>
          <w:rFonts w:ascii="Calibri" w:hAnsi="Calibri"/>
          <w:color w:val="008356"/>
          <w:w w:val="105"/>
          <w:sz w:val="11"/>
        </w:rPr>
        <w:t>FENTANYL</w:t>
      </w:r>
      <w:r>
        <w:rPr>
          <w:color w:val="231F1F"/>
          <w:w w:val="105"/>
        </w:rPr>
        <w:t>; increased sedative effect when anxiolytics and hypnotics given with </w:t>
      </w:r>
      <w:r>
        <w:rPr>
          <w:rFonts w:ascii="Calibri" w:hAnsi="Calibri"/>
          <w:color w:val="008356"/>
          <w:w w:val="105"/>
          <w:sz w:val="11"/>
        </w:rPr>
        <w:t>OPIOID ANALGESICS</w:t>
      </w:r>
    </w:p>
    <w:p>
      <w:pPr>
        <w:spacing w:line="242" w:lineRule="auto" w:before="0"/>
        <w:ind w:left="208" w:right="31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anxiolytics and hypnotics given with </w:t>
      </w:r>
      <w:r>
        <w:rPr>
          <w:rFonts w:ascii="Calibri" w:hAnsi="Calibri"/>
          <w:color w:val="008356"/>
          <w:w w:val="105"/>
          <w:sz w:val="11"/>
        </w:rPr>
        <w:t>ANGIOTENSIN-II RECEPTOR ANTAGONISTS</w:t>
      </w:r>
    </w:p>
    <w:p>
      <w:pPr>
        <w:pStyle w:val="BodyText"/>
        <w:spacing w:line="140" w:lineRule="exact"/>
        <w:ind w:left="108"/>
      </w:pPr>
      <w:r>
        <w:rPr>
          <w:rFonts w:ascii="Arial"/>
          <w:color w:val="231F1F"/>
          <w:w w:val="355"/>
          <w:position w:val="1"/>
          <w:sz w:val="7"/>
        </w:rPr>
        <w:t>l </w:t>
      </w:r>
      <w:r>
        <w:rPr>
          <w:rFonts w:ascii="Calibri"/>
          <w:color w:val="231F1F"/>
          <w:w w:val="115"/>
        </w:rPr>
        <w:t>Antibacterials: </w:t>
      </w:r>
      <w:r>
        <w:rPr>
          <w:color w:val="231F1F"/>
          <w:w w:val="115"/>
        </w:rPr>
        <w:t>metabolism of midazolam inhibited by</w:t>
      </w:r>
    </w:p>
    <w:p>
      <w:pPr>
        <w:spacing w:line="141" w:lineRule="exact" w:before="0"/>
        <w:ind w:left="208" w:right="0" w:firstLine="0"/>
        <w:jc w:val="left"/>
        <w:rPr>
          <w:rFonts w:ascii="Calibri"/>
          <w:sz w:val="11"/>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CLARITHROMYCIN</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ERYTHROMYCIN </w:t>
      </w:r>
      <w:r>
        <w:rPr>
          <w:color w:val="231F1F"/>
          <w:w w:val="115"/>
          <w:sz w:val="12"/>
        </w:rPr>
        <w:t>and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TELITHROMYCIN</w:t>
      </w:r>
    </w:p>
    <w:p>
      <w:pPr>
        <w:pStyle w:val="BodyText"/>
        <w:spacing w:line="244" w:lineRule="auto" w:before="2"/>
        <w:ind w:right="46"/>
        <w:rPr>
          <w:rFonts w:ascii="Calibri"/>
          <w:sz w:val="11"/>
        </w:rPr>
      </w:pPr>
      <w:r>
        <w:rPr>
          <w:color w:val="231F1F"/>
          <w:w w:val="115"/>
        </w:rPr>
        <w:t>(increased plasma concentration with increased sedation); plasma concentration of buspirone increased by </w:t>
      </w:r>
      <w:r>
        <w:rPr>
          <w:rFonts w:ascii="Calibri"/>
          <w:color w:val="008356"/>
          <w:spacing w:val="4"/>
          <w:w w:val="115"/>
          <w:sz w:val="11"/>
        </w:rPr>
        <w:t>ERYTHROMYCIN </w:t>
      </w:r>
      <w:r>
        <w:rPr>
          <w:color w:val="231F1F"/>
          <w:w w:val="115"/>
        </w:rPr>
        <w:t>(reduce dose of buspirone); metabolism of zopiclone inhibited by </w:t>
      </w:r>
      <w:r>
        <w:rPr>
          <w:rFonts w:ascii="Calibri"/>
          <w:color w:val="008356"/>
          <w:spacing w:val="4"/>
          <w:w w:val="115"/>
          <w:sz w:val="11"/>
        </w:rPr>
        <w:t>ERYTHROMYCIN</w:t>
      </w:r>
      <w:r>
        <w:rPr>
          <w:color w:val="231F1F"/>
          <w:spacing w:val="4"/>
          <w:w w:val="115"/>
        </w:rPr>
        <w:t>; </w:t>
      </w:r>
      <w:r>
        <w:rPr>
          <w:color w:val="231F1F"/>
          <w:w w:val="115"/>
        </w:rPr>
        <w:t>manufacturer of zolpidem</w:t>
      </w:r>
      <w:r>
        <w:rPr>
          <w:color w:val="231F1F"/>
          <w:spacing w:val="-25"/>
          <w:w w:val="115"/>
        </w:rPr>
        <w:t> </w:t>
      </w:r>
      <w:r>
        <w:rPr>
          <w:color w:val="231F1F"/>
          <w:w w:val="115"/>
        </w:rPr>
        <w:t>advises</w:t>
      </w:r>
      <w:r>
        <w:rPr>
          <w:color w:val="231F1F"/>
          <w:spacing w:val="-23"/>
          <w:w w:val="115"/>
        </w:rPr>
        <w:t> </w:t>
      </w:r>
      <w:r>
        <w:rPr>
          <w:color w:val="231F1F"/>
          <w:w w:val="115"/>
        </w:rPr>
        <w:t>avoid</w:t>
      </w:r>
      <w:r>
        <w:rPr>
          <w:color w:val="231F1F"/>
          <w:spacing w:val="-23"/>
          <w:w w:val="115"/>
        </w:rPr>
        <w:t> </w:t>
      </w:r>
      <w:r>
        <w:rPr>
          <w:color w:val="231F1F"/>
          <w:w w:val="115"/>
        </w:rPr>
        <w:t>concomitant</w:t>
      </w:r>
      <w:r>
        <w:rPr>
          <w:color w:val="231F1F"/>
          <w:spacing w:val="-24"/>
          <w:w w:val="115"/>
        </w:rPr>
        <w:t> </w:t>
      </w:r>
      <w:r>
        <w:rPr>
          <w:color w:val="231F1F"/>
          <w:w w:val="115"/>
        </w:rPr>
        <w:t>use</w:t>
      </w:r>
      <w:r>
        <w:rPr>
          <w:color w:val="231F1F"/>
          <w:spacing w:val="-23"/>
          <w:w w:val="115"/>
        </w:rPr>
        <w:t> </w:t>
      </w:r>
      <w:r>
        <w:rPr>
          <w:color w:val="231F1F"/>
          <w:w w:val="115"/>
        </w:rPr>
        <w:t>with</w:t>
      </w:r>
      <w:r>
        <w:rPr>
          <w:color w:val="231F1F"/>
          <w:spacing w:val="-24"/>
          <w:w w:val="115"/>
        </w:rPr>
        <w:t> </w:t>
      </w:r>
      <w:r>
        <w:rPr>
          <w:rFonts w:ascii="Calibri"/>
          <w:color w:val="008356"/>
          <w:spacing w:val="4"/>
          <w:w w:val="115"/>
          <w:sz w:val="11"/>
        </w:rPr>
        <w:t>CIPROFLOXACIN</w:t>
      </w:r>
      <w:r>
        <w:rPr>
          <w:color w:val="231F1F"/>
          <w:spacing w:val="4"/>
          <w:w w:val="115"/>
        </w:rPr>
        <w:t>; </w:t>
      </w:r>
      <w:r>
        <w:rPr>
          <w:color w:val="231F1F"/>
          <w:w w:val="115"/>
        </w:rPr>
        <w:t>metabolism of benzodiazepines possibly accelerated by </w:t>
      </w:r>
      <w:r>
        <w:rPr>
          <w:rFonts w:ascii="Calibri"/>
          <w:color w:val="008356"/>
          <w:spacing w:val="4"/>
          <w:w w:val="115"/>
          <w:sz w:val="11"/>
        </w:rPr>
        <w:t>RIFAMPICIN </w:t>
      </w:r>
      <w:r>
        <w:rPr>
          <w:color w:val="231F1F"/>
          <w:w w:val="115"/>
        </w:rPr>
        <w:t>(reduced plasma concentration); metabolism of diazepam and zaleplon accelerated by </w:t>
      </w:r>
      <w:r>
        <w:rPr>
          <w:rFonts w:ascii="Calibri"/>
          <w:color w:val="008356"/>
          <w:spacing w:val="4"/>
          <w:w w:val="115"/>
          <w:sz w:val="11"/>
        </w:rPr>
        <w:t>RIFAMPICIN </w:t>
      </w:r>
      <w:r>
        <w:rPr>
          <w:color w:val="231F1F"/>
          <w:w w:val="115"/>
        </w:rPr>
        <w:t>(reduced plasma concentration); metabolism of buspirone possibly accelerated by </w:t>
      </w:r>
      <w:r>
        <w:rPr>
          <w:rFonts w:ascii="Calibri"/>
          <w:color w:val="008356"/>
          <w:spacing w:val="4"/>
          <w:w w:val="115"/>
          <w:sz w:val="11"/>
        </w:rPr>
        <w:t>RIFAMPICIN</w:t>
      </w:r>
      <w:r>
        <w:rPr>
          <w:color w:val="231F1F"/>
          <w:spacing w:val="4"/>
          <w:w w:val="115"/>
        </w:rPr>
        <w:t>; </w:t>
      </w:r>
      <w:r>
        <w:rPr>
          <w:color w:val="231F1F"/>
          <w:w w:val="115"/>
        </w:rPr>
        <w:t>metabolism of zolpidem accelerated</w:t>
      </w:r>
      <w:r>
        <w:rPr>
          <w:color w:val="231F1F"/>
          <w:spacing w:val="-18"/>
          <w:w w:val="115"/>
        </w:rPr>
        <w:t> </w:t>
      </w:r>
      <w:r>
        <w:rPr>
          <w:color w:val="231F1F"/>
          <w:w w:val="115"/>
        </w:rPr>
        <w:t>by</w:t>
      </w:r>
      <w:r>
        <w:rPr>
          <w:color w:val="231F1F"/>
          <w:spacing w:val="-17"/>
          <w:w w:val="115"/>
        </w:rPr>
        <w:t> </w:t>
      </w:r>
      <w:r>
        <w:rPr>
          <w:rFonts w:ascii="Calibri"/>
          <w:color w:val="008356"/>
          <w:spacing w:val="4"/>
          <w:w w:val="115"/>
          <w:sz w:val="11"/>
        </w:rPr>
        <w:t>RIFAMPICIN</w:t>
      </w:r>
      <w:r>
        <w:rPr>
          <w:rFonts w:ascii="Calibri"/>
          <w:color w:val="008356"/>
          <w:spacing w:val="-9"/>
          <w:w w:val="115"/>
          <w:sz w:val="11"/>
        </w:rPr>
        <w:t> </w:t>
      </w:r>
      <w:r>
        <w:rPr>
          <w:color w:val="231F1F"/>
          <w:w w:val="115"/>
        </w:rPr>
        <w:t>(reduced</w:t>
      </w:r>
      <w:r>
        <w:rPr>
          <w:color w:val="231F1F"/>
          <w:spacing w:val="-18"/>
          <w:w w:val="115"/>
        </w:rPr>
        <w:t> </w:t>
      </w:r>
      <w:r>
        <w:rPr>
          <w:color w:val="231F1F"/>
          <w:w w:val="115"/>
        </w:rPr>
        <w:t>plasma</w:t>
      </w:r>
      <w:r>
        <w:rPr>
          <w:color w:val="231F1F"/>
          <w:spacing w:val="-18"/>
          <w:w w:val="115"/>
        </w:rPr>
        <w:t> </w:t>
      </w:r>
      <w:r>
        <w:rPr>
          <w:color w:val="231F1F"/>
          <w:w w:val="115"/>
        </w:rPr>
        <w:t>concentration</w:t>
      </w:r>
      <w:r>
        <w:rPr>
          <w:color w:val="231F1F"/>
          <w:spacing w:val="-19"/>
          <w:w w:val="115"/>
        </w:rPr>
        <w:t> </w:t>
      </w:r>
      <w:r>
        <w:rPr>
          <w:color w:val="231F1F"/>
          <w:spacing w:val="-4"/>
          <w:w w:val="115"/>
        </w:rPr>
        <w:t>and </w:t>
      </w:r>
      <w:r>
        <w:rPr>
          <w:color w:val="231F1F"/>
          <w:w w:val="115"/>
        </w:rPr>
        <w:t>reduced effect); plasma concentration of zopiclone significantly</w:t>
      </w:r>
      <w:r>
        <w:rPr>
          <w:color w:val="231F1F"/>
          <w:spacing w:val="-22"/>
          <w:w w:val="115"/>
        </w:rPr>
        <w:t> </w:t>
      </w:r>
      <w:r>
        <w:rPr>
          <w:color w:val="231F1F"/>
          <w:w w:val="115"/>
        </w:rPr>
        <w:t>reduced</w:t>
      </w:r>
      <w:r>
        <w:rPr>
          <w:color w:val="231F1F"/>
          <w:spacing w:val="-22"/>
          <w:w w:val="115"/>
        </w:rPr>
        <w:t> </w:t>
      </w:r>
      <w:r>
        <w:rPr>
          <w:color w:val="231F1F"/>
          <w:w w:val="115"/>
        </w:rPr>
        <w:t>by</w:t>
      </w:r>
      <w:r>
        <w:rPr>
          <w:color w:val="231F1F"/>
          <w:spacing w:val="-22"/>
          <w:w w:val="115"/>
        </w:rPr>
        <w:t> </w:t>
      </w:r>
      <w:r>
        <w:rPr>
          <w:rFonts w:ascii="Calibri"/>
          <w:color w:val="008356"/>
          <w:spacing w:val="4"/>
          <w:w w:val="115"/>
          <w:sz w:val="11"/>
        </w:rPr>
        <w:t>RIFAMPICIN</w:t>
      </w:r>
      <w:r>
        <w:rPr>
          <w:color w:val="231F1F"/>
          <w:spacing w:val="4"/>
          <w:w w:val="115"/>
        </w:rPr>
        <w:t>;</w:t>
      </w:r>
      <w:r>
        <w:rPr>
          <w:color w:val="231F1F"/>
          <w:spacing w:val="-23"/>
          <w:w w:val="115"/>
        </w:rPr>
        <w:t> </w:t>
      </w:r>
      <w:r>
        <w:rPr>
          <w:color w:val="231F1F"/>
          <w:w w:val="115"/>
        </w:rPr>
        <w:t>metabolism</w:t>
      </w:r>
      <w:r>
        <w:rPr>
          <w:color w:val="231F1F"/>
          <w:spacing w:val="-22"/>
          <w:w w:val="115"/>
        </w:rPr>
        <w:t> </w:t>
      </w:r>
      <w:r>
        <w:rPr>
          <w:color w:val="231F1F"/>
          <w:w w:val="115"/>
        </w:rPr>
        <w:t>of</w:t>
      </w:r>
      <w:r>
        <w:rPr>
          <w:color w:val="231F1F"/>
          <w:spacing w:val="-22"/>
          <w:w w:val="115"/>
        </w:rPr>
        <w:t> </w:t>
      </w:r>
      <w:r>
        <w:rPr>
          <w:color w:val="231F1F"/>
          <w:w w:val="115"/>
        </w:rPr>
        <w:t>diazepam inhibited by</w:t>
      </w:r>
      <w:r>
        <w:rPr>
          <w:color w:val="231F1F"/>
          <w:spacing w:val="-10"/>
          <w:w w:val="115"/>
        </w:rPr>
        <w:t> </w:t>
      </w:r>
      <w:r>
        <w:rPr>
          <w:rFonts w:ascii="Calibri"/>
          <w:color w:val="008356"/>
          <w:spacing w:val="5"/>
          <w:w w:val="115"/>
          <w:sz w:val="11"/>
        </w:rPr>
        <w:t>ISONIAZID</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chloral may transiently enhance anticoagulant effect of </w:t>
      </w:r>
      <w:r>
        <w:rPr>
          <w:rFonts w:ascii="Calibri" w:hAnsi="Calibri"/>
          <w:color w:val="008356"/>
          <w:w w:val="105"/>
          <w:sz w:val="11"/>
        </w:rPr>
        <w:t>COUMARINS</w:t>
      </w:r>
    </w:p>
    <w:p>
      <w:pPr>
        <w:spacing w:line="244" w:lineRule="auto" w:before="0"/>
        <w:ind w:left="208" w:right="64"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plasma concentration of alprazolam increased by </w:t>
      </w:r>
      <w:r>
        <w:rPr>
          <w:rFonts w:ascii="Calibri" w:hAnsi="Calibri"/>
          <w:color w:val="008356"/>
          <w:w w:val="110"/>
          <w:sz w:val="11"/>
        </w:rPr>
        <w:t>FLUOXETINE</w:t>
      </w:r>
      <w:r>
        <w:rPr>
          <w:color w:val="231F1F"/>
          <w:w w:val="110"/>
          <w:sz w:val="12"/>
        </w:rPr>
        <w:t>; plasma concentration of melatonin increased by </w:t>
      </w:r>
      <w:r>
        <w:rPr>
          <w:rFonts w:ascii="Arial" w:hAnsi="Arial"/>
          <w:color w:val="231F1F"/>
          <w:w w:val="355"/>
          <w:position w:val="1"/>
          <w:sz w:val="7"/>
        </w:rPr>
        <w:t>l </w:t>
      </w:r>
      <w:r>
        <w:rPr>
          <w:rFonts w:ascii="Calibri" w:hAnsi="Calibri"/>
          <w:color w:val="008356"/>
          <w:w w:val="110"/>
          <w:sz w:val="11"/>
        </w:rPr>
        <w:t>FLUVOXAMINE</w:t>
      </w:r>
      <w:r>
        <w:rPr>
          <w:rFonts w:ascii="Arial" w:hAnsi="Arial"/>
          <w:color w:val="231F1F"/>
          <w:w w:val="110"/>
          <w:sz w:val="12"/>
        </w:rPr>
        <w:t>—</w:t>
      </w:r>
      <w:r>
        <w:rPr>
          <w:color w:val="231F1F"/>
          <w:w w:val="110"/>
          <w:sz w:val="12"/>
        </w:rPr>
        <w:t>avoid concomitant use; plasma concentration of some benzodiazepines increased by </w:t>
      </w:r>
      <w:r>
        <w:rPr>
          <w:rFonts w:ascii="Calibri" w:hAnsi="Calibri"/>
          <w:color w:val="008356"/>
          <w:w w:val="110"/>
          <w:sz w:val="11"/>
        </w:rPr>
        <w:t>FLUVOXAMINE</w:t>
      </w:r>
      <w:r>
        <w:rPr>
          <w:color w:val="231F1F"/>
          <w:w w:val="110"/>
          <w:sz w:val="12"/>
        </w:rPr>
        <w:t>; sedative effects possibly increased when zolpidem given with </w:t>
      </w:r>
      <w:r>
        <w:rPr>
          <w:rFonts w:ascii="Calibri" w:hAnsi="Calibri"/>
          <w:color w:val="008356"/>
          <w:w w:val="110"/>
          <w:sz w:val="11"/>
        </w:rPr>
        <w:t>SERTRALINE</w:t>
      </w:r>
      <w:r>
        <w:rPr>
          <w:color w:val="231F1F"/>
          <w:w w:val="110"/>
          <w:sz w:val="12"/>
        </w:rPr>
        <w:t>; manufacturer of buspirone advises avoid concomitant use with </w:t>
      </w:r>
      <w:r>
        <w:rPr>
          <w:rFonts w:ascii="Calibri" w:hAnsi="Calibri"/>
          <w:color w:val="008356"/>
          <w:w w:val="110"/>
          <w:sz w:val="11"/>
        </w:rPr>
        <w:t>MAOI</w:t>
      </w:r>
      <w:r>
        <w:rPr>
          <w:rFonts w:ascii="Calibri" w:hAnsi="Calibri"/>
          <w:color w:val="008356"/>
          <w:w w:val="110"/>
          <w:sz w:val="9"/>
        </w:rPr>
        <w:t>S</w:t>
      </w:r>
      <w:r>
        <w:rPr>
          <w:color w:val="231F1F"/>
          <w:w w:val="110"/>
          <w:sz w:val="12"/>
        </w:rPr>
        <w:t>; avoidance of buspirone for 14 days after stopping </w:t>
      </w:r>
      <w:r>
        <w:rPr>
          <w:rFonts w:ascii="Arial" w:hAnsi="Arial"/>
          <w:color w:val="231F1F"/>
          <w:w w:val="355"/>
          <w:position w:val="1"/>
          <w:sz w:val="7"/>
        </w:rPr>
        <w:t>l </w:t>
      </w:r>
      <w:r>
        <w:rPr>
          <w:rFonts w:ascii="Calibri" w:hAnsi="Calibri"/>
          <w:color w:val="008356"/>
          <w:w w:val="110"/>
          <w:sz w:val="11"/>
        </w:rPr>
        <w:t>TRANYLCYPROMINE </w:t>
      </w:r>
      <w:r>
        <w:rPr>
          <w:color w:val="231F1F"/>
          <w:w w:val="110"/>
          <w:sz w:val="12"/>
        </w:rPr>
        <w:t>advised by manufacturer of tranylcypromine; plasma concentration of </w:t>
      </w:r>
      <w:r>
        <w:rPr>
          <w:i/>
          <w:color w:val="231F1F"/>
          <w:w w:val="110"/>
          <w:sz w:val="12"/>
        </w:rPr>
        <w:t>oral </w:t>
      </w:r>
      <w:r>
        <w:rPr>
          <w:color w:val="231F1F"/>
          <w:w w:val="110"/>
          <w:sz w:val="12"/>
        </w:rPr>
        <w:t>midazolam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color w:val="231F1F"/>
          <w:w w:val="110"/>
          <w:sz w:val="12"/>
        </w:rPr>
        <w:t>; increased sedative effect when anxiolytics and hypnotics given with </w:t>
      </w:r>
      <w:r>
        <w:rPr>
          <w:rFonts w:ascii="Calibri" w:hAnsi="Calibri"/>
          <w:color w:val="008356"/>
          <w:w w:val="110"/>
          <w:sz w:val="11"/>
        </w:rPr>
        <w:t>MIRTAZAPINE</w:t>
      </w:r>
      <w:r>
        <w:rPr>
          <w:color w:val="231F1F"/>
          <w:w w:val="110"/>
          <w:sz w:val="12"/>
        </w:rPr>
        <w:t>, </w:t>
      </w:r>
      <w:r>
        <w:rPr>
          <w:rFonts w:ascii="Calibri" w:hAnsi="Calibri"/>
          <w:color w:val="008356"/>
          <w:w w:val="110"/>
          <w:sz w:val="11"/>
        </w:rPr>
        <w:t>TRICYCLIC-RELATED ANTIDEPRESSANTS </w:t>
      </w:r>
      <w:r>
        <w:rPr>
          <w:color w:val="231F1F"/>
          <w:w w:val="110"/>
          <w:sz w:val="12"/>
        </w:rPr>
        <w:t>or </w:t>
      </w:r>
      <w:r>
        <w:rPr>
          <w:rFonts w:ascii="Calibri" w:hAnsi="Calibri"/>
          <w:color w:val="008356"/>
          <w:w w:val="110"/>
          <w:sz w:val="11"/>
        </w:rPr>
        <w:t>TRICYCLICS</w:t>
      </w:r>
    </w:p>
    <w:p>
      <w:pPr>
        <w:pStyle w:val="BodyText"/>
        <w:spacing w:line="140" w:lineRule="exact"/>
        <w:ind w:left="108"/>
      </w:pPr>
      <w:r>
        <w:rPr>
          <w:rFonts w:ascii="Lucida Sans Unicode" w:hAnsi="Lucida Sans Unicode"/>
          <w:color w:val="A7A8AC"/>
          <w:w w:val="95"/>
          <w:sz w:val="10"/>
        </w:rPr>
        <w:t>▶</w:t>
      </w:r>
      <w:r>
        <w:rPr>
          <w:rFonts w:ascii="Lucida Sans Unicode" w:hAnsi="Lucida Sans Unicode"/>
          <w:color w:val="A7A8AC"/>
          <w:spacing w:val="6"/>
          <w:w w:val="95"/>
          <w:sz w:val="10"/>
        </w:rPr>
        <w:t> </w:t>
      </w:r>
      <w:r>
        <w:rPr>
          <w:rFonts w:ascii="Calibri" w:hAnsi="Calibri"/>
          <w:color w:val="231F1F"/>
          <w:w w:val="105"/>
        </w:rPr>
        <w:t>Antiepileptics:  </w:t>
      </w:r>
      <w:r>
        <w:rPr>
          <w:color w:val="231F1F"/>
          <w:w w:val="105"/>
        </w:rPr>
        <w:t>plasma  concentration  of  midazolam reduced  by</w:t>
      </w:r>
    </w:p>
    <w:p>
      <w:pPr>
        <w:spacing w:line="244" w:lineRule="auto" w:before="0"/>
        <w:ind w:left="208" w:right="43" w:firstLine="0"/>
        <w:jc w:val="left"/>
        <w:rPr>
          <w:rFonts w:ascii="Calibri"/>
          <w:sz w:val="11"/>
        </w:rPr>
      </w:pPr>
      <w:r>
        <w:rPr>
          <w:rFonts w:ascii="Calibri"/>
          <w:color w:val="008356"/>
          <w:spacing w:val="4"/>
          <w:w w:val="110"/>
          <w:sz w:val="11"/>
        </w:rPr>
        <w:t>CARBAMAZEPINE </w:t>
      </w:r>
      <w:r>
        <w:rPr>
          <w:color w:val="231F1F"/>
          <w:w w:val="110"/>
          <w:sz w:val="12"/>
        </w:rPr>
        <w:t>and </w:t>
      </w:r>
      <w:r>
        <w:rPr>
          <w:rFonts w:ascii="Calibri"/>
          <w:color w:val="008356"/>
          <w:spacing w:val="4"/>
          <w:w w:val="110"/>
          <w:sz w:val="11"/>
        </w:rPr>
        <w:t>PERAMPANEL</w:t>
      </w:r>
      <w:r>
        <w:rPr>
          <w:color w:val="231F1F"/>
          <w:spacing w:val="4"/>
          <w:w w:val="110"/>
          <w:sz w:val="12"/>
        </w:rPr>
        <w:t>; </w:t>
      </w:r>
      <w:r>
        <w:rPr>
          <w:color w:val="231F1F"/>
          <w:w w:val="110"/>
          <w:sz w:val="12"/>
        </w:rPr>
        <w:t>plasma concentration of clonazepam</w:t>
      </w:r>
      <w:r>
        <w:rPr>
          <w:color w:val="231F1F"/>
          <w:spacing w:val="-18"/>
          <w:w w:val="110"/>
          <w:sz w:val="12"/>
        </w:rPr>
        <w:t> </w:t>
      </w:r>
      <w:r>
        <w:rPr>
          <w:color w:val="231F1F"/>
          <w:w w:val="110"/>
          <w:sz w:val="12"/>
        </w:rPr>
        <w:t>often</w:t>
      </w:r>
      <w:r>
        <w:rPr>
          <w:color w:val="231F1F"/>
          <w:spacing w:val="-18"/>
          <w:w w:val="110"/>
          <w:sz w:val="12"/>
        </w:rPr>
        <w:t> </w:t>
      </w:r>
      <w:r>
        <w:rPr>
          <w:color w:val="231F1F"/>
          <w:w w:val="110"/>
          <w:sz w:val="12"/>
        </w:rPr>
        <w:t>reduced</w:t>
      </w:r>
      <w:r>
        <w:rPr>
          <w:color w:val="231F1F"/>
          <w:spacing w:val="-18"/>
          <w:w w:val="110"/>
          <w:sz w:val="12"/>
        </w:rPr>
        <w:t> </w:t>
      </w:r>
      <w:r>
        <w:rPr>
          <w:color w:val="231F1F"/>
          <w:w w:val="110"/>
          <w:sz w:val="12"/>
        </w:rPr>
        <w:t>by</w:t>
      </w:r>
      <w:r>
        <w:rPr>
          <w:color w:val="231F1F"/>
          <w:spacing w:val="-17"/>
          <w:w w:val="110"/>
          <w:sz w:val="12"/>
        </w:rPr>
        <w:t> </w:t>
      </w:r>
      <w:r>
        <w:rPr>
          <w:rFonts w:ascii="Calibri"/>
          <w:color w:val="008356"/>
          <w:spacing w:val="4"/>
          <w:w w:val="110"/>
          <w:sz w:val="11"/>
        </w:rPr>
        <w:t>CARBAMAZEPINE</w:t>
      </w:r>
      <w:r>
        <w:rPr>
          <w:color w:val="231F1F"/>
          <w:spacing w:val="4"/>
          <w:w w:val="110"/>
          <w:sz w:val="12"/>
        </w:rPr>
        <w:t>,</w:t>
      </w:r>
      <w:r>
        <w:rPr>
          <w:color w:val="231F1F"/>
          <w:spacing w:val="-17"/>
          <w:w w:val="110"/>
          <w:sz w:val="12"/>
        </w:rPr>
        <w:t> </w:t>
      </w:r>
      <w:r>
        <w:rPr>
          <w:rFonts w:ascii="Calibri"/>
          <w:color w:val="008356"/>
          <w:spacing w:val="4"/>
          <w:w w:val="110"/>
          <w:sz w:val="11"/>
        </w:rPr>
        <w:t>FOSPHENYTOIN</w:t>
      </w:r>
      <w:r>
        <w:rPr>
          <w:color w:val="231F1F"/>
          <w:spacing w:val="4"/>
          <w:w w:val="110"/>
          <w:sz w:val="12"/>
        </w:rPr>
        <w:t>, </w:t>
      </w:r>
      <w:r>
        <w:rPr>
          <w:rFonts w:ascii="Calibri"/>
          <w:color w:val="008356"/>
          <w:spacing w:val="4"/>
          <w:w w:val="110"/>
          <w:sz w:val="11"/>
        </w:rPr>
        <w:t>PHENOBARBITAL</w:t>
      </w:r>
      <w:r>
        <w:rPr>
          <w:color w:val="231F1F"/>
          <w:spacing w:val="4"/>
          <w:w w:val="110"/>
          <w:sz w:val="12"/>
        </w:rPr>
        <w:t>,</w:t>
      </w:r>
      <w:r>
        <w:rPr>
          <w:color w:val="231F1F"/>
          <w:spacing w:val="-22"/>
          <w:w w:val="110"/>
          <w:sz w:val="12"/>
        </w:rPr>
        <w:t> </w:t>
      </w:r>
      <w:r>
        <w:rPr>
          <w:rFonts w:ascii="Calibri"/>
          <w:color w:val="008356"/>
          <w:spacing w:val="4"/>
          <w:w w:val="110"/>
          <w:sz w:val="11"/>
        </w:rPr>
        <w:t>PHENYTOIN</w:t>
      </w:r>
      <w:r>
        <w:rPr>
          <w:rFonts w:ascii="Calibri"/>
          <w:color w:val="008356"/>
          <w:spacing w:val="-13"/>
          <w:w w:val="110"/>
          <w:sz w:val="11"/>
        </w:rPr>
        <w:t> </w:t>
      </w:r>
      <w:r>
        <w:rPr>
          <w:color w:val="231F1F"/>
          <w:w w:val="110"/>
          <w:sz w:val="12"/>
        </w:rPr>
        <w:t>and</w:t>
      </w:r>
      <w:r>
        <w:rPr>
          <w:color w:val="231F1F"/>
          <w:spacing w:val="-22"/>
          <w:w w:val="110"/>
          <w:sz w:val="12"/>
        </w:rPr>
        <w:t> </w:t>
      </w:r>
      <w:r>
        <w:rPr>
          <w:rFonts w:ascii="Calibri"/>
          <w:color w:val="008356"/>
          <w:spacing w:val="4"/>
          <w:w w:val="110"/>
          <w:sz w:val="11"/>
        </w:rPr>
        <w:t>PRIMIDONE</w:t>
      </w:r>
      <w:r>
        <w:rPr>
          <w:color w:val="231F1F"/>
          <w:spacing w:val="4"/>
          <w:w w:val="110"/>
          <w:sz w:val="12"/>
        </w:rPr>
        <w:t>;</w:t>
      </w:r>
      <w:r>
        <w:rPr>
          <w:color w:val="231F1F"/>
          <w:spacing w:val="-21"/>
          <w:w w:val="110"/>
          <w:sz w:val="12"/>
        </w:rPr>
        <w:t> </w:t>
      </w:r>
      <w:r>
        <w:rPr>
          <w:color w:val="231F1F"/>
          <w:w w:val="110"/>
          <w:sz w:val="12"/>
        </w:rPr>
        <w:t>benzodiazepines possibly increase or decrease plasma concentration of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diazepam increases or decreases plasma concentration of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increased sedative effect when anxiolytics and hypnotics</w:t>
      </w:r>
      <w:r>
        <w:rPr>
          <w:color w:val="231F1F"/>
          <w:spacing w:val="-15"/>
          <w:w w:val="110"/>
          <w:sz w:val="12"/>
        </w:rPr>
        <w:t> </w:t>
      </w:r>
      <w:r>
        <w:rPr>
          <w:color w:val="231F1F"/>
          <w:w w:val="110"/>
          <w:sz w:val="12"/>
        </w:rPr>
        <w:t>given</w:t>
      </w:r>
      <w:r>
        <w:rPr>
          <w:color w:val="231F1F"/>
          <w:spacing w:val="-14"/>
          <w:w w:val="110"/>
          <w:sz w:val="12"/>
        </w:rPr>
        <w:t> </w:t>
      </w:r>
      <w:r>
        <w:rPr>
          <w:color w:val="231F1F"/>
          <w:w w:val="110"/>
          <w:sz w:val="12"/>
        </w:rPr>
        <w:t>with</w:t>
      </w:r>
      <w:r>
        <w:rPr>
          <w:color w:val="231F1F"/>
          <w:spacing w:val="-14"/>
          <w:w w:val="110"/>
          <w:sz w:val="12"/>
        </w:rPr>
        <w:t> </w:t>
      </w:r>
      <w:r>
        <w:rPr>
          <w:rFonts w:ascii="Calibri"/>
          <w:color w:val="008356"/>
          <w:spacing w:val="4"/>
          <w:w w:val="110"/>
          <w:sz w:val="11"/>
        </w:rPr>
        <w:t>PHENOBARBITAL</w:t>
      </w:r>
      <w:r>
        <w:rPr>
          <w:rFonts w:ascii="Calibri"/>
          <w:color w:val="008356"/>
          <w:spacing w:val="-4"/>
          <w:w w:val="110"/>
          <w:sz w:val="11"/>
        </w:rPr>
        <w:t> </w:t>
      </w:r>
      <w:r>
        <w:rPr>
          <w:color w:val="231F1F"/>
          <w:w w:val="110"/>
          <w:sz w:val="12"/>
        </w:rPr>
        <w:t>or</w:t>
      </w:r>
      <w:r>
        <w:rPr>
          <w:color w:val="231F1F"/>
          <w:spacing w:val="-14"/>
          <w:w w:val="110"/>
          <w:sz w:val="12"/>
        </w:rPr>
        <w:t> </w:t>
      </w:r>
      <w:r>
        <w:rPr>
          <w:rFonts w:ascii="Calibri"/>
          <w:color w:val="008356"/>
          <w:spacing w:val="4"/>
          <w:w w:val="110"/>
          <w:sz w:val="11"/>
        </w:rPr>
        <w:t>PRIMIDONE</w:t>
      </w:r>
      <w:r>
        <w:rPr>
          <w:color w:val="231F1F"/>
          <w:spacing w:val="4"/>
          <w:w w:val="110"/>
          <w:sz w:val="12"/>
        </w:rPr>
        <w:t>;</w:t>
      </w:r>
      <w:r>
        <w:rPr>
          <w:color w:val="231F1F"/>
          <w:spacing w:val="-13"/>
          <w:w w:val="110"/>
          <w:sz w:val="12"/>
        </w:rPr>
        <w:t> </w:t>
      </w:r>
      <w:r>
        <w:rPr>
          <w:color w:val="231F1F"/>
          <w:w w:val="110"/>
          <w:sz w:val="12"/>
        </w:rPr>
        <w:t>clobazam possibly increases plasma concentration of</w:t>
      </w:r>
      <w:r>
        <w:rPr>
          <w:color w:val="231F1F"/>
          <w:spacing w:val="-23"/>
          <w:w w:val="110"/>
          <w:sz w:val="12"/>
        </w:rPr>
        <w:t> </w:t>
      </w:r>
      <w:r>
        <w:rPr>
          <w:rFonts w:ascii="Calibri"/>
          <w:color w:val="008356"/>
          <w:spacing w:val="4"/>
          <w:w w:val="110"/>
          <w:sz w:val="11"/>
        </w:rPr>
        <w:t>SODIUM </w:t>
      </w:r>
      <w:r>
        <w:rPr>
          <w:rFonts w:ascii="Calibri"/>
          <w:color w:val="008356"/>
          <w:w w:val="110"/>
          <w:sz w:val="11"/>
        </w:rPr>
        <w:t>VALPROATE </w:t>
      </w:r>
      <w:r>
        <w:rPr>
          <w:color w:val="231F1F"/>
          <w:w w:val="110"/>
          <w:sz w:val="12"/>
        </w:rPr>
        <w:t>and </w:t>
      </w:r>
      <w:r>
        <w:rPr>
          <w:rFonts w:ascii="Calibri"/>
          <w:color w:val="008356"/>
          <w:spacing w:val="3"/>
          <w:w w:val="110"/>
          <w:sz w:val="11"/>
        </w:rPr>
        <w:t>VALPROIC ACID</w:t>
      </w:r>
      <w:r>
        <w:rPr>
          <w:color w:val="231F1F"/>
          <w:spacing w:val="3"/>
          <w:w w:val="110"/>
          <w:sz w:val="12"/>
        </w:rPr>
        <w:t>; </w:t>
      </w:r>
      <w:r>
        <w:rPr>
          <w:color w:val="231F1F"/>
          <w:w w:val="110"/>
          <w:sz w:val="12"/>
        </w:rPr>
        <w:t>plasma concentration of diazepam and lorazepam possibly increased by </w:t>
      </w:r>
      <w:r>
        <w:rPr>
          <w:rFonts w:ascii="Calibri"/>
          <w:color w:val="008356"/>
          <w:spacing w:val="4"/>
          <w:w w:val="110"/>
          <w:sz w:val="11"/>
        </w:rPr>
        <w:t>SODIUM </w:t>
      </w:r>
      <w:r>
        <w:rPr>
          <w:rFonts w:ascii="Calibri"/>
          <w:color w:val="008356"/>
          <w:spacing w:val="3"/>
          <w:w w:val="110"/>
          <w:sz w:val="11"/>
        </w:rPr>
        <w:t>VALPROATE</w:t>
      </w:r>
      <w:r>
        <w:rPr>
          <w:color w:val="231F1F"/>
          <w:spacing w:val="3"/>
          <w:w w:val="110"/>
          <w:sz w:val="12"/>
        </w:rPr>
        <w:t>; </w:t>
      </w:r>
      <w:r>
        <w:rPr>
          <w:color w:val="231F1F"/>
          <w:w w:val="110"/>
          <w:sz w:val="12"/>
        </w:rPr>
        <w:t>increased risk of side-effects when clonazepam given with </w:t>
      </w:r>
      <w:r>
        <w:rPr>
          <w:rFonts w:ascii="Calibri"/>
          <w:color w:val="008356"/>
          <w:spacing w:val="4"/>
          <w:w w:val="110"/>
          <w:sz w:val="11"/>
        </w:rPr>
        <w:t>SODIUM</w:t>
      </w:r>
      <w:r>
        <w:rPr>
          <w:rFonts w:ascii="Calibri"/>
          <w:color w:val="008356"/>
          <w:spacing w:val="-8"/>
          <w:w w:val="110"/>
          <w:sz w:val="11"/>
        </w:rPr>
        <w:t> </w:t>
      </w:r>
      <w:r>
        <w:rPr>
          <w:rFonts w:ascii="Calibri"/>
          <w:color w:val="008356"/>
          <w:spacing w:val="3"/>
          <w:w w:val="110"/>
          <w:sz w:val="11"/>
        </w:rPr>
        <w:t>VALPROATE</w:t>
      </w:r>
      <w:r>
        <w:rPr>
          <w:rFonts w:ascii="Calibri"/>
          <w:color w:val="008356"/>
          <w:spacing w:val="-4"/>
          <w:w w:val="110"/>
          <w:sz w:val="11"/>
        </w:rPr>
        <w:t> </w:t>
      </w:r>
      <w:r>
        <w:rPr>
          <w:color w:val="231F1F"/>
          <w:w w:val="110"/>
          <w:sz w:val="12"/>
        </w:rPr>
        <w:t>or</w:t>
      </w:r>
      <w:r>
        <w:rPr>
          <w:color w:val="231F1F"/>
          <w:spacing w:val="-14"/>
          <w:w w:val="110"/>
          <w:sz w:val="12"/>
        </w:rPr>
        <w:t> </w:t>
      </w:r>
      <w:r>
        <w:rPr>
          <w:rFonts w:ascii="Calibri"/>
          <w:color w:val="008356"/>
          <w:spacing w:val="3"/>
          <w:w w:val="110"/>
          <w:sz w:val="11"/>
        </w:rPr>
        <w:t>VALPROIC</w:t>
      </w:r>
      <w:r>
        <w:rPr>
          <w:rFonts w:ascii="Calibri"/>
          <w:color w:val="008356"/>
          <w:spacing w:val="-7"/>
          <w:w w:val="110"/>
          <w:sz w:val="11"/>
        </w:rPr>
        <w:t> </w:t>
      </w:r>
      <w:r>
        <w:rPr>
          <w:rFonts w:ascii="Calibri"/>
          <w:color w:val="008356"/>
          <w:spacing w:val="3"/>
          <w:w w:val="110"/>
          <w:sz w:val="11"/>
        </w:rPr>
        <w:t>ACID</w:t>
      </w:r>
      <w:r>
        <w:rPr>
          <w:color w:val="231F1F"/>
          <w:spacing w:val="3"/>
          <w:w w:val="110"/>
          <w:sz w:val="12"/>
        </w:rPr>
        <w:t>;</w:t>
      </w:r>
      <w:r>
        <w:rPr>
          <w:color w:val="231F1F"/>
          <w:spacing w:val="-14"/>
          <w:w w:val="110"/>
          <w:sz w:val="12"/>
        </w:rPr>
        <w:t> </w:t>
      </w:r>
      <w:r>
        <w:rPr>
          <w:color w:val="231F1F"/>
          <w:w w:val="110"/>
          <w:sz w:val="12"/>
        </w:rPr>
        <w:t>plasma</w:t>
      </w:r>
      <w:r>
        <w:rPr>
          <w:color w:val="231F1F"/>
          <w:spacing w:val="-14"/>
          <w:w w:val="110"/>
          <w:sz w:val="12"/>
        </w:rPr>
        <w:t> </w:t>
      </w:r>
      <w:r>
        <w:rPr>
          <w:color w:val="231F1F"/>
          <w:w w:val="110"/>
          <w:sz w:val="12"/>
        </w:rPr>
        <w:t>concentration</w:t>
      </w:r>
      <w:r>
        <w:rPr>
          <w:color w:val="231F1F"/>
          <w:spacing w:val="-14"/>
          <w:w w:val="110"/>
          <w:sz w:val="12"/>
        </w:rPr>
        <w:t> </w:t>
      </w:r>
      <w:r>
        <w:rPr>
          <w:color w:val="231F1F"/>
          <w:w w:val="110"/>
          <w:sz w:val="12"/>
        </w:rPr>
        <w:t>of clobazam increased by </w:t>
      </w:r>
      <w:r>
        <w:rPr>
          <w:rFonts w:ascii="Calibri"/>
          <w:color w:val="008356"/>
          <w:spacing w:val="4"/>
          <w:w w:val="110"/>
          <w:sz w:val="11"/>
        </w:rPr>
        <w:t>STIRIPENTOL</w:t>
      </w:r>
      <w:r>
        <w:rPr>
          <w:color w:val="231F1F"/>
          <w:spacing w:val="4"/>
          <w:w w:val="110"/>
          <w:sz w:val="12"/>
        </w:rPr>
        <w:t>; </w:t>
      </w:r>
      <w:r>
        <w:rPr>
          <w:color w:val="231F1F"/>
          <w:w w:val="110"/>
          <w:sz w:val="12"/>
        </w:rPr>
        <w:t>plasma concentration of diazepam and lorazepam possibly increased by </w:t>
      </w:r>
      <w:r>
        <w:rPr>
          <w:rFonts w:ascii="Calibri"/>
          <w:color w:val="008356"/>
          <w:spacing w:val="3"/>
          <w:w w:val="110"/>
          <w:sz w:val="11"/>
        </w:rPr>
        <w:t>VALPROIC</w:t>
      </w:r>
      <w:r>
        <w:rPr>
          <w:rFonts w:ascii="Calibri"/>
          <w:color w:val="008356"/>
          <w:spacing w:val="-3"/>
          <w:w w:val="110"/>
          <w:sz w:val="11"/>
        </w:rPr>
        <w:t> </w:t>
      </w:r>
      <w:r>
        <w:rPr>
          <w:rFonts w:ascii="Calibri"/>
          <w:color w:val="008356"/>
          <w:spacing w:val="4"/>
          <w:w w:val="110"/>
          <w:sz w:val="11"/>
        </w:rPr>
        <w:t>ACID</w:t>
      </w:r>
    </w:p>
    <w:p>
      <w:pPr>
        <w:pStyle w:val="BodyText"/>
        <w:spacing w:line="136" w:lineRule="exact"/>
        <w:ind w:left="108"/>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Antifungals:</w:t>
      </w:r>
      <w:r>
        <w:rPr>
          <w:rFonts w:ascii="Calibri"/>
          <w:color w:val="231F1F"/>
          <w:spacing w:val="-11"/>
          <w:w w:val="115"/>
        </w:rPr>
        <w:t> </w:t>
      </w:r>
      <w:r>
        <w:rPr>
          <w:color w:val="231F1F"/>
          <w:w w:val="115"/>
        </w:rPr>
        <w:t>plasma</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color w:val="231F1F"/>
          <w:w w:val="115"/>
        </w:rPr>
        <w:t>alprazolam</w:t>
      </w:r>
      <w:r>
        <w:rPr>
          <w:color w:val="231F1F"/>
          <w:spacing w:val="-15"/>
          <w:w w:val="115"/>
        </w:rPr>
        <w:t> </w:t>
      </w:r>
      <w:r>
        <w:rPr>
          <w:color w:val="231F1F"/>
          <w:w w:val="115"/>
        </w:rPr>
        <w:t>increased</w:t>
      </w:r>
      <w:r>
        <w:rPr>
          <w:color w:val="231F1F"/>
          <w:spacing w:val="-16"/>
          <w:w w:val="115"/>
        </w:rPr>
        <w:t> </w:t>
      </w:r>
      <w:r>
        <w:rPr>
          <w:color w:val="231F1F"/>
          <w:w w:val="115"/>
        </w:rPr>
        <w:t>by</w:t>
      </w:r>
    </w:p>
    <w:p>
      <w:pPr>
        <w:pStyle w:val="BodyText"/>
        <w:spacing w:line="244" w:lineRule="auto"/>
        <w:ind w:right="30"/>
      </w:pPr>
      <w:r>
        <w:rPr>
          <w:rFonts w:ascii="Arial" w:hAnsi="Arial"/>
          <w:color w:val="231F1F"/>
          <w:w w:val="110"/>
          <w:position w:val="1"/>
          <w:sz w:val="7"/>
        </w:rPr>
        <w:t>l </w:t>
      </w:r>
      <w:r>
        <w:rPr>
          <w:rFonts w:ascii="Calibri" w:hAnsi="Calibri"/>
          <w:color w:val="008356"/>
          <w:spacing w:val="2"/>
          <w:w w:val="110"/>
          <w:sz w:val="11"/>
        </w:rPr>
        <w:t>KETOCONAZOLE</w:t>
      </w:r>
      <w:r>
        <w:rPr>
          <w:rFonts w:ascii="Arial" w:hAnsi="Arial"/>
          <w:color w:val="231F1F"/>
          <w:spacing w:val="2"/>
          <w:w w:val="110"/>
        </w:rPr>
        <w:t>—</w:t>
      </w:r>
      <w:r>
        <w:rPr>
          <w:color w:val="231F1F"/>
          <w:spacing w:val="2"/>
          <w:w w:val="110"/>
        </w:rPr>
        <w:t>manufacturer </w:t>
      </w:r>
      <w:r>
        <w:rPr>
          <w:color w:val="231F1F"/>
          <w:w w:val="110"/>
        </w:rPr>
        <w:t>of ketoconazole advises </w:t>
      </w:r>
      <w:r>
        <w:rPr>
          <w:color w:val="231F1F"/>
          <w:spacing w:val="-3"/>
          <w:w w:val="110"/>
        </w:rPr>
        <w:t>avoid </w:t>
      </w:r>
      <w:r>
        <w:rPr>
          <w:color w:val="231F1F"/>
          <w:w w:val="115"/>
        </w:rPr>
        <w:t>concomitant use; plasma concentration of midazolam increased by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KETOCONAZOLE </w:t>
      </w:r>
      <w:r>
        <w:rPr>
          <w:color w:val="231F1F"/>
          <w:w w:val="115"/>
        </w:rPr>
        <w:t>(risk of prolonged sedation</w:t>
      </w:r>
      <w:r>
        <w:rPr>
          <w:rFonts w:ascii="Arial" w:hAnsi="Arial"/>
          <w:color w:val="231F1F"/>
          <w:w w:val="115"/>
        </w:rPr>
        <w:t>— </w:t>
      </w:r>
      <w:r>
        <w:rPr>
          <w:color w:val="231F1F"/>
          <w:w w:val="115"/>
        </w:rPr>
        <w:t>avoid concomitant use of </w:t>
      </w:r>
      <w:r>
        <w:rPr>
          <w:i/>
          <w:color w:val="231F1F"/>
          <w:w w:val="115"/>
        </w:rPr>
        <w:t>oral </w:t>
      </w:r>
      <w:r>
        <w:rPr>
          <w:color w:val="231F1F"/>
          <w:w w:val="115"/>
        </w:rPr>
        <w:t>midazolam); plasma concentration of zolpidem increased by </w:t>
      </w:r>
      <w:r>
        <w:rPr>
          <w:rFonts w:ascii="Calibri" w:hAnsi="Calibri"/>
          <w:color w:val="008356"/>
          <w:spacing w:val="4"/>
          <w:w w:val="115"/>
          <w:sz w:val="11"/>
        </w:rPr>
        <w:t>KETOCONAZOLE</w:t>
      </w:r>
      <w:r>
        <w:rPr>
          <w:color w:val="231F1F"/>
          <w:spacing w:val="4"/>
          <w:w w:val="115"/>
        </w:rPr>
        <w:t>; </w:t>
      </w:r>
      <w:r>
        <w:rPr>
          <w:color w:val="231F1F"/>
          <w:w w:val="115"/>
        </w:rPr>
        <w:t>plasma concentration of diazepam and midazolam increased by </w:t>
      </w:r>
      <w:r>
        <w:rPr>
          <w:rFonts w:ascii="Arial" w:hAnsi="Arial"/>
          <w:color w:val="231F1F"/>
          <w:w w:val="355"/>
          <w:position w:val="1"/>
          <w:sz w:val="7"/>
        </w:rPr>
        <w:t>l </w:t>
      </w:r>
      <w:r>
        <w:rPr>
          <w:rFonts w:ascii="Calibri" w:hAnsi="Calibri"/>
          <w:color w:val="008356"/>
          <w:spacing w:val="4"/>
          <w:w w:val="115"/>
          <w:sz w:val="11"/>
        </w:rPr>
        <w:t>FLUCONAZOLE </w:t>
      </w:r>
      <w:r>
        <w:rPr>
          <w:color w:val="231F1F"/>
          <w:w w:val="115"/>
        </w:rPr>
        <w:t>(risk of prolonged sedation); plasma concentration of alprazolam increased by </w:t>
      </w:r>
      <w:r>
        <w:rPr>
          <w:rFonts w:ascii="Calibri" w:hAnsi="Calibri"/>
          <w:color w:val="008356"/>
          <w:spacing w:val="4"/>
          <w:w w:val="115"/>
          <w:sz w:val="11"/>
        </w:rPr>
        <w:t>ITRACONAZOLE</w:t>
      </w:r>
      <w:r>
        <w:rPr>
          <w:color w:val="231F1F"/>
          <w:spacing w:val="4"/>
          <w:w w:val="115"/>
        </w:rPr>
        <w:t>; </w:t>
      </w:r>
      <w:r>
        <w:rPr>
          <w:color w:val="231F1F"/>
          <w:w w:val="115"/>
        </w:rPr>
        <w:t>plasma concentration of midazolam increased by</w:t>
      </w:r>
    </w:p>
    <w:p>
      <w:pPr>
        <w:spacing w:before="0"/>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ITRACONAZOLE</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POSACONAZOLE</w:t>
      </w:r>
      <w:r>
        <w:rPr>
          <w:rFonts w:ascii="Calibri"/>
          <w:color w:val="008356"/>
          <w:spacing w:val="-12"/>
          <w:w w:val="110"/>
          <w:sz w:val="11"/>
        </w:rPr>
        <w:t> </w:t>
      </w:r>
      <w:r>
        <w:rPr>
          <w:color w:val="231F1F"/>
          <w:w w:val="110"/>
          <w:sz w:val="12"/>
        </w:rPr>
        <w:t>and</w:t>
      </w:r>
      <w:r>
        <w:rPr>
          <w:color w:val="231F1F"/>
          <w:spacing w:val="-21"/>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VORICONAZOLE</w:t>
      </w:r>
      <w:r>
        <w:rPr>
          <w:rFonts w:ascii="Calibri"/>
          <w:color w:val="008356"/>
          <w:spacing w:val="-12"/>
          <w:w w:val="110"/>
          <w:sz w:val="11"/>
        </w:rPr>
        <w:t> </w:t>
      </w:r>
      <w:r>
        <w:rPr>
          <w:color w:val="231F1F"/>
          <w:w w:val="110"/>
          <w:sz w:val="12"/>
        </w:rPr>
        <w:t>(risk</w:t>
      </w:r>
      <w:r>
        <w:rPr>
          <w:color w:val="231F1F"/>
          <w:spacing w:val="-21"/>
          <w:w w:val="110"/>
          <w:sz w:val="12"/>
        </w:rPr>
        <w:t> </w:t>
      </w:r>
      <w:r>
        <w:rPr>
          <w:color w:val="231F1F"/>
          <w:w w:val="110"/>
          <w:sz w:val="12"/>
        </w:rPr>
        <w:t>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Anxiolytics and Hypnotics</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2176" filled="true" fillcolor="#bfdbcf" stroked="false">
            <v:fill type="solid"/>
            <w10:wrap type="none"/>
          </v:rect>
        </w:pict>
      </w:r>
      <w:r>
        <w:rPr/>
        <w:pict>
          <v:shape style="position:absolute;margin-left:399.725769pt;margin-top:-3.416702pt;width:10.4pt;height:78.850pt;mso-position-horizontal-relative:page;mso-position-vertical-relative:paragraph;z-index:220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Antifungals (continued)</w:t>
      </w:r>
    </w:p>
    <w:p>
      <w:pPr>
        <w:pStyle w:val="BodyText"/>
        <w:spacing w:line="247" w:lineRule="auto"/>
        <w:ind w:right="762"/>
      </w:pPr>
      <w:r>
        <w:rPr>
          <w:color w:val="231F1F"/>
          <w:w w:val="110"/>
        </w:rPr>
        <w:t>prolonged sedation); plasma concentration of buspirone increased by </w:t>
      </w:r>
      <w:r>
        <w:rPr>
          <w:rFonts w:ascii="Calibri"/>
          <w:color w:val="008356"/>
          <w:w w:val="110"/>
          <w:sz w:val="11"/>
        </w:rPr>
        <w:t>ITRACONAZOLE </w:t>
      </w:r>
      <w:r>
        <w:rPr>
          <w:color w:val="231F1F"/>
          <w:w w:val="110"/>
        </w:rPr>
        <w:t>(reduce dose of buspirone); plasma concentration of diazepam increased 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10"/>
          <w:sz w:val="11"/>
        </w:rPr>
        <w:t>VORICONAZOLE </w:t>
      </w:r>
      <w:r>
        <w:rPr>
          <w:color w:val="231F1F"/>
          <w:w w:val="110"/>
          <w:sz w:val="12"/>
        </w:rPr>
        <w:t>(risk of prolonged sedation)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Antihistamines: </w:t>
      </w:r>
      <w:r>
        <w:rPr>
          <w:color w:val="231F1F"/>
          <w:w w:val="105"/>
        </w:rPr>
        <w:t>increased sedative effect when anxiolytics and hypnotics given with </w:t>
      </w:r>
      <w:r>
        <w:rPr>
          <w:rFonts w:ascii="Calibri" w:hAnsi="Calibri"/>
          <w:color w:val="008356"/>
          <w:w w:val="105"/>
          <w:sz w:val="11"/>
        </w:rPr>
        <w:t>ANTIHISTAMINES</w:t>
      </w:r>
    </w:p>
    <w:p>
      <w:pPr>
        <w:pStyle w:val="BodyText"/>
        <w:spacing w:line="244" w:lineRule="auto"/>
        <w:ind w:right="715"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increased sedative effect when anxiolytics</w:t>
      </w:r>
      <w:r>
        <w:rPr>
          <w:color w:val="231F1F"/>
          <w:spacing w:val="-23"/>
          <w:w w:val="110"/>
        </w:rPr>
        <w:t> </w:t>
      </w:r>
      <w:r>
        <w:rPr>
          <w:color w:val="231F1F"/>
          <w:w w:val="110"/>
        </w:rPr>
        <w:t>and hypnotics given with </w:t>
      </w:r>
      <w:r>
        <w:rPr>
          <w:rFonts w:ascii="Calibri"/>
          <w:color w:val="008356"/>
          <w:spacing w:val="4"/>
          <w:w w:val="110"/>
          <w:sz w:val="11"/>
        </w:rPr>
        <w:t>ANTIPSYCHOTICS</w:t>
      </w:r>
      <w:r>
        <w:rPr>
          <w:color w:val="231F1F"/>
          <w:spacing w:val="4"/>
          <w:w w:val="110"/>
        </w:rPr>
        <w:t>; </w:t>
      </w:r>
      <w:r>
        <w:rPr>
          <w:color w:val="231F1F"/>
          <w:w w:val="110"/>
        </w:rPr>
        <w:t>alprazolam possibly increases plasma concentration of </w:t>
      </w:r>
      <w:r>
        <w:rPr>
          <w:rFonts w:ascii="Calibri"/>
          <w:color w:val="008356"/>
          <w:spacing w:val="4"/>
          <w:w w:val="110"/>
          <w:sz w:val="11"/>
        </w:rPr>
        <w:t>HALOPERIDOL</w:t>
      </w:r>
      <w:r>
        <w:rPr>
          <w:color w:val="231F1F"/>
          <w:spacing w:val="4"/>
          <w:w w:val="110"/>
        </w:rPr>
        <w:t>; </w:t>
      </w:r>
      <w:r>
        <w:rPr>
          <w:color w:val="231F1F"/>
          <w:w w:val="110"/>
        </w:rPr>
        <w:t>buspirone increases plasma concentration of </w:t>
      </w:r>
      <w:r>
        <w:rPr>
          <w:rFonts w:ascii="Calibri"/>
          <w:color w:val="008356"/>
          <w:spacing w:val="4"/>
          <w:w w:val="110"/>
          <w:sz w:val="11"/>
        </w:rPr>
        <w:t>HALOPERIDOL</w:t>
      </w:r>
      <w:r>
        <w:rPr>
          <w:color w:val="231F1F"/>
          <w:spacing w:val="4"/>
          <w:w w:val="110"/>
        </w:rPr>
        <w:t>; </w:t>
      </w:r>
      <w:r>
        <w:rPr>
          <w:color w:val="231F1F"/>
          <w:w w:val="110"/>
        </w:rPr>
        <w:t>serious adverse events reported with concomitant use of benzodiazepines and </w:t>
      </w:r>
      <w:r>
        <w:rPr>
          <w:rFonts w:ascii="Arial"/>
          <w:color w:val="231F1F"/>
          <w:w w:val="355"/>
          <w:position w:val="1"/>
          <w:sz w:val="7"/>
        </w:rPr>
        <w:t>l </w:t>
      </w:r>
      <w:r>
        <w:rPr>
          <w:rFonts w:ascii="Calibri"/>
          <w:color w:val="008356"/>
          <w:spacing w:val="4"/>
          <w:w w:val="110"/>
          <w:sz w:val="11"/>
        </w:rPr>
        <w:t>CLOZAPINE </w:t>
      </w:r>
      <w:r>
        <w:rPr>
          <w:color w:val="231F1F"/>
          <w:w w:val="110"/>
        </w:rPr>
        <w:t>(causality not established); plasma concentration of midazolam increased  by </w:t>
      </w:r>
      <w:r>
        <w:rPr>
          <w:rFonts w:ascii="Calibri"/>
          <w:color w:val="008356"/>
          <w:spacing w:val="4"/>
          <w:w w:val="110"/>
          <w:sz w:val="11"/>
        </w:rPr>
        <w:t>LURASIDONE</w:t>
      </w:r>
      <w:r>
        <w:rPr>
          <w:color w:val="231F1F"/>
          <w:spacing w:val="4"/>
          <w:w w:val="110"/>
        </w:rPr>
        <w:t>; </w:t>
      </w:r>
      <w:r>
        <w:rPr>
          <w:color w:val="231F1F"/>
          <w:w w:val="110"/>
        </w:rPr>
        <w:t>increased risk of hypotension, bradycardia and respiratory  depression when </w:t>
      </w:r>
      <w:r>
        <w:rPr>
          <w:i/>
          <w:color w:val="231F1F"/>
          <w:w w:val="110"/>
        </w:rPr>
        <w:t>parenteral </w:t>
      </w:r>
      <w:r>
        <w:rPr>
          <w:color w:val="231F1F"/>
          <w:w w:val="110"/>
        </w:rPr>
        <w:t>benzodiazepines given with </w:t>
      </w:r>
      <w:r>
        <w:rPr>
          <w:i/>
          <w:color w:val="231F1F"/>
          <w:w w:val="110"/>
        </w:rPr>
        <w:t>intramuscular </w:t>
      </w:r>
      <w:r>
        <w:rPr>
          <w:rFonts w:ascii="Arial"/>
          <w:color w:val="231F1F"/>
          <w:w w:val="355"/>
          <w:position w:val="1"/>
          <w:sz w:val="7"/>
        </w:rPr>
        <w:t>l</w:t>
      </w:r>
      <w:r>
        <w:rPr>
          <w:rFonts w:ascii="Arial"/>
          <w:color w:val="231F1F"/>
          <w:spacing w:val="-52"/>
          <w:w w:val="355"/>
          <w:position w:val="1"/>
          <w:sz w:val="7"/>
        </w:rPr>
        <w:t> </w:t>
      </w:r>
      <w:r>
        <w:rPr>
          <w:rFonts w:ascii="Calibri"/>
          <w:color w:val="008356"/>
          <w:spacing w:val="5"/>
          <w:w w:val="110"/>
          <w:sz w:val="11"/>
        </w:rPr>
        <w:t>OLANZAPINE</w:t>
      </w:r>
    </w:p>
    <w:p>
      <w:pPr>
        <w:pStyle w:val="BodyText"/>
        <w:spacing w:line="237" w:lineRule="auto"/>
        <w:ind w:right="876" w:hanging="100"/>
        <w:rPr>
          <w:i/>
        </w:rPr>
      </w:pPr>
      <w:r>
        <w:rPr>
          <w:rFonts w:ascii="Arial" w:hAnsi="Arial"/>
          <w:color w:val="231F1F"/>
          <w:w w:val="355"/>
          <w:position w:val="1"/>
          <w:sz w:val="7"/>
        </w:rPr>
        <w:t>l </w:t>
      </w:r>
      <w:r>
        <w:rPr>
          <w:rFonts w:ascii="Calibri" w:hAnsi="Calibri"/>
          <w:color w:val="231F1F"/>
          <w:w w:val="115"/>
        </w:rPr>
        <w:t>Antivirals: </w:t>
      </w:r>
      <w:r>
        <w:rPr>
          <w:color w:val="231F1F"/>
          <w:w w:val="115"/>
        </w:rPr>
        <w:t>plasma concentration of midazolam possibly increased</w:t>
      </w:r>
      <w:r>
        <w:rPr>
          <w:color w:val="231F1F"/>
          <w:spacing w:val="-25"/>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ATAZANAVIR</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of</w:t>
      </w:r>
      <w:r>
        <w:rPr>
          <w:color w:val="231F1F"/>
          <w:spacing w:val="-24"/>
          <w:w w:val="115"/>
        </w:rPr>
        <w:t> </w:t>
      </w:r>
      <w:r>
        <w:rPr>
          <w:i/>
          <w:color w:val="231F1F"/>
          <w:spacing w:val="-3"/>
          <w:w w:val="115"/>
        </w:rPr>
        <w:t>oral</w:t>
      </w:r>
    </w:p>
    <w:p>
      <w:pPr>
        <w:pStyle w:val="BodyText"/>
        <w:spacing w:line="247" w:lineRule="auto"/>
        <w:ind w:right="727"/>
      </w:pPr>
      <w:r>
        <w:rPr>
          <w:color w:val="231F1F"/>
          <w:w w:val="120"/>
        </w:rPr>
        <w:t>midazolam; plasma concentration of </w:t>
      </w:r>
      <w:r>
        <w:rPr>
          <w:i/>
          <w:color w:val="231F1F"/>
          <w:w w:val="120"/>
        </w:rPr>
        <w:t>oral </w:t>
      </w:r>
      <w:r>
        <w:rPr>
          <w:color w:val="231F1F"/>
          <w:w w:val="120"/>
        </w:rPr>
        <w:t>midazolam increased by </w:t>
      </w:r>
      <w:r>
        <w:rPr>
          <w:rFonts w:ascii="Arial" w:hAnsi="Arial"/>
          <w:color w:val="231F1F"/>
          <w:w w:val="210"/>
          <w:position w:val="1"/>
          <w:sz w:val="7"/>
        </w:rPr>
        <w:t>l </w:t>
      </w:r>
      <w:r>
        <w:rPr>
          <w:rFonts w:ascii="Calibri" w:hAnsi="Calibri"/>
          <w:color w:val="008356"/>
          <w:spacing w:val="2"/>
          <w:w w:val="120"/>
          <w:sz w:val="11"/>
        </w:rPr>
        <w:t>BOCEPREVIR</w:t>
      </w:r>
      <w:r>
        <w:rPr>
          <w:rFonts w:ascii="Arial" w:hAnsi="Arial"/>
          <w:color w:val="231F1F"/>
          <w:spacing w:val="2"/>
          <w:w w:val="120"/>
        </w:rPr>
        <w:t>—</w:t>
      </w:r>
      <w:r>
        <w:rPr>
          <w:color w:val="231F1F"/>
          <w:spacing w:val="2"/>
          <w:w w:val="120"/>
        </w:rPr>
        <w:t>manufacturer </w:t>
      </w:r>
      <w:r>
        <w:rPr>
          <w:color w:val="231F1F"/>
          <w:w w:val="120"/>
        </w:rPr>
        <w:t>of boceprevir </w:t>
      </w:r>
      <w:r>
        <w:rPr>
          <w:color w:val="231F1F"/>
          <w:w w:val="115"/>
        </w:rPr>
        <w:t>advises avoid concomitant use; increased risk of prolonged sedation when midazolam given with </w:t>
      </w:r>
      <w:r>
        <w:rPr>
          <w:rFonts w:ascii="Arial" w:hAnsi="Arial"/>
          <w:color w:val="231F1F"/>
          <w:w w:val="115"/>
          <w:position w:val="1"/>
          <w:sz w:val="7"/>
        </w:rPr>
        <w:t>l </w:t>
      </w:r>
      <w:r>
        <w:rPr>
          <w:rFonts w:ascii="Calibri" w:hAnsi="Calibri"/>
          <w:color w:val="008356"/>
          <w:spacing w:val="2"/>
          <w:w w:val="115"/>
          <w:sz w:val="11"/>
        </w:rPr>
        <w:t>EFAVIRENZ</w:t>
      </w:r>
      <w:r>
        <w:rPr>
          <w:rFonts w:ascii="Arial" w:hAnsi="Arial"/>
          <w:color w:val="231F1F"/>
          <w:spacing w:val="2"/>
          <w:w w:val="115"/>
        </w:rPr>
        <w:t>—</w:t>
      </w:r>
      <w:r>
        <w:rPr>
          <w:color w:val="231F1F"/>
          <w:spacing w:val="2"/>
          <w:w w:val="115"/>
        </w:rPr>
        <w:t>avoid </w:t>
      </w:r>
      <w:r>
        <w:rPr>
          <w:color w:val="231F1F"/>
          <w:w w:val="120"/>
        </w:rPr>
        <w:t>concomitant use; plasma concentration of midazolam possibly increased by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20"/>
          <w:sz w:val="11"/>
        </w:rPr>
        <w:t>FOSAMPRENAVIR</w:t>
      </w:r>
      <w:r>
        <w:rPr>
          <w:color w:val="231F1F"/>
          <w:spacing w:val="4"/>
          <w:w w:val="120"/>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20"/>
          <w:sz w:val="11"/>
        </w:rPr>
        <w:t>INDINAVIR</w:t>
      </w:r>
      <w:r>
        <w:rPr>
          <w:color w:val="231F1F"/>
          <w:spacing w:val="4"/>
          <w:w w:val="120"/>
        </w:rPr>
        <w:t>,</w:t>
      </w:r>
    </w:p>
    <w:p>
      <w:pPr>
        <w:pStyle w:val="BodyText"/>
        <w:spacing w:line="247" w:lineRule="auto"/>
        <w:ind w:right="670" w:hanging="1"/>
      </w:pPr>
      <w:r>
        <w:rPr>
          <w:rFonts w:ascii="Arial" w:hAnsi="Arial"/>
          <w:color w:val="231F1F"/>
          <w:w w:val="355"/>
          <w:position w:val="1"/>
          <w:sz w:val="7"/>
        </w:rPr>
        <w:t>l </w:t>
      </w:r>
      <w:r>
        <w:rPr>
          <w:rFonts w:ascii="Calibri" w:hAnsi="Calibri"/>
          <w:color w:val="008356"/>
          <w:w w:val="110"/>
          <w:sz w:val="11"/>
        </w:rPr>
        <w:t>RITONAVIR </w:t>
      </w:r>
      <w:r>
        <w:rPr>
          <w:color w:val="231F1F"/>
          <w:w w:val="110"/>
        </w:rPr>
        <w:t>and </w:t>
      </w:r>
      <w:r>
        <w:rPr>
          <w:rFonts w:ascii="Arial" w:hAnsi="Arial"/>
          <w:color w:val="231F1F"/>
          <w:w w:val="355"/>
          <w:position w:val="1"/>
          <w:sz w:val="7"/>
        </w:rPr>
        <w:t>l </w:t>
      </w:r>
      <w:r>
        <w:rPr>
          <w:rFonts w:ascii="Calibri" w:hAnsi="Calibri"/>
          <w:color w:val="008356"/>
          <w:w w:val="110"/>
          <w:sz w:val="11"/>
        </w:rPr>
        <w:t>TELAPREVIR </w:t>
      </w:r>
      <w:r>
        <w:rPr>
          <w:color w:val="231F1F"/>
          <w:w w:val="110"/>
        </w:rPr>
        <w:t>(risk of prolonged sedation</w:t>
      </w:r>
      <w:r>
        <w:rPr>
          <w:rFonts w:ascii="Arial" w:hAnsi="Arial"/>
          <w:color w:val="231F1F"/>
          <w:w w:val="110"/>
        </w:rPr>
        <w:t>— </w:t>
      </w:r>
      <w:r>
        <w:rPr>
          <w:color w:val="231F1F"/>
          <w:w w:val="110"/>
        </w:rPr>
        <w:t>avoid concomitant use of </w:t>
      </w:r>
      <w:r>
        <w:rPr>
          <w:i/>
          <w:color w:val="231F1F"/>
          <w:w w:val="110"/>
        </w:rPr>
        <w:t>oral </w:t>
      </w:r>
      <w:r>
        <w:rPr>
          <w:color w:val="231F1F"/>
          <w:w w:val="110"/>
        </w:rPr>
        <w:t>midazolam); increased risk of prolonged sedation when alprazolam given with</w:t>
      </w:r>
    </w:p>
    <w:p>
      <w:pPr>
        <w:pStyle w:val="BodyText"/>
        <w:spacing w:line="247" w:lineRule="auto"/>
        <w:ind w:right="682"/>
        <w:rPr>
          <w:rFonts w:ascii="Calibri" w:hAnsi="Calibri"/>
          <w:sz w:val="11"/>
        </w:rPr>
      </w:pPr>
      <w:r>
        <w:rPr>
          <w:rFonts w:ascii="Arial" w:hAnsi="Arial"/>
          <w:color w:val="231F1F"/>
          <w:w w:val="355"/>
          <w:position w:val="1"/>
          <w:sz w:val="7"/>
        </w:rPr>
        <w:t>l </w:t>
      </w:r>
      <w:r>
        <w:rPr>
          <w:rFonts w:ascii="Calibri" w:hAnsi="Calibri"/>
          <w:color w:val="008356"/>
          <w:spacing w:val="2"/>
          <w:w w:val="110"/>
          <w:sz w:val="11"/>
        </w:rPr>
        <w:t>INDINAVIR</w:t>
      </w:r>
      <w:r>
        <w:rPr>
          <w:rFonts w:ascii="Arial" w:hAnsi="Arial"/>
          <w:color w:val="231F1F"/>
          <w:spacing w:val="2"/>
          <w:w w:val="110"/>
        </w:rPr>
        <w:t>—</w:t>
      </w:r>
      <w:r>
        <w:rPr>
          <w:color w:val="231F1F"/>
          <w:spacing w:val="2"/>
          <w:w w:val="110"/>
        </w:rPr>
        <w:t>avoid </w:t>
      </w:r>
      <w:r>
        <w:rPr>
          <w:color w:val="231F1F"/>
          <w:w w:val="110"/>
        </w:rPr>
        <w:t>concomitant use; plasma concentration </w:t>
      </w:r>
      <w:r>
        <w:rPr>
          <w:color w:val="231F1F"/>
          <w:spacing w:val="-6"/>
          <w:w w:val="110"/>
        </w:rPr>
        <w:t>of </w:t>
      </w:r>
      <w:r>
        <w:rPr>
          <w:color w:val="231F1F"/>
          <w:w w:val="110"/>
        </w:rPr>
        <w:t>anxiolytics and hypnotics possibly increased by </w:t>
      </w:r>
      <w:r>
        <w:rPr>
          <w:rFonts w:ascii="Arial" w:hAnsi="Arial"/>
          <w:color w:val="231F1F"/>
          <w:w w:val="355"/>
          <w:position w:val="1"/>
          <w:sz w:val="7"/>
        </w:rPr>
        <w:t>l </w:t>
      </w:r>
      <w:r>
        <w:rPr>
          <w:rFonts w:ascii="Calibri" w:hAnsi="Calibri"/>
          <w:color w:val="008356"/>
          <w:spacing w:val="3"/>
          <w:w w:val="110"/>
          <w:sz w:val="11"/>
        </w:rPr>
        <w:t>RITONAVIR</w:t>
      </w:r>
      <w:r>
        <w:rPr>
          <w:color w:val="231F1F"/>
          <w:spacing w:val="3"/>
          <w:w w:val="110"/>
        </w:rPr>
        <w:t>; </w:t>
      </w:r>
      <w:r>
        <w:rPr>
          <w:color w:val="231F1F"/>
          <w:w w:val="110"/>
        </w:rPr>
        <w:t>plasma concentration of alprazolam, diazepam,  flurazepam and zolpidem possibly increased by </w:t>
      </w:r>
      <w:r>
        <w:rPr>
          <w:rFonts w:ascii="Arial" w:hAnsi="Arial"/>
          <w:color w:val="231F1F"/>
          <w:w w:val="355"/>
          <w:position w:val="1"/>
          <w:sz w:val="7"/>
        </w:rPr>
        <w:t>l </w:t>
      </w:r>
      <w:r>
        <w:rPr>
          <w:rFonts w:ascii="Calibri" w:hAnsi="Calibri"/>
          <w:color w:val="008356"/>
          <w:spacing w:val="3"/>
          <w:w w:val="110"/>
          <w:sz w:val="11"/>
        </w:rPr>
        <w:t>RITONAVIR </w:t>
      </w:r>
      <w:r>
        <w:rPr>
          <w:color w:val="231F1F"/>
          <w:w w:val="110"/>
        </w:rPr>
        <w:t>(risk of extreme sedation and respiratory depression</w:t>
      </w:r>
      <w:r>
        <w:rPr>
          <w:rFonts w:ascii="Arial" w:hAnsi="Arial"/>
          <w:color w:val="231F1F"/>
          <w:w w:val="110"/>
        </w:rPr>
        <w:t>—</w:t>
      </w:r>
      <w:r>
        <w:rPr>
          <w:color w:val="231F1F"/>
          <w:w w:val="110"/>
        </w:rPr>
        <w:t>avoid concomitant use); plasma concentration of  buspirone increased by </w:t>
      </w:r>
      <w:r>
        <w:rPr>
          <w:rFonts w:ascii="Calibri" w:hAnsi="Calibri"/>
          <w:color w:val="008356"/>
          <w:spacing w:val="3"/>
          <w:w w:val="110"/>
          <w:sz w:val="11"/>
        </w:rPr>
        <w:t>RITONAVIR </w:t>
      </w:r>
      <w:r>
        <w:rPr>
          <w:color w:val="231F1F"/>
          <w:w w:val="110"/>
        </w:rPr>
        <w:t>(increased risk of toxicity); plasma concentration of midazolam increased by </w:t>
      </w:r>
      <w:r>
        <w:rPr>
          <w:rFonts w:ascii="Arial" w:hAnsi="Arial"/>
          <w:color w:val="231F1F"/>
          <w:w w:val="355"/>
          <w:position w:val="1"/>
          <w:sz w:val="7"/>
        </w:rPr>
        <w:t>l </w:t>
      </w:r>
      <w:r>
        <w:rPr>
          <w:rFonts w:ascii="Calibri" w:hAnsi="Calibri"/>
          <w:color w:val="008356"/>
          <w:spacing w:val="3"/>
          <w:w w:val="110"/>
          <w:sz w:val="11"/>
        </w:rPr>
        <w:t>SAQUINAVIR </w:t>
      </w:r>
      <w:r>
        <w:rPr>
          <w:color w:val="231F1F"/>
          <w:w w:val="110"/>
        </w:rPr>
        <w:t>(risk of prolonged sedation</w:t>
      </w:r>
      <w:r>
        <w:rPr>
          <w:rFonts w:ascii="Arial" w:hAnsi="Arial"/>
          <w:color w:val="231F1F"/>
          <w:w w:val="110"/>
        </w:rPr>
        <w:t>—</w:t>
      </w:r>
      <w:r>
        <w:rPr>
          <w:color w:val="231F1F"/>
          <w:w w:val="110"/>
        </w:rPr>
        <w:t>avoid concomitant use of </w:t>
      </w:r>
      <w:r>
        <w:rPr>
          <w:i/>
          <w:color w:val="231F1F"/>
          <w:w w:val="110"/>
        </w:rPr>
        <w:t>oral </w:t>
      </w:r>
      <w:r>
        <w:rPr>
          <w:color w:val="231F1F"/>
          <w:w w:val="110"/>
        </w:rPr>
        <w:t>midazolam); plasma concentration of </w:t>
      </w:r>
      <w:r>
        <w:rPr>
          <w:i/>
          <w:color w:val="231F1F"/>
          <w:w w:val="110"/>
        </w:rPr>
        <w:t>oral </w:t>
      </w:r>
      <w:r>
        <w:rPr>
          <w:color w:val="231F1F"/>
          <w:w w:val="110"/>
        </w:rPr>
        <w:t>midazolam increased by</w:t>
      </w:r>
      <w:r>
        <w:rPr>
          <w:color w:val="231F1F"/>
          <w:spacing w:val="-6"/>
          <w:w w:val="110"/>
        </w:rPr>
        <w:t> </w:t>
      </w:r>
      <w:r>
        <w:rPr>
          <w:rFonts w:ascii="Calibri" w:hAnsi="Calibri"/>
          <w:color w:val="008356"/>
          <w:spacing w:val="5"/>
          <w:w w:val="110"/>
          <w:sz w:val="11"/>
        </w:rPr>
        <w:t>SIMEPREVIR</w:t>
      </w:r>
    </w:p>
    <w:p>
      <w:pPr>
        <w:pStyle w:val="BodyText"/>
        <w:spacing w:line="140" w:lineRule="exact"/>
        <w:ind w:left="108"/>
      </w:pPr>
      <w:r>
        <w:rPr>
          <w:rFonts w:ascii="Lucida Sans Unicode" w:hAnsi="Lucida Sans Unicode"/>
          <w:color w:val="A7A8AC"/>
          <w:w w:val="95"/>
          <w:sz w:val="10"/>
        </w:rPr>
        <w:t>▶ </w:t>
      </w:r>
      <w:r>
        <w:rPr>
          <w:rFonts w:ascii="Calibri" w:hAnsi="Calibri"/>
          <w:color w:val="231F1F"/>
          <w:w w:val="105"/>
        </w:rPr>
        <w:t>Aprepitant: </w:t>
      </w:r>
      <w:r>
        <w:rPr>
          <w:color w:val="231F1F"/>
          <w:w w:val="105"/>
        </w:rPr>
        <w:t>plasma concentration of midazolam increased by</w:t>
      </w:r>
    </w:p>
    <w:p>
      <w:pPr>
        <w:spacing w:line="135" w:lineRule="exact" w:before="0"/>
        <w:ind w:left="208" w:right="0" w:firstLine="0"/>
        <w:jc w:val="left"/>
        <w:rPr>
          <w:sz w:val="12"/>
        </w:rPr>
      </w:pPr>
      <w:r>
        <w:rPr>
          <w:rFonts w:ascii="Calibri"/>
          <w:color w:val="008356"/>
          <w:spacing w:val="4"/>
          <w:w w:val="110"/>
          <w:sz w:val="11"/>
        </w:rPr>
        <w:t>APREPITANT </w:t>
      </w:r>
      <w:r>
        <w:rPr>
          <w:color w:val="231F1F"/>
          <w:w w:val="110"/>
          <w:sz w:val="12"/>
        </w:rPr>
        <w:t>(risk of prolonged</w:t>
      </w:r>
      <w:r>
        <w:rPr>
          <w:color w:val="231F1F"/>
          <w:spacing w:val="-14"/>
          <w:w w:val="110"/>
          <w:sz w:val="12"/>
        </w:rPr>
        <w:t> </w:t>
      </w:r>
      <w:r>
        <w:rPr>
          <w:color w:val="231F1F"/>
          <w:w w:val="110"/>
          <w:sz w:val="12"/>
        </w:rPr>
        <w:t>sedation)</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anxiolytics and hypnotics given with</w:t>
      </w:r>
      <w:r>
        <w:rPr>
          <w:color w:val="231F1F"/>
          <w:spacing w:val="-11"/>
          <w:w w:val="110"/>
        </w:rPr>
        <w:t> </w:t>
      </w:r>
      <w:r>
        <w:rPr>
          <w:rFonts w:ascii="Calibri" w:hAnsi="Calibri"/>
          <w:color w:val="008356"/>
          <w:spacing w:val="4"/>
          <w:w w:val="110"/>
          <w:sz w:val="11"/>
        </w:rPr>
        <w:t>BETA-BLOCKERS</w:t>
      </w:r>
    </w:p>
    <w:p>
      <w:pPr>
        <w:spacing w:line="240" w:lineRule="auto" w:before="0"/>
        <w:ind w:left="208" w:right="706" w:hanging="100"/>
        <w:jc w:val="left"/>
        <w:rPr>
          <w:sz w:val="12"/>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anxiolytics and hypnotics given with </w:t>
      </w:r>
      <w:r>
        <w:rPr>
          <w:rFonts w:ascii="Calibri" w:hAnsi="Calibri"/>
          <w:color w:val="008356"/>
          <w:w w:val="105"/>
          <w:sz w:val="11"/>
        </w:rPr>
        <w:t>CALCIUM-CHANNEL BLOCKERS</w:t>
      </w:r>
      <w:r>
        <w:rPr>
          <w:color w:val="231F1F"/>
          <w:w w:val="105"/>
          <w:sz w:val="12"/>
        </w:rPr>
        <w:t>; midazolam increases absorption of </w:t>
      </w:r>
      <w:r>
        <w:rPr>
          <w:rFonts w:ascii="Calibri" w:hAnsi="Calibri"/>
          <w:color w:val="008356"/>
          <w:w w:val="105"/>
          <w:sz w:val="11"/>
        </w:rPr>
        <w:t>LERCANIDIPINE</w:t>
      </w:r>
      <w:r>
        <w:rPr>
          <w:color w:val="231F1F"/>
          <w:w w:val="105"/>
          <w:sz w:val="12"/>
        </w:rPr>
        <w:t>; metabolism of midazolam inhibited by </w:t>
      </w:r>
      <w:r>
        <w:rPr>
          <w:rFonts w:ascii="Calibri" w:hAnsi="Calibri"/>
          <w:color w:val="008356"/>
          <w:w w:val="105"/>
          <w:sz w:val="11"/>
        </w:rPr>
        <w:t>DILTIAZEM </w:t>
      </w:r>
      <w:r>
        <w:rPr>
          <w:color w:val="231F1F"/>
          <w:w w:val="105"/>
          <w:sz w:val="12"/>
        </w:rPr>
        <w:t>and </w:t>
      </w:r>
      <w:r>
        <w:rPr>
          <w:rFonts w:ascii="Calibri" w:hAnsi="Calibri"/>
          <w:color w:val="008356"/>
          <w:w w:val="105"/>
          <w:sz w:val="11"/>
        </w:rPr>
        <w:t>VERAPAMIL </w:t>
      </w:r>
      <w:r>
        <w:rPr>
          <w:color w:val="231F1F"/>
          <w:w w:val="105"/>
          <w:sz w:val="12"/>
        </w:rPr>
        <w:t>(increased plasma concentration with increased sedation); plasma concentration of buspirone increased by </w:t>
      </w:r>
      <w:r>
        <w:rPr>
          <w:rFonts w:ascii="Calibri" w:hAnsi="Calibri"/>
          <w:color w:val="008356"/>
          <w:w w:val="105"/>
          <w:sz w:val="11"/>
        </w:rPr>
        <w:t>DILTIAZEM </w:t>
      </w:r>
      <w:r>
        <w:rPr>
          <w:color w:val="231F1F"/>
          <w:w w:val="105"/>
          <w:sz w:val="12"/>
        </w:rPr>
        <w:t>and </w:t>
      </w:r>
      <w:r>
        <w:rPr>
          <w:rFonts w:ascii="Calibri" w:hAnsi="Calibri"/>
          <w:color w:val="008356"/>
          <w:w w:val="105"/>
          <w:sz w:val="11"/>
        </w:rPr>
        <w:t>VERAPAMIL </w:t>
      </w:r>
      <w:r>
        <w:rPr>
          <w:color w:val="231F1F"/>
          <w:w w:val="105"/>
          <w:sz w:val="12"/>
        </w:rPr>
        <w:t>(reduce dose of buspirone)</w:t>
      </w:r>
    </w:p>
    <w:p>
      <w:pPr>
        <w:pStyle w:val="BodyText"/>
        <w:spacing w:line="220" w:lineRule="auto" w:before="7"/>
        <w:ind w:right="762" w:hanging="100"/>
      </w:pPr>
      <w:r>
        <w:rPr>
          <w:rFonts w:ascii="Lucida Sans Unicode" w:hAnsi="Lucida Sans Unicode"/>
          <w:color w:val="A7A8AC"/>
          <w:w w:val="95"/>
          <w:sz w:val="10"/>
        </w:rPr>
        <w:t>▶ </w:t>
      </w:r>
      <w:r>
        <w:rPr>
          <w:rFonts w:ascii="Calibri" w:hAnsi="Calibri"/>
          <w:color w:val="231F1F"/>
          <w:w w:val="105"/>
        </w:rPr>
        <w:t>Cardiac Glycosides: </w:t>
      </w:r>
      <w:r>
        <w:rPr>
          <w:color w:val="231F1F"/>
          <w:w w:val="105"/>
        </w:rPr>
        <w:t>alprazolam increases  plasma  </w:t>
      </w:r>
      <w:r>
        <w:rPr>
          <w:color w:val="231F1F"/>
          <w:spacing w:val="-2"/>
          <w:w w:val="105"/>
        </w:rPr>
        <w:t>concentration </w:t>
      </w:r>
      <w:r>
        <w:rPr>
          <w:color w:val="231F1F"/>
          <w:w w:val="105"/>
        </w:rPr>
        <w:t>of </w:t>
      </w:r>
      <w:r>
        <w:rPr>
          <w:rFonts w:ascii="Calibri" w:hAnsi="Calibri"/>
          <w:color w:val="008356"/>
          <w:spacing w:val="4"/>
          <w:w w:val="105"/>
          <w:sz w:val="11"/>
        </w:rPr>
        <w:t>DIGOXIN </w:t>
      </w:r>
      <w:r>
        <w:rPr>
          <w:color w:val="231F1F"/>
          <w:w w:val="105"/>
        </w:rPr>
        <w:t>(increased risk of</w:t>
      </w:r>
      <w:r>
        <w:rPr>
          <w:color w:val="231F1F"/>
          <w:spacing w:val="11"/>
          <w:w w:val="105"/>
        </w:rPr>
        <w:t> </w:t>
      </w:r>
      <w:r>
        <w:rPr>
          <w:color w:val="231F1F"/>
          <w:w w:val="105"/>
        </w:rPr>
        <w:t>toxicity)</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anxiolytics and hypnotics given with </w:t>
      </w:r>
      <w:r>
        <w:rPr>
          <w:rFonts w:ascii="Calibri" w:hAnsi="Calibri"/>
          <w:color w:val="008356"/>
          <w:w w:val="110"/>
          <w:sz w:val="11"/>
        </w:rPr>
        <w:t>CLONIDINE</w:t>
      </w:r>
    </w:p>
    <w:p>
      <w:pPr>
        <w:spacing w:before="0"/>
        <w:ind w:left="208" w:right="1235" w:hanging="100"/>
        <w:jc w:val="left"/>
        <w:rPr>
          <w:rFonts w:ascii="Calibri"/>
          <w:sz w:val="11"/>
        </w:rPr>
      </w:pPr>
      <w:r>
        <w:rPr>
          <w:rFonts w:ascii="Arial"/>
          <w:color w:val="231F1F"/>
          <w:w w:val="355"/>
          <w:position w:val="1"/>
          <w:sz w:val="7"/>
        </w:rPr>
        <w:t>l </w:t>
      </w:r>
      <w:r>
        <w:rPr>
          <w:rFonts w:ascii="Calibri"/>
          <w:color w:val="231F1F"/>
          <w:w w:val="110"/>
          <w:sz w:val="12"/>
        </w:rPr>
        <w:t>Cobicistat: </w:t>
      </w:r>
      <w:r>
        <w:rPr>
          <w:color w:val="231F1F"/>
          <w:w w:val="110"/>
          <w:sz w:val="12"/>
        </w:rPr>
        <w:t>avoidance of </w:t>
      </w:r>
      <w:r>
        <w:rPr>
          <w:i/>
          <w:color w:val="231F1F"/>
          <w:w w:val="110"/>
          <w:sz w:val="12"/>
        </w:rPr>
        <w:t>oral </w:t>
      </w:r>
      <w:r>
        <w:rPr>
          <w:color w:val="231F1F"/>
          <w:w w:val="110"/>
          <w:sz w:val="12"/>
        </w:rPr>
        <w:t>midazolam advised by manufacturer of </w:t>
      </w:r>
      <w:r>
        <w:rPr>
          <w:rFonts w:ascii="Arial"/>
          <w:color w:val="231F1F"/>
          <w:w w:val="355"/>
          <w:position w:val="1"/>
          <w:sz w:val="7"/>
        </w:rPr>
        <w:t>l </w:t>
      </w:r>
      <w:r>
        <w:rPr>
          <w:rFonts w:ascii="Calibri"/>
          <w:color w:val="008356"/>
          <w:w w:val="110"/>
          <w:sz w:val="11"/>
        </w:rPr>
        <w:t>COBICISTAT</w:t>
      </w:r>
    </w:p>
    <w:p>
      <w:pPr>
        <w:spacing w:line="240" w:lineRule="auto" w:before="0"/>
        <w:ind w:left="208" w:right="779" w:hanging="100"/>
        <w:jc w:val="left"/>
        <w:rPr>
          <w:rFonts w:ascii="Calibri"/>
          <w:sz w:val="11"/>
        </w:rPr>
      </w:pPr>
      <w:r>
        <w:rPr>
          <w:rFonts w:ascii="Arial"/>
          <w:color w:val="231F1F"/>
          <w:w w:val="355"/>
          <w:position w:val="1"/>
          <w:sz w:val="7"/>
        </w:rPr>
        <w:t>l </w:t>
      </w:r>
      <w:r>
        <w:rPr>
          <w:rFonts w:ascii="Calibri"/>
          <w:color w:val="231F1F"/>
          <w:w w:val="110"/>
          <w:sz w:val="12"/>
        </w:rPr>
        <w:t>Cytotoxics: </w:t>
      </w:r>
      <w:r>
        <w:rPr>
          <w:color w:val="231F1F"/>
          <w:w w:val="110"/>
          <w:sz w:val="12"/>
        </w:rPr>
        <w:t>plasma concentration of midazolam increased by </w:t>
      </w:r>
      <w:r>
        <w:rPr>
          <w:rFonts w:ascii="Arial"/>
          <w:color w:val="231F1F"/>
          <w:w w:val="355"/>
          <w:position w:val="1"/>
          <w:sz w:val="7"/>
        </w:rPr>
        <w:t>l </w:t>
      </w:r>
      <w:r>
        <w:rPr>
          <w:rFonts w:ascii="Calibri"/>
          <w:color w:val="008356"/>
          <w:w w:val="110"/>
          <w:sz w:val="11"/>
        </w:rPr>
        <w:t>CRIZOTINIB </w:t>
      </w:r>
      <w:r>
        <w:rPr>
          <w:color w:val="231F1F"/>
          <w:w w:val="110"/>
          <w:sz w:val="12"/>
        </w:rPr>
        <w:t>and </w:t>
      </w:r>
      <w:r>
        <w:rPr>
          <w:rFonts w:ascii="Calibri"/>
          <w:color w:val="008356"/>
          <w:w w:val="110"/>
          <w:sz w:val="11"/>
        </w:rPr>
        <w:t>NILOTINIB</w:t>
      </w:r>
      <w:r>
        <w:rPr>
          <w:color w:val="231F1F"/>
          <w:w w:val="110"/>
          <w:sz w:val="12"/>
        </w:rPr>
        <w:t>; avoidance of </w:t>
      </w:r>
      <w:r>
        <w:rPr>
          <w:i/>
          <w:color w:val="231F1F"/>
          <w:w w:val="110"/>
          <w:sz w:val="12"/>
        </w:rPr>
        <w:t>oral </w:t>
      </w:r>
      <w:r>
        <w:rPr>
          <w:color w:val="231F1F"/>
          <w:w w:val="110"/>
          <w:sz w:val="12"/>
        </w:rPr>
        <w:t>midazolam advised by manufacturer of </w:t>
      </w:r>
      <w:r>
        <w:rPr>
          <w:rFonts w:ascii="Calibri"/>
          <w:color w:val="008356"/>
          <w:w w:val="110"/>
          <w:sz w:val="11"/>
        </w:rPr>
        <w:t>IDELALISIB</w:t>
      </w:r>
    </w:p>
    <w:p>
      <w:pPr>
        <w:pStyle w:val="BodyText"/>
        <w:spacing w:line="220" w:lineRule="auto" w:before="4"/>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Deferasirox: </w:t>
      </w:r>
      <w:r>
        <w:rPr>
          <w:color w:val="231F1F"/>
          <w:w w:val="105"/>
        </w:rPr>
        <w:t>plasma concentration of midazolam possibly reduced by </w:t>
      </w:r>
      <w:r>
        <w:rPr>
          <w:rFonts w:ascii="Calibri" w:hAnsi="Calibri"/>
          <w:color w:val="008356"/>
          <w:w w:val="105"/>
          <w:sz w:val="11"/>
        </w:rPr>
        <w:t>DEFERASIROX</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anxiolytics and hypnotics given with </w:t>
      </w:r>
      <w:r>
        <w:rPr>
          <w:rFonts w:ascii="Calibri" w:hAnsi="Calibri"/>
          <w:color w:val="008356"/>
          <w:w w:val="110"/>
          <w:sz w:val="11"/>
        </w:rPr>
        <w:t>DIAZOXIDE</w:t>
      </w:r>
    </w:p>
    <w:p>
      <w:pPr>
        <w:pStyle w:val="BodyText"/>
        <w:spacing w:line="230" w:lineRule="auto" w:before="3"/>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Disulfiram: </w:t>
      </w:r>
      <w:r>
        <w:rPr>
          <w:color w:val="231F1F"/>
          <w:w w:val="110"/>
        </w:rPr>
        <w:t>metabolism of benzodiazepines inhibited by </w:t>
      </w:r>
      <w:r>
        <w:rPr>
          <w:rFonts w:ascii="Calibri" w:hAnsi="Calibri"/>
          <w:color w:val="008356"/>
          <w:w w:val="110"/>
          <w:sz w:val="11"/>
        </w:rPr>
        <w:t>DISULFIRAM </w:t>
      </w:r>
      <w:r>
        <w:rPr>
          <w:color w:val="231F1F"/>
          <w:w w:val="110"/>
        </w:rPr>
        <w:t>(increased sedative effects); increased risk of temazepam toxicity when given with </w:t>
      </w:r>
      <w:r>
        <w:rPr>
          <w:rFonts w:ascii="Calibri" w:hAnsi="Calibri"/>
          <w:color w:val="008356"/>
          <w:w w:val="110"/>
          <w:sz w:val="11"/>
        </w:rPr>
        <w:t>DISULFIRAM</w:t>
      </w:r>
    </w:p>
    <w:p>
      <w:pPr>
        <w:pStyle w:val="BodyText"/>
        <w:spacing w:line="235" w:lineRule="auto" w:before="3"/>
        <w:ind w:right="775" w:hanging="100"/>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anxiolytics and hypnotics given with </w:t>
      </w:r>
      <w:r>
        <w:rPr>
          <w:rFonts w:ascii="Calibri" w:hAnsi="Calibri"/>
          <w:color w:val="008356"/>
          <w:w w:val="110"/>
          <w:sz w:val="11"/>
        </w:rPr>
        <w:t>DIURETICS</w:t>
      </w:r>
      <w:r>
        <w:rPr>
          <w:color w:val="231F1F"/>
          <w:w w:val="110"/>
        </w:rPr>
        <w:t>; administration of chloral with </w:t>
      </w:r>
      <w:r>
        <w:rPr>
          <w:i/>
          <w:color w:val="231F1F"/>
          <w:w w:val="110"/>
        </w:rPr>
        <w:t>parenteral </w:t>
      </w:r>
      <w:r>
        <w:rPr>
          <w:rFonts w:ascii="Calibri" w:hAnsi="Calibri"/>
          <w:color w:val="008356"/>
          <w:w w:val="110"/>
          <w:sz w:val="11"/>
        </w:rPr>
        <w:t>FUROSEMIDE </w:t>
      </w:r>
      <w:r>
        <w:rPr>
          <w:color w:val="231F1F"/>
          <w:w w:val="110"/>
        </w:rPr>
        <w:t>may displace thyroid hormone from binding sites</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Dopaminergics: </w:t>
      </w:r>
      <w:r>
        <w:rPr>
          <w:color w:val="231F1F"/>
          <w:w w:val="105"/>
        </w:rPr>
        <w:t>benzodiazepines possibly antagonise effects of</w:t>
      </w:r>
    </w:p>
    <w:p>
      <w:pPr>
        <w:spacing w:line="135" w:lineRule="exact" w:before="0"/>
        <w:ind w:left="208" w:right="0" w:firstLine="0"/>
        <w:jc w:val="left"/>
        <w:rPr>
          <w:rFonts w:ascii="Calibri"/>
          <w:sz w:val="11"/>
        </w:rPr>
      </w:pPr>
      <w:r>
        <w:rPr>
          <w:rFonts w:ascii="Calibri"/>
          <w:color w:val="008356"/>
          <w:w w:val="105"/>
          <w:sz w:val="11"/>
        </w:rPr>
        <w:t>CO-BENELDOPA</w:t>
      </w:r>
      <w:r>
        <w:rPr>
          <w:color w:val="231F1F"/>
          <w:w w:val="105"/>
          <w:sz w:val="12"/>
        </w:rPr>
        <w:t>, </w:t>
      </w:r>
      <w:r>
        <w:rPr>
          <w:rFonts w:ascii="Calibri"/>
          <w:color w:val="008356"/>
          <w:w w:val="105"/>
          <w:sz w:val="11"/>
        </w:rPr>
        <w:t>CO-CARELDOPA </w:t>
      </w:r>
      <w:r>
        <w:rPr>
          <w:color w:val="231F1F"/>
          <w:w w:val="105"/>
          <w:sz w:val="12"/>
        </w:rPr>
        <w:t>and </w:t>
      </w:r>
      <w:r>
        <w:rPr>
          <w:rFonts w:ascii="Calibri"/>
          <w:color w:val="008356"/>
          <w:w w:val="105"/>
          <w:sz w:val="11"/>
        </w:rPr>
        <w:t>LEVODOPA</w:t>
      </w:r>
    </w:p>
    <w:p>
      <w:pPr>
        <w:pStyle w:val="BodyText"/>
        <w:spacing w:line="220" w:lineRule="auto" w:before="8"/>
        <w:ind w:right="820" w:hanging="100"/>
      </w:pPr>
      <w:r>
        <w:rPr>
          <w:rFonts w:ascii="Lucida Sans Unicode" w:hAnsi="Lucida Sans Unicode"/>
          <w:color w:val="A7A8AC"/>
          <w:w w:val="95"/>
          <w:sz w:val="10"/>
        </w:rPr>
        <w:t>▶ </w:t>
      </w:r>
      <w:r>
        <w:rPr>
          <w:rFonts w:ascii="Calibri" w:hAnsi="Calibri"/>
          <w:color w:val="231F1F"/>
          <w:w w:val="105"/>
        </w:rPr>
        <w:t>Fosaprepitant: </w:t>
      </w:r>
      <w:r>
        <w:rPr>
          <w:color w:val="231F1F"/>
          <w:w w:val="105"/>
        </w:rPr>
        <w:t>plasma concentration of  midazolam increased by </w:t>
      </w:r>
      <w:r>
        <w:rPr>
          <w:rFonts w:ascii="Calibri" w:hAnsi="Calibri"/>
          <w:color w:val="008356"/>
          <w:spacing w:val="4"/>
          <w:w w:val="105"/>
          <w:sz w:val="11"/>
        </w:rPr>
        <w:t>FOSAPREPITANT </w:t>
      </w:r>
      <w:r>
        <w:rPr>
          <w:color w:val="231F1F"/>
          <w:w w:val="105"/>
        </w:rPr>
        <w:t>(risk of prolonged</w:t>
      </w:r>
      <w:r>
        <w:rPr>
          <w:color w:val="231F1F"/>
          <w:spacing w:val="-13"/>
          <w:w w:val="105"/>
        </w:rPr>
        <w:t> </w:t>
      </w:r>
      <w:r>
        <w:rPr>
          <w:color w:val="231F1F"/>
          <w:w w:val="105"/>
        </w:rPr>
        <w:t>sedation)</w:t>
      </w:r>
    </w:p>
    <w:p>
      <w:pPr>
        <w:spacing w:after="0" w:line="220" w:lineRule="auto"/>
        <w:sectPr>
          <w:pgSz w:w="8390" w:h="11910"/>
          <w:pgMar w:header="0" w:footer="0" w:top="460" w:bottom="0" w:left="480" w:right="0"/>
          <w:cols w:num="2" w:equalWidth="0">
            <w:col w:w="3605" w:space="71"/>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2224" filled="true" fillcolor="#bfdbcf" stroked="false">
            <v:fill type="solid"/>
            <w10:wrap type="none"/>
          </v:rect>
        </w:pict>
      </w:r>
      <w:r>
        <w:rPr/>
        <w:pict>
          <v:shape style="position:absolute;margin-left:7.751256pt;margin-top:35.804367pt;width:10.4pt;height:78.850pt;mso-position-horizontal-relative:page;mso-position-vertical-relative:page;z-index:224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Anxiolytics and Hypnotics </w:t>
      </w:r>
      <w:r>
        <w:rPr>
          <w:rFonts w:ascii="Calibri"/>
          <w:color w:val="231F1F"/>
        </w:rPr>
        <w:t>(continued)</w:t>
      </w:r>
    </w:p>
    <w:p>
      <w:pPr>
        <w:spacing w:line="230" w:lineRule="auto" w:before="2"/>
        <w:ind w:left="286" w:right="1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Grapefruit Juice: </w:t>
      </w:r>
      <w:r>
        <w:rPr>
          <w:color w:val="231F1F"/>
          <w:w w:val="105"/>
          <w:sz w:val="12"/>
        </w:rPr>
        <w:t>plasma concentration of </w:t>
      </w:r>
      <w:r>
        <w:rPr>
          <w:i/>
          <w:color w:val="231F1F"/>
          <w:w w:val="105"/>
          <w:sz w:val="12"/>
        </w:rPr>
        <w:t>oral </w:t>
      </w:r>
      <w:r>
        <w:rPr>
          <w:color w:val="231F1F"/>
          <w:w w:val="105"/>
          <w:sz w:val="12"/>
        </w:rPr>
        <w:t>midazolam possibly increased by </w:t>
      </w:r>
      <w:r>
        <w:rPr>
          <w:rFonts w:ascii="Calibri" w:hAnsi="Calibri"/>
          <w:color w:val="008356"/>
          <w:spacing w:val="4"/>
          <w:w w:val="105"/>
          <w:sz w:val="11"/>
        </w:rPr>
        <w:t>GRAPEFRUIT JUICE</w:t>
      </w:r>
      <w:r>
        <w:rPr>
          <w:color w:val="231F1F"/>
          <w:spacing w:val="4"/>
          <w:w w:val="105"/>
          <w:sz w:val="12"/>
        </w:rPr>
        <w:t>; </w:t>
      </w:r>
      <w:r>
        <w:rPr>
          <w:color w:val="231F1F"/>
          <w:w w:val="105"/>
          <w:sz w:val="12"/>
        </w:rPr>
        <w:t>plasma  concentration of buspirone increased by </w:t>
      </w:r>
      <w:r>
        <w:rPr>
          <w:rFonts w:ascii="Calibri" w:hAnsi="Calibri"/>
          <w:color w:val="008356"/>
          <w:spacing w:val="4"/>
          <w:w w:val="105"/>
          <w:sz w:val="11"/>
        </w:rPr>
        <w:t>GRAPEFRUIT</w:t>
      </w:r>
      <w:r>
        <w:rPr>
          <w:rFonts w:ascii="Calibri" w:hAnsi="Calibri"/>
          <w:color w:val="008356"/>
          <w:spacing w:val="7"/>
          <w:w w:val="105"/>
          <w:sz w:val="11"/>
        </w:rPr>
        <w:t> </w:t>
      </w:r>
      <w:r>
        <w:rPr>
          <w:rFonts w:ascii="Calibri" w:hAnsi="Calibri"/>
          <w:color w:val="008356"/>
          <w:spacing w:val="5"/>
          <w:w w:val="105"/>
          <w:sz w:val="11"/>
        </w:rPr>
        <w:t>JUICE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Ivacaftor: </w:t>
      </w:r>
      <w:r>
        <w:rPr>
          <w:color w:val="231F1F"/>
          <w:w w:val="105"/>
        </w:rPr>
        <w:t>plasma concentration of midazolam increased by</w:t>
      </w:r>
    </w:p>
    <w:p>
      <w:pPr>
        <w:spacing w:line="130" w:lineRule="exact" w:before="0"/>
        <w:ind w:left="286" w:right="0" w:firstLine="0"/>
        <w:jc w:val="left"/>
        <w:rPr>
          <w:rFonts w:ascii="Calibri"/>
          <w:sz w:val="11"/>
        </w:rPr>
      </w:pPr>
      <w:r>
        <w:rPr>
          <w:rFonts w:ascii="Calibri"/>
          <w:color w:val="008356"/>
          <w:sz w:val="11"/>
        </w:rPr>
        <w:t>IVACAFTOR</w:t>
      </w:r>
    </w:p>
    <w:p>
      <w:pPr>
        <w:pStyle w:val="BodyText"/>
        <w:spacing w:line="237" w:lineRule="auto"/>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plasma concentration of midazolam possibly increased by </w:t>
      </w:r>
      <w:r>
        <w:rPr>
          <w:rFonts w:ascii="Calibri" w:hAnsi="Calibri"/>
          <w:color w:val="008356"/>
          <w:w w:val="105"/>
          <w:sz w:val="11"/>
        </w:rPr>
        <w:t>ATORVASTATIN</w:t>
      </w:r>
      <w:r>
        <w:rPr>
          <w:color w:val="231F1F"/>
          <w:w w:val="105"/>
        </w:rPr>
        <w:t>; separating administration from alprazolam by 12 hours advised by manufacturer of </w:t>
      </w:r>
      <w:r>
        <w:rPr>
          <w:rFonts w:ascii="Calibri" w:hAnsi="Calibri"/>
          <w:color w:val="008356"/>
          <w:w w:val="105"/>
          <w:sz w:val="11"/>
        </w:rPr>
        <w:t>LOMITAPIDE</w:t>
      </w:r>
    </w:p>
    <w:p>
      <w:pPr>
        <w:pStyle w:val="BodyText"/>
        <w:spacing w:line="220" w:lineRule="auto" w:before="6"/>
        <w:ind w:left="286" w:right="17" w:hanging="100"/>
        <w:rPr>
          <w:rFonts w:ascii="Calibri" w:hAnsi="Calibri"/>
          <w:sz w:val="11"/>
        </w:rPr>
      </w:pPr>
      <w:r>
        <w:rPr>
          <w:rFonts w:ascii="Lucida Sans Unicode" w:hAnsi="Lucida Sans Unicode"/>
          <w:color w:val="A7A8AC"/>
          <w:w w:val="95"/>
          <w:sz w:val="10"/>
        </w:rPr>
        <w:t>▶ </w:t>
      </w:r>
      <w:r>
        <w:rPr>
          <w:rFonts w:ascii="Calibri" w:hAnsi="Calibri"/>
          <w:color w:val="231F1F"/>
          <w:w w:val="110"/>
        </w:rPr>
        <w:t>Lithium: </w:t>
      </w:r>
      <w:r>
        <w:rPr>
          <w:color w:val="231F1F"/>
          <w:w w:val="110"/>
        </w:rPr>
        <w:t>increased risk of neurotoxicity when clonazepam given with </w:t>
      </w:r>
      <w:r>
        <w:rPr>
          <w:rFonts w:ascii="Calibri" w:hAnsi="Calibri"/>
          <w:color w:val="008356"/>
          <w:w w:val="110"/>
          <w:sz w:val="11"/>
        </w:rPr>
        <w:t>LITHIUM</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Lofexidine: </w:t>
      </w:r>
      <w:r>
        <w:rPr>
          <w:color w:val="231F1F"/>
          <w:w w:val="105"/>
        </w:rPr>
        <w:t>increased sedative effect when anxiolytics and hypnotics given with </w:t>
      </w:r>
      <w:r>
        <w:rPr>
          <w:rFonts w:ascii="Calibri" w:hAnsi="Calibri"/>
          <w:color w:val="008356"/>
          <w:w w:val="105"/>
          <w:sz w:val="11"/>
        </w:rPr>
        <w:t>LOFEXIDINE</w:t>
      </w:r>
    </w:p>
    <w:p>
      <w:pPr>
        <w:pStyle w:val="BodyText"/>
        <w:spacing w:line="220" w:lineRule="auto" w:before="8"/>
        <w:ind w:left="286" w:right="174"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anxiolytics and hypnotics given with </w:t>
      </w:r>
      <w:r>
        <w:rPr>
          <w:rFonts w:ascii="Calibri" w:hAnsi="Calibri"/>
          <w:color w:val="008356"/>
          <w:w w:val="110"/>
          <w:sz w:val="11"/>
        </w:rPr>
        <w:t>METHYLDOPA</w:t>
      </w:r>
    </w:p>
    <w:p>
      <w:pPr>
        <w:pStyle w:val="BodyText"/>
        <w:spacing w:line="244" w:lineRule="auto"/>
        <w:ind w:left="286" w:right="213" w:hanging="100"/>
      </w:pPr>
      <w:r>
        <w:rPr>
          <w:rFonts w:ascii="Arial" w:hAnsi="Arial"/>
          <w:color w:val="231F1F"/>
          <w:w w:val="355"/>
          <w:position w:val="1"/>
          <w:sz w:val="7"/>
        </w:rPr>
        <w:t>l </w:t>
      </w:r>
      <w:r>
        <w:rPr>
          <w:rFonts w:ascii="Calibri" w:hAnsi="Calibri"/>
          <w:color w:val="231F1F"/>
          <w:w w:val="110"/>
        </w:rPr>
        <w:t>Methylthioninium: </w:t>
      </w:r>
      <w:r>
        <w:rPr>
          <w:color w:val="231F1F"/>
          <w:w w:val="110"/>
        </w:rPr>
        <w:t>possible risk of CNS toxicity when buspirone given with </w:t>
      </w:r>
      <w:r>
        <w:rPr>
          <w:rFonts w:ascii="Arial" w:hAnsi="Arial"/>
          <w:color w:val="231F1F"/>
          <w:w w:val="355"/>
          <w:position w:val="1"/>
          <w:sz w:val="7"/>
        </w:rPr>
        <w:t>l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w:t>
      </w:r>
      <w:r>
        <w:rPr>
          <w:color w:val="231F1F"/>
          <w:spacing w:val="-5"/>
          <w:w w:val="110"/>
        </w:rPr>
        <w:t>for </w:t>
      </w:r>
      <w:r>
        <w:rPr>
          <w:color w:val="231F1F"/>
          <w:w w:val="110"/>
        </w:rPr>
        <w:t>up to 4 hours after</w:t>
      </w:r>
      <w:r>
        <w:rPr>
          <w:color w:val="231F1F"/>
          <w:spacing w:val="-1"/>
          <w:w w:val="110"/>
        </w:rPr>
        <w:t> </w:t>
      </w:r>
      <w:r>
        <w:rPr>
          <w:color w:val="231F1F"/>
          <w:w w:val="110"/>
        </w:rPr>
        <w:t>administration)</w:t>
      </w:r>
    </w:p>
    <w:p>
      <w:pPr>
        <w:pStyle w:val="BodyText"/>
        <w:spacing w:line="242" w:lineRule="auto"/>
        <w:ind w:left="286" w:right="184" w:hanging="100"/>
        <w:rPr>
          <w:rFonts w:ascii="Calibri" w:hAnsi="Calibri"/>
          <w:sz w:val="11"/>
        </w:rPr>
      </w:pPr>
      <w:r>
        <w:rPr>
          <w:rFonts w:ascii="Lucida Sans Unicode" w:hAnsi="Lucida Sans Unicode"/>
          <w:color w:val="A7A8AC"/>
          <w:w w:val="95"/>
          <w:sz w:val="10"/>
        </w:rPr>
        <w:t>▶ </w:t>
      </w:r>
      <w:r>
        <w:rPr>
          <w:rFonts w:ascii="Calibri" w:hAnsi="Calibri"/>
          <w:color w:val="231F1F"/>
          <w:w w:val="110"/>
        </w:rPr>
        <w:t>Moxonidine: </w:t>
      </w:r>
      <w:r>
        <w:rPr>
          <w:color w:val="231F1F"/>
          <w:w w:val="110"/>
        </w:rPr>
        <w:t>enhanced hypotensive effect when anxiolytics and hypnotics given with </w:t>
      </w:r>
      <w:r>
        <w:rPr>
          <w:rFonts w:ascii="Calibri" w:hAnsi="Calibri"/>
          <w:color w:val="008356"/>
          <w:w w:val="110"/>
          <w:sz w:val="11"/>
        </w:rPr>
        <w:t>MOXONIDINE</w:t>
      </w:r>
      <w:r>
        <w:rPr>
          <w:color w:val="231F1F"/>
          <w:w w:val="110"/>
        </w:rPr>
        <w:t>; sedative effects possibly increased when benzodiazepines given with </w:t>
      </w:r>
      <w:r>
        <w:rPr>
          <w:rFonts w:ascii="Calibri" w:hAnsi="Calibri"/>
          <w:color w:val="008356"/>
          <w:w w:val="110"/>
          <w:sz w:val="11"/>
        </w:rPr>
        <w:t>MOXONIDINE</w:t>
      </w:r>
    </w:p>
    <w:p>
      <w:pPr>
        <w:pStyle w:val="BodyText"/>
        <w:spacing w:line="220" w:lineRule="auto" w:before="2"/>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increased sedative effect when anxiolytics and hypnotics given with </w:t>
      </w:r>
      <w:r>
        <w:rPr>
          <w:rFonts w:ascii="Calibri" w:hAnsi="Calibri"/>
          <w:color w:val="008356"/>
          <w:w w:val="105"/>
          <w:sz w:val="11"/>
        </w:rPr>
        <w:t>BACLOFEN </w:t>
      </w:r>
      <w:r>
        <w:rPr>
          <w:color w:val="231F1F"/>
          <w:w w:val="105"/>
        </w:rPr>
        <w:t>or </w:t>
      </w:r>
      <w:r>
        <w:rPr>
          <w:rFonts w:ascii="Calibri" w:hAnsi="Calibri"/>
          <w:color w:val="008356"/>
          <w:w w:val="105"/>
          <w:sz w:val="11"/>
        </w:rPr>
        <w:t>TIZANIDINE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anxiolytics and hypnotics given with </w:t>
      </w:r>
      <w:r>
        <w:rPr>
          <w:rFonts w:ascii="Calibri" w:hAnsi="Calibri"/>
          <w:color w:val="008356"/>
          <w:w w:val="110"/>
          <w:sz w:val="11"/>
        </w:rPr>
        <w:t>NITRATES</w:t>
      </w:r>
    </w:p>
    <w:p>
      <w:pPr>
        <w:pStyle w:val="BodyText"/>
        <w:spacing w:line="237" w:lineRule="auto"/>
        <w:ind w:left="286" w:right="43"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plasma concentration of melatonin increased by </w:t>
      </w:r>
      <w:r>
        <w:rPr>
          <w:rFonts w:ascii="Calibri" w:hAnsi="Calibri"/>
          <w:color w:val="008356"/>
          <w:spacing w:val="4"/>
          <w:w w:val="110"/>
          <w:sz w:val="11"/>
        </w:rPr>
        <w:t>OESTROGENS</w:t>
      </w:r>
      <w:r>
        <w:rPr>
          <w:color w:val="231F1F"/>
          <w:spacing w:val="4"/>
          <w:w w:val="110"/>
        </w:rPr>
        <w:t>; </w:t>
      </w:r>
      <w:r>
        <w:rPr>
          <w:color w:val="231F1F"/>
          <w:w w:val="110"/>
        </w:rPr>
        <w:t>plasma concentration of chlordiazepoxide, diazepam and nitrazepam possibly increased by </w:t>
      </w:r>
      <w:r>
        <w:rPr>
          <w:rFonts w:ascii="Calibri" w:hAnsi="Calibri"/>
          <w:color w:val="008356"/>
          <w:spacing w:val="3"/>
          <w:w w:val="110"/>
          <w:sz w:val="11"/>
        </w:rPr>
        <w:t>OESTROGENS</w:t>
      </w:r>
      <w:r>
        <w:rPr>
          <w:color w:val="231F1F"/>
          <w:spacing w:val="3"/>
          <w:w w:val="110"/>
        </w:rPr>
        <w:t>; </w:t>
      </w:r>
      <w:r>
        <w:rPr>
          <w:color w:val="231F1F"/>
          <w:w w:val="110"/>
        </w:rPr>
        <w:t>plasma concentration of lorazepam, oxazepam and  temazepam possibly reduced by</w:t>
      </w:r>
      <w:r>
        <w:rPr>
          <w:color w:val="231F1F"/>
          <w:spacing w:val="-13"/>
          <w:w w:val="110"/>
        </w:rPr>
        <w:t> </w:t>
      </w:r>
      <w:r>
        <w:rPr>
          <w:rFonts w:ascii="Calibri" w:hAnsi="Calibri"/>
          <w:color w:val="008356"/>
          <w:spacing w:val="5"/>
          <w:w w:val="110"/>
          <w:sz w:val="11"/>
        </w:rPr>
        <w:t>OESTROGENS</w:t>
      </w:r>
    </w:p>
    <w:p>
      <w:pPr>
        <w:pStyle w:val="BodyText"/>
        <w:spacing w:line="237" w:lineRule="auto" w:before="2"/>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Progestogens: </w:t>
      </w:r>
      <w:r>
        <w:rPr>
          <w:color w:val="231F1F"/>
          <w:w w:val="110"/>
        </w:rPr>
        <w:t>plasma concentration of chlordiazepoxide, diazepam and nitrazepam possibly increased by </w:t>
      </w:r>
      <w:r>
        <w:rPr>
          <w:rFonts w:ascii="Calibri" w:hAnsi="Calibri"/>
          <w:color w:val="008356"/>
          <w:spacing w:val="4"/>
          <w:w w:val="110"/>
          <w:sz w:val="11"/>
        </w:rPr>
        <w:t>PROGESTOGENS</w:t>
      </w:r>
      <w:r>
        <w:rPr>
          <w:color w:val="231F1F"/>
          <w:spacing w:val="4"/>
          <w:w w:val="110"/>
        </w:rPr>
        <w:t>; </w:t>
      </w:r>
      <w:r>
        <w:rPr>
          <w:color w:val="231F1F"/>
          <w:w w:val="110"/>
        </w:rPr>
        <w:t>plasma concentration of lorazepam, oxazepam and temazepam possibly reduced by</w:t>
      </w:r>
      <w:r>
        <w:rPr>
          <w:color w:val="231F1F"/>
          <w:spacing w:val="-14"/>
          <w:w w:val="110"/>
        </w:rPr>
        <w:t> </w:t>
      </w:r>
      <w:r>
        <w:rPr>
          <w:rFonts w:ascii="Calibri" w:hAnsi="Calibri"/>
          <w:color w:val="008356"/>
          <w:spacing w:val="2"/>
          <w:w w:val="110"/>
          <w:sz w:val="11"/>
        </w:rPr>
        <w:t>PROGESTOGENS</w:t>
      </w:r>
    </w:p>
    <w:p>
      <w:pPr>
        <w:spacing w:line="240" w:lineRule="auto" w:before="0"/>
        <w:ind w:left="286" w:right="17" w:hanging="100"/>
        <w:jc w:val="left"/>
        <w:rPr>
          <w:sz w:val="12"/>
        </w:rPr>
      </w:pPr>
      <w:r>
        <w:rPr>
          <w:rFonts w:ascii="Arial"/>
          <w:color w:val="231F1F"/>
          <w:w w:val="315"/>
          <w:position w:val="1"/>
          <w:sz w:val="7"/>
        </w:rPr>
        <w:t>l</w:t>
      </w:r>
      <w:r>
        <w:rPr>
          <w:rFonts w:ascii="Arial"/>
          <w:color w:val="231F1F"/>
          <w:spacing w:val="-48"/>
          <w:w w:val="315"/>
          <w:position w:val="1"/>
          <w:sz w:val="7"/>
        </w:rPr>
        <w:t> </w:t>
      </w:r>
      <w:r>
        <w:rPr>
          <w:rFonts w:ascii="Calibri"/>
          <w:color w:val="231F1F"/>
          <w:w w:val="115"/>
          <w:sz w:val="12"/>
        </w:rPr>
        <w:t>Sodium</w:t>
      </w:r>
      <w:r>
        <w:rPr>
          <w:rFonts w:ascii="Calibri"/>
          <w:color w:val="231F1F"/>
          <w:spacing w:val="-21"/>
          <w:w w:val="115"/>
          <w:sz w:val="12"/>
        </w:rPr>
        <w:t> </w:t>
      </w:r>
      <w:r>
        <w:rPr>
          <w:rFonts w:ascii="Calibri"/>
          <w:color w:val="231F1F"/>
          <w:w w:val="115"/>
          <w:sz w:val="12"/>
        </w:rPr>
        <w:t>Oxybate:</w:t>
      </w:r>
      <w:r>
        <w:rPr>
          <w:rFonts w:ascii="Calibri"/>
          <w:color w:val="231F1F"/>
          <w:spacing w:val="-21"/>
          <w:w w:val="115"/>
          <w:sz w:val="12"/>
        </w:rPr>
        <w:t> </w:t>
      </w:r>
      <w:r>
        <w:rPr>
          <w:color w:val="231F1F"/>
          <w:w w:val="115"/>
          <w:sz w:val="12"/>
        </w:rPr>
        <w:t>benzodiazepines</w:t>
      </w:r>
      <w:r>
        <w:rPr>
          <w:color w:val="231F1F"/>
          <w:spacing w:val="-24"/>
          <w:w w:val="115"/>
          <w:sz w:val="12"/>
        </w:rPr>
        <w:t> </w:t>
      </w:r>
      <w:r>
        <w:rPr>
          <w:color w:val="231F1F"/>
          <w:w w:val="115"/>
          <w:sz w:val="12"/>
        </w:rPr>
        <w:t>enhance</w:t>
      </w:r>
      <w:r>
        <w:rPr>
          <w:color w:val="231F1F"/>
          <w:spacing w:val="-24"/>
          <w:w w:val="115"/>
          <w:sz w:val="12"/>
        </w:rPr>
        <w:t> </w:t>
      </w:r>
      <w:r>
        <w:rPr>
          <w:color w:val="231F1F"/>
          <w:w w:val="115"/>
          <w:sz w:val="12"/>
        </w:rPr>
        <w:t>effects</w:t>
      </w:r>
      <w:r>
        <w:rPr>
          <w:color w:val="231F1F"/>
          <w:spacing w:val="-25"/>
          <w:w w:val="115"/>
          <w:sz w:val="12"/>
        </w:rPr>
        <w:t> </w:t>
      </w:r>
      <w:r>
        <w:rPr>
          <w:color w:val="231F1F"/>
          <w:w w:val="115"/>
          <w:sz w:val="12"/>
        </w:rPr>
        <w:t>of</w:t>
      </w:r>
      <w:r>
        <w:rPr>
          <w:color w:val="231F1F"/>
          <w:spacing w:val="-23"/>
          <w:w w:val="115"/>
          <w:sz w:val="12"/>
        </w:rPr>
        <w:t> </w:t>
      </w:r>
      <w:r>
        <w:rPr>
          <w:rFonts w:ascii="Arial"/>
          <w:color w:val="231F1F"/>
          <w:w w:val="315"/>
          <w:position w:val="1"/>
          <w:sz w:val="7"/>
        </w:rPr>
        <w:t>l</w:t>
      </w:r>
      <w:r>
        <w:rPr>
          <w:rFonts w:ascii="Arial"/>
          <w:color w:val="231F1F"/>
          <w:spacing w:val="-52"/>
          <w:w w:val="315"/>
          <w:position w:val="1"/>
          <w:sz w:val="7"/>
        </w:rPr>
        <w:t> </w:t>
      </w:r>
      <w:r>
        <w:rPr>
          <w:rFonts w:ascii="Calibri"/>
          <w:color w:val="008356"/>
          <w:spacing w:val="3"/>
          <w:w w:val="115"/>
          <w:sz w:val="11"/>
        </w:rPr>
        <w:t>SODIUM OXYBATE </w:t>
      </w:r>
      <w:r>
        <w:rPr>
          <w:color w:val="231F1F"/>
          <w:w w:val="115"/>
          <w:sz w:val="12"/>
        </w:rPr>
        <w:t>(avoid concomitant</w:t>
      </w:r>
      <w:r>
        <w:rPr>
          <w:color w:val="231F1F"/>
          <w:spacing w:val="-8"/>
          <w:w w:val="115"/>
          <w:sz w:val="12"/>
        </w:rPr>
        <w:t> </w:t>
      </w:r>
      <w:r>
        <w:rPr>
          <w:color w:val="231F1F"/>
          <w:w w:val="115"/>
          <w:sz w:val="12"/>
        </w:rPr>
        <w:t>use)</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Theophylline: </w:t>
      </w:r>
      <w:r>
        <w:rPr>
          <w:color w:val="231F1F"/>
          <w:w w:val="105"/>
        </w:rPr>
        <w:t>effects of benzodiazepines possibly reduced by</w:t>
      </w:r>
    </w:p>
    <w:p>
      <w:pPr>
        <w:spacing w:line="130" w:lineRule="exact" w:before="0"/>
        <w:ind w:left="286" w:right="0" w:firstLine="0"/>
        <w:jc w:val="left"/>
        <w:rPr>
          <w:rFonts w:ascii="Calibri"/>
          <w:sz w:val="11"/>
        </w:rPr>
      </w:pPr>
      <w:r>
        <w:rPr>
          <w:rFonts w:ascii="Calibri"/>
          <w:color w:val="008356"/>
          <w:sz w:val="11"/>
        </w:rPr>
        <w:t>THEOPHYLLINE</w:t>
      </w:r>
    </w:p>
    <w:p>
      <w:pPr>
        <w:pStyle w:val="BodyText"/>
        <w:ind w:left="286" w:right="174" w:hanging="100"/>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melatonin increased by </w:t>
      </w:r>
      <w:r>
        <w:rPr>
          <w:rFonts w:ascii="Calibri" w:hAnsi="Calibri"/>
          <w:color w:val="008356"/>
          <w:w w:val="110"/>
          <w:sz w:val="11"/>
        </w:rPr>
        <w:t>CIMETIDINE</w:t>
      </w:r>
      <w:r>
        <w:rPr>
          <w:color w:val="231F1F"/>
          <w:w w:val="110"/>
        </w:rPr>
        <w:t>; metabolism of benzodiazepines, clomethiazole and zaleplon inhibited by </w:t>
      </w:r>
      <w:r>
        <w:rPr>
          <w:rFonts w:ascii="Calibri" w:hAnsi="Calibri"/>
          <w:color w:val="008356"/>
          <w:w w:val="110"/>
          <w:sz w:val="11"/>
        </w:rPr>
        <w:t>CIMETIDINE </w:t>
      </w:r>
      <w:r>
        <w:rPr>
          <w:color w:val="231F1F"/>
          <w:w w:val="110"/>
        </w:rPr>
        <w:t>(increased plasma concentration); metabolism of diazepam possibly inhibited by </w:t>
      </w:r>
      <w:r>
        <w:rPr>
          <w:rFonts w:ascii="Calibri" w:hAnsi="Calibri"/>
          <w:color w:val="008356"/>
          <w:w w:val="110"/>
          <w:sz w:val="11"/>
        </w:rPr>
        <w:t>ESOMEPRAZOLE </w:t>
      </w:r>
      <w:r>
        <w:rPr>
          <w:color w:val="231F1F"/>
          <w:w w:val="110"/>
        </w:rPr>
        <w:t>and </w:t>
      </w:r>
      <w:r>
        <w:rPr>
          <w:rFonts w:ascii="Calibri" w:hAnsi="Calibri"/>
          <w:color w:val="008356"/>
          <w:w w:val="110"/>
          <w:sz w:val="11"/>
        </w:rPr>
        <w:t>OMEPRAZOLE </w:t>
      </w:r>
      <w:r>
        <w:rPr>
          <w:color w:val="231F1F"/>
          <w:w w:val="110"/>
        </w:rPr>
        <w:t>(increased plasma concentration)</w:t>
      </w:r>
    </w:p>
    <w:p>
      <w:pPr>
        <w:spacing w:line="230" w:lineRule="auto" w:before="0"/>
        <w:ind w:left="286" w:right="2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anxiolytics and hypnotics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9"/>
        <w:ind w:left="186"/>
        <w:rPr>
          <w:rFonts w:ascii="Trebuchet MS"/>
        </w:rPr>
      </w:pPr>
      <w:r>
        <w:rPr>
          <w:rFonts w:ascii="Trebuchet MS"/>
          <w:color w:val="008356"/>
          <w:w w:val="105"/>
        </w:rPr>
        <w:t>Apixaban</w:t>
      </w:r>
    </w:p>
    <w:p>
      <w:pPr>
        <w:pStyle w:val="BodyText"/>
        <w:spacing w:line="244" w:lineRule="auto"/>
        <w:ind w:left="286" w:right="139" w:hanging="100"/>
      </w:pPr>
      <w:r>
        <w:rPr>
          <w:rFonts w:ascii="Arial"/>
          <w:color w:val="231F1F"/>
          <w:w w:val="355"/>
          <w:position w:val="1"/>
          <w:sz w:val="7"/>
        </w:rPr>
        <w:t>l </w:t>
      </w:r>
      <w:r>
        <w:rPr>
          <w:rFonts w:ascii="Calibri"/>
          <w:color w:val="231F1F"/>
          <w:w w:val="110"/>
        </w:rPr>
        <w:t>Analgesics: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line="244" w:lineRule="auto" w:before="1"/>
        <w:ind w:left="286"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ind w:left="286" w:right="170" w:hanging="100"/>
      </w:pPr>
      <w:r>
        <w:rPr>
          <w:rFonts w:ascii="Arial"/>
          <w:color w:val="231F1F"/>
          <w:w w:val="355"/>
          <w:position w:val="1"/>
          <w:sz w:val="7"/>
        </w:rPr>
        <w:t>l </w:t>
      </w:r>
      <w:r>
        <w:rPr>
          <w:rFonts w:ascii="Calibri"/>
          <w:color w:val="231F1F"/>
          <w:w w:val="110"/>
        </w:rPr>
        <w:t>Antibacterials: </w:t>
      </w:r>
      <w:r>
        <w:rPr>
          <w:color w:val="231F1F"/>
          <w:w w:val="110"/>
        </w:rPr>
        <w:t>manufacturer of apixaban advises avoid concomitant use with </w:t>
      </w:r>
      <w:r>
        <w:rPr>
          <w:rFonts w:ascii="Calibri"/>
          <w:color w:val="008356"/>
          <w:w w:val="110"/>
          <w:sz w:val="11"/>
        </w:rPr>
        <w:t>CLARITHROMYCIN </w:t>
      </w:r>
      <w:r>
        <w:rPr>
          <w:color w:val="231F1F"/>
          <w:w w:val="110"/>
        </w:rPr>
        <w:t>and </w:t>
      </w:r>
      <w:r>
        <w:rPr>
          <w:rFonts w:ascii="Calibri"/>
          <w:color w:val="008356"/>
          <w:w w:val="110"/>
          <w:sz w:val="11"/>
        </w:rPr>
        <w:t>TELITHROMYCIN</w:t>
      </w:r>
      <w:r>
        <w:rPr>
          <w:color w:val="231F1F"/>
          <w:w w:val="110"/>
        </w:rPr>
        <w:t>; plasma concentration of apixaban possibly reduced by</w:t>
      </w:r>
    </w:p>
    <w:p>
      <w:pPr>
        <w:pStyle w:val="BodyText"/>
        <w:spacing w:line="247" w:lineRule="auto" w:before="4"/>
        <w:ind w:left="286" w:right="296" w:hanging="1"/>
      </w:pPr>
      <w:r>
        <w:rPr>
          <w:rFonts w:ascii="Arial" w:hAnsi="Arial"/>
          <w:color w:val="231F1F"/>
          <w:w w:val="11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apixaban advises avoid </w:t>
      </w:r>
      <w:r>
        <w:rPr>
          <w:color w:val="231F1F"/>
          <w:w w:val="120"/>
        </w:rPr>
        <w:t>concomitant</w:t>
      </w:r>
      <w:r>
        <w:rPr>
          <w:color w:val="231F1F"/>
          <w:spacing w:val="-22"/>
          <w:w w:val="120"/>
        </w:rPr>
        <w:t> </w:t>
      </w:r>
      <w:r>
        <w:rPr>
          <w:color w:val="231F1F"/>
          <w:w w:val="120"/>
        </w:rPr>
        <w:t>use</w:t>
      </w:r>
      <w:r>
        <w:rPr>
          <w:color w:val="231F1F"/>
          <w:spacing w:val="-22"/>
          <w:w w:val="120"/>
        </w:rPr>
        <w:t> </w:t>
      </w:r>
      <w:r>
        <w:rPr>
          <w:color w:val="231F1F"/>
          <w:w w:val="120"/>
        </w:rPr>
        <w:t>when</w:t>
      </w:r>
      <w:r>
        <w:rPr>
          <w:color w:val="231F1F"/>
          <w:spacing w:val="-21"/>
          <w:w w:val="120"/>
        </w:rPr>
        <w:t> </w:t>
      </w:r>
      <w:r>
        <w:rPr>
          <w:color w:val="231F1F"/>
          <w:w w:val="120"/>
        </w:rPr>
        <w:t>given</w:t>
      </w:r>
      <w:r>
        <w:rPr>
          <w:color w:val="231F1F"/>
          <w:spacing w:val="-21"/>
          <w:w w:val="120"/>
        </w:rPr>
        <w:t> </w:t>
      </w:r>
      <w:r>
        <w:rPr>
          <w:color w:val="231F1F"/>
          <w:w w:val="120"/>
        </w:rPr>
        <w:t>for</w:t>
      </w:r>
      <w:r>
        <w:rPr>
          <w:color w:val="231F1F"/>
          <w:spacing w:val="-22"/>
          <w:w w:val="120"/>
        </w:rPr>
        <w:t> </w:t>
      </w:r>
      <w:r>
        <w:rPr>
          <w:color w:val="231F1F"/>
          <w:w w:val="120"/>
        </w:rPr>
        <w:t>treatment</w:t>
      </w:r>
      <w:r>
        <w:rPr>
          <w:color w:val="231F1F"/>
          <w:spacing w:val="-21"/>
          <w:w w:val="120"/>
        </w:rPr>
        <w:t> </w:t>
      </w:r>
      <w:r>
        <w:rPr>
          <w:color w:val="231F1F"/>
          <w:w w:val="120"/>
        </w:rPr>
        <w:t>of</w:t>
      </w:r>
      <w:r>
        <w:rPr>
          <w:color w:val="231F1F"/>
          <w:spacing w:val="-21"/>
          <w:w w:val="120"/>
        </w:rPr>
        <w:t> </w:t>
      </w:r>
      <w:r>
        <w:rPr>
          <w:color w:val="231F1F"/>
          <w:w w:val="120"/>
        </w:rPr>
        <w:t>deep-vein thrombosis or pulmonary</w:t>
      </w:r>
      <w:r>
        <w:rPr>
          <w:color w:val="231F1F"/>
          <w:spacing w:val="-25"/>
          <w:w w:val="120"/>
        </w:rPr>
        <w:t> </w:t>
      </w:r>
      <w:r>
        <w:rPr>
          <w:color w:val="231F1F"/>
          <w:w w:val="120"/>
        </w:rPr>
        <w:t>embolism</w:t>
      </w:r>
    </w:p>
    <w:p>
      <w:pPr>
        <w:pStyle w:val="BodyText"/>
        <w:spacing w:line="244" w:lineRule="auto"/>
        <w:ind w:left="286"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apixaban given with other </w:t>
      </w:r>
      <w:r>
        <w:rPr>
          <w:rFonts w:ascii="Arial"/>
          <w:color w:val="231F1F"/>
          <w:w w:val="355"/>
          <w:position w:val="1"/>
          <w:sz w:val="7"/>
        </w:rPr>
        <w:t>l </w:t>
      </w:r>
      <w:r>
        <w:rPr>
          <w:rFonts w:ascii="Calibri"/>
          <w:color w:val="008356"/>
          <w:w w:val="110"/>
          <w:sz w:val="11"/>
        </w:rPr>
        <w:t>ANTICOAGULANTS </w:t>
      </w:r>
      <w:r>
        <w:rPr>
          <w:color w:val="231F1F"/>
          <w:w w:val="110"/>
        </w:rPr>
        <w:t>(avoid concomitant use except when switching with other anticoagulants or using heparin to maintain catheter patency); increased risk of haemorrhage when other anticoagulants given with</w:t>
      </w:r>
    </w:p>
    <w:p>
      <w:pPr>
        <w:pStyle w:val="BodyText"/>
        <w:spacing w:line="247" w:lineRule="auto"/>
        <w:ind w:left="286" w:right="107"/>
      </w:pPr>
      <w:r>
        <w:rPr>
          <w:rFonts w:ascii="Arial"/>
          <w:color w:val="231F1F"/>
          <w:w w:val="355"/>
          <w:position w:val="1"/>
          <w:sz w:val="7"/>
        </w:rPr>
        <w:t>l </w:t>
      </w:r>
      <w:r>
        <w:rPr>
          <w:rFonts w:ascii="Calibri"/>
          <w:color w:val="008356"/>
          <w:spacing w:val="4"/>
          <w:w w:val="110"/>
          <w:sz w:val="11"/>
        </w:rPr>
        <w:t>DABIGATRAN </w:t>
      </w:r>
      <w:r>
        <w:rPr>
          <w:color w:val="231F1F"/>
          <w:w w:val="110"/>
        </w:rPr>
        <w:t>and </w:t>
      </w:r>
      <w:r>
        <w:rPr>
          <w:rFonts w:ascii="Arial"/>
          <w:color w:val="231F1F"/>
          <w:w w:val="355"/>
          <w:position w:val="1"/>
          <w:sz w:val="7"/>
        </w:rPr>
        <w:t>l </w:t>
      </w:r>
      <w:r>
        <w:rPr>
          <w:rFonts w:ascii="Calibri"/>
          <w:color w:val="008356"/>
          <w:spacing w:val="3"/>
          <w:w w:val="110"/>
          <w:sz w:val="11"/>
        </w:rPr>
        <w:t>RIVAROXABAN </w:t>
      </w:r>
      <w:r>
        <w:rPr>
          <w:color w:val="231F1F"/>
          <w:w w:val="110"/>
        </w:rPr>
        <w:t>(avoid concomitant use except when switching with other anticoagulants or </w:t>
      </w:r>
      <w:r>
        <w:rPr>
          <w:color w:val="231F1F"/>
          <w:spacing w:val="-3"/>
          <w:w w:val="110"/>
        </w:rPr>
        <w:t>using </w:t>
      </w:r>
      <w:r>
        <w:rPr>
          <w:color w:val="231F1F"/>
          <w:w w:val="110"/>
        </w:rPr>
        <w:t>heparin to maintain catheter patency)</w:t>
      </w:r>
    </w:p>
    <w:p>
      <w:pPr>
        <w:pStyle w:val="BodyText"/>
        <w:spacing w:line="244" w:lineRule="auto"/>
        <w:ind w:left="286" w:right="50" w:hanging="100"/>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231F1F"/>
          <w:w w:val="115"/>
        </w:rPr>
        <w:t>Antidepressants: </w:t>
      </w:r>
      <w:r>
        <w:rPr>
          <w:color w:val="231F1F"/>
          <w:w w:val="115"/>
        </w:rPr>
        <w:t>plasma concentration of apixaban possibly reduced by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ST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 </w:t>
      </w:r>
      <w:r>
        <w:rPr>
          <w:rFonts w:ascii="Calibri" w:hAnsi="Calibri"/>
          <w:color w:val="008356"/>
          <w:w w:val="115"/>
          <w:sz w:val="11"/>
        </w:rPr>
        <w:t>WORT</w:t>
      </w:r>
      <w:r>
        <w:rPr>
          <w:rFonts w:ascii="Arial" w:hAnsi="Arial"/>
          <w:color w:val="231F1F"/>
          <w:w w:val="115"/>
        </w:rPr>
        <w:t>—</w:t>
      </w:r>
      <w:r>
        <w:rPr>
          <w:color w:val="231F1F"/>
          <w:w w:val="115"/>
        </w:rPr>
        <w:t>manufacturer of apixaban advises avoid concomitant use when given for treatment </w:t>
      </w:r>
      <w:r>
        <w:rPr>
          <w:color w:val="231F1F"/>
          <w:spacing w:val="-7"/>
          <w:w w:val="115"/>
        </w:rPr>
        <w:t>of </w:t>
      </w:r>
      <w:r>
        <w:rPr>
          <w:color w:val="231F1F"/>
          <w:w w:val="115"/>
        </w:rPr>
        <w:t>deep-vein thrombosis or pulmonary embolism</w:t>
      </w:r>
    </w:p>
    <w:p>
      <w:pPr>
        <w:pStyle w:val="BodyText"/>
        <w:spacing w:before="7"/>
        <w:ind w:left="0"/>
        <w:rPr>
          <w:sz w:val="14"/>
        </w:rPr>
      </w:pPr>
      <w:r>
        <w:rPr/>
        <w:br w:type="column"/>
      </w:r>
      <w:r>
        <w:rPr>
          <w:sz w:val="14"/>
        </w:rPr>
      </w:r>
    </w:p>
    <w:p>
      <w:pPr>
        <w:pStyle w:val="BodyText"/>
        <w:spacing w:line="144" w:lineRule="exact"/>
        <w:ind w:left="184"/>
        <w:rPr>
          <w:rFonts w:ascii="Calibri"/>
        </w:rPr>
      </w:pPr>
      <w:r>
        <w:rPr>
          <w:rFonts w:ascii="Arial"/>
          <w:color w:val="008356"/>
        </w:rPr>
        <w:t>Apixaban </w:t>
      </w:r>
      <w:r>
        <w:rPr>
          <w:rFonts w:ascii="Calibri"/>
          <w:color w:val="231F1F"/>
        </w:rPr>
        <w:t>(continued)</w:t>
      </w:r>
    </w:p>
    <w:p>
      <w:pPr>
        <w:pStyle w:val="BodyText"/>
        <w:spacing w:line="244" w:lineRule="auto"/>
        <w:ind w:left="284" w:right="673" w:hanging="100"/>
      </w:pPr>
      <w:r>
        <w:rPr>
          <w:rFonts w:ascii="Arial" w:hAnsi="Arial"/>
          <w:color w:val="231F1F"/>
          <w:w w:val="355"/>
          <w:position w:val="1"/>
          <w:sz w:val="7"/>
        </w:rPr>
        <w:t>l </w:t>
      </w:r>
      <w:r>
        <w:rPr>
          <w:rFonts w:ascii="Calibri" w:hAnsi="Calibri"/>
          <w:color w:val="231F1F"/>
          <w:w w:val="115"/>
        </w:rPr>
        <w:t>Antiepileptics: </w:t>
      </w:r>
      <w:r>
        <w:rPr>
          <w:color w:val="231F1F"/>
          <w:w w:val="115"/>
        </w:rPr>
        <w:t>plasma concentration of apixaban possibly reduced by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CARBAMAZEPINE</w:t>
      </w:r>
      <w:r>
        <w:rPr>
          <w:rFonts w:ascii="Arial" w:hAnsi="Arial"/>
          <w:color w:val="231F1F"/>
          <w:spacing w:val="2"/>
          <w:w w:val="115"/>
        </w:rPr>
        <w:t>—</w:t>
      </w:r>
      <w:r>
        <w:rPr>
          <w:color w:val="231F1F"/>
          <w:spacing w:val="2"/>
          <w:w w:val="115"/>
        </w:rPr>
        <w:t>manufacturer </w:t>
      </w:r>
      <w:r>
        <w:rPr>
          <w:color w:val="231F1F"/>
          <w:w w:val="115"/>
        </w:rPr>
        <w:t>of apixaban advises avoid concomitant use when given for treatment </w:t>
      </w:r>
      <w:r>
        <w:rPr>
          <w:color w:val="231F1F"/>
          <w:spacing w:val="-7"/>
          <w:w w:val="115"/>
        </w:rPr>
        <w:t>of </w:t>
      </w:r>
      <w:r>
        <w:rPr>
          <w:color w:val="231F1F"/>
          <w:w w:val="115"/>
        </w:rPr>
        <w:t>deep-vein thrombosis or pulmonary embolism; plasma concentration of apixaban possibly reduced by</w:t>
      </w:r>
    </w:p>
    <w:p>
      <w:pPr>
        <w:spacing w:before="1"/>
        <w:ind w:left="284" w:right="0" w:firstLine="0"/>
        <w:jc w:val="left"/>
        <w:rPr>
          <w:sz w:val="12"/>
        </w:rPr>
      </w:pPr>
      <w:r>
        <w:rPr>
          <w:rFonts w:ascii="Arial"/>
          <w:color w:val="231F1F"/>
          <w:w w:val="355"/>
          <w:position w:val="1"/>
          <w:sz w:val="7"/>
        </w:rPr>
        <w:t>l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 </w:t>
      </w:r>
      <w:r>
        <w:rPr>
          <w:rFonts w:ascii="Arial"/>
          <w:color w:val="231F1F"/>
          <w:w w:val="355"/>
          <w:position w:val="1"/>
          <w:sz w:val="7"/>
        </w:rPr>
        <w:t>l </w:t>
      </w:r>
      <w:r>
        <w:rPr>
          <w:rFonts w:ascii="Calibri"/>
          <w:color w:val="008356"/>
          <w:spacing w:val="4"/>
          <w:w w:val="120"/>
          <w:sz w:val="11"/>
        </w:rPr>
        <w:t>PHENYTOIN </w:t>
      </w:r>
      <w:r>
        <w:rPr>
          <w:color w:val="231F1F"/>
          <w:w w:val="120"/>
          <w:sz w:val="12"/>
        </w:rPr>
        <w:t>and</w:t>
      </w:r>
    </w:p>
    <w:p>
      <w:pPr>
        <w:spacing w:line="133" w:lineRule="exact" w:before="8"/>
        <w:ind w:left="284" w:right="0" w:firstLine="0"/>
        <w:jc w:val="left"/>
        <w:rPr>
          <w:rFonts w:ascii="Calibri"/>
          <w:sz w:val="11"/>
        </w:rPr>
      </w:pPr>
      <w:r>
        <w:rPr>
          <w:rFonts w:ascii="Arial"/>
          <w:color w:val="231F1F"/>
          <w:w w:val="355"/>
          <w:position w:val="1"/>
          <w:sz w:val="7"/>
        </w:rPr>
        <w:t>l </w:t>
      </w:r>
      <w:r>
        <w:rPr>
          <w:rFonts w:ascii="Calibri"/>
          <w:color w:val="008356"/>
          <w:w w:val="115"/>
          <w:sz w:val="11"/>
        </w:rPr>
        <w:t>PRIMIDONE</w:t>
      </w:r>
    </w:p>
    <w:p>
      <w:pPr>
        <w:spacing w:line="247" w:lineRule="auto" w:before="0"/>
        <w:ind w:left="284" w:right="751" w:hanging="100"/>
        <w:jc w:val="left"/>
        <w:rPr>
          <w:rFonts w:ascii="Calibri" w:hAnsi="Calibri"/>
          <w:sz w:val="11"/>
        </w:rPr>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sz w:val="12"/>
        </w:rPr>
        <w:t>Antifungals:</w:t>
      </w:r>
      <w:r>
        <w:rPr>
          <w:rFonts w:ascii="Calibri" w:hAnsi="Calibri"/>
          <w:color w:val="231F1F"/>
          <w:spacing w:val="-11"/>
          <w:w w:val="115"/>
          <w:sz w:val="12"/>
        </w:rPr>
        <w:t> </w:t>
      </w:r>
      <w:r>
        <w:rPr>
          <w:color w:val="231F1F"/>
          <w:w w:val="115"/>
          <w:sz w:val="12"/>
        </w:rPr>
        <w:t>plasma</w:t>
      </w:r>
      <w:r>
        <w:rPr>
          <w:color w:val="231F1F"/>
          <w:spacing w:val="-13"/>
          <w:w w:val="115"/>
          <w:sz w:val="12"/>
        </w:rPr>
        <w:t> </w:t>
      </w:r>
      <w:r>
        <w:rPr>
          <w:color w:val="231F1F"/>
          <w:w w:val="115"/>
          <w:sz w:val="12"/>
        </w:rPr>
        <w:t>concentration</w:t>
      </w:r>
      <w:r>
        <w:rPr>
          <w:color w:val="231F1F"/>
          <w:spacing w:val="-15"/>
          <w:w w:val="115"/>
          <w:sz w:val="12"/>
        </w:rPr>
        <w:t> </w:t>
      </w:r>
      <w:r>
        <w:rPr>
          <w:color w:val="231F1F"/>
          <w:w w:val="115"/>
          <w:sz w:val="12"/>
        </w:rPr>
        <w:t>of</w:t>
      </w:r>
      <w:r>
        <w:rPr>
          <w:color w:val="231F1F"/>
          <w:spacing w:val="-13"/>
          <w:w w:val="115"/>
          <w:sz w:val="12"/>
        </w:rPr>
        <w:t> </w:t>
      </w:r>
      <w:r>
        <w:rPr>
          <w:color w:val="231F1F"/>
          <w:w w:val="115"/>
          <w:sz w:val="12"/>
        </w:rPr>
        <w:t>apixaban</w:t>
      </w:r>
      <w:r>
        <w:rPr>
          <w:color w:val="231F1F"/>
          <w:spacing w:val="-14"/>
          <w:w w:val="115"/>
          <w:sz w:val="12"/>
        </w:rPr>
        <w:t> </w:t>
      </w:r>
      <w:r>
        <w:rPr>
          <w:color w:val="231F1F"/>
          <w:w w:val="115"/>
          <w:sz w:val="12"/>
        </w:rPr>
        <w:t>increased</w:t>
      </w:r>
      <w:r>
        <w:rPr>
          <w:color w:val="231F1F"/>
          <w:spacing w:val="-14"/>
          <w:w w:val="115"/>
          <w:sz w:val="12"/>
        </w:rPr>
        <w:t> </w:t>
      </w:r>
      <w:r>
        <w:rPr>
          <w:color w:val="231F1F"/>
          <w:spacing w:val="-7"/>
          <w:w w:val="115"/>
          <w:sz w:val="12"/>
        </w:rPr>
        <w:t>by </w:t>
      </w:r>
      <w:r>
        <w:rPr>
          <w:rFonts w:ascii="Arial" w:hAnsi="Arial"/>
          <w:color w:val="231F1F"/>
          <w:w w:val="195"/>
          <w:position w:val="1"/>
          <w:sz w:val="7"/>
        </w:rPr>
        <w:t>l</w:t>
      </w:r>
      <w:r>
        <w:rPr>
          <w:rFonts w:ascii="Arial" w:hAnsi="Arial"/>
          <w:color w:val="231F1F"/>
          <w:spacing w:val="-29"/>
          <w:w w:val="195"/>
          <w:position w:val="1"/>
          <w:sz w:val="7"/>
        </w:rPr>
        <w:t> </w:t>
      </w:r>
      <w:r>
        <w:rPr>
          <w:rFonts w:ascii="Calibri" w:hAnsi="Calibri"/>
          <w:color w:val="008356"/>
          <w:spacing w:val="2"/>
          <w:w w:val="115"/>
          <w:sz w:val="11"/>
        </w:rPr>
        <w:t>KETOCONAZOLE</w:t>
      </w:r>
      <w:r>
        <w:rPr>
          <w:rFonts w:ascii="Arial" w:hAnsi="Arial"/>
          <w:color w:val="231F1F"/>
          <w:spacing w:val="2"/>
          <w:w w:val="115"/>
          <w:sz w:val="12"/>
        </w:rPr>
        <w:t>—</w:t>
      </w:r>
      <w:r>
        <w:rPr>
          <w:color w:val="231F1F"/>
          <w:spacing w:val="2"/>
          <w:w w:val="115"/>
          <w:sz w:val="12"/>
        </w:rPr>
        <w:t>manufacturer</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apixaban</w:t>
      </w:r>
      <w:r>
        <w:rPr>
          <w:color w:val="231F1F"/>
          <w:spacing w:val="-24"/>
          <w:w w:val="115"/>
          <w:sz w:val="12"/>
        </w:rPr>
        <w:t> </w:t>
      </w:r>
      <w:r>
        <w:rPr>
          <w:color w:val="231F1F"/>
          <w:w w:val="115"/>
          <w:sz w:val="12"/>
        </w:rPr>
        <w:t>advises</w:t>
      </w:r>
      <w:r>
        <w:rPr>
          <w:color w:val="231F1F"/>
          <w:spacing w:val="-25"/>
          <w:w w:val="115"/>
          <w:sz w:val="12"/>
        </w:rPr>
        <w:t> </w:t>
      </w:r>
      <w:r>
        <w:rPr>
          <w:color w:val="231F1F"/>
          <w:w w:val="115"/>
          <w:sz w:val="12"/>
        </w:rPr>
        <w:t>avoid concomitant use; manufacturer of apixaban advises avoid </w:t>
      </w:r>
      <w:r>
        <w:rPr>
          <w:color w:val="231F1F"/>
          <w:w w:val="110"/>
          <w:sz w:val="12"/>
        </w:rPr>
        <w:t>concomitant use with </w:t>
      </w:r>
      <w:r>
        <w:rPr>
          <w:rFonts w:ascii="Calibri" w:hAnsi="Calibri"/>
          <w:color w:val="008356"/>
          <w:spacing w:val="4"/>
          <w:w w:val="110"/>
          <w:sz w:val="11"/>
        </w:rPr>
        <w:t>ITRACONAZOLE</w:t>
      </w:r>
      <w:r>
        <w:rPr>
          <w:color w:val="231F1F"/>
          <w:spacing w:val="4"/>
          <w:w w:val="110"/>
          <w:sz w:val="12"/>
        </w:rPr>
        <w:t>, </w:t>
      </w:r>
      <w:r>
        <w:rPr>
          <w:rFonts w:ascii="Calibri" w:hAnsi="Calibri"/>
          <w:color w:val="008356"/>
          <w:spacing w:val="4"/>
          <w:w w:val="110"/>
          <w:sz w:val="11"/>
        </w:rPr>
        <w:t>POSACONAZOLE </w:t>
      </w:r>
      <w:r>
        <w:rPr>
          <w:color w:val="231F1F"/>
          <w:w w:val="110"/>
          <w:sz w:val="12"/>
        </w:rPr>
        <w:t>and </w:t>
      </w:r>
      <w:r>
        <w:rPr>
          <w:rFonts w:ascii="Calibri" w:hAnsi="Calibri"/>
          <w:color w:val="008356"/>
          <w:spacing w:val="4"/>
          <w:w w:val="115"/>
          <w:sz w:val="11"/>
        </w:rPr>
        <w:t>VORICONAZOLE</w:t>
      </w:r>
    </w:p>
    <w:p>
      <w:pPr>
        <w:spacing w:line="235" w:lineRule="auto" w:before="0"/>
        <w:ind w:left="284" w:right="61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Antivirals: </w:t>
      </w:r>
      <w:r>
        <w:rPr>
          <w:color w:val="231F1F"/>
          <w:w w:val="105"/>
          <w:sz w:val="12"/>
        </w:rPr>
        <w:t>manufacturer  of  apixaban  advises  avoid concomitant use with </w:t>
      </w:r>
      <w:r>
        <w:rPr>
          <w:rFonts w:ascii="Calibri" w:hAnsi="Calibri"/>
          <w:color w:val="008356"/>
          <w:spacing w:val="3"/>
          <w:w w:val="105"/>
          <w:sz w:val="11"/>
        </w:rPr>
        <w:t>ATAZANAVIR</w:t>
      </w:r>
      <w:r>
        <w:rPr>
          <w:color w:val="231F1F"/>
          <w:spacing w:val="3"/>
          <w:w w:val="105"/>
          <w:sz w:val="12"/>
        </w:rPr>
        <w:t>, </w:t>
      </w:r>
      <w:r>
        <w:rPr>
          <w:rFonts w:ascii="Calibri" w:hAnsi="Calibri"/>
          <w:color w:val="008356"/>
          <w:spacing w:val="4"/>
          <w:w w:val="105"/>
          <w:sz w:val="11"/>
        </w:rPr>
        <w:t>BOCEPREVIR</w:t>
      </w:r>
      <w:r>
        <w:rPr>
          <w:color w:val="231F1F"/>
          <w:spacing w:val="4"/>
          <w:w w:val="105"/>
          <w:sz w:val="12"/>
        </w:rPr>
        <w:t>, </w:t>
      </w:r>
      <w:r>
        <w:rPr>
          <w:rFonts w:ascii="Calibri" w:hAnsi="Calibri"/>
          <w:color w:val="008356"/>
          <w:spacing w:val="4"/>
          <w:w w:val="105"/>
          <w:sz w:val="11"/>
        </w:rPr>
        <w:t>DARUNAVIR</w:t>
      </w:r>
      <w:r>
        <w:rPr>
          <w:color w:val="231F1F"/>
          <w:spacing w:val="4"/>
          <w:w w:val="105"/>
          <w:sz w:val="12"/>
        </w:rPr>
        <w:t>, </w:t>
      </w:r>
      <w:r>
        <w:rPr>
          <w:rFonts w:ascii="Calibri" w:hAnsi="Calibri"/>
          <w:color w:val="008356"/>
          <w:spacing w:val="4"/>
          <w:sz w:val="11"/>
        </w:rPr>
        <w:t>FOSAMPRENAVIR</w:t>
      </w:r>
      <w:r>
        <w:rPr>
          <w:color w:val="231F1F"/>
          <w:spacing w:val="4"/>
          <w:sz w:val="12"/>
        </w:rPr>
        <w:t>, </w:t>
      </w:r>
      <w:r>
        <w:rPr>
          <w:rFonts w:ascii="Calibri" w:hAnsi="Calibri"/>
          <w:color w:val="008356"/>
          <w:spacing w:val="4"/>
          <w:sz w:val="11"/>
        </w:rPr>
        <w:t>INDINAVIR</w:t>
      </w:r>
      <w:r>
        <w:rPr>
          <w:color w:val="231F1F"/>
          <w:spacing w:val="4"/>
          <w:sz w:val="12"/>
        </w:rPr>
        <w:t>, </w:t>
      </w:r>
      <w:r>
        <w:rPr>
          <w:rFonts w:ascii="Calibri" w:hAnsi="Calibri"/>
          <w:color w:val="008356"/>
          <w:spacing w:val="3"/>
          <w:sz w:val="11"/>
        </w:rPr>
        <w:t>LOPINAVIR</w:t>
      </w:r>
      <w:r>
        <w:rPr>
          <w:color w:val="231F1F"/>
          <w:spacing w:val="3"/>
          <w:sz w:val="12"/>
        </w:rPr>
        <w:t>, </w:t>
      </w:r>
      <w:r>
        <w:rPr>
          <w:rFonts w:ascii="Calibri" w:hAnsi="Calibri"/>
          <w:color w:val="008356"/>
          <w:spacing w:val="3"/>
          <w:sz w:val="11"/>
        </w:rPr>
        <w:t>RITONAVIR</w:t>
      </w:r>
      <w:r>
        <w:rPr>
          <w:color w:val="231F1F"/>
          <w:spacing w:val="3"/>
          <w:sz w:val="12"/>
        </w:rPr>
        <w:t>, </w:t>
      </w:r>
      <w:r>
        <w:rPr>
          <w:rFonts w:ascii="Calibri" w:hAnsi="Calibri"/>
          <w:color w:val="008356"/>
          <w:spacing w:val="4"/>
          <w:sz w:val="11"/>
        </w:rPr>
        <w:t>SAQUINAVIR</w:t>
      </w:r>
      <w:r>
        <w:rPr>
          <w:color w:val="231F1F"/>
          <w:spacing w:val="4"/>
          <w:sz w:val="12"/>
        </w:rPr>
        <w:t>, </w:t>
      </w:r>
      <w:r>
        <w:rPr>
          <w:rFonts w:ascii="Calibri" w:hAnsi="Calibri"/>
          <w:color w:val="008356"/>
          <w:spacing w:val="4"/>
          <w:w w:val="105"/>
          <w:sz w:val="11"/>
        </w:rPr>
        <w:t>TELAPREVIR </w:t>
      </w:r>
      <w:r>
        <w:rPr>
          <w:color w:val="231F1F"/>
          <w:w w:val="105"/>
          <w:sz w:val="12"/>
        </w:rPr>
        <w:t>and</w:t>
      </w:r>
      <w:r>
        <w:rPr>
          <w:color w:val="231F1F"/>
          <w:spacing w:val="6"/>
          <w:w w:val="105"/>
          <w:sz w:val="12"/>
        </w:rPr>
        <w:t> </w:t>
      </w:r>
      <w:r>
        <w:rPr>
          <w:rFonts w:ascii="Calibri" w:hAnsi="Calibri"/>
          <w:color w:val="008356"/>
          <w:spacing w:val="4"/>
          <w:w w:val="105"/>
          <w:sz w:val="11"/>
        </w:rPr>
        <w:t>TIPRANAVIR</w:t>
      </w:r>
    </w:p>
    <w:p>
      <w:pPr>
        <w:pStyle w:val="BodyText"/>
        <w:spacing w:line="220" w:lineRule="auto"/>
        <w:ind w:left="284" w:right="1223" w:hanging="100"/>
        <w:rPr>
          <w:rFonts w:ascii="Calibri" w:hAnsi="Calibri"/>
          <w:sz w:val="11"/>
        </w:rPr>
      </w:pPr>
      <w:r>
        <w:rPr>
          <w:rFonts w:ascii="Lucida Sans Unicode" w:hAnsi="Lucida Sans Unicode"/>
          <w:color w:val="A7A8AC"/>
          <w:w w:val="95"/>
          <w:sz w:val="10"/>
        </w:rPr>
        <w:t>▶ </w:t>
      </w:r>
      <w:r>
        <w:rPr>
          <w:rFonts w:ascii="Calibri" w:hAnsi="Calibri"/>
          <w:color w:val="231F1F"/>
          <w:w w:val="110"/>
        </w:rPr>
        <w:t>Cobicistat: </w:t>
      </w:r>
      <w:r>
        <w:rPr>
          <w:color w:val="231F1F"/>
          <w:w w:val="110"/>
        </w:rPr>
        <w:t>manufacturer of apixaban advises avoid concomitant use with </w:t>
      </w:r>
      <w:r>
        <w:rPr>
          <w:rFonts w:ascii="Calibri" w:hAnsi="Calibri"/>
          <w:color w:val="008356"/>
          <w:w w:val="110"/>
          <w:sz w:val="11"/>
        </w:rPr>
        <w:t>COBICISTAT</w:t>
      </w:r>
    </w:p>
    <w:p>
      <w:pPr>
        <w:pStyle w:val="BodyText"/>
        <w:spacing w:line="220" w:lineRule="auto" w:before="8"/>
        <w:ind w:left="284"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Sulfinpyrazone: </w:t>
      </w:r>
      <w:r>
        <w:rPr>
          <w:color w:val="231F1F"/>
          <w:w w:val="105"/>
        </w:rPr>
        <w:t>increased risk of bleeding when apixaban given with </w:t>
      </w:r>
      <w:r>
        <w:rPr>
          <w:rFonts w:ascii="Calibri" w:hAnsi="Calibri"/>
          <w:color w:val="008356"/>
          <w:w w:val="105"/>
          <w:sz w:val="11"/>
        </w:rPr>
        <w:t>SULFINPYRAZONE</w:t>
      </w:r>
    </w:p>
    <w:p>
      <w:pPr>
        <w:pStyle w:val="BodyText"/>
        <w:spacing w:before="10"/>
        <w:ind w:left="184"/>
        <w:rPr>
          <w:rFonts w:ascii="Trebuchet MS"/>
        </w:rPr>
      </w:pPr>
      <w:r>
        <w:rPr>
          <w:rFonts w:ascii="Trebuchet MS"/>
          <w:color w:val="008356"/>
        </w:rPr>
        <w:t>Apomorphine</w:t>
      </w:r>
    </w:p>
    <w:p>
      <w:pPr>
        <w:pStyle w:val="BodyText"/>
        <w:spacing w:line="155" w:lineRule="exact" w:before="1"/>
        <w:ind w:left="184"/>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apomorphine antagonised by</w:t>
      </w:r>
    </w:p>
    <w:p>
      <w:pPr>
        <w:spacing w:line="130" w:lineRule="exact" w:before="0"/>
        <w:ind w:left="284" w:right="0" w:firstLine="0"/>
        <w:jc w:val="left"/>
        <w:rPr>
          <w:rFonts w:ascii="Calibri"/>
          <w:sz w:val="11"/>
        </w:rPr>
      </w:pPr>
      <w:r>
        <w:rPr>
          <w:rFonts w:ascii="Calibri"/>
          <w:color w:val="008356"/>
          <w:sz w:val="11"/>
        </w:rPr>
        <w:t>ANTIPSYCHOTICS</w:t>
      </w:r>
    </w:p>
    <w:p>
      <w:pPr>
        <w:pStyle w:val="BodyText"/>
        <w:spacing w:line="154" w:lineRule="exact"/>
        <w:ind w:left="184"/>
      </w:pPr>
      <w:r>
        <w:rPr>
          <w:rFonts w:ascii="Lucida Sans Unicode" w:hAnsi="Lucida Sans Unicode"/>
          <w:color w:val="A7A8AC"/>
          <w:w w:val="95"/>
          <w:sz w:val="10"/>
        </w:rPr>
        <w:t>▶ </w:t>
      </w:r>
      <w:r>
        <w:rPr>
          <w:rFonts w:ascii="Calibri" w:hAnsi="Calibri"/>
          <w:color w:val="231F1F"/>
          <w:w w:val="105"/>
        </w:rPr>
        <w:t>Dopaminergics: </w:t>
      </w:r>
      <w:r>
        <w:rPr>
          <w:color w:val="231F1F"/>
          <w:w w:val="105"/>
        </w:rPr>
        <w:t>effects of apomorphine possibly enhanced by</w:t>
      </w:r>
    </w:p>
    <w:p>
      <w:pPr>
        <w:spacing w:line="130" w:lineRule="exact" w:before="0"/>
        <w:ind w:left="284" w:right="0" w:firstLine="0"/>
        <w:jc w:val="left"/>
        <w:rPr>
          <w:rFonts w:ascii="Calibri"/>
          <w:sz w:val="11"/>
        </w:rPr>
      </w:pPr>
      <w:r>
        <w:rPr>
          <w:rFonts w:ascii="Calibri"/>
          <w:color w:val="008356"/>
          <w:sz w:val="11"/>
        </w:rPr>
        <w:t>ENTACAPONE</w:t>
      </w:r>
    </w:p>
    <w:p>
      <w:pPr>
        <w:pStyle w:val="BodyText"/>
        <w:ind w:left="284" w:right="668"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3</w:t>
      </w:r>
      <w:r>
        <w:rPr>
          <w:rFonts w:ascii="Calibri" w:hAnsi="Calibri"/>
          <w:color w:val="231F1F"/>
          <w:w w:val="110"/>
          <w:vertAlign w:val="baseline"/>
        </w:rPr>
        <w:t>-receptor Antagonists: </w:t>
      </w:r>
      <w:r>
        <w:rPr>
          <w:color w:val="231F1F"/>
          <w:w w:val="110"/>
          <w:vertAlign w:val="baseline"/>
        </w:rPr>
        <w:t>possible increased hypotensive effect</w:t>
      </w:r>
      <w:r>
        <w:rPr>
          <w:color w:val="231F1F"/>
          <w:spacing w:val="-10"/>
          <w:w w:val="110"/>
          <w:vertAlign w:val="baseline"/>
        </w:rPr>
        <w:t> </w:t>
      </w:r>
      <w:r>
        <w:rPr>
          <w:color w:val="231F1F"/>
          <w:w w:val="110"/>
          <w:vertAlign w:val="baseline"/>
        </w:rPr>
        <w:t>when</w:t>
      </w:r>
      <w:r>
        <w:rPr>
          <w:color w:val="231F1F"/>
          <w:spacing w:val="-10"/>
          <w:w w:val="110"/>
          <w:vertAlign w:val="baseline"/>
        </w:rPr>
        <w:t> </w:t>
      </w:r>
      <w:r>
        <w:rPr>
          <w:color w:val="231F1F"/>
          <w:w w:val="110"/>
          <w:vertAlign w:val="baseline"/>
        </w:rPr>
        <w:t>apomorphine</w:t>
      </w:r>
      <w:r>
        <w:rPr>
          <w:color w:val="231F1F"/>
          <w:spacing w:val="-9"/>
          <w:w w:val="110"/>
          <w:vertAlign w:val="baseline"/>
        </w:rPr>
        <w:t> </w:t>
      </w:r>
      <w:r>
        <w:rPr>
          <w:color w:val="231F1F"/>
          <w:w w:val="110"/>
          <w:vertAlign w:val="baseline"/>
        </w:rPr>
        <w:t>given</w:t>
      </w:r>
      <w:r>
        <w:rPr>
          <w:color w:val="231F1F"/>
          <w:spacing w:val="-10"/>
          <w:w w:val="110"/>
          <w:vertAlign w:val="baseline"/>
        </w:rPr>
        <w:t> </w:t>
      </w:r>
      <w:r>
        <w:rPr>
          <w:color w:val="231F1F"/>
          <w:w w:val="110"/>
          <w:vertAlign w:val="baseline"/>
        </w:rPr>
        <w:t>with</w:t>
      </w:r>
      <w:r>
        <w:rPr>
          <w:color w:val="231F1F"/>
          <w:spacing w:val="-9"/>
          <w:w w:val="110"/>
          <w:vertAlign w:val="baseline"/>
        </w:rPr>
        <w:t> </w:t>
      </w:r>
      <w:r>
        <w:rPr>
          <w:rFonts w:ascii="Arial" w:hAnsi="Arial"/>
          <w:color w:val="231F1F"/>
          <w:w w:val="355"/>
          <w:position w:val="1"/>
          <w:sz w:val="7"/>
          <w:vertAlign w:val="baseline"/>
        </w:rPr>
        <w:t>l</w:t>
      </w:r>
      <w:r>
        <w:rPr>
          <w:rFonts w:ascii="Arial" w:hAnsi="Arial"/>
          <w:color w:val="231F1F"/>
          <w:spacing w:val="-48"/>
          <w:w w:val="355"/>
          <w:position w:val="1"/>
          <w:sz w:val="7"/>
          <w:vertAlign w:val="baseline"/>
        </w:rPr>
        <w:t> </w:t>
      </w:r>
      <w:r>
        <w:rPr>
          <w:rFonts w:ascii="Calibri" w:hAnsi="Calibri"/>
          <w:color w:val="008356"/>
          <w:spacing w:val="3"/>
          <w:w w:val="110"/>
          <w:sz w:val="11"/>
          <w:vertAlign w:val="baseline"/>
        </w:rPr>
        <w:t>ONDANSETRON</w:t>
      </w:r>
      <w:r>
        <w:rPr>
          <w:rFonts w:ascii="Arial" w:hAnsi="Arial"/>
          <w:color w:val="231F1F"/>
          <w:spacing w:val="3"/>
          <w:w w:val="110"/>
          <w:vertAlign w:val="baseline"/>
        </w:rPr>
        <w:t>—</w:t>
      </w:r>
      <w:r>
        <w:rPr>
          <w:color w:val="231F1F"/>
          <w:spacing w:val="3"/>
          <w:w w:val="110"/>
          <w:vertAlign w:val="baseline"/>
        </w:rPr>
        <w:t>avoid </w:t>
      </w:r>
      <w:r>
        <w:rPr>
          <w:color w:val="231F1F"/>
          <w:w w:val="110"/>
          <w:vertAlign w:val="baseline"/>
        </w:rPr>
        <w:t>concomitant</w:t>
      </w:r>
      <w:r>
        <w:rPr>
          <w:color w:val="231F1F"/>
          <w:spacing w:val="-3"/>
          <w:w w:val="110"/>
          <w:vertAlign w:val="baseline"/>
        </w:rPr>
        <w:t> </w:t>
      </w:r>
      <w:r>
        <w:rPr>
          <w:color w:val="231F1F"/>
          <w:w w:val="110"/>
          <w:vertAlign w:val="baseline"/>
        </w:rPr>
        <w:t>use</w:t>
      </w:r>
    </w:p>
    <w:p>
      <w:pPr>
        <w:pStyle w:val="BodyText"/>
        <w:spacing w:line="156" w:lineRule="exact" w:before="1"/>
        <w:ind w:left="184"/>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4" w:right="0" w:firstLine="0"/>
        <w:jc w:val="left"/>
        <w:rPr>
          <w:rFonts w:ascii="Calibri"/>
          <w:sz w:val="11"/>
        </w:rPr>
      </w:pPr>
      <w:r>
        <w:rPr>
          <w:rFonts w:ascii="Calibri"/>
          <w:color w:val="008356"/>
          <w:sz w:val="11"/>
        </w:rPr>
        <w:t>MEMANTINE</w:t>
      </w:r>
    </w:p>
    <w:p>
      <w:pPr>
        <w:pStyle w:val="BodyText"/>
        <w:spacing w:line="220" w:lineRule="auto" w:before="7"/>
        <w:ind w:left="284"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139" w:lineRule="exact" w:before="10"/>
        <w:ind w:left="184"/>
        <w:rPr>
          <w:rFonts w:ascii="Trebuchet MS"/>
        </w:rPr>
      </w:pPr>
      <w:r>
        <w:rPr>
          <w:rFonts w:ascii="Trebuchet MS"/>
          <w:color w:val="008356"/>
        </w:rPr>
        <w:t>Apraclonidine</w:t>
      </w:r>
    </w:p>
    <w:p>
      <w:pPr>
        <w:spacing w:line="230" w:lineRule="auto" w:before="5"/>
        <w:ind w:left="284" w:right="67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manufacturer of apraclonidine advises avoid concomitant use with </w:t>
      </w:r>
      <w:r>
        <w:rPr>
          <w:rFonts w:ascii="Calibri" w:hAnsi="Calibri"/>
          <w:color w:val="008356"/>
          <w:w w:val="105"/>
          <w:sz w:val="11"/>
        </w:rPr>
        <w:t>MAOI</w:t>
      </w:r>
      <w:r>
        <w:rPr>
          <w:rFonts w:ascii="Calibri" w:hAnsi="Calibri"/>
          <w:color w:val="008356"/>
          <w:w w:val="105"/>
          <w:sz w:val="9"/>
        </w:rPr>
        <w:t>S</w:t>
      </w:r>
      <w:r>
        <w:rPr>
          <w:color w:val="231F1F"/>
          <w:w w:val="105"/>
          <w:sz w:val="12"/>
        </w:rPr>
        <w:t>, </w:t>
      </w:r>
      <w:r>
        <w:rPr>
          <w:rFonts w:ascii="Calibri" w:hAnsi="Calibri"/>
          <w:color w:val="008356"/>
          <w:w w:val="105"/>
          <w:sz w:val="11"/>
        </w:rPr>
        <w:t>TRICYCLIC-RELATED ANTIDEPRESSANTS </w:t>
      </w:r>
      <w:r>
        <w:rPr>
          <w:color w:val="231F1F"/>
          <w:w w:val="105"/>
          <w:sz w:val="12"/>
        </w:rPr>
        <w:t>and </w:t>
      </w:r>
      <w:r>
        <w:rPr>
          <w:rFonts w:ascii="Calibri" w:hAnsi="Calibri"/>
          <w:color w:val="008356"/>
          <w:w w:val="105"/>
          <w:sz w:val="11"/>
        </w:rPr>
        <w:t>TRICYCLICS</w:t>
      </w:r>
    </w:p>
    <w:p>
      <w:pPr>
        <w:pStyle w:val="BodyText"/>
        <w:spacing w:line="220" w:lineRule="auto" w:before="8"/>
        <w:ind w:left="284" w:right="673" w:hanging="100"/>
        <w:rPr>
          <w:rFonts w:ascii="Calibri" w:hAnsi="Calibri"/>
          <w:sz w:val="11"/>
        </w:rPr>
      </w:pPr>
      <w:r>
        <w:rPr>
          <w:rFonts w:ascii="Lucida Sans Unicode" w:hAnsi="Lucida Sans Unicode"/>
          <w:color w:val="A7A8AC"/>
          <w:w w:val="95"/>
          <w:sz w:val="10"/>
        </w:rPr>
        <w:t>▶ </w:t>
      </w:r>
      <w:r>
        <w:rPr>
          <w:rFonts w:ascii="Calibri" w:hAnsi="Calibri"/>
          <w:color w:val="231F1F"/>
          <w:w w:val="110"/>
        </w:rPr>
        <w:t>Sympathomimetics: </w:t>
      </w:r>
      <w:r>
        <w:rPr>
          <w:color w:val="231F1F"/>
          <w:w w:val="110"/>
        </w:rPr>
        <w:t>manufacturer of apraclonidine advises avoid concomitant use with </w:t>
      </w:r>
      <w:r>
        <w:rPr>
          <w:rFonts w:ascii="Calibri" w:hAnsi="Calibri"/>
          <w:color w:val="008356"/>
          <w:w w:val="110"/>
          <w:sz w:val="11"/>
        </w:rPr>
        <w:t>SYMPATHOMIMETICS</w:t>
      </w:r>
    </w:p>
    <w:p>
      <w:pPr>
        <w:pStyle w:val="BodyText"/>
        <w:spacing w:line="139" w:lineRule="exact" w:before="10"/>
        <w:ind w:left="184"/>
        <w:rPr>
          <w:rFonts w:ascii="Trebuchet MS"/>
        </w:rPr>
      </w:pPr>
      <w:r>
        <w:rPr>
          <w:rFonts w:ascii="Trebuchet MS"/>
          <w:color w:val="008356"/>
        </w:rPr>
        <w:t>Aprepitant</w:t>
      </w:r>
    </w:p>
    <w:p>
      <w:pPr>
        <w:spacing w:line="230" w:lineRule="auto" w:before="5"/>
        <w:ind w:left="284" w:right="67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plasma concentration of aprepitant possibly increased by </w:t>
      </w:r>
      <w:r>
        <w:rPr>
          <w:rFonts w:ascii="Calibri" w:hAnsi="Calibri"/>
          <w:color w:val="008356"/>
          <w:w w:val="110"/>
          <w:sz w:val="11"/>
        </w:rPr>
        <w:t>CLARITHROMYCIN </w:t>
      </w:r>
      <w:r>
        <w:rPr>
          <w:color w:val="231F1F"/>
          <w:w w:val="110"/>
          <w:sz w:val="12"/>
        </w:rPr>
        <w:t>and </w:t>
      </w:r>
      <w:r>
        <w:rPr>
          <w:rFonts w:ascii="Calibri" w:hAnsi="Calibri"/>
          <w:color w:val="008356"/>
          <w:w w:val="110"/>
          <w:sz w:val="11"/>
        </w:rPr>
        <w:t>TELITHROMYCIN</w:t>
      </w:r>
      <w:r>
        <w:rPr>
          <w:color w:val="231F1F"/>
          <w:w w:val="110"/>
          <w:sz w:val="12"/>
        </w:rPr>
        <w:t>; plasma concentration of aprepitant reduced by </w:t>
      </w:r>
      <w:r>
        <w:rPr>
          <w:rFonts w:ascii="Calibri" w:hAnsi="Calibri"/>
          <w:color w:val="008356"/>
          <w:w w:val="110"/>
          <w:sz w:val="11"/>
        </w:rPr>
        <w:t>RIFAMPICIN</w:t>
      </w:r>
    </w:p>
    <w:p>
      <w:pPr>
        <w:pStyle w:val="BodyText"/>
        <w:spacing w:line="220" w:lineRule="auto" w:before="8"/>
        <w:ind w:left="284"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aprepitant possibly reduces anticoagulant effect of </w:t>
      </w:r>
      <w:r>
        <w:rPr>
          <w:rFonts w:ascii="Calibri" w:hAnsi="Calibri"/>
          <w:color w:val="008356"/>
          <w:w w:val="105"/>
          <w:sz w:val="11"/>
        </w:rPr>
        <w:t>WARFARIN</w:t>
      </w:r>
    </w:p>
    <w:p>
      <w:pPr>
        <w:pStyle w:val="BodyText"/>
        <w:ind w:left="284" w:right="673"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manufacturer of aprepitant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pStyle w:val="BodyText"/>
        <w:spacing w:line="153" w:lineRule="exact"/>
        <w:ind w:left="184"/>
      </w:pPr>
      <w:r>
        <w:rPr>
          <w:rFonts w:ascii="Lucida Sans Unicode" w:hAnsi="Lucida Sans Unicode"/>
          <w:color w:val="A7A8AC"/>
          <w:w w:val="95"/>
          <w:sz w:val="10"/>
        </w:rPr>
        <w:t>▶ </w:t>
      </w:r>
      <w:r>
        <w:rPr>
          <w:rFonts w:ascii="Calibri" w:hAnsi="Calibri"/>
          <w:color w:val="231F1F"/>
          <w:w w:val="105"/>
        </w:rPr>
        <w:t>Antidiabetics: </w:t>
      </w:r>
      <w:r>
        <w:rPr>
          <w:color w:val="231F1F"/>
          <w:w w:val="105"/>
        </w:rPr>
        <w:t>aprepitant reduces plasma concentration of</w:t>
      </w:r>
    </w:p>
    <w:p>
      <w:pPr>
        <w:spacing w:line="130" w:lineRule="exact" w:before="0"/>
        <w:ind w:left="284" w:right="0" w:firstLine="0"/>
        <w:jc w:val="left"/>
        <w:rPr>
          <w:rFonts w:ascii="Calibri"/>
          <w:sz w:val="11"/>
        </w:rPr>
      </w:pPr>
      <w:r>
        <w:rPr>
          <w:rFonts w:ascii="Calibri"/>
          <w:color w:val="008356"/>
          <w:sz w:val="11"/>
        </w:rPr>
        <w:t>TOLBUTAMIDE</w:t>
      </w:r>
    </w:p>
    <w:p>
      <w:pPr>
        <w:spacing w:line="230" w:lineRule="auto" w:before="3"/>
        <w:ind w:left="284" w:right="67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aprepitant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155" w:lineRule="exact"/>
        <w:ind w:left="184"/>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aprepitant increased by</w:t>
      </w:r>
    </w:p>
    <w:p>
      <w:pPr>
        <w:spacing w:line="130" w:lineRule="exact" w:before="0"/>
        <w:ind w:left="284" w:right="0" w:firstLine="0"/>
        <w:jc w:val="left"/>
        <w:rPr>
          <w:rFonts w:ascii="Calibri"/>
          <w:sz w:val="11"/>
        </w:rPr>
      </w:pPr>
      <w:r>
        <w:rPr>
          <w:rFonts w:ascii="Calibri"/>
          <w:color w:val="008356"/>
          <w:sz w:val="11"/>
        </w:rPr>
        <w:t>KETOCONAZOLE</w:t>
      </w:r>
    </w:p>
    <w:p>
      <w:pPr>
        <w:pStyle w:val="BodyText"/>
        <w:ind w:left="284" w:right="919"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manufacturer of aprepitant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PIMOZIDE</w:t>
      </w:r>
    </w:p>
    <w:p>
      <w:pPr>
        <w:pStyle w:val="BodyText"/>
        <w:spacing w:line="220" w:lineRule="auto" w:before="4"/>
        <w:ind w:left="284" w:right="75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aprepitant possibly increased by </w:t>
      </w:r>
      <w:r>
        <w:rPr>
          <w:rFonts w:ascii="Calibri" w:hAnsi="Calibri"/>
          <w:color w:val="008356"/>
          <w:w w:val="105"/>
          <w:sz w:val="11"/>
        </w:rPr>
        <w:t>RITONAVIR</w:t>
      </w:r>
    </w:p>
    <w:p>
      <w:pPr>
        <w:pStyle w:val="BodyText"/>
        <w:spacing w:line="220" w:lineRule="auto" w:before="10"/>
        <w:ind w:left="284" w:right="673" w:hanging="100"/>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aprepitant increases plasma concentration of </w:t>
      </w:r>
      <w:r>
        <w:rPr>
          <w:rFonts w:ascii="Calibri" w:hAnsi="Calibri"/>
          <w:color w:val="008356"/>
          <w:w w:val="105"/>
          <w:sz w:val="11"/>
        </w:rPr>
        <w:t>MIDAZOLAM </w:t>
      </w:r>
      <w:r>
        <w:rPr>
          <w:color w:val="231F1F"/>
          <w:w w:val="105"/>
        </w:rPr>
        <w:t>(risk of prolonged sedation)</w:t>
      </w:r>
    </w:p>
    <w:p>
      <w:pPr>
        <w:pStyle w:val="BodyText"/>
        <w:ind w:left="284" w:right="610" w:hanging="100"/>
      </w:pPr>
      <w:r>
        <w:rPr>
          <w:rFonts w:ascii="Arial" w:hAnsi="Arial"/>
          <w:color w:val="231F1F"/>
          <w:w w:val="355"/>
          <w:position w:val="1"/>
          <w:sz w:val="7"/>
        </w:rPr>
        <w:t>l </w:t>
      </w:r>
      <w:r>
        <w:rPr>
          <w:rFonts w:ascii="Calibri" w:hAnsi="Calibri"/>
          <w:color w:val="231F1F"/>
          <w:w w:val="115"/>
        </w:rPr>
        <w:t>Avanafil: </w:t>
      </w:r>
      <w:r>
        <w:rPr>
          <w:color w:val="231F1F"/>
          <w:w w:val="115"/>
        </w:rPr>
        <w:t>aprepitant possibly increases plasma </w:t>
      </w:r>
      <w:r>
        <w:rPr>
          <w:color w:val="231F1F"/>
          <w:spacing w:val="-2"/>
          <w:w w:val="115"/>
        </w:rPr>
        <w:t>concentration </w:t>
      </w:r>
      <w:r>
        <w:rPr>
          <w:color w:val="231F1F"/>
          <w:w w:val="115"/>
        </w:rPr>
        <w:t>of </w:t>
      </w:r>
      <w:r>
        <w:rPr>
          <w:rFonts w:ascii="Arial" w:hAnsi="Arial"/>
          <w:color w:val="231F1F"/>
          <w:w w:val="355"/>
          <w:position w:val="1"/>
          <w:sz w:val="7"/>
        </w:rPr>
        <w:t>l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see </w:t>
      </w:r>
      <w:r>
        <w:rPr>
          <w:color w:val="231F1F"/>
          <w:w w:val="115"/>
        </w:rPr>
        <w:t>under Avanafil, p. 698</w:t>
      </w:r>
    </w:p>
    <w:p>
      <w:pPr>
        <w:pStyle w:val="BodyText"/>
        <w:spacing w:line="220" w:lineRule="auto" w:before="4"/>
        <w:ind w:left="284" w:right="610" w:hanging="100"/>
        <w:rPr>
          <w:rFonts w:ascii="Calibri" w:hAnsi="Calibri"/>
          <w:sz w:val="11"/>
        </w:rPr>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plasma concentration of both drugs may increase when aprepitant given with </w:t>
      </w:r>
      <w:r>
        <w:rPr>
          <w:rFonts w:ascii="Calibri" w:hAnsi="Calibri"/>
          <w:color w:val="008356"/>
          <w:w w:val="110"/>
          <w:sz w:val="11"/>
        </w:rPr>
        <w:t>DILTIAZEM</w:t>
      </w:r>
    </w:p>
    <w:p>
      <w:pPr>
        <w:spacing w:line="230" w:lineRule="auto" w:before="4"/>
        <w:ind w:left="284" w:right="673" w:hanging="100"/>
        <w:jc w:val="left"/>
        <w:rPr>
          <w:sz w:val="12"/>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aprepitant inhibits metabolism of </w:t>
      </w:r>
      <w:r>
        <w:rPr>
          <w:rFonts w:ascii="Calibri" w:hAnsi="Calibri"/>
          <w:color w:val="008356"/>
          <w:w w:val="105"/>
          <w:sz w:val="11"/>
        </w:rPr>
        <w:t>DEXAMETHASONE </w:t>
      </w:r>
      <w:r>
        <w:rPr>
          <w:color w:val="231F1F"/>
          <w:w w:val="105"/>
          <w:sz w:val="12"/>
        </w:rPr>
        <w:t>and </w:t>
      </w:r>
      <w:r>
        <w:rPr>
          <w:rFonts w:ascii="Calibri" w:hAnsi="Calibri"/>
          <w:color w:val="008356"/>
          <w:w w:val="105"/>
          <w:sz w:val="11"/>
        </w:rPr>
        <w:t>METHYLPREDNISOLONE </w:t>
      </w:r>
      <w:r>
        <w:rPr>
          <w:color w:val="231F1F"/>
          <w:w w:val="105"/>
          <w:sz w:val="12"/>
        </w:rPr>
        <w:t>(reduce dose of </w:t>
      </w:r>
      <w:r>
        <w:rPr>
          <w:color w:val="231F1F"/>
          <w:w w:val="110"/>
          <w:sz w:val="12"/>
        </w:rPr>
        <w:t>dexamethasone and methylprednisolone)</w:t>
      </w:r>
    </w:p>
    <w:p>
      <w:pPr>
        <w:pStyle w:val="BodyText"/>
        <w:spacing w:line="244" w:lineRule="auto" w:before="3"/>
        <w:ind w:left="284" w:right="787" w:hanging="100"/>
      </w:pPr>
      <w:r>
        <w:rPr>
          <w:rFonts w:ascii="Arial" w:hAnsi="Arial"/>
          <w:color w:val="231F1F"/>
          <w:w w:val="355"/>
          <w:position w:val="1"/>
          <w:sz w:val="7"/>
        </w:rPr>
        <w:t>l </w:t>
      </w:r>
      <w:r>
        <w:rPr>
          <w:rFonts w:ascii="Calibri" w:hAnsi="Calibri"/>
          <w:color w:val="231F1F"/>
          <w:w w:val="115"/>
        </w:rPr>
        <w:t>Cytotoxics: </w:t>
      </w:r>
      <w:r>
        <w:rPr>
          <w:color w:val="231F1F"/>
          <w:w w:val="115"/>
        </w:rPr>
        <w:t>aprepitant possibly increases the plasma concentration</w:t>
      </w:r>
      <w:r>
        <w:rPr>
          <w:color w:val="231F1F"/>
          <w:spacing w:val="-13"/>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w w:val="115"/>
          <w:sz w:val="11"/>
        </w:rPr>
        <w:t>BOSUTINIB</w:t>
      </w:r>
      <w:r>
        <w:rPr>
          <w:rFonts w:ascii="Arial" w:hAnsi="Arial"/>
          <w:color w:val="231F1F"/>
          <w:w w:val="115"/>
        </w:rPr>
        <w:t>—</w:t>
      </w:r>
      <w:r>
        <w:rPr>
          <w:color w:val="231F1F"/>
          <w:w w:val="115"/>
        </w:rPr>
        <w:t>manufacturer</w:t>
      </w:r>
      <w:r>
        <w:rPr>
          <w:color w:val="231F1F"/>
          <w:spacing w:val="-10"/>
          <w:w w:val="115"/>
        </w:rPr>
        <w:t> </w:t>
      </w:r>
      <w:r>
        <w:rPr>
          <w:color w:val="231F1F"/>
          <w:w w:val="115"/>
        </w:rPr>
        <w:t>of</w:t>
      </w:r>
      <w:r>
        <w:rPr>
          <w:color w:val="231F1F"/>
          <w:spacing w:val="-12"/>
          <w:w w:val="115"/>
        </w:rPr>
        <w:t> </w:t>
      </w:r>
      <w:r>
        <w:rPr>
          <w:color w:val="231F1F"/>
          <w:w w:val="115"/>
        </w:rPr>
        <w:t>bosutinib advises avoid or consider reducing dose of bosutinib; aprepitant possibly increases the plasma concentration </w:t>
      </w:r>
      <w:r>
        <w:rPr>
          <w:color w:val="231F1F"/>
          <w:spacing w:val="-6"/>
          <w:w w:val="115"/>
        </w:rPr>
        <w:t>of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w:t>
      </w:r>
      <w:r>
        <w:rPr>
          <w:color w:val="231F1F"/>
          <w:spacing w:val="-17"/>
          <w:w w:val="115"/>
        </w:rPr>
        <w:t> </w:t>
      </w:r>
      <w:r>
        <w:rPr>
          <w:color w:val="231F1F"/>
          <w:w w:val="115"/>
        </w:rPr>
        <w:t>dose</w:t>
      </w:r>
      <w:r>
        <w:rPr>
          <w:color w:val="231F1F"/>
          <w:spacing w:val="-16"/>
          <w:w w:val="115"/>
        </w:rPr>
        <w:t> </w:t>
      </w:r>
      <w:r>
        <w:rPr>
          <w:color w:val="231F1F"/>
          <w:w w:val="115"/>
        </w:rPr>
        <w:t>of</w:t>
      </w:r>
      <w:r>
        <w:rPr>
          <w:color w:val="231F1F"/>
          <w:spacing w:val="-16"/>
          <w:w w:val="115"/>
        </w:rPr>
        <w:t> </w:t>
      </w:r>
      <w:r>
        <w:rPr>
          <w:color w:val="231F1F"/>
          <w:w w:val="115"/>
        </w:rPr>
        <w:t>ibrutinib</w:t>
      </w:r>
      <w:r>
        <w:rPr>
          <w:color w:val="231F1F"/>
          <w:spacing w:val="-17"/>
          <w:w w:val="115"/>
        </w:rPr>
        <w:t> </w:t>
      </w:r>
      <w:r>
        <w:rPr>
          <w:color w:val="231F1F"/>
          <w:w w:val="115"/>
        </w:rPr>
        <w:t>(see</w:t>
      </w:r>
      <w:r>
        <w:rPr>
          <w:color w:val="231F1F"/>
          <w:spacing w:val="-17"/>
          <w:w w:val="115"/>
        </w:rPr>
        <w:t> </w:t>
      </w:r>
      <w:r>
        <w:rPr>
          <w:color w:val="231F1F"/>
          <w:w w:val="115"/>
        </w:rPr>
        <w:t>under</w:t>
      </w:r>
      <w:r>
        <w:rPr>
          <w:color w:val="231F1F"/>
          <w:spacing w:val="-17"/>
          <w:w w:val="115"/>
        </w:rPr>
        <w:t> </w:t>
      </w:r>
      <w:r>
        <w:rPr>
          <w:color w:val="231F1F"/>
          <w:w w:val="115"/>
        </w:rPr>
        <w:t>Ibrutinib, p.</w:t>
      </w:r>
      <w:r>
        <w:rPr>
          <w:color w:val="231F1F"/>
          <w:spacing w:val="-3"/>
          <w:w w:val="115"/>
        </w:rPr>
        <w:t> </w:t>
      </w:r>
      <w:r>
        <w:rPr>
          <w:color w:val="231F1F"/>
          <w:w w:val="115"/>
        </w:rPr>
        <w:t>809)</w:t>
      </w:r>
    </w:p>
    <w:p>
      <w:pPr>
        <w:pStyle w:val="BodyText"/>
        <w:spacing w:line="230" w:lineRule="auto" w:before="2"/>
        <w:ind w:left="284" w:right="673" w:hanging="100"/>
      </w:pPr>
      <w:r>
        <w:rPr>
          <w:rFonts w:ascii="Lucida Sans Unicode" w:hAnsi="Lucida Sans Unicode"/>
          <w:color w:val="A7A8AC"/>
          <w:w w:val="95"/>
          <w:sz w:val="10"/>
        </w:rPr>
        <w:t>▶ </w:t>
      </w:r>
      <w:r>
        <w:rPr>
          <w:rFonts w:ascii="Calibri" w:hAnsi="Calibri"/>
          <w:color w:val="231F1F"/>
          <w:w w:val="110"/>
        </w:rPr>
        <w:t>Dapoxetine: </w:t>
      </w:r>
      <w:r>
        <w:rPr>
          <w:color w:val="231F1F"/>
          <w:w w:val="110"/>
        </w:rPr>
        <w:t>manufacturer of dapoxetine advises dose reduction when aprepitant given with </w:t>
      </w:r>
      <w:r>
        <w:rPr>
          <w:rFonts w:ascii="Calibri" w:hAnsi="Calibri"/>
          <w:color w:val="008356"/>
          <w:w w:val="110"/>
          <w:sz w:val="11"/>
        </w:rPr>
        <w:t>DAPOXETINE </w:t>
      </w:r>
      <w:r>
        <w:rPr>
          <w:color w:val="231F1F"/>
          <w:w w:val="110"/>
        </w:rPr>
        <w:t>(see under Dapoxetine, p. 703)</w:t>
      </w:r>
    </w:p>
    <w:p>
      <w:pPr>
        <w:spacing w:after="0" w:line="230" w:lineRule="auto"/>
        <w:sectPr>
          <w:headerReference w:type="even" r:id="rId15"/>
          <w:headerReference w:type="default" r:id="rId16"/>
          <w:pgSz w:w="8390" w:h="11910"/>
          <w:pgMar w:header="0" w:footer="0" w:top="460" w:bottom="280" w:left="480" w:right="0"/>
          <w:cols w:num="2" w:equalWidth="0">
            <w:col w:w="3639" w:space="40"/>
            <w:col w:w="4231"/>
          </w:cols>
        </w:sectPr>
      </w:pPr>
    </w:p>
    <w:p>
      <w:pPr>
        <w:pStyle w:val="BodyText"/>
        <w:spacing w:before="7"/>
        <w:ind w:left="0"/>
        <w:rPr>
          <w:sz w:val="14"/>
        </w:rPr>
      </w:pPr>
    </w:p>
    <w:p>
      <w:pPr>
        <w:pStyle w:val="BodyText"/>
        <w:spacing w:line="144" w:lineRule="exact"/>
        <w:ind w:left="108"/>
        <w:rPr>
          <w:rFonts w:ascii="Calibri"/>
        </w:rPr>
      </w:pPr>
      <w:r>
        <w:rPr>
          <w:rFonts w:ascii="Arial"/>
          <w:color w:val="008356"/>
        </w:rPr>
        <w:t>Aprepitant </w:t>
      </w:r>
      <w:r>
        <w:rPr>
          <w:rFonts w:ascii="Calibri"/>
          <w:color w:val="231F1F"/>
        </w:rPr>
        <w:t>(continued)</w:t>
      </w:r>
    </w:p>
    <w:p>
      <w:pPr>
        <w:pStyle w:val="BodyText"/>
        <w:ind w:right="38" w:hanging="100"/>
      </w:pPr>
      <w:r>
        <w:rPr>
          <w:rFonts w:ascii="Arial"/>
          <w:color w:val="231F1F"/>
          <w:w w:val="355"/>
          <w:position w:val="1"/>
          <w:sz w:val="7"/>
        </w:rPr>
        <w:t>l </w:t>
      </w:r>
      <w:r>
        <w:rPr>
          <w:rFonts w:ascii="Calibri"/>
          <w:color w:val="231F1F"/>
          <w:w w:val="110"/>
        </w:rPr>
        <w:t>Oestrogens: </w:t>
      </w:r>
      <w:r>
        <w:rPr>
          <w:color w:val="231F1F"/>
          <w:w w:val="110"/>
        </w:rPr>
        <w:t>aprepitant possibly causes contraceptive failure </w:t>
      </w:r>
      <w:r>
        <w:rPr>
          <w:color w:val="231F1F"/>
          <w:spacing w:val="-8"/>
          <w:w w:val="110"/>
        </w:rPr>
        <w:t>of </w:t>
      </w:r>
      <w:r>
        <w:rPr>
          <w:color w:val="231F1F"/>
          <w:w w:val="110"/>
        </w:rPr>
        <w:t>hormonal contraceptives containing </w:t>
      </w:r>
      <w:r>
        <w:rPr>
          <w:rFonts w:ascii="Arial"/>
          <w:color w:val="231F1F"/>
          <w:w w:val="355"/>
          <w:position w:val="1"/>
          <w:sz w:val="7"/>
        </w:rPr>
        <w:t>l </w:t>
      </w:r>
      <w:r>
        <w:rPr>
          <w:rFonts w:ascii="Calibri"/>
          <w:color w:val="008356"/>
          <w:spacing w:val="5"/>
          <w:w w:val="110"/>
          <w:sz w:val="11"/>
        </w:rPr>
        <w:t>OESTROGENS </w:t>
      </w:r>
      <w:r>
        <w:rPr>
          <w:color w:val="231F1F"/>
          <w:w w:val="110"/>
        </w:rPr>
        <w:t>(alternative contraception</w:t>
      </w:r>
      <w:r>
        <w:rPr>
          <w:color w:val="231F1F"/>
          <w:spacing w:val="1"/>
          <w:w w:val="110"/>
        </w:rPr>
        <w:t> </w:t>
      </w:r>
      <w:r>
        <w:rPr>
          <w:color w:val="231F1F"/>
          <w:w w:val="110"/>
        </w:rPr>
        <w:t>recommended)</w:t>
      </w:r>
    </w:p>
    <w:p>
      <w:pPr>
        <w:pStyle w:val="BodyText"/>
        <w:ind w:right="38" w:hanging="100"/>
      </w:pPr>
      <w:r>
        <w:rPr>
          <w:rFonts w:ascii="Arial"/>
          <w:color w:val="231F1F"/>
          <w:w w:val="355"/>
          <w:position w:val="1"/>
          <w:sz w:val="7"/>
        </w:rPr>
        <w:t>l </w:t>
      </w:r>
      <w:r>
        <w:rPr>
          <w:rFonts w:ascii="Calibri"/>
          <w:color w:val="231F1F"/>
          <w:w w:val="110"/>
        </w:rPr>
        <w:t>Progestogens: </w:t>
      </w:r>
      <w:r>
        <w:rPr>
          <w:color w:val="231F1F"/>
          <w:w w:val="110"/>
        </w:rPr>
        <w:t>aprepitant possibly causes contraceptive </w:t>
      </w:r>
      <w:r>
        <w:rPr>
          <w:color w:val="231F1F"/>
          <w:spacing w:val="-3"/>
          <w:w w:val="110"/>
        </w:rPr>
        <w:t>failure </w:t>
      </w:r>
      <w:r>
        <w:rPr>
          <w:color w:val="231F1F"/>
          <w:w w:val="110"/>
        </w:rPr>
        <w:t>of hormonal contraceptives containing </w:t>
      </w:r>
      <w:r>
        <w:rPr>
          <w:rFonts w:ascii="Arial"/>
          <w:color w:val="231F1F"/>
          <w:w w:val="355"/>
          <w:position w:val="1"/>
          <w:sz w:val="7"/>
        </w:rPr>
        <w:t>l </w:t>
      </w:r>
      <w:r>
        <w:rPr>
          <w:rFonts w:ascii="Calibri"/>
          <w:color w:val="008356"/>
          <w:spacing w:val="4"/>
          <w:w w:val="110"/>
          <w:sz w:val="11"/>
        </w:rPr>
        <w:t>PROGESTOGENS </w:t>
      </w:r>
      <w:r>
        <w:rPr>
          <w:color w:val="231F1F"/>
          <w:w w:val="110"/>
        </w:rPr>
        <w:t>(alternative contraception</w:t>
      </w:r>
      <w:r>
        <w:rPr>
          <w:color w:val="231F1F"/>
          <w:spacing w:val="1"/>
          <w:w w:val="110"/>
        </w:rPr>
        <w:t> </w:t>
      </w:r>
      <w:r>
        <w:rPr>
          <w:color w:val="231F1F"/>
          <w:w w:val="110"/>
        </w:rPr>
        <w:t>recommended)</w:t>
      </w:r>
    </w:p>
    <w:p>
      <w:pPr>
        <w:pStyle w:val="BodyText"/>
        <w:spacing w:line="139" w:lineRule="exact" w:before="12"/>
        <w:ind w:left="108"/>
        <w:rPr>
          <w:rFonts w:ascii="Trebuchet MS"/>
        </w:rPr>
      </w:pPr>
      <w:r>
        <w:rPr>
          <w:rFonts w:ascii="Trebuchet MS"/>
          <w:color w:val="008356"/>
        </w:rPr>
        <w:t>Argatroban</w:t>
      </w:r>
    </w:p>
    <w:p>
      <w:pPr>
        <w:pStyle w:val="BodyText"/>
        <w:spacing w:line="244" w:lineRule="auto"/>
        <w:ind w:right="198" w:hanging="100"/>
      </w:pPr>
      <w:r>
        <w:rPr>
          <w:rFonts w:ascii="Arial"/>
          <w:color w:val="231F1F"/>
          <w:w w:val="355"/>
          <w:position w:val="1"/>
          <w:sz w:val="7"/>
        </w:rPr>
        <w:t>l </w:t>
      </w:r>
      <w:r>
        <w:rPr>
          <w:rFonts w:ascii="Calibri"/>
          <w:color w:val="231F1F"/>
          <w:w w:val="110"/>
        </w:rPr>
        <w:t>Analgesics: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before="2"/>
        <w:ind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spacing w:line="244" w:lineRule="auto" w:before="3"/>
        <w:ind w:right="270"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before="5"/>
        <w:ind w:left="108"/>
      </w:pPr>
      <w:r>
        <w:rPr>
          <w:rFonts w:ascii="Trebuchet MS"/>
          <w:color w:val="008356"/>
          <w:w w:val="110"/>
        </w:rPr>
        <w:t>Aripiprazole </w:t>
      </w:r>
      <w:r>
        <w:rPr>
          <w:i/>
          <w:color w:val="231F1F"/>
          <w:w w:val="110"/>
        </w:rPr>
        <w:t>see </w:t>
      </w:r>
      <w:r>
        <w:rPr>
          <w:color w:val="231F1F"/>
          <w:w w:val="110"/>
        </w:rPr>
        <w:t>Antipsychotics</w:t>
      </w:r>
    </w:p>
    <w:p>
      <w:pPr>
        <w:pStyle w:val="BodyText"/>
        <w:spacing w:line="139" w:lineRule="exact" w:before="10"/>
        <w:ind w:left="108"/>
        <w:rPr>
          <w:rFonts w:ascii="Trebuchet MS"/>
        </w:rPr>
      </w:pPr>
      <w:r>
        <w:rPr>
          <w:rFonts w:ascii="Trebuchet MS"/>
          <w:color w:val="008356"/>
        </w:rPr>
        <w:t>Arsenic Trioxide</w:t>
      </w:r>
    </w:p>
    <w:p>
      <w:pPr>
        <w:pStyle w:val="BodyText"/>
        <w:ind w:right="271" w:hanging="100"/>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Anti-arrhythmics:</w:t>
      </w:r>
      <w:r>
        <w:rPr>
          <w:rFonts w:ascii="Calibri"/>
          <w:color w:val="231F1F"/>
          <w:spacing w:val="-20"/>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ventricular</w:t>
      </w:r>
      <w:r>
        <w:rPr>
          <w:color w:val="231F1F"/>
          <w:spacing w:val="-24"/>
          <w:w w:val="115"/>
        </w:rPr>
        <w:t> </w:t>
      </w:r>
      <w:r>
        <w:rPr>
          <w:color w:val="231F1F"/>
          <w:w w:val="115"/>
        </w:rPr>
        <w:t>arrhythmias when</w:t>
      </w:r>
      <w:r>
        <w:rPr>
          <w:color w:val="231F1F"/>
          <w:spacing w:val="-12"/>
          <w:w w:val="115"/>
        </w:rPr>
        <w:t> </w:t>
      </w:r>
      <w:r>
        <w:rPr>
          <w:color w:val="231F1F"/>
          <w:w w:val="115"/>
        </w:rPr>
        <w:t>arsenic</w:t>
      </w:r>
      <w:r>
        <w:rPr>
          <w:color w:val="231F1F"/>
          <w:spacing w:val="-10"/>
          <w:w w:val="115"/>
        </w:rPr>
        <w:t> </w:t>
      </w:r>
      <w:r>
        <w:rPr>
          <w:color w:val="231F1F"/>
          <w:w w:val="115"/>
        </w:rPr>
        <w:t>trioxide</w:t>
      </w:r>
      <w:r>
        <w:rPr>
          <w:color w:val="231F1F"/>
          <w:spacing w:val="-11"/>
          <w:w w:val="115"/>
        </w:rPr>
        <w:t> </w:t>
      </w:r>
      <w:r>
        <w:rPr>
          <w:color w:val="231F1F"/>
          <w:w w:val="115"/>
        </w:rPr>
        <w:t>given</w:t>
      </w:r>
      <w:r>
        <w:rPr>
          <w:color w:val="231F1F"/>
          <w:spacing w:val="-10"/>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5"/>
          <w:sz w:val="11"/>
        </w:rPr>
        <w:t>AMIODARONE</w:t>
      </w:r>
      <w:r>
        <w:rPr>
          <w:rFonts w:ascii="Calibri"/>
          <w:color w:val="008356"/>
          <w:spacing w:val="1"/>
          <w:w w:val="115"/>
          <w:sz w:val="11"/>
        </w:rPr>
        <w:t> </w:t>
      </w:r>
      <w:r>
        <w:rPr>
          <w:color w:val="231F1F"/>
          <w:w w:val="115"/>
        </w:rPr>
        <w:t>or</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DISOPYRAMIDE</w:t>
      </w:r>
    </w:p>
    <w:p>
      <w:pPr>
        <w:spacing w:before="0"/>
        <w:ind w:left="208" w:right="0"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increased risk of ventricular arrhythmias </w:t>
      </w:r>
      <w:r>
        <w:rPr>
          <w:color w:val="231F1F"/>
          <w:spacing w:val="-4"/>
          <w:w w:val="110"/>
          <w:sz w:val="12"/>
        </w:rPr>
        <w:t>when </w:t>
      </w:r>
      <w:r>
        <w:rPr>
          <w:color w:val="231F1F"/>
          <w:w w:val="110"/>
          <w:sz w:val="12"/>
        </w:rPr>
        <w:t>arsenic trioxide given with </w:t>
      </w:r>
      <w:r>
        <w:rPr>
          <w:rFonts w:ascii="Arial"/>
          <w:color w:val="231F1F"/>
          <w:w w:val="355"/>
          <w:position w:val="1"/>
          <w:sz w:val="7"/>
        </w:rPr>
        <w:t>l </w:t>
      </w:r>
      <w:r>
        <w:rPr>
          <w:rFonts w:ascii="Calibri"/>
          <w:color w:val="008356"/>
          <w:spacing w:val="4"/>
          <w:w w:val="110"/>
          <w:sz w:val="11"/>
        </w:rPr>
        <w:t>DELAMANID</w:t>
      </w:r>
      <w:r>
        <w:rPr>
          <w:color w:val="231F1F"/>
          <w:spacing w:val="4"/>
          <w:w w:val="110"/>
          <w:sz w:val="12"/>
        </w:rPr>
        <w:t>, </w:t>
      </w:r>
      <w:r>
        <w:rPr>
          <w:rFonts w:ascii="Arial"/>
          <w:color w:val="231F1F"/>
          <w:w w:val="355"/>
          <w:position w:val="1"/>
          <w:sz w:val="7"/>
        </w:rPr>
        <w:t>l </w:t>
      </w:r>
      <w:r>
        <w:rPr>
          <w:rFonts w:ascii="Calibri"/>
          <w:color w:val="008356"/>
          <w:spacing w:val="4"/>
          <w:w w:val="110"/>
          <w:sz w:val="11"/>
        </w:rPr>
        <w:t>ERYTHROMYCIN</w:t>
      </w:r>
      <w:r>
        <w:rPr>
          <w:color w:val="231F1F"/>
          <w:spacing w:val="4"/>
          <w:w w:val="110"/>
          <w:sz w:val="12"/>
        </w:rPr>
        <w:t>,</w:t>
      </w:r>
    </w:p>
    <w:p>
      <w:pPr>
        <w:spacing w:line="141" w:lineRule="exact"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LEVOFLOXACIN </w:t>
      </w:r>
      <w:r>
        <w:rPr>
          <w:color w:val="231F1F"/>
          <w:w w:val="110"/>
          <w:sz w:val="12"/>
        </w:rPr>
        <w:t>or </w:t>
      </w:r>
      <w:r>
        <w:rPr>
          <w:rFonts w:ascii="Arial"/>
          <w:color w:val="231F1F"/>
          <w:w w:val="355"/>
          <w:position w:val="1"/>
          <w:sz w:val="7"/>
        </w:rPr>
        <w:t>l </w:t>
      </w:r>
      <w:r>
        <w:rPr>
          <w:rFonts w:ascii="Calibri"/>
          <w:color w:val="008356"/>
          <w:w w:val="110"/>
          <w:sz w:val="11"/>
        </w:rPr>
        <w:t>MOXIFLOXACIN</w:t>
      </w:r>
    </w:p>
    <w:p>
      <w:pPr>
        <w:pStyle w:val="BodyText"/>
        <w:ind w:right="116" w:hanging="100"/>
      </w:pPr>
      <w:r>
        <w:rPr>
          <w:rFonts w:ascii="Arial"/>
          <w:color w:val="231F1F"/>
          <w:w w:val="355"/>
          <w:position w:val="1"/>
          <w:sz w:val="7"/>
        </w:rPr>
        <w:t>l </w:t>
      </w:r>
      <w:r>
        <w:rPr>
          <w:rFonts w:ascii="Calibri"/>
          <w:color w:val="231F1F"/>
          <w:w w:val="110"/>
        </w:rPr>
        <w:t>Antidepressants: </w:t>
      </w:r>
      <w:r>
        <w:rPr>
          <w:color w:val="231F1F"/>
          <w:w w:val="110"/>
        </w:rPr>
        <w:t>increased risk of ventricular arrhythmias when arsenic trioxide given with </w:t>
      </w:r>
      <w:r>
        <w:rPr>
          <w:rFonts w:ascii="Arial"/>
          <w:color w:val="231F1F"/>
          <w:w w:val="355"/>
          <w:position w:val="1"/>
          <w:sz w:val="7"/>
        </w:rPr>
        <w:t>l </w:t>
      </w:r>
      <w:r>
        <w:rPr>
          <w:rFonts w:ascii="Calibri"/>
          <w:color w:val="008356"/>
          <w:spacing w:val="4"/>
          <w:w w:val="110"/>
          <w:sz w:val="11"/>
        </w:rPr>
        <w:t>AMITRIPTYLINE </w:t>
      </w:r>
      <w:r>
        <w:rPr>
          <w:color w:val="231F1F"/>
          <w:w w:val="110"/>
        </w:rPr>
        <w:t>or</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CLOMIPRAMINE</w:t>
      </w:r>
    </w:p>
    <w:p>
      <w:pPr>
        <w:pStyle w:val="BodyText"/>
        <w:ind w:hanging="100"/>
        <w:rPr>
          <w:rFonts w:ascii="Calibri"/>
          <w:sz w:val="11"/>
        </w:rPr>
      </w:pPr>
      <w:r>
        <w:rPr>
          <w:rFonts w:ascii="Arial"/>
          <w:color w:val="231F1F"/>
          <w:w w:val="355"/>
          <w:position w:val="1"/>
          <w:sz w:val="7"/>
        </w:rPr>
        <w:t>l </w:t>
      </w:r>
      <w:r>
        <w:rPr>
          <w:rFonts w:ascii="Calibri"/>
          <w:color w:val="231F1F"/>
          <w:w w:val="110"/>
        </w:rPr>
        <w:t>Antifungals: </w:t>
      </w:r>
      <w:r>
        <w:rPr>
          <w:color w:val="231F1F"/>
          <w:w w:val="110"/>
        </w:rPr>
        <w:t>increased risk of ventricular arrhythmias </w:t>
      </w:r>
      <w:r>
        <w:rPr>
          <w:color w:val="231F1F"/>
          <w:spacing w:val="-4"/>
          <w:w w:val="110"/>
        </w:rPr>
        <w:t>when </w:t>
      </w:r>
      <w:r>
        <w:rPr>
          <w:color w:val="231F1F"/>
          <w:w w:val="110"/>
        </w:rPr>
        <w:t>arsenic trioxide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AMPHOTERICIN</w:t>
      </w:r>
    </w:p>
    <w:p>
      <w:pPr>
        <w:spacing w:line="240" w:lineRule="auto" w:before="0"/>
        <w:ind w:left="208" w:right="89"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arsenic trioxide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ARTENIMOL</w:t>
      </w:r>
      <w:r>
        <w:rPr>
          <w:rFonts w:ascii="Calibri"/>
          <w:color w:val="008356"/>
          <w:spacing w:val="-15"/>
          <w:w w:val="110"/>
          <w:sz w:val="11"/>
        </w:rPr>
        <w:t> </w:t>
      </w:r>
      <w:r>
        <w:rPr>
          <w:rFonts w:ascii="Calibri"/>
          <w:color w:val="008356"/>
          <w:spacing w:val="4"/>
          <w:w w:val="110"/>
          <w:sz w:val="11"/>
        </w:rPr>
        <w:t>WITH</w:t>
      </w:r>
      <w:r>
        <w:rPr>
          <w:rFonts w:ascii="Calibri"/>
          <w:color w:val="008356"/>
          <w:spacing w:val="-12"/>
          <w:w w:val="110"/>
          <w:sz w:val="11"/>
        </w:rPr>
        <w:t> </w:t>
      </w:r>
      <w:r>
        <w:rPr>
          <w:rFonts w:ascii="Calibri"/>
          <w:color w:val="008356"/>
          <w:spacing w:val="4"/>
          <w:w w:val="110"/>
          <w:sz w:val="11"/>
        </w:rPr>
        <w:t>PIPERAQUINE</w:t>
      </w:r>
      <w:r>
        <w:rPr>
          <w:rFonts w:ascii="Calibri"/>
          <w:color w:val="008356"/>
          <w:spacing w:val="-11"/>
          <w:w w:val="110"/>
          <w:sz w:val="11"/>
        </w:rPr>
        <w:t> </w:t>
      </w:r>
      <w:r>
        <w:rPr>
          <w:color w:val="231F1F"/>
          <w:w w:val="110"/>
          <w:sz w:val="12"/>
        </w:rPr>
        <w:t>(possible</w:t>
      </w:r>
      <w:r>
        <w:rPr>
          <w:color w:val="231F1F"/>
          <w:spacing w:val="-18"/>
          <w:w w:val="110"/>
          <w:sz w:val="12"/>
        </w:rPr>
        <w:t> </w:t>
      </w:r>
      <w:r>
        <w:rPr>
          <w:color w:val="231F1F"/>
          <w:w w:val="110"/>
          <w:sz w:val="12"/>
        </w:rPr>
        <w:t>risk of ventricular</w:t>
      </w:r>
      <w:r>
        <w:rPr>
          <w:color w:val="231F1F"/>
          <w:spacing w:val="-4"/>
          <w:w w:val="110"/>
          <w:sz w:val="12"/>
        </w:rPr>
        <w:t> </w:t>
      </w:r>
      <w:r>
        <w:rPr>
          <w:color w:val="231F1F"/>
          <w:w w:val="110"/>
          <w:sz w:val="12"/>
        </w:rPr>
        <w:t>arrhythmias)</w:t>
      </w:r>
    </w:p>
    <w:p>
      <w:pPr>
        <w:pStyle w:val="BodyText"/>
        <w:spacing w:line="244" w:lineRule="auto"/>
        <w:ind w:right="37" w:hanging="100"/>
      </w:pPr>
      <w:r>
        <w:rPr>
          <w:rFonts w:ascii="Arial"/>
          <w:color w:val="231F1F"/>
          <w:w w:val="355"/>
          <w:position w:val="1"/>
          <w:sz w:val="7"/>
        </w:rPr>
        <w:t>l </w:t>
      </w:r>
      <w:r>
        <w:rPr>
          <w:rFonts w:ascii="Calibri"/>
          <w:color w:val="231F1F"/>
          <w:w w:val="110"/>
        </w:rPr>
        <w:t>Antipsychotics: </w:t>
      </w:r>
      <w:r>
        <w:rPr>
          <w:color w:val="231F1F"/>
          <w:w w:val="110"/>
        </w:rPr>
        <w:t>increased risk of ventricular arrhythmias when arsenic trioxide given with </w:t>
      </w:r>
      <w:r>
        <w:rPr>
          <w:rFonts w:ascii="Arial"/>
          <w:color w:val="231F1F"/>
          <w:w w:val="355"/>
          <w:position w:val="1"/>
          <w:sz w:val="7"/>
        </w:rPr>
        <w:t>l </w:t>
      </w:r>
      <w:r>
        <w:rPr>
          <w:rFonts w:ascii="Calibri"/>
          <w:color w:val="008356"/>
          <w:w w:val="110"/>
          <w:sz w:val="11"/>
        </w:rPr>
        <w:t>ANTIPSYCHOTICS </w:t>
      </w:r>
      <w:r>
        <w:rPr>
          <w:color w:val="231F1F"/>
          <w:w w:val="140"/>
        </w:rPr>
        <w:t>that </w:t>
      </w:r>
      <w:r>
        <w:rPr>
          <w:color w:val="231F1F"/>
          <w:w w:val="110"/>
        </w:rPr>
        <w:t>prolong the QT interval; increased risk of ventricular arrhythmias when arsenic trioxide given with </w:t>
      </w:r>
      <w:r>
        <w:rPr>
          <w:rFonts w:ascii="Arial"/>
          <w:color w:val="231F1F"/>
          <w:w w:val="355"/>
          <w:position w:val="1"/>
          <w:sz w:val="7"/>
        </w:rPr>
        <w:t>l </w:t>
      </w:r>
      <w:r>
        <w:rPr>
          <w:rFonts w:ascii="Calibri"/>
          <w:color w:val="008356"/>
          <w:w w:val="110"/>
          <w:sz w:val="11"/>
        </w:rPr>
        <w:t>HALOPERIDOL</w:t>
      </w:r>
      <w:r>
        <w:rPr>
          <w:color w:val="231F1F"/>
          <w:w w:val="110"/>
        </w:rPr>
        <w:t>; avoid concomitant use of cytotoxics with </w:t>
      </w:r>
      <w:r>
        <w:rPr>
          <w:rFonts w:ascii="Arial"/>
          <w:color w:val="231F1F"/>
          <w:w w:val="355"/>
          <w:position w:val="1"/>
          <w:sz w:val="7"/>
        </w:rPr>
        <w:t>l </w:t>
      </w:r>
      <w:r>
        <w:rPr>
          <w:rFonts w:ascii="Calibri"/>
          <w:color w:val="008356"/>
          <w:w w:val="110"/>
          <w:sz w:val="11"/>
        </w:rPr>
        <w:t>CLOZAPINE </w:t>
      </w:r>
      <w:r>
        <w:rPr>
          <w:color w:val="231F1F"/>
          <w:w w:val="110"/>
        </w:rPr>
        <w:t>(increased risk of agranulocytosis)</w:t>
      </w:r>
    </w:p>
    <w:p>
      <w:pPr>
        <w:pStyle w:val="BodyText"/>
        <w:spacing w:line="141" w:lineRule="exact"/>
        <w:ind w:left="108"/>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Beta-blockers:</w:t>
      </w:r>
      <w:r>
        <w:rPr>
          <w:rFonts w:ascii="Calibri"/>
          <w:color w:val="231F1F"/>
          <w:spacing w:val="-9"/>
          <w:w w:val="115"/>
        </w:rPr>
        <w:t> </w:t>
      </w:r>
      <w:r>
        <w:rPr>
          <w:color w:val="231F1F"/>
          <w:w w:val="115"/>
        </w:rPr>
        <w:t>increased</w:t>
      </w:r>
      <w:r>
        <w:rPr>
          <w:color w:val="231F1F"/>
          <w:spacing w:val="-13"/>
          <w:w w:val="115"/>
        </w:rPr>
        <w:t> </w:t>
      </w:r>
      <w:r>
        <w:rPr>
          <w:color w:val="231F1F"/>
          <w:w w:val="115"/>
        </w:rPr>
        <w:t>risk</w:t>
      </w:r>
      <w:r>
        <w:rPr>
          <w:color w:val="231F1F"/>
          <w:spacing w:val="-14"/>
          <w:w w:val="115"/>
        </w:rPr>
        <w:t> </w:t>
      </w:r>
      <w:r>
        <w:rPr>
          <w:color w:val="231F1F"/>
          <w:w w:val="115"/>
        </w:rPr>
        <w:t>of</w:t>
      </w:r>
      <w:r>
        <w:rPr>
          <w:color w:val="231F1F"/>
          <w:spacing w:val="-12"/>
          <w:w w:val="115"/>
        </w:rPr>
        <w:t> </w:t>
      </w:r>
      <w:r>
        <w:rPr>
          <w:color w:val="231F1F"/>
          <w:w w:val="115"/>
        </w:rPr>
        <w:t>ventricular</w:t>
      </w:r>
      <w:r>
        <w:rPr>
          <w:color w:val="231F1F"/>
          <w:spacing w:val="-14"/>
          <w:w w:val="115"/>
        </w:rPr>
        <w:t> </w:t>
      </w:r>
      <w:r>
        <w:rPr>
          <w:color w:val="231F1F"/>
          <w:w w:val="115"/>
        </w:rPr>
        <w:t>arrhythmias</w:t>
      </w:r>
      <w:r>
        <w:rPr>
          <w:color w:val="231F1F"/>
          <w:spacing w:val="-14"/>
          <w:w w:val="115"/>
        </w:rPr>
        <w:t> </w:t>
      </w:r>
      <w:r>
        <w:rPr>
          <w:color w:val="231F1F"/>
          <w:w w:val="115"/>
        </w:rPr>
        <w:t>when</w:t>
      </w:r>
    </w:p>
    <w:p>
      <w:pPr>
        <w:spacing w:line="140" w:lineRule="exact" w:before="0"/>
        <w:ind w:left="208" w:right="0" w:firstLine="0"/>
        <w:jc w:val="left"/>
        <w:rPr>
          <w:rFonts w:ascii="Calibri"/>
          <w:sz w:val="11"/>
        </w:rPr>
      </w:pPr>
      <w:r>
        <w:rPr>
          <w:color w:val="231F1F"/>
          <w:w w:val="110"/>
          <w:sz w:val="12"/>
        </w:rPr>
        <w:t>arsenic trioxide given with </w:t>
      </w:r>
      <w:r>
        <w:rPr>
          <w:rFonts w:ascii="Arial"/>
          <w:color w:val="231F1F"/>
          <w:w w:val="355"/>
          <w:position w:val="1"/>
          <w:sz w:val="7"/>
        </w:rPr>
        <w:t>l </w:t>
      </w:r>
      <w:r>
        <w:rPr>
          <w:rFonts w:ascii="Calibri"/>
          <w:color w:val="008356"/>
          <w:spacing w:val="3"/>
          <w:w w:val="110"/>
          <w:sz w:val="11"/>
        </w:rPr>
        <w:t>SOTALOL</w:t>
      </w:r>
    </w:p>
    <w:p>
      <w:pPr>
        <w:pStyle w:val="BodyText"/>
        <w:ind w:right="132"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Cytotoxics:</w:t>
      </w:r>
      <w:r>
        <w:rPr>
          <w:rFonts w:ascii="Calibri" w:hAnsi="Calibri"/>
          <w:color w:val="231F1F"/>
          <w:spacing w:val="-14"/>
          <w:w w:val="115"/>
        </w:rPr>
        <w:t> </w:t>
      </w:r>
      <w:r>
        <w:rPr>
          <w:color w:val="231F1F"/>
          <w:w w:val="115"/>
        </w:rPr>
        <w:t>possible</w:t>
      </w:r>
      <w:r>
        <w:rPr>
          <w:color w:val="231F1F"/>
          <w:spacing w:val="-18"/>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8"/>
          <w:w w:val="115"/>
        </w:rPr>
        <w:t> </w:t>
      </w:r>
      <w:r>
        <w:rPr>
          <w:color w:val="231F1F"/>
          <w:w w:val="115"/>
        </w:rPr>
        <w:t>arrhythmias when arsenic trioxide given with </w:t>
      </w:r>
      <w:r>
        <w:rPr>
          <w:rFonts w:ascii="Arial" w:hAnsi="Arial"/>
          <w:color w:val="231F1F"/>
          <w:w w:val="355"/>
          <w:position w:val="1"/>
          <w:sz w:val="7"/>
        </w:rPr>
        <w:t>l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 </w:t>
      </w:r>
      <w:r>
        <w:rPr>
          <w:color w:val="231F1F"/>
          <w:w w:val="115"/>
        </w:rPr>
        <w:t>concomitant</w:t>
      </w:r>
      <w:r>
        <w:rPr>
          <w:color w:val="231F1F"/>
          <w:spacing w:val="-6"/>
          <w:w w:val="115"/>
        </w:rPr>
        <w:t> </w:t>
      </w:r>
      <w:r>
        <w:rPr>
          <w:color w:val="231F1F"/>
          <w:w w:val="115"/>
        </w:rPr>
        <w:t>use</w:t>
      </w:r>
    </w:p>
    <w:p>
      <w:pPr>
        <w:pStyle w:val="BodyText"/>
        <w:ind w:hanging="100"/>
      </w:pPr>
      <w:r>
        <w:rPr>
          <w:rFonts w:ascii="Arial"/>
          <w:color w:val="231F1F"/>
          <w:w w:val="355"/>
          <w:position w:val="1"/>
          <w:sz w:val="7"/>
        </w:rPr>
        <w:t>l </w:t>
      </w:r>
      <w:r>
        <w:rPr>
          <w:rFonts w:ascii="Calibri"/>
          <w:color w:val="231F1F"/>
          <w:w w:val="110"/>
        </w:rPr>
        <w:t>Diuretics: </w:t>
      </w:r>
      <w:r>
        <w:rPr>
          <w:color w:val="231F1F"/>
          <w:w w:val="110"/>
        </w:rPr>
        <w:t>risk of ventricular arrhythmias with arsenic trioxide increased by hypokalaemia caused by </w:t>
      </w:r>
      <w:r>
        <w:rPr>
          <w:rFonts w:ascii="Arial"/>
          <w:color w:val="231F1F"/>
          <w:w w:val="355"/>
          <w:position w:val="1"/>
          <w:sz w:val="7"/>
        </w:rPr>
        <w:t>l </w:t>
      </w:r>
      <w:r>
        <w:rPr>
          <w:rFonts w:ascii="Calibri"/>
          <w:color w:val="008356"/>
          <w:w w:val="110"/>
          <w:sz w:val="11"/>
        </w:rPr>
        <w:t>ACETAZOLAMIDE</w:t>
      </w:r>
      <w:r>
        <w:rPr>
          <w:color w:val="231F1F"/>
          <w:w w:val="110"/>
        </w:rPr>
        <w:t>,</w:t>
      </w:r>
    </w:p>
    <w:p>
      <w:pPr>
        <w:spacing w:line="141" w:lineRule="exact" w:before="0"/>
        <w:ind w:left="208" w:right="0" w:firstLine="0"/>
        <w:jc w:val="left"/>
        <w:rPr>
          <w:rFonts w:ascii="Calibri"/>
          <w:sz w:val="11"/>
        </w:rPr>
      </w:pPr>
      <w:r>
        <w:rPr>
          <w:rFonts w:ascii="Arial"/>
          <w:color w:val="231F1F"/>
          <w:w w:val="355"/>
          <w:position w:val="1"/>
          <w:sz w:val="7"/>
        </w:rPr>
        <w:t>l </w:t>
      </w:r>
      <w:r>
        <w:rPr>
          <w:rFonts w:ascii="Calibri"/>
          <w:color w:val="008356"/>
          <w:spacing w:val="3"/>
          <w:w w:val="110"/>
          <w:sz w:val="11"/>
        </w:rPr>
        <w:t>LOOP </w:t>
      </w:r>
      <w:r>
        <w:rPr>
          <w:rFonts w:ascii="Calibri"/>
          <w:color w:val="008356"/>
          <w:spacing w:val="4"/>
          <w:w w:val="110"/>
          <w:sz w:val="11"/>
        </w:rPr>
        <w:t>DIURETICS </w:t>
      </w:r>
      <w:r>
        <w:rPr>
          <w:color w:val="231F1F"/>
          <w:w w:val="110"/>
          <w:sz w:val="12"/>
        </w:rPr>
        <w:t>or </w:t>
      </w:r>
      <w:r>
        <w:rPr>
          <w:rFonts w:ascii="Arial"/>
          <w:color w:val="231F1F"/>
          <w:w w:val="355"/>
          <w:position w:val="1"/>
          <w:sz w:val="7"/>
        </w:rPr>
        <w:t>l </w:t>
      </w:r>
      <w:r>
        <w:rPr>
          <w:rFonts w:ascii="Calibri"/>
          <w:color w:val="008356"/>
          <w:spacing w:val="4"/>
          <w:w w:val="110"/>
          <w:sz w:val="11"/>
        </w:rPr>
        <w:t>THIAZIDES </w:t>
      </w:r>
      <w:r>
        <w:rPr>
          <w:rFonts w:ascii="Calibri"/>
          <w:color w:val="008356"/>
          <w:spacing w:val="3"/>
          <w:w w:val="110"/>
          <w:sz w:val="11"/>
        </w:rPr>
        <w:t>AND RELATED </w:t>
      </w:r>
      <w:r>
        <w:rPr>
          <w:rFonts w:ascii="Calibri"/>
          <w:color w:val="008356"/>
          <w:spacing w:val="5"/>
          <w:w w:val="110"/>
          <w:sz w:val="11"/>
        </w:rPr>
        <w:t>DIURETICS</w:t>
      </w:r>
    </w:p>
    <w:p>
      <w:pPr>
        <w:pStyle w:val="BodyText"/>
        <w:ind w:right="413" w:hanging="100"/>
        <w:rPr>
          <w:rFonts w:ascii="Calibri"/>
          <w:sz w:val="11"/>
        </w:rPr>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Lithium:</w:t>
      </w:r>
      <w:r>
        <w:rPr>
          <w:rFonts w:ascii="Calibri"/>
          <w:color w:val="231F1F"/>
          <w:spacing w:val="-9"/>
          <w:w w:val="115"/>
        </w:rPr>
        <w:t> </w:t>
      </w:r>
      <w:r>
        <w:rPr>
          <w:color w:val="231F1F"/>
          <w:w w:val="115"/>
        </w:rPr>
        <w:t>increased</w:t>
      </w:r>
      <w:r>
        <w:rPr>
          <w:color w:val="231F1F"/>
          <w:spacing w:val="-12"/>
          <w:w w:val="115"/>
        </w:rPr>
        <w:t> </w:t>
      </w:r>
      <w:r>
        <w:rPr>
          <w:color w:val="231F1F"/>
          <w:w w:val="115"/>
        </w:rPr>
        <w:t>risk</w:t>
      </w:r>
      <w:r>
        <w:rPr>
          <w:color w:val="231F1F"/>
          <w:spacing w:val="-11"/>
          <w:w w:val="115"/>
        </w:rPr>
        <w:t> </w:t>
      </w:r>
      <w:r>
        <w:rPr>
          <w:color w:val="231F1F"/>
          <w:w w:val="115"/>
        </w:rPr>
        <w:t>of</w:t>
      </w:r>
      <w:r>
        <w:rPr>
          <w:color w:val="231F1F"/>
          <w:spacing w:val="-12"/>
          <w:w w:val="115"/>
        </w:rPr>
        <w:t> </w:t>
      </w:r>
      <w:r>
        <w:rPr>
          <w:color w:val="231F1F"/>
          <w:w w:val="115"/>
        </w:rPr>
        <w:t>ventricular</w:t>
      </w:r>
      <w:r>
        <w:rPr>
          <w:color w:val="231F1F"/>
          <w:spacing w:val="-11"/>
          <w:w w:val="115"/>
        </w:rPr>
        <w:t> </w:t>
      </w:r>
      <w:r>
        <w:rPr>
          <w:color w:val="231F1F"/>
          <w:w w:val="115"/>
        </w:rPr>
        <w:t>arrhythmias</w:t>
      </w:r>
      <w:r>
        <w:rPr>
          <w:color w:val="231F1F"/>
          <w:spacing w:val="-13"/>
          <w:w w:val="115"/>
        </w:rPr>
        <w:t> </w:t>
      </w:r>
      <w:r>
        <w:rPr>
          <w:color w:val="231F1F"/>
          <w:spacing w:val="-4"/>
          <w:w w:val="115"/>
        </w:rPr>
        <w:t>when </w:t>
      </w:r>
      <w:r>
        <w:rPr>
          <w:color w:val="231F1F"/>
          <w:w w:val="115"/>
        </w:rPr>
        <w:t>arsenic</w:t>
      </w:r>
      <w:r>
        <w:rPr>
          <w:color w:val="231F1F"/>
          <w:spacing w:val="-6"/>
          <w:w w:val="115"/>
        </w:rPr>
        <w:t> </w:t>
      </w:r>
      <w:r>
        <w:rPr>
          <w:color w:val="231F1F"/>
          <w:w w:val="115"/>
        </w:rPr>
        <w:t>trioxide</w:t>
      </w:r>
      <w:r>
        <w:rPr>
          <w:color w:val="231F1F"/>
          <w:spacing w:val="-7"/>
          <w:w w:val="115"/>
        </w:rPr>
        <w:t> </w:t>
      </w:r>
      <w:r>
        <w:rPr>
          <w:color w:val="231F1F"/>
          <w:w w:val="115"/>
        </w:rPr>
        <w:t>given</w:t>
      </w:r>
      <w:r>
        <w:rPr>
          <w:color w:val="231F1F"/>
          <w:spacing w:val="-6"/>
          <w:w w:val="115"/>
        </w:rPr>
        <w:t> </w:t>
      </w:r>
      <w:r>
        <w:rPr>
          <w:color w:val="231F1F"/>
          <w:w w:val="115"/>
        </w:rPr>
        <w:t>with</w:t>
      </w:r>
      <w:r>
        <w:rPr>
          <w:color w:val="231F1F"/>
          <w:spacing w:val="-6"/>
          <w:w w:val="115"/>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5"/>
          <w:w w:val="115"/>
          <w:sz w:val="11"/>
        </w:rPr>
        <w:t>LITHIUM</w:t>
      </w:r>
    </w:p>
    <w:p>
      <w:pPr>
        <w:pStyle w:val="BodyText"/>
        <w:spacing w:line="139" w:lineRule="exact" w:before="5"/>
        <w:ind w:left="108"/>
        <w:rPr>
          <w:rFonts w:ascii="Trebuchet MS"/>
        </w:rPr>
      </w:pPr>
      <w:r>
        <w:rPr>
          <w:rFonts w:ascii="Trebuchet MS"/>
          <w:color w:val="008356"/>
        </w:rPr>
        <w:t>Artemether with Lumefantrine</w:t>
      </w:r>
    </w:p>
    <w:p>
      <w:pPr>
        <w:pStyle w:val="BodyText"/>
        <w:ind w:right="689"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Anti-arrhythmics:</w:t>
      </w:r>
      <w:r>
        <w:rPr>
          <w:rFonts w:ascii="Calibri"/>
          <w:color w:val="231F1F"/>
          <w:spacing w:val="-15"/>
          <w:w w:val="115"/>
        </w:rPr>
        <w:t> </w:t>
      </w:r>
      <w:r>
        <w:rPr>
          <w:color w:val="231F1F"/>
          <w:w w:val="115"/>
        </w:rPr>
        <w:t>manufacturer</w:t>
      </w:r>
      <w:r>
        <w:rPr>
          <w:color w:val="231F1F"/>
          <w:spacing w:val="-18"/>
          <w:w w:val="115"/>
        </w:rPr>
        <w:t> </w:t>
      </w:r>
      <w:r>
        <w:rPr>
          <w:color w:val="231F1F"/>
          <w:w w:val="115"/>
        </w:rPr>
        <w:t>of</w:t>
      </w:r>
      <w:r>
        <w:rPr>
          <w:color w:val="231F1F"/>
          <w:spacing w:val="-18"/>
          <w:w w:val="115"/>
        </w:rPr>
        <w:t> </w:t>
      </w:r>
      <w:r>
        <w:rPr>
          <w:color w:val="231F1F"/>
          <w:w w:val="115"/>
        </w:rPr>
        <w:t>artemether</w:t>
      </w:r>
      <w:r>
        <w:rPr>
          <w:color w:val="231F1F"/>
          <w:spacing w:val="-19"/>
          <w:w w:val="115"/>
        </w:rPr>
        <w:t> </w:t>
      </w:r>
      <w:r>
        <w:rPr>
          <w:color w:val="231F1F"/>
          <w:spacing w:val="-5"/>
          <w:w w:val="115"/>
        </w:rPr>
        <w:t>with </w:t>
      </w:r>
      <w:r>
        <w:rPr>
          <w:color w:val="231F1F"/>
          <w:w w:val="115"/>
        </w:rPr>
        <w:t>lumefantrine</w:t>
      </w:r>
      <w:r>
        <w:rPr>
          <w:color w:val="231F1F"/>
          <w:spacing w:val="-5"/>
          <w:w w:val="115"/>
        </w:rPr>
        <w:t> </w:t>
      </w:r>
      <w:r>
        <w:rPr>
          <w:color w:val="231F1F"/>
          <w:w w:val="115"/>
        </w:rPr>
        <w:t>advises</w:t>
      </w:r>
      <w:r>
        <w:rPr>
          <w:color w:val="231F1F"/>
          <w:spacing w:val="-6"/>
          <w:w w:val="115"/>
        </w:rPr>
        <w:t> </w:t>
      </w:r>
      <w:r>
        <w:rPr>
          <w:color w:val="231F1F"/>
          <w:w w:val="115"/>
        </w:rPr>
        <w:t>avoid</w:t>
      </w:r>
      <w:r>
        <w:rPr>
          <w:color w:val="231F1F"/>
          <w:spacing w:val="-6"/>
          <w:w w:val="115"/>
        </w:rPr>
        <w:t> </w:t>
      </w:r>
      <w:r>
        <w:rPr>
          <w:color w:val="231F1F"/>
          <w:w w:val="115"/>
        </w:rPr>
        <w:t>concomitant</w:t>
      </w:r>
      <w:r>
        <w:rPr>
          <w:color w:val="231F1F"/>
          <w:spacing w:val="-7"/>
          <w:w w:val="115"/>
        </w:rPr>
        <w:t> </w:t>
      </w:r>
      <w:r>
        <w:rPr>
          <w:color w:val="231F1F"/>
          <w:w w:val="115"/>
        </w:rPr>
        <w:t>use</w:t>
      </w:r>
      <w:r>
        <w:rPr>
          <w:color w:val="231F1F"/>
          <w:spacing w:val="-5"/>
          <w:w w:val="115"/>
        </w:rPr>
        <w:t> </w:t>
      </w:r>
      <w:r>
        <w:rPr>
          <w:color w:val="231F1F"/>
          <w:w w:val="115"/>
        </w:rPr>
        <w:t>with</w:t>
      </w:r>
    </w:p>
    <w:p>
      <w:pPr>
        <w:spacing w:before="4"/>
        <w:ind w:left="208" w:right="0" w:firstLine="0"/>
        <w:jc w:val="left"/>
        <w:rPr>
          <w:sz w:val="12"/>
        </w:rPr>
      </w:pPr>
      <w:r>
        <w:rPr>
          <w:rFonts w:ascii="Arial"/>
          <w:color w:val="231F1F"/>
          <w:w w:val="355"/>
          <w:position w:val="1"/>
          <w:sz w:val="7"/>
        </w:rPr>
        <w:t>l </w:t>
      </w:r>
      <w:r>
        <w:rPr>
          <w:rFonts w:ascii="Calibri"/>
          <w:color w:val="008356"/>
          <w:spacing w:val="4"/>
          <w:w w:val="110"/>
          <w:sz w:val="11"/>
        </w:rPr>
        <w:t>AMIODARONE</w:t>
      </w:r>
      <w:r>
        <w:rPr>
          <w:color w:val="231F1F"/>
          <w:spacing w:val="4"/>
          <w:w w:val="110"/>
          <w:sz w:val="12"/>
        </w:rPr>
        <w:t>, </w:t>
      </w:r>
      <w:r>
        <w:rPr>
          <w:rFonts w:ascii="Arial"/>
          <w:color w:val="231F1F"/>
          <w:w w:val="355"/>
          <w:position w:val="1"/>
          <w:sz w:val="7"/>
        </w:rPr>
        <w:t>l </w:t>
      </w:r>
      <w:r>
        <w:rPr>
          <w:rFonts w:ascii="Calibri"/>
          <w:color w:val="008356"/>
          <w:spacing w:val="4"/>
          <w:w w:val="110"/>
          <w:sz w:val="11"/>
        </w:rPr>
        <w:t>DISOPYRAMIDE </w:t>
      </w:r>
      <w:r>
        <w:rPr>
          <w:color w:val="231F1F"/>
          <w:w w:val="110"/>
          <w:sz w:val="12"/>
        </w:rPr>
        <w:t>and </w:t>
      </w:r>
      <w:r>
        <w:rPr>
          <w:rFonts w:ascii="Arial"/>
          <w:color w:val="231F1F"/>
          <w:w w:val="355"/>
          <w:position w:val="1"/>
          <w:sz w:val="7"/>
        </w:rPr>
        <w:t>l </w:t>
      </w:r>
      <w:r>
        <w:rPr>
          <w:rFonts w:ascii="Calibri"/>
          <w:color w:val="008356"/>
          <w:spacing w:val="4"/>
          <w:w w:val="110"/>
          <w:sz w:val="11"/>
        </w:rPr>
        <w:t>FLECAINIDE </w:t>
      </w:r>
      <w:r>
        <w:rPr>
          <w:color w:val="231F1F"/>
          <w:w w:val="110"/>
          <w:sz w:val="12"/>
        </w:rPr>
        <w:t>(risk of</w:t>
      </w:r>
    </w:p>
    <w:p>
      <w:pPr>
        <w:pStyle w:val="BodyText"/>
        <w:spacing w:before="3"/>
      </w:pPr>
      <w:r>
        <w:rPr>
          <w:color w:val="231F1F"/>
          <w:w w:val="115"/>
        </w:rPr>
        <w:t>ventricular arrhythmias)</w:t>
      </w:r>
    </w:p>
    <w:p>
      <w:pPr>
        <w:pStyle w:val="BodyText"/>
        <w:spacing w:before="1"/>
        <w:ind w:hanging="100"/>
      </w:pPr>
      <w:r>
        <w:rPr>
          <w:rFonts w:ascii="Arial"/>
          <w:color w:val="231F1F"/>
          <w:w w:val="355"/>
          <w:position w:val="1"/>
          <w:sz w:val="7"/>
        </w:rPr>
        <w:t>l </w:t>
      </w:r>
      <w:r>
        <w:rPr>
          <w:rFonts w:ascii="Calibri"/>
          <w:color w:val="231F1F"/>
          <w:w w:val="110"/>
        </w:rPr>
        <w:t>Antibacterials: </w:t>
      </w:r>
      <w:r>
        <w:rPr>
          <w:color w:val="231F1F"/>
          <w:w w:val="110"/>
        </w:rPr>
        <w:t>manufacturer of artemether with lumefantrine advises avoid concomitant use with </w:t>
      </w:r>
      <w:r>
        <w:rPr>
          <w:rFonts w:ascii="Arial"/>
          <w:color w:val="231F1F"/>
          <w:w w:val="355"/>
          <w:position w:val="1"/>
          <w:sz w:val="7"/>
        </w:rPr>
        <w:t>l </w:t>
      </w:r>
      <w:r>
        <w:rPr>
          <w:rFonts w:ascii="Calibri"/>
          <w:color w:val="008356"/>
          <w:w w:val="110"/>
          <w:sz w:val="11"/>
        </w:rPr>
        <w:t>MACROLIDES </w:t>
      </w:r>
      <w:r>
        <w:rPr>
          <w:color w:val="231F1F"/>
          <w:w w:val="110"/>
        </w:rPr>
        <w:t>and</w:t>
      </w:r>
    </w:p>
    <w:p>
      <w:pPr>
        <w:spacing w:line="133" w:lineRule="exact" w:before="9"/>
        <w:ind w:left="208" w:right="0" w:firstLine="0"/>
        <w:jc w:val="left"/>
        <w:rPr>
          <w:rFonts w:ascii="Calibri"/>
          <w:sz w:val="11"/>
        </w:rPr>
      </w:pPr>
      <w:r>
        <w:rPr>
          <w:rFonts w:ascii="Arial"/>
          <w:color w:val="231F1F"/>
          <w:w w:val="355"/>
          <w:position w:val="1"/>
          <w:sz w:val="7"/>
        </w:rPr>
        <w:t>l </w:t>
      </w:r>
      <w:r>
        <w:rPr>
          <w:rFonts w:ascii="Calibri"/>
          <w:color w:val="008356"/>
          <w:w w:val="115"/>
          <w:sz w:val="11"/>
        </w:rPr>
        <w:t>QUINOLONES</w:t>
      </w:r>
    </w:p>
    <w:p>
      <w:pPr>
        <w:pStyle w:val="BodyText"/>
        <w:spacing w:line="244" w:lineRule="auto"/>
        <w:ind w:right="132"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possible increased risk of ventricular arrhythmias when artemether with  lumefantrine  given  with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0"/>
          <w:sz w:val="11"/>
        </w:rPr>
        <w:t>CITALOPRAM</w:t>
      </w:r>
      <w:r>
        <w:rPr>
          <w:rFonts w:ascii="Calibri" w:hAnsi="Calibri"/>
          <w:color w:val="008356"/>
          <w:spacing w:val="-1"/>
          <w:w w:val="110"/>
          <w:sz w:val="11"/>
        </w:rPr>
        <w:t> </w:t>
      </w:r>
      <w:r>
        <w:rPr>
          <w:color w:val="231F1F"/>
          <w:w w:val="110"/>
        </w:rPr>
        <w:t>or</w:t>
      </w:r>
      <w:r>
        <w:rPr>
          <w:color w:val="231F1F"/>
          <w:spacing w:val="-11"/>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ESCITALOPRAM</w:t>
      </w:r>
      <w:r>
        <w:rPr>
          <w:rFonts w:ascii="Arial" w:hAnsi="Arial"/>
          <w:color w:val="231F1F"/>
          <w:spacing w:val="3"/>
          <w:w w:val="110"/>
        </w:rPr>
        <w:t>—</w:t>
      </w:r>
      <w:r>
        <w:rPr>
          <w:color w:val="231F1F"/>
          <w:spacing w:val="3"/>
          <w:w w:val="110"/>
        </w:rPr>
        <w:t>avoid</w:t>
      </w:r>
      <w:r>
        <w:rPr>
          <w:color w:val="231F1F"/>
          <w:spacing w:val="-12"/>
          <w:w w:val="110"/>
        </w:rPr>
        <w:t> </w:t>
      </w:r>
      <w:r>
        <w:rPr>
          <w:color w:val="231F1F"/>
          <w:w w:val="110"/>
        </w:rPr>
        <w:t>concomitant</w:t>
      </w:r>
      <w:r>
        <w:rPr>
          <w:color w:val="231F1F"/>
          <w:spacing w:val="-11"/>
          <w:w w:val="110"/>
        </w:rPr>
        <w:t> </w:t>
      </w:r>
      <w:r>
        <w:rPr>
          <w:color w:val="231F1F"/>
          <w:w w:val="110"/>
        </w:rPr>
        <w:t>use; manufacturer of artemether with lumefantrine advises </w:t>
      </w:r>
      <w:r>
        <w:rPr>
          <w:color w:val="231F1F"/>
          <w:spacing w:val="-3"/>
          <w:w w:val="110"/>
        </w:rPr>
        <w:t>avoid </w:t>
      </w:r>
      <w:r>
        <w:rPr>
          <w:color w:val="231F1F"/>
          <w:w w:val="110"/>
        </w:rPr>
        <w:t>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5"/>
          <w:w w:val="110"/>
          <w:sz w:val="11"/>
        </w:rPr>
        <w:t>ANTIDEPRESSANTS</w:t>
      </w:r>
    </w:p>
    <w:p>
      <w:pPr>
        <w:pStyle w:val="BodyText"/>
        <w:spacing w:line="141" w:lineRule="exact"/>
        <w:ind w:left="108"/>
      </w:pPr>
      <w:r>
        <w:rPr>
          <w:rFonts w:ascii="Arial"/>
          <w:color w:val="231F1F"/>
          <w:w w:val="355"/>
          <w:position w:val="1"/>
          <w:sz w:val="7"/>
        </w:rPr>
        <w:t>l </w:t>
      </w:r>
      <w:r>
        <w:rPr>
          <w:rFonts w:ascii="Calibri"/>
          <w:color w:val="231F1F"/>
          <w:w w:val="115"/>
        </w:rPr>
        <w:t>Antifungals: </w:t>
      </w:r>
      <w:r>
        <w:rPr>
          <w:color w:val="231F1F"/>
          <w:w w:val="115"/>
        </w:rPr>
        <w:t>manufacturer of artemether with lumefantrine</w:t>
      </w:r>
    </w:p>
    <w:p>
      <w:pPr>
        <w:spacing w:before="0"/>
        <w:ind w:left="208" w:right="0" w:firstLine="0"/>
        <w:jc w:val="left"/>
        <w:rPr>
          <w:sz w:val="12"/>
        </w:rPr>
      </w:pPr>
      <w:r>
        <w:rPr>
          <w:color w:val="231F1F"/>
          <w:w w:val="110"/>
          <w:sz w:val="12"/>
        </w:rPr>
        <w:t>advises avoid concomitant use with </w:t>
      </w:r>
      <w:r>
        <w:rPr>
          <w:rFonts w:ascii="Arial"/>
          <w:color w:val="231F1F"/>
          <w:w w:val="355"/>
          <w:position w:val="1"/>
          <w:sz w:val="7"/>
        </w:rPr>
        <w:t>l </w:t>
      </w:r>
      <w:r>
        <w:rPr>
          <w:rFonts w:ascii="Calibri"/>
          <w:color w:val="008356"/>
          <w:w w:val="110"/>
          <w:sz w:val="11"/>
        </w:rPr>
        <w:t>IMIDAZOLES </w:t>
      </w:r>
      <w:r>
        <w:rPr>
          <w:color w:val="231F1F"/>
          <w:w w:val="110"/>
          <w:sz w:val="12"/>
        </w:rPr>
        <w:t>and</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TRIAZOLES</w:t>
      </w:r>
    </w:p>
    <w:p>
      <w:pPr>
        <w:pStyle w:val="BodyText"/>
        <w:spacing w:line="244" w:lineRule="auto"/>
        <w:ind w:right="42" w:hanging="100"/>
        <w:rPr>
          <w:rFonts w:ascii="Calibri"/>
          <w:sz w:val="11"/>
        </w:rPr>
      </w:pPr>
      <w:r>
        <w:rPr>
          <w:rFonts w:ascii="Arial"/>
          <w:color w:val="231F1F"/>
          <w:w w:val="355"/>
          <w:position w:val="1"/>
          <w:sz w:val="7"/>
        </w:rPr>
        <w:t>l </w:t>
      </w:r>
      <w:r>
        <w:rPr>
          <w:rFonts w:ascii="Calibri"/>
          <w:color w:val="231F1F"/>
          <w:w w:val="115"/>
        </w:rPr>
        <w:t>Antimalarials: </w:t>
      </w:r>
      <w:r>
        <w:rPr>
          <w:color w:val="231F1F"/>
          <w:w w:val="115"/>
        </w:rPr>
        <w:t>manufacturer of artemether with </w:t>
      </w:r>
      <w:r>
        <w:rPr>
          <w:color w:val="231F1F"/>
          <w:spacing w:val="-2"/>
          <w:w w:val="115"/>
        </w:rPr>
        <w:t>lumefantrine </w:t>
      </w:r>
      <w:r>
        <w:rPr>
          <w:color w:val="231F1F"/>
          <w:w w:val="115"/>
        </w:rPr>
        <w:t>advises avoid concomitant use with </w:t>
      </w:r>
      <w:r>
        <w:rPr>
          <w:rFonts w:ascii="Arial"/>
          <w:color w:val="231F1F"/>
          <w:w w:val="355"/>
          <w:position w:val="1"/>
          <w:sz w:val="7"/>
        </w:rPr>
        <w:t>l </w:t>
      </w:r>
      <w:r>
        <w:rPr>
          <w:rFonts w:ascii="Calibri"/>
          <w:color w:val="008356"/>
          <w:spacing w:val="4"/>
          <w:w w:val="115"/>
          <w:sz w:val="11"/>
        </w:rPr>
        <w:t>ANTIMALARIALS</w:t>
      </w:r>
      <w:r>
        <w:rPr>
          <w:color w:val="231F1F"/>
          <w:spacing w:val="4"/>
          <w:w w:val="115"/>
        </w:rPr>
        <w:t>; </w:t>
      </w:r>
      <w:r>
        <w:rPr>
          <w:color w:val="231F1F"/>
          <w:w w:val="115"/>
        </w:rPr>
        <w:t>increased risk of ventricular arrhythmias when artemether with lumefantrine given with </w:t>
      </w:r>
      <w:r>
        <w:rPr>
          <w:rFonts w:ascii="Arial"/>
          <w:color w:val="231F1F"/>
          <w:w w:val="355"/>
          <w:position w:val="1"/>
          <w:sz w:val="7"/>
        </w:rPr>
        <w:t>l </w:t>
      </w:r>
      <w:r>
        <w:rPr>
          <w:rFonts w:ascii="Calibri"/>
          <w:color w:val="008356"/>
          <w:spacing w:val="5"/>
          <w:w w:val="115"/>
          <w:sz w:val="11"/>
        </w:rPr>
        <w:t>QUININE</w:t>
      </w:r>
    </w:p>
    <w:p>
      <w:pPr>
        <w:pStyle w:val="BodyText"/>
        <w:spacing w:line="140" w:lineRule="exact"/>
        <w:ind w:left="108"/>
      </w:pPr>
      <w:r>
        <w:rPr>
          <w:rFonts w:ascii="Arial"/>
          <w:color w:val="231F1F"/>
          <w:w w:val="355"/>
          <w:position w:val="1"/>
          <w:sz w:val="7"/>
        </w:rPr>
        <w:t>l </w:t>
      </w:r>
      <w:r>
        <w:rPr>
          <w:rFonts w:ascii="Calibri"/>
          <w:color w:val="231F1F"/>
          <w:w w:val="110"/>
        </w:rPr>
        <w:t>Antipsychotics: </w:t>
      </w:r>
      <w:r>
        <w:rPr>
          <w:color w:val="231F1F"/>
          <w:w w:val="110"/>
        </w:rPr>
        <w:t>manufacturer of artemether with lumefantrine</w:t>
      </w:r>
    </w:p>
    <w:p>
      <w:pPr>
        <w:spacing w:line="140" w:lineRule="exact" w:before="0"/>
        <w:ind w:left="208" w:right="0" w:firstLine="0"/>
        <w:jc w:val="left"/>
        <w:rPr>
          <w:rFonts w:ascii="Calibri"/>
          <w:sz w:val="11"/>
        </w:rPr>
      </w:pPr>
      <w:r>
        <w:rPr>
          <w:color w:val="231F1F"/>
          <w:w w:val="110"/>
          <w:sz w:val="12"/>
        </w:rPr>
        <w:t>advises avoid concomitant use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ANTIPSYCHOTICS</w:t>
      </w:r>
    </w:p>
    <w:p>
      <w:pPr>
        <w:spacing w:before="0"/>
        <w:ind w:left="208" w:right="116"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manufacturer of artemether with lumefantrine </w:t>
      </w:r>
      <w:r>
        <w:rPr>
          <w:color w:val="231F1F"/>
          <w:w w:val="105"/>
          <w:sz w:val="12"/>
        </w:rPr>
        <w:t>advises caution with </w:t>
      </w:r>
      <w:r>
        <w:rPr>
          <w:rFonts w:ascii="Calibri"/>
          <w:color w:val="008356"/>
          <w:w w:val="105"/>
          <w:sz w:val="11"/>
        </w:rPr>
        <w:t>ATAZANAVIR</w:t>
      </w:r>
      <w:r>
        <w:rPr>
          <w:color w:val="231F1F"/>
          <w:w w:val="105"/>
          <w:sz w:val="12"/>
        </w:rPr>
        <w:t>, </w:t>
      </w:r>
      <w:r>
        <w:rPr>
          <w:rFonts w:ascii="Calibri"/>
          <w:color w:val="008356"/>
          <w:w w:val="105"/>
          <w:sz w:val="11"/>
        </w:rPr>
        <w:t>FOSAMPRENAVIR</w:t>
      </w:r>
      <w:r>
        <w:rPr>
          <w:color w:val="231F1F"/>
          <w:w w:val="105"/>
          <w:sz w:val="12"/>
        </w:rPr>
        <w:t>, </w:t>
      </w:r>
      <w:r>
        <w:rPr>
          <w:rFonts w:ascii="Calibri"/>
          <w:color w:val="008356"/>
          <w:w w:val="105"/>
          <w:sz w:val="11"/>
        </w:rPr>
        <w:t>INDINAVIR</w:t>
      </w:r>
      <w:r>
        <w:rPr>
          <w:color w:val="231F1F"/>
          <w:w w:val="105"/>
          <w:sz w:val="12"/>
        </w:rPr>
        <w:t>,</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Artemether with Lumefantrine</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2272" filled="true" fillcolor="#bfdbcf" stroked="false">
            <v:fill type="solid"/>
            <w10:wrap type="none"/>
          </v:rect>
        </w:pict>
      </w:r>
      <w:r>
        <w:rPr/>
        <w:pict>
          <v:shape style="position:absolute;margin-left:399.725769pt;margin-top:-3.466702pt;width:10.4pt;height:78.850pt;mso-position-horizontal-relative:page;mso-position-vertical-relative:paragraph;z-index:229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spacing w:line="141" w:lineRule="exact" w:before="0"/>
        <w:ind w:left="208" w:right="0" w:firstLine="0"/>
        <w:jc w:val="left"/>
        <w:rPr>
          <w:sz w:val="12"/>
        </w:rPr>
      </w:pPr>
      <w:r>
        <w:rPr>
          <w:rFonts w:ascii="Calibri"/>
          <w:color w:val="008356"/>
          <w:w w:val="105"/>
          <w:sz w:val="11"/>
        </w:rPr>
        <w:t>LOPINAVIR</w:t>
      </w:r>
      <w:r>
        <w:rPr>
          <w:color w:val="231F1F"/>
          <w:w w:val="105"/>
          <w:sz w:val="12"/>
        </w:rPr>
        <w:t>, </w:t>
      </w:r>
      <w:r>
        <w:rPr>
          <w:rFonts w:ascii="Calibri"/>
          <w:color w:val="008356"/>
          <w:w w:val="105"/>
          <w:sz w:val="11"/>
        </w:rPr>
        <w:t>RITONAVIR</w:t>
      </w:r>
      <w:r>
        <w:rPr>
          <w:color w:val="231F1F"/>
          <w:w w:val="105"/>
          <w:sz w:val="12"/>
        </w:rPr>
        <w:t>, </w:t>
      </w:r>
      <w:r>
        <w:rPr>
          <w:rFonts w:ascii="Calibri"/>
          <w:color w:val="008356"/>
          <w:w w:val="105"/>
          <w:sz w:val="11"/>
        </w:rPr>
        <w:t>SAQUINAVIR </w:t>
      </w:r>
      <w:r>
        <w:rPr>
          <w:color w:val="231F1F"/>
          <w:w w:val="105"/>
          <w:sz w:val="12"/>
        </w:rPr>
        <w:t>and </w:t>
      </w:r>
      <w:r>
        <w:rPr>
          <w:rFonts w:ascii="Calibri"/>
          <w:color w:val="008356"/>
          <w:w w:val="105"/>
          <w:sz w:val="11"/>
        </w:rPr>
        <w:t>TIPRANAVIR</w:t>
      </w:r>
      <w:r>
        <w:rPr>
          <w:color w:val="231F1F"/>
          <w:w w:val="105"/>
          <w:sz w:val="12"/>
        </w:rPr>
        <w:t>; avoidance</w:t>
      </w:r>
    </w:p>
    <w:p>
      <w:pPr>
        <w:pStyle w:val="BodyText"/>
        <w:spacing w:line="247" w:lineRule="auto" w:before="2"/>
        <w:ind w:right="837" w:hanging="1"/>
        <w:rPr>
          <w:rFonts w:ascii="Calibri"/>
          <w:sz w:val="11"/>
        </w:rPr>
      </w:pPr>
      <w:r>
        <w:rPr>
          <w:color w:val="231F1F"/>
          <w:w w:val="110"/>
        </w:rPr>
        <w:t>of artemether with lumefantrine advised by manufacturer </w:t>
      </w:r>
      <w:r>
        <w:rPr>
          <w:color w:val="231F1F"/>
          <w:spacing w:val="-7"/>
          <w:w w:val="110"/>
        </w:rPr>
        <w:t>of    </w:t>
      </w:r>
      <w:r>
        <w:rPr>
          <w:rFonts w:ascii="Arial"/>
          <w:color w:val="231F1F"/>
          <w:w w:val="355"/>
          <w:position w:val="1"/>
          <w:sz w:val="7"/>
        </w:rPr>
        <w:t>l </w:t>
      </w:r>
      <w:r>
        <w:rPr>
          <w:rFonts w:ascii="Calibri"/>
          <w:color w:val="008356"/>
          <w:spacing w:val="4"/>
          <w:w w:val="110"/>
          <w:sz w:val="11"/>
        </w:rPr>
        <w:t>BOCEPREVIR</w:t>
      </w:r>
      <w:r>
        <w:rPr>
          <w:color w:val="231F1F"/>
          <w:spacing w:val="4"/>
          <w:w w:val="110"/>
        </w:rPr>
        <w:t>; </w:t>
      </w:r>
      <w:r>
        <w:rPr>
          <w:color w:val="231F1F"/>
          <w:w w:val="110"/>
        </w:rPr>
        <w:t>plasma concentration of lumefantrine increased when artemether with lumefantrine given with </w:t>
      </w:r>
      <w:r>
        <w:rPr>
          <w:rFonts w:ascii="Calibri"/>
          <w:color w:val="008356"/>
          <w:spacing w:val="4"/>
          <w:w w:val="110"/>
          <w:sz w:val="11"/>
        </w:rPr>
        <w:t>DARUNAVIR</w:t>
      </w:r>
      <w:r>
        <w:rPr>
          <w:color w:val="231F1F"/>
          <w:spacing w:val="4"/>
          <w:w w:val="110"/>
        </w:rPr>
        <w:t>; </w:t>
      </w:r>
      <w:r>
        <w:rPr>
          <w:color w:val="231F1F"/>
          <w:w w:val="110"/>
        </w:rPr>
        <w:t>plasma concentration of artemether with lumefantrine reduced by </w:t>
      </w:r>
      <w:r>
        <w:rPr>
          <w:rFonts w:ascii="Arial"/>
          <w:color w:val="231F1F"/>
          <w:w w:val="355"/>
          <w:position w:val="1"/>
          <w:sz w:val="7"/>
        </w:rPr>
        <w:t>l</w:t>
      </w:r>
      <w:r>
        <w:rPr>
          <w:rFonts w:ascii="Arial"/>
          <w:color w:val="231F1F"/>
          <w:spacing w:val="-47"/>
          <w:w w:val="355"/>
          <w:position w:val="1"/>
          <w:sz w:val="7"/>
        </w:rPr>
        <w:t> </w:t>
      </w:r>
      <w:r>
        <w:rPr>
          <w:rFonts w:ascii="Calibri"/>
          <w:color w:val="008356"/>
          <w:spacing w:val="3"/>
          <w:w w:val="110"/>
          <w:sz w:val="11"/>
        </w:rPr>
        <w:t>EFAVIRENZ </w:t>
      </w:r>
      <w:r>
        <w:rPr>
          <w:color w:val="231F1F"/>
          <w:w w:val="110"/>
        </w:rPr>
        <w:t>and </w:t>
      </w:r>
      <w:r>
        <w:rPr>
          <w:rFonts w:ascii="Calibri"/>
          <w:color w:val="008356"/>
          <w:spacing w:val="4"/>
          <w:w w:val="110"/>
          <w:sz w:val="11"/>
        </w:rPr>
        <w:t>ETRAVIRINE</w:t>
      </w:r>
    </w:p>
    <w:p>
      <w:pPr>
        <w:pStyle w:val="BodyText"/>
        <w:spacing w:line="138" w:lineRule="exact"/>
        <w:ind w:left="108"/>
      </w:pPr>
      <w:r>
        <w:rPr>
          <w:rFonts w:ascii="Arial"/>
          <w:color w:val="231F1F"/>
          <w:w w:val="355"/>
          <w:position w:val="1"/>
          <w:sz w:val="7"/>
        </w:rPr>
        <w:t>l </w:t>
      </w:r>
      <w:r>
        <w:rPr>
          <w:rFonts w:ascii="Calibri"/>
          <w:color w:val="231F1F"/>
          <w:w w:val="115"/>
        </w:rPr>
        <w:t>Beta-blockers: </w:t>
      </w:r>
      <w:r>
        <w:rPr>
          <w:color w:val="231F1F"/>
          <w:w w:val="115"/>
        </w:rPr>
        <w:t>manufacturer of artemether with lumefantrine</w:t>
      </w:r>
    </w:p>
    <w:p>
      <w:pPr>
        <w:spacing w:line="141" w:lineRule="exact" w:before="0"/>
        <w:ind w:left="208" w:right="0" w:firstLine="0"/>
        <w:jc w:val="left"/>
        <w:rPr>
          <w:sz w:val="12"/>
        </w:rPr>
      </w:pPr>
      <w:r>
        <w:rPr>
          <w:color w:val="231F1F"/>
          <w:w w:val="110"/>
          <w:sz w:val="12"/>
        </w:rPr>
        <w:t>advises avoid concomitant use with </w:t>
      </w:r>
      <w:r>
        <w:rPr>
          <w:rFonts w:ascii="Arial"/>
          <w:color w:val="231F1F"/>
          <w:w w:val="355"/>
          <w:position w:val="1"/>
          <w:sz w:val="7"/>
        </w:rPr>
        <w:t>l </w:t>
      </w:r>
      <w:r>
        <w:rPr>
          <w:rFonts w:ascii="Calibri"/>
          <w:color w:val="008356"/>
          <w:spacing w:val="4"/>
          <w:w w:val="110"/>
          <w:sz w:val="11"/>
        </w:rPr>
        <w:t>METOPROLOL </w:t>
      </w:r>
      <w:r>
        <w:rPr>
          <w:color w:val="231F1F"/>
          <w:w w:val="110"/>
          <w:sz w:val="12"/>
        </w:rPr>
        <w:t>and</w:t>
      </w:r>
    </w:p>
    <w:p>
      <w:pPr>
        <w:spacing w:line="133" w:lineRule="exact" w:before="10"/>
        <w:ind w:left="208" w:right="0" w:firstLine="0"/>
        <w:jc w:val="left"/>
        <w:rPr>
          <w:rFonts w:ascii="Calibri"/>
          <w:sz w:val="11"/>
        </w:rPr>
      </w:pPr>
      <w:r>
        <w:rPr>
          <w:rFonts w:ascii="Arial"/>
          <w:color w:val="231F1F"/>
          <w:w w:val="355"/>
          <w:position w:val="1"/>
          <w:sz w:val="7"/>
        </w:rPr>
        <w:t>l </w:t>
      </w:r>
      <w:r>
        <w:rPr>
          <w:rFonts w:ascii="Calibri"/>
          <w:color w:val="008356"/>
          <w:w w:val="120"/>
          <w:sz w:val="11"/>
        </w:rPr>
        <w:t>SOTALOL</w:t>
      </w:r>
    </w:p>
    <w:p>
      <w:pPr>
        <w:pStyle w:val="BodyText"/>
        <w:ind w:right="757" w:hanging="100"/>
      </w:pPr>
      <w:r>
        <w:rPr>
          <w:rFonts w:ascii="Arial"/>
          <w:color w:val="231F1F"/>
          <w:w w:val="355"/>
          <w:position w:val="1"/>
          <w:sz w:val="7"/>
        </w:rPr>
        <w:t>l </w:t>
      </w:r>
      <w:r>
        <w:rPr>
          <w:rFonts w:ascii="Calibri"/>
          <w:color w:val="231F1F"/>
          <w:w w:val="110"/>
        </w:rPr>
        <w:t>Cytotoxics: </w:t>
      </w:r>
      <w:r>
        <w:rPr>
          <w:color w:val="231F1F"/>
          <w:w w:val="110"/>
        </w:rPr>
        <w:t>possible increased risk of ventricular arrhythmias when artemether with lumefantrine given with</w:t>
      </w:r>
    </w:p>
    <w:p>
      <w:pPr>
        <w:spacing w:line="141" w:lineRule="exact" w:before="3"/>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VANDETANIB</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artemether with lumefantrine possibly increased by </w:t>
      </w:r>
      <w:r>
        <w:rPr>
          <w:rFonts w:ascii="Calibri" w:hAnsi="Calibri"/>
          <w:color w:val="008356"/>
          <w:w w:val="105"/>
          <w:sz w:val="11"/>
        </w:rPr>
        <w:t>GRAPEFRUIT JUICE</w:t>
      </w:r>
    </w:p>
    <w:p>
      <w:pPr>
        <w:pStyle w:val="BodyText"/>
        <w:spacing w:line="220" w:lineRule="auto" w:before="10"/>
        <w:ind w:right="1328"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ind w:right="1174" w:hanging="100"/>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Ulcer-healing</w:t>
      </w:r>
      <w:r>
        <w:rPr>
          <w:rFonts w:ascii="Calibri"/>
          <w:color w:val="231F1F"/>
          <w:spacing w:val="-15"/>
          <w:w w:val="115"/>
        </w:rPr>
        <w:t> </w:t>
      </w:r>
      <w:r>
        <w:rPr>
          <w:rFonts w:ascii="Calibri"/>
          <w:color w:val="231F1F"/>
          <w:w w:val="115"/>
        </w:rPr>
        <w:t>Drugs:</w:t>
      </w:r>
      <w:r>
        <w:rPr>
          <w:rFonts w:ascii="Calibri"/>
          <w:color w:val="231F1F"/>
          <w:spacing w:val="-15"/>
          <w:w w:val="115"/>
        </w:rPr>
        <w:t> </w:t>
      </w:r>
      <w:r>
        <w:rPr>
          <w:color w:val="231F1F"/>
          <w:w w:val="115"/>
        </w:rPr>
        <w:t>manufacturer</w:t>
      </w:r>
      <w:r>
        <w:rPr>
          <w:color w:val="231F1F"/>
          <w:spacing w:val="-19"/>
          <w:w w:val="115"/>
        </w:rPr>
        <w:t> </w:t>
      </w:r>
      <w:r>
        <w:rPr>
          <w:color w:val="231F1F"/>
          <w:w w:val="115"/>
        </w:rPr>
        <w:t>of</w:t>
      </w:r>
      <w:r>
        <w:rPr>
          <w:color w:val="231F1F"/>
          <w:spacing w:val="-18"/>
          <w:w w:val="115"/>
        </w:rPr>
        <w:t> </w:t>
      </w:r>
      <w:r>
        <w:rPr>
          <w:color w:val="231F1F"/>
          <w:w w:val="115"/>
        </w:rPr>
        <w:t>artemether</w:t>
      </w:r>
      <w:r>
        <w:rPr>
          <w:color w:val="231F1F"/>
          <w:spacing w:val="-19"/>
          <w:w w:val="115"/>
        </w:rPr>
        <w:t> </w:t>
      </w:r>
      <w:r>
        <w:rPr>
          <w:color w:val="231F1F"/>
          <w:spacing w:val="-4"/>
          <w:w w:val="115"/>
        </w:rPr>
        <w:t>with </w:t>
      </w:r>
      <w:r>
        <w:rPr>
          <w:color w:val="231F1F"/>
          <w:w w:val="115"/>
        </w:rPr>
        <w:t>lumefantrine advises avoid concomitant use</w:t>
      </w:r>
      <w:r>
        <w:rPr>
          <w:color w:val="231F1F"/>
          <w:spacing w:val="-24"/>
          <w:w w:val="115"/>
        </w:rPr>
        <w:t> </w:t>
      </w:r>
      <w:r>
        <w:rPr>
          <w:color w:val="231F1F"/>
          <w:w w:val="115"/>
        </w:rPr>
        <w:t>with</w:t>
      </w:r>
    </w:p>
    <w:p>
      <w:pPr>
        <w:spacing w:line="133" w:lineRule="exact" w:before="11"/>
        <w:ind w:left="208" w:right="0" w:firstLine="0"/>
        <w:jc w:val="left"/>
        <w:rPr>
          <w:rFonts w:ascii="Calibri"/>
          <w:sz w:val="11"/>
        </w:rPr>
      </w:pPr>
      <w:r>
        <w:rPr>
          <w:rFonts w:ascii="Arial"/>
          <w:color w:val="231F1F"/>
          <w:w w:val="355"/>
          <w:position w:val="1"/>
          <w:sz w:val="7"/>
        </w:rPr>
        <w:t>l </w:t>
      </w:r>
      <w:r>
        <w:rPr>
          <w:rFonts w:ascii="Calibri"/>
          <w:color w:val="008356"/>
          <w:w w:val="115"/>
          <w:sz w:val="11"/>
        </w:rPr>
        <w:t>CIMETIDINE</w:t>
      </w:r>
    </w:p>
    <w:p>
      <w:pPr>
        <w:spacing w:line="220" w:lineRule="auto" w:before="7"/>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08"/>
        <w:rPr>
          <w:rFonts w:ascii="Trebuchet MS"/>
        </w:rPr>
      </w:pPr>
      <w:r>
        <w:rPr>
          <w:rFonts w:ascii="Trebuchet MS"/>
          <w:color w:val="008356"/>
        </w:rPr>
        <w:t>Artenimol with Piperaquine</w:t>
      </w:r>
    </w:p>
    <w:p>
      <w:pPr>
        <w:pStyle w:val="BodyText"/>
        <w:spacing w:line="242" w:lineRule="auto" w:before="5"/>
        <w:ind w:right="625"/>
      </w:pPr>
      <w:r>
        <w:rPr>
          <w:rFonts w:ascii="Calibri"/>
          <w:color w:val="008356"/>
          <w:w w:val="115"/>
          <w:sz w:val="11"/>
        </w:rPr>
        <w:t>NOTE </w:t>
      </w:r>
      <w:r>
        <w:rPr>
          <w:color w:val="231F1F"/>
          <w:w w:val="115"/>
        </w:rPr>
        <w:t>Piperaquine has a long half-life; there is a potential for drug interactions to occur for up to 3 months after treatment has been stopped</w:t>
      </w:r>
    </w:p>
    <w:p>
      <w:pPr>
        <w:pStyle w:val="BodyText"/>
        <w:ind w:right="870" w:hanging="100"/>
      </w:pPr>
      <w:r>
        <w:rPr>
          <w:rFonts w:ascii="Arial"/>
          <w:color w:val="231F1F"/>
          <w:w w:val="355"/>
          <w:position w:val="1"/>
          <w:sz w:val="7"/>
        </w:rPr>
        <w:t>l </w:t>
      </w:r>
      <w:r>
        <w:rPr>
          <w:rFonts w:ascii="Calibri"/>
          <w:color w:val="231F1F"/>
          <w:w w:val="105"/>
        </w:rPr>
        <w:t>Analgesics: </w:t>
      </w:r>
      <w:r>
        <w:rPr>
          <w:color w:val="231F1F"/>
          <w:w w:val="105"/>
        </w:rPr>
        <w:t>manufacturer of artenimol with piperaquine advises avoid concomitant use with </w:t>
      </w:r>
      <w:r>
        <w:rPr>
          <w:rFonts w:ascii="Arial"/>
          <w:color w:val="231F1F"/>
          <w:w w:val="355"/>
          <w:position w:val="1"/>
          <w:sz w:val="7"/>
        </w:rPr>
        <w:t>l </w:t>
      </w:r>
      <w:r>
        <w:rPr>
          <w:rFonts w:ascii="Calibri"/>
          <w:color w:val="008356"/>
          <w:w w:val="105"/>
          <w:sz w:val="11"/>
        </w:rPr>
        <w:t>METHADONE </w:t>
      </w:r>
      <w:r>
        <w:rPr>
          <w:color w:val="231F1F"/>
          <w:w w:val="105"/>
        </w:rPr>
        <w:t>(possible risk of ventricular arrhythmias)</w:t>
      </w:r>
    </w:p>
    <w:p>
      <w:pPr>
        <w:pStyle w:val="BodyText"/>
        <w:spacing w:before="3"/>
        <w:ind w:right="705" w:hanging="100"/>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Anti-arrhythmics:</w:t>
      </w:r>
      <w:r>
        <w:rPr>
          <w:rFonts w:ascii="Calibri"/>
          <w:color w:val="231F1F"/>
          <w:spacing w:val="-17"/>
          <w:w w:val="115"/>
        </w:rPr>
        <w:t> </w:t>
      </w:r>
      <w:r>
        <w:rPr>
          <w:color w:val="231F1F"/>
          <w:w w:val="115"/>
        </w:rPr>
        <w:t>manufacturer</w:t>
      </w:r>
      <w:r>
        <w:rPr>
          <w:color w:val="231F1F"/>
          <w:spacing w:val="-19"/>
          <w:w w:val="115"/>
        </w:rPr>
        <w:t> </w:t>
      </w:r>
      <w:r>
        <w:rPr>
          <w:color w:val="231F1F"/>
          <w:w w:val="115"/>
        </w:rPr>
        <w:t>of</w:t>
      </w:r>
      <w:r>
        <w:rPr>
          <w:color w:val="231F1F"/>
          <w:spacing w:val="-21"/>
          <w:w w:val="115"/>
        </w:rPr>
        <w:t> </w:t>
      </w:r>
      <w:r>
        <w:rPr>
          <w:color w:val="231F1F"/>
          <w:w w:val="115"/>
        </w:rPr>
        <w:t>artenimol</w:t>
      </w:r>
      <w:r>
        <w:rPr>
          <w:color w:val="231F1F"/>
          <w:spacing w:val="-20"/>
          <w:w w:val="115"/>
        </w:rPr>
        <w:t> </w:t>
      </w:r>
      <w:r>
        <w:rPr>
          <w:color w:val="231F1F"/>
          <w:w w:val="115"/>
        </w:rPr>
        <w:t>with</w:t>
      </w:r>
      <w:r>
        <w:rPr>
          <w:color w:val="231F1F"/>
          <w:spacing w:val="-21"/>
          <w:w w:val="115"/>
        </w:rPr>
        <w:t> </w:t>
      </w:r>
      <w:r>
        <w:rPr>
          <w:color w:val="231F1F"/>
          <w:w w:val="115"/>
        </w:rPr>
        <w:t>piperaquine advises</w:t>
      </w:r>
      <w:r>
        <w:rPr>
          <w:color w:val="231F1F"/>
          <w:spacing w:val="-11"/>
          <w:w w:val="115"/>
        </w:rPr>
        <w:t> </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r>
        <w:rPr>
          <w:color w:val="231F1F"/>
          <w:spacing w:val="-10"/>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5"/>
          <w:sz w:val="11"/>
        </w:rPr>
        <w:t>AMIODARONE</w:t>
      </w:r>
      <w:r>
        <w:rPr>
          <w:rFonts w:ascii="Calibri"/>
          <w:color w:val="008356"/>
          <w:w w:val="115"/>
          <w:sz w:val="11"/>
        </w:rPr>
        <w:t> </w:t>
      </w:r>
      <w:r>
        <w:rPr>
          <w:color w:val="231F1F"/>
          <w:w w:val="115"/>
        </w:rPr>
        <w:t>and</w:t>
      </w:r>
    </w:p>
    <w:p>
      <w:pPr>
        <w:spacing w:line="141" w:lineRule="exact" w:before="1"/>
        <w:ind w:left="208" w:right="0" w:firstLine="0"/>
        <w:jc w:val="left"/>
        <w:rPr>
          <w:sz w:val="12"/>
        </w:rPr>
      </w:pPr>
      <w:r>
        <w:rPr>
          <w:rFonts w:ascii="Arial"/>
          <w:color w:val="231F1F"/>
          <w:w w:val="355"/>
          <w:position w:val="1"/>
          <w:sz w:val="7"/>
        </w:rPr>
        <w:t>l </w:t>
      </w:r>
      <w:r>
        <w:rPr>
          <w:rFonts w:ascii="Calibri"/>
          <w:color w:val="008356"/>
          <w:w w:val="110"/>
          <w:sz w:val="11"/>
        </w:rPr>
        <w:t>DISOPYRAMIDE </w:t>
      </w:r>
      <w:r>
        <w:rPr>
          <w:color w:val="231F1F"/>
          <w:w w:val="110"/>
          <w:sz w:val="12"/>
        </w:rPr>
        <w:t>(possible risk of ventricular arrhythmias)</w:t>
      </w:r>
    </w:p>
    <w:p>
      <w:pPr>
        <w:pStyle w:val="BodyText"/>
        <w:ind w:right="867" w:hanging="100"/>
      </w:pPr>
      <w:r>
        <w:rPr>
          <w:rFonts w:ascii="Arial"/>
          <w:color w:val="231F1F"/>
          <w:w w:val="355"/>
          <w:position w:val="1"/>
          <w:sz w:val="7"/>
        </w:rPr>
        <w:t>l </w:t>
      </w:r>
      <w:r>
        <w:rPr>
          <w:rFonts w:ascii="Calibri"/>
          <w:color w:val="231F1F"/>
          <w:w w:val="110"/>
        </w:rPr>
        <w:t>Antibacterials: </w:t>
      </w:r>
      <w:r>
        <w:rPr>
          <w:color w:val="231F1F"/>
          <w:w w:val="110"/>
        </w:rPr>
        <w:t>manufacturer of artenimol with piperaquine advises avoid concomitant use with </w:t>
      </w:r>
      <w:r>
        <w:rPr>
          <w:rFonts w:ascii="Arial"/>
          <w:color w:val="231F1F"/>
          <w:w w:val="355"/>
          <w:position w:val="1"/>
          <w:sz w:val="7"/>
        </w:rPr>
        <w:t>l </w:t>
      </w:r>
      <w:r>
        <w:rPr>
          <w:rFonts w:ascii="Calibri"/>
          <w:color w:val="008356"/>
          <w:w w:val="110"/>
          <w:sz w:val="11"/>
        </w:rPr>
        <w:t>MACROLIDES </w:t>
      </w:r>
      <w:r>
        <w:rPr>
          <w:color w:val="231F1F"/>
          <w:w w:val="110"/>
        </w:rPr>
        <w:t>and</w:t>
      </w:r>
    </w:p>
    <w:p>
      <w:pPr>
        <w:pStyle w:val="BodyText"/>
        <w:spacing w:line="247" w:lineRule="auto"/>
        <w:ind w:right="670" w:hanging="1"/>
        <w:rPr>
          <w:rFonts w:ascii="Calibri"/>
          <w:sz w:val="11"/>
        </w:rPr>
      </w:pPr>
      <w:r>
        <w:rPr>
          <w:rFonts w:ascii="Arial"/>
          <w:color w:val="231F1F"/>
          <w:w w:val="355"/>
          <w:position w:val="1"/>
          <w:sz w:val="7"/>
        </w:rPr>
        <w:t>l </w:t>
      </w:r>
      <w:r>
        <w:rPr>
          <w:rFonts w:ascii="Calibri"/>
          <w:color w:val="008356"/>
          <w:w w:val="110"/>
          <w:sz w:val="11"/>
        </w:rPr>
        <w:t>MOXIFLOXACIN </w:t>
      </w:r>
      <w:r>
        <w:rPr>
          <w:color w:val="231F1F"/>
          <w:w w:val="110"/>
        </w:rPr>
        <w:t>(possible risk of ventricular arrhythmias); manufacturer of artenimol with piperaquine advises avoid concomitant use with </w:t>
      </w:r>
      <w:r>
        <w:rPr>
          <w:rFonts w:ascii="Calibri"/>
          <w:color w:val="008356"/>
          <w:w w:val="110"/>
          <w:sz w:val="11"/>
        </w:rPr>
        <w:t>RIFAMPICIN</w:t>
      </w:r>
    </w:p>
    <w:p>
      <w:pPr>
        <w:pStyle w:val="BodyText"/>
        <w:spacing w:line="138" w:lineRule="exact"/>
        <w:ind w:left="108"/>
      </w:pPr>
      <w:r>
        <w:rPr>
          <w:rFonts w:ascii="Arial"/>
          <w:color w:val="231F1F"/>
          <w:w w:val="355"/>
          <w:position w:val="1"/>
          <w:sz w:val="7"/>
        </w:rPr>
        <w:t>l </w:t>
      </w:r>
      <w:r>
        <w:rPr>
          <w:rFonts w:ascii="Calibri"/>
          <w:color w:val="231F1F"/>
          <w:w w:val="110"/>
        </w:rPr>
        <w:t>Antidepressants: </w:t>
      </w:r>
      <w:r>
        <w:rPr>
          <w:color w:val="231F1F"/>
          <w:w w:val="110"/>
        </w:rPr>
        <w:t>possible increased risk of ventricular</w:t>
      </w:r>
    </w:p>
    <w:p>
      <w:pPr>
        <w:spacing w:line="247" w:lineRule="auto" w:before="0"/>
        <w:ind w:left="208" w:right="865" w:firstLine="0"/>
        <w:jc w:val="left"/>
        <w:rPr>
          <w:rFonts w:ascii="Calibri" w:hAnsi="Calibri"/>
          <w:sz w:val="11"/>
        </w:rPr>
      </w:pPr>
      <w:r>
        <w:rPr>
          <w:color w:val="231F1F"/>
          <w:w w:val="110"/>
          <w:sz w:val="12"/>
        </w:rPr>
        <w:t>arrhythmias when artenimol with  piperaquine  given  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CITALOPRAM</w:t>
      </w:r>
      <w:r>
        <w:rPr>
          <w:rFonts w:ascii="Calibri" w:hAnsi="Calibri"/>
          <w:color w:val="008356"/>
          <w:spacing w:val="-7"/>
          <w:w w:val="110"/>
          <w:sz w:val="11"/>
        </w:rPr>
        <w:t> </w:t>
      </w:r>
      <w:r>
        <w:rPr>
          <w:color w:val="231F1F"/>
          <w:w w:val="110"/>
          <w:sz w:val="12"/>
        </w:rPr>
        <w:t>or</w:t>
      </w:r>
      <w:r>
        <w:rPr>
          <w:color w:val="231F1F"/>
          <w:spacing w:val="-15"/>
          <w:w w:val="11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ESCITALOPRAM</w:t>
      </w:r>
      <w:r>
        <w:rPr>
          <w:rFonts w:ascii="Arial" w:hAnsi="Arial"/>
          <w:color w:val="231F1F"/>
          <w:spacing w:val="3"/>
          <w:w w:val="110"/>
          <w:sz w:val="12"/>
        </w:rPr>
        <w:t>—</w:t>
      </w:r>
      <w:r>
        <w:rPr>
          <w:color w:val="231F1F"/>
          <w:spacing w:val="3"/>
          <w:w w:val="110"/>
          <w:sz w:val="12"/>
        </w:rPr>
        <w:t>avoid</w:t>
      </w:r>
      <w:r>
        <w:rPr>
          <w:color w:val="231F1F"/>
          <w:spacing w:val="-17"/>
          <w:w w:val="110"/>
          <w:sz w:val="12"/>
        </w:rPr>
        <w:t> </w:t>
      </w:r>
      <w:r>
        <w:rPr>
          <w:color w:val="231F1F"/>
          <w:w w:val="110"/>
          <w:sz w:val="12"/>
        </w:rPr>
        <w:t>concomitant</w:t>
      </w:r>
      <w:r>
        <w:rPr>
          <w:color w:val="231F1F"/>
          <w:spacing w:val="-16"/>
          <w:w w:val="110"/>
          <w:sz w:val="12"/>
        </w:rPr>
        <w:t> </w:t>
      </w:r>
      <w:r>
        <w:rPr>
          <w:color w:val="231F1F"/>
          <w:w w:val="110"/>
          <w:sz w:val="12"/>
        </w:rPr>
        <w:t>use; manufacturer of artenimol with piperaquine advises </w:t>
      </w:r>
      <w:r>
        <w:rPr>
          <w:color w:val="231F1F"/>
          <w:spacing w:val="-3"/>
          <w:w w:val="110"/>
          <w:sz w:val="12"/>
        </w:rPr>
        <w:t>avoid </w:t>
      </w:r>
      <w:r>
        <w:rPr>
          <w:color w:val="231F1F"/>
          <w:w w:val="110"/>
          <w:sz w:val="12"/>
        </w:rPr>
        <w:t>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5"/>
          <w:w w:val="110"/>
          <w:sz w:val="11"/>
        </w:rPr>
        <w:t>ANTIDEPRESSANTS</w:t>
      </w:r>
    </w:p>
    <w:p>
      <w:pPr>
        <w:pStyle w:val="BodyText"/>
        <w:spacing w:line="220" w:lineRule="auto" w:before="2"/>
        <w:ind w:right="879" w:hanging="100"/>
        <w:jc w:val="both"/>
      </w:pPr>
      <w:r>
        <w:rPr>
          <w:rFonts w:ascii="Lucida Sans Unicode" w:hAnsi="Lucida Sans Unicode"/>
          <w:color w:val="A7A8AC"/>
          <w:w w:val="95"/>
          <w:sz w:val="10"/>
        </w:rPr>
        <w:t>▶ </w:t>
      </w:r>
      <w:r>
        <w:rPr>
          <w:rFonts w:ascii="Calibri" w:hAnsi="Calibri"/>
          <w:color w:val="231F1F"/>
          <w:w w:val="110"/>
        </w:rPr>
        <w:t>Antiepileptics: </w:t>
      </w:r>
      <w:r>
        <w:rPr>
          <w:color w:val="231F1F"/>
          <w:w w:val="110"/>
        </w:rPr>
        <w:t>manufacturer of artenimol with piperaquine advises avoid concomitant use with </w:t>
      </w:r>
      <w:r>
        <w:rPr>
          <w:rFonts w:ascii="Calibri" w:hAnsi="Calibri"/>
          <w:color w:val="008356"/>
          <w:w w:val="110"/>
          <w:sz w:val="11"/>
        </w:rPr>
        <w:t>CARBAMAZEPINE</w:t>
      </w:r>
      <w:r>
        <w:rPr>
          <w:color w:val="231F1F"/>
          <w:w w:val="110"/>
        </w:rPr>
        <w:t>,</w:t>
      </w:r>
    </w:p>
    <w:p>
      <w:pPr>
        <w:spacing w:line="141" w:lineRule="exact" w:before="3"/>
        <w:ind w:left="208" w:right="0" w:firstLine="0"/>
        <w:jc w:val="left"/>
        <w:rPr>
          <w:rFonts w:ascii="Calibri"/>
          <w:sz w:val="11"/>
        </w:rPr>
      </w:pPr>
      <w:r>
        <w:rPr>
          <w:rFonts w:ascii="Calibri"/>
          <w:color w:val="008356"/>
          <w:sz w:val="11"/>
        </w:rPr>
        <w:t>FOSPHENYTOIN</w:t>
      </w:r>
      <w:r>
        <w:rPr>
          <w:color w:val="231F1F"/>
          <w:sz w:val="12"/>
        </w:rPr>
        <w:t>, </w:t>
      </w:r>
      <w:r>
        <w:rPr>
          <w:rFonts w:ascii="Calibri"/>
          <w:color w:val="008356"/>
          <w:sz w:val="11"/>
        </w:rPr>
        <w:t>PHENOBARBITAL</w:t>
      </w:r>
      <w:r>
        <w:rPr>
          <w:color w:val="231F1F"/>
          <w:sz w:val="12"/>
        </w:rPr>
        <w:t>, </w:t>
      </w:r>
      <w:r>
        <w:rPr>
          <w:rFonts w:ascii="Calibri"/>
          <w:color w:val="008356"/>
          <w:sz w:val="11"/>
        </w:rPr>
        <w:t>PHENYTOIN </w:t>
      </w:r>
      <w:r>
        <w:rPr>
          <w:color w:val="231F1F"/>
          <w:sz w:val="12"/>
        </w:rPr>
        <w:t>and </w:t>
      </w:r>
      <w:r>
        <w:rPr>
          <w:rFonts w:ascii="Calibri"/>
          <w:color w:val="008356"/>
          <w:sz w:val="11"/>
        </w:rPr>
        <w:t>PRIMIDONE</w:t>
      </w:r>
    </w:p>
    <w:p>
      <w:pPr>
        <w:pStyle w:val="BodyText"/>
        <w:ind w:right="990" w:hanging="100"/>
        <w:jc w:val="both"/>
      </w:pPr>
      <w:r>
        <w:rPr>
          <w:rFonts w:ascii="Arial"/>
          <w:color w:val="231F1F"/>
          <w:w w:val="355"/>
          <w:position w:val="1"/>
          <w:sz w:val="7"/>
        </w:rPr>
        <w:t>l </w:t>
      </w:r>
      <w:r>
        <w:rPr>
          <w:rFonts w:ascii="Calibri"/>
          <w:color w:val="231F1F"/>
          <w:w w:val="110"/>
        </w:rPr>
        <w:t>Antifungals: </w:t>
      </w:r>
      <w:r>
        <w:rPr>
          <w:color w:val="231F1F"/>
          <w:w w:val="110"/>
        </w:rPr>
        <w:t>manufacturer of artenimol with piperaquine advises avoid concomitant use with </w:t>
      </w:r>
      <w:r>
        <w:rPr>
          <w:rFonts w:ascii="Arial"/>
          <w:color w:val="231F1F"/>
          <w:w w:val="355"/>
          <w:position w:val="1"/>
          <w:sz w:val="7"/>
        </w:rPr>
        <w:t>l</w:t>
      </w:r>
      <w:r>
        <w:rPr>
          <w:rFonts w:ascii="Arial"/>
          <w:color w:val="231F1F"/>
          <w:spacing w:val="-36"/>
          <w:w w:val="355"/>
          <w:position w:val="1"/>
          <w:sz w:val="7"/>
        </w:rPr>
        <w:t> </w:t>
      </w:r>
      <w:r>
        <w:rPr>
          <w:rFonts w:ascii="Calibri"/>
          <w:color w:val="008356"/>
          <w:spacing w:val="4"/>
          <w:w w:val="110"/>
          <w:sz w:val="11"/>
        </w:rPr>
        <w:t>IMIDAZOLES </w:t>
      </w:r>
      <w:r>
        <w:rPr>
          <w:color w:val="231F1F"/>
          <w:w w:val="110"/>
        </w:rPr>
        <w:t>and</w:t>
      </w:r>
    </w:p>
    <w:p>
      <w:pPr>
        <w:spacing w:line="141" w:lineRule="exact" w:before="0"/>
        <w:ind w:left="208" w:right="0" w:firstLine="0"/>
        <w:jc w:val="both"/>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TRIAZOLES</w:t>
      </w:r>
      <w:r>
        <w:rPr>
          <w:rFonts w:ascii="Calibri"/>
          <w:color w:val="008356"/>
          <w:spacing w:val="-9"/>
          <w:w w:val="115"/>
          <w:sz w:val="11"/>
        </w:rPr>
        <w:t> </w:t>
      </w:r>
      <w:r>
        <w:rPr>
          <w:color w:val="231F1F"/>
          <w:w w:val="115"/>
          <w:sz w:val="12"/>
        </w:rPr>
        <w:t>(possible</w:t>
      </w:r>
      <w:r>
        <w:rPr>
          <w:color w:val="231F1F"/>
          <w:spacing w:val="-18"/>
          <w:w w:val="115"/>
          <w:sz w:val="12"/>
        </w:rPr>
        <w:t> </w:t>
      </w:r>
      <w:r>
        <w:rPr>
          <w:color w:val="231F1F"/>
          <w:w w:val="115"/>
          <w:sz w:val="12"/>
        </w:rPr>
        <w:t>risk</w:t>
      </w:r>
      <w:r>
        <w:rPr>
          <w:color w:val="231F1F"/>
          <w:spacing w:val="-18"/>
          <w:w w:val="115"/>
          <w:sz w:val="12"/>
        </w:rPr>
        <w:t> </w:t>
      </w:r>
      <w:r>
        <w:rPr>
          <w:color w:val="231F1F"/>
          <w:w w:val="115"/>
          <w:sz w:val="12"/>
        </w:rPr>
        <w:t>of</w:t>
      </w:r>
      <w:r>
        <w:rPr>
          <w:color w:val="231F1F"/>
          <w:spacing w:val="-18"/>
          <w:w w:val="115"/>
          <w:sz w:val="12"/>
        </w:rPr>
        <w:t> </w:t>
      </w:r>
      <w:r>
        <w:rPr>
          <w:color w:val="231F1F"/>
          <w:w w:val="115"/>
          <w:sz w:val="12"/>
        </w:rPr>
        <w:t>ventricular</w:t>
      </w:r>
      <w:r>
        <w:rPr>
          <w:color w:val="231F1F"/>
          <w:spacing w:val="-19"/>
          <w:w w:val="115"/>
          <w:sz w:val="12"/>
        </w:rPr>
        <w:t> </w:t>
      </w:r>
      <w:r>
        <w:rPr>
          <w:color w:val="231F1F"/>
          <w:w w:val="115"/>
          <w:sz w:val="12"/>
        </w:rPr>
        <w:t>arrhythmias)</w:t>
      </w:r>
    </w:p>
    <w:p>
      <w:pPr>
        <w:pStyle w:val="BodyText"/>
        <w:ind w:right="795" w:hanging="100"/>
        <w:jc w:val="both"/>
      </w:pPr>
      <w:r>
        <w:rPr>
          <w:rFonts w:ascii="Arial"/>
          <w:color w:val="231F1F"/>
          <w:w w:val="355"/>
          <w:position w:val="1"/>
          <w:sz w:val="7"/>
        </w:rPr>
        <w:t>l </w:t>
      </w:r>
      <w:r>
        <w:rPr>
          <w:rFonts w:ascii="Calibri"/>
          <w:color w:val="231F1F"/>
          <w:w w:val="110"/>
        </w:rPr>
        <w:t>Antihistamines: </w:t>
      </w:r>
      <w:r>
        <w:rPr>
          <w:color w:val="231F1F"/>
          <w:w w:val="110"/>
        </w:rPr>
        <w:t>manufacturer of artenimol with piperaquine advises avoid concomitant use with </w:t>
      </w:r>
      <w:r>
        <w:rPr>
          <w:rFonts w:ascii="Arial"/>
          <w:color w:val="231F1F"/>
          <w:w w:val="355"/>
          <w:position w:val="1"/>
          <w:sz w:val="7"/>
        </w:rPr>
        <w:t>l </w:t>
      </w:r>
      <w:r>
        <w:rPr>
          <w:rFonts w:ascii="Calibri"/>
          <w:color w:val="008356"/>
          <w:w w:val="110"/>
          <w:sz w:val="11"/>
        </w:rPr>
        <w:t>MIZOLASTINE </w:t>
      </w:r>
      <w:r>
        <w:rPr>
          <w:color w:val="231F1F"/>
          <w:w w:val="110"/>
        </w:rPr>
        <w:t>(possible risk of ventricular arrhythmias)</w:t>
      </w:r>
    </w:p>
    <w:p>
      <w:pPr>
        <w:spacing w:before="2"/>
        <w:ind w:left="208" w:right="1261" w:hanging="100"/>
        <w:jc w:val="both"/>
        <w:rPr>
          <w:rFonts w:ascii="Calibri"/>
          <w:sz w:val="11"/>
        </w:rPr>
      </w:pPr>
      <w:r>
        <w:rPr>
          <w:rFonts w:ascii="Arial"/>
          <w:color w:val="231F1F"/>
          <w:w w:val="355"/>
          <w:position w:val="1"/>
          <w:sz w:val="7"/>
        </w:rPr>
        <w:t>l</w:t>
      </w:r>
      <w:r>
        <w:rPr>
          <w:rFonts w:ascii="Arial"/>
          <w:color w:val="231F1F"/>
          <w:spacing w:val="-29"/>
          <w:w w:val="355"/>
          <w:position w:val="1"/>
          <w:sz w:val="7"/>
        </w:rPr>
        <w:t> </w:t>
      </w:r>
      <w:r>
        <w:rPr>
          <w:rFonts w:ascii="Calibri"/>
          <w:color w:val="231F1F"/>
          <w:w w:val="110"/>
          <w:sz w:val="12"/>
        </w:rPr>
        <w:t>Antimalarials: </w:t>
      </w:r>
      <w:r>
        <w:rPr>
          <w:color w:val="231F1F"/>
          <w:w w:val="110"/>
          <w:sz w:val="12"/>
        </w:rPr>
        <w:t>avoidance of antimalarials advised </w:t>
      </w:r>
      <w:r>
        <w:rPr>
          <w:color w:val="231F1F"/>
          <w:spacing w:val="-8"/>
          <w:w w:val="110"/>
          <w:sz w:val="12"/>
        </w:rPr>
        <w:t>by </w:t>
      </w:r>
      <w:r>
        <w:rPr>
          <w:color w:val="231F1F"/>
          <w:w w:val="105"/>
          <w:sz w:val="12"/>
        </w:rPr>
        <w:t>manufacturer of </w:t>
      </w:r>
      <w:r>
        <w:rPr>
          <w:rFonts w:ascii="Arial"/>
          <w:color w:val="231F1F"/>
          <w:w w:val="105"/>
          <w:position w:val="1"/>
          <w:sz w:val="7"/>
        </w:rPr>
        <w:t>l  </w:t>
      </w:r>
      <w:r>
        <w:rPr>
          <w:rFonts w:ascii="Calibri"/>
          <w:color w:val="008356"/>
          <w:spacing w:val="4"/>
          <w:w w:val="105"/>
          <w:sz w:val="11"/>
        </w:rPr>
        <w:t>ARTEMETHER </w:t>
      </w:r>
      <w:r>
        <w:rPr>
          <w:rFonts w:ascii="Calibri"/>
          <w:color w:val="008356"/>
          <w:spacing w:val="3"/>
          <w:w w:val="105"/>
          <w:sz w:val="11"/>
        </w:rPr>
        <w:t>WITH</w:t>
      </w:r>
      <w:r>
        <w:rPr>
          <w:rFonts w:ascii="Calibri"/>
          <w:color w:val="008356"/>
          <w:spacing w:val="-3"/>
          <w:w w:val="105"/>
          <w:sz w:val="11"/>
        </w:rPr>
        <w:t> </w:t>
      </w:r>
      <w:r>
        <w:rPr>
          <w:rFonts w:ascii="Calibri"/>
          <w:color w:val="008356"/>
          <w:spacing w:val="4"/>
          <w:w w:val="105"/>
          <w:sz w:val="11"/>
        </w:rPr>
        <w:t>LUMEFANTRINE</w:t>
      </w:r>
    </w:p>
    <w:p>
      <w:pPr>
        <w:pStyle w:val="BodyText"/>
        <w:ind w:right="838" w:hanging="100"/>
        <w:jc w:val="both"/>
      </w:pPr>
      <w:r>
        <w:rPr>
          <w:rFonts w:ascii="Arial"/>
          <w:color w:val="231F1F"/>
          <w:w w:val="355"/>
          <w:position w:val="1"/>
          <w:sz w:val="7"/>
        </w:rPr>
        <w:t>l </w:t>
      </w:r>
      <w:r>
        <w:rPr>
          <w:rFonts w:ascii="Calibri"/>
          <w:color w:val="231F1F"/>
          <w:w w:val="110"/>
        </w:rPr>
        <w:t>Antipsychotics: </w:t>
      </w:r>
      <w:r>
        <w:rPr>
          <w:color w:val="231F1F"/>
          <w:w w:val="110"/>
        </w:rPr>
        <w:t>manufacturer of artenimol with </w:t>
      </w:r>
      <w:r>
        <w:rPr>
          <w:color w:val="231F1F"/>
          <w:spacing w:val="-3"/>
          <w:w w:val="110"/>
        </w:rPr>
        <w:t>piperaquine </w:t>
      </w:r>
      <w:r>
        <w:rPr>
          <w:color w:val="231F1F"/>
          <w:w w:val="110"/>
        </w:rPr>
        <w:t>advises avoid concomitant use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DROPERIDOL</w:t>
      </w:r>
      <w:r>
        <w:rPr>
          <w:color w:val="231F1F"/>
          <w:spacing w:val="4"/>
          <w:w w:val="110"/>
        </w:rPr>
        <w:t>,</w:t>
      </w:r>
    </w:p>
    <w:p>
      <w:pPr>
        <w:spacing w:before="0"/>
        <w:ind w:left="208" w:right="0" w:firstLine="0"/>
        <w:jc w:val="left"/>
        <w:rPr>
          <w:sz w:val="12"/>
        </w:rPr>
      </w:pPr>
      <w:r>
        <w:rPr>
          <w:rFonts w:ascii="Arial"/>
          <w:color w:val="231F1F"/>
          <w:w w:val="355"/>
          <w:position w:val="1"/>
          <w:sz w:val="7"/>
        </w:rPr>
        <w:t>l </w:t>
      </w:r>
      <w:r>
        <w:rPr>
          <w:rFonts w:ascii="Calibri"/>
          <w:color w:val="008356"/>
          <w:w w:val="110"/>
          <w:sz w:val="11"/>
        </w:rPr>
        <w:t>HALOPERIDOL</w:t>
      </w:r>
      <w:r>
        <w:rPr>
          <w:color w:val="231F1F"/>
          <w:w w:val="110"/>
          <w:sz w:val="12"/>
        </w:rPr>
        <w:t>, </w:t>
      </w:r>
      <w:r>
        <w:rPr>
          <w:rFonts w:ascii="Arial"/>
          <w:color w:val="231F1F"/>
          <w:w w:val="355"/>
          <w:position w:val="1"/>
          <w:sz w:val="7"/>
        </w:rPr>
        <w:t>l </w:t>
      </w:r>
      <w:r>
        <w:rPr>
          <w:rFonts w:ascii="Calibri"/>
          <w:color w:val="008356"/>
          <w:w w:val="110"/>
          <w:sz w:val="11"/>
        </w:rPr>
        <w:t>PHENOTHIAZINES </w:t>
      </w:r>
      <w:r>
        <w:rPr>
          <w:color w:val="231F1F"/>
          <w:w w:val="110"/>
          <w:sz w:val="12"/>
        </w:rPr>
        <w:t>and </w:t>
      </w:r>
      <w:r>
        <w:rPr>
          <w:rFonts w:ascii="Arial"/>
          <w:color w:val="231F1F"/>
          <w:w w:val="355"/>
          <w:position w:val="1"/>
          <w:sz w:val="7"/>
        </w:rPr>
        <w:t>l </w:t>
      </w:r>
      <w:r>
        <w:rPr>
          <w:rFonts w:ascii="Calibri"/>
          <w:color w:val="008356"/>
          <w:w w:val="110"/>
          <w:sz w:val="11"/>
        </w:rPr>
        <w:t>PIMOZIDE </w:t>
      </w:r>
      <w:r>
        <w:rPr>
          <w:color w:val="231F1F"/>
          <w:w w:val="110"/>
          <w:sz w:val="12"/>
        </w:rPr>
        <w:t>(possible</w:t>
      </w:r>
    </w:p>
    <w:p>
      <w:pPr>
        <w:pStyle w:val="BodyText"/>
      </w:pPr>
      <w:r>
        <w:rPr>
          <w:color w:val="231F1F"/>
          <w:w w:val="110"/>
        </w:rPr>
        <w:t>risk of ventricular </w:t>
      </w:r>
      <w:r>
        <w:rPr>
          <w:color w:val="231F1F"/>
          <w:spacing w:val="11"/>
          <w:w w:val="110"/>
        </w:rPr>
        <w:t> </w:t>
      </w:r>
      <w:r>
        <w:rPr>
          <w:color w:val="231F1F"/>
          <w:w w:val="110"/>
        </w:rPr>
        <w:t>arrhythmias)</w:t>
      </w:r>
    </w:p>
    <w:p>
      <w:pPr>
        <w:pStyle w:val="BodyText"/>
        <w:ind w:right="762" w:hanging="100"/>
      </w:pPr>
      <w:r>
        <w:rPr>
          <w:rFonts w:ascii="Arial"/>
          <w:color w:val="231F1F"/>
          <w:w w:val="355"/>
          <w:position w:val="1"/>
          <w:sz w:val="7"/>
        </w:rPr>
        <w:t>l </w:t>
      </w:r>
      <w:r>
        <w:rPr>
          <w:rFonts w:ascii="Calibri"/>
          <w:color w:val="231F1F"/>
          <w:w w:val="110"/>
        </w:rPr>
        <w:t>Antivirals: </w:t>
      </w:r>
      <w:r>
        <w:rPr>
          <w:color w:val="231F1F"/>
          <w:w w:val="110"/>
        </w:rPr>
        <w:t>manufacturer of artenimol with piperaquine advises avoid concomitant use 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SAQUINAVIR </w:t>
      </w:r>
      <w:r>
        <w:rPr>
          <w:color w:val="231F1F"/>
          <w:w w:val="110"/>
        </w:rPr>
        <w:t>(possible risk of ventricular</w:t>
      </w:r>
      <w:r>
        <w:rPr>
          <w:color w:val="231F1F"/>
          <w:spacing w:val="-3"/>
          <w:w w:val="110"/>
        </w:rPr>
        <w:t> </w:t>
      </w:r>
      <w:r>
        <w:rPr>
          <w:color w:val="231F1F"/>
          <w:w w:val="110"/>
        </w:rPr>
        <w:t>arrhythmias)</w:t>
      </w:r>
    </w:p>
    <w:p>
      <w:pPr>
        <w:pStyle w:val="BodyText"/>
        <w:spacing w:before="3"/>
        <w:ind w:right="786" w:hanging="100"/>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Beta-blockers:</w:t>
      </w:r>
      <w:r>
        <w:rPr>
          <w:rFonts w:ascii="Calibri"/>
          <w:color w:val="231F1F"/>
          <w:spacing w:val="-11"/>
          <w:w w:val="115"/>
        </w:rPr>
        <w:t> </w:t>
      </w:r>
      <w:r>
        <w:rPr>
          <w:color w:val="231F1F"/>
          <w:w w:val="115"/>
        </w:rPr>
        <w:t>manufacturer</w:t>
      </w:r>
      <w:r>
        <w:rPr>
          <w:color w:val="231F1F"/>
          <w:spacing w:val="-12"/>
          <w:w w:val="115"/>
        </w:rPr>
        <w:t> </w:t>
      </w:r>
      <w:r>
        <w:rPr>
          <w:color w:val="231F1F"/>
          <w:w w:val="115"/>
        </w:rPr>
        <w:t>of</w:t>
      </w:r>
      <w:r>
        <w:rPr>
          <w:color w:val="231F1F"/>
          <w:spacing w:val="-13"/>
          <w:w w:val="115"/>
        </w:rPr>
        <w:t> </w:t>
      </w:r>
      <w:r>
        <w:rPr>
          <w:color w:val="231F1F"/>
          <w:w w:val="115"/>
        </w:rPr>
        <w:t>artenimol</w:t>
      </w:r>
      <w:r>
        <w:rPr>
          <w:color w:val="231F1F"/>
          <w:spacing w:val="-13"/>
          <w:w w:val="115"/>
        </w:rPr>
        <w:t> </w:t>
      </w:r>
      <w:r>
        <w:rPr>
          <w:color w:val="231F1F"/>
          <w:w w:val="115"/>
        </w:rPr>
        <w:t>with</w:t>
      </w:r>
      <w:r>
        <w:rPr>
          <w:color w:val="231F1F"/>
          <w:spacing w:val="-13"/>
          <w:w w:val="115"/>
        </w:rPr>
        <w:t> </w:t>
      </w:r>
      <w:r>
        <w:rPr>
          <w:color w:val="231F1F"/>
          <w:w w:val="115"/>
        </w:rPr>
        <w:t>piperaquine advises</w:t>
      </w:r>
      <w:r>
        <w:rPr>
          <w:color w:val="231F1F"/>
          <w:spacing w:val="-14"/>
          <w:w w:val="115"/>
        </w:rPr>
        <w:t> </w:t>
      </w:r>
      <w:r>
        <w:rPr>
          <w:color w:val="231F1F"/>
          <w:w w:val="115"/>
        </w:rPr>
        <w:t>avoid</w:t>
      </w:r>
      <w:r>
        <w:rPr>
          <w:color w:val="231F1F"/>
          <w:spacing w:val="-15"/>
          <w:w w:val="115"/>
        </w:rPr>
        <w:t> </w:t>
      </w:r>
      <w:r>
        <w:rPr>
          <w:color w:val="231F1F"/>
          <w:w w:val="115"/>
        </w:rPr>
        <w:t>concomitant</w:t>
      </w:r>
      <w:r>
        <w:rPr>
          <w:color w:val="231F1F"/>
          <w:spacing w:val="-15"/>
          <w:w w:val="115"/>
        </w:rPr>
        <w:t> </w:t>
      </w:r>
      <w:r>
        <w:rPr>
          <w:color w:val="231F1F"/>
          <w:w w:val="115"/>
        </w:rPr>
        <w:t>use</w:t>
      </w:r>
      <w:r>
        <w:rPr>
          <w:color w:val="231F1F"/>
          <w:spacing w:val="-14"/>
          <w:w w:val="115"/>
        </w:rPr>
        <w:t> </w:t>
      </w:r>
      <w:r>
        <w:rPr>
          <w:color w:val="231F1F"/>
          <w:w w:val="115"/>
        </w:rPr>
        <w:t>with</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2"/>
          <w:w w:val="115"/>
          <w:sz w:val="11"/>
        </w:rPr>
        <w:t>SOTALOL</w:t>
      </w:r>
      <w:r>
        <w:rPr>
          <w:rFonts w:ascii="Calibri"/>
          <w:color w:val="008356"/>
          <w:spacing w:val="-3"/>
          <w:w w:val="115"/>
          <w:sz w:val="11"/>
        </w:rPr>
        <w:t> </w:t>
      </w:r>
      <w:r>
        <w:rPr>
          <w:color w:val="231F1F"/>
          <w:w w:val="115"/>
        </w:rPr>
        <w:t>(possible</w:t>
      </w:r>
      <w:r>
        <w:rPr>
          <w:color w:val="231F1F"/>
          <w:spacing w:val="-14"/>
          <w:w w:val="115"/>
        </w:rPr>
        <w:t> </w:t>
      </w:r>
      <w:r>
        <w:rPr>
          <w:color w:val="231F1F"/>
          <w:spacing w:val="-3"/>
          <w:w w:val="115"/>
        </w:rPr>
        <w:t>risk </w:t>
      </w:r>
      <w:r>
        <w:rPr>
          <w:color w:val="231F1F"/>
          <w:w w:val="115"/>
        </w:rPr>
        <w:t>of ventricular</w:t>
      </w:r>
      <w:r>
        <w:rPr>
          <w:color w:val="231F1F"/>
          <w:spacing w:val="-8"/>
          <w:w w:val="115"/>
        </w:rPr>
        <w:t> </w:t>
      </w:r>
      <w:r>
        <w:rPr>
          <w:color w:val="231F1F"/>
          <w:w w:val="115"/>
        </w:rPr>
        <w:t>arrhythmias)</w:t>
      </w:r>
    </w:p>
    <w:p>
      <w:pPr>
        <w:spacing w:line="244" w:lineRule="auto" w:before="2"/>
        <w:ind w:left="208" w:right="762" w:hanging="100"/>
        <w:jc w:val="left"/>
        <w:rPr>
          <w:sz w:val="12"/>
        </w:rPr>
      </w:pPr>
      <w:r>
        <w:rPr>
          <w:rFonts w:ascii="Arial"/>
          <w:color w:val="231F1F"/>
          <w:w w:val="355"/>
          <w:position w:val="1"/>
          <w:sz w:val="7"/>
        </w:rPr>
        <w:t>l </w:t>
      </w:r>
      <w:r>
        <w:rPr>
          <w:rFonts w:ascii="Calibri"/>
          <w:color w:val="231F1F"/>
          <w:w w:val="110"/>
          <w:sz w:val="12"/>
        </w:rPr>
        <w:t>Cytotoxics: </w:t>
      </w:r>
      <w:r>
        <w:rPr>
          <w:color w:val="231F1F"/>
          <w:w w:val="110"/>
          <w:sz w:val="12"/>
        </w:rPr>
        <w:t>manufacturer of artenimol with piperaquine advises avoid concomitant use with </w:t>
      </w:r>
      <w:r>
        <w:rPr>
          <w:rFonts w:ascii="Arial"/>
          <w:color w:val="231F1F"/>
          <w:w w:val="355"/>
          <w:position w:val="1"/>
          <w:sz w:val="7"/>
        </w:rPr>
        <w:t>l </w:t>
      </w:r>
      <w:r>
        <w:rPr>
          <w:rFonts w:ascii="Calibri"/>
          <w:color w:val="008356"/>
          <w:spacing w:val="4"/>
          <w:w w:val="110"/>
          <w:sz w:val="11"/>
        </w:rPr>
        <w:t>ARSENIC TRIOXIDE </w:t>
      </w:r>
      <w:r>
        <w:rPr>
          <w:color w:val="231F1F"/>
          <w:w w:val="110"/>
          <w:sz w:val="12"/>
        </w:rPr>
        <w:t>(possible risk of ventricular arrhythmias); manufacturer of artenimol with piperaquine advises avoid concomitant </w:t>
      </w:r>
      <w:r>
        <w:rPr>
          <w:color w:val="231F1F"/>
          <w:spacing w:val="-5"/>
          <w:w w:val="110"/>
          <w:sz w:val="12"/>
        </w:rPr>
        <w:t>use </w:t>
      </w:r>
      <w:r>
        <w:rPr>
          <w:color w:val="231F1F"/>
          <w:w w:val="110"/>
          <w:sz w:val="12"/>
        </w:rPr>
        <w:t>with </w:t>
      </w:r>
      <w:r>
        <w:rPr>
          <w:rFonts w:ascii="Arial"/>
          <w:color w:val="231F1F"/>
          <w:w w:val="355"/>
          <w:position w:val="1"/>
          <w:sz w:val="7"/>
        </w:rPr>
        <w:t>l </w:t>
      </w:r>
      <w:r>
        <w:rPr>
          <w:rFonts w:ascii="Calibri"/>
          <w:color w:val="008356"/>
          <w:spacing w:val="4"/>
          <w:w w:val="110"/>
          <w:sz w:val="11"/>
        </w:rPr>
        <w:t>VINBLASTINE</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VINCRISTINE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VINFLUNINE </w:t>
      </w:r>
      <w:r>
        <w:rPr>
          <w:color w:val="231F1F"/>
          <w:w w:val="110"/>
          <w:sz w:val="12"/>
        </w:rPr>
        <w:t>and</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20"/>
          <w:sz w:val="11"/>
        </w:rPr>
        <w:t>VINORELBINE</w:t>
      </w:r>
    </w:p>
    <w:p>
      <w:pPr>
        <w:pStyle w:val="BodyText"/>
        <w:spacing w:line="242" w:lineRule="auto"/>
        <w:ind w:right="762" w:hanging="100"/>
      </w:pPr>
      <w:r>
        <w:rPr>
          <w:rFonts w:ascii="Arial"/>
          <w:color w:val="231F1F"/>
          <w:w w:val="355"/>
          <w:position w:val="1"/>
          <w:sz w:val="7"/>
        </w:rPr>
        <w:t>l </w:t>
      </w:r>
      <w:r>
        <w:rPr>
          <w:rFonts w:ascii="Calibri"/>
          <w:color w:val="231F1F"/>
          <w:w w:val="105"/>
        </w:rPr>
        <w:t>Domperidone: </w:t>
      </w:r>
      <w:r>
        <w:rPr>
          <w:color w:val="231F1F"/>
          <w:w w:val="105"/>
        </w:rPr>
        <w:t>manufacturer of artenimol with piperaquine advises avoid concomitant use with </w:t>
      </w:r>
      <w:r>
        <w:rPr>
          <w:rFonts w:ascii="Arial"/>
          <w:color w:val="231F1F"/>
          <w:w w:val="355"/>
          <w:position w:val="1"/>
          <w:sz w:val="7"/>
        </w:rPr>
        <w:t>l </w:t>
      </w:r>
      <w:r>
        <w:rPr>
          <w:rFonts w:ascii="Calibri"/>
          <w:color w:val="008356"/>
          <w:w w:val="105"/>
          <w:sz w:val="11"/>
        </w:rPr>
        <w:t>DOMPERIDONE </w:t>
      </w:r>
      <w:r>
        <w:rPr>
          <w:color w:val="231F1F"/>
          <w:w w:val="105"/>
        </w:rPr>
        <w:t>(possible risk of ventricular arrhythmias)</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artenimol with piperaquine advises avoid concomitant use with </w:t>
      </w:r>
      <w:r>
        <w:rPr>
          <w:rFonts w:ascii="Calibri" w:hAnsi="Calibri"/>
          <w:color w:val="008356"/>
          <w:w w:val="105"/>
          <w:sz w:val="11"/>
        </w:rPr>
        <w:t>GRAPEFRUIT JUICE</w:t>
      </w:r>
    </w:p>
    <w:p>
      <w:pPr>
        <w:spacing w:after="0" w:line="220" w:lineRule="auto"/>
        <w:rPr>
          <w:rFonts w:ascii="Calibri" w:hAnsi="Calibri"/>
          <w:sz w:val="11"/>
        </w:rPr>
        <w:sectPr>
          <w:pgSz w:w="8390" w:h="11910"/>
          <w:pgMar w:header="0" w:footer="0" w:top="460" w:bottom="0" w:left="480" w:right="0"/>
          <w:cols w:num="2" w:equalWidth="0">
            <w:col w:w="3604" w:space="72"/>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2320" filled="true" fillcolor="#bfdbcf" stroked="false">
            <v:fill type="solid"/>
            <w10:wrap type="none"/>
          </v:rect>
        </w:pict>
      </w:r>
      <w:r>
        <w:rPr/>
        <w:pict>
          <v:shape style="position:absolute;margin-left:7.751256pt;margin-top:35.804367pt;width:10.4pt;height:78.850pt;mso-position-horizontal-relative:page;mso-position-vertical-relative:page;z-index:234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Artenimol with Piperaquine </w:t>
      </w:r>
      <w:r>
        <w:rPr>
          <w:rFonts w:ascii="Calibri"/>
          <w:color w:val="231F1F"/>
        </w:rPr>
        <w:t>(continued)</w:t>
      </w:r>
    </w:p>
    <w:p>
      <w:pPr>
        <w:pStyle w:val="BodyText"/>
        <w:spacing w:line="220" w:lineRule="auto" w:before="6"/>
        <w:ind w:left="286" w:right="402"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ind w:left="286" w:right="402" w:hanging="100"/>
      </w:pPr>
      <w:r>
        <w:rPr>
          <w:rFonts w:ascii="Arial"/>
          <w:color w:val="231F1F"/>
          <w:w w:val="310"/>
          <w:position w:val="1"/>
          <w:sz w:val="7"/>
        </w:rPr>
        <w:t>l</w:t>
      </w:r>
      <w:r>
        <w:rPr>
          <w:rFonts w:ascii="Arial"/>
          <w:color w:val="231F1F"/>
          <w:spacing w:val="-47"/>
          <w:w w:val="310"/>
          <w:position w:val="1"/>
          <w:sz w:val="7"/>
        </w:rPr>
        <w:t> </w:t>
      </w:r>
      <w:r>
        <w:rPr>
          <w:rFonts w:ascii="Calibri"/>
          <w:color w:val="231F1F"/>
          <w:w w:val="115"/>
        </w:rPr>
        <w:t>Pentamidine</w:t>
      </w:r>
      <w:r>
        <w:rPr>
          <w:rFonts w:ascii="Calibri"/>
          <w:color w:val="231F1F"/>
          <w:spacing w:val="-21"/>
          <w:w w:val="115"/>
        </w:rPr>
        <w:t> </w:t>
      </w:r>
      <w:r>
        <w:rPr>
          <w:rFonts w:ascii="Calibri"/>
          <w:color w:val="231F1F"/>
          <w:w w:val="115"/>
        </w:rPr>
        <w:t>Isetionate:</w:t>
      </w:r>
      <w:r>
        <w:rPr>
          <w:rFonts w:ascii="Calibri"/>
          <w:color w:val="231F1F"/>
          <w:spacing w:val="-21"/>
          <w:w w:val="115"/>
        </w:rPr>
        <w:t> </w:t>
      </w:r>
      <w:r>
        <w:rPr>
          <w:color w:val="231F1F"/>
          <w:w w:val="115"/>
        </w:rPr>
        <w:t>manufacturer</w:t>
      </w:r>
      <w:r>
        <w:rPr>
          <w:color w:val="231F1F"/>
          <w:spacing w:val="-25"/>
          <w:w w:val="115"/>
        </w:rPr>
        <w:t> </w:t>
      </w:r>
      <w:r>
        <w:rPr>
          <w:color w:val="231F1F"/>
          <w:w w:val="115"/>
        </w:rPr>
        <w:t>of</w:t>
      </w:r>
      <w:r>
        <w:rPr>
          <w:color w:val="231F1F"/>
          <w:spacing w:val="-24"/>
          <w:w w:val="115"/>
        </w:rPr>
        <w:t> </w:t>
      </w:r>
      <w:r>
        <w:rPr>
          <w:color w:val="231F1F"/>
          <w:w w:val="115"/>
        </w:rPr>
        <w:t>artenimol</w:t>
      </w:r>
      <w:r>
        <w:rPr>
          <w:color w:val="231F1F"/>
          <w:spacing w:val="-24"/>
          <w:w w:val="115"/>
        </w:rPr>
        <w:t> </w:t>
      </w:r>
      <w:r>
        <w:rPr>
          <w:color w:val="231F1F"/>
          <w:spacing w:val="-4"/>
          <w:w w:val="115"/>
        </w:rPr>
        <w:t>with </w:t>
      </w:r>
      <w:r>
        <w:rPr>
          <w:color w:val="231F1F"/>
          <w:w w:val="115"/>
        </w:rPr>
        <w:t>piperaquine advises avoid concomitant use</w:t>
      </w:r>
      <w:r>
        <w:rPr>
          <w:color w:val="231F1F"/>
          <w:spacing w:val="-25"/>
          <w:w w:val="115"/>
        </w:rPr>
        <w:t> </w:t>
      </w:r>
      <w:r>
        <w:rPr>
          <w:color w:val="231F1F"/>
          <w:w w:val="115"/>
        </w:rPr>
        <w:t>with</w:t>
      </w:r>
    </w:p>
    <w:p>
      <w:pPr>
        <w:spacing w:line="244" w:lineRule="auto" w:before="4"/>
        <w:ind w:left="286" w:right="378"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PENTAMIDINE ISETIONATE </w:t>
      </w:r>
      <w:r>
        <w:rPr>
          <w:color w:val="231F1F"/>
          <w:w w:val="110"/>
          <w:sz w:val="12"/>
        </w:rPr>
        <w:t>(possible risk of ventricular arrhythmias)</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2"/>
        <w:ind w:left="186" w:right="1559"/>
        <w:rPr>
          <w:rFonts w:ascii="Trebuchet MS"/>
        </w:rPr>
      </w:pPr>
      <w:r>
        <w:rPr>
          <w:rFonts w:ascii="Trebuchet MS"/>
          <w:color w:val="008356"/>
          <w:w w:val="110"/>
        </w:rPr>
        <w:t>Ascorbic acid </w:t>
      </w:r>
      <w:r>
        <w:rPr>
          <w:i/>
          <w:color w:val="231F1F"/>
          <w:w w:val="110"/>
        </w:rPr>
        <w:t>see </w:t>
      </w:r>
      <w:r>
        <w:rPr>
          <w:color w:val="231F1F"/>
          <w:w w:val="110"/>
        </w:rPr>
        <w:t>Vitamins </w:t>
      </w:r>
      <w:r>
        <w:rPr>
          <w:rFonts w:ascii="Trebuchet MS"/>
          <w:color w:val="008356"/>
          <w:w w:val="110"/>
        </w:rPr>
        <w:t>Asenapine </w:t>
      </w:r>
      <w:r>
        <w:rPr>
          <w:i/>
          <w:color w:val="231F1F"/>
          <w:w w:val="110"/>
        </w:rPr>
        <w:t>see </w:t>
      </w:r>
      <w:r>
        <w:rPr>
          <w:color w:val="231F1F"/>
          <w:w w:val="110"/>
        </w:rPr>
        <w:t>Antipsychotics </w:t>
      </w:r>
      <w:r>
        <w:rPr>
          <w:rFonts w:ascii="Trebuchet MS"/>
          <w:color w:val="008356"/>
          <w:w w:val="110"/>
        </w:rPr>
        <w:t>Aspirin</w:t>
      </w:r>
    </w:p>
    <w:p>
      <w:pPr>
        <w:pStyle w:val="BodyText"/>
        <w:spacing w:line="141"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Adsorbents: </w:t>
      </w:r>
      <w:r>
        <w:rPr>
          <w:color w:val="231F1F"/>
          <w:w w:val="105"/>
        </w:rPr>
        <w:t>absorption of aspirin possibly reduced by </w:t>
      </w:r>
      <w:r>
        <w:rPr>
          <w:rFonts w:ascii="Calibri" w:hAnsi="Calibri"/>
          <w:color w:val="008356"/>
          <w:w w:val="105"/>
          <w:sz w:val="11"/>
        </w:rPr>
        <w:t>KAOLIN</w:t>
      </w:r>
    </w:p>
    <w:p>
      <w:pPr>
        <w:pStyle w:val="BodyText"/>
        <w:spacing w:line="148" w:lineRule="exact"/>
        <w:ind w:left="186"/>
      </w:pPr>
      <w:r>
        <w:rPr>
          <w:rFonts w:ascii="Lucida Sans Unicode" w:hAnsi="Lucida Sans Unicode"/>
          <w:color w:val="A7A8AC"/>
          <w:w w:val="95"/>
          <w:sz w:val="10"/>
        </w:rPr>
        <w:t>▶ </w:t>
      </w:r>
      <w:r>
        <w:rPr>
          <w:rFonts w:ascii="Calibri" w:hAnsi="Calibri"/>
          <w:color w:val="231F1F"/>
          <w:w w:val="105"/>
        </w:rPr>
        <w:t>Anaesthetics, General: </w:t>
      </w:r>
      <w:r>
        <w:rPr>
          <w:color w:val="231F1F"/>
          <w:w w:val="105"/>
        </w:rPr>
        <w:t>aspirin possibly enhances effects of</w:t>
      </w:r>
    </w:p>
    <w:p>
      <w:pPr>
        <w:spacing w:line="130" w:lineRule="exact" w:before="0"/>
        <w:ind w:left="286" w:right="0" w:firstLine="0"/>
        <w:jc w:val="left"/>
        <w:rPr>
          <w:rFonts w:ascii="Calibri"/>
          <w:sz w:val="11"/>
        </w:rPr>
      </w:pPr>
      <w:r>
        <w:rPr>
          <w:rFonts w:ascii="Calibri"/>
          <w:color w:val="008356"/>
          <w:sz w:val="11"/>
        </w:rPr>
        <w:t>THIOPENTAL</w:t>
      </w:r>
    </w:p>
    <w:p>
      <w:pPr>
        <w:pStyle w:val="BodyText"/>
        <w:spacing w:line="244" w:lineRule="auto"/>
        <w:ind w:left="286"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avoid concomitant use of aspirin with </w:t>
      </w:r>
      <w:r>
        <w:rPr>
          <w:rFonts w:ascii="Arial"/>
          <w:color w:val="231F1F"/>
          <w:w w:val="355"/>
          <w:position w:val="1"/>
          <w:sz w:val="7"/>
        </w:rPr>
        <w:t>l </w:t>
      </w:r>
      <w:r>
        <w:rPr>
          <w:rFonts w:ascii="Calibri"/>
          <w:color w:val="008356"/>
          <w:w w:val="110"/>
          <w:sz w:val="11"/>
        </w:rPr>
        <w:t>NSAIDS </w:t>
      </w:r>
      <w:r>
        <w:rPr>
          <w:color w:val="231F1F"/>
          <w:w w:val="110"/>
        </w:rPr>
        <w:t>(increased side-effects); antiplatelet effect of aspirin possibly reduced by </w:t>
      </w:r>
      <w:r>
        <w:rPr>
          <w:rFonts w:ascii="Calibri"/>
          <w:color w:val="008356"/>
          <w:w w:val="110"/>
          <w:sz w:val="11"/>
        </w:rPr>
        <w:t>IBUPROFEN</w:t>
      </w:r>
    </w:p>
    <w:p>
      <w:pPr>
        <w:pStyle w:val="BodyText"/>
        <w:spacing w:line="220" w:lineRule="auto" w:before="1"/>
        <w:ind w:left="286" w:right="7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Antacids: </w:t>
      </w:r>
      <w:r>
        <w:rPr>
          <w:color w:val="231F1F"/>
          <w:w w:val="110"/>
        </w:rPr>
        <w:t>excretion of aspirin increased by alkaline urine due to some </w:t>
      </w:r>
      <w:r>
        <w:rPr>
          <w:rFonts w:ascii="Calibri" w:hAnsi="Calibri"/>
          <w:color w:val="008356"/>
          <w:w w:val="110"/>
          <w:sz w:val="11"/>
        </w:rPr>
        <w:t>ANTACIDS</w:t>
      </w:r>
    </w:p>
    <w:p>
      <w:pPr>
        <w:spacing w:line="240" w:lineRule="auto" w:before="1"/>
        <w:ind w:left="286" w:right="0" w:hanging="100"/>
        <w:jc w:val="left"/>
        <w:rPr>
          <w:rFonts w:ascii="Calibri"/>
          <w:sz w:val="11"/>
        </w:rPr>
      </w:pPr>
      <w:r>
        <w:rPr>
          <w:rFonts w:ascii="Arial"/>
          <w:color w:val="231F1F"/>
          <w:w w:val="355"/>
          <w:position w:val="1"/>
          <w:sz w:val="7"/>
        </w:rPr>
        <w:t>l </w:t>
      </w:r>
      <w:r>
        <w:rPr>
          <w:rFonts w:ascii="Calibri"/>
          <w:color w:val="231F1F"/>
          <w:w w:val="110"/>
          <w:sz w:val="12"/>
        </w:rPr>
        <w:t>Anticoagulants: </w:t>
      </w:r>
      <w:r>
        <w:rPr>
          <w:color w:val="231F1F"/>
          <w:w w:val="110"/>
          <w:sz w:val="12"/>
        </w:rPr>
        <w:t>increased risk of bleeding when aspirin given with </w:t>
      </w:r>
      <w:r>
        <w:rPr>
          <w:rFonts w:ascii="Arial"/>
          <w:color w:val="231F1F"/>
          <w:w w:val="355"/>
          <w:position w:val="1"/>
          <w:sz w:val="7"/>
        </w:rPr>
        <w:t>l </w:t>
      </w:r>
      <w:r>
        <w:rPr>
          <w:rFonts w:ascii="Calibri"/>
          <w:color w:val="008356"/>
          <w:w w:val="110"/>
          <w:sz w:val="11"/>
        </w:rPr>
        <w:t>COUMARINS </w:t>
      </w:r>
      <w:r>
        <w:rPr>
          <w:color w:val="231F1F"/>
          <w:w w:val="110"/>
          <w:sz w:val="12"/>
        </w:rPr>
        <w:t>or </w:t>
      </w:r>
      <w:r>
        <w:rPr>
          <w:rFonts w:ascii="Arial"/>
          <w:color w:val="231F1F"/>
          <w:w w:val="355"/>
          <w:position w:val="1"/>
          <w:sz w:val="7"/>
        </w:rPr>
        <w:t>l </w:t>
      </w:r>
      <w:r>
        <w:rPr>
          <w:rFonts w:ascii="Calibri"/>
          <w:color w:val="008356"/>
          <w:w w:val="110"/>
          <w:sz w:val="11"/>
        </w:rPr>
        <w:t>PHENINDIONE </w:t>
      </w:r>
      <w:r>
        <w:rPr>
          <w:color w:val="231F1F"/>
          <w:w w:val="110"/>
          <w:sz w:val="12"/>
        </w:rPr>
        <w:t>(due to antiplatelet effect); aspirin enhances anticoagulant effect of </w:t>
      </w:r>
      <w:r>
        <w:rPr>
          <w:rFonts w:ascii="Arial"/>
          <w:color w:val="231F1F"/>
          <w:w w:val="355"/>
          <w:position w:val="1"/>
          <w:sz w:val="7"/>
        </w:rPr>
        <w:t>l </w:t>
      </w:r>
      <w:r>
        <w:rPr>
          <w:rFonts w:ascii="Calibri"/>
          <w:color w:val="008356"/>
          <w:w w:val="110"/>
          <w:sz w:val="11"/>
        </w:rPr>
        <w:t>HEPARINS</w:t>
      </w:r>
    </w:p>
    <w:p>
      <w:pPr>
        <w:spacing w:line="240" w:lineRule="auto" w:before="0"/>
        <w:ind w:left="286" w:right="24" w:hanging="100"/>
        <w:jc w:val="left"/>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sz w:val="12"/>
        </w:rPr>
        <w:t>Antidepressants:</w:t>
      </w:r>
      <w:r>
        <w:rPr>
          <w:rFonts w:ascii="Calibri"/>
          <w:color w:val="231F1F"/>
          <w:spacing w:val="-15"/>
          <w:w w:val="115"/>
          <w:sz w:val="12"/>
        </w:rPr>
        <w:t> </w:t>
      </w:r>
      <w:r>
        <w:rPr>
          <w:color w:val="231F1F"/>
          <w:w w:val="115"/>
          <w:sz w:val="12"/>
        </w:rPr>
        <w:t>increased</w:t>
      </w:r>
      <w:r>
        <w:rPr>
          <w:color w:val="231F1F"/>
          <w:spacing w:val="-20"/>
          <w:w w:val="115"/>
          <w:sz w:val="12"/>
        </w:rPr>
        <w:t> </w:t>
      </w:r>
      <w:r>
        <w:rPr>
          <w:color w:val="231F1F"/>
          <w:w w:val="115"/>
          <w:sz w:val="12"/>
        </w:rPr>
        <w:t>risk</w:t>
      </w:r>
      <w:r>
        <w:rPr>
          <w:color w:val="231F1F"/>
          <w:spacing w:val="-19"/>
          <w:w w:val="115"/>
          <w:sz w:val="12"/>
        </w:rPr>
        <w:t> </w:t>
      </w:r>
      <w:r>
        <w:rPr>
          <w:color w:val="231F1F"/>
          <w:w w:val="115"/>
          <w:sz w:val="12"/>
        </w:rPr>
        <w:t>of</w:t>
      </w:r>
      <w:r>
        <w:rPr>
          <w:color w:val="231F1F"/>
          <w:spacing w:val="-19"/>
          <w:w w:val="115"/>
          <w:sz w:val="12"/>
        </w:rPr>
        <w:t> </w:t>
      </w:r>
      <w:r>
        <w:rPr>
          <w:color w:val="231F1F"/>
          <w:w w:val="115"/>
          <w:sz w:val="12"/>
        </w:rPr>
        <w:t>bleeding</w:t>
      </w:r>
      <w:r>
        <w:rPr>
          <w:color w:val="231F1F"/>
          <w:spacing w:val="-20"/>
          <w:w w:val="115"/>
          <w:sz w:val="12"/>
        </w:rPr>
        <w:t> </w:t>
      </w:r>
      <w:r>
        <w:rPr>
          <w:color w:val="231F1F"/>
          <w:w w:val="115"/>
          <w:sz w:val="12"/>
        </w:rPr>
        <w:t>when</w:t>
      </w:r>
      <w:r>
        <w:rPr>
          <w:color w:val="231F1F"/>
          <w:spacing w:val="-19"/>
          <w:w w:val="115"/>
          <w:sz w:val="12"/>
        </w:rPr>
        <w:t> </w:t>
      </w:r>
      <w:r>
        <w:rPr>
          <w:color w:val="231F1F"/>
          <w:w w:val="115"/>
          <w:sz w:val="12"/>
        </w:rPr>
        <w:t>aspirin</w:t>
      </w:r>
      <w:r>
        <w:rPr>
          <w:color w:val="231F1F"/>
          <w:spacing w:val="-20"/>
          <w:w w:val="115"/>
          <w:sz w:val="12"/>
        </w:rPr>
        <w:t> </w:t>
      </w:r>
      <w:r>
        <w:rPr>
          <w:color w:val="231F1F"/>
          <w:spacing w:val="-3"/>
          <w:w w:val="115"/>
          <w:sz w:val="12"/>
        </w:rPr>
        <w:t>given </w:t>
      </w:r>
      <w:r>
        <w:rPr>
          <w:color w:val="231F1F"/>
          <w:w w:val="115"/>
          <w:sz w:val="12"/>
        </w:rPr>
        <w:t>with</w:t>
      </w:r>
      <w:r>
        <w:rPr>
          <w:color w:val="231F1F"/>
          <w:spacing w:val="-6"/>
          <w:w w:val="115"/>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5"/>
          <w:sz w:val="11"/>
        </w:rPr>
        <w:t>SSRIS</w:t>
      </w:r>
      <w:r>
        <w:rPr>
          <w:rFonts w:ascii="Calibri"/>
          <w:color w:val="008356"/>
          <w:spacing w:val="7"/>
          <w:w w:val="115"/>
          <w:sz w:val="11"/>
        </w:rPr>
        <w:t> </w:t>
      </w:r>
      <w:r>
        <w:rPr>
          <w:color w:val="231F1F"/>
          <w:w w:val="115"/>
          <w:sz w:val="12"/>
        </w:rPr>
        <w:t>or</w:t>
      </w:r>
      <w:r>
        <w:rPr>
          <w:color w:val="231F1F"/>
          <w:spacing w:val="-6"/>
          <w:w w:val="115"/>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5"/>
          <w:sz w:val="11"/>
        </w:rPr>
        <w:t>VENLAFAXINE</w:t>
      </w:r>
    </w:p>
    <w:p>
      <w:pPr>
        <w:spacing w:line="220" w:lineRule="auto" w:before="4"/>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aspirin enhances effects of </w:t>
      </w:r>
      <w:r>
        <w:rPr>
          <w:rFonts w:ascii="Calibri" w:hAnsi="Calibri"/>
          <w:color w:val="008356"/>
          <w:w w:val="105"/>
          <w:sz w:val="11"/>
        </w:rPr>
        <w:t>FOSPHENYTOIN</w:t>
      </w:r>
      <w:r>
        <w:rPr>
          <w:color w:val="231F1F"/>
          <w:w w:val="105"/>
          <w:sz w:val="12"/>
        </w:rPr>
        <w:t>, </w:t>
      </w:r>
      <w:r>
        <w:rPr>
          <w:rFonts w:ascii="Calibri" w:hAnsi="Calibri"/>
          <w:color w:val="008356"/>
          <w:w w:val="105"/>
          <w:sz w:val="11"/>
        </w:rPr>
        <w:t>PHENYTOIN</w:t>
      </w:r>
      <w:r>
        <w:rPr>
          <w:color w:val="231F1F"/>
          <w:w w:val="105"/>
          <w:sz w:val="12"/>
        </w:rPr>
        <w:t>, </w:t>
      </w:r>
      <w:r>
        <w:rPr>
          <w:rFonts w:ascii="Calibri" w:hAnsi="Calibri"/>
          <w:color w:val="008356"/>
          <w:w w:val="105"/>
          <w:sz w:val="11"/>
        </w:rPr>
        <w:t>SODIUM VALPROATE </w:t>
      </w:r>
      <w:r>
        <w:rPr>
          <w:color w:val="231F1F"/>
          <w:w w:val="105"/>
          <w:sz w:val="12"/>
        </w:rPr>
        <w:t>and </w:t>
      </w:r>
      <w:r>
        <w:rPr>
          <w:rFonts w:ascii="Calibri" w:hAnsi="Calibri"/>
          <w:color w:val="008356"/>
          <w:w w:val="105"/>
          <w:sz w:val="11"/>
        </w:rPr>
        <w:t>VALPROIC ACID</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10"/>
        </w:rPr>
        <w:t>Clopidogrel: </w:t>
      </w:r>
      <w:r>
        <w:rPr>
          <w:color w:val="231F1F"/>
          <w:w w:val="110"/>
        </w:rPr>
        <w:t>increased risk of bleeding when aspirin given with</w:t>
      </w:r>
    </w:p>
    <w:p>
      <w:pPr>
        <w:spacing w:line="130" w:lineRule="exact" w:before="0"/>
        <w:ind w:left="286" w:right="0" w:firstLine="0"/>
        <w:jc w:val="left"/>
        <w:rPr>
          <w:rFonts w:ascii="Calibri"/>
          <w:sz w:val="11"/>
        </w:rPr>
      </w:pPr>
      <w:r>
        <w:rPr>
          <w:rFonts w:ascii="Calibri"/>
          <w:color w:val="008356"/>
          <w:sz w:val="11"/>
        </w:rPr>
        <w:t>CLOPIDOGREL</w:t>
      </w:r>
    </w:p>
    <w:p>
      <w:pPr>
        <w:pStyle w:val="BodyText"/>
        <w:spacing w:line="230" w:lineRule="auto" w:before="3"/>
        <w:ind w:left="286" w:right="6"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increased risk of gastro-intestinal bleeding and ulceration when aspirin given with </w:t>
      </w:r>
      <w:r>
        <w:rPr>
          <w:rFonts w:ascii="Calibri" w:hAnsi="Calibri"/>
          <w:color w:val="008356"/>
          <w:spacing w:val="4"/>
          <w:w w:val="110"/>
          <w:sz w:val="11"/>
        </w:rPr>
        <w:t>CORTICOSTEROIDS</w:t>
      </w:r>
      <w:r>
        <w:rPr>
          <w:color w:val="231F1F"/>
          <w:spacing w:val="4"/>
          <w:w w:val="110"/>
        </w:rPr>
        <w:t>,</w:t>
      </w:r>
      <w:r>
        <w:rPr>
          <w:color w:val="231F1F"/>
          <w:spacing w:val="-21"/>
          <w:w w:val="110"/>
        </w:rPr>
        <w:t> </w:t>
      </w:r>
      <w:r>
        <w:rPr>
          <w:color w:val="231F1F"/>
          <w:w w:val="110"/>
        </w:rPr>
        <w:t>also corticosteroids reduce plasma concentration of</w:t>
      </w:r>
      <w:r>
        <w:rPr>
          <w:color w:val="231F1F"/>
          <w:spacing w:val="32"/>
          <w:w w:val="110"/>
        </w:rPr>
        <w:t> </w:t>
      </w:r>
      <w:r>
        <w:rPr>
          <w:color w:val="231F1F"/>
          <w:w w:val="110"/>
        </w:rPr>
        <w:t>salicylate</w:t>
      </w:r>
    </w:p>
    <w:p>
      <w:pPr>
        <w:pStyle w:val="BodyText"/>
        <w:spacing w:line="242" w:lineRule="auto" w:before="4"/>
        <w:ind w:left="286" w:right="179" w:hanging="100"/>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231F1F"/>
          <w:w w:val="115"/>
        </w:rPr>
        <w:t>Cytotoxics: </w:t>
      </w:r>
      <w:r>
        <w:rPr>
          <w:color w:val="231F1F"/>
          <w:w w:val="115"/>
        </w:rPr>
        <w:t>aspirin reduces excretion of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METHOTREXATE </w:t>
      </w:r>
      <w:r>
        <w:rPr>
          <w:color w:val="231F1F"/>
          <w:w w:val="115"/>
        </w:rPr>
        <w:t>(increased risk of toxicity); aspirin possibly reduces </w:t>
      </w:r>
      <w:r>
        <w:rPr>
          <w:color w:val="231F1F"/>
          <w:spacing w:val="-3"/>
          <w:w w:val="115"/>
        </w:rPr>
        <w:t>renal </w:t>
      </w:r>
      <w:r>
        <w:rPr>
          <w:color w:val="231F1F"/>
          <w:w w:val="115"/>
        </w:rPr>
        <w:t>excretion of </w:t>
      </w:r>
      <w:r>
        <w:rPr>
          <w:rFonts w:ascii="Calibri" w:hAnsi="Calibri"/>
          <w:color w:val="008356"/>
          <w:spacing w:val="2"/>
          <w:w w:val="115"/>
          <w:sz w:val="11"/>
        </w:rPr>
        <w:t>PEMETREXED</w:t>
      </w:r>
      <w:r>
        <w:rPr>
          <w:rFonts w:ascii="Arial" w:hAnsi="Arial"/>
          <w:color w:val="231F1F"/>
          <w:spacing w:val="2"/>
          <w:w w:val="115"/>
        </w:rPr>
        <w:t>—</w:t>
      </w:r>
      <w:r>
        <w:rPr>
          <w:color w:val="231F1F"/>
          <w:spacing w:val="2"/>
          <w:w w:val="115"/>
        </w:rPr>
        <w:t>consult </w:t>
      </w:r>
      <w:r>
        <w:rPr>
          <w:color w:val="231F1F"/>
          <w:w w:val="115"/>
        </w:rPr>
        <w:t>product literature</w:t>
      </w:r>
    </w:p>
    <w:p>
      <w:pPr>
        <w:pStyle w:val="BodyText"/>
        <w:spacing w:line="242" w:lineRule="auto"/>
        <w:ind w:left="286" w:right="99" w:hanging="100"/>
      </w:pPr>
      <w:r>
        <w:rPr>
          <w:rFonts w:ascii="Arial"/>
          <w:color w:val="231F1F"/>
          <w:w w:val="355"/>
          <w:position w:val="1"/>
          <w:sz w:val="7"/>
        </w:rPr>
        <w:t>l </w:t>
      </w:r>
      <w:r>
        <w:rPr>
          <w:rFonts w:ascii="Calibri"/>
          <w:color w:val="231F1F"/>
          <w:w w:val="110"/>
        </w:rPr>
        <w:t>Diuretics: </w:t>
      </w:r>
      <w:r>
        <w:rPr>
          <w:color w:val="231F1F"/>
          <w:w w:val="110"/>
        </w:rPr>
        <w:t>increased risk of toxicity when high-dose aspirin given with </w:t>
      </w:r>
      <w:r>
        <w:rPr>
          <w:rFonts w:ascii="Arial"/>
          <w:color w:val="231F1F"/>
          <w:w w:val="355"/>
          <w:position w:val="1"/>
          <w:sz w:val="7"/>
        </w:rPr>
        <w:t>l </w:t>
      </w:r>
      <w:r>
        <w:rPr>
          <w:rFonts w:ascii="Calibri"/>
          <w:color w:val="008356"/>
          <w:w w:val="110"/>
          <w:sz w:val="11"/>
        </w:rPr>
        <w:t>ACETAZOLAMIDE</w:t>
      </w:r>
      <w:r>
        <w:rPr>
          <w:color w:val="231F1F"/>
          <w:w w:val="110"/>
        </w:rPr>
        <w:t>; aspirin antagonises diuretic effect of </w:t>
      </w:r>
      <w:r>
        <w:rPr>
          <w:rFonts w:ascii="Calibri"/>
          <w:color w:val="008356"/>
          <w:w w:val="110"/>
          <w:sz w:val="11"/>
        </w:rPr>
        <w:t>SPIRONOLACTONE</w:t>
      </w:r>
      <w:r>
        <w:rPr>
          <w:color w:val="231F1F"/>
          <w:w w:val="110"/>
        </w:rPr>
        <w:t>; possible increased risk of toxicity when high-dose aspirin given with </w:t>
      </w:r>
      <w:r>
        <w:rPr>
          <w:rFonts w:ascii="Calibri"/>
          <w:color w:val="008356"/>
          <w:w w:val="110"/>
          <w:sz w:val="11"/>
        </w:rPr>
        <w:t>LOOP DIURETICS </w:t>
      </w:r>
      <w:r>
        <w:rPr>
          <w:color w:val="231F1F"/>
          <w:w w:val="110"/>
        </w:rPr>
        <w:t>(also possible reduced effect of loop diuretics)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10"/>
        </w:rPr>
        <w:t>Iloprost: </w:t>
      </w:r>
      <w:r>
        <w:rPr>
          <w:color w:val="231F1F"/>
          <w:w w:val="110"/>
        </w:rPr>
        <w:t>increased risk of bleeding when aspirin given with</w:t>
      </w:r>
    </w:p>
    <w:p>
      <w:pPr>
        <w:spacing w:line="130" w:lineRule="exact" w:before="0"/>
        <w:ind w:left="286" w:right="0" w:firstLine="0"/>
        <w:jc w:val="left"/>
        <w:rPr>
          <w:rFonts w:ascii="Calibri"/>
          <w:sz w:val="11"/>
        </w:rPr>
      </w:pPr>
      <w:r>
        <w:rPr>
          <w:rFonts w:ascii="Calibri"/>
          <w:color w:val="008356"/>
          <w:sz w:val="11"/>
        </w:rPr>
        <w:t>ILOPROST</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aspirin increases plasma concentration of </w:t>
      </w:r>
      <w:r>
        <w:rPr>
          <w:rFonts w:ascii="Calibri" w:hAnsi="Calibri"/>
          <w:color w:val="008356"/>
          <w:w w:val="105"/>
          <w:sz w:val="11"/>
        </w:rPr>
        <w:t>ZAFIRLUKAST</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Metoclopramide: </w:t>
      </w:r>
      <w:r>
        <w:rPr>
          <w:color w:val="231F1F"/>
          <w:w w:val="105"/>
        </w:rPr>
        <w:t>rate of absorption of aspirin increased by</w:t>
      </w:r>
    </w:p>
    <w:p>
      <w:pPr>
        <w:spacing w:line="135" w:lineRule="exact" w:before="0"/>
        <w:ind w:left="286" w:right="0" w:firstLine="0"/>
        <w:jc w:val="left"/>
        <w:rPr>
          <w:sz w:val="12"/>
        </w:rPr>
      </w:pPr>
      <w:r>
        <w:rPr>
          <w:rFonts w:ascii="Calibri"/>
          <w:color w:val="008356"/>
          <w:w w:val="105"/>
          <w:sz w:val="11"/>
        </w:rPr>
        <w:t>METOCLOPRAMIDE </w:t>
      </w:r>
      <w:r>
        <w:rPr>
          <w:color w:val="231F1F"/>
          <w:w w:val="105"/>
          <w:sz w:val="12"/>
        </w:rPr>
        <w:t>(enhanced effect)</w:t>
      </w:r>
    </w:p>
    <w:p>
      <w:pPr>
        <w:spacing w:line="153"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Sulfinpyrazone: </w:t>
      </w:r>
      <w:r>
        <w:rPr>
          <w:color w:val="231F1F"/>
          <w:w w:val="105"/>
          <w:sz w:val="12"/>
        </w:rPr>
        <w:t>aspirin antagonises effects of </w:t>
      </w:r>
      <w:r>
        <w:rPr>
          <w:rFonts w:ascii="Calibri" w:hAnsi="Calibri"/>
          <w:color w:val="008356"/>
          <w:w w:val="105"/>
          <w:sz w:val="11"/>
        </w:rPr>
        <w:t>SULFINPYRAZONE</w:t>
      </w:r>
    </w:p>
    <w:p>
      <w:pPr>
        <w:pStyle w:val="BodyText"/>
        <w:spacing w:line="135" w:lineRule="exact"/>
        <w:ind w:left="186"/>
        <w:rPr>
          <w:rFonts w:ascii="Trebuchet MS"/>
        </w:rPr>
      </w:pPr>
      <w:r>
        <w:rPr>
          <w:rFonts w:ascii="Trebuchet MS"/>
          <w:color w:val="008356"/>
        </w:rPr>
        <w:t>Atazanavir</w:t>
      </w:r>
    </w:p>
    <w:p>
      <w:pPr>
        <w:pStyle w:val="BodyText"/>
        <w:spacing w:line="220" w:lineRule="auto" w:before="9"/>
        <w:ind w:left="286" w:right="94" w:hanging="100"/>
      </w:pPr>
      <w:r>
        <w:rPr>
          <w:rFonts w:ascii="Lucida Sans Unicode" w:hAnsi="Lucida Sans Unicode"/>
          <w:color w:val="A7A8AC"/>
          <w:w w:val="95"/>
          <w:sz w:val="10"/>
        </w:rPr>
        <w:t>▶</w:t>
      </w:r>
      <w:r>
        <w:rPr>
          <w:rFonts w:ascii="Lucida Sans Unicode" w:hAnsi="Lucida Sans Unicode"/>
          <w:color w:val="A7A8AC"/>
          <w:spacing w:val="14"/>
          <w:w w:val="95"/>
          <w:sz w:val="10"/>
        </w:rPr>
        <w:t> </w:t>
      </w:r>
      <w:r>
        <w:rPr>
          <w:rFonts w:ascii="Calibri" w:hAnsi="Calibri"/>
          <w:color w:val="231F1F"/>
          <w:w w:val="110"/>
        </w:rPr>
        <w:t>Antacids:</w:t>
      </w:r>
      <w:r>
        <w:rPr>
          <w:rFonts w:ascii="Calibri" w:hAnsi="Calibri"/>
          <w:color w:val="231F1F"/>
          <w:spacing w:val="-4"/>
          <w:w w:val="110"/>
        </w:rPr>
        <w:t> </w:t>
      </w:r>
      <w:r>
        <w:rPr>
          <w:color w:val="231F1F"/>
          <w:w w:val="110"/>
        </w:rPr>
        <w:t>absorption</w:t>
      </w:r>
      <w:r>
        <w:rPr>
          <w:color w:val="231F1F"/>
          <w:spacing w:val="-8"/>
          <w:w w:val="110"/>
        </w:rPr>
        <w:t> </w:t>
      </w:r>
      <w:r>
        <w:rPr>
          <w:color w:val="231F1F"/>
          <w:w w:val="110"/>
        </w:rPr>
        <w:t>of</w:t>
      </w:r>
      <w:r>
        <w:rPr>
          <w:color w:val="231F1F"/>
          <w:spacing w:val="-7"/>
          <w:w w:val="110"/>
        </w:rPr>
        <w:t> </w:t>
      </w:r>
      <w:r>
        <w:rPr>
          <w:color w:val="231F1F"/>
          <w:w w:val="110"/>
        </w:rPr>
        <w:t>atazanavir</w:t>
      </w:r>
      <w:r>
        <w:rPr>
          <w:color w:val="231F1F"/>
          <w:spacing w:val="-8"/>
          <w:w w:val="110"/>
        </w:rPr>
        <w:t> </w:t>
      </w:r>
      <w:r>
        <w:rPr>
          <w:color w:val="231F1F"/>
          <w:w w:val="110"/>
        </w:rPr>
        <w:t>reduced</w:t>
      </w:r>
      <w:r>
        <w:rPr>
          <w:color w:val="231F1F"/>
          <w:spacing w:val="-8"/>
          <w:w w:val="110"/>
        </w:rPr>
        <w:t> </w:t>
      </w:r>
      <w:r>
        <w:rPr>
          <w:color w:val="231F1F"/>
          <w:w w:val="110"/>
        </w:rPr>
        <w:t>by</w:t>
      </w:r>
      <w:r>
        <w:rPr>
          <w:color w:val="231F1F"/>
          <w:spacing w:val="-7"/>
          <w:w w:val="110"/>
        </w:rPr>
        <w:t> </w:t>
      </w:r>
      <w:r>
        <w:rPr>
          <w:rFonts w:ascii="Calibri" w:hAnsi="Calibri"/>
          <w:color w:val="008356"/>
          <w:spacing w:val="3"/>
          <w:w w:val="110"/>
          <w:sz w:val="11"/>
        </w:rPr>
        <w:t>ANTACIDS </w:t>
      </w:r>
      <w:r>
        <w:rPr>
          <w:color w:val="231F1F"/>
          <w:spacing w:val="-3"/>
          <w:w w:val="110"/>
        </w:rPr>
        <w:t>(give </w:t>
      </w:r>
      <w:r>
        <w:rPr>
          <w:color w:val="231F1F"/>
          <w:w w:val="110"/>
        </w:rPr>
        <w:t>at least 2 hours before or 1 hour after</w:t>
      </w:r>
      <w:r>
        <w:rPr>
          <w:color w:val="231F1F"/>
          <w:spacing w:val="10"/>
          <w:w w:val="110"/>
        </w:rPr>
        <w:t> </w:t>
      </w:r>
      <w:r>
        <w:rPr>
          <w:color w:val="231F1F"/>
          <w:w w:val="110"/>
        </w:rPr>
        <w:t>antacids)</w:t>
      </w:r>
    </w:p>
    <w:p>
      <w:pPr>
        <w:spacing w:before="4"/>
        <w:ind w:left="286" w:right="0" w:hanging="100"/>
        <w:jc w:val="left"/>
        <w:rPr>
          <w:rFonts w:ascii="Calibri"/>
          <w:sz w:val="11"/>
        </w:rPr>
      </w:pPr>
      <w:r>
        <w:rPr>
          <w:rFonts w:ascii="Arial"/>
          <w:color w:val="231F1F"/>
          <w:w w:val="355"/>
          <w:position w:val="1"/>
          <w:sz w:val="7"/>
        </w:rPr>
        <w:t>l</w:t>
      </w:r>
      <w:r>
        <w:rPr>
          <w:rFonts w:ascii="Arial"/>
          <w:color w:val="231F1F"/>
          <w:spacing w:val="-32"/>
          <w:w w:val="355"/>
          <w:position w:val="1"/>
          <w:sz w:val="7"/>
        </w:rPr>
        <w:t> </w:t>
      </w:r>
      <w:r>
        <w:rPr>
          <w:rFonts w:ascii="Calibri"/>
          <w:color w:val="231F1F"/>
          <w:w w:val="110"/>
          <w:sz w:val="12"/>
        </w:rPr>
        <w:t>Anti-arrhythmics: </w:t>
      </w:r>
      <w:r>
        <w:rPr>
          <w:color w:val="231F1F"/>
          <w:w w:val="110"/>
          <w:sz w:val="12"/>
        </w:rPr>
        <w:t>atazanavir possibly increases </w:t>
      </w:r>
      <w:r>
        <w:rPr>
          <w:color w:val="231F1F"/>
          <w:spacing w:val="-3"/>
          <w:w w:val="110"/>
          <w:sz w:val="12"/>
        </w:rPr>
        <w:t>plasma </w:t>
      </w:r>
      <w:r>
        <w:rPr>
          <w:color w:val="231F1F"/>
          <w:w w:val="110"/>
          <w:sz w:val="12"/>
        </w:rPr>
        <w:t>concentration</w:t>
      </w:r>
      <w:r>
        <w:rPr>
          <w:color w:val="231F1F"/>
          <w:spacing w:val="-8"/>
          <w:w w:val="110"/>
          <w:sz w:val="12"/>
        </w:rPr>
        <w:t> </w:t>
      </w:r>
      <w:r>
        <w:rPr>
          <w:color w:val="231F1F"/>
          <w:w w:val="110"/>
          <w:sz w:val="12"/>
        </w:rPr>
        <w:t>of</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AMIODARONE </w:t>
      </w:r>
      <w:r>
        <w:rPr>
          <w:color w:val="231F1F"/>
          <w:w w:val="110"/>
          <w:sz w:val="12"/>
        </w:rPr>
        <w:t>and</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5"/>
          <w:w w:val="110"/>
          <w:sz w:val="11"/>
        </w:rPr>
        <w:t>LIDOCAINE</w:t>
      </w:r>
    </w:p>
    <w:p>
      <w:pPr>
        <w:pStyle w:val="BodyText"/>
        <w:spacing w:line="244" w:lineRule="auto"/>
        <w:ind w:left="286" w:right="91" w:hanging="100"/>
        <w:rPr>
          <w:rFonts w:ascii="Calibri" w:hAnsi="Calibri"/>
          <w:sz w:val="11"/>
        </w:rPr>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both drugs increased when atazanavir given with </w:t>
      </w:r>
      <w:r>
        <w:rPr>
          <w:rFonts w:ascii="Calibri" w:hAnsi="Calibri"/>
          <w:color w:val="008356"/>
          <w:spacing w:val="4"/>
          <w:w w:val="110"/>
          <w:sz w:val="11"/>
        </w:rPr>
        <w:t>CLARITHROMYCIN</w:t>
      </w:r>
      <w:r>
        <w:rPr>
          <w:color w:val="231F1F"/>
          <w:spacing w:val="4"/>
          <w:w w:val="110"/>
        </w:rPr>
        <w:t>; </w:t>
      </w:r>
      <w:r>
        <w:rPr>
          <w:color w:val="231F1F"/>
          <w:w w:val="110"/>
        </w:rPr>
        <w:t>atazanavir increases plasma concentration of </w:t>
      </w:r>
      <w:r>
        <w:rPr>
          <w:rFonts w:ascii="Arial" w:hAnsi="Arial"/>
          <w:color w:val="231F1F"/>
          <w:w w:val="355"/>
          <w:position w:val="1"/>
          <w:sz w:val="7"/>
        </w:rPr>
        <w:t>l </w:t>
      </w:r>
      <w:r>
        <w:rPr>
          <w:rFonts w:ascii="Calibri" w:hAnsi="Calibri"/>
          <w:color w:val="008356"/>
          <w:spacing w:val="4"/>
          <w:w w:val="110"/>
          <w:sz w:val="11"/>
        </w:rPr>
        <w:t>RIFABUTIN </w:t>
      </w:r>
      <w:r>
        <w:rPr>
          <w:color w:val="231F1F"/>
          <w:w w:val="110"/>
        </w:rPr>
        <w:t>(reduce dose of rifabutin);  plasma concentration of atazanavir reduced </w:t>
      </w:r>
      <w:r>
        <w:rPr>
          <w:color w:val="231F1F"/>
          <w:spacing w:val="-7"/>
          <w:w w:val="110"/>
        </w:rPr>
        <w:t>by  </w:t>
      </w:r>
      <w:r>
        <w:rPr>
          <w:rFonts w:ascii="Arial" w:hAnsi="Arial"/>
          <w:color w:val="231F1F"/>
          <w:w w:val="355"/>
          <w:position w:val="1"/>
          <w:sz w:val="7"/>
        </w:rPr>
        <w:t>l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avoidance of concomitant atazanavir in severe renal and hepatic impairment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TELITHROMYCIN</w:t>
      </w:r>
    </w:p>
    <w:p>
      <w:pPr>
        <w:pStyle w:val="BodyText"/>
        <w:spacing w:line="23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atazanavir may enhance or reduce anticoagulant effect of </w:t>
      </w:r>
      <w:r>
        <w:rPr>
          <w:rFonts w:ascii="Calibri" w:hAnsi="Calibri"/>
          <w:color w:val="008356"/>
          <w:w w:val="110"/>
          <w:sz w:val="11"/>
        </w:rPr>
        <w:t>WARFARIN</w:t>
      </w:r>
      <w:r>
        <w:rPr>
          <w:color w:val="231F1F"/>
          <w:w w:val="110"/>
        </w:rPr>
        <w:t>; avoidance of atazanavir advised by manufacturer of </w:t>
      </w:r>
      <w:r>
        <w:rPr>
          <w:rFonts w:ascii="Calibri" w:hAnsi="Calibri"/>
          <w:color w:val="008356"/>
          <w:w w:val="110"/>
          <w:sz w:val="11"/>
        </w:rPr>
        <w:t>APIXABAN </w:t>
      </w:r>
      <w:r>
        <w:rPr>
          <w:color w:val="231F1F"/>
          <w:w w:val="110"/>
        </w:rPr>
        <w:t>and </w:t>
      </w:r>
      <w:r>
        <w:rPr>
          <w:rFonts w:ascii="Calibri" w:hAnsi="Calibri"/>
          <w:color w:val="008356"/>
          <w:w w:val="110"/>
          <w:sz w:val="11"/>
        </w:rPr>
        <w:t>RIVAROXABAN</w:t>
      </w:r>
    </w:p>
    <w:p>
      <w:pPr>
        <w:pStyle w:val="BodyText"/>
        <w:ind w:left="286" w:right="76"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atazanavir </w:t>
      </w:r>
      <w:r>
        <w:rPr>
          <w:color w:val="231F1F"/>
          <w:spacing w:val="-3"/>
          <w:w w:val="110"/>
        </w:rPr>
        <w:t>reduced </w:t>
      </w:r>
      <w:r>
        <w:rPr>
          <w:color w:val="231F1F"/>
          <w:w w:val="110"/>
        </w:rPr>
        <w:t>by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pStyle w:val="BodyText"/>
        <w:spacing w:line="242" w:lineRule="auto"/>
        <w:ind w:left="286" w:right="89" w:hanging="100"/>
      </w:pPr>
      <w:r>
        <w:rPr>
          <w:rFonts w:ascii="Arial"/>
          <w:color w:val="231F1F"/>
          <w:w w:val="355"/>
          <w:position w:val="1"/>
          <w:sz w:val="7"/>
        </w:rPr>
        <w:t>l </w:t>
      </w:r>
      <w:r>
        <w:rPr>
          <w:rFonts w:ascii="Calibri"/>
          <w:color w:val="231F1F"/>
          <w:w w:val="110"/>
        </w:rPr>
        <w:t>Antifungals: </w:t>
      </w:r>
      <w:r>
        <w:rPr>
          <w:color w:val="231F1F"/>
          <w:w w:val="110"/>
        </w:rPr>
        <w:t>plasma concentration of atazanavir increased by </w:t>
      </w:r>
      <w:r>
        <w:rPr>
          <w:rFonts w:ascii="Arial"/>
          <w:color w:val="231F1F"/>
          <w:w w:val="355"/>
          <w:position w:val="1"/>
          <w:sz w:val="7"/>
        </w:rPr>
        <w:t>l </w:t>
      </w:r>
      <w:r>
        <w:rPr>
          <w:rFonts w:ascii="Calibri"/>
          <w:color w:val="008356"/>
          <w:w w:val="110"/>
          <w:sz w:val="11"/>
        </w:rPr>
        <w:t>POSACONAZOLE</w:t>
      </w:r>
      <w:r>
        <w:rPr>
          <w:color w:val="231F1F"/>
          <w:w w:val="110"/>
        </w:rPr>
        <w:t>; atazanavir increases or decreases the plasma concentration of </w:t>
      </w:r>
      <w:r>
        <w:rPr>
          <w:rFonts w:ascii="Arial"/>
          <w:color w:val="231F1F"/>
          <w:w w:val="355"/>
          <w:position w:val="1"/>
          <w:sz w:val="7"/>
        </w:rPr>
        <w:t>l </w:t>
      </w:r>
      <w:r>
        <w:rPr>
          <w:rFonts w:ascii="Calibri"/>
          <w:color w:val="008356"/>
          <w:w w:val="110"/>
          <w:sz w:val="11"/>
        </w:rPr>
        <w:t>VORICONAZOLE </w:t>
      </w:r>
      <w:r>
        <w:rPr>
          <w:color w:val="231F1F"/>
          <w:w w:val="110"/>
        </w:rPr>
        <w:t>and plasma concentration of atazanavir also reduced</w:t>
      </w:r>
    </w:p>
    <w:p>
      <w:pPr>
        <w:spacing w:line="242" w:lineRule="auto" w:before="0"/>
        <w:ind w:left="286" w:right="76"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caution with atazanavir advised by </w:t>
      </w:r>
      <w:r>
        <w:rPr>
          <w:color w:val="231F1F"/>
          <w:w w:val="105"/>
          <w:sz w:val="12"/>
        </w:rPr>
        <w:t>manufacturer of </w:t>
      </w:r>
      <w:r>
        <w:rPr>
          <w:rFonts w:ascii="Calibri"/>
          <w:color w:val="008356"/>
          <w:w w:val="105"/>
          <w:sz w:val="11"/>
        </w:rPr>
        <w:t>ARTEMETHER WITH LUMEFANTRINE</w:t>
      </w:r>
      <w:r>
        <w:rPr>
          <w:color w:val="231F1F"/>
          <w:w w:val="105"/>
          <w:sz w:val="12"/>
        </w:rPr>
        <w:t>; atazanavir </w:t>
      </w:r>
      <w:r>
        <w:rPr>
          <w:color w:val="231F1F"/>
          <w:w w:val="110"/>
          <w:sz w:val="12"/>
        </w:rPr>
        <w:t>possibly increases plasma concentration of </w:t>
      </w:r>
      <w:r>
        <w:rPr>
          <w:rFonts w:ascii="Arial"/>
          <w:color w:val="231F1F"/>
          <w:w w:val="355"/>
          <w:position w:val="1"/>
          <w:sz w:val="7"/>
        </w:rPr>
        <w:t>l </w:t>
      </w:r>
      <w:r>
        <w:rPr>
          <w:rFonts w:ascii="Calibri"/>
          <w:color w:val="008356"/>
          <w:w w:val="110"/>
          <w:sz w:val="11"/>
        </w:rPr>
        <w:t>QUININE </w:t>
      </w:r>
      <w:r>
        <w:rPr>
          <w:color w:val="231F1F"/>
          <w:w w:val="110"/>
          <w:sz w:val="12"/>
        </w:rPr>
        <w:t>(increased risk of toxicity)</w:t>
      </w:r>
    </w:p>
    <w:p>
      <w:pPr>
        <w:pStyle w:val="BodyText"/>
        <w:spacing w:line="237" w:lineRule="auto"/>
        <w:ind w:left="286" w:hanging="100"/>
      </w:pPr>
      <w:r>
        <w:rPr>
          <w:rFonts w:ascii="Lucida Sans Unicode" w:hAnsi="Lucida Sans Unicode"/>
          <w:color w:val="A7A8AC"/>
          <w:w w:val="95"/>
          <w:sz w:val="10"/>
        </w:rPr>
        <w:t>▶ </w:t>
      </w:r>
      <w:r>
        <w:rPr>
          <w:rFonts w:ascii="Calibri" w:hAnsi="Calibri"/>
          <w:color w:val="231F1F"/>
          <w:w w:val="110"/>
        </w:rPr>
        <w:t>Antimuscarinics: </w:t>
      </w:r>
      <w:r>
        <w:rPr>
          <w:color w:val="231F1F"/>
          <w:w w:val="110"/>
        </w:rPr>
        <w:t>avoidance of atazanavir advised by manufacturer of </w:t>
      </w:r>
      <w:r>
        <w:rPr>
          <w:rFonts w:ascii="Calibri" w:hAnsi="Calibri"/>
          <w:color w:val="008356"/>
          <w:w w:val="110"/>
          <w:sz w:val="11"/>
        </w:rPr>
        <w:t>DARIFENACIN</w:t>
      </w:r>
      <w:r>
        <w:rPr>
          <w:color w:val="231F1F"/>
          <w:w w:val="110"/>
        </w:rPr>
        <w:t>; manufacturer of fesoterodine advises dose reduction when atazanavir given with </w:t>
      </w:r>
      <w:r>
        <w:rPr>
          <w:rFonts w:ascii="Calibri" w:hAnsi="Calibri"/>
          <w:color w:val="008356"/>
          <w:w w:val="110"/>
          <w:sz w:val="11"/>
        </w:rPr>
        <w:t>FESOTERODINE</w:t>
      </w:r>
      <w:r>
        <w:rPr>
          <w:rFonts w:ascii="Arial" w:hAnsi="Arial"/>
          <w:color w:val="231F1F"/>
          <w:w w:val="110"/>
        </w:rPr>
        <w:t>—</w:t>
      </w:r>
      <w:r>
        <w:rPr>
          <w:color w:val="231F1F"/>
          <w:w w:val="110"/>
        </w:rPr>
        <w:t>consult fesoterodine product literature</w:t>
      </w:r>
    </w:p>
    <w:p>
      <w:pPr>
        <w:pStyle w:val="BodyText"/>
        <w:spacing w:before="7"/>
        <w:ind w:left="0"/>
        <w:rPr>
          <w:sz w:val="14"/>
        </w:rPr>
      </w:pPr>
      <w:r>
        <w:rPr/>
        <w:br w:type="column"/>
      </w:r>
      <w:r>
        <w:rPr>
          <w:sz w:val="14"/>
        </w:rPr>
      </w:r>
    </w:p>
    <w:p>
      <w:pPr>
        <w:pStyle w:val="BodyText"/>
        <w:spacing w:line="144" w:lineRule="exact"/>
        <w:ind w:left="183"/>
        <w:rPr>
          <w:rFonts w:ascii="Calibri"/>
        </w:rPr>
      </w:pPr>
      <w:r>
        <w:rPr>
          <w:rFonts w:ascii="Arial"/>
          <w:color w:val="008356"/>
        </w:rPr>
        <w:t>Atazanavir </w:t>
      </w:r>
      <w:r>
        <w:rPr>
          <w:rFonts w:ascii="Calibri"/>
          <w:color w:val="231F1F"/>
        </w:rPr>
        <w:t>(continued)</w:t>
      </w:r>
    </w:p>
    <w:p>
      <w:pPr>
        <w:pStyle w:val="BodyText"/>
        <w:spacing w:line="244" w:lineRule="auto"/>
        <w:ind w:left="282" w:right="919" w:hanging="100"/>
      </w:pPr>
      <w:r>
        <w:rPr>
          <w:rFonts w:ascii="Arial" w:hAnsi="Arial"/>
          <w:color w:val="231F1F"/>
          <w:w w:val="210"/>
          <w:position w:val="1"/>
          <w:sz w:val="7"/>
        </w:rPr>
        <w:t>l </w:t>
      </w:r>
      <w:r>
        <w:rPr>
          <w:rFonts w:ascii="Calibri" w:hAnsi="Calibri"/>
          <w:color w:val="231F1F"/>
          <w:w w:val="120"/>
        </w:rPr>
        <w:t>Antipsychotics: </w:t>
      </w:r>
      <w:r>
        <w:rPr>
          <w:color w:val="231F1F"/>
          <w:w w:val="120"/>
        </w:rPr>
        <w:t>atazanavir possibly increases plasma concentration of </w:t>
      </w:r>
      <w:r>
        <w:rPr>
          <w:rFonts w:ascii="Arial" w:hAnsi="Arial"/>
          <w:color w:val="231F1F"/>
          <w:w w:val="355"/>
          <w:position w:val="1"/>
          <w:sz w:val="7"/>
        </w:rPr>
        <w:t>l </w:t>
      </w:r>
      <w:r>
        <w:rPr>
          <w:rFonts w:ascii="Calibri" w:hAnsi="Calibri"/>
          <w:color w:val="008356"/>
          <w:w w:val="120"/>
          <w:sz w:val="11"/>
        </w:rPr>
        <w:t>ARIPIPRAZOLE </w:t>
      </w:r>
      <w:r>
        <w:rPr>
          <w:color w:val="231F1F"/>
          <w:w w:val="120"/>
        </w:rPr>
        <w:t>(reduce dose of </w:t>
      </w:r>
      <w:r>
        <w:rPr>
          <w:color w:val="231F1F"/>
          <w:w w:val="115"/>
        </w:rPr>
        <w:t>aripiprazole</w:t>
      </w:r>
      <w:r>
        <w:rPr>
          <w:rFonts w:ascii="Arial" w:hAnsi="Arial"/>
          <w:color w:val="231F1F"/>
          <w:w w:val="115"/>
        </w:rPr>
        <w:t>—</w:t>
      </w:r>
      <w:r>
        <w:rPr>
          <w:color w:val="231F1F"/>
          <w:w w:val="115"/>
        </w:rPr>
        <w:t>consult aripiprazole product literature); atazanavir possibly increases plasma concentration of</w:t>
      </w:r>
    </w:p>
    <w:p>
      <w:pPr>
        <w:pStyle w:val="BodyText"/>
        <w:ind w:left="282" w:right="720"/>
      </w:pPr>
      <w:r>
        <w:rPr>
          <w:rFonts w:ascii="Arial" w:hAnsi="Arial"/>
          <w:color w:val="231F1F"/>
          <w:w w:val="355"/>
          <w:position w:val="1"/>
          <w:sz w:val="7"/>
        </w:rPr>
        <w:t>l </w:t>
      </w:r>
      <w:r>
        <w:rPr>
          <w:rFonts w:ascii="Calibri" w:hAnsi="Calibri"/>
          <w:color w:val="008356"/>
          <w:w w:val="110"/>
          <w:sz w:val="11"/>
        </w:rPr>
        <w:t>PIMOZIDE</w:t>
      </w:r>
      <w:r>
        <w:rPr>
          <w:rFonts w:ascii="Arial" w:hAnsi="Arial"/>
          <w:color w:val="231F1F"/>
          <w:w w:val="110"/>
        </w:rPr>
        <w:t>—</w:t>
      </w:r>
      <w:r>
        <w:rPr>
          <w:color w:val="231F1F"/>
          <w:w w:val="110"/>
        </w:rPr>
        <w:t>avoid concomitant use; atazanavir possibly increases plasma concentration of </w:t>
      </w:r>
      <w:r>
        <w:rPr>
          <w:rFonts w:ascii="Arial" w:hAnsi="Arial"/>
          <w:color w:val="231F1F"/>
          <w:w w:val="355"/>
          <w:position w:val="1"/>
          <w:sz w:val="7"/>
        </w:rPr>
        <w:t>l </w:t>
      </w:r>
      <w:r>
        <w:rPr>
          <w:rFonts w:ascii="Calibri" w:hAnsi="Calibri"/>
          <w:color w:val="008356"/>
          <w:w w:val="110"/>
          <w:sz w:val="11"/>
        </w:rPr>
        <w:t>QUETIAPINE</w:t>
      </w:r>
      <w:r>
        <w:rPr>
          <w:rFonts w:ascii="Arial" w:hAnsi="Arial"/>
          <w:color w:val="231F1F"/>
          <w:w w:val="110"/>
        </w:rPr>
        <w:t>— </w:t>
      </w:r>
      <w:r>
        <w:rPr>
          <w:color w:val="231F1F"/>
          <w:w w:val="110"/>
        </w:rPr>
        <w:t>manufacturer of quetiapine advises avoid concomitant use</w:t>
      </w:r>
    </w:p>
    <w:p>
      <w:pPr>
        <w:pStyle w:val="BodyText"/>
        <w:spacing w:line="146" w:lineRule="exact" w:before="2"/>
        <w:ind w:left="183"/>
      </w:pPr>
      <w:r>
        <w:rPr>
          <w:rFonts w:ascii="Arial"/>
          <w:color w:val="231F1F"/>
          <w:w w:val="355"/>
          <w:position w:val="1"/>
          <w:sz w:val="7"/>
        </w:rPr>
        <w:t>l </w:t>
      </w:r>
      <w:r>
        <w:rPr>
          <w:rFonts w:ascii="Calibri"/>
          <w:color w:val="231F1F"/>
          <w:w w:val="115"/>
        </w:rPr>
        <w:t>Antivirals: </w:t>
      </w:r>
      <w:r>
        <w:rPr>
          <w:color w:val="231F1F"/>
          <w:w w:val="115"/>
        </w:rPr>
        <w:t>plasma concentration of atazanavir reduced by</w:t>
      </w:r>
    </w:p>
    <w:p>
      <w:pPr>
        <w:pStyle w:val="BodyText"/>
        <w:spacing w:line="244" w:lineRule="auto"/>
        <w:ind w:left="282" w:right="574"/>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BOCEPREVIR</w:t>
      </w:r>
      <w:r>
        <w:rPr>
          <w:color w:val="231F1F"/>
          <w:spacing w:val="4"/>
          <w:w w:val="115"/>
        </w:rPr>
        <w:t>;</w:t>
      </w:r>
      <w:r>
        <w:rPr>
          <w:color w:val="231F1F"/>
          <w:spacing w:val="-12"/>
          <w:w w:val="115"/>
        </w:rPr>
        <w:t> </w:t>
      </w:r>
      <w:r>
        <w:rPr>
          <w:color w:val="231F1F"/>
          <w:w w:val="115"/>
        </w:rPr>
        <w:t>atazanavir</w:t>
      </w:r>
      <w:r>
        <w:rPr>
          <w:color w:val="231F1F"/>
          <w:spacing w:val="-14"/>
          <w:w w:val="115"/>
        </w:rPr>
        <w:t> </w:t>
      </w:r>
      <w:r>
        <w:rPr>
          <w:color w:val="231F1F"/>
          <w:w w:val="115"/>
        </w:rPr>
        <w:t>increases</w:t>
      </w:r>
      <w:r>
        <w:rPr>
          <w:color w:val="231F1F"/>
          <w:spacing w:val="-13"/>
          <w:w w:val="115"/>
        </w:rPr>
        <w:t> </w:t>
      </w:r>
      <w:r>
        <w:rPr>
          <w:color w:val="231F1F"/>
          <w:w w:val="130"/>
        </w:rPr>
        <w:t>the</w:t>
      </w:r>
      <w:r>
        <w:rPr>
          <w:color w:val="231F1F"/>
          <w:spacing w:val="-17"/>
          <w:w w:val="130"/>
        </w:rPr>
        <w:t> </w:t>
      </w:r>
      <w:r>
        <w:rPr>
          <w:color w:val="231F1F"/>
          <w:w w:val="115"/>
        </w:rPr>
        <w:t>plasma</w:t>
      </w:r>
      <w:r>
        <w:rPr>
          <w:color w:val="231F1F"/>
          <w:spacing w:val="-12"/>
          <w:w w:val="115"/>
        </w:rPr>
        <w:t> </w:t>
      </w:r>
      <w:r>
        <w:rPr>
          <w:color w:val="231F1F"/>
          <w:w w:val="115"/>
        </w:rPr>
        <w:t>concentration of </w:t>
      </w:r>
      <w:r>
        <w:rPr>
          <w:rFonts w:ascii="Arial" w:hAnsi="Arial"/>
          <w:color w:val="231F1F"/>
          <w:w w:val="355"/>
          <w:position w:val="1"/>
          <w:sz w:val="7"/>
        </w:rPr>
        <w:t>l </w:t>
      </w:r>
      <w:r>
        <w:rPr>
          <w:rFonts w:ascii="Calibri" w:hAnsi="Calibri"/>
          <w:color w:val="008356"/>
          <w:spacing w:val="2"/>
          <w:w w:val="115"/>
          <w:sz w:val="11"/>
        </w:rPr>
        <w:t>DACLATASVIR</w:t>
      </w:r>
      <w:r>
        <w:rPr>
          <w:rFonts w:ascii="Arial" w:hAnsi="Arial"/>
          <w:color w:val="231F1F"/>
          <w:spacing w:val="2"/>
          <w:w w:val="115"/>
        </w:rPr>
        <w:t>—</w:t>
      </w:r>
      <w:r>
        <w:rPr>
          <w:color w:val="231F1F"/>
          <w:spacing w:val="2"/>
          <w:w w:val="115"/>
        </w:rPr>
        <w:t>reduce </w:t>
      </w:r>
      <w:r>
        <w:rPr>
          <w:color w:val="231F1F"/>
          <w:w w:val="115"/>
        </w:rPr>
        <w:t>dose of daclatasvir (see under Daclatasvir, p. 544); absorption of atazanavir reduced by </w:t>
      </w:r>
      <w:r>
        <w:rPr>
          <w:rFonts w:ascii="Calibri" w:hAnsi="Calibri"/>
          <w:color w:val="008356"/>
          <w:spacing w:val="4"/>
          <w:w w:val="115"/>
          <w:sz w:val="11"/>
        </w:rPr>
        <w:t>DIDANOSINE</w:t>
      </w:r>
      <w:r>
        <w:rPr>
          <w:rFonts w:ascii="Calibri" w:hAnsi="Calibri"/>
          <w:color w:val="008356"/>
          <w:spacing w:val="-5"/>
          <w:w w:val="115"/>
          <w:sz w:val="11"/>
        </w:rPr>
        <w:t> </w:t>
      </w:r>
      <w:r>
        <w:rPr>
          <w:i/>
          <w:color w:val="231F1F"/>
          <w:w w:val="115"/>
        </w:rPr>
        <w:t>tablets</w:t>
      </w:r>
      <w:r>
        <w:rPr>
          <w:i/>
          <w:color w:val="231F1F"/>
          <w:spacing w:val="-15"/>
          <w:w w:val="115"/>
        </w:rPr>
        <w:t> </w:t>
      </w:r>
      <w:r>
        <w:rPr>
          <w:color w:val="231F1F"/>
          <w:w w:val="115"/>
        </w:rPr>
        <w:t>(give</w:t>
      </w:r>
      <w:r>
        <w:rPr>
          <w:color w:val="231F1F"/>
          <w:spacing w:val="-15"/>
          <w:w w:val="115"/>
        </w:rPr>
        <w:t> </w:t>
      </w:r>
      <w:r>
        <w:rPr>
          <w:color w:val="231F1F"/>
          <w:w w:val="130"/>
        </w:rPr>
        <w:t>at</w:t>
      </w:r>
      <w:r>
        <w:rPr>
          <w:color w:val="231F1F"/>
          <w:spacing w:val="-19"/>
          <w:w w:val="130"/>
        </w:rPr>
        <w:t> </w:t>
      </w:r>
      <w:r>
        <w:rPr>
          <w:color w:val="231F1F"/>
          <w:w w:val="115"/>
        </w:rPr>
        <w:t>least</w:t>
      </w:r>
      <w:r>
        <w:rPr>
          <w:color w:val="231F1F"/>
          <w:spacing w:val="-16"/>
          <w:w w:val="115"/>
        </w:rPr>
        <w:t> </w:t>
      </w:r>
      <w:r>
        <w:rPr>
          <w:color w:val="231F1F"/>
          <w:w w:val="115"/>
        </w:rPr>
        <w:t>2</w:t>
      </w:r>
      <w:r>
        <w:rPr>
          <w:color w:val="231F1F"/>
          <w:spacing w:val="-15"/>
          <w:w w:val="115"/>
        </w:rPr>
        <w:t> </w:t>
      </w:r>
      <w:r>
        <w:rPr>
          <w:color w:val="231F1F"/>
          <w:w w:val="115"/>
        </w:rPr>
        <w:t>hours</w:t>
      </w:r>
      <w:r>
        <w:rPr>
          <w:color w:val="231F1F"/>
          <w:spacing w:val="-14"/>
          <w:w w:val="115"/>
        </w:rPr>
        <w:t> </w:t>
      </w:r>
      <w:r>
        <w:rPr>
          <w:color w:val="231F1F"/>
          <w:w w:val="115"/>
        </w:rPr>
        <w:t>before</w:t>
      </w:r>
      <w:r>
        <w:rPr>
          <w:color w:val="231F1F"/>
          <w:spacing w:val="-16"/>
          <w:w w:val="115"/>
        </w:rPr>
        <w:t> </w:t>
      </w:r>
      <w:r>
        <w:rPr>
          <w:color w:val="231F1F"/>
          <w:w w:val="115"/>
        </w:rPr>
        <w:t>or</w:t>
      </w:r>
      <w:r>
        <w:rPr>
          <w:color w:val="231F1F"/>
          <w:spacing w:val="-15"/>
          <w:w w:val="115"/>
        </w:rPr>
        <w:t> </w:t>
      </w:r>
      <w:r>
        <w:rPr>
          <w:color w:val="231F1F"/>
          <w:w w:val="115"/>
        </w:rPr>
        <w:t>1</w:t>
      </w:r>
      <w:r>
        <w:rPr>
          <w:color w:val="231F1F"/>
          <w:spacing w:val="-15"/>
          <w:w w:val="115"/>
        </w:rPr>
        <w:t> </w:t>
      </w:r>
      <w:r>
        <w:rPr>
          <w:color w:val="231F1F"/>
          <w:w w:val="115"/>
        </w:rPr>
        <w:t>hour</w:t>
      </w:r>
      <w:r>
        <w:rPr>
          <w:color w:val="231F1F"/>
          <w:spacing w:val="-15"/>
          <w:w w:val="115"/>
        </w:rPr>
        <w:t> </w:t>
      </w:r>
      <w:r>
        <w:rPr>
          <w:color w:val="231F1F"/>
          <w:w w:val="115"/>
        </w:rPr>
        <w:t>after didanosine</w:t>
      </w:r>
      <w:r>
        <w:rPr>
          <w:color w:val="231F1F"/>
          <w:spacing w:val="-10"/>
          <w:w w:val="115"/>
        </w:rPr>
        <w:t> </w:t>
      </w:r>
      <w:r>
        <w:rPr>
          <w:i/>
          <w:color w:val="231F1F"/>
          <w:w w:val="115"/>
        </w:rPr>
        <w:t>tablets</w:t>
      </w:r>
      <w:r>
        <w:rPr>
          <w:color w:val="231F1F"/>
          <w:w w:val="115"/>
        </w:rPr>
        <w:t>);</w:t>
      </w:r>
      <w:r>
        <w:rPr>
          <w:color w:val="231F1F"/>
          <w:spacing w:val="-8"/>
          <w:w w:val="115"/>
        </w:rPr>
        <w:t> </w:t>
      </w:r>
      <w:r>
        <w:rPr>
          <w:color w:val="231F1F"/>
          <w:w w:val="115"/>
        </w:rPr>
        <w:t>manufacturer</w:t>
      </w:r>
      <w:r>
        <w:rPr>
          <w:color w:val="231F1F"/>
          <w:spacing w:val="-11"/>
          <w:w w:val="115"/>
        </w:rPr>
        <w:t> </w:t>
      </w:r>
      <w:r>
        <w:rPr>
          <w:color w:val="231F1F"/>
          <w:w w:val="115"/>
        </w:rPr>
        <w:t>of</w:t>
      </w:r>
      <w:r>
        <w:rPr>
          <w:color w:val="231F1F"/>
          <w:spacing w:val="-8"/>
          <w:w w:val="115"/>
        </w:rPr>
        <w:t> </w:t>
      </w:r>
      <w:r>
        <w:rPr>
          <w:color w:val="231F1F"/>
          <w:w w:val="115"/>
        </w:rPr>
        <w:t>atazanavir</w:t>
      </w:r>
      <w:r>
        <w:rPr>
          <w:color w:val="231F1F"/>
          <w:spacing w:val="-9"/>
          <w:w w:val="115"/>
        </w:rPr>
        <w:t> </w:t>
      </w:r>
      <w:r>
        <w:rPr>
          <w:color w:val="231F1F"/>
          <w:w w:val="115"/>
        </w:rPr>
        <w:t>advises</w:t>
      </w:r>
      <w:r>
        <w:rPr>
          <w:color w:val="231F1F"/>
          <w:spacing w:val="-9"/>
          <w:w w:val="115"/>
        </w:rPr>
        <w:t> </w:t>
      </w:r>
      <w:r>
        <w:rPr>
          <w:color w:val="231F1F"/>
          <w:w w:val="115"/>
        </w:rPr>
        <w:t>avoid concomitant use with </w:t>
      </w:r>
      <w:r>
        <w:rPr>
          <w:rFonts w:ascii="Arial" w:hAnsi="Arial"/>
          <w:color w:val="231F1F"/>
          <w:w w:val="355"/>
          <w:position w:val="1"/>
          <w:sz w:val="7"/>
        </w:rPr>
        <w:t>l </w:t>
      </w:r>
      <w:r>
        <w:rPr>
          <w:rFonts w:ascii="Calibri" w:hAnsi="Calibri"/>
          <w:color w:val="008356"/>
          <w:spacing w:val="3"/>
          <w:w w:val="115"/>
          <w:sz w:val="11"/>
        </w:rPr>
        <w:t>EFAVIRENZ </w:t>
      </w:r>
      <w:r>
        <w:rPr>
          <w:color w:val="231F1F"/>
          <w:w w:val="115"/>
        </w:rPr>
        <w:t>(plasma concentration of atazanavir reduced); atazanavir boosted with ritonavir increases plasma concentration of </w:t>
      </w:r>
      <w:r>
        <w:rPr>
          <w:rFonts w:ascii="Arial" w:hAnsi="Arial"/>
          <w:color w:val="231F1F"/>
          <w:w w:val="355"/>
          <w:position w:val="1"/>
          <w:sz w:val="7"/>
        </w:rPr>
        <w:t>l </w:t>
      </w:r>
      <w:r>
        <w:rPr>
          <w:rFonts w:ascii="Calibri" w:hAnsi="Calibri"/>
          <w:color w:val="008356"/>
          <w:spacing w:val="3"/>
          <w:w w:val="115"/>
          <w:sz w:val="11"/>
        </w:rPr>
        <w:t>ELVITEGRAVIR </w:t>
      </w:r>
      <w:r>
        <w:rPr>
          <w:color w:val="231F1F"/>
          <w:w w:val="115"/>
        </w:rPr>
        <w:t>(reduce dose of elvitegravir); avoid concomitant use of atazanavir with</w:t>
      </w:r>
      <w:r>
        <w:rPr>
          <w:color w:val="231F1F"/>
          <w:spacing w:val="-11"/>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5"/>
          <w:sz w:val="11"/>
        </w:rPr>
        <w:t>INDINAVIR</w:t>
      </w:r>
      <w:r>
        <w:rPr>
          <w:color w:val="231F1F"/>
          <w:spacing w:val="3"/>
          <w:w w:val="115"/>
        </w:rPr>
        <w:t>;</w:t>
      </w:r>
      <w:r>
        <w:rPr>
          <w:color w:val="231F1F"/>
          <w:spacing w:val="-9"/>
          <w:w w:val="115"/>
        </w:rPr>
        <w:t> </w:t>
      </w:r>
      <w:r>
        <w:rPr>
          <w:color w:val="231F1F"/>
          <w:w w:val="115"/>
        </w:rPr>
        <w:t>atazanavir</w:t>
      </w:r>
      <w:r>
        <w:rPr>
          <w:color w:val="231F1F"/>
          <w:spacing w:val="-9"/>
          <w:w w:val="115"/>
        </w:rPr>
        <w:t> </w:t>
      </w:r>
      <w:r>
        <w:rPr>
          <w:color w:val="231F1F"/>
          <w:w w:val="115"/>
        </w:rPr>
        <w:t>increases</w:t>
      </w:r>
      <w:r>
        <w:rPr>
          <w:color w:val="231F1F"/>
          <w:spacing w:val="-10"/>
          <w:w w:val="115"/>
        </w:rPr>
        <w:t> </w:t>
      </w:r>
      <w:r>
        <w:rPr>
          <w:color w:val="231F1F"/>
          <w:w w:val="115"/>
        </w:rPr>
        <w:t>plasma</w:t>
      </w:r>
      <w:r>
        <w:rPr>
          <w:color w:val="231F1F"/>
          <w:spacing w:val="-10"/>
          <w:w w:val="115"/>
        </w:rPr>
        <w:t> </w:t>
      </w:r>
      <w:r>
        <w:rPr>
          <w:color w:val="231F1F"/>
          <w:w w:val="115"/>
        </w:rPr>
        <w:t>concentration of</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MARAVIROC</w:t>
      </w:r>
      <w:r>
        <w:rPr>
          <w:rFonts w:ascii="Calibri" w:hAnsi="Calibri"/>
          <w:color w:val="008356"/>
          <w:spacing w:val="-13"/>
          <w:w w:val="115"/>
          <w:sz w:val="11"/>
        </w:rPr>
        <w:t> </w:t>
      </w:r>
      <w:r>
        <w:rPr>
          <w:color w:val="231F1F"/>
          <w:w w:val="115"/>
        </w:rPr>
        <w:t>(consider</w:t>
      </w:r>
      <w:r>
        <w:rPr>
          <w:color w:val="231F1F"/>
          <w:spacing w:val="-22"/>
          <w:w w:val="115"/>
        </w:rPr>
        <w:t> </w:t>
      </w:r>
      <w:r>
        <w:rPr>
          <w:color w:val="231F1F"/>
          <w:w w:val="115"/>
        </w:rPr>
        <w:t>reducing</w:t>
      </w:r>
      <w:r>
        <w:rPr>
          <w:color w:val="231F1F"/>
          <w:spacing w:val="-22"/>
          <w:w w:val="115"/>
        </w:rPr>
        <w:t> </w:t>
      </w:r>
      <w:r>
        <w:rPr>
          <w:color w:val="231F1F"/>
          <w:w w:val="115"/>
        </w:rPr>
        <w:t>dose</w:t>
      </w:r>
      <w:r>
        <w:rPr>
          <w:color w:val="231F1F"/>
          <w:spacing w:val="-22"/>
          <w:w w:val="115"/>
        </w:rPr>
        <w:t> </w:t>
      </w:r>
      <w:r>
        <w:rPr>
          <w:color w:val="231F1F"/>
          <w:w w:val="115"/>
        </w:rPr>
        <w:t>of</w:t>
      </w:r>
      <w:r>
        <w:rPr>
          <w:color w:val="231F1F"/>
          <w:spacing w:val="-22"/>
          <w:w w:val="115"/>
        </w:rPr>
        <w:t> </w:t>
      </w:r>
      <w:r>
        <w:rPr>
          <w:color w:val="231F1F"/>
          <w:w w:val="115"/>
        </w:rPr>
        <w:t>maraviroc);</w:t>
      </w:r>
      <w:r>
        <w:rPr>
          <w:color w:val="231F1F"/>
          <w:spacing w:val="-22"/>
          <w:w w:val="115"/>
        </w:rPr>
        <w:t> </w:t>
      </w:r>
      <w:r>
        <w:rPr>
          <w:color w:val="231F1F"/>
          <w:w w:val="115"/>
        </w:rPr>
        <w:t>plasma concentration of atazanavir possibly reduced</w:t>
      </w:r>
      <w:r>
        <w:rPr>
          <w:color w:val="231F1F"/>
          <w:spacing w:val="-21"/>
          <w:w w:val="115"/>
        </w:rPr>
        <w:t> </w:t>
      </w:r>
      <w:r>
        <w:rPr>
          <w:color w:val="231F1F"/>
          <w:w w:val="115"/>
        </w:rPr>
        <w:t>by</w:t>
      </w:r>
    </w:p>
    <w:p>
      <w:pPr>
        <w:pStyle w:val="BodyText"/>
        <w:spacing w:before="6"/>
        <w:ind w:left="282" w:right="936"/>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NEVIRAPINE</w:t>
      </w:r>
      <w:r>
        <w:rPr>
          <w:rFonts w:ascii="Arial" w:hAnsi="Arial"/>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3"/>
          <w:w w:val="115"/>
        </w:rPr>
        <w:t> </w:t>
      </w:r>
      <w:r>
        <w:rPr>
          <w:color w:val="231F1F"/>
          <w:w w:val="115"/>
        </w:rPr>
        <w:t>use;</w:t>
      </w:r>
      <w:r>
        <w:rPr>
          <w:color w:val="231F1F"/>
          <w:spacing w:val="-23"/>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 ventricular</w:t>
      </w:r>
      <w:r>
        <w:rPr>
          <w:color w:val="231F1F"/>
          <w:spacing w:val="-5"/>
          <w:w w:val="115"/>
        </w:rPr>
        <w:t> </w:t>
      </w:r>
      <w:r>
        <w:rPr>
          <w:color w:val="231F1F"/>
          <w:w w:val="115"/>
        </w:rPr>
        <w:t>arrhythmias</w:t>
      </w:r>
      <w:r>
        <w:rPr>
          <w:color w:val="231F1F"/>
          <w:spacing w:val="-6"/>
          <w:w w:val="115"/>
        </w:rPr>
        <w:t> </w:t>
      </w:r>
      <w:r>
        <w:rPr>
          <w:color w:val="231F1F"/>
          <w:w w:val="115"/>
        </w:rPr>
        <w:t>when</w:t>
      </w:r>
      <w:r>
        <w:rPr>
          <w:color w:val="231F1F"/>
          <w:spacing w:val="-6"/>
          <w:w w:val="115"/>
        </w:rPr>
        <w:t> </w:t>
      </w:r>
      <w:r>
        <w:rPr>
          <w:color w:val="231F1F"/>
          <w:w w:val="115"/>
        </w:rPr>
        <w:t>atazanavir</w:t>
      </w:r>
      <w:r>
        <w:rPr>
          <w:color w:val="231F1F"/>
          <w:spacing w:val="-5"/>
          <w:w w:val="115"/>
        </w:rPr>
        <w:t> </w:t>
      </w:r>
      <w:r>
        <w:rPr>
          <w:color w:val="231F1F"/>
          <w:w w:val="115"/>
        </w:rPr>
        <w:t>given</w:t>
      </w:r>
      <w:r>
        <w:rPr>
          <w:color w:val="231F1F"/>
          <w:spacing w:val="-5"/>
          <w:w w:val="115"/>
        </w:rPr>
        <w:t> </w:t>
      </w:r>
      <w:r>
        <w:rPr>
          <w:color w:val="231F1F"/>
          <w:w w:val="115"/>
        </w:rPr>
        <w:t>with</w:t>
      </w:r>
    </w:p>
    <w:p>
      <w:pPr>
        <w:pStyle w:val="BodyText"/>
        <w:spacing w:line="244" w:lineRule="auto" w:before="7"/>
        <w:ind w:left="282" w:right="720"/>
      </w:pP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 atazanavir possibly reduces plasma concentration of </w:t>
      </w:r>
      <w:r>
        <w:rPr>
          <w:rFonts w:ascii="Calibri" w:hAnsi="Calibri"/>
          <w:color w:val="008356"/>
          <w:w w:val="110"/>
          <w:sz w:val="11"/>
        </w:rPr>
        <w:t>TELAPREVIR</w:t>
      </w:r>
      <w:r>
        <w:rPr>
          <w:color w:val="231F1F"/>
          <w:w w:val="110"/>
        </w:rPr>
        <w:t>, also plasma concentration of atazanavir possibly increased; plasma concentration of atazanavir reduced by </w:t>
      </w:r>
      <w:r>
        <w:rPr>
          <w:rFonts w:ascii="Calibri" w:hAnsi="Calibri"/>
          <w:color w:val="008356"/>
          <w:w w:val="110"/>
          <w:sz w:val="11"/>
        </w:rPr>
        <w:t>TENOFOVIR</w:t>
      </w:r>
      <w:r>
        <w:rPr>
          <w:color w:val="231F1F"/>
          <w:w w:val="110"/>
        </w:rPr>
        <w:t>, also plasma concentration of tenofovir possibly increased; atazanavir increases plasma concentration of </w:t>
      </w:r>
      <w:r>
        <w:rPr>
          <w:rFonts w:ascii="Calibri" w:hAnsi="Calibri"/>
          <w:color w:val="008356"/>
          <w:w w:val="110"/>
          <w:sz w:val="11"/>
        </w:rPr>
        <w:t>TIPRANAVIR </w:t>
      </w:r>
      <w:r>
        <w:rPr>
          <w:color w:val="231F1F"/>
          <w:w w:val="110"/>
        </w:rPr>
        <w:t>(also plasma concentration of atazanavir reduced)</w:t>
      </w:r>
    </w:p>
    <w:p>
      <w:pPr>
        <w:pStyle w:val="BodyText"/>
        <w:ind w:left="283" w:right="599" w:hanging="100"/>
        <w:jc w:val="both"/>
      </w:pPr>
      <w:r>
        <w:rPr>
          <w:rFonts w:ascii="Arial" w:hAnsi="Arial"/>
          <w:color w:val="231F1F"/>
          <w:w w:val="355"/>
          <w:position w:val="1"/>
          <w:sz w:val="7"/>
        </w:rPr>
        <w:t>l</w:t>
      </w:r>
      <w:r>
        <w:rPr>
          <w:rFonts w:ascii="Arial" w:hAnsi="Arial"/>
          <w:color w:val="231F1F"/>
          <w:spacing w:val="-36"/>
          <w:w w:val="355"/>
          <w:position w:val="1"/>
          <w:sz w:val="7"/>
        </w:rPr>
        <w:t> </w:t>
      </w:r>
      <w:r>
        <w:rPr>
          <w:rFonts w:ascii="Calibri" w:hAnsi="Calibri"/>
          <w:color w:val="231F1F"/>
          <w:w w:val="110"/>
        </w:rPr>
        <w:t>Anxiolytics</w:t>
      </w:r>
      <w:r>
        <w:rPr>
          <w:rFonts w:ascii="Calibri" w:hAnsi="Calibri"/>
          <w:color w:val="231F1F"/>
          <w:spacing w:val="-2"/>
          <w:w w:val="110"/>
        </w:rPr>
        <w:t> </w:t>
      </w:r>
      <w:r>
        <w:rPr>
          <w:rFonts w:ascii="Calibri" w:hAnsi="Calibri"/>
          <w:color w:val="231F1F"/>
          <w:w w:val="110"/>
        </w:rPr>
        <w:t>and</w:t>
      </w:r>
      <w:r>
        <w:rPr>
          <w:rFonts w:ascii="Calibri" w:hAnsi="Calibri"/>
          <w:color w:val="231F1F"/>
          <w:spacing w:val="-3"/>
          <w:w w:val="110"/>
        </w:rPr>
        <w:t> </w:t>
      </w:r>
      <w:r>
        <w:rPr>
          <w:rFonts w:ascii="Calibri" w:hAnsi="Calibri"/>
          <w:color w:val="231F1F"/>
          <w:w w:val="110"/>
        </w:rPr>
        <w:t>Hypnotics:</w:t>
      </w:r>
      <w:r>
        <w:rPr>
          <w:rFonts w:ascii="Calibri" w:hAnsi="Calibri"/>
          <w:color w:val="231F1F"/>
          <w:spacing w:val="-3"/>
          <w:w w:val="110"/>
        </w:rPr>
        <w:t> </w:t>
      </w:r>
      <w:r>
        <w:rPr>
          <w:color w:val="231F1F"/>
          <w:w w:val="110"/>
        </w:rPr>
        <w:t>atazanavir</w:t>
      </w:r>
      <w:r>
        <w:rPr>
          <w:color w:val="231F1F"/>
          <w:spacing w:val="-6"/>
          <w:w w:val="110"/>
        </w:rPr>
        <w:t> </w:t>
      </w:r>
      <w:r>
        <w:rPr>
          <w:color w:val="231F1F"/>
          <w:w w:val="110"/>
        </w:rPr>
        <w:t>possibly</w:t>
      </w:r>
      <w:r>
        <w:rPr>
          <w:color w:val="231F1F"/>
          <w:spacing w:val="-7"/>
          <w:w w:val="110"/>
        </w:rPr>
        <w:t> </w:t>
      </w:r>
      <w:r>
        <w:rPr>
          <w:color w:val="231F1F"/>
          <w:w w:val="110"/>
        </w:rPr>
        <w:t>increases</w:t>
      </w:r>
      <w:r>
        <w:rPr>
          <w:color w:val="231F1F"/>
          <w:spacing w:val="-6"/>
          <w:w w:val="110"/>
        </w:rPr>
        <w:t> </w:t>
      </w:r>
      <w:r>
        <w:rPr>
          <w:color w:val="231F1F"/>
          <w:w w:val="110"/>
        </w:rPr>
        <w:t>plasma concentration</w:t>
      </w:r>
      <w:r>
        <w:rPr>
          <w:color w:val="231F1F"/>
          <w:spacing w:val="-5"/>
          <w:w w:val="110"/>
        </w:rPr>
        <w:t> </w:t>
      </w:r>
      <w:r>
        <w:rPr>
          <w:color w:val="231F1F"/>
          <w:w w:val="110"/>
        </w:rPr>
        <w:t>of</w:t>
      </w:r>
      <w:r>
        <w:rPr>
          <w:color w:val="231F1F"/>
          <w:spacing w:val="-2"/>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2"/>
          <w:w w:val="110"/>
          <w:sz w:val="11"/>
        </w:rPr>
        <w:t>MIDAZOLAM</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r>
        <w:rPr>
          <w:color w:val="231F1F"/>
          <w:spacing w:val="-4"/>
          <w:w w:val="110"/>
        </w:rPr>
        <w:t> </w:t>
      </w:r>
      <w:r>
        <w:rPr>
          <w:color w:val="231F1F"/>
          <w:w w:val="110"/>
        </w:rPr>
        <w:t>of</w:t>
      </w:r>
      <w:r>
        <w:rPr>
          <w:color w:val="231F1F"/>
          <w:spacing w:val="-3"/>
          <w:w w:val="110"/>
        </w:rPr>
        <w:t> </w:t>
      </w:r>
      <w:r>
        <w:rPr>
          <w:i/>
          <w:color w:val="231F1F"/>
          <w:spacing w:val="-3"/>
          <w:w w:val="110"/>
        </w:rPr>
        <w:t>oral </w:t>
      </w:r>
      <w:r>
        <w:rPr>
          <w:color w:val="231F1F"/>
          <w:w w:val="110"/>
        </w:rPr>
        <w:t>midazolam</w:t>
      </w:r>
    </w:p>
    <w:p>
      <w:pPr>
        <w:pStyle w:val="BodyText"/>
        <w:spacing w:before="2"/>
        <w:ind w:left="283" w:right="574" w:hanging="100"/>
      </w:pPr>
      <w:r>
        <w:rPr>
          <w:rFonts w:ascii="Arial" w:hAnsi="Arial"/>
          <w:color w:val="231F1F"/>
          <w:w w:val="115"/>
          <w:position w:val="1"/>
          <w:sz w:val="7"/>
        </w:rPr>
        <w:t>l </w:t>
      </w:r>
      <w:r>
        <w:rPr>
          <w:rFonts w:ascii="Calibri" w:hAnsi="Calibri"/>
          <w:color w:val="231F1F"/>
          <w:w w:val="115"/>
        </w:rPr>
        <w:t>Avanafil: </w:t>
      </w:r>
      <w:r>
        <w:rPr>
          <w:color w:val="231F1F"/>
          <w:w w:val="115"/>
        </w:rPr>
        <w:t>atazanavir possibly increases plasma concentration </w:t>
      </w:r>
      <w:r>
        <w:rPr>
          <w:color w:val="231F1F"/>
          <w:w w:val="120"/>
        </w:rPr>
        <w:t>of </w:t>
      </w:r>
      <w:r>
        <w:rPr>
          <w:rFonts w:ascii="Arial" w:hAnsi="Arial"/>
          <w:color w:val="231F1F"/>
          <w:w w:val="355"/>
          <w:position w:val="1"/>
          <w:sz w:val="7"/>
        </w:rPr>
        <w:t>l </w:t>
      </w:r>
      <w:r>
        <w:rPr>
          <w:rFonts w:ascii="Calibri" w:hAnsi="Calibri"/>
          <w:color w:val="008356"/>
          <w:w w:val="120"/>
          <w:sz w:val="11"/>
        </w:rPr>
        <w:t>AVANAFIL</w:t>
      </w:r>
      <w:r>
        <w:rPr>
          <w:rFonts w:ascii="Arial" w:hAnsi="Arial"/>
          <w:color w:val="231F1F"/>
          <w:w w:val="120"/>
        </w:rPr>
        <w:t>—</w:t>
      </w:r>
      <w:r>
        <w:rPr>
          <w:color w:val="231F1F"/>
          <w:w w:val="120"/>
        </w:rPr>
        <w:t>manufacturer of avanafil advises avoid concomitant use</w:t>
      </w:r>
    </w:p>
    <w:p>
      <w:pPr>
        <w:pStyle w:val="BodyText"/>
        <w:spacing w:line="247" w:lineRule="auto" w:before="1"/>
        <w:ind w:left="283" w:right="720" w:hanging="100"/>
        <w:rPr>
          <w:rFonts w:ascii="Calibri"/>
          <w:sz w:val="11"/>
        </w:rPr>
      </w:pPr>
      <w:r>
        <w:rPr>
          <w:rFonts w:ascii="Arial"/>
          <w:color w:val="231F1F"/>
          <w:w w:val="355"/>
          <w:position w:val="1"/>
          <w:sz w:val="7"/>
        </w:rPr>
        <w:t>l </w:t>
      </w:r>
      <w:r>
        <w:rPr>
          <w:rFonts w:ascii="Calibri"/>
          <w:color w:val="231F1F"/>
          <w:w w:val="110"/>
        </w:rPr>
        <w:t>Calcium-channel Blockers: </w:t>
      </w:r>
      <w:r>
        <w:rPr>
          <w:color w:val="231F1F"/>
          <w:w w:val="110"/>
        </w:rPr>
        <w:t>atazanavir increases plasma concentration of </w:t>
      </w:r>
      <w:r>
        <w:rPr>
          <w:rFonts w:ascii="Arial"/>
          <w:color w:val="231F1F"/>
          <w:w w:val="355"/>
          <w:position w:val="1"/>
          <w:sz w:val="7"/>
        </w:rPr>
        <w:t>l </w:t>
      </w:r>
      <w:r>
        <w:rPr>
          <w:rFonts w:ascii="Calibri"/>
          <w:color w:val="008356"/>
          <w:w w:val="110"/>
          <w:sz w:val="11"/>
        </w:rPr>
        <w:t>DILTIAZEM </w:t>
      </w:r>
      <w:r>
        <w:rPr>
          <w:color w:val="231F1F"/>
          <w:w w:val="110"/>
        </w:rPr>
        <w:t>(reduce dose of diltiazem); atazanavir possibly increases plasma concentration of </w:t>
      </w:r>
      <w:r>
        <w:rPr>
          <w:rFonts w:ascii="Calibri"/>
          <w:color w:val="008356"/>
          <w:w w:val="110"/>
          <w:sz w:val="11"/>
        </w:rPr>
        <w:t>VERAPAMIL</w:t>
      </w:r>
    </w:p>
    <w:p>
      <w:pPr>
        <w:pStyle w:val="BodyText"/>
        <w:spacing w:line="237" w:lineRule="auto"/>
        <w:ind w:left="283" w:right="919"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atazanavir possibly increases plasma concentration of </w:t>
      </w:r>
      <w:r>
        <w:rPr>
          <w:rFonts w:ascii="Arial"/>
          <w:color w:val="231F1F"/>
          <w:w w:val="355"/>
          <w:position w:val="1"/>
          <w:sz w:val="7"/>
        </w:rPr>
        <w:t>l </w:t>
      </w:r>
      <w:r>
        <w:rPr>
          <w:rFonts w:ascii="Calibri"/>
          <w:color w:val="008356"/>
          <w:w w:val="110"/>
          <w:sz w:val="11"/>
        </w:rPr>
        <w:t>CICLOSPORIN</w:t>
      </w:r>
    </w:p>
    <w:p>
      <w:pPr>
        <w:pStyle w:val="BodyText"/>
        <w:spacing w:line="242" w:lineRule="auto"/>
        <w:ind w:left="283" w:right="720"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15"/>
        </w:rPr>
        <w:t>Colchicine:</w:t>
      </w:r>
      <w:r>
        <w:rPr>
          <w:rFonts w:ascii="Calibri" w:hAnsi="Calibri"/>
          <w:color w:val="231F1F"/>
          <w:spacing w:val="-20"/>
          <w:w w:val="115"/>
        </w:rPr>
        <w:t> </w:t>
      </w:r>
      <w:r>
        <w:rPr>
          <w:color w:val="231F1F"/>
          <w:w w:val="115"/>
        </w:rPr>
        <w:t>atazanavir</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risk</w:t>
      </w:r>
      <w:r>
        <w:rPr>
          <w:color w:val="231F1F"/>
          <w:spacing w:val="-23"/>
          <w:w w:val="115"/>
        </w:rPr>
        <w:t> </w:t>
      </w:r>
      <w:r>
        <w:rPr>
          <w:color w:val="231F1F"/>
          <w:w w:val="115"/>
        </w:rPr>
        <w:t>of</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hepatic or renal</w:t>
      </w:r>
      <w:r>
        <w:rPr>
          <w:color w:val="231F1F"/>
          <w:spacing w:val="-18"/>
          <w:w w:val="115"/>
        </w:rPr>
        <w:t> </w:t>
      </w:r>
      <w:r>
        <w:rPr>
          <w:color w:val="231F1F"/>
          <w:w w:val="115"/>
        </w:rPr>
        <w:t>impairment)</w:t>
      </w:r>
    </w:p>
    <w:p>
      <w:pPr>
        <w:pStyle w:val="BodyText"/>
        <w:spacing w:line="244" w:lineRule="auto"/>
        <w:ind w:left="282" w:right="624" w:hanging="100"/>
      </w:pPr>
      <w:r>
        <w:rPr>
          <w:rFonts w:ascii="Arial" w:hAnsi="Arial"/>
          <w:color w:val="231F1F"/>
          <w:w w:val="355"/>
          <w:position w:val="1"/>
          <w:sz w:val="7"/>
        </w:rPr>
        <w:t>l </w:t>
      </w:r>
      <w:r>
        <w:rPr>
          <w:rFonts w:ascii="Calibri" w:hAnsi="Calibri"/>
          <w:color w:val="231F1F"/>
          <w:w w:val="110"/>
        </w:rPr>
        <w:t>Cytotoxics: </w:t>
      </w:r>
      <w:r>
        <w:rPr>
          <w:color w:val="231F1F"/>
          <w:w w:val="110"/>
        </w:rPr>
        <w:t>atazanavir possibly increases  plasma concentration of </w:t>
      </w:r>
      <w:r>
        <w:rPr>
          <w:rFonts w:ascii="Calibri" w:hAnsi="Calibri"/>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atazanavir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Calibri" w:hAnsi="Calibri"/>
          <w:color w:val="008356"/>
          <w:w w:val="110"/>
          <w:sz w:val="11"/>
        </w:rPr>
        <w:t>BOSUTINIB</w:t>
      </w:r>
      <w:r>
        <w:rPr>
          <w:rFonts w:ascii="Arial" w:hAnsi="Arial"/>
          <w:color w:val="231F1F"/>
          <w:w w:val="110"/>
        </w:rPr>
        <w:t>—</w:t>
      </w:r>
      <w:r>
        <w:rPr>
          <w:color w:val="231F1F"/>
          <w:w w:val="110"/>
        </w:rPr>
        <w:t>manufacturer of bosutinib advises avoid or consider reducing dose of  bosutinib; atazanavir  possibly  increases  plasma concentration of </w:t>
      </w:r>
      <w:r>
        <w:rPr>
          <w:rFonts w:ascii="Arial" w:hAnsi="Arial"/>
          <w:color w:val="231F1F"/>
          <w:w w:val="355"/>
          <w:position w:val="1"/>
          <w:sz w:val="7"/>
        </w:rPr>
        <w:t>l </w:t>
      </w:r>
      <w:r>
        <w:rPr>
          <w:rFonts w:ascii="Calibri" w:hAnsi="Calibri"/>
          <w:color w:val="008356"/>
          <w:spacing w:val="4"/>
          <w:w w:val="110"/>
          <w:sz w:val="11"/>
        </w:rPr>
        <w:t>CRIZOTINIB </w:t>
      </w:r>
      <w:r>
        <w:rPr>
          <w:color w:val="231F1F"/>
          <w:w w:val="110"/>
        </w:rPr>
        <w:t>and </w:t>
      </w:r>
      <w:r>
        <w:rPr>
          <w:rFonts w:ascii="Arial" w:hAnsi="Arial"/>
          <w:color w:val="231F1F"/>
          <w:w w:val="355"/>
          <w:position w:val="1"/>
          <w:sz w:val="7"/>
        </w:rPr>
        <w:t>l </w:t>
      </w:r>
      <w:r>
        <w:rPr>
          <w:rFonts w:ascii="Calibri" w:hAnsi="Calibri"/>
          <w:color w:val="008356"/>
          <w:spacing w:val="4"/>
          <w:w w:val="110"/>
          <w:sz w:val="11"/>
        </w:rPr>
        <w:t>EVEROLIMUS</w:t>
      </w:r>
      <w:r>
        <w:rPr>
          <w:rFonts w:ascii="Arial" w:hAnsi="Arial"/>
          <w:color w:val="231F1F"/>
          <w:spacing w:val="4"/>
          <w:w w:val="110"/>
        </w:rPr>
        <w:t>— </w:t>
      </w:r>
      <w:r>
        <w:rPr>
          <w:color w:val="231F1F"/>
          <w:w w:val="110"/>
        </w:rPr>
        <w:t>manufacturer of crizotinib and everolimus advises avoid concomitant use; atazanavir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Calibri" w:hAnsi="Calibri"/>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w:t>
      </w:r>
      <w:r>
        <w:rPr>
          <w:color w:val="231F1F"/>
          <w:spacing w:val="33"/>
          <w:w w:val="110"/>
        </w:rPr>
        <w:t> </w:t>
      </w:r>
      <w:r>
        <w:rPr>
          <w:color w:val="231F1F"/>
          <w:w w:val="110"/>
        </w:rPr>
        <w:t>809);</w:t>
      </w:r>
      <w:r>
        <w:rPr>
          <w:color w:val="231F1F"/>
          <w:spacing w:val="33"/>
          <w:w w:val="110"/>
        </w:rPr>
        <w:t> </w:t>
      </w:r>
      <w:r>
        <w:rPr>
          <w:color w:val="231F1F"/>
          <w:w w:val="110"/>
        </w:rPr>
        <w:t>atazanavir</w:t>
      </w:r>
      <w:r>
        <w:rPr>
          <w:color w:val="231F1F"/>
          <w:spacing w:val="33"/>
          <w:w w:val="110"/>
        </w:rPr>
        <w:t> </w:t>
      </w:r>
      <w:r>
        <w:rPr>
          <w:color w:val="231F1F"/>
          <w:w w:val="110"/>
        </w:rPr>
        <w:t>possibly</w:t>
      </w:r>
      <w:r>
        <w:rPr>
          <w:color w:val="231F1F"/>
          <w:spacing w:val="33"/>
          <w:w w:val="110"/>
        </w:rPr>
        <w:t> </w:t>
      </w:r>
      <w:r>
        <w:rPr>
          <w:color w:val="231F1F"/>
          <w:w w:val="110"/>
        </w:rPr>
        <w:t>increases plasma concentration of </w:t>
      </w:r>
      <w:r>
        <w:rPr>
          <w:rFonts w:ascii="Arial" w:hAnsi="Arial"/>
          <w:color w:val="231F1F"/>
          <w:w w:val="355"/>
          <w:position w:val="1"/>
          <w:sz w:val="7"/>
        </w:rPr>
        <w:t>l </w:t>
      </w:r>
      <w:r>
        <w:rPr>
          <w:rFonts w:ascii="Calibri" w:hAnsi="Calibri"/>
          <w:color w:val="008356"/>
          <w:spacing w:val="3"/>
          <w:w w:val="110"/>
          <w:sz w:val="11"/>
        </w:rPr>
        <w:t>PAZOPANIB </w:t>
      </w:r>
      <w:r>
        <w:rPr>
          <w:color w:val="231F1F"/>
          <w:w w:val="110"/>
        </w:rPr>
        <w:t>(reduce dose of pazopanib); avoidance of atazanavir advised by </w:t>
      </w:r>
      <w:r>
        <w:rPr>
          <w:color w:val="231F1F"/>
          <w:spacing w:val="-2"/>
          <w:w w:val="110"/>
        </w:rPr>
        <w:t>manufacturer </w:t>
      </w:r>
      <w:r>
        <w:rPr>
          <w:color w:val="231F1F"/>
          <w:w w:val="110"/>
        </w:rPr>
        <w:t>of </w:t>
      </w:r>
      <w:r>
        <w:rPr>
          <w:rFonts w:ascii="Arial" w:hAnsi="Arial"/>
          <w:color w:val="231F1F"/>
          <w:w w:val="355"/>
          <w:position w:val="1"/>
          <w:sz w:val="7"/>
        </w:rPr>
        <w:t>l </w:t>
      </w:r>
      <w:r>
        <w:rPr>
          <w:rFonts w:ascii="Calibri" w:hAnsi="Calibri"/>
          <w:color w:val="008356"/>
          <w:spacing w:val="4"/>
          <w:w w:val="110"/>
          <w:sz w:val="11"/>
        </w:rPr>
        <w:t>CABAZITAXEL</w:t>
      </w:r>
      <w:r>
        <w:rPr>
          <w:color w:val="231F1F"/>
          <w:spacing w:val="4"/>
          <w:w w:val="110"/>
        </w:rPr>
        <w:t>; </w:t>
      </w:r>
      <w:r>
        <w:rPr>
          <w:color w:val="231F1F"/>
          <w:w w:val="110"/>
        </w:rPr>
        <w:t>atazanavir possibly inhibits metabolism of</w:t>
      </w:r>
      <w:r>
        <w:rPr>
          <w:color w:val="231F1F"/>
          <w:w w:val="110"/>
          <w:position w:val="1"/>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IRINOTECAN </w:t>
      </w:r>
      <w:r>
        <w:rPr>
          <w:color w:val="231F1F"/>
          <w:w w:val="110"/>
        </w:rPr>
        <w:t>(increased risk of toxicity)</w:t>
      </w:r>
    </w:p>
    <w:p>
      <w:pPr>
        <w:pStyle w:val="BodyText"/>
        <w:ind w:left="283" w:right="654" w:hanging="100"/>
      </w:pPr>
      <w:r>
        <w:rPr>
          <w:rFonts w:ascii="Arial"/>
          <w:color w:val="231F1F"/>
          <w:w w:val="355"/>
          <w:position w:val="1"/>
          <w:sz w:val="7"/>
        </w:rPr>
        <w:t>l </w:t>
      </w:r>
      <w:r>
        <w:rPr>
          <w:rFonts w:ascii="Calibri"/>
          <w:color w:val="231F1F"/>
          <w:w w:val="110"/>
        </w:rPr>
        <w:t>Dapoxetine: </w:t>
      </w:r>
      <w:r>
        <w:rPr>
          <w:color w:val="231F1F"/>
          <w:w w:val="110"/>
        </w:rPr>
        <w:t>avoidance of atazanavir advised by </w:t>
      </w:r>
      <w:r>
        <w:rPr>
          <w:color w:val="231F1F"/>
          <w:spacing w:val="-2"/>
          <w:w w:val="110"/>
        </w:rPr>
        <w:t>manufacturer </w:t>
      </w:r>
      <w:r>
        <w:rPr>
          <w:color w:val="231F1F"/>
          <w:w w:val="110"/>
        </w:rPr>
        <w:t>of </w:t>
      </w:r>
      <w:r>
        <w:rPr>
          <w:rFonts w:ascii="Arial"/>
          <w:color w:val="231F1F"/>
          <w:w w:val="355"/>
          <w:position w:val="1"/>
          <w:sz w:val="7"/>
        </w:rPr>
        <w:t>l </w:t>
      </w:r>
      <w:r>
        <w:rPr>
          <w:rFonts w:ascii="Calibri"/>
          <w:color w:val="008356"/>
          <w:spacing w:val="4"/>
          <w:w w:val="110"/>
          <w:sz w:val="11"/>
        </w:rPr>
        <w:t>DAPOXETINE </w:t>
      </w:r>
      <w:r>
        <w:rPr>
          <w:color w:val="231F1F"/>
          <w:w w:val="110"/>
        </w:rPr>
        <w:t>(increased risk of toxicity)</w:t>
      </w:r>
    </w:p>
    <w:p>
      <w:pPr>
        <w:pStyle w:val="BodyText"/>
        <w:spacing w:line="237" w:lineRule="auto"/>
        <w:ind w:left="283" w:right="666" w:hanging="100"/>
      </w:pPr>
      <w:r>
        <w:rPr>
          <w:rFonts w:ascii="Arial" w:hAnsi="Arial"/>
          <w:color w:val="231F1F"/>
          <w:w w:val="355"/>
          <w:position w:val="1"/>
          <w:sz w:val="7"/>
        </w:rPr>
        <w:t>l </w:t>
      </w:r>
      <w:r>
        <w:rPr>
          <w:rFonts w:ascii="Calibri" w:hAnsi="Calibri"/>
          <w:color w:val="231F1F"/>
          <w:w w:val="115"/>
        </w:rPr>
        <w:t>Ergot Alkaloids: </w:t>
      </w:r>
      <w:r>
        <w:rPr>
          <w:color w:val="231F1F"/>
          <w:w w:val="115"/>
        </w:rPr>
        <w:t>atazanavir possibly increases plasma concentration</w:t>
      </w:r>
      <w:r>
        <w:rPr>
          <w:color w:val="231F1F"/>
          <w:spacing w:val="-25"/>
          <w:w w:val="115"/>
        </w:rPr>
        <w:t> </w:t>
      </w:r>
      <w:r>
        <w:rPr>
          <w:color w:val="231F1F"/>
          <w:w w:val="115"/>
        </w:rPr>
        <w:t>of</w:t>
      </w:r>
      <w:r>
        <w:rPr>
          <w:color w:val="231F1F"/>
          <w:spacing w:val="-24"/>
          <w:w w:val="115"/>
        </w:rPr>
        <w:t> </w:t>
      </w:r>
      <w:r>
        <w:rPr>
          <w:rFonts w:ascii="Arial" w:hAnsi="Arial"/>
          <w:color w:val="231F1F"/>
          <w:w w:val="345"/>
          <w:position w:val="1"/>
          <w:sz w:val="7"/>
        </w:rPr>
        <w:t>l</w:t>
      </w:r>
      <w:r>
        <w:rPr>
          <w:rFonts w:ascii="Arial" w:hAnsi="Arial"/>
          <w:color w:val="231F1F"/>
          <w:spacing w:val="-57"/>
          <w:w w:val="345"/>
          <w:position w:val="1"/>
          <w:sz w:val="7"/>
        </w:rPr>
        <w:t> </w:t>
      </w:r>
      <w:r>
        <w:rPr>
          <w:rFonts w:ascii="Calibri" w:hAnsi="Calibri"/>
          <w:color w:val="008356"/>
          <w:spacing w:val="3"/>
          <w:w w:val="115"/>
          <w:sz w:val="11"/>
        </w:rPr>
        <w:t>ERGOT</w:t>
      </w:r>
      <w:r>
        <w:rPr>
          <w:rFonts w:ascii="Calibri" w:hAnsi="Calibri"/>
          <w:color w:val="008356"/>
          <w:spacing w:val="-20"/>
          <w:w w:val="115"/>
          <w:sz w:val="11"/>
        </w:rPr>
        <w:t> </w:t>
      </w:r>
      <w:r>
        <w:rPr>
          <w:rFonts w:ascii="Calibri" w:hAnsi="Calibri"/>
          <w:color w:val="008356"/>
          <w:spacing w:val="2"/>
          <w:w w:val="115"/>
          <w:sz w:val="11"/>
        </w:rPr>
        <w:t>ALKALOIDS</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4"/>
          <w:w w:val="115"/>
        </w:rPr>
        <w:t> </w:t>
      </w:r>
      <w:r>
        <w:rPr>
          <w:color w:val="231F1F"/>
          <w:w w:val="115"/>
        </w:rPr>
        <w:t>use</w:t>
      </w:r>
    </w:p>
    <w:p>
      <w:pPr>
        <w:pStyle w:val="BodyText"/>
        <w:ind w:left="283" w:right="714" w:hanging="100"/>
      </w:pPr>
      <w:r>
        <w:rPr>
          <w:rFonts w:ascii="Arial"/>
          <w:color w:val="231F1F"/>
          <w:w w:val="355"/>
          <w:position w:val="1"/>
          <w:sz w:val="7"/>
        </w:rPr>
        <w:t>l </w:t>
      </w:r>
      <w:r>
        <w:rPr>
          <w:rFonts w:ascii="Calibri"/>
          <w:color w:val="231F1F"/>
          <w:w w:val="110"/>
        </w:rPr>
        <w:t>Lipid-regulating Drugs: </w:t>
      </w:r>
      <w:r>
        <w:rPr>
          <w:color w:val="231F1F"/>
          <w:w w:val="110"/>
        </w:rPr>
        <w:t>possible increased risk of myopathy when</w:t>
      </w:r>
      <w:r>
        <w:rPr>
          <w:color w:val="231F1F"/>
          <w:spacing w:val="-12"/>
          <w:w w:val="110"/>
        </w:rPr>
        <w:t> </w:t>
      </w:r>
      <w:r>
        <w:rPr>
          <w:color w:val="231F1F"/>
          <w:w w:val="110"/>
        </w:rPr>
        <w:t>atazanavir</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2"/>
          <w:w w:val="110"/>
          <w:sz w:val="11"/>
        </w:rPr>
        <w:t>ATORVASTATIN</w:t>
      </w:r>
      <w:r>
        <w:rPr>
          <w:rFonts w:ascii="Calibri"/>
          <w:color w:val="008356"/>
          <w:spacing w:val="-1"/>
          <w:w w:val="110"/>
          <w:sz w:val="11"/>
        </w:rPr>
        <w:t> </w:t>
      </w:r>
      <w:r>
        <w:rPr>
          <w:color w:val="231F1F"/>
          <w:w w:val="110"/>
        </w:rPr>
        <w:t>or</w:t>
      </w:r>
      <w:r>
        <w:rPr>
          <w:color w:val="231F1F"/>
          <w:spacing w:val="-12"/>
          <w:w w:val="110"/>
        </w:rPr>
        <w:t> </w:t>
      </w:r>
      <w:r>
        <w:rPr>
          <w:rFonts w:ascii="Calibri"/>
          <w:color w:val="008356"/>
          <w:spacing w:val="2"/>
          <w:w w:val="110"/>
          <w:sz w:val="11"/>
        </w:rPr>
        <w:t>PRAVASTATIN</w:t>
      </w:r>
      <w:r>
        <w:rPr>
          <w:color w:val="231F1F"/>
          <w:spacing w:val="2"/>
          <w:w w:val="110"/>
        </w:rPr>
        <w:t>; </w:t>
      </w:r>
      <w:r>
        <w:rPr>
          <w:color w:val="231F1F"/>
          <w:w w:val="110"/>
        </w:rPr>
        <w:t>atazanavir increases plasma concentration</w:t>
      </w:r>
      <w:r>
        <w:rPr>
          <w:color w:val="231F1F"/>
          <w:spacing w:val="4"/>
          <w:w w:val="110"/>
        </w:rPr>
        <w:t> </w:t>
      </w:r>
      <w:r>
        <w:rPr>
          <w:color w:val="231F1F"/>
          <w:w w:val="110"/>
        </w:rPr>
        <w:t>of</w:t>
      </w:r>
    </w:p>
    <w:p>
      <w:pPr>
        <w:pStyle w:val="BodyText"/>
        <w:spacing w:line="247" w:lineRule="auto" w:before="1"/>
        <w:ind w:left="282" w:right="601"/>
        <w:jc w:val="both"/>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3"/>
          <w:w w:val="115"/>
        </w:rPr>
        <w:t> </w:t>
      </w:r>
      <w:r>
        <w:rPr>
          <w:color w:val="231F1F"/>
          <w:w w:val="115"/>
        </w:rPr>
        <w:t>of</w:t>
      </w:r>
      <w:r>
        <w:rPr>
          <w:color w:val="231F1F"/>
          <w:spacing w:val="-22"/>
          <w:w w:val="115"/>
        </w:rPr>
        <w:t> </w:t>
      </w:r>
      <w:r>
        <w:rPr>
          <w:color w:val="231F1F"/>
          <w:w w:val="115"/>
        </w:rPr>
        <w:t>rosuvastatin</w:t>
      </w:r>
      <w:r>
        <w:rPr>
          <w:color w:val="231F1F"/>
          <w:spacing w:val="-23"/>
          <w:w w:val="115"/>
        </w:rPr>
        <w:t> </w:t>
      </w:r>
      <w:r>
        <w:rPr>
          <w:color w:val="231F1F"/>
          <w:w w:val="115"/>
        </w:rPr>
        <w:t>(consult</w:t>
      </w:r>
      <w:r>
        <w:rPr>
          <w:color w:val="231F1F"/>
          <w:spacing w:val="-23"/>
          <w:w w:val="115"/>
        </w:rPr>
        <w:t> </w:t>
      </w:r>
      <w:r>
        <w:rPr>
          <w:color w:val="231F1F"/>
          <w:w w:val="115"/>
        </w:rPr>
        <w:t>product literature);</w:t>
      </w:r>
      <w:r>
        <w:rPr>
          <w:color w:val="231F1F"/>
          <w:spacing w:val="-7"/>
          <w:w w:val="115"/>
        </w:rPr>
        <w:t> </w:t>
      </w:r>
      <w:r>
        <w:rPr>
          <w:color w:val="231F1F"/>
          <w:w w:val="115"/>
        </w:rPr>
        <w:t>increased</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myopathy</w:t>
      </w:r>
      <w:r>
        <w:rPr>
          <w:color w:val="231F1F"/>
          <w:spacing w:val="-8"/>
          <w:w w:val="115"/>
        </w:rPr>
        <w:t> </w:t>
      </w:r>
      <w:r>
        <w:rPr>
          <w:color w:val="231F1F"/>
          <w:w w:val="115"/>
        </w:rPr>
        <w:t>when</w:t>
      </w:r>
      <w:r>
        <w:rPr>
          <w:color w:val="231F1F"/>
          <w:spacing w:val="-7"/>
          <w:w w:val="115"/>
        </w:rPr>
        <w:t> </w:t>
      </w:r>
      <w:r>
        <w:rPr>
          <w:color w:val="231F1F"/>
          <w:w w:val="115"/>
        </w:rPr>
        <w:t>atazanavir</w:t>
      </w:r>
      <w:r>
        <w:rPr>
          <w:color w:val="231F1F"/>
          <w:spacing w:val="-6"/>
          <w:w w:val="115"/>
        </w:rPr>
        <w:t> </w:t>
      </w:r>
      <w:r>
        <w:rPr>
          <w:color w:val="231F1F"/>
          <w:spacing w:val="-3"/>
          <w:w w:val="115"/>
        </w:rPr>
        <w:t>given </w:t>
      </w:r>
      <w:r>
        <w:rPr>
          <w:color w:val="231F1F"/>
          <w:w w:val="115"/>
        </w:rPr>
        <w:t>with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5"/>
          <w:sz w:val="11"/>
        </w:rPr>
        <w:t>SIMVASTATIN </w:t>
      </w:r>
      <w:r>
        <w:rPr>
          <w:color w:val="231F1F"/>
          <w:w w:val="115"/>
        </w:rPr>
        <w:t>(avoid concomitant use)</w:t>
      </w:r>
    </w:p>
    <w:p>
      <w:pPr>
        <w:pStyle w:val="BodyText"/>
        <w:spacing w:line="149" w:lineRule="exact"/>
        <w:ind w:left="183"/>
        <w:jc w:val="both"/>
      </w:pPr>
      <w:r>
        <w:rPr>
          <w:rFonts w:ascii="Lucida Sans Unicode" w:hAnsi="Lucida Sans Unicode"/>
          <w:color w:val="A7A8AC"/>
          <w:w w:val="95"/>
          <w:sz w:val="10"/>
        </w:rPr>
        <w:t>▶ </w:t>
      </w:r>
      <w:r>
        <w:rPr>
          <w:rFonts w:ascii="Calibri" w:hAnsi="Calibri"/>
          <w:color w:val="231F1F"/>
          <w:w w:val="105"/>
        </w:rPr>
        <w:t>Oestrogens: </w:t>
      </w:r>
      <w:r>
        <w:rPr>
          <w:color w:val="231F1F"/>
          <w:w w:val="105"/>
        </w:rPr>
        <w:t>atazanavir increases plasma concentration of</w:t>
      </w:r>
    </w:p>
    <w:p>
      <w:pPr>
        <w:spacing w:line="130" w:lineRule="exact" w:before="0"/>
        <w:ind w:left="283" w:right="0" w:firstLine="0"/>
        <w:jc w:val="left"/>
        <w:rPr>
          <w:rFonts w:ascii="Calibri"/>
          <w:sz w:val="11"/>
        </w:rPr>
      </w:pPr>
      <w:r>
        <w:rPr>
          <w:rFonts w:ascii="Calibri"/>
          <w:color w:val="008356"/>
          <w:sz w:val="11"/>
        </w:rPr>
        <w:t>ETHINYLESTRADIOL</w:t>
      </w:r>
    </w:p>
    <w:p>
      <w:pPr>
        <w:pStyle w:val="BodyText"/>
        <w:spacing w:line="145" w:lineRule="exact"/>
        <w:ind w:left="183"/>
        <w:jc w:val="both"/>
      </w:pPr>
      <w:r>
        <w:rPr>
          <w:rFonts w:ascii="Arial"/>
          <w:color w:val="231F1F"/>
          <w:w w:val="355"/>
          <w:position w:val="1"/>
          <w:sz w:val="7"/>
        </w:rPr>
        <w:t>l </w:t>
      </w:r>
      <w:r>
        <w:rPr>
          <w:rFonts w:ascii="Calibri"/>
          <w:color w:val="231F1F"/>
          <w:w w:val="115"/>
        </w:rPr>
        <w:t>Orlistat: </w:t>
      </w:r>
      <w:r>
        <w:rPr>
          <w:color w:val="231F1F"/>
          <w:w w:val="115"/>
        </w:rPr>
        <w:t>absorption of atazanavir possibly reduced by</w:t>
      </w:r>
    </w:p>
    <w:p>
      <w:pPr>
        <w:spacing w:line="133" w:lineRule="exact" w:before="7"/>
        <w:ind w:left="283"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154" w:lineRule="exact"/>
        <w:ind w:left="183"/>
      </w:pPr>
      <w:r>
        <w:rPr>
          <w:rFonts w:ascii="Lucida Sans Unicode" w:hAnsi="Lucida Sans Unicode"/>
          <w:color w:val="A7A8AC"/>
          <w:w w:val="95"/>
          <w:sz w:val="10"/>
        </w:rPr>
        <w:t>▶ </w:t>
      </w:r>
      <w:r>
        <w:rPr>
          <w:rFonts w:ascii="Calibri" w:hAnsi="Calibri"/>
          <w:color w:val="231F1F"/>
          <w:w w:val="105"/>
        </w:rPr>
        <w:t>Progestogens: </w:t>
      </w:r>
      <w:r>
        <w:rPr>
          <w:color w:val="231F1F"/>
          <w:w w:val="105"/>
        </w:rPr>
        <w:t>atazanavir increases plasma concentration of</w:t>
      </w:r>
    </w:p>
    <w:p>
      <w:pPr>
        <w:spacing w:line="131" w:lineRule="exact" w:before="0"/>
        <w:ind w:left="283" w:right="0" w:firstLine="0"/>
        <w:jc w:val="left"/>
        <w:rPr>
          <w:rFonts w:ascii="Calibri"/>
          <w:sz w:val="11"/>
        </w:rPr>
      </w:pPr>
      <w:r>
        <w:rPr>
          <w:rFonts w:ascii="Calibri"/>
          <w:color w:val="008356"/>
          <w:sz w:val="11"/>
        </w:rPr>
        <w:t>NORETHISTERONE</w:t>
      </w:r>
    </w:p>
    <w:p>
      <w:pPr>
        <w:spacing w:after="0" w:line="131" w:lineRule="exact"/>
        <w:jc w:val="left"/>
        <w:rPr>
          <w:rFonts w:ascii="Calibri"/>
          <w:sz w:val="11"/>
        </w:rPr>
        <w:sectPr>
          <w:headerReference w:type="even" r:id="rId17"/>
          <w:headerReference w:type="default" r:id="rId18"/>
          <w:pgSz w:w="8390" w:h="11910"/>
          <w:pgMar w:header="0" w:footer="0" w:top="460" w:bottom="0" w:left="480" w:right="0"/>
          <w:pgNumType w:start="1162"/>
          <w:cols w:num="2" w:equalWidth="0">
            <w:col w:w="3640" w:space="40"/>
            <w:col w:w="4230"/>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Atazanavir </w:t>
      </w:r>
      <w:r>
        <w:rPr>
          <w:rFonts w:ascii="Calibri"/>
          <w:color w:val="231F1F"/>
        </w:rPr>
        <w:t>(continued)</w:t>
      </w:r>
    </w:p>
    <w:p>
      <w:pPr>
        <w:pStyle w:val="BodyText"/>
        <w:ind w:hanging="100"/>
      </w:pPr>
      <w:r>
        <w:rPr>
          <w:rFonts w:ascii="Arial" w:hAnsi="Arial"/>
          <w:color w:val="231F1F"/>
          <w:w w:val="355"/>
          <w:position w:val="1"/>
          <w:sz w:val="7"/>
        </w:rPr>
        <w:t>l </w:t>
      </w:r>
      <w:r>
        <w:rPr>
          <w:rFonts w:ascii="Calibri" w:hAnsi="Calibri"/>
          <w:color w:val="231F1F"/>
          <w:w w:val="120"/>
        </w:rPr>
        <w:t>Ranolazine: </w:t>
      </w:r>
      <w:r>
        <w:rPr>
          <w:color w:val="231F1F"/>
          <w:w w:val="120"/>
        </w:rPr>
        <w:t>atazanavir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ind w:left="108"/>
      </w:pPr>
      <w:r>
        <w:rPr>
          <w:rFonts w:ascii="Arial"/>
          <w:color w:val="231F1F"/>
          <w:w w:val="355"/>
          <w:position w:val="1"/>
          <w:sz w:val="7"/>
        </w:rPr>
        <w:t>l </w:t>
      </w:r>
      <w:r>
        <w:rPr>
          <w:rFonts w:ascii="Calibri"/>
          <w:color w:val="231F1F"/>
          <w:w w:val="115"/>
        </w:rPr>
        <w:t>Sildenafil: </w:t>
      </w:r>
      <w:r>
        <w:rPr>
          <w:color w:val="231F1F"/>
          <w:w w:val="115"/>
        </w:rPr>
        <w:t>atazanavir possibly increases side-effects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SILDENAFIL</w:t>
      </w:r>
    </w:p>
    <w:p>
      <w:pPr>
        <w:pStyle w:val="BodyText"/>
        <w:ind w:right="66" w:hanging="100"/>
        <w:rPr>
          <w:rFonts w:ascii="Calibri"/>
          <w:sz w:val="11"/>
        </w:rPr>
      </w:pPr>
      <w:r>
        <w:rPr>
          <w:rFonts w:ascii="Arial"/>
          <w:color w:val="231F1F"/>
          <w:w w:val="355"/>
          <w:position w:val="1"/>
          <w:sz w:val="7"/>
        </w:rPr>
        <w:t>l</w:t>
      </w:r>
      <w:r>
        <w:rPr>
          <w:rFonts w:ascii="Arial"/>
          <w:color w:val="231F1F"/>
          <w:spacing w:val="-38"/>
          <w:w w:val="355"/>
          <w:position w:val="1"/>
          <w:sz w:val="7"/>
        </w:rPr>
        <w:t> </w:t>
      </w:r>
      <w:r>
        <w:rPr>
          <w:rFonts w:ascii="Calibri"/>
          <w:color w:val="231F1F"/>
          <w:w w:val="115"/>
        </w:rPr>
        <w:t>Sirolimus:</w:t>
      </w:r>
      <w:r>
        <w:rPr>
          <w:rFonts w:ascii="Calibri"/>
          <w:color w:val="231F1F"/>
          <w:spacing w:val="-8"/>
          <w:w w:val="115"/>
        </w:rPr>
        <w:t> </w:t>
      </w:r>
      <w:r>
        <w:rPr>
          <w:color w:val="231F1F"/>
          <w:w w:val="115"/>
        </w:rPr>
        <w:t>atazanavir</w:t>
      </w:r>
      <w:r>
        <w:rPr>
          <w:color w:val="231F1F"/>
          <w:spacing w:val="-11"/>
          <w:w w:val="115"/>
        </w:rPr>
        <w:t> </w:t>
      </w:r>
      <w:r>
        <w:rPr>
          <w:color w:val="231F1F"/>
          <w:w w:val="115"/>
        </w:rPr>
        <w:t>possibly</w:t>
      </w:r>
      <w:r>
        <w:rPr>
          <w:color w:val="231F1F"/>
          <w:spacing w:val="-11"/>
          <w:w w:val="115"/>
        </w:rPr>
        <w:t> </w:t>
      </w:r>
      <w:r>
        <w:rPr>
          <w:color w:val="231F1F"/>
          <w:w w:val="115"/>
        </w:rPr>
        <w:t>increases</w:t>
      </w:r>
      <w:r>
        <w:rPr>
          <w:color w:val="231F1F"/>
          <w:spacing w:val="-10"/>
          <w:w w:val="115"/>
        </w:rPr>
        <w:t> </w:t>
      </w:r>
      <w:r>
        <w:rPr>
          <w:color w:val="231F1F"/>
          <w:w w:val="115"/>
        </w:rPr>
        <w:t>plasma</w:t>
      </w:r>
      <w:r>
        <w:rPr>
          <w:color w:val="231F1F"/>
          <w:spacing w:val="-10"/>
          <w:w w:val="115"/>
        </w:rPr>
        <w:t> </w:t>
      </w:r>
      <w:r>
        <w:rPr>
          <w:color w:val="231F1F"/>
          <w:spacing w:val="-2"/>
          <w:w w:val="115"/>
        </w:rPr>
        <w:t>concentration </w:t>
      </w:r>
      <w:r>
        <w:rPr>
          <w:color w:val="231F1F"/>
          <w:w w:val="115"/>
        </w:rPr>
        <w:t>of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5"/>
          <w:sz w:val="11"/>
        </w:rPr>
        <w:t>SIROLIMUS</w:t>
      </w:r>
    </w:p>
    <w:p>
      <w:pPr>
        <w:pStyle w:val="BodyText"/>
        <w:ind w:right="268"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atazanavir possibly increases plasma concentration of </w:t>
      </w:r>
      <w:r>
        <w:rPr>
          <w:rFonts w:ascii="Arial"/>
          <w:color w:val="231F1F"/>
          <w:w w:val="355"/>
          <w:position w:val="1"/>
          <w:sz w:val="7"/>
        </w:rPr>
        <w:t>l </w:t>
      </w:r>
      <w:r>
        <w:rPr>
          <w:rFonts w:ascii="Calibri"/>
          <w:color w:val="008356"/>
          <w:w w:val="110"/>
          <w:sz w:val="11"/>
        </w:rPr>
        <w:t>TACROLIMUS</w:t>
      </w:r>
    </w:p>
    <w:p>
      <w:pPr>
        <w:pStyle w:val="BodyText"/>
        <w:ind w:right="33"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Ticagrelor:</w:t>
      </w:r>
      <w:r>
        <w:rPr>
          <w:rFonts w:ascii="Calibri" w:hAnsi="Calibri"/>
          <w:color w:val="231F1F"/>
          <w:spacing w:val="-9"/>
          <w:w w:val="115"/>
        </w:rPr>
        <w:t> </w:t>
      </w:r>
      <w:r>
        <w:rPr>
          <w:color w:val="231F1F"/>
          <w:w w:val="115"/>
        </w:rPr>
        <w:t>atazanavir</w:t>
      </w:r>
      <w:r>
        <w:rPr>
          <w:color w:val="231F1F"/>
          <w:spacing w:val="-11"/>
          <w:w w:val="115"/>
        </w:rPr>
        <w:t> </w:t>
      </w:r>
      <w:r>
        <w:rPr>
          <w:color w:val="231F1F"/>
          <w:w w:val="115"/>
        </w:rPr>
        <w:t>possibly</w:t>
      </w:r>
      <w:r>
        <w:rPr>
          <w:color w:val="231F1F"/>
          <w:spacing w:val="-12"/>
          <w:w w:val="115"/>
        </w:rPr>
        <w:t> </w:t>
      </w:r>
      <w:r>
        <w:rPr>
          <w:color w:val="231F1F"/>
          <w:w w:val="115"/>
        </w:rPr>
        <w:t>increases</w:t>
      </w:r>
      <w:r>
        <w:rPr>
          <w:color w:val="231F1F"/>
          <w:spacing w:val="-13"/>
          <w:w w:val="115"/>
        </w:rPr>
        <w:t> </w:t>
      </w:r>
      <w:r>
        <w:rPr>
          <w:color w:val="231F1F"/>
          <w:w w:val="115"/>
        </w:rPr>
        <w:t>plasma</w:t>
      </w:r>
      <w:r>
        <w:rPr>
          <w:color w:val="231F1F"/>
          <w:spacing w:val="-12"/>
          <w:w w:val="115"/>
        </w:rPr>
        <w:t> </w:t>
      </w:r>
      <w:r>
        <w:rPr>
          <w:color w:val="231F1F"/>
          <w:spacing w:val="-2"/>
          <w:w w:val="115"/>
        </w:rPr>
        <w:t>concentration </w:t>
      </w:r>
      <w:r>
        <w:rPr>
          <w:color w:val="231F1F"/>
          <w:w w:val="115"/>
        </w:rPr>
        <w:t>of </w:t>
      </w:r>
      <w:r>
        <w:rPr>
          <w:rFonts w:ascii="Arial" w:hAnsi="Arial"/>
          <w:color w:val="231F1F"/>
          <w:w w:val="355"/>
          <w:position w:val="1"/>
          <w:sz w:val="7"/>
        </w:rPr>
        <w:t>l </w:t>
      </w:r>
      <w:r>
        <w:rPr>
          <w:rFonts w:ascii="Calibri" w:hAnsi="Calibri"/>
          <w:color w:val="008356"/>
          <w:spacing w:val="2"/>
          <w:w w:val="115"/>
          <w:sz w:val="11"/>
        </w:rPr>
        <w:t>TICAGRELOR</w:t>
      </w:r>
      <w:r>
        <w:rPr>
          <w:rFonts w:ascii="Arial" w:hAnsi="Arial"/>
          <w:color w:val="231F1F"/>
          <w:spacing w:val="2"/>
          <w:w w:val="115"/>
        </w:rPr>
        <w:t>—</w:t>
      </w:r>
      <w:r>
        <w:rPr>
          <w:color w:val="231F1F"/>
          <w:spacing w:val="2"/>
          <w:w w:val="115"/>
        </w:rPr>
        <w:t>manufacturer </w:t>
      </w:r>
      <w:r>
        <w:rPr>
          <w:color w:val="231F1F"/>
          <w:w w:val="115"/>
        </w:rPr>
        <w:t>of ticagrelor advises avoid concomitant</w:t>
      </w:r>
      <w:r>
        <w:rPr>
          <w:color w:val="231F1F"/>
          <w:spacing w:val="-6"/>
          <w:w w:val="115"/>
        </w:rPr>
        <w:t> </w:t>
      </w:r>
      <w:r>
        <w:rPr>
          <w:color w:val="231F1F"/>
          <w:w w:val="115"/>
        </w:rPr>
        <w:t>use</w:t>
      </w:r>
    </w:p>
    <w:p>
      <w:pPr>
        <w:pStyle w:val="BodyText"/>
        <w:spacing w:line="242" w:lineRule="auto"/>
        <w:ind w:right="73" w:hanging="100"/>
      </w:pPr>
      <w:r>
        <w:rPr>
          <w:rFonts w:ascii="Arial" w:hAnsi="Arial"/>
          <w:color w:val="231F1F"/>
          <w:w w:val="355"/>
          <w:position w:val="1"/>
          <w:sz w:val="7"/>
        </w:rPr>
        <w:t>l </w:t>
      </w:r>
      <w:r>
        <w:rPr>
          <w:rFonts w:ascii="Calibri" w:hAnsi="Calibri"/>
          <w:color w:val="231F1F"/>
          <w:w w:val="110"/>
        </w:rPr>
        <w:t>Ulcer-healing Drugs: </w:t>
      </w:r>
      <w:r>
        <w:rPr>
          <w:color w:val="231F1F"/>
          <w:w w:val="110"/>
        </w:rPr>
        <w:t>manufacturer of atazanavir advises </w:t>
      </w:r>
      <w:r>
        <w:rPr>
          <w:color w:val="231F1F"/>
          <w:spacing w:val="-3"/>
          <w:w w:val="110"/>
        </w:rPr>
        <w:t>adjust </w:t>
      </w:r>
      <w:r>
        <w:rPr>
          <w:color w:val="231F1F"/>
          <w:w w:val="110"/>
        </w:rPr>
        <w:t>doses of both drugs when atazanavir given with </w:t>
      </w:r>
      <w:r>
        <w:rPr>
          <w:rFonts w:ascii="Calibri" w:hAnsi="Calibri"/>
          <w:color w:val="008356"/>
          <w:spacing w:val="4"/>
          <w:w w:val="110"/>
          <w:sz w:val="11"/>
        </w:rPr>
        <w:t>CIMETIDINE </w:t>
      </w:r>
      <w:r>
        <w:rPr>
          <w:color w:val="231F1F"/>
          <w:w w:val="110"/>
        </w:rPr>
        <w:t>and </w:t>
      </w:r>
      <w:r>
        <w:rPr>
          <w:rFonts w:ascii="Calibri" w:hAnsi="Calibri"/>
          <w:color w:val="008356"/>
          <w:spacing w:val="2"/>
          <w:w w:val="110"/>
          <w:sz w:val="11"/>
        </w:rPr>
        <w:t>NIZATIDINE</w:t>
      </w:r>
      <w:r>
        <w:rPr>
          <w:rFonts w:ascii="Arial" w:hAnsi="Arial"/>
          <w:color w:val="231F1F"/>
          <w:spacing w:val="2"/>
          <w:w w:val="110"/>
        </w:rPr>
        <w:t>—</w:t>
      </w:r>
      <w:r>
        <w:rPr>
          <w:color w:val="231F1F"/>
          <w:spacing w:val="2"/>
          <w:w w:val="110"/>
        </w:rPr>
        <w:t>consult </w:t>
      </w:r>
      <w:r>
        <w:rPr>
          <w:color w:val="231F1F"/>
          <w:w w:val="110"/>
        </w:rPr>
        <w:t>atazanavir product  literature; plasma concentration of atazanavir reduced by </w:t>
      </w:r>
      <w:r>
        <w:rPr>
          <w:rFonts w:ascii="Arial" w:hAnsi="Arial"/>
          <w:color w:val="231F1F"/>
          <w:w w:val="355"/>
          <w:position w:val="1"/>
          <w:sz w:val="7"/>
        </w:rPr>
        <w:t>l </w:t>
      </w:r>
      <w:r>
        <w:rPr>
          <w:rFonts w:ascii="Calibri" w:hAnsi="Calibri"/>
          <w:color w:val="008356"/>
          <w:spacing w:val="3"/>
          <w:w w:val="110"/>
          <w:sz w:val="11"/>
        </w:rPr>
        <w:t>FAMOTIDINE </w:t>
      </w:r>
      <w:r>
        <w:rPr>
          <w:color w:val="231F1F"/>
          <w:w w:val="110"/>
        </w:rPr>
        <w:t>and </w:t>
      </w:r>
      <w:r>
        <w:rPr>
          <w:rFonts w:ascii="Arial" w:hAnsi="Arial"/>
          <w:color w:val="231F1F"/>
          <w:w w:val="355"/>
          <w:position w:val="1"/>
          <w:sz w:val="7"/>
        </w:rPr>
        <w:t>l </w:t>
      </w:r>
      <w:r>
        <w:rPr>
          <w:rFonts w:ascii="Calibri" w:hAnsi="Calibri"/>
          <w:color w:val="008356"/>
          <w:spacing w:val="4"/>
          <w:w w:val="110"/>
          <w:sz w:val="11"/>
        </w:rPr>
        <w:t>RANITIDINE </w:t>
      </w:r>
      <w:r>
        <w:rPr>
          <w:color w:val="231F1F"/>
          <w:w w:val="110"/>
        </w:rPr>
        <w:t>(adjust doses of both drugs</w:t>
      </w:r>
      <w:r>
        <w:rPr>
          <w:rFonts w:ascii="Arial" w:hAnsi="Arial"/>
          <w:color w:val="231F1F"/>
          <w:w w:val="110"/>
        </w:rPr>
        <w:t>—</w:t>
      </w:r>
      <w:r>
        <w:rPr>
          <w:color w:val="231F1F"/>
          <w:w w:val="110"/>
        </w:rPr>
        <w:t>consult atazanavir product literature); plasma concentration of atazanavir</w:t>
      </w:r>
      <w:r>
        <w:rPr>
          <w:color w:val="231F1F"/>
          <w:spacing w:val="-12"/>
          <w:w w:val="110"/>
        </w:rPr>
        <w:t> </w:t>
      </w:r>
      <w:r>
        <w:rPr>
          <w:color w:val="231F1F"/>
          <w:w w:val="110"/>
        </w:rPr>
        <w:t>reduced</w:t>
      </w:r>
      <w:r>
        <w:rPr>
          <w:color w:val="231F1F"/>
          <w:spacing w:val="-12"/>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PROTON</w:t>
      </w:r>
      <w:r>
        <w:rPr>
          <w:rFonts w:ascii="Calibri" w:hAnsi="Calibri"/>
          <w:color w:val="008356"/>
          <w:spacing w:val="-6"/>
          <w:w w:val="110"/>
          <w:sz w:val="11"/>
        </w:rPr>
        <w:t> </w:t>
      </w:r>
      <w:r>
        <w:rPr>
          <w:rFonts w:ascii="Calibri" w:hAnsi="Calibri"/>
          <w:color w:val="008356"/>
          <w:spacing w:val="4"/>
          <w:w w:val="110"/>
          <w:sz w:val="11"/>
        </w:rPr>
        <w:t>PUMP</w:t>
      </w:r>
      <w:r>
        <w:rPr>
          <w:rFonts w:ascii="Calibri" w:hAnsi="Calibri"/>
          <w:color w:val="008356"/>
          <w:spacing w:val="-5"/>
          <w:w w:val="110"/>
          <w:sz w:val="11"/>
        </w:rPr>
        <w:t> </w:t>
      </w:r>
      <w:r>
        <w:rPr>
          <w:rFonts w:ascii="Calibri" w:hAnsi="Calibri"/>
          <w:color w:val="008356"/>
          <w:spacing w:val="3"/>
          <w:w w:val="110"/>
          <w:sz w:val="11"/>
        </w:rPr>
        <w:t>INHIBITORS</w:t>
      </w:r>
      <w:r>
        <w:rPr>
          <w:rFonts w:ascii="Arial" w:hAnsi="Arial"/>
          <w:color w:val="231F1F"/>
          <w:spacing w:val="3"/>
          <w:w w:val="110"/>
        </w:rPr>
        <w:t>—</w:t>
      </w:r>
      <w:r>
        <w:rPr>
          <w:color w:val="231F1F"/>
          <w:spacing w:val="3"/>
          <w:w w:val="110"/>
        </w:rPr>
        <w:t>avoid</w:t>
      </w:r>
      <w:r>
        <w:rPr>
          <w:color w:val="231F1F"/>
          <w:spacing w:val="-12"/>
          <w:w w:val="110"/>
        </w:rPr>
        <w:t> </w:t>
      </w:r>
      <w:r>
        <w:rPr>
          <w:color w:val="231F1F"/>
          <w:w w:val="110"/>
        </w:rPr>
        <w:t>or adjust dose of both drugs (consult product</w:t>
      </w:r>
      <w:r>
        <w:rPr>
          <w:color w:val="231F1F"/>
          <w:spacing w:val="26"/>
          <w:w w:val="110"/>
        </w:rPr>
        <w:t> </w:t>
      </w:r>
      <w:r>
        <w:rPr>
          <w:color w:val="231F1F"/>
          <w:w w:val="110"/>
        </w:rPr>
        <w:t>literature)</w:t>
      </w:r>
    </w:p>
    <w:p>
      <w:pPr>
        <w:pStyle w:val="BodyText"/>
        <w:spacing w:before="7"/>
        <w:ind w:left="108"/>
      </w:pPr>
      <w:r>
        <w:rPr>
          <w:rFonts w:ascii="Trebuchet MS"/>
          <w:color w:val="008356"/>
          <w:w w:val="110"/>
        </w:rPr>
        <w:t>Atenolol </w:t>
      </w:r>
      <w:r>
        <w:rPr>
          <w:i/>
          <w:color w:val="231F1F"/>
          <w:w w:val="110"/>
        </w:rPr>
        <w:t>see </w:t>
      </w:r>
      <w:r>
        <w:rPr>
          <w:color w:val="231F1F"/>
          <w:w w:val="110"/>
        </w:rPr>
        <w:t>Beta-blockers</w:t>
      </w:r>
    </w:p>
    <w:p>
      <w:pPr>
        <w:pStyle w:val="BodyText"/>
        <w:spacing w:before="10"/>
        <w:ind w:left="108"/>
        <w:rPr>
          <w:rFonts w:ascii="Trebuchet MS"/>
        </w:rPr>
      </w:pPr>
      <w:r>
        <w:rPr>
          <w:rFonts w:ascii="Trebuchet MS"/>
          <w:color w:val="008356"/>
        </w:rPr>
        <w:t>Atomoxetine</w:t>
      </w:r>
    </w:p>
    <w:p>
      <w:pPr>
        <w:pStyle w:val="BodyText"/>
        <w:spacing w:before="1"/>
        <w:ind w:right="60"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increased risk of ventricular arrhythmias when atomoxetine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METHADONE</w:t>
      </w:r>
      <w:r>
        <w:rPr>
          <w:color w:val="231F1F"/>
          <w:spacing w:val="4"/>
          <w:w w:val="110"/>
        </w:rPr>
        <w:t>; </w:t>
      </w:r>
      <w:r>
        <w:rPr>
          <w:color w:val="231F1F"/>
          <w:w w:val="110"/>
        </w:rPr>
        <w:t>possible increased risk of convulsions when atomoxetine given with </w:t>
      </w:r>
      <w:r>
        <w:rPr>
          <w:rFonts w:ascii="Calibri"/>
          <w:color w:val="008356"/>
          <w:spacing w:val="5"/>
          <w:w w:val="110"/>
          <w:sz w:val="11"/>
        </w:rPr>
        <w:t>TRAMADOL</w:t>
      </w:r>
    </w:p>
    <w:p>
      <w:pPr>
        <w:pStyle w:val="BodyText"/>
        <w:ind w:right="268" w:hanging="100"/>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Anti-arrhythmics:</w:t>
      </w:r>
      <w:r>
        <w:rPr>
          <w:rFonts w:ascii="Calibri"/>
          <w:color w:val="231F1F"/>
          <w:spacing w:val="-20"/>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ventricular</w:t>
      </w:r>
      <w:r>
        <w:rPr>
          <w:color w:val="231F1F"/>
          <w:spacing w:val="-24"/>
          <w:w w:val="115"/>
        </w:rPr>
        <w:t> </w:t>
      </w:r>
      <w:r>
        <w:rPr>
          <w:color w:val="231F1F"/>
          <w:w w:val="115"/>
        </w:rPr>
        <w:t>arrhythmias when</w:t>
      </w:r>
      <w:r>
        <w:rPr>
          <w:color w:val="231F1F"/>
          <w:spacing w:val="-10"/>
          <w:w w:val="115"/>
        </w:rPr>
        <w:t> </w:t>
      </w:r>
      <w:r>
        <w:rPr>
          <w:color w:val="231F1F"/>
          <w:w w:val="115"/>
        </w:rPr>
        <w:t>atomoxetine</w:t>
      </w:r>
      <w:r>
        <w:rPr>
          <w:color w:val="231F1F"/>
          <w:spacing w:val="-10"/>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AMIODARONE</w:t>
      </w:r>
      <w:r>
        <w:rPr>
          <w:rFonts w:ascii="Calibri"/>
          <w:color w:val="008356"/>
          <w:spacing w:val="3"/>
          <w:w w:val="115"/>
          <w:sz w:val="11"/>
        </w:rPr>
        <w:t> </w:t>
      </w:r>
      <w:r>
        <w:rPr>
          <w:color w:val="231F1F"/>
          <w:w w:val="115"/>
        </w:rPr>
        <w:t>or</w:t>
      </w:r>
    </w:p>
    <w:p>
      <w:pPr>
        <w:spacing w:line="133" w:lineRule="exact" w:before="6"/>
        <w:ind w:left="208" w:right="0" w:firstLine="0"/>
        <w:jc w:val="left"/>
        <w:rPr>
          <w:rFonts w:ascii="Calibri"/>
          <w:sz w:val="11"/>
        </w:rPr>
      </w:pPr>
      <w:r>
        <w:rPr>
          <w:rFonts w:ascii="Arial"/>
          <w:color w:val="231F1F"/>
          <w:w w:val="105"/>
          <w:position w:val="1"/>
          <w:sz w:val="7"/>
        </w:rPr>
        <w:t>l</w:t>
      </w:r>
      <w:r>
        <w:rPr>
          <w:rFonts w:ascii="Arial"/>
          <w:color w:val="231F1F"/>
          <w:spacing w:val="6"/>
          <w:w w:val="105"/>
          <w:position w:val="1"/>
          <w:sz w:val="7"/>
        </w:rPr>
        <w:t> </w:t>
      </w:r>
      <w:r>
        <w:rPr>
          <w:rFonts w:ascii="Calibri"/>
          <w:color w:val="008356"/>
          <w:spacing w:val="5"/>
          <w:w w:val="105"/>
          <w:sz w:val="11"/>
        </w:rPr>
        <w:t>DISOPYRAMIDE</w:t>
      </w:r>
    </w:p>
    <w:p>
      <w:pPr>
        <w:spacing w:line="247" w:lineRule="auto" w:before="0"/>
        <w:ind w:left="208" w:right="47"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increased risk of ventricular arrhythmias when atomoxetine</w:t>
      </w:r>
      <w:r>
        <w:rPr>
          <w:color w:val="231F1F"/>
          <w:spacing w:val="-7"/>
          <w:w w:val="110"/>
          <w:sz w:val="12"/>
        </w:rPr>
        <w:t> </w:t>
      </w:r>
      <w:r>
        <w:rPr>
          <w:color w:val="231F1F"/>
          <w:w w:val="110"/>
          <w:sz w:val="12"/>
        </w:rPr>
        <w:t>given</w:t>
      </w:r>
      <w:r>
        <w:rPr>
          <w:color w:val="231F1F"/>
          <w:spacing w:val="-6"/>
          <w:w w:val="110"/>
          <w:sz w:val="12"/>
        </w:rPr>
        <w:t> </w:t>
      </w:r>
      <w:r>
        <w:rPr>
          <w:color w:val="231F1F"/>
          <w:w w:val="110"/>
          <w:sz w:val="12"/>
        </w:rPr>
        <w:t>with</w:t>
      </w:r>
      <w:r>
        <w:rPr>
          <w:color w:val="231F1F"/>
          <w:spacing w:val="-7"/>
          <w:w w:val="110"/>
          <w:sz w:val="12"/>
        </w:rPr>
        <w:t> </w:t>
      </w:r>
      <w:r>
        <w:rPr>
          <w:i/>
          <w:color w:val="231F1F"/>
          <w:w w:val="110"/>
          <w:sz w:val="12"/>
        </w:rPr>
        <w:t>parenteral</w:t>
      </w:r>
      <w:r>
        <w:rPr>
          <w:i/>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ERYTHROMYCIN</w:t>
      </w:r>
      <w:r>
        <w:rPr>
          <w:color w:val="231F1F"/>
          <w:spacing w:val="4"/>
          <w:w w:val="110"/>
          <w:sz w:val="12"/>
        </w:rPr>
        <w:t>;</w:t>
      </w:r>
      <w:r>
        <w:rPr>
          <w:color w:val="231F1F"/>
          <w:spacing w:val="-6"/>
          <w:w w:val="110"/>
          <w:sz w:val="12"/>
        </w:rPr>
        <w:t> </w:t>
      </w:r>
      <w:r>
        <w:rPr>
          <w:color w:val="231F1F"/>
          <w:w w:val="110"/>
          <w:sz w:val="12"/>
        </w:rPr>
        <w:t>increased risk of  ventricular arrhythmias when atomoxetine  given 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MOXIFLOXACIN</w:t>
      </w:r>
    </w:p>
    <w:p>
      <w:pPr>
        <w:pStyle w:val="BodyText"/>
        <w:spacing w:line="244" w:lineRule="auto"/>
        <w:ind w:right="101"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metabolism of atomoxetine possibly inhibited by </w:t>
      </w:r>
      <w:r>
        <w:rPr>
          <w:rFonts w:ascii="Calibri"/>
          <w:color w:val="008356"/>
          <w:spacing w:val="4"/>
          <w:w w:val="110"/>
          <w:sz w:val="11"/>
        </w:rPr>
        <w:t>FLUOXETINE </w:t>
      </w:r>
      <w:r>
        <w:rPr>
          <w:color w:val="231F1F"/>
          <w:w w:val="110"/>
        </w:rPr>
        <w:t>and </w:t>
      </w:r>
      <w:r>
        <w:rPr>
          <w:rFonts w:ascii="Calibri"/>
          <w:color w:val="008356"/>
          <w:spacing w:val="3"/>
          <w:w w:val="110"/>
          <w:sz w:val="11"/>
        </w:rPr>
        <w:t>PAROXETINE</w:t>
      </w:r>
      <w:r>
        <w:rPr>
          <w:color w:val="231F1F"/>
          <w:spacing w:val="3"/>
          <w:w w:val="110"/>
        </w:rPr>
        <w:t>; </w:t>
      </w:r>
      <w:r>
        <w:rPr>
          <w:color w:val="231F1F"/>
          <w:w w:val="110"/>
        </w:rPr>
        <w:t>possible increased risk of convulsions when atomoxetine given with </w:t>
      </w:r>
      <w:r>
        <w:rPr>
          <w:rFonts w:ascii="Calibri"/>
          <w:color w:val="008356"/>
          <w:spacing w:val="4"/>
          <w:w w:val="110"/>
          <w:sz w:val="11"/>
        </w:rPr>
        <w:t>ANTIDEPRESSANTS</w:t>
      </w:r>
      <w:r>
        <w:rPr>
          <w:color w:val="231F1F"/>
          <w:spacing w:val="4"/>
          <w:w w:val="110"/>
        </w:rPr>
        <w:t>; </w:t>
      </w:r>
      <w:r>
        <w:rPr>
          <w:color w:val="231F1F"/>
          <w:w w:val="110"/>
        </w:rPr>
        <w:t>atomoxetine should not be started until 2 weeks after stopping </w:t>
      </w:r>
      <w:r>
        <w:rPr>
          <w:rFonts w:ascii="Arial"/>
          <w:color w:val="231F1F"/>
          <w:w w:val="355"/>
          <w:position w:val="1"/>
          <w:sz w:val="7"/>
        </w:rPr>
        <w:t>l </w:t>
      </w:r>
      <w:r>
        <w:rPr>
          <w:rFonts w:ascii="Calibri"/>
          <w:color w:val="008356"/>
          <w:spacing w:val="4"/>
          <w:w w:val="110"/>
          <w:sz w:val="11"/>
        </w:rPr>
        <w:t>MAOIS</w:t>
      </w:r>
      <w:r>
        <w:rPr>
          <w:color w:val="231F1F"/>
          <w:spacing w:val="4"/>
          <w:w w:val="110"/>
        </w:rPr>
        <w:t>, </w:t>
      </w:r>
      <w:r>
        <w:rPr>
          <w:color w:val="231F1F"/>
          <w:w w:val="110"/>
        </w:rPr>
        <w:t>also MAOIs should not be started until at least 2 weeks after stopping atomoxetine; increased risk of ventricular arrhythmias when atomoxetine given with </w:t>
      </w:r>
      <w:r>
        <w:rPr>
          <w:rFonts w:ascii="Arial"/>
          <w:color w:val="231F1F"/>
          <w:w w:val="355"/>
          <w:position w:val="1"/>
          <w:sz w:val="7"/>
        </w:rPr>
        <w:t>l </w:t>
      </w:r>
      <w:r>
        <w:rPr>
          <w:rFonts w:ascii="Calibri"/>
          <w:color w:val="008356"/>
          <w:spacing w:val="4"/>
          <w:w w:val="110"/>
          <w:sz w:val="11"/>
        </w:rPr>
        <w:t>TRICYCLICS</w:t>
      </w:r>
    </w:p>
    <w:p>
      <w:pPr>
        <w:pStyle w:val="BodyText"/>
        <w:ind w:hanging="100"/>
        <w:rPr>
          <w:rFonts w:ascii="Calibri"/>
          <w:sz w:val="11"/>
        </w:rPr>
      </w:pPr>
      <w:r>
        <w:rPr>
          <w:rFonts w:ascii="Arial"/>
          <w:color w:val="231F1F"/>
          <w:w w:val="355"/>
          <w:position w:val="1"/>
          <w:sz w:val="7"/>
        </w:rPr>
        <w:t>l </w:t>
      </w:r>
      <w:r>
        <w:rPr>
          <w:rFonts w:ascii="Calibri"/>
          <w:color w:val="231F1F"/>
          <w:w w:val="110"/>
        </w:rPr>
        <w:t>Antimalarials: </w:t>
      </w:r>
      <w:r>
        <w:rPr>
          <w:color w:val="231F1F"/>
          <w:w w:val="110"/>
        </w:rPr>
        <w:t>increased risk of ventricular arrhythmias </w:t>
      </w:r>
      <w:r>
        <w:rPr>
          <w:color w:val="231F1F"/>
          <w:spacing w:val="-4"/>
          <w:w w:val="110"/>
        </w:rPr>
        <w:t>when </w:t>
      </w:r>
      <w:r>
        <w:rPr>
          <w:color w:val="231F1F"/>
          <w:w w:val="110"/>
        </w:rPr>
        <w:t>atomoxetine given with </w:t>
      </w:r>
      <w:r>
        <w:rPr>
          <w:rFonts w:ascii="Arial"/>
          <w:color w:val="231F1F"/>
          <w:w w:val="355"/>
          <w:position w:val="1"/>
          <w:sz w:val="7"/>
        </w:rPr>
        <w:t>l </w:t>
      </w:r>
      <w:r>
        <w:rPr>
          <w:rFonts w:ascii="Calibri"/>
          <w:color w:val="008356"/>
          <w:spacing w:val="4"/>
          <w:w w:val="110"/>
          <w:sz w:val="11"/>
        </w:rPr>
        <w:t>MEFLOQUINE</w:t>
      </w:r>
    </w:p>
    <w:p>
      <w:pPr>
        <w:pStyle w:val="BodyText"/>
        <w:ind w:right="46" w:hanging="100"/>
      </w:pPr>
      <w:r>
        <w:rPr>
          <w:rFonts w:ascii="Arial"/>
          <w:color w:val="231F1F"/>
          <w:w w:val="355"/>
          <w:position w:val="1"/>
          <w:sz w:val="7"/>
        </w:rPr>
        <w:t>l </w:t>
      </w:r>
      <w:r>
        <w:rPr>
          <w:rFonts w:ascii="Calibri"/>
          <w:color w:val="231F1F"/>
          <w:w w:val="110"/>
        </w:rPr>
        <w:t>Antipsychotics: </w:t>
      </w:r>
      <w:r>
        <w:rPr>
          <w:color w:val="231F1F"/>
          <w:w w:val="110"/>
        </w:rPr>
        <w:t>increased risk of ventricular arrhythmias when atomoxetine given with </w:t>
      </w:r>
      <w:r>
        <w:rPr>
          <w:rFonts w:ascii="Arial"/>
          <w:color w:val="231F1F"/>
          <w:w w:val="355"/>
          <w:position w:val="1"/>
          <w:sz w:val="7"/>
        </w:rPr>
        <w:t>l </w:t>
      </w:r>
      <w:r>
        <w:rPr>
          <w:rFonts w:ascii="Calibri"/>
          <w:color w:val="008356"/>
          <w:w w:val="110"/>
          <w:sz w:val="11"/>
        </w:rPr>
        <w:t>ANTIPSYCHOTICS </w:t>
      </w:r>
      <w:r>
        <w:rPr>
          <w:color w:val="231F1F"/>
          <w:w w:val="110"/>
        </w:rPr>
        <w:t>that prolong the QT interval</w:t>
      </w:r>
    </w:p>
    <w:p>
      <w:pPr>
        <w:pStyle w:val="BodyText"/>
        <w:ind w:right="103"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Beta-blockers:</w:t>
      </w:r>
      <w:r>
        <w:rPr>
          <w:rFonts w:asci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atomoxetine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5"/>
          <w:sz w:val="11"/>
        </w:rPr>
        <w:t>SOTALOL</w:t>
      </w:r>
    </w:p>
    <w:p>
      <w:pPr>
        <w:pStyle w:val="BodyText"/>
        <w:spacing w:line="22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Bupropion: </w:t>
      </w:r>
      <w:r>
        <w:rPr>
          <w:color w:val="231F1F"/>
          <w:w w:val="110"/>
        </w:rPr>
        <w:t>possible increased risk of convulsions when atomoxetine given with </w:t>
      </w:r>
      <w:r>
        <w:rPr>
          <w:rFonts w:ascii="Calibri" w:hAnsi="Calibri"/>
          <w:color w:val="008356"/>
          <w:w w:val="110"/>
          <w:sz w:val="11"/>
        </w:rPr>
        <w:t>BUPROPION</w:t>
      </w:r>
    </w:p>
    <w:p>
      <w:pPr>
        <w:pStyle w:val="BodyText"/>
        <w:ind w:hanging="100"/>
        <w:rPr>
          <w:rFonts w:ascii="Calibri"/>
          <w:sz w:val="11"/>
        </w:rPr>
      </w:pPr>
      <w:r>
        <w:rPr>
          <w:rFonts w:ascii="Arial"/>
          <w:color w:val="231F1F"/>
          <w:w w:val="355"/>
          <w:position w:val="1"/>
          <w:sz w:val="7"/>
        </w:rPr>
        <w:t>l </w:t>
      </w:r>
      <w:r>
        <w:rPr>
          <w:rFonts w:ascii="Calibri"/>
          <w:color w:val="231F1F"/>
          <w:w w:val="110"/>
        </w:rPr>
        <w:t>Diuretics: </w:t>
      </w:r>
      <w:r>
        <w:rPr>
          <w:color w:val="231F1F"/>
          <w:w w:val="110"/>
        </w:rPr>
        <w:t>risk of ventricular arrhythmias with atomoxetine increased by hypokalaemia caused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0"/>
          <w:sz w:val="11"/>
        </w:rPr>
        <w:t>DIURETICS</w:t>
      </w:r>
    </w:p>
    <w:p>
      <w:pPr>
        <w:pStyle w:val="BodyText"/>
        <w:spacing w:line="220" w:lineRule="auto" w:before="1"/>
        <w:ind w:right="26" w:hanging="100"/>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2"/>
          <w:w w:val="95"/>
          <w:sz w:val="10"/>
        </w:rPr>
        <w:t> </w:t>
      </w:r>
      <w:r>
        <w:rPr>
          <w:rFonts w:ascii="Calibri" w:hAnsi="Calibri"/>
          <w:color w:val="231F1F"/>
          <w:w w:val="110"/>
        </w:rPr>
        <w:t>Sympathomimetics,</w:t>
      </w:r>
      <w:r>
        <w:rPr>
          <w:rFonts w:ascii="Calibri" w:hAnsi="Calibri"/>
          <w:color w:val="231F1F"/>
          <w:spacing w:val="-11"/>
          <w:w w:val="110"/>
        </w:rPr>
        <w:t> </w:t>
      </w:r>
      <w:r>
        <w:rPr>
          <w:rFonts w:ascii="Calibri" w:hAnsi="Calibri"/>
          <w:color w:val="231F1F"/>
          <w:w w:val="110"/>
        </w:rPr>
        <w:t>Beta</w:t>
      </w:r>
      <w:r>
        <w:rPr>
          <w:rFonts w:ascii="Calibri" w:hAnsi="Calibri"/>
          <w:color w:val="231F1F"/>
          <w:w w:val="110"/>
          <w:vertAlign w:val="subscript"/>
        </w:rPr>
        <w:t>2</w:t>
      </w:r>
      <w:r>
        <w:rPr>
          <w:rFonts w:ascii="Calibri" w:hAnsi="Calibri"/>
          <w:color w:val="231F1F"/>
          <w:w w:val="110"/>
          <w:vertAlign w:val="baseline"/>
        </w:rPr>
        <w:t>:</w:t>
      </w:r>
      <w:r>
        <w:rPr>
          <w:rFonts w:ascii="Calibri" w:hAnsi="Calibri"/>
          <w:color w:val="231F1F"/>
          <w:spacing w:val="-11"/>
          <w:w w:val="110"/>
          <w:vertAlign w:val="baseline"/>
        </w:rPr>
        <w:t> </w:t>
      </w:r>
      <w:r>
        <w:rPr>
          <w:color w:val="231F1F"/>
          <w:w w:val="110"/>
          <w:vertAlign w:val="baseline"/>
        </w:rPr>
        <w:t>Increased</w:t>
      </w:r>
      <w:r>
        <w:rPr>
          <w:color w:val="231F1F"/>
          <w:spacing w:val="-15"/>
          <w:w w:val="110"/>
          <w:vertAlign w:val="baseline"/>
        </w:rPr>
        <w:t> </w:t>
      </w:r>
      <w:r>
        <w:rPr>
          <w:color w:val="231F1F"/>
          <w:w w:val="110"/>
          <w:vertAlign w:val="baseline"/>
        </w:rPr>
        <w:t>risk</w:t>
      </w:r>
      <w:r>
        <w:rPr>
          <w:color w:val="231F1F"/>
          <w:spacing w:val="-15"/>
          <w:w w:val="110"/>
          <w:vertAlign w:val="baseline"/>
        </w:rPr>
        <w:t> </w:t>
      </w:r>
      <w:r>
        <w:rPr>
          <w:color w:val="231F1F"/>
          <w:w w:val="110"/>
          <w:vertAlign w:val="baseline"/>
        </w:rPr>
        <w:t>of</w:t>
      </w:r>
      <w:r>
        <w:rPr>
          <w:color w:val="231F1F"/>
          <w:spacing w:val="-14"/>
          <w:w w:val="110"/>
          <w:vertAlign w:val="baseline"/>
        </w:rPr>
        <w:t> </w:t>
      </w:r>
      <w:r>
        <w:rPr>
          <w:color w:val="231F1F"/>
          <w:w w:val="110"/>
          <w:vertAlign w:val="baseline"/>
        </w:rPr>
        <w:t>cardiovascular</w:t>
      </w:r>
      <w:r>
        <w:rPr>
          <w:color w:val="231F1F"/>
          <w:spacing w:val="-14"/>
          <w:w w:val="110"/>
          <w:vertAlign w:val="baseline"/>
        </w:rPr>
        <w:t> </w:t>
      </w:r>
      <w:r>
        <w:rPr>
          <w:color w:val="231F1F"/>
          <w:w w:val="110"/>
          <w:vertAlign w:val="baseline"/>
        </w:rPr>
        <w:t>side- effects</w:t>
      </w:r>
      <w:r>
        <w:rPr>
          <w:color w:val="231F1F"/>
          <w:spacing w:val="-5"/>
          <w:w w:val="110"/>
          <w:vertAlign w:val="baseline"/>
        </w:rPr>
        <w:t> </w:t>
      </w:r>
      <w:r>
        <w:rPr>
          <w:color w:val="231F1F"/>
          <w:w w:val="110"/>
          <w:vertAlign w:val="baseline"/>
        </w:rPr>
        <w:t>when</w:t>
      </w:r>
      <w:r>
        <w:rPr>
          <w:color w:val="231F1F"/>
          <w:spacing w:val="-5"/>
          <w:w w:val="110"/>
          <w:vertAlign w:val="baseline"/>
        </w:rPr>
        <w:t> </w:t>
      </w:r>
      <w:r>
        <w:rPr>
          <w:color w:val="231F1F"/>
          <w:w w:val="110"/>
          <w:vertAlign w:val="baseline"/>
        </w:rPr>
        <w:t>atomoxetine</w:t>
      </w:r>
      <w:r>
        <w:rPr>
          <w:color w:val="231F1F"/>
          <w:spacing w:val="-5"/>
          <w:w w:val="110"/>
          <w:vertAlign w:val="baseline"/>
        </w:rPr>
        <w:t> </w:t>
      </w:r>
      <w:r>
        <w:rPr>
          <w:color w:val="231F1F"/>
          <w:w w:val="110"/>
          <w:vertAlign w:val="baseline"/>
        </w:rPr>
        <w:t>given</w:t>
      </w:r>
      <w:r>
        <w:rPr>
          <w:color w:val="231F1F"/>
          <w:spacing w:val="-5"/>
          <w:w w:val="110"/>
          <w:vertAlign w:val="baseline"/>
        </w:rPr>
        <w:t> </w:t>
      </w:r>
      <w:r>
        <w:rPr>
          <w:color w:val="231F1F"/>
          <w:w w:val="110"/>
          <w:vertAlign w:val="baseline"/>
        </w:rPr>
        <w:t>with</w:t>
      </w:r>
      <w:r>
        <w:rPr>
          <w:color w:val="231F1F"/>
          <w:spacing w:val="-4"/>
          <w:w w:val="110"/>
          <w:vertAlign w:val="baseline"/>
        </w:rPr>
        <w:t> </w:t>
      </w:r>
      <w:r>
        <w:rPr>
          <w:i/>
          <w:color w:val="231F1F"/>
          <w:w w:val="110"/>
          <w:vertAlign w:val="baseline"/>
        </w:rPr>
        <w:t>parenteral</w:t>
      </w:r>
      <w:r>
        <w:rPr>
          <w:i/>
          <w:color w:val="231F1F"/>
          <w:spacing w:val="-4"/>
          <w:w w:val="110"/>
          <w:vertAlign w:val="baseline"/>
        </w:rPr>
        <w:t> </w:t>
      </w:r>
      <w:r>
        <w:rPr>
          <w:rFonts w:ascii="Calibri" w:hAnsi="Calibri"/>
          <w:color w:val="008356"/>
          <w:spacing w:val="4"/>
          <w:w w:val="110"/>
          <w:sz w:val="11"/>
          <w:vertAlign w:val="baseline"/>
        </w:rPr>
        <w:t>SALBUTAMOL</w:t>
      </w:r>
    </w:p>
    <w:p>
      <w:pPr>
        <w:pStyle w:val="BodyText"/>
        <w:spacing w:before="9"/>
        <w:ind w:left="108"/>
      </w:pPr>
      <w:r>
        <w:rPr>
          <w:rFonts w:ascii="Trebuchet MS"/>
          <w:color w:val="008356"/>
          <w:w w:val="105"/>
        </w:rPr>
        <w:t>Atorvastatin </w:t>
      </w:r>
      <w:r>
        <w:rPr>
          <w:i/>
          <w:color w:val="231F1F"/>
          <w:w w:val="105"/>
        </w:rPr>
        <w:t>see </w:t>
      </w:r>
      <w:r>
        <w:rPr>
          <w:color w:val="231F1F"/>
          <w:w w:val="105"/>
        </w:rPr>
        <w:t>Statins</w:t>
      </w:r>
    </w:p>
    <w:p>
      <w:pPr>
        <w:pStyle w:val="BodyText"/>
        <w:spacing w:before="10"/>
        <w:ind w:left="108"/>
        <w:rPr>
          <w:rFonts w:ascii="Trebuchet MS"/>
        </w:rPr>
      </w:pPr>
      <w:r>
        <w:rPr>
          <w:rFonts w:ascii="Trebuchet MS"/>
          <w:color w:val="008356"/>
        </w:rPr>
        <w:t>Atovaquone</w:t>
      </w:r>
    </w:p>
    <w:p>
      <w:pPr>
        <w:pStyle w:val="BodyText"/>
        <w:spacing w:line="244" w:lineRule="auto" w:before="1"/>
        <w:ind w:right="131" w:hanging="100"/>
        <w:rPr>
          <w:rFonts w:ascii="Calibri" w:hAnsi="Calibri"/>
          <w:sz w:val="11"/>
        </w:rPr>
      </w:pPr>
      <w:r>
        <w:rPr>
          <w:rFonts w:ascii="Arial" w:hAnsi="Arial"/>
          <w:color w:val="231F1F"/>
          <w:w w:val="355"/>
          <w:position w:val="1"/>
          <w:sz w:val="7"/>
        </w:rPr>
        <w:t>l </w:t>
      </w:r>
      <w:r>
        <w:rPr>
          <w:rFonts w:ascii="Calibri" w:hAnsi="Calibri"/>
          <w:color w:val="231F1F"/>
          <w:w w:val="110"/>
        </w:rPr>
        <w:t>Antibacterials: </w:t>
      </w:r>
      <w:r>
        <w:rPr>
          <w:color w:val="231F1F"/>
          <w:w w:val="110"/>
        </w:rPr>
        <w:t>manufacturer of atovaquone advises avoid concomitant use with </w:t>
      </w:r>
      <w:r>
        <w:rPr>
          <w:rFonts w:ascii="Calibri" w:hAnsi="Calibri"/>
          <w:color w:val="008356"/>
          <w:w w:val="110"/>
          <w:sz w:val="11"/>
        </w:rPr>
        <w:t>RIFABUTIN </w:t>
      </w:r>
      <w:r>
        <w:rPr>
          <w:color w:val="231F1F"/>
          <w:w w:val="110"/>
        </w:rPr>
        <w:t>(plasma concentration of both drugs reduced); plasma concentration of atovaquone reduced by </w:t>
      </w:r>
      <w:r>
        <w:rPr>
          <w:rFonts w:ascii="Arial" w:hAnsi="Arial"/>
          <w:color w:val="231F1F"/>
          <w:w w:val="355"/>
          <w:position w:val="1"/>
          <w:sz w:val="7"/>
        </w:rPr>
        <w:t>l </w:t>
      </w:r>
      <w:r>
        <w:rPr>
          <w:rFonts w:ascii="Calibri" w:hAnsi="Calibri"/>
          <w:color w:val="008356"/>
          <w:w w:val="110"/>
          <w:sz w:val="11"/>
        </w:rPr>
        <w:t>RIFAMPICIN </w:t>
      </w:r>
      <w:r>
        <w:rPr>
          <w:color w:val="231F1F"/>
          <w:w w:val="110"/>
        </w:rPr>
        <w:t>(and concentration of rifampicin increased)</w:t>
      </w:r>
      <w:r>
        <w:rPr>
          <w:rFonts w:ascii="Arial" w:hAnsi="Arial"/>
          <w:color w:val="231F1F"/>
          <w:w w:val="110"/>
        </w:rPr>
        <w:t>—</w:t>
      </w:r>
      <w:r>
        <w:rPr>
          <w:color w:val="231F1F"/>
          <w:w w:val="110"/>
        </w:rPr>
        <w:t>avoid concomitant use; plasma concentration of atovaquone reduced by </w:t>
      </w:r>
      <w:r>
        <w:rPr>
          <w:rFonts w:ascii="Calibri" w:hAnsi="Calibri"/>
          <w:color w:val="008356"/>
          <w:w w:val="110"/>
          <w:sz w:val="11"/>
        </w:rPr>
        <w:t>TETRACYCLINE</w:t>
      </w:r>
    </w:p>
    <w:p>
      <w:pPr>
        <w:pStyle w:val="BodyText"/>
        <w:spacing w:line="140" w:lineRule="exact"/>
        <w:ind w:left="108"/>
      </w:pPr>
      <w:r>
        <w:rPr>
          <w:rFonts w:ascii="Arial"/>
          <w:color w:val="231F1F"/>
          <w:w w:val="355"/>
          <w:position w:val="1"/>
          <w:sz w:val="7"/>
        </w:rPr>
        <w:t>l </w:t>
      </w:r>
      <w:r>
        <w:rPr>
          <w:rFonts w:ascii="Calibri"/>
          <w:color w:val="231F1F"/>
          <w:w w:val="115"/>
        </w:rPr>
        <w:t>Antivirals: </w:t>
      </w:r>
      <w:r>
        <w:rPr>
          <w:color w:val="231F1F"/>
          <w:w w:val="115"/>
        </w:rPr>
        <w:t>plasma concentration of atovaquone reduced by</w:t>
      </w:r>
    </w:p>
    <w:p>
      <w:pPr>
        <w:pStyle w:val="BodyText"/>
        <w:spacing w:line="244" w:lineRule="auto"/>
        <w:ind w:right="33"/>
      </w:pPr>
      <w:r>
        <w:rPr>
          <w:rFonts w:ascii="Arial" w:hAnsi="Arial"/>
          <w:color w:val="231F1F"/>
          <w:w w:val="355"/>
          <w:position w:val="1"/>
          <w:sz w:val="7"/>
        </w:rPr>
        <w:t>l </w:t>
      </w:r>
      <w:r>
        <w:rPr>
          <w:rFonts w:ascii="Calibri" w:hAnsi="Calibri"/>
          <w:color w:val="008356"/>
          <w:spacing w:val="2"/>
          <w:w w:val="115"/>
          <w:sz w:val="11"/>
        </w:rPr>
        <w:t>EFAVIRENZ</w:t>
      </w:r>
      <w:r>
        <w:rPr>
          <w:rFonts w:ascii="Arial" w:hAnsi="Arial"/>
          <w:color w:val="231F1F"/>
          <w:spacing w:val="2"/>
          <w:w w:val="115"/>
        </w:rPr>
        <w:t>—</w:t>
      </w:r>
      <w:r>
        <w:rPr>
          <w:color w:val="231F1F"/>
          <w:spacing w:val="2"/>
          <w:w w:val="115"/>
        </w:rPr>
        <w:t>avoid </w:t>
      </w:r>
      <w:r>
        <w:rPr>
          <w:color w:val="231F1F"/>
          <w:w w:val="115"/>
        </w:rPr>
        <w:t>concomitant use; atovaquone possibly reduces plasma concentration of </w:t>
      </w:r>
      <w:r>
        <w:rPr>
          <w:rFonts w:ascii="Calibri" w:hAnsi="Calibri"/>
          <w:color w:val="008356"/>
          <w:spacing w:val="4"/>
          <w:w w:val="115"/>
          <w:sz w:val="11"/>
        </w:rPr>
        <w:t>INDINAVIR</w:t>
      </w:r>
      <w:r>
        <w:rPr>
          <w:color w:val="231F1F"/>
          <w:spacing w:val="4"/>
          <w:w w:val="115"/>
        </w:rPr>
        <w:t>; </w:t>
      </w:r>
      <w:r>
        <w:rPr>
          <w:color w:val="231F1F"/>
          <w:w w:val="115"/>
        </w:rPr>
        <w:t>plasma concentration</w:t>
      </w:r>
      <w:r>
        <w:rPr>
          <w:color w:val="231F1F"/>
          <w:spacing w:val="-19"/>
          <w:w w:val="115"/>
        </w:rPr>
        <w:t> </w:t>
      </w:r>
      <w:r>
        <w:rPr>
          <w:color w:val="231F1F"/>
          <w:w w:val="115"/>
        </w:rPr>
        <w:t>of</w:t>
      </w:r>
      <w:r>
        <w:rPr>
          <w:color w:val="231F1F"/>
          <w:spacing w:val="-19"/>
          <w:w w:val="115"/>
        </w:rPr>
        <w:t> </w:t>
      </w:r>
      <w:r>
        <w:rPr>
          <w:color w:val="231F1F"/>
          <w:w w:val="115"/>
        </w:rPr>
        <w:t>atovaquone</w:t>
      </w:r>
      <w:r>
        <w:rPr>
          <w:color w:val="231F1F"/>
          <w:spacing w:val="-19"/>
          <w:w w:val="115"/>
        </w:rPr>
        <w:t> </w:t>
      </w:r>
      <w:r>
        <w:rPr>
          <w:color w:val="231F1F"/>
          <w:w w:val="115"/>
        </w:rPr>
        <w:t>possibly</w:t>
      </w:r>
      <w:r>
        <w:rPr>
          <w:color w:val="231F1F"/>
          <w:spacing w:val="-20"/>
          <w:w w:val="115"/>
        </w:rPr>
        <w:t> </w:t>
      </w:r>
      <w:r>
        <w:rPr>
          <w:color w:val="231F1F"/>
          <w:w w:val="115"/>
        </w:rPr>
        <w:t>reduced</w:t>
      </w:r>
      <w:r>
        <w:rPr>
          <w:color w:val="231F1F"/>
          <w:spacing w:val="-19"/>
          <w:w w:val="115"/>
        </w:rPr>
        <w:t> </w:t>
      </w:r>
      <w:r>
        <w:rPr>
          <w:color w:val="231F1F"/>
          <w:w w:val="115"/>
        </w:rPr>
        <w:t>by</w:t>
      </w:r>
      <w:r>
        <w:rPr>
          <w:color w:val="231F1F"/>
          <w:spacing w:val="-19"/>
          <w:w w:val="115"/>
        </w:rPr>
        <w:t> </w:t>
      </w:r>
      <w:r>
        <w:rPr>
          <w:rFonts w:ascii="Calibri" w:hAnsi="Calibri"/>
          <w:color w:val="008356"/>
          <w:w w:val="115"/>
          <w:sz w:val="11"/>
        </w:rPr>
        <w:t>RITONAVIR</w:t>
      </w:r>
      <w:r>
        <w:rPr>
          <w:rFonts w:ascii="Arial" w:hAnsi="Arial"/>
          <w:color w:val="231F1F"/>
          <w:w w:val="115"/>
        </w:rPr>
        <w:t>— </w:t>
      </w:r>
      <w:r>
        <w:rPr>
          <w:color w:val="231F1F"/>
          <w:w w:val="115"/>
        </w:rPr>
        <w:t>manufacturer of atovaquone advises avoid concomitant use; atovaquone increases plasma concentration of </w:t>
      </w:r>
      <w:r>
        <w:rPr>
          <w:rFonts w:ascii="Calibri" w:hAnsi="Calibri"/>
          <w:color w:val="008356"/>
          <w:spacing w:val="4"/>
          <w:w w:val="115"/>
          <w:sz w:val="11"/>
        </w:rPr>
        <w:t>ZIDOVUDINE </w:t>
      </w:r>
      <w:r>
        <w:rPr>
          <w:color w:val="231F1F"/>
          <w:w w:val="115"/>
        </w:rPr>
        <w:t>(increased risk of</w:t>
      </w:r>
      <w:r>
        <w:rPr>
          <w:color w:val="231F1F"/>
          <w:spacing w:val="-13"/>
          <w:w w:val="115"/>
        </w:rPr>
        <w:t> </w:t>
      </w:r>
      <w:r>
        <w:rPr>
          <w:color w:val="231F1F"/>
          <w:w w:val="115"/>
        </w:rPr>
        <w:t>toxicity)</w:t>
      </w:r>
    </w:p>
    <w:p>
      <w:pPr>
        <w:pStyle w:val="BodyText"/>
        <w:spacing w:line="220" w:lineRule="auto" w:before="5"/>
        <w:ind w:right="268"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atovaquone possibly increases plasma concentration of </w:t>
      </w:r>
      <w:r>
        <w:rPr>
          <w:rFonts w:ascii="Calibri" w:hAnsi="Calibri"/>
          <w:color w:val="008356"/>
          <w:w w:val="105"/>
          <w:sz w:val="11"/>
        </w:rPr>
        <w:t>ETOPOSIDE</w:t>
      </w:r>
    </w:p>
    <w:p>
      <w:pPr>
        <w:pStyle w:val="BodyText"/>
        <w:spacing w:line="220" w:lineRule="auto" w:before="9"/>
        <w:ind w:right="131"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atovaquone advised by </w:t>
      </w:r>
      <w:r>
        <w:rPr>
          <w:color w:val="231F1F"/>
          <w:spacing w:val="-2"/>
          <w:w w:val="105"/>
        </w:rPr>
        <w:t>manufacturer  </w:t>
      </w:r>
      <w:r>
        <w:rPr>
          <w:color w:val="231F1F"/>
          <w:w w:val="105"/>
        </w:rPr>
        <w:t>of</w:t>
      </w:r>
      <w:r>
        <w:rPr>
          <w:color w:val="231F1F"/>
          <w:spacing w:val="-1"/>
          <w:w w:val="105"/>
        </w:rPr>
        <w:t> </w:t>
      </w:r>
      <w:r>
        <w:rPr>
          <w:rFonts w:ascii="Calibri" w:hAnsi="Calibri"/>
          <w:color w:val="008356"/>
          <w:spacing w:val="4"/>
          <w:w w:val="105"/>
          <w:sz w:val="11"/>
        </w:rPr>
        <w:t>HISTAMINE</w:t>
      </w:r>
    </w:p>
    <w:p>
      <w:pPr>
        <w:pStyle w:val="BodyText"/>
        <w:spacing w:line="218" w:lineRule="auto" w:before="9"/>
        <w:ind w:right="101" w:hanging="100"/>
      </w:pPr>
      <w:r>
        <w:rPr>
          <w:rFonts w:ascii="Lucida Sans Unicode" w:hAnsi="Lucida Sans Unicode"/>
          <w:color w:val="A7A8AC"/>
          <w:w w:val="95"/>
          <w:sz w:val="10"/>
        </w:rPr>
        <w:t>▶ </w:t>
      </w:r>
      <w:r>
        <w:rPr>
          <w:rFonts w:ascii="Calibri" w:hAnsi="Calibri"/>
          <w:color w:val="231F1F"/>
          <w:w w:val="105"/>
        </w:rPr>
        <w:t>Metoclopramide: </w:t>
      </w:r>
      <w:r>
        <w:rPr>
          <w:color w:val="231F1F"/>
          <w:w w:val="105"/>
        </w:rPr>
        <w:t>plasma concentration of atovaquone reduced by </w:t>
      </w:r>
      <w:r>
        <w:rPr>
          <w:rFonts w:ascii="Calibri" w:hAnsi="Calibri"/>
          <w:color w:val="008356"/>
          <w:spacing w:val="3"/>
          <w:w w:val="105"/>
          <w:sz w:val="11"/>
        </w:rPr>
        <w:t>METOCLOPRAMIDE</w:t>
      </w:r>
      <w:r>
        <w:rPr>
          <w:rFonts w:ascii="Arial" w:hAnsi="Arial"/>
          <w:color w:val="231F1F"/>
          <w:spacing w:val="3"/>
          <w:w w:val="105"/>
        </w:rPr>
        <w:t>—</w:t>
      </w:r>
      <w:r>
        <w:rPr>
          <w:color w:val="231F1F"/>
          <w:spacing w:val="3"/>
          <w:w w:val="105"/>
        </w:rPr>
        <w:t>avoid </w:t>
      </w:r>
      <w:r>
        <w:rPr>
          <w:color w:val="231F1F"/>
          <w:w w:val="105"/>
        </w:rPr>
        <w:t>concomitant</w:t>
      </w:r>
      <w:r>
        <w:rPr>
          <w:color w:val="231F1F"/>
          <w:spacing w:val="-6"/>
          <w:w w:val="105"/>
        </w:rPr>
        <w:t> </w:t>
      </w:r>
      <w:r>
        <w:rPr>
          <w:color w:val="231F1F"/>
          <w:w w:val="105"/>
        </w:rPr>
        <w:t>use</w:t>
      </w:r>
    </w:p>
    <w:p>
      <w:pPr>
        <w:pStyle w:val="BodyText"/>
        <w:spacing w:before="4"/>
        <w:ind w:left="0"/>
        <w:rPr>
          <w:sz w:val="15"/>
        </w:rPr>
      </w:pPr>
      <w:r>
        <w:rPr/>
        <w:br w:type="column"/>
      </w:r>
      <w:r>
        <w:rPr>
          <w:sz w:val="15"/>
        </w:rPr>
      </w:r>
    </w:p>
    <w:p>
      <w:pPr>
        <w:pStyle w:val="BodyText"/>
        <w:spacing w:line="256" w:lineRule="auto"/>
        <w:ind w:left="108" w:right="2217"/>
        <w:rPr>
          <w:rFonts w:ascii="Trebuchet MS"/>
        </w:rPr>
      </w:pPr>
      <w:r>
        <w:rPr>
          <w:rFonts w:ascii="Trebuchet MS"/>
          <w:color w:val="008356"/>
          <w:w w:val="110"/>
        </w:rPr>
        <w:t>Atracurium </w:t>
      </w:r>
      <w:r>
        <w:rPr>
          <w:i/>
          <w:color w:val="231F1F"/>
          <w:w w:val="110"/>
        </w:rPr>
        <w:t>see </w:t>
      </w:r>
      <w:r>
        <w:rPr>
          <w:color w:val="231F1F"/>
          <w:w w:val="110"/>
        </w:rPr>
        <w:t>Muscle Relaxants </w:t>
      </w:r>
      <w:r>
        <w:rPr>
          <w:rFonts w:ascii="Trebuchet MS"/>
          <w:color w:val="008356"/>
          <w:w w:val="110"/>
        </w:rPr>
        <w:t>Atropine </w:t>
      </w:r>
      <w:r>
        <w:rPr>
          <w:i/>
          <w:color w:val="231F1F"/>
          <w:w w:val="110"/>
        </w:rPr>
        <w:t>see </w:t>
      </w:r>
      <w:r>
        <w:rPr>
          <w:color w:val="231F1F"/>
          <w:w w:val="110"/>
        </w:rPr>
        <w:t>Antimuscarinics </w:t>
      </w:r>
      <w:r>
        <w:rPr>
          <w:rFonts w:ascii="Trebuchet MS"/>
          <w:color w:val="008356"/>
          <w:w w:val="110"/>
        </w:rPr>
        <w:t>Avanafil</w:t>
      </w:r>
    </w:p>
    <w:p>
      <w:pPr>
        <w:pStyle w:val="BodyText"/>
        <w:spacing w:line="220" w:lineRule="auto"/>
        <w:ind w:right="820" w:hanging="100"/>
        <w:rPr>
          <w:rFonts w:ascii="Calibri" w:hAnsi="Calibri"/>
          <w:sz w:val="11"/>
        </w:rPr>
      </w:pPr>
      <w:r>
        <w:rPr/>
        <w:pict>
          <v:rect style="position:absolute;margin-left:398.891296pt;margin-top:-24.205786pt;width:20.522993pt;height:149.443pt;mso-position-horizontal-relative:page;mso-position-vertical-relative:paragraph;z-index:2368" filled="true" fillcolor="#bfdbcf" stroked="false">
            <v:fill type="solid"/>
            <w10:wrap type="none"/>
          </v:rect>
        </w:pict>
      </w:r>
      <w:r>
        <w:rPr/>
        <w:pict>
          <v:shape style="position:absolute;margin-left:399.725769pt;margin-top:-19.242397pt;width:10.4pt;height:78.850pt;mso-position-horizontal-relative:page;mso-position-vertical-relative:paragraph;z-index:239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ACE  Inhibitors:  </w:t>
      </w:r>
      <w:r>
        <w:rPr>
          <w:color w:val="231F1F"/>
          <w:w w:val="105"/>
        </w:rPr>
        <w:t>avanafil possibly enhances hypotensive </w:t>
      </w:r>
      <w:r>
        <w:rPr>
          <w:color w:val="231F1F"/>
          <w:spacing w:val="-3"/>
          <w:w w:val="105"/>
        </w:rPr>
        <w:t>effect </w:t>
      </w:r>
      <w:r>
        <w:rPr>
          <w:color w:val="231F1F"/>
          <w:w w:val="105"/>
        </w:rPr>
        <w:t>of</w:t>
      </w:r>
      <w:r>
        <w:rPr>
          <w:color w:val="231F1F"/>
          <w:spacing w:val="-1"/>
          <w:w w:val="105"/>
        </w:rPr>
        <w:t> </w:t>
      </w:r>
      <w:r>
        <w:rPr>
          <w:rFonts w:ascii="Calibri" w:hAnsi="Calibri"/>
          <w:color w:val="008356"/>
          <w:spacing w:val="5"/>
          <w:w w:val="105"/>
          <w:sz w:val="11"/>
        </w:rPr>
        <w:t>ENALAPRIL</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possible enhanced hypotensive effect when avanafil given with </w:t>
      </w:r>
      <w:r>
        <w:rPr>
          <w:rFonts w:ascii="Calibri" w:hAnsi="Calibri"/>
          <w:color w:val="008356"/>
          <w:w w:val="110"/>
          <w:sz w:val="11"/>
        </w:rPr>
        <w:t>ALCOHOL</w:t>
      </w:r>
    </w:p>
    <w:p>
      <w:pPr>
        <w:pStyle w:val="BodyText"/>
        <w:ind w:right="760"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Alpha-blockers:</w:t>
      </w:r>
      <w:r>
        <w:rPr>
          <w:rFonts w:ascii="Calibri" w:hAnsi="Calibri"/>
          <w:color w:val="231F1F"/>
          <w:spacing w:val="-11"/>
          <w:w w:val="115"/>
        </w:rPr>
        <w:t> </w:t>
      </w:r>
      <w:r>
        <w:rPr>
          <w:color w:val="231F1F"/>
          <w:w w:val="115"/>
        </w:rPr>
        <w:t>enhanced</w:t>
      </w:r>
      <w:r>
        <w:rPr>
          <w:color w:val="231F1F"/>
          <w:spacing w:val="-15"/>
          <w:w w:val="115"/>
        </w:rPr>
        <w:t> </w:t>
      </w:r>
      <w:r>
        <w:rPr>
          <w:color w:val="231F1F"/>
          <w:w w:val="115"/>
        </w:rPr>
        <w:t>hypotensive</w:t>
      </w:r>
      <w:r>
        <w:rPr>
          <w:color w:val="231F1F"/>
          <w:spacing w:val="-16"/>
          <w:w w:val="115"/>
        </w:rPr>
        <w:t> </w:t>
      </w:r>
      <w:r>
        <w:rPr>
          <w:color w:val="231F1F"/>
          <w:w w:val="115"/>
        </w:rPr>
        <w:t>effect</w:t>
      </w:r>
      <w:r>
        <w:rPr>
          <w:color w:val="231F1F"/>
          <w:spacing w:val="-15"/>
          <w:w w:val="115"/>
        </w:rPr>
        <w:t> </w:t>
      </w:r>
      <w:r>
        <w:rPr>
          <w:color w:val="231F1F"/>
          <w:w w:val="115"/>
        </w:rPr>
        <w:t>when</w:t>
      </w:r>
      <w:r>
        <w:rPr>
          <w:color w:val="231F1F"/>
          <w:spacing w:val="-15"/>
          <w:w w:val="115"/>
        </w:rPr>
        <w:t> </w:t>
      </w:r>
      <w:r>
        <w:rPr>
          <w:color w:val="231F1F"/>
          <w:w w:val="115"/>
        </w:rPr>
        <w:t>avanafil given</w:t>
      </w:r>
      <w:r>
        <w:rPr>
          <w:color w:val="231F1F"/>
          <w:spacing w:val="-18"/>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ALPHA-BLOCKERS</w:t>
      </w:r>
      <w:r>
        <w:rPr>
          <w:rFonts w:ascii="Arial" w:hAnsi="Arial"/>
          <w:color w:val="231F1F"/>
          <w:spacing w:val="3"/>
          <w:w w:val="115"/>
        </w:rPr>
        <w:t>—</w:t>
      </w:r>
      <w:r>
        <w:rPr>
          <w:color w:val="231F1F"/>
          <w:spacing w:val="3"/>
          <w:w w:val="115"/>
        </w:rPr>
        <w:t>when</w:t>
      </w:r>
      <w:r>
        <w:rPr>
          <w:color w:val="231F1F"/>
          <w:spacing w:val="-17"/>
          <w:w w:val="115"/>
        </w:rPr>
        <w:t> </w:t>
      </w:r>
      <w:r>
        <w:rPr>
          <w:color w:val="231F1F"/>
          <w:w w:val="115"/>
        </w:rPr>
        <w:t>patient</w:t>
      </w:r>
      <w:r>
        <w:rPr>
          <w:color w:val="231F1F"/>
          <w:spacing w:val="-18"/>
          <w:w w:val="115"/>
        </w:rPr>
        <w:t> </w:t>
      </w:r>
      <w:r>
        <w:rPr>
          <w:color w:val="231F1F"/>
          <w:w w:val="115"/>
        </w:rPr>
        <w:t>is</w:t>
      </w:r>
      <w:r>
        <w:rPr>
          <w:color w:val="231F1F"/>
          <w:spacing w:val="-16"/>
          <w:w w:val="115"/>
        </w:rPr>
        <w:t> </w:t>
      </w:r>
      <w:r>
        <w:rPr>
          <w:color w:val="231F1F"/>
          <w:w w:val="115"/>
        </w:rPr>
        <w:t>stable</w:t>
      </w:r>
      <w:r>
        <w:rPr>
          <w:color w:val="231F1F"/>
          <w:spacing w:val="-18"/>
          <w:w w:val="115"/>
        </w:rPr>
        <w:t> </w:t>
      </w:r>
      <w:r>
        <w:rPr>
          <w:color w:val="231F1F"/>
          <w:w w:val="115"/>
        </w:rPr>
        <w:t>on</w:t>
      </w:r>
      <w:r>
        <w:rPr>
          <w:color w:val="231F1F"/>
          <w:spacing w:val="-16"/>
          <w:w w:val="115"/>
        </w:rPr>
        <w:t> </w:t>
      </w:r>
      <w:r>
        <w:rPr>
          <w:color w:val="231F1F"/>
          <w:w w:val="115"/>
        </w:rPr>
        <w:t>the alpha</w:t>
      </w:r>
      <w:r>
        <w:rPr>
          <w:color w:val="231F1F"/>
          <w:spacing w:val="-5"/>
          <w:w w:val="115"/>
        </w:rPr>
        <w:t> </w:t>
      </w:r>
      <w:r>
        <w:rPr>
          <w:color w:val="231F1F"/>
          <w:w w:val="115"/>
        </w:rPr>
        <w:t>blocker</w:t>
      </w:r>
      <w:r>
        <w:rPr>
          <w:color w:val="231F1F"/>
          <w:spacing w:val="-5"/>
          <w:w w:val="115"/>
        </w:rPr>
        <w:t> </w:t>
      </w:r>
      <w:r>
        <w:rPr>
          <w:color w:val="231F1F"/>
          <w:w w:val="115"/>
        </w:rPr>
        <w:t>initiate</w:t>
      </w:r>
      <w:r>
        <w:rPr>
          <w:color w:val="231F1F"/>
          <w:spacing w:val="-4"/>
          <w:w w:val="115"/>
        </w:rPr>
        <w:t> </w:t>
      </w:r>
      <w:r>
        <w:rPr>
          <w:color w:val="231F1F"/>
          <w:w w:val="115"/>
        </w:rPr>
        <w:t>avanafil</w:t>
      </w:r>
      <w:r>
        <w:rPr>
          <w:color w:val="231F1F"/>
          <w:spacing w:val="-5"/>
          <w:w w:val="115"/>
        </w:rPr>
        <w:t> </w:t>
      </w:r>
      <w:r>
        <w:rPr>
          <w:color w:val="231F1F"/>
          <w:w w:val="115"/>
        </w:rPr>
        <w:t>at</w:t>
      </w:r>
      <w:r>
        <w:rPr>
          <w:color w:val="231F1F"/>
          <w:spacing w:val="-5"/>
          <w:w w:val="115"/>
        </w:rPr>
        <w:t> </w:t>
      </w:r>
      <w:r>
        <w:rPr>
          <w:color w:val="231F1F"/>
          <w:w w:val="115"/>
        </w:rPr>
        <w:t>the</w:t>
      </w:r>
      <w:r>
        <w:rPr>
          <w:color w:val="231F1F"/>
          <w:spacing w:val="-4"/>
          <w:w w:val="115"/>
        </w:rPr>
        <w:t> </w:t>
      </w:r>
      <w:r>
        <w:rPr>
          <w:color w:val="231F1F"/>
          <w:w w:val="115"/>
        </w:rPr>
        <w:t>lowest</w:t>
      </w:r>
      <w:r>
        <w:rPr>
          <w:color w:val="231F1F"/>
          <w:spacing w:val="-4"/>
          <w:w w:val="115"/>
        </w:rPr>
        <w:t> </w:t>
      </w:r>
      <w:r>
        <w:rPr>
          <w:color w:val="231F1F"/>
          <w:w w:val="115"/>
        </w:rPr>
        <w:t>possible</w:t>
      </w:r>
      <w:r>
        <w:rPr>
          <w:color w:val="231F1F"/>
          <w:spacing w:val="-4"/>
          <w:w w:val="115"/>
        </w:rPr>
        <w:t> </w:t>
      </w:r>
      <w:r>
        <w:rPr>
          <w:color w:val="231F1F"/>
          <w:w w:val="115"/>
        </w:rPr>
        <w:t>dose</w:t>
      </w:r>
    </w:p>
    <w:p>
      <w:pPr>
        <w:pStyle w:val="BodyText"/>
        <w:spacing w:line="244" w:lineRule="auto" w:before="1"/>
        <w:ind w:right="762"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avanafil possibly increased by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CLARITHROMYCIN </w:t>
      </w:r>
      <w:r>
        <w:rPr>
          <w:color w:val="231F1F"/>
          <w:w w:val="110"/>
        </w:rPr>
        <w:t>and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TELITHROMYCIN</w:t>
      </w:r>
      <w:r>
        <w:rPr>
          <w:rFonts w:ascii="Arial" w:hAnsi="Arial"/>
          <w:color w:val="231F1F"/>
          <w:spacing w:val="4"/>
          <w:w w:val="110"/>
        </w:rPr>
        <w:t>— </w:t>
      </w:r>
      <w:r>
        <w:rPr>
          <w:color w:val="231F1F"/>
          <w:w w:val="110"/>
        </w:rPr>
        <w:t>manufacturer of avanafil advises avoid concomitant </w:t>
      </w:r>
      <w:r>
        <w:rPr>
          <w:color w:val="231F1F"/>
          <w:spacing w:val="-4"/>
          <w:w w:val="110"/>
        </w:rPr>
        <w:t>use; </w:t>
      </w:r>
      <w:r>
        <w:rPr>
          <w:color w:val="231F1F"/>
          <w:w w:val="110"/>
        </w:rPr>
        <w:t>plasma concentration of avanafil increased by</w:t>
      </w:r>
    </w:p>
    <w:p>
      <w:pPr>
        <w:pStyle w:val="BodyText"/>
        <w:ind w:right="670"/>
      </w:pP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rPr>
        <w:t>—</w:t>
      </w:r>
      <w:r>
        <w:rPr>
          <w:color w:val="231F1F"/>
          <w:w w:val="110"/>
        </w:rPr>
        <w:t>see under Avanafil, p. 698; plasma concentration of avanafil possibly reduced by </w:t>
      </w:r>
      <w:r>
        <w:rPr>
          <w:rFonts w:ascii="Calibri" w:hAnsi="Calibri"/>
          <w:color w:val="008356"/>
          <w:w w:val="110"/>
          <w:sz w:val="11"/>
        </w:rPr>
        <w:t>RIFAMPICIN</w:t>
      </w:r>
      <w:r>
        <w:rPr>
          <w:rFonts w:ascii="Arial" w:hAnsi="Arial"/>
          <w:color w:val="231F1F"/>
          <w:w w:val="110"/>
        </w:rPr>
        <w:t>— </w:t>
      </w:r>
      <w:r>
        <w:rPr>
          <w:color w:val="231F1F"/>
          <w:w w:val="110"/>
        </w:rPr>
        <w:t>manufacturer of avanafil advises avoid concomitant use</w:t>
      </w:r>
    </w:p>
    <w:p>
      <w:pPr>
        <w:spacing w:line="220" w:lineRule="auto" w:before="13"/>
        <w:ind w:left="208" w:right="740" w:hanging="100"/>
        <w:jc w:val="left"/>
        <w:rPr>
          <w:rFonts w:ascii="Arial" w:hAnsi="Arial"/>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avanafil possibly reduced</w:t>
      </w:r>
      <w:r>
        <w:rPr>
          <w:color w:val="231F1F"/>
          <w:spacing w:val="-14"/>
          <w:w w:val="105"/>
          <w:sz w:val="12"/>
        </w:rPr>
        <w:t> </w:t>
      </w:r>
      <w:r>
        <w:rPr>
          <w:color w:val="231F1F"/>
          <w:w w:val="105"/>
          <w:sz w:val="12"/>
        </w:rPr>
        <w:t>by</w:t>
      </w:r>
      <w:r>
        <w:rPr>
          <w:color w:val="231F1F"/>
          <w:spacing w:val="-13"/>
          <w:w w:val="105"/>
          <w:sz w:val="12"/>
        </w:rPr>
        <w:t> </w:t>
      </w:r>
      <w:r>
        <w:rPr>
          <w:rFonts w:ascii="Calibri" w:hAnsi="Calibri"/>
          <w:color w:val="008356"/>
          <w:spacing w:val="4"/>
          <w:w w:val="105"/>
          <w:sz w:val="11"/>
        </w:rPr>
        <w:t>CARBAMAZEPINE</w:t>
      </w:r>
      <w:r>
        <w:rPr>
          <w:color w:val="231F1F"/>
          <w:spacing w:val="4"/>
          <w:w w:val="105"/>
          <w:sz w:val="12"/>
        </w:rPr>
        <w:t>,</w:t>
      </w:r>
      <w:r>
        <w:rPr>
          <w:color w:val="231F1F"/>
          <w:spacing w:val="-13"/>
          <w:w w:val="105"/>
          <w:sz w:val="12"/>
        </w:rPr>
        <w:t> </w:t>
      </w:r>
      <w:r>
        <w:rPr>
          <w:rFonts w:ascii="Calibri" w:hAnsi="Calibri"/>
          <w:color w:val="008356"/>
          <w:spacing w:val="4"/>
          <w:w w:val="105"/>
          <w:sz w:val="11"/>
        </w:rPr>
        <w:t>PHENOBARBITAL</w:t>
      </w:r>
      <w:r>
        <w:rPr>
          <w:rFonts w:ascii="Calibri" w:hAnsi="Calibri"/>
          <w:color w:val="008356"/>
          <w:spacing w:val="-5"/>
          <w:w w:val="105"/>
          <w:sz w:val="11"/>
        </w:rPr>
        <w:t> </w:t>
      </w:r>
      <w:r>
        <w:rPr>
          <w:color w:val="231F1F"/>
          <w:w w:val="105"/>
          <w:sz w:val="12"/>
        </w:rPr>
        <w:t>and</w:t>
      </w:r>
      <w:r>
        <w:rPr>
          <w:color w:val="231F1F"/>
          <w:spacing w:val="-13"/>
          <w:w w:val="105"/>
          <w:sz w:val="12"/>
        </w:rPr>
        <w:t> </w:t>
      </w:r>
      <w:r>
        <w:rPr>
          <w:rFonts w:ascii="Calibri" w:hAnsi="Calibri"/>
          <w:color w:val="008356"/>
          <w:spacing w:val="4"/>
          <w:w w:val="105"/>
          <w:sz w:val="11"/>
        </w:rPr>
        <w:t>PRIMIDONE</w:t>
      </w:r>
      <w:r>
        <w:rPr>
          <w:rFonts w:ascii="Arial" w:hAnsi="Arial"/>
          <w:color w:val="231F1F"/>
          <w:spacing w:val="4"/>
          <w:w w:val="105"/>
          <w:sz w:val="12"/>
        </w:rPr>
        <w:t>—</w:t>
      </w:r>
    </w:p>
    <w:p>
      <w:pPr>
        <w:pStyle w:val="BodyText"/>
        <w:spacing w:before="3"/>
      </w:pPr>
      <w:r>
        <w:rPr>
          <w:color w:val="231F1F"/>
          <w:w w:val="115"/>
        </w:rPr>
        <w:t>manufacturer of avanafil advises avoid concomitant use</w:t>
      </w:r>
    </w:p>
    <w:p>
      <w:pPr>
        <w:pStyle w:val="BodyText"/>
        <w:spacing w:before="2"/>
        <w:ind w:right="892"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avanafil increased </w:t>
      </w:r>
      <w:r>
        <w:rPr>
          <w:color w:val="231F1F"/>
          <w:spacing w:val="-8"/>
          <w:w w:val="110"/>
        </w:rPr>
        <w:t>by </w:t>
      </w:r>
      <w:r>
        <w:rPr>
          <w:rFonts w:ascii="Arial" w:hAnsi="Arial"/>
          <w:color w:val="231F1F"/>
          <w:w w:val="355"/>
          <w:position w:val="1"/>
          <w:sz w:val="7"/>
        </w:rPr>
        <w:t>l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 </w:t>
      </w:r>
      <w:r>
        <w:rPr>
          <w:color w:val="231F1F"/>
          <w:w w:val="110"/>
        </w:rPr>
        <w:t>concomitant use; plasma concentration of avanafil possibly increased</w:t>
      </w:r>
      <w:r>
        <w:rPr>
          <w:color w:val="231F1F"/>
          <w:spacing w:val="3"/>
          <w:w w:val="110"/>
        </w:rPr>
        <w:t> </w:t>
      </w:r>
      <w:r>
        <w:rPr>
          <w:color w:val="231F1F"/>
          <w:w w:val="110"/>
        </w:rPr>
        <w:t>by</w:t>
      </w:r>
    </w:p>
    <w:p>
      <w:pPr>
        <w:pStyle w:val="BodyText"/>
        <w:spacing w:before="6"/>
        <w:ind w:right="1215" w:hanging="1"/>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FLUCONAZOLE</w:t>
      </w:r>
      <w:r>
        <w:rPr>
          <w:rFonts w:ascii="Arial" w:hAnsi="Arial"/>
          <w:color w:val="231F1F"/>
          <w:spacing w:val="3"/>
          <w:w w:val="110"/>
        </w:rPr>
        <w:t>—</w:t>
      </w:r>
      <w:r>
        <w:rPr>
          <w:color w:val="231F1F"/>
          <w:spacing w:val="3"/>
          <w:w w:val="110"/>
        </w:rPr>
        <w:t>see</w:t>
      </w:r>
      <w:r>
        <w:rPr>
          <w:color w:val="231F1F"/>
          <w:spacing w:val="-9"/>
          <w:w w:val="110"/>
        </w:rPr>
        <w:t> </w:t>
      </w:r>
      <w:r>
        <w:rPr>
          <w:color w:val="231F1F"/>
          <w:w w:val="110"/>
        </w:rPr>
        <w:t>under</w:t>
      </w:r>
      <w:r>
        <w:rPr>
          <w:color w:val="231F1F"/>
          <w:spacing w:val="-9"/>
          <w:w w:val="110"/>
        </w:rPr>
        <w:t> </w:t>
      </w:r>
      <w:r>
        <w:rPr>
          <w:color w:val="231F1F"/>
          <w:w w:val="110"/>
        </w:rPr>
        <w:t>Avanafil,</w:t>
      </w:r>
      <w:r>
        <w:rPr>
          <w:color w:val="231F1F"/>
          <w:spacing w:val="14"/>
          <w:w w:val="110"/>
        </w:rPr>
        <w:t> </w:t>
      </w:r>
      <w:r>
        <w:rPr>
          <w:color w:val="231F1F"/>
          <w:w w:val="110"/>
        </w:rPr>
        <w:t>p.</w:t>
      </w:r>
      <w:r>
        <w:rPr>
          <w:color w:val="231F1F"/>
          <w:spacing w:val="-9"/>
          <w:w w:val="110"/>
        </w:rPr>
        <w:t> </w:t>
      </w:r>
      <w:r>
        <w:rPr>
          <w:color w:val="231F1F"/>
          <w:w w:val="110"/>
        </w:rPr>
        <w:t>698;</w:t>
      </w:r>
      <w:r>
        <w:rPr>
          <w:color w:val="231F1F"/>
          <w:spacing w:val="-9"/>
          <w:w w:val="110"/>
        </w:rPr>
        <w:t> </w:t>
      </w:r>
      <w:r>
        <w:rPr>
          <w:color w:val="231F1F"/>
          <w:w w:val="110"/>
        </w:rPr>
        <w:t>plasma concentration of avanafil possibly increased</w:t>
      </w:r>
      <w:r>
        <w:rPr>
          <w:color w:val="231F1F"/>
          <w:spacing w:val="15"/>
          <w:w w:val="110"/>
        </w:rPr>
        <w:t> </w:t>
      </w:r>
      <w:r>
        <w:rPr>
          <w:color w:val="231F1F"/>
          <w:w w:val="110"/>
        </w:rPr>
        <w:t>by</w:t>
      </w:r>
    </w:p>
    <w:p>
      <w:pPr>
        <w:spacing w:before="7"/>
        <w:ind w:left="208" w:right="762" w:firstLine="0"/>
        <w:jc w:val="left"/>
        <w:rPr>
          <w:sz w:val="12"/>
        </w:rPr>
      </w:pPr>
      <w:r>
        <w:rPr>
          <w:rFonts w:ascii="Arial" w:hAnsi="Arial"/>
          <w:color w:val="231F1F"/>
          <w:w w:val="110"/>
          <w:position w:val="1"/>
          <w:sz w:val="7"/>
        </w:rPr>
        <w:t>l </w:t>
      </w:r>
      <w:r>
        <w:rPr>
          <w:rFonts w:ascii="Calibri" w:hAnsi="Calibri"/>
          <w:color w:val="008356"/>
          <w:w w:val="110"/>
          <w:sz w:val="11"/>
        </w:rPr>
        <w:t>ITRACONAZOLE </w:t>
      </w:r>
      <w:r>
        <w:rPr>
          <w:color w:val="231F1F"/>
          <w:w w:val="110"/>
          <w:sz w:val="12"/>
        </w:rPr>
        <w:t>and </w:t>
      </w: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manufacturer of </w:t>
      </w:r>
      <w:r>
        <w:rPr>
          <w:color w:val="231F1F"/>
          <w:w w:val="115"/>
          <w:sz w:val="12"/>
        </w:rPr>
        <w:t>avanafil advises avoid concomitant use</w:t>
      </w:r>
    </w:p>
    <w:p>
      <w:pPr>
        <w:pStyle w:val="BodyText"/>
        <w:spacing w:line="244" w:lineRule="auto" w:before="3"/>
        <w:ind w:right="659"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Antivirals:</w:t>
      </w:r>
      <w:r>
        <w:rPr>
          <w:rFonts w:ascii="Calibri" w:hAnsi="Calibri"/>
          <w:color w:val="231F1F"/>
          <w:spacing w:val="-12"/>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color w:val="231F1F"/>
          <w:w w:val="115"/>
        </w:rPr>
        <w:t>avanafil</w:t>
      </w:r>
      <w:r>
        <w:rPr>
          <w:color w:val="231F1F"/>
          <w:spacing w:val="-15"/>
          <w:w w:val="115"/>
        </w:rPr>
        <w:t> </w:t>
      </w:r>
      <w:r>
        <w:rPr>
          <w:color w:val="231F1F"/>
          <w:w w:val="115"/>
        </w:rPr>
        <w:t>possibly</w:t>
      </w:r>
      <w:r>
        <w:rPr>
          <w:color w:val="231F1F"/>
          <w:spacing w:val="-15"/>
          <w:w w:val="115"/>
        </w:rPr>
        <w:t> </w:t>
      </w:r>
      <w:r>
        <w:rPr>
          <w:color w:val="231F1F"/>
          <w:w w:val="115"/>
        </w:rPr>
        <w:t>increased by</w:t>
      </w:r>
      <w:r>
        <w:rPr>
          <w:color w:val="231F1F"/>
          <w:spacing w:val="-24"/>
          <w:w w:val="115"/>
        </w:rPr>
        <w:t> </w:t>
      </w:r>
      <w:r>
        <w:rPr>
          <w:rFonts w:ascii="Arial" w:hAnsi="Arial"/>
          <w:color w:val="231F1F"/>
          <w:w w:val="200"/>
          <w:position w:val="1"/>
          <w:sz w:val="7"/>
        </w:rPr>
        <w:t>l</w:t>
      </w:r>
      <w:r>
        <w:rPr>
          <w:rFonts w:ascii="Arial" w:hAnsi="Arial"/>
          <w:color w:val="231F1F"/>
          <w:spacing w:val="-30"/>
          <w:w w:val="200"/>
          <w:position w:val="1"/>
          <w:sz w:val="7"/>
        </w:rPr>
        <w:t> </w:t>
      </w:r>
      <w:r>
        <w:rPr>
          <w:rFonts w:ascii="Calibri" w:hAnsi="Calibri"/>
          <w:color w:val="008356"/>
          <w:spacing w:val="3"/>
          <w:w w:val="115"/>
          <w:sz w:val="11"/>
        </w:rPr>
        <w:t>ATAZANAVIR</w:t>
      </w:r>
      <w:r>
        <w:rPr>
          <w:color w:val="231F1F"/>
          <w:spacing w:val="3"/>
          <w:w w:val="115"/>
        </w:rPr>
        <w:t>,</w:t>
      </w:r>
      <w:r>
        <w:rPr>
          <w:color w:val="231F1F"/>
          <w:spacing w:val="-23"/>
          <w:w w:val="115"/>
        </w:rPr>
        <w:t> </w:t>
      </w:r>
      <w:r>
        <w:rPr>
          <w:rFonts w:ascii="Arial" w:hAnsi="Arial"/>
          <w:color w:val="231F1F"/>
          <w:w w:val="200"/>
          <w:position w:val="1"/>
          <w:sz w:val="7"/>
        </w:rPr>
        <w:t>l</w:t>
      </w:r>
      <w:r>
        <w:rPr>
          <w:rFonts w:ascii="Arial" w:hAnsi="Arial"/>
          <w:color w:val="231F1F"/>
          <w:spacing w:val="-30"/>
          <w:w w:val="200"/>
          <w:position w:val="1"/>
          <w:sz w:val="7"/>
        </w:rPr>
        <w:t> </w:t>
      </w:r>
      <w:r>
        <w:rPr>
          <w:rFonts w:ascii="Calibri" w:hAnsi="Calibri"/>
          <w:color w:val="008356"/>
          <w:spacing w:val="3"/>
          <w:w w:val="115"/>
          <w:sz w:val="11"/>
        </w:rPr>
        <w:t>INDINAVIR</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00"/>
          <w:position w:val="1"/>
          <w:sz w:val="7"/>
        </w:rPr>
        <w:t>l</w:t>
      </w:r>
      <w:r>
        <w:rPr>
          <w:rFonts w:ascii="Arial" w:hAnsi="Arial"/>
          <w:color w:val="231F1F"/>
          <w:spacing w:val="-29"/>
          <w:w w:val="200"/>
          <w:position w:val="1"/>
          <w:sz w:val="7"/>
        </w:rPr>
        <w:t> </w:t>
      </w:r>
      <w:r>
        <w:rPr>
          <w:rFonts w:ascii="Calibri" w:hAnsi="Calibri"/>
          <w:color w:val="008356"/>
          <w:w w:val="115"/>
          <w:sz w:val="11"/>
        </w:rPr>
        <w:t>SAQUINAVIR</w:t>
      </w:r>
      <w:r>
        <w:rPr>
          <w:rFonts w:ascii="Arial" w:hAnsi="Arial"/>
          <w:color w:val="231F1F"/>
          <w:w w:val="115"/>
        </w:rPr>
        <w:t>—</w:t>
      </w:r>
      <w:r>
        <w:rPr>
          <w:color w:val="231F1F"/>
          <w:w w:val="115"/>
        </w:rPr>
        <w:t>manufacturer of avanafil advises avoid concomitant use; plasma concentration of avanafil possibly reduced by </w:t>
      </w:r>
      <w:r>
        <w:rPr>
          <w:rFonts w:ascii="Calibri" w:hAnsi="Calibri"/>
          <w:color w:val="008356"/>
          <w:spacing w:val="3"/>
          <w:w w:val="115"/>
          <w:sz w:val="11"/>
        </w:rPr>
        <w:t>EFAVIRENZ</w:t>
      </w:r>
      <w:r>
        <w:rPr>
          <w:rFonts w:ascii="Arial" w:hAnsi="Arial"/>
          <w:color w:val="231F1F"/>
          <w:spacing w:val="3"/>
          <w:w w:val="115"/>
        </w:rPr>
        <w:t>— </w:t>
      </w:r>
      <w:r>
        <w:rPr>
          <w:color w:val="231F1F"/>
          <w:w w:val="115"/>
        </w:rPr>
        <w:t>manufacturer of avanafil advises avoid concomitant use; 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5"/>
          <w:w w:val="115"/>
        </w:rPr>
        <w:t> </w:t>
      </w:r>
      <w:r>
        <w:rPr>
          <w:color w:val="231F1F"/>
          <w:w w:val="115"/>
        </w:rPr>
        <w:t>avanafil</w:t>
      </w:r>
      <w:r>
        <w:rPr>
          <w:color w:val="231F1F"/>
          <w:spacing w:val="-5"/>
          <w:w w:val="115"/>
        </w:rPr>
        <w:t> </w:t>
      </w:r>
      <w:r>
        <w:rPr>
          <w:color w:val="231F1F"/>
          <w:w w:val="115"/>
        </w:rPr>
        <w:t>possibly</w:t>
      </w:r>
      <w:r>
        <w:rPr>
          <w:color w:val="231F1F"/>
          <w:spacing w:val="-6"/>
          <w:w w:val="115"/>
        </w:rPr>
        <w:t> </w:t>
      </w:r>
      <w:r>
        <w:rPr>
          <w:color w:val="231F1F"/>
          <w:w w:val="115"/>
        </w:rPr>
        <w:t>increased</w:t>
      </w:r>
      <w:r>
        <w:rPr>
          <w:color w:val="231F1F"/>
          <w:spacing w:val="-6"/>
          <w:w w:val="115"/>
        </w:rPr>
        <w:t> </w:t>
      </w:r>
      <w:r>
        <w:rPr>
          <w:color w:val="231F1F"/>
          <w:w w:val="115"/>
        </w:rPr>
        <w:t>by</w:t>
      </w:r>
    </w:p>
    <w:p>
      <w:pPr>
        <w:pStyle w:val="BodyText"/>
        <w:spacing w:line="244" w:lineRule="auto"/>
        <w:ind w:right="994"/>
      </w:pPr>
      <w:r>
        <w:rPr>
          <w:rFonts w:ascii="Arial" w:hAnsi="Arial"/>
          <w:color w:val="231F1F"/>
          <w:w w:val="355"/>
          <w:position w:val="1"/>
          <w:sz w:val="7"/>
        </w:rPr>
        <w:t>l </w:t>
      </w:r>
      <w:r>
        <w:rPr>
          <w:rFonts w:ascii="Calibri" w:hAnsi="Calibri"/>
          <w:color w:val="008356"/>
          <w:spacing w:val="3"/>
          <w:w w:val="110"/>
          <w:sz w:val="11"/>
        </w:rPr>
        <w:t>FOSAMPRENAVIR</w:t>
      </w:r>
      <w:r>
        <w:rPr>
          <w:rFonts w:ascii="Arial" w:hAnsi="Arial"/>
          <w:color w:val="231F1F"/>
          <w:spacing w:val="3"/>
          <w:w w:val="110"/>
        </w:rPr>
        <w:t>—</w:t>
      </w:r>
      <w:r>
        <w:rPr>
          <w:color w:val="231F1F"/>
          <w:spacing w:val="3"/>
          <w:w w:val="110"/>
        </w:rPr>
        <w:t>see </w:t>
      </w:r>
      <w:r>
        <w:rPr>
          <w:color w:val="231F1F"/>
          <w:w w:val="110"/>
        </w:rPr>
        <w:t>under Avanafil, p. 698; plasma concentration of avanafil significantly increased by</w:t>
      </w:r>
    </w:p>
    <w:p>
      <w:pPr>
        <w:spacing w:line="141" w:lineRule="exact" w:before="2"/>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RITONAVIR</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ind w:right="1050"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Aprepitant:</w:t>
      </w:r>
      <w:r>
        <w:rPr>
          <w:rFonts w:ascii="Calibri" w:hAnsi="Calibri"/>
          <w:color w:val="231F1F"/>
          <w:spacing w:val="-10"/>
          <w:w w:val="115"/>
        </w:rPr>
        <w:t> </w:t>
      </w:r>
      <w:r>
        <w:rPr>
          <w:color w:val="231F1F"/>
          <w:w w:val="115"/>
        </w:rPr>
        <w:t>plasma</w:t>
      </w:r>
      <w:r>
        <w:rPr>
          <w:color w:val="231F1F"/>
          <w:spacing w:val="-13"/>
          <w:w w:val="115"/>
        </w:rPr>
        <w:t> </w:t>
      </w:r>
      <w:r>
        <w:rPr>
          <w:color w:val="231F1F"/>
          <w:w w:val="115"/>
        </w:rPr>
        <w:t>concentration</w:t>
      </w:r>
      <w:r>
        <w:rPr>
          <w:color w:val="231F1F"/>
          <w:spacing w:val="-15"/>
          <w:w w:val="115"/>
        </w:rPr>
        <w:t> </w:t>
      </w:r>
      <w:r>
        <w:rPr>
          <w:color w:val="231F1F"/>
          <w:w w:val="115"/>
        </w:rPr>
        <w:t>of</w:t>
      </w:r>
      <w:r>
        <w:rPr>
          <w:color w:val="231F1F"/>
          <w:spacing w:val="-13"/>
          <w:w w:val="115"/>
        </w:rPr>
        <w:t> </w:t>
      </w:r>
      <w:r>
        <w:rPr>
          <w:color w:val="231F1F"/>
          <w:w w:val="115"/>
        </w:rPr>
        <w:t>avanafil</w:t>
      </w:r>
      <w:r>
        <w:rPr>
          <w:color w:val="231F1F"/>
          <w:spacing w:val="-13"/>
          <w:w w:val="115"/>
        </w:rPr>
        <w:t> </w:t>
      </w:r>
      <w:r>
        <w:rPr>
          <w:color w:val="231F1F"/>
          <w:w w:val="115"/>
        </w:rPr>
        <w:t>possibly increased</w:t>
      </w:r>
      <w:r>
        <w:rPr>
          <w:color w:val="231F1F"/>
          <w:spacing w:val="-21"/>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APREPITANT</w:t>
      </w:r>
      <w:r>
        <w:rPr>
          <w:rFonts w:ascii="Arial" w:hAnsi="Arial"/>
          <w:color w:val="231F1F"/>
          <w:spacing w:val="3"/>
          <w:w w:val="115"/>
        </w:rPr>
        <w:t>—</w:t>
      </w:r>
      <w:r>
        <w:rPr>
          <w:color w:val="231F1F"/>
          <w:spacing w:val="3"/>
          <w:w w:val="115"/>
        </w:rPr>
        <w:t>see</w:t>
      </w:r>
      <w:r>
        <w:rPr>
          <w:color w:val="231F1F"/>
          <w:spacing w:val="-20"/>
          <w:w w:val="115"/>
        </w:rPr>
        <w:t> </w:t>
      </w:r>
      <w:r>
        <w:rPr>
          <w:color w:val="231F1F"/>
          <w:w w:val="115"/>
        </w:rPr>
        <w:t>under</w:t>
      </w:r>
      <w:r>
        <w:rPr>
          <w:color w:val="231F1F"/>
          <w:spacing w:val="-21"/>
          <w:w w:val="115"/>
        </w:rPr>
        <w:t> </w:t>
      </w:r>
      <w:r>
        <w:rPr>
          <w:color w:val="231F1F"/>
          <w:w w:val="115"/>
        </w:rPr>
        <w:t>Avanafil,</w:t>
      </w:r>
      <w:r>
        <w:rPr>
          <w:color w:val="231F1F"/>
          <w:spacing w:val="-6"/>
          <w:w w:val="115"/>
        </w:rPr>
        <w:t> </w:t>
      </w:r>
      <w:r>
        <w:rPr>
          <w:color w:val="231F1F"/>
          <w:w w:val="115"/>
        </w:rPr>
        <w:t>p.</w:t>
      </w:r>
      <w:r>
        <w:rPr>
          <w:color w:val="231F1F"/>
          <w:spacing w:val="-20"/>
          <w:w w:val="115"/>
        </w:rPr>
        <w:t> </w:t>
      </w:r>
      <w:r>
        <w:rPr>
          <w:color w:val="231F1F"/>
          <w:spacing w:val="-4"/>
          <w:w w:val="115"/>
        </w:rPr>
        <w:t>698</w:t>
      </w:r>
    </w:p>
    <w:p>
      <w:pPr>
        <w:pStyle w:val="BodyText"/>
        <w:spacing w:line="230" w:lineRule="auto"/>
        <w:ind w:right="762" w:hanging="100"/>
      </w:pPr>
      <w:r>
        <w:rPr>
          <w:rFonts w:ascii="Lucida Sans Unicode" w:hAnsi="Lucida Sans Unicode"/>
          <w:color w:val="A7A8AC"/>
          <w:w w:val="95"/>
          <w:sz w:val="10"/>
        </w:rPr>
        <w:t>▶ </w:t>
      </w:r>
      <w:r>
        <w:rPr>
          <w:rFonts w:ascii="Calibri" w:hAnsi="Calibri"/>
          <w:color w:val="231F1F"/>
          <w:w w:val="110"/>
        </w:rPr>
        <w:t>Bosentan: </w:t>
      </w:r>
      <w:r>
        <w:rPr>
          <w:color w:val="231F1F"/>
          <w:w w:val="110"/>
        </w:rPr>
        <w:t>plasma concentration of avanafil possibly reduced by </w:t>
      </w:r>
      <w:r>
        <w:rPr>
          <w:rFonts w:ascii="Calibri" w:hAnsi="Calibri"/>
          <w:color w:val="008356"/>
          <w:w w:val="110"/>
          <w:sz w:val="11"/>
        </w:rPr>
        <w:t>BOSENTAN</w:t>
      </w:r>
      <w:r>
        <w:rPr>
          <w:rFonts w:ascii="Arial" w:hAnsi="Arial"/>
          <w:color w:val="231F1F"/>
          <w:w w:val="110"/>
        </w:rPr>
        <w:t>—</w:t>
      </w:r>
      <w:r>
        <w:rPr>
          <w:color w:val="231F1F"/>
          <w:w w:val="110"/>
        </w:rPr>
        <w:t>manufacturer of avanafil advises avoid concomitant</w:t>
      </w:r>
      <w:r>
        <w:rPr>
          <w:color w:val="231F1F"/>
          <w:spacing w:val="-3"/>
          <w:w w:val="110"/>
        </w:rPr>
        <w:t> </w:t>
      </w:r>
      <w:r>
        <w:rPr>
          <w:color w:val="231F1F"/>
          <w:w w:val="110"/>
        </w:rPr>
        <w:t>use</w:t>
      </w:r>
    </w:p>
    <w:p>
      <w:pPr>
        <w:pStyle w:val="BodyText"/>
        <w:spacing w:before="2"/>
        <w:ind w:right="659" w:hanging="100"/>
      </w:pPr>
      <w:r>
        <w:rPr>
          <w:rFonts w:ascii="Arial" w:hAnsi="Arial"/>
          <w:color w:val="231F1F"/>
          <w:w w:val="355"/>
          <w:position w:val="1"/>
          <w:sz w:val="7"/>
        </w:rPr>
        <w:t>l </w:t>
      </w:r>
      <w:r>
        <w:rPr>
          <w:rFonts w:ascii="Calibri" w:hAnsi="Calibri"/>
          <w:color w:val="231F1F"/>
          <w:w w:val="110"/>
        </w:rPr>
        <w:t>Calcium-channel Blockers: </w:t>
      </w:r>
      <w:r>
        <w:rPr>
          <w:color w:val="231F1F"/>
          <w:w w:val="110"/>
        </w:rPr>
        <w:t>plasma concentration of avanafil possibly</w:t>
      </w:r>
      <w:r>
        <w:rPr>
          <w:color w:val="231F1F"/>
          <w:spacing w:val="-9"/>
          <w:w w:val="110"/>
        </w:rPr>
        <w:t> </w:t>
      </w:r>
      <w:r>
        <w:rPr>
          <w:color w:val="231F1F"/>
          <w:w w:val="110"/>
        </w:rPr>
        <w:t>increased</w:t>
      </w:r>
      <w:r>
        <w:rPr>
          <w:color w:val="231F1F"/>
          <w:spacing w:val="-10"/>
          <w:w w:val="110"/>
        </w:rPr>
        <w:t> </w:t>
      </w:r>
      <w:r>
        <w:rPr>
          <w:color w:val="231F1F"/>
          <w:w w:val="110"/>
        </w:rPr>
        <w:t>by</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DILTIAZEM</w:t>
      </w:r>
      <w:r>
        <w:rPr>
          <w:rFonts w:ascii="Calibri" w:hAnsi="Calibri"/>
          <w:color w:val="008356"/>
          <w:spacing w:val="2"/>
          <w:w w:val="110"/>
          <w:sz w:val="11"/>
        </w:rPr>
        <w:t> </w:t>
      </w:r>
      <w:r>
        <w:rPr>
          <w:color w:val="231F1F"/>
          <w:w w:val="110"/>
        </w:rPr>
        <w:t>and</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VERAPAMIL</w:t>
      </w:r>
      <w:r>
        <w:rPr>
          <w:rFonts w:ascii="Arial" w:hAnsi="Arial"/>
          <w:color w:val="231F1F"/>
          <w:spacing w:val="3"/>
          <w:w w:val="110"/>
        </w:rPr>
        <w:t>—</w:t>
      </w:r>
      <w:r>
        <w:rPr>
          <w:color w:val="231F1F"/>
          <w:spacing w:val="3"/>
          <w:w w:val="110"/>
        </w:rPr>
        <w:t>see</w:t>
      </w:r>
      <w:r>
        <w:rPr>
          <w:color w:val="231F1F"/>
          <w:spacing w:val="-9"/>
          <w:w w:val="110"/>
        </w:rPr>
        <w:t> </w:t>
      </w:r>
      <w:r>
        <w:rPr>
          <w:color w:val="231F1F"/>
          <w:w w:val="110"/>
        </w:rPr>
        <w:t>under Avanafil, p.</w:t>
      </w:r>
      <w:r>
        <w:rPr>
          <w:color w:val="231F1F"/>
          <w:spacing w:val="-6"/>
          <w:w w:val="110"/>
        </w:rPr>
        <w:t> </w:t>
      </w:r>
      <w:r>
        <w:rPr>
          <w:color w:val="231F1F"/>
          <w:w w:val="110"/>
        </w:rPr>
        <w:t>698</w:t>
      </w:r>
    </w:p>
    <w:p>
      <w:pPr>
        <w:pStyle w:val="BodyText"/>
        <w:spacing w:line="220" w:lineRule="auto" w:before="11"/>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plasma concentration of avanafil possibly increased by </w:t>
      </w:r>
      <w:r>
        <w:rPr>
          <w:rFonts w:ascii="Calibri" w:hAnsi="Calibri"/>
          <w:color w:val="008356"/>
          <w:w w:val="105"/>
          <w:sz w:val="11"/>
        </w:rPr>
        <w:t>FOSAPREPITANT</w:t>
      </w:r>
    </w:p>
    <w:p>
      <w:pPr>
        <w:pStyle w:val="BodyText"/>
        <w:spacing w:line="230" w:lineRule="auto" w:before="4"/>
        <w:ind w:right="901" w:hanging="100"/>
        <w:jc w:val="both"/>
      </w:pPr>
      <w:r>
        <w:rPr>
          <w:rFonts w:ascii="Lucida Sans Unicode" w:hAnsi="Lucida Sans Unicode"/>
          <w:color w:val="A7A8AC"/>
          <w:w w:val="95"/>
          <w:sz w:val="10"/>
        </w:rPr>
        <w:t>▶ </w:t>
      </w:r>
      <w:r>
        <w:rPr>
          <w:rFonts w:ascii="Calibri" w:hAnsi="Calibri"/>
          <w:color w:val="231F1F"/>
          <w:w w:val="110"/>
        </w:rPr>
        <w:t>Grapefruit Juice: </w:t>
      </w:r>
      <w:r>
        <w:rPr>
          <w:color w:val="231F1F"/>
          <w:w w:val="110"/>
        </w:rPr>
        <w:t>plasma concentration of avanafil possibly increased by </w:t>
      </w:r>
      <w:r>
        <w:rPr>
          <w:rFonts w:ascii="Calibri" w:hAnsi="Calibri"/>
          <w:color w:val="008356"/>
          <w:w w:val="110"/>
          <w:sz w:val="11"/>
        </w:rPr>
        <w:t>GRAPEFRUIT JUICE</w:t>
      </w:r>
      <w:r>
        <w:rPr>
          <w:rFonts w:ascii="Arial" w:hAnsi="Arial"/>
          <w:color w:val="231F1F"/>
          <w:w w:val="110"/>
        </w:rPr>
        <w:t>— </w:t>
      </w:r>
      <w:r>
        <w:rPr>
          <w:color w:val="231F1F"/>
          <w:w w:val="110"/>
        </w:rPr>
        <w:t>manufacturer of avanafil advises avoid grapefruit juice for 24 hours before avanafil</w:t>
      </w:r>
    </w:p>
    <w:p>
      <w:pPr>
        <w:pStyle w:val="BodyText"/>
        <w:spacing w:before="3"/>
        <w:ind w:right="728" w:hanging="100"/>
      </w:pPr>
      <w:r>
        <w:rPr>
          <w:rFonts w:ascii="Arial"/>
          <w:color w:val="231F1F"/>
          <w:w w:val="355"/>
          <w:position w:val="1"/>
          <w:sz w:val="7"/>
        </w:rPr>
        <w:t>l </w:t>
      </w:r>
      <w:r>
        <w:rPr>
          <w:rFonts w:ascii="Calibri"/>
          <w:color w:val="231F1F"/>
          <w:w w:val="110"/>
        </w:rPr>
        <w:t>Nicorandil: </w:t>
      </w:r>
      <w:r>
        <w:rPr>
          <w:color w:val="231F1F"/>
          <w:w w:val="110"/>
        </w:rPr>
        <w:t>avanafil significantly enhances hypotensive effect of </w:t>
      </w:r>
      <w:r>
        <w:rPr>
          <w:rFonts w:ascii="Arial"/>
          <w:color w:val="231F1F"/>
          <w:w w:val="355"/>
          <w:position w:val="1"/>
          <w:sz w:val="7"/>
        </w:rPr>
        <w:t>l </w:t>
      </w:r>
      <w:r>
        <w:rPr>
          <w:rFonts w:ascii="Calibri"/>
          <w:color w:val="008356"/>
          <w:w w:val="110"/>
          <w:sz w:val="11"/>
        </w:rPr>
        <w:t>NICORANDIL </w:t>
      </w:r>
      <w:r>
        <w:rPr>
          <w:color w:val="231F1F"/>
          <w:w w:val="110"/>
        </w:rPr>
        <w:t>(avoid concomitant use)</w:t>
      </w:r>
    </w:p>
    <w:p>
      <w:pPr>
        <w:pStyle w:val="BodyText"/>
        <w:spacing w:line="143" w:lineRule="exact"/>
        <w:ind w:left="108"/>
      </w:pPr>
      <w:r>
        <w:rPr>
          <w:rFonts w:ascii="Arial"/>
          <w:color w:val="231F1F"/>
          <w:w w:val="355"/>
          <w:position w:val="1"/>
          <w:sz w:val="7"/>
        </w:rPr>
        <w:t>l </w:t>
      </w:r>
      <w:r>
        <w:rPr>
          <w:rFonts w:ascii="Calibri"/>
          <w:color w:val="231F1F"/>
          <w:w w:val="120"/>
        </w:rPr>
        <w:t>Nitrates: </w:t>
      </w:r>
      <w:r>
        <w:rPr>
          <w:color w:val="231F1F"/>
          <w:w w:val="120"/>
        </w:rPr>
        <w:t>avanafil significantly enhances hypotensive effect of</w:t>
      </w:r>
    </w:p>
    <w:p>
      <w:pPr>
        <w:spacing w:line="140" w:lineRule="exact" w:before="0"/>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3"/>
          <w:w w:val="120"/>
          <w:sz w:val="11"/>
        </w:rPr>
        <w:t>NITRATES </w:t>
      </w:r>
      <w:r>
        <w:rPr>
          <w:color w:val="231F1F"/>
          <w:w w:val="120"/>
          <w:sz w:val="12"/>
        </w:rPr>
        <w:t>(avoid concomitant use)</w:t>
      </w:r>
    </w:p>
    <w:p>
      <w:pPr>
        <w:pStyle w:val="BodyText"/>
        <w:ind w:right="625" w:hanging="100"/>
      </w:pPr>
      <w:r>
        <w:rPr>
          <w:rFonts w:ascii="Arial" w:hAnsi="Arial"/>
          <w:color w:val="231F1F"/>
          <w:w w:val="355"/>
          <w:position w:val="1"/>
          <w:sz w:val="7"/>
        </w:rPr>
        <w:t>l </w:t>
      </w:r>
      <w:r>
        <w:rPr>
          <w:rFonts w:ascii="Calibri" w:hAnsi="Calibri"/>
          <w:color w:val="231F1F"/>
          <w:w w:val="110"/>
        </w:rPr>
        <w:t>Riociguat: </w:t>
      </w:r>
      <w:r>
        <w:rPr>
          <w:color w:val="231F1F"/>
          <w:w w:val="110"/>
        </w:rPr>
        <w:t>possible enhanced hypotensive effect when avanafil given with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4"/>
        <w:ind w:left="108"/>
        <w:rPr>
          <w:rFonts w:ascii="Trebuchet MS"/>
        </w:rPr>
      </w:pPr>
      <w:r>
        <w:rPr>
          <w:rFonts w:ascii="Trebuchet MS"/>
          <w:color w:val="008356"/>
        </w:rPr>
        <w:t>Axitinib</w:t>
      </w:r>
    </w:p>
    <w:p>
      <w:pPr>
        <w:pStyle w:val="BodyText"/>
        <w:spacing w:line="242" w:lineRule="auto" w:before="1"/>
        <w:ind w:right="670"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axitinib possibly increased by </w:t>
      </w:r>
      <w:r>
        <w:rPr>
          <w:rFonts w:ascii="Calibri" w:hAnsi="Calibri"/>
          <w:color w:val="008356"/>
          <w:w w:val="110"/>
          <w:sz w:val="11"/>
        </w:rPr>
        <w:t>CLARITHROMYCIN</w:t>
      </w:r>
      <w:r>
        <w:rPr>
          <w:color w:val="231F1F"/>
          <w:w w:val="110"/>
        </w:rPr>
        <w:t>, </w:t>
      </w:r>
      <w:r>
        <w:rPr>
          <w:rFonts w:ascii="Calibri" w:hAnsi="Calibri"/>
          <w:color w:val="008356"/>
          <w:w w:val="110"/>
          <w:sz w:val="11"/>
        </w:rPr>
        <w:t>ERYTHROMYCIN </w:t>
      </w:r>
      <w:r>
        <w:rPr>
          <w:color w:val="231F1F"/>
          <w:w w:val="110"/>
        </w:rPr>
        <w:t>and </w:t>
      </w:r>
      <w:r>
        <w:rPr>
          <w:rFonts w:ascii="Calibri" w:hAnsi="Calibri"/>
          <w:color w:val="008356"/>
          <w:w w:val="110"/>
          <w:sz w:val="11"/>
        </w:rPr>
        <w:t>TELITHROMYCIN </w:t>
      </w:r>
      <w:r>
        <w:rPr>
          <w:color w:val="231F1F"/>
          <w:w w:val="110"/>
        </w:rPr>
        <w:t>(reduce dose of axitinib</w:t>
      </w:r>
      <w:r>
        <w:rPr>
          <w:rFonts w:ascii="Arial" w:hAnsi="Arial"/>
          <w:color w:val="231F1F"/>
          <w:w w:val="110"/>
        </w:rPr>
        <w:t>—</w:t>
      </w:r>
      <w:r>
        <w:rPr>
          <w:color w:val="231F1F"/>
          <w:w w:val="110"/>
        </w:rPr>
        <w:t>consult axitinib product literature); plasma concentration of axitinib possibly decreased by </w:t>
      </w:r>
      <w:r>
        <w:rPr>
          <w:rFonts w:ascii="Calibri" w:hAnsi="Calibri"/>
          <w:color w:val="008356"/>
          <w:w w:val="110"/>
          <w:sz w:val="11"/>
        </w:rPr>
        <w:t>RIFABUTIN </w:t>
      </w:r>
      <w:r>
        <w:rPr>
          <w:color w:val="231F1F"/>
          <w:w w:val="110"/>
        </w:rPr>
        <w:t>(increase dose of axitinib</w:t>
      </w:r>
      <w:r>
        <w:rPr>
          <w:rFonts w:ascii="Arial" w:hAnsi="Arial"/>
          <w:color w:val="231F1F"/>
          <w:w w:val="110"/>
        </w:rPr>
        <w:t>—</w:t>
      </w:r>
      <w:r>
        <w:rPr>
          <w:color w:val="231F1F"/>
          <w:w w:val="110"/>
        </w:rPr>
        <w:t>consult axitinib product literature); plasma concentration of axitinib decreased by </w:t>
      </w:r>
      <w:r>
        <w:rPr>
          <w:rFonts w:ascii="Calibri" w:hAnsi="Calibri"/>
          <w:color w:val="008356"/>
          <w:w w:val="110"/>
          <w:sz w:val="11"/>
        </w:rPr>
        <w:t>RIFAMPICIN </w:t>
      </w:r>
      <w:r>
        <w:rPr>
          <w:color w:val="231F1F"/>
          <w:w w:val="110"/>
        </w:rPr>
        <w:t>(increase dose of axitinib</w:t>
      </w:r>
      <w:r>
        <w:rPr>
          <w:rFonts w:ascii="Arial" w:hAnsi="Arial"/>
          <w:color w:val="231F1F"/>
          <w:w w:val="110"/>
        </w:rPr>
        <w:t>—</w:t>
      </w:r>
      <w:r>
        <w:rPr>
          <w:color w:val="231F1F"/>
          <w:w w:val="110"/>
        </w:rPr>
        <w:t>consult axitinib product literature)</w:t>
      </w:r>
    </w:p>
    <w:p>
      <w:pPr>
        <w:pStyle w:val="BodyText"/>
        <w:spacing w:line="230" w:lineRule="auto"/>
        <w:ind w:right="870" w:hanging="100"/>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axitinib possibly reduced by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r>
        <w:rPr>
          <w:rFonts w:ascii="Arial" w:hAnsi="Arial"/>
          <w:color w:val="231F1F"/>
          <w:w w:val="105"/>
        </w:rPr>
        <w:t>—</w:t>
      </w:r>
      <w:r>
        <w:rPr>
          <w:color w:val="231F1F"/>
          <w:w w:val="105"/>
        </w:rPr>
        <w:t>consider increasing dose of axitinib</w:t>
      </w:r>
    </w:p>
    <w:p>
      <w:pPr>
        <w:spacing w:line="220" w:lineRule="auto" w:before="10"/>
        <w:ind w:left="208" w:right="762"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axitinib possibly decreased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w:t>
      </w:r>
    </w:p>
    <w:p>
      <w:pPr>
        <w:spacing w:line="244" w:lineRule="auto" w:before="3"/>
        <w:ind w:left="208" w:right="717" w:firstLine="0"/>
        <w:jc w:val="left"/>
        <w:rPr>
          <w:sz w:val="12"/>
        </w:rPr>
      </w:pPr>
      <w:r>
        <w:rPr>
          <w:rFonts w:ascii="Calibri" w:hAnsi="Calibri"/>
          <w:color w:val="008356"/>
          <w:w w:val="110"/>
          <w:sz w:val="11"/>
        </w:rPr>
        <w:t>PHENYTOIN </w:t>
      </w:r>
      <w:r>
        <w:rPr>
          <w:color w:val="231F1F"/>
          <w:w w:val="110"/>
          <w:sz w:val="12"/>
        </w:rPr>
        <w:t>and </w:t>
      </w:r>
      <w:r>
        <w:rPr>
          <w:rFonts w:ascii="Calibri" w:hAnsi="Calibri"/>
          <w:color w:val="008356"/>
          <w:w w:val="110"/>
          <w:sz w:val="11"/>
        </w:rPr>
        <w:t>PRIMIDONE </w:t>
      </w:r>
      <w:r>
        <w:rPr>
          <w:color w:val="231F1F"/>
          <w:w w:val="110"/>
          <w:sz w:val="12"/>
        </w:rPr>
        <w:t>(increase dose of axitinib</w:t>
      </w:r>
      <w:r>
        <w:rPr>
          <w:rFonts w:ascii="Arial" w:hAnsi="Arial"/>
          <w:color w:val="231F1F"/>
          <w:w w:val="110"/>
          <w:sz w:val="12"/>
        </w:rPr>
        <w:t>—</w:t>
      </w:r>
      <w:r>
        <w:rPr>
          <w:color w:val="231F1F"/>
          <w:w w:val="110"/>
          <w:sz w:val="12"/>
        </w:rPr>
        <w:t>consult </w:t>
      </w:r>
      <w:r>
        <w:rPr>
          <w:color w:val="231F1F"/>
          <w:w w:val="115"/>
          <w:sz w:val="12"/>
        </w:rPr>
        <w:t>axitinib product literature)</w:t>
      </w:r>
    </w:p>
    <w:p>
      <w:pPr>
        <w:pStyle w:val="BodyText"/>
        <w:spacing w:line="230" w:lineRule="auto" w:before="2"/>
        <w:ind w:right="670"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axitinib increased by </w:t>
      </w:r>
      <w:r>
        <w:rPr>
          <w:rFonts w:ascii="Calibri" w:hAnsi="Calibri"/>
          <w:color w:val="008356"/>
          <w:w w:val="110"/>
          <w:sz w:val="11"/>
        </w:rPr>
        <w:t>KETOCONAZOLE </w:t>
      </w:r>
      <w:r>
        <w:rPr>
          <w:color w:val="231F1F"/>
          <w:w w:val="110"/>
        </w:rPr>
        <w:t>(reduce dose of axitinib</w:t>
      </w:r>
      <w:r>
        <w:rPr>
          <w:rFonts w:ascii="Arial" w:hAnsi="Arial"/>
          <w:color w:val="231F1F"/>
          <w:w w:val="110"/>
        </w:rPr>
        <w:t>—</w:t>
      </w:r>
      <w:r>
        <w:rPr>
          <w:color w:val="231F1F"/>
          <w:w w:val="110"/>
        </w:rPr>
        <w:t>consult axitinib product literature); plasma concentration of axitinib possibly</w:t>
      </w:r>
    </w:p>
    <w:p>
      <w:pPr>
        <w:spacing w:after="0" w:line="230" w:lineRule="auto"/>
        <w:sectPr>
          <w:pgSz w:w="8390" w:h="11910"/>
          <w:pgMar w:header="0" w:footer="0" w:top="460" w:bottom="0" w:left="480" w:right="0"/>
          <w:cols w:num="2" w:equalWidth="0">
            <w:col w:w="3601" w:space="7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416" filled="true" fillcolor="#bfdbcf" stroked="false">
            <v:fill type="solid"/>
            <w10:wrap type="none"/>
          </v:rect>
        </w:pict>
      </w:r>
      <w:r>
        <w:rPr/>
        <w:pict>
          <v:shape style="position:absolute;margin-left:7.751256pt;margin-top:35.804367pt;width:10.4pt;height:78.850pt;mso-position-horizontal-relative:page;mso-position-vertical-relative:page;z-index:244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w w:val="105"/>
        </w:rPr>
        <w:t>Axitinib</w:t>
      </w:r>
    </w:p>
    <w:p>
      <w:pPr>
        <w:pStyle w:val="BodyText"/>
        <w:spacing w:line="145" w:lineRule="exact" w:before="5"/>
        <w:ind w:left="286"/>
        <w:rPr>
          <w:rFonts w:ascii="Calibri"/>
        </w:rPr>
      </w:pPr>
      <w:r>
        <w:rPr>
          <w:rFonts w:ascii="Calibri"/>
          <w:color w:val="231F1F"/>
        </w:rPr>
        <w:t>Antifungals (continued)</w:t>
      </w:r>
    </w:p>
    <w:p>
      <w:pPr>
        <w:pStyle w:val="BodyText"/>
        <w:spacing w:line="244" w:lineRule="auto"/>
        <w:ind w:left="286" w:hanging="1"/>
      </w:pPr>
      <w:r>
        <w:rPr>
          <w:color w:val="231F1F"/>
          <w:w w:val="110"/>
        </w:rPr>
        <w:t>increased by </w:t>
      </w:r>
      <w:r>
        <w:rPr>
          <w:rFonts w:ascii="Calibri" w:hAnsi="Calibri"/>
          <w:color w:val="008356"/>
          <w:w w:val="110"/>
          <w:sz w:val="11"/>
        </w:rPr>
        <w:t>ITRACONAZOLE </w:t>
      </w:r>
      <w:r>
        <w:rPr>
          <w:color w:val="231F1F"/>
          <w:w w:val="110"/>
        </w:rPr>
        <w:t>(reduce dose of axitinib</w:t>
      </w:r>
      <w:r>
        <w:rPr>
          <w:rFonts w:ascii="Arial" w:hAnsi="Arial"/>
          <w:color w:val="231F1F"/>
          <w:w w:val="110"/>
        </w:rPr>
        <w:t>—</w:t>
      </w:r>
      <w:r>
        <w:rPr>
          <w:color w:val="231F1F"/>
          <w:w w:val="110"/>
        </w:rPr>
        <w:t>consult </w:t>
      </w:r>
      <w:r>
        <w:rPr>
          <w:color w:val="231F1F"/>
          <w:w w:val="115"/>
        </w:rPr>
        <w:t>axitinib product literature)</w:t>
      </w:r>
    </w:p>
    <w:p>
      <w:pPr>
        <w:pStyle w:val="BodyText"/>
        <w:spacing w:line="144"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220" w:lineRule="auto" w:before="7"/>
        <w:ind w:left="286" w:right="23" w:hanging="100"/>
        <w:jc w:val="left"/>
        <w:rPr>
          <w:sz w:val="12"/>
        </w:rPr>
      </w:pPr>
      <w:r>
        <w:rPr>
          <w:rFonts w:ascii="Lucida Sans Unicode" w:hAnsi="Lucida Sans Unicode"/>
          <w:color w:val="A7A8AC"/>
          <w:w w:val="95"/>
          <w:sz w:val="10"/>
        </w:rPr>
        <w:t>▶ </w:t>
      </w:r>
      <w:r>
        <w:rPr>
          <w:rFonts w:ascii="Calibri" w:hAnsi="Calibri"/>
          <w:color w:val="231F1F"/>
          <w:w w:val="105"/>
          <w:sz w:val="12"/>
        </w:rPr>
        <w:t>Antivirals: </w:t>
      </w:r>
      <w:r>
        <w:rPr>
          <w:color w:val="231F1F"/>
          <w:w w:val="105"/>
          <w:sz w:val="12"/>
        </w:rPr>
        <w:t>plasma concentration of  axitinib  possibly increased by</w:t>
      </w:r>
      <w:r>
        <w:rPr>
          <w:color w:val="231F1F"/>
          <w:spacing w:val="-8"/>
          <w:w w:val="105"/>
          <w:sz w:val="12"/>
        </w:rPr>
        <w:t> </w:t>
      </w:r>
      <w:r>
        <w:rPr>
          <w:rFonts w:ascii="Calibri" w:hAnsi="Calibri"/>
          <w:color w:val="008356"/>
          <w:spacing w:val="3"/>
          <w:w w:val="105"/>
          <w:sz w:val="11"/>
        </w:rPr>
        <w:t>ATAZANAVIR</w:t>
      </w:r>
      <w:r>
        <w:rPr>
          <w:color w:val="231F1F"/>
          <w:spacing w:val="3"/>
          <w:w w:val="105"/>
          <w:sz w:val="12"/>
        </w:rPr>
        <w:t>,</w:t>
      </w:r>
      <w:r>
        <w:rPr>
          <w:color w:val="231F1F"/>
          <w:spacing w:val="-8"/>
          <w:w w:val="105"/>
          <w:sz w:val="12"/>
        </w:rPr>
        <w:t> </w:t>
      </w:r>
      <w:r>
        <w:rPr>
          <w:rFonts w:ascii="Calibri" w:hAnsi="Calibri"/>
          <w:color w:val="008356"/>
          <w:spacing w:val="4"/>
          <w:w w:val="105"/>
          <w:sz w:val="11"/>
        </w:rPr>
        <w:t>INDINAVIR</w:t>
      </w:r>
      <w:r>
        <w:rPr>
          <w:color w:val="231F1F"/>
          <w:spacing w:val="4"/>
          <w:w w:val="105"/>
          <w:sz w:val="12"/>
        </w:rPr>
        <w:t>,</w:t>
      </w:r>
      <w:r>
        <w:rPr>
          <w:color w:val="231F1F"/>
          <w:spacing w:val="-7"/>
          <w:w w:val="105"/>
          <w:sz w:val="12"/>
        </w:rPr>
        <w:t> </w:t>
      </w:r>
      <w:r>
        <w:rPr>
          <w:rFonts w:ascii="Calibri" w:hAnsi="Calibri"/>
          <w:color w:val="008356"/>
          <w:spacing w:val="3"/>
          <w:w w:val="105"/>
          <w:sz w:val="11"/>
        </w:rPr>
        <w:t>RITONAVIR</w:t>
      </w:r>
      <w:r>
        <w:rPr>
          <w:rFonts w:ascii="Calibri" w:hAnsi="Calibri"/>
          <w:color w:val="008356"/>
          <w:spacing w:val="2"/>
          <w:w w:val="105"/>
          <w:sz w:val="11"/>
        </w:rPr>
        <w:t> </w:t>
      </w:r>
      <w:r>
        <w:rPr>
          <w:color w:val="231F1F"/>
          <w:w w:val="105"/>
          <w:sz w:val="12"/>
        </w:rPr>
        <w:t>and</w:t>
      </w:r>
      <w:r>
        <w:rPr>
          <w:color w:val="231F1F"/>
          <w:spacing w:val="-9"/>
          <w:w w:val="105"/>
          <w:sz w:val="12"/>
        </w:rPr>
        <w:t> </w:t>
      </w:r>
      <w:r>
        <w:rPr>
          <w:rFonts w:ascii="Calibri" w:hAnsi="Calibri"/>
          <w:color w:val="008356"/>
          <w:spacing w:val="4"/>
          <w:w w:val="105"/>
          <w:sz w:val="11"/>
        </w:rPr>
        <w:t>SAQUINAVIR</w:t>
      </w:r>
      <w:r>
        <w:rPr>
          <w:rFonts w:ascii="Calibri" w:hAnsi="Calibri"/>
          <w:color w:val="008356"/>
          <w:spacing w:val="3"/>
          <w:w w:val="105"/>
          <w:sz w:val="11"/>
        </w:rPr>
        <w:t> </w:t>
      </w:r>
      <w:r>
        <w:rPr>
          <w:color w:val="231F1F"/>
          <w:w w:val="105"/>
          <w:sz w:val="12"/>
        </w:rPr>
        <w:t>(reduce</w:t>
      </w:r>
    </w:p>
    <w:p>
      <w:pPr>
        <w:pStyle w:val="BodyText"/>
        <w:spacing w:before="3"/>
        <w:ind w:left="286"/>
      </w:pPr>
      <w:r>
        <w:rPr>
          <w:color w:val="231F1F"/>
          <w:w w:val="115"/>
        </w:rPr>
        <w:t>dose of axitinib</w:t>
      </w:r>
      <w:r>
        <w:rPr>
          <w:rFonts w:ascii="Arial" w:hAnsi="Arial"/>
          <w:color w:val="231F1F"/>
          <w:w w:val="115"/>
        </w:rPr>
        <w:t>—</w:t>
      </w:r>
      <w:r>
        <w:rPr>
          <w:color w:val="231F1F"/>
          <w:w w:val="115"/>
        </w:rPr>
        <w:t>consult axitinib product literature)</w:t>
      </w:r>
    </w:p>
    <w:p>
      <w:pPr>
        <w:pStyle w:val="BodyText"/>
        <w:spacing w:line="230" w:lineRule="auto" w:before="6"/>
        <w:ind w:left="286"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plasma concentration of axitinib possibly decreased by </w:t>
      </w:r>
      <w:r>
        <w:rPr>
          <w:rFonts w:ascii="Calibri" w:hAnsi="Calibri"/>
          <w:color w:val="008356"/>
          <w:w w:val="110"/>
          <w:sz w:val="11"/>
        </w:rPr>
        <w:t>DEXAMETHASONE </w:t>
      </w:r>
      <w:r>
        <w:rPr>
          <w:color w:val="231F1F"/>
          <w:w w:val="110"/>
        </w:rPr>
        <w:t>(increase dose of axitinib</w:t>
      </w:r>
      <w:r>
        <w:rPr>
          <w:rFonts w:ascii="Arial" w:hAnsi="Arial"/>
          <w:color w:val="231F1F"/>
          <w:w w:val="110"/>
        </w:rPr>
        <w:t>— </w:t>
      </w:r>
      <w:r>
        <w:rPr>
          <w:color w:val="231F1F"/>
          <w:w w:val="110"/>
        </w:rPr>
        <w:t>consult axitinib product literature)</w:t>
      </w:r>
    </w:p>
    <w:p>
      <w:pPr>
        <w:pStyle w:val="BodyText"/>
        <w:spacing w:line="220" w:lineRule="auto" w:before="12"/>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axitinib possibly increased by </w:t>
      </w:r>
      <w:r>
        <w:rPr>
          <w:rFonts w:ascii="Calibri" w:hAnsi="Calibri"/>
          <w:color w:val="008356"/>
          <w:w w:val="105"/>
          <w:sz w:val="11"/>
        </w:rPr>
        <w:t>GRAPEFRUIT JUICE</w:t>
      </w:r>
    </w:p>
    <w:p>
      <w:pPr>
        <w:pStyle w:val="BodyText"/>
        <w:spacing w:before="8"/>
        <w:ind w:left="186"/>
        <w:rPr>
          <w:rFonts w:ascii="Trebuchet MS"/>
        </w:rPr>
      </w:pPr>
      <w:r>
        <w:rPr>
          <w:rFonts w:ascii="Trebuchet MS"/>
          <w:color w:val="008356"/>
        </w:rPr>
        <w:t>Azathioprine</w:t>
      </w:r>
    </w:p>
    <w:p>
      <w:pPr>
        <w:pStyle w:val="BodyText"/>
        <w:spacing w:line="237" w:lineRule="auto" w:before="2"/>
        <w:ind w:left="286" w:right="85" w:hanging="100"/>
      </w:pPr>
      <w:r>
        <w:rPr>
          <w:rFonts w:ascii="Lucida Sans Unicode" w:hAnsi="Lucida Sans Unicode"/>
          <w:color w:val="A7A8AC"/>
          <w:w w:val="95"/>
          <w:sz w:val="10"/>
        </w:rPr>
        <w:t>▶ </w:t>
      </w:r>
      <w:r>
        <w:rPr>
          <w:rFonts w:ascii="Calibri" w:hAnsi="Calibri"/>
          <w:color w:val="231F1F"/>
          <w:w w:val="110"/>
        </w:rPr>
        <w:t>ACE Inhibitors: </w:t>
      </w:r>
      <w:r>
        <w:rPr>
          <w:color w:val="231F1F"/>
          <w:w w:val="110"/>
        </w:rPr>
        <w:t>increased risk of anaemia or leucopenia when azathioprine given with </w:t>
      </w:r>
      <w:r>
        <w:rPr>
          <w:rFonts w:ascii="Calibri" w:hAnsi="Calibri"/>
          <w:color w:val="008356"/>
          <w:w w:val="110"/>
          <w:sz w:val="11"/>
        </w:rPr>
        <w:t>CAPTOPRIL </w:t>
      </w:r>
      <w:r>
        <w:rPr>
          <w:color w:val="231F1F"/>
          <w:w w:val="110"/>
        </w:rPr>
        <w:t>especially in renal impairment; increased risk of anaemia when azathioprine given with </w:t>
      </w:r>
      <w:r>
        <w:rPr>
          <w:rFonts w:ascii="Calibri" w:hAnsi="Calibri"/>
          <w:color w:val="008356"/>
          <w:w w:val="110"/>
          <w:sz w:val="11"/>
        </w:rPr>
        <w:t>ENALAPRIL </w:t>
      </w:r>
      <w:r>
        <w:rPr>
          <w:color w:val="231F1F"/>
          <w:w w:val="110"/>
        </w:rPr>
        <w:t>especially in renal impairment</w:t>
      </w:r>
    </w:p>
    <w:p>
      <w:pPr>
        <w:pStyle w:val="BodyText"/>
        <w:ind w:left="286" w:hanging="100"/>
      </w:pPr>
      <w:r>
        <w:rPr>
          <w:rFonts w:ascii="Arial"/>
          <w:color w:val="231F1F"/>
          <w:w w:val="355"/>
          <w:position w:val="1"/>
          <w:sz w:val="7"/>
        </w:rPr>
        <w:t>l </w:t>
      </w:r>
      <w:r>
        <w:rPr>
          <w:rFonts w:ascii="Calibri"/>
          <w:color w:val="231F1F"/>
          <w:w w:val="110"/>
        </w:rPr>
        <w:t>Allopurinol: </w:t>
      </w:r>
      <w:r>
        <w:rPr>
          <w:color w:val="231F1F"/>
          <w:w w:val="110"/>
        </w:rPr>
        <w:t>enhanced effects and increased toxicity of azathioprine when given with </w:t>
      </w:r>
      <w:r>
        <w:rPr>
          <w:rFonts w:ascii="Arial"/>
          <w:color w:val="231F1F"/>
          <w:w w:val="355"/>
          <w:position w:val="1"/>
          <w:sz w:val="7"/>
        </w:rPr>
        <w:t>l </w:t>
      </w:r>
      <w:r>
        <w:rPr>
          <w:rFonts w:ascii="Calibri"/>
          <w:color w:val="008356"/>
          <w:w w:val="110"/>
          <w:sz w:val="11"/>
        </w:rPr>
        <w:t>ALLOPURINOL </w:t>
      </w:r>
      <w:r>
        <w:rPr>
          <w:color w:val="231F1F"/>
          <w:w w:val="110"/>
        </w:rPr>
        <w:t>(reduce dose of azathioprine to one quarter of usual dose)</w:t>
      </w:r>
    </w:p>
    <w:p>
      <w:pPr>
        <w:pStyle w:val="BodyText"/>
        <w:spacing w:line="244" w:lineRule="auto"/>
        <w:ind w:left="286" w:hanging="100"/>
      </w:pPr>
      <w:r>
        <w:rPr>
          <w:rFonts w:ascii="Arial"/>
          <w:color w:val="231F1F"/>
          <w:w w:val="355"/>
          <w:position w:val="1"/>
          <w:sz w:val="7"/>
        </w:rPr>
        <w:t>l </w:t>
      </w:r>
      <w:r>
        <w:rPr>
          <w:rFonts w:ascii="Calibri"/>
          <w:color w:val="231F1F"/>
          <w:w w:val="110"/>
        </w:rPr>
        <w:t>Antibacterials: </w:t>
      </w:r>
      <w:r>
        <w:rPr>
          <w:color w:val="231F1F"/>
          <w:w w:val="110"/>
        </w:rPr>
        <w:t>increased risk of haematological toxicity when azathioprine given with </w:t>
      </w:r>
      <w:r>
        <w:rPr>
          <w:rFonts w:ascii="Arial"/>
          <w:color w:val="231F1F"/>
          <w:w w:val="355"/>
          <w:position w:val="1"/>
          <w:sz w:val="7"/>
        </w:rPr>
        <w:t>l </w:t>
      </w:r>
      <w:r>
        <w:rPr>
          <w:rFonts w:ascii="Calibri"/>
          <w:color w:val="008356"/>
          <w:w w:val="110"/>
          <w:sz w:val="11"/>
        </w:rPr>
        <w:t>SULFAMETHOXAZOLE </w:t>
      </w:r>
      <w:r>
        <w:rPr>
          <w:color w:val="231F1F"/>
          <w:w w:val="110"/>
        </w:rPr>
        <w:t>(as co- trimoxazole); increased risk of haematological toxicity when azathioprine given with </w:t>
      </w:r>
      <w:r>
        <w:rPr>
          <w:rFonts w:ascii="Arial"/>
          <w:color w:val="231F1F"/>
          <w:w w:val="355"/>
          <w:position w:val="1"/>
          <w:sz w:val="7"/>
        </w:rPr>
        <w:t>l </w:t>
      </w:r>
      <w:r>
        <w:rPr>
          <w:rFonts w:ascii="Calibri"/>
          <w:color w:val="008356"/>
          <w:w w:val="110"/>
          <w:sz w:val="11"/>
        </w:rPr>
        <w:t>TRIMETHOPRIM </w:t>
      </w:r>
      <w:r>
        <w:rPr>
          <w:color w:val="231F1F"/>
          <w:w w:val="110"/>
        </w:rPr>
        <w:t>(also with co- trimoxazole)</w:t>
      </w:r>
    </w:p>
    <w:p>
      <w:pPr>
        <w:pStyle w:val="BodyText"/>
        <w:spacing w:line="237" w:lineRule="auto"/>
        <w:ind w:left="286" w:right="130" w:hanging="100"/>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Anticoagulants:</w:t>
      </w:r>
      <w:r>
        <w:rPr>
          <w:rFonts w:ascii="Calibri"/>
          <w:color w:val="231F1F"/>
          <w:spacing w:val="-13"/>
          <w:w w:val="115"/>
        </w:rPr>
        <w:t> </w:t>
      </w:r>
      <w:r>
        <w:rPr>
          <w:color w:val="231F1F"/>
          <w:w w:val="115"/>
        </w:rPr>
        <w:t>azathioprine</w:t>
      </w:r>
      <w:r>
        <w:rPr>
          <w:color w:val="231F1F"/>
          <w:spacing w:val="-16"/>
          <w:w w:val="115"/>
        </w:rPr>
        <w:t> </w:t>
      </w:r>
      <w:r>
        <w:rPr>
          <w:color w:val="231F1F"/>
          <w:w w:val="115"/>
        </w:rPr>
        <w:t>possibly</w:t>
      </w:r>
      <w:r>
        <w:rPr>
          <w:color w:val="231F1F"/>
          <w:spacing w:val="-17"/>
          <w:w w:val="115"/>
        </w:rPr>
        <w:t> </w:t>
      </w:r>
      <w:r>
        <w:rPr>
          <w:color w:val="231F1F"/>
          <w:w w:val="115"/>
        </w:rPr>
        <w:t>reduces</w:t>
      </w:r>
      <w:r>
        <w:rPr>
          <w:color w:val="231F1F"/>
          <w:spacing w:val="-16"/>
          <w:w w:val="115"/>
        </w:rPr>
        <w:t>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COUMARINS</w:t>
      </w:r>
    </w:p>
    <w:p>
      <w:pPr>
        <w:pStyle w:val="BodyText"/>
        <w:ind w:left="286" w:right="37" w:hanging="100"/>
        <w:rPr>
          <w:rFonts w:ascii="Calibri"/>
          <w:sz w:val="11"/>
        </w:rPr>
      </w:pPr>
      <w:r>
        <w:rPr>
          <w:rFonts w:ascii="Arial"/>
          <w:color w:val="231F1F"/>
          <w:w w:val="115"/>
          <w:position w:val="1"/>
          <w:sz w:val="7"/>
        </w:rPr>
        <w:t>l </w:t>
      </w:r>
      <w:r>
        <w:rPr>
          <w:rFonts w:ascii="Calibri"/>
          <w:color w:val="231F1F"/>
          <w:w w:val="115"/>
        </w:rPr>
        <w:t>Antivirals: </w:t>
      </w:r>
      <w:r>
        <w:rPr>
          <w:color w:val="231F1F"/>
          <w:w w:val="115"/>
        </w:rPr>
        <w:t>myelosuppressive effects of azathioprine possibly </w:t>
      </w:r>
      <w:r>
        <w:rPr>
          <w:color w:val="231F1F"/>
          <w:w w:val="120"/>
        </w:rPr>
        <w:t>enhanced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20"/>
          <w:sz w:val="11"/>
        </w:rPr>
        <w:t>RIBAVIRIN</w:t>
      </w:r>
    </w:p>
    <w:p>
      <w:pPr>
        <w:pStyle w:val="BodyText"/>
        <w:ind w:left="286" w:right="23" w:hanging="100"/>
        <w:rPr>
          <w:rFonts w:ascii="Calibri"/>
          <w:sz w:val="11"/>
        </w:rPr>
      </w:pPr>
      <w:r>
        <w:rPr>
          <w:rFonts w:ascii="Arial"/>
          <w:color w:val="231F1F"/>
          <w:w w:val="355"/>
          <w:position w:val="1"/>
          <w:sz w:val="7"/>
        </w:rPr>
        <w:t>l </w:t>
      </w:r>
      <w:r>
        <w:rPr>
          <w:rFonts w:ascii="Calibri"/>
          <w:color w:val="231F1F"/>
          <w:w w:val="110"/>
        </w:rPr>
        <w:t>Febuxostat: </w:t>
      </w:r>
      <w:r>
        <w:rPr>
          <w:color w:val="231F1F"/>
          <w:w w:val="110"/>
        </w:rPr>
        <w:t>avoidance of azathioprine advised by manufacturer of </w:t>
      </w:r>
      <w:r>
        <w:rPr>
          <w:rFonts w:ascii="Arial"/>
          <w:color w:val="231F1F"/>
          <w:w w:val="355"/>
          <w:position w:val="1"/>
          <w:sz w:val="7"/>
        </w:rPr>
        <w:t>l </w:t>
      </w:r>
      <w:r>
        <w:rPr>
          <w:rFonts w:ascii="Calibri"/>
          <w:color w:val="008356"/>
          <w:w w:val="110"/>
          <w:sz w:val="11"/>
        </w:rPr>
        <w:t>FEBUXOSTAT</w:t>
      </w:r>
    </w:p>
    <w:p>
      <w:pPr>
        <w:pStyle w:val="BodyText"/>
        <w:ind w:left="186"/>
      </w:pPr>
      <w:r>
        <w:rPr>
          <w:rFonts w:ascii="Trebuchet MS"/>
          <w:color w:val="008356"/>
          <w:w w:val="105"/>
        </w:rPr>
        <w:t>Azelastine </w:t>
      </w:r>
      <w:r>
        <w:rPr>
          <w:i/>
          <w:color w:val="231F1F"/>
          <w:w w:val="105"/>
        </w:rPr>
        <w:t>see </w:t>
      </w:r>
      <w:r>
        <w:rPr>
          <w:color w:val="231F1F"/>
          <w:w w:val="105"/>
        </w:rPr>
        <w:t>Antihistamines</w:t>
      </w:r>
    </w:p>
    <w:p>
      <w:pPr>
        <w:pStyle w:val="BodyText"/>
        <w:spacing w:before="8"/>
        <w:ind w:left="186"/>
      </w:pPr>
      <w:r>
        <w:rPr>
          <w:rFonts w:ascii="Trebuchet MS"/>
          <w:color w:val="008356"/>
          <w:w w:val="110"/>
        </w:rPr>
        <w:t>Azilsartan </w:t>
      </w:r>
      <w:r>
        <w:rPr>
          <w:i/>
          <w:color w:val="231F1F"/>
          <w:w w:val="110"/>
        </w:rPr>
        <w:t>see </w:t>
      </w:r>
      <w:r>
        <w:rPr>
          <w:color w:val="231F1F"/>
          <w:w w:val="110"/>
        </w:rPr>
        <w:t>Angiotensin-II Receptor Antagonists</w:t>
      </w:r>
    </w:p>
    <w:p>
      <w:pPr>
        <w:pStyle w:val="BodyText"/>
        <w:spacing w:before="10"/>
        <w:ind w:left="186"/>
      </w:pPr>
      <w:r>
        <w:rPr>
          <w:rFonts w:ascii="Trebuchet MS"/>
          <w:color w:val="008356"/>
          <w:w w:val="105"/>
        </w:rPr>
        <w:t>Azithromycin </w:t>
      </w:r>
      <w:r>
        <w:rPr>
          <w:i/>
          <w:color w:val="231F1F"/>
          <w:w w:val="105"/>
        </w:rPr>
        <w:t>see </w:t>
      </w:r>
      <w:r>
        <w:rPr>
          <w:color w:val="231F1F"/>
          <w:w w:val="105"/>
        </w:rPr>
        <w:t>Macrolides</w:t>
      </w:r>
    </w:p>
    <w:p>
      <w:pPr>
        <w:pStyle w:val="BodyText"/>
        <w:spacing w:before="10"/>
        <w:ind w:left="186"/>
        <w:rPr>
          <w:rFonts w:ascii="Trebuchet MS"/>
        </w:rPr>
      </w:pPr>
      <w:r>
        <w:rPr>
          <w:rFonts w:ascii="Trebuchet MS"/>
          <w:color w:val="008356"/>
        </w:rPr>
        <w:t>Aztreonam</w:t>
      </w:r>
    </w:p>
    <w:p>
      <w:pPr>
        <w:pStyle w:val="BodyText"/>
        <w:spacing w:before="1"/>
        <w:ind w:left="286" w:right="141" w:hanging="100"/>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Anticoagulants:</w:t>
      </w:r>
      <w:r>
        <w:rPr>
          <w:rFonts w:ascii="Calibri"/>
          <w:color w:val="231F1F"/>
          <w:spacing w:val="-14"/>
          <w:w w:val="115"/>
        </w:rPr>
        <w:t> </w:t>
      </w:r>
      <w:r>
        <w:rPr>
          <w:color w:val="231F1F"/>
          <w:w w:val="115"/>
        </w:rPr>
        <w:t>aztreonam</w:t>
      </w:r>
      <w:r>
        <w:rPr>
          <w:color w:val="231F1F"/>
          <w:spacing w:val="-16"/>
          <w:w w:val="115"/>
        </w:rPr>
        <w:t> </w:t>
      </w:r>
      <w:r>
        <w:rPr>
          <w:color w:val="231F1F"/>
          <w:w w:val="115"/>
        </w:rPr>
        <w:t>possibly</w:t>
      </w:r>
      <w:r>
        <w:rPr>
          <w:color w:val="231F1F"/>
          <w:spacing w:val="-17"/>
          <w:w w:val="115"/>
        </w:rPr>
        <w:t> </w:t>
      </w:r>
      <w:r>
        <w:rPr>
          <w:color w:val="231F1F"/>
          <w:w w:val="115"/>
        </w:rPr>
        <w:t>enhances</w:t>
      </w:r>
      <w:r>
        <w:rPr>
          <w:color w:val="231F1F"/>
          <w:spacing w:val="-16"/>
          <w:w w:val="115"/>
        </w:rPr>
        <w:t>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COUMARINS</w:t>
      </w:r>
    </w:p>
    <w:p>
      <w:pPr>
        <w:spacing w:line="220" w:lineRule="auto" w:before="6"/>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2"/>
        <w:ind w:left="186" w:right="1081"/>
        <w:rPr>
          <w:rFonts w:ascii="Trebuchet MS"/>
        </w:rPr>
      </w:pPr>
      <w:r>
        <w:rPr>
          <w:rFonts w:ascii="Trebuchet MS"/>
          <w:color w:val="008356"/>
          <w:w w:val="110"/>
        </w:rPr>
        <w:t>Baclofen </w:t>
      </w:r>
      <w:r>
        <w:rPr>
          <w:i/>
          <w:color w:val="231F1F"/>
          <w:w w:val="110"/>
        </w:rPr>
        <w:t>see </w:t>
      </w:r>
      <w:r>
        <w:rPr>
          <w:color w:val="231F1F"/>
          <w:w w:val="110"/>
        </w:rPr>
        <w:t>Muscle Relaxants </w:t>
      </w:r>
      <w:r>
        <w:rPr>
          <w:rFonts w:ascii="Trebuchet MS"/>
          <w:color w:val="008356"/>
          <w:w w:val="110"/>
        </w:rPr>
        <w:t>Bambuterol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Basiliximab</w:t>
      </w:r>
    </w:p>
    <w:p>
      <w:pPr>
        <w:pStyle w:val="BodyText"/>
        <w:spacing w:line="138"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11"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line="256" w:lineRule="auto" w:before="5"/>
        <w:ind w:left="186" w:right="1208"/>
        <w:rPr>
          <w:rFonts w:ascii="Trebuchet MS"/>
        </w:rPr>
      </w:pPr>
      <w:r>
        <w:rPr>
          <w:rFonts w:ascii="Trebuchet MS"/>
          <w:color w:val="008356"/>
          <w:w w:val="105"/>
        </w:rPr>
        <w:t>BCG Vaccine </w:t>
      </w:r>
      <w:r>
        <w:rPr>
          <w:i/>
          <w:color w:val="231F1F"/>
          <w:w w:val="105"/>
        </w:rPr>
        <w:t>see </w:t>
      </w:r>
      <w:r>
        <w:rPr>
          <w:color w:val="231F1F"/>
          <w:w w:val="105"/>
        </w:rPr>
        <w:t>Vaccines </w:t>
      </w:r>
      <w:r>
        <w:rPr>
          <w:rFonts w:ascii="Trebuchet MS"/>
          <w:color w:val="008356"/>
          <w:w w:val="105"/>
        </w:rPr>
        <w:t>Beclometasone </w:t>
      </w:r>
      <w:r>
        <w:rPr>
          <w:i/>
          <w:color w:val="231F1F"/>
          <w:w w:val="105"/>
        </w:rPr>
        <w:t>see </w:t>
      </w:r>
      <w:r>
        <w:rPr>
          <w:color w:val="231F1F"/>
          <w:w w:val="105"/>
        </w:rPr>
        <w:t>Corticosteroids </w:t>
      </w:r>
      <w:r>
        <w:rPr>
          <w:rFonts w:ascii="Trebuchet MS"/>
          <w:color w:val="008356"/>
          <w:w w:val="105"/>
        </w:rPr>
        <w:t>Bedaquiline</w:t>
      </w:r>
    </w:p>
    <w:p>
      <w:pPr>
        <w:pStyle w:val="BodyText"/>
        <w:spacing w:line="138" w:lineRule="exact"/>
        <w:ind w:left="186"/>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Antibacterials:</w:t>
      </w:r>
      <w:r>
        <w:rPr>
          <w:rFonts w:ascii="Calibri"/>
          <w:color w:val="231F1F"/>
          <w:spacing w:val="-11"/>
          <w:w w:val="115"/>
        </w:rPr>
        <w:t> </w:t>
      </w:r>
      <w:r>
        <w:rPr>
          <w:color w:val="231F1F"/>
          <w:w w:val="115"/>
        </w:rPr>
        <w:t>plasma</w:t>
      </w:r>
      <w:r>
        <w:rPr>
          <w:color w:val="231F1F"/>
          <w:spacing w:val="-13"/>
          <w:w w:val="115"/>
        </w:rPr>
        <w:t> </w:t>
      </w:r>
      <w:r>
        <w:rPr>
          <w:color w:val="231F1F"/>
          <w:w w:val="115"/>
        </w:rPr>
        <w:t>concentration</w:t>
      </w:r>
      <w:r>
        <w:rPr>
          <w:color w:val="231F1F"/>
          <w:spacing w:val="-15"/>
          <w:w w:val="115"/>
        </w:rPr>
        <w:t> </w:t>
      </w:r>
      <w:r>
        <w:rPr>
          <w:color w:val="231F1F"/>
          <w:w w:val="115"/>
        </w:rPr>
        <w:t>of</w:t>
      </w:r>
      <w:r>
        <w:rPr>
          <w:color w:val="231F1F"/>
          <w:spacing w:val="-12"/>
          <w:w w:val="115"/>
        </w:rPr>
        <w:t> </w:t>
      </w:r>
      <w:r>
        <w:rPr>
          <w:color w:val="231F1F"/>
          <w:w w:val="115"/>
        </w:rPr>
        <w:t>bedaquiline</w:t>
      </w:r>
      <w:r>
        <w:rPr>
          <w:color w:val="231F1F"/>
          <w:spacing w:val="-14"/>
          <w:w w:val="115"/>
        </w:rPr>
        <w:t> </w:t>
      </w:r>
      <w:r>
        <w:rPr>
          <w:color w:val="231F1F"/>
          <w:w w:val="115"/>
        </w:rPr>
        <w:t>possibly</w:t>
      </w:r>
    </w:p>
    <w:p>
      <w:pPr>
        <w:pStyle w:val="BodyText"/>
        <w:spacing w:line="247" w:lineRule="auto"/>
        <w:ind w:left="286" w:right="13"/>
        <w:rPr>
          <w:rFonts w:ascii="Calibri" w:hAnsi="Calibri"/>
          <w:sz w:val="11"/>
        </w:rPr>
      </w:pPr>
      <w:r>
        <w:rPr>
          <w:color w:val="231F1F"/>
          <w:w w:val="110"/>
        </w:rPr>
        <w:t>increased by </w:t>
      </w:r>
      <w:r>
        <w:rPr>
          <w:rFonts w:ascii="Calibri" w:hAnsi="Calibri"/>
          <w:color w:val="008356"/>
          <w:spacing w:val="4"/>
          <w:w w:val="110"/>
          <w:sz w:val="11"/>
        </w:rPr>
        <w:t>CIPROFLOXACIN</w:t>
      </w:r>
      <w:r>
        <w:rPr>
          <w:color w:val="231F1F"/>
          <w:spacing w:val="4"/>
          <w:w w:val="110"/>
        </w:rPr>
        <w:t>, </w:t>
      </w:r>
      <w:r>
        <w:rPr>
          <w:rFonts w:ascii="Calibri" w:hAnsi="Calibri"/>
          <w:color w:val="008356"/>
          <w:spacing w:val="4"/>
          <w:w w:val="110"/>
          <w:sz w:val="11"/>
        </w:rPr>
        <w:t>CLARITHROMYCIN </w:t>
      </w:r>
      <w:r>
        <w:rPr>
          <w:color w:val="231F1F"/>
          <w:w w:val="110"/>
        </w:rPr>
        <w:t>and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0"/>
        </w:rPr>
        <w:t>concomitant use if ciprofloxacin, clarithromycin and erythromycin given for more  than  14 days; manufacturer of bedaquiline advises avoid concomitant use with </w:t>
      </w:r>
      <w:r>
        <w:rPr>
          <w:rFonts w:ascii="Calibri" w:hAnsi="Calibri"/>
          <w:color w:val="008356"/>
          <w:spacing w:val="4"/>
          <w:w w:val="110"/>
          <w:sz w:val="11"/>
        </w:rPr>
        <w:t>MOXIFLOXACIN</w:t>
      </w:r>
      <w:r>
        <w:rPr>
          <w:color w:val="231F1F"/>
          <w:spacing w:val="4"/>
          <w:w w:val="110"/>
        </w:rPr>
        <w:t>; </w:t>
      </w:r>
      <w:r>
        <w:rPr>
          <w:color w:val="231F1F"/>
          <w:w w:val="110"/>
        </w:rPr>
        <w:t>plasma concentration of bedaquiline possibly reduced by </w:t>
      </w:r>
      <w:r>
        <w:rPr>
          <w:rFonts w:ascii="Calibri" w:hAnsi="Calibri"/>
          <w:color w:val="008356"/>
          <w:w w:val="110"/>
          <w:sz w:val="11"/>
        </w:rPr>
        <w:t>RIFABUTIN</w:t>
      </w:r>
      <w:r>
        <w:rPr>
          <w:rFonts w:ascii="Arial" w:hAnsi="Arial"/>
          <w:color w:val="231F1F"/>
          <w:w w:val="110"/>
        </w:rPr>
        <w:t>—</w:t>
      </w:r>
      <w:r>
        <w:rPr>
          <w:color w:val="231F1F"/>
          <w:w w:val="110"/>
        </w:rPr>
        <w:t>manufacturer of bedaquiline advises avoid concomitant use; plasma concentration of bedaquiline reduced by </w:t>
      </w:r>
      <w:r>
        <w:rPr>
          <w:rFonts w:ascii="Arial" w:hAnsi="Arial"/>
          <w:color w:val="231F1F"/>
          <w:w w:val="355"/>
          <w:position w:val="1"/>
          <w:sz w:val="7"/>
        </w:rPr>
        <w:t>l </w:t>
      </w:r>
      <w:r>
        <w:rPr>
          <w:rFonts w:ascii="Calibri" w:hAnsi="Calibri"/>
          <w:color w:val="008356"/>
          <w:w w:val="110"/>
          <w:sz w:val="11"/>
        </w:rPr>
        <w:t>RIFAMPICIN</w:t>
      </w:r>
      <w:r>
        <w:rPr>
          <w:rFonts w:ascii="Arial" w:hAnsi="Arial"/>
          <w:color w:val="231F1F"/>
          <w:w w:val="110"/>
        </w:rPr>
        <w:t>—</w:t>
      </w:r>
      <w:r>
        <w:rPr>
          <w:color w:val="231F1F"/>
          <w:w w:val="110"/>
        </w:rPr>
        <w:t>manufacturer of bedaquiline advises avoid concomitant  use;  possible increased risk of ventricular arrhythmias when bedaquiline given with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CLOFAZIMINE</w:t>
      </w:r>
    </w:p>
    <w:p>
      <w:pPr>
        <w:pStyle w:val="BodyText"/>
        <w:spacing w:line="139" w:lineRule="exact"/>
        <w:ind w:left="186"/>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bedaquiline possibly</w:t>
      </w:r>
    </w:p>
    <w:p>
      <w:pPr>
        <w:pStyle w:val="BodyText"/>
        <w:spacing w:line="242" w:lineRule="auto"/>
        <w:ind w:left="286" w:right="242"/>
      </w:pPr>
      <w:r>
        <w:rPr>
          <w:color w:val="231F1F"/>
          <w:w w:val="110"/>
        </w:rPr>
        <w:t>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bedaquiline advises avoid concomitant use</w:t>
      </w:r>
    </w:p>
    <w:p>
      <w:pPr>
        <w:spacing w:before="0"/>
        <w:ind w:left="286" w:right="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bedaquiline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 </w:t>
      </w:r>
      <w:r>
        <w:rPr>
          <w:color w:val="231F1F"/>
          <w:w w:val="110"/>
          <w:sz w:val="12"/>
        </w:rPr>
        <w:t>and</w:t>
      </w:r>
    </w:p>
    <w:p>
      <w:pPr>
        <w:pStyle w:val="BodyText"/>
        <w:spacing w:line="244" w:lineRule="auto"/>
        <w:ind w:left="286" w:right="190"/>
      </w:pPr>
      <w:r>
        <w:rPr>
          <w:rFonts w:ascii="Arial" w:hAnsi="Arial"/>
          <w:color w:val="231F1F"/>
          <w:w w:val="115"/>
          <w:position w:val="1"/>
          <w:sz w:val="7"/>
        </w:rPr>
        <w:t>l </w:t>
      </w:r>
      <w:r>
        <w:rPr>
          <w:rFonts w:ascii="Calibri" w:hAnsi="Calibri"/>
          <w:color w:val="008356"/>
          <w:w w:val="115"/>
          <w:sz w:val="11"/>
        </w:rPr>
        <w:t>PHENYTOIN</w:t>
      </w:r>
      <w:r>
        <w:rPr>
          <w:rFonts w:ascii="Arial" w:hAnsi="Arial"/>
          <w:color w:val="231F1F"/>
          <w:w w:val="115"/>
        </w:rPr>
        <w:t>—</w:t>
      </w:r>
      <w:r>
        <w:rPr>
          <w:color w:val="231F1F"/>
          <w:w w:val="115"/>
        </w:rPr>
        <w:t>manufacturer of bedaquiline advises avoid </w:t>
      </w:r>
      <w:r>
        <w:rPr>
          <w:color w:val="231F1F"/>
          <w:w w:val="120"/>
        </w:rPr>
        <w:t>concomitant use</w:t>
      </w:r>
    </w:p>
    <w:p>
      <w:pPr>
        <w:pStyle w:val="BodyText"/>
        <w:spacing w:line="237" w:lineRule="auto"/>
        <w:ind w:left="286" w:right="-5"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bedaquiline increased by </w:t>
      </w:r>
      <w:r>
        <w:rPr>
          <w:rFonts w:ascii="Calibri" w:hAnsi="Calibri"/>
          <w:color w:val="008356"/>
          <w:w w:val="110"/>
          <w:sz w:val="11"/>
        </w:rPr>
        <w:t>KETOCONAZOLE</w:t>
      </w:r>
      <w:r>
        <w:rPr>
          <w:rFonts w:ascii="Arial" w:hAnsi="Arial"/>
          <w:color w:val="231F1F"/>
          <w:w w:val="110"/>
        </w:rPr>
        <w:t>—</w:t>
      </w:r>
      <w:r>
        <w:rPr>
          <w:color w:val="231F1F"/>
          <w:w w:val="110"/>
        </w:rPr>
        <w:t>avoid concomitant use if ketoconazole given for more than 14 days; plasma concentration of bedaquiline possibly increased by </w:t>
      </w:r>
      <w:r>
        <w:rPr>
          <w:rFonts w:ascii="Calibri" w:hAnsi="Calibri"/>
          <w:color w:val="008356"/>
          <w:w w:val="110"/>
          <w:sz w:val="11"/>
        </w:rPr>
        <w:t>FLUCONAZOLE</w:t>
      </w:r>
      <w:r>
        <w:rPr>
          <w:rFonts w:ascii="Arial" w:hAnsi="Arial"/>
          <w:color w:val="231F1F"/>
          <w:w w:val="110"/>
        </w:rPr>
        <w:t>—</w:t>
      </w:r>
      <w:r>
        <w:rPr>
          <w:color w:val="231F1F"/>
          <w:w w:val="110"/>
        </w:rPr>
        <w:t>avoid concomitant use if fluconazole given for more than 14 days</w:t>
      </w:r>
    </w:p>
    <w:p>
      <w:pPr>
        <w:pStyle w:val="BodyText"/>
        <w:spacing w:before="7"/>
        <w:ind w:left="0"/>
        <w:rPr>
          <w:sz w:val="14"/>
        </w:rPr>
      </w:pPr>
      <w:r>
        <w:rPr/>
        <w:br w:type="column"/>
      </w:r>
      <w:r>
        <w:rPr>
          <w:sz w:val="14"/>
        </w:rPr>
      </w:r>
    </w:p>
    <w:p>
      <w:pPr>
        <w:pStyle w:val="BodyText"/>
        <w:spacing w:line="144" w:lineRule="exact"/>
        <w:ind w:left="186"/>
        <w:rPr>
          <w:rFonts w:ascii="Calibri"/>
        </w:rPr>
      </w:pPr>
      <w:r>
        <w:rPr>
          <w:rFonts w:ascii="Arial"/>
          <w:color w:val="008356"/>
        </w:rPr>
        <w:t>Bedaquiline </w:t>
      </w:r>
      <w:r>
        <w:rPr>
          <w:rFonts w:ascii="Calibri"/>
          <w:color w:val="231F1F"/>
        </w:rPr>
        <w:t>(continued)</w:t>
      </w:r>
    </w:p>
    <w:p>
      <w:pPr>
        <w:pStyle w:val="BodyText"/>
        <w:ind w:left="286" w:right="597"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bedaquiline possibly reduced by </w:t>
      </w:r>
      <w:r>
        <w:rPr>
          <w:rFonts w:ascii="Calibri" w:hAnsi="Calibri"/>
          <w:color w:val="008356"/>
          <w:w w:val="110"/>
          <w:sz w:val="11"/>
        </w:rPr>
        <w:t>EFAVIRENZ </w:t>
      </w:r>
      <w:r>
        <w:rPr>
          <w:color w:val="231F1F"/>
          <w:w w:val="110"/>
        </w:rPr>
        <w:t>and </w:t>
      </w:r>
      <w:r>
        <w:rPr>
          <w:rFonts w:ascii="Calibri" w:hAnsi="Calibri"/>
          <w:color w:val="008356"/>
          <w:w w:val="110"/>
          <w:sz w:val="11"/>
        </w:rPr>
        <w:t>ETRAVIRINE</w:t>
      </w:r>
      <w:r>
        <w:rPr>
          <w:rFonts w:ascii="Arial" w:hAnsi="Arial"/>
          <w:color w:val="231F1F"/>
          <w:w w:val="110"/>
        </w:rPr>
        <w:t>—</w:t>
      </w:r>
      <w:r>
        <w:rPr>
          <w:color w:val="231F1F"/>
          <w:w w:val="110"/>
        </w:rPr>
        <w:t>manufacturer of bedaquiline advises avoid concomitant use; plasma concentration of bedaquiline possibly increased by </w:t>
      </w:r>
      <w:r>
        <w:rPr>
          <w:rFonts w:ascii="Calibri" w:hAnsi="Calibri"/>
          <w:color w:val="008356"/>
          <w:w w:val="110"/>
          <w:sz w:val="11"/>
        </w:rPr>
        <w:t>RITONAVIR</w:t>
      </w:r>
      <w:r>
        <w:rPr>
          <w:rFonts w:ascii="Arial" w:hAnsi="Arial"/>
          <w:color w:val="231F1F"/>
          <w:w w:val="110"/>
        </w:rPr>
        <w:t>—</w:t>
      </w:r>
      <w:r>
        <w:rPr>
          <w:color w:val="231F1F"/>
          <w:w w:val="110"/>
        </w:rPr>
        <w:t>avoid concomitant use if ritonavir given for more than 14 days</w:t>
      </w:r>
    </w:p>
    <w:p>
      <w:pPr>
        <w:spacing w:line="220" w:lineRule="auto" w:before="8"/>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4"/>
        <w:ind w:left="186"/>
        <w:rPr>
          <w:rFonts w:ascii="Trebuchet MS"/>
        </w:rPr>
      </w:pPr>
      <w:r>
        <w:rPr>
          <w:rFonts w:ascii="Trebuchet MS"/>
          <w:color w:val="008356"/>
        </w:rPr>
        <w:t>Bee Venom Extracts</w:t>
      </w:r>
    </w:p>
    <w:p>
      <w:pPr>
        <w:pStyle w:val="BodyText"/>
        <w:spacing w:before="1"/>
        <w:ind w:left="286" w:right="740"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ACE</w:t>
      </w:r>
      <w:r>
        <w:rPr>
          <w:rFonts w:ascii="Calibri"/>
          <w:color w:val="231F1F"/>
          <w:spacing w:val="-13"/>
          <w:w w:val="115"/>
        </w:rPr>
        <w:t> </w:t>
      </w:r>
      <w:r>
        <w:rPr>
          <w:rFonts w:ascii="Calibri"/>
          <w:color w:val="231F1F"/>
          <w:w w:val="115"/>
        </w:rPr>
        <w:t>Inhibitors:</w:t>
      </w:r>
      <w:r>
        <w:rPr>
          <w:rFonts w:ascii="Calibri"/>
          <w:color w:val="231F1F"/>
          <w:spacing w:val="-13"/>
          <w:w w:val="115"/>
        </w:rPr>
        <w:t> </w:t>
      </w:r>
      <w:r>
        <w:rPr>
          <w:color w:val="231F1F"/>
          <w:w w:val="115"/>
        </w:rPr>
        <w:t>possible</w:t>
      </w:r>
      <w:r>
        <w:rPr>
          <w:color w:val="231F1F"/>
          <w:spacing w:val="-16"/>
          <w:w w:val="115"/>
        </w:rPr>
        <w:t> </w:t>
      </w:r>
      <w:r>
        <w:rPr>
          <w:color w:val="231F1F"/>
          <w:w w:val="115"/>
        </w:rPr>
        <w:t>severe</w:t>
      </w:r>
      <w:r>
        <w:rPr>
          <w:color w:val="231F1F"/>
          <w:spacing w:val="-17"/>
          <w:w w:val="115"/>
        </w:rPr>
        <w:t> </w:t>
      </w:r>
      <w:r>
        <w:rPr>
          <w:color w:val="231F1F"/>
          <w:w w:val="115"/>
        </w:rPr>
        <w:t>anaphylactoid</w:t>
      </w:r>
      <w:r>
        <w:rPr>
          <w:color w:val="231F1F"/>
          <w:spacing w:val="-16"/>
          <w:w w:val="115"/>
        </w:rPr>
        <w:t> </w:t>
      </w:r>
      <w:r>
        <w:rPr>
          <w:color w:val="231F1F"/>
          <w:w w:val="115"/>
        </w:rPr>
        <w:t>reaction</w:t>
      </w:r>
      <w:r>
        <w:rPr>
          <w:color w:val="231F1F"/>
          <w:spacing w:val="-16"/>
          <w:w w:val="115"/>
        </w:rPr>
        <w:t> </w:t>
      </w:r>
      <w:r>
        <w:rPr>
          <w:color w:val="231F1F"/>
          <w:spacing w:val="-4"/>
          <w:w w:val="115"/>
        </w:rPr>
        <w:t>when </w:t>
      </w:r>
      <w:r>
        <w:rPr>
          <w:color w:val="231F1F"/>
          <w:w w:val="115"/>
        </w:rPr>
        <w:t>bee</w:t>
      </w:r>
      <w:r>
        <w:rPr>
          <w:color w:val="231F1F"/>
          <w:spacing w:val="-8"/>
          <w:w w:val="115"/>
        </w:rPr>
        <w:t> </w:t>
      </w:r>
      <w:r>
        <w:rPr>
          <w:color w:val="231F1F"/>
          <w:w w:val="115"/>
        </w:rPr>
        <w:t>venom</w:t>
      </w:r>
      <w:r>
        <w:rPr>
          <w:color w:val="231F1F"/>
          <w:spacing w:val="-9"/>
          <w:w w:val="115"/>
        </w:rPr>
        <w:t> </w:t>
      </w:r>
      <w:r>
        <w:rPr>
          <w:color w:val="231F1F"/>
          <w:w w:val="115"/>
        </w:rPr>
        <w:t>extracts</w:t>
      </w:r>
      <w:r>
        <w:rPr>
          <w:color w:val="231F1F"/>
          <w:spacing w:val="-8"/>
          <w:w w:val="115"/>
        </w:rPr>
        <w:t> </w:t>
      </w:r>
      <w:r>
        <w:rPr>
          <w:color w:val="231F1F"/>
          <w:w w:val="115"/>
        </w:rPr>
        <w:t>given</w:t>
      </w:r>
      <w:r>
        <w:rPr>
          <w:color w:val="231F1F"/>
          <w:spacing w:val="-7"/>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5"/>
          <w:sz w:val="11"/>
        </w:rPr>
        <w:t>ACE</w:t>
      </w:r>
      <w:r>
        <w:rPr>
          <w:rFonts w:ascii="Calibri"/>
          <w:color w:val="008356"/>
          <w:w w:val="115"/>
          <w:sz w:val="11"/>
        </w:rPr>
        <w:t> </w:t>
      </w:r>
      <w:r>
        <w:rPr>
          <w:rFonts w:ascii="Calibri"/>
          <w:color w:val="008356"/>
          <w:spacing w:val="4"/>
          <w:w w:val="115"/>
          <w:sz w:val="11"/>
        </w:rPr>
        <w:t>INHIBITORS</w:t>
      </w:r>
    </w:p>
    <w:p>
      <w:pPr>
        <w:pStyle w:val="BodyText"/>
        <w:spacing w:before="6"/>
        <w:ind w:left="186"/>
        <w:rPr>
          <w:rFonts w:ascii="Trebuchet MS"/>
        </w:rPr>
      </w:pPr>
      <w:r>
        <w:rPr>
          <w:rFonts w:ascii="Trebuchet MS"/>
          <w:color w:val="008356"/>
        </w:rPr>
        <w:t>Belimumab</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left="286" w:right="59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86"/>
        <w:rPr>
          <w:rFonts w:ascii="Trebuchet MS"/>
        </w:rPr>
      </w:pPr>
      <w:r>
        <w:rPr>
          <w:rFonts w:ascii="Trebuchet MS"/>
          <w:color w:val="008356"/>
        </w:rPr>
        <w:t>Bendamustine</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before="6"/>
        <w:ind w:left="186"/>
      </w:pPr>
      <w:r>
        <w:rPr>
          <w:rFonts w:ascii="Trebuchet MS"/>
          <w:color w:val="008356"/>
          <w:w w:val="105"/>
        </w:rPr>
        <w:t>Bendroflumethiazide </w:t>
      </w:r>
      <w:r>
        <w:rPr>
          <w:i/>
          <w:color w:val="231F1F"/>
          <w:w w:val="105"/>
        </w:rPr>
        <w:t>see </w:t>
      </w:r>
      <w:r>
        <w:rPr>
          <w:color w:val="231F1F"/>
          <w:w w:val="105"/>
        </w:rPr>
        <w:t>Diuretics</w:t>
      </w:r>
    </w:p>
    <w:p>
      <w:pPr>
        <w:pStyle w:val="BodyText"/>
        <w:spacing w:before="10"/>
        <w:ind w:left="186"/>
      </w:pPr>
      <w:r>
        <w:rPr>
          <w:rFonts w:ascii="Trebuchet MS"/>
          <w:color w:val="008356"/>
          <w:w w:val="110"/>
        </w:rPr>
        <w:t>Benperidol </w:t>
      </w:r>
      <w:r>
        <w:rPr>
          <w:i/>
          <w:color w:val="231F1F"/>
          <w:w w:val="110"/>
        </w:rPr>
        <w:t>see </w:t>
      </w:r>
      <w:r>
        <w:rPr>
          <w:color w:val="231F1F"/>
          <w:w w:val="110"/>
        </w:rPr>
        <w:t>Antipsychotics</w:t>
      </w:r>
    </w:p>
    <w:p>
      <w:pPr>
        <w:pStyle w:val="BodyText"/>
        <w:spacing w:before="11"/>
        <w:ind w:left="186"/>
      </w:pPr>
      <w:r>
        <w:rPr>
          <w:rFonts w:ascii="Trebuchet MS"/>
          <w:color w:val="008356"/>
          <w:w w:val="110"/>
        </w:rPr>
        <w:t>Benzodiazepines </w:t>
      </w:r>
      <w:r>
        <w:rPr>
          <w:i/>
          <w:color w:val="231F1F"/>
          <w:w w:val="110"/>
        </w:rPr>
        <w:t>see </w:t>
      </w:r>
      <w:r>
        <w:rPr>
          <w:color w:val="231F1F"/>
          <w:w w:val="110"/>
        </w:rPr>
        <w:t>Anxiolytics and Hypnotics</w:t>
      </w:r>
    </w:p>
    <w:p>
      <w:pPr>
        <w:pStyle w:val="BodyText"/>
        <w:spacing w:line="256" w:lineRule="auto" w:before="10"/>
        <w:ind w:left="186" w:right="2366"/>
        <w:rPr>
          <w:rFonts w:ascii="Trebuchet MS"/>
        </w:rPr>
      </w:pPr>
      <w:r>
        <w:rPr>
          <w:rFonts w:ascii="Trebuchet MS"/>
          <w:color w:val="008356"/>
          <w:w w:val="105"/>
        </w:rPr>
        <w:t>Benzthiazide </w:t>
      </w:r>
      <w:r>
        <w:rPr>
          <w:i/>
          <w:color w:val="231F1F"/>
          <w:w w:val="105"/>
        </w:rPr>
        <w:t>see </w:t>
      </w:r>
      <w:r>
        <w:rPr>
          <w:color w:val="231F1F"/>
          <w:w w:val="105"/>
        </w:rPr>
        <w:t>Diuretics </w:t>
      </w:r>
      <w:r>
        <w:rPr>
          <w:rFonts w:ascii="Trebuchet MS"/>
          <w:color w:val="008356"/>
          <w:w w:val="105"/>
        </w:rPr>
        <w:t>Benzylpenicillin </w:t>
      </w:r>
      <w:r>
        <w:rPr>
          <w:i/>
          <w:color w:val="231F1F"/>
          <w:w w:val="105"/>
        </w:rPr>
        <w:t>see </w:t>
      </w:r>
      <w:r>
        <w:rPr>
          <w:color w:val="231F1F"/>
          <w:w w:val="105"/>
        </w:rPr>
        <w:t>Penicillins </w:t>
      </w:r>
      <w:r>
        <w:rPr>
          <w:rFonts w:ascii="Trebuchet MS"/>
          <w:color w:val="008356"/>
          <w:w w:val="105"/>
        </w:rPr>
        <w:t>Beta-blockers</w:t>
      </w:r>
    </w:p>
    <w:p>
      <w:pPr>
        <w:pStyle w:val="BodyText"/>
        <w:spacing w:line="244" w:lineRule="auto"/>
        <w:ind w:left="286" w:right="670" w:hanging="1"/>
      </w:pPr>
      <w:r>
        <w:rPr>
          <w:rFonts w:ascii="Calibri"/>
          <w:color w:val="008356"/>
          <w:w w:val="115"/>
          <w:sz w:val="11"/>
        </w:rPr>
        <w:t>NOTE </w:t>
      </w:r>
      <w:r>
        <w:rPr>
          <w:color w:val="231F1F"/>
          <w:w w:val="115"/>
        </w:rPr>
        <w:t>Since systemic absorption may follow topical application of beta-blockers to the eye the possibility of interactions, in particular, with drugs such as verapamil should be borne in mind</w:t>
      </w:r>
    </w:p>
    <w:p>
      <w:pPr>
        <w:pStyle w:val="BodyText"/>
        <w:spacing w:line="220" w:lineRule="auto" w:before="1"/>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beta- blockers given with </w:t>
      </w:r>
      <w:r>
        <w:rPr>
          <w:rFonts w:ascii="Calibri" w:hAnsi="Calibri"/>
          <w:color w:val="008356"/>
          <w:w w:val="105"/>
          <w:sz w:val="11"/>
        </w:rPr>
        <w:t>ACE INHIBITORS</w:t>
      </w:r>
    </w:p>
    <w:p>
      <w:pPr>
        <w:spacing w:line="220" w:lineRule="auto" w:before="8"/>
        <w:ind w:left="286" w:right="59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beta-blockers given with </w:t>
      </w:r>
      <w:r>
        <w:rPr>
          <w:rFonts w:ascii="Calibri" w:hAnsi="Calibri"/>
          <w:color w:val="008356"/>
          <w:spacing w:val="4"/>
          <w:w w:val="105"/>
          <w:sz w:val="11"/>
        </w:rPr>
        <w:t>ADRENERGIC NEURONE</w:t>
      </w:r>
      <w:r>
        <w:rPr>
          <w:rFonts w:ascii="Calibri" w:hAnsi="Calibri"/>
          <w:color w:val="008356"/>
          <w:spacing w:val="6"/>
          <w:w w:val="105"/>
          <w:sz w:val="11"/>
        </w:rPr>
        <w:t> </w:t>
      </w:r>
      <w:r>
        <w:rPr>
          <w:rFonts w:ascii="Calibri" w:hAnsi="Calibri"/>
          <w:color w:val="008356"/>
          <w:spacing w:val="4"/>
          <w:w w:val="105"/>
          <w:sz w:val="11"/>
        </w:rPr>
        <w:t>BLOCKERS</w:t>
      </w:r>
    </w:p>
    <w:p>
      <w:pPr>
        <w:pStyle w:val="BodyText"/>
        <w:spacing w:line="220" w:lineRule="auto" w:before="10"/>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beta-blockers given with </w:t>
      </w:r>
      <w:r>
        <w:rPr>
          <w:rFonts w:ascii="Calibri" w:hAnsi="Calibri"/>
          <w:color w:val="008356"/>
          <w:w w:val="105"/>
          <w:sz w:val="11"/>
        </w:rPr>
        <w:t>ALCOHOL</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Aldesleukin: </w:t>
      </w:r>
      <w:r>
        <w:rPr>
          <w:color w:val="231F1F"/>
          <w:w w:val="105"/>
        </w:rPr>
        <w:t>enhanced hypotensive effect when beta-blockers given with </w:t>
      </w:r>
      <w:r>
        <w:rPr>
          <w:rFonts w:ascii="Calibri" w:hAnsi="Calibri"/>
          <w:color w:val="008356"/>
          <w:w w:val="105"/>
          <w:sz w:val="11"/>
        </w:rPr>
        <w:t>ALDESLEUKIN</w:t>
      </w:r>
    </w:p>
    <w:p>
      <w:pPr>
        <w:pStyle w:val="BodyText"/>
        <w:spacing w:line="244" w:lineRule="auto"/>
        <w:ind w:left="286" w:right="693" w:hanging="100"/>
      </w:pPr>
      <w:r>
        <w:rPr>
          <w:rFonts w:ascii="Arial"/>
          <w:color w:val="231F1F"/>
          <w:w w:val="355"/>
          <w:position w:val="1"/>
          <w:sz w:val="7"/>
        </w:rPr>
        <w:t>l </w:t>
      </w:r>
      <w:r>
        <w:rPr>
          <w:rFonts w:ascii="Calibri"/>
          <w:color w:val="231F1F"/>
          <w:w w:val="115"/>
        </w:rPr>
        <w:t>Alpha-blockers: </w:t>
      </w:r>
      <w:r>
        <w:rPr>
          <w:color w:val="231F1F"/>
          <w:w w:val="115"/>
        </w:rPr>
        <w:t>enhanced hypotensive effect when beta- blockers</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1"/>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ALPHA-BLOCKERS</w:t>
      </w:r>
      <w:r>
        <w:rPr>
          <w:color w:val="231F1F"/>
          <w:spacing w:val="4"/>
          <w:w w:val="115"/>
        </w:rPr>
        <w:t>,</w:t>
      </w:r>
      <w:r>
        <w:rPr>
          <w:color w:val="231F1F"/>
          <w:spacing w:val="-21"/>
          <w:w w:val="115"/>
        </w:rPr>
        <w:t> </w:t>
      </w:r>
      <w:r>
        <w:rPr>
          <w:color w:val="231F1F"/>
          <w:w w:val="115"/>
        </w:rPr>
        <w:t>also</w:t>
      </w:r>
      <w:r>
        <w:rPr>
          <w:color w:val="231F1F"/>
          <w:spacing w:val="-21"/>
          <w:w w:val="115"/>
        </w:rPr>
        <w:t> </w:t>
      </w:r>
      <w:r>
        <w:rPr>
          <w:color w:val="231F1F"/>
          <w:w w:val="115"/>
        </w:rPr>
        <w:t>increased</w:t>
      </w:r>
      <w:r>
        <w:rPr>
          <w:color w:val="231F1F"/>
          <w:spacing w:val="-22"/>
          <w:w w:val="115"/>
        </w:rPr>
        <w:t> </w:t>
      </w:r>
      <w:r>
        <w:rPr>
          <w:color w:val="231F1F"/>
          <w:w w:val="115"/>
        </w:rPr>
        <w:t>risk</w:t>
      </w:r>
      <w:r>
        <w:rPr>
          <w:color w:val="231F1F"/>
          <w:spacing w:val="-21"/>
          <w:w w:val="115"/>
        </w:rPr>
        <w:t> </w:t>
      </w:r>
      <w:r>
        <w:rPr>
          <w:color w:val="231F1F"/>
          <w:w w:val="115"/>
        </w:rPr>
        <w:t>of first-dose hypotension with post-synaptic alpha-blockers such as</w:t>
      </w:r>
      <w:r>
        <w:rPr>
          <w:color w:val="231F1F"/>
          <w:spacing w:val="-7"/>
          <w:w w:val="115"/>
        </w:rPr>
        <w:t> </w:t>
      </w:r>
      <w:r>
        <w:rPr>
          <w:color w:val="231F1F"/>
          <w:w w:val="115"/>
        </w:rPr>
        <w:t>prazosin</w:t>
      </w:r>
    </w:p>
    <w:p>
      <w:pPr>
        <w:spacing w:line="220" w:lineRule="auto" w:before="4"/>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beta- blockers given with </w:t>
      </w:r>
      <w:r>
        <w:rPr>
          <w:rFonts w:ascii="Calibri" w:hAnsi="Calibri"/>
          <w:color w:val="008356"/>
          <w:w w:val="105"/>
          <w:sz w:val="11"/>
        </w:rPr>
        <w:t>GENERAL ANAESTHETICS</w:t>
      </w:r>
    </w:p>
    <w:p>
      <w:pPr>
        <w:spacing w:line="146" w:lineRule="exact" w:before="0"/>
        <w:ind w:left="186" w:right="0" w:firstLine="0"/>
        <w:jc w:val="left"/>
        <w:rPr>
          <w:rFonts w:ascii="Calibri"/>
          <w:sz w:val="11"/>
        </w:rPr>
      </w:pPr>
      <w:r>
        <w:rPr>
          <w:rFonts w:ascii="Arial"/>
          <w:color w:val="231F1F"/>
          <w:w w:val="355"/>
          <w:position w:val="1"/>
          <w:sz w:val="7"/>
        </w:rPr>
        <w:t>l </w:t>
      </w:r>
      <w:r>
        <w:rPr>
          <w:rFonts w:ascii="Calibri"/>
          <w:color w:val="231F1F"/>
          <w:w w:val="110"/>
          <w:sz w:val="12"/>
        </w:rPr>
        <w:t>Anaesthetics, Local: </w:t>
      </w:r>
      <w:r>
        <w:rPr>
          <w:color w:val="231F1F"/>
          <w:w w:val="110"/>
          <w:sz w:val="12"/>
        </w:rPr>
        <w:t>propranolol increases risk of </w:t>
      </w:r>
      <w:r>
        <w:rPr>
          <w:rFonts w:ascii="Arial"/>
          <w:color w:val="231F1F"/>
          <w:w w:val="355"/>
          <w:position w:val="1"/>
          <w:sz w:val="7"/>
        </w:rPr>
        <w:t>l </w:t>
      </w:r>
      <w:r>
        <w:rPr>
          <w:rFonts w:ascii="Calibri"/>
          <w:color w:val="008356"/>
          <w:w w:val="110"/>
          <w:sz w:val="11"/>
        </w:rPr>
        <w:t>BUPIVACAINE</w:t>
      </w:r>
    </w:p>
    <w:p>
      <w:pPr>
        <w:pStyle w:val="BodyText"/>
        <w:spacing w:line="137" w:lineRule="exact"/>
        <w:ind w:left="286"/>
      </w:pPr>
      <w:r>
        <w:rPr>
          <w:color w:val="231F1F"/>
          <w:w w:val="110"/>
        </w:rPr>
        <w:t>toxicity</w:t>
      </w:r>
    </w:p>
    <w:p>
      <w:pPr>
        <w:pStyle w:val="BodyText"/>
        <w:spacing w:line="230" w:lineRule="auto" w:before="6"/>
        <w:ind w:left="286" w:right="616"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hypotensive effect of beta-blockers antagonised </w:t>
      </w:r>
      <w:r>
        <w:rPr>
          <w:color w:val="231F1F"/>
          <w:spacing w:val="-7"/>
          <w:w w:val="110"/>
        </w:rPr>
        <w:t>by </w:t>
      </w:r>
      <w:r>
        <w:rPr>
          <w:rFonts w:ascii="Calibri" w:hAnsi="Calibri"/>
          <w:color w:val="008356"/>
          <w:spacing w:val="4"/>
          <w:w w:val="110"/>
          <w:sz w:val="11"/>
        </w:rPr>
        <w:t>NSAID</w:t>
      </w:r>
      <w:r>
        <w:rPr>
          <w:rFonts w:ascii="Calibri" w:hAnsi="Calibri"/>
          <w:color w:val="008356"/>
          <w:spacing w:val="4"/>
          <w:w w:val="110"/>
          <w:sz w:val="9"/>
        </w:rPr>
        <w:t>S</w:t>
      </w:r>
      <w:r>
        <w:rPr>
          <w:color w:val="231F1F"/>
          <w:spacing w:val="4"/>
          <w:w w:val="110"/>
        </w:rPr>
        <w:t>; </w:t>
      </w:r>
      <w:r>
        <w:rPr>
          <w:color w:val="231F1F"/>
          <w:w w:val="110"/>
        </w:rPr>
        <w:t>plasma concentration of esmolol possibly increased  by</w:t>
      </w:r>
      <w:r>
        <w:rPr>
          <w:color w:val="231F1F"/>
          <w:spacing w:val="-2"/>
          <w:w w:val="110"/>
        </w:rPr>
        <w:t> </w:t>
      </w:r>
      <w:r>
        <w:rPr>
          <w:rFonts w:ascii="Calibri" w:hAnsi="Calibri"/>
          <w:color w:val="008356"/>
          <w:spacing w:val="5"/>
          <w:w w:val="110"/>
          <w:sz w:val="11"/>
        </w:rPr>
        <w:t>MORPHINE</w:t>
      </w:r>
    </w:p>
    <w:p>
      <w:pPr>
        <w:spacing w:line="237" w:lineRule="auto" w:before="1"/>
        <w:ind w:left="286" w:right="62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beta-blockers given with </w:t>
      </w:r>
      <w:r>
        <w:rPr>
          <w:rFonts w:ascii="Calibri" w:hAnsi="Calibri"/>
          <w:color w:val="008356"/>
          <w:spacing w:val="4"/>
          <w:w w:val="105"/>
          <w:sz w:val="11"/>
        </w:rPr>
        <w:t>ANGIOTENSIN-II RECEPTOR ANTAGONISTS</w:t>
      </w:r>
    </w:p>
    <w:p>
      <w:pPr>
        <w:pStyle w:val="BodyText"/>
        <w:ind w:left="286" w:right="570" w:hanging="100"/>
      </w:pPr>
      <w:r>
        <w:rPr>
          <w:rFonts w:ascii="Arial"/>
          <w:color w:val="231F1F"/>
          <w:w w:val="355"/>
          <w:position w:val="1"/>
          <w:sz w:val="7"/>
        </w:rPr>
        <w:t>l </w:t>
      </w:r>
      <w:r>
        <w:rPr>
          <w:rFonts w:ascii="Calibri"/>
          <w:color w:val="231F1F"/>
          <w:w w:val="110"/>
        </w:rPr>
        <w:t>Anti-arrhythmics: </w:t>
      </w:r>
      <w:r>
        <w:rPr>
          <w:color w:val="231F1F"/>
          <w:w w:val="110"/>
        </w:rPr>
        <w:t>increased myocardial depression when beta- blockers given with </w:t>
      </w:r>
      <w:r>
        <w:rPr>
          <w:rFonts w:ascii="Arial"/>
          <w:color w:val="231F1F"/>
          <w:w w:val="355"/>
          <w:position w:val="1"/>
          <w:sz w:val="7"/>
        </w:rPr>
        <w:t>l </w:t>
      </w:r>
      <w:r>
        <w:rPr>
          <w:rFonts w:ascii="Calibri"/>
          <w:color w:val="008356"/>
          <w:w w:val="110"/>
          <w:sz w:val="11"/>
        </w:rPr>
        <w:t>ANTI-ARRHYTHMICS</w:t>
      </w:r>
      <w:r>
        <w:rPr>
          <w:color w:val="231F1F"/>
          <w:w w:val="110"/>
        </w:rPr>
        <w:t>; increased risk of ventricular arrhythmias when sotalol given with</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20"/>
          <w:sz w:val="11"/>
        </w:rPr>
        <w:t>AMIODARONE</w:t>
      </w:r>
      <w:r>
        <w:rPr>
          <w:color w:val="231F1F"/>
          <w:spacing w:val="4"/>
          <w:w w:val="12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20"/>
          <w:sz w:val="11"/>
        </w:rPr>
        <w:t>DISOPYRAMIDE </w:t>
      </w:r>
      <w:r>
        <w:rPr>
          <w:color w:val="231F1F"/>
          <w:w w:val="120"/>
          <w:sz w:val="12"/>
        </w:rPr>
        <w:t>or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20"/>
          <w:sz w:val="11"/>
        </w:rPr>
        <w:t>DRONEDARONE</w:t>
      </w:r>
      <w:r>
        <w:rPr>
          <w:rFonts w:ascii="Arial" w:hAnsi="Arial"/>
          <w:color w:val="231F1F"/>
          <w:spacing w:val="3"/>
          <w:w w:val="120"/>
          <w:sz w:val="12"/>
        </w:rPr>
        <w:t>—</w:t>
      </w:r>
      <w:r>
        <w:rPr>
          <w:color w:val="231F1F"/>
          <w:spacing w:val="3"/>
          <w:w w:val="120"/>
          <w:sz w:val="12"/>
        </w:rPr>
        <w:t>avoid</w:t>
      </w:r>
    </w:p>
    <w:p>
      <w:pPr>
        <w:pStyle w:val="BodyText"/>
        <w:spacing w:line="247" w:lineRule="auto" w:before="2"/>
        <w:ind w:left="286" w:right="528"/>
      </w:pPr>
      <w:r>
        <w:rPr>
          <w:color w:val="231F1F"/>
          <w:w w:val="115"/>
        </w:rPr>
        <w:t>concomitant use; increased risk of bradycardia, AV block </w:t>
      </w:r>
      <w:r>
        <w:rPr>
          <w:color w:val="231F1F"/>
          <w:spacing w:val="-5"/>
          <w:w w:val="115"/>
        </w:rPr>
        <w:t>and </w:t>
      </w:r>
      <w:r>
        <w:rPr>
          <w:color w:val="231F1F"/>
          <w:w w:val="115"/>
        </w:rPr>
        <w:t>myocardial depression when beta-blockers given with</w:t>
      </w:r>
    </w:p>
    <w:p>
      <w:pPr>
        <w:pStyle w:val="BodyText"/>
        <w:spacing w:line="244" w:lineRule="auto" w:before="3"/>
        <w:ind w:left="286" w:right="670"/>
        <w:rPr>
          <w:rFonts w:ascii="Calibri"/>
          <w:sz w:val="11"/>
        </w:rPr>
      </w:pPr>
      <w:r>
        <w:rPr>
          <w:rFonts w:ascii="Arial"/>
          <w:color w:val="231F1F"/>
          <w:w w:val="355"/>
          <w:position w:val="1"/>
          <w:sz w:val="7"/>
        </w:rPr>
        <w:t>l </w:t>
      </w:r>
      <w:r>
        <w:rPr>
          <w:rFonts w:ascii="Calibri"/>
          <w:color w:val="008356"/>
          <w:w w:val="110"/>
          <w:sz w:val="11"/>
        </w:rPr>
        <w:t>AMIODARONE</w:t>
      </w:r>
      <w:r>
        <w:rPr>
          <w:color w:val="231F1F"/>
          <w:w w:val="110"/>
        </w:rPr>
        <w:t>; plasma concentration of metoprolol and propranolol possibly increased by </w:t>
      </w:r>
      <w:r>
        <w:rPr>
          <w:rFonts w:ascii="Calibri"/>
          <w:color w:val="008356"/>
          <w:w w:val="110"/>
          <w:sz w:val="11"/>
        </w:rPr>
        <w:t>DRONEDARONE</w:t>
      </w:r>
      <w:r>
        <w:rPr>
          <w:color w:val="231F1F"/>
          <w:w w:val="110"/>
        </w:rPr>
        <w:t>; increased risk of myocardial depression and bradycardia when beta- blockers given with </w:t>
      </w:r>
      <w:r>
        <w:rPr>
          <w:rFonts w:ascii="Arial"/>
          <w:color w:val="231F1F"/>
          <w:w w:val="355"/>
          <w:position w:val="1"/>
          <w:sz w:val="7"/>
        </w:rPr>
        <w:t>l </w:t>
      </w:r>
      <w:r>
        <w:rPr>
          <w:rFonts w:ascii="Calibri"/>
          <w:color w:val="008356"/>
          <w:w w:val="110"/>
          <w:sz w:val="11"/>
        </w:rPr>
        <w:t>FLECAINIDE</w:t>
      </w:r>
      <w:r>
        <w:rPr>
          <w:color w:val="231F1F"/>
          <w:w w:val="110"/>
        </w:rPr>
        <w:t>; propranolol increases risk of </w:t>
      </w:r>
      <w:r>
        <w:rPr>
          <w:rFonts w:ascii="Arial"/>
          <w:color w:val="231F1F"/>
          <w:w w:val="355"/>
          <w:position w:val="1"/>
          <w:sz w:val="7"/>
        </w:rPr>
        <w:t>l </w:t>
      </w:r>
      <w:r>
        <w:rPr>
          <w:rFonts w:ascii="Calibri"/>
          <w:color w:val="008356"/>
          <w:w w:val="110"/>
          <w:sz w:val="11"/>
        </w:rPr>
        <w:t>LIDOCAINE </w:t>
      </w:r>
      <w:r>
        <w:rPr>
          <w:color w:val="231F1F"/>
          <w:w w:val="110"/>
        </w:rPr>
        <w:t>toxicity; nadolol possibly increases risk of </w:t>
      </w:r>
      <w:r>
        <w:rPr>
          <w:rFonts w:ascii="Calibri"/>
          <w:color w:val="008356"/>
          <w:w w:val="110"/>
          <w:sz w:val="11"/>
        </w:rPr>
        <w:t>LIDOCAINE </w:t>
      </w:r>
      <w:r>
        <w:rPr>
          <w:color w:val="231F1F"/>
          <w:w w:val="110"/>
        </w:rPr>
        <w:t>toxicity; plasma concentration of metoprolol and propranolol increased by </w:t>
      </w:r>
      <w:r>
        <w:rPr>
          <w:rFonts w:ascii="Calibri"/>
          <w:color w:val="008356"/>
          <w:w w:val="110"/>
          <w:sz w:val="11"/>
        </w:rPr>
        <w:t>PROPAFENONE</w:t>
      </w:r>
    </w:p>
    <w:p>
      <w:pPr>
        <w:pStyle w:val="BodyText"/>
        <w:spacing w:line="139" w:lineRule="exact"/>
        <w:ind w:left="186"/>
      </w:pPr>
      <w:r>
        <w:rPr>
          <w:rFonts w:ascii="Arial"/>
          <w:color w:val="231F1F"/>
          <w:w w:val="355"/>
          <w:position w:val="1"/>
          <w:sz w:val="7"/>
        </w:rPr>
        <w:t>l </w:t>
      </w:r>
      <w:r>
        <w:rPr>
          <w:rFonts w:ascii="Calibri"/>
          <w:color w:val="231F1F"/>
          <w:w w:val="115"/>
        </w:rPr>
        <w:t>Antibacterials: </w:t>
      </w:r>
      <w:r>
        <w:rPr>
          <w:color w:val="231F1F"/>
          <w:w w:val="115"/>
        </w:rPr>
        <w:t>increased risk of ventricular arrhythmias when</w:t>
      </w:r>
    </w:p>
    <w:p>
      <w:pPr>
        <w:pStyle w:val="BodyText"/>
        <w:spacing w:line="244" w:lineRule="auto"/>
        <w:ind w:left="286" w:right="625"/>
        <w:rPr>
          <w:rFonts w:ascii="Calibri" w:hAnsi="Calibri"/>
          <w:sz w:val="11"/>
        </w:rPr>
      </w:pPr>
      <w:r>
        <w:rPr>
          <w:color w:val="231F1F"/>
          <w:w w:val="110"/>
        </w:rPr>
        <w:t>sotalol given with </w:t>
      </w:r>
      <w:r>
        <w:rPr>
          <w:rFonts w:ascii="Arial" w:hAnsi="Arial"/>
          <w:color w:val="231F1F"/>
          <w:w w:val="355"/>
          <w:position w:val="1"/>
          <w:sz w:val="7"/>
        </w:rPr>
        <w:t>l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 metabolism of bisoprolol and propranolol accelerated by </w:t>
      </w:r>
      <w:r>
        <w:rPr>
          <w:rFonts w:ascii="Calibri" w:hAnsi="Calibri"/>
          <w:color w:val="008356"/>
          <w:spacing w:val="4"/>
          <w:w w:val="110"/>
          <w:sz w:val="11"/>
        </w:rPr>
        <w:t>RIFAMPICIN </w:t>
      </w:r>
      <w:r>
        <w:rPr>
          <w:color w:val="231F1F"/>
          <w:w w:val="110"/>
        </w:rPr>
        <w:t>(plasma concentration significantly reduced); plasma concentration of carvedilol, celiprolol and metoprolol reduced by </w:t>
      </w:r>
      <w:r>
        <w:rPr>
          <w:rFonts w:ascii="Calibri" w:hAnsi="Calibri"/>
          <w:color w:val="008356"/>
          <w:spacing w:val="4"/>
          <w:w w:val="110"/>
          <w:sz w:val="11"/>
        </w:rPr>
        <w:t>RIFAMPICIN</w:t>
      </w:r>
      <w:r>
        <w:rPr>
          <w:color w:val="231F1F"/>
          <w:spacing w:val="4"/>
          <w:w w:val="110"/>
        </w:rPr>
        <w:t>; </w:t>
      </w:r>
      <w:r>
        <w:rPr>
          <w:color w:val="231F1F"/>
          <w:w w:val="110"/>
        </w:rPr>
        <w:t>plasma concentration of </w:t>
      </w:r>
      <w:r>
        <w:rPr>
          <w:i/>
          <w:color w:val="231F1F"/>
          <w:w w:val="110"/>
        </w:rPr>
        <w:t>oral </w:t>
      </w:r>
      <w:r>
        <w:rPr>
          <w:color w:val="231F1F"/>
          <w:w w:val="110"/>
        </w:rPr>
        <w:t>timolol possibly reduced by </w:t>
      </w:r>
      <w:r>
        <w:rPr>
          <w:rFonts w:ascii="Calibri" w:hAnsi="Calibri"/>
          <w:color w:val="008356"/>
          <w:spacing w:val="4"/>
          <w:w w:val="110"/>
          <w:sz w:val="11"/>
        </w:rPr>
        <w:t>RIFAMPICIN</w:t>
      </w:r>
      <w:r>
        <w:rPr>
          <w:color w:val="231F1F"/>
          <w:spacing w:val="4"/>
          <w:w w:val="110"/>
        </w:rPr>
        <w:t>; </w:t>
      </w:r>
      <w:r>
        <w:rPr>
          <w:color w:val="231F1F"/>
          <w:w w:val="110"/>
        </w:rPr>
        <w:t>increased risk of ventricular arrhythmias when sotalol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5"/>
          <w:w w:val="110"/>
          <w:sz w:val="11"/>
        </w:rPr>
        <w:t>DELAMANID</w:t>
      </w:r>
    </w:p>
    <w:p>
      <w:pPr>
        <w:spacing w:line="240" w:lineRule="auto" w:before="0"/>
        <w:ind w:left="286" w:right="611"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plasma concentration of metoprolol increased by </w:t>
      </w:r>
      <w:r>
        <w:rPr>
          <w:rFonts w:ascii="Calibri"/>
          <w:color w:val="008356"/>
          <w:w w:val="110"/>
          <w:sz w:val="11"/>
        </w:rPr>
        <w:t>CITALOPRAM </w:t>
      </w:r>
      <w:r>
        <w:rPr>
          <w:color w:val="231F1F"/>
          <w:w w:val="110"/>
          <w:sz w:val="12"/>
        </w:rPr>
        <w:t>and </w:t>
      </w:r>
      <w:r>
        <w:rPr>
          <w:rFonts w:ascii="Calibri"/>
          <w:color w:val="008356"/>
          <w:w w:val="110"/>
          <w:sz w:val="11"/>
        </w:rPr>
        <w:t>ESCITALOPRAM</w:t>
      </w:r>
      <w:r>
        <w:rPr>
          <w:color w:val="231F1F"/>
          <w:w w:val="110"/>
          <w:sz w:val="12"/>
        </w:rPr>
        <w:t>; increased risk of</w:t>
      </w:r>
    </w:p>
    <w:p>
      <w:pPr>
        <w:spacing w:after="0" w:line="240" w:lineRule="auto"/>
        <w:jc w:val="left"/>
        <w:rPr>
          <w:sz w:val="12"/>
        </w:rPr>
        <w:sectPr>
          <w:pgSz w:w="8390" w:h="11910"/>
          <w:pgMar w:header="0" w:footer="0" w:top="460" w:bottom="280" w:left="480" w:right="0"/>
          <w:cols w:num="2" w:equalWidth="0">
            <w:col w:w="3628" w:space="48"/>
            <w:col w:w="4234"/>
          </w:cols>
        </w:sectPr>
      </w:pPr>
    </w:p>
    <w:p>
      <w:pPr>
        <w:pStyle w:val="BodyText"/>
        <w:spacing w:before="8"/>
        <w:ind w:left="0"/>
        <w:rPr>
          <w:sz w:val="14"/>
        </w:rPr>
      </w:pPr>
    </w:p>
    <w:p>
      <w:pPr>
        <w:pStyle w:val="BodyText"/>
        <w:ind w:left="108"/>
        <w:rPr>
          <w:rFonts w:ascii="Arial"/>
        </w:rPr>
      </w:pPr>
      <w:r>
        <w:rPr>
          <w:rFonts w:ascii="Arial"/>
          <w:color w:val="008356"/>
        </w:rPr>
        <w:t>Beta-blockers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Antidepressants (continued)</w:t>
      </w:r>
    </w:p>
    <w:p>
      <w:pPr>
        <w:pStyle w:val="BodyText"/>
        <w:spacing w:line="137" w:lineRule="exact"/>
      </w:pPr>
      <w:r>
        <w:rPr>
          <w:color w:val="231F1F"/>
          <w:w w:val="115"/>
        </w:rPr>
        <w:t>ventricular arrhythmias when sotalol given with</w:t>
      </w:r>
    </w:p>
    <w:p>
      <w:pPr>
        <w:pStyle w:val="BodyText"/>
        <w:spacing w:line="244" w:lineRule="auto" w:before="5"/>
        <w:ind w:right="49"/>
        <w:rPr>
          <w:rFonts w:ascii="Calibri" w:hAnsi="Calibri"/>
          <w:sz w:val="11"/>
        </w:rPr>
      </w:pPr>
      <w:r>
        <w:rPr>
          <w:rFonts w:ascii="Arial" w:hAnsi="Arial"/>
          <w:color w:val="231F1F"/>
          <w:w w:val="355"/>
          <w:position w:val="1"/>
          <w:sz w:val="7"/>
        </w:rPr>
        <w:t>l </w:t>
      </w:r>
      <w:r>
        <w:rPr>
          <w:rFonts w:ascii="Calibri" w:hAnsi="Calibri"/>
          <w:color w:val="008356"/>
          <w:spacing w:val="2"/>
          <w:w w:val="110"/>
          <w:sz w:val="11"/>
        </w:rPr>
        <w:t>CITALOPRAM</w:t>
      </w:r>
      <w:r>
        <w:rPr>
          <w:rFonts w:ascii="Arial" w:hAnsi="Arial"/>
          <w:color w:val="231F1F"/>
          <w:spacing w:val="2"/>
          <w:w w:val="110"/>
        </w:rPr>
        <w:t>—</w:t>
      </w:r>
      <w:r>
        <w:rPr>
          <w:color w:val="231F1F"/>
          <w:spacing w:val="2"/>
          <w:w w:val="110"/>
        </w:rPr>
        <w:t>avoid </w:t>
      </w:r>
      <w:r>
        <w:rPr>
          <w:color w:val="231F1F"/>
          <w:w w:val="110"/>
        </w:rPr>
        <w:t>concomitant use; avoidance of sotalol advised by manufacturer of </w:t>
      </w:r>
      <w:r>
        <w:rPr>
          <w:rFonts w:ascii="Arial" w:hAnsi="Arial"/>
          <w:color w:val="231F1F"/>
          <w:w w:val="355"/>
          <w:position w:val="1"/>
          <w:sz w:val="7"/>
        </w:rPr>
        <w:t>l </w:t>
      </w:r>
      <w:r>
        <w:rPr>
          <w:rFonts w:ascii="Calibri" w:hAnsi="Calibri"/>
          <w:color w:val="008356"/>
          <w:spacing w:val="4"/>
          <w:w w:val="110"/>
          <w:sz w:val="11"/>
        </w:rPr>
        <w:t>ESCITALOPRAM </w:t>
      </w:r>
      <w:r>
        <w:rPr>
          <w:color w:val="231F1F"/>
          <w:w w:val="110"/>
        </w:rPr>
        <w:t>(risk of ventricular arrhythmias);  plasma  concentration  of propranolol increased by </w:t>
      </w:r>
      <w:r>
        <w:rPr>
          <w:rFonts w:ascii="Calibri" w:hAnsi="Calibri"/>
          <w:color w:val="008356"/>
          <w:spacing w:val="4"/>
          <w:w w:val="110"/>
          <w:sz w:val="11"/>
        </w:rPr>
        <w:t>FLUVOXAMINE</w:t>
      </w:r>
      <w:r>
        <w:rPr>
          <w:color w:val="231F1F"/>
          <w:spacing w:val="4"/>
          <w:w w:val="110"/>
        </w:rPr>
        <w:t>; </w:t>
      </w:r>
      <w:r>
        <w:rPr>
          <w:color w:val="231F1F"/>
          <w:w w:val="110"/>
        </w:rPr>
        <w:t>plasma concentration of metoprolol possibly increased by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0"/>
          <w:sz w:val="11"/>
        </w:rPr>
        <w:t>PAROXETINE</w:t>
      </w:r>
      <w:r>
        <w:rPr>
          <w:rFonts w:ascii="Arial" w:hAnsi="Arial"/>
          <w:color w:val="231F1F"/>
          <w:spacing w:val="2"/>
          <w:w w:val="110"/>
        </w:rPr>
        <w:t>—</w:t>
      </w:r>
      <w:r>
        <w:rPr>
          <w:color w:val="231F1F"/>
          <w:spacing w:val="2"/>
          <w:w w:val="110"/>
        </w:rPr>
        <w:t>increased </w:t>
      </w:r>
      <w:r>
        <w:rPr>
          <w:color w:val="231F1F"/>
          <w:w w:val="110"/>
        </w:rPr>
        <w:t>risk of AV block (manufacturer of paroxetine advises avoid concomitant use in cardiac insufficiency); labetalol and propranolol increase plasma concentration of </w:t>
      </w:r>
      <w:r>
        <w:rPr>
          <w:rFonts w:ascii="Calibri" w:hAnsi="Calibri"/>
          <w:color w:val="008356"/>
          <w:spacing w:val="4"/>
          <w:w w:val="110"/>
          <w:sz w:val="11"/>
        </w:rPr>
        <w:t>IMIPRAMINE</w:t>
      </w:r>
      <w:r>
        <w:rPr>
          <w:color w:val="231F1F"/>
          <w:spacing w:val="4"/>
          <w:w w:val="110"/>
        </w:rPr>
        <w:t>; </w:t>
      </w:r>
      <w:r>
        <w:rPr>
          <w:color w:val="231F1F"/>
          <w:w w:val="110"/>
        </w:rPr>
        <w:t>enhanced hypotensive effect when beta-blockers given with </w:t>
      </w:r>
      <w:r>
        <w:rPr>
          <w:rFonts w:ascii="Calibri" w:hAnsi="Calibri"/>
          <w:color w:val="008356"/>
          <w:spacing w:val="3"/>
          <w:w w:val="110"/>
          <w:sz w:val="11"/>
        </w:rPr>
        <w:t>MAOI</w:t>
      </w:r>
      <w:r>
        <w:rPr>
          <w:rFonts w:ascii="Calibri" w:hAnsi="Calibri"/>
          <w:color w:val="008356"/>
          <w:spacing w:val="3"/>
          <w:w w:val="110"/>
          <w:sz w:val="9"/>
        </w:rPr>
        <w:t>S</w:t>
      </w:r>
      <w:r>
        <w:rPr>
          <w:color w:val="231F1F"/>
          <w:spacing w:val="3"/>
          <w:w w:val="110"/>
        </w:rPr>
        <w:t>; </w:t>
      </w:r>
      <w:r>
        <w:rPr>
          <w:color w:val="231F1F"/>
          <w:w w:val="110"/>
        </w:rPr>
        <w:t>increased risk of ventricular arrhythmias when sotalol given with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TRICYCLICS</w:t>
      </w:r>
    </w:p>
    <w:p>
      <w:pPr>
        <w:pStyle w:val="BodyText"/>
        <w:spacing w:line="230" w:lineRule="auto" w:before="5"/>
        <w:ind w:right="6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beta-blockers may mask warning signs of hypoglycaemia (such as tremor) with </w:t>
      </w:r>
      <w:r>
        <w:rPr>
          <w:rFonts w:ascii="Calibri" w:hAnsi="Calibri"/>
          <w:color w:val="008356"/>
          <w:w w:val="105"/>
          <w:sz w:val="11"/>
        </w:rPr>
        <w:t>ANTIDIABETICS</w:t>
      </w:r>
      <w:r>
        <w:rPr>
          <w:color w:val="231F1F"/>
          <w:w w:val="105"/>
        </w:rPr>
        <w:t>; beta- blockers enhance hypoglycaemic effect of </w:t>
      </w:r>
      <w:r>
        <w:rPr>
          <w:rFonts w:ascii="Calibri" w:hAnsi="Calibri"/>
          <w:color w:val="008356"/>
          <w:w w:val="105"/>
          <w:sz w:val="11"/>
        </w:rPr>
        <w:t>INSULIN</w:t>
      </w:r>
    </w:p>
    <w:p>
      <w:pPr>
        <w:spacing w:line="220" w:lineRule="auto" w:before="8"/>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propranolol possibly reduced by </w:t>
      </w:r>
      <w:r>
        <w:rPr>
          <w:rFonts w:ascii="Calibri" w:hAnsi="Calibri"/>
          <w:color w:val="008356"/>
          <w:w w:val="105"/>
          <w:sz w:val="11"/>
        </w:rPr>
        <w:t>PHENOBARBITAL </w:t>
      </w:r>
      <w:r>
        <w:rPr>
          <w:color w:val="231F1F"/>
          <w:w w:val="105"/>
          <w:sz w:val="12"/>
        </w:rPr>
        <w:t>and </w:t>
      </w:r>
      <w:r>
        <w:rPr>
          <w:rFonts w:ascii="Calibri" w:hAnsi="Calibri"/>
          <w:color w:val="008356"/>
          <w:w w:val="105"/>
          <w:sz w:val="11"/>
        </w:rPr>
        <w:t>PRIMIDONE</w:t>
      </w:r>
    </w:p>
    <w:p>
      <w:pPr>
        <w:pStyle w:val="BodyText"/>
        <w:spacing w:line="220" w:lineRule="auto" w:before="9"/>
        <w:ind w:right="268"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nadolol possibly increased by </w:t>
      </w:r>
      <w:r>
        <w:rPr>
          <w:rFonts w:ascii="Calibri" w:hAnsi="Calibri"/>
          <w:color w:val="008356"/>
          <w:w w:val="105"/>
          <w:sz w:val="11"/>
        </w:rPr>
        <w:t>KETOCONAZOLE</w:t>
      </w:r>
    </w:p>
    <w:p>
      <w:pPr>
        <w:pStyle w:val="BodyText"/>
        <w:ind w:right="43" w:hanging="100"/>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Antihistamines:</w:t>
      </w:r>
      <w:r>
        <w:rPr>
          <w:rFonts w:ascii="Calibri" w:hAns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ventricular</w:t>
      </w:r>
      <w:r>
        <w:rPr>
          <w:color w:val="231F1F"/>
          <w:spacing w:val="-19"/>
          <w:w w:val="115"/>
        </w:rPr>
        <w:t> </w:t>
      </w:r>
      <w:r>
        <w:rPr>
          <w:color w:val="231F1F"/>
          <w:w w:val="115"/>
        </w:rPr>
        <w:t>arrhythmias</w:t>
      </w:r>
      <w:r>
        <w:rPr>
          <w:color w:val="231F1F"/>
          <w:spacing w:val="-19"/>
          <w:w w:val="115"/>
        </w:rPr>
        <w:t> </w:t>
      </w:r>
      <w:r>
        <w:rPr>
          <w:color w:val="231F1F"/>
          <w:spacing w:val="-4"/>
          <w:w w:val="115"/>
        </w:rPr>
        <w:t>when </w:t>
      </w:r>
      <w:r>
        <w:rPr>
          <w:color w:val="231F1F"/>
          <w:w w:val="115"/>
        </w:rPr>
        <w:t>sotalol</w:t>
      </w:r>
      <w:r>
        <w:rPr>
          <w:color w:val="231F1F"/>
          <w:spacing w:val="-14"/>
          <w:w w:val="115"/>
        </w:rPr>
        <w:t> </w:t>
      </w:r>
      <w:r>
        <w:rPr>
          <w:color w:val="231F1F"/>
          <w:w w:val="115"/>
        </w:rPr>
        <w:t>given</w:t>
      </w:r>
      <w:r>
        <w:rPr>
          <w:color w:val="231F1F"/>
          <w:spacing w:val="-14"/>
          <w:w w:val="115"/>
        </w:rPr>
        <w:t> </w:t>
      </w:r>
      <w:r>
        <w:rPr>
          <w:color w:val="231F1F"/>
          <w:w w:val="115"/>
        </w:rPr>
        <w:t>with</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5"/>
          <w:sz w:val="11"/>
        </w:rPr>
        <w:t>MIZOLASTINE</w:t>
      </w:r>
      <w:r>
        <w:rPr>
          <w:rFonts w:ascii="Arial" w:hAnsi="Arial"/>
          <w:color w:val="231F1F"/>
          <w:spacing w:val="3"/>
          <w:w w:val="115"/>
        </w:rPr>
        <w:t>—</w:t>
      </w:r>
      <w:r>
        <w:rPr>
          <w:color w:val="231F1F"/>
          <w:spacing w:val="3"/>
          <w:w w:val="115"/>
        </w:rPr>
        <w:t>avoid</w:t>
      </w:r>
      <w:r>
        <w:rPr>
          <w:color w:val="231F1F"/>
          <w:spacing w:val="-14"/>
          <w:w w:val="115"/>
        </w:rPr>
        <w:t> </w:t>
      </w:r>
      <w:r>
        <w:rPr>
          <w:color w:val="231F1F"/>
          <w:w w:val="115"/>
        </w:rPr>
        <w:t>concomitant</w:t>
      </w:r>
      <w:r>
        <w:rPr>
          <w:color w:val="231F1F"/>
          <w:spacing w:val="-14"/>
          <w:w w:val="115"/>
        </w:rPr>
        <w:t> </w:t>
      </w:r>
      <w:r>
        <w:rPr>
          <w:color w:val="231F1F"/>
          <w:w w:val="115"/>
        </w:rPr>
        <w:t>use</w:t>
      </w:r>
    </w:p>
    <w:p>
      <w:pPr>
        <w:spacing w:line="244" w:lineRule="auto" w:before="0"/>
        <w:ind w:left="208" w:right="32"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metoprolol and sotalol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avoidance of sotalol advised by manufacturer of </w:t>
      </w:r>
      <w:r>
        <w:rPr>
          <w:rFonts w:ascii="Arial"/>
          <w:color w:val="231F1F"/>
          <w:w w:val="355"/>
          <w:position w:val="1"/>
          <w:sz w:val="7"/>
        </w:rPr>
        <w:t>l </w:t>
      </w:r>
      <w:r>
        <w:rPr>
          <w:rFonts w:ascii="Calibri"/>
          <w:color w:val="008356"/>
          <w:spacing w:val="4"/>
          <w:w w:val="110"/>
          <w:sz w:val="11"/>
        </w:rPr>
        <w:t>ARTENIMOL </w:t>
      </w:r>
      <w:r>
        <w:rPr>
          <w:rFonts w:ascii="Calibri"/>
          <w:color w:val="008356"/>
          <w:spacing w:val="5"/>
          <w:w w:val="110"/>
          <w:sz w:val="11"/>
        </w:rPr>
        <w:t>WITH </w:t>
      </w:r>
      <w:r>
        <w:rPr>
          <w:rFonts w:ascii="Calibri"/>
          <w:color w:val="008356"/>
          <w:spacing w:val="4"/>
          <w:w w:val="110"/>
          <w:sz w:val="11"/>
        </w:rPr>
        <w:t>PIPERAQUINE </w:t>
      </w:r>
      <w:r>
        <w:rPr>
          <w:color w:val="231F1F"/>
          <w:w w:val="110"/>
          <w:sz w:val="12"/>
        </w:rPr>
        <w:t>(possible risk of ventricular arrhythmias); increased risk of bradycardia when beta-blockers given with </w:t>
      </w:r>
      <w:r>
        <w:rPr>
          <w:rFonts w:ascii="Calibri"/>
          <w:color w:val="008356"/>
          <w:spacing w:val="4"/>
          <w:w w:val="110"/>
          <w:sz w:val="11"/>
        </w:rPr>
        <w:t>MEFLOQUINE</w:t>
      </w:r>
    </w:p>
    <w:p>
      <w:pPr>
        <w:pStyle w:val="BodyText"/>
        <w:ind w:right="66" w:hanging="100"/>
        <w:rPr>
          <w:rFonts w:ascii="Calibri"/>
          <w:sz w:val="11"/>
        </w:rPr>
      </w:pPr>
      <w:r>
        <w:rPr>
          <w:rFonts w:ascii="Arial"/>
          <w:color w:val="231F1F"/>
          <w:w w:val="355"/>
          <w:position w:val="1"/>
          <w:sz w:val="7"/>
        </w:rPr>
        <w:t>l </w:t>
      </w:r>
      <w:r>
        <w:rPr>
          <w:rFonts w:ascii="Calibri"/>
          <w:color w:val="231F1F"/>
          <w:w w:val="110"/>
        </w:rPr>
        <w:t>Antimuscarinics: </w:t>
      </w:r>
      <w:r>
        <w:rPr>
          <w:color w:val="231F1F"/>
          <w:w w:val="110"/>
        </w:rPr>
        <w:t>increased risk of ventricular arrhythmias when sotalol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TOLTERODINE</w:t>
      </w:r>
    </w:p>
    <w:p>
      <w:pPr>
        <w:spacing w:line="244" w:lineRule="auto" w:before="0"/>
        <w:ind w:left="208" w:right="12" w:hanging="100"/>
        <w:jc w:val="left"/>
        <w:rPr>
          <w:sz w:val="12"/>
        </w:rPr>
      </w:pPr>
      <w:r>
        <w:rPr>
          <w:rFonts w:ascii="Arial" w:hAnsi="Arial"/>
          <w:color w:val="231F1F"/>
          <w:w w:val="355"/>
          <w:position w:val="1"/>
          <w:sz w:val="7"/>
        </w:rPr>
        <w:t>l </w:t>
      </w:r>
      <w:r>
        <w:rPr>
          <w:rFonts w:ascii="Calibri" w:hAnsi="Calibri"/>
          <w:color w:val="231F1F"/>
          <w:w w:val="110"/>
          <w:sz w:val="12"/>
        </w:rPr>
        <w:t>Antipsychotics: </w:t>
      </w:r>
      <w:r>
        <w:rPr>
          <w:color w:val="231F1F"/>
          <w:w w:val="110"/>
          <w:sz w:val="12"/>
        </w:rPr>
        <w:t>increased risk of ventricular arrhythmias </w:t>
      </w:r>
      <w:r>
        <w:rPr>
          <w:color w:val="231F1F"/>
          <w:spacing w:val="-4"/>
          <w:w w:val="110"/>
          <w:sz w:val="12"/>
        </w:rPr>
        <w:t>when </w:t>
      </w:r>
      <w:r>
        <w:rPr>
          <w:color w:val="231F1F"/>
          <w:w w:val="110"/>
          <w:sz w:val="12"/>
        </w:rPr>
        <w:t>sotalol given 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DROPERIDOL </w:t>
      </w:r>
      <w:r>
        <w:rPr>
          <w:color w:val="231F1F"/>
          <w:w w:val="110"/>
          <w:sz w:val="12"/>
        </w:rPr>
        <w:t>or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ZUCLOPENTHIXOL</w:t>
      </w:r>
      <w:r>
        <w:rPr>
          <w:rFonts w:ascii="Arial" w:hAnsi="Arial"/>
          <w:color w:val="231F1F"/>
          <w:spacing w:val="3"/>
          <w:w w:val="110"/>
          <w:sz w:val="12"/>
        </w:rPr>
        <w:t>—</w:t>
      </w:r>
      <w:r>
        <w:rPr>
          <w:color w:val="231F1F"/>
          <w:spacing w:val="3"/>
          <w:w w:val="110"/>
          <w:sz w:val="12"/>
        </w:rPr>
        <w:t>avoid </w:t>
      </w:r>
      <w:r>
        <w:rPr>
          <w:color w:val="231F1F"/>
          <w:w w:val="110"/>
          <w:sz w:val="12"/>
        </w:rPr>
        <w:t>concomitant use; possible increased risk of ventricular arrhythmias when sotalol given with </w:t>
      </w:r>
      <w:r>
        <w:rPr>
          <w:rFonts w:ascii="Arial" w:hAnsi="Arial"/>
          <w:color w:val="231F1F"/>
          <w:w w:val="355"/>
          <w:position w:val="1"/>
          <w:sz w:val="7"/>
        </w:rPr>
        <w:t>l </w:t>
      </w:r>
      <w:r>
        <w:rPr>
          <w:rFonts w:ascii="Calibri" w:hAnsi="Calibri"/>
          <w:color w:val="008356"/>
          <w:spacing w:val="3"/>
          <w:w w:val="110"/>
          <w:sz w:val="11"/>
        </w:rPr>
        <w:t>HALOPERIDOL</w:t>
      </w:r>
      <w:r>
        <w:rPr>
          <w:rFonts w:ascii="Arial" w:hAnsi="Arial"/>
          <w:color w:val="231F1F"/>
          <w:spacing w:val="3"/>
          <w:w w:val="110"/>
          <w:sz w:val="12"/>
        </w:rPr>
        <w:t>—</w:t>
      </w:r>
      <w:r>
        <w:rPr>
          <w:color w:val="231F1F"/>
          <w:spacing w:val="3"/>
          <w:w w:val="110"/>
          <w:sz w:val="12"/>
        </w:rPr>
        <w:t>avoid </w:t>
      </w:r>
      <w:r>
        <w:rPr>
          <w:color w:val="231F1F"/>
          <w:w w:val="110"/>
          <w:sz w:val="12"/>
        </w:rPr>
        <w:t>concomitant use; plasma concentration of both drugs may increase when propranolol given with </w:t>
      </w:r>
      <w:r>
        <w:rPr>
          <w:rFonts w:ascii="Arial" w:hAnsi="Arial"/>
          <w:color w:val="231F1F"/>
          <w:w w:val="355"/>
          <w:position w:val="1"/>
          <w:sz w:val="7"/>
        </w:rPr>
        <w:t>l </w:t>
      </w:r>
      <w:r>
        <w:rPr>
          <w:rFonts w:ascii="Calibri" w:hAnsi="Calibri"/>
          <w:color w:val="008356"/>
          <w:spacing w:val="4"/>
          <w:w w:val="110"/>
          <w:sz w:val="11"/>
        </w:rPr>
        <w:t>CHLORPROMAZINE</w:t>
      </w:r>
      <w:r>
        <w:rPr>
          <w:color w:val="231F1F"/>
          <w:spacing w:val="4"/>
          <w:w w:val="110"/>
          <w:sz w:val="12"/>
        </w:rPr>
        <w:t>; </w:t>
      </w:r>
      <w:r>
        <w:rPr>
          <w:color w:val="231F1F"/>
          <w:w w:val="110"/>
          <w:sz w:val="12"/>
        </w:rPr>
        <w:t>increased risk of ventricular arrhythmias when sotalol given with </w:t>
      </w:r>
      <w:r>
        <w:rPr>
          <w:rFonts w:ascii="Arial" w:hAnsi="Arial"/>
          <w:color w:val="231F1F"/>
          <w:w w:val="355"/>
          <w:position w:val="1"/>
          <w:sz w:val="7"/>
        </w:rPr>
        <w:t>l </w:t>
      </w:r>
      <w:r>
        <w:rPr>
          <w:rFonts w:ascii="Calibri" w:hAnsi="Calibri"/>
          <w:color w:val="008356"/>
          <w:spacing w:val="4"/>
          <w:w w:val="110"/>
          <w:sz w:val="11"/>
        </w:rPr>
        <w:t>AMISULPRIDE</w:t>
      </w:r>
      <w:r>
        <w:rPr>
          <w:color w:val="231F1F"/>
          <w:spacing w:val="4"/>
          <w:w w:val="110"/>
          <w:sz w:val="12"/>
        </w:rPr>
        <w:t>, </w:t>
      </w:r>
      <w:r>
        <w:rPr>
          <w:rFonts w:ascii="Arial" w:hAnsi="Arial"/>
          <w:color w:val="231F1F"/>
          <w:w w:val="355"/>
          <w:position w:val="1"/>
          <w:sz w:val="7"/>
        </w:rPr>
        <w:t>l </w:t>
      </w:r>
      <w:r>
        <w:rPr>
          <w:rFonts w:ascii="Calibri" w:hAnsi="Calibri"/>
          <w:color w:val="008356"/>
          <w:spacing w:val="4"/>
          <w:w w:val="110"/>
          <w:sz w:val="11"/>
        </w:rPr>
        <w:t>PHENOTHIAZINES</w:t>
      </w:r>
      <w:r>
        <w:rPr>
          <w:color w:val="231F1F"/>
          <w:spacing w:val="4"/>
          <w:w w:val="110"/>
          <w:sz w:val="12"/>
        </w:rPr>
        <w:t>, </w:t>
      </w:r>
      <w:r>
        <w:rPr>
          <w:rFonts w:ascii="Arial" w:hAnsi="Arial"/>
          <w:color w:val="231F1F"/>
          <w:w w:val="355"/>
          <w:position w:val="1"/>
          <w:sz w:val="7"/>
        </w:rPr>
        <w:t>l </w:t>
      </w:r>
      <w:r>
        <w:rPr>
          <w:rFonts w:ascii="Calibri" w:hAnsi="Calibri"/>
          <w:color w:val="008356"/>
          <w:spacing w:val="4"/>
          <w:w w:val="110"/>
          <w:sz w:val="11"/>
        </w:rPr>
        <w:t>PIMOZIDE </w:t>
      </w:r>
      <w:r>
        <w:rPr>
          <w:color w:val="231F1F"/>
          <w:w w:val="110"/>
          <w:sz w:val="12"/>
        </w:rPr>
        <w:t>or</w:t>
      </w:r>
    </w:p>
    <w:p>
      <w:pPr>
        <w:pStyle w:val="BodyText"/>
        <w:spacing w:line="244" w:lineRule="auto"/>
      </w:pPr>
      <w:r>
        <w:rPr>
          <w:rFonts w:ascii="Arial"/>
          <w:color w:val="231F1F"/>
          <w:w w:val="355"/>
          <w:position w:val="1"/>
          <w:sz w:val="7"/>
        </w:rPr>
        <w:t>l </w:t>
      </w:r>
      <w:r>
        <w:rPr>
          <w:rFonts w:ascii="Calibri"/>
          <w:color w:val="008356"/>
          <w:w w:val="110"/>
          <w:sz w:val="11"/>
        </w:rPr>
        <w:t>SULPIRIDE</w:t>
      </w:r>
      <w:r>
        <w:rPr>
          <w:color w:val="231F1F"/>
          <w:w w:val="110"/>
        </w:rPr>
        <w:t>; enhanced hypotensive effect when beta-blockers given with </w:t>
      </w:r>
      <w:r>
        <w:rPr>
          <w:rFonts w:ascii="Calibri"/>
          <w:color w:val="008356"/>
          <w:w w:val="110"/>
          <w:sz w:val="11"/>
        </w:rPr>
        <w:t>PHENOTHIAZINES</w:t>
      </w:r>
      <w:r>
        <w:rPr>
          <w:color w:val="231F1F"/>
          <w:w w:val="110"/>
        </w:rPr>
        <w:t>; possible increased risk of ventricular arrhythmias when sotalol given with</w:t>
      </w:r>
    </w:p>
    <w:p>
      <w:pPr>
        <w:spacing w:line="133" w:lineRule="exact" w:before="0"/>
        <w:ind w:left="208" w:right="0" w:firstLine="0"/>
        <w:jc w:val="left"/>
        <w:rPr>
          <w:rFonts w:ascii="Calibri"/>
          <w:sz w:val="11"/>
        </w:rPr>
      </w:pPr>
      <w:r>
        <w:rPr>
          <w:rFonts w:ascii="Arial"/>
          <w:color w:val="231F1F"/>
          <w:w w:val="355"/>
          <w:position w:val="1"/>
          <w:sz w:val="7"/>
        </w:rPr>
        <w:t>l </w:t>
      </w:r>
      <w:r>
        <w:rPr>
          <w:rFonts w:ascii="Calibri"/>
          <w:color w:val="008356"/>
          <w:w w:val="120"/>
          <w:sz w:val="11"/>
        </w:rPr>
        <w:t>RISPERIDONE</w:t>
      </w:r>
    </w:p>
    <w:p>
      <w:pPr>
        <w:pStyle w:val="BodyText"/>
        <w:spacing w:line="242" w:lineRule="auto"/>
        <w:ind w:right="33" w:hanging="100"/>
        <w:rPr>
          <w:rFonts w:ascii="Calibri" w:hAnsi="Calibri"/>
          <w:sz w:val="11"/>
        </w:rPr>
      </w:pPr>
      <w:r>
        <w:rPr>
          <w:rFonts w:ascii="Arial" w:hAnsi="Arial"/>
          <w:color w:val="231F1F"/>
          <w:w w:val="355"/>
          <w:position w:val="1"/>
          <w:sz w:val="7"/>
        </w:rPr>
        <w:t>l </w:t>
      </w:r>
      <w:r>
        <w:rPr>
          <w:rFonts w:ascii="Calibri" w:hAnsi="Calibri"/>
          <w:color w:val="231F1F"/>
          <w:w w:val="110"/>
        </w:rPr>
        <w:t>Antivirals: </w:t>
      </w:r>
      <w:r>
        <w:rPr>
          <w:color w:val="231F1F"/>
          <w:w w:val="110"/>
        </w:rPr>
        <w:t>increased risk of ventricular arrhythmias when sotalol given with </w:t>
      </w: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 avoidance of sotalol advised by manufacturer of </w:t>
      </w:r>
      <w:r>
        <w:rPr>
          <w:rFonts w:ascii="Arial" w:hAnsi="Arial"/>
          <w:color w:val="231F1F"/>
          <w:w w:val="355"/>
          <w:position w:val="1"/>
          <w:sz w:val="7"/>
        </w:rPr>
        <w:t>l </w:t>
      </w:r>
      <w:r>
        <w:rPr>
          <w:rFonts w:ascii="Calibri" w:hAnsi="Calibri"/>
          <w:color w:val="008356"/>
          <w:w w:val="110"/>
          <w:sz w:val="11"/>
        </w:rPr>
        <w:t>TELAPREVIR </w:t>
      </w:r>
      <w:r>
        <w:rPr>
          <w:color w:val="231F1F"/>
          <w:w w:val="110"/>
        </w:rPr>
        <w:t>(risk of ventricular arrhythmias); avoidance of metoprolol for heart failure advised by manufacturer of </w:t>
      </w:r>
      <w:r>
        <w:rPr>
          <w:rFonts w:ascii="Arial" w:hAnsi="Arial"/>
          <w:color w:val="231F1F"/>
          <w:w w:val="355"/>
          <w:position w:val="1"/>
          <w:sz w:val="7"/>
        </w:rPr>
        <w:t>l </w:t>
      </w:r>
      <w:r>
        <w:rPr>
          <w:rFonts w:ascii="Calibri" w:hAnsi="Calibri"/>
          <w:color w:val="008356"/>
          <w:w w:val="110"/>
          <w:sz w:val="11"/>
        </w:rPr>
        <w:t>TIPRANAVIR</w:t>
      </w:r>
    </w:p>
    <w:p>
      <w:pPr>
        <w:spacing w:line="220" w:lineRule="auto" w:before="6"/>
        <w:ind w:left="208" w:right="1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beta-blockers given with </w:t>
      </w:r>
      <w:r>
        <w:rPr>
          <w:rFonts w:ascii="Calibri" w:hAnsi="Calibri"/>
          <w:color w:val="008356"/>
          <w:w w:val="105"/>
          <w:sz w:val="11"/>
        </w:rPr>
        <w:t>ANXIOLYTICS AND HYPNOTICS</w:t>
      </w:r>
    </w:p>
    <w:p>
      <w:pPr>
        <w:pStyle w:val="BodyText"/>
        <w:ind w:hanging="100"/>
        <w:rPr>
          <w:rFonts w:ascii="Calibri"/>
          <w:sz w:val="11"/>
        </w:rPr>
      </w:pPr>
      <w:r>
        <w:rPr>
          <w:rFonts w:ascii="Arial"/>
          <w:color w:val="231F1F"/>
          <w:w w:val="355"/>
          <w:position w:val="1"/>
          <w:sz w:val="7"/>
        </w:rPr>
        <w:t>l </w:t>
      </w:r>
      <w:r>
        <w:rPr>
          <w:rFonts w:ascii="Calibri"/>
          <w:color w:val="231F1F"/>
          <w:w w:val="105"/>
        </w:rPr>
        <w:t>Atomoxetine: </w:t>
      </w:r>
      <w:r>
        <w:rPr>
          <w:color w:val="231F1F"/>
          <w:w w:val="105"/>
        </w:rPr>
        <w:t>increased risk of ventricular arrhythmias when sotalol given with </w:t>
      </w:r>
      <w:r>
        <w:rPr>
          <w:rFonts w:ascii="Arial"/>
          <w:color w:val="231F1F"/>
          <w:w w:val="355"/>
          <w:position w:val="1"/>
          <w:sz w:val="7"/>
        </w:rPr>
        <w:t>l </w:t>
      </w:r>
      <w:r>
        <w:rPr>
          <w:rFonts w:ascii="Calibri"/>
          <w:color w:val="008356"/>
          <w:w w:val="105"/>
          <w:sz w:val="11"/>
        </w:rPr>
        <w:t>ATOMOXETINE</w:t>
      </w:r>
    </w:p>
    <w:p>
      <w:pPr>
        <w:pStyle w:val="BodyText"/>
        <w:spacing w:line="244" w:lineRule="auto"/>
        <w:ind w:right="38" w:hanging="100"/>
      </w:pPr>
      <w:r>
        <w:rPr>
          <w:rFonts w:ascii="Arial"/>
          <w:color w:val="231F1F"/>
          <w:w w:val="355"/>
          <w:position w:val="1"/>
          <w:sz w:val="7"/>
        </w:rPr>
        <w:t>l </w:t>
      </w:r>
      <w:r>
        <w:rPr>
          <w:rFonts w:ascii="Calibri"/>
          <w:color w:val="231F1F"/>
          <w:w w:val="105"/>
        </w:rPr>
        <w:t>Calcium-channel Blockers: </w:t>
      </w:r>
      <w:r>
        <w:rPr>
          <w:color w:val="231F1F"/>
          <w:w w:val="105"/>
        </w:rPr>
        <w:t>enhanced hypotensive effect when beta-blockers given with </w:t>
      </w:r>
      <w:r>
        <w:rPr>
          <w:rFonts w:ascii="Calibri"/>
          <w:color w:val="008356"/>
          <w:spacing w:val="4"/>
          <w:w w:val="105"/>
          <w:sz w:val="11"/>
        </w:rPr>
        <w:t>CALCIUM-CHANNEL BLOCKERS</w:t>
      </w:r>
      <w:r>
        <w:rPr>
          <w:color w:val="231F1F"/>
          <w:spacing w:val="4"/>
          <w:w w:val="105"/>
        </w:rPr>
        <w:t>; </w:t>
      </w:r>
      <w:r>
        <w:rPr>
          <w:color w:val="231F1F"/>
          <w:w w:val="105"/>
        </w:rPr>
        <w:t>possible severe hypotension and  </w:t>
      </w:r>
      <w:r>
        <w:rPr>
          <w:color w:val="231F1F"/>
          <w:w w:val="135"/>
        </w:rPr>
        <w:t>heart  </w:t>
      </w:r>
      <w:r>
        <w:rPr>
          <w:color w:val="231F1F"/>
          <w:w w:val="105"/>
        </w:rPr>
        <w:t>failure  when  beta-blockers given with </w:t>
      </w:r>
      <w:r>
        <w:rPr>
          <w:rFonts w:ascii="Arial"/>
          <w:color w:val="231F1F"/>
          <w:w w:val="355"/>
          <w:position w:val="1"/>
          <w:sz w:val="7"/>
        </w:rPr>
        <w:t>l </w:t>
      </w:r>
      <w:r>
        <w:rPr>
          <w:rFonts w:ascii="Calibri"/>
          <w:color w:val="008356"/>
          <w:spacing w:val="4"/>
          <w:w w:val="105"/>
          <w:sz w:val="11"/>
        </w:rPr>
        <w:t>NIFEDIPINE</w:t>
      </w:r>
      <w:r>
        <w:rPr>
          <w:color w:val="231F1F"/>
          <w:spacing w:val="4"/>
          <w:w w:val="105"/>
        </w:rPr>
        <w:t>; </w:t>
      </w:r>
      <w:r>
        <w:rPr>
          <w:color w:val="231F1F"/>
          <w:w w:val="105"/>
        </w:rPr>
        <w:t>increased risk of AV block and bradycardia when beta-blockers given with </w:t>
      </w:r>
      <w:r>
        <w:rPr>
          <w:rFonts w:ascii="Arial"/>
          <w:color w:val="231F1F"/>
          <w:w w:val="355"/>
          <w:position w:val="1"/>
          <w:sz w:val="7"/>
        </w:rPr>
        <w:t>l </w:t>
      </w:r>
      <w:r>
        <w:rPr>
          <w:rFonts w:ascii="Calibri"/>
          <w:color w:val="008356"/>
          <w:spacing w:val="3"/>
          <w:w w:val="105"/>
          <w:sz w:val="11"/>
        </w:rPr>
        <w:t>DILTIAZEM</w:t>
      </w:r>
      <w:r>
        <w:rPr>
          <w:color w:val="231F1F"/>
          <w:spacing w:val="3"/>
          <w:w w:val="105"/>
        </w:rPr>
        <w:t>; </w:t>
      </w:r>
      <w:r>
        <w:rPr>
          <w:color w:val="231F1F"/>
          <w:w w:val="105"/>
        </w:rPr>
        <w:t>asystole, severe hypotension and </w:t>
      </w:r>
      <w:r>
        <w:rPr>
          <w:color w:val="231F1F"/>
          <w:w w:val="135"/>
        </w:rPr>
        <w:t>heart </w:t>
      </w:r>
      <w:r>
        <w:rPr>
          <w:color w:val="231F1F"/>
          <w:w w:val="105"/>
        </w:rPr>
        <w:t>failure when </w:t>
      </w:r>
      <w:r>
        <w:rPr>
          <w:color w:val="231F1F"/>
          <w:w w:val="135"/>
        </w:rPr>
        <w:t>beta- </w:t>
      </w:r>
      <w:r>
        <w:rPr>
          <w:color w:val="231F1F"/>
          <w:w w:val="105"/>
        </w:rPr>
        <w:t>blockers given with </w:t>
      </w:r>
      <w:r>
        <w:rPr>
          <w:rFonts w:ascii="Arial"/>
          <w:color w:val="231F1F"/>
          <w:w w:val="355"/>
          <w:position w:val="1"/>
          <w:sz w:val="7"/>
        </w:rPr>
        <w:t>l </w:t>
      </w:r>
      <w:r>
        <w:rPr>
          <w:rFonts w:ascii="Calibri"/>
          <w:color w:val="008356"/>
          <w:spacing w:val="4"/>
          <w:w w:val="105"/>
          <w:sz w:val="11"/>
        </w:rPr>
        <w:t>VERAPAMIL </w:t>
      </w:r>
      <w:r>
        <w:rPr>
          <w:color w:val="231F1F"/>
          <w:w w:val="105"/>
        </w:rPr>
        <w:t>(see under</w:t>
      </w:r>
      <w:r>
        <w:rPr>
          <w:color w:val="231F1F"/>
          <w:spacing w:val="5"/>
          <w:w w:val="105"/>
        </w:rPr>
        <w:t> </w:t>
      </w:r>
      <w:r>
        <w:rPr>
          <w:color w:val="231F1F"/>
          <w:w w:val="105"/>
        </w:rPr>
        <w:t>Verapamil,</w:t>
      </w:r>
    </w:p>
    <w:p>
      <w:pPr>
        <w:pStyle w:val="BodyText"/>
        <w:spacing w:line="137" w:lineRule="exact"/>
      </w:pPr>
      <w:r>
        <w:rPr>
          <w:color w:val="231F1F"/>
          <w:w w:val="110"/>
        </w:rPr>
        <w:t>p. 156)</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increased risk of AV block and bradycardia when beta-blockers given with </w:t>
      </w:r>
      <w:r>
        <w:rPr>
          <w:rFonts w:ascii="Calibri" w:hAnsi="Calibri"/>
          <w:color w:val="008356"/>
          <w:w w:val="105"/>
          <w:sz w:val="11"/>
        </w:rPr>
        <w:t>CARDIAC GLYCOSIDES</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carvedilol increases plasma concentration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ind w:right="53" w:hanging="100"/>
      </w:pPr>
      <w:r>
        <w:rPr>
          <w:rFonts w:ascii="Arial"/>
          <w:color w:val="231F1F"/>
          <w:w w:val="355"/>
          <w:position w:val="1"/>
          <w:sz w:val="7"/>
        </w:rPr>
        <w:t>l </w:t>
      </w:r>
      <w:r>
        <w:rPr>
          <w:rFonts w:ascii="Calibri"/>
          <w:color w:val="231F1F"/>
          <w:w w:val="110"/>
        </w:rPr>
        <w:t>Clonidine: </w:t>
      </w:r>
      <w:r>
        <w:rPr>
          <w:color w:val="231F1F"/>
          <w:w w:val="110"/>
        </w:rPr>
        <w:t>increased risk of withdrawal hypertension when beta-blockers given with </w:t>
      </w:r>
      <w:r>
        <w:rPr>
          <w:rFonts w:ascii="Arial"/>
          <w:color w:val="231F1F"/>
          <w:w w:val="355"/>
          <w:position w:val="1"/>
          <w:sz w:val="7"/>
        </w:rPr>
        <w:t>l </w:t>
      </w:r>
      <w:r>
        <w:rPr>
          <w:rFonts w:ascii="Calibri"/>
          <w:color w:val="008356"/>
          <w:w w:val="110"/>
          <w:sz w:val="11"/>
        </w:rPr>
        <w:t>CLONIDINE </w:t>
      </w:r>
      <w:r>
        <w:rPr>
          <w:color w:val="231F1F"/>
          <w:w w:val="110"/>
        </w:rPr>
        <w:t>(withdraw beta-blockers several days before slowly withdrawing clonidine)</w:t>
      </w:r>
    </w:p>
    <w:p>
      <w:pPr>
        <w:pStyle w:val="BodyText"/>
        <w:spacing w:line="220" w:lineRule="auto" w:before="10"/>
        <w:ind w:right="268"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beta-blockers antagonised by </w:t>
      </w:r>
      <w:r>
        <w:rPr>
          <w:rFonts w:ascii="Calibri" w:hAnsi="Calibri"/>
          <w:color w:val="008356"/>
          <w:w w:val="105"/>
          <w:sz w:val="11"/>
        </w:rPr>
        <w:t>CORTICOSTEROIDS</w:t>
      </w:r>
    </w:p>
    <w:p>
      <w:pPr>
        <w:pStyle w:val="BodyText"/>
        <w:spacing w:line="244" w:lineRule="auto"/>
        <w:ind w:right="124" w:hanging="100"/>
        <w:rPr>
          <w:rFonts w:ascii="Calibri" w:hAnsi="Calibri"/>
          <w:sz w:val="11"/>
        </w:rPr>
      </w:pPr>
      <w:r>
        <w:rPr>
          <w:rFonts w:ascii="Arial" w:hAnsi="Arial"/>
          <w:color w:val="231F1F"/>
          <w:w w:val="355"/>
          <w:position w:val="1"/>
          <w:sz w:val="7"/>
        </w:rPr>
        <w:t>l </w:t>
      </w:r>
      <w:r>
        <w:rPr>
          <w:rFonts w:ascii="Calibri" w:hAnsi="Calibri"/>
          <w:color w:val="231F1F"/>
          <w:w w:val="110"/>
        </w:rPr>
        <w:t>Cytotoxics: </w:t>
      </w:r>
      <w:r>
        <w:rPr>
          <w:color w:val="231F1F"/>
          <w:w w:val="110"/>
        </w:rPr>
        <w:t>possible increased risk of ventricular arrhythmias when sotalol given with </w:t>
      </w:r>
      <w:r>
        <w:rPr>
          <w:rFonts w:ascii="Arial" w:hAnsi="Arial"/>
          <w:color w:val="231F1F"/>
          <w:w w:val="355"/>
          <w:position w:val="1"/>
          <w:sz w:val="7"/>
        </w:rPr>
        <w:t>l </w:t>
      </w:r>
      <w:r>
        <w:rPr>
          <w:rFonts w:ascii="Calibri" w:hAnsi="Calibri"/>
          <w:color w:val="008356"/>
          <w:w w:val="110"/>
          <w:sz w:val="11"/>
        </w:rPr>
        <w:t>BOSUTINIB</w:t>
      </w:r>
      <w:r>
        <w:rPr>
          <w:color w:val="231F1F"/>
          <w:w w:val="110"/>
        </w:rPr>
        <w:t>; possible increased risk of bradycardia when beta-blockers given with </w:t>
      </w:r>
      <w:r>
        <w:rPr>
          <w:rFonts w:ascii="Calibri" w:hAnsi="Calibri"/>
          <w:color w:val="008356"/>
          <w:w w:val="110"/>
          <w:sz w:val="11"/>
        </w:rPr>
        <w:t>CRIZOTINIB</w:t>
      </w:r>
      <w:r>
        <w:rPr>
          <w:color w:val="231F1F"/>
          <w:w w:val="110"/>
        </w:rPr>
        <w:t>; possible increased risk of ventricular arrhythmias when sotalol given with </w:t>
      </w:r>
      <w:r>
        <w:rPr>
          <w:rFonts w:ascii="Arial" w:hAnsi="Arial"/>
          <w:color w:val="231F1F"/>
          <w:w w:val="355"/>
          <w:position w:val="1"/>
          <w:sz w:val="7"/>
        </w:rPr>
        <w:t>l </w:t>
      </w:r>
      <w:r>
        <w:rPr>
          <w:rFonts w:ascii="Calibri" w:hAnsi="Calibri"/>
          <w:color w:val="008356"/>
          <w:w w:val="110"/>
          <w:sz w:val="11"/>
        </w:rPr>
        <w:t>VANDETANIB</w:t>
      </w:r>
      <w:r>
        <w:rPr>
          <w:rFonts w:ascii="Arial" w:hAnsi="Arial"/>
          <w:color w:val="231F1F"/>
          <w:w w:val="110"/>
        </w:rPr>
        <w:t>—</w:t>
      </w:r>
      <w:r>
        <w:rPr>
          <w:color w:val="231F1F"/>
          <w:w w:val="110"/>
        </w:rPr>
        <w:t>avoid concomitant use; increased risk of ventricular arrhythmias when sotalol given with </w:t>
      </w:r>
      <w:r>
        <w:rPr>
          <w:rFonts w:ascii="Arial" w:hAnsi="Arial"/>
          <w:color w:val="231F1F"/>
          <w:w w:val="355"/>
          <w:position w:val="1"/>
          <w:sz w:val="7"/>
        </w:rPr>
        <w:t>l </w:t>
      </w:r>
      <w:r>
        <w:rPr>
          <w:rFonts w:ascii="Calibri" w:hAnsi="Calibri"/>
          <w:color w:val="008356"/>
          <w:w w:val="110"/>
          <w:sz w:val="11"/>
        </w:rPr>
        <w:t>ARSENIC TRIOXIDE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Beta-blockers </w:t>
      </w:r>
      <w:r>
        <w:rPr>
          <w:rFonts w:ascii="Calibri"/>
          <w:color w:val="231F1F"/>
        </w:rPr>
        <w:t>(continued)</w:t>
      </w:r>
    </w:p>
    <w:p>
      <w:pPr>
        <w:pStyle w:val="BodyText"/>
        <w:spacing w:line="220" w:lineRule="auto" w:before="6"/>
        <w:ind w:right="762" w:hanging="100"/>
        <w:rPr>
          <w:rFonts w:ascii="Calibri" w:hAnsi="Calibri"/>
          <w:sz w:val="11"/>
        </w:rPr>
      </w:pPr>
      <w:r>
        <w:rPr/>
        <w:pict>
          <v:rect style="position:absolute;margin-left:398.891296pt;margin-top:-8.655787pt;width:20.522993pt;height:149.443pt;mso-position-horizontal-relative:page;mso-position-vertical-relative:paragraph;z-index:2464" filled="true" fillcolor="#bfdbcf" stroked="false">
            <v:fill type="solid"/>
            <w10:wrap type="none"/>
          </v:rect>
        </w:pict>
      </w:r>
      <w:r>
        <w:rPr/>
        <w:pict>
          <v:shape style="position:absolute;margin-left:399.725769pt;margin-top:-3.692398pt;width:10.4pt;height:78.850pt;mso-position-horizontal-relative:page;mso-position-vertical-relative:paragraph;z-index:248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beta-blockers given with </w:t>
      </w:r>
      <w:r>
        <w:rPr>
          <w:rFonts w:ascii="Calibri" w:hAnsi="Calibri"/>
          <w:color w:val="008356"/>
          <w:w w:val="105"/>
          <w:sz w:val="11"/>
        </w:rPr>
        <w:t>DIAZOXIDE</w:t>
      </w:r>
    </w:p>
    <w:p>
      <w:pPr>
        <w:spacing w:line="242" w:lineRule="auto" w:before="0"/>
        <w:ind w:left="208" w:right="603"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enhanced hypotensive effect when beta-blockers given with </w:t>
      </w:r>
      <w:r>
        <w:rPr>
          <w:rFonts w:ascii="Calibri"/>
          <w:color w:val="008356"/>
          <w:spacing w:val="4"/>
          <w:w w:val="110"/>
          <w:sz w:val="11"/>
        </w:rPr>
        <w:t>DIURETICS</w:t>
      </w:r>
      <w:r>
        <w:rPr>
          <w:color w:val="231F1F"/>
          <w:spacing w:val="4"/>
          <w:w w:val="110"/>
          <w:sz w:val="12"/>
        </w:rPr>
        <w:t>; </w:t>
      </w:r>
      <w:r>
        <w:rPr>
          <w:color w:val="231F1F"/>
          <w:w w:val="110"/>
          <w:sz w:val="12"/>
        </w:rPr>
        <w:t>risk of ventricular arrhythmias with sotalol increased by hypokalaemia caused by </w:t>
      </w:r>
      <w:r>
        <w:rPr>
          <w:rFonts w:ascii="Arial"/>
          <w:color w:val="231F1F"/>
          <w:w w:val="355"/>
          <w:position w:val="1"/>
          <w:sz w:val="7"/>
        </w:rPr>
        <w:t>l </w:t>
      </w:r>
      <w:r>
        <w:rPr>
          <w:rFonts w:ascii="Calibri"/>
          <w:color w:val="008356"/>
          <w:spacing w:val="3"/>
          <w:w w:val="110"/>
          <w:sz w:val="11"/>
        </w:rPr>
        <w:t>LOOP </w:t>
      </w:r>
      <w:r>
        <w:rPr>
          <w:rFonts w:ascii="Calibri"/>
          <w:color w:val="008356"/>
          <w:spacing w:val="5"/>
          <w:w w:val="110"/>
          <w:sz w:val="11"/>
        </w:rPr>
        <w:t>DIURETICS </w:t>
      </w:r>
      <w:r>
        <w:rPr>
          <w:color w:val="231F1F"/>
          <w:w w:val="110"/>
          <w:sz w:val="12"/>
        </w:rPr>
        <w:t>or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THIAZIDES </w:t>
      </w:r>
      <w:r>
        <w:rPr>
          <w:rFonts w:ascii="Calibri"/>
          <w:color w:val="008356"/>
          <w:spacing w:val="3"/>
          <w:w w:val="110"/>
          <w:sz w:val="11"/>
        </w:rPr>
        <w:t>AND RELATED </w:t>
      </w:r>
      <w:r>
        <w:rPr>
          <w:rFonts w:ascii="Calibri"/>
          <w:color w:val="008356"/>
          <w:spacing w:val="5"/>
          <w:w w:val="110"/>
          <w:sz w:val="11"/>
        </w:rPr>
        <w:t>DIURETICS</w:t>
      </w:r>
    </w:p>
    <w:p>
      <w:pPr>
        <w:spacing w:line="220" w:lineRule="auto" w:before="4"/>
        <w:ind w:left="208" w:right="66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beta- blockers</w:t>
      </w:r>
      <w:r>
        <w:rPr>
          <w:color w:val="231F1F"/>
          <w:spacing w:val="-9"/>
          <w:w w:val="105"/>
          <w:sz w:val="12"/>
        </w:rPr>
        <w:t> </w:t>
      </w:r>
      <w:r>
        <w:rPr>
          <w:color w:val="231F1F"/>
          <w:w w:val="105"/>
          <w:sz w:val="12"/>
        </w:rPr>
        <w:t>given</w:t>
      </w:r>
      <w:r>
        <w:rPr>
          <w:color w:val="231F1F"/>
          <w:spacing w:val="-8"/>
          <w:w w:val="105"/>
          <w:sz w:val="12"/>
        </w:rPr>
        <w:t> </w:t>
      </w:r>
      <w:r>
        <w:rPr>
          <w:color w:val="231F1F"/>
          <w:w w:val="105"/>
          <w:sz w:val="12"/>
        </w:rPr>
        <w:t>with</w:t>
      </w:r>
      <w:r>
        <w:rPr>
          <w:color w:val="231F1F"/>
          <w:spacing w:val="-8"/>
          <w:w w:val="105"/>
          <w:sz w:val="12"/>
        </w:rPr>
        <w:t> </w:t>
      </w:r>
      <w:r>
        <w:rPr>
          <w:rFonts w:ascii="Calibri" w:hAnsi="Calibri"/>
          <w:color w:val="008356"/>
          <w:spacing w:val="4"/>
          <w:w w:val="105"/>
          <w:sz w:val="11"/>
        </w:rPr>
        <w:t>CO-BENELDOPA</w:t>
      </w:r>
      <w:r>
        <w:rPr>
          <w:color w:val="231F1F"/>
          <w:spacing w:val="4"/>
          <w:w w:val="105"/>
          <w:sz w:val="12"/>
        </w:rPr>
        <w:t>,</w:t>
      </w:r>
      <w:r>
        <w:rPr>
          <w:color w:val="231F1F"/>
          <w:spacing w:val="-11"/>
          <w:w w:val="105"/>
          <w:sz w:val="12"/>
        </w:rPr>
        <w:t> </w:t>
      </w:r>
      <w:r>
        <w:rPr>
          <w:rFonts w:ascii="Calibri" w:hAnsi="Calibri"/>
          <w:color w:val="008356"/>
          <w:spacing w:val="4"/>
          <w:w w:val="105"/>
          <w:sz w:val="11"/>
        </w:rPr>
        <w:t>CO-CARELDOPA </w:t>
      </w:r>
      <w:r>
        <w:rPr>
          <w:color w:val="231F1F"/>
          <w:w w:val="105"/>
          <w:sz w:val="12"/>
        </w:rPr>
        <w:t>or</w:t>
      </w:r>
      <w:r>
        <w:rPr>
          <w:color w:val="231F1F"/>
          <w:spacing w:val="-8"/>
          <w:w w:val="105"/>
          <w:sz w:val="12"/>
        </w:rPr>
        <w:t> </w:t>
      </w:r>
      <w:r>
        <w:rPr>
          <w:rFonts w:ascii="Calibri" w:hAnsi="Calibri"/>
          <w:color w:val="008356"/>
          <w:spacing w:val="3"/>
          <w:w w:val="105"/>
          <w:sz w:val="11"/>
        </w:rPr>
        <w:t>LEVODOPA</w:t>
      </w:r>
    </w:p>
    <w:p>
      <w:pPr>
        <w:pStyle w:val="BodyText"/>
        <w:spacing w:line="220" w:lineRule="auto" w:before="8"/>
        <w:ind w:right="837" w:hanging="100"/>
        <w:rPr>
          <w:rFonts w:ascii="Calibri" w:hAnsi="Calibri"/>
          <w:sz w:val="11"/>
        </w:rPr>
      </w:pPr>
      <w:r>
        <w:rPr>
          <w:rFonts w:ascii="Lucida Sans Unicode" w:hAnsi="Lucida Sans Unicode"/>
          <w:color w:val="A7A8AC"/>
          <w:w w:val="95"/>
          <w:sz w:val="10"/>
        </w:rPr>
        <w:t>▶ </w:t>
      </w:r>
      <w:r>
        <w:rPr>
          <w:rFonts w:ascii="Calibri" w:hAnsi="Calibri"/>
          <w:color w:val="231F1F"/>
          <w:w w:val="105"/>
        </w:rPr>
        <w:t>Ergot Alkaloids: </w:t>
      </w:r>
      <w:r>
        <w:rPr>
          <w:color w:val="231F1F"/>
          <w:w w:val="105"/>
        </w:rPr>
        <w:t>increased peripheral vasoconstriction when beta-blockers given with </w:t>
      </w:r>
      <w:r>
        <w:rPr>
          <w:rFonts w:ascii="Calibri" w:hAnsi="Calibri"/>
          <w:color w:val="008356"/>
          <w:w w:val="105"/>
          <w:sz w:val="11"/>
        </w:rPr>
        <w:t>ERGOTAMINE</w:t>
      </w:r>
    </w:p>
    <w:p>
      <w:pPr>
        <w:pStyle w:val="BodyText"/>
        <w:ind w:right="670" w:hanging="100"/>
        <w:rPr>
          <w:rFonts w:ascii="Calibri"/>
          <w:sz w:val="11"/>
        </w:rPr>
      </w:pPr>
      <w:r>
        <w:rPr>
          <w:rFonts w:ascii="Arial"/>
          <w:color w:val="231F1F"/>
          <w:w w:val="355"/>
          <w:position w:val="1"/>
          <w:sz w:val="7"/>
        </w:rPr>
        <w:t>l </w:t>
      </w:r>
      <w:r>
        <w:rPr>
          <w:rFonts w:ascii="Calibri"/>
          <w:color w:val="231F1F"/>
          <w:w w:val="105"/>
        </w:rPr>
        <w:t>Fingolimod: </w:t>
      </w:r>
      <w:r>
        <w:rPr>
          <w:color w:val="231F1F"/>
          <w:w w:val="105"/>
        </w:rPr>
        <w:t>possible increased risk of bradycardia when </w:t>
      </w:r>
      <w:r>
        <w:rPr>
          <w:color w:val="231F1F"/>
          <w:w w:val="140"/>
        </w:rPr>
        <w:t>beta- </w:t>
      </w:r>
      <w:r>
        <w:rPr>
          <w:color w:val="231F1F"/>
          <w:w w:val="105"/>
        </w:rPr>
        <w:t>blockers given with </w:t>
      </w:r>
      <w:r>
        <w:rPr>
          <w:rFonts w:ascii="Arial"/>
          <w:color w:val="231F1F"/>
          <w:w w:val="355"/>
          <w:position w:val="1"/>
          <w:sz w:val="7"/>
        </w:rPr>
        <w:t>l </w:t>
      </w:r>
      <w:r>
        <w:rPr>
          <w:rFonts w:ascii="Calibri"/>
          <w:color w:val="008356"/>
          <w:w w:val="105"/>
          <w:sz w:val="11"/>
        </w:rPr>
        <w:t>FINGOLIMOD</w:t>
      </w:r>
    </w:p>
    <w:p>
      <w:pPr>
        <w:pStyle w:val="BodyText"/>
        <w:spacing w:line="242"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Hormone Antagonists: </w:t>
      </w:r>
      <w:r>
        <w:rPr>
          <w:color w:val="231F1F"/>
          <w:w w:val="110"/>
        </w:rPr>
        <w:t>possible increased risk of bradycardia when carteolol, metoprolol, propranolol or sotalol given with </w:t>
      </w:r>
      <w:r>
        <w:rPr>
          <w:rFonts w:ascii="Calibri" w:hAnsi="Calibri"/>
          <w:color w:val="008356"/>
          <w:w w:val="110"/>
          <w:sz w:val="11"/>
        </w:rPr>
        <w:t>PASIREOTIDE</w:t>
      </w:r>
    </w:p>
    <w:p>
      <w:pPr>
        <w:pStyle w:val="BodyText"/>
        <w:spacing w:line="230" w:lineRule="auto"/>
        <w:ind w:right="670" w:hanging="100"/>
      </w:pPr>
      <w:r>
        <w:rPr>
          <w:rFonts w:ascii="Lucida Sans Unicode" w:hAnsi="Lucida Sans Unicode"/>
          <w:color w:val="A7A8AC"/>
          <w:w w:val="95"/>
          <w:sz w:val="10"/>
        </w:rPr>
        <w:t>▶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propranolol increases plasma concentration of </w:t>
      </w:r>
      <w:r>
        <w:rPr>
          <w:rFonts w:ascii="Calibri" w:hAnsi="Calibri"/>
          <w:color w:val="008356"/>
          <w:w w:val="110"/>
          <w:sz w:val="11"/>
          <w:vertAlign w:val="baseline"/>
        </w:rPr>
        <w:t>RIZATRIPTAN </w:t>
      </w:r>
      <w:r>
        <w:rPr>
          <w:color w:val="231F1F"/>
          <w:w w:val="110"/>
          <w:vertAlign w:val="baseline"/>
        </w:rPr>
        <w:t>(manufacturer of rizatriptan advises halve dose and avoid within 2 hours of propranolol)</w:t>
      </w:r>
    </w:p>
    <w:p>
      <w:pPr>
        <w:pStyle w:val="BodyText"/>
        <w:ind w:right="670" w:hanging="100"/>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t>
      </w:r>
      <w:r>
        <w:rPr>
          <w:color w:val="231F1F"/>
          <w:spacing w:val="-4"/>
          <w:w w:val="110"/>
        </w:rPr>
        <w:t>when </w:t>
      </w:r>
      <w:r>
        <w:rPr>
          <w:color w:val="231F1F"/>
          <w:w w:val="110"/>
        </w:rPr>
        <w:t>sotalol given with </w:t>
      </w:r>
      <w:r>
        <w:rPr>
          <w:rFonts w:ascii="Arial"/>
          <w:color w:val="231F1F"/>
          <w:w w:val="355"/>
          <w:position w:val="1"/>
          <w:sz w:val="7"/>
        </w:rPr>
        <w:t>l </w:t>
      </w:r>
      <w:r>
        <w:rPr>
          <w:rFonts w:ascii="Calibri"/>
          <w:color w:val="008356"/>
          <w:spacing w:val="4"/>
          <w:w w:val="110"/>
          <w:sz w:val="11"/>
        </w:rPr>
        <w:t>IVABRADINE</w:t>
      </w:r>
    </w:p>
    <w:p>
      <w:pPr>
        <w:pStyle w:val="BodyText"/>
        <w:spacing w:line="22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beta-blockers given with </w:t>
      </w:r>
      <w:r>
        <w:rPr>
          <w:rFonts w:ascii="Calibri" w:hAnsi="Calibri"/>
          <w:color w:val="008356"/>
          <w:w w:val="105"/>
          <w:sz w:val="11"/>
        </w:rPr>
        <w:t>METHYLDOPA</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Mirabegron: </w:t>
      </w:r>
      <w:r>
        <w:rPr>
          <w:color w:val="231F1F"/>
          <w:w w:val="105"/>
        </w:rPr>
        <w:t>plasma concentration of metoprolol increased by</w:t>
      </w:r>
    </w:p>
    <w:p>
      <w:pPr>
        <w:spacing w:line="130" w:lineRule="exact" w:before="0"/>
        <w:ind w:left="208" w:right="0" w:firstLine="0"/>
        <w:jc w:val="left"/>
        <w:rPr>
          <w:rFonts w:ascii="Calibri"/>
          <w:sz w:val="11"/>
        </w:rPr>
      </w:pPr>
      <w:r>
        <w:rPr>
          <w:rFonts w:ascii="Calibri"/>
          <w:color w:val="008356"/>
          <w:sz w:val="11"/>
        </w:rPr>
        <w:t>MIRABEGRON</w:t>
      </w:r>
    </w:p>
    <w:p>
      <w:pPr>
        <w:pStyle w:val="BodyText"/>
        <w:ind w:right="670" w:hanging="100"/>
        <w:rPr>
          <w:rFonts w:ascii="Calibri"/>
          <w:sz w:val="11"/>
        </w:rPr>
      </w:pPr>
      <w:r>
        <w:rPr>
          <w:rFonts w:ascii="Arial"/>
          <w:color w:val="231F1F"/>
          <w:w w:val="355"/>
          <w:position w:val="1"/>
          <w:sz w:val="7"/>
        </w:rPr>
        <w:t>l </w:t>
      </w:r>
      <w:r>
        <w:rPr>
          <w:rFonts w:ascii="Calibri"/>
          <w:color w:val="231F1F"/>
          <w:w w:val="110"/>
        </w:rPr>
        <w:t>Moxisylyte: </w:t>
      </w:r>
      <w:r>
        <w:rPr>
          <w:color w:val="231F1F"/>
          <w:w w:val="110"/>
        </w:rPr>
        <w:t>possible severe postural hypotension when </w:t>
      </w:r>
      <w:r>
        <w:rPr>
          <w:color w:val="231F1F"/>
          <w:spacing w:val="-3"/>
          <w:w w:val="110"/>
        </w:rPr>
        <w:t>beta- </w:t>
      </w:r>
      <w:r>
        <w:rPr>
          <w:color w:val="231F1F"/>
          <w:w w:val="110"/>
        </w:rPr>
        <w:t>blockers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MOXISYLYTE</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beta-blockers given with </w:t>
      </w:r>
      <w:r>
        <w:rPr>
          <w:rFonts w:ascii="Calibri" w:hAnsi="Calibri"/>
          <w:color w:val="008356"/>
          <w:w w:val="105"/>
          <w:sz w:val="11"/>
        </w:rPr>
        <w:t>MOXONIDINE</w:t>
      </w:r>
    </w:p>
    <w:p>
      <w:pPr>
        <w:pStyle w:val="BodyText"/>
        <w:spacing w:line="235" w:lineRule="auto" w:before="3"/>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propranolol enhances effects of </w:t>
      </w:r>
      <w:r>
        <w:rPr>
          <w:rFonts w:ascii="Calibri" w:hAnsi="Calibri"/>
          <w:color w:val="008356"/>
          <w:w w:val="110"/>
          <w:sz w:val="11"/>
        </w:rPr>
        <w:t>MUSCLE RELAXANTS</w:t>
      </w:r>
      <w:r>
        <w:rPr>
          <w:color w:val="231F1F"/>
          <w:w w:val="110"/>
        </w:rPr>
        <w:t>; enhanced hypotensive effect when beta-blockers given with </w:t>
      </w:r>
      <w:r>
        <w:rPr>
          <w:rFonts w:ascii="Calibri" w:hAnsi="Calibri"/>
          <w:color w:val="008356"/>
          <w:w w:val="110"/>
          <w:sz w:val="11"/>
        </w:rPr>
        <w:t>BACLOFEN</w:t>
      </w:r>
      <w:r>
        <w:rPr>
          <w:color w:val="231F1F"/>
          <w:w w:val="110"/>
        </w:rPr>
        <w:t>; possible enhanced hypotensive effect and bradycardia when beta-blockers given with </w:t>
      </w:r>
      <w:r>
        <w:rPr>
          <w:rFonts w:ascii="Calibri" w:hAnsi="Calibri"/>
          <w:color w:val="008356"/>
          <w:w w:val="110"/>
          <w:sz w:val="11"/>
        </w:rPr>
        <w:t>TIZANIDINE</w:t>
      </w:r>
    </w:p>
    <w:p>
      <w:pPr>
        <w:pStyle w:val="BodyText"/>
        <w:spacing w:line="220" w:lineRule="auto" w:before="6"/>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beta-blockers given with </w:t>
      </w:r>
      <w:r>
        <w:rPr>
          <w:rFonts w:ascii="Calibri" w:hAnsi="Calibri"/>
          <w:color w:val="008356"/>
          <w:w w:val="110"/>
          <w:sz w:val="11"/>
        </w:rPr>
        <w:t>NITRATES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beta-blockers  </w:t>
      </w:r>
      <w:r>
        <w:rPr>
          <w:color w:val="231F1F"/>
          <w:spacing w:val="-3"/>
          <w:w w:val="105"/>
        </w:rPr>
        <w:t>antagonised </w:t>
      </w:r>
      <w:r>
        <w:rPr>
          <w:color w:val="231F1F"/>
          <w:w w:val="105"/>
        </w:rPr>
        <w:t>by</w:t>
      </w:r>
      <w:r>
        <w:rPr>
          <w:color w:val="231F1F"/>
          <w:spacing w:val="-2"/>
          <w:w w:val="105"/>
        </w:rPr>
        <w:t> </w:t>
      </w:r>
      <w:r>
        <w:rPr>
          <w:rFonts w:ascii="Calibri" w:hAnsi="Calibri"/>
          <w:color w:val="008356"/>
          <w:spacing w:val="5"/>
          <w:w w:val="105"/>
          <w:sz w:val="11"/>
        </w:rPr>
        <w:t>OESTROGENS</w:t>
      </w:r>
    </w:p>
    <w:p>
      <w:pPr>
        <w:spacing w:line="230" w:lineRule="auto" w:before="5"/>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Parasympathomimetics: </w:t>
      </w:r>
      <w:r>
        <w:rPr>
          <w:color w:val="231F1F"/>
          <w:w w:val="105"/>
          <w:sz w:val="12"/>
        </w:rPr>
        <w:t>propranolol antagonises effects of </w:t>
      </w:r>
      <w:r>
        <w:rPr>
          <w:rFonts w:ascii="Calibri" w:hAnsi="Calibri"/>
          <w:color w:val="008356"/>
          <w:w w:val="105"/>
          <w:sz w:val="11"/>
        </w:rPr>
        <w:t>NEOSTIGMINE </w:t>
      </w:r>
      <w:r>
        <w:rPr>
          <w:color w:val="231F1F"/>
          <w:w w:val="105"/>
          <w:sz w:val="12"/>
        </w:rPr>
        <w:t>and </w:t>
      </w:r>
      <w:r>
        <w:rPr>
          <w:rFonts w:ascii="Calibri" w:hAnsi="Calibri"/>
          <w:color w:val="008356"/>
          <w:w w:val="105"/>
          <w:sz w:val="11"/>
        </w:rPr>
        <w:t>PYRIDOSTIGMINE</w:t>
      </w:r>
      <w:r>
        <w:rPr>
          <w:color w:val="231F1F"/>
          <w:w w:val="105"/>
          <w:sz w:val="12"/>
        </w:rPr>
        <w:t>; increased risk of arrhythmias when beta-blockers given with </w:t>
      </w:r>
      <w:r>
        <w:rPr>
          <w:rFonts w:ascii="Calibri" w:hAnsi="Calibri"/>
          <w:color w:val="008356"/>
          <w:w w:val="105"/>
          <w:sz w:val="11"/>
        </w:rPr>
        <w:t>PILOCARPINE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beta- blockers given with </w:t>
      </w:r>
      <w:r>
        <w:rPr>
          <w:rFonts w:ascii="Calibri" w:hAnsi="Calibri"/>
          <w:color w:val="008356"/>
          <w:w w:val="110"/>
          <w:sz w:val="11"/>
        </w:rPr>
        <w:t>ALPROSTADIL</w:t>
      </w:r>
    </w:p>
    <w:p>
      <w:pPr>
        <w:pStyle w:val="BodyText"/>
        <w:ind w:left="108"/>
      </w:pPr>
      <w:r>
        <w:rPr>
          <w:rFonts w:ascii="Arial"/>
          <w:color w:val="231F1F"/>
          <w:w w:val="355"/>
          <w:position w:val="1"/>
          <w:sz w:val="7"/>
        </w:rPr>
        <w:t>l </w:t>
      </w:r>
      <w:r>
        <w:rPr>
          <w:rFonts w:ascii="Calibri"/>
          <w:color w:val="231F1F"/>
          <w:w w:val="115"/>
        </w:rPr>
        <w:t>Ranolazine: </w:t>
      </w:r>
      <w:r>
        <w:rPr>
          <w:color w:val="231F1F"/>
          <w:w w:val="115"/>
        </w:rPr>
        <w:t>avoidance of sotalol advised by manufacturer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RANOLAZINE</w:t>
      </w:r>
    </w:p>
    <w:p>
      <w:pPr>
        <w:pStyle w:val="BodyText"/>
        <w:spacing w:line="247" w:lineRule="auto"/>
        <w:ind w:right="718" w:hanging="100"/>
        <w:rPr>
          <w:rFonts w:ascii="Calibri"/>
          <w:sz w:val="11"/>
        </w:rPr>
      </w:pPr>
      <w:r>
        <w:rPr>
          <w:rFonts w:ascii="Arial"/>
          <w:color w:val="231F1F"/>
          <w:w w:val="355"/>
          <w:position w:val="1"/>
          <w:sz w:val="7"/>
        </w:rPr>
        <w:t>l </w:t>
      </w:r>
      <w:r>
        <w:rPr>
          <w:rFonts w:ascii="Calibri"/>
          <w:color w:val="231F1F"/>
          <w:w w:val="110"/>
        </w:rPr>
        <w:t>Sympathomimetics: </w:t>
      </w:r>
      <w:r>
        <w:rPr>
          <w:color w:val="231F1F"/>
          <w:w w:val="110"/>
        </w:rPr>
        <w:t>increased risk of severe hypertension and bradycardia when non-cardioselective beta-blockers given with </w:t>
      </w:r>
      <w:r>
        <w:rPr>
          <w:rFonts w:ascii="Arial"/>
          <w:color w:val="231F1F"/>
          <w:w w:val="355"/>
          <w:position w:val="1"/>
          <w:sz w:val="7"/>
        </w:rPr>
        <w:t>l </w:t>
      </w:r>
      <w:r>
        <w:rPr>
          <w:rFonts w:ascii="Calibri"/>
          <w:color w:val="008356"/>
          <w:w w:val="110"/>
          <w:sz w:val="11"/>
        </w:rPr>
        <w:t>ADRENALINE (EPINEPHRINE)</w:t>
      </w:r>
      <w:r>
        <w:rPr>
          <w:color w:val="231F1F"/>
          <w:w w:val="110"/>
        </w:rPr>
        <w:t>, also reponse to adrenaline (epinephrine) may be reduced; increased risk of severe hypertension and bradycardia when non-cardioselective beta-blockers given with </w:t>
      </w:r>
      <w:r>
        <w:rPr>
          <w:rFonts w:ascii="Arial"/>
          <w:color w:val="231F1F"/>
          <w:w w:val="355"/>
          <w:position w:val="1"/>
          <w:sz w:val="7"/>
        </w:rPr>
        <w:t>l </w:t>
      </w:r>
      <w:r>
        <w:rPr>
          <w:rFonts w:ascii="Calibri"/>
          <w:color w:val="008356"/>
          <w:w w:val="110"/>
          <w:sz w:val="11"/>
        </w:rPr>
        <w:t>DOBUTAMINE</w:t>
      </w:r>
      <w:r>
        <w:rPr>
          <w:color w:val="231F1F"/>
          <w:w w:val="110"/>
        </w:rPr>
        <w:t>; possible increased risk of severe hypertension and bradycardia when non- cardioselective beta-blockers given with </w:t>
      </w:r>
      <w:r>
        <w:rPr>
          <w:rFonts w:ascii="Arial"/>
          <w:color w:val="231F1F"/>
          <w:w w:val="355"/>
          <w:position w:val="1"/>
          <w:sz w:val="7"/>
        </w:rPr>
        <w:t>l </w:t>
      </w:r>
      <w:r>
        <w:rPr>
          <w:rFonts w:ascii="Calibri"/>
          <w:color w:val="008356"/>
          <w:w w:val="110"/>
          <w:sz w:val="11"/>
        </w:rPr>
        <w:t>NORADRENALINE (NOREPINEPHRINE)</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Thyroid Hormones: </w:t>
      </w:r>
      <w:r>
        <w:rPr>
          <w:color w:val="231F1F"/>
          <w:w w:val="105"/>
        </w:rPr>
        <w:t>metabolism of propranolol accelerated by</w:t>
      </w:r>
    </w:p>
    <w:p>
      <w:pPr>
        <w:spacing w:line="130" w:lineRule="exact" w:before="0"/>
        <w:ind w:left="208" w:right="0" w:firstLine="0"/>
        <w:jc w:val="left"/>
        <w:rPr>
          <w:rFonts w:ascii="Calibri"/>
          <w:sz w:val="11"/>
        </w:rPr>
      </w:pPr>
      <w:r>
        <w:rPr>
          <w:rFonts w:ascii="Calibri"/>
          <w:color w:val="008356"/>
          <w:sz w:val="11"/>
        </w:rPr>
        <w:t>LEVOTHYROXINE</w:t>
      </w:r>
    </w:p>
    <w:p>
      <w:pPr>
        <w:pStyle w:val="BodyText"/>
        <w:spacing w:line="230" w:lineRule="auto" w:before="2"/>
        <w:ind w:right="625"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labetalol, metoprolol and propranolol increased by </w:t>
      </w:r>
      <w:r>
        <w:rPr>
          <w:rFonts w:ascii="Calibri" w:hAnsi="Calibri"/>
          <w:color w:val="008356"/>
          <w:w w:val="110"/>
          <w:sz w:val="11"/>
        </w:rPr>
        <w:t>CIMETIDINE</w:t>
      </w:r>
      <w:r>
        <w:rPr>
          <w:color w:val="231F1F"/>
          <w:w w:val="110"/>
        </w:rPr>
        <w:t>; plasma concentration of </w:t>
      </w:r>
      <w:r>
        <w:rPr>
          <w:i/>
          <w:color w:val="231F1F"/>
          <w:w w:val="110"/>
        </w:rPr>
        <w:t>oral </w:t>
      </w:r>
      <w:r>
        <w:rPr>
          <w:color w:val="231F1F"/>
          <w:w w:val="110"/>
        </w:rPr>
        <w:t>timolol possibly increased by </w:t>
      </w:r>
      <w:r>
        <w:rPr>
          <w:rFonts w:ascii="Calibri" w:hAnsi="Calibri"/>
          <w:color w:val="008356"/>
          <w:w w:val="110"/>
          <w:sz w:val="11"/>
        </w:rPr>
        <w:t>CIMETIDINE</w:t>
      </w:r>
    </w:p>
    <w:p>
      <w:pPr>
        <w:spacing w:line="237" w:lineRule="auto" w:before="1"/>
        <w:ind w:left="208" w:right="89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beta-blockers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7"/>
        <w:ind w:left="108"/>
        <w:rPr>
          <w:rFonts w:ascii="Trebuchet MS"/>
        </w:rPr>
      </w:pPr>
      <w:r>
        <w:rPr>
          <w:rFonts w:ascii="Trebuchet MS"/>
          <w:color w:val="008356"/>
        </w:rPr>
        <w:t>Betahistine</w:t>
      </w:r>
    </w:p>
    <w:p>
      <w:pPr>
        <w:pStyle w:val="BodyText"/>
        <w:spacing w:line="220" w:lineRule="auto" w:before="10"/>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Antihistamines: </w:t>
      </w:r>
      <w:r>
        <w:rPr>
          <w:color w:val="231F1F"/>
          <w:w w:val="105"/>
        </w:rPr>
        <w:t>effect  of  betahistine theoretically antagonised by</w:t>
      </w:r>
      <w:r>
        <w:rPr>
          <w:color w:val="231F1F"/>
          <w:spacing w:val="-2"/>
          <w:w w:val="105"/>
        </w:rPr>
        <w:t> </w:t>
      </w:r>
      <w:r>
        <w:rPr>
          <w:rFonts w:ascii="Calibri" w:hAnsi="Calibri"/>
          <w:color w:val="008356"/>
          <w:spacing w:val="4"/>
          <w:w w:val="105"/>
          <w:sz w:val="11"/>
        </w:rPr>
        <w:t>ANTIHISTAMINES</w:t>
      </w:r>
    </w:p>
    <w:p>
      <w:pPr>
        <w:pStyle w:val="BodyText"/>
        <w:spacing w:line="256" w:lineRule="auto" w:before="8"/>
        <w:ind w:left="108" w:right="1885"/>
        <w:rPr>
          <w:rFonts w:ascii="Trebuchet MS"/>
        </w:rPr>
      </w:pPr>
      <w:r>
        <w:rPr>
          <w:rFonts w:ascii="Trebuchet MS"/>
          <w:color w:val="008356"/>
          <w:w w:val="110"/>
        </w:rPr>
        <w:t>Betamethasone </w:t>
      </w:r>
      <w:r>
        <w:rPr>
          <w:i/>
          <w:color w:val="231F1F"/>
          <w:w w:val="110"/>
        </w:rPr>
        <w:t>see </w:t>
      </w:r>
      <w:r>
        <w:rPr>
          <w:color w:val="231F1F"/>
          <w:w w:val="110"/>
        </w:rPr>
        <w:t>Corticosteroids </w:t>
      </w:r>
      <w:r>
        <w:rPr>
          <w:rFonts w:ascii="Trebuchet MS"/>
          <w:color w:val="008356"/>
          <w:w w:val="110"/>
        </w:rPr>
        <w:t>Betaxolol </w:t>
      </w:r>
      <w:r>
        <w:rPr>
          <w:i/>
          <w:color w:val="231F1F"/>
          <w:w w:val="110"/>
        </w:rPr>
        <w:t>see </w:t>
      </w:r>
      <w:r>
        <w:rPr>
          <w:color w:val="231F1F"/>
          <w:w w:val="110"/>
        </w:rPr>
        <w:t>Beta-blockers</w:t>
      </w:r>
      <w:r>
        <w:rPr>
          <w:color w:val="008356"/>
          <w:w w:val="110"/>
        </w:rPr>
        <w:t> </w:t>
      </w:r>
      <w:r>
        <w:rPr>
          <w:rFonts w:ascii="Trebuchet MS"/>
          <w:color w:val="008356"/>
          <w:w w:val="110"/>
        </w:rPr>
        <w:t>Bethanechol </w:t>
      </w:r>
      <w:r>
        <w:rPr>
          <w:i/>
          <w:color w:val="231F1F"/>
          <w:w w:val="110"/>
        </w:rPr>
        <w:t>see </w:t>
      </w:r>
      <w:r>
        <w:rPr>
          <w:color w:val="231F1F"/>
          <w:w w:val="110"/>
        </w:rPr>
        <w:t>Parasympathomimetics </w:t>
      </w:r>
      <w:r>
        <w:rPr>
          <w:rFonts w:ascii="Trebuchet MS"/>
          <w:color w:val="008356"/>
          <w:w w:val="110"/>
        </w:rPr>
        <w:t>Bevacizumab</w:t>
      </w:r>
    </w:p>
    <w:p>
      <w:pPr>
        <w:pStyle w:val="BodyText"/>
        <w:spacing w:line="138"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678"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19"/>
          <w:w w:val="115"/>
        </w:rPr>
        <w:t> </w:t>
      </w:r>
      <w:r>
        <w:rPr>
          <w:color w:val="231F1F"/>
          <w:spacing w:val="-4"/>
          <w:w w:val="115"/>
        </w:rPr>
        <w:t>use</w:t>
      </w:r>
    </w:p>
    <w:p>
      <w:pPr>
        <w:pStyle w:val="BodyText"/>
        <w:spacing w:before="5"/>
        <w:ind w:left="108"/>
        <w:rPr>
          <w:rFonts w:ascii="Trebuchet MS"/>
        </w:rPr>
      </w:pPr>
      <w:r>
        <w:rPr>
          <w:rFonts w:ascii="Trebuchet MS"/>
          <w:color w:val="008356"/>
        </w:rPr>
        <w:t>Bexarotene</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spacing w:after="0" w:line="141" w:lineRule="exact"/>
        <w:jc w:val="left"/>
        <w:rPr>
          <w:sz w:val="12"/>
        </w:rPr>
        <w:sectPr>
          <w:pgSz w:w="8390" w:h="11910"/>
          <w:pgMar w:header="0" w:footer="0" w:top="460" w:bottom="0" w:left="480" w:right="0"/>
          <w:cols w:num="2" w:equalWidth="0">
            <w:col w:w="3601" w:space="75"/>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2512" filled="true" fillcolor="#bfdbcf" stroked="false">
            <v:fill type="solid"/>
            <w10:wrap type="none"/>
          </v:rect>
        </w:pict>
      </w:r>
      <w:r>
        <w:rPr/>
        <w:pict>
          <v:shape style="position:absolute;margin-left:7.751256pt;margin-top:35.804367pt;width:10.4pt;height:78.850pt;mso-position-horizontal-relative:page;mso-position-vertical-relative:page;z-index:253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Bexarotene </w:t>
      </w:r>
      <w:r>
        <w:rPr>
          <w:rFonts w:ascii="Calibri"/>
          <w:color w:val="231F1F"/>
        </w:rPr>
        <w:t>(continued)</w:t>
      </w:r>
    </w:p>
    <w:p>
      <w:pPr>
        <w:pStyle w:val="BodyText"/>
        <w:spacing w:line="237" w:lineRule="auto"/>
        <w:ind w:left="286" w:right="203" w:hanging="100"/>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231F1F"/>
          <w:w w:val="115"/>
        </w:rPr>
        <w:t>Lipid-regulating</w:t>
      </w:r>
      <w:r>
        <w:rPr>
          <w:rFonts w:ascii="Calibri" w:hAnsi="Calibri"/>
          <w:color w:val="231F1F"/>
          <w:spacing w:val="-18"/>
          <w:w w:val="115"/>
        </w:rPr>
        <w:t> </w:t>
      </w:r>
      <w:r>
        <w:rPr>
          <w:rFonts w:ascii="Calibri" w:hAnsi="Calibri"/>
          <w:color w:val="231F1F"/>
          <w:w w:val="115"/>
        </w:rPr>
        <w:t>Drugs:</w:t>
      </w:r>
      <w:r>
        <w:rPr>
          <w:rFonts w:ascii="Calibri" w:hAnsi="Calibri"/>
          <w:color w:val="231F1F"/>
          <w:spacing w:val="-18"/>
          <w:w w:val="115"/>
        </w:rPr>
        <w:t> </w:t>
      </w:r>
      <w:r>
        <w:rPr>
          <w:color w:val="231F1F"/>
          <w:w w:val="115"/>
        </w:rPr>
        <w:t>plasma</w:t>
      </w:r>
      <w:r>
        <w:rPr>
          <w:color w:val="231F1F"/>
          <w:spacing w:val="-21"/>
          <w:w w:val="115"/>
        </w:rPr>
        <w:t> </w:t>
      </w:r>
      <w:r>
        <w:rPr>
          <w:color w:val="231F1F"/>
          <w:w w:val="115"/>
        </w:rPr>
        <w:t>concentration</w:t>
      </w:r>
      <w:r>
        <w:rPr>
          <w:color w:val="231F1F"/>
          <w:spacing w:val="-22"/>
          <w:w w:val="115"/>
        </w:rPr>
        <w:t> </w:t>
      </w:r>
      <w:r>
        <w:rPr>
          <w:color w:val="231F1F"/>
          <w:w w:val="115"/>
        </w:rPr>
        <w:t>of</w:t>
      </w:r>
      <w:r>
        <w:rPr>
          <w:color w:val="231F1F"/>
          <w:spacing w:val="-22"/>
          <w:w w:val="115"/>
        </w:rPr>
        <w:t> </w:t>
      </w:r>
      <w:r>
        <w:rPr>
          <w:color w:val="231F1F"/>
          <w:w w:val="115"/>
        </w:rPr>
        <w:t>bexarotene increased</w:t>
      </w:r>
      <w:r>
        <w:rPr>
          <w:color w:val="231F1F"/>
          <w:spacing w:val="-13"/>
          <w:w w:val="115"/>
        </w:rPr>
        <w:t> </w:t>
      </w:r>
      <w:r>
        <w:rPr>
          <w:color w:val="231F1F"/>
          <w:w w:val="115"/>
        </w:rPr>
        <w:t>by</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5"/>
          <w:sz w:val="11"/>
        </w:rPr>
        <w:t>GEMFIBROZIL</w:t>
      </w:r>
      <w:r>
        <w:rPr>
          <w:rFonts w:ascii="Arial" w:hAnsi="Arial"/>
          <w:color w:val="231F1F"/>
          <w:spacing w:val="3"/>
          <w:w w:val="115"/>
        </w:rPr>
        <w:t>—</w:t>
      </w:r>
      <w:r>
        <w:rPr>
          <w:color w:val="231F1F"/>
          <w:spacing w:val="3"/>
          <w:w w:val="115"/>
        </w:rPr>
        <w:t>avoid</w:t>
      </w:r>
      <w:r>
        <w:rPr>
          <w:color w:val="231F1F"/>
          <w:spacing w:val="-12"/>
          <w:w w:val="115"/>
        </w:rPr>
        <w:t> </w:t>
      </w:r>
      <w:r>
        <w:rPr>
          <w:color w:val="231F1F"/>
          <w:w w:val="115"/>
        </w:rPr>
        <w:t>concomitant</w:t>
      </w:r>
      <w:r>
        <w:rPr>
          <w:color w:val="231F1F"/>
          <w:spacing w:val="-13"/>
          <w:w w:val="115"/>
        </w:rPr>
        <w:t> </w:t>
      </w:r>
      <w:r>
        <w:rPr>
          <w:color w:val="231F1F"/>
          <w:w w:val="115"/>
        </w:rPr>
        <w:t>use</w:t>
      </w:r>
    </w:p>
    <w:p>
      <w:pPr>
        <w:pStyle w:val="BodyText"/>
        <w:spacing w:before="6"/>
        <w:ind w:left="186"/>
      </w:pPr>
      <w:r>
        <w:rPr>
          <w:rFonts w:ascii="Trebuchet MS"/>
          <w:color w:val="008356"/>
          <w:w w:val="105"/>
        </w:rPr>
        <w:t>Bezafibrate </w:t>
      </w:r>
      <w:r>
        <w:rPr>
          <w:i/>
          <w:color w:val="231F1F"/>
          <w:w w:val="105"/>
        </w:rPr>
        <w:t>see </w:t>
      </w:r>
      <w:r>
        <w:rPr>
          <w:color w:val="231F1F"/>
          <w:w w:val="105"/>
        </w:rPr>
        <w:t>Fibrates</w:t>
      </w:r>
    </w:p>
    <w:p>
      <w:pPr>
        <w:pStyle w:val="BodyText"/>
        <w:spacing w:before="10"/>
        <w:ind w:left="186"/>
        <w:rPr>
          <w:rFonts w:ascii="Trebuchet MS"/>
        </w:rPr>
      </w:pPr>
      <w:r>
        <w:rPr>
          <w:rFonts w:ascii="Trebuchet MS"/>
          <w:color w:val="008356"/>
        </w:rPr>
        <w:t>Bicalutamide</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bicalutamide possibly enhances anticoagulant effect of </w:t>
      </w:r>
      <w:r>
        <w:rPr>
          <w:rFonts w:ascii="Calibri" w:hAnsi="Calibri"/>
          <w:color w:val="008356"/>
          <w:w w:val="105"/>
          <w:sz w:val="11"/>
        </w:rPr>
        <w:t>COUMARINS</w:t>
      </w:r>
    </w:p>
    <w:p>
      <w:pPr>
        <w:pStyle w:val="BodyText"/>
        <w:spacing w:line="242" w:lineRule="auto"/>
        <w:ind w:left="286" w:right="47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bicalutamide by 12 hours advised by manufacturer of </w:t>
      </w:r>
      <w:r>
        <w:rPr>
          <w:rFonts w:ascii="Calibri" w:hAnsi="Calibri"/>
          <w:color w:val="008356"/>
          <w:w w:val="105"/>
          <w:sz w:val="11"/>
        </w:rPr>
        <w:t>LOMITAPIDE</w:t>
      </w:r>
    </w:p>
    <w:p>
      <w:pPr>
        <w:pStyle w:val="BodyText"/>
        <w:spacing w:before="2"/>
        <w:ind w:left="186"/>
      </w:pPr>
      <w:r>
        <w:rPr>
          <w:rFonts w:ascii="Trebuchet MS"/>
          <w:color w:val="008356"/>
          <w:w w:val="110"/>
        </w:rPr>
        <w:t>Biguanides </w:t>
      </w:r>
      <w:r>
        <w:rPr>
          <w:i/>
          <w:color w:val="231F1F"/>
          <w:w w:val="110"/>
        </w:rPr>
        <w:t>see</w:t>
      </w:r>
      <w:r>
        <w:rPr>
          <w:i/>
          <w:color w:val="231F1F"/>
          <w:spacing w:val="-7"/>
          <w:w w:val="110"/>
        </w:rPr>
        <w:t> </w:t>
      </w:r>
      <w:r>
        <w:rPr>
          <w:color w:val="231F1F"/>
          <w:w w:val="110"/>
        </w:rPr>
        <w:t>Antidiabetics</w:t>
      </w:r>
    </w:p>
    <w:p>
      <w:pPr>
        <w:pStyle w:val="BodyText"/>
        <w:spacing w:before="11"/>
        <w:ind w:left="186"/>
      </w:pPr>
      <w:r>
        <w:rPr>
          <w:rFonts w:ascii="Trebuchet MS"/>
          <w:color w:val="008356"/>
          <w:w w:val="110"/>
        </w:rPr>
        <w:t>Bilastine </w:t>
      </w:r>
      <w:r>
        <w:rPr>
          <w:i/>
          <w:color w:val="231F1F"/>
          <w:w w:val="110"/>
        </w:rPr>
        <w:t>see</w:t>
      </w:r>
      <w:r>
        <w:rPr>
          <w:i/>
          <w:color w:val="231F1F"/>
          <w:spacing w:val="13"/>
          <w:w w:val="110"/>
        </w:rPr>
        <w:t> </w:t>
      </w:r>
      <w:r>
        <w:rPr>
          <w:color w:val="231F1F"/>
          <w:w w:val="110"/>
        </w:rPr>
        <w:t>Antihistamines</w:t>
      </w:r>
    </w:p>
    <w:p>
      <w:pPr>
        <w:pStyle w:val="BodyText"/>
        <w:spacing w:before="10"/>
        <w:ind w:left="286" w:right="335" w:hanging="100"/>
      </w:pPr>
      <w:r>
        <w:rPr>
          <w:rFonts w:ascii="Trebuchet MS"/>
          <w:color w:val="008356"/>
          <w:w w:val="110"/>
        </w:rPr>
        <w:t>Bile Acid Sequestrants </w:t>
      </w:r>
      <w:r>
        <w:rPr>
          <w:i/>
          <w:color w:val="231F1F"/>
          <w:w w:val="110"/>
        </w:rPr>
        <w:t>see </w:t>
      </w:r>
      <w:r>
        <w:rPr>
          <w:color w:val="231F1F"/>
          <w:w w:val="110"/>
        </w:rPr>
        <w:t>Colesevelam, Colestipol, and Colestyramine</w:t>
      </w:r>
    </w:p>
    <w:p>
      <w:pPr>
        <w:pStyle w:val="BodyText"/>
        <w:spacing w:before="13"/>
        <w:ind w:left="186"/>
        <w:rPr>
          <w:rFonts w:ascii="Trebuchet MS"/>
        </w:rPr>
      </w:pPr>
      <w:r>
        <w:rPr>
          <w:rFonts w:ascii="Trebuchet MS"/>
          <w:color w:val="008356"/>
        </w:rPr>
        <w:t>Bile Acids</w:t>
      </w:r>
    </w:p>
    <w:p>
      <w:pPr>
        <w:pStyle w:val="BodyText"/>
        <w:spacing w:line="156" w:lineRule="exact" w:before="1"/>
        <w:ind w:left="186"/>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bile acids possibly reduced by</w:t>
      </w:r>
    </w:p>
    <w:p>
      <w:pPr>
        <w:spacing w:line="130" w:lineRule="exact" w:before="0"/>
        <w:ind w:left="286" w:right="0" w:firstLine="0"/>
        <w:jc w:val="left"/>
        <w:rPr>
          <w:rFonts w:ascii="Calibri"/>
          <w:sz w:val="11"/>
        </w:rPr>
      </w:pPr>
      <w:r>
        <w:rPr>
          <w:rFonts w:ascii="Calibri"/>
          <w:color w:val="008356"/>
          <w:sz w:val="11"/>
        </w:rPr>
        <w:t>ANTACIDS</w:t>
      </w:r>
    </w:p>
    <w:p>
      <w:pPr>
        <w:pStyle w:val="BodyText"/>
        <w:spacing w:line="145" w:lineRule="exact"/>
        <w:ind w:left="186"/>
      </w:pPr>
      <w:r>
        <w:rPr>
          <w:rFonts w:ascii="Arial"/>
          <w:color w:val="231F1F"/>
          <w:w w:val="355"/>
          <w:position w:val="1"/>
          <w:sz w:val="7"/>
        </w:rPr>
        <w:t>l </w:t>
      </w:r>
      <w:r>
        <w:rPr>
          <w:rFonts w:ascii="Calibri"/>
          <w:color w:val="231F1F"/>
          <w:w w:val="120"/>
        </w:rPr>
        <w:t>Ciclosporin: </w:t>
      </w:r>
      <w:r>
        <w:rPr>
          <w:color w:val="231F1F"/>
          <w:w w:val="120"/>
        </w:rPr>
        <w:t>ursodeoxycholic acid increases absorption 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spacing w:line="220" w:lineRule="auto" w:before="8"/>
        <w:ind w:left="286" w:right="20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absorption of bile acids possibly reduced by </w:t>
      </w:r>
      <w:r>
        <w:rPr>
          <w:rFonts w:ascii="Calibri" w:hAnsi="Calibri"/>
          <w:color w:val="008356"/>
          <w:w w:val="105"/>
          <w:sz w:val="11"/>
        </w:rPr>
        <w:t>COLESTIPOL </w:t>
      </w:r>
      <w:r>
        <w:rPr>
          <w:color w:val="231F1F"/>
          <w:w w:val="105"/>
          <w:sz w:val="12"/>
        </w:rPr>
        <w:t>and </w:t>
      </w:r>
      <w:r>
        <w:rPr>
          <w:rFonts w:ascii="Calibri" w:hAnsi="Calibri"/>
          <w:color w:val="008356"/>
          <w:w w:val="105"/>
          <w:sz w:val="11"/>
        </w:rPr>
        <w:t>COLESTYRAMINE</w:t>
      </w:r>
    </w:p>
    <w:p>
      <w:pPr>
        <w:pStyle w:val="BodyText"/>
        <w:spacing w:before="8"/>
        <w:ind w:left="186"/>
      </w:pPr>
      <w:r>
        <w:rPr>
          <w:rFonts w:ascii="Trebuchet MS"/>
          <w:color w:val="008356"/>
          <w:w w:val="110"/>
        </w:rPr>
        <w:t>Bisoprolol </w:t>
      </w:r>
      <w:r>
        <w:rPr>
          <w:i/>
          <w:color w:val="231F1F"/>
          <w:w w:val="110"/>
        </w:rPr>
        <w:t>see </w:t>
      </w:r>
      <w:r>
        <w:rPr>
          <w:color w:val="231F1F"/>
          <w:w w:val="110"/>
        </w:rPr>
        <w:t>Beta-blockers</w:t>
      </w:r>
    </w:p>
    <w:p>
      <w:pPr>
        <w:pStyle w:val="BodyText"/>
        <w:spacing w:line="139" w:lineRule="exact" w:before="11"/>
        <w:ind w:left="186"/>
        <w:rPr>
          <w:rFonts w:ascii="Trebuchet MS"/>
        </w:rPr>
      </w:pPr>
      <w:r>
        <w:rPr>
          <w:rFonts w:ascii="Trebuchet MS"/>
          <w:color w:val="008356"/>
          <w:w w:val="105"/>
        </w:rPr>
        <w:t>Bisphosphonates</w:t>
      </w:r>
    </w:p>
    <w:p>
      <w:pPr>
        <w:pStyle w:val="BodyText"/>
        <w:spacing w:line="150"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bisphosphonates reduced by </w:t>
      </w:r>
      <w:r>
        <w:rPr>
          <w:rFonts w:ascii="Calibri" w:hAnsi="Calibri"/>
          <w:color w:val="008356"/>
          <w:w w:val="105"/>
          <w:sz w:val="11"/>
        </w:rPr>
        <w:t>ANTACIDS</w:t>
      </w:r>
    </w:p>
    <w:p>
      <w:pPr>
        <w:pStyle w:val="BodyText"/>
        <w:spacing w:line="22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increased risk of hypocalcaemia when bisphosphonates given with </w:t>
      </w:r>
      <w:r>
        <w:rPr>
          <w:rFonts w:ascii="Calibri" w:hAnsi="Calibri"/>
          <w:color w:val="008356"/>
          <w:w w:val="105"/>
          <w:sz w:val="11"/>
        </w:rPr>
        <w:t>AMINOGLYCOSIDES</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Calcium Salts: </w:t>
      </w:r>
      <w:r>
        <w:rPr>
          <w:color w:val="231F1F"/>
          <w:w w:val="105"/>
        </w:rPr>
        <w:t>absorption of bisphosphonates reduced by</w:t>
      </w:r>
    </w:p>
    <w:p>
      <w:pPr>
        <w:spacing w:line="130" w:lineRule="exact" w:before="0"/>
        <w:ind w:left="286" w:right="0" w:firstLine="0"/>
        <w:jc w:val="left"/>
        <w:rPr>
          <w:rFonts w:ascii="Calibri"/>
          <w:sz w:val="11"/>
        </w:rPr>
      </w:pPr>
      <w:r>
        <w:rPr>
          <w:rFonts w:ascii="Calibri"/>
          <w:color w:val="008356"/>
          <w:sz w:val="11"/>
        </w:rPr>
        <w:t>CALCIUM SALTS</w:t>
      </w:r>
    </w:p>
    <w:p>
      <w:pPr>
        <w:pStyle w:val="BodyText"/>
        <w:ind w:left="286"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sodium clodronate increases plasma concentration of </w:t>
      </w:r>
      <w:r>
        <w:rPr>
          <w:rFonts w:ascii="Arial"/>
          <w:color w:val="231F1F"/>
          <w:w w:val="355"/>
          <w:position w:val="1"/>
          <w:sz w:val="7"/>
        </w:rPr>
        <w:t>l </w:t>
      </w:r>
      <w:r>
        <w:rPr>
          <w:rFonts w:ascii="Calibri"/>
          <w:color w:val="008356"/>
          <w:w w:val="110"/>
          <w:sz w:val="11"/>
        </w:rPr>
        <w:t>ESTRAMUSTINE</w:t>
      </w:r>
    </w:p>
    <w:p>
      <w:pPr>
        <w:spacing w:line="232"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absorption of bisphosphonates reduced by </w:t>
      </w:r>
      <w:r>
        <w:rPr>
          <w:i/>
          <w:color w:val="231F1F"/>
          <w:w w:val="105"/>
          <w:sz w:val="12"/>
        </w:rPr>
        <w:t>oral </w:t>
      </w:r>
      <w:r>
        <w:rPr>
          <w:rFonts w:ascii="Calibri" w:hAnsi="Calibri"/>
          <w:color w:val="008356"/>
          <w:w w:val="105"/>
          <w:sz w:val="11"/>
        </w:rPr>
        <w:t>IRON SALTS</w:t>
      </w:r>
    </w:p>
    <w:p>
      <w:pPr>
        <w:pStyle w:val="BodyText"/>
        <w:spacing w:before="5"/>
        <w:ind w:left="186"/>
        <w:rPr>
          <w:rFonts w:ascii="Trebuchet MS"/>
        </w:rPr>
      </w:pPr>
      <w:r>
        <w:rPr>
          <w:rFonts w:ascii="Trebuchet MS"/>
          <w:color w:val="008356"/>
          <w:w w:val="105"/>
        </w:rPr>
        <w:t>Bivalirudin</w:t>
      </w:r>
    </w:p>
    <w:p>
      <w:pPr>
        <w:pStyle w:val="BodyText"/>
        <w:spacing w:line="244" w:lineRule="auto" w:before="1"/>
        <w:ind w:left="286" w:right="145" w:hanging="100"/>
      </w:pPr>
      <w:r>
        <w:rPr>
          <w:rFonts w:ascii="Arial"/>
          <w:color w:val="231F1F"/>
          <w:w w:val="355"/>
          <w:position w:val="1"/>
          <w:sz w:val="7"/>
        </w:rPr>
        <w:t>l </w:t>
      </w:r>
      <w:r>
        <w:rPr>
          <w:rFonts w:ascii="Calibri"/>
          <w:color w:val="231F1F"/>
          <w:w w:val="110"/>
        </w:rPr>
        <w:t>Analgesics: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line="244" w:lineRule="auto" w:before="1"/>
        <w:ind w:left="286"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spacing w:line="244" w:lineRule="auto"/>
        <w:ind w:left="286" w:right="233"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line="139" w:lineRule="exact" w:before="4"/>
        <w:ind w:left="186"/>
        <w:rPr>
          <w:rFonts w:ascii="Trebuchet MS"/>
        </w:rPr>
      </w:pPr>
      <w:r>
        <w:rPr>
          <w:rFonts w:ascii="Trebuchet MS"/>
          <w:color w:val="008356"/>
        </w:rPr>
        <w:t>Bleomycin</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bleomycin possibly reduces absorption of</w:t>
      </w:r>
    </w:p>
    <w:p>
      <w:pPr>
        <w:spacing w:line="134" w:lineRule="exact" w:before="0"/>
        <w:ind w:left="286" w:right="0" w:firstLine="0"/>
        <w:jc w:val="left"/>
        <w:rPr>
          <w:i/>
          <w:sz w:val="12"/>
        </w:rPr>
      </w:pPr>
      <w:r>
        <w:rPr>
          <w:rFonts w:ascii="Calibri"/>
          <w:color w:val="008356"/>
          <w:w w:val="105"/>
          <w:sz w:val="11"/>
        </w:rPr>
        <w:t>DIGOXIN </w:t>
      </w:r>
      <w:r>
        <w:rPr>
          <w:i/>
          <w:color w:val="231F1F"/>
          <w:w w:val="105"/>
          <w:sz w:val="12"/>
        </w:rPr>
        <w:t>tablets</w:t>
      </w:r>
    </w:p>
    <w:p>
      <w:pPr>
        <w:pStyle w:val="BodyText"/>
        <w:spacing w:line="242" w:lineRule="auto"/>
        <w:ind w:left="286" w:right="468" w:hanging="100"/>
        <w:jc w:val="both"/>
        <w:rPr>
          <w:rFonts w:ascii="Calibri" w:hAnsi="Calibri"/>
          <w:sz w:val="11"/>
        </w:rPr>
      </w:pPr>
      <w:r>
        <w:rPr>
          <w:rFonts w:ascii="Arial" w:hAnsi="Arial"/>
          <w:color w:val="231F1F"/>
          <w:w w:val="355"/>
          <w:position w:val="1"/>
          <w:sz w:val="7"/>
        </w:rPr>
        <w:t>l </w:t>
      </w:r>
      <w:r>
        <w:rPr>
          <w:rFonts w:ascii="Calibri" w:hAnsi="Calibri"/>
          <w:color w:val="231F1F"/>
          <w:w w:val="110"/>
        </w:rPr>
        <w:t>Cytotoxics: </w:t>
      </w:r>
      <w:r>
        <w:rPr>
          <w:color w:val="231F1F"/>
          <w:w w:val="110"/>
        </w:rPr>
        <w:t>increased risk of pulmonary toxicity when bleomycin</w:t>
      </w:r>
      <w:r>
        <w:rPr>
          <w:color w:val="231F1F"/>
          <w:spacing w:val="-23"/>
          <w:w w:val="110"/>
        </w:rPr>
        <w:t> </w:t>
      </w:r>
      <w:r>
        <w:rPr>
          <w:color w:val="231F1F"/>
          <w:w w:val="110"/>
        </w:rPr>
        <w:t>given</w:t>
      </w:r>
      <w:r>
        <w:rPr>
          <w:color w:val="231F1F"/>
          <w:spacing w:val="-22"/>
          <w:w w:val="110"/>
        </w:rPr>
        <w:t> </w:t>
      </w:r>
      <w:r>
        <w:rPr>
          <w:color w:val="231F1F"/>
          <w:w w:val="110"/>
        </w:rPr>
        <w:t>with</w:t>
      </w:r>
      <w:r>
        <w:rPr>
          <w:color w:val="231F1F"/>
          <w:spacing w:val="-22"/>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BRENTUXIMAB</w:t>
      </w:r>
      <w:r>
        <w:rPr>
          <w:rFonts w:ascii="Calibri" w:hAnsi="Calibri"/>
          <w:color w:val="008356"/>
          <w:spacing w:val="-15"/>
          <w:w w:val="110"/>
          <w:sz w:val="11"/>
        </w:rPr>
        <w:t> </w:t>
      </w:r>
      <w:r>
        <w:rPr>
          <w:rFonts w:ascii="Calibri" w:hAnsi="Calibri"/>
          <w:color w:val="008356"/>
          <w:spacing w:val="2"/>
          <w:w w:val="110"/>
          <w:sz w:val="11"/>
        </w:rPr>
        <w:t>VEDOTIN</w:t>
      </w:r>
      <w:r>
        <w:rPr>
          <w:rFonts w:ascii="Arial" w:hAnsi="Arial"/>
          <w:color w:val="231F1F"/>
          <w:spacing w:val="2"/>
          <w:w w:val="110"/>
        </w:rPr>
        <w:t>—</w:t>
      </w:r>
      <w:r>
        <w:rPr>
          <w:color w:val="231F1F"/>
          <w:spacing w:val="2"/>
          <w:w w:val="110"/>
        </w:rPr>
        <w:t>avoid </w:t>
      </w:r>
      <w:r>
        <w:rPr>
          <w:color w:val="231F1F"/>
          <w:w w:val="110"/>
        </w:rPr>
        <w:t>concomitant use; increased pulmonary toxicity </w:t>
      </w:r>
      <w:r>
        <w:rPr>
          <w:color w:val="231F1F"/>
          <w:spacing w:val="-4"/>
          <w:w w:val="110"/>
        </w:rPr>
        <w:t>when </w:t>
      </w:r>
      <w:r>
        <w:rPr>
          <w:color w:val="231F1F"/>
          <w:w w:val="110"/>
        </w:rPr>
        <w:t>bleomycin given with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0"/>
          <w:sz w:val="11"/>
        </w:rPr>
        <w:t>CISPLATIN</w:t>
      </w:r>
    </w:p>
    <w:p>
      <w:pPr>
        <w:pStyle w:val="BodyText"/>
        <w:spacing w:before="6"/>
        <w:ind w:left="186"/>
        <w:rPr>
          <w:rFonts w:ascii="Trebuchet MS"/>
        </w:rPr>
      </w:pPr>
      <w:r>
        <w:rPr>
          <w:rFonts w:ascii="Trebuchet MS"/>
          <w:color w:val="008356"/>
        </w:rPr>
        <w:t>Boceprevir</w:t>
      </w:r>
    </w:p>
    <w:p>
      <w:pPr>
        <w:pStyle w:val="BodyText"/>
        <w:spacing w:line="230" w:lineRule="auto" w:before="5"/>
        <w:ind w:left="286" w:right="145" w:hanging="100"/>
      </w:pPr>
      <w:r>
        <w:rPr>
          <w:rFonts w:ascii="Lucida Sans Unicode" w:hAnsi="Lucida Sans Unicode"/>
          <w:color w:val="A7A8AC"/>
          <w:w w:val="95"/>
          <w:sz w:val="10"/>
        </w:rPr>
        <w:t>▶ </w:t>
      </w:r>
      <w:r>
        <w:rPr>
          <w:rFonts w:ascii="Calibri" w:hAnsi="Calibri"/>
          <w:color w:val="231F1F"/>
          <w:w w:val="105"/>
        </w:rPr>
        <w:t>Alpha-blockers: </w:t>
      </w:r>
      <w:r>
        <w:rPr>
          <w:color w:val="231F1F"/>
          <w:w w:val="105"/>
        </w:rPr>
        <w:t>boceprevir possibly increases plasma concentration of </w:t>
      </w:r>
      <w:r>
        <w:rPr>
          <w:rFonts w:ascii="Calibri" w:hAnsi="Calibri"/>
          <w:color w:val="008356"/>
          <w:spacing w:val="4"/>
          <w:w w:val="105"/>
          <w:sz w:val="11"/>
        </w:rPr>
        <w:t>DOXAZOSIN </w:t>
      </w:r>
      <w:r>
        <w:rPr>
          <w:color w:val="231F1F"/>
          <w:w w:val="105"/>
        </w:rPr>
        <w:t>and </w:t>
      </w:r>
      <w:r>
        <w:rPr>
          <w:rFonts w:ascii="Calibri" w:hAnsi="Calibri"/>
          <w:color w:val="008356"/>
          <w:w w:val="105"/>
          <w:sz w:val="11"/>
        </w:rPr>
        <w:t>TAMSULOSIN</w:t>
      </w:r>
      <w:r>
        <w:rPr>
          <w:rFonts w:ascii="Arial" w:hAnsi="Arial"/>
          <w:color w:val="231F1F"/>
          <w:w w:val="105"/>
        </w:rPr>
        <w:t>—</w:t>
      </w:r>
      <w:r>
        <w:rPr>
          <w:color w:val="231F1F"/>
          <w:w w:val="105"/>
        </w:rPr>
        <w:t>manufacturer of boceprevir advises avoid concomitant</w:t>
      </w:r>
      <w:r>
        <w:rPr>
          <w:color w:val="231F1F"/>
          <w:spacing w:val="20"/>
          <w:w w:val="105"/>
        </w:rPr>
        <w:t> </w:t>
      </w:r>
      <w:r>
        <w:rPr>
          <w:color w:val="231F1F"/>
          <w:w w:val="105"/>
        </w:rPr>
        <w:t>use</w:t>
      </w:r>
    </w:p>
    <w:p>
      <w:pPr>
        <w:pStyle w:val="BodyText"/>
        <w:spacing w:line="237" w:lineRule="auto" w:before="4"/>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risk of prolonged sedation </w:t>
      </w:r>
      <w:r>
        <w:rPr>
          <w:color w:val="231F1F"/>
          <w:spacing w:val="-5"/>
          <w:w w:val="110"/>
        </w:rPr>
        <w:t>and </w:t>
      </w:r>
      <w:r>
        <w:rPr>
          <w:color w:val="231F1F"/>
          <w:w w:val="110"/>
        </w:rPr>
        <w:t>respiratory depression when boceprevir given with </w:t>
      </w:r>
      <w:r>
        <w:rPr>
          <w:rFonts w:ascii="Calibri" w:hAnsi="Calibri"/>
          <w:color w:val="008356"/>
          <w:spacing w:val="4"/>
          <w:w w:val="110"/>
          <w:sz w:val="11"/>
        </w:rPr>
        <w:t>BUPRENORPHINE</w:t>
      </w:r>
      <w:r>
        <w:rPr>
          <w:color w:val="231F1F"/>
          <w:spacing w:val="4"/>
          <w:w w:val="110"/>
        </w:rPr>
        <w:t>; </w:t>
      </w:r>
      <w:r>
        <w:rPr>
          <w:color w:val="231F1F"/>
          <w:w w:val="110"/>
        </w:rPr>
        <w:t>boceprevir possibly affects plasma concentration of</w:t>
      </w:r>
      <w:r>
        <w:rPr>
          <w:color w:val="231F1F"/>
          <w:spacing w:val="-7"/>
          <w:w w:val="110"/>
        </w:rPr>
        <w:t> </w:t>
      </w:r>
      <w:r>
        <w:rPr>
          <w:rFonts w:ascii="Calibri" w:hAnsi="Calibri"/>
          <w:color w:val="008356"/>
          <w:spacing w:val="5"/>
          <w:w w:val="110"/>
          <w:sz w:val="11"/>
        </w:rPr>
        <w:t>METHADONE</w:t>
      </w:r>
    </w:p>
    <w:p>
      <w:pPr>
        <w:pStyle w:val="BodyText"/>
        <w:ind w:left="286" w:right="71" w:hanging="100"/>
      </w:pPr>
      <w:r>
        <w:rPr>
          <w:rFonts w:ascii="Arial"/>
          <w:color w:val="231F1F"/>
          <w:w w:val="355"/>
          <w:position w:val="1"/>
          <w:sz w:val="7"/>
        </w:rPr>
        <w:t>l </w:t>
      </w:r>
      <w:r>
        <w:rPr>
          <w:rFonts w:ascii="Calibri"/>
          <w:color w:val="231F1F"/>
          <w:w w:val="115"/>
        </w:rPr>
        <w:t>Antibacterials: </w:t>
      </w:r>
      <w:r>
        <w:rPr>
          <w:color w:val="231F1F"/>
          <w:w w:val="115"/>
        </w:rPr>
        <w:t>manufacturer of boceprevir advises avoid concomitant</w:t>
      </w:r>
      <w:r>
        <w:rPr>
          <w:color w:val="231F1F"/>
          <w:spacing w:val="-16"/>
          <w:w w:val="115"/>
        </w:rPr>
        <w:t> </w:t>
      </w:r>
      <w:r>
        <w:rPr>
          <w:color w:val="231F1F"/>
          <w:w w:val="115"/>
        </w:rPr>
        <w:t>use</w:t>
      </w:r>
      <w:r>
        <w:rPr>
          <w:color w:val="231F1F"/>
          <w:spacing w:val="-14"/>
          <w:w w:val="115"/>
        </w:rPr>
        <w:t> </w:t>
      </w:r>
      <w:r>
        <w:rPr>
          <w:color w:val="231F1F"/>
          <w:w w:val="115"/>
        </w:rPr>
        <w:t>with</w:t>
      </w:r>
      <w:r>
        <w:rPr>
          <w:color w:val="231F1F"/>
          <w:spacing w:val="-15"/>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RIFAMPICIN</w:t>
      </w:r>
      <w:r>
        <w:rPr>
          <w:rFonts w:ascii="Calibri"/>
          <w:color w:val="008356"/>
          <w:spacing w:val="-5"/>
          <w:w w:val="115"/>
          <w:sz w:val="11"/>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 boceprevir possibly</w:t>
      </w:r>
      <w:r>
        <w:rPr>
          <w:color w:val="231F1F"/>
          <w:spacing w:val="-10"/>
          <w:w w:val="115"/>
        </w:rPr>
        <w:t> </w:t>
      </w:r>
      <w:r>
        <w:rPr>
          <w:color w:val="231F1F"/>
          <w:w w:val="115"/>
        </w:rPr>
        <w:t>reduced)</w:t>
      </w:r>
    </w:p>
    <w:p>
      <w:pPr>
        <w:pStyle w:val="BodyText"/>
        <w:spacing w:line="220" w:lineRule="auto" w:before="8"/>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avoidance of boceprevir advised by manufacturer of </w:t>
      </w:r>
      <w:r>
        <w:rPr>
          <w:rFonts w:ascii="Calibri" w:hAnsi="Calibri"/>
          <w:color w:val="008356"/>
          <w:w w:val="105"/>
          <w:sz w:val="11"/>
        </w:rPr>
        <w:t>APIXABAN</w:t>
      </w:r>
    </w:p>
    <w:p>
      <w:pPr>
        <w:spacing w:before="0"/>
        <w:ind w:left="286" w:right="266"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manufacturer of boceprevir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PHENOBARBITAL</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PHENYTOIN</w:t>
      </w:r>
      <w:r>
        <w:rPr>
          <w:rFonts w:ascii="Calibri"/>
          <w:color w:val="008356"/>
          <w:spacing w:val="-9"/>
          <w:w w:val="110"/>
          <w:sz w:val="11"/>
        </w:rPr>
        <w:t> </w:t>
      </w:r>
      <w:r>
        <w:rPr>
          <w:color w:val="231F1F"/>
          <w:w w:val="110"/>
          <w:sz w:val="12"/>
        </w:rPr>
        <w:t>and</w:t>
      </w:r>
      <w:r>
        <w:rPr>
          <w:color w:val="231F1F"/>
          <w:spacing w:val="-19"/>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PRIMIDONE</w:t>
      </w:r>
      <w:r>
        <w:rPr>
          <w:rFonts w:ascii="Calibri"/>
          <w:color w:val="008356"/>
          <w:spacing w:val="-10"/>
          <w:w w:val="110"/>
          <w:sz w:val="11"/>
        </w:rPr>
        <w:t> </w:t>
      </w:r>
      <w:r>
        <w:rPr>
          <w:color w:val="231F1F"/>
          <w:w w:val="110"/>
          <w:sz w:val="12"/>
        </w:rPr>
        <w:t>(plasma</w:t>
      </w:r>
    </w:p>
    <w:p>
      <w:pPr>
        <w:pStyle w:val="BodyText"/>
        <w:spacing w:before="3"/>
        <w:ind w:left="286"/>
      </w:pPr>
      <w:r>
        <w:rPr>
          <w:color w:val="231F1F"/>
          <w:w w:val="115"/>
        </w:rPr>
        <w:t>concentration of boceprevir possibly reduced)</w:t>
      </w:r>
    </w:p>
    <w:p>
      <w:pPr>
        <w:pStyle w:val="BodyText"/>
        <w:spacing w:before="2"/>
        <w:ind w:left="186"/>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Antifungals:</w:t>
      </w:r>
      <w:r>
        <w:rPr>
          <w:rFonts w:ascii="Calibri"/>
          <w:color w:val="231F1F"/>
          <w:spacing w:val="-9"/>
          <w:w w:val="115"/>
        </w:rPr>
        <w:t> </w:t>
      </w:r>
      <w:r>
        <w:rPr>
          <w:color w:val="231F1F"/>
          <w:w w:val="115"/>
        </w:rPr>
        <w:t>plasma</w:t>
      </w:r>
      <w:r>
        <w:rPr>
          <w:color w:val="231F1F"/>
          <w:spacing w:val="-12"/>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color w:val="231F1F"/>
          <w:w w:val="115"/>
        </w:rPr>
        <w:t>boceprevir</w:t>
      </w:r>
      <w:r>
        <w:rPr>
          <w:color w:val="231F1F"/>
          <w:spacing w:val="-13"/>
          <w:w w:val="115"/>
        </w:rPr>
        <w:t> </w:t>
      </w:r>
      <w:r>
        <w:rPr>
          <w:color w:val="231F1F"/>
          <w:w w:val="115"/>
        </w:rPr>
        <w:t>increased</w:t>
      </w:r>
      <w:r>
        <w:rPr>
          <w:color w:val="231F1F"/>
          <w:spacing w:val="-12"/>
          <w:w w:val="115"/>
        </w:rPr>
        <w:t> </w:t>
      </w:r>
      <w:r>
        <w:rPr>
          <w:color w:val="231F1F"/>
          <w:w w:val="115"/>
        </w:rPr>
        <w:t>by</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KETOCONAZOLE</w:t>
      </w:r>
    </w:p>
    <w:p>
      <w:pPr>
        <w:spacing w:before="0"/>
        <w:ind w:left="286" w:right="326"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manufacturer of boceprevir advises avoid concomitant</w:t>
      </w:r>
      <w:r>
        <w:rPr>
          <w:color w:val="231F1F"/>
          <w:spacing w:val="-23"/>
          <w:w w:val="110"/>
          <w:sz w:val="12"/>
        </w:rPr>
        <w:t> </w:t>
      </w:r>
      <w:r>
        <w:rPr>
          <w:color w:val="231F1F"/>
          <w:w w:val="110"/>
          <w:sz w:val="12"/>
        </w:rPr>
        <w:t>use</w:t>
      </w:r>
      <w:r>
        <w:rPr>
          <w:color w:val="231F1F"/>
          <w:spacing w:val="-23"/>
          <w:w w:val="110"/>
          <w:sz w:val="12"/>
        </w:rPr>
        <w:t> </w:t>
      </w:r>
      <w:r>
        <w:rPr>
          <w:color w:val="231F1F"/>
          <w:w w:val="110"/>
          <w:sz w:val="12"/>
        </w:rPr>
        <w:t>with</w:t>
      </w:r>
      <w:r>
        <w:rPr>
          <w:color w:val="231F1F"/>
          <w:spacing w:val="-23"/>
          <w:w w:val="110"/>
          <w:sz w:val="12"/>
        </w:rPr>
        <w:t> </w:t>
      </w:r>
      <w:r>
        <w:rPr>
          <w:rFonts w:ascii="Arial"/>
          <w:color w:val="231F1F"/>
          <w:w w:val="335"/>
          <w:position w:val="1"/>
          <w:sz w:val="7"/>
        </w:rPr>
        <w:t>l</w:t>
      </w:r>
      <w:r>
        <w:rPr>
          <w:rFonts w:ascii="Arial"/>
          <w:color w:val="231F1F"/>
          <w:spacing w:val="-55"/>
          <w:w w:val="335"/>
          <w:position w:val="1"/>
          <w:sz w:val="7"/>
        </w:rPr>
        <w:t> </w:t>
      </w:r>
      <w:r>
        <w:rPr>
          <w:rFonts w:ascii="Calibri"/>
          <w:color w:val="008356"/>
          <w:spacing w:val="4"/>
          <w:w w:val="110"/>
          <w:sz w:val="11"/>
        </w:rPr>
        <w:t>ARTEMETHER</w:t>
      </w:r>
      <w:r>
        <w:rPr>
          <w:rFonts w:ascii="Calibri"/>
          <w:color w:val="008356"/>
          <w:spacing w:val="-17"/>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p>
    <w:p>
      <w:pPr>
        <w:pStyle w:val="BodyText"/>
        <w:spacing w:before="9"/>
        <w:ind w:left="0"/>
        <w:rPr>
          <w:rFonts w:ascii="Calibri"/>
          <w:sz w:val="13"/>
        </w:rPr>
      </w:pPr>
      <w:r>
        <w:rPr/>
        <w:br w:type="column"/>
      </w:r>
      <w:r>
        <w:rPr>
          <w:rFonts w:ascii="Calibri"/>
          <w:sz w:val="13"/>
        </w:rPr>
      </w:r>
    </w:p>
    <w:p>
      <w:pPr>
        <w:pStyle w:val="BodyText"/>
        <w:spacing w:line="144" w:lineRule="exact"/>
        <w:ind w:left="177"/>
        <w:rPr>
          <w:rFonts w:ascii="Calibri"/>
        </w:rPr>
      </w:pPr>
      <w:r>
        <w:rPr>
          <w:rFonts w:ascii="Arial"/>
          <w:color w:val="008356"/>
        </w:rPr>
        <w:t>Boceprevir </w:t>
      </w:r>
      <w:r>
        <w:rPr>
          <w:rFonts w:ascii="Calibri"/>
          <w:color w:val="231F1F"/>
        </w:rPr>
        <w:t>(continued)</w:t>
      </w:r>
    </w:p>
    <w:p>
      <w:pPr>
        <w:pStyle w:val="BodyText"/>
        <w:spacing w:line="242" w:lineRule="auto"/>
        <w:ind w:left="277" w:right="701" w:hanging="100"/>
      </w:pPr>
      <w:r>
        <w:rPr>
          <w:rFonts w:ascii="Arial" w:hAnsi="Arial"/>
          <w:color w:val="231F1F"/>
          <w:w w:val="355"/>
          <w:position w:val="1"/>
          <w:sz w:val="7"/>
        </w:rPr>
        <w:t>l </w:t>
      </w:r>
      <w:r>
        <w:rPr>
          <w:rFonts w:ascii="Calibri" w:hAnsi="Calibri"/>
          <w:color w:val="231F1F"/>
          <w:w w:val="115"/>
        </w:rPr>
        <w:t>Antipsychotics: </w:t>
      </w:r>
      <w:r>
        <w:rPr>
          <w:color w:val="231F1F"/>
          <w:w w:val="115"/>
        </w:rPr>
        <w:t>boceprevir possibly increases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 use; manufacturer of boceprevir advises avoid concomitant use with </w:t>
      </w:r>
      <w:r>
        <w:rPr>
          <w:rFonts w:ascii="Arial" w:hAnsi="Arial"/>
          <w:color w:val="231F1F"/>
          <w:w w:val="355"/>
          <w:position w:val="1"/>
          <w:sz w:val="7"/>
        </w:rPr>
        <w:t>l </w:t>
      </w:r>
      <w:r>
        <w:rPr>
          <w:rFonts w:ascii="Calibri" w:hAnsi="Calibri"/>
          <w:color w:val="008356"/>
          <w:spacing w:val="4"/>
          <w:w w:val="115"/>
          <w:sz w:val="11"/>
        </w:rPr>
        <w:t>PIMOZIDE</w:t>
      </w:r>
      <w:r>
        <w:rPr>
          <w:color w:val="231F1F"/>
          <w:spacing w:val="4"/>
          <w:w w:val="115"/>
        </w:rPr>
        <w:t>; </w:t>
      </w:r>
      <w:r>
        <w:rPr>
          <w:color w:val="231F1F"/>
          <w:w w:val="115"/>
        </w:rPr>
        <w:t>boceprevir possibly increases plasma concentration</w:t>
      </w:r>
      <w:r>
        <w:rPr>
          <w:color w:val="231F1F"/>
          <w:spacing w:val="-24"/>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2"/>
          <w:w w:val="115"/>
        </w:rPr>
        <w:t> </w:t>
      </w:r>
      <w:r>
        <w:rPr>
          <w:color w:val="231F1F"/>
          <w:w w:val="115"/>
        </w:rPr>
        <w:t>quetiapine advises avoid concomitant</w:t>
      </w:r>
      <w:r>
        <w:rPr>
          <w:color w:val="231F1F"/>
          <w:spacing w:val="-13"/>
          <w:w w:val="115"/>
        </w:rPr>
        <w:t> </w:t>
      </w:r>
      <w:r>
        <w:rPr>
          <w:color w:val="231F1F"/>
          <w:w w:val="115"/>
        </w:rPr>
        <w:t>use</w:t>
      </w:r>
    </w:p>
    <w:p>
      <w:pPr>
        <w:pStyle w:val="BodyText"/>
        <w:spacing w:line="146" w:lineRule="exact"/>
        <w:ind w:left="177"/>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Antivirals:</w:t>
      </w:r>
      <w:r>
        <w:rPr>
          <w:rFonts w:ascii="Calibri"/>
          <w:color w:val="231F1F"/>
          <w:spacing w:val="-10"/>
          <w:w w:val="115"/>
        </w:rPr>
        <w:t> </w:t>
      </w:r>
      <w:r>
        <w:rPr>
          <w:color w:val="231F1F"/>
          <w:w w:val="115"/>
        </w:rPr>
        <w:t>boceprevir</w:t>
      </w:r>
      <w:r>
        <w:rPr>
          <w:color w:val="231F1F"/>
          <w:spacing w:val="-14"/>
          <w:w w:val="115"/>
        </w:rPr>
        <w:t> </w:t>
      </w:r>
      <w:r>
        <w:rPr>
          <w:color w:val="231F1F"/>
          <w:w w:val="115"/>
        </w:rPr>
        <w:t>reduces</w:t>
      </w:r>
      <w:r>
        <w:rPr>
          <w:color w:val="231F1F"/>
          <w:spacing w:val="-15"/>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p>
    <w:p>
      <w:pPr>
        <w:pStyle w:val="BodyText"/>
        <w:spacing w:line="244" w:lineRule="auto"/>
        <w:ind w:left="277" w:right="585"/>
        <w:rPr>
          <w:rFonts w:ascii="Calibri" w:hAnsi="Calibri"/>
          <w:sz w:val="11"/>
        </w:rPr>
      </w:pPr>
      <w:r>
        <w:rPr>
          <w:rFonts w:ascii="Arial" w:hAnsi="Arial"/>
          <w:color w:val="231F1F"/>
          <w:w w:val="355"/>
          <w:position w:val="1"/>
          <w:sz w:val="7"/>
        </w:rPr>
        <w:t>l </w:t>
      </w:r>
      <w:r>
        <w:rPr>
          <w:rFonts w:ascii="Calibri" w:hAnsi="Calibri"/>
          <w:color w:val="008356"/>
          <w:spacing w:val="3"/>
          <w:w w:val="110"/>
          <w:sz w:val="11"/>
        </w:rPr>
        <w:t>ATAZANAVIR</w:t>
      </w:r>
      <w:r>
        <w:rPr>
          <w:color w:val="231F1F"/>
          <w:spacing w:val="3"/>
          <w:w w:val="110"/>
        </w:rPr>
        <w:t>; </w:t>
      </w:r>
      <w:r>
        <w:rPr>
          <w:color w:val="231F1F"/>
          <w:w w:val="110"/>
        </w:rPr>
        <w:t>boceprevir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Calibri" w:hAnsi="Calibri"/>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 (see under Daclatasvir, p. 544); avoid concomitant use of boceprevir with </w:t>
      </w:r>
      <w:r>
        <w:rPr>
          <w:rFonts w:ascii="Arial" w:hAnsi="Arial"/>
          <w:color w:val="231F1F"/>
          <w:w w:val="355"/>
          <w:position w:val="1"/>
          <w:sz w:val="7"/>
        </w:rPr>
        <w:t>l </w:t>
      </w:r>
      <w:r>
        <w:rPr>
          <w:rFonts w:ascii="Calibri" w:hAnsi="Calibri"/>
          <w:color w:val="008356"/>
          <w:spacing w:val="4"/>
          <w:w w:val="110"/>
          <w:sz w:val="11"/>
        </w:rPr>
        <w:t>DARUNAVIR</w:t>
      </w:r>
      <w:r>
        <w:rPr>
          <w:color w:val="231F1F"/>
          <w:spacing w:val="4"/>
          <w:w w:val="110"/>
        </w:rPr>
        <w:t>; </w:t>
      </w:r>
      <w:r>
        <w:rPr>
          <w:color w:val="231F1F"/>
          <w:w w:val="110"/>
        </w:rPr>
        <w:t>effects of both drugs possibly reduced when boceprevir given with </w:t>
      </w:r>
      <w:r>
        <w:rPr>
          <w:rFonts w:ascii="Calibri" w:hAnsi="Calibri"/>
          <w:color w:val="008356"/>
          <w:spacing w:val="4"/>
          <w:w w:val="110"/>
          <w:sz w:val="11"/>
        </w:rPr>
        <w:t>ETRAVIRINE</w:t>
      </w:r>
      <w:r>
        <w:rPr>
          <w:color w:val="231F1F"/>
          <w:spacing w:val="4"/>
          <w:w w:val="110"/>
        </w:rPr>
        <w:t>; </w:t>
      </w:r>
      <w:r>
        <w:rPr>
          <w:color w:val="231F1F"/>
          <w:w w:val="110"/>
        </w:rPr>
        <w:t>avoidance of boceprevir advised by manufacturer of </w:t>
      </w:r>
      <w:r>
        <w:rPr>
          <w:rFonts w:ascii="Arial" w:hAnsi="Arial"/>
          <w:color w:val="231F1F"/>
          <w:w w:val="355"/>
          <w:position w:val="1"/>
          <w:sz w:val="7"/>
        </w:rPr>
        <w:t>l </w:t>
      </w:r>
      <w:r>
        <w:rPr>
          <w:rFonts w:ascii="Calibri" w:hAnsi="Calibri"/>
          <w:color w:val="008356"/>
          <w:spacing w:val="4"/>
          <w:w w:val="110"/>
          <w:sz w:val="11"/>
        </w:rPr>
        <w:t>FOSAMPRENAVIR</w:t>
      </w:r>
      <w:r>
        <w:rPr>
          <w:color w:val="231F1F"/>
          <w:spacing w:val="4"/>
          <w:w w:val="110"/>
        </w:rPr>
        <w:t>, </w:t>
      </w:r>
      <w:r>
        <w:rPr>
          <w:rFonts w:ascii="Calibri" w:hAnsi="Calibri"/>
          <w:color w:val="008356"/>
          <w:spacing w:val="4"/>
          <w:w w:val="110"/>
          <w:sz w:val="11"/>
        </w:rPr>
        <w:t>NEVIRAPINE </w:t>
      </w:r>
      <w:r>
        <w:rPr>
          <w:color w:val="231F1F"/>
          <w:w w:val="110"/>
        </w:rPr>
        <w:t>and </w:t>
      </w:r>
      <w:r>
        <w:rPr>
          <w:rFonts w:ascii="Calibri" w:hAnsi="Calibri"/>
          <w:color w:val="008356"/>
          <w:spacing w:val="4"/>
          <w:w w:val="110"/>
          <w:sz w:val="11"/>
        </w:rPr>
        <w:t>TIPRANAVIR</w:t>
      </w:r>
      <w:r>
        <w:rPr>
          <w:color w:val="231F1F"/>
          <w:spacing w:val="4"/>
          <w:w w:val="110"/>
        </w:rPr>
        <w:t>; </w:t>
      </w:r>
      <w:r>
        <w:rPr>
          <w:color w:val="231F1F"/>
          <w:w w:val="110"/>
        </w:rPr>
        <w:t>manufacturers advise avoid concomitant use of boceprevir with </w:t>
      </w:r>
      <w:r>
        <w:rPr>
          <w:rFonts w:ascii="Arial" w:hAnsi="Arial"/>
          <w:color w:val="231F1F"/>
          <w:w w:val="355"/>
          <w:position w:val="1"/>
          <w:sz w:val="7"/>
        </w:rPr>
        <w:t>l </w:t>
      </w:r>
      <w:r>
        <w:rPr>
          <w:rFonts w:ascii="Calibri" w:hAnsi="Calibri"/>
          <w:color w:val="008356"/>
          <w:spacing w:val="3"/>
          <w:w w:val="110"/>
          <w:sz w:val="11"/>
        </w:rPr>
        <w:t>LOPINAVIR</w:t>
      </w:r>
      <w:r>
        <w:rPr>
          <w:color w:val="231F1F"/>
          <w:spacing w:val="3"/>
          <w:w w:val="110"/>
        </w:rPr>
        <w:t>; </w:t>
      </w:r>
      <w:r>
        <w:rPr>
          <w:color w:val="231F1F"/>
          <w:w w:val="110"/>
        </w:rPr>
        <w:t>boceprevir increases plasma concentration of </w:t>
      </w:r>
      <w:r>
        <w:rPr>
          <w:rFonts w:ascii="Calibri" w:hAnsi="Calibri"/>
          <w:color w:val="008356"/>
          <w:spacing w:val="4"/>
          <w:w w:val="110"/>
          <w:sz w:val="11"/>
        </w:rPr>
        <w:t>MARAVIROC </w:t>
      </w:r>
      <w:r>
        <w:rPr>
          <w:color w:val="231F1F"/>
          <w:w w:val="110"/>
        </w:rPr>
        <w:t>(consider reducing dose of maraviroc); plasma concentration of both drugs reduced when boceprevir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0"/>
          <w:sz w:val="11"/>
        </w:rPr>
        <w:t>RITONAVIR</w:t>
      </w:r>
    </w:p>
    <w:p>
      <w:pPr>
        <w:pStyle w:val="BodyText"/>
        <w:spacing w:line="139" w:lineRule="exact"/>
        <w:ind w:left="177"/>
      </w:pPr>
      <w:r>
        <w:rPr>
          <w:rFonts w:ascii="Arial"/>
          <w:color w:val="231F1F"/>
          <w:w w:val="355"/>
          <w:position w:val="1"/>
          <w:sz w:val="7"/>
        </w:rPr>
        <w:t>l </w:t>
      </w:r>
      <w:r>
        <w:rPr>
          <w:rFonts w:ascii="Calibri"/>
          <w:color w:val="231F1F"/>
          <w:w w:val="110"/>
        </w:rPr>
        <w:t>Anxiolytics and Hypnotics: </w:t>
      </w:r>
      <w:r>
        <w:rPr>
          <w:color w:val="231F1F"/>
          <w:w w:val="110"/>
        </w:rPr>
        <w:t>boceprevir increases plasma</w:t>
      </w:r>
    </w:p>
    <w:p>
      <w:pPr>
        <w:pStyle w:val="BodyText"/>
        <w:ind w:left="277" w:right="1078"/>
      </w:pPr>
      <w:r>
        <w:rPr>
          <w:color w:val="231F1F"/>
          <w:w w:val="115"/>
        </w:rPr>
        <w:t>concentration</w:t>
      </w:r>
      <w:r>
        <w:rPr>
          <w:color w:val="231F1F"/>
          <w:spacing w:val="-25"/>
          <w:w w:val="115"/>
        </w:rPr>
        <w:t> </w:t>
      </w:r>
      <w:r>
        <w:rPr>
          <w:color w:val="231F1F"/>
          <w:w w:val="115"/>
        </w:rPr>
        <w:t>of</w:t>
      </w:r>
      <w:r>
        <w:rPr>
          <w:color w:val="231F1F"/>
          <w:spacing w:val="-23"/>
          <w:w w:val="115"/>
        </w:rPr>
        <w:t> </w:t>
      </w:r>
      <w:r>
        <w:rPr>
          <w:i/>
          <w:color w:val="231F1F"/>
          <w:w w:val="115"/>
        </w:rPr>
        <w:t>oral</w:t>
      </w:r>
      <w:r>
        <w:rPr>
          <w:i/>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15"/>
          <w:sz w:val="11"/>
        </w:rPr>
        <w:t>MIDAZOLAM</w:t>
      </w:r>
      <w:r>
        <w:rPr>
          <w:rFonts w:ascii="Arial" w:hAnsi="Arial"/>
          <w:color w:val="231F1F"/>
          <w:w w:val="115"/>
        </w:rPr>
        <w:t>—</w:t>
      </w:r>
      <w:r>
        <w:rPr>
          <w:color w:val="231F1F"/>
          <w:w w:val="115"/>
        </w:rPr>
        <w:t>manufacturer</w:t>
      </w:r>
      <w:r>
        <w:rPr>
          <w:color w:val="231F1F"/>
          <w:spacing w:val="-23"/>
          <w:w w:val="115"/>
        </w:rPr>
        <w:t> </w:t>
      </w:r>
      <w:r>
        <w:rPr>
          <w:color w:val="231F1F"/>
          <w:spacing w:val="-6"/>
          <w:w w:val="115"/>
        </w:rPr>
        <w:t>of </w:t>
      </w:r>
      <w:r>
        <w:rPr>
          <w:color w:val="231F1F"/>
          <w:w w:val="115"/>
        </w:rPr>
        <w:t>boceprevir advises avoid concomitant</w:t>
      </w:r>
      <w:r>
        <w:rPr>
          <w:color w:val="231F1F"/>
          <w:spacing w:val="-21"/>
          <w:w w:val="115"/>
        </w:rPr>
        <w:t> </w:t>
      </w:r>
      <w:r>
        <w:rPr>
          <w:color w:val="231F1F"/>
          <w:w w:val="115"/>
        </w:rPr>
        <w:t>use</w:t>
      </w:r>
    </w:p>
    <w:p>
      <w:pPr>
        <w:pStyle w:val="BodyText"/>
        <w:spacing w:line="220" w:lineRule="auto" w:before="10"/>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boceprevir possibly increases </w:t>
      </w:r>
      <w:r>
        <w:rPr>
          <w:color w:val="231F1F"/>
          <w:spacing w:val="-2"/>
          <w:w w:val="105"/>
        </w:rPr>
        <w:t>side-effects </w:t>
      </w:r>
      <w:r>
        <w:rPr>
          <w:color w:val="231F1F"/>
          <w:w w:val="105"/>
        </w:rPr>
        <w:t>of </w:t>
      </w:r>
      <w:r>
        <w:rPr>
          <w:rFonts w:ascii="Calibri" w:hAnsi="Calibri"/>
          <w:color w:val="008356"/>
          <w:spacing w:val="4"/>
          <w:w w:val="105"/>
          <w:sz w:val="11"/>
        </w:rPr>
        <w:t>DIGOXIN</w:t>
      </w:r>
    </w:p>
    <w:p>
      <w:pPr>
        <w:pStyle w:val="BodyText"/>
        <w:spacing w:line="146" w:lineRule="exact"/>
        <w:ind w:left="177"/>
      </w:pPr>
      <w:r>
        <w:rPr>
          <w:rFonts w:ascii="Arial"/>
          <w:color w:val="231F1F"/>
          <w:w w:val="355"/>
          <w:position w:val="1"/>
          <w:sz w:val="7"/>
        </w:rPr>
        <w:t>l </w:t>
      </w:r>
      <w:r>
        <w:rPr>
          <w:rFonts w:ascii="Calibri"/>
          <w:color w:val="231F1F"/>
          <w:w w:val="115"/>
        </w:rPr>
        <w:t>Ciclosporin: </w:t>
      </w:r>
      <w:r>
        <w:rPr>
          <w:color w:val="231F1F"/>
          <w:w w:val="115"/>
        </w:rPr>
        <w:t>boceprevir increases plasma concentration of</w:t>
      </w:r>
    </w:p>
    <w:p>
      <w:pPr>
        <w:spacing w:line="133" w:lineRule="exact" w:before="8"/>
        <w:ind w:left="277" w:right="0" w:firstLine="0"/>
        <w:jc w:val="left"/>
        <w:rPr>
          <w:rFonts w:ascii="Calibri"/>
          <w:sz w:val="11"/>
        </w:rPr>
      </w:pPr>
      <w:r>
        <w:rPr>
          <w:rFonts w:ascii="Arial"/>
          <w:color w:val="231F1F"/>
          <w:w w:val="355"/>
          <w:position w:val="1"/>
          <w:sz w:val="7"/>
        </w:rPr>
        <w:t>l </w:t>
      </w:r>
      <w:r>
        <w:rPr>
          <w:rFonts w:ascii="Calibri"/>
          <w:color w:val="008356"/>
          <w:w w:val="120"/>
          <w:sz w:val="11"/>
        </w:rPr>
        <w:t>CICLOSPORIN</w:t>
      </w:r>
    </w:p>
    <w:p>
      <w:pPr>
        <w:pStyle w:val="BodyText"/>
        <w:ind w:left="277" w:right="585" w:hanging="100"/>
      </w:pPr>
      <w:r>
        <w:rPr>
          <w:rFonts w:ascii="Arial"/>
          <w:color w:val="231F1F"/>
          <w:w w:val="355"/>
          <w:position w:val="1"/>
          <w:sz w:val="7"/>
        </w:rPr>
        <w:t>l </w:t>
      </w:r>
      <w:r>
        <w:rPr>
          <w:rFonts w:ascii="Calibri"/>
          <w:color w:val="231F1F"/>
          <w:w w:val="110"/>
        </w:rPr>
        <w:t>Cilostazol: </w:t>
      </w:r>
      <w:r>
        <w:rPr>
          <w:color w:val="231F1F"/>
          <w:w w:val="110"/>
        </w:rPr>
        <w:t>boceprevir possibly increases plasma 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w:t>
      </w:r>
    </w:p>
    <w:p>
      <w:pPr>
        <w:pStyle w:val="BodyText"/>
        <w:spacing w:line="153" w:lineRule="exact"/>
        <w:ind w:left="177"/>
      </w:pPr>
      <w:r>
        <w:rPr>
          <w:rFonts w:ascii="Lucida Sans Unicode" w:hAnsi="Lucida Sans Unicode"/>
          <w:color w:val="A7A8AC"/>
          <w:w w:val="95"/>
          <w:sz w:val="10"/>
        </w:rPr>
        <w:t>▶ </w:t>
      </w:r>
      <w:r>
        <w:rPr>
          <w:rFonts w:ascii="Calibri" w:hAnsi="Calibri"/>
          <w:color w:val="231F1F"/>
          <w:w w:val="105"/>
        </w:rPr>
        <w:t>Cobicistat: </w:t>
      </w:r>
      <w:r>
        <w:rPr>
          <w:color w:val="231F1F"/>
          <w:w w:val="105"/>
        </w:rPr>
        <w:t>avoidance of boceprevir advised by manufacturer of</w:t>
      </w:r>
    </w:p>
    <w:p>
      <w:pPr>
        <w:spacing w:line="130" w:lineRule="exact" w:before="0"/>
        <w:ind w:left="277" w:right="0" w:firstLine="0"/>
        <w:jc w:val="left"/>
        <w:rPr>
          <w:rFonts w:ascii="Calibri"/>
          <w:sz w:val="11"/>
        </w:rPr>
      </w:pPr>
      <w:r>
        <w:rPr>
          <w:rFonts w:ascii="Calibri"/>
          <w:color w:val="008356"/>
          <w:sz w:val="11"/>
        </w:rPr>
        <w:t>COBICISTAT</w:t>
      </w:r>
    </w:p>
    <w:p>
      <w:pPr>
        <w:spacing w:line="244" w:lineRule="auto" w:before="0"/>
        <w:ind w:left="277" w:right="765" w:hanging="100"/>
        <w:jc w:val="left"/>
        <w:rPr>
          <w:sz w:val="12"/>
        </w:rPr>
      </w:pPr>
      <w:r>
        <w:rPr>
          <w:rFonts w:ascii="Arial" w:hAnsi="Arial"/>
          <w:color w:val="231F1F"/>
          <w:w w:val="355"/>
          <w:position w:val="1"/>
          <w:sz w:val="7"/>
        </w:rPr>
        <w:t>l </w:t>
      </w:r>
      <w:r>
        <w:rPr>
          <w:rFonts w:ascii="Calibri" w:hAnsi="Calibri"/>
          <w:color w:val="231F1F"/>
          <w:w w:val="120"/>
          <w:sz w:val="12"/>
        </w:rPr>
        <w:t>Cytotoxics: </w:t>
      </w:r>
      <w:r>
        <w:rPr>
          <w:color w:val="231F1F"/>
          <w:w w:val="120"/>
          <w:sz w:val="12"/>
        </w:rPr>
        <w:t>boceprevir possibly increases the plasma concentration</w:t>
      </w:r>
      <w:r>
        <w:rPr>
          <w:color w:val="231F1F"/>
          <w:spacing w:val="-26"/>
          <w:w w:val="120"/>
          <w:sz w:val="12"/>
        </w:rPr>
        <w:t> </w:t>
      </w:r>
      <w:r>
        <w:rPr>
          <w:color w:val="231F1F"/>
          <w:w w:val="120"/>
          <w:sz w:val="12"/>
        </w:rPr>
        <w:t>of</w:t>
      </w:r>
      <w:r>
        <w:rPr>
          <w:color w:val="231F1F"/>
          <w:spacing w:val="-26"/>
          <w:w w:val="120"/>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w w:val="120"/>
          <w:sz w:val="11"/>
        </w:rPr>
        <w:t>BOSUTINIB</w:t>
      </w:r>
      <w:r>
        <w:rPr>
          <w:rFonts w:ascii="Arial" w:hAnsi="Arial"/>
          <w:color w:val="231F1F"/>
          <w:w w:val="120"/>
          <w:sz w:val="12"/>
        </w:rPr>
        <w:t>—</w:t>
      </w:r>
      <w:r>
        <w:rPr>
          <w:color w:val="231F1F"/>
          <w:w w:val="120"/>
          <w:sz w:val="12"/>
        </w:rPr>
        <w:t>manufacturer</w:t>
      </w:r>
      <w:r>
        <w:rPr>
          <w:color w:val="231F1F"/>
          <w:spacing w:val="-25"/>
          <w:w w:val="120"/>
          <w:sz w:val="12"/>
        </w:rPr>
        <w:t> </w:t>
      </w:r>
      <w:r>
        <w:rPr>
          <w:color w:val="231F1F"/>
          <w:w w:val="120"/>
          <w:sz w:val="12"/>
        </w:rPr>
        <w:t>of</w:t>
      </w:r>
      <w:r>
        <w:rPr>
          <w:color w:val="231F1F"/>
          <w:spacing w:val="-26"/>
          <w:w w:val="120"/>
          <w:sz w:val="12"/>
        </w:rPr>
        <w:t> </w:t>
      </w:r>
      <w:r>
        <w:rPr>
          <w:color w:val="231F1F"/>
          <w:w w:val="120"/>
          <w:sz w:val="12"/>
        </w:rPr>
        <w:t>bosutinib advises avoid or consider reducing dose of bosutinib; </w:t>
      </w:r>
      <w:r>
        <w:rPr>
          <w:color w:val="231F1F"/>
          <w:w w:val="115"/>
          <w:sz w:val="12"/>
        </w:rPr>
        <w:t>manufacturer</w:t>
      </w:r>
      <w:r>
        <w:rPr>
          <w:color w:val="231F1F"/>
          <w:spacing w:val="-8"/>
          <w:w w:val="115"/>
          <w:sz w:val="12"/>
        </w:rPr>
        <w:t> </w:t>
      </w:r>
      <w:r>
        <w:rPr>
          <w:color w:val="231F1F"/>
          <w:w w:val="115"/>
          <w:sz w:val="12"/>
        </w:rPr>
        <w:t>of</w:t>
      </w:r>
      <w:r>
        <w:rPr>
          <w:color w:val="231F1F"/>
          <w:spacing w:val="-8"/>
          <w:w w:val="115"/>
          <w:sz w:val="12"/>
        </w:rPr>
        <w:t> </w:t>
      </w:r>
      <w:r>
        <w:rPr>
          <w:color w:val="231F1F"/>
          <w:w w:val="115"/>
          <w:sz w:val="12"/>
        </w:rPr>
        <w:t>boceprevir</w:t>
      </w:r>
      <w:r>
        <w:rPr>
          <w:color w:val="231F1F"/>
          <w:spacing w:val="-9"/>
          <w:w w:val="115"/>
          <w:sz w:val="12"/>
        </w:rPr>
        <w:t> </w:t>
      </w:r>
      <w:r>
        <w:rPr>
          <w:color w:val="231F1F"/>
          <w:w w:val="115"/>
          <w:sz w:val="12"/>
        </w:rPr>
        <w:t>advises</w:t>
      </w:r>
      <w:r>
        <w:rPr>
          <w:color w:val="231F1F"/>
          <w:spacing w:val="-7"/>
          <w:w w:val="115"/>
          <w:sz w:val="12"/>
        </w:rPr>
        <w:t> </w:t>
      </w:r>
      <w:r>
        <w:rPr>
          <w:color w:val="231F1F"/>
          <w:w w:val="115"/>
          <w:sz w:val="12"/>
        </w:rPr>
        <w:t>avoid</w:t>
      </w:r>
      <w:r>
        <w:rPr>
          <w:color w:val="231F1F"/>
          <w:spacing w:val="-8"/>
          <w:w w:val="115"/>
          <w:sz w:val="12"/>
        </w:rPr>
        <w:t> </w:t>
      </w:r>
      <w:r>
        <w:rPr>
          <w:color w:val="231F1F"/>
          <w:w w:val="115"/>
          <w:sz w:val="12"/>
        </w:rPr>
        <w:t>concomitant</w:t>
      </w:r>
      <w:r>
        <w:rPr>
          <w:color w:val="231F1F"/>
          <w:spacing w:val="-9"/>
          <w:w w:val="115"/>
          <w:sz w:val="12"/>
        </w:rPr>
        <w:t> </w:t>
      </w:r>
      <w:r>
        <w:rPr>
          <w:color w:val="231F1F"/>
          <w:spacing w:val="-5"/>
          <w:w w:val="115"/>
          <w:sz w:val="12"/>
        </w:rPr>
        <w:t>use </w:t>
      </w:r>
      <w:r>
        <w:rPr>
          <w:color w:val="231F1F"/>
          <w:w w:val="120"/>
          <w:sz w:val="12"/>
        </w:rPr>
        <w:t>with</w:t>
      </w:r>
      <w:r>
        <w:rPr>
          <w:color w:val="231F1F"/>
          <w:spacing w:val="-24"/>
          <w:w w:val="12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20"/>
          <w:sz w:val="11"/>
        </w:rPr>
        <w:t>DASATINIB</w:t>
      </w:r>
      <w:r>
        <w:rPr>
          <w:color w:val="231F1F"/>
          <w:spacing w:val="3"/>
          <w:w w:val="120"/>
          <w:sz w:val="12"/>
        </w:rPr>
        <w:t>,</w:t>
      </w:r>
      <w:r>
        <w:rPr>
          <w:color w:val="231F1F"/>
          <w:spacing w:val="-23"/>
          <w:w w:val="12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20"/>
          <w:sz w:val="11"/>
        </w:rPr>
        <w:t>ERLOTINIB</w:t>
      </w:r>
      <w:r>
        <w:rPr>
          <w:color w:val="231F1F"/>
          <w:spacing w:val="4"/>
          <w:w w:val="120"/>
          <w:sz w:val="12"/>
        </w:rPr>
        <w:t>,</w:t>
      </w:r>
      <w:r>
        <w:rPr>
          <w:color w:val="231F1F"/>
          <w:spacing w:val="-24"/>
          <w:w w:val="12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20"/>
          <w:sz w:val="11"/>
        </w:rPr>
        <w:t>GEFITINIB</w:t>
      </w:r>
      <w:r>
        <w:rPr>
          <w:color w:val="231F1F"/>
          <w:spacing w:val="4"/>
          <w:w w:val="120"/>
          <w:sz w:val="12"/>
        </w:rPr>
        <w:t>,</w:t>
      </w:r>
      <w:r>
        <w:rPr>
          <w:color w:val="231F1F"/>
          <w:spacing w:val="-24"/>
          <w:w w:val="12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20"/>
          <w:sz w:val="11"/>
        </w:rPr>
        <w:t>IMATINIB</w:t>
      </w:r>
      <w:r>
        <w:rPr>
          <w:color w:val="231F1F"/>
          <w:spacing w:val="3"/>
          <w:w w:val="120"/>
          <w:sz w:val="12"/>
        </w:rPr>
        <w:t>,</w:t>
      </w:r>
    </w:p>
    <w:p>
      <w:pPr>
        <w:spacing w:before="0"/>
        <w:ind w:left="277" w:right="0" w:firstLine="0"/>
        <w:jc w:val="left"/>
        <w:rPr>
          <w:sz w:val="12"/>
        </w:rPr>
      </w:pPr>
      <w:r>
        <w:rPr>
          <w:rFonts w:ascii="Arial"/>
          <w:color w:val="231F1F"/>
          <w:w w:val="355"/>
          <w:position w:val="1"/>
          <w:sz w:val="7"/>
        </w:rPr>
        <w:t>l </w:t>
      </w:r>
      <w:r>
        <w:rPr>
          <w:rFonts w:ascii="Calibri"/>
          <w:color w:val="008356"/>
          <w:spacing w:val="3"/>
          <w:w w:val="120"/>
          <w:sz w:val="11"/>
        </w:rPr>
        <w:t>LAPATINIB</w:t>
      </w:r>
      <w:r>
        <w:rPr>
          <w:color w:val="231F1F"/>
          <w:spacing w:val="3"/>
          <w:w w:val="120"/>
          <w:sz w:val="12"/>
        </w:rPr>
        <w:t>, </w:t>
      </w:r>
      <w:r>
        <w:rPr>
          <w:rFonts w:ascii="Arial"/>
          <w:color w:val="231F1F"/>
          <w:w w:val="355"/>
          <w:position w:val="1"/>
          <w:sz w:val="7"/>
        </w:rPr>
        <w:t>l </w:t>
      </w:r>
      <w:r>
        <w:rPr>
          <w:rFonts w:ascii="Calibri"/>
          <w:color w:val="008356"/>
          <w:spacing w:val="4"/>
          <w:w w:val="120"/>
          <w:sz w:val="11"/>
        </w:rPr>
        <w:t>NILOTINIB</w:t>
      </w:r>
      <w:r>
        <w:rPr>
          <w:color w:val="231F1F"/>
          <w:spacing w:val="4"/>
          <w:w w:val="120"/>
          <w:sz w:val="12"/>
        </w:rPr>
        <w:t>, </w:t>
      </w:r>
      <w:r>
        <w:rPr>
          <w:rFonts w:ascii="Arial"/>
          <w:color w:val="231F1F"/>
          <w:w w:val="355"/>
          <w:position w:val="1"/>
          <w:sz w:val="7"/>
        </w:rPr>
        <w:t>l </w:t>
      </w:r>
      <w:r>
        <w:rPr>
          <w:rFonts w:ascii="Calibri"/>
          <w:color w:val="008356"/>
          <w:spacing w:val="3"/>
          <w:w w:val="120"/>
          <w:sz w:val="11"/>
        </w:rPr>
        <w:t>PAZOPANIB</w:t>
      </w:r>
      <w:r>
        <w:rPr>
          <w:color w:val="231F1F"/>
          <w:spacing w:val="3"/>
          <w:w w:val="120"/>
          <w:sz w:val="12"/>
        </w:rPr>
        <w:t>, </w:t>
      </w:r>
      <w:r>
        <w:rPr>
          <w:rFonts w:ascii="Arial"/>
          <w:color w:val="231F1F"/>
          <w:w w:val="355"/>
          <w:position w:val="1"/>
          <w:sz w:val="7"/>
        </w:rPr>
        <w:t>l </w:t>
      </w:r>
      <w:r>
        <w:rPr>
          <w:rFonts w:ascii="Calibri"/>
          <w:color w:val="008356"/>
          <w:spacing w:val="4"/>
          <w:w w:val="120"/>
          <w:sz w:val="11"/>
        </w:rPr>
        <w:t>SORAFENIB </w:t>
      </w:r>
      <w:r>
        <w:rPr>
          <w:color w:val="231F1F"/>
          <w:w w:val="120"/>
          <w:sz w:val="12"/>
        </w:rPr>
        <w:t>and</w:t>
      </w:r>
    </w:p>
    <w:p>
      <w:pPr>
        <w:pStyle w:val="BodyText"/>
        <w:ind w:left="277" w:right="609"/>
      </w:pPr>
      <w:r>
        <w:rPr>
          <w:rFonts w:ascii="Arial" w:hAnsi="Arial"/>
          <w:color w:val="231F1F"/>
          <w:w w:val="355"/>
          <w:position w:val="1"/>
          <w:sz w:val="7"/>
        </w:rPr>
        <w:t>l </w:t>
      </w:r>
      <w:r>
        <w:rPr>
          <w:rFonts w:ascii="Calibri" w:hAnsi="Calibri"/>
          <w:color w:val="008356"/>
          <w:spacing w:val="4"/>
          <w:w w:val="115"/>
          <w:sz w:val="11"/>
        </w:rPr>
        <w:t>SUNITINIB</w:t>
      </w:r>
      <w:r>
        <w:rPr>
          <w:color w:val="231F1F"/>
          <w:spacing w:val="4"/>
          <w:w w:val="115"/>
        </w:rPr>
        <w:t>; </w:t>
      </w:r>
      <w:r>
        <w:rPr>
          <w:color w:val="231F1F"/>
          <w:w w:val="115"/>
        </w:rPr>
        <w:t>manufacturer of ruxolitinib advises dose reduction</w:t>
      </w:r>
      <w:r>
        <w:rPr>
          <w:color w:val="231F1F"/>
          <w:spacing w:val="-23"/>
          <w:w w:val="115"/>
        </w:rPr>
        <w:t> </w:t>
      </w:r>
      <w:r>
        <w:rPr>
          <w:color w:val="231F1F"/>
          <w:w w:val="115"/>
        </w:rPr>
        <w:t>when</w:t>
      </w:r>
      <w:r>
        <w:rPr>
          <w:color w:val="231F1F"/>
          <w:spacing w:val="-24"/>
          <w:w w:val="115"/>
        </w:rPr>
        <w:t> </w:t>
      </w:r>
      <w:r>
        <w:rPr>
          <w:color w:val="231F1F"/>
          <w:w w:val="115"/>
        </w:rPr>
        <w:t>boceprevir</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 </w:t>
      </w:r>
      <w:r>
        <w:rPr>
          <w:color w:val="231F1F"/>
          <w:w w:val="115"/>
        </w:rPr>
        <w:t>ruxolitinib product</w:t>
      </w:r>
      <w:r>
        <w:rPr>
          <w:color w:val="231F1F"/>
          <w:spacing w:val="-7"/>
          <w:w w:val="115"/>
        </w:rPr>
        <w:t> </w:t>
      </w:r>
      <w:r>
        <w:rPr>
          <w:color w:val="231F1F"/>
          <w:w w:val="115"/>
        </w:rPr>
        <w:t>literature</w:t>
      </w:r>
    </w:p>
    <w:p>
      <w:pPr>
        <w:pStyle w:val="BodyText"/>
        <w:spacing w:before="3"/>
        <w:ind w:left="277" w:right="765" w:hanging="100"/>
      </w:pPr>
      <w:r>
        <w:rPr>
          <w:rFonts w:ascii="Arial" w:hAnsi="Arial"/>
          <w:color w:val="231F1F"/>
          <w:w w:val="355"/>
          <w:position w:val="1"/>
          <w:sz w:val="7"/>
        </w:rPr>
        <w:t>l </w:t>
      </w:r>
      <w:r>
        <w:rPr>
          <w:rFonts w:ascii="Calibri" w:hAnsi="Calibri"/>
          <w:color w:val="231F1F"/>
          <w:w w:val="105"/>
        </w:rPr>
        <w:t>Domperidone: </w:t>
      </w:r>
      <w:r>
        <w:rPr>
          <w:color w:val="231F1F"/>
          <w:w w:val="105"/>
        </w:rPr>
        <w:t>possible increased risk of ventricular arrhythmias when boceprevir given with </w:t>
      </w:r>
      <w:r>
        <w:rPr>
          <w:rFonts w:ascii="Arial" w:hAnsi="Arial"/>
          <w:color w:val="231F1F"/>
          <w:w w:val="355"/>
          <w:position w:val="1"/>
          <w:sz w:val="7"/>
        </w:rPr>
        <w:t>l </w:t>
      </w:r>
      <w:r>
        <w:rPr>
          <w:rFonts w:ascii="Calibri" w:hAnsi="Calibri"/>
          <w:color w:val="008356"/>
          <w:w w:val="105"/>
          <w:sz w:val="11"/>
        </w:rPr>
        <w:t>DOMPERIDONE</w:t>
      </w:r>
      <w:r>
        <w:rPr>
          <w:rFonts w:ascii="Arial" w:hAnsi="Arial"/>
          <w:color w:val="231F1F"/>
          <w:w w:val="105"/>
        </w:rPr>
        <w:t>— </w:t>
      </w:r>
      <w:r>
        <w:rPr>
          <w:color w:val="231F1F"/>
          <w:w w:val="105"/>
        </w:rPr>
        <w:t>avoid concomitant use</w:t>
      </w:r>
    </w:p>
    <w:p>
      <w:pPr>
        <w:pStyle w:val="BodyText"/>
        <w:spacing w:before="2"/>
        <w:ind w:left="277" w:right="878"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Ergot</w:t>
      </w:r>
      <w:r>
        <w:rPr>
          <w:rFonts w:ascii="Calibri"/>
          <w:color w:val="231F1F"/>
          <w:spacing w:val="-15"/>
          <w:w w:val="115"/>
        </w:rPr>
        <w:t> </w:t>
      </w:r>
      <w:r>
        <w:rPr>
          <w:rFonts w:ascii="Calibri"/>
          <w:color w:val="231F1F"/>
          <w:w w:val="115"/>
        </w:rPr>
        <w:t>Alkaloids:</w:t>
      </w:r>
      <w:r>
        <w:rPr>
          <w:rFonts w:ascii="Calibri"/>
          <w:color w:val="231F1F"/>
          <w:spacing w:val="-16"/>
          <w:w w:val="115"/>
        </w:rPr>
        <w:t> </w:t>
      </w:r>
      <w:r>
        <w:rPr>
          <w:color w:val="231F1F"/>
          <w:w w:val="115"/>
        </w:rPr>
        <w:t>manufacturer</w:t>
      </w:r>
      <w:r>
        <w:rPr>
          <w:color w:val="231F1F"/>
          <w:spacing w:val="-18"/>
          <w:w w:val="115"/>
        </w:rPr>
        <w:t> </w:t>
      </w:r>
      <w:r>
        <w:rPr>
          <w:color w:val="231F1F"/>
          <w:w w:val="115"/>
        </w:rPr>
        <w:t>of</w:t>
      </w:r>
      <w:r>
        <w:rPr>
          <w:color w:val="231F1F"/>
          <w:spacing w:val="-18"/>
          <w:w w:val="115"/>
        </w:rPr>
        <w:t> </w:t>
      </w:r>
      <w:r>
        <w:rPr>
          <w:color w:val="231F1F"/>
          <w:w w:val="115"/>
        </w:rPr>
        <w:t>boceprevir</w:t>
      </w:r>
      <w:r>
        <w:rPr>
          <w:color w:val="231F1F"/>
          <w:spacing w:val="-19"/>
          <w:w w:val="115"/>
        </w:rPr>
        <w:t> </w:t>
      </w:r>
      <w:r>
        <w:rPr>
          <w:color w:val="231F1F"/>
          <w:w w:val="115"/>
        </w:rPr>
        <w:t>advises</w:t>
      </w:r>
      <w:r>
        <w:rPr>
          <w:color w:val="231F1F"/>
          <w:spacing w:val="-18"/>
          <w:w w:val="115"/>
        </w:rPr>
        <w:t> </w:t>
      </w:r>
      <w:r>
        <w:rPr>
          <w:color w:val="231F1F"/>
          <w:spacing w:val="-3"/>
          <w:w w:val="115"/>
        </w:rPr>
        <w:t>avoid </w:t>
      </w:r>
      <w:r>
        <w:rPr>
          <w:color w:val="231F1F"/>
          <w:w w:val="115"/>
        </w:rPr>
        <w:t>concomitant</w:t>
      </w:r>
      <w:r>
        <w:rPr>
          <w:color w:val="231F1F"/>
          <w:spacing w:val="-8"/>
          <w:w w:val="115"/>
        </w:rPr>
        <w:t> </w:t>
      </w:r>
      <w:r>
        <w:rPr>
          <w:color w:val="231F1F"/>
          <w:w w:val="115"/>
        </w:rPr>
        <w:t>use</w:t>
      </w:r>
      <w:r>
        <w:rPr>
          <w:color w:val="231F1F"/>
          <w:spacing w:val="-6"/>
          <w:w w:val="115"/>
        </w:rPr>
        <w:t> </w:t>
      </w:r>
      <w:r>
        <w:rPr>
          <w:color w:val="231F1F"/>
          <w:w w:val="115"/>
        </w:rPr>
        <w:t>with</w:t>
      </w:r>
      <w:r>
        <w:rPr>
          <w:color w:val="231F1F"/>
          <w:spacing w:val="-7"/>
          <w:w w:val="115"/>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3"/>
          <w:w w:val="115"/>
          <w:sz w:val="11"/>
        </w:rPr>
        <w:t>ERGOT</w:t>
      </w:r>
      <w:r>
        <w:rPr>
          <w:rFonts w:ascii="Calibri"/>
          <w:color w:val="008356"/>
          <w:spacing w:val="-4"/>
          <w:w w:val="115"/>
          <w:sz w:val="11"/>
        </w:rPr>
        <w:t> </w:t>
      </w:r>
      <w:r>
        <w:rPr>
          <w:rFonts w:ascii="Calibri"/>
          <w:color w:val="008356"/>
          <w:spacing w:val="4"/>
          <w:w w:val="115"/>
          <w:sz w:val="11"/>
        </w:rPr>
        <w:t>ALKALOIDS</w:t>
      </w:r>
    </w:p>
    <w:p>
      <w:pPr>
        <w:pStyle w:val="BodyText"/>
        <w:spacing w:line="242" w:lineRule="auto"/>
        <w:ind w:left="277" w:right="649" w:hanging="100"/>
        <w:rPr>
          <w:rFonts w:ascii="Calibri"/>
          <w:sz w:val="11"/>
        </w:rPr>
      </w:pPr>
      <w:r>
        <w:rPr>
          <w:rFonts w:ascii="Arial"/>
          <w:color w:val="231F1F"/>
          <w:w w:val="355"/>
          <w:position w:val="1"/>
          <w:sz w:val="7"/>
        </w:rPr>
        <w:t>l </w:t>
      </w:r>
      <w:r>
        <w:rPr>
          <w:rFonts w:ascii="Calibri"/>
          <w:color w:val="231F1F"/>
          <w:w w:val="110"/>
        </w:rPr>
        <w:t>Lipid-regulating Drugs: </w:t>
      </w:r>
      <w:r>
        <w:rPr>
          <w:color w:val="231F1F"/>
          <w:w w:val="110"/>
        </w:rPr>
        <w:t>boceprevir increases plasma concentration of </w:t>
      </w:r>
      <w:r>
        <w:rPr>
          <w:rFonts w:ascii="Calibri"/>
          <w:color w:val="008356"/>
          <w:w w:val="110"/>
          <w:sz w:val="11"/>
        </w:rPr>
        <w:t>ATORVASTATIN </w:t>
      </w:r>
      <w:r>
        <w:rPr>
          <w:color w:val="231F1F"/>
          <w:w w:val="110"/>
        </w:rPr>
        <w:t>(reduce dose of atorvastatin); boceprevir increases plasma concentration of </w:t>
      </w:r>
      <w:r>
        <w:rPr>
          <w:rFonts w:ascii="Calibri"/>
          <w:color w:val="008356"/>
          <w:w w:val="110"/>
          <w:sz w:val="11"/>
        </w:rPr>
        <w:t>PRAVASTATIN</w:t>
      </w:r>
      <w:r>
        <w:rPr>
          <w:color w:val="231F1F"/>
          <w:w w:val="110"/>
        </w:rPr>
        <w:t>; manufacturers advise avoid concomitant use of boceprevir with </w:t>
      </w:r>
      <w:r>
        <w:rPr>
          <w:rFonts w:ascii="Arial"/>
          <w:color w:val="231F1F"/>
          <w:w w:val="355"/>
          <w:position w:val="1"/>
          <w:sz w:val="7"/>
        </w:rPr>
        <w:t>l </w:t>
      </w:r>
      <w:r>
        <w:rPr>
          <w:rFonts w:ascii="Calibri"/>
          <w:color w:val="008356"/>
          <w:w w:val="110"/>
          <w:sz w:val="11"/>
        </w:rPr>
        <w:t>SIMVASTATIN</w:t>
      </w:r>
    </w:p>
    <w:p>
      <w:pPr>
        <w:pStyle w:val="BodyText"/>
        <w:spacing w:line="151" w:lineRule="exact"/>
        <w:ind w:left="177"/>
      </w:pPr>
      <w:r>
        <w:rPr>
          <w:rFonts w:ascii="Lucida Sans Unicode" w:hAnsi="Lucida Sans Unicode"/>
          <w:color w:val="A7A8AC"/>
          <w:w w:val="95"/>
          <w:sz w:val="10"/>
        </w:rPr>
        <w:t>▶ </w:t>
      </w:r>
      <w:r>
        <w:rPr>
          <w:rFonts w:ascii="Calibri" w:hAnsi="Calibri"/>
          <w:color w:val="231F1F"/>
          <w:w w:val="105"/>
        </w:rPr>
        <w:t>Progestogens: </w:t>
      </w:r>
      <w:r>
        <w:rPr>
          <w:color w:val="231F1F"/>
          <w:w w:val="105"/>
        </w:rPr>
        <w:t>boceprevir increases plasma concentration of</w:t>
      </w:r>
    </w:p>
    <w:p>
      <w:pPr>
        <w:spacing w:line="134" w:lineRule="exact" w:before="0"/>
        <w:ind w:left="277" w:right="0" w:firstLine="0"/>
        <w:jc w:val="left"/>
        <w:rPr>
          <w:sz w:val="12"/>
        </w:rPr>
      </w:pPr>
      <w:r>
        <w:rPr>
          <w:rFonts w:ascii="Calibri"/>
          <w:color w:val="008356"/>
          <w:w w:val="110"/>
          <w:sz w:val="11"/>
        </w:rPr>
        <w:t>DROSPIRENONE </w:t>
      </w:r>
      <w:r>
        <w:rPr>
          <w:color w:val="231F1F"/>
          <w:w w:val="110"/>
          <w:sz w:val="12"/>
        </w:rPr>
        <w:t>(increased risk of toxicity)</w:t>
      </w:r>
    </w:p>
    <w:p>
      <w:pPr>
        <w:pStyle w:val="BodyText"/>
        <w:ind w:left="277" w:right="902" w:hanging="100"/>
      </w:pPr>
      <w:r>
        <w:rPr>
          <w:rFonts w:ascii="Arial" w:hAnsi="Arial"/>
          <w:color w:val="231F1F"/>
          <w:w w:val="200"/>
          <w:position w:val="1"/>
          <w:sz w:val="7"/>
        </w:rPr>
        <w:t>l</w:t>
      </w:r>
      <w:r>
        <w:rPr>
          <w:rFonts w:ascii="Arial" w:hAnsi="Arial"/>
          <w:color w:val="231F1F"/>
          <w:spacing w:val="-26"/>
          <w:w w:val="200"/>
          <w:position w:val="1"/>
          <w:sz w:val="7"/>
        </w:rPr>
        <w:t> </w:t>
      </w:r>
      <w:r>
        <w:rPr>
          <w:rFonts w:ascii="Calibri" w:hAnsi="Calibri"/>
          <w:color w:val="231F1F"/>
          <w:w w:val="120"/>
        </w:rPr>
        <w:t>Sirolimus:</w:t>
      </w:r>
      <w:r>
        <w:rPr>
          <w:rFonts w:ascii="Calibri" w:hAnsi="Calibri"/>
          <w:color w:val="231F1F"/>
          <w:spacing w:val="-22"/>
          <w:w w:val="120"/>
        </w:rPr>
        <w:t> </w:t>
      </w:r>
      <w:r>
        <w:rPr>
          <w:color w:val="231F1F"/>
          <w:w w:val="120"/>
        </w:rPr>
        <w:t>boceprevir</w:t>
      </w:r>
      <w:r>
        <w:rPr>
          <w:color w:val="231F1F"/>
          <w:spacing w:val="-26"/>
          <w:w w:val="120"/>
        </w:rPr>
        <w:t> </w:t>
      </w:r>
      <w:r>
        <w:rPr>
          <w:color w:val="231F1F"/>
          <w:w w:val="120"/>
        </w:rPr>
        <w:t>increases</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 </w:t>
      </w: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008356"/>
          <w:spacing w:val="4"/>
          <w:w w:val="115"/>
          <w:sz w:val="11"/>
        </w:rPr>
        <w:t>SIROLIMUS</w:t>
      </w:r>
      <w:r>
        <w:rPr>
          <w:rFonts w:ascii="Calibri" w:hAnsi="Calibri"/>
          <w:color w:val="008356"/>
          <w:spacing w:val="-13"/>
          <w:w w:val="115"/>
          <w:sz w:val="11"/>
        </w:rPr>
        <w:t> </w:t>
      </w:r>
      <w:r>
        <w:rPr>
          <w:color w:val="231F1F"/>
          <w:w w:val="115"/>
        </w:rPr>
        <w:t>(increased</w:t>
      </w:r>
      <w:r>
        <w:rPr>
          <w:color w:val="231F1F"/>
          <w:spacing w:val="-22"/>
          <w:w w:val="115"/>
        </w:rPr>
        <w:t> </w:t>
      </w:r>
      <w:r>
        <w:rPr>
          <w:color w:val="231F1F"/>
          <w:w w:val="115"/>
        </w:rPr>
        <w:t>risk</w:t>
      </w:r>
      <w:r>
        <w:rPr>
          <w:color w:val="231F1F"/>
          <w:spacing w:val="-21"/>
          <w:w w:val="115"/>
        </w:rPr>
        <w:t> </w:t>
      </w:r>
      <w:r>
        <w:rPr>
          <w:color w:val="231F1F"/>
          <w:w w:val="115"/>
        </w:rPr>
        <w:t>of</w:t>
      </w:r>
      <w:r>
        <w:rPr>
          <w:color w:val="231F1F"/>
          <w:spacing w:val="-22"/>
          <w:w w:val="115"/>
        </w:rPr>
        <w:t> </w:t>
      </w:r>
      <w:r>
        <w:rPr>
          <w:color w:val="231F1F"/>
          <w:w w:val="115"/>
        </w:rPr>
        <w:t>toxicity</w:t>
      </w:r>
      <w:r>
        <w:rPr>
          <w:rFonts w:ascii="Arial" w:hAnsi="Arial"/>
          <w:color w:val="231F1F"/>
          <w:w w:val="115"/>
        </w:rPr>
        <w:t>—</w:t>
      </w:r>
      <w:r>
        <w:rPr>
          <w:color w:val="231F1F"/>
          <w:w w:val="115"/>
        </w:rPr>
        <w:t>reduce</w:t>
      </w:r>
      <w:r>
        <w:rPr>
          <w:color w:val="231F1F"/>
          <w:spacing w:val="-22"/>
          <w:w w:val="115"/>
        </w:rPr>
        <w:t> </w:t>
      </w:r>
      <w:r>
        <w:rPr>
          <w:color w:val="231F1F"/>
          <w:w w:val="115"/>
        </w:rPr>
        <w:t>sirolimus </w:t>
      </w:r>
      <w:r>
        <w:rPr>
          <w:color w:val="231F1F"/>
          <w:w w:val="120"/>
        </w:rPr>
        <w:t>dose)</w:t>
      </w:r>
    </w:p>
    <w:p>
      <w:pPr>
        <w:pStyle w:val="BodyText"/>
        <w:spacing w:line="146" w:lineRule="exact"/>
        <w:ind w:left="177"/>
      </w:pPr>
      <w:r>
        <w:rPr>
          <w:rFonts w:ascii="Arial"/>
          <w:color w:val="231F1F"/>
          <w:w w:val="355"/>
          <w:position w:val="1"/>
          <w:sz w:val="7"/>
        </w:rPr>
        <w:t>l </w:t>
      </w:r>
      <w:r>
        <w:rPr>
          <w:rFonts w:ascii="Calibri"/>
          <w:color w:val="231F1F"/>
          <w:w w:val="115"/>
        </w:rPr>
        <w:t>Tacrolimus: </w:t>
      </w:r>
      <w:r>
        <w:rPr>
          <w:color w:val="231F1F"/>
          <w:w w:val="115"/>
        </w:rPr>
        <w:t>boceprevir increases plasma concentration of</w:t>
      </w:r>
    </w:p>
    <w:p>
      <w:pPr>
        <w:spacing w:before="0"/>
        <w:ind w:left="277" w:right="0" w:firstLine="0"/>
        <w:jc w:val="left"/>
        <w:rPr>
          <w:sz w:val="12"/>
        </w:rPr>
      </w:pPr>
      <w:r>
        <w:rPr>
          <w:rFonts w:ascii="Arial"/>
          <w:color w:val="231F1F"/>
          <w:w w:val="355"/>
          <w:position w:val="1"/>
          <w:sz w:val="7"/>
        </w:rPr>
        <w:t>l </w:t>
      </w:r>
      <w:r>
        <w:rPr>
          <w:rFonts w:ascii="Calibri"/>
          <w:color w:val="008356"/>
          <w:w w:val="110"/>
          <w:sz w:val="11"/>
        </w:rPr>
        <w:t>TACROLIMUS </w:t>
      </w:r>
      <w:r>
        <w:rPr>
          <w:color w:val="231F1F"/>
          <w:w w:val="110"/>
          <w:sz w:val="12"/>
        </w:rPr>
        <w:t>(reduce dose of tacrolimus)</w:t>
      </w:r>
    </w:p>
    <w:p>
      <w:pPr>
        <w:pStyle w:val="BodyText"/>
        <w:spacing w:before="3"/>
        <w:ind w:left="177"/>
        <w:rPr>
          <w:rFonts w:ascii="Trebuchet MS"/>
        </w:rPr>
      </w:pPr>
      <w:r>
        <w:rPr>
          <w:rFonts w:ascii="Trebuchet MS"/>
          <w:color w:val="008356"/>
        </w:rPr>
        <w:t>Bortezomib</w:t>
      </w:r>
    </w:p>
    <w:p>
      <w:pPr>
        <w:pStyle w:val="BodyText"/>
        <w:spacing w:before="1"/>
        <w:ind w:left="277" w:right="583" w:hanging="100"/>
      </w:pP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231F1F"/>
          <w:w w:val="115"/>
        </w:rPr>
        <w:t>Antibacterials:</w:t>
      </w:r>
      <w:r>
        <w:rPr>
          <w:rFonts w:ascii="Calibri" w:hAnsi="Calibri"/>
          <w:color w:val="231F1F"/>
          <w:spacing w:val="-8"/>
          <w:w w:val="115"/>
        </w:rPr>
        <w:t> </w:t>
      </w:r>
      <w:r>
        <w:rPr>
          <w:color w:val="231F1F"/>
          <w:w w:val="115"/>
        </w:rPr>
        <w:t>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11"/>
          <w:w w:val="115"/>
        </w:rPr>
        <w:t> </w:t>
      </w:r>
      <w:r>
        <w:rPr>
          <w:color w:val="231F1F"/>
          <w:w w:val="115"/>
        </w:rPr>
        <w:t>bortezomib</w:t>
      </w:r>
      <w:r>
        <w:rPr>
          <w:color w:val="231F1F"/>
          <w:spacing w:val="-12"/>
          <w:w w:val="115"/>
        </w:rPr>
        <w:t> </w:t>
      </w:r>
      <w:r>
        <w:rPr>
          <w:color w:val="231F1F"/>
          <w:w w:val="115"/>
        </w:rPr>
        <w:t>reduced</w:t>
      </w:r>
      <w:r>
        <w:rPr>
          <w:color w:val="231F1F"/>
          <w:spacing w:val="-11"/>
          <w:w w:val="115"/>
        </w:rPr>
        <w:t> </w:t>
      </w:r>
      <w:r>
        <w:rPr>
          <w:color w:val="231F1F"/>
          <w:spacing w:val="-7"/>
          <w:w w:val="115"/>
        </w:rPr>
        <w:t>by </w:t>
      </w:r>
      <w:r>
        <w:rPr>
          <w:rFonts w:ascii="Arial" w:hAnsi="Arial"/>
          <w:color w:val="231F1F"/>
          <w:w w:val="355"/>
          <w:position w:val="1"/>
          <w:sz w:val="7"/>
        </w:rPr>
        <w:t>l </w:t>
      </w:r>
      <w:r>
        <w:rPr>
          <w:rFonts w:ascii="Calibri" w:hAnsi="Calibri"/>
          <w:color w:val="008356"/>
          <w:w w:val="120"/>
          <w:sz w:val="11"/>
        </w:rPr>
        <w:t>RIFAMPICIN</w:t>
      </w:r>
      <w:r>
        <w:rPr>
          <w:rFonts w:ascii="Arial" w:hAnsi="Arial"/>
          <w:color w:val="231F1F"/>
          <w:w w:val="120"/>
        </w:rPr>
        <w:t>—</w:t>
      </w:r>
      <w:r>
        <w:rPr>
          <w:color w:val="231F1F"/>
          <w:w w:val="120"/>
        </w:rPr>
        <w:t>manufacturer of bortezomib advises avoid concomitant</w:t>
      </w:r>
      <w:r>
        <w:rPr>
          <w:color w:val="231F1F"/>
          <w:spacing w:val="-7"/>
          <w:w w:val="120"/>
        </w:rPr>
        <w:t> </w:t>
      </w:r>
      <w:r>
        <w:rPr>
          <w:color w:val="231F1F"/>
          <w:w w:val="120"/>
        </w:rPr>
        <w:t>use</w:t>
      </w:r>
    </w:p>
    <w:p>
      <w:pPr>
        <w:pStyle w:val="BodyText"/>
        <w:spacing w:line="230" w:lineRule="auto" w:before="7"/>
        <w:ind w:left="277" w:right="613"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bortezomib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bortezomib advises avoid concomitant use</w:t>
      </w:r>
    </w:p>
    <w:p>
      <w:pPr>
        <w:spacing w:line="220" w:lineRule="auto" w:before="12"/>
        <w:ind w:left="277" w:right="765"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bortezomib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w:t>
      </w:r>
    </w:p>
    <w:p>
      <w:pPr>
        <w:spacing w:before="3"/>
        <w:ind w:left="277" w:right="898" w:firstLine="0"/>
        <w:jc w:val="left"/>
        <w:rPr>
          <w:sz w:val="12"/>
        </w:rPr>
      </w:pPr>
      <w:r>
        <w:rPr>
          <w:rFonts w:ascii="Calibri" w:hAnsi="Calibri"/>
          <w:color w:val="008356"/>
          <w:w w:val="110"/>
          <w:sz w:val="11"/>
        </w:rPr>
        <w:t>PHENYTOIN </w:t>
      </w:r>
      <w:r>
        <w:rPr>
          <w:color w:val="231F1F"/>
          <w:w w:val="110"/>
          <w:sz w:val="12"/>
        </w:rPr>
        <w:t>and </w:t>
      </w:r>
      <w:r>
        <w:rPr>
          <w:rFonts w:ascii="Calibri" w:hAnsi="Calibri"/>
          <w:color w:val="008356"/>
          <w:w w:val="110"/>
          <w:sz w:val="11"/>
        </w:rPr>
        <w:t>PRIMIDONE</w:t>
      </w:r>
      <w:r>
        <w:rPr>
          <w:rFonts w:ascii="Arial" w:hAnsi="Arial"/>
          <w:color w:val="231F1F"/>
          <w:w w:val="110"/>
          <w:sz w:val="12"/>
        </w:rPr>
        <w:t>—</w:t>
      </w:r>
      <w:r>
        <w:rPr>
          <w:color w:val="231F1F"/>
          <w:w w:val="110"/>
          <w:sz w:val="12"/>
        </w:rPr>
        <w:t>manufacturer of bortezomib advises avoid concomitant use</w:t>
      </w:r>
    </w:p>
    <w:p>
      <w:pPr>
        <w:pStyle w:val="BodyText"/>
        <w:spacing w:line="156" w:lineRule="exact" w:before="3"/>
        <w:ind w:left="177"/>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bortezomib increased by</w:t>
      </w:r>
    </w:p>
    <w:p>
      <w:pPr>
        <w:spacing w:line="130" w:lineRule="exact" w:before="0"/>
        <w:ind w:left="277" w:right="0" w:firstLine="0"/>
        <w:jc w:val="left"/>
        <w:rPr>
          <w:rFonts w:ascii="Calibri"/>
          <w:sz w:val="11"/>
        </w:rPr>
      </w:pPr>
      <w:r>
        <w:rPr>
          <w:rFonts w:ascii="Calibri"/>
          <w:color w:val="008356"/>
          <w:sz w:val="11"/>
        </w:rPr>
        <w:t>KETOCONAZOLE</w:t>
      </w:r>
    </w:p>
    <w:p>
      <w:pPr>
        <w:pStyle w:val="BodyText"/>
        <w:spacing w:line="145" w:lineRule="exact"/>
        <w:ind w:left="177"/>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77"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before="7"/>
        <w:ind w:left="177"/>
        <w:rPr>
          <w:rFonts w:ascii="Trebuchet MS"/>
        </w:rPr>
      </w:pPr>
      <w:r>
        <w:rPr>
          <w:rFonts w:ascii="Trebuchet MS"/>
          <w:color w:val="008356"/>
          <w:w w:val="105"/>
        </w:rPr>
        <w:t>Bosentan</w:t>
      </w:r>
    </w:p>
    <w:p>
      <w:pPr>
        <w:pStyle w:val="BodyText"/>
        <w:spacing w:line="146" w:lineRule="exact" w:before="1"/>
        <w:ind w:left="177"/>
      </w:pPr>
      <w:r>
        <w:rPr>
          <w:rFonts w:ascii="Arial"/>
          <w:color w:val="231F1F"/>
          <w:w w:val="355"/>
          <w:position w:val="1"/>
          <w:sz w:val="7"/>
        </w:rPr>
        <w:t>l </w:t>
      </w:r>
      <w:r>
        <w:rPr>
          <w:rFonts w:ascii="Calibri"/>
          <w:color w:val="231F1F"/>
          <w:w w:val="115"/>
        </w:rPr>
        <w:t>Antibacterials: </w:t>
      </w:r>
      <w:r>
        <w:rPr>
          <w:color w:val="231F1F"/>
          <w:w w:val="115"/>
        </w:rPr>
        <w:t>plasma concentration of bosentan reduced by</w:t>
      </w:r>
    </w:p>
    <w:p>
      <w:pPr>
        <w:spacing w:line="140" w:lineRule="exact" w:before="0"/>
        <w:ind w:left="277"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8"/>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manufacturer of bosentan recommends monitoring anticoagulant effect of </w:t>
      </w:r>
      <w:r>
        <w:rPr>
          <w:rFonts w:ascii="Calibri" w:hAnsi="Calibri"/>
          <w:color w:val="008356"/>
          <w:w w:val="105"/>
          <w:sz w:val="11"/>
        </w:rPr>
        <w:t>COUMARINS</w:t>
      </w:r>
    </w:p>
    <w:p>
      <w:pPr>
        <w:spacing w:after="0" w:line="220" w:lineRule="auto"/>
        <w:rPr>
          <w:rFonts w:ascii="Calibri" w:hAnsi="Calibri"/>
          <w:sz w:val="11"/>
        </w:rPr>
        <w:sectPr>
          <w:pgSz w:w="8390" w:h="11910"/>
          <w:pgMar w:header="0" w:footer="0" w:top="460" w:bottom="280" w:left="480" w:right="0"/>
          <w:cols w:num="2" w:equalWidth="0">
            <w:col w:w="3645" w:space="40"/>
            <w:col w:w="4225"/>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Bosentan </w:t>
      </w:r>
      <w:r>
        <w:rPr>
          <w:rFonts w:ascii="Calibri"/>
          <w:color w:val="231F1F"/>
        </w:rPr>
        <w:t>(continued)</w:t>
      </w:r>
    </w:p>
    <w:p>
      <w:pPr>
        <w:pStyle w:val="BodyText"/>
        <w:spacing w:line="237" w:lineRule="auto"/>
        <w:ind w:right="100" w:hanging="100"/>
      </w:pPr>
      <w:r>
        <w:rPr>
          <w:rFonts w:ascii="Arial" w:hAnsi="Arial"/>
          <w:color w:val="231F1F"/>
          <w:w w:val="355"/>
          <w:position w:val="1"/>
          <w:sz w:val="7"/>
        </w:rPr>
        <w:t>l </w:t>
      </w:r>
      <w:r>
        <w:rPr>
          <w:rFonts w:ascii="Calibri" w:hAnsi="Calibri"/>
          <w:color w:val="231F1F"/>
          <w:w w:val="110"/>
        </w:rPr>
        <w:t>Antidiabetics: </w:t>
      </w:r>
      <w:r>
        <w:rPr>
          <w:color w:val="231F1F"/>
          <w:w w:val="110"/>
        </w:rPr>
        <w:t>increased risk of hepatotoxicity when bosentan given with </w:t>
      </w:r>
      <w:r>
        <w:rPr>
          <w:rFonts w:ascii="Arial" w:hAnsi="Arial"/>
          <w:color w:val="231F1F"/>
          <w:w w:val="355"/>
          <w:position w:val="1"/>
          <w:sz w:val="7"/>
        </w:rPr>
        <w:t>l </w:t>
      </w:r>
      <w:r>
        <w:rPr>
          <w:rFonts w:ascii="Calibri" w:hAnsi="Calibri"/>
          <w:color w:val="008356"/>
          <w:w w:val="110"/>
          <w:sz w:val="11"/>
        </w:rPr>
        <w:t>GLIBENCLAMIDE</w:t>
      </w:r>
      <w:r>
        <w:rPr>
          <w:rFonts w:ascii="Arial" w:hAnsi="Arial"/>
          <w:color w:val="231F1F"/>
          <w:w w:val="110"/>
        </w:rPr>
        <w:t>—</w:t>
      </w:r>
      <w:r>
        <w:rPr>
          <w:color w:val="231F1F"/>
          <w:w w:val="110"/>
        </w:rPr>
        <w:t>avoid concomitant use</w:t>
      </w:r>
    </w:p>
    <w:p>
      <w:pPr>
        <w:pStyle w:val="BodyText"/>
        <w:spacing w:line="247" w:lineRule="auto"/>
        <w:ind w:right="65" w:hanging="100"/>
        <w:rPr>
          <w:rFonts w:ascii="Calibri" w:hAnsi="Calibri"/>
          <w:sz w:val="11"/>
        </w:rPr>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bosentan increased by </w:t>
      </w:r>
      <w:r>
        <w:rPr>
          <w:rFonts w:ascii="Calibri" w:hAnsi="Calibri"/>
          <w:color w:val="008356"/>
          <w:w w:val="110"/>
          <w:sz w:val="11"/>
        </w:rPr>
        <w:t>KETOCONAZOLE</w:t>
      </w:r>
      <w:r>
        <w:rPr>
          <w:color w:val="231F1F"/>
          <w:w w:val="110"/>
        </w:rPr>
        <w:t>; plasma concentration of bosentan possibly increased by </w:t>
      </w:r>
      <w:r>
        <w:rPr>
          <w:rFonts w:ascii="Arial" w:hAnsi="Arial"/>
          <w:color w:val="231F1F"/>
          <w:w w:val="355"/>
          <w:position w:val="1"/>
          <w:sz w:val="7"/>
        </w:rPr>
        <w:t>l </w:t>
      </w:r>
      <w:r>
        <w:rPr>
          <w:rFonts w:ascii="Calibri" w:hAnsi="Calibri"/>
          <w:color w:val="008356"/>
          <w:w w:val="110"/>
          <w:sz w:val="11"/>
        </w:rPr>
        <w:t>FLUCONAZOLE</w:t>
      </w:r>
      <w:r>
        <w:rPr>
          <w:rFonts w:ascii="Arial" w:hAnsi="Arial"/>
          <w:color w:val="231F1F"/>
          <w:w w:val="110"/>
        </w:rPr>
        <w:t>—</w:t>
      </w:r>
      <w:r>
        <w:rPr>
          <w:color w:val="231F1F"/>
          <w:w w:val="110"/>
        </w:rPr>
        <w:t>avoid concomitant use; plasma concentration of bosentan possibly increased by  </w:t>
      </w:r>
      <w:r>
        <w:rPr>
          <w:rFonts w:ascii="Calibri" w:hAnsi="Calibri"/>
          <w:color w:val="008356"/>
          <w:w w:val="110"/>
          <w:sz w:val="11"/>
        </w:rPr>
        <w:t>ITRACONAZOLE</w:t>
      </w:r>
    </w:p>
    <w:p>
      <w:pPr>
        <w:pStyle w:val="BodyText"/>
        <w:spacing w:line="139" w:lineRule="exact"/>
        <w:ind w:left="108"/>
      </w:pPr>
      <w:r>
        <w:rPr>
          <w:rFonts w:ascii="Arial"/>
          <w:color w:val="231F1F"/>
          <w:w w:val="355"/>
          <w:position w:val="1"/>
          <w:sz w:val="7"/>
        </w:rPr>
        <w:t>l</w:t>
      </w:r>
      <w:r>
        <w:rPr>
          <w:rFonts w:ascii="Arial"/>
          <w:color w:val="231F1F"/>
          <w:spacing w:val="-38"/>
          <w:w w:val="355"/>
          <w:position w:val="1"/>
          <w:sz w:val="7"/>
        </w:rPr>
        <w:t> </w:t>
      </w:r>
      <w:r>
        <w:rPr>
          <w:rFonts w:ascii="Calibri"/>
          <w:color w:val="231F1F"/>
          <w:w w:val="115"/>
        </w:rPr>
        <w:t>Antivirals:</w:t>
      </w:r>
      <w:r>
        <w:rPr>
          <w:rFonts w:ascii="Calibri"/>
          <w:color w:val="231F1F"/>
          <w:spacing w:val="-6"/>
          <w:w w:val="115"/>
        </w:rPr>
        <w:t> </w:t>
      </w:r>
      <w:r>
        <w:rPr>
          <w:color w:val="231F1F"/>
          <w:w w:val="115"/>
        </w:rPr>
        <w:t>avoidance</w:t>
      </w:r>
      <w:r>
        <w:rPr>
          <w:color w:val="231F1F"/>
          <w:spacing w:val="-10"/>
          <w:w w:val="115"/>
        </w:rPr>
        <w:t> </w:t>
      </w:r>
      <w:r>
        <w:rPr>
          <w:color w:val="231F1F"/>
          <w:w w:val="115"/>
        </w:rPr>
        <w:t>of</w:t>
      </w:r>
      <w:r>
        <w:rPr>
          <w:color w:val="231F1F"/>
          <w:spacing w:val="-9"/>
          <w:w w:val="115"/>
        </w:rPr>
        <w:t> </w:t>
      </w:r>
      <w:r>
        <w:rPr>
          <w:color w:val="231F1F"/>
          <w:w w:val="115"/>
        </w:rPr>
        <w:t>bosentan</w:t>
      </w:r>
      <w:r>
        <w:rPr>
          <w:color w:val="231F1F"/>
          <w:spacing w:val="-10"/>
          <w:w w:val="115"/>
        </w:rPr>
        <w:t> </w:t>
      </w:r>
      <w:r>
        <w:rPr>
          <w:color w:val="231F1F"/>
          <w:w w:val="115"/>
        </w:rPr>
        <w:t>advised</w:t>
      </w:r>
      <w:r>
        <w:rPr>
          <w:color w:val="231F1F"/>
          <w:spacing w:val="-11"/>
          <w:w w:val="115"/>
        </w:rPr>
        <w:t> </w:t>
      </w:r>
      <w:r>
        <w:rPr>
          <w:color w:val="231F1F"/>
          <w:w w:val="115"/>
        </w:rPr>
        <w:t>by</w:t>
      </w:r>
      <w:r>
        <w:rPr>
          <w:color w:val="231F1F"/>
          <w:spacing w:val="-9"/>
          <w:w w:val="115"/>
        </w:rPr>
        <w:t> </w:t>
      </w:r>
      <w:r>
        <w:rPr>
          <w:color w:val="231F1F"/>
          <w:w w:val="115"/>
        </w:rPr>
        <w:t>manufacturer</w:t>
      </w:r>
      <w:r>
        <w:rPr>
          <w:color w:val="231F1F"/>
          <w:spacing w:val="-10"/>
          <w:w w:val="115"/>
        </w:rPr>
        <w:t> </w:t>
      </w:r>
      <w:r>
        <w:rPr>
          <w:color w:val="231F1F"/>
          <w:w w:val="115"/>
        </w:rPr>
        <w:t>of</w:t>
      </w:r>
    </w:p>
    <w:p>
      <w:pPr>
        <w:spacing w:line="244" w:lineRule="auto" w:before="0"/>
        <w:ind w:left="208" w:right="103" w:firstLine="0"/>
        <w:jc w:val="left"/>
        <w:rPr>
          <w:sz w:val="12"/>
        </w:rPr>
      </w:pPr>
      <w:r>
        <w:rPr>
          <w:rFonts w:ascii="Calibri"/>
          <w:color w:val="008356"/>
          <w:spacing w:val="3"/>
          <w:w w:val="110"/>
          <w:sz w:val="11"/>
        </w:rPr>
        <w:t>ELVITEGRAVIR </w:t>
      </w:r>
      <w:r>
        <w:rPr>
          <w:color w:val="231F1F"/>
          <w:w w:val="110"/>
          <w:sz w:val="12"/>
        </w:rPr>
        <w:t>and </w:t>
      </w:r>
      <w:r>
        <w:rPr>
          <w:rFonts w:ascii="Calibri"/>
          <w:color w:val="008356"/>
          <w:spacing w:val="4"/>
          <w:w w:val="110"/>
          <w:sz w:val="11"/>
        </w:rPr>
        <w:t>TIPRANAVIR</w:t>
      </w:r>
      <w:r>
        <w:rPr>
          <w:color w:val="231F1F"/>
          <w:spacing w:val="4"/>
          <w:w w:val="110"/>
          <w:sz w:val="12"/>
        </w:rPr>
        <w:t>; </w:t>
      </w:r>
      <w:r>
        <w:rPr>
          <w:color w:val="231F1F"/>
          <w:w w:val="110"/>
          <w:sz w:val="12"/>
        </w:rPr>
        <w:t>bosentan possibly reduces plasma concentration of </w:t>
      </w:r>
      <w:r>
        <w:rPr>
          <w:rFonts w:ascii="Calibri"/>
          <w:color w:val="008356"/>
          <w:spacing w:val="4"/>
          <w:w w:val="110"/>
          <w:sz w:val="11"/>
        </w:rPr>
        <w:t>INDINAVIR</w:t>
      </w:r>
      <w:r>
        <w:rPr>
          <w:color w:val="231F1F"/>
          <w:spacing w:val="4"/>
          <w:w w:val="110"/>
          <w:sz w:val="12"/>
        </w:rPr>
        <w:t>; </w:t>
      </w:r>
      <w:r>
        <w:rPr>
          <w:color w:val="231F1F"/>
          <w:w w:val="110"/>
          <w:sz w:val="12"/>
        </w:rPr>
        <w:t>plasma concentration of bosentan</w:t>
      </w:r>
      <w:r>
        <w:rPr>
          <w:color w:val="231F1F"/>
          <w:spacing w:val="-4"/>
          <w:w w:val="110"/>
          <w:sz w:val="12"/>
        </w:rPr>
        <w:t> </w:t>
      </w:r>
      <w:r>
        <w:rPr>
          <w:color w:val="231F1F"/>
          <w:w w:val="110"/>
          <w:sz w:val="12"/>
        </w:rPr>
        <w:t>increased</w:t>
      </w:r>
      <w:r>
        <w:rPr>
          <w:color w:val="231F1F"/>
          <w:spacing w:val="-3"/>
          <w:w w:val="110"/>
          <w:sz w:val="12"/>
        </w:rPr>
        <w:t> </w:t>
      </w:r>
      <w:r>
        <w:rPr>
          <w:color w:val="231F1F"/>
          <w:w w:val="110"/>
          <w:sz w:val="12"/>
        </w:rPr>
        <w:t>by</w:t>
      </w:r>
      <w:r>
        <w:rPr>
          <w:color w:val="231F1F"/>
          <w:spacing w:val="-3"/>
          <w:w w:val="110"/>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LOPINAVIR</w:t>
      </w:r>
      <w:r>
        <w:rPr>
          <w:rFonts w:ascii="Calibri"/>
          <w:color w:val="008356"/>
          <w:spacing w:val="8"/>
          <w:w w:val="110"/>
          <w:sz w:val="11"/>
        </w:rPr>
        <w:t> </w:t>
      </w:r>
      <w:r>
        <w:rPr>
          <w:color w:val="231F1F"/>
          <w:w w:val="110"/>
          <w:sz w:val="12"/>
        </w:rPr>
        <w:t>and</w:t>
      </w:r>
      <w:r>
        <w:rPr>
          <w:color w:val="231F1F"/>
          <w:spacing w:val="-2"/>
          <w:w w:val="110"/>
          <w:sz w:val="12"/>
        </w:rPr>
        <w:t> </w:t>
      </w:r>
      <w:r>
        <w:rPr>
          <w:rFonts w:ascii="Arial"/>
          <w:color w:val="231F1F"/>
          <w:w w:val="355"/>
          <w:position w:val="1"/>
          <w:sz w:val="7"/>
        </w:rPr>
        <w:t>l</w:t>
      </w:r>
      <w:r>
        <w:rPr>
          <w:rFonts w:ascii="Arial"/>
          <w:color w:val="231F1F"/>
          <w:spacing w:val="-41"/>
          <w:w w:val="355"/>
          <w:position w:val="1"/>
          <w:sz w:val="7"/>
        </w:rPr>
        <w:t> </w:t>
      </w:r>
      <w:r>
        <w:rPr>
          <w:rFonts w:ascii="Calibri"/>
          <w:color w:val="008356"/>
          <w:spacing w:val="3"/>
          <w:w w:val="110"/>
          <w:sz w:val="11"/>
        </w:rPr>
        <w:t>RITONAVIR</w:t>
      </w:r>
      <w:r>
        <w:rPr>
          <w:rFonts w:ascii="Calibri"/>
          <w:color w:val="008356"/>
          <w:spacing w:val="9"/>
          <w:w w:val="110"/>
          <w:sz w:val="11"/>
        </w:rPr>
        <w:t> </w:t>
      </w:r>
      <w:r>
        <w:rPr>
          <w:color w:val="231F1F"/>
          <w:w w:val="110"/>
          <w:sz w:val="12"/>
        </w:rPr>
        <w:t>(consider reducing dose of bosentan); bosentan possibly reduces  plasma concentration of </w:t>
      </w:r>
      <w:r>
        <w:rPr>
          <w:rFonts w:ascii="Calibri"/>
          <w:color w:val="008356"/>
          <w:spacing w:val="4"/>
          <w:w w:val="110"/>
          <w:sz w:val="11"/>
        </w:rPr>
        <w:t>TELAPREVIR</w:t>
      </w:r>
      <w:r>
        <w:rPr>
          <w:color w:val="231F1F"/>
          <w:spacing w:val="4"/>
          <w:w w:val="110"/>
          <w:sz w:val="12"/>
        </w:rPr>
        <w:t>, </w:t>
      </w:r>
      <w:r>
        <w:rPr>
          <w:color w:val="231F1F"/>
          <w:w w:val="110"/>
          <w:sz w:val="12"/>
        </w:rPr>
        <w:t>also plasma concentration of bosentan possibly</w:t>
      </w:r>
      <w:r>
        <w:rPr>
          <w:color w:val="231F1F"/>
          <w:spacing w:val="6"/>
          <w:w w:val="110"/>
          <w:sz w:val="12"/>
        </w:rPr>
        <w:t> </w:t>
      </w:r>
      <w:r>
        <w:rPr>
          <w:color w:val="231F1F"/>
          <w:w w:val="110"/>
          <w:sz w:val="12"/>
        </w:rPr>
        <w:t>increased</w:t>
      </w:r>
    </w:p>
    <w:p>
      <w:pPr>
        <w:pStyle w:val="BodyText"/>
        <w:spacing w:line="230" w:lineRule="auto"/>
        <w:ind w:right="100" w:hanging="100"/>
      </w:pPr>
      <w:r>
        <w:rPr>
          <w:rFonts w:ascii="Lucida Sans Unicode" w:hAnsi="Lucida Sans Unicode"/>
          <w:color w:val="A7A8AC"/>
          <w:w w:val="95"/>
          <w:sz w:val="10"/>
        </w:rPr>
        <w:t>▶ </w:t>
      </w:r>
      <w:r>
        <w:rPr>
          <w:rFonts w:ascii="Calibri" w:hAnsi="Calibri"/>
          <w:color w:val="231F1F"/>
          <w:w w:val="110"/>
        </w:rPr>
        <w:t>Avanafil: </w:t>
      </w:r>
      <w:r>
        <w:rPr>
          <w:color w:val="231F1F"/>
          <w:w w:val="110"/>
        </w:rPr>
        <w:t>bosentan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before="1"/>
        <w:ind w:right="207" w:hanging="100"/>
      </w:pPr>
      <w:r>
        <w:rPr>
          <w:rFonts w:ascii="Arial" w:hAnsi="Arial"/>
          <w:color w:val="231F1F"/>
          <w:w w:val="355"/>
          <w:position w:val="1"/>
          <w:sz w:val="7"/>
        </w:rPr>
        <w:t>l </w:t>
      </w:r>
      <w:r>
        <w:rPr>
          <w:rFonts w:ascii="Calibri" w:hAnsi="Calibri"/>
          <w:color w:val="231F1F"/>
          <w:w w:val="110"/>
        </w:rPr>
        <w:t>Ciclosporin: </w:t>
      </w:r>
      <w:r>
        <w:rPr>
          <w:color w:val="231F1F"/>
          <w:w w:val="110"/>
        </w:rPr>
        <w:t>plasma concentration of bosentan increased by </w:t>
      </w:r>
      <w:r>
        <w:rPr>
          <w:rFonts w:ascii="Arial" w:hAnsi="Arial"/>
          <w:color w:val="231F1F"/>
          <w:w w:val="355"/>
          <w:position w:val="1"/>
          <w:sz w:val="7"/>
        </w:rPr>
        <w:t>l </w:t>
      </w:r>
      <w:r>
        <w:rPr>
          <w:rFonts w:ascii="Calibri" w:hAnsi="Calibri"/>
          <w:color w:val="008356"/>
          <w:w w:val="110"/>
          <w:sz w:val="11"/>
        </w:rPr>
        <w:t>CICLOSPORIN </w:t>
      </w:r>
      <w:r>
        <w:rPr>
          <w:color w:val="231F1F"/>
          <w:w w:val="110"/>
        </w:rPr>
        <w:t>(also plasma concentration of ciclosporin reduced</w:t>
      </w:r>
      <w:r>
        <w:rPr>
          <w:rFonts w:ascii="Arial" w:hAnsi="Arial"/>
          <w:color w:val="231F1F"/>
          <w:w w:val="110"/>
        </w:rPr>
        <w:t>—</w:t>
      </w:r>
      <w:r>
        <w:rPr>
          <w:color w:val="231F1F"/>
          <w:w w:val="110"/>
        </w:rPr>
        <w:t>avoid concomitant use)</w:t>
      </w:r>
    </w:p>
    <w:p>
      <w:pPr>
        <w:pStyle w:val="BodyText"/>
        <w:spacing w:line="155" w:lineRule="exact" w:before="2"/>
        <w:ind w:left="108"/>
      </w:pPr>
      <w:r>
        <w:rPr>
          <w:rFonts w:ascii="Lucida Sans Unicode" w:hAnsi="Lucida Sans Unicode"/>
          <w:color w:val="A7A8AC"/>
          <w:w w:val="95"/>
          <w:sz w:val="10"/>
        </w:rPr>
        <w:t>▶ </w:t>
      </w:r>
      <w:r>
        <w:rPr>
          <w:rFonts w:ascii="Calibri" w:hAnsi="Calibri"/>
          <w:color w:val="231F1F"/>
          <w:w w:val="105"/>
        </w:rPr>
        <w:t>Cobicistat: </w:t>
      </w:r>
      <w:r>
        <w:rPr>
          <w:color w:val="231F1F"/>
          <w:w w:val="105"/>
        </w:rPr>
        <w:t>avoidance of bosentan advised by manufacturer of</w:t>
      </w:r>
    </w:p>
    <w:p>
      <w:pPr>
        <w:spacing w:line="130" w:lineRule="exact" w:before="0"/>
        <w:ind w:left="208" w:right="0" w:firstLine="0"/>
        <w:jc w:val="left"/>
        <w:rPr>
          <w:rFonts w:ascii="Calibri"/>
          <w:sz w:val="11"/>
        </w:rPr>
      </w:pPr>
      <w:r>
        <w:rPr>
          <w:rFonts w:ascii="Calibri"/>
          <w:color w:val="008356"/>
          <w:sz w:val="11"/>
        </w:rPr>
        <w:t>COBICISTAT</w:t>
      </w:r>
    </w:p>
    <w:p>
      <w:pPr>
        <w:pStyle w:val="BodyText"/>
        <w:ind w:right="-16" w:hanging="100"/>
      </w:pPr>
      <w:r>
        <w:rPr>
          <w:rFonts w:ascii="Arial" w:hAnsi="Arial"/>
          <w:color w:val="231F1F"/>
          <w:w w:val="115"/>
          <w:position w:val="1"/>
          <w:sz w:val="7"/>
        </w:rPr>
        <w:t>l </w:t>
      </w:r>
      <w:r>
        <w:rPr>
          <w:rFonts w:ascii="Calibri" w:hAnsi="Calibri"/>
          <w:color w:val="231F1F"/>
          <w:w w:val="115"/>
        </w:rPr>
        <w:t>Cytotoxics: </w:t>
      </w:r>
      <w:r>
        <w:rPr>
          <w:color w:val="231F1F"/>
          <w:w w:val="115"/>
        </w:rPr>
        <w:t>bosentan possibly reduces plasma concentration of </w:t>
      </w:r>
      <w:r>
        <w:rPr>
          <w:rFonts w:ascii="Arial" w:hAnsi="Arial"/>
          <w:color w:val="231F1F"/>
          <w:w w:val="355"/>
          <w:position w:val="1"/>
          <w:sz w:val="7"/>
        </w:rPr>
        <w:t>l </w:t>
      </w:r>
      <w:r>
        <w:rPr>
          <w:rFonts w:ascii="Calibri" w:hAnsi="Calibri"/>
          <w:color w:val="008356"/>
          <w:w w:val="120"/>
          <w:sz w:val="11"/>
        </w:rPr>
        <w:t>BOSUTINIB</w:t>
      </w:r>
      <w:r>
        <w:rPr>
          <w:rFonts w:ascii="Arial" w:hAnsi="Arial"/>
          <w:color w:val="231F1F"/>
          <w:w w:val="120"/>
        </w:rPr>
        <w:t>—</w:t>
      </w:r>
      <w:r>
        <w:rPr>
          <w:color w:val="231F1F"/>
          <w:w w:val="120"/>
        </w:rPr>
        <w:t>manufacturer of bosutinib advises avoid concomitant use</w:t>
      </w:r>
    </w:p>
    <w:p>
      <w:pPr>
        <w:pStyle w:val="BodyText"/>
        <w:spacing w:line="220" w:lineRule="auto" w:before="10"/>
        <w:ind w:right="100"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bosentan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SIMVASTATIN</w:t>
      </w:r>
    </w:p>
    <w:p>
      <w:pPr>
        <w:pStyle w:val="BodyText"/>
        <w:ind w:right="70" w:hanging="100"/>
      </w:pPr>
      <w:r>
        <w:rPr>
          <w:rFonts w:ascii="Arial"/>
          <w:color w:val="231F1F"/>
          <w:w w:val="355"/>
          <w:position w:val="1"/>
          <w:sz w:val="7"/>
        </w:rPr>
        <w:t>l </w:t>
      </w:r>
      <w:r>
        <w:rPr>
          <w:rFonts w:ascii="Calibri"/>
          <w:color w:val="231F1F"/>
          <w:w w:val="110"/>
        </w:rPr>
        <w:t>Oestrogens: </w:t>
      </w:r>
      <w:r>
        <w:rPr>
          <w:color w:val="231F1F"/>
          <w:w w:val="110"/>
        </w:rPr>
        <w:t>bosentan possibly causes contraceptive failure </w:t>
      </w:r>
      <w:r>
        <w:rPr>
          <w:color w:val="231F1F"/>
          <w:spacing w:val="-8"/>
          <w:w w:val="110"/>
        </w:rPr>
        <w:t>of </w:t>
      </w:r>
      <w:r>
        <w:rPr>
          <w:color w:val="231F1F"/>
          <w:w w:val="110"/>
        </w:rPr>
        <w:t>hormonal contraceptives containing </w:t>
      </w:r>
      <w:r>
        <w:rPr>
          <w:rFonts w:ascii="Arial"/>
          <w:color w:val="231F1F"/>
          <w:w w:val="355"/>
          <w:position w:val="1"/>
          <w:sz w:val="7"/>
        </w:rPr>
        <w:t>l </w:t>
      </w:r>
      <w:r>
        <w:rPr>
          <w:rFonts w:ascii="Calibri"/>
          <w:color w:val="008356"/>
          <w:spacing w:val="5"/>
          <w:w w:val="110"/>
          <w:sz w:val="11"/>
        </w:rPr>
        <w:t>OESTROGENS </w:t>
      </w:r>
      <w:r>
        <w:rPr>
          <w:color w:val="231F1F"/>
          <w:w w:val="110"/>
        </w:rPr>
        <w:t>(alternative contraception</w:t>
      </w:r>
      <w:r>
        <w:rPr>
          <w:color w:val="231F1F"/>
          <w:spacing w:val="1"/>
          <w:w w:val="110"/>
        </w:rPr>
        <w:t> </w:t>
      </w:r>
      <w:r>
        <w:rPr>
          <w:color w:val="231F1F"/>
          <w:w w:val="110"/>
        </w:rPr>
        <w:t>recommended)</w:t>
      </w:r>
    </w:p>
    <w:p>
      <w:pPr>
        <w:pStyle w:val="BodyText"/>
        <w:spacing w:before="2"/>
        <w:ind w:right="100" w:hanging="100"/>
      </w:pPr>
      <w:r>
        <w:rPr>
          <w:rFonts w:ascii="Arial"/>
          <w:color w:val="231F1F"/>
          <w:w w:val="355"/>
          <w:position w:val="1"/>
          <w:sz w:val="7"/>
        </w:rPr>
        <w:t>l </w:t>
      </w:r>
      <w:r>
        <w:rPr>
          <w:rFonts w:ascii="Calibri"/>
          <w:color w:val="231F1F"/>
          <w:w w:val="110"/>
        </w:rPr>
        <w:t>Progestogens: </w:t>
      </w:r>
      <w:r>
        <w:rPr>
          <w:color w:val="231F1F"/>
          <w:w w:val="110"/>
        </w:rPr>
        <w:t>bosentan possibly causes contraceptive </w:t>
      </w:r>
      <w:r>
        <w:rPr>
          <w:color w:val="231F1F"/>
          <w:spacing w:val="-3"/>
          <w:w w:val="110"/>
        </w:rPr>
        <w:t>failure </w:t>
      </w:r>
      <w:r>
        <w:rPr>
          <w:color w:val="231F1F"/>
          <w:w w:val="110"/>
        </w:rPr>
        <w:t>of hormonal contraceptives containing </w:t>
      </w:r>
      <w:r>
        <w:rPr>
          <w:rFonts w:ascii="Arial"/>
          <w:color w:val="231F1F"/>
          <w:w w:val="355"/>
          <w:position w:val="1"/>
          <w:sz w:val="7"/>
        </w:rPr>
        <w:t>l </w:t>
      </w:r>
      <w:r>
        <w:rPr>
          <w:rFonts w:ascii="Calibri"/>
          <w:color w:val="008356"/>
          <w:spacing w:val="4"/>
          <w:w w:val="110"/>
          <w:sz w:val="11"/>
        </w:rPr>
        <w:t>PROGESTOGENS </w:t>
      </w:r>
      <w:r>
        <w:rPr>
          <w:color w:val="231F1F"/>
          <w:w w:val="110"/>
        </w:rPr>
        <w:t>(alternative contraception</w:t>
      </w:r>
      <w:r>
        <w:rPr>
          <w:color w:val="231F1F"/>
          <w:spacing w:val="1"/>
          <w:w w:val="110"/>
        </w:rPr>
        <w:t> </w:t>
      </w:r>
      <w:r>
        <w:rPr>
          <w:color w:val="231F1F"/>
          <w:w w:val="110"/>
        </w:rPr>
        <w:t>recommended)</w:t>
      </w:r>
    </w:p>
    <w:p>
      <w:pPr>
        <w:pStyle w:val="BodyText"/>
        <w:spacing w:line="155" w:lineRule="exact" w:before="2"/>
        <w:ind w:left="108"/>
      </w:pPr>
      <w:r>
        <w:rPr>
          <w:rFonts w:ascii="Lucida Sans Unicode" w:hAnsi="Lucida Sans Unicode"/>
          <w:color w:val="A7A8AC"/>
          <w:w w:val="95"/>
          <w:sz w:val="10"/>
        </w:rPr>
        <w:t>▶ </w:t>
      </w:r>
      <w:r>
        <w:rPr>
          <w:rFonts w:ascii="Calibri" w:hAnsi="Calibri"/>
          <w:color w:val="231F1F"/>
          <w:w w:val="105"/>
        </w:rPr>
        <w:t>Riociguat: </w:t>
      </w:r>
      <w:r>
        <w:rPr>
          <w:color w:val="231F1F"/>
          <w:w w:val="105"/>
        </w:rPr>
        <w:t>bosentan reduces plasma concentration of</w:t>
      </w:r>
    </w:p>
    <w:p>
      <w:pPr>
        <w:spacing w:line="130" w:lineRule="exact" w:before="0"/>
        <w:ind w:left="208" w:right="0" w:firstLine="0"/>
        <w:jc w:val="left"/>
        <w:rPr>
          <w:rFonts w:ascii="Calibri"/>
          <w:sz w:val="11"/>
        </w:rPr>
      </w:pPr>
      <w:r>
        <w:rPr>
          <w:rFonts w:ascii="Calibri"/>
          <w:color w:val="008356"/>
          <w:sz w:val="11"/>
        </w:rPr>
        <w:t>RIOCIGUAT</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Sildenafil: </w:t>
      </w:r>
      <w:r>
        <w:rPr>
          <w:color w:val="231F1F"/>
          <w:w w:val="105"/>
        </w:rPr>
        <w:t>bosentan reduces plasma concentration of</w:t>
      </w:r>
    </w:p>
    <w:p>
      <w:pPr>
        <w:pStyle w:val="BodyText"/>
        <w:spacing w:line="134" w:lineRule="exact"/>
      </w:pPr>
      <w:r>
        <w:rPr>
          <w:rFonts w:ascii="Calibri"/>
          <w:color w:val="008356"/>
          <w:w w:val="115"/>
          <w:sz w:val="11"/>
        </w:rPr>
        <w:t>SILDENAFIL</w:t>
      </w:r>
      <w:r>
        <w:rPr>
          <w:color w:val="231F1F"/>
          <w:w w:val="115"/>
        </w:rPr>
        <w:t>, also plasma concentration of bosentan increased</w:t>
      </w:r>
    </w:p>
    <w:p>
      <w:pPr>
        <w:pStyle w:val="BodyText"/>
        <w:spacing w:line="153"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Tadalafil: </w:t>
      </w:r>
      <w:r>
        <w:rPr>
          <w:color w:val="231F1F"/>
          <w:w w:val="105"/>
        </w:rPr>
        <w:t>bosentan reduces plasma concentration of </w:t>
      </w:r>
      <w:r>
        <w:rPr>
          <w:rFonts w:ascii="Calibri" w:hAnsi="Calibri"/>
          <w:color w:val="008356"/>
          <w:w w:val="105"/>
          <w:sz w:val="11"/>
        </w:rPr>
        <w:t>TADALAFIL</w:t>
      </w:r>
    </w:p>
    <w:p>
      <w:pPr>
        <w:pStyle w:val="BodyText"/>
        <w:spacing w:line="136" w:lineRule="exact"/>
        <w:ind w:left="108"/>
        <w:rPr>
          <w:rFonts w:ascii="Trebuchet MS"/>
        </w:rPr>
      </w:pPr>
      <w:r>
        <w:rPr>
          <w:rFonts w:ascii="Trebuchet MS"/>
          <w:color w:val="008356"/>
          <w:w w:val="105"/>
        </w:rPr>
        <w:t>Bosutinib</w:t>
      </w:r>
    </w:p>
    <w:p>
      <w:pPr>
        <w:pStyle w:val="BodyText"/>
        <w:spacing w:before="1"/>
        <w:ind w:right="100" w:hanging="100"/>
        <w:rPr>
          <w:rFonts w:ascii="Calibri"/>
          <w:sz w:val="11"/>
        </w:rPr>
      </w:pPr>
      <w:r>
        <w:rPr>
          <w:rFonts w:ascii="Arial"/>
          <w:color w:val="231F1F"/>
          <w:w w:val="355"/>
          <w:position w:val="1"/>
          <w:sz w:val="7"/>
        </w:rPr>
        <w:t>l </w:t>
      </w:r>
      <w:r>
        <w:rPr>
          <w:rFonts w:ascii="Calibri"/>
          <w:color w:val="231F1F"/>
          <w:w w:val="105"/>
        </w:rPr>
        <w:t>Analgesics: </w:t>
      </w:r>
      <w:r>
        <w:rPr>
          <w:color w:val="231F1F"/>
          <w:w w:val="105"/>
        </w:rPr>
        <w:t>possible increased risk of ventricular arrhythmias when bosutinib given with </w:t>
      </w:r>
      <w:r>
        <w:rPr>
          <w:rFonts w:ascii="Arial"/>
          <w:color w:val="231F1F"/>
          <w:w w:val="355"/>
          <w:position w:val="1"/>
          <w:sz w:val="7"/>
        </w:rPr>
        <w:t>l </w:t>
      </w:r>
      <w:r>
        <w:rPr>
          <w:rFonts w:ascii="Calibri"/>
          <w:color w:val="008356"/>
          <w:w w:val="105"/>
          <w:sz w:val="11"/>
        </w:rPr>
        <w:t>METHADONE</w:t>
      </w:r>
    </w:p>
    <w:p>
      <w:pPr>
        <w:pStyle w:val="BodyText"/>
        <w:spacing w:line="220" w:lineRule="auto" w:before="6"/>
        <w:ind w:hanging="100"/>
      </w:pPr>
      <w:r>
        <w:rPr>
          <w:rFonts w:ascii="Lucida Sans Unicode" w:hAnsi="Lucida Sans Unicode"/>
          <w:color w:val="A7A8AC"/>
          <w:w w:val="95"/>
          <w:sz w:val="10"/>
        </w:rPr>
        <w:t>▶ </w:t>
      </w:r>
      <w:r>
        <w:rPr>
          <w:rFonts w:ascii="Calibri" w:hAnsi="Calibri"/>
          <w:color w:val="231F1F"/>
          <w:w w:val="110"/>
        </w:rPr>
        <w:t>Antacids: </w:t>
      </w:r>
      <w:r>
        <w:rPr>
          <w:color w:val="231F1F"/>
          <w:w w:val="110"/>
        </w:rPr>
        <w:t>manufacturer of bosutinib advises separating administration with </w:t>
      </w:r>
      <w:r>
        <w:rPr>
          <w:rFonts w:ascii="Calibri" w:hAnsi="Calibri"/>
          <w:color w:val="008356"/>
          <w:w w:val="110"/>
          <w:sz w:val="11"/>
        </w:rPr>
        <w:t>ANTACIDS </w:t>
      </w:r>
      <w:r>
        <w:rPr>
          <w:color w:val="231F1F"/>
          <w:w w:val="110"/>
        </w:rPr>
        <w:t>by about 12 hours</w:t>
      </w:r>
    </w:p>
    <w:p>
      <w:pPr>
        <w:pStyle w:val="BodyText"/>
        <w:ind w:right="218" w:hanging="100"/>
      </w:pPr>
      <w:r>
        <w:rPr>
          <w:rFonts w:ascii="Arial"/>
          <w:color w:val="231F1F"/>
          <w:w w:val="355"/>
          <w:position w:val="1"/>
          <w:sz w:val="7"/>
        </w:rPr>
        <w:t>l </w:t>
      </w:r>
      <w:r>
        <w:rPr>
          <w:rFonts w:ascii="Calibri"/>
          <w:color w:val="231F1F"/>
          <w:w w:val="115"/>
        </w:rPr>
        <w:t>Anti-arrhythmics: </w:t>
      </w:r>
      <w:r>
        <w:rPr>
          <w:color w:val="231F1F"/>
          <w:w w:val="115"/>
        </w:rPr>
        <w:t>possible increased risk of ventricular arrhythmias</w:t>
      </w:r>
      <w:r>
        <w:rPr>
          <w:color w:val="231F1F"/>
          <w:spacing w:val="-21"/>
          <w:w w:val="115"/>
        </w:rPr>
        <w:t> </w:t>
      </w:r>
      <w:r>
        <w:rPr>
          <w:color w:val="231F1F"/>
          <w:w w:val="115"/>
        </w:rPr>
        <w:t>when</w:t>
      </w:r>
      <w:r>
        <w:rPr>
          <w:color w:val="231F1F"/>
          <w:spacing w:val="-20"/>
          <w:w w:val="115"/>
        </w:rPr>
        <w:t> </w:t>
      </w:r>
      <w:r>
        <w:rPr>
          <w:color w:val="231F1F"/>
          <w:w w:val="115"/>
        </w:rPr>
        <w:t>bosutinib</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AMIODARONE</w:t>
      </w:r>
      <w:r>
        <w:rPr>
          <w:rFonts w:ascii="Calibri"/>
          <w:color w:val="008356"/>
          <w:spacing w:val="-10"/>
          <w:w w:val="115"/>
          <w:sz w:val="11"/>
        </w:rPr>
        <w:t> </w:t>
      </w:r>
      <w:r>
        <w:rPr>
          <w:color w:val="231F1F"/>
          <w:spacing w:val="-4"/>
          <w:w w:val="115"/>
        </w:rPr>
        <w:t>and</w:t>
      </w:r>
    </w:p>
    <w:p>
      <w:pPr>
        <w:pStyle w:val="BodyText"/>
        <w:spacing w:line="242" w:lineRule="auto" w:before="1"/>
        <w:ind w:right="118"/>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DISOPYRAMIDE</w:t>
      </w:r>
      <w:r>
        <w:rPr>
          <w:color w:val="231F1F"/>
          <w:spacing w:val="4"/>
          <w:w w:val="115"/>
        </w:rPr>
        <w:t>;</w:t>
      </w:r>
      <w:r>
        <w:rPr>
          <w:color w:val="231F1F"/>
          <w:spacing w:val="-22"/>
          <w:w w:val="115"/>
        </w:rPr>
        <w:t> </w:t>
      </w:r>
      <w:r>
        <w:rPr>
          <w:color w:val="231F1F"/>
          <w:w w:val="115"/>
        </w:rPr>
        <w:t>plasma</w:t>
      </w:r>
      <w:r>
        <w:rPr>
          <w:color w:val="231F1F"/>
          <w:spacing w:val="-21"/>
          <w:w w:val="115"/>
        </w:rPr>
        <w:t> </w:t>
      </w:r>
      <w:r>
        <w:rPr>
          <w:color w:val="231F1F"/>
          <w:w w:val="115"/>
        </w:rPr>
        <w:t>concentration</w:t>
      </w:r>
      <w:r>
        <w:rPr>
          <w:color w:val="231F1F"/>
          <w:spacing w:val="-22"/>
          <w:w w:val="115"/>
        </w:rPr>
        <w:t> </w:t>
      </w:r>
      <w:r>
        <w:rPr>
          <w:color w:val="231F1F"/>
          <w:w w:val="115"/>
        </w:rPr>
        <w:t>of</w:t>
      </w:r>
      <w:r>
        <w:rPr>
          <w:color w:val="231F1F"/>
          <w:spacing w:val="-21"/>
          <w:w w:val="115"/>
        </w:rPr>
        <w:t> </w:t>
      </w:r>
      <w:r>
        <w:rPr>
          <w:color w:val="231F1F"/>
          <w:w w:val="115"/>
        </w:rPr>
        <w:t>bosutinib</w:t>
      </w:r>
      <w:r>
        <w:rPr>
          <w:color w:val="231F1F"/>
          <w:spacing w:val="-21"/>
          <w:w w:val="115"/>
        </w:rPr>
        <w:t> </w:t>
      </w:r>
      <w:r>
        <w:rPr>
          <w:color w:val="231F1F"/>
          <w:w w:val="115"/>
        </w:rPr>
        <w:t>possibly increased</w:t>
      </w:r>
      <w:r>
        <w:rPr>
          <w:color w:val="231F1F"/>
          <w:spacing w:val="-19"/>
          <w:w w:val="115"/>
        </w:rPr>
        <w:t> </w:t>
      </w:r>
      <w:r>
        <w:rPr>
          <w:color w:val="231F1F"/>
          <w:w w:val="115"/>
        </w:rPr>
        <w:t>by</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DRONEDARONE</w:t>
      </w:r>
      <w:r>
        <w:rPr>
          <w:rFonts w:ascii="Arial" w:hAnsi="Arial"/>
          <w:color w:val="231F1F"/>
          <w:spacing w:val="2"/>
          <w:w w:val="115"/>
        </w:rPr>
        <w:t>—</w:t>
      </w:r>
      <w:r>
        <w:rPr>
          <w:color w:val="231F1F"/>
          <w:spacing w:val="2"/>
          <w:w w:val="115"/>
        </w:rPr>
        <w:t>manufacturer</w:t>
      </w:r>
      <w:r>
        <w:rPr>
          <w:color w:val="231F1F"/>
          <w:spacing w:val="-18"/>
          <w:w w:val="115"/>
        </w:rPr>
        <w:t> </w:t>
      </w:r>
      <w:r>
        <w:rPr>
          <w:color w:val="231F1F"/>
          <w:w w:val="115"/>
        </w:rPr>
        <w:t>of</w:t>
      </w:r>
      <w:r>
        <w:rPr>
          <w:color w:val="231F1F"/>
          <w:spacing w:val="-18"/>
          <w:w w:val="115"/>
        </w:rPr>
        <w:t> </w:t>
      </w:r>
      <w:r>
        <w:rPr>
          <w:color w:val="231F1F"/>
          <w:w w:val="115"/>
        </w:rPr>
        <w:t>bosutinib advises</w:t>
      </w:r>
      <w:r>
        <w:rPr>
          <w:color w:val="231F1F"/>
          <w:spacing w:val="-7"/>
          <w:w w:val="115"/>
        </w:rPr>
        <w:t> </w:t>
      </w:r>
      <w:r>
        <w:rPr>
          <w:color w:val="231F1F"/>
          <w:w w:val="115"/>
        </w:rPr>
        <w:t>avoid</w:t>
      </w:r>
      <w:r>
        <w:rPr>
          <w:color w:val="231F1F"/>
          <w:spacing w:val="-5"/>
          <w:w w:val="115"/>
        </w:rPr>
        <w:t> </w:t>
      </w:r>
      <w:r>
        <w:rPr>
          <w:color w:val="231F1F"/>
          <w:w w:val="115"/>
        </w:rPr>
        <w:t>or</w:t>
      </w:r>
      <w:r>
        <w:rPr>
          <w:color w:val="231F1F"/>
          <w:spacing w:val="-6"/>
          <w:w w:val="115"/>
        </w:rPr>
        <w:t> </w:t>
      </w:r>
      <w:r>
        <w:rPr>
          <w:color w:val="231F1F"/>
          <w:w w:val="115"/>
        </w:rPr>
        <w:t>consider</w:t>
      </w:r>
      <w:r>
        <w:rPr>
          <w:color w:val="231F1F"/>
          <w:spacing w:val="-5"/>
          <w:w w:val="115"/>
        </w:rPr>
        <w:t> </w:t>
      </w:r>
      <w:r>
        <w:rPr>
          <w:color w:val="231F1F"/>
          <w:w w:val="115"/>
        </w:rPr>
        <w:t>reducing</w:t>
      </w:r>
      <w:r>
        <w:rPr>
          <w:color w:val="231F1F"/>
          <w:spacing w:val="-7"/>
          <w:w w:val="115"/>
        </w:rPr>
        <w:t> </w:t>
      </w:r>
      <w:r>
        <w:rPr>
          <w:color w:val="231F1F"/>
          <w:w w:val="115"/>
        </w:rPr>
        <w:t>dose</w:t>
      </w:r>
      <w:r>
        <w:rPr>
          <w:color w:val="231F1F"/>
          <w:spacing w:val="-5"/>
          <w:w w:val="115"/>
        </w:rPr>
        <w:t> </w:t>
      </w:r>
      <w:r>
        <w:rPr>
          <w:color w:val="231F1F"/>
          <w:w w:val="115"/>
        </w:rPr>
        <w:t>of</w:t>
      </w:r>
      <w:r>
        <w:rPr>
          <w:color w:val="231F1F"/>
          <w:spacing w:val="-5"/>
          <w:w w:val="115"/>
        </w:rPr>
        <w:t> </w:t>
      </w:r>
      <w:r>
        <w:rPr>
          <w:color w:val="231F1F"/>
          <w:w w:val="115"/>
        </w:rPr>
        <w:t>bosutinib</w:t>
      </w:r>
    </w:p>
    <w:p>
      <w:pPr>
        <w:spacing w:before="0"/>
        <w:ind w:left="208" w:right="276"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bosutinib possibly increased by </w:t>
      </w:r>
      <w:r>
        <w:rPr>
          <w:rFonts w:ascii="Arial"/>
          <w:color w:val="231F1F"/>
          <w:w w:val="355"/>
          <w:position w:val="1"/>
          <w:sz w:val="7"/>
        </w:rPr>
        <w:t>l </w:t>
      </w:r>
      <w:r>
        <w:rPr>
          <w:rFonts w:ascii="Calibri"/>
          <w:color w:val="008356"/>
          <w:spacing w:val="4"/>
          <w:w w:val="110"/>
          <w:sz w:val="11"/>
        </w:rPr>
        <w:t>CIPROFLOXACIN</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CLARITHROMYCIN</w:t>
      </w:r>
      <w:r>
        <w:rPr>
          <w:color w:val="231F1F"/>
          <w:spacing w:val="4"/>
          <w:w w:val="110"/>
          <w:sz w:val="12"/>
        </w:rPr>
        <w:t>,</w:t>
      </w:r>
    </w:p>
    <w:p>
      <w:pPr>
        <w:pStyle w:val="BodyText"/>
        <w:spacing w:line="244" w:lineRule="auto" w:before="1"/>
        <w:ind w:right="7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ERYTHROMYCIN</w:t>
      </w:r>
      <w:r>
        <w:rPr>
          <w:rFonts w:ascii="Calibri" w:hAnsi="Calibri"/>
          <w:color w:val="008356"/>
          <w:spacing w:val="-12"/>
          <w:w w:val="115"/>
          <w:sz w:val="11"/>
        </w:rPr>
        <w:t> </w:t>
      </w:r>
      <w:r>
        <w:rPr>
          <w:color w:val="231F1F"/>
          <w:w w:val="115"/>
        </w:rPr>
        <w:t>and</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TELITHROMYCIN</w:t>
      </w:r>
      <w:r>
        <w:rPr>
          <w:rFonts w:ascii="Arial" w:hAnsi="Arial"/>
          <w:color w:val="231F1F"/>
          <w:spacing w:val="2"/>
          <w:w w:val="115"/>
        </w:rPr>
        <w:t>—</w:t>
      </w:r>
      <w:r>
        <w:rPr>
          <w:color w:val="231F1F"/>
          <w:spacing w:val="2"/>
          <w:w w:val="115"/>
        </w:rPr>
        <w:t>manufacturer</w:t>
      </w:r>
      <w:r>
        <w:rPr>
          <w:color w:val="231F1F"/>
          <w:spacing w:val="-20"/>
          <w:w w:val="115"/>
        </w:rPr>
        <w:t> </w:t>
      </w:r>
      <w:r>
        <w:rPr>
          <w:color w:val="231F1F"/>
          <w:w w:val="115"/>
        </w:rPr>
        <w:t>of bosutinib advises avoid or consider reducing dose of bosutinib;</w:t>
      </w:r>
      <w:r>
        <w:rPr>
          <w:color w:val="231F1F"/>
          <w:spacing w:val="-6"/>
          <w:w w:val="115"/>
        </w:rPr>
        <w:t> </w:t>
      </w:r>
      <w:r>
        <w:rPr>
          <w:color w:val="231F1F"/>
          <w:w w:val="115"/>
        </w:rPr>
        <w:t>possible</w:t>
      </w:r>
      <w:r>
        <w:rPr>
          <w:color w:val="231F1F"/>
          <w:spacing w:val="-7"/>
          <w:w w:val="115"/>
        </w:rPr>
        <w:t> </w:t>
      </w:r>
      <w:r>
        <w:rPr>
          <w:color w:val="231F1F"/>
          <w:w w:val="115"/>
        </w:rPr>
        <w:t>increased</w:t>
      </w:r>
      <w:r>
        <w:rPr>
          <w:color w:val="231F1F"/>
          <w:spacing w:val="-8"/>
          <w:w w:val="115"/>
        </w:rPr>
        <w:t> </w:t>
      </w:r>
      <w:r>
        <w:rPr>
          <w:color w:val="231F1F"/>
          <w:w w:val="115"/>
        </w:rPr>
        <w:t>risk</w:t>
      </w:r>
      <w:r>
        <w:rPr>
          <w:color w:val="231F1F"/>
          <w:spacing w:val="-6"/>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 when bosutinib given with </w:t>
      </w:r>
      <w:r>
        <w:rPr>
          <w:rFonts w:ascii="Arial" w:hAnsi="Arial"/>
          <w:color w:val="231F1F"/>
          <w:w w:val="355"/>
          <w:position w:val="1"/>
          <w:sz w:val="7"/>
        </w:rPr>
        <w:t>l </w:t>
      </w:r>
      <w:r>
        <w:rPr>
          <w:rFonts w:ascii="Calibri" w:hAnsi="Calibri"/>
          <w:color w:val="008356"/>
          <w:spacing w:val="4"/>
          <w:w w:val="115"/>
          <w:sz w:val="11"/>
        </w:rPr>
        <w:t>MOXIFLOXACIN</w:t>
      </w:r>
      <w:r>
        <w:rPr>
          <w:color w:val="231F1F"/>
          <w:spacing w:val="4"/>
          <w:w w:val="115"/>
        </w:rPr>
        <w:t>; </w:t>
      </w:r>
      <w:r>
        <w:rPr>
          <w:color w:val="231F1F"/>
          <w:w w:val="115"/>
        </w:rPr>
        <w:t>plasma concentration</w:t>
      </w:r>
      <w:r>
        <w:rPr>
          <w:color w:val="231F1F"/>
          <w:spacing w:val="-18"/>
          <w:w w:val="115"/>
        </w:rPr>
        <w:t> </w:t>
      </w:r>
      <w:r>
        <w:rPr>
          <w:color w:val="231F1F"/>
          <w:w w:val="115"/>
        </w:rPr>
        <w:t>of</w:t>
      </w:r>
      <w:r>
        <w:rPr>
          <w:color w:val="231F1F"/>
          <w:spacing w:val="-18"/>
          <w:w w:val="115"/>
        </w:rPr>
        <w:t> </w:t>
      </w:r>
      <w:r>
        <w:rPr>
          <w:color w:val="231F1F"/>
          <w:w w:val="115"/>
        </w:rPr>
        <w:t>bosutinib</w:t>
      </w:r>
      <w:r>
        <w:rPr>
          <w:color w:val="231F1F"/>
          <w:spacing w:val="-18"/>
          <w:w w:val="115"/>
        </w:rPr>
        <w:t> </w:t>
      </w:r>
      <w:r>
        <w:rPr>
          <w:color w:val="231F1F"/>
          <w:w w:val="115"/>
        </w:rPr>
        <w:t>possibly</w:t>
      </w:r>
      <w:r>
        <w:rPr>
          <w:color w:val="231F1F"/>
          <w:spacing w:val="-18"/>
          <w:w w:val="115"/>
        </w:rPr>
        <w:t> </w:t>
      </w:r>
      <w:r>
        <w:rPr>
          <w:color w:val="231F1F"/>
          <w:w w:val="115"/>
        </w:rPr>
        <w:t>reduced</w:t>
      </w:r>
      <w:r>
        <w:rPr>
          <w:color w:val="231F1F"/>
          <w:spacing w:val="-19"/>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RIFABUTIN</w:t>
      </w:r>
      <w:r>
        <w:rPr>
          <w:rFonts w:ascii="Arial" w:hAnsi="Arial"/>
          <w:color w:val="231F1F"/>
          <w:spacing w:val="2"/>
          <w:w w:val="115"/>
        </w:rPr>
        <w:t>— </w:t>
      </w:r>
      <w:r>
        <w:rPr>
          <w:color w:val="231F1F"/>
          <w:w w:val="115"/>
        </w:rPr>
        <w:t>manufacturer of bosutinib advises avoid concomitant use; plasma</w:t>
      </w:r>
      <w:r>
        <w:rPr>
          <w:color w:val="231F1F"/>
          <w:spacing w:val="-21"/>
          <w:w w:val="115"/>
        </w:rPr>
        <w:t> </w:t>
      </w:r>
      <w:r>
        <w:rPr>
          <w:color w:val="231F1F"/>
          <w:w w:val="115"/>
        </w:rPr>
        <w:t>concentration</w:t>
      </w:r>
      <w:r>
        <w:rPr>
          <w:color w:val="231F1F"/>
          <w:spacing w:val="-20"/>
          <w:w w:val="115"/>
        </w:rPr>
        <w:t> </w:t>
      </w:r>
      <w:r>
        <w:rPr>
          <w:color w:val="231F1F"/>
          <w:w w:val="115"/>
        </w:rPr>
        <w:t>of</w:t>
      </w:r>
      <w:r>
        <w:rPr>
          <w:color w:val="231F1F"/>
          <w:spacing w:val="-19"/>
          <w:w w:val="115"/>
        </w:rPr>
        <w:t> </w:t>
      </w:r>
      <w:r>
        <w:rPr>
          <w:color w:val="231F1F"/>
          <w:w w:val="115"/>
        </w:rPr>
        <w:t>bosutinib</w:t>
      </w:r>
      <w:r>
        <w:rPr>
          <w:color w:val="231F1F"/>
          <w:spacing w:val="-20"/>
          <w:w w:val="115"/>
        </w:rPr>
        <w:t> </w:t>
      </w:r>
      <w:r>
        <w:rPr>
          <w:color w:val="231F1F"/>
          <w:w w:val="115"/>
        </w:rPr>
        <w:t>reduced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RIFAMPICIN</w:t>
      </w:r>
      <w:r>
        <w:rPr>
          <w:rFonts w:ascii="Arial" w:hAnsi="Arial"/>
          <w:color w:val="231F1F"/>
          <w:spacing w:val="4"/>
          <w:w w:val="115"/>
        </w:rPr>
        <w:t>— </w:t>
      </w:r>
      <w:r>
        <w:rPr>
          <w:color w:val="231F1F"/>
          <w:w w:val="115"/>
        </w:rPr>
        <w:t>manufacturer</w:t>
      </w:r>
      <w:r>
        <w:rPr>
          <w:color w:val="231F1F"/>
          <w:spacing w:val="-4"/>
          <w:w w:val="115"/>
        </w:rPr>
        <w:t> </w:t>
      </w:r>
      <w:r>
        <w:rPr>
          <w:color w:val="231F1F"/>
          <w:w w:val="115"/>
        </w:rPr>
        <w:t>of</w:t>
      </w:r>
      <w:r>
        <w:rPr>
          <w:color w:val="231F1F"/>
          <w:spacing w:val="-5"/>
          <w:w w:val="115"/>
        </w:rPr>
        <w:t> </w:t>
      </w:r>
      <w:r>
        <w:rPr>
          <w:color w:val="231F1F"/>
          <w:w w:val="115"/>
        </w:rPr>
        <w:t>bosutinib</w:t>
      </w:r>
      <w:r>
        <w:rPr>
          <w:color w:val="231F1F"/>
          <w:spacing w:val="-5"/>
          <w:w w:val="115"/>
        </w:rPr>
        <w:t> </w:t>
      </w:r>
      <w:r>
        <w:rPr>
          <w:color w:val="231F1F"/>
          <w:w w:val="115"/>
        </w:rPr>
        <w:t>advises</w:t>
      </w:r>
      <w:r>
        <w:rPr>
          <w:color w:val="231F1F"/>
          <w:spacing w:val="-5"/>
          <w:w w:val="115"/>
        </w:rPr>
        <w:t> </w:t>
      </w:r>
      <w:r>
        <w:rPr>
          <w:color w:val="231F1F"/>
          <w:w w:val="115"/>
        </w:rPr>
        <w:t>avoid</w:t>
      </w:r>
      <w:r>
        <w:rPr>
          <w:color w:val="231F1F"/>
          <w:spacing w:val="-4"/>
          <w:w w:val="115"/>
        </w:rPr>
        <w:t> </w:t>
      </w:r>
      <w:r>
        <w:rPr>
          <w:color w:val="231F1F"/>
          <w:w w:val="115"/>
        </w:rPr>
        <w:t>concomitant</w:t>
      </w:r>
      <w:r>
        <w:rPr>
          <w:color w:val="231F1F"/>
          <w:spacing w:val="-6"/>
          <w:w w:val="115"/>
        </w:rPr>
        <w:t> </w:t>
      </w:r>
      <w:r>
        <w:rPr>
          <w:color w:val="231F1F"/>
          <w:w w:val="115"/>
        </w:rPr>
        <w:t>use</w:t>
      </w:r>
    </w:p>
    <w:p>
      <w:pPr>
        <w:pStyle w:val="BodyText"/>
        <w:spacing w:before="2"/>
        <w:ind w:right="165"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15"/>
        </w:rPr>
        <w:t>Antidepressants:</w:t>
      </w:r>
      <w:r>
        <w:rPr>
          <w:rFonts w:ascii="Calibri" w:hAnsi="Calibri"/>
          <w:color w:val="231F1F"/>
          <w:spacing w:val="-19"/>
          <w:w w:val="115"/>
        </w:rPr>
        <w:t> </w:t>
      </w:r>
      <w:r>
        <w:rPr>
          <w:color w:val="231F1F"/>
          <w:w w:val="115"/>
        </w:rPr>
        <w:t>plasma</w:t>
      </w:r>
      <w:r>
        <w:rPr>
          <w:color w:val="231F1F"/>
          <w:spacing w:val="-22"/>
          <w:w w:val="115"/>
        </w:rPr>
        <w:t> </w:t>
      </w:r>
      <w:r>
        <w:rPr>
          <w:color w:val="231F1F"/>
          <w:w w:val="115"/>
        </w:rPr>
        <w:t>concentration</w:t>
      </w:r>
      <w:r>
        <w:rPr>
          <w:color w:val="231F1F"/>
          <w:spacing w:val="-23"/>
          <w:w w:val="115"/>
        </w:rPr>
        <w:t> </w:t>
      </w:r>
      <w:r>
        <w:rPr>
          <w:color w:val="231F1F"/>
          <w:w w:val="115"/>
        </w:rPr>
        <w:t>of</w:t>
      </w:r>
      <w:r>
        <w:rPr>
          <w:color w:val="231F1F"/>
          <w:spacing w:val="-22"/>
          <w:w w:val="115"/>
        </w:rPr>
        <w:t> </w:t>
      </w:r>
      <w:r>
        <w:rPr>
          <w:color w:val="231F1F"/>
          <w:w w:val="115"/>
        </w:rPr>
        <w:t>bosutinib</w:t>
      </w:r>
      <w:r>
        <w:rPr>
          <w:color w:val="231F1F"/>
          <w:spacing w:val="-22"/>
          <w:w w:val="115"/>
        </w:rPr>
        <w:t> </w:t>
      </w:r>
      <w:r>
        <w:rPr>
          <w:color w:val="231F1F"/>
          <w:w w:val="115"/>
        </w:rPr>
        <w:t>possibly reduced</w:t>
      </w:r>
      <w:r>
        <w:rPr>
          <w:color w:val="231F1F"/>
          <w:spacing w:val="-16"/>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ST</w:t>
      </w:r>
      <w:r>
        <w:rPr>
          <w:rFonts w:ascii="Calibri" w:hAnsi="Calibri"/>
          <w:color w:val="008356"/>
          <w:spacing w:val="-11"/>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8"/>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5"/>
          <w:w w:val="115"/>
        </w:rPr>
        <w:t> </w:t>
      </w:r>
      <w:r>
        <w:rPr>
          <w:color w:val="231F1F"/>
          <w:w w:val="115"/>
        </w:rPr>
        <w:t>bosutinib advises avoid concomitant</w:t>
      </w:r>
      <w:r>
        <w:rPr>
          <w:color w:val="231F1F"/>
          <w:spacing w:val="-14"/>
          <w:w w:val="115"/>
        </w:rPr>
        <w:t> </w:t>
      </w:r>
      <w:r>
        <w:rPr>
          <w:color w:val="231F1F"/>
          <w:w w:val="115"/>
        </w:rPr>
        <w:t>use</w:t>
      </w:r>
    </w:p>
    <w:p>
      <w:pPr>
        <w:spacing w:before="2"/>
        <w:ind w:left="208" w:right="284"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bosutinib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08" w:right="0" w:firstLine="0"/>
        <w:jc w:val="left"/>
        <w:rPr>
          <w:rFonts w:ascii="Arial" w:hAnsi="Arial"/>
          <w:sz w:val="12"/>
        </w:rPr>
      </w:pPr>
      <w:r>
        <w:rPr>
          <w:rFonts w:ascii="Arial" w:hAnsi="Arial"/>
          <w:color w:val="231F1F"/>
          <w:w w:val="355"/>
          <w:position w:val="1"/>
          <w:sz w:val="7"/>
        </w:rPr>
        <w:t>l </w:t>
      </w:r>
      <w:r>
        <w:rPr>
          <w:rFonts w:ascii="Calibri" w:hAnsi="Calibri"/>
          <w:color w:val="008356"/>
          <w:spacing w:val="4"/>
          <w:w w:val="115"/>
          <w:sz w:val="11"/>
        </w:rPr>
        <w:t>PHENOBARBITAL</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PRIMIDONE</w:t>
      </w:r>
      <w:r>
        <w:rPr>
          <w:rFonts w:ascii="Arial" w:hAnsi="Arial"/>
          <w:color w:val="231F1F"/>
          <w:spacing w:val="4"/>
          <w:w w:val="115"/>
          <w:sz w:val="12"/>
        </w:rPr>
        <w:t>—</w:t>
      </w:r>
    </w:p>
    <w:p>
      <w:pPr>
        <w:pStyle w:val="BodyText"/>
        <w:spacing w:before="1"/>
      </w:pPr>
      <w:r>
        <w:rPr>
          <w:color w:val="231F1F"/>
          <w:w w:val="115"/>
        </w:rPr>
        <w:t>manufacturer of bosutinib advises avoid concomitant use</w:t>
      </w:r>
    </w:p>
    <w:p>
      <w:pPr>
        <w:pStyle w:val="BodyText"/>
        <w:spacing w:line="146" w:lineRule="exact" w:before="2"/>
        <w:ind w:left="108"/>
      </w:pPr>
      <w:r>
        <w:rPr>
          <w:rFonts w:ascii="Arial"/>
          <w:color w:val="231F1F"/>
          <w:w w:val="355"/>
          <w:position w:val="1"/>
          <w:sz w:val="7"/>
        </w:rPr>
        <w:t>l </w:t>
      </w:r>
      <w:r>
        <w:rPr>
          <w:rFonts w:ascii="Calibri"/>
          <w:color w:val="231F1F"/>
          <w:w w:val="115"/>
        </w:rPr>
        <w:t>Antifungals: </w:t>
      </w:r>
      <w:r>
        <w:rPr>
          <w:color w:val="231F1F"/>
          <w:w w:val="115"/>
        </w:rPr>
        <w:t>plasma concentration of bosutinib increased by</w:t>
      </w:r>
    </w:p>
    <w:p>
      <w:pPr>
        <w:pStyle w:val="BodyText"/>
        <w:spacing w:line="247" w:lineRule="auto"/>
        <w:ind w:right="49"/>
      </w:pPr>
      <w:r>
        <w:rPr>
          <w:rFonts w:ascii="Arial" w:hAnsi="Arial"/>
          <w:color w:val="231F1F"/>
          <w:w w:val="285"/>
          <w:position w:val="1"/>
          <w:sz w:val="7"/>
        </w:rPr>
        <w:t>l</w:t>
      </w:r>
      <w:r>
        <w:rPr>
          <w:rFonts w:ascii="Arial" w:hAnsi="Arial"/>
          <w:color w:val="231F1F"/>
          <w:spacing w:val="-46"/>
          <w:w w:val="285"/>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bosutinib</w:t>
      </w:r>
      <w:r>
        <w:rPr>
          <w:color w:val="231F1F"/>
          <w:spacing w:val="-24"/>
          <w:w w:val="115"/>
        </w:rPr>
        <w:t> </w:t>
      </w:r>
      <w:r>
        <w:rPr>
          <w:color w:val="231F1F"/>
          <w:w w:val="115"/>
        </w:rPr>
        <w:t>advises</w:t>
      </w:r>
      <w:r>
        <w:rPr>
          <w:color w:val="231F1F"/>
          <w:spacing w:val="-24"/>
          <w:w w:val="115"/>
        </w:rPr>
        <w:t> </w:t>
      </w:r>
      <w:r>
        <w:rPr>
          <w:color w:val="231F1F"/>
          <w:w w:val="115"/>
        </w:rPr>
        <w:t>avoid</w:t>
      </w:r>
      <w:r>
        <w:rPr>
          <w:color w:val="231F1F"/>
          <w:spacing w:val="-24"/>
          <w:w w:val="115"/>
        </w:rPr>
        <w:t> </w:t>
      </w:r>
      <w:r>
        <w:rPr>
          <w:color w:val="231F1F"/>
          <w:w w:val="115"/>
        </w:rPr>
        <w:t>or consider</w:t>
      </w:r>
      <w:r>
        <w:rPr>
          <w:color w:val="231F1F"/>
          <w:spacing w:val="-6"/>
          <w:w w:val="115"/>
        </w:rPr>
        <w:t> </w:t>
      </w:r>
      <w:r>
        <w:rPr>
          <w:color w:val="231F1F"/>
          <w:w w:val="115"/>
        </w:rPr>
        <w:t>reducing</w:t>
      </w:r>
      <w:r>
        <w:rPr>
          <w:color w:val="231F1F"/>
          <w:spacing w:val="-6"/>
          <w:w w:val="115"/>
        </w:rPr>
        <w:t> </w:t>
      </w:r>
      <w:r>
        <w:rPr>
          <w:color w:val="231F1F"/>
          <w:w w:val="115"/>
        </w:rPr>
        <w:t>dose</w:t>
      </w:r>
      <w:r>
        <w:rPr>
          <w:color w:val="231F1F"/>
          <w:spacing w:val="-4"/>
          <w:w w:val="115"/>
        </w:rPr>
        <w:t> </w:t>
      </w:r>
      <w:r>
        <w:rPr>
          <w:color w:val="231F1F"/>
          <w:w w:val="115"/>
        </w:rPr>
        <w:t>of</w:t>
      </w:r>
      <w:r>
        <w:rPr>
          <w:color w:val="231F1F"/>
          <w:spacing w:val="-5"/>
          <w:w w:val="115"/>
        </w:rPr>
        <w:t> </w:t>
      </w:r>
      <w:r>
        <w:rPr>
          <w:color w:val="231F1F"/>
          <w:w w:val="115"/>
        </w:rPr>
        <w:t>bosutinib;</w:t>
      </w:r>
      <w:r>
        <w:rPr>
          <w:color w:val="231F1F"/>
          <w:spacing w:val="-4"/>
          <w:w w:val="115"/>
        </w:rPr>
        <w:t> </w:t>
      </w:r>
      <w:r>
        <w:rPr>
          <w:color w:val="231F1F"/>
          <w:w w:val="115"/>
        </w:rPr>
        <w:t>plasma</w:t>
      </w:r>
      <w:r>
        <w:rPr>
          <w:color w:val="231F1F"/>
          <w:spacing w:val="-5"/>
          <w:w w:val="115"/>
        </w:rPr>
        <w:t> </w:t>
      </w:r>
      <w:r>
        <w:rPr>
          <w:color w:val="231F1F"/>
          <w:w w:val="115"/>
        </w:rPr>
        <w:t>concentration</w:t>
      </w:r>
      <w:r>
        <w:rPr>
          <w:color w:val="231F1F"/>
          <w:spacing w:val="-6"/>
          <w:w w:val="115"/>
        </w:rPr>
        <w:t> </w:t>
      </w:r>
      <w:r>
        <w:rPr>
          <w:color w:val="231F1F"/>
          <w:spacing w:val="-7"/>
          <w:w w:val="115"/>
        </w:rPr>
        <w:t>of </w:t>
      </w:r>
      <w:r>
        <w:rPr>
          <w:color w:val="231F1F"/>
          <w:w w:val="115"/>
        </w:rPr>
        <w:t>bosutinib</w:t>
      </w:r>
      <w:r>
        <w:rPr>
          <w:color w:val="231F1F"/>
          <w:spacing w:val="-7"/>
          <w:w w:val="115"/>
        </w:rPr>
        <w:t> </w:t>
      </w:r>
      <w:r>
        <w:rPr>
          <w:color w:val="231F1F"/>
          <w:w w:val="115"/>
        </w:rPr>
        <w:t>possibly</w:t>
      </w:r>
      <w:r>
        <w:rPr>
          <w:color w:val="231F1F"/>
          <w:spacing w:val="-9"/>
          <w:w w:val="115"/>
        </w:rPr>
        <w:t> </w:t>
      </w:r>
      <w:r>
        <w:rPr>
          <w:color w:val="231F1F"/>
          <w:w w:val="115"/>
        </w:rPr>
        <w:t>increased</w:t>
      </w:r>
      <w:r>
        <w:rPr>
          <w:color w:val="231F1F"/>
          <w:spacing w:val="-8"/>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5"/>
          <w:sz w:val="11"/>
        </w:rPr>
        <w:t>FLUCONAZOLE</w:t>
      </w:r>
      <w:r>
        <w:rPr>
          <w:color w:val="231F1F"/>
          <w:spacing w:val="4"/>
          <w:w w:val="115"/>
        </w:rPr>
        <w:t>,</w:t>
      </w:r>
    </w:p>
    <w:p>
      <w:pPr>
        <w:spacing w:line="138" w:lineRule="exact" w:before="0"/>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ITRACONAZOLE</w:t>
      </w:r>
      <w:r>
        <w:rPr>
          <w:color w:val="231F1F"/>
          <w:spacing w:val="4"/>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POSACONAZOLE </w:t>
      </w:r>
      <w:r>
        <w:rPr>
          <w:color w:val="231F1F"/>
          <w:w w:val="115"/>
          <w:sz w:val="12"/>
        </w:rPr>
        <w:t>and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VORICONAZOLE</w:t>
      </w:r>
      <w:r>
        <w:rPr>
          <w:rFonts w:ascii="Arial" w:hAnsi="Arial"/>
          <w:color w:val="231F1F"/>
          <w:spacing w:val="4"/>
          <w:w w:val="115"/>
          <w:sz w:val="12"/>
        </w:rPr>
        <w:t>—</w:t>
      </w:r>
    </w:p>
    <w:p>
      <w:pPr>
        <w:pStyle w:val="BodyText"/>
        <w:spacing w:line="249" w:lineRule="auto" w:before="2"/>
        <w:ind w:right="-12"/>
      </w:pPr>
      <w:r>
        <w:rPr>
          <w:color w:val="231F1F"/>
          <w:w w:val="115"/>
        </w:rPr>
        <w:t>manufacturer of bosutinib advises avoid or consider reducing dose of bosutinib</w:t>
      </w:r>
    </w:p>
    <w:p>
      <w:pPr>
        <w:spacing w:line="247" w:lineRule="auto" w:before="0"/>
        <w:ind w:left="208" w:right="185"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possible increased risk of ventricular arrhythmias when bosutinib given with </w:t>
      </w:r>
      <w:r>
        <w:rPr>
          <w:rFonts w:ascii="Arial"/>
          <w:color w:val="231F1F"/>
          <w:w w:val="355"/>
          <w:position w:val="1"/>
          <w:sz w:val="7"/>
        </w:rPr>
        <w:t>l </w:t>
      </w:r>
      <w:r>
        <w:rPr>
          <w:rFonts w:ascii="Calibri"/>
          <w:color w:val="008356"/>
          <w:w w:val="110"/>
          <w:sz w:val="11"/>
        </w:rPr>
        <w:t>CHLOROQUINE </w:t>
      </w:r>
      <w:r>
        <w:rPr>
          <w:color w:val="231F1F"/>
          <w:w w:val="110"/>
          <w:sz w:val="12"/>
        </w:rPr>
        <w:t>and </w:t>
      </w:r>
      <w:r>
        <w:rPr>
          <w:rFonts w:ascii="Arial"/>
          <w:color w:val="231F1F"/>
          <w:w w:val="355"/>
          <w:position w:val="1"/>
          <w:sz w:val="7"/>
        </w:rPr>
        <w:t>l </w:t>
      </w:r>
      <w:r>
        <w:rPr>
          <w:rFonts w:ascii="Calibri"/>
          <w:color w:val="008356"/>
          <w:w w:val="110"/>
          <w:sz w:val="11"/>
        </w:rPr>
        <w:t>HYDROXYCHLOROQUINE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Bosutinib </w:t>
      </w:r>
      <w:r>
        <w:rPr>
          <w:rFonts w:ascii="Calibri"/>
          <w:color w:val="231F1F"/>
        </w:rPr>
        <w:t>(continued)</w:t>
      </w:r>
    </w:p>
    <w:p>
      <w:pPr>
        <w:pStyle w:val="BodyText"/>
        <w:spacing w:line="242" w:lineRule="auto"/>
        <w:ind w:right="692" w:hanging="100"/>
      </w:pPr>
      <w:r>
        <w:rPr/>
        <w:pict>
          <v:rect style="position:absolute;margin-left:398.891296pt;margin-top:-8.517115pt;width:20.522993pt;height:149.443pt;mso-position-horizontal-relative:page;mso-position-vertical-relative:paragraph;z-index:2560" filled="true" fillcolor="#bfdbcf" stroked="false">
            <v:fill type="solid"/>
            <w10:wrap type="none"/>
          </v:rect>
        </w:pict>
      </w:r>
      <w:r>
        <w:rPr/>
        <w:pict>
          <v:shape style="position:absolute;margin-left:399.725769pt;margin-top:-3.553726pt;width:10.4pt;height:78.850pt;mso-position-horizontal-relative:page;mso-position-vertical-relative:paragraph;z-index:258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Antipsychotics: </w:t>
      </w:r>
      <w:r>
        <w:rPr>
          <w:color w:val="231F1F"/>
          <w:w w:val="115"/>
        </w:rPr>
        <w:t>possible increased risk of ventricular arrhythmias</w:t>
      </w:r>
      <w:r>
        <w:rPr>
          <w:color w:val="231F1F"/>
          <w:spacing w:val="-19"/>
          <w:w w:val="115"/>
        </w:rPr>
        <w:t> </w:t>
      </w:r>
      <w:r>
        <w:rPr>
          <w:color w:val="231F1F"/>
          <w:w w:val="115"/>
        </w:rPr>
        <w:t>when</w:t>
      </w:r>
      <w:r>
        <w:rPr>
          <w:color w:val="231F1F"/>
          <w:spacing w:val="-19"/>
          <w:w w:val="115"/>
        </w:rPr>
        <w:t> </w:t>
      </w:r>
      <w:r>
        <w:rPr>
          <w:color w:val="231F1F"/>
          <w:w w:val="115"/>
        </w:rPr>
        <w:t>bosutinib</w:t>
      </w:r>
      <w:r>
        <w:rPr>
          <w:color w:val="231F1F"/>
          <w:spacing w:val="-18"/>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HALOPERIDOL</w:t>
      </w:r>
      <w:r>
        <w:rPr>
          <w:color w:val="231F1F"/>
          <w:spacing w:val="4"/>
          <w:w w:val="115"/>
        </w:rPr>
        <w:t>;</w:t>
      </w:r>
      <w:r>
        <w:rPr>
          <w:color w:val="231F1F"/>
          <w:spacing w:val="-18"/>
          <w:w w:val="115"/>
        </w:rPr>
        <w:t> </w:t>
      </w:r>
      <w:r>
        <w:rPr>
          <w:color w:val="231F1F"/>
          <w:w w:val="115"/>
        </w:rPr>
        <w:t>avoid concomitant use of cytotoxics with </w:t>
      </w:r>
      <w:r>
        <w:rPr>
          <w:rFonts w:ascii="Arial"/>
          <w:color w:val="231F1F"/>
          <w:w w:val="355"/>
          <w:position w:val="1"/>
          <w:sz w:val="7"/>
        </w:rPr>
        <w:t>l </w:t>
      </w:r>
      <w:r>
        <w:rPr>
          <w:rFonts w:ascii="Calibri"/>
          <w:color w:val="008356"/>
          <w:spacing w:val="4"/>
          <w:w w:val="115"/>
          <w:sz w:val="11"/>
        </w:rPr>
        <w:t>CLOZAPINE </w:t>
      </w:r>
      <w:r>
        <w:rPr>
          <w:color w:val="231F1F"/>
          <w:w w:val="115"/>
        </w:rPr>
        <w:t>(increased risk of</w:t>
      </w:r>
      <w:r>
        <w:rPr>
          <w:color w:val="231F1F"/>
          <w:spacing w:val="-7"/>
          <w:w w:val="115"/>
        </w:rPr>
        <w:t> </w:t>
      </w:r>
      <w:r>
        <w:rPr>
          <w:color w:val="231F1F"/>
          <w:w w:val="115"/>
        </w:rPr>
        <w:t>agranulocytosis)</w:t>
      </w:r>
    </w:p>
    <w:p>
      <w:pPr>
        <w:spacing w:before="0"/>
        <w:ind w:left="208" w:right="670" w:hanging="100"/>
        <w:jc w:val="left"/>
        <w:rPr>
          <w:sz w:val="12"/>
        </w:rPr>
      </w:pPr>
      <w:r>
        <w:rPr>
          <w:rFonts w:ascii="Arial"/>
          <w:color w:val="231F1F"/>
          <w:w w:val="355"/>
          <w:position w:val="1"/>
          <w:sz w:val="7"/>
        </w:rPr>
        <w:t>l </w:t>
      </w:r>
      <w:r>
        <w:rPr>
          <w:rFonts w:ascii="Calibri"/>
          <w:color w:val="231F1F"/>
          <w:w w:val="115"/>
          <w:sz w:val="12"/>
        </w:rPr>
        <w:t>Antivirals: </w:t>
      </w:r>
      <w:r>
        <w:rPr>
          <w:color w:val="231F1F"/>
          <w:w w:val="115"/>
          <w:sz w:val="12"/>
        </w:rPr>
        <w:t>plasma concentration of bosutinib possibly increased by </w:t>
      </w:r>
      <w:r>
        <w:rPr>
          <w:rFonts w:ascii="Arial"/>
          <w:color w:val="231F1F"/>
          <w:w w:val="125"/>
          <w:position w:val="1"/>
          <w:sz w:val="7"/>
        </w:rPr>
        <w:t>l </w:t>
      </w:r>
      <w:r>
        <w:rPr>
          <w:rFonts w:ascii="Calibri"/>
          <w:color w:val="008356"/>
          <w:w w:val="115"/>
          <w:sz w:val="11"/>
        </w:rPr>
        <w:t>ATAZANAVIR</w:t>
      </w:r>
      <w:r>
        <w:rPr>
          <w:color w:val="231F1F"/>
          <w:w w:val="115"/>
          <w:sz w:val="12"/>
        </w:rPr>
        <w:t>, </w:t>
      </w:r>
      <w:r>
        <w:rPr>
          <w:rFonts w:ascii="Arial"/>
          <w:color w:val="231F1F"/>
          <w:w w:val="125"/>
          <w:position w:val="1"/>
          <w:sz w:val="7"/>
        </w:rPr>
        <w:t>l </w:t>
      </w:r>
      <w:r>
        <w:rPr>
          <w:rFonts w:ascii="Calibri"/>
          <w:color w:val="008356"/>
          <w:w w:val="115"/>
          <w:sz w:val="11"/>
        </w:rPr>
        <w:t>BOCEPREVIR</w:t>
      </w:r>
      <w:r>
        <w:rPr>
          <w:color w:val="231F1F"/>
          <w:w w:val="115"/>
          <w:sz w:val="12"/>
        </w:rPr>
        <w:t>, </w:t>
      </w:r>
      <w:r>
        <w:rPr>
          <w:rFonts w:ascii="Arial"/>
          <w:color w:val="231F1F"/>
          <w:w w:val="125"/>
          <w:position w:val="1"/>
          <w:sz w:val="7"/>
        </w:rPr>
        <w:t>l </w:t>
      </w:r>
      <w:r>
        <w:rPr>
          <w:rFonts w:ascii="Calibri"/>
          <w:color w:val="008356"/>
          <w:w w:val="115"/>
          <w:sz w:val="11"/>
        </w:rPr>
        <w:t>DARUNAVIR</w:t>
      </w:r>
      <w:r>
        <w:rPr>
          <w:color w:val="231F1F"/>
          <w:w w:val="115"/>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20"/>
          <w:sz w:val="11"/>
        </w:rPr>
        <w:t>FOSAMPRENAVIR</w:t>
      </w:r>
      <w:r>
        <w:rPr>
          <w:color w:val="231F1F"/>
          <w:spacing w:val="4"/>
          <w:w w:val="12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20"/>
          <w:sz w:val="11"/>
        </w:rPr>
        <w:t>INDINAVIR</w:t>
      </w:r>
      <w:r>
        <w:rPr>
          <w:color w:val="231F1F"/>
          <w:spacing w:val="4"/>
          <w:w w:val="12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20"/>
          <w:sz w:val="11"/>
        </w:rPr>
        <w:t>RITONAVIR</w:t>
      </w:r>
      <w:r>
        <w:rPr>
          <w:color w:val="231F1F"/>
          <w:spacing w:val="3"/>
          <w:w w:val="12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20"/>
          <w:sz w:val="11"/>
        </w:rPr>
        <w:t>SAQUINAVIR </w:t>
      </w:r>
      <w:r>
        <w:rPr>
          <w:color w:val="231F1F"/>
          <w:w w:val="120"/>
          <w:sz w:val="12"/>
        </w:rPr>
        <w:t>and</w:t>
      </w:r>
    </w:p>
    <w:p>
      <w:pPr>
        <w:pStyle w:val="BodyText"/>
        <w:spacing w:line="244" w:lineRule="auto"/>
        <w:ind w:right="674"/>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20"/>
          <w:sz w:val="11"/>
        </w:rPr>
        <w:t>TELAPREVIR</w:t>
      </w:r>
      <w:r>
        <w:rPr>
          <w:rFonts w:ascii="Arial" w:hAnsi="Arial"/>
          <w:color w:val="231F1F"/>
          <w:spacing w:val="2"/>
          <w:w w:val="120"/>
        </w:rPr>
        <w:t>—</w:t>
      </w:r>
      <w:r>
        <w:rPr>
          <w:color w:val="231F1F"/>
          <w:spacing w:val="2"/>
          <w:w w:val="120"/>
        </w:rPr>
        <w:t>manufacturer</w:t>
      </w:r>
      <w:r>
        <w:rPr>
          <w:color w:val="231F1F"/>
          <w:spacing w:val="-24"/>
          <w:w w:val="120"/>
        </w:rPr>
        <w:t> </w:t>
      </w:r>
      <w:r>
        <w:rPr>
          <w:color w:val="231F1F"/>
          <w:w w:val="120"/>
        </w:rPr>
        <w:t>of</w:t>
      </w:r>
      <w:r>
        <w:rPr>
          <w:color w:val="231F1F"/>
          <w:spacing w:val="-23"/>
          <w:w w:val="120"/>
        </w:rPr>
        <w:t> </w:t>
      </w:r>
      <w:r>
        <w:rPr>
          <w:color w:val="231F1F"/>
          <w:w w:val="120"/>
        </w:rPr>
        <w:t>bosutinib</w:t>
      </w:r>
      <w:r>
        <w:rPr>
          <w:color w:val="231F1F"/>
          <w:spacing w:val="-23"/>
          <w:w w:val="120"/>
        </w:rPr>
        <w:t> </w:t>
      </w:r>
      <w:r>
        <w:rPr>
          <w:color w:val="231F1F"/>
          <w:w w:val="120"/>
        </w:rPr>
        <w:t>advises</w:t>
      </w:r>
      <w:r>
        <w:rPr>
          <w:color w:val="231F1F"/>
          <w:spacing w:val="-24"/>
          <w:w w:val="120"/>
        </w:rPr>
        <w:t> </w:t>
      </w:r>
      <w:r>
        <w:rPr>
          <w:color w:val="231F1F"/>
          <w:w w:val="120"/>
        </w:rPr>
        <w:t>avoid</w:t>
      </w:r>
      <w:r>
        <w:rPr>
          <w:color w:val="231F1F"/>
          <w:spacing w:val="-23"/>
          <w:w w:val="120"/>
        </w:rPr>
        <w:t> </w:t>
      </w:r>
      <w:r>
        <w:rPr>
          <w:color w:val="231F1F"/>
          <w:w w:val="120"/>
        </w:rPr>
        <w:t>or consider</w:t>
      </w:r>
      <w:r>
        <w:rPr>
          <w:color w:val="231F1F"/>
          <w:spacing w:val="-25"/>
          <w:w w:val="120"/>
        </w:rPr>
        <w:t> </w:t>
      </w:r>
      <w:r>
        <w:rPr>
          <w:color w:val="231F1F"/>
          <w:w w:val="120"/>
        </w:rPr>
        <w:t>reducing</w:t>
      </w:r>
      <w:r>
        <w:rPr>
          <w:color w:val="231F1F"/>
          <w:spacing w:val="-23"/>
          <w:w w:val="120"/>
        </w:rPr>
        <w:t> </w:t>
      </w:r>
      <w:r>
        <w:rPr>
          <w:color w:val="231F1F"/>
          <w:w w:val="120"/>
        </w:rPr>
        <w:t>dose</w:t>
      </w:r>
      <w:r>
        <w:rPr>
          <w:color w:val="231F1F"/>
          <w:spacing w:val="-24"/>
          <w:w w:val="120"/>
        </w:rPr>
        <w:t> </w:t>
      </w:r>
      <w:r>
        <w:rPr>
          <w:color w:val="231F1F"/>
          <w:w w:val="120"/>
        </w:rPr>
        <w:t>of</w:t>
      </w:r>
      <w:r>
        <w:rPr>
          <w:color w:val="231F1F"/>
          <w:spacing w:val="-24"/>
          <w:w w:val="120"/>
        </w:rPr>
        <w:t> </w:t>
      </w:r>
      <w:r>
        <w:rPr>
          <w:color w:val="231F1F"/>
          <w:w w:val="120"/>
        </w:rPr>
        <w:t>bosutinib;</w:t>
      </w:r>
      <w:r>
        <w:rPr>
          <w:color w:val="231F1F"/>
          <w:spacing w:val="-24"/>
          <w:w w:val="120"/>
        </w:rPr>
        <w:t> </w:t>
      </w:r>
      <w:r>
        <w:rPr>
          <w:color w:val="231F1F"/>
          <w:w w:val="120"/>
        </w:rPr>
        <w:t>plasma</w:t>
      </w:r>
      <w:r>
        <w:rPr>
          <w:color w:val="231F1F"/>
          <w:spacing w:val="-24"/>
          <w:w w:val="120"/>
        </w:rPr>
        <w:t> </w:t>
      </w:r>
      <w:r>
        <w:rPr>
          <w:color w:val="231F1F"/>
          <w:w w:val="120"/>
        </w:rPr>
        <w:t>concentration</w:t>
      </w:r>
      <w:r>
        <w:rPr>
          <w:color w:val="231F1F"/>
          <w:spacing w:val="-24"/>
          <w:w w:val="120"/>
        </w:rPr>
        <w:t> </w:t>
      </w:r>
      <w:r>
        <w:rPr>
          <w:color w:val="231F1F"/>
          <w:spacing w:val="-8"/>
          <w:w w:val="120"/>
        </w:rPr>
        <w:t>of </w:t>
      </w:r>
      <w:r>
        <w:rPr>
          <w:color w:val="231F1F"/>
          <w:w w:val="115"/>
        </w:rPr>
        <w:t>bosutinib</w:t>
      </w:r>
      <w:r>
        <w:rPr>
          <w:color w:val="231F1F"/>
          <w:spacing w:val="-16"/>
          <w:w w:val="115"/>
        </w:rPr>
        <w:t> </w:t>
      </w:r>
      <w:r>
        <w:rPr>
          <w:color w:val="231F1F"/>
          <w:w w:val="115"/>
        </w:rPr>
        <w:t>possibly</w:t>
      </w:r>
      <w:r>
        <w:rPr>
          <w:color w:val="231F1F"/>
          <w:spacing w:val="-16"/>
          <w:w w:val="115"/>
        </w:rPr>
        <w:t> </w:t>
      </w:r>
      <w:r>
        <w:rPr>
          <w:color w:val="231F1F"/>
          <w:w w:val="115"/>
        </w:rPr>
        <w:t>reduced</w:t>
      </w:r>
      <w:r>
        <w:rPr>
          <w:color w:val="231F1F"/>
          <w:spacing w:val="-17"/>
          <w:w w:val="115"/>
        </w:rPr>
        <w:t> </w:t>
      </w:r>
      <w:r>
        <w:rPr>
          <w:color w:val="231F1F"/>
          <w:w w:val="115"/>
        </w:rPr>
        <w:t>by</w:t>
      </w:r>
      <w:r>
        <w:rPr>
          <w:color w:val="231F1F"/>
          <w:spacing w:val="-15"/>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spacing w:val="3"/>
          <w:w w:val="115"/>
          <w:sz w:val="11"/>
        </w:rPr>
        <w:t>EFAVIRENZ</w:t>
      </w:r>
      <w:r>
        <w:rPr>
          <w:rFonts w:ascii="Calibri" w:hAnsi="Calibri"/>
          <w:color w:val="008356"/>
          <w:spacing w:val="-7"/>
          <w:w w:val="115"/>
          <w:sz w:val="11"/>
        </w:rPr>
        <w:t> </w:t>
      </w:r>
      <w:r>
        <w:rPr>
          <w:color w:val="231F1F"/>
          <w:w w:val="115"/>
        </w:rPr>
        <w:t>and</w:t>
      </w:r>
      <w:r>
        <w:rPr>
          <w:color w:val="231F1F"/>
          <w:spacing w:val="-16"/>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spacing w:val="4"/>
          <w:w w:val="115"/>
          <w:sz w:val="11"/>
        </w:rPr>
        <w:t>ETRAVIRINE</w:t>
      </w:r>
      <w:r>
        <w:rPr>
          <w:rFonts w:ascii="Arial" w:hAnsi="Arial"/>
          <w:color w:val="231F1F"/>
          <w:spacing w:val="4"/>
          <w:w w:val="115"/>
        </w:rPr>
        <w:t>— </w:t>
      </w:r>
      <w:r>
        <w:rPr>
          <w:color w:val="231F1F"/>
          <w:w w:val="120"/>
        </w:rPr>
        <w:t>manufacturer</w:t>
      </w:r>
      <w:r>
        <w:rPr>
          <w:color w:val="231F1F"/>
          <w:spacing w:val="-17"/>
          <w:w w:val="120"/>
        </w:rPr>
        <w:t> </w:t>
      </w:r>
      <w:r>
        <w:rPr>
          <w:color w:val="231F1F"/>
          <w:w w:val="120"/>
        </w:rPr>
        <w:t>of</w:t>
      </w:r>
      <w:r>
        <w:rPr>
          <w:color w:val="231F1F"/>
          <w:spacing w:val="-15"/>
          <w:w w:val="120"/>
        </w:rPr>
        <w:t> </w:t>
      </w:r>
      <w:r>
        <w:rPr>
          <w:color w:val="231F1F"/>
          <w:w w:val="120"/>
        </w:rPr>
        <w:t>bosutinib</w:t>
      </w:r>
      <w:r>
        <w:rPr>
          <w:color w:val="231F1F"/>
          <w:spacing w:val="-15"/>
          <w:w w:val="120"/>
        </w:rPr>
        <w:t> </w:t>
      </w:r>
      <w:r>
        <w:rPr>
          <w:color w:val="231F1F"/>
          <w:w w:val="120"/>
        </w:rPr>
        <w:t>advises</w:t>
      </w:r>
      <w:r>
        <w:rPr>
          <w:color w:val="231F1F"/>
          <w:spacing w:val="-17"/>
          <w:w w:val="120"/>
        </w:rPr>
        <w:t> </w:t>
      </w:r>
      <w:r>
        <w:rPr>
          <w:color w:val="231F1F"/>
          <w:w w:val="120"/>
        </w:rPr>
        <w:t>avoid</w:t>
      </w:r>
      <w:r>
        <w:rPr>
          <w:color w:val="231F1F"/>
          <w:spacing w:val="-15"/>
          <w:w w:val="120"/>
        </w:rPr>
        <w:t> </w:t>
      </w:r>
      <w:r>
        <w:rPr>
          <w:color w:val="231F1F"/>
          <w:w w:val="120"/>
        </w:rPr>
        <w:t>concomitant</w:t>
      </w:r>
      <w:r>
        <w:rPr>
          <w:color w:val="231F1F"/>
          <w:spacing w:val="-17"/>
          <w:w w:val="120"/>
        </w:rPr>
        <w:t> </w:t>
      </w:r>
      <w:r>
        <w:rPr>
          <w:color w:val="231F1F"/>
          <w:w w:val="120"/>
        </w:rPr>
        <w:t>use</w:t>
      </w:r>
    </w:p>
    <w:p>
      <w:pPr>
        <w:pStyle w:val="BodyText"/>
        <w:ind w:right="1076" w:hanging="100"/>
        <w:jc w:val="both"/>
      </w:pP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231F1F"/>
          <w:w w:val="115"/>
        </w:rPr>
        <w:t>Aprepitant:</w:t>
      </w:r>
      <w:r>
        <w:rPr>
          <w:rFonts w:ascii="Calibri" w:hAnsi="Calibri"/>
          <w:color w:val="231F1F"/>
          <w:spacing w:val="-7"/>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w w:val="115"/>
        </w:rPr>
        <w:t>of</w:t>
      </w:r>
      <w:r>
        <w:rPr>
          <w:color w:val="231F1F"/>
          <w:spacing w:val="-10"/>
          <w:w w:val="115"/>
        </w:rPr>
        <w:t> </w:t>
      </w:r>
      <w:r>
        <w:rPr>
          <w:color w:val="231F1F"/>
          <w:w w:val="115"/>
        </w:rPr>
        <w:t>bosutinib</w:t>
      </w:r>
      <w:r>
        <w:rPr>
          <w:color w:val="231F1F"/>
          <w:spacing w:val="-11"/>
          <w:w w:val="115"/>
        </w:rPr>
        <w:t> </w:t>
      </w:r>
      <w:r>
        <w:rPr>
          <w:color w:val="231F1F"/>
          <w:w w:val="115"/>
        </w:rPr>
        <w:t>possibly increased</w:t>
      </w:r>
      <w:r>
        <w:rPr>
          <w:color w:val="231F1F"/>
          <w:spacing w:val="-13"/>
          <w:w w:val="115"/>
        </w:rPr>
        <w:t> </w:t>
      </w:r>
      <w:r>
        <w:rPr>
          <w:color w:val="231F1F"/>
          <w:w w:val="115"/>
        </w:rPr>
        <w:t>by</w:t>
      </w:r>
      <w:r>
        <w:rPr>
          <w:color w:val="231F1F"/>
          <w:spacing w:val="-11"/>
          <w:w w:val="115"/>
        </w:rPr>
        <w:t> </w:t>
      </w:r>
      <w:r>
        <w:rPr>
          <w:rFonts w:ascii="Arial" w:hAnsi="Arial"/>
          <w:color w:val="231F1F"/>
          <w:w w:val="115"/>
          <w:position w:val="1"/>
          <w:sz w:val="7"/>
        </w:rPr>
        <w:t>l</w:t>
      </w:r>
      <w:r>
        <w:rPr>
          <w:rFonts w:ascii="Arial" w:hAnsi="Arial"/>
          <w:color w:val="231F1F"/>
          <w:spacing w:val="-2"/>
          <w:w w:val="115"/>
          <w:position w:val="1"/>
          <w:sz w:val="7"/>
        </w:rPr>
        <w:t> </w:t>
      </w:r>
      <w:r>
        <w:rPr>
          <w:rFonts w:ascii="Calibri" w:hAnsi="Calibri"/>
          <w:color w:val="008356"/>
          <w:w w:val="115"/>
          <w:sz w:val="11"/>
        </w:rPr>
        <w:t>APREPITANT</w:t>
      </w:r>
      <w:r>
        <w:rPr>
          <w:rFonts w:ascii="Arial" w:hAnsi="Arial"/>
          <w:color w:val="231F1F"/>
          <w:w w:val="115"/>
        </w:rPr>
        <w:t>—</w:t>
      </w:r>
      <w:r>
        <w:rPr>
          <w:color w:val="231F1F"/>
          <w:w w:val="115"/>
        </w:rPr>
        <w:t>manufacturer</w:t>
      </w:r>
      <w:r>
        <w:rPr>
          <w:color w:val="231F1F"/>
          <w:spacing w:val="-13"/>
          <w:w w:val="115"/>
        </w:rPr>
        <w:t> </w:t>
      </w:r>
      <w:r>
        <w:rPr>
          <w:color w:val="231F1F"/>
          <w:w w:val="115"/>
        </w:rPr>
        <w:t>of</w:t>
      </w:r>
      <w:r>
        <w:rPr>
          <w:color w:val="231F1F"/>
          <w:spacing w:val="-11"/>
          <w:w w:val="115"/>
        </w:rPr>
        <w:t> </w:t>
      </w:r>
      <w:r>
        <w:rPr>
          <w:color w:val="231F1F"/>
          <w:w w:val="115"/>
        </w:rPr>
        <w:t>bosutinib </w:t>
      </w:r>
      <w:r>
        <w:rPr>
          <w:color w:val="231F1F"/>
          <w:w w:val="120"/>
        </w:rPr>
        <w:t>advises</w:t>
      </w:r>
      <w:r>
        <w:rPr>
          <w:color w:val="231F1F"/>
          <w:spacing w:val="-20"/>
          <w:w w:val="120"/>
        </w:rPr>
        <w:t> </w:t>
      </w:r>
      <w:r>
        <w:rPr>
          <w:color w:val="231F1F"/>
          <w:w w:val="120"/>
        </w:rPr>
        <w:t>avoid</w:t>
      </w:r>
      <w:r>
        <w:rPr>
          <w:color w:val="231F1F"/>
          <w:spacing w:val="-20"/>
          <w:w w:val="120"/>
        </w:rPr>
        <w:t> </w:t>
      </w:r>
      <w:r>
        <w:rPr>
          <w:color w:val="231F1F"/>
          <w:w w:val="120"/>
        </w:rPr>
        <w:t>or</w:t>
      </w:r>
      <w:r>
        <w:rPr>
          <w:color w:val="231F1F"/>
          <w:spacing w:val="-20"/>
          <w:w w:val="120"/>
        </w:rPr>
        <w:t> </w:t>
      </w:r>
      <w:r>
        <w:rPr>
          <w:color w:val="231F1F"/>
          <w:w w:val="120"/>
        </w:rPr>
        <w:t>consider</w:t>
      </w:r>
      <w:r>
        <w:rPr>
          <w:color w:val="231F1F"/>
          <w:spacing w:val="-19"/>
          <w:w w:val="120"/>
        </w:rPr>
        <w:t> </w:t>
      </w:r>
      <w:r>
        <w:rPr>
          <w:color w:val="231F1F"/>
          <w:w w:val="120"/>
        </w:rPr>
        <w:t>reducing</w:t>
      </w:r>
      <w:r>
        <w:rPr>
          <w:color w:val="231F1F"/>
          <w:spacing w:val="-20"/>
          <w:w w:val="120"/>
        </w:rPr>
        <w:t> </w:t>
      </w:r>
      <w:r>
        <w:rPr>
          <w:color w:val="231F1F"/>
          <w:w w:val="120"/>
        </w:rPr>
        <w:t>dose</w:t>
      </w:r>
      <w:r>
        <w:rPr>
          <w:color w:val="231F1F"/>
          <w:spacing w:val="-20"/>
          <w:w w:val="120"/>
        </w:rPr>
        <w:t> </w:t>
      </w:r>
      <w:r>
        <w:rPr>
          <w:color w:val="231F1F"/>
          <w:w w:val="120"/>
        </w:rPr>
        <w:t>of</w:t>
      </w:r>
      <w:r>
        <w:rPr>
          <w:color w:val="231F1F"/>
          <w:spacing w:val="-19"/>
          <w:w w:val="120"/>
        </w:rPr>
        <w:t> </w:t>
      </w:r>
      <w:r>
        <w:rPr>
          <w:color w:val="231F1F"/>
          <w:w w:val="120"/>
        </w:rPr>
        <w:t>bosutinib</w:t>
      </w:r>
    </w:p>
    <w:p>
      <w:pPr>
        <w:pStyle w:val="BodyText"/>
        <w:ind w:right="1276" w:hanging="100"/>
        <w:rPr>
          <w:rFonts w:ascii="Calibri"/>
          <w:sz w:val="11"/>
        </w:rPr>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Beta-blockers:</w:t>
      </w:r>
      <w:r>
        <w:rPr>
          <w:rFonts w:ascii="Calibri"/>
          <w:color w:val="231F1F"/>
          <w:spacing w:val="-20"/>
          <w:w w:val="115"/>
        </w:rPr>
        <w:t> </w:t>
      </w:r>
      <w:r>
        <w:rPr>
          <w:color w:val="231F1F"/>
          <w:w w:val="115"/>
        </w:rPr>
        <w:t>possible</w:t>
      </w:r>
      <w:r>
        <w:rPr>
          <w:color w:val="231F1F"/>
          <w:spacing w:val="-22"/>
          <w:w w:val="115"/>
        </w:rPr>
        <w:t> </w:t>
      </w:r>
      <w:r>
        <w:rPr>
          <w:color w:val="231F1F"/>
          <w:w w:val="115"/>
        </w:rPr>
        <w:t>increased</w:t>
      </w:r>
      <w:r>
        <w:rPr>
          <w:color w:val="231F1F"/>
          <w:spacing w:val="-22"/>
          <w:w w:val="115"/>
        </w:rPr>
        <w:t> </w:t>
      </w:r>
      <w:r>
        <w:rPr>
          <w:color w:val="231F1F"/>
          <w:w w:val="115"/>
        </w:rPr>
        <w:t>risk</w:t>
      </w:r>
      <w:r>
        <w:rPr>
          <w:color w:val="231F1F"/>
          <w:spacing w:val="-22"/>
          <w:w w:val="115"/>
        </w:rPr>
        <w:t> </w:t>
      </w:r>
      <w:r>
        <w:rPr>
          <w:color w:val="231F1F"/>
          <w:w w:val="115"/>
        </w:rPr>
        <w:t>of</w:t>
      </w:r>
      <w:r>
        <w:rPr>
          <w:color w:val="231F1F"/>
          <w:spacing w:val="-22"/>
          <w:w w:val="115"/>
        </w:rPr>
        <w:t> </w:t>
      </w:r>
      <w:r>
        <w:rPr>
          <w:color w:val="231F1F"/>
          <w:w w:val="115"/>
        </w:rPr>
        <w:t>ventricular arrhythmias</w:t>
      </w:r>
      <w:r>
        <w:rPr>
          <w:color w:val="231F1F"/>
          <w:spacing w:val="-13"/>
          <w:w w:val="115"/>
        </w:rPr>
        <w:t> </w:t>
      </w:r>
      <w:r>
        <w:rPr>
          <w:color w:val="231F1F"/>
          <w:w w:val="115"/>
        </w:rPr>
        <w:t>when</w:t>
      </w:r>
      <w:r>
        <w:rPr>
          <w:color w:val="231F1F"/>
          <w:spacing w:val="-12"/>
          <w:w w:val="115"/>
        </w:rPr>
        <w:t> </w:t>
      </w:r>
      <w:r>
        <w:rPr>
          <w:color w:val="231F1F"/>
          <w:w w:val="115"/>
        </w:rPr>
        <w:t>bosutinib</w:t>
      </w:r>
      <w:r>
        <w:rPr>
          <w:color w:val="231F1F"/>
          <w:spacing w:val="-12"/>
          <w:w w:val="115"/>
        </w:rPr>
        <w:t> </w:t>
      </w:r>
      <w:r>
        <w:rPr>
          <w:color w:val="231F1F"/>
          <w:w w:val="115"/>
        </w:rPr>
        <w:t>given</w:t>
      </w:r>
      <w:r>
        <w:rPr>
          <w:color w:val="231F1F"/>
          <w:spacing w:val="-12"/>
          <w:w w:val="115"/>
        </w:rPr>
        <w:t> </w:t>
      </w:r>
      <w:r>
        <w:rPr>
          <w:color w:val="231F1F"/>
          <w:w w:val="115"/>
        </w:rPr>
        <w:t>with</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2"/>
          <w:w w:val="115"/>
          <w:sz w:val="11"/>
        </w:rPr>
        <w:t>SOTALOL</w:t>
      </w:r>
    </w:p>
    <w:p>
      <w:pPr>
        <w:pStyle w:val="BodyText"/>
        <w:ind w:right="681" w:hanging="100"/>
      </w:pP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231F1F"/>
          <w:w w:val="115"/>
        </w:rPr>
        <w:t>Bosentan:</w:t>
      </w:r>
      <w:r>
        <w:rPr>
          <w:rFonts w:ascii="Calibri" w:hAnsi="Calibri"/>
          <w:color w:val="231F1F"/>
          <w:spacing w:val="-8"/>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w w:val="115"/>
        </w:rPr>
        <w:t>of</w:t>
      </w:r>
      <w:r>
        <w:rPr>
          <w:color w:val="231F1F"/>
          <w:spacing w:val="-10"/>
          <w:w w:val="115"/>
        </w:rPr>
        <w:t> </w:t>
      </w:r>
      <w:r>
        <w:rPr>
          <w:color w:val="231F1F"/>
          <w:w w:val="115"/>
        </w:rPr>
        <w:t>bosutinib</w:t>
      </w:r>
      <w:r>
        <w:rPr>
          <w:color w:val="231F1F"/>
          <w:spacing w:val="-10"/>
          <w:w w:val="115"/>
        </w:rPr>
        <w:t> </w:t>
      </w:r>
      <w:r>
        <w:rPr>
          <w:color w:val="231F1F"/>
          <w:w w:val="115"/>
        </w:rPr>
        <w:t>possibly</w:t>
      </w:r>
      <w:r>
        <w:rPr>
          <w:color w:val="231F1F"/>
          <w:spacing w:val="-10"/>
          <w:w w:val="115"/>
        </w:rPr>
        <w:t> </w:t>
      </w:r>
      <w:r>
        <w:rPr>
          <w:color w:val="231F1F"/>
          <w:w w:val="115"/>
        </w:rPr>
        <w:t>reduced </w:t>
      </w:r>
      <w:r>
        <w:rPr>
          <w:color w:val="231F1F"/>
          <w:w w:val="120"/>
        </w:rPr>
        <w:t>by</w:t>
      </w:r>
      <w:r>
        <w:rPr>
          <w:color w:val="231F1F"/>
          <w:spacing w:val="-21"/>
          <w:w w:val="120"/>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20"/>
          <w:sz w:val="11"/>
        </w:rPr>
        <w:t>BOSENTAN</w:t>
      </w:r>
      <w:r>
        <w:rPr>
          <w:rFonts w:ascii="Arial" w:hAnsi="Arial"/>
          <w:color w:val="231F1F"/>
          <w:w w:val="120"/>
        </w:rPr>
        <w:t>—</w:t>
      </w:r>
      <w:r>
        <w:rPr>
          <w:color w:val="231F1F"/>
          <w:w w:val="120"/>
        </w:rPr>
        <w:t>manufacturer</w:t>
      </w:r>
      <w:r>
        <w:rPr>
          <w:color w:val="231F1F"/>
          <w:spacing w:val="-20"/>
          <w:w w:val="120"/>
        </w:rPr>
        <w:t> </w:t>
      </w:r>
      <w:r>
        <w:rPr>
          <w:color w:val="231F1F"/>
          <w:w w:val="120"/>
        </w:rPr>
        <w:t>of</w:t>
      </w:r>
      <w:r>
        <w:rPr>
          <w:color w:val="231F1F"/>
          <w:spacing w:val="-21"/>
          <w:w w:val="120"/>
        </w:rPr>
        <w:t> </w:t>
      </w:r>
      <w:r>
        <w:rPr>
          <w:color w:val="231F1F"/>
          <w:w w:val="120"/>
        </w:rPr>
        <w:t>bosutinib</w:t>
      </w:r>
      <w:r>
        <w:rPr>
          <w:color w:val="231F1F"/>
          <w:spacing w:val="-20"/>
          <w:w w:val="120"/>
        </w:rPr>
        <w:t> </w:t>
      </w:r>
      <w:r>
        <w:rPr>
          <w:color w:val="231F1F"/>
          <w:w w:val="120"/>
        </w:rPr>
        <w:t>advises</w:t>
      </w:r>
      <w:r>
        <w:rPr>
          <w:color w:val="231F1F"/>
          <w:spacing w:val="-21"/>
          <w:w w:val="120"/>
        </w:rPr>
        <w:t> </w:t>
      </w:r>
      <w:r>
        <w:rPr>
          <w:color w:val="231F1F"/>
          <w:w w:val="120"/>
        </w:rPr>
        <w:t>avoid concomitant</w:t>
      </w:r>
      <w:r>
        <w:rPr>
          <w:color w:val="231F1F"/>
          <w:spacing w:val="-7"/>
          <w:w w:val="120"/>
        </w:rPr>
        <w:t> </w:t>
      </w:r>
      <w:r>
        <w:rPr>
          <w:color w:val="231F1F"/>
          <w:w w:val="120"/>
        </w:rPr>
        <w:t>use</w:t>
      </w:r>
    </w:p>
    <w:p>
      <w:pPr>
        <w:pStyle w:val="BodyText"/>
        <w:spacing w:line="244" w:lineRule="auto"/>
        <w:ind w:right="670" w:hanging="100"/>
      </w:pPr>
      <w:r>
        <w:rPr>
          <w:rFonts w:ascii="Arial" w:hAnsi="Arial"/>
          <w:color w:val="231F1F"/>
          <w:w w:val="355"/>
          <w:position w:val="1"/>
          <w:sz w:val="7"/>
        </w:rPr>
        <w:t>l </w:t>
      </w:r>
      <w:r>
        <w:rPr>
          <w:rFonts w:ascii="Calibri" w:hAnsi="Calibri"/>
          <w:color w:val="231F1F"/>
          <w:w w:val="110"/>
        </w:rPr>
        <w:t>Calcium-channel Blockers: </w:t>
      </w:r>
      <w:r>
        <w:rPr>
          <w:color w:val="231F1F"/>
          <w:w w:val="110"/>
        </w:rPr>
        <w:t>plasma concentration of bosutinib possibly increased by </w:t>
      </w:r>
      <w:r>
        <w:rPr>
          <w:rFonts w:ascii="Arial" w:hAnsi="Arial"/>
          <w:color w:val="231F1F"/>
          <w:w w:val="355"/>
          <w:position w:val="1"/>
          <w:sz w:val="7"/>
        </w:rPr>
        <w:t>l </w:t>
      </w:r>
      <w:r>
        <w:rPr>
          <w:rFonts w:ascii="Calibri" w:hAnsi="Calibri"/>
          <w:color w:val="008356"/>
          <w:spacing w:val="3"/>
          <w:w w:val="110"/>
          <w:sz w:val="11"/>
        </w:rPr>
        <w:t>DILTIAZEM </w:t>
      </w:r>
      <w:r>
        <w:rPr>
          <w:color w:val="231F1F"/>
          <w:w w:val="110"/>
        </w:rPr>
        <w:t>and </w:t>
      </w:r>
      <w:r>
        <w:rPr>
          <w:rFonts w:ascii="Arial" w:hAnsi="Arial"/>
          <w:color w:val="231F1F"/>
          <w:w w:val="355"/>
          <w:position w:val="1"/>
          <w:sz w:val="7"/>
        </w:rPr>
        <w:t>l </w:t>
      </w:r>
      <w:r>
        <w:rPr>
          <w:rFonts w:ascii="Calibri" w:hAnsi="Calibri"/>
          <w:color w:val="008356"/>
          <w:spacing w:val="4"/>
          <w:w w:val="110"/>
          <w:sz w:val="11"/>
        </w:rPr>
        <w:t>VERAPAMIL</w:t>
      </w:r>
      <w:r>
        <w:rPr>
          <w:rFonts w:ascii="Arial" w:hAnsi="Arial"/>
          <w:color w:val="231F1F"/>
          <w:spacing w:val="4"/>
          <w:w w:val="110"/>
        </w:rPr>
        <w:t>— </w:t>
      </w:r>
      <w:r>
        <w:rPr>
          <w:color w:val="231F1F"/>
          <w:w w:val="110"/>
        </w:rPr>
        <w:t>manufacturer of bosutinib advises avoid or consider reducing dose of</w:t>
      </w:r>
      <w:r>
        <w:rPr>
          <w:color w:val="231F1F"/>
          <w:spacing w:val="-4"/>
          <w:w w:val="110"/>
        </w:rPr>
        <w:t> </w:t>
      </w:r>
      <w:r>
        <w:rPr>
          <w:color w:val="231F1F"/>
          <w:w w:val="110"/>
        </w:rPr>
        <w:t>bosutinib</w:t>
      </w:r>
    </w:p>
    <w:p>
      <w:pPr>
        <w:pStyle w:val="BodyText"/>
        <w:ind w:right="736" w:hanging="100"/>
      </w:pPr>
      <w:r>
        <w:rPr>
          <w:rFonts w:ascii="Arial" w:hAnsi="Arial"/>
          <w:color w:val="231F1F"/>
          <w:w w:val="355"/>
          <w:position w:val="1"/>
          <w:sz w:val="7"/>
        </w:rPr>
        <w:t>l </w:t>
      </w:r>
      <w:r>
        <w:rPr>
          <w:rFonts w:ascii="Calibri" w:hAnsi="Calibri"/>
          <w:color w:val="231F1F"/>
          <w:w w:val="120"/>
        </w:rPr>
        <w:t>Cytotoxics: </w:t>
      </w:r>
      <w:r>
        <w:rPr>
          <w:color w:val="231F1F"/>
          <w:w w:val="120"/>
        </w:rPr>
        <w:t>plasma concentration of bosutinib possibly </w:t>
      </w:r>
      <w:r>
        <w:rPr>
          <w:color w:val="231F1F"/>
          <w:w w:val="115"/>
        </w:rPr>
        <w:t>increased by </w:t>
      </w:r>
      <w:r>
        <w:rPr>
          <w:rFonts w:ascii="Arial" w:hAnsi="Arial"/>
          <w:color w:val="231F1F"/>
          <w:w w:val="115"/>
          <w:position w:val="1"/>
          <w:sz w:val="7"/>
        </w:rPr>
        <w:t>l </w:t>
      </w:r>
      <w:r>
        <w:rPr>
          <w:rFonts w:ascii="Calibri" w:hAnsi="Calibri"/>
          <w:color w:val="008356"/>
          <w:w w:val="115"/>
          <w:sz w:val="11"/>
        </w:rPr>
        <w:t>IMATINIB</w:t>
      </w:r>
      <w:r>
        <w:rPr>
          <w:rFonts w:ascii="Arial" w:hAnsi="Arial"/>
          <w:color w:val="231F1F"/>
          <w:w w:val="115"/>
        </w:rPr>
        <w:t>—</w:t>
      </w:r>
      <w:r>
        <w:rPr>
          <w:color w:val="231F1F"/>
          <w:w w:val="115"/>
        </w:rPr>
        <w:t>manufacturer of bosutinib advises </w:t>
      </w:r>
      <w:r>
        <w:rPr>
          <w:color w:val="231F1F"/>
          <w:w w:val="120"/>
        </w:rPr>
        <w:t>avoid or consider reducing dose of bosutinib</w:t>
      </w:r>
    </w:p>
    <w:p>
      <w:pPr>
        <w:pStyle w:val="BodyText"/>
        <w:ind w:right="670" w:hanging="100"/>
      </w:pPr>
      <w:r>
        <w:rPr>
          <w:rFonts w:ascii="Arial"/>
          <w:color w:val="231F1F"/>
          <w:w w:val="355"/>
          <w:position w:val="1"/>
          <w:sz w:val="7"/>
        </w:rPr>
        <w:t>l </w:t>
      </w:r>
      <w:r>
        <w:rPr>
          <w:rFonts w:ascii="Calibri"/>
          <w:color w:val="231F1F"/>
          <w:w w:val="105"/>
        </w:rPr>
        <w:t>Domperidone: </w:t>
      </w:r>
      <w:r>
        <w:rPr>
          <w:color w:val="231F1F"/>
          <w:w w:val="105"/>
        </w:rPr>
        <w:t>manufacturer of bosutinib advises avoid concomitant use with </w:t>
      </w:r>
      <w:r>
        <w:rPr>
          <w:rFonts w:ascii="Arial"/>
          <w:color w:val="231F1F"/>
          <w:w w:val="355"/>
          <w:position w:val="1"/>
          <w:sz w:val="7"/>
        </w:rPr>
        <w:t>l </w:t>
      </w:r>
      <w:r>
        <w:rPr>
          <w:rFonts w:ascii="Calibri"/>
          <w:color w:val="008356"/>
          <w:w w:val="105"/>
          <w:sz w:val="11"/>
        </w:rPr>
        <w:t>DOMPERIDONE </w:t>
      </w:r>
      <w:r>
        <w:rPr>
          <w:color w:val="231F1F"/>
          <w:w w:val="105"/>
        </w:rPr>
        <w:t>(risk of ventricular arrhythmias)</w:t>
      </w:r>
    </w:p>
    <w:p>
      <w:pPr>
        <w:pStyle w:val="BodyText"/>
        <w:ind w:right="874"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Fosaprepitant:</w:t>
      </w:r>
      <w:r>
        <w:rPr>
          <w:rFonts w:ascii="Calibri" w:hAnsi="Calibri"/>
          <w:color w:val="231F1F"/>
          <w:spacing w:val="-13"/>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7"/>
          <w:w w:val="115"/>
        </w:rPr>
        <w:t> </w:t>
      </w:r>
      <w:r>
        <w:rPr>
          <w:color w:val="231F1F"/>
          <w:w w:val="115"/>
        </w:rPr>
        <w:t>bosutinib</w:t>
      </w:r>
      <w:r>
        <w:rPr>
          <w:color w:val="231F1F"/>
          <w:spacing w:val="-17"/>
          <w:w w:val="115"/>
        </w:rPr>
        <w:t> </w:t>
      </w:r>
      <w:r>
        <w:rPr>
          <w:color w:val="231F1F"/>
          <w:w w:val="115"/>
        </w:rPr>
        <w:t>possibly increased</w:t>
      </w:r>
      <w:r>
        <w:rPr>
          <w:color w:val="231F1F"/>
          <w:spacing w:val="-25"/>
          <w:w w:val="115"/>
        </w:rPr>
        <w:t> </w:t>
      </w:r>
      <w:r>
        <w:rPr>
          <w:color w:val="231F1F"/>
          <w:w w:val="115"/>
        </w:rPr>
        <w:t>by</w:t>
      </w:r>
      <w:r>
        <w:rPr>
          <w:color w:val="231F1F"/>
          <w:spacing w:val="-24"/>
          <w:w w:val="115"/>
        </w:rPr>
        <w:t> </w:t>
      </w:r>
      <w:r>
        <w:rPr>
          <w:rFonts w:ascii="Arial" w:hAnsi="Arial"/>
          <w:color w:val="231F1F"/>
          <w:w w:val="150"/>
          <w:position w:val="1"/>
          <w:sz w:val="7"/>
        </w:rPr>
        <w:t>l</w:t>
      </w:r>
      <w:r>
        <w:rPr>
          <w:rFonts w:ascii="Arial" w:hAnsi="Arial"/>
          <w:color w:val="231F1F"/>
          <w:spacing w:val="-19"/>
          <w:w w:val="150"/>
          <w:position w:val="1"/>
          <w:sz w:val="7"/>
        </w:rPr>
        <w:t> </w:t>
      </w:r>
      <w:r>
        <w:rPr>
          <w:rFonts w:ascii="Calibri" w:hAnsi="Calibri"/>
          <w:color w:val="008356"/>
          <w:spacing w:val="2"/>
          <w:w w:val="115"/>
          <w:sz w:val="11"/>
        </w:rPr>
        <w:t>FOSAPREPITANT</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bosutinib advises</w:t>
      </w:r>
      <w:r>
        <w:rPr>
          <w:color w:val="231F1F"/>
          <w:spacing w:val="-6"/>
          <w:w w:val="115"/>
        </w:rPr>
        <w:t> </w:t>
      </w:r>
      <w:r>
        <w:rPr>
          <w:color w:val="231F1F"/>
          <w:w w:val="115"/>
        </w:rPr>
        <w:t>avoid</w:t>
      </w:r>
      <w:r>
        <w:rPr>
          <w:color w:val="231F1F"/>
          <w:spacing w:val="-7"/>
          <w:w w:val="115"/>
        </w:rPr>
        <w:t> </w:t>
      </w:r>
      <w:r>
        <w:rPr>
          <w:color w:val="231F1F"/>
          <w:w w:val="115"/>
        </w:rPr>
        <w:t>or</w:t>
      </w:r>
      <w:r>
        <w:rPr>
          <w:color w:val="231F1F"/>
          <w:spacing w:val="-6"/>
          <w:w w:val="115"/>
        </w:rPr>
        <w:t> </w:t>
      </w:r>
      <w:r>
        <w:rPr>
          <w:color w:val="231F1F"/>
          <w:w w:val="115"/>
        </w:rPr>
        <w:t>consider</w:t>
      </w:r>
      <w:r>
        <w:rPr>
          <w:color w:val="231F1F"/>
          <w:spacing w:val="-6"/>
          <w:w w:val="115"/>
        </w:rPr>
        <w:t> </w:t>
      </w:r>
      <w:r>
        <w:rPr>
          <w:color w:val="231F1F"/>
          <w:w w:val="115"/>
        </w:rPr>
        <w:t>reducing</w:t>
      </w:r>
      <w:r>
        <w:rPr>
          <w:color w:val="231F1F"/>
          <w:spacing w:val="-6"/>
          <w:w w:val="115"/>
        </w:rPr>
        <w:t> </w:t>
      </w:r>
      <w:r>
        <w:rPr>
          <w:color w:val="231F1F"/>
          <w:w w:val="115"/>
        </w:rPr>
        <w:t>dose</w:t>
      </w:r>
      <w:r>
        <w:rPr>
          <w:color w:val="231F1F"/>
          <w:spacing w:val="-6"/>
          <w:w w:val="115"/>
        </w:rPr>
        <w:t> </w:t>
      </w:r>
      <w:r>
        <w:rPr>
          <w:color w:val="231F1F"/>
          <w:w w:val="115"/>
        </w:rPr>
        <w:t>of</w:t>
      </w:r>
      <w:r>
        <w:rPr>
          <w:color w:val="231F1F"/>
          <w:spacing w:val="-5"/>
          <w:w w:val="115"/>
        </w:rPr>
        <w:t> </w:t>
      </w:r>
      <w:r>
        <w:rPr>
          <w:color w:val="231F1F"/>
          <w:w w:val="115"/>
        </w:rPr>
        <w:t>bosutinib</w:t>
      </w:r>
    </w:p>
    <w:p>
      <w:pPr>
        <w:pStyle w:val="BodyText"/>
        <w:ind w:right="763" w:hanging="100"/>
      </w:pP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231F1F"/>
          <w:w w:val="115"/>
        </w:rPr>
        <w:t>Grapefruit</w:t>
      </w:r>
      <w:r>
        <w:rPr>
          <w:rFonts w:ascii="Calibri" w:hAnsi="Calibri"/>
          <w:color w:val="231F1F"/>
          <w:spacing w:val="-9"/>
          <w:w w:val="115"/>
        </w:rPr>
        <w:t> </w:t>
      </w:r>
      <w:r>
        <w:rPr>
          <w:rFonts w:ascii="Calibri" w:hAnsi="Calibri"/>
          <w:color w:val="231F1F"/>
          <w:w w:val="115"/>
        </w:rPr>
        <w:t>Juice:</w:t>
      </w:r>
      <w:r>
        <w:rPr>
          <w:rFonts w:ascii="Calibri" w:hAnsi="Calibri"/>
          <w:color w:val="231F1F"/>
          <w:spacing w:val="-8"/>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1"/>
          <w:w w:val="115"/>
        </w:rPr>
        <w:t> </w:t>
      </w:r>
      <w:r>
        <w:rPr>
          <w:color w:val="231F1F"/>
          <w:w w:val="115"/>
        </w:rPr>
        <w:t>bosutinib</w:t>
      </w:r>
      <w:r>
        <w:rPr>
          <w:color w:val="231F1F"/>
          <w:spacing w:val="-11"/>
          <w:w w:val="115"/>
        </w:rPr>
        <w:t> </w:t>
      </w:r>
      <w:r>
        <w:rPr>
          <w:color w:val="231F1F"/>
          <w:w w:val="115"/>
        </w:rPr>
        <w:t>possibly increased</w:t>
      </w:r>
      <w:r>
        <w:rPr>
          <w:color w:val="231F1F"/>
          <w:spacing w:val="-20"/>
          <w:w w:val="115"/>
        </w:rPr>
        <w:t> </w:t>
      </w:r>
      <w:r>
        <w:rPr>
          <w:color w:val="231F1F"/>
          <w:w w:val="115"/>
        </w:rPr>
        <w:t>by</w:t>
      </w:r>
      <w:r>
        <w:rPr>
          <w:color w:val="231F1F"/>
          <w:spacing w:val="-18"/>
          <w:w w:val="115"/>
        </w:rPr>
        <w:t>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GRAPEFRUIT</w:t>
      </w:r>
      <w:r>
        <w:rPr>
          <w:rFonts w:ascii="Calibri" w:hAnsi="Calibri"/>
          <w:color w:val="008356"/>
          <w:spacing w:val="-15"/>
          <w:w w:val="115"/>
          <w:sz w:val="11"/>
        </w:rPr>
        <w:t> </w:t>
      </w:r>
      <w:r>
        <w:rPr>
          <w:rFonts w:ascii="Calibri" w:hAnsi="Calibri"/>
          <w:color w:val="008356"/>
          <w:w w:val="115"/>
          <w:sz w:val="11"/>
        </w:rPr>
        <w:t>JUICE</w:t>
      </w:r>
      <w:r>
        <w:rPr>
          <w:rFonts w:ascii="Arial" w:hAnsi="Arial"/>
          <w:color w:val="231F1F"/>
          <w:w w:val="115"/>
        </w:rPr>
        <w:t>—</w:t>
      </w:r>
      <w:r>
        <w:rPr>
          <w:color w:val="231F1F"/>
          <w:w w:val="115"/>
        </w:rPr>
        <w:t>manufacturer</w:t>
      </w:r>
      <w:r>
        <w:rPr>
          <w:color w:val="231F1F"/>
          <w:spacing w:val="-19"/>
          <w:w w:val="115"/>
        </w:rPr>
        <w:t> </w:t>
      </w:r>
      <w:r>
        <w:rPr>
          <w:color w:val="231F1F"/>
          <w:w w:val="115"/>
        </w:rPr>
        <w:t>of</w:t>
      </w:r>
      <w:r>
        <w:rPr>
          <w:color w:val="231F1F"/>
          <w:spacing w:val="-18"/>
          <w:w w:val="115"/>
        </w:rPr>
        <w:t> </w:t>
      </w:r>
      <w:r>
        <w:rPr>
          <w:color w:val="231F1F"/>
          <w:w w:val="115"/>
        </w:rPr>
        <w:t>bosutinib </w:t>
      </w:r>
      <w:r>
        <w:rPr>
          <w:color w:val="231F1F"/>
          <w:w w:val="120"/>
        </w:rPr>
        <w:t>advises</w:t>
      </w:r>
      <w:r>
        <w:rPr>
          <w:color w:val="231F1F"/>
          <w:spacing w:val="-13"/>
          <w:w w:val="120"/>
        </w:rPr>
        <w:t> </w:t>
      </w:r>
      <w:r>
        <w:rPr>
          <w:color w:val="231F1F"/>
          <w:w w:val="120"/>
        </w:rPr>
        <w:t>avoid</w:t>
      </w:r>
      <w:r>
        <w:rPr>
          <w:color w:val="231F1F"/>
          <w:spacing w:val="-13"/>
          <w:w w:val="120"/>
        </w:rPr>
        <w:t> </w:t>
      </w:r>
      <w:r>
        <w:rPr>
          <w:color w:val="231F1F"/>
          <w:w w:val="120"/>
        </w:rPr>
        <w:t>or</w:t>
      </w:r>
      <w:r>
        <w:rPr>
          <w:color w:val="231F1F"/>
          <w:spacing w:val="-13"/>
          <w:w w:val="120"/>
        </w:rPr>
        <w:t> </w:t>
      </w:r>
      <w:r>
        <w:rPr>
          <w:color w:val="231F1F"/>
          <w:w w:val="120"/>
        </w:rPr>
        <w:t>consider</w:t>
      </w:r>
      <w:r>
        <w:rPr>
          <w:color w:val="231F1F"/>
          <w:spacing w:val="-13"/>
          <w:w w:val="120"/>
        </w:rPr>
        <w:t> </w:t>
      </w:r>
      <w:r>
        <w:rPr>
          <w:color w:val="231F1F"/>
          <w:w w:val="120"/>
        </w:rPr>
        <w:t>reducing</w:t>
      </w:r>
      <w:r>
        <w:rPr>
          <w:color w:val="231F1F"/>
          <w:spacing w:val="-13"/>
          <w:w w:val="120"/>
        </w:rPr>
        <w:t> </w:t>
      </w:r>
      <w:r>
        <w:rPr>
          <w:color w:val="231F1F"/>
          <w:w w:val="120"/>
        </w:rPr>
        <w:t>dose</w:t>
      </w:r>
      <w:r>
        <w:rPr>
          <w:color w:val="231F1F"/>
          <w:spacing w:val="-13"/>
          <w:w w:val="120"/>
        </w:rPr>
        <w:t> </w:t>
      </w:r>
      <w:r>
        <w:rPr>
          <w:color w:val="231F1F"/>
          <w:w w:val="120"/>
        </w:rPr>
        <w:t>of</w:t>
      </w:r>
      <w:r>
        <w:rPr>
          <w:color w:val="231F1F"/>
          <w:spacing w:val="-12"/>
          <w:w w:val="120"/>
        </w:rPr>
        <w:t> </w:t>
      </w:r>
      <w:r>
        <w:rPr>
          <w:color w:val="231F1F"/>
          <w:w w:val="120"/>
        </w:rPr>
        <w:t>bosutinib</w:t>
      </w:r>
    </w:p>
    <w:p>
      <w:pPr>
        <w:pStyle w:val="BodyText"/>
        <w:spacing w:before="2"/>
        <w:ind w:right="618" w:hanging="100"/>
      </w:pPr>
      <w:r>
        <w:rPr>
          <w:rFonts w:ascii="Arial" w:hAnsi="Arial"/>
          <w:color w:val="231F1F"/>
          <w:w w:val="115"/>
          <w:position w:val="1"/>
          <w:sz w:val="7"/>
        </w:rPr>
        <w:t>l </w:t>
      </w:r>
      <w:r>
        <w:rPr>
          <w:rFonts w:ascii="Calibri" w:hAnsi="Calibri"/>
          <w:color w:val="231F1F"/>
          <w:w w:val="115"/>
        </w:rPr>
        <w:t>Modafinil: </w:t>
      </w:r>
      <w:r>
        <w:rPr>
          <w:color w:val="231F1F"/>
          <w:w w:val="115"/>
        </w:rPr>
        <w:t>plasma concentration of bosutinib possibly reduced </w:t>
      </w:r>
      <w:r>
        <w:rPr>
          <w:color w:val="231F1F"/>
          <w:w w:val="120"/>
        </w:rPr>
        <w:t>by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20"/>
          <w:sz w:val="11"/>
        </w:rPr>
        <w:t>MODAFINIL</w:t>
      </w:r>
      <w:r>
        <w:rPr>
          <w:rFonts w:ascii="Arial" w:hAnsi="Arial"/>
          <w:color w:val="231F1F"/>
          <w:w w:val="120"/>
        </w:rPr>
        <w:t>—</w:t>
      </w:r>
      <w:r>
        <w:rPr>
          <w:color w:val="231F1F"/>
          <w:w w:val="120"/>
        </w:rPr>
        <w:t>manufacturer of bosutinib advises avoid concomitant use</w:t>
      </w:r>
    </w:p>
    <w:p>
      <w:pPr>
        <w:pStyle w:val="BodyText"/>
        <w:spacing w:line="220" w:lineRule="auto" w:before="11"/>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bosutinib reduced by </w:t>
      </w:r>
      <w:r>
        <w:rPr>
          <w:rFonts w:ascii="Calibri" w:hAnsi="Calibri"/>
          <w:color w:val="008356"/>
          <w:w w:val="105"/>
          <w:sz w:val="11"/>
        </w:rPr>
        <w:t>LANSOPRAZOLE</w:t>
      </w:r>
    </w:p>
    <w:p>
      <w:pPr>
        <w:pStyle w:val="BodyText"/>
        <w:spacing w:before="9"/>
        <w:ind w:left="108"/>
        <w:rPr>
          <w:rFonts w:ascii="Trebuchet MS"/>
        </w:rPr>
      </w:pPr>
      <w:r>
        <w:rPr>
          <w:rFonts w:ascii="Trebuchet MS"/>
          <w:color w:val="008356"/>
        </w:rPr>
        <w:t>Brentuximab vedotin</w:t>
      </w:r>
    </w:p>
    <w:p>
      <w:pPr>
        <w:pStyle w:val="BodyText"/>
        <w:spacing w:line="220" w:lineRule="auto" w:before="10"/>
        <w:ind w:right="112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effects of brentuximab vedotin possibly reduced by </w:t>
      </w:r>
      <w:r>
        <w:rPr>
          <w:rFonts w:ascii="Calibri" w:hAnsi="Calibri"/>
          <w:color w:val="008356"/>
          <w:w w:val="105"/>
          <w:sz w:val="11"/>
        </w:rPr>
        <w:t>RIFAMPICIN</w:t>
      </w:r>
    </w:p>
    <w:p>
      <w:pPr>
        <w:pStyle w:val="BodyText"/>
        <w:ind w:right="670" w:hanging="100"/>
        <w:rPr>
          <w:rFonts w:ascii="Calibri"/>
          <w:sz w:val="11"/>
        </w:rPr>
      </w:pPr>
      <w:r>
        <w:rPr>
          <w:rFonts w:ascii="Arial"/>
          <w:color w:val="231F1F"/>
          <w:w w:val="355"/>
          <w:position w:val="1"/>
          <w:sz w:val="7"/>
        </w:rPr>
        <w:t>l </w:t>
      </w:r>
      <w:r>
        <w:rPr>
          <w:rFonts w:ascii="Calibri"/>
          <w:color w:val="231F1F"/>
          <w:w w:val="110"/>
        </w:rPr>
        <w:t>Antifungals: </w:t>
      </w:r>
      <w:r>
        <w:rPr>
          <w:color w:val="231F1F"/>
          <w:w w:val="110"/>
        </w:rPr>
        <w:t>possible increased risk of neutropenia </w:t>
      </w:r>
      <w:r>
        <w:rPr>
          <w:color w:val="231F1F"/>
          <w:spacing w:val="-4"/>
          <w:w w:val="110"/>
        </w:rPr>
        <w:t>when </w:t>
      </w:r>
      <w:r>
        <w:rPr>
          <w:color w:val="231F1F"/>
          <w:w w:val="110"/>
        </w:rPr>
        <w:t>brentuximab vedotin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KETOCONAZOLE</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1170" w:hanging="100"/>
        <w:jc w:val="both"/>
      </w:pPr>
      <w:r>
        <w:rPr>
          <w:rFonts w:ascii="Arial" w:hAnsi="Arial"/>
          <w:color w:val="231F1F"/>
          <w:w w:val="355"/>
          <w:position w:val="1"/>
          <w:sz w:val="7"/>
        </w:rPr>
        <w:t>l</w:t>
      </w:r>
      <w:r>
        <w:rPr>
          <w:rFonts w:ascii="Arial" w:hAnsi="Arial"/>
          <w:color w:val="231F1F"/>
          <w:spacing w:val="-26"/>
          <w:w w:val="355"/>
          <w:position w:val="1"/>
          <w:sz w:val="7"/>
        </w:rPr>
        <w:t> </w:t>
      </w:r>
      <w:r>
        <w:rPr>
          <w:rFonts w:ascii="Calibri" w:hAnsi="Calibri"/>
          <w:color w:val="231F1F"/>
          <w:w w:val="110"/>
        </w:rPr>
        <w:t>Cytotoxics: </w:t>
      </w:r>
      <w:r>
        <w:rPr>
          <w:color w:val="231F1F"/>
          <w:w w:val="110"/>
        </w:rPr>
        <w:t>increased risk of pulmonary toxicity </w:t>
      </w:r>
      <w:r>
        <w:rPr>
          <w:color w:val="231F1F"/>
          <w:spacing w:val="-4"/>
          <w:w w:val="110"/>
        </w:rPr>
        <w:t>when </w:t>
      </w:r>
      <w:r>
        <w:rPr>
          <w:color w:val="231F1F"/>
          <w:w w:val="110"/>
        </w:rPr>
        <w:t>brentuximab</w:t>
      </w:r>
      <w:r>
        <w:rPr>
          <w:color w:val="231F1F"/>
          <w:spacing w:val="-5"/>
          <w:w w:val="110"/>
        </w:rPr>
        <w:t> </w:t>
      </w:r>
      <w:r>
        <w:rPr>
          <w:color w:val="231F1F"/>
          <w:w w:val="110"/>
        </w:rPr>
        <w:t>vedotin</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0"/>
          <w:sz w:val="11"/>
        </w:rPr>
        <w:t>BLEOMYCIN</w:t>
      </w:r>
      <w:r>
        <w:rPr>
          <w:rFonts w:ascii="Arial" w:hAnsi="Arial"/>
          <w:color w:val="231F1F"/>
          <w:spacing w:val="2"/>
          <w:w w:val="110"/>
        </w:rPr>
        <w:t>—</w:t>
      </w:r>
      <w:r>
        <w:rPr>
          <w:color w:val="231F1F"/>
          <w:spacing w:val="2"/>
          <w:w w:val="110"/>
        </w:rPr>
        <w:t>avoid </w:t>
      </w:r>
      <w:r>
        <w:rPr>
          <w:color w:val="231F1F"/>
          <w:w w:val="110"/>
        </w:rPr>
        <w:t>concomitant</w:t>
      </w:r>
      <w:r>
        <w:rPr>
          <w:color w:val="231F1F"/>
          <w:spacing w:val="-3"/>
          <w:w w:val="110"/>
        </w:rPr>
        <w:t> </w:t>
      </w:r>
      <w:r>
        <w:rPr>
          <w:color w:val="231F1F"/>
          <w:w w:val="110"/>
        </w:rPr>
        <w:t>use</w:t>
      </w:r>
    </w:p>
    <w:p>
      <w:pPr>
        <w:pStyle w:val="BodyText"/>
        <w:ind w:right="688" w:hanging="100"/>
        <w:jc w:val="both"/>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spacing w:val="-4"/>
          <w:w w:val="115"/>
        </w:rPr>
        <w:t>use</w:t>
      </w:r>
    </w:p>
    <w:p>
      <w:pPr>
        <w:pStyle w:val="BodyText"/>
        <w:spacing w:before="6"/>
        <w:ind w:left="108"/>
        <w:rPr>
          <w:rFonts w:ascii="Trebuchet MS"/>
        </w:rPr>
      </w:pPr>
      <w:r>
        <w:rPr>
          <w:rFonts w:ascii="Trebuchet MS"/>
          <w:color w:val="008356"/>
          <w:w w:val="105"/>
        </w:rPr>
        <w:t>Brimonidine</w:t>
      </w:r>
    </w:p>
    <w:p>
      <w:pPr>
        <w:spacing w:line="230" w:lineRule="auto" w:before="5"/>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manufacturer of brimonidine advises avoid concomitant use with </w:t>
      </w:r>
      <w:r>
        <w:rPr>
          <w:rFonts w:ascii="Calibri" w:hAnsi="Calibri"/>
          <w:color w:val="008356"/>
          <w:w w:val="105"/>
          <w:sz w:val="11"/>
        </w:rPr>
        <w:t>MAOI</w:t>
      </w:r>
      <w:r>
        <w:rPr>
          <w:rFonts w:ascii="Calibri" w:hAnsi="Calibri"/>
          <w:color w:val="008356"/>
          <w:w w:val="105"/>
          <w:sz w:val="9"/>
        </w:rPr>
        <w:t>S</w:t>
      </w:r>
      <w:r>
        <w:rPr>
          <w:color w:val="231F1F"/>
          <w:w w:val="105"/>
          <w:sz w:val="12"/>
        </w:rPr>
        <w:t>, </w:t>
      </w:r>
      <w:r>
        <w:rPr>
          <w:rFonts w:ascii="Calibri" w:hAnsi="Calibri"/>
          <w:color w:val="008356"/>
          <w:w w:val="105"/>
          <w:sz w:val="11"/>
        </w:rPr>
        <w:t>TRICYCLIC-RELATED ANTIDEPRESSANTS </w:t>
      </w:r>
      <w:r>
        <w:rPr>
          <w:color w:val="231F1F"/>
          <w:w w:val="105"/>
          <w:sz w:val="12"/>
        </w:rPr>
        <w:t>and </w:t>
      </w:r>
      <w:r>
        <w:rPr>
          <w:rFonts w:ascii="Calibri" w:hAnsi="Calibri"/>
          <w:color w:val="008356"/>
          <w:w w:val="105"/>
          <w:sz w:val="11"/>
        </w:rPr>
        <w:t>TRICYCLICS</w:t>
      </w:r>
    </w:p>
    <w:p>
      <w:pPr>
        <w:pStyle w:val="BodyText"/>
        <w:spacing w:before="8"/>
        <w:ind w:left="108"/>
        <w:jc w:val="both"/>
      </w:pPr>
      <w:r>
        <w:rPr>
          <w:rFonts w:ascii="Trebuchet MS"/>
          <w:color w:val="008356"/>
          <w:w w:val="105"/>
        </w:rPr>
        <w:t>Brinzolamide </w:t>
      </w:r>
      <w:r>
        <w:rPr>
          <w:i/>
          <w:color w:val="231F1F"/>
          <w:w w:val="105"/>
        </w:rPr>
        <w:t>see </w:t>
      </w:r>
      <w:r>
        <w:rPr>
          <w:color w:val="231F1F"/>
          <w:w w:val="105"/>
        </w:rPr>
        <w:t>Diuretics</w:t>
      </w:r>
    </w:p>
    <w:p>
      <w:pPr>
        <w:pStyle w:val="BodyText"/>
        <w:spacing w:before="10"/>
        <w:ind w:left="108"/>
        <w:rPr>
          <w:rFonts w:ascii="Trebuchet MS"/>
        </w:rPr>
      </w:pPr>
      <w:r>
        <w:rPr>
          <w:rFonts w:ascii="Trebuchet MS"/>
          <w:color w:val="008356"/>
        </w:rPr>
        <w:t>Bromocriptine</w:t>
      </w:r>
    </w:p>
    <w:p>
      <w:pPr>
        <w:pStyle w:val="BodyText"/>
        <w:spacing w:line="150" w:lineRule="exact" w:before="1"/>
        <w:ind w:left="108"/>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tolerance of bromocriptine reduced by </w:t>
      </w:r>
      <w:r>
        <w:rPr>
          <w:rFonts w:ascii="Calibri" w:hAnsi="Calibri"/>
          <w:color w:val="008356"/>
          <w:w w:val="105"/>
          <w:sz w:val="11"/>
        </w:rPr>
        <w:t>ALCOHOL</w:t>
      </w:r>
    </w:p>
    <w:p>
      <w:pPr>
        <w:pStyle w:val="BodyText"/>
        <w:spacing w:line="230" w:lineRule="auto"/>
        <w:ind w:right="762"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bromocriptine increased by </w:t>
      </w:r>
      <w:r>
        <w:rPr>
          <w:rFonts w:ascii="Calibri" w:hAnsi="Calibri"/>
          <w:color w:val="008356"/>
          <w:w w:val="110"/>
          <w:sz w:val="11"/>
        </w:rPr>
        <w:t>ERYTHROMYCIN </w:t>
      </w:r>
      <w:r>
        <w:rPr>
          <w:color w:val="231F1F"/>
          <w:w w:val="110"/>
        </w:rPr>
        <w:t>(increased risk of toxicity); plasma concentration of bromocriptine possibly increased by</w:t>
      </w:r>
    </w:p>
    <w:p>
      <w:pPr>
        <w:spacing w:line="141" w:lineRule="exact" w:before="3"/>
        <w:ind w:left="208" w:right="0" w:firstLine="0"/>
        <w:jc w:val="left"/>
        <w:rPr>
          <w:sz w:val="12"/>
        </w:rPr>
      </w:pPr>
      <w:r>
        <w:rPr>
          <w:rFonts w:ascii="Calibri"/>
          <w:color w:val="008356"/>
          <w:w w:val="110"/>
          <w:sz w:val="11"/>
        </w:rPr>
        <w:t>MACROLIDES </w:t>
      </w:r>
      <w:r>
        <w:rPr>
          <w:color w:val="231F1F"/>
          <w:w w:val="110"/>
          <w:sz w:val="12"/>
        </w:rPr>
        <w:t>(increased risk of toxicity)</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hypoprolactinaemic and antiparkinsonian effects of bromocriptine antagonised by </w:t>
      </w:r>
      <w:r>
        <w:rPr>
          <w:rFonts w:ascii="Calibri" w:hAnsi="Calibri"/>
          <w:color w:val="008356"/>
          <w:w w:val="105"/>
          <w:sz w:val="11"/>
        </w:rPr>
        <w:t>ANTIPSYCHOTICS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Domperidone: </w:t>
      </w:r>
      <w:r>
        <w:rPr>
          <w:color w:val="231F1F"/>
          <w:w w:val="105"/>
        </w:rPr>
        <w:t>hypoprolactinaemic effect of bromocriptine possibly antagonised by </w:t>
      </w:r>
      <w:r>
        <w:rPr>
          <w:rFonts w:ascii="Calibri" w:hAnsi="Calibri"/>
          <w:color w:val="008356"/>
          <w:w w:val="105"/>
          <w:sz w:val="11"/>
        </w:rPr>
        <w:t>DOMPERIDONE</w:t>
      </w:r>
    </w:p>
    <w:p>
      <w:pPr>
        <w:pStyle w:val="BodyText"/>
        <w:spacing w:line="220" w:lineRule="auto" w:before="9"/>
        <w:ind w:right="746"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Hormone Antagonists: </w:t>
      </w:r>
      <w:r>
        <w:rPr>
          <w:color w:val="231F1F"/>
          <w:w w:val="105"/>
        </w:rPr>
        <w:t>plasma concentration of bromocriptine increased by </w:t>
      </w:r>
      <w:r>
        <w:rPr>
          <w:rFonts w:ascii="Calibri" w:hAnsi="Calibri"/>
          <w:color w:val="008356"/>
          <w:w w:val="105"/>
          <w:sz w:val="11"/>
        </w:rPr>
        <w:t>OCTREOTIDE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08" w:right="0" w:firstLine="0"/>
        <w:jc w:val="left"/>
        <w:rPr>
          <w:rFonts w:ascii="Calibri"/>
          <w:sz w:val="11"/>
        </w:rPr>
      </w:pPr>
      <w:r>
        <w:rPr>
          <w:rFonts w:ascii="Calibri"/>
          <w:color w:val="008356"/>
          <w:sz w:val="11"/>
        </w:rPr>
        <w:t>MEMANTINE</w:t>
      </w:r>
    </w:p>
    <w:p>
      <w:pPr>
        <w:pStyle w:val="BodyText"/>
        <w:spacing w:line="220" w:lineRule="auto" w:before="8"/>
        <w:ind w:right="113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Metoclopramide: </w:t>
      </w:r>
      <w:r>
        <w:rPr>
          <w:color w:val="231F1F"/>
          <w:w w:val="105"/>
        </w:rPr>
        <w:t>hypoprolactinaemic effect of bromocriptine antagonised by </w:t>
      </w:r>
      <w:r>
        <w:rPr>
          <w:rFonts w:ascii="Calibri" w:hAnsi="Calibri"/>
          <w:color w:val="008356"/>
          <w:w w:val="105"/>
          <w:sz w:val="11"/>
        </w:rPr>
        <w:t>METOCLOPRAMIDE</w:t>
      </w:r>
    </w:p>
    <w:p>
      <w:pPr>
        <w:spacing w:after="0" w:line="220" w:lineRule="auto"/>
        <w:rPr>
          <w:rFonts w:ascii="Calibri" w:hAnsi="Calibri"/>
          <w:sz w:val="11"/>
        </w:rPr>
        <w:sectPr>
          <w:pgSz w:w="8390" w:h="11910"/>
          <w:pgMar w:header="0" w:footer="0" w:top="460" w:bottom="0" w:left="480" w:right="0"/>
          <w:cols w:num="2" w:equalWidth="0">
            <w:col w:w="3600" w:space="76"/>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2608" filled="true" fillcolor="#bfdbcf" stroked="false">
            <v:fill type="solid"/>
            <w10:wrap type="none"/>
          </v:rect>
        </w:pict>
      </w:r>
      <w:r>
        <w:rPr/>
        <w:pict>
          <v:shape style="position:absolute;margin-left:7.751256pt;margin-top:35.804367pt;width:10.4pt;height:78.850pt;mso-position-horizontal-relative:page;mso-position-vertical-relative:page;z-index:263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Bromocriptine </w:t>
      </w:r>
      <w:r>
        <w:rPr>
          <w:rFonts w:ascii="Calibri"/>
          <w:color w:val="231F1F"/>
        </w:rPr>
        <w:t>(continued)</w:t>
      </w:r>
    </w:p>
    <w:p>
      <w:pPr>
        <w:spacing w:line="240" w:lineRule="auto" w:before="0"/>
        <w:ind w:left="286" w:right="-6" w:hanging="100"/>
        <w:jc w:val="left"/>
        <w:rPr>
          <w:rFonts w:ascii="Calibri"/>
          <w:sz w:val="11"/>
        </w:rPr>
      </w:pPr>
      <w:r>
        <w:rPr>
          <w:rFonts w:ascii="Arial"/>
          <w:color w:val="231F1F"/>
          <w:w w:val="355"/>
          <w:position w:val="1"/>
          <w:sz w:val="7"/>
        </w:rPr>
        <w:t>l </w:t>
      </w:r>
      <w:r>
        <w:rPr>
          <w:rFonts w:ascii="Calibri"/>
          <w:color w:val="231F1F"/>
          <w:w w:val="110"/>
          <w:sz w:val="12"/>
        </w:rPr>
        <w:t>Sympathomimetics: </w:t>
      </w:r>
      <w:r>
        <w:rPr>
          <w:color w:val="231F1F"/>
          <w:w w:val="110"/>
          <w:sz w:val="12"/>
        </w:rPr>
        <w:t>risk of toxicity when bromocriptine given with </w:t>
      </w:r>
      <w:r>
        <w:rPr>
          <w:rFonts w:ascii="Arial"/>
          <w:color w:val="231F1F"/>
          <w:w w:val="355"/>
          <w:position w:val="1"/>
          <w:sz w:val="7"/>
        </w:rPr>
        <w:t>l </w:t>
      </w:r>
      <w:r>
        <w:rPr>
          <w:rFonts w:ascii="Calibri"/>
          <w:color w:val="008356"/>
          <w:w w:val="110"/>
          <w:sz w:val="11"/>
        </w:rPr>
        <w:t>ISOMETHEPTENE</w:t>
      </w:r>
    </w:p>
    <w:p>
      <w:pPr>
        <w:pStyle w:val="BodyText"/>
        <w:spacing w:line="256" w:lineRule="auto" w:before="4"/>
        <w:ind w:left="186" w:right="1416"/>
        <w:rPr>
          <w:rFonts w:ascii="Trebuchet MS"/>
        </w:rPr>
      </w:pPr>
      <w:r>
        <w:rPr>
          <w:rFonts w:ascii="Trebuchet MS"/>
          <w:color w:val="008356"/>
          <w:w w:val="105"/>
        </w:rPr>
        <w:t>Buclizine </w:t>
      </w:r>
      <w:r>
        <w:rPr>
          <w:i/>
          <w:color w:val="231F1F"/>
          <w:w w:val="105"/>
        </w:rPr>
        <w:t>see </w:t>
      </w:r>
      <w:r>
        <w:rPr>
          <w:color w:val="231F1F"/>
          <w:w w:val="105"/>
        </w:rPr>
        <w:t>Antihistamines </w:t>
      </w:r>
      <w:r>
        <w:rPr>
          <w:rFonts w:ascii="Trebuchet MS"/>
          <w:color w:val="008356"/>
          <w:w w:val="105"/>
        </w:rPr>
        <w:t>Budesonide </w:t>
      </w:r>
      <w:r>
        <w:rPr>
          <w:i/>
          <w:color w:val="231F1F"/>
          <w:w w:val="105"/>
        </w:rPr>
        <w:t>see </w:t>
      </w:r>
      <w:r>
        <w:rPr>
          <w:color w:val="231F1F"/>
          <w:w w:val="105"/>
        </w:rPr>
        <w:t>Corticosteroids </w:t>
      </w:r>
      <w:r>
        <w:rPr>
          <w:rFonts w:ascii="Trebuchet MS"/>
          <w:color w:val="008356"/>
          <w:w w:val="105"/>
        </w:rPr>
        <w:t>Bumetanide </w:t>
      </w:r>
      <w:r>
        <w:rPr>
          <w:i/>
          <w:color w:val="231F1F"/>
          <w:w w:val="105"/>
        </w:rPr>
        <w:t>see </w:t>
      </w:r>
      <w:r>
        <w:rPr>
          <w:color w:val="231F1F"/>
          <w:w w:val="105"/>
        </w:rPr>
        <w:t>Diuretics </w:t>
      </w:r>
      <w:r>
        <w:rPr>
          <w:rFonts w:ascii="Trebuchet MS"/>
          <w:color w:val="008356"/>
          <w:w w:val="105"/>
        </w:rPr>
        <w:t>Bupivacaine</w:t>
      </w:r>
    </w:p>
    <w:p>
      <w:pPr>
        <w:pStyle w:val="BodyText"/>
        <w:spacing w:line="220" w:lineRule="auto" w:before="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increased myocardial depression when bupivacaine given with </w:t>
      </w:r>
      <w:r>
        <w:rPr>
          <w:rFonts w:ascii="Calibri" w:hAnsi="Calibri"/>
          <w:color w:val="008356"/>
          <w:w w:val="105"/>
          <w:sz w:val="11"/>
        </w:rPr>
        <w:t>ANTI-ARRHYTHMICS</w:t>
      </w:r>
    </w:p>
    <w:p>
      <w:pPr>
        <w:pStyle w:val="BodyText"/>
        <w:ind w:left="286" w:hanging="100"/>
        <w:rPr>
          <w:rFonts w:ascii="Calibri"/>
          <w:sz w:val="11"/>
        </w:rPr>
      </w:pPr>
      <w:r>
        <w:rPr>
          <w:rFonts w:ascii="Arial"/>
          <w:color w:val="231F1F"/>
          <w:w w:val="355"/>
          <w:position w:val="1"/>
          <w:sz w:val="7"/>
        </w:rPr>
        <w:t>l </w:t>
      </w:r>
      <w:r>
        <w:rPr>
          <w:rFonts w:ascii="Calibri"/>
          <w:color w:val="231F1F"/>
          <w:w w:val="110"/>
        </w:rPr>
        <w:t>Beta-blockers: </w:t>
      </w:r>
      <w:r>
        <w:rPr>
          <w:color w:val="231F1F"/>
          <w:w w:val="110"/>
        </w:rPr>
        <w:t>increased risk of bupivacaine toxicity </w:t>
      </w:r>
      <w:r>
        <w:rPr>
          <w:color w:val="231F1F"/>
          <w:spacing w:val="-4"/>
          <w:w w:val="110"/>
        </w:rPr>
        <w:t>when </w:t>
      </w:r>
      <w:r>
        <w:rPr>
          <w:color w:val="231F1F"/>
          <w:w w:val="110"/>
        </w:rPr>
        <w:t>given with </w:t>
      </w:r>
      <w:r>
        <w:rPr>
          <w:rFonts w:ascii="Arial"/>
          <w:color w:val="231F1F"/>
          <w:w w:val="355"/>
          <w:position w:val="1"/>
          <w:sz w:val="7"/>
        </w:rPr>
        <w:t>l </w:t>
      </w:r>
      <w:r>
        <w:rPr>
          <w:rFonts w:ascii="Calibri"/>
          <w:color w:val="008356"/>
          <w:spacing w:val="4"/>
          <w:w w:val="110"/>
          <w:sz w:val="11"/>
        </w:rPr>
        <w:t>PROPRANOLOL</w:t>
      </w:r>
    </w:p>
    <w:p>
      <w:pPr>
        <w:pStyle w:val="BodyText"/>
        <w:spacing w:before="6"/>
        <w:ind w:left="186"/>
      </w:pPr>
      <w:r>
        <w:rPr>
          <w:rFonts w:ascii="Trebuchet MS"/>
          <w:color w:val="008356"/>
          <w:w w:val="105"/>
        </w:rPr>
        <w:t>Buprenorphine </w:t>
      </w:r>
      <w:r>
        <w:rPr>
          <w:i/>
          <w:color w:val="231F1F"/>
          <w:w w:val="105"/>
        </w:rPr>
        <w:t>see </w:t>
      </w:r>
      <w:r>
        <w:rPr>
          <w:color w:val="231F1F"/>
          <w:w w:val="105"/>
        </w:rPr>
        <w:t>Opioid Analgesics</w:t>
      </w:r>
    </w:p>
    <w:p>
      <w:pPr>
        <w:pStyle w:val="BodyText"/>
        <w:spacing w:before="10"/>
        <w:ind w:left="186"/>
        <w:rPr>
          <w:rFonts w:ascii="Trebuchet MS"/>
        </w:rPr>
      </w:pPr>
      <w:r>
        <w:rPr>
          <w:rFonts w:ascii="Trebuchet MS"/>
          <w:color w:val="008356"/>
          <w:w w:val="105"/>
        </w:rPr>
        <w:t>Bupropion</w:t>
      </w:r>
    </w:p>
    <w:p>
      <w:pPr>
        <w:pStyle w:val="BodyText"/>
        <w:spacing w:line="242" w:lineRule="auto" w:before="1"/>
        <w:ind w:left="286" w:right="145" w:hanging="100"/>
      </w:pPr>
      <w:r>
        <w:rPr>
          <w:rFonts w:ascii="Arial"/>
          <w:color w:val="231F1F"/>
          <w:w w:val="355"/>
          <w:position w:val="1"/>
          <w:sz w:val="7"/>
        </w:rPr>
        <w:t>l </w:t>
      </w:r>
      <w:r>
        <w:rPr>
          <w:rFonts w:ascii="Calibri"/>
          <w:color w:val="231F1F"/>
          <w:w w:val="110"/>
        </w:rPr>
        <w:t>Antidepressants: </w:t>
      </w:r>
      <w:r>
        <w:rPr>
          <w:color w:val="231F1F"/>
          <w:w w:val="110"/>
        </w:rPr>
        <w:t>bupropion possibly increases plasma concentration of </w:t>
      </w:r>
      <w:r>
        <w:rPr>
          <w:rFonts w:ascii="Calibri"/>
          <w:color w:val="008356"/>
          <w:w w:val="110"/>
          <w:sz w:val="11"/>
        </w:rPr>
        <w:t>CITALOPRAM</w:t>
      </w:r>
      <w:r>
        <w:rPr>
          <w:color w:val="231F1F"/>
          <w:w w:val="110"/>
        </w:rPr>
        <w:t>; manufacturer of bupropion advises avoid for 2 weeks after stopping </w:t>
      </w:r>
      <w:r>
        <w:rPr>
          <w:rFonts w:ascii="Arial"/>
          <w:color w:val="231F1F"/>
          <w:w w:val="355"/>
          <w:position w:val="1"/>
          <w:sz w:val="7"/>
        </w:rPr>
        <w:t>l </w:t>
      </w:r>
      <w:r>
        <w:rPr>
          <w:rFonts w:ascii="Calibri"/>
          <w:color w:val="008356"/>
          <w:w w:val="110"/>
          <w:sz w:val="11"/>
        </w:rPr>
        <w:t>MAOIS</w:t>
      </w:r>
      <w:r>
        <w:rPr>
          <w:color w:val="231F1F"/>
          <w:w w:val="110"/>
        </w:rPr>
        <w:t>; manufacturer of bupropion advises avoid concomitant use with </w:t>
      </w:r>
      <w:r>
        <w:rPr>
          <w:rFonts w:ascii="Arial"/>
          <w:color w:val="231F1F"/>
          <w:w w:val="355"/>
          <w:position w:val="1"/>
          <w:sz w:val="7"/>
        </w:rPr>
        <w:t>l </w:t>
      </w:r>
      <w:r>
        <w:rPr>
          <w:rFonts w:ascii="Calibri"/>
          <w:color w:val="008356"/>
          <w:w w:val="110"/>
          <w:sz w:val="11"/>
        </w:rPr>
        <w:t>MOCLOBEMIDE</w:t>
      </w:r>
      <w:r>
        <w:rPr>
          <w:color w:val="231F1F"/>
          <w:w w:val="110"/>
        </w:rPr>
        <w:t>; bupropion possibly increases plasma concentration of </w:t>
      </w:r>
      <w:r>
        <w:rPr>
          <w:rFonts w:ascii="Calibri"/>
          <w:color w:val="008356"/>
          <w:w w:val="110"/>
          <w:sz w:val="11"/>
        </w:rPr>
        <w:t>TRICYCLICS </w:t>
      </w:r>
      <w:r>
        <w:rPr>
          <w:color w:val="231F1F"/>
          <w:w w:val="110"/>
        </w:rPr>
        <w:t>(possible increased risk of convulsions)</w:t>
      </w:r>
    </w:p>
    <w:p>
      <w:pPr>
        <w:pStyle w:val="BodyText"/>
        <w:spacing w:line="152" w:lineRule="exact" w:before="4"/>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plasma  concentration of  bupropion  reduced</w:t>
      </w:r>
      <w:r>
        <w:rPr>
          <w:color w:val="231F1F"/>
          <w:spacing w:val="-14"/>
          <w:w w:val="105"/>
        </w:rPr>
        <w:t> </w:t>
      </w:r>
      <w:r>
        <w:rPr>
          <w:color w:val="231F1F"/>
          <w:w w:val="105"/>
        </w:rPr>
        <w:t>by</w:t>
      </w:r>
    </w:p>
    <w:p>
      <w:pPr>
        <w:spacing w:line="135" w:lineRule="exact" w:before="0"/>
        <w:ind w:left="286" w:right="0" w:firstLine="0"/>
        <w:jc w:val="left"/>
        <w:rPr>
          <w:sz w:val="12"/>
        </w:rPr>
      </w:pPr>
      <w:r>
        <w:rPr>
          <w:rFonts w:ascii="Calibri"/>
          <w:color w:val="008356"/>
          <w:spacing w:val="4"/>
          <w:w w:val="105"/>
          <w:sz w:val="11"/>
        </w:rPr>
        <w:t>CARBAMAZEPINE</w:t>
      </w:r>
      <w:r>
        <w:rPr>
          <w:color w:val="231F1F"/>
          <w:spacing w:val="4"/>
          <w:w w:val="105"/>
          <w:sz w:val="12"/>
        </w:rPr>
        <w:t>,</w:t>
      </w:r>
      <w:r>
        <w:rPr>
          <w:color w:val="231F1F"/>
          <w:spacing w:val="-7"/>
          <w:w w:val="105"/>
          <w:sz w:val="12"/>
        </w:rPr>
        <w:t> </w:t>
      </w:r>
      <w:r>
        <w:rPr>
          <w:rFonts w:ascii="Calibri"/>
          <w:color w:val="008356"/>
          <w:spacing w:val="4"/>
          <w:w w:val="105"/>
          <w:sz w:val="11"/>
        </w:rPr>
        <w:t>FOSPHENYTOIN</w:t>
      </w:r>
      <w:r>
        <w:rPr>
          <w:rFonts w:ascii="Calibri"/>
          <w:color w:val="008356"/>
          <w:spacing w:val="3"/>
          <w:w w:val="105"/>
          <w:sz w:val="11"/>
        </w:rPr>
        <w:t> </w:t>
      </w:r>
      <w:r>
        <w:rPr>
          <w:color w:val="231F1F"/>
          <w:w w:val="105"/>
          <w:sz w:val="12"/>
        </w:rPr>
        <w:t>and</w:t>
      </w:r>
      <w:r>
        <w:rPr>
          <w:color w:val="231F1F"/>
          <w:spacing w:val="-7"/>
          <w:w w:val="105"/>
          <w:sz w:val="12"/>
        </w:rPr>
        <w:t> </w:t>
      </w:r>
      <w:r>
        <w:rPr>
          <w:rFonts w:ascii="Calibri"/>
          <w:color w:val="008356"/>
          <w:spacing w:val="4"/>
          <w:w w:val="105"/>
          <w:sz w:val="11"/>
        </w:rPr>
        <w:t>PHENYTOIN</w:t>
      </w:r>
      <w:r>
        <w:rPr>
          <w:color w:val="231F1F"/>
          <w:spacing w:val="4"/>
          <w:w w:val="105"/>
          <w:sz w:val="12"/>
        </w:rPr>
        <w:t>;</w:t>
      </w:r>
      <w:r>
        <w:rPr>
          <w:color w:val="231F1F"/>
          <w:spacing w:val="-6"/>
          <w:w w:val="105"/>
          <w:sz w:val="12"/>
        </w:rPr>
        <w:t> </w:t>
      </w:r>
      <w:r>
        <w:rPr>
          <w:color w:val="231F1F"/>
          <w:w w:val="105"/>
          <w:sz w:val="12"/>
        </w:rPr>
        <w:t>metabolism</w:t>
      </w:r>
      <w:r>
        <w:rPr>
          <w:color w:val="231F1F"/>
          <w:spacing w:val="-7"/>
          <w:w w:val="105"/>
          <w:sz w:val="12"/>
        </w:rPr>
        <w:t> </w:t>
      </w:r>
      <w:r>
        <w:rPr>
          <w:color w:val="231F1F"/>
          <w:w w:val="105"/>
          <w:sz w:val="12"/>
        </w:rPr>
        <w:t>of</w:t>
      </w:r>
    </w:p>
    <w:p>
      <w:pPr>
        <w:spacing w:line="140" w:lineRule="exact" w:before="2"/>
        <w:ind w:left="286" w:right="0" w:firstLine="0"/>
        <w:jc w:val="left"/>
        <w:rPr>
          <w:rFonts w:ascii="Calibri"/>
          <w:sz w:val="11"/>
        </w:rPr>
      </w:pPr>
      <w:r>
        <w:rPr>
          <w:color w:val="231F1F"/>
          <w:w w:val="110"/>
          <w:sz w:val="12"/>
        </w:rPr>
        <w:t>bupropion inhibited by </w:t>
      </w:r>
      <w:r>
        <w:rPr>
          <w:rFonts w:ascii="Calibri"/>
          <w:color w:val="008356"/>
          <w:w w:val="110"/>
          <w:sz w:val="11"/>
        </w:rPr>
        <w:t>SODIUM VALPROATE </w:t>
      </w:r>
      <w:r>
        <w:rPr>
          <w:color w:val="231F1F"/>
          <w:w w:val="110"/>
          <w:sz w:val="12"/>
        </w:rPr>
        <w:t>and </w:t>
      </w:r>
      <w:r>
        <w:rPr>
          <w:rFonts w:ascii="Calibri"/>
          <w:color w:val="008356"/>
          <w:w w:val="110"/>
          <w:sz w:val="11"/>
        </w:rPr>
        <w:t>VALPROIC ACID</w:t>
      </w:r>
    </w:p>
    <w:p>
      <w:pPr>
        <w:pStyle w:val="BodyText"/>
        <w:spacing w:line="235" w:lineRule="auto" w:before="1"/>
        <w:ind w:left="286" w:right="4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metabolism of bupropion accelerated by </w:t>
      </w:r>
      <w:r>
        <w:rPr>
          <w:rFonts w:ascii="Calibri" w:hAnsi="Calibri"/>
          <w:color w:val="008356"/>
          <w:w w:val="110"/>
          <w:sz w:val="11"/>
        </w:rPr>
        <w:t>EFAVIRENZ </w:t>
      </w:r>
      <w:r>
        <w:rPr>
          <w:color w:val="231F1F"/>
          <w:w w:val="110"/>
        </w:rPr>
        <w:t>(reduced plasma concentration); plasma concentration of bupropion reduced by </w:t>
      </w:r>
      <w:r>
        <w:rPr>
          <w:rFonts w:ascii="Calibri" w:hAnsi="Calibri"/>
          <w:color w:val="008356"/>
          <w:w w:val="110"/>
          <w:sz w:val="11"/>
        </w:rPr>
        <w:t>RITONAVIR</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bupropion given with </w:t>
      </w:r>
      <w:r>
        <w:rPr>
          <w:rFonts w:ascii="Calibri" w:hAnsi="Calibri"/>
          <w:color w:val="008356"/>
          <w:w w:val="105"/>
          <w:sz w:val="11"/>
        </w:rPr>
        <w:t>ATOMOXETINE</w:t>
      </w:r>
    </w:p>
    <w:p>
      <w:pPr>
        <w:spacing w:line="237" w:lineRule="auto" w:before="1"/>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increased risk of side-effects when bupropion given with </w:t>
      </w:r>
      <w:r>
        <w:rPr>
          <w:rFonts w:ascii="Calibri" w:hAnsi="Calibri"/>
          <w:color w:val="008356"/>
          <w:w w:val="105"/>
          <w:sz w:val="11"/>
        </w:rPr>
        <w:t>AMANTADINE</w:t>
      </w:r>
      <w:r>
        <w:rPr>
          <w:color w:val="231F1F"/>
          <w:w w:val="105"/>
          <w:sz w:val="12"/>
        </w:rPr>
        <w:t>,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 </w:t>
      </w:r>
      <w:r>
        <w:rPr>
          <w:rFonts w:ascii="Calibri" w:hAnsi="Calibri"/>
          <w:color w:val="008356"/>
          <w:w w:val="105"/>
          <w:sz w:val="11"/>
        </w:rPr>
        <w:t>LEVODOPA</w:t>
      </w:r>
    </w:p>
    <w:p>
      <w:pPr>
        <w:pStyle w:val="BodyText"/>
        <w:ind w:left="286" w:right="28" w:hanging="100"/>
      </w:pPr>
      <w:r>
        <w:rPr>
          <w:rFonts w:ascii="Arial"/>
          <w:color w:val="231F1F"/>
          <w:w w:val="355"/>
          <w:position w:val="1"/>
          <w:sz w:val="7"/>
        </w:rPr>
        <w:t>l</w:t>
      </w:r>
      <w:r>
        <w:rPr>
          <w:rFonts w:ascii="Arial"/>
          <w:color w:val="231F1F"/>
          <w:spacing w:val="-35"/>
          <w:w w:val="355"/>
          <w:position w:val="1"/>
          <w:sz w:val="7"/>
        </w:rPr>
        <w:t> </w:t>
      </w:r>
      <w:r>
        <w:rPr>
          <w:rFonts w:ascii="Calibri"/>
          <w:color w:val="231F1F"/>
          <w:w w:val="110"/>
        </w:rPr>
        <w:t>Hormone</w:t>
      </w:r>
      <w:r>
        <w:rPr>
          <w:rFonts w:ascii="Calibri"/>
          <w:color w:val="231F1F"/>
          <w:spacing w:val="-4"/>
          <w:w w:val="110"/>
        </w:rPr>
        <w:t> </w:t>
      </w:r>
      <w:r>
        <w:rPr>
          <w:rFonts w:ascii="Calibri"/>
          <w:color w:val="231F1F"/>
          <w:w w:val="110"/>
        </w:rPr>
        <w:t>Antagonists:</w:t>
      </w:r>
      <w:r>
        <w:rPr>
          <w:rFonts w:ascii="Calibri"/>
          <w:color w:val="231F1F"/>
          <w:spacing w:val="-4"/>
          <w:w w:val="110"/>
        </w:rPr>
        <w:t> </w:t>
      </w:r>
      <w:r>
        <w:rPr>
          <w:color w:val="231F1F"/>
          <w:w w:val="110"/>
        </w:rPr>
        <w:t>bupropion</w:t>
      </w:r>
      <w:r>
        <w:rPr>
          <w:color w:val="231F1F"/>
          <w:spacing w:val="-6"/>
          <w:w w:val="110"/>
        </w:rPr>
        <w:t> </w:t>
      </w:r>
      <w:r>
        <w:rPr>
          <w:color w:val="231F1F"/>
          <w:w w:val="110"/>
        </w:rPr>
        <w:t>possibly</w:t>
      </w:r>
      <w:r>
        <w:rPr>
          <w:color w:val="231F1F"/>
          <w:spacing w:val="-7"/>
          <w:w w:val="110"/>
        </w:rPr>
        <w:t> </w:t>
      </w:r>
      <w:r>
        <w:rPr>
          <w:color w:val="231F1F"/>
          <w:w w:val="110"/>
        </w:rPr>
        <w:t>inhibits</w:t>
      </w:r>
      <w:r>
        <w:rPr>
          <w:color w:val="231F1F"/>
          <w:spacing w:val="-7"/>
          <w:w w:val="110"/>
        </w:rPr>
        <w:t> </w:t>
      </w:r>
      <w:r>
        <w:rPr>
          <w:color w:val="231F1F"/>
          <w:w w:val="110"/>
        </w:rPr>
        <w:t>metabolism of </w:t>
      </w: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10"/>
          <w:sz w:val="11"/>
        </w:rPr>
        <w:t>TAMOXIFEN </w:t>
      </w:r>
      <w:r>
        <w:rPr>
          <w:color w:val="231F1F"/>
          <w:w w:val="110"/>
        </w:rPr>
        <w:t>to active metabolite (avoid concomitant use)</w:t>
      </w:r>
    </w:p>
    <w:p>
      <w:pPr>
        <w:pStyle w:val="BodyText"/>
        <w:spacing w:line="244" w:lineRule="auto"/>
        <w:ind w:left="286" w:right="145" w:hanging="100"/>
      </w:pPr>
      <w:r>
        <w:rPr>
          <w:rFonts w:ascii="Arial" w:hAnsi="Arial"/>
          <w:color w:val="231F1F"/>
          <w:w w:val="355"/>
          <w:position w:val="1"/>
          <w:sz w:val="7"/>
        </w:rPr>
        <w:t>l </w:t>
      </w:r>
      <w:r>
        <w:rPr>
          <w:rFonts w:ascii="Calibri" w:hAnsi="Calibri"/>
          <w:color w:val="231F1F"/>
          <w:w w:val="110"/>
        </w:rPr>
        <w:t>Methylthioninium: </w:t>
      </w:r>
      <w:r>
        <w:rPr>
          <w:color w:val="231F1F"/>
          <w:w w:val="110"/>
        </w:rPr>
        <w:t>possible risk of CNS toxicity when bupropion given with </w:t>
      </w:r>
      <w:r>
        <w:rPr>
          <w:rFonts w:ascii="Arial" w:hAnsi="Arial"/>
          <w:color w:val="231F1F"/>
          <w:w w:val="355"/>
          <w:position w:val="1"/>
          <w:sz w:val="7"/>
        </w:rPr>
        <w:t>l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w:t>
      </w:r>
      <w:r>
        <w:rPr>
          <w:color w:val="231F1F"/>
          <w:spacing w:val="-5"/>
          <w:w w:val="110"/>
        </w:rPr>
        <w:t>for </w:t>
      </w:r>
      <w:r>
        <w:rPr>
          <w:color w:val="231F1F"/>
          <w:w w:val="110"/>
        </w:rPr>
        <w:t>up to 4 hours after</w:t>
      </w:r>
      <w:r>
        <w:rPr>
          <w:color w:val="231F1F"/>
          <w:spacing w:val="-1"/>
          <w:w w:val="110"/>
        </w:rPr>
        <w:t> </w:t>
      </w:r>
      <w:r>
        <w:rPr>
          <w:color w:val="231F1F"/>
          <w:w w:val="110"/>
        </w:rPr>
        <w:t>administration)</w:t>
      </w:r>
    </w:p>
    <w:p>
      <w:pPr>
        <w:pStyle w:val="BodyText"/>
        <w:spacing w:before="3"/>
        <w:ind w:left="186"/>
      </w:pPr>
      <w:r>
        <w:rPr>
          <w:rFonts w:ascii="Trebuchet MS"/>
          <w:color w:val="008356"/>
          <w:w w:val="110"/>
        </w:rPr>
        <w:t>Buspirone </w:t>
      </w:r>
      <w:r>
        <w:rPr>
          <w:i/>
          <w:color w:val="231F1F"/>
          <w:w w:val="110"/>
        </w:rPr>
        <w:t>see </w:t>
      </w:r>
      <w:r>
        <w:rPr>
          <w:color w:val="231F1F"/>
          <w:w w:val="110"/>
        </w:rPr>
        <w:t>Anxiolytics and Hypnotics</w:t>
      </w:r>
    </w:p>
    <w:p>
      <w:pPr>
        <w:pStyle w:val="BodyText"/>
        <w:spacing w:before="9"/>
        <w:ind w:left="186"/>
        <w:rPr>
          <w:rFonts w:ascii="Trebuchet MS"/>
        </w:rPr>
      </w:pPr>
      <w:r>
        <w:rPr>
          <w:rFonts w:ascii="Trebuchet MS"/>
          <w:color w:val="008356"/>
          <w:w w:val="105"/>
        </w:rPr>
        <w:t>Busulfan</w:t>
      </w:r>
    </w:p>
    <w:p>
      <w:pPr>
        <w:spacing w:line="230" w:lineRule="auto" w:before="5"/>
        <w:ind w:left="286" w:right="0" w:hanging="100"/>
        <w:jc w:val="left"/>
        <w:rPr>
          <w:sz w:val="12"/>
        </w:rPr>
      </w:pPr>
      <w:r>
        <w:rPr>
          <w:rFonts w:ascii="Lucida Sans Unicode" w:hAnsi="Lucida Sans Unicode"/>
          <w:color w:val="A7A8AC"/>
          <w:w w:val="95"/>
          <w:sz w:val="10"/>
        </w:rPr>
        <w:t>▶ </w:t>
      </w:r>
      <w:r>
        <w:rPr>
          <w:rFonts w:ascii="Calibri" w:hAnsi="Calibri"/>
          <w:color w:val="231F1F"/>
          <w:w w:val="110"/>
          <w:sz w:val="12"/>
        </w:rPr>
        <w:t>Analgesics: </w:t>
      </w:r>
      <w:r>
        <w:rPr>
          <w:color w:val="231F1F"/>
          <w:w w:val="110"/>
          <w:sz w:val="12"/>
        </w:rPr>
        <w:t>metabolism of </w:t>
      </w:r>
      <w:r>
        <w:rPr>
          <w:i/>
          <w:color w:val="231F1F"/>
          <w:w w:val="110"/>
          <w:sz w:val="12"/>
        </w:rPr>
        <w:t>intravenous </w:t>
      </w:r>
      <w:r>
        <w:rPr>
          <w:color w:val="231F1F"/>
          <w:w w:val="110"/>
          <w:sz w:val="12"/>
        </w:rPr>
        <w:t>busulfan possibly inhibited by </w:t>
      </w:r>
      <w:r>
        <w:rPr>
          <w:rFonts w:ascii="Calibri" w:hAnsi="Calibri"/>
          <w:color w:val="008356"/>
          <w:w w:val="110"/>
          <w:sz w:val="11"/>
        </w:rPr>
        <w:t>PARACETAMOL </w:t>
      </w:r>
      <w:r>
        <w:rPr>
          <w:color w:val="231F1F"/>
          <w:w w:val="110"/>
          <w:sz w:val="12"/>
        </w:rPr>
        <w:t>(manufacturer of </w:t>
      </w:r>
      <w:r>
        <w:rPr>
          <w:i/>
          <w:color w:val="231F1F"/>
          <w:w w:val="110"/>
          <w:sz w:val="12"/>
        </w:rPr>
        <w:t>intravenous </w:t>
      </w:r>
      <w:r>
        <w:rPr>
          <w:color w:val="231F1F"/>
          <w:w w:val="110"/>
          <w:sz w:val="12"/>
        </w:rPr>
        <w:t>busulfan advises caution within 72 hours of paracetamol)</w:t>
      </w:r>
    </w:p>
    <w:p>
      <w:pPr>
        <w:pStyle w:val="BodyText"/>
        <w:spacing w:line="146" w:lineRule="exact" w:before="4"/>
        <w:ind w:left="186"/>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Antibacterials:</w:t>
      </w:r>
      <w:r>
        <w:rPr>
          <w:rFonts w:ascii="Calibri"/>
          <w:color w:val="231F1F"/>
          <w:spacing w:val="-12"/>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3"/>
          <w:w w:val="115"/>
        </w:rPr>
        <w:t> </w:t>
      </w:r>
      <w:r>
        <w:rPr>
          <w:color w:val="231F1F"/>
          <w:w w:val="115"/>
        </w:rPr>
        <w:t>busulfan</w:t>
      </w:r>
      <w:r>
        <w:rPr>
          <w:color w:val="231F1F"/>
          <w:spacing w:val="-15"/>
          <w:w w:val="115"/>
        </w:rPr>
        <w:t> </w:t>
      </w:r>
      <w:r>
        <w:rPr>
          <w:color w:val="231F1F"/>
          <w:w w:val="115"/>
        </w:rPr>
        <w:t>increased</w:t>
      </w:r>
      <w:r>
        <w:rPr>
          <w:color w:val="231F1F"/>
          <w:spacing w:val="-14"/>
          <w:w w:val="115"/>
        </w:rPr>
        <w:t> </w:t>
      </w:r>
      <w:r>
        <w:rPr>
          <w:color w:val="231F1F"/>
          <w:w w:val="115"/>
        </w:rPr>
        <w:t>by</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10"/>
          <w:sz w:val="11"/>
        </w:rPr>
        <w:t>METRONIDAZOLE </w:t>
      </w:r>
      <w:r>
        <w:rPr>
          <w:color w:val="231F1F"/>
          <w:w w:val="110"/>
          <w:sz w:val="12"/>
        </w:rPr>
        <w:t>(increased risk of toxicity)</w:t>
      </w:r>
    </w:p>
    <w:p>
      <w:pPr>
        <w:spacing w:line="220" w:lineRule="auto" w:before="8"/>
        <w:ind w:left="286" w:right="1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busulfan possibly reduced by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metabolism of busulfan inhibited by</w:t>
      </w:r>
    </w:p>
    <w:p>
      <w:pPr>
        <w:spacing w:line="134" w:lineRule="exact" w:before="0"/>
        <w:ind w:left="286" w:right="0" w:firstLine="0"/>
        <w:jc w:val="left"/>
        <w:rPr>
          <w:sz w:val="12"/>
        </w:rPr>
      </w:pPr>
      <w:r>
        <w:rPr>
          <w:rFonts w:ascii="Calibri"/>
          <w:color w:val="008356"/>
          <w:w w:val="110"/>
          <w:sz w:val="11"/>
        </w:rPr>
        <w:t>ITRACONAZOLE </w:t>
      </w:r>
      <w:r>
        <w:rPr>
          <w:color w:val="231F1F"/>
          <w:w w:val="110"/>
          <w:sz w:val="12"/>
        </w:rPr>
        <w:t>(increased risk of toxicity)</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increased risk of hepatotoxicity when busulfan given with </w:t>
      </w:r>
      <w:r>
        <w:rPr>
          <w:rFonts w:ascii="Calibri" w:hAnsi="Calibri"/>
          <w:color w:val="008356"/>
          <w:w w:val="110"/>
          <w:sz w:val="11"/>
        </w:rPr>
        <w:t>TIOGUANINE</w:t>
      </w:r>
    </w:p>
    <w:p>
      <w:pPr>
        <w:pStyle w:val="BodyText"/>
        <w:spacing w:before="9"/>
        <w:ind w:left="186"/>
      </w:pPr>
      <w:r>
        <w:rPr>
          <w:rFonts w:ascii="Trebuchet MS"/>
          <w:color w:val="008356"/>
          <w:w w:val="105"/>
        </w:rPr>
        <w:t>Butyrophenones </w:t>
      </w:r>
      <w:r>
        <w:rPr>
          <w:i/>
          <w:color w:val="231F1F"/>
          <w:w w:val="105"/>
        </w:rPr>
        <w:t>see </w:t>
      </w:r>
      <w:r>
        <w:rPr>
          <w:color w:val="231F1F"/>
          <w:w w:val="105"/>
        </w:rPr>
        <w:t>Antipsychotics</w:t>
      </w:r>
    </w:p>
    <w:p>
      <w:pPr>
        <w:pStyle w:val="BodyText"/>
        <w:spacing w:before="10"/>
        <w:ind w:left="186"/>
        <w:rPr>
          <w:rFonts w:ascii="Trebuchet MS"/>
        </w:rPr>
      </w:pPr>
      <w:r>
        <w:rPr>
          <w:rFonts w:ascii="Trebuchet MS"/>
          <w:color w:val="008356"/>
        </w:rPr>
        <w:t>Cabazitaxel</w:t>
      </w:r>
    </w:p>
    <w:p>
      <w:pPr>
        <w:pStyle w:val="BodyText"/>
        <w:spacing w:line="244" w:lineRule="auto" w:before="1"/>
        <w:ind w:left="286" w:right="120"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cabazitaxel possibly increased by </w:t>
      </w:r>
      <w:r>
        <w:rPr>
          <w:rFonts w:ascii="Arial" w:hAnsi="Arial"/>
          <w:color w:val="231F1F"/>
          <w:w w:val="355"/>
          <w:position w:val="1"/>
          <w:sz w:val="7"/>
        </w:rPr>
        <w:t>l </w:t>
      </w:r>
      <w:r>
        <w:rPr>
          <w:rFonts w:ascii="Calibri" w:hAnsi="Calibri"/>
          <w:color w:val="008356"/>
          <w:w w:val="110"/>
          <w:sz w:val="11"/>
        </w:rPr>
        <w:t>CLARITHROMYCIN </w:t>
      </w:r>
      <w:r>
        <w:rPr>
          <w:color w:val="231F1F"/>
          <w:w w:val="110"/>
        </w:rPr>
        <w:t>and </w:t>
      </w:r>
      <w:r>
        <w:rPr>
          <w:rFonts w:ascii="Arial" w:hAnsi="Arial"/>
          <w:color w:val="231F1F"/>
          <w:w w:val="355"/>
          <w:position w:val="1"/>
          <w:sz w:val="7"/>
        </w:rPr>
        <w:t>l </w:t>
      </w:r>
      <w:r>
        <w:rPr>
          <w:rFonts w:ascii="Calibri" w:hAnsi="Calibri"/>
          <w:color w:val="008356"/>
          <w:w w:val="110"/>
          <w:sz w:val="11"/>
        </w:rPr>
        <w:t>TELITHROMYCIN</w:t>
      </w:r>
      <w:r>
        <w:rPr>
          <w:rFonts w:ascii="Arial" w:hAnsi="Arial"/>
          <w:color w:val="231F1F"/>
          <w:w w:val="110"/>
        </w:rPr>
        <w:t>— </w:t>
      </w:r>
      <w:r>
        <w:rPr>
          <w:color w:val="231F1F"/>
          <w:w w:val="110"/>
        </w:rPr>
        <w:t>manufacturer of cabazitaxel advises avoid or consider reducing dose of cabazitaxel; manufacturer of cabazitaxel advises avoid concomitant use with </w:t>
      </w:r>
      <w:r>
        <w:rPr>
          <w:rFonts w:ascii="Arial" w:hAnsi="Arial"/>
          <w:color w:val="231F1F"/>
          <w:w w:val="355"/>
          <w:position w:val="1"/>
          <w:sz w:val="7"/>
        </w:rPr>
        <w:t>l </w:t>
      </w:r>
      <w:r>
        <w:rPr>
          <w:rFonts w:ascii="Calibri" w:hAnsi="Calibri"/>
          <w:color w:val="008356"/>
          <w:w w:val="110"/>
          <w:sz w:val="11"/>
        </w:rPr>
        <w:t>RIFABUTIN</w:t>
      </w:r>
      <w:r>
        <w:rPr>
          <w:color w:val="231F1F"/>
          <w:w w:val="110"/>
        </w:rPr>
        <w:t>; plasma concentration of cabazitaxel reduced by </w:t>
      </w:r>
      <w:r>
        <w:rPr>
          <w:rFonts w:ascii="Arial" w:hAnsi="Arial"/>
          <w:color w:val="231F1F"/>
          <w:w w:val="355"/>
          <w:position w:val="1"/>
          <w:sz w:val="7"/>
        </w:rPr>
        <w:t>l </w:t>
      </w:r>
      <w:r>
        <w:rPr>
          <w:rFonts w:ascii="Calibri" w:hAnsi="Calibri"/>
          <w:color w:val="008356"/>
          <w:w w:val="110"/>
          <w:sz w:val="11"/>
        </w:rPr>
        <w:t>RIFAMPICIN</w:t>
      </w:r>
      <w:r>
        <w:rPr>
          <w:rFonts w:ascii="Arial" w:hAnsi="Arial"/>
          <w:color w:val="231F1F"/>
          <w:w w:val="110"/>
        </w:rPr>
        <w:t>— </w:t>
      </w:r>
      <w:r>
        <w:rPr>
          <w:color w:val="231F1F"/>
          <w:w w:val="110"/>
        </w:rPr>
        <w:t>manufacturer of cabazitaxel advises avoid concomitant use</w:t>
      </w:r>
    </w:p>
    <w:p>
      <w:pPr>
        <w:pStyle w:val="BodyText"/>
        <w:spacing w:line="237" w:lineRule="auto"/>
        <w:ind w:left="286"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manufacturer of cabazitaxel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spacing w:before="0"/>
        <w:ind w:left="286" w:right="245"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manufacturer of cabazitaxel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PHENOBARBITAL</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PHENYTOIN</w:t>
      </w:r>
      <w:r>
        <w:rPr>
          <w:rFonts w:ascii="Calibri"/>
          <w:color w:val="008356"/>
          <w:spacing w:val="2"/>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0"/>
          <w:sz w:val="11"/>
        </w:rPr>
        <w:t>PRIMIDONE</w:t>
      </w:r>
    </w:p>
    <w:p>
      <w:pPr>
        <w:pStyle w:val="BodyText"/>
        <w:ind w:left="286" w:right="-20" w:hanging="100"/>
      </w:pPr>
      <w:r>
        <w:rPr>
          <w:rFonts w:ascii="Arial"/>
          <w:color w:val="231F1F"/>
          <w:w w:val="355"/>
          <w:position w:val="1"/>
          <w:sz w:val="7"/>
        </w:rPr>
        <w:t>l </w:t>
      </w:r>
      <w:r>
        <w:rPr>
          <w:rFonts w:ascii="Calibri"/>
          <w:color w:val="231F1F"/>
          <w:w w:val="110"/>
        </w:rPr>
        <w:t>Antifungals: </w:t>
      </w:r>
      <w:r>
        <w:rPr>
          <w:color w:val="231F1F"/>
          <w:w w:val="110"/>
        </w:rPr>
        <w:t>manufacturer of cabazitaxel advises avoid concomitant use with </w:t>
      </w:r>
      <w:r>
        <w:rPr>
          <w:rFonts w:ascii="Arial"/>
          <w:color w:val="231F1F"/>
          <w:w w:val="355"/>
          <w:position w:val="1"/>
          <w:sz w:val="7"/>
        </w:rPr>
        <w:t>l </w:t>
      </w:r>
      <w:r>
        <w:rPr>
          <w:rFonts w:ascii="Calibri"/>
          <w:color w:val="008356"/>
          <w:spacing w:val="4"/>
          <w:w w:val="110"/>
          <w:sz w:val="11"/>
        </w:rPr>
        <w:t>KETOCONAZOLE</w:t>
      </w:r>
      <w:r>
        <w:rPr>
          <w:color w:val="231F1F"/>
          <w:spacing w:val="4"/>
          <w:w w:val="110"/>
        </w:rPr>
        <w:t>; </w:t>
      </w:r>
      <w:r>
        <w:rPr>
          <w:color w:val="231F1F"/>
          <w:w w:val="110"/>
        </w:rPr>
        <w:t>plasma concentration of cabazitaxel possibly increased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ITRACONAZOLE </w:t>
      </w:r>
      <w:r>
        <w:rPr>
          <w:color w:val="231F1F"/>
          <w:w w:val="110"/>
        </w:rPr>
        <w:t>and</w:t>
      </w:r>
    </w:p>
    <w:p>
      <w:pPr>
        <w:pStyle w:val="BodyText"/>
        <w:ind w:left="286" w:right="120"/>
      </w:pP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rPr>
        <w:t>—</w:t>
      </w:r>
      <w:r>
        <w:rPr>
          <w:color w:val="231F1F"/>
          <w:w w:val="110"/>
        </w:rPr>
        <w:t>manufacturer of cabazitaxel advises avoid </w:t>
      </w:r>
      <w:r>
        <w:rPr>
          <w:color w:val="231F1F"/>
          <w:w w:val="115"/>
        </w:rPr>
        <w:t>or consider reducing dose of cabazitaxel</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before="7"/>
        <w:ind w:left="0"/>
        <w:rPr>
          <w:sz w:val="14"/>
        </w:rPr>
      </w:pPr>
      <w:r>
        <w:rPr/>
        <w:br w:type="column"/>
      </w:r>
      <w:r>
        <w:rPr>
          <w:sz w:val="14"/>
        </w:rPr>
      </w:r>
    </w:p>
    <w:p>
      <w:pPr>
        <w:pStyle w:val="BodyText"/>
        <w:spacing w:line="144" w:lineRule="exact"/>
        <w:ind w:left="186"/>
        <w:rPr>
          <w:rFonts w:ascii="Calibri"/>
        </w:rPr>
      </w:pPr>
      <w:r>
        <w:rPr>
          <w:rFonts w:ascii="Arial"/>
          <w:color w:val="008356"/>
        </w:rPr>
        <w:t>Cabazitaxel </w:t>
      </w:r>
      <w:r>
        <w:rPr>
          <w:rFonts w:ascii="Calibri"/>
          <w:color w:val="231F1F"/>
        </w:rPr>
        <w:t>(continued)</w:t>
      </w:r>
    </w:p>
    <w:p>
      <w:pPr>
        <w:pStyle w:val="BodyText"/>
        <w:spacing w:line="242" w:lineRule="auto"/>
        <w:ind w:left="286" w:right="577" w:hanging="100"/>
      </w:pPr>
      <w:r>
        <w:rPr>
          <w:rFonts w:ascii="Arial" w:hAnsi="Arial"/>
          <w:color w:val="231F1F"/>
          <w:w w:val="355"/>
          <w:position w:val="1"/>
          <w:sz w:val="7"/>
        </w:rPr>
        <w:t>l </w:t>
      </w:r>
      <w:r>
        <w:rPr>
          <w:rFonts w:ascii="Calibri" w:hAnsi="Calibri"/>
          <w:color w:val="231F1F"/>
          <w:w w:val="120"/>
        </w:rPr>
        <w:t>Antivirals: </w:t>
      </w:r>
      <w:r>
        <w:rPr>
          <w:color w:val="231F1F"/>
          <w:w w:val="120"/>
        </w:rPr>
        <w:t>manufacturer of cabazitaxel advises avoid concomitant</w:t>
      </w:r>
      <w:r>
        <w:rPr>
          <w:color w:val="231F1F"/>
          <w:spacing w:val="-26"/>
          <w:w w:val="120"/>
        </w:rPr>
        <w:t> </w:t>
      </w:r>
      <w:r>
        <w:rPr>
          <w:color w:val="231F1F"/>
          <w:w w:val="120"/>
        </w:rPr>
        <w:t>use</w:t>
      </w:r>
      <w:r>
        <w:rPr>
          <w:color w:val="231F1F"/>
          <w:spacing w:val="-26"/>
          <w:w w:val="120"/>
        </w:rPr>
        <w:t> </w:t>
      </w:r>
      <w:r>
        <w:rPr>
          <w:color w:val="231F1F"/>
          <w:w w:val="120"/>
        </w:rPr>
        <w:t>with</w:t>
      </w:r>
      <w:r>
        <w:rPr>
          <w:color w:val="231F1F"/>
          <w:spacing w:val="-25"/>
          <w:w w:val="120"/>
        </w:rPr>
        <w:t> </w:t>
      </w:r>
      <w:r>
        <w:rPr>
          <w:rFonts w:ascii="Arial" w:hAnsi="Arial"/>
          <w:color w:val="231F1F"/>
          <w:w w:val="170"/>
          <w:position w:val="1"/>
          <w:sz w:val="7"/>
        </w:rPr>
        <w:t>l</w:t>
      </w:r>
      <w:r>
        <w:rPr>
          <w:rFonts w:ascii="Arial" w:hAnsi="Arial"/>
          <w:color w:val="231F1F"/>
          <w:spacing w:val="-24"/>
          <w:w w:val="170"/>
          <w:position w:val="1"/>
          <w:sz w:val="7"/>
        </w:rPr>
        <w:t> </w:t>
      </w:r>
      <w:r>
        <w:rPr>
          <w:rFonts w:ascii="Calibri" w:hAnsi="Calibri"/>
          <w:color w:val="008356"/>
          <w:spacing w:val="3"/>
          <w:w w:val="120"/>
          <w:sz w:val="11"/>
        </w:rPr>
        <w:t>ATAZANAVIR</w:t>
      </w:r>
      <w:r>
        <w:rPr>
          <w:color w:val="231F1F"/>
          <w:spacing w:val="3"/>
          <w:w w:val="120"/>
        </w:rPr>
        <w:t>;</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 </w:t>
      </w:r>
      <w:r>
        <w:rPr>
          <w:color w:val="231F1F"/>
          <w:w w:val="115"/>
        </w:rPr>
        <w:t>cabazitaxel</w:t>
      </w:r>
      <w:r>
        <w:rPr>
          <w:color w:val="231F1F"/>
          <w:spacing w:val="-16"/>
          <w:w w:val="115"/>
        </w:rPr>
        <w:t> </w:t>
      </w:r>
      <w:r>
        <w:rPr>
          <w:color w:val="231F1F"/>
          <w:w w:val="115"/>
        </w:rPr>
        <w:t>possibly</w:t>
      </w:r>
      <w:r>
        <w:rPr>
          <w:color w:val="231F1F"/>
          <w:spacing w:val="-16"/>
          <w:w w:val="115"/>
        </w:rPr>
        <w:t> </w:t>
      </w:r>
      <w:r>
        <w:rPr>
          <w:color w:val="231F1F"/>
          <w:w w:val="115"/>
        </w:rPr>
        <w:t>increased</w:t>
      </w:r>
      <w:r>
        <w:rPr>
          <w:color w:val="231F1F"/>
          <w:spacing w:val="-17"/>
          <w:w w:val="115"/>
        </w:rPr>
        <w:t> </w:t>
      </w:r>
      <w:r>
        <w:rPr>
          <w:color w:val="231F1F"/>
          <w:w w:val="115"/>
        </w:rPr>
        <w:t>by</w:t>
      </w:r>
      <w:r>
        <w:rPr>
          <w:color w:val="231F1F"/>
          <w:spacing w:val="-15"/>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spacing w:val="4"/>
          <w:w w:val="115"/>
          <w:sz w:val="11"/>
        </w:rPr>
        <w:t>INDINAVIR</w:t>
      </w:r>
      <w:r>
        <w:rPr>
          <w:color w:val="231F1F"/>
          <w:spacing w:val="4"/>
          <w:w w:val="115"/>
        </w:rPr>
        <w:t>,</w:t>
      </w:r>
      <w:r>
        <w:rPr>
          <w:color w:val="231F1F"/>
          <w:spacing w:val="-15"/>
          <w:w w:val="115"/>
        </w:rPr>
        <w:t> </w:t>
      </w: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008356"/>
          <w:spacing w:val="3"/>
          <w:w w:val="115"/>
          <w:sz w:val="11"/>
        </w:rPr>
        <w:t>RITONAVIR</w:t>
      </w:r>
      <w:r>
        <w:rPr>
          <w:rFonts w:ascii="Calibri" w:hAnsi="Calibri"/>
          <w:color w:val="008356"/>
          <w:spacing w:val="-6"/>
          <w:w w:val="115"/>
          <w:sz w:val="11"/>
        </w:rPr>
        <w:t> </w:t>
      </w:r>
      <w:r>
        <w:rPr>
          <w:color w:val="231F1F"/>
          <w:w w:val="115"/>
        </w:rPr>
        <w:t>and  </w:t>
      </w:r>
      <w:r>
        <w:rPr>
          <w:rFonts w:ascii="Arial" w:hAnsi="Arial"/>
          <w:color w:val="231F1F"/>
          <w:w w:val="140"/>
          <w:position w:val="1"/>
          <w:sz w:val="7"/>
        </w:rPr>
        <w:t>l</w:t>
      </w:r>
      <w:r>
        <w:rPr>
          <w:rFonts w:ascii="Arial" w:hAnsi="Arial"/>
          <w:color w:val="231F1F"/>
          <w:spacing w:val="-18"/>
          <w:w w:val="140"/>
          <w:position w:val="1"/>
          <w:sz w:val="7"/>
        </w:rPr>
        <w:t> </w:t>
      </w:r>
      <w:r>
        <w:rPr>
          <w:rFonts w:ascii="Calibri" w:hAnsi="Calibri"/>
          <w:color w:val="008356"/>
          <w:w w:val="120"/>
          <w:sz w:val="11"/>
        </w:rPr>
        <w:t>SAQUINAVIR</w:t>
      </w:r>
      <w:r>
        <w:rPr>
          <w:rFonts w:ascii="Arial" w:hAnsi="Arial"/>
          <w:color w:val="231F1F"/>
          <w:w w:val="120"/>
        </w:rPr>
        <w:t>—</w:t>
      </w:r>
      <w:r>
        <w:rPr>
          <w:color w:val="231F1F"/>
          <w:w w:val="120"/>
        </w:rPr>
        <w:t>manufacturer</w:t>
      </w:r>
      <w:r>
        <w:rPr>
          <w:color w:val="231F1F"/>
          <w:spacing w:val="-25"/>
          <w:w w:val="120"/>
        </w:rPr>
        <w:t> </w:t>
      </w:r>
      <w:r>
        <w:rPr>
          <w:color w:val="231F1F"/>
          <w:w w:val="120"/>
        </w:rPr>
        <w:t>of</w:t>
      </w:r>
      <w:r>
        <w:rPr>
          <w:color w:val="231F1F"/>
          <w:spacing w:val="-26"/>
          <w:w w:val="120"/>
        </w:rPr>
        <w:t> </w:t>
      </w:r>
      <w:r>
        <w:rPr>
          <w:color w:val="231F1F"/>
          <w:w w:val="120"/>
        </w:rPr>
        <w:t>cabazitaxel</w:t>
      </w:r>
      <w:r>
        <w:rPr>
          <w:color w:val="231F1F"/>
          <w:spacing w:val="-26"/>
          <w:w w:val="120"/>
        </w:rPr>
        <w:t> </w:t>
      </w:r>
      <w:r>
        <w:rPr>
          <w:color w:val="231F1F"/>
          <w:w w:val="120"/>
        </w:rPr>
        <w:t>advises</w:t>
      </w:r>
      <w:r>
        <w:rPr>
          <w:color w:val="231F1F"/>
          <w:spacing w:val="-25"/>
          <w:w w:val="120"/>
        </w:rPr>
        <w:t> </w:t>
      </w:r>
      <w:r>
        <w:rPr>
          <w:color w:val="231F1F"/>
          <w:w w:val="120"/>
        </w:rPr>
        <w:t>avoid</w:t>
      </w:r>
      <w:r>
        <w:rPr>
          <w:color w:val="231F1F"/>
          <w:spacing w:val="-26"/>
          <w:w w:val="120"/>
        </w:rPr>
        <w:t> </w:t>
      </w:r>
      <w:r>
        <w:rPr>
          <w:color w:val="231F1F"/>
          <w:w w:val="120"/>
        </w:rPr>
        <w:t>or consider</w:t>
      </w:r>
      <w:r>
        <w:rPr>
          <w:color w:val="231F1F"/>
          <w:spacing w:val="-8"/>
          <w:w w:val="120"/>
        </w:rPr>
        <w:t> </w:t>
      </w:r>
      <w:r>
        <w:rPr>
          <w:color w:val="231F1F"/>
          <w:w w:val="120"/>
        </w:rPr>
        <w:t>reducing</w:t>
      </w:r>
      <w:r>
        <w:rPr>
          <w:color w:val="231F1F"/>
          <w:spacing w:val="-8"/>
          <w:w w:val="120"/>
        </w:rPr>
        <w:t> </w:t>
      </w:r>
      <w:r>
        <w:rPr>
          <w:color w:val="231F1F"/>
          <w:w w:val="120"/>
        </w:rPr>
        <w:t>dose</w:t>
      </w:r>
      <w:r>
        <w:rPr>
          <w:color w:val="231F1F"/>
          <w:spacing w:val="-8"/>
          <w:w w:val="120"/>
        </w:rPr>
        <w:t> </w:t>
      </w:r>
      <w:r>
        <w:rPr>
          <w:color w:val="231F1F"/>
          <w:w w:val="120"/>
        </w:rPr>
        <w:t>of</w:t>
      </w:r>
      <w:r>
        <w:rPr>
          <w:color w:val="231F1F"/>
          <w:spacing w:val="-6"/>
          <w:w w:val="120"/>
        </w:rPr>
        <w:t> </w:t>
      </w:r>
      <w:r>
        <w:rPr>
          <w:color w:val="231F1F"/>
          <w:w w:val="120"/>
        </w:rPr>
        <w:t>cabazitaxel</w:t>
      </w:r>
    </w:p>
    <w:p>
      <w:pPr>
        <w:pStyle w:val="BodyText"/>
        <w:spacing w:before="6"/>
        <w:ind w:left="186"/>
        <w:rPr>
          <w:rFonts w:ascii="Trebuchet MS"/>
        </w:rPr>
      </w:pPr>
      <w:r>
        <w:rPr>
          <w:rFonts w:ascii="Trebuchet MS"/>
          <w:color w:val="008356"/>
        </w:rPr>
        <w:t>Cabergoline</w:t>
      </w:r>
    </w:p>
    <w:p>
      <w:pPr>
        <w:pStyle w:val="BodyText"/>
        <w:spacing w:line="237" w:lineRule="auto" w:before="2"/>
        <w:ind w:left="286" w:right="639"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cabergoline increased by </w:t>
      </w:r>
      <w:r>
        <w:rPr>
          <w:rFonts w:ascii="Calibri" w:hAnsi="Calibri"/>
          <w:color w:val="008356"/>
          <w:w w:val="110"/>
          <w:sz w:val="11"/>
        </w:rPr>
        <w:t>ERYTHROMYCIN </w:t>
      </w:r>
      <w:r>
        <w:rPr>
          <w:color w:val="231F1F"/>
          <w:w w:val="110"/>
        </w:rPr>
        <w:t>(increased risk of toxicity); plasma concentration of cabergoline possibly increased by </w:t>
      </w:r>
      <w:r>
        <w:rPr>
          <w:rFonts w:ascii="Calibri" w:hAnsi="Calibri"/>
          <w:color w:val="008356"/>
          <w:w w:val="110"/>
          <w:sz w:val="11"/>
        </w:rPr>
        <w:t>MACROLIDES </w:t>
      </w:r>
      <w:r>
        <w:rPr>
          <w:color w:val="231F1F"/>
          <w:w w:val="110"/>
        </w:rPr>
        <w:t>(increased risk of toxicity)</w:t>
      </w:r>
    </w:p>
    <w:p>
      <w:pPr>
        <w:pStyle w:val="BodyText"/>
        <w:spacing w:line="220" w:lineRule="auto" w:before="5"/>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hypoprolactinaemic and antiparkinsonian effects of cabergoline antagonised by </w:t>
      </w:r>
      <w:r>
        <w:rPr>
          <w:rFonts w:ascii="Calibri" w:hAnsi="Calibri"/>
          <w:color w:val="008356"/>
          <w:w w:val="105"/>
          <w:sz w:val="11"/>
        </w:rPr>
        <w:t>ANTIPSYCHOTICS</w:t>
      </w:r>
    </w:p>
    <w:p>
      <w:pPr>
        <w:pStyle w:val="BodyText"/>
        <w:spacing w:line="220" w:lineRule="auto" w:before="8"/>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Domperidone: </w:t>
      </w:r>
      <w:r>
        <w:rPr>
          <w:color w:val="231F1F"/>
          <w:w w:val="105"/>
        </w:rPr>
        <w:t>hypoprolactinaemic effect of cabergoline possibly antagonised by </w:t>
      </w:r>
      <w:r>
        <w:rPr>
          <w:rFonts w:ascii="Calibri" w:hAnsi="Calibri"/>
          <w:color w:val="008356"/>
          <w:w w:val="105"/>
          <w:sz w:val="11"/>
        </w:rPr>
        <w:t>DOMPERIDONE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20" w:lineRule="auto" w:before="7"/>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Metoclopramide: </w:t>
      </w:r>
      <w:r>
        <w:rPr>
          <w:color w:val="231F1F"/>
          <w:w w:val="105"/>
        </w:rPr>
        <w:t>hypoprolactinaemic effect of cabergoline antagonised by </w:t>
      </w:r>
      <w:r>
        <w:rPr>
          <w:rFonts w:ascii="Calibri" w:hAnsi="Calibri"/>
          <w:color w:val="008356"/>
          <w:w w:val="105"/>
          <w:sz w:val="11"/>
        </w:rPr>
        <w:t>METOCLOPRAMIDE</w:t>
      </w:r>
    </w:p>
    <w:p>
      <w:pPr>
        <w:pStyle w:val="BodyText"/>
        <w:spacing w:line="139" w:lineRule="exact" w:before="10"/>
        <w:ind w:left="186"/>
        <w:rPr>
          <w:rFonts w:ascii="Trebuchet MS"/>
        </w:rPr>
      </w:pPr>
      <w:r>
        <w:rPr>
          <w:rFonts w:ascii="Trebuchet MS"/>
          <w:color w:val="008356"/>
        </w:rPr>
        <w:t>Cabozantinib</w:t>
      </w:r>
    </w:p>
    <w:p>
      <w:pPr>
        <w:spacing w:line="242" w:lineRule="auto" w:before="0"/>
        <w:ind w:left="286" w:right="649" w:hanging="100"/>
        <w:jc w:val="left"/>
        <w:rPr>
          <w:sz w:val="12"/>
        </w:rPr>
      </w:pPr>
      <w:r>
        <w:rPr>
          <w:rFonts w:ascii="Arial" w:hAnsi="Arial"/>
          <w:color w:val="231F1F"/>
          <w:w w:val="355"/>
          <w:position w:val="1"/>
          <w:sz w:val="7"/>
        </w:rPr>
        <w:t>l </w:t>
      </w:r>
      <w:r>
        <w:rPr>
          <w:rFonts w:ascii="Calibri" w:hAnsi="Calibri"/>
          <w:color w:val="231F1F"/>
          <w:w w:val="110"/>
          <w:sz w:val="12"/>
        </w:rPr>
        <w:t>Antibacterials: </w:t>
      </w:r>
      <w:r>
        <w:rPr>
          <w:color w:val="231F1F"/>
          <w:w w:val="110"/>
          <w:sz w:val="12"/>
        </w:rPr>
        <w:t>plasma concentration of cabozantinib possibly increased by </w:t>
      </w:r>
      <w:r>
        <w:rPr>
          <w:rFonts w:ascii="Calibri" w:hAnsi="Calibri"/>
          <w:color w:val="008356"/>
          <w:w w:val="110"/>
          <w:sz w:val="11"/>
        </w:rPr>
        <w:t>CLARITHROMYCIN </w:t>
      </w:r>
      <w:r>
        <w:rPr>
          <w:color w:val="231F1F"/>
          <w:w w:val="110"/>
          <w:sz w:val="12"/>
        </w:rPr>
        <w:t>and </w:t>
      </w:r>
      <w:r>
        <w:rPr>
          <w:rFonts w:ascii="Calibri" w:hAnsi="Calibri"/>
          <w:color w:val="008356"/>
          <w:w w:val="110"/>
          <w:sz w:val="11"/>
        </w:rPr>
        <w:t>ERYTHROMYCIN</w:t>
      </w:r>
      <w:r>
        <w:rPr>
          <w:color w:val="231F1F"/>
          <w:w w:val="110"/>
          <w:sz w:val="12"/>
        </w:rPr>
        <w:t>; plasma concentration of cabozantinib reduced by </w:t>
      </w:r>
      <w:r>
        <w:rPr>
          <w:rFonts w:ascii="Arial" w:hAnsi="Arial"/>
          <w:color w:val="231F1F"/>
          <w:w w:val="355"/>
          <w:position w:val="1"/>
          <w:sz w:val="7"/>
        </w:rPr>
        <w:t>l </w:t>
      </w:r>
      <w:r>
        <w:rPr>
          <w:rFonts w:ascii="Calibri" w:hAnsi="Calibri"/>
          <w:color w:val="008356"/>
          <w:w w:val="110"/>
          <w:sz w:val="11"/>
        </w:rPr>
        <w:t>RIFAMPICIN</w:t>
      </w:r>
      <w:r>
        <w:rPr>
          <w:rFonts w:ascii="Arial" w:hAnsi="Arial"/>
          <w:color w:val="231F1F"/>
          <w:w w:val="110"/>
          <w:sz w:val="12"/>
        </w:rPr>
        <w:t>— </w:t>
      </w:r>
      <w:r>
        <w:rPr>
          <w:color w:val="231F1F"/>
          <w:w w:val="110"/>
          <w:sz w:val="12"/>
        </w:rPr>
        <w:t>avoid concomitant use</w:t>
      </w:r>
    </w:p>
    <w:p>
      <w:pPr>
        <w:pStyle w:val="BodyText"/>
        <w:spacing w:line="230" w:lineRule="auto" w:before="4"/>
        <w:ind w:left="286" w:right="1013"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cabozantinib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cabozantinib advises avoid concomitant use</w:t>
      </w:r>
    </w:p>
    <w:p>
      <w:pPr>
        <w:spacing w:before="3"/>
        <w:ind w:left="286" w:right="657"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cabozantinib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20"/>
          <w:sz w:val="11"/>
        </w:rPr>
        <w:t>PHENOBARBITAL</w:t>
      </w:r>
      <w:r>
        <w:rPr>
          <w:color w:val="231F1F"/>
          <w:spacing w:val="4"/>
          <w:w w:val="12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20"/>
          <w:sz w:val="11"/>
        </w:rPr>
        <w:t>PHENYTOIN </w:t>
      </w:r>
      <w:r>
        <w:rPr>
          <w:color w:val="231F1F"/>
          <w:w w:val="120"/>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20"/>
          <w:sz w:val="11"/>
        </w:rPr>
        <w:t>PRIMIDONE</w:t>
      </w:r>
      <w:r>
        <w:rPr>
          <w:rFonts w:ascii="Arial" w:hAnsi="Arial"/>
          <w:color w:val="231F1F"/>
          <w:spacing w:val="3"/>
          <w:w w:val="120"/>
          <w:sz w:val="12"/>
        </w:rPr>
        <w:t>—</w:t>
      </w:r>
      <w:r>
        <w:rPr>
          <w:color w:val="231F1F"/>
          <w:spacing w:val="3"/>
          <w:w w:val="120"/>
          <w:sz w:val="12"/>
        </w:rPr>
        <w:t>avoid</w:t>
      </w:r>
    </w:p>
    <w:p>
      <w:pPr>
        <w:pStyle w:val="BodyText"/>
        <w:spacing w:before="1"/>
        <w:ind w:left="286"/>
      </w:pPr>
      <w:r>
        <w:rPr>
          <w:color w:val="231F1F"/>
          <w:w w:val="115"/>
        </w:rPr>
        <w:t>concomitant use</w:t>
      </w:r>
    </w:p>
    <w:p>
      <w:pPr>
        <w:pStyle w:val="BodyText"/>
        <w:spacing w:line="230" w:lineRule="auto" w:before="6"/>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cabozantinib increased by </w:t>
      </w:r>
      <w:r>
        <w:rPr>
          <w:rFonts w:ascii="Calibri" w:hAnsi="Calibri"/>
          <w:color w:val="008356"/>
          <w:w w:val="110"/>
          <w:sz w:val="11"/>
        </w:rPr>
        <w:t>KETOCONAZOLE</w:t>
      </w:r>
      <w:r>
        <w:rPr>
          <w:color w:val="231F1F"/>
          <w:w w:val="110"/>
        </w:rPr>
        <w:t>; plasma concentration of cabozantinib possibly increased by </w:t>
      </w:r>
      <w:r>
        <w:rPr>
          <w:rFonts w:ascii="Calibri" w:hAnsi="Calibri"/>
          <w:color w:val="008356"/>
          <w:w w:val="110"/>
          <w:sz w:val="11"/>
        </w:rPr>
        <w:t>ITRACONAZOLE</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cabozantinib possibly increased by </w:t>
      </w:r>
      <w:r>
        <w:rPr>
          <w:rFonts w:ascii="Calibri" w:hAnsi="Calibri"/>
          <w:color w:val="008356"/>
          <w:w w:val="105"/>
          <w:sz w:val="11"/>
        </w:rPr>
        <w:t>RITONAVIR</w:t>
      </w:r>
    </w:p>
    <w:p>
      <w:pPr>
        <w:pStyle w:val="BodyText"/>
        <w:spacing w:line="230" w:lineRule="auto" w:before="4"/>
        <w:ind w:left="286" w:right="594"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plasma concentration of cabozantinib possibly reduced by </w:t>
      </w:r>
      <w:r>
        <w:rPr>
          <w:rFonts w:ascii="Calibri" w:hAnsi="Calibri"/>
          <w:color w:val="008356"/>
          <w:w w:val="110"/>
          <w:sz w:val="11"/>
        </w:rPr>
        <w:t>DEXAMETHASONE</w:t>
      </w:r>
      <w:r>
        <w:rPr>
          <w:rFonts w:ascii="Arial" w:hAnsi="Arial"/>
          <w:color w:val="231F1F"/>
          <w:w w:val="110"/>
        </w:rPr>
        <w:t>—</w:t>
      </w:r>
      <w:r>
        <w:rPr>
          <w:color w:val="231F1F"/>
          <w:w w:val="110"/>
        </w:rPr>
        <w:t>manufacturer of cabozantinib advises avoid concomitant use</w:t>
      </w:r>
    </w:p>
    <w:p>
      <w:pPr>
        <w:pStyle w:val="BodyText"/>
        <w:spacing w:line="220" w:lineRule="auto" w:before="12"/>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cabozantinib possibly increased by </w:t>
      </w:r>
      <w:r>
        <w:rPr>
          <w:rFonts w:ascii="Calibri" w:hAnsi="Calibri"/>
          <w:color w:val="008356"/>
          <w:w w:val="105"/>
          <w:sz w:val="11"/>
        </w:rPr>
        <w:t>GRAPEFRUIT JUICE</w:t>
      </w:r>
    </w:p>
    <w:p>
      <w:pPr>
        <w:pStyle w:val="BodyText"/>
        <w:spacing w:before="8"/>
        <w:ind w:left="186"/>
        <w:rPr>
          <w:rFonts w:ascii="Trebuchet MS"/>
        </w:rPr>
      </w:pPr>
      <w:r>
        <w:rPr>
          <w:rFonts w:ascii="Trebuchet MS"/>
          <w:color w:val="008356"/>
        </w:rPr>
        <w:t>Caffeine citrate</w:t>
      </w:r>
    </w:p>
    <w:p>
      <w:pPr>
        <w:pStyle w:val="BodyText"/>
        <w:spacing w:line="220" w:lineRule="auto" w:before="10"/>
        <w:ind w:left="286" w:right="666" w:hanging="100"/>
        <w:rPr>
          <w:rFonts w:ascii="Calibri" w:hAnsi="Calibri"/>
          <w:sz w:val="11"/>
        </w:rPr>
      </w:pPr>
      <w:r>
        <w:rPr>
          <w:rFonts w:ascii="Lucida Sans Unicode" w:hAnsi="Lucida Sans Unicode"/>
          <w:color w:val="A7A8AC"/>
          <w:w w:val="95"/>
          <w:sz w:val="10"/>
        </w:rPr>
        <w:t>▶ </w:t>
      </w:r>
      <w:r>
        <w:rPr>
          <w:rFonts w:ascii="Calibri" w:hAnsi="Calibri"/>
          <w:color w:val="231F1F"/>
          <w:w w:val="110"/>
        </w:rPr>
        <w:t>Aminophylline: </w:t>
      </w:r>
      <w:r>
        <w:rPr>
          <w:color w:val="231F1F"/>
          <w:w w:val="110"/>
        </w:rPr>
        <w:t>manufacturer of caffeine citrate advises avoid concomitant use with </w:t>
      </w:r>
      <w:r>
        <w:rPr>
          <w:rFonts w:ascii="Calibri" w:hAnsi="Calibri"/>
          <w:color w:val="008356"/>
          <w:w w:val="110"/>
          <w:sz w:val="11"/>
        </w:rPr>
        <w:t>AMINOPHYLLINE</w:t>
      </w:r>
    </w:p>
    <w:p>
      <w:pPr>
        <w:pStyle w:val="BodyText"/>
        <w:spacing w:line="232" w:lineRule="auto" w:before="3"/>
        <w:ind w:left="286" w:right="639"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caffeine citrate antagonises anti-arrhythmic effect of </w:t>
      </w:r>
      <w:r>
        <w:rPr>
          <w:rFonts w:ascii="Calibri" w:hAnsi="Calibri"/>
          <w:color w:val="008356"/>
          <w:w w:val="110"/>
          <w:sz w:val="11"/>
        </w:rPr>
        <w:t>ADENOSINE</w:t>
      </w:r>
      <w:r>
        <w:rPr>
          <w:rFonts w:ascii="Arial" w:hAnsi="Arial"/>
          <w:color w:val="231F1F"/>
          <w:w w:val="110"/>
        </w:rPr>
        <w:t>—</w:t>
      </w:r>
      <w:r>
        <w:rPr>
          <w:color w:val="231F1F"/>
          <w:w w:val="110"/>
        </w:rPr>
        <w:t>manufacturer of adenosine advises avoid caffeine citrate for at least 12 hours before adenosine</w:t>
      </w:r>
    </w:p>
    <w:p>
      <w:pPr>
        <w:spacing w:line="230" w:lineRule="auto" w:before="4"/>
        <w:ind w:left="286" w:right="63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caffeine  citrate reduced by </w:t>
      </w:r>
      <w:r>
        <w:rPr>
          <w:rFonts w:ascii="Calibri" w:hAnsi="Calibri"/>
          <w:color w:val="008356"/>
          <w:spacing w:val="4"/>
          <w:w w:val="105"/>
          <w:sz w:val="11"/>
        </w:rPr>
        <w:t>FOSPHENYTOIN </w:t>
      </w:r>
      <w:r>
        <w:rPr>
          <w:color w:val="231F1F"/>
          <w:w w:val="105"/>
          <w:sz w:val="12"/>
        </w:rPr>
        <w:t>and </w:t>
      </w:r>
      <w:r>
        <w:rPr>
          <w:rFonts w:ascii="Calibri" w:hAnsi="Calibri"/>
          <w:color w:val="008356"/>
          <w:spacing w:val="4"/>
          <w:w w:val="105"/>
          <w:sz w:val="11"/>
        </w:rPr>
        <w:t>PHENYTOIN</w:t>
      </w:r>
      <w:r>
        <w:rPr>
          <w:color w:val="231F1F"/>
          <w:spacing w:val="4"/>
          <w:w w:val="105"/>
          <w:sz w:val="12"/>
        </w:rPr>
        <w:t>; </w:t>
      </w:r>
      <w:r>
        <w:rPr>
          <w:color w:val="231F1F"/>
          <w:w w:val="105"/>
          <w:sz w:val="12"/>
        </w:rPr>
        <w:t>caffeine citrate possibly antagonises effects of </w:t>
      </w:r>
      <w:r>
        <w:rPr>
          <w:rFonts w:ascii="Calibri" w:hAnsi="Calibri"/>
          <w:color w:val="008356"/>
          <w:spacing w:val="4"/>
          <w:w w:val="105"/>
          <w:sz w:val="11"/>
        </w:rPr>
        <w:t>PHENOBARBITAL </w:t>
      </w:r>
      <w:r>
        <w:rPr>
          <w:color w:val="231F1F"/>
          <w:w w:val="105"/>
          <w:sz w:val="12"/>
        </w:rPr>
        <w:t>and</w:t>
      </w:r>
      <w:r>
        <w:rPr>
          <w:color w:val="231F1F"/>
          <w:spacing w:val="-2"/>
          <w:w w:val="105"/>
          <w:sz w:val="12"/>
        </w:rPr>
        <w:t> </w:t>
      </w:r>
      <w:r>
        <w:rPr>
          <w:rFonts w:ascii="Calibri" w:hAnsi="Calibri"/>
          <w:color w:val="008356"/>
          <w:spacing w:val="4"/>
          <w:w w:val="105"/>
          <w:sz w:val="11"/>
        </w:rPr>
        <w:t>PRIMIDONE</w:t>
      </w:r>
    </w:p>
    <w:p>
      <w:pPr>
        <w:pStyle w:val="BodyText"/>
        <w:spacing w:line="220" w:lineRule="auto" w:before="9"/>
        <w:ind w:left="286" w:right="748"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manufacturer of caffeine citrate advises avoid concomitant use with </w:t>
      </w:r>
      <w:r>
        <w:rPr>
          <w:rFonts w:ascii="Calibri" w:hAnsi="Calibri"/>
          <w:color w:val="008356"/>
          <w:w w:val="110"/>
          <w:sz w:val="11"/>
        </w:rPr>
        <w:t>THEOPHYLLINE</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caffeine citrate increased by </w:t>
      </w:r>
      <w:r>
        <w:rPr>
          <w:rFonts w:ascii="Calibri" w:hAnsi="Calibri"/>
          <w:color w:val="008356"/>
          <w:w w:val="105"/>
          <w:sz w:val="11"/>
        </w:rPr>
        <w:t>CIMETIDINE</w:t>
      </w:r>
    </w:p>
    <w:p>
      <w:pPr>
        <w:pStyle w:val="BodyText"/>
        <w:spacing w:before="10"/>
        <w:ind w:left="186"/>
      </w:pPr>
      <w:r>
        <w:rPr>
          <w:rFonts w:ascii="Trebuchet MS"/>
          <w:color w:val="008356"/>
          <w:w w:val="105"/>
        </w:rPr>
        <w:t>Calcitriol </w:t>
      </w:r>
      <w:r>
        <w:rPr>
          <w:i/>
          <w:color w:val="231F1F"/>
          <w:w w:val="105"/>
        </w:rPr>
        <w:t>see </w:t>
      </w:r>
      <w:r>
        <w:rPr>
          <w:color w:val="231F1F"/>
          <w:w w:val="105"/>
        </w:rPr>
        <w:t>Vitamins</w:t>
      </w:r>
    </w:p>
    <w:p>
      <w:pPr>
        <w:pStyle w:val="BodyText"/>
        <w:spacing w:before="10"/>
        <w:ind w:left="186"/>
        <w:rPr>
          <w:rFonts w:ascii="Trebuchet MS"/>
        </w:rPr>
      </w:pPr>
      <w:r>
        <w:rPr>
          <w:rFonts w:ascii="Trebuchet MS"/>
          <w:color w:val="008356"/>
        </w:rPr>
        <w:t>Calcium Salts</w:t>
      </w:r>
    </w:p>
    <w:p>
      <w:pPr>
        <w:spacing w:line="141" w:lineRule="exact" w:before="4"/>
        <w:ind w:left="286" w:right="0" w:firstLine="0"/>
        <w:jc w:val="left"/>
        <w:rPr>
          <w:sz w:val="12"/>
        </w:rPr>
      </w:pPr>
      <w:r>
        <w:rPr>
          <w:rFonts w:ascii="Calibri"/>
          <w:color w:val="008356"/>
          <w:w w:val="110"/>
          <w:sz w:val="11"/>
        </w:rPr>
        <w:t>NOTE </w:t>
      </w:r>
      <w:r>
        <w:rPr>
          <w:i/>
          <w:color w:val="231F1F"/>
          <w:w w:val="110"/>
          <w:sz w:val="12"/>
        </w:rPr>
        <w:t>see also </w:t>
      </w:r>
      <w:r>
        <w:rPr>
          <w:color w:val="231F1F"/>
          <w:w w:val="110"/>
          <w:sz w:val="12"/>
        </w:rPr>
        <w:t>Antacids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calcium salts reduce absorption of</w:t>
      </w:r>
    </w:p>
    <w:p>
      <w:pPr>
        <w:spacing w:line="134" w:lineRule="exact" w:before="0"/>
        <w:ind w:left="286" w:right="0" w:firstLine="0"/>
        <w:jc w:val="left"/>
        <w:rPr>
          <w:rFonts w:ascii="Calibri"/>
          <w:sz w:val="11"/>
        </w:rPr>
      </w:pPr>
      <w:r>
        <w:rPr>
          <w:rFonts w:ascii="Calibri"/>
          <w:color w:val="008356"/>
          <w:w w:val="105"/>
          <w:sz w:val="11"/>
        </w:rPr>
        <w:t>CIPROFLOXACIN </w:t>
      </w:r>
      <w:r>
        <w:rPr>
          <w:color w:val="231F1F"/>
          <w:w w:val="105"/>
          <w:sz w:val="12"/>
        </w:rPr>
        <w:t>and </w:t>
      </w:r>
      <w:r>
        <w:rPr>
          <w:rFonts w:ascii="Calibri"/>
          <w:color w:val="008356"/>
          <w:w w:val="105"/>
          <w:sz w:val="11"/>
        </w:rPr>
        <w:t>TETRACYCLINE</w:t>
      </w:r>
    </w:p>
    <w:p>
      <w:pPr>
        <w:pStyle w:val="BodyText"/>
        <w:spacing w:line="242" w:lineRule="auto"/>
        <w:ind w:left="286" w:right="602" w:hanging="100"/>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6"/>
          <w:w w:val="95"/>
          <w:sz w:val="10"/>
        </w:rPr>
        <w:t> </w:t>
      </w:r>
      <w:r>
        <w:rPr>
          <w:rFonts w:ascii="Calibri" w:hAnsi="Calibri"/>
          <w:color w:val="231F1F"/>
          <w:w w:val="110"/>
        </w:rPr>
        <w:t>Antivirals:</w:t>
      </w:r>
      <w:r>
        <w:rPr>
          <w:rFonts w:ascii="Calibri" w:hAnsi="Calibri"/>
          <w:color w:val="231F1F"/>
          <w:spacing w:val="-9"/>
          <w:w w:val="110"/>
        </w:rPr>
        <w:t> </w:t>
      </w:r>
      <w:r>
        <w:rPr>
          <w:color w:val="231F1F"/>
          <w:w w:val="110"/>
        </w:rPr>
        <w:t>calcium</w:t>
      </w:r>
      <w:r>
        <w:rPr>
          <w:color w:val="231F1F"/>
          <w:spacing w:val="-13"/>
          <w:w w:val="110"/>
        </w:rPr>
        <w:t> </w:t>
      </w:r>
      <w:r>
        <w:rPr>
          <w:color w:val="231F1F"/>
          <w:w w:val="110"/>
        </w:rPr>
        <w:t>salts</w:t>
      </w:r>
      <w:r>
        <w:rPr>
          <w:color w:val="231F1F"/>
          <w:spacing w:val="-12"/>
          <w:w w:val="110"/>
        </w:rPr>
        <w:t> </w:t>
      </w:r>
      <w:r>
        <w:rPr>
          <w:color w:val="231F1F"/>
          <w:w w:val="110"/>
        </w:rPr>
        <w:t>reduce</w:t>
      </w:r>
      <w:r>
        <w:rPr>
          <w:color w:val="231F1F"/>
          <w:spacing w:val="-12"/>
          <w:w w:val="110"/>
        </w:rPr>
        <w:t> </w:t>
      </w:r>
      <w:r>
        <w:rPr>
          <w:color w:val="231F1F"/>
          <w:w w:val="110"/>
        </w:rPr>
        <w:t>absorption</w:t>
      </w:r>
      <w:r>
        <w:rPr>
          <w:color w:val="231F1F"/>
          <w:spacing w:val="-13"/>
          <w:w w:val="110"/>
        </w:rPr>
        <w:t> </w:t>
      </w:r>
      <w:r>
        <w:rPr>
          <w:color w:val="231F1F"/>
          <w:w w:val="110"/>
        </w:rPr>
        <w:t>of</w:t>
      </w:r>
      <w:r>
        <w:rPr>
          <w:color w:val="231F1F"/>
          <w:spacing w:val="-12"/>
          <w:w w:val="110"/>
        </w:rPr>
        <w:t> </w:t>
      </w:r>
      <w:r>
        <w:rPr>
          <w:rFonts w:ascii="Calibri" w:hAnsi="Calibri"/>
          <w:color w:val="008356"/>
          <w:spacing w:val="4"/>
          <w:w w:val="110"/>
          <w:sz w:val="11"/>
        </w:rPr>
        <w:t>DOLUTEGRAVIR</w:t>
      </w:r>
      <w:r>
        <w:rPr>
          <w:rFonts w:ascii="Arial" w:hAnsi="Arial"/>
          <w:color w:val="231F1F"/>
          <w:spacing w:val="4"/>
          <w:w w:val="110"/>
        </w:rPr>
        <w:t>— </w:t>
      </w:r>
      <w:r>
        <w:rPr>
          <w:color w:val="231F1F"/>
          <w:w w:val="110"/>
        </w:rPr>
        <w:t>manufacturer of dolutegravir advises give at least 2 hours before or 6 hours after calcium salts; manufacturer of rilpivirine advises give calcium salts 2 hours before or 4 </w:t>
      </w:r>
      <w:r>
        <w:rPr>
          <w:color w:val="231F1F"/>
          <w:spacing w:val="-3"/>
          <w:w w:val="110"/>
        </w:rPr>
        <w:t>hours </w:t>
      </w:r>
      <w:r>
        <w:rPr>
          <w:color w:val="231F1F"/>
          <w:w w:val="110"/>
        </w:rPr>
        <w:t>after</w:t>
      </w:r>
      <w:r>
        <w:rPr>
          <w:color w:val="231F1F"/>
          <w:spacing w:val="-2"/>
          <w:w w:val="110"/>
        </w:rPr>
        <w:t> </w:t>
      </w:r>
      <w:r>
        <w:rPr>
          <w:rFonts w:ascii="Calibri" w:hAnsi="Calibri"/>
          <w:color w:val="008356"/>
          <w:spacing w:val="5"/>
          <w:w w:val="110"/>
          <w:sz w:val="11"/>
        </w:rPr>
        <w:t>RILPIVIRINE</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Bisphosphonates: </w:t>
      </w:r>
      <w:r>
        <w:rPr>
          <w:color w:val="231F1F"/>
          <w:w w:val="105"/>
        </w:rPr>
        <w:t>calcium salts reduce absorption of</w:t>
      </w:r>
    </w:p>
    <w:p>
      <w:pPr>
        <w:spacing w:line="130" w:lineRule="exact" w:before="0"/>
        <w:ind w:left="286" w:right="0" w:firstLine="0"/>
        <w:jc w:val="left"/>
        <w:rPr>
          <w:rFonts w:ascii="Calibri"/>
          <w:sz w:val="11"/>
        </w:rPr>
      </w:pPr>
      <w:r>
        <w:rPr>
          <w:rFonts w:ascii="Calibri"/>
          <w:color w:val="008356"/>
          <w:sz w:val="11"/>
        </w:rPr>
        <w:t>BISPHOSPHONATES</w:t>
      </w:r>
    </w:p>
    <w:p>
      <w:pPr>
        <w:spacing w:line="220" w:lineRule="auto" w:before="6"/>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Cardiac Glycosides: </w:t>
      </w:r>
      <w:r>
        <w:rPr>
          <w:color w:val="231F1F"/>
          <w:w w:val="105"/>
          <w:sz w:val="12"/>
        </w:rPr>
        <w:t>large </w:t>
      </w:r>
      <w:r>
        <w:rPr>
          <w:i/>
          <w:color w:val="231F1F"/>
          <w:w w:val="105"/>
          <w:sz w:val="12"/>
        </w:rPr>
        <w:t>intravenous </w:t>
      </w:r>
      <w:r>
        <w:rPr>
          <w:color w:val="231F1F"/>
          <w:w w:val="105"/>
          <w:sz w:val="12"/>
        </w:rPr>
        <w:t>doses of calcium salts can precipitate arrhythmias when given with </w:t>
      </w:r>
      <w:r>
        <w:rPr>
          <w:rFonts w:ascii="Calibri" w:hAnsi="Calibri"/>
          <w:color w:val="008356"/>
          <w:w w:val="105"/>
          <w:sz w:val="11"/>
        </w:rPr>
        <w:t>CARDIAC GLYCOSIDES</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Corticosteroids: </w:t>
      </w:r>
      <w:r>
        <w:rPr>
          <w:color w:val="231F1F"/>
          <w:w w:val="105"/>
        </w:rPr>
        <w:t>absorption of calcium salts reduced by</w:t>
      </w:r>
    </w:p>
    <w:p>
      <w:pPr>
        <w:spacing w:line="131" w:lineRule="exact" w:before="0"/>
        <w:ind w:left="286" w:right="0" w:firstLine="0"/>
        <w:jc w:val="left"/>
        <w:rPr>
          <w:rFonts w:ascii="Calibri"/>
          <w:sz w:val="11"/>
        </w:rPr>
      </w:pPr>
      <w:r>
        <w:rPr>
          <w:rFonts w:ascii="Calibri"/>
          <w:color w:val="008356"/>
          <w:sz w:val="11"/>
        </w:rPr>
        <w:t>CORTICOSTEROIDS</w:t>
      </w:r>
    </w:p>
    <w:p>
      <w:pPr>
        <w:spacing w:after="0" w:line="131" w:lineRule="exact"/>
        <w:jc w:val="left"/>
        <w:rPr>
          <w:rFonts w:ascii="Calibri"/>
          <w:sz w:val="11"/>
        </w:rPr>
        <w:sectPr>
          <w:pgSz w:w="8390" w:h="11910"/>
          <w:pgMar w:header="0" w:footer="0" w:top="460" w:bottom="280" w:left="480" w:right="0"/>
          <w:cols w:num="2" w:equalWidth="0">
            <w:col w:w="3624" w:space="52"/>
            <w:col w:w="4234"/>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Calcium Salts </w:t>
      </w:r>
      <w:r>
        <w:rPr>
          <w:rFonts w:ascii="Calibri"/>
          <w:color w:val="231F1F"/>
        </w:rPr>
        <w:t>(continued)</w:t>
      </w:r>
    </w:p>
    <w:p>
      <w:pPr>
        <w:pStyle w:val="BodyText"/>
        <w:spacing w:line="235" w:lineRule="auto"/>
        <w:ind w:hanging="100"/>
      </w:pPr>
      <w:r>
        <w:rPr>
          <w:rFonts w:ascii="Lucida Sans Unicode" w:hAnsi="Lucida Sans Unicode"/>
          <w:color w:val="A7A8AC"/>
          <w:w w:val="95"/>
          <w:sz w:val="10"/>
        </w:rPr>
        <w:t>▶ </w:t>
      </w:r>
      <w:r>
        <w:rPr>
          <w:rFonts w:ascii="Calibri" w:hAnsi="Calibri"/>
          <w:color w:val="231F1F"/>
          <w:w w:val="110"/>
        </w:rPr>
        <w:t>Cytotoxics: </w:t>
      </w:r>
      <w:r>
        <w:rPr>
          <w:color w:val="231F1F"/>
          <w:w w:val="110"/>
        </w:rPr>
        <w:t>calcium salts reduce absorption of </w:t>
      </w:r>
      <w:r>
        <w:rPr>
          <w:rFonts w:ascii="Calibri" w:hAnsi="Calibri"/>
          <w:color w:val="008356"/>
          <w:w w:val="110"/>
          <w:sz w:val="11"/>
        </w:rPr>
        <w:t>ESTRAMUSTINE </w:t>
      </w:r>
      <w:r>
        <w:rPr>
          <w:color w:val="231F1F"/>
          <w:w w:val="110"/>
        </w:rPr>
        <w:t>(manufacturer of estramustine advises avoid concomitant administration)</w:t>
      </w:r>
    </w:p>
    <w:p>
      <w:pPr>
        <w:spacing w:line="220" w:lineRule="auto" w:before="9"/>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hypercalcaemia when calcium salts given with </w:t>
      </w:r>
      <w:r>
        <w:rPr>
          <w:rFonts w:ascii="Calibri" w:hAnsi="Calibri"/>
          <w:color w:val="008356"/>
          <w:w w:val="105"/>
          <w:sz w:val="11"/>
        </w:rPr>
        <w:t>THIAZIDES AND RELATED DIURETICS</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Eltrombopag: </w:t>
      </w:r>
      <w:r>
        <w:rPr>
          <w:color w:val="231F1F"/>
          <w:w w:val="105"/>
        </w:rPr>
        <w:t>calcium salts possibly reduce absorption of</w:t>
      </w:r>
    </w:p>
    <w:p>
      <w:pPr>
        <w:spacing w:line="134" w:lineRule="exact" w:before="0"/>
        <w:ind w:left="208" w:right="0" w:firstLine="0"/>
        <w:jc w:val="left"/>
        <w:rPr>
          <w:sz w:val="12"/>
        </w:rPr>
      </w:pPr>
      <w:r>
        <w:rPr>
          <w:rFonts w:ascii="Calibri"/>
          <w:color w:val="008356"/>
          <w:w w:val="110"/>
          <w:sz w:val="11"/>
        </w:rPr>
        <w:t>ELTROMBOPAG </w:t>
      </w:r>
      <w:r>
        <w:rPr>
          <w:color w:val="231F1F"/>
          <w:w w:val="110"/>
          <w:sz w:val="12"/>
        </w:rPr>
        <w:t>(give at least 4 hours apart)</w:t>
      </w:r>
    </w:p>
    <w:p>
      <w:pPr>
        <w:pStyle w:val="BodyText"/>
        <w:spacing w:line="148"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Fluorides: </w:t>
      </w:r>
      <w:r>
        <w:rPr>
          <w:color w:val="231F1F"/>
          <w:w w:val="105"/>
        </w:rPr>
        <w:t>calcium salts reduce absorption of </w:t>
      </w:r>
      <w:r>
        <w:rPr>
          <w:rFonts w:ascii="Calibri" w:hAnsi="Calibri"/>
          <w:color w:val="008356"/>
          <w:w w:val="105"/>
          <w:sz w:val="11"/>
        </w:rPr>
        <w:t>FLUORIDES</w:t>
      </w:r>
    </w:p>
    <w:p>
      <w:pPr>
        <w:spacing w:line="142"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calcium salts reduce absorption of </w:t>
      </w:r>
      <w:r>
        <w:rPr>
          <w:i/>
          <w:color w:val="231F1F"/>
          <w:w w:val="105"/>
          <w:sz w:val="12"/>
        </w:rPr>
        <w:t>oral </w:t>
      </w:r>
      <w:r>
        <w:rPr>
          <w:rFonts w:ascii="Calibri" w:hAnsi="Calibri"/>
          <w:color w:val="008356"/>
          <w:w w:val="105"/>
          <w:sz w:val="11"/>
        </w:rPr>
        <w:t>IRON SALTS</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Thyroid Hormones: </w:t>
      </w:r>
      <w:r>
        <w:rPr>
          <w:color w:val="231F1F"/>
          <w:w w:val="105"/>
        </w:rPr>
        <w:t>calcium salts reduce absorption of</w:t>
      </w:r>
    </w:p>
    <w:p>
      <w:pPr>
        <w:spacing w:line="130" w:lineRule="exact" w:before="0"/>
        <w:ind w:left="208" w:right="0" w:firstLine="0"/>
        <w:jc w:val="left"/>
        <w:rPr>
          <w:rFonts w:ascii="Calibri"/>
          <w:sz w:val="11"/>
        </w:rPr>
      </w:pPr>
      <w:r>
        <w:rPr>
          <w:rFonts w:ascii="Calibri"/>
          <w:color w:val="008356"/>
          <w:sz w:val="11"/>
        </w:rPr>
        <w:t>LEVOTHYROXINE</w:t>
      </w:r>
    </w:p>
    <w:p>
      <w:pPr>
        <w:pStyle w:val="BodyText"/>
        <w:spacing w:line="153"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Zinc: </w:t>
      </w:r>
      <w:r>
        <w:rPr>
          <w:color w:val="231F1F"/>
          <w:w w:val="105"/>
        </w:rPr>
        <w:t>calcium salts reduce absorption of </w:t>
      </w:r>
      <w:r>
        <w:rPr>
          <w:rFonts w:ascii="Calibri" w:hAnsi="Calibri"/>
          <w:color w:val="008356"/>
          <w:w w:val="105"/>
          <w:sz w:val="11"/>
        </w:rPr>
        <w:t>ZINC</w:t>
      </w:r>
    </w:p>
    <w:p>
      <w:pPr>
        <w:pStyle w:val="BodyText"/>
        <w:spacing w:line="136" w:lineRule="exact"/>
        <w:ind w:left="108"/>
        <w:rPr>
          <w:rFonts w:ascii="Trebuchet MS"/>
        </w:rPr>
      </w:pPr>
      <w:r>
        <w:rPr>
          <w:rFonts w:ascii="Trebuchet MS"/>
          <w:color w:val="008356"/>
        </w:rPr>
        <w:t>Calcium-channel Blockers</w:t>
      </w:r>
    </w:p>
    <w:p>
      <w:pPr>
        <w:pStyle w:val="BodyText"/>
        <w:spacing w:line="242" w:lineRule="auto" w:before="6"/>
      </w:pPr>
      <w:r>
        <w:rPr>
          <w:rFonts w:ascii="Calibri"/>
          <w:color w:val="008356"/>
          <w:w w:val="110"/>
          <w:sz w:val="11"/>
        </w:rPr>
        <w:t>NOTE </w:t>
      </w:r>
      <w:r>
        <w:rPr>
          <w:color w:val="231F1F"/>
          <w:w w:val="110"/>
        </w:rPr>
        <w:t>Dihydropyridine calcium-channel blockers include amlodipine, felodipine, isradipine, lacidipine, lercanidipine, nicardipine, nifedipine, and nimodipine</w:t>
      </w:r>
    </w:p>
    <w:p>
      <w:pPr>
        <w:pStyle w:val="BodyText"/>
        <w:spacing w:line="220" w:lineRule="auto" w:before="9"/>
        <w:ind w:right="88"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calcium- channel blockers given with </w:t>
      </w:r>
      <w:r>
        <w:rPr>
          <w:rFonts w:ascii="Calibri" w:hAnsi="Calibri"/>
          <w:color w:val="008356"/>
          <w:w w:val="105"/>
          <w:sz w:val="11"/>
        </w:rPr>
        <w:t>ACE INHIBITORS</w:t>
      </w:r>
    </w:p>
    <w:p>
      <w:pPr>
        <w:spacing w:line="237" w:lineRule="auto" w:before="0"/>
        <w:ind w:left="208" w:right="18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calcium-channel blockers given with </w:t>
      </w:r>
      <w:r>
        <w:rPr>
          <w:rFonts w:ascii="Calibri" w:hAnsi="Calibri"/>
          <w:color w:val="008356"/>
          <w:w w:val="105"/>
          <w:sz w:val="11"/>
        </w:rPr>
        <w:t>ADRENERGIC NEURONE BLOCKERS</w:t>
      </w:r>
    </w:p>
    <w:p>
      <w:pPr>
        <w:pStyle w:val="BodyText"/>
        <w:spacing w:line="230" w:lineRule="auto" w:before="2"/>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effect when calcium-channel blockers given with </w:t>
      </w:r>
      <w:r>
        <w:rPr>
          <w:rFonts w:ascii="Calibri" w:hAnsi="Calibri"/>
          <w:color w:val="008356"/>
          <w:w w:val="110"/>
          <w:sz w:val="11"/>
        </w:rPr>
        <w:t>ALCOHOL</w:t>
      </w:r>
      <w:r>
        <w:rPr>
          <w:color w:val="231F1F"/>
          <w:w w:val="110"/>
        </w:rPr>
        <w:t>; verapamil possibly increases plasma concentration of </w:t>
      </w:r>
      <w:r>
        <w:rPr>
          <w:rFonts w:ascii="Calibri" w:hAnsi="Calibri"/>
          <w:color w:val="008356"/>
          <w:w w:val="110"/>
          <w:sz w:val="11"/>
        </w:rPr>
        <w:t>ALCOHOL</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calcium- channel blockers given with </w:t>
      </w:r>
      <w:r>
        <w:rPr>
          <w:rFonts w:ascii="Calibri" w:hAnsi="Calibri"/>
          <w:color w:val="008356"/>
          <w:w w:val="110"/>
          <w:sz w:val="11"/>
        </w:rPr>
        <w:t>ALDESLEUKIN</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Aliskiren: </w:t>
      </w:r>
      <w:r>
        <w:rPr>
          <w:color w:val="231F1F"/>
          <w:w w:val="105"/>
        </w:rPr>
        <w:t>verapamil increases plasma concentration of</w:t>
      </w:r>
    </w:p>
    <w:p>
      <w:pPr>
        <w:spacing w:line="130" w:lineRule="exact" w:before="0"/>
        <w:ind w:left="208" w:right="0" w:firstLine="0"/>
        <w:jc w:val="left"/>
        <w:rPr>
          <w:rFonts w:ascii="Calibri"/>
          <w:sz w:val="11"/>
        </w:rPr>
      </w:pPr>
      <w:r>
        <w:rPr>
          <w:rFonts w:ascii="Calibri"/>
          <w:color w:val="008356"/>
          <w:w w:val="105"/>
          <w:sz w:val="11"/>
        </w:rPr>
        <w:t>ALISKIREN</w:t>
      </w:r>
    </w:p>
    <w:p>
      <w:pPr>
        <w:pStyle w:val="BodyText"/>
        <w:spacing w:line="244" w:lineRule="auto"/>
        <w:ind w:right="32" w:hanging="100"/>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Alpha-blockers:</w:t>
      </w:r>
      <w:r>
        <w:rPr>
          <w:rFonts w:ascii="Calibri"/>
          <w:color w:val="231F1F"/>
          <w:spacing w:val="-10"/>
          <w:w w:val="115"/>
        </w:rPr>
        <w:t> </w:t>
      </w:r>
      <w:r>
        <w:rPr>
          <w:color w:val="231F1F"/>
          <w:w w:val="115"/>
        </w:rPr>
        <w:t>verapamil</w:t>
      </w:r>
      <w:r>
        <w:rPr>
          <w:color w:val="231F1F"/>
          <w:spacing w:val="-14"/>
          <w:w w:val="115"/>
        </w:rPr>
        <w:t> </w:t>
      </w:r>
      <w:r>
        <w:rPr>
          <w:color w:val="231F1F"/>
          <w:w w:val="115"/>
        </w:rPr>
        <w:t>increases</w:t>
      </w:r>
      <w:r>
        <w:rPr>
          <w:color w:val="231F1F"/>
          <w:spacing w:val="-14"/>
          <w:w w:val="115"/>
        </w:rPr>
        <w:t> </w:t>
      </w:r>
      <w:r>
        <w:rPr>
          <w:color w:val="231F1F"/>
          <w:w w:val="115"/>
        </w:rPr>
        <w:t>plasma</w:t>
      </w:r>
      <w:r>
        <w:rPr>
          <w:color w:val="231F1F"/>
          <w:spacing w:val="-13"/>
          <w:w w:val="115"/>
        </w:rPr>
        <w:t> </w:t>
      </w:r>
      <w:r>
        <w:rPr>
          <w:color w:val="231F1F"/>
          <w:w w:val="115"/>
        </w:rPr>
        <w:t>concentration</w:t>
      </w:r>
      <w:r>
        <w:rPr>
          <w:color w:val="231F1F"/>
          <w:spacing w:val="-15"/>
          <w:w w:val="115"/>
        </w:rPr>
        <w:t> </w:t>
      </w:r>
      <w:r>
        <w:rPr>
          <w:color w:val="231F1F"/>
          <w:w w:val="115"/>
        </w:rPr>
        <w:t>of </w:t>
      </w:r>
      <w:r>
        <w:rPr>
          <w:rFonts w:ascii="Calibri"/>
          <w:color w:val="008356"/>
          <w:spacing w:val="4"/>
          <w:w w:val="115"/>
          <w:sz w:val="11"/>
        </w:rPr>
        <w:t>TAMSULOSIN</w:t>
      </w:r>
      <w:r>
        <w:rPr>
          <w:color w:val="231F1F"/>
          <w:spacing w:val="4"/>
          <w:w w:val="115"/>
        </w:rPr>
        <w:t>; </w:t>
      </w:r>
      <w:r>
        <w:rPr>
          <w:color w:val="231F1F"/>
          <w:w w:val="115"/>
        </w:rPr>
        <w:t>enhanced hypotensive effect when calcium- channel</w:t>
      </w:r>
      <w:r>
        <w:rPr>
          <w:color w:val="231F1F"/>
          <w:spacing w:val="-22"/>
          <w:w w:val="115"/>
        </w:rPr>
        <w:t> </w:t>
      </w:r>
      <w:r>
        <w:rPr>
          <w:color w:val="231F1F"/>
          <w:w w:val="115"/>
        </w:rPr>
        <w:t>blockers</w:t>
      </w:r>
      <w:r>
        <w:rPr>
          <w:color w:val="231F1F"/>
          <w:spacing w:val="-21"/>
          <w:w w:val="115"/>
        </w:rPr>
        <w:t> </w:t>
      </w:r>
      <w:r>
        <w:rPr>
          <w:color w:val="231F1F"/>
          <w:w w:val="115"/>
        </w:rPr>
        <w:t>given</w:t>
      </w:r>
      <w:r>
        <w:rPr>
          <w:color w:val="231F1F"/>
          <w:spacing w:val="-22"/>
          <w:w w:val="115"/>
        </w:rPr>
        <w:t> </w:t>
      </w:r>
      <w:r>
        <w:rPr>
          <w:color w:val="231F1F"/>
          <w:w w:val="115"/>
        </w:rPr>
        <w:t>with</w:t>
      </w:r>
      <w:r>
        <w:rPr>
          <w:color w:val="231F1F"/>
          <w:spacing w:val="-21"/>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ALPHA-BLOCKERS</w:t>
      </w:r>
      <w:r>
        <w:rPr>
          <w:color w:val="231F1F"/>
          <w:spacing w:val="4"/>
          <w:w w:val="115"/>
        </w:rPr>
        <w:t>,</w:t>
      </w:r>
      <w:r>
        <w:rPr>
          <w:color w:val="231F1F"/>
          <w:spacing w:val="-20"/>
          <w:w w:val="115"/>
        </w:rPr>
        <w:t> </w:t>
      </w:r>
      <w:r>
        <w:rPr>
          <w:color w:val="231F1F"/>
          <w:w w:val="115"/>
        </w:rPr>
        <w:t>also</w:t>
      </w:r>
      <w:r>
        <w:rPr>
          <w:color w:val="231F1F"/>
          <w:spacing w:val="-22"/>
          <w:w w:val="115"/>
        </w:rPr>
        <w:t> </w:t>
      </w:r>
      <w:r>
        <w:rPr>
          <w:color w:val="231F1F"/>
          <w:w w:val="115"/>
        </w:rPr>
        <w:t>increased risk of first-dose hypotension with post-synaptic alpha- blockers such as</w:t>
      </w:r>
      <w:r>
        <w:rPr>
          <w:color w:val="231F1F"/>
          <w:spacing w:val="-13"/>
          <w:w w:val="115"/>
        </w:rPr>
        <w:t> </w:t>
      </w:r>
      <w:r>
        <w:rPr>
          <w:color w:val="231F1F"/>
          <w:w w:val="115"/>
        </w:rPr>
        <w:t>prazosin</w:t>
      </w:r>
    </w:p>
    <w:p>
      <w:pPr>
        <w:pStyle w:val="BodyText"/>
        <w:spacing w:line="242" w:lineRule="auto"/>
        <w:ind w:hanging="100"/>
      </w:pPr>
      <w:r>
        <w:rPr>
          <w:rFonts w:ascii="Arial"/>
          <w:color w:val="231F1F"/>
          <w:w w:val="355"/>
          <w:position w:val="1"/>
          <w:sz w:val="7"/>
        </w:rPr>
        <w:t>l </w:t>
      </w:r>
      <w:r>
        <w:rPr>
          <w:rFonts w:ascii="Calibri"/>
          <w:color w:val="231F1F"/>
          <w:w w:val="110"/>
        </w:rPr>
        <w:t>Aminophylline: </w:t>
      </w:r>
      <w:r>
        <w:rPr>
          <w:color w:val="231F1F"/>
          <w:w w:val="110"/>
        </w:rPr>
        <w:t>calcium-channel blockers possibly increase plasma concentration 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AMINOPHYLLINE </w:t>
      </w:r>
      <w:r>
        <w:rPr>
          <w:color w:val="231F1F"/>
          <w:w w:val="110"/>
        </w:rPr>
        <w:t>(enhanced effect); diltiazem increases plasma concentration of </w:t>
      </w:r>
      <w:r>
        <w:rPr>
          <w:rFonts w:ascii="Calibri"/>
          <w:color w:val="008356"/>
          <w:spacing w:val="3"/>
          <w:w w:val="110"/>
          <w:sz w:val="11"/>
        </w:rPr>
        <w:t>AMINOPHYLLINE</w:t>
      </w:r>
      <w:r>
        <w:rPr>
          <w:color w:val="231F1F"/>
          <w:spacing w:val="3"/>
          <w:w w:val="110"/>
        </w:rPr>
        <w:t>; </w:t>
      </w:r>
      <w:r>
        <w:rPr>
          <w:color w:val="231F1F"/>
          <w:w w:val="110"/>
        </w:rPr>
        <w:t>verapamil increases plasma concentration of</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10"/>
          <w:sz w:val="11"/>
        </w:rPr>
        <w:t>AMINOPHYLLINE </w:t>
      </w:r>
      <w:r>
        <w:rPr>
          <w:color w:val="231F1F"/>
          <w:w w:val="110"/>
          <w:sz w:val="12"/>
        </w:rPr>
        <w:t>(enhanced effect)</w:t>
      </w:r>
    </w:p>
    <w:p>
      <w:pPr>
        <w:spacing w:line="242" w:lineRule="auto" w:before="0"/>
        <w:ind w:left="208" w:right="98" w:hanging="100"/>
        <w:jc w:val="left"/>
        <w:rPr>
          <w:sz w:val="12"/>
        </w:rPr>
      </w:pPr>
      <w:r>
        <w:rPr>
          <w:rFonts w:ascii="Arial"/>
          <w:color w:val="231F1F"/>
          <w:w w:val="355"/>
          <w:position w:val="1"/>
          <w:sz w:val="7"/>
        </w:rPr>
        <w:t>l </w:t>
      </w:r>
      <w:r>
        <w:rPr>
          <w:rFonts w:ascii="Calibri"/>
          <w:color w:val="231F1F"/>
          <w:w w:val="110"/>
          <w:sz w:val="12"/>
        </w:rPr>
        <w:t>Anaesthetics, General: </w:t>
      </w:r>
      <w:r>
        <w:rPr>
          <w:color w:val="231F1F"/>
          <w:w w:val="110"/>
          <w:sz w:val="12"/>
        </w:rPr>
        <w:t>enhanced hypotensive effect when calcium-channel blockers given with </w:t>
      </w:r>
      <w:r>
        <w:rPr>
          <w:rFonts w:ascii="Calibri"/>
          <w:color w:val="008356"/>
          <w:spacing w:val="4"/>
          <w:w w:val="110"/>
          <w:sz w:val="11"/>
        </w:rPr>
        <w:t>GENERAL </w:t>
      </w:r>
      <w:r>
        <w:rPr>
          <w:rFonts w:ascii="Calibri"/>
          <w:color w:val="008356"/>
          <w:spacing w:val="5"/>
          <w:w w:val="110"/>
          <w:sz w:val="11"/>
        </w:rPr>
        <w:t>ANAESTHETICS </w:t>
      </w:r>
      <w:r>
        <w:rPr>
          <w:color w:val="231F1F"/>
          <w:w w:val="110"/>
          <w:sz w:val="12"/>
        </w:rPr>
        <w:t>or </w:t>
      </w:r>
      <w:r>
        <w:rPr>
          <w:rFonts w:ascii="Calibri"/>
          <w:color w:val="008356"/>
          <w:spacing w:val="4"/>
          <w:w w:val="110"/>
          <w:sz w:val="11"/>
        </w:rPr>
        <w:t>ISOFLURANE</w:t>
      </w:r>
      <w:r>
        <w:rPr>
          <w:color w:val="231F1F"/>
          <w:spacing w:val="4"/>
          <w:w w:val="110"/>
          <w:sz w:val="12"/>
        </w:rPr>
        <w:t>; </w:t>
      </w:r>
      <w:r>
        <w:rPr>
          <w:color w:val="231F1F"/>
          <w:w w:val="110"/>
          <w:sz w:val="12"/>
        </w:rPr>
        <w:t>hypotensive effect of verapamil enhanced </w:t>
      </w:r>
      <w:r>
        <w:rPr>
          <w:color w:val="231F1F"/>
          <w:spacing w:val="-6"/>
          <w:w w:val="110"/>
          <w:sz w:val="12"/>
        </w:rPr>
        <w:t>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GENERAL ANAESTHETICS </w:t>
      </w:r>
      <w:r>
        <w:rPr>
          <w:color w:val="231F1F"/>
          <w:w w:val="110"/>
          <w:sz w:val="12"/>
        </w:rPr>
        <w:t>(also AV delay)</w:t>
      </w:r>
    </w:p>
    <w:p>
      <w:pPr>
        <w:pStyle w:val="BodyText"/>
        <w:spacing w:line="235" w:lineRule="auto"/>
        <w:ind w:right="88"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hypotensive effect of calcium-channel blockers antagonised by </w:t>
      </w:r>
      <w:r>
        <w:rPr>
          <w:rFonts w:ascii="Calibri" w:hAnsi="Calibri"/>
          <w:color w:val="008356"/>
          <w:w w:val="110"/>
          <w:sz w:val="11"/>
        </w:rPr>
        <w:t>NSAID</w:t>
      </w:r>
      <w:r>
        <w:rPr>
          <w:rFonts w:ascii="Calibri" w:hAnsi="Calibri"/>
          <w:color w:val="008356"/>
          <w:w w:val="110"/>
          <w:sz w:val="9"/>
        </w:rPr>
        <w:t>S</w:t>
      </w:r>
      <w:r>
        <w:rPr>
          <w:color w:val="231F1F"/>
          <w:w w:val="110"/>
        </w:rPr>
        <w:t>; diltiazem inhibits metabolism of </w:t>
      </w:r>
      <w:r>
        <w:rPr>
          <w:rFonts w:ascii="Calibri" w:hAnsi="Calibri"/>
          <w:color w:val="008356"/>
          <w:w w:val="110"/>
          <w:sz w:val="11"/>
        </w:rPr>
        <w:t>ALFENTANIL </w:t>
      </w:r>
      <w:r>
        <w:rPr>
          <w:color w:val="231F1F"/>
          <w:w w:val="110"/>
        </w:rPr>
        <w:t>(risk of prolonged or delayed respiratory depression)</w:t>
      </w:r>
    </w:p>
    <w:p>
      <w:pPr>
        <w:spacing w:line="242" w:lineRule="auto" w:before="0"/>
        <w:ind w:left="208" w:right="31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calcium-channel blockers given with </w:t>
      </w:r>
      <w:r>
        <w:rPr>
          <w:rFonts w:ascii="Calibri" w:hAnsi="Calibri"/>
          <w:color w:val="008356"/>
          <w:w w:val="105"/>
          <w:sz w:val="11"/>
        </w:rPr>
        <w:t>ANGIOTENSIN-II RECEPTOR ANTAGONISTS</w:t>
      </w:r>
    </w:p>
    <w:p>
      <w:pPr>
        <w:pStyle w:val="BodyText"/>
        <w:spacing w:line="140" w:lineRule="exact"/>
        <w:ind w:left="108"/>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Anti-arrhythmics:</w:t>
      </w:r>
      <w:r>
        <w:rPr>
          <w:rFonts w:ascii="Calibri"/>
          <w:color w:val="231F1F"/>
          <w:spacing w:val="-14"/>
          <w:w w:val="115"/>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6"/>
          <w:w w:val="115"/>
        </w:rPr>
        <w:t> </w:t>
      </w:r>
      <w:r>
        <w:rPr>
          <w:color w:val="231F1F"/>
          <w:w w:val="115"/>
        </w:rPr>
        <w:t>bradycardia,</w:t>
      </w:r>
      <w:r>
        <w:rPr>
          <w:color w:val="231F1F"/>
          <w:spacing w:val="-18"/>
          <w:w w:val="115"/>
        </w:rPr>
        <w:t> </w:t>
      </w:r>
      <w:r>
        <w:rPr>
          <w:color w:val="231F1F"/>
          <w:w w:val="115"/>
        </w:rPr>
        <w:t>AV</w:t>
      </w:r>
      <w:r>
        <w:rPr>
          <w:color w:val="231F1F"/>
          <w:spacing w:val="-17"/>
          <w:w w:val="115"/>
        </w:rPr>
        <w:t> </w:t>
      </w:r>
      <w:r>
        <w:rPr>
          <w:color w:val="231F1F"/>
          <w:w w:val="115"/>
        </w:rPr>
        <w:t>block</w:t>
      </w:r>
      <w:r>
        <w:rPr>
          <w:color w:val="231F1F"/>
          <w:spacing w:val="-18"/>
          <w:w w:val="115"/>
        </w:rPr>
        <w:t> </w:t>
      </w:r>
      <w:r>
        <w:rPr>
          <w:color w:val="231F1F"/>
          <w:w w:val="115"/>
        </w:rPr>
        <w:t>and</w:t>
      </w:r>
    </w:p>
    <w:p>
      <w:pPr>
        <w:pStyle w:val="BodyText"/>
        <w:spacing w:line="244" w:lineRule="auto"/>
        <w:ind w:right="104"/>
      </w:pPr>
      <w:r>
        <w:rPr>
          <w:color w:val="231F1F"/>
          <w:w w:val="110"/>
        </w:rPr>
        <w:t>myocardial depression when diltiazem or verapamil given with </w:t>
      </w:r>
      <w:r>
        <w:rPr>
          <w:rFonts w:ascii="Arial"/>
          <w:color w:val="231F1F"/>
          <w:w w:val="355"/>
          <w:position w:val="1"/>
          <w:sz w:val="7"/>
        </w:rPr>
        <w:t>l </w:t>
      </w:r>
      <w:r>
        <w:rPr>
          <w:rFonts w:ascii="Calibri"/>
          <w:color w:val="008356"/>
          <w:w w:val="110"/>
          <w:sz w:val="11"/>
        </w:rPr>
        <w:t>AMIODARONE</w:t>
      </w:r>
      <w:r>
        <w:rPr>
          <w:color w:val="231F1F"/>
          <w:w w:val="110"/>
        </w:rPr>
        <w:t>; increased risk of myocardial depression and asystole when verapamil given with </w:t>
      </w:r>
      <w:r>
        <w:rPr>
          <w:rFonts w:ascii="Arial"/>
          <w:color w:val="231F1F"/>
          <w:w w:val="355"/>
          <w:position w:val="1"/>
          <w:sz w:val="7"/>
        </w:rPr>
        <w:t>l </w:t>
      </w:r>
      <w:r>
        <w:rPr>
          <w:rFonts w:ascii="Calibri"/>
          <w:color w:val="008356"/>
          <w:w w:val="110"/>
          <w:sz w:val="11"/>
        </w:rPr>
        <w:t>DISOPYRAMIDE </w:t>
      </w:r>
      <w:r>
        <w:rPr>
          <w:color w:val="231F1F"/>
          <w:w w:val="110"/>
        </w:rPr>
        <w:t>or </w:t>
      </w:r>
      <w:r>
        <w:rPr>
          <w:rFonts w:ascii="Arial"/>
          <w:color w:val="231F1F"/>
          <w:w w:val="355"/>
          <w:position w:val="1"/>
          <w:sz w:val="7"/>
        </w:rPr>
        <w:t>l </w:t>
      </w:r>
      <w:r>
        <w:rPr>
          <w:rFonts w:ascii="Calibri"/>
          <w:color w:val="008356"/>
          <w:w w:val="110"/>
          <w:sz w:val="11"/>
        </w:rPr>
        <w:t>FLECAINIDE</w:t>
      </w:r>
      <w:r>
        <w:rPr>
          <w:color w:val="231F1F"/>
          <w:w w:val="110"/>
        </w:rPr>
        <w:t>; increased risk of bradycardia and myocardial depression when diltiazem and verapamil given with</w:t>
      </w:r>
    </w:p>
    <w:p>
      <w:pPr>
        <w:spacing w:before="0"/>
        <w:ind w:left="208" w:right="0" w:firstLine="0"/>
        <w:jc w:val="left"/>
        <w:rPr>
          <w:sz w:val="12"/>
        </w:rPr>
      </w:pPr>
      <w:r>
        <w:rPr>
          <w:rFonts w:ascii="Arial"/>
          <w:color w:val="231F1F"/>
          <w:w w:val="355"/>
          <w:position w:val="1"/>
          <w:sz w:val="7"/>
        </w:rPr>
        <w:t>l </w:t>
      </w:r>
      <w:r>
        <w:rPr>
          <w:rFonts w:ascii="Calibri"/>
          <w:color w:val="008356"/>
          <w:w w:val="110"/>
          <w:sz w:val="11"/>
        </w:rPr>
        <w:t>DRONEDARONE</w:t>
      </w:r>
      <w:r>
        <w:rPr>
          <w:color w:val="231F1F"/>
          <w:w w:val="110"/>
          <w:sz w:val="12"/>
        </w:rPr>
        <w:t>; nifedipine increases plasma concentration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DRONEDARONE</w:t>
      </w:r>
    </w:p>
    <w:p>
      <w:pPr>
        <w:pStyle w:val="BodyText"/>
        <w:spacing w:line="244" w:lineRule="auto"/>
        <w:ind w:right="38" w:hanging="100"/>
      </w:pPr>
      <w:r>
        <w:rPr>
          <w:rFonts w:ascii="Arial"/>
          <w:color w:val="231F1F"/>
          <w:w w:val="355"/>
          <w:position w:val="1"/>
          <w:sz w:val="7"/>
        </w:rPr>
        <w:t>l </w:t>
      </w:r>
      <w:r>
        <w:rPr>
          <w:rFonts w:ascii="Calibri"/>
          <w:color w:val="231F1F"/>
          <w:w w:val="110"/>
        </w:rPr>
        <w:t>Antibacterials: </w:t>
      </w:r>
      <w:r>
        <w:rPr>
          <w:color w:val="231F1F"/>
          <w:w w:val="110"/>
        </w:rPr>
        <w:t>metabolism of calcium-channel blockers possibly</w:t>
      </w:r>
      <w:r>
        <w:rPr>
          <w:color w:val="231F1F"/>
          <w:spacing w:val="-16"/>
          <w:w w:val="110"/>
        </w:rPr>
        <w:t> </w:t>
      </w:r>
      <w:r>
        <w:rPr>
          <w:color w:val="231F1F"/>
          <w:w w:val="110"/>
        </w:rPr>
        <w:t>inhibited</w:t>
      </w:r>
      <w:r>
        <w:rPr>
          <w:color w:val="231F1F"/>
          <w:spacing w:val="-16"/>
          <w:w w:val="110"/>
        </w:rPr>
        <w:t> </w:t>
      </w:r>
      <w:r>
        <w:rPr>
          <w:color w:val="231F1F"/>
          <w:w w:val="110"/>
        </w:rPr>
        <w:t>by</w:t>
      </w:r>
      <w:r>
        <w:rPr>
          <w:color w:val="231F1F"/>
          <w:spacing w:val="-14"/>
          <w:w w:val="110"/>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CLARITHROMYCIN</w:t>
      </w:r>
      <w:r>
        <w:rPr>
          <w:color w:val="231F1F"/>
          <w:spacing w:val="4"/>
          <w:w w:val="110"/>
        </w:rPr>
        <w:t>,</w:t>
      </w:r>
      <w:r>
        <w:rPr>
          <w:color w:val="231F1F"/>
          <w:spacing w:val="-15"/>
          <w:w w:val="110"/>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ERYTHROMYCIN</w:t>
      </w:r>
      <w:r>
        <w:rPr>
          <w:rFonts w:ascii="Calibri"/>
          <w:color w:val="008356"/>
          <w:spacing w:val="-7"/>
          <w:w w:val="110"/>
          <w:sz w:val="11"/>
        </w:rPr>
        <w:t> </w:t>
      </w:r>
      <w:r>
        <w:rPr>
          <w:color w:val="231F1F"/>
          <w:w w:val="110"/>
        </w:rPr>
        <w:t>and</w:t>
      </w:r>
      <w:r>
        <w:rPr>
          <w:color w:val="231F1F"/>
          <w:w w:val="110"/>
          <w:position w:val="1"/>
        </w:rPr>
        <w:t> </w:t>
      </w:r>
      <w:r>
        <w:rPr>
          <w:rFonts w:ascii="Arial"/>
          <w:color w:val="231F1F"/>
          <w:w w:val="355"/>
          <w:position w:val="1"/>
          <w:sz w:val="7"/>
        </w:rPr>
        <w:t>l</w:t>
      </w:r>
      <w:r>
        <w:rPr>
          <w:rFonts w:ascii="Arial"/>
          <w:color w:val="231F1F"/>
          <w:spacing w:val="-38"/>
          <w:w w:val="355"/>
          <w:position w:val="1"/>
          <w:sz w:val="7"/>
        </w:rPr>
        <w:t> </w:t>
      </w:r>
      <w:r>
        <w:rPr>
          <w:rFonts w:ascii="Calibri"/>
          <w:color w:val="008356"/>
          <w:spacing w:val="4"/>
          <w:w w:val="110"/>
          <w:sz w:val="11"/>
        </w:rPr>
        <w:t>TELITHROMYCIN </w:t>
      </w:r>
      <w:r>
        <w:rPr>
          <w:color w:val="231F1F"/>
          <w:w w:val="110"/>
        </w:rPr>
        <w:t>(increased risk of side-effects); </w:t>
      </w:r>
      <w:r>
        <w:rPr>
          <w:color w:val="231F1F"/>
          <w:spacing w:val="-2"/>
          <w:w w:val="110"/>
        </w:rPr>
        <w:t>manufacturer </w:t>
      </w:r>
      <w:r>
        <w:rPr>
          <w:color w:val="231F1F"/>
          <w:w w:val="110"/>
        </w:rPr>
        <w:t>of lercanidipine advises avoid concomitant use with </w:t>
      </w:r>
      <w:r>
        <w:rPr>
          <w:rFonts w:ascii="Calibri"/>
          <w:color w:val="008356"/>
          <w:spacing w:val="4"/>
          <w:w w:val="110"/>
          <w:sz w:val="11"/>
        </w:rPr>
        <w:t>ERYTHROMYCIN</w:t>
      </w:r>
      <w:r>
        <w:rPr>
          <w:color w:val="231F1F"/>
          <w:spacing w:val="4"/>
          <w:w w:val="110"/>
        </w:rPr>
        <w:t>; </w:t>
      </w:r>
      <w:r>
        <w:rPr>
          <w:color w:val="231F1F"/>
          <w:w w:val="110"/>
        </w:rPr>
        <w:t>metabolism of diltiazem, nifedipine, nimodipine and verapamil accelerated by </w:t>
      </w:r>
      <w:r>
        <w:rPr>
          <w:rFonts w:ascii="Arial"/>
          <w:color w:val="231F1F"/>
          <w:w w:val="355"/>
          <w:position w:val="1"/>
          <w:sz w:val="7"/>
        </w:rPr>
        <w:t>l </w:t>
      </w:r>
      <w:r>
        <w:rPr>
          <w:rFonts w:ascii="Calibri"/>
          <w:color w:val="008356"/>
          <w:spacing w:val="4"/>
          <w:w w:val="110"/>
          <w:sz w:val="11"/>
        </w:rPr>
        <w:t>RIFAMPICIN </w:t>
      </w:r>
      <w:r>
        <w:rPr>
          <w:color w:val="231F1F"/>
          <w:w w:val="110"/>
        </w:rPr>
        <w:t>(plasma concentration significantly reduced); metabolism of isradipine and nicardipine possibly accelerated</w:t>
      </w:r>
      <w:r>
        <w:rPr>
          <w:color w:val="231F1F"/>
          <w:spacing w:val="4"/>
          <w:w w:val="110"/>
        </w:rPr>
        <w:t> </w:t>
      </w:r>
      <w:r>
        <w:rPr>
          <w:color w:val="231F1F"/>
          <w:w w:val="110"/>
        </w:rPr>
        <w:t>by</w:t>
      </w:r>
    </w:p>
    <w:p>
      <w:pPr>
        <w:pStyle w:val="BodyText"/>
        <w:spacing w:line="244" w:lineRule="auto"/>
        <w:rPr>
          <w:rFonts w:ascii="Calibri"/>
          <w:sz w:val="11"/>
        </w:rPr>
      </w:pPr>
      <w:r>
        <w:rPr>
          <w:rFonts w:ascii="Arial"/>
          <w:color w:val="231F1F"/>
          <w:w w:val="355"/>
          <w:position w:val="1"/>
          <w:sz w:val="7"/>
        </w:rPr>
        <w:t>l </w:t>
      </w:r>
      <w:r>
        <w:rPr>
          <w:rFonts w:ascii="Calibri"/>
          <w:color w:val="008356"/>
          <w:w w:val="110"/>
          <w:sz w:val="11"/>
        </w:rPr>
        <w:t>RIFAMPICIN </w:t>
      </w:r>
      <w:r>
        <w:rPr>
          <w:color w:val="231F1F"/>
          <w:w w:val="110"/>
        </w:rPr>
        <w:t>(possible significantly reduced plasma concentration); plasma concentration of felodipine possibly reduced by </w:t>
      </w:r>
      <w:r>
        <w:rPr>
          <w:rFonts w:ascii="Calibri"/>
          <w:color w:val="008356"/>
          <w:w w:val="110"/>
          <w:sz w:val="11"/>
        </w:rPr>
        <w:t>RIFAMPICIN</w:t>
      </w:r>
      <w:r>
        <w:rPr>
          <w:color w:val="231F1F"/>
          <w:w w:val="110"/>
        </w:rPr>
        <w:t>; avoidance of verapamil advised by manufacturer of </w:t>
      </w:r>
      <w:r>
        <w:rPr>
          <w:rFonts w:ascii="Calibri"/>
          <w:color w:val="008356"/>
          <w:w w:val="110"/>
          <w:sz w:val="11"/>
        </w:rPr>
        <w:t>FIDAXOMICIN</w:t>
      </w:r>
    </w:p>
    <w:p>
      <w:pPr>
        <w:pStyle w:val="BodyText"/>
        <w:ind w:right="88" w:hanging="100"/>
      </w:pPr>
      <w:r>
        <w:rPr>
          <w:rFonts w:ascii="Arial"/>
          <w:color w:val="231F1F"/>
          <w:w w:val="355"/>
          <w:position w:val="1"/>
          <w:sz w:val="7"/>
        </w:rPr>
        <w:t>l </w:t>
      </w:r>
      <w:r>
        <w:rPr>
          <w:rFonts w:ascii="Calibri"/>
          <w:color w:val="231F1F"/>
          <w:w w:val="110"/>
        </w:rPr>
        <w:t>Anticoagulants: </w:t>
      </w:r>
      <w:r>
        <w:rPr>
          <w:color w:val="231F1F"/>
          <w:w w:val="110"/>
        </w:rPr>
        <w:t>verapamil possibly increases plasma concentration of </w:t>
      </w:r>
      <w:r>
        <w:rPr>
          <w:rFonts w:ascii="Arial"/>
          <w:color w:val="231F1F"/>
          <w:w w:val="355"/>
          <w:position w:val="1"/>
          <w:sz w:val="7"/>
        </w:rPr>
        <w:t>l </w:t>
      </w:r>
      <w:r>
        <w:rPr>
          <w:rFonts w:ascii="Calibri"/>
          <w:color w:val="008356"/>
          <w:w w:val="110"/>
          <w:sz w:val="11"/>
        </w:rPr>
        <w:t>DABIGATRAN </w:t>
      </w:r>
      <w:r>
        <w:rPr>
          <w:color w:val="231F1F"/>
          <w:w w:val="110"/>
        </w:rPr>
        <w:t>(see under Dabigatran Etexilate, p. 117)</w:t>
      </w:r>
    </w:p>
    <w:p>
      <w:pPr>
        <w:pStyle w:val="BodyText"/>
        <w:ind w:right="102" w:hanging="100"/>
      </w:pPr>
      <w:r>
        <w:rPr>
          <w:rFonts w:ascii="Arial"/>
          <w:color w:val="231F1F"/>
          <w:w w:val="355"/>
          <w:position w:val="1"/>
          <w:sz w:val="7"/>
        </w:rPr>
        <w:t>l </w:t>
      </w:r>
      <w:r>
        <w:rPr>
          <w:rFonts w:ascii="Calibri"/>
          <w:color w:val="231F1F"/>
          <w:w w:val="110"/>
        </w:rPr>
        <w:t>Antidepressants: </w:t>
      </w:r>
      <w:r>
        <w:rPr>
          <w:color w:val="231F1F"/>
          <w:w w:val="110"/>
        </w:rPr>
        <w:t>metabolism of nifedipine possibly inhibited by </w:t>
      </w:r>
      <w:r>
        <w:rPr>
          <w:rFonts w:ascii="Calibri"/>
          <w:color w:val="008356"/>
          <w:w w:val="110"/>
          <w:sz w:val="11"/>
        </w:rPr>
        <w:t>FLUOXETINE </w:t>
      </w:r>
      <w:r>
        <w:rPr>
          <w:color w:val="231F1F"/>
          <w:w w:val="110"/>
        </w:rPr>
        <w:t>(increased plasma concentration); diltiazem and verapamil increase plasma concentration of </w:t>
      </w:r>
      <w:r>
        <w:rPr>
          <w:rFonts w:ascii="Calibri"/>
          <w:color w:val="008356"/>
          <w:w w:val="110"/>
          <w:sz w:val="11"/>
        </w:rPr>
        <w:t>IMIPRAMINE</w:t>
      </w:r>
      <w:r>
        <w:rPr>
          <w:color w:val="231F1F"/>
          <w:w w:val="110"/>
        </w:rPr>
        <w:t>;</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Calcium-channel Blockers</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2656" filled="true" fillcolor="#bfdbcf" stroked="false">
            <v:fill type="solid"/>
            <w10:wrap type="none"/>
          </v:rect>
        </w:pict>
      </w:r>
      <w:r>
        <w:rPr/>
        <w:pict>
          <v:shape style="position:absolute;margin-left:399.725769pt;margin-top:-3.416702pt;width:10.4pt;height:78.850pt;mso-position-horizontal-relative:page;mso-position-vertical-relative:paragraph;z-index:268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Antidepressants (continued)</w:t>
      </w:r>
    </w:p>
    <w:p>
      <w:pPr>
        <w:pStyle w:val="BodyText"/>
        <w:spacing w:line="244" w:lineRule="auto"/>
        <w:ind w:right="576"/>
        <w:rPr>
          <w:rFonts w:ascii="Calibri" w:hAnsi="Calibri"/>
          <w:sz w:val="11"/>
        </w:rPr>
      </w:pPr>
      <w:r>
        <w:rPr>
          <w:color w:val="231F1F"/>
          <w:w w:val="115"/>
        </w:rPr>
        <w:t>enhanced hypotensive effect when calcium-channel blockers given with </w:t>
      </w:r>
      <w:r>
        <w:rPr>
          <w:rFonts w:ascii="Calibri" w:hAnsi="Calibri"/>
          <w:color w:val="008356"/>
          <w:w w:val="115"/>
          <w:sz w:val="11"/>
        </w:rPr>
        <w:t>MAOI</w:t>
      </w:r>
      <w:r>
        <w:rPr>
          <w:rFonts w:ascii="Calibri" w:hAnsi="Calibri"/>
          <w:color w:val="008356"/>
          <w:w w:val="115"/>
          <w:sz w:val="9"/>
        </w:rPr>
        <w:t>S</w:t>
      </w:r>
      <w:r>
        <w:rPr>
          <w:color w:val="231F1F"/>
          <w:w w:val="115"/>
        </w:rPr>
        <w:t>; plasma concentration of nifedipine reduced by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color w:val="231F1F"/>
          <w:w w:val="115"/>
        </w:rPr>
        <w:t>; plasma concentration of amlodipine and </w:t>
      </w:r>
      <w:r>
        <w:rPr>
          <w:color w:val="231F1F"/>
          <w:w w:val="120"/>
        </w:rPr>
        <w:t>felodipine possibly reduced by </w:t>
      </w:r>
      <w:r>
        <w:rPr>
          <w:rFonts w:ascii="Calibri" w:hAnsi="Calibri"/>
          <w:color w:val="008356"/>
          <w:w w:val="120"/>
          <w:sz w:val="11"/>
        </w:rPr>
        <w:t>ST JOHN</w:t>
      </w:r>
      <w:r>
        <w:rPr>
          <w:rFonts w:ascii="Arial" w:hAnsi="Arial"/>
          <w:color w:val="008356"/>
          <w:w w:val="120"/>
          <w:sz w:val="11"/>
        </w:rPr>
        <w:t>’</w:t>
      </w:r>
      <w:r>
        <w:rPr>
          <w:rFonts w:ascii="Calibri" w:hAnsi="Calibri"/>
          <w:color w:val="008356"/>
          <w:w w:val="120"/>
          <w:sz w:val="11"/>
        </w:rPr>
        <w:t>S WORT</w:t>
      </w:r>
      <w:r>
        <w:rPr>
          <w:color w:val="231F1F"/>
          <w:w w:val="120"/>
        </w:rPr>
        <w:t>; plasma concentration of verapamil significantly reduced by </w:t>
      </w:r>
      <w:r>
        <w:rPr>
          <w:rFonts w:ascii="Arial" w:hAnsi="Arial"/>
          <w:color w:val="231F1F"/>
          <w:w w:val="355"/>
          <w:position w:val="1"/>
          <w:sz w:val="7"/>
        </w:rPr>
        <w:t>l </w:t>
      </w:r>
      <w:r>
        <w:rPr>
          <w:rFonts w:ascii="Calibri" w:hAnsi="Calibri"/>
          <w:color w:val="008356"/>
          <w:w w:val="120"/>
          <w:sz w:val="11"/>
        </w:rPr>
        <w:t>ST JOHN</w:t>
      </w:r>
      <w:r>
        <w:rPr>
          <w:rFonts w:ascii="Arial" w:hAnsi="Arial"/>
          <w:color w:val="008356"/>
          <w:w w:val="120"/>
          <w:sz w:val="11"/>
        </w:rPr>
        <w:t>’</w:t>
      </w:r>
      <w:r>
        <w:rPr>
          <w:rFonts w:ascii="Calibri" w:hAnsi="Calibri"/>
          <w:color w:val="008356"/>
          <w:w w:val="120"/>
          <w:sz w:val="11"/>
        </w:rPr>
        <w:t>S WORT</w:t>
      </w:r>
      <w:r>
        <w:rPr>
          <w:color w:val="231F1F"/>
          <w:w w:val="120"/>
        </w:rPr>
        <w:t>; diltiazem and verapamil possibly increase plasma concentration of </w:t>
      </w:r>
      <w:r>
        <w:rPr>
          <w:rFonts w:ascii="Calibri" w:hAnsi="Calibri"/>
          <w:color w:val="008356"/>
          <w:w w:val="120"/>
          <w:sz w:val="11"/>
        </w:rPr>
        <w:t>TRICYCLICS</w:t>
      </w:r>
    </w:p>
    <w:p>
      <w:pPr>
        <w:pStyle w:val="BodyText"/>
        <w:spacing w:line="220" w:lineRule="auto" w:before="1"/>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glucose tolerance occasionally impaired when nifedipine given with </w:t>
      </w:r>
      <w:r>
        <w:rPr>
          <w:rFonts w:ascii="Calibri" w:hAnsi="Calibri"/>
          <w:color w:val="008356"/>
          <w:w w:val="105"/>
          <w:sz w:val="11"/>
        </w:rPr>
        <w:t>INSULIN</w:t>
      </w:r>
    </w:p>
    <w:p>
      <w:pPr>
        <w:spacing w:line="242" w:lineRule="auto" w:before="1"/>
        <w:ind w:left="208" w:right="688"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effects of dihydropyridines, nicardipine and nifedipine probably reduced by </w:t>
      </w:r>
      <w:r>
        <w:rPr>
          <w:rFonts w:ascii="Calibri"/>
          <w:color w:val="008356"/>
          <w:w w:val="110"/>
          <w:sz w:val="11"/>
        </w:rPr>
        <w:t>CARBAMAZEPINE</w:t>
      </w:r>
      <w:r>
        <w:rPr>
          <w:color w:val="231F1F"/>
          <w:w w:val="110"/>
          <w:sz w:val="12"/>
        </w:rPr>
        <w:t>; effects of felodipine and isradipine reduced by </w:t>
      </w:r>
      <w:r>
        <w:rPr>
          <w:rFonts w:ascii="Calibri"/>
          <w:color w:val="008356"/>
          <w:w w:val="110"/>
          <w:sz w:val="11"/>
        </w:rPr>
        <w:t>CARBAMAZEPINE</w:t>
      </w:r>
      <w:r>
        <w:rPr>
          <w:color w:val="231F1F"/>
          <w:w w:val="110"/>
          <w:sz w:val="12"/>
        </w:rPr>
        <w:t>; diltiazem and verapamil enhance effects of </w:t>
      </w:r>
      <w:r>
        <w:rPr>
          <w:rFonts w:ascii="Arial"/>
          <w:color w:val="231F1F"/>
          <w:w w:val="355"/>
          <w:position w:val="1"/>
          <w:sz w:val="7"/>
        </w:rPr>
        <w:t>l </w:t>
      </w:r>
      <w:r>
        <w:rPr>
          <w:rFonts w:ascii="Calibri"/>
          <w:color w:val="008356"/>
          <w:w w:val="110"/>
          <w:sz w:val="11"/>
        </w:rPr>
        <w:t>CARBAMAZEPINE</w:t>
      </w:r>
      <w:r>
        <w:rPr>
          <w:color w:val="231F1F"/>
          <w:w w:val="110"/>
          <w:sz w:val="12"/>
        </w:rPr>
        <w:t>; manufacturer of nimodipine advises avoid concomitant use with </w:t>
      </w:r>
      <w:r>
        <w:rPr>
          <w:rFonts w:ascii="Calibri"/>
          <w:color w:val="008356"/>
          <w:w w:val="110"/>
          <w:sz w:val="11"/>
        </w:rPr>
        <w:t>CARBAMAZEPINE</w:t>
      </w:r>
      <w:r>
        <w:rPr>
          <w:color w:val="231F1F"/>
          <w:w w:val="110"/>
          <w:sz w:val="12"/>
        </w:rPr>
        <w:t>, </w:t>
      </w:r>
      <w:r>
        <w:rPr>
          <w:rFonts w:ascii="Calibri"/>
          <w:color w:val="008356"/>
          <w:w w:val="110"/>
          <w:sz w:val="11"/>
        </w:rPr>
        <w:t>FOSPHENYTOIN </w:t>
      </w:r>
      <w:r>
        <w:rPr>
          <w:color w:val="231F1F"/>
          <w:w w:val="110"/>
          <w:sz w:val="12"/>
        </w:rPr>
        <w:t>and </w:t>
      </w:r>
      <w:r>
        <w:rPr>
          <w:rFonts w:ascii="Calibri"/>
          <w:color w:val="008356"/>
          <w:w w:val="110"/>
          <w:sz w:val="11"/>
        </w:rPr>
        <w:t>PHENYTOIN </w:t>
      </w:r>
      <w:r>
        <w:rPr>
          <w:color w:val="231F1F"/>
          <w:w w:val="110"/>
          <w:sz w:val="12"/>
        </w:rPr>
        <w:t>(plasma</w:t>
      </w:r>
    </w:p>
    <w:p>
      <w:pPr>
        <w:spacing w:line="247" w:lineRule="auto" w:before="3"/>
        <w:ind w:left="208" w:right="670" w:firstLine="0"/>
        <w:jc w:val="left"/>
        <w:rPr>
          <w:sz w:val="12"/>
        </w:rPr>
      </w:pPr>
      <w:r>
        <w:rPr>
          <w:color w:val="231F1F"/>
          <w:w w:val="115"/>
          <w:sz w:val="12"/>
        </w:rPr>
        <w:t>concentration of nimodipine possibly reduced); effects of felodipine and verapamil reduced by </w:t>
      </w:r>
      <w:r>
        <w:rPr>
          <w:rFonts w:ascii="Calibri"/>
          <w:color w:val="008356"/>
          <w:w w:val="115"/>
          <w:sz w:val="11"/>
        </w:rPr>
        <w:t>FOSPHENYTOIN</w:t>
      </w:r>
      <w:r>
        <w:rPr>
          <w:color w:val="231F1F"/>
          <w:w w:val="115"/>
          <w:sz w:val="12"/>
        </w:rPr>
        <w:t>; manufacturer of isradipine advises avoid concomitant use with </w:t>
      </w:r>
      <w:r>
        <w:rPr>
          <w:rFonts w:ascii="Calibri"/>
          <w:color w:val="008356"/>
          <w:w w:val="115"/>
          <w:sz w:val="11"/>
        </w:rPr>
        <w:t>FOSPHENYTOIN</w:t>
      </w:r>
      <w:r>
        <w:rPr>
          <w:color w:val="231F1F"/>
          <w:w w:val="115"/>
          <w:sz w:val="12"/>
        </w:rPr>
        <w:t>, </w:t>
      </w:r>
      <w:r>
        <w:rPr>
          <w:rFonts w:ascii="Calibri"/>
          <w:color w:val="008356"/>
          <w:w w:val="115"/>
          <w:sz w:val="11"/>
        </w:rPr>
        <w:t>PHENOBARBITAL</w:t>
      </w:r>
      <w:r>
        <w:rPr>
          <w:color w:val="231F1F"/>
          <w:w w:val="115"/>
          <w:sz w:val="12"/>
        </w:rPr>
        <w:t>, </w:t>
      </w:r>
      <w:r>
        <w:rPr>
          <w:rFonts w:ascii="Calibri"/>
          <w:color w:val="008356"/>
          <w:w w:val="115"/>
          <w:sz w:val="11"/>
        </w:rPr>
        <w:t>PHENYTOIN </w:t>
      </w:r>
      <w:r>
        <w:rPr>
          <w:color w:val="231F1F"/>
          <w:w w:val="115"/>
          <w:sz w:val="12"/>
        </w:rPr>
        <w:t>and</w:t>
      </w:r>
    </w:p>
    <w:p>
      <w:pPr>
        <w:pStyle w:val="BodyText"/>
        <w:spacing w:line="140" w:lineRule="exact"/>
      </w:pPr>
      <w:r>
        <w:rPr>
          <w:rFonts w:ascii="Calibri"/>
          <w:color w:val="008356"/>
          <w:w w:val="110"/>
          <w:sz w:val="11"/>
        </w:rPr>
        <w:t>PRIMIDONE</w:t>
      </w:r>
      <w:r>
        <w:rPr>
          <w:color w:val="231F1F"/>
          <w:w w:val="110"/>
        </w:rPr>
        <w:t>; diltiazem increases plasma concentration of</w:t>
      </w:r>
    </w:p>
    <w:p>
      <w:pPr>
        <w:spacing w:line="244" w:lineRule="auto" w:before="2"/>
        <w:ind w:left="208" w:right="750" w:firstLine="0"/>
        <w:jc w:val="left"/>
        <w:rPr>
          <w:sz w:val="12"/>
        </w:rPr>
      </w:pP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FOSPHENYTOIN</w:t>
      </w:r>
      <w:r>
        <w:rPr>
          <w:rFonts w:ascii="Calibri"/>
          <w:color w:val="008356"/>
          <w:spacing w:val="1"/>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r>
        <w:rPr>
          <w:rFonts w:ascii="Calibri"/>
          <w:color w:val="008356"/>
          <w:spacing w:val="1"/>
          <w:w w:val="110"/>
          <w:sz w:val="11"/>
        </w:rPr>
        <w:t> </w:t>
      </w:r>
      <w:r>
        <w:rPr>
          <w:color w:val="231F1F"/>
          <w:w w:val="110"/>
          <w:sz w:val="12"/>
        </w:rPr>
        <w:t>but</w:t>
      </w:r>
      <w:r>
        <w:rPr>
          <w:color w:val="231F1F"/>
          <w:spacing w:val="-9"/>
          <w:w w:val="110"/>
          <w:sz w:val="12"/>
        </w:rPr>
        <w:t> </w:t>
      </w:r>
      <w:r>
        <w:rPr>
          <w:color w:val="231F1F"/>
          <w:w w:val="110"/>
          <w:sz w:val="12"/>
        </w:rPr>
        <w:t>also</w:t>
      </w:r>
      <w:r>
        <w:rPr>
          <w:color w:val="231F1F"/>
          <w:spacing w:val="-9"/>
          <w:w w:val="110"/>
          <w:sz w:val="12"/>
        </w:rPr>
        <w:t> </w:t>
      </w:r>
      <w:r>
        <w:rPr>
          <w:color w:val="231F1F"/>
          <w:w w:val="110"/>
          <w:sz w:val="12"/>
        </w:rPr>
        <w:t>effect</w:t>
      </w:r>
      <w:r>
        <w:rPr>
          <w:color w:val="231F1F"/>
          <w:spacing w:val="-9"/>
          <w:w w:val="110"/>
          <w:sz w:val="12"/>
        </w:rPr>
        <w:t> </w:t>
      </w:r>
      <w:r>
        <w:rPr>
          <w:color w:val="231F1F"/>
          <w:w w:val="110"/>
          <w:sz w:val="12"/>
        </w:rPr>
        <w:t>of</w:t>
      </w:r>
      <w:r>
        <w:rPr>
          <w:color w:val="231F1F"/>
          <w:spacing w:val="-9"/>
          <w:w w:val="110"/>
          <w:sz w:val="12"/>
        </w:rPr>
        <w:t> </w:t>
      </w:r>
      <w:r>
        <w:rPr>
          <w:color w:val="231F1F"/>
          <w:w w:val="110"/>
          <w:sz w:val="12"/>
        </w:rPr>
        <w:t>diltiazem reduced; effects of calcium-channel blockers probably reduced</w:t>
      </w:r>
      <w:r>
        <w:rPr>
          <w:color w:val="231F1F"/>
          <w:spacing w:val="-12"/>
          <w:w w:val="110"/>
          <w:sz w:val="12"/>
        </w:rPr>
        <w:t> </w:t>
      </w:r>
      <w:r>
        <w:rPr>
          <w:color w:val="231F1F"/>
          <w:w w:val="110"/>
          <w:sz w:val="12"/>
        </w:rPr>
        <w:t>by</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PHENOBARBITAL</w:t>
      </w:r>
      <w:r>
        <w:rPr>
          <w:rFonts w:ascii="Calibri"/>
          <w:color w:val="008356"/>
          <w:w w:val="110"/>
          <w:sz w:val="11"/>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PRIMIDONE</w:t>
      </w:r>
      <w:r>
        <w:rPr>
          <w:color w:val="231F1F"/>
          <w:spacing w:val="4"/>
          <w:w w:val="110"/>
          <w:sz w:val="12"/>
        </w:rPr>
        <w:t>;</w:t>
      </w:r>
      <w:r>
        <w:rPr>
          <w:color w:val="231F1F"/>
          <w:spacing w:val="-11"/>
          <w:w w:val="110"/>
          <w:sz w:val="12"/>
        </w:rPr>
        <w:t> </w:t>
      </w:r>
      <w:r>
        <w:rPr>
          <w:color w:val="231F1F"/>
          <w:w w:val="110"/>
          <w:sz w:val="12"/>
        </w:rPr>
        <w:t>manufacturer of nimodipine advises avoid concomitant use</w:t>
      </w:r>
      <w:r>
        <w:rPr>
          <w:color w:val="231F1F"/>
          <w:spacing w:val="9"/>
          <w:w w:val="110"/>
          <w:sz w:val="12"/>
        </w:rPr>
        <w:t> </w:t>
      </w:r>
      <w:r>
        <w:rPr>
          <w:color w:val="231F1F"/>
          <w:w w:val="110"/>
          <w:sz w:val="12"/>
        </w:rPr>
        <w:t>with</w:t>
      </w:r>
    </w:p>
    <w:p>
      <w:pPr>
        <w:spacing w:line="247" w:lineRule="auto" w:before="3"/>
        <w:ind w:left="208" w:right="791" w:firstLine="0"/>
        <w:jc w:val="left"/>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PHENOBARBITAL</w:t>
      </w:r>
      <w:r>
        <w:rPr>
          <w:rFonts w:ascii="Calibri"/>
          <w:color w:val="008356"/>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PRIMIDONE</w:t>
      </w:r>
      <w:r>
        <w:rPr>
          <w:rFonts w:ascii="Calibri"/>
          <w:color w:val="008356"/>
          <w:spacing w:val="-1"/>
          <w:w w:val="110"/>
          <w:sz w:val="11"/>
        </w:rPr>
        <w:t> </w:t>
      </w:r>
      <w:r>
        <w:rPr>
          <w:color w:val="231F1F"/>
          <w:w w:val="110"/>
          <w:sz w:val="12"/>
        </w:rPr>
        <w:t>(plasma</w:t>
      </w:r>
      <w:r>
        <w:rPr>
          <w:color w:val="231F1F"/>
          <w:spacing w:val="-11"/>
          <w:w w:val="110"/>
          <w:sz w:val="12"/>
        </w:rPr>
        <w:t> </w:t>
      </w:r>
      <w:r>
        <w:rPr>
          <w:color w:val="231F1F"/>
          <w:w w:val="110"/>
          <w:sz w:val="12"/>
        </w:rPr>
        <w:t>concentration</w:t>
      </w:r>
      <w:r>
        <w:rPr>
          <w:color w:val="231F1F"/>
          <w:spacing w:val="-11"/>
          <w:w w:val="110"/>
          <w:sz w:val="12"/>
        </w:rPr>
        <w:t> </w:t>
      </w:r>
      <w:r>
        <w:rPr>
          <w:color w:val="231F1F"/>
          <w:w w:val="110"/>
          <w:sz w:val="12"/>
        </w:rPr>
        <w:t>of nimodipine reduced); effects of felodipine and verapamil reduced by</w:t>
      </w:r>
      <w:r>
        <w:rPr>
          <w:color w:val="231F1F"/>
          <w:spacing w:val="-6"/>
          <w:w w:val="110"/>
          <w:sz w:val="12"/>
        </w:rPr>
        <w:t> </w:t>
      </w:r>
      <w:r>
        <w:rPr>
          <w:rFonts w:ascii="Calibri"/>
          <w:color w:val="008356"/>
          <w:spacing w:val="4"/>
          <w:w w:val="110"/>
          <w:sz w:val="11"/>
        </w:rPr>
        <w:t>PHENYTOIN</w:t>
      </w:r>
    </w:p>
    <w:p>
      <w:pPr>
        <w:pStyle w:val="BodyText"/>
        <w:spacing w:line="139" w:lineRule="exact"/>
        <w:ind w:left="108"/>
      </w:pPr>
      <w:r>
        <w:rPr>
          <w:rFonts w:ascii="Arial"/>
          <w:color w:val="231F1F"/>
          <w:w w:val="115"/>
          <w:position w:val="1"/>
          <w:sz w:val="7"/>
        </w:rPr>
        <w:t>l</w:t>
      </w:r>
      <w:r>
        <w:rPr>
          <w:rFonts w:ascii="Arial"/>
          <w:color w:val="231F1F"/>
          <w:spacing w:val="-2"/>
          <w:w w:val="115"/>
          <w:position w:val="1"/>
          <w:sz w:val="7"/>
        </w:rPr>
        <w:t> </w:t>
      </w:r>
      <w:r>
        <w:rPr>
          <w:rFonts w:ascii="Calibri"/>
          <w:color w:val="231F1F"/>
          <w:w w:val="115"/>
        </w:rPr>
        <w:t>Antifungals:</w:t>
      </w:r>
      <w:r>
        <w:rPr>
          <w:rFonts w:ascii="Calibri"/>
          <w:color w:val="231F1F"/>
          <w:spacing w:val="-15"/>
          <w:w w:val="115"/>
        </w:rPr>
        <w:t> </w:t>
      </w:r>
      <w:r>
        <w:rPr>
          <w:color w:val="231F1F"/>
          <w:w w:val="115"/>
        </w:rPr>
        <w:t>metabolism</w:t>
      </w:r>
      <w:r>
        <w:rPr>
          <w:color w:val="231F1F"/>
          <w:spacing w:val="-19"/>
          <w:w w:val="115"/>
        </w:rPr>
        <w:t> </w:t>
      </w:r>
      <w:r>
        <w:rPr>
          <w:color w:val="231F1F"/>
          <w:w w:val="115"/>
        </w:rPr>
        <w:t>of</w:t>
      </w:r>
      <w:r>
        <w:rPr>
          <w:color w:val="231F1F"/>
          <w:spacing w:val="-18"/>
          <w:w w:val="115"/>
        </w:rPr>
        <w:t> </w:t>
      </w:r>
      <w:r>
        <w:rPr>
          <w:color w:val="231F1F"/>
          <w:w w:val="115"/>
        </w:rPr>
        <w:t>dihydropyridines</w:t>
      </w:r>
      <w:r>
        <w:rPr>
          <w:color w:val="231F1F"/>
          <w:spacing w:val="-17"/>
          <w:w w:val="115"/>
        </w:rPr>
        <w:t> </w:t>
      </w:r>
      <w:r>
        <w:rPr>
          <w:color w:val="231F1F"/>
          <w:w w:val="115"/>
        </w:rPr>
        <w:t>possibly</w:t>
      </w:r>
    </w:p>
    <w:p>
      <w:pPr>
        <w:pStyle w:val="BodyText"/>
        <w:spacing w:line="244" w:lineRule="auto"/>
        <w:ind w:right="663"/>
        <w:rPr>
          <w:rFonts w:ascii="Calibri" w:hAnsi="Calibri"/>
          <w:sz w:val="11"/>
        </w:rPr>
      </w:pPr>
      <w:r>
        <w:rPr>
          <w:color w:val="231F1F"/>
          <w:w w:val="110"/>
        </w:rPr>
        <w:t>inhibited by </w:t>
      </w:r>
      <w:r>
        <w:rPr>
          <w:rFonts w:ascii="Calibri" w:hAnsi="Calibri"/>
          <w:color w:val="008356"/>
          <w:spacing w:val="4"/>
          <w:w w:val="110"/>
          <w:sz w:val="11"/>
        </w:rPr>
        <w:t>ITRACONAZOLE </w:t>
      </w:r>
      <w:r>
        <w:rPr>
          <w:color w:val="231F1F"/>
          <w:w w:val="110"/>
        </w:rPr>
        <w:t>and </w:t>
      </w:r>
      <w:r>
        <w:rPr>
          <w:rFonts w:ascii="Calibri" w:hAnsi="Calibri"/>
          <w:color w:val="008356"/>
          <w:spacing w:val="4"/>
          <w:w w:val="110"/>
          <w:sz w:val="11"/>
        </w:rPr>
        <w:t>KETOCONAZOLE </w:t>
      </w:r>
      <w:r>
        <w:rPr>
          <w:color w:val="231F1F"/>
          <w:w w:val="110"/>
        </w:rPr>
        <w:t>(increased plasma concentration); metabolism  of felodipine is inhibited by </w:t>
      </w:r>
      <w:r>
        <w:rPr>
          <w:rFonts w:ascii="Arial" w:hAnsi="Arial"/>
          <w:color w:val="231F1F"/>
          <w:w w:val="355"/>
          <w:position w:val="1"/>
          <w:sz w:val="7"/>
        </w:rPr>
        <w:t>l </w:t>
      </w:r>
      <w:r>
        <w:rPr>
          <w:rFonts w:ascii="Calibri" w:hAnsi="Calibri"/>
          <w:color w:val="008356"/>
          <w:spacing w:val="4"/>
          <w:w w:val="110"/>
          <w:sz w:val="11"/>
        </w:rPr>
        <w:t>KETOCONAZOLE </w:t>
      </w:r>
      <w:r>
        <w:rPr>
          <w:color w:val="231F1F"/>
          <w:w w:val="110"/>
        </w:rPr>
        <w:t>(increased plasma concentration)</w:t>
      </w:r>
      <w:r>
        <w:rPr>
          <w:rFonts w:ascii="Arial" w:hAnsi="Arial"/>
          <w:color w:val="231F1F"/>
          <w:w w:val="110"/>
        </w:rPr>
        <w:t>— </w:t>
      </w:r>
      <w:r>
        <w:rPr>
          <w:color w:val="231F1F"/>
          <w:w w:val="110"/>
        </w:rPr>
        <w:t>manufacturer of  ketoconazole  advises  avoid  concomitant use; manufacturer of lercanidipine advises avoid concomitant use</w:t>
      </w:r>
      <w:r>
        <w:rPr>
          <w:color w:val="231F1F"/>
          <w:spacing w:val="-15"/>
          <w:w w:val="110"/>
        </w:rPr>
        <w:t> </w:t>
      </w:r>
      <w:r>
        <w:rPr>
          <w:color w:val="231F1F"/>
          <w:w w:val="110"/>
        </w:rPr>
        <w:t>with</w:t>
      </w:r>
      <w:r>
        <w:rPr>
          <w:color w:val="231F1F"/>
          <w:spacing w:val="-14"/>
          <w:w w:val="110"/>
        </w:rPr>
        <w:t> </w:t>
      </w:r>
      <w:r>
        <w:rPr>
          <w:rFonts w:ascii="Calibri" w:hAnsi="Calibri"/>
          <w:color w:val="008356"/>
          <w:spacing w:val="4"/>
          <w:w w:val="110"/>
          <w:sz w:val="11"/>
        </w:rPr>
        <w:t>ITRACONAZOLE</w:t>
      </w:r>
      <w:r>
        <w:rPr>
          <w:rFonts w:ascii="Calibri" w:hAnsi="Calibri"/>
          <w:color w:val="008356"/>
          <w:spacing w:val="-4"/>
          <w:w w:val="110"/>
          <w:sz w:val="11"/>
        </w:rPr>
        <w:t> </w:t>
      </w:r>
      <w:r>
        <w:rPr>
          <w:color w:val="231F1F"/>
          <w:w w:val="110"/>
        </w:rPr>
        <w:t>and</w:t>
      </w:r>
      <w:r>
        <w:rPr>
          <w:color w:val="231F1F"/>
          <w:spacing w:val="-15"/>
          <w:w w:val="110"/>
        </w:rPr>
        <w:t> </w:t>
      </w:r>
      <w:r>
        <w:rPr>
          <w:rFonts w:ascii="Calibri" w:hAnsi="Calibri"/>
          <w:color w:val="008356"/>
          <w:spacing w:val="4"/>
          <w:w w:val="110"/>
          <w:sz w:val="11"/>
        </w:rPr>
        <w:t>KETOCONAZOLE</w:t>
      </w:r>
      <w:r>
        <w:rPr>
          <w:color w:val="231F1F"/>
          <w:spacing w:val="4"/>
          <w:w w:val="110"/>
        </w:rPr>
        <w:t>;</w:t>
      </w:r>
      <w:r>
        <w:rPr>
          <w:color w:val="231F1F"/>
          <w:spacing w:val="-13"/>
          <w:w w:val="110"/>
        </w:rPr>
        <w:t> </w:t>
      </w:r>
      <w:r>
        <w:rPr>
          <w:color w:val="231F1F"/>
          <w:w w:val="110"/>
        </w:rPr>
        <w:t>negative</w:t>
      </w:r>
      <w:r>
        <w:rPr>
          <w:color w:val="231F1F"/>
          <w:spacing w:val="-15"/>
          <w:w w:val="110"/>
        </w:rPr>
        <w:t> </w:t>
      </w:r>
      <w:r>
        <w:rPr>
          <w:color w:val="231F1F"/>
          <w:w w:val="110"/>
        </w:rPr>
        <w:t>inotropic effect possibly increased when calcium-channel  blockers given with </w:t>
      </w:r>
      <w:r>
        <w:rPr>
          <w:rFonts w:ascii="Calibri" w:hAnsi="Calibri"/>
          <w:color w:val="008356"/>
          <w:spacing w:val="4"/>
          <w:w w:val="110"/>
          <w:sz w:val="11"/>
        </w:rPr>
        <w:t>ITRACONAZOLE</w:t>
      </w:r>
      <w:r>
        <w:rPr>
          <w:color w:val="231F1F"/>
          <w:spacing w:val="4"/>
          <w:w w:val="110"/>
        </w:rPr>
        <w:t>; </w:t>
      </w:r>
      <w:r>
        <w:rPr>
          <w:color w:val="231F1F"/>
          <w:w w:val="110"/>
        </w:rPr>
        <w:t>metabolism of felodipine inhibited by </w:t>
      </w:r>
      <w:r>
        <w:rPr>
          <w:rFonts w:ascii="Arial" w:hAnsi="Arial"/>
          <w:color w:val="231F1F"/>
          <w:w w:val="355"/>
          <w:position w:val="1"/>
          <w:sz w:val="7"/>
        </w:rPr>
        <w:t>l </w:t>
      </w:r>
      <w:r>
        <w:rPr>
          <w:rFonts w:ascii="Calibri" w:hAnsi="Calibri"/>
          <w:color w:val="008356"/>
          <w:spacing w:val="4"/>
          <w:w w:val="110"/>
          <w:sz w:val="11"/>
        </w:rPr>
        <w:t>ITRACONAZOLE </w:t>
      </w:r>
      <w:r>
        <w:rPr>
          <w:color w:val="231F1F"/>
          <w:w w:val="110"/>
        </w:rPr>
        <w:t>(increased plasma concentration); plasma concentration of nifedipine increased by</w:t>
      </w:r>
      <w:r>
        <w:rPr>
          <w:color w:val="231F1F"/>
          <w:spacing w:val="-14"/>
          <w:w w:val="110"/>
        </w:rPr>
        <w:t> </w:t>
      </w:r>
      <w:r>
        <w:rPr>
          <w:rFonts w:ascii="Calibri" w:hAnsi="Calibri"/>
          <w:color w:val="008356"/>
          <w:spacing w:val="4"/>
          <w:w w:val="110"/>
          <w:sz w:val="11"/>
        </w:rPr>
        <w:t>MICAFUNGIN</w:t>
      </w:r>
    </w:p>
    <w:p>
      <w:pPr>
        <w:pStyle w:val="BodyText"/>
        <w:spacing w:line="220" w:lineRule="auto" w:before="9"/>
        <w:ind w:right="899"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Antimalarials: </w:t>
      </w:r>
      <w:r>
        <w:rPr>
          <w:color w:val="231F1F"/>
          <w:w w:val="110"/>
        </w:rPr>
        <w:t>possible increased risk of bradycardia when calcium-channel blockers given with </w:t>
      </w:r>
      <w:r>
        <w:rPr>
          <w:rFonts w:ascii="Calibri" w:hAnsi="Calibri"/>
          <w:color w:val="008356"/>
          <w:w w:val="110"/>
          <w:sz w:val="11"/>
        </w:rPr>
        <w:t>MEFLOQUINE</w:t>
      </w:r>
    </w:p>
    <w:p>
      <w:pPr>
        <w:pStyle w:val="BodyText"/>
        <w:spacing w:line="230" w:lineRule="auto" w:before="5"/>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avoidance of verapamil advised by manufacturer of </w:t>
      </w:r>
      <w:r>
        <w:rPr>
          <w:rFonts w:ascii="Calibri" w:hAnsi="Calibri"/>
          <w:color w:val="008356"/>
          <w:w w:val="105"/>
          <w:sz w:val="11"/>
        </w:rPr>
        <w:t>DARIFENACIN</w:t>
      </w:r>
      <w:r>
        <w:rPr>
          <w:color w:val="231F1F"/>
          <w:w w:val="105"/>
        </w:rPr>
        <w:t>; verapamil increases plasma concentration of </w:t>
      </w:r>
      <w:r>
        <w:rPr>
          <w:rFonts w:ascii="Calibri" w:hAnsi="Calibri"/>
          <w:color w:val="008356"/>
          <w:w w:val="105"/>
          <w:sz w:val="11"/>
        </w:rPr>
        <w:t>SOLIFENACIN</w:t>
      </w:r>
    </w:p>
    <w:p>
      <w:pPr>
        <w:pStyle w:val="BodyText"/>
        <w:spacing w:line="244" w:lineRule="auto"/>
        <w:ind w:right="687" w:hanging="100"/>
      </w:pPr>
      <w:r>
        <w:rPr>
          <w:rFonts w:ascii="Arial"/>
          <w:color w:val="231F1F"/>
          <w:w w:val="355"/>
          <w:position w:val="1"/>
          <w:sz w:val="7"/>
        </w:rPr>
        <w:t>l </w:t>
      </w:r>
      <w:r>
        <w:rPr>
          <w:rFonts w:ascii="Calibri"/>
          <w:color w:val="231F1F"/>
          <w:w w:val="110"/>
        </w:rPr>
        <w:t>Antipsychotics: </w:t>
      </w:r>
      <w:r>
        <w:rPr>
          <w:color w:val="231F1F"/>
          <w:w w:val="110"/>
        </w:rPr>
        <w:t>enhanced hypotensive effect when calcium- channel blockers given with </w:t>
      </w:r>
      <w:r>
        <w:rPr>
          <w:rFonts w:ascii="Calibri"/>
          <w:color w:val="008356"/>
          <w:w w:val="110"/>
          <w:sz w:val="11"/>
        </w:rPr>
        <w:t>ANTIPSYCHOTICS</w:t>
      </w:r>
      <w:r>
        <w:rPr>
          <w:color w:val="231F1F"/>
          <w:w w:val="110"/>
        </w:rPr>
        <w:t>; diltiazem increases the plasma concentration of </w:t>
      </w:r>
      <w:r>
        <w:rPr>
          <w:rFonts w:ascii="Arial"/>
          <w:color w:val="231F1F"/>
          <w:w w:val="355"/>
          <w:position w:val="1"/>
          <w:sz w:val="7"/>
        </w:rPr>
        <w:t>l </w:t>
      </w:r>
      <w:r>
        <w:rPr>
          <w:rFonts w:ascii="Calibri"/>
          <w:color w:val="008356"/>
          <w:w w:val="110"/>
          <w:sz w:val="11"/>
        </w:rPr>
        <w:t>LURASIDONE </w:t>
      </w:r>
      <w:r>
        <w:rPr>
          <w:color w:val="231F1F"/>
          <w:w w:val="110"/>
        </w:rPr>
        <w:t>(see under Lurasidone, p. 315); verapamil possibly increases the plasma concentration of </w:t>
      </w:r>
      <w:r>
        <w:rPr>
          <w:rFonts w:ascii="Arial"/>
          <w:color w:val="231F1F"/>
          <w:w w:val="355"/>
          <w:position w:val="1"/>
          <w:sz w:val="7"/>
        </w:rPr>
        <w:t>l </w:t>
      </w:r>
      <w:r>
        <w:rPr>
          <w:rFonts w:ascii="Calibri"/>
          <w:color w:val="008356"/>
          <w:w w:val="110"/>
          <w:sz w:val="11"/>
        </w:rPr>
        <w:t>LURASIDONE </w:t>
      </w:r>
      <w:r>
        <w:rPr>
          <w:color w:val="231F1F"/>
          <w:w w:val="110"/>
        </w:rPr>
        <w:t>(see under Lurasidone, p. 315)</w:t>
      </w:r>
    </w:p>
    <w:p>
      <w:pPr>
        <w:pStyle w:val="BodyText"/>
        <w:spacing w:line="244" w:lineRule="auto"/>
        <w:ind w:right="704" w:hanging="100"/>
      </w:pPr>
      <w:r>
        <w:rPr>
          <w:rFonts w:ascii="Arial"/>
          <w:color w:val="231F1F"/>
          <w:w w:val="355"/>
          <w:position w:val="1"/>
          <w:sz w:val="7"/>
        </w:rPr>
        <w:t>l </w:t>
      </w:r>
      <w:r>
        <w:rPr>
          <w:rFonts w:ascii="Calibri"/>
          <w:color w:val="231F1F"/>
          <w:w w:val="110"/>
        </w:rPr>
        <w:t>Antivirals: </w:t>
      </w:r>
      <w:r>
        <w:rPr>
          <w:color w:val="231F1F"/>
          <w:w w:val="110"/>
        </w:rPr>
        <w:t>plasma concentration of verapamil possibly increased by </w:t>
      </w:r>
      <w:r>
        <w:rPr>
          <w:rFonts w:ascii="Calibri"/>
          <w:color w:val="008356"/>
          <w:spacing w:val="3"/>
          <w:w w:val="110"/>
          <w:sz w:val="11"/>
        </w:rPr>
        <w:t>ATAZANAVIR</w:t>
      </w:r>
      <w:r>
        <w:rPr>
          <w:color w:val="231F1F"/>
          <w:spacing w:val="3"/>
          <w:w w:val="110"/>
        </w:rPr>
        <w:t>; </w:t>
      </w:r>
      <w:r>
        <w:rPr>
          <w:color w:val="231F1F"/>
          <w:w w:val="110"/>
        </w:rPr>
        <w:t>plasma concentration of diltiazem increased by </w:t>
      </w:r>
      <w:r>
        <w:rPr>
          <w:rFonts w:ascii="Arial"/>
          <w:color w:val="231F1F"/>
          <w:w w:val="355"/>
          <w:position w:val="1"/>
          <w:sz w:val="7"/>
        </w:rPr>
        <w:t>l</w:t>
      </w:r>
      <w:r>
        <w:rPr>
          <w:rFonts w:ascii="Arial"/>
          <w:color w:val="231F1F"/>
          <w:spacing w:val="-38"/>
          <w:w w:val="355"/>
          <w:position w:val="1"/>
          <w:sz w:val="7"/>
        </w:rPr>
        <w:t> </w:t>
      </w:r>
      <w:r>
        <w:rPr>
          <w:rFonts w:ascii="Calibri"/>
          <w:color w:val="008356"/>
          <w:spacing w:val="3"/>
          <w:w w:val="110"/>
          <w:sz w:val="11"/>
        </w:rPr>
        <w:t>ATAZANAVIR </w:t>
      </w:r>
      <w:r>
        <w:rPr>
          <w:color w:val="231F1F"/>
          <w:w w:val="110"/>
        </w:rPr>
        <w:t>(reduce dose of diltiazem); plasma concentration of diltiazem reduced by </w:t>
      </w:r>
      <w:r>
        <w:rPr>
          <w:rFonts w:ascii="Calibri"/>
          <w:color w:val="008356"/>
          <w:spacing w:val="3"/>
          <w:w w:val="110"/>
          <w:sz w:val="11"/>
        </w:rPr>
        <w:t>EFAVIRENZ</w:t>
      </w:r>
      <w:r>
        <w:rPr>
          <w:color w:val="231F1F"/>
          <w:spacing w:val="3"/>
          <w:w w:val="110"/>
        </w:rPr>
        <w:t>; </w:t>
      </w:r>
      <w:r>
        <w:rPr>
          <w:color w:val="231F1F"/>
          <w:w w:val="110"/>
        </w:rPr>
        <w:t>manufacturer of lercanidipine advises avoid concomitant </w:t>
      </w:r>
      <w:r>
        <w:rPr>
          <w:color w:val="231F1F"/>
          <w:spacing w:val="-6"/>
          <w:w w:val="110"/>
        </w:rPr>
        <w:t>use </w:t>
      </w:r>
      <w:r>
        <w:rPr>
          <w:color w:val="231F1F"/>
          <w:w w:val="110"/>
        </w:rPr>
        <w:t>with </w:t>
      </w:r>
      <w:r>
        <w:rPr>
          <w:rFonts w:ascii="Calibri"/>
          <w:color w:val="008356"/>
          <w:spacing w:val="3"/>
          <w:w w:val="110"/>
          <w:sz w:val="11"/>
        </w:rPr>
        <w:t>RITONAVIR</w:t>
      </w:r>
      <w:r>
        <w:rPr>
          <w:color w:val="231F1F"/>
          <w:spacing w:val="3"/>
          <w:w w:val="110"/>
        </w:rPr>
        <w:t>; </w:t>
      </w:r>
      <w:r>
        <w:rPr>
          <w:color w:val="231F1F"/>
          <w:w w:val="110"/>
        </w:rPr>
        <w:t>plasma concentration of calcium-channel blockers possibly increased by </w:t>
      </w:r>
      <w:r>
        <w:rPr>
          <w:rFonts w:ascii="Arial"/>
          <w:color w:val="231F1F"/>
          <w:w w:val="355"/>
          <w:position w:val="1"/>
          <w:sz w:val="7"/>
        </w:rPr>
        <w:t>l </w:t>
      </w:r>
      <w:r>
        <w:rPr>
          <w:rFonts w:ascii="Calibri"/>
          <w:color w:val="008356"/>
          <w:spacing w:val="3"/>
          <w:w w:val="110"/>
          <w:sz w:val="11"/>
        </w:rPr>
        <w:t>RITONAVIR</w:t>
      </w:r>
      <w:r>
        <w:rPr>
          <w:color w:val="231F1F"/>
          <w:spacing w:val="3"/>
          <w:w w:val="110"/>
        </w:rPr>
        <w:t>; </w:t>
      </w:r>
      <w:r>
        <w:rPr>
          <w:color w:val="231F1F"/>
          <w:w w:val="110"/>
        </w:rPr>
        <w:t>caution with diltiazem, felodipine, nicardipine, nifedipine and verapamil advised by manufacturer of </w:t>
      </w:r>
      <w:r>
        <w:rPr>
          <w:rFonts w:ascii="Calibri"/>
          <w:color w:val="008356"/>
          <w:spacing w:val="4"/>
          <w:w w:val="110"/>
          <w:sz w:val="11"/>
        </w:rPr>
        <w:t>TELAPREVIR</w:t>
      </w:r>
      <w:r>
        <w:rPr>
          <w:color w:val="231F1F"/>
          <w:spacing w:val="4"/>
          <w:w w:val="110"/>
        </w:rPr>
        <w:t>; </w:t>
      </w:r>
      <w:r>
        <w:rPr>
          <w:color w:val="231F1F"/>
          <w:w w:val="110"/>
        </w:rPr>
        <w:t>plasma  concentration of amlodipine increased by </w:t>
      </w:r>
      <w:r>
        <w:rPr>
          <w:rFonts w:ascii="Calibri"/>
          <w:color w:val="008356"/>
          <w:spacing w:val="5"/>
          <w:w w:val="110"/>
          <w:sz w:val="11"/>
        </w:rPr>
        <w:t>TELAPREVIR </w:t>
      </w:r>
      <w:r>
        <w:rPr>
          <w:color w:val="231F1F"/>
          <w:w w:val="110"/>
        </w:rPr>
        <w:t>(consider reducing dose of</w:t>
      </w:r>
      <w:r>
        <w:rPr>
          <w:color w:val="231F1F"/>
          <w:spacing w:val="-4"/>
          <w:w w:val="110"/>
        </w:rPr>
        <w:t> </w:t>
      </w:r>
      <w:r>
        <w:rPr>
          <w:color w:val="231F1F"/>
          <w:w w:val="110"/>
        </w:rPr>
        <w:t>amlodipine)</w:t>
      </w:r>
    </w:p>
    <w:p>
      <w:pPr>
        <w:pStyle w:val="BodyText"/>
        <w:ind w:right="739" w:hanging="100"/>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enhanced hypotensive effect when calcium-channel blockers given with </w:t>
      </w:r>
      <w:r>
        <w:rPr>
          <w:rFonts w:ascii="Calibri" w:hAnsi="Calibri"/>
          <w:color w:val="008356"/>
          <w:w w:val="110"/>
          <w:sz w:val="11"/>
        </w:rPr>
        <w:t>ANXIOLYTICS AND HYPNOTICS</w:t>
      </w:r>
      <w:r>
        <w:rPr>
          <w:color w:val="231F1F"/>
          <w:w w:val="110"/>
        </w:rPr>
        <w:t>; diltiazem and verapamil inhibit metabolism of </w:t>
      </w:r>
      <w:r>
        <w:rPr>
          <w:rFonts w:ascii="Calibri" w:hAnsi="Calibri"/>
          <w:color w:val="008356"/>
          <w:w w:val="110"/>
          <w:sz w:val="11"/>
        </w:rPr>
        <w:t>MIDAZOLAM </w:t>
      </w:r>
      <w:r>
        <w:rPr>
          <w:color w:val="231F1F"/>
          <w:w w:val="110"/>
        </w:rPr>
        <w:t>(increased plasma concentration with increased sedation); absorption of lercanidipine increased by </w:t>
      </w:r>
      <w:r>
        <w:rPr>
          <w:rFonts w:ascii="Calibri" w:hAnsi="Calibri"/>
          <w:color w:val="008356"/>
          <w:w w:val="110"/>
          <w:sz w:val="11"/>
        </w:rPr>
        <w:t>MIDAZOLAM</w:t>
      </w:r>
      <w:r>
        <w:rPr>
          <w:color w:val="231F1F"/>
          <w:w w:val="110"/>
        </w:rPr>
        <w:t>; diltiazem and verapamil increase plasma concentration of </w:t>
      </w:r>
      <w:r>
        <w:rPr>
          <w:rFonts w:ascii="Calibri" w:hAnsi="Calibri"/>
          <w:color w:val="008356"/>
          <w:w w:val="110"/>
          <w:sz w:val="11"/>
        </w:rPr>
        <w:t>BUSPIRONE </w:t>
      </w:r>
      <w:r>
        <w:rPr>
          <w:color w:val="231F1F"/>
          <w:w w:val="110"/>
        </w:rPr>
        <w:t>(reduce dose of buspirone)</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Aprepitant: </w:t>
      </w:r>
      <w:r>
        <w:rPr>
          <w:color w:val="231F1F"/>
          <w:w w:val="110"/>
        </w:rPr>
        <w:t>plasma concentration of both drugs may increase when diltiazem given with </w:t>
      </w:r>
      <w:r>
        <w:rPr>
          <w:rFonts w:ascii="Calibri" w:hAnsi="Calibri"/>
          <w:color w:val="008356"/>
          <w:w w:val="110"/>
          <w:sz w:val="11"/>
        </w:rPr>
        <w:t>APREPITANT</w:t>
      </w:r>
    </w:p>
    <w:p>
      <w:pPr>
        <w:pStyle w:val="BodyText"/>
        <w:ind w:right="863" w:hanging="100"/>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rPr>
        <w:t>Avanafil:</w:t>
      </w:r>
      <w:r>
        <w:rPr>
          <w:rFonts w:ascii="Calibri" w:hAnsi="Calibri"/>
          <w:color w:val="231F1F"/>
          <w:spacing w:val="-11"/>
          <w:w w:val="115"/>
        </w:rPr>
        <w:t> </w:t>
      </w:r>
      <w:r>
        <w:rPr>
          <w:color w:val="231F1F"/>
          <w:w w:val="115"/>
        </w:rPr>
        <w:t>diltiazem</w:t>
      </w:r>
      <w:r>
        <w:rPr>
          <w:color w:val="231F1F"/>
          <w:spacing w:val="-14"/>
          <w:w w:val="115"/>
        </w:rPr>
        <w:t> </w:t>
      </w:r>
      <w:r>
        <w:rPr>
          <w:color w:val="231F1F"/>
          <w:w w:val="115"/>
        </w:rPr>
        <w:t>and</w:t>
      </w:r>
      <w:r>
        <w:rPr>
          <w:color w:val="231F1F"/>
          <w:spacing w:val="-14"/>
          <w:w w:val="115"/>
        </w:rPr>
        <w:t> </w:t>
      </w:r>
      <w:r>
        <w:rPr>
          <w:color w:val="231F1F"/>
          <w:w w:val="115"/>
        </w:rPr>
        <w:t>verapamil</w:t>
      </w:r>
      <w:r>
        <w:rPr>
          <w:color w:val="231F1F"/>
          <w:spacing w:val="-13"/>
          <w:w w:val="115"/>
        </w:rPr>
        <w:t> </w:t>
      </w:r>
      <w:r>
        <w:rPr>
          <w:color w:val="231F1F"/>
          <w:w w:val="115"/>
        </w:rPr>
        <w:t>possibly</w:t>
      </w:r>
      <w:r>
        <w:rPr>
          <w:color w:val="231F1F"/>
          <w:spacing w:val="-14"/>
          <w:w w:val="115"/>
        </w:rPr>
        <w:t> </w:t>
      </w:r>
      <w:r>
        <w:rPr>
          <w:color w:val="231F1F"/>
          <w:w w:val="115"/>
        </w:rPr>
        <w:t>increase</w:t>
      </w:r>
      <w:r>
        <w:rPr>
          <w:color w:val="231F1F"/>
          <w:spacing w:val="-15"/>
          <w:w w:val="115"/>
        </w:rPr>
        <w:t> </w:t>
      </w:r>
      <w:r>
        <w:rPr>
          <w:color w:val="231F1F"/>
          <w:spacing w:val="-3"/>
          <w:w w:val="115"/>
        </w:rPr>
        <w:t>plasma </w:t>
      </w:r>
      <w:r>
        <w:rPr>
          <w:color w:val="231F1F"/>
          <w:w w:val="115"/>
        </w:rPr>
        <w:t>concentration</w:t>
      </w:r>
      <w:r>
        <w:rPr>
          <w:color w:val="231F1F"/>
          <w:spacing w:val="-15"/>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see</w:t>
      </w:r>
      <w:r>
        <w:rPr>
          <w:color w:val="231F1F"/>
          <w:spacing w:val="-13"/>
          <w:w w:val="115"/>
        </w:rPr>
        <w:t> </w:t>
      </w:r>
      <w:r>
        <w:rPr>
          <w:color w:val="231F1F"/>
          <w:w w:val="115"/>
        </w:rPr>
        <w:t>under</w:t>
      </w:r>
      <w:r>
        <w:rPr>
          <w:color w:val="231F1F"/>
          <w:spacing w:val="-13"/>
          <w:w w:val="115"/>
        </w:rPr>
        <w:t> </w:t>
      </w:r>
      <w:r>
        <w:rPr>
          <w:color w:val="231F1F"/>
          <w:w w:val="115"/>
        </w:rPr>
        <w:t>Avanafil,</w:t>
      </w:r>
      <w:r>
        <w:rPr>
          <w:color w:val="231F1F"/>
          <w:spacing w:val="9"/>
          <w:w w:val="115"/>
        </w:rPr>
        <w:t> </w:t>
      </w:r>
      <w:r>
        <w:rPr>
          <w:color w:val="231F1F"/>
          <w:w w:val="115"/>
        </w:rPr>
        <w:t>p.</w:t>
      </w:r>
      <w:r>
        <w:rPr>
          <w:color w:val="231F1F"/>
          <w:spacing w:val="-13"/>
          <w:w w:val="115"/>
        </w:rPr>
        <w:t> </w:t>
      </w:r>
      <w:r>
        <w:rPr>
          <w:color w:val="231F1F"/>
          <w:w w:val="115"/>
        </w:rPr>
        <w:t>698</w:t>
      </w:r>
    </w:p>
    <w:p>
      <w:pPr>
        <w:pStyle w:val="BodyText"/>
        <w:ind w:right="708" w:hanging="100"/>
      </w:pPr>
      <w:r>
        <w:rPr>
          <w:rFonts w:ascii="Arial"/>
          <w:color w:val="231F1F"/>
          <w:w w:val="355"/>
          <w:position w:val="1"/>
          <w:sz w:val="7"/>
        </w:rPr>
        <w:t>l </w:t>
      </w:r>
      <w:r>
        <w:rPr>
          <w:rFonts w:ascii="Calibri"/>
          <w:color w:val="231F1F"/>
          <w:w w:val="115"/>
        </w:rPr>
        <w:t>Beta-blockers: </w:t>
      </w:r>
      <w:r>
        <w:rPr>
          <w:color w:val="231F1F"/>
          <w:w w:val="115"/>
        </w:rPr>
        <w:t>enhanced hypotensive effect when calcium- channel</w:t>
      </w:r>
      <w:r>
        <w:rPr>
          <w:color w:val="231F1F"/>
          <w:spacing w:val="-23"/>
          <w:w w:val="115"/>
        </w:rPr>
        <w:t> </w:t>
      </w:r>
      <w:r>
        <w:rPr>
          <w:color w:val="231F1F"/>
          <w:w w:val="115"/>
        </w:rPr>
        <w:t>blockers</w:t>
      </w:r>
      <w:r>
        <w:rPr>
          <w:color w:val="231F1F"/>
          <w:spacing w:val="-24"/>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Calibri"/>
          <w:color w:val="008356"/>
          <w:spacing w:val="4"/>
          <w:w w:val="115"/>
          <w:sz w:val="11"/>
        </w:rPr>
        <w:t>BETA-BLOCKERS</w:t>
      </w:r>
      <w:r>
        <w:rPr>
          <w:color w:val="231F1F"/>
          <w:spacing w:val="4"/>
          <w:w w:val="115"/>
        </w:rPr>
        <w:t>;</w:t>
      </w:r>
      <w:r>
        <w:rPr>
          <w:color w:val="231F1F"/>
          <w:spacing w:val="-22"/>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w:t>
      </w:r>
    </w:p>
    <w:p>
      <w:pPr>
        <w:spacing w:after="0"/>
        <w:sectPr>
          <w:pgSz w:w="8390" w:h="11910"/>
          <w:pgMar w:header="0" w:footer="0" w:top="460" w:bottom="0" w:left="480" w:right="0"/>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704" filled="true" fillcolor="#bfdbcf" stroked="false">
            <v:fill type="solid"/>
            <w10:wrap type="none"/>
          </v:rect>
        </w:pict>
      </w:r>
      <w:r>
        <w:rPr/>
        <w:pict>
          <v:shape style="position:absolute;margin-left:7.751256pt;margin-top:35.804367pt;width:10.4pt;height:78.850pt;mso-position-horizontal-relative:page;mso-position-vertical-relative:page;z-index:272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Calcium-channel Blockers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Beta-blockers (continued)</w:t>
      </w:r>
    </w:p>
    <w:p>
      <w:pPr>
        <w:pStyle w:val="BodyText"/>
        <w:spacing w:line="244" w:lineRule="auto"/>
        <w:ind w:left="286" w:right="74"/>
        <w:rPr>
          <w:rFonts w:ascii="Calibri"/>
          <w:sz w:val="11"/>
        </w:rPr>
      </w:pPr>
      <w:r>
        <w:rPr>
          <w:color w:val="231F1F"/>
          <w:w w:val="110"/>
        </w:rPr>
        <w:t>AV block and bradycardia when diltiazem given with </w:t>
      </w:r>
      <w:r>
        <w:rPr>
          <w:rFonts w:ascii="Arial"/>
          <w:color w:val="231F1F"/>
          <w:w w:val="355"/>
          <w:position w:val="1"/>
          <w:sz w:val="7"/>
        </w:rPr>
        <w:t>l</w:t>
      </w:r>
      <w:r>
        <w:rPr>
          <w:rFonts w:ascii="Arial"/>
          <w:color w:val="231F1F"/>
          <w:spacing w:val="-41"/>
          <w:w w:val="355"/>
          <w:position w:val="1"/>
          <w:sz w:val="7"/>
        </w:rPr>
        <w:t> </w:t>
      </w:r>
      <w:r>
        <w:rPr>
          <w:rFonts w:ascii="Calibri"/>
          <w:color w:val="008356"/>
          <w:w w:val="110"/>
          <w:sz w:val="11"/>
        </w:rPr>
        <w:t>BETA- </w:t>
      </w:r>
      <w:r>
        <w:rPr>
          <w:rFonts w:ascii="Calibri"/>
          <w:color w:val="008356"/>
          <w:spacing w:val="4"/>
          <w:w w:val="110"/>
          <w:sz w:val="11"/>
        </w:rPr>
        <w:t>BLOCKERS</w:t>
      </w:r>
      <w:r>
        <w:rPr>
          <w:color w:val="231F1F"/>
          <w:spacing w:val="4"/>
          <w:w w:val="110"/>
        </w:rPr>
        <w:t>; </w:t>
      </w:r>
      <w:r>
        <w:rPr>
          <w:color w:val="231F1F"/>
          <w:w w:val="110"/>
        </w:rPr>
        <w:t>asystole, severe hypotension and heart failure when verapamil given with </w:t>
      </w:r>
      <w:r>
        <w:rPr>
          <w:rFonts w:ascii="Arial"/>
          <w:color w:val="231F1F"/>
          <w:w w:val="355"/>
          <w:position w:val="1"/>
          <w:sz w:val="7"/>
        </w:rPr>
        <w:t>l </w:t>
      </w:r>
      <w:r>
        <w:rPr>
          <w:rFonts w:ascii="Calibri"/>
          <w:color w:val="008356"/>
          <w:spacing w:val="4"/>
          <w:w w:val="110"/>
          <w:sz w:val="11"/>
        </w:rPr>
        <w:t>BETA-BLOCKERS </w:t>
      </w:r>
      <w:r>
        <w:rPr>
          <w:color w:val="231F1F"/>
          <w:w w:val="110"/>
        </w:rPr>
        <w:t>(see under Verapamil, p. 156); possible severe hypotension and heart failure when nifedipine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BETA-BLOCKERS</w:t>
      </w:r>
    </w:p>
    <w:p>
      <w:pPr>
        <w:pStyle w:val="BodyText"/>
        <w:spacing w:line="220" w:lineRule="auto" w:before="3"/>
        <w:ind w:left="286" w:right="74" w:hanging="100"/>
        <w:rPr>
          <w:rFonts w:ascii="Calibri" w:hAnsi="Calibri"/>
          <w:sz w:val="11"/>
        </w:rPr>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plasma concentration of both</w:t>
      </w:r>
      <w:r>
        <w:rPr>
          <w:color w:val="231F1F"/>
          <w:spacing w:val="-23"/>
          <w:w w:val="110"/>
        </w:rPr>
        <w:t> </w:t>
      </w:r>
      <w:r>
        <w:rPr>
          <w:color w:val="231F1F"/>
          <w:spacing w:val="-3"/>
          <w:w w:val="110"/>
        </w:rPr>
        <w:t>drugs </w:t>
      </w:r>
      <w:r>
        <w:rPr>
          <w:color w:val="231F1F"/>
          <w:w w:val="110"/>
        </w:rPr>
        <w:t>may increase when diltiazem given with</w:t>
      </w:r>
      <w:r>
        <w:rPr>
          <w:color w:val="231F1F"/>
          <w:spacing w:val="-12"/>
          <w:w w:val="110"/>
        </w:rPr>
        <w:t> </w:t>
      </w:r>
      <w:r>
        <w:rPr>
          <w:rFonts w:ascii="Calibri" w:hAnsi="Calibri"/>
          <w:color w:val="008356"/>
          <w:spacing w:val="5"/>
          <w:w w:val="110"/>
          <w:sz w:val="11"/>
        </w:rPr>
        <w:t>NIFEDIPINE</w:t>
      </w:r>
    </w:p>
    <w:p>
      <w:pPr>
        <w:pStyle w:val="BodyText"/>
        <w:spacing w:line="244" w:lineRule="auto" w:before="1"/>
        <w:ind w:left="286" w:right="98"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diltiazem, lercanidipine and nicardipine increase plasma concentration of </w:t>
      </w:r>
      <w:r>
        <w:rPr>
          <w:rFonts w:ascii="Arial"/>
          <w:color w:val="231F1F"/>
          <w:w w:val="355"/>
          <w:position w:val="1"/>
          <w:sz w:val="7"/>
        </w:rPr>
        <w:t>l </w:t>
      </w:r>
      <w:r>
        <w:rPr>
          <w:rFonts w:ascii="Calibri"/>
          <w:color w:val="008356"/>
          <w:w w:val="110"/>
          <w:sz w:val="11"/>
        </w:rPr>
        <w:t>DIGOXIN</w:t>
      </w:r>
      <w:r>
        <w:rPr>
          <w:color w:val="231F1F"/>
          <w:w w:val="110"/>
        </w:rPr>
        <w:t>; verapamil increases plasma concentration of </w:t>
      </w:r>
      <w:r>
        <w:rPr>
          <w:rFonts w:ascii="Arial"/>
          <w:color w:val="231F1F"/>
          <w:w w:val="355"/>
          <w:position w:val="1"/>
          <w:sz w:val="7"/>
        </w:rPr>
        <w:t>l </w:t>
      </w:r>
      <w:r>
        <w:rPr>
          <w:rFonts w:ascii="Calibri"/>
          <w:color w:val="008356"/>
          <w:w w:val="110"/>
          <w:sz w:val="11"/>
        </w:rPr>
        <w:t>DIGOXIN</w:t>
      </w:r>
      <w:r>
        <w:rPr>
          <w:color w:val="231F1F"/>
          <w:w w:val="110"/>
        </w:rPr>
        <w:t>, also increased risk of AV block and bradycardia; nifedipine possibly increases plasma concentration of </w:t>
      </w:r>
      <w:r>
        <w:rPr>
          <w:rFonts w:ascii="Arial"/>
          <w:color w:val="231F1F"/>
          <w:w w:val="355"/>
          <w:position w:val="1"/>
          <w:sz w:val="7"/>
        </w:rPr>
        <w:t>l </w:t>
      </w:r>
      <w:r>
        <w:rPr>
          <w:rFonts w:ascii="Calibri"/>
          <w:color w:val="008356"/>
          <w:w w:val="110"/>
          <w:sz w:val="11"/>
        </w:rPr>
        <w:t>DIGOXIN</w:t>
      </w:r>
    </w:p>
    <w:p>
      <w:pPr>
        <w:pStyle w:val="BodyText"/>
        <w:spacing w:line="138" w:lineRule="exact"/>
        <w:ind w:left="186"/>
      </w:pPr>
      <w:r>
        <w:rPr>
          <w:rFonts w:ascii="Arial"/>
          <w:color w:val="231F1F"/>
          <w:w w:val="355"/>
          <w:position w:val="1"/>
          <w:sz w:val="7"/>
        </w:rPr>
        <w:t>l </w:t>
      </w:r>
      <w:r>
        <w:rPr>
          <w:rFonts w:ascii="Calibri"/>
          <w:color w:val="231F1F"/>
          <w:w w:val="110"/>
        </w:rPr>
        <w:t>Ciclosporin: </w:t>
      </w:r>
      <w:r>
        <w:rPr>
          <w:color w:val="231F1F"/>
          <w:w w:val="110"/>
        </w:rPr>
        <w:t>diltiazem, nicardipine and verapamil increase</w:t>
      </w:r>
    </w:p>
    <w:p>
      <w:pPr>
        <w:pStyle w:val="BodyText"/>
        <w:spacing w:line="244" w:lineRule="auto"/>
        <w:ind w:left="286" w:right="61"/>
      </w:pPr>
      <w:r>
        <w:rPr>
          <w:color w:val="231F1F"/>
          <w:w w:val="110"/>
        </w:rPr>
        <w:t>plasma concentration of </w:t>
      </w:r>
      <w:r>
        <w:rPr>
          <w:rFonts w:ascii="Arial" w:hAnsi="Arial"/>
          <w:color w:val="231F1F"/>
          <w:w w:val="355"/>
          <w:position w:val="1"/>
          <w:sz w:val="7"/>
        </w:rPr>
        <w:t>l </w:t>
      </w:r>
      <w:r>
        <w:rPr>
          <w:rFonts w:ascii="Calibri" w:hAnsi="Calibri"/>
          <w:color w:val="008356"/>
          <w:spacing w:val="4"/>
          <w:w w:val="110"/>
          <w:sz w:val="11"/>
        </w:rPr>
        <w:t>CICLOSPORIN</w:t>
      </w:r>
      <w:r>
        <w:rPr>
          <w:color w:val="231F1F"/>
          <w:spacing w:val="4"/>
          <w:w w:val="110"/>
        </w:rPr>
        <w:t>; </w:t>
      </w:r>
      <w:r>
        <w:rPr>
          <w:color w:val="231F1F"/>
          <w:w w:val="110"/>
        </w:rPr>
        <w:t>combination of lercanidipine with </w:t>
      </w:r>
      <w:r>
        <w:rPr>
          <w:rFonts w:ascii="Arial" w:hAnsi="Arial"/>
          <w:color w:val="231F1F"/>
          <w:w w:val="355"/>
          <w:position w:val="1"/>
          <w:sz w:val="7"/>
        </w:rPr>
        <w:t>l </w:t>
      </w:r>
      <w:r>
        <w:rPr>
          <w:rFonts w:ascii="Calibri" w:hAnsi="Calibri"/>
          <w:color w:val="008356"/>
          <w:spacing w:val="4"/>
          <w:w w:val="110"/>
          <w:sz w:val="11"/>
        </w:rPr>
        <w:t>CICLOSPORIN </w:t>
      </w:r>
      <w:r>
        <w:rPr>
          <w:color w:val="231F1F"/>
          <w:w w:val="110"/>
        </w:rPr>
        <w:t>may increase plasma concentration of either drug (or both)</w:t>
      </w:r>
      <w:r>
        <w:rPr>
          <w:rFonts w:ascii="Arial" w:hAnsi="Arial"/>
          <w:color w:val="231F1F"/>
          <w:w w:val="110"/>
        </w:rPr>
        <w:t>—</w:t>
      </w:r>
      <w:r>
        <w:rPr>
          <w:color w:val="231F1F"/>
          <w:w w:val="110"/>
        </w:rPr>
        <w:t>avoid  concomitant use; plasma concentration of nifedipine possibly increased </w:t>
      </w:r>
      <w:r>
        <w:rPr>
          <w:color w:val="231F1F"/>
          <w:spacing w:val="-7"/>
          <w:w w:val="110"/>
        </w:rPr>
        <w:t>by </w:t>
      </w:r>
      <w:r>
        <w:rPr>
          <w:rFonts w:ascii="Calibri" w:hAnsi="Calibri"/>
          <w:color w:val="008356"/>
          <w:spacing w:val="4"/>
          <w:w w:val="110"/>
          <w:sz w:val="11"/>
        </w:rPr>
        <w:t>CICLOSPORIN </w:t>
      </w:r>
      <w:r>
        <w:rPr>
          <w:color w:val="231F1F"/>
          <w:w w:val="110"/>
        </w:rPr>
        <w:t>(increased risk of toxicity including gingival hyperplasia)</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Cilostazol: </w:t>
      </w:r>
      <w:r>
        <w:rPr>
          <w:color w:val="231F1F"/>
          <w:w w:val="105"/>
        </w:rPr>
        <w:t>diltiazem increases plasma concentration of</w:t>
      </w:r>
    </w:p>
    <w:p>
      <w:pPr>
        <w:spacing w:line="135" w:lineRule="exact" w:before="0"/>
        <w:ind w:left="286" w:right="0" w:firstLine="0"/>
        <w:jc w:val="left"/>
        <w:rPr>
          <w:sz w:val="12"/>
        </w:rPr>
      </w:pPr>
      <w:r>
        <w:rPr>
          <w:rFonts w:ascii="Calibri"/>
          <w:color w:val="008356"/>
          <w:w w:val="110"/>
          <w:sz w:val="11"/>
        </w:rPr>
        <w:t>CILOSTAZOL </w:t>
      </w:r>
      <w:r>
        <w:rPr>
          <w:color w:val="231F1F"/>
          <w:w w:val="110"/>
          <w:sz w:val="12"/>
        </w:rPr>
        <w:t>(consider reducing dose of cilostazol)</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calcium-channel blockers given with </w:t>
      </w:r>
      <w:r>
        <w:rPr>
          <w:rFonts w:ascii="Calibri" w:hAnsi="Calibri"/>
          <w:color w:val="008356"/>
          <w:w w:val="110"/>
          <w:sz w:val="11"/>
        </w:rPr>
        <w:t>CLONIDINE</w:t>
      </w:r>
    </w:p>
    <w:p>
      <w:pPr>
        <w:pStyle w:val="BodyText"/>
        <w:ind w:left="286" w:right="135" w:hanging="100"/>
        <w:jc w:val="both"/>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Colchicine:</w:t>
      </w:r>
      <w:r>
        <w:rPr>
          <w:rFonts w:ascii="Calibri" w:hAnsi="Calibri"/>
          <w:color w:val="231F1F"/>
          <w:spacing w:val="-14"/>
          <w:w w:val="115"/>
        </w:rPr>
        <w:t> </w:t>
      </w:r>
      <w:r>
        <w:rPr>
          <w:color w:val="231F1F"/>
          <w:w w:val="115"/>
        </w:rPr>
        <w:t>diltiazem</w:t>
      </w:r>
      <w:r>
        <w:rPr>
          <w:color w:val="231F1F"/>
          <w:spacing w:val="-17"/>
          <w:w w:val="115"/>
        </w:rPr>
        <w:t> </w:t>
      </w:r>
      <w:r>
        <w:rPr>
          <w:color w:val="231F1F"/>
          <w:w w:val="115"/>
        </w:rPr>
        <w:t>and</w:t>
      </w:r>
      <w:r>
        <w:rPr>
          <w:color w:val="231F1F"/>
          <w:spacing w:val="-16"/>
          <w:w w:val="115"/>
        </w:rPr>
        <w:t> </w:t>
      </w:r>
      <w:r>
        <w:rPr>
          <w:color w:val="231F1F"/>
          <w:w w:val="115"/>
        </w:rPr>
        <w:t>verapamil</w:t>
      </w:r>
      <w:r>
        <w:rPr>
          <w:color w:val="231F1F"/>
          <w:spacing w:val="-17"/>
          <w:w w:val="115"/>
        </w:rPr>
        <w:t> </w:t>
      </w:r>
      <w:r>
        <w:rPr>
          <w:color w:val="231F1F"/>
          <w:w w:val="115"/>
        </w:rPr>
        <w:t>possibly</w:t>
      </w:r>
      <w:r>
        <w:rPr>
          <w:color w:val="231F1F"/>
          <w:spacing w:val="-16"/>
          <w:w w:val="115"/>
        </w:rPr>
        <w:t> </w:t>
      </w:r>
      <w:r>
        <w:rPr>
          <w:color w:val="231F1F"/>
          <w:w w:val="115"/>
        </w:rPr>
        <w:t>increase</w:t>
      </w:r>
      <w:r>
        <w:rPr>
          <w:color w:val="231F1F"/>
          <w:spacing w:val="-17"/>
          <w:w w:val="115"/>
        </w:rPr>
        <w:t> </w:t>
      </w:r>
      <w:r>
        <w:rPr>
          <w:color w:val="231F1F"/>
          <w:w w:val="115"/>
        </w:rPr>
        <w:t>risk</w:t>
      </w:r>
      <w:r>
        <w:rPr>
          <w:color w:val="231F1F"/>
          <w:spacing w:val="-16"/>
          <w:w w:val="115"/>
        </w:rPr>
        <w:t> </w:t>
      </w:r>
      <w:r>
        <w:rPr>
          <w:color w:val="231F1F"/>
          <w:w w:val="115"/>
        </w:rPr>
        <w:t>of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5"/>
          <w:sz w:val="11"/>
        </w:rPr>
        <w:t>COLCHICINE</w:t>
      </w:r>
      <w:r>
        <w:rPr>
          <w:rFonts w:ascii="Calibri" w:hAnsi="Calibri"/>
          <w:color w:val="008356"/>
          <w:spacing w:val="-16"/>
          <w:w w:val="115"/>
          <w:sz w:val="11"/>
        </w:rPr>
        <w:t> </w:t>
      </w:r>
      <w:r>
        <w:rPr>
          <w:color w:val="231F1F"/>
          <w:w w:val="115"/>
        </w:rPr>
        <w:t>toxicity</w:t>
      </w:r>
      <w:r>
        <w:rPr>
          <w:rFonts w:ascii="Arial" w:hAnsi="Arial"/>
          <w:color w:val="231F1F"/>
          <w:w w:val="115"/>
        </w:rPr>
        <w:t>—</w:t>
      </w:r>
      <w:r>
        <w:rPr>
          <w:color w:val="231F1F"/>
          <w:w w:val="115"/>
        </w:rPr>
        <w:t>suspend</w:t>
      </w:r>
      <w:r>
        <w:rPr>
          <w:color w:val="231F1F"/>
          <w:spacing w:val="-25"/>
          <w:w w:val="115"/>
        </w:rPr>
        <w:t> </w:t>
      </w:r>
      <w:r>
        <w:rPr>
          <w:color w:val="231F1F"/>
          <w:w w:val="115"/>
        </w:rPr>
        <w:t>or</w:t>
      </w:r>
      <w:r>
        <w:rPr>
          <w:color w:val="231F1F"/>
          <w:spacing w:val="-24"/>
          <w:w w:val="115"/>
        </w:rPr>
        <w:t> </w:t>
      </w:r>
      <w:r>
        <w:rPr>
          <w:color w:val="231F1F"/>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 (avoid concomitant use in hepatic or renal</w:t>
      </w:r>
      <w:r>
        <w:rPr>
          <w:color w:val="231F1F"/>
          <w:spacing w:val="-25"/>
          <w:w w:val="115"/>
        </w:rPr>
        <w:t> </w:t>
      </w:r>
      <w:r>
        <w:rPr>
          <w:color w:val="231F1F"/>
          <w:w w:val="115"/>
        </w:rPr>
        <w:t>impairment)</w:t>
      </w:r>
    </w:p>
    <w:p>
      <w:pPr>
        <w:spacing w:line="230" w:lineRule="auto" w:before="6"/>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hypotensive effect of calcium-channel blockers</w:t>
      </w:r>
      <w:r>
        <w:rPr>
          <w:color w:val="231F1F"/>
          <w:spacing w:val="-7"/>
          <w:w w:val="110"/>
          <w:sz w:val="12"/>
        </w:rPr>
        <w:t> </w:t>
      </w:r>
      <w:r>
        <w:rPr>
          <w:color w:val="231F1F"/>
          <w:w w:val="110"/>
          <w:sz w:val="12"/>
        </w:rPr>
        <w:t>antagonised</w:t>
      </w:r>
      <w:r>
        <w:rPr>
          <w:color w:val="231F1F"/>
          <w:spacing w:val="-8"/>
          <w:w w:val="110"/>
          <w:sz w:val="12"/>
        </w:rPr>
        <w:t> </w:t>
      </w:r>
      <w:r>
        <w:rPr>
          <w:color w:val="231F1F"/>
          <w:w w:val="110"/>
          <w:sz w:val="12"/>
        </w:rPr>
        <w:t>by</w:t>
      </w:r>
      <w:r>
        <w:rPr>
          <w:color w:val="231F1F"/>
          <w:spacing w:val="-6"/>
          <w:w w:val="110"/>
          <w:sz w:val="12"/>
        </w:rPr>
        <w:t> </w:t>
      </w:r>
      <w:r>
        <w:rPr>
          <w:rFonts w:ascii="Calibri" w:hAnsi="Calibri"/>
          <w:color w:val="008356"/>
          <w:spacing w:val="4"/>
          <w:w w:val="110"/>
          <w:sz w:val="11"/>
        </w:rPr>
        <w:t>CORTICOSTEROIDS</w:t>
      </w:r>
      <w:r>
        <w:rPr>
          <w:color w:val="231F1F"/>
          <w:spacing w:val="4"/>
          <w:w w:val="110"/>
          <w:sz w:val="12"/>
        </w:rPr>
        <w:t>;</w:t>
      </w:r>
      <w:r>
        <w:rPr>
          <w:color w:val="231F1F"/>
          <w:spacing w:val="-6"/>
          <w:w w:val="110"/>
          <w:sz w:val="12"/>
        </w:rPr>
        <w:t> </w:t>
      </w:r>
      <w:r>
        <w:rPr>
          <w:color w:val="231F1F"/>
          <w:w w:val="110"/>
          <w:sz w:val="12"/>
        </w:rPr>
        <w:t>diltiazem</w:t>
      </w:r>
      <w:r>
        <w:rPr>
          <w:color w:val="231F1F"/>
          <w:spacing w:val="-8"/>
          <w:w w:val="110"/>
          <w:sz w:val="12"/>
        </w:rPr>
        <w:t> </w:t>
      </w:r>
      <w:r>
        <w:rPr>
          <w:color w:val="231F1F"/>
          <w:w w:val="110"/>
          <w:sz w:val="12"/>
        </w:rPr>
        <w:t>increases plasma concentration of</w:t>
      </w:r>
      <w:r>
        <w:rPr>
          <w:color w:val="231F1F"/>
          <w:spacing w:val="-14"/>
          <w:w w:val="110"/>
          <w:sz w:val="12"/>
        </w:rPr>
        <w:t> </w:t>
      </w:r>
      <w:r>
        <w:rPr>
          <w:rFonts w:ascii="Calibri" w:hAnsi="Calibri"/>
          <w:color w:val="008356"/>
          <w:spacing w:val="5"/>
          <w:w w:val="110"/>
          <w:sz w:val="11"/>
        </w:rPr>
        <w:t>METHYLPREDNISOLONE</w:t>
      </w:r>
    </w:p>
    <w:p>
      <w:pPr>
        <w:pStyle w:val="BodyText"/>
        <w:spacing w:line="244" w:lineRule="auto"/>
        <w:ind w:left="286" w:right="-4" w:hanging="100"/>
        <w:rPr>
          <w:rFonts w:ascii="Calibri" w:hAnsi="Calibri"/>
          <w:sz w:val="11"/>
        </w:rPr>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Cytotoxics:</w:t>
      </w:r>
      <w:r>
        <w:rPr>
          <w:rFonts w:ascii="Calibri" w:hAnsi="Calibri"/>
          <w:color w:val="231F1F"/>
          <w:spacing w:val="-13"/>
          <w:w w:val="115"/>
        </w:rPr>
        <w:t> </w:t>
      </w:r>
      <w:r>
        <w:rPr>
          <w:color w:val="231F1F"/>
          <w:w w:val="115"/>
        </w:rPr>
        <w:t>verapamil</w:t>
      </w:r>
      <w:r>
        <w:rPr>
          <w:color w:val="231F1F"/>
          <w:spacing w:val="-17"/>
          <w:w w:val="115"/>
        </w:rPr>
        <w:t> </w:t>
      </w:r>
      <w:r>
        <w:rPr>
          <w:color w:val="231F1F"/>
          <w:w w:val="115"/>
        </w:rPr>
        <w:t>possibly</w:t>
      </w:r>
      <w:r>
        <w:rPr>
          <w:color w:val="231F1F"/>
          <w:spacing w:val="-17"/>
          <w:w w:val="115"/>
        </w:rPr>
        <w:t> </w:t>
      </w:r>
      <w:r>
        <w:rPr>
          <w:color w:val="231F1F"/>
          <w:w w:val="115"/>
        </w:rPr>
        <w:t>increases</w:t>
      </w:r>
      <w:r>
        <w:rPr>
          <w:color w:val="231F1F"/>
          <w:spacing w:val="-16"/>
          <w:w w:val="115"/>
        </w:rPr>
        <w:t> </w:t>
      </w:r>
      <w:r>
        <w:rPr>
          <w:color w:val="231F1F"/>
          <w:w w:val="115"/>
        </w:rPr>
        <w:t>plasma</w:t>
      </w:r>
      <w:r>
        <w:rPr>
          <w:color w:val="231F1F"/>
          <w:spacing w:val="-17"/>
          <w:w w:val="115"/>
        </w:rPr>
        <w:t> </w:t>
      </w:r>
      <w:r>
        <w:rPr>
          <w:color w:val="231F1F"/>
          <w:w w:val="115"/>
        </w:rPr>
        <w:t>concentration of </w:t>
      </w:r>
      <w:r>
        <w:rPr>
          <w:rFonts w:ascii="Calibri" w:hAnsi="Calibri"/>
          <w:color w:val="008356"/>
          <w:spacing w:val="4"/>
          <w:w w:val="115"/>
          <w:sz w:val="11"/>
        </w:rPr>
        <w:t>DOXORUBICIN</w:t>
      </w:r>
      <w:r>
        <w:rPr>
          <w:color w:val="231F1F"/>
          <w:spacing w:val="4"/>
          <w:w w:val="115"/>
        </w:rPr>
        <w:t>; </w:t>
      </w:r>
      <w:r>
        <w:rPr>
          <w:color w:val="231F1F"/>
          <w:w w:val="115"/>
        </w:rPr>
        <w:t>verapamil possibly increases the plasma concentration of </w:t>
      </w:r>
      <w:r>
        <w:rPr>
          <w:rFonts w:ascii="Calibri" w:hAnsi="Calibri"/>
          <w:color w:val="008356"/>
          <w:w w:val="115"/>
          <w:sz w:val="11"/>
        </w:rPr>
        <w:t>AFATINIB</w:t>
      </w:r>
      <w:r>
        <w:rPr>
          <w:rFonts w:ascii="Arial" w:hAnsi="Arial"/>
          <w:color w:val="231F1F"/>
          <w:w w:val="115"/>
        </w:rPr>
        <w:t>—</w:t>
      </w:r>
      <w:r>
        <w:rPr>
          <w:color w:val="231F1F"/>
          <w:w w:val="115"/>
        </w:rPr>
        <w:t>manufacturer of afatinib advises separating administration of verapamil by 6 to 12 hours; diltiazem and verapamil possibly increase the plasma concentration of </w:t>
      </w:r>
      <w:r>
        <w:rPr>
          <w:rFonts w:ascii="Arial" w:hAnsi="Arial"/>
          <w:color w:val="231F1F"/>
          <w:w w:val="355"/>
          <w:position w:val="1"/>
          <w:sz w:val="7"/>
        </w:rPr>
        <w:t>l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w:t>
      </w:r>
      <w:r>
        <w:rPr>
          <w:color w:val="231F1F"/>
          <w:spacing w:val="-8"/>
          <w:w w:val="115"/>
        </w:rPr>
        <w:t> </w:t>
      </w:r>
      <w:r>
        <w:rPr>
          <w:color w:val="231F1F"/>
          <w:w w:val="115"/>
        </w:rPr>
        <w:t>avoid</w:t>
      </w:r>
      <w:r>
        <w:rPr>
          <w:color w:val="231F1F"/>
          <w:spacing w:val="-8"/>
          <w:w w:val="115"/>
        </w:rPr>
        <w:t> </w:t>
      </w:r>
      <w:r>
        <w:rPr>
          <w:color w:val="231F1F"/>
          <w:w w:val="115"/>
        </w:rPr>
        <w:t>or</w:t>
      </w:r>
      <w:r>
        <w:rPr>
          <w:color w:val="231F1F"/>
          <w:spacing w:val="-8"/>
          <w:w w:val="115"/>
        </w:rPr>
        <w:t> </w:t>
      </w:r>
      <w:r>
        <w:rPr>
          <w:color w:val="231F1F"/>
          <w:w w:val="115"/>
        </w:rPr>
        <w:t>consider</w:t>
      </w:r>
      <w:r>
        <w:rPr>
          <w:color w:val="231F1F"/>
          <w:spacing w:val="-9"/>
          <w:w w:val="115"/>
        </w:rPr>
        <w:t> </w:t>
      </w:r>
      <w:r>
        <w:rPr>
          <w:color w:val="231F1F"/>
          <w:w w:val="115"/>
        </w:rPr>
        <w:t>reducing</w:t>
      </w:r>
      <w:r>
        <w:rPr>
          <w:color w:val="231F1F"/>
          <w:spacing w:val="-7"/>
          <w:w w:val="115"/>
        </w:rPr>
        <w:t> </w:t>
      </w:r>
      <w:r>
        <w:rPr>
          <w:color w:val="231F1F"/>
          <w:w w:val="115"/>
        </w:rPr>
        <w:t>dose</w:t>
      </w:r>
      <w:r>
        <w:rPr>
          <w:color w:val="231F1F"/>
          <w:spacing w:val="-8"/>
          <w:w w:val="115"/>
        </w:rPr>
        <w:t> </w:t>
      </w:r>
      <w:r>
        <w:rPr>
          <w:color w:val="231F1F"/>
          <w:w w:val="115"/>
        </w:rPr>
        <w:t>of</w:t>
      </w:r>
      <w:r>
        <w:rPr>
          <w:color w:val="231F1F"/>
          <w:spacing w:val="-8"/>
          <w:w w:val="115"/>
        </w:rPr>
        <w:t> </w:t>
      </w:r>
      <w:r>
        <w:rPr>
          <w:color w:val="231F1F"/>
          <w:w w:val="115"/>
        </w:rPr>
        <w:t>bosutinib;</w:t>
      </w:r>
      <w:r>
        <w:rPr>
          <w:color w:val="231F1F"/>
          <w:spacing w:val="-8"/>
          <w:w w:val="115"/>
        </w:rPr>
        <w:t> </w:t>
      </w:r>
      <w:r>
        <w:rPr>
          <w:color w:val="231F1F"/>
          <w:spacing w:val="-3"/>
          <w:w w:val="115"/>
        </w:rPr>
        <w:t>possible </w:t>
      </w:r>
      <w:r>
        <w:rPr>
          <w:color w:val="231F1F"/>
          <w:w w:val="115"/>
        </w:rPr>
        <w:t>increased risk of bradycardia when diltiazem or verapamil given with </w:t>
      </w:r>
      <w:r>
        <w:rPr>
          <w:rFonts w:ascii="Calibri" w:hAnsi="Calibri"/>
          <w:color w:val="008356"/>
          <w:spacing w:val="4"/>
          <w:w w:val="115"/>
          <w:sz w:val="11"/>
        </w:rPr>
        <w:t>CRIZOTINIB</w:t>
      </w:r>
      <w:r>
        <w:rPr>
          <w:color w:val="231F1F"/>
          <w:spacing w:val="4"/>
          <w:w w:val="115"/>
        </w:rPr>
        <w:t>; </w:t>
      </w:r>
      <w:r>
        <w:rPr>
          <w:color w:val="231F1F"/>
          <w:w w:val="115"/>
        </w:rPr>
        <w:t>plasma concentration of both drugs may increase when verapamil given with </w:t>
      </w:r>
      <w:r>
        <w:rPr>
          <w:rFonts w:ascii="Arial" w:hAnsi="Arial"/>
          <w:color w:val="231F1F"/>
          <w:w w:val="355"/>
          <w:position w:val="1"/>
          <w:sz w:val="7"/>
        </w:rPr>
        <w:t>l </w:t>
      </w:r>
      <w:r>
        <w:rPr>
          <w:rFonts w:ascii="Calibri" w:hAnsi="Calibri"/>
          <w:color w:val="008356"/>
          <w:spacing w:val="4"/>
          <w:w w:val="115"/>
          <w:sz w:val="11"/>
        </w:rPr>
        <w:t>EVEROLIMUS </w:t>
      </w:r>
      <w:r>
        <w:rPr>
          <w:color w:val="231F1F"/>
          <w:w w:val="115"/>
        </w:rPr>
        <w:t>(consider reducing the dose of everolimus </w:t>
      </w:r>
      <w:r>
        <w:rPr>
          <w:rFonts w:ascii="Arial" w:hAnsi="Arial"/>
          <w:color w:val="231F1F"/>
          <w:w w:val="115"/>
        </w:rPr>
        <w:t>—</w:t>
      </w:r>
      <w:r>
        <w:rPr>
          <w:color w:val="231F1F"/>
          <w:w w:val="115"/>
        </w:rPr>
        <w:t>consult everolimus product literature); diltiazem and verapamil possibly</w:t>
      </w:r>
      <w:r>
        <w:rPr>
          <w:color w:val="231F1F"/>
          <w:spacing w:val="-12"/>
          <w:w w:val="115"/>
        </w:rPr>
        <w:t> </w:t>
      </w:r>
      <w:r>
        <w:rPr>
          <w:color w:val="231F1F"/>
          <w:w w:val="115"/>
        </w:rPr>
        <w:t>increase</w:t>
      </w:r>
      <w:r>
        <w:rPr>
          <w:color w:val="231F1F"/>
          <w:spacing w:val="-13"/>
          <w:w w:val="115"/>
        </w:rPr>
        <w:t> </w:t>
      </w:r>
      <w:r>
        <w:rPr>
          <w:color w:val="231F1F"/>
          <w:w w:val="115"/>
        </w:rPr>
        <w:t>the</w:t>
      </w:r>
      <w:r>
        <w:rPr>
          <w:color w:val="231F1F"/>
          <w:spacing w:val="-10"/>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5"/>
          <w:sz w:val="11"/>
        </w:rPr>
        <w:t>IBRUTINIB</w:t>
      </w:r>
      <w:r>
        <w:rPr>
          <w:rFonts w:ascii="Arial" w:hAnsi="Arial"/>
          <w:color w:val="231F1F"/>
          <w:spacing w:val="4"/>
          <w:w w:val="115"/>
        </w:rPr>
        <w:t>— </w:t>
      </w:r>
      <w:r>
        <w:rPr>
          <w:color w:val="231F1F"/>
          <w:w w:val="115"/>
        </w:rPr>
        <w:t>reduce dose of ibrutinib (see under Ibrutinib, p. 809); nifedipine</w:t>
      </w:r>
      <w:r>
        <w:rPr>
          <w:color w:val="231F1F"/>
          <w:spacing w:val="-10"/>
          <w:w w:val="115"/>
        </w:rPr>
        <w:t> </w:t>
      </w:r>
      <w:r>
        <w:rPr>
          <w:color w:val="231F1F"/>
          <w:w w:val="115"/>
        </w:rPr>
        <w:t>possibly</w:t>
      </w:r>
      <w:r>
        <w:rPr>
          <w:color w:val="231F1F"/>
          <w:spacing w:val="-10"/>
          <w:w w:val="115"/>
        </w:rPr>
        <w:t> </w:t>
      </w:r>
      <w:r>
        <w:rPr>
          <w:color w:val="231F1F"/>
          <w:w w:val="115"/>
        </w:rPr>
        <w:t>inhibits</w:t>
      </w:r>
      <w:r>
        <w:rPr>
          <w:color w:val="231F1F"/>
          <w:spacing w:val="-9"/>
          <w:w w:val="115"/>
        </w:rPr>
        <w:t> </w:t>
      </w:r>
      <w:r>
        <w:rPr>
          <w:color w:val="231F1F"/>
          <w:w w:val="115"/>
        </w:rPr>
        <w:t>metabolism</w:t>
      </w:r>
      <w:r>
        <w:rPr>
          <w:color w:val="231F1F"/>
          <w:spacing w:val="-10"/>
          <w:w w:val="115"/>
        </w:rPr>
        <w:t> </w:t>
      </w:r>
      <w:r>
        <w:rPr>
          <w:color w:val="231F1F"/>
          <w:w w:val="115"/>
        </w:rPr>
        <w:t>of</w:t>
      </w:r>
      <w:r>
        <w:rPr>
          <w:color w:val="231F1F"/>
          <w:spacing w:val="-8"/>
          <w:w w:val="115"/>
        </w:rPr>
        <w:t> </w:t>
      </w:r>
      <w:r>
        <w:rPr>
          <w:rFonts w:ascii="Calibri" w:hAnsi="Calibri"/>
          <w:color w:val="008356"/>
          <w:spacing w:val="4"/>
          <w:w w:val="115"/>
          <w:sz w:val="11"/>
        </w:rPr>
        <w:t>VINCRISTINE</w:t>
      </w:r>
    </w:p>
    <w:p>
      <w:pPr>
        <w:pStyle w:val="BodyText"/>
        <w:spacing w:line="235" w:lineRule="auto" w:before="5"/>
        <w:ind w:left="286" w:right="496" w:hanging="100"/>
      </w:pPr>
      <w:r>
        <w:rPr>
          <w:rFonts w:ascii="Lucida Sans Unicode" w:hAnsi="Lucida Sans Unicode"/>
          <w:color w:val="A7A8AC"/>
          <w:w w:val="95"/>
          <w:sz w:val="10"/>
        </w:rPr>
        <w:t>▶ </w:t>
      </w:r>
      <w:r>
        <w:rPr>
          <w:rFonts w:ascii="Calibri" w:hAnsi="Calibri"/>
          <w:color w:val="231F1F"/>
          <w:w w:val="110"/>
        </w:rPr>
        <w:t>Dapoxetine: </w:t>
      </w:r>
      <w:r>
        <w:rPr>
          <w:color w:val="231F1F"/>
          <w:w w:val="110"/>
        </w:rPr>
        <w:t>manufacturer of dapoxetine advises dose reduction when diltiazem and verapamil given with </w:t>
      </w:r>
      <w:r>
        <w:rPr>
          <w:rFonts w:ascii="Calibri" w:hAnsi="Calibri"/>
          <w:color w:val="008356"/>
          <w:w w:val="110"/>
          <w:sz w:val="11"/>
        </w:rPr>
        <w:t>DAPOXETINE </w:t>
      </w:r>
      <w:r>
        <w:rPr>
          <w:color w:val="231F1F"/>
          <w:w w:val="110"/>
        </w:rPr>
        <w:t>(see under Dapoxetine, p. 703)</w:t>
      </w:r>
    </w:p>
    <w:p>
      <w:pPr>
        <w:pStyle w:val="BodyText"/>
        <w:spacing w:line="220" w:lineRule="auto" w:before="5"/>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calcium- channel blockers given with </w:t>
      </w:r>
      <w:r>
        <w:rPr>
          <w:rFonts w:ascii="Calibri" w:hAnsi="Calibri"/>
          <w:color w:val="008356"/>
          <w:w w:val="110"/>
          <w:sz w:val="11"/>
        </w:rPr>
        <w:t>DIAZOXIDE</w:t>
      </w:r>
    </w:p>
    <w:p>
      <w:pPr>
        <w:pStyle w:val="BodyText"/>
        <w:spacing w:line="235" w:lineRule="auto" w:before="3"/>
        <w:ind w:left="286" w:right="17" w:hanging="100"/>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calcium-channel blockers given with </w:t>
      </w:r>
      <w:r>
        <w:rPr>
          <w:rFonts w:ascii="Calibri" w:hAnsi="Calibri"/>
          <w:color w:val="008356"/>
          <w:w w:val="110"/>
          <w:sz w:val="11"/>
        </w:rPr>
        <w:t>DIURETICS</w:t>
      </w:r>
      <w:r>
        <w:rPr>
          <w:color w:val="231F1F"/>
          <w:w w:val="110"/>
        </w:rPr>
        <w:t>; diltiazem and verapamil increase plasma concentration of </w:t>
      </w:r>
      <w:r>
        <w:rPr>
          <w:rFonts w:ascii="Calibri" w:hAnsi="Calibri"/>
          <w:color w:val="008356"/>
          <w:w w:val="110"/>
          <w:sz w:val="11"/>
        </w:rPr>
        <w:t>EPLERENONE </w:t>
      </w:r>
      <w:r>
        <w:rPr>
          <w:color w:val="231F1F"/>
          <w:w w:val="110"/>
        </w:rPr>
        <w:t>(reduce dose of eplerenone)</w:t>
      </w:r>
    </w:p>
    <w:p>
      <w:pPr>
        <w:spacing w:line="237" w:lineRule="auto" w:before="2"/>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enhanced hypotensive effect when calcium- channel blockers given with </w:t>
      </w:r>
      <w:r>
        <w:rPr>
          <w:rFonts w:ascii="Calibri" w:hAnsi="Calibri"/>
          <w:color w:val="008356"/>
          <w:w w:val="110"/>
          <w:sz w:val="11"/>
        </w:rPr>
        <w:t>CO-BENELDOPA</w:t>
      </w:r>
      <w:r>
        <w:rPr>
          <w:color w:val="231F1F"/>
          <w:w w:val="110"/>
          <w:sz w:val="12"/>
        </w:rPr>
        <w:t>, </w:t>
      </w:r>
      <w:r>
        <w:rPr>
          <w:rFonts w:ascii="Calibri" w:hAnsi="Calibri"/>
          <w:color w:val="008356"/>
          <w:w w:val="110"/>
          <w:sz w:val="11"/>
        </w:rPr>
        <w:t>CO-CARELDOPA </w:t>
      </w:r>
      <w:r>
        <w:rPr>
          <w:color w:val="231F1F"/>
          <w:w w:val="110"/>
          <w:sz w:val="12"/>
        </w:rPr>
        <w:t>or </w:t>
      </w:r>
      <w:r>
        <w:rPr>
          <w:rFonts w:ascii="Calibri" w:hAnsi="Calibri"/>
          <w:color w:val="008356"/>
          <w:w w:val="110"/>
          <w:sz w:val="11"/>
        </w:rPr>
        <w:t>LEVODOPA</w:t>
      </w:r>
    </w:p>
    <w:p>
      <w:pPr>
        <w:pStyle w:val="BodyText"/>
        <w:spacing w:line="237" w:lineRule="auto"/>
        <w:ind w:left="286" w:right="248" w:hanging="100"/>
        <w:rPr>
          <w:rFonts w:ascii="Calibri"/>
          <w:sz w:val="11"/>
        </w:rPr>
      </w:pPr>
      <w:r>
        <w:rPr>
          <w:rFonts w:ascii="Arial"/>
          <w:color w:val="231F1F"/>
          <w:w w:val="355"/>
          <w:position w:val="1"/>
          <w:sz w:val="7"/>
        </w:rPr>
        <w:t>l </w:t>
      </w:r>
      <w:r>
        <w:rPr>
          <w:rFonts w:ascii="Calibri"/>
          <w:color w:val="231F1F"/>
          <w:w w:val="105"/>
        </w:rPr>
        <w:t>Fingolimod: </w:t>
      </w:r>
      <w:r>
        <w:rPr>
          <w:color w:val="231F1F"/>
          <w:w w:val="105"/>
        </w:rPr>
        <w:t>possible increased risk of bradycardia when diltiazem or verapamil given with </w:t>
      </w:r>
      <w:r>
        <w:rPr>
          <w:rFonts w:ascii="Arial"/>
          <w:color w:val="231F1F"/>
          <w:w w:val="355"/>
          <w:position w:val="1"/>
          <w:sz w:val="7"/>
        </w:rPr>
        <w:t>l </w:t>
      </w:r>
      <w:r>
        <w:rPr>
          <w:rFonts w:ascii="Calibri"/>
          <w:color w:val="008356"/>
          <w:w w:val="105"/>
          <w:sz w:val="11"/>
        </w:rPr>
        <w:t>FINGOLIMOD</w:t>
      </w:r>
    </w:p>
    <w:p>
      <w:pPr>
        <w:pStyle w:val="BodyText"/>
        <w:spacing w:line="220" w:lineRule="auto" w:before="6"/>
        <w:ind w:left="286" w:right="398" w:hanging="100"/>
        <w:rPr>
          <w:rFonts w:ascii="Calibri" w:hAnsi="Calibri"/>
          <w:sz w:val="11"/>
        </w:rPr>
      </w:pPr>
      <w:r>
        <w:rPr>
          <w:rFonts w:ascii="Lucida Sans Unicode" w:hAnsi="Lucida Sans Unicode"/>
          <w:color w:val="A7A8AC"/>
          <w:w w:val="95"/>
          <w:sz w:val="10"/>
        </w:rPr>
        <w:t>▶ </w:t>
      </w:r>
      <w:r>
        <w:rPr>
          <w:rFonts w:ascii="Calibri" w:hAnsi="Calibri"/>
          <w:color w:val="231F1F"/>
          <w:w w:val="110"/>
        </w:rPr>
        <w:t>Fosaprepitant: </w:t>
      </w:r>
      <w:r>
        <w:rPr>
          <w:color w:val="231F1F"/>
          <w:w w:val="110"/>
        </w:rPr>
        <w:t>plasma concentration of both drugs may increase when diltiazem given with </w:t>
      </w:r>
      <w:r>
        <w:rPr>
          <w:rFonts w:ascii="Calibri" w:hAnsi="Calibri"/>
          <w:color w:val="008356"/>
          <w:w w:val="110"/>
          <w:sz w:val="11"/>
        </w:rPr>
        <w:t>FOSAPREPITANT</w:t>
      </w:r>
    </w:p>
    <w:p>
      <w:pPr>
        <w:pStyle w:val="BodyText"/>
        <w:spacing w:line="237" w:lineRule="auto" w:before="1"/>
        <w:ind w:left="286" w:right="98" w:hanging="100"/>
      </w:pPr>
      <w:r>
        <w:rPr>
          <w:rFonts w:ascii="Lucida Sans Unicode" w:hAnsi="Lucida Sans Unicode"/>
          <w:color w:val="A7A8AC"/>
          <w:w w:val="95"/>
          <w:sz w:val="10"/>
        </w:rPr>
        <w:t>▶ </w:t>
      </w:r>
      <w:r>
        <w:rPr>
          <w:rFonts w:ascii="Calibri" w:hAnsi="Calibri"/>
          <w:color w:val="231F1F"/>
          <w:w w:val="110"/>
        </w:rPr>
        <w:t>Grapefruit Juice: </w:t>
      </w:r>
      <w:r>
        <w:rPr>
          <w:color w:val="231F1F"/>
          <w:w w:val="110"/>
        </w:rPr>
        <w:t>plasma concentration of felodipine, isradipine, lacidipine, lercanidipine, nicardipine, nifedipine, nimodipine and verapamil increased by </w:t>
      </w:r>
      <w:r>
        <w:rPr>
          <w:rFonts w:ascii="Calibri" w:hAnsi="Calibri"/>
          <w:color w:val="008356"/>
          <w:w w:val="110"/>
          <w:sz w:val="11"/>
        </w:rPr>
        <w:t>GRAPEFRUIT JUICE</w:t>
      </w:r>
      <w:r>
        <w:rPr>
          <w:color w:val="231F1F"/>
          <w:w w:val="110"/>
        </w:rPr>
        <w:t>; plasma concentration of amlodipine possibly increased by</w:t>
      </w:r>
    </w:p>
    <w:p>
      <w:pPr>
        <w:spacing w:line="133" w:lineRule="exact" w:before="12"/>
        <w:ind w:left="286" w:right="0" w:firstLine="0"/>
        <w:jc w:val="both"/>
        <w:rPr>
          <w:rFonts w:ascii="Calibri"/>
          <w:sz w:val="11"/>
        </w:rPr>
      </w:pPr>
      <w:r>
        <w:rPr>
          <w:rFonts w:ascii="Calibri"/>
          <w:color w:val="008356"/>
          <w:sz w:val="11"/>
        </w:rPr>
        <w:t>GRAPEFRUIT JUICE</w:t>
      </w:r>
    </w:p>
    <w:p>
      <w:pPr>
        <w:pStyle w:val="BodyText"/>
        <w:spacing w:line="242" w:lineRule="auto"/>
        <w:ind w:left="286" w:right="-3" w:hanging="100"/>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13"/>
          <w:w w:val="95"/>
          <w:sz w:val="10"/>
        </w:rPr>
        <w:t> </w:t>
      </w:r>
      <w:r>
        <w:rPr>
          <w:rFonts w:ascii="Calibri" w:hAnsi="Calibri"/>
          <w:color w:val="231F1F"/>
          <w:w w:val="110"/>
        </w:rPr>
        <w:t>Hormone</w:t>
      </w:r>
      <w:r>
        <w:rPr>
          <w:rFonts w:ascii="Calibri" w:hAnsi="Calibri"/>
          <w:color w:val="231F1F"/>
          <w:spacing w:val="-4"/>
          <w:w w:val="110"/>
        </w:rPr>
        <w:t> </w:t>
      </w:r>
      <w:r>
        <w:rPr>
          <w:rFonts w:ascii="Calibri" w:hAnsi="Calibri"/>
          <w:color w:val="231F1F"/>
          <w:w w:val="110"/>
        </w:rPr>
        <w:t>Antagonists:</w:t>
      </w:r>
      <w:r>
        <w:rPr>
          <w:rFonts w:ascii="Calibri" w:hAnsi="Calibri"/>
          <w:color w:val="231F1F"/>
          <w:spacing w:val="-6"/>
          <w:w w:val="110"/>
        </w:rPr>
        <w:t> </w:t>
      </w:r>
      <w:r>
        <w:rPr>
          <w:color w:val="231F1F"/>
          <w:w w:val="110"/>
        </w:rPr>
        <w:t>diltiazem</w:t>
      </w:r>
      <w:r>
        <w:rPr>
          <w:color w:val="231F1F"/>
          <w:spacing w:val="-8"/>
          <w:w w:val="110"/>
        </w:rPr>
        <w:t> </w:t>
      </w:r>
      <w:r>
        <w:rPr>
          <w:color w:val="231F1F"/>
          <w:w w:val="110"/>
        </w:rPr>
        <w:t>and</w:t>
      </w:r>
      <w:r>
        <w:rPr>
          <w:color w:val="231F1F"/>
          <w:spacing w:val="-8"/>
          <w:w w:val="110"/>
        </w:rPr>
        <w:t> </w:t>
      </w:r>
      <w:r>
        <w:rPr>
          <w:color w:val="231F1F"/>
          <w:w w:val="110"/>
        </w:rPr>
        <w:t>verapamil</w:t>
      </w:r>
      <w:r>
        <w:rPr>
          <w:color w:val="231F1F"/>
          <w:spacing w:val="-8"/>
          <w:w w:val="110"/>
        </w:rPr>
        <w:t> </w:t>
      </w:r>
      <w:r>
        <w:rPr>
          <w:color w:val="231F1F"/>
          <w:w w:val="110"/>
        </w:rPr>
        <w:t>increase</w:t>
      </w:r>
      <w:r>
        <w:rPr>
          <w:color w:val="231F1F"/>
          <w:spacing w:val="-9"/>
          <w:w w:val="110"/>
        </w:rPr>
        <w:t> </w:t>
      </w:r>
      <w:r>
        <w:rPr>
          <w:color w:val="231F1F"/>
          <w:spacing w:val="-3"/>
          <w:w w:val="110"/>
        </w:rPr>
        <w:t>plasma </w:t>
      </w:r>
      <w:r>
        <w:rPr>
          <w:color w:val="231F1F"/>
          <w:w w:val="110"/>
        </w:rPr>
        <w:t>concentration of </w:t>
      </w:r>
      <w:r>
        <w:rPr>
          <w:rFonts w:ascii="Calibri" w:hAnsi="Calibri"/>
          <w:color w:val="008356"/>
          <w:spacing w:val="4"/>
          <w:w w:val="110"/>
          <w:sz w:val="11"/>
        </w:rPr>
        <w:t>DUTASTERIDE</w:t>
      </w:r>
      <w:r>
        <w:rPr>
          <w:color w:val="231F1F"/>
          <w:spacing w:val="4"/>
          <w:w w:val="110"/>
        </w:rPr>
        <w:t>; </w:t>
      </w:r>
      <w:r>
        <w:rPr>
          <w:color w:val="231F1F"/>
          <w:w w:val="110"/>
        </w:rPr>
        <w:t>possible increased risk of bradycardia when diltiazem or verapamil given with </w:t>
      </w:r>
      <w:r>
        <w:rPr>
          <w:rFonts w:ascii="Calibri" w:hAnsi="Calibri"/>
          <w:color w:val="008356"/>
          <w:spacing w:val="4"/>
          <w:w w:val="110"/>
          <w:sz w:val="11"/>
        </w:rPr>
        <w:t>PASIREOTIDE</w:t>
      </w:r>
    </w:p>
    <w:p>
      <w:pPr>
        <w:pStyle w:val="BodyText"/>
        <w:spacing w:line="237" w:lineRule="auto"/>
        <w:ind w:left="286" w:right="292" w:hanging="100"/>
      </w:pPr>
      <w:r>
        <w:rPr>
          <w:rFonts w:ascii="Arial" w:hAnsi="Arial"/>
          <w:color w:val="231F1F"/>
          <w:w w:val="355"/>
          <w:position w:val="1"/>
          <w:sz w:val="7"/>
        </w:rPr>
        <w:t>l </w:t>
      </w:r>
      <w:r>
        <w:rPr>
          <w:rFonts w:ascii="Calibri" w:hAnsi="Calibri"/>
          <w:color w:val="231F1F"/>
          <w:w w:val="115"/>
        </w:rPr>
        <w:t>Ivabradine: </w:t>
      </w:r>
      <w:r>
        <w:rPr>
          <w:color w:val="231F1F"/>
          <w:w w:val="115"/>
        </w:rPr>
        <w:t>diltiazem and verapamil increase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IVABRADINE</w:t>
      </w:r>
      <w:r>
        <w:rPr>
          <w:rFonts w:ascii="Arial" w:hAnsi="Arial"/>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ind w:left="286" w:hanging="100"/>
      </w:pPr>
      <w:r>
        <w:rPr>
          <w:rFonts w:ascii="Arial"/>
          <w:color w:val="231F1F"/>
          <w:w w:val="355"/>
          <w:position w:val="1"/>
          <w:sz w:val="7"/>
        </w:rPr>
        <w:t>l </w:t>
      </w:r>
      <w:r>
        <w:rPr>
          <w:rFonts w:ascii="Calibri"/>
          <w:color w:val="231F1F"/>
          <w:w w:val="110"/>
        </w:rPr>
        <w:t>Lenalidomide: </w:t>
      </w:r>
      <w:r>
        <w:rPr>
          <w:color w:val="231F1F"/>
          <w:w w:val="110"/>
        </w:rPr>
        <w:t>verapamil possibly increases plasma concentration of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LENALIDOMIDE </w:t>
      </w:r>
      <w:r>
        <w:rPr>
          <w:color w:val="231F1F"/>
          <w:w w:val="110"/>
        </w:rPr>
        <w:t>(increased risk of toxicity)</w:t>
      </w:r>
    </w:p>
    <w:p>
      <w:pPr>
        <w:pStyle w:val="BodyText"/>
        <w:spacing w:before="7"/>
        <w:ind w:left="0"/>
        <w:rPr>
          <w:sz w:val="14"/>
        </w:rPr>
      </w:pPr>
      <w:r>
        <w:rPr/>
        <w:br w:type="column"/>
      </w:r>
      <w:r>
        <w:rPr>
          <w:sz w:val="14"/>
        </w:rPr>
      </w:r>
    </w:p>
    <w:p>
      <w:pPr>
        <w:pStyle w:val="BodyText"/>
        <w:spacing w:line="144" w:lineRule="exact"/>
        <w:ind w:left="179"/>
        <w:rPr>
          <w:rFonts w:ascii="Calibri"/>
        </w:rPr>
      </w:pPr>
      <w:r>
        <w:rPr>
          <w:rFonts w:ascii="Arial"/>
          <w:color w:val="008356"/>
        </w:rPr>
        <w:t>Calcium-channel Blockers </w:t>
      </w:r>
      <w:r>
        <w:rPr>
          <w:rFonts w:ascii="Calibri"/>
          <w:color w:val="231F1F"/>
        </w:rPr>
        <w:t>(continued)</w:t>
      </w:r>
    </w:p>
    <w:p>
      <w:pPr>
        <w:pStyle w:val="BodyText"/>
        <w:spacing w:line="244" w:lineRule="auto"/>
        <w:ind w:left="279" w:right="634"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diltiazem increases plasma concentration of </w:t>
      </w:r>
      <w:r>
        <w:rPr>
          <w:rFonts w:ascii="Calibri" w:hAnsi="Calibri"/>
          <w:color w:val="008356"/>
          <w:w w:val="115"/>
          <w:sz w:val="11"/>
        </w:rPr>
        <w:t>ATORVASTATIN</w:t>
      </w:r>
      <w:r>
        <w:rPr>
          <w:rFonts w:ascii="Arial" w:hAnsi="Arial"/>
          <w:color w:val="231F1F"/>
          <w:w w:val="115"/>
        </w:rPr>
        <w:t>—</w:t>
      </w:r>
      <w:r>
        <w:rPr>
          <w:color w:val="231F1F"/>
          <w:w w:val="115"/>
        </w:rPr>
        <w:t>possible increased risk of myopathy; plasma concentration of verapamil increased by</w:t>
      </w:r>
      <w:r>
        <w:rPr>
          <w:color w:val="231F1F"/>
          <w:w w:val="115"/>
          <w:position w:val="1"/>
        </w:rPr>
        <w:t> </w:t>
      </w:r>
      <w:r>
        <w:rPr>
          <w:rFonts w:ascii="Arial" w:hAnsi="Arial"/>
          <w:color w:val="231F1F"/>
          <w:w w:val="355"/>
          <w:position w:val="1"/>
          <w:sz w:val="7"/>
        </w:rPr>
        <w:t>l </w:t>
      </w:r>
      <w:r>
        <w:rPr>
          <w:rFonts w:ascii="Calibri" w:hAnsi="Calibri"/>
          <w:color w:val="008356"/>
          <w:spacing w:val="2"/>
          <w:w w:val="115"/>
          <w:sz w:val="11"/>
        </w:rPr>
        <w:t>ATORVASTATIN</w:t>
      </w:r>
      <w:r>
        <w:rPr>
          <w:color w:val="231F1F"/>
          <w:spacing w:val="2"/>
          <w:w w:val="115"/>
        </w:rPr>
        <w:t>, </w:t>
      </w:r>
      <w:r>
        <w:rPr>
          <w:color w:val="231F1F"/>
          <w:w w:val="115"/>
        </w:rPr>
        <w:t>also possible increased risk of myopathy (consider reducing dose of atorvastatin); possible increased risk</w:t>
      </w:r>
      <w:r>
        <w:rPr>
          <w:color w:val="231F1F"/>
          <w:spacing w:val="-8"/>
          <w:w w:val="115"/>
        </w:rPr>
        <w:t> </w:t>
      </w:r>
      <w:r>
        <w:rPr>
          <w:color w:val="231F1F"/>
          <w:w w:val="115"/>
        </w:rPr>
        <w:t>of</w:t>
      </w:r>
      <w:r>
        <w:rPr>
          <w:color w:val="231F1F"/>
          <w:spacing w:val="-8"/>
          <w:w w:val="115"/>
        </w:rPr>
        <w:t> </w:t>
      </w:r>
      <w:r>
        <w:rPr>
          <w:color w:val="231F1F"/>
          <w:w w:val="115"/>
        </w:rPr>
        <w:t>myopathy</w:t>
      </w:r>
      <w:r>
        <w:rPr>
          <w:color w:val="231F1F"/>
          <w:spacing w:val="-8"/>
          <w:w w:val="115"/>
        </w:rPr>
        <w:t> </w:t>
      </w:r>
      <w:r>
        <w:rPr>
          <w:color w:val="231F1F"/>
          <w:w w:val="115"/>
        </w:rPr>
        <w:t>when</w:t>
      </w:r>
      <w:r>
        <w:rPr>
          <w:color w:val="231F1F"/>
          <w:spacing w:val="-9"/>
          <w:w w:val="115"/>
        </w:rPr>
        <w:t> </w:t>
      </w:r>
      <w:r>
        <w:rPr>
          <w:color w:val="231F1F"/>
          <w:w w:val="115"/>
        </w:rPr>
        <w:t>amlodipine</w:t>
      </w:r>
      <w:r>
        <w:rPr>
          <w:color w:val="231F1F"/>
          <w:spacing w:val="-8"/>
          <w:w w:val="115"/>
        </w:rPr>
        <w:t> </w:t>
      </w:r>
      <w:r>
        <w:rPr>
          <w:color w:val="231F1F"/>
          <w:w w:val="115"/>
        </w:rPr>
        <w:t>and</w:t>
      </w:r>
      <w:r>
        <w:rPr>
          <w:color w:val="231F1F"/>
          <w:spacing w:val="-8"/>
          <w:w w:val="115"/>
        </w:rPr>
        <w:t> </w:t>
      </w:r>
      <w:r>
        <w:rPr>
          <w:color w:val="231F1F"/>
          <w:w w:val="115"/>
        </w:rPr>
        <w:t>diltiazem</w:t>
      </w:r>
      <w:r>
        <w:rPr>
          <w:color w:val="231F1F"/>
          <w:spacing w:val="-9"/>
          <w:w w:val="115"/>
        </w:rPr>
        <w:t> </w:t>
      </w:r>
      <w:r>
        <w:rPr>
          <w:color w:val="231F1F"/>
          <w:w w:val="115"/>
        </w:rPr>
        <w:t>given</w:t>
      </w:r>
      <w:r>
        <w:rPr>
          <w:color w:val="231F1F"/>
          <w:spacing w:val="-8"/>
          <w:w w:val="115"/>
        </w:rPr>
        <w:t> </w:t>
      </w:r>
      <w:r>
        <w:rPr>
          <w:color w:val="231F1F"/>
          <w:w w:val="115"/>
        </w:rPr>
        <w:t>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SIMVASTATIN</w:t>
      </w:r>
      <w:r>
        <w:rPr>
          <w:rFonts w:ascii="Calibri" w:hAnsi="Calibri"/>
          <w:color w:val="008356"/>
          <w:spacing w:val="-8"/>
          <w:w w:val="115"/>
          <w:sz w:val="11"/>
        </w:rPr>
        <w:t> </w:t>
      </w:r>
      <w:r>
        <w:rPr>
          <w:color w:val="231F1F"/>
          <w:w w:val="115"/>
        </w:rPr>
        <w:t>(see</w:t>
      </w:r>
      <w:r>
        <w:rPr>
          <w:color w:val="231F1F"/>
          <w:spacing w:val="-17"/>
          <w:w w:val="115"/>
        </w:rPr>
        <w:t> </w:t>
      </w:r>
      <w:r>
        <w:rPr>
          <w:color w:val="231F1F"/>
          <w:w w:val="115"/>
        </w:rPr>
        <w:t>under</w:t>
      </w:r>
      <w:r>
        <w:rPr>
          <w:color w:val="231F1F"/>
          <w:spacing w:val="-17"/>
          <w:w w:val="115"/>
        </w:rPr>
        <w:t> </w:t>
      </w:r>
      <w:r>
        <w:rPr>
          <w:color w:val="231F1F"/>
          <w:w w:val="115"/>
        </w:rPr>
        <w:t>Simvastatin,</w:t>
      </w:r>
      <w:r>
        <w:rPr>
          <w:color w:val="231F1F"/>
          <w:spacing w:val="1"/>
          <w:w w:val="115"/>
        </w:rPr>
        <w:t> </w:t>
      </w:r>
      <w:r>
        <w:rPr>
          <w:color w:val="231F1F"/>
          <w:w w:val="115"/>
        </w:rPr>
        <w:t>p.</w:t>
      </w:r>
      <w:r>
        <w:rPr>
          <w:color w:val="231F1F"/>
          <w:spacing w:val="-17"/>
          <w:w w:val="115"/>
        </w:rPr>
        <w:t> </w:t>
      </w:r>
      <w:r>
        <w:rPr>
          <w:color w:val="231F1F"/>
          <w:w w:val="115"/>
        </w:rPr>
        <w:t>181);</w:t>
      </w:r>
      <w:r>
        <w:rPr>
          <w:color w:val="231F1F"/>
          <w:spacing w:val="-17"/>
          <w:w w:val="115"/>
        </w:rPr>
        <w:t> </w:t>
      </w:r>
      <w:r>
        <w:rPr>
          <w:color w:val="231F1F"/>
          <w:w w:val="115"/>
        </w:rPr>
        <w:t>increased</w:t>
      </w:r>
      <w:r>
        <w:rPr>
          <w:color w:val="231F1F"/>
          <w:spacing w:val="-17"/>
          <w:w w:val="115"/>
        </w:rPr>
        <w:t> </w:t>
      </w:r>
      <w:r>
        <w:rPr>
          <w:color w:val="231F1F"/>
          <w:spacing w:val="-3"/>
          <w:w w:val="115"/>
        </w:rPr>
        <w:t>risk </w:t>
      </w:r>
      <w:r>
        <w:rPr>
          <w:color w:val="231F1F"/>
          <w:w w:val="115"/>
        </w:rPr>
        <w:t>of</w:t>
      </w:r>
      <w:r>
        <w:rPr>
          <w:color w:val="231F1F"/>
          <w:spacing w:val="-16"/>
          <w:w w:val="115"/>
        </w:rPr>
        <w:t> </w:t>
      </w:r>
      <w:r>
        <w:rPr>
          <w:color w:val="231F1F"/>
          <w:w w:val="115"/>
        </w:rPr>
        <w:t>myopathy</w:t>
      </w:r>
      <w:r>
        <w:rPr>
          <w:color w:val="231F1F"/>
          <w:spacing w:val="-17"/>
          <w:w w:val="115"/>
        </w:rPr>
        <w:t> </w:t>
      </w:r>
      <w:r>
        <w:rPr>
          <w:color w:val="231F1F"/>
          <w:w w:val="115"/>
        </w:rPr>
        <w:t>when</w:t>
      </w:r>
      <w:r>
        <w:rPr>
          <w:color w:val="231F1F"/>
          <w:spacing w:val="-16"/>
          <w:w w:val="115"/>
        </w:rPr>
        <w:t> </w:t>
      </w:r>
      <w:r>
        <w:rPr>
          <w:color w:val="231F1F"/>
          <w:w w:val="115"/>
        </w:rPr>
        <w:t>verapamil</w:t>
      </w:r>
      <w:r>
        <w:rPr>
          <w:color w:val="231F1F"/>
          <w:spacing w:val="-17"/>
          <w:w w:val="115"/>
        </w:rPr>
        <w:t> </w:t>
      </w:r>
      <w:r>
        <w:rPr>
          <w:color w:val="231F1F"/>
          <w:w w:val="115"/>
        </w:rPr>
        <w:t>given</w:t>
      </w:r>
      <w:r>
        <w:rPr>
          <w:color w:val="231F1F"/>
          <w:spacing w:val="-16"/>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3"/>
          <w:w w:val="115"/>
          <w:sz w:val="11"/>
        </w:rPr>
        <w:t>SIMVASTATIN</w:t>
      </w:r>
      <w:r>
        <w:rPr>
          <w:rFonts w:ascii="Calibri" w:hAnsi="Calibri"/>
          <w:color w:val="008356"/>
          <w:spacing w:val="-6"/>
          <w:w w:val="115"/>
          <w:sz w:val="11"/>
        </w:rPr>
        <w:t> </w:t>
      </w:r>
      <w:r>
        <w:rPr>
          <w:color w:val="231F1F"/>
          <w:w w:val="115"/>
        </w:rPr>
        <w:t>(see under Simvastatin, p. 181); separating administration from amlodipine and lacidipine by 12 hours advised by manufacturer of </w:t>
      </w:r>
      <w:r>
        <w:rPr>
          <w:rFonts w:ascii="Calibri" w:hAnsi="Calibri"/>
          <w:color w:val="008356"/>
          <w:spacing w:val="4"/>
          <w:w w:val="115"/>
          <w:sz w:val="11"/>
        </w:rPr>
        <w:t>LOMITAPIDE</w:t>
      </w:r>
      <w:r>
        <w:rPr>
          <w:color w:val="231F1F"/>
          <w:spacing w:val="4"/>
          <w:w w:val="115"/>
        </w:rPr>
        <w:t>; </w:t>
      </w:r>
      <w:r>
        <w:rPr>
          <w:color w:val="231F1F"/>
          <w:w w:val="115"/>
        </w:rPr>
        <w:t>avoidance of diltiazem and verapamil</w:t>
      </w:r>
      <w:r>
        <w:rPr>
          <w:color w:val="231F1F"/>
          <w:spacing w:val="-17"/>
          <w:w w:val="115"/>
        </w:rPr>
        <w:t> </w:t>
      </w:r>
      <w:r>
        <w:rPr>
          <w:color w:val="231F1F"/>
          <w:w w:val="115"/>
        </w:rPr>
        <w:t>advised</w:t>
      </w:r>
      <w:r>
        <w:rPr>
          <w:color w:val="231F1F"/>
          <w:spacing w:val="-17"/>
          <w:w w:val="115"/>
        </w:rPr>
        <w:t> </w:t>
      </w:r>
      <w:r>
        <w:rPr>
          <w:color w:val="231F1F"/>
          <w:w w:val="115"/>
        </w:rPr>
        <w:t>by</w:t>
      </w:r>
      <w:r>
        <w:rPr>
          <w:color w:val="231F1F"/>
          <w:spacing w:val="-16"/>
          <w:w w:val="115"/>
        </w:rPr>
        <w:t> </w:t>
      </w:r>
      <w:r>
        <w:rPr>
          <w:color w:val="231F1F"/>
          <w:w w:val="115"/>
        </w:rPr>
        <w:t>manufacturer</w:t>
      </w:r>
      <w:r>
        <w:rPr>
          <w:color w:val="231F1F"/>
          <w:spacing w:val="-17"/>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LOMITAPIDE</w:t>
      </w:r>
      <w:r>
        <w:rPr>
          <w:rFonts w:ascii="Calibri" w:hAnsi="Calibri"/>
          <w:color w:val="008356"/>
          <w:spacing w:val="-7"/>
          <w:w w:val="115"/>
          <w:sz w:val="11"/>
        </w:rPr>
        <w:t> </w:t>
      </w:r>
      <w:r>
        <w:rPr>
          <w:color w:val="231F1F"/>
          <w:w w:val="115"/>
        </w:rPr>
        <w:t>(plasma concentration of lomitapide possibly</w:t>
      </w:r>
      <w:r>
        <w:rPr>
          <w:color w:val="231F1F"/>
          <w:spacing w:val="-16"/>
          <w:w w:val="115"/>
        </w:rPr>
        <w:t> </w:t>
      </w:r>
      <w:r>
        <w:rPr>
          <w:color w:val="231F1F"/>
          <w:w w:val="115"/>
        </w:rPr>
        <w:t>increased)</w:t>
      </w:r>
    </w:p>
    <w:p>
      <w:pPr>
        <w:pStyle w:val="BodyText"/>
        <w:spacing w:line="230" w:lineRule="auto" w:before="4"/>
        <w:ind w:left="279" w:right="594" w:hanging="100"/>
      </w:pPr>
      <w:r>
        <w:rPr>
          <w:rFonts w:ascii="Lucida Sans Unicode" w:hAnsi="Lucida Sans Unicode"/>
          <w:color w:val="A7A8AC"/>
          <w:w w:val="95"/>
          <w:sz w:val="10"/>
        </w:rPr>
        <w:t>▶ </w:t>
      </w:r>
      <w:r>
        <w:rPr>
          <w:rFonts w:ascii="Calibri" w:hAnsi="Calibri"/>
          <w:color w:val="231F1F"/>
          <w:w w:val="110"/>
        </w:rPr>
        <w:t>Lithium: </w:t>
      </w:r>
      <w:r>
        <w:rPr>
          <w:color w:val="231F1F"/>
          <w:w w:val="110"/>
        </w:rPr>
        <w:t>neurotoxicity may occur when diltiazem or verapamil given with </w:t>
      </w:r>
      <w:r>
        <w:rPr>
          <w:rFonts w:ascii="Calibri" w:hAnsi="Calibri"/>
          <w:color w:val="008356"/>
          <w:spacing w:val="4"/>
          <w:w w:val="110"/>
          <w:sz w:val="11"/>
        </w:rPr>
        <w:t>LITHIUM </w:t>
      </w:r>
      <w:r>
        <w:rPr>
          <w:color w:val="231F1F"/>
          <w:w w:val="110"/>
        </w:rPr>
        <w:t>without  increased plasma  concentration of</w:t>
      </w:r>
      <w:r>
        <w:rPr>
          <w:color w:val="231F1F"/>
          <w:spacing w:val="-1"/>
          <w:w w:val="110"/>
        </w:rPr>
        <w:t> </w:t>
      </w:r>
      <w:r>
        <w:rPr>
          <w:color w:val="231F1F"/>
          <w:w w:val="110"/>
        </w:rPr>
        <w:t>lithium</w:t>
      </w:r>
    </w:p>
    <w:p>
      <w:pPr>
        <w:pStyle w:val="BodyText"/>
        <w:spacing w:before="4"/>
        <w:ind w:left="279" w:right="687" w:hanging="100"/>
        <w:jc w:val="both"/>
      </w:pPr>
      <w:r>
        <w:rPr>
          <w:rFonts w:ascii="Arial"/>
          <w:color w:val="231F1F"/>
          <w:w w:val="355"/>
          <w:position w:val="1"/>
          <w:sz w:val="7"/>
        </w:rPr>
        <w:t>l </w:t>
      </w:r>
      <w:r>
        <w:rPr>
          <w:rFonts w:ascii="Calibri"/>
          <w:color w:val="231F1F"/>
          <w:w w:val="105"/>
        </w:rPr>
        <w:t>Magnesium (parenteral): </w:t>
      </w:r>
      <w:r>
        <w:rPr>
          <w:color w:val="231F1F"/>
          <w:w w:val="105"/>
        </w:rPr>
        <w:t>profound hypotension reported with concomitant use of nifedipine and </w:t>
      </w:r>
      <w:r>
        <w:rPr>
          <w:rFonts w:ascii="Arial"/>
          <w:color w:val="231F1F"/>
          <w:w w:val="355"/>
          <w:position w:val="1"/>
          <w:sz w:val="7"/>
        </w:rPr>
        <w:t>l </w:t>
      </w:r>
      <w:r>
        <w:rPr>
          <w:rFonts w:ascii="Calibri"/>
          <w:color w:val="008356"/>
          <w:w w:val="105"/>
          <w:sz w:val="11"/>
        </w:rPr>
        <w:t>PARENTERAL MAGNESIUM </w:t>
      </w:r>
      <w:r>
        <w:rPr>
          <w:color w:val="231F1F"/>
          <w:w w:val="105"/>
        </w:rPr>
        <w:t>in pre-eclampsia</w:t>
      </w:r>
    </w:p>
    <w:p>
      <w:pPr>
        <w:pStyle w:val="BodyText"/>
        <w:spacing w:line="220" w:lineRule="auto" w:before="11"/>
        <w:ind w:left="279" w:right="886"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calcium- channel blockers given with </w:t>
      </w:r>
      <w:r>
        <w:rPr>
          <w:rFonts w:ascii="Calibri" w:hAnsi="Calibri"/>
          <w:color w:val="008356"/>
          <w:w w:val="110"/>
          <w:sz w:val="11"/>
        </w:rPr>
        <w:t>METHYLDOPA</w:t>
      </w:r>
    </w:p>
    <w:p>
      <w:pPr>
        <w:pStyle w:val="BodyText"/>
        <w:spacing w:line="220" w:lineRule="auto" w:before="8"/>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10"/>
        </w:rPr>
        <w:t>Moxisylyte: </w:t>
      </w:r>
      <w:r>
        <w:rPr>
          <w:color w:val="231F1F"/>
          <w:w w:val="110"/>
        </w:rPr>
        <w:t>enhanced hypotensive effect when calcium- channel blockers given with</w:t>
      </w:r>
      <w:r>
        <w:rPr>
          <w:color w:val="231F1F"/>
          <w:spacing w:val="-10"/>
          <w:w w:val="110"/>
        </w:rPr>
        <w:t> </w:t>
      </w:r>
      <w:r>
        <w:rPr>
          <w:rFonts w:ascii="Calibri" w:hAnsi="Calibri"/>
          <w:color w:val="008356"/>
          <w:spacing w:val="3"/>
          <w:w w:val="110"/>
          <w:sz w:val="11"/>
        </w:rPr>
        <w:t>MOXISYLYTE</w:t>
      </w:r>
    </w:p>
    <w:p>
      <w:pPr>
        <w:pStyle w:val="BodyText"/>
        <w:spacing w:line="220" w:lineRule="auto" w:before="8"/>
        <w:ind w:left="279" w:right="73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calcium- channel blockers given with</w:t>
      </w:r>
      <w:r>
        <w:rPr>
          <w:color w:val="231F1F"/>
          <w:spacing w:val="2"/>
          <w:w w:val="105"/>
        </w:rPr>
        <w:t> </w:t>
      </w:r>
      <w:r>
        <w:rPr>
          <w:rFonts w:ascii="Calibri" w:hAnsi="Calibri"/>
          <w:color w:val="008356"/>
          <w:spacing w:val="4"/>
          <w:w w:val="105"/>
          <w:sz w:val="11"/>
        </w:rPr>
        <w:t>MOXONIDINE</w:t>
      </w:r>
    </w:p>
    <w:p>
      <w:pPr>
        <w:spacing w:line="220" w:lineRule="auto" w:before="10"/>
        <w:ind w:left="279" w:right="730" w:hanging="100"/>
        <w:jc w:val="left"/>
        <w:rPr>
          <w:sz w:val="12"/>
        </w:rPr>
      </w:pPr>
      <w:r>
        <w:rPr>
          <w:rFonts w:ascii="Lucida Sans Unicode" w:hAnsi="Lucida Sans Unicode"/>
          <w:color w:val="A7A8AC"/>
          <w:w w:val="95"/>
          <w:sz w:val="10"/>
        </w:rPr>
        <w:t>▶ </w:t>
      </w:r>
      <w:r>
        <w:rPr>
          <w:rFonts w:ascii="Calibri" w:hAnsi="Calibri"/>
          <w:color w:val="231F1F"/>
          <w:sz w:val="12"/>
        </w:rPr>
        <w:t>Muscle Relaxants: </w:t>
      </w:r>
      <w:r>
        <w:rPr>
          <w:color w:val="231F1F"/>
          <w:sz w:val="12"/>
        </w:rPr>
        <w:t>verapamil enhances effects of </w:t>
      </w:r>
      <w:r>
        <w:rPr>
          <w:rFonts w:ascii="Calibri" w:hAnsi="Calibri"/>
          <w:color w:val="008356"/>
          <w:sz w:val="11"/>
        </w:rPr>
        <w:t>NON- DEPOLARISING MUSCLE RELAXANTS </w:t>
      </w:r>
      <w:r>
        <w:rPr>
          <w:color w:val="231F1F"/>
          <w:sz w:val="12"/>
        </w:rPr>
        <w:t>and </w:t>
      </w:r>
      <w:r>
        <w:rPr>
          <w:rFonts w:ascii="Calibri" w:hAnsi="Calibri"/>
          <w:color w:val="008356"/>
          <w:sz w:val="11"/>
        </w:rPr>
        <w:t>SUXAMETHONIUM</w:t>
      </w:r>
      <w:r>
        <w:rPr>
          <w:color w:val="231F1F"/>
          <w:sz w:val="12"/>
        </w:rPr>
        <w:t>;</w:t>
      </w:r>
    </w:p>
    <w:p>
      <w:pPr>
        <w:spacing w:line="247" w:lineRule="auto" w:before="4"/>
        <w:ind w:left="279" w:right="594" w:firstLine="0"/>
        <w:jc w:val="left"/>
        <w:rPr>
          <w:rFonts w:ascii="Calibri" w:hAnsi="Calibri"/>
          <w:sz w:val="11"/>
        </w:rPr>
      </w:pPr>
      <w:r>
        <w:rPr>
          <w:color w:val="231F1F"/>
          <w:w w:val="110"/>
          <w:sz w:val="12"/>
        </w:rPr>
        <w:t>enhanced hypotensive effect when calcium-channel blockers given with </w:t>
      </w:r>
      <w:r>
        <w:rPr>
          <w:rFonts w:ascii="Calibri" w:hAnsi="Calibri"/>
          <w:color w:val="008356"/>
          <w:w w:val="110"/>
          <w:sz w:val="11"/>
        </w:rPr>
        <w:t>BACLOFEN </w:t>
      </w:r>
      <w:r>
        <w:rPr>
          <w:color w:val="231F1F"/>
          <w:w w:val="110"/>
          <w:sz w:val="12"/>
        </w:rPr>
        <w:t>or </w:t>
      </w:r>
      <w:r>
        <w:rPr>
          <w:rFonts w:ascii="Calibri" w:hAnsi="Calibri"/>
          <w:color w:val="008356"/>
          <w:w w:val="110"/>
          <w:sz w:val="11"/>
        </w:rPr>
        <w:t>TIZANIDINE</w:t>
      </w:r>
      <w:r>
        <w:rPr>
          <w:color w:val="231F1F"/>
          <w:w w:val="110"/>
          <w:sz w:val="12"/>
        </w:rPr>
        <w:t>; manufacturer of verapamil advises avoid concomitant use of </w:t>
      </w:r>
      <w:r>
        <w:rPr>
          <w:i/>
          <w:color w:val="231F1F"/>
          <w:w w:val="110"/>
          <w:sz w:val="12"/>
        </w:rPr>
        <w:t>intravenous </w:t>
      </w:r>
      <w:r>
        <w:rPr>
          <w:rFonts w:ascii="Calibri" w:hAnsi="Calibri"/>
          <w:color w:val="008356"/>
          <w:w w:val="110"/>
          <w:sz w:val="11"/>
        </w:rPr>
        <w:t>DANTROLENE</w:t>
      </w:r>
      <w:r>
        <w:rPr>
          <w:color w:val="231F1F"/>
          <w:w w:val="110"/>
          <w:sz w:val="12"/>
        </w:rPr>
        <w:t>; possible increased risk of ventricular arrhythmias when diltiazem given with </w:t>
      </w:r>
      <w:r>
        <w:rPr>
          <w:i/>
          <w:color w:val="231F1F"/>
          <w:w w:val="110"/>
          <w:sz w:val="12"/>
        </w:rPr>
        <w:t>intravenous </w:t>
      </w:r>
      <w:r>
        <w:rPr>
          <w:rFonts w:ascii="Calibri" w:hAnsi="Calibri"/>
          <w:color w:val="008356"/>
          <w:w w:val="110"/>
          <w:sz w:val="11"/>
        </w:rPr>
        <w:t>DANTROLENE</w:t>
      </w:r>
      <w:r>
        <w:rPr>
          <w:rFonts w:ascii="Arial" w:hAnsi="Arial"/>
          <w:color w:val="231F1F"/>
          <w:w w:val="110"/>
          <w:sz w:val="12"/>
        </w:rPr>
        <w:t>—</w:t>
      </w:r>
      <w:r>
        <w:rPr>
          <w:color w:val="231F1F"/>
          <w:w w:val="110"/>
          <w:sz w:val="12"/>
        </w:rPr>
        <w:t>manufacturer of diltiazem advises avoid concomitant use; calcium-channel blockers possibly enhance effects of </w:t>
      </w:r>
      <w:r>
        <w:rPr>
          <w:rFonts w:ascii="Calibri" w:hAnsi="Calibri"/>
          <w:color w:val="008356"/>
          <w:w w:val="110"/>
          <w:sz w:val="11"/>
        </w:rPr>
        <w:t>NON-DEPOLARISING MUSCLE RELAXANTS</w:t>
      </w:r>
    </w:p>
    <w:p>
      <w:pPr>
        <w:pStyle w:val="BodyText"/>
        <w:spacing w:line="220" w:lineRule="auto"/>
        <w:ind w:left="279" w:right="65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calcium-channel blockers given with </w:t>
      </w:r>
      <w:r>
        <w:rPr>
          <w:rFonts w:ascii="Calibri" w:hAnsi="Calibri"/>
          <w:color w:val="008356"/>
          <w:w w:val="110"/>
          <w:sz w:val="11"/>
        </w:rPr>
        <w:t>NITRATES</w:t>
      </w:r>
    </w:p>
    <w:p>
      <w:pPr>
        <w:pStyle w:val="BodyText"/>
        <w:spacing w:line="220" w:lineRule="auto" w:before="7"/>
        <w:ind w:left="279" w:right="75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calcium-channel blockers antagonised by </w:t>
      </w:r>
      <w:r>
        <w:rPr>
          <w:rFonts w:ascii="Calibri" w:hAnsi="Calibri"/>
          <w:color w:val="008356"/>
          <w:w w:val="105"/>
          <w:sz w:val="11"/>
        </w:rPr>
        <w:t>OESTROGENS</w:t>
      </w:r>
    </w:p>
    <w:p>
      <w:pPr>
        <w:pStyle w:val="BodyText"/>
        <w:spacing w:line="220" w:lineRule="auto" w:before="10"/>
        <w:ind w:left="279" w:right="745"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calcium- channel blockers given with </w:t>
      </w:r>
      <w:r>
        <w:rPr>
          <w:rFonts w:ascii="Calibri" w:hAnsi="Calibri"/>
          <w:color w:val="008356"/>
          <w:w w:val="110"/>
          <w:sz w:val="11"/>
        </w:rPr>
        <w:t>ALPROSTADIL</w:t>
      </w:r>
    </w:p>
    <w:p>
      <w:pPr>
        <w:pStyle w:val="BodyText"/>
        <w:spacing w:line="230" w:lineRule="auto" w:before="3"/>
        <w:ind w:left="279" w:right="664" w:hanging="100"/>
      </w:pPr>
      <w:r>
        <w:rPr>
          <w:rFonts w:ascii="Lucida Sans Unicode" w:hAnsi="Lucida Sans Unicode"/>
          <w:color w:val="A7A8AC"/>
          <w:w w:val="95"/>
          <w:sz w:val="10"/>
        </w:rPr>
        <w:t>▶ </w:t>
      </w:r>
      <w:r>
        <w:rPr>
          <w:rFonts w:ascii="Calibri" w:hAnsi="Calibri"/>
          <w:color w:val="231F1F"/>
          <w:w w:val="110"/>
        </w:rPr>
        <w:t>Ranolazine: </w:t>
      </w:r>
      <w:r>
        <w:rPr>
          <w:color w:val="231F1F"/>
          <w:w w:val="110"/>
        </w:rPr>
        <w:t>diltiazem and verapamil increase plasma concentration of </w:t>
      </w:r>
      <w:r>
        <w:rPr>
          <w:rFonts w:ascii="Calibri" w:hAnsi="Calibri"/>
          <w:color w:val="008356"/>
          <w:w w:val="110"/>
          <w:sz w:val="11"/>
        </w:rPr>
        <w:t>RANOLAZINE </w:t>
      </w:r>
      <w:r>
        <w:rPr>
          <w:color w:val="231F1F"/>
          <w:w w:val="110"/>
        </w:rPr>
        <w:t>(consider reducing dose of ranolazine)</w:t>
      </w:r>
    </w:p>
    <w:p>
      <w:pPr>
        <w:pStyle w:val="BodyText"/>
        <w:spacing w:line="220" w:lineRule="auto" w:before="13"/>
        <w:ind w:left="279" w:right="730" w:hanging="100"/>
        <w:rPr>
          <w:rFonts w:ascii="Calibri" w:hAnsi="Calibri"/>
          <w:sz w:val="11"/>
        </w:rPr>
      </w:pPr>
      <w:r>
        <w:rPr>
          <w:rFonts w:ascii="Lucida Sans Unicode" w:hAnsi="Lucida Sans Unicode"/>
          <w:color w:val="A7A8AC"/>
          <w:w w:val="95"/>
          <w:sz w:val="10"/>
        </w:rPr>
        <w:t>▶ </w:t>
      </w:r>
      <w:r>
        <w:rPr>
          <w:rFonts w:ascii="Calibri" w:hAnsi="Calibri"/>
          <w:color w:val="231F1F"/>
          <w:w w:val="110"/>
        </w:rPr>
        <w:t>Sildenafil: </w:t>
      </w:r>
      <w:r>
        <w:rPr>
          <w:color w:val="231F1F"/>
          <w:w w:val="110"/>
        </w:rPr>
        <w:t>enhanced hypotensive effect when amlodipine given with </w:t>
      </w:r>
      <w:r>
        <w:rPr>
          <w:rFonts w:ascii="Calibri" w:hAnsi="Calibri"/>
          <w:color w:val="008356"/>
          <w:w w:val="110"/>
          <w:sz w:val="11"/>
        </w:rPr>
        <w:t>SILDENAFIL</w:t>
      </w:r>
    </w:p>
    <w:p>
      <w:pPr>
        <w:pStyle w:val="BodyText"/>
        <w:spacing w:line="146" w:lineRule="exact"/>
        <w:ind w:left="179"/>
      </w:pPr>
      <w:r>
        <w:rPr>
          <w:rFonts w:ascii="Arial"/>
          <w:color w:val="231F1F"/>
          <w:w w:val="355"/>
          <w:position w:val="1"/>
          <w:sz w:val="7"/>
        </w:rPr>
        <w:t>l </w:t>
      </w:r>
      <w:r>
        <w:rPr>
          <w:rFonts w:ascii="Calibri"/>
          <w:color w:val="231F1F"/>
          <w:w w:val="120"/>
        </w:rPr>
        <w:t>Sirolimus: </w:t>
      </w:r>
      <w:r>
        <w:rPr>
          <w:color w:val="231F1F"/>
          <w:w w:val="120"/>
        </w:rPr>
        <w:t>diltiazem increases plasma concentration of</w:t>
      </w:r>
    </w:p>
    <w:p>
      <w:pPr>
        <w:pStyle w:val="BodyText"/>
        <w:spacing w:line="242" w:lineRule="auto"/>
        <w:ind w:left="279" w:right="642"/>
        <w:rPr>
          <w:rFonts w:ascii="Calibri"/>
          <w:sz w:val="11"/>
        </w:rPr>
      </w:pPr>
      <w:r>
        <w:rPr>
          <w:rFonts w:ascii="Arial"/>
          <w:color w:val="231F1F"/>
          <w:w w:val="355"/>
          <w:position w:val="1"/>
          <w:sz w:val="7"/>
        </w:rPr>
        <w:t>l </w:t>
      </w:r>
      <w:r>
        <w:rPr>
          <w:rFonts w:ascii="Calibri"/>
          <w:color w:val="008356"/>
          <w:w w:val="110"/>
          <w:sz w:val="11"/>
        </w:rPr>
        <w:t>SIROLIMUS</w:t>
      </w:r>
      <w:r>
        <w:rPr>
          <w:color w:val="231F1F"/>
          <w:w w:val="110"/>
        </w:rPr>
        <w:t>; plasma concentration of both drugs increased when verapamil given with </w:t>
      </w:r>
      <w:r>
        <w:rPr>
          <w:rFonts w:ascii="Arial"/>
          <w:color w:val="231F1F"/>
          <w:w w:val="355"/>
          <w:position w:val="1"/>
          <w:sz w:val="7"/>
        </w:rPr>
        <w:t>l </w:t>
      </w:r>
      <w:r>
        <w:rPr>
          <w:rFonts w:ascii="Calibri"/>
          <w:color w:val="008356"/>
          <w:w w:val="110"/>
          <w:sz w:val="11"/>
        </w:rPr>
        <w:t>SIROLIMUS</w:t>
      </w:r>
      <w:r>
        <w:rPr>
          <w:color w:val="231F1F"/>
          <w:w w:val="110"/>
        </w:rPr>
        <w:t>; nicardipine possibly increases plasma concentration of </w:t>
      </w:r>
      <w:r>
        <w:rPr>
          <w:rFonts w:ascii="Calibri"/>
          <w:color w:val="008356"/>
          <w:w w:val="110"/>
          <w:sz w:val="11"/>
        </w:rPr>
        <w:t>SIROLIMUS</w:t>
      </w:r>
    </w:p>
    <w:p>
      <w:pPr>
        <w:pStyle w:val="BodyText"/>
        <w:spacing w:line="152" w:lineRule="exact"/>
        <w:ind w:left="179"/>
      </w:pPr>
      <w:r>
        <w:rPr>
          <w:rFonts w:ascii="Lucida Sans Unicode" w:hAnsi="Lucida Sans Unicode"/>
          <w:color w:val="A7A8AC"/>
          <w:w w:val="95"/>
          <w:sz w:val="10"/>
        </w:rPr>
        <w:t>▶ </w:t>
      </w:r>
      <w:r>
        <w:rPr>
          <w:rFonts w:ascii="Calibri" w:hAnsi="Calibri"/>
          <w:color w:val="231F1F"/>
          <w:w w:val="105"/>
        </w:rPr>
        <w:t>Sulfinpyrazone: </w:t>
      </w:r>
      <w:r>
        <w:rPr>
          <w:color w:val="231F1F"/>
          <w:w w:val="105"/>
        </w:rPr>
        <w:t>plasma concentration of verapamil reduced by</w:t>
      </w:r>
    </w:p>
    <w:p>
      <w:pPr>
        <w:spacing w:line="131" w:lineRule="exact" w:before="0"/>
        <w:ind w:left="279" w:right="0" w:firstLine="0"/>
        <w:jc w:val="left"/>
        <w:rPr>
          <w:rFonts w:ascii="Calibri"/>
          <w:sz w:val="11"/>
        </w:rPr>
      </w:pPr>
      <w:r>
        <w:rPr>
          <w:rFonts w:ascii="Calibri"/>
          <w:color w:val="008356"/>
          <w:sz w:val="11"/>
        </w:rPr>
        <w:t>SULFINPYRAZONE</w:t>
      </w:r>
    </w:p>
    <w:p>
      <w:pPr>
        <w:pStyle w:val="BodyText"/>
        <w:spacing w:line="247" w:lineRule="auto"/>
        <w:ind w:left="279" w:right="664"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diltiazem, nicardipine and nifedipine increase plasma concentration of </w:t>
      </w:r>
      <w:r>
        <w:rPr>
          <w:rFonts w:ascii="Arial"/>
          <w:color w:val="231F1F"/>
          <w:w w:val="355"/>
          <w:position w:val="1"/>
          <w:sz w:val="7"/>
        </w:rPr>
        <w:t>l </w:t>
      </w:r>
      <w:r>
        <w:rPr>
          <w:rFonts w:ascii="Calibri"/>
          <w:color w:val="008356"/>
          <w:w w:val="110"/>
          <w:sz w:val="11"/>
        </w:rPr>
        <w:t>TACROLIMUS</w:t>
      </w:r>
      <w:r>
        <w:rPr>
          <w:color w:val="231F1F"/>
          <w:w w:val="110"/>
        </w:rPr>
        <w:t>; felodipine and verapamil possibly increase plasma concentration of </w:t>
      </w:r>
      <w:r>
        <w:rPr>
          <w:rFonts w:ascii="Calibri"/>
          <w:color w:val="008356"/>
          <w:w w:val="110"/>
          <w:sz w:val="11"/>
        </w:rPr>
        <w:t>TACROLIMUS</w:t>
      </w:r>
    </w:p>
    <w:p>
      <w:pPr>
        <w:pStyle w:val="BodyText"/>
        <w:spacing w:line="141" w:lineRule="exact"/>
        <w:ind w:left="179"/>
      </w:pPr>
      <w:r>
        <w:rPr>
          <w:rFonts w:ascii="Arial"/>
          <w:color w:val="231F1F"/>
          <w:w w:val="355"/>
          <w:position w:val="1"/>
          <w:sz w:val="7"/>
        </w:rPr>
        <w:t>l </w:t>
      </w:r>
      <w:r>
        <w:rPr>
          <w:rFonts w:ascii="Calibri"/>
          <w:color w:val="231F1F"/>
          <w:w w:val="115"/>
        </w:rPr>
        <w:t>Theophylline: </w:t>
      </w:r>
      <w:r>
        <w:rPr>
          <w:color w:val="231F1F"/>
          <w:w w:val="115"/>
        </w:rPr>
        <w:t>calcium-channel blockers possibly increase</w:t>
      </w:r>
    </w:p>
    <w:p>
      <w:pPr>
        <w:spacing w:line="242" w:lineRule="auto" w:before="0"/>
        <w:ind w:left="279" w:right="664" w:firstLine="0"/>
        <w:jc w:val="left"/>
        <w:rPr>
          <w:sz w:val="12"/>
        </w:rPr>
      </w:pPr>
      <w:r>
        <w:rPr>
          <w:color w:val="231F1F"/>
          <w:w w:val="110"/>
          <w:sz w:val="12"/>
        </w:rPr>
        <w:t>plasma concentration of </w:t>
      </w:r>
      <w:r>
        <w:rPr>
          <w:rFonts w:ascii="Arial"/>
          <w:color w:val="231F1F"/>
          <w:w w:val="355"/>
          <w:position w:val="1"/>
          <w:sz w:val="7"/>
        </w:rPr>
        <w:t>l </w:t>
      </w:r>
      <w:r>
        <w:rPr>
          <w:rFonts w:ascii="Calibri"/>
          <w:color w:val="008356"/>
          <w:w w:val="110"/>
          <w:sz w:val="11"/>
        </w:rPr>
        <w:t>THEOPHYLLINE </w:t>
      </w:r>
      <w:r>
        <w:rPr>
          <w:color w:val="231F1F"/>
          <w:w w:val="110"/>
          <w:sz w:val="12"/>
        </w:rPr>
        <w:t>(enhanced effect); diltiazem increases plasma concentration of </w:t>
      </w:r>
      <w:r>
        <w:rPr>
          <w:rFonts w:ascii="Calibri"/>
          <w:color w:val="008356"/>
          <w:w w:val="110"/>
          <w:sz w:val="11"/>
        </w:rPr>
        <w:t>THEOPHYLLINE</w:t>
      </w:r>
      <w:r>
        <w:rPr>
          <w:color w:val="231F1F"/>
          <w:w w:val="110"/>
          <w:sz w:val="12"/>
        </w:rPr>
        <w:t>; verapamil increases plasma concentration of </w:t>
      </w:r>
      <w:r>
        <w:rPr>
          <w:rFonts w:ascii="Arial"/>
          <w:color w:val="231F1F"/>
          <w:w w:val="355"/>
          <w:position w:val="1"/>
          <w:sz w:val="7"/>
        </w:rPr>
        <w:t>l </w:t>
      </w:r>
      <w:r>
        <w:rPr>
          <w:rFonts w:ascii="Calibri"/>
          <w:color w:val="008356"/>
          <w:w w:val="110"/>
          <w:sz w:val="11"/>
        </w:rPr>
        <w:t>THEOPHYLLINE </w:t>
      </w:r>
      <w:r>
        <w:rPr>
          <w:color w:val="231F1F"/>
          <w:w w:val="110"/>
          <w:sz w:val="12"/>
        </w:rPr>
        <w:t>(enhanced effect)</w:t>
      </w:r>
    </w:p>
    <w:p>
      <w:pPr>
        <w:pStyle w:val="BodyText"/>
        <w:spacing w:line="156" w:lineRule="exact"/>
        <w:ind w:left="179"/>
      </w:pPr>
      <w:r>
        <w:rPr>
          <w:rFonts w:ascii="Lucida Sans Unicode" w:hAnsi="Lucida Sans Unicode"/>
          <w:color w:val="A7A8AC"/>
          <w:w w:val="95"/>
          <w:sz w:val="10"/>
        </w:rPr>
        <w:t>▶ </w:t>
      </w:r>
      <w:r>
        <w:rPr>
          <w:rFonts w:ascii="Calibri" w:hAnsi="Calibri"/>
          <w:color w:val="231F1F"/>
          <w:w w:val="105"/>
        </w:rPr>
        <w:t>Ticagrelor: </w:t>
      </w:r>
      <w:r>
        <w:rPr>
          <w:color w:val="231F1F"/>
          <w:w w:val="105"/>
        </w:rPr>
        <w:t>diltiazem increases plasma concentration of</w:t>
      </w:r>
    </w:p>
    <w:p>
      <w:pPr>
        <w:spacing w:line="130" w:lineRule="exact" w:before="0"/>
        <w:ind w:left="279" w:right="0" w:firstLine="0"/>
        <w:jc w:val="left"/>
        <w:rPr>
          <w:rFonts w:ascii="Calibri"/>
          <w:sz w:val="11"/>
        </w:rPr>
      </w:pPr>
      <w:r>
        <w:rPr>
          <w:rFonts w:ascii="Calibri"/>
          <w:color w:val="008356"/>
          <w:sz w:val="11"/>
        </w:rPr>
        <w:t>TICAGRELOR</w:t>
      </w:r>
    </w:p>
    <w:p>
      <w:pPr>
        <w:pStyle w:val="BodyText"/>
        <w:spacing w:line="237" w:lineRule="auto"/>
        <w:ind w:left="279" w:right="634" w:hanging="100"/>
      </w:pPr>
      <w:r>
        <w:rPr>
          <w:rFonts w:ascii="Lucida Sans Unicode" w:hAnsi="Lucida Sans Unicode"/>
          <w:color w:val="A7A8AC"/>
          <w:w w:val="95"/>
          <w:sz w:val="10"/>
        </w:rPr>
        <w:t>▶ </w:t>
      </w:r>
      <w:r>
        <w:rPr>
          <w:rFonts w:ascii="Calibri" w:hAnsi="Calibri"/>
          <w:color w:val="231F1F"/>
          <w:w w:val="110"/>
        </w:rPr>
        <w:t>Ulcer-healing Drugs: </w:t>
      </w:r>
      <w:r>
        <w:rPr>
          <w:color w:val="231F1F"/>
          <w:w w:val="110"/>
        </w:rPr>
        <w:t>metabolism of calcium-channel blockers possibly inhibited by </w:t>
      </w:r>
      <w:r>
        <w:rPr>
          <w:rFonts w:ascii="Calibri" w:hAnsi="Calibri"/>
          <w:color w:val="008356"/>
          <w:spacing w:val="4"/>
          <w:w w:val="110"/>
          <w:sz w:val="11"/>
        </w:rPr>
        <w:t>CIMETIDINE </w:t>
      </w:r>
      <w:r>
        <w:rPr>
          <w:color w:val="231F1F"/>
          <w:w w:val="110"/>
        </w:rPr>
        <w:t>(increased plasma concentration); plasma concentration of isradipine increased by </w:t>
      </w:r>
      <w:r>
        <w:rPr>
          <w:rFonts w:ascii="Calibri" w:hAnsi="Calibri"/>
          <w:color w:val="008356"/>
          <w:spacing w:val="4"/>
          <w:w w:val="110"/>
          <w:sz w:val="11"/>
        </w:rPr>
        <w:t>CIMETIDINE </w:t>
      </w:r>
      <w:r>
        <w:rPr>
          <w:color w:val="231F1F"/>
          <w:w w:val="110"/>
        </w:rPr>
        <w:t>(halve dose of</w:t>
      </w:r>
      <w:r>
        <w:rPr>
          <w:color w:val="231F1F"/>
          <w:spacing w:val="-6"/>
          <w:w w:val="110"/>
        </w:rPr>
        <w:t> </w:t>
      </w:r>
      <w:r>
        <w:rPr>
          <w:color w:val="231F1F"/>
          <w:w w:val="110"/>
        </w:rPr>
        <w:t>isradipine)</w:t>
      </w:r>
    </w:p>
    <w:p>
      <w:pPr>
        <w:pStyle w:val="BodyText"/>
        <w:spacing w:line="149" w:lineRule="exact"/>
        <w:ind w:left="179"/>
      </w:pPr>
      <w:r>
        <w:rPr>
          <w:rFonts w:ascii="Lucida Sans Unicode" w:hAnsi="Lucida Sans Unicode"/>
          <w:color w:val="A7A8AC"/>
          <w:w w:val="95"/>
          <w:sz w:val="10"/>
        </w:rPr>
        <w:t>▶ </w:t>
      </w:r>
      <w:r>
        <w:rPr>
          <w:rFonts w:ascii="Calibri" w:hAnsi="Calibri"/>
          <w:color w:val="231F1F"/>
          <w:w w:val="105"/>
        </w:rPr>
        <w:t>Ulipristal: </w:t>
      </w:r>
      <w:r>
        <w:rPr>
          <w:color w:val="231F1F"/>
          <w:w w:val="105"/>
        </w:rPr>
        <w:t>avoidance of verapamil advised by manufacturer of</w:t>
      </w:r>
    </w:p>
    <w:p>
      <w:pPr>
        <w:spacing w:line="134" w:lineRule="exact" w:before="0"/>
        <w:ind w:left="279" w:right="0" w:firstLine="0"/>
        <w:jc w:val="left"/>
        <w:rPr>
          <w:rFonts w:ascii="Calibri"/>
          <w:sz w:val="11"/>
        </w:rPr>
      </w:pPr>
      <w:r>
        <w:rPr>
          <w:i/>
          <w:color w:val="231F1F"/>
          <w:w w:val="105"/>
          <w:sz w:val="12"/>
        </w:rPr>
        <w:t>low-dose </w:t>
      </w:r>
      <w:r>
        <w:rPr>
          <w:rFonts w:ascii="Calibri"/>
          <w:color w:val="008356"/>
          <w:w w:val="105"/>
          <w:sz w:val="11"/>
        </w:rPr>
        <w:t>ULIPRISTAL</w:t>
      </w:r>
    </w:p>
    <w:p>
      <w:pPr>
        <w:pStyle w:val="BodyText"/>
        <w:spacing w:line="220" w:lineRule="auto" w:before="7"/>
        <w:ind w:left="279" w:right="886" w:hanging="100"/>
        <w:rPr>
          <w:rFonts w:ascii="Calibri" w:hAnsi="Calibri"/>
          <w:sz w:val="11"/>
        </w:rPr>
      </w:pPr>
      <w:r>
        <w:rPr>
          <w:rFonts w:ascii="Lucida Sans Unicode" w:hAnsi="Lucida Sans Unicode"/>
          <w:color w:val="A7A8AC"/>
          <w:w w:val="95"/>
          <w:sz w:val="10"/>
        </w:rPr>
        <w:t>▶ </w:t>
      </w:r>
      <w:r>
        <w:rPr>
          <w:rFonts w:ascii="Calibri" w:hAnsi="Calibri"/>
          <w:color w:val="231F1F"/>
          <w:w w:val="105"/>
        </w:rPr>
        <w:t>Vardenafil: </w:t>
      </w:r>
      <w:r>
        <w:rPr>
          <w:color w:val="231F1F"/>
          <w:w w:val="105"/>
        </w:rPr>
        <w:t>enhanced hypotensive effect when nifedipine given with </w:t>
      </w:r>
      <w:r>
        <w:rPr>
          <w:rFonts w:ascii="Calibri" w:hAnsi="Calibri"/>
          <w:color w:val="008356"/>
          <w:w w:val="105"/>
          <w:sz w:val="11"/>
        </w:rPr>
        <w:t>VARDENAFIL</w:t>
      </w:r>
    </w:p>
    <w:p>
      <w:pPr>
        <w:spacing w:line="230" w:lineRule="auto" w:before="3"/>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calcium-channel blockers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spacing w:after="0" w:line="230" w:lineRule="auto"/>
        <w:jc w:val="left"/>
        <w:rPr>
          <w:rFonts w:ascii="Calibri" w:hAnsi="Calibri"/>
          <w:sz w:val="11"/>
        </w:rPr>
        <w:sectPr>
          <w:headerReference w:type="even" r:id="rId19"/>
          <w:headerReference w:type="default" r:id="rId20"/>
          <w:pgSz w:w="8390" w:h="11910"/>
          <w:pgMar w:header="0" w:footer="0" w:top="460" w:bottom="280" w:left="480" w:right="0"/>
          <w:cols w:num="2" w:equalWidth="0">
            <w:col w:w="3644" w:space="40"/>
            <w:col w:w="4226"/>
          </w:cols>
        </w:sectPr>
      </w:pPr>
    </w:p>
    <w:p>
      <w:pPr>
        <w:pStyle w:val="BodyText"/>
        <w:spacing w:before="5"/>
        <w:ind w:left="0"/>
        <w:rPr>
          <w:rFonts w:ascii="Calibri"/>
          <w:sz w:val="14"/>
        </w:rPr>
      </w:pPr>
    </w:p>
    <w:p>
      <w:pPr>
        <w:pStyle w:val="BodyText"/>
        <w:ind w:right="254" w:hanging="100"/>
      </w:pPr>
      <w:r>
        <w:rPr>
          <w:rFonts w:ascii="Trebuchet MS"/>
          <w:color w:val="008356"/>
          <w:w w:val="105"/>
        </w:rPr>
        <w:t>Calcium-channel Blockers (dihydropyridines) </w:t>
      </w:r>
      <w:r>
        <w:rPr>
          <w:i/>
          <w:color w:val="231F1F"/>
          <w:w w:val="105"/>
        </w:rPr>
        <w:t>see </w:t>
      </w:r>
      <w:r>
        <w:rPr>
          <w:color w:val="231F1F"/>
          <w:w w:val="105"/>
        </w:rPr>
        <w:t>Calcium- channel Blockers</w:t>
      </w:r>
    </w:p>
    <w:p>
      <w:pPr>
        <w:pStyle w:val="BodyText"/>
        <w:spacing w:before="13"/>
        <w:ind w:left="108"/>
      </w:pPr>
      <w:r>
        <w:rPr>
          <w:rFonts w:ascii="Trebuchet MS"/>
          <w:color w:val="008356"/>
          <w:w w:val="105"/>
        </w:rPr>
        <w:t>Canagliflozin </w:t>
      </w:r>
      <w:r>
        <w:rPr>
          <w:i/>
          <w:color w:val="231F1F"/>
          <w:w w:val="105"/>
        </w:rPr>
        <w:t>see </w:t>
      </w:r>
      <w:r>
        <w:rPr>
          <w:color w:val="231F1F"/>
          <w:w w:val="105"/>
        </w:rPr>
        <w:t>Antidiabetics</w:t>
      </w:r>
    </w:p>
    <w:p>
      <w:pPr>
        <w:pStyle w:val="BodyText"/>
        <w:spacing w:before="10"/>
        <w:ind w:left="108"/>
        <w:rPr>
          <w:rFonts w:ascii="Trebuchet MS"/>
        </w:rPr>
      </w:pPr>
      <w:r>
        <w:rPr>
          <w:rFonts w:ascii="Trebuchet MS"/>
          <w:color w:val="008356"/>
        </w:rPr>
        <w:t>Canakinumab</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3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08"/>
      </w:pPr>
      <w:r>
        <w:rPr>
          <w:rFonts w:ascii="Trebuchet MS"/>
          <w:color w:val="008356"/>
          <w:w w:val="110"/>
        </w:rPr>
        <w:t>Candesartan </w:t>
      </w:r>
      <w:r>
        <w:rPr>
          <w:i/>
          <w:color w:val="231F1F"/>
          <w:w w:val="110"/>
        </w:rPr>
        <w:t>see </w:t>
      </w:r>
      <w:r>
        <w:rPr>
          <w:color w:val="231F1F"/>
          <w:w w:val="110"/>
        </w:rPr>
        <w:t>Angiotensin-II Receptor Antagonists</w:t>
      </w:r>
    </w:p>
    <w:p>
      <w:pPr>
        <w:pStyle w:val="BodyText"/>
        <w:spacing w:before="10"/>
        <w:ind w:left="108"/>
        <w:rPr>
          <w:rFonts w:ascii="Trebuchet MS"/>
        </w:rPr>
      </w:pPr>
      <w:r>
        <w:rPr>
          <w:rFonts w:ascii="Trebuchet MS"/>
          <w:color w:val="008356"/>
        </w:rPr>
        <w:t>Cannabis Extract</w:t>
      </w:r>
    </w:p>
    <w:p>
      <w:pPr>
        <w:pStyle w:val="BodyText"/>
        <w:spacing w:before="1"/>
        <w:ind w:right="112" w:hanging="100"/>
      </w:pPr>
      <w:r>
        <w:rPr>
          <w:rFonts w:ascii="Arial" w:hAnsi="Arial"/>
          <w:color w:val="231F1F"/>
          <w:w w:val="355"/>
          <w:position w:val="1"/>
          <w:sz w:val="7"/>
        </w:rPr>
        <w:t>l </w:t>
      </w:r>
      <w:r>
        <w:rPr>
          <w:rFonts w:ascii="Calibri" w:hAnsi="Calibri"/>
          <w:color w:val="231F1F"/>
          <w:w w:val="120"/>
        </w:rPr>
        <w:t>Antibacterials: </w:t>
      </w:r>
      <w:r>
        <w:rPr>
          <w:color w:val="231F1F"/>
          <w:w w:val="120"/>
        </w:rPr>
        <w:t>plasma concentration of cannabis extract </w:t>
      </w:r>
      <w:r>
        <w:rPr>
          <w:color w:val="231F1F"/>
          <w:w w:val="115"/>
        </w:rPr>
        <w:t>reduced by </w:t>
      </w:r>
      <w:r>
        <w:rPr>
          <w:rFonts w:ascii="Arial" w:hAnsi="Arial"/>
          <w:color w:val="231F1F"/>
          <w:w w:val="11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cannabis extract </w:t>
      </w:r>
      <w:r>
        <w:rPr>
          <w:color w:val="231F1F"/>
          <w:w w:val="120"/>
        </w:rPr>
        <w:t>advises avoid concomitant use</w:t>
      </w:r>
    </w:p>
    <w:p>
      <w:pPr>
        <w:pStyle w:val="BodyText"/>
        <w:spacing w:line="244" w:lineRule="auto" w:before="2"/>
        <w:ind w:right="261" w:hanging="100"/>
        <w:rPr>
          <w:rFonts w:ascii="Calibri" w:hAnsi="Calibri"/>
          <w:sz w:val="11"/>
        </w:rPr>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Antidepressants:</w:t>
      </w:r>
      <w:r>
        <w:rPr>
          <w:rFonts w:ascii="Calibri" w:hAnsi="Calibri"/>
          <w:color w:val="231F1F"/>
          <w:spacing w:val="-13"/>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w w:val="115"/>
        </w:rPr>
        <w:t>cannabis</w:t>
      </w:r>
      <w:r>
        <w:rPr>
          <w:color w:val="231F1F"/>
          <w:spacing w:val="-17"/>
          <w:w w:val="115"/>
        </w:rPr>
        <w:t> </w:t>
      </w:r>
      <w:r>
        <w:rPr>
          <w:color w:val="231F1F"/>
          <w:spacing w:val="-3"/>
          <w:w w:val="115"/>
        </w:rPr>
        <w:t>extract </w:t>
      </w:r>
      <w:r>
        <w:rPr>
          <w:color w:val="231F1F"/>
          <w:w w:val="115"/>
        </w:rPr>
        <w:t>possibly</w:t>
      </w:r>
      <w:r>
        <w:rPr>
          <w:color w:val="231F1F"/>
          <w:spacing w:val="-19"/>
          <w:w w:val="115"/>
        </w:rPr>
        <w:t> </w:t>
      </w:r>
      <w:r>
        <w:rPr>
          <w:color w:val="231F1F"/>
          <w:w w:val="115"/>
        </w:rPr>
        <w:t>reduced</w:t>
      </w:r>
      <w:r>
        <w:rPr>
          <w:color w:val="231F1F"/>
          <w:spacing w:val="-17"/>
          <w:w w:val="115"/>
        </w:rPr>
        <w:t> </w:t>
      </w:r>
      <w:r>
        <w:rPr>
          <w:color w:val="231F1F"/>
          <w:w w:val="115"/>
        </w:rPr>
        <w:t>by</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w w:val="115"/>
          <w:sz w:val="11"/>
        </w:rPr>
        <w:t>ST</w:t>
      </w:r>
      <w:r>
        <w:rPr>
          <w:rFonts w:ascii="Calibri" w:hAnsi="Calibri"/>
          <w:color w:val="008356"/>
          <w:spacing w:val="-13"/>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0"/>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7"/>
          <w:w w:val="115"/>
        </w:rPr>
        <w:t> </w:t>
      </w:r>
      <w:r>
        <w:rPr>
          <w:color w:val="231F1F"/>
          <w:w w:val="115"/>
        </w:rPr>
        <w:t>of cannabis</w:t>
      </w:r>
      <w:r>
        <w:rPr>
          <w:color w:val="231F1F"/>
          <w:spacing w:val="-8"/>
          <w:w w:val="115"/>
        </w:rPr>
        <w:t> </w:t>
      </w:r>
      <w:r>
        <w:rPr>
          <w:color w:val="231F1F"/>
          <w:w w:val="115"/>
        </w:rPr>
        <w:t>extract</w:t>
      </w:r>
      <w:r>
        <w:rPr>
          <w:color w:val="231F1F"/>
          <w:spacing w:val="-6"/>
          <w:w w:val="115"/>
        </w:rPr>
        <w:t> </w:t>
      </w:r>
      <w:r>
        <w:rPr>
          <w:color w:val="231F1F"/>
          <w:w w:val="115"/>
        </w:rPr>
        <w:t>advises</w:t>
      </w:r>
      <w:r>
        <w:rPr>
          <w:color w:val="231F1F"/>
          <w:spacing w:val="-6"/>
          <w:w w:val="115"/>
        </w:rPr>
        <w:t> </w:t>
      </w:r>
      <w:r>
        <w:rPr>
          <w:color w:val="231F1F"/>
          <w:w w:val="115"/>
        </w:rPr>
        <w:t>avoid</w:t>
      </w:r>
      <w:r>
        <w:rPr>
          <w:color w:val="231F1F"/>
          <w:spacing w:val="-6"/>
          <w:w w:val="115"/>
        </w:rPr>
        <w:t> </w:t>
      </w:r>
      <w:r>
        <w:rPr>
          <w:color w:val="231F1F"/>
          <w:w w:val="115"/>
        </w:rPr>
        <w:t>concomitant</w:t>
      </w:r>
      <w:r>
        <w:rPr>
          <w:color w:val="231F1F"/>
          <w:spacing w:val="-7"/>
          <w:w w:val="115"/>
        </w:rPr>
        <w:t> </w:t>
      </w:r>
      <w:r>
        <w:rPr>
          <w:color w:val="231F1F"/>
          <w:w w:val="115"/>
        </w:rPr>
        <w:t>use;</w:t>
      </w:r>
      <w:r>
        <w:rPr>
          <w:color w:val="231F1F"/>
          <w:spacing w:val="-6"/>
          <w:w w:val="115"/>
        </w:rPr>
        <w:t> </w:t>
      </w:r>
      <w:r>
        <w:rPr>
          <w:color w:val="231F1F"/>
          <w:w w:val="115"/>
        </w:rPr>
        <w:t>possible increased risk of hypertension and tachycardia when cannabis extract given with</w:t>
      </w:r>
      <w:r>
        <w:rPr>
          <w:color w:val="231F1F"/>
          <w:spacing w:val="-23"/>
          <w:w w:val="115"/>
        </w:rPr>
        <w:t> </w:t>
      </w:r>
      <w:r>
        <w:rPr>
          <w:rFonts w:ascii="Calibri" w:hAnsi="Calibri"/>
          <w:color w:val="008356"/>
          <w:spacing w:val="4"/>
          <w:w w:val="115"/>
          <w:sz w:val="11"/>
        </w:rPr>
        <w:t>TRICYCLICS</w:t>
      </w:r>
    </w:p>
    <w:p>
      <w:pPr>
        <w:spacing w:line="240" w:lineRule="auto" w:before="0"/>
        <w:ind w:left="208" w:right="394" w:hanging="100"/>
        <w:jc w:val="both"/>
        <w:rPr>
          <w:rFonts w:ascii="Arial" w:hAnsi="Arial"/>
          <w:sz w:val="12"/>
        </w:rPr>
      </w:pPr>
      <w:r>
        <w:rPr>
          <w:rFonts w:ascii="Arial" w:hAnsi="Arial"/>
          <w:color w:val="231F1F"/>
          <w:w w:val="355"/>
          <w:position w:val="1"/>
          <w:sz w:val="7"/>
        </w:rPr>
        <w:t>l </w:t>
      </w:r>
      <w:r>
        <w:rPr>
          <w:rFonts w:ascii="Calibri" w:hAnsi="Calibri"/>
          <w:color w:val="231F1F"/>
          <w:w w:val="110"/>
          <w:sz w:val="12"/>
        </w:rPr>
        <w:t>Antiepileptics: </w:t>
      </w:r>
      <w:r>
        <w:rPr>
          <w:color w:val="231F1F"/>
          <w:w w:val="110"/>
          <w:sz w:val="12"/>
        </w:rPr>
        <w:t>plasma concentration of cannabis </w:t>
      </w:r>
      <w:r>
        <w:rPr>
          <w:color w:val="231F1F"/>
          <w:spacing w:val="-3"/>
          <w:w w:val="110"/>
          <w:sz w:val="12"/>
        </w:rPr>
        <w:t>extract </w:t>
      </w:r>
      <w:r>
        <w:rPr>
          <w:color w:val="231F1F"/>
          <w:w w:val="110"/>
          <w:sz w:val="12"/>
        </w:rPr>
        <w:t>possibly</w:t>
      </w:r>
      <w:r>
        <w:rPr>
          <w:color w:val="231F1F"/>
          <w:spacing w:val="-21"/>
          <w:w w:val="110"/>
          <w:sz w:val="12"/>
        </w:rPr>
        <w:t> </w:t>
      </w:r>
      <w:r>
        <w:rPr>
          <w:color w:val="231F1F"/>
          <w:w w:val="110"/>
          <w:sz w:val="12"/>
        </w:rPr>
        <w:t>reduced</w:t>
      </w:r>
      <w:r>
        <w:rPr>
          <w:color w:val="231F1F"/>
          <w:spacing w:val="-20"/>
          <w:w w:val="110"/>
          <w:sz w:val="12"/>
        </w:rPr>
        <w:t> </w:t>
      </w:r>
      <w:r>
        <w:rPr>
          <w:color w:val="231F1F"/>
          <w:w w:val="110"/>
          <w:sz w:val="12"/>
        </w:rPr>
        <w:t>by</w:t>
      </w:r>
      <w:r>
        <w:rPr>
          <w:color w:val="231F1F"/>
          <w:spacing w:val="-20"/>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0"/>
          <w:sz w:val="11"/>
        </w:rPr>
        <w:t>CARBAMAZEPINE</w:t>
      </w:r>
      <w:r>
        <w:rPr>
          <w:color w:val="231F1F"/>
          <w:spacing w:val="4"/>
          <w:w w:val="110"/>
          <w:sz w:val="12"/>
        </w:rPr>
        <w:t>,</w:t>
      </w:r>
      <w:r>
        <w:rPr>
          <w:color w:val="231F1F"/>
          <w:spacing w:val="-20"/>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FOSPHENYTOIN</w:t>
      </w:r>
      <w:r>
        <w:rPr>
          <w:color w:val="231F1F"/>
          <w:spacing w:val="4"/>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PHENOBARBITAL</w:t>
      </w:r>
      <w:r>
        <w:rPr>
          <w:color w:val="231F1F"/>
          <w:spacing w:val="4"/>
          <w:w w:val="110"/>
          <w:sz w:val="12"/>
        </w:rPr>
        <w:t>,</w:t>
      </w:r>
      <w:r>
        <w:rPr>
          <w:color w:val="231F1F"/>
          <w:spacing w:val="-13"/>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PHENYTOIN</w:t>
      </w:r>
      <w:r>
        <w:rPr>
          <w:rFonts w:ascii="Calibri" w:hAnsi="Calibri"/>
          <w:color w:val="008356"/>
          <w:spacing w:val="-4"/>
          <w:w w:val="110"/>
          <w:sz w:val="11"/>
        </w:rPr>
        <w:t> </w:t>
      </w:r>
      <w:r>
        <w:rPr>
          <w:color w:val="231F1F"/>
          <w:w w:val="110"/>
          <w:sz w:val="12"/>
        </w:rPr>
        <w:t>and</w:t>
      </w:r>
      <w:r>
        <w:rPr>
          <w:color w:val="231F1F"/>
          <w:spacing w:val="-14"/>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PRIMIDONE</w:t>
      </w:r>
      <w:r>
        <w:rPr>
          <w:rFonts w:ascii="Arial" w:hAnsi="Arial"/>
          <w:color w:val="231F1F"/>
          <w:spacing w:val="4"/>
          <w:w w:val="110"/>
          <w:sz w:val="12"/>
        </w:rPr>
        <w:t>—</w:t>
      </w:r>
    </w:p>
    <w:p>
      <w:pPr>
        <w:pStyle w:val="BodyText"/>
        <w:spacing w:line="249" w:lineRule="auto"/>
      </w:pPr>
      <w:r>
        <w:rPr>
          <w:color w:val="231F1F"/>
          <w:w w:val="115"/>
        </w:rPr>
        <w:t>manufacturer of cannabis extract advises avoid concomitant use</w:t>
      </w:r>
    </w:p>
    <w:p>
      <w:pPr>
        <w:pStyle w:val="BodyText"/>
        <w:spacing w:line="220" w:lineRule="auto" w:before="1"/>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cannabis extract increased by </w:t>
      </w:r>
      <w:r>
        <w:rPr>
          <w:rFonts w:ascii="Calibri" w:hAnsi="Calibri"/>
          <w:color w:val="008356"/>
          <w:w w:val="105"/>
          <w:sz w:val="11"/>
        </w:rPr>
        <w:t>KETOCONAZOLE</w:t>
      </w:r>
    </w:p>
    <w:p>
      <w:pPr>
        <w:pStyle w:val="BodyText"/>
        <w:spacing w:before="10"/>
        <w:ind w:left="108"/>
        <w:rPr>
          <w:rFonts w:ascii="Trebuchet MS"/>
        </w:rPr>
      </w:pPr>
      <w:r>
        <w:rPr>
          <w:rFonts w:ascii="Trebuchet MS"/>
          <w:color w:val="008356"/>
        </w:rPr>
        <w:t>Capecitabine</w:t>
      </w:r>
    </w:p>
    <w:p>
      <w:pPr>
        <w:pStyle w:val="BodyText"/>
        <w:spacing w:before="1"/>
        <w:ind w:right="418" w:hanging="100"/>
        <w:rPr>
          <w:rFonts w:ascii="Calibri"/>
          <w:sz w:val="11"/>
        </w:rPr>
      </w:pPr>
      <w:r>
        <w:rPr>
          <w:rFonts w:ascii="Arial"/>
          <w:color w:val="231F1F"/>
          <w:w w:val="355"/>
          <w:position w:val="1"/>
          <w:sz w:val="7"/>
        </w:rPr>
        <w:t>l </w:t>
      </w:r>
      <w:r>
        <w:rPr>
          <w:rFonts w:ascii="Calibri"/>
          <w:color w:val="231F1F"/>
          <w:w w:val="110"/>
        </w:rPr>
        <w:t>Allopurinol: </w:t>
      </w:r>
      <w:r>
        <w:rPr>
          <w:color w:val="231F1F"/>
          <w:w w:val="110"/>
        </w:rPr>
        <w:t>manufacturer of capecitabine advises </w:t>
      </w:r>
      <w:r>
        <w:rPr>
          <w:color w:val="231F1F"/>
          <w:spacing w:val="-4"/>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ALLOPURINOL</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capecitabine inhibited by</w:t>
      </w:r>
    </w:p>
    <w:p>
      <w:pPr>
        <w:spacing w:line="134" w:lineRule="exact" w:before="0"/>
        <w:ind w:left="208" w:right="0" w:firstLine="0"/>
        <w:jc w:val="left"/>
        <w:rPr>
          <w:sz w:val="12"/>
        </w:rPr>
      </w:pPr>
      <w:r>
        <w:rPr>
          <w:rFonts w:ascii="Calibri"/>
          <w:color w:val="008356"/>
          <w:w w:val="105"/>
          <w:sz w:val="11"/>
        </w:rPr>
        <w:t>METRONIDAZOLE </w:t>
      </w:r>
      <w:r>
        <w:rPr>
          <w:color w:val="231F1F"/>
          <w:w w:val="105"/>
          <w:sz w:val="12"/>
        </w:rPr>
        <w:t>(increased toxicity)</w:t>
      </w:r>
    </w:p>
    <w:p>
      <w:pPr>
        <w:pStyle w:val="BodyText"/>
        <w:spacing w:line="145" w:lineRule="exact"/>
        <w:ind w:left="108"/>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Anticoagulants:</w:t>
      </w:r>
      <w:r>
        <w:rPr>
          <w:rFonts w:ascii="Calibri"/>
          <w:color w:val="231F1F"/>
          <w:spacing w:val="-10"/>
          <w:w w:val="115"/>
        </w:rPr>
        <w:t> </w:t>
      </w:r>
      <w:r>
        <w:rPr>
          <w:color w:val="231F1F"/>
          <w:w w:val="115"/>
        </w:rPr>
        <w:t>capecitabine</w:t>
      </w:r>
      <w:r>
        <w:rPr>
          <w:color w:val="231F1F"/>
          <w:spacing w:val="-14"/>
          <w:w w:val="115"/>
        </w:rPr>
        <w:t> </w:t>
      </w:r>
      <w:r>
        <w:rPr>
          <w:color w:val="231F1F"/>
          <w:w w:val="115"/>
        </w:rPr>
        <w:t>enhances</w:t>
      </w:r>
      <w:r>
        <w:rPr>
          <w:color w:val="231F1F"/>
          <w:spacing w:val="-14"/>
          <w:w w:val="115"/>
        </w:rPr>
        <w:t> </w:t>
      </w:r>
      <w:r>
        <w:rPr>
          <w:color w:val="231F1F"/>
          <w:w w:val="115"/>
        </w:rPr>
        <w:t>anticoagulant</w:t>
      </w:r>
      <w:r>
        <w:rPr>
          <w:color w:val="231F1F"/>
          <w:spacing w:val="-13"/>
          <w:w w:val="115"/>
        </w:rPr>
        <w:t> </w:t>
      </w:r>
      <w:r>
        <w:rPr>
          <w:color w:val="231F1F"/>
          <w:w w:val="115"/>
        </w:rPr>
        <w:t>effect</w:t>
      </w:r>
      <w:r>
        <w:rPr>
          <w:color w:val="231F1F"/>
          <w:spacing w:val="-14"/>
          <w:w w:val="115"/>
        </w:rPr>
        <w:t> </w:t>
      </w:r>
      <w:r>
        <w:rPr>
          <w:color w:val="231F1F"/>
          <w:w w:val="115"/>
        </w:rPr>
        <w:t>of</w:t>
      </w:r>
    </w:p>
    <w:p>
      <w:pPr>
        <w:spacing w:line="133" w:lineRule="exact" w:before="7"/>
        <w:ind w:left="208" w:right="0" w:firstLine="0"/>
        <w:jc w:val="both"/>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capecitabine possibly inhibits metabolism of</w:t>
      </w:r>
    </w:p>
    <w:p>
      <w:pPr>
        <w:spacing w:line="135" w:lineRule="exact" w:before="0"/>
        <w:ind w:left="208" w:right="0" w:firstLine="0"/>
        <w:jc w:val="left"/>
        <w:rPr>
          <w:sz w:val="12"/>
        </w:rPr>
      </w:pPr>
      <w:r>
        <w:rPr>
          <w:rFonts w:ascii="Calibri"/>
          <w:color w:val="008356"/>
          <w:spacing w:val="4"/>
          <w:w w:val="105"/>
          <w:sz w:val="11"/>
        </w:rPr>
        <w:t>FOSPHENYTOIN </w:t>
      </w:r>
      <w:r>
        <w:rPr>
          <w:color w:val="231F1F"/>
          <w:w w:val="105"/>
          <w:sz w:val="12"/>
        </w:rPr>
        <w:t>and </w:t>
      </w:r>
      <w:r>
        <w:rPr>
          <w:rFonts w:ascii="Calibri"/>
          <w:color w:val="008356"/>
          <w:spacing w:val="4"/>
          <w:w w:val="105"/>
          <w:sz w:val="11"/>
        </w:rPr>
        <w:t>PHENYTOIN  </w:t>
      </w:r>
      <w:r>
        <w:rPr>
          <w:color w:val="231F1F"/>
          <w:w w:val="105"/>
          <w:sz w:val="12"/>
        </w:rPr>
        <w:t>(increased risk of</w:t>
      </w:r>
      <w:r>
        <w:rPr>
          <w:color w:val="231F1F"/>
          <w:spacing w:val="8"/>
          <w:w w:val="105"/>
          <w:sz w:val="12"/>
        </w:rPr>
        <w:t> </w:t>
      </w:r>
      <w:r>
        <w:rPr>
          <w:color w:val="231F1F"/>
          <w:w w:val="105"/>
          <w:sz w:val="12"/>
        </w:rPr>
        <w:t>toxicity)</w:t>
      </w:r>
    </w:p>
    <w:p>
      <w:pPr>
        <w:pStyle w:val="BodyText"/>
        <w:spacing w:line="145" w:lineRule="exact"/>
        <w:ind w:left="108"/>
      </w:pPr>
      <w:r>
        <w:rPr>
          <w:rFonts w:ascii="Arial"/>
          <w:color w:val="231F1F"/>
          <w:w w:val="355"/>
          <w:position w:val="1"/>
          <w:sz w:val="7"/>
        </w:rPr>
        <w:t>l</w:t>
      </w:r>
      <w:r>
        <w:rPr>
          <w:rFonts w:ascii="Arial"/>
          <w:color w:val="231F1F"/>
          <w:spacing w:val="-34"/>
          <w:w w:val="355"/>
          <w:position w:val="1"/>
          <w:sz w:val="7"/>
        </w:rPr>
        <w:t>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capecitabine possibly increases plasma concentration of </w:t>
      </w:r>
      <w:r>
        <w:rPr>
          <w:rFonts w:ascii="Calibri" w:hAnsi="Calibri"/>
          <w:color w:val="008356"/>
          <w:w w:val="105"/>
          <w:sz w:val="11"/>
        </w:rPr>
        <w:t>ERLOTINIB</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Filgrastim: </w:t>
      </w:r>
      <w:r>
        <w:rPr>
          <w:color w:val="231F1F"/>
          <w:w w:val="105"/>
        </w:rPr>
        <w:t>neutropenia possibly exacerbated when capecitabine given with </w:t>
      </w:r>
      <w:r>
        <w:rPr>
          <w:rFonts w:ascii="Calibri" w:hAnsi="Calibri"/>
          <w:color w:val="008356"/>
          <w:w w:val="105"/>
          <w:sz w:val="11"/>
        </w:rPr>
        <w:t>FILGRASTIM</w:t>
      </w:r>
    </w:p>
    <w:p>
      <w:pPr>
        <w:spacing w:line="146" w:lineRule="exact" w:before="0"/>
        <w:ind w:left="108" w:right="0" w:firstLine="0"/>
        <w:jc w:val="left"/>
        <w:rPr>
          <w:rFonts w:ascii="Arial" w:hAnsi="Arial"/>
          <w:sz w:val="12"/>
        </w:rPr>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sz w:val="12"/>
        </w:rPr>
        <w:t>Folates:</w:t>
      </w:r>
      <w:r>
        <w:rPr>
          <w:rFonts w:ascii="Calibri" w:hAnsi="Calibri"/>
          <w:color w:val="231F1F"/>
          <w:spacing w:val="-11"/>
          <w:w w:val="115"/>
          <w:sz w:val="12"/>
        </w:rPr>
        <w:t> </w:t>
      </w:r>
      <w:r>
        <w:rPr>
          <w:color w:val="231F1F"/>
          <w:w w:val="115"/>
          <w:sz w:val="12"/>
        </w:rPr>
        <w:t>toxicity</w:t>
      </w:r>
      <w:r>
        <w:rPr>
          <w:color w:val="231F1F"/>
          <w:spacing w:val="-15"/>
          <w:w w:val="115"/>
          <w:sz w:val="12"/>
        </w:rPr>
        <w:t> </w:t>
      </w:r>
      <w:r>
        <w:rPr>
          <w:color w:val="231F1F"/>
          <w:w w:val="115"/>
          <w:sz w:val="12"/>
        </w:rPr>
        <w:t>of</w:t>
      </w:r>
      <w:r>
        <w:rPr>
          <w:color w:val="231F1F"/>
          <w:spacing w:val="-13"/>
          <w:w w:val="115"/>
          <w:sz w:val="12"/>
        </w:rPr>
        <w:t> </w:t>
      </w:r>
      <w:r>
        <w:rPr>
          <w:color w:val="231F1F"/>
          <w:w w:val="115"/>
          <w:sz w:val="12"/>
        </w:rPr>
        <w:t>capecitabine</w:t>
      </w:r>
      <w:r>
        <w:rPr>
          <w:color w:val="231F1F"/>
          <w:spacing w:val="-14"/>
          <w:w w:val="115"/>
          <w:sz w:val="12"/>
        </w:rPr>
        <w:t> </w:t>
      </w:r>
      <w:r>
        <w:rPr>
          <w:color w:val="231F1F"/>
          <w:w w:val="115"/>
          <w:sz w:val="12"/>
        </w:rPr>
        <w:t>increased</w:t>
      </w:r>
      <w:r>
        <w:rPr>
          <w:color w:val="231F1F"/>
          <w:spacing w:val="-15"/>
          <w:w w:val="115"/>
          <w:sz w:val="12"/>
        </w:rPr>
        <w:t> </w:t>
      </w:r>
      <w:r>
        <w:rPr>
          <w:color w:val="231F1F"/>
          <w:w w:val="115"/>
          <w:sz w:val="12"/>
        </w:rPr>
        <w:t>by</w:t>
      </w:r>
      <w:r>
        <w:rPr>
          <w:color w:val="231F1F"/>
          <w:spacing w:val="-14"/>
          <w:w w:val="11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FOLIC</w:t>
      </w:r>
      <w:r>
        <w:rPr>
          <w:rFonts w:ascii="Calibri" w:hAnsi="Calibri"/>
          <w:color w:val="008356"/>
          <w:spacing w:val="-7"/>
          <w:w w:val="115"/>
          <w:sz w:val="11"/>
        </w:rPr>
        <w:t> </w:t>
      </w:r>
      <w:r>
        <w:rPr>
          <w:rFonts w:ascii="Calibri" w:hAnsi="Calibri"/>
          <w:color w:val="008356"/>
          <w:spacing w:val="3"/>
          <w:w w:val="115"/>
          <w:sz w:val="11"/>
        </w:rPr>
        <w:t>ACID</w:t>
      </w:r>
      <w:r>
        <w:rPr>
          <w:rFonts w:ascii="Arial" w:hAnsi="Arial"/>
          <w:color w:val="231F1F"/>
          <w:spacing w:val="3"/>
          <w:w w:val="115"/>
          <w:sz w:val="12"/>
        </w:rPr>
        <w:t>—</w:t>
      </w:r>
    </w:p>
    <w:p>
      <w:pPr>
        <w:pStyle w:val="BodyText"/>
        <w:spacing w:line="137" w:lineRule="exact"/>
      </w:pPr>
      <w:r>
        <w:rPr>
          <w:color w:val="231F1F"/>
          <w:w w:val="115"/>
        </w:rPr>
        <w:t>avoid concomitant use</w:t>
      </w:r>
    </w:p>
    <w:p>
      <w:pPr>
        <w:pStyle w:val="BodyText"/>
        <w:spacing w:line="220" w:lineRule="auto" w:before="11"/>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Lipegfilgrastim: </w:t>
      </w:r>
      <w:r>
        <w:rPr>
          <w:color w:val="231F1F"/>
          <w:w w:val="105"/>
        </w:rPr>
        <w:t>neutropenia possibly exacerbated when capecitabine given with </w:t>
      </w:r>
      <w:r>
        <w:rPr>
          <w:rFonts w:ascii="Calibri" w:hAnsi="Calibri"/>
          <w:color w:val="008356"/>
          <w:w w:val="105"/>
          <w:sz w:val="11"/>
        </w:rPr>
        <w:t>LIPEGFILGRASTIM</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Pegfilgrastim: </w:t>
      </w:r>
      <w:r>
        <w:rPr>
          <w:color w:val="231F1F"/>
          <w:w w:val="105"/>
        </w:rPr>
        <w:t>neutropenia possibly exacerbated when capecitabine given with </w:t>
      </w:r>
      <w:r>
        <w:rPr>
          <w:rFonts w:ascii="Calibri" w:hAnsi="Calibri"/>
          <w:color w:val="008356"/>
          <w:w w:val="105"/>
          <w:sz w:val="11"/>
        </w:rPr>
        <w:t>PEGFILGRASTIM</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capecitabine inhibited by</w:t>
      </w:r>
    </w:p>
    <w:p>
      <w:pPr>
        <w:spacing w:line="136" w:lineRule="exact" w:before="0"/>
        <w:ind w:left="208" w:right="0" w:firstLine="0"/>
        <w:jc w:val="left"/>
        <w:rPr>
          <w:sz w:val="12"/>
        </w:rPr>
      </w:pPr>
      <w:r>
        <w:rPr>
          <w:rFonts w:ascii="Calibri"/>
          <w:color w:val="008356"/>
          <w:w w:val="110"/>
          <w:sz w:val="11"/>
        </w:rPr>
        <w:t>CIMETIDINE </w:t>
      </w:r>
      <w:r>
        <w:rPr>
          <w:color w:val="231F1F"/>
          <w:w w:val="110"/>
          <w:sz w:val="12"/>
        </w:rPr>
        <w:t>(increased plasma concentration)</w:t>
      </w:r>
    </w:p>
    <w:p>
      <w:pPr>
        <w:pStyle w:val="BodyText"/>
        <w:spacing w:before="7"/>
        <w:ind w:left="108"/>
        <w:rPr>
          <w:rFonts w:ascii="Trebuchet MS"/>
        </w:rPr>
      </w:pPr>
      <w:r>
        <w:rPr>
          <w:rFonts w:ascii="Trebuchet MS"/>
          <w:color w:val="008356"/>
        </w:rPr>
        <w:t>Capreomycin</w:t>
      </w:r>
    </w:p>
    <w:p>
      <w:pPr>
        <w:spacing w:line="240" w:lineRule="auto" w:before="1"/>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increased risk of nephrotoxicity when capreomycin given with </w:t>
      </w:r>
      <w:r>
        <w:rPr>
          <w:rFonts w:ascii="Calibri" w:hAnsi="Calibri"/>
          <w:color w:val="008356"/>
          <w:w w:val="110"/>
          <w:sz w:val="11"/>
        </w:rPr>
        <w:t>COLISTIMETHATE SODIUM </w:t>
      </w:r>
      <w:r>
        <w:rPr>
          <w:color w:val="231F1F"/>
          <w:w w:val="110"/>
          <w:sz w:val="12"/>
        </w:rPr>
        <w:t>or </w:t>
      </w:r>
      <w:r>
        <w:rPr>
          <w:rFonts w:ascii="Calibri" w:hAnsi="Calibri"/>
          <w:color w:val="008356"/>
          <w:w w:val="110"/>
          <w:sz w:val="11"/>
        </w:rPr>
        <w:t>POLYMYXINS</w:t>
      </w:r>
      <w:r>
        <w:rPr>
          <w:color w:val="231F1F"/>
          <w:w w:val="110"/>
          <w:sz w:val="12"/>
        </w:rPr>
        <w:t>; increased risk of nephrotoxicity and ototoxicity when capreomycin given with </w:t>
      </w:r>
      <w:r>
        <w:rPr>
          <w:rFonts w:ascii="Calibri" w:hAnsi="Calibri"/>
          <w:color w:val="008356"/>
          <w:w w:val="110"/>
          <w:sz w:val="11"/>
        </w:rPr>
        <w:t>AMINOGLYCOSIDES </w:t>
      </w:r>
      <w:r>
        <w:rPr>
          <w:color w:val="231F1F"/>
          <w:w w:val="110"/>
          <w:sz w:val="12"/>
        </w:rPr>
        <w:t>or </w:t>
      </w:r>
      <w:r>
        <w:rPr>
          <w:rFonts w:ascii="Calibri" w:hAnsi="Calibri"/>
          <w:color w:val="008356"/>
          <w:w w:val="110"/>
          <w:sz w:val="11"/>
        </w:rPr>
        <w:t>VANCOMYCIN</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increased risk of nephrotoxicity and ototoxicity when capreomycin given with </w:t>
      </w:r>
      <w:r>
        <w:rPr>
          <w:rFonts w:ascii="Calibri" w:hAnsi="Calibri"/>
          <w:color w:val="008356"/>
          <w:w w:val="110"/>
          <w:sz w:val="11"/>
        </w:rPr>
        <w:t>PLATINUM COMPOUNDS</w:t>
      </w:r>
    </w:p>
    <w:p>
      <w:pPr>
        <w:spacing w:line="220" w:lineRule="auto" w:before="9"/>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08"/>
      </w:pPr>
      <w:r>
        <w:rPr>
          <w:rFonts w:ascii="Trebuchet MS"/>
          <w:color w:val="008356"/>
          <w:w w:val="105"/>
        </w:rPr>
        <w:t>Captopril </w:t>
      </w:r>
      <w:r>
        <w:rPr>
          <w:i/>
          <w:color w:val="231F1F"/>
          <w:w w:val="105"/>
        </w:rPr>
        <w:t>see </w:t>
      </w:r>
      <w:r>
        <w:rPr>
          <w:color w:val="231F1F"/>
          <w:w w:val="105"/>
        </w:rPr>
        <w:t>ACE Inhibitors</w:t>
      </w:r>
    </w:p>
    <w:p>
      <w:pPr>
        <w:pStyle w:val="BodyText"/>
        <w:spacing w:before="10"/>
        <w:ind w:left="108"/>
        <w:rPr>
          <w:rFonts w:ascii="Trebuchet MS"/>
        </w:rPr>
      </w:pPr>
      <w:r>
        <w:rPr>
          <w:rFonts w:ascii="Trebuchet MS"/>
          <w:color w:val="008356"/>
        </w:rPr>
        <w:t>Carbamazepine</w:t>
      </w:r>
    </w:p>
    <w:p>
      <w:pPr>
        <w:pStyle w:val="BodyText"/>
        <w:spacing w:line="220" w:lineRule="auto" w:before="10"/>
        <w:ind w:right="112"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CNS side-effects of  carbamazepine possibly increased by</w:t>
      </w:r>
      <w:r>
        <w:rPr>
          <w:color w:val="231F1F"/>
          <w:spacing w:val="-1"/>
          <w:w w:val="105"/>
        </w:rPr>
        <w:t> </w:t>
      </w:r>
      <w:r>
        <w:rPr>
          <w:rFonts w:ascii="Calibri" w:hAnsi="Calibri"/>
          <w:color w:val="008356"/>
          <w:spacing w:val="4"/>
          <w:w w:val="105"/>
          <w:sz w:val="11"/>
        </w:rPr>
        <w:t>ALCOHOL</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Aminophylline: </w:t>
      </w:r>
      <w:r>
        <w:rPr>
          <w:color w:val="231F1F"/>
          <w:w w:val="105"/>
        </w:rPr>
        <w:t>carbamazepine accelerates metabolism of</w:t>
      </w:r>
    </w:p>
    <w:p>
      <w:pPr>
        <w:spacing w:line="134" w:lineRule="exact" w:before="0"/>
        <w:ind w:left="208" w:right="0" w:firstLine="0"/>
        <w:jc w:val="left"/>
        <w:rPr>
          <w:sz w:val="12"/>
        </w:rPr>
      </w:pPr>
      <w:r>
        <w:rPr>
          <w:rFonts w:ascii="Calibri"/>
          <w:color w:val="008356"/>
          <w:w w:val="105"/>
          <w:sz w:val="11"/>
        </w:rPr>
        <w:t>AMINOPHYLLINE </w:t>
      </w:r>
      <w:r>
        <w:rPr>
          <w:color w:val="231F1F"/>
          <w:w w:val="105"/>
          <w:sz w:val="12"/>
        </w:rPr>
        <w:t>(reduced effect)</w:t>
      </w:r>
    </w:p>
    <w:p>
      <w:pPr>
        <w:pStyle w:val="BodyText"/>
        <w:spacing w:line="145" w:lineRule="exact"/>
        <w:ind w:left="108"/>
      </w:pPr>
      <w:r>
        <w:rPr>
          <w:rFonts w:ascii="Arial"/>
          <w:color w:val="231F1F"/>
          <w:w w:val="355"/>
          <w:position w:val="1"/>
          <w:sz w:val="7"/>
        </w:rPr>
        <w:t>l </w:t>
      </w:r>
      <w:r>
        <w:rPr>
          <w:rFonts w:ascii="Calibri"/>
          <w:color w:val="231F1F"/>
          <w:w w:val="115"/>
        </w:rPr>
        <w:t>Analgesics: </w:t>
      </w:r>
      <w:r>
        <w:rPr>
          <w:color w:val="231F1F"/>
          <w:w w:val="115"/>
        </w:rPr>
        <w:t>effects of carbamazepine enhanced by</w:t>
      </w:r>
    </w:p>
    <w:p>
      <w:pPr>
        <w:pStyle w:val="BodyText"/>
        <w:spacing w:line="242" w:lineRule="auto"/>
        <w:ind w:right="7"/>
      </w:pPr>
      <w:r>
        <w:rPr>
          <w:rFonts w:ascii="Arial"/>
          <w:color w:val="231F1F"/>
          <w:w w:val="355"/>
          <w:position w:val="1"/>
          <w:sz w:val="7"/>
        </w:rPr>
        <w:t>l </w:t>
      </w:r>
      <w:r>
        <w:rPr>
          <w:rFonts w:ascii="Calibri"/>
          <w:color w:val="008356"/>
          <w:spacing w:val="4"/>
          <w:w w:val="110"/>
          <w:sz w:val="11"/>
        </w:rPr>
        <w:t>DEXTROPROPOXYPHENE</w:t>
      </w:r>
      <w:r>
        <w:rPr>
          <w:color w:val="231F1F"/>
          <w:spacing w:val="4"/>
          <w:w w:val="110"/>
        </w:rPr>
        <w:t>; </w:t>
      </w:r>
      <w:r>
        <w:rPr>
          <w:color w:val="231F1F"/>
          <w:w w:val="110"/>
        </w:rPr>
        <w:t>carbamazepine possibly accelerates metabolism of </w:t>
      </w:r>
      <w:r>
        <w:rPr>
          <w:rFonts w:ascii="Calibri"/>
          <w:color w:val="008356"/>
          <w:spacing w:val="3"/>
          <w:w w:val="110"/>
          <w:sz w:val="11"/>
        </w:rPr>
        <w:t>FENTANYL </w:t>
      </w:r>
      <w:r>
        <w:rPr>
          <w:color w:val="231F1F"/>
          <w:w w:val="110"/>
        </w:rPr>
        <w:t>(reduced effect); carbamazepine reduces plasma concentration of </w:t>
      </w:r>
      <w:r>
        <w:rPr>
          <w:rFonts w:ascii="Calibri"/>
          <w:color w:val="008356"/>
          <w:spacing w:val="4"/>
          <w:w w:val="110"/>
          <w:sz w:val="11"/>
        </w:rPr>
        <w:t>METHADONE</w:t>
      </w:r>
      <w:r>
        <w:rPr>
          <w:color w:val="231F1F"/>
          <w:spacing w:val="4"/>
          <w:w w:val="110"/>
        </w:rPr>
        <w:t>; </w:t>
      </w:r>
      <w:r>
        <w:rPr>
          <w:color w:val="231F1F"/>
          <w:w w:val="110"/>
        </w:rPr>
        <w:t>carbamazepine reduces effects of </w:t>
      </w:r>
      <w:r>
        <w:rPr>
          <w:rFonts w:ascii="Calibri"/>
          <w:color w:val="008356"/>
          <w:spacing w:val="4"/>
          <w:w w:val="110"/>
          <w:sz w:val="11"/>
        </w:rPr>
        <w:t>TRAMADOL</w:t>
      </w:r>
      <w:r>
        <w:rPr>
          <w:color w:val="231F1F"/>
          <w:spacing w:val="4"/>
          <w:w w:val="110"/>
        </w:rPr>
        <w:t>; </w:t>
      </w:r>
      <w:r>
        <w:rPr>
          <w:color w:val="231F1F"/>
          <w:w w:val="110"/>
        </w:rPr>
        <w:t>carbamazepine possibly accelerates metabolism of </w:t>
      </w:r>
      <w:r>
        <w:rPr>
          <w:rFonts w:ascii="Calibri"/>
          <w:color w:val="008356"/>
          <w:spacing w:val="3"/>
          <w:w w:val="110"/>
          <w:sz w:val="11"/>
        </w:rPr>
        <w:t>PARACETAMOL </w:t>
      </w:r>
      <w:r>
        <w:rPr>
          <w:color w:val="231F1F"/>
          <w:w w:val="110"/>
        </w:rPr>
        <w:t>(also isolated reports of hepatotoxicity)</w:t>
      </w:r>
    </w:p>
    <w:p>
      <w:pPr>
        <w:pStyle w:val="BodyText"/>
        <w:spacing w:line="244" w:lineRule="auto" w:before="1"/>
        <w:ind w:right="146" w:hanging="100"/>
        <w:jc w:val="both"/>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231F1F"/>
          <w:w w:val="115"/>
        </w:rPr>
        <w:t>Anthelmintics:</w:t>
      </w:r>
      <w:r>
        <w:rPr>
          <w:rFonts w:ascii="Calibri" w:hAnsi="Calibri"/>
          <w:color w:val="231F1F"/>
          <w:spacing w:val="-17"/>
          <w:w w:val="115"/>
        </w:rPr>
        <w:t> </w:t>
      </w:r>
      <w:r>
        <w:rPr>
          <w:color w:val="231F1F"/>
          <w:w w:val="115"/>
        </w:rPr>
        <w:t>carbamazepine</w:t>
      </w:r>
      <w:r>
        <w:rPr>
          <w:color w:val="231F1F"/>
          <w:spacing w:val="-21"/>
          <w:w w:val="115"/>
        </w:rPr>
        <w:t> </w:t>
      </w:r>
      <w:r>
        <w:rPr>
          <w:color w:val="231F1F"/>
          <w:w w:val="115"/>
        </w:rPr>
        <w:t>reduces</w:t>
      </w:r>
      <w:r>
        <w:rPr>
          <w:color w:val="231F1F"/>
          <w:spacing w:val="-22"/>
          <w:w w:val="115"/>
        </w:rPr>
        <w:t> </w:t>
      </w:r>
      <w:r>
        <w:rPr>
          <w:color w:val="231F1F"/>
          <w:w w:val="115"/>
        </w:rPr>
        <w:t>plasma</w:t>
      </w:r>
      <w:r>
        <w:rPr>
          <w:color w:val="231F1F"/>
          <w:spacing w:val="-20"/>
          <w:w w:val="115"/>
        </w:rPr>
        <w:t> </w:t>
      </w:r>
      <w:r>
        <w:rPr>
          <w:color w:val="231F1F"/>
          <w:w w:val="115"/>
        </w:rPr>
        <w:t>concentration of</w:t>
      </w:r>
      <w:r>
        <w:rPr>
          <w:color w:val="231F1F"/>
          <w:spacing w:val="-25"/>
          <w:w w:val="115"/>
        </w:rPr>
        <w:t> </w:t>
      </w:r>
      <w:r>
        <w:rPr>
          <w:rFonts w:ascii="Arial" w:hAnsi="Arial"/>
          <w:color w:val="231F1F"/>
          <w:w w:val="150"/>
          <w:position w:val="1"/>
          <w:sz w:val="7"/>
        </w:rPr>
        <w:t>l</w:t>
      </w:r>
      <w:r>
        <w:rPr>
          <w:rFonts w:ascii="Arial" w:hAnsi="Arial"/>
          <w:color w:val="231F1F"/>
          <w:spacing w:val="-19"/>
          <w:w w:val="150"/>
          <w:position w:val="1"/>
          <w:sz w:val="7"/>
        </w:rPr>
        <w:t> </w:t>
      </w:r>
      <w:r>
        <w:rPr>
          <w:rFonts w:ascii="Calibri" w:hAnsi="Calibri"/>
          <w:color w:val="008356"/>
          <w:spacing w:val="4"/>
          <w:w w:val="115"/>
          <w:sz w:val="11"/>
        </w:rPr>
        <w:t>ALBENDAZOLE</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150"/>
          <w:position w:val="1"/>
          <w:sz w:val="7"/>
        </w:rPr>
        <w:t>l</w:t>
      </w:r>
      <w:r>
        <w:rPr>
          <w:rFonts w:ascii="Arial" w:hAnsi="Arial"/>
          <w:color w:val="231F1F"/>
          <w:spacing w:val="-20"/>
          <w:w w:val="150"/>
          <w:position w:val="1"/>
          <w:sz w:val="7"/>
        </w:rPr>
        <w:t> </w:t>
      </w:r>
      <w:r>
        <w:rPr>
          <w:rFonts w:ascii="Calibri" w:hAnsi="Calibri"/>
          <w:color w:val="008356"/>
          <w:spacing w:val="2"/>
          <w:w w:val="115"/>
          <w:sz w:val="11"/>
        </w:rPr>
        <w:t>PRAZIQUANTEL</w:t>
      </w:r>
      <w:r>
        <w:rPr>
          <w:rFonts w:ascii="Arial" w:hAnsi="Arial"/>
          <w:color w:val="231F1F"/>
          <w:spacing w:val="2"/>
          <w:w w:val="115"/>
        </w:rPr>
        <w:t>—</w:t>
      </w:r>
      <w:r>
        <w:rPr>
          <w:color w:val="231F1F"/>
          <w:spacing w:val="2"/>
          <w:w w:val="115"/>
        </w:rPr>
        <w:t>consider</w:t>
      </w:r>
      <w:r>
        <w:rPr>
          <w:color w:val="231F1F"/>
          <w:spacing w:val="-24"/>
          <w:w w:val="115"/>
        </w:rPr>
        <w:t> </w:t>
      </w:r>
      <w:r>
        <w:rPr>
          <w:color w:val="231F1F"/>
          <w:w w:val="115"/>
        </w:rPr>
        <w:t>increasing albendazole</w:t>
      </w:r>
      <w:r>
        <w:rPr>
          <w:color w:val="231F1F"/>
          <w:spacing w:val="-8"/>
          <w:w w:val="115"/>
        </w:rPr>
        <w:t> </w:t>
      </w:r>
      <w:r>
        <w:rPr>
          <w:color w:val="231F1F"/>
          <w:w w:val="115"/>
        </w:rPr>
        <w:t>and</w:t>
      </w:r>
      <w:r>
        <w:rPr>
          <w:color w:val="231F1F"/>
          <w:spacing w:val="-9"/>
          <w:w w:val="115"/>
        </w:rPr>
        <w:t> </w:t>
      </w:r>
      <w:r>
        <w:rPr>
          <w:color w:val="231F1F"/>
          <w:w w:val="115"/>
        </w:rPr>
        <w:t>praziquantel</w:t>
      </w:r>
      <w:r>
        <w:rPr>
          <w:color w:val="231F1F"/>
          <w:spacing w:val="-10"/>
          <w:w w:val="115"/>
        </w:rPr>
        <w:t> </w:t>
      </w:r>
      <w:r>
        <w:rPr>
          <w:color w:val="231F1F"/>
          <w:w w:val="115"/>
        </w:rPr>
        <w:t>dose</w:t>
      </w:r>
      <w:r>
        <w:rPr>
          <w:color w:val="231F1F"/>
          <w:spacing w:val="-8"/>
          <w:w w:val="115"/>
        </w:rPr>
        <w:t> </w:t>
      </w:r>
      <w:r>
        <w:rPr>
          <w:color w:val="231F1F"/>
          <w:w w:val="115"/>
        </w:rPr>
        <w:t>when</w:t>
      </w:r>
      <w:r>
        <w:rPr>
          <w:color w:val="231F1F"/>
          <w:spacing w:val="-9"/>
          <w:w w:val="115"/>
        </w:rPr>
        <w:t> </w:t>
      </w:r>
      <w:r>
        <w:rPr>
          <w:color w:val="231F1F"/>
          <w:w w:val="115"/>
        </w:rPr>
        <w:t>given</w:t>
      </w:r>
      <w:r>
        <w:rPr>
          <w:color w:val="231F1F"/>
          <w:spacing w:val="-10"/>
          <w:w w:val="115"/>
        </w:rPr>
        <w:t> </w:t>
      </w:r>
      <w:r>
        <w:rPr>
          <w:color w:val="231F1F"/>
          <w:w w:val="115"/>
        </w:rPr>
        <w:t>for</w:t>
      </w:r>
      <w:r>
        <w:rPr>
          <w:color w:val="231F1F"/>
          <w:spacing w:val="-8"/>
          <w:w w:val="115"/>
        </w:rPr>
        <w:t> </w:t>
      </w:r>
      <w:r>
        <w:rPr>
          <w:color w:val="231F1F"/>
          <w:w w:val="115"/>
        </w:rPr>
        <w:t>systemic infections</w:t>
      </w:r>
    </w:p>
    <w:p>
      <w:pPr>
        <w:pStyle w:val="BodyText"/>
        <w:spacing w:before="7"/>
        <w:ind w:left="0"/>
        <w:rPr>
          <w:sz w:val="14"/>
        </w:rPr>
      </w:pPr>
      <w:r>
        <w:rPr/>
        <w:br w:type="column"/>
      </w:r>
      <w:r>
        <w:rPr>
          <w:sz w:val="14"/>
        </w:rPr>
      </w:r>
    </w:p>
    <w:p>
      <w:pPr>
        <w:pStyle w:val="BodyText"/>
        <w:spacing w:line="144" w:lineRule="exact"/>
        <w:ind w:left="108"/>
        <w:rPr>
          <w:rFonts w:ascii="Calibri"/>
        </w:rPr>
      </w:pPr>
      <w:r>
        <w:rPr>
          <w:rFonts w:ascii="Arial"/>
          <w:color w:val="008356"/>
        </w:rPr>
        <w:t>Carbamazepine </w:t>
      </w:r>
      <w:r>
        <w:rPr>
          <w:rFonts w:ascii="Calibri"/>
          <w:color w:val="231F1F"/>
        </w:rPr>
        <w:t>(continued)</w:t>
      </w:r>
    </w:p>
    <w:p>
      <w:pPr>
        <w:pStyle w:val="BodyText"/>
        <w:spacing w:line="237" w:lineRule="auto"/>
        <w:ind w:right="670" w:hanging="100"/>
      </w:pPr>
      <w:r>
        <w:rPr/>
        <w:pict>
          <v:rect style="position:absolute;margin-left:398.891296pt;margin-top:-8.574244pt;width:20.522993pt;height:149.443pt;mso-position-horizontal-relative:page;mso-position-vertical-relative:paragraph;z-index:2752" filled="true" fillcolor="#bfdbcf" stroked="false">
            <v:fill type="solid"/>
            <w10:wrap type="none"/>
          </v:rect>
        </w:pict>
      </w:r>
      <w:r>
        <w:rPr/>
        <w:pict>
          <v:shape style="position:absolute;margin-left:399.725769pt;margin-top:-3.610855pt;width:10.4pt;height:78.850pt;mso-position-horizontal-relative:page;mso-position-vertical-relative:paragraph;z-index:277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Calibri" w:hAnsi="Calibri"/>
          <w:color w:val="231F1F"/>
          <w:w w:val="110"/>
        </w:rPr>
        <w:t>Anti-arrhythmics: </w:t>
      </w:r>
      <w:r>
        <w:rPr>
          <w:color w:val="231F1F"/>
          <w:w w:val="110"/>
        </w:rPr>
        <w:t>carbamazepine possibly reduces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w:t>
      </w:r>
    </w:p>
    <w:p>
      <w:pPr>
        <w:pStyle w:val="BodyText"/>
        <w:spacing w:line="244" w:lineRule="auto"/>
        <w:ind w:right="857" w:hanging="100"/>
      </w:pPr>
      <w:r>
        <w:rPr>
          <w:rFonts w:ascii="Arial" w:hAnsi="Arial"/>
          <w:color w:val="231F1F"/>
          <w:w w:val="355"/>
          <w:position w:val="1"/>
          <w:sz w:val="7"/>
        </w:rPr>
        <w:t>l </w:t>
      </w:r>
      <w:r>
        <w:rPr>
          <w:rFonts w:ascii="Calibri" w:hAnsi="Calibri"/>
          <w:color w:val="231F1F"/>
          <w:w w:val="115"/>
        </w:rPr>
        <w:t>Antibacterials: </w:t>
      </w:r>
      <w:r>
        <w:rPr>
          <w:color w:val="231F1F"/>
          <w:w w:val="115"/>
        </w:rPr>
        <w:t>plasma concentration of carbamazepine increased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CLARITHROMYCIN</w:t>
      </w:r>
      <w:r>
        <w:rPr>
          <w:rFonts w:ascii="Calibri" w:hAnsi="Calibri"/>
          <w:color w:val="008356"/>
          <w:spacing w:val="-15"/>
          <w:w w:val="115"/>
          <w:sz w:val="11"/>
        </w:rPr>
        <w:t> </w:t>
      </w:r>
      <w:r>
        <w:rPr>
          <w:color w:val="231F1F"/>
          <w:w w:val="115"/>
        </w:rPr>
        <w:t>(consider</w:t>
      </w:r>
      <w:r>
        <w:rPr>
          <w:color w:val="231F1F"/>
          <w:spacing w:val="-23"/>
          <w:w w:val="115"/>
        </w:rPr>
        <w:t> </w:t>
      </w:r>
      <w:r>
        <w:rPr>
          <w:color w:val="231F1F"/>
          <w:w w:val="115"/>
        </w:rPr>
        <w:t>reducing</w:t>
      </w:r>
      <w:r>
        <w:rPr>
          <w:color w:val="231F1F"/>
          <w:spacing w:val="-23"/>
          <w:w w:val="115"/>
        </w:rPr>
        <w:t> </w:t>
      </w:r>
      <w:r>
        <w:rPr>
          <w:color w:val="231F1F"/>
          <w:w w:val="115"/>
        </w:rPr>
        <w:t>dose</w:t>
      </w:r>
      <w:r>
        <w:rPr>
          <w:color w:val="231F1F"/>
          <w:spacing w:val="-23"/>
          <w:w w:val="115"/>
        </w:rPr>
        <w:t> </w:t>
      </w:r>
      <w:r>
        <w:rPr>
          <w:color w:val="231F1F"/>
          <w:w w:val="115"/>
        </w:rPr>
        <w:t>of carbamazepine); plasma concentration of carbamazepine increased by </w:t>
      </w:r>
      <w:r>
        <w:rPr>
          <w:rFonts w:ascii="Arial" w:hAnsi="Arial"/>
          <w:color w:val="231F1F"/>
          <w:w w:val="355"/>
          <w:position w:val="1"/>
          <w:sz w:val="7"/>
        </w:rPr>
        <w:t>l </w:t>
      </w:r>
      <w:r>
        <w:rPr>
          <w:rFonts w:ascii="Calibri" w:hAnsi="Calibri"/>
          <w:color w:val="008356"/>
          <w:spacing w:val="4"/>
          <w:w w:val="115"/>
          <w:sz w:val="11"/>
        </w:rPr>
        <w:t>ERYTHROMYCIN</w:t>
      </w:r>
      <w:r>
        <w:rPr>
          <w:color w:val="231F1F"/>
          <w:spacing w:val="4"/>
          <w:w w:val="115"/>
        </w:rPr>
        <w:t>; </w:t>
      </w:r>
      <w:r>
        <w:rPr>
          <w:color w:val="231F1F"/>
          <w:w w:val="115"/>
        </w:rPr>
        <w:t>plasma concentration of carbamazepine reduced by </w:t>
      </w:r>
      <w:r>
        <w:rPr>
          <w:rFonts w:ascii="Arial" w:hAnsi="Arial"/>
          <w:color w:val="231F1F"/>
          <w:w w:val="355"/>
          <w:position w:val="1"/>
          <w:sz w:val="7"/>
        </w:rPr>
        <w:t>l </w:t>
      </w:r>
      <w:r>
        <w:rPr>
          <w:rFonts w:ascii="Calibri" w:hAnsi="Calibri"/>
          <w:color w:val="008356"/>
          <w:spacing w:val="4"/>
          <w:w w:val="115"/>
          <w:sz w:val="11"/>
        </w:rPr>
        <w:t>RIFABUTIN</w:t>
      </w:r>
      <w:r>
        <w:rPr>
          <w:color w:val="231F1F"/>
          <w:spacing w:val="4"/>
          <w:w w:val="115"/>
        </w:rPr>
        <w:t>; </w:t>
      </w:r>
      <w:r>
        <w:rPr>
          <w:color w:val="231F1F"/>
          <w:w w:val="115"/>
        </w:rPr>
        <w:t>carbamazepine accelerates</w:t>
      </w:r>
      <w:r>
        <w:rPr>
          <w:color w:val="231F1F"/>
          <w:spacing w:val="-18"/>
          <w:w w:val="115"/>
        </w:rPr>
        <w:t> </w:t>
      </w:r>
      <w:r>
        <w:rPr>
          <w:color w:val="231F1F"/>
          <w:w w:val="115"/>
        </w:rPr>
        <w:t>metabolism</w:t>
      </w:r>
      <w:r>
        <w:rPr>
          <w:color w:val="231F1F"/>
          <w:spacing w:val="-17"/>
          <w:w w:val="115"/>
        </w:rPr>
        <w:t> </w:t>
      </w:r>
      <w:r>
        <w:rPr>
          <w:color w:val="231F1F"/>
          <w:w w:val="115"/>
        </w:rPr>
        <w:t>of</w:t>
      </w:r>
      <w:r>
        <w:rPr>
          <w:color w:val="231F1F"/>
          <w:spacing w:val="-17"/>
          <w:w w:val="115"/>
        </w:rPr>
        <w:t> </w:t>
      </w:r>
      <w:r>
        <w:rPr>
          <w:rFonts w:ascii="Calibri" w:hAnsi="Calibri"/>
          <w:color w:val="008356"/>
          <w:spacing w:val="4"/>
          <w:w w:val="115"/>
          <w:sz w:val="11"/>
        </w:rPr>
        <w:t>DOXYCYCLINE</w:t>
      </w:r>
      <w:r>
        <w:rPr>
          <w:rFonts w:ascii="Calibri" w:hAnsi="Calibri"/>
          <w:color w:val="008356"/>
          <w:spacing w:val="-8"/>
          <w:w w:val="115"/>
          <w:sz w:val="11"/>
        </w:rPr>
        <w:t> </w:t>
      </w:r>
      <w:r>
        <w:rPr>
          <w:color w:val="231F1F"/>
          <w:w w:val="115"/>
        </w:rPr>
        <w:t>(reduced</w:t>
      </w:r>
      <w:r>
        <w:rPr>
          <w:color w:val="231F1F"/>
          <w:spacing w:val="-18"/>
          <w:w w:val="115"/>
        </w:rPr>
        <w:t> </w:t>
      </w:r>
      <w:r>
        <w:rPr>
          <w:color w:val="231F1F"/>
          <w:w w:val="115"/>
        </w:rPr>
        <w:t>effect); carbamazepine possibly reduces plasma concentration of </w:t>
      </w:r>
      <w:r>
        <w:rPr>
          <w:rFonts w:ascii="Arial" w:hAnsi="Arial"/>
          <w:color w:val="231F1F"/>
          <w:w w:val="160"/>
          <w:position w:val="1"/>
          <w:sz w:val="7"/>
        </w:rPr>
        <w:t>l</w:t>
      </w:r>
      <w:r>
        <w:rPr>
          <w:rFonts w:ascii="Arial" w:hAnsi="Arial"/>
          <w:color w:val="231F1F"/>
          <w:spacing w:val="-22"/>
          <w:w w:val="160"/>
          <w:position w:val="1"/>
          <w:sz w:val="7"/>
        </w:rPr>
        <w:t> </w:t>
      </w:r>
      <w:r>
        <w:rPr>
          <w:rFonts w:ascii="Calibri" w:hAnsi="Calibri"/>
          <w:color w:val="008356"/>
          <w:spacing w:val="2"/>
          <w:w w:val="115"/>
          <w:sz w:val="11"/>
        </w:rPr>
        <w:t>BEDAQUILINE</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3"/>
          <w:w w:val="115"/>
        </w:rPr>
        <w:t> </w:t>
      </w:r>
      <w:r>
        <w:rPr>
          <w:color w:val="231F1F"/>
          <w:w w:val="115"/>
        </w:rPr>
        <w:t>bedaquiline</w:t>
      </w:r>
      <w:r>
        <w:rPr>
          <w:color w:val="231F1F"/>
          <w:spacing w:val="-25"/>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9"/>
          <w:w w:val="115"/>
        </w:rPr>
        <w:t> </w:t>
      </w:r>
      <w:r>
        <w:rPr>
          <w:color w:val="231F1F"/>
          <w:w w:val="115"/>
        </w:rPr>
        <w:t>use;</w:t>
      </w:r>
      <w:r>
        <w:rPr>
          <w:color w:val="231F1F"/>
          <w:spacing w:val="-8"/>
          <w:w w:val="115"/>
        </w:rPr>
        <w:t> </w:t>
      </w:r>
      <w:r>
        <w:rPr>
          <w:color w:val="231F1F"/>
          <w:w w:val="115"/>
        </w:rPr>
        <w:t>avoidance</w:t>
      </w:r>
      <w:r>
        <w:rPr>
          <w:color w:val="231F1F"/>
          <w:spacing w:val="-7"/>
          <w:w w:val="115"/>
        </w:rPr>
        <w:t> </w:t>
      </w:r>
      <w:r>
        <w:rPr>
          <w:color w:val="231F1F"/>
          <w:w w:val="115"/>
        </w:rPr>
        <w:t>of</w:t>
      </w:r>
      <w:r>
        <w:rPr>
          <w:color w:val="231F1F"/>
          <w:spacing w:val="-8"/>
          <w:w w:val="115"/>
        </w:rPr>
        <w:t> </w:t>
      </w:r>
      <w:r>
        <w:rPr>
          <w:color w:val="231F1F"/>
          <w:w w:val="115"/>
        </w:rPr>
        <w:t>carbamazepine</w:t>
      </w:r>
      <w:r>
        <w:rPr>
          <w:color w:val="231F1F"/>
          <w:spacing w:val="-9"/>
          <w:w w:val="115"/>
        </w:rPr>
        <w:t> </w:t>
      </w:r>
      <w:r>
        <w:rPr>
          <w:color w:val="231F1F"/>
          <w:w w:val="115"/>
        </w:rPr>
        <w:t>advised</w:t>
      </w:r>
      <w:r>
        <w:rPr>
          <w:color w:val="231F1F"/>
          <w:spacing w:val="-8"/>
          <w:w w:val="115"/>
        </w:rPr>
        <w:t> </w:t>
      </w:r>
      <w:r>
        <w:rPr>
          <w:color w:val="231F1F"/>
          <w:w w:val="115"/>
        </w:rPr>
        <w:t>by manufacturer of </w:t>
      </w:r>
      <w:r>
        <w:rPr>
          <w:rFonts w:ascii="Calibri" w:hAnsi="Calibri"/>
          <w:color w:val="008356"/>
          <w:spacing w:val="4"/>
          <w:w w:val="115"/>
          <w:sz w:val="11"/>
        </w:rPr>
        <w:t>DELAMANID</w:t>
      </w:r>
      <w:r>
        <w:rPr>
          <w:color w:val="231F1F"/>
          <w:spacing w:val="4"/>
          <w:w w:val="115"/>
        </w:rPr>
        <w:t>; </w:t>
      </w:r>
      <w:r>
        <w:rPr>
          <w:color w:val="231F1F"/>
          <w:w w:val="115"/>
        </w:rPr>
        <w:t>plasma concentration of carbamazepine</w:t>
      </w:r>
      <w:r>
        <w:rPr>
          <w:color w:val="231F1F"/>
          <w:spacing w:val="-12"/>
          <w:w w:val="115"/>
        </w:rPr>
        <w:t> </w:t>
      </w:r>
      <w:r>
        <w:rPr>
          <w:color w:val="231F1F"/>
          <w:w w:val="115"/>
        </w:rPr>
        <w:t>increased</w:t>
      </w:r>
      <w:r>
        <w:rPr>
          <w:color w:val="231F1F"/>
          <w:spacing w:val="-11"/>
          <w:w w:val="115"/>
        </w:rPr>
        <w:t> </w:t>
      </w:r>
      <w:r>
        <w:rPr>
          <w:color w:val="231F1F"/>
          <w:w w:val="115"/>
        </w:rPr>
        <w:t>by</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5"/>
          <w:sz w:val="11"/>
        </w:rPr>
        <w:t>ISONIAZID</w:t>
      </w:r>
      <w:r>
        <w:rPr>
          <w:rFonts w:ascii="Calibri" w:hAnsi="Calibri"/>
          <w:color w:val="008356"/>
          <w:w w:val="115"/>
          <w:sz w:val="11"/>
        </w:rPr>
        <w:t> </w:t>
      </w:r>
      <w:r>
        <w:rPr>
          <w:color w:val="231F1F"/>
          <w:w w:val="115"/>
        </w:rPr>
        <w:t>(also</w:t>
      </w:r>
      <w:r>
        <w:rPr>
          <w:color w:val="231F1F"/>
          <w:spacing w:val="-11"/>
          <w:w w:val="115"/>
        </w:rPr>
        <w:t> </w:t>
      </w:r>
      <w:r>
        <w:rPr>
          <w:color w:val="231F1F"/>
          <w:w w:val="115"/>
        </w:rPr>
        <w:t>possibly</w:t>
      </w:r>
    </w:p>
    <w:p>
      <w:pPr>
        <w:pStyle w:val="BodyText"/>
        <w:spacing w:line="247" w:lineRule="auto"/>
        <w:ind w:right="779"/>
        <w:jc w:val="both"/>
      </w:pPr>
      <w:r>
        <w:rPr>
          <w:color w:val="231F1F"/>
          <w:w w:val="110"/>
        </w:rPr>
        <w:t>increased isoniazid hepatotoxicity); carbamazepine reduces plasma concentration of </w:t>
      </w:r>
      <w:r>
        <w:rPr>
          <w:rFonts w:ascii="Arial"/>
          <w:color w:val="231F1F"/>
          <w:w w:val="355"/>
          <w:position w:val="1"/>
          <w:sz w:val="7"/>
        </w:rPr>
        <w:t>l </w:t>
      </w:r>
      <w:r>
        <w:rPr>
          <w:rFonts w:ascii="Calibri"/>
          <w:color w:val="008356"/>
          <w:w w:val="110"/>
          <w:sz w:val="11"/>
        </w:rPr>
        <w:t>TELITHROMYCIN </w:t>
      </w:r>
      <w:r>
        <w:rPr>
          <w:color w:val="231F1F"/>
          <w:w w:val="110"/>
        </w:rPr>
        <w:t>(avoid during and for 2 weeks after carbamazepine)</w:t>
      </w:r>
    </w:p>
    <w:p>
      <w:pPr>
        <w:pStyle w:val="BodyText"/>
        <w:spacing w:line="244" w:lineRule="auto"/>
        <w:ind w:right="639" w:hanging="100"/>
      </w:pPr>
      <w:r>
        <w:rPr>
          <w:rFonts w:ascii="Arial" w:hAnsi="Arial"/>
          <w:color w:val="231F1F"/>
          <w:w w:val="355"/>
          <w:position w:val="1"/>
          <w:sz w:val="7"/>
        </w:rPr>
        <w:t>l </w:t>
      </w:r>
      <w:r>
        <w:rPr>
          <w:rFonts w:ascii="Calibri" w:hAnsi="Calibri"/>
          <w:color w:val="231F1F"/>
          <w:w w:val="115"/>
        </w:rPr>
        <w:t>Anticoagulants: </w:t>
      </w:r>
      <w:r>
        <w:rPr>
          <w:color w:val="231F1F"/>
          <w:w w:val="115"/>
        </w:rPr>
        <w:t>carbamazepine possibly reduces plasma concentration of </w:t>
      </w:r>
      <w:r>
        <w:rPr>
          <w:rFonts w:ascii="Arial" w:hAnsi="Arial"/>
          <w:color w:val="231F1F"/>
          <w:w w:val="355"/>
          <w:position w:val="1"/>
          <w:sz w:val="7"/>
        </w:rPr>
        <w:t>l </w:t>
      </w:r>
      <w:r>
        <w:rPr>
          <w:rFonts w:ascii="Calibri" w:hAnsi="Calibri"/>
          <w:color w:val="008356"/>
          <w:w w:val="115"/>
          <w:sz w:val="11"/>
        </w:rPr>
        <w:t>APIXABAN</w:t>
      </w:r>
      <w:r>
        <w:rPr>
          <w:rFonts w:ascii="Arial" w:hAnsi="Arial"/>
          <w:color w:val="231F1F"/>
          <w:w w:val="115"/>
        </w:rPr>
        <w:t>—</w:t>
      </w:r>
      <w:r>
        <w:rPr>
          <w:color w:val="231F1F"/>
          <w:w w:val="115"/>
        </w:rPr>
        <w:t>manufacturer of apixaban advises avoid concomitant use when given for treatment of deep-vein thrombosis or pulmonary embolism; carbamazepine accelerates metabolism of </w:t>
      </w:r>
      <w:r>
        <w:rPr>
          <w:rFonts w:ascii="Arial" w:hAnsi="Arial"/>
          <w:color w:val="231F1F"/>
          <w:w w:val="355"/>
          <w:position w:val="1"/>
          <w:sz w:val="7"/>
        </w:rPr>
        <w:t>l </w:t>
      </w:r>
      <w:r>
        <w:rPr>
          <w:rFonts w:ascii="Calibri" w:hAnsi="Calibri"/>
          <w:color w:val="008356"/>
          <w:spacing w:val="5"/>
          <w:w w:val="115"/>
          <w:sz w:val="11"/>
        </w:rPr>
        <w:t>COUMARINS </w:t>
      </w:r>
      <w:r>
        <w:rPr>
          <w:color w:val="231F1F"/>
          <w:w w:val="115"/>
        </w:rPr>
        <w:t>(reduced anticoagulant effect); carbamazepine possibly reduces plasma concentration of </w:t>
      </w:r>
      <w:r>
        <w:rPr>
          <w:rFonts w:ascii="Calibri" w:hAnsi="Calibri"/>
          <w:color w:val="008356"/>
          <w:w w:val="115"/>
          <w:sz w:val="11"/>
        </w:rPr>
        <w:t>DABIGATRAN</w:t>
      </w:r>
      <w:r>
        <w:rPr>
          <w:rFonts w:ascii="Arial" w:hAnsi="Arial"/>
          <w:color w:val="231F1F"/>
          <w:w w:val="115"/>
        </w:rPr>
        <w:t>—</w:t>
      </w:r>
      <w:r>
        <w:rPr>
          <w:color w:val="231F1F"/>
          <w:w w:val="115"/>
        </w:rPr>
        <w:t>manufacturer of dabigatran advises avoid concomitant use; </w:t>
      </w:r>
      <w:r>
        <w:rPr>
          <w:color w:val="231F1F"/>
          <w:spacing w:val="-2"/>
          <w:w w:val="115"/>
        </w:rPr>
        <w:t>carbamazepine </w:t>
      </w:r>
      <w:r>
        <w:rPr>
          <w:color w:val="231F1F"/>
          <w:w w:val="115"/>
        </w:rPr>
        <w:t>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RIVAROXABAN</w:t>
      </w:r>
      <w:r>
        <w:rPr>
          <w:rFonts w:ascii="Arial" w:hAnsi="Arial"/>
          <w:color w:val="231F1F"/>
          <w:spacing w:val="4"/>
          <w:w w:val="115"/>
        </w:rPr>
        <w:t>— </w:t>
      </w:r>
      <w:r>
        <w:rPr>
          <w:color w:val="231F1F"/>
          <w:w w:val="115"/>
        </w:rPr>
        <w:t>manufacturer of rivaroxaban advises monitor for signs of thrombosis</w:t>
      </w:r>
    </w:p>
    <w:p>
      <w:pPr>
        <w:spacing w:line="244" w:lineRule="auto" w:before="0"/>
        <w:ind w:left="208" w:right="672" w:hanging="100"/>
        <w:jc w:val="left"/>
        <w:rPr>
          <w:sz w:val="12"/>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carbamazepine possibly reduces plasma concentration of </w:t>
      </w:r>
      <w:r>
        <w:rPr>
          <w:rFonts w:ascii="Calibri" w:hAnsi="Calibri"/>
          <w:color w:val="008356"/>
          <w:spacing w:val="4"/>
          <w:w w:val="110"/>
          <w:sz w:val="11"/>
        </w:rPr>
        <w:t>REBOXETINE</w:t>
      </w:r>
      <w:r>
        <w:rPr>
          <w:color w:val="231F1F"/>
          <w:spacing w:val="4"/>
          <w:w w:val="110"/>
          <w:sz w:val="12"/>
        </w:rPr>
        <w:t>; </w:t>
      </w:r>
      <w:r>
        <w:rPr>
          <w:color w:val="231F1F"/>
          <w:w w:val="110"/>
          <w:sz w:val="12"/>
        </w:rPr>
        <w:t>plasma concentration of carbamazepine</w:t>
      </w:r>
      <w:r>
        <w:rPr>
          <w:color w:val="231F1F"/>
          <w:spacing w:val="-13"/>
          <w:w w:val="110"/>
          <w:sz w:val="12"/>
        </w:rPr>
        <w:t> </w:t>
      </w:r>
      <w:r>
        <w:rPr>
          <w:color w:val="231F1F"/>
          <w:w w:val="110"/>
          <w:sz w:val="12"/>
        </w:rPr>
        <w:t>increased</w:t>
      </w:r>
      <w:r>
        <w:rPr>
          <w:color w:val="231F1F"/>
          <w:spacing w:val="-12"/>
          <w:w w:val="110"/>
          <w:sz w:val="12"/>
        </w:rPr>
        <w:t> </w:t>
      </w:r>
      <w:r>
        <w:rPr>
          <w:color w:val="231F1F"/>
          <w:w w:val="110"/>
          <w:sz w:val="12"/>
        </w:rPr>
        <w:t>by</w:t>
      </w:r>
      <w:r>
        <w:rPr>
          <w:color w:val="231F1F"/>
          <w:spacing w:val="-12"/>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FLUOXETINE</w:t>
      </w:r>
      <w:r>
        <w:rPr>
          <w:rFonts w:ascii="Calibri" w:hAnsi="Calibri"/>
          <w:color w:val="008356"/>
          <w:spacing w:val="-2"/>
          <w:w w:val="110"/>
          <w:sz w:val="11"/>
        </w:rPr>
        <w:t> </w:t>
      </w:r>
      <w:r>
        <w:rPr>
          <w:color w:val="231F1F"/>
          <w:w w:val="110"/>
          <w:sz w:val="12"/>
        </w:rPr>
        <w:t>and</w:t>
      </w:r>
      <w:r>
        <w:rPr>
          <w:color w:val="231F1F"/>
          <w:spacing w:val="-12"/>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FLUVOXAMINE</w:t>
      </w:r>
      <w:r>
        <w:rPr>
          <w:color w:val="231F1F"/>
          <w:spacing w:val="4"/>
          <w:w w:val="110"/>
          <w:sz w:val="12"/>
        </w:rPr>
        <w:t>; </w:t>
      </w:r>
      <w:r>
        <w:rPr>
          <w:color w:val="231F1F"/>
          <w:w w:val="110"/>
          <w:sz w:val="12"/>
        </w:rPr>
        <w:t>carbamazepine reduces plasma concentration of </w:t>
      </w:r>
      <w:r>
        <w:rPr>
          <w:rFonts w:ascii="Arial" w:hAnsi="Arial"/>
          <w:color w:val="231F1F"/>
          <w:w w:val="355"/>
          <w:position w:val="1"/>
          <w:sz w:val="7"/>
        </w:rPr>
        <w:t>l </w:t>
      </w:r>
      <w:r>
        <w:rPr>
          <w:rFonts w:ascii="Calibri" w:hAnsi="Calibri"/>
          <w:color w:val="008356"/>
          <w:spacing w:val="4"/>
          <w:w w:val="110"/>
          <w:sz w:val="11"/>
        </w:rPr>
        <w:t>MIANSERIN</w:t>
      </w:r>
      <w:r>
        <w:rPr>
          <w:color w:val="231F1F"/>
          <w:spacing w:val="4"/>
          <w:w w:val="110"/>
          <w:sz w:val="12"/>
        </w:rPr>
        <w:t>, </w:t>
      </w:r>
      <w:r>
        <w:rPr>
          <w:rFonts w:ascii="Calibri" w:hAnsi="Calibri"/>
          <w:color w:val="008356"/>
          <w:spacing w:val="4"/>
          <w:w w:val="110"/>
          <w:sz w:val="11"/>
        </w:rPr>
        <w:t>MIRTAZAPINE </w:t>
      </w:r>
      <w:r>
        <w:rPr>
          <w:color w:val="231F1F"/>
          <w:w w:val="110"/>
          <w:sz w:val="12"/>
        </w:rPr>
        <w:t>and </w:t>
      </w:r>
      <w:r>
        <w:rPr>
          <w:rFonts w:ascii="Calibri" w:hAnsi="Calibri"/>
          <w:color w:val="008356"/>
          <w:spacing w:val="4"/>
          <w:w w:val="110"/>
          <w:sz w:val="11"/>
        </w:rPr>
        <w:t>TRAZODONE</w:t>
      </w:r>
      <w:r>
        <w:rPr>
          <w:color w:val="231F1F"/>
          <w:spacing w:val="4"/>
          <w:w w:val="110"/>
          <w:sz w:val="12"/>
        </w:rPr>
        <w:t>; </w:t>
      </w:r>
      <w:r>
        <w:rPr>
          <w:color w:val="231F1F"/>
          <w:w w:val="110"/>
          <w:sz w:val="12"/>
        </w:rPr>
        <w:t>anticonvulsant effect of antiepileptics possibly antagonised by </w:t>
      </w:r>
      <w:r>
        <w:rPr>
          <w:rFonts w:ascii="Calibri" w:hAnsi="Calibri"/>
          <w:color w:val="008356"/>
          <w:spacing w:val="3"/>
          <w:w w:val="110"/>
          <w:sz w:val="11"/>
        </w:rPr>
        <w:t>MAOI</w:t>
      </w:r>
      <w:r>
        <w:rPr>
          <w:rFonts w:ascii="Calibri" w:hAnsi="Calibri"/>
          <w:color w:val="008356"/>
          <w:spacing w:val="3"/>
          <w:w w:val="110"/>
          <w:sz w:val="9"/>
        </w:rPr>
        <w:t>S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TRICYCLIC- </w:t>
      </w:r>
      <w:r>
        <w:rPr>
          <w:rFonts w:ascii="Calibri" w:hAnsi="Calibri"/>
          <w:color w:val="008356"/>
          <w:spacing w:val="3"/>
          <w:w w:val="110"/>
          <w:sz w:val="11"/>
        </w:rPr>
        <w:t>RELATED </w:t>
      </w:r>
      <w:r>
        <w:rPr>
          <w:rFonts w:ascii="Calibri" w:hAnsi="Calibri"/>
          <w:color w:val="008356"/>
          <w:spacing w:val="4"/>
          <w:w w:val="110"/>
          <w:sz w:val="11"/>
        </w:rPr>
        <w:t>ANTIDEPRESSANTS </w:t>
      </w:r>
      <w:r>
        <w:rPr>
          <w:color w:val="231F1F"/>
          <w:w w:val="110"/>
          <w:sz w:val="12"/>
        </w:rPr>
        <w:t>(convulsive threshold lowered); manufacturer of carbamazepine advises avoid for 2 weeks  after stopping </w:t>
      </w:r>
      <w:r>
        <w:rPr>
          <w:rFonts w:ascii="Arial" w:hAnsi="Arial"/>
          <w:color w:val="231F1F"/>
          <w:w w:val="355"/>
          <w:position w:val="1"/>
          <w:sz w:val="7"/>
        </w:rPr>
        <w:t>l </w:t>
      </w:r>
      <w:r>
        <w:rPr>
          <w:rFonts w:ascii="Calibri" w:hAnsi="Calibri"/>
          <w:color w:val="008356"/>
          <w:spacing w:val="4"/>
          <w:w w:val="110"/>
          <w:sz w:val="11"/>
        </w:rPr>
        <w:t>MAOIS</w:t>
      </w:r>
      <w:r>
        <w:rPr>
          <w:color w:val="231F1F"/>
          <w:spacing w:val="4"/>
          <w:w w:val="110"/>
          <w:sz w:val="12"/>
        </w:rPr>
        <w:t>, </w:t>
      </w:r>
      <w:r>
        <w:rPr>
          <w:color w:val="231F1F"/>
          <w:w w:val="110"/>
          <w:sz w:val="12"/>
        </w:rPr>
        <w:t>also antagonism of anticonvulsant effect; anticonvulsant effect of  antiepileptics  antagonised by  </w:t>
      </w:r>
      <w:r>
        <w:rPr>
          <w:rFonts w:ascii="Arial" w:hAnsi="Arial"/>
          <w:color w:val="231F1F"/>
          <w:w w:val="355"/>
          <w:position w:val="1"/>
          <w:sz w:val="7"/>
        </w:rPr>
        <w:t>l </w:t>
      </w:r>
      <w:r>
        <w:rPr>
          <w:rFonts w:ascii="Calibri" w:hAnsi="Calibri"/>
          <w:color w:val="008356"/>
          <w:spacing w:val="4"/>
          <w:w w:val="110"/>
          <w:sz w:val="11"/>
        </w:rPr>
        <w:t>SSRIS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TRICYCLICS </w:t>
      </w:r>
      <w:r>
        <w:rPr>
          <w:color w:val="231F1F"/>
          <w:w w:val="110"/>
          <w:sz w:val="12"/>
        </w:rPr>
        <w:t>(convulsive threshold lowered); plasma concentration of carbamazepine possibly  reduced  by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spacing w:val="3"/>
          <w:w w:val="110"/>
          <w:sz w:val="11"/>
        </w:rPr>
        <w:t>WORT</w:t>
      </w:r>
      <w:r>
        <w:rPr>
          <w:color w:val="231F1F"/>
          <w:spacing w:val="3"/>
          <w:w w:val="110"/>
          <w:sz w:val="12"/>
        </w:rPr>
        <w:t>; </w:t>
      </w:r>
      <w:r>
        <w:rPr>
          <w:color w:val="231F1F"/>
          <w:w w:val="110"/>
          <w:sz w:val="12"/>
        </w:rPr>
        <w:t>carbamazepine accelerates metabolism</w:t>
      </w:r>
      <w:r>
        <w:rPr>
          <w:color w:val="231F1F"/>
          <w:spacing w:val="-15"/>
          <w:w w:val="110"/>
          <w:sz w:val="12"/>
        </w:rPr>
        <w:t> </w:t>
      </w:r>
      <w:r>
        <w:rPr>
          <w:color w:val="231F1F"/>
          <w:w w:val="110"/>
          <w:sz w:val="12"/>
        </w:rPr>
        <w:t>of</w:t>
      </w:r>
    </w:p>
    <w:p>
      <w:pPr>
        <w:spacing w:line="242" w:lineRule="auto" w:before="0"/>
        <w:ind w:left="208" w:right="892"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TRICYCLICS </w:t>
      </w:r>
      <w:r>
        <w:rPr>
          <w:color w:val="231F1F"/>
          <w:w w:val="115"/>
          <w:sz w:val="12"/>
        </w:rPr>
        <w:t>(reduced plasma concentration and reduced effect)</w:t>
      </w:r>
    </w:p>
    <w:p>
      <w:pPr>
        <w:pStyle w:val="BodyText"/>
        <w:spacing w:line="247" w:lineRule="auto"/>
        <w:ind w:right="688" w:hanging="100"/>
      </w:pPr>
      <w:r>
        <w:rPr>
          <w:rFonts w:ascii="Arial"/>
          <w:color w:val="231F1F"/>
          <w:w w:val="355"/>
          <w:position w:val="1"/>
          <w:sz w:val="7"/>
        </w:rPr>
        <w:t>l </w:t>
      </w:r>
      <w:r>
        <w:rPr>
          <w:rFonts w:ascii="Calibri"/>
          <w:color w:val="231F1F"/>
          <w:w w:val="110"/>
        </w:rPr>
        <w:t>Antiepileptics: </w:t>
      </w:r>
      <w:r>
        <w:rPr>
          <w:color w:val="231F1F"/>
          <w:w w:val="110"/>
        </w:rPr>
        <w:t>carbamazepine possibly reduces plasma concentration of </w:t>
      </w:r>
      <w:r>
        <w:rPr>
          <w:rFonts w:ascii="Calibri"/>
          <w:color w:val="008356"/>
          <w:spacing w:val="4"/>
          <w:w w:val="110"/>
          <w:sz w:val="11"/>
        </w:rPr>
        <w:t>ESLICARBAZEPINE </w:t>
      </w:r>
      <w:r>
        <w:rPr>
          <w:color w:val="231F1F"/>
          <w:w w:val="110"/>
        </w:rPr>
        <w:t>but risk of side-effects increased; carbamazepine possibly reduces plasma concentration of </w:t>
      </w:r>
      <w:r>
        <w:rPr>
          <w:rFonts w:ascii="Calibri"/>
          <w:color w:val="008356"/>
          <w:spacing w:val="4"/>
          <w:w w:val="110"/>
          <w:sz w:val="11"/>
        </w:rPr>
        <w:t>ETHOSUXIMIDE </w:t>
      </w:r>
      <w:r>
        <w:rPr>
          <w:color w:val="231F1F"/>
          <w:w w:val="110"/>
        </w:rPr>
        <w:t>and </w:t>
      </w:r>
      <w:r>
        <w:rPr>
          <w:rFonts w:ascii="Calibri"/>
          <w:color w:val="008356"/>
          <w:spacing w:val="4"/>
          <w:w w:val="110"/>
          <w:sz w:val="11"/>
        </w:rPr>
        <w:t>RETIGABINE</w:t>
      </w:r>
      <w:r>
        <w:rPr>
          <w:color w:val="231F1F"/>
          <w:spacing w:val="4"/>
          <w:w w:val="110"/>
        </w:rPr>
        <w:t>; </w:t>
      </w:r>
      <w:r>
        <w:rPr>
          <w:color w:val="231F1F"/>
          <w:w w:val="110"/>
        </w:rPr>
        <w:t>plasma concentration of both drugs often reduced when carbamazepine given with </w:t>
      </w:r>
      <w:r>
        <w:rPr>
          <w:rFonts w:ascii="Calibri"/>
          <w:color w:val="008356"/>
          <w:spacing w:val="4"/>
          <w:w w:val="110"/>
          <w:sz w:val="11"/>
        </w:rPr>
        <w:t>FOSPHENYTOIN </w:t>
      </w:r>
      <w:r>
        <w:rPr>
          <w:color w:val="231F1F"/>
          <w:w w:val="110"/>
        </w:rPr>
        <w:t>or </w:t>
      </w:r>
      <w:r>
        <w:rPr>
          <w:rFonts w:ascii="Calibri"/>
          <w:color w:val="008356"/>
          <w:spacing w:val="4"/>
          <w:w w:val="110"/>
          <w:sz w:val="11"/>
        </w:rPr>
        <w:t>PHENYTOIN</w:t>
      </w:r>
      <w:r>
        <w:rPr>
          <w:color w:val="231F1F"/>
          <w:spacing w:val="4"/>
          <w:w w:val="110"/>
        </w:rPr>
        <w:t>, </w:t>
      </w:r>
      <w:r>
        <w:rPr>
          <w:color w:val="231F1F"/>
          <w:w w:val="110"/>
        </w:rPr>
        <w:t>also plasma concentration of fosphenytoin or phenytoin may be increased; carbamazepine  often  reduces  plasma concentration of </w:t>
      </w:r>
      <w:r>
        <w:rPr>
          <w:rFonts w:ascii="Calibri"/>
          <w:color w:val="008356"/>
          <w:spacing w:val="4"/>
          <w:w w:val="110"/>
          <w:sz w:val="11"/>
        </w:rPr>
        <w:t>LAMOTRIGINE</w:t>
      </w:r>
      <w:r>
        <w:rPr>
          <w:color w:val="231F1F"/>
          <w:spacing w:val="4"/>
          <w:w w:val="110"/>
        </w:rPr>
        <w:t>, </w:t>
      </w:r>
      <w:r>
        <w:rPr>
          <w:color w:val="231F1F"/>
          <w:w w:val="110"/>
        </w:rPr>
        <w:t>also plasma concentration of an active metabolite of carbamazepine sometimes raised </w:t>
      </w:r>
      <w:r>
        <w:rPr>
          <w:color w:val="231F1F"/>
          <w:spacing w:val="-4"/>
          <w:w w:val="110"/>
        </w:rPr>
        <w:t>(but </w:t>
      </w:r>
      <w:r>
        <w:rPr>
          <w:color w:val="231F1F"/>
          <w:w w:val="110"/>
        </w:rPr>
        <w:t>evidence is conflicting); possible increased risk of carbamazepine toxicity when given with </w:t>
      </w:r>
      <w:r>
        <w:rPr>
          <w:rFonts w:ascii="Calibri"/>
          <w:color w:val="008356"/>
          <w:spacing w:val="4"/>
          <w:w w:val="110"/>
          <w:sz w:val="11"/>
        </w:rPr>
        <w:t>LEVETIRACETAM</w:t>
      </w:r>
      <w:r>
        <w:rPr>
          <w:color w:val="231F1F"/>
          <w:spacing w:val="4"/>
          <w:w w:val="110"/>
        </w:rPr>
        <w:t>; </w:t>
      </w:r>
      <w:r>
        <w:rPr>
          <w:color w:val="231F1F"/>
          <w:w w:val="110"/>
        </w:rPr>
        <w:t>plasma concentration of carbamazepine  sometimes  reduced by </w:t>
      </w:r>
      <w:r>
        <w:rPr>
          <w:rFonts w:ascii="Calibri"/>
          <w:color w:val="008356"/>
          <w:spacing w:val="4"/>
          <w:w w:val="110"/>
          <w:sz w:val="11"/>
        </w:rPr>
        <w:t>OXCARBAZEPINE </w:t>
      </w:r>
      <w:r>
        <w:rPr>
          <w:color w:val="231F1F"/>
          <w:w w:val="110"/>
        </w:rPr>
        <w:t>(but concentration of an active metabolite of carbamazepine may be increased), also plasma concentration of an active metabolite of oxcarbazepine often reduced; carbamazepine reduces plasma concentration</w:t>
      </w:r>
      <w:r>
        <w:rPr>
          <w:color w:val="231F1F"/>
          <w:spacing w:val="5"/>
          <w:w w:val="110"/>
        </w:rPr>
        <w:t> </w:t>
      </w:r>
      <w:r>
        <w:rPr>
          <w:color w:val="231F1F"/>
          <w:w w:val="110"/>
        </w:rPr>
        <w:t>of</w:t>
      </w:r>
    </w:p>
    <w:p>
      <w:pPr>
        <w:spacing w:line="136" w:lineRule="exact" w:before="0"/>
        <w:ind w:left="208" w:right="0" w:firstLine="0"/>
        <w:jc w:val="left"/>
        <w:rPr>
          <w:sz w:val="12"/>
        </w:rPr>
      </w:pPr>
      <w:r>
        <w:rPr>
          <w:rFonts w:ascii="Arial"/>
          <w:color w:val="231F1F"/>
          <w:w w:val="355"/>
          <w:position w:val="1"/>
          <w:sz w:val="7"/>
        </w:rPr>
        <w:t>l </w:t>
      </w:r>
      <w:r>
        <w:rPr>
          <w:rFonts w:ascii="Calibri"/>
          <w:color w:val="008356"/>
          <w:w w:val="110"/>
          <w:sz w:val="11"/>
        </w:rPr>
        <w:t>PERAMPANEL </w:t>
      </w:r>
      <w:r>
        <w:rPr>
          <w:color w:val="231F1F"/>
          <w:w w:val="110"/>
          <w:sz w:val="12"/>
        </w:rPr>
        <w:t>(see under Perampanel, p. 398);</w:t>
      </w:r>
    </w:p>
    <w:p>
      <w:pPr>
        <w:pStyle w:val="BodyText"/>
        <w:spacing w:line="244" w:lineRule="auto"/>
        <w:ind w:right="696"/>
        <w:rPr>
          <w:rFonts w:ascii="Calibri"/>
          <w:sz w:val="11"/>
        </w:rPr>
      </w:pPr>
      <w:r>
        <w:rPr>
          <w:color w:val="231F1F"/>
          <w:w w:val="110"/>
        </w:rPr>
        <w:t>carbamazepine possibly increases plasma concentration of </w:t>
      </w:r>
      <w:r>
        <w:rPr>
          <w:rFonts w:ascii="Calibri"/>
          <w:color w:val="008356"/>
          <w:spacing w:val="4"/>
          <w:w w:val="110"/>
          <w:sz w:val="11"/>
        </w:rPr>
        <w:t>PHENOBARBITAL</w:t>
      </w:r>
      <w:r>
        <w:rPr>
          <w:rFonts w:ascii="Calibri"/>
          <w:color w:val="008356"/>
          <w:w w:val="110"/>
          <w:sz w:val="11"/>
        </w:rPr>
        <w:t> </w:t>
      </w:r>
      <w:r>
        <w:rPr>
          <w:color w:val="231F1F"/>
          <w:w w:val="110"/>
        </w:rPr>
        <w:t>and</w:t>
      </w:r>
      <w:r>
        <w:rPr>
          <w:color w:val="231F1F"/>
          <w:spacing w:val="-9"/>
          <w:w w:val="110"/>
        </w:rPr>
        <w:t> </w:t>
      </w:r>
      <w:r>
        <w:rPr>
          <w:rFonts w:ascii="Calibri"/>
          <w:color w:val="008356"/>
          <w:spacing w:val="4"/>
          <w:w w:val="110"/>
          <w:sz w:val="11"/>
        </w:rPr>
        <w:t>PRIMIDONE</w:t>
      </w:r>
      <w:r>
        <w:rPr>
          <w:color w:val="231F1F"/>
          <w:spacing w:val="4"/>
          <w:w w:val="110"/>
        </w:rPr>
        <w:t>;</w:t>
      </w:r>
      <w:r>
        <w:rPr>
          <w:color w:val="231F1F"/>
          <w:spacing w:val="-8"/>
          <w:w w:val="110"/>
        </w:rPr>
        <w:t> </w:t>
      </w:r>
      <w:r>
        <w:rPr>
          <w:color w:val="231F1F"/>
          <w:w w:val="110"/>
        </w:rPr>
        <w:t>plasma</w:t>
      </w:r>
      <w:r>
        <w:rPr>
          <w:color w:val="231F1F"/>
          <w:spacing w:val="-10"/>
          <w:w w:val="110"/>
        </w:rPr>
        <w:t> </w:t>
      </w:r>
      <w:r>
        <w:rPr>
          <w:color w:val="231F1F"/>
          <w:w w:val="110"/>
        </w:rPr>
        <w:t>concentration</w:t>
      </w:r>
      <w:r>
        <w:rPr>
          <w:color w:val="231F1F"/>
          <w:spacing w:val="-10"/>
          <w:w w:val="110"/>
        </w:rPr>
        <w:t> </w:t>
      </w:r>
      <w:r>
        <w:rPr>
          <w:color w:val="231F1F"/>
          <w:w w:val="110"/>
        </w:rPr>
        <w:t>of</w:t>
      </w:r>
      <w:r>
        <w:rPr>
          <w:color w:val="231F1F"/>
          <w:spacing w:val="-10"/>
          <w:w w:val="110"/>
        </w:rPr>
        <w:t> </w:t>
      </w:r>
      <w:r>
        <w:rPr>
          <w:color w:val="231F1F"/>
          <w:w w:val="110"/>
        </w:rPr>
        <w:t>both drugs possibly reduced when carbamazepine given with </w:t>
      </w:r>
      <w:r>
        <w:rPr>
          <w:rFonts w:ascii="Calibri"/>
          <w:color w:val="008356"/>
          <w:spacing w:val="4"/>
          <w:w w:val="110"/>
          <w:sz w:val="11"/>
        </w:rPr>
        <w:t>RUFINAMIDE</w:t>
      </w:r>
      <w:r>
        <w:rPr>
          <w:color w:val="231F1F"/>
          <w:spacing w:val="4"/>
          <w:w w:val="110"/>
        </w:rPr>
        <w:t>; </w:t>
      </w:r>
      <w:r>
        <w:rPr>
          <w:color w:val="231F1F"/>
          <w:w w:val="110"/>
        </w:rPr>
        <w:t>carbamazepine reduces plasma concentration of </w:t>
      </w:r>
      <w:r>
        <w:rPr>
          <w:rFonts w:ascii="Calibri"/>
          <w:color w:val="008356"/>
          <w:spacing w:val="4"/>
          <w:w w:val="110"/>
          <w:sz w:val="11"/>
        </w:rPr>
        <w:t>SODIUM </w:t>
      </w:r>
      <w:r>
        <w:rPr>
          <w:rFonts w:ascii="Calibri"/>
          <w:color w:val="008356"/>
          <w:spacing w:val="3"/>
          <w:w w:val="110"/>
          <w:sz w:val="11"/>
        </w:rPr>
        <w:t>VALPROATE </w:t>
      </w:r>
      <w:r>
        <w:rPr>
          <w:color w:val="231F1F"/>
          <w:w w:val="110"/>
        </w:rPr>
        <w:t>and </w:t>
      </w:r>
      <w:r>
        <w:rPr>
          <w:rFonts w:ascii="Calibri"/>
          <w:color w:val="008356"/>
          <w:spacing w:val="3"/>
          <w:w w:val="110"/>
          <w:sz w:val="11"/>
        </w:rPr>
        <w:t>VALPROIC ACID</w:t>
      </w:r>
      <w:r>
        <w:rPr>
          <w:color w:val="231F1F"/>
          <w:spacing w:val="3"/>
          <w:w w:val="110"/>
        </w:rPr>
        <w:t>, </w:t>
      </w:r>
      <w:r>
        <w:rPr>
          <w:color w:val="231F1F"/>
          <w:w w:val="110"/>
        </w:rPr>
        <w:t>also plasma concentration of active metabolite of carbamazepine increased; plasma concentration of carbamazepine increased by </w:t>
      </w:r>
      <w:r>
        <w:rPr>
          <w:rFonts w:ascii="Arial"/>
          <w:color w:val="231F1F"/>
          <w:w w:val="355"/>
          <w:position w:val="1"/>
          <w:sz w:val="7"/>
        </w:rPr>
        <w:t>l </w:t>
      </w:r>
      <w:r>
        <w:rPr>
          <w:rFonts w:ascii="Calibri"/>
          <w:color w:val="008356"/>
          <w:spacing w:val="4"/>
          <w:w w:val="110"/>
          <w:sz w:val="11"/>
        </w:rPr>
        <w:t>STIRIPENTOL</w:t>
      </w:r>
      <w:r>
        <w:rPr>
          <w:color w:val="231F1F"/>
          <w:spacing w:val="4"/>
          <w:w w:val="110"/>
        </w:rPr>
        <w:t>; </w:t>
      </w:r>
      <w:r>
        <w:rPr>
          <w:color w:val="231F1F"/>
          <w:w w:val="110"/>
        </w:rPr>
        <w:t>carbamazepine reduces plasma concentration of </w:t>
      </w:r>
      <w:r>
        <w:rPr>
          <w:rFonts w:ascii="Calibri"/>
          <w:color w:val="008356"/>
          <w:spacing w:val="4"/>
          <w:w w:val="110"/>
          <w:sz w:val="11"/>
        </w:rPr>
        <w:t>TIAGABINE </w:t>
      </w:r>
      <w:r>
        <w:rPr>
          <w:color w:val="231F1F"/>
          <w:w w:val="110"/>
        </w:rPr>
        <w:t>and </w:t>
      </w:r>
      <w:r>
        <w:rPr>
          <w:rFonts w:ascii="Calibri"/>
          <w:color w:val="008356"/>
          <w:spacing w:val="4"/>
          <w:w w:val="110"/>
          <w:sz w:val="11"/>
        </w:rPr>
        <w:t>ZONISAMIDE</w:t>
      </w:r>
      <w:r>
        <w:rPr>
          <w:color w:val="231F1F"/>
          <w:spacing w:val="4"/>
          <w:w w:val="110"/>
        </w:rPr>
        <w:t>; </w:t>
      </w:r>
      <w:r>
        <w:rPr>
          <w:color w:val="231F1F"/>
          <w:w w:val="110"/>
        </w:rPr>
        <w:t>carbamazepine often reduces plasma concentration of</w:t>
      </w:r>
      <w:r>
        <w:rPr>
          <w:color w:val="231F1F"/>
          <w:spacing w:val="-8"/>
          <w:w w:val="110"/>
        </w:rPr>
        <w:t> </w:t>
      </w:r>
      <w:r>
        <w:rPr>
          <w:rFonts w:ascii="Calibri"/>
          <w:color w:val="008356"/>
          <w:spacing w:val="3"/>
          <w:w w:val="110"/>
          <w:sz w:val="11"/>
        </w:rPr>
        <w:t>TOPIRAMATE</w:t>
      </w:r>
    </w:p>
    <w:p>
      <w:pPr>
        <w:pStyle w:val="BodyText"/>
        <w:spacing w:line="244" w:lineRule="auto"/>
        <w:ind w:right="670" w:hanging="100"/>
      </w:pPr>
      <w:r>
        <w:rPr>
          <w:rFonts w:ascii="Arial"/>
          <w:color w:val="231F1F"/>
          <w:w w:val="355"/>
          <w:position w:val="1"/>
          <w:sz w:val="7"/>
        </w:rPr>
        <w:t>l </w:t>
      </w:r>
      <w:r>
        <w:rPr>
          <w:rFonts w:ascii="Calibri"/>
          <w:color w:val="231F1F"/>
          <w:w w:val="110"/>
        </w:rPr>
        <w:t>Antifungals: </w:t>
      </w:r>
      <w:r>
        <w:rPr>
          <w:color w:val="231F1F"/>
          <w:w w:val="110"/>
        </w:rPr>
        <w:t>plasma concentration of carbamazepine possibly increased by </w:t>
      </w:r>
      <w:r>
        <w:rPr>
          <w:rFonts w:ascii="Calibri"/>
          <w:color w:val="008356"/>
          <w:w w:val="110"/>
          <w:sz w:val="11"/>
        </w:rPr>
        <w:t>KETOCONAZOLE</w:t>
      </w:r>
      <w:r>
        <w:rPr>
          <w:color w:val="231F1F"/>
          <w:w w:val="110"/>
        </w:rPr>
        <w:t>, also plasma concentration of ketoconazole possibly reduced; plasma concentration of carbamazepine possibly increased by </w:t>
      </w:r>
      <w:r>
        <w:rPr>
          <w:rFonts w:ascii="Calibri"/>
          <w:color w:val="008356"/>
          <w:w w:val="110"/>
          <w:sz w:val="11"/>
        </w:rPr>
        <w:t>FLUCONAZOLE </w:t>
      </w:r>
      <w:r>
        <w:rPr>
          <w:color w:val="231F1F"/>
          <w:w w:val="110"/>
        </w:rPr>
        <w:t>and</w:t>
      </w:r>
    </w:p>
    <w:p>
      <w:pPr>
        <w:spacing w:after="0" w:line="244" w:lineRule="auto"/>
        <w:sectPr>
          <w:pgSz w:w="8390" w:h="11910"/>
          <w:pgMar w:header="0" w:footer="0" w:top="460" w:bottom="0" w:left="480" w:right="0"/>
          <w:cols w:num="2" w:equalWidth="0">
            <w:col w:w="3594" w:space="8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800" filled="true" fillcolor="#bfdbcf" stroked="false">
            <v:fill type="solid"/>
            <w10:wrap type="none"/>
          </v:rect>
        </w:pict>
      </w:r>
      <w:r>
        <w:rPr/>
        <w:pict>
          <v:shape style="position:absolute;margin-left:7.751256pt;margin-top:35.804367pt;width:10.4pt;height:78.850pt;mso-position-horizontal-relative:page;mso-position-vertical-relative:page;z-index:282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Carbamazepine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Antifungals (continued)</w:t>
      </w:r>
    </w:p>
    <w:p>
      <w:pPr>
        <w:spacing w:line="244" w:lineRule="auto" w:before="0"/>
        <w:ind w:left="286" w:right="248" w:firstLine="0"/>
        <w:jc w:val="left"/>
        <w:rPr>
          <w:sz w:val="12"/>
        </w:rPr>
      </w:pPr>
      <w:r>
        <w:rPr>
          <w:rFonts w:ascii="Calibri" w:hAnsi="Calibri"/>
          <w:color w:val="008356"/>
          <w:w w:val="110"/>
          <w:sz w:val="11"/>
        </w:rPr>
        <w:t>MICONAZOLE</w:t>
      </w:r>
      <w:r>
        <w:rPr>
          <w:color w:val="231F1F"/>
          <w:w w:val="110"/>
          <w:sz w:val="12"/>
        </w:rPr>
        <w:t>; carbamazepine possibly reduces plasma concentration of </w:t>
      </w:r>
      <w:r>
        <w:rPr>
          <w:rFonts w:ascii="Calibri" w:hAnsi="Calibri"/>
          <w:color w:val="008356"/>
          <w:w w:val="110"/>
          <w:sz w:val="11"/>
        </w:rPr>
        <w:t>ITRACONAZOLE </w:t>
      </w:r>
      <w:r>
        <w:rPr>
          <w:color w:val="231F1F"/>
          <w:w w:val="110"/>
          <w:sz w:val="12"/>
        </w:rPr>
        <w:t>and </w:t>
      </w:r>
      <w:r>
        <w:rPr>
          <w:rFonts w:ascii="Arial" w:hAnsi="Arial"/>
          <w:color w:val="231F1F"/>
          <w:w w:val="355"/>
          <w:position w:val="1"/>
          <w:sz w:val="7"/>
        </w:rPr>
        <w:t>l </w:t>
      </w:r>
      <w:r>
        <w:rPr>
          <w:rFonts w:ascii="Calibri" w:hAnsi="Calibri"/>
          <w:color w:val="008356"/>
          <w:w w:val="110"/>
          <w:sz w:val="11"/>
        </w:rPr>
        <w:t>POSACONAZOLE</w:t>
      </w:r>
      <w:r>
        <w:rPr>
          <w:color w:val="231F1F"/>
          <w:w w:val="110"/>
          <w:sz w:val="12"/>
        </w:rPr>
        <w:t>; carbamazepine possibly reduces  plasma concentration  of </w:t>
      </w:r>
      <w:r>
        <w:rPr>
          <w:rFonts w:ascii="Arial" w:hAnsi="Arial"/>
          <w:color w:val="231F1F"/>
          <w:w w:val="355"/>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avoid concomitant use; carbamazepine possibly reduces plasma concentration of </w:t>
      </w:r>
      <w:r>
        <w:rPr>
          <w:rFonts w:ascii="Calibri" w:hAnsi="Calibri"/>
          <w:color w:val="008356"/>
          <w:w w:val="110"/>
          <w:sz w:val="11"/>
        </w:rPr>
        <w:t>CASPOFUNGIN</w:t>
      </w:r>
      <w:r>
        <w:rPr>
          <w:rFonts w:ascii="Arial" w:hAnsi="Arial"/>
          <w:color w:val="231F1F"/>
          <w:w w:val="110"/>
          <w:sz w:val="12"/>
        </w:rPr>
        <w:t>— </w:t>
      </w:r>
      <w:r>
        <w:rPr>
          <w:color w:val="231F1F"/>
          <w:w w:val="110"/>
          <w:sz w:val="12"/>
        </w:rPr>
        <w:t>consider increasing dose of caspofungin</w:t>
      </w:r>
    </w:p>
    <w:p>
      <w:pPr>
        <w:spacing w:line="240" w:lineRule="auto" w:before="0"/>
        <w:ind w:left="286" w:right="-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carbamazepine advised by manufacturer</w:t>
      </w:r>
      <w:r>
        <w:rPr>
          <w:color w:val="231F1F"/>
          <w:spacing w:val="-19"/>
          <w:w w:val="110"/>
          <w:sz w:val="12"/>
        </w:rPr>
        <w:t> </w:t>
      </w:r>
      <w:r>
        <w:rPr>
          <w:color w:val="231F1F"/>
          <w:w w:val="110"/>
          <w:sz w:val="12"/>
        </w:rPr>
        <w:t>of</w:t>
      </w:r>
      <w:r>
        <w:rPr>
          <w:color w:val="231F1F"/>
          <w:spacing w:val="-17"/>
          <w:w w:val="110"/>
          <w:sz w:val="12"/>
        </w:rPr>
        <w:t> </w:t>
      </w:r>
      <w:r>
        <w:rPr>
          <w:rFonts w:ascii="Calibri"/>
          <w:color w:val="008356"/>
          <w:spacing w:val="4"/>
          <w:w w:val="110"/>
          <w:sz w:val="11"/>
        </w:rPr>
        <w:t>ARTENIMOL</w:t>
      </w:r>
      <w:r>
        <w:rPr>
          <w:rFonts w:ascii="Calibri"/>
          <w:color w:val="008356"/>
          <w:spacing w:val="-14"/>
          <w:w w:val="110"/>
          <w:sz w:val="11"/>
        </w:rPr>
        <w:t> </w:t>
      </w:r>
      <w:r>
        <w:rPr>
          <w:rFonts w:ascii="Calibri"/>
          <w:color w:val="008356"/>
          <w:spacing w:val="3"/>
          <w:w w:val="110"/>
          <w:sz w:val="11"/>
        </w:rPr>
        <w:t>WITH</w:t>
      </w:r>
      <w:r>
        <w:rPr>
          <w:rFonts w:ascii="Calibri"/>
          <w:color w:val="008356"/>
          <w:spacing w:val="-10"/>
          <w:w w:val="110"/>
          <w:sz w:val="11"/>
        </w:rPr>
        <w:t> </w:t>
      </w:r>
      <w:r>
        <w:rPr>
          <w:rFonts w:ascii="Calibri"/>
          <w:color w:val="008356"/>
          <w:spacing w:val="4"/>
          <w:w w:val="110"/>
          <w:sz w:val="11"/>
        </w:rPr>
        <w:t>PIPERAQUINE</w:t>
      </w:r>
      <w:r>
        <w:rPr>
          <w:color w:val="231F1F"/>
          <w:spacing w:val="4"/>
          <w:w w:val="110"/>
          <w:sz w:val="12"/>
        </w:rPr>
        <w:t>;</w:t>
      </w:r>
      <w:r>
        <w:rPr>
          <w:color w:val="231F1F"/>
          <w:spacing w:val="-18"/>
          <w:w w:val="110"/>
          <w:sz w:val="12"/>
        </w:rPr>
        <w:t> </w:t>
      </w:r>
      <w:r>
        <w:rPr>
          <w:color w:val="231F1F"/>
          <w:w w:val="110"/>
          <w:sz w:val="12"/>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MEFLOQUINE</w:t>
      </w:r>
    </w:p>
    <w:p>
      <w:pPr>
        <w:spacing w:line="242" w:lineRule="auto" w:before="0"/>
        <w:ind w:left="286" w:right="287" w:hanging="100"/>
        <w:jc w:val="left"/>
        <w:rPr>
          <w:rFonts w:ascii="Calibri"/>
          <w:sz w:val="11"/>
        </w:rPr>
      </w:pPr>
      <w:r>
        <w:rPr>
          <w:rFonts w:ascii="Arial"/>
          <w:color w:val="231F1F"/>
          <w:w w:val="355"/>
          <w:position w:val="1"/>
          <w:sz w:val="7"/>
        </w:rPr>
        <w:t>l </w:t>
      </w:r>
      <w:r>
        <w:rPr>
          <w:rFonts w:ascii="Calibri"/>
          <w:color w:val="231F1F"/>
          <w:w w:val="110"/>
          <w:sz w:val="12"/>
        </w:rPr>
        <w:t>Antipsychotics: </w:t>
      </w:r>
      <w:r>
        <w:rPr>
          <w:color w:val="231F1F"/>
          <w:w w:val="110"/>
          <w:sz w:val="12"/>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sz w:val="12"/>
        </w:rPr>
        <w:t>(convulsive threshold lowered); carbamazepine accelerates metabolism of </w:t>
      </w:r>
      <w:r>
        <w:rPr>
          <w:rFonts w:ascii="Calibri"/>
          <w:color w:val="008356"/>
          <w:spacing w:val="4"/>
          <w:w w:val="105"/>
          <w:sz w:val="11"/>
        </w:rPr>
        <w:t>HALOPERIDOL</w:t>
      </w:r>
      <w:r>
        <w:rPr>
          <w:color w:val="231F1F"/>
          <w:spacing w:val="4"/>
          <w:w w:val="105"/>
          <w:sz w:val="12"/>
        </w:rPr>
        <w:t>, </w:t>
      </w:r>
      <w:r>
        <w:rPr>
          <w:rFonts w:ascii="Calibri"/>
          <w:color w:val="008356"/>
          <w:spacing w:val="4"/>
          <w:w w:val="105"/>
          <w:sz w:val="11"/>
        </w:rPr>
        <w:t>OLANZAPINE</w:t>
      </w:r>
      <w:r>
        <w:rPr>
          <w:color w:val="231F1F"/>
          <w:spacing w:val="4"/>
          <w:w w:val="105"/>
          <w:sz w:val="12"/>
        </w:rPr>
        <w:t>, </w:t>
      </w:r>
      <w:r>
        <w:rPr>
          <w:rFonts w:ascii="Calibri"/>
          <w:color w:val="008356"/>
          <w:spacing w:val="4"/>
          <w:w w:val="105"/>
          <w:sz w:val="11"/>
        </w:rPr>
        <w:t>QUETIAPINE </w:t>
      </w:r>
      <w:r>
        <w:rPr>
          <w:color w:val="231F1F"/>
          <w:w w:val="105"/>
          <w:sz w:val="12"/>
        </w:rPr>
        <w:t>and </w:t>
      </w:r>
      <w:r>
        <w:rPr>
          <w:rFonts w:ascii="Calibri"/>
          <w:color w:val="008356"/>
          <w:spacing w:val="5"/>
          <w:w w:val="105"/>
          <w:sz w:val="11"/>
        </w:rPr>
        <w:t>RISPERIDONE</w:t>
      </w:r>
    </w:p>
    <w:p>
      <w:pPr>
        <w:pStyle w:val="BodyText"/>
        <w:spacing w:line="247" w:lineRule="auto"/>
        <w:ind w:left="286" w:right="105"/>
        <w:rPr>
          <w:rFonts w:ascii="Calibri" w:hAnsi="Calibri"/>
          <w:sz w:val="11"/>
        </w:rPr>
      </w:pPr>
      <w:r>
        <w:rPr>
          <w:color w:val="231F1F"/>
          <w:w w:val="110"/>
        </w:rPr>
        <w:t>(reduced plasma concentration); carbamazepine reduces plasma concentration of </w:t>
      </w:r>
      <w:r>
        <w:rPr>
          <w:rFonts w:ascii="Arial" w:hAnsi="Arial"/>
          <w:color w:val="231F1F"/>
          <w:w w:val="355"/>
          <w:position w:val="1"/>
          <w:sz w:val="7"/>
        </w:rPr>
        <w:t>l </w:t>
      </w:r>
      <w:r>
        <w:rPr>
          <w:rFonts w:ascii="Calibri" w:hAnsi="Calibri"/>
          <w:color w:val="008356"/>
          <w:spacing w:val="4"/>
          <w:w w:val="110"/>
          <w:sz w:val="11"/>
        </w:rPr>
        <w:t>ARIPIPRAZOLE </w:t>
      </w:r>
      <w:r>
        <w:rPr>
          <w:color w:val="231F1F"/>
          <w:w w:val="110"/>
        </w:rPr>
        <w:t>(avoid concomitant use or consider increasing the dose of aripiprazole </w:t>
      </w:r>
      <w:r>
        <w:rPr>
          <w:rFonts w:ascii="Arial" w:hAnsi="Arial"/>
          <w:color w:val="231F1F"/>
          <w:w w:val="110"/>
        </w:rPr>
        <w:t>—</w:t>
      </w:r>
      <w:r>
        <w:rPr>
          <w:color w:val="231F1F"/>
          <w:w w:val="110"/>
        </w:rPr>
        <w:t>consult aripiprazole product literature); carbamazepine accelerates metabolism of </w:t>
      </w:r>
      <w:r>
        <w:rPr>
          <w:rFonts w:ascii="Arial" w:hAnsi="Arial"/>
          <w:color w:val="231F1F"/>
          <w:w w:val="355"/>
          <w:position w:val="1"/>
          <w:sz w:val="7"/>
        </w:rPr>
        <w:t>l </w:t>
      </w:r>
      <w:r>
        <w:rPr>
          <w:rFonts w:ascii="Calibri" w:hAnsi="Calibri"/>
          <w:color w:val="008356"/>
          <w:spacing w:val="4"/>
          <w:w w:val="110"/>
          <w:sz w:val="11"/>
        </w:rPr>
        <w:t>CLOZAPINE </w:t>
      </w:r>
      <w:r>
        <w:rPr>
          <w:color w:val="231F1F"/>
          <w:w w:val="110"/>
        </w:rPr>
        <w:t>(reduced plasma concentration), also avoid concomitant use of drugs with substantial  potential for  causing agranulocytosis; carbamazepine possibly reduces plasma concentration of </w:t>
      </w:r>
      <w:r>
        <w:rPr>
          <w:rFonts w:ascii="Arial" w:hAnsi="Arial"/>
          <w:color w:val="231F1F"/>
          <w:w w:val="355"/>
          <w:position w:val="1"/>
          <w:sz w:val="7"/>
        </w:rPr>
        <w:t>l </w:t>
      </w:r>
      <w:r>
        <w:rPr>
          <w:rFonts w:ascii="Calibri" w:hAnsi="Calibri"/>
          <w:color w:val="008356"/>
          <w:spacing w:val="4"/>
          <w:w w:val="110"/>
          <w:sz w:val="11"/>
        </w:rPr>
        <w:t>LURASIDONE</w:t>
      </w:r>
      <w:r>
        <w:rPr>
          <w:rFonts w:ascii="Arial" w:hAnsi="Arial"/>
          <w:color w:val="231F1F"/>
          <w:spacing w:val="4"/>
          <w:w w:val="110"/>
        </w:rPr>
        <w:t>— </w:t>
      </w:r>
      <w:r>
        <w:rPr>
          <w:color w:val="231F1F"/>
          <w:w w:val="110"/>
        </w:rPr>
        <w:t>avoid concomitant use; carbamazepine reduces plasma concentration of</w:t>
      </w:r>
      <w:r>
        <w:rPr>
          <w:color w:val="231F1F"/>
          <w:spacing w:val="-6"/>
          <w:w w:val="110"/>
        </w:rPr>
        <w:t> </w:t>
      </w:r>
      <w:r>
        <w:rPr>
          <w:rFonts w:ascii="Calibri" w:hAnsi="Calibri"/>
          <w:color w:val="008356"/>
          <w:spacing w:val="4"/>
          <w:w w:val="110"/>
          <w:sz w:val="11"/>
        </w:rPr>
        <w:t>PALIPERIDONE</w:t>
      </w:r>
    </w:p>
    <w:p>
      <w:pPr>
        <w:pStyle w:val="BodyText"/>
        <w:spacing w:line="140" w:lineRule="exact"/>
        <w:ind w:left="186"/>
      </w:pPr>
      <w:r>
        <w:rPr>
          <w:rFonts w:ascii="Arial"/>
          <w:color w:val="231F1F"/>
          <w:w w:val="355"/>
          <w:position w:val="1"/>
          <w:sz w:val="7"/>
        </w:rPr>
        <w:t>l </w:t>
      </w:r>
      <w:r>
        <w:rPr>
          <w:rFonts w:ascii="Calibri"/>
          <w:color w:val="231F1F"/>
          <w:w w:val="115"/>
        </w:rPr>
        <w:t>Antivirals: </w:t>
      </w:r>
      <w:r>
        <w:rPr>
          <w:color w:val="231F1F"/>
          <w:w w:val="115"/>
        </w:rPr>
        <w:t>avoidance of carbamazepine advised by</w:t>
      </w:r>
    </w:p>
    <w:p>
      <w:pPr>
        <w:pStyle w:val="BodyText"/>
        <w:spacing w:line="247" w:lineRule="auto"/>
        <w:ind w:left="286"/>
      </w:pPr>
      <w:r>
        <w:rPr>
          <w:color w:val="231F1F"/>
          <w:w w:val="110"/>
        </w:rPr>
        <w:t>manufacturer of </w:t>
      </w:r>
      <w:r>
        <w:rPr>
          <w:rFonts w:ascii="Arial"/>
          <w:color w:val="231F1F"/>
          <w:w w:val="355"/>
          <w:position w:val="1"/>
          <w:sz w:val="7"/>
        </w:rPr>
        <w:t>l </w:t>
      </w:r>
      <w:r>
        <w:rPr>
          <w:rFonts w:ascii="Calibri"/>
          <w:color w:val="008356"/>
          <w:w w:val="110"/>
          <w:sz w:val="11"/>
        </w:rPr>
        <w:t>BOCEPREVIR </w:t>
      </w:r>
      <w:r>
        <w:rPr>
          <w:color w:val="231F1F"/>
          <w:w w:val="110"/>
        </w:rPr>
        <w:t>and </w:t>
      </w:r>
      <w:r>
        <w:rPr>
          <w:rFonts w:ascii="Arial"/>
          <w:color w:val="231F1F"/>
          <w:w w:val="355"/>
          <w:position w:val="1"/>
          <w:sz w:val="7"/>
        </w:rPr>
        <w:t>l </w:t>
      </w:r>
      <w:r>
        <w:rPr>
          <w:rFonts w:ascii="Calibri"/>
          <w:color w:val="008356"/>
          <w:w w:val="110"/>
          <w:sz w:val="11"/>
        </w:rPr>
        <w:t>RILPIVIRINE </w:t>
      </w:r>
      <w:r>
        <w:rPr>
          <w:color w:val="231F1F"/>
          <w:w w:val="110"/>
        </w:rPr>
        <w:t>(plasma concentration of boceprevir and rilpivirine possibly reduced); carbamazepine possibly reduces plasma concentration of</w:t>
      </w:r>
    </w:p>
    <w:p>
      <w:pPr>
        <w:spacing w:line="247" w:lineRule="auto" w:before="0"/>
        <w:ind w:left="286" w:right="1" w:firstLine="0"/>
        <w:jc w:val="left"/>
        <w:rPr>
          <w:sz w:val="12"/>
        </w:rPr>
      </w:pPr>
      <w:r>
        <w:rPr>
          <w:rFonts w:ascii="Arial" w:hAnsi="Arial"/>
          <w:color w:val="231F1F"/>
          <w:w w:val="115"/>
          <w:position w:val="1"/>
          <w:sz w:val="7"/>
        </w:rPr>
        <w:t>l </w:t>
      </w:r>
      <w:r>
        <w:rPr>
          <w:rFonts w:ascii="Calibri" w:hAnsi="Calibri"/>
          <w:color w:val="008356"/>
          <w:w w:val="115"/>
          <w:sz w:val="11"/>
        </w:rPr>
        <w:t>DACLATASVIR </w:t>
      </w:r>
      <w:r>
        <w:rPr>
          <w:color w:val="231F1F"/>
          <w:w w:val="115"/>
          <w:sz w:val="12"/>
        </w:rPr>
        <w:t>and </w:t>
      </w:r>
      <w:r>
        <w:rPr>
          <w:rFonts w:ascii="Arial" w:hAnsi="Arial"/>
          <w:color w:val="231F1F"/>
          <w:w w:val="115"/>
          <w:position w:val="1"/>
          <w:sz w:val="7"/>
        </w:rPr>
        <w:t>l </w:t>
      </w:r>
      <w:r>
        <w:rPr>
          <w:rFonts w:ascii="Calibri" w:hAnsi="Calibri"/>
          <w:color w:val="008356"/>
          <w:w w:val="115"/>
          <w:sz w:val="11"/>
        </w:rPr>
        <w:t>SIMEPREVIR</w:t>
      </w:r>
      <w:r>
        <w:rPr>
          <w:rFonts w:ascii="Arial" w:hAnsi="Arial"/>
          <w:color w:val="231F1F"/>
          <w:w w:val="115"/>
          <w:sz w:val="12"/>
        </w:rPr>
        <w:t>—</w:t>
      </w:r>
      <w:r>
        <w:rPr>
          <w:color w:val="231F1F"/>
          <w:w w:val="115"/>
          <w:sz w:val="12"/>
        </w:rPr>
        <w:t>manufacturer of daclatasvir </w:t>
      </w:r>
      <w:r>
        <w:rPr>
          <w:color w:val="231F1F"/>
          <w:w w:val="120"/>
          <w:sz w:val="12"/>
        </w:rPr>
        <w:t>and simeprevir advises avoid concomitant use; carbamazepine possibly reduces plasma concentration of </w:t>
      </w:r>
      <w:r>
        <w:rPr>
          <w:rFonts w:ascii="Calibri" w:hAnsi="Calibri"/>
          <w:color w:val="008356"/>
          <w:w w:val="110"/>
          <w:sz w:val="11"/>
        </w:rPr>
        <w:t>DARUNAVIR</w:t>
      </w:r>
      <w:r>
        <w:rPr>
          <w:color w:val="231F1F"/>
          <w:w w:val="110"/>
          <w:sz w:val="12"/>
        </w:rPr>
        <w:t>, </w:t>
      </w:r>
      <w:r>
        <w:rPr>
          <w:rFonts w:ascii="Calibri" w:hAnsi="Calibri"/>
          <w:color w:val="008356"/>
          <w:w w:val="110"/>
          <w:sz w:val="11"/>
        </w:rPr>
        <w:t>FOSAMPRENAVIR</w:t>
      </w:r>
      <w:r>
        <w:rPr>
          <w:color w:val="231F1F"/>
          <w:w w:val="110"/>
          <w:sz w:val="12"/>
        </w:rPr>
        <w:t>, </w:t>
      </w:r>
      <w:r>
        <w:rPr>
          <w:rFonts w:ascii="Calibri" w:hAnsi="Calibri"/>
          <w:color w:val="008356"/>
          <w:w w:val="110"/>
          <w:sz w:val="11"/>
        </w:rPr>
        <w:t>LOPINAVIR</w:t>
      </w:r>
      <w:r>
        <w:rPr>
          <w:color w:val="231F1F"/>
          <w:w w:val="110"/>
          <w:sz w:val="12"/>
        </w:rPr>
        <w:t>, </w:t>
      </w:r>
      <w:r>
        <w:rPr>
          <w:rFonts w:ascii="Calibri" w:hAnsi="Calibri"/>
          <w:color w:val="008356"/>
          <w:w w:val="110"/>
          <w:sz w:val="11"/>
        </w:rPr>
        <w:t>SAQUINAVIR </w:t>
      </w:r>
      <w:r>
        <w:rPr>
          <w:color w:val="231F1F"/>
          <w:w w:val="110"/>
          <w:sz w:val="12"/>
        </w:rPr>
        <w:t>and</w:t>
      </w:r>
    </w:p>
    <w:p>
      <w:pPr>
        <w:spacing w:line="244" w:lineRule="auto" w:before="0"/>
        <w:ind w:left="286" w:right="0" w:firstLine="0"/>
        <w:jc w:val="left"/>
        <w:rPr>
          <w:sz w:val="12"/>
        </w:rPr>
      </w:pPr>
      <w:r>
        <w:rPr>
          <w:rFonts w:ascii="Calibri"/>
          <w:color w:val="008356"/>
          <w:w w:val="110"/>
          <w:sz w:val="11"/>
        </w:rPr>
        <w:t>TIPRANAVIR</w:t>
      </w:r>
      <w:r>
        <w:rPr>
          <w:color w:val="231F1F"/>
          <w:w w:val="110"/>
          <w:sz w:val="12"/>
        </w:rPr>
        <w:t>; avoidance of carbamazepine advised by manufacturer of </w:t>
      </w:r>
      <w:r>
        <w:rPr>
          <w:rFonts w:ascii="Calibri"/>
          <w:color w:val="008356"/>
          <w:w w:val="110"/>
          <w:sz w:val="11"/>
        </w:rPr>
        <w:t>DOLUTEGRAVIR</w:t>
      </w:r>
      <w:r>
        <w:rPr>
          <w:color w:val="231F1F"/>
          <w:w w:val="110"/>
          <w:sz w:val="12"/>
        </w:rPr>
        <w:t>, </w:t>
      </w:r>
      <w:r>
        <w:rPr>
          <w:rFonts w:ascii="Arial"/>
          <w:color w:val="231F1F"/>
          <w:w w:val="190"/>
          <w:position w:val="1"/>
          <w:sz w:val="7"/>
        </w:rPr>
        <w:t>l </w:t>
      </w:r>
      <w:r>
        <w:rPr>
          <w:rFonts w:ascii="Calibri"/>
          <w:color w:val="008356"/>
          <w:w w:val="110"/>
          <w:sz w:val="11"/>
        </w:rPr>
        <w:t>ELVITEGRAVIR</w:t>
      </w:r>
      <w:r>
        <w:rPr>
          <w:color w:val="231F1F"/>
          <w:w w:val="110"/>
          <w:sz w:val="12"/>
        </w:rPr>
        <w:t>, </w:t>
      </w:r>
      <w:r>
        <w:rPr>
          <w:rFonts w:ascii="Calibri"/>
          <w:color w:val="008356"/>
          <w:w w:val="110"/>
          <w:sz w:val="11"/>
        </w:rPr>
        <w:t>ETRAVIRINE</w:t>
      </w:r>
      <w:r>
        <w:rPr>
          <w:color w:val="231F1F"/>
          <w:w w:val="110"/>
          <w:sz w:val="12"/>
        </w:rPr>
        <w:t>,</w:t>
      </w:r>
    </w:p>
    <w:p>
      <w:pPr>
        <w:pStyle w:val="BodyText"/>
        <w:spacing w:line="242" w:lineRule="auto"/>
        <w:ind w:left="286" w:hanging="1"/>
      </w:pPr>
      <w:r>
        <w:rPr>
          <w:rFonts w:ascii="Calibri"/>
          <w:color w:val="008356"/>
          <w:w w:val="110"/>
          <w:sz w:val="11"/>
        </w:rPr>
        <w:t>SOFOSBUVIR </w:t>
      </w:r>
      <w:r>
        <w:rPr>
          <w:color w:val="231F1F"/>
          <w:w w:val="110"/>
        </w:rPr>
        <w:t>and </w:t>
      </w:r>
      <w:r>
        <w:rPr>
          <w:rFonts w:ascii="Arial"/>
          <w:color w:val="231F1F"/>
          <w:w w:val="355"/>
          <w:position w:val="1"/>
          <w:sz w:val="7"/>
        </w:rPr>
        <w:t>l </w:t>
      </w:r>
      <w:r>
        <w:rPr>
          <w:rFonts w:ascii="Calibri"/>
          <w:color w:val="008356"/>
          <w:w w:val="110"/>
          <w:sz w:val="11"/>
        </w:rPr>
        <w:t>TELAPREVIR</w:t>
      </w:r>
      <w:r>
        <w:rPr>
          <w:color w:val="231F1F"/>
          <w:w w:val="110"/>
        </w:rPr>
        <w:t>; plasma concentration of both drugs reduced when carbamazepine given with </w:t>
      </w:r>
      <w:r>
        <w:rPr>
          <w:rFonts w:ascii="Calibri"/>
          <w:color w:val="008356"/>
          <w:w w:val="110"/>
          <w:sz w:val="11"/>
        </w:rPr>
        <w:t>EFAVIRENZ</w:t>
      </w:r>
      <w:r>
        <w:rPr>
          <w:color w:val="231F1F"/>
          <w:w w:val="110"/>
        </w:rPr>
        <w:t>; carbamazepine possibly reduces plasma concentration of</w:t>
      </w:r>
    </w:p>
    <w:p>
      <w:pPr>
        <w:pStyle w:val="BodyText"/>
        <w:spacing w:line="244" w:lineRule="auto"/>
        <w:ind w:left="286" w:right="239"/>
        <w:rPr>
          <w:rFonts w:ascii="Calibri"/>
          <w:sz w:val="11"/>
        </w:rPr>
      </w:pPr>
      <w:r>
        <w:rPr>
          <w:rFonts w:ascii="Arial"/>
          <w:color w:val="231F1F"/>
          <w:w w:val="355"/>
          <w:position w:val="1"/>
          <w:sz w:val="7"/>
        </w:rPr>
        <w:t>l </w:t>
      </w:r>
      <w:r>
        <w:rPr>
          <w:rFonts w:ascii="Calibri"/>
          <w:color w:val="008356"/>
          <w:spacing w:val="4"/>
          <w:w w:val="110"/>
          <w:sz w:val="11"/>
        </w:rPr>
        <w:t>INDINAVIR</w:t>
      </w:r>
      <w:r>
        <w:rPr>
          <w:color w:val="231F1F"/>
          <w:spacing w:val="4"/>
          <w:w w:val="110"/>
        </w:rPr>
        <w:t>, </w:t>
      </w:r>
      <w:r>
        <w:rPr>
          <w:color w:val="231F1F"/>
          <w:w w:val="110"/>
        </w:rPr>
        <w:t>also plasma concentration of carbamazepine possibly increased; carbamazepine reduces plasma concentration of </w:t>
      </w:r>
      <w:r>
        <w:rPr>
          <w:rFonts w:ascii="Calibri"/>
          <w:color w:val="008356"/>
          <w:spacing w:val="4"/>
          <w:w w:val="110"/>
          <w:sz w:val="11"/>
        </w:rPr>
        <w:t>NEVIRAPINE</w:t>
      </w:r>
      <w:r>
        <w:rPr>
          <w:color w:val="231F1F"/>
          <w:spacing w:val="4"/>
          <w:w w:val="110"/>
        </w:rPr>
        <w:t>; </w:t>
      </w:r>
      <w:r>
        <w:rPr>
          <w:color w:val="231F1F"/>
          <w:w w:val="110"/>
        </w:rPr>
        <w:t>plasma concentration of carbamazepine possibly increased by </w:t>
      </w:r>
      <w:r>
        <w:rPr>
          <w:rFonts w:ascii="Arial"/>
          <w:color w:val="231F1F"/>
          <w:w w:val="355"/>
          <w:position w:val="1"/>
          <w:sz w:val="7"/>
        </w:rPr>
        <w:t>l </w:t>
      </w:r>
      <w:r>
        <w:rPr>
          <w:rFonts w:ascii="Calibri"/>
          <w:color w:val="008356"/>
          <w:spacing w:val="4"/>
          <w:w w:val="110"/>
          <w:sz w:val="11"/>
        </w:rPr>
        <w:t>RITONAVIR</w:t>
      </w:r>
    </w:p>
    <w:p>
      <w:pPr>
        <w:pStyle w:val="BodyText"/>
        <w:spacing w:line="230" w:lineRule="auto"/>
        <w:ind w:left="286" w:hanging="100"/>
        <w:jc w:val="both"/>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12"/>
          <w:w w:val="95"/>
          <w:sz w:val="10"/>
        </w:rPr>
        <w:t> </w:t>
      </w:r>
      <w:r>
        <w:rPr>
          <w:rFonts w:ascii="Calibri" w:hAnsi="Calibri"/>
          <w:color w:val="231F1F"/>
          <w:w w:val="110"/>
        </w:rPr>
        <w:t>Anxiolytics</w:t>
      </w:r>
      <w:r>
        <w:rPr>
          <w:rFonts w:ascii="Calibri" w:hAnsi="Calibri"/>
          <w:color w:val="231F1F"/>
          <w:spacing w:val="-5"/>
          <w:w w:val="110"/>
        </w:rPr>
        <w:t> </w:t>
      </w:r>
      <w:r>
        <w:rPr>
          <w:rFonts w:ascii="Calibri" w:hAnsi="Calibri"/>
          <w:color w:val="231F1F"/>
          <w:w w:val="110"/>
        </w:rPr>
        <w:t>and</w:t>
      </w:r>
      <w:r>
        <w:rPr>
          <w:rFonts w:ascii="Calibri" w:hAnsi="Calibri"/>
          <w:color w:val="231F1F"/>
          <w:spacing w:val="-6"/>
          <w:w w:val="110"/>
        </w:rPr>
        <w:t> </w:t>
      </w:r>
      <w:r>
        <w:rPr>
          <w:rFonts w:ascii="Calibri" w:hAnsi="Calibri"/>
          <w:color w:val="231F1F"/>
          <w:w w:val="110"/>
        </w:rPr>
        <w:t>Hypnotics:</w:t>
      </w:r>
      <w:r>
        <w:rPr>
          <w:rFonts w:ascii="Calibri" w:hAnsi="Calibri"/>
          <w:color w:val="231F1F"/>
          <w:spacing w:val="-5"/>
          <w:w w:val="110"/>
        </w:rPr>
        <w:t> </w:t>
      </w:r>
      <w:r>
        <w:rPr>
          <w:color w:val="231F1F"/>
          <w:w w:val="110"/>
        </w:rPr>
        <w:t>carbamazepine</w:t>
      </w:r>
      <w:r>
        <w:rPr>
          <w:color w:val="231F1F"/>
          <w:spacing w:val="-9"/>
          <w:w w:val="110"/>
        </w:rPr>
        <w:t> </w:t>
      </w:r>
      <w:r>
        <w:rPr>
          <w:color w:val="231F1F"/>
          <w:w w:val="110"/>
        </w:rPr>
        <w:t>often</w:t>
      </w:r>
      <w:r>
        <w:rPr>
          <w:color w:val="231F1F"/>
          <w:spacing w:val="-9"/>
          <w:w w:val="110"/>
        </w:rPr>
        <w:t> </w:t>
      </w:r>
      <w:r>
        <w:rPr>
          <w:color w:val="231F1F"/>
          <w:w w:val="110"/>
        </w:rPr>
        <w:t>reduces</w:t>
      </w:r>
      <w:r>
        <w:rPr>
          <w:color w:val="231F1F"/>
          <w:spacing w:val="-10"/>
          <w:w w:val="110"/>
        </w:rPr>
        <w:t> </w:t>
      </w:r>
      <w:r>
        <w:rPr>
          <w:color w:val="231F1F"/>
          <w:w w:val="110"/>
        </w:rPr>
        <w:t>plasma concentration of </w:t>
      </w:r>
      <w:r>
        <w:rPr>
          <w:rFonts w:ascii="Calibri" w:hAnsi="Calibri"/>
          <w:color w:val="008356"/>
          <w:spacing w:val="4"/>
          <w:w w:val="110"/>
          <w:sz w:val="11"/>
        </w:rPr>
        <w:t>CLONAZEPAM</w:t>
      </w:r>
      <w:r>
        <w:rPr>
          <w:color w:val="231F1F"/>
          <w:spacing w:val="4"/>
          <w:w w:val="110"/>
        </w:rPr>
        <w:t>; </w:t>
      </w:r>
      <w:r>
        <w:rPr>
          <w:color w:val="231F1F"/>
          <w:w w:val="110"/>
        </w:rPr>
        <w:t>carbamazepine reduces </w:t>
      </w:r>
      <w:r>
        <w:rPr>
          <w:color w:val="231F1F"/>
          <w:spacing w:val="-3"/>
          <w:w w:val="110"/>
        </w:rPr>
        <w:t>plasma </w:t>
      </w:r>
      <w:r>
        <w:rPr>
          <w:color w:val="231F1F"/>
          <w:w w:val="110"/>
        </w:rPr>
        <w:t>concentration of</w:t>
      </w:r>
      <w:r>
        <w:rPr>
          <w:color w:val="231F1F"/>
          <w:spacing w:val="-7"/>
          <w:w w:val="110"/>
        </w:rPr>
        <w:t> </w:t>
      </w:r>
      <w:r>
        <w:rPr>
          <w:rFonts w:ascii="Calibri" w:hAnsi="Calibri"/>
          <w:color w:val="008356"/>
          <w:spacing w:val="4"/>
          <w:w w:val="110"/>
          <w:sz w:val="11"/>
        </w:rPr>
        <w:t>MIDAZOLAM</w:t>
      </w:r>
    </w:p>
    <w:p>
      <w:pPr>
        <w:pStyle w:val="BodyText"/>
        <w:spacing w:line="220" w:lineRule="auto" w:before="8"/>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carbamazepine possibly reduces </w:t>
      </w:r>
      <w:r>
        <w:rPr>
          <w:color w:val="231F1F"/>
          <w:spacing w:val="-3"/>
          <w:w w:val="105"/>
        </w:rPr>
        <w:t>plasma </w:t>
      </w:r>
      <w:r>
        <w:rPr>
          <w:color w:val="231F1F"/>
          <w:w w:val="105"/>
        </w:rPr>
        <w:t>concentration of </w:t>
      </w:r>
      <w:r>
        <w:rPr>
          <w:rFonts w:ascii="Calibri" w:hAnsi="Calibri"/>
          <w:color w:val="008356"/>
          <w:spacing w:val="4"/>
          <w:w w:val="105"/>
          <w:sz w:val="11"/>
        </w:rPr>
        <w:t>APREPITANT</w:t>
      </w:r>
    </w:p>
    <w:p>
      <w:pPr>
        <w:pStyle w:val="BodyText"/>
        <w:spacing w:line="230" w:lineRule="auto" w:before="3"/>
        <w:ind w:left="286" w:right="61" w:hanging="100"/>
      </w:pPr>
      <w:r>
        <w:rPr>
          <w:rFonts w:ascii="Lucida Sans Unicode" w:hAnsi="Lucida Sans Unicode"/>
          <w:color w:val="A7A8AC"/>
          <w:w w:val="95"/>
          <w:sz w:val="10"/>
        </w:rPr>
        <w:t>▶ </w:t>
      </w:r>
      <w:r>
        <w:rPr>
          <w:rFonts w:ascii="Calibri" w:hAnsi="Calibri"/>
          <w:color w:val="231F1F"/>
          <w:w w:val="110"/>
        </w:rPr>
        <w:t>Avanafil: </w:t>
      </w:r>
      <w:r>
        <w:rPr>
          <w:color w:val="231F1F"/>
          <w:w w:val="110"/>
        </w:rPr>
        <w:t>carbamazepine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156" w:lineRule="exact" w:before="4"/>
        <w:ind w:left="186"/>
      </w:pPr>
      <w:r>
        <w:rPr>
          <w:rFonts w:ascii="Lucida Sans Unicode" w:hAnsi="Lucida Sans Unicode"/>
          <w:color w:val="A7A8AC"/>
          <w:w w:val="95"/>
          <w:sz w:val="10"/>
        </w:rPr>
        <w:t>▶ </w:t>
      </w:r>
      <w:r>
        <w:rPr>
          <w:rFonts w:ascii="Calibri" w:hAnsi="Calibri"/>
          <w:color w:val="231F1F"/>
          <w:w w:val="105"/>
        </w:rPr>
        <w:t>Bupropion: </w:t>
      </w:r>
      <w:r>
        <w:rPr>
          <w:color w:val="231F1F"/>
          <w:w w:val="105"/>
        </w:rPr>
        <w:t>carbamazepine reduces plasma concentration of</w:t>
      </w:r>
    </w:p>
    <w:p>
      <w:pPr>
        <w:spacing w:line="131" w:lineRule="exact" w:before="0"/>
        <w:ind w:left="286" w:right="0" w:firstLine="0"/>
        <w:jc w:val="left"/>
        <w:rPr>
          <w:rFonts w:ascii="Calibri"/>
          <w:sz w:val="11"/>
        </w:rPr>
      </w:pPr>
      <w:r>
        <w:rPr>
          <w:rFonts w:ascii="Calibri"/>
          <w:color w:val="008356"/>
          <w:sz w:val="11"/>
        </w:rPr>
        <w:t>BUPROPION</w:t>
      </w:r>
    </w:p>
    <w:p>
      <w:pPr>
        <w:spacing w:line="240" w:lineRule="auto" w:before="0"/>
        <w:ind w:left="286" w:right="0" w:hanging="100"/>
        <w:jc w:val="left"/>
        <w:rPr>
          <w:sz w:val="12"/>
        </w:rPr>
      </w:pPr>
      <w:r>
        <w:rPr>
          <w:rFonts w:ascii="Arial"/>
          <w:color w:val="231F1F"/>
          <w:w w:val="355"/>
          <w:position w:val="1"/>
          <w:sz w:val="7"/>
        </w:rPr>
        <w:t>l </w:t>
      </w:r>
      <w:r>
        <w:rPr>
          <w:rFonts w:ascii="Calibri"/>
          <w:color w:val="231F1F"/>
          <w:w w:val="110"/>
          <w:sz w:val="12"/>
        </w:rPr>
        <w:t>Calcium-channel Blockers: </w:t>
      </w:r>
      <w:r>
        <w:rPr>
          <w:color w:val="231F1F"/>
          <w:w w:val="110"/>
          <w:sz w:val="12"/>
        </w:rPr>
        <w:t>carbamazepine reduces effects of </w:t>
      </w:r>
      <w:r>
        <w:rPr>
          <w:rFonts w:ascii="Calibri"/>
          <w:color w:val="008356"/>
          <w:w w:val="110"/>
          <w:sz w:val="11"/>
        </w:rPr>
        <w:t>FELODIPINE </w:t>
      </w:r>
      <w:r>
        <w:rPr>
          <w:color w:val="231F1F"/>
          <w:w w:val="110"/>
          <w:sz w:val="12"/>
        </w:rPr>
        <w:t>and </w:t>
      </w:r>
      <w:r>
        <w:rPr>
          <w:rFonts w:ascii="Calibri"/>
          <w:color w:val="008356"/>
          <w:w w:val="110"/>
          <w:sz w:val="11"/>
        </w:rPr>
        <w:t>ISRADIPINE</w:t>
      </w:r>
      <w:r>
        <w:rPr>
          <w:color w:val="231F1F"/>
          <w:w w:val="110"/>
          <w:sz w:val="12"/>
        </w:rPr>
        <w:t>; carbamazepine probably reduces effects of </w:t>
      </w:r>
      <w:r>
        <w:rPr>
          <w:rFonts w:ascii="Calibri"/>
          <w:color w:val="008356"/>
          <w:w w:val="110"/>
          <w:sz w:val="11"/>
        </w:rPr>
        <w:t>DIHYDROPYRIDINES</w:t>
      </w:r>
      <w:r>
        <w:rPr>
          <w:color w:val="231F1F"/>
          <w:w w:val="110"/>
          <w:sz w:val="12"/>
        </w:rPr>
        <w:t>, </w:t>
      </w:r>
      <w:r>
        <w:rPr>
          <w:rFonts w:ascii="Calibri"/>
          <w:color w:val="008356"/>
          <w:w w:val="110"/>
          <w:sz w:val="11"/>
        </w:rPr>
        <w:t>NICARDIPINE </w:t>
      </w:r>
      <w:r>
        <w:rPr>
          <w:color w:val="231F1F"/>
          <w:w w:val="110"/>
          <w:sz w:val="12"/>
        </w:rPr>
        <w:t>and </w:t>
      </w:r>
      <w:r>
        <w:rPr>
          <w:rFonts w:ascii="Calibri"/>
          <w:color w:val="008356"/>
          <w:w w:val="110"/>
          <w:sz w:val="11"/>
        </w:rPr>
        <w:t>NIFEDIPINE</w:t>
      </w:r>
      <w:r>
        <w:rPr>
          <w:color w:val="231F1F"/>
          <w:w w:val="110"/>
          <w:sz w:val="12"/>
        </w:rPr>
        <w:t>;</w:t>
      </w:r>
    </w:p>
    <w:p>
      <w:pPr>
        <w:pStyle w:val="BodyText"/>
        <w:spacing w:line="244" w:lineRule="auto" w:before="1"/>
        <w:ind w:left="286" w:right="99"/>
        <w:rPr>
          <w:rFonts w:ascii="Calibri"/>
          <w:sz w:val="11"/>
        </w:rPr>
      </w:pPr>
      <w:r>
        <w:rPr>
          <w:color w:val="231F1F"/>
          <w:w w:val="110"/>
        </w:rPr>
        <w:t>avoidance of carbamazepine advised by manufacturer of </w:t>
      </w:r>
      <w:r>
        <w:rPr>
          <w:rFonts w:ascii="Calibri"/>
          <w:color w:val="008356"/>
          <w:w w:val="110"/>
          <w:sz w:val="11"/>
        </w:rPr>
        <w:t>NIMODIPINE </w:t>
      </w:r>
      <w:r>
        <w:rPr>
          <w:color w:val="231F1F"/>
          <w:w w:val="110"/>
        </w:rPr>
        <w:t>(plasma concentration of nimodipine possibly reduced); effects of carbamazepine enhanced by </w:t>
      </w:r>
      <w:r>
        <w:rPr>
          <w:rFonts w:ascii="Arial"/>
          <w:color w:val="231F1F"/>
          <w:w w:val="355"/>
          <w:position w:val="1"/>
          <w:sz w:val="7"/>
        </w:rPr>
        <w:t>l </w:t>
      </w:r>
      <w:r>
        <w:rPr>
          <w:rFonts w:ascii="Calibri"/>
          <w:color w:val="008356"/>
          <w:w w:val="110"/>
          <w:sz w:val="11"/>
        </w:rPr>
        <w:t>DILTIAZEM </w:t>
      </w:r>
      <w:r>
        <w:rPr>
          <w:color w:val="231F1F"/>
          <w:w w:val="110"/>
        </w:rPr>
        <w:t>and </w:t>
      </w:r>
      <w:r>
        <w:rPr>
          <w:rFonts w:ascii="Arial"/>
          <w:color w:val="231F1F"/>
          <w:w w:val="355"/>
          <w:position w:val="1"/>
          <w:sz w:val="7"/>
        </w:rPr>
        <w:t>l </w:t>
      </w:r>
      <w:r>
        <w:rPr>
          <w:rFonts w:ascii="Calibri"/>
          <w:color w:val="008356"/>
          <w:w w:val="110"/>
          <w:sz w:val="11"/>
        </w:rPr>
        <w:t>VERAPAMIL</w:t>
      </w:r>
    </w:p>
    <w:p>
      <w:pPr>
        <w:pStyle w:val="BodyText"/>
        <w:spacing w:line="242" w:lineRule="auto"/>
        <w:ind w:left="286" w:right="212" w:hanging="100"/>
      </w:pPr>
      <w:r>
        <w:rPr>
          <w:rFonts w:ascii="Arial" w:hAnsi="Arial"/>
          <w:color w:val="231F1F"/>
          <w:w w:val="115"/>
          <w:position w:val="1"/>
          <w:sz w:val="7"/>
        </w:rPr>
        <w:t>l </w:t>
      </w:r>
      <w:r>
        <w:rPr>
          <w:rFonts w:ascii="Calibri" w:hAnsi="Calibri"/>
          <w:color w:val="231F1F"/>
          <w:w w:val="115"/>
        </w:rPr>
        <w:t>Cannabis Extract: </w:t>
      </w:r>
      <w:r>
        <w:rPr>
          <w:color w:val="231F1F"/>
          <w:w w:val="115"/>
        </w:rPr>
        <w:t>carbamazepine possibly reduces </w:t>
      </w:r>
      <w:r>
        <w:rPr>
          <w:color w:val="231F1F"/>
          <w:spacing w:val="-3"/>
          <w:w w:val="115"/>
        </w:rPr>
        <w:t>plasma </w:t>
      </w:r>
      <w:r>
        <w:rPr>
          <w:color w:val="231F1F"/>
          <w:w w:val="115"/>
        </w:rPr>
        <w:t>concentration of </w:t>
      </w:r>
      <w:r>
        <w:rPr>
          <w:rFonts w:ascii="Arial" w:hAnsi="Arial"/>
          <w:color w:val="231F1F"/>
          <w:w w:val="115"/>
          <w:position w:val="1"/>
          <w:sz w:val="7"/>
        </w:rPr>
        <w:t>l </w:t>
      </w:r>
      <w:r>
        <w:rPr>
          <w:rFonts w:ascii="Calibri" w:hAnsi="Calibri"/>
          <w:color w:val="008356"/>
          <w:spacing w:val="4"/>
          <w:w w:val="115"/>
          <w:sz w:val="11"/>
        </w:rPr>
        <w:t>CANNABIS </w:t>
      </w:r>
      <w:r>
        <w:rPr>
          <w:rFonts w:ascii="Calibri" w:hAnsi="Calibri"/>
          <w:color w:val="008356"/>
          <w:w w:val="115"/>
          <w:sz w:val="11"/>
        </w:rPr>
        <w:t>EXTRACT</w:t>
      </w:r>
      <w:r>
        <w:rPr>
          <w:rFonts w:ascii="Arial" w:hAnsi="Arial"/>
          <w:color w:val="231F1F"/>
          <w:w w:val="115"/>
        </w:rPr>
        <w:t>—</w:t>
      </w:r>
      <w:r>
        <w:rPr>
          <w:color w:val="231F1F"/>
          <w:w w:val="115"/>
        </w:rPr>
        <w:t>manufacturer of </w:t>
      </w:r>
      <w:r>
        <w:rPr>
          <w:color w:val="231F1F"/>
          <w:w w:val="120"/>
        </w:rPr>
        <w:t>cannabis extract advises avoid concomitant use</w:t>
      </w:r>
    </w:p>
    <w:p>
      <w:pPr>
        <w:pStyle w:val="BodyText"/>
        <w:spacing w:line="144" w:lineRule="exact"/>
        <w:ind w:left="186"/>
      </w:pPr>
      <w:r>
        <w:rPr>
          <w:rFonts w:ascii="Arial"/>
          <w:color w:val="231F1F"/>
          <w:w w:val="355"/>
          <w:position w:val="1"/>
          <w:sz w:val="7"/>
        </w:rPr>
        <w:t>l </w:t>
      </w:r>
      <w:r>
        <w:rPr>
          <w:rFonts w:ascii="Calibri"/>
          <w:color w:val="231F1F"/>
          <w:w w:val="115"/>
        </w:rPr>
        <w:t>Ciclosporin: </w:t>
      </w:r>
      <w:r>
        <w:rPr>
          <w:color w:val="231F1F"/>
          <w:w w:val="115"/>
        </w:rPr>
        <w:t>carbamazepine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ind w:left="286" w:right="248"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carbamazepine possibly reduces </w:t>
      </w:r>
      <w:r>
        <w:rPr>
          <w:color w:val="231F1F"/>
          <w:spacing w:val="-2"/>
          <w:w w:val="110"/>
        </w:rPr>
        <w:t>antiplatelet </w:t>
      </w:r>
      <w:r>
        <w:rPr>
          <w:color w:val="231F1F"/>
          <w:w w:val="110"/>
        </w:rPr>
        <w:t>effect of </w:t>
      </w:r>
      <w:r>
        <w:rPr>
          <w:rFonts w:ascii="Arial"/>
          <w:color w:val="231F1F"/>
          <w:w w:val="355"/>
          <w:position w:val="1"/>
          <w:sz w:val="7"/>
        </w:rPr>
        <w:t>l </w:t>
      </w:r>
      <w:r>
        <w:rPr>
          <w:rFonts w:ascii="Calibri"/>
          <w:color w:val="008356"/>
          <w:spacing w:val="4"/>
          <w:w w:val="110"/>
          <w:sz w:val="11"/>
        </w:rPr>
        <w:t>CLOPIDOGREL</w:t>
      </w:r>
    </w:p>
    <w:p>
      <w:pPr>
        <w:pStyle w:val="BodyText"/>
        <w:ind w:left="286" w:hanging="100"/>
      </w:pPr>
      <w:r>
        <w:rPr>
          <w:rFonts w:ascii="Arial" w:hAnsi="Arial"/>
          <w:color w:val="231F1F"/>
          <w:w w:val="355"/>
          <w:position w:val="1"/>
          <w:sz w:val="7"/>
        </w:rPr>
        <w:t>l </w:t>
      </w:r>
      <w:r>
        <w:rPr>
          <w:rFonts w:ascii="Calibri" w:hAnsi="Calibri"/>
          <w:color w:val="231F1F"/>
          <w:w w:val="120"/>
        </w:rPr>
        <w:t>Cobicistat: </w:t>
      </w:r>
      <w:r>
        <w:rPr>
          <w:color w:val="231F1F"/>
          <w:w w:val="120"/>
        </w:rPr>
        <w:t>carbamazepine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w:t>
      </w:r>
      <w:r>
        <w:rPr>
          <w:color w:val="231F1F"/>
          <w:w w:val="120"/>
        </w:rPr>
        <w:t>advises avoid concomitant use</w:t>
      </w:r>
    </w:p>
    <w:p>
      <w:pPr>
        <w:pStyle w:val="BodyText"/>
        <w:spacing w:line="146" w:lineRule="exact"/>
        <w:ind w:left="186"/>
      </w:pPr>
      <w:r>
        <w:rPr>
          <w:rFonts w:ascii="Arial"/>
          <w:color w:val="231F1F"/>
          <w:w w:val="355"/>
          <w:position w:val="1"/>
          <w:sz w:val="7"/>
        </w:rPr>
        <w:t>l </w:t>
      </w:r>
      <w:r>
        <w:rPr>
          <w:rFonts w:ascii="Calibri"/>
          <w:color w:val="231F1F"/>
          <w:w w:val="110"/>
        </w:rPr>
        <w:t>Corticosteroids: </w:t>
      </w:r>
      <w:r>
        <w:rPr>
          <w:color w:val="231F1F"/>
          <w:w w:val="110"/>
        </w:rPr>
        <w:t>carbamazepine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spacing w:line="242" w:lineRule="auto" w:before="0"/>
        <w:ind w:left="286" w:right="10" w:hanging="100"/>
        <w:jc w:val="left"/>
        <w:rPr>
          <w:sz w:val="12"/>
        </w:rPr>
      </w:pPr>
      <w:r>
        <w:rPr>
          <w:rFonts w:ascii="Arial" w:hAnsi="Arial"/>
          <w:color w:val="231F1F"/>
          <w:w w:val="355"/>
          <w:position w:val="1"/>
          <w:sz w:val="7"/>
        </w:rPr>
        <w:t>l </w:t>
      </w:r>
      <w:r>
        <w:rPr>
          <w:rFonts w:ascii="Calibri" w:hAnsi="Calibri"/>
          <w:color w:val="231F1F"/>
          <w:w w:val="120"/>
          <w:sz w:val="12"/>
        </w:rPr>
        <w:t>Cytotoxics: </w:t>
      </w:r>
      <w:r>
        <w:rPr>
          <w:color w:val="231F1F"/>
          <w:w w:val="120"/>
          <w:sz w:val="12"/>
        </w:rPr>
        <w:t>carbamazepine possibly decreases plasma </w:t>
      </w:r>
      <w:r>
        <w:rPr>
          <w:color w:val="231F1F"/>
          <w:w w:val="115"/>
          <w:sz w:val="12"/>
        </w:rPr>
        <w:t>concentration</w:t>
      </w:r>
      <w:r>
        <w:rPr>
          <w:color w:val="231F1F"/>
          <w:spacing w:val="-15"/>
          <w:w w:val="115"/>
          <w:sz w:val="12"/>
        </w:rPr>
        <w:t> </w:t>
      </w:r>
      <w:r>
        <w:rPr>
          <w:color w:val="231F1F"/>
          <w:w w:val="115"/>
          <w:sz w:val="12"/>
        </w:rPr>
        <w:t>of</w:t>
      </w:r>
      <w:r>
        <w:rPr>
          <w:color w:val="231F1F"/>
          <w:spacing w:val="-15"/>
          <w:w w:val="115"/>
          <w:sz w:val="12"/>
        </w:rPr>
        <w:t> </w:t>
      </w:r>
      <w:r>
        <w:rPr>
          <w:rFonts w:ascii="Calibri" w:hAnsi="Calibri"/>
          <w:color w:val="008356"/>
          <w:spacing w:val="4"/>
          <w:w w:val="115"/>
          <w:sz w:val="11"/>
        </w:rPr>
        <w:t>AXITINIB</w:t>
      </w:r>
      <w:r>
        <w:rPr>
          <w:rFonts w:ascii="Calibri" w:hAnsi="Calibri"/>
          <w:color w:val="008356"/>
          <w:spacing w:val="-4"/>
          <w:w w:val="115"/>
          <w:sz w:val="11"/>
        </w:rPr>
        <w:t> </w:t>
      </w:r>
      <w:r>
        <w:rPr>
          <w:color w:val="231F1F"/>
          <w:w w:val="115"/>
          <w:sz w:val="12"/>
        </w:rPr>
        <w:t>(increase</w:t>
      </w:r>
      <w:r>
        <w:rPr>
          <w:color w:val="231F1F"/>
          <w:spacing w:val="-15"/>
          <w:w w:val="115"/>
          <w:sz w:val="12"/>
        </w:rPr>
        <w:t> </w:t>
      </w:r>
      <w:r>
        <w:rPr>
          <w:color w:val="231F1F"/>
          <w:w w:val="115"/>
          <w:sz w:val="12"/>
        </w:rPr>
        <w:t>dose</w:t>
      </w:r>
      <w:r>
        <w:rPr>
          <w:color w:val="231F1F"/>
          <w:spacing w:val="-14"/>
          <w:w w:val="115"/>
          <w:sz w:val="12"/>
        </w:rPr>
        <w:t> </w:t>
      </w:r>
      <w:r>
        <w:rPr>
          <w:color w:val="231F1F"/>
          <w:w w:val="115"/>
          <w:sz w:val="12"/>
        </w:rPr>
        <w:t>of</w:t>
      </w:r>
      <w:r>
        <w:rPr>
          <w:color w:val="231F1F"/>
          <w:spacing w:val="-14"/>
          <w:w w:val="115"/>
          <w:sz w:val="12"/>
        </w:rPr>
        <w:t> </w:t>
      </w:r>
      <w:r>
        <w:rPr>
          <w:color w:val="231F1F"/>
          <w:w w:val="115"/>
          <w:sz w:val="12"/>
        </w:rPr>
        <w:t>axitinib</w:t>
      </w:r>
      <w:r>
        <w:rPr>
          <w:rFonts w:ascii="Arial" w:hAnsi="Arial"/>
          <w:color w:val="231F1F"/>
          <w:w w:val="115"/>
          <w:sz w:val="12"/>
        </w:rPr>
        <w:t>—</w:t>
      </w:r>
      <w:r>
        <w:rPr>
          <w:color w:val="231F1F"/>
          <w:w w:val="115"/>
          <w:sz w:val="12"/>
        </w:rPr>
        <w:t>consult axitinib product literature); carbamazepine possibly reduces </w:t>
      </w:r>
      <w:r>
        <w:rPr>
          <w:color w:val="231F1F"/>
          <w:w w:val="110"/>
          <w:sz w:val="12"/>
        </w:rPr>
        <w:t>plasma</w:t>
      </w:r>
      <w:r>
        <w:rPr>
          <w:color w:val="231F1F"/>
          <w:spacing w:val="-14"/>
          <w:w w:val="110"/>
          <w:sz w:val="12"/>
        </w:rPr>
        <w:t> </w:t>
      </w:r>
      <w:r>
        <w:rPr>
          <w:color w:val="231F1F"/>
          <w:w w:val="110"/>
          <w:sz w:val="12"/>
        </w:rPr>
        <w:t>concentration</w:t>
      </w:r>
      <w:r>
        <w:rPr>
          <w:color w:val="231F1F"/>
          <w:spacing w:val="-15"/>
          <w:w w:val="110"/>
          <w:sz w:val="12"/>
        </w:rPr>
        <w:t> </w:t>
      </w:r>
      <w:r>
        <w:rPr>
          <w:color w:val="231F1F"/>
          <w:w w:val="110"/>
          <w:sz w:val="12"/>
        </w:rPr>
        <w:t>of</w:t>
      </w:r>
      <w:r>
        <w:rPr>
          <w:color w:val="231F1F"/>
          <w:spacing w:val="-14"/>
          <w:w w:val="110"/>
          <w:sz w:val="12"/>
        </w:rPr>
        <w:t> </w:t>
      </w:r>
      <w:r>
        <w:rPr>
          <w:rFonts w:ascii="Calibri" w:hAnsi="Calibri"/>
          <w:color w:val="008356"/>
          <w:spacing w:val="4"/>
          <w:w w:val="110"/>
          <w:sz w:val="11"/>
        </w:rPr>
        <w:t>BORTEZOMIB</w:t>
      </w:r>
      <w:r>
        <w:rPr>
          <w:color w:val="231F1F"/>
          <w:spacing w:val="4"/>
          <w:w w:val="110"/>
          <w:sz w:val="12"/>
        </w:rPr>
        <w:t>,</w:t>
      </w:r>
      <w:r>
        <w:rPr>
          <w:color w:val="231F1F"/>
          <w:spacing w:val="-13"/>
          <w:w w:val="110"/>
          <w:sz w:val="12"/>
        </w:rPr>
        <w:t> </w:t>
      </w:r>
      <w:r>
        <w:rPr>
          <w:rFonts w:ascii="Arial" w:hAnsi="Arial"/>
          <w:color w:val="231F1F"/>
          <w:w w:val="110"/>
          <w:position w:val="1"/>
          <w:sz w:val="7"/>
        </w:rPr>
        <w:t>l</w:t>
      </w:r>
      <w:r>
        <w:rPr>
          <w:rFonts w:ascii="Arial" w:hAnsi="Arial"/>
          <w:color w:val="231F1F"/>
          <w:spacing w:val="-4"/>
          <w:w w:val="110"/>
          <w:position w:val="1"/>
          <w:sz w:val="7"/>
        </w:rPr>
        <w:t> </w:t>
      </w:r>
      <w:r>
        <w:rPr>
          <w:rFonts w:ascii="Calibri" w:hAnsi="Calibri"/>
          <w:color w:val="008356"/>
          <w:spacing w:val="4"/>
          <w:w w:val="110"/>
          <w:sz w:val="11"/>
        </w:rPr>
        <w:t>BOSUTINIB</w:t>
      </w:r>
      <w:r>
        <w:rPr>
          <w:color w:val="231F1F"/>
          <w:spacing w:val="4"/>
          <w:w w:val="110"/>
          <w:sz w:val="12"/>
        </w:rPr>
        <w:t>,</w:t>
      </w:r>
      <w:r>
        <w:rPr>
          <w:color w:val="231F1F"/>
          <w:spacing w:val="-16"/>
          <w:w w:val="110"/>
          <w:sz w:val="12"/>
        </w:rPr>
        <w:t> </w:t>
      </w:r>
      <w:r>
        <w:rPr>
          <w:rFonts w:ascii="Calibri" w:hAnsi="Calibri"/>
          <w:color w:val="008356"/>
          <w:spacing w:val="4"/>
          <w:w w:val="110"/>
          <w:sz w:val="11"/>
        </w:rPr>
        <w:t>CRIZOTINIB</w:t>
      </w:r>
      <w:r>
        <w:rPr>
          <w:color w:val="231F1F"/>
          <w:spacing w:val="4"/>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20"/>
          <w:sz w:val="11"/>
        </w:rPr>
        <w:t>IBRUTINIB</w:t>
      </w:r>
      <w:r>
        <w:rPr>
          <w:color w:val="231F1F"/>
          <w:spacing w:val="4"/>
          <w:w w:val="120"/>
          <w:sz w:val="12"/>
        </w:rPr>
        <w:t>,</w:t>
      </w:r>
      <w:r>
        <w:rPr>
          <w:color w:val="231F1F"/>
          <w:spacing w:val="-25"/>
          <w:w w:val="12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20"/>
          <w:sz w:val="11"/>
        </w:rPr>
        <w:t>IDELALISIB</w:t>
      </w:r>
      <w:r>
        <w:rPr>
          <w:rFonts w:ascii="Calibri" w:hAnsi="Calibri"/>
          <w:color w:val="008356"/>
          <w:spacing w:val="-17"/>
          <w:w w:val="120"/>
          <w:sz w:val="11"/>
        </w:rPr>
        <w:t> </w:t>
      </w:r>
      <w:r>
        <w:rPr>
          <w:color w:val="231F1F"/>
          <w:w w:val="120"/>
          <w:sz w:val="12"/>
        </w:rPr>
        <w:t>and</w:t>
      </w:r>
      <w:r>
        <w:rPr>
          <w:color w:val="231F1F"/>
          <w:spacing w:val="-25"/>
          <w:w w:val="120"/>
          <w:sz w:val="12"/>
        </w:rPr>
        <w:t> </w:t>
      </w:r>
      <w:r>
        <w:rPr>
          <w:rFonts w:ascii="Calibri" w:hAnsi="Calibri"/>
          <w:color w:val="008356"/>
          <w:w w:val="120"/>
          <w:sz w:val="11"/>
        </w:rPr>
        <w:t>PONATINIB</w:t>
      </w:r>
      <w:r>
        <w:rPr>
          <w:rFonts w:ascii="Arial" w:hAnsi="Arial"/>
          <w:color w:val="231F1F"/>
          <w:w w:val="120"/>
          <w:sz w:val="12"/>
        </w:rPr>
        <w:t>—</w:t>
      </w:r>
      <w:r>
        <w:rPr>
          <w:color w:val="231F1F"/>
          <w:w w:val="120"/>
          <w:sz w:val="12"/>
        </w:rPr>
        <w:t>manufacturer</w:t>
      </w:r>
      <w:r>
        <w:rPr>
          <w:color w:val="231F1F"/>
          <w:spacing w:val="-26"/>
          <w:w w:val="120"/>
          <w:sz w:val="12"/>
        </w:rPr>
        <w:t> </w:t>
      </w:r>
      <w:r>
        <w:rPr>
          <w:color w:val="231F1F"/>
          <w:w w:val="120"/>
          <w:sz w:val="12"/>
        </w:rPr>
        <w:t>of</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Carbamazepine</w:t>
      </w:r>
    </w:p>
    <w:p>
      <w:pPr>
        <w:pStyle w:val="BodyText"/>
        <w:spacing w:line="146" w:lineRule="exact" w:before="4"/>
        <w:ind w:left="179"/>
        <w:rPr>
          <w:rFonts w:ascii="Calibri"/>
        </w:rPr>
      </w:pPr>
      <w:r>
        <w:rPr>
          <w:rFonts w:ascii="Arial"/>
          <w:color w:val="231F1F"/>
          <w:w w:val="355"/>
          <w:position w:val="1"/>
          <w:sz w:val="7"/>
        </w:rPr>
        <w:t>l </w:t>
      </w:r>
      <w:r>
        <w:rPr>
          <w:rFonts w:ascii="Calibri"/>
          <w:color w:val="231F1F"/>
          <w:w w:val="110"/>
        </w:rPr>
        <w:t>Cytotoxics (continued)</w:t>
      </w:r>
    </w:p>
    <w:p>
      <w:pPr>
        <w:pStyle w:val="BodyText"/>
        <w:spacing w:line="247" w:lineRule="auto"/>
        <w:ind w:left="279" w:right="620"/>
        <w:rPr>
          <w:rFonts w:ascii="Calibri" w:hAnsi="Calibri"/>
          <w:sz w:val="11"/>
        </w:rPr>
      </w:pPr>
      <w:r>
        <w:rPr>
          <w:color w:val="231F1F"/>
          <w:w w:val="110"/>
        </w:rPr>
        <w:t>bortezomib, bosutinib, crizotinib, ibrutinib, idelalisib and ponatinib advises avoid concomitant use; carbamazepine possibly reduces plasma concentration of </w:t>
      </w:r>
      <w:r>
        <w:rPr>
          <w:rFonts w:ascii="Arial" w:hAnsi="Arial"/>
          <w:color w:val="231F1F"/>
          <w:w w:val="355"/>
          <w:position w:val="1"/>
          <w:sz w:val="7"/>
        </w:rPr>
        <w:t>l </w:t>
      </w:r>
      <w:r>
        <w:rPr>
          <w:rFonts w:ascii="Calibri" w:hAnsi="Calibri"/>
          <w:color w:val="008356"/>
          <w:spacing w:val="4"/>
          <w:w w:val="110"/>
          <w:sz w:val="11"/>
        </w:rPr>
        <w:t>CABOZANTINIB</w:t>
      </w:r>
      <w:r>
        <w:rPr>
          <w:rFonts w:ascii="Arial" w:hAnsi="Arial"/>
          <w:color w:val="231F1F"/>
          <w:spacing w:val="4"/>
          <w:w w:val="110"/>
        </w:rPr>
        <w:t>— </w:t>
      </w:r>
      <w:r>
        <w:rPr>
          <w:color w:val="231F1F"/>
          <w:w w:val="110"/>
        </w:rPr>
        <w:t>avoid concomitant use; avoidance of carbamazepine advised by</w:t>
      </w:r>
      <w:r>
        <w:rPr>
          <w:color w:val="231F1F"/>
          <w:spacing w:val="-13"/>
          <w:w w:val="110"/>
        </w:rPr>
        <w:t> </w:t>
      </w:r>
      <w:r>
        <w:rPr>
          <w:color w:val="231F1F"/>
          <w:w w:val="110"/>
        </w:rPr>
        <w:t>manufacturer</w:t>
      </w:r>
      <w:r>
        <w:rPr>
          <w:color w:val="231F1F"/>
          <w:spacing w:val="-14"/>
          <w:w w:val="110"/>
        </w:rPr>
        <w:t> </w:t>
      </w:r>
      <w:r>
        <w:rPr>
          <w:color w:val="231F1F"/>
          <w:w w:val="110"/>
        </w:rPr>
        <w:t>of</w:t>
      </w:r>
      <w:r>
        <w:rPr>
          <w:color w:val="231F1F"/>
          <w:spacing w:val="-1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CABAZITAXEL</w:t>
      </w:r>
      <w:r>
        <w:rPr>
          <w:color w:val="231F1F"/>
          <w:spacing w:val="4"/>
          <w:w w:val="110"/>
        </w:rPr>
        <w:t>,</w:t>
      </w:r>
      <w:r>
        <w:rPr>
          <w:color w:val="231F1F"/>
          <w:spacing w:val="-12"/>
          <w:w w:val="110"/>
        </w:rPr>
        <w:t> </w:t>
      </w:r>
      <w:r>
        <w:rPr>
          <w:rFonts w:ascii="Calibri" w:hAnsi="Calibri"/>
          <w:color w:val="008356"/>
          <w:spacing w:val="4"/>
          <w:w w:val="110"/>
          <w:sz w:val="11"/>
        </w:rPr>
        <w:t>DABRAFENIB</w:t>
      </w:r>
      <w:r>
        <w:rPr>
          <w:color w:val="231F1F"/>
          <w:spacing w:val="4"/>
          <w:w w:val="110"/>
        </w:rPr>
        <w:t>,</w:t>
      </w:r>
      <w:r>
        <w:rPr>
          <w:color w:val="231F1F"/>
          <w:spacing w:val="-15"/>
          <w:w w:val="110"/>
        </w:rPr>
        <w:t> </w:t>
      </w:r>
      <w:r>
        <w:rPr>
          <w:rFonts w:ascii="Calibri" w:hAnsi="Calibri"/>
          <w:color w:val="008356"/>
          <w:spacing w:val="4"/>
          <w:w w:val="110"/>
          <w:sz w:val="11"/>
        </w:rPr>
        <w:t>GEFITINIB</w:t>
      </w:r>
      <w:r>
        <w:rPr>
          <w:rFonts w:ascii="Calibri" w:hAnsi="Calibri"/>
          <w:color w:val="008356"/>
          <w:spacing w:val="-4"/>
          <w:w w:val="110"/>
          <w:sz w:val="11"/>
        </w:rPr>
        <w:t> </w:t>
      </w:r>
      <w:r>
        <w:rPr>
          <w:color w:val="231F1F"/>
          <w:w w:val="110"/>
        </w:rPr>
        <w:t>and </w:t>
      </w:r>
      <w:r>
        <w:rPr>
          <w:rFonts w:ascii="Calibri" w:hAnsi="Calibri"/>
          <w:color w:val="008356"/>
          <w:spacing w:val="4"/>
          <w:w w:val="110"/>
          <w:sz w:val="11"/>
        </w:rPr>
        <w:t>VEMURAFENIB</w:t>
      </w:r>
      <w:r>
        <w:rPr>
          <w:color w:val="231F1F"/>
          <w:spacing w:val="4"/>
          <w:w w:val="110"/>
        </w:rPr>
        <w:t>; </w:t>
      </w:r>
      <w:r>
        <w:rPr>
          <w:color w:val="231F1F"/>
          <w:w w:val="110"/>
        </w:rPr>
        <w:t>avoidance of carbamazepine advised by manufacturer of </w:t>
      </w:r>
      <w:r>
        <w:rPr>
          <w:rFonts w:ascii="Calibri" w:hAnsi="Calibri"/>
          <w:color w:val="008356"/>
          <w:spacing w:val="4"/>
          <w:w w:val="110"/>
          <w:sz w:val="11"/>
        </w:rPr>
        <w:t>DASATINIB</w:t>
      </w:r>
      <w:r>
        <w:rPr>
          <w:color w:val="231F1F"/>
          <w:spacing w:val="4"/>
          <w:w w:val="110"/>
        </w:rPr>
        <w:t>, </w:t>
      </w:r>
      <w:r>
        <w:rPr>
          <w:rFonts w:ascii="Calibri" w:hAnsi="Calibri"/>
          <w:color w:val="008356"/>
          <w:spacing w:val="3"/>
          <w:w w:val="110"/>
          <w:sz w:val="11"/>
        </w:rPr>
        <w:t>VANDETANIB </w:t>
      </w:r>
      <w:r>
        <w:rPr>
          <w:color w:val="231F1F"/>
          <w:w w:val="110"/>
        </w:rPr>
        <w:t>and </w:t>
      </w:r>
      <w:r>
        <w:rPr>
          <w:rFonts w:ascii="Arial" w:hAnsi="Arial"/>
          <w:color w:val="231F1F"/>
          <w:w w:val="355"/>
          <w:position w:val="1"/>
          <w:sz w:val="7"/>
        </w:rPr>
        <w:t>l </w:t>
      </w:r>
      <w:r>
        <w:rPr>
          <w:rFonts w:ascii="Calibri" w:hAnsi="Calibri"/>
          <w:color w:val="008356"/>
          <w:spacing w:val="5"/>
          <w:w w:val="110"/>
          <w:sz w:val="11"/>
        </w:rPr>
        <w:t>VISMODEGIB </w:t>
      </w:r>
      <w:r>
        <w:rPr>
          <w:color w:val="231F1F"/>
          <w:w w:val="110"/>
        </w:rPr>
        <w:t>(plasma concentration of dasatinib, vandetanib and vismodegib possibly reduced);  carbamazepine  reduces plasma concentration of </w:t>
      </w:r>
      <w:r>
        <w:rPr>
          <w:rFonts w:ascii="Arial" w:hAnsi="Arial"/>
          <w:color w:val="231F1F"/>
          <w:w w:val="355"/>
          <w:position w:val="1"/>
          <w:sz w:val="7"/>
        </w:rPr>
        <w:t>l </w:t>
      </w:r>
      <w:r>
        <w:rPr>
          <w:rFonts w:ascii="Calibri" w:hAnsi="Calibri"/>
          <w:color w:val="008356"/>
          <w:spacing w:val="3"/>
          <w:w w:val="110"/>
          <w:sz w:val="11"/>
        </w:rPr>
        <w:t>IMATINIB </w:t>
      </w:r>
      <w:r>
        <w:rPr>
          <w:color w:val="231F1F"/>
          <w:w w:val="110"/>
        </w:rPr>
        <w:t>and </w:t>
      </w:r>
      <w:r>
        <w:rPr>
          <w:rFonts w:ascii="Arial" w:hAnsi="Arial"/>
          <w:color w:val="231F1F"/>
          <w:w w:val="355"/>
          <w:position w:val="1"/>
          <w:sz w:val="7"/>
        </w:rPr>
        <w:t>l </w:t>
      </w:r>
      <w:r>
        <w:rPr>
          <w:rFonts w:ascii="Calibri" w:hAnsi="Calibri"/>
          <w:color w:val="008356"/>
          <w:spacing w:val="2"/>
          <w:w w:val="110"/>
          <w:sz w:val="11"/>
        </w:rPr>
        <w:t>LAPATINIB</w:t>
      </w:r>
      <w:r>
        <w:rPr>
          <w:rFonts w:ascii="Arial" w:hAnsi="Arial"/>
          <w:color w:val="231F1F"/>
          <w:spacing w:val="2"/>
          <w:w w:val="110"/>
        </w:rPr>
        <w:t>—</w:t>
      </w:r>
      <w:r>
        <w:rPr>
          <w:color w:val="231F1F"/>
          <w:spacing w:val="2"/>
          <w:w w:val="110"/>
        </w:rPr>
        <w:t>avoid </w:t>
      </w:r>
      <w:r>
        <w:rPr>
          <w:color w:val="231F1F"/>
          <w:w w:val="110"/>
        </w:rPr>
        <w:t>concomitant use; carbamazepine possibly reduces plasma concentration of </w:t>
      </w:r>
      <w:r>
        <w:rPr>
          <w:rFonts w:ascii="Calibri" w:hAnsi="Calibri"/>
          <w:color w:val="008356"/>
          <w:spacing w:val="4"/>
          <w:w w:val="110"/>
          <w:sz w:val="11"/>
        </w:rPr>
        <w:t>ERIBULIN</w:t>
      </w:r>
      <w:r>
        <w:rPr>
          <w:color w:val="231F1F"/>
          <w:spacing w:val="4"/>
          <w:w w:val="110"/>
        </w:rPr>
        <w:t>; </w:t>
      </w:r>
      <w:r>
        <w:rPr>
          <w:color w:val="231F1F"/>
          <w:w w:val="110"/>
        </w:rPr>
        <w:t>carbamazepine reduces plasma concentration of </w:t>
      </w:r>
      <w:r>
        <w:rPr>
          <w:rFonts w:ascii="Calibri" w:hAnsi="Calibri"/>
          <w:color w:val="008356"/>
          <w:spacing w:val="4"/>
          <w:w w:val="110"/>
          <w:sz w:val="11"/>
        </w:rPr>
        <w:t>IRINOTECAN </w:t>
      </w:r>
      <w:r>
        <w:rPr>
          <w:color w:val="231F1F"/>
          <w:w w:val="110"/>
        </w:rPr>
        <w:t>and its active metabolite; manufacturer of procarbazine advises possible increased risk of hypersensitivity reactions when carbamazepine given </w:t>
      </w:r>
      <w:r>
        <w:rPr>
          <w:color w:val="231F1F"/>
          <w:spacing w:val="-4"/>
          <w:w w:val="110"/>
        </w:rPr>
        <w:t>with </w:t>
      </w:r>
      <w:r>
        <w:rPr>
          <w:rFonts w:ascii="Calibri" w:hAnsi="Calibri"/>
          <w:color w:val="008356"/>
          <w:spacing w:val="5"/>
          <w:w w:val="110"/>
          <w:sz w:val="11"/>
        </w:rPr>
        <w:t>PROCARBAZINE</w:t>
      </w:r>
    </w:p>
    <w:p>
      <w:pPr>
        <w:pStyle w:val="BodyText"/>
        <w:spacing w:line="142" w:lineRule="exact"/>
        <w:ind w:left="179"/>
      </w:pPr>
      <w:r>
        <w:rPr>
          <w:rFonts w:ascii="Arial"/>
          <w:color w:val="231F1F"/>
          <w:w w:val="355"/>
          <w:position w:val="1"/>
          <w:sz w:val="7"/>
        </w:rPr>
        <w:t>l </w:t>
      </w:r>
      <w:r>
        <w:rPr>
          <w:rFonts w:ascii="Calibri"/>
          <w:color w:val="231F1F"/>
          <w:w w:val="120"/>
        </w:rPr>
        <w:t>Diuretics: </w:t>
      </w:r>
      <w:r>
        <w:rPr>
          <w:color w:val="231F1F"/>
          <w:w w:val="120"/>
        </w:rPr>
        <w:t>increased risk of hyponatraemia when</w:t>
      </w:r>
    </w:p>
    <w:p>
      <w:pPr>
        <w:pStyle w:val="BodyText"/>
        <w:spacing w:line="242" w:lineRule="auto"/>
        <w:ind w:left="279" w:right="730" w:hanging="1"/>
      </w:pPr>
      <w:r>
        <w:rPr>
          <w:color w:val="231F1F"/>
          <w:w w:val="110"/>
        </w:rPr>
        <w:t>carbamazepine given with </w:t>
      </w:r>
      <w:r>
        <w:rPr>
          <w:rFonts w:ascii="Calibri"/>
          <w:color w:val="008356"/>
          <w:w w:val="110"/>
          <w:sz w:val="11"/>
        </w:rPr>
        <w:t>DIURETICS</w:t>
      </w:r>
      <w:r>
        <w:rPr>
          <w:color w:val="231F1F"/>
          <w:w w:val="110"/>
        </w:rPr>
        <w:t>; plasma concentration of carbamazepine increased by </w:t>
      </w:r>
      <w:r>
        <w:rPr>
          <w:rFonts w:ascii="Arial"/>
          <w:color w:val="231F1F"/>
          <w:w w:val="355"/>
          <w:position w:val="1"/>
          <w:sz w:val="7"/>
        </w:rPr>
        <w:t>l </w:t>
      </w:r>
      <w:r>
        <w:rPr>
          <w:rFonts w:ascii="Calibri"/>
          <w:color w:val="008356"/>
          <w:w w:val="110"/>
          <w:sz w:val="11"/>
        </w:rPr>
        <w:t>ACETAZOLAMIDE</w:t>
      </w:r>
      <w:r>
        <w:rPr>
          <w:color w:val="231F1F"/>
          <w:w w:val="110"/>
        </w:rPr>
        <w:t>; carbamazepine reduces plasma concentration of</w:t>
      </w:r>
    </w:p>
    <w:p>
      <w:pPr>
        <w:spacing w:line="141" w:lineRule="exact" w:before="3"/>
        <w:ind w:left="279"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54" w:lineRule="exact"/>
        <w:ind w:left="179"/>
      </w:pPr>
      <w:r>
        <w:rPr>
          <w:rFonts w:ascii="Lucida Sans Unicode" w:hAnsi="Lucida Sans Unicode"/>
          <w:color w:val="A7A8AC"/>
          <w:w w:val="95"/>
          <w:sz w:val="10"/>
        </w:rPr>
        <w:t>▶ </w:t>
      </w:r>
      <w:r>
        <w:rPr>
          <w:rFonts w:ascii="Calibri" w:hAnsi="Calibri"/>
          <w:color w:val="231F1F"/>
          <w:w w:val="105"/>
        </w:rPr>
        <w:t>Fingolimod: </w:t>
      </w:r>
      <w:r>
        <w:rPr>
          <w:color w:val="231F1F"/>
          <w:w w:val="105"/>
        </w:rPr>
        <w:t>carbamazepine reduces plasma concentration of</w:t>
      </w:r>
    </w:p>
    <w:p>
      <w:pPr>
        <w:spacing w:line="130" w:lineRule="exact" w:before="0"/>
        <w:ind w:left="279" w:right="0" w:firstLine="0"/>
        <w:jc w:val="left"/>
        <w:rPr>
          <w:rFonts w:ascii="Calibri"/>
          <w:sz w:val="11"/>
        </w:rPr>
      </w:pPr>
      <w:r>
        <w:rPr>
          <w:rFonts w:ascii="Calibri"/>
          <w:color w:val="008356"/>
          <w:sz w:val="11"/>
        </w:rPr>
        <w:t>FINGOLIMOD</w:t>
      </w:r>
    </w:p>
    <w:p>
      <w:pPr>
        <w:pStyle w:val="BodyText"/>
        <w:spacing w:line="220" w:lineRule="auto" w:before="8"/>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carbamazepine possibly reduces plasma concentration of </w:t>
      </w:r>
      <w:r>
        <w:rPr>
          <w:rFonts w:ascii="Calibri" w:hAnsi="Calibri"/>
          <w:color w:val="008356"/>
          <w:w w:val="105"/>
          <w:sz w:val="11"/>
        </w:rPr>
        <w:t>FOSAPREPITANT</w:t>
      </w:r>
    </w:p>
    <w:p>
      <w:pPr>
        <w:pStyle w:val="BodyText"/>
        <w:spacing w:line="244" w:lineRule="auto"/>
        <w:ind w:left="279" w:right="626" w:hanging="100"/>
      </w:pP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231F1F"/>
          <w:w w:val="115"/>
        </w:rPr>
        <w:t>Hormone</w:t>
      </w:r>
      <w:r>
        <w:rPr>
          <w:rFonts w:ascii="Calibri" w:hAnsi="Calibri"/>
          <w:color w:val="231F1F"/>
          <w:spacing w:val="-20"/>
          <w:w w:val="115"/>
        </w:rPr>
        <w:t> </w:t>
      </w:r>
      <w:r>
        <w:rPr>
          <w:rFonts w:ascii="Calibri" w:hAnsi="Calibri"/>
          <w:color w:val="231F1F"/>
          <w:w w:val="115"/>
        </w:rPr>
        <w:t>Antagonists:</w:t>
      </w:r>
      <w:r>
        <w:rPr>
          <w:rFonts w:ascii="Calibri" w:hAnsi="Calibri"/>
          <w:color w:val="231F1F"/>
          <w:spacing w:val="-19"/>
          <w:w w:val="115"/>
        </w:rPr>
        <w:t> </w:t>
      </w:r>
      <w:r>
        <w:rPr>
          <w:color w:val="231F1F"/>
          <w:w w:val="115"/>
        </w:rPr>
        <w:t>carbamazepine</w:t>
      </w:r>
      <w:r>
        <w:rPr>
          <w:color w:val="231F1F"/>
          <w:spacing w:val="-23"/>
          <w:w w:val="115"/>
        </w:rPr>
        <w:t> </w:t>
      </w:r>
      <w:r>
        <w:rPr>
          <w:color w:val="231F1F"/>
          <w:w w:val="115"/>
        </w:rPr>
        <w:t>possibly</w:t>
      </w:r>
      <w:r>
        <w:rPr>
          <w:color w:val="231F1F"/>
          <w:spacing w:val="-23"/>
          <w:w w:val="115"/>
        </w:rPr>
        <w:t> </w:t>
      </w:r>
      <w:r>
        <w:rPr>
          <w:color w:val="231F1F"/>
          <w:w w:val="115"/>
        </w:rPr>
        <w:t>reduces</w:t>
      </w:r>
      <w:r>
        <w:rPr>
          <w:color w:val="231F1F"/>
          <w:spacing w:val="-23"/>
          <w:w w:val="115"/>
        </w:rPr>
        <w:t> </w:t>
      </w:r>
      <w:r>
        <w:rPr>
          <w:color w:val="231F1F"/>
          <w:spacing w:val="-3"/>
          <w:w w:val="115"/>
        </w:rPr>
        <w:t>plasma </w:t>
      </w:r>
      <w:r>
        <w:rPr>
          <w:color w:val="231F1F"/>
          <w:w w:val="120"/>
        </w:rPr>
        <w:t>concentration of </w:t>
      </w:r>
      <w:r>
        <w:rPr>
          <w:rFonts w:ascii="Arial" w:hAnsi="Arial"/>
          <w:color w:val="231F1F"/>
          <w:w w:val="355"/>
          <w:position w:val="1"/>
          <w:sz w:val="7"/>
        </w:rPr>
        <w:t>l </w:t>
      </w:r>
      <w:r>
        <w:rPr>
          <w:rFonts w:ascii="Calibri" w:hAnsi="Calibri"/>
          <w:color w:val="008356"/>
          <w:spacing w:val="2"/>
          <w:w w:val="120"/>
          <w:sz w:val="11"/>
        </w:rPr>
        <w:t>ABIRATERONE</w:t>
      </w:r>
      <w:r>
        <w:rPr>
          <w:rFonts w:ascii="Arial" w:hAnsi="Arial"/>
          <w:color w:val="231F1F"/>
          <w:spacing w:val="2"/>
          <w:w w:val="120"/>
        </w:rPr>
        <w:t>—</w:t>
      </w:r>
      <w:r>
        <w:rPr>
          <w:color w:val="231F1F"/>
          <w:spacing w:val="2"/>
          <w:w w:val="120"/>
        </w:rPr>
        <w:t>manufacturer </w:t>
      </w:r>
      <w:r>
        <w:rPr>
          <w:color w:val="231F1F"/>
          <w:w w:val="120"/>
        </w:rPr>
        <w:t>of abiraterone</w:t>
      </w:r>
      <w:r>
        <w:rPr>
          <w:color w:val="231F1F"/>
          <w:spacing w:val="-20"/>
          <w:w w:val="120"/>
        </w:rPr>
        <w:t> </w:t>
      </w:r>
      <w:r>
        <w:rPr>
          <w:color w:val="231F1F"/>
          <w:w w:val="120"/>
        </w:rPr>
        <w:t>advises</w:t>
      </w:r>
      <w:r>
        <w:rPr>
          <w:color w:val="231F1F"/>
          <w:spacing w:val="-18"/>
          <w:w w:val="120"/>
        </w:rPr>
        <w:t> </w:t>
      </w:r>
      <w:r>
        <w:rPr>
          <w:color w:val="231F1F"/>
          <w:w w:val="120"/>
        </w:rPr>
        <w:t>avoid</w:t>
      </w:r>
      <w:r>
        <w:rPr>
          <w:color w:val="231F1F"/>
          <w:spacing w:val="-20"/>
          <w:w w:val="120"/>
        </w:rPr>
        <w:t> </w:t>
      </w:r>
      <w:r>
        <w:rPr>
          <w:color w:val="231F1F"/>
          <w:w w:val="120"/>
        </w:rPr>
        <w:t>concomitant</w:t>
      </w:r>
      <w:r>
        <w:rPr>
          <w:color w:val="231F1F"/>
          <w:spacing w:val="-19"/>
          <w:w w:val="120"/>
        </w:rPr>
        <w:t> </w:t>
      </w:r>
      <w:r>
        <w:rPr>
          <w:color w:val="231F1F"/>
          <w:w w:val="120"/>
        </w:rPr>
        <w:t>use;</w:t>
      </w:r>
      <w:r>
        <w:rPr>
          <w:color w:val="231F1F"/>
          <w:spacing w:val="-18"/>
          <w:w w:val="120"/>
        </w:rPr>
        <w:t> </w:t>
      </w:r>
      <w:r>
        <w:rPr>
          <w:color w:val="231F1F"/>
          <w:w w:val="120"/>
        </w:rPr>
        <w:t>metabolism</w:t>
      </w:r>
      <w:r>
        <w:rPr>
          <w:color w:val="231F1F"/>
          <w:spacing w:val="-19"/>
          <w:w w:val="120"/>
        </w:rPr>
        <w:t> </w:t>
      </w:r>
      <w:r>
        <w:rPr>
          <w:color w:val="231F1F"/>
          <w:w w:val="120"/>
        </w:rPr>
        <w:t>of carbamazepine</w:t>
      </w:r>
      <w:r>
        <w:rPr>
          <w:color w:val="231F1F"/>
          <w:spacing w:val="-21"/>
          <w:w w:val="120"/>
        </w:rPr>
        <w:t> </w:t>
      </w:r>
      <w:r>
        <w:rPr>
          <w:color w:val="231F1F"/>
          <w:w w:val="120"/>
        </w:rPr>
        <w:t>inhibited</w:t>
      </w:r>
      <w:r>
        <w:rPr>
          <w:color w:val="231F1F"/>
          <w:spacing w:val="-19"/>
          <w:w w:val="120"/>
        </w:rPr>
        <w:t> </w:t>
      </w:r>
      <w:r>
        <w:rPr>
          <w:color w:val="231F1F"/>
          <w:w w:val="120"/>
        </w:rPr>
        <w:t>by</w:t>
      </w:r>
      <w:r>
        <w:rPr>
          <w:color w:val="231F1F"/>
          <w:spacing w:val="-20"/>
          <w:w w:val="120"/>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20"/>
          <w:sz w:val="11"/>
        </w:rPr>
        <w:t>DANAZOL</w:t>
      </w:r>
      <w:r>
        <w:rPr>
          <w:rFonts w:ascii="Calibri" w:hAnsi="Calibri"/>
          <w:color w:val="008356"/>
          <w:spacing w:val="-9"/>
          <w:w w:val="120"/>
          <w:sz w:val="11"/>
        </w:rPr>
        <w:t> </w:t>
      </w:r>
      <w:r>
        <w:rPr>
          <w:color w:val="231F1F"/>
          <w:w w:val="120"/>
        </w:rPr>
        <w:t>(increased</w:t>
      </w:r>
      <w:r>
        <w:rPr>
          <w:color w:val="231F1F"/>
          <w:spacing w:val="-20"/>
          <w:w w:val="120"/>
        </w:rPr>
        <w:t> </w:t>
      </w:r>
      <w:r>
        <w:rPr>
          <w:color w:val="231F1F"/>
          <w:w w:val="120"/>
        </w:rPr>
        <w:t>risk</w:t>
      </w:r>
      <w:r>
        <w:rPr>
          <w:color w:val="231F1F"/>
          <w:spacing w:val="-19"/>
          <w:w w:val="120"/>
        </w:rPr>
        <w:t> </w:t>
      </w:r>
      <w:r>
        <w:rPr>
          <w:color w:val="231F1F"/>
          <w:w w:val="120"/>
        </w:rPr>
        <w:t>of </w:t>
      </w:r>
      <w:r>
        <w:rPr>
          <w:color w:val="231F1F"/>
          <w:w w:val="115"/>
        </w:rPr>
        <w:t>toxicity);</w:t>
      </w:r>
      <w:r>
        <w:rPr>
          <w:color w:val="231F1F"/>
          <w:spacing w:val="-12"/>
          <w:w w:val="115"/>
        </w:rPr>
        <w:t> </w:t>
      </w:r>
      <w:r>
        <w:rPr>
          <w:color w:val="231F1F"/>
          <w:w w:val="115"/>
        </w:rPr>
        <w:t>carbamazepine</w:t>
      </w:r>
      <w:r>
        <w:rPr>
          <w:color w:val="231F1F"/>
          <w:spacing w:val="-11"/>
          <w:w w:val="115"/>
        </w:rPr>
        <w:t> </w:t>
      </w:r>
      <w:r>
        <w:rPr>
          <w:color w:val="231F1F"/>
          <w:w w:val="115"/>
        </w:rPr>
        <w:t>possibly</w:t>
      </w:r>
      <w:r>
        <w:rPr>
          <w:color w:val="231F1F"/>
          <w:spacing w:val="-12"/>
          <w:w w:val="115"/>
        </w:rPr>
        <w:t> </w:t>
      </w:r>
      <w:r>
        <w:rPr>
          <w:color w:val="231F1F"/>
          <w:w w:val="115"/>
        </w:rPr>
        <w:t>accelerates</w:t>
      </w:r>
      <w:r>
        <w:rPr>
          <w:color w:val="231F1F"/>
          <w:spacing w:val="-12"/>
          <w:w w:val="115"/>
        </w:rPr>
        <w:t> </w:t>
      </w:r>
      <w:r>
        <w:rPr>
          <w:color w:val="231F1F"/>
          <w:w w:val="115"/>
        </w:rPr>
        <w:t>metabolism</w:t>
      </w:r>
      <w:r>
        <w:rPr>
          <w:color w:val="231F1F"/>
          <w:spacing w:val="-12"/>
          <w:w w:val="115"/>
        </w:rPr>
        <w:t> </w:t>
      </w:r>
      <w:r>
        <w:rPr>
          <w:color w:val="231F1F"/>
          <w:w w:val="115"/>
        </w:rPr>
        <w:t>of </w:t>
      </w:r>
      <w:r>
        <w:rPr>
          <w:rFonts w:ascii="Calibri" w:hAnsi="Calibri"/>
          <w:color w:val="008356"/>
          <w:spacing w:val="4"/>
          <w:w w:val="120"/>
          <w:sz w:val="11"/>
        </w:rPr>
        <w:t>TOREMIFENE </w:t>
      </w:r>
      <w:r>
        <w:rPr>
          <w:color w:val="231F1F"/>
          <w:w w:val="120"/>
        </w:rPr>
        <w:t>(reduced plasma</w:t>
      </w:r>
      <w:r>
        <w:rPr>
          <w:color w:val="231F1F"/>
          <w:spacing w:val="-27"/>
          <w:w w:val="120"/>
        </w:rPr>
        <w:t> </w:t>
      </w:r>
      <w:r>
        <w:rPr>
          <w:color w:val="231F1F"/>
          <w:w w:val="120"/>
        </w:rPr>
        <w:t>concentration)</w:t>
      </w:r>
    </w:p>
    <w:p>
      <w:pPr>
        <w:pStyle w:val="BodyText"/>
        <w:spacing w:line="220" w:lineRule="auto" w:before="3"/>
        <w:ind w:left="279" w:right="664" w:hanging="100"/>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carbamazepine accelerates metabolism of </w:t>
      </w:r>
      <w:r>
        <w:rPr>
          <w:rFonts w:ascii="Calibri" w:hAnsi="Calibri"/>
          <w:color w:val="008356"/>
          <w:w w:val="105"/>
          <w:sz w:val="11"/>
          <w:vertAlign w:val="baseline"/>
        </w:rPr>
        <w:t>ONDANSETRON </w:t>
      </w:r>
      <w:r>
        <w:rPr>
          <w:color w:val="231F1F"/>
          <w:w w:val="105"/>
          <w:vertAlign w:val="baseline"/>
        </w:rPr>
        <w:t>(reduced effect)</w:t>
      </w:r>
    </w:p>
    <w:p>
      <w:pPr>
        <w:pStyle w:val="BodyText"/>
        <w:ind w:left="279" w:right="664" w:hanging="100"/>
      </w:pPr>
      <w:r>
        <w:rPr>
          <w:rFonts w:ascii="Arial" w:hAnsi="Arial"/>
          <w:color w:val="231F1F"/>
          <w:w w:val="355"/>
          <w:position w:val="1"/>
          <w:sz w:val="7"/>
        </w:rPr>
        <w:t>l </w:t>
      </w:r>
      <w:r>
        <w:rPr>
          <w:rFonts w:ascii="Calibri" w:hAnsi="Calibri"/>
          <w:color w:val="231F1F"/>
          <w:w w:val="120"/>
        </w:rPr>
        <w:t>Ivacaftor: </w:t>
      </w:r>
      <w:r>
        <w:rPr>
          <w:color w:val="231F1F"/>
          <w:w w:val="120"/>
        </w:rPr>
        <w:t>carbamazepine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IVACAFTOR</w:t>
      </w:r>
      <w:r>
        <w:rPr>
          <w:rFonts w:ascii="Arial" w:hAnsi="Arial"/>
          <w:color w:val="231F1F"/>
          <w:w w:val="115"/>
        </w:rPr>
        <w:t>—</w:t>
      </w:r>
      <w:r>
        <w:rPr>
          <w:color w:val="231F1F"/>
          <w:w w:val="115"/>
        </w:rPr>
        <w:t>manufacturer of ivacaftor </w:t>
      </w:r>
      <w:r>
        <w:rPr>
          <w:color w:val="231F1F"/>
          <w:w w:val="120"/>
        </w:rPr>
        <w:t>advises avoid concomitant use</w:t>
      </w:r>
    </w:p>
    <w:p>
      <w:pPr>
        <w:pStyle w:val="BodyText"/>
        <w:spacing w:before="1"/>
        <w:ind w:left="279" w:right="674"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carbamazepine reduces plasma concentration</w:t>
      </w:r>
      <w:r>
        <w:rPr>
          <w:color w:val="231F1F"/>
          <w:spacing w:val="-20"/>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15"/>
          <w:sz w:val="11"/>
        </w:rPr>
        <w:t>SIMVASTATIN</w:t>
      </w:r>
      <w:r>
        <w:rPr>
          <w:rFonts w:ascii="Arial" w:hAnsi="Arial"/>
          <w:color w:val="231F1F"/>
          <w:w w:val="115"/>
        </w:rPr>
        <w:t>—</w:t>
      </w:r>
      <w:r>
        <w:rPr>
          <w:color w:val="231F1F"/>
          <w:w w:val="115"/>
        </w:rPr>
        <w:t>consider</w:t>
      </w:r>
      <w:r>
        <w:rPr>
          <w:color w:val="231F1F"/>
          <w:spacing w:val="-19"/>
          <w:w w:val="115"/>
        </w:rPr>
        <w:t> </w:t>
      </w:r>
      <w:r>
        <w:rPr>
          <w:color w:val="231F1F"/>
          <w:w w:val="115"/>
        </w:rPr>
        <w:t>increasing</w:t>
      </w:r>
      <w:r>
        <w:rPr>
          <w:color w:val="231F1F"/>
          <w:spacing w:val="-19"/>
          <w:w w:val="115"/>
        </w:rPr>
        <w:t> </w:t>
      </w:r>
      <w:r>
        <w:rPr>
          <w:color w:val="231F1F"/>
          <w:w w:val="115"/>
        </w:rPr>
        <w:t>dose</w:t>
      </w:r>
      <w:r>
        <w:rPr>
          <w:color w:val="231F1F"/>
          <w:spacing w:val="-19"/>
          <w:w w:val="115"/>
        </w:rPr>
        <w:t> </w:t>
      </w:r>
      <w:r>
        <w:rPr>
          <w:color w:val="231F1F"/>
          <w:spacing w:val="-6"/>
          <w:w w:val="115"/>
        </w:rPr>
        <w:t>of </w:t>
      </w:r>
      <w:r>
        <w:rPr>
          <w:color w:val="231F1F"/>
          <w:w w:val="115"/>
        </w:rPr>
        <w:t>simvastatin</w:t>
      </w:r>
    </w:p>
    <w:p>
      <w:pPr>
        <w:pStyle w:val="BodyText"/>
        <w:spacing w:line="230" w:lineRule="auto" w:before="6"/>
        <w:ind w:left="279" w:right="664" w:hanging="100"/>
      </w:pPr>
      <w:r>
        <w:rPr>
          <w:rFonts w:ascii="Lucida Sans Unicode" w:hAnsi="Lucida Sans Unicode"/>
          <w:color w:val="A7A8AC"/>
          <w:w w:val="95"/>
          <w:sz w:val="10"/>
        </w:rPr>
        <w:t>▶ </w:t>
      </w:r>
      <w:r>
        <w:rPr>
          <w:rFonts w:ascii="Calibri" w:hAnsi="Calibri"/>
          <w:color w:val="231F1F"/>
          <w:w w:val="110"/>
        </w:rPr>
        <w:t>Lithium: </w:t>
      </w:r>
      <w:r>
        <w:rPr>
          <w:color w:val="231F1F"/>
          <w:w w:val="110"/>
        </w:rPr>
        <w:t>neurotoxicity may occur when carbamazepine given with </w:t>
      </w:r>
      <w:r>
        <w:rPr>
          <w:rFonts w:ascii="Calibri" w:hAnsi="Calibri"/>
          <w:color w:val="008356"/>
          <w:w w:val="110"/>
          <w:sz w:val="11"/>
        </w:rPr>
        <w:t>LITHIUM </w:t>
      </w:r>
      <w:r>
        <w:rPr>
          <w:color w:val="231F1F"/>
          <w:w w:val="110"/>
        </w:rPr>
        <w:t>without increased plasma concentration of lithium</w:t>
      </w:r>
    </w:p>
    <w:p>
      <w:pPr>
        <w:pStyle w:val="BodyText"/>
        <w:spacing w:line="220" w:lineRule="auto" w:before="13"/>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Macitentan: </w:t>
      </w:r>
      <w:r>
        <w:rPr>
          <w:color w:val="231F1F"/>
          <w:w w:val="105"/>
        </w:rPr>
        <w:t>avoidance of carbamazepine advised by manufacturer of </w:t>
      </w:r>
      <w:r>
        <w:rPr>
          <w:rFonts w:ascii="Calibri" w:hAnsi="Calibri"/>
          <w:color w:val="008356"/>
          <w:w w:val="105"/>
          <w:sz w:val="11"/>
        </w:rPr>
        <w:t>MACITENTAN</w:t>
      </w:r>
    </w:p>
    <w:p>
      <w:pPr>
        <w:spacing w:line="230" w:lineRule="auto" w:before="4"/>
        <w:ind w:left="279" w:right="619" w:hanging="100"/>
        <w:jc w:val="left"/>
        <w:rPr>
          <w:sz w:val="12"/>
        </w:rPr>
      </w:pPr>
      <w:r>
        <w:rPr>
          <w:rFonts w:ascii="Lucida Sans Unicode" w:hAnsi="Lucida Sans Unicode"/>
          <w:color w:val="A7A8AC"/>
          <w:w w:val="95"/>
          <w:sz w:val="10"/>
        </w:rPr>
        <w:t>▶ </w:t>
      </w:r>
      <w:r>
        <w:rPr>
          <w:rFonts w:ascii="Calibri" w:hAnsi="Calibri"/>
          <w:color w:val="231F1F"/>
          <w:w w:val="110"/>
          <w:sz w:val="12"/>
        </w:rPr>
        <w:t>Muscle Relaxants: </w:t>
      </w:r>
      <w:r>
        <w:rPr>
          <w:color w:val="231F1F"/>
          <w:w w:val="110"/>
          <w:sz w:val="12"/>
        </w:rPr>
        <w:t>carbamazepine antagonises muscle relaxant effect of </w:t>
      </w:r>
      <w:r>
        <w:rPr>
          <w:rFonts w:ascii="Calibri" w:hAnsi="Calibri"/>
          <w:color w:val="008356"/>
          <w:w w:val="110"/>
          <w:sz w:val="11"/>
        </w:rPr>
        <w:t>NON-DEPOLARISING MUSCLE RELAXANTS </w:t>
      </w:r>
      <w:r>
        <w:rPr>
          <w:color w:val="231F1F"/>
          <w:w w:val="110"/>
          <w:sz w:val="12"/>
        </w:rPr>
        <w:t>(accelerated recovery from neuromuscular blockade)</w:t>
      </w:r>
    </w:p>
    <w:p>
      <w:pPr>
        <w:pStyle w:val="BodyText"/>
        <w:spacing w:line="146" w:lineRule="exact" w:before="3"/>
        <w:ind w:left="179"/>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Oestrogens: </w:t>
      </w:r>
      <w:r>
        <w:rPr>
          <w:color w:val="231F1F"/>
          <w:w w:val="115"/>
        </w:rPr>
        <w:t>carbamazepine accelerates metabolism of</w:t>
      </w:r>
    </w:p>
    <w:p>
      <w:pPr>
        <w:pStyle w:val="BodyText"/>
        <w:spacing w:line="244" w:lineRule="auto"/>
        <w:ind w:left="279" w:right="664" w:hanging="1"/>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left="279" w:right="107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79"/>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Progestogens: </w:t>
      </w:r>
      <w:r>
        <w:rPr>
          <w:color w:val="231F1F"/>
          <w:w w:val="115"/>
        </w:rPr>
        <w:t>carbamazepine accelerates metabolism of</w:t>
      </w:r>
    </w:p>
    <w:p>
      <w:pPr>
        <w:pStyle w:val="BodyText"/>
        <w:spacing w:line="247" w:lineRule="auto"/>
        <w:ind w:left="279" w:right="608" w:hanging="1"/>
      </w:pPr>
      <w:r>
        <w:rPr>
          <w:rFonts w:ascii="Arial" w:hAnsi="Arial"/>
          <w:color w:val="231F1F"/>
          <w:w w:val="225"/>
          <w:position w:val="1"/>
          <w:sz w:val="7"/>
        </w:rPr>
        <w:t>l</w:t>
      </w:r>
      <w:r>
        <w:rPr>
          <w:rFonts w:ascii="Arial" w:hAnsi="Arial"/>
          <w:color w:val="231F1F"/>
          <w:spacing w:val="-35"/>
          <w:w w:val="22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5"/>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20" w:lineRule="auto" w:before="7"/>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Retinoids: </w:t>
      </w:r>
      <w:r>
        <w:rPr>
          <w:color w:val="231F1F"/>
          <w:w w:val="105"/>
        </w:rPr>
        <w:t>plasma concentration of carbamazepine possibly reduced by </w:t>
      </w:r>
      <w:r>
        <w:rPr>
          <w:rFonts w:ascii="Calibri" w:hAnsi="Calibri"/>
          <w:color w:val="008356"/>
          <w:w w:val="105"/>
          <w:sz w:val="11"/>
        </w:rPr>
        <w:t>ISOTRETINOIN</w:t>
      </w:r>
    </w:p>
    <w:p>
      <w:pPr>
        <w:pStyle w:val="BodyText"/>
        <w:spacing w:line="230" w:lineRule="auto" w:before="3"/>
        <w:ind w:left="279" w:right="664" w:hanging="100"/>
      </w:pPr>
      <w:r>
        <w:rPr>
          <w:rFonts w:ascii="Lucida Sans Unicode" w:hAnsi="Lucida Sans Unicode"/>
          <w:color w:val="A7A8AC"/>
          <w:w w:val="95"/>
          <w:sz w:val="10"/>
        </w:rPr>
        <w:t>▶ </w:t>
      </w:r>
      <w:r>
        <w:rPr>
          <w:rFonts w:ascii="Calibri" w:hAnsi="Calibri"/>
          <w:color w:val="231F1F"/>
          <w:w w:val="110"/>
        </w:rPr>
        <w:t>Roflumilast: </w:t>
      </w:r>
      <w:r>
        <w:rPr>
          <w:color w:val="231F1F"/>
          <w:w w:val="110"/>
        </w:rPr>
        <w:t>carbamazepine possibly inhibits effects of </w:t>
      </w:r>
      <w:r>
        <w:rPr>
          <w:rFonts w:ascii="Calibri" w:hAnsi="Calibri"/>
          <w:color w:val="008356"/>
          <w:w w:val="110"/>
          <w:sz w:val="11"/>
        </w:rPr>
        <w:t>ROFLUMILAST </w:t>
      </w:r>
      <w:r>
        <w:rPr>
          <w:color w:val="231F1F"/>
          <w:w w:val="110"/>
        </w:rPr>
        <w:t>(manufacturer of roflumilast advises avoid concomitant use)</w:t>
      </w:r>
    </w:p>
    <w:p>
      <w:pPr>
        <w:pStyle w:val="BodyText"/>
        <w:spacing w:line="152" w:lineRule="exact" w:before="4"/>
        <w:ind w:left="179"/>
      </w:pPr>
      <w:r>
        <w:rPr>
          <w:rFonts w:ascii="Lucida Sans Unicode" w:hAnsi="Lucida Sans Unicode"/>
          <w:color w:val="A7A8AC"/>
          <w:w w:val="95"/>
          <w:sz w:val="10"/>
        </w:rPr>
        <w:t>▶ </w:t>
      </w:r>
      <w:r>
        <w:rPr>
          <w:rFonts w:ascii="Calibri" w:hAnsi="Calibri"/>
          <w:color w:val="231F1F"/>
          <w:w w:val="105"/>
        </w:rPr>
        <w:t>Theophylline: </w:t>
      </w:r>
      <w:r>
        <w:rPr>
          <w:color w:val="231F1F"/>
          <w:w w:val="105"/>
        </w:rPr>
        <w:t>carbamazepine accelerates metabolism of</w:t>
      </w:r>
    </w:p>
    <w:p>
      <w:pPr>
        <w:spacing w:line="134" w:lineRule="exact" w:before="0"/>
        <w:ind w:left="279" w:right="0" w:firstLine="0"/>
        <w:jc w:val="left"/>
        <w:rPr>
          <w:sz w:val="12"/>
        </w:rPr>
      </w:pPr>
      <w:r>
        <w:rPr>
          <w:rFonts w:ascii="Calibri"/>
          <w:color w:val="008356"/>
          <w:spacing w:val="4"/>
          <w:w w:val="110"/>
          <w:sz w:val="11"/>
        </w:rPr>
        <w:t>THEOPHYLLINE</w:t>
      </w:r>
      <w:r>
        <w:rPr>
          <w:rFonts w:ascii="Calibri"/>
          <w:color w:val="008356"/>
          <w:spacing w:val="-12"/>
          <w:w w:val="110"/>
          <w:sz w:val="11"/>
        </w:rPr>
        <w:t> </w:t>
      </w:r>
      <w:r>
        <w:rPr>
          <w:color w:val="231F1F"/>
          <w:w w:val="110"/>
          <w:sz w:val="12"/>
        </w:rPr>
        <w:t>(reduced</w:t>
      </w:r>
      <w:r>
        <w:rPr>
          <w:color w:val="231F1F"/>
          <w:spacing w:val="-19"/>
          <w:w w:val="110"/>
          <w:sz w:val="12"/>
        </w:rPr>
        <w:t> </w:t>
      </w:r>
      <w:r>
        <w:rPr>
          <w:color w:val="231F1F"/>
          <w:w w:val="110"/>
          <w:sz w:val="12"/>
        </w:rPr>
        <w:t>effect)</w:t>
      </w:r>
    </w:p>
    <w:p>
      <w:pPr>
        <w:pStyle w:val="BodyText"/>
        <w:spacing w:line="230" w:lineRule="auto" w:before="3"/>
        <w:ind w:left="279" w:right="694" w:hanging="100"/>
      </w:pPr>
      <w:r>
        <w:rPr>
          <w:rFonts w:ascii="Lucida Sans Unicode" w:hAnsi="Lucida Sans Unicode"/>
          <w:color w:val="A7A8AC"/>
          <w:w w:val="95"/>
          <w:sz w:val="10"/>
        </w:rPr>
        <w:t>▶ </w:t>
      </w:r>
      <w:r>
        <w:rPr>
          <w:rFonts w:ascii="Calibri" w:hAnsi="Calibri"/>
          <w:color w:val="231F1F"/>
          <w:w w:val="110"/>
        </w:rPr>
        <w:t>Thyroid Hormones: </w:t>
      </w:r>
      <w:r>
        <w:rPr>
          <w:color w:val="231F1F"/>
          <w:w w:val="110"/>
        </w:rPr>
        <w:t>carbamazepine accelerates metabolism</w:t>
      </w:r>
      <w:r>
        <w:rPr>
          <w:color w:val="231F1F"/>
          <w:spacing w:val="-17"/>
          <w:w w:val="110"/>
        </w:rPr>
        <w:t> </w:t>
      </w:r>
      <w:r>
        <w:rPr>
          <w:color w:val="231F1F"/>
          <w:spacing w:val="-7"/>
          <w:w w:val="110"/>
        </w:rPr>
        <w:t>of </w:t>
      </w:r>
      <w:r>
        <w:rPr>
          <w:rFonts w:ascii="Calibri" w:hAnsi="Calibri"/>
          <w:color w:val="008356"/>
          <w:spacing w:val="4"/>
          <w:w w:val="110"/>
          <w:sz w:val="11"/>
        </w:rPr>
        <w:t>THYROID HORMONES </w:t>
      </w:r>
      <w:r>
        <w:rPr>
          <w:color w:val="231F1F"/>
          <w:w w:val="110"/>
        </w:rPr>
        <w:t>(may increase requirements for thyroid hormones in</w:t>
      </w:r>
      <w:r>
        <w:rPr>
          <w:color w:val="231F1F"/>
          <w:spacing w:val="-2"/>
          <w:w w:val="110"/>
        </w:rPr>
        <w:t> </w:t>
      </w:r>
      <w:r>
        <w:rPr>
          <w:color w:val="231F1F"/>
          <w:w w:val="110"/>
        </w:rPr>
        <w:t>hypothyroidism)</w:t>
      </w:r>
    </w:p>
    <w:p>
      <w:pPr>
        <w:pStyle w:val="BodyText"/>
        <w:spacing w:line="152" w:lineRule="exact" w:before="4"/>
        <w:ind w:left="179"/>
        <w:rPr>
          <w:rFonts w:ascii="Calibri" w:hAnsi="Calibri"/>
          <w:sz w:val="11"/>
        </w:rPr>
      </w:pPr>
      <w:r>
        <w:rPr>
          <w:rFonts w:ascii="Lucida Sans Unicode" w:hAnsi="Lucida Sans Unicode"/>
          <w:color w:val="A7A8AC"/>
          <w:w w:val="95"/>
          <w:sz w:val="10"/>
        </w:rPr>
        <w:t>▶ </w:t>
      </w:r>
      <w:r>
        <w:rPr>
          <w:rFonts w:ascii="Calibri" w:hAnsi="Calibri"/>
          <w:color w:val="231F1F"/>
          <w:w w:val="105"/>
        </w:rPr>
        <w:t>Tibolone: </w:t>
      </w:r>
      <w:r>
        <w:rPr>
          <w:color w:val="231F1F"/>
          <w:w w:val="105"/>
        </w:rPr>
        <w:t>carbamazepine accelerates metabolism of </w:t>
      </w:r>
      <w:r>
        <w:rPr>
          <w:rFonts w:ascii="Calibri" w:hAnsi="Calibri"/>
          <w:color w:val="008356"/>
          <w:w w:val="105"/>
          <w:sz w:val="11"/>
        </w:rPr>
        <w:t>TIBOLONE</w:t>
      </w:r>
    </w:p>
    <w:p>
      <w:pPr>
        <w:pStyle w:val="BodyText"/>
        <w:spacing w:line="132" w:lineRule="exact"/>
        <w:ind w:left="279"/>
      </w:pPr>
      <w:r>
        <w:rPr>
          <w:color w:val="231F1F"/>
          <w:w w:val="115"/>
        </w:rPr>
        <w:t>(reduced plasma concentration)</w:t>
      </w:r>
    </w:p>
    <w:p>
      <w:pPr>
        <w:pStyle w:val="BodyText"/>
        <w:spacing w:line="220" w:lineRule="auto" w:before="9"/>
        <w:ind w:left="279" w:right="730" w:hanging="100"/>
        <w:rPr>
          <w:rFonts w:ascii="Calibri" w:hAnsi="Calibri"/>
          <w:sz w:val="11"/>
        </w:rPr>
      </w:pPr>
      <w:r>
        <w:rPr>
          <w:rFonts w:ascii="Lucida Sans Unicode" w:hAnsi="Lucida Sans Unicode"/>
          <w:color w:val="A7A8AC"/>
          <w:w w:val="95"/>
          <w:sz w:val="10"/>
        </w:rPr>
        <w:t>▶ </w:t>
      </w:r>
      <w:r>
        <w:rPr>
          <w:rFonts w:ascii="Calibri" w:hAnsi="Calibri"/>
          <w:color w:val="231F1F"/>
          <w:w w:val="105"/>
        </w:rPr>
        <w:t>Ticagrelor: </w:t>
      </w:r>
      <w:r>
        <w:rPr>
          <w:color w:val="231F1F"/>
          <w:w w:val="105"/>
        </w:rPr>
        <w:t>carbamazepine possibly reduces plasma concentration of </w:t>
      </w:r>
      <w:r>
        <w:rPr>
          <w:rFonts w:ascii="Calibri" w:hAnsi="Calibri"/>
          <w:color w:val="008356"/>
          <w:w w:val="105"/>
          <w:sz w:val="11"/>
        </w:rPr>
        <w:t>TICAGRELOR</w:t>
      </w:r>
    </w:p>
    <w:p>
      <w:pPr>
        <w:spacing w:after="0" w:line="220" w:lineRule="auto"/>
        <w:rPr>
          <w:rFonts w:ascii="Calibri" w:hAnsi="Calibri"/>
          <w:sz w:val="11"/>
        </w:rPr>
        <w:sectPr>
          <w:headerReference w:type="even" r:id="rId21"/>
          <w:headerReference w:type="default" r:id="rId22"/>
          <w:pgSz w:w="8390" w:h="11910"/>
          <w:pgMar w:header="0" w:footer="0" w:top="460" w:bottom="0" w:left="480" w:right="0"/>
          <w:pgNumType w:start="1172"/>
          <w:cols w:num="2" w:equalWidth="0">
            <w:col w:w="3644" w:space="40"/>
            <w:col w:w="4226"/>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Carbamazepine </w:t>
      </w:r>
      <w:r>
        <w:rPr>
          <w:rFonts w:ascii="Calibri"/>
          <w:color w:val="231F1F"/>
        </w:rPr>
        <w:t>(continued)</w:t>
      </w:r>
    </w:p>
    <w:p>
      <w:pPr>
        <w:pStyle w:val="BodyText"/>
        <w:ind w:right="156" w:hanging="100"/>
      </w:pPr>
      <w:r>
        <w:rPr>
          <w:rFonts w:ascii="Arial"/>
          <w:color w:val="231F1F"/>
          <w:w w:val="340"/>
          <w:position w:val="1"/>
          <w:sz w:val="7"/>
        </w:rPr>
        <w:t>l</w:t>
      </w:r>
      <w:r>
        <w:rPr>
          <w:rFonts w:ascii="Arial"/>
          <w:color w:val="231F1F"/>
          <w:spacing w:val="-53"/>
          <w:w w:val="340"/>
          <w:position w:val="1"/>
          <w:sz w:val="7"/>
        </w:rPr>
        <w:t> </w:t>
      </w:r>
      <w:r>
        <w:rPr>
          <w:rFonts w:ascii="Calibri"/>
          <w:color w:val="231F1F"/>
          <w:w w:val="115"/>
        </w:rPr>
        <w:t>Ulcer-healing</w:t>
      </w:r>
      <w:r>
        <w:rPr>
          <w:rFonts w:ascii="Calibri"/>
          <w:color w:val="231F1F"/>
          <w:spacing w:val="-21"/>
          <w:w w:val="115"/>
        </w:rPr>
        <w:t> </w:t>
      </w:r>
      <w:r>
        <w:rPr>
          <w:rFonts w:ascii="Calibri"/>
          <w:color w:val="231F1F"/>
          <w:w w:val="115"/>
        </w:rPr>
        <w:t>Drugs:</w:t>
      </w:r>
      <w:r>
        <w:rPr>
          <w:rFonts w:ascii="Calibri"/>
          <w:color w:val="231F1F"/>
          <w:spacing w:val="-21"/>
          <w:w w:val="115"/>
        </w:rPr>
        <w:t> </w:t>
      </w:r>
      <w:r>
        <w:rPr>
          <w:color w:val="231F1F"/>
          <w:w w:val="115"/>
        </w:rPr>
        <w:t>metabolism</w:t>
      </w:r>
      <w:r>
        <w:rPr>
          <w:color w:val="231F1F"/>
          <w:spacing w:val="-25"/>
          <w:w w:val="115"/>
        </w:rPr>
        <w:t> </w:t>
      </w:r>
      <w:r>
        <w:rPr>
          <w:color w:val="231F1F"/>
          <w:w w:val="115"/>
        </w:rPr>
        <w:t>of</w:t>
      </w:r>
      <w:r>
        <w:rPr>
          <w:color w:val="231F1F"/>
          <w:spacing w:val="-24"/>
          <w:w w:val="115"/>
        </w:rPr>
        <w:t> </w:t>
      </w:r>
      <w:r>
        <w:rPr>
          <w:color w:val="231F1F"/>
          <w:w w:val="115"/>
        </w:rPr>
        <w:t>carbamazepine</w:t>
      </w:r>
      <w:r>
        <w:rPr>
          <w:color w:val="231F1F"/>
          <w:spacing w:val="-24"/>
          <w:w w:val="115"/>
        </w:rPr>
        <w:t> </w:t>
      </w:r>
      <w:r>
        <w:rPr>
          <w:color w:val="231F1F"/>
          <w:w w:val="115"/>
        </w:rPr>
        <w:t>inhibited by</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5"/>
          <w:sz w:val="11"/>
        </w:rPr>
        <w:t>CIMETIDINE</w:t>
      </w:r>
      <w:r>
        <w:rPr>
          <w:rFonts w:ascii="Calibri"/>
          <w:color w:val="008356"/>
          <w:spacing w:val="3"/>
          <w:w w:val="115"/>
          <w:sz w:val="11"/>
        </w:rPr>
        <w:t> </w:t>
      </w:r>
      <w:r>
        <w:rPr>
          <w:color w:val="231F1F"/>
          <w:w w:val="115"/>
        </w:rPr>
        <w:t>(increased</w:t>
      </w:r>
      <w:r>
        <w:rPr>
          <w:color w:val="231F1F"/>
          <w:spacing w:val="-8"/>
          <w:w w:val="115"/>
        </w:rPr>
        <w:t> </w:t>
      </w:r>
      <w:r>
        <w:rPr>
          <w:color w:val="231F1F"/>
          <w:w w:val="115"/>
        </w:rPr>
        <w:t>plasma</w:t>
      </w:r>
      <w:r>
        <w:rPr>
          <w:color w:val="231F1F"/>
          <w:spacing w:val="-8"/>
          <w:w w:val="115"/>
        </w:rPr>
        <w:t> </w:t>
      </w:r>
      <w:r>
        <w:rPr>
          <w:color w:val="231F1F"/>
          <w:w w:val="115"/>
        </w:rPr>
        <w:t>concentration)</w:t>
      </w:r>
    </w:p>
    <w:p>
      <w:pPr>
        <w:pStyle w:val="BodyText"/>
        <w:ind w:right="442" w:hanging="100"/>
      </w:pPr>
      <w:r>
        <w:rPr>
          <w:rFonts w:ascii="Arial"/>
          <w:color w:val="231F1F"/>
          <w:w w:val="355"/>
          <w:position w:val="1"/>
          <w:sz w:val="7"/>
        </w:rPr>
        <w:t>l </w:t>
      </w:r>
      <w:r>
        <w:rPr>
          <w:rFonts w:ascii="Calibri"/>
          <w:color w:val="231F1F"/>
          <w:w w:val="120"/>
        </w:rPr>
        <w:t>Ulipristal: </w:t>
      </w:r>
      <w:r>
        <w:rPr>
          <w:color w:val="231F1F"/>
          <w:w w:val="120"/>
        </w:rPr>
        <w:t>avoidance of carbamazepine advised by </w:t>
      </w:r>
      <w:r>
        <w:rPr>
          <w:color w:val="231F1F"/>
          <w:w w:val="115"/>
        </w:rPr>
        <w:t>manufacturer of </w:t>
      </w:r>
      <w:r>
        <w:rPr>
          <w:rFonts w:ascii="Arial"/>
          <w:color w:val="231F1F"/>
          <w:w w:val="115"/>
          <w:position w:val="1"/>
          <w:sz w:val="7"/>
        </w:rPr>
        <w:t>l </w:t>
      </w:r>
      <w:r>
        <w:rPr>
          <w:rFonts w:ascii="Calibri"/>
          <w:color w:val="008356"/>
          <w:w w:val="115"/>
          <w:sz w:val="11"/>
        </w:rPr>
        <w:t>ULIPRISTAL </w:t>
      </w:r>
      <w:r>
        <w:rPr>
          <w:color w:val="231F1F"/>
          <w:w w:val="115"/>
        </w:rPr>
        <w:t>(contraceptive effect of </w:t>
      </w:r>
      <w:r>
        <w:rPr>
          <w:color w:val="231F1F"/>
          <w:w w:val="120"/>
        </w:rPr>
        <w:t>ulipristal possibly reduced)</w:t>
      </w:r>
    </w:p>
    <w:p>
      <w:pPr>
        <w:spacing w:line="240" w:lineRule="auto" w:before="0"/>
        <w:ind w:left="208" w:right="15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carbamazepine possibly increases requirements for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 </w:t>
      </w:r>
      <w:r>
        <w:rPr>
          <w:rFonts w:ascii="Calibri" w:hAnsi="Calibri"/>
          <w:color w:val="008356"/>
          <w:w w:val="105"/>
          <w:sz w:val="11"/>
        </w:rPr>
        <w:t>VITAMIN D</w:t>
      </w:r>
    </w:p>
    <w:p>
      <w:pPr>
        <w:pStyle w:val="BodyText"/>
        <w:spacing w:before="3"/>
        <w:ind w:right="163" w:hanging="100"/>
      </w:pPr>
      <w:r>
        <w:rPr>
          <w:rFonts w:ascii="Trebuchet MS"/>
          <w:color w:val="008356"/>
          <w:w w:val="115"/>
        </w:rPr>
        <w:t>Carbapenems</w:t>
      </w:r>
      <w:r>
        <w:rPr>
          <w:rFonts w:ascii="Trebuchet MS"/>
          <w:color w:val="008356"/>
          <w:spacing w:val="-12"/>
          <w:w w:val="115"/>
        </w:rPr>
        <w:t> </w:t>
      </w:r>
      <w:r>
        <w:rPr>
          <w:i/>
          <w:color w:val="231F1F"/>
          <w:w w:val="115"/>
        </w:rPr>
        <w:t>see</w:t>
      </w:r>
      <w:r>
        <w:rPr>
          <w:i/>
          <w:color w:val="231F1F"/>
          <w:spacing w:val="-20"/>
          <w:w w:val="115"/>
        </w:rPr>
        <w:t> </w:t>
      </w:r>
      <w:r>
        <w:rPr>
          <w:color w:val="231F1F"/>
          <w:w w:val="115"/>
        </w:rPr>
        <w:t>Ertapenem,</w:t>
      </w:r>
      <w:r>
        <w:rPr>
          <w:color w:val="231F1F"/>
          <w:spacing w:val="-21"/>
          <w:w w:val="115"/>
        </w:rPr>
        <w:t> </w:t>
      </w:r>
      <w:r>
        <w:rPr>
          <w:color w:val="231F1F"/>
          <w:w w:val="115"/>
        </w:rPr>
        <w:t>Imipenem</w:t>
      </w:r>
      <w:r>
        <w:rPr>
          <w:color w:val="231F1F"/>
          <w:spacing w:val="-20"/>
          <w:w w:val="115"/>
        </w:rPr>
        <w:t> </w:t>
      </w:r>
      <w:r>
        <w:rPr>
          <w:color w:val="231F1F"/>
          <w:w w:val="115"/>
        </w:rPr>
        <w:t>with</w:t>
      </w:r>
      <w:r>
        <w:rPr>
          <w:color w:val="231F1F"/>
          <w:spacing w:val="-20"/>
          <w:w w:val="115"/>
        </w:rPr>
        <w:t> </w:t>
      </w:r>
      <w:r>
        <w:rPr>
          <w:color w:val="231F1F"/>
          <w:w w:val="115"/>
        </w:rPr>
        <w:t>Cilastatin,</w:t>
      </w:r>
      <w:r>
        <w:rPr>
          <w:color w:val="231F1F"/>
          <w:spacing w:val="-20"/>
          <w:w w:val="115"/>
        </w:rPr>
        <w:t> </w:t>
      </w:r>
      <w:r>
        <w:rPr>
          <w:color w:val="231F1F"/>
          <w:spacing w:val="-5"/>
          <w:w w:val="115"/>
        </w:rPr>
        <w:t>and </w:t>
      </w:r>
      <w:r>
        <w:rPr>
          <w:color w:val="231F1F"/>
          <w:w w:val="115"/>
        </w:rPr>
        <w:t>Meropenem</w:t>
      </w:r>
    </w:p>
    <w:p>
      <w:pPr>
        <w:pStyle w:val="BodyText"/>
        <w:spacing w:line="256" w:lineRule="auto" w:before="13"/>
        <w:ind w:left="108" w:right="1081"/>
      </w:pPr>
      <w:r>
        <w:rPr>
          <w:rFonts w:ascii="Trebuchet MS"/>
          <w:color w:val="008356"/>
          <w:w w:val="105"/>
        </w:rPr>
        <w:t>Carbonic Anhydrase Inhibitors </w:t>
      </w:r>
      <w:r>
        <w:rPr>
          <w:i/>
          <w:color w:val="231F1F"/>
          <w:w w:val="105"/>
        </w:rPr>
        <w:t>see </w:t>
      </w:r>
      <w:r>
        <w:rPr>
          <w:color w:val="231F1F"/>
          <w:w w:val="105"/>
        </w:rPr>
        <w:t>Diuretics </w:t>
      </w:r>
      <w:r>
        <w:rPr>
          <w:rFonts w:ascii="Trebuchet MS"/>
          <w:color w:val="008356"/>
          <w:w w:val="105"/>
        </w:rPr>
        <w:t>Carboplatin </w:t>
      </w:r>
      <w:r>
        <w:rPr>
          <w:i/>
          <w:color w:val="231F1F"/>
          <w:w w:val="105"/>
        </w:rPr>
        <w:t>see </w:t>
      </w:r>
      <w:r>
        <w:rPr>
          <w:color w:val="231F1F"/>
          <w:w w:val="105"/>
        </w:rPr>
        <w:t>Platinum Compounds </w:t>
      </w:r>
      <w:r>
        <w:rPr>
          <w:rFonts w:ascii="Trebuchet MS"/>
          <w:color w:val="008356"/>
          <w:w w:val="105"/>
        </w:rPr>
        <w:t>Carboprost </w:t>
      </w:r>
      <w:r>
        <w:rPr>
          <w:i/>
          <w:color w:val="231F1F"/>
          <w:w w:val="105"/>
        </w:rPr>
        <w:t>see </w:t>
      </w:r>
      <w:r>
        <w:rPr>
          <w:color w:val="231F1F"/>
          <w:w w:val="105"/>
        </w:rPr>
        <w:t>Prostaglandins</w:t>
      </w:r>
    </w:p>
    <w:p>
      <w:pPr>
        <w:pStyle w:val="BodyText"/>
        <w:spacing w:before="1"/>
        <w:ind w:left="108"/>
        <w:rPr>
          <w:rFonts w:ascii="Trebuchet MS"/>
        </w:rPr>
      </w:pPr>
      <w:r>
        <w:rPr>
          <w:rFonts w:ascii="Trebuchet MS"/>
          <w:color w:val="008356"/>
        </w:rPr>
        <w:t>Cardiac Glycosides</w:t>
      </w:r>
    </w:p>
    <w:p>
      <w:pPr>
        <w:pStyle w:val="BodyText"/>
        <w:spacing w:line="220" w:lineRule="auto" w:before="9"/>
        <w:ind w:right="15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plasma concentration of digoxin possibly increased by </w:t>
      </w:r>
      <w:r>
        <w:rPr>
          <w:rFonts w:ascii="Calibri" w:hAnsi="Calibri"/>
          <w:color w:val="008356"/>
          <w:w w:val="105"/>
          <w:sz w:val="11"/>
        </w:rPr>
        <w:t>CAPTOPRIL</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Alpha-blockers: </w:t>
      </w:r>
      <w:r>
        <w:rPr>
          <w:color w:val="231F1F"/>
          <w:w w:val="105"/>
        </w:rPr>
        <w:t>plasma concentration of digoxin increased by</w:t>
      </w:r>
    </w:p>
    <w:p>
      <w:pPr>
        <w:spacing w:line="130" w:lineRule="exact" w:before="0"/>
        <w:ind w:left="208" w:right="0" w:firstLine="0"/>
        <w:jc w:val="left"/>
        <w:rPr>
          <w:rFonts w:ascii="Calibri"/>
          <w:sz w:val="11"/>
        </w:rPr>
      </w:pPr>
      <w:r>
        <w:rPr>
          <w:rFonts w:ascii="Calibri"/>
          <w:color w:val="008356"/>
          <w:sz w:val="11"/>
        </w:rPr>
        <w:t>PRAZOSIN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Aminosalicylates: </w:t>
      </w:r>
      <w:r>
        <w:rPr>
          <w:color w:val="231F1F"/>
          <w:w w:val="105"/>
        </w:rPr>
        <w:t>absorption of digoxin possibly reduced by</w:t>
      </w:r>
    </w:p>
    <w:p>
      <w:pPr>
        <w:spacing w:line="130" w:lineRule="exact" w:before="0"/>
        <w:ind w:left="208" w:right="0" w:firstLine="0"/>
        <w:jc w:val="left"/>
        <w:rPr>
          <w:rFonts w:ascii="Calibri"/>
          <w:sz w:val="11"/>
        </w:rPr>
      </w:pPr>
      <w:r>
        <w:rPr>
          <w:rFonts w:ascii="Calibri"/>
          <w:color w:val="008356"/>
          <w:sz w:val="11"/>
        </w:rPr>
        <w:t>SULFASALAZINE</w:t>
      </w:r>
    </w:p>
    <w:p>
      <w:pPr>
        <w:pStyle w:val="BodyText"/>
        <w:spacing w:line="230" w:lineRule="auto" w:before="3"/>
        <w:ind w:right="156"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plasma concentration of cardiac glycosides possibly increased by </w:t>
      </w:r>
      <w:r>
        <w:rPr>
          <w:rFonts w:ascii="Calibri" w:hAnsi="Calibri"/>
          <w:color w:val="008356"/>
          <w:w w:val="110"/>
          <w:sz w:val="11"/>
        </w:rPr>
        <w:t>NSAID</w:t>
      </w:r>
      <w:r>
        <w:rPr>
          <w:rFonts w:ascii="Calibri" w:hAnsi="Calibri"/>
          <w:color w:val="008356"/>
          <w:w w:val="110"/>
          <w:sz w:val="9"/>
        </w:rPr>
        <w:t>S</w:t>
      </w:r>
      <w:r>
        <w:rPr>
          <w:color w:val="231F1F"/>
          <w:w w:val="110"/>
        </w:rPr>
        <w:t>, also possible exacerbation of heart failure and reduction of renal function</w:t>
      </w:r>
    </w:p>
    <w:p>
      <w:pPr>
        <w:pStyle w:val="BodyText"/>
        <w:spacing w:line="150" w:lineRule="exact" w:before="4"/>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digoxin possibly reduced by </w:t>
      </w:r>
      <w:r>
        <w:rPr>
          <w:rFonts w:ascii="Calibri" w:hAnsi="Calibri"/>
          <w:color w:val="008356"/>
          <w:w w:val="105"/>
          <w:sz w:val="11"/>
        </w:rPr>
        <w:t>ANTACIDS</w:t>
      </w:r>
    </w:p>
    <w:p>
      <w:pPr>
        <w:pStyle w:val="BodyText"/>
        <w:spacing w:line="137" w:lineRule="exact"/>
        <w:ind w:left="108"/>
      </w:pPr>
      <w:r>
        <w:rPr>
          <w:rFonts w:ascii="Arial"/>
          <w:color w:val="231F1F"/>
          <w:w w:val="355"/>
          <w:position w:val="1"/>
          <w:sz w:val="7"/>
        </w:rPr>
        <w:t>l </w:t>
      </w:r>
      <w:r>
        <w:rPr>
          <w:rFonts w:ascii="Calibri"/>
          <w:color w:val="231F1F"/>
          <w:w w:val="115"/>
        </w:rPr>
        <w:t>Anti-arrhythmics: </w:t>
      </w:r>
      <w:r>
        <w:rPr>
          <w:color w:val="231F1F"/>
          <w:w w:val="115"/>
        </w:rPr>
        <w:t>plasma concentration of digoxin increased</w:t>
      </w:r>
    </w:p>
    <w:p>
      <w:pPr>
        <w:spacing w:line="141" w:lineRule="exact" w:before="0"/>
        <w:ind w:left="208" w:right="0" w:firstLine="0"/>
        <w:jc w:val="left"/>
        <w:rPr>
          <w:sz w:val="12"/>
        </w:rPr>
      </w:pPr>
      <w:r>
        <w:rPr>
          <w:color w:val="231F1F"/>
          <w:w w:val="110"/>
          <w:sz w:val="12"/>
        </w:rPr>
        <w:t>by</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AMIODARONE</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DRONEDARONE</w:t>
      </w:r>
      <w:r>
        <w:rPr>
          <w:rFonts w:ascii="Calibri"/>
          <w:color w:val="008356"/>
          <w:spacing w:val="-13"/>
          <w:w w:val="110"/>
          <w:sz w:val="11"/>
        </w:rPr>
        <w:t> </w:t>
      </w:r>
      <w:r>
        <w:rPr>
          <w:color w:val="231F1F"/>
          <w:w w:val="110"/>
          <w:sz w:val="12"/>
        </w:rPr>
        <w:t>and</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PROPAFENONE</w:t>
      </w:r>
      <w:r>
        <w:rPr>
          <w:rFonts w:ascii="Calibri"/>
          <w:color w:val="008356"/>
          <w:spacing w:val="-12"/>
          <w:w w:val="110"/>
          <w:sz w:val="11"/>
        </w:rPr>
        <w:t> </w:t>
      </w:r>
      <w:r>
        <w:rPr>
          <w:color w:val="231F1F"/>
          <w:w w:val="110"/>
          <w:sz w:val="12"/>
        </w:rPr>
        <w:t>(halve</w:t>
      </w:r>
    </w:p>
    <w:p>
      <w:pPr>
        <w:pStyle w:val="BodyText"/>
        <w:spacing w:before="2"/>
      </w:pPr>
      <w:r>
        <w:rPr>
          <w:color w:val="231F1F"/>
          <w:w w:val="110"/>
        </w:rPr>
        <w:t>dose of digoxin)</w:t>
      </w:r>
    </w:p>
    <w:p>
      <w:pPr>
        <w:spacing w:line="220" w:lineRule="auto" w:before="11"/>
        <w:ind w:left="208" w:right="156" w:hanging="100"/>
        <w:jc w:val="left"/>
        <w:rPr>
          <w:sz w:val="12"/>
        </w:rPr>
      </w:pP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plasma concentration of digoxin possibly increased by </w:t>
      </w:r>
      <w:r>
        <w:rPr>
          <w:rFonts w:ascii="Calibri" w:hAnsi="Calibri"/>
          <w:color w:val="008356"/>
          <w:w w:val="105"/>
          <w:sz w:val="11"/>
        </w:rPr>
        <w:t>GENTAMICIN</w:t>
      </w:r>
      <w:r>
        <w:rPr>
          <w:color w:val="231F1F"/>
          <w:w w:val="105"/>
          <w:sz w:val="12"/>
        </w:rPr>
        <w:t>, </w:t>
      </w:r>
      <w:r>
        <w:rPr>
          <w:rFonts w:ascii="Calibri" w:hAnsi="Calibri"/>
          <w:color w:val="008356"/>
          <w:w w:val="105"/>
          <w:sz w:val="11"/>
        </w:rPr>
        <w:t>TELITHROMYCIN </w:t>
      </w:r>
      <w:r>
        <w:rPr>
          <w:color w:val="231F1F"/>
          <w:w w:val="105"/>
          <w:sz w:val="12"/>
        </w:rPr>
        <w:t>and </w:t>
      </w:r>
      <w:r>
        <w:rPr>
          <w:rFonts w:ascii="Calibri" w:hAnsi="Calibri"/>
          <w:color w:val="008356"/>
          <w:w w:val="105"/>
          <w:sz w:val="11"/>
        </w:rPr>
        <w:t>TRIMETHOPRIM</w:t>
      </w:r>
      <w:r>
        <w:rPr>
          <w:color w:val="231F1F"/>
          <w:w w:val="105"/>
          <w:sz w:val="12"/>
        </w:rPr>
        <w:t>;</w:t>
      </w:r>
    </w:p>
    <w:p>
      <w:pPr>
        <w:pStyle w:val="BodyText"/>
        <w:spacing w:line="242" w:lineRule="auto" w:before="3"/>
      </w:pPr>
      <w:r>
        <w:rPr>
          <w:color w:val="231F1F"/>
          <w:w w:val="110"/>
        </w:rPr>
        <w:t>absorption of digoxin reduced by </w:t>
      </w:r>
      <w:r>
        <w:rPr>
          <w:rFonts w:ascii="Calibri"/>
          <w:color w:val="008356"/>
          <w:w w:val="110"/>
          <w:sz w:val="11"/>
        </w:rPr>
        <w:t>NEOMYCIN</w:t>
      </w:r>
      <w:r>
        <w:rPr>
          <w:color w:val="231F1F"/>
          <w:w w:val="110"/>
        </w:rPr>
        <w:t>; plasma concentration of digoxin possibly reduced by </w:t>
      </w:r>
      <w:r>
        <w:rPr>
          <w:rFonts w:ascii="Calibri"/>
          <w:color w:val="008356"/>
          <w:w w:val="110"/>
          <w:sz w:val="11"/>
        </w:rPr>
        <w:t>RIFAMPICIN</w:t>
      </w:r>
      <w:r>
        <w:rPr>
          <w:color w:val="231F1F"/>
          <w:w w:val="110"/>
        </w:rPr>
        <w:t>; plasma concentration of digoxin increased by </w:t>
      </w:r>
      <w:r>
        <w:rPr>
          <w:rFonts w:ascii="Calibri"/>
          <w:color w:val="008356"/>
          <w:w w:val="110"/>
          <w:sz w:val="11"/>
        </w:rPr>
        <w:t>MACROLIDES </w:t>
      </w:r>
      <w:r>
        <w:rPr>
          <w:color w:val="231F1F"/>
          <w:w w:val="110"/>
        </w:rPr>
        <w:t>(increased risk of toxicity)</w:t>
      </w:r>
    </w:p>
    <w:p>
      <w:pPr>
        <w:pStyle w:val="BodyText"/>
        <w:spacing w:line="146" w:lineRule="exact" w:before="1"/>
        <w:ind w:left="108"/>
      </w:pPr>
      <w:r>
        <w:rPr>
          <w:rFonts w:ascii="Arial"/>
          <w:color w:val="231F1F"/>
          <w:w w:val="355"/>
          <w:position w:val="1"/>
          <w:sz w:val="7"/>
        </w:rPr>
        <w:t>l </w:t>
      </w:r>
      <w:r>
        <w:rPr>
          <w:rFonts w:ascii="Calibri"/>
          <w:color w:val="231F1F"/>
          <w:w w:val="110"/>
        </w:rPr>
        <w:t>Antidepressants: </w:t>
      </w:r>
      <w:r>
        <w:rPr>
          <w:color w:val="231F1F"/>
          <w:w w:val="110"/>
        </w:rPr>
        <w:t>plasma concentration of digoxin reduced by</w:t>
      </w:r>
    </w:p>
    <w:p>
      <w:pPr>
        <w:spacing w:line="140"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rFonts w:ascii="Arial" w:hAnsi="Arial"/>
          <w:color w:val="231F1F"/>
          <w:w w:val="115"/>
          <w:sz w:val="12"/>
        </w:rPr>
        <w:t>—</w:t>
      </w:r>
      <w:r>
        <w:rPr>
          <w:color w:val="231F1F"/>
          <w:w w:val="115"/>
          <w:sz w:val="12"/>
        </w:rPr>
        <w:t>avoid concomitant use</w:t>
      </w:r>
    </w:p>
    <w:p>
      <w:pPr>
        <w:spacing w:line="230" w:lineRule="auto" w:before="4"/>
        <w:ind w:left="208" w:right="39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Antidiabetics: </w:t>
      </w:r>
      <w:r>
        <w:rPr>
          <w:color w:val="231F1F"/>
          <w:w w:val="105"/>
          <w:sz w:val="12"/>
        </w:rPr>
        <w:t>plasma concentration of digoxin possibly reduced by </w:t>
      </w:r>
      <w:r>
        <w:rPr>
          <w:rFonts w:ascii="Calibri" w:hAnsi="Calibri"/>
          <w:color w:val="008356"/>
          <w:w w:val="105"/>
          <w:sz w:val="11"/>
        </w:rPr>
        <w:t>ACARBOSE</w:t>
      </w:r>
      <w:r>
        <w:rPr>
          <w:color w:val="231F1F"/>
          <w:w w:val="105"/>
          <w:sz w:val="12"/>
        </w:rPr>
        <w:t>; plasma concentration of digoxin increased by </w:t>
      </w:r>
      <w:r>
        <w:rPr>
          <w:rFonts w:ascii="Calibri" w:hAnsi="Calibri"/>
          <w:color w:val="008356"/>
          <w:w w:val="105"/>
          <w:sz w:val="11"/>
        </w:rPr>
        <w:t>CANAGLIFLOZIN </w:t>
      </w:r>
      <w:r>
        <w:rPr>
          <w:color w:val="231F1F"/>
          <w:w w:val="105"/>
          <w:sz w:val="12"/>
        </w:rPr>
        <w:t>and </w:t>
      </w:r>
      <w:r>
        <w:rPr>
          <w:rFonts w:ascii="Calibri" w:hAnsi="Calibri"/>
          <w:color w:val="008356"/>
          <w:w w:val="105"/>
          <w:sz w:val="11"/>
        </w:rPr>
        <w:t>SITAGLIPTIN</w:t>
      </w:r>
    </w:p>
    <w:p>
      <w:pPr>
        <w:spacing w:line="220" w:lineRule="auto" w:before="9"/>
        <w:ind w:left="208" w:right="15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digoxin possibly reduced by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ind w:right="40" w:hanging="100"/>
        <w:rPr>
          <w:rFonts w:ascii="Calibri"/>
          <w:sz w:val="11"/>
        </w:rPr>
      </w:pPr>
      <w:r>
        <w:rPr>
          <w:rFonts w:ascii="Arial"/>
          <w:color w:val="231F1F"/>
          <w:w w:val="355"/>
          <w:position w:val="1"/>
          <w:sz w:val="7"/>
        </w:rPr>
        <w:t>l </w:t>
      </w:r>
      <w:r>
        <w:rPr>
          <w:rFonts w:ascii="Calibri"/>
          <w:color w:val="231F1F"/>
          <w:w w:val="110"/>
        </w:rPr>
        <w:t>Antifungals: </w:t>
      </w:r>
      <w:r>
        <w:rPr>
          <w:color w:val="231F1F"/>
          <w:w w:val="110"/>
        </w:rPr>
        <w:t>increased cardiac toxicity with cardiac glycosides if hypokalaemia occurs with </w:t>
      </w:r>
      <w:r>
        <w:rPr>
          <w:rFonts w:ascii="Arial"/>
          <w:color w:val="231F1F"/>
          <w:w w:val="355"/>
          <w:position w:val="1"/>
          <w:sz w:val="7"/>
        </w:rPr>
        <w:t>l </w:t>
      </w:r>
      <w:r>
        <w:rPr>
          <w:rFonts w:ascii="Calibri"/>
          <w:color w:val="008356"/>
          <w:spacing w:val="4"/>
          <w:w w:val="110"/>
          <w:sz w:val="11"/>
        </w:rPr>
        <w:t>AMPHOTERICIN</w:t>
      </w:r>
      <w:r>
        <w:rPr>
          <w:color w:val="231F1F"/>
          <w:spacing w:val="4"/>
          <w:w w:val="110"/>
        </w:rPr>
        <w:t>; </w:t>
      </w:r>
      <w:r>
        <w:rPr>
          <w:color w:val="231F1F"/>
          <w:w w:val="110"/>
        </w:rPr>
        <w:t>plasma concentration of digoxin increased by </w:t>
      </w:r>
      <w:r>
        <w:rPr>
          <w:rFonts w:ascii="Arial"/>
          <w:color w:val="231F1F"/>
          <w:w w:val="355"/>
          <w:position w:val="1"/>
          <w:sz w:val="7"/>
        </w:rPr>
        <w:t>l </w:t>
      </w:r>
      <w:r>
        <w:rPr>
          <w:rFonts w:ascii="Calibri"/>
          <w:color w:val="008356"/>
          <w:spacing w:val="4"/>
          <w:w w:val="110"/>
          <w:sz w:val="11"/>
        </w:rPr>
        <w:t>ITRACONAZOLE</w:t>
      </w:r>
    </w:p>
    <w:p>
      <w:pPr>
        <w:spacing w:line="242" w:lineRule="auto" w:before="0"/>
        <w:ind w:left="208" w:right="66"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plasma concentration of digoxin possibly increased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CHLOROQUINE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HYDROXYCHLOROQUINE</w:t>
      </w:r>
      <w:r>
        <w:rPr>
          <w:color w:val="231F1F"/>
          <w:spacing w:val="4"/>
          <w:w w:val="110"/>
          <w:sz w:val="12"/>
        </w:rPr>
        <w:t>; </w:t>
      </w:r>
      <w:r>
        <w:rPr>
          <w:color w:val="231F1F"/>
          <w:w w:val="110"/>
          <w:sz w:val="12"/>
        </w:rPr>
        <w:t>possible increased risk of bradycardia when digoxin given with </w:t>
      </w:r>
      <w:r>
        <w:rPr>
          <w:rFonts w:ascii="Calibri"/>
          <w:color w:val="008356"/>
          <w:spacing w:val="4"/>
          <w:w w:val="110"/>
          <w:sz w:val="11"/>
        </w:rPr>
        <w:t>MEFLOQUINE</w:t>
      </w:r>
      <w:r>
        <w:rPr>
          <w:color w:val="231F1F"/>
          <w:spacing w:val="4"/>
          <w:w w:val="110"/>
          <w:sz w:val="12"/>
        </w:rPr>
        <w:t>; </w:t>
      </w:r>
      <w:r>
        <w:rPr>
          <w:color w:val="231F1F"/>
          <w:w w:val="110"/>
          <w:sz w:val="12"/>
        </w:rPr>
        <w:t>plasma concentration of digoxin increased by </w:t>
      </w:r>
      <w:r>
        <w:rPr>
          <w:rFonts w:ascii="Arial"/>
          <w:color w:val="231F1F"/>
          <w:w w:val="355"/>
          <w:position w:val="1"/>
          <w:sz w:val="7"/>
        </w:rPr>
        <w:t>l </w:t>
      </w:r>
      <w:r>
        <w:rPr>
          <w:rFonts w:ascii="Calibri"/>
          <w:color w:val="008356"/>
          <w:spacing w:val="4"/>
          <w:w w:val="110"/>
          <w:sz w:val="11"/>
        </w:rPr>
        <w:t>QUININE</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plasma concentration of digoxin possibly increased by </w:t>
      </w:r>
      <w:r>
        <w:rPr>
          <w:rFonts w:ascii="Calibri" w:hAnsi="Calibri"/>
          <w:color w:val="008356"/>
          <w:w w:val="105"/>
          <w:sz w:val="11"/>
        </w:rPr>
        <w:t>DARIFENACIN</w:t>
      </w:r>
    </w:p>
    <w:p>
      <w:pPr>
        <w:spacing w:before="0"/>
        <w:ind w:left="208" w:right="210"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side-effects of digoxin possibly increased by </w:t>
      </w:r>
      <w:r>
        <w:rPr>
          <w:rFonts w:ascii="Calibri"/>
          <w:color w:val="008356"/>
          <w:spacing w:val="4"/>
          <w:w w:val="110"/>
          <w:sz w:val="11"/>
        </w:rPr>
        <w:t>BOCEPREVIR</w:t>
      </w:r>
      <w:r>
        <w:rPr>
          <w:color w:val="231F1F"/>
          <w:spacing w:val="4"/>
          <w:w w:val="110"/>
          <w:sz w:val="12"/>
        </w:rPr>
        <w:t>; </w:t>
      </w:r>
      <w:r>
        <w:rPr>
          <w:color w:val="231F1F"/>
          <w:w w:val="110"/>
          <w:sz w:val="12"/>
        </w:rPr>
        <w:t>plasma concentration of digoxin increased </w:t>
      </w:r>
      <w:r>
        <w:rPr>
          <w:color w:val="231F1F"/>
          <w:spacing w:val="-6"/>
          <w:w w:val="110"/>
          <w:sz w:val="12"/>
        </w:rPr>
        <w:t>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DACLATASVIR</w:t>
      </w:r>
      <w:r>
        <w:rPr>
          <w:color w:val="231F1F"/>
          <w:spacing w:val="3"/>
          <w:w w:val="110"/>
          <w:sz w:val="12"/>
        </w:rPr>
        <w:t>,</w:t>
      </w:r>
      <w:r>
        <w:rPr>
          <w:color w:val="231F1F"/>
          <w:spacing w:val="-16"/>
          <w:w w:val="110"/>
          <w:sz w:val="12"/>
        </w:rPr>
        <w:t> </w:t>
      </w:r>
      <w:r>
        <w:rPr>
          <w:rFonts w:ascii="Calibri"/>
          <w:color w:val="008356"/>
          <w:spacing w:val="4"/>
          <w:w w:val="110"/>
          <w:sz w:val="11"/>
        </w:rPr>
        <w:t>ETRAVIRINE</w:t>
      </w:r>
      <w:r>
        <w:rPr>
          <w:color w:val="231F1F"/>
          <w:spacing w:val="4"/>
          <w:w w:val="110"/>
          <w:sz w:val="12"/>
        </w:rPr>
        <w:t>,</w:t>
      </w:r>
      <w:r>
        <w:rPr>
          <w:color w:val="231F1F"/>
          <w:spacing w:val="-15"/>
          <w:w w:val="110"/>
          <w:sz w:val="12"/>
        </w:rPr>
        <w:t> </w:t>
      </w:r>
      <w:r>
        <w:rPr>
          <w:rFonts w:ascii="Calibri"/>
          <w:color w:val="008356"/>
          <w:spacing w:val="4"/>
          <w:w w:val="110"/>
          <w:sz w:val="11"/>
        </w:rPr>
        <w:t>SIMEPREVIR</w:t>
      </w:r>
      <w:r>
        <w:rPr>
          <w:rFonts w:ascii="Calibri"/>
          <w:color w:val="008356"/>
          <w:spacing w:val="-7"/>
          <w:w w:val="110"/>
          <w:sz w:val="11"/>
        </w:rPr>
        <w:t> </w:t>
      </w:r>
      <w:r>
        <w:rPr>
          <w:color w:val="231F1F"/>
          <w:w w:val="110"/>
          <w:sz w:val="12"/>
        </w:rPr>
        <w:t>and</w:t>
      </w:r>
      <w:r>
        <w:rPr>
          <w:color w:val="231F1F"/>
          <w:spacing w:val="-16"/>
          <w:w w:val="110"/>
          <w:sz w:val="12"/>
        </w:rPr>
        <w:t> </w:t>
      </w:r>
      <w:r>
        <w:rPr>
          <w:rFonts w:ascii="Calibri"/>
          <w:color w:val="008356"/>
          <w:spacing w:val="4"/>
          <w:w w:val="110"/>
          <w:sz w:val="11"/>
        </w:rPr>
        <w:t>TELAPREVIR</w:t>
      </w:r>
      <w:r>
        <w:rPr>
          <w:color w:val="231F1F"/>
          <w:spacing w:val="4"/>
          <w:w w:val="110"/>
          <w:sz w:val="12"/>
        </w:rPr>
        <w:t>;</w:t>
      </w:r>
    </w:p>
    <w:p>
      <w:pPr>
        <w:pStyle w:val="BodyText"/>
        <w:spacing w:before="3"/>
      </w:pPr>
      <w:r>
        <w:rPr>
          <w:color w:val="231F1F"/>
          <w:w w:val="115"/>
        </w:rPr>
        <w:t>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9"/>
          <w:w w:val="115"/>
        </w:rPr>
        <w:t> </w:t>
      </w:r>
      <w:r>
        <w:rPr>
          <w:color w:val="231F1F"/>
          <w:w w:val="115"/>
        </w:rPr>
        <w:t>digoxin</w:t>
      </w:r>
      <w:r>
        <w:rPr>
          <w:color w:val="231F1F"/>
          <w:spacing w:val="-10"/>
          <w:w w:val="115"/>
        </w:rPr>
        <w:t> </w:t>
      </w:r>
      <w:r>
        <w:rPr>
          <w:color w:val="231F1F"/>
          <w:w w:val="115"/>
        </w:rPr>
        <w:t>possibly</w:t>
      </w:r>
      <w:r>
        <w:rPr>
          <w:color w:val="231F1F"/>
          <w:spacing w:val="-10"/>
          <w:w w:val="115"/>
        </w:rPr>
        <w:t> </w:t>
      </w:r>
      <w:r>
        <w:rPr>
          <w:color w:val="231F1F"/>
          <w:w w:val="115"/>
        </w:rPr>
        <w:t>increased</w:t>
      </w:r>
      <w:r>
        <w:rPr>
          <w:color w:val="231F1F"/>
          <w:spacing w:val="-10"/>
          <w:w w:val="115"/>
        </w:rPr>
        <w:t> </w:t>
      </w:r>
      <w:r>
        <w:rPr>
          <w:color w:val="231F1F"/>
          <w:w w:val="115"/>
        </w:rPr>
        <w:t>by</w:t>
      </w:r>
    </w:p>
    <w:p>
      <w:pPr>
        <w:spacing w:line="133" w:lineRule="exact" w:before="12"/>
        <w:ind w:left="208" w:right="0" w:firstLine="0"/>
        <w:jc w:val="left"/>
        <w:rPr>
          <w:rFonts w:ascii="Calibri"/>
          <w:sz w:val="11"/>
        </w:rPr>
      </w:pPr>
      <w:r>
        <w:rPr>
          <w:rFonts w:ascii="Calibri"/>
          <w:color w:val="008356"/>
          <w:sz w:val="11"/>
        </w:rPr>
        <w:t>RITONAVIR</w:t>
      </w:r>
    </w:p>
    <w:p>
      <w:pPr>
        <w:pStyle w:val="BodyText"/>
        <w:spacing w:line="220" w:lineRule="auto" w:before="8"/>
        <w:ind w:hanging="100"/>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plasma concentration of digoxin increased by </w:t>
      </w:r>
      <w:r>
        <w:rPr>
          <w:rFonts w:ascii="Calibri" w:hAnsi="Calibri"/>
          <w:color w:val="008356"/>
          <w:w w:val="105"/>
          <w:sz w:val="11"/>
        </w:rPr>
        <w:t>ALPRAZOLAM </w:t>
      </w:r>
      <w:r>
        <w:rPr>
          <w:color w:val="231F1F"/>
          <w:w w:val="105"/>
        </w:rPr>
        <w:t>(increased risk of toxicity)</w:t>
      </w:r>
    </w:p>
    <w:p>
      <w:pPr>
        <w:pStyle w:val="BodyText"/>
        <w:spacing w:line="220" w:lineRule="auto" w:before="9"/>
        <w:ind w:right="163"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increased risk of AV block and bradycardia when cardiac glycosides given with </w:t>
      </w:r>
      <w:r>
        <w:rPr>
          <w:rFonts w:ascii="Calibri" w:hAnsi="Calibri"/>
          <w:color w:val="008356"/>
          <w:w w:val="105"/>
          <w:sz w:val="11"/>
        </w:rPr>
        <w:t>BETA-BLOCKERS</w:t>
      </w:r>
    </w:p>
    <w:p>
      <w:pPr>
        <w:spacing w:line="237" w:lineRule="auto" w:before="0"/>
        <w:ind w:left="208" w:right="15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Calcium Salts: </w:t>
      </w:r>
      <w:r>
        <w:rPr>
          <w:color w:val="231F1F"/>
          <w:w w:val="110"/>
          <w:sz w:val="12"/>
        </w:rPr>
        <w:t>arrhythmias can be precipitated when cardiac glycosides given with large </w:t>
      </w:r>
      <w:r>
        <w:rPr>
          <w:i/>
          <w:color w:val="231F1F"/>
          <w:w w:val="110"/>
          <w:sz w:val="12"/>
        </w:rPr>
        <w:t>intravenous </w:t>
      </w:r>
      <w:r>
        <w:rPr>
          <w:color w:val="231F1F"/>
          <w:w w:val="110"/>
          <w:sz w:val="12"/>
        </w:rPr>
        <w:t>doses of </w:t>
      </w:r>
      <w:r>
        <w:rPr>
          <w:rFonts w:ascii="Calibri" w:hAnsi="Calibri"/>
          <w:color w:val="008356"/>
          <w:w w:val="110"/>
          <w:sz w:val="11"/>
        </w:rPr>
        <w:t>CALCIUM SALTS</w:t>
      </w:r>
    </w:p>
    <w:p>
      <w:pPr>
        <w:spacing w:line="240" w:lineRule="auto" w:before="0"/>
        <w:ind w:left="208" w:right="24" w:hanging="100"/>
        <w:jc w:val="left"/>
        <w:rPr>
          <w:sz w:val="12"/>
        </w:rPr>
      </w:pPr>
      <w:r>
        <w:rPr>
          <w:rFonts w:ascii="Arial"/>
          <w:color w:val="231F1F"/>
          <w:w w:val="355"/>
          <w:position w:val="1"/>
          <w:sz w:val="7"/>
        </w:rPr>
        <w:t>l </w:t>
      </w:r>
      <w:r>
        <w:rPr>
          <w:rFonts w:ascii="Calibri"/>
          <w:color w:val="231F1F"/>
          <w:w w:val="110"/>
          <w:sz w:val="12"/>
        </w:rPr>
        <w:t>Calcium-channel Blockers: </w:t>
      </w:r>
      <w:r>
        <w:rPr>
          <w:color w:val="231F1F"/>
          <w:w w:val="110"/>
          <w:sz w:val="12"/>
        </w:rPr>
        <w:t>plasma concentration of digoxin increased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0"/>
          <w:sz w:val="11"/>
        </w:rPr>
        <w:t>DILTIAZEM</w:t>
      </w:r>
      <w:r>
        <w:rPr>
          <w:color w:val="231F1F"/>
          <w:spacing w:val="3"/>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LERCANIDIPINE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NICARDIPINE</w:t>
      </w:r>
      <w:r>
        <w:rPr>
          <w:color w:val="231F1F"/>
          <w:spacing w:val="4"/>
          <w:w w:val="110"/>
          <w:sz w:val="12"/>
        </w:rPr>
        <w:t>; </w:t>
      </w:r>
      <w:r>
        <w:rPr>
          <w:color w:val="231F1F"/>
          <w:w w:val="110"/>
          <w:sz w:val="12"/>
        </w:rPr>
        <w:t>plasma concentration of digoxin possibly increased by</w:t>
      </w:r>
    </w:p>
    <w:p>
      <w:pPr>
        <w:spacing w:before="4"/>
        <w:ind w:left="208" w:right="0" w:firstLine="0"/>
        <w:jc w:val="left"/>
        <w:rPr>
          <w:sz w:val="12"/>
        </w:rPr>
      </w:pPr>
      <w:r>
        <w:rPr>
          <w:rFonts w:ascii="Arial"/>
          <w:color w:val="231F1F"/>
          <w:w w:val="355"/>
          <w:position w:val="1"/>
          <w:sz w:val="7"/>
        </w:rPr>
        <w:t>l </w:t>
      </w:r>
      <w:r>
        <w:rPr>
          <w:rFonts w:ascii="Calibri"/>
          <w:color w:val="008356"/>
          <w:spacing w:val="4"/>
          <w:w w:val="115"/>
          <w:sz w:val="11"/>
        </w:rPr>
        <w:t>NIFEDIPINE</w:t>
      </w:r>
      <w:r>
        <w:rPr>
          <w:color w:val="231F1F"/>
          <w:spacing w:val="4"/>
          <w:w w:val="115"/>
          <w:sz w:val="12"/>
        </w:rPr>
        <w:t>; </w:t>
      </w:r>
      <w:r>
        <w:rPr>
          <w:color w:val="231F1F"/>
          <w:w w:val="115"/>
          <w:sz w:val="12"/>
        </w:rPr>
        <w:t>plasma concentration of digoxin increased by</w:t>
      </w:r>
    </w:p>
    <w:p>
      <w:pPr>
        <w:pStyle w:val="BodyText"/>
        <w:spacing w:line="141" w:lineRule="exact" w:before="2"/>
      </w:pPr>
      <w:r>
        <w:rPr>
          <w:rFonts w:ascii="Arial"/>
          <w:color w:val="231F1F"/>
          <w:w w:val="355"/>
          <w:position w:val="1"/>
          <w:sz w:val="7"/>
        </w:rPr>
        <w:t>l </w:t>
      </w:r>
      <w:r>
        <w:rPr>
          <w:rFonts w:ascii="Calibri"/>
          <w:color w:val="008356"/>
          <w:w w:val="110"/>
          <w:sz w:val="11"/>
        </w:rPr>
        <w:t>VERAPAMIL</w:t>
      </w:r>
      <w:r>
        <w:rPr>
          <w:color w:val="231F1F"/>
          <w:w w:val="110"/>
        </w:rPr>
        <w:t>, also increased risk of AV block and bradycardia</w:t>
      </w:r>
    </w:p>
    <w:p>
      <w:pPr>
        <w:pStyle w:val="BodyText"/>
        <w:spacing w:line="145" w:lineRule="exact"/>
        <w:ind w:left="108"/>
      </w:pPr>
      <w:r>
        <w:rPr>
          <w:rFonts w:ascii="Arial"/>
          <w:color w:val="231F1F"/>
          <w:w w:val="355"/>
          <w:position w:val="1"/>
          <w:sz w:val="7"/>
        </w:rPr>
        <w:t>l </w:t>
      </w:r>
      <w:r>
        <w:rPr>
          <w:rFonts w:ascii="Calibri"/>
          <w:color w:val="231F1F"/>
          <w:w w:val="115"/>
        </w:rPr>
        <w:t>Ciclosporin: </w:t>
      </w:r>
      <w:r>
        <w:rPr>
          <w:color w:val="231F1F"/>
          <w:w w:val="115"/>
        </w:rPr>
        <w:t>plasma concentration of digoxin increased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(increased risk of toxicity)</w:t>
      </w:r>
    </w:p>
    <w:p>
      <w:pPr>
        <w:pStyle w:val="BodyText"/>
        <w:spacing w:line="218" w:lineRule="auto" w:before="9"/>
        <w:ind w:right="156" w:hanging="100"/>
      </w:pPr>
      <w:r>
        <w:rPr>
          <w:rFonts w:ascii="Lucida Sans Unicode" w:hAnsi="Lucida Sans Unicode"/>
          <w:color w:val="A7A8AC"/>
          <w:w w:val="95"/>
          <w:sz w:val="10"/>
        </w:rPr>
        <w:t>▶ </w:t>
      </w:r>
      <w:r>
        <w:rPr>
          <w:rFonts w:ascii="Calibri" w:hAnsi="Calibri"/>
          <w:color w:val="231F1F"/>
          <w:w w:val="105"/>
        </w:rPr>
        <w:t>Cobicistat: </w:t>
      </w:r>
      <w:r>
        <w:rPr>
          <w:color w:val="231F1F"/>
          <w:w w:val="105"/>
        </w:rPr>
        <w:t>plasma concentration of digoxin possibly increased  by </w:t>
      </w:r>
      <w:r>
        <w:rPr>
          <w:rFonts w:ascii="Calibri" w:hAnsi="Calibri"/>
          <w:color w:val="008356"/>
          <w:spacing w:val="2"/>
          <w:w w:val="105"/>
          <w:sz w:val="11"/>
        </w:rPr>
        <w:t>COBICISTAT</w:t>
      </w:r>
      <w:r>
        <w:rPr>
          <w:rFonts w:ascii="Arial" w:hAnsi="Arial"/>
          <w:color w:val="231F1F"/>
          <w:spacing w:val="2"/>
          <w:w w:val="105"/>
        </w:rPr>
        <w:t>—</w:t>
      </w:r>
      <w:r>
        <w:rPr>
          <w:color w:val="231F1F"/>
          <w:spacing w:val="2"/>
          <w:w w:val="105"/>
        </w:rPr>
        <w:t>reduce </w:t>
      </w:r>
      <w:r>
        <w:rPr>
          <w:color w:val="231F1F"/>
          <w:w w:val="105"/>
        </w:rPr>
        <w:t>initial dose of</w:t>
      </w:r>
      <w:r>
        <w:rPr>
          <w:color w:val="231F1F"/>
          <w:spacing w:val="5"/>
          <w:w w:val="105"/>
        </w:rPr>
        <w:t> </w:t>
      </w:r>
      <w:r>
        <w:rPr>
          <w:color w:val="231F1F"/>
          <w:w w:val="105"/>
        </w:rPr>
        <w:t>digoxin</w:t>
      </w:r>
    </w:p>
    <w:p>
      <w:pPr>
        <w:pStyle w:val="BodyText"/>
        <w:spacing w:before="1"/>
        <w:ind w:hanging="100"/>
        <w:rPr>
          <w:rFonts w:ascii="Calibri"/>
          <w:sz w:val="11"/>
        </w:rPr>
      </w:pPr>
      <w:r>
        <w:rPr>
          <w:rFonts w:ascii="Arial"/>
          <w:color w:val="231F1F"/>
          <w:w w:val="355"/>
          <w:position w:val="1"/>
          <w:sz w:val="7"/>
        </w:rPr>
        <w:t>l </w:t>
      </w:r>
      <w:r>
        <w:rPr>
          <w:rFonts w:ascii="Calibri"/>
          <w:color w:val="231F1F"/>
          <w:w w:val="110"/>
        </w:rPr>
        <w:t>Colchicine: </w:t>
      </w:r>
      <w:r>
        <w:rPr>
          <w:color w:val="231F1F"/>
          <w:w w:val="110"/>
        </w:rPr>
        <w:t>possible increased risk of myopathy when digoxin given with </w:t>
      </w:r>
      <w:r>
        <w:rPr>
          <w:rFonts w:ascii="Arial"/>
          <w:color w:val="231F1F"/>
          <w:w w:val="355"/>
          <w:position w:val="1"/>
          <w:sz w:val="7"/>
        </w:rPr>
        <w:t>l </w:t>
      </w:r>
      <w:r>
        <w:rPr>
          <w:rFonts w:ascii="Calibri"/>
          <w:color w:val="008356"/>
          <w:spacing w:val="4"/>
          <w:w w:val="110"/>
          <w:sz w:val="11"/>
        </w:rPr>
        <w:t>COLCHICINE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Cardiac Glycosides </w:t>
      </w:r>
      <w:r>
        <w:rPr>
          <w:rFonts w:ascii="Calibri"/>
          <w:color w:val="231F1F"/>
        </w:rPr>
        <w:t>(continued)</w:t>
      </w:r>
    </w:p>
    <w:p>
      <w:pPr>
        <w:pStyle w:val="BodyText"/>
        <w:spacing w:line="220" w:lineRule="auto" w:before="6"/>
        <w:ind w:right="670" w:hanging="100"/>
        <w:rPr>
          <w:rFonts w:ascii="Calibri" w:hAnsi="Calibri"/>
          <w:sz w:val="11"/>
        </w:rPr>
      </w:pPr>
      <w:r>
        <w:rPr/>
        <w:pict>
          <v:rect style="position:absolute;margin-left:398.891296pt;margin-top:-8.655787pt;width:20.522993pt;height:149.443pt;mso-position-horizontal-relative:page;mso-position-vertical-relative:paragraph;z-index:2848" filled="true" fillcolor="#bfdbcf" stroked="false">
            <v:fill type="solid"/>
            <w10:wrap type="none"/>
          </v:rect>
        </w:pict>
      </w:r>
      <w:r>
        <w:rPr/>
        <w:pict>
          <v:shape style="position:absolute;margin-left:399.725769pt;margin-top:-3.692398pt;width:10.4pt;height:78.850pt;mso-position-horizontal-relative:page;mso-position-vertical-relative:paragraph;z-index:287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Corticosteroids: </w:t>
      </w:r>
      <w:r>
        <w:rPr>
          <w:color w:val="231F1F"/>
          <w:w w:val="105"/>
        </w:rPr>
        <w:t>increased risk of hypokalaemia when cardiac glycosides given with </w:t>
      </w:r>
      <w:r>
        <w:rPr>
          <w:rFonts w:ascii="Calibri" w:hAnsi="Calibri"/>
          <w:color w:val="008356"/>
          <w:w w:val="105"/>
          <w:sz w:val="11"/>
        </w:rPr>
        <w:t>CORTICOSTEROIDS</w:t>
      </w:r>
    </w:p>
    <w:p>
      <w:pPr>
        <w:spacing w:line="230" w:lineRule="auto" w:before="4"/>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absorption of digoxin </w:t>
      </w:r>
      <w:r>
        <w:rPr>
          <w:i/>
          <w:color w:val="231F1F"/>
          <w:w w:val="105"/>
          <w:sz w:val="12"/>
        </w:rPr>
        <w:t>tablets </w:t>
      </w:r>
      <w:r>
        <w:rPr>
          <w:color w:val="231F1F"/>
          <w:w w:val="105"/>
          <w:sz w:val="12"/>
        </w:rPr>
        <w:t>possibly reduced by </w:t>
      </w:r>
      <w:r>
        <w:rPr>
          <w:rFonts w:ascii="Calibri" w:hAnsi="Calibri"/>
          <w:color w:val="008356"/>
          <w:w w:val="105"/>
          <w:sz w:val="11"/>
        </w:rPr>
        <w:t>BLEOMYCIN</w:t>
      </w:r>
      <w:r>
        <w:rPr>
          <w:color w:val="231F1F"/>
          <w:w w:val="105"/>
          <w:sz w:val="12"/>
        </w:rPr>
        <w:t>, </w:t>
      </w:r>
      <w:r>
        <w:rPr>
          <w:rFonts w:ascii="Calibri" w:hAnsi="Calibri"/>
          <w:color w:val="008356"/>
          <w:w w:val="105"/>
          <w:sz w:val="11"/>
        </w:rPr>
        <w:t>CARMUSTINE</w:t>
      </w:r>
      <w:r>
        <w:rPr>
          <w:color w:val="231F1F"/>
          <w:w w:val="105"/>
          <w:sz w:val="12"/>
        </w:rPr>
        <w:t>, </w:t>
      </w:r>
      <w:r>
        <w:rPr>
          <w:rFonts w:ascii="Calibri" w:hAnsi="Calibri"/>
          <w:color w:val="008356"/>
          <w:w w:val="105"/>
          <w:sz w:val="11"/>
        </w:rPr>
        <w:t>CYCLOPHOSPHAMIDE</w:t>
      </w:r>
      <w:r>
        <w:rPr>
          <w:color w:val="231F1F"/>
          <w:w w:val="105"/>
          <w:sz w:val="12"/>
        </w:rPr>
        <w:t>, </w:t>
      </w:r>
      <w:r>
        <w:rPr>
          <w:rFonts w:ascii="Calibri" w:hAnsi="Calibri"/>
          <w:color w:val="008356"/>
          <w:w w:val="105"/>
          <w:sz w:val="11"/>
        </w:rPr>
        <w:t>CYTARABINE</w:t>
      </w:r>
      <w:r>
        <w:rPr>
          <w:color w:val="231F1F"/>
          <w:w w:val="105"/>
          <w:sz w:val="12"/>
        </w:rPr>
        <w:t>, </w:t>
      </w:r>
      <w:r>
        <w:rPr>
          <w:rFonts w:ascii="Calibri" w:hAnsi="Calibri"/>
          <w:color w:val="008356"/>
          <w:sz w:val="11"/>
        </w:rPr>
        <w:t>DOXORUBICIN</w:t>
      </w:r>
      <w:r>
        <w:rPr>
          <w:color w:val="231F1F"/>
          <w:sz w:val="12"/>
        </w:rPr>
        <w:t>, </w:t>
      </w:r>
      <w:r>
        <w:rPr>
          <w:rFonts w:ascii="Calibri" w:hAnsi="Calibri"/>
          <w:color w:val="008356"/>
          <w:sz w:val="11"/>
        </w:rPr>
        <w:t>MELPHALAN</w:t>
      </w:r>
      <w:r>
        <w:rPr>
          <w:color w:val="231F1F"/>
          <w:sz w:val="12"/>
        </w:rPr>
        <w:t>, </w:t>
      </w:r>
      <w:r>
        <w:rPr>
          <w:rFonts w:ascii="Calibri" w:hAnsi="Calibri"/>
          <w:color w:val="008356"/>
          <w:sz w:val="11"/>
        </w:rPr>
        <w:t>METHOTREXATE</w:t>
      </w:r>
      <w:r>
        <w:rPr>
          <w:color w:val="231F1F"/>
          <w:sz w:val="12"/>
        </w:rPr>
        <w:t>, </w:t>
      </w:r>
      <w:r>
        <w:rPr>
          <w:rFonts w:ascii="Calibri" w:hAnsi="Calibri"/>
          <w:color w:val="008356"/>
          <w:sz w:val="11"/>
        </w:rPr>
        <w:t>PROCARBAZINE </w:t>
      </w:r>
      <w:r>
        <w:rPr>
          <w:color w:val="231F1F"/>
          <w:sz w:val="12"/>
        </w:rPr>
        <w:t>and</w:t>
      </w:r>
    </w:p>
    <w:p>
      <w:pPr>
        <w:pStyle w:val="BodyText"/>
        <w:spacing w:line="244" w:lineRule="auto" w:before="5"/>
        <w:ind w:right="762"/>
      </w:pPr>
      <w:r>
        <w:rPr>
          <w:rFonts w:ascii="Calibri" w:hAnsi="Calibri"/>
          <w:color w:val="008356"/>
          <w:w w:val="110"/>
          <w:sz w:val="11"/>
        </w:rPr>
        <w:t>VINCRISTINE</w:t>
      </w:r>
      <w:r>
        <w:rPr>
          <w:color w:val="231F1F"/>
          <w:w w:val="110"/>
        </w:rPr>
        <w:t>; possible increased risk of bradycardia when digoxin given with </w:t>
      </w:r>
      <w:r>
        <w:rPr>
          <w:rFonts w:ascii="Calibri" w:hAnsi="Calibri"/>
          <w:color w:val="008356"/>
          <w:w w:val="110"/>
          <w:sz w:val="11"/>
        </w:rPr>
        <w:t>CRIZOTINIB</w:t>
      </w:r>
      <w:r>
        <w:rPr>
          <w:color w:val="231F1F"/>
          <w:w w:val="110"/>
        </w:rPr>
        <w:t>; manufacturer of digoxin advises give </w:t>
      </w:r>
      <w:r>
        <w:rPr>
          <w:rFonts w:ascii="Calibri" w:hAnsi="Calibri"/>
          <w:color w:val="008356"/>
          <w:w w:val="110"/>
          <w:sz w:val="11"/>
        </w:rPr>
        <w:t>IBRUTINIB </w:t>
      </w:r>
      <w:r>
        <w:rPr>
          <w:color w:val="231F1F"/>
          <w:w w:val="110"/>
        </w:rPr>
        <w:t>at least 6 hours before or after ibrutinib; plasma concentration of digoxin increased by </w:t>
      </w:r>
      <w:r>
        <w:rPr>
          <w:rFonts w:ascii="Calibri" w:hAnsi="Calibri"/>
          <w:color w:val="008356"/>
          <w:w w:val="110"/>
          <w:sz w:val="11"/>
        </w:rPr>
        <w:t>VANDETANIB</w:t>
      </w:r>
      <w:r>
        <w:rPr>
          <w:rFonts w:ascii="Arial" w:hAnsi="Arial"/>
          <w:color w:val="231F1F"/>
          <w:w w:val="110"/>
        </w:rPr>
        <w:t>—</w:t>
      </w:r>
      <w:r>
        <w:rPr>
          <w:color w:val="231F1F"/>
          <w:w w:val="110"/>
        </w:rPr>
        <w:t>possible increased risk of bradycardia</w:t>
      </w:r>
    </w:p>
    <w:p>
      <w:pPr>
        <w:spacing w:line="237" w:lineRule="auto" w:before="0"/>
        <w:ind w:left="208" w:right="700"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increased cardiac toxicity with cardiac glycosides if hypokalaemia</w:t>
      </w:r>
      <w:r>
        <w:rPr>
          <w:color w:val="231F1F"/>
          <w:spacing w:val="-20"/>
          <w:w w:val="110"/>
          <w:sz w:val="12"/>
        </w:rPr>
        <w:t> </w:t>
      </w:r>
      <w:r>
        <w:rPr>
          <w:color w:val="231F1F"/>
          <w:w w:val="110"/>
          <w:sz w:val="12"/>
        </w:rPr>
        <w:t>occurs</w:t>
      </w:r>
      <w:r>
        <w:rPr>
          <w:color w:val="231F1F"/>
          <w:spacing w:val="-20"/>
          <w:w w:val="110"/>
          <w:sz w:val="12"/>
        </w:rPr>
        <w:t> </w:t>
      </w:r>
      <w:r>
        <w:rPr>
          <w:color w:val="231F1F"/>
          <w:w w:val="110"/>
          <w:sz w:val="12"/>
        </w:rPr>
        <w:t>with</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ACETAZOLAMIDE</w:t>
      </w:r>
      <w:r>
        <w:rPr>
          <w:color w:val="231F1F"/>
          <w:spacing w:val="4"/>
          <w:w w:val="110"/>
          <w:sz w:val="12"/>
        </w:rPr>
        <w:t>,</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0"/>
          <w:sz w:val="11"/>
        </w:rPr>
        <w:t>LOOP</w:t>
      </w:r>
      <w:r>
        <w:rPr>
          <w:rFonts w:ascii="Calibri"/>
          <w:color w:val="008356"/>
          <w:spacing w:val="-14"/>
          <w:w w:val="110"/>
          <w:sz w:val="11"/>
        </w:rPr>
        <w:t> </w:t>
      </w:r>
      <w:r>
        <w:rPr>
          <w:rFonts w:ascii="Calibri"/>
          <w:color w:val="008356"/>
          <w:spacing w:val="5"/>
          <w:w w:val="110"/>
          <w:sz w:val="11"/>
        </w:rPr>
        <w:t>DIURETICS</w:t>
      </w:r>
    </w:p>
    <w:p>
      <w:pPr>
        <w:spacing w:line="242" w:lineRule="auto" w:before="0"/>
        <w:ind w:left="208" w:right="762" w:firstLine="0"/>
        <w:jc w:val="left"/>
        <w:rPr>
          <w:sz w:val="12"/>
        </w:rPr>
      </w:pPr>
      <w:r>
        <w:rPr>
          <w:color w:val="231F1F"/>
          <w:w w:val="110"/>
          <w:sz w:val="12"/>
        </w:rPr>
        <w:t>or</w:t>
      </w:r>
      <w:r>
        <w:rPr>
          <w:color w:val="231F1F"/>
          <w:spacing w:val="-12"/>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THIAZIDES</w:t>
      </w:r>
      <w:r>
        <w:rPr>
          <w:rFonts w:ascii="Calibri"/>
          <w:color w:val="008356"/>
          <w:spacing w:val="-4"/>
          <w:w w:val="110"/>
          <w:sz w:val="11"/>
        </w:rPr>
        <w:t> </w:t>
      </w:r>
      <w:r>
        <w:rPr>
          <w:rFonts w:ascii="Calibri"/>
          <w:color w:val="008356"/>
          <w:spacing w:val="3"/>
          <w:w w:val="110"/>
          <w:sz w:val="11"/>
        </w:rPr>
        <w:t>AND</w:t>
      </w:r>
      <w:r>
        <w:rPr>
          <w:rFonts w:ascii="Calibri"/>
          <w:color w:val="008356"/>
          <w:spacing w:val="-4"/>
          <w:w w:val="110"/>
          <w:sz w:val="11"/>
        </w:rPr>
        <w:t> </w:t>
      </w:r>
      <w:r>
        <w:rPr>
          <w:rFonts w:ascii="Calibri"/>
          <w:color w:val="008356"/>
          <w:spacing w:val="3"/>
          <w:w w:val="110"/>
          <w:sz w:val="11"/>
        </w:rPr>
        <w:t>RELATED</w:t>
      </w:r>
      <w:r>
        <w:rPr>
          <w:rFonts w:ascii="Calibri"/>
          <w:color w:val="008356"/>
          <w:spacing w:val="-5"/>
          <w:w w:val="110"/>
          <w:sz w:val="11"/>
        </w:rPr>
        <w:t> </w:t>
      </w:r>
      <w:r>
        <w:rPr>
          <w:rFonts w:ascii="Calibri"/>
          <w:color w:val="008356"/>
          <w:spacing w:val="4"/>
          <w:w w:val="110"/>
          <w:sz w:val="11"/>
        </w:rPr>
        <w:t>DIURETICS</w:t>
      </w:r>
      <w:r>
        <w:rPr>
          <w:color w:val="231F1F"/>
          <w:spacing w:val="4"/>
          <w:w w:val="110"/>
          <w:sz w:val="12"/>
        </w:rPr>
        <w:t>;</w:t>
      </w:r>
      <w:r>
        <w:rPr>
          <w:color w:val="231F1F"/>
          <w:spacing w:val="-11"/>
          <w:w w:val="110"/>
          <w:sz w:val="12"/>
        </w:rPr>
        <w:t> </w:t>
      </w:r>
      <w:r>
        <w:rPr>
          <w:color w:val="231F1F"/>
          <w:w w:val="110"/>
          <w:sz w:val="12"/>
        </w:rPr>
        <w:t>plasma</w:t>
      </w:r>
      <w:r>
        <w:rPr>
          <w:color w:val="231F1F"/>
          <w:spacing w:val="-11"/>
          <w:w w:val="110"/>
          <w:sz w:val="12"/>
        </w:rPr>
        <w:t> </w:t>
      </w:r>
      <w:r>
        <w:rPr>
          <w:color w:val="231F1F"/>
          <w:w w:val="110"/>
          <w:sz w:val="12"/>
        </w:rPr>
        <w:t>concentration of digoxin possibly increased by </w:t>
      </w:r>
      <w:r>
        <w:rPr>
          <w:rFonts w:ascii="Calibri"/>
          <w:color w:val="008356"/>
          <w:spacing w:val="3"/>
          <w:w w:val="110"/>
          <w:sz w:val="11"/>
        </w:rPr>
        <w:t>POTASSIUM </w:t>
      </w:r>
      <w:r>
        <w:rPr>
          <w:rFonts w:ascii="Calibri"/>
          <w:color w:val="008356"/>
          <w:spacing w:val="4"/>
          <w:w w:val="110"/>
          <w:sz w:val="11"/>
        </w:rPr>
        <w:t>CANRENOATE</w:t>
      </w:r>
      <w:r>
        <w:rPr>
          <w:color w:val="231F1F"/>
          <w:spacing w:val="4"/>
          <w:w w:val="110"/>
          <w:sz w:val="12"/>
        </w:rPr>
        <w:t>; </w:t>
      </w:r>
      <w:r>
        <w:rPr>
          <w:color w:val="231F1F"/>
          <w:w w:val="110"/>
          <w:sz w:val="12"/>
        </w:rPr>
        <w:t>plasma concentration of digoxin increased</w:t>
      </w:r>
      <w:r>
        <w:rPr>
          <w:color w:val="231F1F"/>
          <w:spacing w:val="2"/>
          <w:w w:val="110"/>
          <w:sz w:val="12"/>
        </w:rPr>
        <w:t> </w:t>
      </w:r>
      <w:r>
        <w:rPr>
          <w:color w:val="231F1F"/>
          <w:w w:val="110"/>
          <w:sz w:val="12"/>
        </w:rPr>
        <w:t>by</w:t>
      </w:r>
    </w:p>
    <w:p>
      <w:pPr>
        <w:spacing w:line="133" w:lineRule="exact" w:before="10"/>
        <w:ind w:left="208" w:right="0" w:firstLine="0"/>
        <w:jc w:val="left"/>
        <w:rPr>
          <w:rFonts w:ascii="Calibri"/>
          <w:sz w:val="11"/>
        </w:rPr>
      </w:pPr>
      <w:r>
        <w:rPr>
          <w:rFonts w:ascii="Arial"/>
          <w:color w:val="231F1F"/>
          <w:w w:val="355"/>
          <w:position w:val="1"/>
          <w:sz w:val="7"/>
        </w:rPr>
        <w:t>l </w:t>
      </w:r>
      <w:r>
        <w:rPr>
          <w:rFonts w:ascii="Calibri"/>
          <w:color w:val="008356"/>
          <w:w w:val="115"/>
          <w:sz w:val="11"/>
        </w:rPr>
        <w:t>SPIRONOLACTONE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Ivacaftor: </w:t>
      </w:r>
      <w:r>
        <w:rPr>
          <w:color w:val="231F1F"/>
          <w:w w:val="105"/>
        </w:rPr>
        <w:t>plasma concentration of digoxin increased by</w:t>
      </w:r>
    </w:p>
    <w:p>
      <w:pPr>
        <w:spacing w:line="130" w:lineRule="exact" w:before="0"/>
        <w:ind w:left="208" w:right="0" w:firstLine="0"/>
        <w:jc w:val="left"/>
        <w:rPr>
          <w:rFonts w:ascii="Calibri"/>
          <w:sz w:val="11"/>
        </w:rPr>
      </w:pPr>
      <w:r>
        <w:rPr>
          <w:rFonts w:ascii="Calibri"/>
          <w:color w:val="008356"/>
          <w:sz w:val="11"/>
        </w:rPr>
        <w:t>IVACAFTOR</w:t>
      </w:r>
    </w:p>
    <w:p>
      <w:pPr>
        <w:pStyle w:val="BodyText"/>
        <w:spacing w:line="220" w:lineRule="auto" w:before="7"/>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Lenalidomide: </w:t>
      </w:r>
      <w:r>
        <w:rPr>
          <w:color w:val="231F1F"/>
          <w:w w:val="105"/>
        </w:rPr>
        <w:t>plasma concentration of digoxin possibly increased by </w:t>
      </w:r>
      <w:r>
        <w:rPr>
          <w:rFonts w:ascii="Calibri" w:hAnsi="Calibri"/>
          <w:color w:val="008356"/>
          <w:w w:val="105"/>
          <w:sz w:val="11"/>
        </w:rPr>
        <w:t>LENALIDOMIDE</w:t>
      </w:r>
    </w:p>
    <w:p>
      <w:pPr>
        <w:spacing w:line="230" w:lineRule="auto" w:before="5"/>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absorption of cardiac glycosides possibly reduced by </w:t>
      </w:r>
      <w:r>
        <w:rPr>
          <w:rFonts w:ascii="Calibri" w:hAnsi="Calibri"/>
          <w:color w:val="008356"/>
          <w:spacing w:val="4"/>
          <w:w w:val="105"/>
          <w:sz w:val="11"/>
        </w:rPr>
        <w:t>COLESTIPOL </w:t>
      </w:r>
      <w:r>
        <w:rPr>
          <w:color w:val="231F1F"/>
          <w:w w:val="105"/>
          <w:sz w:val="12"/>
        </w:rPr>
        <w:t>and </w:t>
      </w:r>
      <w:r>
        <w:rPr>
          <w:rFonts w:ascii="Calibri" w:hAnsi="Calibri"/>
          <w:color w:val="008356"/>
          <w:spacing w:val="4"/>
          <w:w w:val="105"/>
          <w:sz w:val="11"/>
        </w:rPr>
        <w:t>COLESTYRAMINE</w:t>
      </w:r>
      <w:r>
        <w:rPr>
          <w:color w:val="231F1F"/>
          <w:spacing w:val="4"/>
          <w:w w:val="105"/>
          <w:sz w:val="12"/>
        </w:rPr>
        <w:t>; </w:t>
      </w:r>
      <w:r>
        <w:rPr>
          <w:color w:val="231F1F"/>
          <w:w w:val="105"/>
          <w:sz w:val="12"/>
        </w:rPr>
        <w:t>plasma concentration of digoxin possibly increased by</w:t>
      </w:r>
      <w:r>
        <w:rPr>
          <w:color w:val="231F1F"/>
          <w:spacing w:val="3"/>
          <w:w w:val="105"/>
          <w:sz w:val="12"/>
        </w:rPr>
        <w:t> </w:t>
      </w:r>
      <w:r>
        <w:rPr>
          <w:rFonts w:ascii="Calibri" w:hAnsi="Calibri"/>
          <w:color w:val="008356"/>
          <w:w w:val="105"/>
          <w:sz w:val="11"/>
        </w:rPr>
        <w:t>ATORVASTATIN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Mirabegron: </w:t>
      </w:r>
      <w:r>
        <w:rPr>
          <w:color w:val="231F1F"/>
          <w:w w:val="105"/>
        </w:rPr>
        <w:t>plasma concentration of digoxin increased by</w:t>
      </w:r>
    </w:p>
    <w:p>
      <w:pPr>
        <w:spacing w:line="134" w:lineRule="exact" w:before="0"/>
        <w:ind w:left="208" w:right="0" w:firstLine="0"/>
        <w:jc w:val="left"/>
        <w:rPr>
          <w:sz w:val="12"/>
        </w:rPr>
      </w:pPr>
      <w:r>
        <w:rPr>
          <w:rFonts w:ascii="Calibri" w:hAnsi="Calibri"/>
          <w:color w:val="008356"/>
          <w:w w:val="110"/>
          <w:sz w:val="11"/>
        </w:rPr>
        <w:t>MIRABEGRON</w:t>
      </w:r>
      <w:r>
        <w:rPr>
          <w:rFonts w:ascii="Arial" w:hAnsi="Arial"/>
          <w:color w:val="231F1F"/>
          <w:w w:val="110"/>
          <w:sz w:val="12"/>
        </w:rPr>
        <w:t>—</w:t>
      </w:r>
      <w:r>
        <w:rPr>
          <w:color w:val="231F1F"/>
          <w:w w:val="110"/>
          <w:sz w:val="12"/>
        </w:rPr>
        <w:t>reduce initial dose of digoxin</w:t>
      </w:r>
    </w:p>
    <w:p>
      <w:pPr>
        <w:pStyle w:val="BodyText"/>
        <w:spacing w:line="230" w:lineRule="auto" w:before="3"/>
        <w:ind w:right="66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risk of ventricular arrhythmias when cardiac glycosides given with </w:t>
      </w:r>
      <w:r>
        <w:rPr>
          <w:rFonts w:ascii="Calibri" w:hAnsi="Calibri"/>
          <w:color w:val="008356"/>
          <w:w w:val="105"/>
          <w:sz w:val="11"/>
        </w:rPr>
        <w:t>SUXAMETHONIUM</w:t>
      </w:r>
      <w:r>
        <w:rPr>
          <w:color w:val="231F1F"/>
          <w:w w:val="105"/>
        </w:rPr>
        <w:t>; possible increased risk of bradycardia when cardiac glycosides given with </w:t>
      </w:r>
      <w:r>
        <w:rPr>
          <w:rFonts w:ascii="Calibri" w:hAnsi="Calibri"/>
          <w:color w:val="008356"/>
          <w:w w:val="105"/>
          <w:sz w:val="11"/>
        </w:rPr>
        <w:t>TIZANIDINE</w:t>
      </w:r>
    </w:p>
    <w:p>
      <w:pPr>
        <w:pStyle w:val="BodyText"/>
        <w:spacing w:line="220" w:lineRule="auto" w:before="9"/>
        <w:ind w:right="105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Penicillamine: </w:t>
      </w:r>
      <w:r>
        <w:rPr>
          <w:color w:val="231F1F"/>
          <w:w w:val="105"/>
        </w:rPr>
        <w:t>plasma concentration of digoxin possibly reduced by </w:t>
      </w:r>
      <w:r>
        <w:rPr>
          <w:rFonts w:ascii="Calibri" w:hAnsi="Calibri"/>
          <w:color w:val="008356"/>
          <w:w w:val="105"/>
          <w:sz w:val="11"/>
        </w:rPr>
        <w:t>PENICILLAMINE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Ranolazine: </w:t>
      </w:r>
      <w:r>
        <w:rPr>
          <w:color w:val="231F1F"/>
          <w:w w:val="105"/>
        </w:rPr>
        <w:t>plasma concentration of digoxin increased by</w:t>
      </w:r>
    </w:p>
    <w:p>
      <w:pPr>
        <w:spacing w:line="130" w:lineRule="exact" w:before="0"/>
        <w:ind w:left="208" w:right="0" w:firstLine="0"/>
        <w:jc w:val="left"/>
        <w:rPr>
          <w:rFonts w:ascii="Calibri"/>
          <w:sz w:val="11"/>
        </w:rPr>
      </w:pPr>
      <w:r>
        <w:rPr>
          <w:rFonts w:ascii="Calibri"/>
          <w:color w:val="008356"/>
          <w:sz w:val="11"/>
        </w:rPr>
        <w:t>RANOLAZINE</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plasma concentration of digoxin possibly reduced by </w:t>
      </w:r>
      <w:r>
        <w:rPr>
          <w:rFonts w:ascii="Calibri" w:hAnsi="Calibri"/>
          <w:color w:val="008356"/>
          <w:w w:val="105"/>
          <w:sz w:val="11"/>
          <w:vertAlign w:val="baseline"/>
        </w:rPr>
        <w:t>SALBUTAMOL</w:t>
      </w:r>
    </w:p>
    <w:p>
      <w:pPr>
        <w:pStyle w:val="BodyText"/>
        <w:spacing w:before="1"/>
        <w:ind w:left="108"/>
      </w:pPr>
      <w:r>
        <w:rPr>
          <w:rFonts w:ascii="Arial"/>
          <w:color w:val="231F1F"/>
          <w:w w:val="355"/>
          <w:position w:val="1"/>
          <w:sz w:val="7"/>
        </w:rPr>
        <w:t>l </w:t>
      </w:r>
      <w:r>
        <w:rPr>
          <w:rFonts w:ascii="Calibri"/>
          <w:color w:val="231F1F"/>
          <w:w w:val="115"/>
        </w:rPr>
        <w:t>Ticagrelor: </w:t>
      </w:r>
      <w:r>
        <w:rPr>
          <w:color w:val="231F1F"/>
          <w:w w:val="115"/>
        </w:rPr>
        <w:t>plasma concentration of digoxin increased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TICAGRELOR</w:t>
      </w:r>
    </w:p>
    <w:p>
      <w:pPr>
        <w:pStyle w:val="BodyText"/>
        <w:spacing w:line="151" w:lineRule="exact"/>
        <w:ind w:left="108"/>
        <w:jc w:val="both"/>
      </w:pPr>
      <w:r>
        <w:rPr>
          <w:rFonts w:ascii="Lucida Sans Unicode" w:hAnsi="Lucida Sans Unicode"/>
          <w:color w:val="A7A8AC"/>
          <w:w w:val="95"/>
          <w:sz w:val="10"/>
        </w:rPr>
        <w:t>▶ </w:t>
      </w:r>
      <w:r>
        <w:rPr>
          <w:rFonts w:ascii="Calibri" w:hAnsi="Calibri"/>
          <w:color w:val="231F1F"/>
          <w:w w:val="105"/>
        </w:rPr>
        <w:t>Tolvaptan: </w:t>
      </w:r>
      <w:r>
        <w:rPr>
          <w:color w:val="231F1F"/>
          <w:w w:val="105"/>
        </w:rPr>
        <w:t>plasma concentration of digoxin increased by</w:t>
      </w:r>
    </w:p>
    <w:p>
      <w:pPr>
        <w:spacing w:line="134" w:lineRule="exact" w:before="0"/>
        <w:ind w:left="208" w:right="0" w:firstLine="0"/>
        <w:jc w:val="both"/>
        <w:rPr>
          <w:sz w:val="12"/>
        </w:rPr>
      </w:pPr>
      <w:r>
        <w:rPr>
          <w:rFonts w:ascii="Calibri"/>
          <w:color w:val="008356"/>
          <w:w w:val="110"/>
          <w:sz w:val="11"/>
        </w:rPr>
        <w:t>TOLVAPTAN </w:t>
      </w:r>
      <w:r>
        <w:rPr>
          <w:color w:val="231F1F"/>
          <w:w w:val="110"/>
          <w:sz w:val="12"/>
        </w:rPr>
        <w:t>(increased risk of toxicity)</w:t>
      </w:r>
    </w:p>
    <w:p>
      <w:pPr>
        <w:pStyle w:val="BodyText"/>
        <w:spacing w:line="230" w:lineRule="auto" w:before="3"/>
        <w:ind w:right="735"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digoxin possibly slightly increased by </w:t>
      </w:r>
      <w:r>
        <w:rPr>
          <w:rFonts w:ascii="Calibri" w:hAnsi="Calibri"/>
          <w:color w:val="008356"/>
          <w:w w:val="105"/>
          <w:sz w:val="11"/>
        </w:rPr>
        <w:t>PROTON PUMP INHIBITORS</w:t>
      </w:r>
      <w:r>
        <w:rPr>
          <w:color w:val="231F1F"/>
          <w:w w:val="105"/>
        </w:rPr>
        <w:t>; absorption of cardiac glycosides possibly reduced by </w:t>
      </w:r>
      <w:r>
        <w:rPr>
          <w:rFonts w:ascii="Calibri" w:hAnsi="Calibri"/>
          <w:color w:val="008356"/>
          <w:w w:val="105"/>
          <w:sz w:val="11"/>
        </w:rPr>
        <w:t>SUCRALFATE</w:t>
      </w:r>
    </w:p>
    <w:p>
      <w:pPr>
        <w:pStyle w:val="BodyText"/>
        <w:spacing w:line="220" w:lineRule="auto" w:before="9"/>
        <w:ind w:right="84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Ulipristal: </w:t>
      </w:r>
      <w:r>
        <w:rPr>
          <w:color w:val="231F1F"/>
          <w:w w:val="110"/>
        </w:rPr>
        <w:t>manufacturer of ulipristal advises give digoxin at least 1.5 hours before or after </w:t>
      </w:r>
      <w:r>
        <w:rPr>
          <w:rFonts w:ascii="Calibri" w:hAnsi="Calibri"/>
          <w:color w:val="008356"/>
          <w:w w:val="110"/>
          <w:sz w:val="11"/>
        </w:rPr>
        <w:t>ULIPRISTAL</w:t>
      </w:r>
    </w:p>
    <w:p>
      <w:pPr>
        <w:pStyle w:val="BodyText"/>
        <w:spacing w:before="9"/>
        <w:ind w:left="108"/>
        <w:rPr>
          <w:rFonts w:ascii="Trebuchet MS"/>
        </w:rPr>
      </w:pPr>
      <w:r>
        <w:rPr>
          <w:rFonts w:ascii="Trebuchet MS"/>
          <w:color w:val="008356"/>
        </w:rPr>
        <w:t>Carmustine</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Cardiac Glycosides: </w:t>
      </w:r>
      <w:r>
        <w:rPr>
          <w:color w:val="231F1F"/>
          <w:w w:val="105"/>
        </w:rPr>
        <w:t>carmustine possibly reduces absorption of</w:t>
      </w:r>
    </w:p>
    <w:p>
      <w:pPr>
        <w:spacing w:line="135" w:lineRule="exact" w:before="0"/>
        <w:ind w:left="208" w:right="0" w:firstLine="0"/>
        <w:jc w:val="left"/>
        <w:rPr>
          <w:i/>
          <w:sz w:val="12"/>
        </w:rPr>
      </w:pPr>
      <w:r>
        <w:rPr>
          <w:rFonts w:ascii="Calibri"/>
          <w:color w:val="008356"/>
          <w:w w:val="105"/>
          <w:sz w:val="11"/>
        </w:rPr>
        <w:t>DIGOXIN </w:t>
      </w:r>
      <w:r>
        <w:rPr>
          <w:i/>
          <w:color w:val="231F1F"/>
          <w:w w:val="105"/>
          <w:sz w:val="12"/>
        </w:rPr>
        <w:t>tablets</w:t>
      </w:r>
    </w:p>
    <w:p>
      <w:pPr>
        <w:pStyle w:val="BodyText"/>
        <w:spacing w:line="220" w:lineRule="auto" w:before="8"/>
        <w:ind w:right="83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myelosuppressive effects of carmustine possibly enhanced by </w:t>
      </w:r>
      <w:r>
        <w:rPr>
          <w:rFonts w:ascii="Calibri" w:hAnsi="Calibri"/>
          <w:color w:val="008356"/>
          <w:w w:val="105"/>
          <w:sz w:val="11"/>
        </w:rPr>
        <w:t>CIMETIDINE</w:t>
      </w:r>
    </w:p>
    <w:p>
      <w:pPr>
        <w:pStyle w:val="BodyText"/>
        <w:spacing w:line="256" w:lineRule="auto" w:before="9"/>
        <w:ind w:left="108" w:right="2217"/>
        <w:rPr>
          <w:rFonts w:ascii="Trebuchet MS"/>
        </w:rPr>
      </w:pPr>
      <w:r>
        <w:rPr>
          <w:rFonts w:ascii="Trebuchet MS"/>
          <w:color w:val="008356"/>
          <w:w w:val="105"/>
        </w:rPr>
        <w:t>Carteolol </w:t>
      </w:r>
      <w:r>
        <w:rPr>
          <w:i/>
          <w:color w:val="231F1F"/>
          <w:w w:val="105"/>
        </w:rPr>
        <w:t>see </w:t>
      </w:r>
      <w:r>
        <w:rPr>
          <w:color w:val="231F1F"/>
          <w:w w:val="105"/>
        </w:rPr>
        <w:t>Beta-blockers </w:t>
      </w:r>
      <w:r>
        <w:rPr>
          <w:rFonts w:ascii="Trebuchet MS"/>
          <w:color w:val="008356"/>
          <w:w w:val="105"/>
        </w:rPr>
        <w:t>Carvedilol </w:t>
      </w:r>
      <w:r>
        <w:rPr>
          <w:i/>
          <w:color w:val="231F1F"/>
          <w:w w:val="105"/>
        </w:rPr>
        <w:t>see </w:t>
      </w:r>
      <w:r>
        <w:rPr>
          <w:color w:val="231F1F"/>
          <w:w w:val="105"/>
        </w:rPr>
        <w:t>Beta-blockers </w:t>
      </w:r>
      <w:r>
        <w:rPr>
          <w:rFonts w:ascii="Trebuchet MS"/>
          <w:color w:val="008356"/>
          <w:w w:val="105"/>
        </w:rPr>
        <w:t>Caspofungin</w:t>
      </w:r>
    </w:p>
    <w:p>
      <w:pPr>
        <w:pStyle w:val="BodyText"/>
        <w:spacing w:line="230" w:lineRule="auto"/>
        <w:ind w:right="775"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caspofungin initially increased and then reduced by </w:t>
      </w:r>
      <w:r>
        <w:rPr>
          <w:rFonts w:ascii="Calibri" w:hAnsi="Calibri"/>
          <w:color w:val="008356"/>
          <w:w w:val="110"/>
          <w:sz w:val="11"/>
        </w:rPr>
        <w:t>RIFAMPICIN </w:t>
      </w:r>
      <w:r>
        <w:rPr>
          <w:color w:val="231F1F"/>
          <w:w w:val="110"/>
        </w:rPr>
        <w:t>(consider increasing dose of caspofungin)</w:t>
      </w:r>
    </w:p>
    <w:p>
      <w:pPr>
        <w:spacing w:line="220" w:lineRule="auto" w:before="8"/>
        <w:ind w:left="208" w:right="670" w:hanging="100"/>
        <w:jc w:val="left"/>
        <w:rPr>
          <w:rFonts w:ascii="Arial" w:hAnsi="Arial"/>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caspofungin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r>
        <w:rPr>
          <w:rFonts w:ascii="Arial" w:hAnsi="Arial"/>
          <w:color w:val="231F1F"/>
          <w:w w:val="105"/>
          <w:sz w:val="12"/>
        </w:rPr>
        <w:t>—</w:t>
      </w:r>
    </w:p>
    <w:p>
      <w:pPr>
        <w:pStyle w:val="BodyText"/>
        <w:spacing w:before="3"/>
      </w:pPr>
      <w:r>
        <w:rPr>
          <w:color w:val="231F1F"/>
          <w:w w:val="115"/>
        </w:rPr>
        <w:t>consider increasing dose of caspofungin</w:t>
      </w:r>
    </w:p>
    <w:p>
      <w:pPr>
        <w:pStyle w:val="BodyText"/>
        <w:spacing w:line="230" w:lineRule="auto" w:before="6"/>
        <w:ind w:right="670"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caspofungin possibly reduced by </w:t>
      </w:r>
      <w:r>
        <w:rPr>
          <w:rFonts w:ascii="Calibri" w:hAnsi="Calibri"/>
          <w:color w:val="008356"/>
          <w:w w:val="110"/>
          <w:sz w:val="11"/>
        </w:rPr>
        <w:t>EFAVIRENZ </w:t>
      </w:r>
      <w:r>
        <w:rPr>
          <w:color w:val="231F1F"/>
          <w:w w:val="110"/>
        </w:rPr>
        <w:t>and </w:t>
      </w:r>
      <w:r>
        <w:rPr>
          <w:rFonts w:ascii="Calibri" w:hAnsi="Calibri"/>
          <w:color w:val="008356"/>
          <w:w w:val="110"/>
          <w:sz w:val="11"/>
        </w:rPr>
        <w:t>NEVIRAPINE</w:t>
      </w:r>
      <w:r>
        <w:rPr>
          <w:rFonts w:ascii="Arial" w:hAnsi="Arial"/>
          <w:color w:val="231F1F"/>
          <w:w w:val="110"/>
        </w:rPr>
        <w:t>—</w:t>
      </w:r>
      <w:r>
        <w:rPr>
          <w:color w:val="231F1F"/>
          <w:w w:val="110"/>
        </w:rPr>
        <w:t>consider increasing dose of caspofungin</w:t>
      </w:r>
    </w:p>
    <w:p>
      <w:pPr>
        <w:pStyle w:val="BodyText"/>
        <w:spacing w:before="3"/>
        <w:ind w:right="670" w:hanging="100"/>
      </w:pPr>
      <w:r>
        <w:rPr>
          <w:rFonts w:ascii="Arial"/>
          <w:color w:val="231F1F"/>
          <w:w w:val="355"/>
          <w:position w:val="1"/>
          <w:sz w:val="7"/>
        </w:rPr>
        <w:t>l </w:t>
      </w:r>
      <w:r>
        <w:rPr>
          <w:rFonts w:ascii="Calibri"/>
          <w:color w:val="231F1F"/>
          <w:w w:val="110"/>
        </w:rPr>
        <w:t>Ciclosporin: </w:t>
      </w:r>
      <w:r>
        <w:rPr>
          <w:color w:val="231F1F"/>
          <w:w w:val="110"/>
        </w:rPr>
        <w:t>plasma concentration of caspofungin increased by </w:t>
      </w:r>
      <w:r>
        <w:rPr>
          <w:rFonts w:ascii="Arial"/>
          <w:color w:val="231F1F"/>
          <w:w w:val="355"/>
          <w:position w:val="1"/>
          <w:sz w:val="7"/>
        </w:rPr>
        <w:t>l </w:t>
      </w:r>
      <w:r>
        <w:rPr>
          <w:rFonts w:ascii="Calibri"/>
          <w:color w:val="008356"/>
          <w:w w:val="110"/>
          <w:sz w:val="11"/>
        </w:rPr>
        <w:t>CICLOSPORIN </w:t>
      </w:r>
      <w:r>
        <w:rPr>
          <w:color w:val="231F1F"/>
          <w:w w:val="110"/>
        </w:rPr>
        <w:t>(manufacturer of caspofungin recommends monitoring liver enzymes)</w:t>
      </w:r>
    </w:p>
    <w:p>
      <w:pPr>
        <w:pStyle w:val="BodyText"/>
        <w:spacing w:line="230" w:lineRule="auto" w:before="7"/>
        <w:ind w:right="701"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plasma concentration of caspofungin possibly reduced by </w:t>
      </w:r>
      <w:r>
        <w:rPr>
          <w:rFonts w:ascii="Calibri" w:hAnsi="Calibri"/>
          <w:color w:val="008356"/>
          <w:w w:val="110"/>
          <w:sz w:val="11"/>
        </w:rPr>
        <w:t>DEXAMETHASONE</w:t>
      </w:r>
      <w:r>
        <w:rPr>
          <w:rFonts w:ascii="Arial" w:hAnsi="Arial"/>
          <w:color w:val="231F1F"/>
          <w:w w:val="110"/>
        </w:rPr>
        <w:t>—</w:t>
      </w:r>
      <w:r>
        <w:rPr>
          <w:color w:val="231F1F"/>
          <w:w w:val="110"/>
        </w:rPr>
        <w:t>consider increasing dose of caspofungin</w:t>
      </w:r>
    </w:p>
    <w:p>
      <w:pPr>
        <w:pStyle w:val="BodyText"/>
        <w:spacing w:before="2"/>
        <w:ind w:left="108"/>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Tacrolimus: </w:t>
      </w:r>
      <w:r>
        <w:rPr>
          <w:color w:val="231F1F"/>
          <w:w w:val="115"/>
        </w:rPr>
        <w:t>caspofungin reduces plasma concentration of</w:t>
      </w:r>
    </w:p>
    <w:p>
      <w:pPr>
        <w:spacing w:before="7"/>
        <w:ind w:left="208" w:right="0" w:firstLine="0"/>
        <w:jc w:val="left"/>
        <w:rPr>
          <w:rFonts w:ascii="Calibri"/>
          <w:sz w:val="11"/>
        </w:rPr>
      </w:pPr>
      <w:r>
        <w:rPr>
          <w:rFonts w:ascii="Arial"/>
          <w:color w:val="231F1F"/>
          <w:w w:val="105"/>
          <w:position w:val="1"/>
          <w:sz w:val="7"/>
        </w:rPr>
        <w:t>l</w:t>
      </w:r>
      <w:r>
        <w:rPr>
          <w:rFonts w:ascii="Arial"/>
          <w:color w:val="231F1F"/>
          <w:spacing w:val="10"/>
          <w:w w:val="105"/>
          <w:position w:val="1"/>
          <w:sz w:val="7"/>
        </w:rPr>
        <w:t> </w:t>
      </w:r>
      <w:r>
        <w:rPr>
          <w:rFonts w:ascii="Calibri"/>
          <w:color w:val="008356"/>
          <w:spacing w:val="3"/>
          <w:w w:val="105"/>
          <w:sz w:val="11"/>
        </w:rPr>
        <w:t>TACROLIMUS</w:t>
      </w:r>
    </w:p>
    <w:p>
      <w:pPr>
        <w:pStyle w:val="BodyText"/>
        <w:spacing w:before="7"/>
        <w:ind w:left="108"/>
        <w:rPr>
          <w:rFonts w:ascii="Trebuchet MS"/>
        </w:rPr>
      </w:pPr>
      <w:r>
        <w:rPr>
          <w:rFonts w:ascii="Trebuchet MS"/>
          <w:color w:val="008356"/>
        </w:rPr>
        <w:t>Catumaxomab</w:t>
      </w:r>
    </w:p>
    <w:p>
      <w:pPr>
        <w:pStyle w:val="BodyText"/>
        <w:spacing w:line="146" w:lineRule="exact" w:before="1"/>
        <w:ind w:left="108"/>
        <w:jc w:val="both"/>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08" w:right="0" w:firstLine="0"/>
        <w:jc w:val="both"/>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spacing w:after="0" w:line="141" w:lineRule="exact"/>
        <w:jc w:val="both"/>
        <w:rPr>
          <w:sz w:val="12"/>
        </w:rPr>
        <w:sectPr>
          <w:pgSz w:w="8390" w:h="11910"/>
          <w:pgMar w:header="0" w:footer="0" w:top="460" w:bottom="0" w:left="480" w:right="0"/>
          <w:cols w:num="2" w:equalWidth="0">
            <w:col w:w="3585" w:space="91"/>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2896" filled="true" fillcolor="#bfdbcf" stroked="false">
            <v:fill type="solid"/>
            <w10:wrap type="none"/>
          </v:rect>
        </w:pict>
      </w:r>
      <w:r>
        <w:rPr/>
        <w:pict>
          <v:shape style="position:absolute;margin-left:7.751256pt;margin-top:35.804367pt;width:10.4pt;height:78.850pt;mso-position-horizontal-relative:page;mso-position-vertical-relative:page;z-index:292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Catumaxomab </w:t>
      </w:r>
      <w:r>
        <w:rPr>
          <w:rFonts w:ascii="Calibri"/>
          <w:color w:val="231F1F"/>
        </w:rPr>
        <w:t>(continued)</w:t>
      </w:r>
    </w:p>
    <w:p>
      <w:pPr>
        <w:pStyle w:val="BodyText"/>
        <w:spacing w:line="237" w:lineRule="auto"/>
        <w:ind w:left="286" w:right="-10"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5"/>
          <w:w w:val="115"/>
        </w:rPr>
        <w:t>use</w:t>
      </w:r>
    </w:p>
    <w:p>
      <w:pPr>
        <w:pStyle w:val="BodyText"/>
        <w:spacing w:line="256" w:lineRule="auto" w:before="6"/>
        <w:ind w:left="186" w:right="1353"/>
      </w:pPr>
      <w:r>
        <w:rPr>
          <w:rFonts w:ascii="Trebuchet MS"/>
          <w:color w:val="008356"/>
          <w:w w:val="110"/>
        </w:rPr>
        <w:t>Cefaclor </w:t>
      </w:r>
      <w:r>
        <w:rPr>
          <w:i/>
          <w:color w:val="231F1F"/>
          <w:w w:val="110"/>
        </w:rPr>
        <w:t>see </w:t>
      </w:r>
      <w:r>
        <w:rPr>
          <w:color w:val="231F1F"/>
          <w:w w:val="110"/>
        </w:rPr>
        <w:t>Cephalosporins </w:t>
      </w:r>
      <w:r>
        <w:rPr>
          <w:rFonts w:ascii="Trebuchet MS"/>
          <w:color w:val="008356"/>
          <w:w w:val="110"/>
        </w:rPr>
        <w:t>Cefadroxil </w:t>
      </w:r>
      <w:r>
        <w:rPr>
          <w:i/>
          <w:color w:val="231F1F"/>
          <w:w w:val="110"/>
        </w:rPr>
        <w:t>see </w:t>
      </w:r>
      <w:r>
        <w:rPr>
          <w:color w:val="231F1F"/>
          <w:w w:val="110"/>
        </w:rPr>
        <w:t>Cephalosporins </w:t>
      </w:r>
      <w:r>
        <w:rPr>
          <w:rFonts w:ascii="Trebuchet MS"/>
          <w:color w:val="008356"/>
          <w:w w:val="110"/>
        </w:rPr>
        <w:t>Cefalexin </w:t>
      </w:r>
      <w:r>
        <w:rPr>
          <w:i/>
          <w:color w:val="231F1F"/>
          <w:w w:val="110"/>
        </w:rPr>
        <w:t>see </w:t>
      </w:r>
      <w:r>
        <w:rPr>
          <w:color w:val="231F1F"/>
          <w:w w:val="110"/>
        </w:rPr>
        <w:t>Cephalosporins </w:t>
      </w:r>
      <w:r>
        <w:rPr>
          <w:rFonts w:ascii="Trebuchet MS"/>
          <w:color w:val="008356"/>
          <w:w w:val="110"/>
        </w:rPr>
        <w:t>Cefixime </w:t>
      </w:r>
      <w:r>
        <w:rPr>
          <w:i/>
          <w:color w:val="231F1F"/>
          <w:w w:val="110"/>
        </w:rPr>
        <w:t>see </w:t>
      </w:r>
      <w:r>
        <w:rPr>
          <w:color w:val="231F1F"/>
          <w:w w:val="110"/>
        </w:rPr>
        <w:t>Cephalosporins </w:t>
      </w:r>
      <w:r>
        <w:rPr>
          <w:rFonts w:ascii="Trebuchet MS"/>
          <w:color w:val="008356"/>
          <w:w w:val="110"/>
        </w:rPr>
        <w:t>Cefotaxime </w:t>
      </w:r>
      <w:r>
        <w:rPr>
          <w:i/>
          <w:color w:val="231F1F"/>
          <w:w w:val="110"/>
        </w:rPr>
        <w:t>see </w:t>
      </w:r>
      <w:r>
        <w:rPr>
          <w:color w:val="231F1F"/>
          <w:w w:val="110"/>
        </w:rPr>
        <w:t>Cephalosporins </w:t>
      </w:r>
      <w:r>
        <w:rPr>
          <w:rFonts w:ascii="Trebuchet MS"/>
          <w:color w:val="008356"/>
          <w:w w:val="110"/>
        </w:rPr>
        <w:t>Cefradine </w:t>
      </w:r>
      <w:r>
        <w:rPr>
          <w:i/>
          <w:color w:val="231F1F"/>
          <w:w w:val="110"/>
        </w:rPr>
        <w:t>see </w:t>
      </w:r>
      <w:r>
        <w:rPr>
          <w:color w:val="231F1F"/>
          <w:w w:val="110"/>
        </w:rPr>
        <w:t>Cephalosporins </w:t>
      </w:r>
      <w:r>
        <w:rPr>
          <w:rFonts w:ascii="Trebuchet MS"/>
          <w:color w:val="008356"/>
          <w:w w:val="110"/>
        </w:rPr>
        <w:t>Ceftaroline </w:t>
      </w:r>
      <w:r>
        <w:rPr>
          <w:i/>
          <w:color w:val="231F1F"/>
          <w:w w:val="110"/>
        </w:rPr>
        <w:t>see </w:t>
      </w:r>
      <w:r>
        <w:rPr>
          <w:color w:val="231F1F"/>
          <w:w w:val="110"/>
        </w:rPr>
        <w:t>Cephalosporins </w:t>
      </w:r>
      <w:r>
        <w:rPr>
          <w:rFonts w:ascii="Trebuchet MS"/>
          <w:color w:val="008356"/>
          <w:w w:val="110"/>
        </w:rPr>
        <w:t>Ceftazidime </w:t>
      </w:r>
      <w:r>
        <w:rPr>
          <w:i/>
          <w:color w:val="231F1F"/>
          <w:w w:val="110"/>
        </w:rPr>
        <w:t>see </w:t>
      </w:r>
      <w:r>
        <w:rPr>
          <w:color w:val="231F1F"/>
          <w:w w:val="110"/>
        </w:rPr>
        <w:t>Cephalosporins </w:t>
      </w:r>
      <w:r>
        <w:rPr>
          <w:rFonts w:ascii="Trebuchet MS"/>
          <w:color w:val="008356"/>
          <w:w w:val="110"/>
        </w:rPr>
        <w:t>Ceftriaxone </w:t>
      </w:r>
      <w:r>
        <w:rPr>
          <w:i/>
          <w:color w:val="231F1F"/>
          <w:w w:val="110"/>
        </w:rPr>
        <w:t>see </w:t>
      </w:r>
      <w:r>
        <w:rPr>
          <w:color w:val="231F1F"/>
          <w:w w:val="110"/>
        </w:rPr>
        <w:t>Cephalosporins </w:t>
      </w:r>
      <w:r>
        <w:rPr>
          <w:rFonts w:ascii="Trebuchet MS"/>
          <w:color w:val="008356"/>
          <w:w w:val="110"/>
        </w:rPr>
        <w:t>Cefuroxime </w:t>
      </w:r>
      <w:r>
        <w:rPr>
          <w:i/>
          <w:color w:val="231F1F"/>
          <w:w w:val="110"/>
        </w:rPr>
        <w:t>see </w:t>
      </w:r>
      <w:r>
        <w:rPr>
          <w:color w:val="231F1F"/>
          <w:w w:val="110"/>
        </w:rPr>
        <w:t>Cephalosporins </w:t>
      </w:r>
      <w:r>
        <w:rPr>
          <w:rFonts w:ascii="Trebuchet MS"/>
          <w:color w:val="008356"/>
          <w:w w:val="110"/>
        </w:rPr>
        <w:t>Celecoxib </w:t>
      </w:r>
      <w:r>
        <w:rPr>
          <w:i/>
          <w:color w:val="231F1F"/>
          <w:w w:val="110"/>
        </w:rPr>
        <w:t>see </w:t>
      </w:r>
      <w:r>
        <w:rPr>
          <w:color w:val="231F1F"/>
          <w:w w:val="110"/>
        </w:rPr>
        <w:t>NSAIDs</w:t>
      </w:r>
    </w:p>
    <w:p>
      <w:pPr>
        <w:pStyle w:val="BodyText"/>
        <w:spacing w:before="4"/>
        <w:ind w:left="186"/>
      </w:pPr>
      <w:r>
        <w:rPr>
          <w:rFonts w:ascii="Trebuchet MS"/>
          <w:color w:val="008356"/>
          <w:w w:val="110"/>
        </w:rPr>
        <w:t>Celiprolol </w:t>
      </w:r>
      <w:r>
        <w:rPr>
          <w:i/>
          <w:color w:val="231F1F"/>
          <w:w w:val="110"/>
        </w:rPr>
        <w:t>see </w:t>
      </w:r>
      <w:r>
        <w:rPr>
          <w:color w:val="231F1F"/>
          <w:w w:val="110"/>
        </w:rPr>
        <w:t>Beta-blockers</w:t>
      </w:r>
    </w:p>
    <w:p>
      <w:pPr>
        <w:pStyle w:val="BodyText"/>
        <w:spacing w:before="10"/>
        <w:ind w:left="186"/>
        <w:rPr>
          <w:rFonts w:ascii="Trebuchet MS"/>
        </w:rPr>
      </w:pPr>
      <w:r>
        <w:rPr>
          <w:rFonts w:ascii="Trebuchet MS"/>
          <w:color w:val="008356"/>
        </w:rPr>
        <w:t>Cephalosporins</w:t>
      </w:r>
    </w:p>
    <w:p>
      <w:pPr>
        <w:pStyle w:val="BodyText"/>
        <w:spacing w:line="149" w:lineRule="exact" w:before="1"/>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cefaclor reduced by </w:t>
      </w:r>
      <w:r>
        <w:rPr>
          <w:rFonts w:ascii="Calibri" w:hAnsi="Calibri"/>
          <w:color w:val="008356"/>
          <w:w w:val="105"/>
          <w:sz w:val="11"/>
        </w:rPr>
        <w:t>ANTACIDS</w:t>
      </w:r>
    </w:p>
    <w:p>
      <w:pPr>
        <w:pStyle w:val="BodyText"/>
        <w:spacing w:line="220" w:lineRule="auto"/>
        <w:ind w:left="286" w:right="4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possible increased risk of nephrotoxicity when cephalosporins given with </w:t>
      </w:r>
      <w:r>
        <w:rPr>
          <w:rFonts w:ascii="Calibri" w:hAnsi="Calibri"/>
          <w:color w:val="008356"/>
          <w:w w:val="110"/>
          <w:sz w:val="11"/>
        </w:rPr>
        <w:t>AMINOGLYCOSIDES</w:t>
      </w:r>
    </w:p>
    <w:p>
      <w:pPr>
        <w:pStyle w:val="BodyText"/>
        <w:ind w:left="286" w:right="657" w:hanging="100"/>
        <w:rPr>
          <w:rFonts w:ascii="Calibri"/>
          <w:sz w:val="11"/>
        </w:rPr>
      </w:pPr>
      <w:r>
        <w:rPr>
          <w:rFonts w:ascii="Arial"/>
          <w:color w:val="231F1F"/>
          <w:w w:val="350"/>
          <w:position w:val="1"/>
          <w:sz w:val="7"/>
        </w:rPr>
        <w:t>l</w:t>
      </w:r>
      <w:r>
        <w:rPr>
          <w:rFonts w:ascii="Arial"/>
          <w:color w:val="231F1F"/>
          <w:spacing w:val="-55"/>
          <w:w w:val="350"/>
          <w:position w:val="1"/>
          <w:sz w:val="7"/>
        </w:rPr>
        <w:t> </w:t>
      </w:r>
      <w:r>
        <w:rPr>
          <w:rFonts w:ascii="Calibri"/>
          <w:color w:val="231F1F"/>
          <w:w w:val="115"/>
        </w:rPr>
        <w:t>Anticoagulants: </w:t>
      </w:r>
      <w:r>
        <w:rPr>
          <w:color w:val="231F1F"/>
          <w:w w:val="115"/>
        </w:rPr>
        <w:t>cephalosporins possibly </w:t>
      </w:r>
      <w:r>
        <w:rPr>
          <w:color w:val="231F1F"/>
          <w:spacing w:val="-3"/>
          <w:w w:val="115"/>
        </w:rPr>
        <w:t>enhance </w:t>
      </w:r>
      <w:r>
        <w:rPr>
          <w:color w:val="231F1F"/>
          <w:w w:val="115"/>
        </w:rPr>
        <w:t>anticoagulant effect of </w:t>
      </w:r>
      <w:r>
        <w:rPr>
          <w:rFonts w:ascii="Arial"/>
          <w:color w:val="231F1F"/>
          <w:w w:val="355"/>
          <w:position w:val="1"/>
          <w:sz w:val="7"/>
        </w:rPr>
        <w:t>l </w:t>
      </w:r>
      <w:r>
        <w:rPr>
          <w:rFonts w:ascii="Calibri"/>
          <w:color w:val="008356"/>
          <w:spacing w:val="5"/>
          <w:w w:val="115"/>
          <w:sz w:val="11"/>
        </w:rPr>
        <w:t>COUMARINS</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Teriflunomide: </w:t>
      </w:r>
      <w:r>
        <w:rPr>
          <w:color w:val="231F1F"/>
          <w:w w:val="105"/>
        </w:rPr>
        <w:t>plasma concentration of cefaclor increased by</w:t>
      </w:r>
    </w:p>
    <w:p>
      <w:pPr>
        <w:spacing w:line="130" w:lineRule="exact" w:before="0"/>
        <w:ind w:left="286" w:right="0" w:firstLine="0"/>
        <w:jc w:val="left"/>
        <w:rPr>
          <w:rFonts w:ascii="Calibri"/>
          <w:sz w:val="11"/>
        </w:rPr>
      </w:pPr>
      <w:r>
        <w:rPr>
          <w:rFonts w:ascii="Calibri"/>
          <w:color w:val="008356"/>
          <w:sz w:val="11"/>
        </w:rPr>
        <w:t>TERIFLUNOMIDE</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139" w:lineRule="exact" w:before="13"/>
        <w:ind w:left="186"/>
        <w:rPr>
          <w:rFonts w:ascii="Trebuchet MS"/>
        </w:rPr>
      </w:pPr>
      <w:r>
        <w:rPr>
          <w:rFonts w:ascii="Trebuchet MS"/>
          <w:color w:val="008356"/>
        </w:rPr>
        <w:t>Certolizumab pegol</w:t>
      </w:r>
    </w:p>
    <w:p>
      <w:pPr>
        <w:pStyle w:val="BodyText"/>
        <w:ind w:left="186"/>
      </w:pPr>
      <w:r>
        <w:rPr>
          <w:rFonts w:ascii="Arial"/>
          <w:color w:val="231F1F"/>
          <w:w w:val="355"/>
          <w:position w:val="1"/>
          <w:sz w:val="7"/>
        </w:rPr>
        <w:t>l </w:t>
      </w:r>
      <w:r>
        <w:rPr>
          <w:rFonts w:ascii="Calibri"/>
          <w:color w:val="231F1F"/>
          <w:w w:val="110"/>
        </w:rPr>
        <w:t>Abatacept: </w:t>
      </w:r>
      <w:r>
        <w:rPr>
          <w:color w:val="231F1F"/>
          <w:w w:val="110"/>
        </w:rPr>
        <w:t>avoid concomitant use of certolizumab pegol with</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ABATACEPT</w:t>
      </w:r>
    </w:p>
    <w:p>
      <w:pPr>
        <w:pStyle w:val="BodyText"/>
        <w:spacing w:line="145" w:lineRule="exact"/>
        <w:ind w:left="186"/>
      </w:pPr>
      <w:r>
        <w:rPr>
          <w:rFonts w:ascii="Arial"/>
          <w:color w:val="231F1F"/>
          <w:w w:val="355"/>
          <w:position w:val="1"/>
          <w:sz w:val="7"/>
        </w:rPr>
        <w:t>l</w:t>
      </w:r>
      <w:r>
        <w:rPr>
          <w:rFonts w:ascii="Arial"/>
          <w:color w:val="231F1F"/>
          <w:spacing w:val="-38"/>
          <w:w w:val="355"/>
          <w:position w:val="1"/>
          <w:sz w:val="7"/>
        </w:rPr>
        <w:t> </w:t>
      </w:r>
      <w:r>
        <w:rPr>
          <w:rFonts w:ascii="Calibri"/>
          <w:color w:val="231F1F"/>
          <w:w w:val="115"/>
        </w:rPr>
        <w:t>Anakinra:</w:t>
      </w:r>
      <w:r>
        <w:rPr>
          <w:rFonts w:ascii="Calibri"/>
          <w:color w:val="231F1F"/>
          <w:spacing w:val="-8"/>
          <w:w w:val="115"/>
        </w:rPr>
        <w:t> </w:t>
      </w:r>
      <w:r>
        <w:rPr>
          <w:color w:val="231F1F"/>
          <w:w w:val="115"/>
        </w:rPr>
        <w:t>avoid</w:t>
      </w:r>
      <w:r>
        <w:rPr>
          <w:color w:val="231F1F"/>
          <w:spacing w:val="-10"/>
          <w:w w:val="115"/>
        </w:rPr>
        <w:t> </w:t>
      </w:r>
      <w:r>
        <w:rPr>
          <w:color w:val="231F1F"/>
          <w:w w:val="115"/>
        </w:rPr>
        <w:t>concomitant</w:t>
      </w:r>
      <w:r>
        <w:rPr>
          <w:color w:val="231F1F"/>
          <w:spacing w:val="-11"/>
          <w:w w:val="115"/>
        </w:rPr>
        <w:t> </w:t>
      </w:r>
      <w:r>
        <w:rPr>
          <w:color w:val="231F1F"/>
          <w:w w:val="115"/>
        </w:rPr>
        <w:t>use</w:t>
      </w:r>
      <w:r>
        <w:rPr>
          <w:color w:val="231F1F"/>
          <w:spacing w:val="-10"/>
          <w:w w:val="115"/>
        </w:rPr>
        <w:t> </w:t>
      </w:r>
      <w:r>
        <w:rPr>
          <w:color w:val="231F1F"/>
          <w:w w:val="115"/>
        </w:rPr>
        <w:t>of</w:t>
      </w:r>
      <w:r>
        <w:rPr>
          <w:color w:val="231F1F"/>
          <w:spacing w:val="-10"/>
          <w:w w:val="115"/>
        </w:rPr>
        <w:t> </w:t>
      </w:r>
      <w:r>
        <w:rPr>
          <w:color w:val="231F1F"/>
          <w:w w:val="115"/>
        </w:rPr>
        <w:t>certolizumab</w:t>
      </w:r>
      <w:r>
        <w:rPr>
          <w:color w:val="231F1F"/>
          <w:spacing w:val="-11"/>
          <w:w w:val="115"/>
        </w:rPr>
        <w:t> </w:t>
      </w:r>
      <w:r>
        <w:rPr>
          <w:color w:val="231F1F"/>
          <w:w w:val="115"/>
        </w:rPr>
        <w:t>pegol</w:t>
      </w:r>
      <w:r>
        <w:rPr>
          <w:color w:val="231F1F"/>
          <w:spacing w:val="-10"/>
          <w:w w:val="115"/>
        </w:rPr>
        <w:t> </w:t>
      </w:r>
      <w:r>
        <w:rPr>
          <w:color w:val="231F1F"/>
          <w:w w:val="115"/>
        </w:rPr>
        <w:t>with</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ANAKINRA</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10"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5"/>
          <w:w w:val="115"/>
        </w:rPr>
        <w:t>use</w:t>
      </w:r>
    </w:p>
    <w:p>
      <w:pPr>
        <w:pStyle w:val="BodyText"/>
        <w:spacing w:before="5"/>
        <w:ind w:left="186"/>
      </w:pPr>
      <w:r>
        <w:rPr>
          <w:rFonts w:ascii="Trebuchet MS"/>
          <w:color w:val="008356"/>
          <w:w w:val="105"/>
        </w:rPr>
        <w:t>Cetirizine </w:t>
      </w:r>
      <w:r>
        <w:rPr>
          <w:i/>
          <w:color w:val="231F1F"/>
          <w:w w:val="105"/>
        </w:rPr>
        <w:t>see </w:t>
      </w:r>
      <w:r>
        <w:rPr>
          <w:color w:val="231F1F"/>
          <w:w w:val="105"/>
        </w:rPr>
        <w:t>Antihistamines</w:t>
      </w:r>
    </w:p>
    <w:p>
      <w:pPr>
        <w:pStyle w:val="BodyText"/>
        <w:spacing w:before="9"/>
        <w:ind w:left="186"/>
        <w:rPr>
          <w:rFonts w:ascii="Trebuchet MS"/>
        </w:rPr>
      </w:pPr>
      <w:r>
        <w:rPr>
          <w:rFonts w:ascii="Trebuchet MS"/>
          <w:color w:val="008356"/>
        </w:rPr>
        <w:t>Cetuximab</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10"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5"/>
          <w:w w:val="115"/>
        </w:rPr>
        <w:t>use</w:t>
      </w:r>
    </w:p>
    <w:p>
      <w:pPr>
        <w:pStyle w:val="BodyText"/>
        <w:spacing w:line="256" w:lineRule="auto" w:before="5"/>
        <w:ind w:left="186" w:right="1353"/>
        <w:rPr>
          <w:rFonts w:ascii="Trebuchet MS"/>
        </w:rPr>
      </w:pPr>
      <w:r>
        <w:rPr>
          <w:rFonts w:ascii="Trebuchet MS"/>
          <w:color w:val="008356"/>
          <w:w w:val="105"/>
        </w:rPr>
        <w:t>Chenodeoxycholic Acid </w:t>
      </w:r>
      <w:r>
        <w:rPr>
          <w:i/>
          <w:color w:val="231F1F"/>
          <w:w w:val="105"/>
        </w:rPr>
        <w:t>see </w:t>
      </w:r>
      <w:r>
        <w:rPr>
          <w:color w:val="231F1F"/>
          <w:w w:val="105"/>
        </w:rPr>
        <w:t>Bile Acids </w:t>
      </w:r>
      <w:r>
        <w:rPr>
          <w:rFonts w:ascii="Trebuchet MS"/>
          <w:color w:val="008356"/>
          <w:w w:val="105"/>
        </w:rPr>
        <w:t>Chloral </w:t>
      </w:r>
      <w:r>
        <w:rPr>
          <w:i/>
          <w:color w:val="231F1F"/>
          <w:w w:val="105"/>
        </w:rPr>
        <w:t>see </w:t>
      </w:r>
      <w:r>
        <w:rPr>
          <w:color w:val="231F1F"/>
          <w:w w:val="105"/>
        </w:rPr>
        <w:t>Anxiolytics and Hypnotics </w:t>
      </w:r>
      <w:r>
        <w:rPr>
          <w:rFonts w:ascii="Trebuchet MS"/>
          <w:color w:val="008356"/>
          <w:w w:val="105"/>
        </w:rPr>
        <w:t>Chloramphenicol</w:t>
      </w:r>
    </w:p>
    <w:p>
      <w:pPr>
        <w:pStyle w:val="BodyText"/>
        <w:spacing w:line="143"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chloramphenicol accelerated by</w:t>
      </w:r>
    </w:p>
    <w:p>
      <w:pPr>
        <w:spacing w:line="134" w:lineRule="exact" w:before="0"/>
        <w:ind w:left="286" w:right="0" w:firstLine="0"/>
        <w:jc w:val="left"/>
        <w:rPr>
          <w:sz w:val="12"/>
        </w:rPr>
      </w:pPr>
      <w:r>
        <w:rPr>
          <w:rFonts w:ascii="Calibri"/>
          <w:color w:val="008356"/>
          <w:w w:val="115"/>
          <w:sz w:val="11"/>
        </w:rPr>
        <w:t>RIFAMPICIN </w:t>
      </w:r>
      <w:r>
        <w:rPr>
          <w:color w:val="231F1F"/>
          <w:w w:val="115"/>
          <w:sz w:val="12"/>
        </w:rPr>
        <w:t>(reduced plasma concentration)</w:t>
      </w:r>
    </w:p>
    <w:p>
      <w:pPr>
        <w:pStyle w:val="BodyText"/>
        <w:ind w:left="286" w:right="272" w:hanging="100"/>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Anticoagulants:</w:t>
      </w:r>
      <w:r>
        <w:rPr>
          <w:rFonts w:ascii="Calibri"/>
          <w:color w:val="231F1F"/>
          <w:spacing w:val="-16"/>
          <w:w w:val="115"/>
        </w:rPr>
        <w:t> </w:t>
      </w:r>
      <w:r>
        <w:rPr>
          <w:color w:val="231F1F"/>
          <w:w w:val="115"/>
        </w:rPr>
        <w:t>chloramphenicol</w:t>
      </w:r>
      <w:r>
        <w:rPr>
          <w:color w:val="231F1F"/>
          <w:spacing w:val="-19"/>
          <w:w w:val="115"/>
        </w:rPr>
        <w:t> </w:t>
      </w:r>
      <w:r>
        <w:rPr>
          <w:color w:val="231F1F"/>
          <w:w w:val="115"/>
        </w:rPr>
        <w:t>enhances</w:t>
      </w:r>
      <w:r>
        <w:rPr>
          <w:color w:val="231F1F"/>
          <w:spacing w:val="-19"/>
          <w:w w:val="115"/>
        </w:rPr>
        <w:t>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COUMARINS</w:t>
      </w:r>
    </w:p>
    <w:p>
      <w:pPr>
        <w:pStyle w:val="BodyText"/>
        <w:spacing w:line="144" w:lineRule="exact"/>
        <w:ind w:left="186"/>
      </w:pPr>
      <w:r>
        <w:rPr>
          <w:rFonts w:ascii="Arial"/>
          <w:color w:val="231F1F"/>
          <w:w w:val="355"/>
          <w:position w:val="1"/>
          <w:sz w:val="7"/>
        </w:rPr>
        <w:t>l </w:t>
      </w:r>
      <w:r>
        <w:rPr>
          <w:rFonts w:ascii="Calibri"/>
          <w:color w:val="231F1F"/>
          <w:w w:val="115"/>
        </w:rPr>
        <w:t>Antidiabetics: </w:t>
      </w:r>
      <w:r>
        <w:rPr>
          <w:color w:val="231F1F"/>
          <w:w w:val="115"/>
        </w:rPr>
        <w:t>chloramphenicol enhances effects of</w:t>
      </w:r>
    </w:p>
    <w:p>
      <w:pPr>
        <w:spacing w:line="133" w:lineRule="exact" w:before="4"/>
        <w:ind w:left="286" w:right="0" w:firstLine="0"/>
        <w:jc w:val="left"/>
        <w:rPr>
          <w:rFonts w:ascii="Calibri"/>
          <w:sz w:val="11"/>
        </w:rPr>
      </w:pPr>
      <w:r>
        <w:rPr>
          <w:rFonts w:ascii="Arial"/>
          <w:color w:val="231F1F"/>
          <w:w w:val="355"/>
          <w:position w:val="1"/>
          <w:sz w:val="7"/>
        </w:rPr>
        <w:t>l </w:t>
      </w:r>
      <w:r>
        <w:rPr>
          <w:rFonts w:ascii="Calibri"/>
          <w:color w:val="008356"/>
          <w:w w:val="120"/>
          <w:sz w:val="11"/>
        </w:rPr>
        <w:t>SULFONYLUREAS</w:t>
      </w:r>
    </w:p>
    <w:p>
      <w:pPr>
        <w:spacing w:line="242" w:lineRule="auto" w:before="0"/>
        <w:ind w:left="286" w:right="22"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chloramphenicol increases plasma concentration</w:t>
      </w:r>
      <w:r>
        <w:rPr>
          <w:color w:val="231F1F"/>
          <w:spacing w:val="-10"/>
          <w:w w:val="110"/>
          <w:sz w:val="12"/>
        </w:rPr>
        <w:t> </w:t>
      </w:r>
      <w:r>
        <w:rPr>
          <w:color w:val="231F1F"/>
          <w:w w:val="110"/>
          <w:sz w:val="12"/>
        </w:rPr>
        <w:t>of</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FOSPHENYTOIN</w:t>
      </w:r>
      <w:r>
        <w:rPr>
          <w:rFonts w:ascii="Calibri"/>
          <w:color w:val="008356"/>
          <w:spacing w:val="1"/>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r>
        <w:rPr>
          <w:rFonts w:ascii="Calibri"/>
          <w:color w:val="008356"/>
          <w:spacing w:val="3"/>
          <w:w w:val="110"/>
          <w:sz w:val="11"/>
        </w:rPr>
        <w:t> </w:t>
      </w:r>
      <w:r>
        <w:rPr>
          <w:color w:val="231F1F"/>
          <w:w w:val="110"/>
          <w:sz w:val="12"/>
        </w:rPr>
        <w:t>(increased risk of toxicity); metabolism of chloramphenicol possibly accelerated by </w:t>
      </w:r>
      <w:r>
        <w:rPr>
          <w:rFonts w:ascii="Arial"/>
          <w:color w:val="231F1F"/>
          <w:w w:val="355"/>
          <w:position w:val="1"/>
          <w:sz w:val="7"/>
        </w:rPr>
        <w:t>l </w:t>
      </w:r>
      <w:r>
        <w:rPr>
          <w:rFonts w:ascii="Calibri"/>
          <w:color w:val="008356"/>
          <w:spacing w:val="4"/>
          <w:w w:val="110"/>
          <w:sz w:val="11"/>
        </w:rPr>
        <w:t>PHENOBARBITAL </w:t>
      </w:r>
      <w:r>
        <w:rPr>
          <w:color w:val="231F1F"/>
          <w:w w:val="110"/>
          <w:sz w:val="12"/>
        </w:rPr>
        <w:t>and </w:t>
      </w:r>
      <w:r>
        <w:rPr>
          <w:rFonts w:ascii="Arial"/>
          <w:color w:val="231F1F"/>
          <w:w w:val="355"/>
          <w:position w:val="1"/>
          <w:sz w:val="7"/>
        </w:rPr>
        <w:t>l </w:t>
      </w:r>
      <w:r>
        <w:rPr>
          <w:rFonts w:ascii="Calibri"/>
          <w:color w:val="008356"/>
          <w:spacing w:val="4"/>
          <w:w w:val="110"/>
          <w:sz w:val="11"/>
        </w:rPr>
        <w:t>PRIMIDONE </w:t>
      </w:r>
      <w:r>
        <w:rPr>
          <w:color w:val="231F1F"/>
          <w:w w:val="110"/>
          <w:sz w:val="12"/>
        </w:rPr>
        <w:t>(reduced plasma</w:t>
      </w:r>
      <w:r>
        <w:rPr>
          <w:color w:val="231F1F"/>
          <w:spacing w:val="-2"/>
          <w:w w:val="110"/>
          <w:sz w:val="12"/>
        </w:rPr>
        <w:t> </w:t>
      </w:r>
      <w:r>
        <w:rPr>
          <w:color w:val="231F1F"/>
          <w:w w:val="110"/>
          <w:sz w:val="12"/>
        </w:rPr>
        <w:t>concentration)</w:t>
      </w:r>
    </w:p>
    <w:p>
      <w:pPr>
        <w:pStyle w:val="BodyText"/>
        <w:spacing w:before="2"/>
        <w:ind w:left="286" w:right="216" w:hanging="100"/>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Antipsychotics:</w:t>
      </w:r>
      <w:r>
        <w:rPr>
          <w:rFonts w:ascii="Calibri"/>
          <w:color w:val="231F1F"/>
          <w:spacing w:val="-19"/>
          <w:w w:val="115"/>
        </w:rPr>
        <w:t> </w:t>
      </w:r>
      <w:r>
        <w:rPr>
          <w:color w:val="231F1F"/>
          <w:w w:val="115"/>
        </w:rPr>
        <w:t>avoid</w:t>
      </w:r>
      <w:r>
        <w:rPr>
          <w:color w:val="231F1F"/>
          <w:spacing w:val="-22"/>
          <w:w w:val="115"/>
        </w:rPr>
        <w:t> </w:t>
      </w:r>
      <w:r>
        <w:rPr>
          <w:color w:val="231F1F"/>
          <w:w w:val="115"/>
        </w:rPr>
        <w:t>concomitant</w:t>
      </w:r>
      <w:r>
        <w:rPr>
          <w:color w:val="231F1F"/>
          <w:spacing w:val="-22"/>
          <w:w w:val="115"/>
        </w:rPr>
        <w:t> </w:t>
      </w:r>
      <w:r>
        <w:rPr>
          <w:color w:val="231F1F"/>
          <w:w w:val="115"/>
        </w:rPr>
        <w:t>use</w:t>
      </w:r>
      <w:r>
        <w:rPr>
          <w:color w:val="231F1F"/>
          <w:spacing w:val="-22"/>
          <w:w w:val="115"/>
        </w:rPr>
        <w:t> </w:t>
      </w:r>
      <w:r>
        <w:rPr>
          <w:color w:val="231F1F"/>
          <w:w w:val="115"/>
        </w:rPr>
        <w:t>of</w:t>
      </w:r>
      <w:r>
        <w:rPr>
          <w:color w:val="231F1F"/>
          <w:spacing w:val="-21"/>
          <w:w w:val="115"/>
        </w:rPr>
        <w:t> </w:t>
      </w:r>
      <w:r>
        <w:rPr>
          <w:color w:val="231F1F"/>
          <w:w w:val="115"/>
        </w:rPr>
        <w:t>chloramphenicol 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5"/>
          <w:sz w:val="11"/>
        </w:rPr>
        <w:t>CLOZAPINE</w:t>
      </w:r>
      <w:r>
        <w:rPr>
          <w:rFonts w:ascii="Calibri"/>
          <w:color w:val="008356"/>
          <w:w w:val="115"/>
          <w:sz w:val="11"/>
        </w:rPr>
        <w:t> </w:t>
      </w:r>
      <w:r>
        <w:rPr>
          <w:color w:val="231F1F"/>
          <w:w w:val="115"/>
        </w:rPr>
        <w:t>(increased</w:t>
      </w:r>
      <w:r>
        <w:rPr>
          <w:color w:val="231F1F"/>
          <w:spacing w:val="-11"/>
          <w:w w:val="115"/>
        </w:rPr>
        <w:t> </w:t>
      </w:r>
      <w:r>
        <w:rPr>
          <w:color w:val="231F1F"/>
          <w:w w:val="115"/>
        </w:rPr>
        <w:t>risk</w:t>
      </w:r>
      <w:r>
        <w:rPr>
          <w:color w:val="231F1F"/>
          <w:spacing w:val="-10"/>
          <w:w w:val="115"/>
        </w:rPr>
        <w:t> </w:t>
      </w:r>
      <w:r>
        <w:rPr>
          <w:color w:val="231F1F"/>
          <w:w w:val="115"/>
        </w:rPr>
        <w:t>of</w:t>
      </w:r>
      <w:r>
        <w:rPr>
          <w:color w:val="231F1F"/>
          <w:spacing w:val="-10"/>
          <w:w w:val="115"/>
        </w:rPr>
        <w:t> </w:t>
      </w:r>
      <w:r>
        <w:rPr>
          <w:color w:val="231F1F"/>
          <w:w w:val="115"/>
        </w:rPr>
        <w:t>agranulocytosis)</w:t>
      </w:r>
    </w:p>
    <w:p>
      <w:pPr>
        <w:pStyle w:val="BodyText"/>
        <w:ind w:left="286" w:right="286"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Ciclosporin: </w:t>
      </w:r>
      <w:r>
        <w:rPr>
          <w:color w:val="231F1F"/>
          <w:w w:val="115"/>
        </w:rPr>
        <w:t>chloramphenicol possibly increases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CICLOSPORIN</w:t>
      </w:r>
    </w:p>
    <w:p>
      <w:pPr>
        <w:pStyle w:val="BodyText"/>
        <w:spacing w:line="237" w:lineRule="auto"/>
        <w:ind w:left="286" w:right="190" w:hanging="100"/>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Clopidogrel:</w:t>
      </w:r>
      <w:r>
        <w:rPr>
          <w:rFonts w:ascii="Calibri"/>
          <w:color w:val="231F1F"/>
          <w:spacing w:val="-13"/>
          <w:w w:val="115"/>
        </w:rPr>
        <w:t> </w:t>
      </w:r>
      <w:r>
        <w:rPr>
          <w:color w:val="231F1F"/>
          <w:w w:val="115"/>
        </w:rPr>
        <w:t>chloramphenicol</w:t>
      </w:r>
      <w:r>
        <w:rPr>
          <w:color w:val="231F1F"/>
          <w:spacing w:val="-17"/>
          <w:w w:val="115"/>
        </w:rPr>
        <w:t> </w:t>
      </w:r>
      <w:r>
        <w:rPr>
          <w:color w:val="231F1F"/>
          <w:w w:val="115"/>
        </w:rPr>
        <w:t>possibly</w:t>
      </w:r>
      <w:r>
        <w:rPr>
          <w:color w:val="231F1F"/>
          <w:spacing w:val="-16"/>
          <w:w w:val="115"/>
        </w:rPr>
        <w:t> </w:t>
      </w:r>
      <w:r>
        <w:rPr>
          <w:color w:val="231F1F"/>
          <w:w w:val="115"/>
        </w:rPr>
        <w:t>reduces</w:t>
      </w:r>
      <w:r>
        <w:rPr>
          <w:color w:val="231F1F"/>
          <w:spacing w:val="-17"/>
          <w:w w:val="115"/>
        </w:rPr>
        <w:t> </w:t>
      </w:r>
      <w:r>
        <w:rPr>
          <w:color w:val="231F1F"/>
          <w:spacing w:val="-2"/>
          <w:w w:val="115"/>
        </w:rPr>
        <w:t>antiplatelet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CLOPIDOGREL</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Hydroxocobalamin: </w:t>
      </w:r>
      <w:r>
        <w:rPr>
          <w:color w:val="231F1F"/>
          <w:w w:val="105"/>
        </w:rPr>
        <w:t>chloramphenicol reduces response to</w:t>
      </w:r>
    </w:p>
    <w:p>
      <w:pPr>
        <w:spacing w:line="130" w:lineRule="exact" w:before="0"/>
        <w:ind w:left="286" w:right="0" w:firstLine="0"/>
        <w:jc w:val="left"/>
        <w:rPr>
          <w:rFonts w:ascii="Calibri"/>
          <w:sz w:val="11"/>
        </w:rPr>
      </w:pPr>
      <w:r>
        <w:rPr>
          <w:rFonts w:ascii="Calibri"/>
          <w:color w:val="008356"/>
          <w:sz w:val="11"/>
        </w:rPr>
        <w:t>HYDROXOCOBALAMIN</w:t>
      </w:r>
    </w:p>
    <w:p>
      <w:pPr>
        <w:pStyle w:val="BodyText"/>
        <w:ind w:left="286" w:right="373"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Tacrolimus:</w:t>
      </w:r>
      <w:r>
        <w:rPr>
          <w:rFonts w:ascii="Calibri"/>
          <w:color w:val="231F1F"/>
          <w:spacing w:val="-17"/>
          <w:w w:val="115"/>
        </w:rPr>
        <w:t> </w:t>
      </w:r>
      <w:r>
        <w:rPr>
          <w:color w:val="231F1F"/>
          <w:w w:val="115"/>
        </w:rPr>
        <w:t>chloramphenicol</w:t>
      </w:r>
      <w:r>
        <w:rPr>
          <w:color w:val="231F1F"/>
          <w:spacing w:val="-21"/>
          <w:w w:val="115"/>
        </w:rPr>
        <w:t> </w:t>
      </w:r>
      <w:r>
        <w:rPr>
          <w:color w:val="231F1F"/>
          <w:w w:val="115"/>
        </w:rPr>
        <w:t>possibly</w:t>
      </w:r>
      <w:r>
        <w:rPr>
          <w:color w:val="231F1F"/>
          <w:spacing w:val="-22"/>
          <w:w w:val="115"/>
        </w:rPr>
        <w:t> </w:t>
      </w:r>
      <w:r>
        <w:rPr>
          <w:color w:val="231F1F"/>
          <w:w w:val="115"/>
        </w:rPr>
        <w:t>increases</w:t>
      </w:r>
      <w:r>
        <w:rPr>
          <w:color w:val="231F1F"/>
          <w:spacing w:val="-20"/>
          <w:w w:val="115"/>
        </w:rPr>
        <w:t>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TACROLIMUS</w:t>
      </w:r>
    </w:p>
    <w:p>
      <w:pPr>
        <w:spacing w:line="220" w:lineRule="auto" w:before="0"/>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spacing w:val="4"/>
          <w:w w:val="105"/>
          <w:sz w:val="11"/>
        </w:rPr>
        <w:t>ORAL TYPHOID </w:t>
      </w:r>
      <w:r>
        <w:rPr>
          <w:rFonts w:ascii="Calibri" w:hAnsi="Calibri"/>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3"/>
        <w:ind w:left="186"/>
      </w:pPr>
      <w:r>
        <w:rPr>
          <w:rFonts w:ascii="Trebuchet MS"/>
          <w:color w:val="008356"/>
          <w:w w:val="110"/>
        </w:rPr>
        <w:t>Chlordiazepoxide </w:t>
      </w:r>
      <w:r>
        <w:rPr>
          <w:i/>
          <w:color w:val="231F1F"/>
          <w:w w:val="110"/>
        </w:rPr>
        <w:t>see </w:t>
      </w:r>
      <w:r>
        <w:rPr>
          <w:color w:val="231F1F"/>
          <w:w w:val="110"/>
        </w:rPr>
        <w:t>Anxiolytics and Hypnotics</w:t>
      </w:r>
    </w:p>
    <w:p>
      <w:pPr>
        <w:pStyle w:val="BodyText"/>
        <w:spacing w:line="139" w:lineRule="exact" w:before="10"/>
        <w:ind w:left="186"/>
        <w:rPr>
          <w:rFonts w:ascii="Trebuchet MS"/>
        </w:rPr>
      </w:pPr>
      <w:r>
        <w:rPr>
          <w:rFonts w:ascii="Trebuchet MS"/>
          <w:color w:val="008356"/>
        </w:rPr>
        <w:t>Chloroprocaine</w:t>
      </w:r>
    </w:p>
    <w:p>
      <w:pPr>
        <w:pStyle w:val="BodyText"/>
        <w:ind w:left="286" w:right="236" w:hanging="100"/>
      </w:pPr>
      <w:r>
        <w:rPr>
          <w:rFonts w:ascii="Arial"/>
          <w:color w:val="231F1F"/>
          <w:w w:val="355"/>
          <w:position w:val="1"/>
          <w:sz w:val="7"/>
        </w:rPr>
        <w:t>l </w:t>
      </w:r>
      <w:r>
        <w:rPr>
          <w:rFonts w:ascii="Calibri"/>
          <w:color w:val="231F1F"/>
          <w:w w:val="110"/>
        </w:rPr>
        <w:t>Antibacterials: </w:t>
      </w:r>
      <w:r>
        <w:rPr>
          <w:color w:val="231F1F"/>
          <w:w w:val="110"/>
        </w:rPr>
        <w:t>chloroprocaine possibly inhibits effects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SULFONAMIDES </w:t>
      </w:r>
      <w:r>
        <w:rPr>
          <w:color w:val="231F1F"/>
          <w:w w:val="110"/>
        </w:rPr>
        <w:t>(manufacturer of chloroprocaine advises avoid concomitant use)</w:t>
      </w:r>
    </w:p>
    <w:p>
      <w:pPr>
        <w:pStyle w:val="BodyText"/>
        <w:spacing w:before="12"/>
        <w:ind w:left="186"/>
        <w:rPr>
          <w:rFonts w:ascii="Trebuchet MS"/>
        </w:rPr>
      </w:pPr>
      <w:r>
        <w:rPr>
          <w:rFonts w:ascii="Trebuchet MS"/>
          <w:color w:val="008356"/>
        </w:rPr>
        <w:t>Chloroquine</w:t>
      </w:r>
    </w:p>
    <w:p>
      <w:pPr>
        <w:pStyle w:val="BodyText"/>
        <w:spacing w:before="1"/>
        <w:ind w:left="186"/>
        <w:rPr>
          <w:rFonts w:ascii="Calibri" w:hAnsi="Calibri"/>
          <w:sz w:val="11"/>
        </w:rPr>
      </w:pPr>
      <w:r>
        <w:rPr>
          <w:rFonts w:ascii="Lucida Sans Unicode" w:hAnsi="Lucida Sans Unicode"/>
          <w:color w:val="A7A8AC"/>
          <w:w w:val="95"/>
          <w:sz w:val="10"/>
        </w:rPr>
        <w:t>▶ </w:t>
      </w:r>
      <w:r>
        <w:rPr>
          <w:rFonts w:ascii="Calibri" w:hAnsi="Calibri"/>
          <w:color w:val="231F1F"/>
          <w:w w:val="105"/>
        </w:rPr>
        <w:t>Adsorbents: </w:t>
      </w:r>
      <w:r>
        <w:rPr>
          <w:color w:val="231F1F"/>
          <w:w w:val="105"/>
        </w:rPr>
        <w:t>absorption of chloroquine reduced by </w:t>
      </w:r>
      <w:r>
        <w:rPr>
          <w:rFonts w:ascii="Calibri" w:hAnsi="Calibri"/>
          <w:color w:val="008356"/>
          <w:w w:val="105"/>
          <w:sz w:val="11"/>
        </w:rPr>
        <w:t>KAOLIN</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Chloroquine </w:t>
      </w:r>
      <w:r>
        <w:rPr>
          <w:rFonts w:ascii="Calibri"/>
          <w:color w:val="231F1F"/>
        </w:rPr>
        <w:t>(continued)</w:t>
      </w:r>
    </w:p>
    <w:p>
      <w:pPr>
        <w:pStyle w:val="BodyText"/>
        <w:spacing w:line="230" w:lineRule="auto" w:before="2"/>
        <w:ind w:left="286" w:right="625" w:hanging="100"/>
      </w:pPr>
      <w:r>
        <w:rPr>
          <w:rFonts w:ascii="Lucida Sans Unicode" w:hAnsi="Lucida Sans Unicode"/>
          <w:color w:val="A7A8AC"/>
          <w:w w:val="95"/>
          <w:sz w:val="10"/>
        </w:rPr>
        <w:t>▶ </w:t>
      </w:r>
      <w:r>
        <w:rPr>
          <w:rFonts w:ascii="Calibri" w:hAnsi="Calibri"/>
          <w:color w:val="231F1F"/>
          <w:w w:val="110"/>
        </w:rPr>
        <w:t>Agalsidase Alfa and Beta: </w:t>
      </w:r>
      <w:r>
        <w:rPr>
          <w:color w:val="231F1F"/>
          <w:w w:val="110"/>
        </w:rPr>
        <w:t>chloroquine possibly inhibits effects of </w:t>
      </w:r>
      <w:r>
        <w:rPr>
          <w:rFonts w:ascii="Calibri" w:hAnsi="Calibri"/>
          <w:color w:val="008356"/>
          <w:w w:val="110"/>
          <w:sz w:val="11"/>
        </w:rPr>
        <w:t>AGALSIDASE ALFA AND BETA </w:t>
      </w:r>
      <w:r>
        <w:rPr>
          <w:color w:val="231F1F"/>
          <w:w w:val="110"/>
        </w:rPr>
        <w:t>(manufacturers of agalsidase alfa and beta advise avoid concomitant use)</w:t>
      </w:r>
    </w:p>
    <w:p>
      <w:pPr>
        <w:pStyle w:val="BodyText"/>
        <w:spacing w:line="150" w:lineRule="exact" w:before="4"/>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chloroquine reduced by </w:t>
      </w:r>
      <w:r>
        <w:rPr>
          <w:rFonts w:ascii="Calibri" w:hAnsi="Calibri"/>
          <w:color w:val="008356"/>
          <w:w w:val="105"/>
          <w:sz w:val="11"/>
        </w:rPr>
        <w:t>ANTACIDS</w:t>
      </w:r>
    </w:p>
    <w:p>
      <w:pPr>
        <w:pStyle w:val="BodyText"/>
        <w:spacing w:line="137" w:lineRule="exact"/>
        <w:ind w:left="186"/>
      </w:pPr>
      <w:r>
        <w:rPr>
          <w:rFonts w:ascii="Arial"/>
          <w:color w:val="231F1F"/>
          <w:w w:val="355"/>
          <w:position w:val="1"/>
          <w:sz w:val="7"/>
        </w:rPr>
        <w:t>l </w:t>
      </w:r>
      <w:r>
        <w:rPr>
          <w:rFonts w:ascii="Calibri"/>
          <w:color w:val="231F1F"/>
          <w:w w:val="110"/>
        </w:rPr>
        <w:t>Anthelmintics: </w:t>
      </w:r>
      <w:r>
        <w:rPr>
          <w:color w:val="231F1F"/>
          <w:w w:val="110"/>
        </w:rPr>
        <w:t>chloroquine reduces plasma concentration of</w:t>
      </w:r>
    </w:p>
    <w:p>
      <w:pPr>
        <w:pStyle w:val="BodyText"/>
        <w:spacing w:line="244" w:lineRule="auto"/>
        <w:ind w:left="286" w:right="595"/>
      </w:pPr>
      <w:r>
        <w:rPr>
          <w:rFonts w:ascii="Arial" w:hAnsi="Arial"/>
          <w:color w:val="231F1F"/>
          <w:w w:val="240"/>
          <w:position w:val="1"/>
          <w:sz w:val="7"/>
        </w:rPr>
        <w:t>l</w:t>
      </w:r>
      <w:r>
        <w:rPr>
          <w:rFonts w:ascii="Arial" w:hAnsi="Arial"/>
          <w:color w:val="231F1F"/>
          <w:spacing w:val="-38"/>
          <w:w w:val="240"/>
          <w:position w:val="1"/>
          <w:sz w:val="7"/>
        </w:rPr>
        <w:t> </w:t>
      </w:r>
      <w:r>
        <w:rPr>
          <w:rFonts w:ascii="Calibri" w:hAnsi="Calibri"/>
          <w:color w:val="008356"/>
          <w:spacing w:val="2"/>
          <w:w w:val="115"/>
          <w:sz w:val="11"/>
        </w:rPr>
        <w:t>PRAZIQUANTEL</w:t>
      </w:r>
      <w:r>
        <w:rPr>
          <w:rFonts w:ascii="Arial" w:hAnsi="Arial"/>
          <w:color w:val="231F1F"/>
          <w:spacing w:val="2"/>
          <w:w w:val="115"/>
        </w:rPr>
        <w:t>—</w:t>
      </w:r>
      <w:r>
        <w:rPr>
          <w:color w:val="231F1F"/>
          <w:spacing w:val="2"/>
          <w:w w:val="115"/>
        </w:rPr>
        <w:t>consider</w:t>
      </w:r>
      <w:r>
        <w:rPr>
          <w:color w:val="231F1F"/>
          <w:spacing w:val="-24"/>
          <w:w w:val="115"/>
        </w:rPr>
        <w:t> </w:t>
      </w:r>
      <w:r>
        <w:rPr>
          <w:color w:val="231F1F"/>
          <w:w w:val="115"/>
        </w:rPr>
        <w:t>increasing</w:t>
      </w:r>
      <w:r>
        <w:rPr>
          <w:color w:val="231F1F"/>
          <w:spacing w:val="-24"/>
          <w:w w:val="115"/>
        </w:rPr>
        <w:t> </w:t>
      </w:r>
      <w:r>
        <w:rPr>
          <w:color w:val="231F1F"/>
          <w:w w:val="115"/>
        </w:rPr>
        <w:t>praziquantel</w:t>
      </w:r>
      <w:r>
        <w:rPr>
          <w:color w:val="231F1F"/>
          <w:spacing w:val="-24"/>
          <w:w w:val="115"/>
        </w:rPr>
        <w:t> </w:t>
      </w:r>
      <w:r>
        <w:rPr>
          <w:color w:val="231F1F"/>
          <w:w w:val="115"/>
        </w:rPr>
        <w:t>dose</w:t>
      </w:r>
      <w:r>
        <w:rPr>
          <w:color w:val="231F1F"/>
          <w:spacing w:val="-24"/>
          <w:w w:val="115"/>
        </w:rPr>
        <w:t> </w:t>
      </w:r>
      <w:r>
        <w:rPr>
          <w:color w:val="231F1F"/>
          <w:w w:val="115"/>
        </w:rPr>
        <w:t>when given for systemic</w:t>
      </w:r>
      <w:r>
        <w:rPr>
          <w:color w:val="231F1F"/>
          <w:spacing w:val="-12"/>
          <w:w w:val="115"/>
        </w:rPr>
        <w:t> </w:t>
      </w:r>
      <w:r>
        <w:rPr>
          <w:color w:val="231F1F"/>
          <w:w w:val="115"/>
        </w:rPr>
        <w:t>infections</w:t>
      </w:r>
    </w:p>
    <w:p>
      <w:pPr>
        <w:pStyle w:val="BodyText"/>
        <w:spacing w:line="242" w:lineRule="auto"/>
        <w:ind w:left="286" w:right="670"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 chloroquine given with </w:t>
      </w:r>
      <w:r>
        <w:rPr>
          <w:rFonts w:ascii="Arial" w:hAnsi="Arial"/>
          <w:color w:val="231F1F"/>
          <w:w w:val="355"/>
          <w:position w:val="1"/>
          <w:sz w:val="7"/>
        </w:rPr>
        <w:t>l </w:t>
      </w:r>
      <w:r>
        <w:rPr>
          <w:rFonts w:ascii="Calibri" w:hAnsi="Calibri"/>
          <w:color w:val="008356"/>
          <w:w w:val="110"/>
          <w:sz w:val="11"/>
        </w:rPr>
        <w:t>AMIODARONE</w:t>
      </w:r>
      <w:r>
        <w:rPr>
          <w:rFonts w:ascii="Arial" w:hAnsi="Arial"/>
          <w:color w:val="231F1F"/>
          <w:w w:val="110"/>
        </w:rPr>
        <w:t>—</w:t>
      </w:r>
      <w:r>
        <w:rPr>
          <w:color w:val="231F1F"/>
          <w:w w:val="110"/>
        </w:rPr>
        <w:t>avoid concomitant use</w:t>
      </w:r>
    </w:p>
    <w:p>
      <w:pPr>
        <w:pStyle w:val="BodyText"/>
        <w:ind w:left="286" w:right="639"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when chloroquine given with </w:t>
      </w: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w:t>
      </w:r>
      <w:r>
        <w:rPr>
          <w:color w:val="231F1F"/>
          <w:w w:val="110"/>
        </w:rPr>
        <w:t>avoid concomitant use</w:t>
      </w:r>
    </w:p>
    <w:p>
      <w:pPr>
        <w:spacing w:line="247" w:lineRule="auto" w:before="0"/>
        <w:ind w:left="286" w:right="675"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possible increased risk of ventricular arrhythmias when chloroquine given with </w:t>
      </w:r>
      <w:r>
        <w:rPr>
          <w:rFonts w:ascii="Arial"/>
          <w:color w:val="231F1F"/>
          <w:w w:val="355"/>
          <w:position w:val="1"/>
          <w:sz w:val="7"/>
        </w:rPr>
        <w:t>l </w:t>
      </w:r>
      <w:r>
        <w:rPr>
          <w:rFonts w:ascii="Calibri"/>
          <w:color w:val="008356"/>
          <w:w w:val="110"/>
          <w:sz w:val="11"/>
        </w:rPr>
        <w:t>CITALOPRAM </w:t>
      </w:r>
      <w:r>
        <w:rPr>
          <w:color w:val="231F1F"/>
          <w:w w:val="110"/>
          <w:sz w:val="12"/>
        </w:rPr>
        <w:t>and </w:t>
      </w:r>
      <w:r>
        <w:rPr>
          <w:rFonts w:ascii="Arial"/>
          <w:color w:val="231F1F"/>
          <w:w w:val="355"/>
          <w:position w:val="1"/>
          <w:sz w:val="7"/>
        </w:rPr>
        <w:t>l </w:t>
      </w:r>
      <w:r>
        <w:rPr>
          <w:rFonts w:ascii="Calibri"/>
          <w:color w:val="008356"/>
          <w:w w:val="110"/>
          <w:sz w:val="11"/>
        </w:rPr>
        <w:t>ESCITALOPRAM</w:t>
      </w:r>
    </w:p>
    <w:p>
      <w:pPr>
        <w:pStyle w:val="BodyText"/>
        <w:spacing w:line="140" w:lineRule="exact"/>
        <w:ind w:left="186"/>
      </w:pPr>
      <w:r>
        <w:rPr>
          <w:rFonts w:ascii="Arial"/>
          <w:color w:val="231F1F"/>
          <w:w w:val="355"/>
          <w:position w:val="1"/>
          <w:sz w:val="7"/>
        </w:rPr>
        <w:t>l </w:t>
      </w:r>
      <w:r>
        <w:rPr>
          <w:rFonts w:ascii="Calibri"/>
          <w:color w:val="231F1F"/>
          <w:w w:val="115"/>
        </w:rPr>
        <w:t>Antimalarials: </w:t>
      </w:r>
      <w:r>
        <w:rPr>
          <w:color w:val="231F1F"/>
          <w:w w:val="115"/>
        </w:rPr>
        <w:t>avoidance of antimalarials advised by</w:t>
      </w:r>
    </w:p>
    <w:p>
      <w:pPr>
        <w:spacing w:line="244" w:lineRule="auto" w:before="0"/>
        <w:ind w:left="286" w:right="617" w:hanging="1"/>
        <w:jc w:val="left"/>
        <w:rPr>
          <w:sz w:val="12"/>
        </w:rPr>
      </w:pPr>
      <w:r>
        <w:rPr>
          <w:color w:val="231F1F"/>
          <w:w w:val="110"/>
          <w:sz w:val="12"/>
        </w:rPr>
        <w:t>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increased risk of convulsions when chloroquine given with</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MEFLOQUINE</w:t>
      </w:r>
    </w:p>
    <w:p>
      <w:pPr>
        <w:pStyle w:val="BodyText"/>
        <w:ind w:left="286" w:right="573"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Antipsychotics:</w:t>
      </w:r>
      <w:r>
        <w:rPr>
          <w:rFonts w:ascii="Calibri" w:hAnsi="Calibri"/>
          <w:color w:val="231F1F"/>
          <w:spacing w:val="-14"/>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ventricular</w:t>
      </w:r>
      <w:r>
        <w:rPr>
          <w:color w:val="231F1F"/>
          <w:spacing w:val="-17"/>
          <w:w w:val="115"/>
        </w:rPr>
        <w:t> </w:t>
      </w:r>
      <w:r>
        <w:rPr>
          <w:color w:val="231F1F"/>
          <w:w w:val="115"/>
        </w:rPr>
        <w:t>arrhythmias</w:t>
      </w:r>
      <w:r>
        <w:rPr>
          <w:color w:val="231F1F"/>
          <w:spacing w:val="-17"/>
          <w:w w:val="115"/>
        </w:rPr>
        <w:t> </w:t>
      </w:r>
      <w:r>
        <w:rPr>
          <w:color w:val="231F1F"/>
          <w:w w:val="115"/>
        </w:rPr>
        <w:t>when chloroquine</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30"/>
          <w:position w:val="1"/>
          <w:sz w:val="7"/>
        </w:rPr>
        <w:t>l</w:t>
      </w:r>
      <w:r>
        <w:rPr>
          <w:rFonts w:ascii="Arial" w:hAnsi="Arial"/>
          <w:color w:val="231F1F"/>
          <w:spacing w:val="-54"/>
          <w:w w:val="330"/>
          <w:position w:val="1"/>
          <w:sz w:val="7"/>
        </w:rPr>
        <w:t> </w:t>
      </w:r>
      <w:r>
        <w:rPr>
          <w:rFonts w:ascii="Calibri" w:hAnsi="Calibri"/>
          <w:color w:val="008356"/>
          <w:spacing w:val="3"/>
          <w:w w:val="115"/>
          <w:sz w:val="11"/>
        </w:rPr>
        <w:t>DROPERIDOL</w:t>
      </w:r>
      <w:r>
        <w:rPr>
          <w:rFonts w:ascii="Arial" w:hAnsi="Arial"/>
          <w:color w:val="231F1F"/>
          <w:spacing w:val="3"/>
          <w:w w:val="115"/>
        </w:rPr>
        <w:t>—</w:t>
      </w:r>
      <w:r>
        <w:rPr>
          <w:color w:val="231F1F"/>
          <w:spacing w:val="3"/>
          <w:w w:val="115"/>
        </w:rPr>
        <w:t>avoid</w:t>
      </w:r>
      <w:r>
        <w:rPr>
          <w:color w:val="231F1F"/>
          <w:spacing w:val="-25"/>
          <w:w w:val="115"/>
        </w:rPr>
        <w:t> </w:t>
      </w:r>
      <w:r>
        <w:rPr>
          <w:color w:val="231F1F"/>
          <w:w w:val="115"/>
        </w:rPr>
        <w:t>concomitant</w:t>
      </w:r>
      <w:r>
        <w:rPr>
          <w:color w:val="231F1F"/>
          <w:spacing w:val="-24"/>
          <w:w w:val="115"/>
        </w:rPr>
        <w:t> </w:t>
      </w:r>
      <w:r>
        <w:rPr>
          <w:color w:val="231F1F"/>
          <w:w w:val="115"/>
        </w:rPr>
        <w:t>use</w:t>
      </w:r>
    </w:p>
    <w:p>
      <w:pPr>
        <w:pStyle w:val="BodyText"/>
        <w:spacing w:line="237" w:lineRule="auto"/>
        <w:ind w:left="286" w:right="670"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chloroquine possibly increases plasma concentration of </w:t>
      </w:r>
      <w:r>
        <w:rPr>
          <w:rFonts w:ascii="Arial"/>
          <w:color w:val="231F1F"/>
          <w:w w:val="355"/>
          <w:position w:val="1"/>
          <w:sz w:val="7"/>
        </w:rPr>
        <w:t>l </w:t>
      </w:r>
      <w:r>
        <w:rPr>
          <w:rFonts w:ascii="Calibri"/>
          <w:color w:val="008356"/>
          <w:w w:val="110"/>
          <w:sz w:val="11"/>
        </w:rPr>
        <w:t>DIGOXIN</w:t>
      </w:r>
    </w:p>
    <w:p>
      <w:pPr>
        <w:pStyle w:val="BodyText"/>
        <w:spacing w:line="144" w:lineRule="exact"/>
        <w:ind w:left="186"/>
      </w:pPr>
      <w:r>
        <w:rPr>
          <w:rFonts w:ascii="Arial"/>
          <w:color w:val="231F1F"/>
          <w:w w:val="355"/>
          <w:position w:val="1"/>
          <w:sz w:val="7"/>
        </w:rPr>
        <w:t>l </w:t>
      </w:r>
      <w:r>
        <w:rPr>
          <w:rFonts w:ascii="Calibri"/>
          <w:color w:val="231F1F"/>
          <w:w w:val="115"/>
        </w:rPr>
        <w:t>Ciclosporin: </w:t>
      </w:r>
      <w:r>
        <w:rPr>
          <w:color w:val="231F1F"/>
          <w:w w:val="115"/>
        </w:rPr>
        <w:t>chloroquine increases plasma concentration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(increased risk of toxicity)</w:t>
      </w:r>
    </w:p>
    <w:p>
      <w:pPr>
        <w:pStyle w:val="BodyText"/>
        <w:ind w:left="286" w:right="679"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possible increased risk of ventricular arrhythmias when chloroquine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BOSUTINIB</w:t>
      </w:r>
    </w:p>
    <w:p>
      <w:pPr>
        <w:pStyle w:val="BodyText"/>
        <w:spacing w:line="220" w:lineRule="auto" w:before="1"/>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spacing w:line="152" w:lineRule="exact" w:before="1"/>
        <w:ind w:left="186"/>
      </w:pPr>
      <w:r>
        <w:rPr>
          <w:rFonts w:ascii="Lucida Sans Unicode" w:hAnsi="Lucida Sans Unicode"/>
          <w:color w:val="A7A8AC"/>
          <w:w w:val="95"/>
          <w:sz w:val="10"/>
        </w:rPr>
        <w:t>▶ </w:t>
      </w:r>
      <w:r>
        <w:rPr>
          <w:rFonts w:ascii="Calibri" w:hAnsi="Calibri"/>
          <w:color w:val="231F1F"/>
          <w:w w:val="105"/>
        </w:rPr>
        <w:t>Lanthanum: </w:t>
      </w:r>
      <w:r>
        <w:rPr>
          <w:color w:val="231F1F"/>
          <w:w w:val="105"/>
        </w:rPr>
        <w:t>absorption of chloroquine possibly reduced by</w:t>
      </w:r>
    </w:p>
    <w:p>
      <w:pPr>
        <w:spacing w:line="134" w:lineRule="exact" w:before="0"/>
        <w:ind w:left="286" w:right="0" w:firstLine="0"/>
        <w:jc w:val="left"/>
        <w:rPr>
          <w:sz w:val="12"/>
        </w:rPr>
      </w:pPr>
      <w:r>
        <w:rPr>
          <w:rFonts w:ascii="Calibri"/>
          <w:color w:val="008356"/>
          <w:w w:val="110"/>
          <w:sz w:val="11"/>
        </w:rPr>
        <w:t>LANTHANUM </w:t>
      </w:r>
      <w:r>
        <w:rPr>
          <w:color w:val="231F1F"/>
          <w:w w:val="110"/>
          <w:sz w:val="12"/>
        </w:rPr>
        <w:t>(give at least 2 hours apart)</w:t>
      </w:r>
    </w:p>
    <w:p>
      <w:pPr>
        <w:pStyle w:val="BodyText"/>
        <w:spacing w:line="230" w:lineRule="auto" w:before="3"/>
        <w:ind w:left="286" w:right="670" w:hanging="100"/>
      </w:pPr>
      <w:r>
        <w:rPr>
          <w:rFonts w:ascii="Lucida Sans Unicode" w:hAnsi="Lucida Sans Unicode"/>
          <w:color w:val="A7A8AC"/>
          <w:w w:val="95"/>
          <w:sz w:val="10"/>
        </w:rPr>
        <w:t>▶ </w:t>
      </w:r>
      <w:r>
        <w:rPr>
          <w:rFonts w:ascii="Calibri" w:hAnsi="Calibri"/>
          <w:color w:val="231F1F"/>
          <w:w w:val="110"/>
        </w:rPr>
        <w:t>Laronidase: </w:t>
      </w:r>
      <w:r>
        <w:rPr>
          <w:color w:val="231F1F"/>
          <w:w w:val="110"/>
        </w:rPr>
        <w:t>chloroquine possibly inhibits effects of </w:t>
      </w:r>
      <w:r>
        <w:rPr>
          <w:rFonts w:ascii="Calibri" w:hAnsi="Calibri"/>
          <w:color w:val="008356"/>
          <w:w w:val="110"/>
          <w:sz w:val="11"/>
        </w:rPr>
        <w:t>LARONIDASE </w:t>
      </w:r>
      <w:r>
        <w:rPr>
          <w:color w:val="231F1F"/>
          <w:w w:val="110"/>
        </w:rPr>
        <w:t>(manufacturer of laronidase advises avoid concomitant use)</w:t>
      </w:r>
    </w:p>
    <w:p>
      <w:pPr>
        <w:pStyle w:val="BodyText"/>
        <w:spacing w:line="235" w:lineRule="auto" w:before="6"/>
        <w:ind w:left="286" w:right="625" w:hanging="100"/>
        <w:rPr>
          <w:rFonts w:ascii="Calibri" w:hAnsi="Calibri"/>
          <w:sz w:val="11"/>
        </w:rPr>
      </w:pPr>
      <w:r>
        <w:rPr>
          <w:rFonts w:ascii="Lucida Sans Unicode" w:hAnsi="Lucida Sans Unicode"/>
          <w:color w:val="A7A8AC"/>
          <w:w w:val="95"/>
          <w:sz w:val="10"/>
        </w:rPr>
        <w:t>▶ </w:t>
      </w:r>
      <w:r>
        <w:rPr>
          <w:rFonts w:ascii="Calibri" w:hAnsi="Calibri"/>
          <w:color w:val="231F1F"/>
          <w:w w:val="110"/>
        </w:rPr>
        <w:t>Parasympathomimetics: </w:t>
      </w:r>
      <w:r>
        <w:rPr>
          <w:color w:val="231F1F"/>
          <w:w w:val="110"/>
        </w:rPr>
        <w:t>chloroquine has potential to increase symptoms of myasthenia gravis and thus diminish effect of </w:t>
      </w:r>
      <w:r>
        <w:rPr>
          <w:rFonts w:ascii="Calibri" w:hAnsi="Calibri"/>
          <w:color w:val="008356"/>
          <w:w w:val="110"/>
          <w:sz w:val="11"/>
        </w:rPr>
        <w:t>NEOSTIGMINE </w:t>
      </w:r>
      <w:r>
        <w:rPr>
          <w:color w:val="231F1F"/>
          <w:w w:val="110"/>
        </w:rPr>
        <w:t>and </w:t>
      </w:r>
      <w:r>
        <w:rPr>
          <w:rFonts w:ascii="Calibri" w:hAnsi="Calibri"/>
          <w:color w:val="008356"/>
          <w:w w:val="110"/>
          <w:sz w:val="11"/>
        </w:rPr>
        <w:t>PYRIDOSTIGMINE</w:t>
      </w:r>
    </w:p>
    <w:p>
      <w:pPr>
        <w:pStyle w:val="BodyText"/>
        <w:spacing w:line="149"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chloroquine inhibited by</w:t>
      </w:r>
    </w:p>
    <w:p>
      <w:pPr>
        <w:spacing w:line="134" w:lineRule="exact" w:before="0"/>
        <w:ind w:left="286" w:right="0" w:firstLine="0"/>
        <w:jc w:val="left"/>
        <w:rPr>
          <w:sz w:val="12"/>
        </w:rPr>
      </w:pPr>
      <w:r>
        <w:rPr>
          <w:rFonts w:ascii="Calibri"/>
          <w:color w:val="008356"/>
          <w:w w:val="110"/>
          <w:sz w:val="11"/>
        </w:rPr>
        <w:t>CIMETIDINE </w:t>
      </w:r>
      <w:r>
        <w:rPr>
          <w:color w:val="231F1F"/>
          <w:w w:val="110"/>
          <w:sz w:val="12"/>
        </w:rPr>
        <w:t>(increased plasma concentration)</w:t>
      </w:r>
    </w:p>
    <w:p>
      <w:pPr>
        <w:spacing w:line="220" w:lineRule="auto" w:before="8"/>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2"/>
        <w:ind w:left="186" w:right="1885"/>
      </w:pPr>
      <w:r>
        <w:rPr>
          <w:rFonts w:ascii="Trebuchet MS"/>
          <w:color w:val="008356"/>
          <w:w w:val="105"/>
        </w:rPr>
        <w:t>Chlorothiazide </w:t>
      </w:r>
      <w:r>
        <w:rPr>
          <w:i/>
          <w:color w:val="231F1F"/>
          <w:w w:val="105"/>
        </w:rPr>
        <w:t>see </w:t>
      </w:r>
      <w:r>
        <w:rPr>
          <w:color w:val="231F1F"/>
          <w:w w:val="105"/>
        </w:rPr>
        <w:t>Diuretics </w:t>
      </w:r>
      <w:r>
        <w:rPr>
          <w:rFonts w:ascii="Trebuchet MS"/>
          <w:color w:val="008356"/>
          <w:w w:val="105"/>
        </w:rPr>
        <w:t>Chlorphenamine </w:t>
      </w:r>
      <w:r>
        <w:rPr>
          <w:i/>
          <w:color w:val="231F1F"/>
          <w:w w:val="105"/>
        </w:rPr>
        <w:t>see </w:t>
      </w:r>
      <w:r>
        <w:rPr>
          <w:color w:val="231F1F"/>
          <w:w w:val="105"/>
        </w:rPr>
        <w:t>Antihistamines </w:t>
      </w:r>
      <w:r>
        <w:rPr>
          <w:rFonts w:ascii="Trebuchet MS"/>
          <w:color w:val="008356"/>
          <w:w w:val="105"/>
        </w:rPr>
        <w:t>Chlorpromazine </w:t>
      </w:r>
      <w:r>
        <w:rPr>
          <w:i/>
          <w:color w:val="231F1F"/>
          <w:w w:val="105"/>
        </w:rPr>
        <w:t>see </w:t>
      </w:r>
      <w:r>
        <w:rPr>
          <w:color w:val="231F1F"/>
          <w:w w:val="105"/>
        </w:rPr>
        <w:t>Antipsychotics </w:t>
      </w:r>
      <w:r>
        <w:rPr>
          <w:rFonts w:ascii="Trebuchet MS"/>
          <w:color w:val="008356"/>
          <w:w w:val="105"/>
        </w:rPr>
        <w:t>Chlortalidone </w:t>
      </w:r>
      <w:r>
        <w:rPr>
          <w:i/>
          <w:color w:val="231F1F"/>
          <w:w w:val="105"/>
        </w:rPr>
        <w:t>see </w:t>
      </w:r>
      <w:r>
        <w:rPr>
          <w:color w:val="231F1F"/>
          <w:w w:val="105"/>
        </w:rPr>
        <w:t>Diuretics</w:t>
      </w:r>
    </w:p>
    <w:p>
      <w:pPr>
        <w:pStyle w:val="BodyText"/>
        <w:spacing w:line="256" w:lineRule="auto" w:before="1"/>
        <w:ind w:left="186" w:right="2217"/>
        <w:rPr>
          <w:rFonts w:ascii="Trebuchet MS"/>
        </w:rPr>
      </w:pPr>
      <w:r>
        <w:rPr>
          <w:rFonts w:ascii="Trebuchet MS"/>
          <w:color w:val="008356"/>
          <w:w w:val="105"/>
        </w:rPr>
        <w:t>Cholera Vaccine </w:t>
      </w:r>
      <w:r>
        <w:rPr>
          <w:i/>
          <w:color w:val="231F1F"/>
          <w:w w:val="105"/>
        </w:rPr>
        <w:t>see </w:t>
      </w:r>
      <w:r>
        <w:rPr>
          <w:color w:val="231F1F"/>
          <w:w w:val="105"/>
        </w:rPr>
        <w:t>Vaccines </w:t>
      </w:r>
      <w:r>
        <w:rPr>
          <w:rFonts w:ascii="Trebuchet MS"/>
          <w:color w:val="008356"/>
          <w:w w:val="105"/>
        </w:rPr>
        <w:t>Ciclesonide </w:t>
      </w:r>
      <w:r>
        <w:rPr>
          <w:i/>
          <w:color w:val="231F1F"/>
          <w:w w:val="105"/>
        </w:rPr>
        <w:t>see </w:t>
      </w:r>
      <w:r>
        <w:rPr>
          <w:color w:val="231F1F"/>
          <w:w w:val="105"/>
        </w:rPr>
        <w:t>Corticosteroids </w:t>
      </w:r>
      <w:r>
        <w:rPr>
          <w:rFonts w:ascii="Trebuchet MS"/>
          <w:color w:val="008356"/>
          <w:w w:val="105"/>
        </w:rPr>
        <w:t>Ciclosporin</w:t>
      </w:r>
    </w:p>
    <w:p>
      <w:pPr>
        <w:pStyle w:val="BodyText"/>
        <w:spacing w:line="138" w:lineRule="exact"/>
        <w:ind w:left="186"/>
      </w:pPr>
      <w:r>
        <w:rPr>
          <w:rFonts w:ascii="Arial"/>
          <w:color w:val="231F1F"/>
          <w:w w:val="355"/>
          <w:position w:val="1"/>
          <w:sz w:val="7"/>
        </w:rPr>
        <w:t>l </w:t>
      </w:r>
      <w:r>
        <w:rPr>
          <w:rFonts w:ascii="Calibri"/>
          <w:color w:val="231F1F"/>
          <w:w w:val="115"/>
        </w:rPr>
        <w:t>ACE Inhibitors: </w:t>
      </w:r>
      <w:r>
        <w:rPr>
          <w:color w:val="231F1F"/>
          <w:w w:val="115"/>
        </w:rPr>
        <w:t>increased risk of hyperkalaemia when</w:t>
      </w:r>
    </w:p>
    <w:p>
      <w:pPr>
        <w:spacing w:line="140" w:lineRule="exact" w:before="0"/>
        <w:ind w:left="286" w:right="0" w:firstLine="0"/>
        <w:jc w:val="left"/>
        <w:rPr>
          <w:rFonts w:ascii="Calibri"/>
          <w:sz w:val="11"/>
        </w:rPr>
      </w:pPr>
      <w:r>
        <w:rPr>
          <w:color w:val="231F1F"/>
          <w:w w:val="110"/>
          <w:sz w:val="12"/>
        </w:rPr>
        <w:t>ciclosporin given with </w:t>
      </w:r>
      <w:r>
        <w:rPr>
          <w:rFonts w:ascii="Arial"/>
          <w:color w:val="231F1F"/>
          <w:w w:val="355"/>
          <w:position w:val="1"/>
          <w:sz w:val="7"/>
        </w:rPr>
        <w:t>l </w:t>
      </w:r>
      <w:r>
        <w:rPr>
          <w:rFonts w:ascii="Calibri"/>
          <w:color w:val="008356"/>
          <w:spacing w:val="3"/>
          <w:w w:val="110"/>
          <w:sz w:val="11"/>
        </w:rPr>
        <w:t>ACE </w:t>
      </w:r>
      <w:r>
        <w:rPr>
          <w:rFonts w:ascii="Calibri"/>
          <w:color w:val="008356"/>
          <w:spacing w:val="4"/>
          <w:w w:val="110"/>
          <w:sz w:val="11"/>
        </w:rPr>
        <w:t>INHIBITORS</w:t>
      </w:r>
    </w:p>
    <w:p>
      <w:pPr>
        <w:pStyle w:val="BodyText"/>
        <w:spacing w:line="145" w:lineRule="exact"/>
        <w:ind w:left="186"/>
      </w:pPr>
      <w:r>
        <w:rPr>
          <w:rFonts w:ascii="Arial"/>
          <w:color w:val="231F1F"/>
          <w:w w:val="355"/>
          <w:position w:val="1"/>
          <w:sz w:val="7"/>
        </w:rPr>
        <w:t>l </w:t>
      </w:r>
      <w:r>
        <w:rPr>
          <w:rFonts w:ascii="Calibri"/>
          <w:color w:val="231F1F"/>
          <w:w w:val="120"/>
        </w:rPr>
        <w:t>Aliskiren: </w:t>
      </w:r>
      <w:r>
        <w:rPr>
          <w:color w:val="231F1F"/>
          <w:w w:val="120"/>
        </w:rPr>
        <w:t>ciclosporin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ALISKIREN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20" w:lineRule="auto" w:before="7"/>
        <w:ind w:left="286" w:right="670" w:hanging="100"/>
      </w:pPr>
      <w:r>
        <w:rPr>
          <w:rFonts w:ascii="Lucida Sans Unicode" w:hAnsi="Lucida Sans Unicode"/>
          <w:color w:val="A7A8AC"/>
          <w:w w:val="95"/>
          <w:sz w:val="10"/>
        </w:rPr>
        <w:t>▶ </w:t>
      </w:r>
      <w:r>
        <w:rPr>
          <w:rFonts w:ascii="Calibri" w:hAnsi="Calibri"/>
          <w:color w:val="231F1F"/>
          <w:w w:val="110"/>
        </w:rPr>
        <w:t>Allopurinol: </w:t>
      </w:r>
      <w:r>
        <w:rPr>
          <w:color w:val="231F1F"/>
          <w:w w:val="110"/>
        </w:rPr>
        <w:t>plasma concentration of ciclosporin possibly increased by </w:t>
      </w:r>
      <w:r>
        <w:rPr>
          <w:rFonts w:ascii="Calibri" w:hAnsi="Calibri"/>
          <w:color w:val="008356"/>
          <w:w w:val="110"/>
          <w:sz w:val="11"/>
        </w:rPr>
        <w:t>ALLOPURINOL </w:t>
      </w:r>
      <w:r>
        <w:rPr>
          <w:color w:val="231F1F"/>
          <w:w w:val="110"/>
        </w:rPr>
        <w:t>(risk of nephrotoxicity)</w:t>
      </w:r>
    </w:p>
    <w:p>
      <w:pPr>
        <w:pStyle w:val="BodyText"/>
        <w:spacing w:line="146" w:lineRule="exact" w:before="1"/>
        <w:ind w:left="186"/>
      </w:pPr>
      <w:r>
        <w:rPr>
          <w:rFonts w:ascii="Arial"/>
          <w:color w:val="231F1F"/>
          <w:w w:val="355"/>
          <w:position w:val="1"/>
          <w:sz w:val="7"/>
        </w:rPr>
        <w:t>l </w:t>
      </w:r>
      <w:r>
        <w:rPr>
          <w:rFonts w:ascii="Calibri"/>
          <w:color w:val="231F1F"/>
          <w:w w:val="115"/>
        </w:rPr>
        <w:t>Ambrisentan: </w:t>
      </w:r>
      <w:r>
        <w:rPr>
          <w:color w:val="231F1F"/>
          <w:w w:val="115"/>
        </w:rPr>
        <w:t>ciclosporin increases plasma concentration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AMBRISENTAN </w:t>
      </w:r>
      <w:r>
        <w:rPr>
          <w:color w:val="231F1F"/>
          <w:w w:val="110"/>
          <w:sz w:val="12"/>
        </w:rPr>
        <w:t>(see under Ambrisentan, p. 162)</w:t>
      </w:r>
    </w:p>
    <w:p>
      <w:pPr>
        <w:pStyle w:val="BodyText"/>
        <w:ind w:left="286" w:right="668" w:hanging="100"/>
      </w:pPr>
      <w:r>
        <w:rPr>
          <w:rFonts w:ascii="Arial"/>
          <w:color w:val="231F1F"/>
          <w:w w:val="355"/>
          <w:position w:val="1"/>
          <w:sz w:val="7"/>
        </w:rPr>
        <w:t>l </w:t>
      </w:r>
      <w:r>
        <w:rPr>
          <w:rFonts w:ascii="Calibri"/>
          <w:color w:val="231F1F"/>
          <w:w w:val="110"/>
        </w:rPr>
        <w:t>Analgesics: </w:t>
      </w:r>
      <w:r>
        <w:rPr>
          <w:color w:val="231F1F"/>
          <w:w w:val="110"/>
        </w:rPr>
        <w:t>increased risk of nephrotoxicity when ciclosporin given with </w:t>
      </w:r>
      <w:r>
        <w:rPr>
          <w:rFonts w:ascii="Arial"/>
          <w:color w:val="231F1F"/>
          <w:w w:val="355"/>
          <w:position w:val="1"/>
          <w:sz w:val="7"/>
        </w:rPr>
        <w:t>l </w:t>
      </w:r>
      <w:r>
        <w:rPr>
          <w:rFonts w:ascii="Calibri"/>
          <w:color w:val="008356"/>
          <w:w w:val="110"/>
          <w:sz w:val="11"/>
        </w:rPr>
        <w:t>NSAIDS</w:t>
      </w:r>
      <w:r>
        <w:rPr>
          <w:color w:val="231F1F"/>
          <w:w w:val="110"/>
        </w:rPr>
        <w:t>; ciclosporin increases plasma concentration of </w:t>
      </w:r>
      <w:r>
        <w:rPr>
          <w:rFonts w:ascii="Arial"/>
          <w:color w:val="231F1F"/>
          <w:w w:val="355"/>
          <w:position w:val="1"/>
          <w:sz w:val="7"/>
        </w:rPr>
        <w:t>l </w:t>
      </w:r>
      <w:r>
        <w:rPr>
          <w:rFonts w:ascii="Calibri"/>
          <w:color w:val="008356"/>
          <w:w w:val="110"/>
          <w:sz w:val="11"/>
        </w:rPr>
        <w:t>DICLOFENAC </w:t>
      </w:r>
      <w:r>
        <w:rPr>
          <w:color w:val="231F1F"/>
          <w:w w:val="110"/>
        </w:rPr>
        <w:t>(halve dose of diclofenac)</w:t>
      </w:r>
    </w:p>
    <w:p>
      <w:pPr>
        <w:spacing w:line="247" w:lineRule="auto" w:before="0"/>
        <w:ind w:left="286" w:right="625" w:hanging="100"/>
        <w:jc w:val="left"/>
        <w:rPr>
          <w:rFonts w:ascii="Calibri"/>
          <w:sz w:val="11"/>
        </w:rPr>
      </w:pPr>
      <w:r>
        <w:rPr>
          <w:rFonts w:ascii="Arial"/>
          <w:color w:val="231F1F"/>
          <w:w w:val="355"/>
          <w:position w:val="1"/>
          <w:sz w:val="7"/>
        </w:rPr>
        <w:t>l </w:t>
      </w:r>
      <w:r>
        <w:rPr>
          <w:rFonts w:ascii="Calibri"/>
          <w:color w:val="231F1F"/>
          <w:w w:val="110"/>
          <w:sz w:val="12"/>
        </w:rPr>
        <w:t>Angiotensin-II Receptor Antagonists: </w:t>
      </w:r>
      <w:r>
        <w:rPr>
          <w:color w:val="231F1F"/>
          <w:w w:val="110"/>
          <w:sz w:val="12"/>
        </w:rPr>
        <w:t>increased risk of hyperkalaemia when ciclosporin given with </w:t>
      </w:r>
      <w:r>
        <w:rPr>
          <w:rFonts w:ascii="Arial"/>
          <w:color w:val="231F1F"/>
          <w:w w:val="355"/>
          <w:position w:val="1"/>
          <w:sz w:val="7"/>
        </w:rPr>
        <w:t>l </w:t>
      </w:r>
      <w:r>
        <w:rPr>
          <w:rFonts w:ascii="Calibri"/>
          <w:color w:val="008356"/>
          <w:w w:val="110"/>
          <w:sz w:val="11"/>
        </w:rPr>
        <w:t>ANGIOTENSIN-II RECEPTOR ANTAGONISTS</w:t>
      </w:r>
    </w:p>
    <w:p>
      <w:pPr>
        <w:spacing w:line="220" w:lineRule="auto" w:before="0"/>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Anti-arrhythmics: </w:t>
      </w:r>
      <w:r>
        <w:rPr>
          <w:color w:val="231F1F"/>
          <w:w w:val="105"/>
          <w:sz w:val="12"/>
        </w:rPr>
        <w:t>plasma concentration of ciclosporin possibly increased by </w:t>
      </w:r>
      <w:r>
        <w:rPr>
          <w:rFonts w:ascii="Calibri" w:hAnsi="Calibri"/>
          <w:color w:val="008356"/>
          <w:w w:val="105"/>
          <w:sz w:val="11"/>
        </w:rPr>
        <w:t>AMIODARONE </w:t>
      </w:r>
      <w:r>
        <w:rPr>
          <w:color w:val="231F1F"/>
          <w:w w:val="105"/>
          <w:sz w:val="12"/>
        </w:rPr>
        <w:t>and </w:t>
      </w:r>
      <w:r>
        <w:rPr>
          <w:rFonts w:ascii="Calibri" w:hAnsi="Calibri"/>
          <w:color w:val="008356"/>
          <w:w w:val="105"/>
          <w:sz w:val="11"/>
        </w:rPr>
        <w:t>PROPAFENONE</w:t>
      </w:r>
    </w:p>
    <w:p>
      <w:pPr>
        <w:pStyle w:val="BodyText"/>
        <w:spacing w:line="145" w:lineRule="exact"/>
        <w:ind w:left="186"/>
      </w:pPr>
      <w:r>
        <w:rPr>
          <w:rFonts w:ascii="Arial"/>
          <w:color w:val="231F1F"/>
          <w:w w:val="355"/>
          <w:position w:val="1"/>
          <w:sz w:val="7"/>
        </w:rPr>
        <w:t>l </w:t>
      </w:r>
      <w:r>
        <w:rPr>
          <w:rFonts w:ascii="Calibri"/>
          <w:color w:val="231F1F"/>
          <w:w w:val="115"/>
        </w:rPr>
        <w:t>Antibacterials: </w:t>
      </w:r>
      <w:r>
        <w:rPr>
          <w:color w:val="231F1F"/>
          <w:w w:val="115"/>
        </w:rPr>
        <w:t>metabolism of ciclosporin inhibited by</w:t>
      </w:r>
    </w:p>
    <w:p>
      <w:pPr>
        <w:spacing w:line="244" w:lineRule="auto" w:before="0"/>
        <w:ind w:left="286" w:right="849"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CLARITHROMYCIN</w:t>
      </w:r>
      <w:r>
        <w:rPr>
          <w:rFonts w:ascii="Calibri"/>
          <w:color w:val="008356"/>
          <w:spacing w:val="-13"/>
          <w:w w:val="110"/>
          <w:sz w:val="11"/>
        </w:rPr>
        <w:t> </w:t>
      </w:r>
      <w:r>
        <w:rPr>
          <w:color w:val="231F1F"/>
          <w:w w:val="110"/>
          <w:sz w:val="12"/>
        </w:rPr>
        <w:t>and</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ERYTHROMYCIN</w:t>
      </w:r>
      <w:r>
        <w:rPr>
          <w:rFonts w:ascii="Calibri"/>
          <w:color w:val="008356"/>
          <w:spacing w:val="-13"/>
          <w:w w:val="110"/>
          <w:sz w:val="11"/>
        </w:rPr>
        <w:t> </w:t>
      </w:r>
      <w:r>
        <w:rPr>
          <w:color w:val="231F1F"/>
          <w:w w:val="110"/>
          <w:sz w:val="12"/>
        </w:rPr>
        <w:t>(increased</w:t>
      </w:r>
      <w:r>
        <w:rPr>
          <w:color w:val="231F1F"/>
          <w:spacing w:val="-21"/>
          <w:w w:val="110"/>
          <w:sz w:val="12"/>
        </w:rPr>
        <w:t> </w:t>
      </w:r>
      <w:r>
        <w:rPr>
          <w:color w:val="231F1F"/>
          <w:w w:val="110"/>
          <w:sz w:val="12"/>
        </w:rPr>
        <w:t>plasma concentration); metabolism of  ciclosporin accelerated </w:t>
      </w:r>
      <w:r>
        <w:rPr>
          <w:color w:val="231F1F"/>
          <w:spacing w:val="-8"/>
          <w:w w:val="110"/>
          <w:sz w:val="12"/>
        </w:rPr>
        <w:t>by  </w:t>
      </w:r>
      <w:r>
        <w:rPr>
          <w:rFonts w:ascii="Arial"/>
          <w:color w:val="231F1F"/>
          <w:w w:val="355"/>
          <w:position w:val="1"/>
          <w:sz w:val="7"/>
        </w:rPr>
        <w:t>l </w:t>
      </w:r>
      <w:r>
        <w:rPr>
          <w:rFonts w:ascii="Calibri"/>
          <w:color w:val="008356"/>
          <w:spacing w:val="4"/>
          <w:w w:val="110"/>
          <w:sz w:val="11"/>
        </w:rPr>
        <w:t>RIFAMPICIN </w:t>
      </w:r>
      <w:r>
        <w:rPr>
          <w:color w:val="231F1F"/>
          <w:w w:val="110"/>
          <w:sz w:val="12"/>
        </w:rPr>
        <w:t>(reduced plasma concentration); plasma concentration of ciclosporin possibly reduced</w:t>
      </w:r>
      <w:r>
        <w:rPr>
          <w:color w:val="231F1F"/>
          <w:spacing w:val="8"/>
          <w:w w:val="110"/>
          <w:sz w:val="12"/>
        </w:rPr>
        <w:t> </w:t>
      </w:r>
      <w:r>
        <w:rPr>
          <w:color w:val="231F1F"/>
          <w:w w:val="110"/>
          <w:sz w:val="12"/>
        </w:rPr>
        <w:t>by</w:t>
      </w:r>
    </w:p>
    <w:p>
      <w:pPr>
        <w:spacing w:line="242" w:lineRule="auto" w:before="4"/>
        <w:ind w:left="286" w:right="871" w:firstLine="0"/>
        <w:jc w:val="left"/>
        <w:rPr>
          <w:sz w:val="12"/>
        </w:rPr>
      </w:pPr>
      <w:r>
        <w:rPr>
          <w:rFonts w:ascii="Arial"/>
          <w:color w:val="231F1F"/>
          <w:w w:val="355"/>
          <w:position w:val="1"/>
          <w:sz w:val="7"/>
        </w:rPr>
        <w:t>l </w:t>
      </w:r>
      <w:r>
        <w:rPr>
          <w:rFonts w:ascii="Calibri"/>
          <w:color w:val="008356"/>
          <w:spacing w:val="4"/>
          <w:w w:val="110"/>
          <w:sz w:val="11"/>
        </w:rPr>
        <w:t>SULFADIAZINE</w:t>
      </w:r>
      <w:r>
        <w:rPr>
          <w:color w:val="231F1F"/>
          <w:spacing w:val="4"/>
          <w:w w:val="110"/>
          <w:sz w:val="12"/>
        </w:rPr>
        <w:t>; </w:t>
      </w:r>
      <w:r>
        <w:rPr>
          <w:color w:val="231F1F"/>
          <w:w w:val="110"/>
          <w:sz w:val="12"/>
        </w:rPr>
        <w:t>increased risk of nephrotoxicity when ciclosporin</w:t>
      </w:r>
      <w:r>
        <w:rPr>
          <w:color w:val="231F1F"/>
          <w:spacing w:val="-23"/>
          <w:w w:val="110"/>
          <w:sz w:val="12"/>
        </w:rPr>
        <w:t> </w:t>
      </w:r>
      <w:r>
        <w:rPr>
          <w:color w:val="231F1F"/>
          <w:w w:val="110"/>
          <w:sz w:val="12"/>
        </w:rPr>
        <w:t>given</w:t>
      </w:r>
      <w:r>
        <w:rPr>
          <w:color w:val="231F1F"/>
          <w:spacing w:val="-23"/>
          <w:w w:val="110"/>
          <w:sz w:val="12"/>
        </w:rPr>
        <w:t> </w:t>
      </w:r>
      <w:r>
        <w:rPr>
          <w:color w:val="231F1F"/>
          <w:w w:val="110"/>
          <w:sz w:val="12"/>
        </w:rPr>
        <w:t>with</w:t>
      </w:r>
      <w:r>
        <w:rPr>
          <w:color w:val="231F1F"/>
          <w:spacing w:val="-22"/>
          <w:w w:val="110"/>
          <w:sz w:val="12"/>
        </w:rPr>
        <w:t> </w:t>
      </w:r>
      <w:r>
        <w:rPr>
          <w:rFonts w:ascii="Arial"/>
          <w:color w:val="231F1F"/>
          <w:w w:val="350"/>
          <w:position w:val="1"/>
          <w:sz w:val="7"/>
        </w:rPr>
        <w:t>l</w:t>
      </w:r>
      <w:r>
        <w:rPr>
          <w:rFonts w:ascii="Arial"/>
          <w:color w:val="231F1F"/>
          <w:spacing w:val="-59"/>
          <w:w w:val="350"/>
          <w:position w:val="1"/>
          <w:sz w:val="7"/>
        </w:rPr>
        <w:t> </w:t>
      </w:r>
      <w:r>
        <w:rPr>
          <w:rFonts w:ascii="Calibri"/>
          <w:color w:val="008356"/>
          <w:spacing w:val="4"/>
          <w:w w:val="110"/>
          <w:sz w:val="11"/>
        </w:rPr>
        <w:t>AMINOGLYCOSIDES</w:t>
      </w:r>
      <w:r>
        <w:rPr>
          <w:color w:val="231F1F"/>
          <w:spacing w:val="4"/>
          <w:w w:val="110"/>
          <w:sz w:val="12"/>
        </w:rPr>
        <w:t>,</w:t>
      </w:r>
      <w:r>
        <w:rPr>
          <w:color w:val="231F1F"/>
          <w:spacing w:val="-22"/>
          <w:w w:val="110"/>
          <w:sz w:val="12"/>
        </w:rPr>
        <w:t> </w:t>
      </w:r>
      <w:r>
        <w:rPr>
          <w:rFonts w:ascii="Arial"/>
          <w:color w:val="231F1F"/>
          <w:w w:val="350"/>
          <w:position w:val="1"/>
          <w:sz w:val="7"/>
        </w:rPr>
        <w:t>l</w:t>
      </w:r>
      <w:r>
        <w:rPr>
          <w:rFonts w:ascii="Arial"/>
          <w:color w:val="231F1F"/>
          <w:spacing w:val="-59"/>
          <w:w w:val="350"/>
          <w:position w:val="1"/>
          <w:sz w:val="7"/>
        </w:rPr>
        <w:t> </w:t>
      </w:r>
      <w:r>
        <w:rPr>
          <w:rFonts w:ascii="Calibri"/>
          <w:color w:val="008356"/>
          <w:spacing w:val="3"/>
          <w:w w:val="110"/>
          <w:sz w:val="11"/>
        </w:rPr>
        <w:t>POLYMYXINS</w:t>
      </w:r>
      <w:r>
        <w:rPr>
          <w:color w:val="231F1F"/>
          <w:spacing w:val="3"/>
          <w:w w:val="110"/>
          <w:sz w:val="12"/>
        </w:rPr>
        <w:t>, </w:t>
      </w:r>
      <w:r>
        <w:rPr>
          <w:rFonts w:ascii="Arial"/>
          <w:color w:val="231F1F"/>
          <w:w w:val="260"/>
          <w:position w:val="1"/>
          <w:sz w:val="7"/>
        </w:rPr>
        <w:t>l</w:t>
      </w:r>
      <w:r>
        <w:rPr>
          <w:rFonts w:ascii="Arial"/>
          <w:color w:val="231F1F"/>
          <w:spacing w:val="-41"/>
          <w:w w:val="260"/>
          <w:position w:val="1"/>
          <w:sz w:val="7"/>
        </w:rPr>
        <w:t> </w:t>
      </w:r>
      <w:r>
        <w:rPr>
          <w:rFonts w:ascii="Calibri"/>
          <w:color w:val="008356"/>
          <w:spacing w:val="4"/>
          <w:w w:val="110"/>
          <w:sz w:val="11"/>
        </w:rPr>
        <w:t>QUINOLONES</w:t>
      </w:r>
      <w:r>
        <w:rPr>
          <w:color w:val="231F1F"/>
          <w:spacing w:val="4"/>
          <w:w w:val="110"/>
          <w:sz w:val="12"/>
        </w:rPr>
        <w:t>,</w:t>
      </w:r>
      <w:r>
        <w:rPr>
          <w:color w:val="231F1F"/>
          <w:spacing w:val="-23"/>
          <w:w w:val="110"/>
          <w:sz w:val="12"/>
        </w:rPr>
        <w:t> </w:t>
      </w:r>
      <w:r>
        <w:rPr>
          <w:rFonts w:ascii="Arial"/>
          <w:color w:val="231F1F"/>
          <w:w w:val="260"/>
          <w:position w:val="1"/>
          <w:sz w:val="7"/>
        </w:rPr>
        <w:t>l</w:t>
      </w:r>
      <w:r>
        <w:rPr>
          <w:rFonts w:ascii="Arial"/>
          <w:color w:val="231F1F"/>
          <w:spacing w:val="-40"/>
          <w:w w:val="260"/>
          <w:position w:val="1"/>
          <w:sz w:val="7"/>
        </w:rPr>
        <w:t> </w:t>
      </w:r>
      <w:r>
        <w:rPr>
          <w:rFonts w:ascii="Calibri"/>
          <w:color w:val="008356"/>
          <w:spacing w:val="4"/>
          <w:w w:val="110"/>
          <w:sz w:val="11"/>
        </w:rPr>
        <w:t>SULFONAMIDES</w:t>
      </w:r>
      <w:r>
        <w:rPr>
          <w:rFonts w:ascii="Calibri"/>
          <w:color w:val="008356"/>
          <w:spacing w:val="-15"/>
          <w:w w:val="110"/>
          <w:sz w:val="11"/>
        </w:rPr>
        <w:t> </w:t>
      </w:r>
      <w:r>
        <w:rPr>
          <w:color w:val="231F1F"/>
          <w:w w:val="110"/>
          <w:sz w:val="12"/>
        </w:rPr>
        <w:t>or</w:t>
      </w:r>
      <w:r>
        <w:rPr>
          <w:color w:val="231F1F"/>
          <w:spacing w:val="-23"/>
          <w:w w:val="110"/>
          <w:sz w:val="12"/>
        </w:rPr>
        <w:t> </w:t>
      </w:r>
      <w:r>
        <w:rPr>
          <w:rFonts w:ascii="Arial"/>
          <w:color w:val="231F1F"/>
          <w:w w:val="260"/>
          <w:position w:val="1"/>
          <w:sz w:val="7"/>
        </w:rPr>
        <w:t>l</w:t>
      </w:r>
      <w:r>
        <w:rPr>
          <w:rFonts w:ascii="Arial"/>
          <w:color w:val="231F1F"/>
          <w:spacing w:val="-41"/>
          <w:w w:val="260"/>
          <w:position w:val="1"/>
          <w:sz w:val="7"/>
        </w:rPr>
        <w:t> </w:t>
      </w:r>
      <w:r>
        <w:rPr>
          <w:rFonts w:ascii="Calibri"/>
          <w:color w:val="008356"/>
          <w:spacing w:val="4"/>
          <w:w w:val="110"/>
          <w:sz w:val="11"/>
        </w:rPr>
        <w:t>VANCOMYCIN</w:t>
      </w:r>
      <w:r>
        <w:rPr>
          <w:color w:val="231F1F"/>
          <w:spacing w:val="4"/>
          <w:w w:val="110"/>
          <w:sz w:val="12"/>
        </w:rPr>
        <w:t>;</w:t>
      </w:r>
      <w:r>
        <w:rPr>
          <w:color w:val="231F1F"/>
          <w:spacing w:val="-22"/>
          <w:w w:val="110"/>
          <w:sz w:val="12"/>
        </w:rPr>
        <w:t> </w:t>
      </w:r>
      <w:r>
        <w:rPr>
          <w:color w:val="231F1F"/>
          <w:w w:val="110"/>
          <w:sz w:val="12"/>
        </w:rPr>
        <w:t>plasma</w:t>
      </w:r>
    </w:p>
    <w:p>
      <w:pPr>
        <w:pStyle w:val="BodyText"/>
        <w:spacing w:before="1"/>
        <w:ind w:left="286"/>
      </w:pPr>
      <w:r>
        <w:rPr>
          <w:color w:val="231F1F"/>
          <w:w w:val="110"/>
        </w:rPr>
        <w:t>concentration of ciclosporin possibly increased by</w:t>
      </w:r>
    </w:p>
    <w:p>
      <w:pPr>
        <w:spacing w:after="0"/>
        <w:sectPr>
          <w:pgSz w:w="8390" w:h="11910"/>
          <w:pgMar w:header="0" w:footer="0" w:top="460" w:bottom="280" w:left="480" w:right="0"/>
          <w:cols w:num="2" w:equalWidth="0">
            <w:col w:w="3622" w:space="54"/>
            <w:col w:w="4234"/>
          </w:cols>
        </w:sectPr>
      </w:pPr>
    </w:p>
    <w:p>
      <w:pPr>
        <w:pStyle w:val="BodyText"/>
        <w:spacing w:before="8"/>
        <w:ind w:left="0"/>
        <w:rPr>
          <w:sz w:val="14"/>
        </w:rPr>
      </w:pPr>
    </w:p>
    <w:p>
      <w:pPr>
        <w:pStyle w:val="BodyText"/>
        <w:ind w:left="108"/>
        <w:rPr>
          <w:rFonts w:ascii="Arial"/>
        </w:rPr>
      </w:pPr>
      <w:r>
        <w:rPr>
          <w:rFonts w:ascii="Arial"/>
          <w:color w:val="008356"/>
        </w:rPr>
        <w:t>Ciclosporin</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Antibacterials (continued)</w:t>
      </w:r>
    </w:p>
    <w:p>
      <w:pPr>
        <w:spacing w:line="244" w:lineRule="auto"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CHLORAMPHENICOL </w:t>
      </w:r>
      <w:r>
        <w:rPr>
          <w:color w:val="231F1F"/>
          <w:w w:val="110"/>
          <w:sz w:val="12"/>
        </w:rPr>
        <w:t>and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TELITHROMYCIN</w:t>
      </w:r>
      <w:r>
        <w:rPr>
          <w:color w:val="231F1F"/>
          <w:spacing w:val="4"/>
          <w:w w:val="110"/>
          <w:sz w:val="12"/>
        </w:rPr>
        <w:t>; </w:t>
      </w:r>
      <w:r>
        <w:rPr>
          <w:color w:val="231F1F"/>
          <w:w w:val="110"/>
          <w:sz w:val="12"/>
        </w:rPr>
        <w:t>increased risk of myopathy when ciclosporin given with </w:t>
      </w:r>
      <w:r>
        <w:rPr>
          <w:rFonts w:ascii="Arial"/>
          <w:color w:val="231F1F"/>
          <w:w w:val="355"/>
          <w:position w:val="1"/>
          <w:sz w:val="7"/>
        </w:rPr>
        <w:t>l </w:t>
      </w:r>
      <w:r>
        <w:rPr>
          <w:rFonts w:ascii="Calibri"/>
          <w:color w:val="008356"/>
          <w:spacing w:val="4"/>
          <w:w w:val="110"/>
          <w:sz w:val="11"/>
        </w:rPr>
        <w:t>DAPTOMYCIN </w:t>
      </w:r>
      <w:r>
        <w:rPr>
          <w:color w:val="231F1F"/>
          <w:w w:val="110"/>
          <w:sz w:val="12"/>
        </w:rPr>
        <w:t>(preferably avoid concomitant use); avoidance of ciclosporin advised by manufacturer of </w:t>
      </w:r>
      <w:r>
        <w:rPr>
          <w:rFonts w:ascii="Calibri"/>
          <w:color w:val="008356"/>
          <w:spacing w:val="4"/>
          <w:w w:val="110"/>
          <w:sz w:val="11"/>
        </w:rPr>
        <w:t>FIDAXOMICIN</w:t>
      </w:r>
      <w:r>
        <w:rPr>
          <w:color w:val="231F1F"/>
          <w:spacing w:val="4"/>
          <w:w w:val="110"/>
          <w:sz w:val="12"/>
        </w:rPr>
        <w:t>; </w:t>
      </w:r>
      <w:r>
        <w:rPr>
          <w:color w:val="231F1F"/>
          <w:w w:val="110"/>
          <w:sz w:val="12"/>
        </w:rPr>
        <w:t>metabolism of ciclosporin possibly inhibited by </w:t>
      </w:r>
      <w:r>
        <w:rPr>
          <w:rFonts w:ascii="Arial"/>
          <w:color w:val="231F1F"/>
          <w:w w:val="355"/>
          <w:position w:val="1"/>
          <w:sz w:val="7"/>
        </w:rPr>
        <w:t>l </w:t>
      </w:r>
      <w:r>
        <w:rPr>
          <w:rFonts w:ascii="Calibri"/>
          <w:color w:val="008356"/>
          <w:spacing w:val="4"/>
          <w:w w:val="110"/>
          <w:sz w:val="11"/>
        </w:rPr>
        <w:t>MACROLIDES </w:t>
      </w:r>
      <w:r>
        <w:rPr>
          <w:color w:val="231F1F"/>
          <w:w w:val="110"/>
          <w:sz w:val="12"/>
        </w:rPr>
        <w:t>(increased plasma concentration); increased risk of nephrotoxicity </w:t>
      </w:r>
      <w:r>
        <w:rPr>
          <w:color w:val="231F1F"/>
          <w:spacing w:val="-4"/>
          <w:w w:val="110"/>
          <w:sz w:val="12"/>
        </w:rPr>
        <w:t>when </w:t>
      </w:r>
      <w:r>
        <w:rPr>
          <w:color w:val="231F1F"/>
          <w:w w:val="110"/>
          <w:sz w:val="12"/>
        </w:rPr>
        <w:t>ciclosporin given with </w:t>
      </w:r>
      <w:r>
        <w:rPr>
          <w:rFonts w:ascii="Arial"/>
          <w:color w:val="231F1F"/>
          <w:w w:val="355"/>
          <w:position w:val="1"/>
          <w:sz w:val="7"/>
        </w:rPr>
        <w:t>l </w:t>
      </w:r>
      <w:r>
        <w:rPr>
          <w:rFonts w:ascii="Calibri"/>
          <w:color w:val="008356"/>
          <w:spacing w:val="4"/>
          <w:w w:val="110"/>
          <w:sz w:val="11"/>
        </w:rPr>
        <w:t>TRIMETHOPRIM</w:t>
      </w:r>
      <w:r>
        <w:rPr>
          <w:color w:val="231F1F"/>
          <w:spacing w:val="4"/>
          <w:w w:val="110"/>
          <w:sz w:val="12"/>
        </w:rPr>
        <w:t>, </w:t>
      </w:r>
      <w:r>
        <w:rPr>
          <w:color w:val="231F1F"/>
          <w:w w:val="110"/>
          <w:sz w:val="12"/>
        </w:rPr>
        <w:t>also plasma concentration of ciclosporin reduced by </w:t>
      </w:r>
      <w:r>
        <w:rPr>
          <w:i/>
          <w:color w:val="231F1F"/>
          <w:w w:val="110"/>
          <w:sz w:val="12"/>
        </w:rPr>
        <w:t>intravenous </w:t>
      </w:r>
      <w:r>
        <w:rPr>
          <w:color w:val="231F1F"/>
          <w:w w:val="110"/>
          <w:sz w:val="12"/>
        </w:rPr>
        <w:t>trimethoprim</w:t>
      </w:r>
    </w:p>
    <w:p>
      <w:pPr>
        <w:pStyle w:val="BodyText"/>
        <w:spacing w:before="1"/>
        <w:ind w:hanging="100"/>
      </w:pPr>
      <w:r>
        <w:rPr>
          <w:rFonts w:ascii="Arial" w:hAnsi="Arial"/>
          <w:color w:val="231F1F"/>
          <w:w w:val="355"/>
          <w:position w:val="1"/>
          <w:sz w:val="7"/>
        </w:rPr>
        <w:t>l </w:t>
      </w:r>
      <w:r>
        <w:rPr>
          <w:rFonts w:ascii="Calibri" w:hAnsi="Calibri"/>
          <w:color w:val="231F1F"/>
          <w:w w:val="120"/>
        </w:rPr>
        <w:t>Anticoagulants: </w:t>
      </w:r>
      <w:r>
        <w:rPr>
          <w:color w:val="231F1F"/>
          <w:w w:val="120"/>
        </w:rPr>
        <w:t>ciclosporin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DABIGATRAN</w:t>
      </w:r>
      <w:r>
        <w:rPr>
          <w:rFonts w:ascii="Arial" w:hAnsi="Arial"/>
          <w:color w:val="231F1F"/>
          <w:w w:val="115"/>
        </w:rPr>
        <w:t>—</w:t>
      </w:r>
      <w:r>
        <w:rPr>
          <w:color w:val="231F1F"/>
          <w:w w:val="115"/>
        </w:rPr>
        <w:t>manufacturer of dabigatran </w:t>
      </w:r>
      <w:r>
        <w:rPr>
          <w:color w:val="231F1F"/>
          <w:w w:val="120"/>
        </w:rPr>
        <w:t>advises avoid concomitant use</w:t>
      </w:r>
    </w:p>
    <w:p>
      <w:pPr>
        <w:pStyle w:val="BodyText"/>
        <w:spacing w:before="2"/>
        <w:ind w:right="103"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ciclosporin </w:t>
      </w:r>
      <w:r>
        <w:rPr>
          <w:color w:val="231F1F"/>
          <w:spacing w:val="-3"/>
          <w:w w:val="110"/>
        </w:rPr>
        <w:t>reduced </w:t>
      </w:r>
      <w:r>
        <w:rPr>
          <w:color w:val="231F1F"/>
          <w:w w:val="110"/>
        </w:rPr>
        <w:t>by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pStyle w:val="BodyText"/>
        <w:spacing w:line="220" w:lineRule="auto" w:before="5"/>
        <w:ind w:right="103"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ciclosporin possibly enhances hypoglycaemic effect of </w:t>
      </w:r>
      <w:r>
        <w:rPr>
          <w:rFonts w:ascii="Calibri" w:hAnsi="Calibri"/>
          <w:color w:val="008356"/>
          <w:w w:val="105"/>
          <w:sz w:val="11"/>
        </w:rPr>
        <w:t>REPAGLINIDE</w:t>
      </w:r>
    </w:p>
    <w:p>
      <w:pPr>
        <w:pStyle w:val="BodyText"/>
        <w:spacing w:line="146" w:lineRule="exact" w:before="1"/>
        <w:ind w:left="108"/>
      </w:pPr>
      <w:r>
        <w:rPr>
          <w:rFonts w:ascii="Arial"/>
          <w:color w:val="231F1F"/>
          <w:w w:val="355"/>
          <w:position w:val="1"/>
          <w:sz w:val="7"/>
        </w:rPr>
        <w:t>l </w:t>
      </w:r>
      <w:r>
        <w:rPr>
          <w:rFonts w:ascii="Calibri"/>
          <w:color w:val="231F1F"/>
          <w:w w:val="110"/>
        </w:rPr>
        <w:t>Antiepileptics: </w:t>
      </w:r>
      <w:r>
        <w:rPr>
          <w:color w:val="231F1F"/>
          <w:w w:val="110"/>
        </w:rPr>
        <w:t>metabolism of ciclosporin accelerated by</w:t>
      </w:r>
    </w:p>
    <w:p>
      <w:pPr>
        <w:spacing w:line="141" w:lineRule="exact" w:before="0"/>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20"/>
          <w:sz w:val="11"/>
        </w:rPr>
        <w:t>PHENOBARBITAL</w:t>
      </w:r>
      <w:r>
        <w:rPr>
          <w:color w:val="231F1F"/>
          <w:spacing w:val="4"/>
          <w:w w:val="120"/>
          <w:sz w:val="12"/>
        </w:rPr>
        <w:t>,</w:t>
      </w:r>
    </w:p>
    <w:p>
      <w:pPr>
        <w:spacing w:line="247" w:lineRule="auto" w:before="2"/>
        <w:ind w:left="208" w:right="103" w:firstLine="0"/>
        <w:jc w:val="left"/>
        <w:rPr>
          <w:rFonts w:ascii="Calibri"/>
          <w:sz w:val="11"/>
        </w:rPr>
      </w:pPr>
      <w:r>
        <w:rPr>
          <w:rFonts w:ascii="Arial"/>
          <w:color w:val="231F1F"/>
          <w:w w:val="355"/>
          <w:position w:val="1"/>
          <w:sz w:val="7"/>
        </w:rPr>
        <w:t>l </w:t>
      </w:r>
      <w:r>
        <w:rPr>
          <w:rFonts w:ascii="Calibri"/>
          <w:color w:val="008356"/>
          <w:w w:val="110"/>
          <w:sz w:val="11"/>
        </w:rPr>
        <w:t>PHENYTOIN </w:t>
      </w:r>
      <w:r>
        <w:rPr>
          <w:color w:val="231F1F"/>
          <w:w w:val="110"/>
          <w:sz w:val="12"/>
        </w:rPr>
        <w:t>and </w:t>
      </w:r>
      <w:r>
        <w:rPr>
          <w:rFonts w:ascii="Arial"/>
          <w:color w:val="231F1F"/>
          <w:w w:val="355"/>
          <w:position w:val="1"/>
          <w:sz w:val="7"/>
        </w:rPr>
        <w:t>l </w:t>
      </w:r>
      <w:r>
        <w:rPr>
          <w:rFonts w:ascii="Calibri"/>
          <w:color w:val="008356"/>
          <w:w w:val="110"/>
          <w:sz w:val="11"/>
        </w:rPr>
        <w:t>PRIMIDONE </w:t>
      </w:r>
      <w:r>
        <w:rPr>
          <w:color w:val="231F1F"/>
          <w:w w:val="110"/>
          <w:sz w:val="12"/>
        </w:rPr>
        <w:t>(reduced plasma concentration); plasma concentration of ciclosporin possibly reduced by </w:t>
      </w:r>
      <w:r>
        <w:rPr>
          <w:rFonts w:ascii="Calibri"/>
          <w:color w:val="008356"/>
          <w:w w:val="110"/>
          <w:sz w:val="11"/>
        </w:rPr>
        <w:t>OXCARBAZEPINE</w:t>
      </w:r>
    </w:p>
    <w:p>
      <w:pPr>
        <w:pStyle w:val="BodyText"/>
        <w:spacing w:line="139" w:lineRule="exact"/>
        <w:ind w:left="108"/>
      </w:pPr>
      <w:r>
        <w:rPr>
          <w:rFonts w:ascii="Arial"/>
          <w:color w:val="231F1F"/>
          <w:w w:val="355"/>
          <w:position w:val="1"/>
          <w:sz w:val="7"/>
        </w:rPr>
        <w:t>l </w:t>
      </w:r>
      <w:r>
        <w:rPr>
          <w:rFonts w:ascii="Calibri"/>
          <w:color w:val="231F1F"/>
          <w:w w:val="115"/>
        </w:rPr>
        <w:t>Antifungals: </w:t>
      </w:r>
      <w:r>
        <w:rPr>
          <w:color w:val="231F1F"/>
          <w:w w:val="115"/>
        </w:rPr>
        <w:t>metabolism of ciclosporin inhibited by</w:t>
      </w:r>
    </w:p>
    <w:p>
      <w:pPr>
        <w:spacing w:line="141" w:lineRule="exact"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FLUCONAZOLE</w:t>
      </w:r>
      <w:r>
        <w:rPr>
          <w:color w:val="231F1F"/>
          <w:spacing w:val="4"/>
          <w:w w:val="115"/>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ITRACONAZOLE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KETOCONAZOLE</w:t>
      </w:r>
      <w:r>
        <w:rPr>
          <w:color w:val="231F1F"/>
          <w:spacing w:val="4"/>
          <w:w w:val="115"/>
          <w:sz w:val="12"/>
        </w:rPr>
        <w:t>,</w:t>
      </w:r>
    </w:p>
    <w:p>
      <w:pPr>
        <w:pStyle w:val="BodyText"/>
        <w:spacing w:line="244" w:lineRule="auto" w:before="3"/>
        <w:ind w:right="72"/>
      </w:pPr>
      <w:r>
        <w:rPr>
          <w:rFonts w:ascii="Arial"/>
          <w:color w:val="231F1F"/>
          <w:w w:val="355"/>
          <w:position w:val="1"/>
          <w:sz w:val="7"/>
        </w:rPr>
        <w:t>l </w:t>
      </w:r>
      <w:r>
        <w:rPr>
          <w:rFonts w:ascii="Calibri"/>
          <w:color w:val="008356"/>
          <w:spacing w:val="4"/>
          <w:w w:val="110"/>
          <w:sz w:val="11"/>
        </w:rPr>
        <w:t>POSACONAZOLE </w:t>
      </w:r>
      <w:r>
        <w:rPr>
          <w:color w:val="231F1F"/>
          <w:w w:val="110"/>
        </w:rPr>
        <w:t>and </w:t>
      </w:r>
      <w:r>
        <w:rPr>
          <w:rFonts w:ascii="Arial"/>
          <w:color w:val="231F1F"/>
          <w:w w:val="355"/>
          <w:position w:val="1"/>
          <w:sz w:val="7"/>
        </w:rPr>
        <w:t>l </w:t>
      </w:r>
      <w:r>
        <w:rPr>
          <w:rFonts w:ascii="Calibri"/>
          <w:color w:val="008356"/>
          <w:spacing w:val="4"/>
          <w:w w:val="110"/>
          <w:sz w:val="11"/>
        </w:rPr>
        <w:t>VORICONAZOLE </w:t>
      </w:r>
      <w:r>
        <w:rPr>
          <w:color w:val="231F1F"/>
          <w:w w:val="110"/>
        </w:rPr>
        <w:t>(increased plasma concentration); metabolism of ciclosporin possibly inhibited by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MICONAZOLE </w:t>
      </w:r>
      <w:r>
        <w:rPr>
          <w:color w:val="231F1F"/>
          <w:w w:val="110"/>
        </w:rPr>
        <w:t>(increased plasma concentration); increased risk of nephrotoxicity when ciclosporin given</w:t>
      </w:r>
      <w:r>
        <w:rPr>
          <w:color w:val="231F1F"/>
          <w:spacing w:val="3"/>
          <w:w w:val="110"/>
        </w:rPr>
        <w:t> </w:t>
      </w:r>
      <w:r>
        <w:rPr>
          <w:color w:val="231F1F"/>
          <w:w w:val="110"/>
        </w:rPr>
        <w:t>with</w:t>
      </w:r>
    </w:p>
    <w:p>
      <w:pPr>
        <w:spacing w:line="244" w:lineRule="auto" w:before="3"/>
        <w:ind w:left="208" w:right="136" w:firstLine="0"/>
        <w:jc w:val="left"/>
        <w:rPr>
          <w:rFonts w:ascii="Calibri"/>
          <w:sz w:val="11"/>
        </w:rPr>
      </w:pPr>
      <w:r>
        <w:rPr>
          <w:rFonts w:ascii="Arial"/>
          <w:color w:val="231F1F"/>
          <w:w w:val="355"/>
          <w:position w:val="1"/>
          <w:sz w:val="7"/>
        </w:rPr>
        <w:t>l </w:t>
      </w:r>
      <w:r>
        <w:rPr>
          <w:rFonts w:ascii="Calibri"/>
          <w:color w:val="008356"/>
          <w:spacing w:val="4"/>
          <w:w w:val="105"/>
          <w:sz w:val="11"/>
        </w:rPr>
        <w:t>AMPHOTERICIN</w:t>
      </w:r>
      <w:r>
        <w:rPr>
          <w:color w:val="231F1F"/>
          <w:spacing w:val="4"/>
          <w:w w:val="105"/>
          <w:sz w:val="12"/>
        </w:rPr>
        <w:t>; </w:t>
      </w:r>
      <w:r>
        <w:rPr>
          <w:color w:val="231F1F"/>
          <w:w w:val="105"/>
          <w:sz w:val="12"/>
        </w:rPr>
        <w:t>ciclosporin increases plasma  concentration of </w:t>
      </w:r>
      <w:r>
        <w:rPr>
          <w:rFonts w:ascii="Arial"/>
          <w:color w:val="231F1F"/>
          <w:w w:val="355"/>
          <w:position w:val="1"/>
          <w:sz w:val="7"/>
        </w:rPr>
        <w:t>l </w:t>
      </w:r>
      <w:r>
        <w:rPr>
          <w:rFonts w:ascii="Calibri"/>
          <w:color w:val="008356"/>
          <w:spacing w:val="4"/>
          <w:w w:val="105"/>
          <w:sz w:val="11"/>
        </w:rPr>
        <w:t>CASPOFUNGIN </w:t>
      </w:r>
      <w:r>
        <w:rPr>
          <w:color w:val="231F1F"/>
          <w:w w:val="105"/>
          <w:sz w:val="12"/>
        </w:rPr>
        <w:t>(manufacturer of caspofungin recommends monitoring liver  enzymes);  plasma  concentration  of ciclosporin possibly reduced by </w:t>
      </w:r>
      <w:r>
        <w:rPr>
          <w:rFonts w:ascii="Calibri"/>
          <w:color w:val="008356"/>
          <w:spacing w:val="3"/>
          <w:w w:val="105"/>
          <w:sz w:val="11"/>
        </w:rPr>
        <w:t>GRISEOFULVIN  </w:t>
      </w:r>
      <w:r>
        <w:rPr>
          <w:color w:val="231F1F"/>
          <w:w w:val="105"/>
          <w:sz w:val="12"/>
        </w:rPr>
        <w:t>and </w:t>
      </w:r>
      <w:r>
        <w:rPr>
          <w:rFonts w:ascii="Calibri"/>
          <w:color w:val="008356"/>
          <w:spacing w:val="4"/>
          <w:w w:val="105"/>
          <w:sz w:val="11"/>
        </w:rPr>
        <w:t>TERBINAFINE</w:t>
      </w:r>
      <w:r>
        <w:rPr>
          <w:color w:val="231F1F"/>
          <w:spacing w:val="4"/>
          <w:w w:val="105"/>
          <w:sz w:val="12"/>
        </w:rPr>
        <w:t>; </w:t>
      </w:r>
      <w:r>
        <w:rPr>
          <w:color w:val="231F1F"/>
          <w:w w:val="105"/>
          <w:sz w:val="12"/>
        </w:rPr>
        <w:t>plasma concentration of ciclosporin possibly increased by</w:t>
      </w:r>
      <w:r>
        <w:rPr>
          <w:color w:val="231F1F"/>
          <w:spacing w:val="-3"/>
          <w:w w:val="105"/>
          <w:sz w:val="12"/>
        </w:rPr>
        <w:t> </w:t>
      </w:r>
      <w:r>
        <w:rPr>
          <w:rFonts w:ascii="Calibri"/>
          <w:color w:val="008356"/>
          <w:spacing w:val="4"/>
          <w:w w:val="105"/>
          <w:sz w:val="11"/>
        </w:rPr>
        <w:t>MICAFUNGIN</w:t>
      </w:r>
    </w:p>
    <w:p>
      <w:pPr>
        <w:pStyle w:val="BodyText"/>
        <w:spacing w:line="140" w:lineRule="exact"/>
        <w:ind w:left="108"/>
      </w:pPr>
      <w:r>
        <w:rPr>
          <w:rFonts w:ascii="Arial"/>
          <w:color w:val="231F1F"/>
          <w:w w:val="355"/>
          <w:position w:val="1"/>
          <w:sz w:val="7"/>
        </w:rPr>
        <w:t>l </w:t>
      </w:r>
      <w:r>
        <w:rPr>
          <w:rFonts w:ascii="Calibri"/>
          <w:color w:val="231F1F"/>
          <w:w w:val="115"/>
        </w:rPr>
        <w:t>Antimalarials: </w:t>
      </w:r>
      <w:r>
        <w:rPr>
          <w:color w:val="231F1F"/>
          <w:w w:val="115"/>
        </w:rPr>
        <w:t>plasma concentration of ciclosporin increased</w:t>
      </w:r>
    </w:p>
    <w:p>
      <w:pPr>
        <w:spacing w:before="0"/>
        <w:ind w:left="208" w:right="13" w:hanging="1"/>
        <w:jc w:val="left"/>
        <w:rPr>
          <w:sz w:val="12"/>
        </w:rPr>
      </w:pPr>
      <w:r>
        <w:rPr>
          <w:color w:val="231F1F"/>
          <w:w w:val="110"/>
          <w:sz w:val="12"/>
        </w:rPr>
        <w:t>by </w:t>
      </w:r>
      <w:r>
        <w:rPr>
          <w:rFonts w:ascii="Arial"/>
          <w:color w:val="231F1F"/>
          <w:w w:val="265"/>
          <w:position w:val="1"/>
          <w:sz w:val="7"/>
        </w:rPr>
        <w:t>l </w:t>
      </w:r>
      <w:r>
        <w:rPr>
          <w:rFonts w:ascii="Calibri"/>
          <w:color w:val="008356"/>
          <w:w w:val="110"/>
          <w:sz w:val="11"/>
        </w:rPr>
        <w:t>CHLOROQUINE </w:t>
      </w:r>
      <w:r>
        <w:rPr>
          <w:color w:val="231F1F"/>
          <w:w w:val="110"/>
          <w:sz w:val="12"/>
        </w:rPr>
        <w:t>and </w:t>
      </w:r>
      <w:r>
        <w:rPr>
          <w:rFonts w:ascii="Arial"/>
          <w:color w:val="231F1F"/>
          <w:w w:val="265"/>
          <w:position w:val="1"/>
          <w:sz w:val="7"/>
        </w:rPr>
        <w:t>l </w:t>
      </w:r>
      <w:r>
        <w:rPr>
          <w:rFonts w:ascii="Calibri"/>
          <w:color w:val="008356"/>
          <w:w w:val="110"/>
          <w:sz w:val="11"/>
        </w:rPr>
        <w:t>HYDROXYCHLOROQUINE </w:t>
      </w:r>
      <w:r>
        <w:rPr>
          <w:color w:val="231F1F"/>
          <w:w w:val="110"/>
          <w:sz w:val="12"/>
        </w:rPr>
        <w:t>(increased risk of toxicity)</w:t>
      </w:r>
    </w:p>
    <w:p>
      <w:pPr>
        <w:pStyle w:val="BodyText"/>
        <w:spacing w:line="220" w:lineRule="auto" w:before="12"/>
        <w:ind w:right="103"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avoidance of ciclosporin advised by manufacturer of </w:t>
      </w:r>
      <w:r>
        <w:rPr>
          <w:rFonts w:ascii="Calibri" w:hAnsi="Calibri"/>
          <w:color w:val="008356"/>
          <w:w w:val="105"/>
          <w:sz w:val="11"/>
        </w:rPr>
        <w:t>DARIFENACIN</w:t>
      </w:r>
    </w:p>
    <w:p>
      <w:pPr>
        <w:spacing w:before="0"/>
        <w:ind w:left="208" w:right="136"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increased risk of nephrotoxicity when ciclosporin given with </w:t>
      </w:r>
      <w:r>
        <w:rPr>
          <w:rFonts w:ascii="Calibri"/>
          <w:color w:val="008356"/>
          <w:w w:val="110"/>
          <w:sz w:val="11"/>
        </w:rPr>
        <w:t>ACICLOVIR </w:t>
      </w:r>
      <w:r>
        <w:rPr>
          <w:color w:val="231F1F"/>
          <w:w w:val="110"/>
          <w:sz w:val="12"/>
        </w:rPr>
        <w:t>or </w:t>
      </w:r>
      <w:r>
        <w:rPr>
          <w:rFonts w:ascii="Calibri"/>
          <w:color w:val="008356"/>
          <w:w w:val="110"/>
          <w:sz w:val="11"/>
        </w:rPr>
        <w:t>VALACICLOVIR</w:t>
      </w:r>
      <w:r>
        <w:rPr>
          <w:color w:val="231F1F"/>
          <w:w w:val="110"/>
          <w:sz w:val="12"/>
        </w:rPr>
        <w:t>; plasma concentration of ciclosporin possibly increased by </w:t>
      </w:r>
      <w:r>
        <w:rPr>
          <w:rFonts w:ascii="Arial"/>
          <w:color w:val="231F1F"/>
          <w:w w:val="355"/>
          <w:position w:val="1"/>
          <w:sz w:val="7"/>
        </w:rPr>
        <w:t>l </w:t>
      </w:r>
      <w:r>
        <w:rPr>
          <w:rFonts w:ascii="Calibri"/>
          <w:color w:val="008356"/>
          <w:w w:val="110"/>
          <w:sz w:val="11"/>
        </w:rPr>
        <w:t>ATAZANAVIR </w:t>
      </w:r>
      <w:r>
        <w:rPr>
          <w:color w:val="231F1F"/>
          <w:w w:val="110"/>
          <w:sz w:val="12"/>
        </w:rPr>
        <w:t>and</w:t>
      </w:r>
    </w:p>
    <w:p>
      <w:pPr>
        <w:pStyle w:val="BodyText"/>
        <w:spacing w:before="2"/>
      </w:pP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5"/>
          <w:sz w:val="11"/>
        </w:rPr>
        <w:t>RITONAVIR</w:t>
      </w:r>
      <w:r>
        <w:rPr>
          <w:color w:val="231F1F"/>
          <w:spacing w:val="3"/>
          <w:w w:val="115"/>
        </w:rPr>
        <w:t>;</w:t>
      </w:r>
      <w:r>
        <w:rPr>
          <w:color w:val="231F1F"/>
          <w:spacing w:val="-13"/>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ciclosporin</w:t>
      </w:r>
      <w:r>
        <w:rPr>
          <w:color w:val="231F1F"/>
          <w:spacing w:val="-14"/>
          <w:w w:val="115"/>
        </w:rPr>
        <w:t> </w:t>
      </w:r>
      <w:r>
        <w:rPr>
          <w:color w:val="231F1F"/>
          <w:w w:val="115"/>
        </w:rPr>
        <w:t>increased</w:t>
      </w:r>
      <w:r>
        <w:rPr>
          <w:color w:val="231F1F"/>
          <w:spacing w:val="-15"/>
          <w:w w:val="115"/>
        </w:rPr>
        <w:t> </w:t>
      </w:r>
      <w:r>
        <w:rPr>
          <w:color w:val="231F1F"/>
          <w:w w:val="115"/>
        </w:rPr>
        <w:t>by</w:t>
      </w:r>
    </w:p>
    <w:p>
      <w:pPr>
        <w:spacing w:before="2"/>
        <w:ind w:left="208" w:right="0" w:firstLine="0"/>
        <w:jc w:val="left"/>
        <w:rPr>
          <w:sz w:val="12"/>
        </w:rPr>
      </w:pPr>
      <w:r>
        <w:rPr>
          <w:rFonts w:ascii="Arial"/>
          <w:color w:val="231F1F"/>
          <w:w w:val="355"/>
          <w:position w:val="1"/>
          <w:sz w:val="7"/>
        </w:rPr>
        <w:t>l </w:t>
      </w:r>
      <w:r>
        <w:rPr>
          <w:rFonts w:ascii="Calibri"/>
          <w:color w:val="008356"/>
          <w:spacing w:val="4"/>
          <w:w w:val="110"/>
          <w:sz w:val="11"/>
        </w:rPr>
        <w:t>BOCEPREVIR</w:t>
      </w:r>
      <w:r>
        <w:rPr>
          <w:color w:val="231F1F"/>
          <w:spacing w:val="4"/>
          <w:w w:val="110"/>
          <w:sz w:val="12"/>
        </w:rPr>
        <w:t>, </w:t>
      </w:r>
      <w:r>
        <w:rPr>
          <w:rFonts w:ascii="Arial"/>
          <w:color w:val="231F1F"/>
          <w:w w:val="355"/>
          <w:position w:val="1"/>
          <w:sz w:val="7"/>
        </w:rPr>
        <w:t>l </w:t>
      </w:r>
      <w:r>
        <w:rPr>
          <w:rFonts w:ascii="Calibri"/>
          <w:color w:val="008356"/>
          <w:spacing w:val="4"/>
          <w:w w:val="110"/>
          <w:sz w:val="11"/>
        </w:rPr>
        <w:t>FOSAMPRENAVIR </w:t>
      </w:r>
      <w:r>
        <w:rPr>
          <w:color w:val="231F1F"/>
          <w:w w:val="110"/>
          <w:sz w:val="12"/>
        </w:rPr>
        <w:t>and </w:t>
      </w:r>
      <w:r>
        <w:rPr>
          <w:rFonts w:ascii="Arial"/>
          <w:color w:val="231F1F"/>
          <w:w w:val="355"/>
          <w:position w:val="1"/>
          <w:sz w:val="7"/>
        </w:rPr>
        <w:t>l </w:t>
      </w:r>
      <w:r>
        <w:rPr>
          <w:rFonts w:ascii="Calibri"/>
          <w:color w:val="008356"/>
          <w:spacing w:val="4"/>
          <w:w w:val="110"/>
          <w:sz w:val="11"/>
        </w:rPr>
        <w:t>INDINAVIR</w:t>
      </w:r>
      <w:r>
        <w:rPr>
          <w:color w:val="231F1F"/>
          <w:spacing w:val="4"/>
          <w:w w:val="110"/>
          <w:sz w:val="12"/>
        </w:rPr>
        <w:t>; </w:t>
      </w:r>
      <w:r>
        <w:rPr>
          <w:color w:val="231F1F"/>
          <w:w w:val="110"/>
          <w:sz w:val="12"/>
        </w:rPr>
        <w:t>plasma</w:t>
      </w:r>
    </w:p>
    <w:p>
      <w:pPr>
        <w:pStyle w:val="BodyText"/>
        <w:spacing w:line="244" w:lineRule="auto" w:before="2"/>
        <w:ind w:right="64"/>
      </w:pPr>
      <w:r>
        <w:rPr>
          <w:color w:val="231F1F"/>
          <w:w w:val="110"/>
        </w:rPr>
        <w:t>concentration of ciclosporin possibly reduced by </w:t>
      </w:r>
      <w:r>
        <w:rPr>
          <w:rFonts w:ascii="Arial"/>
          <w:color w:val="231F1F"/>
          <w:w w:val="355"/>
          <w:position w:val="1"/>
          <w:sz w:val="7"/>
        </w:rPr>
        <w:t>l </w:t>
      </w:r>
      <w:r>
        <w:rPr>
          <w:rFonts w:ascii="Calibri"/>
          <w:color w:val="008356"/>
          <w:w w:val="110"/>
          <w:sz w:val="11"/>
        </w:rPr>
        <w:t>EFAVIRENZ</w:t>
      </w:r>
      <w:r>
        <w:rPr>
          <w:color w:val="231F1F"/>
          <w:w w:val="110"/>
        </w:rPr>
        <w:t>; plasma concentration of both drugs increased when  ciclosporin given with </w:t>
      </w:r>
      <w:r>
        <w:rPr>
          <w:rFonts w:ascii="Arial"/>
          <w:color w:val="231F1F"/>
          <w:w w:val="355"/>
          <w:position w:val="1"/>
          <w:sz w:val="7"/>
        </w:rPr>
        <w:t>l</w:t>
      </w:r>
      <w:r>
        <w:rPr>
          <w:rFonts w:ascii="Arial"/>
          <w:color w:val="231F1F"/>
          <w:spacing w:val="-39"/>
          <w:w w:val="355"/>
          <w:position w:val="1"/>
          <w:sz w:val="7"/>
        </w:rPr>
        <w:t> </w:t>
      </w:r>
      <w:r>
        <w:rPr>
          <w:rFonts w:ascii="Calibri"/>
          <w:color w:val="008356"/>
          <w:spacing w:val="4"/>
          <w:w w:val="110"/>
          <w:sz w:val="11"/>
        </w:rPr>
        <w:t>SAQUINAVIR</w:t>
      </w:r>
      <w:r>
        <w:rPr>
          <w:color w:val="231F1F"/>
          <w:spacing w:val="4"/>
          <w:w w:val="110"/>
        </w:rPr>
        <w:t>; </w:t>
      </w:r>
      <w:r>
        <w:rPr>
          <w:color w:val="231F1F"/>
          <w:w w:val="110"/>
        </w:rPr>
        <w:t>plasma concentration of both drugs increased when ciclosporin given</w:t>
      </w:r>
      <w:r>
        <w:rPr>
          <w:color w:val="231F1F"/>
          <w:spacing w:val="4"/>
          <w:w w:val="110"/>
        </w:rPr>
        <w:t> </w:t>
      </w:r>
      <w:r>
        <w:rPr>
          <w:color w:val="231F1F"/>
          <w:w w:val="110"/>
        </w:rPr>
        <w:t>with</w:t>
      </w:r>
    </w:p>
    <w:p>
      <w:pPr>
        <w:spacing w:line="141" w:lineRule="exact" w:before="4"/>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TELAPREVIR </w:t>
      </w:r>
      <w:r>
        <w:rPr>
          <w:color w:val="231F1F"/>
          <w:w w:val="115"/>
          <w:sz w:val="12"/>
        </w:rPr>
        <w:t>(reduce dose of ciclosporin)</w:t>
      </w:r>
    </w:p>
    <w:p>
      <w:pPr>
        <w:pStyle w:val="BodyText"/>
        <w:ind w:right="136" w:hanging="100"/>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Beta-blockers:</w:t>
      </w:r>
      <w:r>
        <w:rPr>
          <w:rFonts w:ascii="Calibri"/>
          <w:color w:val="231F1F"/>
          <w:spacing w:val="-16"/>
          <w:w w:val="115"/>
        </w:rPr>
        <w:t> </w:t>
      </w:r>
      <w:r>
        <w:rPr>
          <w:color w:val="231F1F"/>
          <w:w w:val="115"/>
        </w:rPr>
        <w:t>plasma</w:t>
      </w:r>
      <w:r>
        <w:rPr>
          <w:color w:val="231F1F"/>
          <w:spacing w:val="-20"/>
          <w:w w:val="115"/>
        </w:rPr>
        <w:t> </w:t>
      </w:r>
      <w:r>
        <w:rPr>
          <w:color w:val="231F1F"/>
          <w:w w:val="115"/>
        </w:rPr>
        <w:t>concentration</w:t>
      </w:r>
      <w:r>
        <w:rPr>
          <w:color w:val="231F1F"/>
          <w:spacing w:val="-20"/>
          <w:w w:val="115"/>
        </w:rPr>
        <w:t> </w:t>
      </w:r>
      <w:r>
        <w:rPr>
          <w:color w:val="231F1F"/>
          <w:w w:val="115"/>
        </w:rPr>
        <w:t>of</w:t>
      </w:r>
      <w:r>
        <w:rPr>
          <w:color w:val="231F1F"/>
          <w:spacing w:val="-20"/>
          <w:w w:val="115"/>
        </w:rPr>
        <w:t> </w:t>
      </w:r>
      <w:r>
        <w:rPr>
          <w:color w:val="231F1F"/>
          <w:w w:val="115"/>
        </w:rPr>
        <w:t>ciclosporin</w:t>
      </w:r>
      <w:r>
        <w:rPr>
          <w:color w:val="231F1F"/>
          <w:spacing w:val="-20"/>
          <w:w w:val="115"/>
        </w:rPr>
        <w:t> </w:t>
      </w:r>
      <w:r>
        <w:rPr>
          <w:color w:val="231F1F"/>
          <w:w w:val="115"/>
        </w:rPr>
        <w:t>increased by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5"/>
          <w:sz w:val="11"/>
        </w:rPr>
        <w:t>CARVEDILOL</w:t>
      </w:r>
    </w:p>
    <w:p>
      <w:pPr>
        <w:pStyle w:val="BodyText"/>
        <w:spacing w:line="143" w:lineRule="exact"/>
        <w:ind w:left="108"/>
      </w:pPr>
      <w:r>
        <w:rPr>
          <w:rFonts w:ascii="Arial"/>
          <w:color w:val="231F1F"/>
          <w:w w:val="355"/>
          <w:position w:val="1"/>
          <w:sz w:val="7"/>
        </w:rPr>
        <w:t>l </w:t>
      </w:r>
      <w:r>
        <w:rPr>
          <w:rFonts w:ascii="Calibri"/>
          <w:color w:val="231F1F"/>
          <w:w w:val="120"/>
        </w:rPr>
        <w:t>Bile Acids: </w:t>
      </w:r>
      <w:r>
        <w:rPr>
          <w:color w:val="231F1F"/>
          <w:w w:val="120"/>
        </w:rPr>
        <w:t>absorption of ciclosporin increased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0"/>
          <w:sz w:val="11"/>
        </w:rPr>
        <w:t>URSODEOXYCHOLIC ACID</w:t>
      </w:r>
    </w:p>
    <w:p>
      <w:pPr>
        <w:pStyle w:val="BodyText"/>
        <w:ind w:right="374"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Bosentan:</w:t>
      </w:r>
      <w:r>
        <w:rPr>
          <w:rFonts w:ascii="Calibri" w:hAnsi="Calibri"/>
          <w:color w:val="231F1F"/>
          <w:spacing w:val="-13"/>
          <w:w w:val="115"/>
        </w:rPr>
        <w:t> </w:t>
      </w:r>
      <w:r>
        <w:rPr>
          <w:color w:val="231F1F"/>
          <w:w w:val="115"/>
        </w:rPr>
        <w:t>ciclosporin</w:t>
      </w:r>
      <w:r>
        <w:rPr>
          <w:color w:val="231F1F"/>
          <w:spacing w:val="-14"/>
          <w:w w:val="115"/>
        </w:rPr>
        <w:t> </w:t>
      </w:r>
      <w:r>
        <w:rPr>
          <w:color w:val="231F1F"/>
          <w:w w:val="115"/>
        </w:rPr>
        <w:t>increases</w:t>
      </w:r>
      <w:r>
        <w:rPr>
          <w:color w:val="231F1F"/>
          <w:spacing w:val="-15"/>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spacing w:val="-7"/>
          <w:w w:val="115"/>
        </w:rPr>
        <w:t>of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5"/>
          <w:sz w:val="11"/>
        </w:rPr>
        <w:t>BOSENTAN</w:t>
      </w:r>
      <w:r>
        <w:rPr>
          <w:rFonts w:ascii="Calibri" w:hAnsi="Calibri"/>
          <w:color w:val="008356"/>
          <w:spacing w:val="-2"/>
          <w:w w:val="115"/>
          <w:sz w:val="11"/>
        </w:rPr>
        <w:t> </w:t>
      </w:r>
      <w:r>
        <w:rPr>
          <w:color w:val="231F1F"/>
          <w:w w:val="115"/>
        </w:rPr>
        <w:t>(also</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ciclosporin reduced</w:t>
      </w:r>
      <w:r>
        <w:rPr>
          <w:rFonts w:ascii="Arial" w:hAnsi="Arial"/>
          <w:color w:val="231F1F"/>
          <w:w w:val="115"/>
        </w:rPr>
        <w:t>—</w:t>
      </w:r>
      <w:r>
        <w:rPr>
          <w:color w:val="231F1F"/>
          <w:w w:val="115"/>
        </w:rPr>
        <w:t>avoid concomitant</w:t>
      </w:r>
      <w:r>
        <w:rPr>
          <w:color w:val="231F1F"/>
          <w:spacing w:val="-11"/>
          <w:w w:val="115"/>
        </w:rPr>
        <w:t> </w:t>
      </w:r>
      <w:r>
        <w:rPr>
          <w:color w:val="231F1F"/>
          <w:w w:val="115"/>
        </w:rPr>
        <w:t>use)</w:t>
      </w:r>
    </w:p>
    <w:p>
      <w:pPr>
        <w:pStyle w:val="BodyText"/>
        <w:spacing w:line="146"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0"/>
        </w:rPr>
        <w:t>Calcium-channel Blockers: </w:t>
      </w:r>
      <w:r>
        <w:rPr>
          <w:color w:val="231F1F"/>
          <w:w w:val="110"/>
        </w:rPr>
        <w:t>combination of ciclosporin with</w:t>
      </w:r>
    </w:p>
    <w:p>
      <w:pPr>
        <w:spacing w:line="244" w:lineRule="auto" w:before="0"/>
        <w:ind w:left="208" w:right="64" w:firstLine="0"/>
        <w:jc w:val="left"/>
        <w:rPr>
          <w:sz w:val="12"/>
        </w:rPr>
      </w:pPr>
      <w:r>
        <w:rPr>
          <w:rFonts w:ascii="Arial" w:hAnsi="Arial"/>
          <w:color w:val="231F1F"/>
          <w:w w:val="355"/>
          <w:position w:val="1"/>
          <w:sz w:val="7"/>
        </w:rPr>
        <w:t>l </w:t>
      </w:r>
      <w:r>
        <w:rPr>
          <w:rFonts w:ascii="Calibri" w:hAnsi="Calibri"/>
          <w:color w:val="008356"/>
          <w:spacing w:val="4"/>
          <w:w w:val="110"/>
          <w:sz w:val="11"/>
        </w:rPr>
        <w:t>LERCANIDIPINE </w:t>
      </w:r>
      <w:r>
        <w:rPr>
          <w:color w:val="231F1F"/>
          <w:w w:val="110"/>
          <w:sz w:val="12"/>
        </w:rPr>
        <w:t>may increase plasma concentration of either drug (or both)</w:t>
      </w:r>
      <w:r>
        <w:rPr>
          <w:rFonts w:ascii="Arial" w:hAnsi="Arial"/>
          <w:color w:val="231F1F"/>
          <w:w w:val="110"/>
          <w:sz w:val="12"/>
        </w:rPr>
        <w:t>—</w:t>
      </w:r>
      <w:r>
        <w:rPr>
          <w:color w:val="231F1F"/>
          <w:w w:val="110"/>
          <w:sz w:val="12"/>
        </w:rPr>
        <w:t>avoid concomitant use; plasma </w:t>
      </w:r>
      <w:r>
        <w:rPr>
          <w:color w:val="231F1F"/>
          <w:spacing w:val="-2"/>
          <w:w w:val="110"/>
          <w:sz w:val="12"/>
        </w:rPr>
        <w:t>concentration </w:t>
      </w:r>
      <w:r>
        <w:rPr>
          <w:color w:val="231F1F"/>
          <w:w w:val="110"/>
          <w:sz w:val="12"/>
        </w:rPr>
        <w:t>of</w:t>
      </w:r>
      <w:r>
        <w:rPr>
          <w:color w:val="231F1F"/>
          <w:spacing w:val="-6"/>
          <w:w w:val="110"/>
          <w:sz w:val="12"/>
        </w:rPr>
        <w:t> </w:t>
      </w:r>
      <w:r>
        <w:rPr>
          <w:color w:val="231F1F"/>
          <w:w w:val="110"/>
          <w:sz w:val="12"/>
        </w:rPr>
        <w:t>ciclosporin</w:t>
      </w:r>
      <w:r>
        <w:rPr>
          <w:color w:val="231F1F"/>
          <w:spacing w:val="-5"/>
          <w:w w:val="110"/>
          <w:sz w:val="12"/>
        </w:rPr>
        <w:t> </w:t>
      </w:r>
      <w:r>
        <w:rPr>
          <w:color w:val="231F1F"/>
          <w:w w:val="110"/>
          <w:sz w:val="12"/>
        </w:rPr>
        <w:t>increased</w:t>
      </w:r>
      <w:r>
        <w:rPr>
          <w:color w:val="231F1F"/>
          <w:spacing w:val="-6"/>
          <w:w w:val="110"/>
          <w:sz w:val="12"/>
        </w:rPr>
        <w:t> </w:t>
      </w:r>
      <w:r>
        <w:rPr>
          <w:color w:val="231F1F"/>
          <w:w w:val="110"/>
          <w:sz w:val="12"/>
        </w:rPr>
        <w:t>by</w:t>
      </w:r>
      <w:r>
        <w:rPr>
          <w:color w:val="231F1F"/>
          <w:spacing w:val="-5"/>
          <w:w w:val="110"/>
          <w:sz w:val="12"/>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3"/>
          <w:w w:val="110"/>
          <w:sz w:val="11"/>
        </w:rPr>
        <w:t>DILTIAZEM</w:t>
      </w:r>
      <w:r>
        <w:rPr>
          <w:color w:val="231F1F"/>
          <w:spacing w:val="3"/>
          <w:w w:val="110"/>
          <w:sz w:val="12"/>
        </w:rPr>
        <w:t>,</w:t>
      </w:r>
      <w:r>
        <w:rPr>
          <w:color w:val="231F1F"/>
          <w:spacing w:val="-6"/>
          <w:w w:val="110"/>
          <w:sz w:val="12"/>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4"/>
          <w:w w:val="110"/>
          <w:sz w:val="11"/>
        </w:rPr>
        <w:t>NICARDIPINE</w:t>
      </w:r>
      <w:r>
        <w:rPr>
          <w:rFonts w:ascii="Calibri" w:hAnsi="Calibri"/>
          <w:color w:val="008356"/>
          <w:spacing w:val="6"/>
          <w:w w:val="110"/>
          <w:sz w:val="11"/>
        </w:rPr>
        <w:t> </w:t>
      </w:r>
      <w:r>
        <w:rPr>
          <w:color w:val="231F1F"/>
          <w:w w:val="110"/>
          <w:sz w:val="12"/>
        </w:rPr>
        <w:t>and</w:t>
      </w:r>
    </w:p>
    <w:p>
      <w:pPr>
        <w:pStyle w:val="BodyText"/>
        <w:spacing w:line="242" w:lineRule="auto"/>
        <w:ind w:right="103"/>
      </w:pPr>
      <w:r>
        <w:rPr>
          <w:rFonts w:ascii="Arial"/>
          <w:color w:val="231F1F"/>
          <w:w w:val="355"/>
          <w:position w:val="1"/>
          <w:sz w:val="7"/>
        </w:rPr>
        <w:t>l </w:t>
      </w:r>
      <w:r>
        <w:rPr>
          <w:rFonts w:ascii="Calibri"/>
          <w:color w:val="008356"/>
          <w:w w:val="110"/>
          <w:sz w:val="11"/>
        </w:rPr>
        <w:t>VERAPAMIL</w:t>
      </w:r>
      <w:r>
        <w:rPr>
          <w:color w:val="231F1F"/>
          <w:w w:val="110"/>
        </w:rPr>
        <w:t>; ciclosporin possibly increases plasma concentration of </w:t>
      </w:r>
      <w:r>
        <w:rPr>
          <w:rFonts w:ascii="Calibri"/>
          <w:color w:val="008356"/>
          <w:w w:val="110"/>
          <w:sz w:val="11"/>
        </w:rPr>
        <w:t>NIFEDIPINE </w:t>
      </w:r>
      <w:r>
        <w:rPr>
          <w:color w:val="231F1F"/>
          <w:w w:val="110"/>
        </w:rPr>
        <w:t>(increased risk of toxicity including gingival hyperplasia)</w:t>
      </w:r>
    </w:p>
    <w:p>
      <w:pPr>
        <w:pStyle w:val="BodyText"/>
        <w:spacing w:before="1"/>
        <w:ind w:hanging="100"/>
      </w:pPr>
      <w:r>
        <w:rPr>
          <w:rFonts w:ascii="Arial"/>
          <w:color w:val="231F1F"/>
          <w:w w:val="355"/>
          <w:position w:val="1"/>
          <w:sz w:val="7"/>
        </w:rPr>
        <w:t>l </w:t>
      </w:r>
      <w:r>
        <w:rPr>
          <w:rFonts w:ascii="Calibri"/>
          <w:color w:val="231F1F"/>
          <w:w w:val="110"/>
        </w:rPr>
        <w:t>Cardiac Glycosides: </w:t>
      </w:r>
      <w:r>
        <w:rPr>
          <w:color w:val="231F1F"/>
          <w:w w:val="110"/>
        </w:rPr>
        <w:t>ciclosporin increases plasma concentration of </w:t>
      </w:r>
      <w:r>
        <w:rPr>
          <w:rFonts w:ascii="Arial"/>
          <w:color w:val="231F1F"/>
          <w:w w:val="355"/>
          <w:position w:val="1"/>
          <w:sz w:val="7"/>
        </w:rPr>
        <w:t>l </w:t>
      </w:r>
      <w:r>
        <w:rPr>
          <w:rFonts w:ascii="Calibri"/>
          <w:color w:val="008356"/>
          <w:w w:val="110"/>
          <w:sz w:val="11"/>
        </w:rPr>
        <w:t>DIGOXIN </w:t>
      </w:r>
      <w:r>
        <w:rPr>
          <w:color w:val="231F1F"/>
          <w:w w:val="110"/>
        </w:rPr>
        <w:t>(increased risk of toxicity)</w:t>
      </w:r>
    </w:p>
    <w:p>
      <w:pPr>
        <w:pStyle w:val="BodyText"/>
        <w:spacing w:line="244" w:lineRule="auto"/>
        <w:ind w:right="103" w:hanging="100"/>
      </w:pPr>
      <w:r>
        <w:rPr>
          <w:rFonts w:ascii="Arial" w:hAnsi="Arial"/>
          <w:color w:val="231F1F"/>
          <w:w w:val="355"/>
          <w:position w:val="1"/>
          <w:sz w:val="7"/>
        </w:rPr>
        <w:t>l </w:t>
      </w:r>
      <w:r>
        <w:rPr>
          <w:rFonts w:ascii="Calibri" w:hAnsi="Calibri"/>
          <w:color w:val="231F1F"/>
          <w:w w:val="110"/>
        </w:rPr>
        <w:t>Colchicine: </w:t>
      </w:r>
      <w:r>
        <w:rPr>
          <w:color w:val="231F1F"/>
          <w:w w:val="110"/>
        </w:rPr>
        <w:t>possible increased risk of nephrotoxicity and myotoxicity when ciclosporin given with </w:t>
      </w:r>
      <w:r>
        <w:rPr>
          <w:rFonts w:ascii="Arial" w:hAnsi="Arial"/>
          <w:color w:val="231F1F"/>
          <w:w w:val="355"/>
          <w:position w:val="1"/>
          <w:sz w:val="7"/>
        </w:rPr>
        <w:t>l </w:t>
      </w:r>
      <w:r>
        <w:rPr>
          <w:rFonts w:ascii="Calibri" w:hAnsi="Calibri"/>
          <w:color w:val="008356"/>
          <w:spacing w:val="4"/>
          <w:w w:val="110"/>
          <w:sz w:val="11"/>
        </w:rPr>
        <w:t>COLCHICINE</w:t>
      </w:r>
      <w:r>
        <w:rPr>
          <w:rFonts w:ascii="Arial" w:hAnsi="Arial"/>
          <w:color w:val="231F1F"/>
          <w:spacing w:val="4"/>
          <w:w w:val="110"/>
        </w:rPr>
        <w:t>— </w:t>
      </w:r>
      <w:r>
        <w:rPr>
          <w:color w:val="231F1F"/>
          <w:w w:val="110"/>
        </w:rPr>
        <w:t>suspend or reduce dose of colchicine (avoid concomitant </w:t>
      </w:r>
      <w:r>
        <w:rPr>
          <w:color w:val="231F1F"/>
          <w:spacing w:val="-5"/>
          <w:w w:val="110"/>
        </w:rPr>
        <w:t>use </w:t>
      </w:r>
      <w:r>
        <w:rPr>
          <w:color w:val="231F1F"/>
          <w:w w:val="110"/>
        </w:rPr>
        <w:t>in hepatic or renal</w:t>
      </w:r>
      <w:r>
        <w:rPr>
          <w:color w:val="231F1F"/>
          <w:spacing w:val="-3"/>
          <w:w w:val="110"/>
        </w:rPr>
        <w:t> </w:t>
      </w:r>
      <w:r>
        <w:rPr>
          <w:color w:val="231F1F"/>
          <w:w w:val="110"/>
        </w:rPr>
        <w:t>impairment)</w:t>
      </w:r>
    </w:p>
    <w:p>
      <w:pPr>
        <w:pStyle w:val="BodyText"/>
        <w:spacing w:line="220" w:lineRule="auto" w:before="2"/>
        <w:ind w:right="95" w:hanging="100"/>
        <w:rPr>
          <w:rFonts w:ascii="Calibri" w:hAnsi="Calibri"/>
          <w:sz w:val="11"/>
        </w:rPr>
      </w:pPr>
      <w:r>
        <w:rPr>
          <w:rFonts w:ascii="Lucida Sans Unicode" w:hAnsi="Lucida Sans Unicode"/>
          <w:color w:val="A7A8AC"/>
          <w:w w:val="95"/>
          <w:sz w:val="10"/>
        </w:rPr>
        <w:t>▶ </w:t>
      </w:r>
      <w:r>
        <w:rPr>
          <w:rFonts w:ascii="Calibri" w:hAnsi="Calibri"/>
          <w:color w:val="231F1F"/>
          <w:w w:val="110"/>
        </w:rPr>
        <w:t>Colestilan: </w:t>
      </w:r>
      <w:r>
        <w:rPr>
          <w:color w:val="231F1F"/>
          <w:w w:val="110"/>
        </w:rPr>
        <w:t>manufacturer of colestilan advises give ciclosporin at least 1 hour before or 3 hours after </w:t>
      </w:r>
      <w:r>
        <w:rPr>
          <w:rFonts w:ascii="Calibri" w:hAnsi="Calibri"/>
          <w:color w:val="008356"/>
          <w:w w:val="110"/>
          <w:sz w:val="11"/>
        </w:rPr>
        <w:t>COLESTILAN</w:t>
      </w:r>
    </w:p>
    <w:p>
      <w:pPr>
        <w:pStyle w:val="BodyText"/>
        <w:ind w:hanging="100"/>
        <w:rPr>
          <w:rFonts w:ascii="Calibri"/>
          <w:sz w:val="11"/>
        </w:rPr>
      </w:pPr>
      <w:r>
        <w:rPr>
          <w:rFonts w:ascii="Arial"/>
          <w:color w:val="231F1F"/>
          <w:w w:val="355"/>
          <w:position w:val="1"/>
          <w:sz w:val="7"/>
        </w:rPr>
        <w:t>l </w:t>
      </w:r>
      <w:r>
        <w:rPr>
          <w:rFonts w:ascii="Calibri"/>
          <w:color w:val="231F1F"/>
          <w:w w:val="110"/>
        </w:rPr>
        <w:t>Corticosteroids: </w:t>
      </w:r>
      <w:r>
        <w:rPr>
          <w:color w:val="231F1F"/>
          <w:w w:val="110"/>
        </w:rPr>
        <w:t>plasma concentration of ciclosporin increased by high-dose </w:t>
      </w:r>
      <w:r>
        <w:rPr>
          <w:rFonts w:ascii="Arial"/>
          <w:color w:val="231F1F"/>
          <w:w w:val="355"/>
          <w:position w:val="1"/>
          <w:sz w:val="7"/>
        </w:rPr>
        <w:t>l </w:t>
      </w:r>
      <w:r>
        <w:rPr>
          <w:rFonts w:ascii="Calibri"/>
          <w:color w:val="008356"/>
          <w:w w:val="110"/>
          <w:sz w:val="11"/>
        </w:rPr>
        <w:t>METHYLPREDNISOLONE </w:t>
      </w:r>
      <w:r>
        <w:rPr>
          <w:color w:val="231F1F"/>
          <w:w w:val="110"/>
        </w:rPr>
        <w:t>(risk of convulsions); ciclosporin increases plasma concentration of </w:t>
      </w:r>
      <w:r>
        <w:rPr>
          <w:rFonts w:ascii="Calibri"/>
          <w:color w:val="008356"/>
          <w:w w:val="110"/>
          <w:sz w:val="11"/>
        </w:rPr>
        <w:t>PREDNISOLONE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Ciclosporin </w:t>
      </w:r>
      <w:r>
        <w:rPr>
          <w:rFonts w:ascii="Calibri"/>
          <w:color w:val="231F1F"/>
        </w:rPr>
        <w:t>(continued)</w:t>
      </w:r>
    </w:p>
    <w:p>
      <w:pPr>
        <w:pStyle w:val="BodyText"/>
        <w:spacing w:line="244" w:lineRule="auto"/>
        <w:ind w:right="655" w:hanging="100"/>
      </w:pPr>
      <w:r>
        <w:rPr/>
        <w:pict>
          <v:rect style="position:absolute;margin-left:398.891296pt;margin-top:-8.517115pt;width:20.522993pt;height:149.443pt;mso-position-horizontal-relative:page;mso-position-vertical-relative:paragraph;z-index:2944" filled="true" fillcolor="#bfdbcf" stroked="false">
            <v:fill type="solid"/>
            <w10:wrap type="none"/>
          </v:rect>
        </w:pict>
      </w:r>
      <w:r>
        <w:rPr/>
        <w:pict>
          <v:shape style="position:absolute;margin-left:399.725769pt;margin-top:-3.553726pt;width:10.4pt;height:78.850pt;mso-position-horizontal-relative:page;mso-position-vertical-relative:paragraph;z-index:296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rPr>
        <w:t>Cytotoxics:</w:t>
      </w:r>
      <w:r>
        <w:rPr>
          <w:rFonts w:ascii="Calibri" w:hAnsi="Calibri"/>
          <w:color w:val="231F1F"/>
          <w:spacing w:val="-11"/>
          <w:w w:val="115"/>
        </w:rPr>
        <w:t> </w:t>
      </w:r>
      <w:r>
        <w:rPr>
          <w:color w:val="231F1F"/>
          <w:w w:val="115"/>
        </w:rPr>
        <w:t>increased</w:t>
      </w:r>
      <w:r>
        <w:rPr>
          <w:color w:val="231F1F"/>
          <w:spacing w:val="-13"/>
          <w:w w:val="115"/>
        </w:rPr>
        <w:t> </w:t>
      </w:r>
      <w:r>
        <w:rPr>
          <w:color w:val="231F1F"/>
          <w:w w:val="115"/>
        </w:rPr>
        <w:t>risk</w:t>
      </w:r>
      <w:r>
        <w:rPr>
          <w:color w:val="231F1F"/>
          <w:spacing w:val="-14"/>
          <w:w w:val="115"/>
        </w:rPr>
        <w:t> </w:t>
      </w:r>
      <w:r>
        <w:rPr>
          <w:color w:val="231F1F"/>
          <w:w w:val="115"/>
        </w:rPr>
        <w:t>of</w:t>
      </w:r>
      <w:r>
        <w:rPr>
          <w:color w:val="231F1F"/>
          <w:spacing w:val="-13"/>
          <w:w w:val="115"/>
        </w:rPr>
        <w:t> </w:t>
      </w:r>
      <w:r>
        <w:rPr>
          <w:color w:val="231F1F"/>
          <w:w w:val="115"/>
        </w:rPr>
        <w:t>nephrotoxicity</w:t>
      </w:r>
      <w:r>
        <w:rPr>
          <w:color w:val="231F1F"/>
          <w:spacing w:val="-14"/>
          <w:w w:val="115"/>
        </w:rPr>
        <w:t> </w:t>
      </w:r>
      <w:r>
        <w:rPr>
          <w:color w:val="231F1F"/>
          <w:w w:val="115"/>
        </w:rPr>
        <w:t>when</w:t>
      </w:r>
      <w:r>
        <w:rPr>
          <w:color w:val="231F1F"/>
          <w:spacing w:val="-13"/>
          <w:w w:val="115"/>
        </w:rPr>
        <w:t> </w:t>
      </w:r>
      <w:r>
        <w:rPr>
          <w:color w:val="231F1F"/>
          <w:w w:val="115"/>
        </w:rPr>
        <w:t>ciclosporin given</w:t>
      </w:r>
      <w:r>
        <w:rPr>
          <w:color w:val="231F1F"/>
          <w:spacing w:val="-19"/>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MELPHALAN</w:t>
      </w:r>
      <w:r>
        <w:rPr>
          <w:color w:val="231F1F"/>
          <w:spacing w:val="4"/>
          <w:w w:val="115"/>
        </w:rPr>
        <w:t>;</w:t>
      </w:r>
      <w:r>
        <w:rPr>
          <w:color w:val="231F1F"/>
          <w:spacing w:val="-18"/>
          <w:w w:val="115"/>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neurotoxicity</w:t>
      </w:r>
      <w:r>
        <w:rPr>
          <w:color w:val="231F1F"/>
          <w:spacing w:val="-17"/>
          <w:w w:val="115"/>
        </w:rPr>
        <w:t> </w:t>
      </w:r>
      <w:r>
        <w:rPr>
          <w:color w:val="231F1F"/>
          <w:w w:val="115"/>
        </w:rPr>
        <w:t>when ciclosporin</w:t>
      </w:r>
      <w:r>
        <w:rPr>
          <w:color w:val="231F1F"/>
          <w:spacing w:val="-18"/>
          <w:w w:val="115"/>
        </w:rPr>
        <w:t> </w:t>
      </w:r>
      <w:r>
        <w:rPr>
          <w:color w:val="231F1F"/>
          <w:w w:val="115"/>
        </w:rPr>
        <w:t>given</w:t>
      </w:r>
      <w:r>
        <w:rPr>
          <w:color w:val="231F1F"/>
          <w:spacing w:val="-18"/>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DOXORUBICIN</w:t>
      </w:r>
      <w:r>
        <w:rPr>
          <w:color w:val="231F1F"/>
          <w:spacing w:val="4"/>
          <w:w w:val="115"/>
        </w:rPr>
        <w:t>;</w:t>
      </w:r>
      <w:r>
        <w:rPr>
          <w:color w:val="231F1F"/>
          <w:spacing w:val="-18"/>
          <w:w w:val="115"/>
        </w:rPr>
        <w:t> </w:t>
      </w:r>
      <w:r>
        <w:rPr>
          <w:color w:val="231F1F"/>
          <w:w w:val="115"/>
        </w:rPr>
        <w:t>ciclosporin</w:t>
      </w:r>
      <w:r>
        <w:rPr>
          <w:color w:val="231F1F"/>
          <w:spacing w:val="-17"/>
          <w:w w:val="115"/>
        </w:rPr>
        <w:t> </w:t>
      </w:r>
      <w:r>
        <w:rPr>
          <w:color w:val="231F1F"/>
          <w:w w:val="115"/>
        </w:rPr>
        <w:t>increases plasma concentration of </w:t>
      </w:r>
      <w:r>
        <w:rPr>
          <w:rFonts w:ascii="Arial" w:hAnsi="Arial"/>
          <w:color w:val="231F1F"/>
          <w:w w:val="355"/>
          <w:position w:val="1"/>
          <w:sz w:val="7"/>
        </w:rPr>
        <w:t>l </w:t>
      </w:r>
      <w:r>
        <w:rPr>
          <w:rFonts w:ascii="Calibri" w:hAnsi="Calibri"/>
          <w:color w:val="008356"/>
          <w:spacing w:val="4"/>
          <w:w w:val="115"/>
          <w:sz w:val="11"/>
        </w:rPr>
        <w:t>EPIRUBICIN </w:t>
      </w:r>
      <w:r>
        <w:rPr>
          <w:color w:val="231F1F"/>
          <w:w w:val="115"/>
        </w:rPr>
        <w:t>and </w:t>
      </w:r>
      <w:r>
        <w:rPr>
          <w:rFonts w:ascii="Arial" w:hAnsi="Arial"/>
          <w:color w:val="231F1F"/>
          <w:w w:val="355"/>
          <w:position w:val="1"/>
          <w:sz w:val="7"/>
        </w:rPr>
        <w:t>l </w:t>
      </w:r>
      <w:r>
        <w:rPr>
          <w:rFonts w:ascii="Calibri" w:hAnsi="Calibri"/>
          <w:color w:val="008356"/>
          <w:spacing w:val="4"/>
          <w:w w:val="115"/>
          <w:sz w:val="11"/>
        </w:rPr>
        <w:t>IDARUBICIN</w:t>
      </w:r>
      <w:r>
        <w:rPr>
          <w:color w:val="231F1F"/>
          <w:spacing w:val="4"/>
          <w:w w:val="115"/>
        </w:rPr>
        <w:t>; </w:t>
      </w:r>
      <w:r>
        <w:rPr>
          <w:color w:val="231F1F"/>
          <w:w w:val="115"/>
        </w:rPr>
        <w:t>ciclosporin reduces excretion of </w:t>
      </w:r>
      <w:r>
        <w:rPr>
          <w:rFonts w:ascii="Calibri" w:hAnsi="Calibri"/>
          <w:color w:val="008356"/>
          <w:spacing w:val="4"/>
          <w:w w:val="115"/>
          <w:sz w:val="11"/>
        </w:rPr>
        <w:t>MITOXANTRONE </w:t>
      </w:r>
      <w:r>
        <w:rPr>
          <w:color w:val="231F1F"/>
          <w:w w:val="115"/>
        </w:rPr>
        <w:t>(increased plasma concentration); risk of toxicity when ciclosporin given</w:t>
      </w:r>
      <w:r>
        <w:rPr>
          <w:color w:val="231F1F"/>
          <w:spacing w:val="-25"/>
          <w:w w:val="115"/>
        </w:rPr>
        <w:t> </w:t>
      </w:r>
      <w:r>
        <w:rPr>
          <w:color w:val="231F1F"/>
          <w:w w:val="115"/>
        </w:rPr>
        <w:t>with</w:t>
      </w:r>
      <w:r>
        <w:rPr>
          <w:color w:val="231F1F"/>
          <w:spacing w:val="-24"/>
          <w:w w:val="115"/>
        </w:rPr>
        <w:t> </w:t>
      </w:r>
      <w:r>
        <w:rPr>
          <w:rFonts w:ascii="Arial" w:hAnsi="Arial"/>
          <w:color w:val="231F1F"/>
          <w:w w:val="340"/>
          <w:position w:val="1"/>
          <w:sz w:val="7"/>
        </w:rPr>
        <w:t>l</w:t>
      </w:r>
      <w:r>
        <w:rPr>
          <w:rFonts w:ascii="Arial" w:hAnsi="Arial"/>
          <w:color w:val="231F1F"/>
          <w:spacing w:val="-56"/>
          <w:w w:val="340"/>
          <w:position w:val="1"/>
          <w:sz w:val="7"/>
        </w:rPr>
        <w:t> </w:t>
      </w:r>
      <w:r>
        <w:rPr>
          <w:rFonts w:ascii="Calibri" w:hAnsi="Calibri"/>
          <w:color w:val="008356"/>
          <w:spacing w:val="4"/>
          <w:w w:val="115"/>
          <w:sz w:val="11"/>
        </w:rPr>
        <w:t>METHOTREXATE</w:t>
      </w:r>
      <w:r>
        <w:rPr>
          <w:color w:val="231F1F"/>
          <w:spacing w:val="4"/>
          <w:w w:val="115"/>
        </w:rPr>
        <w:t>;</w:t>
      </w:r>
      <w:r>
        <w:rPr>
          <w:color w:val="231F1F"/>
          <w:spacing w:val="-25"/>
          <w:w w:val="115"/>
        </w:rPr>
        <w:t> </w:t>
      </w:r>
      <w:r>
        <w:rPr>
          <w:color w:val="231F1F"/>
          <w:w w:val="115"/>
        </w:rPr>
        <w:t>ciclosporin</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spacing w:val="-4"/>
          <w:w w:val="115"/>
        </w:rPr>
        <w:t>the </w:t>
      </w:r>
      <w:r>
        <w:rPr>
          <w:color w:val="231F1F"/>
          <w:w w:val="115"/>
        </w:rPr>
        <w:t>plasma concentration of </w:t>
      </w:r>
      <w:r>
        <w:rPr>
          <w:rFonts w:ascii="Calibri" w:hAnsi="Calibri"/>
          <w:color w:val="008356"/>
          <w:w w:val="115"/>
          <w:sz w:val="11"/>
        </w:rPr>
        <w:t>AFATINIB</w:t>
      </w:r>
      <w:r>
        <w:rPr>
          <w:rFonts w:ascii="Arial" w:hAnsi="Arial"/>
          <w:color w:val="231F1F"/>
          <w:w w:val="115"/>
        </w:rPr>
        <w:t>—</w:t>
      </w:r>
      <w:r>
        <w:rPr>
          <w:color w:val="231F1F"/>
          <w:w w:val="115"/>
        </w:rPr>
        <w:t>manufacturer of afatinib advises separating administration of ciclosporin by 6 to 12 hours;</w:t>
      </w:r>
      <w:r>
        <w:rPr>
          <w:color w:val="231F1F"/>
          <w:spacing w:val="-6"/>
          <w:w w:val="115"/>
        </w:rPr>
        <w:t> </w:t>
      </w:r>
      <w:r>
        <w:rPr>
          <w:color w:val="231F1F"/>
          <w:w w:val="115"/>
        </w:rPr>
        <w:t>caution</w:t>
      </w:r>
      <w:r>
        <w:rPr>
          <w:color w:val="231F1F"/>
          <w:spacing w:val="-7"/>
          <w:w w:val="115"/>
        </w:rPr>
        <w:t> </w:t>
      </w:r>
      <w:r>
        <w:rPr>
          <w:color w:val="231F1F"/>
          <w:w w:val="115"/>
        </w:rPr>
        <w:t>with</w:t>
      </w:r>
      <w:r>
        <w:rPr>
          <w:color w:val="231F1F"/>
          <w:spacing w:val="-6"/>
          <w:w w:val="115"/>
        </w:rPr>
        <w:t> </w:t>
      </w:r>
      <w:r>
        <w:rPr>
          <w:color w:val="231F1F"/>
          <w:w w:val="115"/>
        </w:rPr>
        <w:t>ciclosporin</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6"/>
          <w:w w:val="115"/>
        </w:rPr>
        <w:t> </w:t>
      </w:r>
      <w:r>
        <w:rPr>
          <w:color w:val="231F1F"/>
          <w:w w:val="115"/>
        </w:rPr>
        <w:t>manufacturer</w:t>
      </w:r>
      <w:r>
        <w:rPr>
          <w:color w:val="231F1F"/>
          <w:spacing w:val="-7"/>
          <w:w w:val="115"/>
        </w:rPr>
        <w:t> </w:t>
      </w:r>
      <w:r>
        <w:rPr>
          <w:color w:val="231F1F"/>
          <w:w w:val="115"/>
        </w:rPr>
        <w:t>of</w:t>
      </w:r>
    </w:p>
    <w:p>
      <w:pPr>
        <w:spacing w:line="140" w:lineRule="exact" w:before="0"/>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CRIZOTINIB</w:t>
      </w:r>
      <w:r>
        <w:rPr>
          <w:color w:val="231F1F"/>
          <w:spacing w:val="4"/>
          <w:w w:val="115"/>
          <w:sz w:val="12"/>
        </w:rPr>
        <w:t>;</w:t>
      </w:r>
      <w:r>
        <w:rPr>
          <w:color w:val="231F1F"/>
          <w:spacing w:val="-18"/>
          <w:w w:val="115"/>
          <w:sz w:val="12"/>
        </w:rPr>
        <w:t> </w:t>
      </w:r>
      <w:r>
        <w:rPr>
          <w:color w:val="231F1F"/>
          <w:w w:val="115"/>
          <w:sz w:val="12"/>
        </w:rPr>
        <w:t>ciclosporin</w:t>
      </w:r>
      <w:r>
        <w:rPr>
          <w:color w:val="231F1F"/>
          <w:spacing w:val="-19"/>
          <w:w w:val="115"/>
          <w:sz w:val="12"/>
        </w:rPr>
        <w:t> </w:t>
      </w:r>
      <w:r>
        <w:rPr>
          <w:color w:val="231F1F"/>
          <w:w w:val="115"/>
          <w:sz w:val="12"/>
        </w:rPr>
        <w:t>increases</w:t>
      </w:r>
      <w:r>
        <w:rPr>
          <w:color w:val="231F1F"/>
          <w:spacing w:val="-18"/>
          <w:w w:val="115"/>
          <w:sz w:val="12"/>
        </w:rPr>
        <w:t> </w:t>
      </w:r>
      <w:r>
        <w:rPr>
          <w:color w:val="231F1F"/>
          <w:w w:val="115"/>
          <w:sz w:val="12"/>
        </w:rPr>
        <w:t>plasma</w:t>
      </w:r>
      <w:r>
        <w:rPr>
          <w:color w:val="231F1F"/>
          <w:spacing w:val="-18"/>
          <w:w w:val="115"/>
          <w:sz w:val="12"/>
        </w:rPr>
        <w:t> </w:t>
      </w:r>
      <w:r>
        <w:rPr>
          <w:color w:val="231F1F"/>
          <w:w w:val="115"/>
          <w:sz w:val="12"/>
        </w:rPr>
        <w:t>concentration</w:t>
      </w:r>
      <w:r>
        <w:rPr>
          <w:color w:val="231F1F"/>
          <w:spacing w:val="-18"/>
          <w:w w:val="115"/>
          <w:sz w:val="12"/>
        </w:rPr>
        <w:t> </w:t>
      </w:r>
      <w:r>
        <w:rPr>
          <w:color w:val="231F1F"/>
          <w:w w:val="115"/>
          <w:sz w:val="12"/>
        </w:rPr>
        <w:t>of</w:t>
      </w:r>
    </w:p>
    <w:p>
      <w:pPr>
        <w:pStyle w:val="BodyText"/>
        <w:spacing w:line="244" w:lineRule="auto"/>
        <w:ind w:right="762"/>
      </w:pPr>
      <w:r>
        <w:rPr>
          <w:rFonts w:ascii="Arial" w:hAnsi="Arial"/>
          <w:color w:val="231F1F"/>
          <w:w w:val="355"/>
          <w:position w:val="1"/>
          <w:sz w:val="7"/>
        </w:rPr>
        <w:t>l </w:t>
      </w:r>
      <w:r>
        <w:rPr>
          <w:rFonts w:ascii="Calibri" w:hAnsi="Calibri"/>
          <w:color w:val="008356"/>
          <w:spacing w:val="4"/>
          <w:w w:val="105"/>
          <w:sz w:val="11"/>
        </w:rPr>
        <w:t>EVEROLIMUS </w:t>
      </w:r>
      <w:r>
        <w:rPr>
          <w:color w:val="231F1F"/>
          <w:w w:val="105"/>
        </w:rPr>
        <w:t>(consider reducing the dose of everolimus </w:t>
      </w:r>
      <w:r>
        <w:rPr>
          <w:rFonts w:ascii="Arial" w:hAnsi="Arial"/>
          <w:color w:val="231F1F"/>
          <w:w w:val="105"/>
        </w:rPr>
        <w:t>— </w:t>
      </w:r>
      <w:r>
        <w:rPr>
          <w:color w:val="231F1F"/>
          <w:w w:val="105"/>
        </w:rPr>
        <w:t>consult  everolimus  product  literature);  plasma   </w:t>
      </w:r>
      <w:r>
        <w:rPr>
          <w:color w:val="231F1F"/>
          <w:spacing w:val="-2"/>
          <w:w w:val="105"/>
        </w:rPr>
        <w:t>concentration </w:t>
      </w:r>
      <w:r>
        <w:rPr>
          <w:color w:val="231F1F"/>
          <w:w w:val="105"/>
        </w:rPr>
        <w:t>of ciclosporin possibly increased by </w:t>
      </w:r>
      <w:r>
        <w:rPr>
          <w:rFonts w:ascii="Calibri" w:hAnsi="Calibri"/>
          <w:color w:val="008356"/>
          <w:spacing w:val="3"/>
          <w:w w:val="105"/>
          <w:sz w:val="11"/>
        </w:rPr>
        <w:t>IMATINIB</w:t>
      </w:r>
      <w:r>
        <w:rPr>
          <w:color w:val="231F1F"/>
          <w:spacing w:val="3"/>
          <w:w w:val="105"/>
        </w:rPr>
        <w:t>; </w:t>
      </w:r>
      <w:r>
        <w:rPr>
          <w:i/>
          <w:color w:val="231F1F"/>
          <w:w w:val="105"/>
        </w:rPr>
        <w:t>in vitro </w:t>
      </w:r>
      <w:r>
        <w:rPr>
          <w:color w:val="231F1F"/>
          <w:w w:val="105"/>
        </w:rPr>
        <w:t>studies suggest a possible interaction between ciclosporin  and </w:t>
      </w:r>
      <w:r>
        <w:rPr>
          <w:rFonts w:ascii="Calibri" w:hAnsi="Calibri"/>
          <w:color w:val="008356"/>
          <w:spacing w:val="4"/>
          <w:w w:val="105"/>
          <w:sz w:val="11"/>
        </w:rPr>
        <w:t>DOCETAXEL </w:t>
      </w:r>
      <w:r>
        <w:rPr>
          <w:color w:val="231F1F"/>
          <w:w w:val="105"/>
        </w:rPr>
        <w:t>(consult docetaxel product literature); ciclosporin possibly increases plasma concentration of  </w:t>
      </w:r>
      <w:r>
        <w:rPr>
          <w:rFonts w:ascii="Calibri" w:hAnsi="Calibri"/>
          <w:color w:val="008356"/>
          <w:spacing w:val="4"/>
          <w:w w:val="105"/>
          <w:sz w:val="11"/>
        </w:rPr>
        <w:t>ETOPOSIDE </w:t>
      </w:r>
      <w:r>
        <w:rPr>
          <w:color w:val="231F1F"/>
          <w:w w:val="105"/>
        </w:rPr>
        <w:t>(increased risk of</w:t>
      </w:r>
      <w:r>
        <w:rPr>
          <w:color w:val="231F1F"/>
          <w:spacing w:val="3"/>
          <w:w w:val="105"/>
        </w:rPr>
        <w:t> </w:t>
      </w:r>
      <w:r>
        <w:rPr>
          <w:color w:val="231F1F"/>
          <w:w w:val="105"/>
        </w:rPr>
        <w:t>toxicity)</w:t>
      </w:r>
    </w:p>
    <w:p>
      <w:pPr>
        <w:pStyle w:val="BodyText"/>
        <w:spacing w:line="220" w:lineRule="auto" w:before="9"/>
        <w:ind w:right="1074" w:hanging="100"/>
        <w:rPr>
          <w:rFonts w:ascii="Calibri" w:hAnsi="Calibri"/>
          <w:sz w:val="11"/>
        </w:rPr>
      </w:pPr>
      <w:r>
        <w:rPr>
          <w:rFonts w:ascii="Lucida Sans Unicode" w:hAnsi="Lucida Sans Unicode"/>
          <w:color w:val="A7A8AC"/>
          <w:w w:val="95"/>
          <w:sz w:val="10"/>
        </w:rPr>
        <w:t>▶ </w:t>
      </w:r>
      <w:r>
        <w:rPr>
          <w:rFonts w:ascii="Calibri" w:hAnsi="Calibri"/>
          <w:color w:val="231F1F"/>
          <w:w w:val="110"/>
        </w:rPr>
        <w:t>Dexrazoxane: </w:t>
      </w:r>
      <w:r>
        <w:rPr>
          <w:color w:val="231F1F"/>
          <w:w w:val="110"/>
        </w:rPr>
        <w:t>increased risk of immunosupression with ciclosporin advised by manufacturer of </w:t>
      </w:r>
      <w:r>
        <w:rPr>
          <w:rFonts w:ascii="Calibri" w:hAnsi="Calibri"/>
          <w:color w:val="008356"/>
          <w:w w:val="110"/>
          <w:sz w:val="11"/>
        </w:rPr>
        <w:t>DEXRAZOXANE</w:t>
      </w:r>
    </w:p>
    <w:p>
      <w:pPr>
        <w:spacing w:line="242" w:lineRule="auto" w:before="0"/>
        <w:ind w:left="208" w:right="670" w:hanging="100"/>
        <w:jc w:val="left"/>
        <w:rPr>
          <w:sz w:val="12"/>
        </w:rPr>
      </w:pPr>
      <w:r>
        <w:rPr>
          <w:rFonts w:ascii="Arial"/>
          <w:color w:val="231F1F"/>
          <w:w w:val="355"/>
          <w:position w:val="1"/>
          <w:sz w:val="7"/>
        </w:rPr>
        <w:t>l </w:t>
      </w:r>
      <w:r>
        <w:rPr>
          <w:rFonts w:ascii="Calibri"/>
          <w:color w:val="231F1F"/>
          <w:w w:val="110"/>
          <w:sz w:val="12"/>
        </w:rPr>
        <w:t>Diuretics: </w:t>
      </w:r>
      <w:r>
        <w:rPr>
          <w:color w:val="231F1F"/>
          <w:w w:val="110"/>
          <w:sz w:val="12"/>
        </w:rPr>
        <w:t>plasma concentration of ciclosporin possibly increased by </w:t>
      </w:r>
      <w:r>
        <w:rPr>
          <w:rFonts w:ascii="Arial"/>
          <w:color w:val="231F1F"/>
          <w:w w:val="355"/>
          <w:position w:val="1"/>
          <w:sz w:val="7"/>
        </w:rPr>
        <w:t>l </w:t>
      </w:r>
      <w:r>
        <w:rPr>
          <w:rFonts w:ascii="Calibri"/>
          <w:color w:val="008356"/>
          <w:w w:val="110"/>
          <w:sz w:val="11"/>
        </w:rPr>
        <w:t>ACETAZOLAMIDE</w:t>
      </w:r>
      <w:r>
        <w:rPr>
          <w:color w:val="231F1F"/>
          <w:w w:val="110"/>
          <w:sz w:val="12"/>
        </w:rPr>
        <w:t>; increased risk of hyperkalaemia when ciclosporin given with </w:t>
      </w:r>
      <w:r>
        <w:rPr>
          <w:rFonts w:ascii="Arial"/>
          <w:color w:val="231F1F"/>
          <w:w w:val="355"/>
          <w:position w:val="1"/>
          <w:sz w:val="7"/>
        </w:rPr>
        <w:t>l </w:t>
      </w:r>
      <w:r>
        <w:rPr>
          <w:rFonts w:ascii="Calibri"/>
          <w:color w:val="008356"/>
          <w:w w:val="110"/>
          <w:sz w:val="11"/>
        </w:rPr>
        <w:t>POTASSIUM- </w:t>
      </w:r>
      <w:r>
        <w:rPr>
          <w:rFonts w:ascii="Calibri"/>
          <w:color w:val="008356"/>
          <w:w w:val="105"/>
          <w:sz w:val="11"/>
        </w:rPr>
        <w:t>SPARING DIURETICS AND ALDOSTERONE ANTAGONISTS</w:t>
      </w:r>
      <w:r>
        <w:rPr>
          <w:color w:val="231F1F"/>
          <w:w w:val="105"/>
          <w:sz w:val="12"/>
        </w:rPr>
        <w:t>; increased</w:t>
      </w:r>
    </w:p>
    <w:p>
      <w:pPr>
        <w:spacing w:line="249" w:lineRule="auto" w:before="0"/>
        <w:ind w:left="208" w:right="670" w:firstLine="0"/>
        <w:jc w:val="left"/>
        <w:rPr>
          <w:rFonts w:ascii="Calibri"/>
          <w:sz w:val="11"/>
        </w:rPr>
      </w:pPr>
      <w:r>
        <w:rPr>
          <w:color w:val="231F1F"/>
          <w:w w:val="110"/>
          <w:sz w:val="12"/>
        </w:rPr>
        <w:t>risk of nephrotoxicity and possibly hypermagnesaemia when ciclosporin given with </w:t>
      </w:r>
      <w:r>
        <w:rPr>
          <w:rFonts w:ascii="Calibri"/>
          <w:color w:val="008356"/>
          <w:w w:val="110"/>
          <w:sz w:val="11"/>
        </w:rPr>
        <w:t>THIAZIDES AND RELATED DIURETICS</w:t>
      </w:r>
    </w:p>
    <w:p>
      <w:pPr>
        <w:pStyle w:val="BodyText"/>
        <w:spacing w:line="138" w:lineRule="exact"/>
        <w:ind w:left="108"/>
      </w:pPr>
      <w:r>
        <w:rPr>
          <w:rFonts w:ascii="Arial"/>
          <w:color w:val="231F1F"/>
          <w:w w:val="355"/>
          <w:position w:val="1"/>
          <w:sz w:val="7"/>
        </w:rPr>
        <w:t>l </w:t>
      </w:r>
      <w:r>
        <w:rPr>
          <w:rFonts w:ascii="Calibri"/>
          <w:color w:val="231F1F"/>
          <w:w w:val="115"/>
        </w:rPr>
        <w:t>Grapefruit Juice: </w:t>
      </w:r>
      <w:r>
        <w:rPr>
          <w:color w:val="231F1F"/>
          <w:w w:val="115"/>
        </w:rPr>
        <w:t>plasma concentration of ciclosporin increased</w:t>
      </w:r>
    </w:p>
    <w:p>
      <w:pPr>
        <w:spacing w:line="140" w:lineRule="exact" w:before="0"/>
        <w:ind w:left="208" w:right="0" w:firstLine="0"/>
        <w:jc w:val="left"/>
        <w:rPr>
          <w:sz w:val="12"/>
        </w:rPr>
      </w:pPr>
      <w:r>
        <w:rPr>
          <w:color w:val="231F1F"/>
          <w:w w:val="110"/>
          <w:sz w:val="12"/>
        </w:rPr>
        <w:t>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GRAPEFRUIT JUICE </w:t>
      </w:r>
      <w:r>
        <w:rPr>
          <w:color w:val="231F1F"/>
          <w:w w:val="110"/>
          <w:sz w:val="12"/>
        </w:rPr>
        <w:t>(increased risk of toxicity)</w:t>
      </w:r>
    </w:p>
    <w:p>
      <w:pPr>
        <w:pStyle w:val="BodyText"/>
        <w:ind w:right="783" w:hanging="100"/>
      </w:pPr>
      <w:r>
        <w:rPr>
          <w:rFonts w:ascii="Arial"/>
          <w:color w:val="231F1F"/>
          <w:w w:val="355"/>
          <w:position w:val="1"/>
          <w:sz w:val="7"/>
        </w:rPr>
        <w:t>l</w:t>
      </w:r>
      <w:r>
        <w:rPr>
          <w:rFonts w:ascii="Arial"/>
          <w:color w:val="231F1F"/>
          <w:spacing w:val="-35"/>
          <w:w w:val="355"/>
          <w:position w:val="1"/>
          <w:sz w:val="7"/>
        </w:rPr>
        <w:t> </w:t>
      </w:r>
      <w:r>
        <w:rPr>
          <w:rFonts w:ascii="Calibri"/>
          <w:color w:val="231F1F"/>
          <w:w w:val="110"/>
        </w:rPr>
        <w:t>Hormone</w:t>
      </w:r>
      <w:r>
        <w:rPr>
          <w:rFonts w:ascii="Calibri"/>
          <w:color w:val="231F1F"/>
          <w:spacing w:val="-3"/>
          <w:w w:val="110"/>
        </w:rPr>
        <w:t> </w:t>
      </w:r>
      <w:r>
        <w:rPr>
          <w:rFonts w:ascii="Calibri"/>
          <w:color w:val="231F1F"/>
          <w:w w:val="110"/>
        </w:rPr>
        <w:t>Antagonists:</w:t>
      </w:r>
      <w:r>
        <w:rPr>
          <w:rFonts w:ascii="Calibri"/>
          <w:color w:val="231F1F"/>
          <w:spacing w:val="-3"/>
          <w:w w:val="110"/>
        </w:rPr>
        <w:t> </w:t>
      </w:r>
      <w:r>
        <w:rPr>
          <w:color w:val="231F1F"/>
          <w:w w:val="110"/>
        </w:rPr>
        <w:t>metabolism</w:t>
      </w:r>
      <w:r>
        <w:rPr>
          <w:color w:val="231F1F"/>
          <w:spacing w:val="-7"/>
          <w:w w:val="110"/>
        </w:rPr>
        <w:t> </w:t>
      </w:r>
      <w:r>
        <w:rPr>
          <w:color w:val="231F1F"/>
          <w:w w:val="110"/>
        </w:rPr>
        <w:t>of</w:t>
      </w:r>
      <w:r>
        <w:rPr>
          <w:color w:val="231F1F"/>
          <w:spacing w:val="-6"/>
          <w:w w:val="110"/>
        </w:rPr>
        <w:t> </w:t>
      </w:r>
      <w:r>
        <w:rPr>
          <w:color w:val="231F1F"/>
          <w:w w:val="110"/>
        </w:rPr>
        <w:t>ciclosporin</w:t>
      </w:r>
      <w:r>
        <w:rPr>
          <w:color w:val="231F1F"/>
          <w:spacing w:val="-6"/>
          <w:w w:val="110"/>
        </w:rPr>
        <w:t> </w:t>
      </w:r>
      <w:r>
        <w:rPr>
          <w:color w:val="231F1F"/>
          <w:w w:val="110"/>
        </w:rPr>
        <w:t>inhibited</w:t>
      </w:r>
      <w:r>
        <w:rPr>
          <w:color w:val="231F1F"/>
          <w:spacing w:val="-6"/>
          <w:w w:val="110"/>
        </w:rPr>
        <w:t> </w:t>
      </w:r>
      <w:r>
        <w:rPr>
          <w:color w:val="231F1F"/>
          <w:spacing w:val="-8"/>
          <w:w w:val="110"/>
        </w:rPr>
        <w:t>by </w:t>
      </w:r>
      <w:r>
        <w:rPr>
          <w:rFonts w:ascii="Arial"/>
          <w:color w:val="231F1F"/>
          <w:w w:val="355"/>
          <w:position w:val="1"/>
          <w:sz w:val="7"/>
        </w:rPr>
        <w:t>l </w:t>
      </w:r>
      <w:r>
        <w:rPr>
          <w:rFonts w:ascii="Calibri"/>
          <w:color w:val="008356"/>
          <w:spacing w:val="4"/>
          <w:w w:val="110"/>
          <w:sz w:val="11"/>
        </w:rPr>
        <w:t>DANAZOL </w:t>
      </w:r>
      <w:r>
        <w:rPr>
          <w:color w:val="231F1F"/>
          <w:w w:val="110"/>
        </w:rPr>
        <w:t>(increased plasma concentration); plasma concentration of ciclosporin reduced by </w:t>
      </w:r>
      <w:r>
        <w:rPr>
          <w:rFonts w:ascii="Calibri"/>
          <w:color w:val="008356"/>
          <w:spacing w:val="4"/>
          <w:w w:val="110"/>
          <w:sz w:val="11"/>
        </w:rPr>
        <w:t>LANREOTIDE</w:t>
      </w:r>
      <w:r>
        <w:rPr>
          <w:rFonts w:ascii="Calibri"/>
          <w:color w:val="008356"/>
          <w:spacing w:val="10"/>
          <w:w w:val="110"/>
          <w:sz w:val="11"/>
        </w:rPr>
        <w:t> </w:t>
      </w:r>
      <w:r>
        <w:rPr>
          <w:color w:val="231F1F"/>
          <w:w w:val="110"/>
        </w:rPr>
        <w:t>and</w:t>
      </w:r>
    </w:p>
    <w:p>
      <w:pPr>
        <w:spacing w:line="244" w:lineRule="auto" w:before="0"/>
        <w:ind w:left="208" w:right="670" w:firstLine="0"/>
        <w:jc w:val="left"/>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OCTREOTIDE</w:t>
      </w:r>
      <w:r>
        <w:rPr>
          <w:color w:val="231F1F"/>
          <w:spacing w:val="4"/>
          <w:w w:val="110"/>
          <w:sz w:val="12"/>
        </w:rPr>
        <w:t>; </w:t>
      </w:r>
      <w:r>
        <w:rPr>
          <w:color w:val="231F1F"/>
          <w:w w:val="110"/>
          <w:sz w:val="12"/>
        </w:rPr>
        <w:t>plasma concentration of ciclosporin possibly reduced by </w:t>
      </w:r>
      <w:r>
        <w:rPr>
          <w:rFonts w:ascii="Arial"/>
          <w:color w:val="231F1F"/>
          <w:w w:val="355"/>
          <w:position w:val="1"/>
          <w:sz w:val="7"/>
        </w:rPr>
        <w:t>l </w:t>
      </w:r>
      <w:r>
        <w:rPr>
          <w:rFonts w:ascii="Calibri"/>
          <w:color w:val="008356"/>
          <w:spacing w:val="4"/>
          <w:w w:val="110"/>
          <w:sz w:val="11"/>
        </w:rPr>
        <w:t>PASIREOTIDE</w:t>
      </w:r>
    </w:p>
    <w:p>
      <w:pPr>
        <w:pStyle w:val="BodyText"/>
        <w:spacing w:line="237" w:lineRule="auto"/>
        <w:ind w:right="670" w:hanging="100"/>
      </w:pPr>
      <w:r>
        <w:rPr>
          <w:rFonts w:ascii="Arial"/>
          <w:color w:val="231F1F"/>
          <w:w w:val="355"/>
          <w:position w:val="1"/>
          <w:sz w:val="7"/>
        </w:rPr>
        <w:t>l </w:t>
      </w:r>
      <w:r>
        <w:rPr>
          <w:rFonts w:ascii="Calibri"/>
          <w:color w:val="231F1F"/>
          <w:w w:val="110"/>
        </w:rPr>
        <w:t>Lenalidomide: </w:t>
      </w:r>
      <w:r>
        <w:rPr>
          <w:color w:val="231F1F"/>
          <w:w w:val="110"/>
        </w:rPr>
        <w:t>ciclosporin possibly increases plasma concentration of </w:t>
      </w:r>
      <w:r>
        <w:rPr>
          <w:rFonts w:ascii="Arial"/>
          <w:color w:val="231F1F"/>
          <w:w w:val="355"/>
          <w:position w:val="1"/>
          <w:sz w:val="7"/>
        </w:rPr>
        <w:t>l</w:t>
      </w:r>
      <w:r>
        <w:rPr>
          <w:rFonts w:ascii="Arial"/>
          <w:color w:val="231F1F"/>
          <w:spacing w:val="-61"/>
          <w:w w:val="355"/>
          <w:position w:val="1"/>
          <w:sz w:val="7"/>
        </w:rPr>
        <w:t> </w:t>
      </w:r>
      <w:r>
        <w:rPr>
          <w:rFonts w:ascii="Calibri"/>
          <w:color w:val="008356"/>
          <w:spacing w:val="4"/>
          <w:w w:val="110"/>
          <w:sz w:val="11"/>
        </w:rPr>
        <w:t>LENALIDOMIDE </w:t>
      </w:r>
      <w:r>
        <w:rPr>
          <w:color w:val="231F1F"/>
          <w:w w:val="110"/>
        </w:rPr>
        <w:t>(increased risk of toxicity)</w:t>
      </w:r>
    </w:p>
    <w:p>
      <w:pPr>
        <w:pStyle w:val="BodyText"/>
        <w:spacing w:line="144" w:lineRule="exact"/>
        <w:ind w:left="108"/>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Lipid-regulating</w:t>
      </w:r>
      <w:r>
        <w:rPr>
          <w:rFonts w:ascii="Calibri"/>
          <w:color w:val="231F1F"/>
          <w:spacing w:val="-20"/>
          <w:w w:val="115"/>
        </w:rPr>
        <w:t> </w:t>
      </w:r>
      <w:r>
        <w:rPr>
          <w:rFonts w:ascii="Calibri"/>
          <w:color w:val="231F1F"/>
          <w:w w:val="115"/>
        </w:rPr>
        <w:t>Drugs:</w:t>
      </w:r>
      <w:r>
        <w:rPr>
          <w:rFonts w:ascii="Calibri"/>
          <w:color w:val="231F1F"/>
          <w:spacing w:val="-20"/>
          <w:w w:val="115"/>
        </w:rPr>
        <w:t> </w:t>
      </w:r>
      <w:r>
        <w:rPr>
          <w:color w:val="231F1F"/>
          <w:w w:val="115"/>
        </w:rPr>
        <w:t>absorption</w:t>
      </w:r>
      <w:r>
        <w:rPr>
          <w:color w:val="231F1F"/>
          <w:spacing w:val="-24"/>
          <w:w w:val="115"/>
        </w:rPr>
        <w:t> </w:t>
      </w:r>
      <w:r>
        <w:rPr>
          <w:color w:val="231F1F"/>
          <w:w w:val="115"/>
        </w:rPr>
        <w:t>of</w:t>
      </w:r>
      <w:r>
        <w:rPr>
          <w:color w:val="231F1F"/>
          <w:spacing w:val="-23"/>
          <w:w w:val="115"/>
        </w:rPr>
        <w:t> </w:t>
      </w:r>
      <w:r>
        <w:rPr>
          <w:color w:val="231F1F"/>
          <w:w w:val="115"/>
        </w:rPr>
        <w:t>ciclosporin</w:t>
      </w:r>
      <w:r>
        <w:rPr>
          <w:color w:val="231F1F"/>
          <w:spacing w:val="-24"/>
          <w:w w:val="115"/>
        </w:rPr>
        <w:t> </w:t>
      </w:r>
      <w:r>
        <w:rPr>
          <w:color w:val="231F1F"/>
          <w:w w:val="115"/>
        </w:rPr>
        <w:t>reduced</w:t>
      </w:r>
      <w:r>
        <w:rPr>
          <w:color w:val="231F1F"/>
          <w:spacing w:val="-24"/>
          <w:w w:val="115"/>
        </w:rPr>
        <w:t> </w:t>
      </w:r>
      <w:r>
        <w:rPr>
          <w:color w:val="231F1F"/>
          <w:w w:val="115"/>
        </w:rPr>
        <w:t>by</w:t>
      </w:r>
    </w:p>
    <w:p>
      <w:pPr>
        <w:spacing w:line="244" w:lineRule="auto" w:before="0"/>
        <w:ind w:left="208" w:right="625" w:firstLine="0"/>
        <w:jc w:val="left"/>
        <w:rPr>
          <w:sz w:val="12"/>
        </w:rPr>
      </w:pPr>
      <w:r>
        <w:rPr>
          <w:rFonts w:ascii="Arial"/>
          <w:color w:val="231F1F"/>
          <w:w w:val="355"/>
          <w:position w:val="1"/>
          <w:sz w:val="7"/>
        </w:rPr>
        <w:t>l </w:t>
      </w:r>
      <w:r>
        <w:rPr>
          <w:rFonts w:ascii="Calibri"/>
          <w:color w:val="008356"/>
          <w:w w:val="110"/>
          <w:sz w:val="11"/>
        </w:rPr>
        <w:t>COLESEVELAM</w:t>
      </w:r>
      <w:r>
        <w:rPr>
          <w:color w:val="231F1F"/>
          <w:w w:val="110"/>
          <w:sz w:val="12"/>
        </w:rPr>
        <w:t>; increased risk of renal impairment when ciclosporin given with </w:t>
      </w:r>
      <w:r>
        <w:rPr>
          <w:rFonts w:ascii="Calibri"/>
          <w:color w:val="008356"/>
          <w:w w:val="110"/>
          <w:sz w:val="11"/>
        </w:rPr>
        <w:t>BEZAFIBRATE </w:t>
      </w:r>
      <w:r>
        <w:rPr>
          <w:color w:val="231F1F"/>
          <w:w w:val="110"/>
          <w:sz w:val="12"/>
        </w:rPr>
        <w:t>or </w:t>
      </w:r>
      <w:r>
        <w:rPr>
          <w:rFonts w:ascii="Calibri"/>
          <w:color w:val="008356"/>
          <w:w w:val="110"/>
          <w:sz w:val="11"/>
        </w:rPr>
        <w:t>FENOFIBRATE</w:t>
      </w:r>
      <w:r>
        <w:rPr>
          <w:color w:val="231F1F"/>
          <w:w w:val="110"/>
          <w:sz w:val="12"/>
        </w:rPr>
        <w:t>; increased risk of myopathy when ciclosporin given with </w:t>
      </w:r>
      <w:r>
        <w:rPr>
          <w:rFonts w:ascii="Arial"/>
          <w:color w:val="231F1F"/>
          <w:w w:val="355"/>
          <w:position w:val="1"/>
          <w:sz w:val="7"/>
        </w:rPr>
        <w:t>l </w:t>
      </w:r>
      <w:r>
        <w:rPr>
          <w:rFonts w:ascii="Calibri"/>
          <w:color w:val="008356"/>
          <w:w w:val="110"/>
          <w:sz w:val="11"/>
        </w:rPr>
        <w:t>ATORVASTATIN </w:t>
      </w:r>
      <w:r>
        <w:rPr>
          <w:color w:val="231F1F"/>
          <w:w w:val="110"/>
          <w:sz w:val="12"/>
        </w:rPr>
        <w:t>(see under Atorvastatin, p. 179); increased risk of myopathy when ciclosporin given with </w:t>
      </w:r>
      <w:r>
        <w:rPr>
          <w:rFonts w:ascii="Arial"/>
          <w:color w:val="231F1F"/>
          <w:w w:val="355"/>
          <w:position w:val="1"/>
          <w:sz w:val="7"/>
        </w:rPr>
        <w:t>l </w:t>
      </w:r>
      <w:r>
        <w:rPr>
          <w:rFonts w:ascii="Calibri"/>
          <w:color w:val="008356"/>
          <w:w w:val="110"/>
          <w:sz w:val="11"/>
        </w:rPr>
        <w:t>FLUVASTATIN </w:t>
      </w:r>
      <w:r>
        <w:rPr>
          <w:color w:val="231F1F"/>
          <w:w w:val="110"/>
          <w:sz w:val="12"/>
        </w:rPr>
        <w:t>or </w:t>
      </w:r>
      <w:r>
        <w:rPr>
          <w:rFonts w:ascii="Arial"/>
          <w:color w:val="231F1F"/>
          <w:w w:val="355"/>
          <w:position w:val="1"/>
          <w:sz w:val="7"/>
        </w:rPr>
        <w:t>l </w:t>
      </w:r>
      <w:r>
        <w:rPr>
          <w:rFonts w:ascii="Calibri"/>
          <w:color w:val="008356"/>
          <w:w w:val="110"/>
          <w:sz w:val="11"/>
        </w:rPr>
        <w:t>PRAVASTATIN</w:t>
      </w:r>
      <w:r>
        <w:rPr>
          <w:color w:val="231F1F"/>
          <w:w w:val="110"/>
          <w:sz w:val="12"/>
        </w:rPr>
        <w:t>; increased risk of myopathy when ciclosporin given with</w:t>
      </w:r>
    </w:p>
    <w:p>
      <w:pPr>
        <w:spacing w:line="249" w:lineRule="auto" w:before="0"/>
        <w:ind w:left="208" w:right="670" w:firstLine="0"/>
        <w:jc w:val="left"/>
        <w:rPr>
          <w:rFonts w:ascii="Calibri"/>
          <w:sz w:val="11"/>
        </w:rPr>
      </w:pPr>
      <w:r>
        <w:rPr>
          <w:rFonts w:ascii="Arial"/>
          <w:color w:val="231F1F"/>
          <w:w w:val="355"/>
          <w:position w:val="1"/>
          <w:sz w:val="7"/>
        </w:rPr>
        <w:t>l </w:t>
      </w:r>
      <w:r>
        <w:rPr>
          <w:rFonts w:ascii="Calibri"/>
          <w:color w:val="008356"/>
          <w:w w:val="110"/>
          <w:sz w:val="11"/>
        </w:rPr>
        <w:t>ROSUVASTATIN </w:t>
      </w:r>
      <w:r>
        <w:rPr>
          <w:color w:val="231F1F"/>
          <w:w w:val="110"/>
          <w:sz w:val="12"/>
        </w:rPr>
        <w:t>or </w:t>
      </w:r>
      <w:r>
        <w:rPr>
          <w:rFonts w:ascii="Arial"/>
          <w:color w:val="231F1F"/>
          <w:w w:val="355"/>
          <w:position w:val="1"/>
          <w:sz w:val="7"/>
        </w:rPr>
        <w:t>l </w:t>
      </w:r>
      <w:r>
        <w:rPr>
          <w:rFonts w:ascii="Calibri"/>
          <w:color w:val="008356"/>
          <w:w w:val="110"/>
          <w:sz w:val="11"/>
        </w:rPr>
        <w:t>SIMVASTATIN </w:t>
      </w:r>
      <w:r>
        <w:rPr>
          <w:color w:val="231F1F"/>
          <w:w w:val="110"/>
          <w:sz w:val="12"/>
        </w:rPr>
        <w:t>(avoid concomitant use); plasma concentration of both drugs may increase when ciclosporin given with </w:t>
      </w:r>
      <w:r>
        <w:rPr>
          <w:rFonts w:ascii="Arial"/>
          <w:color w:val="231F1F"/>
          <w:w w:val="355"/>
          <w:position w:val="1"/>
          <w:sz w:val="7"/>
        </w:rPr>
        <w:t>l </w:t>
      </w:r>
      <w:r>
        <w:rPr>
          <w:rFonts w:ascii="Calibri"/>
          <w:color w:val="008356"/>
          <w:w w:val="110"/>
          <w:sz w:val="11"/>
        </w:rPr>
        <w:t>EZETIMIBE</w:t>
      </w:r>
      <w:r>
        <w:rPr>
          <w:color w:val="231F1F"/>
          <w:w w:val="110"/>
          <w:sz w:val="12"/>
        </w:rPr>
        <w:t>; separating administration from ciclosporin by 12 hours advised by manufacturer of </w:t>
      </w:r>
      <w:r>
        <w:rPr>
          <w:rFonts w:ascii="Calibri"/>
          <w:color w:val="008356"/>
          <w:w w:val="110"/>
          <w:sz w:val="11"/>
        </w:rPr>
        <w:t>LOMITAPIDE</w:t>
      </w:r>
    </w:p>
    <w:p>
      <w:pPr>
        <w:pStyle w:val="BodyText"/>
        <w:spacing w:line="220" w:lineRule="auto"/>
        <w:ind w:right="986" w:hanging="100"/>
        <w:rPr>
          <w:rFonts w:ascii="Calibri" w:hAnsi="Calibri"/>
          <w:sz w:val="11"/>
        </w:rPr>
      </w:pPr>
      <w:r>
        <w:rPr>
          <w:rFonts w:ascii="Lucida Sans Unicode" w:hAnsi="Lucida Sans Unicode"/>
          <w:color w:val="A7A8AC"/>
          <w:w w:val="95"/>
          <w:sz w:val="10"/>
        </w:rPr>
        <w:t>▶ </w:t>
      </w:r>
      <w:r>
        <w:rPr>
          <w:rFonts w:ascii="Calibri" w:hAnsi="Calibri"/>
          <w:color w:val="231F1F"/>
          <w:w w:val="110"/>
        </w:rPr>
        <w:t>Mannitol: </w:t>
      </w:r>
      <w:r>
        <w:rPr>
          <w:color w:val="231F1F"/>
          <w:w w:val="110"/>
        </w:rPr>
        <w:t>possible increased risk of nephrotoxicity when ciclosporin given with </w:t>
      </w:r>
      <w:r>
        <w:rPr>
          <w:rFonts w:ascii="Calibri" w:hAnsi="Calibri"/>
          <w:color w:val="008356"/>
          <w:w w:val="110"/>
          <w:sz w:val="11"/>
        </w:rPr>
        <w:t>MANNITOL</w:t>
      </w:r>
    </w:p>
    <w:p>
      <w:pPr>
        <w:spacing w:before="0"/>
        <w:ind w:left="208" w:right="870" w:hanging="100"/>
        <w:jc w:val="left"/>
        <w:rPr>
          <w:rFonts w:ascii="Calibri"/>
          <w:sz w:val="11"/>
        </w:rPr>
      </w:pPr>
      <w:r>
        <w:rPr>
          <w:rFonts w:ascii="Arial"/>
          <w:color w:val="231F1F"/>
          <w:w w:val="355"/>
          <w:position w:val="1"/>
          <w:sz w:val="7"/>
        </w:rPr>
        <w:t>l </w:t>
      </w:r>
      <w:r>
        <w:rPr>
          <w:rFonts w:ascii="Calibri"/>
          <w:color w:val="231F1F"/>
          <w:w w:val="105"/>
          <w:sz w:val="12"/>
        </w:rPr>
        <w:t>Metoclopramide: </w:t>
      </w:r>
      <w:r>
        <w:rPr>
          <w:color w:val="231F1F"/>
          <w:w w:val="105"/>
          <w:sz w:val="12"/>
        </w:rPr>
        <w:t>plasma concentration of ciclosporin increased by </w:t>
      </w:r>
      <w:r>
        <w:rPr>
          <w:rFonts w:ascii="Arial"/>
          <w:color w:val="231F1F"/>
          <w:w w:val="355"/>
          <w:position w:val="1"/>
          <w:sz w:val="7"/>
        </w:rPr>
        <w:t>l </w:t>
      </w:r>
      <w:r>
        <w:rPr>
          <w:rFonts w:ascii="Calibri"/>
          <w:color w:val="008356"/>
          <w:w w:val="105"/>
          <w:sz w:val="11"/>
        </w:rPr>
        <w:t>METOCLOPRAMIDE</w:t>
      </w:r>
    </w:p>
    <w:p>
      <w:pPr>
        <w:pStyle w:val="BodyText"/>
        <w:spacing w:line="220" w:lineRule="auto" w:before="4"/>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Mifamurtide: </w:t>
      </w:r>
      <w:r>
        <w:rPr>
          <w:color w:val="231F1F"/>
          <w:w w:val="105"/>
        </w:rPr>
        <w:t>avoidance of ciclosporin advised by manufacturer of </w:t>
      </w:r>
      <w:r>
        <w:rPr>
          <w:rFonts w:ascii="Calibri" w:hAnsi="Calibri"/>
          <w:color w:val="008356"/>
          <w:w w:val="105"/>
          <w:sz w:val="11"/>
        </w:rPr>
        <w:t>MIFAMURTIDE</w:t>
      </w:r>
    </w:p>
    <w:p>
      <w:pPr>
        <w:pStyle w:val="BodyText"/>
        <w:spacing w:line="146" w:lineRule="exact"/>
        <w:ind w:left="108"/>
      </w:pPr>
      <w:r>
        <w:rPr>
          <w:rFonts w:ascii="Arial"/>
          <w:color w:val="231F1F"/>
          <w:w w:val="355"/>
          <w:position w:val="1"/>
          <w:sz w:val="7"/>
        </w:rPr>
        <w:t>l </w:t>
      </w:r>
      <w:r>
        <w:rPr>
          <w:rFonts w:ascii="Calibri"/>
          <w:color w:val="231F1F"/>
          <w:w w:val="115"/>
        </w:rPr>
        <w:t>Modafinil: </w:t>
      </w:r>
      <w:r>
        <w:rPr>
          <w:color w:val="231F1F"/>
          <w:w w:val="115"/>
        </w:rPr>
        <w:t>plasma concentration of ciclosporin reduced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MODAFINIL</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plasma concentration of ciclosporin possibly increased by </w:t>
      </w:r>
      <w:r>
        <w:rPr>
          <w:rFonts w:ascii="Calibri" w:hAnsi="Calibri"/>
          <w:color w:val="008356"/>
          <w:w w:val="105"/>
          <w:sz w:val="11"/>
        </w:rPr>
        <w:t>OESTROGENS</w:t>
      </w:r>
    </w:p>
    <w:p>
      <w:pPr>
        <w:pStyle w:val="BodyText"/>
        <w:spacing w:line="146" w:lineRule="exact"/>
        <w:ind w:left="108"/>
      </w:pPr>
      <w:r>
        <w:rPr>
          <w:rFonts w:ascii="Arial"/>
          <w:color w:val="231F1F"/>
          <w:w w:val="355"/>
          <w:position w:val="1"/>
          <w:sz w:val="7"/>
        </w:rPr>
        <w:t>l </w:t>
      </w:r>
      <w:r>
        <w:rPr>
          <w:rFonts w:ascii="Calibri"/>
          <w:color w:val="231F1F"/>
          <w:w w:val="115"/>
        </w:rPr>
        <w:t>Orlistat: </w:t>
      </w:r>
      <w:r>
        <w:rPr>
          <w:color w:val="231F1F"/>
          <w:w w:val="115"/>
        </w:rPr>
        <w:t>absorption of ciclosporin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right="1118"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Potassium</w:t>
      </w:r>
      <w:r>
        <w:rPr>
          <w:rFonts w:ascii="Calibri"/>
          <w:color w:val="231F1F"/>
          <w:spacing w:val="-15"/>
          <w:w w:val="115"/>
        </w:rPr>
        <w:t> </w:t>
      </w:r>
      <w:r>
        <w:rPr>
          <w:rFonts w:ascii="Calibri"/>
          <w:color w:val="231F1F"/>
          <w:w w:val="115"/>
        </w:rPr>
        <w:t>Salts:</w:t>
      </w:r>
      <w:r>
        <w:rPr>
          <w:rFonts w:ascii="Calibri"/>
          <w:color w:val="231F1F"/>
          <w:spacing w:val="-15"/>
          <w:w w:val="115"/>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hyperkalaemia</w:t>
      </w:r>
      <w:r>
        <w:rPr>
          <w:color w:val="231F1F"/>
          <w:spacing w:val="-18"/>
          <w:w w:val="115"/>
        </w:rPr>
        <w:t> </w:t>
      </w:r>
      <w:r>
        <w:rPr>
          <w:color w:val="231F1F"/>
          <w:spacing w:val="-4"/>
          <w:w w:val="115"/>
        </w:rPr>
        <w:t>when </w:t>
      </w:r>
      <w:r>
        <w:rPr>
          <w:color w:val="231F1F"/>
          <w:w w:val="115"/>
        </w:rPr>
        <w:t>ciclosporin</w:t>
      </w:r>
      <w:r>
        <w:rPr>
          <w:color w:val="231F1F"/>
          <w:spacing w:val="-10"/>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3"/>
          <w:w w:val="115"/>
          <w:sz w:val="11"/>
        </w:rPr>
        <w:t>POTASSIUM</w:t>
      </w:r>
      <w:r>
        <w:rPr>
          <w:rFonts w:ascii="Calibri"/>
          <w:color w:val="008356"/>
          <w:spacing w:val="-1"/>
          <w:w w:val="115"/>
          <w:sz w:val="11"/>
        </w:rPr>
        <w:t> </w:t>
      </w:r>
      <w:r>
        <w:rPr>
          <w:rFonts w:ascii="Calibri"/>
          <w:color w:val="008356"/>
          <w:spacing w:val="3"/>
          <w:w w:val="115"/>
          <w:sz w:val="11"/>
        </w:rPr>
        <w:t>SALTS</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plasma concentration of ciclosporin possibly increased by </w:t>
      </w:r>
      <w:r>
        <w:rPr>
          <w:rFonts w:ascii="Calibri" w:hAnsi="Calibri"/>
          <w:color w:val="008356"/>
          <w:w w:val="105"/>
          <w:sz w:val="11"/>
        </w:rPr>
        <w:t>PROGESTOGENS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Ranolazine: </w:t>
      </w:r>
      <w:r>
        <w:rPr>
          <w:color w:val="231F1F"/>
          <w:w w:val="110"/>
        </w:rPr>
        <w:t>plasma concentration of both drugs may increase when ciclosporin given with </w:t>
      </w:r>
      <w:r>
        <w:rPr>
          <w:rFonts w:ascii="Calibri" w:hAnsi="Calibri"/>
          <w:color w:val="008356"/>
          <w:w w:val="110"/>
          <w:sz w:val="11"/>
        </w:rPr>
        <w:t>RANOLAZINE</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Sevelamer: </w:t>
      </w:r>
      <w:r>
        <w:rPr>
          <w:color w:val="231F1F"/>
          <w:w w:val="105"/>
        </w:rPr>
        <w:t>plasma concentration of ciclosporin possibly reduced by </w:t>
      </w:r>
      <w:r>
        <w:rPr>
          <w:rFonts w:ascii="Calibri" w:hAnsi="Calibri"/>
          <w:color w:val="008356"/>
          <w:w w:val="105"/>
          <w:sz w:val="11"/>
        </w:rPr>
        <w:t>SEVELAMER</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Sirolimus: </w:t>
      </w:r>
      <w:r>
        <w:rPr>
          <w:color w:val="231F1F"/>
          <w:w w:val="105"/>
        </w:rPr>
        <w:t>ciclosporin increases plasma concentration of</w:t>
      </w:r>
    </w:p>
    <w:p>
      <w:pPr>
        <w:spacing w:line="131" w:lineRule="exact" w:before="0"/>
        <w:ind w:left="208" w:right="0" w:firstLine="0"/>
        <w:jc w:val="left"/>
        <w:rPr>
          <w:rFonts w:ascii="Calibri"/>
          <w:sz w:val="11"/>
        </w:rPr>
      </w:pPr>
      <w:r>
        <w:rPr>
          <w:rFonts w:ascii="Calibri"/>
          <w:color w:val="008356"/>
          <w:sz w:val="11"/>
        </w:rPr>
        <w:t>SIROLIMUS</w:t>
      </w:r>
    </w:p>
    <w:p>
      <w:pPr>
        <w:spacing w:before="0"/>
        <w:ind w:left="208" w:right="782" w:hanging="100"/>
        <w:jc w:val="left"/>
        <w:rPr>
          <w:rFonts w:ascii="Calibri"/>
          <w:sz w:val="11"/>
        </w:rPr>
      </w:pPr>
      <w:r>
        <w:rPr>
          <w:rFonts w:ascii="Arial"/>
          <w:color w:val="231F1F"/>
          <w:w w:val="355"/>
          <w:position w:val="1"/>
          <w:sz w:val="7"/>
        </w:rPr>
        <w:t>l </w:t>
      </w:r>
      <w:r>
        <w:rPr>
          <w:rFonts w:ascii="Calibri"/>
          <w:color w:val="231F1F"/>
          <w:w w:val="110"/>
          <w:sz w:val="12"/>
        </w:rPr>
        <w:t>Sulfinpyrazone: </w:t>
      </w:r>
      <w:r>
        <w:rPr>
          <w:color w:val="231F1F"/>
          <w:w w:val="110"/>
          <w:sz w:val="12"/>
        </w:rPr>
        <w:t>plasma concentration of ciclosporin reduced by </w:t>
      </w:r>
      <w:r>
        <w:rPr>
          <w:rFonts w:ascii="Arial"/>
          <w:color w:val="231F1F"/>
          <w:w w:val="355"/>
          <w:position w:val="1"/>
          <w:sz w:val="7"/>
        </w:rPr>
        <w:t>l </w:t>
      </w:r>
      <w:r>
        <w:rPr>
          <w:rFonts w:ascii="Calibri"/>
          <w:color w:val="008356"/>
          <w:w w:val="110"/>
          <w:sz w:val="11"/>
        </w:rPr>
        <w:t>SULFINPYRAZONE</w:t>
      </w:r>
    </w:p>
    <w:p>
      <w:pPr>
        <w:pStyle w:val="BodyText"/>
        <w:ind w:right="699" w:hanging="100"/>
      </w:pPr>
      <w:r>
        <w:rPr>
          <w:rFonts w:ascii="Arial" w:hAnsi="Arial"/>
          <w:color w:val="231F1F"/>
          <w:w w:val="115"/>
          <w:position w:val="1"/>
          <w:sz w:val="7"/>
        </w:rPr>
        <w:t>l </w:t>
      </w:r>
      <w:r>
        <w:rPr>
          <w:rFonts w:ascii="Calibri" w:hAnsi="Calibri"/>
          <w:color w:val="231F1F"/>
          <w:w w:val="115"/>
        </w:rPr>
        <w:t>Tacrolimus: </w:t>
      </w:r>
      <w:r>
        <w:rPr>
          <w:color w:val="231F1F"/>
          <w:w w:val="115"/>
        </w:rPr>
        <w:t>plasma concentration of ciclosporin increased </w:t>
      </w:r>
      <w:r>
        <w:rPr>
          <w:color w:val="231F1F"/>
          <w:spacing w:val="-8"/>
          <w:w w:val="115"/>
        </w:rPr>
        <w:t>by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20"/>
          <w:sz w:val="11"/>
        </w:rPr>
        <w:t>TACROLIMUS </w:t>
      </w:r>
      <w:r>
        <w:rPr>
          <w:color w:val="231F1F"/>
          <w:w w:val="120"/>
        </w:rPr>
        <w:t>(increased risk of nephrotoxicity)</w:t>
      </w:r>
      <w:r>
        <w:rPr>
          <w:rFonts w:ascii="Arial" w:hAnsi="Arial"/>
          <w:color w:val="231F1F"/>
          <w:w w:val="120"/>
        </w:rPr>
        <w:t>—</w:t>
      </w:r>
      <w:r>
        <w:rPr>
          <w:color w:val="231F1F"/>
          <w:w w:val="120"/>
        </w:rPr>
        <w:t>avoid concomitant use</w:t>
      </w:r>
    </w:p>
    <w:p>
      <w:pPr>
        <w:spacing w:after="0"/>
        <w:sectPr>
          <w:pgSz w:w="8390" w:h="11910"/>
          <w:pgMar w:header="0" w:footer="0" w:top="460" w:bottom="0" w:left="480" w:right="0"/>
          <w:cols w:num="2" w:equalWidth="0">
            <w:col w:w="3606" w:space="70"/>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2992" filled="true" fillcolor="#bfdbcf" stroked="false">
            <v:fill type="solid"/>
            <w10:wrap type="none"/>
          </v:rect>
        </w:pict>
      </w:r>
      <w:r>
        <w:rPr/>
        <w:pict>
          <v:shape style="position:absolute;margin-left:7.751256pt;margin-top:35.804367pt;width:10.4pt;height:78.850pt;mso-position-horizontal-relative:page;mso-position-vertical-relative:page;z-index:301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Ciclosporin </w:t>
      </w:r>
      <w:r>
        <w:rPr>
          <w:rFonts w:ascii="Calibri"/>
          <w:color w:val="231F1F"/>
        </w:rPr>
        <w:t>(continued)</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Ticagrelor: </w:t>
      </w:r>
      <w:r>
        <w:rPr>
          <w:color w:val="231F1F"/>
          <w:w w:val="105"/>
        </w:rPr>
        <w:t>ciclosporin increases plasma concentration of</w:t>
      </w:r>
    </w:p>
    <w:p>
      <w:pPr>
        <w:spacing w:line="130" w:lineRule="exact" w:before="0"/>
        <w:ind w:left="286" w:right="0" w:firstLine="0"/>
        <w:jc w:val="left"/>
        <w:rPr>
          <w:rFonts w:ascii="Calibri"/>
          <w:sz w:val="11"/>
        </w:rPr>
      </w:pPr>
      <w:r>
        <w:rPr>
          <w:rFonts w:ascii="Calibri"/>
          <w:color w:val="008356"/>
          <w:sz w:val="11"/>
        </w:rPr>
        <w:t>TICAGRELOR</w:t>
      </w:r>
    </w:p>
    <w:p>
      <w:pPr>
        <w:pStyle w:val="BodyText"/>
        <w:ind w:left="286" w:hanging="100"/>
        <w:rPr>
          <w:rFonts w:ascii="Calibri"/>
          <w:sz w:val="11"/>
        </w:rPr>
      </w:pPr>
      <w:r>
        <w:rPr>
          <w:rFonts w:ascii="Arial"/>
          <w:color w:val="231F1F"/>
          <w:w w:val="355"/>
          <w:position w:val="1"/>
          <w:sz w:val="7"/>
        </w:rPr>
        <w:t>l </w:t>
      </w:r>
      <w:r>
        <w:rPr>
          <w:rFonts w:ascii="Calibri"/>
          <w:color w:val="231F1F"/>
          <w:w w:val="110"/>
        </w:rPr>
        <w:t>Ulcer-healing Drugs: </w:t>
      </w:r>
      <w:r>
        <w:rPr>
          <w:color w:val="231F1F"/>
          <w:w w:val="110"/>
        </w:rPr>
        <w:t>plasma concentration of ciclosporin possibly increased by </w:t>
      </w:r>
      <w:r>
        <w:rPr>
          <w:rFonts w:ascii="Arial"/>
          <w:color w:val="231F1F"/>
          <w:w w:val="355"/>
          <w:position w:val="1"/>
          <w:sz w:val="7"/>
        </w:rPr>
        <w:t>l </w:t>
      </w:r>
      <w:r>
        <w:rPr>
          <w:rFonts w:ascii="Calibri"/>
          <w:color w:val="008356"/>
          <w:w w:val="110"/>
          <w:sz w:val="11"/>
        </w:rPr>
        <w:t>CIMETIDINE</w:t>
      </w:r>
      <w:r>
        <w:rPr>
          <w:color w:val="231F1F"/>
          <w:w w:val="110"/>
        </w:rPr>
        <w:t>; plasma concentration of ciclosporin possibly affected by </w:t>
      </w:r>
      <w:r>
        <w:rPr>
          <w:rFonts w:ascii="Calibri"/>
          <w:color w:val="008356"/>
          <w:w w:val="110"/>
          <w:sz w:val="11"/>
        </w:rPr>
        <w:t>OMEPRAZOLE</w:t>
      </w:r>
    </w:p>
    <w:p>
      <w:pPr>
        <w:pStyle w:val="BodyText"/>
        <w:spacing w:line="220" w:lineRule="auto" w:before="6"/>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Vitamins: </w:t>
      </w:r>
      <w:r>
        <w:rPr>
          <w:color w:val="231F1F"/>
          <w:w w:val="105"/>
        </w:rPr>
        <w:t>plasma concentration of ciclosporin possibly affected by </w:t>
      </w:r>
      <w:r>
        <w:rPr>
          <w:rFonts w:ascii="Calibri" w:hAnsi="Calibri"/>
          <w:color w:val="008356"/>
          <w:w w:val="105"/>
          <w:sz w:val="11"/>
        </w:rPr>
        <w:t>VITAMIN E</w:t>
      </w:r>
    </w:p>
    <w:p>
      <w:pPr>
        <w:pStyle w:val="BodyText"/>
        <w:spacing w:before="9"/>
        <w:ind w:left="186"/>
        <w:rPr>
          <w:rFonts w:ascii="Trebuchet MS"/>
        </w:rPr>
      </w:pPr>
      <w:r>
        <w:rPr>
          <w:rFonts w:ascii="Trebuchet MS"/>
          <w:color w:val="008356"/>
        </w:rPr>
        <w:t>Cilostazol</w:t>
      </w:r>
    </w:p>
    <w:p>
      <w:pPr>
        <w:pStyle w:val="BodyText"/>
        <w:spacing w:before="1"/>
        <w:ind w:left="186"/>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Anagrelide:</w:t>
      </w:r>
      <w:r>
        <w:rPr>
          <w:rFonts w:ascii="Calibri"/>
          <w:color w:val="231F1F"/>
          <w:spacing w:val="-12"/>
          <w:w w:val="115"/>
        </w:rPr>
        <w:t> </w:t>
      </w:r>
      <w:r>
        <w:rPr>
          <w:color w:val="231F1F"/>
          <w:w w:val="115"/>
        </w:rPr>
        <w:t>avoidance</w:t>
      </w:r>
      <w:r>
        <w:rPr>
          <w:color w:val="231F1F"/>
          <w:spacing w:val="-16"/>
          <w:w w:val="115"/>
        </w:rPr>
        <w:t> </w:t>
      </w:r>
      <w:r>
        <w:rPr>
          <w:color w:val="231F1F"/>
          <w:w w:val="115"/>
        </w:rPr>
        <w:t>of</w:t>
      </w:r>
      <w:r>
        <w:rPr>
          <w:color w:val="231F1F"/>
          <w:spacing w:val="-16"/>
          <w:w w:val="115"/>
        </w:rPr>
        <w:t> </w:t>
      </w:r>
      <w:r>
        <w:rPr>
          <w:color w:val="231F1F"/>
          <w:w w:val="115"/>
        </w:rPr>
        <w:t>cilostazol</w:t>
      </w:r>
      <w:r>
        <w:rPr>
          <w:color w:val="231F1F"/>
          <w:spacing w:val="-16"/>
          <w:w w:val="115"/>
        </w:rPr>
        <w:t> </w:t>
      </w:r>
      <w:r>
        <w:rPr>
          <w:color w:val="231F1F"/>
          <w:w w:val="115"/>
        </w:rPr>
        <w:t>advised</w:t>
      </w:r>
      <w:r>
        <w:rPr>
          <w:color w:val="231F1F"/>
          <w:spacing w:val="-16"/>
          <w:w w:val="115"/>
        </w:rPr>
        <w:t> </w:t>
      </w:r>
      <w:r>
        <w:rPr>
          <w:color w:val="231F1F"/>
          <w:w w:val="115"/>
        </w:rPr>
        <w:t>by</w:t>
      </w:r>
      <w:r>
        <w:rPr>
          <w:color w:val="231F1F"/>
          <w:spacing w:val="-16"/>
          <w:w w:val="115"/>
        </w:rPr>
        <w:t> </w:t>
      </w:r>
      <w:r>
        <w:rPr>
          <w:color w:val="231F1F"/>
          <w:w w:val="115"/>
        </w:rPr>
        <w:t>manufacturer</w:t>
      </w:r>
      <w:r>
        <w:rPr>
          <w:color w:val="231F1F"/>
          <w:spacing w:val="-16"/>
          <w:w w:val="115"/>
        </w:rPr>
        <w:t> </w:t>
      </w:r>
      <w:r>
        <w:rPr>
          <w:color w:val="231F1F"/>
          <w:spacing w:val="-9"/>
          <w:w w:val="115"/>
        </w:rPr>
        <w:t>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ANAGRELIDE</w:t>
      </w:r>
    </w:p>
    <w:p>
      <w:pPr>
        <w:pStyle w:val="BodyText"/>
        <w:ind w:left="286" w:right="1" w:hanging="100"/>
      </w:pPr>
      <w:r>
        <w:rPr>
          <w:rFonts w:ascii="Arial"/>
          <w:color w:val="231F1F"/>
          <w:w w:val="355"/>
          <w:position w:val="1"/>
          <w:sz w:val="7"/>
        </w:rPr>
        <w:t>l </w:t>
      </w:r>
      <w:r>
        <w:rPr>
          <w:rFonts w:ascii="Calibri"/>
          <w:color w:val="231F1F"/>
          <w:w w:val="110"/>
        </w:rPr>
        <w:t>Antibacterials: </w:t>
      </w:r>
      <w:r>
        <w:rPr>
          <w:color w:val="231F1F"/>
          <w:w w:val="110"/>
        </w:rPr>
        <w:t>plasma concentration of cilostazol possibly increased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CLARITHROMYCIN </w:t>
      </w:r>
      <w:r>
        <w:rPr>
          <w:color w:val="231F1F"/>
          <w:w w:val="110"/>
        </w:rPr>
        <w:t>(see under Cilostazol, p. 206); plasma concentration of cilostazol increased by</w:t>
      </w:r>
    </w:p>
    <w:p>
      <w:pPr>
        <w:spacing w:line="141" w:lineRule="exact" w:before="4"/>
        <w:ind w:left="286" w:right="0" w:firstLine="0"/>
        <w:jc w:val="left"/>
        <w:rPr>
          <w:sz w:val="12"/>
        </w:rPr>
      </w:pPr>
      <w:r>
        <w:rPr>
          <w:rFonts w:ascii="Arial"/>
          <w:color w:val="231F1F"/>
          <w:w w:val="355"/>
          <w:position w:val="1"/>
          <w:sz w:val="7"/>
        </w:rPr>
        <w:t>l </w:t>
      </w:r>
      <w:r>
        <w:rPr>
          <w:rFonts w:ascii="Calibri"/>
          <w:color w:val="008356"/>
          <w:w w:val="110"/>
          <w:sz w:val="11"/>
        </w:rPr>
        <w:t>ERYTHROMYCIN </w:t>
      </w:r>
      <w:r>
        <w:rPr>
          <w:color w:val="231F1F"/>
          <w:w w:val="110"/>
          <w:sz w:val="12"/>
        </w:rPr>
        <w:t>(see under Cilostazol, p. 206)</w:t>
      </w:r>
    </w:p>
    <w:p>
      <w:pPr>
        <w:pStyle w:val="BodyText"/>
        <w:ind w:left="286" w:right="138" w:hanging="100"/>
      </w:pPr>
      <w:r>
        <w:rPr>
          <w:rFonts w:ascii="Arial"/>
          <w:color w:val="231F1F"/>
          <w:w w:val="355"/>
          <w:position w:val="1"/>
          <w:sz w:val="7"/>
        </w:rPr>
        <w:t>l </w:t>
      </w:r>
      <w:r>
        <w:rPr>
          <w:rFonts w:ascii="Calibri"/>
          <w:color w:val="231F1F"/>
          <w:w w:val="110"/>
        </w:rPr>
        <w:t>Antifungals: </w:t>
      </w:r>
      <w:r>
        <w:rPr>
          <w:color w:val="231F1F"/>
          <w:w w:val="110"/>
        </w:rPr>
        <w:t>plasma concentration of cilostazol increased by </w:t>
      </w:r>
      <w:r>
        <w:rPr>
          <w:rFonts w:ascii="Arial"/>
          <w:color w:val="231F1F"/>
          <w:w w:val="355"/>
          <w:position w:val="1"/>
          <w:sz w:val="7"/>
        </w:rPr>
        <w:t>l </w:t>
      </w:r>
      <w:r>
        <w:rPr>
          <w:rFonts w:ascii="Calibri"/>
          <w:color w:val="008356"/>
          <w:w w:val="110"/>
          <w:sz w:val="11"/>
        </w:rPr>
        <w:t>KETOCONAZOLE </w:t>
      </w:r>
      <w:r>
        <w:rPr>
          <w:color w:val="231F1F"/>
          <w:w w:val="110"/>
        </w:rPr>
        <w:t>(see under Cilostazol, p. 206); plasma concentration of cilostazol possibly increased by</w:t>
      </w:r>
    </w:p>
    <w:p>
      <w:pPr>
        <w:spacing w:line="141" w:lineRule="exact" w:before="5"/>
        <w:ind w:left="286" w:right="0" w:firstLine="0"/>
        <w:jc w:val="left"/>
        <w:rPr>
          <w:sz w:val="12"/>
        </w:rPr>
      </w:pPr>
      <w:r>
        <w:rPr>
          <w:rFonts w:ascii="Arial"/>
          <w:color w:val="231F1F"/>
          <w:w w:val="355"/>
          <w:position w:val="1"/>
          <w:sz w:val="7"/>
        </w:rPr>
        <w:t>l </w:t>
      </w:r>
      <w:r>
        <w:rPr>
          <w:rFonts w:ascii="Calibri"/>
          <w:color w:val="008356"/>
          <w:w w:val="110"/>
          <w:sz w:val="11"/>
        </w:rPr>
        <w:t>ITRACONAZOLE </w:t>
      </w:r>
      <w:r>
        <w:rPr>
          <w:color w:val="231F1F"/>
          <w:w w:val="110"/>
          <w:sz w:val="12"/>
        </w:rPr>
        <w:t>(see under Cilostazol, p. 206)</w:t>
      </w:r>
    </w:p>
    <w:p>
      <w:pPr>
        <w:spacing w:before="0"/>
        <w:ind w:left="286" w:right="31"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cilostazol possibly increased</w:t>
      </w:r>
      <w:r>
        <w:rPr>
          <w:color w:val="231F1F"/>
          <w:spacing w:val="-11"/>
          <w:w w:val="110"/>
          <w:sz w:val="12"/>
        </w:rPr>
        <w:t> </w:t>
      </w:r>
      <w:r>
        <w:rPr>
          <w:color w:val="231F1F"/>
          <w:w w:val="110"/>
          <w:sz w:val="12"/>
        </w:rPr>
        <w:t>by</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BOCEPREVIR</w:t>
      </w:r>
      <w:r>
        <w:rPr>
          <w:color w:val="231F1F"/>
          <w:spacing w:val="4"/>
          <w:w w:val="110"/>
          <w:sz w:val="12"/>
        </w:rPr>
        <w:t>,</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3"/>
          <w:w w:val="110"/>
          <w:sz w:val="11"/>
        </w:rPr>
        <w:t>RITONAVIR</w:t>
      </w:r>
      <w:r>
        <w:rPr>
          <w:rFonts w:ascii="Calibri"/>
          <w:color w:val="008356"/>
          <w:spacing w:val="-1"/>
          <w:w w:val="110"/>
          <w:sz w:val="11"/>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TELAPREVIR</w:t>
      </w:r>
      <w:r>
        <w:rPr>
          <w:rFonts w:ascii="Calibri"/>
          <w:color w:val="008356"/>
          <w:spacing w:val="-1"/>
          <w:w w:val="110"/>
          <w:sz w:val="11"/>
        </w:rPr>
        <w:t> </w:t>
      </w:r>
      <w:r>
        <w:rPr>
          <w:color w:val="231F1F"/>
          <w:w w:val="110"/>
          <w:sz w:val="12"/>
        </w:rPr>
        <w:t>(see under Cilostazol, p.</w:t>
      </w:r>
      <w:r>
        <w:rPr>
          <w:color w:val="231F1F"/>
          <w:spacing w:val="-5"/>
          <w:w w:val="110"/>
          <w:sz w:val="12"/>
        </w:rPr>
        <w:t> </w:t>
      </w:r>
      <w:r>
        <w:rPr>
          <w:color w:val="231F1F"/>
          <w:w w:val="110"/>
          <w:sz w:val="12"/>
        </w:rPr>
        <w:t>206)</w:t>
      </w:r>
    </w:p>
    <w:p>
      <w:pPr>
        <w:pStyle w:val="BodyText"/>
        <w:spacing w:line="220" w:lineRule="auto" w:before="11"/>
        <w:ind w:left="286" w:hanging="100"/>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cilostazol increased  by  </w:t>
      </w:r>
      <w:r>
        <w:rPr>
          <w:rFonts w:ascii="Calibri" w:hAnsi="Calibri"/>
          <w:color w:val="008356"/>
          <w:spacing w:val="3"/>
          <w:w w:val="105"/>
          <w:sz w:val="11"/>
        </w:rPr>
        <w:t>DILTIAZEM  </w:t>
      </w:r>
      <w:r>
        <w:rPr>
          <w:color w:val="231F1F"/>
          <w:w w:val="105"/>
        </w:rPr>
        <w:t>(consider  reducing dose  of</w:t>
      </w:r>
      <w:r>
        <w:rPr>
          <w:color w:val="231F1F"/>
          <w:spacing w:val="-10"/>
          <w:w w:val="105"/>
        </w:rPr>
        <w:t> </w:t>
      </w:r>
      <w:r>
        <w:rPr>
          <w:color w:val="231F1F"/>
          <w:w w:val="105"/>
        </w:rPr>
        <w:t>cilostazol)</w:t>
      </w:r>
    </w:p>
    <w:p>
      <w:pPr>
        <w:pStyle w:val="BodyText"/>
        <w:spacing w:line="220" w:lineRule="auto" w:before="8"/>
        <w:ind w:left="286" w:right="3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cilostazol  by  12  hours  advised by  manufacturer of </w:t>
      </w:r>
      <w:r>
        <w:rPr>
          <w:rFonts w:ascii="Calibri" w:hAnsi="Calibri"/>
          <w:color w:val="008356"/>
          <w:w w:val="105"/>
          <w:sz w:val="11"/>
        </w:rPr>
        <w:t>LOMITAPIDE</w:t>
      </w:r>
    </w:p>
    <w:p>
      <w:pPr>
        <w:pStyle w:val="BodyText"/>
        <w:ind w:left="286" w:hanging="100"/>
      </w:pPr>
      <w:r>
        <w:rPr>
          <w:rFonts w:ascii="Arial"/>
          <w:color w:val="231F1F"/>
          <w:w w:val="355"/>
          <w:position w:val="1"/>
          <w:sz w:val="7"/>
        </w:rPr>
        <w:t>l </w:t>
      </w:r>
      <w:r>
        <w:rPr>
          <w:rFonts w:ascii="Calibri"/>
          <w:color w:val="231F1F"/>
          <w:w w:val="110"/>
        </w:rPr>
        <w:t>Ulcer-healing Drugs: </w:t>
      </w:r>
      <w:r>
        <w:rPr>
          <w:color w:val="231F1F"/>
          <w:w w:val="110"/>
        </w:rPr>
        <w:t>plasma concentration of cilostazol increased by </w:t>
      </w:r>
      <w:r>
        <w:rPr>
          <w:rFonts w:ascii="Arial"/>
          <w:color w:val="231F1F"/>
          <w:w w:val="355"/>
          <w:position w:val="1"/>
          <w:sz w:val="7"/>
        </w:rPr>
        <w:t>l </w:t>
      </w:r>
      <w:r>
        <w:rPr>
          <w:rFonts w:ascii="Calibri"/>
          <w:color w:val="008356"/>
          <w:w w:val="110"/>
          <w:sz w:val="11"/>
        </w:rPr>
        <w:t>OMEPRAZOLE </w:t>
      </w:r>
      <w:r>
        <w:rPr>
          <w:color w:val="231F1F"/>
          <w:w w:val="110"/>
        </w:rPr>
        <w:t>(see under Cilostazol, p. 206)</w:t>
      </w:r>
    </w:p>
    <w:p>
      <w:pPr>
        <w:pStyle w:val="BodyText"/>
        <w:spacing w:before="6"/>
        <w:ind w:left="186"/>
      </w:pPr>
      <w:r>
        <w:rPr>
          <w:rFonts w:ascii="Trebuchet MS"/>
          <w:color w:val="008356"/>
          <w:w w:val="110"/>
        </w:rPr>
        <w:t>Cimetidine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w:t>
      </w:r>
    </w:p>
    <w:p>
      <w:pPr>
        <w:pStyle w:val="BodyText"/>
        <w:spacing w:before="11"/>
        <w:ind w:left="186"/>
        <w:rPr>
          <w:rFonts w:ascii="Trebuchet MS"/>
        </w:rPr>
      </w:pPr>
      <w:r>
        <w:rPr>
          <w:rFonts w:ascii="Trebuchet MS"/>
          <w:color w:val="008356"/>
        </w:rPr>
        <w:t>Cinacalcet</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metabolism of cinacalcet inhibited by</w:t>
      </w:r>
    </w:p>
    <w:p>
      <w:pPr>
        <w:spacing w:line="134" w:lineRule="exact" w:before="0"/>
        <w:ind w:left="286" w:right="0" w:firstLine="0"/>
        <w:jc w:val="left"/>
        <w:rPr>
          <w:sz w:val="12"/>
        </w:rPr>
      </w:pPr>
      <w:r>
        <w:rPr>
          <w:rFonts w:ascii="Calibri"/>
          <w:color w:val="008356"/>
          <w:w w:val="110"/>
          <w:sz w:val="11"/>
        </w:rPr>
        <w:t>KETOCONAZOLE </w:t>
      </w:r>
      <w:r>
        <w:rPr>
          <w:color w:val="231F1F"/>
          <w:w w:val="110"/>
          <w:sz w:val="12"/>
        </w:rPr>
        <w:t>(increased plasma concentration)</w:t>
      </w:r>
    </w:p>
    <w:p>
      <w:pPr>
        <w:pStyle w:val="BodyText"/>
        <w:ind w:left="286" w:hanging="100"/>
      </w:pPr>
      <w:r>
        <w:rPr>
          <w:rFonts w:ascii="Arial"/>
          <w:color w:val="231F1F"/>
          <w:w w:val="355"/>
          <w:position w:val="1"/>
          <w:sz w:val="7"/>
        </w:rPr>
        <w:t>l </w:t>
      </w:r>
      <w:r>
        <w:rPr>
          <w:rFonts w:ascii="Calibri"/>
          <w:color w:val="231F1F"/>
          <w:w w:val="110"/>
        </w:rPr>
        <w:t>Hormone Antagonists: </w:t>
      </w:r>
      <w:r>
        <w:rPr>
          <w:color w:val="231F1F"/>
          <w:w w:val="110"/>
        </w:rPr>
        <w:t>cinacalcet possibly inhibits </w:t>
      </w:r>
      <w:r>
        <w:rPr>
          <w:color w:val="231F1F"/>
          <w:spacing w:val="-3"/>
          <w:w w:val="110"/>
        </w:rPr>
        <w:t>metabolism </w:t>
      </w:r>
      <w:r>
        <w:rPr>
          <w:color w:val="231F1F"/>
          <w:w w:val="110"/>
        </w:rPr>
        <w:t>of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TAMOXIFEN </w:t>
      </w:r>
      <w:r>
        <w:rPr>
          <w:color w:val="231F1F"/>
          <w:w w:val="110"/>
        </w:rPr>
        <w:t>to active metabolite (avoid concomitant use)</w:t>
      </w:r>
    </w:p>
    <w:p>
      <w:pPr>
        <w:pStyle w:val="BodyText"/>
        <w:spacing w:line="256" w:lineRule="auto" w:before="5"/>
        <w:ind w:left="186" w:right="1403"/>
        <w:rPr>
          <w:rFonts w:ascii="Trebuchet MS"/>
        </w:rPr>
      </w:pPr>
      <w:r>
        <w:rPr>
          <w:rFonts w:ascii="Trebuchet MS"/>
          <w:color w:val="008356"/>
          <w:w w:val="105"/>
        </w:rPr>
        <w:t>Cinnarizine </w:t>
      </w:r>
      <w:r>
        <w:rPr>
          <w:i/>
          <w:color w:val="231F1F"/>
          <w:w w:val="105"/>
        </w:rPr>
        <w:t>see </w:t>
      </w:r>
      <w:r>
        <w:rPr>
          <w:color w:val="231F1F"/>
          <w:w w:val="105"/>
        </w:rPr>
        <w:t>Antihistamines </w:t>
      </w:r>
      <w:r>
        <w:rPr>
          <w:rFonts w:ascii="Trebuchet MS"/>
          <w:color w:val="008356"/>
          <w:w w:val="105"/>
        </w:rPr>
        <w:t>Ciprofibrate </w:t>
      </w:r>
      <w:r>
        <w:rPr>
          <w:i/>
          <w:color w:val="231F1F"/>
          <w:w w:val="105"/>
        </w:rPr>
        <w:t>see </w:t>
      </w:r>
      <w:r>
        <w:rPr>
          <w:color w:val="231F1F"/>
          <w:w w:val="105"/>
        </w:rPr>
        <w:t>Fibrates </w:t>
      </w:r>
      <w:r>
        <w:rPr>
          <w:rFonts w:ascii="Trebuchet MS"/>
          <w:color w:val="008356"/>
          <w:w w:val="105"/>
        </w:rPr>
        <w:t>Ciprofloxacin </w:t>
      </w:r>
      <w:r>
        <w:rPr>
          <w:i/>
          <w:color w:val="231F1F"/>
          <w:w w:val="105"/>
        </w:rPr>
        <w:t>see </w:t>
      </w:r>
      <w:r>
        <w:rPr>
          <w:color w:val="231F1F"/>
          <w:w w:val="105"/>
        </w:rPr>
        <w:t>Quinolones </w:t>
      </w:r>
      <w:r>
        <w:rPr>
          <w:rFonts w:ascii="Trebuchet MS"/>
          <w:color w:val="008356"/>
          <w:w w:val="105"/>
        </w:rPr>
        <w:t>Cisatracurium </w:t>
      </w:r>
      <w:r>
        <w:rPr>
          <w:i/>
          <w:color w:val="231F1F"/>
          <w:w w:val="105"/>
        </w:rPr>
        <w:t>see </w:t>
      </w:r>
      <w:r>
        <w:rPr>
          <w:color w:val="231F1F"/>
          <w:w w:val="105"/>
        </w:rPr>
        <w:t>Muscle Relaxants </w:t>
      </w:r>
      <w:r>
        <w:rPr>
          <w:rFonts w:ascii="Trebuchet MS"/>
          <w:color w:val="008356"/>
          <w:w w:val="105"/>
        </w:rPr>
        <w:t>Cisplatin </w:t>
      </w:r>
      <w:r>
        <w:rPr>
          <w:i/>
          <w:color w:val="231F1F"/>
          <w:w w:val="105"/>
        </w:rPr>
        <w:t>see </w:t>
      </w:r>
      <w:r>
        <w:rPr>
          <w:color w:val="231F1F"/>
          <w:w w:val="105"/>
        </w:rPr>
        <w:t>Platinum Compounds </w:t>
      </w:r>
      <w:r>
        <w:rPr>
          <w:rFonts w:ascii="Trebuchet MS"/>
          <w:color w:val="008356"/>
          <w:w w:val="105"/>
        </w:rPr>
        <w:t>Citalopram </w:t>
      </w:r>
      <w:r>
        <w:rPr>
          <w:i/>
          <w:color w:val="231F1F"/>
          <w:w w:val="105"/>
        </w:rPr>
        <w:t>see </w:t>
      </w:r>
      <w:r>
        <w:rPr>
          <w:color w:val="231F1F"/>
          <w:w w:val="105"/>
        </w:rPr>
        <w:t>Antidepressants, SSRI </w:t>
      </w:r>
      <w:r>
        <w:rPr>
          <w:rFonts w:ascii="Trebuchet MS"/>
          <w:color w:val="008356"/>
          <w:w w:val="105"/>
        </w:rPr>
        <w:t>Cladribine</w:t>
      </w:r>
    </w:p>
    <w:p>
      <w:pPr>
        <w:pStyle w:val="BodyText"/>
        <w:spacing w:line="139"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45" w:lineRule="exact"/>
        <w:ind w:left="186"/>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Antivirals:</w:t>
      </w:r>
      <w:r>
        <w:rPr>
          <w:rFonts w:ascii="Calibri"/>
          <w:color w:val="231F1F"/>
          <w:spacing w:val="-10"/>
          <w:w w:val="115"/>
        </w:rPr>
        <w:t> </w:t>
      </w:r>
      <w:r>
        <w:rPr>
          <w:color w:val="231F1F"/>
          <w:w w:val="115"/>
        </w:rPr>
        <w:t>avoidance</w:t>
      </w:r>
      <w:r>
        <w:rPr>
          <w:color w:val="231F1F"/>
          <w:spacing w:val="-14"/>
          <w:w w:val="115"/>
        </w:rPr>
        <w:t> </w:t>
      </w:r>
      <w:r>
        <w:rPr>
          <w:color w:val="231F1F"/>
          <w:w w:val="115"/>
        </w:rPr>
        <w:t>of</w:t>
      </w:r>
      <w:r>
        <w:rPr>
          <w:color w:val="231F1F"/>
          <w:spacing w:val="-13"/>
          <w:w w:val="115"/>
        </w:rPr>
        <w:t> </w:t>
      </w:r>
      <w:r>
        <w:rPr>
          <w:color w:val="231F1F"/>
          <w:w w:val="115"/>
        </w:rPr>
        <w:t>cladribine</w:t>
      </w:r>
      <w:r>
        <w:rPr>
          <w:color w:val="231F1F"/>
          <w:spacing w:val="-14"/>
          <w:w w:val="115"/>
        </w:rPr>
        <w:t> </w:t>
      </w:r>
      <w:r>
        <w:rPr>
          <w:color w:val="231F1F"/>
          <w:w w:val="115"/>
        </w:rPr>
        <w:t>advised</w:t>
      </w:r>
      <w:r>
        <w:rPr>
          <w:color w:val="231F1F"/>
          <w:spacing w:val="-13"/>
          <w:w w:val="115"/>
        </w:rPr>
        <w:t> </w:t>
      </w:r>
      <w:r>
        <w:rPr>
          <w:color w:val="231F1F"/>
          <w:w w:val="115"/>
        </w:rPr>
        <w:t>by</w:t>
      </w:r>
      <w:r>
        <w:rPr>
          <w:color w:val="231F1F"/>
          <w:spacing w:val="-14"/>
          <w:w w:val="115"/>
        </w:rPr>
        <w:t> </w:t>
      </w:r>
      <w:r>
        <w:rPr>
          <w:color w:val="231F1F"/>
          <w:w w:val="115"/>
        </w:rPr>
        <w:t>manufacturer</w:t>
      </w:r>
      <w:r>
        <w:rPr>
          <w:color w:val="231F1F"/>
          <w:spacing w:val="-14"/>
          <w:w w:val="115"/>
        </w:rPr>
        <w:t> </w:t>
      </w:r>
      <w:r>
        <w:rPr>
          <w:color w:val="231F1F"/>
          <w:w w:val="115"/>
        </w:rPr>
        <w:t>of</w:t>
      </w:r>
    </w:p>
    <w:p>
      <w:pPr>
        <w:spacing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LAMIVUDINE</w:t>
      </w:r>
    </w:p>
    <w:p>
      <w:pPr>
        <w:pStyle w:val="BodyText"/>
        <w:spacing w:line="256" w:lineRule="auto" w:before="7"/>
        <w:ind w:left="186" w:right="1403"/>
        <w:rPr>
          <w:rFonts w:ascii="Trebuchet MS"/>
        </w:rPr>
      </w:pPr>
      <w:r>
        <w:rPr>
          <w:rFonts w:ascii="Trebuchet MS"/>
          <w:color w:val="008356"/>
          <w:w w:val="105"/>
        </w:rPr>
        <w:t>Clarithromycin </w:t>
      </w:r>
      <w:r>
        <w:rPr>
          <w:i/>
          <w:color w:val="231F1F"/>
          <w:w w:val="105"/>
        </w:rPr>
        <w:t>see </w:t>
      </w:r>
      <w:r>
        <w:rPr>
          <w:color w:val="231F1F"/>
          <w:w w:val="105"/>
        </w:rPr>
        <w:t>Macrolides </w:t>
      </w:r>
      <w:r>
        <w:rPr>
          <w:rFonts w:ascii="Trebuchet MS"/>
          <w:color w:val="008356"/>
          <w:w w:val="105"/>
        </w:rPr>
        <w:t>Clemastine </w:t>
      </w:r>
      <w:r>
        <w:rPr>
          <w:i/>
          <w:color w:val="231F1F"/>
          <w:w w:val="105"/>
        </w:rPr>
        <w:t>see </w:t>
      </w:r>
      <w:r>
        <w:rPr>
          <w:color w:val="231F1F"/>
          <w:w w:val="105"/>
        </w:rPr>
        <w:t>Antihistamines </w:t>
      </w:r>
      <w:r>
        <w:rPr>
          <w:rFonts w:ascii="Trebuchet MS"/>
          <w:color w:val="008356"/>
          <w:w w:val="105"/>
        </w:rPr>
        <w:t>Clindamycin</w:t>
      </w:r>
    </w:p>
    <w:p>
      <w:pPr>
        <w:pStyle w:val="BodyText"/>
        <w:spacing w:line="138" w:lineRule="exact"/>
        <w:ind w:left="186"/>
        <w:rPr>
          <w:rFonts w:ascii="Calibri"/>
          <w:sz w:val="11"/>
        </w:rPr>
      </w:pPr>
      <w:r>
        <w:rPr>
          <w:rFonts w:ascii="Arial"/>
          <w:color w:val="231F1F"/>
          <w:w w:val="355"/>
          <w:position w:val="1"/>
          <w:sz w:val="7"/>
        </w:rPr>
        <w:t>l </w:t>
      </w:r>
      <w:r>
        <w:rPr>
          <w:rFonts w:ascii="Calibri"/>
          <w:color w:val="231F1F"/>
          <w:w w:val="115"/>
        </w:rPr>
        <w:t>Muscle Relaxants: </w:t>
      </w:r>
      <w:r>
        <w:rPr>
          <w:color w:val="231F1F"/>
          <w:w w:val="115"/>
        </w:rPr>
        <w:t>clindamycin enhances effects of </w:t>
      </w:r>
      <w:r>
        <w:rPr>
          <w:rFonts w:ascii="Arial"/>
          <w:color w:val="231F1F"/>
          <w:w w:val="355"/>
          <w:position w:val="1"/>
          <w:sz w:val="7"/>
        </w:rPr>
        <w:t>l </w:t>
      </w:r>
      <w:r>
        <w:rPr>
          <w:rFonts w:ascii="Calibri"/>
          <w:color w:val="008356"/>
          <w:spacing w:val="5"/>
          <w:w w:val="115"/>
          <w:sz w:val="11"/>
        </w:rPr>
        <w:t>NON-</w:t>
      </w:r>
    </w:p>
    <w:p>
      <w:pPr>
        <w:spacing w:line="140" w:lineRule="exact" w:before="0"/>
        <w:ind w:left="286" w:right="0" w:firstLine="0"/>
        <w:jc w:val="left"/>
        <w:rPr>
          <w:rFonts w:ascii="Calibri"/>
          <w:sz w:val="11"/>
        </w:rPr>
      </w:pPr>
      <w:r>
        <w:rPr>
          <w:rFonts w:ascii="Calibri"/>
          <w:color w:val="008356"/>
          <w:spacing w:val="4"/>
          <w:w w:val="105"/>
          <w:sz w:val="11"/>
        </w:rPr>
        <w:t>DEPOLARISING MUSCLE RELAXANTS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Calibri"/>
          <w:color w:val="008356"/>
          <w:spacing w:val="5"/>
          <w:w w:val="105"/>
          <w:sz w:val="11"/>
        </w:rPr>
        <w:t>SUXAMETHONIUM</w:t>
      </w:r>
    </w:p>
    <w:p>
      <w:pPr>
        <w:pStyle w:val="BodyText"/>
        <w:spacing w:line="151" w:lineRule="exact"/>
        <w:ind w:left="186"/>
      </w:pPr>
      <w:r>
        <w:rPr>
          <w:rFonts w:ascii="Lucida Sans Unicode" w:hAnsi="Lucida Sans Unicode"/>
          <w:color w:val="A7A8AC"/>
          <w:w w:val="95"/>
          <w:sz w:val="10"/>
        </w:rPr>
        <w:t>▶ </w:t>
      </w:r>
      <w:r>
        <w:rPr>
          <w:rFonts w:ascii="Calibri" w:hAnsi="Calibri"/>
          <w:color w:val="231F1F"/>
        </w:rPr>
        <w:t>Parasympathomimetics: </w:t>
      </w:r>
      <w:r>
        <w:rPr>
          <w:color w:val="231F1F"/>
        </w:rPr>
        <w:t>clindamycin antagonises effects of</w:t>
      </w:r>
    </w:p>
    <w:p>
      <w:pPr>
        <w:spacing w:line="134" w:lineRule="exact" w:before="0"/>
        <w:ind w:left="286" w:right="0" w:firstLine="0"/>
        <w:jc w:val="left"/>
        <w:rPr>
          <w:rFonts w:ascii="Calibri"/>
          <w:sz w:val="11"/>
        </w:rPr>
      </w:pPr>
      <w:r>
        <w:rPr>
          <w:rFonts w:ascii="Calibri"/>
          <w:color w:val="008356"/>
          <w:w w:val="105"/>
          <w:sz w:val="11"/>
        </w:rPr>
        <w:t>NEOSTIGMINE </w:t>
      </w:r>
      <w:r>
        <w:rPr>
          <w:color w:val="231F1F"/>
          <w:w w:val="105"/>
          <w:sz w:val="12"/>
        </w:rPr>
        <w:t>and </w:t>
      </w:r>
      <w:r>
        <w:rPr>
          <w:rFonts w:ascii="Calibri"/>
          <w:color w:val="008356"/>
          <w:w w:val="105"/>
          <w:sz w:val="11"/>
        </w:rPr>
        <w:t>PYRIDOSTIGMINE</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pPr>
      <w:r>
        <w:rPr>
          <w:rFonts w:ascii="Trebuchet MS"/>
          <w:color w:val="008356"/>
          <w:w w:val="110"/>
        </w:rPr>
        <w:t>Clobazam </w:t>
      </w:r>
      <w:r>
        <w:rPr>
          <w:i/>
          <w:color w:val="231F1F"/>
          <w:w w:val="110"/>
        </w:rPr>
        <w:t>see </w:t>
      </w:r>
      <w:r>
        <w:rPr>
          <w:color w:val="231F1F"/>
          <w:w w:val="110"/>
        </w:rPr>
        <w:t>Anxiolytics and Hypnotics</w:t>
      </w:r>
    </w:p>
    <w:p>
      <w:pPr>
        <w:pStyle w:val="BodyText"/>
        <w:spacing w:before="9"/>
        <w:ind w:left="186"/>
        <w:rPr>
          <w:rFonts w:ascii="Trebuchet MS"/>
        </w:rPr>
      </w:pPr>
      <w:r>
        <w:rPr>
          <w:rFonts w:ascii="Trebuchet MS"/>
          <w:color w:val="008356"/>
        </w:rPr>
        <w:t>Clofazimine</w:t>
      </w:r>
    </w:p>
    <w:p>
      <w:pPr>
        <w:pStyle w:val="BodyText"/>
        <w:spacing w:before="1"/>
        <w:ind w:left="286"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possible increased risk of ventricular arrhythmias when clofazimine given with </w:t>
      </w:r>
      <w:r>
        <w:rPr>
          <w:rFonts w:ascii="Arial"/>
          <w:color w:val="231F1F"/>
          <w:w w:val="355"/>
          <w:position w:val="1"/>
          <w:sz w:val="7"/>
        </w:rPr>
        <w:t>l </w:t>
      </w:r>
      <w:r>
        <w:rPr>
          <w:rFonts w:ascii="Calibri"/>
          <w:color w:val="008356"/>
          <w:spacing w:val="4"/>
          <w:w w:val="110"/>
          <w:sz w:val="11"/>
        </w:rPr>
        <w:t>BEDAQUILINE</w:t>
      </w:r>
    </w:p>
    <w:p>
      <w:pPr>
        <w:spacing w:line="220" w:lineRule="auto" w:before="5"/>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4"/>
        <w:ind w:left="186" w:right="935"/>
        <w:rPr>
          <w:rFonts w:ascii="Trebuchet MS"/>
        </w:rPr>
      </w:pPr>
      <w:r>
        <w:rPr>
          <w:rFonts w:ascii="Trebuchet MS"/>
          <w:color w:val="008356"/>
          <w:w w:val="110"/>
        </w:rPr>
        <w:t>Clomethiazole </w:t>
      </w:r>
      <w:r>
        <w:rPr>
          <w:i/>
          <w:color w:val="231F1F"/>
          <w:w w:val="110"/>
        </w:rPr>
        <w:t>see </w:t>
      </w:r>
      <w:r>
        <w:rPr>
          <w:color w:val="231F1F"/>
          <w:w w:val="110"/>
        </w:rPr>
        <w:t>Anxiolytics and Hypnotics </w:t>
      </w:r>
      <w:r>
        <w:rPr>
          <w:rFonts w:ascii="Trebuchet MS"/>
          <w:color w:val="008356"/>
          <w:w w:val="110"/>
        </w:rPr>
        <w:t>Clomipramine </w:t>
      </w:r>
      <w:r>
        <w:rPr>
          <w:i/>
          <w:color w:val="231F1F"/>
          <w:w w:val="110"/>
        </w:rPr>
        <w:t>see </w:t>
      </w:r>
      <w:r>
        <w:rPr>
          <w:color w:val="231F1F"/>
          <w:w w:val="110"/>
        </w:rPr>
        <w:t>Antidepressants, Tricyclic </w:t>
      </w:r>
      <w:r>
        <w:rPr>
          <w:rFonts w:ascii="Trebuchet MS"/>
          <w:color w:val="008356"/>
          <w:w w:val="110"/>
        </w:rPr>
        <w:t>Clonazepam </w:t>
      </w:r>
      <w:r>
        <w:rPr>
          <w:i/>
          <w:color w:val="231F1F"/>
          <w:w w:val="110"/>
        </w:rPr>
        <w:t>see </w:t>
      </w:r>
      <w:r>
        <w:rPr>
          <w:color w:val="231F1F"/>
          <w:w w:val="110"/>
        </w:rPr>
        <w:t>Anxiolytics and Hypnotics </w:t>
      </w:r>
      <w:r>
        <w:rPr>
          <w:rFonts w:ascii="Trebuchet MS"/>
          <w:color w:val="008356"/>
          <w:w w:val="110"/>
        </w:rPr>
        <w:t>Clonidine</w:t>
      </w:r>
    </w:p>
    <w:p>
      <w:pPr>
        <w:pStyle w:val="BodyText"/>
        <w:spacing w:line="23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ACE Inhibitors: </w:t>
      </w:r>
      <w:r>
        <w:rPr>
          <w:color w:val="231F1F"/>
          <w:w w:val="110"/>
        </w:rPr>
        <w:t>enhanced hypotensive effect when clonidine given with </w:t>
      </w:r>
      <w:r>
        <w:rPr>
          <w:rFonts w:ascii="Calibri" w:hAnsi="Calibri"/>
          <w:color w:val="008356"/>
          <w:w w:val="110"/>
          <w:sz w:val="11"/>
        </w:rPr>
        <w:t>ACE INHIBITORS</w:t>
      </w:r>
      <w:r>
        <w:rPr>
          <w:color w:val="231F1F"/>
          <w:w w:val="110"/>
        </w:rPr>
        <w:t>; previous treatment with clonidine possibly delays antihypertensive effect of </w:t>
      </w:r>
      <w:r>
        <w:rPr>
          <w:rFonts w:ascii="Calibri" w:hAnsi="Calibri"/>
          <w:color w:val="008356"/>
          <w:w w:val="110"/>
          <w:sz w:val="11"/>
        </w:rPr>
        <w:t>CAPTOPRIL</w:t>
      </w:r>
    </w:p>
    <w:p>
      <w:pPr>
        <w:spacing w:line="220" w:lineRule="auto" w:before="5"/>
        <w:ind w:left="286" w:right="24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clonidine given with </w:t>
      </w:r>
      <w:r>
        <w:rPr>
          <w:rFonts w:ascii="Calibri" w:hAnsi="Calibri"/>
          <w:color w:val="008356"/>
          <w:w w:val="105"/>
          <w:sz w:val="11"/>
        </w:rPr>
        <w:t>ADRENERGIC NEURONE BLOCKERS</w:t>
      </w:r>
    </w:p>
    <w:p>
      <w:pPr>
        <w:pStyle w:val="BodyText"/>
        <w:spacing w:line="220" w:lineRule="auto" w:before="8"/>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clonidine given with </w:t>
      </w:r>
      <w:r>
        <w:rPr>
          <w:rFonts w:ascii="Calibri" w:hAnsi="Calibri"/>
          <w:color w:val="008356"/>
          <w:w w:val="105"/>
          <w:sz w:val="11"/>
        </w:rPr>
        <w:t>ALCOHOL</w:t>
      </w:r>
    </w:p>
    <w:p>
      <w:pPr>
        <w:pStyle w:val="BodyText"/>
        <w:spacing w:line="220" w:lineRule="auto" w:before="8"/>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clonidine given with </w:t>
      </w:r>
      <w:r>
        <w:rPr>
          <w:rFonts w:ascii="Calibri" w:hAnsi="Calibri"/>
          <w:color w:val="008356"/>
          <w:w w:val="110"/>
          <w:sz w:val="11"/>
        </w:rPr>
        <w:t>ALDESLEUKIN</w:t>
      </w:r>
    </w:p>
    <w:p>
      <w:pPr>
        <w:pStyle w:val="BodyText"/>
        <w:spacing w:line="220" w:lineRule="auto" w:before="9"/>
        <w:ind w:left="286" w:right="248"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enhanced hypotensive effect when clonidine given with </w:t>
      </w:r>
      <w:r>
        <w:rPr>
          <w:rFonts w:ascii="Calibri" w:hAnsi="Calibri"/>
          <w:color w:val="008356"/>
          <w:w w:val="105"/>
          <w:sz w:val="11"/>
        </w:rPr>
        <w:t>ALPHA-BLOCKERS</w:t>
      </w:r>
    </w:p>
    <w:p>
      <w:pPr>
        <w:pStyle w:val="BodyText"/>
        <w:spacing w:before="9"/>
        <w:ind w:left="0"/>
        <w:rPr>
          <w:rFonts w:ascii="Calibri"/>
          <w:sz w:val="13"/>
        </w:rPr>
      </w:pPr>
      <w:r>
        <w:rPr/>
        <w:br w:type="column"/>
      </w:r>
      <w:r>
        <w:rPr>
          <w:rFonts w:ascii="Calibri"/>
          <w:sz w:val="13"/>
        </w:rPr>
      </w:r>
    </w:p>
    <w:p>
      <w:pPr>
        <w:pStyle w:val="BodyText"/>
        <w:spacing w:line="144" w:lineRule="exact"/>
        <w:ind w:left="179"/>
        <w:rPr>
          <w:rFonts w:ascii="Calibri"/>
        </w:rPr>
      </w:pPr>
      <w:r>
        <w:rPr>
          <w:rFonts w:ascii="Arial"/>
          <w:color w:val="008356"/>
        </w:rPr>
        <w:t>Clonidine </w:t>
      </w:r>
      <w:r>
        <w:rPr>
          <w:rFonts w:ascii="Calibri"/>
          <w:color w:val="231F1F"/>
        </w:rPr>
        <w:t>(continued)</w:t>
      </w:r>
    </w:p>
    <w:p>
      <w:pPr>
        <w:spacing w:line="220" w:lineRule="auto" w:before="6"/>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clonidine given with </w:t>
      </w:r>
      <w:r>
        <w:rPr>
          <w:rFonts w:ascii="Calibri" w:hAnsi="Calibri"/>
          <w:color w:val="008356"/>
          <w:w w:val="105"/>
          <w:sz w:val="11"/>
        </w:rPr>
        <w:t>GENERAL ANAESTHETICS</w:t>
      </w:r>
    </w:p>
    <w:p>
      <w:pPr>
        <w:pStyle w:val="BodyText"/>
        <w:spacing w:line="155" w:lineRule="exact"/>
        <w:ind w:left="179"/>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clonidine antagonised by</w:t>
      </w:r>
    </w:p>
    <w:p>
      <w:pPr>
        <w:spacing w:line="131" w:lineRule="exact" w:before="0"/>
        <w:ind w:left="279" w:right="0" w:firstLine="0"/>
        <w:jc w:val="left"/>
        <w:rPr>
          <w:rFonts w:ascii="Calibri"/>
          <w:sz w:val="9"/>
        </w:rPr>
      </w:pPr>
      <w:r>
        <w:rPr>
          <w:rFonts w:ascii="Calibri"/>
          <w:color w:val="008356"/>
          <w:sz w:val="11"/>
        </w:rPr>
        <w:t>NSAID</w:t>
      </w:r>
      <w:r>
        <w:rPr>
          <w:rFonts w:ascii="Calibri"/>
          <w:color w:val="008356"/>
          <w:sz w:val="9"/>
        </w:rPr>
        <w:t>S</w:t>
      </w:r>
    </w:p>
    <w:p>
      <w:pPr>
        <w:spacing w:line="237" w:lineRule="auto" w:before="1"/>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clonidine given with </w:t>
      </w:r>
      <w:r>
        <w:rPr>
          <w:rFonts w:ascii="Calibri" w:hAnsi="Calibri"/>
          <w:color w:val="008356"/>
          <w:w w:val="105"/>
          <w:sz w:val="11"/>
        </w:rPr>
        <w:t>ANGIOTENSIN-II RECEPTOR ANTAGONISTS</w:t>
      </w:r>
    </w:p>
    <w:p>
      <w:pPr>
        <w:pStyle w:val="BodyText"/>
        <w:spacing w:line="242" w:lineRule="auto"/>
        <w:ind w:left="279" w:right="603" w:hanging="100"/>
      </w:pPr>
      <w:r>
        <w:rPr>
          <w:rFonts w:ascii="Arial"/>
          <w:color w:val="231F1F"/>
          <w:w w:val="355"/>
          <w:position w:val="1"/>
          <w:sz w:val="7"/>
        </w:rPr>
        <w:t>l </w:t>
      </w:r>
      <w:r>
        <w:rPr>
          <w:rFonts w:ascii="Calibri"/>
          <w:color w:val="231F1F"/>
          <w:w w:val="110"/>
        </w:rPr>
        <w:t>Antidepressants: </w:t>
      </w:r>
      <w:r>
        <w:rPr>
          <w:color w:val="231F1F"/>
          <w:w w:val="110"/>
        </w:rPr>
        <w:t>enhanced hypotensive effect when clonidine given with </w:t>
      </w:r>
      <w:r>
        <w:rPr>
          <w:rFonts w:ascii="Calibri"/>
          <w:color w:val="008356"/>
          <w:w w:val="110"/>
          <w:sz w:val="11"/>
        </w:rPr>
        <w:t>MAOI</w:t>
      </w:r>
      <w:r>
        <w:rPr>
          <w:rFonts w:ascii="Calibri"/>
          <w:color w:val="008356"/>
          <w:w w:val="110"/>
          <w:sz w:val="9"/>
        </w:rPr>
        <w:t>S</w:t>
      </w:r>
      <w:r>
        <w:rPr>
          <w:color w:val="231F1F"/>
          <w:w w:val="110"/>
        </w:rPr>
        <w:t>; hypotensive effect of clonidine possibly antagonised by </w:t>
      </w:r>
      <w:r>
        <w:rPr>
          <w:rFonts w:ascii="Calibri"/>
          <w:color w:val="008356"/>
          <w:w w:val="110"/>
          <w:sz w:val="11"/>
        </w:rPr>
        <w:t>MIRTAZAPINE</w:t>
      </w:r>
      <w:r>
        <w:rPr>
          <w:color w:val="231F1F"/>
          <w:w w:val="110"/>
        </w:rPr>
        <w:t>; hypotensive effect of clonidine antagonised by </w:t>
      </w:r>
      <w:r>
        <w:rPr>
          <w:rFonts w:ascii="Arial"/>
          <w:color w:val="231F1F"/>
          <w:w w:val="355"/>
          <w:position w:val="1"/>
          <w:sz w:val="7"/>
        </w:rPr>
        <w:t>l </w:t>
      </w:r>
      <w:r>
        <w:rPr>
          <w:rFonts w:ascii="Calibri"/>
          <w:color w:val="008356"/>
          <w:w w:val="110"/>
          <w:sz w:val="11"/>
        </w:rPr>
        <w:t>TRICYCLICS</w:t>
      </w:r>
      <w:r>
        <w:rPr>
          <w:color w:val="231F1F"/>
          <w:w w:val="110"/>
        </w:rPr>
        <w:t>, also increased risk of hypertension on clonidine withdrawal</w:t>
      </w:r>
    </w:p>
    <w:p>
      <w:pPr>
        <w:pStyle w:val="BodyText"/>
        <w:spacing w:line="220" w:lineRule="auto" w:before="4"/>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enhanced hypotensive effect when clonidine given with </w:t>
      </w:r>
      <w:r>
        <w:rPr>
          <w:rFonts w:ascii="Calibri" w:hAnsi="Calibri"/>
          <w:color w:val="008356"/>
          <w:w w:val="105"/>
          <w:sz w:val="11"/>
        </w:rPr>
        <w:t>PHENOTHIAZINES</w:t>
      </w:r>
    </w:p>
    <w:p>
      <w:pPr>
        <w:spacing w:line="220" w:lineRule="auto" w:before="9"/>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clonidine given with </w:t>
      </w:r>
      <w:r>
        <w:rPr>
          <w:rFonts w:ascii="Calibri" w:hAnsi="Calibri"/>
          <w:color w:val="008356"/>
          <w:w w:val="105"/>
          <w:sz w:val="11"/>
        </w:rPr>
        <w:t>ANXIOLYTICS AND HYPNOTICS</w:t>
      </w:r>
    </w:p>
    <w:p>
      <w:pPr>
        <w:pStyle w:val="BodyText"/>
        <w:ind w:left="279" w:right="571" w:hanging="100"/>
      </w:pPr>
      <w:r>
        <w:rPr>
          <w:rFonts w:ascii="Arial"/>
          <w:color w:val="231F1F"/>
          <w:w w:val="355"/>
          <w:position w:val="1"/>
          <w:sz w:val="7"/>
        </w:rPr>
        <w:t>l </w:t>
      </w:r>
      <w:r>
        <w:rPr>
          <w:rFonts w:ascii="Calibri"/>
          <w:color w:val="231F1F"/>
          <w:w w:val="110"/>
        </w:rPr>
        <w:t>Beta-blockers: </w:t>
      </w:r>
      <w:r>
        <w:rPr>
          <w:color w:val="231F1F"/>
          <w:w w:val="110"/>
        </w:rPr>
        <w:t>increased risk of withdrawal hypertension when clonidine given with </w:t>
      </w:r>
      <w:r>
        <w:rPr>
          <w:rFonts w:ascii="Arial"/>
          <w:color w:val="231F1F"/>
          <w:w w:val="355"/>
          <w:position w:val="1"/>
          <w:sz w:val="7"/>
        </w:rPr>
        <w:t>l </w:t>
      </w:r>
      <w:r>
        <w:rPr>
          <w:rFonts w:ascii="Calibri"/>
          <w:color w:val="008356"/>
          <w:w w:val="110"/>
          <w:sz w:val="11"/>
        </w:rPr>
        <w:t>BETA-BLOCKERS </w:t>
      </w:r>
      <w:r>
        <w:rPr>
          <w:color w:val="231F1F"/>
          <w:w w:val="110"/>
        </w:rPr>
        <w:t>(withdraw beta- blockers several days before slowly withdrawing clonidine)</w:t>
      </w:r>
    </w:p>
    <w:p>
      <w:pPr>
        <w:spacing w:line="220" w:lineRule="auto" w:before="11"/>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clonidine given with </w:t>
      </w:r>
      <w:r>
        <w:rPr>
          <w:rFonts w:ascii="Calibri" w:hAnsi="Calibri"/>
          <w:color w:val="008356"/>
          <w:w w:val="105"/>
          <w:sz w:val="11"/>
        </w:rPr>
        <w:t>CALCIUM-CHANNEL BLOCKERS</w:t>
      </w:r>
    </w:p>
    <w:p>
      <w:pPr>
        <w:pStyle w:val="BodyText"/>
        <w:spacing w:line="155" w:lineRule="exact"/>
        <w:ind w:left="179"/>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clonidine antagonised by</w:t>
      </w:r>
    </w:p>
    <w:p>
      <w:pPr>
        <w:spacing w:line="130" w:lineRule="exact" w:before="0"/>
        <w:ind w:left="279" w:right="0" w:firstLine="0"/>
        <w:jc w:val="left"/>
        <w:rPr>
          <w:rFonts w:ascii="Calibri"/>
          <w:sz w:val="11"/>
        </w:rPr>
      </w:pPr>
      <w:r>
        <w:rPr>
          <w:rFonts w:ascii="Calibri"/>
          <w:color w:val="008356"/>
          <w:sz w:val="11"/>
        </w:rPr>
        <w:t>CORTICOSTEROIDS</w:t>
      </w:r>
    </w:p>
    <w:p>
      <w:pPr>
        <w:pStyle w:val="BodyText"/>
        <w:spacing w:line="220" w:lineRule="auto" w:before="7"/>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possible increased risk of bradycardia when clonidine given with </w:t>
      </w:r>
      <w:r>
        <w:rPr>
          <w:rFonts w:ascii="Calibri" w:hAnsi="Calibri"/>
          <w:color w:val="008356"/>
          <w:w w:val="110"/>
          <w:sz w:val="11"/>
        </w:rPr>
        <w:t>CRIZOTINIB</w:t>
      </w:r>
    </w:p>
    <w:p>
      <w:pPr>
        <w:pStyle w:val="BodyText"/>
        <w:spacing w:line="220" w:lineRule="auto" w:before="9"/>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clonidine </w:t>
      </w:r>
      <w:r>
        <w:rPr>
          <w:color w:val="231F1F"/>
          <w:spacing w:val="-3"/>
          <w:w w:val="105"/>
        </w:rPr>
        <w:t>given</w:t>
      </w:r>
      <w:r>
        <w:rPr>
          <w:color w:val="231F1F"/>
          <w:spacing w:val="25"/>
          <w:w w:val="105"/>
        </w:rPr>
        <w:t> </w:t>
      </w:r>
      <w:r>
        <w:rPr>
          <w:color w:val="231F1F"/>
          <w:w w:val="105"/>
        </w:rPr>
        <w:t>with</w:t>
      </w:r>
      <w:r>
        <w:rPr>
          <w:color w:val="231F1F"/>
          <w:spacing w:val="-1"/>
          <w:w w:val="105"/>
        </w:rPr>
        <w:t> </w:t>
      </w:r>
      <w:r>
        <w:rPr>
          <w:rFonts w:ascii="Calibri" w:hAnsi="Calibri"/>
          <w:color w:val="008356"/>
          <w:spacing w:val="4"/>
          <w:w w:val="105"/>
          <w:sz w:val="11"/>
        </w:rPr>
        <w:t>DIAZOXIDE</w:t>
      </w:r>
    </w:p>
    <w:p>
      <w:pPr>
        <w:pStyle w:val="BodyText"/>
        <w:spacing w:line="220" w:lineRule="auto" w:before="9"/>
        <w:ind w:left="279" w:right="730"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clonidine </w:t>
      </w:r>
      <w:r>
        <w:rPr>
          <w:color w:val="231F1F"/>
          <w:spacing w:val="-3"/>
          <w:w w:val="105"/>
        </w:rPr>
        <w:t>given </w:t>
      </w:r>
      <w:r>
        <w:rPr>
          <w:color w:val="231F1F"/>
          <w:w w:val="105"/>
        </w:rPr>
        <w:t>with</w:t>
      </w:r>
      <w:r>
        <w:rPr>
          <w:color w:val="231F1F"/>
          <w:spacing w:val="-1"/>
          <w:w w:val="105"/>
        </w:rPr>
        <w:t> </w:t>
      </w:r>
      <w:r>
        <w:rPr>
          <w:rFonts w:ascii="Calibri" w:hAnsi="Calibri"/>
          <w:color w:val="008356"/>
          <w:spacing w:val="5"/>
          <w:w w:val="105"/>
          <w:sz w:val="11"/>
        </w:rPr>
        <w:t>DIURETICS</w:t>
      </w:r>
    </w:p>
    <w:p>
      <w:pPr>
        <w:spacing w:line="220" w:lineRule="auto" w:before="8"/>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clonidine given with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 </w:t>
      </w:r>
      <w:r>
        <w:rPr>
          <w:rFonts w:ascii="Calibri" w:hAnsi="Calibri"/>
          <w:color w:val="008356"/>
          <w:w w:val="105"/>
          <w:sz w:val="11"/>
        </w:rPr>
        <w:t>LEVODOPA</w:t>
      </w:r>
    </w:p>
    <w:p>
      <w:pPr>
        <w:pStyle w:val="BodyText"/>
        <w:spacing w:line="155" w:lineRule="exact"/>
        <w:ind w:left="179"/>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clonidine advised by manufacturer of</w:t>
      </w:r>
    </w:p>
    <w:p>
      <w:pPr>
        <w:spacing w:line="130" w:lineRule="exact" w:before="0"/>
        <w:ind w:left="279" w:right="0" w:firstLine="0"/>
        <w:jc w:val="left"/>
        <w:rPr>
          <w:rFonts w:ascii="Calibri"/>
          <w:sz w:val="11"/>
        </w:rPr>
      </w:pPr>
      <w:r>
        <w:rPr>
          <w:rFonts w:ascii="Calibri"/>
          <w:color w:val="008356"/>
          <w:sz w:val="11"/>
        </w:rPr>
        <w:t>HISTAMINE</w:t>
      </w:r>
    </w:p>
    <w:p>
      <w:pPr>
        <w:pStyle w:val="BodyText"/>
        <w:spacing w:line="220" w:lineRule="auto" w:before="8"/>
        <w:ind w:left="279" w:right="886"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clonidine given with </w:t>
      </w:r>
      <w:r>
        <w:rPr>
          <w:rFonts w:ascii="Calibri" w:hAnsi="Calibri"/>
          <w:color w:val="008356"/>
          <w:w w:val="105"/>
          <w:sz w:val="11"/>
        </w:rPr>
        <w:t>METHYLDOPA</w:t>
      </w:r>
    </w:p>
    <w:p>
      <w:pPr>
        <w:pStyle w:val="BodyText"/>
        <w:spacing w:line="220" w:lineRule="auto" w:before="8"/>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clonidine given with </w:t>
      </w:r>
      <w:r>
        <w:rPr>
          <w:rFonts w:ascii="Calibri" w:hAnsi="Calibri"/>
          <w:color w:val="008356"/>
          <w:w w:val="105"/>
          <w:sz w:val="11"/>
        </w:rPr>
        <w:t>MOXISYLYTE</w:t>
      </w:r>
    </w:p>
    <w:p>
      <w:pPr>
        <w:pStyle w:val="BodyText"/>
        <w:spacing w:line="220" w:lineRule="auto" w:before="8"/>
        <w:ind w:left="279" w:right="886"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clonidine given with </w:t>
      </w:r>
      <w:r>
        <w:rPr>
          <w:rFonts w:ascii="Calibri" w:hAnsi="Calibri"/>
          <w:color w:val="008356"/>
          <w:w w:val="105"/>
          <w:sz w:val="11"/>
        </w:rPr>
        <w:t>MOXONIDINE</w:t>
      </w:r>
    </w:p>
    <w:p>
      <w:pPr>
        <w:spacing w:line="220" w:lineRule="auto" w:before="9"/>
        <w:ind w:left="279" w:right="6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clonidine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8"/>
        <w:ind w:left="279" w:right="730"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clonidine given with </w:t>
      </w:r>
      <w:r>
        <w:rPr>
          <w:rFonts w:ascii="Calibri" w:hAnsi="Calibri"/>
          <w:color w:val="008356"/>
          <w:w w:val="105"/>
          <w:sz w:val="11"/>
        </w:rPr>
        <w:t>NITRATES</w:t>
      </w:r>
    </w:p>
    <w:p>
      <w:pPr>
        <w:pStyle w:val="BodyText"/>
        <w:spacing w:line="155" w:lineRule="exact"/>
        <w:ind w:left="179"/>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clonidine antagonised by</w:t>
      </w:r>
    </w:p>
    <w:p>
      <w:pPr>
        <w:spacing w:line="131" w:lineRule="exact" w:before="0"/>
        <w:ind w:left="279" w:right="0" w:firstLine="0"/>
        <w:jc w:val="left"/>
        <w:rPr>
          <w:rFonts w:ascii="Calibri"/>
          <w:sz w:val="11"/>
        </w:rPr>
      </w:pPr>
      <w:r>
        <w:rPr>
          <w:rFonts w:ascii="Calibri"/>
          <w:color w:val="008356"/>
          <w:sz w:val="11"/>
        </w:rPr>
        <w:t>OESTROGENS</w:t>
      </w:r>
    </w:p>
    <w:p>
      <w:pPr>
        <w:pStyle w:val="BodyText"/>
        <w:spacing w:line="220" w:lineRule="auto" w:before="8"/>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clonidine given with </w:t>
      </w:r>
      <w:r>
        <w:rPr>
          <w:rFonts w:ascii="Calibri" w:hAnsi="Calibri"/>
          <w:color w:val="008356"/>
          <w:w w:val="110"/>
          <w:sz w:val="11"/>
        </w:rPr>
        <w:t>ALPROSTADIL</w:t>
      </w:r>
    </w:p>
    <w:p>
      <w:pPr>
        <w:spacing w:line="242" w:lineRule="auto" w:before="0"/>
        <w:ind w:left="279" w:right="664" w:hanging="100"/>
        <w:jc w:val="left"/>
        <w:rPr>
          <w:sz w:val="12"/>
        </w:rPr>
      </w:pPr>
      <w:r>
        <w:rPr>
          <w:rFonts w:ascii="Arial"/>
          <w:color w:val="231F1F"/>
          <w:w w:val="355"/>
          <w:position w:val="1"/>
          <w:sz w:val="7"/>
        </w:rPr>
        <w:t>l </w:t>
      </w:r>
      <w:r>
        <w:rPr>
          <w:rFonts w:ascii="Calibri"/>
          <w:color w:val="231F1F"/>
          <w:w w:val="110"/>
          <w:sz w:val="12"/>
        </w:rPr>
        <w:t>Sympathomimetics: </w:t>
      </w:r>
      <w:r>
        <w:rPr>
          <w:color w:val="231F1F"/>
          <w:w w:val="110"/>
          <w:sz w:val="12"/>
        </w:rPr>
        <w:t>possible risk of hypertension when clonidine given with </w:t>
      </w:r>
      <w:r>
        <w:rPr>
          <w:rFonts w:ascii="Calibri"/>
          <w:color w:val="008356"/>
          <w:w w:val="110"/>
          <w:sz w:val="11"/>
        </w:rPr>
        <w:t>ADRENALINE (EPINEPHRINE) </w:t>
      </w:r>
      <w:r>
        <w:rPr>
          <w:color w:val="231F1F"/>
          <w:w w:val="110"/>
          <w:sz w:val="12"/>
        </w:rPr>
        <w:t>or </w:t>
      </w:r>
      <w:r>
        <w:rPr>
          <w:rFonts w:ascii="Calibri"/>
          <w:color w:val="008356"/>
          <w:w w:val="105"/>
          <w:sz w:val="11"/>
        </w:rPr>
        <w:t>NORADRENALINE (NOREPINEPHRINE)</w:t>
      </w:r>
      <w:r>
        <w:rPr>
          <w:color w:val="231F1F"/>
          <w:w w:val="105"/>
          <w:sz w:val="12"/>
        </w:rPr>
        <w:t>; serious adverse events </w:t>
      </w:r>
      <w:r>
        <w:rPr>
          <w:color w:val="231F1F"/>
          <w:w w:val="110"/>
          <w:sz w:val="12"/>
        </w:rPr>
        <w:t>reported with concomitant use of clonidine and</w:t>
      </w:r>
    </w:p>
    <w:p>
      <w:pPr>
        <w:spacing w:line="141" w:lineRule="exact" w:before="2"/>
        <w:ind w:left="279" w:right="0" w:firstLine="0"/>
        <w:jc w:val="left"/>
        <w:rPr>
          <w:sz w:val="12"/>
        </w:rPr>
      </w:pPr>
      <w:r>
        <w:rPr>
          <w:rFonts w:ascii="Arial"/>
          <w:color w:val="231F1F"/>
          <w:w w:val="355"/>
          <w:position w:val="1"/>
          <w:sz w:val="7"/>
        </w:rPr>
        <w:t>l </w:t>
      </w:r>
      <w:r>
        <w:rPr>
          <w:rFonts w:ascii="Calibri"/>
          <w:color w:val="008356"/>
          <w:w w:val="110"/>
          <w:sz w:val="11"/>
        </w:rPr>
        <w:t>METHYLPHENIDATE </w:t>
      </w:r>
      <w:r>
        <w:rPr>
          <w:color w:val="231F1F"/>
          <w:w w:val="110"/>
          <w:sz w:val="12"/>
        </w:rPr>
        <w:t>(causality not established)</w:t>
      </w:r>
    </w:p>
    <w:p>
      <w:pPr>
        <w:spacing w:line="237" w:lineRule="auto" w:before="0"/>
        <w:ind w:left="279" w:right="62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clonidine given with </w:t>
      </w:r>
      <w:r>
        <w:rPr>
          <w:rFonts w:ascii="Calibri" w:hAnsi="Calibri"/>
          <w:color w:val="008356"/>
          <w:spacing w:val="4"/>
          <w:w w:val="105"/>
          <w:sz w:val="11"/>
        </w:rPr>
        <w:t>HYDRALAZINE</w:t>
      </w:r>
      <w:r>
        <w:rPr>
          <w:color w:val="231F1F"/>
          <w:spacing w:val="4"/>
          <w:w w:val="105"/>
          <w:sz w:val="12"/>
        </w:rPr>
        <w:t>, </w:t>
      </w:r>
      <w:r>
        <w:rPr>
          <w:rFonts w:ascii="Calibri" w:hAnsi="Calibri"/>
          <w:color w:val="008356"/>
          <w:spacing w:val="4"/>
          <w:w w:val="105"/>
          <w:sz w:val="11"/>
        </w:rPr>
        <w:t>MINOXIDIL </w:t>
      </w:r>
      <w:r>
        <w:rPr>
          <w:color w:val="231F1F"/>
          <w:w w:val="105"/>
          <w:sz w:val="12"/>
        </w:rPr>
        <w:t>or </w:t>
      </w:r>
      <w:r>
        <w:rPr>
          <w:rFonts w:ascii="Calibri" w:hAnsi="Calibri"/>
          <w:color w:val="008356"/>
          <w:spacing w:val="5"/>
          <w:w w:val="105"/>
          <w:sz w:val="11"/>
        </w:rPr>
        <w:t>SODIUM NITROPRUSSIDE</w:t>
      </w:r>
    </w:p>
    <w:p>
      <w:pPr>
        <w:pStyle w:val="BodyText"/>
        <w:spacing w:before="7"/>
        <w:ind w:left="179"/>
      </w:pPr>
      <w:r>
        <w:rPr>
          <w:rFonts w:ascii="Trebuchet MS"/>
          <w:color w:val="008356"/>
          <w:w w:val="105"/>
        </w:rPr>
        <w:t>Clopamide </w:t>
      </w:r>
      <w:r>
        <w:rPr>
          <w:i/>
          <w:color w:val="231F1F"/>
          <w:w w:val="105"/>
        </w:rPr>
        <w:t>see </w:t>
      </w:r>
      <w:r>
        <w:rPr>
          <w:color w:val="231F1F"/>
          <w:w w:val="105"/>
        </w:rPr>
        <w:t>Diuretics</w:t>
      </w:r>
    </w:p>
    <w:p>
      <w:pPr>
        <w:pStyle w:val="BodyText"/>
        <w:spacing w:before="10"/>
        <w:ind w:left="179"/>
        <w:rPr>
          <w:rFonts w:ascii="Trebuchet MS"/>
        </w:rPr>
      </w:pPr>
      <w:r>
        <w:rPr>
          <w:rFonts w:ascii="Trebuchet MS"/>
          <w:color w:val="008356"/>
        </w:rPr>
        <w:t>Clopidogrel</w:t>
      </w:r>
    </w:p>
    <w:p>
      <w:pPr>
        <w:pStyle w:val="BodyText"/>
        <w:spacing w:line="220" w:lineRule="auto" w:before="9"/>
        <w:ind w:left="279"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increased risk of bleeding when clopidogrel given with </w:t>
      </w:r>
      <w:r>
        <w:rPr>
          <w:rFonts w:ascii="Calibri" w:hAnsi="Calibri"/>
          <w:color w:val="008356"/>
          <w:w w:val="105"/>
          <w:sz w:val="11"/>
        </w:rPr>
        <w:t>NSAID</w:t>
      </w:r>
      <w:r>
        <w:rPr>
          <w:rFonts w:ascii="Calibri" w:hAnsi="Calibri"/>
          <w:color w:val="008356"/>
          <w:w w:val="105"/>
          <w:sz w:val="9"/>
        </w:rPr>
        <w:t>S </w:t>
      </w:r>
      <w:r>
        <w:rPr>
          <w:color w:val="231F1F"/>
          <w:w w:val="105"/>
        </w:rPr>
        <w:t>or </w:t>
      </w:r>
      <w:r>
        <w:rPr>
          <w:rFonts w:ascii="Calibri" w:hAnsi="Calibri"/>
          <w:color w:val="008356"/>
          <w:w w:val="105"/>
          <w:sz w:val="11"/>
        </w:rPr>
        <w:t>ASPIRIN</w:t>
      </w:r>
    </w:p>
    <w:p>
      <w:pPr>
        <w:spacing w:before="0"/>
        <w:ind w:left="279" w:right="664"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antiplatelet effect of clopidogrel possibly reduced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CHLORAMPHENICOL</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CIPROFLOXACIN </w:t>
      </w:r>
      <w:r>
        <w:rPr>
          <w:color w:val="231F1F"/>
          <w:w w:val="110"/>
          <w:sz w:val="12"/>
        </w:rPr>
        <w:t>and</w:t>
      </w:r>
    </w:p>
    <w:p>
      <w:pPr>
        <w:spacing w:line="133" w:lineRule="exact" w:before="9"/>
        <w:ind w:left="279" w:right="0" w:firstLine="0"/>
        <w:jc w:val="left"/>
        <w:rPr>
          <w:rFonts w:ascii="Calibri"/>
          <w:sz w:val="11"/>
        </w:rPr>
      </w:pPr>
      <w:r>
        <w:rPr>
          <w:rFonts w:ascii="Arial"/>
          <w:color w:val="231F1F"/>
          <w:w w:val="355"/>
          <w:position w:val="1"/>
          <w:sz w:val="7"/>
        </w:rPr>
        <w:t>l </w:t>
      </w:r>
      <w:r>
        <w:rPr>
          <w:rFonts w:ascii="Calibri"/>
          <w:color w:val="008356"/>
          <w:w w:val="115"/>
          <w:sz w:val="11"/>
        </w:rPr>
        <w:t>ERYTHROMYCIN</w:t>
      </w:r>
    </w:p>
    <w:p>
      <w:pPr>
        <w:pStyle w:val="BodyText"/>
        <w:spacing w:line="242" w:lineRule="auto"/>
        <w:ind w:left="279" w:right="805"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manufacturer of clopidogrel advises avoid concomitant use with </w:t>
      </w:r>
      <w:r>
        <w:rPr>
          <w:rFonts w:ascii="Arial"/>
          <w:color w:val="231F1F"/>
          <w:w w:val="355"/>
          <w:position w:val="1"/>
          <w:sz w:val="7"/>
        </w:rPr>
        <w:t>l </w:t>
      </w:r>
      <w:r>
        <w:rPr>
          <w:rFonts w:ascii="Calibri"/>
          <w:color w:val="008356"/>
          <w:w w:val="110"/>
          <w:sz w:val="11"/>
        </w:rPr>
        <w:t>WARFARIN</w:t>
      </w:r>
      <w:r>
        <w:rPr>
          <w:color w:val="231F1F"/>
          <w:w w:val="110"/>
        </w:rPr>
        <w:t>; antiplatelet action of clopidogrel enhances anticoagulant effect of </w:t>
      </w:r>
      <w:r>
        <w:rPr>
          <w:rFonts w:ascii="Arial"/>
          <w:color w:val="231F1F"/>
          <w:w w:val="355"/>
          <w:position w:val="1"/>
          <w:sz w:val="7"/>
        </w:rPr>
        <w:t>l </w:t>
      </w:r>
      <w:r>
        <w:rPr>
          <w:rFonts w:ascii="Calibri"/>
          <w:color w:val="008356"/>
          <w:w w:val="110"/>
          <w:sz w:val="11"/>
        </w:rPr>
        <w:t>COUMARINS </w:t>
      </w:r>
      <w:r>
        <w:rPr>
          <w:color w:val="231F1F"/>
          <w:w w:val="110"/>
        </w:rPr>
        <w:t>and </w:t>
      </w:r>
      <w:r>
        <w:rPr>
          <w:rFonts w:ascii="Arial"/>
          <w:color w:val="231F1F"/>
          <w:w w:val="355"/>
          <w:position w:val="1"/>
          <w:sz w:val="7"/>
        </w:rPr>
        <w:t>l </w:t>
      </w:r>
      <w:r>
        <w:rPr>
          <w:rFonts w:ascii="Calibri"/>
          <w:color w:val="008356"/>
          <w:w w:val="110"/>
          <w:sz w:val="11"/>
        </w:rPr>
        <w:t>PHENINDIONE</w:t>
      </w:r>
      <w:r>
        <w:rPr>
          <w:color w:val="231F1F"/>
          <w:w w:val="110"/>
        </w:rPr>
        <w:t>; increased risk of bleeding when clopidogrel given with </w:t>
      </w:r>
      <w:r>
        <w:rPr>
          <w:rFonts w:ascii="Calibri"/>
          <w:color w:val="008356"/>
          <w:w w:val="110"/>
          <w:sz w:val="11"/>
        </w:rPr>
        <w:t>HEPARINS</w:t>
      </w:r>
    </w:p>
    <w:p>
      <w:pPr>
        <w:spacing w:line="240" w:lineRule="auto" w:before="0"/>
        <w:ind w:left="279" w:right="685"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antiplatelet effect of clopidogrel possibly reduced</w:t>
      </w:r>
      <w:r>
        <w:rPr>
          <w:color w:val="231F1F"/>
          <w:spacing w:val="-23"/>
          <w:w w:val="110"/>
          <w:sz w:val="12"/>
        </w:rPr>
        <w:t> </w:t>
      </w:r>
      <w:r>
        <w:rPr>
          <w:color w:val="231F1F"/>
          <w:w w:val="110"/>
          <w:sz w:val="12"/>
        </w:rPr>
        <w:t>by</w:t>
      </w:r>
      <w:r>
        <w:rPr>
          <w:color w:val="231F1F"/>
          <w:spacing w:val="-22"/>
          <w:w w:val="110"/>
          <w:sz w:val="12"/>
        </w:rPr>
        <w:t> </w:t>
      </w:r>
      <w:r>
        <w:rPr>
          <w:rFonts w:ascii="Arial"/>
          <w:color w:val="231F1F"/>
          <w:w w:val="285"/>
          <w:position w:val="1"/>
          <w:sz w:val="7"/>
        </w:rPr>
        <w:t>l</w:t>
      </w:r>
      <w:r>
        <w:rPr>
          <w:rFonts w:ascii="Arial"/>
          <w:color w:val="231F1F"/>
          <w:spacing w:val="-46"/>
          <w:w w:val="285"/>
          <w:position w:val="1"/>
          <w:sz w:val="7"/>
        </w:rPr>
        <w:t> </w:t>
      </w:r>
      <w:r>
        <w:rPr>
          <w:rFonts w:ascii="Calibri"/>
          <w:color w:val="008356"/>
          <w:spacing w:val="4"/>
          <w:w w:val="110"/>
          <w:sz w:val="11"/>
        </w:rPr>
        <w:t>FLUOXETINE</w:t>
      </w:r>
      <w:r>
        <w:rPr>
          <w:color w:val="231F1F"/>
          <w:spacing w:val="4"/>
          <w:w w:val="110"/>
          <w:sz w:val="12"/>
        </w:rPr>
        <w:t>,</w:t>
      </w:r>
      <w:r>
        <w:rPr>
          <w:color w:val="231F1F"/>
          <w:spacing w:val="-23"/>
          <w:w w:val="110"/>
          <w:sz w:val="12"/>
        </w:rPr>
        <w:t> </w:t>
      </w:r>
      <w:r>
        <w:rPr>
          <w:rFonts w:ascii="Arial"/>
          <w:color w:val="231F1F"/>
          <w:w w:val="285"/>
          <w:position w:val="1"/>
          <w:sz w:val="7"/>
        </w:rPr>
        <w:t>l</w:t>
      </w:r>
      <w:r>
        <w:rPr>
          <w:rFonts w:ascii="Arial"/>
          <w:color w:val="231F1F"/>
          <w:spacing w:val="-46"/>
          <w:w w:val="285"/>
          <w:position w:val="1"/>
          <w:sz w:val="7"/>
        </w:rPr>
        <w:t> </w:t>
      </w:r>
      <w:r>
        <w:rPr>
          <w:rFonts w:ascii="Calibri"/>
          <w:color w:val="008356"/>
          <w:spacing w:val="4"/>
          <w:w w:val="110"/>
          <w:sz w:val="11"/>
        </w:rPr>
        <w:t>FLUVOXAMINE</w:t>
      </w:r>
      <w:r>
        <w:rPr>
          <w:rFonts w:ascii="Calibri"/>
          <w:color w:val="008356"/>
          <w:spacing w:val="-15"/>
          <w:w w:val="110"/>
          <w:sz w:val="11"/>
        </w:rPr>
        <w:t> </w:t>
      </w:r>
      <w:r>
        <w:rPr>
          <w:color w:val="231F1F"/>
          <w:w w:val="110"/>
          <w:sz w:val="12"/>
        </w:rPr>
        <w:t>and</w:t>
      </w:r>
      <w:r>
        <w:rPr>
          <w:color w:val="231F1F"/>
          <w:spacing w:val="-22"/>
          <w:w w:val="110"/>
          <w:sz w:val="12"/>
        </w:rPr>
        <w:t> </w:t>
      </w:r>
      <w:r>
        <w:rPr>
          <w:rFonts w:ascii="Arial"/>
          <w:color w:val="231F1F"/>
          <w:w w:val="285"/>
          <w:position w:val="1"/>
          <w:sz w:val="7"/>
        </w:rPr>
        <w:t>l</w:t>
      </w:r>
      <w:r>
        <w:rPr>
          <w:rFonts w:ascii="Arial"/>
          <w:color w:val="231F1F"/>
          <w:spacing w:val="-46"/>
          <w:w w:val="285"/>
          <w:position w:val="1"/>
          <w:sz w:val="7"/>
        </w:rPr>
        <w:t> </w:t>
      </w:r>
      <w:r>
        <w:rPr>
          <w:rFonts w:ascii="Calibri"/>
          <w:color w:val="008356"/>
          <w:spacing w:val="4"/>
          <w:w w:val="110"/>
          <w:sz w:val="11"/>
        </w:rPr>
        <w:t>MOCLOBEMIDE</w:t>
      </w:r>
    </w:p>
    <w:p>
      <w:pPr>
        <w:spacing w:line="240" w:lineRule="auto" w:before="0"/>
        <w:ind w:left="279" w:right="664"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antiplatelet effect of clopidogrel possibly reduced by </w:t>
      </w:r>
      <w:r>
        <w:rPr>
          <w:rFonts w:ascii="Arial"/>
          <w:color w:val="231F1F"/>
          <w:w w:val="355"/>
          <w:position w:val="1"/>
          <w:sz w:val="7"/>
        </w:rPr>
        <w:t>l </w:t>
      </w:r>
      <w:r>
        <w:rPr>
          <w:rFonts w:ascii="Calibri"/>
          <w:color w:val="008356"/>
          <w:spacing w:val="4"/>
          <w:w w:val="110"/>
          <w:sz w:val="11"/>
        </w:rPr>
        <w:t>CARBAMAZEPINE </w:t>
      </w:r>
      <w:r>
        <w:rPr>
          <w:color w:val="231F1F"/>
          <w:w w:val="110"/>
          <w:sz w:val="12"/>
        </w:rPr>
        <w:t>and </w:t>
      </w:r>
      <w:r>
        <w:rPr>
          <w:rFonts w:ascii="Arial"/>
          <w:color w:val="231F1F"/>
          <w:w w:val="355"/>
          <w:position w:val="1"/>
          <w:sz w:val="7"/>
        </w:rPr>
        <w:t>l </w:t>
      </w:r>
      <w:r>
        <w:rPr>
          <w:rFonts w:ascii="Calibri"/>
          <w:color w:val="008356"/>
          <w:spacing w:val="4"/>
          <w:w w:val="110"/>
          <w:sz w:val="11"/>
        </w:rPr>
        <w:t>OXCARBAZEPINE</w:t>
      </w:r>
    </w:p>
    <w:p>
      <w:pPr>
        <w:spacing w:line="237" w:lineRule="auto" w:before="0"/>
        <w:ind w:left="279" w:right="610" w:hanging="100"/>
        <w:jc w:val="left"/>
        <w:rPr>
          <w:sz w:val="12"/>
        </w:rPr>
      </w:pPr>
      <w:r>
        <w:rPr>
          <w:rFonts w:ascii="Arial"/>
          <w:color w:val="231F1F"/>
          <w:w w:val="355"/>
          <w:position w:val="1"/>
          <w:sz w:val="7"/>
        </w:rPr>
        <w:t>l </w:t>
      </w:r>
      <w:r>
        <w:rPr>
          <w:rFonts w:ascii="Calibri"/>
          <w:color w:val="231F1F"/>
          <w:w w:val="110"/>
          <w:sz w:val="12"/>
        </w:rPr>
        <w:t>Antifungals: </w:t>
      </w:r>
      <w:r>
        <w:rPr>
          <w:color w:val="231F1F"/>
          <w:w w:val="110"/>
          <w:sz w:val="12"/>
        </w:rPr>
        <w:t>antiplatelet effect of clopidogrel possibly reduced by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FLUCONAZOLE</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KETOCONAZOLE </w:t>
      </w:r>
      <w:r>
        <w:rPr>
          <w:color w:val="231F1F"/>
          <w:w w:val="110"/>
          <w:sz w:val="12"/>
        </w:rPr>
        <w:t>and</w:t>
      </w:r>
    </w:p>
    <w:p>
      <w:pPr>
        <w:spacing w:before="0"/>
        <w:ind w:left="279" w:right="0" w:firstLine="0"/>
        <w:jc w:val="left"/>
        <w:rPr>
          <w:rFonts w:ascii="Calibri"/>
          <w:sz w:val="11"/>
        </w:rPr>
      </w:pPr>
      <w:r>
        <w:rPr>
          <w:rFonts w:ascii="Arial"/>
          <w:color w:val="231F1F"/>
          <w:w w:val="355"/>
          <w:position w:val="1"/>
          <w:sz w:val="7"/>
        </w:rPr>
        <w:t>l </w:t>
      </w:r>
      <w:r>
        <w:rPr>
          <w:rFonts w:ascii="Calibri"/>
          <w:color w:val="008356"/>
          <w:w w:val="115"/>
          <w:sz w:val="11"/>
        </w:rPr>
        <w:t>VORICONAZOLE</w:t>
      </w:r>
    </w:p>
    <w:p>
      <w:pPr>
        <w:spacing w:after="0"/>
        <w:jc w:val="left"/>
        <w:rPr>
          <w:rFonts w:ascii="Calibri"/>
          <w:sz w:val="11"/>
        </w:rPr>
        <w:sectPr>
          <w:pgSz w:w="8390" w:h="11910"/>
          <w:pgMar w:header="0" w:footer="0" w:top="460" w:bottom="280" w:left="480" w:right="0"/>
          <w:cols w:num="2" w:equalWidth="0">
            <w:col w:w="3644" w:space="40"/>
            <w:col w:w="4226"/>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Clopidogrel </w:t>
      </w:r>
      <w:r>
        <w:rPr>
          <w:rFonts w:ascii="Calibri"/>
          <w:color w:val="231F1F"/>
        </w:rPr>
        <w:t>(continued)</w:t>
      </w:r>
    </w:p>
    <w:p>
      <w:pPr>
        <w:pStyle w:val="BodyText"/>
        <w:ind w:right="103"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antiplatelet effect of clopidogrel possibly reduced by </w:t>
      </w:r>
      <w:r>
        <w:rPr>
          <w:rFonts w:ascii="Arial"/>
          <w:color w:val="231F1F"/>
          <w:w w:val="355"/>
          <w:position w:val="1"/>
          <w:sz w:val="7"/>
        </w:rPr>
        <w:t>l </w:t>
      </w:r>
      <w:r>
        <w:rPr>
          <w:rFonts w:ascii="Calibri"/>
          <w:color w:val="008356"/>
          <w:w w:val="110"/>
          <w:sz w:val="11"/>
        </w:rPr>
        <w:t>ETRAVIRINE</w:t>
      </w:r>
    </w:p>
    <w:p>
      <w:pPr>
        <w:pStyle w:val="BodyText"/>
        <w:spacing w:line="220" w:lineRule="auto" w:before="3"/>
        <w:ind w:right="374" w:hanging="100"/>
        <w:rPr>
          <w:rFonts w:ascii="Calibri" w:hAnsi="Calibri"/>
          <w:sz w:val="11"/>
        </w:rPr>
      </w:pPr>
      <w:r>
        <w:rPr>
          <w:rFonts w:ascii="Lucida Sans Unicode" w:hAnsi="Lucida Sans Unicode"/>
          <w:color w:val="A7A8AC"/>
          <w:w w:val="95"/>
          <w:sz w:val="10"/>
        </w:rPr>
        <w:t>▶ </w:t>
      </w:r>
      <w:r>
        <w:rPr>
          <w:rFonts w:ascii="Calibri" w:hAnsi="Calibri"/>
          <w:color w:val="231F1F"/>
          <w:w w:val="105"/>
        </w:rPr>
        <w:t>Dipyridamole: </w:t>
      </w:r>
      <w:r>
        <w:rPr>
          <w:color w:val="231F1F"/>
          <w:w w:val="105"/>
        </w:rPr>
        <w:t>increased risk of bleeding when clopidogrel given with </w:t>
      </w:r>
      <w:r>
        <w:rPr>
          <w:rFonts w:ascii="Calibri" w:hAnsi="Calibri"/>
          <w:color w:val="008356"/>
          <w:w w:val="105"/>
          <w:sz w:val="11"/>
        </w:rPr>
        <w:t>DIPYRIDAMOLE</w:t>
      </w:r>
    </w:p>
    <w:p>
      <w:pPr>
        <w:pStyle w:val="BodyText"/>
        <w:spacing w:line="220" w:lineRule="auto" w:before="9"/>
        <w:ind w:right="374" w:hanging="100"/>
        <w:rPr>
          <w:rFonts w:ascii="Calibri" w:hAnsi="Calibri"/>
          <w:sz w:val="11"/>
        </w:rPr>
      </w:pPr>
      <w:r>
        <w:rPr>
          <w:rFonts w:ascii="Lucida Sans Unicode" w:hAnsi="Lucida Sans Unicode"/>
          <w:color w:val="A7A8AC"/>
          <w:w w:val="95"/>
          <w:sz w:val="10"/>
        </w:rPr>
        <w:t>▶ </w:t>
      </w:r>
      <w:r>
        <w:rPr>
          <w:rFonts w:ascii="Calibri" w:hAnsi="Calibri"/>
          <w:color w:val="231F1F"/>
          <w:w w:val="105"/>
        </w:rPr>
        <w:t>Iloprost: </w:t>
      </w:r>
      <w:r>
        <w:rPr>
          <w:color w:val="231F1F"/>
          <w:w w:val="105"/>
        </w:rPr>
        <w:t>increased risk of bleeding when clopidogrel given with </w:t>
      </w:r>
      <w:r>
        <w:rPr>
          <w:rFonts w:ascii="Calibri" w:hAnsi="Calibri"/>
          <w:color w:val="008356"/>
          <w:w w:val="105"/>
          <w:sz w:val="11"/>
        </w:rPr>
        <w:t>ILOPROST</w:t>
      </w:r>
    </w:p>
    <w:p>
      <w:pPr>
        <w:pStyle w:val="BodyText"/>
        <w:ind w:right="49"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clopidogrel increases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350"/>
          <w:position w:val="1"/>
          <w:sz w:val="7"/>
        </w:rPr>
        <w:t>l</w:t>
      </w:r>
      <w:r>
        <w:rPr>
          <w:rFonts w:ascii="Arial" w:hAnsi="Arial"/>
          <w:color w:val="231F1F"/>
          <w:spacing w:val="-59"/>
          <w:w w:val="350"/>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 (consult product</w:t>
      </w:r>
      <w:r>
        <w:rPr>
          <w:color w:val="231F1F"/>
          <w:spacing w:val="-8"/>
          <w:w w:val="115"/>
        </w:rPr>
        <w:t> </w:t>
      </w:r>
      <w:r>
        <w:rPr>
          <w:color w:val="231F1F"/>
          <w:w w:val="115"/>
        </w:rPr>
        <w:t>literature)</w:t>
      </w:r>
    </w:p>
    <w:p>
      <w:pPr>
        <w:pStyle w:val="BodyText"/>
        <w:spacing w:line="220" w:lineRule="auto" w:before="10"/>
        <w:ind w:right="374" w:hanging="100"/>
        <w:rPr>
          <w:rFonts w:ascii="Calibri" w:hAnsi="Calibri"/>
          <w:sz w:val="11"/>
        </w:rPr>
      </w:pPr>
      <w:r>
        <w:rPr>
          <w:rFonts w:ascii="Lucida Sans Unicode" w:hAnsi="Lucida Sans Unicode"/>
          <w:color w:val="A7A8AC"/>
          <w:w w:val="95"/>
          <w:sz w:val="10"/>
        </w:rPr>
        <w:t>▶ </w:t>
      </w:r>
      <w:r>
        <w:rPr>
          <w:rFonts w:ascii="Calibri" w:hAnsi="Calibri"/>
          <w:color w:val="231F1F"/>
          <w:w w:val="105"/>
        </w:rPr>
        <w:t>Prasugrel: </w:t>
      </w:r>
      <w:r>
        <w:rPr>
          <w:color w:val="231F1F"/>
          <w:w w:val="105"/>
        </w:rPr>
        <w:t>possible increased risk of bleeding when clopidogrel given with </w:t>
      </w:r>
      <w:r>
        <w:rPr>
          <w:rFonts w:ascii="Calibri" w:hAnsi="Calibri"/>
          <w:color w:val="008356"/>
          <w:w w:val="105"/>
          <w:sz w:val="11"/>
        </w:rPr>
        <w:t>PRASUGREL</w:t>
      </w:r>
    </w:p>
    <w:p>
      <w:pPr>
        <w:spacing w:before="0"/>
        <w:ind w:left="208" w:right="118" w:hanging="100"/>
        <w:jc w:val="left"/>
        <w:rPr>
          <w:sz w:val="12"/>
        </w:rPr>
      </w:pPr>
      <w:r>
        <w:rPr>
          <w:rFonts w:ascii="Arial"/>
          <w:color w:val="231F1F"/>
          <w:w w:val="355"/>
          <w:position w:val="1"/>
          <w:sz w:val="7"/>
        </w:rPr>
        <w:t>l</w:t>
      </w:r>
      <w:r>
        <w:rPr>
          <w:rFonts w:ascii="Arial"/>
          <w:color w:val="231F1F"/>
          <w:spacing w:val="-53"/>
          <w:w w:val="355"/>
          <w:position w:val="1"/>
          <w:sz w:val="7"/>
        </w:rPr>
        <w:t> </w:t>
      </w:r>
      <w:r>
        <w:rPr>
          <w:rFonts w:ascii="Calibri"/>
          <w:color w:val="231F1F"/>
          <w:w w:val="110"/>
          <w:sz w:val="12"/>
        </w:rPr>
        <w:t>Ulcer-healing Drugs: </w:t>
      </w:r>
      <w:r>
        <w:rPr>
          <w:color w:val="231F1F"/>
          <w:w w:val="110"/>
          <w:sz w:val="12"/>
        </w:rPr>
        <w:t>antiplatelet effect of clopidogrel possibly reduced</w:t>
      </w:r>
      <w:r>
        <w:rPr>
          <w:color w:val="231F1F"/>
          <w:spacing w:val="-22"/>
          <w:w w:val="110"/>
          <w:sz w:val="12"/>
        </w:rPr>
        <w:t> </w:t>
      </w:r>
      <w:r>
        <w:rPr>
          <w:color w:val="231F1F"/>
          <w:w w:val="110"/>
          <w:sz w:val="12"/>
        </w:rPr>
        <w:t>by</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CIMETIDINE</w:t>
      </w:r>
      <w:r>
        <w:rPr>
          <w:color w:val="231F1F"/>
          <w:spacing w:val="4"/>
          <w:w w:val="110"/>
          <w:sz w:val="12"/>
        </w:rPr>
        <w:t>,</w:t>
      </w:r>
      <w:r>
        <w:rPr>
          <w:color w:val="231F1F"/>
          <w:spacing w:val="-21"/>
          <w:w w:val="110"/>
          <w:sz w:val="12"/>
        </w:rPr>
        <w:t> </w:t>
      </w:r>
      <w:r>
        <w:rPr>
          <w:rFonts w:ascii="Calibri"/>
          <w:color w:val="008356"/>
          <w:spacing w:val="4"/>
          <w:w w:val="110"/>
          <w:sz w:val="11"/>
        </w:rPr>
        <w:t>LANSOPRAZOLE</w:t>
      </w:r>
      <w:r>
        <w:rPr>
          <w:color w:val="231F1F"/>
          <w:spacing w:val="4"/>
          <w:w w:val="110"/>
          <w:sz w:val="12"/>
        </w:rPr>
        <w:t>,</w:t>
      </w:r>
      <w:r>
        <w:rPr>
          <w:color w:val="231F1F"/>
          <w:spacing w:val="-20"/>
          <w:w w:val="110"/>
          <w:sz w:val="12"/>
        </w:rPr>
        <w:t> </w:t>
      </w:r>
      <w:r>
        <w:rPr>
          <w:rFonts w:ascii="Calibri"/>
          <w:color w:val="008356"/>
          <w:spacing w:val="4"/>
          <w:w w:val="110"/>
          <w:sz w:val="11"/>
        </w:rPr>
        <w:t>PANTOPRAZOLE</w:t>
      </w:r>
      <w:r>
        <w:rPr>
          <w:rFonts w:ascii="Calibri"/>
          <w:color w:val="008356"/>
          <w:spacing w:val="-13"/>
          <w:w w:val="110"/>
          <w:sz w:val="11"/>
        </w:rPr>
        <w:t> </w:t>
      </w:r>
      <w:r>
        <w:rPr>
          <w:color w:val="231F1F"/>
          <w:w w:val="110"/>
          <w:sz w:val="12"/>
        </w:rPr>
        <w:t>and</w:t>
      </w:r>
    </w:p>
    <w:p>
      <w:pPr>
        <w:pStyle w:val="BodyText"/>
        <w:spacing w:before="1"/>
      </w:pPr>
      <w:r>
        <w:rPr>
          <w:rFonts w:ascii="Calibri"/>
          <w:color w:val="008356"/>
          <w:spacing w:val="4"/>
          <w:w w:val="110"/>
          <w:sz w:val="11"/>
        </w:rPr>
        <w:t>RABEPRAZOLE</w:t>
      </w:r>
      <w:r>
        <w:rPr>
          <w:color w:val="231F1F"/>
          <w:spacing w:val="4"/>
          <w:w w:val="110"/>
        </w:rPr>
        <w:t>; </w:t>
      </w:r>
      <w:r>
        <w:rPr>
          <w:color w:val="231F1F"/>
          <w:w w:val="110"/>
        </w:rPr>
        <w:t>antiplatelet effect of clopidogrel reduced</w:t>
      </w:r>
      <w:r>
        <w:rPr>
          <w:color w:val="231F1F"/>
          <w:spacing w:val="10"/>
          <w:w w:val="110"/>
        </w:rPr>
        <w:t> </w:t>
      </w:r>
      <w:r>
        <w:rPr>
          <w:color w:val="231F1F"/>
          <w:w w:val="110"/>
        </w:rPr>
        <w:t>by</w:t>
      </w:r>
    </w:p>
    <w:p>
      <w:pPr>
        <w:spacing w:before="2"/>
        <w:ind w:left="208" w:right="0" w:firstLine="0"/>
        <w:jc w:val="left"/>
        <w:rPr>
          <w:rFonts w:ascii="Calibri"/>
          <w:sz w:val="11"/>
        </w:rPr>
      </w:pPr>
      <w:r>
        <w:rPr>
          <w:rFonts w:ascii="Arial"/>
          <w:color w:val="231F1F"/>
          <w:w w:val="355"/>
          <w:position w:val="1"/>
          <w:sz w:val="7"/>
        </w:rPr>
        <w:t>l </w:t>
      </w:r>
      <w:r>
        <w:rPr>
          <w:rFonts w:ascii="Calibri"/>
          <w:color w:val="008356"/>
          <w:w w:val="110"/>
          <w:sz w:val="11"/>
        </w:rPr>
        <w:t>ESOMEPRAZOLE </w:t>
      </w:r>
      <w:r>
        <w:rPr>
          <w:color w:val="231F1F"/>
          <w:w w:val="110"/>
          <w:sz w:val="12"/>
        </w:rPr>
        <w:t>and </w:t>
      </w:r>
      <w:r>
        <w:rPr>
          <w:rFonts w:ascii="Arial"/>
          <w:color w:val="231F1F"/>
          <w:w w:val="355"/>
          <w:position w:val="1"/>
          <w:sz w:val="7"/>
        </w:rPr>
        <w:t>l </w:t>
      </w:r>
      <w:r>
        <w:rPr>
          <w:rFonts w:ascii="Calibri"/>
          <w:color w:val="008356"/>
          <w:w w:val="110"/>
          <w:sz w:val="11"/>
        </w:rPr>
        <w:t>OMEPRAZOLE</w:t>
      </w:r>
    </w:p>
    <w:p>
      <w:pPr>
        <w:pStyle w:val="BodyText"/>
        <w:spacing w:line="256" w:lineRule="auto" w:before="6"/>
        <w:ind w:left="108" w:right="1913"/>
        <w:rPr>
          <w:rFonts w:ascii="Trebuchet MS"/>
        </w:rPr>
      </w:pPr>
      <w:r>
        <w:rPr>
          <w:rFonts w:ascii="Trebuchet MS"/>
          <w:color w:val="008356"/>
          <w:w w:val="105"/>
        </w:rPr>
        <w:t>Clozapine </w:t>
      </w:r>
      <w:r>
        <w:rPr>
          <w:i/>
          <w:color w:val="231F1F"/>
          <w:w w:val="105"/>
        </w:rPr>
        <w:t>see </w:t>
      </w:r>
      <w:r>
        <w:rPr>
          <w:color w:val="231F1F"/>
          <w:w w:val="105"/>
        </w:rPr>
        <w:t>Antipsychotics </w:t>
      </w:r>
      <w:r>
        <w:rPr>
          <w:rFonts w:ascii="Trebuchet MS"/>
          <w:color w:val="008356"/>
          <w:w w:val="105"/>
        </w:rPr>
        <w:t>Co-amoxiclav </w:t>
      </w:r>
      <w:r>
        <w:rPr>
          <w:i/>
          <w:color w:val="231F1F"/>
          <w:w w:val="105"/>
        </w:rPr>
        <w:t>see </w:t>
      </w:r>
      <w:r>
        <w:rPr>
          <w:color w:val="231F1F"/>
          <w:w w:val="105"/>
        </w:rPr>
        <w:t>Penicillins </w:t>
      </w:r>
      <w:r>
        <w:rPr>
          <w:rFonts w:ascii="Trebuchet MS"/>
          <w:color w:val="008356"/>
          <w:w w:val="105"/>
        </w:rPr>
        <w:t>Co-beneldopa</w:t>
      </w:r>
    </w:p>
    <w:p>
      <w:pPr>
        <w:pStyle w:val="BodyText"/>
        <w:spacing w:line="220" w:lineRule="auto" w:before="1"/>
        <w:ind w:right="529" w:hanging="100"/>
        <w:rPr>
          <w:rFonts w:ascii="Calibri" w:hAnsi="Calibri"/>
          <w:sz w:val="11"/>
        </w:rPr>
      </w:pPr>
      <w:r>
        <w:rPr>
          <w:rFonts w:ascii="Lucida Sans Unicode" w:hAnsi="Lucida Sans Unicode"/>
          <w:color w:val="A7A8AC"/>
          <w:w w:val="95"/>
          <w:sz w:val="10"/>
        </w:rPr>
        <w:t>▶ </w:t>
      </w:r>
      <w:r>
        <w:rPr>
          <w:rFonts w:ascii="Calibri" w:hAnsi="Calibri"/>
          <w:color w:val="231F1F"/>
          <w:w w:val="110"/>
        </w:rPr>
        <w:t>ACE Inhibitors: </w:t>
      </w:r>
      <w:r>
        <w:rPr>
          <w:color w:val="231F1F"/>
          <w:w w:val="110"/>
        </w:rPr>
        <w:t>enhanced hypotensive effect when co- beneldopa given with </w:t>
      </w:r>
      <w:r>
        <w:rPr>
          <w:rFonts w:ascii="Calibri" w:hAnsi="Calibri"/>
          <w:color w:val="008356"/>
          <w:w w:val="110"/>
          <w:sz w:val="11"/>
        </w:rPr>
        <w:t>ACE INHIBITORS</w:t>
      </w:r>
    </w:p>
    <w:p>
      <w:pPr>
        <w:spacing w:line="237" w:lineRule="auto" w:before="1"/>
        <w:ind w:left="208" w:right="23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co-beneldopa given with </w:t>
      </w:r>
      <w:r>
        <w:rPr>
          <w:rFonts w:ascii="Calibri" w:hAnsi="Calibri"/>
          <w:color w:val="008356"/>
          <w:w w:val="105"/>
          <w:sz w:val="11"/>
        </w:rPr>
        <w:t>ADRENERGIC NEURONE BLOCKERS</w:t>
      </w:r>
    </w:p>
    <w:p>
      <w:pPr>
        <w:pStyle w:val="BodyText"/>
        <w:spacing w:line="220" w:lineRule="auto" w:before="6"/>
        <w:ind w:right="486"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co- beneldopa given with </w:t>
      </w:r>
      <w:r>
        <w:rPr>
          <w:rFonts w:ascii="Calibri" w:hAnsi="Calibri"/>
          <w:color w:val="008356"/>
          <w:w w:val="110"/>
          <w:sz w:val="11"/>
        </w:rPr>
        <w:t>ALPHA-BLOCKERS</w:t>
      </w:r>
    </w:p>
    <w:p>
      <w:pPr>
        <w:spacing w:before="0"/>
        <w:ind w:left="208" w:right="24" w:hanging="100"/>
        <w:jc w:val="left"/>
        <w:rPr>
          <w:rFonts w:ascii="Calibri"/>
          <w:sz w:val="11"/>
        </w:rPr>
      </w:pPr>
      <w:r>
        <w:rPr>
          <w:rFonts w:ascii="Arial"/>
          <w:color w:val="231F1F"/>
          <w:w w:val="355"/>
          <w:position w:val="1"/>
          <w:sz w:val="7"/>
        </w:rPr>
        <w:t>l </w:t>
      </w:r>
      <w:r>
        <w:rPr>
          <w:rFonts w:ascii="Calibri"/>
          <w:color w:val="231F1F"/>
          <w:w w:val="110"/>
          <w:sz w:val="12"/>
        </w:rPr>
        <w:t>Anaesthetics, General: </w:t>
      </w:r>
      <w:r>
        <w:rPr>
          <w:color w:val="231F1F"/>
          <w:w w:val="110"/>
          <w:sz w:val="12"/>
        </w:rPr>
        <w:t>increased risk of arrhythmias when co- beneldopa</w:t>
      </w:r>
      <w:r>
        <w:rPr>
          <w:color w:val="231F1F"/>
          <w:spacing w:val="-22"/>
          <w:w w:val="110"/>
          <w:sz w:val="12"/>
        </w:rPr>
        <w:t> </w:t>
      </w:r>
      <w:r>
        <w:rPr>
          <w:color w:val="231F1F"/>
          <w:w w:val="110"/>
          <w:sz w:val="12"/>
        </w:rPr>
        <w:t>given</w:t>
      </w:r>
      <w:r>
        <w:rPr>
          <w:color w:val="231F1F"/>
          <w:spacing w:val="-21"/>
          <w:w w:val="110"/>
          <w:sz w:val="12"/>
        </w:rPr>
        <w:t> </w:t>
      </w:r>
      <w:r>
        <w:rPr>
          <w:color w:val="231F1F"/>
          <w:w w:val="110"/>
          <w:sz w:val="12"/>
        </w:rPr>
        <w:t>with</w:t>
      </w:r>
      <w:r>
        <w:rPr>
          <w:color w:val="231F1F"/>
          <w:spacing w:val="-21"/>
          <w:w w:val="110"/>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3"/>
          <w:w w:val="110"/>
          <w:sz w:val="11"/>
        </w:rPr>
        <w:t>VOLATILE</w:t>
      </w:r>
      <w:r>
        <w:rPr>
          <w:rFonts w:ascii="Calibri"/>
          <w:color w:val="008356"/>
          <w:spacing w:val="-15"/>
          <w:w w:val="110"/>
          <w:sz w:val="11"/>
        </w:rPr>
        <w:t> </w:t>
      </w:r>
      <w:r>
        <w:rPr>
          <w:rFonts w:ascii="Calibri"/>
          <w:color w:val="008356"/>
          <w:spacing w:val="4"/>
          <w:w w:val="110"/>
          <w:sz w:val="11"/>
        </w:rPr>
        <w:t>LIQUID</w:t>
      </w:r>
      <w:r>
        <w:rPr>
          <w:rFonts w:ascii="Calibri"/>
          <w:color w:val="008356"/>
          <w:spacing w:val="-15"/>
          <w:w w:val="110"/>
          <w:sz w:val="11"/>
        </w:rPr>
        <w:t> </w:t>
      </w:r>
      <w:r>
        <w:rPr>
          <w:rFonts w:ascii="Calibri"/>
          <w:color w:val="008356"/>
          <w:spacing w:val="4"/>
          <w:w w:val="110"/>
          <w:sz w:val="11"/>
        </w:rPr>
        <w:t>GENERAL</w:t>
      </w:r>
      <w:r>
        <w:rPr>
          <w:rFonts w:ascii="Calibri"/>
          <w:color w:val="008356"/>
          <w:spacing w:val="-15"/>
          <w:w w:val="110"/>
          <w:sz w:val="11"/>
        </w:rPr>
        <w:t> </w:t>
      </w:r>
      <w:r>
        <w:rPr>
          <w:rFonts w:ascii="Calibri"/>
          <w:color w:val="008356"/>
          <w:spacing w:val="5"/>
          <w:w w:val="110"/>
          <w:sz w:val="11"/>
        </w:rPr>
        <w:t>ANAESTHETICS</w:t>
      </w:r>
    </w:p>
    <w:p>
      <w:pPr>
        <w:spacing w:line="237" w:lineRule="auto" w:before="0"/>
        <w:ind w:left="208" w:right="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co-beneldopa given with </w:t>
      </w:r>
      <w:r>
        <w:rPr>
          <w:rFonts w:ascii="Calibri" w:hAnsi="Calibri"/>
          <w:color w:val="008356"/>
          <w:spacing w:val="4"/>
          <w:w w:val="105"/>
          <w:sz w:val="11"/>
        </w:rPr>
        <w:t>ANGIOTENSIN-II RECEPTOR </w:t>
      </w:r>
      <w:r>
        <w:rPr>
          <w:rFonts w:ascii="Calibri" w:hAnsi="Calibri"/>
          <w:color w:val="008356"/>
          <w:spacing w:val="3"/>
          <w:w w:val="105"/>
          <w:sz w:val="11"/>
        </w:rPr>
        <w:t>ANTAGONISTS</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effects of co-beneldopa possibly reduced by</w:t>
      </w:r>
    </w:p>
    <w:p>
      <w:pPr>
        <w:spacing w:line="131" w:lineRule="exact" w:before="0"/>
        <w:ind w:left="208" w:right="0" w:firstLine="0"/>
        <w:jc w:val="left"/>
        <w:rPr>
          <w:rFonts w:ascii="Calibri"/>
          <w:sz w:val="11"/>
        </w:rPr>
      </w:pPr>
      <w:r>
        <w:rPr>
          <w:rFonts w:ascii="Calibri"/>
          <w:color w:val="008356"/>
          <w:sz w:val="11"/>
        </w:rPr>
        <w:t>ISONIAZID</w:t>
      </w:r>
    </w:p>
    <w:p>
      <w:pPr>
        <w:pStyle w:val="BodyText"/>
        <w:spacing w:line="242" w:lineRule="auto"/>
        <w:ind w:right="103" w:hanging="100"/>
        <w:rPr>
          <w:rFonts w:ascii="Calibri"/>
          <w:sz w:val="11"/>
        </w:rPr>
      </w:pPr>
      <w:r>
        <w:rPr>
          <w:rFonts w:ascii="Arial"/>
          <w:color w:val="231F1F"/>
          <w:w w:val="355"/>
          <w:position w:val="1"/>
          <w:sz w:val="7"/>
        </w:rPr>
        <w:t>l </w:t>
      </w:r>
      <w:r>
        <w:rPr>
          <w:rFonts w:ascii="Calibri"/>
          <w:color w:val="231F1F"/>
          <w:w w:val="105"/>
        </w:rPr>
        <w:t>Antidepressants: </w:t>
      </w:r>
      <w:r>
        <w:rPr>
          <w:color w:val="231F1F"/>
          <w:w w:val="105"/>
        </w:rPr>
        <w:t>risk of hypertensive crisis when co-beneldopa given with </w:t>
      </w:r>
      <w:r>
        <w:rPr>
          <w:rFonts w:ascii="Arial"/>
          <w:color w:val="231F1F"/>
          <w:w w:val="355"/>
          <w:position w:val="1"/>
          <w:sz w:val="7"/>
        </w:rPr>
        <w:t>l </w:t>
      </w:r>
      <w:r>
        <w:rPr>
          <w:rFonts w:ascii="Calibri"/>
          <w:color w:val="008356"/>
          <w:w w:val="105"/>
          <w:sz w:val="11"/>
        </w:rPr>
        <w:t>MAOIS</w:t>
      </w:r>
      <w:r>
        <w:rPr>
          <w:color w:val="231F1F"/>
          <w:w w:val="105"/>
        </w:rPr>
        <w:t>, avoid co-beneldopa for </w:t>
      </w:r>
      <w:r>
        <w:rPr>
          <w:color w:val="231F1F"/>
          <w:w w:val="130"/>
        </w:rPr>
        <w:t>at </w:t>
      </w:r>
      <w:r>
        <w:rPr>
          <w:color w:val="231F1F"/>
          <w:w w:val="105"/>
        </w:rPr>
        <w:t>least 2 weeks after stopping MAOIs; increased risk of side-effects when co- beneldopa given with </w:t>
      </w:r>
      <w:r>
        <w:rPr>
          <w:rFonts w:ascii="Calibri"/>
          <w:color w:val="008356"/>
          <w:w w:val="105"/>
          <w:sz w:val="11"/>
        </w:rPr>
        <w:t>MOCLOBEMIDE</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effects of co-beneldopa possibly reduced by</w:t>
      </w:r>
    </w:p>
    <w:p>
      <w:pPr>
        <w:spacing w:line="134" w:lineRule="exact" w:before="0"/>
        <w:ind w:left="208"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spacing w:line="220" w:lineRule="auto" w:before="4"/>
        <w:ind w:left="208" w:right="23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Antimuscarinics: </w:t>
      </w:r>
      <w:r>
        <w:rPr>
          <w:color w:val="231F1F"/>
          <w:w w:val="105"/>
          <w:sz w:val="12"/>
        </w:rPr>
        <w:t>absorption of co-beneldopa possibly </w:t>
      </w:r>
      <w:r>
        <w:rPr>
          <w:color w:val="231F1F"/>
          <w:spacing w:val="-3"/>
          <w:w w:val="105"/>
          <w:sz w:val="12"/>
        </w:rPr>
        <w:t>reduced</w:t>
      </w:r>
      <w:r>
        <w:rPr>
          <w:color w:val="231F1F"/>
          <w:spacing w:val="25"/>
          <w:w w:val="105"/>
          <w:sz w:val="12"/>
        </w:rPr>
        <w:t> </w:t>
      </w:r>
      <w:r>
        <w:rPr>
          <w:color w:val="231F1F"/>
          <w:w w:val="105"/>
          <w:sz w:val="12"/>
        </w:rPr>
        <w:t>by</w:t>
      </w:r>
      <w:r>
        <w:rPr>
          <w:color w:val="231F1F"/>
          <w:spacing w:val="-2"/>
          <w:w w:val="105"/>
          <w:sz w:val="12"/>
        </w:rPr>
        <w:t> </w:t>
      </w:r>
      <w:r>
        <w:rPr>
          <w:rFonts w:ascii="Calibri" w:hAnsi="Calibri"/>
          <w:color w:val="008356"/>
          <w:spacing w:val="5"/>
          <w:w w:val="105"/>
          <w:sz w:val="11"/>
        </w:rPr>
        <w:t>ANTIMUSCARINICS</w:t>
      </w:r>
    </w:p>
    <w:p>
      <w:pPr>
        <w:pStyle w:val="BodyText"/>
        <w:spacing w:line="230" w:lineRule="auto" w:before="5"/>
        <w:ind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effects of co-beneldopa antagonised by </w:t>
      </w:r>
      <w:r>
        <w:rPr>
          <w:rFonts w:ascii="Calibri" w:hAnsi="Calibri"/>
          <w:color w:val="008356"/>
          <w:w w:val="110"/>
          <w:sz w:val="11"/>
        </w:rPr>
        <w:t>ANTIPSYCHOTICS</w:t>
      </w:r>
      <w:r>
        <w:rPr>
          <w:color w:val="231F1F"/>
          <w:w w:val="110"/>
        </w:rPr>
        <w:t>; avoidance of co-beneldopa advised by manufacturer of </w:t>
      </w:r>
      <w:r>
        <w:rPr>
          <w:rFonts w:ascii="Calibri" w:hAnsi="Calibri"/>
          <w:color w:val="008356"/>
          <w:w w:val="110"/>
          <w:sz w:val="11"/>
        </w:rPr>
        <w:t>AMISULPRIDE </w:t>
      </w:r>
      <w:r>
        <w:rPr>
          <w:color w:val="231F1F"/>
          <w:w w:val="110"/>
        </w:rPr>
        <w:t>(antagonism of effect)</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effects of co-beneldopa possibly antagonised by </w:t>
      </w:r>
      <w:r>
        <w:rPr>
          <w:rFonts w:ascii="Calibri" w:hAnsi="Calibri"/>
          <w:color w:val="008356"/>
          <w:w w:val="105"/>
          <w:sz w:val="11"/>
        </w:rPr>
        <w:t>BENZODIAZEPINES</w:t>
      </w:r>
    </w:p>
    <w:p>
      <w:pPr>
        <w:pStyle w:val="BodyText"/>
        <w:spacing w:line="220" w:lineRule="auto" w:before="9"/>
        <w:ind w:right="55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co- beneldopa given with </w:t>
      </w:r>
      <w:r>
        <w:rPr>
          <w:rFonts w:ascii="Calibri" w:hAnsi="Calibri"/>
          <w:color w:val="008356"/>
          <w:w w:val="110"/>
          <w:sz w:val="11"/>
        </w:rPr>
        <w:t>BETA-BLOCKERS</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Bupropion: </w:t>
      </w:r>
      <w:r>
        <w:rPr>
          <w:color w:val="231F1F"/>
          <w:w w:val="110"/>
        </w:rPr>
        <w:t>increased risk of side-effects when co-beneldopa given with </w:t>
      </w:r>
      <w:r>
        <w:rPr>
          <w:rFonts w:ascii="Calibri" w:hAnsi="Calibri"/>
          <w:color w:val="008356"/>
          <w:w w:val="110"/>
          <w:sz w:val="11"/>
        </w:rPr>
        <w:t>BUPROPION</w:t>
      </w:r>
    </w:p>
    <w:p>
      <w:pPr>
        <w:spacing w:line="220" w:lineRule="auto" w:before="8"/>
        <w:ind w:left="208" w:right="17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co-beneldopa given with </w:t>
      </w:r>
      <w:r>
        <w:rPr>
          <w:rFonts w:ascii="Calibri" w:hAnsi="Calibri"/>
          <w:color w:val="008356"/>
          <w:w w:val="105"/>
          <w:sz w:val="11"/>
        </w:rPr>
        <w:t>CALCIUM-CHANNEL BLOCKERS</w:t>
      </w:r>
    </w:p>
    <w:p>
      <w:pPr>
        <w:pStyle w:val="BodyText"/>
        <w:spacing w:line="220" w:lineRule="auto" w:before="9"/>
        <w:ind w:right="374"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w:t>
      </w:r>
      <w:r>
        <w:rPr>
          <w:color w:val="231F1F"/>
          <w:spacing w:val="-3"/>
          <w:w w:val="105"/>
        </w:rPr>
        <w:t>co-beneldopa </w:t>
      </w:r>
      <w:r>
        <w:rPr>
          <w:color w:val="231F1F"/>
          <w:w w:val="105"/>
        </w:rPr>
        <w:t>given with</w:t>
      </w:r>
      <w:r>
        <w:rPr>
          <w:color w:val="231F1F"/>
          <w:spacing w:val="-2"/>
          <w:w w:val="105"/>
        </w:rPr>
        <w:t> </w:t>
      </w:r>
      <w:r>
        <w:rPr>
          <w:rFonts w:ascii="Calibri" w:hAnsi="Calibri"/>
          <w:color w:val="008356"/>
          <w:spacing w:val="4"/>
          <w:w w:val="105"/>
          <w:sz w:val="11"/>
        </w:rPr>
        <w:t>CLONIDINE</w:t>
      </w:r>
    </w:p>
    <w:p>
      <w:pPr>
        <w:pStyle w:val="BodyText"/>
        <w:spacing w:line="220" w:lineRule="auto" w:before="8"/>
        <w:ind w:right="136"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co-beneldopa given with</w:t>
      </w:r>
      <w:r>
        <w:rPr>
          <w:color w:val="231F1F"/>
          <w:spacing w:val="-2"/>
          <w:w w:val="105"/>
        </w:rPr>
        <w:t> </w:t>
      </w:r>
      <w:r>
        <w:rPr>
          <w:rFonts w:ascii="Calibri" w:hAnsi="Calibri"/>
          <w:color w:val="008356"/>
          <w:spacing w:val="4"/>
          <w:w w:val="105"/>
          <w:sz w:val="11"/>
        </w:rPr>
        <w:t>DIAZOXIDE</w:t>
      </w:r>
    </w:p>
    <w:p>
      <w:pPr>
        <w:pStyle w:val="BodyText"/>
        <w:spacing w:line="220" w:lineRule="auto" w:before="8"/>
        <w:ind w:right="374"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w:t>
      </w:r>
      <w:r>
        <w:rPr>
          <w:color w:val="231F1F"/>
          <w:spacing w:val="-2"/>
          <w:w w:val="105"/>
        </w:rPr>
        <w:t>co-beneldopa </w:t>
      </w:r>
      <w:r>
        <w:rPr>
          <w:color w:val="231F1F"/>
          <w:w w:val="105"/>
        </w:rPr>
        <w:t>given with</w:t>
      </w:r>
      <w:r>
        <w:rPr>
          <w:color w:val="231F1F"/>
          <w:spacing w:val="-2"/>
          <w:w w:val="105"/>
        </w:rPr>
        <w:t> </w:t>
      </w:r>
      <w:r>
        <w:rPr>
          <w:rFonts w:ascii="Calibri" w:hAnsi="Calibri"/>
          <w:color w:val="008356"/>
          <w:spacing w:val="4"/>
          <w:w w:val="105"/>
          <w:sz w:val="11"/>
        </w:rPr>
        <w:t>DIURETICS</w:t>
      </w:r>
    </w:p>
    <w:p>
      <w:pPr>
        <w:pStyle w:val="BodyText"/>
        <w:spacing w:line="230" w:lineRule="auto" w:before="4"/>
        <w:ind w:right="88"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enhanced effects and increased toxicity of co- beneldopa when given with </w:t>
      </w:r>
      <w:r>
        <w:rPr>
          <w:rFonts w:ascii="Calibri" w:hAnsi="Calibri"/>
          <w:color w:val="008356"/>
          <w:w w:val="110"/>
          <w:sz w:val="11"/>
        </w:rPr>
        <w:t>SELEGILINE </w:t>
      </w:r>
      <w:r>
        <w:rPr>
          <w:color w:val="231F1F"/>
          <w:w w:val="110"/>
        </w:rPr>
        <w:t>(reduce dose of co- beneldopa)</w:t>
      </w:r>
    </w:p>
    <w:p>
      <w:pPr>
        <w:pStyle w:val="BodyText"/>
        <w:spacing w:line="152" w:lineRule="exact" w:before="4"/>
        <w:ind w:left="108"/>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co-beneldopa possibly reduced by</w:t>
      </w:r>
    </w:p>
    <w:p>
      <w:pPr>
        <w:spacing w:line="135" w:lineRule="exact" w:before="0"/>
        <w:ind w:left="208" w:right="0" w:firstLine="0"/>
        <w:jc w:val="left"/>
        <w:rPr>
          <w:rFonts w:ascii="Calibri"/>
          <w:sz w:val="11"/>
        </w:rPr>
      </w:pPr>
      <w:r>
        <w:rPr>
          <w:i/>
          <w:color w:val="231F1F"/>
          <w:sz w:val="12"/>
        </w:rPr>
        <w:t>oral </w:t>
      </w:r>
      <w:r>
        <w:rPr>
          <w:rFonts w:ascii="Calibri"/>
          <w:color w:val="008356"/>
          <w:sz w:val="11"/>
        </w:rPr>
        <w:t>IRON SALTS</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08" w:right="0" w:firstLine="0"/>
        <w:jc w:val="left"/>
        <w:rPr>
          <w:rFonts w:ascii="Calibri"/>
          <w:sz w:val="11"/>
        </w:rPr>
      </w:pPr>
      <w:r>
        <w:rPr>
          <w:rFonts w:ascii="Calibri"/>
          <w:color w:val="008356"/>
          <w:sz w:val="11"/>
        </w:rPr>
        <w:t>MEMANTINE</w:t>
      </w:r>
    </w:p>
    <w:p>
      <w:pPr>
        <w:pStyle w:val="BodyText"/>
        <w:spacing w:line="230" w:lineRule="auto" w:before="3"/>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co-beneldopa given with </w:t>
      </w:r>
      <w:r>
        <w:rPr>
          <w:rFonts w:ascii="Calibri" w:hAnsi="Calibri"/>
          <w:color w:val="008356"/>
          <w:w w:val="110"/>
          <w:sz w:val="11"/>
        </w:rPr>
        <w:t>METHYLDOPA</w:t>
      </w:r>
      <w:r>
        <w:rPr>
          <w:color w:val="231F1F"/>
          <w:w w:val="110"/>
        </w:rPr>
        <w:t>; antiparkinsonian effect of dopaminergics antagonised by </w:t>
      </w:r>
      <w:r>
        <w:rPr>
          <w:rFonts w:ascii="Calibri" w:hAnsi="Calibri"/>
          <w:color w:val="008356"/>
          <w:w w:val="110"/>
          <w:sz w:val="11"/>
        </w:rPr>
        <w:t>METHYLDOPA</w:t>
      </w:r>
    </w:p>
    <w:p>
      <w:pPr>
        <w:pStyle w:val="BodyText"/>
        <w:spacing w:line="220" w:lineRule="auto" w:before="9"/>
        <w:ind w:right="103"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co-beneldopa given with </w:t>
      </w:r>
      <w:r>
        <w:rPr>
          <w:rFonts w:ascii="Calibri" w:hAnsi="Calibri"/>
          <w:color w:val="008356"/>
          <w:w w:val="105"/>
          <w:sz w:val="11"/>
        </w:rPr>
        <w:t>MOXONIDINE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possible agitation, confusion and hallucinations when co-beneldopa given with </w:t>
      </w:r>
      <w:r>
        <w:rPr>
          <w:rFonts w:ascii="Calibri" w:hAnsi="Calibri"/>
          <w:color w:val="008356"/>
          <w:w w:val="110"/>
          <w:sz w:val="11"/>
        </w:rPr>
        <w:t>BACLOFEN</w:t>
      </w:r>
    </w:p>
    <w:p>
      <w:pPr>
        <w:pStyle w:val="BodyText"/>
        <w:spacing w:line="220" w:lineRule="auto" w:before="8"/>
        <w:ind w:right="103"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co-beneldopa given with </w:t>
      </w:r>
      <w:r>
        <w:rPr>
          <w:rFonts w:ascii="Calibri" w:hAnsi="Calibri"/>
          <w:color w:val="008356"/>
          <w:w w:val="110"/>
          <w:sz w:val="11"/>
        </w:rPr>
        <w:t>NITRATES</w:t>
      </w:r>
    </w:p>
    <w:p>
      <w:pPr>
        <w:pStyle w:val="BodyText"/>
        <w:spacing w:before="9"/>
        <w:ind w:left="0"/>
        <w:rPr>
          <w:rFonts w:ascii="Calibri"/>
          <w:sz w:val="13"/>
        </w:rPr>
      </w:pPr>
      <w:r>
        <w:rPr/>
        <w:br w:type="column"/>
      </w:r>
      <w:r>
        <w:rPr>
          <w:rFonts w:ascii="Calibri"/>
          <w:sz w:val="13"/>
        </w:rPr>
      </w:r>
    </w:p>
    <w:p>
      <w:pPr>
        <w:pStyle w:val="BodyText"/>
        <w:spacing w:line="144" w:lineRule="exact"/>
        <w:ind w:left="108"/>
        <w:jc w:val="both"/>
        <w:rPr>
          <w:rFonts w:ascii="Calibri"/>
        </w:rPr>
      </w:pPr>
      <w:r>
        <w:rPr>
          <w:rFonts w:ascii="Arial"/>
          <w:color w:val="008356"/>
          <w:w w:val="95"/>
        </w:rPr>
        <w:t>Co-beneldopa</w:t>
      </w:r>
      <w:r>
        <w:rPr>
          <w:rFonts w:ascii="Arial"/>
          <w:color w:val="008356"/>
          <w:spacing w:val="-9"/>
          <w:w w:val="95"/>
        </w:rPr>
        <w:t> </w:t>
      </w:r>
      <w:r>
        <w:rPr>
          <w:rFonts w:ascii="Calibri"/>
          <w:color w:val="231F1F"/>
          <w:w w:val="95"/>
        </w:rPr>
        <w:t>(continued)</w:t>
      </w:r>
    </w:p>
    <w:p>
      <w:pPr>
        <w:spacing w:line="237" w:lineRule="auto" w:before="0"/>
        <w:ind w:left="208" w:right="892" w:hanging="100"/>
        <w:jc w:val="both"/>
        <w:rPr>
          <w:rFonts w:ascii="Calibri" w:hAnsi="Calibri"/>
          <w:sz w:val="11"/>
        </w:rPr>
      </w:pPr>
      <w:r>
        <w:rPr/>
        <w:pict>
          <v:rect style="position:absolute;margin-left:398.891296pt;margin-top:-8.571949pt;width:20.522993pt;height:149.443pt;mso-position-horizontal-relative:page;mso-position-vertical-relative:paragraph;z-index:3040" filled="true" fillcolor="#bfdbcf" stroked="false">
            <v:fill type="solid"/>
            <w10:wrap type="none"/>
          </v:rect>
        </w:pict>
      </w:r>
      <w:r>
        <w:rPr/>
        <w:pict>
          <v:shape style="position:absolute;margin-left:399.725769pt;margin-top:-3.60856pt;width:10.4pt;height:78.850pt;mso-position-horizontal-relative:page;mso-position-vertical-relative:paragraph;z-index:306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co-beneldopa given with </w:t>
      </w:r>
      <w:r>
        <w:rPr>
          <w:rFonts w:ascii="Calibri" w:hAnsi="Calibri"/>
          <w:color w:val="008356"/>
          <w:spacing w:val="4"/>
          <w:w w:val="105"/>
          <w:sz w:val="11"/>
        </w:rPr>
        <w:t>HYDRALAZINE</w:t>
      </w:r>
      <w:r>
        <w:rPr>
          <w:color w:val="231F1F"/>
          <w:spacing w:val="4"/>
          <w:w w:val="105"/>
          <w:sz w:val="12"/>
        </w:rPr>
        <w:t>, </w:t>
      </w:r>
      <w:r>
        <w:rPr>
          <w:rFonts w:ascii="Calibri" w:hAnsi="Calibri"/>
          <w:color w:val="008356"/>
          <w:spacing w:val="4"/>
          <w:w w:val="105"/>
          <w:sz w:val="11"/>
        </w:rPr>
        <w:t>MINOXIDIL </w:t>
      </w:r>
      <w:r>
        <w:rPr>
          <w:color w:val="231F1F"/>
          <w:w w:val="105"/>
          <w:sz w:val="12"/>
        </w:rPr>
        <w:t>or </w:t>
      </w:r>
      <w:r>
        <w:rPr>
          <w:rFonts w:ascii="Calibri" w:hAnsi="Calibri"/>
          <w:color w:val="008356"/>
          <w:spacing w:val="4"/>
          <w:w w:val="105"/>
          <w:sz w:val="11"/>
        </w:rPr>
        <w:t>SODIUM</w:t>
      </w:r>
      <w:r>
        <w:rPr>
          <w:rFonts w:ascii="Calibri" w:hAnsi="Calibri"/>
          <w:color w:val="008356"/>
          <w:spacing w:val="6"/>
          <w:w w:val="105"/>
          <w:sz w:val="11"/>
        </w:rPr>
        <w:t> </w:t>
      </w:r>
      <w:r>
        <w:rPr>
          <w:rFonts w:ascii="Calibri" w:hAnsi="Calibri"/>
          <w:color w:val="008356"/>
          <w:spacing w:val="5"/>
          <w:w w:val="105"/>
          <w:sz w:val="11"/>
        </w:rPr>
        <w:t>NITROPRUSSIDE</w:t>
      </w:r>
    </w:p>
    <w:p>
      <w:pPr>
        <w:pStyle w:val="BodyText"/>
        <w:spacing w:before="6"/>
        <w:ind w:left="108"/>
        <w:rPr>
          <w:rFonts w:ascii="Trebuchet MS"/>
        </w:rPr>
      </w:pPr>
      <w:r>
        <w:rPr>
          <w:rFonts w:ascii="Trebuchet MS"/>
          <w:color w:val="008356"/>
        </w:rPr>
        <w:t>Cobicistat</w:t>
      </w:r>
    </w:p>
    <w:p>
      <w:pPr>
        <w:pStyle w:val="BodyText"/>
        <w:spacing w:before="1"/>
        <w:ind w:right="900" w:hanging="100"/>
      </w:pPr>
      <w:r>
        <w:rPr>
          <w:rFonts w:ascii="Arial" w:hAnsi="Arial"/>
          <w:color w:val="231F1F"/>
          <w:w w:val="355"/>
          <w:position w:val="1"/>
          <w:sz w:val="7"/>
        </w:rPr>
        <w:t>l </w:t>
      </w:r>
      <w:r>
        <w:rPr>
          <w:rFonts w:ascii="Calibri" w:hAnsi="Calibri"/>
          <w:color w:val="231F1F"/>
          <w:w w:val="120"/>
        </w:rPr>
        <w:t>Alpha-blockers: </w:t>
      </w:r>
      <w:r>
        <w:rPr>
          <w:color w:val="231F1F"/>
          <w:w w:val="120"/>
        </w:rPr>
        <w:t>cobicistat possibly increases plasma </w:t>
      </w:r>
      <w:r>
        <w:rPr>
          <w:color w:val="231F1F"/>
          <w:w w:val="115"/>
        </w:rPr>
        <w:t>concentration</w:t>
      </w:r>
      <w:r>
        <w:rPr>
          <w:color w:val="231F1F"/>
          <w:spacing w:val="-11"/>
          <w:w w:val="115"/>
        </w:rPr>
        <w:t> </w:t>
      </w:r>
      <w:r>
        <w:rPr>
          <w:color w:val="231F1F"/>
          <w:w w:val="115"/>
        </w:rPr>
        <w:t>of</w:t>
      </w:r>
      <w:r>
        <w:rPr>
          <w:color w:val="231F1F"/>
          <w:spacing w:val="-8"/>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Calibri" w:hAnsi="Calibri"/>
          <w:color w:val="008356"/>
          <w:w w:val="115"/>
          <w:sz w:val="11"/>
        </w:rPr>
        <w:t>ALFUZOSIN</w:t>
      </w:r>
      <w:r>
        <w:rPr>
          <w:rFonts w:ascii="Arial" w:hAnsi="Arial"/>
          <w:color w:val="231F1F"/>
          <w:w w:val="115"/>
        </w:rPr>
        <w:t>—</w:t>
      </w:r>
      <w:r>
        <w:rPr>
          <w:color w:val="231F1F"/>
          <w:w w:val="115"/>
        </w:rPr>
        <w:t>manufacturer</w:t>
      </w:r>
      <w:r>
        <w:rPr>
          <w:color w:val="231F1F"/>
          <w:spacing w:val="-10"/>
          <w:w w:val="115"/>
        </w:rPr>
        <w:t> </w:t>
      </w:r>
      <w:r>
        <w:rPr>
          <w:color w:val="231F1F"/>
          <w:w w:val="115"/>
        </w:rPr>
        <w:t>of</w:t>
      </w:r>
      <w:r>
        <w:rPr>
          <w:color w:val="231F1F"/>
          <w:spacing w:val="-8"/>
          <w:w w:val="115"/>
        </w:rPr>
        <w:t> </w:t>
      </w:r>
      <w:r>
        <w:rPr>
          <w:color w:val="231F1F"/>
          <w:w w:val="115"/>
        </w:rPr>
        <w:t>cobicistat </w:t>
      </w:r>
      <w:r>
        <w:rPr>
          <w:color w:val="231F1F"/>
          <w:w w:val="120"/>
        </w:rPr>
        <w:t>advises avoid concomitant</w:t>
      </w:r>
      <w:r>
        <w:rPr>
          <w:color w:val="231F1F"/>
          <w:spacing w:val="-22"/>
          <w:w w:val="120"/>
        </w:rPr>
        <w:t> </w:t>
      </w:r>
      <w:r>
        <w:rPr>
          <w:color w:val="231F1F"/>
          <w:w w:val="120"/>
        </w:rPr>
        <w:t>use</w:t>
      </w:r>
    </w:p>
    <w:p>
      <w:pPr>
        <w:pStyle w:val="BodyText"/>
        <w:spacing w:line="242" w:lineRule="auto" w:before="1"/>
        <w:ind w:right="670" w:hanging="100"/>
      </w:pPr>
      <w:r>
        <w:rPr>
          <w:rFonts w:ascii="Arial" w:hAnsi="Arial"/>
          <w:color w:val="231F1F"/>
          <w:w w:val="355"/>
          <w:position w:val="1"/>
          <w:sz w:val="7"/>
        </w:rPr>
        <w:t>l </w:t>
      </w:r>
      <w:r>
        <w:rPr>
          <w:rFonts w:ascii="Calibri" w:hAnsi="Calibri"/>
          <w:color w:val="231F1F"/>
          <w:w w:val="115"/>
        </w:rPr>
        <w:t>Anti-arrhythmics: </w:t>
      </w:r>
      <w:r>
        <w:rPr>
          <w:color w:val="231F1F"/>
          <w:w w:val="115"/>
        </w:rPr>
        <w:t>cobicistat possibly increases plasma </w:t>
      </w:r>
      <w:r>
        <w:rPr>
          <w:color w:val="231F1F"/>
          <w:w w:val="110"/>
        </w:rPr>
        <w:t>concentration of </w:t>
      </w:r>
      <w:r>
        <w:rPr>
          <w:rFonts w:ascii="Arial" w:hAnsi="Arial"/>
          <w:color w:val="231F1F"/>
          <w:w w:val="110"/>
          <w:position w:val="1"/>
          <w:sz w:val="7"/>
        </w:rPr>
        <w:t>l </w:t>
      </w:r>
      <w:r>
        <w:rPr>
          <w:rFonts w:ascii="Calibri" w:hAnsi="Calibri"/>
          <w:color w:val="008356"/>
          <w:spacing w:val="2"/>
          <w:w w:val="110"/>
          <w:sz w:val="11"/>
        </w:rPr>
        <w:t>AMIODARONE</w:t>
      </w:r>
      <w:r>
        <w:rPr>
          <w:rFonts w:ascii="Arial" w:hAnsi="Arial"/>
          <w:color w:val="231F1F"/>
          <w:spacing w:val="2"/>
          <w:w w:val="110"/>
        </w:rPr>
        <w:t>—</w:t>
      </w:r>
      <w:r>
        <w:rPr>
          <w:color w:val="231F1F"/>
          <w:spacing w:val="2"/>
          <w:w w:val="110"/>
        </w:rPr>
        <w:t>manufacturer </w:t>
      </w:r>
      <w:r>
        <w:rPr>
          <w:color w:val="231F1F"/>
          <w:w w:val="110"/>
        </w:rPr>
        <w:t>of cobicistat </w:t>
      </w:r>
      <w:r>
        <w:rPr>
          <w:color w:val="231F1F"/>
          <w:w w:val="115"/>
        </w:rPr>
        <w:t>advises avoid concomitant</w:t>
      </w:r>
      <w:r>
        <w:rPr>
          <w:color w:val="231F1F"/>
          <w:spacing w:val="-14"/>
          <w:w w:val="115"/>
        </w:rPr>
        <w:t> </w:t>
      </w:r>
      <w:r>
        <w:rPr>
          <w:color w:val="231F1F"/>
          <w:w w:val="115"/>
        </w:rPr>
        <w:t>use</w:t>
      </w:r>
    </w:p>
    <w:p>
      <w:pPr>
        <w:pStyle w:val="BodyText"/>
        <w:ind w:right="704" w:hanging="100"/>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rPr>
        <w:t>Antibacterials:</w:t>
      </w:r>
      <w:r>
        <w:rPr>
          <w:rFonts w:ascii="Calibri" w:hAnsi="Calibri"/>
          <w:color w:val="231F1F"/>
          <w:spacing w:val="-11"/>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cobicistat</w:t>
      </w:r>
      <w:r>
        <w:rPr>
          <w:color w:val="231F1F"/>
          <w:spacing w:val="-14"/>
          <w:w w:val="115"/>
        </w:rPr>
        <w:t> </w:t>
      </w:r>
      <w:r>
        <w:rPr>
          <w:color w:val="231F1F"/>
          <w:w w:val="115"/>
        </w:rPr>
        <w:t>reduced</w:t>
      </w:r>
      <w:r>
        <w:rPr>
          <w:color w:val="231F1F"/>
          <w:spacing w:val="-14"/>
          <w:w w:val="115"/>
        </w:rPr>
        <w:t> </w:t>
      </w:r>
      <w:r>
        <w:rPr>
          <w:color w:val="231F1F"/>
          <w:w w:val="115"/>
        </w:rPr>
        <w:t>by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5"/>
          <w:sz w:val="11"/>
        </w:rPr>
        <w:t>RIFABUTIN</w:t>
      </w:r>
      <w:r>
        <w:rPr>
          <w:rFonts w:ascii="Calibri" w:hAnsi="Calibri"/>
          <w:color w:val="008356"/>
          <w:spacing w:val="-8"/>
          <w:w w:val="115"/>
          <w:sz w:val="11"/>
        </w:rPr>
        <w:t> </w:t>
      </w:r>
      <w:r>
        <w:rPr>
          <w:color w:val="231F1F"/>
          <w:w w:val="115"/>
        </w:rPr>
        <w:t>(adjust</w:t>
      </w:r>
      <w:r>
        <w:rPr>
          <w:color w:val="231F1F"/>
          <w:spacing w:val="-18"/>
          <w:w w:val="115"/>
        </w:rPr>
        <w:t> </w:t>
      </w:r>
      <w:r>
        <w:rPr>
          <w:color w:val="231F1F"/>
          <w:w w:val="115"/>
        </w:rPr>
        <w:t>dose</w:t>
      </w:r>
      <w:r>
        <w:rPr>
          <w:rFonts w:ascii="Arial" w:hAnsi="Arial"/>
          <w:color w:val="231F1F"/>
          <w:w w:val="115"/>
        </w:rPr>
        <w:t>—</w:t>
      </w:r>
      <w:r>
        <w:rPr>
          <w:color w:val="231F1F"/>
          <w:w w:val="115"/>
        </w:rPr>
        <w:t>consult</w:t>
      </w:r>
      <w:r>
        <w:rPr>
          <w:color w:val="231F1F"/>
          <w:spacing w:val="-18"/>
          <w:w w:val="115"/>
        </w:rPr>
        <w:t> </w:t>
      </w:r>
      <w:r>
        <w:rPr>
          <w:color w:val="231F1F"/>
          <w:w w:val="115"/>
        </w:rPr>
        <w:t>product</w:t>
      </w:r>
      <w:r>
        <w:rPr>
          <w:color w:val="231F1F"/>
          <w:spacing w:val="-17"/>
          <w:w w:val="115"/>
        </w:rPr>
        <w:t> </w:t>
      </w:r>
      <w:r>
        <w:rPr>
          <w:color w:val="231F1F"/>
          <w:w w:val="115"/>
        </w:rPr>
        <w:t>literature);</w:t>
      </w:r>
      <w:r>
        <w:rPr>
          <w:color w:val="231F1F"/>
          <w:spacing w:val="-18"/>
          <w:w w:val="115"/>
        </w:rPr>
        <w:t> </w:t>
      </w:r>
      <w:r>
        <w:rPr>
          <w:color w:val="231F1F"/>
          <w:w w:val="115"/>
        </w:rPr>
        <w:t>plasma concentration of cobicistat possibly reduced</w:t>
      </w:r>
      <w:r>
        <w:rPr>
          <w:color w:val="231F1F"/>
          <w:spacing w:val="-23"/>
          <w:w w:val="115"/>
        </w:rPr>
        <w:t> </w:t>
      </w:r>
      <w:r>
        <w:rPr>
          <w:color w:val="231F1F"/>
          <w:w w:val="115"/>
        </w:rPr>
        <w:t>by</w:t>
      </w:r>
    </w:p>
    <w:p>
      <w:pPr>
        <w:pStyle w:val="BodyText"/>
        <w:spacing w:before="3"/>
        <w:ind w:right="980" w:hanging="1"/>
      </w:pPr>
      <w:r>
        <w:rPr>
          <w:rFonts w:ascii="Arial" w:hAnsi="Arial"/>
          <w:color w:val="231F1F"/>
          <w:w w:val="11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cobicistat advises avoid </w:t>
      </w:r>
      <w:r>
        <w:rPr>
          <w:color w:val="231F1F"/>
          <w:w w:val="120"/>
        </w:rPr>
        <w:t>concomitant use</w:t>
      </w:r>
    </w:p>
    <w:p>
      <w:pPr>
        <w:pStyle w:val="BodyText"/>
        <w:spacing w:line="242" w:lineRule="auto" w:before="3"/>
        <w:ind w:right="825" w:hanging="100"/>
      </w:pPr>
      <w:r>
        <w:rPr>
          <w:rFonts w:ascii="Arial" w:hAnsi="Arial"/>
          <w:color w:val="231F1F"/>
          <w:w w:val="355"/>
          <w:position w:val="1"/>
          <w:sz w:val="7"/>
        </w:rPr>
        <w:t>l </w:t>
      </w:r>
      <w:r>
        <w:rPr>
          <w:rFonts w:ascii="Calibri" w:hAnsi="Calibri"/>
          <w:color w:val="231F1F"/>
          <w:w w:val="115"/>
        </w:rPr>
        <w:t>Anticoagulants: </w:t>
      </w:r>
      <w:r>
        <w:rPr>
          <w:color w:val="231F1F"/>
          <w:w w:val="115"/>
        </w:rPr>
        <w:t>avoidance of cobicistat advised by manufacturer of </w:t>
      </w:r>
      <w:r>
        <w:rPr>
          <w:rFonts w:ascii="Calibri" w:hAnsi="Calibri"/>
          <w:color w:val="008356"/>
          <w:spacing w:val="4"/>
          <w:w w:val="115"/>
          <w:sz w:val="11"/>
        </w:rPr>
        <w:t>APIXABAN</w:t>
      </w:r>
      <w:r>
        <w:rPr>
          <w:color w:val="231F1F"/>
          <w:spacing w:val="4"/>
          <w:w w:val="115"/>
        </w:rPr>
        <w:t>; </w:t>
      </w:r>
      <w:r>
        <w:rPr>
          <w:color w:val="231F1F"/>
          <w:w w:val="115"/>
        </w:rPr>
        <w:t>cobicistat possibly enhances anticoagulant</w:t>
      </w:r>
      <w:r>
        <w:rPr>
          <w:color w:val="231F1F"/>
          <w:spacing w:val="-24"/>
          <w:w w:val="115"/>
        </w:rPr>
        <w:t> </w:t>
      </w:r>
      <w:r>
        <w:rPr>
          <w:color w:val="231F1F"/>
          <w:w w:val="115"/>
        </w:rPr>
        <w:t>effect</w:t>
      </w:r>
      <w:r>
        <w:rPr>
          <w:color w:val="231F1F"/>
          <w:spacing w:val="-24"/>
          <w:w w:val="115"/>
        </w:rPr>
        <w:t> </w:t>
      </w:r>
      <w:r>
        <w:rPr>
          <w:color w:val="231F1F"/>
          <w:w w:val="115"/>
        </w:rPr>
        <w:t>of</w:t>
      </w:r>
      <w:r>
        <w:rPr>
          <w:color w:val="231F1F"/>
          <w:spacing w:val="-24"/>
          <w:w w:val="115"/>
        </w:rPr>
        <w:t> </w:t>
      </w:r>
      <w:r>
        <w:rPr>
          <w:rFonts w:ascii="Arial" w:hAnsi="Arial"/>
          <w:color w:val="231F1F"/>
          <w:w w:val="225"/>
          <w:position w:val="1"/>
          <w:sz w:val="7"/>
        </w:rPr>
        <w:t>l</w:t>
      </w:r>
      <w:r>
        <w:rPr>
          <w:rFonts w:ascii="Arial" w:hAnsi="Arial"/>
          <w:color w:val="231F1F"/>
          <w:spacing w:val="-34"/>
          <w:w w:val="225"/>
          <w:position w:val="1"/>
          <w:sz w:val="7"/>
        </w:rPr>
        <w:t> </w:t>
      </w:r>
      <w:r>
        <w:rPr>
          <w:rFonts w:ascii="Calibri" w:hAnsi="Calibri"/>
          <w:color w:val="008356"/>
          <w:spacing w:val="2"/>
          <w:w w:val="115"/>
          <w:sz w:val="11"/>
        </w:rPr>
        <w:t>RIVAROXABAN</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 use</w:t>
      </w:r>
    </w:p>
    <w:p>
      <w:pPr>
        <w:pStyle w:val="BodyText"/>
        <w:ind w:right="789" w:hanging="10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231F1F"/>
          <w:w w:val="115"/>
        </w:rPr>
        <w:t>Antidepressants:</w:t>
      </w:r>
      <w:r>
        <w:rPr>
          <w:rFonts w:ascii="Calibri" w:hAnsi="Calibri"/>
          <w:color w:val="231F1F"/>
          <w:spacing w:val="-19"/>
          <w:w w:val="115"/>
        </w:rPr>
        <w:t> </w:t>
      </w:r>
      <w:r>
        <w:rPr>
          <w:color w:val="231F1F"/>
          <w:w w:val="115"/>
        </w:rPr>
        <w:t>plasma</w:t>
      </w:r>
      <w:r>
        <w:rPr>
          <w:color w:val="231F1F"/>
          <w:spacing w:val="-23"/>
          <w:w w:val="115"/>
        </w:rPr>
        <w:t> </w:t>
      </w:r>
      <w:r>
        <w:rPr>
          <w:color w:val="231F1F"/>
          <w:w w:val="115"/>
        </w:rPr>
        <w:t>concentration</w:t>
      </w:r>
      <w:r>
        <w:rPr>
          <w:color w:val="231F1F"/>
          <w:spacing w:val="-24"/>
          <w:w w:val="115"/>
        </w:rPr>
        <w:t> </w:t>
      </w:r>
      <w:r>
        <w:rPr>
          <w:color w:val="231F1F"/>
          <w:w w:val="115"/>
        </w:rPr>
        <w:t>of</w:t>
      </w:r>
      <w:r>
        <w:rPr>
          <w:color w:val="231F1F"/>
          <w:spacing w:val="-23"/>
          <w:w w:val="115"/>
        </w:rPr>
        <w:t> </w:t>
      </w:r>
      <w:r>
        <w:rPr>
          <w:color w:val="231F1F"/>
          <w:w w:val="115"/>
        </w:rPr>
        <w:t>cobicistat</w:t>
      </w:r>
      <w:r>
        <w:rPr>
          <w:color w:val="231F1F"/>
          <w:spacing w:val="-23"/>
          <w:w w:val="115"/>
        </w:rPr>
        <w:t> </w:t>
      </w:r>
      <w:r>
        <w:rPr>
          <w:color w:val="231F1F"/>
          <w:w w:val="115"/>
        </w:rPr>
        <w:t>possibly reduced</w:t>
      </w:r>
      <w:r>
        <w:rPr>
          <w:color w:val="231F1F"/>
          <w:spacing w:val="-17"/>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ST</w:t>
      </w:r>
      <w:r>
        <w:rPr>
          <w:rFonts w:ascii="Calibri" w:hAnsi="Calibri"/>
          <w:color w:val="008356"/>
          <w:spacing w:val="-11"/>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9"/>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6"/>
          <w:w w:val="115"/>
        </w:rPr>
        <w:t> </w:t>
      </w:r>
      <w:r>
        <w:rPr>
          <w:color w:val="231F1F"/>
          <w:w w:val="115"/>
        </w:rPr>
        <w:t>of</w:t>
      </w:r>
      <w:r>
        <w:rPr>
          <w:color w:val="231F1F"/>
          <w:spacing w:val="-15"/>
          <w:w w:val="115"/>
        </w:rPr>
        <w:t> </w:t>
      </w:r>
      <w:r>
        <w:rPr>
          <w:color w:val="231F1F"/>
          <w:w w:val="115"/>
        </w:rPr>
        <w:t>cobicistat advises avoid concomitant</w:t>
      </w:r>
      <w:r>
        <w:rPr>
          <w:color w:val="231F1F"/>
          <w:spacing w:val="-14"/>
          <w:w w:val="115"/>
        </w:rPr>
        <w:t> </w:t>
      </w:r>
      <w:r>
        <w:rPr>
          <w:color w:val="231F1F"/>
          <w:w w:val="115"/>
        </w:rPr>
        <w:t>use</w:t>
      </w:r>
    </w:p>
    <w:p>
      <w:pPr>
        <w:spacing w:before="0"/>
        <w:ind w:left="208" w:right="67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cobicistat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1"/>
        <w:ind w:left="208" w:right="0" w:firstLine="0"/>
        <w:jc w:val="both"/>
        <w:rPr>
          <w:rFonts w:ascii="Arial" w:hAnsi="Arial"/>
          <w:sz w:val="12"/>
        </w:rPr>
      </w:pPr>
      <w:r>
        <w:rPr>
          <w:rFonts w:ascii="Arial" w:hAnsi="Arial"/>
          <w:color w:val="231F1F"/>
          <w:w w:val="355"/>
          <w:position w:val="1"/>
          <w:sz w:val="7"/>
        </w:rPr>
        <w:t>l </w:t>
      </w:r>
      <w:r>
        <w:rPr>
          <w:rFonts w:ascii="Calibri" w:hAnsi="Calibri"/>
          <w:color w:val="008356"/>
          <w:spacing w:val="4"/>
          <w:w w:val="115"/>
          <w:sz w:val="11"/>
        </w:rPr>
        <w:t>PHENOBARBITAL</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PRIMIDONE</w:t>
      </w:r>
      <w:r>
        <w:rPr>
          <w:rFonts w:ascii="Arial" w:hAnsi="Arial"/>
          <w:color w:val="231F1F"/>
          <w:spacing w:val="4"/>
          <w:w w:val="115"/>
          <w:sz w:val="12"/>
        </w:rPr>
        <w:t>—</w:t>
      </w:r>
    </w:p>
    <w:p>
      <w:pPr>
        <w:pStyle w:val="BodyText"/>
        <w:spacing w:before="2"/>
      </w:pPr>
      <w:r>
        <w:rPr>
          <w:color w:val="231F1F"/>
          <w:w w:val="115"/>
        </w:rPr>
        <w:t>manufacturer of cobicistat advises avoid concomitant use</w:t>
      </w:r>
    </w:p>
    <w:p>
      <w:pPr>
        <w:pStyle w:val="BodyText"/>
        <w:spacing w:line="237" w:lineRule="auto" w:before="3"/>
        <w:ind w:right="870"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cobicistat possibly increases plasma </w:t>
      </w:r>
      <w:r>
        <w:rPr>
          <w:color w:val="231F1F"/>
          <w:w w:val="105"/>
        </w:rPr>
        <w:t>concentration of </w:t>
      </w:r>
      <w:r>
        <w:rPr>
          <w:rFonts w:ascii="Calibri" w:hAnsi="Calibri"/>
          <w:color w:val="008356"/>
          <w:w w:val="105"/>
          <w:sz w:val="11"/>
        </w:rPr>
        <w:t>ITRACONAZOLE </w:t>
      </w:r>
      <w:r>
        <w:rPr>
          <w:color w:val="231F1F"/>
          <w:w w:val="105"/>
        </w:rPr>
        <w:t>and </w:t>
      </w:r>
      <w:r>
        <w:rPr>
          <w:rFonts w:ascii="Calibri" w:hAnsi="Calibri"/>
          <w:color w:val="008356"/>
          <w:w w:val="105"/>
          <w:sz w:val="11"/>
        </w:rPr>
        <w:t>KETOCONAZOLE</w:t>
      </w:r>
      <w:r>
        <w:rPr>
          <w:rFonts w:ascii="Arial" w:hAnsi="Arial"/>
          <w:color w:val="231F1F"/>
          <w:w w:val="105"/>
        </w:rPr>
        <w:t>— </w:t>
      </w:r>
      <w:r>
        <w:rPr>
          <w:color w:val="231F1F"/>
          <w:w w:val="110"/>
        </w:rPr>
        <w:t>manufacturer of cobicistat advises reduce dose of itraconazole and ketoconazole</w:t>
      </w:r>
    </w:p>
    <w:p>
      <w:pPr>
        <w:pStyle w:val="BodyText"/>
        <w:ind w:right="975" w:hanging="100"/>
      </w:pPr>
      <w:r>
        <w:rPr>
          <w:rFonts w:ascii="Arial" w:hAnsi="Arial"/>
          <w:color w:val="231F1F"/>
          <w:w w:val="355"/>
          <w:position w:val="1"/>
          <w:sz w:val="7"/>
        </w:rPr>
        <w:t>l </w:t>
      </w:r>
      <w:r>
        <w:rPr>
          <w:rFonts w:ascii="Calibri" w:hAnsi="Calibri"/>
          <w:color w:val="231F1F"/>
          <w:w w:val="115"/>
        </w:rPr>
        <w:t>Antipsychotics: </w:t>
      </w:r>
      <w:r>
        <w:rPr>
          <w:color w:val="231F1F"/>
          <w:w w:val="115"/>
        </w:rPr>
        <w:t>cobicistat possibly increases plasma concentration</w:t>
      </w:r>
      <w:r>
        <w:rPr>
          <w:color w:val="231F1F"/>
          <w:spacing w:val="-25"/>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w:t>
      </w:r>
      <w:r>
        <w:rPr>
          <w:color w:val="231F1F"/>
          <w:spacing w:val="-23"/>
          <w:w w:val="115"/>
        </w:rPr>
        <w:t> </w:t>
      </w:r>
      <w:r>
        <w:rPr>
          <w:color w:val="231F1F"/>
          <w:w w:val="115"/>
        </w:rPr>
        <w:t>concomitant</w:t>
      </w:r>
      <w:r>
        <w:rPr>
          <w:color w:val="231F1F"/>
          <w:spacing w:val="-24"/>
          <w:w w:val="115"/>
        </w:rPr>
        <w:t> </w:t>
      </w:r>
      <w:r>
        <w:rPr>
          <w:color w:val="231F1F"/>
          <w:spacing w:val="-3"/>
          <w:w w:val="115"/>
        </w:rPr>
        <w:t>use; </w:t>
      </w:r>
      <w:r>
        <w:rPr>
          <w:color w:val="231F1F"/>
          <w:w w:val="115"/>
        </w:rPr>
        <w:t>cobicistat</w:t>
      </w:r>
      <w:r>
        <w:rPr>
          <w:color w:val="231F1F"/>
          <w:spacing w:val="-6"/>
          <w:w w:val="115"/>
        </w:rPr>
        <w:t> </w:t>
      </w:r>
      <w:r>
        <w:rPr>
          <w:color w:val="231F1F"/>
          <w:w w:val="115"/>
        </w:rPr>
        <w:t>possibly</w:t>
      </w:r>
      <w:r>
        <w:rPr>
          <w:color w:val="231F1F"/>
          <w:spacing w:val="-5"/>
          <w:w w:val="115"/>
        </w:rPr>
        <w:t> </w:t>
      </w:r>
      <w:r>
        <w:rPr>
          <w:color w:val="231F1F"/>
          <w:w w:val="115"/>
        </w:rPr>
        <w:t>increases</w:t>
      </w:r>
      <w:r>
        <w:rPr>
          <w:color w:val="231F1F"/>
          <w:spacing w:val="-8"/>
          <w:w w:val="115"/>
        </w:rPr>
        <w:t> </w:t>
      </w:r>
      <w:r>
        <w:rPr>
          <w:color w:val="231F1F"/>
          <w:w w:val="115"/>
        </w:rPr>
        <w:t>plasma</w:t>
      </w:r>
      <w:r>
        <w:rPr>
          <w:color w:val="231F1F"/>
          <w:spacing w:val="-5"/>
          <w:w w:val="115"/>
        </w:rPr>
        <w:t> </w:t>
      </w:r>
      <w:r>
        <w:rPr>
          <w:color w:val="231F1F"/>
          <w:w w:val="115"/>
        </w:rPr>
        <w:t>concentration</w:t>
      </w:r>
      <w:r>
        <w:rPr>
          <w:color w:val="231F1F"/>
          <w:spacing w:val="-6"/>
          <w:w w:val="115"/>
        </w:rPr>
        <w:t> </w:t>
      </w:r>
      <w:r>
        <w:rPr>
          <w:color w:val="231F1F"/>
          <w:w w:val="115"/>
        </w:rPr>
        <w:t>of</w:t>
      </w:r>
    </w:p>
    <w:p>
      <w:pPr>
        <w:pStyle w:val="BodyText"/>
        <w:spacing w:before="5"/>
        <w:ind w:right="1078" w:hanging="1"/>
      </w:pPr>
      <w:r>
        <w:rPr>
          <w:rFonts w:ascii="Arial" w:hAnsi="Arial"/>
          <w:color w:val="231F1F"/>
          <w:w w:val="115"/>
          <w:position w:val="1"/>
          <w:sz w:val="7"/>
        </w:rPr>
        <w:t>l </w:t>
      </w:r>
      <w:r>
        <w:rPr>
          <w:rFonts w:ascii="Calibri" w:hAnsi="Calibri"/>
          <w:color w:val="008356"/>
          <w:w w:val="115"/>
          <w:sz w:val="11"/>
        </w:rPr>
        <w:t>PIMOZIDE</w:t>
      </w:r>
      <w:r>
        <w:rPr>
          <w:rFonts w:ascii="Arial" w:hAnsi="Arial"/>
          <w:color w:val="231F1F"/>
          <w:w w:val="115"/>
        </w:rPr>
        <w:t>—</w:t>
      </w:r>
      <w:r>
        <w:rPr>
          <w:color w:val="231F1F"/>
          <w:w w:val="115"/>
        </w:rPr>
        <w:t>manufacturer of cobicistat advises avoid </w:t>
      </w:r>
      <w:r>
        <w:rPr>
          <w:color w:val="231F1F"/>
          <w:w w:val="120"/>
        </w:rPr>
        <w:t>concomitant use</w:t>
      </w:r>
    </w:p>
    <w:p>
      <w:pPr>
        <w:pStyle w:val="BodyText"/>
        <w:spacing w:line="242" w:lineRule="auto" w:before="3"/>
        <w:ind w:right="613" w:hanging="100"/>
      </w:pPr>
      <w:r>
        <w:rPr>
          <w:rFonts w:ascii="Arial" w:hAnsi="Arial"/>
          <w:color w:val="231F1F"/>
          <w:w w:val="355"/>
          <w:position w:val="1"/>
          <w:sz w:val="7"/>
        </w:rPr>
        <w:t>l </w:t>
      </w:r>
      <w:r>
        <w:rPr>
          <w:rFonts w:ascii="Calibri" w:hAnsi="Calibri"/>
          <w:color w:val="231F1F"/>
          <w:w w:val="115"/>
        </w:rPr>
        <w:t>Antivirals: </w:t>
      </w:r>
      <w:r>
        <w:rPr>
          <w:color w:val="231F1F"/>
          <w:w w:val="115"/>
        </w:rPr>
        <w:t>manufacturer of cobicistat advises avoid concomitant use with </w:t>
      </w:r>
      <w:r>
        <w:rPr>
          <w:rFonts w:ascii="Calibri" w:hAnsi="Calibri"/>
          <w:color w:val="008356"/>
          <w:spacing w:val="4"/>
          <w:w w:val="115"/>
          <w:sz w:val="11"/>
        </w:rPr>
        <w:t>BOCEPREVIR</w:t>
      </w:r>
      <w:r>
        <w:rPr>
          <w:color w:val="231F1F"/>
          <w:spacing w:val="4"/>
          <w:w w:val="115"/>
        </w:rPr>
        <w:t>; </w:t>
      </w:r>
      <w:r>
        <w:rPr>
          <w:color w:val="231F1F"/>
          <w:w w:val="115"/>
        </w:rPr>
        <w:t>cobicistat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DACLATASVIR</w:t>
      </w:r>
      <w:r>
        <w:rPr>
          <w:rFonts w:ascii="Arial" w:hAnsi="Arial"/>
          <w:color w:val="231F1F"/>
          <w:w w:val="115"/>
        </w:rPr>
        <w:t>—</w:t>
      </w:r>
      <w:r>
        <w:rPr>
          <w:color w:val="231F1F"/>
          <w:w w:val="115"/>
        </w:rPr>
        <w:t>reduce dose of daclatasvir (see under Daclatasvir, p. 544); cobicistat possibly increases plasma concentration of</w:t>
      </w:r>
    </w:p>
    <w:p>
      <w:pPr>
        <w:pStyle w:val="BodyText"/>
        <w:spacing w:line="244" w:lineRule="auto" w:before="7"/>
        <w:ind w:right="670"/>
      </w:pPr>
      <w:r>
        <w:rPr>
          <w:rFonts w:ascii="Arial" w:hAnsi="Arial"/>
          <w:color w:val="231F1F"/>
          <w:w w:val="355"/>
          <w:position w:val="1"/>
          <w:sz w:val="7"/>
        </w:rPr>
        <w:t>l </w:t>
      </w:r>
      <w:r>
        <w:rPr>
          <w:rFonts w:ascii="Calibri" w:hAnsi="Calibri"/>
          <w:color w:val="008356"/>
          <w:w w:val="110"/>
          <w:sz w:val="11"/>
        </w:rPr>
        <w:t>MARAVIROC </w:t>
      </w:r>
      <w:r>
        <w:rPr>
          <w:color w:val="231F1F"/>
          <w:w w:val="110"/>
        </w:rPr>
        <w:t>(reduce dose of maraviroc); avoidance of cobicistat advised by manufacturer of </w:t>
      </w:r>
      <w:r>
        <w:rPr>
          <w:rFonts w:ascii="Calibri" w:hAnsi="Calibri"/>
          <w:color w:val="008356"/>
          <w:w w:val="110"/>
          <w:sz w:val="11"/>
        </w:rPr>
        <w:t>NEVIRAPINE</w:t>
      </w:r>
      <w:r>
        <w:rPr>
          <w:color w:val="231F1F"/>
          <w:w w:val="110"/>
        </w:rPr>
        <w:t>; cobicistat possibly increases plasma concentration of </w:t>
      </w:r>
      <w:r>
        <w:rPr>
          <w:rFonts w:ascii="Arial" w:hAnsi="Arial"/>
          <w:color w:val="231F1F"/>
          <w:w w:val="355"/>
          <w:position w:val="1"/>
          <w:sz w:val="7"/>
        </w:rPr>
        <w:t>l </w:t>
      </w:r>
      <w:r>
        <w:rPr>
          <w:rFonts w:ascii="Calibri" w:hAnsi="Calibri"/>
          <w:color w:val="008356"/>
          <w:w w:val="110"/>
          <w:sz w:val="11"/>
        </w:rPr>
        <w:t>SIMEPREVIR</w:t>
      </w:r>
      <w:r>
        <w:rPr>
          <w:rFonts w:ascii="Arial" w:hAnsi="Arial"/>
          <w:color w:val="231F1F"/>
          <w:w w:val="110"/>
        </w:rPr>
        <w:t>— </w:t>
      </w:r>
      <w:r>
        <w:rPr>
          <w:color w:val="231F1F"/>
          <w:w w:val="110"/>
        </w:rPr>
        <w:t>manufacturer of simeprevir advises avoid concomitant use; plasma concentration of both drugs reduced when cobicistat given with </w:t>
      </w:r>
      <w:r>
        <w:rPr>
          <w:rFonts w:ascii="Arial" w:hAnsi="Arial"/>
          <w:color w:val="231F1F"/>
          <w:w w:val="355"/>
          <w:position w:val="1"/>
          <w:sz w:val="7"/>
        </w:rPr>
        <w:t>l </w:t>
      </w:r>
      <w:r>
        <w:rPr>
          <w:rFonts w:ascii="Calibri" w:hAnsi="Calibri"/>
          <w:color w:val="008356"/>
          <w:w w:val="110"/>
          <w:sz w:val="11"/>
        </w:rPr>
        <w:t>TIPRANAVIR </w:t>
      </w:r>
      <w:r>
        <w:rPr>
          <w:color w:val="231F1F"/>
          <w:w w:val="110"/>
        </w:rPr>
        <w:t>(avoid concomitant use)</w:t>
      </w:r>
    </w:p>
    <w:p>
      <w:pPr>
        <w:pStyle w:val="BodyText"/>
        <w:spacing w:line="237" w:lineRule="auto"/>
        <w:ind w:right="818" w:hanging="100"/>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231F1F"/>
          <w:w w:val="110"/>
        </w:rPr>
        <w:t>Anxiolytics and Hypnotics: </w:t>
      </w:r>
      <w:r>
        <w:rPr>
          <w:color w:val="231F1F"/>
          <w:w w:val="110"/>
        </w:rPr>
        <w:t>manufacturer of cobicistat </w:t>
      </w:r>
      <w:r>
        <w:rPr>
          <w:color w:val="231F1F"/>
          <w:spacing w:val="-3"/>
          <w:w w:val="110"/>
        </w:rPr>
        <w:t>advises </w:t>
      </w:r>
      <w:r>
        <w:rPr>
          <w:color w:val="231F1F"/>
          <w:w w:val="110"/>
        </w:rPr>
        <w:t>avoid concomitant use with </w:t>
      </w:r>
      <w:r>
        <w:rPr>
          <w:i/>
          <w:color w:val="231F1F"/>
          <w:w w:val="110"/>
        </w:rPr>
        <w:t>oral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MIDAZOLAM</w:t>
      </w:r>
    </w:p>
    <w:p>
      <w:pPr>
        <w:pStyle w:val="BodyText"/>
        <w:spacing w:line="220" w:lineRule="auto" w:before="5"/>
        <w:ind w:right="1297" w:hanging="100"/>
        <w:rPr>
          <w:rFonts w:ascii="Calibri" w:hAnsi="Calibri"/>
          <w:sz w:val="11"/>
        </w:rPr>
      </w:pPr>
      <w:r>
        <w:rPr>
          <w:rFonts w:ascii="Lucida Sans Unicode" w:hAnsi="Lucida Sans Unicode"/>
          <w:color w:val="A7A8AC"/>
          <w:w w:val="95"/>
          <w:sz w:val="10"/>
        </w:rPr>
        <w:t>▶ </w:t>
      </w:r>
      <w:r>
        <w:rPr>
          <w:rFonts w:ascii="Calibri" w:hAnsi="Calibri"/>
          <w:color w:val="231F1F"/>
          <w:w w:val="110"/>
        </w:rPr>
        <w:t>Bosentan: </w:t>
      </w:r>
      <w:r>
        <w:rPr>
          <w:color w:val="231F1F"/>
          <w:w w:val="110"/>
        </w:rPr>
        <w:t>manufacturer of cobicistat advises avoid concomitant use with </w:t>
      </w:r>
      <w:r>
        <w:rPr>
          <w:rFonts w:ascii="Calibri" w:hAnsi="Calibri"/>
          <w:color w:val="008356"/>
          <w:w w:val="110"/>
          <w:sz w:val="11"/>
        </w:rPr>
        <w:t>BOSENTAN</w:t>
      </w:r>
    </w:p>
    <w:p>
      <w:pPr>
        <w:pStyle w:val="BodyText"/>
        <w:spacing w:line="218" w:lineRule="auto" w:before="10"/>
        <w:ind w:right="670" w:hanging="100"/>
      </w:pPr>
      <w:r>
        <w:rPr>
          <w:rFonts w:ascii="Lucida Sans Unicode" w:hAnsi="Lucida Sans Unicode"/>
          <w:color w:val="A7A8AC"/>
          <w:w w:val="95"/>
          <w:sz w:val="10"/>
        </w:rPr>
        <w:t>▶ </w:t>
      </w:r>
      <w:r>
        <w:rPr>
          <w:rFonts w:ascii="Calibri" w:hAnsi="Calibri"/>
          <w:color w:val="231F1F"/>
          <w:w w:val="110"/>
        </w:rPr>
        <w:t>Cardiac Glycosides: </w:t>
      </w:r>
      <w:r>
        <w:rPr>
          <w:color w:val="231F1F"/>
          <w:w w:val="110"/>
        </w:rPr>
        <w:t>cobicistat possibly increases plasma concentration of </w:t>
      </w:r>
      <w:r>
        <w:rPr>
          <w:rFonts w:ascii="Calibri" w:hAnsi="Calibri"/>
          <w:color w:val="008356"/>
          <w:w w:val="110"/>
          <w:sz w:val="11"/>
        </w:rPr>
        <w:t>DIGOXIN</w:t>
      </w:r>
      <w:r>
        <w:rPr>
          <w:rFonts w:ascii="Arial" w:hAnsi="Arial"/>
          <w:color w:val="231F1F"/>
          <w:w w:val="110"/>
        </w:rPr>
        <w:t>—</w:t>
      </w:r>
      <w:r>
        <w:rPr>
          <w:color w:val="231F1F"/>
          <w:w w:val="110"/>
        </w:rPr>
        <w:t>reduce initial dose of digoxin</w:t>
      </w:r>
    </w:p>
    <w:p>
      <w:pPr>
        <w:pStyle w:val="BodyText"/>
        <w:spacing w:before="1"/>
        <w:ind w:right="740" w:hanging="100"/>
      </w:pPr>
      <w:r>
        <w:rPr>
          <w:rFonts w:ascii="Arial" w:hAnsi="Arial"/>
          <w:color w:val="231F1F"/>
          <w:w w:val="355"/>
          <w:position w:val="1"/>
          <w:sz w:val="7"/>
        </w:rPr>
        <w:t>l </w:t>
      </w:r>
      <w:r>
        <w:rPr>
          <w:rFonts w:ascii="Calibri" w:hAnsi="Calibri"/>
          <w:color w:val="231F1F"/>
          <w:w w:val="115"/>
        </w:rPr>
        <w:t>Cytotoxics: </w:t>
      </w:r>
      <w:r>
        <w:rPr>
          <w:color w:val="231F1F"/>
          <w:w w:val="115"/>
        </w:rPr>
        <w:t>cobicistat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w:t>
      </w:r>
      <w:r>
        <w:rPr>
          <w:color w:val="231F1F"/>
          <w:spacing w:val="-3"/>
          <w:w w:val="115"/>
        </w:rPr>
        <w:t>(see </w:t>
      </w:r>
      <w:r>
        <w:rPr>
          <w:color w:val="231F1F"/>
          <w:w w:val="115"/>
        </w:rPr>
        <w:t>under Ibrutinib, p. 809)</w:t>
      </w:r>
    </w:p>
    <w:p>
      <w:pPr>
        <w:pStyle w:val="BodyText"/>
        <w:spacing w:before="2"/>
        <w:ind w:right="870" w:hanging="100"/>
      </w:pPr>
      <w:r>
        <w:rPr>
          <w:rFonts w:ascii="Arial" w:hAnsi="Arial"/>
          <w:color w:val="231F1F"/>
          <w:w w:val="355"/>
          <w:position w:val="1"/>
          <w:sz w:val="7"/>
        </w:rPr>
        <w:t>l </w:t>
      </w:r>
      <w:r>
        <w:rPr>
          <w:rFonts w:ascii="Calibri" w:hAnsi="Calibri"/>
          <w:color w:val="231F1F"/>
          <w:w w:val="105"/>
        </w:rPr>
        <w:t>Domperidone: </w:t>
      </w:r>
      <w:r>
        <w:rPr>
          <w:color w:val="231F1F"/>
          <w:w w:val="105"/>
        </w:rPr>
        <w:t>possible increased risk of ventricular arrhythmias when cobicistat given with </w:t>
      </w:r>
      <w:r>
        <w:rPr>
          <w:rFonts w:ascii="Arial" w:hAnsi="Arial"/>
          <w:color w:val="231F1F"/>
          <w:w w:val="355"/>
          <w:position w:val="1"/>
          <w:sz w:val="7"/>
        </w:rPr>
        <w:t>l </w:t>
      </w:r>
      <w:r>
        <w:rPr>
          <w:rFonts w:ascii="Calibri" w:hAnsi="Calibri"/>
          <w:color w:val="008356"/>
          <w:w w:val="105"/>
          <w:sz w:val="11"/>
        </w:rPr>
        <w:t>DOMPERIDONE</w:t>
      </w:r>
      <w:r>
        <w:rPr>
          <w:rFonts w:ascii="Arial" w:hAnsi="Arial"/>
          <w:color w:val="231F1F"/>
          <w:w w:val="105"/>
        </w:rPr>
        <w:t>— </w:t>
      </w:r>
      <w:r>
        <w:rPr>
          <w:color w:val="231F1F"/>
          <w:w w:val="105"/>
        </w:rPr>
        <w:t>avoid concomitant use</w:t>
      </w:r>
    </w:p>
    <w:p>
      <w:pPr>
        <w:pStyle w:val="BodyText"/>
        <w:spacing w:line="242" w:lineRule="auto" w:before="1"/>
        <w:ind w:right="1019" w:hanging="100"/>
      </w:pPr>
      <w:r>
        <w:rPr>
          <w:rFonts w:ascii="Arial" w:hAnsi="Arial"/>
          <w:color w:val="231F1F"/>
          <w:w w:val="355"/>
          <w:position w:val="1"/>
          <w:sz w:val="7"/>
        </w:rPr>
        <w:t>l </w:t>
      </w:r>
      <w:r>
        <w:rPr>
          <w:rFonts w:ascii="Calibri" w:hAnsi="Calibri"/>
          <w:color w:val="231F1F"/>
          <w:w w:val="115"/>
        </w:rPr>
        <w:t>Ergot Alkaloids: </w:t>
      </w:r>
      <w:r>
        <w:rPr>
          <w:color w:val="231F1F"/>
          <w:w w:val="115"/>
        </w:rPr>
        <w:t>cobicistat possibly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ERGOT </w:t>
      </w:r>
      <w:r>
        <w:rPr>
          <w:rFonts w:ascii="Calibri" w:hAnsi="Calibri"/>
          <w:color w:val="008356"/>
          <w:w w:val="115"/>
          <w:sz w:val="11"/>
        </w:rPr>
        <w:t>ALKALOIDS</w:t>
      </w:r>
      <w:r>
        <w:rPr>
          <w:rFonts w:ascii="Arial" w:hAnsi="Arial"/>
          <w:color w:val="231F1F"/>
          <w:w w:val="115"/>
        </w:rPr>
        <w:t>—</w:t>
      </w:r>
      <w:r>
        <w:rPr>
          <w:color w:val="231F1F"/>
          <w:w w:val="115"/>
        </w:rPr>
        <w:t>manufacturer </w:t>
      </w:r>
      <w:r>
        <w:rPr>
          <w:color w:val="231F1F"/>
          <w:spacing w:val="-6"/>
          <w:w w:val="115"/>
        </w:rPr>
        <w:t>of </w:t>
      </w:r>
      <w:r>
        <w:rPr>
          <w:color w:val="231F1F"/>
          <w:w w:val="115"/>
        </w:rPr>
        <w:t>cobicistat advises avoid concomitant use</w:t>
      </w:r>
    </w:p>
    <w:p>
      <w:pPr>
        <w:pStyle w:val="BodyText"/>
        <w:spacing w:line="244" w:lineRule="auto"/>
        <w:ind w:right="766" w:hanging="100"/>
        <w:rPr>
          <w:rFonts w:ascii="Calibri" w:hAnsi="Calibri"/>
          <w:sz w:val="11"/>
        </w:rPr>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Lipid-regulating</w:t>
      </w:r>
      <w:r>
        <w:rPr>
          <w:rFonts w:ascii="Calibri" w:hAnsi="Calibri"/>
          <w:color w:val="231F1F"/>
          <w:spacing w:val="-14"/>
          <w:w w:val="115"/>
        </w:rPr>
        <w:t> </w:t>
      </w:r>
      <w:r>
        <w:rPr>
          <w:rFonts w:ascii="Calibri" w:hAnsi="Calibri"/>
          <w:color w:val="231F1F"/>
          <w:w w:val="115"/>
        </w:rPr>
        <w:t>Drugs:</w:t>
      </w:r>
      <w:r>
        <w:rPr>
          <w:rFonts w:ascii="Calibri" w:hAnsi="Calibri"/>
          <w:color w:val="231F1F"/>
          <w:spacing w:val="-14"/>
          <w:w w:val="115"/>
        </w:rPr>
        <w:t> </w:t>
      </w:r>
      <w:r>
        <w:rPr>
          <w:color w:val="231F1F"/>
          <w:w w:val="115"/>
        </w:rPr>
        <w:t>cobicistat</w:t>
      </w:r>
      <w:r>
        <w:rPr>
          <w:color w:val="231F1F"/>
          <w:spacing w:val="-18"/>
          <w:w w:val="115"/>
        </w:rPr>
        <w:t> </w:t>
      </w:r>
      <w:r>
        <w:rPr>
          <w:color w:val="231F1F"/>
          <w:w w:val="115"/>
        </w:rPr>
        <w:t>possibly</w:t>
      </w:r>
      <w:r>
        <w:rPr>
          <w:color w:val="231F1F"/>
          <w:spacing w:val="-18"/>
          <w:w w:val="115"/>
        </w:rPr>
        <w:t> </w:t>
      </w:r>
      <w:r>
        <w:rPr>
          <w:color w:val="231F1F"/>
          <w:w w:val="115"/>
        </w:rPr>
        <w:t>increases</w:t>
      </w:r>
      <w:r>
        <w:rPr>
          <w:color w:val="231F1F"/>
          <w:spacing w:val="-18"/>
          <w:w w:val="115"/>
        </w:rPr>
        <w:t> </w:t>
      </w:r>
      <w:r>
        <w:rPr>
          <w:color w:val="231F1F"/>
          <w:w w:val="115"/>
        </w:rPr>
        <w:t>plasma concentration</w:t>
      </w:r>
      <w:r>
        <w:rPr>
          <w:color w:val="231F1F"/>
          <w:spacing w:val="-24"/>
          <w:w w:val="115"/>
        </w:rPr>
        <w:t> </w:t>
      </w:r>
      <w:r>
        <w:rPr>
          <w:color w:val="231F1F"/>
          <w:w w:val="115"/>
        </w:rPr>
        <w:t>of</w:t>
      </w:r>
      <w:r>
        <w:rPr>
          <w:color w:val="231F1F"/>
          <w:spacing w:val="-22"/>
          <w:w w:val="115"/>
        </w:rPr>
        <w:t> </w:t>
      </w:r>
      <w:r>
        <w:rPr>
          <w:rFonts w:ascii="Calibri" w:hAnsi="Calibri"/>
          <w:color w:val="008356"/>
          <w:w w:val="115"/>
          <w:sz w:val="11"/>
        </w:rPr>
        <w:t>ATORVASTATIN</w:t>
      </w:r>
      <w:r>
        <w:rPr>
          <w:rFonts w:ascii="Arial" w:hAnsi="Arial"/>
          <w:color w:val="231F1F"/>
          <w:w w:val="115"/>
        </w:rPr>
        <w:t>—</w:t>
      </w:r>
      <w:r>
        <w:rPr>
          <w:color w:val="231F1F"/>
          <w:w w:val="115"/>
        </w:rPr>
        <w:t>manufacturer</w:t>
      </w:r>
      <w:r>
        <w:rPr>
          <w:color w:val="231F1F"/>
          <w:spacing w:val="-22"/>
          <w:w w:val="115"/>
        </w:rPr>
        <w:t> </w:t>
      </w:r>
      <w:r>
        <w:rPr>
          <w:color w:val="231F1F"/>
          <w:w w:val="115"/>
        </w:rPr>
        <w:t>of</w:t>
      </w:r>
      <w:r>
        <w:rPr>
          <w:color w:val="231F1F"/>
          <w:spacing w:val="-22"/>
          <w:w w:val="115"/>
        </w:rPr>
        <w:t> </w:t>
      </w:r>
      <w:r>
        <w:rPr>
          <w:color w:val="231F1F"/>
          <w:w w:val="115"/>
        </w:rPr>
        <w:t>cobicistat advises reduce dose of atorvastatin; manufacturer of cobicistat</w:t>
      </w:r>
      <w:r>
        <w:rPr>
          <w:color w:val="231F1F"/>
          <w:spacing w:val="-18"/>
          <w:w w:val="115"/>
        </w:rPr>
        <w:t> </w:t>
      </w:r>
      <w:r>
        <w:rPr>
          <w:color w:val="231F1F"/>
          <w:w w:val="115"/>
        </w:rPr>
        <w:t>advises</w:t>
      </w:r>
      <w:r>
        <w:rPr>
          <w:color w:val="231F1F"/>
          <w:spacing w:val="-17"/>
          <w:w w:val="115"/>
        </w:rPr>
        <w:t> </w:t>
      </w:r>
      <w:r>
        <w:rPr>
          <w:color w:val="231F1F"/>
          <w:w w:val="115"/>
        </w:rPr>
        <w:t>avoid</w:t>
      </w:r>
      <w:r>
        <w:rPr>
          <w:color w:val="231F1F"/>
          <w:spacing w:val="-17"/>
          <w:w w:val="115"/>
        </w:rPr>
        <w:t> </w:t>
      </w:r>
      <w:r>
        <w:rPr>
          <w:color w:val="231F1F"/>
          <w:w w:val="115"/>
        </w:rPr>
        <w:t>concomitant</w:t>
      </w:r>
      <w:r>
        <w:rPr>
          <w:color w:val="231F1F"/>
          <w:spacing w:val="-18"/>
          <w:w w:val="115"/>
        </w:rPr>
        <w:t> </w:t>
      </w:r>
      <w:r>
        <w:rPr>
          <w:color w:val="231F1F"/>
          <w:w w:val="115"/>
        </w:rPr>
        <w:t>use</w:t>
      </w:r>
      <w:r>
        <w:rPr>
          <w:color w:val="231F1F"/>
          <w:spacing w:val="-17"/>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5"/>
          <w:sz w:val="11"/>
        </w:rPr>
        <w:t>SIMVASTATIN</w:t>
      </w:r>
    </w:p>
    <w:p>
      <w:pPr>
        <w:spacing w:line="139" w:lineRule="exact" w:before="0"/>
        <w:ind w:left="108" w:right="0" w:firstLine="0"/>
        <w:jc w:val="left"/>
        <w:rPr>
          <w:rFonts w:ascii="Calibri"/>
          <w:sz w:val="11"/>
        </w:rPr>
      </w:pPr>
      <w:r>
        <w:rPr>
          <w:rFonts w:ascii="Arial"/>
          <w:color w:val="231F1F"/>
          <w:w w:val="355"/>
          <w:position w:val="1"/>
          <w:sz w:val="7"/>
        </w:rPr>
        <w:t>l </w:t>
      </w:r>
      <w:r>
        <w:rPr>
          <w:rFonts w:ascii="Calibri"/>
          <w:color w:val="231F1F"/>
          <w:w w:val="110"/>
          <w:sz w:val="12"/>
        </w:rPr>
        <w:t>Oestrogens: </w:t>
      </w:r>
      <w:r>
        <w:rPr>
          <w:color w:val="231F1F"/>
          <w:w w:val="110"/>
          <w:sz w:val="12"/>
        </w:rPr>
        <w:t>cobicistat accelerates metabolism of </w:t>
      </w:r>
      <w:r>
        <w:rPr>
          <w:rFonts w:ascii="Arial"/>
          <w:color w:val="231F1F"/>
          <w:w w:val="355"/>
          <w:position w:val="1"/>
          <w:sz w:val="7"/>
        </w:rPr>
        <w:t>l </w:t>
      </w:r>
      <w:r>
        <w:rPr>
          <w:rFonts w:ascii="Calibri"/>
          <w:color w:val="008356"/>
          <w:w w:val="110"/>
          <w:sz w:val="11"/>
        </w:rPr>
        <w:t>OESTROGENS</w:t>
      </w:r>
    </w:p>
    <w:p>
      <w:pPr>
        <w:pStyle w:val="BodyText"/>
        <w:spacing w:line="249" w:lineRule="auto"/>
        <w:ind w:right="614"/>
      </w:pPr>
      <w:r>
        <w:rPr>
          <w:color w:val="231F1F"/>
          <w:w w:val="115"/>
        </w:rPr>
        <w:t>(reduced contraceptive effect with combined oral contraceptives, contraceptive patches, and vaginal rings</w:t>
      </w:r>
      <w:r>
        <w:rPr>
          <w:rFonts w:ascii="Arial" w:hAnsi="Arial"/>
          <w:color w:val="231F1F"/>
          <w:w w:val="115"/>
        </w:rPr>
        <w:t>—</w:t>
      </w:r>
      <w:r>
        <w:rPr>
          <w:color w:val="231F1F"/>
          <w:w w:val="115"/>
        </w:rPr>
        <w:t>see Contraceptive Interactions in BNF)</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Progestogens: </w:t>
      </w:r>
      <w:r>
        <w:rPr>
          <w:color w:val="231F1F"/>
          <w:w w:val="105"/>
        </w:rPr>
        <w:t>cobicistat increases plasma concentration of</w:t>
      </w:r>
    </w:p>
    <w:p>
      <w:pPr>
        <w:spacing w:line="130" w:lineRule="exact" w:before="0"/>
        <w:ind w:left="208" w:right="0" w:firstLine="0"/>
        <w:jc w:val="left"/>
        <w:rPr>
          <w:rFonts w:ascii="Calibri"/>
          <w:sz w:val="11"/>
        </w:rPr>
      </w:pPr>
      <w:r>
        <w:rPr>
          <w:rFonts w:ascii="Calibri"/>
          <w:color w:val="008356"/>
          <w:sz w:val="11"/>
        </w:rPr>
        <w:t>NORGESTIMATE</w:t>
      </w:r>
    </w:p>
    <w:p>
      <w:pPr>
        <w:pStyle w:val="BodyText"/>
        <w:ind w:right="660" w:hanging="100"/>
      </w:pPr>
      <w:r>
        <w:rPr>
          <w:rFonts w:ascii="Arial" w:hAnsi="Arial"/>
          <w:color w:val="231F1F"/>
          <w:w w:val="115"/>
          <w:position w:val="1"/>
          <w:sz w:val="7"/>
        </w:rPr>
        <w:t>l </w:t>
      </w:r>
      <w:r>
        <w:rPr>
          <w:rFonts w:ascii="Calibri" w:hAnsi="Calibri"/>
          <w:color w:val="231F1F"/>
          <w:w w:val="115"/>
        </w:rPr>
        <w:t>Sildenafil: </w:t>
      </w:r>
      <w:r>
        <w:rPr>
          <w:color w:val="231F1F"/>
          <w:w w:val="115"/>
        </w:rPr>
        <w:t>cobicistat possibly increases plasma </w:t>
      </w:r>
      <w:r>
        <w:rPr>
          <w:color w:val="231F1F"/>
          <w:spacing w:val="-2"/>
          <w:w w:val="115"/>
        </w:rPr>
        <w:t>concentration </w:t>
      </w:r>
      <w:r>
        <w:rPr>
          <w:color w:val="231F1F"/>
          <w:w w:val="120"/>
        </w:rPr>
        <w:t>of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20"/>
          <w:sz w:val="11"/>
        </w:rPr>
        <w:t>SILDENAFIL</w:t>
      </w:r>
      <w:r>
        <w:rPr>
          <w:rFonts w:ascii="Arial" w:hAnsi="Arial"/>
          <w:color w:val="231F1F"/>
          <w:spacing w:val="2"/>
          <w:w w:val="120"/>
        </w:rPr>
        <w:t>—</w:t>
      </w:r>
      <w:r>
        <w:rPr>
          <w:color w:val="231F1F"/>
          <w:spacing w:val="2"/>
          <w:w w:val="120"/>
        </w:rPr>
        <w:t>manufacturer </w:t>
      </w:r>
      <w:r>
        <w:rPr>
          <w:color w:val="231F1F"/>
          <w:w w:val="120"/>
        </w:rPr>
        <w:t>of cobicistat advises avoid concomitant use of sildenafil for pulmonary arterial</w:t>
      </w:r>
    </w:p>
    <w:p>
      <w:pPr>
        <w:spacing w:after="0"/>
        <w:sectPr>
          <w:pgSz w:w="8390" w:h="11910"/>
          <w:pgMar w:header="0" w:footer="0" w:top="460" w:bottom="0" w:left="480" w:right="0"/>
          <w:cols w:num="2" w:equalWidth="0">
            <w:col w:w="3606" w:space="70"/>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088" filled="true" fillcolor="#bfdbcf" stroked="false">
            <v:fill type="solid"/>
            <w10:wrap type="none"/>
          </v:rect>
        </w:pict>
      </w:r>
      <w:r>
        <w:rPr/>
        <w:pict>
          <v:shape style="position:absolute;margin-left:7.751256pt;margin-top:35.804367pt;width:10.4pt;height:78.850pt;mso-position-horizontal-relative:page;mso-position-vertical-relative:page;z-index:311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Cobicistat</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Sildenafil (continued)</w:t>
      </w:r>
    </w:p>
    <w:p>
      <w:pPr>
        <w:pStyle w:val="BodyText"/>
        <w:spacing w:line="249" w:lineRule="auto"/>
        <w:ind w:left="286"/>
      </w:pPr>
      <w:r>
        <w:rPr>
          <w:color w:val="231F1F"/>
          <w:w w:val="115"/>
        </w:rPr>
        <w:t>hypertension or reduce dose of sildenafil for erectile dysfunction</w:t>
      </w:r>
      <w:r>
        <w:rPr>
          <w:rFonts w:ascii="Arial" w:hAnsi="Arial"/>
          <w:color w:val="231F1F"/>
          <w:w w:val="115"/>
        </w:rPr>
        <w:t>—</w:t>
      </w:r>
      <w:r>
        <w:rPr>
          <w:color w:val="231F1F"/>
          <w:w w:val="115"/>
        </w:rPr>
        <w:t>consult cobicistat product literature</w:t>
      </w:r>
    </w:p>
    <w:p>
      <w:pPr>
        <w:pStyle w:val="BodyText"/>
        <w:spacing w:line="220" w:lineRule="auto" w:before="4"/>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manufacturer of cobicistat advises avoid concomitant use with </w:t>
      </w:r>
      <w:r>
        <w:rPr>
          <w:rFonts w:ascii="Calibri" w:hAnsi="Calibri"/>
          <w:color w:val="008356"/>
          <w:w w:val="105"/>
          <w:sz w:val="11"/>
          <w:vertAlign w:val="baseline"/>
        </w:rPr>
        <w:t>SALMETEROL</w:t>
      </w:r>
    </w:p>
    <w:p>
      <w:pPr>
        <w:pStyle w:val="BodyText"/>
        <w:ind w:left="286" w:right="89" w:hanging="100"/>
      </w:pPr>
      <w:r>
        <w:rPr>
          <w:rFonts w:ascii="Arial" w:hAnsi="Arial"/>
          <w:color w:val="231F1F"/>
          <w:w w:val="115"/>
          <w:position w:val="1"/>
          <w:sz w:val="7"/>
        </w:rPr>
        <w:t>l </w:t>
      </w:r>
      <w:r>
        <w:rPr>
          <w:rFonts w:ascii="Calibri" w:hAnsi="Calibri"/>
          <w:color w:val="231F1F"/>
          <w:w w:val="115"/>
        </w:rPr>
        <w:t>Tadalafil: </w:t>
      </w:r>
      <w:r>
        <w:rPr>
          <w:color w:val="231F1F"/>
          <w:w w:val="115"/>
        </w:rPr>
        <w:t>cobicistat possibly increases plasma </w:t>
      </w:r>
      <w:r>
        <w:rPr>
          <w:color w:val="231F1F"/>
          <w:spacing w:val="-2"/>
          <w:w w:val="115"/>
        </w:rPr>
        <w:t>concentration </w:t>
      </w:r>
      <w:r>
        <w:rPr>
          <w:color w:val="231F1F"/>
          <w:w w:val="120"/>
        </w:rPr>
        <w:t>of</w:t>
      </w:r>
      <w:r>
        <w:rPr>
          <w:color w:val="231F1F"/>
          <w:spacing w:val="-26"/>
          <w:w w:val="120"/>
        </w:rPr>
        <w:t> </w:t>
      </w:r>
      <w:r>
        <w:rPr>
          <w:rFonts w:ascii="Arial" w:hAnsi="Arial"/>
          <w:color w:val="231F1F"/>
          <w:w w:val="310"/>
          <w:position w:val="1"/>
          <w:sz w:val="7"/>
        </w:rPr>
        <w:t>l</w:t>
      </w:r>
      <w:r>
        <w:rPr>
          <w:rFonts w:ascii="Arial" w:hAnsi="Arial"/>
          <w:color w:val="231F1F"/>
          <w:spacing w:val="-51"/>
          <w:w w:val="310"/>
          <w:position w:val="1"/>
          <w:sz w:val="7"/>
        </w:rPr>
        <w:t> </w:t>
      </w:r>
      <w:r>
        <w:rPr>
          <w:rFonts w:ascii="Calibri" w:hAnsi="Calibri"/>
          <w:color w:val="008356"/>
          <w:w w:val="120"/>
          <w:sz w:val="11"/>
        </w:rPr>
        <w:t>TADALAFIL</w:t>
      </w:r>
      <w:r>
        <w:rPr>
          <w:rFonts w:ascii="Arial" w:hAnsi="Arial"/>
          <w:color w:val="231F1F"/>
          <w:w w:val="120"/>
        </w:rPr>
        <w:t>—</w:t>
      </w:r>
      <w:r>
        <w:rPr>
          <w:color w:val="231F1F"/>
          <w:w w:val="120"/>
        </w:rPr>
        <w:t>manufacturer</w:t>
      </w:r>
      <w:r>
        <w:rPr>
          <w:color w:val="231F1F"/>
          <w:spacing w:val="-25"/>
          <w:w w:val="120"/>
        </w:rPr>
        <w:t> </w:t>
      </w:r>
      <w:r>
        <w:rPr>
          <w:color w:val="231F1F"/>
          <w:w w:val="120"/>
        </w:rPr>
        <w:t>of</w:t>
      </w:r>
      <w:r>
        <w:rPr>
          <w:color w:val="231F1F"/>
          <w:spacing w:val="-26"/>
          <w:w w:val="120"/>
        </w:rPr>
        <w:t> </w:t>
      </w:r>
      <w:r>
        <w:rPr>
          <w:color w:val="231F1F"/>
          <w:w w:val="120"/>
        </w:rPr>
        <w:t>cobicistat</w:t>
      </w:r>
      <w:r>
        <w:rPr>
          <w:color w:val="231F1F"/>
          <w:spacing w:val="-25"/>
          <w:w w:val="120"/>
        </w:rPr>
        <w:t> </w:t>
      </w:r>
      <w:r>
        <w:rPr>
          <w:color w:val="231F1F"/>
          <w:w w:val="120"/>
        </w:rPr>
        <w:t>advises</w:t>
      </w:r>
      <w:r>
        <w:rPr>
          <w:color w:val="231F1F"/>
          <w:spacing w:val="-26"/>
          <w:w w:val="120"/>
        </w:rPr>
        <w:t> </w:t>
      </w:r>
      <w:r>
        <w:rPr>
          <w:color w:val="231F1F"/>
          <w:w w:val="120"/>
        </w:rPr>
        <w:t>reduce dose</w:t>
      </w:r>
      <w:r>
        <w:rPr>
          <w:color w:val="231F1F"/>
          <w:spacing w:val="-14"/>
          <w:w w:val="120"/>
        </w:rPr>
        <w:t> </w:t>
      </w:r>
      <w:r>
        <w:rPr>
          <w:color w:val="231F1F"/>
          <w:w w:val="120"/>
        </w:rPr>
        <w:t>of</w:t>
      </w:r>
      <w:r>
        <w:rPr>
          <w:color w:val="231F1F"/>
          <w:spacing w:val="-12"/>
          <w:w w:val="120"/>
        </w:rPr>
        <w:t> </w:t>
      </w:r>
      <w:r>
        <w:rPr>
          <w:color w:val="231F1F"/>
          <w:w w:val="120"/>
        </w:rPr>
        <w:t>tadalafil</w:t>
      </w:r>
      <w:r>
        <w:rPr>
          <w:color w:val="231F1F"/>
          <w:spacing w:val="-13"/>
          <w:w w:val="120"/>
        </w:rPr>
        <w:t> </w:t>
      </w:r>
      <w:r>
        <w:rPr>
          <w:color w:val="231F1F"/>
          <w:w w:val="120"/>
        </w:rPr>
        <w:t>(consult</w:t>
      </w:r>
      <w:r>
        <w:rPr>
          <w:color w:val="231F1F"/>
          <w:spacing w:val="-14"/>
          <w:w w:val="120"/>
        </w:rPr>
        <w:t> </w:t>
      </w:r>
      <w:r>
        <w:rPr>
          <w:color w:val="231F1F"/>
          <w:w w:val="120"/>
        </w:rPr>
        <w:t>cobicistat</w:t>
      </w:r>
      <w:r>
        <w:rPr>
          <w:color w:val="231F1F"/>
          <w:spacing w:val="-13"/>
          <w:w w:val="120"/>
        </w:rPr>
        <w:t> </w:t>
      </w:r>
      <w:r>
        <w:rPr>
          <w:color w:val="231F1F"/>
          <w:w w:val="120"/>
        </w:rPr>
        <w:t>product</w:t>
      </w:r>
      <w:r>
        <w:rPr>
          <w:color w:val="231F1F"/>
          <w:spacing w:val="-13"/>
          <w:w w:val="120"/>
        </w:rPr>
        <w:t> </w:t>
      </w:r>
      <w:r>
        <w:rPr>
          <w:color w:val="231F1F"/>
          <w:w w:val="120"/>
        </w:rPr>
        <w:t>literature)</w:t>
      </w:r>
    </w:p>
    <w:p>
      <w:pPr>
        <w:pStyle w:val="BodyText"/>
        <w:spacing w:before="1"/>
        <w:ind w:left="286" w:right="14" w:hanging="100"/>
      </w:pP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231F1F"/>
          <w:w w:val="115"/>
        </w:rPr>
        <w:t>Vardenafil:</w:t>
      </w:r>
      <w:r>
        <w:rPr>
          <w:rFonts w:ascii="Calibri" w:hAnsi="Calibri"/>
          <w:color w:val="231F1F"/>
          <w:spacing w:val="-6"/>
          <w:w w:val="115"/>
        </w:rPr>
        <w:t> </w:t>
      </w:r>
      <w:r>
        <w:rPr>
          <w:color w:val="231F1F"/>
          <w:w w:val="115"/>
        </w:rPr>
        <w:t>cobicistat</w:t>
      </w:r>
      <w:r>
        <w:rPr>
          <w:color w:val="231F1F"/>
          <w:spacing w:val="-8"/>
          <w:w w:val="115"/>
        </w:rPr>
        <w:t> </w:t>
      </w:r>
      <w:r>
        <w:rPr>
          <w:color w:val="231F1F"/>
          <w:w w:val="115"/>
        </w:rPr>
        <w:t>possibly</w:t>
      </w:r>
      <w:r>
        <w:rPr>
          <w:color w:val="231F1F"/>
          <w:spacing w:val="-8"/>
          <w:w w:val="115"/>
        </w:rPr>
        <w:t> </w:t>
      </w:r>
      <w:r>
        <w:rPr>
          <w:color w:val="231F1F"/>
          <w:w w:val="115"/>
        </w:rPr>
        <w:t>increases</w:t>
      </w:r>
      <w:r>
        <w:rPr>
          <w:color w:val="231F1F"/>
          <w:spacing w:val="-8"/>
          <w:w w:val="115"/>
        </w:rPr>
        <w:t> </w:t>
      </w:r>
      <w:r>
        <w:rPr>
          <w:color w:val="231F1F"/>
          <w:w w:val="115"/>
        </w:rPr>
        <w:t>plasma</w:t>
      </w:r>
      <w:r>
        <w:rPr>
          <w:color w:val="231F1F"/>
          <w:spacing w:val="-8"/>
          <w:w w:val="115"/>
        </w:rPr>
        <w:t> </w:t>
      </w:r>
      <w:r>
        <w:rPr>
          <w:color w:val="231F1F"/>
          <w:spacing w:val="-2"/>
          <w:w w:val="115"/>
        </w:rPr>
        <w:t>concentration </w:t>
      </w:r>
      <w:r>
        <w:rPr>
          <w:color w:val="231F1F"/>
          <w:w w:val="120"/>
        </w:rPr>
        <w:t>of</w:t>
      </w:r>
      <w:r>
        <w:rPr>
          <w:color w:val="231F1F"/>
          <w:spacing w:val="-26"/>
          <w:w w:val="120"/>
        </w:rPr>
        <w:t> </w:t>
      </w:r>
      <w:r>
        <w:rPr>
          <w:rFonts w:ascii="Arial" w:hAnsi="Arial"/>
          <w:color w:val="231F1F"/>
          <w:w w:val="225"/>
          <w:position w:val="1"/>
          <w:sz w:val="7"/>
        </w:rPr>
        <w:t>l</w:t>
      </w:r>
      <w:r>
        <w:rPr>
          <w:rFonts w:ascii="Arial" w:hAnsi="Arial"/>
          <w:color w:val="231F1F"/>
          <w:spacing w:val="-34"/>
          <w:w w:val="225"/>
          <w:position w:val="1"/>
          <w:sz w:val="7"/>
        </w:rPr>
        <w:t> </w:t>
      </w:r>
      <w:r>
        <w:rPr>
          <w:rFonts w:ascii="Calibri" w:hAnsi="Calibri"/>
          <w:color w:val="008356"/>
          <w:w w:val="120"/>
          <w:sz w:val="11"/>
        </w:rPr>
        <w:t>VARDENAFIL</w:t>
      </w:r>
      <w:r>
        <w:rPr>
          <w:rFonts w:ascii="Arial" w:hAnsi="Arial"/>
          <w:color w:val="231F1F"/>
          <w:w w:val="120"/>
        </w:rPr>
        <w:t>—</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cobicistat</w:t>
      </w:r>
      <w:r>
        <w:rPr>
          <w:color w:val="231F1F"/>
          <w:spacing w:val="-26"/>
          <w:w w:val="120"/>
        </w:rPr>
        <w:t> </w:t>
      </w:r>
      <w:r>
        <w:rPr>
          <w:color w:val="231F1F"/>
          <w:w w:val="120"/>
        </w:rPr>
        <w:t>advises</w:t>
      </w:r>
      <w:r>
        <w:rPr>
          <w:color w:val="231F1F"/>
          <w:spacing w:val="-26"/>
          <w:w w:val="120"/>
        </w:rPr>
        <w:t> </w:t>
      </w:r>
      <w:r>
        <w:rPr>
          <w:color w:val="231F1F"/>
          <w:w w:val="120"/>
        </w:rPr>
        <w:t>reduce dose</w:t>
      </w:r>
      <w:r>
        <w:rPr>
          <w:color w:val="231F1F"/>
          <w:spacing w:val="-15"/>
          <w:w w:val="120"/>
        </w:rPr>
        <w:t> </w:t>
      </w:r>
      <w:r>
        <w:rPr>
          <w:color w:val="231F1F"/>
          <w:w w:val="120"/>
        </w:rPr>
        <w:t>of</w:t>
      </w:r>
      <w:r>
        <w:rPr>
          <w:color w:val="231F1F"/>
          <w:spacing w:val="-13"/>
          <w:w w:val="120"/>
        </w:rPr>
        <w:t> </w:t>
      </w:r>
      <w:r>
        <w:rPr>
          <w:color w:val="231F1F"/>
          <w:w w:val="120"/>
        </w:rPr>
        <w:t>vardenafil</w:t>
      </w:r>
      <w:r>
        <w:rPr>
          <w:color w:val="231F1F"/>
          <w:spacing w:val="-15"/>
          <w:w w:val="120"/>
        </w:rPr>
        <w:t> </w:t>
      </w:r>
      <w:r>
        <w:rPr>
          <w:color w:val="231F1F"/>
          <w:w w:val="120"/>
        </w:rPr>
        <w:t>(consult</w:t>
      </w:r>
      <w:r>
        <w:rPr>
          <w:color w:val="231F1F"/>
          <w:spacing w:val="-14"/>
          <w:w w:val="120"/>
        </w:rPr>
        <w:t> </w:t>
      </w:r>
      <w:r>
        <w:rPr>
          <w:color w:val="231F1F"/>
          <w:w w:val="120"/>
        </w:rPr>
        <w:t>cobicistat</w:t>
      </w:r>
      <w:r>
        <w:rPr>
          <w:color w:val="231F1F"/>
          <w:spacing w:val="-14"/>
          <w:w w:val="120"/>
        </w:rPr>
        <w:t> </w:t>
      </w:r>
      <w:r>
        <w:rPr>
          <w:color w:val="231F1F"/>
          <w:w w:val="120"/>
        </w:rPr>
        <w:t>product</w:t>
      </w:r>
      <w:r>
        <w:rPr>
          <w:color w:val="231F1F"/>
          <w:spacing w:val="-14"/>
          <w:w w:val="120"/>
        </w:rPr>
        <w:t> </w:t>
      </w:r>
      <w:r>
        <w:rPr>
          <w:color w:val="231F1F"/>
          <w:w w:val="120"/>
        </w:rPr>
        <w:t>literature)</w:t>
      </w:r>
    </w:p>
    <w:p>
      <w:pPr>
        <w:pStyle w:val="BodyText"/>
        <w:spacing w:line="139" w:lineRule="exact" w:before="12"/>
        <w:ind w:left="186"/>
        <w:rPr>
          <w:rFonts w:ascii="Trebuchet MS"/>
        </w:rPr>
      </w:pPr>
      <w:r>
        <w:rPr>
          <w:rFonts w:ascii="Trebuchet MS"/>
          <w:color w:val="008356"/>
        </w:rPr>
        <w:t>Co-careldopa</w:t>
      </w:r>
    </w:p>
    <w:p>
      <w:pPr>
        <w:pStyle w:val="BodyText"/>
        <w:spacing w:line="220" w:lineRule="auto" w:before="8"/>
        <w:ind w:left="286" w:right="242"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co- careldopa given with </w:t>
      </w:r>
      <w:r>
        <w:rPr>
          <w:rFonts w:ascii="Calibri" w:hAnsi="Calibri"/>
          <w:color w:val="008356"/>
          <w:w w:val="105"/>
          <w:sz w:val="11"/>
        </w:rPr>
        <w:t>ACE INHIBITORS</w:t>
      </w:r>
    </w:p>
    <w:p>
      <w:pPr>
        <w:spacing w:line="220" w:lineRule="auto" w:before="10"/>
        <w:ind w:left="286" w:right="1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co-careldopa given with </w:t>
      </w:r>
      <w:r>
        <w:rPr>
          <w:rFonts w:ascii="Calibri" w:hAnsi="Calibri"/>
          <w:color w:val="008356"/>
          <w:spacing w:val="4"/>
          <w:w w:val="105"/>
          <w:sz w:val="11"/>
        </w:rPr>
        <w:t>ADRENERGIC NEURONE</w:t>
      </w:r>
      <w:r>
        <w:rPr>
          <w:rFonts w:ascii="Calibri" w:hAnsi="Calibri"/>
          <w:color w:val="008356"/>
          <w:spacing w:val="32"/>
          <w:w w:val="105"/>
          <w:sz w:val="11"/>
        </w:rPr>
        <w:t> </w:t>
      </w:r>
      <w:r>
        <w:rPr>
          <w:rFonts w:ascii="Calibri" w:hAnsi="Calibri"/>
          <w:color w:val="008356"/>
          <w:spacing w:val="4"/>
          <w:w w:val="105"/>
          <w:sz w:val="11"/>
        </w:rPr>
        <w:t>BLOCKERS</w:t>
      </w:r>
    </w:p>
    <w:p>
      <w:pPr>
        <w:pStyle w:val="BodyText"/>
        <w:spacing w:line="220" w:lineRule="auto" w:before="8"/>
        <w:ind w:left="286" w:right="430"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co- careldopa given with </w:t>
      </w:r>
      <w:r>
        <w:rPr>
          <w:rFonts w:ascii="Calibri" w:hAnsi="Calibri"/>
          <w:color w:val="008356"/>
          <w:w w:val="110"/>
          <w:sz w:val="11"/>
        </w:rPr>
        <w:t>ALPHA-BLOCKERS</w:t>
      </w:r>
    </w:p>
    <w:p>
      <w:pPr>
        <w:spacing w:before="0"/>
        <w:ind w:left="286" w:right="2" w:hanging="100"/>
        <w:jc w:val="left"/>
        <w:rPr>
          <w:rFonts w:ascii="Calibri"/>
          <w:sz w:val="11"/>
        </w:rPr>
      </w:pPr>
      <w:r>
        <w:rPr>
          <w:rFonts w:ascii="Arial"/>
          <w:color w:val="231F1F"/>
          <w:w w:val="355"/>
          <w:position w:val="1"/>
          <w:sz w:val="7"/>
        </w:rPr>
        <w:t>l </w:t>
      </w:r>
      <w:r>
        <w:rPr>
          <w:rFonts w:ascii="Calibri"/>
          <w:color w:val="231F1F"/>
          <w:w w:val="110"/>
          <w:sz w:val="12"/>
        </w:rPr>
        <w:t>Anaesthetics, General: </w:t>
      </w:r>
      <w:r>
        <w:rPr>
          <w:color w:val="231F1F"/>
          <w:w w:val="110"/>
          <w:sz w:val="12"/>
        </w:rPr>
        <w:t>increased risk of arrhythmias when co- careldopa</w:t>
      </w:r>
      <w:r>
        <w:rPr>
          <w:color w:val="231F1F"/>
          <w:spacing w:val="-23"/>
          <w:w w:val="110"/>
          <w:sz w:val="12"/>
        </w:rPr>
        <w:t> </w:t>
      </w:r>
      <w:r>
        <w:rPr>
          <w:color w:val="231F1F"/>
          <w:w w:val="110"/>
          <w:sz w:val="12"/>
        </w:rPr>
        <w:t>given</w:t>
      </w:r>
      <w:r>
        <w:rPr>
          <w:color w:val="231F1F"/>
          <w:spacing w:val="-22"/>
          <w:w w:val="110"/>
          <w:sz w:val="12"/>
        </w:rPr>
        <w:t> </w:t>
      </w:r>
      <w:r>
        <w:rPr>
          <w:color w:val="231F1F"/>
          <w:w w:val="110"/>
          <w:sz w:val="12"/>
        </w:rPr>
        <w:t>with</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3"/>
          <w:w w:val="110"/>
          <w:sz w:val="11"/>
        </w:rPr>
        <w:t>VOLATILE</w:t>
      </w:r>
      <w:r>
        <w:rPr>
          <w:rFonts w:ascii="Calibri"/>
          <w:color w:val="008356"/>
          <w:spacing w:val="-16"/>
          <w:w w:val="110"/>
          <w:sz w:val="11"/>
        </w:rPr>
        <w:t> </w:t>
      </w:r>
      <w:r>
        <w:rPr>
          <w:rFonts w:ascii="Calibri"/>
          <w:color w:val="008356"/>
          <w:spacing w:val="4"/>
          <w:w w:val="110"/>
          <w:sz w:val="11"/>
        </w:rPr>
        <w:t>LIQUID</w:t>
      </w:r>
      <w:r>
        <w:rPr>
          <w:rFonts w:ascii="Calibri"/>
          <w:color w:val="008356"/>
          <w:spacing w:val="-16"/>
          <w:w w:val="110"/>
          <w:sz w:val="11"/>
        </w:rPr>
        <w:t> </w:t>
      </w:r>
      <w:r>
        <w:rPr>
          <w:rFonts w:ascii="Calibri"/>
          <w:color w:val="008356"/>
          <w:spacing w:val="4"/>
          <w:w w:val="110"/>
          <w:sz w:val="11"/>
        </w:rPr>
        <w:t>GENERAL</w:t>
      </w:r>
      <w:r>
        <w:rPr>
          <w:rFonts w:ascii="Calibri"/>
          <w:color w:val="008356"/>
          <w:spacing w:val="-15"/>
          <w:w w:val="110"/>
          <w:sz w:val="11"/>
        </w:rPr>
        <w:t> </w:t>
      </w:r>
      <w:r>
        <w:rPr>
          <w:rFonts w:ascii="Calibri"/>
          <w:color w:val="008356"/>
          <w:spacing w:val="5"/>
          <w:w w:val="110"/>
          <w:sz w:val="11"/>
        </w:rPr>
        <w:t>ANAESTHETICS</w:t>
      </w:r>
    </w:p>
    <w:p>
      <w:pPr>
        <w:spacing w:line="237" w:lineRule="auto" w:before="0"/>
        <w:ind w:left="286" w:right="3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co-careldopa given with </w:t>
      </w:r>
      <w:r>
        <w:rPr>
          <w:rFonts w:ascii="Calibri" w:hAnsi="Calibri"/>
          <w:color w:val="008356"/>
          <w:spacing w:val="4"/>
          <w:w w:val="105"/>
          <w:sz w:val="11"/>
        </w:rPr>
        <w:t>ANGIOTENSIN-II RECEPTOR ANTAGONISTS</w:t>
      </w:r>
    </w:p>
    <w:p>
      <w:pPr>
        <w:pStyle w:val="BodyText"/>
        <w:spacing w:line="152" w:lineRule="exact"/>
        <w:ind w:left="186"/>
      </w:pPr>
      <w:r>
        <w:rPr>
          <w:rFonts w:ascii="Lucida Sans Unicode" w:hAnsi="Lucida Sans Unicode"/>
          <w:color w:val="A7A8AC"/>
          <w:w w:val="95"/>
          <w:sz w:val="10"/>
        </w:rPr>
        <w:t>▶ </w:t>
      </w:r>
      <w:r>
        <w:rPr>
          <w:rFonts w:ascii="Calibri" w:hAnsi="Calibri"/>
          <w:color w:val="231F1F"/>
        </w:rPr>
        <w:t>Antibacterials: </w:t>
      </w:r>
      <w:r>
        <w:rPr>
          <w:color w:val="231F1F"/>
        </w:rPr>
        <w:t>effects of co-careldopa possibly reduced by</w:t>
      </w:r>
    </w:p>
    <w:p>
      <w:pPr>
        <w:spacing w:line="131" w:lineRule="exact" w:before="0"/>
        <w:ind w:left="286" w:right="0" w:firstLine="0"/>
        <w:jc w:val="left"/>
        <w:rPr>
          <w:rFonts w:ascii="Calibri"/>
          <w:sz w:val="11"/>
        </w:rPr>
      </w:pPr>
      <w:r>
        <w:rPr>
          <w:rFonts w:ascii="Calibri"/>
          <w:color w:val="008356"/>
          <w:sz w:val="11"/>
        </w:rPr>
        <w:t>ISONIAZID</w:t>
      </w:r>
    </w:p>
    <w:p>
      <w:pPr>
        <w:pStyle w:val="BodyText"/>
        <w:spacing w:line="242" w:lineRule="auto"/>
        <w:ind w:left="286" w:right="23" w:hanging="100"/>
        <w:rPr>
          <w:rFonts w:ascii="Calibri"/>
          <w:sz w:val="11"/>
        </w:rPr>
      </w:pPr>
      <w:r>
        <w:rPr>
          <w:rFonts w:ascii="Arial"/>
          <w:color w:val="231F1F"/>
          <w:w w:val="355"/>
          <w:position w:val="1"/>
          <w:sz w:val="7"/>
        </w:rPr>
        <w:t>l </w:t>
      </w:r>
      <w:r>
        <w:rPr>
          <w:rFonts w:ascii="Calibri"/>
          <w:color w:val="231F1F"/>
          <w:w w:val="105"/>
        </w:rPr>
        <w:t>Antidepressants: </w:t>
      </w:r>
      <w:r>
        <w:rPr>
          <w:color w:val="231F1F"/>
          <w:w w:val="105"/>
        </w:rPr>
        <w:t>risk of hypertensive crisis when co-careldopa given with </w:t>
      </w:r>
      <w:r>
        <w:rPr>
          <w:rFonts w:ascii="Arial"/>
          <w:color w:val="231F1F"/>
          <w:w w:val="355"/>
          <w:position w:val="1"/>
          <w:sz w:val="7"/>
        </w:rPr>
        <w:t>l </w:t>
      </w:r>
      <w:r>
        <w:rPr>
          <w:rFonts w:ascii="Calibri"/>
          <w:color w:val="008356"/>
          <w:spacing w:val="4"/>
          <w:w w:val="105"/>
          <w:sz w:val="11"/>
        </w:rPr>
        <w:t>MAOIS</w:t>
      </w:r>
      <w:r>
        <w:rPr>
          <w:color w:val="231F1F"/>
          <w:spacing w:val="4"/>
          <w:w w:val="105"/>
        </w:rPr>
        <w:t>, </w:t>
      </w:r>
      <w:r>
        <w:rPr>
          <w:color w:val="231F1F"/>
          <w:w w:val="105"/>
        </w:rPr>
        <w:t>avoid co-careldopa for </w:t>
      </w:r>
      <w:r>
        <w:rPr>
          <w:color w:val="231F1F"/>
          <w:w w:val="130"/>
        </w:rPr>
        <w:t>at </w:t>
      </w:r>
      <w:r>
        <w:rPr>
          <w:color w:val="231F1F"/>
          <w:w w:val="105"/>
        </w:rPr>
        <w:t>least 2 weeks after stopping MAOIs; increased risk of side-effects when </w:t>
      </w:r>
      <w:r>
        <w:rPr>
          <w:color w:val="231F1F"/>
          <w:spacing w:val="-5"/>
          <w:w w:val="105"/>
        </w:rPr>
        <w:t>co- </w:t>
      </w:r>
      <w:r>
        <w:rPr>
          <w:color w:val="231F1F"/>
          <w:w w:val="105"/>
        </w:rPr>
        <w:t>careldopa given with</w:t>
      </w:r>
      <w:r>
        <w:rPr>
          <w:color w:val="231F1F"/>
          <w:spacing w:val="-1"/>
          <w:w w:val="105"/>
        </w:rPr>
        <w:t> </w:t>
      </w:r>
      <w:r>
        <w:rPr>
          <w:rFonts w:ascii="Calibri"/>
          <w:color w:val="008356"/>
          <w:spacing w:val="4"/>
          <w:w w:val="105"/>
          <w:sz w:val="11"/>
        </w:rPr>
        <w:t>MOCLOBEMIDE</w:t>
      </w:r>
    </w:p>
    <w:p>
      <w:pPr>
        <w:pStyle w:val="BodyText"/>
        <w:spacing w:line="150" w:lineRule="exact"/>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effects of co-careldopa possibly reduced by</w:t>
      </w:r>
    </w:p>
    <w:p>
      <w:pPr>
        <w:spacing w:line="134" w:lineRule="exact" w:before="0"/>
        <w:ind w:left="286"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spacing w:line="220" w:lineRule="auto" w:before="4"/>
        <w:ind w:left="286" w:right="13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Antimuscarinics: </w:t>
      </w:r>
      <w:r>
        <w:rPr>
          <w:color w:val="231F1F"/>
          <w:w w:val="105"/>
          <w:sz w:val="12"/>
        </w:rPr>
        <w:t>absorption of co-careldopa possibly reduced by</w:t>
      </w:r>
      <w:r>
        <w:rPr>
          <w:color w:val="231F1F"/>
          <w:spacing w:val="-1"/>
          <w:w w:val="105"/>
          <w:sz w:val="12"/>
        </w:rPr>
        <w:t> </w:t>
      </w:r>
      <w:r>
        <w:rPr>
          <w:rFonts w:ascii="Calibri" w:hAnsi="Calibri"/>
          <w:color w:val="008356"/>
          <w:spacing w:val="5"/>
          <w:w w:val="105"/>
          <w:sz w:val="11"/>
        </w:rPr>
        <w:t>ANTIMUSCARINICS</w:t>
      </w:r>
    </w:p>
    <w:p>
      <w:pPr>
        <w:pStyle w:val="BodyText"/>
        <w:spacing w:line="230" w:lineRule="auto" w:before="5"/>
        <w:ind w:left="286"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effects of co-careldopa antagonised by </w:t>
      </w:r>
      <w:r>
        <w:rPr>
          <w:rFonts w:ascii="Calibri" w:hAnsi="Calibri"/>
          <w:color w:val="008356"/>
          <w:w w:val="110"/>
          <w:sz w:val="11"/>
        </w:rPr>
        <w:t>ANTIPSYCHOTICS</w:t>
      </w:r>
      <w:r>
        <w:rPr>
          <w:color w:val="231F1F"/>
          <w:w w:val="110"/>
        </w:rPr>
        <w:t>; avoidance of co-careldopa advised by manufacturer of </w:t>
      </w:r>
      <w:r>
        <w:rPr>
          <w:rFonts w:ascii="Calibri" w:hAnsi="Calibri"/>
          <w:color w:val="008356"/>
          <w:w w:val="110"/>
          <w:sz w:val="11"/>
        </w:rPr>
        <w:t>AMISULPRIDE </w:t>
      </w:r>
      <w:r>
        <w:rPr>
          <w:color w:val="231F1F"/>
          <w:w w:val="110"/>
        </w:rPr>
        <w:t>(antagonism of effect)</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effects of co-careldopa possibly antagonised by </w:t>
      </w:r>
      <w:r>
        <w:rPr>
          <w:rFonts w:ascii="Calibri" w:hAnsi="Calibri"/>
          <w:color w:val="008356"/>
          <w:w w:val="105"/>
          <w:sz w:val="11"/>
        </w:rPr>
        <w:t>BENZODIAZEPINES</w:t>
      </w:r>
    </w:p>
    <w:p>
      <w:pPr>
        <w:pStyle w:val="BodyText"/>
        <w:spacing w:line="220" w:lineRule="auto" w:before="9"/>
        <w:ind w:left="286" w:right="494"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co- careldopa given with </w:t>
      </w:r>
      <w:r>
        <w:rPr>
          <w:rFonts w:ascii="Calibri" w:hAnsi="Calibri"/>
          <w:color w:val="008356"/>
          <w:w w:val="110"/>
          <w:sz w:val="11"/>
        </w:rPr>
        <w:t>BETA-BLOCKERS</w:t>
      </w:r>
    </w:p>
    <w:p>
      <w:pPr>
        <w:pStyle w:val="BodyText"/>
        <w:spacing w:line="220" w:lineRule="auto" w:before="8"/>
        <w:ind w:left="286" w:right="139" w:hanging="100"/>
        <w:rPr>
          <w:rFonts w:ascii="Calibri" w:hAnsi="Calibri"/>
          <w:sz w:val="11"/>
        </w:rPr>
      </w:pPr>
      <w:r>
        <w:rPr>
          <w:rFonts w:ascii="Lucida Sans Unicode" w:hAnsi="Lucida Sans Unicode"/>
          <w:color w:val="A7A8AC"/>
          <w:w w:val="95"/>
          <w:sz w:val="10"/>
        </w:rPr>
        <w:t>▶ </w:t>
      </w:r>
      <w:r>
        <w:rPr>
          <w:rFonts w:ascii="Calibri" w:hAnsi="Calibri"/>
          <w:color w:val="231F1F"/>
          <w:w w:val="110"/>
        </w:rPr>
        <w:t>Bupropion: </w:t>
      </w:r>
      <w:r>
        <w:rPr>
          <w:color w:val="231F1F"/>
          <w:w w:val="110"/>
        </w:rPr>
        <w:t>increased risk of side-effects when co-careldopa given with </w:t>
      </w:r>
      <w:r>
        <w:rPr>
          <w:rFonts w:ascii="Calibri" w:hAnsi="Calibri"/>
          <w:color w:val="008356"/>
          <w:w w:val="110"/>
          <w:sz w:val="11"/>
        </w:rPr>
        <w:t>BUPROPION</w:t>
      </w:r>
    </w:p>
    <w:p>
      <w:pPr>
        <w:spacing w:line="220" w:lineRule="auto" w:before="8"/>
        <w:ind w:left="286" w:right="1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co-careldopa given with </w:t>
      </w:r>
      <w:r>
        <w:rPr>
          <w:rFonts w:ascii="Calibri" w:hAnsi="Calibri"/>
          <w:color w:val="008356"/>
          <w:w w:val="105"/>
          <w:sz w:val="11"/>
        </w:rPr>
        <w:t>CALCIUM-CHANNEL BLOCKERS</w:t>
      </w:r>
    </w:p>
    <w:p>
      <w:pPr>
        <w:pStyle w:val="BodyText"/>
        <w:spacing w:line="220" w:lineRule="auto" w:before="9"/>
        <w:ind w:left="286" w:right="141"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w:t>
      </w:r>
      <w:r>
        <w:rPr>
          <w:color w:val="231F1F"/>
          <w:spacing w:val="-2"/>
          <w:w w:val="105"/>
        </w:rPr>
        <w:t>co-careldopa </w:t>
      </w:r>
      <w:r>
        <w:rPr>
          <w:color w:val="231F1F"/>
          <w:w w:val="105"/>
        </w:rPr>
        <w:t>given with</w:t>
      </w:r>
      <w:r>
        <w:rPr>
          <w:color w:val="231F1F"/>
          <w:spacing w:val="-1"/>
          <w:w w:val="105"/>
        </w:rPr>
        <w:t> </w:t>
      </w:r>
      <w:r>
        <w:rPr>
          <w:rFonts w:ascii="Calibri" w:hAnsi="Calibri"/>
          <w:color w:val="008356"/>
          <w:spacing w:val="4"/>
          <w:w w:val="105"/>
          <w:sz w:val="11"/>
        </w:rPr>
        <w:t>CLONIDINE</w:t>
      </w:r>
    </w:p>
    <w:p>
      <w:pPr>
        <w:pStyle w:val="BodyText"/>
        <w:spacing w:line="220" w:lineRule="auto" w:before="8"/>
        <w:ind w:left="286" w:right="130"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w:t>
      </w:r>
      <w:r>
        <w:rPr>
          <w:color w:val="231F1F"/>
          <w:spacing w:val="-2"/>
          <w:w w:val="105"/>
        </w:rPr>
        <w:t>co-careldopa </w:t>
      </w:r>
      <w:r>
        <w:rPr>
          <w:color w:val="231F1F"/>
          <w:w w:val="105"/>
        </w:rPr>
        <w:t>given with</w:t>
      </w:r>
      <w:r>
        <w:rPr>
          <w:color w:val="231F1F"/>
          <w:spacing w:val="-1"/>
          <w:w w:val="105"/>
        </w:rPr>
        <w:t> </w:t>
      </w:r>
      <w:r>
        <w:rPr>
          <w:rFonts w:ascii="Calibri" w:hAnsi="Calibri"/>
          <w:color w:val="008356"/>
          <w:spacing w:val="4"/>
          <w:w w:val="105"/>
          <w:sz w:val="11"/>
        </w:rPr>
        <w:t>DIAZOXIDE</w:t>
      </w:r>
    </w:p>
    <w:p>
      <w:pPr>
        <w:pStyle w:val="BodyText"/>
        <w:spacing w:line="220" w:lineRule="auto" w:before="8"/>
        <w:ind w:left="286" w:right="24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w:t>
      </w:r>
      <w:r>
        <w:rPr>
          <w:color w:val="231F1F"/>
          <w:spacing w:val="-2"/>
          <w:w w:val="105"/>
        </w:rPr>
        <w:t>co-careldopa </w:t>
      </w:r>
      <w:r>
        <w:rPr>
          <w:color w:val="231F1F"/>
          <w:w w:val="105"/>
        </w:rPr>
        <w:t>given with</w:t>
      </w:r>
      <w:r>
        <w:rPr>
          <w:color w:val="231F1F"/>
          <w:spacing w:val="-1"/>
          <w:w w:val="105"/>
        </w:rPr>
        <w:t> </w:t>
      </w:r>
      <w:r>
        <w:rPr>
          <w:rFonts w:ascii="Calibri" w:hAnsi="Calibri"/>
          <w:color w:val="008356"/>
          <w:spacing w:val="4"/>
          <w:w w:val="105"/>
          <w:sz w:val="11"/>
        </w:rPr>
        <w:t>DIURETICS</w:t>
      </w:r>
    </w:p>
    <w:p>
      <w:pPr>
        <w:pStyle w:val="BodyText"/>
        <w:spacing w:line="232" w:lineRule="auto" w:before="3"/>
        <w:ind w:left="286" w:right="32"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enhanced effects and increased toxicity of co- careldopa when given with </w:t>
      </w:r>
      <w:r>
        <w:rPr>
          <w:rFonts w:ascii="Calibri" w:hAnsi="Calibri"/>
          <w:color w:val="008356"/>
          <w:w w:val="110"/>
          <w:sz w:val="11"/>
        </w:rPr>
        <w:t>SELEGILINE </w:t>
      </w:r>
      <w:r>
        <w:rPr>
          <w:color w:val="231F1F"/>
          <w:w w:val="110"/>
        </w:rPr>
        <w:t>(reduce dose of co- careldopa)</w:t>
      </w:r>
    </w:p>
    <w:p>
      <w:pPr>
        <w:pStyle w:val="BodyText"/>
        <w:spacing w:line="156" w:lineRule="exact"/>
        <w:ind w:left="186"/>
        <w:rPr>
          <w:i/>
        </w:rPr>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co-careldopa possibly reduced by </w:t>
      </w:r>
      <w:r>
        <w:rPr>
          <w:i/>
          <w:color w:val="231F1F"/>
          <w:w w:val="105"/>
        </w:rPr>
        <w:t>oral</w:t>
      </w:r>
    </w:p>
    <w:p>
      <w:pPr>
        <w:spacing w:line="131" w:lineRule="exact" w:before="0"/>
        <w:ind w:left="286" w:right="0" w:firstLine="0"/>
        <w:jc w:val="left"/>
        <w:rPr>
          <w:rFonts w:ascii="Calibri"/>
          <w:sz w:val="11"/>
        </w:rPr>
      </w:pPr>
      <w:r>
        <w:rPr>
          <w:rFonts w:ascii="Calibri"/>
          <w:color w:val="008356"/>
          <w:sz w:val="11"/>
        </w:rPr>
        <w:t>IRON SALTS</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30" w:lineRule="auto" w:before="4"/>
        <w:ind w:left="286" w:right="61"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co-careldopa given with </w:t>
      </w:r>
      <w:r>
        <w:rPr>
          <w:rFonts w:ascii="Calibri" w:hAnsi="Calibri"/>
          <w:color w:val="008356"/>
          <w:w w:val="110"/>
          <w:sz w:val="11"/>
        </w:rPr>
        <w:t>METHYLDOPA</w:t>
      </w:r>
      <w:r>
        <w:rPr>
          <w:color w:val="231F1F"/>
          <w:w w:val="110"/>
        </w:rPr>
        <w:t>; antiparkinsonian effect of dopaminergics antagonised by </w:t>
      </w:r>
      <w:r>
        <w:rPr>
          <w:rFonts w:ascii="Calibri" w:hAnsi="Calibri"/>
          <w:color w:val="008356"/>
          <w:w w:val="110"/>
          <w:sz w:val="11"/>
        </w:rPr>
        <w:t>METHYLDOPA</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co-careldopa given with </w:t>
      </w:r>
      <w:r>
        <w:rPr>
          <w:rFonts w:ascii="Calibri" w:hAnsi="Calibri"/>
          <w:color w:val="008356"/>
          <w:w w:val="105"/>
          <w:sz w:val="11"/>
        </w:rPr>
        <w:t>MOXONIDINE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possible agitation, confusion and hallucinations when co-careldopa given with </w:t>
      </w:r>
      <w:r>
        <w:rPr>
          <w:rFonts w:ascii="Calibri" w:hAnsi="Calibri"/>
          <w:color w:val="008356"/>
          <w:w w:val="110"/>
          <w:sz w:val="11"/>
        </w:rPr>
        <w:t>BACLOFEN</w:t>
      </w:r>
    </w:p>
    <w:p>
      <w:pPr>
        <w:pStyle w:val="BodyText"/>
        <w:spacing w:line="220" w:lineRule="auto" w:before="8"/>
        <w:ind w:left="286" w:right="85"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co-careldopa given with </w:t>
      </w:r>
      <w:r>
        <w:rPr>
          <w:rFonts w:ascii="Calibri" w:hAnsi="Calibri"/>
          <w:color w:val="008356"/>
          <w:w w:val="110"/>
          <w:sz w:val="11"/>
        </w:rPr>
        <w:t>NITRATES</w:t>
      </w:r>
    </w:p>
    <w:p>
      <w:pPr>
        <w:spacing w:line="237" w:lineRule="auto" w:before="1"/>
        <w:ind w:left="286" w:right="21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co-careldopa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line="256" w:lineRule="auto" w:before="6"/>
        <w:ind w:left="186" w:right="1778"/>
        <w:rPr>
          <w:rFonts w:ascii="Trebuchet MS"/>
        </w:rPr>
      </w:pPr>
      <w:r>
        <w:rPr>
          <w:rFonts w:ascii="Trebuchet MS"/>
          <w:color w:val="008356"/>
          <w:w w:val="105"/>
        </w:rPr>
        <w:t>Codeine </w:t>
      </w:r>
      <w:r>
        <w:rPr>
          <w:i/>
          <w:color w:val="231F1F"/>
          <w:w w:val="105"/>
        </w:rPr>
        <w:t>see </w:t>
      </w:r>
      <w:r>
        <w:rPr>
          <w:color w:val="231F1F"/>
          <w:w w:val="105"/>
        </w:rPr>
        <w:t>Opioid Analgesics </w:t>
      </w:r>
      <w:r>
        <w:rPr>
          <w:rFonts w:ascii="Trebuchet MS"/>
          <w:color w:val="008356"/>
          <w:w w:val="105"/>
        </w:rPr>
        <w:t>Co-fluampicil </w:t>
      </w:r>
      <w:r>
        <w:rPr>
          <w:i/>
          <w:color w:val="231F1F"/>
          <w:w w:val="105"/>
        </w:rPr>
        <w:t>see </w:t>
      </w:r>
      <w:r>
        <w:rPr>
          <w:color w:val="231F1F"/>
          <w:w w:val="105"/>
        </w:rPr>
        <w:t>Penicillins </w:t>
      </w:r>
      <w:r>
        <w:rPr>
          <w:rFonts w:ascii="Trebuchet MS"/>
          <w:color w:val="008356"/>
          <w:w w:val="105"/>
        </w:rPr>
        <w:t>Colchicine</w:t>
      </w:r>
    </w:p>
    <w:p>
      <w:pPr>
        <w:pStyle w:val="BodyText"/>
        <w:spacing w:line="138" w:lineRule="exact"/>
        <w:ind w:left="186"/>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Anti-arrhythmics:</w:t>
      </w:r>
      <w:r>
        <w:rPr>
          <w:rFonts w:ascii="Calibri"/>
          <w:color w:val="231F1F"/>
          <w:spacing w:val="-17"/>
          <w:w w:val="115"/>
        </w:rPr>
        <w:t> </w:t>
      </w:r>
      <w:r>
        <w:rPr>
          <w:color w:val="231F1F"/>
          <w:w w:val="115"/>
        </w:rPr>
        <w:t>possible</w:t>
      </w:r>
      <w:r>
        <w:rPr>
          <w:color w:val="231F1F"/>
          <w:spacing w:val="-20"/>
          <w:w w:val="115"/>
        </w:rPr>
        <w:t> </w:t>
      </w:r>
      <w:r>
        <w:rPr>
          <w:color w:val="231F1F"/>
          <w:w w:val="115"/>
        </w:rPr>
        <w:t>increased</w:t>
      </w:r>
      <w:r>
        <w:rPr>
          <w:color w:val="231F1F"/>
          <w:spacing w:val="-22"/>
          <w:w w:val="115"/>
        </w:rPr>
        <w:t> </w:t>
      </w:r>
      <w:r>
        <w:rPr>
          <w:color w:val="231F1F"/>
          <w:w w:val="115"/>
        </w:rPr>
        <w:t>risk</w:t>
      </w:r>
      <w:r>
        <w:rPr>
          <w:color w:val="231F1F"/>
          <w:spacing w:val="-20"/>
          <w:w w:val="115"/>
        </w:rPr>
        <w:t> </w:t>
      </w:r>
      <w:r>
        <w:rPr>
          <w:color w:val="231F1F"/>
          <w:w w:val="115"/>
        </w:rPr>
        <w:t>of</w:t>
      </w:r>
      <w:r>
        <w:rPr>
          <w:color w:val="231F1F"/>
          <w:spacing w:val="-21"/>
          <w:w w:val="115"/>
        </w:rPr>
        <w:t> </w:t>
      </w:r>
      <w:r>
        <w:rPr>
          <w:color w:val="231F1F"/>
          <w:w w:val="115"/>
        </w:rPr>
        <w:t>colchicine</w:t>
      </w:r>
      <w:r>
        <w:rPr>
          <w:color w:val="231F1F"/>
          <w:spacing w:val="-20"/>
          <w:w w:val="115"/>
        </w:rPr>
        <w:t> </w:t>
      </w:r>
      <w:r>
        <w:rPr>
          <w:color w:val="231F1F"/>
          <w:w w:val="115"/>
        </w:rPr>
        <w:t>toxicity</w:t>
      </w:r>
    </w:p>
    <w:p>
      <w:pPr>
        <w:spacing w:line="141" w:lineRule="exact" w:before="0"/>
        <w:ind w:left="286" w:right="0" w:firstLine="0"/>
        <w:jc w:val="left"/>
        <w:rPr>
          <w:rFonts w:ascii="Calibri"/>
          <w:sz w:val="11"/>
        </w:rPr>
      </w:pPr>
      <w:r>
        <w:rPr>
          <w:color w:val="231F1F"/>
          <w:w w:val="105"/>
          <w:sz w:val="12"/>
        </w:rPr>
        <w:t>when given with </w:t>
      </w:r>
      <w:r>
        <w:rPr>
          <w:rFonts w:ascii="Arial"/>
          <w:color w:val="231F1F"/>
          <w:w w:val="355"/>
          <w:position w:val="1"/>
          <w:sz w:val="7"/>
        </w:rPr>
        <w:t>l </w:t>
      </w:r>
      <w:r>
        <w:rPr>
          <w:rFonts w:ascii="Calibri"/>
          <w:color w:val="008356"/>
          <w:w w:val="105"/>
          <w:sz w:val="11"/>
        </w:rPr>
        <w:t>AMIODARONE</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Colchicine </w:t>
      </w:r>
      <w:r>
        <w:rPr>
          <w:rFonts w:ascii="Calibri"/>
          <w:color w:val="231F1F"/>
        </w:rPr>
        <w:t>(continued)</w:t>
      </w:r>
    </w:p>
    <w:p>
      <w:pPr>
        <w:spacing w:line="240" w:lineRule="auto" w:before="0"/>
        <w:ind w:left="286" w:right="670" w:hanging="100"/>
        <w:jc w:val="left"/>
        <w:rPr>
          <w:sz w:val="12"/>
        </w:rPr>
      </w:pPr>
      <w:r>
        <w:rPr>
          <w:rFonts w:ascii="Arial"/>
          <w:color w:val="231F1F"/>
          <w:w w:val="355"/>
          <w:position w:val="1"/>
          <w:sz w:val="7"/>
        </w:rPr>
        <w:t>l</w:t>
      </w:r>
      <w:r>
        <w:rPr>
          <w:rFonts w:ascii="Arial"/>
          <w:color w:val="231F1F"/>
          <w:spacing w:val="-53"/>
          <w:w w:val="355"/>
          <w:position w:val="1"/>
          <w:sz w:val="7"/>
        </w:rPr>
        <w:t> </w:t>
      </w:r>
      <w:r>
        <w:rPr>
          <w:rFonts w:ascii="Calibri"/>
          <w:color w:val="231F1F"/>
          <w:w w:val="110"/>
          <w:sz w:val="12"/>
        </w:rPr>
        <w:t>Antibacterials: </w:t>
      </w:r>
      <w:r>
        <w:rPr>
          <w:color w:val="231F1F"/>
          <w:w w:val="110"/>
          <w:sz w:val="12"/>
        </w:rPr>
        <w:t>possible increased risk of colchicine toxicity when given with </w:t>
      </w:r>
      <w:r>
        <w:rPr>
          <w:rFonts w:ascii="Arial"/>
          <w:color w:val="231F1F"/>
          <w:w w:val="355"/>
          <w:position w:val="1"/>
          <w:sz w:val="7"/>
        </w:rPr>
        <w:t>l </w:t>
      </w:r>
      <w:r>
        <w:rPr>
          <w:rFonts w:ascii="Calibri"/>
          <w:color w:val="008356"/>
          <w:spacing w:val="4"/>
          <w:w w:val="110"/>
          <w:sz w:val="11"/>
        </w:rPr>
        <w:t>AZITHROMYCIN</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CLARITHROMYCIN</w:t>
      </w:r>
      <w:r>
        <w:rPr>
          <w:color w:val="231F1F"/>
          <w:spacing w:val="4"/>
          <w:w w:val="110"/>
          <w:sz w:val="12"/>
        </w:rPr>
        <w:t>,</w:t>
      </w:r>
    </w:p>
    <w:p>
      <w:pPr>
        <w:spacing w:line="247" w:lineRule="auto" w:before="0"/>
        <w:ind w:left="286" w:right="57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5"/>
          <w:sz w:val="11"/>
        </w:rPr>
        <w:t>ERYTHROMYCIN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TELITHROMYCIN</w:t>
      </w:r>
      <w:r>
        <w:rPr>
          <w:rFonts w:ascii="Arial" w:hAnsi="Arial"/>
          <w:color w:val="231F1F"/>
          <w:spacing w:val="3"/>
          <w:w w:val="115"/>
          <w:sz w:val="12"/>
        </w:rPr>
        <w:t>—</w:t>
      </w:r>
      <w:r>
        <w:rPr>
          <w:color w:val="231F1F"/>
          <w:spacing w:val="3"/>
          <w:w w:val="115"/>
          <w:sz w:val="12"/>
        </w:rPr>
        <w:t>suspend </w:t>
      </w:r>
      <w:r>
        <w:rPr>
          <w:color w:val="231F1F"/>
          <w:w w:val="115"/>
          <w:sz w:val="12"/>
        </w:rPr>
        <w:t>or reduce dose of colchicine (avoid concomitant use in hepatic or </w:t>
      </w:r>
      <w:r>
        <w:rPr>
          <w:color w:val="231F1F"/>
          <w:spacing w:val="-3"/>
          <w:w w:val="115"/>
          <w:sz w:val="12"/>
        </w:rPr>
        <w:t>renal </w:t>
      </w:r>
      <w:r>
        <w:rPr>
          <w:color w:val="231F1F"/>
          <w:w w:val="115"/>
          <w:sz w:val="12"/>
        </w:rPr>
        <w:t>impairment)</w:t>
      </w:r>
    </w:p>
    <w:p>
      <w:pPr>
        <w:pStyle w:val="BodyText"/>
        <w:spacing w:line="244" w:lineRule="auto"/>
        <w:ind w:left="286" w:right="588"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Antifungals:</w:t>
      </w:r>
      <w:r>
        <w:rPr>
          <w:rFonts w:ascii="Calibri" w:hAnsi="Calibri"/>
          <w:color w:val="231F1F"/>
          <w:spacing w:val="-14"/>
          <w:w w:val="115"/>
        </w:rPr>
        <w:t> </w:t>
      </w:r>
      <w:r>
        <w:rPr>
          <w:color w:val="231F1F"/>
          <w:w w:val="115"/>
        </w:rPr>
        <w:t>possible</w:t>
      </w:r>
      <w:r>
        <w:rPr>
          <w:color w:val="231F1F"/>
          <w:spacing w:val="-16"/>
          <w:w w:val="115"/>
        </w:rPr>
        <w:t> </w:t>
      </w:r>
      <w:r>
        <w:rPr>
          <w:color w:val="231F1F"/>
          <w:w w:val="115"/>
        </w:rPr>
        <w:t>increased</w:t>
      </w:r>
      <w:r>
        <w:rPr>
          <w:color w:val="231F1F"/>
          <w:spacing w:val="-18"/>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colchicine</w:t>
      </w:r>
      <w:r>
        <w:rPr>
          <w:color w:val="231F1F"/>
          <w:spacing w:val="-16"/>
          <w:w w:val="115"/>
        </w:rPr>
        <w:t> </w:t>
      </w:r>
      <w:r>
        <w:rPr>
          <w:color w:val="231F1F"/>
          <w:w w:val="115"/>
        </w:rPr>
        <w:t>toxicity</w:t>
      </w:r>
      <w:r>
        <w:rPr>
          <w:color w:val="231F1F"/>
          <w:spacing w:val="-17"/>
          <w:w w:val="115"/>
        </w:rPr>
        <w:t> </w:t>
      </w:r>
      <w:r>
        <w:rPr>
          <w:color w:val="231F1F"/>
          <w:spacing w:val="-4"/>
          <w:w w:val="115"/>
        </w:rPr>
        <w:t>when </w:t>
      </w:r>
      <w:r>
        <w:rPr>
          <w:color w:val="231F1F"/>
          <w:w w:val="115"/>
        </w:rPr>
        <w:t>given</w:t>
      </w:r>
      <w:r>
        <w:rPr>
          <w:color w:val="231F1F"/>
          <w:spacing w:val="-25"/>
          <w:w w:val="115"/>
        </w:rPr>
        <w:t> </w:t>
      </w:r>
      <w:r>
        <w:rPr>
          <w:color w:val="231F1F"/>
          <w:w w:val="115"/>
        </w:rPr>
        <w:t>with</w:t>
      </w:r>
      <w:r>
        <w:rPr>
          <w:color w:val="231F1F"/>
          <w:spacing w:val="-24"/>
          <w:w w:val="115"/>
        </w:rPr>
        <w:t> </w:t>
      </w:r>
      <w:r>
        <w:rPr>
          <w:rFonts w:ascii="Arial" w:hAnsi="Arial"/>
          <w:color w:val="231F1F"/>
          <w:w w:val="235"/>
          <w:position w:val="1"/>
          <w:sz w:val="7"/>
        </w:rPr>
        <w:t>l</w:t>
      </w:r>
      <w:r>
        <w:rPr>
          <w:rFonts w:ascii="Arial" w:hAnsi="Arial"/>
          <w:color w:val="231F1F"/>
          <w:spacing w:val="-36"/>
          <w:w w:val="235"/>
          <w:position w:val="1"/>
          <w:sz w:val="7"/>
        </w:rPr>
        <w:t> </w:t>
      </w:r>
      <w:r>
        <w:rPr>
          <w:rFonts w:ascii="Calibri" w:hAnsi="Calibri"/>
          <w:color w:val="008356"/>
          <w:spacing w:val="4"/>
          <w:w w:val="115"/>
          <w:sz w:val="11"/>
        </w:rPr>
        <w:t>ITRACONAZOLE</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35"/>
          <w:position w:val="1"/>
          <w:sz w:val="7"/>
        </w:rPr>
        <w:t>l</w:t>
      </w:r>
      <w:r>
        <w:rPr>
          <w:rFonts w:ascii="Arial" w:hAnsi="Arial"/>
          <w:color w:val="231F1F"/>
          <w:spacing w:val="-36"/>
          <w:w w:val="235"/>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suspend</w:t>
      </w:r>
      <w:r>
        <w:rPr>
          <w:color w:val="231F1F"/>
          <w:spacing w:val="-24"/>
          <w:w w:val="115"/>
        </w:rPr>
        <w:t> </w:t>
      </w:r>
      <w:r>
        <w:rPr>
          <w:color w:val="231F1F"/>
          <w:w w:val="115"/>
        </w:rPr>
        <w:t>or reduce dose of colchicine (avoid concomitant use in hepatic or renal</w:t>
      </w:r>
      <w:r>
        <w:rPr>
          <w:color w:val="231F1F"/>
          <w:spacing w:val="-7"/>
          <w:w w:val="115"/>
        </w:rPr>
        <w:t> </w:t>
      </w:r>
      <w:r>
        <w:rPr>
          <w:color w:val="231F1F"/>
          <w:w w:val="115"/>
        </w:rPr>
        <w:t>impairment)</w:t>
      </w:r>
    </w:p>
    <w:p>
      <w:pPr>
        <w:spacing w:line="240" w:lineRule="auto" w:before="0"/>
        <w:ind w:left="286" w:right="625"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possible increased risk of colchicine toxicity when given with </w:t>
      </w:r>
      <w:r>
        <w:rPr>
          <w:rFonts w:ascii="Arial"/>
          <w:color w:val="231F1F"/>
          <w:w w:val="355"/>
          <w:position w:val="1"/>
          <w:sz w:val="7"/>
        </w:rPr>
        <w:t>l </w:t>
      </w:r>
      <w:r>
        <w:rPr>
          <w:rFonts w:ascii="Calibri"/>
          <w:color w:val="008356"/>
          <w:w w:val="110"/>
          <w:sz w:val="11"/>
        </w:rPr>
        <w:t>ATAZANAVIR</w:t>
      </w:r>
      <w:r>
        <w:rPr>
          <w:color w:val="231F1F"/>
          <w:w w:val="110"/>
          <w:sz w:val="12"/>
        </w:rPr>
        <w:t>, </w:t>
      </w:r>
      <w:r>
        <w:rPr>
          <w:rFonts w:ascii="Arial"/>
          <w:color w:val="231F1F"/>
          <w:w w:val="355"/>
          <w:position w:val="1"/>
          <w:sz w:val="7"/>
        </w:rPr>
        <w:t>l </w:t>
      </w:r>
      <w:r>
        <w:rPr>
          <w:rFonts w:ascii="Calibri"/>
          <w:color w:val="008356"/>
          <w:w w:val="110"/>
          <w:sz w:val="11"/>
        </w:rPr>
        <w:t>INDINAVIR</w:t>
      </w:r>
      <w:r>
        <w:rPr>
          <w:color w:val="231F1F"/>
          <w:w w:val="110"/>
          <w:sz w:val="12"/>
        </w:rPr>
        <w:t>, </w:t>
      </w:r>
      <w:r>
        <w:rPr>
          <w:rFonts w:ascii="Arial"/>
          <w:color w:val="231F1F"/>
          <w:w w:val="355"/>
          <w:position w:val="1"/>
          <w:sz w:val="7"/>
        </w:rPr>
        <w:t>l </w:t>
      </w:r>
      <w:r>
        <w:rPr>
          <w:rFonts w:ascii="Calibri"/>
          <w:color w:val="008356"/>
          <w:w w:val="110"/>
          <w:sz w:val="11"/>
        </w:rPr>
        <w:t>RITONAVIR </w:t>
      </w:r>
      <w:r>
        <w:rPr>
          <w:color w:val="231F1F"/>
          <w:w w:val="110"/>
          <w:sz w:val="12"/>
        </w:rPr>
        <w:t>and</w:t>
      </w:r>
    </w:p>
    <w:p>
      <w:pPr>
        <w:pStyle w:val="BodyText"/>
        <w:spacing w:line="244" w:lineRule="auto"/>
        <w:ind w:left="286" w:right="76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TELAPREVIR</w:t>
      </w:r>
      <w:r>
        <w:rPr>
          <w:rFonts w:ascii="Arial" w:hAnsi="Arial"/>
          <w:color w:val="231F1F"/>
          <w:spacing w:val="2"/>
          <w:w w:val="115"/>
        </w:rPr>
        <w:t>—</w:t>
      </w:r>
      <w:r>
        <w:rPr>
          <w:color w:val="231F1F"/>
          <w:spacing w:val="2"/>
          <w:w w:val="115"/>
        </w:rPr>
        <w:t>suspend</w:t>
      </w:r>
      <w:r>
        <w:rPr>
          <w:color w:val="231F1F"/>
          <w:spacing w:val="-20"/>
          <w:w w:val="115"/>
        </w:rPr>
        <w:t> </w:t>
      </w:r>
      <w:r>
        <w:rPr>
          <w:color w:val="231F1F"/>
          <w:w w:val="115"/>
        </w:rPr>
        <w:t>or</w:t>
      </w:r>
      <w:r>
        <w:rPr>
          <w:color w:val="231F1F"/>
          <w:spacing w:val="-19"/>
          <w:w w:val="115"/>
        </w:rPr>
        <w:t> </w:t>
      </w:r>
      <w:r>
        <w:rPr>
          <w:color w:val="231F1F"/>
          <w:w w:val="115"/>
        </w:rPr>
        <w:t>reduce</w:t>
      </w:r>
      <w:r>
        <w:rPr>
          <w:color w:val="231F1F"/>
          <w:spacing w:val="-19"/>
          <w:w w:val="115"/>
        </w:rPr>
        <w:t> </w:t>
      </w:r>
      <w:r>
        <w:rPr>
          <w:color w:val="231F1F"/>
          <w:w w:val="115"/>
        </w:rPr>
        <w:t>dose</w:t>
      </w:r>
      <w:r>
        <w:rPr>
          <w:color w:val="231F1F"/>
          <w:spacing w:val="-19"/>
          <w:w w:val="115"/>
        </w:rPr>
        <w:t> </w:t>
      </w:r>
      <w:r>
        <w:rPr>
          <w:color w:val="231F1F"/>
          <w:w w:val="115"/>
        </w:rPr>
        <w:t>of</w:t>
      </w:r>
      <w:r>
        <w:rPr>
          <w:color w:val="231F1F"/>
          <w:spacing w:val="-19"/>
          <w:w w:val="115"/>
        </w:rPr>
        <w:t> </w:t>
      </w:r>
      <w:r>
        <w:rPr>
          <w:color w:val="231F1F"/>
          <w:w w:val="115"/>
        </w:rPr>
        <w:t>colchicine</w:t>
      </w:r>
      <w:r>
        <w:rPr>
          <w:color w:val="231F1F"/>
          <w:spacing w:val="-19"/>
          <w:w w:val="115"/>
        </w:rPr>
        <w:t> </w:t>
      </w:r>
      <w:r>
        <w:rPr>
          <w:color w:val="231F1F"/>
          <w:w w:val="115"/>
        </w:rPr>
        <w:t>(avoid concomitant use in hepatic or renal</w:t>
      </w:r>
      <w:r>
        <w:rPr>
          <w:color w:val="231F1F"/>
          <w:spacing w:val="-18"/>
          <w:w w:val="115"/>
        </w:rPr>
        <w:t> </w:t>
      </w:r>
      <w:r>
        <w:rPr>
          <w:color w:val="231F1F"/>
          <w:w w:val="115"/>
        </w:rPr>
        <w:t>impairment)</w:t>
      </w:r>
    </w:p>
    <w:p>
      <w:pPr>
        <w:pStyle w:val="BodyText"/>
        <w:spacing w:line="242" w:lineRule="auto"/>
        <w:ind w:left="286" w:right="639" w:hanging="100"/>
      </w:pPr>
      <w:r>
        <w:rPr>
          <w:rFonts w:ascii="Arial" w:hAnsi="Arial"/>
          <w:color w:val="231F1F"/>
          <w:w w:val="355"/>
          <w:position w:val="1"/>
          <w:sz w:val="7"/>
        </w:rPr>
        <w:t>l</w:t>
      </w:r>
      <w:r>
        <w:rPr>
          <w:rFonts w:ascii="Arial" w:hAnsi="Arial"/>
          <w:color w:val="231F1F"/>
          <w:spacing w:val="-39"/>
          <w:w w:val="355"/>
          <w:position w:val="1"/>
          <w:sz w:val="7"/>
        </w:rPr>
        <w:t> </w:t>
      </w:r>
      <w:r>
        <w:rPr>
          <w:rFonts w:ascii="Calibri" w:hAnsi="Calibri"/>
          <w:color w:val="231F1F"/>
          <w:w w:val="110"/>
        </w:rPr>
        <w:t>Calcium-channel</w:t>
      </w:r>
      <w:r>
        <w:rPr>
          <w:rFonts w:ascii="Calibri" w:hAnsi="Calibri"/>
          <w:color w:val="231F1F"/>
          <w:spacing w:val="-6"/>
          <w:w w:val="110"/>
        </w:rPr>
        <w:t> </w:t>
      </w:r>
      <w:r>
        <w:rPr>
          <w:rFonts w:ascii="Calibri" w:hAnsi="Calibri"/>
          <w:color w:val="231F1F"/>
          <w:w w:val="110"/>
        </w:rPr>
        <w:t>Blockers:</w:t>
      </w:r>
      <w:r>
        <w:rPr>
          <w:rFonts w:ascii="Calibri" w:hAnsi="Calibri"/>
          <w:color w:val="231F1F"/>
          <w:spacing w:val="-5"/>
          <w:w w:val="110"/>
        </w:rPr>
        <w:t> </w:t>
      </w:r>
      <w:r>
        <w:rPr>
          <w:color w:val="231F1F"/>
          <w:w w:val="110"/>
        </w:rPr>
        <w:t>possible</w:t>
      </w:r>
      <w:r>
        <w:rPr>
          <w:color w:val="231F1F"/>
          <w:spacing w:val="-10"/>
          <w:w w:val="110"/>
        </w:rPr>
        <w:t> </w:t>
      </w:r>
      <w:r>
        <w:rPr>
          <w:color w:val="231F1F"/>
          <w:w w:val="110"/>
        </w:rPr>
        <w:t>increased</w:t>
      </w:r>
      <w:r>
        <w:rPr>
          <w:color w:val="231F1F"/>
          <w:spacing w:val="-8"/>
          <w:w w:val="110"/>
        </w:rPr>
        <w:t> </w:t>
      </w:r>
      <w:r>
        <w:rPr>
          <w:color w:val="231F1F"/>
          <w:w w:val="110"/>
        </w:rPr>
        <w:t>risk</w:t>
      </w:r>
      <w:r>
        <w:rPr>
          <w:color w:val="231F1F"/>
          <w:spacing w:val="-8"/>
          <w:w w:val="110"/>
        </w:rPr>
        <w:t> </w:t>
      </w:r>
      <w:r>
        <w:rPr>
          <w:color w:val="231F1F"/>
          <w:w w:val="110"/>
        </w:rPr>
        <w:t>of</w:t>
      </w:r>
      <w:r>
        <w:rPr>
          <w:color w:val="231F1F"/>
          <w:spacing w:val="-9"/>
          <w:w w:val="110"/>
        </w:rPr>
        <w:t> </w:t>
      </w:r>
      <w:r>
        <w:rPr>
          <w:color w:val="231F1F"/>
          <w:w w:val="110"/>
        </w:rPr>
        <w:t>colchicine toxicity when given with </w:t>
      </w:r>
      <w:r>
        <w:rPr>
          <w:rFonts w:ascii="Arial" w:hAnsi="Arial"/>
          <w:color w:val="231F1F"/>
          <w:w w:val="355"/>
          <w:position w:val="1"/>
          <w:sz w:val="7"/>
        </w:rPr>
        <w:t>l </w:t>
      </w:r>
      <w:r>
        <w:rPr>
          <w:rFonts w:ascii="Calibri" w:hAnsi="Calibri"/>
          <w:color w:val="008356"/>
          <w:spacing w:val="3"/>
          <w:w w:val="110"/>
          <w:sz w:val="11"/>
        </w:rPr>
        <w:t>DILTIAZEM </w:t>
      </w:r>
      <w:r>
        <w:rPr>
          <w:color w:val="231F1F"/>
          <w:w w:val="110"/>
        </w:rPr>
        <w:t>and </w:t>
      </w:r>
      <w:r>
        <w:rPr>
          <w:rFonts w:ascii="Arial" w:hAnsi="Arial"/>
          <w:color w:val="231F1F"/>
          <w:w w:val="355"/>
          <w:position w:val="1"/>
          <w:sz w:val="7"/>
        </w:rPr>
        <w:t>l </w:t>
      </w:r>
      <w:r>
        <w:rPr>
          <w:rFonts w:ascii="Calibri" w:hAnsi="Calibri"/>
          <w:color w:val="008356"/>
          <w:spacing w:val="4"/>
          <w:w w:val="110"/>
          <w:sz w:val="11"/>
        </w:rPr>
        <w:t>VERAPAMIL</w:t>
      </w:r>
      <w:r>
        <w:rPr>
          <w:rFonts w:ascii="Arial" w:hAnsi="Arial"/>
          <w:color w:val="231F1F"/>
          <w:spacing w:val="4"/>
          <w:w w:val="110"/>
        </w:rPr>
        <w:t>— </w:t>
      </w:r>
      <w:r>
        <w:rPr>
          <w:color w:val="231F1F"/>
          <w:w w:val="110"/>
        </w:rPr>
        <w:t>suspend or reduce dose of colchicine (avoid concomitant </w:t>
      </w:r>
      <w:r>
        <w:rPr>
          <w:color w:val="231F1F"/>
          <w:spacing w:val="-5"/>
          <w:w w:val="110"/>
        </w:rPr>
        <w:t>use </w:t>
      </w:r>
      <w:r>
        <w:rPr>
          <w:color w:val="231F1F"/>
          <w:w w:val="110"/>
        </w:rPr>
        <w:t>in hepatic or renal</w:t>
      </w:r>
      <w:r>
        <w:rPr>
          <w:color w:val="231F1F"/>
          <w:spacing w:val="-3"/>
          <w:w w:val="110"/>
        </w:rPr>
        <w:t> </w:t>
      </w:r>
      <w:r>
        <w:rPr>
          <w:color w:val="231F1F"/>
          <w:w w:val="110"/>
        </w:rPr>
        <w:t>impairment)</w:t>
      </w:r>
    </w:p>
    <w:p>
      <w:pPr>
        <w:pStyle w:val="BodyText"/>
        <w:ind w:left="286" w:right="670"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0"/>
        </w:rPr>
        <w:t>Cardiac Glycosides: </w:t>
      </w:r>
      <w:r>
        <w:rPr>
          <w:color w:val="231F1F"/>
          <w:w w:val="110"/>
        </w:rPr>
        <w:t>possible increased risk of myopathy </w:t>
      </w:r>
      <w:r>
        <w:rPr>
          <w:color w:val="231F1F"/>
          <w:spacing w:val="-4"/>
          <w:w w:val="110"/>
        </w:rPr>
        <w:t>when </w:t>
      </w:r>
      <w:r>
        <w:rPr>
          <w:color w:val="231F1F"/>
          <w:w w:val="110"/>
        </w:rPr>
        <w:t>colchicine given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DIGOXIN</w:t>
      </w:r>
    </w:p>
    <w:p>
      <w:pPr>
        <w:pStyle w:val="BodyText"/>
        <w:spacing w:line="244" w:lineRule="auto"/>
        <w:ind w:left="286" w:right="670" w:hanging="100"/>
      </w:pPr>
      <w:r>
        <w:rPr>
          <w:rFonts w:ascii="Arial" w:hAnsi="Arial"/>
          <w:color w:val="231F1F"/>
          <w:w w:val="355"/>
          <w:position w:val="1"/>
          <w:sz w:val="7"/>
        </w:rPr>
        <w:t>l </w:t>
      </w:r>
      <w:r>
        <w:rPr>
          <w:rFonts w:ascii="Calibri" w:hAnsi="Calibri"/>
          <w:color w:val="231F1F"/>
          <w:w w:val="110"/>
        </w:rPr>
        <w:t>Ciclosporin: </w:t>
      </w:r>
      <w:r>
        <w:rPr>
          <w:color w:val="231F1F"/>
          <w:w w:val="110"/>
        </w:rPr>
        <w:t>possible increased risk of nephrotoxicity and myotoxicity when colchicine given with </w:t>
      </w:r>
      <w:r>
        <w:rPr>
          <w:rFonts w:ascii="Arial" w:hAnsi="Arial"/>
          <w:color w:val="231F1F"/>
          <w:w w:val="355"/>
          <w:position w:val="1"/>
          <w:sz w:val="7"/>
        </w:rPr>
        <w:t>l </w:t>
      </w:r>
      <w:r>
        <w:rPr>
          <w:rFonts w:ascii="Calibri" w:hAnsi="Calibri"/>
          <w:color w:val="008356"/>
          <w:spacing w:val="4"/>
          <w:w w:val="110"/>
          <w:sz w:val="11"/>
        </w:rPr>
        <w:t>CICLOSPORIN</w:t>
      </w:r>
      <w:r>
        <w:rPr>
          <w:rFonts w:ascii="Arial" w:hAnsi="Arial"/>
          <w:color w:val="231F1F"/>
          <w:spacing w:val="4"/>
          <w:w w:val="110"/>
        </w:rPr>
        <w:t>— </w:t>
      </w:r>
      <w:r>
        <w:rPr>
          <w:color w:val="231F1F"/>
          <w:w w:val="110"/>
        </w:rPr>
        <w:t>suspend or reduce dose of colchicine (avoid concomitant </w:t>
      </w:r>
      <w:r>
        <w:rPr>
          <w:color w:val="231F1F"/>
          <w:spacing w:val="-5"/>
          <w:w w:val="110"/>
        </w:rPr>
        <w:t>use </w:t>
      </w:r>
      <w:r>
        <w:rPr>
          <w:color w:val="231F1F"/>
          <w:w w:val="110"/>
        </w:rPr>
        <w:t>in hepatic or renal</w:t>
      </w:r>
      <w:r>
        <w:rPr>
          <w:color w:val="231F1F"/>
          <w:spacing w:val="-3"/>
          <w:w w:val="110"/>
        </w:rPr>
        <w:t> </w:t>
      </w:r>
      <w:r>
        <w:rPr>
          <w:color w:val="231F1F"/>
          <w:w w:val="110"/>
        </w:rPr>
        <w:t>impairment)</w:t>
      </w:r>
    </w:p>
    <w:p>
      <w:pPr>
        <w:pStyle w:val="BodyText"/>
        <w:spacing w:line="237" w:lineRule="auto"/>
        <w:ind w:left="286" w:right="638" w:hanging="100"/>
        <w:rPr>
          <w:rFonts w:ascii="Calibri"/>
          <w:sz w:val="11"/>
        </w:rPr>
      </w:pPr>
      <w:r>
        <w:rPr>
          <w:rFonts w:ascii="Arial"/>
          <w:color w:val="231F1F"/>
          <w:w w:val="355"/>
          <w:position w:val="1"/>
          <w:sz w:val="7"/>
        </w:rPr>
        <w:t>l </w:t>
      </w:r>
      <w:r>
        <w:rPr>
          <w:rFonts w:ascii="Calibri"/>
          <w:color w:val="231F1F"/>
          <w:w w:val="110"/>
        </w:rPr>
        <w:t>Grapefruit Juice: </w:t>
      </w:r>
      <w:r>
        <w:rPr>
          <w:color w:val="231F1F"/>
          <w:w w:val="110"/>
        </w:rPr>
        <w:t>possible increased risk of colchicine toxicity when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GRAPEFRUIT </w:t>
      </w:r>
      <w:r>
        <w:rPr>
          <w:rFonts w:ascii="Calibri"/>
          <w:color w:val="008356"/>
          <w:spacing w:val="5"/>
          <w:w w:val="110"/>
          <w:sz w:val="11"/>
        </w:rPr>
        <w:t>JUICE</w:t>
      </w:r>
    </w:p>
    <w:p>
      <w:pPr>
        <w:pStyle w:val="BodyText"/>
        <w:ind w:left="286" w:right="812" w:hanging="100"/>
        <w:rPr>
          <w:rFonts w:ascii="Calibri"/>
          <w:sz w:val="11"/>
        </w:rPr>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Lipid-regulating</w:t>
      </w:r>
      <w:r>
        <w:rPr>
          <w:rFonts w:ascii="Calibri"/>
          <w:color w:val="231F1F"/>
          <w:spacing w:val="-21"/>
          <w:w w:val="115"/>
        </w:rPr>
        <w:t> </w:t>
      </w:r>
      <w:r>
        <w:rPr>
          <w:rFonts w:ascii="Calibri"/>
          <w:color w:val="231F1F"/>
          <w:w w:val="115"/>
        </w:rPr>
        <w:t>Drugs:</w:t>
      </w:r>
      <w:r>
        <w:rPr>
          <w:rFonts w:ascii="Calibri"/>
          <w:color w:val="231F1F"/>
          <w:spacing w:val="-21"/>
          <w:w w:val="115"/>
        </w:rPr>
        <w:t> </w:t>
      </w:r>
      <w:r>
        <w:rPr>
          <w:color w:val="231F1F"/>
          <w:w w:val="115"/>
        </w:rPr>
        <w:t>possible</w:t>
      </w:r>
      <w:r>
        <w:rPr>
          <w:color w:val="231F1F"/>
          <w:spacing w:val="-24"/>
          <w:w w:val="115"/>
        </w:rPr>
        <w:t> </w:t>
      </w:r>
      <w:r>
        <w:rPr>
          <w:color w:val="231F1F"/>
          <w:w w:val="115"/>
        </w:rPr>
        <w:t>increased</w:t>
      </w:r>
      <w:r>
        <w:rPr>
          <w:color w:val="231F1F"/>
          <w:spacing w:val="-25"/>
          <w:w w:val="115"/>
        </w:rPr>
        <w:t> </w:t>
      </w:r>
      <w:r>
        <w:rPr>
          <w:color w:val="231F1F"/>
          <w:w w:val="115"/>
        </w:rPr>
        <w:t>risk</w:t>
      </w:r>
      <w:r>
        <w:rPr>
          <w:color w:val="231F1F"/>
          <w:spacing w:val="-23"/>
          <w:w w:val="115"/>
        </w:rPr>
        <w:t> </w:t>
      </w:r>
      <w:r>
        <w:rPr>
          <w:color w:val="231F1F"/>
          <w:w w:val="115"/>
        </w:rPr>
        <w:t>of</w:t>
      </w:r>
      <w:r>
        <w:rPr>
          <w:color w:val="231F1F"/>
          <w:spacing w:val="-24"/>
          <w:w w:val="115"/>
        </w:rPr>
        <w:t> </w:t>
      </w:r>
      <w:r>
        <w:rPr>
          <w:color w:val="231F1F"/>
          <w:w w:val="115"/>
        </w:rPr>
        <w:t>myopathy when</w:t>
      </w:r>
      <w:r>
        <w:rPr>
          <w:color w:val="231F1F"/>
          <w:spacing w:val="-10"/>
          <w:w w:val="115"/>
        </w:rPr>
        <w:t> </w:t>
      </w:r>
      <w:r>
        <w:rPr>
          <w:color w:val="231F1F"/>
          <w:w w:val="115"/>
        </w:rPr>
        <w:t>colchicine</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9"/>
          <w:w w:val="115"/>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3"/>
          <w:w w:val="115"/>
          <w:sz w:val="11"/>
        </w:rPr>
        <w:t>FIBRATES</w:t>
      </w:r>
      <w:r>
        <w:rPr>
          <w:rFonts w:ascii="Calibri"/>
          <w:color w:val="008356"/>
          <w:spacing w:val="2"/>
          <w:w w:val="115"/>
          <w:sz w:val="11"/>
        </w:rPr>
        <w:t> </w:t>
      </w:r>
      <w:r>
        <w:rPr>
          <w:color w:val="231F1F"/>
          <w:w w:val="115"/>
        </w:rPr>
        <w:t>or</w:t>
      </w:r>
      <w:r>
        <w:rPr>
          <w:color w:val="231F1F"/>
          <w:spacing w:val="-9"/>
          <w:w w:val="115"/>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2"/>
          <w:w w:val="115"/>
          <w:sz w:val="11"/>
        </w:rPr>
        <w:t>STATINS</w:t>
      </w:r>
    </w:p>
    <w:p>
      <w:pPr>
        <w:pStyle w:val="BodyText"/>
        <w:ind w:left="186"/>
      </w:pPr>
      <w:r>
        <w:rPr>
          <w:rFonts w:ascii="Trebuchet MS"/>
          <w:color w:val="008356"/>
        </w:rPr>
        <w:t>Colecalciferol </w:t>
      </w:r>
      <w:r>
        <w:rPr>
          <w:i/>
          <w:color w:val="231F1F"/>
        </w:rPr>
        <w:t>see </w:t>
      </w:r>
      <w:r>
        <w:rPr>
          <w:color w:val="231F1F"/>
        </w:rPr>
        <w:t>Vitamins</w:t>
      </w:r>
    </w:p>
    <w:p>
      <w:pPr>
        <w:pStyle w:val="BodyText"/>
        <w:ind w:left="186"/>
        <w:rPr>
          <w:rFonts w:ascii="Trebuchet MS"/>
        </w:rPr>
      </w:pPr>
      <w:r>
        <w:rPr>
          <w:rFonts w:ascii="Trebuchet MS"/>
          <w:color w:val="008356"/>
        </w:rPr>
        <w:t>Colesevelam</w:t>
      </w:r>
    </w:p>
    <w:p>
      <w:pPr>
        <w:pStyle w:val="BodyText"/>
        <w:spacing w:line="242" w:lineRule="auto" w:before="5"/>
        <w:ind w:left="286" w:right="712" w:hanging="1"/>
      </w:pPr>
      <w:r>
        <w:rPr>
          <w:rFonts w:ascii="Calibri"/>
          <w:color w:val="008356"/>
          <w:spacing w:val="3"/>
          <w:w w:val="115"/>
          <w:sz w:val="11"/>
        </w:rPr>
        <w:t>NOTE</w:t>
      </w:r>
      <w:r>
        <w:rPr>
          <w:rFonts w:ascii="Calibri"/>
          <w:color w:val="008356"/>
          <w:w w:val="115"/>
          <w:sz w:val="11"/>
        </w:rPr>
        <w:t> </w:t>
      </w:r>
      <w:r>
        <w:rPr>
          <w:color w:val="231F1F"/>
          <w:w w:val="115"/>
        </w:rPr>
        <w:t>Other</w:t>
      </w:r>
      <w:r>
        <w:rPr>
          <w:color w:val="231F1F"/>
          <w:spacing w:val="-7"/>
          <w:w w:val="115"/>
        </w:rPr>
        <w:t> </w:t>
      </w:r>
      <w:r>
        <w:rPr>
          <w:color w:val="231F1F"/>
          <w:w w:val="115"/>
        </w:rPr>
        <w:t>drugs</w:t>
      </w:r>
      <w:r>
        <w:rPr>
          <w:color w:val="231F1F"/>
          <w:spacing w:val="-7"/>
          <w:w w:val="115"/>
        </w:rPr>
        <w:t> </w:t>
      </w:r>
      <w:r>
        <w:rPr>
          <w:color w:val="231F1F"/>
          <w:w w:val="115"/>
        </w:rPr>
        <w:t>should</w:t>
      </w:r>
      <w:r>
        <w:rPr>
          <w:color w:val="231F1F"/>
          <w:spacing w:val="-7"/>
          <w:w w:val="115"/>
        </w:rPr>
        <w:t> </w:t>
      </w:r>
      <w:r>
        <w:rPr>
          <w:color w:val="231F1F"/>
          <w:w w:val="115"/>
        </w:rPr>
        <w:t>be</w:t>
      </w:r>
      <w:r>
        <w:rPr>
          <w:color w:val="231F1F"/>
          <w:spacing w:val="-7"/>
          <w:w w:val="115"/>
        </w:rPr>
        <w:t> </w:t>
      </w:r>
      <w:r>
        <w:rPr>
          <w:color w:val="231F1F"/>
          <w:w w:val="115"/>
        </w:rPr>
        <w:t>taken</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7"/>
          <w:w w:val="115"/>
        </w:rPr>
        <w:t> </w:t>
      </w:r>
      <w:r>
        <w:rPr>
          <w:color w:val="231F1F"/>
          <w:w w:val="115"/>
        </w:rPr>
        <w:t>4</w:t>
      </w:r>
      <w:r>
        <w:rPr>
          <w:color w:val="231F1F"/>
          <w:spacing w:val="-8"/>
          <w:w w:val="115"/>
        </w:rPr>
        <w:t> </w:t>
      </w:r>
      <w:r>
        <w:rPr>
          <w:color w:val="231F1F"/>
          <w:w w:val="115"/>
        </w:rPr>
        <w:t>hours</w:t>
      </w:r>
      <w:r>
        <w:rPr>
          <w:color w:val="231F1F"/>
          <w:spacing w:val="-7"/>
          <w:w w:val="115"/>
        </w:rPr>
        <w:t> </w:t>
      </w:r>
      <w:r>
        <w:rPr>
          <w:color w:val="231F1F"/>
          <w:w w:val="115"/>
        </w:rPr>
        <w:t>before</w:t>
      </w:r>
      <w:r>
        <w:rPr>
          <w:color w:val="231F1F"/>
          <w:spacing w:val="-7"/>
          <w:w w:val="115"/>
        </w:rPr>
        <w:t> </w:t>
      </w:r>
      <w:r>
        <w:rPr>
          <w:color w:val="231F1F"/>
          <w:w w:val="115"/>
        </w:rPr>
        <w:t>or after colesevelam to reduce possible interference with absorption</w:t>
      </w:r>
    </w:p>
    <w:p>
      <w:pPr>
        <w:pStyle w:val="BodyText"/>
        <w:ind w:left="286" w:right="59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colesevelam reduces absorption of </w:t>
      </w:r>
      <w:r>
        <w:rPr>
          <w:rFonts w:ascii="Calibri" w:hAnsi="Calibri"/>
          <w:color w:val="008356"/>
          <w:spacing w:val="4"/>
          <w:w w:val="110"/>
          <w:sz w:val="11"/>
        </w:rPr>
        <w:t>GLIBENCLAMIDE</w:t>
      </w:r>
      <w:r>
        <w:rPr>
          <w:rFonts w:ascii="Calibri" w:hAnsi="Calibri"/>
          <w:color w:val="008356"/>
          <w:spacing w:val="1"/>
          <w:w w:val="110"/>
          <w:sz w:val="11"/>
        </w:rPr>
        <w:t> </w:t>
      </w:r>
      <w:r>
        <w:rPr>
          <w:color w:val="231F1F"/>
          <w:w w:val="110"/>
        </w:rPr>
        <w:t>and</w:t>
      </w:r>
      <w:r>
        <w:rPr>
          <w:color w:val="231F1F"/>
          <w:spacing w:val="-9"/>
          <w:w w:val="110"/>
        </w:rPr>
        <w:t> </w:t>
      </w:r>
      <w:r>
        <w:rPr>
          <w:rFonts w:ascii="Calibri" w:hAnsi="Calibri"/>
          <w:color w:val="008356"/>
          <w:spacing w:val="4"/>
          <w:w w:val="110"/>
          <w:sz w:val="11"/>
        </w:rPr>
        <w:t>GLIPIZIDE</w:t>
      </w:r>
      <w:r>
        <w:rPr>
          <w:color w:val="231F1F"/>
          <w:spacing w:val="4"/>
          <w:w w:val="110"/>
        </w:rPr>
        <w:t>;</w:t>
      </w:r>
      <w:r>
        <w:rPr>
          <w:color w:val="231F1F"/>
          <w:spacing w:val="-9"/>
          <w:w w:val="110"/>
        </w:rPr>
        <w:t> </w:t>
      </w:r>
      <w:r>
        <w:rPr>
          <w:color w:val="231F1F"/>
          <w:w w:val="110"/>
        </w:rPr>
        <w:t>colesevelam</w:t>
      </w:r>
      <w:r>
        <w:rPr>
          <w:color w:val="231F1F"/>
          <w:spacing w:val="-11"/>
          <w:w w:val="110"/>
        </w:rPr>
        <w:t> </w:t>
      </w:r>
      <w:r>
        <w:rPr>
          <w:color w:val="231F1F"/>
          <w:w w:val="110"/>
        </w:rPr>
        <w:t>reduces</w:t>
      </w:r>
      <w:r>
        <w:rPr>
          <w:color w:val="231F1F"/>
          <w:spacing w:val="-10"/>
          <w:w w:val="110"/>
        </w:rPr>
        <w:t> </w:t>
      </w:r>
      <w:r>
        <w:rPr>
          <w:color w:val="231F1F"/>
          <w:w w:val="110"/>
        </w:rPr>
        <w:t>absorption of </w:t>
      </w:r>
      <w:r>
        <w:rPr>
          <w:rFonts w:ascii="Calibri" w:hAnsi="Calibri"/>
          <w:color w:val="008356"/>
          <w:spacing w:val="2"/>
          <w:w w:val="110"/>
          <w:sz w:val="11"/>
        </w:rPr>
        <w:t>GLIMEPIRIDE</w:t>
      </w:r>
      <w:r>
        <w:rPr>
          <w:rFonts w:ascii="Arial" w:hAnsi="Arial"/>
          <w:color w:val="231F1F"/>
          <w:spacing w:val="2"/>
          <w:w w:val="110"/>
        </w:rPr>
        <w:t>—</w:t>
      </w:r>
      <w:r>
        <w:rPr>
          <w:color w:val="231F1F"/>
          <w:spacing w:val="2"/>
          <w:w w:val="110"/>
        </w:rPr>
        <w:t>manufacturer </w:t>
      </w:r>
      <w:r>
        <w:rPr>
          <w:color w:val="231F1F"/>
          <w:w w:val="110"/>
        </w:rPr>
        <w:t>of glimepiride advises give at least 4 hours before colesevelam; manufacturer of canagliflozin advises give  bile acid sequestrants  at least 1 hour after or 4</w:t>
      </w:r>
      <w:r>
        <w:rPr>
          <w:rFonts w:ascii="Arial" w:hAnsi="Arial"/>
          <w:color w:val="231F1F"/>
          <w:w w:val="110"/>
        </w:rPr>
        <w:t>–</w:t>
      </w:r>
      <w:r>
        <w:rPr>
          <w:color w:val="231F1F"/>
          <w:w w:val="110"/>
        </w:rPr>
        <w:t>6 before</w:t>
      </w:r>
      <w:r>
        <w:rPr>
          <w:color w:val="231F1F"/>
          <w:spacing w:val="-13"/>
          <w:w w:val="110"/>
        </w:rPr>
        <w:t> </w:t>
      </w:r>
      <w:r>
        <w:rPr>
          <w:rFonts w:ascii="Calibri" w:hAnsi="Calibri"/>
          <w:color w:val="008356"/>
          <w:spacing w:val="4"/>
          <w:w w:val="110"/>
          <w:sz w:val="11"/>
        </w:rPr>
        <w:t>CANAGLIFLOZIN</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colesevelam possibly reduces absorption of</w:t>
      </w:r>
    </w:p>
    <w:p>
      <w:pPr>
        <w:spacing w:line="135" w:lineRule="exact" w:before="0"/>
        <w:ind w:left="286"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spacing w:line="143" w:lineRule="exact" w:before="0"/>
        <w:ind w:left="186" w:right="0" w:firstLine="0"/>
        <w:jc w:val="left"/>
        <w:rPr>
          <w:rFonts w:ascii="Calibri"/>
          <w:sz w:val="11"/>
        </w:rPr>
      </w:pPr>
      <w:r>
        <w:rPr>
          <w:rFonts w:ascii="Arial"/>
          <w:color w:val="231F1F"/>
          <w:w w:val="355"/>
          <w:position w:val="1"/>
          <w:sz w:val="7"/>
        </w:rPr>
        <w:t>l </w:t>
      </w:r>
      <w:r>
        <w:rPr>
          <w:rFonts w:ascii="Calibri"/>
          <w:color w:val="231F1F"/>
          <w:w w:val="110"/>
          <w:sz w:val="12"/>
        </w:rPr>
        <w:t>Ciclosporin: </w:t>
      </w:r>
      <w:r>
        <w:rPr>
          <w:color w:val="231F1F"/>
          <w:w w:val="110"/>
          <w:sz w:val="12"/>
        </w:rPr>
        <w:t>colesevelam reduces absorption of </w:t>
      </w:r>
      <w:r>
        <w:rPr>
          <w:rFonts w:ascii="Arial"/>
          <w:color w:val="231F1F"/>
          <w:w w:val="355"/>
          <w:position w:val="1"/>
          <w:sz w:val="7"/>
        </w:rPr>
        <w:t>l </w:t>
      </w:r>
      <w:r>
        <w:rPr>
          <w:rFonts w:ascii="Calibri"/>
          <w:color w:val="008356"/>
          <w:w w:val="110"/>
          <w:sz w:val="11"/>
        </w:rPr>
        <w:t>CICLOSPORIN</w:t>
      </w:r>
    </w:p>
    <w:p>
      <w:pPr>
        <w:pStyle w:val="BodyText"/>
        <w:spacing w:line="220" w:lineRule="auto" w:before="6"/>
        <w:ind w:left="286" w:right="670"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bile acid sequestrants possibly reduce absorption of </w:t>
      </w:r>
      <w:r>
        <w:rPr>
          <w:rFonts w:ascii="Calibri" w:hAnsi="Calibri"/>
          <w:color w:val="008356"/>
          <w:w w:val="110"/>
          <w:sz w:val="11"/>
        </w:rPr>
        <w:t>LOMITAPIDE </w:t>
      </w:r>
      <w:r>
        <w:rPr>
          <w:color w:val="231F1F"/>
          <w:w w:val="110"/>
        </w:rPr>
        <w:t>(give at least 4 hours apart)</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Oestrogens: </w:t>
      </w:r>
      <w:r>
        <w:rPr>
          <w:color w:val="231F1F"/>
          <w:w w:val="105"/>
        </w:rPr>
        <w:t>colesevelam reduces absorption of</w:t>
      </w:r>
    </w:p>
    <w:p>
      <w:pPr>
        <w:spacing w:line="130" w:lineRule="exact" w:before="0"/>
        <w:ind w:left="286" w:right="0" w:firstLine="0"/>
        <w:jc w:val="left"/>
        <w:rPr>
          <w:rFonts w:ascii="Calibri"/>
          <w:sz w:val="11"/>
        </w:rPr>
      </w:pPr>
      <w:r>
        <w:rPr>
          <w:rFonts w:ascii="Calibri"/>
          <w:color w:val="008356"/>
          <w:sz w:val="11"/>
        </w:rPr>
        <w:t>ETHINYLESTRADIOL</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Thyroid Hormones: </w:t>
      </w:r>
      <w:r>
        <w:rPr>
          <w:color w:val="231F1F"/>
          <w:w w:val="105"/>
        </w:rPr>
        <w:t>colesevelam reduces absorption of</w:t>
      </w:r>
    </w:p>
    <w:p>
      <w:pPr>
        <w:spacing w:line="131" w:lineRule="exact" w:before="0"/>
        <w:ind w:left="286" w:right="0" w:firstLine="0"/>
        <w:jc w:val="left"/>
        <w:rPr>
          <w:rFonts w:ascii="Calibri"/>
          <w:sz w:val="11"/>
        </w:rPr>
      </w:pPr>
      <w:r>
        <w:rPr>
          <w:rFonts w:ascii="Calibri"/>
          <w:color w:val="008356"/>
          <w:sz w:val="11"/>
        </w:rPr>
        <w:t>LEVOTHYROXINE</w:t>
      </w:r>
    </w:p>
    <w:p>
      <w:pPr>
        <w:pStyle w:val="BodyText"/>
        <w:spacing w:before="8"/>
        <w:ind w:left="186"/>
        <w:rPr>
          <w:rFonts w:ascii="Trebuchet MS"/>
        </w:rPr>
      </w:pPr>
      <w:r>
        <w:rPr>
          <w:rFonts w:ascii="Trebuchet MS"/>
          <w:color w:val="008356"/>
        </w:rPr>
        <w:t>Colestilan</w:t>
      </w:r>
    </w:p>
    <w:p>
      <w:pPr>
        <w:pStyle w:val="BodyText"/>
        <w:spacing w:line="242" w:lineRule="auto" w:before="5"/>
        <w:ind w:left="286" w:right="603" w:hanging="1"/>
      </w:pPr>
      <w:r>
        <w:rPr>
          <w:rFonts w:ascii="Calibri"/>
          <w:color w:val="008356"/>
          <w:w w:val="115"/>
          <w:sz w:val="11"/>
        </w:rPr>
        <w:t>NOTE </w:t>
      </w:r>
      <w:r>
        <w:rPr>
          <w:color w:val="231F1F"/>
          <w:w w:val="115"/>
        </w:rPr>
        <w:t>Other drugs should be taken at least 1 hour before or 3 hours after colestilan to reduce possible interference with absorption</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Ciclosporin: </w:t>
      </w:r>
      <w:r>
        <w:rPr>
          <w:color w:val="231F1F"/>
          <w:w w:val="105"/>
        </w:rPr>
        <w:t>manufacturer of colestilan advises give</w:t>
      </w:r>
    </w:p>
    <w:p>
      <w:pPr>
        <w:pStyle w:val="BodyText"/>
        <w:spacing w:line="134" w:lineRule="exact"/>
        <w:ind w:left="286"/>
      </w:pPr>
      <w:r>
        <w:rPr>
          <w:rFonts w:ascii="Calibri"/>
          <w:color w:val="008356"/>
          <w:w w:val="115"/>
          <w:sz w:val="11"/>
        </w:rPr>
        <w:t>CICLOSPORIN </w:t>
      </w:r>
      <w:r>
        <w:rPr>
          <w:color w:val="231F1F"/>
          <w:w w:val="115"/>
        </w:rPr>
        <w:t>at least 1 hour before or 3 hours after colestilan</w:t>
      </w:r>
    </w:p>
    <w:p>
      <w:pPr>
        <w:pStyle w:val="BodyText"/>
        <w:spacing w:line="230" w:lineRule="auto" w:before="3"/>
        <w:ind w:left="286" w:right="1003" w:hanging="100"/>
        <w:jc w:val="both"/>
      </w:pPr>
      <w:r>
        <w:rPr>
          <w:rFonts w:ascii="Lucida Sans Unicode" w:hAnsi="Lucida Sans Unicode"/>
          <w:color w:val="A7A8AC"/>
          <w:w w:val="95"/>
          <w:sz w:val="10"/>
        </w:rPr>
        <w:t>▶</w:t>
      </w:r>
      <w:r>
        <w:rPr>
          <w:rFonts w:ascii="Lucida Sans Unicode" w:hAnsi="Lucida Sans Unicode"/>
          <w:color w:val="A7A8AC"/>
          <w:spacing w:val="9"/>
          <w:w w:val="95"/>
          <w:sz w:val="10"/>
        </w:rPr>
        <w:t> </w:t>
      </w:r>
      <w:r>
        <w:rPr>
          <w:rFonts w:ascii="Calibri" w:hAnsi="Calibri"/>
          <w:color w:val="231F1F"/>
          <w:w w:val="110"/>
        </w:rPr>
        <w:t>Mycophenolate:</w:t>
      </w:r>
      <w:r>
        <w:rPr>
          <w:rFonts w:ascii="Calibri" w:hAnsi="Calibri"/>
          <w:color w:val="231F1F"/>
          <w:spacing w:val="-6"/>
          <w:w w:val="110"/>
        </w:rPr>
        <w:t> </w:t>
      </w:r>
      <w:r>
        <w:rPr>
          <w:color w:val="231F1F"/>
          <w:w w:val="110"/>
        </w:rPr>
        <w:t>manufacturer</w:t>
      </w:r>
      <w:r>
        <w:rPr>
          <w:color w:val="231F1F"/>
          <w:spacing w:val="-10"/>
          <w:w w:val="110"/>
        </w:rPr>
        <w:t> </w:t>
      </w:r>
      <w:r>
        <w:rPr>
          <w:color w:val="231F1F"/>
          <w:w w:val="110"/>
        </w:rPr>
        <w:t>of</w:t>
      </w:r>
      <w:r>
        <w:rPr>
          <w:color w:val="231F1F"/>
          <w:spacing w:val="-10"/>
          <w:w w:val="110"/>
        </w:rPr>
        <w:t> </w:t>
      </w:r>
      <w:r>
        <w:rPr>
          <w:color w:val="231F1F"/>
          <w:w w:val="110"/>
        </w:rPr>
        <w:t>colestilan</w:t>
      </w:r>
      <w:r>
        <w:rPr>
          <w:color w:val="231F1F"/>
          <w:spacing w:val="-10"/>
          <w:w w:val="110"/>
        </w:rPr>
        <w:t> </w:t>
      </w:r>
      <w:r>
        <w:rPr>
          <w:color w:val="231F1F"/>
          <w:w w:val="110"/>
        </w:rPr>
        <w:t>advises</w:t>
      </w:r>
      <w:r>
        <w:rPr>
          <w:color w:val="231F1F"/>
          <w:spacing w:val="-11"/>
          <w:w w:val="110"/>
        </w:rPr>
        <w:t> </w:t>
      </w:r>
      <w:r>
        <w:rPr>
          <w:color w:val="231F1F"/>
          <w:spacing w:val="-4"/>
          <w:w w:val="110"/>
        </w:rPr>
        <w:t>give </w:t>
      </w:r>
      <w:r>
        <w:rPr>
          <w:rFonts w:ascii="Calibri" w:hAnsi="Calibri"/>
          <w:color w:val="008356"/>
          <w:spacing w:val="4"/>
          <w:w w:val="110"/>
          <w:sz w:val="11"/>
        </w:rPr>
        <w:t>MYCOPHENOLATE </w:t>
      </w:r>
      <w:r>
        <w:rPr>
          <w:color w:val="231F1F"/>
          <w:w w:val="110"/>
        </w:rPr>
        <w:t>at least 1 hour before or 3 hours after colestilan</w:t>
      </w:r>
    </w:p>
    <w:p>
      <w:pPr>
        <w:pStyle w:val="BodyText"/>
        <w:spacing w:line="152" w:lineRule="exact" w:before="4"/>
        <w:ind w:left="186"/>
        <w:jc w:val="both"/>
      </w:pPr>
      <w:r>
        <w:rPr>
          <w:rFonts w:ascii="Lucida Sans Unicode" w:hAnsi="Lucida Sans Unicode"/>
          <w:color w:val="A7A8AC"/>
          <w:w w:val="95"/>
          <w:sz w:val="10"/>
        </w:rPr>
        <w:t>▶ </w:t>
      </w:r>
      <w:r>
        <w:rPr>
          <w:rFonts w:ascii="Calibri" w:hAnsi="Calibri"/>
          <w:color w:val="231F1F"/>
          <w:w w:val="105"/>
        </w:rPr>
        <w:t>Tacrolimus: </w:t>
      </w:r>
      <w:r>
        <w:rPr>
          <w:color w:val="231F1F"/>
          <w:w w:val="105"/>
        </w:rPr>
        <w:t>manufacturer of colestilan advises give</w:t>
      </w:r>
    </w:p>
    <w:p>
      <w:pPr>
        <w:pStyle w:val="BodyText"/>
        <w:spacing w:line="134" w:lineRule="exact"/>
        <w:ind w:left="286"/>
      </w:pPr>
      <w:r>
        <w:rPr>
          <w:rFonts w:ascii="Calibri"/>
          <w:color w:val="008356"/>
          <w:w w:val="115"/>
          <w:sz w:val="11"/>
        </w:rPr>
        <w:t>TACROLIMUS </w:t>
      </w:r>
      <w:r>
        <w:rPr>
          <w:color w:val="231F1F"/>
          <w:w w:val="115"/>
        </w:rPr>
        <w:t>at least 1 hour before or 3 hours after colestilan</w:t>
      </w:r>
    </w:p>
    <w:p>
      <w:pPr>
        <w:pStyle w:val="BodyText"/>
        <w:spacing w:line="232" w:lineRule="auto" w:before="1"/>
        <w:ind w:left="286" w:right="670" w:hanging="100"/>
      </w:pPr>
      <w:r>
        <w:rPr>
          <w:rFonts w:ascii="Lucida Sans Unicode" w:hAnsi="Lucida Sans Unicode"/>
          <w:color w:val="A7A8AC"/>
          <w:w w:val="95"/>
          <w:sz w:val="10"/>
        </w:rPr>
        <w:t>▶ </w:t>
      </w:r>
      <w:r>
        <w:rPr>
          <w:rFonts w:ascii="Calibri" w:hAnsi="Calibri"/>
          <w:color w:val="231F1F"/>
          <w:w w:val="110"/>
        </w:rPr>
        <w:t>Thyroid Hormones: </w:t>
      </w:r>
      <w:r>
        <w:rPr>
          <w:color w:val="231F1F"/>
          <w:w w:val="110"/>
        </w:rPr>
        <w:t>manufacturer of colestilan advises give </w:t>
      </w:r>
      <w:r>
        <w:rPr>
          <w:rFonts w:ascii="Calibri" w:hAnsi="Calibri"/>
          <w:color w:val="008356"/>
          <w:w w:val="110"/>
          <w:sz w:val="11"/>
        </w:rPr>
        <w:t>LEVOTHYROXINE </w:t>
      </w:r>
      <w:r>
        <w:rPr>
          <w:color w:val="231F1F"/>
          <w:w w:val="110"/>
        </w:rPr>
        <w:t>at least 1 hour before or 3 hours after colestilan</w:t>
      </w:r>
    </w:p>
    <w:p>
      <w:pPr>
        <w:pStyle w:val="BodyText"/>
        <w:spacing w:before="10"/>
        <w:ind w:left="186"/>
        <w:rPr>
          <w:rFonts w:ascii="Trebuchet MS"/>
        </w:rPr>
      </w:pPr>
      <w:r>
        <w:rPr>
          <w:rFonts w:ascii="Trebuchet MS"/>
          <w:color w:val="008356"/>
        </w:rPr>
        <w:t>Colestipol</w:t>
      </w:r>
    </w:p>
    <w:p>
      <w:pPr>
        <w:pStyle w:val="BodyText"/>
        <w:spacing w:line="242" w:lineRule="auto" w:before="6"/>
        <w:ind w:left="286" w:right="706" w:hanging="1"/>
      </w:pPr>
      <w:r>
        <w:rPr>
          <w:rFonts w:ascii="Calibri" w:hAnsi="Calibri"/>
          <w:color w:val="008356"/>
          <w:w w:val="115"/>
          <w:sz w:val="11"/>
        </w:rPr>
        <w:t>NOTE </w:t>
      </w:r>
      <w:r>
        <w:rPr>
          <w:color w:val="231F1F"/>
          <w:w w:val="115"/>
        </w:rPr>
        <w:t>Other drugs should be taken at least 1 hour before or 4</w:t>
      </w:r>
      <w:r>
        <w:rPr>
          <w:rFonts w:ascii="Arial" w:hAnsi="Arial"/>
          <w:color w:val="231F1F"/>
          <w:w w:val="115"/>
        </w:rPr>
        <w:t>–</w:t>
      </w:r>
      <w:r>
        <w:rPr>
          <w:color w:val="231F1F"/>
          <w:w w:val="115"/>
        </w:rPr>
        <w:t>6 hours after colestipol to reduce possible interference with absorption</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colestipol possibly reduces absorption of</w:t>
      </w:r>
    </w:p>
    <w:p>
      <w:pPr>
        <w:spacing w:line="130" w:lineRule="exact" w:before="0"/>
        <w:ind w:left="286" w:right="0" w:firstLine="0"/>
        <w:jc w:val="left"/>
        <w:rPr>
          <w:rFonts w:ascii="Calibri"/>
          <w:sz w:val="11"/>
        </w:rPr>
      </w:pPr>
      <w:r>
        <w:rPr>
          <w:rFonts w:ascii="Calibri"/>
          <w:color w:val="008356"/>
          <w:sz w:val="11"/>
        </w:rPr>
        <w:t>TETRACYCLINE</w:t>
      </w:r>
    </w:p>
    <w:p>
      <w:pPr>
        <w:pStyle w:val="BodyText"/>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manufacturer of canagliflozin advises give bile acid sequestrants at least 1 hour after or 4</w:t>
      </w:r>
      <w:r>
        <w:rPr>
          <w:rFonts w:ascii="Arial" w:hAnsi="Arial"/>
          <w:color w:val="231F1F"/>
          <w:w w:val="105"/>
        </w:rPr>
        <w:t>–</w:t>
      </w:r>
      <w:r>
        <w:rPr>
          <w:color w:val="231F1F"/>
          <w:w w:val="105"/>
        </w:rPr>
        <w:t>6 before </w:t>
      </w:r>
      <w:r>
        <w:rPr>
          <w:rFonts w:ascii="Calibri" w:hAnsi="Calibri"/>
          <w:color w:val="008356"/>
          <w:w w:val="105"/>
          <w:sz w:val="11"/>
        </w:rPr>
        <w:t>CANAGLIFLOZIN</w:t>
      </w:r>
    </w:p>
    <w:p>
      <w:pPr>
        <w:pStyle w:val="BodyText"/>
        <w:spacing w:line="148" w:lineRule="exact"/>
        <w:ind w:left="186"/>
        <w:jc w:val="both"/>
        <w:rPr>
          <w:rFonts w:ascii="Calibri" w:hAnsi="Calibri"/>
          <w:sz w:val="11"/>
        </w:rPr>
      </w:pPr>
      <w:r>
        <w:rPr>
          <w:rFonts w:ascii="Lucida Sans Unicode" w:hAnsi="Lucida Sans Unicode"/>
          <w:color w:val="A7A8AC"/>
          <w:w w:val="95"/>
          <w:sz w:val="10"/>
        </w:rPr>
        <w:t>▶ </w:t>
      </w:r>
      <w:r>
        <w:rPr>
          <w:rFonts w:ascii="Calibri" w:hAnsi="Calibri"/>
          <w:color w:val="231F1F"/>
          <w:w w:val="105"/>
        </w:rPr>
        <w:t>Bile Acids: </w:t>
      </w:r>
      <w:r>
        <w:rPr>
          <w:color w:val="231F1F"/>
          <w:w w:val="105"/>
        </w:rPr>
        <w:t>colestipol possibly reduces absorption of </w:t>
      </w:r>
      <w:r>
        <w:rPr>
          <w:rFonts w:ascii="Calibri" w:hAnsi="Calibri"/>
          <w:color w:val="008356"/>
          <w:w w:val="105"/>
          <w:sz w:val="11"/>
        </w:rPr>
        <w:t>BILE ACIDS</w:t>
      </w:r>
    </w:p>
    <w:p>
      <w:pPr>
        <w:pStyle w:val="BodyText"/>
        <w:spacing w:line="148" w:lineRule="exact"/>
        <w:ind w:left="186"/>
        <w:jc w:val="both"/>
      </w:pPr>
      <w:r>
        <w:rPr>
          <w:rFonts w:ascii="Lucida Sans Unicode" w:hAnsi="Lucida Sans Unicode"/>
          <w:color w:val="A7A8AC"/>
          <w:w w:val="95"/>
          <w:sz w:val="10"/>
        </w:rPr>
        <w:t>▶ </w:t>
      </w:r>
      <w:r>
        <w:rPr>
          <w:rFonts w:ascii="Calibri" w:hAnsi="Calibri"/>
          <w:color w:val="231F1F"/>
          <w:w w:val="105"/>
        </w:rPr>
        <w:t>Cardiac Glycosides: </w:t>
      </w:r>
      <w:r>
        <w:rPr>
          <w:color w:val="231F1F"/>
          <w:w w:val="105"/>
        </w:rPr>
        <w:t>colestipol possibly reduces absorption of</w:t>
      </w:r>
    </w:p>
    <w:p>
      <w:pPr>
        <w:spacing w:line="130" w:lineRule="exact" w:before="0"/>
        <w:ind w:left="286" w:right="0" w:firstLine="0"/>
        <w:jc w:val="left"/>
        <w:rPr>
          <w:rFonts w:ascii="Calibri"/>
          <w:sz w:val="11"/>
        </w:rPr>
      </w:pPr>
      <w:r>
        <w:rPr>
          <w:rFonts w:ascii="Calibri"/>
          <w:color w:val="008356"/>
          <w:sz w:val="11"/>
        </w:rPr>
        <w:t>CARDIAC GLYCOSIDES</w:t>
      </w:r>
    </w:p>
    <w:p>
      <w:pPr>
        <w:spacing w:line="220" w:lineRule="auto" w:before="5"/>
        <w:ind w:left="286" w:right="915" w:hanging="100"/>
        <w:jc w:val="both"/>
        <w:rPr>
          <w:sz w:val="12"/>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colestipol reduces absorption of </w:t>
      </w:r>
      <w:r>
        <w:rPr>
          <w:rFonts w:ascii="Calibri" w:hAnsi="Calibri"/>
          <w:color w:val="008356"/>
          <w:w w:val="105"/>
          <w:sz w:val="11"/>
        </w:rPr>
        <w:t>THIAZIDES AND RELATED DIURETICS </w:t>
      </w:r>
      <w:r>
        <w:rPr>
          <w:color w:val="231F1F"/>
          <w:w w:val="105"/>
          <w:sz w:val="12"/>
        </w:rPr>
        <w:t>(give at least 2 hours apart)</w:t>
      </w:r>
    </w:p>
    <w:p>
      <w:pPr>
        <w:spacing w:after="0" w:line="220" w:lineRule="auto"/>
        <w:jc w:val="both"/>
        <w:rPr>
          <w:sz w:val="12"/>
        </w:rPr>
        <w:sectPr>
          <w:pgSz w:w="8390" w:h="11910"/>
          <w:pgMar w:header="0" w:footer="0" w:top="460" w:bottom="280" w:left="480" w:right="0"/>
          <w:cols w:num="2" w:equalWidth="0">
            <w:col w:w="3628" w:space="48"/>
            <w:col w:w="4234"/>
          </w:cols>
        </w:sectPr>
      </w:pPr>
    </w:p>
    <w:p>
      <w:pPr>
        <w:pStyle w:val="BodyText"/>
        <w:spacing w:before="7"/>
        <w:ind w:left="0"/>
        <w:rPr>
          <w:sz w:val="14"/>
        </w:rPr>
      </w:pPr>
    </w:p>
    <w:p>
      <w:pPr>
        <w:pStyle w:val="BodyText"/>
        <w:spacing w:line="144" w:lineRule="exact"/>
        <w:ind w:left="108"/>
        <w:rPr>
          <w:rFonts w:ascii="Calibri"/>
        </w:rPr>
      </w:pPr>
      <w:r>
        <w:rPr>
          <w:rFonts w:ascii="Arial"/>
          <w:color w:val="008356"/>
        </w:rPr>
        <w:t>Colestipol </w:t>
      </w:r>
      <w:r>
        <w:rPr>
          <w:rFonts w:ascii="Calibri"/>
          <w:color w:val="231F1F"/>
        </w:rPr>
        <w:t>(continued)</w:t>
      </w:r>
    </w:p>
    <w:p>
      <w:pPr>
        <w:pStyle w:val="BodyText"/>
        <w:spacing w:line="220" w:lineRule="auto" w:before="6"/>
        <w:ind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bile acid sequestrants possibly reduce absorption of </w:t>
      </w:r>
      <w:r>
        <w:rPr>
          <w:rFonts w:ascii="Calibri" w:hAnsi="Calibri"/>
          <w:color w:val="008356"/>
          <w:w w:val="110"/>
          <w:sz w:val="11"/>
        </w:rPr>
        <w:t>LOMITAPIDE </w:t>
      </w:r>
      <w:r>
        <w:rPr>
          <w:color w:val="231F1F"/>
          <w:w w:val="110"/>
        </w:rPr>
        <w:t>(give at least 4 hours apart)</w:t>
      </w:r>
    </w:p>
    <w:p>
      <w:pPr>
        <w:spacing w:line="232" w:lineRule="auto" w:before="3"/>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Thyroid Hormones: </w:t>
      </w:r>
      <w:r>
        <w:rPr>
          <w:color w:val="231F1F"/>
          <w:w w:val="105"/>
          <w:sz w:val="12"/>
        </w:rPr>
        <w:t>colestipol reduces absorption of </w:t>
      </w:r>
      <w:r>
        <w:rPr>
          <w:rFonts w:ascii="Calibri" w:hAnsi="Calibri"/>
          <w:color w:val="008356"/>
          <w:w w:val="105"/>
          <w:sz w:val="11"/>
        </w:rPr>
        <w:t>THYROID HORMONES</w:t>
      </w:r>
    </w:p>
    <w:p>
      <w:pPr>
        <w:pStyle w:val="BodyText"/>
        <w:spacing w:before="8"/>
        <w:ind w:left="108"/>
        <w:rPr>
          <w:rFonts w:ascii="Trebuchet MS"/>
        </w:rPr>
      </w:pPr>
      <w:r>
        <w:rPr>
          <w:rFonts w:ascii="Trebuchet MS"/>
          <w:color w:val="008356"/>
        </w:rPr>
        <w:t>Colestyramine</w:t>
      </w:r>
    </w:p>
    <w:p>
      <w:pPr>
        <w:pStyle w:val="BodyText"/>
        <w:spacing w:line="242" w:lineRule="auto" w:before="4"/>
        <w:ind w:right="-4"/>
      </w:pPr>
      <w:r>
        <w:rPr>
          <w:rFonts w:ascii="Calibri" w:hAnsi="Calibri"/>
          <w:color w:val="008356"/>
          <w:w w:val="115"/>
          <w:sz w:val="11"/>
        </w:rPr>
        <w:t>NOTE </w:t>
      </w:r>
      <w:r>
        <w:rPr>
          <w:color w:val="231F1F"/>
          <w:w w:val="115"/>
        </w:rPr>
        <w:t>Other drugs should be taken at least 1 hour before or 4</w:t>
      </w:r>
      <w:r>
        <w:rPr>
          <w:rFonts w:ascii="Arial" w:hAnsi="Arial"/>
          <w:color w:val="231F1F"/>
          <w:w w:val="115"/>
        </w:rPr>
        <w:t>–</w:t>
      </w:r>
      <w:r>
        <w:rPr>
          <w:color w:val="231F1F"/>
          <w:w w:val="115"/>
        </w:rPr>
        <w:t>6 hours after colestyramine to reduce possible interference with absorption</w:t>
      </w:r>
    </w:p>
    <w:p>
      <w:pPr>
        <w:pStyle w:val="BodyText"/>
        <w:spacing w:line="237" w:lineRule="auto" w:before="2"/>
        <w:ind w:right="100"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colestyramine increases the excretion of </w:t>
      </w:r>
      <w:r>
        <w:rPr>
          <w:rFonts w:ascii="Calibri" w:hAnsi="Calibri"/>
          <w:color w:val="008356"/>
          <w:w w:val="110"/>
          <w:sz w:val="11"/>
        </w:rPr>
        <w:t>MELOXICAM</w:t>
      </w:r>
      <w:r>
        <w:rPr>
          <w:color w:val="231F1F"/>
          <w:w w:val="110"/>
        </w:rPr>
        <w:t>; colestyramine reduces absorption of </w:t>
      </w:r>
      <w:r>
        <w:rPr>
          <w:rFonts w:ascii="Calibri" w:hAnsi="Calibri"/>
          <w:color w:val="008356"/>
          <w:w w:val="110"/>
          <w:sz w:val="11"/>
        </w:rPr>
        <w:t>PARACETAMOL</w:t>
      </w:r>
    </w:p>
    <w:p>
      <w:pPr>
        <w:spacing w:line="237"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colestyramine possibly reduces absorption of </w:t>
      </w:r>
      <w:r>
        <w:rPr>
          <w:rFonts w:ascii="Calibri" w:hAnsi="Calibri"/>
          <w:color w:val="008356"/>
          <w:w w:val="105"/>
          <w:sz w:val="11"/>
        </w:rPr>
        <w:t>TETRACYCLINE</w:t>
      </w:r>
      <w:r>
        <w:rPr>
          <w:color w:val="231F1F"/>
          <w:w w:val="105"/>
          <w:sz w:val="12"/>
        </w:rPr>
        <w:t>; colestyramine antagonises effects of </w:t>
      </w:r>
      <w:r>
        <w:rPr>
          <w:i/>
          <w:color w:val="231F1F"/>
          <w:w w:val="105"/>
          <w:sz w:val="12"/>
        </w:rPr>
        <w:t>oral </w:t>
      </w:r>
      <w:r>
        <w:rPr>
          <w:rFonts w:ascii="Calibri" w:hAnsi="Calibri"/>
          <w:color w:val="008356"/>
          <w:w w:val="105"/>
          <w:sz w:val="11"/>
        </w:rPr>
        <w:t>VANCOMYCIN</w:t>
      </w:r>
    </w:p>
    <w:p>
      <w:pPr>
        <w:spacing w:line="240" w:lineRule="auto" w:before="0"/>
        <w:ind w:left="208" w:right="329" w:hanging="100"/>
        <w:jc w:val="left"/>
        <w:rPr>
          <w:rFonts w:ascii="Calibri"/>
          <w:sz w:val="11"/>
        </w:rPr>
      </w:pPr>
      <w:r>
        <w:rPr>
          <w:rFonts w:ascii="Arial"/>
          <w:color w:val="231F1F"/>
          <w:w w:val="355"/>
          <w:position w:val="1"/>
          <w:sz w:val="7"/>
        </w:rPr>
        <w:t>l </w:t>
      </w:r>
      <w:r>
        <w:rPr>
          <w:rFonts w:ascii="Calibri"/>
          <w:color w:val="231F1F"/>
          <w:w w:val="110"/>
          <w:sz w:val="12"/>
        </w:rPr>
        <w:t>Anticoagulants: </w:t>
      </w:r>
      <w:r>
        <w:rPr>
          <w:color w:val="231F1F"/>
          <w:w w:val="110"/>
          <w:sz w:val="12"/>
        </w:rPr>
        <w:t>colestyramine may enhance or reduce anticoagulant effect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COUMARINS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Calibri"/>
          <w:color w:val="008356"/>
          <w:spacing w:val="5"/>
          <w:w w:val="110"/>
          <w:sz w:val="11"/>
        </w:rPr>
        <w:t>PHENINDIONE</w:t>
      </w:r>
    </w:p>
    <w:p>
      <w:pPr>
        <w:pStyle w:val="BodyText"/>
        <w:spacing w:line="242" w:lineRule="auto"/>
        <w:ind w:right="5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colestyramine possibly enhances</w:t>
      </w:r>
      <w:r>
        <w:rPr>
          <w:color w:val="231F1F"/>
          <w:spacing w:val="-19"/>
          <w:w w:val="110"/>
        </w:rPr>
        <w:t> </w:t>
      </w:r>
      <w:r>
        <w:rPr>
          <w:color w:val="231F1F"/>
          <w:w w:val="110"/>
        </w:rPr>
        <w:t>hypoglycaemic effect of </w:t>
      </w:r>
      <w:r>
        <w:rPr>
          <w:rFonts w:ascii="Calibri" w:hAnsi="Calibri"/>
          <w:color w:val="008356"/>
          <w:spacing w:val="4"/>
          <w:w w:val="110"/>
          <w:sz w:val="11"/>
        </w:rPr>
        <w:t>ACARBOSE</w:t>
      </w:r>
      <w:r>
        <w:rPr>
          <w:color w:val="231F1F"/>
          <w:spacing w:val="4"/>
          <w:w w:val="110"/>
        </w:rPr>
        <w:t>; </w:t>
      </w:r>
      <w:r>
        <w:rPr>
          <w:color w:val="231F1F"/>
          <w:w w:val="110"/>
        </w:rPr>
        <w:t>manufacturer of canagliflozin advises give bile acid sequestrants at least 1 hour after or 4</w:t>
      </w:r>
      <w:r>
        <w:rPr>
          <w:rFonts w:ascii="Arial" w:hAnsi="Arial"/>
          <w:color w:val="231F1F"/>
          <w:w w:val="110"/>
        </w:rPr>
        <w:t>–</w:t>
      </w:r>
      <w:r>
        <w:rPr>
          <w:color w:val="231F1F"/>
          <w:w w:val="110"/>
        </w:rPr>
        <w:t>6 before </w:t>
      </w:r>
      <w:r>
        <w:rPr>
          <w:rFonts w:ascii="Calibri" w:hAnsi="Calibri"/>
          <w:color w:val="008356"/>
          <w:spacing w:val="4"/>
          <w:w w:val="110"/>
          <w:sz w:val="11"/>
        </w:rPr>
        <w:t>CANAGLIFLOZIN</w:t>
      </w:r>
    </w:p>
    <w:p>
      <w:pPr>
        <w:pStyle w:val="BodyText"/>
        <w:spacing w:line="146"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colestyramine possibly reduces absorption of</w:t>
      </w:r>
    </w:p>
    <w:p>
      <w:pPr>
        <w:spacing w:line="134" w:lineRule="exact" w:before="0"/>
        <w:ind w:left="208" w:right="0" w:firstLine="0"/>
        <w:jc w:val="left"/>
        <w:rPr>
          <w:rFonts w:ascii="Calibri"/>
          <w:sz w:val="11"/>
        </w:rPr>
      </w:pPr>
      <w:r>
        <w:rPr>
          <w:rFonts w:ascii="Calibri"/>
          <w:color w:val="008356"/>
          <w:sz w:val="11"/>
        </w:rPr>
        <w:t>SODIUM VALPROATE </w:t>
      </w:r>
      <w:r>
        <w:rPr>
          <w:color w:val="231F1F"/>
          <w:sz w:val="12"/>
        </w:rPr>
        <w:t>and </w:t>
      </w:r>
      <w:r>
        <w:rPr>
          <w:rFonts w:ascii="Calibri"/>
          <w:color w:val="008356"/>
          <w:sz w:val="11"/>
        </w:rPr>
        <w:t>VALPROIC ACID</w:t>
      </w:r>
    </w:p>
    <w:p>
      <w:pPr>
        <w:pStyle w:val="BodyText"/>
        <w:spacing w:line="232" w:lineRule="auto"/>
        <w:ind w:right="100" w:hanging="100"/>
        <w:rPr>
          <w:rFonts w:ascii="Calibri" w:hAnsi="Calibri"/>
          <w:sz w:val="11"/>
        </w:rPr>
      </w:pPr>
      <w:r>
        <w:rPr>
          <w:rFonts w:ascii="Lucida Sans Unicode" w:hAnsi="Lucida Sans Unicode"/>
          <w:color w:val="A7A8AC"/>
          <w:w w:val="95"/>
          <w:sz w:val="10"/>
        </w:rPr>
        <w:t>▶ </w:t>
      </w:r>
      <w:r>
        <w:rPr>
          <w:rFonts w:ascii="Calibri" w:hAnsi="Calibri"/>
          <w:color w:val="231F1F"/>
          <w:w w:val="105"/>
        </w:rPr>
        <w:t>Bile Acids: </w:t>
      </w:r>
      <w:r>
        <w:rPr>
          <w:color w:val="231F1F"/>
          <w:w w:val="105"/>
        </w:rPr>
        <w:t>colestyramine possibly reduces absorption of </w:t>
      </w:r>
      <w:r>
        <w:rPr>
          <w:rFonts w:ascii="Calibri" w:hAnsi="Calibri"/>
          <w:color w:val="008356"/>
          <w:w w:val="105"/>
          <w:sz w:val="11"/>
        </w:rPr>
        <w:t>BILE ACIDS</w:t>
      </w:r>
    </w:p>
    <w:p>
      <w:pPr>
        <w:spacing w:line="220" w:lineRule="auto" w:before="0"/>
        <w:ind w:left="208" w:right="11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Cardiac Glycosides:  </w:t>
      </w:r>
      <w:r>
        <w:rPr>
          <w:color w:val="231F1F"/>
          <w:w w:val="105"/>
          <w:sz w:val="12"/>
        </w:rPr>
        <w:t>colestyramine possibly reduces absorption of </w:t>
      </w:r>
      <w:r>
        <w:rPr>
          <w:rFonts w:ascii="Calibri" w:hAnsi="Calibri"/>
          <w:color w:val="008356"/>
          <w:spacing w:val="4"/>
          <w:w w:val="105"/>
          <w:sz w:val="11"/>
        </w:rPr>
        <w:t>CARDIAC GLYCOSIDES</w:t>
      </w:r>
    </w:p>
    <w:p>
      <w:pPr>
        <w:spacing w:line="220" w:lineRule="auto" w:before="9"/>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colestyramine reduces absorption of </w:t>
      </w:r>
      <w:r>
        <w:rPr>
          <w:rFonts w:ascii="Calibri" w:hAnsi="Calibri"/>
          <w:color w:val="008356"/>
          <w:w w:val="105"/>
          <w:sz w:val="11"/>
        </w:rPr>
        <w:t>THIAZIDES AND RELATED DIURETICS </w:t>
      </w:r>
      <w:r>
        <w:rPr>
          <w:color w:val="231F1F"/>
          <w:w w:val="105"/>
          <w:sz w:val="12"/>
        </w:rPr>
        <w:t>(give at least 2 hours apart)</w:t>
      </w:r>
    </w:p>
    <w:p>
      <w:pPr>
        <w:pStyle w:val="BodyText"/>
        <w:spacing w:line="230" w:lineRule="auto" w:before="4"/>
        <w:ind w:hanging="100"/>
      </w:pPr>
      <w:r>
        <w:rPr>
          <w:rFonts w:ascii="Lucida Sans Unicode" w:hAnsi="Lucida Sans Unicode"/>
          <w:color w:val="A7A8AC"/>
          <w:w w:val="95"/>
          <w:sz w:val="10"/>
        </w:rPr>
        <w:t>▶ </w:t>
      </w:r>
      <w:r>
        <w:rPr>
          <w:rFonts w:ascii="Calibri" w:hAnsi="Calibri"/>
          <w:color w:val="231F1F"/>
          <w:w w:val="105"/>
        </w:rPr>
        <w:t>Leflunomide: </w:t>
      </w:r>
      <w:r>
        <w:rPr>
          <w:color w:val="231F1F"/>
          <w:w w:val="105"/>
        </w:rPr>
        <w:t>colestyramine significantly decreases effect of </w:t>
      </w:r>
      <w:r>
        <w:rPr>
          <w:rFonts w:ascii="Calibri" w:hAnsi="Calibri"/>
          <w:color w:val="008356"/>
          <w:w w:val="105"/>
          <w:sz w:val="11"/>
        </w:rPr>
        <w:t>LEFLUNOMIDE </w:t>
      </w:r>
      <w:r>
        <w:rPr>
          <w:color w:val="231F1F"/>
          <w:w w:val="105"/>
        </w:rPr>
        <w:t>(enhanced elimination)</w:t>
      </w:r>
      <w:r>
        <w:rPr>
          <w:rFonts w:ascii="Arial" w:hAnsi="Arial"/>
          <w:color w:val="231F1F"/>
          <w:w w:val="105"/>
        </w:rPr>
        <w:t>—</w:t>
      </w:r>
      <w:r>
        <w:rPr>
          <w:color w:val="231F1F"/>
          <w:w w:val="105"/>
        </w:rPr>
        <w:t>avoid unless drug elimination desired</w:t>
      </w:r>
    </w:p>
    <w:p>
      <w:pPr>
        <w:pStyle w:val="BodyText"/>
        <w:spacing w:line="220" w:lineRule="auto" w:before="12"/>
        <w:ind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bile acid sequestrants possibly reduce absorption of </w:t>
      </w:r>
      <w:r>
        <w:rPr>
          <w:rFonts w:ascii="Calibri" w:hAnsi="Calibri"/>
          <w:color w:val="008356"/>
          <w:w w:val="110"/>
          <w:sz w:val="11"/>
        </w:rPr>
        <w:t>LOMITAPIDE </w:t>
      </w:r>
      <w:r>
        <w:rPr>
          <w:color w:val="231F1F"/>
          <w:w w:val="110"/>
        </w:rPr>
        <w:t>(give at least 4 hours apart)</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Mycophenolate: </w:t>
      </w:r>
      <w:r>
        <w:rPr>
          <w:color w:val="231F1F"/>
          <w:w w:val="105"/>
        </w:rPr>
        <w:t>colestyramine reduces absorption of</w:t>
      </w:r>
    </w:p>
    <w:p>
      <w:pPr>
        <w:spacing w:line="130" w:lineRule="exact" w:before="0"/>
        <w:ind w:left="208" w:right="0" w:firstLine="0"/>
        <w:jc w:val="left"/>
        <w:rPr>
          <w:rFonts w:ascii="Calibri"/>
          <w:sz w:val="11"/>
        </w:rPr>
      </w:pPr>
      <w:r>
        <w:rPr>
          <w:rFonts w:ascii="Calibri"/>
          <w:color w:val="008356"/>
          <w:spacing w:val="4"/>
          <w:sz w:val="11"/>
        </w:rPr>
        <w:t>MYCOPHENOLATE</w:t>
      </w:r>
    </w:p>
    <w:p>
      <w:pPr>
        <w:pStyle w:val="BodyText"/>
        <w:spacing w:line="235" w:lineRule="auto" w:before="1"/>
        <w:ind w:right="183" w:hanging="100"/>
      </w:pPr>
      <w:r>
        <w:rPr>
          <w:rFonts w:ascii="Lucida Sans Unicode" w:hAnsi="Lucida Sans Unicode"/>
          <w:color w:val="A7A8AC"/>
          <w:w w:val="95"/>
          <w:sz w:val="10"/>
        </w:rPr>
        <w:t>▶</w:t>
      </w:r>
      <w:r>
        <w:rPr>
          <w:rFonts w:ascii="Lucida Sans Unicode" w:hAnsi="Lucida Sans Unicode"/>
          <w:color w:val="A7A8AC"/>
          <w:spacing w:val="9"/>
          <w:w w:val="95"/>
          <w:sz w:val="10"/>
        </w:rPr>
        <w:t> </w:t>
      </w:r>
      <w:r>
        <w:rPr>
          <w:rFonts w:ascii="Calibri" w:hAnsi="Calibri"/>
          <w:color w:val="231F1F"/>
          <w:w w:val="110"/>
        </w:rPr>
        <w:t>Raloxifene:</w:t>
      </w:r>
      <w:r>
        <w:rPr>
          <w:rFonts w:ascii="Calibri" w:hAnsi="Calibri"/>
          <w:color w:val="231F1F"/>
          <w:spacing w:val="-7"/>
          <w:w w:val="110"/>
        </w:rPr>
        <w:t> </w:t>
      </w:r>
      <w:r>
        <w:rPr>
          <w:color w:val="231F1F"/>
          <w:w w:val="110"/>
        </w:rPr>
        <w:t>colestyramine</w:t>
      </w:r>
      <w:r>
        <w:rPr>
          <w:color w:val="231F1F"/>
          <w:spacing w:val="-11"/>
          <w:w w:val="110"/>
        </w:rPr>
        <w:t> </w:t>
      </w:r>
      <w:r>
        <w:rPr>
          <w:color w:val="231F1F"/>
          <w:w w:val="110"/>
        </w:rPr>
        <w:t>reduces</w:t>
      </w:r>
      <w:r>
        <w:rPr>
          <w:color w:val="231F1F"/>
          <w:spacing w:val="-10"/>
          <w:w w:val="110"/>
        </w:rPr>
        <w:t> </w:t>
      </w:r>
      <w:r>
        <w:rPr>
          <w:color w:val="231F1F"/>
          <w:w w:val="110"/>
        </w:rPr>
        <w:t>absorption</w:t>
      </w:r>
      <w:r>
        <w:rPr>
          <w:color w:val="231F1F"/>
          <w:spacing w:val="-11"/>
          <w:w w:val="110"/>
        </w:rPr>
        <w:t> </w:t>
      </w:r>
      <w:r>
        <w:rPr>
          <w:color w:val="231F1F"/>
          <w:w w:val="110"/>
        </w:rPr>
        <w:t>of</w:t>
      </w:r>
      <w:r>
        <w:rPr>
          <w:color w:val="231F1F"/>
          <w:spacing w:val="-10"/>
          <w:w w:val="110"/>
        </w:rPr>
        <w:t> </w:t>
      </w:r>
      <w:r>
        <w:rPr>
          <w:rFonts w:ascii="Calibri" w:hAnsi="Calibri"/>
          <w:color w:val="008356"/>
          <w:spacing w:val="4"/>
          <w:w w:val="110"/>
          <w:sz w:val="11"/>
        </w:rPr>
        <w:t>RALOXIFENE </w:t>
      </w:r>
      <w:r>
        <w:rPr>
          <w:color w:val="231F1F"/>
          <w:w w:val="110"/>
        </w:rPr>
        <w:t>(manufacturer of raloxifene advises avoid concomitant administration)</w:t>
      </w:r>
    </w:p>
    <w:p>
      <w:pPr>
        <w:pStyle w:val="BodyText"/>
        <w:spacing w:line="230" w:lineRule="auto" w:before="5"/>
        <w:ind w:hanging="100"/>
      </w:pPr>
      <w:r>
        <w:rPr>
          <w:rFonts w:ascii="Lucida Sans Unicode" w:hAnsi="Lucida Sans Unicode"/>
          <w:color w:val="A7A8AC"/>
          <w:w w:val="95"/>
          <w:sz w:val="10"/>
        </w:rPr>
        <w:t>▶ </w:t>
      </w:r>
      <w:r>
        <w:rPr>
          <w:rFonts w:ascii="Calibri" w:hAnsi="Calibri"/>
          <w:color w:val="231F1F"/>
          <w:w w:val="105"/>
        </w:rPr>
        <w:t>Teriflunomide: </w:t>
      </w:r>
      <w:r>
        <w:rPr>
          <w:color w:val="231F1F"/>
          <w:w w:val="105"/>
        </w:rPr>
        <w:t>colestyramine significantly decreases effect of </w:t>
      </w:r>
      <w:r>
        <w:rPr>
          <w:rFonts w:ascii="Calibri" w:hAnsi="Calibri"/>
          <w:color w:val="008356"/>
          <w:w w:val="105"/>
          <w:sz w:val="11"/>
        </w:rPr>
        <w:t>TERIFLUNOMIDE </w:t>
      </w:r>
      <w:r>
        <w:rPr>
          <w:color w:val="231F1F"/>
          <w:w w:val="105"/>
        </w:rPr>
        <w:t>(enhanced elimination)</w:t>
      </w:r>
      <w:r>
        <w:rPr>
          <w:rFonts w:ascii="Arial" w:hAnsi="Arial"/>
          <w:color w:val="231F1F"/>
          <w:w w:val="105"/>
        </w:rPr>
        <w:t>—</w:t>
      </w:r>
      <w:r>
        <w:rPr>
          <w:color w:val="231F1F"/>
          <w:w w:val="105"/>
        </w:rPr>
        <w:t>avoid unless drug elimination desired</w:t>
      </w:r>
    </w:p>
    <w:p>
      <w:pPr>
        <w:pStyle w:val="BodyText"/>
        <w:spacing w:line="156" w:lineRule="exact" w:before="3"/>
        <w:ind w:left="108"/>
      </w:pPr>
      <w:r>
        <w:rPr>
          <w:rFonts w:ascii="Lucida Sans Unicode" w:hAnsi="Lucida Sans Unicode"/>
          <w:color w:val="A7A8AC"/>
          <w:w w:val="95"/>
          <w:sz w:val="10"/>
        </w:rPr>
        <w:t>▶ </w:t>
      </w:r>
      <w:r>
        <w:rPr>
          <w:rFonts w:ascii="Calibri" w:hAnsi="Calibri"/>
          <w:color w:val="231F1F"/>
          <w:w w:val="105"/>
        </w:rPr>
        <w:t>Thyroid Hormones: </w:t>
      </w:r>
      <w:r>
        <w:rPr>
          <w:color w:val="231F1F"/>
          <w:w w:val="105"/>
        </w:rPr>
        <w:t>colestyramine reduces absorption of</w:t>
      </w:r>
    </w:p>
    <w:p>
      <w:pPr>
        <w:spacing w:line="130" w:lineRule="exact" w:before="0"/>
        <w:ind w:left="208" w:right="0" w:firstLine="0"/>
        <w:jc w:val="left"/>
        <w:rPr>
          <w:rFonts w:ascii="Calibri"/>
          <w:sz w:val="11"/>
        </w:rPr>
      </w:pPr>
      <w:r>
        <w:rPr>
          <w:rFonts w:ascii="Calibri"/>
          <w:color w:val="008356"/>
          <w:sz w:val="11"/>
        </w:rPr>
        <w:t>THYROID HORMONES</w:t>
      </w:r>
    </w:p>
    <w:p>
      <w:pPr>
        <w:pStyle w:val="BodyText"/>
        <w:spacing w:line="230" w:lineRule="auto" w:before="3"/>
        <w:ind w:hanging="100"/>
      </w:pPr>
      <w:r>
        <w:rPr>
          <w:rFonts w:ascii="Lucida Sans Unicode" w:hAnsi="Lucida Sans Unicode"/>
          <w:color w:val="A7A8AC"/>
          <w:w w:val="95"/>
          <w:sz w:val="10"/>
        </w:rPr>
        <w:t>▶ </w:t>
      </w:r>
      <w:r>
        <w:rPr>
          <w:rFonts w:ascii="Calibri" w:hAnsi="Calibri"/>
          <w:color w:val="231F1F"/>
          <w:w w:val="110"/>
        </w:rPr>
        <w:t>Vitamins: </w:t>
      </w:r>
      <w:r>
        <w:rPr>
          <w:color w:val="231F1F"/>
          <w:w w:val="110"/>
        </w:rPr>
        <w:t>colestyramine possibly reduces absorption of </w:t>
      </w:r>
      <w:r>
        <w:rPr>
          <w:rFonts w:ascii="Calibri" w:hAnsi="Calibri"/>
          <w:color w:val="008356"/>
          <w:w w:val="110"/>
          <w:sz w:val="11"/>
        </w:rPr>
        <w:t>CALCITRIOL </w:t>
      </w:r>
      <w:r>
        <w:rPr>
          <w:color w:val="231F1F"/>
          <w:w w:val="110"/>
        </w:rPr>
        <w:t>(give at least 1 hour before or 4 to 6 hours after colestyramine)</w:t>
      </w:r>
    </w:p>
    <w:p>
      <w:pPr>
        <w:pStyle w:val="BodyText"/>
        <w:spacing w:line="256" w:lineRule="auto" w:before="13"/>
        <w:ind w:left="108" w:right="512"/>
        <w:rPr>
          <w:rFonts w:ascii="Trebuchet MS"/>
        </w:rPr>
      </w:pPr>
      <w:r>
        <w:rPr>
          <w:rFonts w:ascii="Trebuchet MS"/>
          <w:color w:val="008356"/>
          <w:w w:val="105"/>
        </w:rPr>
        <w:t>Colistimethate Sodium </w:t>
      </w:r>
      <w:r>
        <w:rPr>
          <w:i/>
          <w:color w:val="231F1F"/>
          <w:w w:val="105"/>
        </w:rPr>
        <w:t>see </w:t>
      </w:r>
      <w:r>
        <w:rPr>
          <w:color w:val="231F1F"/>
          <w:w w:val="105"/>
        </w:rPr>
        <w:t>Polymyxins </w:t>
      </w:r>
      <w:r>
        <w:rPr>
          <w:rFonts w:ascii="Trebuchet MS"/>
          <w:color w:val="008356"/>
          <w:w w:val="105"/>
        </w:rPr>
        <w:t>Contraceptives, oral </w:t>
      </w:r>
      <w:r>
        <w:rPr>
          <w:i/>
          <w:color w:val="231F1F"/>
          <w:w w:val="105"/>
        </w:rPr>
        <w:t>see </w:t>
      </w:r>
      <w:r>
        <w:rPr>
          <w:color w:val="231F1F"/>
          <w:w w:val="105"/>
        </w:rPr>
        <w:t>Oestrogens and Progestogens </w:t>
      </w:r>
      <w:r>
        <w:rPr>
          <w:rFonts w:ascii="Trebuchet MS"/>
          <w:color w:val="008356"/>
          <w:w w:val="105"/>
        </w:rPr>
        <w:t>Corticosteroids</w:t>
      </w:r>
    </w:p>
    <w:p>
      <w:pPr>
        <w:pStyle w:val="BodyText"/>
        <w:ind w:right="-5"/>
      </w:pPr>
      <w:r>
        <w:rPr>
          <w:rFonts w:ascii="Calibri"/>
          <w:color w:val="008356"/>
          <w:w w:val="115"/>
          <w:sz w:val="11"/>
        </w:rPr>
        <w:t>NOTE </w:t>
      </w:r>
      <w:r>
        <w:rPr>
          <w:color w:val="231F1F"/>
          <w:w w:val="115"/>
        </w:rPr>
        <w:t>Interactions do not generally apply to corticosteroids used for topical action (including inhalation) unless specified</w:t>
      </w:r>
    </w:p>
    <w:p>
      <w:pPr>
        <w:pStyle w:val="BodyText"/>
        <w:spacing w:line="220" w:lineRule="auto" w:before="6"/>
        <w:ind w:right="207"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corticosteroids  antagonise hypotensive  </w:t>
      </w:r>
      <w:r>
        <w:rPr>
          <w:color w:val="231F1F"/>
          <w:spacing w:val="-3"/>
          <w:w w:val="105"/>
        </w:rPr>
        <w:t>effect </w:t>
      </w:r>
      <w:r>
        <w:rPr>
          <w:color w:val="231F1F"/>
          <w:w w:val="105"/>
        </w:rPr>
        <w:t>of </w:t>
      </w:r>
      <w:r>
        <w:rPr>
          <w:rFonts w:ascii="Calibri" w:hAnsi="Calibri"/>
          <w:color w:val="008356"/>
          <w:spacing w:val="3"/>
          <w:w w:val="105"/>
          <w:sz w:val="11"/>
        </w:rPr>
        <w:t>ACE</w:t>
      </w:r>
      <w:r>
        <w:rPr>
          <w:rFonts w:ascii="Calibri" w:hAnsi="Calibri"/>
          <w:color w:val="008356"/>
          <w:spacing w:val="5"/>
          <w:w w:val="105"/>
          <w:sz w:val="11"/>
        </w:rPr>
        <w:t> </w:t>
      </w:r>
      <w:r>
        <w:rPr>
          <w:rFonts w:ascii="Calibri" w:hAnsi="Calibri"/>
          <w:color w:val="008356"/>
          <w:spacing w:val="4"/>
          <w:w w:val="105"/>
          <w:sz w:val="11"/>
        </w:rPr>
        <w:t>INHIBITORS</w:t>
      </w:r>
    </w:p>
    <w:p>
      <w:pPr>
        <w:spacing w:line="220" w:lineRule="auto" w:before="8"/>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corticosteroids antagonise hypotensive effect of </w:t>
      </w:r>
      <w:r>
        <w:rPr>
          <w:rFonts w:ascii="Calibri" w:hAnsi="Calibri"/>
          <w:color w:val="008356"/>
          <w:w w:val="105"/>
          <w:sz w:val="11"/>
        </w:rPr>
        <w:t>ADRENERGIC NEURONE BLOCKERS</w:t>
      </w:r>
    </w:p>
    <w:p>
      <w:pPr>
        <w:pStyle w:val="BodyText"/>
        <w:ind w:right="610" w:hanging="100"/>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Aldesleukin:</w:t>
      </w:r>
      <w:r>
        <w:rPr>
          <w:rFonts w:ascii="Calibri"/>
          <w:color w:val="231F1F"/>
          <w:spacing w:val="-17"/>
          <w:w w:val="115"/>
        </w:rPr>
        <w:t> </w:t>
      </w:r>
      <w:r>
        <w:rPr>
          <w:color w:val="231F1F"/>
          <w:w w:val="115"/>
        </w:rPr>
        <w:t>avoidance</w:t>
      </w:r>
      <w:r>
        <w:rPr>
          <w:color w:val="231F1F"/>
          <w:spacing w:val="-20"/>
          <w:w w:val="115"/>
        </w:rPr>
        <w:t> </w:t>
      </w:r>
      <w:r>
        <w:rPr>
          <w:color w:val="231F1F"/>
          <w:w w:val="115"/>
        </w:rPr>
        <w:t>of</w:t>
      </w:r>
      <w:r>
        <w:rPr>
          <w:color w:val="231F1F"/>
          <w:spacing w:val="-20"/>
          <w:w w:val="115"/>
        </w:rPr>
        <w:t> </w:t>
      </w:r>
      <w:r>
        <w:rPr>
          <w:color w:val="231F1F"/>
          <w:w w:val="115"/>
        </w:rPr>
        <w:t>corticosteroids</w:t>
      </w:r>
      <w:r>
        <w:rPr>
          <w:color w:val="231F1F"/>
          <w:spacing w:val="-20"/>
          <w:w w:val="115"/>
        </w:rPr>
        <w:t> </w:t>
      </w:r>
      <w:r>
        <w:rPr>
          <w:color w:val="231F1F"/>
          <w:w w:val="115"/>
        </w:rPr>
        <w:t>advised</w:t>
      </w:r>
      <w:r>
        <w:rPr>
          <w:color w:val="231F1F"/>
          <w:spacing w:val="-19"/>
          <w:w w:val="115"/>
        </w:rPr>
        <w:t> </w:t>
      </w:r>
      <w:r>
        <w:rPr>
          <w:color w:val="231F1F"/>
          <w:spacing w:val="-8"/>
          <w:w w:val="115"/>
        </w:rPr>
        <w:t>by </w:t>
      </w:r>
      <w:r>
        <w:rPr>
          <w:color w:val="231F1F"/>
          <w:w w:val="115"/>
        </w:rPr>
        <w:t>manufacturer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5"/>
          <w:sz w:val="11"/>
        </w:rPr>
        <w:t>ALDESLEUKIN</w:t>
      </w:r>
    </w:p>
    <w:p>
      <w:pPr>
        <w:pStyle w:val="BodyText"/>
        <w:spacing w:line="220" w:lineRule="auto" w:before="6"/>
        <w:ind w:right="165"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corticosteroids antagonise  hypotensive  </w:t>
      </w:r>
      <w:r>
        <w:rPr>
          <w:color w:val="231F1F"/>
          <w:spacing w:val="-3"/>
          <w:w w:val="105"/>
        </w:rPr>
        <w:t>effect </w:t>
      </w:r>
      <w:r>
        <w:rPr>
          <w:color w:val="231F1F"/>
          <w:w w:val="105"/>
        </w:rPr>
        <w:t>of</w:t>
      </w:r>
      <w:r>
        <w:rPr>
          <w:color w:val="231F1F"/>
          <w:spacing w:val="-1"/>
          <w:w w:val="105"/>
        </w:rPr>
        <w:t> </w:t>
      </w:r>
      <w:r>
        <w:rPr>
          <w:rFonts w:ascii="Calibri" w:hAnsi="Calibri"/>
          <w:color w:val="008356"/>
          <w:spacing w:val="4"/>
          <w:w w:val="105"/>
          <w:sz w:val="11"/>
        </w:rPr>
        <w:t>ALPHA-BLOCKERS</w:t>
      </w:r>
    </w:p>
    <w:p>
      <w:pPr>
        <w:pStyle w:val="BodyText"/>
        <w:spacing w:line="220" w:lineRule="auto" w:before="8"/>
        <w:ind w:right="602" w:hanging="100"/>
        <w:rPr>
          <w:rFonts w:ascii="Calibri" w:hAnsi="Calibri"/>
          <w:sz w:val="11"/>
        </w:rPr>
      </w:pPr>
      <w:r>
        <w:rPr>
          <w:rFonts w:ascii="Lucida Sans Unicode" w:hAnsi="Lucida Sans Unicode"/>
          <w:color w:val="A7A8AC"/>
          <w:w w:val="95"/>
          <w:sz w:val="10"/>
        </w:rPr>
        <w:t>▶ </w:t>
      </w:r>
      <w:r>
        <w:rPr>
          <w:rFonts w:ascii="Calibri" w:hAnsi="Calibri"/>
          <w:color w:val="231F1F"/>
          <w:w w:val="110"/>
        </w:rPr>
        <w:t>Aminophylline: </w:t>
      </w:r>
      <w:r>
        <w:rPr>
          <w:color w:val="231F1F"/>
          <w:w w:val="110"/>
        </w:rPr>
        <w:t>increased risk of hypokalaemia</w:t>
      </w:r>
      <w:r>
        <w:rPr>
          <w:color w:val="231F1F"/>
          <w:spacing w:val="-25"/>
          <w:w w:val="110"/>
        </w:rPr>
        <w:t> </w:t>
      </w:r>
      <w:r>
        <w:rPr>
          <w:color w:val="231F1F"/>
          <w:spacing w:val="-4"/>
          <w:w w:val="110"/>
        </w:rPr>
        <w:t>when </w:t>
      </w:r>
      <w:r>
        <w:rPr>
          <w:color w:val="231F1F"/>
          <w:w w:val="110"/>
        </w:rPr>
        <w:t>corticosteroids given with</w:t>
      </w:r>
      <w:r>
        <w:rPr>
          <w:color w:val="231F1F"/>
          <w:spacing w:val="-14"/>
          <w:w w:val="110"/>
        </w:rPr>
        <w:t> </w:t>
      </w:r>
      <w:r>
        <w:rPr>
          <w:rFonts w:ascii="Calibri" w:hAnsi="Calibri"/>
          <w:color w:val="008356"/>
          <w:spacing w:val="5"/>
          <w:w w:val="110"/>
          <w:sz w:val="11"/>
        </w:rPr>
        <w:t>AMINOPHYLLINE</w:t>
      </w:r>
    </w:p>
    <w:p>
      <w:pPr>
        <w:pStyle w:val="BodyText"/>
        <w:spacing w:line="237" w:lineRule="auto"/>
        <w:ind w:right="86" w:hanging="100"/>
      </w:pPr>
      <w:r>
        <w:rPr>
          <w:rFonts w:ascii="Lucida Sans Unicode" w:hAnsi="Lucida Sans Unicode"/>
          <w:color w:val="A7A8AC"/>
          <w:w w:val="95"/>
          <w:sz w:val="10"/>
        </w:rPr>
        <w:t>▶ </w:t>
      </w:r>
      <w:r>
        <w:rPr>
          <w:rFonts w:ascii="Calibri" w:hAnsi="Calibri"/>
          <w:color w:val="231F1F"/>
          <w:w w:val="115"/>
        </w:rPr>
        <w:t>Analgesics: </w:t>
      </w:r>
      <w:r>
        <w:rPr>
          <w:color w:val="231F1F"/>
          <w:w w:val="115"/>
        </w:rPr>
        <w:t>increased risk of gastro-intestinal bleeding and ulceration</w:t>
      </w:r>
      <w:r>
        <w:rPr>
          <w:color w:val="231F1F"/>
          <w:spacing w:val="-16"/>
          <w:w w:val="115"/>
        </w:rPr>
        <w:t> </w:t>
      </w:r>
      <w:r>
        <w:rPr>
          <w:color w:val="231F1F"/>
          <w:w w:val="115"/>
        </w:rPr>
        <w:t>when</w:t>
      </w:r>
      <w:r>
        <w:rPr>
          <w:color w:val="231F1F"/>
          <w:spacing w:val="-16"/>
          <w:w w:val="115"/>
        </w:rPr>
        <w:t> </w:t>
      </w:r>
      <w:r>
        <w:rPr>
          <w:color w:val="231F1F"/>
          <w:w w:val="115"/>
        </w:rPr>
        <w:t>corticosteroids</w:t>
      </w:r>
      <w:r>
        <w:rPr>
          <w:color w:val="231F1F"/>
          <w:spacing w:val="-16"/>
          <w:w w:val="115"/>
        </w:rPr>
        <w:t> </w:t>
      </w:r>
      <w:r>
        <w:rPr>
          <w:color w:val="231F1F"/>
          <w:w w:val="115"/>
        </w:rPr>
        <w:t>given</w:t>
      </w:r>
      <w:r>
        <w:rPr>
          <w:color w:val="231F1F"/>
          <w:spacing w:val="-16"/>
          <w:w w:val="115"/>
        </w:rPr>
        <w:t> </w:t>
      </w:r>
      <w:r>
        <w:rPr>
          <w:color w:val="231F1F"/>
          <w:w w:val="115"/>
        </w:rPr>
        <w:t>with</w:t>
      </w:r>
      <w:r>
        <w:rPr>
          <w:color w:val="231F1F"/>
          <w:spacing w:val="-15"/>
          <w:w w:val="115"/>
        </w:rPr>
        <w:t> </w:t>
      </w:r>
      <w:r>
        <w:rPr>
          <w:rFonts w:ascii="Calibri" w:hAnsi="Calibri"/>
          <w:color w:val="008356"/>
          <w:spacing w:val="4"/>
          <w:w w:val="115"/>
          <w:sz w:val="11"/>
        </w:rPr>
        <w:t>NSAID</w:t>
      </w:r>
      <w:r>
        <w:rPr>
          <w:rFonts w:ascii="Calibri" w:hAnsi="Calibri"/>
          <w:color w:val="008356"/>
          <w:spacing w:val="4"/>
          <w:w w:val="115"/>
          <w:sz w:val="9"/>
        </w:rPr>
        <w:t>S</w:t>
      </w:r>
      <w:r>
        <w:rPr>
          <w:color w:val="231F1F"/>
          <w:spacing w:val="4"/>
          <w:w w:val="115"/>
        </w:rPr>
        <w:t>;</w:t>
      </w:r>
      <w:r>
        <w:rPr>
          <w:color w:val="231F1F"/>
          <w:spacing w:val="-15"/>
          <w:w w:val="115"/>
        </w:rPr>
        <w:t> </w:t>
      </w:r>
      <w:r>
        <w:rPr>
          <w:color w:val="231F1F"/>
          <w:w w:val="115"/>
        </w:rPr>
        <w:t>increased risk of gastro-intestinal bleeding and ulceration when corticosteroids given with </w:t>
      </w:r>
      <w:r>
        <w:rPr>
          <w:rFonts w:ascii="Calibri" w:hAnsi="Calibri"/>
          <w:color w:val="008356"/>
          <w:spacing w:val="4"/>
          <w:w w:val="115"/>
          <w:sz w:val="11"/>
        </w:rPr>
        <w:t>ASPIRIN</w:t>
      </w:r>
      <w:r>
        <w:rPr>
          <w:color w:val="231F1F"/>
          <w:spacing w:val="4"/>
          <w:w w:val="115"/>
        </w:rPr>
        <w:t>, </w:t>
      </w:r>
      <w:r>
        <w:rPr>
          <w:color w:val="231F1F"/>
          <w:w w:val="115"/>
        </w:rPr>
        <w:t>also corticosteroids reduce plasma concentration of</w:t>
      </w:r>
      <w:r>
        <w:rPr>
          <w:color w:val="231F1F"/>
          <w:spacing w:val="-17"/>
          <w:w w:val="115"/>
        </w:rPr>
        <w:t> </w:t>
      </w:r>
      <w:r>
        <w:rPr>
          <w:color w:val="231F1F"/>
          <w:w w:val="115"/>
        </w:rPr>
        <w:t>salicylate</w:t>
      </w:r>
    </w:p>
    <w:p>
      <w:pPr>
        <w:spacing w:line="220" w:lineRule="auto" w:before="13"/>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corticosteroids antagonise hypotensive effect of </w:t>
      </w:r>
      <w:r>
        <w:rPr>
          <w:rFonts w:ascii="Calibri" w:hAnsi="Calibri"/>
          <w:color w:val="008356"/>
          <w:w w:val="105"/>
          <w:sz w:val="11"/>
        </w:rPr>
        <w:t>ANGIOTENSIN-II RECEPTOR ANTAGONISTS</w:t>
      </w:r>
    </w:p>
    <w:p>
      <w:pPr>
        <w:pStyle w:val="BodyText"/>
        <w:spacing w:line="149"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deflazacort reduced by </w:t>
      </w:r>
      <w:r>
        <w:rPr>
          <w:rFonts w:ascii="Calibri" w:hAnsi="Calibri"/>
          <w:color w:val="008356"/>
          <w:w w:val="105"/>
          <w:sz w:val="11"/>
        </w:rPr>
        <w:t>ANTACIDS</w:t>
      </w:r>
    </w:p>
    <w:p>
      <w:pPr>
        <w:pStyle w:val="BodyText"/>
        <w:spacing w:line="230" w:lineRule="auto"/>
        <w:ind w:right="49" w:hanging="100"/>
      </w:pPr>
      <w:r>
        <w:rPr>
          <w:rFonts w:ascii="Lucida Sans Unicode" w:hAnsi="Lucida Sans Unicode"/>
          <w:color w:val="A7A8AC"/>
          <w:w w:val="95"/>
          <w:sz w:val="10"/>
        </w:rPr>
        <w:t>▶ </w:t>
      </w:r>
      <w:r>
        <w:rPr>
          <w:rFonts w:ascii="Calibri" w:hAnsi="Calibri"/>
          <w:color w:val="231F1F"/>
          <w:w w:val="110"/>
        </w:rPr>
        <w:t>Anthelmintics: </w:t>
      </w:r>
      <w:r>
        <w:rPr>
          <w:color w:val="231F1F"/>
          <w:w w:val="110"/>
        </w:rPr>
        <w:t>dexamethasone increases plasma concentration of active metabolite of </w:t>
      </w:r>
      <w:r>
        <w:rPr>
          <w:rFonts w:ascii="Calibri" w:hAnsi="Calibri"/>
          <w:color w:val="008356"/>
          <w:w w:val="110"/>
          <w:sz w:val="11"/>
        </w:rPr>
        <w:t>ALBENDAZOLE</w:t>
      </w:r>
      <w:r>
        <w:rPr>
          <w:color w:val="231F1F"/>
          <w:w w:val="110"/>
        </w:rPr>
        <w:t>; continuous use of dexamethasone possibly reduces plasma concentration of</w:t>
      </w:r>
    </w:p>
    <w:p>
      <w:pPr>
        <w:spacing w:line="133" w:lineRule="exact" w:before="11"/>
        <w:ind w:left="208" w:right="0" w:firstLine="0"/>
        <w:jc w:val="left"/>
        <w:rPr>
          <w:rFonts w:ascii="Calibri"/>
          <w:sz w:val="11"/>
        </w:rPr>
      </w:pPr>
      <w:r>
        <w:rPr>
          <w:rFonts w:ascii="Calibri"/>
          <w:color w:val="008356"/>
          <w:sz w:val="11"/>
        </w:rPr>
        <w:t>PRAZIQUANTEL</w:t>
      </w:r>
    </w:p>
    <w:p>
      <w:pPr>
        <w:pStyle w:val="BodyText"/>
        <w:ind w:hanging="100"/>
      </w:pPr>
      <w:r>
        <w:rPr>
          <w:rFonts w:ascii="Arial"/>
          <w:color w:val="231F1F"/>
          <w:w w:val="355"/>
          <w:position w:val="1"/>
          <w:sz w:val="7"/>
        </w:rPr>
        <w:t>l </w:t>
      </w:r>
      <w:r>
        <w:rPr>
          <w:rFonts w:ascii="Calibri"/>
          <w:color w:val="231F1F"/>
          <w:w w:val="110"/>
        </w:rPr>
        <w:t>Antibacterials: </w:t>
      </w:r>
      <w:r>
        <w:rPr>
          <w:color w:val="231F1F"/>
          <w:w w:val="110"/>
        </w:rPr>
        <w:t>plasma concentration of methylprednisolone possibly increased by </w:t>
      </w:r>
      <w:r>
        <w:rPr>
          <w:rFonts w:ascii="Calibri"/>
          <w:color w:val="008356"/>
          <w:w w:val="110"/>
          <w:sz w:val="11"/>
        </w:rPr>
        <w:t>CLARITHROMYCIN</w:t>
      </w:r>
      <w:r>
        <w:rPr>
          <w:color w:val="231F1F"/>
          <w:w w:val="110"/>
        </w:rPr>
        <w:t>; metabolism of</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Corticosteroids</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3136" filled="true" fillcolor="#bfdbcf" stroked="false">
            <v:fill type="solid"/>
            <w10:wrap type="none"/>
          </v:rect>
        </w:pict>
      </w:r>
      <w:r>
        <w:rPr/>
        <w:pict>
          <v:shape style="position:absolute;margin-left:399.725769pt;margin-top:-3.466702pt;width:10.4pt;height:78.850pt;mso-position-horizontal-relative:page;mso-position-vertical-relative:paragraph;z-index:316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Antibacterials (continued)</w:t>
      </w:r>
    </w:p>
    <w:p>
      <w:pPr>
        <w:pStyle w:val="BodyText"/>
        <w:spacing w:line="244" w:lineRule="auto"/>
        <w:ind w:right="762"/>
      </w:pPr>
      <w:r>
        <w:rPr>
          <w:color w:val="231F1F"/>
          <w:w w:val="110"/>
        </w:rPr>
        <w:t>corticosteroids possibly inhibited by </w:t>
      </w:r>
      <w:r>
        <w:rPr>
          <w:rFonts w:ascii="Calibri"/>
          <w:color w:val="008356"/>
          <w:w w:val="110"/>
          <w:sz w:val="11"/>
        </w:rPr>
        <w:t>ERYTHROMYCIN</w:t>
      </w:r>
      <w:r>
        <w:rPr>
          <w:color w:val="231F1F"/>
          <w:w w:val="110"/>
        </w:rPr>
        <w:t>; metabolism of methylprednisolone inhibited by </w:t>
      </w:r>
      <w:r>
        <w:rPr>
          <w:rFonts w:ascii="Calibri"/>
          <w:color w:val="008356"/>
          <w:w w:val="110"/>
          <w:sz w:val="11"/>
        </w:rPr>
        <w:t>ERYTHROMYCIN</w:t>
      </w:r>
      <w:r>
        <w:rPr>
          <w:color w:val="231F1F"/>
          <w:w w:val="110"/>
        </w:rPr>
        <w:t>; corticosteroids possibly reduce plasma concentration of </w:t>
      </w:r>
      <w:r>
        <w:rPr>
          <w:rFonts w:ascii="Calibri"/>
          <w:color w:val="008356"/>
          <w:w w:val="110"/>
          <w:sz w:val="11"/>
        </w:rPr>
        <w:t>ISONIAZID</w:t>
      </w:r>
      <w:r>
        <w:rPr>
          <w:color w:val="231F1F"/>
          <w:w w:val="110"/>
        </w:rPr>
        <w:t>; metabolism of corticosteroids accelerated by </w:t>
      </w:r>
      <w:r>
        <w:rPr>
          <w:rFonts w:ascii="Arial"/>
          <w:color w:val="231F1F"/>
          <w:w w:val="355"/>
          <w:position w:val="1"/>
          <w:sz w:val="7"/>
        </w:rPr>
        <w:t>l </w:t>
      </w:r>
      <w:r>
        <w:rPr>
          <w:rFonts w:ascii="Calibri"/>
          <w:color w:val="008356"/>
          <w:w w:val="110"/>
          <w:sz w:val="11"/>
        </w:rPr>
        <w:t>RIFAMYCINS </w:t>
      </w:r>
      <w:r>
        <w:rPr>
          <w:color w:val="231F1F"/>
          <w:w w:val="110"/>
        </w:rPr>
        <w:t>(reduced effect)</w:t>
      </w:r>
    </w:p>
    <w:p>
      <w:pPr>
        <w:pStyle w:val="BodyText"/>
        <w:spacing w:line="142" w:lineRule="exact"/>
        <w:ind w:left="108"/>
      </w:pPr>
      <w:r>
        <w:rPr>
          <w:rFonts w:ascii="Arial"/>
          <w:color w:val="231F1F"/>
          <w:w w:val="355"/>
          <w:position w:val="1"/>
          <w:sz w:val="7"/>
        </w:rPr>
        <w:t>l </w:t>
      </w:r>
      <w:r>
        <w:rPr>
          <w:rFonts w:ascii="Calibri"/>
          <w:color w:val="231F1F"/>
          <w:w w:val="115"/>
        </w:rPr>
        <w:t>Anticoagulants: </w:t>
      </w:r>
      <w:r>
        <w:rPr>
          <w:color w:val="231F1F"/>
          <w:w w:val="115"/>
        </w:rPr>
        <w:t>corticosteroids may enhance or reduce</w:t>
      </w:r>
    </w:p>
    <w:p>
      <w:pPr>
        <w:pStyle w:val="BodyText"/>
        <w:spacing w:line="247" w:lineRule="auto"/>
        <w:ind w:right="762"/>
        <w:rPr>
          <w:rFonts w:ascii="Calibri"/>
          <w:sz w:val="11"/>
        </w:rPr>
      </w:pPr>
      <w:r>
        <w:rPr>
          <w:color w:val="231F1F"/>
          <w:w w:val="110"/>
        </w:rPr>
        <w:t>anticoagulant effect of </w:t>
      </w:r>
      <w:r>
        <w:rPr>
          <w:rFonts w:ascii="Arial"/>
          <w:color w:val="231F1F"/>
          <w:w w:val="355"/>
          <w:position w:val="1"/>
          <w:sz w:val="7"/>
        </w:rPr>
        <w:t>l </w:t>
      </w:r>
      <w:r>
        <w:rPr>
          <w:rFonts w:ascii="Calibri"/>
          <w:color w:val="008356"/>
          <w:w w:val="110"/>
          <w:sz w:val="11"/>
        </w:rPr>
        <w:t>COUMARINS </w:t>
      </w:r>
      <w:r>
        <w:rPr>
          <w:color w:val="231F1F"/>
          <w:w w:val="110"/>
        </w:rPr>
        <w:t>(high-dose corticosteroids enhance anticoagulant effect); corticosteroids may enhance or reduce anticoagulant effect of </w:t>
      </w:r>
      <w:r>
        <w:rPr>
          <w:rFonts w:ascii="Calibri"/>
          <w:color w:val="008356"/>
          <w:w w:val="110"/>
          <w:sz w:val="11"/>
        </w:rPr>
        <w:t>PHENINDIONE</w:t>
      </w:r>
    </w:p>
    <w:p>
      <w:pPr>
        <w:pStyle w:val="BodyText"/>
        <w:spacing w:line="220" w:lineRule="auto" w:before="1"/>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corticosteroids  antagonise hypoglycaemic </w:t>
      </w:r>
      <w:r>
        <w:rPr>
          <w:color w:val="231F1F"/>
          <w:spacing w:val="-3"/>
          <w:w w:val="105"/>
        </w:rPr>
        <w:t>effect </w:t>
      </w:r>
      <w:r>
        <w:rPr>
          <w:color w:val="231F1F"/>
          <w:w w:val="105"/>
        </w:rPr>
        <w:t>of</w:t>
      </w:r>
      <w:r>
        <w:rPr>
          <w:color w:val="231F1F"/>
          <w:spacing w:val="-1"/>
          <w:w w:val="105"/>
        </w:rPr>
        <w:t> </w:t>
      </w:r>
      <w:r>
        <w:rPr>
          <w:rFonts w:ascii="Calibri" w:hAnsi="Calibri"/>
          <w:color w:val="008356"/>
          <w:spacing w:val="5"/>
          <w:w w:val="105"/>
          <w:sz w:val="11"/>
        </w:rPr>
        <w:t>ANTIDIABETICS</w:t>
      </w:r>
    </w:p>
    <w:p>
      <w:pPr>
        <w:pStyle w:val="BodyText"/>
        <w:spacing w:line="145" w:lineRule="exact"/>
        <w:ind w:left="108"/>
      </w:pPr>
      <w:r>
        <w:rPr>
          <w:rFonts w:ascii="Arial"/>
          <w:color w:val="231F1F"/>
          <w:w w:val="355"/>
          <w:position w:val="1"/>
          <w:sz w:val="7"/>
        </w:rPr>
        <w:t>l </w:t>
      </w:r>
      <w:r>
        <w:rPr>
          <w:rFonts w:ascii="Calibri"/>
          <w:color w:val="231F1F"/>
          <w:w w:val="115"/>
        </w:rPr>
        <w:t>Antiepileptics: </w:t>
      </w:r>
      <w:r>
        <w:rPr>
          <w:color w:val="231F1F"/>
          <w:w w:val="115"/>
        </w:rPr>
        <w:t>metabolism of corticosteroids accelerated 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w:t>
      </w:r>
    </w:p>
    <w:p>
      <w:pPr>
        <w:spacing w:line="141" w:lineRule="exact" w:before="2"/>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PHENYTOIN</w:t>
      </w:r>
      <w:r>
        <w:rPr>
          <w:rFonts w:ascii="Calibri"/>
          <w:color w:val="008356"/>
          <w:spacing w:val="-8"/>
          <w:w w:val="110"/>
          <w:sz w:val="11"/>
        </w:rPr>
        <w:t> </w:t>
      </w:r>
      <w:r>
        <w:rPr>
          <w:color w:val="231F1F"/>
          <w:w w:val="110"/>
          <w:sz w:val="12"/>
        </w:rPr>
        <w:t>and</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PRIMIDONE</w:t>
      </w:r>
      <w:r>
        <w:rPr>
          <w:rFonts w:ascii="Calibri"/>
          <w:color w:val="008356"/>
          <w:spacing w:val="-7"/>
          <w:w w:val="110"/>
          <w:sz w:val="11"/>
        </w:rPr>
        <w:t> </w:t>
      </w:r>
      <w:r>
        <w:rPr>
          <w:color w:val="231F1F"/>
          <w:w w:val="110"/>
          <w:sz w:val="12"/>
        </w:rPr>
        <w:t>(reduced</w:t>
      </w:r>
      <w:r>
        <w:rPr>
          <w:color w:val="231F1F"/>
          <w:spacing w:val="-17"/>
          <w:w w:val="110"/>
          <w:sz w:val="12"/>
        </w:rPr>
        <w:t> </w:t>
      </w:r>
      <w:r>
        <w:rPr>
          <w:color w:val="231F1F"/>
          <w:w w:val="110"/>
          <w:sz w:val="12"/>
        </w:rPr>
        <w:t>effect)</w:t>
      </w:r>
    </w:p>
    <w:p>
      <w:pPr>
        <w:pStyle w:val="BodyText"/>
        <w:ind w:right="672" w:hanging="100"/>
      </w:pPr>
      <w:r>
        <w:rPr>
          <w:rFonts w:ascii="Arial"/>
          <w:color w:val="231F1F"/>
          <w:w w:val="355"/>
          <w:position w:val="1"/>
          <w:sz w:val="7"/>
        </w:rPr>
        <w:t>l </w:t>
      </w:r>
      <w:r>
        <w:rPr>
          <w:rFonts w:ascii="Calibri"/>
          <w:color w:val="231F1F"/>
          <w:w w:val="110"/>
        </w:rPr>
        <w:t>Antifungals: </w:t>
      </w:r>
      <w:r>
        <w:rPr>
          <w:color w:val="231F1F"/>
          <w:w w:val="110"/>
        </w:rPr>
        <w:t>metabolism of corticosteroids possibly inhibited by</w:t>
      </w:r>
      <w:r>
        <w:rPr>
          <w:color w:val="231F1F"/>
          <w:spacing w:val="-16"/>
          <w:w w:val="110"/>
        </w:rPr>
        <w:t> </w:t>
      </w:r>
      <w:r>
        <w:rPr>
          <w:rFonts w:ascii="Calibri"/>
          <w:color w:val="008356"/>
          <w:spacing w:val="4"/>
          <w:w w:val="110"/>
          <w:sz w:val="11"/>
        </w:rPr>
        <w:t>ITRACONAZOLE</w:t>
      </w:r>
      <w:r>
        <w:rPr>
          <w:rFonts w:ascii="Calibri"/>
          <w:color w:val="008356"/>
          <w:spacing w:val="-6"/>
          <w:w w:val="110"/>
          <w:sz w:val="11"/>
        </w:rPr>
        <w:t> </w:t>
      </w:r>
      <w:r>
        <w:rPr>
          <w:color w:val="231F1F"/>
          <w:w w:val="110"/>
        </w:rPr>
        <w:t>and</w:t>
      </w:r>
      <w:r>
        <w:rPr>
          <w:color w:val="231F1F"/>
          <w:spacing w:val="-15"/>
          <w:w w:val="110"/>
        </w:rPr>
        <w:t> </w:t>
      </w:r>
      <w:r>
        <w:rPr>
          <w:rFonts w:ascii="Calibri"/>
          <w:color w:val="008356"/>
          <w:spacing w:val="4"/>
          <w:w w:val="110"/>
          <w:sz w:val="11"/>
        </w:rPr>
        <w:t>KETOCONAZOLE</w:t>
      </w:r>
      <w:r>
        <w:rPr>
          <w:color w:val="231F1F"/>
          <w:spacing w:val="4"/>
          <w:w w:val="110"/>
        </w:rPr>
        <w:t>;</w:t>
      </w:r>
      <w:r>
        <w:rPr>
          <w:color w:val="231F1F"/>
          <w:spacing w:val="-15"/>
          <w:w w:val="110"/>
        </w:rPr>
        <w:t> </w:t>
      </w:r>
      <w:r>
        <w:rPr>
          <w:color w:val="231F1F"/>
          <w:w w:val="110"/>
        </w:rPr>
        <w:t>plasma</w:t>
      </w:r>
      <w:r>
        <w:rPr>
          <w:color w:val="231F1F"/>
          <w:spacing w:val="-16"/>
          <w:w w:val="110"/>
        </w:rPr>
        <w:t> </w:t>
      </w:r>
      <w:r>
        <w:rPr>
          <w:color w:val="231F1F"/>
          <w:w w:val="110"/>
        </w:rPr>
        <w:t>concentration</w:t>
      </w:r>
      <w:r>
        <w:rPr>
          <w:color w:val="231F1F"/>
          <w:spacing w:val="-17"/>
          <w:w w:val="110"/>
        </w:rPr>
        <w:t> </w:t>
      </w:r>
      <w:r>
        <w:rPr>
          <w:color w:val="231F1F"/>
          <w:w w:val="110"/>
        </w:rPr>
        <w:t>of active metabolite of ciclesonide increased</w:t>
      </w:r>
      <w:r>
        <w:rPr>
          <w:color w:val="231F1F"/>
          <w:spacing w:val="-3"/>
          <w:w w:val="110"/>
        </w:rPr>
        <w:t> </w:t>
      </w:r>
      <w:r>
        <w:rPr>
          <w:color w:val="231F1F"/>
          <w:w w:val="110"/>
        </w:rPr>
        <w:t>by</w:t>
      </w:r>
    </w:p>
    <w:p>
      <w:pPr>
        <w:spacing w:line="244" w:lineRule="auto" w:before="5"/>
        <w:ind w:left="208" w:right="762" w:firstLine="0"/>
        <w:jc w:val="left"/>
        <w:rPr>
          <w:sz w:val="12"/>
        </w:rPr>
      </w:pPr>
      <w:r>
        <w:rPr>
          <w:rFonts w:ascii="Arial"/>
          <w:color w:val="231F1F"/>
          <w:w w:val="355"/>
          <w:position w:val="1"/>
          <w:sz w:val="7"/>
        </w:rPr>
        <w:t>l </w:t>
      </w:r>
      <w:r>
        <w:rPr>
          <w:rFonts w:ascii="Calibri"/>
          <w:color w:val="008356"/>
          <w:w w:val="110"/>
          <w:sz w:val="11"/>
        </w:rPr>
        <w:t>KETOCONAZOLE</w:t>
      </w:r>
      <w:r>
        <w:rPr>
          <w:color w:val="231F1F"/>
          <w:w w:val="110"/>
          <w:sz w:val="12"/>
        </w:rPr>
        <w:t>; plasma concentration of </w:t>
      </w:r>
      <w:r>
        <w:rPr>
          <w:i/>
          <w:color w:val="231F1F"/>
          <w:w w:val="110"/>
          <w:sz w:val="12"/>
        </w:rPr>
        <w:t>inhaled </w:t>
      </w:r>
      <w:r>
        <w:rPr>
          <w:color w:val="231F1F"/>
          <w:w w:val="110"/>
          <w:sz w:val="12"/>
        </w:rPr>
        <w:t>mometasone increased by </w:t>
      </w:r>
      <w:r>
        <w:rPr>
          <w:rFonts w:ascii="Calibri"/>
          <w:color w:val="008356"/>
          <w:w w:val="110"/>
          <w:sz w:val="11"/>
        </w:rPr>
        <w:t>KETOCONAZOLE</w:t>
      </w:r>
      <w:r>
        <w:rPr>
          <w:color w:val="231F1F"/>
          <w:w w:val="110"/>
          <w:sz w:val="12"/>
        </w:rPr>
        <w:t>; plasma concentration of </w:t>
      </w:r>
      <w:r>
        <w:rPr>
          <w:i/>
          <w:color w:val="231F1F"/>
          <w:w w:val="110"/>
          <w:sz w:val="12"/>
        </w:rPr>
        <w:t>inhaled </w:t>
      </w:r>
      <w:r>
        <w:rPr>
          <w:color w:val="231F1F"/>
          <w:w w:val="110"/>
          <w:sz w:val="12"/>
        </w:rPr>
        <w:t>and </w:t>
      </w:r>
      <w:r>
        <w:rPr>
          <w:i/>
          <w:color w:val="231F1F"/>
          <w:w w:val="110"/>
          <w:sz w:val="12"/>
        </w:rPr>
        <w:t>oral </w:t>
      </w:r>
      <w:r>
        <w:rPr>
          <w:color w:val="231F1F"/>
          <w:w w:val="110"/>
          <w:sz w:val="12"/>
        </w:rPr>
        <w:t>(and possibly also </w:t>
      </w:r>
      <w:r>
        <w:rPr>
          <w:i/>
          <w:color w:val="231F1F"/>
          <w:w w:val="110"/>
          <w:sz w:val="12"/>
        </w:rPr>
        <w:t>intranasal </w:t>
      </w:r>
      <w:r>
        <w:rPr>
          <w:color w:val="231F1F"/>
          <w:w w:val="110"/>
          <w:sz w:val="12"/>
        </w:rPr>
        <w:t>and </w:t>
      </w:r>
      <w:r>
        <w:rPr>
          <w:i/>
          <w:color w:val="231F1F"/>
          <w:w w:val="110"/>
          <w:sz w:val="12"/>
        </w:rPr>
        <w:t>rectal</w:t>
      </w:r>
      <w:r>
        <w:rPr>
          <w:color w:val="231F1F"/>
          <w:w w:val="110"/>
          <w:sz w:val="12"/>
        </w:rPr>
        <w:t>) budesonide increased by</w:t>
      </w:r>
    </w:p>
    <w:p>
      <w:pPr>
        <w:spacing w:line="244" w:lineRule="auto" w:before="3"/>
        <w:ind w:left="208" w:right="699" w:firstLine="0"/>
        <w:jc w:val="left"/>
        <w:rPr>
          <w:sz w:val="12"/>
        </w:rPr>
      </w:pPr>
      <w:r>
        <w:rPr>
          <w:rFonts w:ascii="Arial" w:hAnsi="Arial"/>
          <w:color w:val="231F1F"/>
          <w:w w:val="355"/>
          <w:position w:val="1"/>
          <w:sz w:val="7"/>
        </w:rPr>
        <w:t>l </w:t>
      </w:r>
      <w:r>
        <w:rPr>
          <w:rFonts w:ascii="Calibri" w:hAnsi="Calibri"/>
          <w:color w:val="008356"/>
          <w:w w:val="110"/>
          <w:sz w:val="11"/>
        </w:rPr>
        <w:t>ITRACONAZOLE </w:t>
      </w:r>
      <w:r>
        <w:rPr>
          <w:color w:val="231F1F"/>
          <w:w w:val="110"/>
          <w:sz w:val="12"/>
        </w:rPr>
        <w:t>and </w:t>
      </w:r>
      <w:r>
        <w:rPr>
          <w:rFonts w:ascii="Arial" w:hAnsi="Arial"/>
          <w:color w:val="231F1F"/>
          <w:w w:val="355"/>
          <w:position w:val="1"/>
          <w:sz w:val="7"/>
        </w:rPr>
        <w:t>l </w:t>
      </w:r>
      <w:r>
        <w:rPr>
          <w:rFonts w:ascii="Calibri" w:hAnsi="Calibri"/>
          <w:color w:val="008356"/>
          <w:w w:val="110"/>
          <w:sz w:val="11"/>
        </w:rPr>
        <w:t>KETOCONAZOLE</w:t>
      </w:r>
      <w:r>
        <w:rPr>
          <w:color w:val="231F1F"/>
          <w:w w:val="110"/>
          <w:sz w:val="12"/>
        </w:rPr>
        <w:t>; </w:t>
      </w:r>
      <w:r>
        <w:rPr>
          <w:i/>
          <w:color w:val="231F1F"/>
          <w:w w:val="110"/>
          <w:sz w:val="12"/>
        </w:rPr>
        <w:t>inhaled </w:t>
      </w:r>
      <w:r>
        <w:rPr>
          <w:color w:val="231F1F"/>
          <w:w w:val="110"/>
          <w:sz w:val="12"/>
        </w:rPr>
        <w:t>fluticasone plasma concentration is possibly increased by </w:t>
      </w:r>
      <w:r>
        <w:rPr>
          <w:rFonts w:ascii="Calibri" w:hAnsi="Calibri"/>
          <w:color w:val="008356"/>
          <w:w w:val="110"/>
          <w:sz w:val="11"/>
        </w:rPr>
        <w:t>KETOCONAZOLE</w:t>
      </w:r>
      <w:r>
        <w:rPr>
          <w:color w:val="231F1F"/>
          <w:w w:val="110"/>
          <w:sz w:val="12"/>
        </w:rPr>
        <w:t>; metabolism of methylprednisolone inhibited by </w:t>
      </w:r>
      <w:r>
        <w:rPr>
          <w:rFonts w:ascii="Calibri" w:hAnsi="Calibri"/>
          <w:color w:val="008356"/>
          <w:w w:val="110"/>
          <w:sz w:val="11"/>
        </w:rPr>
        <w:t>KETOCONAZOLE</w:t>
      </w:r>
      <w:r>
        <w:rPr>
          <w:color w:val="231F1F"/>
          <w:w w:val="110"/>
          <w:sz w:val="12"/>
        </w:rPr>
        <w:t>; increased risk of hypokalaemia when corticosteroids given with </w:t>
      </w:r>
      <w:r>
        <w:rPr>
          <w:rFonts w:ascii="Arial" w:hAnsi="Arial"/>
          <w:color w:val="231F1F"/>
          <w:w w:val="355"/>
          <w:position w:val="1"/>
          <w:sz w:val="7"/>
        </w:rPr>
        <w:t>l </w:t>
      </w:r>
      <w:r>
        <w:rPr>
          <w:rFonts w:ascii="Calibri" w:hAnsi="Calibri"/>
          <w:color w:val="008356"/>
          <w:w w:val="110"/>
          <w:sz w:val="11"/>
        </w:rPr>
        <w:t>AMPHOTERICIN</w:t>
      </w:r>
      <w:r>
        <w:rPr>
          <w:rFonts w:ascii="Arial" w:hAnsi="Arial"/>
          <w:color w:val="231F1F"/>
          <w:w w:val="110"/>
          <w:sz w:val="12"/>
        </w:rPr>
        <w:t>—</w:t>
      </w:r>
      <w:r>
        <w:rPr>
          <w:color w:val="231F1F"/>
          <w:w w:val="110"/>
          <w:sz w:val="12"/>
        </w:rPr>
        <w:t>avoid concomitant use unless corticosteroids needed to control reactions; plasma concentration of </w:t>
      </w:r>
      <w:r>
        <w:rPr>
          <w:i/>
          <w:color w:val="231F1F"/>
          <w:w w:val="110"/>
          <w:sz w:val="12"/>
        </w:rPr>
        <w:t>inhaled </w:t>
      </w:r>
      <w:r>
        <w:rPr>
          <w:color w:val="231F1F"/>
          <w:w w:val="110"/>
          <w:sz w:val="12"/>
        </w:rPr>
        <w:t>fluticasone increased by </w:t>
      </w:r>
      <w:r>
        <w:rPr>
          <w:rFonts w:ascii="Calibri" w:hAnsi="Calibri"/>
          <w:color w:val="008356"/>
          <w:w w:val="110"/>
          <w:sz w:val="11"/>
        </w:rPr>
        <w:t>ITRACONAZOLE</w:t>
      </w:r>
      <w:r>
        <w:rPr>
          <w:color w:val="231F1F"/>
          <w:w w:val="110"/>
          <w:sz w:val="12"/>
        </w:rPr>
        <w:t>; metabolism of methylprednisolone possibly inhibited by </w:t>
      </w:r>
      <w:r>
        <w:rPr>
          <w:rFonts w:ascii="Calibri" w:hAnsi="Calibri"/>
          <w:color w:val="008356"/>
          <w:w w:val="110"/>
          <w:sz w:val="11"/>
        </w:rPr>
        <w:t>ITRACONAZOLE</w:t>
      </w:r>
      <w:r>
        <w:rPr>
          <w:color w:val="231F1F"/>
          <w:w w:val="110"/>
          <w:sz w:val="12"/>
        </w:rPr>
        <w:t>; dexamethasone possibly reduces plasma concentration of </w:t>
      </w:r>
      <w:r>
        <w:rPr>
          <w:rFonts w:ascii="Calibri" w:hAnsi="Calibri"/>
          <w:color w:val="008356"/>
          <w:w w:val="110"/>
          <w:sz w:val="11"/>
        </w:rPr>
        <w:t>CASPOFUNGIN</w:t>
      </w:r>
      <w:r>
        <w:rPr>
          <w:rFonts w:ascii="Arial" w:hAnsi="Arial"/>
          <w:color w:val="231F1F"/>
          <w:w w:val="110"/>
          <w:sz w:val="12"/>
        </w:rPr>
        <w:t>—</w:t>
      </w:r>
      <w:r>
        <w:rPr>
          <w:color w:val="231F1F"/>
          <w:w w:val="110"/>
          <w:sz w:val="12"/>
        </w:rPr>
        <w:t>consider increasing dose of caspofungin</w:t>
      </w:r>
    </w:p>
    <w:p>
      <w:pPr>
        <w:spacing w:line="244" w:lineRule="auto" w:before="0"/>
        <w:ind w:left="208" w:right="645" w:hanging="100"/>
        <w:jc w:val="left"/>
        <w:rPr>
          <w:sz w:val="12"/>
        </w:rPr>
      </w:pPr>
      <w:r>
        <w:rPr>
          <w:rFonts w:ascii="Arial" w:hAnsi="Arial"/>
          <w:color w:val="231F1F"/>
          <w:w w:val="355"/>
          <w:position w:val="1"/>
          <w:sz w:val="7"/>
        </w:rPr>
        <w:t>l </w:t>
      </w:r>
      <w:r>
        <w:rPr>
          <w:rFonts w:ascii="Calibri" w:hAnsi="Calibri"/>
          <w:color w:val="231F1F"/>
          <w:w w:val="115"/>
          <w:sz w:val="12"/>
        </w:rPr>
        <w:t>Antivirals: </w:t>
      </w:r>
      <w:r>
        <w:rPr>
          <w:color w:val="231F1F"/>
          <w:w w:val="115"/>
          <w:sz w:val="12"/>
        </w:rPr>
        <w:t>dexamethasone possibly reduces plasma </w:t>
      </w:r>
      <w:r>
        <w:rPr>
          <w:color w:val="231F1F"/>
          <w:w w:val="110"/>
          <w:sz w:val="12"/>
        </w:rPr>
        <w:t>concentration of </w:t>
      </w:r>
      <w:r>
        <w:rPr>
          <w:rFonts w:ascii="Calibri" w:hAnsi="Calibri"/>
          <w:color w:val="008356"/>
          <w:w w:val="110"/>
          <w:sz w:val="11"/>
        </w:rPr>
        <w:t>DACLATASVIR </w:t>
      </w:r>
      <w:r>
        <w:rPr>
          <w:color w:val="231F1F"/>
          <w:w w:val="110"/>
          <w:sz w:val="12"/>
        </w:rPr>
        <w:t>and </w:t>
      </w:r>
      <w:r>
        <w:rPr>
          <w:rFonts w:ascii="Calibri" w:hAnsi="Calibri"/>
          <w:color w:val="008356"/>
          <w:w w:val="110"/>
          <w:sz w:val="11"/>
        </w:rPr>
        <w:t>SIMEPREVIR</w:t>
      </w:r>
      <w:r>
        <w:rPr>
          <w:rFonts w:ascii="Arial" w:hAnsi="Arial"/>
          <w:color w:val="231F1F"/>
          <w:w w:val="110"/>
          <w:sz w:val="12"/>
        </w:rPr>
        <w:t>—</w:t>
      </w:r>
      <w:r>
        <w:rPr>
          <w:color w:val="231F1F"/>
          <w:w w:val="110"/>
          <w:sz w:val="12"/>
        </w:rPr>
        <w:t>manufacturer </w:t>
      </w:r>
      <w:r>
        <w:rPr>
          <w:color w:val="231F1F"/>
          <w:w w:val="115"/>
          <w:sz w:val="12"/>
        </w:rPr>
        <w:t>of daclatasvir and simeprevir advises avoid concomitant use; dexamethasone possibly reduces plasma concentration of </w:t>
      </w:r>
      <w:r>
        <w:rPr>
          <w:rFonts w:ascii="Calibri" w:hAnsi="Calibri"/>
          <w:color w:val="008356"/>
          <w:w w:val="105"/>
          <w:sz w:val="11"/>
        </w:rPr>
        <w:t>INDINAVIR</w:t>
      </w:r>
      <w:r>
        <w:rPr>
          <w:color w:val="231F1F"/>
          <w:w w:val="105"/>
          <w:sz w:val="12"/>
        </w:rPr>
        <w:t>, </w:t>
      </w:r>
      <w:r>
        <w:rPr>
          <w:rFonts w:ascii="Calibri" w:hAnsi="Calibri"/>
          <w:color w:val="008356"/>
          <w:w w:val="105"/>
          <w:sz w:val="11"/>
        </w:rPr>
        <w:t>LOPINAVIR</w:t>
      </w:r>
      <w:r>
        <w:rPr>
          <w:color w:val="231F1F"/>
          <w:w w:val="105"/>
          <w:sz w:val="12"/>
        </w:rPr>
        <w:t>, </w:t>
      </w:r>
      <w:r>
        <w:rPr>
          <w:rFonts w:ascii="Calibri" w:hAnsi="Calibri"/>
          <w:color w:val="008356"/>
          <w:w w:val="105"/>
          <w:sz w:val="11"/>
        </w:rPr>
        <w:t>SAQUINAVIR </w:t>
      </w:r>
      <w:r>
        <w:rPr>
          <w:color w:val="231F1F"/>
          <w:w w:val="105"/>
          <w:sz w:val="12"/>
        </w:rPr>
        <w:t>and </w:t>
      </w:r>
      <w:r>
        <w:rPr>
          <w:rFonts w:ascii="Calibri" w:hAnsi="Calibri"/>
          <w:color w:val="008356"/>
          <w:w w:val="105"/>
          <w:sz w:val="11"/>
        </w:rPr>
        <w:t>TELAPREVIR</w:t>
      </w:r>
      <w:r>
        <w:rPr>
          <w:color w:val="231F1F"/>
          <w:w w:val="105"/>
          <w:sz w:val="12"/>
        </w:rPr>
        <w:t>; avoidance</w:t>
      </w:r>
    </w:p>
    <w:p>
      <w:pPr>
        <w:spacing w:line="247" w:lineRule="auto" w:before="0"/>
        <w:ind w:left="208" w:right="626" w:firstLine="0"/>
        <w:jc w:val="left"/>
        <w:rPr>
          <w:sz w:val="12"/>
        </w:rPr>
      </w:pPr>
      <w:r>
        <w:rPr>
          <w:color w:val="231F1F"/>
          <w:w w:val="115"/>
          <w:sz w:val="12"/>
        </w:rPr>
        <w:t>of dexamethasone (except when given as a single dose) advised by manufacturer of </w:t>
      </w:r>
      <w:r>
        <w:rPr>
          <w:rFonts w:ascii="Arial" w:hAnsi="Arial"/>
          <w:color w:val="231F1F"/>
          <w:w w:val="355"/>
          <w:position w:val="1"/>
          <w:sz w:val="7"/>
        </w:rPr>
        <w:t>l </w:t>
      </w:r>
      <w:r>
        <w:rPr>
          <w:rFonts w:ascii="Calibri" w:hAnsi="Calibri"/>
          <w:color w:val="008356"/>
          <w:w w:val="115"/>
          <w:sz w:val="11"/>
        </w:rPr>
        <w:t>RILPIVIRINE</w:t>
      </w:r>
      <w:r>
        <w:rPr>
          <w:color w:val="231F1F"/>
          <w:w w:val="115"/>
          <w:sz w:val="12"/>
        </w:rPr>
        <w:t>; plasma concentration of </w:t>
      </w:r>
      <w:r>
        <w:rPr>
          <w:i/>
          <w:color w:val="231F1F"/>
          <w:w w:val="115"/>
          <w:sz w:val="12"/>
        </w:rPr>
        <w:t>inhaled </w:t>
      </w:r>
      <w:r>
        <w:rPr>
          <w:color w:val="231F1F"/>
          <w:w w:val="115"/>
          <w:sz w:val="12"/>
        </w:rPr>
        <w:t>and </w:t>
      </w:r>
      <w:r>
        <w:rPr>
          <w:i/>
          <w:color w:val="231F1F"/>
          <w:w w:val="115"/>
          <w:sz w:val="12"/>
        </w:rPr>
        <w:t>intranasal </w:t>
      </w:r>
      <w:r>
        <w:rPr>
          <w:color w:val="231F1F"/>
          <w:w w:val="115"/>
          <w:sz w:val="12"/>
        </w:rPr>
        <w:t>fluticasone increased by </w:t>
      </w:r>
      <w:r>
        <w:rPr>
          <w:rFonts w:ascii="Arial" w:hAnsi="Arial"/>
          <w:color w:val="231F1F"/>
          <w:w w:val="355"/>
          <w:position w:val="1"/>
          <w:sz w:val="7"/>
        </w:rPr>
        <w:t>l </w:t>
      </w:r>
      <w:r>
        <w:rPr>
          <w:rFonts w:ascii="Calibri" w:hAnsi="Calibri"/>
          <w:color w:val="008356"/>
          <w:w w:val="115"/>
          <w:sz w:val="11"/>
        </w:rPr>
        <w:t>RITONAVIR</w:t>
      </w:r>
      <w:r>
        <w:rPr>
          <w:rFonts w:ascii="Arial" w:hAnsi="Arial"/>
          <w:color w:val="231F1F"/>
          <w:w w:val="115"/>
          <w:sz w:val="12"/>
        </w:rPr>
        <w:t>—</w:t>
      </w:r>
      <w:r>
        <w:rPr>
          <w:color w:val="231F1F"/>
          <w:w w:val="115"/>
          <w:sz w:val="12"/>
        </w:rPr>
        <w:t>increased risk of adrenal suppression; plasma concentration of budesonide (including </w:t>
      </w:r>
      <w:r>
        <w:rPr>
          <w:i/>
          <w:color w:val="231F1F"/>
          <w:w w:val="115"/>
          <w:sz w:val="12"/>
        </w:rPr>
        <w:t>inhaled</w:t>
      </w:r>
      <w:r>
        <w:rPr>
          <w:color w:val="231F1F"/>
          <w:w w:val="115"/>
          <w:sz w:val="12"/>
        </w:rPr>
        <w:t>, </w:t>
      </w:r>
      <w:r>
        <w:rPr>
          <w:i/>
          <w:color w:val="231F1F"/>
          <w:w w:val="115"/>
          <w:sz w:val="12"/>
        </w:rPr>
        <w:t>intranasal</w:t>
      </w:r>
      <w:r>
        <w:rPr>
          <w:color w:val="231F1F"/>
          <w:w w:val="115"/>
          <w:sz w:val="12"/>
        </w:rPr>
        <w:t>, and </w:t>
      </w:r>
      <w:r>
        <w:rPr>
          <w:i/>
          <w:color w:val="231F1F"/>
          <w:w w:val="115"/>
          <w:sz w:val="12"/>
        </w:rPr>
        <w:t>rectal </w:t>
      </w:r>
      <w:r>
        <w:rPr>
          <w:color w:val="231F1F"/>
          <w:w w:val="115"/>
          <w:sz w:val="12"/>
        </w:rPr>
        <w:t>budesonide) possibly increased by</w:t>
      </w:r>
    </w:p>
    <w:p>
      <w:pPr>
        <w:pStyle w:val="BodyText"/>
        <w:spacing w:line="244" w:lineRule="auto"/>
        <w:ind w:right="791"/>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RITONAVIR</w:t>
      </w:r>
      <w:r>
        <w:rPr>
          <w:rFonts w:ascii="Arial" w:hAnsi="Arial"/>
          <w:color w:val="231F1F"/>
          <w:w w:val="115"/>
        </w:rPr>
        <w:t>—</w:t>
      </w:r>
      <w:r>
        <w:rPr>
          <w:color w:val="231F1F"/>
          <w:w w:val="115"/>
        </w:rPr>
        <w:t>increased risk of adrenal suppresion; </w:t>
      </w:r>
      <w:r>
        <w:rPr>
          <w:color w:val="231F1F"/>
          <w:spacing w:val="-3"/>
          <w:w w:val="115"/>
        </w:rPr>
        <w:t>plasma </w:t>
      </w:r>
      <w:r>
        <w:rPr>
          <w:color w:val="231F1F"/>
          <w:w w:val="115"/>
        </w:rPr>
        <w:t>concentration of corticosteroids possibly increased by</w:t>
      </w:r>
    </w:p>
    <w:p>
      <w:pPr>
        <w:spacing w:line="247" w:lineRule="auto" w:before="1"/>
        <w:ind w:left="208" w:right="684" w:firstLine="0"/>
        <w:jc w:val="left"/>
        <w:rPr>
          <w:rFonts w:ascii="Calibri" w:hAnsi="Calibri"/>
          <w:sz w:val="11"/>
        </w:rPr>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15"/>
          <w:sz w:val="11"/>
        </w:rPr>
        <w:t>RITONAVIR</w:t>
      </w:r>
      <w:r>
        <w:rPr>
          <w:rFonts w:ascii="Arial" w:hAnsi="Arial"/>
          <w:color w:val="231F1F"/>
          <w:w w:val="115"/>
          <w:sz w:val="12"/>
        </w:rPr>
        <w:t>—</w:t>
      </w:r>
      <w:r>
        <w:rPr>
          <w:color w:val="231F1F"/>
          <w:w w:val="115"/>
          <w:sz w:val="12"/>
        </w:rPr>
        <w:t>increased risk of adrenal suppresision; plasma concentration of </w:t>
      </w:r>
      <w:r>
        <w:rPr>
          <w:i/>
          <w:color w:val="231F1F"/>
          <w:w w:val="115"/>
          <w:sz w:val="12"/>
        </w:rPr>
        <w:t>inhaled </w:t>
      </w:r>
      <w:r>
        <w:rPr>
          <w:color w:val="231F1F"/>
          <w:w w:val="115"/>
          <w:sz w:val="12"/>
        </w:rPr>
        <w:t>and </w:t>
      </w:r>
      <w:r>
        <w:rPr>
          <w:i/>
          <w:color w:val="231F1F"/>
          <w:w w:val="115"/>
          <w:sz w:val="12"/>
        </w:rPr>
        <w:t>intranasal </w:t>
      </w:r>
      <w:r>
        <w:rPr>
          <w:color w:val="231F1F"/>
          <w:w w:val="115"/>
          <w:sz w:val="12"/>
        </w:rPr>
        <w:t>budesonide and fluticasone possibly increased by </w:t>
      </w:r>
      <w:r>
        <w:rPr>
          <w:rFonts w:ascii="Calibri" w:hAnsi="Calibri"/>
          <w:color w:val="008356"/>
          <w:spacing w:val="5"/>
          <w:w w:val="115"/>
          <w:sz w:val="11"/>
        </w:rPr>
        <w:t>TELAPREVIR</w:t>
      </w:r>
    </w:p>
    <w:p>
      <w:pPr>
        <w:pStyle w:val="BodyText"/>
        <w:spacing w:line="230" w:lineRule="auto"/>
        <w:ind w:right="670" w:hanging="100"/>
      </w:pPr>
      <w:r>
        <w:rPr>
          <w:rFonts w:ascii="Lucida Sans Unicode" w:hAnsi="Lucida Sans Unicode"/>
          <w:color w:val="A7A8AC"/>
          <w:w w:val="95"/>
          <w:sz w:val="10"/>
        </w:rPr>
        <w:t>▶ </w:t>
      </w:r>
      <w:r>
        <w:rPr>
          <w:rFonts w:ascii="Calibri" w:hAnsi="Calibri"/>
          <w:color w:val="231F1F"/>
          <w:w w:val="110"/>
        </w:rPr>
        <w:t>Aprepitant: </w:t>
      </w:r>
      <w:r>
        <w:rPr>
          <w:color w:val="231F1F"/>
          <w:w w:val="110"/>
        </w:rPr>
        <w:t>metabolism of dexamethasone and methylprednisolone inhibited by </w:t>
      </w:r>
      <w:r>
        <w:rPr>
          <w:rFonts w:ascii="Calibri" w:hAnsi="Calibri"/>
          <w:color w:val="008356"/>
          <w:w w:val="110"/>
          <w:sz w:val="11"/>
        </w:rPr>
        <w:t>APREPITANT </w:t>
      </w:r>
      <w:r>
        <w:rPr>
          <w:color w:val="231F1F"/>
          <w:w w:val="110"/>
        </w:rPr>
        <w:t>(reduce dose of dexamethasone and methylprednisolone)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Beta-blockers: </w:t>
      </w:r>
      <w:r>
        <w:rPr>
          <w:color w:val="231F1F"/>
          <w:w w:val="105"/>
        </w:rPr>
        <w:t>corticosteroids antagonise hypotensive effect of</w:t>
      </w:r>
    </w:p>
    <w:p>
      <w:pPr>
        <w:spacing w:line="130" w:lineRule="exact" w:before="0"/>
        <w:ind w:left="208" w:right="0" w:firstLine="0"/>
        <w:jc w:val="left"/>
        <w:rPr>
          <w:rFonts w:ascii="Calibri"/>
          <w:sz w:val="11"/>
        </w:rPr>
      </w:pPr>
      <w:r>
        <w:rPr>
          <w:rFonts w:ascii="Calibri"/>
          <w:color w:val="008356"/>
          <w:sz w:val="11"/>
        </w:rPr>
        <w:t>BETA-BLOCKERS</w:t>
      </w:r>
    </w:p>
    <w:p>
      <w:pPr>
        <w:spacing w:line="232" w:lineRule="auto" w:before="3"/>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corticosteroids reduce absorption of </w:t>
      </w:r>
      <w:r>
        <w:rPr>
          <w:rFonts w:ascii="Calibri" w:hAnsi="Calibri"/>
          <w:color w:val="008356"/>
          <w:w w:val="105"/>
          <w:sz w:val="11"/>
        </w:rPr>
        <w:t>CALCIUM SALTS</w:t>
      </w:r>
    </w:p>
    <w:p>
      <w:pPr>
        <w:spacing w:line="230" w:lineRule="auto" w:before="1"/>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Calcium-channel Blockers: </w:t>
      </w:r>
      <w:r>
        <w:rPr>
          <w:color w:val="231F1F"/>
          <w:w w:val="110"/>
          <w:sz w:val="12"/>
        </w:rPr>
        <w:t>corticosteroids antagonise hypotensive effect of </w:t>
      </w:r>
      <w:r>
        <w:rPr>
          <w:rFonts w:ascii="Calibri" w:hAnsi="Calibri"/>
          <w:color w:val="008356"/>
          <w:w w:val="110"/>
          <w:sz w:val="11"/>
        </w:rPr>
        <w:t>CALCIUM-CHANNEL BLOCKERS</w:t>
      </w:r>
      <w:r>
        <w:rPr>
          <w:color w:val="231F1F"/>
          <w:w w:val="110"/>
          <w:sz w:val="12"/>
        </w:rPr>
        <w:t>; plasma concentration of methylprednisolone increased by </w:t>
      </w:r>
      <w:r>
        <w:rPr>
          <w:rFonts w:ascii="Calibri" w:hAnsi="Calibri"/>
          <w:color w:val="008356"/>
          <w:w w:val="110"/>
          <w:sz w:val="11"/>
        </w:rPr>
        <w:t>DILTIAZEM</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increased risk of hypokalaemia when corticosteroids given with </w:t>
      </w:r>
      <w:r>
        <w:rPr>
          <w:rFonts w:ascii="Calibri" w:hAnsi="Calibri"/>
          <w:color w:val="008356"/>
          <w:w w:val="105"/>
          <w:sz w:val="11"/>
        </w:rPr>
        <w:t>CARDIAC GLYCOSIDES</w:t>
      </w:r>
    </w:p>
    <w:p>
      <w:pPr>
        <w:pStyle w:val="BodyText"/>
        <w:spacing w:before="1"/>
        <w:ind w:right="753" w:hanging="100"/>
        <w:jc w:val="both"/>
        <w:rPr>
          <w:rFonts w:ascii="Calibri"/>
          <w:sz w:val="11"/>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Ciclosporin:</w:t>
      </w:r>
      <w:r>
        <w:rPr>
          <w:rFonts w:ascii="Calibri"/>
          <w:color w:val="231F1F"/>
          <w:spacing w:val="-13"/>
          <w:w w:val="115"/>
        </w:rPr>
        <w:t> </w:t>
      </w:r>
      <w:r>
        <w:rPr>
          <w:color w:val="231F1F"/>
          <w:w w:val="115"/>
        </w:rPr>
        <w:t>high-dose</w:t>
      </w:r>
      <w:r>
        <w:rPr>
          <w:color w:val="231F1F"/>
          <w:spacing w:val="-16"/>
          <w:w w:val="115"/>
        </w:rPr>
        <w:t> </w:t>
      </w:r>
      <w:r>
        <w:rPr>
          <w:color w:val="231F1F"/>
          <w:w w:val="115"/>
        </w:rPr>
        <w:t>methylprednisolone</w:t>
      </w:r>
      <w:r>
        <w:rPr>
          <w:color w:val="231F1F"/>
          <w:spacing w:val="-15"/>
          <w:w w:val="115"/>
        </w:rPr>
        <w:t> </w:t>
      </w:r>
      <w:r>
        <w:rPr>
          <w:color w:val="231F1F"/>
          <w:w w:val="115"/>
        </w:rPr>
        <w:t>increases</w:t>
      </w:r>
      <w:r>
        <w:rPr>
          <w:color w:val="231F1F"/>
          <w:spacing w:val="-16"/>
          <w:w w:val="115"/>
        </w:rPr>
        <w:t> </w:t>
      </w:r>
      <w:r>
        <w:rPr>
          <w:color w:val="231F1F"/>
          <w:w w:val="115"/>
        </w:rPr>
        <w:t>plasma concentration</w:t>
      </w:r>
      <w:r>
        <w:rPr>
          <w:color w:val="231F1F"/>
          <w:spacing w:val="-22"/>
          <w:w w:val="115"/>
        </w:rPr>
        <w:t> </w:t>
      </w:r>
      <w:r>
        <w:rPr>
          <w:color w:val="231F1F"/>
          <w:w w:val="115"/>
        </w:rPr>
        <w:t>of</w:t>
      </w:r>
      <w:r>
        <w:rPr>
          <w:color w:val="231F1F"/>
          <w:spacing w:val="-19"/>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CICLOSPORIN</w:t>
      </w:r>
      <w:r>
        <w:rPr>
          <w:rFonts w:ascii="Calibri"/>
          <w:color w:val="008356"/>
          <w:spacing w:val="-12"/>
          <w:w w:val="115"/>
          <w:sz w:val="11"/>
        </w:rPr>
        <w:t> </w:t>
      </w:r>
      <w:r>
        <w:rPr>
          <w:color w:val="231F1F"/>
          <w:w w:val="115"/>
        </w:rPr>
        <w:t>(risk</w:t>
      </w:r>
      <w:r>
        <w:rPr>
          <w:color w:val="231F1F"/>
          <w:spacing w:val="-20"/>
          <w:w w:val="115"/>
        </w:rPr>
        <w:t> </w:t>
      </w:r>
      <w:r>
        <w:rPr>
          <w:color w:val="231F1F"/>
          <w:w w:val="115"/>
        </w:rPr>
        <w:t>of</w:t>
      </w:r>
      <w:r>
        <w:rPr>
          <w:color w:val="231F1F"/>
          <w:spacing w:val="-20"/>
          <w:w w:val="115"/>
        </w:rPr>
        <w:t> </w:t>
      </w:r>
      <w:r>
        <w:rPr>
          <w:color w:val="231F1F"/>
          <w:w w:val="115"/>
        </w:rPr>
        <w:t>convulsions);</w:t>
      </w:r>
      <w:r>
        <w:rPr>
          <w:color w:val="231F1F"/>
          <w:spacing w:val="-19"/>
          <w:w w:val="115"/>
        </w:rPr>
        <w:t> </w:t>
      </w:r>
      <w:r>
        <w:rPr>
          <w:color w:val="231F1F"/>
          <w:w w:val="115"/>
        </w:rPr>
        <w:t>plasma concentration</w:t>
      </w:r>
      <w:r>
        <w:rPr>
          <w:color w:val="231F1F"/>
          <w:spacing w:val="-13"/>
          <w:w w:val="115"/>
        </w:rPr>
        <w:t> </w:t>
      </w:r>
      <w:r>
        <w:rPr>
          <w:color w:val="231F1F"/>
          <w:w w:val="115"/>
        </w:rPr>
        <w:t>of</w:t>
      </w:r>
      <w:r>
        <w:rPr>
          <w:color w:val="231F1F"/>
          <w:spacing w:val="-10"/>
          <w:w w:val="115"/>
        </w:rPr>
        <w:t> </w:t>
      </w:r>
      <w:r>
        <w:rPr>
          <w:color w:val="231F1F"/>
          <w:w w:val="115"/>
        </w:rPr>
        <w:t>prednisolone</w:t>
      </w:r>
      <w:r>
        <w:rPr>
          <w:color w:val="231F1F"/>
          <w:spacing w:val="-11"/>
          <w:w w:val="115"/>
        </w:rPr>
        <w:t> </w:t>
      </w:r>
      <w:r>
        <w:rPr>
          <w:color w:val="231F1F"/>
          <w:w w:val="115"/>
        </w:rPr>
        <w:t>increased</w:t>
      </w:r>
      <w:r>
        <w:rPr>
          <w:color w:val="231F1F"/>
          <w:spacing w:val="-11"/>
          <w:w w:val="115"/>
        </w:rPr>
        <w:t> </w:t>
      </w:r>
      <w:r>
        <w:rPr>
          <w:color w:val="231F1F"/>
          <w:w w:val="115"/>
        </w:rPr>
        <w:t>by</w:t>
      </w:r>
      <w:r>
        <w:rPr>
          <w:color w:val="231F1F"/>
          <w:spacing w:val="-10"/>
          <w:w w:val="115"/>
        </w:rPr>
        <w:t> </w:t>
      </w:r>
      <w:r>
        <w:rPr>
          <w:rFonts w:ascii="Calibri"/>
          <w:color w:val="008356"/>
          <w:spacing w:val="4"/>
          <w:w w:val="115"/>
          <w:sz w:val="11"/>
        </w:rPr>
        <w:t>CICLOSPORIN</w:t>
      </w:r>
    </w:p>
    <w:p>
      <w:pPr>
        <w:pStyle w:val="BodyText"/>
        <w:spacing w:line="154" w:lineRule="exact"/>
        <w:ind w:left="108"/>
        <w:jc w:val="both"/>
      </w:pPr>
      <w:r>
        <w:rPr>
          <w:rFonts w:ascii="Lucida Sans Unicode" w:hAnsi="Lucida Sans Unicode"/>
          <w:color w:val="A7A8AC"/>
          <w:w w:val="95"/>
          <w:sz w:val="10"/>
        </w:rPr>
        <w:t>▶ </w:t>
      </w:r>
      <w:r>
        <w:rPr>
          <w:rFonts w:ascii="Calibri" w:hAnsi="Calibri"/>
          <w:color w:val="231F1F"/>
          <w:w w:val="105"/>
        </w:rPr>
        <w:t>Clonidine: </w:t>
      </w:r>
      <w:r>
        <w:rPr>
          <w:color w:val="231F1F"/>
          <w:w w:val="105"/>
        </w:rPr>
        <w:t>corticosteroids antagonise hypotensive effect of</w:t>
      </w:r>
    </w:p>
    <w:p>
      <w:pPr>
        <w:spacing w:line="131" w:lineRule="exact" w:before="0"/>
        <w:ind w:left="208" w:right="0" w:firstLine="0"/>
        <w:jc w:val="left"/>
        <w:rPr>
          <w:rFonts w:ascii="Calibri"/>
          <w:sz w:val="11"/>
        </w:rPr>
      </w:pPr>
      <w:r>
        <w:rPr>
          <w:rFonts w:ascii="Calibri"/>
          <w:color w:val="008356"/>
          <w:sz w:val="11"/>
        </w:rPr>
        <w:t>CLONIDINE</w:t>
      </w:r>
    </w:p>
    <w:p>
      <w:pPr>
        <w:pStyle w:val="BodyText"/>
        <w:spacing w:line="242" w:lineRule="auto"/>
        <w:ind w:right="762" w:hanging="100"/>
      </w:pPr>
      <w:r>
        <w:rPr>
          <w:rFonts w:ascii="Lucida Sans Unicode" w:hAnsi="Lucida Sans Unicode"/>
          <w:color w:val="A7A8AC"/>
          <w:w w:val="95"/>
          <w:sz w:val="10"/>
        </w:rPr>
        <w:t>▶ </w:t>
      </w:r>
      <w:r>
        <w:rPr>
          <w:rFonts w:ascii="Calibri" w:hAnsi="Calibri"/>
          <w:color w:val="231F1F"/>
          <w:w w:val="110"/>
        </w:rPr>
        <w:t>Cytotoxics: </w:t>
      </w:r>
      <w:r>
        <w:rPr>
          <w:color w:val="231F1F"/>
          <w:w w:val="110"/>
        </w:rPr>
        <w:t>possible increased risk of hepatoxicity when dexamethasone given with </w:t>
      </w:r>
      <w:r>
        <w:rPr>
          <w:i/>
          <w:color w:val="231F1F"/>
          <w:w w:val="110"/>
        </w:rPr>
        <w:t>high-dose </w:t>
      </w:r>
      <w:r>
        <w:rPr>
          <w:rFonts w:ascii="Calibri" w:hAnsi="Calibri"/>
          <w:color w:val="008356"/>
          <w:w w:val="110"/>
          <w:sz w:val="11"/>
        </w:rPr>
        <w:t>METHOTREXATE</w:t>
      </w:r>
      <w:r>
        <w:rPr>
          <w:color w:val="231F1F"/>
          <w:w w:val="110"/>
        </w:rPr>
        <w:t>; dexamethasone possibly decreases plasma concentration of </w:t>
      </w:r>
      <w:r>
        <w:rPr>
          <w:rFonts w:ascii="Calibri" w:hAnsi="Calibri"/>
          <w:color w:val="008356"/>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dexamethasone possibly reduces plasma concentration of </w:t>
      </w:r>
      <w:r>
        <w:rPr>
          <w:rFonts w:ascii="Calibri" w:hAnsi="Calibri"/>
          <w:color w:val="008356"/>
          <w:w w:val="110"/>
          <w:sz w:val="11"/>
        </w:rPr>
        <w:t>CABOZANTINIB</w:t>
      </w:r>
      <w:r>
        <w:rPr>
          <w:rFonts w:ascii="Arial" w:hAnsi="Arial"/>
          <w:color w:val="231F1F"/>
          <w:w w:val="110"/>
        </w:rPr>
        <w:t>—</w:t>
      </w:r>
      <w:r>
        <w:rPr>
          <w:color w:val="231F1F"/>
          <w:w w:val="110"/>
        </w:rPr>
        <w:t>manufacturer of cabozantinib advises avoid concomitant use</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Diazoxide: </w:t>
      </w:r>
      <w:r>
        <w:rPr>
          <w:color w:val="231F1F"/>
          <w:w w:val="105"/>
        </w:rPr>
        <w:t>corticosteroids antagonise hypotensive effect of</w:t>
      </w:r>
    </w:p>
    <w:p>
      <w:pPr>
        <w:spacing w:line="131" w:lineRule="exact" w:before="0"/>
        <w:ind w:left="208" w:right="0" w:firstLine="0"/>
        <w:jc w:val="left"/>
        <w:rPr>
          <w:rFonts w:ascii="Calibri"/>
          <w:sz w:val="11"/>
        </w:rPr>
      </w:pPr>
      <w:r>
        <w:rPr>
          <w:rFonts w:ascii="Calibri"/>
          <w:color w:val="008356"/>
          <w:sz w:val="11"/>
        </w:rPr>
        <w:t>DIAZOXIDE</w:t>
      </w:r>
    </w:p>
    <w:p>
      <w:pPr>
        <w:spacing w:after="0" w:line="131" w:lineRule="exact"/>
        <w:jc w:val="left"/>
        <w:rPr>
          <w:rFonts w:ascii="Calibri"/>
          <w:sz w:val="11"/>
        </w:rPr>
        <w:sectPr>
          <w:pgSz w:w="8390" w:h="11910"/>
          <w:pgMar w:header="0" w:footer="0" w:top="460" w:bottom="0" w:left="480" w:right="0"/>
          <w:cols w:num="2" w:equalWidth="0">
            <w:col w:w="3600" w:space="76"/>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3184" filled="true" fillcolor="#bfdbcf" stroked="false">
            <v:fill type="solid"/>
            <w10:wrap type="none"/>
          </v:rect>
        </w:pict>
      </w:r>
      <w:r>
        <w:rPr/>
        <w:pict>
          <v:shape style="position:absolute;margin-left:7.751256pt;margin-top:35.804367pt;width:10.4pt;height:78.850pt;mso-position-horizontal-relative:page;mso-position-vertical-relative:page;z-index:320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Corticosteroids </w:t>
      </w:r>
      <w:r>
        <w:rPr>
          <w:rFonts w:ascii="Calibri"/>
          <w:color w:val="231F1F"/>
        </w:rPr>
        <w:t>(continued)</w:t>
      </w:r>
    </w:p>
    <w:p>
      <w:pPr>
        <w:spacing w:line="240" w:lineRule="auto" w:before="0"/>
        <w:ind w:left="286" w:right="8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corticosteroids antagonise diuretic effect of </w:t>
      </w:r>
      <w:r>
        <w:rPr>
          <w:rFonts w:ascii="Calibri" w:hAnsi="Calibri"/>
          <w:color w:val="008356"/>
          <w:spacing w:val="4"/>
          <w:w w:val="105"/>
          <w:sz w:val="11"/>
        </w:rPr>
        <w:t>DIURETICS</w:t>
      </w:r>
      <w:r>
        <w:rPr>
          <w:color w:val="231F1F"/>
          <w:spacing w:val="4"/>
          <w:w w:val="105"/>
          <w:sz w:val="12"/>
        </w:rPr>
        <w:t>; </w:t>
      </w:r>
      <w:r>
        <w:rPr>
          <w:color w:val="231F1F"/>
          <w:w w:val="105"/>
          <w:sz w:val="12"/>
        </w:rPr>
        <w:t>increased risk of hypokalaemia  when corticosteroids given with </w:t>
      </w:r>
      <w:r>
        <w:rPr>
          <w:rFonts w:ascii="Calibri" w:hAnsi="Calibri"/>
          <w:color w:val="008356"/>
          <w:spacing w:val="4"/>
          <w:w w:val="105"/>
          <w:sz w:val="11"/>
        </w:rPr>
        <w:t>ACETAZOLAMIDE</w:t>
      </w:r>
      <w:r>
        <w:rPr>
          <w:color w:val="231F1F"/>
          <w:spacing w:val="4"/>
          <w:w w:val="105"/>
          <w:sz w:val="12"/>
        </w:rPr>
        <w:t>, </w:t>
      </w:r>
      <w:r>
        <w:rPr>
          <w:rFonts w:ascii="Calibri" w:hAnsi="Calibri"/>
          <w:color w:val="008356"/>
          <w:spacing w:val="3"/>
          <w:w w:val="105"/>
          <w:sz w:val="11"/>
        </w:rPr>
        <w:t>LOOP </w:t>
      </w:r>
      <w:r>
        <w:rPr>
          <w:rFonts w:ascii="Calibri" w:hAnsi="Calibri"/>
          <w:color w:val="008356"/>
          <w:spacing w:val="4"/>
          <w:w w:val="105"/>
          <w:sz w:val="11"/>
        </w:rPr>
        <w:t>DIURETICS </w:t>
      </w:r>
      <w:r>
        <w:rPr>
          <w:color w:val="231F1F"/>
          <w:w w:val="105"/>
          <w:sz w:val="12"/>
        </w:rPr>
        <w:t>or </w:t>
      </w:r>
      <w:r>
        <w:rPr>
          <w:rFonts w:ascii="Calibri" w:hAnsi="Calibri"/>
          <w:color w:val="008356"/>
          <w:spacing w:val="4"/>
          <w:w w:val="105"/>
          <w:sz w:val="11"/>
        </w:rPr>
        <w:t>THIAZIDES </w:t>
      </w:r>
      <w:r>
        <w:rPr>
          <w:rFonts w:ascii="Calibri" w:hAnsi="Calibri"/>
          <w:color w:val="008356"/>
          <w:spacing w:val="3"/>
          <w:w w:val="105"/>
          <w:sz w:val="11"/>
        </w:rPr>
        <w:t>AND RELATED</w:t>
      </w:r>
      <w:r>
        <w:rPr>
          <w:rFonts w:ascii="Calibri" w:hAnsi="Calibri"/>
          <w:color w:val="008356"/>
          <w:spacing w:val="9"/>
          <w:w w:val="105"/>
          <w:sz w:val="11"/>
        </w:rPr>
        <w:t> </w:t>
      </w:r>
      <w:r>
        <w:rPr>
          <w:rFonts w:ascii="Calibri" w:hAnsi="Calibri"/>
          <w:color w:val="008356"/>
          <w:spacing w:val="5"/>
          <w:w w:val="105"/>
          <w:sz w:val="11"/>
        </w:rPr>
        <w:t>DIURETICS</w:t>
      </w:r>
    </w:p>
    <w:p>
      <w:pPr>
        <w:pStyle w:val="BodyText"/>
        <w:spacing w:line="230" w:lineRule="auto"/>
        <w:ind w:left="286" w:right="17" w:hanging="100"/>
      </w:pPr>
      <w:r>
        <w:rPr>
          <w:rFonts w:ascii="Lucida Sans Unicode" w:hAnsi="Lucida Sans Unicode"/>
          <w:color w:val="A7A8AC"/>
          <w:w w:val="95"/>
          <w:sz w:val="10"/>
        </w:rPr>
        <w:t>▶ </w:t>
      </w:r>
      <w:r>
        <w:rPr>
          <w:rFonts w:ascii="Calibri" w:hAnsi="Calibri"/>
          <w:color w:val="231F1F"/>
          <w:w w:val="110"/>
        </w:rPr>
        <w:t>Fosaprepitant: </w:t>
      </w:r>
      <w:r>
        <w:rPr>
          <w:color w:val="231F1F"/>
          <w:w w:val="110"/>
        </w:rPr>
        <w:t>metabolism of dexamethasone and methylprednisolone inhibited by </w:t>
      </w:r>
      <w:r>
        <w:rPr>
          <w:rFonts w:ascii="Calibri" w:hAnsi="Calibri"/>
          <w:color w:val="008356"/>
          <w:w w:val="110"/>
          <w:sz w:val="11"/>
        </w:rPr>
        <w:t>FOSAPREPITANT </w:t>
      </w:r>
      <w:r>
        <w:rPr>
          <w:color w:val="231F1F"/>
          <w:w w:val="110"/>
        </w:rPr>
        <w:t>(reduce dose of dexamethasone and methylprednisolone)</w:t>
      </w:r>
    </w:p>
    <w:p>
      <w:pPr>
        <w:pStyle w:val="BodyText"/>
        <w:spacing w:line="244" w:lineRule="auto" w:before="1"/>
        <w:ind w:left="286"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w:t>
      </w:r>
      <w:r>
        <w:rPr>
          <w:i/>
          <w:color w:val="231F1F"/>
          <w:w w:val="110"/>
        </w:rPr>
        <w:t>oral </w:t>
      </w:r>
      <w:r>
        <w:rPr>
          <w:color w:val="231F1F"/>
          <w:w w:val="110"/>
        </w:rPr>
        <w:t>budesonide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concurrent use or separate administration by as much as possible and consider reducing </w:t>
      </w:r>
      <w:r>
        <w:rPr>
          <w:i/>
          <w:color w:val="231F1F"/>
          <w:w w:val="110"/>
        </w:rPr>
        <w:t>oral </w:t>
      </w:r>
      <w:r>
        <w:rPr>
          <w:color w:val="231F1F"/>
          <w:w w:val="110"/>
        </w:rPr>
        <w:t>budesonide dose</w:t>
      </w:r>
    </w:p>
    <w:p>
      <w:pPr>
        <w:pStyle w:val="BodyText"/>
        <w:spacing w:line="220" w:lineRule="auto" w:before="6"/>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corticosteroids advised by manufacturer of </w:t>
      </w:r>
      <w:r>
        <w:rPr>
          <w:rFonts w:ascii="Calibri" w:hAnsi="Calibri"/>
          <w:color w:val="008356"/>
          <w:w w:val="105"/>
          <w:sz w:val="11"/>
        </w:rPr>
        <w:t>HISTAMINE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Methyldopa: </w:t>
      </w:r>
      <w:r>
        <w:rPr>
          <w:color w:val="231F1F"/>
          <w:w w:val="105"/>
        </w:rPr>
        <w:t>corticosteroids antagonise hypotensive effect of</w:t>
      </w:r>
    </w:p>
    <w:p>
      <w:pPr>
        <w:spacing w:line="130" w:lineRule="exact" w:before="0"/>
        <w:ind w:left="286" w:right="0" w:firstLine="0"/>
        <w:jc w:val="left"/>
        <w:rPr>
          <w:rFonts w:ascii="Calibri"/>
          <w:sz w:val="11"/>
        </w:rPr>
      </w:pPr>
      <w:r>
        <w:rPr>
          <w:rFonts w:ascii="Calibri"/>
          <w:color w:val="008356"/>
          <w:sz w:val="11"/>
        </w:rPr>
        <w:t>METHYLDOPA</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Mifamurtide: </w:t>
      </w:r>
      <w:r>
        <w:rPr>
          <w:color w:val="231F1F"/>
          <w:w w:val="105"/>
        </w:rPr>
        <w:t>avoidance of corticosteroids advised by manufacturer of </w:t>
      </w:r>
      <w:r>
        <w:rPr>
          <w:rFonts w:ascii="Calibri" w:hAnsi="Calibri"/>
          <w:color w:val="008356"/>
          <w:w w:val="105"/>
          <w:sz w:val="11"/>
        </w:rPr>
        <w:t>MIFAMURTIDE</w:t>
      </w:r>
    </w:p>
    <w:p>
      <w:pPr>
        <w:pStyle w:val="BodyText"/>
        <w:spacing w:line="242"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Mifepristone: </w:t>
      </w:r>
      <w:r>
        <w:rPr>
          <w:color w:val="231F1F"/>
          <w:w w:val="110"/>
        </w:rPr>
        <w:t>effect of corticosteroids (including </w:t>
      </w:r>
      <w:r>
        <w:rPr>
          <w:i/>
          <w:color w:val="231F1F"/>
          <w:w w:val="110"/>
        </w:rPr>
        <w:t>inhaled </w:t>
      </w:r>
      <w:r>
        <w:rPr>
          <w:color w:val="231F1F"/>
          <w:w w:val="110"/>
        </w:rPr>
        <w:t>corticosteroids) may be reduced for 3</w:t>
      </w:r>
      <w:r>
        <w:rPr>
          <w:rFonts w:ascii="Arial" w:hAnsi="Arial"/>
          <w:color w:val="231F1F"/>
          <w:w w:val="110"/>
        </w:rPr>
        <w:t>–</w:t>
      </w:r>
      <w:r>
        <w:rPr>
          <w:color w:val="231F1F"/>
          <w:w w:val="110"/>
        </w:rPr>
        <w:t>4 days after </w:t>
      </w:r>
      <w:r>
        <w:rPr>
          <w:rFonts w:ascii="Calibri" w:hAnsi="Calibri"/>
          <w:color w:val="008356"/>
          <w:w w:val="110"/>
          <w:sz w:val="11"/>
        </w:rPr>
        <w:t>MIFEPRISTONE</w:t>
      </w:r>
    </w:p>
    <w:p>
      <w:pPr>
        <w:pStyle w:val="BodyText"/>
        <w:spacing w:line="149" w:lineRule="exact"/>
        <w:ind w:left="186"/>
      </w:pPr>
      <w:r>
        <w:rPr>
          <w:rFonts w:ascii="Lucida Sans Unicode" w:hAnsi="Lucida Sans Unicode"/>
          <w:color w:val="A7A8AC"/>
          <w:w w:val="95"/>
          <w:sz w:val="10"/>
        </w:rPr>
        <w:t>▶ </w:t>
      </w:r>
      <w:r>
        <w:rPr>
          <w:rFonts w:ascii="Calibri" w:hAnsi="Calibri"/>
          <w:color w:val="231F1F"/>
          <w:w w:val="105"/>
        </w:rPr>
        <w:t>Moxonidine: </w:t>
      </w:r>
      <w:r>
        <w:rPr>
          <w:color w:val="231F1F"/>
          <w:w w:val="105"/>
        </w:rPr>
        <w:t>corticosteroids antagonise hypotensive effect of</w:t>
      </w:r>
    </w:p>
    <w:p>
      <w:pPr>
        <w:spacing w:line="131" w:lineRule="exact" w:before="0"/>
        <w:ind w:left="286" w:right="0" w:firstLine="0"/>
        <w:jc w:val="left"/>
        <w:rPr>
          <w:rFonts w:ascii="Calibri"/>
          <w:sz w:val="11"/>
        </w:rPr>
      </w:pPr>
      <w:r>
        <w:rPr>
          <w:rFonts w:ascii="Calibri"/>
          <w:color w:val="008356"/>
          <w:sz w:val="11"/>
        </w:rPr>
        <w:t>MOXONIDINE</w:t>
      </w:r>
    </w:p>
    <w:p>
      <w:pPr>
        <w:spacing w:line="220" w:lineRule="auto" w:before="7"/>
        <w:ind w:left="286" w:right="2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corticosteroids  possibly antagonise </w:t>
      </w:r>
      <w:r>
        <w:rPr>
          <w:color w:val="231F1F"/>
          <w:spacing w:val="-3"/>
          <w:w w:val="105"/>
          <w:sz w:val="12"/>
        </w:rPr>
        <w:t>effects </w:t>
      </w:r>
      <w:r>
        <w:rPr>
          <w:color w:val="231F1F"/>
          <w:w w:val="105"/>
          <w:sz w:val="12"/>
        </w:rPr>
        <w:t>of </w:t>
      </w:r>
      <w:r>
        <w:rPr>
          <w:rFonts w:ascii="Calibri" w:hAnsi="Calibri"/>
          <w:color w:val="008356"/>
          <w:spacing w:val="4"/>
          <w:w w:val="105"/>
          <w:sz w:val="11"/>
        </w:rPr>
        <w:t>PANCURONIUM </w:t>
      </w:r>
      <w:r>
        <w:rPr>
          <w:color w:val="231F1F"/>
          <w:w w:val="105"/>
          <w:sz w:val="12"/>
        </w:rPr>
        <w:t>and</w:t>
      </w:r>
      <w:r>
        <w:rPr>
          <w:color w:val="231F1F"/>
          <w:spacing w:val="-1"/>
          <w:w w:val="105"/>
          <w:sz w:val="12"/>
        </w:rPr>
        <w:t> </w:t>
      </w:r>
      <w:r>
        <w:rPr>
          <w:rFonts w:ascii="Calibri" w:hAnsi="Calibri"/>
          <w:color w:val="008356"/>
          <w:spacing w:val="5"/>
          <w:w w:val="105"/>
          <w:sz w:val="11"/>
        </w:rPr>
        <w:t>VECURONIUM</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Nitrates: </w:t>
      </w:r>
      <w:r>
        <w:rPr>
          <w:color w:val="231F1F"/>
          <w:w w:val="105"/>
        </w:rPr>
        <w:t>corticosteroids antagonise hypotensive effect of</w:t>
      </w:r>
    </w:p>
    <w:p>
      <w:pPr>
        <w:spacing w:line="130" w:lineRule="exact" w:before="0"/>
        <w:ind w:left="286" w:right="0" w:firstLine="0"/>
        <w:jc w:val="left"/>
        <w:rPr>
          <w:rFonts w:ascii="Calibri"/>
          <w:sz w:val="11"/>
        </w:rPr>
      </w:pPr>
      <w:r>
        <w:rPr>
          <w:rFonts w:ascii="Calibri"/>
          <w:color w:val="008356"/>
          <w:sz w:val="11"/>
        </w:rPr>
        <w:t>NITRATES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plasma concentration of corticosteroids increased by oral contraceptives containing </w:t>
      </w:r>
      <w:r>
        <w:rPr>
          <w:rFonts w:ascii="Calibri" w:hAnsi="Calibri"/>
          <w:color w:val="008356"/>
          <w:w w:val="110"/>
          <w:sz w:val="11"/>
        </w:rPr>
        <w:t>OESTROGENS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Sodium Benzoate: </w:t>
      </w:r>
      <w:r>
        <w:rPr>
          <w:color w:val="231F1F"/>
          <w:w w:val="105"/>
        </w:rPr>
        <w:t>corticosteroids possibly reduce effects of</w:t>
      </w:r>
    </w:p>
    <w:p>
      <w:pPr>
        <w:spacing w:line="131" w:lineRule="exact" w:before="0"/>
        <w:ind w:left="286" w:right="0" w:firstLine="0"/>
        <w:jc w:val="left"/>
        <w:rPr>
          <w:rFonts w:ascii="Calibri"/>
          <w:sz w:val="11"/>
        </w:rPr>
      </w:pPr>
      <w:r>
        <w:rPr>
          <w:rFonts w:ascii="Calibri"/>
          <w:color w:val="008356"/>
          <w:sz w:val="11"/>
        </w:rPr>
        <w:t>SODIUM BENZOATE</w:t>
      </w:r>
    </w:p>
    <w:p>
      <w:pPr>
        <w:spacing w:line="220" w:lineRule="auto" w:before="7"/>
        <w:ind w:left="286" w:right="10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Sodium Phenylbutyrate: </w:t>
      </w:r>
      <w:r>
        <w:rPr>
          <w:color w:val="231F1F"/>
          <w:w w:val="105"/>
          <w:sz w:val="12"/>
        </w:rPr>
        <w:t>corticosteroids possibly reduce effects of </w:t>
      </w:r>
      <w:r>
        <w:rPr>
          <w:rFonts w:ascii="Calibri" w:hAnsi="Calibri"/>
          <w:color w:val="008356"/>
          <w:spacing w:val="4"/>
          <w:w w:val="105"/>
          <w:sz w:val="11"/>
        </w:rPr>
        <w:t>SODIUM</w:t>
      </w:r>
      <w:r>
        <w:rPr>
          <w:rFonts w:ascii="Calibri" w:hAnsi="Calibri"/>
          <w:color w:val="008356"/>
          <w:spacing w:val="5"/>
          <w:w w:val="105"/>
          <w:sz w:val="11"/>
        </w:rPr>
        <w:t> </w:t>
      </w:r>
      <w:r>
        <w:rPr>
          <w:rFonts w:ascii="Calibri" w:hAnsi="Calibri"/>
          <w:color w:val="008356"/>
          <w:spacing w:val="4"/>
          <w:w w:val="105"/>
          <w:sz w:val="11"/>
        </w:rPr>
        <w:t>PHENYLBUTYRATE</w:t>
      </w:r>
    </w:p>
    <w:p>
      <w:pPr>
        <w:pStyle w:val="BodyText"/>
        <w:spacing w:line="220" w:lineRule="auto" w:before="8"/>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Somatropin: </w:t>
      </w:r>
      <w:r>
        <w:rPr>
          <w:color w:val="231F1F"/>
          <w:w w:val="105"/>
        </w:rPr>
        <w:t>corticosteroids may inhibit growth-promoting effect of </w:t>
      </w:r>
      <w:r>
        <w:rPr>
          <w:rFonts w:ascii="Calibri" w:hAnsi="Calibri"/>
          <w:color w:val="008356"/>
          <w:w w:val="105"/>
          <w:sz w:val="11"/>
        </w:rPr>
        <w:t>SOMATROPIN</w:t>
      </w:r>
    </w:p>
    <w:p>
      <w:pPr>
        <w:pStyle w:val="BodyText"/>
        <w:spacing w:line="220" w:lineRule="auto" w:before="9"/>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metabolism of dexamethasone  </w:t>
      </w:r>
      <w:r>
        <w:rPr>
          <w:color w:val="231F1F"/>
          <w:spacing w:val="-3"/>
          <w:w w:val="105"/>
        </w:rPr>
        <w:t>accelerated </w:t>
      </w:r>
      <w:r>
        <w:rPr>
          <w:color w:val="231F1F"/>
          <w:w w:val="105"/>
        </w:rPr>
        <w:t>by </w:t>
      </w:r>
      <w:r>
        <w:rPr>
          <w:rFonts w:ascii="Calibri" w:hAnsi="Calibri"/>
          <w:color w:val="008356"/>
          <w:spacing w:val="5"/>
          <w:w w:val="105"/>
          <w:sz w:val="11"/>
        </w:rPr>
        <w:t>EPHEDRINE</w:t>
      </w:r>
    </w:p>
    <w:p>
      <w:pPr>
        <w:pStyle w:val="BodyText"/>
        <w:spacing w:line="220" w:lineRule="auto" w:before="9"/>
        <w:ind w:left="286" w:right="17"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increased risk of hypokalaemia when </w:t>
      </w:r>
      <w:r>
        <w:rPr>
          <w:color w:val="231F1F"/>
          <w:w w:val="105"/>
          <w:position w:val="2"/>
          <w:vertAlign w:val="baseline"/>
        </w:rPr>
        <w:t>corticosteroids given with high doses of </w:t>
      </w:r>
      <w:r>
        <w:rPr>
          <w:rFonts w:ascii="Calibri" w:hAnsi="Calibri"/>
          <w:color w:val="008356"/>
          <w:w w:val="105"/>
          <w:position w:val="2"/>
          <w:sz w:val="11"/>
          <w:vertAlign w:val="baseline"/>
        </w:rPr>
        <w:t>BETA</w:t>
      </w:r>
      <w:r>
        <w:rPr>
          <w:rFonts w:ascii="Calibri" w:hAnsi="Calibri"/>
          <w:color w:val="008356"/>
          <w:w w:val="105"/>
          <w:position w:val="2"/>
          <w:sz w:val="11"/>
          <w:vertAlign w:val="subscript"/>
        </w:rPr>
        <w:t>2</w:t>
      </w:r>
      <w:r>
        <w:rPr>
          <w:rFonts w:ascii="Calibri" w:hAnsi="Calibri"/>
          <w:color w:val="008356"/>
          <w:w w:val="105"/>
          <w:position w:val="2"/>
          <w:sz w:val="11"/>
          <w:vertAlign w:val="baseline"/>
        </w:rPr>
        <w:t> </w:t>
      </w:r>
      <w:r>
        <w:rPr>
          <w:rFonts w:ascii="Calibri" w:hAnsi="Calibri"/>
          <w:color w:val="008356"/>
          <w:w w:val="105"/>
          <w:sz w:val="11"/>
          <w:vertAlign w:val="baseline"/>
        </w:rPr>
        <w:t>SYMPATHOMIMETICS</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increased risk of hypokalaemia when corticosteroids given with </w:t>
      </w:r>
      <w:r>
        <w:rPr>
          <w:rFonts w:ascii="Calibri" w:hAnsi="Calibri"/>
          <w:color w:val="008356"/>
          <w:w w:val="110"/>
          <w:sz w:val="11"/>
        </w:rPr>
        <w:t>THEOPHYLLINE</w:t>
      </w:r>
    </w:p>
    <w:p>
      <w:pPr>
        <w:pStyle w:val="BodyText"/>
        <w:spacing w:before="1"/>
        <w:ind w:left="286" w:right="268" w:hanging="100"/>
      </w:pPr>
      <w:r>
        <w:rPr>
          <w:rFonts w:ascii="Arial" w:hAnsi="Arial"/>
          <w:color w:val="231F1F"/>
          <w:w w:val="355"/>
          <w:position w:val="1"/>
          <w:sz w:val="7"/>
        </w:rPr>
        <w:t>l </w:t>
      </w:r>
      <w:r>
        <w:rPr>
          <w:rFonts w:ascii="Calibri" w:hAnsi="Calibri"/>
          <w:color w:val="231F1F"/>
          <w:w w:val="115"/>
        </w:rPr>
        <w:t>Vaccines: </w:t>
      </w:r>
      <w:r>
        <w:rPr>
          <w:color w:val="231F1F"/>
          <w:w w:val="115"/>
        </w:rPr>
        <w:t>high doses of corticosteroids impair immune response</w:t>
      </w:r>
      <w:r>
        <w:rPr>
          <w:color w:val="231F1F"/>
          <w:spacing w:val="-19"/>
          <w:w w:val="115"/>
        </w:rPr>
        <w:t> </w:t>
      </w:r>
      <w:r>
        <w:rPr>
          <w:color w:val="231F1F"/>
          <w:w w:val="115"/>
        </w:rPr>
        <w:t>to</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8"/>
          <w:w w:val="115"/>
        </w:rPr>
        <w:t> </w:t>
      </w:r>
      <w:r>
        <w:rPr>
          <w:color w:val="231F1F"/>
          <w:w w:val="115"/>
        </w:rPr>
        <w:t>concomitant</w:t>
      </w:r>
      <w:r>
        <w:rPr>
          <w:color w:val="231F1F"/>
          <w:spacing w:val="-18"/>
          <w:w w:val="115"/>
        </w:rPr>
        <w:t> </w:t>
      </w:r>
      <w:r>
        <w:rPr>
          <w:color w:val="231F1F"/>
          <w:w w:val="115"/>
        </w:rPr>
        <w:t>use</w:t>
      </w:r>
      <w:r>
        <w:rPr>
          <w:color w:val="231F1F"/>
          <w:spacing w:val="-18"/>
          <w:w w:val="115"/>
        </w:rPr>
        <w:t> </w:t>
      </w:r>
      <w:r>
        <w:rPr>
          <w:color w:val="231F1F"/>
          <w:w w:val="115"/>
        </w:rPr>
        <w:t>with</w:t>
      </w:r>
      <w:r>
        <w:rPr>
          <w:color w:val="231F1F"/>
          <w:spacing w:val="-17"/>
          <w:w w:val="115"/>
        </w:rPr>
        <w:t> </w:t>
      </w:r>
      <w:r>
        <w:rPr>
          <w:color w:val="231F1F"/>
          <w:w w:val="115"/>
        </w:rPr>
        <w:t>live vaccines</w:t>
      </w:r>
    </w:p>
    <w:p>
      <w:pPr>
        <w:spacing w:line="237" w:lineRule="auto" w:before="3"/>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corticosteroids antagonise hypotensive effect of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and </w:t>
      </w:r>
      <w:r>
        <w:rPr>
          <w:rFonts w:ascii="Calibri" w:hAnsi="Calibri"/>
          <w:color w:val="008356"/>
          <w:w w:val="105"/>
          <w:sz w:val="11"/>
        </w:rPr>
        <w:t>SODIUM NITROPRUSSIDE</w:t>
      </w:r>
    </w:p>
    <w:p>
      <w:pPr>
        <w:pStyle w:val="BodyText"/>
        <w:spacing w:before="6"/>
        <w:ind w:left="186"/>
      </w:pPr>
      <w:r>
        <w:rPr>
          <w:rFonts w:ascii="Trebuchet MS"/>
          <w:color w:val="008356"/>
          <w:w w:val="110"/>
        </w:rPr>
        <w:t>Co-trimoxazole </w:t>
      </w:r>
      <w:r>
        <w:rPr>
          <w:i/>
          <w:color w:val="231F1F"/>
          <w:w w:val="110"/>
        </w:rPr>
        <w:t>see </w:t>
      </w:r>
      <w:r>
        <w:rPr>
          <w:color w:val="231F1F"/>
          <w:w w:val="110"/>
        </w:rPr>
        <w:t>Trimethoprim and Sulfamethoxazole</w:t>
      </w:r>
    </w:p>
    <w:p>
      <w:pPr>
        <w:pStyle w:val="BodyText"/>
        <w:spacing w:before="10"/>
        <w:ind w:left="186"/>
        <w:rPr>
          <w:rFonts w:ascii="Trebuchet MS"/>
        </w:rPr>
      </w:pPr>
      <w:r>
        <w:rPr>
          <w:rFonts w:ascii="Trebuchet MS"/>
          <w:color w:val="008356"/>
        </w:rPr>
        <w:t>Coumarins</w:t>
      </w:r>
    </w:p>
    <w:p>
      <w:pPr>
        <w:pStyle w:val="BodyText"/>
        <w:spacing w:line="244" w:lineRule="auto" w:before="5"/>
        <w:ind w:left="286" w:right="41" w:hanging="1"/>
      </w:pPr>
      <w:r>
        <w:rPr>
          <w:rFonts w:ascii="Calibri" w:hAnsi="Calibri"/>
          <w:color w:val="008356"/>
          <w:w w:val="115"/>
          <w:sz w:val="11"/>
        </w:rPr>
        <w:t>NOTE </w:t>
      </w:r>
      <w:r>
        <w:rPr>
          <w:color w:val="231F1F"/>
          <w:w w:val="115"/>
        </w:rPr>
        <w:t>Change in patient</w:t>
      </w:r>
      <w:r>
        <w:rPr>
          <w:rFonts w:ascii="Arial" w:hAnsi="Arial"/>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ind w:left="286" w:right="319" w:hanging="100"/>
        <w:rPr>
          <w:rFonts w:ascii="Calibri"/>
          <w:sz w:val="11"/>
        </w:rPr>
      </w:pPr>
      <w:r>
        <w:rPr>
          <w:rFonts w:ascii="Arial"/>
          <w:color w:val="231F1F"/>
          <w:w w:val="355"/>
          <w:position w:val="1"/>
          <w:sz w:val="7"/>
        </w:rPr>
        <w:t>l </w:t>
      </w:r>
      <w:r>
        <w:rPr>
          <w:rFonts w:ascii="Calibri"/>
          <w:color w:val="231F1F"/>
          <w:w w:val="115"/>
        </w:rPr>
        <w:t>Alcohol: </w:t>
      </w:r>
      <w:r>
        <w:rPr>
          <w:color w:val="231F1F"/>
          <w:w w:val="115"/>
        </w:rPr>
        <w:t>anticoagulant control with coumarins may be affected</w:t>
      </w:r>
      <w:r>
        <w:rPr>
          <w:color w:val="231F1F"/>
          <w:spacing w:val="-14"/>
          <w:w w:val="115"/>
        </w:rPr>
        <w:t> </w:t>
      </w:r>
      <w:r>
        <w:rPr>
          <w:color w:val="231F1F"/>
          <w:w w:val="115"/>
        </w:rPr>
        <w:t>by</w:t>
      </w:r>
      <w:r>
        <w:rPr>
          <w:color w:val="231F1F"/>
          <w:spacing w:val="-13"/>
          <w:w w:val="115"/>
        </w:rPr>
        <w:t> </w:t>
      </w:r>
      <w:r>
        <w:rPr>
          <w:color w:val="231F1F"/>
          <w:w w:val="115"/>
        </w:rPr>
        <w:t>major</w:t>
      </w:r>
      <w:r>
        <w:rPr>
          <w:color w:val="231F1F"/>
          <w:spacing w:val="-14"/>
          <w:w w:val="115"/>
        </w:rPr>
        <w:t> </w:t>
      </w:r>
      <w:r>
        <w:rPr>
          <w:color w:val="231F1F"/>
          <w:w w:val="115"/>
        </w:rPr>
        <w:t>changes</w:t>
      </w:r>
      <w:r>
        <w:rPr>
          <w:color w:val="231F1F"/>
          <w:spacing w:val="-13"/>
          <w:w w:val="115"/>
        </w:rPr>
        <w:t> </w:t>
      </w:r>
      <w:r>
        <w:rPr>
          <w:color w:val="231F1F"/>
          <w:w w:val="115"/>
        </w:rPr>
        <w:t>in</w:t>
      </w:r>
      <w:r>
        <w:rPr>
          <w:color w:val="231F1F"/>
          <w:spacing w:val="-12"/>
          <w:w w:val="115"/>
        </w:rPr>
        <w:t> </w:t>
      </w:r>
      <w:r>
        <w:rPr>
          <w:color w:val="231F1F"/>
          <w:w w:val="115"/>
        </w:rPr>
        <w:t>consumption</w:t>
      </w:r>
      <w:r>
        <w:rPr>
          <w:color w:val="231F1F"/>
          <w:spacing w:val="-14"/>
          <w:w w:val="115"/>
        </w:rPr>
        <w:t> </w:t>
      </w:r>
      <w:r>
        <w:rPr>
          <w:color w:val="231F1F"/>
          <w:w w:val="115"/>
        </w:rPr>
        <w:t>of</w:t>
      </w:r>
      <w:r>
        <w:rPr>
          <w:color w:val="231F1F"/>
          <w:spacing w:val="-13"/>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2"/>
          <w:w w:val="115"/>
          <w:sz w:val="11"/>
        </w:rPr>
        <w:t>ALCOHOL</w:t>
      </w:r>
    </w:p>
    <w:p>
      <w:pPr>
        <w:pStyle w:val="BodyText"/>
        <w:spacing w:line="220" w:lineRule="auto" w:before="4"/>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Allopurinol: </w:t>
      </w:r>
      <w:r>
        <w:rPr>
          <w:color w:val="231F1F"/>
          <w:w w:val="105"/>
        </w:rPr>
        <w:t>anticoagulant effect of coumarins possibly enhanced by </w:t>
      </w:r>
      <w:r>
        <w:rPr>
          <w:rFonts w:ascii="Calibri" w:hAnsi="Calibri"/>
          <w:color w:val="008356"/>
          <w:w w:val="105"/>
          <w:sz w:val="11"/>
        </w:rPr>
        <w:t>ALLOPURINOL</w:t>
      </w:r>
    </w:p>
    <w:p>
      <w:pPr>
        <w:spacing w:before="0"/>
        <w:ind w:left="286" w:right="13" w:hanging="100"/>
        <w:jc w:val="left"/>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sz w:val="12"/>
        </w:rPr>
        <w:t>Anabolic</w:t>
      </w:r>
      <w:r>
        <w:rPr>
          <w:rFonts w:ascii="Calibri"/>
          <w:color w:val="231F1F"/>
          <w:spacing w:val="-16"/>
          <w:w w:val="115"/>
          <w:sz w:val="12"/>
        </w:rPr>
        <w:t> </w:t>
      </w:r>
      <w:r>
        <w:rPr>
          <w:rFonts w:ascii="Calibri"/>
          <w:color w:val="231F1F"/>
          <w:w w:val="115"/>
          <w:sz w:val="12"/>
        </w:rPr>
        <w:t>Steroids:</w:t>
      </w:r>
      <w:r>
        <w:rPr>
          <w:rFonts w:ascii="Calibri"/>
          <w:color w:val="231F1F"/>
          <w:spacing w:val="-15"/>
          <w:w w:val="115"/>
          <w:sz w:val="12"/>
        </w:rPr>
        <w:t> </w:t>
      </w:r>
      <w:r>
        <w:rPr>
          <w:color w:val="231F1F"/>
          <w:w w:val="115"/>
          <w:sz w:val="12"/>
        </w:rPr>
        <w:t>anticoagulant</w:t>
      </w:r>
      <w:r>
        <w:rPr>
          <w:color w:val="231F1F"/>
          <w:spacing w:val="-18"/>
          <w:w w:val="115"/>
          <w:sz w:val="12"/>
        </w:rPr>
        <w:t> </w:t>
      </w:r>
      <w:r>
        <w:rPr>
          <w:color w:val="231F1F"/>
          <w:w w:val="115"/>
          <w:sz w:val="12"/>
        </w:rPr>
        <w:t>effect</w:t>
      </w:r>
      <w:r>
        <w:rPr>
          <w:color w:val="231F1F"/>
          <w:spacing w:val="-18"/>
          <w:w w:val="115"/>
          <w:sz w:val="12"/>
        </w:rPr>
        <w:t> </w:t>
      </w:r>
      <w:r>
        <w:rPr>
          <w:color w:val="231F1F"/>
          <w:w w:val="115"/>
          <w:sz w:val="12"/>
        </w:rPr>
        <w:t>of</w:t>
      </w:r>
      <w:r>
        <w:rPr>
          <w:color w:val="231F1F"/>
          <w:spacing w:val="-18"/>
          <w:w w:val="115"/>
          <w:sz w:val="12"/>
        </w:rPr>
        <w:t> </w:t>
      </w:r>
      <w:r>
        <w:rPr>
          <w:color w:val="231F1F"/>
          <w:w w:val="115"/>
          <w:sz w:val="12"/>
        </w:rPr>
        <w:t>coumarins</w:t>
      </w:r>
      <w:r>
        <w:rPr>
          <w:color w:val="231F1F"/>
          <w:spacing w:val="-19"/>
          <w:w w:val="115"/>
          <w:sz w:val="12"/>
        </w:rPr>
        <w:t> </w:t>
      </w:r>
      <w:r>
        <w:rPr>
          <w:color w:val="231F1F"/>
          <w:w w:val="115"/>
          <w:sz w:val="12"/>
        </w:rPr>
        <w:t>enhanced by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ANABOLIC STEROIDS</w:t>
      </w:r>
    </w:p>
    <w:p>
      <w:pPr>
        <w:pStyle w:val="BodyText"/>
        <w:spacing w:line="242" w:lineRule="auto"/>
        <w:ind w:left="286" w:right="139" w:hanging="100"/>
      </w:pPr>
      <w:r>
        <w:rPr>
          <w:rFonts w:ascii="Arial"/>
          <w:color w:val="231F1F"/>
          <w:w w:val="355"/>
          <w:position w:val="1"/>
          <w:sz w:val="7"/>
        </w:rPr>
        <w:t>l </w:t>
      </w:r>
      <w:r>
        <w:rPr>
          <w:rFonts w:ascii="Calibri"/>
          <w:color w:val="231F1F"/>
          <w:w w:val="110"/>
        </w:rPr>
        <w:t>Analgesics: </w:t>
      </w:r>
      <w:r>
        <w:rPr>
          <w:color w:val="231F1F"/>
          <w:w w:val="110"/>
        </w:rPr>
        <w:t>anticoagulant effect of coumarins possibly enhanced by </w:t>
      </w:r>
      <w:r>
        <w:rPr>
          <w:rFonts w:ascii="Arial"/>
          <w:color w:val="231F1F"/>
          <w:w w:val="355"/>
          <w:position w:val="1"/>
          <w:sz w:val="7"/>
        </w:rPr>
        <w:t>l </w:t>
      </w:r>
      <w:r>
        <w:rPr>
          <w:rFonts w:ascii="Calibri"/>
          <w:color w:val="008356"/>
          <w:w w:val="110"/>
          <w:sz w:val="11"/>
        </w:rPr>
        <w:t>NSAIDS</w:t>
      </w:r>
      <w:r>
        <w:rPr>
          <w:color w:val="231F1F"/>
          <w:w w:val="110"/>
        </w:rPr>
        <w:t>; 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before="4"/>
        <w:ind w:left="286"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 anticoagulant effect of coumarins enhanced by</w:t>
      </w:r>
    </w:p>
    <w:p>
      <w:pPr>
        <w:pStyle w:val="BodyText"/>
        <w:spacing w:line="244" w:lineRule="auto" w:before="7"/>
        <w:ind w:left="286" w:right="1"/>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TRAMADOL</w:t>
      </w:r>
      <w:r>
        <w:rPr>
          <w:color w:val="231F1F"/>
          <w:spacing w:val="4"/>
          <w:w w:val="110"/>
        </w:rPr>
        <w:t>; </w:t>
      </w:r>
      <w:r>
        <w:rPr>
          <w:color w:val="231F1F"/>
          <w:w w:val="110"/>
        </w:rPr>
        <w:t>increased risk of bleeding when coumarins </w:t>
      </w:r>
      <w:r>
        <w:rPr>
          <w:color w:val="231F1F"/>
          <w:spacing w:val="-3"/>
          <w:w w:val="110"/>
        </w:rPr>
        <w:t>given </w:t>
      </w:r>
      <w:r>
        <w:rPr>
          <w:color w:val="231F1F"/>
          <w:w w:val="110"/>
        </w:rPr>
        <w:t>with </w:t>
      </w:r>
      <w:r>
        <w:rPr>
          <w:rFonts w:ascii="Arial"/>
          <w:color w:val="231F1F"/>
          <w:w w:val="355"/>
          <w:position w:val="1"/>
          <w:sz w:val="7"/>
        </w:rPr>
        <w:t>l </w:t>
      </w:r>
      <w:r>
        <w:rPr>
          <w:rFonts w:ascii="Calibri"/>
          <w:color w:val="008356"/>
          <w:spacing w:val="4"/>
          <w:w w:val="110"/>
          <w:sz w:val="11"/>
        </w:rPr>
        <w:t>ASPIRIN </w:t>
      </w:r>
      <w:r>
        <w:rPr>
          <w:color w:val="231F1F"/>
          <w:w w:val="110"/>
        </w:rPr>
        <w:t>(due to antiplatelet effect);  anticoagulant effect of coumarins possibly enhanced by prolonged regular use of</w:t>
      </w:r>
      <w:r>
        <w:rPr>
          <w:color w:val="231F1F"/>
          <w:spacing w:val="-5"/>
          <w:w w:val="110"/>
        </w:rPr>
        <w:t> </w:t>
      </w:r>
      <w:r>
        <w:rPr>
          <w:rFonts w:ascii="Calibri"/>
          <w:color w:val="008356"/>
          <w:spacing w:val="3"/>
          <w:w w:val="110"/>
          <w:sz w:val="11"/>
        </w:rPr>
        <w:t>PARACETAMOL</w:t>
      </w:r>
    </w:p>
    <w:p>
      <w:pPr>
        <w:pStyle w:val="BodyText"/>
        <w:ind w:left="286" w:right="233" w:hanging="100"/>
        <w:rPr>
          <w:rFonts w:ascii="Calibri"/>
          <w:sz w:val="11"/>
        </w:rPr>
      </w:pPr>
      <w:r>
        <w:rPr>
          <w:rFonts w:ascii="Arial"/>
          <w:color w:val="231F1F"/>
          <w:w w:val="355"/>
          <w:position w:val="1"/>
          <w:sz w:val="7"/>
        </w:rPr>
        <w:t>l </w:t>
      </w:r>
      <w:r>
        <w:rPr>
          <w:rFonts w:ascii="Calibri"/>
          <w:color w:val="231F1F"/>
          <w:w w:val="110"/>
        </w:rPr>
        <w:t>Anthelmintics: </w:t>
      </w:r>
      <w:r>
        <w:rPr>
          <w:color w:val="231F1F"/>
          <w:w w:val="110"/>
        </w:rPr>
        <w:t>anticoagulant effect of coumarins possibly enhanced by </w:t>
      </w:r>
      <w:r>
        <w:rPr>
          <w:rFonts w:ascii="Calibri"/>
          <w:color w:val="008356"/>
          <w:spacing w:val="4"/>
          <w:w w:val="110"/>
          <w:sz w:val="11"/>
        </w:rPr>
        <w:t>IVERMECTIN</w:t>
      </w:r>
      <w:r>
        <w:rPr>
          <w:color w:val="231F1F"/>
          <w:spacing w:val="4"/>
          <w:w w:val="110"/>
        </w:rPr>
        <w:t>; </w:t>
      </w:r>
      <w:r>
        <w:rPr>
          <w:color w:val="231F1F"/>
          <w:w w:val="110"/>
        </w:rPr>
        <w:t>anticoagulant effect of warfarin possibly enhanced by </w:t>
      </w:r>
      <w:r>
        <w:rPr>
          <w:rFonts w:ascii="Arial"/>
          <w:color w:val="231F1F"/>
          <w:w w:val="355"/>
          <w:position w:val="1"/>
          <w:sz w:val="7"/>
        </w:rPr>
        <w:t>l </w:t>
      </w:r>
      <w:r>
        <w:rPr>
          <w:rFonts w:ascii="Calibri"/>
          <w:color w:val="008356"/>
          <w:spacing w:val="4"/>
          <w:w w:val="110"/>
          <w:sz w:val="11"/>
        </w:rPr>
        <w:t>LEVAMISOLE</w:t>
      </w:r>
    </w:p>
    <w:p>
      <w:pPr>
        <w:pStyle w:val="BodyText"/>
        <w:spacing w:before="9"/>
        <w:ind w:left="0"/>
        <w:rPr>
          <w:rFonts w:ascii="Calibri"/>
          <w:sz w:val="13"/>
        </w:rPr>
      </w:pPr>
      <w:r>
        <w:rPr/>
        <w:br w:type="column"/>
      </w:r>
      <w:r>
        <w:rPr>
          <w:rFonts w:ascii="Calibri"/>
          <w:sz w:val="13"/>
        </w:rPr>
      </w:r>
    </w:p>
    <w:p>
      <w:pPr>
        <w:pStyle w:val="BodyText"/>
        <w:spacing w:line="144" w:lineRule="exact"/>
        <w:ind w:left="184"/>
        <w:jc w:val="both"/>
        <w:rPr>
          <w:rFonts w:ascii="Calibri"/>
        </w:rPr>
      </w:pPr>
      <w:r>
        <w:rPr>
          <w:rFonts w:ascii="Arial"/>
          <w:color w:val="008356"/>
        </w:rPr>
        <w:t>Coumarins </w:t>
      </w:r>
      <w:r>
        <w:rPr>
          <w:rFonts w:ascii="Calibri"/>
          <w:color w:val="231F1F"/>
        </w:rPr>
        <w:t>(continued)</w:t>
      </w:r>
    </w:p>
    <w:p>
      <w:pPr>
        <w:pStyle w:val="BodyText"/>
        <w:spacing w:line="144" w:lineRule="exact"/>
        <w:ind w:left="184"/>
      </w:pPr>
      <w:r>
        <w:rPr>
          <w:rFonts w:ascii="Arial"/>
          <w:color w:val="231F1F"/>
          <w:w w:val="355"/>
          <w:position w:val="1"/>
          <w:sz w:val="7"/>
        </w:rPr>
        <w:t>l </w:t>
      </w:r>
      <w:r>
        <w:rPr>
          <w:rFonts w:ascii="Calibri"/>
          <w:color w:val="231F1F"/>
          <w:w w:val="115"/>
        </w:rPr>
        <w:t>Anti-arrhythmics: </w:t>
      </w:r>
      <w:r>
        <w:rPr>
          <w:color w:val="231F1F"/>
          <w:w w:val="115"/>
        </w:rPr>
        <w:t>metabolism of coumarins inhibited by</w:t>
      </w:r>
    </w:p>
    <w:p>
      <w:pPr>
        <w:spacing w:line="244" w:lineRule="auto" w:before="0"/>
        <w:ind w:left="284" w:right="597" w:firstLine="0"/>
        <w:jc w:val="left"/>
        <w:rPr>
          <w:rFonts w:ascii="Calibri"/>
          <w:sz w:val="11"/>
        </w:rPr>
      </w:pPr>
      <w:r>
        <w:rPr>
          <w:rFonts w:ascii="Arial"/>
          <w:color w:val="231F1F"/>
          <w:w w:val="355"/>
          <w:position w:val="1"/>
          <w:sz w:val="7"/>
        </w:rPr>
        <w:t>l </w:t>
      </w:r>
      <w:r>
        <w:rPr>
          <w:rFonts w:ascii="Calibri"/>
          <w:color w:val="008356"/>
          <w:spacing w:val="4"/>
          <w:w w:val="110"/>
          <w:sz w:val="11"/>
        </w:rPr>
        <w:t>AMIODARONE </w:t>
      </w:r>
      <w:r>
        <w:rPr>
          <w:color w:val="231F1F"/>
          <w:w w:val="110"/>
          <w:sz w:val="12"/>
        </w:rPr>
        <w:t>(enhanced anticoagulant effect); </w:t>
      </w:r>
      <w:r>
        <w:rPr>
          <w:color w:val="231F1F"/>
          <w:spacing w:val="-2"/>
          <w:w w:val="110"/>
          <w:sz w:val="12"/>
        </w:rPr>
        <w:t>anticoagulant </w:t>
      </w:r>
      <w:r>
        <w:rPr>
          <w:color w:val="231F1F"/>
          <w:w w:val="110"/>
          <w:sz w:val="12"/>
        </w:rPr>
        <w:t>effect of warfarin may be enhanced or reduced by </w:t>
      </w:r>
      <w:r>
        <w:rPr>
          <w:rFonts w:ascii="Calibri"/>
          <w:color w:val="008356"/>
          <w:spacing w:val="4"/>
          <w:w w:val="110"/>
          <w:sz w:val="11"/>
        </w:rPr>
        <w:t>DISOPYRAMIDE</w:t>
      </w:r>
      <w:r>
        <w:rPr>
          <w:color w:val="231F1F"/>
          <w:spacing w:val="4"/>
          <w:w w:val="110"/>
          <w:sz w:val="12"/>
        </w:rPr>
        <w:t>; </w:t>
      </w:r>
      <w:r>
        <w:rPr>
          <w:color w:val="231F1F"/>
          <w:w w:val="110"/>
          <w:sz w:val="12"/>
        </w:rPr>
        <w:t>anticoagulant effect of coumarins possibly enhanced by </w:t>
      </w:r>
      <w:r>
        <w:rPr>
          <w:rFonts w:ascii="Arial"/>
          <w:color w:val="231F1F"/>
          <w:w w:val="355"/>
          <w:position w:val="1"/>
          <w:sz w:val="7"/>
        </w:rPr>
        <w:t>l </w:t>
      </w:r>
      <w:r>
        <w:rPr>
          <w:rFonts w:ascii="Calibri"/>
          <w:color w:val="008356"/>
          <w:spacing w:val="4"/>
          <w:w w:val="110"/>
          <w:sz w:val="11"/>
        </w:rPr>
        <w:t>DRONEDARONE</w:t>
      </w:r>
      <w:r>
        <w:rPr>
          <w:color w:val="231F1F"/>
          <w:spacing w:val="4"/>
          <w:w w:val="110"/>
          <w:sz w:val="12"/>
        </w:rPr>
        <w:t>; </w:t>
      </w:r>
      <w:r>
        <w:rPr>
          <w:color w:val="231F1F"/>
          <w:w w:val="110"/>
          <w:sz w:val="12"/>
        </w:rPr>
        <w:t>anticoagulant effect of coumarins enhanced by </w:t>
      </w:r>
      <w:r>
        <w:rPr>
          <w:rFonts w:ascii="Arial"/>
          <w:color w:val="231F1F"/>
          <w:w w:val="355"/>
          <w:position w:val="1"/>
          <w:sz w:val="7"/>
        </w:rPr>
        <w:t>l </w:t>
      </w:r>
      <w:r>
        <w:rPr>
          <w:rFonts w:ascii="Calibri"/>
          <w:color w:val="008356"/>
          <w:spacing w:val="4"/>
          <w:w w:val="110"/>
          <w:sz w:val="11"/>
        </w:rPr>
        <w:t>PROPAFENONE</w:t>
      </w:r>
    </w:p>
    <w:p>
      <w:pPr>
        <w:pStyle w:val="BodyText"/>
        <w:spacing w:line="140" w:lineRule="exact"/>
        <w:ind w:left="184"/>
      </w:pPr>
      <w:r>
        <w:rPr>
          <w:rFonts w:ascii="Arial"/>
          <w:color w:val="231F1F"/>
          <w:w w:val="355"/>
          <w:position w:val="1"/>
          <w:sz w:val="7"/>
        </w:rPr>
        <w:t>l </w:t>
      </w:r>
      <w:r>
        <w:rPr>
          <w:rFonts w:ascii="Calibri"/>
          <w:color w:val="231F1F"/>
          <w:w w:val="115"/>
        </w:rPr>
        <w:t>Antibacterials: </w:t>
      </w:r>
      <w:r>
        <w:rPr>
          <w:color w:val="231F1F"/>
          <w:w w:val="115"/>
        </w:rPr>
        <w:t>experience in anticoagulant clinics suggests</w:t>
      </w:r>
    </w:p>
    <w:p>
      <w:pPr>
        <w:spacing w:line="244" w:lineRule="auto" w:before="0"/>
        <w:ind w:left="284" w:right="800" w:firstLine="0"/>
        <w:jc w:val="left"/>
        <w:rPr>
          <w:sz w:val="12"/>
        </w:rPr>
      </w:pPr>
      <w:r>
        <w:rPr>
          <w:color w:val="231F1F"/>
          <w:w w:val="145"/>
          <w:sz w:val="12"/>
        </w:rPr>
        <w:t>that </w:t>
      </w:r>
      <w:r>
        <w:rPr>
          <w:color w:val="231F1F"/>
          <w:w w:val="110"/>
          <w:sz w:val="12"/>
        </w:rPr>
        <w:t>INR possibly altered when coumarins are given with </w:t>
      </w:r>
      <w:r>
        <w:rPr>
          <w:rFonts w:ascii="Arial"/>
          <w:color w:val="231F1F"/>
          <w:w w:val="355"/>
          <w:position w:val="1"/>
          <w:sz w:val="7"/>
        </w:rPr>
        <w:t>l </w:t>
      </w:r>
      <w:r>
        <w:rPr>
          <w:rFonts w:ascii="Calibri"/>
          <w:color w:val="008356"/>
          <w:spacing w:val="4"/>
          <w:w w:val="110"/>
          <w:sz w:val="11"/>
        </w:rPr>
        <w:t>NEOMYCIN </w:t>
      </w:r>
      <w:r>
        <w:rPr>
          <w:color w:val="231F1F"/>
          <w:w w:val="110"/>
          <w:sz w:val="12"/>
        </w:rPr>
        <w:t>(given for local action on gut); anticoagulant effect</w:t>
      </w:r>
      <w:r>
        <w:rPr>
          <w:color w:val="231F1F"/>
          <w:spacing w:val="-5"/>
          <w:w w:val="110"/>
          <w:sz w:val="12"/>
        </w:rPr>
        <w:t> </w:t>
      </w:r>
      <w:r>
        <w:rPr>
          <w:color w:val="231F1F"/>
          <w:w w:val="110"/>
          <w:sz w:val="12"/>
        </w:rPr>
        <w:t>of</w:t>
      </w:r>
      <w:r>
        <w:rPr>
          <w:color w:val="231F1F"/>
          <w:spacing w:val="-3"/>
          <w:w w:val="110"/>
          <w:sz w:val="12"/>
        </w:rPr>
        <w:t> </w:t>
      </w:r>
      <w:r>
        <w:rPr>
          <w:color w:val="231F1F"/>
          <w:w w:val="110"/>
          <w:sz w:val="12"/>
        </w:rPr>
        <w:t>coumarins</w:t>
      </w:r>
      <w:r>
        <w:rPr>
          <w:color w:val="231F1F"/>
          <w:spacing w:val="-6"/>
          <w:w w:val="110"/>
          <w:sz w:val="12"/>
        </w:rPr>
        <w:t> </w:t>
      </w:r>
      <w:r>
        <w:rPr>
          <w:color w:val="231F1F"/>
          <w:w w:val="110"/>
          <w:sz w:val="12"/>
        </w:rPr>
        <w:t>possibly</w:t>
      </w:r>
      <w:r>
        <w:rPr>
          <w:color w:val="231F1F"/>
          <w:spacing w:val="-5"/>
          <w:w w:val="110"/>
          <w:sz w:val="12"/>
        </w:rPr>
        <w:t> </w:t>
      </w:r>
      <w:r>
        <w:rPr>
          <w:color w:val="231F1F"/>
          <w:w w:val="110"/>
          <w:sz w:val="12"/>
        </w:rPr>
        <w:t>enhanced</w:t>
      </w:r>
      <w:r>
        <w:rPr>
          <w:color w:val="231F1F"/>
          <w:spacing w:val="-4"/>
          <w:w w:val="110"/>
          <w:sz w:val="12"/>
        </w:rPr>
        <w:t> </w:t>
      </w:r>
      <w:r>
        <w:rPr>
          <w:color w:val="231F1F"/>
          <w:w w:val="110"/>
          <w:sz w:val="12"/>
        </w:rPr>
        <w:t>by</w:t>
      </w:r>
      <w:r>
        <w:rPr>
          <w:color w:val="231F1F"/>
          <w:spacing w:val="-5"/>
          <w:w w:val="110"/>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AZITHROMYCIN</w:t>
      </w:r>
      <w:r>
        <w:rPr>
          <w:color w:val="231F1F"/>
          <w:spacing w:val="3"/>
          <w:w w:val="110"/>
          <w:sz w:val="12"/>
        </w:rPr>
        <w:t>, </w:t>
      </w:r>
      <w:r>
        <w:rPr>
          <w:rFonts w:ascii="Arial"/>
          <w:color w:val="231F1F"/>
          <w:w w:val="355"/>
          <w:position w:val="1"/>
          <w:sz w:val="7"/>
        </w:rPr>
        <w:t>l </w:t>
      </w:r>
      <w:r>
        <w:rPr>
          <w:rFonts w:ascii="Calibri"/>
          <w:color w:val="008356"/>
          <w:spacing w:val="4"/>
          <w:w w:val="110"/>
          <w:sz w:val="11"/>
        </w:rPr>
        <w:t>AZTREONAM</w:t>
      </w:r>
      <w:r>
        <w:rPr>
          <w:color w:val="231F1F"/>
          <w:spacing w:val="4"/>
          <w:w w:val="110"/>
          <w:sz w:val="12"/>
        </w:rPr>
        <w:t>, </w:t>
      </w:r>
      <w:r>
        <w:rPr>
          <w:rFonts w:ascii="Arial"/>
          <w:color w:val="231F1F"/>
          <w:w w:val="355"/>
          <w:position w:val="1"/>
          <w:sz w:val="7"/>
        </w:rPr>
        <w:t>l </w:t>
      </w:r>
      <w:r>
        <w:rPr>
          <w:rFonts w:ascii="Calibri"/>
          <w:color w:val="008356"/>
          <w:spacing w:val="4"/>
          <w:w w:val="110"/>
          <w:sz w:val="11"/>
        </w:rPr>
        <w:t>CEPHALOSPORINS</w:t>
      </w:r>
      <w:r>
        <w:rPr>
          <w:color w:val="231F1F"/>
          <w:spacing w:val="4"/>
          <w:w w:val="110"/>
          <w:sz w:val="12"/>
        </w:rPr>
        <w:t>, </w:t>
      </w:r>
      <w:r>
        <w:rPr>
          <w:rFonts w:ascii="Calibri"/>
          <w:color w:val="008356"/>
          <w:spacing w:val="4"/>
          <w:w w:val="110"/>
          <w:sz w:val="11"/>
        </w:rPr>
        <w:t>CIPROFLOXACIN</w:t>
      </w:r>
      <w:r>
        <w:rPr>
          <w:color w:val="231F1F"/>
          <w:spacing w:val="4"/>
          <w:w w:val="110"/>
          <w:sz w:val="12"/>
        </w:rPr>
        <w:t>, </w:t>
      </w:r>
      <w:r>
        <w:rPr>
          <w:rFonts w:ascii="Calibri"/>
          <w:color w:val="008356"/>
          <w:spacing w:val="4"/>
          <w:w w:val="110"/>
          <w:sz w:val="11"/>
        </w:rPr>
        <w:t>LEVOFLOXACIN</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TETRACYCLINES</w:t>
      </w:r>
      <w:r>
        <w:rPr>
          <w:color w:val="231F1F"/>
          <w:spacing w:val="4"/>
          <w:w w:val="110"/>
          <w:sz w:val="12"/>
        </w:rPr>
        <w:t>,</w:t>
      </w:r>
      <w:r>
        <w:rPr>
          <w:color w:val="231F1F"/>
          <w:spacing w:val="-17"/>
          <w:w w:val="110"/>
          <w:sz w:val="12"/>
        </w:rPr>
        <w:t> </w:t>
      </w:r>
      <w:r>
        <w:rPr>
          <w:rFonts w:ascii="Calibri"/>
          <w:color w:val="008356"/>
          <w:spacing w:val="4"/>
          <w:w w:val="110"/>
          <w:sz w:val="11"/>
        </w:rPr>
        <w:t>TIGECYCLINE</w:t>
      </w:r>
      <w:r>
        <w:rPr>
          <w:rFonts w:ascii="Calibri"/>
          <w:color w:val="008356"/>
          <w:spacing w:val="1"/>
          <w:w w:val="110"/>
          <w:sz w:val="11"/>
        </w:rPr>
        <w:t> </w:t>
      </w:r>
      <w:r>
        <w:rPr>
          <w:color w:val="231F1F"/>
          <w:w w:val="110"/>
          <w:sz w:val="12"/>
        </w:rPr>
        <w:t>and</w:t>
      </w:r>
    </w:p>
    <w:p>
      <w:pPr>
        <w:spacing w:line="242" w:lineRule="auto" w:before="0"/>
        <w:ind w:left="284" w:right="717" w:firstLine="0"/>
        <w:jc w:val="both"/>
        <w:rPr>
          <w:sz w:val="12"/>
        </w:rPr>
      </w:pPr>
      <w:r>
        <w:rPr>
          <w:rFonts w:ascii="Calibri"/>
          <w:color w:val="008356"/>
          <w:spacing w:val="4"/>
          <w:w w:val="110"/>
          <w:sz w:val="11"/>
        </w:rPr>
        <w:t>TRIMETHOPRIM</w:t>
      </w:r>
      <w:r>
        <w:rPr>
          <w:color w:val="231F1F"/>
          <w:spacing w:val="4"/>
          <w:w w:val="110"/>
          <w:sz w:val="12"/>
        </w:rPr>
        <w:t>; </w:t>
      </w:r>
      <w:r>
        <w:rPr>
          <w:color w:val="231F1F"/>
          <w:w w:val="110"/>
          <w:sz w:val="12"/>
        </w:rPr>
        <w:t>anticoagulant effect of coumarins enhanced </w:t>
      </w:r>
      <w:r>
        <w:rPr>
          <w:color w:val="231F1F"/>
          <w:w w:val="105"/>
          <w:sz w:val="12"/>
        </w:rPr>
        <w:t>by </w:t>
      </w:r>
      <w:r>
        <w:rPr>
          <w:rFonts w:ascii="Arial"/>
          <w:color w:val="231F1F"/>
          <w:w w:val="105"/>
          <w:position w:val="1"/>
          <w:sz w:val="7"/>
        </w:rPr>
        <w:t>l </w:t>
      </w:r>
      <w:r>
        <w:rPr>
          <w:rFonts w:ascii="Calibri"/>
          <w:color w:val="008356"/>
          <w:spacing w:val="4"/>
          <w:w w:val="105"/>
          <w:sz w:val="11"/>
        </w:rPr>
        <w:t>CHLORAMPHENICOL</w:t>
      </w:r>
      <w:r>
        <w:rPr>
          <w:color w:val="231F1F"/>
          <w:spacing w:val="4"/>
          <w:w w:val="105"/>
          <w:sz w:val="12"/>
        </w:rPr>
        <w:t>, </w:t>
      </w:r>
      <w:r>
        <w:rPr>
          <w:rFonts w:ascii="Arial"/>
          <w:color w:val="231F1F"/>
          <w:w w:val="105"/>
          <w:position w:val="1"/>
          <w:sz w:val="7"/>
        </w:rPr>
        <w:t>l </w:t>
      </w:r>
      <w:r>
        <w:rPr>
          <w:rFonts w:ascii="Calibri"/>
          <w:color w:val="008356"/>
          <w:spacing w:val="4"/>
          <w:w w:val="105"/>
          <w:sz w:val="11"/>
        </w:rPr>
        <w:t>CLARITHROMYCIN</w:t>
      </w:r>
      <w:r>
        <w:rPr>
          <w:color w:val="231F1F"/>
          <w:spacing w:val="4"/>
          <w:w w:val="105"/>
          <w:sz w:val="12"/>
        </w:rPr>
        <w:t>, </w:t>
      </w:r>
      <w:r>
        <w:rPr>
          <w:rFonts w:ascii="Arial"/>
          <w:color w:val="231F1F"/>
          <w:w w:val="105"/>
          <w:position w:val="1"/>
          <w:sz w:val="7"/>
        </w:rPr>
        <w:t>l </w:t>
      </w:r>
      <w:r>
        <w:rPr>
          <w:rFonts w:ascii="Calibri"/>
          <w:color w:val="008356"/>
          <w:spacing w:val="4"/>
          <w:w w:val="105"/>
          <w:sz w:val="11"/>
        </w:rPr>
        <w:t>ERYTHROMYCIN</w:t>
      </w:r>
      <w:r>
        <w:rPr>
          <w:color w:val="231F1F"/>
          <w:spacing w:val="4"/>
          <w:w w:val="105"/>
          <w:sz w:val="12"/>
        </w:rPr>
        <w:t>, </w:t>
      </w:r>
      <w:r>
        <w:rPr>
          <w:rFonts w:ascii="Arial"/>
          <w:color w:val="231F1F"/>
          <w:w w:val="355"/>
          <w:position w:val="1"/>
          <w:sz w:val="7"/>
        </w:rPr>
        <w:t>l </w:t>
      </w:r>
      <w:r>
        <w:rPr>
          <w:rFonts w:ascii="Calibri"/>
          <w:color w:val="008356"/>
          <w:spacing w:val="4"/>
          <w:w w:val="110"/>
          <w:sz w:val="11"/>
        </w:rPr>
        <w:t>METRONIDAZOLE</w:t>
      </w:r>
      <w:r>
        <w:rPr>
          <w:color w:val="231F1F"/>
          <w:spacing w:val="4"/>
          <w:w w:val="110"/>
          <w:sz w:val="12"/>
        </w:rPr>
        <w:t>, </w:t>
      </w:r>
      <w:r>
        <w:rPr>
          <w:rFonts w:ascii="Arial"/>
          <w:color w:val="231F1F"/>
          <w:w w:val="355"/>
          <w:position w:val="1"/>
          <w:sz w:val="7"/>
        </w:rPr>
        <w:t>l </w:t>
      </w:r>
      <w:r>
        <w:rPr>
          <w:rFonts w:ascii="Calibri"/>
          <w:color w:val="008356"/>
          <w:spacing w:val="4"/>
          <w:w w:val="110"/>
          <w:sz w:val="11"/>
        </w:rPr>
        <w:t>NALIDIXIC </w:t>
      </w:r>
      <w:r>
        <w:rPr>
          <w:rFonts w:ascii="Calibri"/>
          <w:color w:val="008356"/>
          <w:spacing w:val="3"/>
          <w:w w:val="110"/>
          <w:sz w:val="11"/>
        </w:rPr>
        <w:t>ACID</w:t>
      </w:r>
      <w:r>
        <w:rPr>
          <w:color w:val="231F1F"/>
          <w:spacing w:val="3"/>
          <w:w w:val="110"/>
          <w:sz w:val="12"/>
        </w:rPr>
        <w:t>, </w:t>
      </w:r>
      <w:r>
        <w:rPr>
          <w:rFonts w:ascii="Arial"/>
          <w:color w:val="231F1F"/>
          <w:w w:val="355"/>
          <w:position w:val="1"/>
          <w:sz w:val="7"/>
        </w:rPr>
        <w:t>l </w:t>
      </w:r>
      <w:r>
        <w:rPr>
          <w:rFonts w:ascii="Calibri"/>
          <w:color w:val="008356"/>
          <w:spacing w:val="4"/>
          <w:w w:val="110"/>
          <w:sz w:val="11"/>
        </w:rPr>
        <w:t>NORFLOXACIN</w:t>
      </w:r>
      <w:r>
        <w:rPr>
          <w:color w:val="231F1F"/>
          <w:spacing w:val="4"/>
          <w:w w:val="110"/>
          <w:sz w:val="12"/>
        </w:rPr>
        <w:t>,</w:t>
      </w:r>
    </w:p>
    <w:p>
      <w:pPr>
        <w:pStyle w:val="BodyText"/>
        <w:spacing w:line="244" w:lineRule="auto"/>
        <w:ind w:left="284" w:right="673"/>
      </w:pPr>
      <w:r>
        <w:rPr>
          <w:rFonts w:ascii="Arial"/>
          <w:color w:val="231F1F"/>
          <w:w w:val="355"/>
          <w:position w:val="1"/>
          <w:sz w:val="7"/>
        </w:rPr>
        <w:t>l </w:t>
      </w:r>
      <w:r>
        <w:rPr>
          <w:rFonts w:ascii="Calibri"/>
          <w:color w:val="008356"/>
          <w:w w:val="110"/>
          <w:sz w:val="11"/>
        </w:rPr>
        <w:t>OFLOXACIN </w:t>
      </w:r>
      <w:r>
        <w:rPr>
          <w:color w:val="231F1F"/>
          <w:w w:val="110"/>
        </w:rPr>
        <w:t>and </w:t>
      </w:r>
      <w:r>
        <w:rPr>
          <w:rFonts w:ascii="Arial"/>
          <w:color w:val="231F1F"/>
          <w:w w:val="355"/>
          <w:position w:val="1"/>
          <w:sz w:val="7"/>
        </w:rPr>
        <w:t>l </w:t>
      </w:r>
      <w:r>
        <w:rPr>
          <w:rFonts w:ascii="Calibri"/>
          <w:color w:val="008356"/>
          <w:w w:val="110"/>
          <w:sz w:val="11"/>
        </w:rPr>
        <w:t>SULFONAMIDES</w:t>
      </w:r>
      <w:r>
        <w:rPr>
          <w:color w:val="231F1F"/>
          <w:w w:val="110"/>
        </w:rPr>
        <w:t>; plasma concentration of warfarin possibly increased by </w:t>
      </w:r>
      <w:r>
        <w:rPr>
          <w:rFonts w:ascii="Calibri"/>
          <w:color w:val="008356"/>
          <w:w w:val="110"/>
          <w:sz w:val="11"/>
        </w:rPr>
        <w:t>ORITAVANCIN</w:t>
      </w:r>
      <w:r>
        <w:rPr>
          <w:color w:val="231F1F"/>
          <w:w w:val="110"/>
        </w:rPr>
        <w:t>; an interaction between coumarins and broad-spectrum </w:t>
      </w:r>
      <w:r>
        <w:rPr>
          <w:rFonts w:ascii="Calibri"/>
          <w:color w:val="008356"/>
          <w:w w:val="110"/>
          <w:sz w:val="11"/>
        </w:rPr>
        <w:t>PENICILLINS </w:t>
      </w:r>
      <w:r>
        <w:rPr>
          <w:color w:val="231F1F"/>
          <w:w w:val="110"/>
        </w:rPr>
        <w:t>has not been demonstrated in studies, but common experience in anticoagulant clinics is </w:t>
      </w:r>
      <w:r>
        <w:rPr>
          <w:color w:val="231F1F"/>
          <w:w w:val="130"/>
        </w:rPr>
        <w:t>that </w:t>
      </w:r>
      <w:r>
        <w:rPr>
          <w:color w:val="231F1F"/>
          <w:w w:val="110"/>
        </w:rPr>
        <w:t>INR can be altered; metabolism of coumarins accelerated by </w:t>
      </w:r>
      <w:r>
        <w:rPr>
          <w:rFonts w:ascii="Arial"/>
          <w:color w:val="231F1F"/>
          <w:w w:val="355"/>
          <w:position w:val="1"/>
          <w:sz w:val="7"/>
        </w:rPr>
        <w:t>l </w:t>
      </w:r>
      <w:r>
        <w:rPr>
          <w:rFonts w:ascii="Calibri"/>
          <w:color w:val="008356"/>
          <w:w w:val="110"/>
          <w:sz w:val="11"/>
        </w:rPr>
        <w:t>RIFAMYCINS </w:t>
      </w:r>
      <w:r>
        <w:rPr>
          <w:color w:val="231F1F"/>
          <w:w w:val="110"/>
        </w:rPr>
        <w:t>(reduced anticoagulant effect)</w:t>
      </w:r>
    </w:p>
    <w:p>
      <w:pPr>
        <w:pStyle w:val="BodyText"/>
        <w:spacing w:line="242" w:lineRule="auto" w:before="1"/>
        <w:ind w:left="284" w:right="821"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line="242" w:lineRule="auto" w:before="3"/>
        <w:ind w:left="284" w:right="649"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anticoagulant effect of warfarin possibly enhanced by </w:t>
      </w:r>
      <w:r>
        <w:rPr>
          <w:rFonts w:ascii="Arial" w:hAnsi="Arial"/>
          <w:color w:val="231F1F"/>
          <w:w w:val="355"/>
          <w:position w:val="1"/>
          <w:sz w:val="7"/>
        </w:rPr>
        <w:t>l </w:t>
      </w:r>
      <w:r>
        <w:rPr>
          <w:rFonts w:ascii="Calibri" w:hAnsi="Calibri"/>
          <w:color w:val="008356"/>
          <w:w w:val="110"/>
          <w:sz w:val="11"/>
        </w:rPr>
        <w:t>VENLAFAXINE</w:t>
      </w:r>
      <w:r>
        <w:rPr>
          <w:color w:val="231F1F"/>
          <w:w w:val="110"/>
        </w:rPr>
        <w:t>; anticoagulant effect of warfarin may be enhanced or reduced by </w:t>
      </w:r>
      <w:r>
        <w:rPr>
          <w:rFonts w:ascii="Calibri" w:hAnsi="Calibri"/>
          <w:color w:val="008356"/>
          <w:w w:val="110"/>
          <w:sz w:val="11"/>
        </w:rPr>
        <w:t>TRAZODONE</w:t>
      </w:r>
      <w:r>
        <w:rPr>
          <w:color w:val="231F1F"/>
          <w:w w:val="110"/>
        </w:rPr>
        <w:t>; anticoagulant effect of coumarins possibly enhanced by </w:t>
      </w:r>
      <w:r>
        <w:rPr>
          <w:rFonts w:ascii="Arial" w:hAnsi="Arial"/>
          <w:color w:val="231F1F"/>
          <w:w w:val="355"/>
          <w:position w:val="1"/>
          <w:sz w:val="7"/>
        </w:rPr>
        <w:t>l </w:t>
      </w:r>
      <w:r>
        <w:rPr>
          <w:rFonts w:ascii="Calibri" w:hAnsi="Calibri"/>
          <w:color w:val="008356"/>
          <w:w w:val="110"/>
          <w:sz w:val="11"/>
        </w:rPr>
        <w:t>SSRIS</w:t>
      </w:r>
      <w:r>
        <w:rPr>
          <w:color w:val="231F1F"/>
          <w:w w:val="110"/>
        </w:rPr>
        <w:t>; anticoagulant effect of coumarins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(avoid concomitant use); anticoagulant effect of warfarin enhanced by </w:t>
      </w:r>
      <w:r>
        <w:rPr>
          <w:rFonts w:ascii="Calibri" w:hAnsi="Calibri"/>
          <w:color w:val="008356"/>
          <w:w w:val="110"/>
          <w:sz w:val="11"/>
        </w:rPr>
        <w:t>MIRTAZAPINE</w:t>
      </w:r>
      <w:r>
        <w:rPr>
          <w:color w:val="231F1F"/>
          <w:w w:val="110"/>
        </w:rPr>
        <w:t>; anticoagulant effect of coumarins may be enhanced or reduced by </w:t>
      </w:r>
      <w:r>
        <w:rPr>
          <w:rFonts w:ascii="Arial" w:hAnsi="Arial"/>
          <w:color w:val="231F1F"/>
          <w:w w:val="355"/>
          <w:position w:val="1"/>
          <w:sz w:val="7"/>
        </w:rPr>
        <w:t>l </w:t>
      </w:r>
      <w:r>
        <w:rPr>
          <w:rFonts w:ascii="Calibri" w:hAnsi="Calibri"/>
          <w:color w:val="008356"/>
          <w:w w:val="110"/>
          <w:sz w:val="11"/>
        </w:rPr>
        <w:t>TRICYCLICS</w:t>
      </w:r>
    </w:p>
    <w:p>
      <w:pPr>
        <w:pStyle w:val="BodyText"/>
        <w:spacing w:line="242" w:lineRule="auto"/>
        <w:ind w:left="284" w:right="673" w:hanging="100"/>
      </w:pPr>
      <w:r>
        <w:rPr>
          <w:rFonts w:ascii="Arial"/>
          <w:color w:val="231F1F"/>
          <w:w w:val="355"/>
          <w:position w:val="1"/>
          <w:sz w:val="7"/>
        </w:rPr>
        <w:t>l </w:t>
      </w:r>
      <w:r>
        <w:rPr>
          <w:rFonts w:ascii="Calibri"/>
          <w:color w:val="231F1F"/>
          <w:w w:val="110"/>
        </w:rPr>
        <w:t>Antidiabetics: </w:t>
      </w:r>
      <w:r>
        <w:rPr>
          <w:color w:val="231F1F"/>
          <w:w w:val="110"/>
        </w:rPr>
        <w:t>anticoagulant effect of warfarin possibly enhanced by </w:t>
      </w:r>
      <w:r>
        <w:rPr>
          <w:rFonts w:ascii="Calibri"/>
          <w:color w:val="008356"/>
          <w:w w:val="110"/>
          <w:sz w:val="11"/>
        </w:rPr>
        <w:t>EXENATIDE</w:t>
      </w:r>
      <w:r>
        <w:rPr>
          <w:color w:val="231F1F"/>
          <w:w w:val="110"/>
        </w:rPr>
        <w:t>; coumarins possibly enhance hypoglycaemic effect of </w:t>
      </w:r>
      <w:r>
        <w:rPr>
          <w:rFonts w:ascii="Arial"/>
          <w:color w:val="231F1F"/>
          <w:w w:val="355"/>
          <w:position w:val="1"/>
          <w:sz w:val="7"/>
        </w:rPr>
        <w:t>l </w:t>
      </w:r>
      <w:r>
        <w:rPr>
          <w:rFonts w:ascii="Calibri"/>
          <w:color w:val="008356"/>
          <w:w w:val="110"/>
          <w:sz w:val="11"/>
        </w:rPr>
        <w:t>SULFONYLUREAS</w:t>
      </w:r>
      <w:r>
        <w:rPr>
          <w:color w:val="231F1F"/>
          <w:w w:val="110"/>
        </w:rPr>
        <w:t>, also possible changes to anticoagulant effect</w:t>
      </w:r>
    </w:p>
    <w:p>
      <w:pPr>
        <w:pStyle w:val="BodyText"/>
        <w:spacing w:line="145" w:lineRule="exact"/>
        <w:ind w:left="184"/>
      </w:pPr>
      <w:r>
        <w:rPr>
          <w:rFonts w:ascii="Arial"/>
          <w:color w:val="231F1F"/>
          <w:w w:val="355"/>
          <w:position w:val="1"/>
          <w:sz w:val="7"/>
        </w:rPr>
        <w:t>l </w:t>
      </w:r>
      <w:r>
        <w:rPr>
          <w:rFonts w:ascii="Calibri"/>
          <w:color w:val="231F1F"/>
          <w:w w:val="110"/>
        </w:rPr>
        <w:t>Antiepileptics: </w:t>
      </w:r>
      <w:r>
        <w:rPr>
          <w:color w:val="231F1F"/>
          <w:w w:val="110"/>
        </w:rPr>
        <w:t>metabolism of coumarins accelerated by</w:t>
      </w:r>
    </w:p>
    <w:p>
      <w:pPr>
        <w:spacing w:line="141" w:lineRule="exact" w:before="0"/>
        <w:ind w:left="284" w:right="0" w:firstLine="0"/>
        <w:jc w:val="both"/>
        <w:rPr>
          <w:sz w:val="12"/>
        </w:rPr>
      </w:pPr>
      <w:r>
        <w:rPr>
          <w:rFonts w:ascii="Arial"/>
          <w:color w:val="231F1F"/>
          <w:w w:val="355"/>
          <w:position w:val="1"/>
          <w:sz w:val="7"/>
        </w:rPr>
        <w:t>l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 </w:t>
      </w:r>
      <w:r>
        <w:rPr>
          <w:rFonts w:ascii="Calibri"/>
          <w:color w:val="008356"/>
          <w:spacing w:val="4"/>
          <w:w w:val="110"/>
          <w:sz w:val="11"/>
        </w:rPr>
        <w:t>PHENOBARBITAL </w:t>
      </w:r>
      <w:r>
        <w:rPr>
          <w:color w:val="231F1F"/>
          <w:w w:val="110"/>
          <w:sz w:val="12"/>
        </w:rPr>
        <w:t>and </w:t>
      </w:r>
      <w:r>
        <w:rPr>
          <w:rFonts w:ascii="Arial"/>
          <w:color w:val="231F1F"/>
          <w:w w:val="355"/>
          <w:position w:val="1"/>
          <w:sz w:val="7"/>
        </w:rPr>
        <w:t>l </w:t>
      </w:r>
      <w:r>
        <w:rPr>
          <w:rFonts w:ascii="Calibri"/>
          <w:color w:val="008356"/>
          <w:spacing w:val="4"/>
          <w:w w:val="110"/>
          <w:sz w:val="11"/>
        </w:rPr>
        <w:t>PRIMIDONE </w:t>
      </w:r>
      <w:r>
        <w:rPr>
          <w:color w:val="231F1F"/>
          <w:w w:val="110"/>
          <w:sz w:val="12"/>
        </w:rPr>
        <w:t>(reduced</w:t>
      </w:r>
    </w:p>
    <w:p>
      <w:pPr>
        <w:spacing w:line="247" w:lineRule="auto" w:before="0"/>
        <w:ind w:left="284" w:right="597" w:firstLine="0"/>
        <w:jc w:val="left"/>
        <w:rPr>
          <w:rFonts w:ascii="Calibri"/>
          <w:sz w:val="11"/>
        </w:rPr>
      </w:pPr>
      <w:r>
        <w:rPr>
          <w:color w:val="231F1F"/>
          <w:w w:val="110"/>
          <w:sz w:val="12"/>
        </w:rPr>
        <w:t>anticoagulant effect); plasma concentration of warfarin reduced by </w:t>
      </w:r>
      <w:r>
        <w:rPr>
          <w:rFonts w:ascii="Calibri"/>
          <w:color w:val="008356"/>
          <w:spacing w:val="4"/>
          <w:w w:val="110"/>
          <w:sz w:val="11"/>
        </w:rPr>
        <w:t>ESLICARBAZEPINE</w:t>
      </w:r>
      <w:r>
        <w:rPr>
          <w:color w:val="231F1F"/>
          <w:spacing w:val="4"/>
          <w:w w:val="110"/>
          <w:sz w:val="12"/>
        </w:rPr>
        <w:t>; </w:t>
      </w:r>
      <w:r>
        <w:rPr>
          <w:color w:val="231F1F"/>
          <w:w w:val="110"/>
          <w:sz w:val="12"/>
        </w:rPr>
        <w:t>metabolism of coumarins accelerated</w:t>
      </w:r>
      <w:r>
        <w:rPr>
          <w:color w:val="231F1F"/>
          <w:spacing w:val="-12"/>
          <w:w w:val="110"/>
          <w:sz w:val="12"/>
        </w:rPr>
        <w:t> </w:t>
      </w:r>
      <w:r>
        <w:rPr>
          <w:color w:val="231F1F"/>
          <w:w w:val="110"/>
          <w:sz w:val="12"/>
        </w:rPr>
        <w:t>by</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FOSPHENYTOIN</w:t>
      </w:r>
      <w:r>
        <w:rPr>
          <w:rFonts w:ascii="Calibri"/>
          <w:color w:val="008356"/>
          <w:spacing w:val="-3"/>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PHENYTOIN</w:t>
      </w:r>
      <w:r>
        <w:rPr>
          <w:rFonts w:ascii="Calibri"/>
          <w:color w:val="008356"/>
          <w:spacing w:val="-2"/>
          <w:w w:val="110"/>
          <w:sz w:val="11"/>
        </w:rPr>
        <w:t> </w:t>
      </w:r>
      <w:r>
        <w:rPr>
          <w:color w:val="231F1F"/>
          <w:w w:val="110"/>
          <w:sz w:val="12"/>
        </w:rPr>
        <w:t>(possibility</w:t>
      </w:r>
      <w:r>
        <w:rPr>
          <w:color w:val="231F1F"/>
          <w:spacing w:val="-12"/>
          <w:w w:val="110"/>
          <w:sz w:val="12"/>
        </w:rPr>
        <w:t> </w:t>
      </w:r>
      <w:r>
        <w:rPr>
          <w:color w:val="231F1F"/>
          <w:w w:val="110"/>
          <w:sz w:val="12"/>
        </w:rPr>
        <w:t>of reduced anticoagulant effect,  but  enhancement  also reported); anticoagulant effect of  coumarins possibly enhanced</w:t>
      </w:r>
      <w:r>
        <w:rPr>
          <w:color w:val="231F1F"/>
          <w:spacing w:val="-8"/>
          <w:w w:val="110"/>
          <w:sz w:val="12"/>
        </w:rPr>
        <w:t> </w:t>
      </w:r>
      <w:r>
        <w:rPr>
          <w:color w:val="231F1F"/>
          <w:w w:val="110"/>
          <w:sz w:val="12"/>
        </w:rPr>
        <w:t>by</w:t>
      </w:r>
      <w:r>
        <w:rPr>
          <w:color w:val="231F1F"/>
          <w:spacing w:val="-7"/>
          <w:w w:val="110"/>
          <w:sz w:val="12"/>
        </w:rPr>
        <w:t> </w:t>
      </w:r>
      <w:r>
        <w:rPr>
          <w:rFonts w:ascii="Calibri"/>
          <w:color w:val="008356"/>
          <w:spacing w:val="4"/>
          <w:w w:val="110"/>
          <w:sz w:val="11"/>
        </w:rPr>
        <w:t>SODIUM</w:t>
      </w:r>
      <w:r>
        <w:rPr>
          <w:rFonts w:ascii="Calibri"/>
          <w:color w:val="008356"/>
          <w:w w:val="110"/>
          <w:sz w:val="11"/>
        </w:rPr>
        <w:t> </w:t>
      </w:r>
      <w:r>
        <w:rPr>
          <w:rFonts w:ascii="Calibri"/>
          <w:color w:val="008356"/>
          <w:spacing w:val="3"/>
          <w:w w:val="110"/>
          <w:sz w:val="11"/>
        </w:rPr>
        <w:t>VALPROATE </w:t>
      </w:r>
      <w:r>
        <w:rPr>
          <w:color w:val="231F1F"/>
          <w:w w:val="110"/>
          <w:sz w:val="12"/>
        </w:rPr>
        <w:t>and</w:t>
      </w:r>
      <w:r>
        <w:rPr>
          <w:color w:val="231F1F"/>
          <w:spacing w:val="-6"/>
          <w:w w:val="110"/>
          <w:sz w:val="12"/>
        </w:rPr>
        <w:t> </w:t>
      </w:r>
      <w:r>
        <w:rPr>
          <w:rFonts w:ascii="Calibri"/>
          <w:color w:val="008356"/>
          <w:spacing w:val="3"/>
          <w:w w:val="110"/>
          <w:sz w:val="11"/>
        </w:rPr>
        <w:t>VALPROIC</w:t>
      </w:r>
      <w:r>
        <w:rPr>
          <w:rFonts w:ascii="Calibri"/>
          <w:color w:val="008356"/>
          <w:w w:val="110"/>
          <w:sz w:val="11"/>
        </w:rPr>
        <w:t> </w:t>
      </w:r>
      <w:r>
        <w:rPr>
          <w:rFonts w:ascii="Calibri"/>
          <w:color w:val="008356"/>
          <w:spacing w:val="5"/>
          <w:w w:val="110"/>
          <w:sz w:val="11"/>
        </w:rPr>
        <w:t>ACID</w:t>
      </w:r>
    </w:p>
    <w:p>
      <w:pPr>
        <w:pStyle w:val="BodyText"/>
        <w:spacing w:line="139" w:lineRule="exact"/>
        <w:ind w:left="184"/>
      </w:pPr>
      <w:r>
        <w:rPr>
          <w:rFonts w:ascii="Arial"/>
          <w:color w:val="231F1F"/>
          <w:w w:val="355"/>
          <w:position w:val="1"/>
          <w:sz w:val="7"/>
        </w:rPr>
        <w:t>l </w:t>
      </w:r>
      <w:r>
        <w:rPr>
          <w:rFonts w:ascii="Calibri"/>
          <w:color w:val="231F1F"/>
          <w:w w:val="115"/>
        </w:rPr>
        <w:t>Antifungals: </w:t>
      </w:r>
      <w:r>
        <w:rPr>
          <w:color w:val="231F1F"/>
          <w:w w:val="115"/>
        </w:rPr>
        <w:t>anticoagulant effect of coumarins enhanced by</w:t>
      </w:r>
    </w:p>
    <w:p>
      <w:pPr>
        <w:spacing w:before="0"/>
        <w:ind w:left="284" w:right="0" w:firstLine="0"/>
        <w:jc w:val="both"/>
        <w:rPr>
          <w:sz w:val="12"/>
        </w:rPr>
      </w:pPr>
      <w:r>
        <w:rPr>
          <w:rFonts w:ascii="Arial"/>
          <w:color w:val="231F1F"/>
          <w:w w:val="355"/>
          <w:position w:val="1"/>
          <w:sz w:val="7"/>
        </w:rPr>
        <w:t>l </w:t>
      </w:r>
      <w:r>
        <w:rPr>
          <w:rFonts w:ascii="Calibri"/>
          <w:color w:val="008356"/>
          <w:spacing w:val="4"/>
          <w:w w:val="115"/>
          <w:sz w:val="11"/>
        </w:rPr>
        <w:t>FLUCONAZOLE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ITRACONAZOLE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KETOCONAZOLE </w:t>
      </w:r>
      <w:r>
        <w:rPr>
          <w:color w:val="231F1F"/>
          <w:w w:val="115"/>
          <w:sz w:val="12"/>
        </w:rPr>
        <w:t>and</w:t>
      </w:r>
    </w:p>
    <w:p>
      <w:pPr>
        <w:pStyle w:val="BodyText"/>
        <w:spacing w:line="244" w:lineRule="auto"/>
        <w:ind w:left="284" w:right="539"/>
        <w:rPr>
          <w:rFonts w:ascii="Calibri"/>
          <w:sz w:val="11"/>
        </w:rPr>
      </w:pPr>
      <w:r>
        <w:rPr>
          <w:rFonts w:ascii="Arial"/>
          <w:color w:val="231F1F"/>
          <w:w w:val="355"/>
          <w:position w:val="1"/>
          <w:sz w:val="7"/>
        </w:rPr>
        <w:t>l </w:t>
      </w:r>
      <w:r>
        <w:rPr>
          <w:rFonts w:ascii="Calibri"/>
          <w:color w:val="008356"/>
          <w:spacing w:val="4"/>
          <w:w w:val="110"/>
          <w:sz w:val="11"/>
        </w:rPr>
        <w:t>VORICONAZOLE</w:t>
      </w:r>
      <w:r>
        <w:rPr>
          <w:color w:val="231F1F"/>
          <w:spacing w:val="4"/>
          <w:w w:val="110"/>
        </w:rPr>
        <w:t>; </w:t>
      </w:r>
      <w:r>
        <w:rPr>
          <w:color w:val="231F1F"/>
          <w:w w:val="110"/>
        </w:rPr>
        <w:t>anticoagulant effect of coumarins enhanced by </w:t>
      </w:r>
      <w:r>
        <w:rPr>
          <w:rFonts w:ascii="Arial"/>
          <w:color w:val="231F1F"/>
          <w:w w:val="355"/>
          <w:position w:val="1"/>
          <w:sz w:val="7"/>
        </w:rPr>
        <w:t>l </w:t>
      </w:r>
      <w:r>
        <w:rPr>
          <w:rFonts w:ascii="Calibri"/>
          <w:color w:val="008356"/>
          <w:spacing w:val="4"/>
          <w:w w:val="110"/>
          <w:sz w:val="11"/>
        </w:rPr>
        <w:t>MICONAZOLE </w:t>
      </w:r>
      <w:r>
        <w:rPr>
          <w:color w:val="231F1F"/>
          <w:w w:val="110"/>
        </w:rPr>
        <w:t>(miconazole oral gel and possibly vaginal and topical formulations absorbed); anticoagulant effect of coumarins reduced by </w:t>
      </w:r>
      <w:r>
        <w:rPr>
          <w:rFonts w:ascii="Arial"/>
          <w:color w:val="231F1F"/>
          <w:w w:val="355"/>
          <w:position w:val="1"/>
          <w:sz w:val="7"/>
        </w:rPr>
        <w:t>l </w:t>
      </w:r>
      <w:r>
        <w:rPr>
          <w:rFonts w:ascii="Calibri"/>
          <w:color w:val="008356"/>
          <w:spacing w:val="4"/>
          <w:w w:val="110"/>
          <w:sz w:val="11"/>
        </w:rPr>
        <w:t>GRISEOFULVIN</w:t>
      </w:r>
    </w:p>
    <w:p>
      <w:pPr>
        <w:pStyle w:val="BodyText"/>
        <w:spacing w:line="237" w:lineRule="auto"/>
        <w:ind w:left="284" w:right="67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Antimalarials: </w:t>
      </w:r>
      <w:r>
        <w:rPr>
          <w:color w:val="231F1F"/>
          <w:w w:val="110"/>
        </w:rPr>
        <w:t>isolated reports that anticoagulant effect of warfarin may be enhanced by </w:t>
      </w:r>
      <w:r>
        <w:rPr>
          <w:rFonts w:ascii="Calibri" w:hAnsi="Calibri"/>
          <w:color w:val="008356"/>
          <w:w w:val="110"/>
          <w:sz w:val="11"/>
        </w:rPr>
        <w:t>PROGUANIL</w:t>
      </w:r>
      <w:r>
        <w:rPr>
          <w:color w:val="231F1F"/>
          <w:w w:val="110"/>
        </w:rPr>
        <w:t>; plasma concentration of both drugs increased when warfarin given with </w:t>
      </w:r>
      <w:r>
        <w:rPr>
          <w:rFonts w:ascii="Calibri" w:hAnsi="Calibri"/>
          <w:color w:val="008356"/>
          <w:w w:val="110"/>
          <w:sz w:val="11"/>
        </w:rPr>
        <w:t>QUININE</w:t>
      </w:r>
    </w:p>
    <w:p>
      <w:pPr>
        <w:spacing w:line="240" w:lineRule="auto" w:before="0"/>
        <w:ind w:left="284" w:right="649"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anticoagulant effect of warfarin may be enhanced or reduced by </w:t>
      </w:r>
      <w:r>
        <w:rPr>
          <w:rFonts w:ascii="Calibri"/>
          <w:color w:val="008356"/>
          <w:spacing w:val="3"/>
          <w:w w:val="110"/>
          <w:sz w:val="11"/>
        </w:rPr>
        <w:t>ATAZANAVIR</w:t>
      </w:r>
      <w:r>
        <w:rPr>
          <w:color w:val="231F1F"/>
          <w:spacing w:val="3"/>
          <w:w w:val="110"/>
          <w:sz w:val="12"/>
        </w:rPr>
        <w:t>, </w:t>
      </w:r>
      <w:r>
        <w:rPr>
          <w:rFonts w:ascii="Arial"/>
          <w:color w:val="231F1F"/>
          <w:w w:val="355"/>
          <w:position w:val="1"/>
          <w:sz w:val="7"/>
        </w:rPr>
        <w:t>l </w:t>
      </w:r>
      <w:r>
        <w:rPr>
          <w:rFonts w:ascii="Calibri"/>
          <w:color w:val="008356"/>
          <w:spacing w:val="4"/>
          <w:w w:val="110"/>
          <w:sz w:val="11"/>
        </w:rPr>
        <w:t>NEVIRAPINE </w:t>
      </w:r>
      <w:r>
        <w:rPr>
          <w:color w:val="231F1F"/>
          <w:w w:val="110"/>
          <w:sz w:val="12"/>
        </w:rPr>
        <w:t>and </w:t>
      </w:r>
      <w:r>
        <w:rPr>
          <w:rFonts w:ascii="Arial"/>
          <w:color w:val="231F1F"/>
          <w:w w:val="355"/>
          <w:position w:val="1"/>
          <w:sz w:val="7"/>
        </w:rPr>
        <w:t>l </w:t>
      </w:r>
      <w:r>
        <w:rPr>
          <w:rFonts w:ascii="Calibri"/>
          <w:color w:val="008356"/>
          <w:spacing w:val="3"/>
          <w:w w:val="110"/>
          <w:sz w:val="11"/>
        </w:rPr>
        <w:t>RITONAVIR</w:t>
      </w:r>
      <w:r>
        <w:rPr>
          <w:color w:val="231F1F"/>
          <w:spacing w:val="3"/>
          <w:w w:val="110"/>
          <w:sz w:val="12"/>
        </w:rPr>
        <w:t>; </w:t>
      </w:r>
      <w:r>
        <w:rPr>
          <w:color w:val="231F1F"/>
          <w:w w:val="110"/>
          <w:sz w:val="12"/>
        </w:rPr>
        <w:t>plasma concentration of coumarins possibly affected by</w:t>
      </w:r>
    </w:p>
    <w:p>
      <w:pPr>
        <w:pStyle w:val="BodyText"/>
        <w:spacing w:line="244" w:lineRule="auto" w:before="1"/>
        <w:ind w:left="284" w:right="601"/>
        <w:rPr>
          <w:rFonts w:ascii="Calibri"/>
          <w:sz w:val="11"/>
        </w:rPr>
      </w:pPr>
      <w:r>
        <w:rPr>
          <w:rFonts w:ascii="Arial"/>
          <w:color w:val="231F1F"/>
          <w:w w:val="355"/>
          <w:position w:val="1"/>
          <w:sz w:val="7"/>
        </w:rPr>
        <w:t>l </w:t>
      </w:r>
      <w:r>
        <w:rPr>
          <w:rFonts w:ascii="Calibri"/>
          <w:color w:val="008356"/>
          <w:spacing w:val="3"/>
          <w:w w:val="110"/>
          <w:sz w:val="11"/>
        </w:rPr>
        <w:t>EFAVIRENZ</w:t>
      </w:r>
      <w:r>
        <w:rPr>
          <w:color w:val="231F1F"/>
          <w:spacing w:val="3"/>
          <w:w w:val="110"/>
        </w:rPr>
        <w:t>; </w:t>
      </w:r>
      <w:r>
        <w:rPr>
          <w:color w:val="231F1F"/>
          <w:w w:val="110"/>
        </w:rPr>
        <w:t>anticoagulant effect of coumarins may be enhanced or reduced by </w:t>
      </w:r>
      <w:r>
        <w:rPr>
          <w:rFonts w:ascii="Calibri"/>
          <w:color w:val="008356"/>
          <w:spacing w:val="4"/>
          <w:w w:val="110"/>
          <w:sz w:val="11"/>
        </w:rPr>
        <w:t>FOSAMPRENAVIR</w:t>
      </w:r>
      <w:r>
        <w:rPr>
          <w:color w:val="231F1F"/>
          <w:spacing w:val="4"/>
          <w:w w:val="110"/>
        </w:rPr>
        <w:t>; </w:t>
      </w:r>
      <w:r>
        <w:rPr>
          <w:color w:val="231F1F"/>
          <w:w w:val="110"/>
        </w:rPr>
        <w:t>anticoagulant effect of coumarins possibly enhanced by </w:t>
      </w:r>
      <w:r>
        <w:rPr>
          <w:rFonts w:ascii="Arial"/>
          <w:color w:val="231F1F"/>
          <w:w w:val="355"/>
          <w:position w:val="1"/>
          <w:sz w:val="7"/>
        </w:rPr>
        <w:t>l </w:t>
      </w:r>
      <w:r>
        <w:rPr>
          <w:rFonts w:ascii="Calibri"/>
          <w:color w:val="008356"/>
          <w:spacing w:val="3"/>
          <w:w w:val="110"/>
          <w:sz w:val="11"/>
        </w:rPr>
        <w:t>RITONAVIR</w:t>
      </w:r>
      <w:r>
        <w:rPr>
          <w:color w:val="231F1F"/>
          <w:spacing w:val="3"/>
          <w:w w:val="110"/>
        </w:rPr>
        <w:t>; </w:t>
      </w:r>
      <w:r>
        <w:rPr>
          <w:color w:val="231F1F"/>
          <w:w w:val="110"/>
        </w:rPr>
        <w:t>anticoagulant effect of warfarin possibly enhanced by </w:t>
      </w:r>
      <w:r>
        <w:rPr>
          <w:rFonts w:ascii="Calibri"/>
          <w:color w:val="008356"/>
          <w:spacing w:val="4"/>
          <w:w w:val="110"/>
          <w:sz w:val="11"/>
        </w:rPr>
        <w:t>SAQUINAVIR</w:t>
      </w:r>
      <w:r>
        <w:rPr>
          <w:color w:val="231F1F"/>
          <w:spacing w:val="4"/>
          <w:w w:val="110"/>
        </w:rPr>
        <w:t>; </w:t>
      </w:r>
      <w:r>
        <w:rPr>
          <w:color w:val="231F1F"/>
          <w:w w:val="110"/>
        </w:rPr>
        <w:t>plasma concentration of warfarin possibly affected by </w:t>
      </w:r>
      <w:r>
        <w:rPr>
          <w:rFonts w:ascii="Arial"/>
          <w:color w:val="231F1F"/>
          <w:w w:val="355"/>
          <w:position w:val="1"/>
          <w:sz w:val="7"/>
        </w:rPr>
        <w:t>l </w:t>
      </w:r>
      <w:r>
        <w:rPr>
          <w:rFonts w:ascii="Calibri"/>
          <w:color w:val="008356"/>
          <w:spacing w:val="5"/>
          <w:w w:val="110"/>
          <w:sz w:val="11"/>
        </w:rPr>
        <w:t>TELAPREVIR</w:t>
      </w:r>
    </w:p>
    <w:p>
      <w:pPr>
        <w:pStyle w:val="BodyText"/>
        <w:spacing w:line="220" w:lineRule="auto" w:before="3"/>
        <w:ind w:left="284" w:right="751"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anticoagulant effect of coumarins may transiently be enhanced by </w:t>
      </w:r>
      <w:r>
        <w:rPr>
          <w:rFonts w:ascii="Calibri" w:hAnsi="Calibri"/>
          <w:color w:val="008356"/>
          <w:w w:val="105"/>
          <w:sz w:val="11"/>
        </w:rPr>
        <w:t>CHLORAL</w:t>
      </w:r>
    </w:p>
    <w:p>
      <w:pPr>
        <w:pStyle w:val="BodyText"/>
        <w:spacing w:line="220" w:lineRule="auto" w:before="8"/>
        <w:ind w:left="284" w:right="751"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anticoagulant effect of warfarin possibly </w:t>
      </w:r>
      <w:r>
        <w:rPr>
          <w:color w:val="231F1F"/>
          <w:spacing w:val="-3"/>
          <w:w w:val="105"/>
        </w:rPr>
        <w:t>reduced </w:t>
      </w:r>
      <w:r>
        <w:rPr>
          <w:color w:val="231F1F"/>
          <w:spacing w:val="25"/>
          <w:w w:val="105"/>
        </w:rPr>
        <w:t> </w:t>
      </w:r>
      <w:r>
        <w:rPr>
          <w:color w:val="231F1F"/>
          <w:w w:val="105"/>
        </w:rPr>
        <w:t>by </w:t>
      </w:r>
      <w:r>
        <w:rPr>
          <w:rFonts w:ascii="Calibri" w:hAnsi="Calibri"/>
          <w:color w:val="008356"/>
          <w:spacing w:val="4"/>
          <w:w w:val="105"/>
          <w:sz w:val="11"/>
        </w:rPr>
        <w:t>APREPITANT</w:t>
      </w:r>
    </w:p>
    <w:p>
      <w:pPr>
        <w:pStyle w:val="BodyText"/>
        <w:ind w:left="284" w:right="673" w:hanging="100"/>
        <w:rPr>
          <w:rFonts w:ascii="Calibri"/>
          <w:sz w:val="11"/>
        </w:rPr>
      </w:pPr>
      <w:r>
        <w:rPr>
          <w:rFonts w:ascii="Arial"/>
          <w:color w:val="231F1F"/>
          <w:w w:val="355"/>
          <w:position w:val="1"/>
          <w:sz w:val="7"/>
        </w:rPr>
        <w:t>l </w:t>
      </w:r>
      <w:r>
        <w:rPr>
          <w:rFonts w:ascii="Calibri"/>
          <w:color w:val="231F1F"/>
          <w:w w:val="110"/>
        </w:rPr>
        <w:t>Azathioprine: </w:t>
      </w:r>
      <w:r>
        <w:rPr>
          <w:color w:val="231F1F"/>
          <w:w w:val="110"/>
        </w:rPr>
        <w:t>anticoagulant effect of coumarins possibly reduced by </w:t>
      </w:r>
      <w:r>
        <w:rPr>
          <w:rFonts w:ascii="Arial"/>
          <w:color w:val="231F1F"/>
          <w:w w:val="355"/>
          <w:position w:val="1"/>
          <w:sz w:val="7"/>
        </w:rPr>
        <w:t>l </w:t>
      </w:r>
      <w:r>
        <w:rPr>
          <w:rFonts w:ascii="Calibri"/>
          <w:color w:val="008356"/>
          <w:spacing w:val="4"/>
          <w:w w:val="110"/>
          <w:sz w:val="11"/>
        </w:rPr>
        <w:t>AZATHIOPRINE</w:t>
      </w:r>
    </w:p>
    <w:p>
      <w:pPr>
        <w:pStyle w:val="BodyText"/>
        <w:spacing w:line="220" w:lineRule="auto" w:before="6"/>
        <w:ind w:left="284" w:right="673" w:hanging="100"/>
        <w:rPr>
          <w:rFonts w:ascii="Calibri" w:hAnsi="Calibri"/>
          <w:sz w:val="11"/>
        </w:rPr>
      </w:pPr>
      <w:r>
        <w:rPr>
          <w:rFonts w:ascii="Lucida Sans Unicode" w:hAnsi="Lucida Sans Unicode"/>
          <w:color w:val="A7A8AC"/>
          <w:w w:val="95"/>
          <w:sz w:val="10"/>
        </w:rPr>
        <w:t>▶ </w:t>
      </w:r>
      <w:r>
        <w:rPr>
          <w:rFonts w:ascii="Calibri" w:hAnsi="Calibri"/>
          <w:color w:val="231F1F"/>
          <w:w w:val="110"/>
        </w:rPr>
        <w:t>Bosentan: </w:t>
      </w:r>
      <w:r>
        <w:rPr>
          <w:color w:val="231F1F"/>
          <w:w w:val="110"/>
        </w:rPr>
        <w:t>monitoring anticoagulant effect of coumarins recommended by manufacturer of </w:t>
      </w:r>
      <w:r>
        <w:rPr>
          <w:rFonts w:ascii="Calibri" w:hAnsi="Calibri"/>
          <w:color w:val="008356"/>
          <w:w w:val="110"/>
          <w:sz w:val="11"/>
        </w:rPr>
        <w:t>BOSENTAN</w:t>
      </w:r>
    </w:p>
    <w:p>
      <w:pPr>
        <w:spacing w:after="0" w:line="220" w:lineRule="auto"/>
        <w:rPr>
          <w:rFonts w:ascii="Calibri" w:hAnsi="Calibri"/>
          <w:sz w:val="11"/>
        </w:rPr>
        <w:sectPr>
          <w:headerReference w:type="even" r:id="rId23"/>
          <w:headerReference w:type="default" r:id="rId24"/>
          <w:pgSz w:w="8390" w:h="11910"/>
          <w:pgMar w:header="0" w:footer="0" w:top="460" w:bottom="280" w:left="480" w:right="0"/>
          <w:cols w:num="2" w:equalWidth="0">
            <w:col w:w="3639" w:space="40"/>
            <w:col w:w="4231"/>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Coumarins </w:t>
      </w:r>
      <w:r>
        <w:rPr>
          <w:rFonts w:ascii="Calibri"/>
          <w:color w:val="231F1F"/>
        </w:rPr>
        <w:t>(continued)</w:t>
      </w:r>
    </w:p>
    <w:p>
      <w:pPr>
        <w:pStyle w:val="BodyText"/>
        <w:ind w:right="55"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anticoagulant effect of coumarins enhanced due to antiplatelet action of </w:t>
      </w:r>
      <w:r>
        <w:rPr>
          <w:rFonts w:ascii="Arial"/>
          <w:color w:val="231F1F"/>
          <w:w w:val="355"/>
          <w:position w:val="1"/>
          <w:sz w:val="7"/>
        </w:rPr>
        <w:t>l</w:t>
      </w:r>
      <w:r>
        <w:rPr>
          <w:rFonts w:ascii="Arial"/>
          <w:color w:val="231F1F"/>
          <w:spacing w:val="-35"/>
          <w:w w:val="355"/>
          <w:position w:val="1"/>
          <w:sz w:val="7"/>
        </w:rPr>
        <w:t> </w:t>
      </w:r>
      <w:r>
        <w:rPr>
          <w:rFonts w:ascii="Calibri"/>
          <w:color w:val="008356"/>
          <w:spacing w:val="4"/>
          <w:w w:val="110"/>
          <w:sz w:val="11"/>
        </w:rPr>
        <w:t>CLOPIDOGREL</w:t>
      </w:r>
      <w:r>
        <w:rPr>
          <w:color w:val="231F1F"/>
          <w:spacing w:val="4"/>
          <w:w w:val="110"/>
        </w:rPr>
        <w:t>; </w:t>
      </w:r>
      <w:r>
        <w:rPr>
          <w:color w:val="231F1F"/>
          <w:w w:val="110"/>
        </w:rPr>
        <w:t>avoidance of warfarin advised by manufacturer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CLOPIDOGREL</w:t>
      </w:r>
    </w:p>
    <w:p>
      <w:pPr>
        <w:pStyle w:val="BodyText"/>
        <w:ind w:hanging="100"/>
      </w:pPr>
      <w:r>
        <w:rPr>
          <w:rFonts w:ascii="Arial"/>
          <w:color w:val="231F1F"/>
          <w:w w:val="355"/>
          <w:position w:val="1"/>
          <w:sz w:val="7"/>
        </w:rPr>
        <w:t>l </w:t>
      </w:r>
      <w:r>
        <w:rPr>
          <w:rFonts w:ascii="Calibri"/>
          <w:color w:val="231F1F"/>
          <w:w w:val="110"/>
        </w:rPr>
        <w:t>Corticosteroids: </w:t>
      </w:r>
      <w:r>
        <w:rPr>
          <w:color w:val="231F1F"/>
          <w:w w:val="110"/>
        </w:rPr>
        <w:t>anticoagulant effect of coumarins may be enhanced or reduced by </w:t>
      </w:r>
      <w:r>
        <w:rPr>
          <w:rFonts w:ascii="Arial"/>
          <w:color w:val="231F1F"/>
          <w:w w:val="355"/>
          <w:position w:val="1"/>
          <w:sz w:val="7"/>
        </w:rPr>
        <w:t>l </w:t>
      </w:r>
      <w:r>
        <w:rPr>
          <w:rFonts w:ascii="Calibri"/>
          <w:color w:val="008356"/>
          <w:w w:val="110"/>
          <w:sz w:val="11"/>
        </w:rPr>
        <w:t>CORTICOSTEROIDS </w:t>
      </w:r>
      <w:r>
        <w:rPr>
          <w:color w:val="231F1F"/>
          <w:w w:val="110"/>
        </w:rPr>
        <w:t>(high-dose corticosteroids enhance anticoagulant effect)</w:t>
      </w:r>
    </w:p>
    <w:p>
      <w:pPr>
        <w:pStyle w:val="BodyText"/>
        <w:ind w:right="232" w:hanging="100"/>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231F1F"/>
          <w:w w:val="115"/>
        </w:rPr>
        <w:t>Cranberry</w:t>
      </w:r>
      <w:r>
        <w:rPr>
          <w:rFonts w:ascii="Calibri" w:hAnsi="Calibri"/>
          <w:color w:val="231F1F"/>
          <w:spacing w:val="-16"/>
          <w:w w:val="115"/>
        </w:rPr>
        <w:t> </w:t>
      </w:r>
      <w:r>
        <w:rPr>
          <w:rFonts w:ascii="Calibri" w:hAnsi="Calibri"/>
          <w:color w:val="231F1F"/>
          <w:w w:val="115"/>
        </w:rPr>
        <w:t>Juice:</w:t>
      </w:r>
      <w:r>
        <w:rPr>
          <w:rFonts w:ascii="Calibri" w:hAnsi="Calibri"/>
          <w:color w:val="231F1F"/>
          <w:spacing w:val="-17"/>
          <w:w w:val="115"/>
        </w:rPr>
        <w:t> </w:t>
      </w:r>
      <w:r>
        <w:rPr>
          <w:color w:val="231F1F"/>
          <w:w w:val="115"/>
        </w:rPr>
        <w:t>anticoagulant</w:t>
      </w:r>
      <w:r>
        <w:rPr>
          <w:color w:val="231F1F"/>
          <w:spacing w:val="-19"/>
          <w:w w:val="115"/>
        </w:rPr>
        <w:t> </w:t>
      </w:r>
      <w:r>
        <w:rPr>
          <w:color w:val="231F1F"/>
          <w:w w:val="115"/>
        </w:rPr>
        <w:t>effect</w:t>
      </w:r>
      <w:r>
        <w:rPr>
          <w:color w:val="231F1F"/>
          <w:spacing w:val="-20"/>
          <w:w w:val="115"/>
        </w:rPr>
        <w:t> </w:t>
      </w:r>
      <w:r>
        <w:rPr>
          <w:color w:val="231F1F"/>
          <w:w w:val="115"/>
        </w:rPr>
        <w:t>of</w:t>
      </w:r>
      <w:r>
        <w:rPr>
          <w:color w:val="231F1F"/>
          <w:spacing w:val="-19"/>
          <w:w w:val="115"/>
        </w:rPr>
        <w:t> </w:t>
      </w:r>
      <w:r>
        <w:rPr>
          <w:color w:val="231F1F"/>
          <w:w w:val="115"/>
        </w:rPr>
        <w:t>coumarins</w:t>
      </w:r>
      <w:r>
        <w:rPr>
          <w:color w:val="231F1F"/>
          <w:spacing w:val="-20"/>
          <w:w w:val="115"/>
        </w:rPr>
        <w:t> </w:t>
      </w:r>
      <w:r>
        <w:rPr>
          <w:color w:val="231F1F"/>
          <w:w w:val="115"/>
        </w:rPr>
        <w:t>possibly enhanced</w:t>
      </w:r>
      <w:r>
        <w:rPr>
          <w:color w:val="231F1F"/>
          <w:spacing w:val="-19"/>
          <w:w w:val="115"/>
        </w:rPr>
        <w:t> </w:t>
      </w:r>
      <w:r>
        <w:rPr>
          <w:color w:val="231F1F"/>
          <w:w w:val="115"/>
        </w:rPr>
        <w:t>by</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CRANBERRY</w:t>
      </w:r>
      <w:r>
        <w:rPr>
          <w:rFonts w:ascii="Calibri" w:hAnsi="Calibri"/>
          <w:color w:val="008356"/>
          <w:spacing w:val="-15"/>
          <w:w w:val="115"/>
          <w:sz w:val="11"/>
        </w:rPr>
        <w:t> </w:t>
      </w:r>
      <w:r>
        <w:rPr>
          <w:rFonts w:ascii="Calibri" w:hAnsi="Calibri"/>
          <w:color w:val="008356"/>
          <w:spacing w:val="2"/>
          <w:w w:val="115"/>
          <w:sz w:val="11"/>
        </w:rPr>
        <w:t>JUICE</w:t>
      </w:r>
      <w:r>
        <w:rPr>
          <w:rFonts w:ascii="Arial" w:hAnsi="Arial"/>
          <w:color w:val="231F1F"/>
          <w:spacing w:val="2"/>
          <w:w w:val="115"/>
        </w:rPr>
        <w:t>—</w:t>
      </w:r>
      <w:r>
        <w:rPr>
          <w:color w:val="231F1F"/>
          <w:spacing w:val="2"/>
          <w:w w:val="115"/>
        </w:rPr>
        <w:t>avoid</w:t>
      </w:r>
      <w:r>
        <w:rPr>
          <w:color w:val="231F1F"/>
          <w:spacing w:val="-18"/>
          <w:w w:val="115"/>
        </w:rPr>
        <w:t> </w:t>
      </w:r>
      <w:r>
        <w:rPr>
          <w:color w:val="231F1F"/>
          <w:w w:val="115"/>
        </w:rPr>
        <w:t>concomitant</w:t>
      </w:r>
      <w:r>
        <w:rPr>
          <w:color w:val="231F1F"/>
          <w:spacing w:val="-18"/>
          <w:w w:val="115"/>
        </w:rPr>
        <w:t> </w:t>
      </w:r>
      <w:r>
        <w:rPr>
          <w:color w:val="231F1F"/>
          <w:w w:val="115"/>
        </w:rPr>
        <w:t>use</w:t>
      </w:r>
    </w:p>
    <w:p>
      <w:pPr>
        <w:spacing w:line="240" w:lineRule="auto" w:before="0"/>
        <w:ind w:left="208" w:right="246" w:hanging="100"/>
        <w:jc w:val="left"/>
        <w:rPr>
          <w:sz w:val="12"/>
        </w:rPr>
      </w:pPr>
      <w:r>
        <w:rPr>
          <w:rFonts w:ascii="Arial"/>
          <w:color w:val="231F1F"/>
          <w:w w:val="355"/>
          <w:position w:val="1"/>
          <w:sz w:val="7"/>
        </w:rPr>
        <w:t>l </w:t>
      </w:r>
      <w:r>
        <w:rPr>
          <w:rFonts w:ascii="Calibri"/>
          <w:color w:val="231F1F"/>
          <w:w w:val="110"/>
          <w:sz w:val="12"/>
        </w:rPr>
        <w:t>Cytotoxics: </w:t>
      </w:r>
      <w:r>
        <w:rPr>
          <w:color w:val="231F1F"/>
          <w:w w:val="110"/>
          <w:sz w:val="12"/>
        </w:rPr>
        <w:t>anticoagulant effect of coumarins possibly enhanced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ETOPOSIDE</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IFOSFAMIDE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SORAFENIB</w:t>
      </w:r>
      <w:r>
        <w:rPr>
          <w:color w:val="231F1F"/>
          <w:spacing w:val="4"/>
          <w:w w:val="110"/>
          <w:sz w:val="12"/>
        </w:rPr>
        <w:t>; </w:t>
      </w:r>
      <w:r>
        <w:rPr>
          <w:color w:val="231F1F"/>
          <w:w w:val="110"/>
          <w:sz w:val="12"/>
        </w:rPr>
        <w:t>anticoagulant effect of coumarins enhanced by</w:t>
      </w:r>
    </w:p>
    <w:p>
      <w:pPr>
        <w:spacing w:line="242" w:lineRule="auto" w:before="2"/>
        <w:ind w:left="208" w:right="-19"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CAPECITABINE</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FLUOROURACIL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TEGAFUR</w:t>
      </w:r>
      <w:r>
        <w:rPr>
          <w:color w:val="231F1F"/>
          <w:spacing w:val="4"/>
          <w:w w:val="110"/>
          <w:sz w:val="12"/>
        </w:rPr>
        <w:t>; </w:t>
      </w:r>
      <w:r>
        <w:rPr>
          <w:color w:val="231F1F"/>
          <w:w w:val="110"/>
          <w:sz w:val="12"/>
        </w:rPr>
        <w:t>anticoagulant effect of warfarin possibly enhanced by </w:t>
      </w:r>
      <w:r>
        <w:rPr>
          <w:rFonts w:ascii="Arial"/>
          <w:color w:val="231F1F"/>
          <w:w w:val="355"/>
          <w:position w:val="1"/>
          <w:sz w:val="7"/>
        </w:rPr>
        <w:t>l </w:t>
      </w:r>
      <w:r>
        <w:rPr>
          <w:rFonts w:ascii="Calibri"/>
          <w:color w:val="008356"/>
          <w:spacing w:val="4"/>
          <w:w w:val="110"/>
          <w:sz w:val="11"/>
        </w:rPr>
        <w:t>GEFITINIB</w:t>
      </w:r>
      <w:r>
        <w:rPr>
          <w:color w:val="231F1F"/>
          <w:spacing w:val="4"/>
          <w:w w:val="110"/>
          <w:sz w:val="12"/>
        </w:rPr>
        <w:t>, </w:t>
      </w:r>
      <w:r>
        <w:rPr>
          <w:rFonts w:ascii="Calibri"/>
          <w:color w:val="008356"/>
          <w:spacing w:val="4"/>
          <w:w w:val="110"/>
          <w:sz w:val="11"/>
        </w:rPr>
        <w:t>GEMCITABINE </w:t>
      </w:r>
      <w:r>
        <w:rPr>
          <w:color w:val="231F1F"/>
          <w:w w:val="110"/>
          <w:sz w:val="12"/>
        </w:rPr>
        <w:t>and </w:t>
      </w:r>
      <w:r>
        <w:rPr>
          <w:rFonts w:ascii="Arial"/>
          <w:color w:val="231F1F"/>
          <w:w w:val="355"/>
          <w:position w:val="1"/>
          <w:sz w:val="7"/>
        </w:rPr>
        <w:t>l </w:t>
      </w:r>
      <w:r>
        <w:rPr>
          <w:rFonts w:ascii="Calibri"/>
          <w:color w:val="008356"/>
          <w:spacing w:val="4"/>
          <w:w w:val="110"/>
          <w:sz w:val="11"/>
        </w:rPr>
        <w:t>VEMURAFENIB</w:t>
      </w:r>
      <w:r>
        <w:rPr>
          <w:color w:val="231F1F"/>
          <w:spacing w:val="4"/>
          <w:w w:val="110"/>
          <w:sz w:val="12"/>
        </w:rPr>
        <w:t>; </w:t>
      </w:r>
      <w:r>
        <w:rPr>
          <w:color w:val="231F1F"/>
          <w:w w:val="110"/>
          <w:sz w:val="12"/>
        </w:rPr>
        <w:t>anticoagulant effect of coumarins possibly reduced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MERCAPTOPURINE </w:t>
      </w:r>
      <w:r>
        <w:rPr>
          <w:color w:val="231F1F"/>
          <w:w w:val="110"/>
          <w:sz w:val="12"/>
        </w:rPr>
        <w:t>and</w:t>
      </w:r>
    </w:p>
    <w:p>
      <w:pPr>
        <w:pStyle w:val="BodyText"/>
        <w:spacing w:line="244" w:lineRule="auto" w:before="2"/>
        <w:rPr>
          <w:rFonts w:ascii="Calibri"/>
          <w:sz w:val="11"/>
        </w:rPr>
      </w:pPr>
      <w:r>
        <w:rPr>
          <w:rFonts w:ascii="Arial"/>
          <w:color w:val="231F1F"/>
          <w:w w:val="355"/>
          <w:position w:val="1"/>
          <w:sz w:val="7"/>
        </w:rPr>
        <w:t>l </w:t>
      </w:r>
      <w:r>
        <w:rPr>
          <w:rFonts w:ascii="Calibri"/>
          <w:color w:val="008356"/>
          <w:spacing w:val="3"/>
          <w:w w:val="110"/>
          <w:sz w:val="11"/>
        </w:rPr>
        <w:t>MITOTANE</w:t>
      </w:r>
      <w:r>
        <w:rPr>
          <w:color w:val="231F1F"/>
          <w:spacing w:val="3"/>
          <w:w w:val="110"/>
        </w:rPr>
        <w:t>; </w:t>
      </w:r>
      <w:r>
        <w:rPr>
          <w:color w:val="231F1F"/>
          <w:w w:val="110"/>
        </w:rPr>
        <w:t>plasma concentration of warfarin reduced by </w:t>
      </w:r>
      <w:r>
        <w:rPr>
          <w:rFonts w:ascii="Calibri"/>
          <w:color w:val="008356"/>
          <w:spacing w:val="4"/>
          <w:w w:val="110"/>
          <w:sz w:val="11"/>
        </w:rPr>
        <w:t>DABRAFENIB</w:t>
      </w:r>
      <w:r>
        <w:rPr>
          <w:color w:val="231F1F"/>
          <w:spacing w:val="4"/>
          <w:w w:val="110"/>
        </w:rPr>
        <w:t>; </w:t>
      </w:r>
      <w:r>
        <w:rPr>
          <w:color w:val="231F1F"/>
          <w:w w:val="110"/>
        </w:rPr>
        <w:t>increased risk of bleeding when coumarins </w:t>
      </w:r>
      <w:r>
        <w:rPr>
          <w:color w:val="231F1F"/>
          <w:spacing w:val="-3"/>
          <w:w w:val="110"/>
        </w:rPr>
        <w:t>given </w:t>
      </w:r>
      <w:r>
        <w:rPr>
          <w:color w:val="231F1F"/>
          <w:w w:val="110"/>
        </w:rPr>
        <w:t>with </w:t>
      </w:r>
      <w:r>
        <w:rPr>
          <w:rFonts w:ascii="Arial"/>
          <w:color w:val="231F1F"/>
          <w:w w:val="355"/>
          <w:position w:val="1"/>
          <w:sz w:val="7"/>
        </w:rPr>
        <w:t>l </w:t>
      </w:r>
      <w:r>
        <w:rPr>
          <w:rFonts w:ascii="Calibri"/>
          <w:color w:val="008356"/>
          <w:spacing w:val="4"/>
          <w:w w:val="110"/>
          <w:sz w:val="11"/>
        </w:rPr>
        <w:t>ERLOTINIB</w:t>
      </w:r>
      <w:r>
        <w:rPr>
          <w:color w:val="231F1F"/>
          <w:spacing w:val="4"/>
          <w:w w:val="110"/>
        </w:rPr>
        <w:t>; </w:t>
      </w:r>
      <w:r>
        <w:rPr>
          <w:color w:val="231F1F"/>
          <w:w w:val="110"/>
        </w:rPr>
        <w:t>avoidance of coumarins advised by manufacturer of </w:t>
      </w:r>
      <w:r>
        <w:rPr>
          <w:rFonts w:ascii="Calibri"/>
          <w:color w:val="008356"/>
          <w:spacing w:val="4"/>
          <w:w w:val="110"/>
          <w:sz w:val="11"/>
        </w:rPr>
        <w:t>IBRUTINIB</w:t>
      </w:r>
      <w:r>
        <w:rPr>
          <w:color w:val="231F1F"/>
          <w:spacing w:val="4"/>
          <w:w w:val="110"/>
        </w:rPr>
        <w:t>; </w:t>
      </w:r>
      <w:r>
        <w:rPr>
          <w:color w:val="231F1F"/>
          <w:w w:val="110"/>
        </w:rPr>
        <w:t>replacement of warfarin with a heparin advised by manufacturer of </w:t>
      </w:r>
      <w:r>
        <w:rPr>
          <w:rFonts w:ascii="Calibri"/>
          <w:color w:val="008356"/>
          <w:spacing w:val="3"/>
          <w:w w:val="110"/>
          <w:sz w:val="11"/>
        </w:rPr>
        <w:t>IMATINIB </w:t>
      </w:r>
      <w:r>
        <w:rPr>
          <w:color w:val="231F1F"/>
          <w:w w:val="110"/>
        </w:rPr>
        <w:t>(possibility of enhanced warfarin effect); increased risk of bleeding when warfarin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REGORAFENIB</w:t>
      </w:r>
    </w:p>
    <w:p>
      <w:pPr>
        <w:pStyle w:val="BodyText"/>
        <w:spacing w:line="139" w:lineRule="exact"/>
        <w:ind w:left="108"/>
      </w:pPr>
      <w:r>
        <w:rPr>
          <w:rFonts w:ascii="Arial"/>
          <w:color w:val="231F1F"/>
          <w:w w:val="355"/>
          <w:position w:val="1"/>
          <w:sz w:val="7"/>
        </w:rPr>
        <w:t>l </w:t>
      </w:r>
      <w:r>
        <w:rPr>
          <w:rFonts w:ascii="Calibri"/>
          <w:color w:val="231F1F"/>
          <w:w w:val="110"/>
        </w:rPr>
        <w:t>Dipyridamole: </w:t>
      </w:r>
      <w:r>
        <w:rPr>
          <w:color w:val="231F1F"/>
          <w:w w:val="110"/>
        </w:rPr>
        <w:t>anticoagulant effect of coumarins enhanced due</w:t>
      </w:r>
    </w:p>
    <w:p>
      <w:pPr>
        <w:spacing w:line="140" w:lineRule="exact" w:before="0"/>
        <w:ind w:left="208" w:right="0" w:firstLine="0"/>
        <w:jc w:val="left"/>
        <w:rPr>
          <w:rFonts w:ascii="Calibri"/>
          <w:sz w:val="11"/>
        </w:rPr>
      </w:pPr>
      <w:r>
        <w:rPr>
          <w:color w:val="231F1F"/>
          <w:w w:val="110"/>
          <w:sz w:val="12"/>
        </w:rPr>
        <w:t>to antiplatelet action of </w:t>
      </w:r>
      <w:r>
        <w:rPr>
          <w:rFonts w:ascii="Arial"/>
          <w:color w:val="231F1F"/>
          <w:w w:val="355"/>
          <w:position w:val="1"/>
          <w:sz w:val="7"/>
        </w:rPr>
        <w:t>l </w:t>
      </w:r>
      <w:r>
        <w:rPr>
          <w:rFonts w:ascii="Calibri"/>
          <w:color w:val="008356"/>
          <w:spacing w:val="4"/>
          <w:w w:val="110"/>
          <w:sz w:val="11"/>
        </w:rPr>
        <w:t>DIPYRIDAMOLE</w:t>
      </w:r>
    </w:p>
    <w:p>
      <w:pPr>
        <w:pStyle w:val="BodyText"/>
        <w:spacing w:line="145" w:lineRule="exact"/>
        <w:ind w:left="108"/>
      </w:pPr>
      <w:r>
        <w:rPr>
          <w:rFonts w:ascii="Arial"/>
          <w:color w:val="231F1F"/>
          <w:w w:val="355"/>
          <w:position w:val="1"/>
          <w:sz w:val="7"/>
        </w:rPr>
        <w:t>l </w:t>
      </w:r>
      <w:r>
        <w:rPr>
          <w:rFonts w:ascii="Calibri"/>
          <w:color w:val="231F1F"/>
          <w:w w:val="115"/>
        </w:rPr>
        <w:t>Disulfiram: </w:t>
      </w:r>
      <w:r>
        <w:rPr>
          <w:color w:val="231F1F"/>
          <w:w w:val="115"/>
        </w:rPr>
        <w:t>anticoagulant effect of coumarins enhanced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DISULFIRAM</w:t>
      </w:r>
    </w:p>
    <w:p>
      <w:pPr>
        <w:pStyle w:val="BodyText"/>
        <w:spacing w:line="145" w:lineRule="exact"/>
        <w:ind w:left="108"/>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Dopaminergics:</w:t>
      </w:r>
      <w:r>
        <w:rPr>
          <w:rFonts w:ascii="Calibri"/>
          <w:color w:val="231F1F"/>
          <w:spacing w:val="-9"/>
          <w:w w:val="115"/>
        </w:rPr>
        <w:t> </w:t>
      </w:r>
      <w:r>
        <w:rPr>
          <w:color w:val="231F1F"/>
          <w:w w:val="115"/>
        </w:rPr>
        <w:t>anticoagulant</w:t>
      </w:r>
      <w:r>
        <w:rPr>
          <w:color w:val="231F1F"/>
          <w:spacing w:val="-13"/>
          <w:w w:val="115"/>
        </w:rPr>
        <w:t> </w:t>
      </w:r>
      <w:r>
        <w:rPr>
          <w:color w:val="231F1F"/>
          <w:w w:val="115"/>
        </w:rPr>
        <w:t>effect</w:t>
      </w:r>
      <w:r>
        <w:rPr>
          <w:color w:val="231F1F"/>
          <w:spacing w:val="-13"/>
          <w:w w:val="115"/>
        </w:rPr>
        <w:t> </w:t>
      </w:r>
      <w:r>
        <w:rPr>
          <w:color w:val="231F1F"/>
          <w:w w:val="115"/>
        </w:rPr>
        <w:t>of</w:t>
      </w:r>
      <w:r>
        <w:rPr>
          <w:color w:val="231F1F"/>
          <w:spacing w:val="-12"/>
          <w:w w:val="115"/>
        </w:rPr>
        <w:t> </w:t>
      </w:r>
      <w:r>
        <w:rPr>
          <w:color w:val="231F1F"/>
          <w:w w:val="115"/>
        </w:rPr>
        <w:t>warfarin</w:t>
      </w:r>
      <w:r>
        <w:rPr>
          <w:color w:val="231F1F"/>
          <w:spacing w:val="-13"/>
          <w:w w:val="115"/>
        </w:rPr>
        <w:t> </w:t>
      </w:r>
      <w:r>
        <w:rPr>
          <w:color w:val="231F1F"/>
          <w:w w:val="115"/>
        </w:rPr>
        <w:t>enhanced</w:t>
      </w:r>
      <w:r>
        <w:rPr>
          <w:color w:val="231F1F"/>
          <w:spacing w:val="-13"/>
          <w:w w:val="115"/>
        </w:rPr>
        <w:t> </w:t>
      </w:r>
      <w:r>
        <w:rPr>
          <w:color w:val="231F1F"/>
          <w:w w:val="115"/>
        </w:rPr>
        <w:t>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ENTACAPONE</w:t>
      </w:r>
    </w:p>
    <w:p>
      <w:pPr>
        <w:pStyle w:val="BodyText"/>
        <w:ind w:right="106" w:hanging="100"/>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Enteral</w:t>
      </w:r>
      <w:r>
        <w:rPr>
          <w:rFonts w:ascii="Calibri"/>
          <w:color w:val="231F1F"/>
          <w:spacing w:val="-12"/>
          <w:w w:val="115"/>
        </w:rPr>
        <w:t> </w:t>
      </w:r>
      <w:r>
        <w:rPr>
          <w:rFonts w:ascii="Calibri"/>
          <w:color w:val="231F1F"/>
          <w:w w:val="115"/>
        </w:rPr>
        <w:t>Foods:</w:t>
      </w:r>
      <w:r>
        <w:rPr>
          <w:rFonts w:ascii="Calibri"/>
          <w:color w:val="231F1F"/>
          <w:spacing w:val="-13"/>
          <w:w w:val="115"/>
        </w:rPr>
        <w:t> </w:t>
      </w:r>
      <w:r>
        <w:rPr>
          <w:color w:val="231F1F"/>
          <w:w w:val="115"/>
        </w:rPr>
        <w:t>anticoagulant</w:t>
      </w:r>
      <w:r>
        <w:rPr>
          <w:color w:val="231F1F"/>
          <w:spacing w:val="-15"/>
          <w:w w:val="115"/>
        </w:rPr>
        <w:t> </w:t>
      </w:r>
      <w:r>
        <w:rPr>
          <w:color w:val="231F1F"/>
          <w:w w:val="115"/>
        </w:rPr>
        <w:t>effect</w:t>
      </w:r>
      <w:r>
        <w:rPr>
          <w:color w:val="231F1F"/>
          <w:spacing w:val="-16"/>
          <w:w w:val="115"/>
        </w:rPr>
        <w:t> </w:t>
      </w:r>
      <w:r>
        <w:rPr>
          <w:color w:val="231F1F"/>
          <w:w w:val="115"/>
        </w:rPr>
        <w:t>of</w:t>
      </w:r>
      <w:r>
        <w:rPr>
          <w:color w:val="231F1F"/>
          <w:spacing w:val="-16"/>
          <w:w w:val="115"/>
        </w:rPr>
        <w:t> </w:t>
      </w:r>
      <w:r>
        <w:rPr>
          <w:color w:val="231F1F"/>
          <w:w w:val="115"/>
        </w:rPr>
        <w:t>coumarins</w:t>
      </w:r>
      <w:r>
        <w:rPr>
          <w:color w:val="231F1F"/>
          <w:spacing w:val="-16"/>
          <w:w w:val="115"/>
        </w:rPr>
        <w:t> </w:t>
      </w:r>
      <w:r>
        <w:rPr>
          <w:color w:val="231F1F"/>
          <w:w w:val="115"/>
        </w:rPr>
        <w:t>antagonised by</w:t>
      </w:r>
      <w:r>
        <w:rPr>
          <w:color w:val="231F1F"/>
          <w:spacing w:val="-8"/>
          <w:w w:val="115"/>
        </w:rPr>
        <w:t> </w:t>
      </w:r>
      <w:r>
        <w:rPr>
          <w:color w:val="231F1F"/>
          <w:w w:val="115"/>
        </w:rPr>
        <w:t>vitamin</w:t>
      </w:r>
      <w:r>
        <w:rPr>
          <w:color w:val="231F1F"/>
          <w:spacing w:val="-8"/>
          <w:w w:val="115"/>
        </w:rPr>
        <w:t> </w:t>
      </w:r>
      <w:r>
        <w:rPr>
          <w:color w:val="231F1F"/>
          <w:w w:val="115"/>
        </w:rPr>
        <w:t>K</w:t>
      </w:r>
      <w:r>
        <w:rPr>
          <w:color w:val="231F1F"/>
          <w:spacing w:val="-6"/>
          <w:w w:val="115"/>
        </w:rPr>
        <w:t> </w:t>
      </w:r>
      <w:r>
        <w:rPr>
          <w:color w:val="231F1F"/>
          <w:w w:val="115"/>
        </w:rPr>
        <w:t>(present</w:t>
      </w:r>
      <w:r>
        <w:rPr>
          <w:color w:val="231F1F"/>
          <w:spacing w:val="-8"/>
          <w:w w:val="115"/>
        </w:rPr>
        <w:t> </w:t>
      </w:r>
      <w:r>
        <w:rPr>
          <w:color w:val="231F1F"/>
          <w:w w:val="115"/>
        </w:rPr>
        <w:t>in</w:t>
      </w:r>
      <w:r>
        <w:rPr>
          <w:color w:val="231F1F"/>
          <w:spacing w:val="-7"/>
          <w:w w:val="115"/>
        </w:rPr>
        <w:t> </w:t>
      </w:r>
      <w:r>
        <w:rPr>
          <w:color w:val="231F1F"/>
          <w:w w:val="115"/>
        </w:rPr>
        <w:t>some</w:t>
      </w:r>
      <w:r>
        <w:rPr>
          <w:color w:val="231F1F"/>
          <w:spacing w:val="-7"/>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5"/>
          <w:sz w:val="11"/>
        </w:rPr>
        <w:t>ENTERAL</w:t>
      </w:r>
      <w:r>
        <w:rPr>
          <w:rFonts w:ascii="Calibri"/>
          <w:color w:val="008356"/>
          <w:w w:val="115"/>
          <w:sz w:val="11"/>
        </w:rPr>
        <w:t> </w:t>
      </w:r>
      <w:r>
        <w:rPr>
          <w:rFonts w:ascii="Calibri"/>
          <w:color w:val="008356"/>
          <w:spacing w:val="4"/>
          <w:w w:val="115"/>
          <w:sz w:val="11"/>
        </w:rPr>
        <w:t>FEEDS</w:t>
      </w:r>
      <w:r>
        <w:rPr>
          <w:rFonts w:ascii="Calibri"/>
          <w:color w:val="008356"/>
          <w:spacing w:val="5"/>
          <w:w w:val="115"/>
          <w:sz w:val="11"/>
        </w:rPr>
        <w:t> </w:t>
      </w:r>
      <w:r>
        <w:rPr>
          <w:color w:val="231F1F"/>
          <w:w w:val="115"/>
        </w:rPr>
        <w:t>)</w:t>
      </w:r>
    </w:p>
    <w:p>
      <w:pPr>
        <w:pStyle w:val="BodyText"/>
        <w:spacing w:line="220" w:lineRule="auto" w:before="5"/>
        <w:ind w:right="198"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anticoagulant effect of warfarin possibly reduced by </w:t>
      </w:r>
      <w:r>
        <w:rPr>
          <w:rFonts w:ascii="Calibri" w:hAnsi="Calibri"/>
          <w:color w:val="008356"/>
          <w:w w:val="105"/>
          <w:sz w:val="11"/>
        </w:rPr>
        <w:t>FOSAPREPITANT</w:t>
      </w:r>
    </w:p>
    <w:p>
      <w:pPr>
        <w:pStyle w:val="BodyText"/>
        <w:spacing w:line="146" w:lineRule="exact"/>
        <w:ind w:left="108"/>
      </w:pPr>
      <w:r>
        <w:rPr>
          <w:rFonts w:ascii="Arial"/>
          <w:color w:val="231F1F"/>
          <w:w w:val="355"/>
          <w:position w:val="1"/>
          <w:sz w:val="7"/>
        </w:rPr>
        <w:t>l </w:t>
      </w:r>
      <w:r>
        <w:rPr>
          <w:rFonts w:ascii="Calibri"/>
          <w:color w:val="231F1F"/>
          <w:w w:val="110"/>
        </w:rPr>
        <w:t>Glucosamine: </w:t>
      </w:r>
      <w:r>
        <w:rPr>
          <w:color w:val="231F1F"/>
          <w:w w:val="110"/>
        </w:rPr>
        <w:t>anticoagulant effect of warfarin enhanced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05"/>
          <w:sz w:val="11"/>
        </w:rPr>
        <w:t>GLUCOSAMINE </w:t>
      </w:r>
      <w:r>
        <w:rPr>
          <w:color w:val="231F1F"/>
          <w:w w:val="105"/>
          <w:sz w:val="12"/>
        </w:rPr>
        <w:t>(avoid concomitant use)</w:t>
      </w:r>
    </w:p>
    <w:p>
      <w:pPr>
        <w:spacing w:line="244" w:lineRule="auto" w:before="0"/>
        <w:ind w:left="208" w:right="0" w:hanging="100"/>
        <w:jc w:val="left"/>
        <w:rPr>
          <w:rFonts w:ascii="Calibri"/>
          <w:sz w:val="11"/>
        </w:rPr>
      </w:pPr>
      <w:r>
        <w:rPr>
          <w:rFonts w:ascii="Arial"/>
          <w:color w:val="231F1F"/>
          <w:w w:val="355"/>
          <w:position w:val="1"/>
          <w:sz w:val="7"/>
        </w:rPr>
        <w:t>l </w:t>
      </w:r>
      <w:r>
        <w:rPr>
          <w:rFonts w:ascii="Calibri"/>
          <w:color w:val="231F1F"/>
          <w:w w:val="110"/>
          <w:sz w:val="12"/>
        </w:rPr>
        <w:t>Hormone Antagonists: </w:t>
      </w:r>
      <w:r>
        <w:rPr>
          <w:color w:val="231F1F"/>
          <w:w w:val="110"/>
          <w:sz w:val="12"/>
        </w:rPr>
        <w:t>anticoagulant effect of coumarins possibly enhanced by </w:t>
      </w:r>
      <w:r>
        <w:rPr>
          <w:rFonts w:ascii="Calibri"/>
          <w:color w:val="008356"/>
          <w:w w:val="110"/>
          <w:sz w:val="11"/>
        </w:rPr>
        <w:t>BICALUTAMIDE </w:t>
      </w:r>
      <w:r>
        <w:rPr>
          <w:color w:val="231F1F"/>
          <w:w w:val="110"/>
          <w:sz w:val="12"/>
        </w:rPr>
        <w:t>and </w:t>
      </w:r>
      <w:r>
        <w:rPr>
          <w:rFonts w:ascii="Arial"/>
          <w:color w:val="231F1F"/>
          <w:w w:val="355"/>
          <w:position w:val="1"/>
          <w:sz w:val="7"/>
        </w:rPr>
        <w:t>l </w:t>
      </w:r>
      <w:r>
        <w:rPr>
          <w:rFonts w:ascii="Calibri"/>
          <w:color w:val="008356"/>
          <w:w w:val="110"/>
          <w:sz w:val="11"/>
        </w:rPr>
        <w:t>TOREMIFENE</w:t>
      </w:r>
      <w:r>
        <w:rPr>
          <w:color w:val="231F1F"/>
          <w:w w:val="110"/>
          <w:sz w:val="12"/>
        </w:rPr>
        <w:t>; metabolism of coumarins inhibited by </w:t>
      </w:r>
      <w:r>
        <w:rPr>
          <w:rFonts w:ascii="Arial"/>
          <w:color w:val="231F1F"/>
          <w:w w:val="355"/>
          <w:position w:val="1"/>
          <w:sz w:val="7"/>
        </w:rPr>
        <w:t>l </w:t>
      </w:r>
      <w:r>
        <w:rPr>
          <w:rFonts w:ascii="Calibri"/>
          <w:color w:val="008356"/>
          <w:w w:val="110"/>
          <w:sz w:val="11"/>
        </w:rPr>
        <w:t>DANAZOL </w:t>
      </w:r>
      <w:r>
        <w:rPr>
          <w:color w:val="231F1F"/>
          <w:w w:val="110"/>
          <w:sz w:val="12"/>
        </w:rPr>
        <w:t>(enhanced anticoagulant effect); plasma concentration of coumarins possibly reduced by </w:t>
      </w:r>
      <w:r>
        <w:rPr>
          <w:rFonts w:ascii="Arial"/>
          <w:color w:val="231F1F"/>
          <w:w w:val="355"/>
          <w:position w:val="1"/>
          <w:sz w:val="7"/>
        </w:rPr>
        <w:t>l </w:t>
      </w:r>
      <w:r>
        <w:rPr>
          <w:rFonts w:ascii="Calibri"/>
          <w:color w:val="008356"/>
          <w:w w:val="110"/>
          <w:sz w:val="11"/>
        </w:rPr>
        <w:t>ENZALUTAMIDE</w:t>
      </w:r>
      <w:r>
        <w:rPr>
          <w:color w:val="231F1F"/>
          <w:w w:val="110"/>
          <w:sz w:val="12"/>
        </w:rPr>
        <w:t>; anticoagulant effect of coumarins enhanced by </w:t>
      </w:r>
      <w:r>
        <w:rPr>
          <w:rFonts w:ascii="Arial"/>
          <w:color w:val="231F1F"/>
          <w:w w:val="355"/>
          <w:position w:val="1"/>
          <w:sz w:val="7"/>
        </w:rPr>
        <w:t>l </w:t>
      </w:r>
      <w:r>
        <w:rPr>
          <w:rFonts w:ascii="Calibri"/>
          <w:color w:val="008356"/>
          <w:w w:val="110"/>
          <w:sz w:val="11"/>
        </w:rPr>
        <w:t>FLUTAMIDE </w:t>
      </w:r>
      <w:r>
        <w:rPr>
          <w:color w:val="231F1F"/>
          <w:w w:val="110"/>
          <w:sz w:val="12"/>
        </w:rPr>
        <w:t>and </w:t>
      </w:r>
      <w:r>
        <w:rPr>
          <w:rFonts w:ascii="Arial"/>
          <w:color w:val="231F1F"/>
          <w:w w:val="355"/>
          <w:position w:val="1"/>
          <w:sz w:val="7"/>
        </w:rPr>
        <w:t>l </w:t>
      </w:r>
      <w:r>
        <w:rPr>
          <w:rFonts w:ascii="Calibri"/>
          <w:color w:val="008356"/>
          <w:w w:val="110"/>
          <w:sz w:val="11"/>
        </w:rPr>
        <w:t>TAMOXIFEN</w:t>
      </w:r>
    </w:p>
    <w:p>
      <w:pPr>
        <w:pStyle w:val="BodyText"/>
        <w:spacing w:line="220" w:lineRule="auto"/>
        <w:ind w:right="132" w:hanging="100"/>
        <w:rPr>
          <w:rFonts w:ascii="Calibri" w:hAnsi="Calibri"/>
          <w:sz w:val="11"/>
        </w:rPr>
      </w:pPr>
      <w:r>
        <w:rPr>
          <w:rFonts w:ascii="Lucida Sans Unicode" w:hAnsi="Lucida Sans Unicode"/>
          <w:color w:val="A7A8AC"/>
          <w:w w:val="95"/>
          <w:sz w:val="10"/>
        </w:rPr>
        <w:t>▶ </w:t>
      </w:r>
      <w:r>
        <w:rPr>
          <w:rFonts w:ascii="Calibri" w:hAnsi="Calibri"/>
          <w:color w:val="231F1F"/>
          <w:w w:val="105"/>
        </w:rPr>
        <w:t>Iloprost:  </w:t>
      </w:r>
      <w:r>
        <w:rPr>
          <w:color w:val="231F1F"/>
          <w:w w:val="105"/>
        </w:rPr>
        <w:t>anticoagulant effect of coumarins possibly enhanced  by</w:t>
      </w:r>
      <w:r>
        <w:rPr>
          <w:color w:val="231F1F"/>
          <w:spacing w:val="-1"/>
          <w:w w:val="105"/>
        </w:rPr>
        <w:t> </w:t>
      </w:r>
      <w:r>
        <w:rPr>
          <w:rFonts w:ascii="Calibri" w:hAnsi="Calibri"/>
          <w:color w:val="008356"/>
          <w:spacing w:val="4"/>
          <w:w w:val="105"/>
          <w:sz w:val="11"/>
        </w:rPr>
        <w:t>ILOPROST</w:t>
      </w:r>
    </w:p>
    <w:p>
      <w:pPr>
        <w:pStyle w:val="BodyText"/>
        <w:spacing w:line="220" w:lineRule="auto" w:before="7"/>
        <w:ind w:right="270" w:hanging="100"/>
        <w:rPr>
          <w:rFonts w:ascii="Calibri" w:hAnsi="Calibri"/>
          <w:sz w:val="11"/>
        </w:rPr>
      </w:pPr>
      <w:r>
        <w:rPr>
          <w:rFonts w:ascii="Lucida Sans Unicode" w:hAnsi="Lucida Sans Unicode"/>
          <w:color w:val="A7A8AC"/>
          <w:w w:val="95"/>
          <w:sz w:val="10"/>
        </w:rPr>
        <w:t>▶ </w:t>
      </w:r>
      <w:r>
        <w:rPr>
          <w:rFonts w:ascii="Calibri" w:hAnsi="Calibri"/>
          <w:color w:val="231F1F"/>
          <w:w w:val="105"/>
        </w:rPr>
        <w:t>Lactulose: </w:t>
      </w:r>
      <w:r>
        <w:rPr>
          <w:color w:val="231F1F"/>
          <w:w w:val="105"/>
        </w:rPr>
        <w:t>anticoagulant effect of coumarins possibly enhanced by </w:t>
      </w:r>
      <w:r>
        <w:rPr>
          <w:rFonts w:ascii="Calibri" w:hAnsi="Calibri"/>
          <w:color w:val="008356"/>
          <w:w w:val="105"/>
          <w:sz w:val="11"/>
        </w:rPr>
        <w:t>LACTULOSE</w:t>
      </w:r>
    </w:p>
    <w:p>
      <w:pPr>
        <w:pStyle w:val="BodyText"/>
        <w:spacing w:line="220" w:lineRule="auto" w:before="8"/>
        <w:ind w:right="198" w:hanging="100"/>
        <w:rPr>
          <w:rFonts w:ascii="Calibri" w:hAnsi="Calibri"/>
          <w:sz w:val="11"/>
        </w:rPr>
      </w:pPr>
      <w:r>
        <w:rPr>
          <w:rFonts w:ascii="Lucida Sans Unicode" w:hAnsi="Lucida Sans Unicode"/>
          <w:color w:val="A7A8AC"/>
          <w:w w:val="95"/>
          <w:sz w:val="10"/>
        </w:rPr>
        <w:t>▶ </w:t>
      </w:r>
      <w:r>
        <w:rPr>
          <w:rFonts w:ascii="Calibri" w:hAnsi="Calibri"/>
          <w:color w:val="231F1F"/>
          <w:w w:val="105"/>
        </w:rPr>
        <w:t>Leflunomide: </w:t>
      </w:r>
      <w:r>
        <w:rPr>
          <w:color w:val="231F1F"/>
          <w:w w:val="105"/>
        </w:rPr>
        <w:t>anticoagulant effect of warfarin possibly enhanced by </w:t>
      </w:r>
      <w:r>
        <w:rPr>
          <w:rFonts w:ascii="Calibri" w:hAnsi="Calibri"/>
          <w:color w:val="008356"/>
          <w:w w:val="105"/>
          <w:sz w:val="11"/>
        </w:rPr>
        <w:t>LEFLUNOMIDE</w:t>
      </w:r>
    </w:p>
    <w:p>
      <w:pPr>
        <w:pStyle w:val="BodyText"/>
        <w:spacing w:line="220" w:lineRule="auto" w:before="10"/>
        <w:ind w:right="116"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anticoagulant effect of warfarin enhanced by </w:t>
      </w:r>
      <w:r>
        <w:rPr>
          <w:rFonts w:ascii="Calibri" w:hAnsi="Calibri"/>
          <w:color w:val="008356"/>
          <w:w w:val="105"/>
          <w:sz w:val="11"/>
        </w:rPr>
        <w:t>ZAFIRLUKAST</w:t>
      </w:r>
    </w:p>
    <w:p>
      <w:pPr>
        <w:pStyle w:val="BodyText"/>
        <w:spacing w:line="220" w:lineRule="auto" w:before="8"/>
        <w:ind w:right="116" w:hanging="100"/>
        <w:rPr>
          <w:rFonts w:ascii="Calibri" w:hAnsi="Calibri"/>
          <w:sz w:val="11"/>
        </w:rPr>
      </w:pPr>
      <w:r>
        <w:rPr>
          <w:rFonts w:ascii="Lucida Sans Unicode" w:hAnsi="Lucida Sans Unicode"/>
          <w:color w:val="A7A8AC"/>
          <w:w w:val="95"/>
          <w:sz w:val="10"/>
        </w:rPr>
        <w:t>▶ </w:t>
      </w:r>
      <w:r>
        <w:rPr>
          <w:rFonts w:ascii="Calibri" w:hAnsi="Calibri"/>
          <w:color w:val="231F1F"/>
          <w:w w:val="105"/>
        </w:rPr>
        <w:t>Levocarnitine: </w:t>
      </w:r>
      <w:r>
        <w:rPr>
          <w:color w:val="231F1F"/>
          <w:w w:val="105"/>
        </w:rPr>
        <w:t>anticoagulant effect of coumarins possibly enhanced by </w:t>
      </w:r>
      <w:r>
        <w:rPr>
          <w:rFonts w:ascii="Calibri" w:hAnsi="Calibri"/>
          <w:color w:val="008356"/>
          <w:w w:val="105"/>
          <w:sz w:val="11"/>
        </w:rPr>
        <w:t>LEVOCARNITINE</w:t>
      </w:r>
    </w:p>
    <w:p>
      <w:pPr>
        <w:pStyle w:val="BodyText"/>
        <w:spacing w:line="244" w:lineRule="auto"/>
        <w:ind w:right="46" w:hanging="100"/>
      </w:pPr>
      <w:r>
        <w:rPr>
          <w:rFonts w:ascii="Arial"/>
          <w:color w:val="231F1F"/>
          <w:w w:val="355"/>
          <w:position w:val="1"/>
          <w:sz w:val="7"/>
        </w:rPr>
        <w:t>l </w:t>
      </w:r>
      <w:r>
        <w:rPr>
          <w:rFonts w:ascii="Calibri"/>
          <w:color w:val="231F1F"/>
          <w:w w:val="110"/>
        </w:rPr>
        <w:t>Lipid-regulating Drugs: </w:t>
      </w:r>
      <w:r>
        <w:rPr>
          <w:color w:val="231F1F"/>
          <w:w w:val="110"/>
        </w:rPr>
        <w:t>anticoagulant effect of coumarins may be enhanced or reduced by </w:t>
      </w:r>
      <w:r>
        <w:rPr>
          <w:rFonts w:ascii="Arial"/>
          <w:color w:val="231F1F"/>
          <w:w w:val="355"/>
          <w:position w:val="1"/>
          <w:sz w:val="7"/>
        </w:rPr>
        <w:t>l </w:t>
      </w:r>
      <w:r>
        <w:rPr>
          <w:rFonts w:ascii="Calibri"/>
          <w:color w:val="008356"/>
          <w:w w:val="110"/>
          <w:sz w:val="11"/>
        </w:rPr>
        <w:t>COLESTYRAMINE</w:t>
      </w:r>
      <w:r>
        <w:rPr>
          <w:color w:val="231F1F"/>
          <w:w w:val="110"/>
        </w:rPr>
        <w:t>; anticoagulant effect of warfarin may be transiently reduced by  </w:t>
      </w:r>
      <w:r>
        <w:rPr>
          <w:rFonts w:ascii="Calibri"/>
          <w:color w:val="008356"/>
          <w:w w:val="110"/>
          <w:sz w:val="11"/>
        </w:rPr>
        <w:t>ATORVASTATIN</w:t>
      </w:r>
      <w:r>
        <w:rPr>
          <w:color w:val="231F1F"/>
          <w:w w:val="110"/>
        </w:rPr>
        <w:t>; anticoagulant effect of coumarins enhanced by </w:t>
      </w:r>
      <w:r>
        <w:rPr>
          <w:rFonts w:ascii="Arial"/>
          <w:color w:val="231F1F"/>
          <w:w w:val="355"/>
          <w:position w:val="1"/>
          <w:sz w:val="7"/>
        </w:rPr>
        <w:t>l </w:t>
      </w:r>
      <w:r>
        <w:rPr>
          <w:rFonts w:ascii="Calibri"/>
          <w:color w:val="008356"/>
          <w:w w:val="110"/>
          <w:sz w:val="11"/>
        </w:rPr>
        <w:t>FIBRATES </w:t>
      </w:r>
      <w:r>
        <w:rPr>
          <w:color w:val="231F1F"/>
          <w:w w:val="110"/>
        </w:rPr>
        <w:t>and </w:t>
      </w:r>
      <w:r>
        <w:rPr>
          <w:rFonts w:ascii="Arial"/>
          <w:color w:val="231F1F"/>
          <w:w w:val="355"/>
          <w:position w:val="1"/>
          <w:sz w:val="7"/>
        </w:rPr>
        <w:t>l </w:t>
      </w:r>
      <w:r>
        <w:rPr>
          <w:rFonts w:ascii="Calibri"/>
          <w:color w:val="008356"/>
          <w:w w:val="110"/>
          <w:sz w:val="11"/>
        </w:rPr>
        <w:t>FLUVASTATIN</w:t>
      </w:r>
      <w:r>
        <w:rPr>
          <w:color w:val="231F1F"/>
          <w:w w:val="110"/>
        </w:rPr>
        <w:t>; anticoagulant effect of coumarins possibly enhanced by </w:t>
      </w:r>
      <w:r>
        <w:rPr>
          <w:rFonts w:ascii="Calibri"/>
          <w:color w:val="008356"/>
          <w:w w:val="110"/>
          <w:sz w:val="11"/>
        </w:rPr>
        <w:t>EZETIMIBE </w:t>
      </w:r>
      <w:r>
        <w:rPr>
          <w:color w:val="231F1F"/>
          <w:w w:val="110"/>
        </w:rPr>
        <w:t>and</w:t>
      </w:r>
    </w:p>
    <w:p>
      <w:pPr>
        <w:spacing w:line="242" w:lineRule="auto"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ROSUVASTATIN</w:t>
      </w:r>
      <w:r>
        <w:rPr>
          <w:color w:val="231F1F"/>
          <w:w w:val="110"/>
          <w:sz w:val="12"/>
        </w:rPr>
        <w:t>; anticoagulant effect of coumarins can be enhanced by </w:t>
      </w:r>
      <w:r>
        <w:rPr>
          <w:rFonts w:ascii="Calibri"/>
          <w:color w:val="008356"/>
          <w:w w:val="110"/>
          <w:sz w:val="11"/>
        </w:rPr>
        <w:t>SIMVASTATIN</w:t>
      </w:r>
      <w:r>
        <w:rPr>
          <w:color w:val="231F1F"/>
          <w:w w:val="110"/>
          <w:sz w:val="12"/>
        </w:rPr>
        <w:t>; anticoagulant effect of warfarin possibly enhanced by </w:t>
      </w:r>
      <w:r>
        <w:rPr>
          <w:rFonts w:ascii="Calibri"/>
          <w:color w:val="008356"/>
          <w:w w:val="110"/>
          <w:sz w:val="11"/>
        </w:rPr>
        <w:t>LOMITAPIDE</w:t>
      </w:r>
    </w:p>
    <w:p>
      <w:pPr>
        <w:pStyle w:val="BodyText"/>
        <w:spacing w:line="220" w:lineRule="auto" w:before="1"/>
        <w:ind w:right="2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Memantine: </w:t>
      </w:r>
      <w:r>
        <w:rPr>
          <w:color w:val="231F1F"/>
          <w:w w:val="105"/>
        </w:rPr>
        <w:t>anticoagulant effect of warfarin possibly enhanced by </w:t>
      </w:r>
      <w:r>
        <w:rPr>
          <w:rFonts w:ascii="Calibri" w:hAnsi="Calibri"/>
          <w:color w:val="008356"/>
          <w:w w:val="105"/>
          <w:sz w:val="11"/>
        </w:rPr>
        <w:t>MEMANTINE</w:t>
      </w:r>
    </w:p>
    <w:p>
      <w:pPr>
        <w:pStyle w:val="BodyText"/>
        <w:spacing w:line="220" w:lineRule="auto" w:before="8"/>
        <w:ind w:right="198"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anticoagulant effect of coumarins may be enhanced or reduced by </w:t>
      </w:r>
      <w:r>
        <w:rPr>
          <w:rFonts w:ascii="Calibri" w:hAnsi="Calibri"/>
          <w:color w:val="008356"/>
          <w:w w:val="105"/>
          <w:sz w:val="11"/>
        </w:rPr>
        <w:t>OESTROGENS</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Orlistat: </w:t>
      </w:r>
      <w:r>
        <w:rPr>
          <w:color w:val="231F1F"/>
          <w:w w:val="110"/>
        </w:rPr>
        <w:t>monitoring anticoagulant effect of coumarins recommended by manufacturer of </w:t>
      </w:r>
      <w:r>
        <w:rPr>
          <w:rFonts w:ascii="Calibri" w:hAnsi="Calibri"/>
          <w:color w:val="008356"/>
          <w:w w:val="110"/>
          <w:sz w:val="11"/>
        </w:rPr>
        <w:t>ORLISTAT</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Prasugrel: </w:t>
      </w:r>
      <w:r>
        <w:rPr>
          <w:color w:val="231F1F"/>
          <w:w w:val="110"/>
        </w:rPr>
        <w:t>possible increased risk of bleeding when coumarins given with </w:t>
      </w:r>
      <w:r>
        <w:rPr>
          <w:rFonts w:ascii="Calibri" w:hAnsi="Calibri"/>
          <w:color w:val="008356"/>
          <w:w w:val="110"/>
          <w:sz w:val="11"/>
        </w:rPr>
        <w:t>PRASUGREL</w:t>
      </w:r>
    </w:p>
    <w:p>
      <w:pPr>
        <w:pStyle w:val="BodyText"/>
        <w:spacing w:line="220" w:lineRule="auto" w:before="8"/>
        <w:ind w:right="391" w:hanging="100"/>
        <w:rPr>
          <w:rFonts w:ascii="Calibri" w:hAnsi="Calibri"/>
          <w:sz w:val="11"/>
        </w:rPr>
      </w:pPr>
      <w:r>
        <w:rPr>
          <w:rFonts w:ascii="Lucida Sans Unicode" w:hAnsi="Lucida Sans Unicode"/>
          <w:color w:val="A7A8AC"/>
          <w:w w:val="95"/>
          <w:sz w:val="10"/>
        </w:rPr>
        <w:t>▶ </w:t>
      </w:r>
      <w:r>
        <w:rPr>
          <w:rFonts w:ascii="Calibri" w:hAnsi="Calibri"/>
          <w:color w:val="231F1F"/>
          <w:w w:val="110"/>
        </w:rPr>
        <w:t>Progestogens: </w:t>
      </w:r>
      <w:r>
        <w:rPr>
          <w:color w:val="231F1F"/>
          <w:w w:val="110"/>
        </w:rPr>
        <w:t>anticoagulant effect of coumarins may be enhanced or reduced by </w:t>
      </w:r>
      <w:r>
        <w:rPr>
          <w:rFonts w:ascii="Calibri" w:hAnsi="Calibri"/>
          <w:color w:val="008356"/>
          <w:w w:val="110"/>
          <w:sz w:val="11"/>
        </w:rPr>
        <w:t>PROGESTOGENS</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Raloxifene: </w:t>
      </w:r>
      <w:r>
        <w:rPr>
          <w:color w:val="231F1F"/>
          <w:w w:val="105"/>
        </w:rPr>
        <w:t>anticoagulant effect of coumarins antagonised by</w:t>
      </w:r>
    </w:p>
    <w:p>
      <w:pPr>
        <w:spacing w:line="130" w:lineRule="exact" w:before="0"/>
        <w:ind w:left="208" w:right="0" w:firstLine="0"/>
        <w:jc w:val="left"/>
        <w:rPr>
          <w:rFonts w:ascii="Calibri"/>
          <w:sz w:val="11"/>
        </w:rPr>
      </w:pPr>
      <w:r>
        <w:rPr>
          <w:rFonts w:ascii="Calibri"/>
          <w:color w:val="008356"/>
          <w:sz w:val="11"/>
        </w:rPr>
        <w:t>RALOXIFENE</w:t>
      </w:r>
    </w:p>
    <w:p>
      <w:pPr>
        <w:pStyle w:val="BodyText"/>
        <w:ind w:right="26" w:hanging="100"/>
        <w:rPr>
          <w:rFonts w:ascii="Calibri"/>
          <w:sz w:val="11"/>
        </w:rPr>
      </w:pPr>
      <w:r>
        <w:rPr>
          <w:rFonts w:ascii="Arial"/>
          <w:color w:val="231F1F"/>
          <w:w w:val="115"/>
          <w:position w:val="1"/>
          <w:sz w:val="7"/>
        </w:rPr>
        <w:t>l </w:t>
      </w:r>
      <w:r>
        <w:rPr>
          <w:rFonts w:ascii="Calibri"/>
          <w:color w:val="231F1F"/>
          <w:w w:val="115"/>
        </w:rPr>
        <w:t>Retinoids: </w:t>
      </w:r>
      <w:r>
        <w:rPr>
          <w:color w:val="231F1F"/>
          <w:w w:val="115"/>
        </w:rPr>
        <w:t>anticoagulant effect of coumarins possibly reduced </w:t>
      </w:r>
      <w:r>
        <w:rPr>
          <w:color w:val="231F1F"/>
          <w:w w:val="120"/>
        </w:rPr>
        <w:t>by </w:t>
      </w:r>
      <w:r>
        <w:rPr>
          <w:rFonts w:ascii="Arial"/>
          <w:color w:val="231F1F"/>
          <w:w w:val="355"/>
          <w:position w:val="1"/>
          <w:sz w:val="7"/>
        </w:rPr>
        <w:t>l </w:t>
      </w:r>
      <w:r>
        <w:rPr>
          <w:rFonts w:ascii="Calibri"/>
          <w:color w:val="008356"/>
          <w:spacing w:val="4"/>
          <w:w w:val="120"/>
          <w:sz w:val="11"/>
        </w:rPr>
        <w:t>ACITRETIN</w:t>
      </w:r>
    </w:p>
    <w:p>
      <w:pPr>
        <w:spacing w:line="240" w:lineRule="auto" w:before="0"/>
        <w:ind w:left="208" w:right="189" w:hanging="100"/>
        <w:jc w:val="left"/>
        <w:rPr>
          <w:rFonts w:ascii="Calibri"/>
          <w:sz w:val="11"/>
        </w:rPr>
      </w:pPr>
      <w:r>
        <w:rPr>
          <w:rFonts w:ascii="Arial"/>
          <w:color w:val="231F1F"/>
          <w:w w:val="355"/>
          <w:position w:val="1"/>
          <w:sz w:val="7"/>
        </w:rPr>
        <w:t>l </w:t>
      </w:r>
      <w:r>
        <w:rPr>
          <w:rFonts w:ascii="Calibri"/>
          <w:color w:val="231F1F"/>
          <w:w w:val="110"/>
          <w:sz w:val="12"/>
        </w:rPr>
        <w:t>Sulfinpyrazone: </w:t>
      </w:r>
      <w:r>
        <w:rPr>
          <w:color w:val="231F1F"/>
          <w:w w:val="110"/>
          <w:sz w:val="12"/>
        </w:rPr>
        <w:t>anticoagulant effect of coumarins enhanced by </w:t>
      </w:r>
      <w:r>
        <w:rPr>
          <w:rFonts w:ascii="Arial"/>
          <w:color w:val="231F1F"/>
          <w:w w:val="355"/>
          <w:position w:val="1"/>
          <w:sz w:val="7"/>
        </w:rPr>
        <w:t>l </w:t>
      </w:r>
      <w:r>
        <w:rPr>
          <w:rFonts w:ascii="Calibri"/>
          <w:color w:val="008356"/>
          <w:w w:val="110"/>
          <w:sz w:val="11"/>
        </w:rPr>
        <w:t>SULFINPYRAZONE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Coumarins </w:t>
      </w:r>
      <w:r>
        <w:rPr>
          <w:rFonts w:ascii="Calibri"/>
          <w:color w:val="231F1F"/>
        </w:rPr>
        <w:t>(continued)</w:t>
      </w:r>
    </w:p>
    <w:p>
      <w:pPr>
        <w:spacing w:line="240" w:lineRule="auto" w:before="0"/>
        <w:ind w:left="208" w:right="699" w:hanging="100"/>
        <w:jc w:val="left"/>
        <w:rPr>
          <w:rFonts w:ascii="Calibri"/>
          <w:sz w:val="11"/>
        </w:rPr>
      </w:pPr>
      <w:r>
        <w:rPr/>
        <w:pict>
          <v:rect style="position:absolute;margin-left:398.891296pt;margin-top:-8.517115pt;width:20.522993pt;height:149.443pt;mso-position-horizontal-relative:page;mso-position-vertical-relative:paragraph;z-index:3232" filled="true" fillcolor="#bfdbcf" stroked="false">
            <v:fill type="solid"/>
            <w10:wrap type="none"/>
          </v:rect>
        </w:pict>
      </w:r>
      <w:r>
        <w:rPr/>
        <w:pict>
          <v:shape style="position:absolute;margin-left:399.725769pt;margin-top:-3.553726pt;width:10.4pt;height:78.850pt;mso-position-horizontal-relative:page;mso-position-vertical-relative:paragraph;z-index:325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w:t>
      </w:r>
      <w:r>
        <w:rPr>
          <w:rFonts w:ascii="Arial"/>
          <w:color w:val="231F1F"/>
          <w:spacing w:val="-57"/>
          <w:w w:val="355"/>
          <w:position w:val="1"/>
          <w:sz w:val="7"/>
        </w:rPr>
        <w:t> </w:t>
      </w:r>
      <w:r>
        <w:rPr>
          <w:rFonts w:ascii="Calibri"/>
          <w:color w:val="231F1F"/>
          <w:w w:val="110"/>
          <w:sz w:val="12"/>
        </w:rPr>
        <w:t>Sympathomimetics: </w:t>
      </w:r>
      <w:r>
        <w:rPr>
          <w:color w:val="231F1F"/>
          <w:w w:val="110"/>
          <w:sz w:val="12"/>
        </w:rPr>
        <w:t>anticoagulant effect of coumarins possibly enhanced by </w:t>
      </w:r>
      <w:r>
        <w:rPr>
          <w:rFonts w:ascii="Arial"/>
          <w:color w:val="231F1F"/>
          <w:w w:val="355"/>
          <w:position w:val="1"/>
          <w:sz w:val="7"/>
        </w:rPr>
        <w:t>l </w:t>
      </w:r>
      <w:r>
        <w:rPr>
          <w:rFonts w:ascii="Calibri"/>
          <w:color w:val="008356"/>
          <w:spacing w:val="4"/>
          <w:w w:val="110"/>
          <w:sz w:val="11"/>
        </w:rPr>
        <w:t>METHYLPHENIDATE</w:t>
      </w:r>
    </w:p>
    <w:p>
      <w:pPr>
        <w:pStyle w:val="BodyText"/>
        <w:spacing w:line="143" w:lineRule="exact"/>
        <w:ind w:left="108"/>
      </w:pPr>
      <w:r>
        <w:rPr>
          <w:rFonts w:ascii="Arial"/>
          <w:color w:val="231F1F"/>
          <w:w w:val="355"/>
          <w:position w:val="1"/>
          <w:sz w:val="7"/>
        </w:rPr>
        <w:t>l </w:t>
      </w:r>
      <w:r>
        <w:rPr>
          <w:rFonts w:ascii="Calibri"/>
          <w:color w:val="231F1F"/>
          <w:w w:val="110"/>
        </w:rPr>
        <w:t>Testolactone: </w:t>
      </w:r>
      <w:r>
        <w:rPr>
          <w:color w:val="231F1F"/>
          <w:w w:val="110"/>
        </w:rPr>
        <w:t>anticoagulant effect of coumarins enhanced by</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TESTOLACTONE</w:t>
      </w:r>
    </w:p>
    <w:p>
      <w:pPr>
        <w:pStyle w:val="BodyText"/>
        <w:spacing w:line="145" w:lineRule="exact"/>
        <w:ind w:left="108"/>
      </w:pPr>
      <w:r>
        <w:rPr>
          <w:rFonts w:ascii="Arial"/>
          <w:color w:val="231F1F"/>
          <w:w w:val="355"/>
          <w:position w:val="1"/>
          <w:sz w:val="7"/>
        </w:rPr>
        <w:t>l </w:t>
      </w:r>
      <w:r>
        <w:rPr>
          <w:rFonts w:ascii="Calibri"/>
          <w:color w:val="231F1F"/>
          <w:w w:val="110"/>
        </w:rPr>
        <w:t>Testosterone: </w:t>
      </w:r>
      <w:r>
        <w:rPr>
          <w:color w:val="231F1F"/>
          <w:w w:val="110"/>
        </w:rPr>
        <w:t>anticoagulant effect of coumarins enhanced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TESTOSTERONE</w:t>
      </w:r>
    </w:p>
    <w:p>
      <w:pPr>
        <w:spacing w:before="0"/>
        <w:ind w:left="208" w:right="1190" w:hanging="100"/>
        <w:jc w:val="left"/>
        <w:rPr>
          <w:rFonts w:ascii="Calibri"/>
          <w:sz w:val="11"/>
        </w:rPr>
      </w:pPr>
      <w:r>
        <w:rPr>
          <w:rFonts w:ascii="Arial"/>
          <w:color w:val="231F1F"/>
          <w:w w:val="345"/>
          <w:position w:val="1"/>
          <w:sz w:val="7"/>
        </w:rPr>
        <w:t>l</w:t>
      </w:r>
      <w:r>
        <w:rPr>
          <w:rFonts w:ascii="Arial"/>
          <w:color w:val="231F1F"/>
          <w:spacing w:val="-54"/>
          <w:w w:val="345"/>
          <w:position w:val="1"/>
          <w:sz w:val="7"/>
        </w:rPr>
        <w:t> </w:t>
      </w:r>
      <w:r>
        <w:rPr>
          <w:rFonts w:ascii="Calibri"/>
          <w:color w:val="231F1F"/>
          <w:w w:val="115"/>
          <w:sz w:val="12"/>
        </w:rPr>
        <w:t>Thyroid</w:t>
      </w:r>
      <w:r>
        <w:rPr>
          <w:rFonts w:ascii="Calibri"/>
          <w:color w:val="231F1F"/>
          <w:spacing w:val="-21"/>
          <w:w w:val="115"/>
          <w:sz w:val="12"/>
        </w:rPr>
        <w:t> </w:t>
      </w:r>
      <w:r>
        <w:rPr>
          <w:rFonts w:ascii="Calibri"/>
          <w:color w:val="231F1F"/>
          <w:w w:val="115"/>
          <w:sz w:val="12"/>
        </w:rPr>
        <w:t>Hormones:</w:t>
      </w:r>
      <w:r>
        <w:rPr>
          <w:rFonts w:ascii="Calibri"/>
          <w:color w:val="231F1F"/>
          <w:spacing w:val="-21"/>
          <w:w w:val="115"/>
          <w:sz w:val="12"/>
        </w:rPr>
        <w:t> </w:t>
      </w:r>
      <w:r>
        <w:rPr>
          <w:color w:val="231F1F"/>
          <w:w w:val="115"/>
          <w:sz w:val="12"/>
        </w:rPr>
        <w:t>anticoagulant</w:t>
      </w:r>
      <w:r>
        <w:rPr>
          <w:color w:val="231F1F"/>
          <w:spacing w:val="-24"/>
          <w:w w:val="115"/>
          <w:sz w:val="12"/>
        </w:rPr>
        <w:t> </w:t>
      </w:r>
      <w:r>
        <w:rPr>
          <w:color w:val="231F1F"/>
          <w:w w:val="115"/>
          <w:sz w:val="12"/>
        </w:rPr>
        <w:t>effect</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coumarins enhanced</w:t>
      </w:r>
      <w:r>
        <w:rPr>
          <w:color w:val="231F1F"/>
          <w:spacing w:val="-10"/>
          <w:w w:val="115"/>
          <w:sz w:val="12"/>
        </w:rPr>
        <w:t> </w:t>
      </w:r>
      <w:r>
        <w:rPr>
          <w:color w:val="231F1F"/>
          <w:w w:val="115"/>
          <w:sz w:val="12"/>
        </w:rPr>
        <w:t>by</w:t>
      </w:r>
      <w:r>
        <w:rPr>
          <w:color w:val="231F1F"/>
          <w:spacing w:val="-7"/>
          <w:w w:val="115"/>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5"/>
          <w:sz w:val="11"/>
        </w:rPr>
        <w:t>THYROID</w:t>
      </w:r>
      <w:r>
        <w:rPr>
          <w:rFonts w:ascii="Calibri"/>
          <w:color w:val="008356"/>
          <w:w w:val="115"/>
          <w:sz w:val="11"/>
        </w:rPr>
        <w:t> </w:t>
      </w:r>
      <w:r>
        <w:rPr>
          <w:rFonts w:ascii="Calibri"/>
          <w:color w:val="008356"/>
          <w:spacing w:val="5"/>
          <w:w w:val="115"/>
          <w:sz w:val="11"/>
        </w:rPr>
        <w:t>HORMONES</w:t>
      </w:r>
    </w:p>
    <w:p>
      <w:pPr>
        <w:pStyle w:val="BodyText"/>
        <w:spacing w:line="220" w:lineRule="auto" w:before="4"/>
        <w:ind w:right="1071" w:hanging="100"/>
        <w:jc w:val="both"/>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14"/>
          <w:w w:val="95"/>
          <w:sz w:val="10"/>
        </w:rPr>
        <w:t> </w:t>
      </w:r>
      <w:r>
        <w:rPr>
          <w:rFonts w:ascii="Calibri" w:hAnsi="Calibri"/>
          <w:color w:val="231F1F"/>
          <w:w w:val="110"/>
        </w:rPr>
        <w:t>Ubidecarenone:</w:t>
      </w:r>
      <w:r>
        <w:rPr>
          <w:rFonts w:ascii="Calibri" w:hAnsi="Calibri"/>
          <w:color w:val="231F1F"/>
          <w:spacing w:val="-4"/>
          <w:w w:val="110"/>
        </w:rPr>
        <w:t> </w:t>
      </w:r>
      <w:r>
        <w:rPr>
          <w:color w:val="231F1F"/>
          <w:w w:val="110"/>
        </w:rPr>
        <w:t>anticoagulant</w:t>
      </w:r>
      <w:r>
        <w:rPr>
          <w:color w:val="231F1F"/>
          <w:spacing w:val="-8"/>
          <w:w w:val="110"/>
        </w:rPr>
        <w:t> </w:t>
      </w:r>
      <w:r>
        <w:rPr>
          <w:color w:val="231F1F"/>
          <w:w w:val="110"/>
        </w:rPr>
        <w:t>effect</w:t>
      </w:r>
      <w:r>
        <w:rPr>
          <w:color w:val="231F1F"/>
          <w:spacing w:val="-9"/>
          <w:w w:val="110"/>
        </w:rPr>
        <w:t> </w:t>
      </w:r>
      <w:r>
        <w:rPr>
          <w:color w:val="231F1F"/>
          <w:w w:val="110"/>
        </w:rPr>
        <w:t>of</w:t>
      </w:r>
      <w:r>
        <w:rPr>
          <w:color w:val="231F1F"/>
          <w:spacing w:val="-7"/>
          <w:w w:val="110"/>
        </w:rPr>
        <w:t> </w:t>
      </w:r>
      <w:r>
        <w:rPr>
          <w:color w:val="231F1F"/>
          <w:w w:val="110"/>
        </w:rPr>
        <w:t>warfarin</w:t>
      </w:r>
      <w:r>
        <w:rPr>
          <w:color w:val="231F1F"/>
          <w:spacing w:val="-7"/>
          <w:w w:val="110"/>
        </w:rPr>
        <w:t> </w:t>
      </w:r>
      <w:r>
        <w:rPr>
          <w:color w:val="231F1F"/>
          <w:w w:val="110"/>
        </w:rPr>
        <w:t>may</w:t>
      </w:r>
      <w:r>
        <w:rPr>
          <w:color w:val="231F1F"/>
          <w:spacing w:val="-8"/>
          <w:w w:val="110"/>
        </w:rPr>
        <w:t> </w:t>
      </w:r>
      <w:r>
        <w:rPr>
          <w:color w:val="231F1F"/>
          <w:spacing w:val="-7"/>
          <w:w w:val="110"/>
        </w:rPr>
        <w:t>be </w:t>
      </w:r>
      <w:r>
        <w:rPr>
          <w:color w:val="231F1F"/>
          <w:w w:val="110"/>
        </w:rPr>
        <w:t>enhanced or reduced by</w:t>
      </w:r>
      <w:r>
        <w:rPr>
          <w:color w:val="231F1F"/>
          <w:spacing w:val="-16"/>
          <w:w w:val="110"/>
        </w:rPr>
        <w:t> </w:t>
      </w:r>
      <w:r>
        <w:rPr>
          <w:rFonts w:ascii="Calibri" w:hAnsi="Calibri"/>
          <w:color w:val="008356"/>
          <w:spacing w:val="5"/>
          <w:w w:val="110"/>
          <w:sz w:val="11"/>
        </w:rPr>
        <w:t>UBIDECARENONE</w:t>
      </w:r>
    </w:p>
    <w:p>
      <w:pPr>
        <w:pStyle w:val="BodyText"/>
        <w:spacing w:line="146" w:lineRule="exact"/>
        <w:ind w:left="108"/>
      </w:pPr>
      <w:r>
        <w:rPr>
          <w:rFonts w:ascii="Arial"/>
          <w:color w:val="231F1F"/>
          <w:w w:val="355"/>
          <w:position w:val="1"/>
          <w:sz w:val="7"/>
        </w:rPr>
        <w:t>l </w:t>
      </w:r>
      <w:r>
        <w:rPr>
          <w:rFonts w:ascii="Calibri"/>
          <w:color w:val="231F1F"/>
          <w:w w:val="115"/>
        </w:rPr>
        <w:t>Ulcer-healing Drugs: </w:t>
      </w:r>
      <w:r>
        <w:rPr>
          <w:color w:val="231F1F"/>
          <w:w w:val="115"/>
        </w:rPr>
        <w:t>metabolism of coumarins inhibited by</w:t>
      </w:r>
    </w:p>
    <w:p>
      <w:pPr>
        <w:spacing w:line="242" w:lineRule="auto" w:before="0"/>
        <w:ind w:left="208" w:right="762" w:firstLine="0"/>
        <w:jc w:val="left"/>
        <w:rPr>
          <w:sz w:val="12"/>
        </w:rPr>
      </w:pPr>
      <w:r>
        <w:rPr>
          <w:rFonts w:ascii="Arial"/>
          <w:color w:val="231F1F"/>
          <w:w w:val="355"/>
          <w:position w:val="1"/>
          <w:sz w:val="7"/>
        </w:rPr>
        <w:t>l </w:t>
      </w:r>
      <w:r>
        <w:rPr>
          <w:rFonts w:ascii="Calibri"/>
          <w:color w:val="008356"/>
          <w:w w:val="110"/>
          <w:sz w:val="11"/>
        </w:rPr>
        <w:t>CIMETIDINE </w:t>
      </w:r>
      <w:r>
        <w:rPr>
          <w:color w:val="231F1F"/>
          <w:w w:val="110"/>
          <w:sz w:val="12"/>
        </w:rPr>
        <w:t>(enhanced anticoagulant effect); anticoagulant effect of coumarins possibly enhanced by </w:t>
      </w:r>
      <w:r>
        <w:rPr>
          <w:rFonts w:ascii="Arial"/>
          <w:color w:val="231F1F"/>
          <w:w w:val="355"/>
          <w:position w:val="1"/>
          <w:sz w:val="7"/>
        </w:rPr>
        <w:t>l </w:t>
      </w:r>
      <w:r>
        <w:rPr>
          <w:rFonts w:ascii="Calibri"/>
          <w:color w:val="008356"/>
          <w:w w:val="110"/>
          <w:sz w:val="11"/>
        </w:rPr>
        <w:t>ESOMEPRAZOLE </w:t>
      </w:r>
      <w:r>
        <w:rPr>
          <w:color w:val="231F1F"/>
          <w:w w:val="110"/>
          <w:sz w:val="12"/>
        </w:rPr>
        <w:t>and </w:t>
      </w:r>
      <w:r>
        <w:rPr>
          <w:rFonts w:ascii="Arial"/>
          <w:color w:val="231F1F"/>
          <w:w w:val="355"/>
          <w:position w:val="1"/>
          <w:sz w:val="7"/>
        </w:rPr>
        <w:t>l </w:t>
      </w:r>
      <w:r>
        <w:rPr>
          <w:rFonts w:ascii="Calibri"/>
          <w:color w:val="008356"/>
          <w:w w:val="110"/>
          <w:sz w:val="11"/>
        </w:rPr>
        <w:t>OMEPRAZOLE</w:t>
      </w:r>
      <w:r>
        <w:rPr>
          <w:color w:val="231F1F"/>
          <w:w w:val="110"/>
          <w:sz w:val="12"/>
        </w:rPr>
        <w:t>; anticoagulant effect of coumarins might be enhanced by </w:t>
      </w:r>
      <w:r>
        <w:rPr>
          <w:rFonts w:ascii="Calibri"/>
          <w:color w:val="008356"/>
          <w:w w:val="110"/>
          <w:sz w:val="11"/>
        </w:rPr>
        <w:t>PANTOPRAZOLE</w:t>
      </w:r>
      <w:r>
        <w:rPr>
          <w:color w:val="231F1F"/>
          <w:w w:val="110"/>
          <w:sz w:val="12"/>
        </w:rPr>
        <w:t>; absorption of coumarins possibly reduced by </w:t>
      </w:r>
      <w:r>
        <w:rPr>
          <w:rFonts w:ascii="Arial"/>
          <w:color w:val="231F1F"/>
          <w:w w:val="355"/>
          <w:position w:val="1"/>
          <w:sz w:val="7"/>
        </w:rPr>
        <w:t>l </w:t>
      </w:r>
      <w:r>
        <w:rPr>
          <w:rFonts w:ascii="Calibri"/>
          <w:color w:val="008356"/>
          <w:w w:val="110"/>
          <w:sz w:val="11"/>
        </w:rPr>
        <w:t>SUCRALFATE </w:t>
      </w:r>
      <w:r>
        <w:rPr>
          <w:color w:val="231F1F"/>
          <w:w w:val="110"/>
          <w:sz w:val="12"/>
        </w:rPr>
        <w:t>(reduced anticoagulant effect)</w:t>
      </w:r>
    </w:p>
    <w:p>
      <w:pPr>
        <w:spacing w:line="220" w:lineRule="auto" w:before="1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anticoagulant effect of warfarin possibly enhanced  by </w:t>
      </w:r>
      <w:r>
        <w:rPr>
          <w:rFonts w:ascii="Calibri" w:hAnsi="Calibri"/>
          <w:color w:val="008356"/>
          <w:spacing w:val="4"/>
          <w:w w:val="105"/>
          <w:sz w:val="11"/>
        </w:rPr>
        <w:t>INFLUENZA</w:t>
      </w:r>
      <w:r>
        <w:rPr>
          <w:rFonts w:ascii="Calibri" w:hAnsi="Calibri"/>
          <w:color w:val="008356"/>
          <w:spacing w:val="-1"/>
          <w:w w:val="105"/>
          <w:sz w:val="11"/>
        </w:rPr>
        <w:t> </w:t>
      </w:r>
      <w:r>
        <w:rPr>
          <w:rFonts w:ascii="Calibri" w:hAnsi="Calibri"/>
          <w:color w:val="008356"/>
          <w:spacing w:val="4"/>
          <w:w w:val="105"/>
          <w:sz w:val="11"/>
        </w:rPr>
        <w:t>VACCINE</w:t>
      </w:r>
    </w:p>
    <w:p>
      <w:pPr>
        <w:pStyle w:val="BodyText"/>
        <w:spacing w:before="1"/>
        <w:ind w:right="797" w:hanging="100"/>
        <w:rPr>
          <w:rFonts w:ascii="Calibri"/>
          <w:sz w:val="11"/>
        </w:rPr>
      </w:pPr>
      <w:r>
        <w:rPr>
          <w:rFonts w:ascii="Arial"/>
          <w:color w:val="231F1F"/>
          <w:w w:val="355"/>
          <w:position w:val="1"/>
          <w:sz w:val="7"/>
        </w:rPr>
        <w:t>l </w:t>
      </w:r>
      <w:r>
        <w:rPr>
          <w:rFonts w:ascii="Calibri"/>
          <w:color w:val="231F1F"/>
          <w:w w:val="115"/>
        </w:rPr>
        <w:t>Vitamins: </w:t>
      </w:r>
      <w:r>
        <w:rPr>
          <w:color w:val="231F1F"/>
          <w:w w:val="115"/>
        </w:rPr>
        <w:t>anticoagulant effect of coumarins possibly enhanced</w:t>
      </w:r>
      <w:r>
        <w:rPr>
          <w:color w:val="231F1F"/>
          <w:spacing w:val="-15"/>
          <w:w w:val="115"/>
        </w:rPr>
        <w:t> </w:t>
      </w:r>
      <w:r>
        <w:rPr>
          <w:color w:val="231F1F"/>
          <w:w w:val="115"/>
        </w:rPr>
        <w:t>by</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5"/>
          <w:sz w:val="11"/>
        </w:rPr>
        <w:t>VITAMIN</w:t>
      </w:r>
      <w:r>
        <w:rPr>
          <w:rFonts w:ascii="Calibri"/>
          <w:color w:val="008356"/>
          <w:spacing w:val="-7"/>
          <w:w w:val="115"/>
          <w:sz w:val="11"/>
        </w:rPr>
        <w:t> </w:t>
      </w:r>
      <w:r>
        <w:rPr>
          <w:rFonts w:ascii="Calibri"/>
          <w:color w:val="008356"/>
          <w:spacing w:val="2"/>
          <w:w w:val="115"/>
          <w:sz w:val="11"/>
        </w:rPr>
        <w:t>E</w:t>
      </w:r>
      <w:r>
        <w:rPr>
          <w:color w:val="231F1F"/>
          <w:spacing w:val="2"/>
          <w:w w:val="115"/>
        </w:rPr>
        <w:t>;</w:t>
      </w:r>
      <w:r>
        <w:rPr>
          <w:color w:val="231F1F"/>
          <w:spacing w:val="-14"/>
          <w:w w:val="115"/>
        </w:rPr>
        <w:t> </w:t>
      </w:r>
      <w:r>
        <w:rPr>
          <w:color w:val="231F1F"/>
          <w:w w:val="115"/>
        </w:rPr>
        <w:t>anticoagulant</w:t>
      </w:r>
      <w:r>
        <w:rPr>
          <w:color w:val="231F1F"/>
          <w:spacing w:val="-14"/>
          <w:w w:val="115"/>
        </w:rPr>
        <w:t> </w:t>
      </w:r>
      <w:r>
        <w:rPr>
          <w:color w:val="231F1F"/>
          <w:w w:val="115"/>
        </w:rPr>
        <w:t>effect</w:t>
      </w:r>
      <w:r>
        <w:rPr>
          <w:color w:val="231F1F"/>
          <w:spacing w:val="-15"/>
          <w:w w:val="115"/>
        </w:rPr>
        <w:t> </w:t>
      </w:r>
      <w:r>
        <w:rPr>
          <w:color w:val="231F1F"/>
          <w:w w:val="115"/>
        </w:rPr>
        <w:t>of</w:t>
      </w:r>
      <w:r>
        <w:rPr>
          <w:color w:val="231F1F"/>
          <w:spacing w:val="-14"/>
          <w:w w:val="115"/>
        </w:rPr>
        <w:t> </w:t>
      </w:r>
      <w:r>
        <w:rPr>
          <w:color w:val="231F1F"/>
          <w:w w:val="115"/>
        </w:rPr>
        <w:t>coumarins antagonised by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5"/>
          <w:sz w:val="11"/>
        </w:rPr>
        <w:t>VITAMIN </w:t>
      </w:r>
      <w:r>
        <w:rPr>
          <w:rFonts w:ascii="Calibri"/>
          <w:color w:val="008356"/>
          <w:w w:val="115"/>
          <w:sz w:val="11"/>
        </w:rPr>
        <w:t>K</w:t>
      </w:r>
    </w:p>
    <w:p>
      <w:pPr>
        <w:pStyle w:val="BodyText"/>
        <w:spacing w:line="139" w:lineRule="exact" w:before="8"/>
        <w:ind w:left="108"/>
        <w:rPr>
          <w:rFonts w:ascii="Trebuchet MS"/>
        </w:rPr>
      </w:pPr>
      <w:r>
        <w:rPr>
          <w:rFonts w:ascii="Trebuchet MS"/>
          <w:color w:val="008356"/>
        </w:rPr>
        <w:t>Cranberry Juice</w:t>
      </w:r>
    </w:p>
    <w:p>
      <w:pPr>
        <w:pStyle w:val="BodyText"/>
        <w:ind w:right="670" w:hanging="100"/>
      </w:pPr>
      <w:r>
        <w:rPr>
          <w:rFonts w:ascii="Arial" w:hAnsi="Arial"/>
          <w:color w:val="231F1F"/>
          <w:w w:val="355"/>
          <w:position w:val="1"/>
          <w:sz w:val="7"/>
        </w:rPr>
        <w:t>l </w:t>
      </w:r>
      <w:r>
        <w:rPr>
          <w:rFonts w:ascii="Calibri" w:hAnsi="Calibri"/>
          <w:color w:val="231F1F"/>
          <w:w w:val="110"/>
        </w:rPr>
        <w:t>Anticoagulants: </w:t>
      </w:r>
      <w:r>
        <w:rPr>
          <w:color w:val="231F1F"/>
          <w:w w:val="110"/>
        </w:rPr>
        <w:t>cranberry juice possibly enhances anticoagulant effect of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0"/>
          <w:sz w:val="11"/>
        </w:rPr>
        <w:t>COUMARINS</w:t>
      </w:r>
      <w:r>
        <w:rPr>
          <w:rFonts w:ascii="Arial" w:hAnsi="Arial"/>
          <w:color w:val="231F1F"/>
          <w:spacing w:val="3"/>
          <w:w w:val="110"/>
        </w:rPr>
        <w:t>—</w:t>
      </w:r>
      <w:r>
        <w:rPr>
          <w:color w:val="231F1F"/>
          <w:spacing w:val="3"/>
          <w:w w:val="110"/>
        </w:rPr>
        <w:t>avoid </w:t>
      </w:r>
      <w:r>
        <w:rPr>
          <w:color w:val="231F1F"/>
          <w:w w:val="110"/>
        </w:rPr>
        <w:t>concomitant </w:t>
      </w:r>
      <w:r>
        <w:rPr>
          <w:color w:val="231F1F"/>
          <w:spacing w:val="-4"/>
          <w:w w:val="110"/>
        </w:rPr>
        <w:t>use</w:t>
      </w:r>
    </w:p>
    <w:p>
      <w:pPr>
        <w:pStyle w:val="BodyText"/>
        <w:spacing w:line="139" w:lineRule="exact" w:before="7"/>
        <w:ind w:left="108"/>
        <w:rPr>
          <w:rFonts w:ascii="Trebuchet MS"/>
        </w:rPr>
      </w:pPr>
      <w:r>
        <w:rPr>
          <w:rFonts w:ascii="Trebuchet MS"/>
          <w:color w:val="008356"/>
        </w:rPr>
        <w:t>Crizotinib</w:t>
      </w:r>
    </w:p>
    <w:p>
      <w:pPr>
        <w:pStyle w:val="BodyText"/>
        <w:spacing w:line="146" w:lineRule="exact"/>
        <w:ind w:left="108"/>
      </w:pPr>
      <w:r>
        <w:rPr>
          <w:rFonts w:ascii="Arial"/>
          <w:color w:val="231F1F"/>
          <w:w w:val="355"/>
          <w:position w:val="1"/>
          <w:sz w:val="7"/>
        </w:rPr>
        <w:t>l </w:t>
      </w:r>
      <w:r>
        <w:rPr>
          <w:rFonts w:ascii="Calibri"/>
          <w:color w:val="231F1F"/>
          <w:w w:val="115"/>
        </w:rPr>
        <w:t>Analgesics: </w:t>
      </w:r>
      <w:r>
        <w:rPr>
          <w:color w:val="231F1F"/>
          <w:w w:val="115"/>
        </w:rPr>
        <w:t>manufacturer of crizotinib advises caution with</w:t>
      </w:r>
    </w:p>
    <w:p>
      <w:pPr>
        <w:spacing w:line="140" w:lineRule="exact" w:before="0"/>
        <w:ind w:left="208" w:right="0" w:firstLine="0"/>
        <w:jc w:val="left"/>
        <w:rPr>
          <w:rFonts w:ascii="Calibri"/>
          <w:sz w:val="11"/>
        </w:rPr>
      </w:pPr>
      <w:r>
        <w:rPr>
          <w:rFonts w:ascii="Arial"/>
          <w:color w:val="231F1F"/>
          <w:w w:val="355"/>
          <w:position w:val="1"/>
          <w:sz w:val="7"/>
        </w:rPr>
        <w:t>l </w:t>
      </w:r>
      <w:r>
        <w:rPr>
          <w:rFonts w:ascii="Calibri"/>
          <w:color w:val="008356"/>
          <w:w w:val="115"/>
          <w:sz w:val="11"/>
        </w:rPr>
        <w:t>ALFENTANIL </w:t>
      </w:r>
      <w:r>
        <w:rPr>
          <w:color w:val="231F1F"/>
          <w:w w:val="115"/>
          <w:sz w:val="12"/>
        </w:rPr>
        <w:t>and </w:t>
      </w:r>
      <w:r>
        <w:rPr>
          <w:rFonts w:ascii="Arial"/>
          <w:color w:val="231F1F"/>
          <w:w w:val="355"/>
          <w:position w:val="1"/>
          <w:sz w:val="7"/>
        </w:rPr>
        <w:t>l </w:t>
      </w:r>
      <w:r>
        <w:rPr>
          <w:rFonts w:ascii="Calibri"/>
          <w:color w:val="008356"/>
          <w:w w:val="115"/>
          <w:sz w:val="11"/>
        </w:rPr>
        <w:t>FENTANYL</w:t>
      </w:r>
    </w:p>
    <w:p>
      <w:pPr>
        <w:pStyle w:val="BodyText"/>
        <w:spacing w:line="244" w:lineRule="auto"/>
        <w:ind w:right="625" w:hanging="100"/>
      </w:pPr>
      <w:r>
        <w:rPr>
          <w:rFonts w:ascii="Arial" w:hAnsi="Arial"/>
          <w:color w:val="231F1F"/>
          <w:w w:val="355"/>
          <w:position w:val="1"/>
          <w:sz w:val="7"/>
        </w:rPr>
        <w:t>l </w:t>
      </w:r>
      <w:r>
        <w:rPr>
          <w:rFonts w:ascii="Calibri" w:hAnsi="Calibri"/>
          <w:color w:val="231F1F"/>
          <w:w w:val="115"/>
        </w:rPr>
        <w:t>Antibacterials: </w:t>
      </w:r>
      <w:r>
        <w:rPr>
          <w:color w:val="231F1F"/>
          <w:w w:val="115"/>
        </w:rPr>
        <w:t>plasma concentration of crizotinib possibly increased by </w:t>
      </w:r>
      <w:r>
        <w:rPr>
          <w:rFonts w:ascii="Arial" w:hAnsi="Arial"/>
          <w:color w:val="231F1F"/>
          <w:w w:val="355"/>
          <w:position w:val="1"/>
          <w:sz w:val="7"/>
        </w:rPr>
        <w:t>l </w:t>
      </w:r>
      <w:r>
        <w:rPr>
          <w:rFonts w:ascii="Calibri" w:hAnsi="Calibri"/>
          <w:color w:val="008356"/>
          <w:w w:val="115"/>
          <w:sz w:val="11"/>
        </w:rPr>
        <w:t>CLARITHROMYCIN </w:t>
      </w:r>
      <w:r>
        <w:rPr>
          <w:color w:val="231F1F"/>
          <w:w w:val="115"/>
        </w:rPr>
        <w:t>and </w:t>
      </w:r>
      <w:r>
        <w:rPr>
          <w:rFonts w:ascii="Arial" w:hAnsi="Arial"/>
          <w:color w:val="231F1F"/>
          <w:w w:val="355"/>
          <w:position w:val="1"/>
          <w:sz w:val="7"/>
        </w:rPr>
        <w:t>l </w:t>
      </w:r>
      <w:r>
        <w:rPr>
          <w:rFonts w:ascii="Calibri" w:hAnsi="Calibri"/>
          <w:color w:val="008356"/>
          <w:w w:val="115"/>
          <w:sz w:val="11"/>
        </w:rPr>
        <w:t>TELITHROMYCIN</w:t>
      </w:r>
      <w:r>
        <w:rPr>
          <w:rFonts w:ascii="Arial" w:hAnsi="Arial"/>
          <w:color w:val="231F1F"/>
          <w:w w:val="115"/>
        </w:rPr>
        <w:t>— </w:t>
      </w:r>
      <w:r>
        <w:rPr>
          <w:color w:val="231F1F"/>
          <w:w w:val="115"/>
        </w:rPr>
        <w:t>manufacturer of crizotinib advises avoid concomitant use; plasma concentration of crizotinib possibly reduced by </w:t>
      </w:r>
      <w:r>
        <w:rPr>
          <w:rFonts w:ascii="Calibri" w:hAnsi="Calibri"/>
          <w:color w:val="008356"/>
          <w:w w:val="115"/>
          <w:sz w:val="11"/>
        </w:rPr>
        <w:t>RIFABUTIN</w:t>
      </w:r>
      <w:r>
        <w:rPr>
          <w:rFonts w:ascii="Arial" w:hAnsi="Arial"/>
          <w:color w:val="231F1F"/>
          <w:w w:val="115"/>
        </w:rPr>
        <w:t>—</w:t>
      </w:r>
      <w:r>
        <w:rPr>
          <w:color w:val="231F1F"/>
          <w:w w:val="115"/>
        </w:rPr>
        <w:t>manufacturer of crizotinib advises avoid concomitant use; plasma concentration of crizotinib reduced by </w:t>
      </w:r>
      <w:r>
        <w:rPr>
          <w:rFonts w:ascii="Arial" w:hAnsi="Arial"/>
          <w:color w:val="231F1F"/>
          <w:w w:val="35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crizotinib advises avoid concomitant use</w:t>
      </w:r>
    </w:p>
    <w:p>
      <w:pPr>
        <w:pStyle w:val="BodyText"/>
        <w:spacing w:line="230" w:lineRule="auto" w:before="2"/>
        <w:ind w:right="787"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crizotinib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crizotinib advises avoid concomitant use</w:t>
      </w:r>
    </w:p>
    <w:p>
      <w:pPr>
        <w:spacing w:line="220" w:lineRule="auto" w:before="11"/>
        <w:ind w:left="208" w:right="762"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crizotinib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w:t>
      </w:r>
    </w:p>
    <w:p>
      <w:pPr>
        <w:spacing w:line="244" w:lineRule="auto" w:before="4"/>
        <w:ind w:left="208" w:right="1071" w:firstLine="0"/>
        <w:jc w:val="left"/>
        <w:rPr>
          <w:sz w:val="12"/>
        </w:rPr>
      </w:pPr>
      <w:r>
        <w:rPr>
          <w:rFonts w:ascii="Calibri" w:hAnsi="Calibri"/>
          <w:color w:val="008356"/>
          <w:w w:val="110"/>
          <w:sz w:val="11"/>
        </w:rPr>
        <w:t>PHENYTOIN </w:t>
      </w:r>
      <w:r>
        <w:rPr>
          <w:color w:val="231F1F"/>
          <w:w w:val="110"/>
          <w:sz w:val="12"/>
        </w:rPr>
        <w:t>and </w:t>
      </w:r>
      <w:r>
        <w:rPr>
          <w:rFonts w:ascii="Calibri" w:hAnsi="Calibri"/>
          <w:color w:val="008356"/>
          <w:w w:val="110"/>
          <w:sz w:val="11"/>
        </w:rPr>
        <w:t>PRIMIDONE</w:t>
      </w:r>
      <w:r>
        <w:rPr>
          <w:rFonts w:ascii="Arial" w:hAnsi="Arial"/>
          <w:color w:val="231F1F"/>
          <w:w w:val="110"/>
          <w:sz w:val="12"/>
        </w:rPr>
        <w:t>—</w:t>
      </w:r>
      <w:r>
        <w:rPr>
          <w:color w:val="231F1F"/>
          <w:w w:val="110"/>
          <w:sz w:val="12"/>
        </w:rPr>
        <w:t>manufacturer of crizotinib advises avoid concomitant use</w:t>
      </w:r>
    </w:p>
    <w:p>
      <w:pPr>
        <w:pStyle w:val="BodyText"/>
        <w:ind w:right="796"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crizotinib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plasma concentration of crizotinib possibly increased by</w:t>
      </w:r>
    </w:p>
    <w:p>
      <w:pPr>
        <w:spacing w:before="3"/>
        <w:ind w:left="208" w:right="670" w:firstLine="0"/>
        <w:jc w:val="left"/>
        <w:rPr>
          <w:sz w:val="12"/>
        </w:rPr>
      </w:pPr>
      <w:r>
        <w:rPr>
          <w:rFonts w:ascii="Arial" w:hAnsi="Arial"/>
          <w:color w:val="231F1F"/>
          <w:w w:val="110"/>
          <w:position w:val="1"/>
          <w:sz w:val="7"/>
        </w:rPr>
        <w:t>l </w:t>
      </w:r>
      <w:r>
        <w:rPr>
          <w:rFonts w:ascii="Calibri" w:hAnsi="Calibri"/>
          <w:color w:val="008356"/>
          <w:w w:val="110"/>
          <w:sz w:val="11"/>
        </w:rPr>
        <w:t>ITRACONAZOLE </w:t>
      </w:r>
      <w:r>
        <w:rPr>
          <w:color w:val="231F1F"/>
          <w:w w:val="110"/>
          <w:sz w:val="12"/>
        </w:rPr>
        <w:t>and </w:t>
      </w: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manufacturer of </w:t>
      </w:r>
      <w:r>
        <w:rPr>
          <w:color w:val="231F1F"/>
          <w:w w:val="115"/>
          <w:sz w:val="12"/>
        </w:rPr>
        <w:t>crizotinib advises avoid concomitant use</w:t>
      </w:r>
    </w:p>
    <w:p>
      <w:pPr>
        <w:pStyle w:val="BodyText"/>
        <w:spacing w:line="220" w:lineRule="auto" w:before="12"/>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Antimalarials: </w:t>
      </w:r>
      <w:r>
        <w:rPr>
          <w:color w:val="231F1F"/>
          <w:w w:val="105"/>
        </w:rPr>
        <w:t>possible increased risk of bradycardia when crizotinib given with </w:t>
      </w:r>
      <w:r>
        <w:rPr>
          <w:rFonts w:ascii="Calibri" w:hAnsi="Calibri"/>
          <w:color w:val="008356"/>
          <w:w w:val="105"/>
          <w:sz w:val="11"/>
        </w:rPr>
        <w:t>MEFLOQUINE</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244" w:lineRule="auto" w:before="0"/>
        <w:ind w:left="208" w:right="678" w:hanging="1"/>
        <w:jc w:val="left"/>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CLOZAPINE</w:t>
      </w:r>
      <w:r>
        <w:rPr>
          <w:rFonts w:ascii="Calibri"/>
          <w:color w:val="008356"/>
          <w:spacing w:val="-12"/>
          <w:w w:val="115"/>
          <w:sz w:val="11"/>
        </w:rPr>
        <w:t> </w:t>
      </w:r>
      <w:r>
        <w:rPr>
          <w:color w:val="231F1F"/>
          <w:w w:val="115"/>
          <w:sz w:val="12"/>
        </w:rPr>
        <w:t>(increased</w:t>
      </w:r>
      <w:r>
        <w:rPr>
          <w:color w:val="231F1F"/>
          <w:spacing w:val="-21"/>
          <w:w w:val="115"/>
          <w:sz w:val="12"/>
        </w:rPr>
        <w:t> </w:t>
      </w:r>
      <w:r>
        <w:rPr>
          <w:color w:val="231F1F"/>
          <w:w w:val="115"/>
          <w:sz w:val="12"/>
        </w:rPr>
        <w:t>risk</w:t>
      </w:r>
      <w:r>
        <w:rPr>
          <w:color w:val="231F1F"/>
          <w:spacing w:val="-20"/>
          <w:w w:val="115"/>
          <w:sz w:val="12"/>
        </w:rPr>
        <w:t> </w:t>
      </w:r>
      <w:r>
        <w:rPr>
          <w:color w:val="231F1F"/>
          <w:w w:val="115"/>
          <w:sz w:val="12"/>
        </w:rPr>
        <w:t>of</w:t>
      </w:r>
      <w:r>
        <w:rPr>
          <w:color w:val="231F1F"/>
          <w:spacing w:val="-21"/>
          <w:w w:val="115"/>
          <w:sz w:val="12"/>
        </w:rPr>
        <w:t> </w:t>
      </w:r>
      <w:r>
        <w:rPr>
          <w:color w:val="231F1F"/>
          <w:w w:val="115"/>
          <w:sz w:val="12"/>
        </w:rPr>
        <w:t>agranulocytosis);</w:t>
      </w:r>
      <w:r>
        <w:rPr>
          <w:color w:val="231F1F"/>
          <w:spacing w:val="-20"/>
          <w:w w:val="115"/>
          <w:sz w:val="12"/>
        </w:rPr>
        <w:t> </w:t>
      </w:r>
      <w:r>
        <w:rPr>
          <w:color w:val="231F1F"/>
          <w:w w:val="115"/>
          <w:sz w:val="12"/>
        </w:rPr>
        <w:t>manufacturer of</w:t>
      </w:r>
      <w:r>
        <w:rPr>
          <w:color w:val="231F1F"/>
          <w:spacing w:val="-7"/>
          <w:w w:val="115"/>
          <w:sz w:val="12"/>
        </w:rPr>
        <w:t> </w:t>
      </w:r>
      <w:r>
        <w:rPr>
          <w:color w:val="231F1F"/>
          <w:w w:val="115"/>
          <w:sz w:val="12"/>
        </w:rPr>
        <w:t>crizotinib</w:t>
      </w:r>
      <w:r>
        <w:rPr>
          <w:color w:val="231F1F"/>
          <w:spacing w:val="-6"/>
          <w:w w:val="115"/>
          <w:sz w:val="12"/>
        </w:rPr>
        <w:t> </w:t>
      </w:r>
      <w:r>
        <w:rPr>
          <w:color w:val="231F1F"/>
          <w:w w:val="115"/>
          <w:sz w:val="12"/>
        </w:rPr>
        <w:t>advises</w:t>
      </w:r>
      <w:r>
        <w:rPr>
          <w:color w:val="231F1F"/>
          <w:spacing w:val="-6"/>
          <w:w w:val="115"/>
          <w:sz w:val="12"/>
        </w:rPr>
        <w:t> </w:t>
      </w:r>
      <w:r>
        <w:rPr>
          <w:color w:val="231F1F"/>
          <w:w w:val="115"/>
          <w:sz w:val="12"/>
        </w:rPr>
        <w:t>caution</w:t>
      </w:r>
      <w:r>
        <w:rPr>
          <w:color w:val="231F1F"/>
          <w:spacing w:val="-7"/>
          <w:w w:val="115"/>
          <w:sz w:val="12"/>
        </w:rPr>
        <w:t> </w:t>
      </w:r>
      <w:r>
        <w:rPr>
          <w:color w:val="231F1F"/>
          <w:w w:val="115"/>
          <w:sz w:val="12"/>
        </w:rPr>
        <w:t>with</w:t>
      </w:r>
      <w:r>
        <w:rPr>
          <w:color w:val="231F1F"/>
          <w:spacing w:val="-5"/>
          <w:w w:val="115"/>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5"/>
          <w:sz w:val="11"/>
        </w:rPr>
        <w:t>PIMOZIDE</w:t>
      </w:r>
    </w:p>
    <w:p>
      <w:pPr>
        <w:pStyle w:val="BodyText"/>
        <w:spacing w:line="140" w:lineRule="exact"/>
        <w:ind w:left="108"/>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Antivirals: </w:t>
      </w:r>
      <w:r>
        <w:rPr>
          <w:color w:val="231F1F"/>
          <w:w w:val="115"/>
        </w:rPr>
        <w:t>plasma concentration of crizotinib possibly</w:t>
      </w:r>
    </w:p>
    <w:p>
      <w:pPr>
        <w:spacing w:line="242" w:lineRule="auto" w:before="0"/>
        <w:ind w:left="208" w:right="1015" w:firstLine="0"/>
        <w:jc w:val="both"/>
        <w:rPr>
          <w:sz w:val="12"/>
        </w:rPr>
      </w:pPr>
      <w:r>
        <w:rPr>
          <w:color w:val="231F1F"/>
          <w:w w:val="115"/>
          <w:sz w:val="12"/>
        </w:rPr>
        <w:t>increased</w:t>
      </w:r>
      <w:r>
        <w:rPr>
          <w:color w:val="231F1F"/>
          <w:spacing w:val="-19"/>
          <w:w w:val="115"/>
          <w:sz w:val="12"/>
        </w:rPr>
        <w:t> </w:t>
      </w:r>
      <w:r>
        <w:rPr>
          <w:color w:val="231F1F"/>
          <w:w w:val="115"/>
          <w:sz w:val="12"/>
        </w:rPr>
        <w:t>by</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3"/>
          <w:w w:val="115"/>
          <w:sz w:val="11"/>
        </w:rPr>
        <w:t>ATAZANAVIR</w:t>
      </w:r>
      <w:r>
        <w:rPr>
          <w:color w:val="231F1F"/>
          <w:spacing w:val="3"/>
          <w:w w:val="115"/>
          <w:sz w:val="12"/>
        </w:rPr>
        <w:t>,</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4"/>
          <w:w w:val="115"/>
          <w:sz w:val="11"/>
        </w:rPr>
        <w:t>INDINAVIR</w:t>
      </w:r>
      <w:r>
        <w:rPr>
          <w:color w:val="231F1F"/>
          <w:spacing w:val="4"/>
          <w:w w:val="115"/>
          <w:sz w:val="12"/>
        </w:rPr>
        <w:t>,</w:t>
      </w:r>
      <w:r>
        <w:rPr>
          <w:color w:val="231F1F"/>
          <w:spacing w:val="-18"/>
          <w:w w:val="115"/>
          <w:sz w:val="12"/>
        </w:rPr>
        <w:t> </w:t>
      </w: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008356"/>
          <w:spacing w:val="3"/>
          <w:w w:val="115"/>
          <w:sz w:val="11"/>
        </w:rPr>
        <w:t>RITONAVIR</w:t>
      </w:r>
      <w:r>
        <w:rPr>
          <w:rFonts w:ascii="Calibri" w:hAnsi="Calibri"/>
          <w:color w:val="008356"/>
          <w:spacing w:val="-9"/>
          <w:w w:val="115"/>
          <w:sz w:val="11"/>
        </w:rPr>
        <w:t> </w:t>
      </w:r>
      <w:r>
        <w:rPr>
          <w:color w:val="231F1F"/>
          <w:w w:val="115"/>
          <w:sz w:val="12"/>
        </w:rPr>
        <w:t>and  </w:t>
      </w: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w w:val="115"/>
          <w:sz w:val="11"/>
        </w:rPr>
        <w:t>SAQUINAVIR</w:t>
      </w:r>
      <w:r>
        <w:rPr>
          <w:rFonts w:ascii="Arial" w:hAnsi="Arial"/>
          <w:color w:val="231F1F"/>
          <w:w w:val="115"/>
          <w:sz w:val="12"/>
        </w:rPr>
        <w:t>—</w:t>
      </w:r>
      <w:r>
        <w:rPr>
          <w:color w:val="231F1F"/>
          <w:w w:val="115"/>
          <w:sz w:val="12"/>
        </w:rPr>
        <w:t>manufacturer</w:t>
      </w:r>
      <w:r>
        <w:rPr>
          <w:color w:val="231F1F"/>
          <w:spacing w:val="-16"/>
          <w:w w:val="115"/>
          <w:sz w:val="12"/>
        </w:rPr>
        <w:t> </w:t>
      </w:r>
      <w:r>
        <w:rPr>
          <w:color w:val="231F1F"/>
          <w:w w:val="115"/>
          <w:sz w:val="12"/>
        </w:rPr>
        <w:t>of</w:t>
      </w:r>
      <w:r>
        <w:rPr>
          <w:color w:val="231F1F"/>
          <w:spacing w:val="-15"/>
          <w:w w:val="115"/>
          <w:sz w:val="12"/>
        </w:rPr>
        <w:t> </w:t>
      </w:r>
      <w:r>
        <w:rPr>
          <w:color w:val="231F1F"/>
          <w:w w:val="115"/>
          <w:sz w:val="12"/>
        </w:rPr>
        <w:t>crizotinib</w:t>
      </w:r>
      <w:r>
        <w:rPr>
          <w:color w:val="231F1F"/>
          <w:spacing w:val="-16"/>
          <w:w w:val="115"/>
          <w:sz w:val="12"/>
        </w:rPr>
        <w:t> </w:t>
      </w:r>
      <w:r>
        <w:rPr>
          <w:color w:val="231F1F"/>
          <w:w w:val="115"/>
          <w:sz w:val="12"/>
        </w:rPr>
        <w:t>advises</w:t>
      </w:r>
      <w:r>
        <w:rPr>
          <w:color w:val="231F1F"/>
          <w:spacing w:val="-16"/>
          <w:w w:val="115"/>
          <w:sz w:val="12"/>
        </w:rPr>
        <w:t> </w:t>
      </w:r>
      <w:r>
        <w:rPr>
          <w:color w:val="231F1F"/>
          <w:w w:val="115"/>
          <w:sz w:val="12"/>
        </w:rPr>
        <w:t>avoid </w:t>
      </w:r>
      <w:r>
        <w:rPr>
          <w:color w:val="231F1F"/>
          <w:w w:val="120"/>
          <w:sz w:val="12"/>
        </w:rPr>
        <w:t>concomitant</w:t>
      </w:r>
      <w:r>
        <w:rPr>
          <w:color w:val="231F1F"/>
          <w:spacing w:val="-7"/>
          <w:w w:val="120"/>
          <w:sz w:val="12"/>
        </w:rPr>
        <w:t> </w:t>
      </w:r>
      <w:r>
        <w:rPr>
          <w:color w:val="231F1F"/>
          <w:w w:val="120"/>
          <w:sz w:val="12"/>
        </w:rPr>
        <w:t>use</w:t>
      </w:r>
    </w:p>
    <w:p>
      <w:pPr>
        <w:pStyle w:val="BodyText"/>
        <w:ind w:right="1207" w:hanging="100"/>
        <w:jc w:val="both"/>
        <w:rPr>
          <w:rFonts w:ascii="Calibri"/>
          <w:sz w:val="11"/>
        </w:rPr>
      </w:pPr>
      <w:r>
        <w:rPr>
          <w:rFonts w:ascii="Arial"/>
          <w:color w:val="231F1F"/>
          <w:w w:val="215"/>
          <w:position w:val="1"/>
          <w:sz w:val="7"/>
        </w:rPr>
        <w:t>l</w:t>
      </w:r>
      <w:r>
        <w:rPr>
          <w:rFonts w:ascii="Arial"/>
          <w:color w:val="231F1F"/>
          <w:spacing w:val="-29"/>
          <w:w w:val="215"/>
          <w:position w:val="1"/>
          <w:sz w:val="7"/>
        </w:rPr>
        <w:t> </w:t>
      </w:r>
      <w:r>
        <w:rPr>
          <w:rFonts w:ascii="Calibri"/>
          <w:color w:val="231F1F"/>
          <w:w w:val="115"/>
        </w:rPr>
        <w:t>Anxiolytics</w:t>
      </w:r>
      <w:r>
        <w:rPr>
          <w:rFonts w:ascii="Calibri"/>
          <w:color w:val="231F1F"/>
          <w:spacing w:val="-21"/>
          <w:w w:val="115"/>
        </w:rPr>
        <w:t> </w:t>
      </w:r>
      <w:r>
        <w:rPr>
          <w:rFonts w:ascii="Calibri"/>
          <w:color w:val="231F1F"/>
          <w:w w:val="115"/>
        </w:rPr>
        <w:t>and</w:t>
      </w:r>
      <w:r>
        <w:rPr>
          <w:rFonts w:ascii="Calibri"/>
          <w:color w:val="231F1F"/>
          <w:spacing w:val="-20"/>
          <w:w w:val="115"/>
        </w:rPr>
        <w:t> </w:t>
      </w:r>
      <w:r>
        <w:rPr>
          <w:rFonts w:ascii="Calibri"/>
          <w:color w:val="231F1F"/>
          <w:w w:val="115"/>
        </w:rPr>
        <w:t>Hypnotics:</w:t>
      </w:r>
      <w:r>
        <w:rPr>
          <w:rFonts w:ascii="Calibri"/>
          <w:color w:val="231F1F"/>
          <w:spacing w:val="-21"/>
          <w:w w:val="115"/>
        </w:rPr>
        <w:t> </w:t>
      </w:r>
      <w:r>
        <w:rPr>
          <w:color w:val="231F1F"/>
          <w:w w:val="115"/>
        </w:rPr>
        <w:t>crizotinib</w:t>
      </w:r>
      <w:r>
        <w:rPr>
          <w:color w:val="231F1F"/>
          <w:spacing w:val="-24"/>
          <w:w w:val="115"/>
        </w:rPr>
        <w:t> </w:t>
      </w:r>
      <w:r>
        <w:rPr>
          <w:color w:val="231F1F"/>
          <w:w w:val="115"/>
        </w:rPr>
        <w:t>increases</w:t>
      </w:r>
      <w:r>
        <w:rPr>
          <w:color w:val="231F1F"/>
          <w:spacing w:val="-24"/>
          <w:w w:val="115"/>
        </w:rPr>
        <w:t>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MIDAZOLAM</w:t>
      </w:r>
    </w:p>
    <w:p>
      <w:pPr>
        <w:pStyle w:val="BodyText"/>
        <w:spacing w:line="22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possible increased risk of bradycardia when crizotinib given with </w:t>
      </w:r>
      <w:r>
        <w:rPr>
          <w:rFonts w:ascii="Calibri" w:hAnsi="Calibri"/>
          <w:color w:val="008356"/>
          <w:w w:val="105"/>
          <w:sz w:val="11"/>
        </w:rPr>
        <w:t>BETA-BLOCKERS</w:t>
      </w:r>
    </w:p>
    <w:p>
      <w:pPr>
        <w:pStyle w:val="BodyText"/>
        <w:spacing w:line="237" w:lineRule="auto"/>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possible increased risk of bradycardia when crizotinib given with </w:t>
      </w:r>
      <w:r>
        <w:rPr>
          <w:rFonts w:ascii="Calibri" w:hAnsi="Calibri"/>
          <w:color w:val="008356"/>
          <w:w w:val="105"/>
          <w:sz w:val="11"/>
        </w:rPr>
        <w:t>DILTIAZEM </w:t>
      </w:r>
      <w:r>
        <w:rPr>
          <w:color w:val="231F1F"/>
          <w:w w:val="105"/>
        </w:rPr>
        <w:t>or </w:t>
      </w:r>
      <w:r>
        <w:rPr>
          <w:rFonts w:ascii="Calibri" w:hAnsi="Calibri"/>
          <w:color w:val="008356"/>
          <w:w w:val="105"/>
          <w:sz w:val="11"/>
        </w:rPr>
        <w:t>VERAPAMIL</w:t>
      </w:r>
    </w:p>
    <w:p>
      <w:pPr>
        <w:pStyle w:val="BodyText"/>
        <w:spacing w:line="220" w:lineRule="auto" w:before="7"/>
        <w:ind w:right="597" w:hanging="100"/>
        <w:rPr>
          <w:rFonts w:ascii="Calibri" w:hAnsi="Calibri"/>
          <w:sz w:val="11"/>
        </w:rPr>
      </w:pPr>
      <w:r>
        <w:rPr>
          <w:rFonts w:ascii="Lucida Sans Unicode" w:hAnsi="Lucida Sans Unicode"/>
          <w:color w:val="A7A8AC"/>
          <w:w w:val="95"/>
          <w:sz w:val="10"/>
        </w:rPr>
        <w:t>▶ </w:t>
      </w:r>
      <w:r>
        <w:rPr>
          <w:rFonts w:ascii="Calibri" w:hAnsi="Calibri"/>
          <w:color w:val="231F1F"/>
          <w:w w:val="110"/>
        </w:rPr>
        <w:t>Cardiac Glycosides: </w:t>
      </w:r>
      <w:r>
        <w:rPr>
          <w:color w:val="231F1F"/>
          <w:w w:val="110"/>
        </w:rPr>
        <w:t>possible increased risk of bradycardia when crizotinib given with </w:t>
      </w:r>
      <w:r>
        <w:rPr>
          <w:rFonts w:ascii="Calibri" w:hAnsi="Calibri"/>
          <w:color w:val="008356"/>
          <w:w w:val="110"/>
          <w:sz w:val="11"/>
        </w:rPr>
        <w:t>DIGOXIN</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manufacturer of crizotinib advises caution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possible increased risk of bradycardia when crizotinib given with </w:t>
      </w:r>
      <w:r>
        <w:rPr>
          <w:rFonts w:ascii="Calibri" w:hAnsi="Calibri"/>
          <w:color w:val="008356"/>
          <w:w w:val="110"/>
          <w:sz w:val="11"/>
        </w:rPr>
        <w:t>CLONIDINE</w:t>
      </w:r>
    </w:p>
    <w:p>
      <w:pPr>
        <w:pStyle w:val="BodyText"/>
        <w:ind w:right="740" w:hanging="100"/>
      </w:pPr>
      <w:r>
        <w:rPr>
          <w:rFonts w:ascii="Arial" w:hAnsi="Arial"/>
          <w:color w:val="231F1F"/>
          <w:w w:val="355"/>
          <w:position w:val="1"/>
          <w:sz w:val="7"/>
        </w:rPr>
        <w:t>l </w:t>
      </w:r>
      <w:r>
        <w:rPr>
          <w:rFonts w:ascii="Calibri" w:hAnsi="Calibri"/>
          <w:color w:val="231F1F"/>
          <w:w w:val="115"/>
        </w:rPr>
        <w:t>Cytotoxics: </w:t>
      </w:r>
      <w:r>
        <w:rPr>
          <w:color w:val="231F1F"/>
          <w:w w:val="115"/>
        </w:rPr>
        <w:t>crizotinib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w:t>
      </w:r>
      <w:r>
        <w:rPr>
          <w:color w:val="231F1F"/>
          <w:spacing w:val="-3"/>
          <w:w w:val="115"/>
        </w:rPr>
        <w:t>(see </w:t>
      </w:r>
      <w:r>
        <w:rPr>
          <w:color w:val="231F1F"/>
          <w:w w:val="115"/>
        </w:rPr>
        <w:t>under Ibrutinib, p. 809)</w:t>
      </w:r>
    </w:p>
    <w:p>
      <w:pPr>
        <w:spacing w:before="1"/>
        <w:ind w:left="208" w:right="893" w:hanging="100"/>
        <w:jc w:val="left"/>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sz w:val="12"/>
        </w:rPr>
        <w:t>Ergot</w:t>
      </w:r>
      <w:r>
        <w:rPr>
          <w:rFonts w:ascii="Calibri"/>
          <w:color w:val="231F1F"/>
          <w:spacing w:val="-14"/>
          <w:w w:val="115"/>
          <w:sz w:val="12"/>
        </w:rPr>
        <w:t> </w:t>
      </w:r>
      <w:r>
        <w:rPr>
          <w:rFonts w:ascii="Calibri"/>
          <w:color w:val="231F1F"/>
          <w:w w:val="115"/>
          <w:sz w:val="12"/>
        </w:rPr>
        <w:t>Alkaloids:</w:t>
      </w:r>
      <w:r>
        <w:rPr>
          <w:rFonts w:ascii="Calibri"/>
          <w:color w:val="231F1F"/>
          <w:spacing w:val="-14"/>
          <w:w w:val="115"/>
          <w:sz w:val="12"/>
        </w:rPr>
        <w:t> </w:t>
      </w:r>
      <w:r>
        <w:rPr>
          <w:color w:val="231F1F"/>
          <w:w w:val="115"/>
          <w:sz w:val="12"/>
        </w:rPr>
        <w:t>manufacturer</w:t>
      </w:r>
      <w:r>
        <w:rPr>
          <w:color w:val="231F1F"/>
          <w:spacing w:val="-17"/>
          <w:w w:val="115"/>
          <w:sz w:val="12"/>
        </w:rPr>
        <w:t> </w:t>
      </w:r>
      <w:r>
        <w:rPr>
          <w:color w:val="231F1F"/>
          <w:w w:val="115"/>
          <w:sz w:val="12"/>
        </w:rPr>
        <w:t>of</w:t>
      </w:r>
      <w:r>
        <w:rPr>
          <w:color w:val="231F1F"/>
          <w:spacing w:val="-17"/>
          <w:w w:val="115"/>
          <w:sz w:val="12"/>
        </w:rPr>
        <w:t> </w:t>
      </w:r>
      <w:r>
        <w:rPr>
          <w:color w:val="231F1F"/>
          <w:w w:val="115"/>
          <w:sz w:val="12"/>
        </w:rPr>
        <w:t>crizotinib</w:t>
      </w:r>
      <w:r>
        <w:rPr>
          <w:color w:val="231F1F"/>
          <w:spacing w:val="-17"/>
          <w:w w:val="115"/>
          <w:sz w:val="12"/>
        </w:rPr>
        <w:t> </w:t>
      </w:r>
      <w:r>
        <w:rPr>
          <w:color w:val="231F1F"/>
          <w:w w:val="115"/>
          <w:sz w:val="12"/>
        </w:rPr>
        <w:t>advises</w:t>
      </w:r>
      <w:r>
        <w:rPr>
          <w:color w:val="231F1F"/>
          <w:spacing w:val="-17"/>
          <w:w w:val="115"/>
          <w:sz w:val="12"/>
        </w:rPr>
        <w:t> </w:t>
      </w:r>
      <w:r>
        <w:rPr>
          <w:color w:val="231F1F"/>
          <w:w w:val="115"/>
          <w:sz w:val="12"/>
        </w:rPr>
        <w:t>caution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ERGOT </w:t>
      </w:r>
      <w:r>
        <w:rPr>
          <w:rFonts w:ascii="Calibri"/>
          <w:color w:val="008356"/>
          <w:spacing w:val="4"/>
          <w:w w:val="115"/>
          <w:sz w:val="11"/>
        </w:rPr>
        <w:t>ALKALOIDS</w:t>
      </w:r>
    </w:p>
    <w:p>
      <w:pPr>
        <w:spacing w:after="0"/>
        <w:jc w:val="left"/>
        <w:rPr>
          <w:rFonts w:ascii="Calibri"/>
          <w:sz w:val="11"/>
        </w:rPr>
        <w:sectPr>
          <w:pgSz w:w="8390" w:h="11910"/>
          <w:pgMar w:header="0" w:footer="0" w:top="460" w:bottom="0" w:left="480" w:right="0"/>
          <w:cols w:num="2" w:equalWidth="0">
            <w:col w:w="3604" w:space="72"/>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3280" filled="true" fillcolor="#bfdbcf" stroked="false">
            <v:fill type="solid"/>
            <w10:wrap type="none"/>
          </v:rect>
        </w:pict>
      </w:r>
      <w:r>
        <w:rPr/>
        <w:pict>
          <v:shape style="position:absolute;margin-left:7.751256pt;margin-top:35.804367pt;width:10.4pt;height:78.850pt;mso-position-horizontal-relative:page;mso-position-vertical-relative:page;z-index:330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Crizotinib </w:t>
      </w:r>
      <w:r>
        <w:rPr>
          <w:rFonts w:ascii="Calibri"/>
          <w:color w:val="231F1F"/>
        </w:rPr>
        <w:t>(continued)</w:t>
      </w:r>
    </w:p>
    <w:p>
      <w:pPr>
        <w:pStyle w:val="BodyText"/>
        <w:ind w:left="286" w:right="5" w:hanging="100"/>
      </w:pPr>
      <w:r>
        <w:rPr>
          <w:rFonts w:ascii="Arial" w:hAnsi="Arial"/>
          <w:color w:val="231F1F"/>
          <w:w w:val="115"/>
          <w:position w:val="1"/>
          <w:sz w:val="7"/>
        </w:rPr>
        <w:t>l </w:t>
      </w:r>
      <w:r>
        <w:rPr>
          <w:rFonts w:ascii="Calibri" w:hAnsi="Calibri"/>
          <w:color w:val="231F1F"/>
          <w:w w:val="115"/>
        </w:rPr>
        <w:t>Grapefruit Juice: </w:t>
      </w:r>
      <w:r>
        <w:rPr>
          <w:color w:val="231F1F"/>
          <w:w w:val="115"/>
        </w:rPr>
        <w:t>plasma concentration of crizotinib possibly increased by </w:t>
      </w:r>
      <w:r>
        <w:rPr>
          <w:rFonts w:ascii="Arial" w:hAnsi="Arial"/>
          <w:color w:val="231F1F"/>
          <w:w w:val="115"/>
          <w:position w:val="1"/>
          <w:sz w:val="7"/>
        </w:rPr>
        <w:t>l </w:t>
      </w:r>
      <w:r>
        <w:rPr>
          <w:rFonts w:ascii="Calibri" w:hAnsi="Calibri"/>
          <w:color w:val="008356"/>
          <w:w w:val="115"/>
          <w:sz w:val="11"/>
        </w:rPr>
        <w:t>GRAPEFRUIT JUICE</w:t>
      </w:r>
      <w:r>
        <w:rPr>
          <w:rFonts w:ascii="Arial" w:hAnsi="Arial"/>
          <w:color w:val="231F1F"/>
          <w:w w:val="115"/>
        </w:rPr>
        <w:t>—</w:t>
      </w:r>
      <w:r>
        <w:rPr>
          <w:color w:val="231F1F"/>
          <w:w w:val="115"/>
        </w:rPr>
        <w:t>manufacturer of crizotinib </w:t>
      </w:r>
      <w:r>
        <w:rPr>
          <w:color w:val="231F1F"/>
          <w:w w:val="120"/>
        </w:rPr>
        <w:t>advises avoid concomitant use</w:t>
      </w:r>
    </w:p>
    <w:p>
      <w:pPr>
        <w:pStyle w:val="BodyText"/>
        <w:ind w:left="286" w:hanging="100"/>
      </w:pPr>
      <w:r>
        <w:rPr>
          <w:rFonts w:ascii="Arial"/>
          <w:color w:val="231F1F"/>
          <w:w w:val="355"/>
          <w:position w:val="1"/>
          <w:sz w:val="7"/>
        </w:rPr>
        <w:t>l </w:t>
      </w:r>
      <w:r>
        <w:rPr>
          <w:rFonts w:ascii="Calibri"/>
          <w:color w:val="231F1F"/>
          <w:w w:val="110"/>
        </w:rPr>
        <w:t>Oestrogens: </w:t>
      </w:r>
      <w:r>
        <w:rPr>
          <w:color w:val="231F1F"/>
          <w:w w:val="110"/>
        </w:rPr>
        <w:t>manufacturer of crizotinib advises </w:t>
      </w:r>
      <w:r>
        <w:rPr>
          <w:color w:val="231F1F"/>
          <w:spacing w:val="-3"/>
          <w:w w:val="110"/>
        </w:rPr>
        <w:t>contraceptive </w:t>
      </w:r>
      <w:r>
        <w:rPr>
          <w:color w:val="231F1F"/>
          <w:w w:val="110"/>
        </w:rPr>
        <w:t>effect 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OESTROGENS </w:t>
      </w:r>
      <w:r>
        <w:rPr>
          <w:color w:val="231F1F"/>
          <w:w w:val="110"/>
        </w:rPr>
        <w:t>possibly reduced</w:t>
      </w:r>
    </w:p>
    <w:p>
      <w:pPr>
        <w:pStyle w:val="BodyText"/>
        <w:spacing w:line="220" w:lineRule="auto" w:before="5"/>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Parasympathomimetics: </w:t>
      </w:r>
      <w:r>
        <w:rPr>
          <w:color w:val="231F1F"/>
          <w:w w:val="105"/>
        </w:rPr>
        <w:t>possible increased risk of bradycardia when crizotinib given with</w:t>
      </w:r>
      <w:r>
        <w:rPr>
          <w:color w:val="231F1F"/>
          <w:spacing w:val="5"/>
          <w:w w:val="105"/>
        </w:rPr>
        <w:t> </w:t>
      </w:r>
      <w:r>
        <w:rPr>
          <w:rFonts w:ascii="Calibri" w:hAnsi="Calibri"/>
          <w:color w:val="008356"/>
          <w:spacing w:val="4"/>
          <w:w w:val="105"/>
          <w:sz w:val="11"/>
        </w:rPr>
        <w:t>PILOCARPINE</w:t>
      </w:r>
    </w:p>
    <w:p>
      <w:pPr>
        <w:pStyle w:val="BodyText"/>
        <w:ind w:left="286" w:right="85" w:hanging="100"/>
      </w:pPr>
      <w:r>
        <w:rPr>
          <w:rFonts w:ascii="Arial"/>
          <w:color w:val="231F1F"/>
          <w:w w:val="355"/>
          <w:position w:val="1"/>
          <w:sz w:val="7"/>
        </w:rPr>
        <w:t>l </w:t>
      </w:r>
      <w:r>
        <w:rPr>
          <w:rFonts w:ascii="Calibri"/>
          <w:color w:val="231F1F"/>
          <w:w w:val="110"/>
        </w:rPr>
        <w:t>Progestogens: </w:t>
      </w:r>
      <w:r>
        <w:rPr>
          <w:color w:val="231F1F"/>
          <w:w w:val="110"/>
        </w:rPr>
        <w:t>manufacturer of crizotinib advises contraceptive effect of </w:t>
      </w:r>
      <w:r>
        <w:rPr>
          <w:rFonts w:ascii="Arial"/>
          <w:color w:val="231F1F"/>
          <w:w w:val="355"/>
          <w:position w:val="1"/>
          <w:sz w:val="7"/>
        </w:rPr>
        <w:t>l </w:t>
      </w:r>
      <w:r>
        <w:rPr>
          <w:rFonts w:ascii="Calibri"/>
          <w:color w:val="008356"/>
          <w:w w:val="110"/>
          <w:sz w:val="11"/>
        </w:rPr>
        <w:t>PROGESTOGENS </w:t>
      </w:r>
      <w:r>
        <w:rPr>
          <w:color w:val="231F1F"/>
          <w:w w:val="110"/>
        </w:rPr>
        <w:t>possibly reduced</w:t>
      </w:r>
    </w:p>
    <w:p>
      <w:pPr>
        <w:pStyle w:val="BodyText"/>
        <w:spacing w:line="144" w:lineRule="exact"/>
        <w:ind w:left="186"/>
      </w:pPr>
      <w:r>
        <w:rPr>
          <w:rFonts w:ascii="Arial"/>
          <w:color w:val="231F1F"/>
          <w:w w:val="355"/>
          <w:position w:val="1"/>
          <w:sz w:val="7"/>
        </w:rPr>
        <w:t>l </w:t>
      </w:r>
      <w:r>
        <w:rPr>
          <w:rFonts w:ascii="Calibri"/>
          <w:color w:val="231F1F"/>
          <w:w w:val="115"/>
        </w:rPr>
        <w:t>Sirolimus: </w:t>
      </w:r>
      <w:r>
        <w:rPr>
          <w:color w:val="231F1F"/>
          <w:w w:val="115"/>
        </w:rPr>
        <w:t>manufacturer of crizotinib advises caution with</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SIROLIMUS</w:t>
      </w:r>
    </w:p>
    <w:p>
      <w:pPr>
        <w:pStyle w:val="BodyText"/>
        <w:spacing w:line="145" w:lineRule="exact"/>
        <w:ind w:left="186"/>
      </w:pPr>
      <w:r>
        <w:rPr>
          <w:rFonts w:ascii="Arial"/>
          <w:color w:val="231F1F"/>
          <w:w w:val="355"/>
          <w:position w:val="1"/>
          <w:sz w:val="7"/>
        </w:rPr>
        <w:t>l </w:t>
      </w:r>
      <w:r>
        <w:rPr>
          <w:rFonts w:ascii="Calibri"/>
          <w:color w:val="231F1F"/>
          <w:w w:val="115"/>
        </w:rPr>
        <w:t>Tacrolimus: </w:t>
      </w:r>
      <w:r>
        <w:rPr>
          <w:color w:val="231F1F"/>
          <w:w w:val="115"/>
        </w:rPr>
        <w:t>manufacturer of crizotinib advises caution with</w:t>
      </w:r>
    </w:p>
    <w:p>
      <w:pPr>
        <w:spacing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256" w:lineRule="auto" w:before="7"/>
        <w:ind w:left="186" w:right="1081" w:hanging="1"/>
        <w:rPr>
          <w:rFonts w:ascii="Trebuchet MS"/>
        </w:rPr>
      </w:pPr>
      <w:r>
        <w:rPr>
          <w:rFonts w:ascii="Trebuchet MS"/>
          <w:color w:val="008356"/>
          <w:w w:val="105"/>
        </w:rPr>
        <w:t>Cyclizine </w:t>
      </w:r>
      <w:r>
        <w:rPr>
          <w:i/>
          <w:color w:val="231F1F"/>
          <w:w w:val="105"/>
        </w:rPr>
        <w:t>see </w:t>
      </w:r>
      <w:r>
        <w:rPr>
          <w:color w:val="231F1F"/>
          <w:w w:val="105"/>
        </w:rPr>
        <w:t>Antihistamines </w:t>
      </w:r>
      <w:r>
        <w:rPr>
          <w:rFonts w:ascii="Trebuchet MS"/>
          <w:color w:val="008356"/>
          <w:w w:val="105"/>
        </w:rPr>
        <w:t>Cyclopenthiazide </w:t>
      </w:r>
      <w:r>
        <w:rPr>
          <w:i/>
          <w:color w:val="231F1F"/>
          <w:w w:val="105"/>
        </w:rPr>
        <w:t>see </w:t>
      </w:r>
      <w:r>
        <w:rPr>
          <w:color w:val="231F1F"/>
          <w:w w:val="105"/>
        </w:rPr>
        <w:t>Diuretics </w:t>
      </w:r>
      <w:r>
        <w:rPr>
          <w:rFonts w:ascii="Trebuchet MS"/>
          <w:color w:val="008356"/>
          <w:w w:val="105"/>
        </w:rPr>
        <w:t>Cyclopentolate </w:t>
      </w:r>
      <w:r>
        <w:rPr>
          <w:i/>
          <w:color w:val="231F1F"/>
          <w:w w:val="105"/>
        </w:rPr>
        <w:t>see </w:t>
      </w:r>
      <w:r>
        <w:rPr>
          <w:color w:val="231F1F"/>
          <w:w w:val="105"/>
        </w:rPr>
        <w:t>Antimuscarinics </w:t>
      </w:r>
      <w:r>
        <w:rPr>
          <w:rFonts w:ascii="Trebuchet MS"/>
          <w:color w:val="008356"/>
          <w:w w:val="105"/>
        </w:rPr>
        <w:t>Cyclophosphamide</w:t>
      </w:r>
    </w:p>
    <w:p>
      <w:pPr>
        <w:spacing w:line="220" w:lineRule="auto" w:before="1"/>
        <w:ind w:left="286" w:right="13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Antifungals: </w:t>
      </w:r>
      <w:r>
        <w:rPr>
          <w:color w:val="231F1F"/>
          <w:w w:val="105"/>
          <w:sz w:val="12"/>
        </w:rPr>
        <w:t>side-effects of cyclophosphamide possibly increased by </w:t>
      </w:r>
      <w:r>
        <w:rPr>
          <w:rFonts w:ascii="Calibri" w:hAnsi="Calibri"/>
          <w:color w:val="008356"/>
          <w:w w:val="105"/>
          <w:sz w:val="11"/>
        </w:rPr>
        <w:t>FLUCONAZOLE </w:t>
      </w:r>
      <w:r>
        <w:rPr>
          <w:color w:val="231F1F"/>
          <w:w w:val="105"/>
          <w:sz w:val="12"/>
        </w:rPr>
        <w:t>and </w:t>
      </w:r>
      <w:r>
        <w:rPr>
          <w:rFonts w:ascii="Calibri" w:hAnsi="Calibri"/>
          <w:color w:val="008356"/>
          <w:w w:val="105"/>
          <w:sz w:val="11"/>
        </w:rPr>
        <w:t>ITRACONAZOLE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left="286" w:hanging="100"/>
        <w:rPr>
          <w:i/>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cyclophosphamide possibly reduces absorption of </w:t>
      </w:r>
      <w:r>
        <w:rPr>
          <w:rFonts w:ascii="Calibri" w:hAnsi="Calibri"/>
          <w:color w:val="008356"/>
          <w:w w:val="105"/>
          <w:sz w:val="11"/>
        </w:rPr>
        <w:t>DIGOXIN </w:t>
      </w:r>
      <w:r>
        <w:rPr>
          <w:i/>
          <w:color w:val="231F1F"/>
          <w:w w:val="105"/>
        </w:rPr>
        <w:t>tablets</w:t>
      </w:r>
    </w:p>
    <w:p>
      <w:pPr>
        <w:pStyle w:val="BodyText"/>
        <w:ind w:left="286" w:right="464" w:hanging="100"/>
      </w:pPr>
      <w:r>
        <w:rPr>
          <w:rFonts w:ascii="Arial" w:hAnsi="Arial"/>
          <w:color w:val="231F1F"/>
          <w:w w:val="355"/>
          <w:position w:val="1"/>
          <w:sz w:val="7"/>
        </w:rPr>
        <w:t>l </w:t>
      </w:r>
      <w:r>
        <w:rPr>
          <w:rFonts w:ascii="Calibri" w:hAnsi="Calibri"/>
          <w:color w:val="231F1F"/>
          <w:w w:val="110"/>
        </w:rPr>
        <w:t>Cytotoxics: </w:t>
      </w:r>
      <w:r>
        <w:rPr>
          <w:color w:val="231F1F"/>
          <w:w w:val="110"/>
        </w:rPr>
        <w:t>increased toxicity when high-dose cyclophosphamide given with </w:t>
      </w:r>
      <w:r>
        <w:rPr>
          <w:rFonts w:ascii="Arial" w:hAnsi="Arial"/>
          <w:color w:val="231F1F"/>
          <w:w w:val="355"/>
          <w:position w:val="1"/>
          <w:sz w:val="7"/>
        </w:rPr>
        <w:t>l </w:t>
      </w:r>
      <w:r>
        <w:rPr>
          <w:rFonts w:ascii="Calibri" w:hAnsi="Calibri"/>
          <w:color w:val="008356"/>
          <w:w w:val="110"/>
          <w:sz w:val="11"/>
        </w:rPr>
        <w:t>PENTOSTATIN</w:t>
      </w:r>
      <w:r>
        <w:rPr>
          <w:rFonts w:ascii="Arial" w:hAnsi="Arial"/>
          <w:color w:val="231F1F"/>
          <w:w w:val="110"/>
        </w:rPr>
        <w:t>—</w:t>
      </w:r>
      <w:r>
        <w:rPr>
          <w:color w:val="231F1F"/>
          <w:w w:val="110"/>
        </w:rPr>
        <w:t>avoid concomitant use</w:t>
      </w:r>
    </w:p>
    <w:p>
      <w:pPr>
        <w:pStyle w:val="BodyText"/>
        <w:spacing w:line="156" w:lineRule="exact" w:before="1"/>
        <w:ind w:left="186"/>
      </w:pPr>
      <w:r>
        <w:rPr>
          <w:rFonts w:ascii="Lucida Sans Unicode" w:hAnsi="Lucida Sans Unicode"/>
          <w:color w:val="A7A8AC"/>
          <w:w w:val="95"/>
          <w:sz w:val="10"/>
        </w:rPr>
        <w:t>▶ </w:t>
      </w:r>
      <w:r>
        <w:rPr>
          <w:rFonts w:ascii="Calibri" w:hAnsi="Calibri"/>
          <w:color w:val="231F1F"/>
        </w:rPr>
        <w:t>Muscle Relaxants: </w:t>
      </w:r>
      <w:r>
        <w:rPr>
          <w:color w:val="231F1F"/>
        </w:rPr>
        <w:t>cyclophosphamide enhances effects of</w:t>
      </w:r>
    </w:p>
    <w:p>
      <w:pPr>
        <w:spacing w:line="132" w:lineRule="exact" w:before="0"/>
        <w:ind w:left="286" w:right="0" w:firstLine="0"/>
        <w:jc w:val="left"/>
        <w:rPr>
          <w:rFonts w:ascii="Calibri"/>
          <w:sz w:val="11"/>
        </w:rPr>
      </w:pPr>
      <w:r>
        <w:rPr>
          <w:rFonts w:ascii="Calibri"/>
          <w:color w:val="008356"/>
          <w:sz w:val="11"/>
        </w:rPr>
        <w:t>SUXAMETHONIUM</w:t>
      </w:r>
    </w:p>
    <w:p>
      <w:pPr>
        <w:pStyle w:val="BodyText"/>
        <w:spacing w:line="139" w:lineRule="exact" w:before="8"/>
        <w:ind w:left="186"/>
        <w:rPr>
          <w:rFonts w:ascii="Trebuchet MS"/>
        </w:rPr>
      </w:pPr>
      <w:r>
        <w:rPr>
          <w:rFonts w:ascii="Trebuchet MS"/>
          <w:color w:val="008356"/>
        </w:rPr>
        <w:t>Cycloserine</w:t>
      </w:r>
    </w:p>
    <w:p>
      <w:pPr>
        <w:pStyle w:val="BodyText"/>
        <w:ind w:left="286" w:right="31" w:hanging="100"/>
        <w:rPr>
          <w:rFonts w:ascii="Calibri"/>
          <w:sz w:val="11"/>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Alcohol:</w:t>
      </w:r>
      <w:r>
        <w:rPr>
          <w:rFonts w:ascii="Calibri"/>
          <w:color w:val="231F1F"/>
          <w:spacing w:val="-12"/>
          <w:w w:val="115"/>
        </w:rPr>
        <w:t> </w:t>
      </w:r>
      <w:r>
        <w:rPr>
          <w:color w:val="231F1F"/>
          <w:w w:val="115"/>
        </w:rPr>
        <w:t>increased</w:t>
      </w:r>
      <w:r>
        <w:rPr>
          <w:color w:val="231F1F"/>
          <w:spacing w:val="-16"/>
          <w:w w:val="115"/>
        </w:rPr>
        <w:t> </w:t>
      </w:r>
      <w:r>
        <w:rPr>
          <w:color w:val="231F1F"/>
          <w:w w:val="115"/>
        </w:rPr>
        <w:t>risk</w:t>
      </w:r>
      <w:r>
        <w:rPr>
          <w:color w:val="231F1F"/>
          <w:spacing w:val="-15"/>
          <w:w w:val="115"/>
        </w:rPr>
        <w:t> </w:t>
      </w:r>
      <w:r>
        <w:rPr>
          <w:color w:val="231F1F"/>
          <w:w w:val="115"/>
        </w:rPr>
        <w:t>of</w:t>
      </w:r>
      <w:r>
        <w:rPr>
          <w:color w:val="231F1F"/>
          <w:spacing w:val="-15"/>
          <w:w w:val="115"/>
        </w:rPr>
        <w:t> </w:t>
      </w:r>
      <w:r>
        <w:rPr>
          <w:color w:val="231F1F"/>
          <w:w w:val="115"/>
        </w:rPr>
        <w:t>convulsions</w:t>
      </w:r>
      <w:r>
        <w:rPr>
          <w:color w:val="231F1F"/>
          <w:spacing w:val="-16"/>
          <w:w w:val="115"/>
        </w:rPr>
        <w:t> </w:t>
      </w:r>
      <w:r>
        <w:rPr>
          <w:color w:val="231F1F"/>
          <w:w w:val="115"/>
        </w:rPr>
        <w:t>when</w:t>
      </w:r>
      <w:r>
        <w:rPr>
          <w:color w:val="231F1F"/>
          <w:spacing w:val="-15"/>
          <w:w w:val="115"/>
        </w:rPr>
        <w:t> </w:t>
      </w:r>
      <w:r>
        <w:rPr>
          <w:color w:val="231F1F"/>
          <w:w w:val="115"/>
        </w:rPr>
        <w:t>cycloserine</w:t>
      </w:r>
      <w:r>
        <w:rPr>
          <w:color w:val="231F1F"/>
          <w:spacing w:val="-16"/>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ALCOHOL</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increased risk of CNS toxicity when cycloserine given with </w:t>
      </w:r>
      <w:r>
        <w:rPr>
          <w:rFonts w:ascii="Calibri" w:hAnsi="Calibri"/>
          <w:color w:val="008356"/>
          <w:w w:val="105"/>
          <w:sz w:val="11"/>
        </w:rPr>
        <w:t>ISONIAZID</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pPr>
      <w:r>
        <w:rPr>
          <w:rFonts w:ascii="Trebuchet MS"/>
          <w:color w:val="008356"/>
          <w:w w:val="105"/>
        </w:rPr>
        <w:t>Cyproheptadine </w:t>
      </w:r>
      <w:r>
        <w:rPr>
          <w:i/>
          <w:color w:val="231F1F"/>
          <w:w w:val="105"/>
        </w:rPr>
        <w:t>see </w:t>
      </w:r>
      <w:r>
        <w:rPr>
          <w:color w:val="231F1F"/>
          <w:w w:val="105"/>
        </w:rPr>
        <w:t>Antihistamines</w:t>
      </w:r>
    </w:p>
    <w:p>
      <w:pPr>
        <w:pStyle w:val="BodyText"/>
        <w:spacing w:before="10"/>
        <w:ind w:left="186"/>
        <w:rPr>
          <w:rFonts w:ascii="Trebuchet MS"/>
        </w:rPr>
      </w:pPr>
      <w:r>
        <w:rPr>
          <w:rFonts w:ascii="Trebuchet MS"/>
          <w:color w:val="008356"/>
        </w:rPr>
        <w:t>Cytarabine</w:t>
      </w:r>
    </w:p>
    <w:p>
      <w:pPr>
        <w:pStyle w:val="BodyText"/>
        <w:spacing w:line="220" w:lineRule="auto" w:before="10"/>
        <w:ind w:left="286" w:right="23"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cytarabine possibly  reduces  plasma  </w:t>
      </w:r>
      <w:r>
        <w:rPr>
          <w:color w:val="231F1F"/>
          <w:spacing w:val="-2"/>
          <w:w w:val="105"/>
        </w:rPr>
        <w:t>concentration </w:t>
      </w:r>
      <w:r>
        <w:rPr>
          <w:color w:val="231F1F"/>
          <w:w w:val="105"/>
        </w:rPr>
        <w:t>of </w:t>
      </w:r>
      <w:r>
        <w:rPr>
          <w:rFonts w:ascii="Calibri" w:hAnsi="Calibri"/>
          <w:color w:val="008356"/>
          <w:spacing w:val="4"/>
          <w:w w:val="105"/>
          <w:sz w:val="11"/>
        </w:rPr>
        <w:t>FLUCYTOSINE</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cytarabine possibly reduces absorption of</w:t>
      </w:r>
    </w:p>
    <w:p>
      <w:pPr>
        <w:spacing w:line="135" w:lineRule="exact" w:before="0"/>
        <w:ind w:left="286" w:right="0" w:firstLine="0"/>
        <w:jc w:val="left"/>
        <w:rPr>
          <w:i/>
          <w:sz w:val="12"/>
        </w:rPr>
      </w:pPr>
      <w:r>
        <w:rPr>
          <w:rFonts w:ascii="Calibri"/>
          <w:color w:val="008356"/>
          <w:spacing w:val="4"/>
          <w:w w:val="105"/>
          <w:sz w:val="11"/>
        </w:rPr>
        <w:t>DIGOXIN</w:t>
      </w:r>
      <w:r>
        <w:rPr>
          <w:rFonts w:ascii="Calibri"/>
          <w:color w:val="008356"/>
          <w:spacing w:val="-10"/>
          <w:w w:val="105"/>
          <w:sz w:val="11"/>
        </w:rPr>
        <w:t> </w:t>
      </w:r>
      <w:r>
        <w:rPr>
          <w:i/>
          <w:color w:val="231F1F"/>
          <w:w w:val="105"/>
          <w:sz w:val="12"/>
        </w:rPr>
        <w:t>tablets</w:t>
      </w:r>
    </w:p>
    <w:p>
      <w:pPr>
        <w:pStyle w:val="BodyText"/>
        <w:spacing w:line="220" w:lineRule="auto" w:before="7"/>
        <w:ind w:left="286" w:right="85"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intracellular  concentration of  cytarabine increased by </w:t>
      </w:r>
      <w:r>
        <w:rPr>
          <w:rFonts w:ascii="Calibri" w:hAnsi="Calibri"/>
          <w:color w:val="008356"/>
          <w:spacing w:val="4"/>
          <w:w w:val="105"/>
          <w:sz w:val="11"/>
        </w:rPr>
        <w:t>FLUDARABINE</w:t>
      </w:r>
    </w:p>
    <w:p>
      <w:pPr>
        <w:pStyle w:val="BodyText"/>
        <w:spacing w:before="9"/>
        <w:ind w:left="186"/>
      </w:pPr>
      <w:r>
        <w:rPr>
          <w:rFonts w:ascii="Trebuchet MS"/>
          <w:color w:val="008356"/>
          <w:w w:val="110"/>
        </w:rPr>
        <w:t>Cytotoxics </w:t>
      </w:r>
      <w:r>
        <w:rPr>
          <w:i/>
          <w:color w:val="231F1F"/>
          <w:w w:val="110"/>
        </w:rPr>
        <w:t>see </w:t>
      </w:r>
      <w:r>
        <w:rPr>
          <w:color w:val="231F1F"/>
          <w:w w:val="110"/>
        </w:rPr>
        <w:t>individual drugs</w:t>
      </w:r>
    </w:p>
    <w:p>
      <w:pPr>
        <w:pStyle w:val="BodyText"/>
        <w:spacing w:before="10"/>
        <w:ind w:left="186"/>
        <w:rPr>
          <w:rFonts w:ascii="Trebuchet MS"/>
        </w:rPr>
      </w:pPr>
      <w:r>
        <w:rPr>
          <w:rFonts w:ascii="Trebuchet MS"/>
          <w:color w:val="008356"/>
          <w:w w:val="105"/>
        </w:rPr>
        <w:t>Dabigatran</w:t>
      </w:r>
    </w:p>
    <w:p>
      <w:pPr>
        <w:pStyle w:val="BodyText"/>
        <w:spacing w:line="244" w:lineRule="auto" w:before="1"/>
        <w:ind w:left="286" w:right="147" w:hanging="100"/>
      </w:pPr>
      <w:r>
        <w:rPr>
          <w:rFonts w:ascii="Arial"/>
          <w:color w:val="231F1F"/>
          <w:w w:val="355"/>
          <w:position w:val="1"/>
          <w:sz w:val="7"/>
        </w:rPr>
        <w:t>l </w:t>
      </w:r>
      <w:r>
        <w:rPr>
          <w:rFonts w:ascii="Calibri"/>
          <w:color w:val="231F1F"/>
          <w:w w:val="110"/>
        </w:rPr>
        <w:t>Analgesics: </w:t>
      </w:r>
      <w:r>
        <w:rPr>
          <w:color w:val="231F1F"/>
          <w:w w:val="110"/>
        </w:rPr>
        <w:t>possible increased risk of bleeding when dabigatran given with </w:t>
      </w:r>
      <w:r>
        <w:rPr>
          <w:rFonts w:ascii="Arial"/>
          <w:color w:val="231F1F"/>
          <w:w w:val="355"/>
          <w:position w:val="1"/>
          <w:sz w:val="7"/>
        </w:rPr>
        <w:t>l </w:t>
      </w:r>
      <w:r>
        <w:rPr>
          <w:rFonts w:ascii="Calibri"/>
          <w:color w:val="008356"/>
          <w:spacing w:val="4"/>
          <w:w w:val="110"/>
          <w:sz w:val="11"/>
        </w:rPr>
        <w:t>NSAIDS</w:t>
      </w:r>
      <w:r>
        <w:rPr>
          <w:color w:val="231F1F"/>
          <w:spacing w:val="4"/>
          <w:w w:val="110"/>
        </w:rPr>
        <w:t>;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spacing w:val="4"/>
          <w:w w:val="110"/>
          <w:sz w:val="11"/>
        </w:rPr>
        <w:t>DICLOFENAC </w:t>
      </w:r>
      <w:r>
        <w:rPr>
          <w:color w:val="231F1F"/>
          <w:w w:val="110"/>
        </w:rPr>
        <w:t>(avoid concomitant use, including low-dose heparins); increased risk of haemorrhage when anticoagulants given with </w:t>
      </w:r>
      <w:r>
        <w:rPr>
          <w:rFonts w:ascii="Arial"/>
          <w:color w:val="231F1F"/>
          <w:w w:val="355"/>
          <w:position w:val="1"/>
          <w:sz w:val="7"/>
        </w:rPr>
        <w:t>l </w:t>
      </w:r>
      <w:r>
        <w:rPr>
          <w:rFonts w:ascii="Calibri"/>
          <w:color w:val="008356"/>
          <w:spacing w:val="4"/>
          <w:w w:val="110"/>
          <w:sz w:val="11"/>
        </w:rPr>
        <w:t>KETOROLAC </w:t>
      </w:r>
      <w:r>
        <w:rPr>
          <w:color w:val="231F1F"/>
          <w:w w:val="110"/>
        </w:rPr>
        <w:t>(avoid</w:t>
      </w:r>
      <w:r>
        <w:rPr>
          <w:color w:val="231F1F"/>
          <w:spacing w:val="-23"/>
          <w:w w:val="110"/>
        </w:rPr>
        <w:t> </w:t>
      </w:r>
      <w:r>
        <w:rPr>
          <w:color w:val="231F1F"/>
          <w:w w:val="110"/>
        </w:rPr>
        <w:t>concomitant use, including low-dose</w:t>
      </w:r>
      <w:r>
        <w:rPr>
          <w:color w:val="231F1F"/>
          <w:spacing w:val="-4"/>
          <w:w w:val="110"/>
        </w:rPr>
        <w:t> </w:t>
      </w:r>
      <w:r>
        <w:rPr>
          <w:color w:val="231F1F"/>
          <w:w w:val="110"/>
        </w:rPr>
        <w:t>heparins)</w:t>
      </w:r>
    </w:p>
    <w:p>
      <w:pPr>
        <w:pStyle w:val="BodyText"/>
        <w:ind w:left="286" w:right="76" w:hanging="100"/>
      </w:pPr>
      <w:r>
        <w:rPr>
          <w:rFonts w:ascii="Arial"/>
          <w:color w:val="231F1F"/>
          <w:w w:val="355"/>
          <w:position w:val="1"/>
          <w:sz w:val="7"/>
        </w:rPr>
        <w:t>l </w:t>
      </w:r>
      <w:r>
        <w:rPr>
          <w:rFonts w:ascii="Calibri"/>
          <w:color w:val="231F1F"/>
          <w:w w:val="115"/>
        </w:rPr>
        <w:t>Anti-arrhythmics: </w:t>
      </w:r>
      <w:r>
        <w:rPr>
          <w:color w:val="231F1F"/>
          <w:w w:val="115"/>
        </w:rPr>
        <w:t>plasma concentration of dabigatran increased</w:t>
      </w:r>
      <w:r>
        <w:rPr>
          <w:color w:val="231F1F"/>
          <w:spacing w:val="-25"/>
          <w:w w:val="115"/>
        </w:rPr>
        <w:t> </w:t>
      </w:r>
      <w:r>
        <w:rPr>
          <w:color w:val="231F1F"/>
          <w:w w:val="115"/>
        </w:rPr>
        <w:t>by</w:t>
      </w:r>
      <w:r>
        <w:rPr>
          <w:color w:val="231F1F"/>
          <w:spacing w:val="-24"/>
          <w:w w:val="115"/>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AMIODARONE</w:t>
      </w:r>
      <w:r>
        <w:rPr>
          <w:rFonts w:ascii="Calibri"/>
          <w:color w:val="008356"/>
          <w:spacing w:val="-16"/>
          <w:w w:val="115"/>
          <w:sz w:val="11"/>
        </w:rPr>
        <w:t> </w:t>
      </w:r>
      <w:r>
        <w:rPr>
          <w:color w:val="231F1F"/>
          <w:w w:val="115"/>
        </w:rPr>
        <w:t>(see</w:t>
      </w:r>
      <w:r>
        <w:rPr>
          <w:color w:val="231F1F"/>
          <w:spacing w:val="-25"/>
          <w:w w:val="115"/>
        </w:rPr>
        <w:t> </w:t>
      </w:r>
      <w:r>
        <w:rPr>
          <w:color w:val="231F1F"/>
          <w:w w:val="115"/>
        </w:rPr>
        <w:t>under</w:t>
      </w:r>
      <w:r>
        <w:rPr>
          <w:color w:val="231F1F"/>
          <w:spacing w:val="-24"/>
          <w:w w:val="115"/>
        </w:rPr>
        <w:t> </w:t>
      </w:r>
      <w:r>
        <w:rPr>
          <w:color w:val="231F1F"/>
          <w:w w:val="115"/>
        </w:rPr>
        <w:t>Dabigatran</w:t>
      </w:r>
      <w:r>
        <w:rPr>
          <w:color w:val="231F1F"/>
          <w:spacing w:val="-24"/>
          <w:w w:val="115"/>
        </w:rPr>
        <w:t> </w:t>
      </w:r>
      <w:r>
        <w:rPr>
          <w:color w:val="231F1F"/>
          <w:w w:val="115"/>
        </w:rPr>
        <w:t>Etexilate,</w:t>
      </w:r>
    </w:p>
    <w:p>
      <w:pPr>
        <w:pStyle w:val="BodyText"/>
        <w:ind w:left="286"/>
      </w:pPr>
      <w:r>
        <w:rPr>
          <w:color w:val="231F1F"/>
          <w:w w:val="115"/>
        </w:rPr>
        <w:t>p. 117); plasma concentration of dabigatran increased by</w:t>
      </w:r>
    </w:p>
    <w:p>
      <w:pPr>
        <w:spacing w:line="141" w:lineRule="exact" w:before="3"/>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DRONEDARONE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ind w:left="286" w:hanging="100"/>
      </w:pPr>
      <w:r>
        <w:rPr>
          <w:rFonts w:ascii="Arial" w:hAnsi="Arial"/>
          <w:color w:val="231F1F"/>
          <w:w w:val="355"/>
          <w:position w:val="1"/>
          <w:sz w:val="7"/>
        </w:rPr>
        <w:t>l </w:t>
      </w:r>
      <w:r>
        <w:rPr>
          <w:rFonts w:ascii="Calibri" w:hAnsi="Calibri"/>
          <w:color w:val="231F1F"/>
          <w:w w:val="115"/>
        </w:rPr>
        <w:t>Antibacterials: </w:t>
      </w:r>
      <w:r>
        <w:rPr>
          <w:color w:val="231F1F"/>
          <w:w w:val="115"/>
        </w:rPr>
        <w:t>possible increased risk of bleeding when </w:t>
      </w:r>
      <w:r>
        <w:rPr>
          <w:color w:val="231F1F"/>
          <w:w w:val="110"/>
        </w:rPr>
        <w:t>dabigatran given with </w:t>
      </w:r>
      <w:r>
        <w:rPr>
          <w:rFonts w:ascii="Calibri" w:hAnsi="Calibri"/>
          <w:color w:val="008356"/>
          <w:w w:val="110"/>
          <w:sz w:val="11"/>
        </w:rPr>
        <w:t>CLARITHROMYCIN</w:t>
      </w:r>
      <w:r>
        <w:rPr>
          <w:color w:val="231F1F"/>
          <w:w w:val="110"/>
        </w:rPr>
        <w:t>; plasma concentration </w:t>
      </w:r>
      <w:r>
        <w:rPr>
          <w:color w:val="231F1F"/>
          <w:w w:val="115"/>
        </w:rPr>
        <w:t>of dabigatran reduced by </w:t>
      </w:r>
      <w:r>
        <w:rPr>
          <w:rFonts w:ascii="Arial" w:hAnsi="Arial"/>
          <w:color w:val="231F1F"/>
          <w:w w:val="35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dabigatran advises avoid concomitant use</w:t>
      </w:r>
    </w:p>
    <w:p>
      <w:pPr>
        <w:pStyle w:val="BodyText"/>
        <w:spacing w:line="247" w:lineRule="auto" w:before="3"/>
        <w:ind w:left="286" w:right="203" w:hanging="100"/>
      </w:pPr>
      <w:r>
        <w:rPr>
          <w:rFonts w:ascii="Arial"/>
          <w:color w:val="231F1F"/>
          <w:w w:val="355"/>
          <w:position w:val="1"/>
          <w:sz w:val="7"/>
        </w:rPr>
        <w:t>l </w:t>
      </w:r>
      <w:r>
        <w:rPr>
          <w:rFonts w:ascii="Calibri"/>
          <w:color w:val="231F1F"/>
          <w:w w:val="105"/>
        </w:rPr>
        <w:t>Anticoagulants: </w:t>
      </w:r>
      <w:r>
        <w:rPr>
          <w:color w:val="231F1F"/>
          <w:w w:val="105"/>
        </w:rPr>
        <w:t>increased risk of haemorrhage when dabigatran given with other </w:t>
      </w:r>
      <w:r>
        <w:rPr>
          <w:rFonts w:ascii="Arial"/>
          <w:color w:val="231F1F"/>
          <w:w w:val="355"/>
          <w:position w:val="1"/>
          <w:sz w:val="7"/>
        </w:rPr>
        <w:t>l </w:t>
      </w:r>
      <w:r>
        <w:rPr>
          <w:rFonts w:ascii="Calibri"/>
          <w:color w:val="008356"/>
          <w:spacing w:val="4"/>
          <w:w w:val="105"/>
          <w:sz w:val="11"/>
        </w:rPr>
        <w:t>ANTICOAGULANTS </w:t>
      </w:r>
      <w:r>
        <w:rPr>
          <w:color w:val="231F1F"/>
          <w:w w:val="105"/>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 </w:t>
      </w:r>
      <w:r>
        <w:rPr>
          <w:rFonts w:ascii="Calibri"/>
          <w:color w:val="008356"/>
          <w:spacing w:val="4"/>
          <w:w w:val="105"/>
          <w:sz w:val="11"/>
        </w:rPr>
        <w:t>APIXABAN </w:t>
      </w:r>
      <w:r>
        <w:rPr>
          <w:color w:val="231F1F"/>
          <w:w w:val="105"/>
        </w:rPr>
        <w:t>and </w:t>
      </w:r>
      <w:r>
        <w:rPr>
          <w:rFonts w:ascii="Arial"/>
          <w:color w:val="231F1F"/>
          <w:w w:val="355"/>
          <w:position w:val="1"/>
          <w:sz w:val="7"/>
        </w:rPr>
        <w:t>l </w:t>
      </w:r>
      <w:r>
        <w:rPr>
          <w:rFonts w:ascii="Calibri"/>
          <w:color w:val="008356"/>
          <w:spacing w:val="3"/>
          <w:w w:val="105"/>
          <w:sz w:val="11"/>
        </w:rPr>
        <w:t>RIVAROXABAN </w:t>
      </w:r>
      <w:r>
        <w:rPr>
          <w:color w:val="231F1F"/>
          <w:w w:val="105"/>
        </w:rPr>
        <w:t>(avoid concomitant use except when switching with </w:t>
      </w:r>
      <w:r>
        <w:rPr>
          <w:color w:val="231F1F"/>
          <w:spacing w:val="-3"/>
          <w:w w:val="105"/>
        </w:rPr>
        <w:t>other </w:t>
      </w:r>
      <w:r>
        <w:rPr>
          <w:color w:val="231F1F"/>
          <w:w w:val="105"/>
        </w:rPr>
        <w:t>anticoagulants or using heparin  to  maintain  catheter patency)</w:t>
      </w:r>
    </w:p>
    <w:p>
      <w:pPr>
        <w:pStyle w:val="BodyText"/>
        <w:spacing w:line="140" w:lineRule="exact"/>
        <w:ind w:left="186"/>
      </w:pPr>
      <w:r>
        <w:rPr>
          <w:rFonts w:ascii="Arial"/>
          <w:color w:val="231F1F"/>
          <w:w w:val="355"/>
          <w:position w:val="1"/>
          <w:sz w:val="7"/>
        </w:rPr>
        <w:t>l</w:t>
      </w:r>
      <w:r>
        <w:rPr>
          <w:rFonts w:ascii="Arial"/>
          <w:color w:val="231F1F"/>
          <w:spacing w:val="-48"/>
          <w:w w:val="355"/>
          <w:position w:val="1"/>
          <w:sz w:val="7"/>
        </w:rPr>
        <w:t> </w:t>
      </w:r>
      <w:r>
        <w:rPr>
          <w:rFonts w:ascii="Calibri"/>
          <w:color w:val="231F1F"/>
          <w:w w:val="110"/>
        </w:rPr>
        <w:t>Antidepressants: </w:t>
      </w:r>
      <w:r>
        <w:rPr>
          <w:color w:val="231F1F"/>
          <w:w w:val="110"/>
        </w:rPr>
        <w:t>possible increased risk of bleeding when</w:t>
      </w:r>
    </w:p>
    <w:p>
      <w:pPr>
        <w:spacing w:before="0"/>
        <w:ind w:left="286" w:right="0" w:firstLine="0"/>
        <w:jc w:val="left"/>
        <w:rPr>
          <w:sz w:val="12"/>
        </w:rPr>
      </w:pPr>
      <w:r>
        <w:rPr>
          <w:color w:val="231F1F"/>
          <w:w w:val="110"/>
          <w:sz w:val="12"/>
        </w:rPr>
        <w:t>dabigatran</w:t>
      </w:r>
      <w:r>
        <w:rPr>
          <w:color w:val="231F1F"/>
          <w:spacing w:val="-14"/>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4"/>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SSRI-RELATED</w:t>
      </w:r>
      <w:r>
        <w:rPr>
          <w:rFonts w:ascii="Calibri"/>
          <w:color w:val="008356"/>
          <w:spacing w:val="-7"/>
          <w:w w:val="110"/>
          <w:sz w:val="11"/>
        </w:rPr>
        <w:t> </w:t>
      </w:r>
      <w:r>
        <w:rPr>
          <w:rFonts w:ascii="Calibri"/>
          <w:color w:val="008356"/>
          <w:spacing w:val="4"/>
          <w:w w:val="110"/>
          <w:sz w:val="11"/>
        </w:rPr>
        <w:t>ANTIDEPRESSANTS</w:t>
      </w:r>
      <w:r>
        <w:rPr>
          <w:rFonts w:ascii="Calibri"/>
          <w:color w:val="008356"/>
          <w:spacing w:val="-4"/>
          <w:w w:val="110"/>
          <w:sz w:val="11"/>
        </w:rPr>
        <w:t> </w:t>
      </w:r>
      <w:r>
        <w:rPr>
          <w:color w:val="231F1F"/>
          <w:w w:val="110"/>
          <w:sz w:val="12"/>
        </w:rPr>
        <w:t>or</w:t>
      </w:r>
    </w:p>
    <w:p>
      <w:pPr>
        <w:pStyle w:val="BodyText"/>
        <w:spacing w:before="1"/>
        <w:ind w:left="286"/>
      </w:pPr>
      <w:r>
        <w:rPr>
          <w:rFonts w:ascii="Arial"/>
          <w:color w:val="231F1F"/>
          <w:w w:val="120"/>
          <w:position w:val="1"/>
          <w:sz w:val="7"/>
        </w:rPr>
        <w:t>l</w:t>
      </w:r>
      <w:r>
        <w:rPr>
          <w:rFonts w:ascii="Arial"/>
          <w:color w:val="231F1F"/>
          <w:spacing w:val="-10"/>
          <w:w w:val="120"/>
          <w:position w:val="1"/>
          <w:sz w:val="7"/>
        </w:rPr>
        <w:t> </w:t>
      </w:r>
      <w:r>
        <w:rPr>
          <w:rFonts w:ascii="Calibri"/>
          <w:color w:val="008356"/>
          <w:spacing w:val="4"/>
          <w:w w:val="120"/>
          <w:sz w:val="11"/>
        </w:rPr>
        <w:t>SSRIS</w:t>
      </w:r>
      <w:r>
        <w:rPr>
          <w:color w:val="231F1F"/>
          <w:spacing w:val="4"/>
          <w:w w:val="120"/>
        </w:rPr>
        <w:t>;</w:t>
      </w:r>
      <w:r>
        <w:rPr>
          <w:color w:val="231F1F"/>
          <w:spacing w:val="-21"/>
          <w:w w:val="120"/>
        </w:rPr>
        <w:t> </w:t>
      </w:r>
      <w:r>
        <w:rPr>
          <w:color w:val="231F1F"/>
          <w:w w:val="120"/>
        </w:rPr>
        <w:t>plasma</w:t>
      </w:r>
      <w:r>
        <w:rPr>
          <w:color w:val="231F1F"/>
          <w:spacing w:val="-21"/>
          <w:w w:val="120"/>
        </w:rPr>
        <w:t> </w:t>
      </w:r>
      <w:r>
        <w:rPr>
          <w:color w:val="231F1F"/>
          <w:w w:val="120"/>
        </w:rPr>
        <w:t>concentration</w:t>
      </w:r>
      <w:r>
        <w:rPr>
          <w:color w:val="231F1F"/>
          <w:spacing w:val="-21"/>
          <w:w w:val="120"/>
        </w:rPr>
        <w:t> </w:t>
      </w:r>
      <w:r>
        <w:rPr>
          <w:color w:val="231F1F"/>
          <w:w w:val="120"/>
        </w:rPr>
        <w:t>of</w:t>
      </w:r>
      <w:r>
        <w:rPr>
          <w:color w:val="231F1F"/>
          <w:spacing w:val="-21"/>
          <w:w w:val="120"/>
        </w:rPr>
        <w:t> </w:t>
      </w:r>
      <w:r>
        <w:rPr>
          <w:color w:val="231F1F"/>
          <w:w w:val="120"/>
        </w:rPr>
        <w:t>dabigatran</w:t>
      </w:r>
      <w:r>
        <w:rPr>
          <w:color w:val="231F1F"/>
          <w:spacing w:val="-21"/>
          <w:w w:val="120"/>
        </w:rPr>
        <w:t> </w:t>
      </w:r>
      <w:r>
        <w:rPr>
          <w:color w:val="231F1F"/>
          <w:w w:val="120"/>
        </w:rPr>
        <w:t>possibly</w:t>
      </w:r>
      <w:r>
        <w:rPr>
          <w:color w:val="231F1F"/>
          <w:spacing w:val="-21"/>
          <w:w w:val="120"/>
        </w:rPr>
        <w:t> </w:t>
      </w:r>
      <w:r>
        <w:rPr>
          <w:color w:val="231F1F"/>
          <w:w w:val="120"/>
        </w:rPr>
        <w:t>reduced</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Dabigatran</w:t>
      </w:r>
    </w:p>
    <w:p>
      <w:pPr>
        <w:pStyle w:val="BodyText"/>
        <w:spacing w:line="145" w:lineRule="exact" w:before="5"/>
        <w:ind w:left="186"/>
        <w:rPr>
          <w:rFonts w:ascii="Calibri"/>
        </w:rPr>
      </w:pPr>
      <w:r>
        <w:rPr>
          <w:rFonts w:ascii="Arial"/>
          <w:color w:val="231F1F"/>
          <w:w w:val="355"/>
          <w:position w:val="1"/>
          <w:sz w:val="7"/>
        </w:rPr>
        <w:t>l </w:t>
      </w:r>
      <w:r>
        <w:rPr>
          <w:rFonts w:ascii="Calibri"/>
          <w:color w:val="231F1F"/>
          <w:w w:val="115"/>
        </w:rPr>
        <w:t>Antidepressants (continued)</w:t>
      </w:r>
    </w:p>
    <w:p>
      <w:pPr>
        <w:pStyle w:val="BodyText"/>
        <w:spacing w:line="244" w:lineRule="auto"/>
        <w:ind w:left="286" w:right="610"/>
      </w:pPr>
      <w:r>
        <w:rPr>
          <w:color w:val="231F1F"/>
          <w:w w:val="110"/>
        </w:rPr>
        <w:t>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dabigatran advises avoid concomitant use</w:t>
      </w:r>
    </w:p>
    <w:p>
      <w:pPr>
        <w:spacing w:line="218" w:lineRule="auto" w:before="7"/>
        <w:ind w:left="286" w:right="720" w:hanging="100"/>
        <w:jc w:val="left"/>
        <w:rPr>
          <w:rFonts w:ascii="Arial" w:hAnsi="Arial"/>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dabigatran possibly reduced</w:t>
      </w:r>
      <w:r>
        <w:rPr>
          <w:color w:val="231F1F"/>
          <w:spacing w:val="-15"/>
          <w:w w:val="105"/>
          <w:sz w:val="12"/>
        </w:rPr>
        <w:t> </w:t>
      </w:r>
      <w:r>
        <w:rPr>
          <w:color w:val="231F1F"/>
          <w:w w:val="105"/>
          <w:sz w:val="12"/>
        </w:rPr>
        <w:t>by</w:t>
      </w:r>
      <w:r>
        <w:rPr>
          <w:color w:val="231F1F"/>
          <w:spacing w:val="-13"/>
          <w:w w:val="105"/>
          <w:sz w:val="12"/>
        </w:rPr>
        <w:t> </w:t>
      </w:r>
      <w:r>
        <w:rPr>
          <w:rFonts w:ascii="Calibri" w:hAnsi="Calibri"/>
          <w:color w:val="008356"/>
          <w:spacing w:val="4"/>
          <w:w w:val="105"/>
          <w:sz w:val="11"/>
        </w:rPr>
        <w:t>CARBAMAZEPINE</w:t>
      </w:r>
      <w:r>
        <w:rPr>
          <w:color w:val="231F1F"/>
          <w:spacing w:val="4"/>
          <w:w w:val="105"/>
          <w:sz w:val="12"/>
        </w:rPr>
        <w:t>,</w:t>
      </w:r>
      <w:r>
        <w:rPr>
          <w:color w:val="231F1F"/>
          <w:spacing w:val="-14"/>
          <w:w w:val="105"/>
          <w:sz w:val="12"/>
        </w:rPr>
        <w:t> </w:t>
      </w:r>
      <w:r>
        <w:rPr>
          <w:rFonts w:ascii="Calibri" w:hAnsi="Calibri"/>
          <w:color w:val="008356"/>
          <w:spacing w:val="4"/>
          <w:w w:val="105"/>
          <w:sz w:val="11"/>
        </w:rPr>
        <w:t>FOSPHENYTOIN</w:t>
      </w:r>
      <w:r>
        <w:rPr>
          <w:rFonts w:ascii="Calibri" w:hAnsi="Calibri"/>
          <w:color w:val="008356"/>
          <w:spacing w:val="-6"/>
          <w:w w:val="105"/>
          <w:sz w:val="11"/>
        </w:rPr>
        <w:t> </w:t>
      </w:r>
      <w:r>
        <w:rPr>
          <w:color w:val="231F1F"/>
          <w:w w:val="105"/>
          <w:sz w:val="12"/>
        </w:rPr>
        <w:t>and</w:t>
      </w:r>
      <w:r>
        <w:rPr>
          <w:color w:val="231F1F"/>
          <w:spacing w:val="-14"/>
          <w:w w:val="105"/>
          <w:sz w:val="12"/>
        </w:rPr>
        <w:t> </w:t>
      </w:r>
      <w:r>
        <w:rPr>
          <w:rFonts w:ascii="Calibri" w:hAnsi="Calibri"/>
          <w:color w:val="008356"/>
          <w:spacing w:val="4"/>
          <w:w w:val="105"/>
          <w:sz w:val="11"/>
        </w:rPr>
        <w:t>PHENYTOIN</w:t>
      </w:r>
      <w:r>
        <w:rPr>
          <w:rFonts w:ascii="Arial" w:hAnsi="Arial"/>
          <w:color w:val="231F1F"/>
          <w:spacing w:val="4"/>
          <w:w w:val="105"/>
          <w:sz w:val="12"/>
        </w:rPr>
        <w:t>—</w:t>
      </w:r>
    </w:p>
    <w:p>
      <w:pPr>
        <w:pStyle w:val="BodyText"/>
        <w:spacing w:before="5"/>
        <w:ind w:left="286"/>
      </w:pPr>
      <w:r>
        <w:rPr>
          <w:color w:val="231F1F"/>
          <w:w w:val="115"/>
        </w:rPr>
        <w:t>manufacturer</w:t>
      </w:r>
      <w:r>
        <w:rPr>
          <w:color w:val="231F1F"/>
          <w:spacing w:val="-6"/>
          <w:w w:val="115"/>
        </w:rPr>
        <w:t> </w:t>
      </w:r>
      <w:r>
        <w:rPr>
          <w:color w:val="231F1F"/>
          <w:w w:val="115"/>
        </w:rPr>
        <w:t>of</w:t>
      </w:r>
      <w:r>
        <w:rPr>
          <w:color w:val="231F1F"/>
          <w:spacing w:val="-5"/>
          <w:w w:val="115"/>
        </w:rPr>
        <w:t> </w:t>
      </w:r>
      <w:r>
        <w:rPr>
          <w:color w:val="231F1F"/>
          <w:w w:val="115"/>
        </w:rPr>
        <w:t>dabigatran</w:t>
      </w:r>
      <w:r>
        <w:rPr>
          <w:color w:val="231F1F"/>
          <w:spacing w:val="-7"/>
          <w:w w:val="115"/>
        </w:rPr>
        <w:t> </w:t>
      </w:r>
      <w:r>
        <w:rPr>
          <w:color w:val="231F1F"/>
          <w:w w:val="115"/>
        </w:rPr>
        <w:t>advises</w:t>
      </w:r>
      <w:r>
        <w:rPr>
          <w:color w:val="231F1F"/>
          <w:spacing w:val="-5"/>
          <w:w w:val="115"/>
        </w:rPr>
        <w:t> </w:t>
      </w:r>
      <w:r>
        <w:rPr>
          <w:color w:val="231F1F"/>
          <w:w w:val="115"/>
        </w:rPr>
        <w:t>avoid</w:t>
      </w:r>
      <w:r>
        <w:rPr>
          <w:color w:val="231F1F"/>
          <w:spacing w:val="-6"/>
          <w:w w:val="115"/>
        </w:rPr>
        <w:t> </w:t>
      </w:r>
      <w:r>
        <w:rPr>
          <w:color w:val="231F1F"/>
          <w:w w:val="115"/>
        </w:rPr>
        <w:t>concomitant</w:t>
      </w:r>
      <w:r>
        <w:rPr>
          <w:color w:val="231F1F"/>
          <w:spacing w:val="-6"/>
          <w:w w:val="115"/>
        </w:rPr>
        <w:t> </w:t>
      </w:r>
      <w:r>
        <w:rPr>
          <w:color w:val="231F1F"/>
          <w:w w:val="115"/>
        </w:rPr>
        <w:t>use</w:t>
      </w:r>
    </w:p>
    <w:p>
      <w:pPr>
        <w:pStyle w:val="BodyText"/>
        <w:spacing w:line="242" w:lineRule="auto" w:before="1"/>
        <w:ind w:left="286" w:right="619" w:hanging="100"/>
        <w:rPr>
          <w:rFonts w:ascii="Calibri" w:hAnsi="Calibri"/>
          <w:sz w:val="11"/>
        </w:rPr>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dabigatran increased by </w:t>
      </w:r>
      <w:r>
        <w:rPr>
          <w:rFonts w:ascii="Arial" w:hAnsi="Arial"/>
          <w:color w:val="231F1F"/>
          <w:w w:val="355"/>
          <w:position w:val="1"/>
          <w:sz w:val="7"/>
        </w:rPr>
        <w:t>l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 </w:t>
      </w:r>
      <w:r>
        <w:rPr>
          <w:color w:val="231F1F"/>
          <w:w w:val="110"/>
        </w:rPr>
        <w:t>concomitant use; manufacturer of dabigatran advises avoid concomitant use with</w:t>
      </w:r>
      <w:r>
        <w:rPr>
          <w:color w:val="231F1F"/>
          <w:spacing w:val="3"/>
          <w:w w:val="110"/>
        </w:rPr>
        <w:t> </w:t>
      </w:r>
      <w:r>
        <w:rPr>
          <w:rFonts w:ascii="Calibri" w:hAnsi="Calibri"/>
          <w:color w:val="008356"/>
          <w:spacing w:val="4"/>
          <w:w w:val="110"/>
          <w:sz w:val="11"/>
        </w:rPr>
        <w:t>ITRACONAZOLE</w:t>
      </w:r>
    </w:p>
    <w:p>
      <w:pPr>
        <w:spacing w:line="220" w:lineRule="auto" w:before="3"/>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Antivirals: </w:t>
      </w:r>
      <w:r>
        <w:rPr>
          <w:color w:val="231F1F"/>
          <w:w w:val="105"/>
          <w:sz w:val="12"/>
        </w:rPr>
        <w:t>plasma concentration of dabigatran possibly increased by </w:t>
      </w:r>
      <w:r>
        <w:rPr>
          <w:rFonts w:ascii="Calibri" w:hAnsi="Calibri"/>
          <w:color w:val="008356"/>
          <w:w w:val="105"/>
          <w:sz w:val="11"/>
        </w:rPr>
        <w:t>RILPIVIRINE </w:t>
      </w:r>
      <w:r>
        <w:rPr>
          <w:color w:val="231F1F"/>
          <w:w w:val="105"/>
          <w:sz w:val="12"/>
        </w:rPr>
        <w:t>and </w:t>
      </w:r>
      <w:r>
        <w:rPr>
          <w:rFonts w:ascii="Calibri" w:hAnsi="Calibri"/>
          <w:color w:val="008356"/>
          <w:w w:val="105"/>
          <w:sz w:val="11"/>
        </w:rPr>
        <w:t>TELAPREVIR</w:t>
      </w:r>
    </w:p>
    <w:p>
      <w:pPr>
        <w:pStyle w:val="BodyText"/>
        <w:ind w:left="286" w:right="625" w:hanging="100"/>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Calcium-channel Blockers: </w:t>
      </w:r>
      <w:r>
        <w:rPr>
          <w:color w:val="231F1F"/>
          <w:w w:val="110"/>
        </w:rPr>
        <w:t>plasma concentration of dabigatran possibly increased by </w:t>
      </w:r>
      <w:r>
        <w:rPr>
          <w:rFonts w:ascii="Arial"/>
          <w:color w:val="231F1F"/>
          <w:w w:val="355"/>
          <w:position w:val="1"/>
          <w:sz w:val="7"/>
        </w:rPr>
        <w:t>l </w:t>
      </w:r>
      <w:r>
        <w:rPr>
          <w:rFonts w:ascii="Calibri"/>
          <w:color w:val="008356"/>
          <w:spacing w:val="4"/>
          <w:w w:val="110"/>
          <w:sz w:val="11"/>
        </w:rPr>
        <w:t>VERAPAMIL </w:t>
      </w:r>
      <w:r>
        <w:rPr>
          <w:color w:val="231F1F"/>
          <w:w w:val="110"/>
        </w:rPr>
        <w:t>(see under Dabigatran Etexilate, p. 117)</w:t>
      </w:r>
    </w:p>
    <w:p>
      <w:pPr>
        <w:pStyle w:val="BodyText"/>
        <w:spacing w:before="2"/>
        <w:ind w:left="286" w:right="888" w:hanging="100"/>
        <w:jc w:val="both"/>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Ciclosporin:</w:t>
      </w:r>
      <w:r>
        <w:rPr>
          <w:rFonts w:ascii="Calibri" w:hAnsi="Calibri"/>
          <w:color w:val="231F1F"/>
          <w:spacing w:val="-12"/>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color w:val="231F1F"/>
          <w:w w:val="115"/>
        </w:rPr>
        <w:t>dabigatran</w:t>
      </w:r>
      <w:r>
        <w:rPr>
          <w:color w:val="231F1F"/>
          <w:spacing w:val="-15"/>
          <w:w w:val="115"/>
        </w:rPr>
        <w:t> </w:t>
      </w:r>
      <w:r>
        <w:rPr>
          <w:color w:val="231F1F"/>
          <w:w w:val="115"/>
        </w:rPr>
        <w:t>possibly increased</w:t>
      </w:r>
      <w:r>
        <w:rPr>
          <w:color w:val="231F1F"/>
          <w:spacing w:val="-25"/>
          <w:w w:val="115"/>
        </w:rPr>
        <w:t> </w:t>
      </w:r>
      <w:r>
        <w:rPr>
          <w:color w:val="231F1F"/>
          <w:w w:val="115"/>
        </w:rPr>
        <w:t>by</w:t>
      </w:r>
      <w:r>
        <w:rPr>
          <w:color w:val="231F1F"/>
          <w:spacing w:val="-24"/>
          <w:w w:val="115"/>
        </w:rPr>
        <w:t> </w:t>
      </w:r>
      <w:r>
        <w:rPr>
          <w:rFonts w:ascii="Arial" w:hAnsi="Arial"/>
          <w:color w:val="231F1F"/>
          <w:w w:val="195"/>
          <w:position w:val="1"/>
          <w:sz w:val="7"/>
        </w:rPr>
        <w:t>l</w:t>
      </w:r>
      <w:r>
        <w:rPr>
          <w:rFonts w:ascii="Arial" w:hAnsi="Arial"/>
          <w:color w:val="231F1F"/>
          <w:spacing w:val="-28"/>
          <w:w w:val="195"/>
          <w:position w:val="1"/>
          <w:sz w:val="7"/>
        </w:rPr>
        <w:t> </w:t>
      </w:r>
      <w:r>
        <w:rPr>
          <w:rFonts w:ascii="Calibri" w:hAnsi="Calibri"/>
          <w:color w:val="008356"/>
          <w:spacing w:val="2"/>
          <w:w w:val="115"/>
          <w:sz w:val="11"/>
        </w:rPr>
        <w:t>CICLOSPORIN</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dabigatran advises avoid concomitant</w:t>
      </w:r>
      <w:r>
        <w:rPr>
          <w:color w:val="231F1F"/>
          <w:spacing w:val="-13"/>
          <w:w w:val="115"/>
        </w:rPr>
        <w:t> </w:t>
      </w:r>
      <w:r>
        <w:rPr>
          <w:color w:val="231F1F"/>
          <w:w w:val="115"/>
        </w:rPr>
        <w:t>use</w:t>
      </w:r>
    </w:p>
    <w:p>
      <w:pPr>
        <w:pStyle w:val="BodyText"/>
        <w:spacing w:before="2"/>
        <w:ind w:left="286" w:right="948" w:hanging="100"/>
        <w:jc w:val="both"/>
        <w:rPr>
          <w:rFonts w:ascii="Calibri"/>
          <w:sz w:val="11"/>
        </w:rPr>
      </w:pPr>
      <w:r>
        <w:rPr>
          <w:rFonts w:ascii="Arial"/>
          <w:color w:val="231F1F"/>
          <w:w w:val="355"/>
          <w:position w:val="1"/>
          <w:sz w:val="7"/>
        </w:rPr>
        <w:t>l</w:t>
      </w:r>
      <w:r>
        <w:rPr>
          <w:rFonts w:ascii="Arial"/>
          <w:color w:val="231F1F"/>
          <w:spacing w:val="-36"/>
          <w:w w:val="355"/>
          <w:position w:val="1"/>
          <w:sz w:val="7"/>
        </w:rPr>
        <w:t> </w:t>
      </w:r>
      <w:r>
        <w:rPr>
          <w:rFonts w:ascii="Calibri"/>
          <w:color w:val="231F1F"/>
          <w:w w:val="110"/>
        </w:rPr>
        <w:t>Sulfinpyrazone: </w:t>
      </w:r>
      <w:r>
        <w:rPr>
          <w:color w:val="231F1F"/>
          <w:w w:val="110"/>
        </w:rPr>
        <w:t>possible increased risk of bleeding </w:t>
      </w:r>
      <w:r>
        <w:rPr>
          <w:color w:val="231F1F"/>
          <w:spacing w:val="-4"/>
          <w:w w:val="110"/>
        </w:rPr>
        <w:t>when </w:t>
      </w:r>
      <w:r>
        <w:rPr>
          <w:color w:val="231F1F"/>
          <w:w w:val="110"/>
        </w:rPr>
        <w:t>dabigatran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5"/>
          <w:w w:val="110"/>
          <w:sz w:val="11"/>
        </w:rPr>
        <w:t>SULFINPYRAZONE</w:t>
      </w:r>
    </w:p>
    <w:p>
      <w:pPr>
        <w:pStyle w:val="BodyText"/>
        <w:ind w:left="286" w:right="914" w:hanging="100"/>
        <w:jc w:val="both"/>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Tacrolimus:</w:t>
      </w:r>
      <w:r>
        <w:rPr>
          <w:rFonts w:ascii="Calibri" w:hAnsi="Calibri"/>
          <w:color w:val="231F1F"/>
          <w:spacing w:val="-12"/>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color w:val="231F1F"/>
          <w:w w:val="115"/>
        </w:rPr>
        <w:t>dabigatran</w:t>
      </w:r>
      <w:r>
        <w:rPr>
          <w:color w:val="231F1F"/>
          <w:spacing w:val="-16"/>
          <w:w w:val="115"/>
        </w:rPr>
        <w:t> </w:t>
      </w:r>
      <w:r>
        <w:rPr>
          <w:color w:val="231F1F"/>
          <w:w w:val="115"/>
        </w:rPr>
        <w:t>possibly increased</w:t>
      </w:r>
      <w:r>
        <w:rPr>
          <w:color w:val="231F1F"/>
          <w:spacing w:val="-24"/>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15"/>
          <w:sz w:val="11"/>
        </w:rPr>
        <w:t>TACROLIMUS</w:t>
      </w:r>
      <w:r>
        <w:rPr>
          <w:rFonts w:ascii="Arial" w:hAnsi="Arial"/>
          <w:color w:val="231F1F"/>
          <w:w w:val="115"/>
        </w:rPr>
        <w:t>—</w:t>
      </w:r>
      <w:r>
        <w:rPr>
          <w:color w:val="231F1F"/>
          <w:w w:val="115"/>
        </w:rPr>
        <w:t>manufacturer</w:t>
      </w:r>
      <w:r>
        <w:rPr>
          <w:color w:val="231F1F"/>
          <w:spacing w:val="-23"/>
          <w:w w:val="115"/>
        </w:rPr>
        <w:t> </w:t>
      </w:r>
      <w:r>
        <w:rPr>
          <w:color w:val="231F1F"/>
          <w:w w:val="115"/>
        </w:rPr>
        <w:t>of</w:t>
      </w:r>
      <w:r>
        <w:rPr>
          <w:color w:val="231F1F"/>
          <w:spacing w:val="-24"/>
          <w:w w:val="115"/>
        </w:rPr>
        <w:t> </w:t>
      </w:r>
      <w:r>
        <w:rPr>
          <w:color w:val="231F1F"/>
          <w:w w:val="115"/>
        </w:rPr>
        <w:t>dabigatran advises avoid concomitant</w:t>
      </w:r>
      <w:r>
        <w:rPr>
          <w:color w:val="231F1F"/>
          <w:spacing w:val="-13"/>
          <w:w w:val="115"/>
        </w:rPr>
        <w:t> </w:t>
      </w:r>
      <w:r>
        <w:rPr>
          <w:color w:val="231F1F"/>
          <w:w w:val="115"/>
        </w:rPr>
        <w:t>use</w:t>
      </w:r>
    </w:p>
    <w:p>
      <w:pPr>
        <w:pStyle w:val="BodyText"/>
        <w:ind w:left="186"/>
        <w:jc w:val="both"/>
      </w:pPr>
      <w:r>
        <w:rPr>
          <w:rFonts w:ascii="Arial"/>
          <w:color w:val="231F1F"/>
          <w:w w:val="355"/>
          <w:position w:val="1"/>
          <w:sz w:val="7"/>
        </w:rPr>
        <w:t>l </w:t>
      </w:r>
      <w:r>
        <w:rPr>
          <w:rFonts w:ascii="Calibri"/>
          <w:color w:val="231F1F"/>
          <w:w w:val="115"/>
        </w:rPr>
        <w:t>Ticagrelor: </w:t>
      </w:r>
      <w:r>
        <w:rPr>
          <w:color w:val="231F1F"/>
          <w:w w:val="115"/>
        </w:rPr>
        <w:t>plasma concentration of dabigatran increased by</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TICAGRELOR</w:t>
      </w:r>
    </w:p>
    <w:p>
      <w:pPr>
        <w:pStyle w:val="BodyText"/>
        <w:spacing w:line="220" w:lineRule="auto" w:before="8"/>
        <w:ind w:left="286" w:right="597" w:hanging="100"/>
        <w:rPr>
          <w:rFonts w:ascii="Calibri" w:hAnsi="Calibri"/>
          <w:sz w:val="11"/>
        </w:rPr>
      </w:pPr>
      <w:r>
        <w:rPr>
          <w:rFonts w:ascii="Lucida Sans Unicode" w:hAnsi="Lucida Sans Unicode"/>
          <w:color w:val="A7A8AC"/>
          <w:w w:val="95"/>
          <w:sz w:val="10"/>
        </w:rPr>
        <w:t>▶ </w:t>
      </w:r>
      <w:r>
        <w:rPr>
          <w:rFonts w:ascii="Calibri" w:hAnsi="Calibri"/>
          <w:color w:val="231F1F"/>
          <w:w w:val="110"/>
        </w:rPr>
        <w:t>Ulipristal: </w:t>
      </w:r>
      <w:r>
        <w:rPr>
          <w:color w:val="231F1F"/>
          <w:w w:val="110"/>
        </w:rPr>
        <w:t>manufacturer of ulipristal advises give dabigatran at least 1.5 hours before or after </w:t>
      </w:r>
      <w:r>
        <w:rPr>
          <w:rFonts w:ascii="Calibri" w:hAnsi="Calibri"/>
          <w:color w:val="008356"/>
          <w:w w:val="110"/>
          <w:sz w:val="11"/>
        </w:rPr>
        <w:t>ULIPRISTAL</w:t>
      </w:r>
    </w:p>
    <w:p>
      <w:pPr>
        <w:pStyle w:val="BodyText"/>
        <w:spacing w:before="9"/>
        <w:ind w:left="186"/>
        <w:rPr>
          <w:rFonts w:ascii="Trebuchet MS"/>
        </w:rPr>
      </w:pPr>
      <w:r>
        <w:rPr>
          <w:rFonts w:ascii="Trebuchet MS"/>
          <w:color w:val="008356"/>
        </w:rPr>
        <w:t>Dabrafenib</w:t>
      </w:r>
    </w:p>
    <w:p>
      <w:pPr>
        <w:pStyle w:val="BodyText"/>
        <w:spacing w:line="220" w:lineRule="auto" w:before="9"/>
        <w:ind w:left="286" w:right="94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manufacturer of dabrafenib advises avoid concomitant use with </w:t>
      </w:r>
      <w:r>
        <w:rPr>
          <w:rFonts w:ascii="Calibri" w:hAnsi="Calibri"/>
          <w:color w:val="008356"/>
          <w:w w:val="110"/>
          <w:sz w:val="11"/>
        </w:rPr>
        <w:t>RIFAMPICIN</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Anticoagulants: </w:t>
      </w:r>
      <w:r>
        <w:rPr>
          <w:color w:val="231F1F"/>
          <w:w w:val="105"/>
        </w:rPr>
        <w:t>dabrafenib reduces plasma concentration of</w:t>
      </w:r>
    </w:p>
    <w:p>
      <w:pPr>
        <w:spacing w:line="130" w:lineRule="exact" w:before="0"/>
        <w:ind w:left="286" w:right="0" w:firstLine="0"/>
        <w:jc w:val="left"/>
        <w:rPr>
          <w:rFonts w:ascii="Calibri"/>
          <w:sz w:val="11"/>
        </w:rPr>
      </w:pPr>
      <w:r>
        <w:rPr>
          <w:rFonts w:ascii="Calibri"/>
          <w:color w:val="008356"/>
          <w:sz w:val="11"/>
        </w:rPr>
        <w:t>WARFARIN</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dabrafenib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30" w:lineRule="auto" w:before="4"/>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dabrafenib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dabrafenib increased by</w:t>
      </w:r>
    </w:p>
    <w:p>
      <w:pPr>
        <w:spacing w:line="131" w:lineRule="exact" w:before="0"/>
        <w:ind w:left="286" w:right="0" w:firstLine="0"/>
        <w:jc w:val="left"/>
        <w:rPr>
          <w:rFonts w:ascii="Calibri"/>
          <w:sz w:val="11"/>
        </w:rPr>
      </w:pPr>
      <w:r>
        <w:rPr>
          <w:rFonts w:ascii="Calibri"/>
          <w:color w:val="008356"/>
          <w:sz w:val="11"/>
        </w:rPr>
        <w:t>KETOCONAZOLE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plasma concentration of dabrafenib increased by </w:t>
      </w:r>
      <w:r>
        <w:rPr>
          <w:rFonts w:ascii="Calibri" w:hAnsi="Calibri"/>
          <w:color w:val="008356"/>
          <w:w w:val="105"/>
          <w:sz w:val="11"/>
        </w:rPr>
        <w:t>GEMFIBROZIL</w:t>
      </w:r>
    </w:p>
    <w:p>
      <w:pPr>
        <w:pStyle w:val="BodyText"/>
        <w:ind w:left="286" w:right="615" w:hanging="100"/>
      </w:pPr>
      <w:r>
        <w:rPr>
          <w:rFonts w:ascii="Arial"/>
          <w:color w:val="231F1F"/>
          <w:w w:val="355"/>
          <w:position w:val="1"/>
          <w:sz w:val="7"/>
        </w:rPr>
        <w:t>l </w:t>
      </w:r>
      <w:r>
        <w:rPr>
          <w:rFonts w:ascii="Calibri"/>
          <w:color w:val="231F1F"/>
          <w:w w:val="110"/>
        </w:rPr>
        <w:t>Oestrogens: </w:t>
      </w:r>
      <w:r>
        <w:rPr>
          <w:color w:val="231F1F"/>
          <w:w w:val="110"/>
        </w:rPr>
        <w:t>manufacturer of dabrafenib advises contraceptive effect of hormonal contraceptives containing </w:t>
      </w:r>
      <w:r>
        <w:rPr>
          <w:rFonts w:ascii="Arial"/>
          <w:color w:val="231F1F"/>
          <w:w w:val="355"/>
          <w:position w:val="1"/>
          <w:sz w:val="7"/>
        </w:rPr>
        <w:t>l </w:t>
      </w:r>
      <w:r>
        <w:rPr>
          <w:rFonts w:ascii="Calibri"/>
          <w:color w:val="008356"/>
          <w:w w:val="110"/>
          <w:sz w:val="11"/>
        </w:rPr>
        <w:t>OESTROGENS </w:t>
      </w:r>
      <w:r>
        <w:rPr>
          <w:color w:val="231F1F"/>
          <w:w w:val="110"/>
        </w:rPr>
        <w:t>possibly reduced (alternative contraceptive recommended)</w:t>
      </w:r>
    </w:p>
    <w:p>
      <w:pPr>
        <w:pStyle w:val="BodyText"/>
        <w:spacing w:line="244" w:lineRule="auto" w:before="2"/>
        <w:ind w:left="286" w:right="705" w:hanging="100"/>
      </w:pPr>
      <w:r>
        <w:rPr>
          <w:rFonts w:ascii="Arial"/>
          <w:color w:val="231F1F"/>
          <w:w w:val="355"/>
          <w:position w:val="1"/>
          <w:sz w:val="7"/>
        </w:rPr>
        <w:t>l </w:t>
      </w:r>
      <w:r>
        <w:rPr>
          <w:rFonts w:ascii="Calibri"/>
          <w:color w:val="231F1F"/>
          <w:w w:val="110"/>
        </w:rPr>
        <w:t>Progestogens: </w:t>
      </w:r>
      <w:r>
        <w:rPr>
          <w:color w:val="231F1F"/>
          <w:w w:val="110"/>
        </w:rPr>
        <w:t>manufacturer of dabrafenib advises contraceptive effect of hormonal contraceptives  containing</w:t>
      </w:r>
      <w:r>
        <w:rPr>
          <w:color w:val="231F1F"/>
          <w:spacing w:val="33"/>
          <w:w w:val="110"/>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PROGESTOGENS </w:t>
      </w:r>
      <w:r>
        <w:rPr>
          <w:color w:val="231F1F"/>
          <w:w w:val="110"/>
        </w:rPr>
        <w:t>possibly reduced (alternative contraceptive recommended)</w:t>
      </w:r>
    </w:p>
    <w:p>
      <w:pPr>
        <w:pStyle w:val="BodyText"/>
        <w:spacing w:line="232" w:lineRule="auto"/>
        <w:ind w:left="286" w:right="670"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manufacturer of dabrafenib advises avoid concomitant use with </w:t>
      </w:r>
      <w:r>
        <w:rPr>
          <w:rFonts w:ascii="Calibri" w:hAnsi="Calibri"/>
          <w:color w:val="008356"/>
          <w:w w:val="105"/>
          <w:sz w:val="11"/>
        </w:rPr>
        <w:t>PROTON PUMP INHIBITORS </w:t>
      </w:r>
      <w:r>
        <w:rPr>
          <w:color w:val="231F1F"/>
          <w:w w:val="105"/>
        </w:rPr>
        <w:t>(plasma concentration of dabrafenib possibly reduced)</w:t>
      </w:r>
    </w:p>
    <w:p>
      <w:pPr>
        <w:pStyle w:val="BodyText"/>
        <w:spacing w:before="9"/>
        <w:ind w:left="186"/>
        <w:rPr>
          <w:rFonts w:ascii="Trebuchet MS"/>
        </w:rPr>
      </w:pPr>
      <w:r>
        <w:rPr>
          <w:rFonts w:ascii="Trebuchet MS"/>
          <w:color w:val="008356"/>
        </w:rPr>
        <w:t>Dacarbazine</w:t>
      </w:r>
    </w:p>
    <w:p>
      <w:pPr>
        <w:pStyle w:val="BodyText"/>
        <w:spacing w:before="1"/>
        <w:ind w:left="286" w:right="1318" w:hanging="100"/>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Aldesleukin:</w:t>
      </w:r>
      <w:r>
        <w:rPr>
          <w:rFonts w:ascii="Calibri"/>
          <w:color w:val="231F1F"/>
          <w:spacing w:val="-16"/>
          <w:w w:val="115"/>
        </w:rPr>
        <w:t> </w:t>
      </w:r>
      <w:r>
        <w:rPr>
          <w:color w:val="231F1F"/>
          <w:w w:val="115"/>
        </w:rPr>
        <w:t>avoidance</w:t>
      </w:r>
      <w:r>
        <w:rPr>
          <w:color w:val="231F1F"/>
          <w:spacing w:val="-20"/>
          <w:w w:val="115"/>
        </w:rPr>
        <w:t> </w:t>
      </w:r>
      <w:r>
        <w:rPr>
          <w:color w:val="231F1F"/>
          <w:w w:val="115"/>
        </w:rPr>
        <w:t>of</w:t>
      </w:r>
      <w:r>
        <w:rPr>
          <w:color w:val="231F1F"/>
          <w:spacing w:val="-20"/>
          <w:w w:val="115"/>
        </w:rPr>
        <w:t> </w:t>
      </w:r>
      <w:r>
        <w:rPr>
          <w:color w:val="231F1F"/>
          <w:w w:val="115"/>
        </w:rPr>
        <w:t>dacarbazine</w:t>
      </w:r>
      <w:r>
        <w:rPr>
          <w:color w:val="231F1F"/>
          <w:spacing w:val="-20"/>
          <w:w w:val="115"/>
        </w:rPr>
        <w:t> </w:t>
      </w:r>
      <w:r>
        <w:rPr>
          <w:color w:val="231F1F"/>
          <w:w w:val="115"/>
        </w:rPr>
        <w:t>advised</w:t>
      </w:r>
      <w:r>
        <w:rPr>
          <w:color w:val="231F1F"/>
          <w:spacing w:val="-19"/>
          <w:w w:val="115"/>
        </w:rPr>
        <w:t> </w:t>
      </w:r>
      <w:r>
        <w:rPr>
          <w:color w:val="231F1F"/>
          <w:spacing w:val="-7"/>
          <w:w w:val="115"/>
        </w:rPr>
        <w:t>by </w:t>
      </w:r>
      <w:r>
        <w:rPr>
          <w:color w:val="231F1F"/>
          <w:w w:val="115"/>
        </w:rPr>
        <w:t>manufacturer of </w:t>
      </w:r>
      <w:r>
        <w:rPr>
          <w:rFonts w:ascii="Arial"/>
          <w:color w:val="231F1F"/>
          <w:w w:val="355"/>
          <w:position w:val="1"/>
          <w:sz w:val="7"/>
        </w:rPr>
        <w:t>l</w:t>
      </w:r>
      <w:r>
        <w:rPr>
          <w:rFonts w:ascii="Arial"/>
          <w:color w:val="231F1F"/>
          <w:spacing w:val="-55"/>
          <w:w w:val="355"/>
          <w:position w:val="1"/>
          <w:sz w:val="7"/>
        </w:rPr>
        <w:t> </w:t>
      </w:r>
      <w:r>
        <w:rPr>
          <w:rFonts w:ascii="Calibri"/>
          <w:color w:val="008356"/>
          <w:spacing w:val="5"/>
          <w:w w:val="115"/>
          <w:sz w:val="11"/>
        </w:rPr>
        <w:t>ALDESLEUKIN</w:t>
      </w:r>
    </w:p>
    <w:p>
      <w:pPr>
        <w:pStyle w:val="BodyText"/>
        <w:spacing w:line="143"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86" w:right="0" w:firstLine="0"/>
        <w:jc w:val="both"/>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39" w:lineRule="exact" w:before="7"/>
        <w:ind w:left="186"/>
        <w:rPr>
          <w:rFonts w:ascii="Trebuchet MS"/>
        </w:rPr>
      </w:pPr>
      <w:r>
        <w:rPr>
          <w:rFonts w:ascii="Trebuchet MS"/>
          <w:color w:val="008356"/>
        </w:rPr>
        <w:t>Daclatasvir</w:t>
      </w:r>
    </w:p>
    <w:p>
      <w:pPr>
        <w:pStyle w:val="BodyText"/>
        <w:spacing w:line="242" w:lineRule="auto"/>
        <w:ind w:left="286" w:right="605" w:hanging="100"/>
      </w:pPr>
      <w:r>
        <w:rPr>
          <w:rFonts w:ascii="Arial" w:hAnsi="Arial"/>
          <w:color w:val="231F1F"/>
          <w:w w:val="355"/>
          <w:position w:val="1"/>
          <w:sz w:val="7"/>
        </w:rPr>
        <w:t>l </w:t>
      </w:r>
      <w:r>
        <w:rPr>
          <w:rFonts w:ascii="Calibri" w:hAnsi="Calibri"/>
          <w:color w:val="231F1F"/>
          <w:w w:val="110"/>
        </w:rPr>
        <w:t>Anti-arrhythmics: </w:t>
      </w:r>
      <w:r>
        <w:rPr>
          <w:color w:val="231F1F"/>
          <w:w w:val="110"/>
        </w:rPr>
        <w:t>possible increased risk of bradycardia </w:t>
      </w:r>
      <w:r>
        <w:rPr>
          <w:color w:val="231F1F"/>
          <w:spacing w:val="-4"/>
          <w:w w:val="110"/>
        </w:rPr>
        <w:t>when </w:t>
      </w:r>
      <w:r>
        <w:rPr>
          <w:color w:val="231F1F"/>
          <w:w w:val="110"/>
        </w:rPr>
        <w:t>daclatasvir (with sofosbuvir) given with </w:t>
      </w:r>
      <w:r>
        <w:rPr>
          <w:rFonts w:ascii="Arial" w:hAnsi="Arial"/>
          <w:color w:val="231F1F"/>
          <w:w w:val="355"/>
          <w:position w:val="1"/>
          <w:sz w:val="7"/>
        </w:rPr>
        <w:t>l </w:t>
      </w:r>
      <w:r>
        <w:rPr>
          <w:rFonts w:ascii="Calibri" w:hAnsi="Calibri"/>
          <w:color w:val="008356"/>
          <w:spacing w:val="3"/>
          <w:w w:val="110"/>
          <w:sz w:val="11"/>
        </w:rPr>
        <w:t>AMIODARONE</w:t>
      </w:r>
      <w:r>
        <w:rPr>
          <w:rFonts w:ascii="Arial" w:hAnsi="Arial"/>
          <w:color w:val="231F1F"/>
          <w:spacing w:val="3"/>
          <w:w w:val="110"/>
        </w:rPr>
        <w:t>—</w:t>
      </w:r>
      <w:r>
        <w:rPr>
          <w:color w:val="231F1F"/>
          <w:spacing w:val="3"/>
          <w:w w:val="110"/>
        </w:rPr>
        <w:t>see </w:t>
      </w:r>
      <w:r>
        <w:rPr>
          <w:color w:val="231F1F"/>
          <w:w w:val="110"/>
        </w:rPr>
        <w:t>under Amiodarone, p. 88</w:t>
      </w:r>
    </w:p>
    <w:p>
      <w:pPr>
        <w:pStyle w:val="BodyText"/>
        <w:spacing w:line="244" w:lineRule="auto"/>
        <w:ind w:left="286" w:right="646"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Antibacterials:</w:t>
      </w:r>
      <w:r>
        <w:rPr>
          <w:rFonts w:ascii="Calibri" w:hAnsi="Calibri"/>
          <w:color w:val="231F1F"/>
          <w:spacing w:val="-11"/>
          <w:w w:val="115"/>
        </w:rPr>
        <w:t> </w:t>
      </w:r>
      <w:r>
        <w:rPr>
          <w:color w:val="231F1F"/>
          <w:w w:val="115"/>
        </w:rPr>
        <w:t>plasma</w:t>
      </w:r>
      <w:r>
        <w:rPr>
          <w:color w:val="231F1F"/>
          <w:spacing w:val="-14"/>
          <w:w w:val="115"/>
        </w:rPr>
        <w:t> </w:t>
      </w:r>
      <w:r>
        <w:rPr>
          <w:color w:val="231F1F"/>
          <w:w w:val="115"/>
        </w:rPr>
        <w:t>concentration</w:t>
      </w:r>
      <w:r>
        <w:rPr>
          <w:color w:val="231F1F"/>
          <w:spacing w:val="-13"/>
          <w:w w:val="115"/>
        </w:rPr>
        <w:t> </w:t>
      </w:r>
      <w:r>
        <w:rPr>
          <w:color w:val="231F1F"/>
          <w:w w:val="115"/>
        </w:rPr>
        <w:t>of</w:t>
      </w:r>
      <w:r>
        <w:rPr>
          <w:color w:val="231F1F"/>
          <w:spacing w:val="-13"/>
          <w:w w:val="115"/>
        </w:rPr>
        <w:t> </w:t>
      </w:r>
      <w:r>
        <w:rPr>
          <w:color w:val="231F1F"/>
          <w:w w:val="115"/>
        </w:rPr>
        <w:t>daclatasvir</w:t>
      </w:r>
      <w:r>
        <w:rPr>
          <w:color w:val="231F1F"/>
          <w:spacing w:val="-15"/>
          <w:w w:val="115"/>
        </w:rPr>
        <w:t> </w:t>
      </w:r>
      <w:r>
        <w:rPr>
          <w:color w:val="231F1F"/>
          <w:w w:val="115"/>
        </w:rPr>
        <w:t>possibly </w:t>
      </w:r>
      <w:r>
        <w:rPr>
          <w:color w:val="231F1F"/>
          <w:w w:val="110"/>
        </w:rPr>
        <w:t>increased</w:t>
      </w:r>
      <w:r>
        <w:rPr>
          <w:color w:val="231F1F"/>
          <w:spacing w:val="-14"/>
          <w:w w:val="110"/>
        </w:rPr>
        <w:t> </w:t>
      </w:r>
      <w:r>
        <w:rPr>
          <w:color w:val="231F1F"/>
          <w:w w:val="110"/>
        </w:rPr>
        <w:t>by</w:t>
      </w:r>
      <w:r>
        <w:rPr>
          <w:color w:val="231F1F"/>
          <w:spacing w:val="-14"/>
          <w:w w:val="110"/>
        </w:rPr>
        <w:t> </w:t>
      </w:r>
      <w:r>
        <w:rPr>
          <w:rFonts w:ascii="Arial" w:hAnsi="Arial"/>
          <w:color w:val="231F1F"/>
          <w:w w:val="110"/>
          <w:position w:val="1"/>
          <w:sz w:val="7"/>
        </w:rPr>
        <w:t>l</w:t>
      </w:r>
      <w:r>
        <w:rPr>
          <w:rFonts w:ascii="Arial" w:hAnsi="Arial"/>
          <w:color w:val="231F1F"/>
          <w:spacing w:val="-4"/>
          <w:w w:val="110"/>
          <w:position w:val="1"/>
          <w:sz w:val="7"/>
        </w:rPr>
        <w:t> </w:t>
      </w:r>
      <w:r>
        <w:rPr>
          <w:rFonts w:ascii="Calibri" w:hAnsi="Calibri"/>
          <w:color w:val="008356"/>
          <w:spacing w:val="4"/>
          <w:w w:val="110"/>
          <w:sz w:val="11"/>
        </w:rPr>
        <w:t>CLARITHROMYCIN</w:t>
      </w:r>
      <w:r>
        <w:rPr>
          <w:rFonts w:ascii="Calibri" w:hAnsi="Calibri"/>
          <w:color w:val="008356"/>
          <w:spacing w:val="-5"/>
          <w:w w:val="110"/>
          <w:sz w:val="11"/>
        </w:rPr>
        <w:t> </w:t>
      </w:r>
      <w:r>
        <w:rPr>
          <w:color w:val="231F1F"/>
          <w:w w:val="110"/>
        </w:rPr>
        <w:t>and</w:t>
      </w:r>
      <w:r>
        <w:rPr>
          <w:color w:val="231F1F"/>
          <w:spacing w:val="-14"/>
          <w:w w:val="110"/>
        </w:rPr>
        <w:t> </w:t>
      </w:r>
      <w:r>
        <w:rPr>
          <w:rFonts w:ascii="Arial" w:hAnsi="Arial"/>
          <w:color w:val="231F1F"/>
          <w:w w:val="110"/>
          <w:position w:val="1"/>
          <w:sz w:val="7"/>
        </w:rPr>
        <w:t>l</w:t>
      </w:r>
      <w:r>
        <w:rPr>
          <w:rFonts w:ascii="Arial" w:hAnsi="Arial"/>
          <w:color w:val="231F1F"/>
          <w:spacing w:val="-4"/>
          <w:w w:val="110"/>
          <w:position w:val="1"/>
          <w:sz w:val="7"/>
        </w:rPr>
        <w:t> </w:t>
      </w:r>
      <w:r>
        <w:rPr>
          <w:rFonts w:ascii="Calibri" w:hAnsi="Calibri"/>
          <w:color w:val="008356"/>
          <w:spacing w:val="3"/>
          <w:w w:val="110"/>
          <w:sz w:val="11"/>
        </w:rPr>
        <w:t>TELITHROMYCIN</w:t>
      </w:r>
      <w:r>
        <w:rPr>
          <w:rFonts w:ascii="Arial" w:hAnsi="Arial"/>
          <w:color w:val="231F1F"/>
          <w:spacing w:val="3"/>
          <w:w w:val="110"/>
        </w:rPr>
        <w:t>—</w:t>
      </w:r>
      <w:r>
        <w:rPr>
          <w:color w:val="231F1F"/>
          <w:spacing w:val="3"/>
          <w:w w:val="110"/>
        </w:rPr>
        <w:t>reduce </w:t>
      </w:r>
      <w:r>
        <w:rPr>
          <w:color w:val="231F1F"/>
          <w:w w:val="115"/>
        </w:rPr>
        <w:t>dose of daclatasvir (see under Daclatasvir, p. 544); plasma concentration of daclatasvir possibly reduced</w:t>
      </w:r>
      <w:r>
        <w:rPr>
          <w:color w:val="231F1F"/>
          <w:spacing w:val="-23"/>
          <w:w w:val="115"/>
        </w:rPr>
        <w:t> </w:t>
      </w:r>
      <w:r>
        <w:rPr>
          <w:color w:val="231F1F"/>
          <w:w w:val="115"/>
        </w:rPr>
        <w:t>by</w:t>
      </w:r>
    </w:p>
    <w:p>
      <w:pPr>
        <w:pStyle w:val="BodyText"/>
        <w:spacing w:line="244" w:lineRule="auto"/>
        <w:ind w:left="286" w:right="958" w:hanging="1"/>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15"/>
          <w:sz w:val="11"/>
        </w:rPr>
        <w:t>RIFABUTIN</w:t>
      </w:r>
      <w:r>
        <w:rPr>
          <w:rFonts w:ascii="Arial" w:hAnsi="Arial"/>
          <w:color w:val="231F1F"/>
          <w:w w:val="115"/>
        </w:rPr>
        <w:t>—</w:t>
      </w:r>
      <w:r>
        <w:rPr>
          <w:color w:val="231F1F"/>
          <w:w w:val="115"/>
        </w:rPr>
        <w:t>manufacturer</w:t>
      </w:r>
      <w:r>
        <w:rPr>
          <w:color w:val="231F1F"/>
          <w:spacing w:val="-19"/>
          <w:w w:val="115"/>
        </w:rPr>
        <w:t> </w:t>
      </w:r>
      <w:r>
        <w:rPr>
          <w:color w:val="231F1F"/>
          <w:w w:val="115"/>
        </w:rPr>
        <w:t>of</w:t>
      </w:r>
      <w:r>
        <w:rPr>
          <w:color w:val="231F1F"/>
          <w:spacing w:val="-19"/>
          <w:w w:val="115"/>
        </w:rPr>
        <w:t> </w:t>
      </w:r>
      <w:r>
        <w:rPr>
          <w:color w:val="231F1F"/>
          <w:w w:val="115"/>
        </w:rPr>
        <w:t>daclatasvir</w:t>
      </w:r>
      <w:r>
        <w:rPr>
          <w:color w:val="231F1F"/>
          <w:spacing w:val="-20"/>
          <w:w w:val="115"/>
        </w:rPr>
        <w:t> </w:t>
      </w:r>
      <w:r>
        <w:rPr>
          <w:color w:val="231F1F"/>
          <w:w w:val="115"/>
        </w:rPr>
        <w:t>advises</w:t>
      </w:r>
      <w:r>
        <w:rPr>
          <w:color w:val="231F1F"/>
          <w:spacing w:val="-19"/>
          <w:w w:val="115"/>
        </w:rPr>
        <w:t> </w:t>
      </w:r>
      <w:r>
        <w:rPr>
          <w:color w:val="231F1F"/>
          <w:spacing w:val="-3"/>
          <w:w w:val="115"/>
        </w:rPr>
        <w:t>avoid </w:t>
      </w:r>
      <w:r>
        <w:rPr>
          <w:color w:val="231F1F"/>
          <w:w w:val="115"/>
        </w:rPr>
        <w:t>concomitant use; plasma concentration of daclatasvir reduced</w:t>
      </w:r>
      <w:r>
        <w:rPr>
          <w:color w:val="231F1F"/>
          <w:spacing w:val="-11"/>
          <w:w w:val="115"/>
        </w:rPr>
        <w:t> </w:t>
      </w:r>
      <w:r>
        <w:rPr>
          <w:color w:val="231F1F"/>
          <w:w w:val="115"/>
        </w:rPr>
        <w:t>by</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RIFAMPICIN</w:t>
      </w:r>
      <w:r>
        <w:rPr>
          <w:rFonts w:ascii="Arial" w:hAnsi="Arial"/>
          <w:color w:val="231F1F"/>
          <w:spacing w:val="2"/>
          <w:w w:val="115"/>
        </w:rPr>
        <w:t>—</w:t>
      </w:r>
      <w:r>
        <w:rPr>
          <w:color w:val="231F1F"/>
          <w:spacing w:val="2"/>
          <w:w w:val="115"/>
        </w:rPr>
        <w:t>avoid</w:t>
      </w:r>
      <w:r>
        <w:rPr>
          <w:color w:val="231F1F"/>
          <w:spacing w:val="-12"/>
          <w:w w:val="115"/>
        </w:rPr>
        <w:t> </w:t>
      </w:r>
      <w:r>
        <w:rPr>
          <w:color w:val="231F1F"/>
          <w:w w:val="115"/>
        </w:rPr>
        <w:t>concomitant</w:t>
      </w:r>
      <w:r>
        <w:rPr>
          <w:color w:val="231F1F"/>
          <w:spacing w:val="-11"/>
          <w:w w:val="115"/>
        </w:rPr>
        <w:t> </w:t>
      </w:r>
      <w:r>
        <w:rPr>
          <w:color w:val="231F1F"/>
          <w:w w:val="115"/>
        </w:rPr>
        <w:t>use</w:t>
      </w:r>
    </w:p>
    <w:p>
      <w:pPr>
        <w:pStyle w:val="BodyText"/>
        <w:spacing w:line="230" w:lineRule="auto"/>
        <w:ind w:left="286" w:right="643"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daclatasvir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daclatasvir advises avoid concomitant use</w:t>
      </w:r>
    </w:p>
    <w:p>
      <w:pPr>
        <w:spacing w:before="2"/>
        <w:ind w:left="286" w:right="67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daclatasvir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1"/>
        <w:ind w:left="286" w:right="0" w:firstLine="0"/>
        <w:jc w:val="left"/>
        <w:rPr>
          <w:sz w:val="12"/>
        </w:rPr>
      </w:pPr>
      <w:r>
        <w:rPr>
          <w:rFonts w:ascii="Arial"/>
          <w:color w:val="231F1F"/>
          <w:w w:val="355"/>
          <w:position w:val="1"/>
          <w:sz w:val="7"/>
        </w:rPr>
        <w:t>l </w:t>
      </w:r>
      <w:r>
        <w:rPr>
          <w:rFonts w:ascii="Calibri"/>
          <w:color w:val="008356"/>
          <w:spacing w:val="4"/>
          <w:w w:val="120"/>
          <w:sz w:val="11"/>
        </w:rPr>
        <w:t>OXCARBAZEPINE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 </w:t>
      </w:r>
      <w:r>
        <w:rPr>
          <w:rFonts w:ascii="Arial"/>
          <w:color w:val="231F1F"/>
          <w:w w:val="355"/>
          <w:position w:val="1"/>
          <w:sz w:val="7"/>
        </w:rPr>
        <w:t>l </w:t>
      </w:r>
      <w:r>
        <w:rPr>
          <w:rFonts w:ascii="Calibri"/>
          <w:color w:val="008356"/>
          <w:spacing w:val="4"/>
          <w:w w:val="120"/>
          <w:sz w:val="11"/>
        </w:rPr>
        <w:t>PHENYTOIN </w:t>
      </w:r>
      <w:r>
        <w:rPr>
          <w:color w:val="231F1F"/>
          <w:w w:val="120"/>
          <w:sz w:val="12"/>
        </w:rPr>
        <w:t>and</w:t>
      </w:r>
    </w:p>
    <w:p>
      <w:pPr>
        <w:spacing w:after="0"/>
        <w:jc w:val="left"/>
        <w:rPr>
          <w:sz w:val="12"/>
        </w:rPr>
        <w:sectPr>
          <w:headerReference w:type="even" r:id="rId25"/>
          <w:headerReference w:type="default" r:id="rId26"/>
          <w:pgSz w:w="8390" w:h="11910"/>
          <w:pgMar w:header="0" w:footer="0" w:top="460" w:bottom="280" w:left="480" w:right="0"/>
          <w:pgNumType w:start="1182"/>
          <w:cols w:num="2" w:equalWidth="0">
            <w:col w:w="3628" w:space="48"/>
            <w:col w:w="4234"/>
          </w:cols>
        </w:sectPr>
      </w:pPr>
    </w:p>
    <w:p>
      <w:pPr>
        <w:pStyle w:val="BodyText"/>
        <w:spacing w:before="8"/>
        <w:ind w:left="0"/>
        <w:rPr>
          <w:sz w:val="14"/>
        </w:rPr>
      </w:pPr>
    </w:p>
    <w:p>
      <w:pPr>
        <w:pStyle w:val="BodyText"/>
        <w:ind w:left="108"/>
        <w:rPr>
          <w:rFonts w:ascii="Arial"/>
        </w:rPr>
      </w:pPr>
      <w:r>
        <w:rPr>
          <w:rFonts w:ascii="Arial"/>
          <w:color w:val="008356"/>
        </w:rPr>
        <w:t>Daclatasvir</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Antiepileptics (continued)</w:t>
      </w:r>
    </w:p>
    <w:p>
      <w:pPr>
        <w:pStyle w:val="BodyText"/>
        <w:spacing w:line="244" w:lineRule="auto"/>
        <w:ind w:right="259"/>
      </w:pPr>
      <w:r>
        <w:rPr>
          <w:rFonts w:ascii="Arial" w:hAnsi="Arial"/>
          <w:color w:val="231F1F"/>
          <w:w w:val="120"/>
          <w:position w:val="1"/>
          <w:sz w:val="7"/>
        </w:rPr>
        <w:t>l </w:t>
      </w:r>
      <w:r>
        <w:rPr>
          <w:rFonts w:ascii="Calibri" w:hAnsi="Calibri"/>
          <w:color w:val="008356"/>
          <w:w w:val="115"/>
          <w:sz w:val="11"/>
        </w:rPr>
        <w:t>PRIMIDONE</w:t>
      </w:r>
      <w:r>
        <w:rPr>
          <w:rFonts w:ascii="Arial" w:hAnsi="Arial"/>
          <w:color w:val="231F1F"/>
          <w:w w:val="115"/>
        </w:rPr>
        <w:t>—</w:t>
      </w:r>
      <w:r>
        <w:rPr>
          <w:color w:val="231F1F"/>
          <w:w w:val="115"/>
        </w:rPr>
        <w:t>manufacturer of daclatasvir advises avoid concomitant use</w:t>
      </w:r>
    </w:p>
    <w:p>
      <w:pPr>
        <w:pStyle w:val="BodyText"/>
        <w:spacing w:line="242" w:lineRule="auto"/>
        <w:ind w:right="79"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Antifungals:</w:t>
      </w:r>
      <w:r>
        <w:rPr>
          <w:rFonts w:ascii="Calibri" w:hAns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color w:val="231F1F"/>
          <w:w w:val="115"/>
        </w:rPr>
        <w:t>daclatasvir</w:t>
      </w:r>
      <w:r>
        <w:rPr>
          <w:color w:val="231F1F"/>
          <w:spacing w:val="-14"/>
          <w:w w:val="115"/>
        </w:rPr>
        <w:t> </w:t>
      </w:r>
      <w:r>
        <w:rPr>
          <w:color w:val="231F1F"/>
          <w:w w:val="115"/>
        </w:rPr>
        <w:t>increased</w:t>
      </w:r>
      <w:r>
        <w:rPr>
          <w:color w:val="231F1F"/>
          <w:spacing w:val="-15"/>
          <w:w w:val="115"/>
        </w:rPr>
        <w:t> </w:t>
      </w:r>
      <w:r>
        <w:rPr>
          <w:color w:val="231F1F"/>
          <w:spacing w:val="-8"/>
          <w:w w:val="115"/>
        </w:rPr>
        <w:t>by </w:t>
      </w:r>
      <w:r>
        <w:rPr>
          <w:rFonts w:ascii="Arial" w:hAnsi="Arial"/>
          <w:color w:val="231F1F"/>
          <w:w w:val="355"/>
          <w:position w:val="1"/>
          <w:sz w:val="7"/>
        </w:rPr>
        <w:t>l </w:t>
      </w:r>
      <w:r>
        <w:rPr>
          <w:rFonts w:ascii="Calibri" w:hAnsi="Calibri"/>
          <w:color w:val="008356"/>
          <w:spacing w:val="3"/>
          <w:w w:val="115"/>
          <w:sz w:val="11"/>
        </w:rPr>
        <w:t>KETOCONAZOLE</w:t>
      </w:r>
      <w:r>
        <w:rPr>
          <w:rFonts w:ascii="Arial" w:hAnsi="Arial"/>
          <w:color w:val="231F1F"/>
          <w:spacing w:val="3"/>
          <w:w w:val="115"/>
        </w:rPr>
        <w:t>—</w:t>
      </w:r>
      <w:r>
        <w:rPr>
          <w:color w:val="231F1F"/>
          <w:spacing w:val="3"/>
          <w:w w:val="115"/>
        </w:rPr>
        <w:t>reduce </w:t>
      </w:r>
      <w:r>
        <w:rPr>
          <w:color w:val="231F1F"/>
          <w:w w:val="115"/>
        </w:rPr>
        <w:t>dose of daclatasvir (see under Daclatasvir, p. 544); plasma concentration of daclatasvir possibly</w:t>
      </w:r>
      <w:r>
        <w:rPr>
          <w:color w:val="231F1F"/>
          <w:spacing w:val="-25"/>
          <w:w w:val="115"/>
        </w:rPr>
        <w:t> </w:t>
      </w:r>
      <w:r>
        <w:rPr>
          <w:color w:val="231F1F"/>
          <w:w w:val="115"/>
        </w:rPr>
        <w:t>increased</w:t>
      </w:r>
      <w:r>
        <w:rPr>
          <w:color w:val="231F1F"/>
          <w:spacing w:val="-24"/>
          <w:w w:val="115"/>
        </w:rPr>
        <w:t> </w:t>
      </w:r>
      <w:r>
        <w:rPr>
          <w:color w:val="231F1F"/>
          <w:w w:val="115"/>
        </w:rPr>
        <w:t>by</w:t>
      </w:r>
      <w:r>
        <w:rPr>
          <w:color w:val="231F1F"/>
          <w:spacing w:val="-24"/>
          <w:w w:val="115"/>
        </w:rPr>
        <w:t> </w:t>
      </w:r>
      <w:r>
        <w:rPr>
          <w:rFonts w:ascii="Arial" w:hAnsi="Arial"/>
          <w:color w:val="231F1F"/>
          <w:w w:val="250"/>
          <w:position w:val="1"/>
          <w:sz w:val="7"/>
        </w:rPr>
        <w:t>l</w:t>
      </w:r>
      <w:r>
        <w:rPr>
          <w:rFonts w:ascii="Arial" w:hAnsi="Arial"/>
          <w:color w:val="231F1F"/>
          <w:spacing w:val="-39"/>
          <w:w w:val="250"/>
          <w:position w:val="1"/>
          <w:sz w:val="7"/>
        </w:rPr>
        <w:t> </w:t>
      </w:r>
      <w:r>
        <w:rPr>
          <w:rFonts w:ascii="Calibri" w:hAnsi="Calibri"/>
          <w:color w:val="008356"/>
          <w:spacing w:val="4"/>
          <w:w w:val="115"/>
          <w:sz w:val="11"/>
        </w:rPr>
        <w:t>ITRACONAZOLE</w:t>
      </w:r>
      <w:r>
        <w:rPr>
          <w:color w:val="231F1F"/>
          <w:spacing w:val="4"/>
          <w:w w:val="115"/>
        </w:rPr>
        <w:t>,</w:t>
      </w:r>
      <w:r>
        <w:rPr>
          <w:color w:val="231F1F"/>
          <w:spacing w:val="-24"/>
          <w:w w:val="115"/>
        </w:rPr>
        <w:t> </w:t>
      </w:r>
      <w:r>
        <w:rPr>
          <w:rFonts w:ascii="Arial" w:hAnsi="Arial"/>
          <w:color w:val="231F1F"/>
          <w:w w:val="250"/>
          <w:position w:val="1"/>
          <w:sz w:val="7"/>
        </w:rPr>
        <w:t>l</w:t>
      </w:r>
      <w:r>
        <w:rPr>
          <w:rFonts w:ascii="Arial" w:hAnsi="Arial"/>
          <w:color w:val="231F1F"/>
          <w:spacing w:val="-39"/>
          <w:w w:val="250"/>
          <w:position w:val="1"/>
          <w:sz w:val="7"/>
        </w:rPr>
        <w:t> </w:t>
      </w:r>
      <w:r>
        <w:rPr>
          <w:rFonts w:ascii="Calibri" w:hAnsi="Calibri"/>
          <w:color w:val="008356"/>
          <w:spacing w:val="4"/>
          <w:w w:val="115"/>
          <w:sz w:val="11"/>
        </w:rPr>
        <w:t>POSACONAZOLE</w:t>
      </w:r>
      <w:r>
        <w:rPr>
          <w:rFonts w:ascii="Calibri" w:hAnsi="Calibri"/>
          <w:color w:val="008356"/>
          <w:spacing w:val="-16"/>
          <w:w w:val="115"/>
          <w:sz w:val="11"/>
        </w:rPr>
        <w:t> </w:t>
      </w:r>
      <w:r>
        <w:rPr>
          <w:color w:val="231F1F"/>
          <w:w w:val="115"/>
        </w:rPr>
        <w:t>and</w:t>
      </w:r>
    </w:p>
    <w:p>
      <w:pPr>
        <w:pStyle w:val="BodyText"/>
        <w:ind w:right="391"/>
      </w:pPr>
      <w:r>
        <w:rPr>
          <w:rFonts w:ascii="Arial" w:hAnsi="Arial"/>
          <w:color w:val="231F1F"/>
          <w:w w:val="170"/>
          <w:position w:val="1"/>
          <w:sz w:val="7"/>
        </w:rPr>
        <w:t>l</w:t>
      </w:r>
      <w:r>
        <w:rPr>
          <w:rFonts w:ascii="Arial" w:hAnsi="Arial"/>
          <w:color w:val="231F1F"/>
          <w:spacing w:val="-24"/>
          <w:w w:val="170"/>
          <w:position w:val="1"/>
          <w:sz w:val="7"/>
        </w:rPr>
        <w:t> </w:t>
      </w:r>
      <w:r>
        <w:rPr>
          <w:rFonts w:ascii="Calibri" w:hAnsi="Calibri"/>
          <w:color w:val="008356"/>
          <w:spacing w:val="3"/>
          <w:w w:val="115"/>
          <w:sz w:val="11"/>
        </w:rPr>
        <w:t>VORICONAZOLE</w:t>
      </w:r>
      <w:r>
        <w:rPr>
          <w:rFonts w:ascii="Arial" w:hAnsi="Arial"/>
          <w:color w:val="231F1F"/>
          <w:spacing w:val="3"/>
          <w:w w:val="115"/>
        </w:rPr>
        <w:t>—</w:t>
      </w:r>
      <w:r>
        <w:rPr>
          <w:color w:val="231F1F"/>
          <w:spacing w:val="3"/>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daclatasvir</w:t>
      </w:r>
      <w:r>
        <w:rPr>
          <w:color w:val="231F1F"/>
          <w:spacing w:val="-24"/>
          <w:w w:val="115"/>
        </w:rPr>
        <w:t> </w:t>
      </w:r>
      <w:r>
        <w:rPr>
          <w:color w:val="231F1F"/>
          <w:w w:val="115"/>
        </w:rPr>
        <w:t>(see</w:t>
      </w:r>
      <w:r>
        <w:rPr>
          <w:color w:val="231F1F"/>
          <w:spacing w:val="-24"/>
          <w:w w:val="115"/>
        </w:rPr>
        <w:t> </w:t>
      </w:r>
      <w:r>
        <w:rPr>
          <w:color w:val="231F1F"/>
          <w:spacing w:val="-3"/>
          <w:w w:val="115"/>
        </w:rPr>
        <w:t>under </w:t>
      </w:r>
      <w:r>
        <w:rPr>
          <w:color w:val="231F1F"/>
          <w:w w:val="115"/>
        </w:rPr>
        <w:t>Daclatasvir, p.</w:t>
      </w:r>
      <w:r>
        <w:rPr>
          <w:color w:val="231F1F"/>
          <w:spacing w:val="-12"/>
          <w:w w:val="115"/>
        </w:rPr>
        <w:t> </w:t>
      </w:r>
      <w:r>
        <w:rPr>
          <w:color w:val="231F1F"/>
          <w:w w:val="115"/>
        </w:rPr>
        <w:t>544)</w:t>
      </w:r>
    </w:p>
    <w:p>
      <w:pPr>
        <w:pStyle w:val="BodyText"/>
        <w:spacing w:line="242" w:lineRule="auto" w:before="2"/>
        <w:ind w:right="99" w:hanging="100"/>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5"/>
        </w:rPr>
        <w:t>Antivirals:</w:t>
      </w:r>
      <w:r>
        <w:rPr>
          <w:rFonts w:ascii="Calibri" w:hAnsi="Calibri"/>
          <w:color w:val="231F1F"/>
          <w:spacing w:val="-6"/>
          <w:w w:val="115"/>
        </w:rPr>
        <w:t> </w:t>
      </w:r>
      <w:r>
        <w:rPr>
          <w:color w:val="231F1F"/>
          <w:w w:val="115"/>
        </w:rPr>
        <w:t>plasma</w:t>
      </w:r>
      <w:r>
        <w:rPr>
          <w:color w:val="231F1F"/>
          <w:spacing w:val="-9"/>
          <w:w w:val="115"/>
        </w:rPr>
        <w:t> </w:t>
      </w:r>
      <w:r>
        <w:rPr>
          <w:color w:val="231F1F"/>
          <w:w w:val="115"/>
        </w:rPr>
        <w:t>concentration</w:t>
      </w:r>
      <w:r>
        <w:rPr>
          <w:color w:val="231F1F"/>
          <w:spacing w:val="-9"/>
          <w:w w:val="115"/>
        </w:rPr>
        <w:t> </w:t>
      </w:r>
      <w:r>
        <w:rPr>
          <w:color w:val="231F1F"/>
          <w:w w:val="115"/>
        </w:rPr>
        <w:t>of</w:t>
      </w:r>
      <w:r>
        <w:rPr>
          <w:color w:val="231F1F"/>
          <w:spacing w:val="-8"/>
          <w:w w:val="115"/>
        </w:rPr>
        <w:t> </w:t>
      </w:r>
      <w:r>
        <w:rPr>
          <w:color w:val="231F1F"/>
          <w:w w:val="115"/>
        </w:rPr>
        <w:t>daclatasvir</w:t>
      </w:r>
      <w:r>
        <w:rPr>
          <w:color w:val="231F1F"/>
          <w:spacing w:val="-10"/>
          <w:w w:val="115"/>
        </w:rPr>
        <w:t> </w:t>
      </w:r>
      <w:r>
        <w:rPr>
          <w:color w:val="231F1F"/>
          <w:w w:val="115"/>
        </w:rPr>
        <w:t>increased</w:t>
      </w:r>
      <w:r>
        <w:rPr>
          <w:color w:val="231F1F"/>
          <w:spacing w:val="-9"/>
          <w:w w:val="115"/>
        </w:rPr>
        <w:t> </w:t>
      </w:r>
      <w:r>
        <w:rPr>
          <w:color w:val="231F1F"/>
          <w:w w:val="115"/>
        </w:rPr>
        <w:t>by</w:t>
      </w:r>
      <w:r>
        <w:rPr>
          <w:color w:val="231F1F"/>
          <w:w w:val="115"/>
          <w:position w:val="1"/>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ATAZANAVIR</w:t>
      </w:r>
      <w:r>
        <w:rPr>
          <w:rFonts w:ascii="Calibri" w:hAnsi="Calibri"/>
          <w:color w:val="008356"/>
          <w:spacing w:val="-12"/>
          <w:w w:val="115"/>
          <w:sz w:val="11"/>
        </w:rPr>
        <w:t> </w:t>
      </w:r>
      <w:r>
        <w:rPr>
          <w:color w:val="231F1F"/>
          <w:w w:val="115"/>
        </w:rPr>
        <w:t>and</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TELAPREVIR</w:t>
      </w:r>
      <w:r>
        <w:rPr>
          <w:rFonts w:ascii="Arial" w:hAnsi="Arial"/>
          <w:color w:val="231F1F"/>
          <w:spacing w:val="2"/>
          <w:w w:val="115"/>
        </w:rPr>
        <w:t>—</w:t>
      </w:r>
      <w:r>
        <w:rPr>
          <w:color w:val="231F1F"/>
          <w:spacing w:val="2"/>
          <w:w w:val="115"/>
        </w:rPr>
        <w:t>reduce</w:t>
      </w:r>
      <w:r>
        <w:rPr>
          <w:color w:val="231F1F"/>
          <w:spacing w:val="-20"/>
          <w:w w:val="115"/>
        </w:rPr>
        <w:t> </w:t>
      </w:r>
      <w:r>
        <w:rPr>
          <w:color w:val="231F1F"/>
          <w:w w:val="115"/>
        </w:rPr>
        <w:t>dose</w:t>
      </w:r>
      <w:r>
        <w:rPr>
          <w:color w:val="231F1F"/>
          <w:spacing w:val="-20"/>
          <w:w w:val="115"/>
        </w:rPr>
        <w:t> </w:t>
      </w:r>
      <w:r>
        <w:rPr>
          <w:color w:val="231F1F"/>
          <w:w w:val="115"/>
        </w:rPr>
        <w:t>of</w:t>
      </w:r>
      <w:r>
        <w:rPr>
          <w:color w:val="231F1F"/>
          <w:spacing w:val="-20"/>
          <w:w w:val="115"/>
        </w:rPr>
        <w:t> </w:t>
      </w:r>
      <w:r>
        <w:rPr>
          <w:color w:val="231F1F"/>
          <w:w w:val="115"/>
        </w:rPr>
        <w:t>daclatasvir (see under Daclatasvir, p. 544); plasma concentration of daclatasvir</w:t>
      </w:r>
      <w:r>
        <w:rPr>
          <w:color w:val="231F1F"/>
          <w:spacing w:val="-24"/>
          <w:w w:val="115"/>
        </w:rPr>
        <w:t> </w:t>
      </w:r>
      <w:r>
        <w:rPr>
          <w:color w:val="231F1F"/>
          <w:w w:val="115"/>
        </w:rPr>
        <w:t>possibly</w:t>
      </w:r>
      <w:r>
        <w:rPr>
          <w:color w:val="231F1F"/>
          <w:spacing w:val="-24"/>
          <w:w w:val="115"/>
        </w:rPr>
        <w:t> </w:t>
      </w:r>
      <w:r>
        <w:rPr>
          <w:color w:val="231F1F"/>
          <w:w w:val="115"/>
        </w:rPr>
        <w:t>increased</w:t>
      </w:r>
      <w:r>
        <w:rPr>
          <w:color w:val="231F1F"/>
          <w:spacing w:val="-25"/>
          <w:w w:val="115"/>
        </w:rPr>
        <w:t> </w:t>
      </w:r>
      <w:r>
        <w:rPr>
          <w:color w:val="231F1F"/>
          <w:w w:val="115"/>
        </w:rPr>
        <w:t>by</w:t>
      </w:r>
      <w:r>
        <w:rPr>
          <w:color w:val="231F1F"/>
          <w:spacing w:val="-23"/>
          <w:w w:val="115"/>
        </w:rPr>
        <w:t> </w:t>
      </w:r>
      <w:r>
        <w:rPr>
          <w:rFonts w:ascii="Arial" w:hAnsi="Arial"/>
          <w:color w:val="231F1F"/>
          <w:w w:val="345"/>
          <w:position w:val="1"/>
          <w:sz w:val="7"/>
        </w:rPr>
        <w:t>l</w:t>
      </w:r>
      <w:r>
        <w:rPr>
          <w:rFonts w:ascii="Arial" w:hAnsi="Arial"/>
          <w:color w:val="231F1F"/>
          <w:spacing w:val="-58"/>
          <w:w w:val="345"/>
          <w:position w:val="1"/>
          <w:sz w:val="7"/>
        </w:rPr>
        <w:t> </w:t>
      </w:r>
      <w:r>
        <w:rPr>
          <w:rFonts w:ascii="Calibri" w:hAnsi="Calibri"/>
          <w:color w:val="008356"/>
          <w:spacing w:val="2"/>
          <w:w w:val="115"/>
          <w:sz w:val="11"/>
        </w:rPr>
        <w:t>BOCEPREVIR</w:t>
      </w:r>
      <w:r>
        <w:rPr>
          <w:rFonts w:ascii="Arial" w:hAnsi="Arial"/>
          <w:color w:val="231F1F"/>
          <w:spacing w:val="2"/>
          <w:w w:val="115"/>
        </w:rPr>
        <w:t>—</w:t>
      </w:r>
      <w:r>
        <w:rPr>
          <w:color w:val="231F1F"/>
          <w:spacing w:val="2"/>
          <w:w w:val="115"/>
        </w:rPr>
        <w:t>reduce</w:t>
      </w:r>
      <w:r>
        <w:rPr>
          <w:color w:val="231F1F"/>
          <w:spacing w:val="-24"/>
          <w:w w:val="115"/>
        </w:rPr>
        <w:t> </w:t>
      </w:r>
      <w:r>
        <w:rPr>
          <w:color w:val="231F1F"/>
          <w:spacing w:val="-3"/>
          <w:w w:val="115"/>
        </w:rPr>
        <w:t>dose </w:t>
      </w:r>
      <w:r>
        <w:rPr>
          <w:color w:val="231F1F"/>
          <w:w w:val="115"/>
        </w:rPr>
        <w:t>of</w:t>
      </w:r>
      <w:r>
        <w:rPr>
          <w:color w:val="231F1F"/>
          <w:spacing w:val="-9"/>
          <w:w w:val="115"/>
        </w:rPr>
        <w:t> </w:t>
      </w:r>
      <w:r>
        <w:rPr>
          <w:color w:val="231F1F"/>
          <w:w w:val="115"/>
        </w:rPr>
        <w:t>daclatasvir</w:t>
      </w:r>
      <w:r>
        <w:rPr>
          <w:color w:val="231F1F"/>
          <w:spacing w:val="-9"/>
          <w:w w:val="115"/>
        </w:rPr>
        <w:t> </w:t>
      </w:r>
      <w:r>
        <w:rPr>
          <w:color w:val="231F1F"/>
          <w:w w:val="115"/>
        </w:rPr>
        <w:t>(see</w:t>
      </w:r>
      <w:r>
        <w:rPr>
          <w:color w:val="231F1F"/>
          <w:spacing w:val="-9"/>
          <w:w w:val="115"/>
        </w:rPr>
        <w:t> </w:t>
      </w:r>
      <w:r>
        <w:rPr>
          <w:color w:val="231F1F"/>
          <w:w w:val="115"/>
        </w:rPr>
        <w:t>under</w:t>
      </w:r>
      <w:r>
        <w:rPr>
          <w:color w:val="231F1F"/>
          <w:spacing w:val="-9"/>
          <w:w w:val="115"/>
        </w:rPr>
        <w:t> </w:t>
      </w:r>
      <w:r>
        <w:rPr>
          <w:color w:val="231F1F"/>
          <w:w w:val="115"/>
        </w:rPr>
        <w:t>Daclatasvir,</w:t>
      </w:r>
      <w:r>
        <w:rPr>
          <w:color w:val="231F1F"/>
          <w:spacing w:val="18"/>
          <w:w w:val="115"/>
        </w:rPr>
        <w:t> </w:t>
      </w:r>
      <w:r>
        <w:rPr>
          <w:color w:val="231F1F"/>
          <w:w w:val="115"/>
        </w:rPr>
        <w:t>p.</w:t>
      </w:r>
      <w:r>
        <w:rPr>
          <w:color w:val="231F1F"/>
          <w:spacing w:val="-9"/>
          <w:w w:val="115"/>
        </w:rPr>
        <w:t> </w:t>
      </w:r>
      <w:r>
        <w:rPr>
          <w:color w:val="231F1F"/>
          <w:w w:val="115"/>
        </w:rPr>
        <w:t>544);</w:t>
      </w:r>
      <w:r>
        <w:rPr>
          <w:color w:val="231F1F"/>
          <w:spacing w:val="-8"/>
          <w:w w:val="115"/>
        </w:rPr>
        <w:t> </w:t>
      </w:r>
      <w:r>
        <w:rPr>
          <w:color w:val="231F1F"/>
          <w:w w:val="115"/>
        </w:rPr>
        <w:t>manufacturer</w:t>
      </w:r>
    </w:p>
    <w:p>
      <w:pPr>
        <w:pStyle w:val="BodyText"/>
        <w:spacing w:line="242" w:lineRule="auto" w:before="6"/>
      </w:pPr>
      <w:r>
        <w:rPr>
          <w:color w:val="231F1F"/>
          <w:w w:val="110"/>
        </w:rPr>
        <w:t>of daclatasvir advises avoid concomitant use with </w:t>
      </w:r>
      <w:r>
        <w:rPr>
          <w:rFonts w:ascii="Calibri"/>
          <w:color w:val="008356"/>
          <w:w w:val="110"/>
          <w:sz w:val="11"/>
        </w:rPr>
        <w:t>DARUNAVIR </w:t>
      </w:r>
      <w:r>
        <w:rPr>
          <w:color w:val="231F1F"/>
          <w:w w:val="110"/>
        </w:rPr>
        <w:t>and </w:t>
      </w:r>
      <w:r>
        <w:rPr>
          <w:rFonts w:ascii="Calibri"/>
          <w:color w:val="008356"/>
          <w:w w:val="110"/>
          <w:sz w:val="11"/>
        </w:rPr>
        <w:t>LOPINAVIR </w:t>
      </w:r>
      <w:r>
        <w:rPr>
          <w:color w:val="231F1F"/>
          <w:w w:val="110"/>
        </w:rPr>
        <w:t>(plasma concentration of daclatasvir possibly increased); plasma concentration of daclatasvir reduced by</w:t>
      </w:r>
    </w:p>
    <w:p>
      <w:pPr>
        <w:pStyle w:val="BodyText"/>
        <w:spacing w:line="244" w:lineRule="auto" w:before="4"/>
        <w:ind w:right="229"/>
      </w:pPr>
      <w:r>
        <w:rPr>
          <w:rFonts w:ascii="Arial" w:hAnsi="Arial"/>
          <w:color w:val="231F1F"/>
          <w:w w:val="355"/>
          <w:position w:val="1"/>
          <w:sz w:val="7"/>
        </w:rPr>
        <w:t>l </w:t>
      </w:r>
      <w:r>
        <w:rPr>
          <w:rFonts w:ascii="Calibri" w:hAnsi="Calibri"/>
          <w:color w:val="008356"/>
          <w:w w:val="115"/>
          <w:sz w:val="11"/>
        </w:rPr>
        <w:t>EFAVIRENZ</w:t>
      </w:r>
      <w:r>
        <w:rPr>
          <w:rFonts w:ascii="Arial" w:hAnsi="Arial"/>
          <w:color w:val="231F1F"/>
          <w:w w:val="115"/>
        </w:rPr>
        <w:t>—</w:t>
      </w:r>
      <w:r>
        <w:rPr>
          <w:color w:val="231F1F"/>
          <w:w w:val="115"/>
        </w:rPr>
        <w:t>increase dose of daclatasvir (see under Daclatasvir, p. 544); manufacturer of daclatasvir advises avoid concomitant use with </w:t>
      </w:r>
      <w:r>
        <w:rPr>
          <w:rFonts w:ascii="Calibri" w:hAnsi="Calibri"/>
          <w:color w:val="008356"/>
          <w:w w:val="115"/>
          <w:sz w:val="11"/>
        </w:rPr>
        <w:t>ETRAVIRINE </w:t>
      </w:r>
      <w:r>
        <w:rPr>
          <w:color w:val="231F1F"/>
          <w:w w:val="115"/>
        </w:rPr>
        <w:t>and </w:t>
      </w:r>
      <w:r>
        <w:rPr>
          <w:rFonts w:ascii="Calibri" w:hAnsi="Calibri"/>
          <w:color w:val="008356"/>
          <w:w w:val="115"/>
          <w:sz w:val="11"/>
        </w:rPr>
        <w:t>NEVIRAPINE </w:t>
      </w:r>
      <w:r>
        <w:rPr>
          <w:color w:val="231F1F"/>
          <w:w w:val="115"/>
        </w:rPr>
        <w:t>(plasma concentration of daclatasvir possibly reduced)</w:t>
      </w:r>
    </w:p>
    <w:p>
      <w:pPr>
        <w:pStyle w:val="BodyText"/>
        <w:ind w:right="17"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daclatasvir increases plasma concentration of </w:t>
      </w:r>
      <w:r>
        <w:rPr>
          <w:rFonts w:ascii="Arial"/>
          <w:color w:val="231F1F"/>
          <w:w w:val="355"/>
          <w:position w:val="1"/>
          <w:sz w:val="7"/>
        </w:rPr>
        <w:t>l </w:t>
      </w:r>
      <w:r>
        <w:rPr>
          <w:rFonts w:ascii="Calibri"/>
          <w:color w:val="008356"/>
          <w:w w:val="110"/>
          <w:sz w:val="11"/>
        </w:rPr>
        <w:t>DIGOXIN</w:t>
      </w:r>
    </w:p>
    <w:p>
      <w:pPr>
        <w:pStyle w:val="BodyText"/>
        <w:ind w:right="233" w:hanging="100"/>
      </w:pPr>
      <w:r>
        <w:rPr>
          <w:rFonts w:ascii="Arial" w:hAnsi="Arial"/>
          <w:color w:val="231F1F"/>
          <w:w w:val="355"/>
          <w:position w:val="1"/>
          <w:sz w:val="7"/>
        </w:rPr>
        <w:t>l </w:t>
      </w:r>
      <w:r>
        <w:rPr>
          <w:rFonts w:ascii="Calibri" w:hAnsi="Calibri"/>
          <w:color w:val="231F1F"/>
          <w:w w:val="115"/>
        </w:rPr>
        <w:t>Cobicistat: </w:t>
      </w:r>
      <w:r>
        <w:rPr>
          <w:color w:val="231F1F"/>
          <w:w w:val="115"/>
        </w:rPr>
        <w:t>plasma concentration of daclatasvir possibly increased</w:t>
      </w:r>
      <w:r>
        <w:rPr>
          <w:color w:val="231F1F"/>
          <w:spacing w:val="-24"/>
          <w:w w:val="115"/>
        </w:rPr>
        <w:t> </w:t>
      </w:r>
      <w:r>
        <w:rPr>
          <w:color w:val="231F1F"/>
          <w:w w:val="115"/>
        </w:rPr>
        <w:t>by</w:t>
      </w:r>
      <w:r>
        <w:rPr>
          <w:color w:val="231F1F"/>
          <w:spacing w:val="-22"/>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COBICISTAT</w:t>
      </w:r>
      <w:r>
        <w:rPr>
          <w:rFonts w:ascii="Arial" w:hAnsi="Arial"/>
          <w:color w:val="231F1F"/>
          <w:spacing w:val="2"/>
          <w:w w:val="115"/>
        </w:rPr>
        <w:t>—</w:t>
      </w:r>
      <w:r>
        <w:rPr>
          <w:color w:val="231F1F"/>
          <w:spacing w:val="2"/>
          <w:w w:val="115"/>
        </w:rPr>
        <w:t>reduce</w:t>
      </w:r>
      <w:r>
        <w:rPr>
          <w:color w:val="231F1F"/>
          <w:spacing w:val="-22"/>
          <w:w w:val="115"/>
        </w:rPr>
        <w:t> </w:t>
      </w:r>
      <w:r>
        <w:rPr>
          <w:color w:val="231F1F"/>
          <w:w w:val="115"/>
        </w:rPr>
        <w:t>dose</w:t>
      </w:r>
      <w:r>
        <w:rPr>
          <w:color w:val="231F1F"/>
          <w:spacing w:val="-23"/>
          <w:w w:val="115"/>
        </w:rPr>
        <w:t> </w:t>
      </w:r>
      <w:r>
        <w:rPr>
          <w:color w:val="231F1F"/>
          <w:w w:val="115"/>
        </w:rPr>
        <w:t>of</w:t>
      </w:r>
      <w:r>
        <w:rPr>
          <w:color w:val="231F1F"/>
          <w:spacing w:val="-23"/>
          <w:w w:val="115"/>
        </w:rPr>
        <w:t> </w:t>
      </w:r>
      <w:r>
        <w:rPr>
          <w:color w:val="231F1F"/>
          <w:w w:val="115"/>
        </w:rPr>
        <w:t>daclatasvir</w:t>
      </w:r>
      <w:r>
        <w:rPr>
          <w:color w:val="231F1F"/>
          <w:spacing w:val="-23"/>
          <w:w w:val="115"/>
        </w:rPr>
        <w:t> </w:t>
      </w:r>
      <w:r>
        <w:rPr>
          <w:color w:val="231F1F"/>
          <w:spacing w:val="-3"/>
          <w:w w:val="115"/>
        </w:rPr>
        <w:t>(see </w:t>
      </w:r>
      <w:r>
        <w:rPr>
          <w:color w:val="231F1F"/>
          <w:w w:val="115"/>
        </w:rPr>
        <w:t>under Daclatasvir, p.</w:t>
      </w:r>
      <w:r>
        <w:rPr>
          <w:color w:val="231F1F"/>
          <w:spacing w:val="-16"/>
          <w:w w:val="115"/>
        </w:rPr>
        <w:t> </w:t>
      </w:r>
      <w:r>
        <w:rPr>
          <w:color w:val="231F1F"/>
          <w:w w:val="115"/>
        </w:rPr>
        <w:t>544)</w:t>
      </w:r>
    </w:p>
    <w:p>
      <w:pPr>
        <w:pStyle w:val="BodyText"/>
        <w:spacing w:line="230" w:lineRule="auto" w:before="3"/>
        <w:ind w:right="117"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plasma concentration of daclatasvir possibly reduced by </w:t>
      </w:r>
      <w:r>
        <w:rPr>
          <w:rFonts w:ascii="Calibri" w:hAnsi="Calibri"/>
          <w:color w:val="008356"/>
          <w:spacing w:val="2"/>
          <w:w w:val="110"/>
          <w:sz w:val="11"/>
        </w:rPr>
        <w:t>DEXAMETHASONE</w:t>
      </w:r>
      <w:r>
        <w:rPr>
          <w:rFonts w:ascii="Arial" w:hAnsi="Arial"/>
          <w:color w:val="231F1F"/>
          <w:spacing w:val="2"/>
          <w:w w:val="110"/>
        </w:rPr>
        <w:t>—</w:t>
      </w:r>
      <w:r>
        <w:rPr>
          <w:color w:val="231F1F"/>
          <w:spacing w:val="2"/>
          <w:w w:val="110"/>
        </w:rPr>
        <w:t>manufacturer </w:t>
      </w:r>
      <w:r>
        <w:rPr>
          <w:color w:val="231F1F"/>
          <w:w w:val="110"/>
        </w:rPr>
        <w:t>of daclatasvir advises avoid concomitant</w:t>
      </w:r>
      <w:r>
        <w:rPr>
          <w:color w:val="231F1F"/>
          <w:spacing w:val="-5"/>
          <w:w w:val="110"/>
        </w:rPr>
        <w:t> </w:t>
      </w:r>
      <w:r>
        <w:rPr>
          <w:color w:val="231F1F"/>
          <w:w w:val="110"/>
        </w:rPr>
        <w:t>use</w:t>
      </w:r>
    </w:p>
    <w:p>
      <w:pPr>
        <w:pStyle w:val="BodyText"/>
        <w:spacing w:line="220" w:lineRule="auto" w:before="12"/>
        <w:ind w:right="259"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daclatasvir increases </w:t>
      </w:r>
      <w:r>
        <w:rPr>
          <w:color w:val="231F1F"/>
          <w:spacing w:val="-3"/>
          <w:w w:val="105"/>
        </w:rPr>
        <w:t>plasma </w:t>
      </w:r>
      <w:r>
        <w:rPr>
          <w:color w:val="231F1F"/>
          <w:w w:val="105"/>
        </w:rPr>
        <w:t>concentration of</w:t>
      </w:r>
      <w:r>
        <w:rPr>
          <w:color w:val="231F1F"/>
          <w:spacing w:val="3"/>
          <w:w w:val="105"/>
        </w:rPr>
        <w:t> </w:t>
      </w:r>
      <w:r>
        <w:rPr>
          <w:rFonts w:ascii="Calibri" w:hAnsi="Calibri"/>
          <w:color w:val="008356"/>
          <w:spacing w:val="3"/>
          <w:w w:val="105"/>
          <w:sz w:val="11"/>
        </w:rPr>
        <w:t>ROSUVASTATIN</w:t>
      </w:r>
    </w:p>
    <w:p>
      <w:pPr>
        <w:pStyle w:val="BodyText"/>
        <w:spacing w:before="9"/>
        <w:ind w:left="108"/>
        <w:rPr>
          <w:rFonts w:ascii="Trebuchet MS"/>
        </w:rPr>
      </w:pPr>
      <w:r>
        <w:rPr>
          <w:rFonts w:ascii="Trebuchet MS"/>
          <w:color w:val="008356"/>
        </w:rPr>
        <w:t>Dactinomycin</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240" w:lineRule="auto" w:before="0"/>
        <w:ind w:left="208" w:right="259"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Vitamins: </w:t>
      </w:r>
      <w:r>
        <w:rPr>
          <w:color w:val="231F1F"/>
          <w:sz w:val="12"/>
        </w:rPr>
        <w:t>dactinomycin possibly reduces effects of </w:t>
      </w:r>
      <w:r>
        <w:rPr>
          <w:rFonts w:ascii="Calibri" w:hAnsi="Calibri"/>
          <w:color w:val="008356"/>
          <w:sz w:val="11"/>
        </w:rPr>
        <w:t>ALFACALCIDOL</w:t>
      </w:r>
      <w:r>
        <w:rPr>
          <w:color w:val="231F1F"/>
          <w:sz w:val="12"/>
        </w:rPr>
        <w:t>, </w:t>
      </w:r>
      <w:r>
        <w:rPr>
          <w:rFonts w:ascii="Calibri" w:hAnsi="Calibri"/>
          <w:color w:val="008356"/>
          <w:sz w:val="11"/>
        </w:rPr>
        <w:t>CALCITRIOL</w:t>
      </w:r>
      <w:r>
        <w:rPr>
          <w:color w:val="231F1F"/>
          <w:sz w:val="12"/>
        </w:rPr>
        <w:t>, </w:t>
      </w:r>
      <w:r>
        <w:rPr>
          <w:rFonts w:ascii="Calibri" w:hAnsi="Calibri"/>
          <w:color w:val="008356"/>
          <w:sz w:val="11"/>
        </w:rPr>
        <w:t>COLECALCIFEROL</w:t>
      </w:r>
      <w:r>
        <w:rPr>
          <w:color w:val="231F1F"/>
          <w:sz w:val="12"/>
        </w:rPr>
        <w:t>, </w:t>
      </w:r>
      <w:r>
        <w:rPr>
          <w:rFonts w:ascii="Calibri" w:hAnsi="Calibri"/>
          <w:color w:val="008356"/>
          <w:sz w:val="11"/>
        </w:rPr>
        <w:t>DIHYDROTACHYSTEROL</w:t>
      </w:r>
      <w:r>
        <w:rPr>
          <w:color w:val="231F1F"/>
          <w:sz w:val="12"/>
        </w:rPr>
        <w:t>, </w:t>
      </w:r>
      <w:r>
        <w:rPr>
          <w:rFonts w:ascii="Calibri" w:hAnsi="Calibri"/>
          <w:color w:val="008356"/>
          <w:sz w:val="11"/>
        </w:rPr>
        <w:t>ERGOCALCIFEROL</w:t>
      </w:r>
      <w:r>
        <w:rPr>
          <w:color w:val="231F1F"/>
          <w:sz w:val="12"/>
        </w:rPr>
        <w:t>, </w:t>
      </w:r>
      <w:r>
        <w:rPr>
          <w:rFonts w:ascii="Calibri" w:hAnsi="Calibri"/>
          <w:color w:val="008356"/>
          <w:sz w:val="11"/>
        </w:rPr>
        <w:t>PARICALCITOL </w:t>
      </w:r>
      <w:r>
        <w:rPr>
          <w:color w:val="231F1F"/>
          <w:sz w:val="12"/>
        </w:rPr>
        <w:t>and </w:t>
      </w:r>
      <w:r>
        <w:rPr>
          <w:rFonts w:ascii="Calibri" w:hAnsi="Calibri"/>
          <w:color w:val="008356"/>
          <w:sz w:val="11"/>
        </w:rPr>
        <w:t>VITAMIN D</w:t>
      </w:r>
    </w:p>
    <w:p>
      <w:pPr>
        <w:pStyle w:val="BodyText"/>
        <w:spacing w:before="4"/>
        <w:ind w:left="108"/>
        <w:rPr>
          <w:rFonts w:ascii="Trebuchet MS"/>
        </w:rPr>
      </w:pPr>
      <w:r>
        <w:rPr>
          <w:rFonts w:ascii="Trebuchet MS"/>
          <w:color w:val="008356"/>
          <w:w w:val="105"/>
        </w:rPr>
        <w:t>Dairy</w:t>
      </w:r>
      <w:r>
        <w:rPr>
          <w:rFonts w:ascii="Trebuchet MS"/>
          <w:color w:val="008356"/>
          <w:spacing w:val="-19"/>
          <w:w w:val="105"/>
        </w:rPr>
        <w:t> </w:t>
      </w:r>
      <w:r>
        <w:rPr>
          <w:rFonts w:ascii="Trebuchet MS"/>
          <w:color w:val="008356"/>
          <w:w w:val="105"/>
        </w:rPr>
        <w:t>Products</w:t>
      </w:r>
    </w:p>
    <w:p>
      <w:pPr>
        <w:spacing w:line="235" w:lineRule="auto" w:before="3"/>
        <w:ind w:left="208" w:right="365" w:hanging="100"/>
        <w:jc w:val="left"/>
        <w:rPr>
          <w:sz w:val="12"/>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dairy products reduce absorption of </w:t>
      </w:r>
      <w:r>
        <w:rPr>
          <w:rFonts w:ascii="Calibri" w:hAnsi="Calibri"/>
          <w:color w:val="008356"/>
          <w:spacing w:val="4"/>
          <w:w w:val="110"/>
          <w:sz w:val="11"/>
        </w:rPr>
        <w:t>CIPROFLOXACIN</w:t>
      </w:r>
      <w:r>
        <w:rPr>
          <w:rFonts w:ascii="Calibri" w:hAnsi="Calibri"/>
          <w:color w:val="008356"/>
          <w:spacing w:val="-12"/>
          <w:w w:val="110"/>
          <w:sz w:val="11"/>
        </w:rPr>
        <w:t> </w:t>
      </w:r>
      <w:r>
        <w:rPr>
          <w:color w:val="231F1F"/>
          <w:w w:val="110"/>
          <w:sz w:val="12"/>
        </w:rPr>
        <w:t>and</w:t>
      </w:r>
      <w:r>
        <w:rPr>
          <w:color w:val="231F1F"/>
          <w:spacing w:val="-21"/>
          <w:w w:val="110"/>
          <w:sz w:val="12"/>
        </w:rPr>
        <w:t> </w:t>
      </w:r>
      <w:r>
        <w:rPr>
          <w:rFonts w:ascii="Calibri" w:hAnsi="Calibri"/>
          <w:color w:val="008356"/>
          <w:spacing w:val="4"/>
          <w:w w:val="110"/>
          <w:sz w:val="11"/>
        </w:rPr>
        <w:t>NORFLOXACIN</w:t>
      </w:r>
      <w:r>
        <w:rPr>
          <w:color w:val="231F1F"/>
          <w:spacing w:val="4"/>
          <w:w w:val="110"/>
          <w:sz w:val="12"/>
        </w:rPr>
        <w:t>;</w:t>
      </w:r>
      <w:r>
        <w:rPr>
          <w:color w:val="231F1F"/>
          <w:spacing w:val="-19"/>
          <w:w w:val="110"/>
          <w:sz w:val="12"/>
        </w:rPr>
        <w:t> </w:t>
      </w:r>
      <w:r>
        <w:rPr>
          <w:color w:val="231F1F"/>
          <w:w w:val="110"/>
          <w:sz w:val="12"/>
        </w:rPr>
        <w:t>dairy</w:t>
      </w:r>
      <w:r>
        <w:rPr>
          <w:color w:val="231F1F"/>
          <w:spacing w:val="-20"/>
          <w:w w:val="110"/>
          <w:sz w:val="12"/>
        </w:rPr>
        <w:t> </w:t>
      </w:r>
      <w:r>
        <w:rPr>
          <w:color w:val="231F1F"/>
          <w:w w:val="110"/>
          <w:sz w:val="12"/>
        </w:rPr>
        <w:t>products</w:t>
      </w:r>
      <w:r>
        <w:rPr>
          <w:color w:val="231F1F"/>
          <w:spacing w:val="-21"/>
          <w:w w:val="110"/>
          <w:sz w:val="12"/>
        </w:rPr>
        <w:t> </w:t>
      </w:r>
      <w:r>
        <w:rPr>
          <w:color w:val="231F1F"/>
          <w:w w:val="110"/>
          <w:sz w:val="12"/>
        </w:rPr>
        <w:t>reduce absorption of </w:t>
      </w:r>
      <w:r>
        <w:rPr>
          <w:rFonts w:ascii="Calibri" w:hAnsi="Calibri"/>
          <w:color w:val="008356"/>
          <w:spacing w:val="4"/>
          <w:w w:val="110"/>
          <w:sz w:val="11"/>
        </w:rPr>
        <w:t>TETRACYCLINES </w:t>
      </w:r>
      <w:r>
        <w:rPr>
          <w:color w:val="231F1F"/>
          <w:w w:val="110"/>
          <w:sz w:val="12"/>
        </w:rPr>
        <w:t>(except doxycycline and minocycline)</w:t>
      </w:r>
    </w:p>
    <w:p>
      <w:pPr>
        <w:pStyle w:val="BodyText"/>
        <w:spacing w:line="237" w:lineRule="auto" w:before="2"/>
        <w:ind w:right="79" w:hanging="100"/>
      </w:pPr>
      <w:r>
        <w:rPr>
          <w:rFonts w:ascii="Lucida Sans Unicode" w:hAnsi="Lucida Sans Unicode"/>
          <w:color w:val="A7A8AC"/>
          <w:w w:val="95"/>
          <w:sz w:val="10"/>
        </w:rPr>
        <w:t>▶ </w:t>
      </w:r>
      <w:r>
        <w:rPr>
          <w:rFonts w:ascii="Calibri" w:hAnsi="Calibri"/>
          <w:color w:val="231F1F"/>
          <w:w w:val="110"/>
        </w:rPr>
        <w:t>Cytotoxics: </w:t>
      </w:r>
      <w:r>
        <w:rPr>
          <w:color w:val="231F1F"/>
          <w:w w:val="110"/>
        </w:rPr>
        <w:t>dairy products possibly reduce plasma concentration of </w:t>
      </w:r>
      <w:r>
        <w:rPr>
          <w:rFonts w:ascii="Calibri" w:hAnsi="Calibri"/>
          <w:color w:val="008356"/>
          <w:w w:val="110"/>
          <w:sz w:val="11"/>
        </w:rPr>
        <w:t>MERCAPTOPURINE</w:t>
      </w:r>
      <w:r>
        <w:rPr>
          <w:rFonts w:ascii="Arial" w:hAnsi="Arial"/>
          <w:color w:val="231F1F"/>
          <w:w w:val="110"/>
        </w:rPr>
        <w:t>—</w:t>
      </w:r>
      <w:r>
        <w:rPr>
          <w:color w:val="231F1F"/>
          <w:w w:val="110"/>
        </w:rPr>
        <w:t>manufacturer of mercaptopurine advises give at least 1 hour before or 2 hours after dairy products</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Eltrombopag: </w:t>
      </w:r>
      <w:r>
        <w:rPr>
          <w:color w:val="231F1F"/>
          <w:w w:val="105"/>
        </w:rPr>
        <w:t>dairy products possibly reduce absorption of</w:t>
      </w:r>
    </w:p>
    <w:p>
      <w:pPr>
        <w:spacing w:line="135" w:lineRule="exact" w:before="0"/>
        <w:ind w:left="208" w:right="0" w:firstLine="0"/>
        <w:jc w:val="left"/>
        <w:rPr>
          <w:sz w:val="12"/>
        </w:rPr>
      </w:pPr>
      <w:r>
        <w:rPr>
          <w:rFonts w:ascii="Calibri"/>
          <w:color w:val="008356"/>
          <w:w w:val="110"/>
          <w:sz w:val="11"/>
        </w:rPr>
        <w:t>ELTROMBOPAG </w:t>
      </w:r>
      <w:r>
        <w:rPr>
          <w:color w:val="231F1F"/>
          <w:w w:val="110"/>
          <w:sz w:val="12"/>
        </w:rPr>
        <w:t>(give at least 4 hours apart)</w:t>
      </w:r>
    </w:p>
    <w:p>
      <w:pPr>
        <w:pStyle w:val="BodyText"/>
        <w:spacing w:before="8"/>
        <w:ind w:left="108"/>
      </w:pPr>
      <w:r>
        <w:rPr>
          <w:rFonts w:ascii="Trebuchet MS"/>
          <w:color w:val="008356"/>
          <w:w w:val="105"/>
        </w:rPr>
        <w:t>Dalteparin </w:t>
      </w:r>
      <w:r>
        <w:rPr>
          <w:i/>
          <w:color w:val="231F1F"/>
          <w:w w:val="105"/>
        </w:rPr>
        <w:t>see </w:t>
      </w:r>
      <w:r>
        <w:rPr>
          <w:color w:val="231F1F"/>
          <w:w w:val="105"/>
        </w:rPr>
        <w:t>Heparins</w:t>
      </w:r>
    </w:p>
    <w:p>
      <w:pPr>
        <w:pStyle w:val="BodyText"/>
        <w:spacing w:before="10"/>
        <w:ind w:left="108"/>
        <w:rPr>
          <w:rFonts w:ascii="Trebuchet MS"/>
        </w:rPr>
      </w:pPr>
      <w:r>
        <w:rPr>
          <w:rFonts w:ascii="Trebuchet MS"/>
          <w:color w:val="008356"/>
          <w:w w:val="105"/>
        </w:rPr>
        <w:t>Danaparoid</w:t>
      </w:r>
    </w:p>
    <w:p>
      <w:pPr>
        <w:pStyle w:val="BodyText"/>
        <w:spacing w:line="242" w:lineRule="auto" w:before="1"/>
        <w:ind w:right="160" w:hanging="100"/>
      </w:pPr>
      <w:r>
        <w:rPr>
          <w:rFonts w:ascii="Arial"/>
          <w:color w:val="231F1F"/>
          <w:w w:val="355"/>
          <w:position w:val="1"/>
          <w:sz w:val="7"/>
        </w:rPr>
        <w:t>l </w:t>
      </w:r>
      <w:r>
        <w:rPr>
          <w:rFonts w:ascii="Calibri"/>
          <w:color w:val="231F1F"/>
          <w:w w:val="110"/>
        </w:rPr>
        <w:t>Analgesics: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before="6"/>
        <w:ind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spacing w:line="242" w:lineRule="auto" w:before="3"/>
        <w:ind w:right="243"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before="12"/>
        <w:ind w:left="108"/>
        <w:rPr>
          <w:rFonts w:ascii="Trebuchet MS"/>
        </w:rPr>
      </w:pPr>
      <w:r>
        <w:rPr>
          <w:rFonts w:ascii="Trebuchet MS"/>
          <w:color w:val="008356"/>
        </w:rPr>
        <w:t>Danazol</w:t>
      </w:r>
    </w:p>
    <w:p>
      <w:pPr>
        <w:spacing w:line="146" w:lineRule="exact" w:before="1"/>
        <w:ind w:left="108" w:right="0" w:firstLine="0"/>
        <w:jc w:val="left"/>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sz w:val="12"/>
        </w:rPr>
        <w:t>Anticoagulants:</w:t>
      </w:r>
      <w:r>
        <w:rPr>
          <w:rFonts w:ascii="Calibri"/>
          <w:color w:val="231F1F"/>
          <w:spacing w:val="-16"/>
          <w:w w:val="115"/>
          <w:sz w:val="12"/>
        </w:rPr>
        <w:t> </w:t>
      </w:r>
      <w:r>
        <w:rPr>
          <w:color w:val="231F1F"/>
          <w:w w:val="115"/>
          <w:sz w:val="12"/>
        </w:rPr>
        <w:t>danazol</w:t>
      </w:r>
      <w:r>
        <w:rPr>
          <w:color w:val="231F1F"/>
          <w:spacing w:val="-21"/>
          <w:w w:val="115"/>
          <w:sz w:val="12"/>
        </w:rPr>
        <w:t> </w:t>
      </w:r>
      <w:r>
        <w:rPr>
          <w:color w:val="231F1F"/>
          <w:w w:val="115"/>
          <w:sz w:val="12"/>
        </w:rPr>
        <w:t>inhibits</w:t>
      </w:r>
      <w:r>
        <w:rPr>
          <w:color w:val="231F1F"/>
          <w:spacing w:val="-20"/>
          <w:w w:val="115"/>
          <w:sz w:val="12"/>
        </w:rPr>
        <w:t> </w:t>
      </w:r>
      <w:r>
        <w:rPr>
          <w:color w:val="231F1F"/>
          <w:w w:val="115"/>
          <w:sz w:val="12"/>
        </w:rPr>
        <w:t>metabolism</w:t>
      </w:r>
      <w:r>
        <w:rPr>
          <w:color w:val="231F1F"/>
          <w:spacing w:val="-21"/>
          <w:w w:val="115"/>
          <w:sz w:val="12"/>
        </w:rPr>
        <w:t> </w:t>
      </w:r>
      <w:r>
        <w:rPr>
          <w:color w:val="231F1F"/>
          <w:w w:val="115"/>
          <w:sz w:val="12"/>
        </w:rPr>
        <w:t>of</w:t>
      </w:r>
      <w:r>
        <w:rPr>
          <w:color w:val="231F1F"/>
          <w:spacing w:val="-19"/>
          <w:w w:val="115"/>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5"/>
          <w:w w:val="115"/>
          <w:sz w:val="11"/>
        </w:rPr>
        <w:t>COUMARINS</w:t>
      </w:r>
    </w:p>
    <w:p>
      <w:pPr>
        <w:pStyle w:val="BodyText"/>
        <w:spacing w:line="137" w:lineRule="exact"/>
      </w:pPr>
      <w:r>
        <w:rPr>
          <w:color w:val="231F1F"/>
          <w:w w:val="115"/>
        </w:rPr>
        <w:t>(enhanced anticoagulant effect)</w:t>
      </w:r>
    </w:p>
    <w:p>
      <w:pPr>
        <w:pStyle w:val="BodyText"/>
        <w:spacing w:line="146" w:lineRule="exact" w:before="2"/>
        <w:ind w:left="108"/>
      </w:pPr>
      <w:r>
        <w:rPr>
          <w:rFonts w:ascii="Arial"/>
          <w:color w:val="231F1F"/>
          <w:w w:val="355"/>
          <w:position w:val="1"/>
          <w:sz w:val="7"/>
        </w:rPr>
        <w:t>l </w:t>
      </w:r>
      <w:r>
        <w:rPr>
          <w:rFonts w:ascii="Calibri"/>
          <w:color w:val="231F1F"/>
          <w:w w:val="110"/>
        </w:rPr>
        <w:t>Antiepileptics: </w:t>
      </w:r>
      <w:r>
        <w:rPr>
          <w:color w:val="231F1F"/>
          <w:w w:val="110"/>
        </w:rPr>
        <w:t>danazol inhibits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10"/>
          <w:sz w:val="11"/>
        </w:rPr>
        <w:t>CARBAMAZEPINE </w:t>
      </w:r>
      <w:r>
        <w:rPr>
          <w:color w:val="231F1F"/>
          <w:w w:val="110"/>
          <w:sz w:val="12"/>
        </w:rPr>
        <w:t>(increased risk of toxicity)</w:t>
      </w:r>
    </w:p>
    <w:p>
      <w:pPr>
        <w:spacing w:line="145" w:lineRule="exact" w:before="0"/>
        <w:ind w:left="108" w:right="0" w:firstLine="0"/>
        <w:jc w:val="left"/>
        <w:rPr>
          <w:rFonts w:ascii="Calibri"/>
          <w:sz w:val="11"/>
        </w:rPr>
      </w:pPr>
      <w:r>
        <w:rPr>
          <w:rFonts w:ascii="Arial"/>
          <w:color w:val="231F1F"/>
          <w:w w:val="355"/>
          <w:position w:val="1"/>
          <w:sz w:val="7"/>
        </w:rPr>
        <w:t>l </w:t>
      </w:r>
      <w:r>
        <w:rPr>
          <w:rFonts w:ascii="Calibri"/>
          <w:color w:val="231F1F"/>
          <w:w w:val="110"/>
          <w:sz w:val="12"/>
        </w:rPr>
        <w:t>Ciclosporin: </w:t>
      </w:r>
      <w:r>
        <w:rPr>
          <w:color w:val="231F1F"/>
          <w:w w:val="110"/>
          <w:sz w:val="12"/>
        </w:rPr>
        <w:t>danazol inhibits metabolism of </w:t>
      </w:r>
      <w:r>
        <w:rPr>
          <w:rFonts w:ascii="Arial"/>
          <w:color w:val="231F1F"/>
          <w:w w:val="355"/>
          <w:position w:val="1"/>
          <w:sz w:val="7"/>
        </w:rPr>
        <w:t>l </w:t>
      </w:r>
      <w:r>
        <w:rPr>
          <w:rFonts w:ascii="Calibri"/>
          <w:color w:val="008356"/>
          <w:w w:val="110"/>
          <w:sz w:val="11"/>
        </w:rPr>
        <w:t>CICLOSPORIN</w:t>
      </w:r>
    </w:p>
    <w:p>
      <w:pPr>
        <w:pStyle w:val="BodyText"/>
      </w:pPr>
      <w:r>
        <w:rPr>
          <w:color w:val="231F1F"/>
          <w:w w:val="115"/>
        </w:rPr>
        <w:t>(increased plasma concentration)</w:t>
      </w:r>
    </w:p>
    <w:p>
      <w:pPr>
        <w:pStyle w:val="BodyText"/>
        <w:spacing w:before="1"/>
        <w:ind w:right="101"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Lipid-regulating</w:t>
      </w:r>
      <w:r>
        <w:rPr>
          <w:rFonts w:ascii="Calibri" w:hAnsi="Calibri"/>
          <w:color w:val="231F1F"/>
          <w:spacing w:val="-13"/>
          <w:w w:val="115"/>
        </w:rPr>
        <w:t> </w:t>
      </w:r>
      <w:r>
        <w:rPr>
          <w:rFonts w:ascii="Calibri" w:hAnsi="Calibri"/>
          <w:color w:val="231F1F"/>
          <w:w w:val="115"/>
        </w:rPr>
        <w:t>Drugs:</w:t>
      </w:r>
      <w:r>
        <w:rPr>
          <w:rFonts w:ascii="Calibri" w:hAnsi="Calibri"/>
          <w:color w:val="231F1F"/>
          <w:spacing w:val="-14"/>
          <w:w w:val="115"/>
        </w:rPr>
        <w:t> </w:t>
      </w:r>
      <w:r>
        <w:rPr>
          <w:color w:val="231F1F"/>
          <w:w w:val="115"/>
        </w:rPr>
        <w:t>possible</w:t>
      </w:r>
      <w:r>
        <w:rPr>
          <w:color w:val="231F1F"/>
          <w:spacing w:val="-16"/>
          <w:w w:val="115"/>
        </w:rPr>
        <w:t> </w:t>
      </w:r>
      <w:r>
        <w:rPr>
          <w:color w:val="231F1F"/>
          <w:w w:val="115"/>
        </w:rPr>
        <w:t>increased</w:t>
      </w:r>
      <w:r>
        <w:rPr>
          <w:color w:val="231F1F"/>
          <w:spacing w:val="-16"/>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myopathy when</w:t>
      </w:r>
      <w:r>
        <w:rPr>
          <w:color w:val="231F1F"/>
          <w:spacing w:val="-25"/>
          <w:w w:val="115"/>
        </w:rPr>
        <w:t> </w:t>
      </w:r>
      <w:r>
        <w:rPr>
          <w:color w:val="231F1F"/>
          <w:w w:val="115"/>
        </w:rPr>
        <w:t>danazol</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25"/>
          <w:position w:val="1"/>
          <w:sz w:val="7"/>
        </w:rPr>
        <w:t>l</w:t>
      </w:r>
      <w:r>
        <w:rPr>
          <w:rFonts w:ascii="Arial" w:hAnsi="Arial"/>
          <w:color w:val="231F1F"/>
          <w:spacing w:val="-35"/>
          <w:w w:val="225"/>
          <w:position w:val="1"/>
          <w:sz w:val="7"/>
        </w:rPr>
        <w:t> </w:t>
      </w:r>
      <w:r>
        <w:rPr>
          <w:rFonts w:ascii="Calibri" w:hAnsi="Calibri"/>
          <w:color w:val="008356"/>
          <w:spacing w:val="2"/>
          <w:w w:val="115"/>
          <w:sz w:val="11"/>
        </w:rPr>
        <w:t>SIMVASTATIN</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 use</w:t>
      </w:r>
    </w:p>
    <w:p>
      <w:pPr>
        <w:pStyle w:val="BodyText"/>
        <w:spacing w:line="220" w:lineRule="auto" w:before="10"/>
        <w:ind w:right="160"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danazol  possibly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TACROLIMUS</w:t>
      </w:r>
    </w:p>
    <w:p>
      <w:pPr>
        <w:pStyle w:val="BodyText"/>
        <w:spacing w:before="5"/>
        <w:ind w:left="0"/>
        <w:rPr>
          <w:rFonts w:ascii="Calibri"/>
          <w:sz w:val="14"/>
        </w:rPr>
      </w:pPr>
      <w:r>
        <w:rPr/>
        <w:br w:type="column"/>
      </w:r>
      <w:r>
        <w:rPr>
          <w:rFonts w:ascii="Calibri"/>
          <w:sz w:val="14"/>
        </w:rPr>
      </w:r>
    </w:p>
    <w:p>
      <w:pPr>
        <w:pStyle w:val="BodyText"/>
        <w:spacing w:line="256" w:lineRule="auto"/>
        <w:ind w:left="108" w:right="2217"/>
        <w:rPr>
          <w:rFonts w:ascii="Trebuchet MS"/>
        </w:rPr>
      </w:pPr>
      <w:r>
        <w:rPr>
          <w:rFonts w:ascii="Trebuchet MS"/>
          <w:color w:val="008356"/>
          <w:w w:val="105"/>
        </w:rPr>
        <w:t>Dantrolene </w:t>
      </w:r>
      <w:r>
        <w:rPr>
          <w:i/>
          <w:color w:val="231F1F"/>
          <w:w w:val="105"/>
        </w:rPr>
        <w:t>see </w:t>
      </w:r>
      <w:r>
        <w:rPr>
          <w:color w:val="231F1F"/>
          <w:w w:val="105"/>
        </w:rPr>
        <w:t>Muscle Relaxants </w:t>
      </w:r>
      <w:r>
        <w:rPr>
          <w:rFonts w:ascii="Trebuchet MS"/>
          <w:color w:val="008356"/>
          <w:w w:val="105"/>
        </w:rPr>
        <w:t>Dapagliflozin </w:t>
      </w:r>
      <w:r>
        <w:rPr>
          <w:i/>
          <w:color w:val="231F1F"/>
          <w:w w:val="105"/>
        </w:rPr>
        <w:t>see </w:t>
      </w:r>
      <w:r>
        <w:rPr>
          <w:color w:val="231F1F"/>
          <w:w w:val="105"/>
        </w:rPr>
        <w:t>Antidiabetics </w:t>
      </w:r>
      <w:r>
        <w:rPr>
          <w:rFonts w:ascii="Trebuchet MS"/>
          <w:color w:val="008356"/>
          <w:w w:val="105"/>
        </w:rPr>
        <w:t>Dapoxetine</w:t>
      </w:r>
    </w:p>
    <w:p>
      <w:pPr>
        <w:pStyle w:val="BodyText"/>
        <w:spacing w:line="138" w:lineRule="exact"/>
        <w:ind w:left="108"/>
      </w:pPr>
      <w:r>
        <w:rPr/>
        <w:pict>
          <v:rect style="position:absolute;margin-left:398.891296pt;margin-top:-24.213602pt;width:20.522993pt;height:149.443pt;mso-position-horizontal-relative:page;mso-position-vertical-relative:paragraph;z-index:3328" filled="true" fillcolor="#bfdbcf" stroked="false">
            <v:fill type="solid"/>
            <w10:wrap type="none"/>
          </v:rect>
        </w:pict>
      </w:r>
      <w:r>
        <w:rPr/>
        <w:pict>
          <v:shape style="position:absolute;margin-left:399.725769pt;margin-top:-19.250214pt;width:10.4pt;height:78.850pt;mso-position-horizontal-relative:page;mso-position-vertical-relative:paragraph;z-index:335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Alcohol: </w:t>
      </w:r>
      <w:r>
        <w:rPr>
          <w:color w:val="231F1F"/>
          <w:w w:val="115"/>
        </w:rPr>
        <w:t>increased sedative effect when dapoxetine given with</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ALCOHOL</w:t>
      </w:r>
    </w:p>
    <w:p>
      <w:pPr>
        <w:pStyle w:val="BodyText"/>
        <w:spacing w:line="244" w:lineRule="auto"/>
        <w:ind w:right="592" w:hanging="100"/>
      </w:pPr>
      <w:r>
        <w:rPr>
          <w:rFonts w:ascii="Arial"/>
          <w:color w:val="231F1F"/>
          <w:w w:val="355"/>
          <w:position w:val="1"/>
          <w:sz w:val="7"/>
        </w:rPr>
        <w:t>l </w:t>
      </w:r>
      <w:r>
        <w:rPr>
          <w:rFonts w:ascii="Calibri"/>
          <w:color w:val="231F1F"/>
          <w:w w:val="115"/>
        </w:rPr>
        <w:t>Analgesics: </w:t>
      </w:r>
      <w:r>
        <w:rPr>
          <w:color w:val="231F1F"/>
          <w:w w:val="115"/>
        </w:rPr>
        <w:t>possible increased risk of serotonergic effects when dapoxetine given with </w:t>
      </w:r>
      <w:r>
        <w:rPr>
          <w:rFonts w:ascii="Arial"/>
          <w:color w:val="231F1F"/>
          <w:w w:val="355"/>
          <w:position w:val="1"/>
          <w:sz w:val="7"/>
        </w:rPr>
        <w:t>l </w:t>
      </w:r>
      <w:r>
        <w:rPr>
          <w:rFonts w:ascii="Calibri"/>
          <w:color w:val="008356"/>
          <w:w w:val="115"/>
          <w:sz w:val="11"/>
        </w:rPr>
        <w:t>TRAMADOL </w:t>
      </w:r>
      <w:r>
        <w:rPr>
          <w:color w:val="231F1F"/>
          <w:w w:val="115"/>
        </w:rPr>
        <w:t>(manufacturer of dapoxetine advises tramadol should not be started until 1 week after stopping dapoxetine, avoid dapoxetine for 2 weeks after stopping tramadol)</w:t>
      </w:r>
    </w:p>
    <w:p>
      <w:pPr>
        <w:pStyle w:val="BodyText"/>
        <w:spacing w:line="242" w:lineRule="auto"/>
        <w:ind w:right="754" w:hanging="100"/>
      </w:pPr>
      <w:r>
        <w:rPr>
          <w:rFonts w:ascii="Arial"/>
          <w:color w:val="231F1F"/>
          <w:w w:val="355"/>
          <w:position w:val="1"/>
          <w:sz w:val="7"/>
        </w:rPr>
        <w:t>l </w:t>
      </w:r>
      <w:r>
        <w:rPr>
          <w:rFonts w:ascii="Calibri"/>
          <w:color w:val="231F1F"/>
          <w:w w:val="110"/>
        </w:rPr>
        <w:t>Antibacterials: </w:t>
      </w:r>
      <w:r>
        <w:rPr>
          <w:color w:val="231F1F"/>
          <w:w w:val="110"/>
        </w:rPr>
        <w:t>manufacturer of dapoxetine advises dose reduction when dapoxetine given with </w:t>
      </w:r>
      <w:r>
        <w:rPr>
          <w:rFonts w:ascii="Calibri"/>
          <w:color w:val="008356"/>
          <w:w w:val="110"/>
          <w:sz w:val="11"/>
        </w:rPr>
        <w:t>CLARITHROMYCIN </w:t>
      </w:r>
      <w:r>
        <w:rPr>
          <w:color w:val="231F1F"/>
          <w:w w:val="110"/>
        </w:rPr>
        <w:t>and </w:t>
      </w:r>
      <w:r>
        <w:rPr>
          <w:rFonts w:ascii="Calibri"/>
          <w:color w:val="008356"/>
          <w:w w:val="110"/>
          <w:sz w:val="11"/>
        </w:rPr>
        <w:t>ERYTHROMYCIN </w:t>
      </w:r>
      <w:r>
        <w:rPr>
          <w:color w:val="231F1F"/>
          <w:w w:val="110"/>
        </w:rPr>
        <w:t>(see under Dapoxetine, p. 703); manufacturer of dapoxetine advises avoid concomitant use with</w:t>
      </w:r>
    </w:p>
    <w:p>
      <w:pPr>
        <w:spacing w:line="141" w:lineRule="exact" w:before="1"/>
        <w:ind w:left="208" w:right="0" w:firstLine="0"/>
        <w:jc w:val="left"/>
        <w:rPr>
          <w:sz w:val="12"/>
        </w:rPr>
      </w:pPr>
      <w:r>
        <w:rPr>
          <w:rFonts w:ascii="Arial"/>
          <w:color w:val="231F1F"/>
          <w:w w:val="355"/>
          <w:position w:val="1"/>
          <w:sz w:val="7"/>
        </w:rPr>
        <w:t>l </w:t>
      </w:r>
      <w:r>
        <w:rPr>
          <w:rFonts w:ascii="Calibri"/>
          <w:color w:val="008356"/>
          <w:w w:val="110"/>
          <w:sz w:val="11"/>
        </w:rPr>
        <w:t>TELITHROMYCIN </w:t>
      </w:r>
      <w:r>
        <w:rPr>
          <w:color w:val="231F1F"/>
          <w:w w:val="110"/>
          <w:sz w:val="12"/>
        </w:rPr>
        <w:t>(increased risk of toxicity)</w:t>
      </w:r>
    </w:p>
    <w:p>
      <w:pPr>
        <w:spacing w:before="0"/>
        <w:ind w:left="208" w:right="680" w:hanging="10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231F1F"/>
          <w:w w:val="115"/>
          <w:sz w:val="12"/>
        </w:rPr>
        <w:t>Antidepressants:</w:t>
      </w:r>
      <w:r>
        <w:rPr>
          <w:rFonts w:ascii="Calibri" w:hAnsi="Calibri"/>
          <w:color w:val="231F1F"/>
          <w:spacing w:val="-17"/>
          <w:w w:val="115"/>
          <w:sz w:val="12"/>
        </w:rPr>
        <w:t> </w:t>
      </w:r>
      <w:r>
        <w:rPr>
          <w:color w:val="231F1F"/>
          <w:w w:val="115"/>
          <w:sz w:val="12"/>
        </w:rPr>
        <w:t>possible</w:t>
      </w:r>
      <w:r>
        <w:rPr>
          <w:color w:val="231F1F"/>
          <w:spacing w:val="-21"/>
          <w:w w:val="115"/>
          <w:sz w:val="12"/>
        </w:rPr>
        <w:t> </w:t>
      </w:r>
      <w:r>
        <w:rPr>
          <w:color w:val="231F1F"/>
          <w:w w:val="115"/>
          <w:sz w:val="12"/>
        </w:rPr>
        <w:t>increased</w:t>
      </w:r>
      <w:r>
        <w:rPr>
          <w:color w:val="231F1F"/>
          <w:spacing w:val="-20"/>
          <w:w w:val="115"/>
          <w:sz w:val="12"/>
        </w:rPr>
        <w:t> </w:t>
      </w:r>
      <w:r>
        <w:rPr>
          <w:color w:val="231F1F"/>
          <w:w w:val="115"/>
          <w:sz w:val="12"/>
        </w:rPr>
        <w:t>risk</w:t>
      </w:r>
      <w:r>
        <w:rPr>
          <w:color w:val="231F1F"/>
          <w:spacing w:val="-20"/>
          <w:w w:val="115"/>
          <w:sz w:val="12"/>
        </w:rPr>
        <w:t> </w:t>
      </w:r>
      <w:r>
        <w:rPr>
          <w:color w:val="231F1F"/>
          <w:w w:val="115"/>
          <w:sz w:val="12"/>
        </w:rPr>
        <w:t>of</w:t>
      </w:r>
      <w:r>
        <w:rPr>
          <w:color w:val="231F1F"/>
          <w:spacing w:val="-21"/>
          <w:w w:val="115"/>
          <w:sz w:val="12"/>
        </w:rPr>
        <w:t> </w:t>
      </w:r>
      <w:r>
        <w:rPr>
          <w:color w:val="231F1F"/>
          <w:w w:val="115"/>
          <w:sz w:val="12"/>
        </w:rPr>
        <w:t>serotonergic</w:t>
      </w:r>
      <w:r>
        <w:rPr>
          <w:color w:val="231F1F"/>
          <w:spacing w:val="-21"/>
          <w:w w:val="115"/>
          <w:sz w:val="12"/>
        </w:rPr>
        <w:t> </w:t>
      </w:r>
      <w:r>
        <w:rPr>
          <w:color w:val="231F1F"/>
          <w:spacing w:val="-3"/>
          <w:w w:val="115"/>
          <w:sz w:val="12"/>
        </w:rPr>
        <w:t>effects </w:t>
      </w:r>
      <w:r>
        <w:rPr>
          <w:color w:val="231F1F"/>
          <w:w w:val="115"/>
          <w:sz w:val="12"/>
        </w:rPr>
        <w:t>when</w:t>
      </w:r>
      <w:r>
        <w:rPr>
          <w:color w:val="231F1F"/>
          <w:spacing w:val="-11"/>
          <w:w w:val="115"/>
          <w:sz w:val="12"/>
        </w:rPr>
        <w:t> </w:t>
      </w:r>
      <w:r>
        <w:rPr>
          <w:color w:val="231F1F"/>
          <w:w w:val="115"/>
          <w:sz w:val="12"/>
        </w:rPr>
        <w:t>dapoxetine</w:t>
      </w:r>
      <w:r>
        <w:rPr>
          <w:color w:val="231F1F"/>
          <w:spacing w:val="-11"/>
          <w:w w:val="115"/>
          <w:sz w:val="12"/>
        </w:rPr>
        <w:t> </w:t>
      </w:r>
      <w:r>
        <w:rPr>
          <w:color w:val="231F1F"/>
          <w:w w:val="115"/>
          <w:sz w:val="12"/>
        </w:rPr>
        <w:t>given</w:t>
      </w:r>
      <w:r>
        <w:rPr>
          <w:color w:val="231F1F"/>
          <w:spacing w:val="-10"/>
          <w:w w:val="115"/>
          <w:sz w:val="12"/>
        </w:rPr>
        <w:t> </w:t>
      </w:r>
      <w:r>
        <w:rPr>
          <w:color w:val="231F1F"/>
          <w:w w:val="115"/>
          <w:sz w:val="12"/>
        </w:rPr>
        <w:t>with</w:t>
      </w:r>
      <w:r>
        <w:rPr>
          <w:color w:val="231F1F"/>
          <w:spacing w:val="-10"/>
          <w:w w:val="115"/>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5"/>
          <w:sz w:val="11"/>
        </w:rPr>
        <w:t>SSRIS</w:t>
      </w:r>
      <w:r>
        <w:rPr>
          <w:color w:val="231F1F"/>
          <w:spacing w:val="4"/>
          <w:w w:val="115"/>
          <w:sz w:val="12"/>
        </w:rPr>
        <w:t>,</w:t>
      </w:r>
      <w:r>
        <w:rPr>
          <w:color w:val="231F1F"/>
          <w:spacing w:val="-10"/>
          <w:w w:val="115"/>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w w:val="115"/>
          <w:sz w:val="11"/>
        </w:rPr>
        <w:t>ST</w:t>
      </w:r>
      <w:r>
        <w:rPr>
          <w:rFonts w:ascii="Calibri" w:hAnsi="Calibri"/>
          <w:color w:val="008356"/>
          <w:spacing w:val="-6"/>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3"/>
          <w:w w:val="115"/>
          <w:sz w:val="11"/>
        </w:rPr>
        <w:t> </w:t>
      </w:r>
      <w:r>
        <w:rPr>
          <w:rFonts w:ascii="Calibri" w:hAnsi="Calibri"/>
          <w:color w:val="008356"/>
          <w:spacing w:val="3"/>
          <w:w w:val="115"/>
          <w:sz w:val="11"/>
        </w:rPr>
        <w:t>WORT</w:t>
      </w:r>
      <w:r>
        <w:rPr>
          <w:color w:val="231F1F"/>
          <w:spacing w:val="3"/>
          <w:w w:val="115"/>
          <w:sz w:val="12"/>
        </w:rPr>
        <w:t>,</w:t>
      </w:r>
    </w:p>
    <w:p>
      <w:pPr>
        <w:pStyle w:val="BodyText"/>
        <w:spacing w:line="247" w:lineRule="auto"/>
        <w:ind w:right="708"/>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DULOXETINE</w:t>
      </w:r>
      <w:r>
        <w:rPr>
          <w:color w:val="231F1F"/>
          <w:spacing w:val="4"/>
          <w:w w:val="110"/>
        </w:rPr>
        <w:t>,</w:t>
      </w:r>
      <w:r>
        <w:rPr>
          <w:color w:val="231F1F"/>
          <w:spacing w:val="-12"/>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TRICYCLICS</w:t>
      </w:r>
      <w:r>
        <w:rPr>
          <w:rFonts w:ascii="Calibri" w:hAnsi="Calibri"/>
          <w:color w:val="008356"/>
          <w:spacing w:val="-2"/>
          <w:w w:val="110"/>
          <w:sz w:val="11"/>
        </w:rPr>
        <w:t> </w:t>
      </w:r>
      <w:r>
        <w:rPr>
          <w:color w:val="231F1F"/>
          <w:w w:val="110"/>
        </w:rPr>
        <w:t>and</w:t>
      </w:r>
      <w:r>
        <w:rPr>
          <w:color w:val="231F1F"/>
          <w:spacing w:val="-12"/>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0"/>
          <w:sz w:val="11"/>
        </w:rPr>
        <w:t>VENLAFAXINE</w:t>
      </w:r>
      <w:r>
        <w:rPr>
          <w:rFonts w:ascii="Calibri" w:hAnsi="Calibri"/>
          <w:color w:val="008356"/>
          <w:spacing w:val="-3"/>
          <w:w w:val="110"/>
          <w:sz w:val="11"/>
        </w:rPr>
        <w:t> </w:t>
      </w:r>
      <w:r>
        <w:rPr>
          <w:color w:val="231F1F"/>
          <w:w w:val="110"/>
        </w:rPr>
        <w:t>(manufacturer of dapoxetine advises SSRIs, St John</w:t>
      </w:r>
      <w:r>
        <w:rPr>
          <w:rFonts w:ascii="Arial" w:hAnsi="Arial"/>
          <w:color w:val="231F1F"/>
          <w:w w:val="110"/>
        </w:rPr>
        <w:t>’</w:t>
      </w:r>
      <w:r>
        <w:rPr>
          <w:color w:val="231F1F"/>
          <w:w w:val="110"/>
        </w:rPr>
        <w:t>s wort, duloxetine, tricyclics and venlafaxine should not be started until 1 week after stopping dapoxetine, avoid dapoxetine for 2 weeks </w:t>
      </w:r>
      <w:r>
        <w:rPr>
          <w:color w:val="231F1F"/>
          <w:spacing w:val="-3"/>
          <w:w w:val="110"/>
        </w:rPr>
        <w:t>after </w:t>
      </w:r>
      <w:r>
        <w:rPr>
          <w:color w:val="231F1F"/>
          <w:w w:val="110"/>
        </w:rPr>
        <w:t>stopping SSRIs, St John</w:t>
      </w:r>
      <w:r>
        <w:rPr>
          <w:rFonts w:ascii="Arial" w:hAnsi="Arial"/>
          <w:color w:val="231F1F"/>
          <w:w w:val="110"/>
        </w:rPr>
        <w:t>’</w:t>
      </w:r>
      <w:r>
        <w:rPr>
          <w:color w:val="231F1F"/>
          <w:w w:val="110"/>
        </w:rPr>
        <w:t>s wort, duloxetine, tricyclics and venlafaxine); increased risk of serotonergic effects when dapoxetine given with </w:t>
      </w:r>
      <w:r>
        <w:rPr>
          <w:rFonts w:ascii="Arial" w:hAnsi="Arial"/>
          <w:color w:val="231F1F"/>
          <w:w w:val="355"/>
          <w:position w:val="1"/>
          <w:sz w:val="7"/>
        </w:rPr>
        <w:t>l </w:t>
      </w:r>
      <w:r>
        <w:rPr>
          <w:rFonts w:ascii="Calibri" w:hAnsi="Calibri"/>
          <w:color w:val="008356"/>
          <w:spacing w:val="4"/>
          <w:w w:val="110"/>
          <w:sz w:val="11"/>
        </w:rPr>
        <w:t>MAOIS </w:t>
      </w:r>
      <w:r>
        <w:rPr>
          <w:color w:val="231F1F"/>
          <w:w w:val="110"/>
        </w:rPr>
        <w:t>(MAOIs should not be started until 1 week after  stopping dapoxetine, avoid dapoxetine for  2 weeks after stopping</w:t>
      </w:r>
      <w:r>
        <w:rPr>
          <w:color w:val="231F1F"/>
          <w:spacing w:val="-8"/>
          <w:w w:val="110"/>
        </w:rPr>
        <w:t> </w:t>
      </w:r>
      <w:r>
        <w:rPr>
          <w:color w:val="231F1F"/>
          <w:w w:val="110"/>
        </w:rPr>
        <w:t>MAOIs)</w:t>
      </w:r>
    </w:p>
    <w:p>
      <w:pPr>
        <w:pStyle w:val="BodyText"/>
        <w:spacing w:line="244" w:lineRule="auto"/>
        <w:ind w:right="715"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Antifungals:</w:t>
      </w:r>
      <w:r>
        <w:rPr>
          <w:rFonts w:ascii="Calibri" w:hAnsi="Calibri"/>
          <w:color w:val="231F1F"/>
          <w:spacing w:val="-10"/>
          <w:w w:val="115"/>
        </w:rPr>
        <w:t> </w:t>
      </w:r>
      <w:r>
        <w:rPr>
          <w:color w:val="231F1F"/>
          <w:w w:val="115"/>
        </w:rPr>
        <w:t>plasma</w:t>
      </w:r>
      <w:r>
        <w:rPr>
          <w:color w:val="231F1F"/>
          <w:spacing w:val="-12"/>
          <w:w w:val="115"/>
        </w:rPr>
        <w:t> </w:t>
      </w:r>
      <w:r>
        <w:rPr>
          <w:color w:val="231F1F"/>
          <w:w w:val="115"/>
        </w:rPr>
        <w:t>concentration</w:t>
      </w:r>
      <w:r>
        <w:rPr>
          <w:color w:val="231F1F"/>
          <w:spacing w:val="-14"/>
          <w:w w:val="115"/>
        </w:rPr>
        <w:t> </w:t>
      </w:r>
      <w:r>
        <w:rPr>
          <w:color w:val="231F1F"/>
          <w:w w:val="115"/>
        </w:rPr>
        <w:t>of</w:t>
      </w:r>
      <w:r>
        <w:rPr>
          <w:color w:val="231F1F"/>
          <w:spacing w:val="-11"/>
          <w:w w:val="115"/>
        </w:rPr>
        <w:t> </w:t>
      </w:r>
      <w:r>
        <w:rPr>
          <w:color w:val="231F1F"/>
          <w:w w:val="115"/>
        </w:rPr>
        <w:t>dapoxetine</w:t>
      </w:r>
      <w:r>
        <w:rPr>
          <w:color w:val="231F1F"/>
          <w:spacing w:val="-14"/>
          <w:w w:val="115"/>
        </w:rPr>
        <w:t> </w:t>
      </w:r>
      <w:r>
        <w:rPr>
          <w:color w:val="231F1F"/>
          <w:w w:val="115"/>
        </w:rPr>
        <w:t>increased</w:t>
      </w:r>
      <w:r>
        <w:rPr>
          <w:color w:val="231F1F"/>
          <w:spacing w:val="-12"/>
          <w:w w:val="115"/>
        </w:rPr>
        <w:t> </w:t>
      </w:r>
      <w:r>
        <w:rPr>
          <w:color w:val="231F1F"/>
          <w:spacing w:val="-8"/>
          <w:w w:val="115"/>
        </w:rPr>
        <w:t>by </w:t>
      </w:r>
      <w:r>
        <w:rPr>
          <w:rFonts w:ascii="Arial" w:hAnsi="Arial"/>
          <w:color w:val="231F1F"/>
          <w:w w:val="245"/>
          <w:position w:val="1"/>
          <w:sz w:val="7"/>
        </w:rPr>
        <w:t>l</w:t>
      </w:r>
      <w:r>
        <w:rPr>
          <w:rFonts w:ascii="Arial" w:hAnsi="Arial"/>
          <w:color w:val="231F1F"/>
          <w:spacing w:val="-39"/>
          <w:w w:val="245"/>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dapoxetine</w:t>
      </w:r>
      <w:r>
        <w:rPr>
          <w:color w:val="231F1F"/>
          <w:spacing w:val="-24"/>
          <w:w w:val="115"/>
        </w:rPr>
        <w:t> </w:t>
      </w:r>
      <w:r>
        <w:rPr>
          <w:color w:val="231F1F"/>
          <w:w w:val="115"/>
        </w:rPr>
        <w:t>advises</w:t>
      </w:r>
      <w:r>
        <w:rPr>
          <w:color w:val="231F1F"/>
          <w:spacing w:val="-24"/>
          <w:w w:val="115"/>
        </w:rPr>
        <w:t> </w:t>
      </w:r>
      <w:r>
        <w:rPr>
          <w:color w:val="231F1F"/>
          <w:w w:val="115"/>
        </w:rPr>
        <w:t>avoid concomitant use; manufacturer of dapoxetine advises dose reduction when dapoxetine given with </w:t>
      </w:r>
      <w:r>
        <w:rPr>
          <w:rFonts w:ascii="Calibri" w:hAnsi="Calibri"/>
          <w:color w:val="008356"/>
          <w:spacing w:val="4"/>
          <w:w w:val="115"/>
          <w:sz w:val="11"/>
        </w:rPr>
        <w:t>FLUCONAZOLE </w:t>
      </w:r>
      <w:r>
        <w:rPr>
          <w:color w:val="231F1F"/>
          <w:w w:val="115"/>
        </w:rPr>
        <w:t>(see under Dapoxetine, p. 703); manufacturer of dapoxetine advises avoid concomitant use with </w:t>
      </w:r>
      <w:r>
        <w:rPr>
          <w:rFonts w:ascii="Arial" w:hAnsi="Arial"/>
          <w:color w:val="231F1F"/>
          <w:w w:val="355"/>
          <w:position w:val="1"/>
          <w:sz w:val="7"/>
        </w:rPr>
        <w:t>l </w:t>
      </w:r>
      <w:r>
        <w:rPr>
          <w:rFonts w:ascii="Calibri" w:hAnsi="Calibri"/>
          <w:color w:val="008356"/>
          <w:spacing w:val="4"/>
          <w:w w:val="115"/>
          <w:sz w:val="11"/>
        </w:rPr>
        <w:t>ITRACONAZOLE </w:t>
      </w:r>
      <w:r>
        <w:rPr>
          <w:color w:val="231F1F"/>
          <w:w w:val="115"/>
        </w:rPr>
        <w:t>(increased risk of</w:t>
      </w:r>
      <w:r>
        <w:rPr>
          <w:color w:val="231F1F"/>
          <w:spacing w:val="-12"/>
          <w:w w:val="115"/>
        </w:rPr>
        <w:t> </w:t>
      </w:r>
      <w:r>
        <w:rPr>
          <w:color w:val="231F1F"/>
          <w:w w:val="115"/>
        </w:rPr>
        <w:t>toxicity)</w:t>
      </w:r>
    </w:p>
    <w:p>
      <w:pPr>
        <w:spacing w:line="237" w:lineRule="auto" w:before="0"/>
        <w:ind w:left="208" w:right="1179"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manufacturer of dapoxetine advises avoid concomitant</w:t>
      </w:r>
      <w:r>
        <w:rPr>
          <w:color w:val="231F1F"/>
          <w:spacing w:val="-8"/>
          <w:w w:val="110"/>
          <w:sz w:val="12"/>
        </w:rPr>
        <w:t> </w:t>
      </w:r>
      <w:r>
        <w:rPr>
          <w:color w:val="231F1F"/>
          <w:w w:val="110"/>
          <w:sz w:val="12"/>
        </w:rPr>
        <w:t>use</w:t>
      </w:r>
      <w:r>
        <w:rPr>
          <w:color w:val="231F1F"/>
          <w:spacing w:val="-7"/>
          <w:w w:val="110"/>
          <w:sz w:val="12"/>
        </w:rPr>
        <w:t> </w:t>
      </w:r>
      <w:r>
        <w:rPr>
          <w:color w:val="231F1F"/>
          <w:w w:val="110"/>
          <w:sz w:val="12"/>
        </w:rPr>
        <w:t>with</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0"/>
          <w:sz w:val="11"/>
        </w:rPr>
        <w:t>ATAZANAVIR</w:t>
      </w:r>
      <w:r>
        <w:rPr>
          <w:color w:val="231F1F"/>
          <w:spacing w:val="3"/>
          <w:w w:val="110"/>
          <w:sz w:val="12"/>
        </w:rPr>
        <w:t>,</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0"/>
          <w:sz w:val="11"/>
        </w:rPr>
        <w:t>RITONAVIR</w:t>
      </w:r>
      <w:r>
        <w:rPr>
          <w:rFonts w:ascii="Calibri"/>
          <w:color w:val="008356"/>
          <w:spacing w:val="4"/>
          <w:w w:val="110"/>
          <w:sz w:val="11"/>
        </w:rPr>
        <w:t> </w:t>
      </w:r>
      <w:r>
        <w:rPr>
          <w:color w:val="231F1F"/>
          <w:w w:val="110"/>
          <w:sz w:val="12"/>
        </w:rPr>
        <w:t>and</w:t>
      </w:r>
    </w:p>
    <w:p>
      <w:pPr>
        <w:pStyle w:val="BodyText"/>
        <w:spacing w:line="247" w:lineRule="auto" w:before="1"/>
        <w:ind w:right="762" w:hanging="1"/>
      </w:pPr>
      <w:r>
        <w:rPr>
          <w:rFonts w:ascii="Arial"/>
          <w:color w:val="231F1F"/>
          <w:w w:val="355"/>
          <w:position w:val="1"/>
          <w:sz w:val="7"/>
        </w:rPr>
        <w:t>l </w:t>
      </w:r>
      <w:r>
        <w:rPr>
          <w:rFonts w:ascii="Calibri"/>
          <w:color w:val="008356"/>
          <w:spacing w:val="4"/>
          <w:w w:val="110"/>
          <w:sz w:val="11"/>
        </w:rPr>
        <w:t>SAQUINAVIR </w:t>
      </w:r>
      <w:r>
        <w:rPr>
          <w:color w:val="231F1F"/>
          <w:w w:val="110"/>
        </w:rPr>
        <w:t>(increased risk of toxicity); manufacturer of dapoxetine advises dose reduction when dapoxetine </w:t>
      </w:r>
      <w:r>
        <w:rPr>
          <w:color w:val="231F1F"/>
          <w:spacing w:val="-3"/>
          <w:w w:val="110"/>
        </w:rPr>
        <w:t>given </w:t>
      </w:r>
      <w:r>
        <w:rPr>
          <w:color w:val="231F1F"/>
          <w:w w:val="110"/>
        </w:rPr>
        <w:t>with </w:t>
      </w:r>
      <w:r>
        <w:rPr>
          <w:rFonts w:ascii="Calibri"/>
          <w:color w:val="008356"/>
          <w:spacing w:val="4"/>
          <w:w w:val="110"/>
          <w:sz w:val="11"/>
        </w:rPr>
        <w:t>FOSAMPRENAVIR </w:t>
      </w:r>
      <w:r>
        <w:rPr>
          <w:color w:val="231F1F"/>
          <w:w w:val="110"/>
        </w:rPr>
        <w:t>(see under Dapoxetine, p.</w:t>
      </w:r>
      <w:r>
        <w:rPr>
          <w:color w:val="231F1F"/>
          <w:spacing w:val="-20"/>
          <w:w w:val="110"/>
        </w:rPr>
        <w:t> </w:t>
      </w:r>
      <w:r>
        <w:rPr>
          <w:color w:val="231F1F"/>
          <w:w w:val="110"/>
        </w:rPr>
        <w:t>703)</w:t>
      </w:r>
    </w:p>
    <w:p>
      <w:pPr>
        <w:pStyle w:val="BodyText"/>
        <w:spacing w:line="230" w:lineRule="auto"/>
        <w:ind w:right="699" w:hanging="100"/>
      </w:pPr>
      <w:r>
        <w:rPr>
          <w:rFonts w:ascii="Lucida Sans Unicode" w:hAnsi="Lucida Sans Unicode"/>
          <w:color w:val="A7A8AC"/>
          <w:w w:val="95"/>
          <w:sz w:val="10"/>
        </w:rPr>
        <w:t>▶  </w:t>
      </w:r>
      <w:r>
        <w:rPr>
          <w:rFonts w:ascii="Calibri" w:hAnsi="Calibri"/>
          <w:color w:val="231F1F"/>
          <w:w w:val="110"/>
        </w:rPr>
        <w:t>Aprepitant: </w:t>
      </w:r>
      <w:r>
        <w:rPr>
          <w:color w:val="231F1F"/>
          <w:w w:val="110"/>
        </w:rPr>
        <w:t>manufacturer of dapoxetine advises dose reduction when dapoxetine given with </w:t>
      </w:r>
      <w:r>
        <w:rPr>
          <w:rFonts w:ascii="Calibri" w:hAnsi="Calibri"/>
          <w:color w:val="008356"/>
          <w:spacing w:val="4"/>
          <w:w w:val="110"/>
          <w:sz w:val="11"/>
        </w:rPr>
        <w:t>APREPITANT </w:t>
      </w:r>
      <w:r>
        <w:rPr>
          <w:color w:val="231F1F"/>
          <w:w w:val="110"/>
        </w:rPr>
        <w:t>(see </w:t>
      </w:r>
      <w:r>
        <w:rPr>
          <w:color w:val="231F1F"/>
          <w:spacing w:val="-3"/>
          <w:w w:val="110"/>
        </w:rPr>
        <w:t>under </w:t>
      </w:r>
      <w:r>
        <w:rPr>
          <w:color w:val="231F1F"/>
          <w:w w:val="110"/>
        </w:rPr>
        <w:t>Dapoxetine, p.</w:t>
      </w:r>
      <w:r>
        <w:rPr>
          <w:color w:val="231F1F"/>
          <w:spacing w:val="-5"/>
          <w:w w:val="110"/>
        </w:rPr>
        <w:t> </w:t>
      </w:r>
      <w:r>
        <w:rPr>
          <w:color w:val="231F1F"/>
          <w:w w:val="110"/>
        </w:rPr>
        <w:t>703)</w:t>
      </w:r>
    </w:p>
    <w:p>
      <w:pPr>
        <w:pStyle w:val="BodyText"/>
        <w:spacing w:line="230" w:lineRule="auto" w:before="5"/>
        <w:ind w:right="670" w:hanging="100"/>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manufacturer of dapoxetine advises dose reduction when dapoxetine given with </w:t>
      </w:r>
      <w:r>
        <w:rPr>
          <w:rFonts w:ascii="Calibri" w:hAnsi="Calibri"/>
          <w:color w:val="008356"/>
          <w:w w:val="110"/>
          <w:sz w:val="11"/>
        </w:rPr>
        <w:t>DILTIAZEM </w:t>
      </w:r>
      <w:r>
        <w:rPr>
          <w:color w:val="231F1F"/>
          <w:w w:val="110"/>
        </w:rPr>
        <w:t>and </w:t>
      </w:r>
      <w:r>
        <w:rPr>
          <w:rFonts w:ascii="Calibri" w:hAnsi="Calibri"/>
          <w:color w:val="008356"/>
          <w:w w:val="110"/>
          <w:sz w:val="11"/>
        </w:rPr>
        <w:t>VERAPAMIL </w:t>
      </w:r>
      <w:r>
        <w:rPr>
          <w:color w:val="231F1F"/>
          <w:w w:val="110"/>
        </w:rPr>
        <w:t>(see under Dapoxetine, p. 703)</w:t>
      </w:r>
    </w:p>
    <w:p>
      <w:pPr>
        <w:pStyle w:val="BodyText"/>
        <w:spacing w:line="225" w:lineRule="auto" w:before="6"/>
        <w:ind w:right="648" w:hanging="100"/>
      </w:pPr>
      <w:r>
        <w:rPr>
          <w:rFonts w:ascii="Arial"/>
          <w:color w:val="231F1F"/>
          <w:w w:val="355"/>
          <w:position w:val="1"/>
          <w:sz w:val="7"/>
        </w:rPr>
        <w:t>l </w:t>
      </w:r>
      <w:r>
        <w:rPr>
          <w:rFonts w:ascii="Calibri"/>
          <w:color w:val="231F1F"/>
          <w:w w:val="110"/>
        </w:rPr>
        <w:t>5HT</w:t>
      </w:r>
      <w:r>
        <w:rPr>
          <w:rFonts w:ascii="Calibri"/>
          <w:color w:val="231F1F"/>
          <w:w w:val="110"/>
          <w:vertAlign w:val="subscript"/>
        </w:rPr>
        <w:t>1</w:t>
      </w:r>
      <w:r>
        <w:rPr>
          <w:rFonts w:ascii="Calibri"/>
          <w:color w:val="231F1F"/>
          <w:w w:val="110"/>
          <w:vertAlign w:val="baseline"/>
        </w:rPr>
        <w:t>-receptor Agonists: </w:t>
      </w:r>
      <w:r>
        <w:rPr>
          <w:color w:val="231F1F"/>
          <w:w w:val="110"/>
          <w:vertAlign w:val="baseline"/>
        </w:rPr>
        <w:t>possible increased risk of serotonergic </w:t>
      </w:r>
      <w:r>
        <w:rPr>
          <w:color w:val="231F1F"/>
          <w:w w:val="110"/>
          <w:position w:val="2"/>
          <w:vertAlign w:val="baseline"/>
        </w:rPr>
        <w:t>effects when dapoxetine given with </w:t>
      </w:r>
      <w:r>
        <w:rPr>
          <w:rFonts w:ascii="Arial"/>
          <w:color w:val="231F1F"/>
          <w:w w:val="355"/>
          <w:position w:val="2"/>
          <w:sz w:val="7"/>
          <w:vertAlign w:val="baseline"/>
        </w:rPr>
        <w:t>l </w:t>
      </w:r>
      <w:r>
        <w:rPr>
          <w:rFonts w:ascii="Calibri"/>
          <w:color w:val="008356"/>
          <w:w w:val="110"/>
          <w:position w:val="2"/>
          <w:sz w:val="11"/>
          <w:vertAlign w:val="baseline"/>
        </w:rPr>
        <w:t>5HT</w:t>
      </w:r>
      <w:r>
        <w:rPr>
          <w:rFonts w:ascii="Calibri"/>
          <w:color w:val="008356"/>
          <w:w w:val="110"/>
          <w:position w:val="2"/>
          <w:sz w:val="11"/>
          <w:vertAlign w:val="subscript"/>
        </w:rPr>
        <w:t>1</w:t>
      </w:r>
      <w:r>
        <w:rPr>
          <w:rFonts w:ascii="Calibri"/>
          <w:color w:val="008356"/>
          <w:w w:val="110"/>
          <w:position w:val="2"/>
          <w:sz w:val="11"/>
          <w:vertAlign w:val="baseline"/>
        </w:rPr>
        <w:t> AGONISTS </w:t>
      </w:r>
      <w:r>
        <w:rPr>
          <w:color w:val="231F1F"/>
          <w:w w:val="110"/>
          <w:vertAlign w:val="baseline"/>
        </w:rPr>
        <w:t>(manufacturer of dapoxetine advises 5HT</w:t>
      </w:r>
      <w:r>
        <w:rPr>
          <w:color w:val="231F1F"/>
          <w:w w:val="110"/>
          <w:vertAlign w:val="subscript"/>
        </w:rPr>
        <w:t>1</w:t>
      </w:r>
      <w:r>
        <w:rPr>
          <w:color w:val="231F1F"/>
          <w:w w:val="110"/>
          <w:vertAlign w:val="baseline"/>
        </w:rPr>
        <w:t> agonists should</w:t>
      </w:r>
    </w:p>
    <w:p>
      <w:pPr>
        <w:pStyle w:val="BodyText"/>
        <w:spacing w:line="249" w:lineRule="auto" w:before="5"/>
        <w:ind w:right="670"/>
      </w:pPr>
      <w:r>
        <w:rPr>
          <w:color w:val="231F1F"/>
          <w:w w:val="115"/>
        </w:rPr>
        <w:t>not be started until 1 week after stopping dapoxetine, avoid dapoxetine for 2 weeks after stopping 5HT</w:t>
      </w:r>
      <w:r>
        <w:rPr>
          <w:color w:val="231F1F"/>
          <w:w w:val="115"/>
          <w:vertAlign w:val="subscript"/>
        </w:rPr>
        <w:t>1</w:t>
      </w:r>
      <w:r>
        <w:rPr>
          <w:color w:val="231F1F"/>
          <w:w w:val="115"/>
          <w:vertAlign w:val="baseline"/>
        </w:rPr>
        <w:t> agonists)</w:t>
      </w:r>
    </w:p>
    <w:p>
      <w:pPr>
        <w:pStyle w:val="BodyText"/>
        <w:spacing w:line="244" w:lineRule="auto"/>
        <w:ind w:right="594" w:hanging="100"/>
      </w:pPr>
      <w:r>
        <w:rPr>
          <w:rFonts w:ascii="Arial"/>
          <w:color w:val="231F1F"/>
          <w:w w:val="355"/>
          <w:position w:val="1"/>
          <w:sz w:val="7"/>
        </w:rPr>
        <w:t>l </w:t>
      </w:r>
      <w:r>
        <w:rPr>
          <w:rFonts w:ascii="Calibri"/>
          <w:color w:val="231F1F"/>
          <w:w w:val="115"/>
        </w:rPr>
        <w:t>Lithium: </w:t>
      </w:r>
      <w:r>
        <w:rPr>
          <w:color w:val="231F1F"/>
          <w:w w:val="115"/>
        </w:rPr>
        <w:t>possible increased risk of serotonergic effects when dapoxetine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LITHIUM </w:t>
      </w:r>
      <w:r>
        <w:rPr>
          <w:color w:val="231F1F"/>
          <w:w w:val="115"/>
        </w:rPr>
        <w:t>(manufacturer of dapoxetine advises lithium should not be started until 1 week after stopping dapoxetine, avoid dapoxetine for 2 weeks after stopping lithium)</w:t>
      </w:r>
    </w:p>
    <w:p>
      <w:pPr>
        <w:pStyle w:val="BodyText"/>
        <w:spacing w:line="220" w:lineRule="auto" w:before="4"/>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Sildenafil: </w:t>
      </w:r>
      <w:r>
        <w:rPr>
          <w:color w:val="231F1F"/>
          <w:w w:val="105"/>
        </w:rPr>
        <w:t>manufacturer of dapoxetine advises avoid concomitant use with </w:t>
      </w:r>
      <w:r>
        <w:rPr>
          <w:rFonts w:ascii="Calibri" w:hAnsi="Calibri"/>
          <w:color w:val="008356"/>
          <w:w w:val="105"/>
          <w:sz w:val="11"/>
        </w:rPr>
        <w:t>SILDENAFIL</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Tadalafil: </w:t>
      </w:r>
      <w:r>
        <w:rPr>
          <w:color w:val="231F1F"/>
          <w:w w:val="105"/>
        </w:rPr>
        <w:t>manufacturer of dapoxetine advises avoid concomitant use with </w:t>
      </w:r>
      <w:r>
        <w:rPr>
          <w:rFonts w:ascii="Calibri" w:hAnsi="Calibri"/>
          <w:color w:val="008356"/>
          <w:w w:val="105"/>
          <w:sz w:val="11"/>
        </w:rPr>
        <w:t>TADALAFIL</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Vardenafil: </w:t>
      </w:r>
      <w:r>
        <w:rPr>
          <w:color w:val="231F1F"/>
          <w:w w:val="110"/>
        </w:rPr>
        <w:t>manufacturer of dapoxetine advises avoid concomitant use with </w:t>
      </w:r>
      <w:r>
        <w:rPr>
          <w:rFonts w:ascii="Calibri" w:hAnsi="Calibri"/>
          <w:color w:val="008356"/>
          <w:w w:val="110"/>
          <w:sz w:val="11"/>
        </w:rPr>
        <w:t>VARDENAFIL</w:t>
      </w:r>
    </w:p>
    <w:p>
      <w:pPr>
        <w:pStyle w:val="BodyText"/>
        <w:spacing w:before="9"/>
        <w:ind w:left="108"/>
        <w:rPr>
          <w:rFonts w:ascii="Trebuchet MS"/>
        </w:rPr>
      </w:pPr>
      <w:r>
        <w:rPr>
          <w:rFonts w:ascii="Trebuchet MS"/>
          <w:color w:val="008356"/>
          <w:w w:val="105"/>
        </w:rPr>
        <w:t>Dapsone</w:t>
      </w:r>
    </w:p>
    <w:p>
      <w:pPr>
        <w:pStyle w:val="BodyText"/>
        <w:spacing w:line="23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dapsone reduced by </w:t>
      </w:r>
      <w:r>
        <w:rPr>
          <w:rFonts w:ascii="Calibri" w:hAnsi="Calibri"/>
          <w:color w:val="008356"/>
          <w:w w:val="110"/>
          <w:sz w:val="11"/>
        </w:rPr>
        <w:t>RIFAMYCINS</w:t>
      </w:r>
      <w:r>
        <w:rPr>
          <w:color w:val="231F1F"/>
          <w:w w:val="110"/>
        </w:rPr>
        <w:t>; plasma concentration of both drugs may increase when dapsone given with </w:t>
      </w:r>
      <w:r>
        <w:rPr>
          <w:rFonts w:ascii="Calibri" w:hAnsi="Calibri"/>
          <w:color w:val="008356"/>
          <w:w w:val="110"/>
          <w:sz w:val="11"/>
        </w:rPr>
        <w:t>TRIMETHOPRIM</w:t>
      </w:r>
    </w:p>
    <w:p>
      <w:pPr>
        <w:pStyle w:val="BodyText"/>
        <w:ind w:right="886"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Antivirals:</w:t>
      </w:r>
      <w:r>
        <w:rPr>
          <w:rFonts w:ascii="Calibri" w:hAnsi="Calibri"/>
          <w:color w:val="231F1F"/>
          <w:spacing w:val="-8"/>
          <w:w w:val="115"/>
        </w:rPr>
        <w:t> </w:t>
      </w:r>
      <w:r>
        <w:rPr>
          <w:color w:val="231F1F"/>
          <w:w w:val="115"/>
        </w:rPr>
        <w:t>increased</w:t>
      </w:r>
      <w:r>
        <w:rPr>
          <w:color w:val="231F1F"/>
          <w:spacing w:val="-12"/>
          <w:w w:val="115"/>
        </w:rPr>
        <w:t> </w:t>
      </w:r>
      <w:r>
        <w:rPr>
          <w:color w:val="231F1F"/>
          <w:w w:val="115"/>
        </w:rPr>
        <w:t>risk</w:t>
      </w:r>
      <w:r>
        <w:rPr>
          <w:color w:val="231F1F"/>
          <w:spacing w:val="-10"/>
          <w:w w:val="115"/>
        </w:rPr>
        <w:t> </w:t>
      </w:r>
      <w:r>
        <w:rPr>
          <w:color w:val="231F1F"/>
          <w:w w:val="115"/>
        </w:rPr>
        <w:t>of</w:t>
      </w:r>
      <w:r>
        <w:rPr>
          <w:color w:val="231F1F"/>
          <w:spacing w:val="-11"/>
          <w:w w:val="115"/>
        </w:rPr>
        <w:t> </w:t>
      </w:r>
      <w:r>
        <w:rPr>
          <w:color w:val="231F1F"/>
          <w:w w:val="115"/>
        </w:rPr>
        <w:t>ventricular</w:t>
      </w:r>
      <w:r>
        <w:rPr>
          <w:color w:val="231F1F"/>
          <w:spacing w:val="-12"/>
          <w:w w:val="115"/>
        </w:rPr>
        <w:t> </w:t>
      </w:r>
      <w:r>
        <w:rPr>
          <w:color w:val="231F1F"/>
          <w:w w:val="115"/>
        </w:rPr>
        <w:t>arrhythmias</w:t>
      </w:r>
      <w:r>
        <w:rPr>
          <w:color w:val="231F1F"/>
          <w:spacing w:val="-12"/>
          <w:w w:val="115"/>
        </w:rPr>
        <w:t> </w:t>
      </w:r>
      <w:r>
        <w:rPr>
          <w:color w:val="231F1F"/>
          <w:w w:val="115"/>
        </w:rPr>
        <w:t>when dapsone</w:t>
      </w:r>
      <w:r>
        <w:rPr>
          <w:color w:val="231F1F"/>
          <w:spacing w:val="-22"/>
          <w:w w:val="115"/>
        </w:rPr>
        <w:t> </w:t>
      </w:r>
      <w:r>
        <w:rPr>
          <w:color w:val="231F1F"/>
          <w:w w:val="115"/>
        </w:rPr>
        <w:t>given</w:t>
      </w:r>
      <w:r>
        <w:rPr>
          <w:color w:val="231F1F"/>
          <w:spacing w:val="-23"/>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SAQUINAVIR</w:t>
      </w:r>
      <w:r>
        <w:rPr>
          <w:rFonts w:ascii="Arial" w:hAnsi="Arial"/>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spacing w:val="-4"/>
          <w:w w:val="115"/>
        </w:rPr>
        <w:t>use</w:t>
      </w:r>
    </w:p>
    <w:p>
      <w:pPr>
        <w:spacing w:line="220" w:lineRule="auto" w:before="5"/>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08"/>
        <w:rPr>
          <w:rFonts w:ascii="Trebuchet MS"/>
        </w:rPr>
      </w:pPr>
      <w:r>
        <w:rPr>
          <w:rFonts w:ascii="Trebuchet MS"/>
          <w:color w:val="008356"/>
        </w:rPr>
        <w:t>Daptomycin</w:t>
      </w:r>
    </w:p>
    <w:p>
      <w:pPr>
        <w:pStyle w:val="BodyText"/>
        <w:ind w:right="746" w:hanging="100"/>
      </w:pPr>
      <w:r>
        <w:rPr>
          <w:rFonts w:ascii="Arial"/>
          <w:color w:val="231F1F"/>
          <w:w w:val="355"/>
          <w:position w:val="1"/>
          <w:sz w:val="7"/>
        </w:rPr>
        <w:t>l </w:t>
      </w:r>
      <w:r>
        <w:rPr>
          <w:rFonts w:ascii="Calibri"/>
          <w:color w:val="231F1F"/>
          <w:w w:val="110"/>
        </w:rPr>
        <w:t>Ciclosporin: </w:t>
      </w:r>
      <w:r>
        <w:rPr>
          <w:color w:val="231F1F"/>
          <w:w w:val="110"/>
        </w:rPr>
        <w:t>increased risk of myopathy when daptomycin given with </w:t>
      </w:r>
      <w:r>
        <w:rPr>
          <w:rFonts w:ascii="Arial"/>
          <w:color w:val="231F1F"/>
          <w:w w:val="355"/>
          <w:position w:val="1"/>
          <w:sz w:val="7"/>
        </w:rPr>
        <w:t>l </w:t>
      </w:r>
      <w:r>
        <w:rPr>
          <w:rFonts w:ascii="Calibri"/>
          <w:color w:val="008356"/>
          <w:w w:val="110"/>
          <w:sz w:val="11"/>
        </w:rPr>
        <w:t>CICLOSPORIN </w:t>
      </w:r>
      <w:r>
        <w:rPr>
          <w:color w:val="231F1F"/>
          <w:w w:val="110"/>
        </w:rPr>
        <w:t>(preferably avoid concomitant use)</w:t>
      </w:r>
    </w:p>
    <w:p>
      <w:pPr>
        <w:pStyle w:val="BodyText"/>
        <w:ind w:right="885" w:hanging="100"/>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Lipid-regulating</w:t>
      </w:r>
      <w:r>
        <w:rPr>
          <w:rFonts w:ascii="Calibri"/>
          <w:color w:val="231F1F"/>
          <w:spacing w:val="-12"/>
          <w:w w:val="115"/>
        </w:rPr>
        <w:t> </w:t>
      </w:r>
      <w:r>
        <w:rPr>
          <w:rFonts w:ascii="Calibri"/>
          <w:color w:val="231F1F"/>
          <w:w w:val="115"/>
        </w:rPr>
        <w:t>Drugs:</w:t>
      </w:r>
      <w:r>
        <w:rPr>
          <w:rFonts w:ascii="Calibri"/>
          <w:color w:val="231F1F"/>
          <w:spacing w:val="-11"/>
          <w:w w:val="115"/>
        </w:rPr>
        <w:t> </w:t>
      </w:r>
      <w:r>
        <w:rPr>
          <w:color w:val="231F1F"/>
          <w:w w:val="115"/>
        </w:rPr>
        <w:t>increased</w:t>
      </w:r>
      <w:r>
        <w:rPr>
          <w:color w:val="231F1F"/>
          <w:spacing w:val="-16"/>
          <w:w w:val="115"/>
        </w:rPr>
        <w:t> </w:t>
      </w:r>
      <w:r>
        <w:rPr>
          <w:color w:val="231F1F"/>
          <w:w w:val="115"/>
        </w:rPr>
        <w:t>risk</w:t>
      </w:r>
      <w:r>
        <w:rPr>
          <w:color w:val="231F1F"/>
          <w:spacing w:val="-14"/>
          <w:w w:val="115"/>
        </w:rPr>
        <w:t> </w:t>
      </w:r>
      <w:r>
        <w:rPr>
          <w:color w:val="231F1F"/>
          <w:w w:val="115"/>
        </w:rPr>
        <w:t>of</w:t>
      </w:r>
      <w:r>
        <w:rPr>
          <w:color w:val="231F1F"/>
          <w:spacing w:val="-16"/>
          <w:w w:val="115"/>
        </w:rPr>
        <w:t> </w:t>
      </w:r>
      <w:r>
        <w:rPr>
          <w:color w:val="231F1F"/>
          <w:w w:val="115"/>
        </w:rPr>
        <w:t>myopathy</w:t>
      </w:r>
      <w:r>
        <w:rPr>
          <w:color w:val="231F1F"/>
          <w:spacing w:val="-16"/>
          <w:w w:val="115"/>
        </w:rPr>
        <w:t> </w:t>
      </w:r>
      <w:r>
        <w:rPr>
          <w:color w:val="231F1F"/>
          <w:w w:val="115"/>
        </w:rPr>
        <w:t>when daptomycin</w:t>
      </w:r>
      <w:r>
        <w:rPr>
          <w:color w:val="231F1F"/>
          <w:spacing w:val="-18"/>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3"/>
          <w:w w:val="115"/>
          <w:sz w:val="11"/>
        </w:rPr>
        <w:t>FIBRATES</w:t>
      </w:r>
      <w:r>
        <w:rPr>
          <w:rFonts w:ascii="Calibri"/>
          <w:color w:val="008356"/>
          <w:spacing w:val="-9"/>
          <w:w w:val="115"/>
          <w:sz w:val="11"/>
        </w:rPr>
        <w:t> </w:t>
      </w:r>
      <w:r>
        <w:rPr>
          <w:color w:val="231F1F"/>
          <w:w w:val="115"/>
        </w:rPr>
        <w:t>or</w:t>
      </w:r>
      <w:r>
        <w:rPr>
          <w:color w:val="231F1F"/>
          <w:spacing w:val="-18"/>
          <w:w w:val="115"/>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2"/>
          <w:w w:val="115"/>
          <w:sz w:val="11"/>
        </w:rPr>
        <w:t>STATINS</w:t>
      </w:r>
      <w:r>
        <w:rPr>
          <w:rFonts w:ascii="Calibri"/>
          <w:color w:val="008356"/>
          <w:spacing w:val="-9"/>
          <w:w w:val="115"/>
          <w:sz w:val="11"/>
        </w:rPr>
        <w:t> </w:t>
      </w:r>
      <w:r>
        <w:rPr>
          <w:color w:val="231F1F"/>
          <w:w w:val="115"/>
        </w:rPr>
        <w:t>(preferably avoid concomitant</w:t>
      </w:r>
      <w:r>
        <w:rPr>
          <w:color w:val="231F1F"/>
          <w:spacing w:val="-10"/>
          <w:w w:val="115"/>
        </w:rPr>
        <w:t> </w:t>
      </w:r>
      <w:r>
        <w:rPr>
          <w:color w:val="231F1F"/>
          <w:w w:val="115"/>
        </w:rPr>
        <w:t>use)</w:t>
      </w:r>
    </w:p>
    <w:p>
      <w:pPr>
        <w:spacing w:after="0"/>
        <w:sectPr>
          <w:pgSz w:w="8390" w:h="11910"/>
          <w:pgMar w:header="0" w:footer="0" w:top="460" w:bottom="0" w:left="480" w:right="0"/>
          <w:cols w:num="2" w:equalWidth="0">
            <w:col w:w="3577" w:space="99"/>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3376" filled="true" fillcolor="#bfdbcf" stroked="false">
            <v:fill type="solid"/>
            <w10:wrap type="none"/>
          </v:rect>
        </w:pict>
      </w:r>
      <w:r>
        <w:rPr/>
        <w:pict>
          <v:shape style="position:absolute;margin-left:7.751256pt;margin-top:35.804367pt;width:10.4pt;height:78.850pt;mso-position-horizontal-relative:page;mso-position-vertical-relative:page;z-index:340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Daptomycin </w:t>
      </w:r>
      <w:r>
        <w:rPr>
          <w:rFonts w:ascii="Calibri"/>
          <w:color w:val="231F1F"/>
        </w:rPr>
        <w:t>(continued)</w:t>
      </w:r>
    </w:p>
    <w:p>
      <w:pPr>
        <w:spacing w:line="220" w:lineRule="auto" w:before="6"/>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spacing w:val="4"/>
          <w:w w:val="105"/>
          <w:sz w:val="11"/>
        </w:rPr>
        <w:t>ORAL TYPHOID </w:t>
      </w:r>
      <w:r>
        <w:rPr>
          <w:rFonts w:ascii="Calibri" w:hAnsi="Calibri"/>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3"/>
        <w:ind w:left="186"/>
      </w:pPr>
      <w:r>
        <w:rPr>
          <w:rFonts w:ascii="Trebuchet MS"/>
          <w:color w:val="008356"/>
          <w:w w:val="110"/>
        </w:rPr>
        <w:t>Darifenacin </w:t>
      </w:r>
      <w:r>
        <w:rPr>
          <w:i/>
          <w:color w:val="231F1F"/>
          <w:w w:val="110"/>
        </w:rPr>
        <w:t>see</w:t>
      </w:r>
      <w:r>
        <w:rPr>
          <w:i/>
          <w:color w:val="231F1F"/>
          <w:spacing w:val="-21"/>
          <w:w w:val="110"/>
        </w:rPr>
        <w:t> </w:t>
      </w:r>
      <w:r>
        <w:rPr>
          <w:color w:val="231F1F"/>
          <w:w w:val="110"/>
        </w:rPr>
        <w:t>Antimuscarinics</w:t>
      </w:r>
    </w:p>
    <w:p>
      <w:pPr>
        <w:pStyle w:val="BodyText"/>
        <w:spacing w:before="10"/>
        <w:ind w:left="186"/>
        <w:rPr>
          <w:rFonts w:ascii="Trebuchet MS"/>
        </w:rPr>
      </w:pPr>
      <w:r>
        <w:rPr>
          <w:rFonts w:ascii="Trebuchet MS"/>
          <w:color w:val="008356"/>
          <w:w w:val="105"/>
        </w:rPr>
        <w:t>Darunavir</w:t>
      </w:r>
    </w:p>
    <w:p>
      <w:pPr>
        <w:pStyle w:val="BodyText"/>
        <w:spacing w:line="218" w:lineRule="auto" w:before="11"/>
        <w:ind w:left="286"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darunavir possibly increases plasma concentration of </w:t>
      </w:r>
      <w:r>
        <w:rPr>
          <w:rFonts w:ascii="Calibri" w:hAnsi="Calibri"/>
          <w:color w:val="008356"/>
          <w:w w:val="110"/>
          <w:sz w:val="11"/>
        </w:rPr>
        <w:t>LIDOCAINE</w:t>
      </w:r>
      <w:r>
        <w:rPr>
          <w:rFonts w:ascii="Arial" w:hAnsi="Arial"/>
          <w:color w:val="231F1F"/>
          <w:w w:val="110"/>
        </w:rPr>
        <w:t>—</w:t>
      </w:r>
      <w:r>
        <w:rPr>
          <w:color w:val="231F1F"/>
          <w:w w:val="110"/>
        </w:rPr>
        <w:t>avoid concomitant use</w:t>
      </w:r>
    </w:p>
    <w:p>
      <w:pPr>
        <w:pStyle w:val="BodyText"/>
        <w:spacing w:line="146" w:lineRule="exact"/>
        <w:ind w:left="186"/>
      </w:pPr>
      <w:r>
        <w:rPr>
          <w:rFonts w:ascii="Arial"/>
          <w:color w:val="231F1F"/>
          <w:w w:val="355"/>
          <w:position w:val="1"/>
          <w:sz w:val="7"/>
        </w:rPr>
        <w:t>l </w:t>
      </w:r>
      <w:r>
        <w:rPr>
          <w:rFonts w:ascii="Calibri"/>
          <w:color w:val="231F1F"/>
          <w:w w:val="115"/>
        </w:rPr>
        <w:t>Antibacterials: </w:t>
      </w:r>
      <w:r>
        <w:rPr>
          <w:color w:val="231F1F"/>
          <w:w w:val="115"/>
        </w:rPr>
        <w:t>darunavir increases plasma concentration of</w:t>
      </w:r>
    </w:p>
    <w:p>
      <w:pPr>
        <w:pStyle w:val="BodyText"/>
        <w:spacing w:line="242" w:lineRule="auto"/>
        <w:ind w:left="286" w:right="61"/>
      </w:pPr>
      <w:r>
        <w:rPr>
          <w:rFonts w:ascii="Arial" w:hAnsi="Arial"/>
          <w:color w:val="231F1F"/>
          <w:w w:val="355"/>
          <w:position w:val="1"/>
          <w:sz w:val="7"/>
        </w:rPr>
        <w:t>l </w:t>
      </w:r>
      <w:r>
        <w:rPr>
          <w:rFonts w:ascii="Calibri" w:hAnsi="Calibri"/>
          <w:color w:val="008356"/>
          <w:w w:val="110"/>
          <w:sz w:val="11"/>
        </w:rPr>
        <w:t>RIFABUTIN </w:t>
      </w:r>
      <w:r>
        <w:rPr>
          <w:color w:val="231F1F"/>
          <w:w w:val="110"/>
        </w:rPr>
        <w:t>(reduce dose of rifabutin); plasma concentration of darunavir significantly reduced by </w:t>
      </w:r>
      <w:r>
        <w:rPr>
          <w:rFonts w:ascii="Arial" w:hAnsi="Arial"/>
          <w:color w:val="231F1F"/>
          <w:w w:val="355"/>
          <w:position w:val="1"/>
          <w:sz w:val="7"/>
        </w:rPr>
        <w:t>l </w:t>
      </w:r>
      <w:r>
        <w:rPr>
          <w:rFonts w:ascii="Calibri" w:hAnsi="Calibri"/>
          <w:color w:val="008356"/>
          <w:w w:val="110"/>
          <w:sz w:val="11"/>
        </w:rPr>
        <w:t>RIFAMPICIN</w:t>
      </w:r>
      <w:r>
        <w:rPr>
          <w:rFonts w:ascii="Arial" w:hAnsi="Arial"/>
          <w:color w:val="231F1F"/>
          <w:w w:val="110"/>
        </w:rPr>
        <w:t>—</w:t>
      </w:r>
      <w:r>
        <w:rPr>
          <w:color w:val="231F1F"/>
          <w:w w:val="110"/>
        </w:rPr>
        <w:t>avoid concomitant use</w:t>
      </w:r>
    </w:p>
    <w:p>
      <w:pPr>
        <w:spacing w:line="220" w:lineRule="auto" w:before="9"/>
        <w:ind w:left="286" w:right="24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Anticoagulants: </w:t>
      </w:r>
      <w:r>
        <w:rPr>
          <w:color w:val="231F1F"/>
          <w:w w:val="105"/>
          <w:sz w:val="12"/>
        </w:rPr>
        <w:t>avoidance of darunavir advised by manufacturer of </w:t>
      </w:r>
      <w:r>
        <w:rPr>
          <w:rFonts w:ascii="Calibri" w:hAnsi="Calibri"/>
          <w:color w:val="008356"/>
          <w:w w:val="105"/>
          <w:sz w:val="11"/>
        </w:rPr>
        <w:t>APIXABAN </w:t>
      </w:r>
      <w:r>
        <w:rPr>
          <w:color w:val="231F1F"/>
          <w:w w:val="105"/>
          <w:sz w:val="12"/>
        </w:rPr>
        <w:t>and </w:t>
      </w:r>
      <w:r>
        <w:rPr>
          <w:rFonts w:ascii="Calibri" w:hAnsi="Calibri"/>
          <w:color w:val="008356"/>
          <w:w w:val="105"/>
          <w:sz w:val="11"/>
        </w:rPr>
        <w:t>RIVAROXABAN</w:t>
      </w:r>
    </w:p>
    <w:p>
      <w:pPr>
        <w:spacing w:before="0"/>
        <w:ind w:left="286" w:right="0" w:hanging="100"/>
        <w:jc w:val="left"/>
        <w:rPr>
          <w:sz w:val="12"/>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darunavir possibly reduces plasma concentration of </w:t>
      </w:r>
      <w:r>
        <w:rPr>
          <w:rFonts w:ascii="Calibri" w:hAnsi="Calibri"/>
          <w:color w:val="008356"/>
          <w:w w:val="110"/>
          <w:sz w:val="11"/>
        </w:rPr>
        <w:t>PAROXETINE </w:t>
      </w:r>
      <w:r>
        <w:rPr>
          <w:color w:val="231F1F"/>
          <w:w w:val="110"/>
          <w:sz w:val="12"/>
        </w:rPr>
        <w:t>and </w:t>
      </w:r>
      <w:r>
        <w:rPr>
          <w:rFonts w:ascii="Calibri" w:hAnsi="Calibri"/>
          <w:color w:val="008356"/>
          <w:w w:val="110"/>
          <w:sz w:val="11"/>
        </w:rPr>
        <w:t>SERTRALINE</w:t>
      </w:r>
      <w:r>
        <w:rPr>
          <w:color w:val="231F1F"/>
          <w:w w:val="110"/>
          <w:sz w:val="12"/>
        </w:rPr>
        <w:t>; plasma concentration of darunavir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sz w:val="12"/>
        </w:rPr>
        <w:t>— </w:t>
      </w:r>
      <w:r>
        <w:rPr>
          <w:color w:val="231F1F"/>
          <w:w w:val="110"/>
          <w:sz w:val="12"/>
        </w:rPr>
        <w:t>avoid concomitant use</w:t>
      </w:r>
    </w:p>
    <w:p>
      <w:pPr>
        <w:spacing w:line="230" w:lineRule="auto" w:before="8"/>
        <w:ind w:left="286" w:right="9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darunavir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220" w:lineRule="auto" w:before="8"/>
        <w:ind w:left="286" w:right="98"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both drugs increased when darunavir given with </w:t>
      </w:r>
      <w:r>
        <w:rPr>
          <w:rFonts w:ascii="Calibri" w:hAnsi="Calibri"/>
          <w:color w:val="008356"/>
          <w:w w:val="110"/>
          <w:sz w:val="11"/>
        </w:rPr>
        <w:t>KETOCONAZOLE</w:t>
      </w:r>
    </w:p>
    <w:p>
      <w:pPr>
        <w:pStyle w:val="BodyText"/>
        <w:ind w:left="286" w:hanging="100"/>
      </w:pPr>
      <w:r>
        <w:rPr>
          <w:rFonts w:ascii="Arial"/>
          <w:color w:val="231F1F"/>
          <w:w w:val="355"/>
          <w:position w:val="1"/>
          <w:sz w:val="7"/>
        </w:rPr>
        <w:t>l </w:t>
      </w:r>
      <w:r>
        <w:rPr>
          <w:rFonts w:ascii="Calibri"/>
          <w:color w:val="231F1F"/>
          <w:w w:val="110"/>
        </w:rPr>
        <w:t>Antimalarials: </w:t>
      </w:r>
      <w:r>
        <w:rPr>
          <w:color w:val="231F1F"/>
          <w:w w:val="110"/>
        </w:rPr>
        <w:t>plasma concentration of lumefantrine increased when darunavir given with </w:t>
      </w:r>
      <w:r>
        <w:rPr>
          <w:rFonts w:ascii="Calibri"/>
          <w:color w:val="008356"/>
          <w:w w:val="110"/>
          <w:sz w:val="11"/>
        </w:rPr>
        <w:t>ARTEMETHER WITH LUMEFANTRINE</w:t>
      </w:r>
      <w:r>
        <w:rPr>
          <w:color w:val="231F1F"/>
          <w:w w:val="110"/>
        </w:rPr>
        <w:t>; darunavir possibly increases plasma concentration of</w:t>
      </w:r>
    </w:p>
    <w:p>
      <w:pPr>
        <w:spacing w:line="141" w:lineRule="exact" w:before="7"/>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QUININE </w:t>
      </w:r>
      <w:r>
        <w:rPr>
          <w:color w:val="231F1F"/>
          <w:w w:val="115"/>
          <w:sz w:val="12"/>
        </w:rPr>
        <w:t>(increased risk of toxicity)</w:t>
      </w:r>
    </w:p>
    <w:p>
      <w:pPr>
        <w:pStyle w:val="BodyText"/>
        <w:spacing w:line="242" w:lineRule="auto"/>
        <w:ind w:left="286" w:hanging="100"/>
      </w:pPr>
      <w:r>
        <w:rPr>
          <w:rFonts w:ascii="Arial" w:hAnsi="Arial"/>
          <w:color w:val="231F1F"/>
          <w:w w:val="345"/>
          <w:position w:val="1"/>
          <w:sz w:val="7"/>
        </w:rPr>
        <w:t>l</w:t>
      </w:r>
      <w:r>
        <w:rPr>
          <w:rFonts w:ascii="Arial" w:hAnsi="Arial"/>
          <w:color w:val="231F1F"/>
          <w:spacing w:val="-54"/>
          <w:w w:val="345"/>
          <w:position w:val="1"/>
          <w:sz w:val="7"/>
        </w:rPr>
        <w:t> </w:t>
      </w:r>
      <w:r>
        <w:rPr>
          <w:rFonts w:ascii="Calibri" w:hAnsi="Calibri"/>
          <w:color w:val="231F1F"/>
          <w:w w:val="120"/>
        </w:rPr>
        <w:t>Antipsychotics: </w:t>
      </w:r>
      <w:r>
        <w:rPr>
          <w:color w:val="231F1F"/>
          <w:w w:val="120"/>
        </w:rPr>
        <w:t>darunavir possibly increases plasma concentration of </w:t>
      </w:r>
      <w:r>
        <w:rPr>
          <w:rFonts w:ascii="Arial" w:hAnsi="Arial"/>
          <w:color w:val="231F1F"/>
          <w:w w:val="355"/>
          <w:position w:val="1"/>
          <w:sz w:val="7"/>
        </w:rPr>
        <w:t>l </w:t>
      </w:r>
      <w:r>
        <w:rPr>
          <w:rFonts w:ascii="Calibri" w:hAnsi="Calibri"/>
          <w:color w:val="008356"/>
          <w:spacing w:val="4"/>
          <w:w w:val="120"/>
          <w:sz w:val="11"/>
        </w:rPr>
        <w:t>ARIPIPRAZOLE </w:t>
      </w:r>
      <w:r>
        <w:rPr>
          <w:color w:val="231F1F"/>
          <w:w w:val="120"/>
        </w:rPr>
        <w:t>(reduce dose of </w:t>
      </w:r>
      <w:r>
        <w:rPr>
          <w:color w:val="231F1F"/>
          <w:w w:val="115"/>
        </w:rPr>
        <w:t>aripiprazole</w:t>
      </w:r>
      <w:r>
        <w:rPr>
          <w:rFonts w:ascii="Arial" w:hAnsi="Arial"/>
          <w:color w:val="231F1F"/>
          <w:w w:val="115"/>
        </w:rPr>
        <w:t>—</w:t>
      </w:r>
      <w:r>
        <w:rPr>
          <w:color w:val="231F1F"/>
          <w:w w:val="115"/>
        </w:rPr>
        <w:t>consult aripiprazole product </w:t>
      </w:r>
      <w:r>
        <w:rPr>
          <w:color w:val="231F1F"/>
          <w:spacing w:val="-2"/>
          <w:w w:val="115"/>
        </w:rPr>
        <w:t>literature); </w:t>
      </w:r>
      <w:r>
        <w:rPr>
          <w:color w:val="231F1F"/>
          <w:w w:val="115"/>
        </w:rPr>
        <w:t>darunavir possibly increases plasma concentration of</w:t>
      </w:r>
    </w:p>
    <w:p>
      <w:pPr>
        <w:pStyle w:val="BodyText"/>
        <w:spacing w:before="4"/>
        <w:ind w:left="286" w:right="248"/>
      </w:pPr>
      <w:r>
        <w:rPr>
          <w:rFonts w:ascii="Arial" w:hAnsi="Arial"/>
          <w:color w:val="231F1F"/>
          <w:w w:val="115"/>
          <w:position w:val="1"/>
          <w:sz w:val="7"/>
        </w:rPr>
        <w:t>l </w:t>
      </w:r>
      <w:r>
        <w:rPr>
          <w:rFonts w:ascii="Calibri" w:hAnsi="Calibri"/>
          <w:color w:val="008356"/>
          <w:w w:val="115"/>
          <w:sz w:val="11"/>
        </w:rPr>
        <w:t>QUETIAPINE</w:t>
      </w:r>
      <w:r>
        <w:rPr>
          <w:rFonts w:ascii="Arial" w:hAnsi="Arial"/>
          <w:color w:val="231F1F"/>
          <w:w w:val="115"/>
        </w:rPr>
        <w:t>—</w:t>
      </w:r>
      <w:r>
        <w:rPr>
          <w:color w:val="231F1F"/>
          <w:w w:val="115"/>
        </w:rPr>
        <w:t>manufacturer of quetiapine advises avoid </w:t>
      </w:r>
      <w:r>
        <w:rPr>
          <w:color w:val="231F1F"/>
          <w:w w:val="120"/>
        </w:rPr>
        <w:t>concomitant use</w:t>
      </w:r>
    </w:p>
    <w:p>
      <w:pPr>
        <w:pStyle w:val="BodyText"/>
        <w:spacing w:line="146" w:lineRule="exact" w:before="3"/>
        <w:ind w:left="186"/>
      </w:pPr>
      <w:r>
        <w:rPr>
          <w:rFonts w:ascii="Arial"/>
          <w:color w:val="231F1F"/>
          <w:w w:val="355"/>
          <w:position w:val="1"/>
          <w:sz w:val="7"/>
        </w:rPr>
        <w:t>l </w:t>
      </w:r>
      <w:r>
        <w:rPr>
          <w:rFonts w:ascii="Calibri"/>
          <w:color w:val="231F1F"/>
          <w:w w:val="115"/>
        </w:rPr>
        <w:t>Antivirals: </w:t>
      </w:r>
      <w:r>
        <w:rPr>
          <w:color w:val="231F1F"/>
          <w:w w:val="115"/>
        </w:rPr>
        <w:t>avoid concomitant use of darunavir with</w:t>
      </w:r>
    </w:p>
    <w:p>
      <w:pPr>
        <w:pStyle w:val="BodyText"/>
        <w:spacing w:line="244" w:lineRule="auto"/>
        <w:ind w:left="286" w:right="-17"/>
      </w:pPr>
      <w:r>
        <w:rPr>
          <w:rFonts w:ascii="Arial"/>
          <w:color w:val="231F1F"/>
          <w:w w:val="355"/>
          <w:position w:val="1"/>
          <w:sz w:val="7"/>
        </w:rPr>
        <w:t>l </w:t>
      </w:r>
      <w:r>
        <w:rPr>
          <w:rFonts w:ascii="Calibri"/>
          <w:color w:val="008356"/>
          <w:w w:val="110"/>
          <w:sz w:val="11"/>
        </w:rPr>
        <w:t>BOCEPREVIR </w:t>
      </w:r>
      <w:r>
        <w:rPr>
          <w:color w:val="231F1F"/>
          <w:w w:val="110"/>
        </w:rPr>
        <w:t>or </w:t>
      </w:r>
      <w:r>
        <w:rPr>
          <w:rFonts w:ascii="Arial"/>
          <w:color w:val="231F1F"/>
          <w:w w:val="355"/>
          <w:position w:val="1"/>
          <w:sz w:val="7"/>
        </w:rPr>
        <w:t>l </w:t>
      </w:r>
      <w:r>
        <w:rPr>
          <w:rFonts w:ascii="Calibri"/>
          <w:color w:val="008356"/>
          <w:w w:val="110"/>
          <w:sz w:val="11"/>
        </w:rPr>
        <w:t>TELAPREVIR</w:t>
      </w:r>
      <w:r>
        <w:rPr>
          <w:color w:val="231F1F"/>
          <w:w w:val="110"/>
        </w:rPr>
        <w:t>; avoidance of darunavir advised by manufacturer of </w:t>
      </w:r>
      <w:r>
        <w:rPr>
          <w:rFonts w:ascii="Calibri"/>
          <w:color w:val="008356"/>
          <w:w w:val="110"/>
          <w:sz w:val="11"/>
        </w:rPr>
        <w:t>DACLATASVIR </w:t>
      </w:r>
      <w:r>
        <w:rPr>
          <w:color w:val="231F1F"/>
          <w:w w:val="110"/>
        </w:rPr>
        <w:t>(plasma concentration of daclatasvir possibly increased); manufacturer of darunavir advises take </w:t>
      </w:r>
      <w:r>
        <w:rPr>
          <w:rFonts w:ascii="Calibri"/>
          <w:color w:val="008356"/>
          <w:w w:val="110"/>
          <w:sz w:val="11"/>
        </w:rPr>
        <w:t>DIDANOSINE </w:t>
      </w:r>
      <w:r>
        <w:rPr>
          <w:color w:val="231F1F"/>
          <w:w w:val="110"/>
        </w:rPr>
        <w:t>1 hour before or 2 hours after darunavir; plasma concentration of darunavir reduced by</w:t>
      </w:r>
    </w:p>
    <w:p>
      <w:pPr>
        <w:pStyle w:val="BodyText"/>
        <w:spacing w:line="244" w:lineRule="auto" w:before="1"/>
        <w:ind w:left="286" w:right="12"/>
      </w:pPr>
      <w:r>
        <w:rPr>
          <w:rFonts w:ascii="Arial" w:hAnsi="Arial"/>
          <w:color w:val="231F1F"/>
          <w:w w:val="355"/>
          <w:position w:val="1"/>
          <w:sz w:val="7"/>
        </w:rPr>
        <w:t>l </w:t>
      </w:r>
      <w:r>
        <w:rPr>
          <w:rFonts w:ascii="Calibri" w:hAnsi="Calibri"/>
          <w:color w:val="008356"/>
          <w:spacing w:val="3"/>
          <w:w w:val="110"/>
          <w:sz w:val="11"/>
        </w:rPr>
        <w:t>EFAVIRENZ </w:t>
      </w:r>
      <w:r>
        <w:rPr>
          <w:color w:val="231F1F"/>
          <w:w w:val="110"/>
        </w:rPr>
        <w:t>(adjust dose</w:t>
      </w:r>
      <w:r>
        <w:rPr>
          <w:rFonts w:ascii="Arial" w:hAnsi="Arial"/>
          <w:color w:val="231F1F"/>
          <w:w w:val="110"/>
        </w:rPr>
        <w:t>—</w:t>
      </w:r>
      <w:r>
        <w:rPr>
          <w:color w:val="231F1F"/>
          <w:w w:val="110"/>
        </w:rPr>
        <w:t>consult product literature); plasma concentration of both drugs increased when darunavir given with </w:t>
      </w:r>
      <w:r>
        <w:rPr>
          <w:rFonts w:ascii="Calibri" w:hAnsi="Calibri"/>
          <w:color w:val="008356"/>
          <w:spacing w:val="4"/>
          <w:w w:val="110"/>
          <w:sz w:val="11"/>
        </w:rPr>
        <w:t>INDINAVIR</w:t>
      </w:r>
      <w:r>
        <w:rPr>
          <w:color w:val="231F1F"/>
          <w:spacing w:val="4"/>
          <w:w w:val="110"/>
        </w:rPr>
        <w:t>; </w:t>
      </w:r>
      <w:r>
        <w:rPr>
          <w:color w:val="231F1F"/>
          <w:w w:val="110"/>
        </w:rPr>
        <w:t>plasma concentration of darunavir  reduced by </w:t>
      </w:r>
      <w:r>
        <w:rPr>
          <w:rFonts w:ascii="Arial" w:hAnsi="Arial"/>
          <w:color w:val="231F1F"/>
          <w:w w:val="355"/>
          <w:position w:val="1"/>
          <w:sz w:val="7"/>
        </w:rPr>
        <w:t>l </w:t>
      </w:r>
      <w:r>
        <w:rPr>
          <w:rFonts w:ascii="Calibri" w:hAnsi="Calibri"/>
          <w:color w:val="008356"/>
          <w:spacing w:val="3"/>
          <w:w w:val="110"/>
          <w:sz w:val="11"/>
        </w:rPr>
        <w:t>LOPINAVIR</w:t>
      </w:r>
      <w:r>
        <w:rPr>
          <w:color w:val="231F1F"/>
          <w:spacing w:val="3"/>
          <w:w w:val="110"/>
        </w:rPr>
        <w:t>, </w:t>
      </w:r>
      <w:r>
        <w:rPr>
          <w:color w:val="231F1F"/>
          <w:w w:val="110"/>
        </w:rPr>
        <w:t>also plasma concentration of lopinavir increased (avoid concomitant use);  darunavir  increases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MARAVIROC </w:t>
      </w:r>
      <w:r>
        <w:rPr>
          <w:color w:val="231F1F"/>
          <w:w w:val="110"/>
        </w:rPr>
        <w:t>(consider reducing </w:t>
      </w:r>
      <w:r>
        <w:rPr>
          <w:color w:val="231F1F"/>
          <w:spacing w:val="-3"/>
          <w:w w:val="110"/>
        </w:rPr>
        <w:t>dose </w:t>
      </w:r>
      <w:r>
        <w:rPr>
          <w:color w:val="231F1F"/>
          <w:w w:val="110"/>
        </w:rPr>
        <w:t>of maraviroc); increased risk of rash when darunavir given with </w:t>
      </w:r>
      <w:r>
        <w:rPr>
          <w:rFonts w:ascii="Calibri" w:hAnsi="Calibri"/>
          <w:color w:val="008356"/>
          <w:spacing w:val="3"/>
          <w:w w:val="110"/>
          <w:sz w:val="11"/>
        </w:rPr>
        <w:t>RALTEGRAVIR</w:t>
      </w:r>
      <w:r>
        <w:rPr>
          <w:color w:val="231F1F"/>
          <w:spacing w:val="3"/>
          <w:w w:val="110"/>
        </w:rPr>
        <w:t>; </w:t>
      </w:r>
      <w:r>
        <w:rPr>
          <w:color w:val="231F1F"/>
          <w:w w:val="110"/>
        </w:rPr>
        <w:t>plasma concentration  of  darunavir reduced by </w:t>
      </w:r>
      <w:r>
        <w:rPr>
          <w:rFonts w:ascii="Calibri" w:hAnsi="Calibri"/>
          <w:color w:val="008356"/>
          <w:spacing w:val="4"/>
          <w:w w:val="110"/>
          <w:sz w:val="11"/>
        </w:rPr>
        <w:t>SAQUINAVIR</w:t>
      </w:r>
      <w:r>
        <w:rPr>
          <w:color w:val="231F1F"/>
          <w:spacing w:val="4"/>
          <w:w w:val="110"/>
        </w:rPr>
        <w:t>; </w:t>
      </w:r>
      <w:r>
        <w:rPr>
          <w:color w:val="231F1F"/>
          <w:w w:val="110"/>
        </w:rPr>
        <w:t>plasma concentration of both drugs increased when darunavir given with </w:t>
      </w:r>
      <w:r>
        <w:rPr>
          <w:rFonts w:ascii="Arial" w:hAnsi="Arial"/>
          <w:color w:val="231F1F"/>
          <w:w w:val="355"/>
          <w:position w:val="1"/>
          <w:sz w:val="7"/>
        </w:rPr>
        <w:t>l </w:t>
      </w:r>
      <w:r>
        <w:rPr>
          <w:rFonts w:ascii="Calibri" w:hAnsi="Calibri"/>
          <w:color w:val="008356"/>
          <w:spacing w:val="4"/>
          <w:w w:val="110"/>
          <w:sz w:val="11"/>
        </w:rPr>
        <w:t>SIMEPREVIR</w:t>
      </w:r>
      <w:r>
        <w:rPr>
          <w:rFonts w:ascii="Arial" w:hAnsi="Arial"/>
          <w:color w:val="231F1F"/>
          <w:spacing w:val="4"/>
          <w:w w:val="110"/>
        </w:rPr>
        <w:t>— </w:t>
      </w:r>
      <w:r>
        <w:rPr>
          <w:color w:val="231F1F"/>
          <w:w w:val="110"/>
        </w:rPr>
        <w:t>manufacturer of simeprevir advises avoid concomitant</w:t>
      </w:r>
      <w:r>
        <w:rPr>
          <w:color w:val="231F1F"/>
          <w:spacing w:val="5"/>
          <w:w w:val="110"/>
        </w:rPr>
        <w:t> </w:t>
      </w:r>
      <w:r>
        <w:rPr>
          <w:color w:val="231F1F"/>
          <w:w w:val="110"/>
        </w:rPr>
        <w:t>use</w:t>
      </w:r>
    </w:p>
    <w:p>
      <w:pPr>
        <w:pStyle w:val="BodyText"/>
        <w:spacing w:line="244" w:lineRule="auto"/>
        <w:ind w:left="286" w:hanging="100"/>
      </w:pPr>
      <w:r>
        <w:rPr>
          <w:rFonts w:ascii="Arial" w:hAnsi="Arial"/>
          <w:color w:val="231F1F"/>
          <w:w w:val="355"/>
          <w:position w:val="1"/>
          <w:sz w:val="7"/>
        </w:rPr>
        <w:t>l </w:t>
      </w:r>
      <w:r>
        <w:rPr>
          <w:rFonts w:ascii="Calibri" w:hAnsi="Calibri"/>
          <w:color w:val="231F1F"/>
          <w:w w:val="120"/>
        </w:rPr>
        <w:t>Cytotoxics: </w:t>
      </w:r>
      <w:r>
        <w:rPr>
          <w:color w:val="231F1F"/>
          <w:w w:val="120"/>
        </w:rPr>
        <w:t>darunavir possibly increases the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BOSUTINIB</w:t>
      </w:r>
      <w:r>
        <w:rPr>
          <w:rFonts w:ascii="Arial" w:hAnsi="Arial"/>
          <w:color w:val="231F1F"/>
          <w:w w:val="115"/>
        </w:rPr>
        <w:t>—</w:t>
      </w:r>
      <w:r>
        <w:rPr>
          <w:color w:val="231F1F"/>
          <w:w w:val="115"/>
        </w:rPr>
        <w:t>manufacturer of bosutinib </w:t>
      </w:r>
      <w:r>
        <w:rPr>
          <w:color w:val="231F1F"/>
          <w:w w:val="120"/>
        </w:rPr>
        <w:t>advises avoid or consider reducing dose of bosutinib; darunavir possibly increases plasma concentration of</w:t>
      </w:r>
    </w:p>
    <w:p>
      <w:pPr>
        <w:pStyle w:val="BodyText"/>
        <w:spacing w:line="244" w:lineRule="auto"/>
        <w:ind w:left="286" w:right="72" w:hanging="1"/>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EVEROLIMUS</w:t>
      </w:r>
      <w:r>
        <w:rPr>
          <w:rFonts w:ascii="Arial" w:hAnsi="Arial"/>
          <w:color w:val="231F1F"/>
          <w:spacing w:val="2"/>
          <w:w w:val="115"/>
        </w:rPr>
        <w:t>—</w:t>
      </w:r>
      <w:r>
        <w:rPr>
          <w:color w:val="231F1F"/>
          <w:spacing w:val="2"/>
          <w:w w:val="115"/>
        </w:rPr>
        <w:t>manufacturer </w:t>
      </w:r>
      <w:r>
        <w:rPr>
          <w:color w:val="231F1F"/>
          <w:w w:val="115"/>
        </w:rPr>
        <w:t>of everolimus advises avoid concomitant use; darunavir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w:t>
      </w:r>
      <w:r>
        <w:rPr>
          <w:color w:val="231F1F"/>
          <w:spacing w:val="-3"/>
          <w:w w:val="115"/>
        </w:rPr>
        <w:t>(see </w:t>
      </w:r>
      <w:r>
        <w:rPr>
          <w:color w:val="231F1F"/>
          <w:w w:val="115"/>
        </w:rPr>
        <w:t>under Ibrutinib, p. 809)</w:t>
      </w:r>
    </w:p>
    <w:p>
      <w:pPr>
        <w:pStyle w:val="BodyText"/>
        <w:ind w:left="286" w:right="222" w:hanging="100"/>
        <w:jc w:val="both"/>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Ergot</w:t>
      </w:r>
      <w:r>
        <w:rPr>
          <w:rFonts w:ascii="Calibri" w:hAnsi="Calibri"/>
          <w:color w:val="231F1F"/>
          <w:spacing w:val="-12"/>
          <w:w w:val="115"/>
        </w:rPr>
        <w:t> </w:t>
      </w:r>
      <w:r>
        <w:rPr>
          <w:rFonts w:ascii="Calibri" w:hAnsi="Calibri"/>
          <w:color w:val="231F1F"/>
          <w:w w:val="115"/>
        </w:rPr>
        <w:t>Alkaloids:</w:t>
      </w:r>
      <w:r>
        <w:rPr>
          <w:rFonts w:ascii="Calibri" w:hAnsi="Calibri"/>
          <w:color w:val="231F1F"/>
          <w:spacing w:val="-12"/>
          <w:w w:val="115"/>
        </w:rPr>
        <w:t> </w:t>
      </w:r>
      <w:r>
        <w:rPr>
          <w:color w:val="231F1F"/>
          <w:w w:val="115"/>
        </w:rPr>
        <w:t>increased</w:t>
      </w:r>
      <w:r>
        <w:rPr>
          <w:color w:val="231F1F"/>
          <w:spacing w:val="-15"/>
          <w:w w:val="115"/>
        </w:rPr>
        <w:t> </w:t>
      </w:r>
      <w:r>
        <w:rPr>
          <w:color w:val="231F1F"/>
          <w:w w:val="115"/>
        </w:rPr>
        <w:t>risk</w:t>
      </w:r>
      <w:r>
        <w:rPr>
          <w:color w:val="231F1F"/>
          <w:spacing w:val="-14"/>
          <w:w w:val="115"/>
        </w:rPr>
        <w:t> </w:t>
      </w:r>
      <w:r>
        <w:rPr>
          <w:color w:val="231F1F"/>
          <w:w w:val="115"/>
        </w:rPr>
        <w:t>of</w:t>
      </w:r>
      <w:r>
        <w:rPr>
          <w:color w:val="231F1F"/>
          <w:spacing w:val="-14"/>
          <w:w w:val="115"/>
        </w:rPr>
        <w:t> </w:t>
      </w:r>
      <w:r>
        <w:rPr>
          <w:color w:val="231F1F"/>
          <w:w w:val="115"/>
        </w:rPr>
        <w:t>ergotism</w:t>
      </w:r>
      <w:r>
        <w:rPr>
          <w:color w:val="231F1F"/>
          <w:spacing w:val="-16"/>
          <w:w w:val="115"/>
        </w:rPr>
        <w:t> </w:t>
      </w:r>
      <w:r>
        <w:rPr>
          <w:color w:val="231F1F"/>
          <w:w w:val="115"/>
        </w:rPr>
        <w:t>when</w:t>
      </w:r>
      <w:r>
        <w:rPr>
          <w:color w:val="231F1F"/>
          <w:spacing w:val="-14"/>
          <w:w w:val="115"/>
        </w:rPr>
        <w:t> </w:t>
      </w:r>
      <w:r>
        <w:rPr>
          <w:color w:val="231F1F"/>
          <w:w w:val="115"/>
        </w:rPr>
        <w:t>darunavir given</w:t>
      </w:r>
      <w:r>
        <w:rPr>
          <w:color w:val="231F1F"/>
          <w:spacing w:val="-24"/>
          <w:w w:val="115"/>
        </w:rPr>
        <w:t> </w:t>
      </w:r>
      <w:r>
        <w:rPr>
          <w:color w:val="231F1F"/>
          <w:w w:val="115"/>
        </w:rPr>
        <w:t>with</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ERGOT</w:t>
      </w:r>
      <w:r>
        <w:rPr>
          <w:rFonts w:ascii="Calibri" w:hAnsi="Calibri"/>
          <w:color w:val="008356"/>
          <w:spacing w:val="-18"/>
          <w:w w:val="115"/>
          <w:sz w:val="11"/>
        </w:rPr>
        <w:t> </w:t>
      </w:r>
      <w:r>
        <w:rPr>
          <w:rFonts w:ascii="Calibri" w:hAnsi="Calibri"/>
          <w:color w:val="008356"/>
          <w:w w:val="115"/>
          <w:sz w:val="11"/>
        </w:rPr>
        <w:t>ALKALOIDS</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darunavir advises avoid concomitant</w:t>
      </w:r>
      <w:r>
        <w:rPr>
          <w:color w:val="231F1F"/>
          <w:spacing w:val="-14"/>
          <w:w w:val="115"/>
        </w:rPr>
        <w:t> </w:t>
      </w:r>
      <w:r>
        <w:rPr>
          <w:color w:val="231F1F"/>
          <w:w w:val="115"/>
        </w:rPr>
        <w:t>use</w:t>
      </w:r>
    </w:p>
    <w:p>
      <w:pPr>
        <w:pStyle w:val="BodyText"/>
        <w:spacing w:line="242" w:lineRule="auto" w:before="2"/>
        <w:ind w:left="286" w:right="17"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possible increased risk of myopathy </w:t>
      </w:r>
      <w:r>
        <w:rPr>
          <w:color w:val="231F1F"/>
          <w:w w:val="110"/>
        </w:rPr>
        <w:t>when darunavir given with </w:t>
      </w:r>
      <w:r>
        <w:rPr>
          <w:rFonts w:ascii="Calibri" w:hAnsi="Calibri"/>
          <w:color w:val="008356"/>
          <w:spacing w:val="2"/>
          <w:w w:val="110"/>
          <w:sz w:val="11"/>
        </w:rPr>
        <w:t>ATORVASTATIN</w:t>
      </w:r>
      <w:r>
        <w:rPr>
          <w:color w:val="231F1F"/>
          <w:spacing w:val="2"/>
          <w:w w:val="110"/>
        </w:rPr>
        <w:t>; </w:t>
      </w:r>
      <w:r>
        <w:rPr>
          <w:color w:val="231F1F"/>
          <w:w w:val="110"/>
        </w:rPr>
        <w:t>darunavir possibly </w:t>
      </w:r>
      <w:r>
        <w:rPr>
          <w:color w:val="231F1F"/>
          <w:w w:val="115"/>
        </w:rPr>
        <w:t>increases plasma concentration of </w:t>
      </w:r>
      <w:r>
        <w:rPr>
          <w:rFonts w:ascii="Calibri" w:hAnsi="Calibri"/>
          <w:color w:val="008356"/>
          <w:spacing w:val="2"/>
          <w:w w:val="115"/>
          <w:sz w:val="11"/>
        </w:rPr>
        <w:t>PRAVASTATIN</w:t>
      </w:r>
      <w:r>
        <w:rPr>
          <w:color w:val="231F1F"/>
          <w:spacing w:val="2"/>
          <w:w w:val="115"/>
        </w:rPr>
        <w:t>; </w:t>
      </w:r>
      <w:r>
        <w:rPr>
          <w:color w:val="231F1F"/>
          <w:w w:val="115"/>
        </w:rPr>
        <w:t>darunavir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 </w:t>
      </w:r>
      <w:r>
        <w:rPr>
          <w:color w:val="231F1F"/>
          <w:w w:val="115"/>
        </w:rPr>
        <w:t>dose of rosuvastatin (consult product literature); avoidance of darunavir advised by manufacturer of </w:t>
      </w:r>
      <w:r>
        <w:rPr>
          <w:rFonts w:ascii="Arial" w:hAnsi="Arial"/>
          <w:color w:val="231F1F"/>
          <w:w w:val="355"/>
          <w:position w:val="1"/>
          <w:sz w:val="7"/>
        </w:rPr>
        <w:t>l </w:t>
      </w:r>
      <w:r>
        <w:rPr>
          <w:rFonts w:ascii="Calibri" w:hAnsi="Calibri"/>
          <w:color w:val="008356"/>
          <w:spacing w:val="3"/>
          <w:w w:val="115"/>
          <w:sz w:val="11"/>
        </w:rPr>
        <w:t>LOMITAPIDE </w:t>
      </w:r>
      <w:r>
        <w:rPr>
          <w:color w:val="231F1F"/>
          <w:w w:val="115"/>
        </w:rPr>
        <w:t>(plasma concentration of lomitapide possibly increased)</w:t>
      </w:r>
    </w:p>
    <w:p>
      <w:pPr>
        <w:pStyle w:val="BodyText"/>
        <w:spacing w:before="2"/>
        <w:ind w:left="186"/>
      </w:pPr>
      <w:r>
        <w:rPr>
          <w:rFonts w:ascii="Arial"/>
          <w:color w:val="231F1F"/>
          <w:w w:val="355"/>
          <w:position w:val="1"/>
          <w:sz w:val="7"/>
        </w:rPr>
        <w:t>l </w:t>
      </w:r>
      <w:r>
        <w:rPr>
          <w:rFonts w:ascii="Calibri"/>
          <w:color w:val="231F1F"/>
          <w:w w:val="115"/>
        </w:rPr>
        <w:t>Orlistat: </w:t>
      </w:r>
      <w:r>
        <w:rPr>
          <w:color w:val="231F1F"/>
          <w:w w:val="115"/>
        </w:rPr>
        <w:t>absorption of darunavir possibly reduced by</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left="286" w:right="-3" w:hanging="100"/>
      </w:pP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231F1F"/>
          <w:w w:val="115"/>
        </w:rPr>
        <w:t>Ranolazine:</w:t>
      </w:r>
      <w:r>
        <w:rPr>
          <w:rFonts w:ascii="Calibri" w:hAnsi="Calibri"/>
          <w:color w:val="231F1F"/>
          <w:spacing w:val="-4"/>
          <w:w w:val="115"/>
        </w:rPr>
        <w:t> </w:t>
      </w:r>
      <w:r>
        <w:rPr>
          <w:color w:val="231F1F"/>
          <w:w w:val="115"/>
        </w:rPr>
        <w:t>darunavir</w:t>
      </w:r>
      <w:r>
        <w:rPr>
          <w:color w:val="231F1F"/>
          <w:spacing w:val="-9"/>
          <w:w w:val="115"/>
        </w:rPr>
        <w:t> </w:t>
      </w:r>
      <w:r>
        <w:rPr>
          <w:color w:val="231F1F"/>
          <w:w w:val="115"/>
        </w:rPr>
        <w:t>possibly</w:t>
      </w:r>
      <w:r>
        <w:rPr>
          <w:color w:val="231F1F"/>
          <w:spacing w:val="-8"/>
          <w:w w:val="115"/>
        </w:rPr>
        <w:t> </w:t>
      </w:r>
      <w:r>
        <w:rPr>
          <w:color w:val="231F1F"/>
          <w:w w:val="115"/>
        </w:rPr>
        <w:t>increases</w:t>
      </w:r>
      <w:r>
        <w:rPr>
          <w:color w:val="231F1F"/>
          <w:spacing w:val="-10"/>
          <w:w w:val="115"/>
        </w:rPr>
        <w:t> </w:t>
      </w:r>
      <w:r>
        <w:rPr>
          <w:color w:val="231F1F"/>
          <w:w w:val="115"/>
        </w:rPr>
        <w:t>plasma</w:t>
      </w:r>
      <w:r>
        <w:rPr>
          <w:color w:val="231F1F"/>
          <w:spacing w:val="-8"/>
          <w:w w:val="115"/>
        </w:rPr>
        <w:t> </w:t>
      </w:r>
      <w:r>
        <w:rPr>
          <w:color w:val="231F1F"/>
          <w:spacing w:val="-2"/>
          <w:w w:val="115"/>
        </w:rPr>
        <w:t>concentration </w:t>
      </w:r>
      <w:r>
        <w:rPr>
          <w:color w:val="231F1F"/>
          <w:w w:val="115"/>
        </w:rPr>
        <w:t>of </w:t>
      </w:r>
      <w:r>
        <w:rPr>
          <w:rFonts w:ascii="Arial" w:hAnsi="Arial"/>
          <w:color w:val="231F1F"/>
          <w:w w:val="115"/>
          <w:position w:val="1"/>
          <w:sz w:val="7"/>
        </w:rPr>
        <w:t>l </w:t>
      </w:r>
      <w:r>
        <w:rPr>
          <w:rFonts w:ascii="Calibri" w:hAnsi="Calibri"/>
          <w:color w:val="008356"/>
          <w:spacing w:val="2"/>
          <w:w w:val="115"/>
          <w:sz w:val="11"/>
        </w:rPr>
        <w:t>RANOLAZINE</w:t>
      </w:r>
      <w:r>
        <w:rPr>
          <w:rFonts w:ascii="Arial" w:hAnsi="Arial"/>
          <w:color w:val="231F1F"/>
          <w:spacing w:val="2"/>
          <w:w w:val="115"/>
        </w:rPr>
        <w:t>—</w:t>
      </w:r>
      <w:r>
        <w:rPr>
          <w:color w:val="231F1F"/>
          <w:spacing w:val="2"/>
          <w:w w:val="115"/>
        </w:rPr>
        <w:t>manufacturer </w:t>
      </w:r>
      <w:r>
        <w:rPr>
          <w:color w:val="231F1F"/>
          <w:w w:val="115"/>
        </w:rPr>
        <w:t>of ranolazine advises avoid </w:t>
      </w:r>
      <w:r>
        <w:rPr>
          <w:color w:val="231F1F"/>
          <w:w w:val="120"/>
        </w:rPr>
        <w:t>concomitant</w:t>
      </w:r>
      <w:r>
        <w:rPr>
          <w:color w:val="231F1F"/>
          <w:spacing w:val="-7"/>
          <w:w w:val="120"/>
        </w:rPr>
        <w:t> </w:t>
      </w:r>
      <w:r>
        <w:rPr>
          <w:color w:val="231F1F"/>
          <w:w w:val="120"/>
        </w:rPr>
        <w:t>use</w:t>
      </w:r>
    </w:p>
    <w:p>
      <w:pPr>
        <w:pStyle w:val="BodyText"/>
        <w:spacing w:line="139" w:lineRule="exact" w:before="10"/>
        <w:ind w:left="186"/>
        <w:rPr>
          <w:rFonts w:ascii="Trebuchet MS"/>
        </w:rPr>
      </w:pPr>
      <w:r>
        <w:rPr>
          <w:rFonts w:ascii="Trebuchet MS"/>
          <w:color w:val="008356"/>
          <w:w w:val="105"/>
        </w:rPr>
        <w:t>Dasatinib</w:t>
      </w:r>
    </w:p>
    <w:p>
      <w:pPr>
        <w:spacing w:before="0"/>
        <w:ind w:left="286" w:right="195"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manufacturer of dasatinib advises avoid concomitant use with </w:t>
      </w:r>
      <w:r>
        <w:rPr>
          <w:rFonts w:ascii="Calibri"/>
          <w:color w:val="008356"/>
          <w:w w:val="110"/>
          <w:sz w:val="11"/>
        </w:rPr>
        <w:t>CLARITHROMYCIN</w:t>
      </w:r>
      <w:r>
        <w:rPr>
          <w:color w:val="231F1F"/>
          <w:w w:val="110"/>
          <w:sz w:val="12"/>
        </w:rPr>
        <w:t>, </w:t>
      </w:r>
      <w:r>
        <w:rPr>
          <w:rFonts w:ascii="Calibri"/>
          <w:color w:val="008356"/>
          <w:w w:val="110"/>
          <w:sz w:val="11"/>
        </w:rPr>
        <w:t>ERYTHROMYCIN </w:t>
      </w:r>
      <w:r>
        <w:rPr>
          <w:color w:val="231F1F"/>
          <w:w w:val="110"/>
          <w:sz w:val="12"/>
        </w:rPr>
        <w:t>and</w:t>
      </w:r>
    </w:p>
    <w:p>
      <w:pPr>
        <w:pStyle w:val="BodyText"/>
        <w:spacing w:before="8"/>
        <w:ind w:left="0"/>
        <w:rPr>
          <w:sz w:val="14"/>
        </w:rPr>
      </w:pPr>
      <w:r>
        <w:rPr/>
        <w:br w:type="column"/>
      </w:r>
      <w:r>
        <w:rPr>
          <w:sz w:val="14"/>
        </w:rPr>
      </w:r>
    </w:p>
    <w:p>
      <w:pPr>
        <w:pStyle w:val="BodyText"/>
        <w:ind w:left="179"/>
        <w:rPr>
          <w:rFonts w:ascii="Arial"/>
        </w:rPr>
      </w:pPr>
      <w:r>
        <w:rPr>
          <w:rFonts w:ascii="Arial"/>
          <w:color w:val="008356"/>
        </w:rPr>
        <w:t>Dasatinib</w:t>
      </w:r>
    </w:p>
    <w:p>
      <w:pPr>
        <w:pStyle w:val="BodyText"/>
        <w:spacing w:line="146" w:lineRule="exact" w:before="5"/>
        <w:ind w:left="179"/>
        <w:jc w:val="both"/>
        <w:rPr>
          <w:rFonts w:ascii="Calibri"/>
        </w:rPr>
      </w:pPr>
      <w:r>
        <w:rPr>
          <w:rFonts w:ascii="Arial"/>
          <w:color w:val="231F1F"/>
          <w:w w:val="355"/>
          <w:position w:val="1"/>
          <w:sz w:val="7"/>
        </w:rPr>
        <w:t>l </w:t>
      </w:r>
      <w:r>
        <w:rPr>
          <w:rFonts w:ascii="Calibri"/>
          <w:color w:val="231F1F"/>
          <w:w w:val="115"/>
        </w:rPr>
        <w:t>Antibacterials (continued)</w:t>
      </w:r>
    </w:p>
    <w:p>
      <w:pPr>
        <w:pStyle w:val="BodyText"/>
        <w:spacing w:line="244" w:lineRule="auto"/>
        <w:ind w:left="278" w:right="664" w:hanging="1"/>
      </w:pPr>
      <w:r>
        <w:rPr>
          <w:rFonts w:ascii="Calibri"/>
          <w:color w:val="008356"/>
          <w:w w:val="110"/>
          <w:sz w:val="11"/>
        </w:rPr>
        <w:t>TELITHROMYCIN </w:t>
      </w:r>
      <w:r>
        <w:rPr>
          <w:color w:val="231F1F"/>
          <w:w w:val="110"/>
        </w:rPr>
        <w:t>(plasma concentration of dasatinib possibly increased); metabolism of dasatinib accelerated by</w:t>
      </w:r>
    </w:p>
    <w:p>
      <w:pPr>
        <w:pStyle w:val="BodyText"/>
        <w:spacing w:line="244" w:lineRule="auto"/>
        <w:ind w:left="278" w:right="664" w:hanging="1"/>
      </w:pPr>
      <w:r>
        <w:rPr>
          <w:rFonts w:ascii="Arial" w:hAnsi="Arial"/>
          <w:color w:val="231F1F"/>
          <w:w w:val="115"/>
          <w:position w:val="1"/>
          <w:sz w:val="7"/>
        </w:rPr>
        <w:t>l </w:t>
      </w:r>
      <w:r>
        <w:rPr>
          <w:rFonts w:ascii="Calibri" w:hAnsi="Calibri"/>
          <w:color w:val="008356"/>
          <w:w w:val="115"/>
          <w:sz w:val="11"/>
        </w:rPr>
        <w:t>RIFAMPICIN </w:t>
      </w:r>
      <w:r>
        <w:rPr>
          <w:color w:val="231F1F"/>
          <w:w w:val="115"/>
        </w:rPr>
        <w:t>(reduced plasma concentration</w:t>
      </w:r>
      <w:r>
        <w:rPr>
          <w:rFonts w:ascii="Arial" w:hAnsi="Arial"/>
          <w:color w:val="231F1F"/>
          <w:w w:val="115"/>
        </w:rPr>
        <w:t>—</w:t>
      </w:r>
      <w:r>
        <w:rPr>
          <w:color w:val="231F1F"/>
          <w:w w:val="115"/>
        </w:rPr>
        <w:t>avoid </w:t>
      </w:r>
      <w:r>
        <w:rPr>
          <w:color w:val="231F1F"/>
          <w:w w:val="120"/>
        </w:rPr>
        <w:t>concomitant use)</w:t>
      </w:r>
    </w:p>
    <w:p>
      <w:pPr>
        <w:spacing w:line="230" w:lineRule="auto" w:before="3"/>
        <w:ind w:left="278" w:right="1035" w:hanging="100"/>
        <w:jc w:val="both"/>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dasatinib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 </w:t>
      </w:r>
      <w:r>
        <w:rPr>
          <w:color w:val="231F1F"/>
          <w:w w:val="105"/>
          <w:sz w:val="12"/>
        </w:rPr>
        <w:t>(plasma</w:t>
      </w:r>
    </w:p>
    <w:p>
      <w:pPr>
        <w:pStyle w:val="BodyText"/>
        <w:spacing w:before="3"/>
        <w:ind w:left="278"/>
      </w:pPr>
      <w:r>
        <w:rPr>
          <w:color w:val="231F1F"/>
          <w:w w:val="115"/>
        </w:rPr>
        <w:t>concentration of dasatinib possibly reduced)</w:t>
      </w:r>
    </w:p>
    <w:p>
      <w:pPr>
        <w:pStyle w:val="BodyText"/>
        <w:spacing w:line="235" w:lineRule="auto" w:before="4"/>
        <w:ind w:left="278" w:right="664"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dasatinib possibly increased by </w:t>
      </w:r>
      <w:r>
        <w:rPr>
          <w:rFonts w:ascii="Calibri" w:hAnsi="Calibri"/>
          <w:color w:val="008356"/>
          <w:w w:val="110"/>
          <w:sz w:val="11"/>
        </w:rPr>
        <w:t>KETOCONAZOLE</w:t>
      </w:r>
      <w:r>
        <w:rPr>
          <w:color w:val="231F1F"/>
          <w:w w:val="110"/>
        </w:rPr>
        <w:t>; manufacturer of dasatinib advises avoid concomitant use with </w:t>
      </w:r>
      <w:r>
        <w:rPr>
          <w:rFonts w:ascii="Calibri" w:hAnsi="Calibri"/>
          <w:color w:val="008356"/>
          <w:w w:val="110"/>
          <w:sz w:val="11"/>
        </w:rPr>
        <w:t>ITRACONAZOLE </w:t>
      </w:r>
      <w:r>
        <w:rPr>
          <w:color w:val="231F1F"/>
          <w:w w:val="110"/>
        </w:rPr>
        <w:t>(plasma concentration of dasatinib possibly increased)</w:t>
      </w:r>
    </w:p>
    <w:p>
      <w:pPr>
        <w:pStyle w:val="BodyText"/>
        <w:spacing w:line="146" w:lineRule="exact" w:before="1"/>
        <w:ind w:left="179"/>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7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42" w:lineRule="auto"/>
        <w:ind w:left="278" w:right="668" w:hanging="100"/>
      </w:pPr>
      <w:r>
        <w:rPr>
          <w:rFonts w:ascii="Arial"/>
          <w:color w:val="231F1F"/>
          <w:w w:val="355"/>
          <w:position w:val="1"/>
          <w:sz w:val="7"/>
        </w:rPr>
        <w:t>l </w:t>
      </w:r>
      <w:r>
        <w:rPr>
          <w:rFonts w:ascii="Calibri"/>
          <w:color w:val="231F1F"/>
          <w:w w:val="110"/>
        </w:rPr>
        <w:t>Antivirals: </w:t>
      </w:r>
      <w:r>
        <w:rPr>
          <w:color w:val="231F1F"/>
          <w:w w:val="110"/>
        </w:rPr>
        <w:t>avoidance of dasatinib advised by manufacturer of </w:t>
      </w:r>
      <w:r>
        <w:rPr>
          <w:rFonts w:ascii="Arial"/>
          <w:color w:val="231F1F"/>
          <w:w w:val="355"/>
          <w:position w:val="1"/>
          <w:sz w:val="7"/>
        </w:rPr>
        <w:t>l </w:t>
      </w:r>
      <w:r>
        <w:rPr>
          <w:rFonts w:ascii="Calibri"/>
          <w:color w:val="008356"/>
          <w:w w:val="110"/>
          <w:sz w:val="11"/>
        </w:rPr>
        <w:t>BOCEPREVIR</w:t>
      </w:r>
      <w:r>
        <w:rPr>
          <w:color w:val="231F1F"/>
          <w:w w:val="110"/>
        </w:rPr>
        <w:t>; manufacturer of dasatinib advises avoid concomitant use with </w:t>
      </w:r>
      <w:r>
        <w:rPr>
          <w:rFonts w:ascii="Calibri"/>
          <w:color w:val="008356"/>
          <w:w w:val="110"/>
          <w:sz w:val="11"/>
        </w:rPr>
        <w:t>RITONAVIR </w:t>
      </w:r>
      <w:r>
        <w:rPr>
          <w:color w:val="231F1F"/>
          <w:w w:val="110"/>
        </w:rPr>
        <w:t>(plasma concentration of dasatinib possibly increased)</w:t>
      </w:r>
    </w:p>
    <w:p>
      <w:pPr>
        <w:pStyle w:val="BodyText"/>
        <w:spacing w:line="230" w:lineRule="auto" w:before="2"/>
        <w:ind w:left="278" w:right="886" w:hanging="100"/>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dasatinib advises avoid concomitant use with </w:t>
      </w:r>
      <w:r>
        <w:rPr>
          <w:rFonts w:ascii="Calibri" w:hAnsi="Calibri"/>
          <w:color w:val="008356"/>
          <w:w w:val="105"/>
          <w:sz w:val="11"/>
        </w:rPr>
        <w:t>GRAPEFRUIT JUICE </w:t>
      </w:r>
      <w:r>
        <w:rPr>
          <w:color w:val="231F1F"/>
          <w:w w:val="105"/>
        </w:rPr>
        <w:t>(plasma concentration of dasatinib possibly increased)</w:t>
      </w:r>
    </w:p>
    <w:p>
      <w:pPr>
        <w:pStyle w:val="BodyText"/>
        <w:spacing w:line="220" w:lineRule="auto" w:before="12"/>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dasatinib possibly increases plasma concentration of </w:t>
      </w:r>
      <w:r>
        <w:rPr>
          <w:rFonts w:ascii="Calibri" w:hAnsi="Calibri"/>
          <w:color w:val="008356"/>
          <w:w w:val="105"/>
          <w:sz w:val="11"/>
        </w:rPr>
        <w:t>SIMVASTATIN</w:t>
      </w:r>
    </w:p>
    <w:p>
      <w:pPr>
        <w:pStyle w:val="BodyText"/>
        <w:spacing w:line="220" w:lineRule="auto" w:before="9"/>
        <w:ind w:left="278" w:right="886"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dasatinib possibly reduced by </w:t>
      </w:r>
      <w:r>
        <w:rPr>
          <w:rFonts w:ascii="Calibri" w:hAnsi="Calibri"/>
          <w:color w:val="008356"/>
          <w:w w:val="105"/>
          <w:sz w:val="11"/>
        </w:rPr>
        <w:t>FAMOTIDINE</w:t>
      </w:r>
    </w:p>
    <w:p>
      <w:pPr>
        <w:pStyle w:val="BodyText"/>
        <w:spacing w:before="8"/>
        <w:ind w:left="179"/>
        <w:rPr>
          <w:rFonts w:ascii="Trebuchet MS"/>
        </w:rPr>
      </w:pPr>
      <w:r>
        <w:rPr>
          <w:rFonts w:ascii="Trebuchet MS"/>
          <w:color w:val="008356"/>
        </w:rPr>
        <w:t>Decitabine</w:t>
      </w:r>
    </w:p>
    <w:p>
      <w:pPr>
        <w:pStyle w:val="BodyText"/>
        <w:spacing w:line="146" w:lineRule="exact" w:before="1"/>
        <w:ind w:left="179"/>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7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39" w:lineRule="exact" w:before="8"/>
        <w:ind w:left="179"/>
        <w:rPr>
          <w:rFonts w:ascii="Trebuchet MS"/>
        </w:rPr>
      </w:pPr>
      <w:r>
        <w:rPr>
          <w:rFonts w:ascii="Trebuchet MS"/>
          <w:color w:val="008356"/>
        </w:rPr>
        <w:t>Deferasirox</w:t>
      </w:r>
    </w:p>
    <w:p>
      <w:pPr>
        <w:pStyle w:val="BodyText"/>
        <w:spacing w:line="146" w:lineRule="exact"/>
        <w:ind w:left="179"/>
      </w:pPr>
      <w:r>
        <w:rPr>
          <w:rFonts w:ascii="Arial"/>
          <w:color w:val="231F1F"/>
          <w:w w:val="355"/>
          <w:position w:val="1"/>
          <w:sz w:val="7"/>
        </w:rPr>
        <w:t>l </w:t>
      </w:r>
      <w:r>
        <w:rPr>
          <w:rFonts w:ascii="Calibri"/>
          <w:color w:val="231F1F"/>
          <w:w w:val="110"/>
        </w:rPr>
        <w:t>Aminophylline: </w:t>
      </w:r>
      <w:r>
        <w:rPr>
          <w:color w:val="231F1F"/>
          <w:w w:val="110"/>
        </w:rPr>
        <w:t>deferasirox increases plasma concentration of</w:t>
      </w:r>
    </w:p>
    <w:p>
      <w:pPr>
        <w:spacing w:line="140" w:lineRule="exact" w:before="0"/>
        <w:ind w:left="278" w:right="0" w:firstLine="0"/>
        <w:jc w:val="left"/>
        <w:rPr>
          <w:sz w:val="12"/>
        </w:rPr>
      </w:pPr>
      <w:r>
        <w:rPr>
          <w:rFonts w:ascii="Arial"/>
          <w:color w:val="231F1F"/>
          <w:w w:val="355"/>
          <w:position w:val="1"/>
          <w:sz w:val="7"/>
        </w:rPr>
        <w:t>l </w:t>
      </w:r>
      <w:r>
        <w:rPr>
          <w:rFonts w:ascii="Calibri"/>
          <w:color w:val="008356"/>
          <w:w w:val="110"/>
          <w:sz w:val="11"/>
        </w:rPr>
        <w:t>AMINOPHYLLINE </w:t>
      </w:r>
      <w:r>
        <w:rPr>
          <w:color w:val="231F1F"/>
          <w:w w:val="110"/>
          <w:sz w:val="12"/>
        </w:rPr>
        <w:t>(consider reducing dose of aminophylline)</w:t>
      </w:r>
    </w:p>
    <w:p>
      <w:pPr>
        <w:pStyle w:val="BodyText"/>
        <w:spacing w:line="230" w:lineRule="auto" w:before="3"/>
        <w:ind w:left="278" w:right="664" w:hanging="100"/>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deferasirox possibly reduced by </w:t>
      </w:r>
      <w:r>
        <w:rPr>
          <w:rFonts w:ascii="Calibri" w:hAnsi="Calibri"/>
          <w:color w:val="008356"/>
          <w:w w:val="110"/>
          <w:sz w:val="11"/>
        </w:rPr>
        <w:t>ANTACIDS </w:t>
      </w:r>
      <w:r>
        <w:rPr>
          <w:color w:val="231F1F"/>
          <w:w w:val="110"/>
        </w:rPr>
        <w:t>containing aluminium (manufacturer of deferasirox advises avoid concomitant use)</w:t>
      </w:r>
    </w:p>
    <w:p>
      <w:pPr>
        <w:pStyle w:val="BodyText"/>
        <w:spacing w:line="156" w:lineRule="exact" w:before="2"/>
        <w:ind w:left="179"/>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deferasirox reduced by</w:t>
      </w:r>
    </w:p>
    <w:p>
      <w:pPr>
        <w:spacing w:line="131" w:lineRule="exact" w:before="0"/>
        <w:ind w:left="278" w:right="0" w:firstLine="0"/>
        <w:jc w:val="left"/>
        <w:rPr>
          <w:rFonts w:ascii="Calibri"/>
          <w:sz w:val="11"/>
        </w:rPr>
      </w:pPr>
      <w:r>
        <w:rPr>
          <w:rFonts w:ascii="Calibri"/>
          <w:color w:val="008356"/>
          <w:sz w:val="11"/>
        </w:rPr>
        <w:t>RIFAMPICIN</w:t>
      </w:r>
    </w:p>
    <w:p>
      <w:pPr>
        <w:pStyle w:val="BodyText"/>
        <w:spacing w:line="154" w:lineRule="exact"/>
        <w:ind w:left="179"/>
      </w:pPr>
      <w:r>
        <w:rPr>
          <w:rFonts w:ascii="Lucida Sans Unicode" w:hAnsi="Lucida Sans Unicode"/>
          <w:color w:val="A7A8AC"/>
          <w:w w:val="95"/>
          <w:sz w:val="10"/>
        </w:rPr>
        <w:t>▶ </w:t>
      </w:r>
      <w:r>
        <w:rPr>
          <w:rFonts w:ascii="Calibri" w:hAnsi="Calibri"/>
          <w:color w:val="231F1F"/>
          <w:w w:val="105"/>
        </w:rPr>
        <w:t>Antidiabetics: </w:t>
      </w:r>
      <w:r>
        <w:rPr>
          <w:color w:val="231F1F"/>
          <w:w w:val="105"/>
        </w:rPr>
        <w:t>deferasirox increases plasma concentration of</w:t>
      </w:r>
    </w:p>
    <w:p>
      <w:pPr>
        <w:spacing w:line="130" w:lineRule="exact" w:before="0"/>
        <w:ind w:left="278" w:right="0" w:firstLine="0"/>
        <w:jc w:val="left"/>
        <w:rPr>
          <w:rFonts w:ascii="Calibri"/>
          <w:sz w:val="11"/>
        </w:rPr>
      </w:pPr>
      <w:r>
        <w:rPr>
          <w:rFonts w:ascii="Calibri"/>
          <w:color w:val="008356"/>
          <w:sz w:val="11"/>
        </w:rPr>
        <w:t>REPAGLINIDE</w:t>
      </w:r>
    </w:p>
    <w:p>
      <w:pPr>
        <w:pStyle w:val="BodyText"/>
        <w:spacing w:line="220" w:lineRule="auto" w:before="8"/>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manufacturer of deferasirox advises avoid concomitant use with </w:t>
      </w:r>
      <w:r>
        <w:rPr>
          <w:rFonts w:ascii="Calibri" w:hAnsi="Calibri"/>
          <w:color w:val="008356"/>
          <w:w w:val="110"/>
          <w:sz w:val="11"/>
        </w:rPr>
        <w:t>CLOZAPINE</w:t>
      </w:r>
    </w:p>
    <w:p>
      <w:pPr>
        <w:pStyle w:val="BodyText"/>
        <w:spacing w:line="220" w:lineRule="auto" w:before="8"/>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deferasirox possibly reduces plasma concentration of </w:t>
      </w:r>
      <w:r>
        <w:rPr>
          <w:rFonts w:ascii="Calibri" w:hAnsi="Calibri"/>
          <w:color w:val="008356"/>
          <w:w w:val="105"/>
          <w:sz w:val="11"/>
        </w:rPr>
        <w:t>MIDAZOLAM</w:t>
      </w:r>
    </w:p>
    <w:p>
      <w:pPr>
        <w:pStyle w:val="BodyText"/>
        <w:spacing w:line="220" w:lineRule="auto" w:before="9"/>
        <w:ind w:left="278" w:right="664" w:hanging="100"/>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manufacturer of deferasirox advises avoid concomitant use with </w:t>
      </w:r>
      <w:r>
        <w:rPr>
          <w:rFonts w:ascii="Calibri" w:hAnsi="Calibri"/>
          <w:color w:val="008356"/>
          <w:w w:val="105"/>
          <w:sz w:val="11"/>
        </w:rPr>
        <w:t>TIZANIDINE</w:t>
      </w:r>
    </w:p>
    <w:p>
      <w:pPr>
        <w:pStyle w:val="BodyText"/>
        <w:spacing w:line="145" w:lineRule="exact"/>
        <w:ind w:left="179"/>
      </w:pPr>
      <w:r>
        <w:rPr>
          <w:rFonts w:ascii="Arial"/>
          <w:color w:val="231F1F"/>
          <w:w w:val="355"/>
          <w:position w:val="1"/>
          <w:sz w:val="7"/>
        </w:rPr>
        <w:t>l </w:t>
      </w:r>
      <w:r>
        <w:rPr>
          <w:rFonts w:ascii="Calibri"/>
          <w:color w:val="231F1F"/>
          <w:w w:val="110"/>
        </w:rPr>
        <w:t>Theophylline: </w:t>
      </w:r>
      <w:r>
        <w:rPr>
          <w:color w:val="231F1F"/>
          <w:w w:val="110"/>
        </w:rPr>
        <w:t>deferasirox increases plasma concentration of</w:t>
      </w:r>
    </w:p>
    <w:p>
      <w:pPr>
        <w:spacing w:line="141" w:lineRule="exact" w:before="0"/>
        <w:ind w:left="278" w:right="0" w:firstLine="0"/>
        <w:jc w:val="left"/>
        <w:rPr>
          <w:sz w:val="12"/>
        </w:rPr>
      </w:pPr>
      <w:r>
        <w:rPr>
          <w:rFonts w:ascii="Arial"/>
          <w:color w:val="231F1F"/>
          <w:w w:val="355"/>
          <w:position w:val="1"/>
          <w:sz w:val="7"/>
        </w:rPr>
        <w:t>l </w:t>
      </w:r>
      <w:r>
        <w:rPr>
          <w:rFonts w:ascii="Calibri"/>
          <w:color w:val="008356"/>
          <w:w w:val="110"/>
          <w:sz w:val="11"/>
        </w:rPr>
        <w:t>THEOPHYLLINE </w:t>
      </w:r>
      <w:r>
        <w:rPr>
          <w:color w:val="231F1F"/>
          <w:w w:val="110"/>
          <w:sz w:val="12"/>
        </w:rPr>
        <w:t>(consider reducing dose of theophylline)</w:t>
      </w:r>
    </w:p>
    <w:p>
      <w:pPr>
        <w:pStyle w:val="BodyText"/>
        <w:spacing w:before="8"/>
        <w:ind w:left="179"/>
        <w:rPr>
          <w:rFonts w:ascii="Trebuchet MS"/>
        </w:rPr>
      </w:pPr>
      <w:r>
        <w:rPr>
          <w:rFonts w:ascii="Trebuchet MS"/>
          <w:color w:val="008356"/>
        </w:rPr>
        <w:t>Deferiprone</w:t>
      </w:r>
    </w:p>
    <w:p>
      <w:pPr>
        <w:pStyle w:val="BodyText"/>
        <w:spacing w:line="230" w:lineRule="auto" w:before="5"/>
        <w:ind w:left="278" w:right="594" w:hanging="100"/>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deferiprone possibly reduced by </w:t>
      </w:r>
      <w:r>
        <w:rPr>
          <w:rFonts w:ascii="Calibri" w:hAnsi="Calibri"/>
          <w:color w:val="008356"/>
          <w:w w:val="110"/>
          <w:sz w:val="11"/>
        </w:rPr>
        <w:t>ANTACIDS </w:t>
      </w:r>
      <w:r>
        <w:rPr>
          <w:color w:val="231F1F"/>
          <w:w w:val="110"/>
        </w:rPr>
        <w:t>containing aluminium (manufacturer of deferiprone advises avoid concomitant use)</w:t>
      </w:r>
    </w:p>
    <w:p>
      <w:pPr>
        <w:pStyle w:val="BodyText"/>
        <w:spacing w:before="13"/>
        <w:ind w:left="179"/>
      </w:pPr>
      <w:r>
        <w:rPr>
          <w:rFonts w:ascii="Trebuchet MS"/>
          <w:color w:val="008356"/>
          <w:w w:val="110"/>
        </w:rPr>
        <w:t>Deflazacort </w:t>
      </w:r>
      <w:r>
        <w:rPr>
          <w:i/>
          <w:color w:val="231F1F"/>
          <w:w w:val="110"/>
        </w:rPr>
        <w:t>see </w:t>
      </w:r>
      <w:r>
        <w:rPr>
          <w:color w:val="231F1F"/>
          <w:w w:val="110"/>
        </w:rPr>
        <w:t>Corticosteroids</w:t>
      </w:r>
    </w:p>
    <w:p>
      <w:pPr>
        <w:pStyle w:val="BodyText"/>
        <w:spacing w:line="139" w:lineRule="exact" w:before="10"/>
        <w:ind w:left="179"/>
        <w:rPr>
          <w:rFonts w:ascii="Trebuchet MS"/>
        </w:rPr>
      </w:pPr>
      <w:r>
        <w:rPr>
          <w:rFonts w:ascii="Trebuchet MS"/>
          <w:color w:val="008356"/>
        </w:rPr>
        <w:t>Delamanid</w:t>
      </w:r>
    </w:p>
    <w:p>
      <w:pPr>
        <w:pStyle w:val="BodyText"/>
        <w:ind w:left="278" w:right="664" w:hanging="100"/>
        <w:rPr>
          <w:rFonts w:ascii="Calibri"/>
          <w:sz w:val="11"/>
        </w:rPr>
      </w:pPr>
      <w:r>
        <w:rPr>
          <w:rFonts w:ascii="Arial"/>
          <w:color w:val="231F1F"/>
          <w:w w:val="355"/>
          <w:position w:val="1"/>
          <w:sz w:val="7"/>
        </w:rPr>
        <w:t>l </w:t>
      </w:r>
      <w:r>
        <w:rPr>
          <w:rFonts w:ascii="Calibri"/>
          <w:color w:val="231F1F"/>
          <w:w w:val="105"/>
        </w:rPr>
        <w:t>Analgesics: </w:t>
      </w:r>
      <w:r>
        <w:rPr>
          <w:color w:val="231F1F"/>
          <w:w w:val="105"/>
        </w:rPr>
        <w:t>increased risk of ventricular arrhythmias when delamanid given with </w:t>
      </w:r>
      <w:r>
        <w:rPr>
          <w:rFonts w:ascii="Arial"/>
          <w:color w:val="231F1F"/>
          <w:w w:val="355"/>
          <w:position w:val="1"/>
          <w:sz w:val="7"/>
        </w:rPr>
        <w:t>l </w:t>
      </w:r>
      <w:r>
        <w:rPr>
          <w:rFonts w:ascii="Calibri"/>
          <w:color w:val="008356"/>
          <w:w w:val="105"/>
          <w:sz w:val="11"/>
        </w:rPr>
        <w:t>METHADONE</w:t>
      </w:r>
    </w:p>
    <w:p>
      <w:pPr>
        <w:spacing w:line="237" w:lineRule="auto" w:before="0"/>
        <w:ind w:left="278" w:right="537" w:hanging="100"/>
        <w:jc w:val="left"/>
        <w:rPr>
          <w:rFonts w:ascii="Calibri"/>
          <w:sz w:val="11"/>
        </w:rPr>
      </w:pPr>
      <w:r>
        <w:rPr>
          <w:rFonts w:ascii="Arial"/>
          <w:color w:val="231F1F"/>
          <w:w w:val="355"/>
          <w:position w:val="1"/>
          <w:sz w:val="7"/>
        </w:rPr>
        <w:t>l </w:t>
      </w:r>
      <w:r>
        <w:rPr>
          <w:rFonts w:ascii="Calibri"/>
          <w:color w:val="231F1F"/>
          <w:w w:val="110"/>
          <w:sz w:val="12"/>
        </w:rPr>
        <w:t>Anti-arrhythmics: </w:t>
      </w:r>
      <w:r>
        <w:rPr>
          <w:color w:val="231F1F"/>
          <w:w w:val="110"/>
          <w:sz w:val="12"/>
        </w:rPr>
        <w:t>increased risk of ventricular arrhythmias when delamanid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AMIODARONE </w:t>
      </w:r>
      <w:r>
        <w:rPr>
          <w:color w:val="231F1F"/>
          <w:w w:val="110"/>
          <w:sz w:val="12"/>
        </w:rPr>
        <w:t>or </w:t>
      </w:r>
      <w:r>
        <w:rPr>
          <w:rFonts w:ascii="Arial"/>
          <w:color w:val="231F1F"/>
          <w:w w:val="355"/>
          <w:position w:val="1"/>
          <w:sz w:val="7"/>
        </w:rPr>
        <w:t>l</w:t>
      </w:r>
      <w:r>
        <w:rPr>
          <w:rFonts w:ascii="Arial"/>
          <w:color w:val="231F1F"/>
          <w:spacing w:val="-52"/>
          <w:w w:val="355"/>
          <w:position w:val="1"/>
          <w:sz w:val="7"/>
        </w:rPr>
        <w:t> </w:t>
      </w:r>
      <w:r>
        <w:rPr>
          <w:rFonts w:ascii="Calibri"/>
          <w:color w:val="008356"/>
          <w:spacing w:val="5"/>
          <w:w w:val="110"/>
          <w:sz w:val="11"/>
        </w:rPr>
        <w:t>DISOPYRAMIDE</w:t>
      </w:r>
    </w:p>
    <w:p>
      <w:pPr>
        <w:spacing w:line="242" w:lineRule="auto" w:before="0"/>
        <w:ind w:left="278" w:right="652"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possible increased risk of ventricular arrhythmias when delamanid given with </w:t>
      </w:r>
      <w:r>
        <w:rPr>
          <w:rFonts w:ascii="Arial"/>
          <w:color w:val="231F1F"/>
          <w:w w:val="355"/>
          <w:position w:val="1"/>
          <w:sz w:val="7"/>
        </w:rPr>
        <w:t>l </w:t>
      </w:r>
      <w:r>
        <w:rPr>
          <w:rFonts w:ascii="Calibri"/>
          <w:color w:val="008356"/>
          <w:w w:val="110"/>
          <w:sz w:val="11"/>
        </w:rPr>
        <w:t>CLARITHROMYCIN </w:t>
      </w:r>
      <w:r>
        <w:rPr>
          <w:color w:val="231F1F"/>
          <w:w w:val="110"/>
          <w:sz w:val="12"/>
        </w:rPr>
        <w:t>and </w:t>
      </w:r>
      <w:r>
        <w:rPr>
          <w:rFonts w:ascii="Arial"/>
          <w:color w:val="231F1F"/>
          <w:w w:val="355"/>
          <w:position w:val="1"/>
          <w:sz w:val="7"/>
        </w:rPr>
        <w:t>l </w:t>
      </w:r>
      <w:r>
        <w:rPr>
          <w:rFonts w:ascii="Calibri"/>
          <w:color w:val="008356"/>
          <w:w w:val="110"/>
          <w:sz w:val="11"/>
        </w:rPr>
        <w:t>ERYTHROMYCIN</w:t>
      </w:r>
      <w:r>
        <w:rPr>
          <w:color w:val="231F1F"/>
          <w:w w:val="110"/>
          <w:sz w:val="12"/>
        </w:rPr>
        <w:t>; increased risk of ventricular arrhythmias when delamanid given with </w:t>
      </w:r>
      <w:r>
        <w:rPr>
          <w:rFonts w:ascii="Arial"/>
          <w:color w:val="231F1F"/>
          <w:w w:val="355"/>
          <w:position w:val="1"/>
          <w:sz w:val="7"/>
        </w:rPr>
        <w:t>l </w:t>
      </w:r>
      <w:r>
        <w:rPr>
          <w:rFonts w:ascii="Calibri"/>
          <w:color w:val="008356"/>
          <w:w w:val="110"/>
          <w:sz w:val="11"/>
        </w:rPr>
        <w:t>MOXIFLOXACIN</w:t>
      </w:r>
      <w:r>
        <w:rPr>
          <w:color w:val="231F1F"/>
          <w:w w:val="110"/>
          <w:sz w:val="12"/>
        </w:rPr>
        <w:t>; plasma concentration of delamanid reduced by </w:t>
      </w:r>
      <w:r>
        <w:rPr>
          <w:rFonts w:ascii="Arial"/>
          <w:color w:val="231F1F"/>
          <w:w w:val="355"/>
          <w:position w:val="1"/>
          <w:sz w:val="7"/>
        </w:rPr>
        <w:t>l </w:t>
      </w:r>
      <w:r>
        <w:rPr>
          <w:rFonts w:ascii="Calibri"/>
          <w:color w:val="008356"/>
          <w:w w:val="110"/>
          <w:sz w:val="11"/>
        </w:rPr>
        <w:t>RIFAMPICIN</w:t>
      </w:r>
      <w:r>
        <w:rPr>
          <w:color w:val="231F1F"/>
          <w:w w:val="110"/>
          <w:sz w:val="12"/>
        </w:rPr>
        <w:t>; delamanid increases plasma concentration of </w:t>
      </w:r>
      <w:r>
        <w:rPr>
          <w:rFonts w:ascii="Calibri"/>
          <w:color w:val="008356"/>
          <w:w w:val="110"/>
          <w:sz w:val="11"/>
        </w:rPr>
        <w:t>ETHAMBUTOL</w:t>
      </w:r>
    </w:p>
    <w:p>
      <w:pPr>
        <w:pStyle w:val="BodyText"/>
        <w:ind w:left="278" w:right="820" w:hanging="100"/>
      </w:pPr>
      <w:r>
        <w:rPr>
          <w:rFonts w:ascii="Arial"/>
          <w:color w:val="231F1F"/>
          <w:w w:val="355"/>
          <w:position w:val="1"/>
          <w:sz w:val="7"/>
        </w:rPr>
        <w:t>l </w:t>
      </w:r>
      <w:r>
        <w:rPr>
          <w:rFonts w:ascii="Calibri"/>
          <w:color w:val="231F1F"/>
          <w:w w:val="110"/>
        </w:rPr>
        <w:t>Antidepressants: </w:t>
      </w:r>
      <w:r>
        <w:rPr>
          <w:color w:val="231F1F"/>
          <w:w w:val="110"/>
        </w:rPr>
        <w:t>possible increased risk of ventricular arrhythmias when delamanid given with </w:t>
      </w:r>
      <w:r>
        <w:rPr>
          <w:rFonts w:ascii="Arial"/>
          <w:color w:val="231F1F"/>
          <w:w w:val="355"/>
          <w:position w:val="1"/>
          <w:sz w:val="7"/>
        </w:rPr>
        <w:t>l </w:t>
      </w:r>
      <w:r>
        <w:rPr>
          <w:rFonts w:ascii="Calibri"/>
          <w:color w:val="008356"/>
          <w:w w:val="110"/>
          <w:sz w:val="11"/>
        </w:rPr>
        <w:t>TRICYCLICS </w:t>
      </w:r>
      <w:r>
        <w:rPr>
          <w:color w:val="231F1F"/>
          <w:w w:val="140"/>
        </w:rPr>
        <w:t>that </w:t>
      </w:r>
      <w:r>
        <w:rPr>
          <w:color w:val="231F1F"/>
          <w:w w:val="110"/>
        </w:rPr>
        <w:t>prolong </w:t>
      </w:r>
      <w:r>
        <w:rPr>
          <w:color w:val="231F1F"/>
          <w:w w:val="140"/>
        </w:rPr>
        <w:t>the </w:t>
      </w:r>
      <w:r>
        <w:rPr>
          <w:color w:val="231F1F"/>
          <w:w w:val="110"/>
        </w:rPr>
        <w:t>QT interval</w:t>
      </w:r>
    </w:p>
    <w:p>
      <w:pPr>
        <w:pStyle w:val="BodyText"/>
        <w:spacing w:line="220" w:lineRule="auto" w:before="4"/>
        <w:ind w:left="278" w:right="94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Antiepileptics: </w:t>
      </w:r>
      <w:r>
        <w:rPr>
          <w:color w:val="231F1F"/>
          <w:w w:val="110"/>
        </w:rPr>
        <w:t>manufacturer of delamanid advises avoid concomitant use with </w:t>
      </w:r>
      <w:r>
        <w:rPr>
          <w:rFonts w:ascii="Calibri" w:hAnsi="Calibri"/>
          <w:color w:val="008356"/>
          <w:w w:val="110"/>
          <w:sz w:val="11"/>
        </w:rPr>
        <w:t>CARBAMAZEPINE</w:t>
      </w:r>
    </w:p>
    <w:p>
      <w:pPr>
        <w:spacing w:before="1"/>
        <w:ind w:left="278" w:right="537" w:hanging="100"/>
        <w:jc w:val="left"/>
        <w:rPr>
          <w:sz w:val="12"/>
        </w:rPr>
      </w:pPr>
      <w:r>
        <w:rPr>
          <w:rFonts w:ascii="Arial"/>
          <w:color w:val="231F1F"/>
          <w:w w:val="355"/>
          <w:position w:val="1"/>
          <w:sz w:val="7"/>
        </w:rPr>
        <w:t>l </w:t>
      </w:r>
      <w:r>
        <w:rPr>
          <w:rFonts w:ascii="Calibri"/>
          <w:color w:val="231F1F"/>
          <w:w w:val="110"/>
          <w:sz w:val="12"/>
        </w:rPr>
        <w:t>Antipsychotics: </w:t>
      </w:r>
      <w:r>
        <w:rPr>
          <w:color w:val="231F1F"/>
          <w:w w:val="110"/>
          <w:sz w:val="12"/>
        </w:rPr>
        <w:t>increased risk of ventricular arrhythmias when delamanid given with </w:t>
      </w:r>
      <w:r>
        <w:rPr>
          <w:rFonts w:ascii="Arial"/>
          <w:color w:val="231F1F"/>
          <w:w w:val="355"/>
          <w:position w:val="1"/>
          <w:sz w:val="7"/>
        </w:rPr>
        <w:t>l </w:t>
      </w:r>
      <w:r>
        <w:rPr>
          <w:rFonts w:ascii="Calibri"/>
          <w:color w:val="008356"/>
          <w:w w:val="110"/>
          <w:sz w:val="11"/>
        </w:rPr>
        <w:t>DROPERIDOL</w:t>
      </w:r>
      <w:r>
        <w:rPr>
          <w:color w:val="231F1F"/>
          <w:w w:val="110"/>
          <w:sz w:val="12"/>
        </w:rPr>
        <w:t>, </w:t>
      </w:r>
      <w:r>
        <w:rPr>
          <w:rFonts w:ascii="Arial"/>
          <w:color w:val="231F1F"/>
          <w:w w:val="355"/>
          <w:position w:val="1"/>
          <w:sz w:val="7"/>
        </w:rPr>
        <w:t>l </w:t>
      </w:r>
      <w:r>
        <w:rPr>
          <w:rFonts w:ascii="Calibri"/>
          <w:color w:val="008356"/>
          <w:w w:val="110"/>
          <w:sz w:val="11"/>
        </w:rPr>
        <w:t>HALOPERIDOL </w:t>
      </w:r>
      <w:r>
        <w:rPr>
          <w:color w:val="231F1F"/>
          <w:w w:val="110"/>
          <w:sz w:val="12"/>
        </w:rPr>
        <w:t>or</w:t>
      </w:r>
    </w:p>
    <w:p>
      <w:pPr>
        <w:spacing w:line="242" w:lineRule="auto" w:before="1"/>
        <w:ind w:left="278" w:right="664" w:firstLine="0"/>
        <w:jc w:val="left"/>
        <w:rPr>
          <w:sz w:val="12"/>
        </w:rPr>
      </w:pPr>
      <w:r>
        <w:rPr>
          <w:rFonts w:ascii="Arial"/>
          <w:color w:val="231F1F"/>
          <w:w w:val="355"/>
          <w:position w:val="1"/>
          <w:sz w:val="7"/>
        </w:rPr>
        <w:t>l </w:t>
      </w:r>
      <w:r>
        <w:rPr>
          <w:rFonts w:ascii="Calibri"/>
          <w:color w:val="008356"/>
          <w:w w:val="110"/>
          <w:sz w:val="11"/>
        </w:rPr>
        <w:t>PIMOZIDE</w:t>
      </w:r>
      <w:r>
        <w:rPr>
          <w:color w:val="231F1F"/>
          <w:w w:val="110"/>
          <w:sz w:val="12"/>
        </w:rPr>
        <w:t>; increased risk of ventricular arrhythmias when delamanid given with </w:t>
      </w:r>
      <w:r>
        <w:rPr>
          <w:rFonts w:ascii="Arial"/>
          <w:color w:val="231F1F"/>
          <w:w w:val="355"/>
          <w:position w:val="1"/>
          <w:sz w:val="7"/>
        </w:rPr>
        <w:t>l </w:t>
      </w:r>
      <w:r>
        <w:rPr>
          <w:rFonts w:ascii="Calibri"/>
          <w:color w:val="008356"/>
          <w:w w:val="110"/>
          <w:sz w:val="11"/>
        </w:rPr>
        <w:t>PHENOTHIAZINES </w:t>
      </w:r>
      <w:r>
        <w:rPr>
          <w:color w:val="231F1F"/>
          <w:w w:val="110"/>
          <w:sz w:val="12"/>
        </w:rPr>
        <w:t>that prolong the QT interval</w:t>
      </w:r>
    </w:p>
    <w:p>
      <w:pPr>
        <w:spacing w:after="0" w:line="242" w:lineRule="auto"/>
        <w:jc w:val="left"/>
        <w:rPr>
          <w:sz w:val="12"/>
        </w:rPr>
        <w:sectPr>
          <w:pgSz w:w="8390" w:h="11910"/>
          <w:pgMar w:header="0" w:footer="0" w:top="460" w:bottom="280" w:left="480" w:right="0"/>
          <w:cols w:num="2" w:equalWidth="0">
            <w:col w:w="3644" w:space="40"/>
            <w:col w:w="4226"/>
          </w:cols>
        </w:sectPr>
      </w:pPr>
    </w:p>
    <w:p>
      <w:pPr>
        <w:pStyle w:val="BodyText"/>
        <w:spacing w:before="7"/>
        <w:ind w:left="0"/>
        <w:rPr>
          <w:sz w:val="14"/>
        </w:rPr>
      </w:pPr>
    </w:p>
    <w:p>
      <w:pPr>
        <w:pStyle w:val="BodyText"/>
        <w:spacing w:line="144" w:lineRule="exact"/>
        <w:ind w:left="108"/>
        <w:rPr>
          <w:rFonts w:ascii="Calibri"/>
        </w:rPr>
      </w:pPr>
      <w:r>
        <w:rPr>
          <w:rFonts w:ascii="Arial"/>
          <w:color w:val="008356"/>
        </w:rPr>
        <w:t>Delamanid </w:t>
      </w:r>
      <w:r>
        <w:rPr>
          <w:rFonts w:ascii="Calibri"/>
          <w:color w:val="231F1F"/>
        </w:rPr>
        <w:t>(continued)</w:t>
      </w:r>
    </w:p>
    <w:p>
      <w:pPr>
        <w:pStyle w:val="BodyText"/>
        <w:ind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plasma concentration of delamanid increased </w:t>
      </w:r>
      <w:r>
        <w:rPr>
          <w:color w:val="231F1F"/>
          <w:spacing w:val="-8"/>
          <w:w w:val="110"/>
        </w:rPr>
        <w:t>by </w:t>
      </w:r>
      <w:r>
        <w:rPr>
          <w:rFonts w:ascii="Calibri"/>
          <w:color w:val="008356"/>
          <w:spacing w:val="3"/>
          <w:w w:val="110"/>
          <w:sz w:val="11"/>
        </w:rPr>
        <w:t>LOPINAVIR </w:t>
      </w:r>
      <w:r>
        <w:rPr>
          <w:color w:val="231F1F"/>
          <w:w w:val="110"/>
        </w:rPr>
        <w:t>and </w:t>
      </w:r>
      <w:r>
        <w:rPr>
          <w:rFonts w:ascii="Calibri"/>
          <w:color w:val="008356"/>
          <w:spacing w:val="3"/>
          <w:w w:val="110"/>
          <w:sz w:val="11"/>
        </w:rPr>
        <w:t>RITONAVIR</w:t>
      </w:r>
      <w:r>
        <w:rPr>
          <w:color w:val="231F1F"/>
          <w:spacing w:val="3"/>
          <w:w w:val="110"/>
        </w:rPr>
        <w:t>; </w:t>
      </w:r>
      <w:r>
        <w:rPr>
          <w:color w:val="231F1F"/>
          <w:w w:val="110"/>
        </w:rPr>
        <w:t>increased risk of ventricular arrhythmias when delamanid given with </w:t>
      </w:r>
      <w:r>
        <w:rPr>
          <w:rFonts w:ascii="Arial"/>
          <w:color w:val="231F1F"/>
          <w:w w:val="355"/>
          <w:position w:val="1"/>
          <w:sz w:val="7"/>
        </w:rPr>
        <w:t>l </w:t>
      </w:r>
      <w:r>
        <w:rPr>
          <w:rFonts w:ascii="Calibri"/>
          <w:color w:val="008356"/>
          <w:spacing w:val="4"/>
          <w:w w:val="110"/>
          <w:sz w:val="11"/>
        </w:rPr>
        <w:t>SAQUINAVIR</w:t>
      </w:r>
    </w:p>
    <w:p>
      <w:pPr>
        <w:pStyle w:val="BodyText"/>
        <w:ind w:right="76"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Beta-blockers:</w:t>
      </w:r>
      <w:r>
        <w:rPr>
          <w:rFonts w:asci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delamanid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5"/>
          <w:sz w:val="11"/>
        </w:rPr>
        <w:t>SOTALOL</w:t>
      </w:r>
    </w:p>
    <w:p>
      <w:pPr>
        <w:spacing w:line="244" w:lineRule="auto" w:before="0"/>
        <w:ind w:left="208" w:right="249" w:hanging="100"/>
        <w:jc w:val="left"/>
        <w:rPr>
          <w:sz w:val="12"/>
        </w:rPr>
      </w:pPr>
      <w:r>
        <w:rPr>
          <w:rFonts w:ascii="Arial"/>
          <w:color w:val="231F1F"/>
          <w:w w:val="355"/>
          <w:position w:val="1"/>
          <w:sz w:val="7"/>
        </w:rPr>
        <w:t>l </w:t>
      </w:r>
      <w:r>
        <w:rPr>
          <w:rFonts w:ascii="Calibri"/>
          <w:color w:val="231F1F"/>
          <w:w w:val="110"/>
          <w:sz w:val="12"/>
        </w:rPr>
        <w:t>Cytotoxics: </w:t>
      </w:r>
      <w:r>
        <w:rPr>
          <w:color w:val="231F1F"/>
          <w:w w:val="110"/>
          <w:sz w:val="12"/>
        </w:rPr>
        <w:t>increased risk of ventricular arrhythmias </w:t>
      </w:r>
      <w:r>
        <w:rPr>
          <w:color w:val="231F1F"/>
          <w:spacing w:val="-4"/>
          <w:w w:val="110"/>
          <w:sz w:val="12"/>
        </w:rPr>
        <w:t>when </w:t>
      </w:r>
      <w:r>
        <w:rPr>
          <w:color w:val="231F1F"/>
          <w:w w:val="110"/>
          <w:sz w:val="12"/>
        </w:rPr>
        <w:t>delamanid</w:t>
      </w:r>
      <w:r>
        <w:rPr>
          <w:color w:val="231F1F"/>
          <w:spacing w:val="-13"/>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ARSENIC</w:t>
      </w:r>
      <w:r>
        <w:rPr>
          <w:rFonts w:ascii="Calibri"/>
          <w:color w:val="008356"/>
          <w:spacing w:val="-6"/>
          <w:w w:val="110"/>
          <w:sz w:val="11"/>
        </w:rPr>
        <w:t> </w:t>
      </w:r>
      <w:r>
        <w:rPr>
          <w:rFonts w:ascii="Calibri"/>
          <w:color w:val="008356"/>
          <w:spacing w:val="4"/>
          <w:w w:val="110"/>
          <w:sz w:val="11"/>
        </w:rPr>
        <w:t>TRIOXIDE</w:t>
      </w:r>
      <w:r>
        <w:rPr>
          <w:rFonts w:ascii="Calibri"/>
          <w:color w:val="008356"/>
          <w:spacing w:val="-3"/>
          <w:w w:val="110"/>
          <w:sz w:val="11"/>
        </w:rPr>
        <w:t> </w:t>
      </w:r>
      <w:r>
        <w:rPr>
          <w:color w:val="231F1F"/>
          <w:w w:val="110"/>
          <w:sz w:val="12"/>
        </w:rPr>
        <w:t>or</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VINFLUNINE</w:t>
      </w:r>
      <w:r>
        <w:rPr>
          <w:color w:val="231F1F"/>
          <w:spacing w:val="4"/>
          <w:w w:val="110"/>
          <w:sz w:val="12"/>
        </w:rPr>
        <w:t>; </w:t>
      </w:r>
      <w:r>
        <w:rPr>
          <w:color w:val="231F1F"/>
          <w:w w:val="110"/>
          <w:sz w:val="12"/>
        </w:rPr>
        <w:t>possible increased risk of ventricular arrhythmias when delamanid</w:t>
      </w:r>
      <w:r>
        <w:rPr>
          <w:color w:val="231F1F"/>
          <w:spacing w:val="-6"/>
          <w:w w:val="110"/>
          <w:sz w:val="12"/>
        </w:rPr>
        <w:t> </w:t>
      </w:r>
      <w:r>
        <w:rPr>
          <w:color w:val="231F1F"/>
          <w:w w:val="110"/>
          <w:sz w:val="12"/>
        </w:rPr>
        <w:t>given</w:t>
      </w:r>
      <w:r>
        <w:rPr>
          <w:color w:val="231F1F"/>
          <w:spacing w:val="-5"/>
          <w:w w:val="110"/>
          <w:sz w:val="12"/>
        </w:rPr>
        <w:t> </w:t>
      </w:r>
      <w:r>
        <w:rPr>
          <w:color w:val="231F1F"/>
          <w:w w:val="110"/>
          <w:sz w:val="12"/>
        </w:rPr>
        <w:t>with</w:t>
      </w:r>
      <w:r>
        <w:rPr>
          <w:color w:val="231F1F"/>
          <w:spacing w:val="-6"/>
          <w:w w:val="110"/>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VINBLASTINE</w:t>
      </w:r>
      <w:r>
        <w:rPr>
          <w:color w:val="231F1F"/>
          <w:spacing w:val="4"/>
          <w:w w:val="110"/>
          <w:sz w:val="12"/>
        </w:rPr>
        <w:t>,</w:t>
      </w:r>
      <w:r>
        <w:rPr>
          <w:color w:val="231F1F"/>
          <w:spacing w:val="-5"/>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VINCRISTINE</w:t>
      </w:r>
      <w:r>
        <w:rPr>
          <w:color w:val="231F1F"/>
          <w:spacing w:val="4"/>
          <w:w w:val="110"/>
          <w:sz w:val="12"/>
        </w:rPr>
        <w:t>,</w:t>
      </w:r>
    </w:p>
    <w:p>
      <w:pPr>
        <w:spacing w:line="138" w:lineRule="exact"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VINDESINE </w:t>
      </w:r>
      <w:r>
        <w:rPr>
          <w:color w:val="231F1F"/>
          <w:w w:val="110"/>
          <w:sz w:val="12"/>
        </w:rPr>
        <w:t>and </w:t>
      </w:r>
      <w:r>
        <w:rPr>
          <w:rFonts w:ascii="Arial"/>
          <w:color w:val="231F1F"/>
          <w:w w:val="355"/>
          <w:position w:val="1"/>
          <w:sz w:val="7"/>
        </w:rPr>
        <w:t>l </w:t>
      </w:r>
      <w:r>
        <w:rPr>
          <w:rFonts w:ascii="Calibri"/>
          <w:color w:val="008356"/>
          <w:w w:val="110"/>
          <w:sz w:val="11"/>
        </w:rPr>
        <w:t>VINORELBINE</w:t>
      </w:r>
    </w:p>
    <w:p>
      <w:pPr>
        <w:pStyle w:val="BodyText"/>
        <w:ind w:right="249" w:hanging="100"/>
        <w:rPr>
          <w:rFonts w:ascii="Calibri"/>
          <w:sz w:val="11"/>
        </w:rPr>
      </w:pPr>
      <w:r>
        <w:rPr>
          <w:rFonts w:ascii="Arial"/>
          <w:color w:val="231F1F"/>
          <w:w w:val="355"/>
          <w:position w:val="1"/>
          <w:sz w:val="7"/>
        </w:rPr>
        <w:t>l </w:t>
      </w:r>
      <w:r>
        <w:rPr>
          <w:rFonts w:ascii="Calibri"/>
          <w:color w:val="231F1F"/>
          <w:w w:val="105"/>
        </w:rPr>
        <w:t>Domperidone: </w:t>
      </w:r>
      <w:r>
        <w:rPr>
          <w:color w:val="231F1F"/>
          <w:w w:val="105"/>
        </w:rPr>
        <w:t>possible increased risk of ventricular arrhythmias when delamanid given with </w:t>
      </w:r>
      <w:r>
        <w:rPr>
          <w:rFonts w:ascii="Arial"/>
          <w:color w:val="231F1F"/>
          <w:w w:val="355"/>
          <w:position w:val="1"/>
          <w:sz w:val="7"/>
        </w:rPr>
        <w:t>l </w:t>
      </w:r>
      <w:r>
        <w:rPr>
          <w:rFonts w:ascii="Calibri"/>
          <w:color w:val="008356"/>
          <w:w w:val="105"/>
          <w:sz w:val="11"/>
        </w:rPr>
        <w:t>DOMPERIDONE</w:t>
      </w:r>
    </w:p>
    <w:p>
      <w:pPr>
        <w:spacing w:line="247" w:lineRule="auto" w:before="0"/>
        <w:ind w:left="208" w:right="0" w:hanging="100"/>
        <w:jc w:val="left"/>
        <w:rPr>
          <w:rFonts w:ascii="Calibri"/>
          <w:sz w:val="11"/>
        </w:rPr>
      </w:pPr>
      <w:r>
        <w:rPr>
          <w:rFonts w:ascii="Arial"/>
          <w:color w:val="231F1F"/>
          <w:w w:val="355"/>
          <w:position w:val="1"/>
          <w:sz w:val="7"/>
        </w:rPr>
        <w:t>l </w:t>
      </w:r>
      <w:r>
        <w:rPr>
          <w:rFonts w:ascii="Calibri"/>
          <w:color w:val="231F1F"/>
          <w:w w:val="110"/>
          <w:sz w:val="12"/>
        </w:rPr>
        <w:t>Pentamidine Isetionate: </w:t>
      </w:r>
      <w:r>
        <w:rPr>
          <w:color w:val="231F1F"/>
          <w:w w:val="110"/>
          <w:sz w:val="12"/>
        </w:rPr>
        <w:t>increased risk of ventricular arrhythmias when delamanid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0"/>
          <w:sz w:val="11"/>
        </w:rPr>
        <w:t>PENTAMIDINE </w:t>
      </w:r>
      <w:r>
        <w:rPr>
          <w:rFonts w:ascii="Calibri"/>
          <w:color w:val="008356"/>
          <w:spacing w:val="4"/>
          <w:w w:val="110"/>
          <w:sz w:val="11"/>
        </w:rPr>
        <w:t>ISETIONATE</w:t>
      </w:r>
    </w:p>
    <w:p>
      <w:pPr>
        <w:spacing w:line="220" w:lineRule="auto" w:before="0"/>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spacing w:val="3"/>
          <w:w w:val="105"/>
          <w:sz w:val="11"/>
        </w:rPr>
        <w:t>ORAL </w:t>
      </w:r>
      <w:r>
        <w:rPr>
          <w:rFonts w:ascii="Calibri" w:hAnsi="Calibri"/>
          <w:color w:val="008356"/>
          <w:spacing w:val="4"/>
          <w:w w:val="105"/>
          <w:sz w:val="11"/>
        </w:rPr>
        <w:t>TYPHOID </w:t>
      </w:r>
      <w:r>
        <w:rPr>
          <w:rFonts w:ascii="Calibri" w:hAnsi="Calibri"/>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2"/>
          <w:w w:val="105"/>
          <w:sz w:val="12"/>
        </w:rPr>
        <w:t> </w:t>
      </w:r>
      <w:r>
        <w:rPr>
          <w:color w:val="231F1F"/>
          <w:w w:val="105"/>
          <w:sz w:val="12"/>
        </w:rPr>
        <w:t>BNF</w:t>
      </w:r>
    </w:p>
    <w:p>
      <w:pPr>
        <w:pStyle w:val="BodyText"/>
        <w:spacing w:before="3"/>
        <w:ind w:left="108"/>
      </w:pPr>
      <w:r>
        <w:rPr>
          <w:rFonts w:ascii="Trebuchet MS"/>
          <w:color w:val="008356"/>
          <w:w w:val="105"/>
        </w:rPr>
        <w:t>Demeclocycline </w:t>
      </w:r>
      <w:r>
        <w:rPr>
          <w:i/>
          <w:color w:val="231F1F"/>
          <w:w w:val="105"/>
        </w:rPr>
        <w:t>see</w:t>
      </w:r>
      <w:r>
        <w:rPr>
          <w:i/>
          <w:color w:val="231F1F"/>
          <w:spacing w:val="9"/>
          <w:w w:val="105"/>
        </w:rPr>
        <w:t> </w:t>
      </w:r>
      <w:r>
        <w:rPr>
          <w:color w:val="231F1F"/>
          <w:w w:val="105"/>
        </w:rPr>
        <w:t>Tetracyclines</w:t>
      </w:r>
    </w:p>
    <w:p>
      <w:pPr>
        <w:pStyle w:val="BodyText"/>
        <w:spacing w:before="11"/>
        <w:ind w:left="108"/>
        <w:rPr>
          <w:rFonts w:ascii="Trebuchet MS"/>
        </w:rPr>
      </w:pPr>
      <w:r>
        <w:rPr>
          <w:rFonts w:ascii="Trebuchet MS"/>
          <w:color w:val="008356"/>
        </w:rPr>
        <w:t>Desferrioxamine</w:t>
      </w:r>
    </w:p>
    <w:p>
      <w:pPr>
        <w:pStyle w:val="BodyText"/>
        <w:spacing w:line="242"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avoidance of desferrioxamine advised by manufacturer of </w:t>
      </w:r>
      <w:r>
        <w:rPr>
          <w:rFonts w:ascii="Calibri" w:hAnsi="Calibri"/>
          <w:color w:val="008356"/>
          <w:w w:val="110"/>
          <w:sz w:val="11"/>
        </w:rPr>
        <w:t>LEVOMEPROMAZINE</w:t>
      </w:r>
      <w:r>
        <w:rPr>
          <w:color w:val="231F1F"/>
          <w:w w:val="110"/>
        </w:rPr>
        <w:t>; manufacturer of desferrioxamine advises avoid concomitant use with </w:t>
      </w:r>
      <w:r>
        <w:rPr>
          <w:rFonts w:ascii="Calibri" w:hAnsi="Calibri"/>
          <w:color w:val="008356"/>
          <w:w w:val="110"/>
          <w:sz w:val="11"/>
        </w:rPr>
        <w:t>PROCHLORPERAZINE</w:t>
      </w:r>
    </w:p>
    <w:p>
      <w:pPr>
        <w:pStyle w:val="BodyText"/>
        <w:spacing w:line="256" w:lineRule="auto" w:before="4"/>
        <w:ind w:left="108" w:right="1274"/>
        <w:rPr>
          <w:rFonts w:ascii="Trebuchet MS"/>
        </w:rPr>
      </w:pPr>
      <w:r>
        <w:rPr>
          <w:rFonts w:ascii="Trebuchet MS"/>
          <w:color w:val="008356"/>
          <w:w w:val="105"/>
        </w:rPr>
        <w:t>Desflurane </w:t>
      </w:r>
      <w:r>
        <w:rPr>
          <w:i/>
          <w:color w:val="231F1F"/>
          <w:w w:val="105"/>
        </w:rPr>
        <w:t>see </w:t>
      </w:r>
      <w:r>
        <w:rPr>
          <w:color w:val="231F1F"/>
          <w:w w:val="105"/>
        </w:rPr>
        <w:t>Anaesthetics, General </w:t>
      </w:r>
      <w:r>
        <w:rPr>
          <w:rFonts w:ascii="Trebuchet MS"/>
          <w:color w:val="008356"/>
          <w:w w:val="105"/>
        </w:rPr>
        <w:t>Desloratadine </w:t>
      </w:r>
      <w:r>
        <w:rPr>
          <w:i/>
          <w:color w:val="231F1F"/>
          <w:w w:val="105"/>
        </w:rPr>
        <w:t>see </w:t>
      </w:r>
      <w:r>
        <w:rPr>
          <w:color w:val="231F1F"/>
          <w:w w:val="105"/>
        </w:rPr>
        <w:t>Antihistamines </w:t>
      </w:r>
      <w:r>
        <w:rPr>
          <w:rFonts w:ascii="Trebuchet MS"/>
          <w:color w:val="008356"/>
          <w:w w:val="105"/>
        </w:rPr>
        <w:t>Desmopressin</w:t>
      </w:r>
    </w:p>
    <w:p>
      <w:pPr>
        <w:spacing w:line="142"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Analgesics: </w:t>
      </w:r>
      <w:r>
        <w:rPr>
          <w:color w:val="231F1F"/>
          <w:w w:val="105"/>
          <w:sz w:val="12"/>
        </w:rPr>
        <w:t>effects of desmopressin enhanced by </w:t>
      </w:r>
      <w:r>
        <w:rPr>
          <w:rFonts w:ascii="Calibri" w:hAnsi="Calibri"/>
          <w:color w:val="008356"/>
          <w:w w:val="105"/>
          <w:sz w:val="11"/>
        </w:rPr>
        <w:t>INDOMETACIN</w:t>
      </w:r>
    </w:p>
    <w:p>
      <w:pPr>
        <w:spacing w:line="220" w:lineRule="auto" w:before="0"/>
        <w:ind w:left="208" w:right="7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Loperamide: </w:t>
      </w:r>
      <w:r>
        <w:rPr>
          <w:color w:val="231F1F"/>
          <w:w w:val="105"/>
          <w:sz w:val="12"/>
        </w:rPr>
        <w:t>plasma concentration of </w:t>
      </w:r>
      <w:r>
        <w:rPr>
          <w:i/>
          <w:color w:val="231F1F"/>
          <w:w w:val="105"/>
          <w:sz w:val="12"/>
        </w:rPr>
        <w:t>oral </w:t>
      </w:r>
      <w:r>
        <w:rPr>
          <w:color w:val="231F1F"/>
          <w:w w:val="105"/>
          <w:sz w:val="12"/>
        </w:rPr>
        <w:t>desmopressin increased by </w:t>
      </w:r>
      <w:r>
        <w:rPr>
          <w:rFonts w:ascii="Calibri" w:hAnsi="Calibri"/>
          <w:color w:val="008356"/>
          <w:w w:val="105"/>
          <w:sz w:val="11"/>
        </w:rPr>
        <w:t>LOPERAMIDE</w:t>
      </w:r>
    </w:p>
    <w:p>
      <w:pPr>
        <w:pStyle w:val="BodyText"/>
        <w:spacing w:line="256" w:lineRule="auto" w:before="9"/>
        <w:ind w:left="107" w:right="1274"/>
        <w:rPr>
          <w:rFonts w:ascii="Trebuchet MS"/>
        </w:rPr>
      </w:pPr>
      <w:r>
        <w:rPr>
          <w:rFonts w:ascii="Trebuchet MS"/>
          <w:color w:val="008356"/>
          <w:w w:val="105"/>
        </w:rPr>
        <w:t>Desogestrel </w:t>
      </w:r>
      <w:r>
        <w:rPr>
          <w:i/>
          <w:color w:val="231F1F"/>
          <w:w w:val="105"/>
        </w:rPr>
        <w:t>see </w:t>
      </w:r>
      <w:r>
        <w:rPr>
          <w:color w:val="231F1F"/>
          <w:w w:val="105"/>
        </w:rPr>
        <w:t>Progestogens </w:t>
      </w:r>
      <w:r>
        <w:rPr>
          <w:rFonts w:ascii="Trebuchet MS"/>
          <w:color w:val="008356"/>
          <w:w w:val="105"/>
        </w:rPr>
        <w:t>Dexamethasone </w:t>
      </w:r>
      <w:r>
        <w:rPr>
          <w:i/>
          <w:color w:val="231F1F"/>
          <w:w w:val="105"/>
        </w:rPr>
        <w:t>see </w:t>
      </w:r>
      <w:r>
        <w:rPr>
          <w:color w:val="231F1F"/>
          <w:w w:val="105"/>
        </w:rPr>
        <w:t>Corticosteroids </w:t>
      </w:r>
      <w:r>
        <w:rPr>
          <w:rFonts w:ascii="Trebuchet MS"/>
          <w:color w:val="008356"/>
          <w:w w:val="105"/>
        </w:rPr>
        <w:t>Dexamfetamine </w:t>
      </w:r>
      <w:r>
        <w:rPr>
          <w:i/>
          <w:color w:val="231F1F"/>
          <w:w w:val="105"/>
        </w:rPr>
        <w:t>see </w:t>
      </w:r>
      <w:r>
        <w:rPr>
          <w:color w:val="231F1F"/>
          <w:w w:val="105"/>
        </w:rPr>
        <w:t>Sympathomimetics </w:t>
      </w:r>
      <w:r>
        <w:rPr>
          <w:rFonts w:ascii="Trebuchet MS"/>
          <w:color w:val="008356"/>
          <w:w w:val="105"/>
        </w:rPr>
        <w:t>Dexibuprofen </w:t>
      </w:r>
      <w:r>
        <w:rPr>
          <w:i/>
          <w:color w:val="231F1F"/>
          <w:w w:val="105"/>
        </w:rPr>
        <w:t>see </w:t>
      </w:r>
      <w:r>
        <w:rPr>
          <w:color w:val="231F1F"/>
          <w:w w:val="105"/>
        </w:rPr>
        <w:t>NSAIDs </w:t>
      </w:r>
      <w:r>
        <w:rPr>
          <w:rFonts w:ascii="Trebuchet MS"/>
          <w:color w:val="008356"/>
          <w:w w:val="105"/>
        </w:rPr>
        <w:t>Dexketoprofen </w:t>
      </w:r>
      <w:r>
        <w:rPr>
          <w:i/>
          <w:color w:val="231F1F"/>
          <w:w w:val="105"/>
        </w:rPr>
        <w:t>see </w:t>
      </w:r>
      <w:r>
        <w:rPr>
          <w:color w:val="231F1F"/>
          <w:w w:val="105"/>
        </w:rPr>
        <w:t>NSAIDs </w:t>
      </w:r>
      <w:r>
        <w:rPr>
          <w:rFonts w:ascii="Trebuchet MS"/>
          <w:color w:val="008356"/>
          <w:w w:val="105"/>
        </w:rPr>
        <w:t>Dexrazoxane</w:t>
      </w:r>
    </w:p>
    <w:p>
      <w:pPr>
        <w:pStyle w:val="BodyText"/>
        <w:spacing w:line="139" w:lineRule="exact"/>
        <w:ind w:left="108"/>
      </w:pPr>
      <w:r>
        <w:rPr>
          <w:rFonts w:ascii="Arial"/>
          <w:color w:val="231F1F"/>
          <w:w w:val="355"/>
          <w:position w:val="1"/>
          <w:sz w:val="7"/>
        </w:rPr>
        <w:t>l </w:t>
      </w:r>
      <w:r>
        <w:rPr>
          <w:rFonts w:ascii="Calibri"/>
          <w:color w:val="231F1F"/>
          <w:w w:val="110"/>
        </w:rPr>
        <w:t>Antiepileptics: </w:t>
      </w:r>
      <w:r>
        <w:rPr>
          <w:color w:val="231F1F"/>
          <w:w w:val="110"/>
        </w:rPr>
        <w:t>dexrazoxane possibly reduces absorption of</w:t>
      </w:r>
    </w:p>
    <w:p>
      <w:pPr>
        <w:spacing w:line="140" w:lineRule="exact"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w:t>
      </w:r>
    </w:p>
    <w:p>
      <w:pPr>
        <w:pStyle w:val="BodyText"/>
        <w:spacing w:line="220" w:lineRule="auto" w:before="8"/>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manufacturer of dexrazoxane advises increased risk of immunosuppression with</w:t>
      </w:r>
      <w:r>
        <w:rPr>
          <w:color w:val="231F1F"/>
          <w:spacing w:val="-8"/>
          <w:w w:val="110"/>
        </w:rPr>
        <w:t> </w:t>
      </w:r>
      <w:r>
        <w:rPr>
          <w:rFonts w:ascii="Calibri" w:hAnsi="Calibri"/>
          <w:color w:val="008356"/>
          <w:spacing w:val="4"/>
          <w:w w:val="110"/>
          <w:sz w:val="11"/>
        </w:rPr>
        <w:t>CICLOSPORIN</w:t>
      </w:r>
    </w:p>
    <w:p>
      <w:pPr>
        <w:pStyle w:val="BodyText"/>
        <w:spacing w:line="220" w:lineRule="auto" w:before="8"/>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manufacturer of dexrazoxane advises increased risk of immunosuppression with</w:t>
      </w:r>
      <w:r>
        <w:rPr>
          <w:color w:val="231F1F"/>
          <w:spacing w:val="-10"/>
          <w:w w:val="110"/>
        </w:rPr>
        <w:t> </w:t>
      </w:r>
      <w:r>
        <w:rPr>
          <w:rFonts w:ascii="Calibri" w:hAnsi="Calibri"/>
          <w:color w:val="008356"/>
          <w:spacing w:val="3"/>
          <w:w w:val="110"/>
          <w:sz w:val="11"/>
        </w:rPr>
        <w:t>TACROLIMUS</w:t>
      </w:r>
    </w:p>
    <w:p>
      <w:pPr>
        <w:pStyle w:val="BodyText"/>
        <w:ind w:right="248"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Vaccines:</w:t>
      </w:r>
      <w:r>
        <w:rPr>
          <w:rFonts w:ascii="Calibri" w:hAnsi="Calibri"/>
          <w:color w:val="231F1F"/>
          <w:spacing w:val="-14"/>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generalised</w:t>
      </w:r>
      <w:r>
        <w:rPr>
          <w:color w:val="231F1F"/>
          <w:spacing w:val="-18"/>
          <w:w w:val="115"/>
        </w:rPr>
        <w:t> </w:t>
      </w:r>
      <w:r>
        <w:rPr>
          <w:color w:val="231F1F"/>
          <w:w w:val="115"/>
        </w:rPr>
        <w:t>infections</w:t>
      </w:r>
      <w:r>
        <w:rPr>
          <w:color w:val="231F1F"/>
          <w:spacing w:val="-17"/>
          <w:w w:val="115"/>
        </w:rPr>
        <w:t> </w:t>
      </w:r>
      <w:r>
        <w:rPr>
          <w:color w:val="231F1F"/>
          <w:w w:val="115"/>
        </w:rPr>
        <w:t>when</w:t>
      </w:r>
      <w:r>
        <w:rPr>
          <w:color w:val="231F1F"/>
          <w:spacing w:val="-17"/>
          <w:w w:val="115"/>
        </w:rPr>
        <w:t> </w:t>
      </w:r>
      <w:r>
        <w:rPr>
          <w:color w:val="231F1F"/>
          <w:w w:val="115"/>
        </w:rPr>
        <w:t>dexrazoxane given</w:t>
      </w:r>
      <w:r>
        <w:rPr>
          <w:color w:val="231F1F"/>
          <w:spacing w:val="-11"/>
          <w:w w:val="115"/>
        </w:rPr>
        <w:t> </w:t>
      </w:r>
      <w:r>
        <w:rPr>
          <w:color w:val="231F1F"/>
          <w:w w:val="115"/>
        </w:rPr>
        <w:t>with</w:t>
      </w:r>
      <w:r>
        <w:rPr>
          <w:color w:val="231F1F"/>
          <w:spacing w:val="-11"/>
          <w:w w:val="115"/>
        </w:rPr>
        <w:t> </w:t>
      </w:r>
      <w:r>
        <w:rPr>
          <w:color w:val="231F1F"/>
          <w:w w:val="115"/>
        </w:rPr>
        <w:t>live</w:t>
      </w:r>
      <w:r>
        <w:rPr>
          <w:color w:val="231F1F"/>
          <w:spacing w:val="-9"/>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1"/>
          <w:w w:val="115"/>
        </w:rPr>
        <w:t> </w:t>
      </w:r>
      <w:r>
        <w:rPr>
          <w:color w:val="231F1F"/>
          <w:w w:val="115"/>
        </w:rPr>
        <w:t>concomitant</w:t>
      </w:r>
      <w:r>
        <w:rPr>
          <w:color w:val="231F1F"/>
          <w:spacing w:val="-11"/>
          <w:w w:val="115"/>
        </w:rPr>
        <w:t> </w:t>
      </w:r>
      <w:r>
        <w:rPr>
          <w:color w:val="231F1F"/>
          <w:w w:val="115"/>
        </w:rPr>
        <w:t>use</w:t>
      </w:r>
    </w:p>
    <w:p>
      <w:pPr>
        <w:pStyle w:val="BodyText"/>
        <w:spacing w:line="256" w:lineRule="auto" w:before="6"/>
        <w:ind w:left="108" w:right="943"/>
        <w:rPr>
          <w:rFonts w:ascii="Trebuchet MS"/>
        </w:rPr>
      </w:pPr>
      <w:r>
        <w:rPr>
          <w:rFonts w:ascii="Trebuchet MS"/>
          <w:color w:val="008356"/>
          <w:w w:val="110"/>
        </w:rPr>
        <w:t>Dextromethorphan </w:t>
      </w:r>
      <w:r>
        <w:rPr>
          <w:i/>
          <w:color w:val="231F1F"/>
          <w:w w:val="110"/>
        </w:rPr>
        <w:t>see </w:t>
      </w:r>
      <w:r>
        <w:rPr>
          <w:color w:val="231F1F"/>
          <w:w w:val="110"/>
        </w:rPr>
        <w:t>Opioid Analgesics </w:t>
      </w:r>
      <w:r>
        <w:rPr>
          <w:rFonts w:ascii="Trebuchet MS"/>
          <w:color w:val="008356"/>
          <w:w w:val="105"/>
        </w:rPr>
        <w:t>Dextropropoxyphene </w:t>
      </w:r>
      <w:r>
        <w:rPr>
          <w:i/>
          <w:color w:val="231F1F"/>
          <w:w w:val="105"/>
        </w:rPr>
        <w:t>see </w:t>
      </w:r>
      <w:r>
        <w:rPr>
          <w:color w:val="231F1F"/>
          <w:w w:val="105"/>
        </w:rPr>
        <w:t>Opioid Analgesics </w:t>
      </w:r>
      <w:r>
        <w:rPr>
          <w:rFonts w:ascii="Trebuchet MS"/>
          <w:color w:val="008356"/>
          <w:w w:val="110"/>
        </w:rPr>
        <w:t>Diamorphine </w:t>
      </w:r>
      <w:r>
        <w:rPr>
          <w:i/>
          <w:color w:val="231F1F"/>
          <w:w w:val="110"/>
        </w:rPr>
        <w:t>see </w:t>
      </w:r>
      <w:r>
        <w:rPr>
          <w:color w:val="231F1F"/>
          <w:w w:val="110"/>
        </w:rPr>
        <w:t>Opioid Analgesics </w:t>
      </w:r>
      <w:r>
        <w:rPr>
          <w:rFonts w:ascii="Trebuchet MS"/>
          <w:color w:val="008356"/>
          <w:w w:val="110"/>
        </w:rPr>
        <w:t>Diazepam </w:t>
      </w:r>
      <w:r>
        <w:rPr>
          <w:i/>
          <w:color w:val="231F1F"/>
          <w:w w:val="110"/>
        </w:rPr>
        <w:t>see </w:t>
      </w:r>
      <w:r>
        <w:rPr>
          <w:color w:val="231F1F"/>
          <w:w w:val="110"/>
        </w:rPr>
        <w:t>Anxiolytics and Hypnotics </w:t>
      </w:r>
      <w:r>
        <w:rPr>
          <w:rFonts w:ascii="Trebuchet MS"/>
          <w:color w:val="008356"/>
          <w:w w:val="110"/>
        </w:rPr>
        <w:t>Diazoxide</w:t>
      </w:r>
    </w:p>
    <w:p>
      <w:pPr>
        <w:pStyle w:val="BodyText"/>
        <w:spacing w:line="220" w:lineRule="auto" w:before="1"/>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diazoxide given with </w:t>
      </w:r>
      <w:r>
        <w:rPr>
          <w:rFonts w:ascii="Calibri" w:hAnsi="Calibri"/>
          <w:color w:val="008356"/>
          <w:w w:val="105"/>
          <w:sz w:val="11"/>
        </w:rPr>
        <w:t>ACE INHIBITORS</w:t>
      </w:r>
    </w:p>
    <w:p>
      <w:pPr>
        <w:spacing w:line="220" w:lineRule="auto" w:before="8"/>
        <w:ind w:left="208" w:right="24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diazoxide given with </w:t>
      </w:r>
      <w:r>
        <w:rPr>
          <w:rFonts w:ascii="Calibri" w:hAnsi="Calibri"/>
          <w:color w:val="008356"/>
          <w:w w:val="105"/>
          <w:sz w:val="11"/>
        </w:rPr>
        <w:t>ADRENERGIC NEURONE BLOCKERS</w:t>
      </w:r>
    </w:p>
    <w:p>
      <w:pPr>
        <w:pStyle w:val="BodyText"/>
        <w:spacing w:line="220" w:lineRule="auto" w:before="8"/>
        <w:ind w:right="249"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diazoxide given with </w:t>
      </w:r>
      <w:r>
        <w:rPr>
          <w:rFonts w:ascii="Calibri" w:hAnsi="Calibri"/>
          <w:color w:val="008356"/>
          <w:w w:val="105"/>
          <w:sz w:val="11"/>
        </w:rPr>
        <w:t>ALCOHOL</w:t>
      </w:r>
    </w:p>
    <w:p>
      <w:pPr>
        <w:pStyle w:val="BodyText"/>
        <w:spacing w:line="220" w:lineRule="auto" w:before="9"/>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diazoxide given with </w:t>
      </w:r>
      <w:r>
        <w:rPr>
          <w:rFonts w:ascii="Calibri" w:hAnsi="Calibri"/>
          <w:color w:val="008356"/>
          <w:w w:val="110"/>
          <w:sz w:val="11"/>
        </w:rPr>
        <w:t>ALDESLEUKIN</w:t>
      </w:r>
    </w:p>
    <w:p>
      <w:pPr>
        <w:pStyle w:val="BodyText"/>
        <w:spacing w:line="220" w:lineRule="auto" w:before="9"/>
        <w:ind w:right="110"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diazoxide given with </w:t>
      </w:r>
      <w:r>
        <w:rPr>
          <w:rFonts w:ascii="Calibri" w:hAnsi="Calibri"/>
          <w:color w:val="008356"/>
          <w:w w:val="110"/>
          <w:sz w:val="11"/>
        </w:rPr>
        <w:t>ALPHA-BLOCKERS</w:t>
      </w:r>
    </w:p>
    <w:p>
      <w:pPr>
        <w:spacing w:line="220" w:lineRule="auto" w:before="8"/>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diazoxide given with </w:t>
      </w:r>
      <w:r>
        <w:rPr>
          <w:rFonts w:ascii="Calibri" w:hAnsi="Calibri"/>
          <w:color w:val="008356"/>
          <w:w w:val="105"/>
          <w:sz w:val="11"/>
        </w:rPr>
        <w:t>GENERAL ANAESTHETICS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diazoxide antagonised by</w:t>
      </w:r>
    </w:p>
    <w:p>
      <w:pPr>
        <w:spacing w:line="130" w:lineRule="exact" w:before="0"/>
        <w:ind w:left="208" w:right="0" w:firstLine="0"/>
        <w:jc w:val="left"/>
        <w:rPr>
          <w:rFonts w:ascii="Calibri"/>
          <w:sz w:val="9"/>
        </w:rPr>
      </w:pPr>
      <w:r>
        <w:rPr>
          <w:rFonts w:ascii="Calibri"/>
          <w:color w:val="008356"/>
          <w:sz w:val="11"/>
        </w:rPr>
        <w:t>NSAID</w:t>
      </w:r>
      <w:r>
        <w:rPr>
          <w:rFonts w:ascii="Calibri"/>
          <w:color w:val="008356"/>
          <w:sz w:val="9"/>
        </w:rPr>
        <w:t>S</w:t>
      </w:r>
    </w:p>
    <w:p>
      <w:pPr>
        <w:spacing w:line="237" w:lineRule="auto" w:before="0"/>
        <w:ind w:left="208" w:right="24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diazoxide given with </w:t>
      </w:r>
      <w:r>
        <w:rPr>
          <w:rFonts w:ascii="Calibri" w:hAnsi="Calibri"/>
          <w:color w:val="008356"/>
          <w:w w:val="105"/>
          <w:sz w:val="11"/>
        </w:rPr>
        <w:t>ANGIOTENSIN-II RECEPTOR ANTAGONISTS</w:t>
      </w:r>
    </w:p>
    <w:p>
      <w:pPr>
        <w:spacing w:line="220" w:lineRule="auto" w:before="7"/>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enhanced hypotensive effect when diazoxide given with </w:t>
      </w:r>
      <w:r>
        <w:rPr>
          <w:rFonts w:ascii="Calibri" w:hAnsi="Calibri"/>
          <w:color w:val="008356"/>
          <w:w w:val="105"/>
          <w:sz w:val="11"/>
        </w:rPr>
        <w:t>MAOI</w:t>
      </w:r>
      <w:r>
        <w:rPr>
          <w:rFonts w:ascii="Calibri" w:hAnsi="Calibri"/>
          <w:color w:val="008356"/>
          <w:w w:val="105"/>
          <w:sz w:val="9"/>
        </w:rPr>
        <w:t>S </w:t>
      </w:r>
      <w:r>
        <w:rPr>
          <w:color w:val="231F1F"/>
          <w:w w:val="105"/>
          <w:sz w:val="12"/>
        </w:rPr>
        <w:t>or </w:t>
      </w:r>
      <w:r>
        <w:rPr>
          <w:rFonts w:ascii="Calibri" w:hAnsi="Calibri"/>
          <w:color w:val="008356"/>
          <w:w w:val="105"/>
          <w:sz w:val="11"/>
        </w:rPr>
        <w:t>TRICYCLIC-RELATED ANTIDEPRESSANTS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diazoxide antagonises hypoglycaemic effect of</w:t>
      </w:r>
    </w:p>
    <w:p>
      <w:pPr>
        <w:spacing w:line="130" w:lineRule="exact" w:before="0"/>
        <w:ind w:left="208" w:right="0" w:firstLine="0"/>
        <w:jc w:val="left"/>
        <w:rPr>
          <w:rFonts w:ascii="Calibri"/>
          <w:sz w:val="11"/>
        </w:rPr>
      </w:pPr>
      <w:r>
        <w:rPr>
          <w:rFonts w:ascii="Calibri"/>
          <w:color w:val="008356"/>
          <w:sz w:val="11"/>
        </w:rPr>
        <w:t>ANTIDIABETICS</w:t>
      </w:r>
    </w:p>
    <w:p>
      <w:pPr>
        <w:pStyle w:val="BodyText"/>
        <w:spacing w:line="230" w:lineRule="auto" w:before="3"/>
        <w:ind w:right="21" w:hanging="100"/>
      </w:pPr>
      <w:r>
        <w:rPr>
          <w:rFonts w:ascii="Lucida Sans Unicode" w:hAnsi="Lucida Sans Unicode"/>
          <w:color w:val="A7A8AC"/>
          <w:w w:val="95"/>
          <w:sz w:val="10"/>
        </w:rPr>
        <w:t>▶ </w:t>
      </w:r>
      <w:r>
        <w:rPr>
          <w:rFonts w:ascii="Calibri" w:hAnsi="Calibri"/>
          <w:color w:val="231F1F"/>
          <w:w w:val="110"/>
        </w:rPr>
        <w:t>Antiepileptics: </w:t>
      </w:r>
      <w:r>
        <w:rPr>
          <w:color w:val="231F1F"/>
          <w:w w:val="110"/>
        </w:rPr>
        <w:t>diazoxide reduces plasma concentration of </w:t>
      </w:r>
      <w:r>
        <w:rPr>
          <w:rFonts w:ascii="Calibri" w:hAnsi="Calibri"/>
          <w:color w:val="008356"/>
          <w:w w:val="110"/>
          <w:sz w:val="11"/>
        </w:rPr>
        <w:t>FOSPHENYTOIN </w:t>
      </w:r>
      <w:r>
        <w:rPr>
          <w:color w:val="231F1F"/>
          <w:w w:val="110"/>
        </w:rPr>
        <w:t>and </w:t>
      </w:r>
      <w:r>
        <w:rPr>
          <w:rFonts w:ascii="Calibri" w:hAnsi="Calibri"/>
          <w:color w:val="008356"/>
          <w:w w:val="110"/>
          <w:sz w:val="11"/>
        </w:rPr>
        <w:t>PHENYTOIN</w:t>
      </w:r>
      <w:r>
        <w:rPr>
          <w:color w:val="231F1F"/>
          <w:w w:val="110"/>
        </w:rPr>
        <w:t>, also effect of diazoxide may be reduced</w:t>
      </w:r>
    </w:p>
    <w:p>
      <w:pPr>
        <w:pStyle w:val="BodyText"/>
        <w:spacing w:line="220" w:lineRule="auto" w:before="12"/>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enhanced hypotensive effect when diazoxide given with </w:t>
      </w:r>
      <w:r>
        <w:rPr>
          <w:rFonts w:ascii="Calibri" w:hAnsi="Calibri"/>
          <w:color w:val="008356"/>
          <w:w w:val="105"/>
          <w:sz w:val="11"/>
        </w:rPr>
        <w:t>PHENOTHIAZINES</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Diazoxide </w:t>
      </w:r>
      <w:r>
        <w:rPr>
          <w:rFonts w:ascii="Calibri"/>
          <w:color w:val="231F1F"/>
        </w:rPr>
        <w:t>(continued)</w:t>
      </w:r>
    </w:p>
    <w:p>
      <w:pPr>
        <w:spacing w:line="220" w:lineRule="auto" w:before="6"/>
        <w:ind w:left="208" w:right="832" w:hanging="100"/>
        <w:jc w:val="left"/>
        <w:rPr>
          <w:rFonts w:ascii="Calibri" w:hAnsi="Calibri"/>
          <w:sz w:val="11"/>
        </w:rPr>
      </w:pPr>
      <w:r>
        <w:rPr/>
        <w:pict>
          <v:rect style="position:absolute;margin-left:398.891296pt;margin-top:-8.655787pt;width:20.522993pt;height:149.443pt;mso-position-horizontal-relative:page;mso-position-vertical-relative:paragraph;z-index:3424" filled="true" fillcolor="#bfdbcf" stroked="false">
            <v:fill type="solid"/>
            <w10:wrap type="none"/>
          </v:rect>
        </w:pict>
      </w:r>
      <w:r>
        <w:rPr/>
        <w:pict>
          <v:shape style="position:absolute;margin-left:399.725769pt;margin-top:-3.692398pt;width:10.4pt;height:78.850pt;mso-position-horizontal-relative:page;mso-position-vertical-relative:paragraph;z-index:344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diazoxide given with </w:t>
      </w:r>
      <w:r>
        <w:rPr>
          <w:rFonts w:ascii="Calibri" w:hAnsi="Calibri"/>
          <w:color w:val="008356"/>
          <w:w w:val="105"/>
          <w:sz w:val="11"/>
        </w:rPr>
        <w:t>ANXIOLYTICS AND HYPNOTICS</w:t>
      </w:r>
    </w:p>
    <w:p>
      <w:pPr>
        <w:pStyle w:val="BodyText"/>
        <w:spacing w:line="220" w:lineRule="auto" w:before="9"/>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diazoxide given with </w:t>
      </w:r>
      <w:r>
        <w:rPr>
          <w:rFonts w:ascii="Calibri" w:hAnsi="Calibri"/>
          <w:color w:val="008356"/>
          <w:w w:val="110"/>
          <w:sz w:val="11"/>
        </w:rPr>
        <w:t>BETA-BLOCKERS</w:t>
      </w:r>
    </w:p>
    <w:p>
      <w:pPr>
        <w:spacing w:line="220" w:lineRule="auto" w:before="9"/>
        <w:ind w:left="208" w:right="83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diazoxide given with </w:t>
      </w:r>
      <w:r>
        <w:rPr>
          <w:rFonts w:ascii="Calibri" w:hAnsi="Calibri"/>
          <w:color w:val="008356"/>
          <w:w w:val="105"/>
          <w:sz w:val="11"/>
        </w:rPr>
        <w:t>CALCIUM-CHANNEL BLOCKERS</w:t>
      </w:r>
    </w:p>
    <w:p>
      <w:pPr>
        <w:pStyle w:val="BodyText"/>
        <w:spacing w:line="220" w:lineRule="auto" w:before="8"/>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diazoxide given with </w:t>
      </w:r>
      <w:r>
        <w:rPr>
          <w:rFonts w:ascii="Calibri" w:hAnsi="Calibri"/>
          <w:color w:val="008356"/>
          <w:w w:val="105"/>
          <w:sz w:val="11"/>
        </w:rPr>
        <w:t>CLONIDINE</w:t>
      </w:r>
    </w:p>
    <w:p>
      <w:pPr>
        <w:spacing w:line="220" w:lineRule="auto" w:before="8"/>
        <w:ind w:left="208" w:right="90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Corticosteroids: </w:t>
      </w:r>
      <w:r>
        <w:rPr>
          <w:color w:val="231F1F"/>
          <w:w w:val="105"/>
          <w:sz w:val="12"/>
        </w:rPr>
        <w:t>hypotensive effect of diazoxide antagonised by</w:t>
      </w:r>
      <w:r>
        <w:rPr>
          <w:color w:val="231F1F"/>
          <w:spacing w:val="-2"/>
          <w:w w:val="105"/>
          <w:sz w:val="12"/>
        </w:rPr>
        <w:t> </w:t>
      </w:r>
      <w:r>
        <w:rPr>
          <w:rFonts w:ascii="Calibri" w:hAnsi="Calibri"/>
          <w:color w:val="008356"/>
          <w:spacing w:val="4"/>
          <w:w w:val="105"/>
          <w:sz w:val="11"/>
        </w:rPr>
        <w:t>CORTICOSTEROIDS</w:t>
      </w:r>
    </w:p>
    <w:p>
      <w:pPr>
        <w:pStyle w:val="BodyText"/>
        <w:spacing w:line="220" w:lineRule="auto" w:before="9"/>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and hyperglycaemic effects when diazoxide given with </w:t>
      </w:r>
      <w:r>
        <w:rPr>
          <w:rFonts w:ascii="Calibri" w:hAnsi="Calibri"/>
          <w:color w:val="008356"/>
          <w:w w:val="105"/>
          <w:sz w:val="11"/>
        </w:rPr>
        <w:t>DIURETICS</w:t>
      </w:r>
    </w:p>
    <w:p>
      <w:pPr>
        <w:spacing w:line="220" w:lineRule="auto" w:before="8"/>
        <w:ind w:left="208" w:right="83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diazoxide given with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 </w:t>
      </w:r>
      <w:r>
        <w:rPr>
          <w:rFonts w:ascii="Calibri" w:hAnsi="Calibri"/>
          <w:color w:val="008356"/>
          <w:w w:val="105"/>
          <w:sz w:val="11"/>
        </w:rPr>
        <w:t>LEVODOPA</w:t>
      </w:r>
    </w:p>
    <w:p>
      <w:pPr>
        <w:pStyle w:val="BodyText"/>
        <w:spacing w:line="220" w:lineRule="auto" w:before="8"/>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diazoxide given with </w:t>
      </w:r>
      <w:r>
        <w:rPr>
          <w:rFonts w:ascii="Calibri" w:hAnsi="Calibri"/>
          <w:color w:val="008356"/>
          <w:w w:val="105"/>
          <w:sz w:val="11"/>
        </w:rPr>
        <w:t>METHYLDOPA</w:t>
      </w:r>
    </w:p>
    <w:p>
      <w:pPr>
        <w:pStyle w:val="BodyText"/>
        <w:spacing w:line="220" w:lineRule="auto" w:before="9"/>
        <w:ind w:right="908"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diazoxide given with</w:t>
      </w:r>
      <w:r>
        <w:rPr>
          <w:color w:val="231F1F"/>
          <w:spacing w:val="-1"/>
          <w:w w:val="105"/>
        </w:rPr>
        <w:t> </w:t>
      </w:r>
      <w:r>
        <w:rPr>
          <w:rFonts w:ascii="Calibri" w:hAnsi="Calibri"/>
          <w:color w:val="008356"/>
          <w:spacing w:val="3"/>
          <w:w w:val="105"/>
          <w:sz w:val="11"/>
        </w:rPr>
        <w:t>MOXISYLYTE</w:t>
      </w:r>
    </w:p>
    <w:p>
      <w:pPr>
        <w:pStyle w:val="BodyText"/>
        <w:spacing w:line="220" w:lineRule="auto" w:before="9"/>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diazoxide given with</w:t>
      </w:r>
      <w:r>
        <w:rPr>
          <w:color w:val="231F1F"/>
          <w:spacing w:val="-2"/>
          <w:w w:val="105"/>
        </w:rPr>
        <w:t> </w:t>
      </w:r>
      <w:r>
        <w:rPr>
          <w:rFonts w:ascii="Calibri" w:hAnsi="Calibri"/>
          <w:color w:val="008356"/>
          <w:spacing w:val="4"/>
          <w:w w:val="105"/>
          <w:sz w:val="11"/>
        </w:rPr>
        <w:t>MOXONIDINE</w:t>
      </w:r>
    </w:p>
    <w:p>
      <w:pPr>
        <w:spacing w:line="220" w:lineRule="auto" w:before="8"/>
        <w:ind w:left="208" w:right="90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diazoxide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8"/>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diazoxide given with </w:t>
      </w:r>
      <w:r>
        <w:rPr>
          <w:rFonts w:ascii="Calibri" w:hAnsi="Calibri"/>
          <w:color w:val="008356"/>
          <w:w w:val="105"/>
          <w:sz w:val="11"/>
        </w:rPr>
        <w:t>NITRATES</w:t>
      </w:r>
    </w:p>
    <w:p>
      <w:pPr>
        <w:pStyle w:val="BodyText"/>
        <w:spacing w:line="220" w:lineRule="auto" w:before="9"/>
        <w:ind w:right="689"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diazoxide given with </w:t>
      </w:r>
      <w:r>
        <w:rPr>
          <w:rFonts w:ascii="Calibri" w:hAnsi="Calibri"/>
          <w:color w:val="008356"/>
          <w:w w:val="110"/>
          <w:sz w:val="11"/>
        </w:rPr>
        <w:t>ALPROSTADIL</w:t>
      </w:r>
    </w:p>
    <w:p>
      <w:pPr>
        <w:spacing w:line="237" w:lineRule="auto" w:before="1"/>
        <w:ind w:left="207" w:right="68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diazoxide given with </w:t>
      </w:r>
      <w:r>
        <w:rPr>
          <w:rFonts w:ascii="Calibri" w:hAnsi="Calibri"/>
          <w:color w:val="008356"/>
          <w:spacing w:val="4"/>
          <w:w w:val="105"/>
          <w:sz w:val="11"/>
        </w:rPr>
        <w:t>HYDRALAZINE</w:t>
      </w:r>
      <w:r>
        <w:rPr>
          <w:color w:val="231F1F"/>
          <w:spacing w:val="4"/>
          <w:w w:val="105"/>
          <w:sz w:val="12"/>
        </w:rPr>
        <w:t>, </w:t>
      </w:r>
      <w:r>
        <w:rPr>
          <w:rFonts w:ascii="Calibri" w:hAnsi="Calibri"/>
          <w:color w:val="008356"/>
          <w:spacing w:val="4"/>
          <w:w w:val="105"/>
          <w:sz w:val="11"/>
        </w:rPr>
        <w:t>MINOXIDIL </w:t>
      </w:r>
      <w:r>
        <w:rPr>
          <w:color w:val="231F1F"/>
          <w:w w:val="105"/>
          <w:sz w:val="12"/>
        </w:rPr>
        <w:t>or </w:t>
      </w:r>
      <w:r>
        <w:rPr>
          <w:rFonts w:ascii="Calibri" w:hAnsi="Calibri"/>
          <w:color w:val="008356"/>
          <w:spacing w:val="5"/>
          <w:w w:val="105"/>
          <w:sz w:val="11"/>
        </w:rPr>
        <w:t>SODIUM NITROPRUSSIDE</w:t>
      </w:r>
    </w:p>
    <w:p>
      <w:pPr>
        <w:pStyle w:val="BodyText"/>
        <w:spacing w:line="256" w:lineRule="auto" w:before="7"/>
        <w:ind w:left="108" w:right="2225"/>
        <w:rPr>
          <w:rFonts w:ascii="Trebuchet MS"/>
        </w:rPr>
      </w:pPr>
      <w:r>
        <w:rPr>
          <w:rFonts w:ascii="Trebuchet MS"/>
          <w:color w:val="008356"/>
        </w:rPr>
        <w:t>Diclofenac </w:t>
      </w:r>
      <w:r>
        <w:rPr>
          <w:i/>
          <w:color w:val="231F1F"/>
        </w:rPr>
        <w:t>see </w:t>
      </w:r>
      <w:r>
        <w:rPr>
          <w:color w:val="231F1F"/>
        </w:rPr>
        <w:t>NSAIDs </w:t>
      </w:r>
      <w:r>
        <w:rPr>
          <w:rFonts w:ascii="Trebuchet MS"/>
          <w:color w:val="008356"/>
        </w:rPr>
        <w:t>Dicycloverine </w:t>
      </w:r>
      <w:r>
        <w:rPr>
          <w:i/>
          <w:color w:val="231F1F"/>
        </w:rPr>
        <w:t>see </w:t>
      </w:r>
      <w:r>
        <w:rPr>
          <w:color w:val="231F1F"/>
        </w:rPr>
        <w:t>Antimuscarinics </w:t>
      </w:r>
      <w:r>
        <w:rPr>
          <w:rFonts w:ascii="Trebuchet MS"/>
          <w:color w:val="008356"/>
        </w:rPr>
        <w:t>Didanosine</w:t>
      </w:r>
    </w:p>
    <w:p>
      <w:pPr>
        <w:pStyle w:val="BodyText"/>
        <w:ind w:right="706"/>
      </w:pPr>
      <w:r>
        <w:rPr>
          <w:rFonts w:ascii="Calibri" w:hAnsi="Calibri"/>
          <w:color w:val="008356"/>
          <w:w w:val="115"/>
          <w:sz w:val="11"/>
        </w:rPr>
        <w:t>NOTE </w:t>
      </w:r>
      <w:r>
        <w:rPr>
          <w:color w:val="231F1F"/>
          <w:w w:val="115"/>
        </w:rPr>
        <w:t>Antacids in tablet formulation might affect absorption of other drugs</w:t>
      </w:r>
      <w:r>
        <w:rPr>
          <w:rFonts w:ascii="Arial" w:hAnsi="Arial"/>
          <w:color w:val="231F1F"/>
          <w:w w:val="115"/>
        </w:rPr>
        <w:t>—</w:t>
      </w:r>
      <w:r>
        <w:rPr>
          <w:color w:val="231F1F"/>
          <w:w w:val="115"/>
        </w:rPr>
        <w:t>give at least 2 hours apart</w:t>
      </w:r>
    </w:p>
    <w:p>
      <w:pPr>
        <w:pStyle w:val="BodyText"/>
        <w:spacing w:line="146" w:lineRule="exact"/>
        <w:ind w:left="108"/>
      </w:pPr>
      <w:r>
        <w:rPr>
          <w:rFonts w:ascii="Arial"/>
          <w:color w:val="231F1F"/>
          <w:w w:val="355"/>
          <w:position w:val="1"/>
          <w:sz w:val="7"/>
        </w:rPr>
        <w:t>l </w:t>
      </w:r>
      <w:r>
        <w:rPr>
          <w:rFonts w:ascii="Calibri"/>
          <w:color w:val="231F1F"/>
          <w:w w:val="115"/>
        </w:rPr>
        <w:t>Allopurinol: </w:t>
      </w:r>
      <w:r>
        <w:rPr>
          <w:color w:val="231F1F"/>
          <w:w w:val="115"/>
        </w:rPr>
        <w:t>plasma concentration of didanosine increased by</w:t>
      </w:r>
    </w:p>
    <w:p>
      <w:pPr>
        <w:spacing w:line="141" w:lineRule="exact" w:before="0"/>
        <w:ind w:left="208" w:right="0" w:firstLine="0"/>
        <w:jc w:val="left"/>
        <w:rPr>
          <w:sz w:val="12"/>
        </w:rPr>
      </w:pPr>
      <w:r>
        <w:rPr>
          <w:rFonts w:ascii="Arial" w:hAnsi="Arial"/>
          <w:color w:val="231F1F"/>
          <w:w w:val="355"/>
          <w:position w:val="1"/>
          <w:sz w:val="7"/>
        </w:rPr>
        <w:t>l </w:t>
      </w:r>
      <w:r>
        <w:rPr>
          <w:rFonts w:ascii="Calibri" w:hAnsi="Calibri"/>
          <w:color w:val="008356"/>
          <w:spacing w:val="4"/>
          <w:w w:val="110"/>
          <w:sz w:val="11"/>
        </w:rPr>
        <w:t>ALLOPURINOL </w:t>
      </w:r>
      <w:r>
        <w:rPr>
          <w:color w:val="231F1F"/>
          <w:w w:val="110"/>
          <w:sz w:val="12"/>
        </w:rPr>
        <w:t>(risk of toxicity)</w:t>
      </w:r>
      <w:r>
        <w:rPr>
          <w:rFonts w:ascii="Arial" w:hAnsi="Arial"/>
          <w:color w:val="231F1F"/>
          <w:w w:val="110"/>
          <w:sz w:val="12"/>
        </w:rPr>
        <w:t>—</w:t>
      </w:r>
      <w:r>
        <w:rPr>
          <w:color w:val="231F1F"/>
          <w:w w:val="110"/>
          <w:sz w:val="12"/>
        </w:rPr>
        <w:t>avoid concomitant use</w:t>
      </w:r>
    </w:p>
    <w:p>
      <w:pPr>
        <w:pStyle w:val="BodyText"/>
        <w:spacing w:line="220" w:lineRule="auto" w:before="3"/>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plasma concentration of didanosine possibly reduced by </w:t>
      </w:r>
      <w:r>
        <w:rPr>
          <w:rFonts w:ascii="Calibri" w:hAnsi="Calibri"/>
          <w:color w:val="008356"/>
          <w:w w:val="105"/>
          <w:sz w:val="11"/>
        </w:rPr>
        <w:t>METHADONE</w:t>
      </w:r>
    </w:p>
    <w:p>
      <w:pPr>
        <w:pStyle w:val="BodyText"/>
        <w:spacing w:line="220" w:lineRule="auto" w:before="8"/>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manufacturer of norfloxacin advises give didanosine at least 2 hours before or after </w:t>
      </w:r>
      <w:r>
        <w:rPr>
          <w:rFonts w:ascii="Calibri" w:hAnsi="Calibri"/>
          <w:color w:val="008356"/>
          <w:w w:val="110"/>
          <w:sz w:val="11"/>
        </w:rPr>
        <w:t>NORFLOXACIN</w:t>
      </w:r>
    </w:p>
    <w:p>
      <w:pPr>
        <w:pStyle w:val="BodyText"/>
        <w:spacing w:line="244" w:lineRule="auto"/>
        <w:ind w:left="207" w:right="683" w:hanging="10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231F1F"/>
          <w:w w:val="110"/>
        </w:rPr>
        <w:t>Antivirals: </w:t>
      </w:r>
      <w:r>
        <w:rPr>
          <w:color w:val="231F1F"/>
          <w:w w:val="110"/>
        </w:rPr>
        <w:t>didanosine </w:t>
      </w:r>
      <w:r>
        <w:rPr>
          <w:i/>
          <w:color w:val="231F1F"/>
          <w:w w:val="110"/>
        </w:rPr>
        <w:t>tablets </w:t>
      </w:r>
      <w:r>
        <w:rPr>
          <w:color w:val="231F1F"/>
          <w:w w:val="110"/>
        </w:rPr>
        <w:t>reduce absorption of </w:t>
      </w:r>
      <w:r>
        <w:rPr>
          <w:rFonts w:ascii="Calibri" w:hAnsi="Calibri"/>
          <w:color w:val="008356"/>
          <w:spacing w:val="3"/>
          <w:w w:val="110"/>
          <w:sz w:val="11"/>
        </w:rPr>
        <w:t>ATAZANAVIR </w:t>
      </w:r>
      <w:r>
        <w:rPr>
          <w:color w:val="231F1F"/>
          <w:w w:val="110"/>
        </w:rPr>
        <w:t>(give at least 2 hours before or 1 hour after didanosine  </w:t>
      </w:r>
      <w:r>
        <w:rPr>
          <w:i/>
          <w:color w:val="231F1F"/>
          <w:w w:val="110"/>
        </w:rPr>
        <w:t>tablets</w:t>
      </w:r>
      <w:r>
        <w:rPr>
          <w:color w:val="231F1F"/>
          <w:w w:val="110"/>
        </w:rPr>
        <w:t>); manufacturer of darunavir advises take didanosine 1 hour before or 2 hours after  </w:t>
      </w:r>
      <w:r>
        <w:rPr>
          <w:rFonts w:ascii="Calibri" w:hAnsi="Calibri"/>
          <w:color w:val="008356"/>
          <w:spacing w:val="3"/>
          <w:w w:val="110"/>
          <w:sz w:val="11"/>
        </w:rPr>
        <w:t>DARUNAVIR</w:t>
      </w:r>
      <w:r>
        <w:rPr>
          <w:color w:val="231F1F"/>
          <w:spacing w:val="3"/>
          <w:w w:val="110"/>
        </w:rPr>
        <w:t>; </w:t>
      </w:r>
      <w:r>
        <w:rPr>
          <w:color w:val="231F1F"/>
          <w:w w:val="110"/>
        </w:rPr>
        <w:t>plasma concentration of didanosine possibly increased  by </w:t>
      </w:r>
      <w:r>
        <w:rPr>
          <w:rFonts w:ascii="Calibri" w:hAnsi="Calibri"/>
          <w:color w:val="008356"/>
          <w:spacing w:val="4"/>
          <w:w w:val="110"/>
          <w:sz w:val="11"/>
        </w:rPr>
        <w:t>GANCICLOVIR </w:t>
      </w:r>
      <w:r>
        <w:rPr>
          <w:color w:val="231F1F"/>
          <w:w w:val="110"/>
        </w:rPr>
        <w:t>and </w:t>
      </w:r>
      <w:r>
        <w:rPr>
          <w:rFonts w:ascii="Calibri" w:hAnsi="Calibri"/>
          <w:color w:val="008356"/>
          <w:spacing w:val="3"/>
          <w:w w:val="110"/>
          <w:sz w:val="11"/>
        </w:rPr>
        <w:t>VALGANCICLOVIR</w:t>
      </w:r>
      <w:r>
        <w:rPr>
          <w:color w:val="231F1F"/>
          <w:spacing w:val="3"/>
          <w:w w:val="110"/>
        </w:rPr>
        <w:t>; </w:t>
      </w:r>
      <w:r>
        <w:rPr>
          <w:color w:val="231F1F"/>
          <w:w w:val="110"/>
        </w:rPr>
        <w:t>didanosine </w:t>
      </w:r>
      <w:r>
        <w:rPr>
          <w:i/>
          <w:color w:val="231F1F"/>
          <w:w w:val="110"/>
        </w:rPr>
        <w:t>tablets </w:t>
      </w:r>
      <w:r>
        <w:rPr>
          <w:color w:val="231F1F"/>
          <w:w w:val="110"/>
        </w:rPr>
        <w:t>reduce absorption of </w:t>
      </w:r>
      <w:r>
        <w:rPr>
          <w:rFonts w:ascii="Calibri" w:hAnsi="Calibri"/>
          <w:color w:val="008356"/>
          <w:spacing w:val="3"/>
          <w:w w:val="110"/>
          <w:sz w:val="11"/>
        </w:rPr>
        <w:t>INDINAVIR </w:t>
      </w:r>
      <w:r>
        <w:rPr>
          <w:color w:val="231F1F"/>
          <w:w w:val="110"/>
        </w:rPr>
        <w:t>(give at least 1 hour apart); increased risk of side-effects when didanosine given with </w:t>
      </w:r>
      <w:r>
        <w:rPr>
          <w:rFonts w:ascii="Arial" w:hAnsi="Arial"/>
          <w:color w:val="231F1F"/>
          <w:w w:val="355"/>
          <w:position w:val="1"/>
          <w:sz w:val="7"/>
        </w:rPr>
        <w:t>l </w:t>
      </w:r>
      <w:r>
        <w:rPr>
          <w:rFonts w:ascii="Calibri" w:hAnsi="Calibri"/>
          <w:color w:val="008356"/>
          <w:spacing w:val="4"/>
          <w:w w:val="110"/>
          <w:sz w:val="11"/>
        </w:rPr>
        <w:t>RIBAVIRIN</w:t>
      </w:r>
      <w:r>
        <w:rPr>
          <w:rFonts w:ascii="Arial" w:hAnsi="Arial"/>
          <w:color w:val="231F1F"/>
          <w:spacing w:val="4"/>
          <w:w w:val="110"/>
        </w:rPr>
        <w:t>— </w:t>
      </w:r>
      <w:r>
        <w:rPr>
          <w:color w:val="231F1F"/>
          <w:w w:val="110"/>
        </w:rPr>
        <w:t>avoid concomitant use; manufacturer of rilpivirine advises  give didanosine 2 hours before or 4 hours after </w:t>
      </w:r>
      <w:r>
        <w:rPr>
          <w:rFonts w:ascii="Calibri" w:hAnsi="Calibri"/>
          <w:color w:val="008356"/>
          <w:spacing w:val="4"/>
          <w:w w:val="110"/>
          <w:sz w:val="11"/>
        </w:rPr>
        <w:t>RILPIVIRINE</w:t>
      </w:r>
      <w:r>
        <w:rPr>
          <w:color w:val="231F1F"/>
          <w:spacing w:val="4"/>
          <w:w w:val="110"/>
        </w:rPr>
        <w:t>; </w:t>
      </w:r>
      <w:r>
        <w:rPr>
          <w:color w:val="231F1F"/>
          <w:w w:val="110"/>
        </w:rPr>
        <w:t>manufacturer of ritonavir advises didanosine and </w:t>
      </w:r>
      <w:r>
        <w:rPr>
          <w:rFonts w:ascii="Calibri" w:hAnsi="Calibri"/>
          <w:color w:val="008356"/>
          <w:spacing w:val="4"/>
          <w:w w:val="110"/>
          <w:sz w:val="11"/>
        </w:rPr>
        <w:t>RITONAVIR </w:t>
      </w:r>
      <w:r>
        <w:rPr>
          <w:color w:val="231F1F"/>
          <w:w w:val="110"/>
        </w:rPr>
        <w:t>should be taken 2.5 hours apart; increased risk of </w:t>
      </w:r>
      <w:r>
        <w:rPr>
          <w:color w:val="231F1F"/>
          <w:spacing w:val="-2"/>
          <w:w w:val="110"/>
        </w:rPr>
        <w:t>side-effects </w:t>
      </w:r>
      <w:r>
        <w:rPr>
          <w:color w:val="231F1F"/>
          <w:w w:val="110"/>
        </w:rPr>
        <w:t>when didanosine given with </w:t>
      </w:r>
      <w:r>
        <w:rPr>
          <w:rFonts w:ascii="Arial" w:hAnsi="Arial"/>
          <w:color w:val="231F1F"/>
          <w:w w:val="355"/>
          <w:position w:val="1"/>
          <w:sz w:val="7"/>
        </w:rPr>
        <w:t>l </w:t>
      </w:r>
      <w:r>
        <w:rPr>
          <w:rFonts w:ascii="Calibri" w:hAnsi="Calibri"/>
          <w:color w:val="008356"/>
          <w:spacing w:val="3"/>
          <w:w w:val="110"/>
          <w:sz w:val="11"/>
        </w:rPr>
        <w:t>STAVUDINE</w:t>
      </w:r>
      <w:r>
        <w:rPr>
          <w:color w:val="231F1F"/>
          <w:spacing w:val="3"/>
          <w:w w:val="110"/>
        </w:rPr>
        <w:t>; </w:t>
      </w:r>
      <w:r>
        <w:rPr>
          <w:color w:val="231F1F"/>
          <w:w w:val="110"/>
        </w:rPr>
        <w:t>plasma concentration of didanosine increased by </w:t>
      </w:r>
      <w:r>
        <w:rPr>
          <w:rFonts w:ascii="Arial" w:hAnsi="Arial"/>
          <w:color w:val="231F1F"/>
          <w:w w:val="355"/>
          <w:position w:val="1"/>
          <w:sz w:val="7"/>
        </w:rPr>
        <w:t>l </w:t>
      </w:r>
      <w:r>
        <w:rPr>
          <w:rFonts w:ascii="Calibri" w:hAnsi="Calibri"/>
          <w:color w:val="008356"/>
          <w:spacing w:val="4"/>
          <w:w w:val="110"/>
          <w:sz w:val="11"/>
        </w:rPr>
        <w:t>TENOFOVIR </w:t>
      </w:r>
      <w:r>
        <w:rPr>
          <w:color w:val="231F1F"/>
          <w:w w:val="110"/>
        </w:rPr>
        <w:t>(increased risk of toxicity)</w:t>
      </w:r>
      <w:r>
        <w:rPr>
          <w:rFonts w:ascii="Arial" w:hAnsi="Arial"/>
          <w:color w:val="231F1F"/>
          <w:w w:val="110"/>
        </w:rPr>
        <w:t>—</w:t>
      </w:r>
      <w:r>
        <w:rPr>
          <w:color w:val="231F1F"/>
          <w:w w:val="110"/>
        </w:rPr>
        <w:t>avoid concomitant use; plasma concentration of didanosine reduced by </w:t>
      </w:r>
      <w:r>
        <w:rPr>
          <w:rFonts w:ascii="Calibri" w:hAnsi="Calibri"/>
          <w:color w:val="008356"/>
          <w:spacing w:val="4"/>
          <w:w w:val="110"/>
          <w:sz w:val="11"/>
        </w:rPr>
        <w:t>TIPRANAVIR</w:t>
      </w:r>
      <w:r>
        <w:rPr>
          <w:rFonts w:ascii="Arial" w:hAnsi="Arial"/>
          <w:color w:val="231F1F"/>
          <w:spacing w:val="4"/>
          <w:w w:val="110"/>
        </w:rPr>
        <w:t>— </w:t>
      </w:r>
      <w:r>
        <w:rPr>
          <w:color w:val="231F1F"/>
          <w:w w:val="110"/>
        </w:rPr>
        <w:t>manufacturer of tipranavir advises tipranavir and didanosine </w:t>
      </w:r>
      <w:r>
        <w:rPr>
          <w:i/>
          <w:color w:val="231F1F"/>
          <w:w w:val="110"/>
        </w:rPr>
        <w:t>capsules </w:t>
      </w:r>
      <w:r>
        <w:rPr>
          <w:color w:val="231F1F"/>
          <w:w w:val="110"/>
        </w:rPr>
        <w:t>should be taken at least 2 hours</w:t>
      </w:r>
      <w:r>
        <w:rPr>
          <w:color w:val="231F1F"/>
          <w:spacing w:val="5"/>
          <w:w w:val="110"/>
        </w:rPr>
        <w:t> </w:t>
      </w:r>
      <w:r>
        <w:rPr>
          <w:color w:val="231F1F"/>
          <w:w w:val="110"/>
        </w:rPr>
        <w:t>apart</w:t>
      </w:r>
    </w:p>
    <w:p>
      <w:pPr>
        <w:pStyle w:val="BodyText"/>
        <w:spacing w:before="4"/>
        <w:ind w:right="689" w:hanging="100"/>
      </w:pPr>
      <w:r>
        <w:rPr>
          <w:rFonts w:ascii="Arial" w:hAnsi="Arial"/>
          <w:color w:val="231F1F"/>
          <w:w w:val="355"/>
          <w:position w:val="1"/>
          <w:sz w:val="7"/>
        </w:rPr>
        <w:t>l </w:t>
      </w:r>
      <w:r>
        <w:rPr>
          <w:rFonts w:ascii="Calibri" w:hAnsi="Calibri"/>
          <w:color w:val="231F1F"/>
          <w:w w:val="110"/>
        </w:rPr>
        <w:t>Cytotoxics: </w:t>
      </w:r>
      <w:r>
        <w:rPr>
          <w:color w:val="231F1F"/>
          <w:w w:val="110"/>
        </w:rPr>
        <w:t>increased risk of toxicity when didanosine given with </w:t>
      </w:r>
      <w:r>
        <w:rPr>
          <w:rFonts w:ascii="Arial" w:hAnsi="Arial"/>
          <w:color w:val="231F1F"/>
          <w:w w:val="355"/>
          <w:position w:val="1"/>
          <w:sz w:val="7"/>
        </w:rPr>
        <w:t>l </w:t>
      </w:r>
      <w:r>
        <w:rPr>
          <w:rFonts w:ascii="Calibri" w:hAnsi="Calibri"/>
          <w:color w:val="008356"/>
          <w:w w:val="110"/>
          <w:sz w:val="11"/>
        </w:rPr>
        <w:t>HYDROXYCARBAMIDE</w:t>
      </w:r>
      <w:r>
        <w:rPr>
          <w:rFonts w:ascii="Arial" w:hAnsi="Arial"/>
          <w:color w:val="231F1F"/>
          <w:w w:val="110"/>
        </w:rPr>
        <w:t>—</w:t>
      </w:r>
      <w:r>
        <w:rPr>
          <w:color w:val="231F1F"/>
          <w:w w:val="110"/>
        </w:rPr>
        <w:t>avoid concomitant use</w:t>
      </w:r>
    </w:p>
    <w:p>
      <w:pPr>
        <w:pStyle w:val="BodyText"/>
        <w:spacing w:line="143" w:lineRule="exact"/>
        <w:ind w:left="108"/>
      </w:pPr>
      <w:r>
        <w:rPr>
          <w:rFonts w:ascii="Arial"/>
          <w:color w:val="231F1F"/>
          <w:w w:val="355"/>
          <w:position w:val="1"/>
          <w:sz w:val="7"/>
        </w:rPr>
        <w:t>l </w:t>
      </w:r>
      <w:r>
        <w:rPr>
          <w:rFonts w:ascii="Calibri"/>
          <w:color w:val="231F1F"/>
          <w:w w:val="115"/>
        </w:rPr>
        <w:t>Orlistat: </w:t>
      </w:r>
      <w:r>
        <w:rPr>
          <w:color w:val="231F1F"/>
          <w:w w:val="115"/>
        </w:rPr>
        <w:t>absorption of didanosine possibly reduced by</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before="8"/>
        <w:ind w:left="108"/>
      </w:pPr>
      <w:r>
        <w:rPr>
          <w:rFonts w:ascii="Trebuchet MS"/>
          <w:color w:val="008356"/>
          <w:w w:val="110"/>
        </w:rPr>
        <w:t>Dienogest </w:t>
      </w:r>
      <w:r>
        <w:rPr>
          <w:i/>
          <w:color w:val="231F1F"/>
          <w:w w:val="110"/>
        </w:rPr>
        <w:t>see </w:t>
      </w:r>
      <w:r>
        <w:rPr>
          <w:color w:val="231F1F"/>
          <w:w w:val="110"/>
        </w:rPr>
        <w:t>Progestogens</w:t>
      </w:r>
    </w:p>
    <w:p>
      <w:pPr>
        <w:pStyle w:val="BodyText"/>
        <w:spacing w:before="9"/>
        <w:ind w:left="108"/>
        <w:rPr>
          <w:rFonts w:ascii="Trebuchet MS"/>
        </w:rPr>
      </w:pPr>
      <w:r>
        <w:rPr>
          <w:rFonts w:ascii="Trebuchet MS"/>
          <w:color w:val="008356"/>
        </w:rPr>
        <w:t>Diethylcarbamazine</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Antacids: </w:t>
      </w:r>
      <w:r>
        <w:rPr>
          <w:color w:val="231F1F"/>
          <w:w w:val="105"/>
        </w:rPr>
        <w:t>excretion of diethylcarbamazine increased by</w:t>
      </w:r>
    </w:p>
    <w:p>
      <w:pPr>
        <w:spacing w:line="132" w:lineRule="exact" w:before="0"/>
        <w:ind w:left="208" w:right="0" w:firstLine="0"/>
        <w:jc w:val="left"/>
        <w:rPr>
          <w:rFonts w:ascii="Calibri"/>
          <w:sz w:val="11"/>
        </w:rPr>
      </w:pPr>
      <w:r>
        <w:rPr>
          <w:rFonts w:ascii="Calibri"/>
          <w:color w:val="008356"/>
          <w:sz w:val="11"/>
        </w:rPr>
        <w:t>SODIUM BICARBONATE</w:t>
      </w:r>
    </w:p>
    <w:p>
      <w:pPr>
        <w:pStyle w:val="BodyText"/>
        <w:spacing w:line="256" w:lineRule="auto" w:before="6"/>
        <w:ind w:left="107" w:right="1854"/>
        <w:rPr>
          <w:rFonts w:ascii="Trebuchet MS"/>
        </w:rPr>
      </w:pPr>
      <w:r>
        <w:rPr>
          <w:rFonts w:ascii="Trebuchet MS"/>
          <w:color w:val="008356"/>
          <w:w w:val="105"/>
        </w:rPr>
        <w:t>Digoxin </w:t>
      </w:r>
      <w:r>
        <w:rPr>
          <w:i/>
          <w:color w:val="231F1F"/>
          <w:w w:val="105"/>
        </w:rPr>
        <w:t>see </w:t>
      </w:r>
      <w:r>
        <w:rPr>
          <w:color w:val="231F1F"/>
          <w:w w:val="105"/>
        </w:rPr>
        <w:t>Cardiac Glycosides </w:t>
      </w:r>
      <w:r>
        <w:rPr>
          <w:rFonts w:ascii="Trebuchet MS"/>
          <w:color w:val="008356"/>
          <w:w w:val="105"/>
        </w:rPr>
        <w:t>Dihydrocodeine </w:t>
      </w:r>
      <w:r>
        <w:rPr>
          <w:i/>
          <w:color w:val="231F1F"/>
          <w:w w:val="105"/>
        </w:rPr>
        <w:t>see </w:t>
      </w:r>
      <w:r>
        <w:rPr>
          <w:color w:val="231F1F"/>
          <w:w w:val="105"/>
        </w:rPr>
        <w:t>Opioid Analgesics </w:t>
      </w:r>
      <w:r>
        <w:rPr>
          <w:rFonts w:ascii="Trebuchet MS"/>
          <w:color w:val="008356"/>
          <w:w w:val="105"/>
        </w:rPr>
        <w:t>Dihydrotachysterol </w:t>
      </w:r>
      <w:r>
        <w:rPr>
          <w:i/>
          <w:color w:val="231F1F"/>
          <w:w w:val="105"/>
        </w:rPr>
        <w:t>see </w:t>
      </w:r>
      <w:r>
        <w:rPr>
          <w:color w:val="231F1F"/>
          <w:w w:val="105"/>
        </w:rPr>
        <w:t>Vitamins </w:t>
      </w:r>
      <w:r>
        <w:rPr>
          <w:rFonts w:ascii="Trebuchet MS"/>
          <w:color w:val="008356"/>
          <w:w w:val="105"/>
        </w:rPr>
        <w:t>Diltiazem </w:t>
      </w:r>
      <w:r>
        <w:rPr>
          <w:i/>
          <w:color w:val="231F1F"/>
          <w:w w:val="105"/>
        </w:rPr>
        <w:t>see </w:t>
      </w:r>
      <w:r>
        <w:rPr>
          <w:color w:val="231F1F"/>
          <w:w w:val="105"/>
        </w:rPr>
        <w:t>Calcium-channel Blockers </w:t>
      </w:r>
      <w:r>
        <w:rPr>
          <w:rFonts w:ascii="Trebuchet MS"/>
          <w:color w:val="008356"/>
          <w:w w:val="105"/>
        </w:rPr>
        <w:t>Dimethyl sulfoxide</w:t>
      </w:r>
    </w:p>
    <w:p>
      <w:pPr>
        <w:pStyle w:val="BodyText"/>
        <w:spacing w:line="139" w:lineRule="exact"/>
        <w:ind w:left="108"/>
      </w:pPr>
      <w:r>
        <w:rPr>
          <w:rFonts w:ascii="Arial"/>
          <w:color w:val="231F1F"/>
          <w:w w:val="355"/>
          <w:position w:val="1"/>
          <w:sz w:val="7"/>
        </w:rPr>
        <w:t>l </w:t>
      </w:r>
      <w:r>
        <w:rPr>
          <w:rFonts w:ascii="Calibri"/>
          <w:color w:val="231F1F"/>
          <w:w w:val="115"/>
        </w:rPr>
        <w:t>Analgesics: </w:t>
      </w:r>
      <w:r>
        <w:rPr>
          <w:color w:val="231F1F"/>
          <w:w w:val="115"/>
        </w:rPr>
        <w:t>avoid concomitant use of dimethyl sulfoxide with</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SULINDAC</w:t>
      </w:r>
    </w:p>
    <w:p>
      <w:pPr>
        <w:pStyle w:val="BodyText"/>
        <w:spacing w:before="8"/>
        <w:ind w:left="108"/>
      </w:pPr>
      <w:r>
        <w:rPr>
          <w:rFonts w:ascii="Trebuchet MS"/>
          <w:color w:val="008356"/>
          <w:w w:val="105"/>
        </w:rPr>
        <w:t>Dinoprostone </w:t>
      </w:r>
      <w:r>
        <w:rPr>
          <w:i/>
          <w:color w:val="231F1F"/>
          <w:w w:val="105"/>
        </w:rPr>
        <w:t>see </w:t>
      </w:r>
      <w:r>
        <w:rPr>
          <w:color w:val="231F1F"/>
          <w:w w:val="105"/>
        </w:rPr>
        <w:t>Prostaglandins</w:t>
      </w:r>
    </w:p>
    <w:p>
      <w:pPr>
        <w:spacing w:after="0"/>
        <w:sectPr>
          <w:pgSz w:w="8390" w:h="11910"/>
          <w:pgMar w:header="0" w:footer="0" w:top="460" w:bottom="0" w:left="480" w:right="0"/>
          <w:cols w:num="2" w:equalWidth="0">
            <w:col w:w="3574" w:space="103"/>
            <w:col w:w="4233"/>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3472" filled="true" fillcolor="#bfdbcf" stroked="false">
            <v:fill type="solid"/>
            <w10:wrap type="none"/>
          </v:rect>
        </w:pict>
      </w:r>
      <w:r>
        <w:rPr/>
        <w:pict>
          <v:shape style="position:absolute;margin-left:7.751256pt;margin-top:35.804367pt;width:10.4pt;height:78.850pt;mso-position-horizontal-relative:page;mso-position-vertical-relative:page;z-index:349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256" w:lineRule="auto" w:before="1"/>
        <w:ind w:left="186" w:right="1034"/>
        <w:rPr>
          <w:rFonts w:ascii="Trebuchet MS"/>
        </w:rPr>
      </w:pPr>
      <w:r>
        <w:rPr>
          <w:rFonts w:ascii="Trebuchet MS"/>
          <w:color w:val="008356"/>
          <w:w w:val="105"/>
        </w:rPr>
        <w:t>Diphenoxylate </w:t>
      </w:r>
      <w:r>
        <w:rPr>
          <w:i/>
          <w:color w:val="231F1F"/>
          <w:w w:val="105"/>
        </w:rPr>
        <w:t>see </w:t>
      </w:r>
      <w:r>
        <w:rPr>
          <w:color w:val="231F1F"/>
          <w:w w:val="105"/>
        </w:rPr>
        <w:t>Opioid Analgesics </w:t>
      </w:r>
      <w:r>
        <w:rPr>
          <w:rFonts w:ascii="Trebuchet MS"/>
          <w:color w:val="008356"/>
          <w:w w:val="105"/>
        </w:rPr>
        <w:t>Diphtheria Vaccines </w:t>
      </w:r>
      <w:r>
        <w:rPr>
          <w:i/>
          <w:color w:val="231F1F"/>
          <w:w w:val="105"/>
        </w:rPr>
        <w:t>see </w:t>
      </w:r>
      <w:r>
        <w:rPr>
          <w:color w:val="231F1F"/>
          <w:w w:val="105"/>
        </w:rPr>
        <w:t>Vaccines </w:t>
      </w:r>
      <w:r>
        <w:rPr>
          <w:rFonts w:ascii="Trebuchet MS"/>
          <w:color w:val="008356"/>
          <w:w w:val="105"/>
        </w:rPr>
        <w:t>Dipipanone </w:t>
      </w:r>
      <w:r>
        <w:rPr>
          <w:i/>
          <w:color w:val="231F1F"/>
          <w:w w:val="105"/>
        </w:rPr>
        <w:t>see </w:t>
      </w:r>
      <w:r>
        <w:rPr>
          <w:color w:val="231F1F"/>
          <w:w w:val="105"/>
        </w:rPr>
        <w:t>Opioid Analgesics </w:t>
      </w:r>
      <w:r>
        <w:rPr>
          <w:rFonts w:ascii="Trebuchet MS"/>
          <w:color w:val="008356"/>
          <w:w w:val="105"/>
        </w:rPr>
        <w:t>Dipyridamole</w:t>
      </w:r>
    </w:p>
    <w:p>
      <w:pPr>
        <w:pStyle w:val="BodyText"/>
        <w:spacing w:line="147" w:lineRule="exact"/>
        <w:ind w:left="186"/>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dipyridamole possibly reduced by</w:t>
      </w:r>
    </w:p>
    <w:p>
      <w:pPr>
        <w:spacing w:line="130" w:lineRule="exact" w:before="0"/>
        <w:ind w:left="286" w:right="0" w:firstLine="0"/>
        <w:jc w:val="left"/>
        <w:rPr>
          <w:rFonts w:ascii="Calibri"/>
          <w:sz w:val="11"/>
        </w:rPr>
      </w:pPr>
      <w:r>
        <w:rPr>
          <w:rFonts w:ascii="Calibri"/>
          <w:color w:val="008356"/>
          <w:sz w:val="11"/>
        </w:rPr>
        <w:t>ANTACIDS</w:t>
      </w:r>
    </w:p>
    <w:p>
      <w:pPr>
        <w:pStyle w:val="BodyText"/>
        <w:ind w:left="286" w:right="5"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Anti-arrhythmics:</w:t>
      </w:r>
      <w:r>
        <w:rPr>
          <w:rFonts w:ascii="Calibri" w:hAnsi="Calibri"/>
          <w:color w:val="231F1F"/>
          <w:spacing w:val="-15"/>
          <w:w w:val="115"/>
        </w:rPr>
        <w:t> </w:t>
      </w:r>
      <w:r>
        <w:rPr>
          <w:color w:val="231F1F"/>
          <w:w w:val="115"/>
        </w:rPr>
        <w:t>dipyridamole</w:t>
      </w:r>
      <w:r>
        <w:rPr>
          <w:color w:val="231F1F"/>
          <w:spacing w:val="-18"/>
          <w:w w:val="115"/>
        </w:rPr>
        <w:t> </w:t>
      </w:r>
      <w:r>
        <w:rPr>
          <w:color w:val="231F1F"/>
          <w:w w:val="115"/>
        </w:rPr>
        <w:t>enhances</w:t>
      </w:r>
      <w:r>
        <w:rPr>
          <w:color w:val="231F1F"/>
          <w:spacing w:val="-18"/>
          <w:w w:val="115"/>
        </w:rPr>
        <w:t> </w:t>
      </w:r>
      <w:r>
        <w:rPr>
          <w:color w:val="231F1F"/>
          <w:w w:val="115"/>
        </w:rPr>
        <w:t>and</w:t>
      </w:r>
      <w:r>
        <w:rPr>
          <w:color w:val="231F1F"/>
          <w:spacing w:val="-18"/>
          <w:w w:val="115"/>
        </w:rPr>
        <w:t> </w:t>
      </w:r>
      <w:r>
        <w:rPr>
          <w:color w:val="231F1F"/>
          <w:w w:val="115"/>
        </w:rPr>
        <w:t>extends</w:t>
      </w:r>
      <w:r>
        <w:rPr>
          <w:color w:val="231F1F"/>
          <w:spacing w:val="-18"/>
          <w:w w:val="115"/>
        </w:rPr>
        <w:t> </w:t>
      </w:r>
      <w:r>
        <w:rPr>
          <w:color w:val="231F1F"/>
          <w:w w:val="115"/>
        </w:rPr>
        <w:t>effect</w:t>
      </w:r>
      <w:r>
        <w:rPr>
          <w:color w:val="231F1F"/>
          <w:spacing w:val="-18"/>
          <w:w w:val="115"/>
        </w:rPr>
        <w:t> </w:t>
      </w:r>
      <w:r>
        <w:rPr>
          <w:color w:val="231F1F"/>
          <w:spacing w:val="-8"/>
          <w:w w:val="115"/>
        </w:rPr>
        <w:t>of </w:t>
      </w:r>
      <w:r>
        <w:rPr>
          <w:rFonts w:ascii="Arial" w:hAnsi="Arial"/>
          <w:color w:val="231F1F"/>
          <w:w w:val="355"/>
          <w:position w:val="1"/>
          <w:sz w:val="7"/>
        </w:rPr>
        <w:t>l </w:t>
      </w:r>
      <w:r>
        <w:rPr>
          <w:rFonts w:ascii="Calibri" w:hAnsi="Calibri"/>
          <w:color w:val="008356"/>
          <w:spacing w:val="4"/>
          <w:w w:val="115"/>
          <w:sz w:val="11"/>
        </w:rPr>
        <w:t>ADENOSINE </w:t>
      </w:r>
      <w:r>
        <w:rPr>
          <w:color w:val="231F1F"/>
          <w:w w:val="115"/>
        </w:rPr>
        <w:t>(important risk of toxicity)</w:t>
      </w:r>
      <w:r>
        <w:rPr>
          <w:rFonts w:ascii="Arial" w:hAnsi="Arial"/>
          <w:color w:val="231F1F"/>
          <w:w w:val="115"/>
        </w:rPr>
        <w:t>—</w:t>
      </w:r>
      <w:r>
        <w:rPr>
          <w:color w:val="231F1F"/>
          <w:w w:val="115"/>
        </w:rPr>
        <w:t>reduce dose of adenosine, see p.</w:t>
      </w:r>
      <w:r>
        <w:rPr>
          <w:color w:val="231F1F"/>
          <w:spacing w:val="-13"/>
          <w:w w:val="115"/>
        </w:rPr>
        <w:t> </w:t>
      </w:r>
      <w:r>
        <w:rPr>
          <w:color w:val="231F1F"/>
          <w:w w:val="115"/>
        </w:rPr>
        <w:t>87</w:t>
      </w:r>
    </w:p>
    <w:p>
      <w:pPr>
        <w:spacing w:line="240" w:lineRule="auto" w:before="1"/>
        <w:ind w:left="286" w:right="0" w:hanging="100"/>
        <w:jc w:val="left"/>
        <w:rPr>
          <w:rFonts w:ascii="Calibri"/>
          <w:sz w:val="11"/>
        </w:rPr>
      </w:pPr>
      <w:r>
        <w:rPr>
          <w:rFonts w:ascii="Arial"/>
          <w:color w:val="231F1F"/>
          <w:w w:val="355"/>
          <w:position w:val="1"/>
          <w:sz w:val="7"/>
        </w:rPr>
        <w:t>l </w:t>
      </w:r>
      <w:r>
        <w:rPr>
          <w:rFonts w:ascii="Calibri"/>
          <w:color w:val="231F1F"/>
          <w:w w:val="110"/>
          <w:sz w:val="12"/>
        </w:rPr>
        <w:t>Anticoagulants: </w:t>
      </w:r>
      <w:r>
        <w:rPr>
          <w:color w:val="231F1F"/>
          <w:w w:val="110"/>
          <w:sz w:val="12"/>
        </w:rPr>
        <w:t>antiplatelet action of dipyridamole enhances anticoagulant effect of </w:t>
      </w: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r>
        <w:rPr>
          <w:color w:val="231F1F"/>
          <w:w w:val="110"/>
          <w:sz w:val="12"/>
        </w:rPr>
        <w:t>; dipyridamole enhances anticoagulant effect of </w:t>
      </w:r>
      <w:r>
        <w:rPr>
          <w:rFonts w:ascii="Calibri"/>
          <w:color w:val="008356"/>
          <w:w w:val="110"/>
          <w:sz w:val="11"/>
        </w:rPr>
        <w:t>HEPARINS</w:t>
      </w:r>
    </w:p>
    <w:p>
      <w:pPr>
        <w:pStyle w:val="BodyText"/>
        <w:spacing w:line="220" w:lineRule="auto" w:before="7"/>
        <w:ind w:left="286" w:right="144" w:hanging="100"/>
        <w:rPr>
          <w:rFonts w:ascii="Calibri" w:hAnsi="Calibri"/>
          <w:sz w:val="11"/>
        </w:rPr>
      </w:pPr>
      <w:r>
        <w:rPr>
          <w:rFonts w:ascii="Lucida Sans Unicode" w:hAnsi="Lucida Sans Unicode"/>
          <w:color w:val="A7A8AC"/>
          <w:w w:val="95"/>
          <w:sz w:val="10"/>
        </w:rPr>
        <w:t>▶ </w:t>
      </w:r>
      <w:r>
        <w:rPr>
          <w:rFonts w:ascii="Calibri" w:hAnsi="Calibri"/>
          <w:color w:val="231F1F"/>
          <w:w w:val="105"/>
        </w:rPr>
        <w:t>Clopidogrel: </w:t>
      </w:r>
      <w:r>
        <w:rPr>
          <w:color w:val="231F1F"/>
          <w:w w:val="105"/>
        </w:rPr>
        <w:t>increased risk of bleeding when dipyridamole given with </w:t>
      </w:r>
      <w:r>
        <w:rPr>
          <w:rFonts w:ascii="Calibri" w:hAnsi="Calibri"/>
          <w:color w:val="008356"/>
          <w:w w:val="105"/>
          <w:sz w:val="11"/>
        </w:rPr>
        <w:t>CLOPIDOGREL</w:t>
      </w:r>
    </w:p>
    <w:p>
      <w:pPr>
        <w:pStyle w:val="BodyText"/>
        <w:spacing w:line="155" w:lineRule="exact"/>
        <w:ind w:left="186"/>
      </w:pPr>
      <w:r>
        <w:rPr>
          <w:rFonts w:ascii="Lucida Sans Unicode" w:hAnsi="Lucida Sans Unicode"/>
          <w:color w:val="A7A8AC"/>
          <w:w w:val="95"/>
          <w:sz w:val="10"/>
        </w:rPr>
        <w:t>▶ </w:t>
      </w:r>
      <w:r>
        <w:rPr>
          <w:rFonts w:ascii="Calibri" w:hAnsi="Calibri"/>
          <w:color w:val="231F1F"/>
        </w:rPr>
        <w:t>Cytotoxics: </w:t>
      </w:r>
      <w:r>
        <w:rPr>
          <w:color w:val="231F1F"/>
        </w:rPr>
        <w:t>dipyridamole possibly reduces effects of</w:t>
      </w:r>
    </w:p>
    <w:p>
      <w:pPr>
        <w:spacing w:line="131" w:lineRule="exact" w:before="0"/>
        <w:ind w:left="286" w:right="0" w:firstLine="0"/>
        <w:jc w:val="left"/>
        <w:rPr>
          <w:rFonts w:ascii="Calibri"/>
          <w:sz w:val="11"/>
        </w:rPr>
      </w:pPr>
      <w:r>
        <w:rPr>
          <w:rFonts w:ascii="Calibri"/>
          <w:color w:val="008356"/>
          <w:sz w:val="11"/>
        </w:rPr>
        <w:t>FLUDARABINE</w:t>
      </w:r>
    </w:p>
    <w:p>
      <w:pPr>
        <w:pStyle w:val="BodyText"/>
        <w:spacing w:before="8"/>
        <w:ind w:left="186"/>
        <w:rPr>
          <w:rFonts w:ascii="Trebuchet MS"/>
        </w:rPr>
      </w:pPr>
      <w:r>
        <w:rPr>
          <w:rFonts w:ascii="Trebuchet MS"/>
          <w:color w:val="008356"/>
          <w:w w:val="105"/>
        </w:rPr>
        <w:t>Disopyramide</w:t>
      </w:r>
    </w:p>
    <w:p>
      <w:pPr>
        <w:spacing w:line="220" w:lineRule="auto" w:before="9"/>
        <w:ind w:left="286" w:right="121"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1" w:lineRule="exact" w:before="4"/>
        <w:ind w:left="286"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spacing w:line="242" w:lineRule="auto"/>
        <w:ind w:left="286" w:right="10"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myocardial depression when anti- arrhythmics given with other </w:t>
      </w:r>
      <w:r>
        <w:rPr>
          <w:rFonts w:ascii="Arial" w:hAnsi="Arial"/>
          <w:color w:val="231F1F"/>
          <w:w w:val="355"/>
          <w:position w:val="1"/>
          <w:sz w:val="7"/>
        </w:rPr>
        <w:t>l </w:t>
      </w:r>
      <w:r>
        <w:rPr>
          <w:rFonts w:ascii="Calibri" w:hAnsi="Calibri"/>
          <w:color w:val="008356"/>
          <w:spacing w:val="4"/>
          <w:w w:val="110"/>
          <w:sz w:val="11"/>
        </w:rPr>
        <w:t>ANTI-ARRHYTHMICS</w:t>
      </w:r>
      <w:r>
        <w:rPr>
          <w:color w:val="231F1F"/>
          <w:spacing w:val="4"/>
          <w:w w:val="110"/>
        </w:rPr>
        <w:t>; </w:t>
      </w:r>
      <w:r>
        <w:rPr>
          <w:color w:val="231F1F"/>
          <w:w w:val="110"/>
        </w:rPr>
        <w:t>increased risk of ventricular arrhythmias when disopyramide given </w:t>
      </w:r>
      <w:r>
        <w:rPr>
          <w:color w:val="231F1F"/>
          <w:spacing w:val="-4"/>
          <w:w w:val="110"/>
        </w:rPr>
        <w:t>with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AMIODARONE</w:t>
      </w:r>
      <w:r>
        <w:rPr>
          <w:rFonts w:ascii="Calibri" w:hAnsi="Calibri"/>
          <w:color w:val="008356"/>
          <w:spacing w:val="-2"/>
          <w:w w:val="110"/>
          <w:sz w:val="11"/>
        </w:rPr>
        <w:t> </w:t>
      </w:r>
      <w:r>
        <w:rPr>
          <w:color w:val="231F1F"/>
          <w:w w:val="110"/>
        </w:rPr>
        <w:t>or</w:t>
      </w:r>
      <w:r>
        <w:rPr>
          <w:color w:val="231F1F"/>
          <w:spacing w:val="-1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DRONEDARONE</w:t>
      </w:r>
      <w:r>
        <w:rPr>
          <w:rFonts w:ascii="Arial" w:hAnsi="Arial"/>
          <w:color w:val="231F1F"/>
          <w:spacing w:val="3"/>
          <w:w w:val="110"/>
        </w:rPr>
        <w:t>—</w:t>
      </w:r>
      <w:r>
        <w:rPr>
          <w:color w:val="231F1F"/>
          <w:spacing w:val="3"/>
          <w:w w:val="110"/>
        </w:rPr>
        <w:t>avoid</w:t>
      </w:r>
      <w:r>
        <w:rPr>
          <w:color w:val="231F1F"/>
          <w:spacing w:val="-13"/>
          <w:w w:val="110"/>
        </w:rPr>
        <w:t> </w:t>
      </w:r>
      <w:r>
        <w:rPr>
          <w:color w:val="231F1F"/>
          <w:w w:val="110"/>
        </w:rPr>
        <w:t>concomitant</w:t>
      </w:r>
      <w:r>
        <w:rPr>
          <w:color w:val="231F1F"/>
          <w:spacing w:val="-13"/>
          <w:w w:val="110"/>
        </w:rPr>
        <w:t> </w:t>
      </w:r>
      <w:r>
        <w:rPr>
          <w:color w:val="231F1F"/>
          <w:w w:val="110"/>
        </w:rPr>
        <w:t>use</w:t>
      </w:r>
    </w:p>
    <w:p>
      <w:pPr>
        <w:pStyle w:val="BodyText"/>
        <w:spacing w:line="242" w:lineRule="auto"/>
        <w:ind w:left="286" w:right="33" w:hanging="100"/>
      </w:pPr>
      <w:r>
        <w:rPr>
          <w:rFonts w:ascii="Arial"/>
          <w:color w:val="231F1F"/>
          <w:w w:val="355"/>
          <w:position w:val="1"/>
          <w:sz w:val="7"/>
        </w:rPr>
        <w:t>l </w:t>
      </w:r>
      <w:r>
        <w:rPr>
          <w:rFonts w:ascii="Calibri"/>
          <w:color w:val="231F1F"/>
          <w:w w:val="110"/>
        </w:rPr>
        <w:t>Antibacterials: </w:t>
      </w:r>
      <w:r>
        <w:rPr>
          <w:color w:val="231F1F"/>
          <w:w w:val="110"/>
        </w:rPr>
        <w:t>plasma concentration of disopyramide</w:t>
      </w:r>
      <w:r>
        <w:rPr>
          <w:color w:val="231F1F"/>
          <w:spacing w:val="-23"/>
          <w:w w:val="110"/>
        </w:rPr>
        <w:t> </w:t>
      </w:r>
      <w:r>
        <w:rPr>
          <w:color w:val="231F1F"/>
          <w:w w:val="110"/>
        </w:rPr>
        <w:t>possibly increased by </w:t>
      </w:r>
      <w:r>
        <w:rPr>
          <w:rFonts w:ascii="Arial"/>
          <w:color w:val="231F1F"/>
          <w:w w:val="355"/>
          <w:position w:val="1"/>
          <w:sz w:val="7"/>
        </w:rPr>
        <w:t>l </w:t>
      </w:r>
      <w:r>
        <w:rPr>
          <w:rFonts w:ascii="Calibri"/>
          <w:color w:val="008356"/>
          <w:spacing w:val="4"/>
          <w:w w:val="110"/>
          <w:sz w:val="11"/>
        </w:rPr>
        <w:t>AZITHROMYCIN </w:t>
      </w:r>
      <w:r>
        <w:rPr>
          <w:color w:val="231F1F"/>
          <w:w w:val="110"/>
        </w:rPr>
        <w:t>(increased risk of toxicity); plasma concentration of disopyramide possibly increased by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CLARITHROMYCIN</w:t>
      </w:r>
      <w:r>
        <w:rPr>
          <w:rFonts w:ascii="Calibri"/>
          <w:color w:val="008356"/>
          <w:spacing w:val="5"/>
          <w:w w:val="110"/>
          <w:sz w:val="11"/>
        </w:rPr>
        <w:t> </w:t>
      </w:r>
      <w:r>
        <w:rPr>
          <w:color w:val="231F1F"/>
          <w:w w:val="110"/>
        </w:rPr>
        <w:t>(increased</w:t>
      </w:r>
      <w:r>
        <w:rPr>
          <w:color w:val="231F1F"/>
          <w:spacing w:val="-7"/>
          <w:w w:val="110"/>
        </w:rPr>
        <w:t> </w:t>
      </w:r>
      <w:r>
        <w:rPr>
          <w:color w:val="231F1F"/>
          <w:w w:val="110"/>
        </w:rPr>
        <w:t>risk</w:t>
      </w:r>
      <w:r>
        <w:rPr>
          <w:color w:val="231F1F"/>
          <w:spacing w:val="-6"/>
          <w:w w:val="110"/>
        </w:rPr>
        <w:t> </w:t>
      </w:r>
      <w:r>
        <w:rPr>
          <w:color w:val="231F1F"/>
          <w:w w:val="110"/>
        </w:rPr>
        <w:t>of</w:t>
      </w:r>
      <w:r>
        <w:rPr>
          <w:color w:val="231F1F"/>
          <w:spacing w:val="-6"/>
          <w:w w:val="110"/>
        </w:rPr>
        <w:t> </w:t>
      </w:r>
      <w:r>
        <w:rPr>
          <w:color w:val="231F1F"/>
          <w:w w:val="110"/>
        </w:rPr>
        <w:t>ventricular</w:t>
      </w:r>
      <w:r>
        <w:rPr>
          <w:color w:val="231F1F"/>
          <w:spacing w:val="-7"/>
          <w:w w:val="110"/>
        </w:rPr>
        <w:t> </w:t>
      </w:r>
      <w:r>
        <w:rPr>
          <w:color w:val="231F1F"/>
          <w:w w:val="110"/>
        </w:rPr>
        <w:t>arrhythmias); plasma concentration of disopyramide increased</w:t>
      </w:r>
      <w:r>
        <w:rPr>
          <w:color w:val="231F1F"/>
          <w:spacing w:val="7"/>
          <w:w w:val="110"/>
        </w:rPr>
        <w:t> </w:t>
      </w:r>
      <w:r>
        <w:rPr>
          <w:color w:val="231F1F"/>
          <w:w w:val="110"/>
        </w:rPr>
        <w:t>by</w:t>
      </w:r>
    </w:p>
    <w:p>
      <w:pPr>
        <w:pStyle w:val="BodyText"/>
        <w:spacing w:before="4"/>
        <w:ind w:left="286" w:right="86"/>
      </w:pP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ERYTHROMYCIN</w:t>
      </w:r>
      <w:r>
        <w:rPr>
          <w:rFonts w:ascii="Calibri"/>
          <w:color w:val="008356"/>
          <w:spacing w:val="5"/>
          <w:w w:val="110"/>
          <w:sz w:val="11"/>
        </w:rPr>
        <w:t> </w:t>
      </w:r>
      <w:r>
        <w:rPr>
          <w:color w:val="231F1F"/>
          <w:w w:val="110"/>
        </w:rPr>
        <w:t>(increased</w:t>
      </w:r>
      <w:r>
        <w:rPr>
          <w:color w:val="231F1F"/>
          <w:spacing w:val="-6"/>
          <w:w w:val="110"/>
        </w:rPr>
        <w:t> </w:t>
      </w:r>
      <w:r>
        <w:rPr>
          <w:color w:val="231F1F"/>
          <w:w w:val="110"/>
        </w:rPr>
        <w:t>risk</w:t>
      </w:r>
      <w:r>
        <w:rPr>
          <w:color w:val="231F1F"/>
          <w:spacing w:val="-7"/>
          <w:w w:val="110"/>
        </w:rPr>
        <w:t> </w:t>
      </w:r>
      <w:r>
        <w:rPr>
          <w:color w:val="231F1F"/>
          <w:w w:val="110"/>
        </w:rPr>
        <w:t>of</w:t>
      </w:r>
      <w:r>
        <w:rPr>
          <w:color w:val="231F1F"/>
          <w:spacing w:val="-5"/>
          <w:w w:val="110"/>
        </w:rPr>
        <w:t> </w:t>
      </w:r>
      <w:r>
        <w:rPr>
          <w:color w:val="231F1F"/>
          <w:w w:val="110"/>
        </w:rPr>
        <w:t>toxicity);</w:t>
      </w:r>
      <w:r>
        <w:rPr>
          <w:color w:val="231F1F"/>
          <w:spacing w:val="-7"/>
          <w:w w:val="110"/>
        </w:rPr>
        <w:t> </w:t>
      </w:r>
      <w:r>
        <w:rPr>
          <w:color w:val="231F1F"/>
          <w:w w:val="110"/>
        </w:rPr>
        <w:t>increased</w:t>
      </w:r>
      <w:r>
        <w:rPr>
          <w:color w:val="231F1F"/>
          <w:spacing w:val="-6"/>
          <w:w w:val="110"/>
        </w:rPr>
        <w:t> </w:t>
      </w:r>
      <w:r>
        <w:rPr>
          <w:color w:val="231F1F"/>
          <w:w w:val="110"/>
        </w:rPr>
        <w:t>risk</w:t>
      </w:r>
      <w:r>
        <w:rPr>
          <w:color w:val="231F1F"/>
          <w:spacing w:val="-6"/>
          <w:w w:val="110"/>
        </w:rPr>
        <w:t> of </w:t>
      </w:r>
      <w:r>
        <w:rPr>
          <w:color w:val="231F1F"/>
          <w:w w:val="110"/>
        </w:rPr>
        <w:t>ventricular arrhythmias when disopyramide given</w:t>
      </w:r>
      <w:r>
        <w:rPr>
          <w:color w:val="231F1F"/>
          <w:spacing w:val="18"/>
          <w:w w:val="110"/>
        </w:rPr>
        <w:t> </w:t>
      </w:r>
      <w:r>
        <w:rPr>
          <w:color w:val="231F1F"/>
          <w:w w:val="110"/>
        </w:rPr>
        <w:t>with</w:t>
      </w:r>
    </w:p>
    <w:p>
      <w:pPr>
        <w:pStyle w:val="BodyText"/>
        <w:spacing w:before="7"/>
        <w:ind w:left="286" w:right="217"/>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w:t>
      </w:r>
      <w:r>
        <w:rPr>
          <w:color w:val="231F1F"/>
          <w:spacing w:val="-7"/>
          <w:w w:val="110"/>
        </w:rPr>
        <w:t> </w:t>
      </w:r>
      <w:r>
        <w:rPr>
          <w:color w:val="231F1F"/>
          <w:w w:val="110"/>
        </w:rPr>
        <w:t>concomitant</w:t>
      </w:r>
      <w:r>
        <w:rPr>
          <w:color w:val="231F1F"/>
          <w:spacing w:val="-7"/>
          <w:w w:val="110"/>
        </w:rPr>
        <w:t> </w:t>
      </w:r>
      <w:r>
        <w:rPr>
          <w:color w:val="231F1F"/>
          <w:w w:val="110"/>
        </w:rPr>
        <w:t>use;</w:t>
      </w:r>
      <w:r>
        <w:rPr>
          <w:color w:val="231F1F"/>
          <w:spacing w:val="-4"/>
          <w:w w:val="110"/>
        </w:rPr>
        <w:t> </w:t>
      </w:r>
      <w:r>
        <w:rPr>
          <w:color w:val="231F1F"/>
          <w:w w:val="110"/>
        </w:rPr>
        <w:t>increased</w:t>
      </w:r>
      <w:r>
        <w:rPr>
          <w:color w:val="231F1F"/>
          <w:spacing w:val="-7"/>
          <w:w w:val="110"/>
        </w:rPr>
        <w:t> </w:t>
      </w:r>
      <w:r>
        <w:rPr>
          <w:color w:val="231F1F"/>
          <w:w w:val="110"/>
        </w:rPr>
        <w:t>risk</w:t>
      </w:r>
      <w:r>
        <w:rPr>
          <w:color w:val="231F1F"/>
          <w:spacing w:val="-5"/>
          <w:w w:val="110"/>
        </w:rPr>
        <w:t> </w:t>
      </w:r>
      <w:r>
        <w:rPr>
          <w:color w:val="231F1F"/>
          <w:w w:val="110"/>
        </w:rPr>
        <w:t>of ventricular arrhythmias when disopyramide given with</w:t>
      </w:r>
    </w:p>
    <w:p>
      <w:pPr>
        <w:spacing w:before="7"/>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DELAMANID</w:t>
      </w:r>
      <w:r>
        <w:rPr>
          <w:color w:val="231F1F"/>
          <w:spacing w:val="4"/>
          <w:w w:val="110"/>
          <w:sz w:val="12"/>
        </w:rPr>
        <w:t>; </w:t>
      </w:r>
      <w:r>
        <w:rPr>
          <w:color w:val="231F1F"/>
          <w:w w:val="110"/>
          <w:sz w:val="12"/>
        </w:rPr>
        <w:t>metabolism of disopyramide accelerated by</w:t>
      </w:r>
    </w:p>
    <w:p>
      <w:pPr>
        <w:pStyle w:val="BodyText"/>
        <w:spacing w:line="247" w:lineRule="auto" w:before="2"/>
        <w:ind w:left="286" w:hanging="1"/>
        <w:rPr>
          <w:rFonts w:ascii="Calibri"/>
          <w:sz w:val="11"/>
        </w:rPr>
      </w:pPr>
      <w:r>
        <w:rPr>
          <w:rFonts w:ascii="Arial"/>
          <w:color w:val="231F1F"/>
          <w:w w:val="355"/>
          <w:position w:val="1"/>
          <w:sz w:val="7"/>
        </w:rPr>
        <w:t>l </w:t>
      </w:r>
      <w:r>
        <w:rPr>
          <w:rFonts w:ascii="Calibri"/>
          <w:color w:val="008356"/>
          <w:spacing w:val="3"/>
          <w:w w:val="110"/>
          <w:sz w:val="11"/>
        </w:rPr>
        <w:t>RIFAMYCINS </w:t>
      </w:r>
      <w:r>
        <w:rPr>
          <w:color w:val="231F1F"/>
          <w:w w:val="110"/>
        </w:rPr>
        <w:t>(reduced plasma concentration); possible increased risk of ventricular arrhythmias when </w:t>
      </w:r>
      <w:r>
        <w:rPr>
          <w:color w:val="231F1F"/>
          <w:spacing w:val="-2"/>
          <w:w w:val="110"/>
        </w:rPr>
        <w:t>disopyramide </w:t>
      </w:r>
      <w:r>
        <w:rPr>
          <w:color w:val="231F1F"/>
          <w:w w:val="110"/>
        </w:rPr>
        <w:t>given with </w:t>
      </w:r>
      <w:r>
        <w:rPr>
          <w:rFonts w:ascii="Arial"/>
          <w:color w:val="231F1F"/>
          <w:w w:val="355"/>
          <w:position w:val="1"/>
          <w:sz w:val="7"/>
        </w:rPr>
        <w:t>l </w:t>
      </w:r>
      <w:r>
        <w:rPr>
          <w:rFonts w:ascii="Calibri"/>
          <w:color w:val="008356"/>
          <w:spacing w:val="4"/>
          <w:w w:val="110"/>
          <w:sz w:val="11"/>
        </w:rPr>
        <w:t>TELITHROMYCIN</w:t>
      </w:r>
    </w:p>
    <w:p>
      <w:pPr>
        <w:pStyle w:val="BodyText"/>
        <w:spacing w:line="220" w:lineRule="auto" w:before="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disopyramide may enhance or reduce anticoagulant effect of </w:t>
      </w:r>
      <w:r>
        <w:rPr>
          <w:rFonts w:ascii="Calibri" w:hAnsi="Calibri"/>
          <w:color w:val="008356"/>
          <w:w w:val="105"/>
          <w:sz w:val="11"/>
        </w:rPr>
        <w:t>WARFARIN</w:t>
      </w:r>
    </w:p>
    <w:p>
      <w:pPr>
        <w:pStyle w:val="BodyText"/>
        <w:spacing w:line="242" w:lineRule="auto" w:before="1"/>
        <w:ind w:left="286" w:right="196"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avoidance of disopyramide advised by manufacturer</w:t>
      </w:r>
      <w:r>
        <w:rPr>
          <w:color w:val="231F1F"/>
          <w:spacing w:val="-14"/>
          <w:w w:val="110"/>
        </w:rPr>
        <w:t> </w:t>
      </w:r>
      <w:r>
        <w:rPr>
          <w:color w:val="231F1F"/>
          <w:w w:val="110"/>
        </w:rPr>
        <w:t>of</w:t>
      </w:r>
      <w:r>
        <w:rPr>
          <w:color w:val="231F1F"/>
          <w:spacing w:val="-12"/>
          <w:w w:val="110"/>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CITALOPRAM</w:t>
      </w:r>
      <w:r>
        <w:rPr>
          <w:rFonts w:ascii="Calibri"/>
          <w:color w:val="008356"/>
          <w:spacing w:val="-3"/>
          <w:w w:val="110"/>
          <w:sz w:val="11"/>
        </w:rPr>
        <w:t> </w:t>
      </w:r>
      <w:r>
        <w:rPr>
          <w:color w:val="231F1F"/>
          <w:w w:val="110"/>
        </w:rPr>
        <w:t>and</w:t>
      </w:r>
      <w:r>
        <w:rPr>
          <w:color w:val="231F1F"/>
          <w:spacing w:val="-13"/>
          <w:w w:val="110"/>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ESCITALOPRAM</w:t>
      </w:r>
      <w:r>
        <w:rPr>
          <w:rFonts w:ascii="Calibri"/>
          <w:color w:val="008356"/>
          <w:spacing w:val="-4"/>
          <w:w w:val="110"/>
          <w:sz w:val="11"/>
        </w:rPr>
        <w:t> </w:t>
      </w:r>
      <w:r>
        <w:rPr>
          <w:color w:val="231F1F"/>
          <w:w w:val="110"/>
        </w:rPr>
        <w:t>(risk</w:t>
      </w:r>
      <w:r>
        <w:rPr>
          <w:color w:val="231F1F"/>
          <w:spacing w:val="-12"/>
          <w:w w:val="110"/>
        </w:rPr>
        <w:t> </w:t>
      </w:r>
      <w:r>
        <w:rPr>
          <w:color w:val="231F1F"/>
          <w:w w:val="110"/>
        </w:rPr>
        <w:t>of ventricular arrhythmias); increased risk of ventricular arrhythmias when disopyramide given with </w:t>
      </w:r>
      <w:r>
        <w:rPr>
          <w:rFonts w:ascii="Arial"/>
          <w:color w:val="231F1F"/>
          <w:w w:val="355"/>
          <w:position w:val="1"/>
          <w:sz w:val="7"/>
        </w:rPr>
        <w:t>l</w:t>
      </w:r>
      <w:r>
        <w:rPr>
          <w:rFonts w:ascii="Arial"/>
          <w:color w:val="231F1F"/>
          <w:spacing w:val="-35"/>
          <w:w w:val="355"/>
          <w:position w:val="1"/>
          <w:sz w:val="7"/>
        </w:rPr>
        <w:t> </w:t>
      </w:r>
      <w:r>
        <w:rPr>
          <w:rFonts w:ascii="Calibri"/>
          <w:color w:val="008356"/>
          <w:spacing w:val="4"/>
          <w:w w:val="110"/>
          <w:sz w:val="11"/>
        </w:rPr>
        <w:t>TRICYCLICS</w:t>
      </w:r>
    </w:p>
    <w:p>
      <w:pPr>
        <w:spacing w:line="220" w:lineRule="auto" w:before="7"/>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Antidiabetics: </w:t>
      </w:r>
      <w:r>
        <w:rPr>
          <w:color w:val="231F1F"/>
          <w:w w:val="105"/>
          <w:sz w:val="12"/>
        </w:rPr>
        <w:t>disopyramide possibly enhances hypoglycaemic effect of </w:t>
      </w:r>
      <w:r>
        <w:rPr>
          <w:rFonts w:ascii="Calibri" w:hAnsi="Calibri"/>
          <w:color w:val="008356"/>
          <w:w w:val="105"/>
          <w:sz w:val="11"/>
        </w:rPr>
        <w:t>GLICLAZIDE</w:t>
      </w:r>
      <w:r>
        <w:rPr>
          <w:color w:val="231F1F"/>
          <w:w w:val="105"/>
          <w:sz w:val="12"/>
        </w:rPr>
        <w:t>, </w:t>
      </w:r>
      <w:r>
        <w:rPr>
          <w:rFonts w:ascii="Calibri" w:hAnsi="Calibri"/>
          <w:color w:val="008356"/>
          <w:w w:val="105"/>
          <w:sz w:val="11"/>
        </w:rPr>
        <w:t>INSULIN </w:t>
      </w:r>
      <w:r>
        <w:rPr>
          <w:color w:val="231F1F"/>
          <w:w w:val="105"/>
          <w:sz w:val="12"/>
        </w:rPr>
        <w:t>and </w:t>
      </w:r>
      <w:r>
        <w:rPr>
          <w:rFonts w:ascii="Calibri" w:hAnsi="Calibri"/>
          <w:color w:val="008356"/>
          <w:w w:val="105"/>
          <w:sz w:val="11"/>
        </w:rPr>
        <w:t>METFORMIN</w:t>
      </w:r>
    </w:p>
    <w:p>
      <w:pPr>
        <w:spacing w:line="235" w:lineRule="auto" w:before="1"/>
        <w:ind w:left="286" w:right="92"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disopyramide reduced by </w:t>
      </w:r>
      <w:r>
        <w:rPr>
          <w:rFonts w:ascii="Calibri" w:hAnsi="Calibri"/>
          <w:color w:val="008356"/>
          <w:spacing w:val="4"/>
          <w:w w:val="105"/>
          <w:sz w:val="11"/>
        </w:rPr>
        <w:t>FOSPHENYTOIN  </w:t>
      </w:r>
      <w:r>
        <w:rPr>
          <w:color w:val="231F1F"/>
          <w:w w:val="105"/>
          <w:sz w:val="12"/>
        </w:rPr>
        <w:t>and </w:t>
      </w:r>
      <w:r>
        <w:rPr>
          <w:rFonts w:ascii="Calibri" w:hAnsi="Calibri"/>
          <w:color w:val="008356"/>
          <w:spacing w:val="4"/>
          <w:w w:val="105"/>
          <w:sz w:val="11"/>
        </w:rPr>
        <w:t>PHENYTOIN</w:t>
      </w:r>
      <w:r>
        <w:rPr>
          <w:color w:val="231F1F"/>
          <w:spacing w:val="4"/>
          <w:w w:val="105"/>
          <w:sz w:val="12"/>
        </w:rPr>
        <w:t>; </w:t>
      </w:r>
      <w:r>
        <w:rPr>
          <w:color w:val="231F1F"/>
          <w:w w:val="105"/>
          <w:sz w:val="12"/>
        </w:rPr>
        <w:t>metabolism of disopyramide accelerated by </w:t>
      </w:r>
      <w:r>
        <w:rPr>
          <w:rFonts w:ascii="Calibri" w:hAnsi="Calibri"/>
          <w:color w:val="008356"/>
          <w:spacing w:val="4"/>
          <w:w w:val="105"/>
          <w:sz w:val="11"/>
        </w:rPr>
        <w:t>PHENOBARBITAL </w:t>
      </w:r>
      <w:r>
        <w:rPr>
          <w:color w:val="231F1F"/>
          <w:w w:val="105"/>
          <w:sz w:val="12"/>
        </w:rPr>
        <w:t>and </w:t>
      </w:r>
      <w:r>
        <w:rPr>
          <w:rFonts w:ascii="Calibri" w:hAnsi="Calibri"/>
          <w:color w:val="008356"/>
          <w:spacing w:val="4"/>
          <w:w w:val="105"/>
          <w:sz w:val="11"/>
        </w:rPr>
        <w:t>PRIMIDONE </w:t>
      </w:r>
      <w:r>
        <w:rPr>
          <w:color w:val="231F1F"/>
          <w:w w:val="105"/>
          <w:sz w:val="12"/>
        </w:rPr>
        <w:t>(reduced plasma</w:t>
      </w:r>
      <w:r>
        <w:rPr>
          <w:color w:val="231F1F"/>
          <w:spacing w:val="4"/>
          <w:w w:val="105"/>
          <w:sz w:val="12"/>
        </w:rPr>
        <w:t> </w:t>
      </w:r>
      <w:r>
        <w:rPr>
          <w:color w:val="231F1F"/>
          <w:w w:val="105"/>
          <w:sz w:val="12"/>
        </w:rPr>
        <w:t>concentration)</w:t>
      </w:r>
    </w:p>
    <w:p>
      <w:pPr>
        <w:pStyle w:val="BodyText"/>
        <w:spacing w:before="3"/>
        <w:ind w:left="286" w:right="-5" w:hanging="100"/>
      </w:pPr>
      <w:r>
        <w:rPr>
          <w:rFonts w:ascii="Arial" w:hAnsi="Arial"/>
          <w:color w:val="231F1F"/>
          <w:w w:val="355"/>
          <w:position w:val="1"/>
          <w:sz w:val="7"/>
        </w:rPr>
        <w:t>l </w:t>
      </w:r>
      <w:r>
        <w:rPr>
          <w:rFonts w:ascii="Calibri" w:hAnsi="Calibri"/>
          <w:color w:val="231F1F"/>
          <w:w w:val="110"/>
        </w:rPr>
        <w:t>Antifungals: </w:t>
      </w:r>
      <w:r>
        <w:rPr>
          <w:color w:val="231F1F"/>
          <w:w w:val="110"/>
        </w:rPr>
        <w:t>increased risk of ventricular arrhythmias when disopyramide</w:t>
      </w:r>
      <w:r>
        <w:rPr>
          <w:color w:val="231F1F"/>
          <w:spacing w:val="-12"/>
          <w:w w:val="110"/>
        </w:rPr>
        <w:t> </w:t>
      </w:r>
      <w:r>
        <w:rPr>
          <w:color w:val="231F1F"/>
          <w:w w:val="110"/>
        </w:rPr>
        <w:t>given</w:t>
      </w:r>
      <w:r>
        <w:rPr>
          <w:color w:val="231F1F"/>
          <w:spacing w:val="-12"/>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w:t>
      </w:r>
      <w:r>
        <w:rPr>
          <w:color w:val="231F1F"/>
          <w:spacing w:val="-11"/>
          <w:w w:val="110"/>
        </w:rPr>
        <w:t> </w:t>
      </w:r>
      <w:r>
        <w:rPr>
          <w:color w:val="231F1F"/>
          <w:w w:val="110"/>
        </w:rPr>
        <w:t>concomitant use; avoidance of disopyramide advised by manufacturer</w:t>
      </w:r>
      <w:r>
        <w:rPr>
          <w:color w:val="231F1F"/>
          <w:spacing w:val="2"/>
          <w:w w:val="110"/>
        </w:rPr>
        <w:t> </w:t>
      </w:r>
      <w:r>
        <w:rPr>
          <w:color w:val="231F1F"/>
          <w:w w:val="110"/>
        </w:rPr>
        <w:t>of</w:t>
      </w:r>
    </w:p>
    <w:p>
      <w:pPr>
        <w:spacing w:line="133" w:lineRule="exact" w:before="12"/>
        <w:ind w:left="286" w:right="0" w:firstLine="0"/>
        <w:jc w:val="left"/>
        <w:rPr>
          <w:rFonts w:ascii="Calibri"/>
          <w:sz w:val="11"/>
        </w:rPr>
      </w:pPr>
      <w:r>
        <w:rPr>
          <w:rFonts w:ascii="Arial"/>
          <w:color w:val="231F1F"/>
          <w:w w:val="355"/>
          <w:position w:val="1"/>
          <w:sz w:val="7"/>
        </w:rPr>
        <w:t>l </w:t>
      </w:r>
      <w:r>
        <w:rPr>
          <w:rFonts w:ascii="Calibri"/>
          <w:color w:val="008356"/>
          <w:w w:val="115"/>
          <w:sz w:val="11"/>
        </w:rPr>
        <w:t>ITRACONAZOLE</w:t>
      </w:r>
    </w:p>
    <w:p>
      <w:pPr>
        <w:pStyle w:val="BodyText"/>
        <w:ind w:left="286" w:right="3"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Antihistamines:</w:t>
      </w:r>
      <w:r>
        <w:rPr>
          <w:rFonts w:ascii="Calibri" w:hAnsi="Calibri"/>
          <w:color w:val="231F1F"/>
          <w:spacing w:val="-15"/>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spacing w:val="-4"/>
          <w:w w:val="115"/>
        </w:rPr>
        <w:t>when </w:t>
      </w:r>
      <w:r>
        <w:rPr>
          <w:color w:val="231F1F"/>
          <w:w w:val="115"/>
        </w:rPr>
        <w:t>disopyramide</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MIZOLASTINE</w:t>
      </w:r>
      <w:r>
        <w:rPr>
          <w:rFonts w:ascii="Arial" w:hAnsi="Arial"/>
          <w:color w:val="231F1F"/>
          <w:spacing w:val="3"/>
          <w:w w:val="115"/>
        </w:rPr>
        <w:t>—</w:t>
      </w:r>
      <w:r>
        <w:rPr>
          <w:color w:val="231F1F"/>
          <w:spacing w:val="3"/>
          <w:w w:val="115"/>
        </w:rPr>
        <w:t>avoid</w:t>
      </w:r>
      <w:r>
        <w:rPr>
          <w:color w:val="231F1F"/>
          <w:spacing w:val="-22"/>
          <w:w w:val="115"/>
        </w:rPr>
        <w:t> </w:t>
      </w:r>
      <w:r>
        <w:rPr>
          <w:color w:val="231F1F"/>
          <w:w w:val="115"/>
        </w:rPr>
        <w:t>concomitant use</w:t>
      </w:r>
    </w:p>
    <w:p>
      <w:pPr>
        <w:spacing w:line="244" w:lineRule="auto" w:before="1"/>
        <w:ind w:left="286" w:right="29"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disopyramide advised by manufacturer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ARTEMETHER WITH LUMEFANTRINE </w:t>
      </w:r>
      <w:r>
        <w:rPr>
          <w:color w:val="231F1F"/>
          <w:w w:val="110"/>
          <w:sz w:val="12"/>
        </w:rPr>
        <w:t>(risk of ventricular arrhythmias); avoidance of disopyramide </w:t>
      </w:r>
      <w:r>
        <w:rPr>
          <w:color w:val="231F1F"/>
          <w:spacing w:val="-3"/>
          <w:w w:val="110"/>
          <w:sz w:val="12"/>
        </w:rPr>
        <w:t>advised </w:t>
      </w:r>
      <w:r>
        <w:rPr>
          <w:color w:val="231F1F"/>
          <w:w w:val="110"/>
          <w:sz w:val="12"/>
        </w:rPr>
        <w:t>by manufacturer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4"/>
          <w:w w:val="110"/>
          <w:sz w:val="11"/>
        </w:rPr>
        <w:t>PIPERAQUINE </w:t>
      </w:r>
      <w:r>
        <w:rPr>
          <w:color w:val="231F1F"/>
          <w:w w:val="110"/>
          <w:sz w:val="12"/>
        </w:rPr>
        <w:t>(possible risk of ventricular arrhythmias)</w:t>
      </w:r>
    </w:p>
    <w:p>
      <w:pPr>
        <w:pStyle w:val="BodyText"/>
        <w:spacing w:line="247" w:lineRule="auto"/>
        <w:ind w:left="286" w:right="42" w:hanging="100"/>
        <w:rPr>
          <w:rFonts w:ascii="Calibri"/>
          <w:sz w:val="11"/>
        </w:rPr>
      </w:pPr>
      <w:r>
        <w:rPr>
          <w:rFonts w:ascii="Arial"/>
          <w:color w:val="231F1F"/>
          <w:w w:val="355"/>
          <w:position w:val="1"/>
          <w:sz w:val="7"/>
        </w:rPr>
        <w:t>l </w:t>
      </w:r>
      <w:r>
        <w:rPr>
          <w:rFonts w:ascii="Calibri"/>
          <w:color w:val="231F1F"/>
          <w:w w:val="110"/>
        </w:rPr>
        <w:t>Antimuscarinics: </w:t>
      </w:r>
      <w:r>
        <w:rPr>
          <w:color w:val="231F1F"/>
          <w:w w:val="110"/>
        </w:rPr>
        <w:t>increased risk of antimuscarinic side-effects when disopyramide given with </w:t>
      </w:r>
      <w:r>
        <w:rPr>
          <w:rFonts w:ascii="Calibri"/>
          <w:color w:val="008356"/>
          <w:spacing w:val="4"/>
          <w:w w:val="110"/>
          <w:sz w:val="11"/>
        </w:rPr>
        <w:t>ANTIMUSCARINICS</w:t>
      </w:r>
      <w:r>
        <w:rPr>
          <w:color w:val="231F1F"/>
          <w:spacing w:val="4"/>
          <w:w w:val="110"/>
        </w:rPr>
        <w:t>; </w:t>
      </w:r>
      <w:r>
        <w:rPr>
          <w:color w:val="231F1F"/>
          <w:w w:val="110"/>
        </w:rPr>
        <w:t>increased risk of ventricular arrhythmias when disopyramide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3"/>
          <w:w w:val="110"/>
          <w:sz w:val="11"/>
        </w:rPr>
        <w:t>TOLTERODINE</w:t>
      </w:r>
    </w:p>
    <w:p>
      <w:pPr>
        <w:pStyle w:val="BodyText"/>
        <w:spacing w:line="237" w:lineRule="auto"/>
        <w:ind w:left="286" w:right="36"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9"/>
          <w:w w:val="115"/>
        </w:rPr>
        <w:t> </w:t>
      </w:r>
      <w:r>
        <w:rPr>
          <w:color w:val="231F1F"/>
          <w:w w:val="115"/>
        </w:rPr>
        <w:t>arrhythmias</w:t>
      </w:r>
      <w:r>
        <w:rPr>
          <w:color w:val="231F1F"/>
          <w:spacing w:val="-18"/>
          <w:w w:val="115"/>
        </w:rPr>
        <w:t> </w:t>
      </w:r>
      <w:r>
        <w:rPr>
          <w:color w:val="231F1F"/>
          <w:spacing w:val="-4"/>
          <w:w w:val="115"/>
        </w:rPr>
        <w:t>when </w:t>
      </w:r>
      <w:r>
        <w:rPr>
          <w:color w:val="231F1F"/>
          <w:w w:val="115"/>
        </w:rPr>
        <w:t>anti-arrhythmics that prolong the QT interval given</w:t>
      </w:r>
      <w:r>
        <w:rPr>
          <w:color w:val="231F1F"/>
          <w:spacing w:val="-22"/>
          <w:w w:val="115"/>
        </w:rPr>
        <w:t> </w:t>
      </w:r>
      <w:r>
        <w:rPr>
          <w:color w:val="231F1F"/>
          <w:w w:val="115"/>
        </w:rPr>
        <w:t>with</w:t>
      </w:r>
    </w:p>
    <w:p>
      <w:pPr>
        <w:pStyle w:val="BodyText"/>
        <w:spacing w:line="244" w:lineRule="auto"/>
        <w:ind w:left="286" w:right="31" w:hanging="1"/>
      </w:pP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ANTIPSYCHOTICS</w:t>
      </w:r>
      <w:r>
        <w:rPr>
          <w:rFonts w:ascii="Calibri"/>
          <w:color w:val="008356"/>
          <w:spacing w:val="7"/>
          <w:w w:val="110"/>
          <w:sz w:val="11"/>
        </w:rPr>
        <w:t> </w:t>
      </w:r>
      <w:r>
        <w:rPr>
          <w:color w:val="231F1F"/>
          <w:w w:val="130"/>
        </w:rPr>
        <w:t>that</w:t>
      </w:r>
      <w:r>
        <w:rPr>
          <w:color w:val="231F1F"/>
          <w:spacing w:val="-10"/>
          <w:w w:val="130"/>
        </w:rPr>
        <w:t> </w:t>
      </w:r>
      <w:r>
        <w:rPr>
          <w:color w:val="231F1F"/>
          <w:w w:val="110"/>
        </w:rPr>
        <w:t>prolong</w:t>
      </w:r>
      <w:r>
        <w:rPr>
          <w:color w:val="231F1F"/>
          <w:spacing w:val="-5"/>
          <w:w w:val="110"/>
        </w:rPr>
        <w:t> </w:t>
      </w:r>
      <w:r>
        <w:rPr>
          <w:color w:val="231F1F"/>
          <w:w w:val="110"/>
        </w:rPr>
        <w:t>the</w:t>
      </w:r>
      <w:r>
        <w:rPr>
          <w:color w:val="231F1F"/>
          <w:spacing w:val="-3"/>
          <w:w w:val="110"/>
        </w:rPr>
        <w:t> </w:t>
      </w:r>
      <w:r>
        <w:rPr>
          <w:color w:val="231F1F"/>
          <w:w w:val="110"/>
        </w:rPr>
        <w:t>QT</w:t>
      </w:r>
      <w:r>
        <w:rPr>
          <w:color w:val="231F1F"/>
          <w:spacing w:val="-5"/>
          <w:w w:val="110"/>
        </w:rPr>
        <w:t> </w:t>
      </w:r>
      <w:r>
        <w:rPr>
          <w:color w:val="231F1F"/>
          <w:w w:val="110"/>
        </w:rPr>
        <w:t>interval;</w:t>
      </w:r>
      <w:r>
        <w:rPr>
          <w:color w:val="231F1F"/>
          <w:spacing w:val="-4"/>
          <w:w w:val="110"/>
        </w:rPr>
        <w:t> </w:t>
      </w:r>
      <w:r>
        <w:rPr>
          <w:color w:val="231F1F"/>
          <w:w w:val="110"/>
        </w:rPr>
        <w:t>increased</w:t>
      </w:r>
      <w:r>
        <w:rPr>
          <w:color w:val="231F1F"/>
          <w:spacing w:val="-6"/>
          <w:w w:val="110"/>
        </w:rPr>
        <w:t> </w:t>
      </w:r>
      <w:r>
        <w:rPr>
          <w:color w:val="231F1F"/>
          <w:w w:val="110"/>
        </w:rPr>
        <w:t>risk of ventricular arrhythmias when disopyramide given</w:t>
      </w:r>
      <w:r>
        <w:rPr>
          <w:color w:val="231F1F"/>
          <w:spacing w:val="29"/>
          <w:w w:val="110"/>
        </w:rPr>
        <w:t> </w:t>
      </w:r>
      <w:r>
        <w:rPr>
          <w:color w:val="231F1F"/>
          <w:w w:val="110"/>
        </w:rPr>
        <w:t>with</w:t>
      </w:r>
    </w:p>
    <w:p>
      <w:pPr>
        <w:spacing w:before="0"/>
        <w:ind w:left="286" w:right="0" w:firstLine="0"/>
        <w:jc w:val="left"/>
        <w:rPr>
          <w:sz w:val="12"/>
        </w:rPr>
      </w:pPr>
      <w:r>
        <w:rPr>
          <w:rFonts w:ascii="Arial"/>
          <w:color w:val="231F1F"/>
          <w:w w:val="355"/>
          <w:position w:val="1"/>
          <w:sz w:val="7"/>
        </w:rPr>
        <w:t>l </w:t>
      </w:r>
      <w:r>
        <w:rPr>
          <w:rFonts w:ascii="Calibri"/>
          <w:color w:val="008356"/>
          <w:spacing w:val="4"/>
          <w:w w:val="115"/>
          <w:sz w:val="11"/>
        </w:rPr>
        <w:t>AMISULPRIDE</w:t>
      </w:r>
      <w:r>
        <w:rPr>
          <w:color w:val="231F1F"/>
          <w:spacing w:val="4"/>
          <w:w w:val="115"/>
          <w:sz w:val="12"/>
        </w:rPr>
        <w:t>, </w:t>
      </w:r>
      <w:r>
        <w:rPr>
          <w:rFonts w:ascii="Arial"/>
          <w:color w:val="231F1F"/>
          <w:w w:val="355"/>
          <w:position w:val="1"/>
          <w:sz w:val="7"/>
        </w:rPr>
        <w:t>l </w:t>
      </w:r>
      <w:r>
        <w:rPr>
          <w:rFonts w:ascii="Calibri"/>
          <w:color w:val="008356"/>
          <w:spacing w:val="4"/>
          <w:w w:val="115"/>
          <w:sz w:val="11"/>
        </w:rPr>
        <w:t>DROPERIDOL</w:t>
      </w:r>
      <w:r>
        <w:rPr>
          <w:color w:val="231F1F"/>
          <w:spacing w:val="4"/>
          <w:w w:val="115"/>
          <w:sz w:val="12"/>
        </w:rPr>
        <w:t>, </w:t>
      </w:r>
      <w:r>
        <w:rPr>
          <w:rFonts w:ascii="Arial"/>
          <w:color w:val="231F1F"/>
          <w:w w:val="355"/>
          <w:position w:val="1"/>
          <w:sz w:val="7"/>
        </w:rPr>
        <w:t>l </w:t>
      </w:r>
      <w:r>
        <w:rPr>
          <w:rFonts w:ascii="Calibri"/>
          <w:color w:val="008356"/>
          <w:spacing w:val="4"/>
          <w:w w:val="115"/>
          <w:sz w:val="11"/>
        </w:rPr>
        <w:t>PIMOZIDE </w:t>
      </w:r>
      <w:r>
        <w:rPr>
          <w:color w:val="231F1F"/>
          <w:w w:val="115"/>
          <w:sz w:val="12"/>
        </w:rPr>
        <w:t>or</w:t>
      </w:r>
    </w:p>
    <w:p>
      <w:pPr>
        <w:spacing w:line="247" w:lineRule="auto" w:before="2"/>
        <w:ind w:left="286" w:right="22" w:firstLine="0"/>
        <w:jc w:val="left"/>
        <w:rPr>
          <w:rFonts w:ascii="Calibri" w:hAnsi="Calibri"/>
          <w:sz w:val="11"/>
        </w:rPr>
      </w:pPr>
      <w:r>
        <w:rPr>
          <w:rFonts w:ascii="Arial" w:hAnsi="Arial"/>
          <w:color w:val="231F1F"/>
          <w:w w:val="355"/>
          <w:position w:val="1"/>
          <w:sz w:val="7"/>
        </w:rPr>
        <w:t>l </w:t>
      </w:r>
      <w:r>
        <w:rPr>
          <w:rFonts w:ascii="Calibri" w:hAnsi="Calibri"/>
          <w:color w:val="008356"/>
          <w:spacing w:val="3"/>
          <w:w w:val="110"/>
          <w:sz w:val="11"/>
        </w:rPr>
        <w:t>ZUCLOPENTHIXOL</w:t>
      </w:r>
      <w:r>
        <w:rPr>
          <w:rFonts w:ascii="Arial" w:hAnsi="Arial"/>
          <w:color w:val="231F1F"/>
          <w:spacing w:val="3"/>
          <w:w w:val="110"/>
          <w:sz w:val="12"/>
        </w:rPr>
        <w:t>—</w:t>
      </w:r>
      <w:r>
        <w:rPr>
          <w:color w:val="231F1F"/>
          <w:spacing w:val="3"/>
          <w:w w:val="110"/>
          <w:sz w:val="12"/>
        </w:rPr>
        <w:t>avoid </w:t>
      </w:r>
      <w:r>
        <w:rPr>
          <w:color w:val="231F1F"/>
          <w:w w:val="110"/>
          <w:sz w:val="12"/>
        </w:rPr>
        <w:t>concomitant use; possible increased risk of ventricular arrhythmias when disopyramide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HALOPERIDOL</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of ventricular arrhythmias when disopyramide given </w:t>
      </w:r>
      <w:r>
        <w:rPr>
          <w:color w:val="231F1F"/>
          <w:spacing w:val="-4"/>
          <w:w w:val="110"/>
          <w:sz w:val="12"/>
        </w:rPr>
        <w:t>with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4"/>
          <w:w w:val="110"/>
          <w:sz w:val="11"/>
        </w:rPr>
        <w:t>PHENOTHIAZINES</w:t>
      </w:r>
      <w:r>
        <w:rPr>
          <w:rFonts w:ascii="Calibri" w:hAnsi="Calibri"/>
          <w:color w:val="008356"/>
          <w:spacing w:val="8"/>
          <w:w w:val="110"/>
          <w:sz w:val="11"/>
        </w:rPr>
        <w:t> </w:t>
      </w:r>
      <w:r>
        <w:rPr>
          <w:color w:val="231F1F"/>
          <w:w w:val="110"/>
          <w:sz w:val="12"/>
        </w:rPr>
        <w:t>or</w:t>
      </w:r>
      <w:r>
        <w:rPr>
          <w:color w:val="231F1F"/>
          <w:spacing w:val="-3"/>
          <w:w w:val="110"/>
          <w:sz w:val="12"/>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5"/>
          <w:w w:val="110"/>
          <w:sz w:val="11"/>
        </w:rPr>
        <w:t>SULPIRIDE</w:t>
      </w:r>
    </w:p>
    <w:p>
      <w:pPr>
        <w:pStyle w:val="BodyText"/>
        <w:spacing w:before="9"/>
        <w:ind w:left="0"/>
        <w:rPr>
          <w:rFonts w:ascii="Calibri"/>
          <w:sz w:val="13"/>
        </w:rPr>
      </w:pPr>
      <w:r>
        <w:rPr/>
        <w:br w:type="column"/>
      </w:r>
      <w:r>
        <w:rPr>
          <w:rFonts w:ascii="Calibri"/>
          <w:sz w:val="13"/>
        </w:rPr>
      </w:r>
    </w:p>
    <w:p>
      <w:pPr>
        <w:pStyle w:val="BodyText"/>
        <w:spacing w:line="144" w:lineRule="exact"/>
        <w:ind w:left="182"/>
        <w:rPr>
          <w:rFonts w:ascii="Calibri"/>
        </w:rPr>
      </w:pPr>
      <w:r>
        <w:rPr>
          <w:rFonts w:ascii="Arial"/>
          <w:color w:val="008356"/>
        </w:rPr>
        <w:t>Disopyramide </w:t>
      </w:r>
      <w:r>
        <w:rPr>
          <w:rFonts w:ascii="Calibri"/>
          <w:color w:val="231F1F"/>
        </w:rPr>
        <w:t>(continued)</w:t>
      </w:r>
    </w:p>
    <w:p>
      <w:pPr>
        <w:pStyle w:val="BodyText"/>
        <w:spacing w:line="242" w:lineRule="auto"/>
        <w:ind w:left="282" w:right="611"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disopyramide possibly increased by </w:t>
      </w:r>
      <w:r>
        <w:rPr>
          <w:rFonts w:ascii="Arial" w:hAnsi="Arial"/>
          <w:color w:val="231F1F"/>
          <w:w w:val="355"/>
          <w:position w:val="1"/>
          <w:sz w:val="7"/>
        </w:rPr>
        <w:t>l </w:t>
      </w:r>
      <w:r>
        <w:rPr>
          <w:rFonts w:ascii="Calibri" w:hAnsi="Calibri"/>
          <w:color w:val="008356"/>
          <w:spacing w:val="3"/>
          <w:w w:val="110"/>
          <w:sz w:val="11"/>
        </w:rPr>
        <w:t>RITONAVIR </w:t>
      </w:r>
      <w:r>
        <w:rPr>
          <w:color w:val="231F1F"/>
          <w:w w:val="110"/>
        </w:rPr>
        <w:t>(increased risk of toxicity); increased risk of ventricular arrhythmias when </w:t>
      </w:r>
      <w:r>
        <w:rPr>
          <w:color w:val="231F1F"/>
          <w:spacing w:val="-2"/>
          <w:w w:val="110"/>
        </w:rPr>
        <w:t>disopyramide </w:t>
      </w:r>
      <w:r>
        <w:rPr>
          <w:color w:val="231F1F"/>
          <w:w w:val="110"/>
        </w:rPr>
        <w:t>given 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disopyramide advised by manufacturer of </w:t>
      </w:r>
      <w:r>
        <w:rPr>
          <w:rFonts w:ascii="Arial" w:hAnsi="Arial"/>
          <w:color w:val="231F1F"/>
          <w:w w:val="355"/>
          <w:position w:val="1"/>
          <w:sz w:val="7"/>
        </w:rPr>
        <w:t>l </w:t>
      </w:r>
      <w:r>
        <w:rPr>
          <w:rFonts w:ascii="Calibri" w:hAnsi="Calibri"/>
          <w:color w:val="008356"/>
          <w:spacing w:val="5"/>
          <w:w w:val="110"/>
          <w:sz w:val="11"/>
        </w:rPr>
        <w:t>TELAPREVIR </w:t>
      </w:r>
      <w:r>
        <w:rPr>
          <w:color w:val="231F1F"/>
          <w:w w:val="110"/>
        </w:rPr>
        <w:t>(risk of ventricular arrhythmias)</w:t>
      </w:r>
    </w:p>
    <w:p>
      <w:pPr>
        <w:pStyle w:val="BodyText"/>
        <w:ind w:left="282" w:right="696"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increased risk of ventricular arrhythmias </w:t>
      </w:r>
      <w:r>
        <w:rPr>
          <w:color w:val="231F1F"/>
          <w:spacing w:val="-4"/>
          <w:w w:val="110"/>
        </w:rPr>
        <w:t>when </w:t>
      </w:r>
      <w:r>
        <w:rPr>
          <w:color w:val="231F1F"/>
          <w:w w:val="110"/>
        </w:rPr>
        <w:t>disopyramide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ATOMOXETINE</w:t>
      </w:r>
    </w:p>
    <w:p>
      <w:pPr>
        <w:pStyle w:val="BodyText"/>
        <w:ind w:left="282" w:right="799" w:hanging="100"/>
        <w:jc w:val="both"/>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Beta-blockers:</w:t>
      </w:r>
      <w:r>
        <w:rPr>
          <w:rFonts w:ascii="Calibri"/>
          <w:color w:val="231F1F"/>
          <w:spacing w:val="-13"/>
          <w:w w:val="115"/>
        </w:rPr>
        <w:t> </w:t>
      </w:r>
      <w:r>
        <w:rPr>
          <w:color w:val="231F1F"/>
          <w:w w:val="115"/>
        </w:rPr>
        <w:t>increased</w:t>
      </w:r>
      <w:r>
        <w:rPr>
          <w:color w:val="231F1F"/>
          <w:spacing w:val="-18"/>
          <w:w w:val="115"/>
        </w:rPr>
        <w:t> </w:t>
      </w:r>
      <w:r>
        <w:rPr>
          <w:color w:val="231F1F"/>
          <w:w w:val="115"/>
        </w:rPr>
        <w:t>myocardial</w:t>
      </w:r>
      <w:r>
        <w:rPr>
          <w:color w:val="231F1F"/>
          <w:spacing w:val="-17"/>
          <w:w w:val="115"/>
        </w:rPr>
        <w:t> </w:t>
      </w:r>
      <w:r>
        <w:rPr>
          <w:color w:val="231F1F"/>
          <w:w w:val="115"/>
        </w:rPr>
        <w:t>depression</w:t>
      </w:r>
      <w:r>
        <w:rPr>
          <w:color w:val="231F1F"/>
          <w:spacing w:val="-18"/>
          <w:w w:val="115"/>
        </w:rPr>
        <w:t> </w:t>
      </w:r>
      <w:r>
        <w:rPr>
          <w:color w:val="231F1F"/>
          <w:w w:val="115"/>
        </w:rPr>
        <w:t>when</w:t>
      </w:r>
      <w:r>
        <w:rPr>
          <w:color w:val="231F1F"/>
          <w:spacing w:val="-17"/>
          <w:w w:val="115"/>
        </w:rPr>
        <w:t> </w:t>
      </w:r>
      <w:r>
        <w:rPr>
          <w:color w:val="231F1F"/>
          <w:spacing w:val="-3"/>
          <w:w w:val="115"/>
        </w:rPr>
        <w:t>anti- </w:t>
      </w:r>
      <w:r>
        <w:rPr>
          <w:color w:val="231F1F"/>
          <w:w w:val="115"/>
        </w:rPr>
        <w:t>arrhythmics</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BETA-BLOCKERS</w:t>
      </w:r>
      <w:r>
        <w:rPr>
          <w:color w:val="231F1F"/>
          <w:spacing w:val="4"/>
          <w:w w:val="115"/>
        </w:rPr>
        <w:t>;</w:t>
      </w:r>
      <w:r>
        <w:rPr>
          <w:color w:val="231F1F"/>
          <w:spacing w:val="-20"/>
          <w:w w:val="115"/>
        </w:rPr>
        <w:t> </w:t>
      </w:r>
      <w:r>
        <w:rPr>
          <w:color w:val="231F1F"/>
          <w:w w:val="115"/>
        </w:rPr>
        <w:t>increased</w:t>
      </w:r>
      <w:r>
        <w:rPr>
          <w:color w:val="231F1F"/>
          <w:spacing w:val="-20"/>
          <w:w w:val="115"/>
        </w:rPr>
        <w:t> </w:t>
      </w:r>
      <w:r>
        <w:rPr>
          <w:color w:val="231F1F"/>
          <w:w w:val="115"/>
        </w:rPr>
        <w:t>risk</w:t>
      </w:r>
      <w:r>
        <w:rPr>
          <w:color w:val="231F1F"/>
          <w:spacing w:val="-20"/>
          <w:w w:val="115"/>
        </w:rPr>
        <w:t> </w:t>
      </w:r>
      <w:r>
        <w:rPr>
          <w:color w:val="231F1F"/>
          <w:w w:val="115"/>
        </w:rPr>
        <w:t>of ventricular</w:t>
      </w:r>
      <w:r>
        <w:rPr>
          <w:color w:val="231F1F"/>
          <w:spacing w:val="-7"/>
          <w:w w:val="115"/>
        </w:rPr>
        <w:t> </w:t>
      </w:r>
      <w:r>
        <w:rPr>
          <w:color w:val="231F1F"/>
          <w:w w:val="115"/>
        </w:rPr>
        <w:t>arrhythmias</w:t>
      </w:r>
      <w:r>
        <w:rPr>
          <w:color w:val="231F1F"/>
          <w:spacing w:val="-8"/>
          <w:w w:val="115"/>
        </w:rPr>
        <w:t> </w:t>
      </w:r>
      <w:r>
        <w:rPr>
          <w:color w:val="231F1F"/>
          <w:w w:val="115"/>
        </w:rPr>
        <w:t>when</w:t>
      </w:r>
      <w:r>
        <w:rPr>
          <w:color w:val="231F1F"/>
          <w:spacing w:val="-7"/>
          <w:w w:val="115"/>
        </w:rPr>
        <w:t> </w:t>
      </w:r>
      <w:r>
        <w:rPr>
          <w:color w:val="231F1F"/>
          <w:w w:val="115"/>
        </w:rPr>
        <w:t>disopyramide</w:t>
      </w:r>
      <w:r>
        <w:rPr>
          <w:color w:val="231F1F"/>
          <w:spacing w:val="-8"/>
          <w:w w:val="115"/>
        </w:rPr>
        <w:t> </w:t>
      </w:r>
      <w:r>
        <w:rPr>
          <w:color w:val="231F1F"/>
          <w:w w:val="115"/>
        </w:rPr>
        <w:t>given</w:t>
      </w:r>
      <w:r>
        <w:rPr>
          <w:color w:val="231F1F"/>
          <w:spacing w:val="-6"/>
          <w:w w:val="115"/>
        </w:rPr>
        <w:t> </w:t>
      </w:r>
      <w:r>
        <w:rPr>
          <w:color w:val="231F1F"/>
          <w:w w:val="115"/>
        </w:rPr>
        <w:t>with</w:t>
      </w:r>
    </w:p>
    <w:p>
      <w:pPr>
        <w:spacing w:line="141" w:lineRule="exact" w:before="3"/>
        <w:ind w:left="282" w:right="0" w:firstLine="0"/>
        <w:jc w:val="both"/>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SOTALOL</w:t>
      </w:r>
      <w:r>
        <w:rPr>
          <w:rFonts w:ascii="Arial" w:hAnsi="Arial"/>
          <w:color w:val="231F1F"/>
          <w:w w:val="115"/>
          <w:sz w:val="12"/>
        </w:rPr>
        <w:t>—</w:t>
      </w:r>
      <w:r>
        <w:rPr>
          <w:color w:val="231F1F"/>
          <w:w w:val="115"/>
          <w:sz w:val="12"/>
        </w:rPr>
        <w:t>avoid concomitant use</w:t>
      </w:r>
    </w:p>
    <w:p>
      <w:pPr>
        <w:pStyle w:val="BodyText"/>
        <w:spacing w:line="249" w:lineRule="auto"/>
        <w:ind w:left="282" w:right="969" w:hanging="100"/>
        <w:rPr>
          <w:rFonts w:ascii="Calibri"/>
          <w:sz w:val="11"/>
        </w:rPr>
      </w:pPr>
      <w:r>
        <w:rPr>
          <w:rFonts w:ascii="Arial"/>
          <w:color w:val="231F1F"/>
          <w:w w:val="355"/>
          <w:position w:val="1"/>
          <w:sz w:val="7"/>
        </w:rPr>
        <w:t>l </w:t>
      </w:r>
      <w:r>
        <w:rPr>
          <w:rFonts w:ascii="Calibri"/>
          <w:color w:val="231F1F"/>
          <w:w w:val="110"/>
        </w:rPr>
        <w:t>Calcium-channel Blockers: </w:t>
      </w:r>
      <w:r>
        <w:rPr>
          <w:color w:val="231F1F"/>
          <w:w w:val="110"/>
        </w:rPr>
        <w:t>increased risk of myocardial depression and asystole when disopyramide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VERAPAMIL</w:t>
      </w:r>
    </w:p>
    <w:p>
      <w:pPr>
        <w:pStyle w:val="BodyText"/>
        <w:spacing w:line="139" w:lineRule="exact"/>
        <w:ind w:left="182"/>
      </w:pPr>
      <w:r>
        <w:rPr>
          <w:rFonts w:ascii="Arial"/>
          <w:color w:val="231F1F"/>
          <w:w w:val="355"/>
          <w:position w:val="1"/>
          <w:sz w:val="7"/>
        </w:rPr>
        <w:t>l </w:t>
      </w:r>
      <w:r>
        <w:rPr>
          <w:rFonts w:ascii="Calibri"/>
          <w:color w:val="231F1F"/>
          <w:w w:val="110"/>
        </w:rPr>
        <w:t>Cytotoxics: </w:t>
      </w:r>
      <w:r>
        <w:rPr>
          <w:color w:val="231F1F"/>
          <w:w w:val="110"/>
        </w:rPr>
        <w:t>possible increased risk of ventricular arrhythmias</w:t>
      </w:r>
    </w:p>
    <w:p>
      <w:pPr>
        <w:pStyle w:val="BodyText"/>
        <w:spacing w:line="249" w:lineRule="auto"/>
        <w:ind w:left="282" w:right="614"/>
        <w:rPr>
          <w:rFonts w:ascii="Calibri" w:hAnsi="Calibri"/>
          <w:sz w:val="11"/>
        </w:rPr>
      </w:pPr>
      <w:r>
        <w:rPr>
          <w:color w:val="231F1F"/>
          <w:w w:val="110"/>
        </w:rPr>
        <w:t>when disopyramide given with </w:t>
      </w:r>
      <w:r>
        <w:rPr>
          <w:rFonts w:ascii="Arial" w:hAnsi="Arial"/>
          <w:color w:val="231F1F"/>
          <w:w w:val="355"/>
          <w:position w:val="1"/>
          <w:sz w:val="7"/>
        </w:rPr>
        <w:t>l </w:t>
      </w:r>
      <w:r>
        <w:rPr>
          <w:rFonts w:ascii="Calibri" w:hAnsi="Calibri"/>
          <w:color w:val="008356"/>
          <w:spacing w:val="4"/>
          <w:w w:val="110"/>
          <w:sz w:val="11"/>
        </w:rPr>
        <w:t>BOSUTINIB</w:t>
      </w:r>
      <w:r>
        <w:rPr>
          <w:color w:val="231F1F"/>
          <w:spacing w:val="4"/>
          <w:w w:val="110"/>
        </w:rPr>
        <w:t>; </w:t>
      </w:r>
      <w:r>
        <w:rPr>
          <w:color w:val="231F1F"/>
          <w:w w:val="110"/>
        </w:rPr>
        <w:t>possible increased risk of ventricular arrhythmias when disopyramide given with </w:t>
      </w:r>
      <w:r>
        <w:rPr>
          <w:rFonts w:ascii="Arial" w:hAnsi="Arial"/>
          <w:color w:val="231F1F"/>
          <w:w w:val="355"/>
          <w:position w:val="1"/>
          <w:sz w:val="7"/>
        </w:rPr>
        <w:t>l </w:t>
      </w:r>
      <w:r>
        <w:rPr>
          <w:rFonts w:ascii="Calibri" w:hAnsi="Calibri"/>
          <w:color w:val="008356"/>
          <w:spacing w:val="2"/>
          <w:w w:val="110"/>
          <w:sz w:val="11"/>
        </w:rPr>
        <w:t>VANDETANIB</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disopyramide given </w:t>
      </w:r>
      <w:r>
        <w:rPr>
          <w:color w:val="231F1F"/>
          <w:spacing w:val="-4"/>
          <w:w w:val="110"/>
        </w:rPr>
        <w:t>with  </w:t>
      </w: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4"/>
          <w:w w:val="110"/>
          <w:sz w:val="11"/>
        </w:rPr>
        <w:t>ARSENIC TRIOXIDE</w:t>
      </w:r>
    </w:p>
    <w:p>
      <w:pPr>
        <w:pStyle w:val="BodyText"/>
        <w:spacing w:line="138" w:lineRule="exact"/>
        <w:ind w:left="182"/>
      </w:pPr>
      <w:r>
        <w:rPr>
          <w:rFonts w:ascii="Arial"/>
          <w:color w:val="231F1F"/>
          <w:w w:val="355"/>
          <w:position w:val="1"/>
          <w:sz w:val="7"/>
        </w:rPr>
        <w:t>l </w:t>
      </w:r>
      <w:r>
        <w:rPr>
          <w:rFonts w:ascii="Calibri"/>
          <w:color w:val="231F1F"/>
          <w:w w:val="115"/>
        </w:rPr>
        <w:t>Diuretics: </w:t>
      </w:r>
      <w:r>
        <w:rPr>
          <w:color w:val="231F1F"/>
          <w:w w:val="115"/>
        </w:rPr>
        <w:t>increased cardiac toxicity with disopyramide if</w:t>
      </w:r>
    </w:p>
    <w:p>
      <w:pPr>
        <w:spacing w:before="0"/>
        <w:ind w:left="282" w:right="0" w:firstLine="0"/>
        <w:jc w:val="left"/>
        <w:rPr>
          <w:rFonts w:ascii="Calibri"/>
          <w:sz w:val="11"/>
        </w:rPr>
      </w:pPr>
      <w:r>
        <w:rPr>
          <w:color w:val="231F1F"/>
          <w:w w:val="110"/>
          <w:sz w:val="12"/>
        </w:rPr>
        <w:t>hypokalaemia occurs with </w:t>
      </w:r>
      <w:r>
        <w:rPr>
          <w:rFonts w:ascii="Arial"/>
          <w:color w:val="231F1F"/>
          <w:w w:val="355"/>
          <w:position w:val="1"/>
          <w:sz w:val="7"/>
        </w:rPr>
        <w:t>l </w:t>
      </w:r>
      <w:r>
        <w:rPr>
          <w:rFonts w:ascii="Calibri"/>
          <w:color w:val="008356"/>
          <w:w w:val="110"/>
          <w:sz w:val="11"/>
        </w:rPr>
        <w:t>ACETAZOLAMIDE</w:t>
      </w:r>
      <w:r>
        <w:rPr>
          <w:color w:val="231F1F"/>
          <w:w w:val="110"/>
          <w:sz w:val="12"/>
        </w:rPr>
        <w:t>, </w:t>
      </w:r>
      <w:r>
        <w:rPr>
          <w:rFonts w:ascii="Arial"/>
          <w:color w:val="231F1F"/>
          <w:w w:val="355"/>
          <w:position w:val="1"/>
          <w:sz w:val="7"/>
        </w:rPr>
        <w:t>l </w:t>
      </w:r>
      <w:r>
        <w:rPr>
          <w:rFonts w:ascii="Calibri"/>
          <w:color w:val="008356"/>
          <w:w w:val="110"/>
          <w:sz w:val="11"/>
        </w:rPr>
        <w:t>LOOP DIURETICS</w:t>
      </w:r>
    </w:p>
    <w:p>
      <w:pPr>
        <w:spacing w:line="141" w:lineRule="exact" w:before="0"/>
        <w:ind w:left="282" w:right="0" w:firstLine="0"/>
        <w:jc w:val="left"/>
        <w:rPr>
          <w:rFonts w:ascii="Calibri"/>
          <w:sz w:val="11"/>
        </w:rPr>
      </w:pPr>
      <w:r>
        <w:rPr>
          <w:color w:val="231F1F"/>
          <w:w w:val="110"/>
          <w:sz w:val="12"/>
        </w:rPr>
        <w:t>or </w:t>
      </w:r>
      <w:r>
        <w:rPr>
          <w:rFonts w:ascii="Arial"/>
          <w:color w:val="231F1F"/>
          <w:w w:val="355"/>
          <w:position w:val="1"/>
          <w:sz w:val="7"/>
        </w:rPr>
        <w:t>l </w:t>
      </w:r>
      <w:r>
        <w:rPr>
          <w:rFonts w:ascii="Calibri"/>
          <w:color w:val="008356"/>
          <w:w w:val="110"/>
          <w:sz w:val="11"/>
        </w:rPr>
        <w:t>THIAZIDES AND RELATED DIURETICS</w:t>
      </w:r>
    </w:p>
    <w:p>
      <w:pPr>
        <w:pStyle w:val="BodyText"/>
        <w:ind w:left="282" w:right="672" w:hanging="100"/>
        <w:rPr>
          <w:rFonts w:ascii="Calibri"/>
          <w:sz w:val="11"/>
        </w:rPr>
      </w:pPr>
      <w:r>
        <w:rPr>
          <w:rFonts w:ascii="Arial"/>
          <w:color w:val="231F1F"/>
          <w:w w:val="355"/>
          <w:position w:val="1"/>
          <w:sz w:val="7"/>
        </w:rPr>
        <w:t>l</w:t>
      </w:r>
      <w:r>
        <w:rPr>
          <w:rFonts w:ascii="Arial"/>
          <w:color w:val="231F1F"/>
          <w:spacing w:val="-26"/>
          <w:w w:val="355"/>
          <w:position w:val="1"/>
          <w:sz w:val="7"/>
        </w:rPr>
        <w:t> </w:t>
      </w:r>
      <w:r>
        <w:rPr>
          <w:rFonts w:ascii="Calibri"/>
          <w:color w:val="231F1F"/>
          <w:w w:val="110"/>
        </w:rPr>
        <w:t>Fingolimod: </w:t>
      </w:r>
      <w:r>
        <w:rPr>
          <w:color w:val="231F1F"/>
          <w:w w:val="110"/>
        </w:rPr>
        <w:t>possible increased risk of bradycardia </w:t>
      </w:r>
      <w:r>
        <w:rPr>
          <w:color w:val="231F1F"/>
          <w:spacing w:val="-4"/>
          <w:w w:val="110"/>
        </w:rPr>
        <w:t>when </w:t>
      </w:r>
      <w:r>
        <w:rPr>
          <w:color w:val="231F1F"/>
          <w:w w:val="110"/>
        </w:rPr>
        <w:t>disopyramide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5"/>
          <w:w w:val="110"/>
          <w:sz w:val="11"/>
        </w:rPr>
        <w:t>FINGOLIMOD</w:t>
      </w:r>
    </w:p>
    <w:p>
      <w:pPr>
        <w:pStyle w:val="BodyText"/>
        <w:ind w:left="282" w:right="816" w:hanging="100"/>
        <w:jc w:val="both"/>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t>
      </w:r>
      <w:r>
        <w:rPr>
          <w:color w:val="231F1F"/>
          <w:spacing w:val="-4"/>
          <w:w w:val="110"/>
        </w:rPr>
        <w:t>when </w:t>
      </w:r>
      <w:r>
        <w:rPr>
          <w:color w:val="231F1F"/>
          <w:w w:val="110"/>
        </w:rPr>
        <w:t>disopyramide given with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IVABRADINE</w:t>
      </w:r>
    </w:p>
    <w:p>
      <w:pPr>
        <w:pStyle w:val="BodyText"/>
        <w:spacing w:line="230" w:lineRule="auto"/>
        <w:ind w:left="282" w:right="626" w:hanging="100"/>
      </w:pPr>
      <w:r>
        <w:rPr>
          <w:rFonts w:ascii="Lucida Sans Unicode" w:hAnsi="Lucida Sans Unicode"/>
          <w:color w:val="A7A8AC"/>
          <w:w w:val="95"/>
          <w:sz w:val="10"/>
        </w:rPr>
        <w:t>▶ </w:t>
      </w:r>
      <w:r>
        <w:rPr>
          <w:rFonts w:ascii="Calibri" w:hAnsi="Calibri"/>
          <w:color w:val="231F1F"/>
          <w:w w:val="110"/>
        </w:rPr>
        <w:t>Nitrates: </w:t>
      </w:r>
      <w:r>
        <w:rPr>
          <w:color w:val="231F1F"/>
          <w:w w:val="110"/>
        </w:rPr>
        <w:t>disopyramide reduces effects of sublingual tablets of </w:t>
      </w:r>
      <w:r>
        <w:rPr>
          <w:rFonts w:ascii="Calibri" w:hAnsi="Calibri"/>
          <w:color w:val="008356"/>
          <w:w w:val="110"/>
          <w:sz w:val="11"/>
        </w:rPr>
        <w:t>NITRATES </w:t>
      </w:r>
      <w:r>
        <w:rPr>
          <w:color w:val="231F1F"/>
          <w:w w:val="110"/>
        </w:rPr>
        <w:t>(failure to dissolve under tongue owing to dry mouth)</w:t>
      </w:r>
    </w:p>
    <w:p>
      <w:pPr>
        <w:pStyle w:val="BodyText"/>
        <w:spacing w:line="247" w:lineRule="auto" w:before="1"/>
        <w:ind w:left="282" w:right="646" w:hanging="100"/>
        <w:rPr>
          <w:rFonts w:ascii="Calibri"/>
          <w:sz w:val="11"/>
        </w:rPr>
      </w:pPr>
      <w:r>
        <w:rPr>
          <w:rFonts w:ascii="Arial"/>
          <w:color w:val="231F1F"/>
          <w:w w:val="355"/>
          <w:position w:val="1"/>
          <w:sz w:val="7"/>
        </w:rPr>
        <w:t>l </w:t>
      </w:r>
      <w:r>
        <w:rPr>
          <w:rFonts w:ascii="Calibri"/>
          <w:color w:val="231F1F"/>
          <w:w w:val="110"/>
        </w:rPr>
        <w:t>Pentamidine Isetionate: </w:t>
      </w:r>
      <w:r>
        <w:rPr>
          <w:color w:val="231F1F"/>
          <w:w w:val="110"/>
        </w:rPr>
        <w:t>possible increased risk of ventricular arrhythmias when disopyramide given with </w:t>
      </w:r>
      <w:r>
        <w:rPr>
          <w:rFonts w:ascii="Arial"/>
          <w:color w:val="231F1F"/>
          <w:w w:val="355"/>
          <w:position w:val="1"/>
          <w:sz w:val="7"/>
        </w:rPr>
        <w:t>l </w:t>
      </w:r>
      <w:r>
        <w:rPr>
          <w:rFonts w:ascii="Calibri"/>
          <w:color w:val="008356"/>
          <w:w w:val="110"/>
          <w:sz w:val="11"/>
        </w:rPr>
        <w:t>PENTAMIDINE ISETIONATE</w:t>
      </w:r>
    </w:p>
    <w:p>
      <w:pPr>
        <w:pStyle w:val="BodyText"/>
        <w:spacing w:line="139" w:lineRule="exact"/>
        <w:ind w:left="182"/>
      </w:pPr>
      <w:r>
        <w:rPr>
          <w:rFonts w:ascii="Arial"/>
          <w:color w:val="231F1F"/>
          <w:w w:val="355"/>
          <w:position w:val="1"/>
          <w:sz w:val="7"/>
        </w:rPr>
        <w:t>l </w:t>
      </w:r>
      <w:r>
        <w:rPr>
          <w:rFonts w:ascii="Calibri"/>
          <w:color w:val="231F1F"/>
          <w:w w:val="115"/>
        </w:rPr>
        <w:t>Ranolazine: </w:t>
      </w:r>
      <w:r>
        <w:rPr>
          <w:color w:val="231F1F"/>
          <w:w w:val="115"/>
        </w:rPr>
        <w:t>avoidance of disopyramide advised by</w:t>
      </w:r>
    </w:p>
    <w:p>
      <w:pPr>
        <w:spacing w:line="140" w:lineRule="exact" w:before="0"/>
        <w:ind w:left="282" w:right="0" w:firstLine="0"/>
        <w:jc w:val="left"/>
        <w:rPr>
          <w:rFonts w:ascii="Calibri"/>
          <w:sz w:val="11"/>
        </w:rPr>
      </w:pPr>
      <w:r>
        <w:rPr>
          <w:color w:val="231F1F"/>
          <w:w w:val="110"/>
          <w:sz w:val="12"/>
        </w:rPr>
        <w:t>manufacturer of </w:t>
      </w:r>
      <w:r>
        <w:rPr>
          <w:rFonts w:ascii="Arial"/>
          <w:color w:val="231F1F"/>
          <w:w w:val="355"/>
          <w:position w:val="1"/>
          <w:sz w:val="7"/>
        </w:rPr>
        <w:t>l </w:t>
      </w:r>
      <w:r>
        <w:rPr>
          <w:rFonts w:ascii="Calibri"/>
          <w:color w:val="008356"/>
          <w:spacing w:val="5"/>
          <w:w w:val="110"/>
          <w:sz w:val="11"/>
        </w:rPr>
        <w:t>RANOLAZINE</w:t>
      </w:r>
    </w:p>
    <w:p>
      <w:pPr>
        <w:pStyle w:val="BodyText"/>
        <w:spacing w:line="230" w:lineRule="auto" w:before="3"/>
        <w:ind w:left="282" w:right="672" w:hanging="100"/>
      </w:pPr>
      <w:r>
        <w:rPr>
          <w:rFonts w:ascii="Lucida Sans Unicode" w:hAnsi="Lucida Sans Unicode"/>
          <w:color w:val="A7A8AC"/>
          <w:w w:val="95"/>
          <w:sz w:val="10"/>
        </w:rPr>
        <w:t>▶ </w:t>
      </w:r>
      <w:r>
        <w:rPr>
          <w:rFonts w:ascii="Calibri" w:hAnsi="Calibri"/>
          <w:color w:val="231F1F"/>
          <w:w w:val="110"/>
        </w:rPr>
        <w:t>Sildenafil: </w:t>
      </w:r>
      <w:r>
        <w:rPr>
          <w:color w:val="231F1F"/>
          <w:w w:val="110"/>
        </w:rPr>
        <w:t>manufacturer of disopyramide advises </w:t>
      </w:r>
      <w:r>
        <w:rPr>
          <w:color w:val="231F1F"/>
          <w:spacing w:val="-3"/>
          <w:w w:val="110"/>
        </w:rPr>
        <w:t>avoid </w:t>
      </w:r>
      <w:r>
        <w:rPr>
          <w:color w:val="231F1F"/>
          <w:w w:val="110"/>
        </w:rPr>
        <w:t>concomitant use with </w:t>
      </w:r>
      <w:r>
        <w:rPr>
          <w:rFonts w:ascii="Calibri" w:hAnsi="Calibri"/>
          <w:color w:val="008356"/>
          <w:spacing w:val="4"/>
          <w:w w:val="110"/>
          <w:sz w:val="11"/>
        </w:rPr>
        <w:t>SILDENAFIL </w:t>
      </w:r>
      <w:r>
        <w:rPr>
          <w:color w:val="231F1F"/>
          <w:w w:val="110"/>
        </w:rPr>
        <w:t>(risk of ventricular arrhythmias)</w:t>
      </w:r>
    </w:p>
    <w:p>
      <w:pPr>
        <w:pStyle w:val="BodyText"/>
        <w:spacing w:line="232" w:lineRule="auto" w:before="6"/>
        <w:ind w:left="282" w:right="672" w:hanging="100"/>
      </w:pPr>
      <w:r>
        <w:rPr>
          <w:rFonts w:ascii="Lucida Sans Unicode" w:hAnsi="Lucida Sans Unicode"/>
          <w:color w:val="A7A8AC"/>
          <w:w w:val="95"/>
          <w:sz w:val="10"/>
        </w:rPr>
        <w:t>▶ </w:t>
      </w:r>
      <w:r>
        <w:rPr>
          <w:rFonts w:ascii="Calibri" w:hAnsi="Calibri"/>
          <w:color w:val="231F1F"/>
          <w:w w:val="110"/>
        </w:rPr>
        <w:t>Tadalafil: </w:t>
      </w:r>
      <w:r>
        <w:rPr>
          <w:color w:val="231F1F"/>
          <w:w w:val="110"/>
        </w:rPr>
        <w:t>manufacturer of disopyramide advises </w:t>
      </w:r>
      <w:r>
        <w:rPr>
          <w:color w:val="231F1F"/>
          <w:spacing w:val="-3"/>
          <w:w w:val="110"/>
        </w:rPr>
        <w:t>avoid </w:t>
      </w:r>
      <w:r>
        <w:rPr>
          <w:color w:val="231F1F"/>
          <w:w w:val="110"/>
        </w:rPr>
        <w:t>concomitant use with </w:t>
      </w:r>
      <w:r>
        <w:rPr>
          <w:rFonts w:ascii="Calibri" w:hAnsi="Calibri"/>
          <w:color w:val="008356"/>
          <w:spacing w:val="3"/>
          <w:w w:val="110"/>
          <w:sz w:val="11"/>
        </w:rPr>
        <w:t>TADALAFIL </w:t>
      </w:r>
      <w:r>
        <w:rPr>
          <w:color w:val="231F1F"/>
          <w:w w:val="110"/>
        </w:rPr>
        <w:t>(risk of ventricular arrhythmias)</w:t>
      </w:r>
    </w:p>
    <w:p>
      <w:pPr>
        <w:pStyle w:val="BodyText"/>
        <w:spacing w:line="230" w:lineRule="auto" w:before="4"/>
        <w:ind w:left="282" w:right="672" w:hanging="100"/>
      </w:pPr>
      <w:r>
        <w:rPr>
          <w:rFonts w:ascii="Lucida Sans Unicode" w:hAnsi="Lucida Sans Unicode"/>
          <w:color w:val="A7A8AC"/>
          <w:w w:val="95"/>
          <w:sz w:val="10"/>
        </w:rPr>
        <w:t>▶ </w:t>
      </w:r>
      <w:r>
        <w:rPr>
          <w:rFonts w:ascii="Calibri" w:hAnsi="Calibri"/>
          <w:color w:val="231F1F"/>
          <w:w w:val="110"/>
        </w:rPr>
        <w:t>Vardenafil: </w:t>
      </w:r>
      <w:r>
        <w:rPr>
          <w:color w:val="231F1F"/>
          <w:w w:val="110"/>
        </w:rPr>
        <w:t>manufacturer of disopyramide advises </w:t>
      </w:r>
      <w:r>
        <w:rPr>
          <w:color w:val="231F1F"/>
          <w:spacing w:val="-3"/>
          <w:w w:val="110"/>
        </w:rPr>
        <w:t>avoid </w:t>
      </w:r>
      <w:r>
        <w:rPr>
          <w:color w:val="231F1F"/>
          <w:w w:val="110"/>
        </w:rPr>
        <w:t>concomitant use with </w:t>
      </w:r>
      <w:r>
        <w:rPr>
          <w:rFonts w:ascii="Calibri" w:hAnsi="Calibri"/>
          <w:color w:val="008356"/>
          <w:spacing w:val="4"/>
          <w:w w:val="110"/>
          <w:sz w:val="11"/>
        </w:rPr>
        <w:t>VARDENAFIL </w:t>
      </w:r>
      <w:r>
        <w:rPr>
          <w:color w:val="231F1F"/>
          <w:w w:val="110"/>
        </w:rPr>
        <w:t>(risk of ventricular arrhythmias)</w:t>
      </w:r>
    </w:p>
    <w:p>
      <w:pPr>
        <w:pStyle w:val="BodyText"/>
        <w:spacing w:before="14"/>
        <w:ind w:left="182"/>
        <w:rPr>
          <w:rFonts w:ascii="Trebuchet MS"/>
        </w:rPr>
      </w:pPr>
      <w:r>
        <w:rPr>
          <w:rFonts w:ascii="Trebuchet MS"/>
          <w:color w:val="008356"/>
          <w:w w:val="105"/>
        </w:rPr>
        <w:t>Disulfiram</w:t>
      </w:r>
    </w:p>
    <w:p>
      <w:pPr>
        <w:pStyle w:val="BodyText"/>
        <w:spacing w:line="155" w:lineRule="exact"/>
        <w:ind w:left="182"/>
      </w:pPr>
      <w:r>
        <w:rPr>
          <w:rFonts w:ascii="Lucida Sans Unicode" w:hAnsi="Lucida Sans Unicode"/>
          <w:color w:val="A7A8AC"/>
          <w:w w:val="95"/>
          <w:sz w:val="10"/>
        </w:rPr>
        <w:t>▶ </w:t>
      </w:r>
      <w:r>
        <w:rPr>
          <w:rFonts w:ascii="Calibri" w:hAnsi="Calibri"/>
          <w:color w:val="231F1F"/>
          <w:w w:val="105"/>
        </w:rPr>
        <w:t>Alcohol: </w:t>
      </w:r>
      <w:r>
        <w:rPr>
          <w:color w:val="231F1F"/>
          <w:w w:val="105"/>
        </w:rPr>
        <w:t>disulfiram reaction when disulfiram given with</w:t>
      </w:r>
    </w:p>
    <w:p>
      <w:pPr>
        <w:spacing w:line="130" w:lineRule="exact" w:before="0"/>
        <w:ind w:left="282" w:right="0" w:firstLine="0"/>
        <w:jc w:val="left"/>
        <w:rPr>
          <w:rFonts w:ascii="Calibri"/>
          <w:sz w:val="11"/>
        </w:rPr>
      </w:pPr>
      <w:r>
        <w:rPr>
          <w:rFonts w:ascii="Calibri"/>
          <w:color w:val="008356"/>
          <w:sz w:val="11"/>
        </w:rPr>
        <w:t>ALCOHOL</w:t>
      </w:r>
    </w:p>
    <w:p>
      <w:pPr>
        <w:pStyle w:val="BodyText"/>
        <w:spacing w:line="151" w:lineRule="exact"/>
        <w:ind w:left="182"/>
      </w:pPr>
      <w:r>
        <w:rPr>
          <w:rFonts w:ascii="Lucida Sans Unicode" w:hAnsi="Lucida Sans Unicode"/>
          <w:color w:val="A7A8AC"/>
          <w:w w:val="95"/>
          <w:sz w:val="10"/>
        </w:rPr>
        <w:t>▶ </w:t>
      </w:r>
      <w:r>
        <w:rPr>
          <w:rFonts w:ascii="Calibri" w:hAnsi="Calibri"/>
          <w:color w:val="231F1F"/>
        </w:rPr>
        <w:t>Aminophylline: </w:t>
      </w:r>
      <w:r>
        <w:rPr>
          <w:color w:val="231F1F"/>
        </w:rPr>
        <w:t>disulfiram inhibits metabolism of</w:t>
      </w:r>
    </w:p>
    <w:p>
      <w:pPr>
        <w:spacing w:line="135" w:lineRule="exact" w:before="0"/>
        <w:ind w:left="282" w:right="0" w:firstLine="0"/>
        <w:jc w:val="left"/>
        <w:rPr>
          <w:sz w:val="12"/>
        </w:rPr>
      </w:pPr>
      <w:r>
        <w:rPr>
          <w:rFonts w:ascii="Calibri"/>
          <w:color w:val="008356"/>
          <w:w w:val="110"/>
          <w:sz w:val="11"/>
        </w:rPr>
        <w:t>AMINOPHYLLINE </w:t>
      </w:r>
      <w:r>
        <w:rPr>
          <w:color w:val="231F1F"/>
          <w:w w:val="110"/>
          <w:sz w:val="12"/>
        </w:rPr>
        <w:t>(increased risk of toxicity)</w:t>
      </w:r>
    </w:p>
    <w:p>
      <w:pPr>
        <w:pStyle w:val="BodyText"/>
        <w:spacing w:line="230" w:lineRule="auto" w:before="4"/>
        <w:ind w:left="282" w:right="54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psychotic reaction reported when disulfiram given with </w:t>
      </w:r>
      <w:r>
        <w:rPr>
          <w:rFonts w:ascii="Calibri" w:hAnsi="Calibri"/>
          <w:color w:val="008356"/>
          <w:w w:val="110"/>
          <w:sz w:val="11"/>
        </w:rPr>
        <w:t>METRONIDAZOLE</w:t>
      </w:r>
      <w:r>
        <w:rPr>
          <w:color w:val="231F1F"/>
          <w:w w:val="110"/>
        </w:rPr>
        <w:t>; CNS effects of disulfiram possibly increased by </w:t>
      </w:r>
      <w:r>
        <w:rPr>
          <w:rFonts w:ascii="Calibri" w:hAnsi="Calibri"/>
          <w:color w:val="008356"/>
          <w:w w:val="110"/>
          <w:sz w:val="11"/>
        </w:rPr>
        <w:t>ISONIAZID</w:t>
      </w:r>
    </w:p>
    <w:p>
      <w:pPr>
        <w:pStyle w:val="BodyText"/>
        <w:spacing w:line="145" w:lineRule="exact"/>
        <w:ind w:left="182"/>
      </w:pPr>
      <w:r>
        <w:rPr>
          <w:rFonts w:ascii="Arial"/>
          <w:color w:val="231F1F"/>
          <w:w w:val="355"/>
          <w:position w:val="1"/>
          <w:sz w:val="7"/>
        </w:rPr>
        <w:t>l </w:t>
      </w:r>
      <w:r>
        <w:rPr>
          <w:rFonts w:ascii="Calibri"/>
          <w:color w:val="231F1F"/>
          <w:w w:val="115"/>
        </w:rPr>
        <w:t>Anticoagulants: </w:t>
      </w:r>
      <w:r>
        <w:rPr>
          <w:color w:val="231F1F"/>
          <w:w w:val="115"/>
        </w:rPr>
        <w:t>disulfiram enhances anticoagulant effect of</w:t>
      </w:r>
    </w:p>
    <w:p>
      <w:pPr>
        <w:spacing w:line="133" w:lineRule="exact" w:before="7"/>
        <w:ind w:left="282"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line="230" w:lineRule="auto" w:before="3"/>
        <w:ind w:left="282" w:right="672"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increased disulfiram reaction with alcohol reported with concomitant </w:t>
      </w:r>
      <w:r>
        <w:rPr>
          <w:rFonts w:ascii="Calibri" w:hAnsi="Calibri"/>
          <w:color w:val="008356"/>
          <w:w w:val="110"/>
          <w:sz w:val="11"/>
        </w:rPr>
        <w:t>AMITRIPTYLINE</w:t>
      </w:r>
      <w:r>
        <w:rPr>
          <w:color w:val="231F1F"/>
          <w:w w:val="110"/>
        </w:rPr>
        <w:t>; disulfiram inhibits metabolism of </w:t>
      </w:r>
      <w:r>
        <w:rPr>
          <w:rFonts w:ascii="Calibri" w:hAnsi="Calibri"/>
          <w:color w:val="008356"/>
          <w:w w:val="110"/>
          <w:sz w:val="11"/>
        </w:rPr>
        <w:t>TRICYCLICS </w:t>
      </w:r>
      <w:r>
        <w:rPr>
          <w:color w:val="231F1F"/>
          <w:w w:val="110"/>
        </w:rPr>
        <w:t>(increased plasma concentration)</w:t>
      </w:r>
    </w:p>
    <w:p>
      <w:pPr>
        <w:pStyle w:val="BodyText"/>
        <w:spacing w:line="145" w:lineRule="exact"/>
        <w:ind w:left="182"/>
      </w:pPr>
      <w:r>
        <w:rPr>
          <w:rFonts w:ascii="Arial"/>
          <w:color w:val="231F1F"/>
          <w:w w:val="355"/>
          <w:position w:val="1"/>
          <w:sz w:val="7"/>
        </w:rPr>
        <w:t>l </w:t>
      </w:r>
      <w:r>
        <w:rPr>
          <w:rFonts w:ascii="Calibri"/>
          <w:color w:val="231F1F"/>
          <w:w w:val="110"/>
        </w:rPr>
        <w:t>Antiepileptics: </w:t>
      </w:r>
      <w:r>
        <w:rPr>
          <w:color w:val="231F1F"/>
          <w:w w:val="110"/>
        </w:rPr>
        <w:t>disulfiram inhibits metabolism of</w:t>
      </w:r>
    </w:p>
    <w:p>
      <w:pPr>
        <w:spacing w:line="140" w:lineRule="exact" w:before="0"/>
        <w:ind w:left="282" w:right="0" w:firstLine="0"/>
        <w:jc w:val="left"/>
        <w:rPr>
          <w:sz w:val="12"/>
        </w:rPr>
      </w:pP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 </w:t>
      </w:r>
      <w:r>
        <w:rPr>
          <w:color w:val="231F1F"/>
          <w:w w:val="110"/>
          <w:sz w:val="12"/>
        </w:rPr>
        <w:t>(increased risk of toxicity)</w:t>
      </w:r>
    </w:p>
    <w:p>
      <w:pPr>
        <w:pStyle w:val="BodyText"/>
        <w:spacing w:line="230" w:lineRule="auto" w:before="3"/>
        <w:ind w:left="282" w:right="672" w:hanging="100"/>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disulfiram increases risk of </w:t>
      </w:r>
      <w:r>
        <w:rPr>
          <w:rFonts w:ascii="Calibri" w:hAnsi="Calibri"/>
          <w:color w:val="008356"/>
          <w:w w:val="105"/>
          <w:sz w:val="11"/>
        </w:rPr>
        <w:t>TEMAZEPAM </w:t>
      </w:r>
      <w:r>
        <w:rPr>
          <w:color w:val="231F1F"/>
          <w:w w:val="105"/>
        </w:rPr>
        <w:t>toxicity; disulfiram inhibits metabolism of </w:t>
      </w:r>
      <w:r>
        <w:rPr>
          <w:rFonts w:ascii="Calibri" w:hAnsi="Calibri"/>
          <w:color w:val="008356"/>
          <w:w w:val="105"/>
          <w:sz w:val="11"/>
        </w:rPr>
        <w:t>BENZODIAZEPINES </w:t>
      </w:r>
      <w:r>
        <w:rPr>
          <w:color w:val="231F1F"/>
          <w:w w:val="105"/>
        </w:rPr>
        <w:t>(increased sedative effects)</w:t>
      </w:r>
    </w:p>
    <w:p>
      <w:pPr>
        <w:pStyle w:val="BodyText"/>
        <w:ind w:left="182"/>
      </w:pPr>
      <w:r>
        <w:rPr>
          <w:rFonts w:ascii="Arial"/>
          <w:color w:val="231F1F"/>
          <w:w w:val="355"/>
          <w:position w:val="1"/>
          <w:sz w:val="7"/>
        </w:rPr>
        <w:t>l </w:t>
      </w:r>
      <w:r>
        <w:rPr>
          <w:rFonts w:ascii="Calibri"/>
          <w:color w:val="231F1F"/>
          <w:w w:val="115"/>
        </w:rPr>
        <w:t>Paraldehyde: </w:t>
      </w:r>
      <w:r>
        <w:rPr>
          <w:color w:val="231F1F"/>
          <w:w w:val="115"/>
        </w:rPr>
        <w:t>risk of toxicity when disulfiram given with</w:t>
      </w:r>
    </w:p>
    <w:p>
      <w:pPr>
        <w:spacing w:line="133" w:lineRule="exact" w:before="6"/>
        <w:ind w:left="282" w:right="0" w:firstLine="0"/>
        <w:jc w:val="left"/>
        <w:rPr>
          <w:rFonts w:ascii="Calibri"/>
          <w:sz w:val="11"/>
        </w:rPr>
      </w:pPr>
      <w:r>
        <w:rPr>
          <w:rFonts w:ascii="Arial"/>
          <w:color w:val="231F1F"/>
          <w:w w:val="355"/>
          <w:position w:val="1"/>
          <w:sz w:val="7"/>
        </w:rPr>
        <w:t>l </w:t>
      </w:r>
      <w:r>
        <w:rPr>
          <w:rFonts w:ascii="Calibri"/>
          <w:color w:val="008356"/>
          <w:w w:val="120"/>
          <w:sz w:val="11"/>
        </w:rPr>
        <w:t>PARALDEHYDE</w:t>
      </w:r>
    </w:p>
    <w:p>
      <w:pPr>
        <w:spacing w:line="151" w:lineRule="exact" w:before="0"/>
        <w:ind w:left="182"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sz w:val="12"/>
        </w:rPr>
        <w:t>Theophylline: </w:t>
      </w:r>
      <w:r>
        <w:rPr>
          <w:color w:val="231F1F"/>
          <w:sz w:val="12"/>
        </w:rPr>
        <w:t>disulfiram inhibits metabolism of </w:t>
      </w:r>
      <w:r>
        <w:rPr>
          <w:rFonts w:ascii="Calibri" w:hAnsi="Calibri"/>
          <w:color w:val="008356"/>
          <w:sz w:val="11"/>
        </w:rPr>
        <w:t>THEOPHYLLINE</w:t>
      </w:r>
    </w:p>
    <w:p>
      <w:pPr>
        <w:pStyle w:val="BodyText"/>
        <w:spacing w:line="131" w:lineRule="exact"/>
        <w:ind w:left="282"/>
      </w:pPr>
      <w:r>
        <w:rPr>
          <w:color w:val="231F1F"/>
          <w:w w:val="110"/>
        </w:rPr>
        <w:t>(increased risk of toxicity)</w:t>
      </w:r>
    </w:p>
    <w:p>
      <w:pPr>
        <w:pStyle w:val="BodyText"/>
        <w:spacing w:before="11"/>
        <w:ind w:left="182"/>
        <w:rPr>
          <w:rFonts w:ascii="Trebuchet MS"/>
        </w:rPr>
      </w:pPr>
      <w:r>
        <w:rPr>
          <w:rFonts w:ascii="Trebuchet MS"/>
          <w:color w:val="008356"/>
        </w:rPr>
        <w:t>Diuretics</w:t>
      </w:r>
    </w:p>
    <w:p>
      <w:pPr>
        <w:pStyle w:val="BodyText"/>
        <w:spacing w:line="242" w:lineRule="auto" w:before="6"/>
        <w:ind w:left="282" w:right="672" w:hanging="1"/>
      </w:pPr>
      <w:r>
        <w:rPr>
          <w:rFonts w:ascii="Calibri"/>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brinzolamide</w:t>
      </w:r>
      <w:r>
        <w:rPr>
          <w:color w:val="231F1F"/>
          <w:spacing w:val="-6"/>
          <w:w w:val="115"/>
        </w:rPr>
        <w:t> </w:t>
      </w:r>
      <w:r>
        <w:rPr>
          <w:color w:val="231F1F"/>
          <w:w w:val="115"/>
        </w:rPr>
        <w:t>to</w:t>
      </w:r>
      <w:r>
        <w:rPr>
          <w:color w:val="231F1F"/>
          <w:spacing w:val="-5"/>
          <w:w w:val="115"/>
        </w:rPr>
        <w:t> </w:t>
      </w:r>
      <w:r>
        <w:rPr>
          <w:color w:val="231F1F"/>
          <w:w w:val="115"/>
        </w:rPr>
        <w:t>the</w:t>
      </w:r>
      <w:r>
        <w:rPr>
          <w:color w:val="231F1F"/>
          <w:spacing w:val="-4"/>
          <w:w w:val="115"/>
        </w:rPr>
        <w:t> </w:t>
      </w:r>
      <w:r>
        <w:rPr>
          <w:color w:val="231F1F"/>
          <w:w w:val="115"/>
        </w:rPr>
        <w:t>eye,</w:t>
      </w:r>
      <w:r>
        <w:rPr>
          <w:color w:val="231F1F"/>
          <w:spacing w:val="-6"/>
          <w:w w:val="115"/>
        </w:rPr>
        <w:t> </w:t>
      </w:r>
      <w:r>
        <w:rPr>
          <w:color w:val="231F1F"/>
          <w:w w:val="115"/>
        </w:rPr>
        <w:t>the</w:t>
      </w:r>
      <w:r>
        <w:rPr>
          <w:color w:val="231F1F"/>
          <w:spacing w:val="-4"/>
          <w:w w:val="115"/>
        </w:rPr>
        <w:t> </w:t>
      </w:r>
      <w:r>
        <w:rPr>
          <w:color w:val="231F1F"/>
          <w:w w:val="115"/>
        </w:rPr>
        <w:t>possibility</w:t>
      </w:r>
      <w:r>
        <w:rPr>
          <w:color w:val="231F1F"/>
          <w:spacing w:val="-5"/>
          <w:w w:val="115"/>
        </w:rPr>
        <w:t> </w:t>
      </w:r>
      <w:r>
        <w:rPr>
          <w:color w:val="231F1F"/>
          <w:spacing w:val="-7"/>
          <w:w w:val="115"/>
        </w:rPr>
        <w:t>of </w:t>
      </w:r>
      <w:r>
        <w:rPr>
          <w:color w:val="231F1F"/>
          <w:w w:val="115"/>
        </w:rPr>
        <w:t>interactions should be borne in</w:t>
      </w:r>
      <w:r>
        <w:rPr>
          <w:color w:val="231F1F"/>
          <w:spacing w:val="-15"/>
          <w:w w:val="115"/>
        </w:rPr>
        <w:t> </w:t>
      </w:r>
      <w:r>
        <w:rPr>
          <w:color w:val="231F1F"/>
          <w:w w:val="115"/>
        </w:rPr>
        <w:t>mind</w:t>
      </w:r>
    </w:p>
    <w:p>
      <w:pPr>
        <w:pStyle w:val="BodyText"/>
        <w:spacing w:line="242" w:lineRule="auto" w:before="4"/>
        <w:ind w:left="282" w:right="672" w:hanging="1"/>
      </w:pPr>
      <w:r>
        <w:rPr>
          <w:rFonts w:ascii="Calibri"/>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dorzolamide</w:t>
      </w:r>
      <w:r>
        <w:rPr>
          <w:color w:val="231F1F"/>
          <w:spacing w:val="-6"/>
          <w:w w:val="115"/>
        </w:rPr>
        <w:t> </w:t>
      </w:r>
      <w:r>
        <w:rPr>
          <w:color w:val="231F1F"/>
          <w:w w:val="115"/>
        </w:rPr>
        <w:t>to</w:t>
      </w:r>
      <w:r>
        <w:rPr>
          <w:color w:val="231F1F"/>
          <w:spacing w:val="-6"/>
          <w:w w:val="115"/>
        </w:rPr>
        <w:t> </w:t>
      </w:r>
      <w:r>
        <w:rPr>
          <w:color w:val="231F1F"/>
          <w:w w:val="115"/>
        </w:rPr>
        <w:t>the</w:t>
      </w:r>
      <w:r>
        <w:rPr>
          <w:color w:val="231F1F"/>
          <w:spacing w:val="-5"/>
          <w:w w:val="115"/>
        </w:rPr>
        <w:t> </w:t>
      </w:r>
      <w:r>
        <w:rPr>
          <w:color w:val="231F1F"/>
          <w:w w:val="115"/>
        </w:rPr>
        <w:t>eye,</w:t>
      </w:r>
      <w:r>
        <w:rPr>
          <w:color w:val="231F1F"/>
          <w:spacing w:val="-5"/>
          <w:w w:val="115"/>
        </w:rPr>
        <w:t> </w:t>
      </w:r>
      <w:r>
        <w:rPr>
          <w:color w:val="231F1F"/>
          <w:w w:val="115"/>
        </w:rPr>
        <w:t>the</w:t>
      </w:r>
      <w:r>
        <w:rPr>
          <w:color w:val="231F1F"/>
          <w:spacing w:val="-4"/>
          <w:w w:val="115"/>
        </w:rPr>
        <w:t> </w:t>
      </w:r>
      <w:r>
        <w:rPr>
          <w:color w:val="231F1F"/>
          <w:w w:val="115"/>
        </w:rPr>
        <w:t>possibility</w:t>
      </w:r>
      <w:r>
        <w:rPr>
          <w:color w:val="231F1F"/>
          <w:spacing w:val="-6"/>
          <w:w w:val="115"/>
        </w:rPr>
        <w:t> </w:t>
      </w:r>
      <w:r>
        <w:rPr>
          <w:color w:val="231F1F"/>
          <w:spacing w:val="-7"/>
          <w:w w:val="115"/>
        </w:rPr>
        <w:t>of </w:t>
      </w:r>
      <w:r>
        <w:rPr>
          <w:color w:val="231F1F"/>
          <w:w w:val="115"/>
        </w:rPr>
        <w:t>interactions should be borne in</w:t>
      </w:r>
      <w:r>
        <w:rPr>
          <w:color w:val="231F1F"/>
          <w:spacing w:val="-15"/>
          <w:w w:val="115"/>
        </w:rPr>
        <w:t> </w:t>
      </w:r>
      <w:r>
        <w:rPr>
          <w:color w:val="231F1F"/>
          <w:w w:val="115"/>
        </w:rPr>
        <w:t>mind</w:t>
      </w:r>
    </w:p>
    <w:p>
      <w:pPr>
        <w:spacing w:after="0" w:line="242" w:lineRule="auto"/>
        <w:sectPr>
          <w:pgSz w:w="8390" w:h="11910"/>
          <w:pgMar w:header="0" w:footer="0" w:top="460" w:bottom="280" w:left="480" w:right="0"/>
          <w:cols w:num="2" w:equalWidth="0">
            <w:col w:w="3641" w:space="40"/>
            <w:col w:w="4229"/>
          </w:cols>
        </w:sectPr>
      </w:pPr>
    </w:p>
    <w:p>
      <w:pPr>
        <w:pStyle w:val="BodyText"/>
        <w:spacing w:before="7"/>
        <w:ind w:left="0"/>
        <w:rPr>
          <w:sz w:val="14"/>
        </w:rPr>
      </w:pPr>
    </w:p>
    <w:p>
      <w:pPr>
        <w:pStyle w:val="BodyText"/>
        <w:spacing w:line="144" w:lineRule="exact"/>
        <w:ind w:left="108"/>
        <w:rPr>
          <w:rFonts w:ascii="Calibri"/>
        </w:rPr>
      </w:pPr>
      <w:r>
        <w:rPr>
          <w:rFonts w:ascii="Arial"/>
          <w:color w:val="008356"/>
        </w:rPr>
        <w:t>Diuretics </w:t>
      </w:r>
      <w:r>
        <w:rPr>
          <w:rFonts w:ascii="Calibri"/>
          <w:color w:val="231F1F"/>
        </w:rPr>
        <w:t>(continued)</w:t>
      </w:r>
    </w:p>
    <w:p>
      <w:pPr>
        <w:pStyle w:val="BodyText"/>
        <w:spacing w:line="244" w:lineRule="auto"/>
        <w:ind w:right="155" w:hanging="100"/>
        <w:rPr>
          <w:rFonts w:ascii="Calibri"/>
          <w:sz w:val="11"/>
        </w:rPr>
      </w:pPr>
      <w:r>
        <w:rPr>
          <w:rFonts w:ascii="Arial"/>
          <w:color w:val="231F1F"/>
          <w:w w:val="115"/>
          <w:position w:val="1"/>
          <w:sz w:val="7"/>
        </w:rPr>
        <w:t>l </w:t>
      </w:r>
      <w:r>
        <w:rPr>
          <w:rFonts w:ascii="Calibri"/>
          <w:color w:val="231F1F"/>
          <w:w w:val="115"/>
        </w:rPr>
        <w:t>ACE Inhibitors: </w:t>
      </w:r>
      <w:r>
        <w:rPr>
          <w:color w:val="231F1F"/>
          <w:w w:val="115"/>
        </w:rPr>
        <w:t>enhanced hypotensive effect when diuretics </w:t>
      </w:r>
      <w:r>
        <w:rPr>
          <w:color w:val="231F1F"/>
          <w:w w:val="120"/>
        </w:rPr>
        <w:t>given with </w:t>
      </w:r>
      <w:r>
        <w:rPr>
          <w:rFonts w:ascii="Arial"/>
          <w:color w:val="231F1F"/>
          <w:w w:val="355"/>
          <w:position w:val="1"/>
          <w:sz w:val="7"/>
        </w:rPr>
        <w:t>l </w:t>
      </w:r>
      <w:r>
        <w:rPr>
          <w:rFonts w:ascii="Calibri"/>
          <w:color w:val="008356"/>
          <w:spacing w:val="3"/>
          <w:w w:val="120"/>
          <w:sz w:val="11"/>
        </w:rPr>
        <w:t>ACE </w:t>
      </w:r>
      <w:r>
        <w:rPr>
          <w:rFonts w:ascii="Calibri"/>
          <w:color w:val="008356"/>
          <w:spacing w:val="4"/>
          <w:w w:val="120"/>
          <w:sz w:val="11"/>
        </w:rPr>
        <w:t>INHIBITORS</w:t>
      </w:r>
      <w:r>
        <w:rPr>
          <w:color w:val="231F1F"/>
          <w:spacing w:val="4"/>
          <w:w w:val="120"/>
        </w:rPr>
        <w:t>; </w:t>
      </w:r>
      <w:r>
        <w:rPr>
          <w:color w:val="231F1F"/>
          <w:w w:val="120"/>
        </w:rPr>
        <w:t>increased risk of severe hyperkalaemia when potassium-sparing diuretics and aldosterone antagonists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20"/>
          <w:sz w:val="11"/>
        </w:rPr>
        <w:t>ACE </w:t>
      </w:r>
      <w:r>
        <w:rPr>
          <w:rFonts w:ascii="Calibri"/>
          <w:color w:val="008356"/>
          <w:spacing w:val="4"/>
          <w:w w:val="120"/>
          <w:sz w:val="11"/>
        </w:rPr>
        <w:t>INHIBITORS</w:t>
      </w:r>
    </w:p>
    <w:p>
      <w:pPr>
        <w:spacing w:line="220" w:lineRule="auto" w:before="0"/>
        <w:ind w:left="208" w:right="13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diuretics given with </w:t>
      </w:r>
      <w:r>
        <w:rPr>
          <w:rFonts w:ascii="Calibri" w:hAnsi="Calibri"/>
          <w:color w:val="008356"/>
          <w:w w:val="105"/>
          <w:sz w:val="11"/>
        </w:rPr>
        <w:t>ADRENERGIC NEURONE BLOCKERS</w:t>
      </w:r>
    </w:p>
    <w:p>
      <w:pPr>
        <w:pStyle w:val="BodyText"/>
        <w:spacing w:line="220" w:lineRule="auto" w:before="8"/>
        <w:ind w:right="315"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diuretics given with </w:t>
      </w:r>
      <w:r>
        <w:rPr>
          <w:rFonts w:ascii="Calibri" w:hAnsi="Calibri"/>
          <w:color w:val="008356"/>
          <w:w w:val="105"/>
          <w:sz w:val="11"/>
        </w:rPr>
        <w:t>ALCOHOL</w:t>
      </w:r>
    </w:p>
    <w:p>
      <w:pPr>
        <w:pStyle w:val="BodyText"/>
        <w:spacing w:line="220" w:lineRule="auto" w:before="8"/>
        <w:ind w:right="138"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diuretics given with </w:t>
      </w:r>
      <w:r>
        <w:rPr>
          <w:rFonts w:ascii="Calibri" w:hAnsi="Calibri"/>
          <w:color w:val="008356"/>
          <w:w w:val="110"/>
          <w:sz w:val="11"/>
        </w:rPr>
        <w:t>ALDESLEUKIN</w:t>
      </w:r>
    </w:p>
    <w:p>
      <w:pPr>
        <w:pStyle w:val="BodyText"/>
        <w:spacing w:line="242"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Aliskiren: </w:t>
      </w:r>
      <w:r>
        <w:rPr>
          <w:color w:val="231F1F"/>
          <w:w w:val="110"/>
        </w:rPr>
        <w:t>plasma concentration of furosemide reduced by </w:t>
      </w:r>
      <w:r>
        <w:rPr>
          <w:rFonts w:ascii="Calibri" w:hAnsi="Calibri"/>
          <w:color w:val="008356"/>
          <w:w w:val="110"/>
          <w:sz w:val="11"/>
        </w:rPr>
        <w:t>ALISKIREN</w:t>
      </w:r>
      <w:r>
        <w:rPr>
          <w:color w:val="231F1F"/>
          <w:w w:val="110"/>
        </w:rPr>
        <w:t>; increased risk of hyperkalaemia when potassium- sparing diuretics and aldosterone antagonists given with </w:t>
      </w:r>
      <w:r>
        <w:rPr>
          <w:rFonts w:ascii="Calibri" w:hAnsi="Calibri"/>
          <w:color w:val="008356"/>
          <w:w w:val="110"/>
          <w:sz w:val="11"/>
        </w:rPr>
        <w:t>ALISKIREN</w:t>
      </w:r>
    </w:p>
    <w:p>
      <w:pPr>
        <w:pStyle w:val="BodyText"/>
        <w:spacing w:line="230" w:lineRule="auto"/>
        <w:ind w:right="70" w:hanging="100"/>
      </w:pPr>
      <w:r>
        <w:rPr>
          <w:rFonts w:ascii="Lucida Sans Unicode" w:hAnsi="Lucida Sans Unicode"/>
          <w:color w:val="A7A8AC"/>
          <w:w w:val="95"/>
          <w:sz w:val="10"/>
        </w:rPr>
        <w:t>▶ </w:t>
      </w:r>
      <w:r>
        <w:rPr>
          <w:rFonts w:ascii="Calibri" w:hAnsi="Calibri"/>
          <w:color w:val="231F1F"/>
          <w:w w:val="110"/>
        </w:rPr>
        <w:t>Allopurinol: </w:t>
      </w:r>
      <w:r>
        <w:rPr>
          <w:color w:val="231F1F"/>
          <w:w w:val="110"/>
        </w:rPr>
        <w:t>increased risk of hypersensitivity when thiazides and related diuretics given with </w:t>
      </w:r>
      <w:r>
        <w:rPr>
          <w:rFonts w:ascii="Calibri" w:hAnsi="Calibri"/>
          <w:color w:val="008356"/>
          <w:w w:val="110"/>
          <w:sz w:val="11"/>
        </w:rPr>
        <w:t>ALLOPURINOL </w:t>
      </w:r>
      <w:r>
        <w:rPr>
          <w:color w:val="231F1F"/>
          <w:w w:val="110"/>
        </w:rPr>
        <w:t>especially in renal impairment</w:t>
      </w:r>
    </w:p>
    <w:p>
      <w:pPr>
        <w:pStyle w:val="BodyText"/>
        <w:spacing w:line="244" w:lineRule="auto" w:before="1"/>
        <w:ind w:right="47" w:hanging="100"/>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Alpha-blockers:</w:t>
      </w:r>
      <w:r>
        <w:rPr>
          <w:rFonts w:ascii="Calibri"/>
          <w:color w:val="231F1F"/>
          <w:spacing w:val="-10"/>
          <w:w w:val="115"/>
        </w:rPr>
        <w:t> </w:t>
      </w:r>
      <w:r>
        <w:rPr>
          <w:color w:val="231F1F"/>
          <w:w w:val="115"/>
        </w:rPr>
        <w:t>enhanced</w:t>
      </w:r>
      <w:r>
        <w:rPr>
          <w:color w:val="231F1F"/>
          <w:spacing w:val="-13"/>
          <w:w w:val="115"/>
        </w:rPr>
        <w:t> </w:t>
      </w:r>
      <w:r>
        <w:rPr>
          <w:color w:val="231F1F"/>
          <w:w w:val="115"/>
        </w:rPr>
        <w:t>hypotensive</w:t>
      </w:r>
      <w:r>
        <w:rPr>
          <w:color w:val="231F1F"/>
          <w:spacing w:val="-13"/>
          <w:w w:val="115"/>
        </w:rPr>
        <w:t> </w:t>
      </w:r>
      <w:r>
        <w:rPr>
          <w:color w:val="231F1F"/>
          <w:w w:val="115"/>
        </w:rPr>
        <w:t>effect</w:t>
      </w:r>
      <w:r>
        <w:rPr>
          <w:color w:val="231F1F"/>
          <w:spacing w:val="-13"/>
          <w:w w:val="115"/>
        </w:rPr>
        <w:t> </w:t>
      </w:r>
      <w:r>
        <w:rPr>
          <w:color w:val="231F1F"/>
          <w:w w:val="115"/>
        </w:rPr>
        <w:t>when</w:t>
      </w:r>
      <w:r>
        <w:rPr>
          <w:color w:val="231F1F"/>
          <w:spacing w:val="-14"/>
          <w:w w:val="115"/>
        </w:rPr>
        <w:t> </w:t>
      </w:r>
      <w:r>
        <w:rPr>
          <w:color w:val="231F1F"/>
          <w:w w:val="115"/>
        </w:rPr>
        <w:t>diuretics given</w:t>
      </w:r>
      <w:r>
        <w:rPr>
          <w:color w:val="231F1F"/>
          <w:spacing w:val="-20"/>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ALPHA-BLOCKERS</w:t>
      </w:r>
      <w:r>
        <w:rPr>
          <w:color w:val="231F1F"/>
          <w:spacing w:val="4"/>
          <w:w w:val="115"/>
        </w:rPr>
        <w:t>,</w:t>
      </w:r>
      <w:r>
        <w:rPr>
          <w:color w:val="231F1F"/>
          <w:spacing w:val="-19"/>
          <w:w w:val="115"/>
        </w:rPr>
        <w:t> </w:t>
      </w:r>
      <w:r>
        <w:rPr>
          <w:color w:val="231F1F"/>
          <w:w w:val="115"/>
        </w:rPr>
        <w:t>also</w:t>
      </w:r>
      <w:r>
        <w:rPr>
          <w:color w:val="231F1F"/>
          <w:spacing w:val="-19"/>
          <w:w w:val="115"/>
        </w:rPr>
        <w:t> </w:t>
      </w:r>
      <w:r>
        <w:rPr>
          <w:color w:val="231F1F"/>
          <w:w w:val="115"/>
        </w:rPr>
        <w:t>increased</w:t>
      </w:r>
      <w:r>
        <w:rPr>
          <w:color w:val="231F1F"/>
          <w:spacing w:val="-20"/>
          <w:w w:val="115"/>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first-dose hypotension with post-synaptic alpha-blockers such as prazosin</w:t>
      </w:r>
    </w:p>
    <w:p>
      <w:pPr>
        <w:pStyle w:val="BodyText"/>
        <w:spacing w:line="235" w:lineRule="auto"/>
        <w:ind w:right="154" w:hanging="100"/>
        <w:rPr>
          <w:rFonts w:ascii="Calibri" w:hAnsi="Calibri"/>
          <w:sz w:val="11"/>
        </w:rPr>
      </w:pPr>
      <w:r>
        <w:rPr>
          <w:rFonts w:ascii="Lucida Sans Unicode" w:hAnsi="Lucida Sans Unicode"/>
          <w:color w:val="A7A8AC"/>
          <w:w w:val="95"/>
          <w:sz w:val="10"/>
        </w:rPr>
        <w:t>▶ </w:t>
      </w:r>
      <w:r>
        <w:rPr>
          <w:rFonts w:ascii="Calibri" w:hAnsi="Calibri"/>
          <w:color w:val="231F1F"/>
          <w:w w:val="110"/>
        </w:rPr>
        <w:t>Aminophylline: </w:t>
      </w:r>
      <w:r>
        <w:rPr>
          <w:color w:val="231F1F"/>
          <w:w w:val="110"/>
        </w:rPr>
        <w:t>increased risk of hypokalaemia when acetazolamide, loop diuretics or thiazides and related diuretics given with </w:t>
      </w:r>
      <w:r>
        <w:rPr>
          <w:rFonts w:ascii="Calibri" w:hAnsi="Calibri"/>
          <w:color w:val="008356"/>
          <w:w w:val="110"/>
          <w:sz w:val="11"/>
        </w:rPr>
        <w:t>AMINOPHYLLINE</w:t>
      </w:r>
    </w:p>
    <w:p>
      <w:pPr>
        <w:spacing w:line="220" w:lineRule="auto" w:before="6"/>
        <w:ind w:left="208" w:right="13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diuretics given with </w:t>
      </w:r>
      <w:r>
        <w:rPr>
          <w:rFonts w:ascii="Calibri" w:hAnsi="Calibri"/>
          <w:color w:val="008356"/>
          <w:w w:val="105"/>
          <w:sz w:val="11"/>
        </w:rPr>
        <w:t>GENERAL ANAESTHETICS</w:t>
      </w:r>
    </w:p>
    <w:p>
      <w:pPr>
        <w:pStyle w:val="BodyText"/>
        <w:spacing w:line="244" w:lineRule="auto"/>
        <w:ind w:right="70" w:hanging="100"/>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0"/>
        </w:rPr>
        <w:t>Analgesics: </w:t>
      </w:r>
      <w:r>
        <w:rPr>
          <w:color w:val="231F1F"/>
          <w:w w:val="110"/>
        </w:rPr>
        <w:t>diuretics increase risk of nephrotoxicity of </w:t>
      </w:r>
      <w:r>
        <w:rPr>
          <w:rFonts w:ascii="Calibri" w:hAnsi="Calibri"/>
          <w:color w:val="008356"/>
          <w:spacing w:val="4"/>
          <w:w w:val="110"/>
          <w:sz w:val="11"/>
        </w:rPr>
        <w:t>NSAID</w:t>
      </w:r>
      <w:r>
        <w:rPr>
          <w:rFonts w:ascii="Calibri" w:hAnsi="Calibri"/>
          <w:color w:val="008356"/>
          <w:spacing w:val="4"/>
          <w:w w:val="110"/>
          <w:sz w:val="9"/>
        </w:rPr>
        <w:t>S</w:t>
      </w:r>
      <w:r>
        <w:rPr>
          <w:color w:val="231F1F"/>
          <w:spacing w:val="4"/>
          <w:w w:val="110"/>
        </w:rPr>
        <w:t>, </w:t>
      </w:r>
      <w:r>
        <w:rPr>
          <w:color w:val="231F1F"/>
          <w:w w:val="110"/>
        </w:rPr>
        <w:t>also antagonism of  diuretic effect; diuretic  effect of potassium canrenoate possibly antagonised by </w:t>
      </w:r>
      <w:r>
        <w:rPr>
          <w:rFonts w:ascii="Calibri" w:hAnsi="Calibri"/>
          <w:color w:val="008356"/>
          <w:spacing w:val="4"/>
          <w:w w:val="110"/>
          <w:sz w:val="11"/>
        </w:rPr>
        <w:t>NSAID</w:t>
      </w:r>
      <w:r>
        <w:rPr>
          <w:rFonts w:ascii="Calibri" w:hAnsi="Calibri"/>
          <w:color w:val="008356"/>
          <w:spacing w:val="4"/>
          <w:w w:val="110"/>
          <w:sz w:val="9"/>
        </w:rPr>
        <w:t>S</w:t>
      </w:r>
      <w:r>
        <w:rPr>
          <w:color w:val="231F1F"/>
          <w:spacing w:val="4"/>
          <w:w w:val="110"/>
        </w:rPr>
        <w:t>; </w:t>
      </w:r>
      <w:r>
        <w:rPr>
          <w:color w:val="231F1F"/>
          <w:w w:val="110"/>
        </w:rPr>
        <w:t>possible increased risk of hyperkalaemia when potassium- sparing diuretics and aldosterone antagonists given with </w:t>
      </w:r>
      <w:r>
        <w:rPr>
          <w:rFonts w:ascii="Calibri" w:hAnsi="Calibri"/>
          <w:color w:val="008356"/>
          <w:spacing w:val="4"/>
          <w:w w:val="110"/>
          <w:sz w:val="11"/>
        </w:rPr>
        <w:t>NSAID</w:t>
      </w:r>
      <w:r>
        <w:rPr>
          <w:rFonts w:ascii="Calibri" w:hAnsi="Calibri"/>
          <w:color w:val="008356"/>
          <w:spacing w:val="4"/>
          <w:w w:val="110"/>
          <w:sz w:val="9"/>
        </w:rPr>
        <w:t>S</w:t>
      </w:r>
      <w:r>
        <w:rPr>
          <w:color w:val="231F1F"/>
          <w:spacing w:val="4"/>
          <w:w w:val="110"/>
        </w:rPr>
        <w:t>; </w:t>
      </w:r>
      <w:r>
        <w:rPr>
          <w:color w:val="231F1F"/>
          <w:w w:val="110"/>
        </w:rPr>
        <w:t>furosemide possibly increases the excretion of </w:t>
      </w:r>
      <w:r>
        <w:rPr>
          <w:rFonts w:ascii="Calibri" w:hAnsi="Calibri"/>
          <w:color w:val="008356"/>
          <w:spacing w:val="3"/>
          <w:w w:val="110"/>
          <w:sz w:val="11"/>
        </w:rPr>
        <w:t>ACEMETACIN</w:t>
      </w:r>
      <w:r>
        <w:rPr>
          <w:color w:val="231F1F"/>
          <w:spacing w:val="3"/>
          <w:w w:val="110"/>
        </w:rPr>
        <w:t>;</w:t>
      </w:r>
      <w:r>
        <w:rPr>
          <w:color w:val="231F1F"/>
          <w:spacing w:val="-16"/>
          <w:w w:val="110"/>
        </w:rPr>
        <w:t> </w:t>
      </w:r>
      <w:r>
        <w:rPr>
          <w:color w:val="231F1F"/>
          <w:w w:val="110"/>
        </w:rPr>
        <w:t>effects</w:t>
      </w:r>
      <w:r>
        <w:rPr>
          <w:color w:val="231F1F"/>
          <w:spacing w:val="-16"/>
          <w:w w:val="110"/>
        </w:rPr>
        <w:t> </w:t>
      </w:r>
      <w:r>
        <w:rPr>
          <w:color w:val="231F1F"/>
          <w:w w:val="110"/>
        </w:rPr>
        <w:t>of</w:t>
      </w:r>
      <w:r>
        <w:rPr>
          <w:color w:val="231F1F"/>
          <w:spacing w:val="-16"/>
          <w:w w:val="110"/>
        </w:rPr>
        <w:t> </w:t>
      </w:r>
      <w:r>
        <w:rPr>
          <w:color w:val="231F1F"/>
          <w:w w:val="110"/>
        </w:rPr>
        <w:t>diuretics</w:t>
      </w:r>
      <w:r>
        <w:rPr>
          <w:color w:val="231F1F"/>
          <w:spacing w:val="-16"/>
          <w:w w:val="110"/>
        </w:rPr>
        <w:t> </w:t>
      </w:r>
      <w:r>
        <w:rPr>
          <w:color w:val="231F1F"/>
          <w:w w:val="110"/>
        </w:rPr>
        <w:t>antagonised</w:t>
      </w:r>
      <w:r>
        <w:rPr>
          <w:color w:val="231F1F"/>
          <w:spacing w:val="-16"/>
          <w:w w:val="110"/>
        </w:rPr>
        <w:t> </w:t>
      </w:r>
      <w:r>
        <w:rPr>
          <w:color w:val="231F1F"/>
          <w:w w:val="110"/>
        </w:rPr>
        <w:t>by</w:t>
      </w:r>
      <w:r>
        <w:rPr>
          <w:color w:val="231F1F"/>
          <w:spacing w:val="-16"/>
          <w:w w:val="110"/>
        </w:rPr>
        <w:t> </w:t>
      </w:r>
      <w:r>
        <w:rPr>
          <w:rFonts w:ascii="Calibri" w:hAnsi="Calibri"/>
          <w:color w:val="008356"/>
          <w:spacing w:val="4"/>
          <w:w w:val="110"/>
          <w:sz w:val="11"/>
        </w:rPr>
        <w:t>INDOMETACIN </w:t>
      </w:r>
      <w:r>
        <w:rPr>
          <w:color w:val="231F1F"/>
          <w:w w:val="110"/>
        </w:rPr>
        <w:t>and </w:t>
      </w:r>
      <w:r>
        <w:rPr>
          <w:rFonts w:ascii="Calibri" w:hAnsi="Calibri"/>
          <w:color w:val="008356"/>
          <w:spacing w:val="4"/>
          <w:w w:val="110"/>
          <w:sz w:val="11"/>
        </w:rPr>
        <w:t>KETOROLAC</w:t>
      </w:r>
      <w:r>
        <w:rPr>
          <w:color w:val="231F1F"/>
          <w:spacing w:val="4"/>
          <w:w w:val="110"/>
        </w:rPr>
        <w:t>; </w:t>
      </w:r>
      <w:r>
        <w:rPr>
          <w:color w:val="231F1F"/>
          <w:w w:val="110"/>
        </w:rPr>
        <w:t>increased risk of hyperkalaemia when potassium-sparing diuretics and  aldosterone  antagonists given with </w:t>
      </w:r>
      <w:r>
        <w:rPr>
          <w:rFonts w:ascii="Calibri" w:hAnsi="Calibri"/>
          <w:color w:val="008356"/>
          <w:spacing w:val="4"/>
          <w:w w:val="110"/>
          <w:sz w:val="11"/>
        </w:rPr>
        <w:t>INDOMETACIN</w:t>
      </w:r>
      <w:r>
        <w:rPr>
          <w:color w:val="231F1F"/>
          <w:spacing w:val="4"/>
          <w:w w:val="110"/>
        </w:rPr>
        <w:t>; </w:t>
      </w:r>
      <w:r>
        <w:rPr>
          <w:color w:val="231F1F"/>
          <w:w w:val="110"/>
        </w:rPr>
        <w:t>occasional reports of reduced renal function</w:t>
      </w:r>
      <w:r>
        <w:rPr>
          <w:color w:val="231F1F"/>
          <w:spacing w:val="-5"/>
          <w:w w:val="110"/>
        </w:rPr>
        <w:t> </w:t>
      </w:r>
      <w:r>
        <w:rPr>
          <w:color w:val="231F1F"/>
          <w:w w:val="110"/>
        </w:rPr>
        <w:t>when</w:t>
      </w:r>
      <w:r>
        <w:rPr>
          <w:color w:val="231F1F"/>
          <w:spacing w:val="-4"/>
          <w:w w:val="110"/>
        </w:rPr>
        <w:t> </w:t>
      </w:r>
      <w:r>
        <w:rPr>
          <w:color w:val="231F1F"/>
          <w:w w:val="110"/>
        </w:rPr>
        <w:t>triamterene</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2"/>
          <w:w w:val="110"/>
          <w:sz w:val="11"/>
        </w:rPr>
        <w:t>INDOMETACIN</w:t>
      </w:r>
      <w:r>
        <w:rPr>
          <w:rFonts w:ascii="Arial" w:hAnsi="Arial"/>
          <w:color w:val="231F1F"/>
          <w:spacing w:val="2"/>
          <w:w w:val="110"/>
        </w:rPr>
        <w:t>—</w:t>
      </w:r>
      <w:r>
        <w:rPr>
          <w:color w:val="231F1F"/>
          <w:spacing w:val="2"/>
          <w:w w:val="110"/>
        </w:rPr>
        <w:t>avoid </w:t>
      </w:r>
      <w:r>
        <w:rPr>
          <w:color w:val="231F1F"/>
          <w:w w:val="110"/>
        </w:rPr>
        <w:t>concomitant use; increased risk of toxicity when acetazolamide given with high-dose </w:t>
      </w:r>
      <w:r>
        <w:rPr>
          <w:rFonts w:ascii="Arial" w:hAnsi="Arial"/>
          <w:color w:val="231F1F"/>
          <w:w w:val="355"/>
          <w:position w:val="1"/>
          <w:sz w:val="7"/>
        </w:rPr>
        <w:t>l </w:t>
      </w:r>
      <w:r>
        <w:rPr>
          <w:rFonts w:ascii="Calibri" w:hAnsi="Calibri"/>
          <w:color w:val="008356"/>
          <w:spacing w:val="4"/>
          <w:w w:val="110"/>
          <w:sz w:val="11"/>
        </w:rPr>
        <w:t>ASPIRIN</w:t>
      </w:r>
      <w:r>
        <w:rPr>
          <w:color w:val="231F1F"/>
          <w:spacing w:val="4"/>
          <w:w w:val="110"/>
        </w:rPr>
        <w:t>; </w:t>
      </w:r>
      <w:r>
        <w:rPr>
          <w:color w:val="231F1F"/>
          <w:w w:val="110"/>
        </w:rPr>
        <w:t>diuretic effect of spironolactone antagonised by </w:t>
      </w:r>
      <w:r>
        <w:rPr>
          <w:rFonts w:ascii="Calibri" w:hAnsi="Calibri"/>
          <w:color w:val="008356"/>
          <w:spacing w:val="4"/>
          <w:w w:val="110"/>
          <w:sz w:val="11"/>
        </w:rPr>
        <w:t>ASPIRIN</w:t>
      </w:r>
      <w:r>
        <w:rPr>
          <w:color w:val="231F1F"/>
          <w:spacing w:val="4"/>
          <w:w w:val="110"/>
        </w:rPr>
        <w:t>; </w:t>
      </w:r>
      <w:r>
        <w:rPr>
          <w:color w:val="231F1F"/>
          <w:w w:val="110"/>
        </w:rPr>
        <w:t>possible increased risk of toxicity when loop diuretics given with high-dose </w:t>
      </w:r>
      <w:r>
        <w:rPr>
          <w:rFonts w:ascii="Calibri" w:hAnsi="Calibri"/>
          <w:color w:val="008356"/>
          <w:spacing w:val="4"/>
          <w:w w:val="110"/>
          <w:sz w:val="11"/>
        </w:rPr>
        <w:t>ASPIRIN </w:t>
      </w:r>
      <w:r>
        <w:rPr>
          <w:color w:val="231F1F"/>
          <w:w w:val="110"/>
        </w:rPr>
        <w:t>(also possible reduced effect of loop</w:t>
      </w:r>
      <w:r>
        <w:rPr>
          <w:color w:val="231F1F"/>
          <w:spacing w:val="4"/>
          <w:w w:val="110"/>
        </w:rPr>
        <w:t> </w:t>
      </w:r>
      <w:r>
        <w:rPr>
          <w:color w:val="231F1F"/>
          <w:w w:val="110"/>
        </w:rPr>
        <w:t>diuretics)</w:t>
      </w:r>
    </w:p>
    <w:p>
      <w:pPr>
        <w:spacing w:line="244" w:lineRule="auto" w:before="0"/>
        <w:ind w:left="208" w:right="216" w:hanging="100"/>
        <w:jc w:val="left"/>
        <w:rPr>
          <w:rFonts w:ascii="Calibri"/>
          <w:sz w:val="11"/>
        </w:rPr>
      </w:pPr>
      <w:r>
        <w:rPr>
          <w:rFonts w:ascii="Arial"/>
          <w:color w:val="231F1F"/>
          <w:w w:val="355"/>
          <w:position w:val="1"/>
          <w:sz w:val="7"/>
        </w:rPr>
        <w:t>l</w:t>
      </w:r>
      <w:r>
        <w:rPr>
          <w:rFonts w:ascii="Arial"/>
          <w:color w:val="231F1F"/>
          <w:spacing w:val="-42"/>
          <w:w w:val="355"/>
          <w:position w:val="1"/>
          <w:sz w:val="7"/>
        </w:rPr>
        <w:t> </w:t>
      </w:r>
      <w:r>
        <w:rPr>
          <w:rFonts w:ascii="Calibri"/>
          <w:color w:val="231F1F"/>
          <w:w w:val="110"/>
          <w:sz w:val="12"/>
        </w:rPr>
        <w:t>Angiotensin-II</w:t>
      </w:r>
      <w:r>
        <w:rPr>
          <w:rFonts w:ascii="Calibri"/>
          <w:color w:val="231F1F"/>
          <w:spacing w:val="-8"/>
          <w:w w:val="110"/>
          <w:sz w:val="12"/>
        </w:rPr>
        <w:t> </w:t>
      </w:r>
      <w:r>
        <w:rPr>
          <w:rFonts w:ascii="Calibri"/>
          <w:color w:val="231F1F"/>
          <w:w w:val="110"/>
          <w:sz w:val="12"/>
        </w:rPr>
        <w:t>Receptor</w:t>
      </w:r>
      <w:r>
        <w:rPr>
          <w:rFonts w:ascii="Calibri"/>
          <w:color w:val="231F1F"/>
          <w:spacing w:val="-9"/>
          <w:w w:val="110"/>
          <w:sz w:val="12"/>
        </w:rPr>
        <w:t> </w:t>
      </w:r>
      <w:r>
        <w:rPr>
          <w:rFonts w:ascii="Calibri"/>
          <w:color w:val="231F1F"/>
          <w:w w:val="110"/>
          <w:sz w:val="12"/>
        </w:rPr>
        <w:t>Antagonists:</w:t>
      </w:r>
      <w:r>
        <w:rPr>
          <w:rFonts w:ascii="Calibri"/>
          <w:color w:val="231F1F"/>
          <w:spacing w:val="-9"/>
          <w:w w:val="110"/>
          <w:sz w:val="12"/>
        </w:rPr>
        <w:t> </w:t>
      </w:r>
      <w:r>
        <w:rPr>
          <w:color w:val="231F1F"/>
          <w:w w:val="110"/>
          <w:sz w:val="12"/>
        </w:rPr>
        <w:t>enhanced</w:t>
      </w:r>
      <w:r>
        <w:rPr>
          <w:color w:val="231F1F"/>
          <w:spacing w:val="-12"/>
          <w:w w:val="110"/>
          <w:sz w:val="12"/>
        </w:rPr>
        <w:t> </w:t>
      </w:r>
      <w:r>
        <w:rPr>
          <w:color w:val="231F1F"/>
          <w:w w:val="110"/>
          <w:sz w:val="12"/>
        </w:rPr>
        <w:t>hypotensive effect</w:t>
      </w:r>
      <w:r>
        <w:rPr>
          <w:color w:val="231F1F"/>
          <w:spacing w:val="-14"/>
          <w:w w:val="110"/>
          <w:sz w:val="12"/>
        </w:rPr>
        <w:t> </w:t>
      </w:r>
      <w:r>
        <w:rPr>
          <w:color w:val="231F1F"/>
          <w:w w:val="110"/>
          <w:sz w:val="12"/>
        </w:rPr>
        <w:t>when</w:t>
      </w:r>
      <w:r>
        <w:rPr>
          <w:color w:val="231F1F"/>
          <w:spacing w:val="-13"/>
          <w:w w:val="110"/>
          <w:sz w:val="12"/>
        </w:rPr>
        <w:t> </w:t>
      </w:r>
      <w:r>
        <w:rPr>
          <w:color w:val="231F1F"/>
          <w:w w:val="110"/>
          <w:sz w:val="12"/>
        </w:rPr>
        <w:t>diuretics</w:t>
      </w:r>
      <w:r>
        <w:rPr>
          <w:color w:val="231F1F"/>
          <w:spacing w:val="-13"/>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ANGIOTENSIN-II</w:t>
      </w:r>
      <w:r>
        <w:rPr>
          <w:rFonts w:ascii="Calibri"/>
          <w:color w:val="008356"/>
          <w:spacing w:val="-6"/>
          <w:w w:val="110"/>
          <w:sz w:val="11"/>
        </w:rPr>
        <w:t> </w:t>
      </w:r>
      <w:r>
        <w:rPr>
          <w:rFonts w:ascii="Calibri"/>
          <w:color w:val="008356"/>
          <w:spacing w:val="4"/>
          <w:w w:val="110"/>
          <w:sz w:val="11"/>
        </w:rPr>
        <w:t>RECEPTOR ANTAGONISTS</w:t>
      </w:r>
      <w:r>
        <w:rPr>
          <w:color w:val="231F1F"/>
          <w:spacing w:val="4"/>
          <w:w w:val="110"/>
          <w:sz w:val="12"/>
        </w:rPr>
        <w:t>; </w:t>
      </w:r>
      <w:r>
        <w:rPr>
          <w:color w:val="231F1F"/>
          <w:w w:val="110"/>
          <w:sz w:val="12"/>
        </w:rPr>
        <w:t>increased risk of hyperkalaemia when potassium-sparing diuretics and aldosterone antagonists given</w:t>
      </w:r>
      <w:r>
        <w:rPr>
          <w:color w:val="231F1F"/>
          <w:spacing w:val="-13"/>
          <w:w w:val="110"/>
          <w:sz w:val="12"/>
        </w:rPr>
        <w:t> </w:t>
      </w:r>
      <w:r>
        <w:rPr>
          <w:color w:val="231F1F"/>
          <w:w w:val="110"/>
          <w:sz w:val="12"/>
        </w:rPr>
        <w:t>with</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ANGIOTENSIN-II</w:t>
      </w:r>
      <w:r>
        <w:rPr>
          <w:rFonts w:ascii="Calibri"/>
          <w:color w:val="008356"/>
          <w:spacing w:val="-3"/>
          <w:w w:val="110"/>
          <w:sz w:val="11"/>
        </w:rPr>
        <w:t> </w:t>
      </w:r>
      <w:r>
        <w:rPr>
          <w:rFonts w:ascii="Calibri"/>
          <w:color w:val="008356"/>
          <w:spacing w:val="4"/>
          <w:w w:val="110"/>
          <w:sz w:val="11"/>
        </w:rPr>
        <w:t>RECEPTOR</w:t>
      </w:r>
      <w:r>
        <w:rPr>
          <w:rFonts w:ascii="Calibri"/>
          <w:color w:val="008356"/>
          <w:spacing w:val="-4"/>
          <w:w w:val="110"/>
          <w:sz w:val="11"/>
        </w:rPr>
        <w:t> </w:t>
      </w:r>
      <w:r>
        <w:rPr>
          <w:rFonts w:ascii="Calibri"/>
          <w:color w:val="008356"/>
          <w:spacing w:val="3"/>
          <w:w w:val="110"/>
          <w:sz w:val="11"/>
        </w:rPr>
        <w:t>ANTAGONISTS</w:t>
      </w:r>
    </w:p>
    <w:p>
      <w:pPr>
        <w:pStyle w:val="BodyText"/>
        <w:spacing w:line="138" w:lineRule="exact"/>
        <w:ind w:left="108"/>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Anti-arrhythmics:</w:t>
      </w:r>
      <w:r>
        <w:rPr>
          <w:rFonts w:ascii="Calibri"/>
          <w:color w:val="231F1F"/>
          <w:spacing w:val="-19"/>
          <w:w w:val="115"/>
        </w:rPr>
        <w:t> </w:t>
      </w:r>
      <w:r>
        <w:rPr>
          <w:color w:val="231F1F"/>
          <w:w w:val="115"/>
        </w:rPr>
        <w:t>hypokalaemia</w:t>
      </w:r>
      <w:r>
        <w:rPr>
          <w:color w:val="231F1F"/>
          <w:spacing w:val="-22"/>
          <w:w w:val="115"/>
        </w:rPr>
        <w:t> </w:t>
      </w:r>
      <w:r>
        <w:rPr>
          <w:color w:val="231F1F"/>
          <w:w w:val="115"/>
        </w:rPr>
        <w:t>caused</w:t>
      </w:r>
      <w:r>
        <w:rPr>
          <w:color w:val="231F1F"/>
          <w:spacing w:val="-22"/>
          <w:w w:val="115"/>
        </w:rPr>
        <w:t> </w:t>
      </w:r>
      <w:r>
        <w:rPr>
          <w:color w:val="231F1F"/>
          <w:w w:val="115"/>
        </w:rPr>
        <w:t>by</w:t>
      </w:r>
      <w:r>
        <w:rPr>
          <w:color w:val="231F1F"/>
          <w:spacing w:val="-22"/>
          <w:w w:val="115"/>
        </w:rPr>
        <w:t> </w:t>
      </w:r>
      <w:r>
        <w:rPr>
          <w:color w:val="231F1F"/>
          <w:w w:val="115"/>
        </w:rPr>
        <w:t>acetazolamide,</w:t>
      </w:r>
      <w:r>
        <w:rPr>
          <w:color w:val="231F1F"/>
          <w:spacing w:val="-23"/>
          <w:w w:val="115"/>
        </w:rPr>
        <w:t> </w:t>
      </w:r>
      <w:r>
        <w:rPr>
          <w:color w:val="231F1F"/>
          <w:w w:val="115"/>
        </w:rPr>
        <w:t>loop</w:t>
      </w:r>
    </w:p>
    <w:p>
      <w:pPr>
        <w:pStyle w:val="BodyText"/>
        <w:spacing w:line="247" w:lineRule="auto"/>
        <w:ind w:right="138"/>
      </w:pPr>
      <w:r>
        <w:rPr>
          <w:color w:val="231F1F"/>
          <w:w w:val="110"/>
        </w:rPr>
        <w:t>diuretics or thiazides and related diuretics increases cardiac toxicity with </w:t>
      </w:r>
      <w:r>
        <w:rPr>
          <w:rFonts w:ascii="Calibri"/>
          <w:color w:val="008356"/>
          <w:w w:val="105"/>
          <w:sz w:val="11"/>
        </w:rPr>
        <w:t>AMIODARONE</w:t>
      </w:r>
      <w:r>
        <w:rPr>
          <w:color w:val="231F1F"/>
          <w:w w:val="105"/>
        </w:rPr>
        <w:t>; </w:t>
      </w:r>
      <w:r>
        <w:rPr>
          <w:color w:val="231F1F"/>
          <w:w w:val="110"/>
        </w:rPr>
        <w:t>plasma concentration of eplerenone increased by </w:t>
      </w:r>
      <w:r>
        <w:rPr>
          <w:rFonts w:ascii="Calibri"/>
          <w:color w:val="008356"/>
          <w:w w:val="105"/>
          <w:sz w:val="11"/>
        </w:rPr>
        <w:t>AMIODARONE </w:t>
      </w:r>
      <w:r>
        <w:rPr>
          <w:color w:val="231F1F"/>
          <w:w w:val="110"/>
        </w:rPr>
        <w:t>(reduce dose of eplerenone); hypokalaemia caused by acetazolamide, loop diuretics or thiazides and related diuretics increases cardiac toxicity with </w:t>
      </w:r>
      <w:r>
        <w:rPr>
          <w:rFonts w:ascii="Arial"/>
          <w:color w:val="231F1F"/>
          <w:w w:val="355"/>
          <w:position w:val="1"/>
          <w:sz w:val="7"/>
        </w:rPr>
        <w:t>l </w:t>
      </w:r>
      <w:r>
        <w:rPr>
          <w:rFonts w:ascii="Calibri"/>
          <w:color w:val="008356"/>
          <w:w w:val="110"/>
          <w:sz w:val="11"/>
        </w:rPr>
        <w:t>DISOPYRAMIDE</w:t>
      </w:r>
      <w:r>
        <w:rPr>
          <w:color w:val="231F1F"/>
          <w:w w:val="110"/>
        </w:rPr>
        <w:t>; hypokalaemia caused by acetazolamide, loop diuretics or thiazides and related diuretics increases cardiac toxicity with </w:t>
      </w:r>
      <w:r>
        <w:rPr>
          <w:rFonts w:ascii="Arial"/>
          <w:color w:val="231F1F"/>
          <w:w w:val="355"/>
          <w:position w:val="1"/>
          <w:sz w:val="7"/>
        </w:rPr>
        <w:t>l </w:t>
      </w:r>
      <w:r>
        <w:rPr>
          <w:rFonts w:ascii="Calibri"/>
          <w:color w:val="008356"/>
          <w:w w:val="110"/>
          <w:sz w:val="11"/>
        </w:rPr>
        <w:t>FLECAINIDE</w:t>
      </w:r>
      <w:r>
        <w:rPr>
          <w:color w:val="231F1F"/>
          <w:w w:val="110"/>
        </w:rPr>
        <w:t>; hypokalaemia caused by acetazolamide, loop diuretics or thiazides and related diuretics antagonises action of</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LIDOCAINE</w:t>
      </w:r>
    </w:p>
    <w:p>
      <w:pPr>
        <w:pStyle w:val="BodyText"/>
        <w:spacing w:line="242" w:lineRule="auto"/>
        <w:ind w:right="109"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eplerenone increased by </w:t>
      </w:r>
      <w:r>
        <w:rPr>
          <w:rFonts w:ascii="Arial" w:hAnsi="Arial"/>
          <w:color w:val="231F1F"/>
          <w:w w:val="355"/>
          <w:position w:val="1"/>
          <w:sz w:val="7"/>
        </w:rPr>
        <w:t>l </w:t>
      </w:r>
      <w:r>
        <w:rPr>
          <w:rFonts w:ascii="Calibri" w:hAnsi="Calibri"/>
          <w:color w:val="008356"/>
          <w:w w:val="110"/>
          <w:sz w:val="11"/>
        </w:rPr>
        <w:t>CLARITHROMYCIN </w:t>
      </w:r>
      <w:r>
        <w:rPr>
          <w:color w:val="231F1F"/>
          <w:w w:val="110"/>
        </w:rPr>
        <w:t>and </w:t>
      </w:r>
      <w:r>
        <w:rPr>
          <w:rFonts w:ascii="Arial" w:hAnsi="Arial"/>
          <w:color w:val="231F1F"/>
          <w:w w:val="355"/>
          <w:position w:val="1"/>
          <w:sz w:val="7"/>
        </w:rPr>
        <w:t>l </w:t>
      </w:r>
      <w:r>
        <w:rPr>
          <w:rFonts w:ascii="Calibri" w:hAnsi="Calibri"/>
          <w:color w:val="008356"/>
          <w:w w:val="110"/>
          <w:sz w:val="11"/>
        </w:rPr>
        <w:t>TELITHROMYCIN</w:t>
      </w:r>
      <w:r>
        <w:rPr>
          <w:rFonts w:ascii="Arial" w:hAnsi="Arial"/>
          <w:color w:val="231F1F"/>
          <w:w w:val="110"/>
        </w:rPr>
        <w:t>—</w:t>
      </w:r>
      <w:r>
        <w:rPr>
          <w:color w:val="231F1F"/>
          <w:w w:val="110"/>
        </w:rPr>
        <w:t>avoid concomitant use; plasma concentration of eplerenone increased by </w:t>
      </w:r>
      <w:r>
        <w:rPr>
          <w:rFonts w:ascii="Calibri" w:hAnsi="Calibri"/>
          <w:color w:val="008356"/>
          <w:w w:val="110"/>
          <w:sz w:val="11"/>
        </w:rPr>
        <w:t>ERYTHROMYCIN </w:t>
      </w:r>
      <w:r>
        <w:rPr>
          <w:color w:val="231F1F"/>
          <w:w w:val="110"/>
        </w:rPr>
        <w:t>(reduce dose of eplerenone); plasma concentration of eplerenone reduced by</w:t>
      </w:r>
    </w:p>
    <w:p>
      <w:pPr>
        <w:spacing w:line="244" w:lineRule="auto" w:before="6"/>
        <w:ind w:left="208" w:right="109" w:firstLine="0"/>
        <w:jc w:val="left"/>
        <w:rPr>
          <w:rFonts w:ascii="Calibri" w:hAnsi="Calibri"/>
          <w:sz w:val="11"/>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diuretics advised by manufacturer of </w:t>
      </w:r>
      <w:r>
        <w:rPr>
          <w:rFonts w:ascii="Calibri" w:hAnsi="Calibri"/>
          <w:color w:val="008356"/>
          <w:spacing w:val="3"/>
          <w:w w:val="110"/>
          <w:sz w:val="11"/>
        </w:rPr>
        <w:t>LYMECYCLINE</w:t>
      </w:r>
      <w:r>
        <w:rPr>
          <w:color w:val="231F1F"/>
          <w:spacing w:val="3"/>
          <w:w w:val="110"/>
          <w:sz w:val="12"/>
        </w:rPr>
        <w:t>; </w:t>
      </w:r>
      <w:r>
        <w:rPr>
          <w:color w:val="231F1F"/>
          <w:w w:val="110"/>
          <w:sz w:val="12"/>
        </w:rPr>
        <w:t>increased risk of otoxicity</w:t>
      </w:r>
      <w:r>
        <w:rPr>
          <w:color w:val="231F1F"/>
          <w:spacing w:val="-10"/>
          <w:w w:val="110"/>
          <w:sz w:val="12"/>
        </w:rPr>
        <w:t> </w:t>
      </w:r>
      <w:r>
        <w:rPr>
          <w:color w:val="231F1F"/>
          <w:w w:val="110"/>
          <w:sz w:val="12"/>
        </w:rPr>
        <w:t>when</w:t>
      </w:r>
      <w:r>
        <w:rPr>
          <w:color w:val="231F1F"/>
          <w:spacing w:val="-9"/>
          <w:w w:val="110"/>
          <w:sz w:val="12"/>
        </w:rPr>
        <w:t> </w:t>
      </w:r>
      <w:r>
        <w:rPr>
          <w:color w:val="231F1F"/>
          <w:w w:val="110"/>
          <w:sz w:val="12"/>
        </w:rPr>
        <w:t>loop</w:t>
      </w:r>
      <w:r>
        <w:rPr>
          <w:color w:val="231F1F"/>
          <w:spacing w:val="-9"/>
          <w:w w:val="110"/>
          <w:sz w:val="12"/>
        </w:rPr>
        <w:t> </w:t>
      </w:r>
      <w:r>
        <w:rPr>
          <w:color w:val="231F1F"/>
          <w:w w:val="110"/>
          <w:sz w:val="12"/>
        </w:rPr>
        <w:t>diuretics</w:t>
      </w:r>
      <w:r>
        <w:rPr>
          <w:color w:val="231F1F"/>
          <w:spacing w:val="-9"/>
          <w:w w:val="110"/>
          <w:sz w:val="12"/>
        </w:rPr>
        <w:t> </w:t>
      </w:r>
      <w:r>
        <w:rPr>
          <w:color w:val="231F1F"/>
          <w:w w:val="110"/>
          <w:sz w:val="12"/>
        </w:rPr>
        <w:t>given</w:t>
      </w:r>
      <w:r>
        <w:rPr>
          <w:color w:val="231F1F"/>
          <w:spacing w:val="-10"/>
          <w:w w:val="110"/>
          <w:sz w:val="12"/>
        </w:rPr>
        <w:t> </w:t>
      </w:r>
      <w:r>
        <w:rPr>
          <w:color w:val="231F1F"/>
          <w:w w:val="110"/>
          <w:sz w:val="12"/>
        </w:rPr>
        <w:t>with</w:t>
      </w:r>
      <w:r>
        <w:rPr>
          <w:color w:val="231F1F"/>
          <w:spacing w:val="-8"/>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AMINOGLYCOSIDES</w:t>
      </w:r>
      <w:r>
        <w:rPr>
          <w:color w:val="231F1F"/>
          <w:spacing w:val="4"/>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POLYMYXINS</w:t>
      </w:r>
      <w:r>
        <w:rPr>
          <w:rFonts w:ascii="Calibri" w:hAnsi="Calibri"/>
          <w:color w:val="008356"/>
          <w:spacing w:val="2"/>
          <w:w w:val="110"/>
          <w:sz w:val="11"/>
        </w:rPr>
        <w:t> </w:t>
      </w:r>
      <w:r>
        <w:rPr>
          <w:color w:val="231F1F"/>
          <w:w w:val="110"/>
          <w:sz w:val="12"/>
        </w:rPr>
        <w:t>or</w:t>
      </w:r>
      <w:r>
        <w:rPr>
          <w:color w:val="231F1F"/>
          <w:spacing w:val="-9"/>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0"/>
          <w:sz w:val="11"/>
        </w:rPr>
        <w:t>VANCOMYCIN</w:t>
      </w:r>
      <w:r>
        <w:rPr>
          <w:color w:val="231F1F"/>
          <w:spacing w:val="3"/>
          <w:w w:val="110"/>
          <w:sz w:val="12"/>
        </w:rPr>
        <w:t>;</w:t>
      </w:r>
      <w:r>
        <w:rPr>
          <w:color w:val="231F1F"/>
          <w:spacing w:val="-8"/>
          <w:w w:val="110"/>
          <w:sz w:val="12"/>
        </w:rPr>
        <w:t> </w:t>
      </w:r>
      <w:r>
        <w:rPr>
          <w:color w:val="231F1F"/>
          <w:w w:val="110"/>
          <w:sz w:val="12"/>
        </w:rPr>
        <w:t>acetazolamide</w:t>
      </w:r>
      <w:r>
        <w:rPr>
          <w:color w:val="231F1F"/>
          <w:spacing w:val="-10"/>
          <w:w w:val="110"/>
          <w:sz w:val="12"/>
        </w:rPr>
        <w:t> </w:t>
      </w:r>
      <w:r>
        <w:rPr>
          <w:color w:val="231F1F"/>
          <w:w w:val="110"/>
          <w:sz w:val="12"/>
        </w:rPr>
        <w:t>antagonises effects of </w:t>
      </w:r>
      <w:r>
        <w:rPr>
          <w:rFonts w:ascii="Arial" w:hAnsi="Arial"/>
          <w:color w:val="231F1F"/>
          <w:w w:val="355"/>
          <w:position w:val="1"/>
          <w:sz w:val="7"/>
        </w:rPr>
        <w:t>l </w:t>
      </w:r>
      <w:r>
        <w:rPr>
          <w:rFonts w:ascii="Calibri" w:hAnsi="Calibri"/>
          <w:color w:val="008356"/>
          <w:spacing w:val="4"/>
          <w:w w:val="110"/>
          <w:sz w:val="11"/>
        </w:rPr>
        <w:t>METHENAMINE</w:t>
      </w:r>
      <w:r>
        <w:rPr>
          <w:color w:val="231F1F"/>
          <w:spacing w:val="4"/>
          <w:w w:val="110"/>
          <w:sz w:val="12"/>
        </w:rPr>
        <w:t>; </w:t>
      </w:r>
      <w:r>
        <w:rPr>
          <w:color w:val="231F1F"/>
          <w:w w:val="110"/>
          <w:sz w:val="12"/>
        </w:rPr>
        <w:t>possible increased risk of hyperkalaemia when spironolactone given with </w:t>
      </w:r>
      <w:r>
        <w:rPr>
          <w:rFonts w:ascii="Calibri" w:hAnsi="Calibri"/>
          <w:color w:val="008356"/>
          <w:spacing w:val="4"/>
          <w:w w:val="110"/>
          <w:sz w:val="11"/>
        </w:rPr>
        <w:t>TRIMETHOPRIM</w:t>
      </w:r>
      <w:r>
        <w:rPr>
          <w:color w:val="231F1F"/>
          <w:spacing w:val="4"/>
          <w:w w:val="110"/>
          <w:sz w:val="12"/>
        </w:rPr>
        <w:t>; </w:t>
      </w:r>
      <w:r>
        <w:rPr>
          <w:color w:val="231F1F"/>
          <w:w w:val="110"/>
          <w:sz w:val="12"/>
        </w:rPr>
        <w:t>increased risk of hyperkalaemia when eplerenone given with</w:t>
      </w:r>
      <w:r>
        <w:rPr>
          <w:color w:val="231F1F"/>
          <w:spacing w:val="-11"/>
          <w:w w:val="110"/>
          <w:sz w:val="12"/>
        </w:rPr>
        <w:t> </w:t>
      </w:r>
      <w:r>
        <w:rPr>
          <w:rFonts w:ascii="Calibri" w:hAnsi="Calibri"/>
          <w:color w:val="008356"/>
          <w:spacing w:val="5"/>
          <w:w w:val="110"/>
          <w:sz w:val="11"/>
        </w:rPr>
        <w:t>TRIMETHOPRIM</w:t>
      </w:r>
    </w:p>
    <w:p>
      <w:pPr>
        <w:pStyle w:val="BodyText"/>
        <w:spacing w:line="138" w:lineRule="exact"/>
        <w:ind w:left="108"/>
      </w:pPr>
      <w:r>
        <w:rPr>
          <w:rFonts w:ascii="Arial"/>
          <w:color w:val="231F1F"/>
          <w:w w:val="355"/>
          <w:position w:val="1"/>
          <w:sz w:val="7"/>
        </w:rPr>
        <w:t>l</w:t>
      </w:r>
      <w:r>
        <w:rPr>
          <w:rFonts w:ascii="Arial"/>
          <w:color w:val="231F1F"/>
          <w:spacing w:val="-44"/>
          <w:w w:val="355"/>
          <w:position w:val="1"/>
          <w:sz w:val="7"/>
        </w:rPr>
        <w:t> </w:t>
      </w:r>
      <w:r>
        <w:rPr>
          <w:rFonts w:ascii="Calibri"/>
          <w:color w:val="231F1F"/>
          <w:w w:val="110"/>
        </w:rPr>
        <w:t>Antidepressants: </w:t>
      </w:r>
      <w:r>
        <w:rPr>
          <w:color w:val="231F1F"/>
          <w:w w:val="110"/>
        </w:rPr>
        <w:t>possible increased risk of hypokalaemia when</w:t>
      </w:r>
    </w:p>
    <w:p>
      <w:pPr>
        <w:pStyle w:val="BodyText"/>
      </w:pPr>
      <w:r>
        <w:rPr>
          <w:color w:val="231F1F"/>
          <w:w w:val="115"/>
        </w:rPr>
        <w:t>loop diuretics or thiazides and related diuretics given with</w:t>
      </w:r>
    </w:p>
    <w:p>
      <w:pPr>
        <w:pStyle w:val="BodyText"/>
        <w:spacing w:before="4"/>
      </w:pPr>
      <w:r>
        <w:rPr>
          <w:rFonts w:ascii="Calibri"/>
          <w:color w:val="008356"/>
          <w:w w:val="115"/>
          <w:sz w:val="11"/>
        </w:rPr>
        <w:t>REBOXETINE</w:t>
      </w:r>
      <w:r>
        <w:rPr>
          <w:color w:val="231F1F"/>
          <w:w w:val="115"/>
        </w:rPr>
        <w:t>; enhanced hypotensive effect when diuretics</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Diuretics</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3520" filled="true" fillcolor="#bfdbcf" stroked="false">
            <v:fill type="solid"/>
            <w10:wrap type="none"/>
          </v:rect>
        </w:pict>
      </w:r>
      <w:r>
        <w:rPr/>
        <w:pict>
          <v:shape style="position:absolute;margin-left:399.725769pt;margin-top:-3.466702pt;width:10.4pt;height:78.850pt;mso-position-horizontal-relative:page;mso-position-vertical-relative:paragraph;z-index:354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Antidepressants (continued)</w:t>
      </w:r>
    </w:p>
    <w:p>
      <w:pPr>
        <w:pStyle w:val="BodyText"/>
        <w:spacing w:line="244" w:lineRule="auto"/>
        <w:ind w:right="670"/>
        <w:rPr>
          <w:rFonts w:ascii="Calibri" w:hAnsi="Calibri"/>
          <w:sz w:val="11"/>
        </w:rPr>
      </w:pPr>
      <w:r>
        <w:rPr>
          <w:color w:val="231F1F"/>
          <w:w w:val="115"/>
        </w:rPr>
        <w:t>given with </w:t>
      </w:r>
      <w:r>
        <w:rPr>
          <w:rFonts w:ascii="Calibri" w:hAnsi="Calibri"/>
          <w:color w:val="008356"/>
          <w:w w:val="115"/>
          <w:sz w:val="11"/>
        </w:rPr>
        <w:t>MAOI</w:t>
      </w:r>
      <w:r>
        <w:rPr>
          <w:rFonts w:ascii="Calibri" w:hAnsi="Calibri"/>
          <w:color w:val="008356"/>
          <w:w w:val="115"/>
          <w:sz w:val="9"/>
        </w:rPr>
        <w:t>S</w:t>
      </w:r>
      <w:r>
        <w:rPr>
          <w:color w:val="231F1F"/>
          <w:w w:val="115"/>
        </w:rPr>
        <w:t>; plasma concentration of eplerenone reduced by </w:t>
      </w:r>
      <w:r>
        <w:rPr>
          <w:rFonts w:ascii="Arial" w:hAnsi="Arial"/>
          <w:color w:val="231F1F"/>
          <w:w w:val="355"/>
          <w:position w:val="1"/>
          <w:sz w:val="7"/>
        </w:rPr>
        <w:t>l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rFonts w:ascii="Arial" w:hAnsi="Arial"/>
          <w:color w:val="231F1F"/>
          <w:w w:val="115"/>
        </w:rPr>
        <w:t>—</w:t>
      </w:r>
      <w:r>
        <w:rPr>
          <w:color w:val="231F1F"/>
          <w:w w:val="115"/>
        </w:rPr>
        <w:t>avoid concomitant use; increased risk of postural hypotension when diuretics given with </w:t>
      </w:r>
      <w:r>
        <w:rPr>
          <w:rFonts w:ascii="Calibri" w:hAnsi="Calibri"/>
          <w:color w:val="008356"/>
          <w:w w:val="115"/>
          <w:sz w:val="11"/>
        </w:rPr>
        <w:t>TRICYCLICS</w:t>
      </w:r>
    </w:p>
    <w:p>
      <w:pPr>
        <w:pStyle w:val="BodyText"/>
        <w:spacing w:line="242" w:lineRule="auto"/>
        <w:ind w:right="79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loop diuretics and thiazides and related diuretics antagonise hypoglycaemic effect of </w:t>
      </w:r>
      <w:r>
        <w:rPr>
          <w:rFonts w:ascii="Calibri" w:hAnsi="Calibri"/>
          <w:color w:val="008356"/>
          <w:w w:val="110"/>
          <w:sz w:val="11"/>
        </w:rPr>
        <w:t>ANTIDIABETICS</w:t>
      </w:r>
      <w:r>
        <w:rPr>
          <w:color w:val="231F1F"/>
          <w:w w:val="110"/>
        </w:rPr>
        <w:t>; diuretic effect of diuretics possibly enhanced by </w:t>
      </w:r>
      <w:r>
        <w:rPr>
          <w:rFonts w:ascii="Calibri" w:hAnsi="Calibri"/>
          <w:color w:val="008356"/>
          <w:w w:val="110"/>
          <w:sz w:val="11"/>
        </w:rPr>
        <w:t>CANAGLIFLOZIN</w:t>
      </w:r>
      <w:r>
        <w:rPr>
          <w:color w:val="231F1F"/>
          <w:w w:val="110"/>
        </w:rPr>
        <w:t>; avoidance of loop diuretics advised by manufacturer of </w:t>
      </w:r>
      <w:r>
        <w:rPr>
          <w:rFonts w:ascii="Calibri" w:hAnsi="Calibri"/>
          <w:color w:val="008356"/>
          <w:w w:val="110"/>
          <w:sz w:val="11"/>
        </w:rPr>
        <w:t>CANAGLIFLOZIN</w:t>
      </w:r>
      <w:r>
        <w:rPr>
          <w:color w:val="231F1F"/>
          <w:w w:val="110"/>
        </w:rPr>
        <w:t>; diuretic effect of loop diuretics and thiazides and related diuretics possibly enhanced by </w:t>
      </w:r>
      <w:r>
        <w:rPr>
          <w:rFonts w:ascii="Calibri" w:hAnsi="Calibri"/>
          <w:color w:val="008356"/>
          <w:w w:val="110"/>
          <w:sz w:val="11"/>
        </w:rPr>
        <w:t>DAPAGLIFLOZIN</w:t>
      </w:r>
    </w:p>
    <w:p>
      <w:pPr>
        <w:pStyle w:val="BodyText"/>
        <w:spacing w:line="138" w:lineRule="exact"/>
        <w:ind w:left="108"/>
        <w:jc w:val="both"/>
      </w:pPr>
      <w:r>
        <w:rPr>
          <w:rFonts w:ascii="Arial"/>
          <w:color w:val="231F1F"/>
          <w:w w:val="355"/>
          <w:position w:val="1"/>
          <w:sz w:val="7"/>
        </w:rPr>
        <w:t>l </w:t>
      </w:r>
      <w:r>
        <w:rPr>
          <w:rFonts w:ascii="Calibri"/>
          <w:color w:val="231F1F"/>
          <w:w w:val="110"/>
        </w:rPr>
        <w:t>Antiepileptics: </w:t>
      </w:r>
      <w:r>
        <w:rPr>
          <w:color w:val="231F1F"/>
          <w:w w:val="110"/>
        </w:rPr>
        <w:t>plasma concentration of eplerenone reduced by</w:t>
      </w:r>
    </w:p>
    <w:p>
      <w:pPr>
        <w:spacing w:line="141" w:lineRule="exact" w:before="0"/>
        <w:ind w:left="208" w:right="0" w:firstLine="0"/>
        <w:jc w:val="both"/>
        <w:rPr>
          <w:sz w:val="12"/>
        </w:rPr>
      </w:pPr>
      <w:r>
        <w:rPr>
          <w:rFonts w:ascii="Arial"/>
          <w:color w:val="231F1F"/>
          <w:w w:val="355"/>
          <w:position w:val="1"/>
          <w:sz w:val="7"/>
        </w:rPr>
        <w:t>l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w:t>
      </w:r>
    </w:p>
    <w:p>
      <w:pPr>
        <w:spacing w:line="244" w:lineRule="auto" w:before="0"/>
        <w:ind w:left="208" w:right="724" w:firstLine="0"/>
        <w:jc w:val="left"/>
        <w:rPr>
          <w:sz w:val="12"/>
        </w:rPr>
      </w:pPr>
      <w:r>
        <w:rPr>
          <w:rFonts w:ascii="Arial" w:hAnsi="Arial"/>
          <w:color w:val="231F1F"/>
          <w:w w:val="355"/>
          <w:position w:val="1"/>
          <w:sz w:val="7"/>
        </w:rPr>
        <w:t>l </w:t>
      </w:r>
      <w:r>
        <w:rPr>
          <w:rFonts w:ascii="Calibri" w:hAnsi="Calibri"/>
          <w:color w:val="008356"/>
          <w:w w:val="110"/>
          <w:sz w:val="11"/>
        </w:rPr>
        <w:t>PHENYTOIN </w:t>
      </w:r>
      <w:r>
        <w:rPr>
          <w:color w:val="231F1F"/>
          <w:w w:val="110"/>
          <w:sz w:val="12"/>
        </w:rPr>
        <w:t>and </w:t>
      </w:r>
      <w:r>
        <w:rPr>
          <w:rFonts w:ascii="Arial" w:hAnsi="Arial"/>
          <w:color w:val="231F1F"/>
          <w:w w:val="355"/>
          <w:position w:val="1"/>
          <w:sz w:val="7"/>
        </w:rPr>
        <w:t>l </w:t>
      </w:r>
      <w:r>
        <w:rPr>
          <w:rFonts w:ascii="Calibri" w:hAnsi="Calibri"/>
          <w:color w:val="008356"/>
          <w:w w:val="110"/>
          <w:sz w:val="11"/>
        </w:rPr>
        <w:t>PRIMIDONE</w:t>
      </w:r>
      <w:r>
        <w:rPr>
          <w:rFonts w:ascii="Arial" w:hAnsi="Arial"/>
          <w:color w:val="231F1F"/>
          <w:w w:val="110"/>
          <w:sz w:val="12"/>
        </w:rPr>
        <w:t>—</w:t>
      </w:r>
      <w:r>
        <w:rPr>
          <w:color w:val="231F1F"/>
          <w:w w:val="110"/>
          <w:sz w:val="12"/>
        </w:rPr>
        <w:t>avoid concomitant use; increased risk of hyponatraemia when diuretics given with </w:t>
      </w:r>
      <w:r>
        <w:rPr>
          <w:rFonts w:ascii="Calibri" w:hAnsi="Calibri"/>
          <w:color w:val="008356"/>
          <w:w w:val="110"/>
          <w:sz w:val="11"/>
        </w:rPr>
        <w:t>CARBAMAZEPINE</w:t>
      </w:r>
      <w:r>
        <w:rPr>
          <w:color w:val="231F1F"/>
          <w:w w:val="110"/>
          <w:sz w:val="12"/>
        </w:rPr>
        <w:t>; acetazolamide increases plasma concentration of </w:t>
      </w:r>
      <w:r>
        <w:rPr>
          <w:rFonts w:ascii="Arial" w:hAnsi="Arial"/>
          <w:color w:val="231F1F"/>
          <w:w w:val="355"/>
          <w:position w:val="1"/>
          <w:sz w:val="7"/>
        </w:rPr>
        <w:t>l </w:t>
      </w:r>
      <w:r>
        <w:rPr>
          <w:rFonts w:ascii="Calibri" w:hAnsi="Calibri"/>
          <w:color w:val="008356"/>
          <w:w w:val="110"/>
          <w:sz w:val="11"/>
        </w:rPr>
        <w:t>CARBAMAZEPINE</w:t>
      </w:r>
      <w:r>
        <w:rPr>
          <w:color w:val="231F1F"/>
          <w:w w:val="110"/>
          <w:sz w:val="12"/>
        </w:rPr>
        <w:t>; effects of furosemide antagonised by </w:t>
      </w:r>
      <w:r>
        <w:rPr>
          <w:rFonts w:ascii="Calibri" w:hAnsi="Calibri"/>
          <w:color w:val="008356"/>
          <w:w w:val="110"/>
          <w:sz w:val="11"/>
        </w:rPr>
        <w:t>FOSPHENYTOIN </w:t>
      </w:r>
      <w:r>
        <w:rPr>
          <w:color w:val="231F1F"/>
          <w:w w:val="110"/>
          <w:sz w:val="12"/>
        </w:rPr>
        <w:t>and </w:t>
      </w:r>
      <w:r>
        <w:rPr>
          <w:rFonts w:ascii="Calibri" w:hAnsi="Calibri"/>
          <w:color w:val="008356"/>
          <w:w w:val="110"/>
          <w:sz w:val="11"/>
        </w:rPr>
        <w:t>PHENYTOIN</w:t>
      </w:r>
      <w:r>
        <w:rPr>
          <w:color w:val="231F1F"/>
          <w:w w:val="110"/>
          <w:sz w:val="12"/>
        </w:rPr>
        <w:t>; acetazolamide possibly increases plasma concentration of </w:t>
      </w:r>
      <w:r>
        <w:rPr>
          <w:rFonts w:ascii="Arial" w:hAnsi="Arial"/>
          <w:color w:val="231F1F"/>
          <w:w w:val="355"/>
          <w:position w:val="1"/>
          <w:sz w:val="7"/>
        </w:rPr>
        <w:t>l </w:t>
      </w:r>
      <w:r>
        <w:rPr>
          <w:rFonts w:ascii="Calibri" w:hAnsi="Calibri"/>
          <w:color w:val="008356"/>
          <w:w w:val="110"/>
          <w:sz w:val="11"/>
        </w:rPr>
        <w:t>FOSPHENYTOIN </w:t>
      </w:r>
      <w:r>
        <w:rPr>
          <w:color w:val="231F1F"/>
          <w:w w:val="110"/>
          <w:sz w:val="12"/>
        </w:rPr>
        <w:t>and </w:t>
      </w:r>
      <w:r>
        <w:rPr>
          <w:rFonts w:ascii="Arial" w:hAnsi="Arial"/>
          <w:color w:val="231F1F"/>
          <w:w w:val="355"/>
          <w:position w:val="1"/>
          <w:sz w:val="7"/>
        </w:rPr>
        <w:t>l </w:t>
      </w:r>
      <w:r>
        <w:rPr>
          <w:rFonts w:ascii="Calibri" w:hAnsi="Calibri"/>
          <w:color w:val="008356"/>
          <w:w w:val="110"/>
          <w:sz w:val="11"/>
        </w:rPr>
        <w:t>PHENYTOIN</w:t>
      </w:r>
      <w:r>
        <w:rPr>
          <w:color w:val="231F1F"/>
          <w:w w:val="110"/>
          <w:sz w:val="12"/>
        </w:rPr>
        <w:t>; increased risk of osteomalacia when carbonic anhydrase inhibitors given with </w:t>
      </w:r>
      <w:r>
        <w:rPr>
          <w:rFonts w:ascii="Calibri" w:hAnsi="Calibri"/>
          <w:color w:val="008356"/>
          <w:w w:val="110"/>
          <w:sz w:val="11"/>
        </w:rPr>
        <w:t>FOSPHENYTOIN</w:t>
      </w:r>
      <w:r>
        <w:rPr>
          <w:color w:val="231F1F"/>
          <w:w w:val="110"/>
          <w:sz w:val="12"/>
        </w:rPr>
        <w:t>, </w:t>
      </w:r>
      <w:r>
        <w:rPr>
          <w:rFonts w:ascii="Calibri" w:hAnsi="Calibri"/>
          <w:color w:val="008356"/>
          <w:w w:val="110"/>
          <w:sz w:val="11"/>
        </w:rPr>
        <w:t>PHENOBARBITAL</w:t>
      </w:r>
      <w:r>
        <w:rPr>
          <w:color w:val="231F1F"/>
          <w:w w:val="110"/>
          <w:sz w:val="12"/>
        </w:rPr>
        <w:t>, </w:t>
      </w:r>
      <w:r>
        <w:rPr>
          <w:rFonts w:ascii="Calibri" w:hAnsi="Calibri"/>
          <w:color w:val="008356"/>
          <w:w w:val="110"/>
          <w:sz w:val="11"/>
        </w:rPr>
        <w:t>PHENYTOIN </w:t>
      </w:r>
      <w:r>
        <w:rPr>
          <w:color w:val="231F1F"/>
          <w:w w:val="110"/>
          <w:sz w:val="12"/>
        </w:rPr>
        <w:t>or </w:t>
      </w:r>
      <w:r>
        <w:rPr>
          <w:rFonts w:ascii="Calibri" w:hAnsi="Calibri"/>
          <w:color w:val="008356"/>
          <w:w w:val="110"/>
          <w:sz w:val="11"/>
        </w:rPr>
        <w:t>PRIMIDONE</w:t>
      </w:r>
      <w:r>
        <w:rPr>
          <w:color w:val="231F1F"/>
          <w:w w:val="110"/>
          <w:sz w:val="12"/>
        </w:rPr>
        <w:t>;</w:t>
      </w:r>
    </w:p>
    <w:p>
      <w:pPr>
        <w:pStyle w:val="BodyText"/>
        <w:spacing w:line="247" w:lineRule="auto"/>
        <w:ind w:right="696"/>
        <w:jc w:val="both"/>
        <w:rPr>
          <w:rFonts w:ascii="Calibri"/>
          <w:sz w:val="11"/>
        </w:rPr>
      </w:pPr>
      <w:r>
        <w:rPr>
          <w:color w:val="231F1F"/>
          <w:w w:val="115"/>
        </w:rPr>
        <w:t>hydrochlorothiazide possibly increases plasma</w:t>
      </w:r>
      <w:r>
        <w:rPr>
          <w:color w:val="231F1F"/>
          <w:spacing w:val="-22"/>
          <w:w w:val="115"/>
        </w:rPr>
        <w:t> </w:t>
      </w:r>
      <w:r>
        <w:rPr>
          <w:color w:val="231F1F"/>
          <w:spacing w:val="-2"/>
          <w:w w:val="115"/>
        </w:rPr>
        <w:t>concentration </w:t>
      </w:r>
      <w:r>
        <w:rPr>
          <w:color w:val="231F1F"/>
          <w:w w:val="115"/>
        </w:rPr>
        <w:t>of</w:t>
      </w:r>
      <w:r>
        <w:rPr>
          <w:color w:val="231F1F"/>
          <w:spacing w:val="-22"/>
          <w:w w:val="115"/>
        </w:rPr>
        <w:t> </w:t>
      </w:r>
      <w:r>
        <w:rPr>
          <w:rFonts w:ascii="Calibri"/>
          <w:color w:val="008356"/>
          <w:spacing w:val="4"/>
          <w:w w:val="115"/>
          <w:sz w:val="11"/>
        </w:rPr>
        <w:t>TOPIRAMATE</w:t>
      </w:r>
      <w:r>
        <w:rPr>
          <w:color w:val="231F1F"/>
          <w:spacing w:val="4"/>
          <w:w w:val="115"/>
        </w:rPr>
        <w:t>;</w:t>
      </w:r>
      <w:r>
        <w:rPr>
          <w:color w:val="231F1F"/>
          <w:spacing w:val="-21"/>
          <w:w w:val="115"/>
        </w:rPr>
        <w:t> </w:t>
      </w:r>
      <w:r>
        <w:rPr>
          <w:color w:val="231F1F"/>
          <w:w w:val="115"/>
        </w:rPr>
        <w:t>avoidance</w:t>
      </w:r>
      <w:r>
        <w:rPr>
          <w:color w:val="231F1F"/>
          <w:spacing w:val="-21"/>
          <w:w w:val="115"/>
        </w:rPr>
        <w:t> </w:t>
      </w:r>
      <w:r>
        <w:rPr>
          <w:color w:val="231F1F"/>
          <w:w w:val="115"/>
        </w:rPr>
        <w:t>of</w:t>
      </w:r>
      <w:r>
        <w:rPr>
          <w:color w:val="231F1F"/>
          <w:spacing w:val="-21"/>
          <w:w w:val="115"/>
        </w:rPr>
        <w:t> </w:t>
      </w:r>
      <w:r>
        <w:rPr>
          <w:color w:val="231F1F"/>
          <w:w w:val="115"/>
        </w:rPr>
        <w:t>carbonic</w:t>
      </w:r>
      <w:r>
        <w:rPr>
          <w:color w:val="231F1F"/>
          <w:spacing w:val="-21"/>
          <w:w w:val="115"/>
        </w:rPr>
        <w:t> </w:t>
      </w:r>
      <w:r>
        <w:rPr>
          <w:color w:val="231F1F"/>
          <w:w w:val="115"/>
        </w:rPr>
        <w:t>anhydrase</w:t>
      </w:r>
      <w:r>
        <w:rPr>
          <w:color w:val="231F1F"/>
          <w:spacing w:val="-22"/>
          <w:w w:val="115"/>
        </w:rPr>
        <w:t> </w:t>
      </w:r>
      <w:r>
        <w:rPr>
          <w:color w:val="231F1F"/>
          <w:w w:val="115"/>
        </w:rPr>
        <w:t>inhibitors</w:t>
      </w:r>
      <w:r>
        <w:rPr>
          <w:color w:val="231F1F"/>
          <w:spacing w:val="-21"/>
          <w:w w:val="115"/>
        </w:rPr>
        <w:t> </w:t>
      </w:r>
      <w:r>
        <w:rPr>
          <w:color w:val="231F1F"/>
          <w:w w:val="115"/>
        </w:rPr>
        <w:t>in children</w:t>
      </w:r>
      <w:r>
        <w:rPr>
          <w:color w:val="231F1F"/>
          <w:spacing w:val="-9"/>
          <w:w w:val="115"/>
        </w:rPr>
        <w:t> </w:t>
      </w:r>
      <w:r>
        <w:rPr>
          <w:color w:val="231F1F"/>
          <w:w w:val="115"/>
        </w:rPr>
        <w:t>advised</w:t>
      </w:r>
      <w:r>
        <w:rPr>
          <w:color w:val="231F1F"/>
          <w:spacing w:val="-8"/>
          <w:w w:val="115"/>
        </w:rPr>
        <w:t> </w:t>
      </w:r>
      <w:r>
        <w:rPr>
          <w:color w:val="231F1F"/>
          <w:w w:val="115"/>
        </w:rPr>
        <w:t>by</w:t>
      </w:r>
      <w:r>
        <w:rPr>
          <w:color w:val="231F1F"/>
          <w:spacing w:val="-9"/>
          <w:w w:val="115"/>
        </w:rPr>
        <w:t> </w:t>
      </w:r>
      <w:r>
        <w:rPr>
          <w:color w:val="231F1F"/>
          <w:w w:val="115"/>
        </w:rPr>
        <w:t>manufacturer</w:t>
      </w:r>
      <w:r>
        <w:rPr>
          <w:color w:val="231F1F"/>
          <w:spacing w:val="-8"/>
          <w:w w:val="115"/>
        </w:rPr>
        <w:t> </w:t>
      </w:r>
      <w:r>
        <w:rPr>
          <w:color w:val="231F1F"/>
          <w:w w:val="115"/>
        </w:rPr>
        <w:t>of</w:t>
      </w:r>
      <w:r>
        <w:rPr>
          <w:color w:val="231F1F"/>
          <w:spacing w:val="-8"/>
          <w:w w:val="115"/>
        </w:rPr>
        <w:t> </w:t>
      </w:r>
      <w:r>
        <w:rPr>
          <w:rFonts w:ascii="Calibri"/>
          <w:color w:val="008356"/>
          <w:spacing w:val="5"/>
          <w:w w:val="115"/>
          <w:sz w:val="11"/>
        </w:rPr>
        <w:t>ZONISAMIDE</w:t>
      </w:r>
    </w:p>
    <w:p>
      <w:pPr>
        <w:pStyle w:val="BodyText"/>
        <w:spacing w:line="139" w:lineRule="exact"/>
        <w:ind w:left="108"/>
        <w:jc w:val="both"/>
      </w:pPr>
      <w:r>
        <w:rPr>
          <w:rFonts w:ascii="Arial"/>
          <w:color w:val="231F1F"/>
          <w:w w:val="355"/>
          <w:position w:val="1"/>
          <w:sz w:val="7"/>
        </w:rPr>
        <w:t>l </w:t>
      </w:r>
      <w:r>
        <w:rPr>
          <w:rFonts w:ascii="Calibri"/>
          <w:color w:val="231F1F"/>
          <w:w w:val="115"/>
        </w:rPr>
        <w:t>Antifungals: </w:t>
      </w:r>
      <w:r>
        <w:rPr>
          <w:color w:val="231F1F"/>
          <w:w w:val="115"/>
        </w:rPr>
        <w:t>plasma concentration of eplerenone increased by</w:t>
      </w:r>
    </w:p>
    <w:p>
      <w:pPr>
        <w:pStyle w:val="BodyText"/>
        <w:spacing w:line="244" w:lineRule="auto"/>
        <w:ind w:right="680"/>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ITRACONAZOLE</w:t>
      </w:r>
      <w:r>
        <w:rPr>
          <w:rFonts w:ascii="Calibri" w:hAnsi="Calibri"/>
          <w:color w:val="008356"/>
          <w:spacing w:val="-11"/>
          <w:w w:val="110"/>
          <w:sz w:val="11"/>
        </w:rPr>
        <w:t> </w:t>
      </w:r>
      <w:r>
        <w:rPr>
          <w:color w:val="231F1F"/>
          <w:w w:val="110"/>
        </w:rPr>
        <w:t>and</w:t>
      </w:r>
      <w:r>
        <w:rPr>
          <w:color w:val="231F1F"/>
          <w:spacing w:val="-19"/>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w:t>
      </w:r>
      <w:r>
        <w:rPr>
          <w:color w:val="231F1F"/>
          <w:spacing w:val="-20"/>
          <w:w w:val="110"/>
        </w:rPr>
        <w:t> </w:t>
      </w:r>
      <w:r>
        <w:rPr>
          <w:color w:val="231F1F"/>
          <w:w w:val="110"/>
        </w:rPr>
        <w:t>concomitant</w:t>
      </w:r>
      <w:r>
        <w:rPr>
          <w:color w:val="231F1F"/>
          <w:spacing w:val="-20"/>
          <w:w w:val="110"/>
        </w:rPr>
        <w:t> </w:t>
      </w:r>
      <w:r>
        <w:rPr>
          <w:color w:val="231F1F"/>
          <w:w w:val="110"/>
        </w:rPr>
        <w:t>use; increased risk of hypokalaemia when loop diuretics or thiazides and related diuretics given with </w:t>
      </w:r>
      <w:r>
        <w:rPr>
          <w:rFonts w:ascii="Calibri" w:hAnsi="Calibri"/>
          <w:color w:val="008356"/>
          <w:spacing w:val="4"/>
          <w:w w:val="110"/>
          <w:sz w:val="11"/>
        </w:rPr>
        <w:t>AMPHOTERICIN</w:t>
      </w:r>
      <w:r>
        <w:rPr>
          <w:color w:val="231F1F"/>
          <w:spacing w:val="4"/>
          <w:w w:val="110"/>
        </w:rPr>
        <w:t>; </w:t>
      </w:r>
      <w:r>
        <w:rPr>
          <w:color w:val="231F1F"/>
          <w:w w:val="110"/>
        </w:rPr>
        <w:t>hydrochlorothiazide increases plasma concentration of </w:t>
      </w:r>
      <w:r>
        <w:rPr>
          <w:rFonts w:ascii="Calibri" w:hAnsi="Calibri"/>
          <w:color w:val="008356"/>
          <w:spacing w:val="4"/>
          <w:w w:val="110"/>
          <w:sz w:val="11"/>
        </w:rPr>
        <w:t>FLUCONAZOLE</w:t>
      </w:r>
      <w:r>
        <w:rPr>
          <w:color w:val="231F1F"/>
          <w:spacing w:val="4"/>
          <w:w w:val="110"/>
        </w:rPr>
        <w:t>; </w:t>
      </w:r>
      <w:r>
        <w:rPr>
          <w:color w:val="231F1F"/>
          <w:w w:val="110"/>
        </w:rPr>
        <w:t>plasma concentration of eplerenone increased by </w:t>
      </w:r>
      <w:r>
        <w:rPr>
          <w:rFonts w:ascii="Calibri" w:hAnsi="Calibri"/>
          <w:color w:val="008356"/>
          <w:spacing w:val="4"/>
          <w:w w:val="110"/>
          <w:sz w:val="11"/>
        </w:rPr>
        <w:t>FLUCONAZOLE </w:t>
      </w:r>
      <w:r>
        <w:rPr>
          <w:color w:val="231F1F"/>
          <w:w w:val="110"/>
        </w:rPr>
        <w:t>(reduce dose of</w:t>
      </w:r>
      <w:r>
        <w:rPr>
          <w:color w:val="231F1F"/>
          <w:spacing w:val="-6"/>
          <w:w w:val="110"/>
        </w:rPr>
        <w:t> </w:t>
      </w:r>
      <w:r>
        <w:rPr>
          <w:color w:val="231F1F"/>
          <w:w w:val="110"/>
        </w:rPr>
        <w:t>eplerenone)</w:t>
      </w:r>
    </w:p>
    <w:p>
      <w:pPr>
        <w:pStyle w:val="BodyText"/>
        <w:spacing w:line="244" w:lineRule="auto"/>
        <w:ind w:right="699" w:hanging="100"/>
      </w:pPr>
      <w:r>
        <w:rPr>
          <w:rFonts w:ascii="Arial"/>
          <w:color w:val="231F1F"/>
          <w:w w:val="355"/>
          <w:position w:val="1"/>
          <w:sz w:val="7"/>
        </w:rPr>
        <w:t>l </w:t>
      </w:r>
      <w:r>
        <w:rPr>
          <w:rFonts w:ascii="Calibri"/>
          <w:color w:val="231F1F"/>
          <w:w w:val="110"/>
        </w:rPr>
        <w:t>Antipsychotics: </w:t>
      </w:r>
      <w:r>
        <w:rPr>
          <w:color w:val="231F1F"/>
          <w:w w:val="110"/>
        </w:rPr>
        <w:t>hypokalaemia caused by diuretics increases risk of ventricular arrhythmias with </w:t>
      </w:r>
      <w:r>
        <w:rPr>
          <w:rFonts w:ascii="Arial"/>
          <w:color w:val="231F1F"/>
          <w:w w:val="355"/>
          <w:position w:val="1"/>
          <w:sz w:val="7"/>
        </w:rPr>
        <w:t>l </w:t>
      </w:r>
      <w:r>
        <w:rPr>
          <w:rFonts w:ascii="Calibri"/>
          <w:color w:val="008356"/>
          <w:w w:val="110"/>
          <w:sz w:val="11"/>
        </w:rPr>
        <w:t>AMISULPRIDE</w:t>
      </w:r>
      <w:r>
        <w:rPr>
          <w:color w:val="231F1F"/>
          <w:w w:val="110"/>
        </w:rPr>
        <w:t>; enhanced hypotensive effect when diuretics  given  with </w:t>
      </w:r>
      <w:r>
        <w:rPr>
          <w:rFonts w:ascii="Calibri"/>
          <w:color w:val="008356"/>
          <w:w w:val="110"/>
          <w:sz w:val="11"/>
        </w:rPr>
        <w:t>PHENOTHIAZINES</w:t>
      </w:r>
      <w:r>
        <w:rPr>
          <w:color w:val="231F1F"/>
          <w:w w:val="110"/>
        </w:rPr>
        <w:t>; hypokalaemia caused by diuretics increases risk of ventricular arrhythmias with </w:t>
      </w:r>
      <w:r>
        <w:rPr>
          <w:rFonts w:ascii="Arial"/>
          <w:color w:val="231F1F"/>
          <w:w w:val="355"/>
          <w:position w:val="1"/>
          <w:sz w:val="7"/>
        </w:rPr>
        <w:t>l </w:t>
      </w:r>
      <w:r>
        <w:rPr>
          <w:rFonts w:ascii="Calibri"/>
          <w:color w:val="008356"/>
          <w:w w:val="110"/>
          <w:sz w:val="11"/>
        </w:rPr>
        <w:t>PIMOZIDE </w:t>
      </w:r>
      <w:r>
        <w:rPr>
          <w:color w:val="231F1F"/>
          <w:w w:val="110"/>
        </w:rPr>
        <w:t>(avoid concomitant use)</w:t>
      </w:r>
    </w:p>
    <w:p>
      <w:pPr>
        <w:pStyle w:val="BodyText"/>
        <w:spacing w:line="141" w:lineRule="exact"/>
        <w:ind w:left="108"/>
      </w:pPr>
      <w:r>
        <w:rPr>
          <w:rFonts w:ascii="Arial"/>
          <w:color w:val="231F1F"/>
          <w:w w:val="355"/>
          <w:position w:val="1"/>
          <w:sz w:val="7"/>
        </w:rPr>
        <w:t>l </w:t>
      </w:r>
      <w:r>
        <w:rPr>
          <w:rFonts w:ascii="Calibri"/>
          <w:color w:val="231F1F"/>
          <w:w w:val="115"/>
        </w:rPr>
        <w:t>Antivirals: </w:t>
      </w:r>
      <w:r>
        <w:rPr>
          <w:color w:val="231F1F"/>
          <w:w w:val="115"/>
        </w:rPr>
        <w:t>plasma concentration of eplerenone increased by</w:t>
      </w:r>
    </w:p>
    <w:p>
      <w:pPr>
        <w:pStyle w:val="BodyText"/>
        <w:spacing w:line="242" w:lineRule="auto"/>
        <w:ind w:right="564"/>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avoid </w:t>
      </w:r>
      <w:r>
        <w:rPr>
          <w:color w:val="231F1F"/>
          <w:w w:val="115"/>
        </w:rPr>
        <w:t>concomitant use; plasma concentration </w:t>
      </w:r>
      <w:r>
        <w:rPr>
          <w:color w:val="231F1F"/>
          <w:spacing w:val="-6"/>
          <w:w w:val="115"/>
        </w:rPr>
        <w:t>of </w:t>
      </w:r>
      <w:r>
        <w:rPr>
          <w:color w:val="231F1F"/>
          <w:w w:val="115"/>
        </w:rPr>
        <w:t>eplerenone increased by </w:t>
      </w:r>
      <w:r>
        <w:rPr>
          <w:rFonts w:ascii="Calibri" w:hAnsi="Calibri"/>
          <w:color w:val="008356"/>
          <w:spacing w:val="4"/>
          <w:w w:val="115"/>
          <w:sz w:val="11"/>
        </w:rPr>
        <w:t>SAQUINAVIR </w:t>
      </w:r>
      <w:r>
        <w:rPr>
          <w:color w:val="231F1F"/>
          <w:w w:val="115"/>
        </w:rPr>
        <w:t>(reduce dose of eplerenone)</w:t>
      </w:r>
    </w:p>
    <w:p>
      <w:pPr>
        <w:spacing w:line="235" w:lineRule="auto" w:before="0"/>
        <w:ind w:left="208" w:right="699" w:hanging="100"/>
        <w:jc w:val="left"/>
        <w:rPr>
          <w:sz w:val="12"/>
        </w:rPr>
      </w:pPr>
      <w:r>
        <w:rPr>
          <w:rFonts w:ascii="Lucida Sans Unicode" w:hAnsi="Lucida Sans Unicode"/>
          <w:color w:val="A7A8AC"/>
          <w:w w:val="95"/>
          <w:sz w:val="10"/>
        </w:rPr>
        <w:t>▶ </w:t>
      </w:r>
      <w:r>
        <w:rPr>
          <w:rFonts w:ascii="Calibri" w:hAnsi="Calibri"/>
          <w:color w:val="231F1F"/>
          <w:w w:val="110"/>
          <w:sz w:val="12"/>
        </w:rPr>
        <w:t>Anxiolytics and Hypnotics: </w:t>
      </w:r>
      <w:r>
        <w:rPr>
          <w:color w:val="231F1F"/>
          <w:w w:val="110"/>
          <w:sz w:val="12"/>
        </w:rPr>
        <w:t>enhanced hypotensive effect when diuretics given with </w:t>
      </w:r>
      <w:r>
        <w:rPr>
          <w:rFonts w:ascii="Calibri" w:hAnsi="Calibri"/>
          <w:color w:val="008356"/>
          <w:w w:val="110"/>
          <w:sz w:val="11"/>
        </w:rPr>
        <w:t>ANXIOLYTICS AND HYPNOTICS</w:t>
      </w:r>
      <w:r>
        <w:rPr>
          <w:color w:val="231F1F"/>
          <w:w w:val="110"/>
          <w:sz w:val="12"/>
        </w:rPr>
        <w:t>; administration of </w:t>
      </w:r>
      <w:r>
        <w:rPr>
          <w:i/>
          <w:color w:val="231F1F"/>
          <w:w w:val="110"/>
          <w:sz w:val="12"/>
        </w:rPr>
        <w:t>parenteral </w:t>
      </w:r>
      <w:r>
        <w:rPr>
          <w:color w:val="231F1F"/>
          <w:w w:val="110"/>
          <w:sz w:val="12"/>
        </w:rPr>
        <w:t>furosemide with </w:t>
      </w:r>
      <w:r>
        <w:rPr>
          <w:rFonts w:ascii="Calibri" w:hAnsi="Calibri"/>
          <w:color w:val="008356"/>
          <w:w w:val="110"/>
          <w:sz w:val="11"/>
        </w:rPr>
        <w:t>CHLORAL </w:t>
      </w:r>
      <w:r>
        <w:rPr>
          <w:color w:val="231F1F"/>
          <w:w w:val="110"/>
          <w:sz w:val="12"/>
        </w:rPr>
        <w:t>may displace thyroid hormone from binding sites</w:t>
      </w:r>
    </w:p>
    <w:p>
      <w:pPr>
        <w:pStyle w:val="BodyText"/>
        <w:ind w:right="670"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hypokalaemia caused by diuretics increases </w:t>
      </w:r>
      <w:r>
        <w:rPr>
          <w:color w:val="231F1F"/>
          <w:spacing w:val="-4"/>
          <w:w w:val="110"/>
        </w:rPr>
        <w:t>risk </w:t>
      </w:r>
      <w:r>
        <w:rPr>
          <w:color w:val="231F1F"/>
          <w:w w:val="110"/>
        </w:rPr>
        <w:t>of ventricular arrhythmias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ATOMOXETINE</w:t>
      </w:r>
    </w:p>
    <w:p>
      <w:pPr>
        <w:pStyle w:val="BodyText"/>
        <w:spacing w:line="242" w:lineRule="auto"/>
        <w:ind w:right="732" w:hanging="100"/>
        <w:rPr>
          <w:rFonts w:ascii="Calibri"/>
          <w:sz w:val="11"/>
        </w:rPr>
      </w:pPr>
      <w:r>
        <w:rPr>
          <w:rFonts w:ascii="Arial"/>
          <w:color w:val="231F1F"/>
          <w:w w:val="355"/>
          <w:position w:val="1"/>
          <w:sz w:val="7"/>
        </w:rPr>
        <w:t>l </w:t>
      </w:r>
      <w:r>
        <w:rPr>
          <w:rFonts w:ascii="Calibri"/>
          <w:color w:val="231F1F"/>
          <w:w w:val="115"/>
        </w:rPr>
        <w:t>Beta-blockers: </w:t>
      </w:r>
      <w:r>
        <w:rPr>
          <w:color w:val="231F1F"/>
          <w:w w:val="115"/>
        </w:rPr>
        <w:t>enhanced hypotensive effect when diuretics given with </w:t>
      </w:r>
      <w:r>
        <w:rPr>
          <w:rFonts w:ascii="Calibri"/>
          <w:color w:val="008356"/>
          <w:spacing w:val="4"/>
          <w:w w:val="115"/>
          <w:sz w:val="11"/>
        </w:rPr>
        <w:t>BETA-BLOCKERS</w:t>
      </w:r>
      <w:r>
        <w:rPr>
          <w:color w:val="231F1F"/>
          <w:spacing w:val="4"/>
          <w:w w:val="115"/>
        </w:rPr>
        <w:t>; </w:t>
      </w:r>
      <w:r>
        <w:rPr>
          <w:color w:val="231F1F"/>
          <w:w w:val="115"/>
        </w:rPr>
        <w:t>hypokalaemia caused by loop diuretics or thiazides and related diuretics increases risk </w:t>
      </w:r>
      <w:r>
        <w:rPr>
          <w:color w:val="231F1F"/>
          <w:spacing w:val="-8"/>
          <w:w w:val="115"/>
        </w:rPr>
        <w:t>of </w:t>
      </w:r>
      <w:r>
        <w:rPr>
          <w:color w:val="231F1F"/>
          <w:w w:val="115"/>
        </w:rPr>
        <w:t>ventricular arrhythmias with </w:t>
      </w:r>
      <w:r>
        <w:rPr>
          <w:rFonts w:ascii="Arial"/>
          <w:color w:val="231F1F"/>
          <w:w w:val="355"/>
          <w:position w:val="1"/>
          <w:sz w:val="7"/>
        </w:rPr>
        <w:t>l</w:t>
      </w:r>
      <w:r>
        <w:rPr>
          <w:rFonts w:ascii="Arial"/>
          <w:color w:val="231F1F"/>
          <w:spacing w:val="-60"/>
          <w:w w:val="355"/>
          <w:position w:val="1"/>
          <w:sz w:val="7"/>
        </w:rPr>
        <w:t> </w:t>
      </w:r>
      <w:r>
        <w:rPr>
          <w:rFonts w:ascii="Calibri"/>
          <w:color w:val="008356"/>
          <w:spacing w:val="3"/>
          <w:w w:val="115"/>
          <w:sz w:val="11"/>
        </w:rPr>
        <w:t>SOTALOL</w:t>
      </w:r>
    </w:p>
    <w:p>
      <w:pPr>
        <w:pStyle w:val="BodyText"/>
        <w:spacing w:line="220" w:lineRule="auto"/>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 Salts: </w:t>
      </w:r>
      <w:r>
        <w:rPr>
          <w:color w:val="231F1F"/>
          <w:w w:val="105"/>
        </w:rPr>
        <w:t>increased risk of hypercalcaemia when thiazides and related diuretics given with </w:t>
      </w:r>
      <w:r>
        <w:rPr>
          <w:rFonts w:ascii="Calibri" w:hAnsi="Calibri"/>
          <w:color w:val="008356"/>
          <w:w w:val="105"/>
          <w:sz w:val="11"/>
        </w:rPr>
        <w:t>CALCIUM SALTS</w:t>
      </w:r>
    </w:p>
    <w:p>
      <w:pPr>
        <w:spacing w:line="235" w:lineRule="auto" w:before="0"/>
        <w:ind w:left="208" w:right="673" w:hanging="100"/>
        <w:jc w:val="left"/>
        <w:rPr>
          <w:sz w:val="12"/>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diuretics given with </w:t>
      </w:r>
      <w:r>
        <w:rPr>
          <w:rFonts w:ascii="Calibri" w:hAnsi="Calibri"/>
          <w:color w:val="008356"/>
          <w:w w:val="105"/>
          <w:sz w:val="11"/>
        </w:rPr>
        <w:t>CALCIUM-CHANNEL BLOCKERS</w:t>
      </w:r>
      <w:r>
        <w:rPr>
          <w:color w:val="231F1F"/>
          <w:w w:val="105"/>
          <w:sz w:val="12"/>
        </w:rPr>
        <w:t>; plasma concentration of eplerenone increased by </w:t>
      </w:r>
      <w:r>
        <w:rPr>
          <w:rFonts w:ascii="Calibri" w:hAnsi="Calibri"/>
          <w:color w:val="008356"/>
          <w:w w:val="105"/>
          <w:sz w:val="11"/>
        </w:rPr>
        <w:t>DILTIAZEM </w:t>
      </w:r>
      <w:r>
        <w:rPr>
          <w:color w:val="231F1F"/>
          <w:w w:val="105"/>
          <w:sz w:val="12"/>
        </w:rPr>
        <w:t>and </w:t>
      </w:r>
      <w:r>
        <w:rPr>
          <w:rFonts w:ascii="Calibri" w:hAnsi="Calibri"/>
          <w:color w:val="008356"/>
          <w:w w:val="105"/>
          <w:sz w:val="11"/>
        </w:rPr>
        <w:t>VERAPAMIL </w:t>
      </w:r>
      <w:r>
        <w:rPr>
          <w:color w:val="231F1F"/>
          <w:w w:val="105"/>
          <w:sz w:val="12"/>
        </w:rPr>
        <w:t>(reduce dose of eplerenone)</w:t>
      </w:r>
    </w:p>
    <w:p>
      <w:pPr>
        <w:pStyle w:val="BodyText"/>
        <w:spacing w:line="247" w:lineRule="auto"/>
        <w:ind w:right="775" w:hanging="100"/>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Cardiac Glycosides: </w:t>
      </w:r>
      <w:r>
        <w:rPr>
          <w:color w:val="231F1F"/>
          <w:w w:val="110"/>
        </w:rPr>
        <w:t>hypokalaemia caused by acetazolamide, loop diuretics or thiazides and related diuretics increases cardiac toxicity with </w:t>
      </w:r>
      <w:r>
        <w:rPr>
          <w:rFonts w:ascii="Arial"/>
          <w:color w:val="231F1F"/>
          <w:w w:val="355"/>
          <w:position w:val="1"/>
          <w:sz w:val="7"/>
        </w:rPr>
        <w:t>l </w:t>
      </w:r>
      <w:r>
        <w:rPr>
          <w:rFonts w:ascii="Calibri"/>
          <w:color w:val="008356"/>
          <w:spacing w:val="4"/>
          <w:w w:val="110"/>
          <w:sz w:val="11"/>
        </w:rPr>
        <w:t>CARDIAC </w:t>
      </w:r>
      <w:r>
        <w:rPr>
          <w:rFonts w:ascii="Calibri"/>
          <w:color w:val="008356"/>
          <w:spacing w:val="3"/>
          <w:w w:val="110"/>
          <w:sz w:val="11"/>
        </w:rPr>
        <w:t>GLYCOSIDES</w:t>
      </w:r>
      <w:r>
        <w:rPr>
          <w:color w:val="231F1F"/>
          <w:spacing w:val="3"/>
          <w:w w:val="110"/>
        </w:rPr>
        <w:t>; </w:t>
      </w:r>
      <w:r>
        <w:rPr>
          <w:color w:val="231F1F"/>
          <w:w w:val="110"/>
        </w:rPr>
        <w:t>spironolactone increases plasma concentration of </w:t>
      </w:r>
      <w:r>
        <w:rPr>
          <w:rFonts w:ascii="Arial"/>
          <w:color w:val="231F1F"/>
          <w:w w:val="355"/>
          <w:position w:val="1"/>
          <w:sz w:val="7"/>
        </w:rPr>
        <w:t>l </w:t>
      </w:r>
      <w:r>
        <w:rPr>
          <w:rFonts w:ascii="Calibri"/>
          <w:color w:val="008356"/>
          <w:spacing w:val="4"/>
          <w:w w:val="110"/>
          <w:sz w:val="11"/>
        </w:rPr>
        <w:t>DIGOXIN</w:t>
      </w:r>
      <w:r>
        <w:rPr>
          <w:color w:val="231F1F"/>
          <w:spacing w:val="4"/>
          <w:w w:val="110"/>
        </w:rPr>
        <w:t>; </w:t>
      </w:r>
      <w:r>
        <w:rPr>
          <w:color w:val="231F1F"/>
          <w:w w:val="110"/>
        </w:rPr>
        <w:t>potassium canrenoate possibly increases plasma concentration of </w:t>
      </w:r>
      <w:r>
        <w:rPr>
          <w:rFonts w:ascii="Calibri"/>
          <w:color w:val="008356"/>
          <w:spacing w:val="4"/>
          <w:w w:val="110"/>
          <w:sz w:val="11"/>
        </w:rPr>
        <w:t>DIGOXIN</w:t>
      </w:r>
    </w:p>
    <w:p>
      <w:pPr>
        <w:pStyle w:val="BodyText"/>
        <w:spacing w:line="237" w:lineRule="auto"/>
        <w:ind w:right="898" w:hanging="100"/>
      </w:pPr>
      <w:r>
        <w:rPr>
          <w:rFonts w:ascii="Arial"/>
          <w:color w:val="231F1F"/>
          <w:w w:val="115"/>
          <w:position w:val="1"/>
          <w:sz w:val="7"/>
        </w:rPr>
        <w:t>l </w:t>
      </w:r>
      <w:r>
        <w:rPr>
          <w:rFonts w:ascii="Calibri"/>
          <w:color w:val="231F1F"/>
          <w:w w:val="115"/>
        </w:rPr>
        <w:t>Ciclosporin: </w:t>
      </w:r>
      <w:r>
        <w:rPr>
          <w:color w:val="231F1F"/>
          <w:w w:val="115"/>
        </w:rPr>
        <w:t>increased risk of nephrotoxicity and possibly hypermagnesaemia when thiazides and related diuretics</w:t>
      </w:r>
    </w:p>
    <w:p>
      <w:pPr>
        <w:pStyle w:val="BodyText"/>
        <w:spacing w:line="244" w:lineRule="auto"/>
        <w:ind w:right="676"/>
        <w:rPr>
          <w:rFonts w:ascii="Calibri"/>
          <w:sz w:val="11"/>
        </w:rPr>
      </w:pPr>
      <w:r>
        <w:rPr>
          <w:color w:val="231F1F"/>
          <w:w w:val="115"/>
        </w:rPr>
        <w:t>given with </w:t>
      </w:r>
      <w:r>
        <w:rPr>
          <w:rFonts w:ascii="Calibri"/>
          <w:color w:val="008356"/>
          <w:spacing w:val="4"/>
          <w:w w:val="115"/>
          <w:sz w:val="11"/>
        </w:rPr>
        <w:t>CICLOSPORIN</w:t>
      </w:r>
      <w:r>
        <w:rPr>
          <w:color w:val="231F1F"/>
          <w:spacing w:val="4"/>
          <w:w w:val="115"/>
        </w:rPr>
        <w:t>; </w:t>
      </w:r>
      <w:r>
        <w:rPr>
          <w:color w:val="231F1F"/>
          <w:w w:val="115"/>
        </w:rPr>
        <w:t>increased risk of hyperkalaemia when potassium-sparing diuretics and aldosterone antagonists</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CICLOSPORIN</w:t>
      </w:r>
      <w:r>
        <w:rPr>
          <w:color w:val="231F1F"/>
          <w:spacing w:val="4"/>
          <w:w w:val="115"/>
        </w:rPr>
        <w:t>;</w:t>
      </w:r>
      <w:r>
        <w:rPr>
          <w:color w:val="231F1F"/>
          <w:spacing w:val="-22"/>
          <w:w w:val="115"/>
        </w:rPr>
        <w:t> </w:t>
      </w:r>
      <w:r>
        <w:rPr>
          <w:color w:val="231F1F"/>
          <w:w w:val="115"/>
        </w:rPr>
        <w:t>acetazolamide</w:t>
      </w:r>
      <w:r>
        <w:rPr>
          <w:color w:val="231F1F"/>
          <w:spacing w:val="-23"/>
          <w:w w:val="115"/>
        </w:rPr>
        <w:t> </w:t>
      </w:r>
      <w:r>
        <w:rPr>
          <w:color w:val="231F1F"/>
          <w:w w:val="115"/>
        </w:rPr>
        <w:t>possibly increases</w:t>
      </w:r>
      <w:r>
        <w:rPr>
          <w:color w:val="231F1F"/>
          <w:spacing w:val="-7"/>
          <w:w w:val="115"/>
        </w:rPr>
        <w:t> </w:t>
      </w:r>
      <w:r>
        <w:rPr>
          <w:color w:val="231F1F"/>
          <w:w w:val="115"/>
        </w:rPr>
        <w:t>plasma</w:t>
      </w:r>
      <w:r>
        <w:rPr>
          <w:color w:val="231F1F"/>
          <w:spacing w:val="-7"/>
          <w:w w:val="115"/>
        </w:rPr>
        <w:t> </w:t>
      </w:r>
      <w:r>
        <w:rPr>
          <w:color w:val="231F1F"/>
          <w:w w:val="115"/>
        </w:rPr>
        <w:t>concentration</w:t>
      </w:r>
      <w:r>
        <w:rPr>
          <w:color w:val="231F1F"/>
          <w:spacing w:val="-5"/>
          <w:w w:val="115"/>
        </w:rPr>
        <w:t> </w:t>
      </w:r>
      <w:r>
        <w:rPr>
          <w:color w:val="231F1F"/>
          <w:w w:val="115"/>
        </w:rPr>
        <w:t>of</w:t>
      </w:r>
      <w:r>
        <w:rPr>
          <w:color w:val="231F1F"/>
          <w:spacing w:val="-6"/>
          <w:w w:val="115"/>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5"/>
          <w:sz w:val="11"/>
        </w:rPr>
        <w:t>CICLOSPORIN</w:t>
      </w:r>
    </w:p>
    <w:p>
      <w:pPr>
        <w:pStyle w:val="BodyText"/>
        <w:spacing w:line="220" w:lineRule="auto" w:before="3"/>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diuretics given with </w:t>
      </w:r>
      <w:r>
        <w:rPr>
          <w:rFonts w:ascii="Calibri" w:hAnsi="Calibri"/>
          <w:color w:val="008356"/>
          <w:w w:val="105"/>
          <w:sz w:val="11"/>
        </w:rPr>
        <w:t>CLONIDINE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Corticosteroids: </w:t>
      </w:r>
      <w:r>
        <w:rPr>
          <w:color w:val="231F1F"/>
          <w:w w:val="105"/>
        </w:rPr>
        <w:t>diuretic effect of diuretics antagonised by</w:t>
      </w:r>
    </w:p>
    <w:p>
      <w:pPr>
        <w:spacing w:line="135" w:lineRule="exact" w:before="0"/>
        <w:ind w:left="208" w:right="0" w:firstLine="0"/>
        <w:jc w:val="left"/>
        <w:rPr>
          <w:sz w:val="12"/>
        </w:rPr>
      </w:pPr>
      <w:r>
        <w:rPr>
          <w:rFonts w:ascii="Calibri"/>
          <w:color w:val="008356"/>
          <w:w w:val="110"/>
          <w:sz w:val="11"/>
        </w:rPr>
        <w:t>CORTICOSTEROIDS</w:t>
      </w:r>
      <w:r>
        <w:rPr>
          <w:color w:val="231F1F"/>
          <w:w w:val="110"/>
          <w:sz w:val="12"/>
        </w:rPr>
        <w:t>; increased risk of hypokalaemia when</w:t>
      </w:r>
    </w:p>
    <w:p>
      <w:pPr>
        <w:spacing w:after="0" w:line="135" w:lineRule="exact"/>
        <w:jc w:val="left"/>
        <w:rPr>
          <w:sz w:val="12"/>
        </w:rPr>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568" filled="true" fillcolor="#bfdbcf" stroked="false">
            <v:fill type="solid"/>
            <w10:wrap type="none"/>
          </v:rect>
        </w:pict>
      </w:r>
      <w:r>
        <w:rPr/>
        <w:pict>
          <v:shape style="position:absolute;margin-left:7.751256pt;margin-top:35.804367pt;width:10.4pt;height:78.850pt;mso-position-horizontal-relative:page;mso-position-vertical-relative:page;z-index:359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Diuretics</w:t>
      </w:r>
    </w:p>
    <w:p>
      <w:pPr>
        <w:pStyle w:val="BodyText"/>
        <w:spacing w:line="146" w:lineRule="exact" w:before="5"/>
        <w:ind w:left="286"/>
        <w:rPr>
          <w:rFonts w:ascii="Calibri"/>
        </w:rPr>
      </w:pPr>
      <w:r>
        <w:rPr>
          <w:rFonts w:ascii="Calibri"/>
          <w:color w:val="231F1F"/>
        </w:rPr>
        <w:t>Corticosteroids (continued)</w:t>
      </w:r>
    </w:p>
    <w:p>
      <w:pPr>
        <w:pStyle w:val="BodyText"/>
        <w:spacing w:line="249" w:lineRule="auto"/>
        <w:ind w:left="286"/>
        <w:rPr>
          <w:rFonts w:ascii="Calibri"/>
          <w:sz w:val="11"/>
        </w:rPr>
      </w:pPr>
      <w:r>
        <w:rPr>
          <w:color w:val="231F1F"/>
          <w:w w:val="115"/>
        </w:rPr>
        <w:t>acetazolamide, loop diuretics or thiazides and related diuretics given with </w:t>
      </w:r>
      <w:r>
        <w:rPr>
          <w:rFonts w:ascii="Calibri"/>
          <w:color w:val="008356"/>
          <w:w w:val="115"/>
          <w:sz w:val="11"/>
        </w:rPr>
        <w:t>CORTICOSTEROIDS</w:t>
      </w:r>
    </w:p>
    <w:p>
      <w:pPr>
        <w:pStyle w:val="BodyText"/>
        <w:spacing w:line="139" w:lineRule="exact"/>
        <w:ind w:left="186"/>
        <w:jc w:val="both"/>
      </w:pPr>
      <w:r>
        <w:rPr>
          <w:rFonts w:ascii="Arial"/>
          <w:color w:val="231F1F"/>
          <w:w w:val="355"/>
          <w:position w:val="1"/>
          <w:sz w:val="7"/>
        </w:rPr>
        <w:t>l </w:t>
      </w:r>
      <w:r>
        <w:rPr>
          <w:rFonts w:ascii="Calibri"/>
          <w:color w:val="231F1F"/>
          <w:w w:val="115"/>
        </w:rPr>
        <w:t>Cytotoxics: </w:t>
      </w:r>
      <w:r>
        <w:rPr>
          <w:color w:val="231F1F"/>
          <w:w w:val="115"/>
        </w:rPr>
        <w:t>alkaline urine due to acetazolamide increases</w:t>
      </w:r>
    </w:p>
    <w:p>
      <w:pPr>
        <w:pStyle w:val="BodyText"/>
        <w:spacing w:line="247" w:lineRule="auto"/>
        <w:ind w:left="286" w:right="385"/>
        <w:jc w:val="both"/>
      </w:pPr>
      <w:r>
        <w:rPr>
          <w:color w:val="231F1F"/>
          <w:w w:val="110"/>
        </w:rPr>
        <w:t>exceretion of </w:t>
      </w:r>
      <w:r>
        <w:rPr>
          <w:rFonts w:ascii="Calibri"/>
          <w:color w:val="008356"/>
          <w:spacing w:val="4"/>
          <w:w w:val="110"/>
          <w:sz w:val="11"/>
        </w:rPr>
        <w:t>METHOTREXATE</w:t>
      </w:r>
      <w:r>
        <w:rPr>
          <w:color w:val="231F1F"/>
          <w:spacing w:val="4"/>
          <w:w w:val="110"/>
        </w:rPr>
        <w:t>; </w:t>
      </w:r>
      <w:r>
        <w:rPr>
          <w:color w:val="231F1F"/>
          <w:w w:val="110"/>
        </w:rPr>
        <w:t>hypokalaemia caused by </w:t>
      </w:r>
      <w:r>
        <w:rPr>
          <w:color w:val="231F1F"/>
          <w:w w:val="115"/>
        </w:rPr>
        <w:t>acetazolamide, loop diuretics or thiazides and related diuretics</w:t>
      </w:r>
      <w:r>
        <w:rPr>
          <w:color w:val="231F1F"/>
          <w:spacing w:val="-7"/>
          <w:w w:val="115"/>
        </w:rPr>
        <w:t> </w:t>
      </w:r>
      <w:r>
        <w:rPr>
          <w:color w:val="231F1F"/>
          <w:w w:val="115"/>
        </w:rPr>
        <w:t>increases</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ventricular</w:t>
      </w:r>
      <w:r>
        <w:rPr>
          <w:color w:val="231F1F"/>
          <w:spacing w:val="-8"/>
          <w:w w:val="115"/>
        </w:rPr>
        <w:t> </w:t>
      </w:r>
      <w:r>
        <w:rPr>
          <w:color w:val="231F1F"/>
          <w:w w:val="115"/>
        </w:rPr>
        <w:t>arrhythmias</w:t>
      </w:r>
      <w:r>
        <w:rPr>
          <w:color w:val="231F1F"/>
          <w:spacing w:val="-8"/>
          <w:w w:val="115"/>
        </w:rPr>
        <w:t> </w:t>
      </w:r>
      <w:r>
        <w:rPr>
          <w:color w:val="231F1F"/>
          <w:spacing w:val="-4"/>
          <w:w w:val="115"/>
        </w:rPr>
        <w:t>with</w:t>
      </w:r>
    </w:p>
    <w:p>
      <w:pPr>
        <w:spacing w:line="244" w:lineRule="auto" w:before="0"/>
        <w:ind w:left="286" w:right="175" w:firstLine="0"/>
        <w:jc w:val="left"/>
        <w:rPr>
          <w:rFonts w:ascii="Calibri"/>
          <w:sz w:val="11"/>
        </w:rPr>
      </w:pPr>
      <w:r>
        <w:rPr>
          <w:rFonts w:ascii="Arial"/>
          <w:color w:val="231F1F"/>
          <w:w w:val="355"/>
          <w:position w:val="1"/>
          <w:sz w:val="7"/>
        </w:rPr>
        <w:t>l </w:t>
      </w:r>
      <w:r>
        <w:rPr>
          <w:rFonts w:ascii="Calibri"/>
          <w:color w:val="008356"/>
          <w:spacing w:val="4"/>
          <w:w w:val="105"/>
          <w:sz w:val="11"/>
        </w:rPr>
        <w:t>ARSENIC TRIOXIDE</w:t>
      </w:r>
      <w:r>
        <w:rPr>
          <w:color w:val="231F1F"/>
          <w:spacing w:val="4"/>
          <w:w w:val="105"/>
          <w:sz w:val="12"/>
        </w:rPr>
        <w:t>; </w:t>
      </w:r>
      <w:r>
        <w:rPr>
          <w:color w:val="231F1F"/>
          <w:w w:val="105"/>
          <w:sz w:val="12"/>
        </w:rPr>
        <w:t>avoidance of spironolactone advised by manufacturer of </w:t>
      </w:r>
      <w:r>
        <w:rPr>
          <w:rFonts w:ascii="Calibri"/>
          <w:color w:val="008356"/>
          <w:spacing w:val="3"/>
          <w:w w:val="105"/>
          <w:sz w:val="11"/>
        </w:rPr>
        <w:t>MITOTANE </w:t>
      </w:r>
      <w:r>
        <w:rPr>
          <w:color w:val="231F1F"/>
          <w:w w:val="105"/>
          <w:sz w:val="12"/>
        </w:rPr>
        <w:t>(antagonism of effect); increased risk of nephrotoxicity and ototoxicity when diuretics  given with </w:t>
      </w:r>
      <w:r>
        <w:rPr>
          <w:rFonts w:ascii="Calibri"/>
          <w:color w:val="008356"/>
          <w:spacing w:val="3"/>
          <w:w w:val="105"/>
          <w:sz w:val="11"/>
        </w:rPr>
        <w:t>PLATINUM </w:t>
      </w:r>
      <w:r>
        <w:rPr>
          <w:rFonts w:ascii="Calibri"/>
          <w:color w:val="008356"/>
          <w:spacing w:val="5"/>
          <w:w w:val="105"/>
          <w:sz w:val="11"/>
        </w:rPr>
        <w:t>COMPOUNDS</w:t>
      </w:r>
    </w:p>
    <w:p>
      <w:pPr>
        <w:pStyle w:val="BodyText"/>
        <w:spacing w:line="220" w:lineRule="auto" w:before="4"/>
        <w:ind w:left="286" w:right="37"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and hyperglycaemic effects when diuretics given with </w:t>
      </w:r>
      <w:r>
        <w:rPr>
          <w:rFonts w:ascii="Calibri" w:hAnsi="Calibri"/>
          <w:color w:val="008356"/>
          <w:w w:val="105"/>
          <w:sz w:val="11"/>
        </w:rPr>
        <w:t>DIAZOXIDE</w:t>
      </w:r>
    </w:p>
    <w:p>
      <w:pPr>
        <w:pStyle w:val="BodyText"/>
        <w:spacing w:line="237" w:lineRule="auto"/>
        <w:ind w:left="286" w:right="37"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increased risk of hypokalaemia when loop diuretics or thiazides and related diuretics given with </w:t>
      </w:r>
      <w:r>
        <w:rPr>
          <w:rFonts w:ascii="Calibri" w:hAnsi="Calibri"/>
          <w:color w:val="008356"/>
          <w:w w:val="110"/>
          <w:sz w:val="11"/>
        </w:rPr>
        <w:t>ACETAZOLAMIDE</w:t>
      </w:r>
      <w:r>
        <w:rPr>
          <w:color w:val="231F1F"/>
          <w:w w:val="110"/>
        </w:rPr>
        <w:t>; profound diuresis possible when metolazone given with </w:t>
      </w:r>
      <w:r>
        <w:rPr>
          <w:rFonts w:ascii="Calibri" w:hAnsi="Calibri"/>
          <w:color w:val="008356"/>
          <w:w w:val="110"/>
          <w:sz w:val="11"/>
        </w:rPr>
        <w:t>FUROSEMIDE</w:t>
      </w:r>
      <w:r>
        <w:rPr>
          <w:color w:val="231F1F"/>
          <w:w w:val="110"/>
        </w:rPr>
        <w:t>; increased risk of hypokalaemia when thiazides and related diuretics given with </w:t>
      </w:r>
      <w:r>
        <w:rPr>
          <w:rFonts w:ascii="Calibri" w:hAnsi="Calibri"/>
          <w:color w:val="008356"/>
          <w:w w:val="110"/>
          <w:sz w:val="11"/>
        </w:rPr>
        <w:t>LOOP DIURETICS</w:t>
      </w:r>
    </w:p>
    <w:p>
      <w:pPr>
        <w:spacing w:line="220" w:lineRule="auto" w:before="9"/>
        <w:ind w:left="286" w:right="10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diuretics given with </w:t>
      </w:r>
      <w:r>
        <w:rPr>
          <w:rFonts w:ascii="Calibri" w:hAnsi="Calibri"/>
          <w:color w:val="008356"/>
          <w:spacing w:val="4"/>
          <w:w w:val="105"/>
          <w:sz w:val="11"/>
        </w:rPr>
        <w:t>CO-BENELDOPA</w:t>
      </w:r>
      <w:r>
        <w:rPr>
          <w:color w:val="231F1F"/>
          <w:spacing w:val="4"/>
          <w:w w:val="105"/>
          <w:sz w:val="12"/>
        </w:rPr>
        <w:t>,</w:t>
      </w:r>
      <w:r>
        <w:rPr>
          <w:color w:val="231F1F"/>
          <w:spacing w:val="-21"/>
          <w:w w:val="105"/>
          <w:sz w:val="12"/>
        </w:rPr>
        <w:t> </w:t>
      </w:r>
      <w:r>
        <w:rPr>
          <w:rFonts w:ascii="Calibri" w:hAnsi="Calibri"/>
          <w:color w:val="008356"/>
          <w:spacing w:val="4"/>
          <w:w w:val="105"/>
          <w:sz w:val="11"/>
        </w:rPr>
        <w:t>CO-CARELDOPA </w:t>
      </w:r>
      <w:r>
        <w:rPr>
          <w:color w:val="231F1F"/>
          <w:w w:val="105"/>
          <w:sz w:val="12"/>
        </w:rPr>
        <w:t>or </w:t>
      </w:r>
      <w:r>
        <w:rPr>
          <w:rFonts w:ascii="Calibri" w:hAnsi="Calibri"/>
          <w:color w:val="008356"/>
          <w:spacing w:val="3"/>
          <w:w w:val="105"/>
          <w:sz w:val="11"/>
        </w:rPr>
        <w:t>LEVODOPA</w:t>
      </w:r>
    </w:p>
    <w:p>
      <w:pPr>
        <w:pStyle w:val="BodyText"/>
        <w:spacing w:line="220" w:lineRule="auto" w:before="10"/>
        <w:ind w:left="286" w:right="112" w:hanging="100"/>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8"/>
          <w:w w:val="95"/>
          <w:sz w:val="10"/>
        </w:rPr>
        <w:t> </w:t>
      </w:r>
      <w:r>
        <w:rPr>
          <w:rFonts w:ascii="Calibri" w:hAnsi="Calibri"/>
          <w:color w:val="231F1F"/>
          <w:w w:val="110"/>
        </w:rPr>
        <w:t>Hormone</w:t>
      </w:r>
      <w:r>
        <w:rPr>
          <w:rFonts w:ascii="Calibri" w:hAnsi="Calibri"/>
          <w:color w:val="231F1F"/>
          <w:spacing w:val="-7"/>
          <w:w w:val="110"/>
        </w:rPr>
        <w:t> </w:t>
      </w:r>
      <w:r>
        <w:rPr>
          <w:rFonts w:ascii="Calibri" w:hAnsi="Calibri"/>
          <w:color w:val="231F1F"/>
          <w:w w:val="110"/>
        </w:rPr>
        <w:t>Antagonists:</w:t>
      </w:r>
      <w:r>
        <w:rPr>
          <w:rFonts w:ascii="Calibri" w:hAnsi="Calibri"/>
          <w:color w:val="231F1F"/>
          <w:spacing w:val="-9"/>
          <w:w w:val="110"/>
        </w:rPr>
        <w:t> </w:t>
      </w:r>
      <w:r>
        <w:rPr>
          <w:color w:val="231F1F"/>
          <w:w w:val="110"/>
        </w:rPr>
        <w:t>increased</w:t>
      </w:r>
      <w:r>
        <w:rPr>
          <w:color w:val="231F1F"/>
          <w:spacing w:val="-11"/>
          <w:w w:val="110"/>
        </w:rPr>
        <w:t> </w:t>
      </w:r>
      <w:r>
        <w:rPr>
          <w:color w:val="231F1F"/>
          <w:w w:val="110"/>
        </w:rPr>
        <w:t>risk</w:t>
      </w:r>
      <w:r>
        <w:rPr>
          <w:color w:val="231F1F"/>
          <w:spacing w:val="-10"/>
          <w:w w:val="110"/>
        </w:rPr>
        <w:t> </w:t>
      </w:r>
      <w:r>
        <w:rPr>
          <w:color w:val="231F1F"/>
          <w:w w:val="110"/>
        </w:rPr>
        <w:t>of</w:t>
      </w:r>
      <w:r>
        <w:rPr>
          <w:color w:val="231F1F"/>
          <w:spacing w:val="-11"/>
          <w:w w:val="110"/>
        </w:rPr>
        <w:t> </w:t>
      </w:r>
      <w:r>
        <w:rPr>
          <w:color w:val="231F1F"/>
          <w:w w:val="110"/>
        </w:rPr>
        <w:t>hypercalcaemia</w:t>
      </w:r>
      <w:r>
        <w:rPr>
          <w:color w:val="231F1F"/>
          <w:spacing w:val="-12"/>
          <w:w w:val="110"/>
        </w:rPr>
        <w:t> </w:t>
      </w:r>
      <w:r>
        <w:rPr>
          <w:color w:val="231F1F"/>
          <w:spacing w:val="-4"/>
          <w:w w:val="110"/>
        </w:rPr>
        <w:t>when </w:t>
      </w:r>
      <w:r>
        <w:rPr>
          <w:color w:val="231F1F"/>
          <w:w w:val="110"/>
        </w:rPr>
        <w:t>thiazides and related diuretics given with</w:t>
      </w:r>
      <w:r>
        <w:rPr>
          <w:color w:val="231F1F"/>
          <w:spacing w:val="-8"/>
          <w:w w:val="110"/>
        </w:rPr>
        <w:t> </w:t>
      </w:r>
      <w:r>
        <w:rPr>
          <w:rFonts w:ascii="Calibri" w:hAnsi="Calibri"/>
          <w:color w:val="008356"/>
          <w:spacing w:val="4"/>
          <w:w w:val="110"/>
          <w:sz w:val="11"/>
        </w:rPr>
        <w:t>TOREMIFENE</w:t>
      </w:r>
    </w:p>
    <w:p>
      <w:pPr>
        <w:pStyle w:val="BodyText"/>
        <w:spacing w:line="230" w:lineRule="auto" w:before="3"/>
        <w:ind w:left="286"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thiazides and related diuretics reduced by </w:t>
      </w:r>
      <w:r>
        <w:rPr>
          <w:rFonts w:ascii="Calibri" w:hAnsi="Calibri"/>
          <w:color w:val="008356"/>
          <w:w w:val="110"/>
          <w:sz w:val="11"/>
        </w:rPr>
        <w:t>COLESTIPOL </w:t>
      </w:r>
      <w:r>
        <w:rPr>
          <w:color w:val="231F1F"/>
          <w:w w:val="110"/>
        </w:rPr>
        <w:t>and </w:t>
      </w:r>
      <w:r>
        <w:rPr>
          <w:rFonts w:ascii="Calibri" w:hAnsi="Calibri"/>
          <w:color w:val="008356"/>
          <w:w w:val="110"/>
          <w:sz w:val="11"/>
        </w:rPr>
        <w:t>COLESTYRAMINE </w:t>
      </w:r>
      <w:r>
        <w:rPr>
          <w:color w:val="231F1F"/>
          <w:w w:val="110"/>
        </w:rPr>
        <w:t>(give at least 2 hours apart)</w:t>
      </w:r>
    </w:p>
    <w:p>
      <w:pPr>
        <w:pStyle w:val="BodyText"/>
        <w:spacing w:line="244" w:lineRule="auto" w:before="4"/>
        <w:ind w:left="286" w:right="57" w:hanging="100"/>
        <w:rPr>
          <w:rFonts w:ascii="Calibri" w:hAnsi="Calibri"/>
          <w:sz w:val="11"/>
        </w:rPr>
      </w:pPr>
      <w:r>
        <w:rPr>
          <w:rFonts w:ascii="Arial" w:hAnsi="Arial"/>
          <w:color w:val="231F1F"/>
          <w:w w:val="355"/>
          <w:position w:val="1"/>
          <w:sz w:val="7"/>
        </w:rPr>
        <w:t>l </w:t>
      </w:r>
      <w:r>
        <w:rPr>
          <w:rFonts w:ascii="Calibri" w:hAnsi="Calibri"/>
          <w:color w:val="231F1F"/>
          <w:w w:val="115"/>
        </w:rPr>
        <w:t>Lithium: </w:t>
      </w:r>
      <w:r>
        <w:rPr>
          <w:color w:val="231F1F"/>
          <w:w w:val="115"/>
        </w:rPr>
        <w:t>loop diuretics and thiazides and related diuretics reduce excretion of </w:t>
      </w:r>
      <w:r>
        <w:rPr>
          <w:rFonts w:ascii="Arial" w:hAnsi="Arial"/>
          <w:color w:val="231F1F"/>
          <w:w w:val="355"/>
          <w:position w:val="1"/>
          <w:sz w:val="7"/>
        </w:rPr>
        <w:t>l </w:t>
      </w:r>
      <w:r>
        <w:rPr>
          <w:rFonts w:ascii="Calibri" w:hAnsi="Calibri"/>
          <w:color w:val="008356"/>
          <w:spacing w:val="4"/>
          <w:w w:val="115"/>
          <w:sz w:val="11"/>
        </w:rPr>
        <w:t>LITHIUM </w:t>
      </w:r>
      <w:r>
        <w:rPr>
          <w:color w:val="231F1F"/>
          <w:w w:val="115"/>
        </w:rPr>
        <w:t>(increased plasma concentration</w:t>
      </w:r>
      <w:r>
        <w:rPr>
          <w:color w:val="231F1F"/>
          <w:spacing w:val="-9"/>
          <w:w w:val="115"/>
        </w:rPr>
        <w:t> </w:t>
      </w:r>
      <w:r>
        <w:rPr>
          <w:color w:val="231F1F"/>
          <w:w w:val="115"/>
        </w:rPr>
        <w:t>and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8"/>
          <w:w w:val="115"/>
        </w:rPr>
        <w:t> </w:t>
      </w:r>
      <w:r>
        <w:rPr>
          <w:color w:val="231F1F"/>
          <w:w w:val="115"/>
        </w:rPr>
        <w:t>toxicity)</w:t>
      </w:r>
      <w:r>
        <w:rPr>
          <w:rFonts w:ascii="Arial" w:hAnsi="Arial"/>
          <w:color w:val="231F1F"/>
          <w:w w:val="115"/>
        </w:rPr>
        <w:t>—</w:t>
      </w:r>
      <w:r>
        <w:rPr>
          <w:color w:val="231F1F"/>
          <w:w w:val="115"/>
        </w:rPr>
        <w:t>loop</w:t>
      </w:r>
      <w:r>
        <w:rPr>
          <w:color w:val="231F1F"/>
          <w:spacing w:val="-8"/>
          <w:w w:val="115"/>
        </w:rPr>
        <w:t> </w:t>
      </w:r>
      <w:r>
        <w:rPr>
          <w:color w:val="231F1F"/>
          <w:w w:val="115"/>
        </w:rPr>
        <w:t>diuretics</w:t>
      </w:r>
      <w:r>
        <w:rPr>
          <w:color w:val="231F1F"/>
          <w:spacing w:val="-8"/>
          <w:w w:val="115"/>
        </w:rPr>
        <w:t> </w:t>
      </w:r>
      <w:r>
        <w:rPr>
          <w:color w:val="231F1F"/>
          <w:w w:val="115"/>
        </w:rPr>
        <w:t>safer</w:t>
      </w:r>
      <w:r>
        <w:rPr>
          <w:color w:val="231F1F"/>
          <w:spacing w:val="-8"/>
          <w:w w:val="115"/>
        </w:rPr>
        <w:t> </w:t>
      </w:r>
      <w:r>
        <w:rPr>
          <w:color w:val="231F1F"/>
          <w:spacing w:val="-4"/>
          <w:w w:val="115"/>
        </w:rPr>
        <w:t>than </w:t>
      </w:r>
      <w:r>
        <w:rPr>
          <w:color w:val="231F1F"/>
          <w:w w:val="115"/>
        </w:rPr>
        <w:t>thiazides; potassium-sparing diuretics and aldosterone antagonists</w:t>
      </w:r>
      <w:r>
        <w:rPr>
          <w:color w:val="231F1F"/>
          <w:spacing w:val="-14"/>
          <w:w w:val="115"/>
        </w:rPr>
        <w:t> </w:t>
      </w:r>
      <w:r>
        <w:rPr>
          <w:color w:val="231F1F"/>
          <w:w w:val="115"/>
        </w:rPr>
        <w:t>reduce</w:t>
      </w:r>
      <w:r>
        <w:rPr>
          <w:color w:val="231F1F"/>
          <w:spacing w:val="-12"/>
          <w:w w:val="115"/>
        </w:rPr>
        <w:t> </w:t>
      </w:r>
      <w:r>
        <w:rPr>
          <w:color w:val="231F1F"/>
          <w:w w:val="115"/>
        </w:rPr>
        <w:t>excretion</w:t>
      </w:r>
      <w:r>
        <w:rPr>
          <w:color w:val="231F1F"/>
          <w:spacing w:val="-12"/>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5"/>
          <w:sz w:val="11"/>
        </w:rPr>
        <w:t>LITHIUM</w:t>
      </w:r>
      <w:r>
        <w:rPr>
          <w:rFonts w:ascii="Calibri" w:hAnsi="Calibri"/>
          <w:color w:val="008356"/>
          <w:spacing w:val="-2"/>
          <w:w w:val="115"/>
          <w:sz w:val="11"/>
        </w:rPr>
        <w:t> </w:t>
      </w:r>
      <w:r>
        <w:rPr>
          <w:color w:val="231F1F"/>
          <w:w w:val="115"/>
        </w:rPr>
        <w:t>(increased</w:t>
      </w:r>
      <w:r>
        <w:rPr>
          <w:color w:val="231F1F"/>
          <w:spacing w:val="-12"/>
          <w:w w:val="115"/>
        </w:rPr>
        <w:t> </w:t>
      </w:r>
      <w:r>
        <w:rPr>
          <w:color w:val="231F1F"/>
          <w:w w:val="115"/>
        </w:rPr>
        <w:t>plasma concentration and risk of toxicity); acetazolamide increases the excretion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LITHIUM</w:t>
      </w:r>
    </w:p>
    <w:p>
      <w:pPr>
        <w:pStyle w:val="BodyText"/>
        <w:spacing w:line="220" w:lineRule="auto" w:before="6"/>
        <w:ind w:left="286" w:right="31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diuretics given with </w:t>
      </w:r>
      <w:r>
        <w:rPr>
          <w:rFonts w:ascii="Calibri" w:hAnsi="Calibri"/>
          <w:color w:val="008356"/>
          <w:w w:val="105"/>
          <w:sz w:val="11"/>
        </w:rPr>
        <w:t>METHYLDOPA</w:t>
      </w:r>
    </w:p>
    <w:p>
      <w:pPr>
        <w:pStyle w:val="BodyText"/>
        <w:spacing w:line="220" w:lineRule="auto" w:before="8"/>
        <w:ind w:left="286" w:right="37"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diuretics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MOXISYLYTE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diuretics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MOXONIDINE</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diuretics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9"/>
        <w:ind w:left="286" w:right="317"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diuretics given with </w:t>
      </w:r>
      <w:r>
        <w:rPr>
          <w:rFonts w:ascii="Calibri" w:hAnsi="Calibri"/>
          <w:color w:val="008356"/>
          <w:w w:val="105"/>
          <w:sz w:val="11"/>
        </w:rPr>
        <w:t>NITRATES</w:t>
      </w:r>
    </w:p>
    <w:p>
      <w:pPr>
        <w:pStyle w:val="BodyText"/>
        <w:spacing w:line="155" w:lineRule="exact"/>
        <w:ind w:left="186"/>
        <w:jc w:val="both"/>
      </w:pPr>
      <w:r>
        <w:rPr>
          <w:rFonts w:ascii="Lucida Sans Unicode" w:hAnsi="Lucida Sans Unicode"/>
          <w:color w:val="A7A8AC"/>
          <w:w w:val="95"/>
          <w:sz w:val="10"/>
        </w:rPr>
        <w:t>▶ </w:t>
      </w:r>
      <w:r>
        <w:rPr>
          <w:rFonts w:ascii="Calibri" w:hAnsi="Calibri"/>
          <w:color w:val="231F1F"/>
          <w:w w:val="105"/>
        </w:rPr>
        <w:t>Oestrogens: </w:t>
      </w:r>
      <w:r>
        <w:rPr>
          <w:color w:val="231F1F"/>
          <w:w w:val="105"/>
        </w:rPr>
        <w:t>diuretic effect of diuretics antagonised by</w:t>
      </w:r>
    </w:p>
    <w:p>
      <w:pPr>
        <w:spacing w:line="130" w:lineRule="exact" w:before="0"/>
        <w:ind w:left="286" w:right="0" w:firstLine="0"/>
        <w:jc w:val="left"/>
        <w:rPr>
          <w:rFonts w:ascii="Calibri"/>
          <w:sz w:val="11"/>
        </w:rPr>
      </w:pPr>
      <w:r>
        <w:rPr>
          <w:rFonts w:ascii="Calibri"/>
          <w:color w:val="008356"/>
          <w:sz w:val="11"/>
        </w:rPr>
        <w:t>OESTROGENS</w:t>
      </w:r>
    </w:p>
    <w:p>
      <w:pPr>
        <w:pStyle w:val="BodyText"/>
        <w:spacing w:line="244" w:lineRule="auto"/>
        <w:ind w:left="286" w:right="259" w:hanging="100"/>
        <w:rPr>
          <w:rFonts w:ascii="Calibri"/>
          <w:sz w:val="11"/>
        </w:rPr>
      </w:pPr>
      <w:r>
        <w:rPr>
          <w:rFonts w:ascii="Arial"/>
          <w:color w:val="231F1F"/>
          <w:w w:val="355"/>
          <w:position w:val="1"/>
          <w:sz w:val="7"/>
        </w:rPr>
        <w:t>l </w:t>
      </w:r>
      <w:r>
        <w:rPr>
          <w:rFonts w:ascii="Calibri"/>
          <w:color w:val="231F1F"/>
          <w:w w:val="115"/>
        </w:rPr>
        <w:t>Potassium Salts: </w:t>
      </w:r>
      <w:r>
        <w:rPr>
          <w:color w:val="231F1F"/>
          <w:w w:val="115"/>
        </w:rPr>
        <w:t>increased risk of hyperkalaemia when potassium-sparing diuretics and aldosterone antagonists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5"/>
          <w:sz w:val="11"/>
        </w:rPr>
        <w:t>POTASSIUM SALTS</w:t>
      </w:r>
    </w:p>
    <w:p>
      <w:pPr>
        <w:pStyle w:val="BodyText"/>
        <w:spacing w:line="235" w:lineRule="auto"/>
        <w:ind w:left="286" w:right="69" w:hanging="100"/>
      </w:pPr>
      <w:r>
        <w:rPr>
          <w:rFonts w:ascii="Lucida Sans Unicode" w:hAnsi="Lucida Sans Unicode"/>
          <w:color w:val="A7A8AC"/>
          <w:w w:val="95"/>
          <w:sz w:val="10"/>
        </w:rPr>
        <w:t>▶ </w:t>
      </w:r>
      <w:r>
        <w:rPr>
          <w:rFonts w:ascii="Calibri" w:hAnsi="Calibri"/>
          <w:color w:val="231F1F"/>
          <w:w w:val="110"/>
        </w:rPr>
        <w:t>Progestogens: </w:t>
      </w:r>
      <w:r>
        <w:rPr>
          <w:color w:val="231F1F"/>
          <w:w w:val="110"/>
        </w:rPr>
        <w:t>risk of hyperkalaemia when potassium-sparing diuretics and aldosterone antagonists given with </w:t>
      </w:r>
      <w:r>
        <w:rPr>
          <w:rFonts w:ascii="Calibri" w:hAnsi="Calibri"/>
          <w:color w:val="008356"/>
          <w:w w:val="110"/>
          <w:sz w:val="11"/>
        </w:rPr>
        <w:t>DROSPIRENONE </w:t>
      </w:r>
      <w:r>
        <w:rPr>
          <w:color w:val="231F1F"/>
          <w:w w:val="110"/>
        </w:rPr>
        <w:t>(monitor serum potassium during first cycle)</w:t>
      </w:r>
    </w:p>
    <w:p>
      <w:pPr>
        <w:pStyle w:val="BodyText"/>
        <w:spacing w:line="220" w:lineRule="auto" w:before="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diuretics given with </w:t>
      </w:r>
      <w:r>
        <w:rPr>
          <w:rFonts w:ascii="Calibri" w:hAnsi="Calibri"/>
          <w:color w:val="008356"/>
          <w:w w:val="110"/>
          <w:sz w:val="11"/>
        </w:rPr>
        <w:t>ALPROSTADIL</w:t>
      </w:r>
    </w:p>
    <w:p>
      <w:pPr>
        <w:pStyle w:val="BodyText"/>
        <w:spacing w:line="232" w:lineRule="auto" w:before="3"/>
        <w:ind w:left="286" w:right="55"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increased risk of hypokalaemia when acetazolamide,  loop  diuretics  or  thiazides  and  related  </w:t>
      </w:r>
      <w:r>
        <w:rPr>
          <w:color w:val="231F1F"/>
          <w:w w:val="105"/>
          <w:position w:val="2"/>
          <w:vertAlign w:val="baseline"/>
        </w:rPr>
        <w:t>diuretics given with high doses of</w:t>
      </w:r>
      <w:r>
        <w:rPr>
          <w:color w:val="231F1F"/>
          <w:spacing w:val="5"/>
          <w:w w:val="105"/>
          <w:position w:val="2"/>
          <w:vertAlign w:val="baseline"/>
        </w:rPr>
        <w:t> </w:t>
      </w:r>
      <w:r>
        <w:rPr>
          <w:rFonts w:ascii="Calibri" w:hAnsi="Calibri"/>
          <w:color w:val="008356"/>
          <w:spacing w:val="4"/>
          <w:w w:val="105"/>
          <w:position w:val="2"/>
          <w:sz w:val="11"/>
          <w:vertAlign w:val="baseline"/>
        </w:rPr>
        <w:t>BETA</w:t>
      </w:r>
      <w:r>
        <w:rPr>
          <w:rFonts w:ascii="Calibri" w:hAnsi="Calibri"/>
          <w:color w:val="008356"/>
          <w:spacing w:val="4"/>
          <w:w w:val="105"/>
          <w:position w:val="2"/>
          <w:sz w:val="11"/>
          <w:vertAlign w:val="subscript"/>
        </w:rPr>
        <w:t>2</w:t>
      </w:r>
      <w:r>
        <w:rPr>
          <w:rFonts w:ascii="Calibri" w:hAnsi="Calibri"/>
          <w:color w:val="008356"/>
          <w:spacing w:val="4"/>
          <w:w w:val="105"/>
          <w:position w:val="2"/>
          <w:sz w:val="11"/>
          <w:vertAlign w:val="baseline"/>
        </w:rPr>
        <w:t>SYMPATHOMIMETICS</w:t>
      </w:r>
    </w:p>
    <w:p>
      <w:pPr>
        <w:pStyle w:val="BodyText"/>
        <w:spacing w:line="127" w:lineRule="exact"/>
        <w:ind w:left="186"/>
        <w:jc w:val="both"/>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Tacrolimus:</w:t>
      </w:r>
      <w:r>
        <w:rPr>
          <w:rFonts w:ascii="Calibri"/>
          <w:color w:val="231F1F"/>
          <w:spacing w:val="-12"/>
          <w:w w:val="115"/>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4"/>
          <w:w w:val="115"/>
        </w:rPr>
        <w:t> </w:t>
      </w:r>
      <w:r>
        <w:rPr>
          <w:color w:val="231F1F"/>
          <w:w w:val="115"/>
        </w:rPr>
        <w:t>hyperkalaemia</w:t>
      </w:r>
      <w:r>
        <w:rPr>
          <w:color w:val="231F1F"/>
          <w:spacing w:val="-13"/>
          <w:w w:val="115"/>
        </w:rPr>
        <w:t> </w:t>
      </w:r>
      <w:r>
        <w:rPr>
          <w:color w:val="231F1F"/>
          <w:w w:val="115"/>
        </w:rPr>
        <w:t>when</w:t>
      </w:r>
      <w:r>
        <w:rPr>
          <w:color w:val="231F1F"/>
          <w:spacing w:val="-15"/>
          <w:w w:val="115"/>
        </w:rPr>
        <w:t> </w:t>
      </w:r>
      <w:r>
        <w:rPr>
          <w:color w:val="231F1F"/>
          <w:w w:val="115"/>
        </w:rPr>
        <w:t>potassium-</w:t>
      </w:r>
    </w:p>
    <w:p>
      <w:pPr>
        <w:pStyle w:val="BodyText"/>
        <w:ind w:left="286"/>
      </w:pPr>
      <w:r>
        <w:rPr>
          <w:color w:val="231F1F"/>
          <w:w w:val="115"/>
        </w:rPr>
        <w:t>sparing diuretics and aldosterone antagonists given with</w:t>
      </w:r>
    </w:p>
    <w:p>
      <w:pPr>
        <w:spacing w:line="133" w:lineRule="exact" w:before="12"/>
        <w:ind w:left="286"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235" w:lineRule="auto" w:before="1"/>
        <w:ind w:left="286" w:right="317"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increased risk of hypokalaemia when acetazolamide, loop diuretics or thiazides and related diuretics given with </w:t>
      </w:r>
      <w:r>
        <w:rPr>
          <w:rFonts w:ascii="Calibri" w:hAnsi="Calibri"/>
          <w:color w:val="008356"/>
          <w:w w:val="110"/>
          <w:sz w:val="11"/>
        </w:rPr>
        <w:t>THEOPHYLLINE</w:t>
      </w:r>
    </w:p>
    <w:p>
      <w:pPr>
        <w:spacing w:line="237" w:lineRule="auto" w:before="0"/>
        <w:ind w:left="286" w:right="10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diuretics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spacing w:line="235"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increased risk of hypercalcaemia when thiazides and related diuretics given with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 </w:t>
      </w:r>
      <w:r>
        <w:rPr>
          <w:rFonts w:ascii="Calibri" w:hAnsi="Calibri"/>
          <w:color w:val="008356"/>
          <w:w w:val="105"/>
          <w:sz w:val="11"/>
        </w:rPr>
        <w:t>VITAMIN D</w:t>
      </w:r>
    </w:p>
    <w:p>
      <w:pPr>
        <w:pStyle w:val="BodyText"/>
        <w:spacing w:before="5"/>
        <w:ind w:left="186"/>
      </w:pPr>
      <w:r>
        <w:rPr>
          <w:rFonts w:ascii="Trebuchet MS"/>
          <w:color w:val="008356"/>
          <w:w w:val="105"/>
        </w:rPr>
        <w:t>Diuretics, Loop </w:t>
      </w:r>
      <w:r>
        <w:rPr>
          <w:i/>
          <w:color w:val="231F1F"/>
          <w:w w:val="105"/>
        </w:rPr>
        <w:t>see </w:t>
      </w:r>
      <w:r>
        <w:rPr>
          <w:color w:val="231F1F"/>
          <w:w w:val="105"/>
        </w:rPr>
        <w:t>Diuretics</w:t>
      </w:r>
    </w:p>
    <w:p>
      <w:pPr>
        <w:pStyle w:val="BodyText"/>
        <w:spacing w:before="10"/>
        <w:ind w:left="186"/>
        <w:rPr>
          <w:i/>
        </w:rPr>
      </w:pPr>
      <w:r>
        <w:rPr>
          <w:rFonts w:ascii="Trebuchet MS"/>
          <w:color w:val="008356"/>
        </w:rPr>
        <w:t>Diuretics, Potassium-sparing and Aldosterone Antagonists </w:t>
      </w:r>
      <w:r>
        <w:rPr>
          <w:i/>
          <w:color w:val="231F1F"/>
        </w:rPr>
        <w:t>see</w:t>
      </w:r>
    </w:p>
    <w:p>
      <w:pPr>
        <w:pStyle w:val="BodyText"/>
        <w:spacing w:before="2"/>
        <w:ind w:left="286"/>
      </w:pPr>
      <w:r>
        <w:rPr>
          <w:color w:val="231F1F"/>
          <w:w w:val="110"/>
        </w:rPr>
        <w:t>Diuretics</w:t>
      </w:r>
    </w:p>
    <w:p>
      <w:pPr>
        <w:pStyle w:val="BodyText"/>
        <w:spacing w:before="11"/>
        <w:ind w:left="186"/>
      </w:pPr>
      <w:r>
        <w:rPr>
          <w:rFonts w:ascii="Trebuchet MS"/>
          <w:color w:val="008356"/>
        </w:rPr>
        <w:t>Diuretics, Thiazide and related </w:t>
      </w:r>
      <w:r>
        <w:rPr>
          <w:i/>
          <w:color w:val="231F1F"/>
        </w:rPr>
        <w:t>see </w:t>
      </w:r>
      <w:r>
        <w:rPr>
          <w:color w:val="231F1F"/>
        </w:rPr>
        <w:t>Diuretics</w:t>
      </w:r>
    </w:p>
    <w:p>
      <w:pPr>
        <w:pStyle w:val="BodyText"/>
        <w:spacing w:before="11"/>
        <w:ind w:left="186"/>
      </w:pPr>
      <w:r>
        <w:rPr>
          <w:rFonts w:ascii="Trebuchet MS"/>
          <w:color w:val="008356"/>
          <w:w w:val="110"/>
        </w:rPr>
        <w:t>Dobutamine </w:t>
      </w:r>
      <w:r>
        <w:rPr>
          <w:i/>
          <w:color w:val="231F1F"/>
          <w:w w:val="110"/>
        </w:rPr>
        <w:t>see </w:t>
      </w:r>
      <w:r>
        <w:rPr>
          <w:color w:val="231F1F"/>
          <w:w w:val="110"/>
        </w:rPr>
        <w:t>Sympathomimetics</w:t>
      </w:r>
    </w:p>
    <w:p>
      <w:pPr>
        <w:pStyle w:val="BodyText"/>
        <w:spacing w:before="3"/>
        <w:ind w:left="0"/>
        <w:rPr>
          <w:sz w:val="15"/>
        </w:rPr>
      </w:pPr>
      <w:r>
        <w:rPr/>
        <w:br w:type="column"/>
      </w:r>
      <w:r>
        <w:rPr>
          <w:sz w:val="15"/>
        </w:rPr>
      </w:r>
    </w:p>
    <w:p>
      <w:pPr>
        <w:pStyle w:val="BodyText"/>
        <w:spacing w:before="1"/>
        <w:ind w:left="179"/>
        <w:rPr>
          <w:rFonts w:ascii="Trebuchet MS"/>
        </w:rPr>
      </w:pPr>
      <w:r>
        <w:rPr>
          <w:rFonts w:ascii="Trebuchet MS"/>
          <w:color w:val="008356"/>
        </w:rPr>
        <w:t>Docetaxel</w:t>
      </w:r>
    </w:p>
    <w:p>
      <w:pPr>
        <w:pStyle w:val="BodyText"/>
        <w:spacing w:line="244" w:lineRule="auto"/>
        <w:ind w:left="279" w:right="641"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docetaxel possibly increased by </w:t>
      </w:r>
      <w:r>
        <w:rPr>
          <w:rFonts w:ascii="Arial" w:hAnsi="Arial"/>
          <w:color w:val="231F1F"/>
          <w:w w:val="355"/>
          <w:position w:val="1"/>
          <w:sz w:val="7"/>
        </w:rPr>
        <w:t>l </w:t>
      </w:r>
      <w:r>
        <w:rPr>
          <w:rFonts w:ascii="Calibri" w:hAnsi="Calibri"/>
          <w:color w:val="008356"/>
          <w:spacing w:val="4"/>
          <w:w w:val="110"/>
          <w:sz w:val="11"/>
        </w:rPr>
        <w:t>CLARITHROMYCIN </w:t>
      </w:r>
      <w:r>
        <w:rPr>
          <w:color w:val="231F1F"/>
          <w:w w:val="110"/>
        </w:rPr>
        <w:t>and </w:t>
      </w:r>
      <w:r>
        <w:rPr>
          <w:rFonts w:ascii="Arial" w:hAnsi="Arial"/>
          <w:color w:val="231F1F"/>
          <w:w w:val="355"/>
          <w:position w:val="1"/>
          <w:sz w:val="7"/>
        </w:rPr>
        <w:t>l </w:t>
      </w:r>
      <w:r>
        <w:rPr>
          <w:rFonts w:ascii="Calibri" w:hAnsi="Calibri"/>
          <w:color w:val="008356"/>
          <w:spacing w:val="4"/>
          <w:w w:val="110"/>
          <w:sz w:val="11"/>
        </w:rPr>
        <w:t>TELITHROMYCIN</w:t>
      </w:r>
      <w:r>
        <w:rPr>
          <w:rFonts w:ascii="Arial" w:hAnsi="Arial"/>
          <w:color w:val="231F1F"/>
          <w:spacing w:val="4"/>
          <w:w w:val="110"/>
        </w:rPr>
        <w:t>— </w:t>
      </w:r>
      <w:r>
        <w:rPr>
          <w:color w:val="231F1F"/>
          <w:w w:val="110"/>
        </w:rPr>
        <w:t>manufacturer of docetaxel advises avoid concomitant use </w:t>
      </w:r>
      <w:r>
        <w:rPr>
          <w:color w:val="231F1F"/>
          <w:spacing w:val="-7"/>
          <w:w w:val="110"/>
        </w:rPr>
        <w:t>or </w:t>
      </w:r>
      <w:r>
        <w:rPr>
          <w:color w:val="231F1F"/>
          <w:w w:val="110"/>
        </w:rPr>
        <w:t>consider reducing docetaxel</w:t>
      </w:r>
      <w:r>
        <w:rPr>
          <w:color w:val="231F1F"/>
          <w:spacing w:val="-4"/>
          <w:w w:val="110"/>
        </w:rPr>
        <w:t> </w:t>
      </w:r>
      <w:r>
        <w:rPr>
          <w:color w:val="231F1F"/>
          <w:w w:val="110"/>
        </w:rPr>
        <w:t>dose</w:t>
      </w:r>
    </w:p>
    <w:p>
      <w:pPr>
        <w:pStyle w:val="BodyText"/>
        <w:spacing w:line="244" w:lineRule="auto"/>
        <w:ind w:left="279" w:right="677" w:hanging="100"/>
      </w:pPr>
      <w:r>
        <w:rPr>
          <w:rFonts w:ascii="Arial" w:hAnsi="Arial"/>
          <w:color w:val="231F1F"/>
          <w:w w:val="355"/>
          <w:position w:val="1"/>
          <w:sz w:val="7"/>
        </w:rPr>
        <w:t>l </w:t>
      </w:r>
      <w:r>
        <w:rPr>
          <w:rFonts w:ascii="Calibri" w:hAnsi="Calibri"/>
          <w:color w:val="231F1F"/>
          <w:w w:val="105"/>
        </w:rPr>
        <w:t>Antifungals: </w:t>
      </w:r>
      <w:r>
        <w:rPr>
          <w:i/>
          <w:color w:val="231F1F"/>
          <w:w w:val="105"/>
        </w:rPr>
        <w:t>in vitro </w:t>
      </w:r>
      <w:r>
        <w:rPr>
          <w:color w:val="231F1F"/>
          <w:w w:val="105"/>
        </w:rPr>
        <w:t>studies suggest a possible interaction between docetaxel and </w:t>
      </w:r>
      <w:r>
        <w:rPr>
          <w:rFonts w:ascii="Calibri" w:hAnsi="Calibri"/>
          <w:color w:val="008356"/>
          <w:spacing w:val="4"/>
          <w:w w:val="105"/>
          <w:sz w:val="11"/>
        </w:rPr>
        <w:t>KETOCONAZOLE </w:t>
      </w:r>
      <w:r>
        <w:rPr>
          <w:color w:val="231F1F"/>
          <w:w w:val="105"/>
        </w:rPr>
        <w:t>(consult docetaxel product literature);  plasma  concentration  of  docetaxel possibly</w:t>
      </w:r>
      <w:r>
        <w:rPr>
          <w:color w:val="231F1F"/>
          <w:spacing w:val="-2"/>
          <w:w w:val="105"/>
        </w:rPr>
        <w:t> </w:t>
      </w:r>
      <w:r>
        <w:rPr>
          <w:color w:val="231F1F"/>
          <w:w w:val="105"/>
        </w:rPr>
        <w:t>increased</w:t>
      </w:r>
      <w:r>
        <w:rPr>
          <w:color w:val="231F1F"/>
          <w:spacing w:val="-1"/>
          <w:w w:val="105"/>
        </w:rPr>
        <w:t> </w:t>
      </w:r>
      <w:r>
        <w:rPr>
          <w:color w:val="231F1F"/>
          <w:w w:val="105"/>
        </w:rPr>
        <w:t>by</w:t>
      </w:r>
      <w:r>
        <w:rPr>
          <w:color w:val="231F1F"/>
          <w:spacing w:val="-1"/>
          <w:w w:val="105"/>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05"/>
          <w:sz w:val="11"/>
        </w:rPr>
        <w:t>ITRACONAZOLE</w:t>
      </w:r>
      <w:r>
        <w:rPr>
          <w:rFonts w:ascii="Calibri" w:hAnsi="Calibri"/>
          <w:color w:val="008356"/>
          <w:spacing w:val="11"/>
          <w:w w:val="105"/>
          <w:sz w:val="11"/>
        </w:rPr>
        <w:t> </w:t>
      </w:r>
      <w:r>
        <w:rPr>
          <w:color w:val="231F1F"/>
          <w:w w:val="105"/>
        </w:rPr>
        <w:t>and</w:t>
      </w:r>
      <w:r>
        <w:rPr>
          <w:color w:val="231F1F"/>
          <w:spacing w:val="-2"/>
          <w:w w:val="105"/>
        </w:rPr>
        <w:t> </w:t>
      </w: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4"/>
          <w:w w:val="105"/>
          <w:sz w:val="11"/>
        </w:rPr>
        <w:t>VORICONAZOLE</w:t>
      </w:r>
      <w:r>
        <w:rPr>
          <w:rFonts w:ascii="Arial" w:hAnsi="Arial"/>
          <w:color w:val="231F1F"/>
          <w:spacing w:val="4"/>
          <w:w w:val="105"/>
        </w:rPr>
        <w:t>— </w:t>
      </w:r>
      <w:r>
        <w:rPr>
          <w:color w:val="231F1F"/>
          <w:w w:val="105"/>
        </w:rPr>
        <w:t>manufacturer of docetaxel advises avoid concomitant use </w:t>
      </w:r>
      <w:r>
        <w:rPr>
          <w:color w:val="231F1F"/>
          <w:spacing w:val="-7"/>
          <w:w w:val="105"/>
        </w:rPr>
        <w:t>or </w:t>
      </w:r>
      <w:r>
        <w:rPr>
          <w:color w:val="231F1F"/>
          <w:w w:val="105"/>
        </w:rPr>
        <w:t>consider reducing docetaxel</w:t>
      </w:r>
      <w:r>
        <w:rPr>
          <w:color w:val="231F1F"/>
          <w:spacing w:val="5"/>
          <w:w w:val="105"/>
        </w:rPr>
        <w:t> </w:t>
      </w:r>
      <w:r>
        <w:rPr>
          <w:color w:val="231F1F"/>
          <w:w w:val="105"/>
        </w:rPr>
        <w:t>dose</w:t>
      </w:r>
    </w:p>
    <w:p>
      <w:pPr>
        <w:pStyle w:val="BodyText"/>
        <w:spacing w:line="144" w:lineRule="exact"/>
        <w:ind w:left="180"/>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79"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44" w:lineRule="auto"/>
        <w:ind w:left="279" w:right="589"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docetaxel possibly increased by </w:t>
      </w:r>
      <w:r>
        <w:rPr>
          <w:rFonts w:ascii="Arial" w:hAnsi="Arial"/>
          <w:color w:val="231F1F"/>
          <w:w w:val="355"/>
          <w:position w:val="1"/>
          <w:sz w:val="7"/>
        </w:rPr>
        <w:t>l </w:t>
      </w:r>
      <w:r>
        <w:rPr>
          <w:rFonts w:ascii="Calibri" w:hAnsi="Calibri"/>
          <w:color w:val="008356"/>
          <w:spacing w:val="4"/>
          <w:w w:val="110"/>
          <w:sz w:val="11"/>
        </w:rPr>
        <w:t>INDINAVIR</w:t>
      </w:r>
      <w:r>
        <w:rPr>
          <w:color w:val="231F1F"/>
          <w:spacing w:val="4"/>
          <w:w w:val="110"/>
        </w:rPr>
        <w:t>, </w:t>
      </w:r>
      <w:r>
        <w:rPr>
          <w:rFonts w:ascii="Arial" w:hAnsi="Arial"/>
          <w:color w:val="231F1F"/>
          <w:w w:val="355"/>
          <w:position w:val="1"/>
          <w:sz w:val="7"/>
        </w:rPr>
        <w:t>l </w:t>
      </w:r>
      <w:r>
        <w:rPr>
          <w:rFonts w:ascii="Calibri" w:hAnsi="Calibri"/>
          <w:color w:val="008356"/>
          <w:spacing w:val="3"/>
          <w:w w:val="110"/>
          <w:sz w:val="11"/>
        </w:rPr>
        <w:t>RITONAVIR </w:t>
      </w:r>
      <w:r>
        <w:rPr>
          <w:color w:val="231F1F"/>
          <w:w w:val="110"/>
        </w:rPr>
        <w:t>and </w:t>
      </w:r>
      <w:r>
        <w:rPr>
          <w:rFonts w:ascii="Arial" w:hAnsi="Arial"/>
          <w:color w:val="231F1F"/>
          <w:w w:val="355"/>
          <w:position w:val="1"/>
          <w:sz w:val="7"/>
        </w:rPr>
        <w:t>l </w:t>
      </w:r>
      <w:r>
        <w:rPr>
          <w:rFonts w:ascii="Calibri" w:hAnsi="Calibri"/>
          <w:color w:val="008356"/>
          <w:spacing w:val="4"/>
          <w:w w:val="110"/>
          <w:sz w:val="11"/>
        </w:rPr>
        <w:t>SAQUINAVIR</w:t>
      </w:r>
      <w:r>
        <w:rPr>
          <w:rFonts w:ascii="Arial" w:hAnsi="Arial"/>
          <w:color w:val="231F1F"/>
          <w:spacing w:val="4"/>
          <w:w w:val="110"/>
        </w:rPr>
        <w:t>— </w:t>
      </w:r>
      <w:r>
        <w:rPr>
          <w:color w:val="231F1F"/>
          <w:w w:val="110"/>
        </w:rPr>
        <w:t>manufacturer of docetaxel advises avoid concomitant use </w:t>
      </w:r>
      <w:r>
        <w:rPr>
          <w:color w:val="231F1F"/>
          <w:spacing w:val="-7"/>
          <w:w w:val="110"/>
        </w:rPr>
        <w:t>or </w:t>
      </w:r>
      <w:r>
        <w:rPr>
          <w:color w:val="231F1F"/>
          <w:w w:val="110"/>
        </w:rPr>
        <w:t>consider reducing docetaxel dose</w:t>
      </w:r>
    </w:p>
    <w:p>
      <w:pPr>
        <w:pStyle w:val="BodyText"/>
        <w:spacing w:line="230" w:lineRule="auto"/>
        <w:ind w:left="279" w:right="896" w:hanging="100"/>
      </w:pPr>
      <w:r>
        <w:rPr>
          <w:rFonts w:ascii="Lucida Sans Unicode" w:hAnsi="Lucida Sans Unicode"/>
          <w:color w:val="A7A8AC"/>
          <w:w w:val="95"/>
          <w:sz w:val="10"/>
        </w:rPr>
        <w:t>▶ </w:t>
      </w:r>
      <w:r>
        <w:rPr>
          <w:rFonts w:ascii="Calibri" w:hAnsi="Calibri"/>
          <w:color w:val="231F1F"/>
          <w:w w:val="110"/>
        </w:rPr>
        <w:t>Ciclosporin: </w:t>
      </w:r>
      <w:r>
        <w:rPr>
          <w:i/>
          <w:color w:val="231F1F"/>
          <w:w w:val="110"/>
        </w:rPr>
        <w:t>in vitro </w:t>
      </w:r>
      <w:r>
        <w:rPr>
          <w:color w:val="231F1F"/>
          <w:w w:val="110"/>
        </w:rPr>
        <w:t>studies suggest a possible interaction between docetaxel and </w:t>
      </w:r>
      <w:r>
        <w:rPr>
          <w:rFonts w:ascii="Calibri" w:hAnsi="Calibri"/>
          <w:color w:val="008356"/>
          <w:w w:val="110"/>
          <w:sz w:val="11"/>
        </w:rPr>
        <w:t>CICLOSPORIN </w:t>
      </w:r>
      <w:r>
        <w:rPr>
          <w:color w:val="231F1F"/>
          <w:w w:val="110"/>
        </w:rPr>
        <w:t>(consult docetaxel product literature)</w:t>
      </w:r>
    </w:p>
    <w:p>
      <w:pPr>
        <w:pStyle w:val="BodyText"/>
        <w:spacing w:line="230" w:lineRule="auto" w:before="4"/>
        <w:ind w:left="279"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possible increased risk of neutropenia when docetaxel given with </w:t>
      </w:r>
      <w:r>
        <w:rPr>
          <w:rFonts w:ascii="Calibri" w:hAnsi="Calibri"/>
          <w:color w:val="008356"/>
          <w:w w:val="105"/>
          <w:sz w:val="11"/>
        </w:rPr>
        <w:t>LAPATINIB</w:t>
      </w:r>
      <w:r>
        <w:rPr>
          <w:color w:val="231F1F"/>
          <w:w w:val="105"/>
        </w:rPr>
        <w:t>; plasma concentration of docetaxel increased by </w:t>
      </w:r>
      <w:r>
        <w:rPr>
          <w:rFonts w:ascii="Calibri" w:hAnsi="Calibri"/>
          <w:color w:val="008356"/>
          <w:w w:val="105"/>
          <w:sz w:val="11"/>
        </w:rPr>
        <w:t>SORAFENIB</w:t>
      </w:r>
    </w:p>
    <w:p>
      <w:pPr>
        <w:pStyle w:val="BodyText"/>
        <w:spacing w:before="8"/>
        <w:ind w:left="180"/>
        <w:rPr>
          <w:rFonts w:ascii="Trebuchet MS"/>
        </w:rPr>
      </w:pPr>
      <w:r>
        <w:rPr>
          <w:rFonts w:ascii="Trebuchet MS"/>
          <w:color w:val="008356"/>
        </w:rPr>
        <w:t>Dolutegravir</w:t>
      </w:r>
    </w:p>
    <w:p>
      <w:pPr>
        <w:pStyle w:val="BodyText"/>
        <w:spacing w:line="237" w:lineRule="auto" w:before="2"/>
        <w:ind w:left="279" w:right="747" w:hanging="100"/>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dolutegravir reduced by </w:t>
      </w:r>
      <w:r>
        <w:rPr>
          <w:rFonts w:ascii="Calibri" w:hAnsi="Calibri"/>
          <w:color w:val="008356"/>
          <w:w w:val="110"/>
          <w:sz w:val="11"/>
        </w:rPr>
        <w:t>ALUMINIUM HYDROXIDE </w:t>
      </w:r>
      <w:r>
        <w:rPr>
          <w:color w:val="231F1F"/>
          <w:w w:val="110"/>
        </w:rPr>
        <w:t>and </w:t>
      </w:r>
      <w:r>
        <w:rPr>
          <w:rFonts w:ascii="Calibri" w:hAnsi="Calibri"/>
          <w:color w:val="008356"/>
          <w:w w:val="110"/>
          <w:sz w:val="11"/>
        </w:rPr>
        <w:t>ORAL MAGNESIUM SALTS</w:t>
      </w:r>
      <w:r>
        <w:rPr>
          <w:rFonts w:ascii="Arial" w:hAnsi="Arial"/>
          <w:color w:val="231F1F"/>
          <w:w w:val="110"/>
        </w:rPr>
        <w:t>—</w:t>
      </w:r>
      <w:r>
        <w:rPr>
          <w:color w:val="231F1F"/>
          <w:w w:val="110"/>
        </w:rPr>
        <w:t>manufacturer of dolutegravir advises give at least 2 hours before or 6 hours after aluminium hydroxide and oral magnesium salts</w:t>
      </w:r>
    </w:p>
    <w:p>
      <w:pPr>
        <w:pStyle w:val="BodyText"/>
        <w:ind w:left="279" w:right="697" w:hanging="100"/>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Antibacterials:</w:t>
      </w:r>
      <w:r>
        <w:rPr>
          <w:rFonts w:ascii="Calibri"/>
          <w:color w:val="231F1F"/>
          <w:spacing w:val="-16"/>
          <w:w w:val="115"/>
        </w:rPr>
        <w:t> </w:t>
      </w:r>
      <w:r>
        <w:rPr>
          <w:color w:val="231F1F"/>
          <w:w w:val="115"/>
        </w:rPr>
        <w:t>plasma</w:t>
      </w:r>
      <w:r>
        <w:rPr>
          <w:color w:val="231F1F"/>
          <w:spacing w:val="-19"/>
          <w:w w:val="115"/>
        </w:rPr>
        <w:t> </w:t>
      </w:r>
      <w:r>
        <w:rPr>
          <w:color w:val="231F1F"/>
          <w:w w:val="115"/>
        </w:rPr>
        <w:t>concentration</w:t>
      </w:r>
      <w:r>
        <w:rPr>
          <w:color w:val="231F1F"/>
          <w:spacing w:val="-18"/>
          <w:w w:val="115"/>
        </w:rPr>
        <w:t> </w:t>
      </w:r>
      <w:r>
        <w:rPr>
          <w:color w:val="231F1F"/>
          <w:w w:val="115"/>
        </w:rPr>
        <w:t>of</w:t>
      </w:r>
      <w:r>
        <w:rPr>
          <w:color w:val="231F1F"/>
          <w:spacing w:val="-19"/>
          <w:w w:val="115"/>
        </w:rPr>
        <w:t> </w:t>
      </w:r>
      <w:r>
        <w:rPr>
          <w:color w:val="231F1F"/>
          <w:w w:val="115"/>
        </w:rPr>
        <w:t>dolutegravir</w:t>
      </w:r>
      <w:r>
        <w:rPr>
          <w:color w:val="231F1F"/>
          <w:spacing w:val="-19"/>
          <w:w w:val="115"/>
        </w:rPr>
        <w:t> </w:t>
      </w:r>
      <w:r>
        <w:rPr>
          <w:color w:val="231F1F"/>
          <w:w w:val="115"/>
        </w:rPr>
        <w:t>reduced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RIFAMPICIN </w:t>
      </w:r>
      <w:r>
        <w:rPr>
          <w:color w:val="231F1F"/>
          <w:w w:val="115"/>
        </w:rPr>
        <w:t>(see under Dolutegravir, p. 557)</w:t>
      </w:r>
    </w:p>
    <w:p>
      <w:pPr>
        <w:pStyle w:val="BodyText"/>
        <w:spacing w:line="220" w:lineRule="auto" w:before="6"/>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dolutegravir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20" w:lineRule="auto" w:before="8"/>
        <w:ind w:left="279" w:right="641"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dolutegravir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w:t>
      </w:r>
    </w:p>
    <w:p>
      <w:pPr>
        <w:spacing w:line="141" w:lineRule="exact" w:before="4"/>
        <w:ind w:left="279" w:right="0" w:firstLine="0"/>
        <w:jc w:val="left"/>
        <w:rPr>
          <w:rFonts w:ascii="Calibri"/>
          <w:sz w:val="11"/>
        </w:rPr>
      </w:pPr>
      <w:r>
        <w:rPr>
          <w:rFonts w:ascii="Calibri"/>
          <w:color w:val="008356"/>
          <w:sz w:val="11"/>
        </w:rPr>
        <w:t>OXCARBAZEPINE</w:t>
      </w:r>
      <w:r>
        <w:rPr>
          <w:color w:val="231F1F"/>
          <w:sz w:val="12"/>
        </w:rPr>
        <w:t>, </w:t>
      </w:r>
      <w:r>
        <w:rPr>
          <w:rFonts w:ascii="Calibri"/>
          <w:color w:val="008356"/>
          <w:sz w:val="11"/>
        </w:rPr>
        <w:t>PHENOBARBITAL</w:t>
      </w:r>
      <w:r>
        <w:rPr>
          <w:color w:val="231F1F"/>
          <w:sz w:val="12"/>
        </w:rPr>
        <w:t>, </w:t>
      </w:r>
      <w:r>
        <w:rPr>
          <w:rFonts w:ascii="Calibri"/>
          <w:color w:val="008356"/>
          <w:sz w:val="11"/>
        </w:rPr>
        <w:t>PHENYTOIN </w:t>
      </w:r>
      <w:r>
        <w:rPr>
          <w:color w:val="231F1F"/>
          <w:sz w:val="12"/>
        </w:rPr>
        <w:t>and </w:t>
      </w:r>
      <w:r>
        <w:rPr>
          <w:rFonts w:ascii="Calibri"/>
          <w:color w:val="008356"/>
          <w:sz w:val="11"/>
        </w:rPr>
        <w:t>PRIMIDONE</w:t>
      </w:r>
    </w:p>
    <w:p>
      <w:pPr>
        <w:spacing w:line="244" w:lineRule="auto" w:before="0"/>
        <w:ind w:left="279" w:right="725"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dolutegravir reduced by </w:t>
      </w:r>
      <w:r>
        <w:rPr>
          <w:rFonts w:ascii="Arial"/>
          <w:color w:val="231F1F"/>
          <w:w w:val="355"/>
          <w:position w:val="1"/>
          <w:sz w:val="7"/>
        </w:rPr>
        <w:t>l </w:t>
      </w:r>
      <w:r>
        <w:rPr>
          <w:rFonts w:ascii="Calibri"/>
          <w:color w:val="008356"/>
          <w:spacing w:val="3"/>
          <w:w w:val="110"/>
          <w:sz w:val="11"/>
        </w:rPr>
        <w:t>EFAVIRENZ</w:t>
      </w:r>
      <w:r>
        <w:rPr>
          <w:color w:val="231F1F"/>
          <w:spacing w:val="3"/>
          <w:w w:val="110"/>
          <w:sz w:val="12"/>
        </w:rPr>
        <w:t>, </w:t>
      </w:r>
      <w:r>
        <w:rPr>
          <w:rFonts w:ascii="Arial"/>
          <w:color w:val="231F1F"/>
          <w:w w:val="355"/>
          <w:position w:val="1"/>
          <w:sz w:val="7"/>
        </w:rPr>
        <w:t>l </w:t>
      </w:r>
      <w:r>
        <w:rPr>
          <w:rFonts w:ascii="Calibri"/>
          <w:color w:val="008356"/>
          <w:spacing w:val="4"/>
          <w:w w:val="110"/>
          <w:sz w:val="11"/>
        </w:rPr>
        <w:t>ETRAVIRINE </w:t>
      </w:r>
      <w:r>
        <w:rPr>
          <w:color w:val="231F1F"/>
          <w:w w:val="110"/>
          <w:sz w:val="12"/>
        </w:rPr>
        <w:t>and </w:t>
      </w:r>
      <w:r>
        <w:rPr>
          <w:rFonts w:ascii="Arial"/>
          <w:color w:val="231F1F"/>
          <w:w w:val="355"/>
          <w:position w:val="1"/>
          <w:sz w:val="7"/>
        </w:rPr>
        <w:t>l </w:t>
      </w:r>
      <w:r>
        <w:rPr>
          <w:rFonts w:ascii="Calibri"/>
          <w:color w:val="008356"/>
          <w:spacing w:val="4"/>
          <w:w w:val="110"/>
          <w:sz w:val="11"/>
        </w:rPr>
        <w:t>TIPRANAVIR </w:t>
      </w:r>
      <w:r>
        <w:rPr>
          <w:color w:val="231F1F"/>
          <w:w w:val="110"/>
          <w:sz w:val="12"/>
        </w:rPr>
        <w:t>(see under Dolutegravir, p. 557); plasma concentration of </w:t>
      </w:r>
      <w:r>
        <w:rPr>
          <w:color w:val="231F1F"/>
          <w:spacing w:val="-3"/>
          <w:w w:val="110"/>
          <w:sz w:val="12"/>
        </w:rPr>
        <w:t>dolutegravir </w:t>
      </w:r>
      <w:r>
        <w:rPr>
          <w:color w:val="231F1F"/>
          <w:w w:val="110"/>
          <w:sz w:val="12"/>
        </w:rPr>
        <w:t>reduced by </w:t>
      </w:r>
      <w:r>
        <w:rPr>
          <w:rFonts w:ascii="Arial"/>
          <w:color w:val="231F1F"/>
          <w:w w:val="355"/>
          <w:position w:val="1"/>
          <w:sz w:val="7"/>
        </w:rPr>
        <w:t>l </w:t>
      </w:r>
      <w:r>
        <w:rPr>
          <w:rFonts w:ascii="Calibri"/>
          <w:color w:val="008356"/>
          <w:spacing w:val="4"/>
          <w:w w:val="110"/>
          <w:sz w:val="11"/>
        </w:rPr>
        <w:t>FOSAMPRENAVIR</w:t>
      </w:r>
      <w:r>
        <w:rPr>
          <w:color w:val="231F1F"/>
          <w:spacing w:val="4"/>
          <w:w w:val="110"/>
          <w:sz w:val="12"/>
        </w:rPr>
        <w:t>; </w:t>
      </w:r>
      <w:r>
        <w:rPr>
          <w:color w:val="231F1F"/>
          <w:w w:val="110"/>
          <w:sz w:val="12"/>
        </w:rPr>
        <w:t>plasma concentration of dolutegravir possibly reduced by </w:t>
      </w:r>
      <w:r>
        <w:rPr>
          <w:rFonts w:ascii="Arial"/>
          <w:color w:val="231F1F"/>
          <w:w w:val="355"/>
          <w:position w:val="1"/>
          <w:sz w:val="7"/>
        </w:rPr>
        <w:t>l </w:t>
      </w:r>
      <w:r>
        <w:rPr>
          <w:rFonts w:ascii="Calibri"/>
          <w:color w:val="008356"/>
          <w:spacing w:val="4"/>
          <w:w w:val="110"/>
          <w:sz w:val="11"/>
        </w:rPr>
        <w:t>NEVIRAPINE </w:t>
      </w:r>
      <w:r>
        <w:rPr>
          <w:color w:val="231F1F"/>
          <w:w w:val="110"/>
          <w:sz w:val="12"/>
        </w:rPr>
        <w:t>(see under Dolutegravir, p.</w:t>
      </w:r>
      <w:r>
        <w:rPr>
          <w:color w:val="231F1F"/>
          <w:spacing w:val="-5"/>
          <w:w w:val="110"/>
          <w:sz w:val="12"/>
        </w:rPr>
        <w:t> </w:t>
      </w:r>
      <w:r>
        <w:rPr>
          <w:color w:val="231F1F"/>
          <w:w w:val="110"/>
          <w:sz w:val="12"/>
        </w:rPr>
        <w:t>557)</w:t>
      </w:r>
    </w:p>
    <w:p>
      <w:pPr>
        <w:pStyle w:val="BodyText"/>
        <w:spacing w:line="230" w:lineRule="auto"/>
        <w:ind w:left="279" w:right="698" w:hanging="100"/>
      </w:pPr>
      <w:r>
        <w:rPr>
          <w:rFonts w:ascii="Lucida Sans Unicode" w:hAnsi="Lucida Sans Unicode"/>
          <w:color w:val="A7A8AC"/>
          <w:w w:val="95"/>
          <w:sz w:val="10"/>
        </w:rPr>
        <w:t>▶</w:t>
      </w:r>
      <w:r>
        <w:rPr>
          <w:rFonts w:ascii="Lucida Sans Unicode" w:hAnsi="Lucida Sans Unicode"/>
          <w:color w:val="A7A8AC"/>
          <w:spacing w:val="11"/>
          <w:w w:val="95"/>
          <w:sz w:val="10"/>
        </w:rPr>
        <w:t> </w:t>
      </w:r>
      <w:r>
        <w:rPr>
          <w:rFonts w:ascii="Calibri" w:hAnsi="Calibri"/>
          <w:color w:val="231F1F"/>
          <w:w w:val="110"/>
        </w:rPr>
        <w:t>Calcium</w:t>
      </w:r>
      <w:r>
        <w:rPr>
          <w:rFonts w:ascii="Calibri" w:hAnsi="Calibri"/>
          <w:color w:val="231F1F"/>
          <w:spacing w:val="-6"/>
          <w:w w:val="110"/>
        </w:rPr>
        <w:t> </w:t>
      </w:r>
      <w:r>
        <w:rPr>
          <w:rFonts w:ascii="Calibri" w:hAnsi="Calibri"/>
          <w:color w:val="231F1F"/>
          <w:w w:val="110"/>
        </w:rPr>
        <w:t>Salts:</w:t>
      </w:r>
      <w:r>
        <w:rPr>
          <w:rFonts w:ascii="Calibri" w:hAnsi="Calibri"/>
          <w:color w:val="231F1F"/>
          <w:spacing w:val="-6"/>
          <w:w w:val="110"/>
        </w:rPr>
        <w:t> </w:t>
      </w:r>
      <w:r>
        <w:rPr>
          <w:color w:val="231F1F"/>
          <w:w w:val="110"/>
        </w:rPr>
        <w:t>absorption</w:t>
      </w:r>
      <w:r>
        <w:rPr>
          <w:color w:val="231F1F"/>
          <w:spacing w:val="-10"/>
          <w:w w:val="110"/>
        </w:rPr>
        <w:t> </w:t>
      </w:r>
      <w:r>
        <w:rPr>
          <w:color w:val="231F1F"/>
          <w:w w:val="110"/>
        </w:rPr>
        <w:t>of</w:t>
      </w:r>
      <w:r>
        <w:rPr>
          <w:color w:val="231F1F"/>
          <w:spacing w:val="-9"/>
          <w:w w:val="110"/>
        </w:rPr>
        <w:t> </w:t>
      </w:r>
      <w:r>
        <w:rPr>
          <w:color w:val="231F1F"/>
          <w:w w:val="110"/>
        </w:rPr>
        <w:t>dolutegravir</w:t>
      </w:r>
      <w:r>
        <w:rPr>
          <w:color w:val="231F1F"/>
          <w:spacing w:val="-9"/>
          <w:w w:val="110"/>
        </w:rPr>
        <w:t> </w:t>
      </w:r>
      <w:r>
        <w:rPr>
          <w:color w:val="231F1F"/>
          <w:w w:val="110"/>
        </w:rPr>
        <w:t>reduced</w:t>
      </w:r>
      <w:r>
        <w:rPr>
          <w:color w:val="231F1F"/>
          <w:spacing w:val="-10"/>
          <w:w w:val="110"/>
        </w:rPr>
        <w:t> </w:t>
      </w:r>
      <w:r>
        <w:rPr>
          <w:color w:val="231F1F"/>
          <w:w w:val="110"/>
        </w:rPr>
        <w:t>by</w:t>
      </w:r>
      <w:r>
        <w:rPr>
          <w:color w:val="231F1F"/>
          <w:spacing w:val="-9"/>
          <w:w w:val="110"/>
        </w:rPr>
        <w:t> </w:t>
      </w:r>
      <w:r>
        <w:rPr>
          <w:rFonts w:ascii="Calibri" w:hAnsi="Calibri"/>
          <w:color w:val="008356"/>
          <w:spacing w:val="2"/>
          <w:w w:val="110"/>
          <w:sz w:val="11"/>
        </w:rPr>
        <w:t>CALCIUM </w:t>
      </w:r>
      <w:r>
        <w:rPr>
          <w:rFonts w:ascii="Calibri" w:hAnsi="Calibri"/>
          <w:color w:val="008356"/>
          <w:w w:val="110"/>
          <w:sz w:val="11"/>
        </w:rPr>
        <w:t>SALTS</w:t>
      </w:r>
      <w:r>
        <w:rPr>
          <w:rFonts w:ascii="Arial" w:hAnsi="Arial"/>
          <w:color w:val="231F1F"/>
          <w:w w:val="110"/>
        </w:rPr>
        <w:t>—</w:t>
      </w:r>
      <w:r>
        <w:rPr>
          <w:color w:val="231F1F"/>
          <w:w w:val="110"/>
        </w:rPr>
        <w:t>manufacturer of dolutegravir advises give at least 2 hours before or 6 hours after calcium</w:t>
      </w:r>
      <w:r>
        <w:rPr>
          <w:color w:val="231F1F"/>
          <w:spacing w:val="1"/>
          <w:w w:val="110"/>
        </w:rPr>
        <w:t> </w:t>
      </w:r>
      <w:r>
        <w:rPr>
          <w:color w:val="231F1F"/>
          <w:w w:val="110"/>
        </w:rPr>
        <w:t>salts</w:t>
      </w:r>
    </w:p>
    <w:p>
      <w:pPr>
        <w:pStyle w:val="BodyText"/>
        <w:spacing w:line="230" w:lineRule="auto" w:before="5"/>
        <w:ind w:left="279" w:right="641" w:hanging="100"/>
      </w:pPr>
      <w:r>
        <w:rPr>
          <w:rFonts w:ascii="Lucida Sans Unicode" w:hAnsi="Lucida Sans Unicode"/>
          <w:color w:val="A7A8AC"/>
          <w:w w:val="95"/>
          <w:sz w:val="10"/>
        </w:rPr>
        <w:t>▶ </w:t>
      </w:r>
      <w:r>
        <w:rPr>
          <w:rFonts w:ascii="Calibri" w:hAnsi="Calibri"/>
          <w:color w:val="231F1F"/>
          <w:w w:val="110"/>
        </w:rPr>
        <w:t>Iron Salts: </w:t>
      </w:r>
      <w:r>
        <w:rPr>
          <w:color w:val="231F1F"/>
          <w:w w:val="110"/>
        </w:rPr>
        <w:t>absorption of dolutegravir reduced by </w:t>
      </w:r>
      <w:r>
        <w:rPr>
          <w:i/>
          <w:color w:val="231F1F"/>
          <w:w w:val="110"/>
        </w:rPr>
        <w:t>oral </w:t>
      </w:r>
      <w:r>
        <w:rPr>
          <w:rFonts w:ascii="Calibri" w:hAnsi="Calibri"/>
          <w:color w:val="008356"/>
          <w:spacing w:val="5"/>
          <w:w w:val="110"/>
          <w:sz w:val="11"/>
        </w:rPr>
        <w:t>IRON </w:t>
      </w:r>
      <w:r>
        <w:rPr>
          <w:rFonts w:ascii="Calibri" w:hAnsi="Calibri"/>
          <w:color w:val="008356"/>
          <w:w w:val="110"/>
          <w:sz w:val="11"/>
        </w:rPr>
        <w:t>SALTS</w:t>
      </w:r>
      <w:r>
        <w:rPr>
          <w:rFonts w:ascii="Arial" w:hAnsi="Arial"/>
          <w:color w:val="231F1F"/>
          <w:w w:val="110"/>
        </w:rPr>
        <w:t>—</w:t>
      </w:r>
      <w:r>
        <w:rPr>
          <w:color w:val="231F1F"/>
          <w:w w:val="110"/>
        </w:rPr>
        <w:t>manufacturer of dolutegravir advises give at least 2 hours before or 6 hours after </w:t>
      </w:r>
      <w:r>
        <w:rPr>
          <w:i/>
          <w:color w:val="231F1F"/>
          <w:w w:val="110"/>
        </w:rPr>
        <w:t>oral </w:t>
      </w:r>
      <w:r>
        <w:rPr>
          <w:color w:val="231F1F"/>
          <w:w w:val="110"/>
        </w:rPr>
        <w:t>iron</w:t>
      </w:r>
      <w:r>
        <w:rPr>
          <w:color w:val="231F1F"/>
          <w:spacing w:val="2"/>
          <w:w w:val="110"/>
        </w:rPr>
        <w:t> </w:t>
      </w:r>
      <w:r>
        <w:rPr>
          <w:color w:val="231F1F"/>
          <w:w w:val="110"/>
        </w:rPr>
        <w:t>salts</w:t>
      </w:r>
    </w:p>
    <w:p>
      <w:pPr>
        <w:pStyle w:val="BodyText"/>
        <w:spacing w:before="13"/>
        <w:ind w:left="180"/>
        <w:rPr>
          <w:rFonts w:ascii="Trebuchet MS"/>
        </w:rPr>
      </w:pPr>
      <w:r>
        <w:rPr>
          <w:rFonts w:ascii="Trebuchet MS"/>
          <w:color w:val="008356"/>
        </w:rPr>
        <w:t>Domperidone</w:t>
      </w:r>
    </w:p>
    <w:p>
      <w:pPr>
        <w:pStyle w:val="BodyText"/>
        <w:spacing w:line="220" w:lineRule="auto" w:before="10"/>
        <w:ind w:left="279"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effects of domperidone on gastro-intestinal activity antagonised by </w:t>
      </w:r>
      <w:r>
        <w:rPr>
          <w:rFonts w:ascii="Calibri" w:hAnsi="Calibri"/>
          <w:color w:val="008356"/>
          <w:w w:val="105"/>
          <w:sz w:val="11"/>
        </w:rPr>
        <w:t>OPIOID ANALGESICS</w:t>
      </w:r>
    </w:p>
    <w:p>
      <w:pPr>
        <w:pStyle w:val="BodyText"/>
        <w:spacing w:line="244" w:lineRule="auto"/>
        <w:ind w:left="279" w:right="609" w:hanging="100"/>
        <w:rPr>
          <w:rFonts w:ascii="Calibri" w:hAnsi="Calibri"/>
          <w:sz w:val="11"/>
        </w:rPr>
      </w:pPr>
      <w:r>
        <w:rPr>
          <w:rFonts w:ascii="Arial" w:hAnsi="Arial"/>
          <w:color w:val="231F1F"/>
          <w:w w:val="355"/>
          <w:position w:val="1"/>
          <w:sz w:val="7"/>
        </w:rPr>
        <w:t>l </w:t>
      </w:r>
      <w:r>
        <w:rPr>
          <w:rFonts w:ascii="Calibri" w:hAnsi="Calibri"/>
          <w:color w:val="231F1F"/>
          <w:w w:val="110"/>
        </w:rPr>
        <w:t>Antibacterials: </w:t>
      </w:r>
      <w:r>
        <w:rPr>
          <w:color w:val="231F1F"/>
          <w:w w:val="110"/>
        </w:rPr>
        <w:t>possible increased risk of ventricular arrhythmias when domperidone 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CLARITHROMYCIN </w:t>
      </w:r>
      <w:r>
        <w:rPr>
          <w:color w:val="231F1F"/>
          <w:w w:val="110"/>
        </w:rPr>
        <w:t>or </w:t>
      </w:r>
      <w:r>
        <w:rPr>
          <w:rFonts w:ascii="Arial" w:hAnsi="Arial"/>
          <w:color w:val="231F1F"/>
          <w:w w:val="355"/>
          <w:position w:val="1"/>
          <w:sz w:val="7"/>
        </w:rPr>
        <w:t>l </w:t>
      </w:r>
      <w:r>
        <w:rPr>
          <w:rFonts w:ascii="Calibri" w:hAnsi="Calibri"/>
          <w:color w:val="008356"/>
          <w:spacing w:val="3"/>
          <w:w w:val="110"/>
          <w:sz w:val="11"/>
        </w:rPr>
        <w:t>TELITHROMYCIN</w:t>
      </w:r>
      <w:r>
        <w:rPr>
          <w:rFonts w:ascii="Arial" w:hAnsi="Arial"/>
          <w:color w:val="231F1F"/>
          <w:spacing w:val="3"/>
          <w:w w:val="110"/>
        </w:rPr>
        <w:t>—</w:t>
      </w:r>
      <w:r>
        <w:rPr>
          <w:color w:val="231F1F"/>
          <w:spacing w:val="3"/>
          <w:w w:val="110"/>
        </w:rPr>
        <w:t>avoid </w:t>
      </w:r>
      <w:r>
        <w:rPr>
          <w:color w:val="231F1F"/>
          <w:w w:val="110"/>
        </w:rPr>
        <w:t>concomitant use; plasma concentration of domperidone increased by </w:t>
      </w:r>
      <w:r>
        <w:rPr>
          <w:rFonts w:ascii="Arial" w:hAnsi="Arial"/>
          <w:color w:val="231F1F"/>
          <w:w w:val="355"/>
          <w:position w:val="1"/>
          <w:sz w:val="7"/>
        </w:rPr>
        <w:t>l </w:t>
      </w:r>
      <w:r>
        <w:rPr>
          <w:rFonts w:ascii="Calibri" w:hAnsi="Calibri"/>
          <w:color w:val="008356"/>
          <w:spacing w:val="4"/>
          <w:w w:val="110"/>
          <w:sz w:val="11"/>
        </w:rPr>
        <w:t>ERYTHROMYCIN </w:t>
      </w:r>
      <w:r>
        <w:rPr>
          <w:color w:val="231F1F"/>
          <w:w w:val="110"/>
        </w:rPr>
        <w:t>(increased risk of  ventricular  arrhythmias</w:t>
      </w:r>
      <w:r>
        <w:rPr>
          <w:rFonts w:ascii="Arial" w:hAnsi="Arial"/>
          <w:color w:val="231F1F"/>
          <w:w w:val="110"/>
        </w:rPr>
        <w:t>—</w:t>
      </w:r>
      <w:r>
        <w:rPr>
          <w:color w:val="231F1F"/>
          <w:w w:val="110"/>
        </w:rPr>
        <w:t>avoid concomitant use); possible increased risk of ventricular arrhythmias when domperidone given with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5"/>
          <w:w w:val="110"/>
          <w:sz w:val="11"/>
        </w:rPr>
        <w:t>DELAMANID</w:t>
      </w:r>
    </w:p>
    <w:p>
      <w:pPr>
        <w:pStyle w:val="BodyText"/>
        <w:spacing w:line="139" w:lineRule="exact"/>
        <w:ind w:left="180"/>
      </w:pPr>
      <w:r>
        <w:rPr>
          <w:rFonts w:ascii="Arial"/>
          <w:color w:val="231F1F"/>
          <w:w w:val="355"/>
          <w:position w:val="1"/>
          <w:sz w:val="7"/>
        </w:rPr>
        <w:t>l </w:t>
      </w:r>
      <w:r>
        <w:rPr>
          <w:rFonts w:ascii="Calibri"/>
          <w:color w:val="231F1F"/>
          <w:w w:val="115"/>
        </w:rPr>
        <w:t>Antifungals: </w:t>
      </w:r>
      <w:r>
        <w:rPr>
          <w:color w:val="231F1F"/>
          <w:w w:val="115"/>
        </w:rPr>
        <w:t>avoidance of domperidone advised by</w:t>
      </w:r>
    </w:p>
    <w:p>
      <w:pPr>
        <w:spacing w:line="244" w:lineRule="auto" w:before="0"/>
        <w:ind w:left="279" w:right="655" w:firstLine="0"/>
        <w:jc w:val="left"/>
        <w:rPr>
          <w:sz w:val="12"/>
        </w:rPr>
      </w:pPr>
      <w:r>
        <w:rPr>
          <w:color w:val="231F1F"/>
          <w:w w:val="110"/>
          <w:sz w:val="12"/>
        </w:rPr>
        <w:t>manufacturer of </w:t>
      </w:r>
      <w:r>
        <w:rPr>
          <w:rFonts w:ascii="Arial" w:hAnsi="Arial"/>
          <w:color w:val="231F1F"/>
          <w:w w:val="355"/>
          <w:position w:val="1"/>
          <w:sz w:val="7"/>
        </w:rPr>
        <w:t>l </w:t>
      </w:r>
      <w:r>
        <w:rPr>
          <w:rFonts w:ascii="Calibri" w:hAnsi="Calibri"/>
          <w:color w:val="008356"/>
          <w:spacing w:val="4"/>
          <w:w w:val="110"/>
          <w:sz w:val="11"/>
        </w:rPr>
        <w:t>KETOCONAZOLE </w:t>
      </w:r>
      <w:r>
        <w:rPr>
          <w:color w:val="231F1F"/>
          <w:w w:val="110"/>
          <w:sz w:val="12"/>
        </w:rPr>
        <w:t>(risk of ventricular arrhythmias); possible increased risk of ventricular arrhythmias when domperidone given with </w:t>
      </w:r>
      <w:r>
        <w:rPr>
          <w:rFonts w:ascii="Arial" w:hAnsi="Arial"/>
          <w:color w:val="231F1F"/>
          <w:w w:val="355"/>
          <w:position w:val="1"/>
          <w:sz w:val="7"/>
        </w:rPr>
        <w:t>l </w:t>
      </w:r>
      <w:r>
        <w:rPr>
          <w:rFonts w:ascii="Calibri" w:hAnsi="Calibri"/>
          <w:color w:val="008356"/>
          <w:spacing w:val="4"/>
          <w:w w:val="110"/>
          <w:sz w:val="11"/>
        </w:rPr>
        <w:t>ITRACONAZOLE </w:t>
      </w:r>
      <w:r>
        <w:rPr>
          <w:color w:val="231F1F"/>
          <w:w w:val="110"/>
          <w:sz w:val="12"/>
        </w:rPr>
        <w:t>or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0"/>
          <w:sz w:val="11"/>
        </w:rPr>
        <w:t>VORICONAZOLE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40" w:lineRule="auto" w:before="0"/>
        <w:ind w:left="279" w:right="639"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domperidone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ARTENIMOL</w:t>
      </w:r>
      <w:r>
        <w:rPr>
          <w:rFonts w:ascii="Calibri"/>
          <w:color w:val="008356"/>
          <w:spacing w:val="-14"/>
          <w:w w:val="110"/>
          <w:sz w:val="11"/>
        </w:rPr>
        <w:t> </w:t>
      </w:r>
      <w:r>
        <w:rPr>
          <w:rFonts w:ascii="Calibri"/>
          <w:color w:val="008356"/>
          <w:spacing w:val="4"/>
          <w:w w:val="110"/>
          <w:sz w:val="11"/>
        </w:rPr>
        <w:t>WITH</w:t>
      </w:r>
      <w:r>
        <w:rPr>
          <w:rFonts w:ascii="Calibri"/>
          <w:color w:val="008356"/>
          <w:spacing w:val="-12"/>
          <w:w w:val="110"/>
          <w:sz w:val="11"/>
        </w:rPr>
        <w:t> </w:t>
      </w:r>
      <w:r>
        <w:rPr>
          <w:rFonts w:ascii="Calibri"/>
          <w:color w:val="008356"/>
          <w:spacing w:val="4"/>
          <w:w w:val="110"/>
          <w:sz w:val="11"/>
        </w:rPr>
        <w:t>PIPERAQUINE</w:t>
      </w:r>
      <w:r>
        <w:rPr>
          <w:rFonts w:ascii="Calibri"/>
          <w:color w:val="008356"/>
          <w:spacing w:val="-10"/>
          <w:w w:val="110"/>
          <w:sz w:val="11"/>
        </w:rPr>
        <w:t> </w:t>
      </w:r>
      <w:r>
        <w:rPr>
          <w:color w:val="231F1F"/>
          <w:w w:val="110"/>
          <w:sz w:val="12"/>
        </w:rPr>
        <w:t>(possible</w:t>
      </w:r>
      <w:r>
        <w:rPr>
          <w:color w:val="231F1F"/>
          <w:spacing w:val="-18"/>
          <w:w w:val="110"/>
          <w:sz w:val="12"/>
        </w:rPr>
        <w:t> </w:t>
      </w:r>
      <w:r>
        <w:rPr>
          <w:color w:val="231F1F"/>
          <w:w w:val="110"/>
          <w:sz w:val="12"/>
        </w:rPr>
        <w:t>risk of ventricular</w:t>
      </w:r>
      <w:r>
        <w:rPr>
          <w:color w:val="231F1F"/>
          <w:spacing w:val="-3"/>
          <w:w w:val="110"/>
          <w:sz w:val="12"/>
        </w:rPr>
        <w:t> </w:t>
      </w:r>
      <w:r>
        <w:rPr>
          <w:color w:val="231F1F"/>
          <w:w w:val="110"/>
          <w:sz w:val="12"/>
        </w:rPr>
        <w:t>arrhythmias)</w:t>
      </w:r>
    </w:p>
    <w:p>
      <w:pPr>
        <w:pStyle w:val="BodyText"/>
        <w:spacing w:line="220" w:lineRule="auto" w:before="6"/>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effects of domperidone on gastro-intestinal activity antagonised by </w:t>
      </w:r>
      <w:r>
        <w:rPr>
          <w:rFonts w:ascii="Calibri" w:hAnsi="Calibri"/>
          <w:color w:val="008356"/>
          <w:w w:val="105"/>
          <w:sz w:val="11"/>
        </w:rPr>
        <w:t>ANTIMUSCARINICS</w:t>
      </w:r>
    </w:p>
    <w:p>
      <w:pPr>
        <w:spacing w:before="0"/>
        <w:ind w:left="279" w:right="717" w:hanging="100"/>
        <w:jc w:val="left"/>
        <w:rPr>
          <w:sz w:val="12"/>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sz w:val="12"/>
        </w:rPr>
        <w:t>Antivirals:</w:t>
      </w:r>
      <w:r>
        <w:rPr>
          <w:rFonts w:ascii="Calibri"/>
          <w:color w:val="231F1F"/>
          <w:spacing w:val="-12"/>
          <w:w w:val="115"/>
          <w:sz w:val="12"/>
        </w:rPr>
        <w:t> </w:t>
      </w:r>
      <w:r>
        <w:rPr>
          <w:color w:val="231F1F"/>
          <w:w w:val="115"/>
          <w:sz w:val="12"/>
        </w:rPr>
        <w:t>possible</w:t>
      </w:r>
      <w:r>
        <w:rPr>
          <w:color w:val="231F1F"/>
          <w:spacing w:val="-14"/>
          <w:w w:val="115"/>
          <w:sz w:val="12"/>
        </w:rPr>
        <w:t> </w:t>
      </w:r>
      <w:r>
        <w:rPr>
          <w:color w:val="231F1F"/>
          <w:w w:val="115"/>
          <w:sz w:val="12"/>
        </w:rPr>
        <w:t>increased</w:t>
      </w:r>
      <w:r>
        <w:rPr>
          <w:color w:val="231F1F"/>
          <w:spacing w:val="-15"/>
          <w:w w:val="115"/>
          <w:sz w:val="12"/>
        </w:rPr>
        <w:t> </w:t>
      </w:r>
      <w:r>
        <w:rPr>
          <w:color w:val="231F1F"/>
          <w:w w:val="115"/>
          <w:sz w:val="12"/>
        </w:rPr>
        <w:t>risk</w:t>
      </w:r>
      <w:r>
        <w:rPr>
          <w:color w:val="231F1F"/>
          <w:spacing w:val="-15"/>
          <w:w w:val="115"/>
          <w:sz w:val="12"/>
        </w:rPr>
        <w:t> </w:t>
      </w:r>
      <w:r>
        <w:rPr>
          <w:color w:val="231F1F"/>
          <w:w w:val="115"/>
          <w:sz w:val="12"/>
        </w:rPr>
        <w:t>of</w:t>
      </w:r>
      <w:r>
        <w:rPr>
          <w:color w:val="231F1F"/>
          <w:spacing w:val="-15"/>
          <w:w w:val="115"/>
          <w:sz w:val="12"/>
        </w:rPr>
        <w:t> </w:t>
      </w:r>
      <w:r>
        <w:rPr>
          <w:color w:val="231F1F"/>
          <w:w w:val="115"/>
          <w:sz w:val="12"/>
        </w:rPr>
        <w:t>ventricular</w:t>
      </w:r>
      <w:r>
        <w:rPr>
          <w:color w:val="231F1F"/>
          <w:spacing w:val="-15"/>
          <w:w w:val="115"/>
          <w:sz w:val="12"/>
        </w:rPr>
        <w:t> </w:t>
      </w:r>
      <w:r>
        <w:rPr>
          <w:color w:val="231F1F"/>
          <w:w w:val="115"/>
          <w:sz w:val="12"/>
        </w:rPr>
        <w:t>arrhythmias when</w:t>
      </w:r>
      <w:r>
        <w:rPr>
          <w:color w:val="231F1F"/>
          <w:spacing w:val="-19"/>
          <w:w w:val="115"/>
          <w:sz w:val="12"/>
        </w:rPr>
        <w:t> </w:t>
      </w:r>
      <w:r>
        <w:rPr>
          <w:color w:val="231F1F"/>
          <w:w w:val="115"/>
          <w:sz w:val="12"/>
        </w:rPr>
        <w:t>domperidone</w:t>
      </w:r>
      <w:r>
        <w:rPr>
          <w:color w:val="231F1F"/>
          <w:spacing w:val="-19"/>
          <w:w w:val="115"/>
          <w:sz w:val="12"/>
        </w:rPr>
        <w:t> </w:t>
      </w:r>
      <w:r>
        <w:rPr>
          <w:color w:val="231F1F"/>
          <w:w w:val="115"/>
          <w:sz w:val="12"/>
        </w:rPr>
        <w:t>given</w:t>
      </w:r>
      <w:r>
        <w:rPr>
          <w:color w:val="231F1F"/>
          <w:spacing w:val="-19"/>
          <w:w w:val="115"/>
          <w:sz w:val="12"/>
        </w:rPr>
        <w:t> </w:t>
      </w:r>
      <w:r>
        <w:rPr>
          <w:color w:val="231F1F"/>
          <w:w w:val="115"/>
          <w:sz w:val="12"/>
        </w:rPr>
        <w:t>with</w:t>
      </w:r>
      <w:r>
        <w:rPr>
          <w:color w:val="231F1F"/>
          <w:spacing w:val="-18"/>
          <w:w w:val="115"/>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BOCEPREVIR</w:t>
      </w:r>
      <w:r>
        <w:rPr>
          <w:color w:val="231F1F"/>
          <w:spacing w:val="4"/>
          <w:w w:val="115"/>
          <w:sz w:val="12"/>
        </w:rPr>
        <w:t>,</w:t>
      </w:r>
      <w:r>
        <w:rPr>
          <w:color w:val="231F1F"/>
          <w:spacing w:val="-18"/>
          <w:w w:val="115"/>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5"/>
          <w:sz w:val="11"/>
        </w:rPr>
        <w:t>RITONAVIR</w:t>
      </w:r>
      <w:r>
        <w:rPr>
          <w:color w:val="231F1F"/>
          <w:spacing w:val="3"/>
          <w:w w:val="115"/>
          <w:sz w:val="12"/>
        </w:rPr>
        <w:t>,</w:t>
      </w:r>
    </w:p>
    <w:p>
      <w:pPr>
        <w:spacing w:line="141" w:lineRule="exact" w:before="0"/>
        <w:ind w:left="279" w:right="0" w:firstLine="0"/>
        <w:jc w:val="left"/>
        <w:rPr>
          <w:sz w:val="12"/>
        </w:rPr>
      </w:pPr>
      <w:r>
        <w:rPr>
          <w:rFonts w:ascii="Arial" w:hAnsi="Arial"/>
          <w:color w:val="231F1F"/>
          <w:w w:val="355"/>
          <w:position w:val="1"/>
          <w:sz w:val="7"/>
        </w:rPr>
        <w:t>l </w:t>
      </w:r>
      <w:r>
        <w:rPr>
          <w:rFonts w:ascii="Calibri" w:hAnsi="Calibri"/>
          <w:color w:val="008356"/>
          <w:w w:val="115"/>
          <w:sz w:val="11"/>
        </w:rPr>
        <w:t>SAQUINAVIR </w:t>
      </w:r>
      <w:r>
        <w:rPr>
          <w:color w:val="231F1F"/>
          <w:w w:val="115"/>
          <w:sz w:val="12"/>
        </w:rPr>
        <w:t>or </w:t>
      </w:r>
      <w:r>
        <w:rPr>
          <w:rFonts w:ascii="Arial" w:hAnsi="Arial"/>
          <w:color w:val="231F1F"/>
          <w:w w:val="355"/>
          <w:position w:val="1"/>
          <w:sz w:val="7"/>
        </w:rPr>
        <w:t>l </w:t>
      </w:r>
      <w:r>
        <w:rPr>
          <w:rFonts w:ascii="Calibri" w:hAnsi="Calibri"/>
          <w:color w:val="008356"/>
          <w:w w:val="115"/>
          <w:sz w:val="11"/>
        </w:rPr>
        <w:t>TELAPREVIR</w:t>
      </w:r>
      <w:r>
        <w:rPr>
          <w:rFonts w:ascii="Arial" w:hAnsi="Arial"/>
          <w:color w:val="231F1F"/>
          <w:w w:val="115"/>
          <w:sz w:val="12"/>
        </w:rPr>
        <w:t>—</w:t>
      </w:r>
      <w:r>
        <w:rPr>
          <w:color w:val="231F1F"/>
          <w:w w:val="115"/>
          <w:sz w:val="12"/>
        </w:rPr>
        <w:t>avoid concomitant use</w:t>
      </w:r>
    </w:p>
    <w:p>
      <w:pPr>
        <w:pStyle w:val="BodyText"/>
        <w:ind w:left="279" w:right="703" w:hanging="100"/>
      </w:pPr>
      <w:r>
        <w:rPr>
          <w:rFonts w:ascii="Arial" w:hAnsi="Arial"/>
          <w:color w:val="231F1F"/>
          <w:w w:val="355"/>
          <w:position w:val="1"/>
          <w:sz w:val="7"/>
        </w:rPr>
        <w:t>l </w:t>
      </w:r>
      <w:r>
        <w:rPr>
          <w:rFonts w:ascii="Calibri" w:hAnsi="Calibri"/>
          <w:color w:val="231F1F"/>
          <w:w w:val="110"/>
        </w:rPr>
        <w:t>Cobicistat: </w:t>
      </w:r>
      <w:r>
        <w:rPr>
          <w:color w:val="231F1F"/>
          <w:w w:val="110"/>
        </w:rPr>
        <w:t>possible increased risk of ventricular arrhythmias when domperidone given with </w:t>
      </w:r>
      <w:r>
        <w:rPr>
          <w:rFonts w:ascii="Arial" w:hAnsi="Arial"/>
          <w:color w:val="231F1F"/>
          <w:w w:val="355"/>
          <w:position w:val="1"/>
          <w:sz w:val="7"/>
        </w:rPr>
        <w:t>l </w:t>
      </w:r>
      <w:r>
        <w:rPr>
          <w:rFonts w:ascii="Calibri" w:hAnsi="Calibri"/>
          <w:color w:val="008356"/>
          <w:w w:val="110"/>
          <w:sz w:val="11"/>
        </w:rPr>
        <w:t>COBICISTAT</w:t>
      </w:r>
      <w:r>
        <w:rPr>
          <w:rFonts w:ascii="Arial" w:hAnsi="Arial"/>
          <w:color w:val="231F1F"/>
          <w:w w:val="110"/>
        </w:rPr>
        <w:t>—</w:t>
      </w:r>
      <w:r>
        <w:rPr>
          <w:color w:val="231F1F"/>
          <w:w w:val="110"/>
        </w:rPr>
        <w:t>avoid concomitant use</w:t>
      </w:r>
    </w:p>
    <w:p>
      <w:pPr>
        <w:pStyle w:val="BodyText"/>
        <w:ind w:left="279" w:right="618" w:hanging="100"/>
      </w:pPr>
      <w:r>
        <w:rPr>
          <w:rFonts w:ascii="Arial"/>
          <w:color w:val="231F1F"/>
          <w:w w:val="355"/>
          <w:position w:val="1"/>
          <w:sz w:val="7"/>
        </w:rPr>
        <w:t>l </w:t>
      </w:r>
      <w:r>
        <w:rPr>
          <w:rFonts w:ascii="Calibri"/>
          <w:color w:val="231F1F"/>
          <w:w w:val="110"/>
        </w:rPr>
        <w:t>Cytotoxics: </w:t>
      </w:r>
      <w:r>
        <w:rPr>
          <w:color w:val="231F1F"/>
          <w:w w:val="110"/>
        </w:rPr>
        <w:t>avoidance of domperidone advised by manufacturer of </w:t>
      </w:r>
      <w:r>
        <w:rPr>
          <w:rFonts w:ascii="Arial"/>
          <w:color w:val="231F1F"/>
          <w:w w:val="355"/>
          <w:position w:val="1"/>
          <w:sz w:val="7"/>
        </w:rPr>
        <w:t>l </w:t>
      </w:r>
      <w:r>
        <w:rPr>
          <w:rFonts w:ascii="Calibri"/>
          <w:color w:val="008356"/>
          <w:w w:val="110"/>
          <w:sz w:val="11"/>
        </w:rPr>
        <w:t>BOSUTINIB </w:t>
      </w:r>
      <w:r>
        <w:rPr>
          <w:color w:val="231F1F"/>
          <w:w w:val="110"/>
        </w:rPr>
        <w:t>(risk of ventricular arrhythmias)</w:t>
      </w:r>
    </w:p>
    <w:p>
      <w:pPr>
        <w:spacing w:after="0"/>
        <w:sectPr>
          <w:pgSz w:w="8390" w:h="11910"/>
          <w:pgMar w:header="0" w:footer="0" w:top="460" w:bottom="280" w:left="480" w:right="0"/>
          <w:cols w:num="2" w:equalWidth="0">
            <w:col w:w="3643" w:space="40"/>
            <w:col w:w="4227"/>
          </w:cols>
        </w:sectPr>
      </w:pPr>
    </w:p>
    <w:p>
      <w:pPr>
        <w:pStyle w:val="BodyText"/>
        <w:spacing w:before="7"/>
        <w:ind w:left="0"/>
        <w:rPr>
          <w:sz w:val="14"/>
        </w:rPr>
      </w:pPr>
    </w:p>
    <w:p>
      <w:pPr>
        <w:pStyle w:val="BodyText"/>
        <w:spacing w:line="144" w:lineRule="exact"/>
        <w:ind w:left="108"/>
        <w:jc w:val="both"/>
        <w:rPr>
          <w:rFonts w:ascii="Calibri"/>
        </w:rPr>
      </w:pPr>
      <w:r>
        <w:rPr>
          <w:rFonts w:ascii="Arial"/>
          <w:color w:val="008356"/>
        </w:rPr>
        <w:t>Domperidone </w:t>
      </w:r>
      <w:r>
        <w:rPr>
          <w:rFonts w:ascii="Calibri"/>
          <w:color w:val="231F1F"/>
        </w:rPr>
        <w:t>(continued)</w:t>
      </w:r>
    </w:p>
    <w:p>
      <w:pPr>
        <w:spacing w:line="237" w:lineRule="auto" w:before="0"/>
        <w:ind w:left="208" w:right="68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domperidone possibly antagonises hypoprolactinaemic effects of </w:t>
      </w:r>
      <w:r>
        <w:rPr>
          <w:rFonts w:ascii="Calibri" w:hAnsi="Calibri"/>
          <w:color w:val="008356"/>
          <w:w w:val="105"/>
          <w:sz w:val="11"/>
        </w:rPr>
        <w:t>BROMOCRIPTINE </w:t>
      </w:r>
      <w:r>
        <w:rPr>
          <w:color w:val="231F1F"/>
          <w:w w:val="105"/>
          <w:sz w:val="12"/>
        </w:rPr>
        <w:t>and </w:t>
      </w:r>
      <w:r>
        <w:rPr>
          <w:rFonts w:ascii="Calibri" w:hAnsi="Calibri"/>
          <w:color w:val="008356"/>
          <w:w w:val="105"/>
          <w:sz w:val="11"/>
        </w:rPr>
        <w:t>CABERGOLINE</w:t>
      </w:r>
    </w:p>
    <w:p>
      <w:pPr>
        <w:pStyle w:val="BodyText"/>
        <w:spacing w:before="6"/>
        <w:ind w:left="108"/>
      </w:pPr>
      <w:r>
        <w:rPr>
          <w:rFonts w:ascii="Trebuchet MS"/>
          <w:color w:val="008356"/>
          <w:w w:val="110"/>
        </w:rPr>
        <w:t>Donepezil </w:t>
      </w:r>
      <w:r>
        <w:rPr>
          <w:i/>
          <w:color w:val="231F1F"/>
          <w:w w:val="110"/>
        </w:rPr>
        <w:t>see </w:t>
      </w:r>
      <w:r>
        <w:rPr>
          <w:color w:val="231F1F"/>
          <w:w w:val="110"/>
        </w:rPr>
        <w:t>Parasympathomimetics</w:t>
      </w:r>
    </w:p>
    <w:p>
      <w:pPr>
        <w:pStyle w:val="BodyText"/>
        <w:spacing w:before="10"/>
        <w:ind w:left="108"/>
      </w:pPr>
      <w:r>
        <w:rPr>
          <w:rFonts w:ascii="Trebuchet MS"/>
          <w:color w:val="008356"/>
          <w:w w:val="110"/>
        </w:rPr>
        <w:t>Dopamine </w:t>
      </w:r>
      <w:r>
        <w:rPr>
          <w:i/>
          <w:color w:val="231F1F"/>
          <w:w w:val="110"/>
        </w:rPr>
        <w:t>see </w:t>
      </w:r>
      <w:r>
        <w:rPr>
          <w:color w:val="231F1F"/>
          <w:w w:val="110"/>
        </w:rPr>
        <w:t>Sympathomimetics</w:t>
      </w:r>
    </w:p>
    <w:p>
      <w:pPr>
        <w:pStyle w:val="BodyText"/>
        <w:spacing w:line="247" w:lineRule="auto" w:before="9"/>
        <w:ind w:right="51" w:hanging="100"/>
      </w:pPr>
      <w:r>
        <w:rPr>
          <w:rFonts w:ascii="Trebuchet MS"/>
          <w:color w:val="008356"/>
          <w:w w:val="110"/>
        </w:rPr>
        <w:t>Dopaminergics </w:t>
      </w:r>
      <w:r>
        <w:rPr>
          <w:i/>
          <w:color w:val="231F1F"/>
          <w:w w:val="110"/>
        </w:rPr>
        <w:t>see </w:t>
      </w:r>
      <w:r>
        <w:rPr>
          <w:color w:val="231F1F"/>
          <w:w w:val="110"/>
        </w:rPr>
        <w:t>Amantadine, Apomorphine, Bromocriptine, Cabergoline, Entacapone, Levodopa, Pergolide, Pramipexole, Quinagolide, Rasagiline, Ropinirole, Rotigotine, Selegiline, and Tolcapone</w:t>
      </w:r>
    </w:p>
    <w:p>
      <w:pPr>
        <w:pStyle w:val="BodyText"/>
        <w:spacing w:before="5"/>
        <w:ind w:left="108"/>
      </w:pPr>
      <w:r>
        <w:rPr>
          <w:rFonts w:ascii="Trebuchet MS"/>
          <w:color w:val="008356"/>
          <w:w w:val="110"/>
        </w:rPr>
        <w:t>Dopexamine </w:t>
      </w:r>
      <w:r>
        <w:rPr>
          <w:i/>
          <w:color w:val="231F1F"/>
          <w:w w:val="110"/>
        </w:rPr>
        <w:t>see </w:t>
      </w:r>
      <w:r>
        <w:rPr>
          <w:color w:val="231F1F"/>
          <w:w w:val="110"/>
        </w:rPr>
        <w:t>Sympathomimetics</w:t>
      </w:r>
    </w:p>
    <w:p>
      <w:pPr>
        <w:pStyle w:val="BodyText"/>
        <w:spacing w:before="9"/>
        <w:ind w:left="108"/>
      </w:pPr>
      <w:r>
        <w:rPr>
          <w:rFonts w:ascii="Trebuchet MS"/>
          <w:color w:val="008356"/>
          <w:w w:val="105"/>
        </w:rPr>
        <w:t>Dorzolamide </w:t>
      </w:r>
      <w:r>
        <w:rPr>
          <w:i/>
          <w:color w:val="231F1F"/>
          <w:w w:val="105"/>
        </w:rPr>
        <w:t>see </w:t>
      </w:r>
      <w:r>
        <w:rPr>
          <w:color w:val="231F1F"/>
          <w:w w:val="105"/>
        </w:rPr>
        <w:t>Diuretics</w:t>
      </w:r>
    </w:p>
    <w:p>
      <w:pPr>
        <w:pStyle w:val="BodyText"/>
        <w:spacing w:before="10"/>
        <w:ind w:left="108"/>
      </w:pPr>
      <w:r>
        <w:rPr>
          <w:rFonts w:ascii="Trebuchet MS"/>
          <w:color w:val="008356"/>
          <w:w w:val="105"/>
        </w:rPr>
        <w:t>Dosulepin </w:t>
      </w:r>
      <w:r>
        <w:rPr>
          <w:i/>
          <w:color w:val="231F1F"/>
          <w:w w:val="105"/>
        </w:rPr>
        <w:t>see </w:t>
      </w:r>
      <w:r>
        <w:rPr>
          <w:color w:val="231F1F"/>
          <w:w w:val="105"/>
        </w:rPr>
        <w:t>Antidepressants, Tricyclic</w:t>
      </w:r>
    </w:p>
    <w:p>
      <w:pPr>
        <w:pStyle w:val="BodyText"/>
        <w:spacing w:before="11"/>
        <w:ind w:left="108"/>
        <w:rPr>
          <w:rFonts w:ascii="Trebuchet MS"/>
        </w:rPr>
      </w:pPr>
      <w:r>
        <w:rPr>
          <w:rFonts w:ascii="Trebuchet MS"/>
          <w:color w:val="008356"/>
          <w:w w:val="105"/>
        </w:rPr>
        <w:t>Doxapram</w:t>
      </w:r>
    </w:p>
    <w:p>
      <w:pPr>
        <w:pStyle w:val="BodyText"/>
        <w:spacing w:line="220" w:lineRule="auto" w:before="10"/>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increased CNS stimulation when doxapram given with </w:t>
      </w:r>
      <w:r>
        <w:rPr>
          <w:rFonts w:ascii="Calibri" w:hAnsi="Calibri"/>
          <w:color w:val="008356"/>
          <w:w w:val="105"/>
          <w:sz w:val="11"/>
        </w:rPr>
        <w:t>AMINOPHYLLINE</w:t>
      </w:r>
    </w:p>
    <w:p>
      <w:pPr>
        <w:spacing w:line="244" w:lineRule="auto" w:before="0"/>
        <w:ind w:left="208" w:right="35" w:hanging="100"/>
        <w:jc w:val="left"/>
        <w:rPr>
          <w:sz w:val="12"/>
        </w:rPr>
      </w:pPr>
      <w:r>
        <w:rPr>
          <w:rFonts w:ascii="Arial"/>
          <w:color w:val="231F1F"/>
          <w:w w:val="355"/>
          <w:position w:val="1"/>
          <w:sz w:val="7"/>
        </w:rPr>
        <w:t>l </w:t>
      </w:r>
      <w:r>
        <w:rPr>
          <w:rFonts w:ascii="Calibri"/>
          <w:color w:val="231F1F"/>
          <w:w w:val="110"/>
          <w:sz w:val="12"/>
        </w:rPr>
        <w:t>Anaesthetics, General: </w:t>
      </w:r>
      <w:r>
        <w:rPr>
          <w:color w:val="231F1F"/>
          <w:w w:val="110"/>
          <w:sz w:val="12"/>
        </w:rPr>
        <w:t>increased risk of arrhythmias when doxapram</w:t>
      </w:r>
      <w:r>
        <w:rPr>
          <w:color w:val="231F1F"/>
          <w:spacing w:val="-23"/>
          <w:w w:val="110"/>
          <w:sz w:val="12"/>
        </w:rPr>
        <w:t> </w:t>
      </w:r>
      <w:r>
        <w:rPr>
          <w:color w:val="231F1F"/>
          <w:w w:val="110"/>
          <w:sz w:val="12"/>
        </w:rPr>
        <w:t>given</w:t>
      </w:r>
      <w:r>
        <w:rPr>
          <w:color w:val="231F1F"/>
          <w:spacing w:val="-22"/>
          <w:w w:val="110"/>
          <w:sz w:val="12"/>
        </w:rPr>
        <w:t> </w:t>
      </w:r>
      <w:r>
        <w:rPr>
          <w:color w:val="231F1F"/>
          <w:w w:val="110"/>
          <w:sz w:val="12"/>
        </w:rPr>
        <w:t>with</w:t>
      </w:r>
      <w:r>
        <w:rPr>
          <w:color w:val="231F1F"/>
          <w:spacing w:val="-23"/>
          <w:w w:val="110"/>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3"/>
          <w:w w:val="110"/>
          <w:sz w:val="11"/>
        </w:rPr>
        <w:t>VOLATILE</w:t>
      </w:r>
      <w:r>
        <w:rPr>
          <w:rFonts w:ascii="Calibri"/>
          <w:color w:val="008356"/>
          <w:spacing w:val="-16"/>
          <w:w w:val="110"/>
          <w:sz w:val="11"/>
        </w:rPr>
        <w:t> </w:t>
      </w:r>
      <w:r>
        <w:rPr>
          <w:rFonts w:ascii="Calibri"/>
          <w:color w:val="008356"/>
          <w:spacing w:val="4"/>
          <w:w w:val="110"/>
          <w:sz w:val="11"/>
        </w:rPr>
        <w:t>LIQUID</w:t>
      </w:r>
      <w:r>
        <w:rPr>
          <w:rFonts w:ascii="Calibri"/>
          <w:color w:val="008356"/>
          <w:spacing w:val="-16"/>
          <w:w w:val="110"/>
          <w:sz w:val="11"/>
        </w:rPr>
        <w:t> </w:t>
      </w:r>
      <w:r>
        <w:rPr>
          <w:rFonts w:ascii="Calibri"/>
          <w:color w:val="008356"/>
          <w:spacing w:val="4"/>
          <w:w w:val="110"/>
          <w:sz w:val="11"/>
        </w:rPr>
        <w:t>GENERAL</w:t>
      </w:r>
      <w:r>
        <w:rPr>
          <w:rFonts w:ascii="Calibri"/>
          <w:color w:val="008356"/>
          <w:spacing w:val="-17"/>
          <w:w w:val="110"/>
          <w:sz w:val="11"/>
        </w:rPr>
        <w:t> </w:t>
      </w:r>
      <w:r>
        <w:rPr>
          <w:rFonts w:ascii="Calibri"/>
          <w:color w:val="008356"/>
          <w:spacing w:val="5"/>
          <w:w w:val="110"/>
          <w:sz w:val="11"/>
        </w:rPr>
        <w:t>ANAESTHETICS </w:t>
      </w:r>
      <w:r>
        <w:rPr>
          <w:color w:val="231F1F"/>
          <w:w w:val="110"/>
          <w:sz w:val="12"/>
        </w:rPr>
        <w:t>(avoid doxapram for </w:t>
      </w:r>
      <w:r>
        <w:rPr>
          <w:color w:val="231F1F"/>
          <w:w w:val="130"/>
          <w:sz w:val="12"/>
        </w:rPr>
        <w:t>at </w:t>
      </w:r>
      <w:r>
        <w:rPr>
          <w:color w:val="231F1F"/>
          <w:w w:val="110"/>
          <w:sz w:val="12"/>
        </w:rPr>
        <w:t>least 10 minutes after volatile liquid general</w:t>
      </w:r>
      <w:r>
        <w:rPr>
          <w:color w:val="231F1F"/>
          <w:spacing w:val="-3"/>
          <w:w w:val="110"/>
          <w:sz w:val="12"/>
        </w:rPr>
        <w:t> </w:t>
      </w:r>
      <w:r>
        <w:rPr>
          <w:color w:val="231F1F"/>
          <w:w w:val="110"/>
          <w:sz w:val="12"/>
        </w:rPr>
        <w:t>anaesthetics)</w:t>
      </w:r>
    </w:p>
    <w:p>
      <w:pPr>
        <w:pStyle w:val="BodyText"/>
        <w:spacing w:line="146" w:lineRule="exact"/>
        <w:ind w:left="108"/>
        <w:rPr>
          <w:rFonts w:ascii="Calibri" w:hAnsi="Calibri"/>
          <w:sz w:val="9"/>
        </w:rPr>
      </w:pPr>
      <w:r>
        <w:rPr>
          <w:rFonts w:ascii="Lucida Sans Unicode" w:hAnsi="Lucida Sans Unicode"/>
          <w:color w:val="A7A8AC"/>
          <w:w w:val="95"/>
          <w:sz w:val="10"/>
        </w:rPr>
        <w:t>▶ </w:t>
      </w:r>
      <w:r>
        <w:rPr>
          <w:rFonts w:ascii="Calibri" w:hAnsi="Calibri"/>
          <w:color w:val="231F1F"/>
          <w:w w:val="105"/>
        </w:rPr>
        <w:t>Antidepressants: </w:t>
      </w:r>
      <w:r>
        <w:rPr>
          <w:color w:val="231F1F"/>
          <w:w w:val="105"/>
        </w:rPr>
        <w:t>effects of doxapram enhanced by </w:t>
      </w:r>
      <w:r>
        <w:rPr>
          <w:rFonts w:ascii="Calibri" w:hAnsi="Calibri"/>
          <w:color w:val="008356"/>
          <w:w w:val="105"/>
          <w:sz w:val="11"/>
        </w:rPr>
        <w:t>MAOI</w:t>
      </w:r>
      <w:r>
        <w:rPr>
          <w:rFonts w:ascii="Calibri" w:hAnsi="Calibri"/>
          <w:color w:val="008356"/>
          <w:w w:val="105"/>
          <w:sz w:val="9"/>
        </w:rPr>
        <w:t>S</w:t>
      </w:r>
    </w:p>
    <w:p>
      <w:pPr>
        <w:pStyle w:val="BodyText"/>
        <w:spacing w:line="220" w:lineRule="auto"/>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increased risk of hypertension when doxapram given with </w:t>
      </w:r>
      <w:r>
        <w:rPr>
          <w:rFonts w:ascii="Calibri" w:hAnsi="Calibri"/>
          <w:color w:val="008356"/>
          <w:w w:val="105"/>
          <w:sz w:val="11"/>
        </w:rPr>
        <w:t>SYMPATHOMIMETICS</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increased CNS stimulation when doxapram given with </w:t>
      </w:r>
      <w:r>
        <w:rPr>
          <w:rFonts w:ascii="Calibri" w:hAnsi="Calibri"/>
          <w:color w:val="008356"/>
          <w:w w:val="105"/>
          <w:sz w:val="11"/>
        </w:rPr>
        <w:t>THEOPHYLLINE</w:t>
      </w:r>
    </w:p>
    <w:p>
      <w:pPr>
        <w:pStyle w:val="BodyText"/>
        <w:spacing w:before="10"/>
        <w:ind w:left="108"/>
      </w:pPr>
      <w:r>
        <w:rPr>
          <w:rFonts w:ascii="Trebuchet MS"/>
          <w:color w:val="008356"/>
          <w:w w:val="110"/>
        </w:rPr>
        <w:t>Doxazosin </w:t>
      </w:r>
      <w:r>
        <w:rPr>
          <w:i/>
          <w:color w:val="231F1F"/>
          <w:w w:val="110"/>
        </w:rPr>
        <w:t>see </w:t>
      </w:r>
      <w:r>
        <w:rPr>
          <w:color w:val="231F1F"/>
          <w:w w:val="110"/>
        </w:rPr>
        <w:t>Alpha-blockers</w:t>
      </w:r>
    </w:p>
    <w:p>
      <w:pPr>
        <w:pStyle w:val="BodyText"/>
        <w:spacing w:before="10"/>
        <w:ind w:left="108"/>
      </w:pPr>
      <w:r>
        <w:rPr>
          <w:rFonts w:ascii="Trebuchet MS"/>
          <w:color w:val="008356"/>
          <w:w w:val="105"/>
        </w:rPr>
        <w:t>Doxepin </w:t>
      </w:r>
      <w:r>
        <w:rPr>
          <w:i/>
          <w:color w:val="231F1F"/>
          <w:w w:val="105"/>
        </w:rPr>
        <w:t>see </w:t>
      </w:r>
      <w:r>
        <w:rPr>
          <w:color w:val="231F1F"/>
          <w:w w:val="105"/>
        </w:rPr>
        <w:t>Antidepressants, Tricyclic</w:t>
      </w:r>
    </w:p>
    <w:p>
      <w:pPr>
        <w:pStyle w:val="BodyText"/>
        <w:spacing w:before="9"/>
        <w:ind w:left="108"/>
        <w:rPr>
          <w:rFonts w:ascii="Trebuchet MS"/>
        </w:rPr>
      </w:pPr>
      <w:r>
        <w:rPr>
          <w:rFonts w:ascii="Trebuchet MS"/>
          <w:color w:val="008356"/>
        </w:rPr>
        <w:t>Doxorubicin</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48"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doxorubicin possibly inhibits effects of </w:t>
      </w:r>
      <w:r>
        <w:rPr>
          <w:rFonts w:ascii="Calibri" w:hAnsi="Calibri"/>
          <w:color w:val="008356"/>
          <w:w w:val="105"/>
          <w:sz w:val="11"/>
        </w:rPr>
        <w:t>STAVUDINE</w:t>
      </w:r>
    </w:p>
    <w:p>
      <w:pPr>
        <w:pStyle w:val="BodyText"/>
        <w:spacing w:line="22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doxorubicin possibly increased by </w:t>
      </w:r>
      <w:r>
        <w:rPr>
          <w:rFonts w:ascii="Calibri" w:hAnsi="Calibri"/>
          <w:color w:val="008356"/>
          <w:w w:val="105"/>
          <w:sz w:val="11"/>
        </w:rPr>
        <w:t>VERAPAMIL</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Cardiac Glycosides: </w:t>
      </w:r>
      <w:r>
        <w:rPr>
          <w:color w:val="231F1F"/>
          <w:w w:val="105"/>
        </w:rPr>
        <w:t>doxorubicin possibly reduces absorption of</w:t>
      </w:r>
    </w:p>
    <w:p>
      <w:pPr>
        <w:spacing w:line="134" w:lineRule="exact" w:before="0"/>
        <w:ind w:left="208" w:right="0" w:firstLine="0"/>
        <w:jc w:val="left"/>
        <w:rPr>
          <w:i/>
          <w:sz w:val="12"/>
        </w:rPr>
      </w:pPr>
      <w:r>
        <w:rPr>
          <w:rFonts w:ascii="Calibri"/>
          <w:color w:val="008356"/>
          <w:w w:val="105"/>
          <w:sz w:val="11"/>
        </w:rPr>
        <w:t>DIGOXIN </w:t>
      </w:r>
      <w:r>
        <w:rPr>
          <w:i/>
          <w:color w:val="231F1F"/>
          <w:w w:val="105"/>
          <w:sz w:val="12"/>
        </w:rPr>
        <w:t>tablets</w:t>
      </w:r>
    </w:p>
    <w:p>
      <w:pPr>
        <w:pStyle w:val="BodyText"/>
        <w:ind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neurotoxicity when </w:t>
      </w:r>
      <w:r>
        <w:rPr>
          <w:color w:val="231F1F"/>
          <w:spacing w:val="-3"/>
          <w:w w:val="110"/>
        </w:rPr>
        <w:t>doxorubicin </w:t>
      </w:r>
      <w:r>
        <w:rPr>
          <w:color w:val="231F1F"/>
          <w:w w:val="110"/>
        </w:rPr>
        <w:t>given with </w:t>
      </w:r>
      <w:r>
        <w:rPr>
          <w:rFonts w:ascii="Arial"/>
          <w:color w:val="231F1F"/>
          <w:w w:val="355"/>
          <w:position w:val="1"/>
          <w:sz w:val="7"/>
        </w:rPr>
        <w:t>l </w:t>
      </w:r>
      <w:r>
        <w:rPr>
          <w:rFonts w:ascii="Calibri"/>
          <w:color w:val="008356"/>
          <w:spacing w:val="4"/>
          <w:w w:val="110"/>
          <w:sz w:val="11"/>
        </w:rPr>
        <w:t>CICLOSPORIN</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doxorubicin increased by</w:t>
      </w:r>
    </w:p>
    <w:p>
      <w:pPr>
        <w:spacing w:line="130" w:lineRule="exact" w:before="0"/>
        <w:ind w:left="208" w:right="0" w:firstLine="0"/>
        <w:jc w:val="left"/>
        <w:rPr>
          <w:rFonts w:ascii="Calibri"/>
          <w:sz w:val="11"/>
        </w:rPr>
      </w:pPr>
      <w:r>
        <w:rPr>
          <w:rFonts w:ascii="Calibri"/>
          <w:color w:val="008356"/>
          <w:sz w:val="11"/>
        </w:rPr>
        <w:t>SORAFENIB</w:t>
      </w:r>
    </w:p>
    <w:p>
      <w:pPr>
        <w:pStyle w:val="BodyText"/>
        <w:spacing w:line="220" w:lineRule="auto" w:before="6"/>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doxorubicin reduced by </w:t>
      </w:r>
      <w:r>
        <w:rPr>
          <w:rFonts w:ascii="Calibri" w:hAnsi="Calibri"/>
          <w:color w:val="008356"/>
          <w:w w:val="105"/>
          <w:sz w:val="11"/>
        </w:rPr>
        <w:t>CIMETIDINE</w:t>
      </w:r>
    </w:p>
    <w:p>
      <w:pPr>
        <w:pStyle w:val="BodyText"/>
        <w:spacing w:before="1"/>
        <w:ind w:right="302"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Vaccines:</w:t>
      </w:r>
      <w:r>
        <w:rPr>
          <w:rFonts w:ascii="Calibri" w:hAnsi="Calibri"/>
          <w:color w:val="231F1F"/>
          <w:spacing w:val="-14"/>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generalised</w:t>
      </w:r>
      <w:r>
        <w:rPr>
          <w:color w:val="231F1F"/>
          <w:spacing w:val="-18"/>
          <w:w w:val="115"/>
        </w:rPr>
        <w:t> </w:t>
      </w:r>
      <w:r>
        <w:rPr>
          <w:color w:val="231F1F"/>
          <w:w w:val="115"/>
        </w:rPr>
        <w:t>infections</w:t>
      </w:r>
      <w:r>
        <w:rPr>
          <w:color w:val="231F1F"/>
          <w:spacing w:val="-17"/>
          <w:w w:val="115"/>
        </w:rPr>
        <w:t> </w:t>
      </w:r>
      <w:r>
        <w:rPr>
          <w:color w:val="231F1F"/>
          <w:w w:val="115"/>
        </w:rPr>
        <w:t>when</w:t>
      </w:r>
      <w:r>
        <w:rPr>
          <w:color w:val="231F1F"/>
          <w:spacing w:val="-18"/>
          <w:w w:val="115"/>
        </w:rPr>
        <w:t> </w:t>
      </w:r>
      <w:r>
        <w:rPr>
          <w:color w:val="231F1F"/>
          <w:w w:val="115"/>
        </w:rPr>
        <w:t>doxorubicin given</w:t>
      </w:r>
      <w:r>
        <w:rPr>
          <w:color w:val="231F1F"/>
          <w:spacing w:val="-12"/>
          <w:w w:val="115"/>
        </w:rPr>
        <w:t> </w:t>
      </w:r>
      <w:r>
        <w:rPr>
          <w:color w:val="231F1F"/>
          <w:w w:val="115"/>
        </w:rPr>
        <w:t>with</w:t>
      </w:r>
      <w:r>
        <w:rPr>
          <w:color w:val="231F1F"/>
          <w:spacing w:val="-10"/>
          <w:w w:val="115"/>
        </w:rPr>
        <w:t> </w:t>
      </w:r>
      <w:r>
        <w:rPr>
          <w:color w:val="231F1F"/>
          <w:w w:val="115"/>
        </w:rPr>
        <w:t>live</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2"/>
          <w:w w:val="115"/>
        </w:rPr>
        <w:t> </w:t>
      </w:r>
      <w:r>
        <w:rPr>
          <w:color w:val="231F1F"/>
          <w:w w:val="115"/>
        </w:rPr>
        <w:t>concomitant</w:t>
      </w:r>
      <w:r>
        <w:rPr>
          <w:color w:val="231F1F"/>
          <w:spacing w:val="-11"/>
          <w:w w:val="115"/>
        </w:rPr>
        <w:t> </w:t>
      </w:r>
      <w:r>
        <w:rPr>
          <w:color w:val="231F1F"/>
          <w:w w:val="115"/>
        </w:rPr>
        <w:t>use</w:t>
      </w:r>
    </w:p>
    <w:p>
      <w:pPr>
        <w:pStyle w:val="BodyText"/>
        <w:spacing w:before="5"/>
        <w:ind w:left="108"/>
      </w:pPr>
      <w:r>
        <w:rPr>
          <w:rFonts w:ascii="Trebuchet MS"/>
          <w:color w:val="008356"/>
          <w:w w:val="110"/>
        </w:rPr>
        <w:t>Doxycycline </w:t>
      </w:r>
      <w:r>
        <w:rPr>
          <w:i/>
          <w:color w:val="231F1F"/>
          <w:w w:val="110"/>
        </w:rPr>
        <w:t>see </w:t>
      </w:r>
      <w:r>
        <w:rPr>
          <w:color w:val="231F1F"/>
          <w:w w:val="110"/>
        </w:rPr>
        <w:t>Tetracyclines</w:t>
      </w:r>
    </w:p>
    <w:p>
      <w:pPr>
        <w:pStyle w:val="BodyText"/>
        <w:spacing w:before="10"/>
        <w:ind w:left="108"/>
        <w:rPr>
          <w:rFonts w:ascii="Trebuchet MS"/>
        </w:rPr>
      </w:pPr>
      <w:r>
        <w:rPr>
          <w:rFonts w:ascii="Trebuchet MS"/>
          <w:color w:val="008356"/>
        </w:rPr>
        <w:t>Dronedarone</w:t>
      </w:r>
    </w:p>
    <w:p>
      <w:pPr>
        <w:spacing w:line="220" w:lineRule="auto" w:before="10"/>
        <w:ind w:left="208" w:right="153"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0" w:lineRule="exact" w:before="4"/>
        <w:ind w:left="208"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spacing w:line="244" w:lineRule="auto"/>
        <w:ind w:right="69" w:hanging="100"/>
        <w:jc w:val="both"/>
      </w:pPr>
      <w:r>
        <w:rPr>
          <w:rFonts w:ascii="Arial" w:hAnsi="Arial"/>
          <w:color w:val="231F1F"/>
          <w:w w:val="355"/>
          <w:position w:val="1"/>
          <w:sz w:val="7"/>
        </w:rPr>
        <w:t>l </w:t>
      </w:r>
      <w:r>
        <w:rPr>
          <w:rFonts w:ascii="Calibri" w:hAnsi="Calibri"/>
          <w:color w:val="231F1F"/>
          <w:w w:val="110"/>
        </w:rPr>
        <w:t>Anti-arrhythmics: </w:t>
      </w:r>
      <w:r>
        <w:rPr>
          <w:color w:val="231F1F"/>
          <w:w w:val="110"/>
        </w:rPr>
        <w:t>increased myocardial depression when anti- arrhythmics</w:t>
      </w:r>
      <w:r>
        <w:rPr>
          <w:color w:val="231F1F"/>
          <w:spacing w:val="-3"/>
          <w:w w:val="110"/>
        </w:rPr>
        <w:t> </w:t>
      </w:r>
      <w:r>
        <w:rPr>
          <w:color w:val="231F1F"/>
          <w:w w:val="110"/>
        </w:rPr>
        <w:t>given</w:t>
      </w:r>
      <w:r>
        <w:rPr>
          <w:color w:val="231F1F"/>
          <w:spacing w:val="-4"/>
          <w:w w:val="110"/>
        </w:rPr>
        <w:t> </w:t>
      </w:r>
      <w:r>
        <w:rPr>
          <w:color w:val="231F1F"/>
          <w:w w:val="110"/>
        </w:rPr>
        <w:t>with</w:t>
      </w:r>
      <w:r>
        <w:rPr>
          <w:color w:val="231F1F"/>
          <w:spacing w:val="-3"/>
          <w:w w:val="110"/>
        </w:rPr>
        <w:t> </w:t>
      </w:r>
      <w:r>
        <w:rPr>
          <w:color w:val="231F1F"/>
          <w:w w:val="110"/>
        </w:rPr>
        <w:t>other</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ANTI-ARRHYTHMICS</w:t>
      </w:r>
      <w:r>
        <w:rPr>
          <w:color w:val="231F1F"/>
          <w:spacing w:val="4"/>
          <w:w w:val="110"/>
        </w:rPr>
        <w:t>;</w:t>
      </w:r>
      <w:r>
        <w:rPr>
          <w:color w:val="231F1F"/>
          <w:spacing w:val="-4"/>
          <w:w w:val="110"/>
        </w:rPr>
        <w:t> </w:t>
      </w:r>
      <w:r>
        <w:rPr>
          <w:color w:val="231F1F"/>
          <w:w w:val="110"/>
        </w:rPr>
        <w:t>increased risk of  ventricular arrhythmias when dronedarone given </w:t>
      </w:r>
      <w:r>
        <w:rPr>
          <w:color w:val="231F1F"/>
          <w:spacing w:val="-4"/>
          <w:w w:val="110"/>
        </w:rPr>
        <w:t>with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AMIODARONE</w:t>
      </w:r>
      <w:r>
        <w:rPr>
          <w:rFonts w:ascii="Calibri" w:hAnsi="Calibri"/>
          <w:color w:val="008356"/>
          <w:spacing w:val="-2"/>
          <w:w w:val="110"/>
          <w:sz w:val="11"/>
        </w:rPr>
        <w:t> </w:t>
      </w:r>
      <w:r>
        <w:rPr>
          <w:color w:val="231F1F"/>
          <w:w w:val="110"/>
        </w:rPr>
        <w:t>or</w:t>
      </w:r>
      <w:r>
        <w:rPr>
          <w:color w:val="231F1F"/>
          <w:spacing w:val="-1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DISOPYRAMIDE</w:t>
      </w:r>
      <w:r>
        <w:rPr>
          <w:rFonts w:ascii="Arial" w:hAnsi="Arial"/>
          <w:color w:val="231F1F"/>
          <w:spacing w:val="3"/>
          <w:w w:val="110"/>
        </w:rPr>
        <w:t>—</w:t>
      </w:r>
      <w:r>
        <w:rPr>
          <w:color w:val="231F1F"/>
          <w:spacing w:val="3"/>
          <w:w w:val="110"/>
        </w:rPr>
        <w:t>avoid</w:t>
      </w:r>
      <w:r>
        <w:rPr>
          <w:color w:val="231F1F"/>
          <w:spacing w:val="-12"/>
          <w:w w:val="110"/>
        </w:rPr>
        <w:t> </w:t>
      </w:r>
      <w:r>
        <w:rPr>
          <w:color w:val="231F1F"/>
          <w:w w:val="110"/>
        </w:rPr>
        <w:t>concomitant</w:t>
      </w:r>
      <w:r>
        <w:rPr>
          <w:color w:val="231F1F"/>
          <w:spacing w:val="-13"/>
          <w:w w:val="110"/>
        </w:rPr>
        <w:t> </w:t>
      </w:r>
      <w:r>
        <w:rPr>
          <w:color w:val="231F1F"/>
          <w:w w:val="110"/>
        </w:rPr>
        <w:t>use</w:t>
      </w:r>
    </w:p>
    <w:p>
      <w:pPr>
        <w:pStyle w:val="BodyText"/>
        <w:spacing w:line="139" w:lineRule="exact"/>
        <w:ind w:left="108"/>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Antibacterials:</w:t>
      </w:r>
      <w:r>
        <w:rPr>
          <w:rFonts w:ascii="Calibri"/>
          <w:color w:val="231F1F"/>
          <w:spacing w:val="-15"/>
          <w:w w:val="115"/>
        </w:rPr>
        <w:t> </w:t>
      </w:r>
      <w:r>
        <w:rPr>
          <w:color w:val="231F1F"/>
          <w:w w:val="115"/>
        </w:rPr>
        <w:t>manufacturer</w:t>
      </w:r>
      <w:r>
        <w:rPr>
          <w:color w:val="231F1F"/>
          <w:spacing w:val="-21"/>
          <w:w w:val="115"/>
        </w:rPr>
        <w:t> </w:t>
      </w:r>
      <w:r>
        <w:rPr>
          <w:color w:val="231F1F"/>
          <w:w w:val="115"/>
        </w:rPr>
        <w:t>of</w:t>
      </w:r>
      <w:r>
        <w:rPr>
          <w:color w:val="231F1F"/>
          <w:spacing w:val="-19"/>
          <w:w w:val="115"/>
        </w:rPr>
        <w:t> </w:t>
      </w:r>
      <w:r>
        <w:rPr>
          <w:color w:val="231F1F"/>
          <w:w w:val="115"/>
        </w:rPr>
        <w:t>dronedarone</w:t>
      </w:r>
      <w:r>
        <w:rPr>
          <w:color w:val="231F1F"/>
          <w:spacing w:val="-21"/>
          <w:w w:val="115"/>
        </w:rPr>
        <w:t> </w:t>
      </w:r>
      <w:r>
        <w:rPr>
          <w:color w:val="231F1F"/>
          <w:w w:val="115"/>
        </w:rPr>
        <w:t>advises</w:t>
      </w:r>
      <w:r>
        <w:rPr>
          <w:color w:val="231F1F"/>
          <w:spacing w:val="-19"/>
          <w:w w:val="115"/>
        </w:rPr>
        <w:t> </w:t>
      </w:r>
      <w:r>
        <w:rPr>
          <w:color w:val="231F1F"/>
          <w:w w:val="115"/>
        </w:rPr>
        <w:t>avoid</w:t>
      </w:r>
    </w:p>
    <w:p>
      <w:pPr>
        <w:pStyle w:val="BodyText"/>
        <w:spacing w:line="244" w:lineRule="auto"/>
        <w:ind w:right="49"/>
      </w:pPr>
      <w:r>
        <w:rPr>
          <w:color w:val="231F1F"/>
          <w:w w:val="110"/>
        </w:rPr>
        <w:t>concomitant use with </w:t>
      </w:r>
      <w:r>
        <w:rPr>
          <w:rFonts w:ascii="Arial" w:hAnsi="Arial"/>
          <w:color w:val="231F1F"/>
          <w:w w:val="355"/>
          <w:position w:val="1"/>
          <w:sz w:val="7"/>
        </w:rPr>
        <w:t>l </w:t>
      </w:r>
      <w:r>
        <w:rPr>
          <w:rFonts w:ascii="Calibri" w:hAnsi="Calibri"/>
          <w:color w:val="008356"/>
          <w:spacing w:val="4"/>
          <w:w w:val="110"/>
          <w:sz w:val="11"/>
        </w:rPr>
        <w:t>CLARITHROMYCIN </w:t>
      </w:r>
      <w:r>
        <w:rPr>
          <w:color w:val="231F1F"/>
          <w:w w:val="110"/>
        </w:rPr>
        <w:t>(risk of ventricular arrhythmias);  plasma  concentration  of  dronedarone increased by </w:t>
      </w:r>
      <w:r>
        <w:rPr>
          <w:rFonts w:ascii="Arial" w:hAnsi="Arial"/>
          <w:color w:val="231F1F"/>
          <w:w w:val="355"/>
          <w:position w:val="1"/>
          <w:sz w:val="7"/>
        </w:rPr>
        <w:t>l </w:t>
      </w:r>
      <w:r>
        <w:rPr>
          <w:rFonts w:ascii="Calibri" w:hAnsi="Calibri"/>
          <w:color w:val="008356"/>
          <w:spacing w:val="4"/>
          <w:w w:val="110"/>
          <w:sz w:val="11"/>
        </w:rPr>
        <w:t>ERYTHROMYCIN </w:t>
      </w:r>
      <w:r>
        <w:rPr>
          <w:color w:val="231F1F"/>
          <w:w w:val="110"/>
        </w:rPr>
        <w:t>(increased risk of ventricular arrhythmias</w:t>
      </w:r>
      <w:r>
        <w:rPr>
          <w:rFonts w:ascii="Arial" w:hAnsi="Arial"/>
          <w:color w:val="231F1F"/>
          <w:w w:val="110"/>
        </w:rPr>
        <w:t>—</w:t>
      </w:r>
      <w:r>
        <w:rPr>
          <w:color w:val="231F1F"/>
          <w:w w:val="110"/>
        </w:rPr>
        <w:t>avoid concomitant use); plasma  concentration of dronedarone reduced by </w:t>
      </w:r>
      <w:r>
        <w:rPr>
          <w:rFonts w:ascii="Arial" w:hAnsi="Arial"/>
          <w:color w:val="231F1F"/>
          <w:w w:val="355"/>
          <w:position w:val="1"/>
          <w:sz w:val="7"/>
        </w:rPr>
        <w:t>l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avoidance of dronedarone advised by manufacturer of </w:t>
      </w:r>
      <w:r>
        <w:rPr>
          <w:rFonts w:ascii="Calibri" w:hAnsi="Calibri"/>
          <w:color w:val="008356"/>
          <w:spacing w:val="4"/>
          <w:w w:val="110"/>
          <w:sz w:val="11"/>
        </w:rPr>
        <w:t>FIDAXOMICIN</w:t>
      </w:r>
      <w:r>
        <w:rPr>
          <w:color w:val="231F1F"/>
          <w:spacing w:val="4"/>
          <w:w w:val="110"/>
        </w:rPr>
        <w:t>; </w:t>
      </w:r>
      <w:r>
        <w:rPr>
          <w:color w:val="231F1F"/>
          <w:w w:val="110"/>
        </w:rPr>
        <w:t>increased risk of ventricular arrhythmias when dronedarone</w:t>
      </w:r>
      <w:r>
        <w:rPr>
          <w:color w:val="231F1F"/>
          <w:spacing w:val="-7"/>
          <w:w w:val="110"/>
        </w:rPr>
        <w:t> </w:t>
      </w:r>
      <w:r>
        <w:rPr>
          <w:color w:val="231F1F"/>
          <w:w w:val="110"/>
        </w:rPr>
        <w:t>given</w:t>
      </w:r>
      <w:r>
        <w:rPr>
          <w:color w:val="231F1F"/>
          <w:spacing w:val="-6"/>
          <w:w w:val="110"/>
        </w:rPr>
        <w:t> </w:t>
      </w:r>
      <w:r>
        <w:rPr>
          <w:color w:val="231F1F"/>
          <w:w w:val="110"/>
        </w:rPr>
        <w:t>with</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3"/>
          <w:w w:val="110"/>
          <w:sz w:val="11"/>
        </w:rPr>
        <w:t>TELITHROMYCIN</w:t>
      </w:r>
      <w:r>
        <w:rPr>
          <w:rFonts w:ascii="Arial" w:hAnsi="Arial"/>
          <w:color w:val="231F1F"/>
          <w:spacing w:val="3"/>
          <w:w w:val="110"/>
        </w:rPr>
        <w:t>—</w:t>
      </w:r>
      <w:r>
        <w:rPr>
          <w:color w:val="231F1F"/>
          <w:spacing w:val="3"/>
          <w:w w:val="110"/>
        </w:rPr>
        <w:t>avoid</w:t>
      </w:r>
      <w:r>
        <w:rPr>
          <w:color w:val="231F1F"/>
          <w:spacing w:val="-6"/>
          <w:w w:val="110"/>
        </w:rPr>
        <w:t> </w:t>
      </w:r>
      <w:r>
        <w:rPr>
          <w:color w:val="231F1F"/>
          <w:w w:val="110"/>
        </w:rPr>
        <w:t>concomitant use</w:t>
      </w:r>
    </w:p>
    <w:p>
      <w:pPr>
        <w:spacing w:line="242" w:lineRule="auto" w:before="0"/>
        <w:ind w:left="208" w:right="0"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Anticoagulants: </w:t>
      </w:r>
      <w:r>
        <w:rPr>
          <w:color w:val="231F1F"/>
          <w:w w:val="110"/>
          <w:sz w:val="12"/>
        </w:rPr>
        <w:t>dronedarone possibly enhances anticoagulant effect of </w:t>
      </w:r>
      <w:r>
        <w:rPr>
          <w:rFonts w:ascii="Arial" w:hAnsi="Arial"/>
          <w:color w:val="231F1F"/>
          <w:w w:val="355"/>
          <w:position w:val="1"/>
          <w:sz w:val="7"/>
        </w:rPr>
        <w:t>l </w:t>
      </w:r>
      <w:r>
        <w:rPr>
          <w:rFonts w:ascii="Calibri" w:hAnsi="Calibri"/>
          <w:color w:val="008356"/>
          <w:w w:val="110"/>
          <w:sz w:val="11"/>
        </w:rPr>
        <w:t>COUMARINS </w:t>
      </w:r>
      <w:r>
        <w:rPr>
          <w:color w:val="231F1F"/>
          <w:w w:val="110"/>
          <w:sz w:val="12"/>
        </w:rPr>
        <w:t>and </w:t>
      </w:r>
      <w:r>
        <w:rPr>
          <w:rFonts w:ascii="Arial" w:hAnsi="Arial"/>
          <w:color w:val="231F1F"/>
          <w:w w:val="355"/>
          <w:position w:val="1"/>
          <w:sz w:val="7"/>
        </w:rPr>
        <w:t>l </w:t>
      </w:r>
      <w:r>
        <w:rPr>
          <w:rFonts w:ascii="Calibri" w:hAnsi="Calibri"/>
          <w:color w:val="008356"/>
          <w:w w:val="110"/>
          <w:sz w:val="11"/>
        </w:rPr>
        <w:t>PHENINDIONE</w:t>
      </w:r>
      <w:r>
        <w:rPr>
          <w:color w:val="231F1F"/>
          <w:w w:val="110"/>
          <w:sz w:val="12"/>
        </w:rPr>
        <w:t>; dronedarone increases plasma concentration of </w:t>
      </w:r>
      <w:r>
        <w:rPr>
          <w:rFonts w:ascii="Arial" w:hAnsi="Arial"/>
          <w:color w:val="231F1F"/>
          <w:w w:val="355"/>
          <w:position w:val="1"/>
          <w:sz w:val="7"/>
        </w:rPr>
        <w:t>l </w:t>
      </w:r>
      <w:r>
        <w:rPr>
          <w:rFonts w:ascii="Calibri" w:hAnsi="Calibri"/>
          <w:color w:val="008356"/>
          <w:w w:val="110"/>
          <w:sz w:val="11"/>
        </w:rPr>
        <w:t>DABIGATRAN</w:t>
      </w:r>
      <w:r>
        <w:rPr>
          <w:rFonts w:ascii="Arial" w:hAnsi="Arial"/>
          <w:color w:val="231F1F"/>
          <w:w w:val="110"/>
          <w:sz w:val="12"/>
        </w:rPr>
        <w:t>—</w:t>
      </w:r>
      <w:r>
        <w:rPr>
          <w:color w:val="231F1F"/>
          <w:w w:val="110"/>
          <w:sz w:val="12"/>
        </w:rPr>
        <w:t>avoid concomitant use; avoidance of dronedarone advised by manufacturer of </w:t>
      </w:r>
      <w:r>
        <w:rPr>
          <w:rFonts w:ascii="Calibri" w:hAnsi="Calibri"/>
          <w:color w:val="008356"/>
          <w:w w:val="110"/>
          <w:sz w:val="11"/>
        </w:rPr>
        <w:t>RIVAROXABAN</w:t>
      </w:r>
    </w:p>
    <w:p>
      <w:pPr>
        <w:pStyle w:val="BodyText"/>
        <w:spacing w:line="244" w:lineRule="auto"/>
        <w:ind w:right="56" w:hanging="100"/>
      </w:pPr>
      <w:r>
        <w:rPr>
          <w:rFonts w:ascii="Arial" w:hAnsi="Arial"/>
          <w:color w:val="231F1F"/>
          <w:w w:val="355"/>
          <w:position w:val="1"/>
          <w:sz w:val="7"/>
        </w:rPr>
        <w:t>l </w:t>
      </w:r>
      <w:r>
        <w:rPr>
          <w:rFonts w:ascii="Calibri" w:hAnsi="Calibri"/>
          <w:color w:val="231F1F"/>
          <w:w w:val="110"/>
        </w:rPr>
        <w:t>Antidepressants: </w:t>
      </w:r>
      <w:r>
        <w:rPr>
          <w:color w:val="231F1F"/>
          <w:w w:val="110"/>
        </w:rPr>
        <w:t>avoidance of dronedarone advised by manufacturer of </w:t>
      </w:r>
      <w:r>
        <w:rPr>
          <w:rFonts w:ascii="Arial" w:hAnsi="Arial"/>
          <w:color w:val="231F1F"/>
          <w:w w:val="355"/>
          <w:position w:val="1"/>
          <w:sz w:val="7"/>
        </w:rPr>
        <w:t>l </w:t>
      </w:r>
      <w:r>
        <w:rPr>
          <w:rFonts w:ascii="Calibri" w:hAnsi="Calibri"/>
          <w:color w:val="008356"/>
          <w:spacing w:val="3"/>
          <w:w w:val="110"/>
          <w:sz w:val="11"/>
        </w:rPr>
        <w:t>CITALOPRAM </w:t>
      </w:r>
      <w:r>
        <w:rPr>
          <w:color w:val="231F1F"/>
          <w:w w:val="110"/>
        </w:rPr>
        <w:t>and </w:t>
      </w:r>
      <w:r>
        <w:rPr>
          <w:rFonts w:ascii="Arial" w:hAnsi="Arial"/>
          <w:color w:val="231F1F"/>
          <w:w w:val="355"/>
          <w:position w:val="1"/>
          <w:sz w:val="7"/>
        </w:rPr>
        <w:t>l </w:t>
      </w:r>
      <w:r>
        <w:rPr>
          <w:rFonts w:ascii="Calibri" w:hAnsi="Calibri"/>
          <w:color w:val="008356"/>
          <w:spacing w:val="4"/>
          <w:w w:val="110"/>
          <w:sz w:val="11"/>
        </w:rPr>
        <w:t>ESCITALOPRAM </w:t>
      </w:r>
      <w:r>
        <w:rPr>
          <w:color w:val="231F1F"/>
          <w:w w:val="110"/>
        </w:rPr>
        <w:t>(risk of ventricular arrhythmias); plasma concentration  of dronedarone possibly reduced by </w:t>
      </w:r>
      <w:r>
        <w:rPr>
          <w:rFonts w:ascii="Arial" w:hAnsi="Arial"/>
          <w:color w:val="231F1F"/>
          <w:w w:val="355"/>
          <w:position w:val="1"/>
          <w:sz w:val="7"/>
        </w:rPr>
        <w:t>l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 manufacturer of dronedarone advises </w:t>
      </w:r>
      <w:r>
        <w:rPr>
          <w:color w:val="231F1F"/>
          <w:spacing w:val="-4"/>
          <w:w w:val="110"/>
        </w:rPr>
        <w:t>avoid </w:t>
      </w:r>
      <w:r>
        <w:rPr>
          <w:color w:val="231F1F"/>
          <w:w w:val="110"/>
        </w:rPr>
        <w:t>concomitant use with </w:t>
      </w:r>
      <w:r>
        <w:rPr>
          <w:rFonts w:ascii="Arial" w:hAnsi="Arial"/>
          <w:color w:val="231F1F"/>
          <w:w w:val="355"/>
          <w:position w:val="1"/>
          <w:sz w:val="7"/>
        </w:rPr>
        <w:t>l </w:t>
      </w:r>
      <w:r>
        <w:rPr>
          <w:rFonts w:ascii="Calibri" w:hAnsi="Calibri"/>
          <w:color w:val="008356"/>
          <w:spacing w:val="4"/>
          <w:w w:val="110"/>
          <w:sz w:val="11"/>
        </w:rPr>
        <w:t>TRICYCLICS </w:t>
      </w:r>
      <w:r>
        <w:rPr>
          <w:color w:val="231F1F"/>
          <w:w w:val="110"/>
        </w:rPr>
        <w:t>(risk of ventricular arrhythmias)</w:t>
      </w:r>
    </w:p>
    <w:p>
      <w:pPr>
        <w:pStyle w:val="BodyText"/>
        <w:spacing w:before="7"/>
        <w:ind w:left="0"/>
        <w:rPr>
          <w:sz w:val="14"/>
        </w:rPr>
      </w:pPr>
      <w:r>
        <w:rPr/>
        <w:br w:type="column"/>
      </w:r>
      <w:r>
        <w:rPr>
          <w:sz w:val="14"/>
        </w:rPr>
      </w:r>
    </w:p>
    <w:p>
      <w:pPr>
        <w:pStyle w:val="BodyText"/>
        <w:spacing w:line="144" w:lineRule="exact"/>
        <w:ind w:left="108"/>
        <w:rPr>
          <w:rFonts w:ascii="Calibri"/>
        </w:rPr>
      </w:pPr>
      <w:r>
        <w:rPr>
          <w:rFonts w:ascii="Arial"/>
          <w:color w:val="008356"/>
        </w:rPr>
        <w:t>Dronedarone </w:t>
      </w:r>
      <w:r>
        <w:rPr>
          <w:rFonts w:ascii="Calibri"/>
          <w:color w:val="231F1F"/>
        </w:rPr>
        <w:t>(continued)</w:t>
      </w:r>
    </w:p>
    <w:p>
      <w:pPr>
        <w:spacing w:line="240" w:lineRule="auto" w:before="0"/>
        <w:ind w:left="208" w:right="749" w:hanging="100"/>
        <w:jc w:val="left"/>
        <w:rPr>
          <w:sz w:val="12"/>
        </w:rPr>
      </w:pPr>
      <w:r>
        <w:rPr/>
        <w:pict>
          <v:rect style="position:absolute;margin-left:398.891296pt;margin-top:-8.517115pt;width:20.522993pt;height:149.443pt;mso-position-horizontal-relative:page;mso-position-vertical-relative:paragraph;z-index:3616" filled="true" fillcolor="#bfdbcf" stroked="false">
            <v:fill type="solid"/>
            <w10:wrap type="none"/>
          </v:rect>
        </w:pict>
      </w:r>
      <w:r>
        <w:rPr/>
        <w:pict>
          <v:shape style="position:absolute;margin-left:399.725769pt;margin-top:-3.553726pt;width:10.4pt;height:78.850pt;mso-position-horizontal-relative:page;mso-position-vertical-relative:paragraph;z-index:364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sz w:val="12"/>
        </w:rPr>
        <w:t>Antiepileptics: </w:t>
      </w:r>
      <w:r>
        <w:rPr>
          <w:color w:val="231F1F"/>
          <w:w w:val="110"/>
          <w:sz w:val="12"/>
        </w:rPr>
        <w:t>plasma concentration of dronedarone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20"/>
          <w:sz w:val="11"/>
        </w:rPr>
        <w:t>PHENOBARBITAL</w:t>
      </w:r>
      <w:r>
        <w:rPr>
          <w:color w:val="231F1F"/>
          <w:spacing w:val="4"/>
          <w:w w:val="120"/>
          <w:sz w:val="12"/>
        </w:rPr>
        <w:t>, </w:t>
      </w:r>
      <w:r>
        <w:rPr>
          <w:rFonts w:ascii="Arial" w:hAnsi="Arial"/>
          <w:color w:val="231F1F"/>
          <w:w w:val="355"/>
          <w:position w:val="1"/>
          <w:sz w:val="7"/>
        </w:rPr>
        <w:t>l </w:t>
      </w:r>
      <w:r>
        <w:rPr>
          <w:rFonts w:ascii="Calibri" w:hAnsi="Calibri"/>
          <w:color w:val="008356"/>
          <w:spacing w:val="4"/>
          <w:w w:val="120"/>
          <w:sz w:val="11"/>
        </w:rPr>
        <w:t>PHENYTOIN </w:t>
      </w:r>
      <w:r>
        <w:rPr>
          <w:color w:val="231F1F"/>
          <w:w w:val="120"/>
          <w:sz w:val="12"/>
        </w:rPr>
        <w:t>and </w:t>
      </w:r>
      <w:r>
        <w:rPr>
          <w:rFonts w:ascii="Arial" w:hAnsi="Arial"/>
          <w:color w:val="231F1F"/>
          <w:w w:val="355"/>
          <w:position w:val="1"/>
          <w:sz w:val="7"/>
        </w:rPr>
        <w:t>l </w:t>
      </w:r>
      <w:r>
        <w:rPr>
          <w:rFonts w:ascii="Calibri" w:hAnsi="Calibri"/>
          <w:color w:val="008356"/>
          <w:spacing w:val="3"/>
          <w:w w:val="120"/>
          <w:sz w:val="11"/>
        </w:rPr>
        <w:t>PRIMIDONE</w:t>
      </w:r>
      <w:r>
        <w:rPr>
          <w:rFonts w:ascii="Arial" w:hAnsi="Arial"/>
          <w:color w:val="231F1F"/>
          <w:spacing w:val="3"/>
          <w:w w:val="120"/>
          <w:sz w:val="12"/>
        </w:rPr>
        <w:t>—</w:t>
      </w:r>
      <w:r>
        <w:rPr>
          <w:color w:val="231F1F"/>
          <w:spacing w:val="3"/>
          <w:w w:val="120"/>
          <w:sz w:val="12"/>
        </w:rPr>
        <w:t>avoid</w:t>
      </w:r>
    </w:p>
    <w:p>
      <w:pPr>
        <w:pStyle w:val="BodyText"/>
      </w:pPr>
      <w:r>
        <w:rPr>
          <w:color w:val="231F1F"/>
          <w:w w:val="115"/>
        </w:rPr>
        <w:t>concomitant use</w:t>
      </w:r>
    </w:p>
    <w:p>
      <w:pPr>
        <w:pStyle w:val="BodyText"/>
        <w:spacing w:before="1"/>
        <w:ind w:right="708"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dronedarone increased by</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w:t>
      </w:r>
      <w:r>
        <w:rPr>
          <w:color w:val="231F1F"/>
          <w:spacing w:val="-4"/>
          <w:w w:val="110"/>
        </w:rPr>
        <w:t> </w:t>
      </w:r>
      <w:r>
        <w:rPr>
          <w:color w:val="231F1F"/>
          <w:w w:val="110"/>
        </w:rPr>
        <w:t>concomitant</w:t>
      </w:r>
      <w:r>
        <w:rPr>
          <w:color w:val="231F1F"/>
          <w:spacing w:val="-7"/>
          <w:w w:val="110"/>
        </w:rPr>
        <w:t> </w:t>
      </w:r>
      <w:r>
        <w:rPr>
          <w:color w:val="231F1F"/>
          <w:w w:val="110"/>
        </w:rPr>
        <w:t>use;</w:t>
      </w:r>
      <w:r>
        <w:rPr>
          <w:color w:val="231F1F"/>
          <w:spacing w:val="-4"/>
          <w:w w:val="110"/>
        </w:rPr>
        <w:t> </w:t>
      </w:r>
      <w:r>
        <w:rPr>
          <w:color w:val="231F1F"/>
          <w:w w:val="110"/>
        </w:rPr>
        <w:t>manufacturer</w:t>
      </w:r>
      <w:r>
        <w:rPr>
          <w:color w:val="231F1F"/>
          <w:spacing w:val="-6"/>
          <w:w w:val="110"/>
        </w:rPr>
        <w:t> of </w:t>
      </w:r>
      <w:r>
        <w:rPr>
          <w:color w:val="231F1F"/>
          <w:w w:val="110"/>
        </w:rPr>
        <w:t>dronedarone advises avoid concomitant use</w:t>
      </w:r>
      <w:r>
        <w:rPr>
          <w:color w:val="231F1F"/>
          <w:spacing w:val="5"/>
          <w:w w:val="110"/>
        </w:rPr>
        <w:t> </w:t>
      </w:r>
      <w:r>
        <w:rPr>
          <w:color w:val="231F1F"/>
          <w:w w:val="110"/>
        </w:rPr>
        <w:t>with</w:t>
      </w:r>
    </w:p>
    <w:p>
      <w:pPr>
        <w:spacing w:line="141" w:lineRule="exact" w:before="6"/>
        <w:ind w:left="208" w:right="0" w:firstLine="0"/>
        <w:jc w:val="left"/>
        <w:rPr>
          <w:rFonts w:ascii="Calibri"/>
          <w:sz w:val="11"/>
        </w:rPr>
      </w:pPr>
      <w:r>
        <w:rPr>
          <w:rFonts w:ascii="Arial"/>
          <w:color w:val="231F1F"/>
          <w:w w:val="355"/>
          <w:position w:val="1"/>
          <w:sz w:val="7"/>
        </w:rPr>
        <w:t>l </w:t>
      </w:r>
      <w:r>
        <w:rPr>
          <w:rFonts w:ascii="Calibri"/>
          <w:color w:val="008356"/>
          <w:spacing w:val="4"/>
          <w:w w:val="115"/>
          <w:sz w:val="11"/>
        </w:rPr>
        <w:t>ITRACONAZOLE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POSACONAZOLE </w:t>
      </w:r>
      <w:r>
        <w:rPr>
          <w:color w:val="231F1F"/>
          <w:w w:val="115"/>
          <w:sz w:val="12"/>
        </w:rPr>
        <w:t>and </w:t>
      </w:r>
      <w:r>
        <w:rPr>
          <w:rFonts w:ascii="Arial"/>
          <w:color w:val="231F1F"/>
          <w:w w:val="355"/>
          <w:position w:val="1"/>
          <w:sz w:val="7"/>
        </w:rPr>
        <w:t>l </w:t>
      </w:r>
      <w:r>
        <w:rPr>
          <w:rFonts w:ascii="Calibri"/>
          <w:color w:val="008356"/>
          <w:spacing w:val="4"/>
          <w:w w:val="115"/>
          <w:sz w:val="11"/>
        </w:rPr>
        <w:t>VORICONAZOLE</w:t>
      </w:r>
    </w:p>
    <w:p>
      <w:pPr>
        <w:pStyle w:val="BodyText"/>
        <w:ind w:right="706"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spacing w:val="-4"/>
          <w:w w:val="115"/>
        </w:rPr>
        <w:t>when </w:t>
      </w:r>
      <w:r>
        <w:rPr>
          <w:color w:val="231F1F"/>
          <w:w w:val="115"/>
        </w:rPr>
        <w:t>anti-arrhythmics that prolong the QT interval given</w:t>
      </w:r>
      <w:r>
        <w:rPr>
          <w:color w:val="231F1F"/>
          <w:spacing w:val="-23"/>
          <w:w w:val="115"/>
        </w:rPr>
        <w:t> </w:t>
      </w:r>
      <w:r>
        <w:rPr>
          <w:color w:val="231F1F"/>
          <w:w w:val="115"/>
        </w:rPr>
        <w:t>with</w:t>
      </w:r>
    </w:p>
    <w:p>
      <w:pPr>
        <w:pStyle w:val="BodyText"/>
        <w:spacing w:before="4"/>
        <w:ind w:right="699" w:hanging="1"/>
      </w:pPr>
      <w:r>
        <w:rPr>
          <w:rFonts w:ascii="Arial"/>
          <w:color w:val="231F1F"/>
          <w:w w:val="355"/>
          <w:position w:val="1"/>
          <w:sz w:val="7"/>
        </w:rPr>
        <w:t>l </w:t>
      </w:r>
      <w:r>
        <w:rPr>
          <w:rFonts w:ascii="Calibri"/>
          <w:color w:val="008356"/>
          <w:w w:val="110"/>
          <w:sz w:val="11"/>
        </w:rPr>
        <w:t>ANTIPSYCHOTICS </w:t>
      </w:r>
      <w:r>
        <w:rPr>
          <w:color w:val="231F1F"/>
          <w:w w:val="110"/>
        </w:rPr>
        <w:t>that prolong the QT interval; manufacturer of dronedarone advises avoid concomitant use with</w:t>
      </w:r>
    </w:p>
    <w:p>
      <w:pPr>
        <w:spacing w:line="141" w:lineRule="exact" w:before="7"/>
        <w:ind w:left="208" w:right="0" w:firstLine="0"/>
        <w:jc w:val="left"/>
        <w:rPr>
          <w:sz w:val="12"/>
        </w:rPr>
      </w:pPr>
      <w:r>
        <w:rPr>
          <w:rFonts w:ascii="Arial"/>
          <w:color w:val="231F1F"/>
          <w:w w:val="355"/>
          <w:position w:val="1"/>
          <w:sz w:val="7"/>
        </w:rPr>
        <w:t>l </w:t>
      </w:r>
      <w:r>
        <w:rPr>
          <w:rFonts w:ascii="Calibri"/>
          <w:color w:val="008356"/>
          <w:w w:val="110"/>
          <w:sz w:val="11"/>
        </w:rPr>
        <w:t>PHENOTHIAZINES </w:t>
      </w:r>
      <w:r>
        <w:rPr>
          <w:color w:val="231F1F"/>
          <w:w w:val="110"/>
          <w:sz w:val="12"/>
        </w:rPr>
        <w:t>(risk of ventricular arrhythmias)</w:t>
      </w:r>
    </w:p>
    <w:p>
      <w:pPr>
        <w:pStyle w:val="BodyText"/>
        <w:spacing w:line="242" w:lineRule="auto"/>
        <w:ind w:right="1126" w:hanging="100"/>
      </w:pPr>
      <w:r>
        <w:rPr>
          <w:rFonts w:ascii="Arial" w:hAnsi="Arial"/>
          <w:color w:val="231F1F"/>
          <w:w w:val="355"/>
          <w:position w:val="1"/>
          <w:sz w:val="7"/>
        </w:rPr>
        <w:t>l </w:t>
      </w:r>
      <w:r>
        <w:rPr>
          <w:rFonts w:ascii="Calibri" w:hAnsi="Calibri"/>
          <w:color w:val="231F1F"/>
          <w:w w:val="110"/>
        </w:rPr>
        <w:t>Antivirals: </w:t>
      </w:r>
      <w:r>
        <w:rPr>
          <w:color w:val="231F1F"/>
          <w:w w:val="110"/>
        </w:rPr>
        <w:t>manufacturer of dronedarone advises avoid concomitant use with </w:t>
      </w:r>
      <w:r>
        <w:rPr>
          <w:rFonts w:ascii="Arial" w:hAnsi="Arial"/>
          <w:color w:val="231F1F"/>
          <w:w w:val="355"/>
          <w:position w:val="1"/>
          <w:sz w:val="7"/>
        </w:rPr>
        <w:t>l </w:t>
      </w:r>
      <w:r>
        <w:rPr>
          <w:rFonts w:ascii="Calibri" w:hAnsi="Calibri"/>
          <w:color w:val="008356"/>
          <w:spacing w:val="3"/>
          <w:w w:val="110"/>
          <w:sz w:val="11"/>
        </w:rPr>
        <w:t>RITONAVIR</w:t>
      </w:r>
      <w:r>
        <w:rPr>
          <w:color w:val="231F1F"/>
          <w:spacing w:val="3"/>
          <w:w w:val="110"/>
        </w:rPr>
        <w:t>; </w:t>
      </w:r>
      <w:r>
        <w:rPr>
          <w:color w:val="231F1F"/>
          <w:w w:val="110"/>
        </w:rPr>
        <w:t>increased risk of ventricular arrhythmias when dronedarone given </w:t>
      </w:r>
      <w:r>
        <w:rPr>
          <w:color w:val="231F1F"/>
          <w:spacing w:val="-4"/>
          <w:w w:val="110"/>
        </w:rPr>
        <w:t>with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2" w:lineRule="auto"/>
        <w:ind w:right="699" w:hanging="100"/>
      </w:pPr>
      <w:r>
        <w:rPr>
          <w:rFonts w:ascii="Arial" w:hAnsi="Arial"/>
          <w:color w:val="231F1F"/>
          <w:w w:val="355"/>
          <w:position w:val="1"/>
          <w:sz w:val="7"/>
        </w:rPr>
        <w:t>l </w:t>
      </w:r>
      <w:r>
        <w:rPr>
          <w:rFonts w:ascii="Calibri" w:hAnsi="Calibri"/>
          <w:color w:val="231F1F"/>
          <w:w w:val="110"/>
        </w:rPr>
        <w:t>Beta-blockers: </w:t>
      </w:r>
      <w:r>
        <w:rPr>
          <w:color w:val="231F1F"/>
          <w:w w:val="110"/>
        </w:rPr>
        <w:t>increased myocardial depression when anti- arrhythmics given with </w:t>
      </w:r>
      <w:r>
        <w:rPr>
          <w:rFonts w:ascii="Arial" w:hAnsi="Arial"/>
          <w:color w:val="231F1F"/>
          <w:w w:val="355"/>
          <w:position w:val="1"/>
          <w:sz w:val="7"/>
        </w:rPr>
        <w:t>l </w:t>
      </w:r>
      <w:r>
        <w:rPr>
          <w:rFonts w:ascii="Calibri" w:hAnsi="Calibri"/>
          <w:color w:val="008356"/>
          <w:w w:val="110"/>
          <w:sz w:val="11"/>
        </w:rPr>
        <w:t>BETA-BLOCKERS</w:t>
      </w:r>
      <w:r>
        <w:rPr>
          <w:color w:val="231F1F"/>
          <w:w w:val="110"/>
        </w:rPr>
        <w:t>; dronedarone possibly increases plasma concentration of </w:t>
      </w:r>
      <w:r>
        <w:rPr>
          <w:rFonts w:ascii="Calibri" w:hAnsi="Calibri"/>
          <w:color w:val="008356"/>
          <w:w w:val="110"/>
          <w:sz w:val="11"/>
        </w:rPr>
        <w:t>METOPROLOL </w:t>
      </w:r>
      <w:r>
        <w:rPr>
          <w:color w:val="231F1F"/>
          <w:w w:val="110"/>
        </w:rPr>
        <w:t>and </w:t>
      </w:r>
      <w:r>
        <w:rPr>
          <w:rFonts w:ascii="Calibri" w:hAnsi="Calibri"/>
          <w:color w:val="008356"/>
          <w:w w:val="110"/>
          <w:sz w:val="11"/>
        </w:rPr>
        <w:t>PROPRANOLOL</w:t>
      </w:r>
      <w:r>
        <w:rPr>
          <w:color w:val="231F1F"/>
          <w:w w:val="110"/>
        </w:rPr>
        <w:t>; increased risk of ventricular arrhythmias when dronedarone given with </w:t>
      </w:r>
      <w:r>
        <w:rPr>
          <w:rFonts w:ascii="Arial" w:hAnsi="Arial"/>
          <w:color w:val="231F1F"/>
          <w:w w:val="355"/>
          <w:position w:val="1"/>
          <w:sz w:val="7"/>
        </w:rPr>
        <w:t>l </w:t>
      </w:r>
      <w:r>
        <w:rPr>
          <w:rFonts w:ascii="Calibri" w:hAnsi="Calibri"/>
          <w:color w:val="008356"/>
          <w:w w:val="110"/>
          <w:sz w:val="11"/>
        </w:rPr>
        <w:t>SOTALOL</w:t>
      </w:r>
      <w:r>
        <w:rPr>
          <w:rFonts w:ascii="Arial" w:hAnsi="Arial"/>
          <w:color w:val="231F1F"/>
          <w:w w:val="110"/>
        </w:rPr>
        <w:t>—</w:t>
      </w:r>
      <w:r>
        <w:rPr>
          <w:color w:val="231F1F"/>
          <w:w w:val="110"/>
        </w:rPr>
        <w:t>avoid concomitant use</w:t>
      </w:r>
    </w:p>
    <w:p>
      <w:pPr>
        <w:pStyle w:val="BodyText"/>
        <w:spacing w:line="237" w:lineRule="auto"/>
        <w:ind w:right="670" w:hanging="100"/>
      </w:pPr>
      <w:r>
        <w:rPr>
          <w:rFonts w:ascii="Arial"/>
          <w:color w:val="231F1F"/>
          <w:w w:val="355"/>
          <w:position w:val="1"/>
          <w:sz w:val="7"/>
        </w:rPr>
        <w:t>l </w:t>
      </w:r>
      <w:r>
        <w:rPr>
          <w:rFonts w:ascii="Calibri"/>
          <w:color w:val="231F1F"/>
          <w:w w:val="110"/>
        </w:rPr>
        <w:t>Calcium-channel Blockers: </w:t>
      </w:r>
      <w:r>
        <w:rPr>
          <w:color w:val="231F1F"/>
          <w:w w:val="110"/>
        </w:rPr>
        <w:t>plasma concentration of dronedarone increased by </w:t>
      </w:r>
      <w:r>
        <w:rPr>
          <w:rFonts w:ascii="Arial"/>
          <w:color w:val="231F1F"/>
          <w:w w:val="355"/>
          <w:position w:val="1"/>
          <w:sz w:val="7"/>
        </w:rPr>
        <w:t>l </w:t>
      </w:r>
      <w:r>
        <w:rPr>
          <w:rFonts w:ascii="Calibri"/>
          <w:color w:val="008356"/>
          <w:w w:val="110"/>
          <w:sz w:val="11"/>
        </w:rPr>
        <w:t>NIFEDIPINE</w:t>
      </w:r>
      <w:r>
        <w:rPr>
          <w:color w:val="231F1F"/>
          <w:w w:val="110"/>
        </w:rPr>
        <w:t>; increased risk of</w:t>
      </w:r>
    </w:p>
    <w:p>
      <w:pPr>
        <w:spacing w:line="247" w:lineRule="auto" w:before="0"/>
        <w:ind w:left="208" w:right="670" w:firstLine="0"/>
        <w:jc w:val="left"/>
        <w:rPr>
          <w:rFonts w:ascii="Calibri"/>
          <w:sz w:val="11"/>
        </w:rPr>
      </w:pPr>
      <w:r>
        <w:rPr>
          <w:color w:val="231F1F"/>
          <w:w w:val="110"/>
          <w:sz w:val="12"/>
        </w:rPr>
        <w:t>bradycardia and myocardial depression when dronedarone given with </w:t>
      </w:r>
      <w:r>
        <w:rPr>
          <w:rFonts w:ascii="Arial"/>
          <w:color w:val="231F1F"/>
          <w:w w:val="355"/>
          <w:position w:val="1"/>
          <w:sz w:val="7"/>
        </w:rPr>
        <w:t>l </w:t>
      </w:r>
      <w:r>
        <w:rPr>
          <w:rFonts w:ascii="Calibri"/>
          <w:color w:val="008356"/>
          <w:w w:val="110"/>
          <w:sz w:val="11"/>
        </w:rPr>
        <w:t>DILTIAZEM </w:t>
      </w:r>
      <w:r>
        <w:rPr>
          <w:color w:val="231F1F"/>
          <w:w w:val="110"/>
          <w:sz w:val="12"/>
        </w:rPr>
        <w:t>and </w:t>
      </w:r>
      <w:r>
        <w:rPr>
          <w:rFonts w:ascii="Arial"/>
          <w:color w:val="231F1F"/>
          <w:w w:val="355"/>
          <w:position w:val="1"/>
          <w:sz w:val="7"/>
        </w:rPr>
        <w:t>l </w:t>
      </w:r>
      <w:r>
        <w:rPr>
          <w:rFonts w:ascii="Calibri"/>
          <w:color w:val="008356"/>
          <w:w w:val="110"/>
          <w:sz w:val="11"/>
        </w:rPr>
        <w:t>VERAPAMIL</w:t>
      </w:r>
    </w:p>
    <w:p>
      <w:pPr>
        <w:pStyle w:val="BodyText"/>
        <w:spacing w:line="141" w:lineRule="exact"/>
        <w:ind w:left="108"/>
      </w:pPr>
      <w:r>
        <w:rPr>
          <w:rFonts w:ascii="Arial"/>
          <w:color w:val="231F1F"/>
          <w:w w:val="355"/>
          <w:position w:val="1"/>
          <w:sz w:val="7"/>
        </w:rPr>
        <w:t>l </w:t>
      </w:r>
      <w:r>
        <w:rPr>
          <w:rFonts w:ascii="Calibri"/>
          <w:color w:val="231F1F"/>
          <w:w w:val="110"/>
        </w:rPr>
        <w:t>Cardiac Glycosides: </w:t>
      </w:r>
      <w:r>
        <w:rPr>
          <w:color w:val="231F1F"/>
          <w:w w:val="110"/>
        </w:rPr>
        <w:t>dronedarone increases plasma</w:t>
      </w:r>
    </w:p>
    <w:p>
      <w:pPr>
        <w:pStyle w:val="BodyText"/>
        <w:spacing w:line="140" w:lineRule="exact"/>
      </w:pPr>
      <w:r>
        <w:rPr>
          <w:color w:val="231F1F"/>
          <w:w w:val="115"/>
        </w:rPr>
        <w:t>concentration of </w:t>
      </w:r>
      <w:r>
        <w:rPr>
          <w:rFonts w:ascii="Arial"/>
          <w:color w:val="231F1F"/>
          <w:w w:val="355"/>
          <w:position w:val="1"/>
          <w:sz w:val="7"/>
        </w:rPr>
        <w:t>l </w:t>
      </w:r>
      <w:r>
        <w:rPr>
          <w:rFonts w:ascii="Calibri"/>
          <w:color w:val="008356"/>
          <w:w w:val="115"/>
          <w:sz w:val="11"/>
        </w:rPr>
        <w:t>DIGOXIN </w:t>
      </w:r>
      <w:r>
        <w:rPr>
          <w:color w:val="231F1F"/>
          <w:w w:val="115"/>
        </w:rPr>
        <w:t>(halve dose of digoxin)</w:t>
      </w:r>
    </w:p>
    <w:p>
      <w:pPr>
        <w:pStyle w:val="BodyText"/>
        <w:spacing w:line="244" w:lineRule="auto"/>
        <w:ind w:right="747" w:hanging="100"/>
      </w:pPr>
      <w:r>
        <w:rPr>
          <w:rFonts w:ascii="Arial" w:hAnsi="Arial"/>
          <w:color w:val="231F1F"/>
          <w:w w:val="355"/>
          <w:position w:val="1"/>
          <w:sz w:val="7"/>
        </w:rPr>
        <w:t>l </w:t>
      </w:r>
      <w:r>
        <w:rPr>
          <w:rFonts w:ascii="Calibri" w:hAnsi="Calibri"/>
          <w:color w:val="231F1F"/>
          <w:w w:val="115"/>
        </w:rPr>
        <w:t>Cytotoxics: </w:t>
      </w:r>
      <w:r>
        <w:rPr>
          <w:color w:val="231F1F"/>
          <w:w w:val="115"/>
        </w:rPr>
        <w:t>dronedarone possibly increases the plasma concentration of </w:t>
      </w:r>
      <w:r>
        <w:rPr>
          <w:rFonts w:ascii="Arial" w:hAnsi="Arial"/>
          <w:color w:val="231F1F"/>
          <w:w w:val="355"/>
          <w:position w:val="1"/>
          <w:sz w:val="7"/>
        </w:rPr>
        <w:t>l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dronedarone possibly increases the plasma concentration </w:t>
      </w:r>
      <w:r>
        <w:rPr>
          <w:color w:val="231F1F"/>
          <w:spacing w:val="-8"/>
          <w:w w:val="115"/>
        </w:rPr>
        <w:t>of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w:t>
      </w:r>
      <w:r>
        <w:rPr>
          <w:color w:val="231F1F"/>
          <w:spacing w:val="-13"/>
          <w:w w:val="115"/>
        </w:rPr>
        <w:t> </w:t>
      </w:r>
      <w:r>
        <w:rPr>
          <w:color w:val="231F1F"/>
          <w:w w:val="115"/>
        </w:rPr>
        <w:t>dose</w:t>
      </w:r>
      <w:r>
        <w:rPr>
          <w:color w:val="231F1F"/>
          <w:spacing w:val="-11"/>
          <w:w w:val="115"/>
        </w:rPr>
        <w:t> </w:t>
      </w:r>
      <w:r>
        <w:rPr>
          <w:color w:val="231F1F"/>
          <w:w w:val="115"/>
        </w:rPr>
        <w:t>of</w:t>
      </w:r>
      <w:r>
        <w:rPr>
          <w:color w:val="231F1F"/>
          <w:spacing w:val="-11"/>
          <w:w w:val="115"/>
        </w:rPr>
        <w:t> </w:t>
      </w:r>
      <w:r>
        <w:rPr>
          <w:color w:val="231F1F"/>
          <w:w w:val="115"/>
        </w:rPr>
        <w:t>ibrutinib</w:t>
      </w:r>
      <w:r>
        <w:rPr>
          <w:color w:val="231F1F"/>
          <w:spacing w:val="-11"/>
          <w:w w:val="115"/>
        </w:rPr>
        <w:t> </w:t>
      </w:r>
      <w:r>
        <w:rPr>
          <w:color w:val="231F1F"/>
          <w:w w:val="115"/>
        </w:rPr>
        <w:t>(see</w:t>
      </w:r>
      <w:r>
        <w:rPr>
          <w:color w:val="231F1F"/>
          <w:spacing w:val="-11"/>
          <w:w w:val="115"/>
        </w:rPr>
        <w:t> </w:t>
      </w:r>
      <w:r>
        <w:rPr>
          <w:color w:val="231F1F"/>
          <w:w w:val="115"/>
        </w:rPr>
        <w:t>under</w:t>
      </w:r>
      <w:r>
        <w:rPr>
          <w:color w:val="231F1F"/>
          <w:spacing w:val="-12"/>
          <w:w w:val="115"/>
        </w:rPr>
        <w:t> </w:t>
      </w:r>
      <w:r>
        <w:rPr>
          <w:color w:val="231F1F"/>
          <w:w w:val="115"/>
        </w:rPr>
        <w:t>Ibrutinib, p.</w:t>
      </w:r>
      <w:r>
        <w:rPr>
          <w:color w:val="231F1F"/>
          <w:spacing w:val="-3"/>
          <w:w w:val="115"/>
        </w:rPr>
        <w:t> </w:t>
      </w:r>
      <w:r>
        <w:rPr>
          <w:color w:val="231F1F"/>
          <w:w w:val="115"/>
        </w:rPr>
        <w:t>809)</w:t>
      </w:r>
    </w:p>
    <w:p>
      <w:pPr>
        <w:pStyle w:val="BodyText"/>
        <w:ind w:right="670" w:hanging="100"/>
        <w:rPr>
          <w:rFonts w:ascii="Calibri"/>
          <w:sz w:val="11"/>
        </w:rPr>
      </w:pPr>
      <w:r>
        <w:rPr>
          <w:rFonts w:ascii="Arial"/>
          <w:color w:val="231F1F"/>
          <w:w w:val="355"/>
          <w:position w:val="1"/>
          <w:sz w:val="7"/>
        </w:rPr>
        <w:t>l </w:t>
      </w:r>
      <w:r>
        <w:rPr>
          <w:rFonts w:ascii="Calibri"/>
          <w:color w:val="231F1F"/>
          <w:w w:val="105"/>
        </w:rPr>
        <w:t>Fingolimod: </w:t>
      </w:r>
      <w:r>
        <w:rPr>
          <w:color w:val="231F1F"/>
          <w:w w:val="105"/>
        </w:rPr>
        <w:t>possible increased risk of bradycardia when dronedarone given with </w:t>
      </w:r>
      <w:r>
        <w:rPr>
          <w:rFonts w:ascii="Arial"/>
          <w:color w:val="231F1F"/>
          <w:w w:val="355"/>
          <w:position w:val="1"/>
          <w:sz w:val="7"/>
        </w:rPr>
        <w:t>l </w:t>
      </w:r>
      <w:r>
        <w:rPr>
          <w:rFonts w:ascii="Calibri"/>
          <w:color w:val="008356"/>
          <w:w w:val="105"/>
          <w:sz w:val="11"/>
        </w:rPr>
        <w:t>FINGOLIMOD</w:t>
      </w:r>
    </w:p>
    <w:p>
      <w:pPr>
        <w:pStyle w:val="BodyText"/>
        <w:spacing w:line="237" w:lineRule="auto"/>
        <w:ind w:right="670"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dronedarone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concomitant use</w:t>
      </w:r>
    </w:p>
    <w:p>
      <w:pPr>
        <w:pStyle w:val="BodyText"/>
        <w:spacing w:line="242" w:lineRule="auto"/>
        <w:ind w:right="712"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15"/>
        </w:rPr>
        <w:t>Lipid-regulating</w:t>
      </w:r>
      <w:r>
        <w:rPr>
          <w:rFonts w:ascii="Calibri" w:hAnsi="Calibri"/>
          <w:color w:val="231F1F"/>
          <w:spacing w:val="-20"/>
          <w:w w:val="115"/>
        </w:rPr>
        <w:t> </w:t>
      </w:r>
      <w:r>
        <w:rPr>
          <w:rFonts w:ascii="Calibri" w:hAnsi="Calibri"/>
          <w:color w:val="231F1F"/>
          <w:w w:val="115"/>
        </w:rPr>
        <w:t>Drugs:</w:t>
      </w:r>
      <w:r>
        <w:rPr>
          <w:rFonts w:ascii="Calibri" w:hAnsi="Calibri"/>
          <w:color w:val="231F1F"/>
          <w:spacing w:val="-19"/>
          <w:w w:val="115"/>
        </w:rPr>
        <w:t> </w:t>
      </w:r>
      <w:r>
        <w:rPr>
          <w:color w:val="231F1F"/>
          <w:w w:val="115"/>
        </w:rPr>
        <w:t>dronedarone</w:t>
      </w:r>
      <w:r>
        <w:rPr>
          <w:color w:val="231F1F"/>
          <w:spacing w:val="-23"/>
          <w:w w:val="115"/>
        </w:rPr>
        <w:t> </w:t>
      </w:r>
      <w:r>
        <w:rPr>
          <w:color w:val="231F1F"/>
          <w:w w:val="115"/>
        </w:rPr>
        <w:t>possibly</w:t>
      </w:r>
      <w:r>
        <w:rPr>
          <w:color w:val="231F1F"/>
          <w:spacing w:val="-23"/>
          <w:w w:val="115"/>
        </w:rPr>
        <w:t> </w:t>
      </w:r>
      <w:r>
        <w:rPr>
          <w:color w:val="231F1F"/>
          <w:w w:val="115"/>
        </w:rPr>
        <w:t>increases</w:t>
      </w:r>
      <w:r>
        <w:rPr>
          <w:color w:val="231F1F"/>
          <w:spacing w:val="-23"/>
          <w:w w:val="115"/>
        </w:rPr>
        <w:t> </w:t>
      </w:r>
      <w:r>
        <w:rPr>
          <w:color w:val="231F1F"/>
          <w:spacing w:val="-3"/>
          <w:w w:val="115"/>
        </w:rPr>
        <w:t>plasma </w:t>
      </w:r>
      <w:r>
        <w:rPr>
          <w:color w:val="231F1F"/>
          <w:w w:val="115"/>
        </w:rPr>
        <w:t>concentration of </w:t>
      </w:r>
      <w:r>
        <w:rPr>
          <w:rFonts w:ascii="Calibri" w:hAnsi="Calibri"/>
          <w:color w:val="008356"/>
          <w:spacing w:val="2"/>
          <w:w w:val="115"/>
          <w:sz w:val="11"/>
        </w:rPr>
        <w:t>ATORVASTATIN</w:t>
      </w:r>
      <w:r>
        <w:rPr>
          <w:color w:val="231F1F"/>
          <w:spacing w:val="2"/>
          <w:w w:val="115"/>
        </w:rPr>
        <w:t>; </w:t>
      </w:r>
      <w:r>
        <w:rPr>
          <w:color w:val="231F1F"/>
          <w:w w:val="115"/>
        </w:rPr>
        <w:t>dronedarone increases plasma concentration of </w:t>
      </w:r>
      <w:r>
        <w:rPr>
          <w:rFonts w:ascii="Arial" w:hAnsi="Arial"/>
          <w:color w:val="231F1F"/>
          <w:w w:val="355"/>
          <w:position w:val="1"/>
          <w:sz w:val="7"/>
        </w:rPr>
        <w:t>l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 </w:t>
      </w:r>
      <w:r>
        <w:rPr>
          <w:color w:val="231F1F"/>
          <w:w w:val="115"/>
        </w:rPr>
        <w:t>dose of rosuvastatin (consult product literature); increased risk of myopathy when dronedarone given with </w:t>
      </w:r>
      <w:r>
        <w:rPr>
          <w:rFonts w:ascii="Arial" w:hAnsi="Arial"/>
          <w:color w:val="231F1F"/>
          <w:w w:val="355"/>
          <w:position w:val="1"/>
          <w:sz w:val="7"/>
        </w:rPr>
        <w:t>l </w:t>
      </w:r>
      <w:r>
        <w:rPr>
          <w:rFonts w:ascii="Calibri" w:hAnsi="Calibri"/>
          <w:color w:val="008356"/>
          <w:spacing w:val="3"/>
          <w:w w:val="115"/>
          <w:sz w:val="11"/>
        </w:rPr>
        <w:t>SIMVASTATIN</w:t>
      </w:r>
      <w:r>
        <w:rPr>
          <w:color w:val="231F1F"/>
          <w:spacing w:val="3"/>
          <w:w w:val="115"/>
        </w:rPr>
        <w:t>; </w:t>
      </w:r>
      <w:r>
        <w:rPr>
          <w:color w:val="231F1F"/>
          <w:w w:val="115"/>
        </w:rPr>
        <w:t>avoidance</w:t>
      </w:r>
      <w:r>
        <w:rPr>
          <w:color w:val="231F1F"/>
          <w:spacing w:val="-7"/>
          <w:w w:val="115"/>
        </w:rPr>
        <w:t> </w:t>
      </w:r>
      <w:r>
        <w:rPr>
          <w:color w:val="231F1F"/>
          <w:w w:val="115"/>
        </w:rPr>
        <w:t>of</w:t>
      </w:r>
      <w:r>
        <w:rPr>
          <w:color w:val="231F1F"/>
          <w:spacing w:val="-4"/>
          <w:w w:val="115"/>
        </w:rPr>
        <w:t> </w:t>
      </w:r>
      <w:r>
        <w:rPr>
          <w:color w:val="231F1F"/>
          <w:w w:val="115"/>
        </w:rPr>
        <w:t>dronedarone</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5"/>
          <w:w w:val="115"/>
        </w:rPr>
        <w:t> </w:t>
      </w:r>
      <w:r>
        <w:rPr>
          <w:color w:val="231F1F"/>
          <w:w w:val="115"/>
        </w:rPr>
        <w:t>of</w:t>
      </w:r>
    </w:p>
    <w:p>
      <w:pPr>
        <w:pStyle w:val="BodyText"/>
        <w:ind w:right="670"/>
      </w:pP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10"/>
        </w:rPr>
        <w:t>Sirolimus: </w:t>
      </w:r>
      <w:r>
        <w:rPr>
          <w:color w:val="231F1F"/>
          <w:w w:val="110"/>
        </w:rPr>
        <w:t>manufacturer of dronedarone advises caution with</w:t>
      </w:r>
    </w:p>
    <w:p>
      <w:pPr>
        <w:spacing w:line="130" w:lineRule="exact" w:before="0"/>
        <w:ind w:left="208" w:right="0" w:firstLine="0"/>
        <w:jc w:val="left"/>
        <w:rPr>
          <w:rFonts w:ascii="Calibri"/>
          <w:sz w:val="11"/>
        </w:rPr>
      </w:pPr>
      <w:r>
        <w:rPr>
          <w:rFonts w:ascii="Calibri"/>
          <w:color w:val="008356"/>
          <w:sz w:val="11"/>
        </w:rPr>
        <w:t>SIROLIMUS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10"/>
        </w:rPr>
        <w:t>Tacrolimus: </w:t>
      </w:r>
      <w:r>
        <w:rPr>
          <w:color w:val="231F1F"/>
          <w:w w:val="110"/>
        </w:rPr>
        <w:t>manufacturer of dronedarone advises caution with</w:t>
      </w:r>
    </w:p>
    <w:p>
      <w:pPr>
        <w:spacing w:line="132" w:lineRule="exact" w:before="0"/>
        <w:ind w:left="208" w:right="0" w:firstLine="0"/>
        <w:jc w:val="left"/>
        <w:rPr>
          <w:rFonts w:ascii="Calibri"/>
          <w:sz w:val="11"/>
        </w:rPr>
      </w:pPr>
      <w:r>
        <w:rPr>
          <w:rFonts w:ascii="Calibri"/>
          <w:color w:val="008356"/>
          <w:sz w:val="11"/>
        </w:rPr>
        <w:t>TACROLIMUS</w:t>
      </w:r>
    </w:p>
    <w:p>
      <w:pPr>
        <w:pStyle w:val="BodyText"/>
        <w:spacing w:line="256" w:lineRule="auto" w:before="6"/>
        <w:ind w:left="108" w:right="2217"/>
        <w:rPr>
          <w:rFonts w:ascii="Trebuchet MS"/>
        </w:rPr>
      </w:pPr>
      <w:r>
        <w:rPr>
          <w:rFonts w:ascii="Trebuchet MS"/>
          <w:color w:val="008356"/>
          <w:w w:val="105"/>
        </w:rPr>
        <w:t>Droperidol </w:t>
      </w:r>
      <w:r>
        <w:rPr>
          <w:i/>
          <w:color w:val="231F1F"/>
          <w:w w:val="105"/>
        </w:rPr>
        <w:t>see </w:t>
      </w:r>
      <w:r>
        <w:rPr>
          <w:color w:val="231F1F"/>
          <w:w w:val="105"/>
        </w:rPr>
        <w:t>Antipsychotics </w:t>
      </w:r>
      <w:r>
        <w:rPr>
          <w:rFonts w:ascii="Trebuchet MS"/>
          <w:color w:val="008356"/>
          <w:w w:val="105"/>
        </w:rPr>
        <w:t>Drospirenone </w:t>
      </w:r>
      <w:r>
        <w:rPr>
          <w:i/>
          <w:color w:val="231F1F"/>
          <w:w w:val="105"/>
        </w:rPr>
        <w:t>see </w:t>
      </w:r>
      <w:r>
        <w:rPr>
          <w:color w:val="231F1F"/>
          <w:w w:val="105"/>
        </w:rPr>
        <w:t>Progestogens </w:t>
      </w:r>
      <w:r>
        <w:rPr>
          <w:rFonts w:ascii="Trebuchet MS"/>
          <w:color w:val="008356"/>
          <w:w w:val="105"/>
        </w:rPr>
        <w:t>Duloxetine</w:t>
      </w:r>
    </w:p>
    <w:p>
      <w:pPr>
        <w:pStyle w:val="BodyText"/>
        <w:spacing w:line="230" w:lineRule="auto"/>
        <w:ind w:right="678"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serotonergic effects when SSRI- related antidepressants given with </w:t>
      </w:r>
      <w:r>
        <w:rPr>
          <w:rFonts w:ascii="Calibri" w:hAnsi="Calibri"/>
          <w:color w:val="008356"/>
          <w:w w:val="110"/>
          <w:sz w:val="11"/>
        </w:rPr>
        <w:t>FENTANYL</w:t>
      </w:r>
      <w:r>
        <w:rPr>
          <w:color w:val="231F1F"/>
          <w:w w:val="110"/>
        </w:rPr>
        <w:t>; possible increased serotonergic effects when duloxetine given with</w:t>
      </w:r>
    </w:p>
    <w:p>
      <w:pPr>
        <w:spacing w:line="141" w:lineRule="exact" w:before="2"/>
        <w:ind w:left="208" w:right="0" w:firstLine="0"/>
        <w:jc w:val="left"/>
        <w:rPr>
          <w:rFonts w:ascii="Calibri"/>
          <w:sz w:val="11"/>
        </w:rPr>
      </w:pPr>
      <w:r>
        <w:rPr>
          <w:rFonts w:ascii="Calibri"/>
          <w:color w:val="008356"/>
          <w:sz w:val="11"/>
        </w:rPr>
        <w:t>PETHIDINE </w:t>
      </w:r>
      <w:r>
        <w:rPr>
          <w:color w:val="231F1F"/>
          <w:sz w:val="12"/>
        </w:rPr>
        <w:t>or </w:t>
      </w:r>
      <w:r>
        <w:rPr>
          <w:rFonts w:ascii="Calibri"/>
          <w:color w:val="008356"/>
          <w:sz w:val="11"/>
        </w:rPr>
        <w:t>TRAMADOL</w:t>
      </w:r>
    </w:p>
    <w:p>
      <w:pPr>
        <w:pStyle w:val="BodyText"/>
        <w:spacing w:line="145" w:lineRule="exact"/>
        <w:ind w:left="108"/>
      </w:pPr>
      <w:r>
        <w:rPr>
          <w:rFonts w:ascii="Arial"/>
          <w:color w:val="231F1F"/>
          <w:w w:val="355"/>
          <w:position w:val="1"/>
          <w:sz w:val="7"/>
        </w:rPr>
        <w:t>l </w:t>
      </w:r>
      <w:r>
        <w:rPr>
          <w:rFonts w:ascii="Calibri"/>
          <w:color w:val="231F1F"/>
          <w:w w:val="115"/>
        </w:rPr>
        <w:t>Antibacterials: </w:t>
      </w:r>
      <w:r>
        <w:rPr>
          <w:color w:val="231F1F"/>
          <w:w w:val="115"/>
        </w:rPr>
        <w:t>metabolism of duloxetine inhibited by</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CIPROFLOXACIN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right="625"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possible increased risk of bleeding when </w:t>
      </w:r>
      <w:r>
        <w:rPr>
          <w:color w:val="231F1F"/>
          <w:spacing w:val="-3"/>
          <w:w w:val="110"/>
        </w:rPr>
        <w:t>SSRI- </w:t>
      </w:r>
      <w:r>
        <w:rPr>
          <w:color w:val="231F1F"/>
          <w:w w:val="110"/>
        </w:rPr>
        <w:t>related antidepressants given with </w:t>
      </w:r>
      <w:r>
        <w:rPr>
          <w:rFonts w:ascii="Arial"/>
          <w:color w:val="231F1F"/>
          <w:w w:val="355"/>
          <w:position w:val="1"/>
          <w:sz w:val="7"/>
        </w:rPr>
        <w:t>l </w:t>
      </w:r>
      <w:r>
        <w:rPr>
          <w:rFonts w:ascii="Calibri"/>
          <w:color w:val="008356"/>
          <w:spacing w:val="4"/>
          <w:w w:val="110"/>
          <w:sz w:val="11"/>
        </w:rPr>
        <w:t>DABIGATRAN</w:t>
      </w:r>
    </w:p>
    <w:p>
      <w:pPr>
        <w:pStyle w:val="BodyText"/>
        <w:spacing w:line="142" w:lineRule="exact"/>
        <w:ind w:left="108"/>
      </w:pPr>
      <w:r>
        <w:rPr>
          <w:rFonts w:ascii="Arial"/>
          <w:color w:val="231F1F"/>
          <w:w w:val="355"/>
          <w:position w:val="1"/>
          <w:sz w:val="7"/>
        </w:rPr>
        <w:t>l </w:t>
      </w:r>
      <w:r>
        <w:rPr>
          <w:rFonts w:ascii="Calibri"/>
          <w:color w:val="231F1F"/>
          <w:w w:val="110"/>
        </w:rPr>
        <w:t>Antidepressants: </w:t>
      </w:r>
      <w:r>
        <w:rPr>
          <w:color w:val="231F1F"/>
          <w:w w:val="110"/>
        </w:rPr>
        <w:t>metabolism of duloxetine inhibited by</w:t>
      </w:r>
    </w:p>
    <w:p>
      <w:pPr>
        <w:spacing w:line="242" w:lineRule="auto" w:before="0"/>
        <w:ind w:left="208" w:right="762" w:firstLine="0"/>
        <w:jc w:val="left"/>
        <w:rPr>
          <w:sz w:val="12"/>
        </w:rPr>
      </w:pPr>
      <w:r>
        <w:rPr>
          <w:rFonts w:ascii="Arial" w:hAnsi="Arial"/>
          <w:color w:val="231F1F"/>
          <w:w w:val="355"/>
          <w:position w:val="1"/>
          <w:sz w:val="7"/>
        </w:rPr>
        <w:t>l </w:t>
      </w:r>
      <w:r>
        <w:rPr>
          <w:rFonts w:ascii="Calibri" w:hAnsi="Calibri"/>
          <w:color w:val="008356"/>
          <w:w w:val="110"/>
          <w:sz w:val="11"/>
        </w:rPr>
        <w:t>FLUVOXAMINE</w:t>
      </w:r>
      <w:r>
        <w:rPr>
          <w:rFonts w:ascii="Arial" w:hAnsi="Arial"/>
          <w:color w:val="231F1F"/>
          <w:w w:val="110"/>
          <w:sz w:val="12"/>
        </w:rPr>
        <w:t>—</w:t>
      </w:r>
      <w:r>
        <w:rPr>
          <w:color w:val="231F1F"/>
          <w:w w:val="110"/>
          <w:sz w:val="12"/>
        </w:rPr>
        <w:t>avoid concomitant use; possible increased serotonergic effects when duloxetine given with </w:t>
      </w:r>
      <w:r>
        <w:rPr>
          <w:rFonts w:ascii="Calibri" w:hAnsi="Calibri"/>
          <w:color w:val="008356"/>
          <w:w w:val="110"/>
          <w:sz w:val="11"/>
        </w:rPr>
        <w:t>SSRI</w:t>
      </w:r>
      <w:r>
        <w:rPr>
          <w:rFonts w:ascii="Calibri" w:hAnsi="Calibri"/>
          <w:color w:val="008356"/>
          <w:w w:val="110"/>
          <w:sz w:val="9"/>
        </w:rPr>
        <w:t>S</w:t>
      </w:r>
      <w:r>
        <w:rPr>
          <w:color w:val="231F1F"/>
          <w:w w:val="110"/>
          <w:sz w:val="12"/>
        </w:rPr>
        <w:t>, </w:t>
      </w:r>
      <w:r>
        <w:rPr>
          <w:rFonts w:ascii="Calibri" w:hAnsi="Calibri"/>
          <w:color w:val="008356"/>
          <w:w w:val="110"/>
          <w:sz w:val="11"/>
        </w:rPr>
        <w:t>ST </w:t>
      </w:r>
      <w:r>
        <w:rPr>
          <w:rFonts w:ascii="Calibri" w:hAnsi="Calibri"/>
          <w:color w:val="008356"/>
          <w:sz w:val="11"/>
        </w:rPr>
        <w:t>JOHN</w:t>
      </w:r>
      <w:r>
        <w:rPr>
          <w:rFonts w:ascii="Arial" w:hAnsi="Arial"/>
          <w:color w:val="008356"/>
          <w:sz w:val="11"/>
        </w:rPr>
        <w:t>’</w:t>
      </w:r>
      <w:r>
        <w:rPr>
          <w:rFonts w:ascii="Calibri" w:hAnsi="Calibri"/>
          <w:color w:val="008356"/>
          <w:sz w:val="11"/>
        </w:rPr>
        <w:t>S WORT</w:t>
      </w:r>
      <w:r>
        <w:rPr>
          <w:color w:val="231F1F"/>
          <w:sz w:val="12"/>
        </w:rPr>
        <w:t>, </w:t>
      </w:r>
      <w:r>
        <w:rPr>
          <w:rFonts w:ascii="Calibri" w:hAnsi="Calibri"/>
          <w:color w:val="008356"/>
          <w:sz w:val="11"/>
        </w:rPr>
        <w:t>AMITRIPTYLINE</w:t>
      </w:r>
      <w:r>
        <w:rPr>
          <w:color w:val="231F1F"/>
          <w:sz w:val="12"/>
        </w:rPr>
        <w:t>, </w:t>
      </w:r>
      <w:r>
        <w:rPr>
          <w:rFonts w:ascii="Calibri" w:hAnsi="Calibri"/>
          <w:color w:val="008356"/>
          <w:sz w:val="11"/>
        </w:rPr>
        <w:t>CLOMIPRAMINE</w:t>
      </w:r>
      <w:r>
        <w:rPr>
          <w:color w:val="231F1F"/>
          <w:sz w:val="12"/>
        </w:rPr>
        <w:t>, </w:t>
      </w:r>
      <w:r>
        <w:rPr>
          <w:rFonts w:ascii="Arial" w:hAnsi="Arial"/>
          <w:color w:val="231F1F"/>
          <w:position w:val="1"/>
          <w:sz w:val="7"/>
        </w:rPr>
        <w:t>l </w:t>
      </w:r>
      <w:r>
        <w:rPr>
          <w:rFonts w:ascii="Calibri" w:hAnsi="Calibri"/>
          <w:color w:val="008356"/>
          <w:sz w:val="11"/>
        </w:rPr>
        <w:t>MOCLOBEMIDE </w:t>
      </w:r>
      <w:r>
        <w:rPr>
          <w:color w:val="231F1F"/>
          <w:sz w:val="12"/>
        </w:rPr>
        <w:t>or</w:t>
      </w:r>
    </w:p>
    <w:p>
      <w:pPr>
        <w:pStyle w:val="BodyText"/>
        <w:spacing w:line="244" w:lineRule="auto"/>
        <w:ind w:right="711"/>
      </w:pPr>
      <w:r>
        <w:rPr>
          <w:rFonts w:ascii="Calibri"/>
          <w:color w:val="008356"/>
          <w:spacing w:val="4"/>
          <w:w w:val="115"/>
          <w:sz w:val="11"/>
        </w:rPr>
        <w:t>VENLAFAXINE</w:t>
      </w:r>
      <w:r>
        <w:rPr>
          <w:color w:val="231F1F"/>
          <w:spacing w:val="4"/>
          <w:w w:val="115"/>
        </w:rPr>
        <w:t>;</w:t>
      </w:r>
      <w:r>
        <w:rPr>
          <w:color w:val="231F1F"/>
          <w:spacing w:val="-12"/>
          <w:w w:val="115"/>
        </w:rPr>
        <w:t> </w:t>
      </w:r>
      <w:r>
        <w:rPr>
          <w:color w:val="231F1F"/>
          <w:w w:val="115"/>
        </w:rPr>
        <w:t>duloxetine</w:t>
      </w:r>
      <w:r>
        <w:rPr>
          <w:color w:val="231F1F"/>
          <w:spacing w:val="-12"/>
          <w:w w:val="115"/>
        </w:rPr>
        <w:t> </w:t>
      </w:r>
      <w:r>
        <w:rPr>
          <w:color w:val="231F1F"/>
          <w:w w:val="115"/>
        </w:rPr>
        <w:t>should</w:t>
      </w:r>
      <w:r>
        <w:rPr>
          <w:color w:val="231F1F"/>
          <w:spacing w:val="-12"/>
          <w:w w:val="115"/>
        </w:rPr>
        <w:t> </w:t>
      </w:r>
      <w:r>
        <w:rPr>
          <w:color w:val="231F1F"/>
          <w:w w:val="115"/>
        </w:rPr>
        <w:t>not</w:t>
      </w:r>
      <w:r>
        <w:rPr>
          <w:color w:val="231F1F"/>
          <w:spacing w:val="-11"/>
          <w:w w:val="115"/>
        </w:rPr>
        <w:t> </w:t>
      </w:r>
      <w:r>
        <w:rPr>
          <w:color w:val="231F1F"/>
          <w:w w:val="115"/>
        </w:rPr>
        <w:t>be</w:t>
      </w:r>
      <w:r>
        <w:rPr>
          <w:color w:val="231F1F"/>
          <w:spacing w:val="-11"/>
          <w:w w:val="115"/>
        </w:rPr>
        <w:t> </w:t>
      </w:r>
      <w:r>
        <w:rPr>
          <w:color w:val="231F1F"/>
          <w:w w:val="115"/>
        </w:rPr>
        <w:t>started</w:t>
      </w:r>
      <w:r>
        <w:rPr>
          <w:color w:val="231F1F"/>
          <w:spacing w:val="-12"/>
          <w:w w:val="115"/>
        </w:rPr>
        <w:t> </w:t>
      </w:r>
      <w:r>
        <w:rPr>
          <w:color w:val="231F1F"/>
          <w:w w:val="115"/>
        </w:rPr>
        <w:t>until</w:t>
      </w:r>
      <w:r>
        <w:rPr>
          <w:color w:val="231F1F"/>
          <w:spacing w:val="-11"/>
          <w:w w:val="115"/>
        </w:rPr>
        <w:t> </w:t>
      </w:r>
      <w:r>
        <w:rPr>
          <w:color w:val="231F1F"/>
          <w:w w:val="115"/>
        </w:rPr>
        <w:t>2</w:t>
      </w:r>
      <w:r>
        <w:rPr>
          <w:color w:val="231F1F"/>
          <w:spacing w:val="-12"/>
          <w:w w:val="115"/>
        </w:rPr>
        <w:t> </w:t>
      </w:r>
      <w:r>
        <w:rPr>
          <w:color w:val="231F1F"/>
          <w:w w:val="115"/>
        </w:rPr>
        <w:t>weeks after stopping </w:t>
      </w:r>
      <w:r>
        <w:rPr>
          <w:rFonts w:ascii="Arial"/>
          <w:color w:val="231F1F"/>
          <w:w w:val="355"/>
          <w:position w:val="1"/>
          <w:sz w:val="7"/>
        </w:rPr>
        <w:t>l </w:t>
      </w:r>
      <w:r>
        <w:rPr>
          <w:rFonts w:ascii="Calibri"/>
          <w:color w:val="008356"/>
          <w:spacing w:val="4"/>
          <w:w w:val="115"/>
          <w:sz w:val="11"/>
        </w:rPr>
        <w:t>MAOIS</w:t>
      </w:r>
      <w:r>
        <w:rPr>
          <w:color w:val="231F1F"/>
          <w:spacing w:val="4"/>
          <w:w w:val="115"/>
        </w:rPr>
        <w:t>, </w:t>
      </w:r>
      <w:r>
        <w:rPr>
          <w:color w:val="231F1F"/>
          <w:w w:val="115"/>
        </w:rPr>
        <w:t>also MAOIs should not be started until at least 5 days after stopping duloxetine; after</w:t>
      </w:r>
      <w:r>
        <w:rPr>
          <w:color w:val="231F1F"/>
          <w:spacing w:val="-23"/>
          <w:w w:val="115"/>
        </w:rPr>
        <w:t> </w:t>
      </w:r>
      <w:r>
        <w:rPr>
          <w:color w:val="231F1F"/>
          <w:w w:val="115"/>
        </w:rPr>
        <w:t>stopping SSRI-related</w:t>
      </w:r>
      <w:r>
        <w:rPr>
          <w:color w:val="231F1F"/>
          <w:spacing w:val="-12"/>
          <w:w w:val="115"/>
        </w:rPr>
        <w:t> </w:t>
      </w:r>
      <w:r>
        <w:rPr>
          <w:color w:val="231F1F"/>
          <w:w w:val="115"/>
        </w:rPr>
        <w:t>antidepressants</w:t>
      </w:r>
      <w:r>
        <w:rPr>
          <w:color w:val="231F1F"/>
          <w:spacing w:val="-9"/>
          <w:w w:val="115"/>
        </w:rPr>
        <w:t> </w:t>
      </w:r>
      <w:r>
        <w:rPr>
          <w:color w:val="231F1F"/>
          <w:w w:val="115"/>
        </w:rPr>
        <w:t>do</w:t>
      </w:r>
      <w:r>
        <w:rPr>
          <w:color w:val="231F1F"/>
          <w:spacing w:val="-11"/>
          <w:w w:val="115"/>
        </w:rPr>
        <w:t> </w:t>
      </w:r>
      <w:r>
        <w:rPr>
          <w:color w:val="231F1F"/>
          <w:w w:val="115"/>
        </w:rPr>
        <w:t>not</w:t>
      </w:r>
      <w:r>
        <w:rPr>
          <w:color w:val="231F1F"/>
          <w:spacing w:val="-10"/>
          <w:w w:val="115"/>
        </w:rPr>
        <w:t> </w:t>
      </w:r>
      <w:r>
        <w:rPr>
          <w:color w:val="231F1F"/>
          <w:w w:val="115"/>
        </w:rPr>
        <w:t>start</w:t>
      </w:r>
      <w:r>
        <w:rPr>
          <w:color w:val="231F1F"/>
          <w:spacing w:val="-10"/>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05"/>
          <w:sz w:val="11"/>
        </w:rPr>
        <w:t>MOCLOBEMIDE</w:t>
      </w:r>
      <w:r>
        <w:rPr>
          <w:rFonts w:ascii="Calibri"/>
          <w:color w:val="008356"/>
          <w:spacing w:val="3"/>
          <w:w w:val="105"/>
          <w:sz w:val="11"/>
        </w:rPr>
        <w:t> </w:t>
      </w:r>
      <w:r>
        <w:rPr>
          <w:color w:val="231F1F"/>
          <w:w w:val="115"/>
        </w:rPr>
        <w:t>for at least 1</w:t>
      </w:r>
      <w:r>
        <w:rPr>
          <w:color w:val="231F1F"/>
          <w:spacing w:val="-11"/>
          <w:w w:val="115"/>
        </w:rPr>
        <w:t> </w:t>
      </w:r>
      <w:r>
        <w:rPr>
          <w:color w:val="231F1F"/>
          <w:w w:val="115"/>
        </w:rPr>
        <w:t>week</w:t>
      </w:r>
    </w:p>
    <w:p>
      <w:pPr>
        <w:spacing w:line="247" w:lineRule="auto" w:before="0"/>
        <w:ind w:left="208" w:right="1049"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40"/>
          <w:position w:val="1"/>
          <w:sz w:val="7"/>
        </w:rPr>
        <w:t>l</w:t>
      </w:r>
      <w:r>
        <w:rPr>
          <w:rFonts w:ascii="Arial"/>
          <w:color w:val="231F1F"/>
          <w:spacing w:val="-57"/>
          <w:w w:val="340"/>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spacing w:after="0" w:line="247" w:lineRule="auto"/>
        <w:jc w:val="left"/>
        <w:rPr>
          <w:rFonts w:ascii="Calibri"/>
          <w:sz w:val="11"/>
        </w:rPr>
        <w:sectPr>
          <w:pgSz w:w="8390" w:h="11910"/>
          <w:pgMar w:header="0" w:footer="0" w:top="460" w:bottom="0" w:left="480" w:right="0"/>
          <w:cols w:num="2" w:equalWidth="0">
            <w:col w:w="3594" w:space="82"/>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3664" filled="true" fillcolor="#bfdbcf" stroked="false">
            <v:fill type="solid"/>
            <w10:wrap type="none"/>
          </v:rect>
        </w:pict>
      </w:r>
      <w:r>
        <w:rPr/>
        <w:pict>
          <v:shape style="position:absolute;margin-left:7.751256pt;margin-top:35.804367pt;width:10.4pt;height:78.850pt;mso-position-horizontal-relative:page;mso-position-vertical-relative:page;z-index:368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Duloxetine </w:t>
      </w:r>
      <w:r>
        <w:rPr>
          <w:rFonts w:ascii="Calibri"/>
          <w:color w:val="231F1F"/>
        </w:rPr>
        <w:t>(continued)</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line="244" w:lineRule="auto"/>
        <w:ind w:left="286"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duloxetine given with </w:t>
      </w:r>
      <w:r>
        <w:rPr>
          <w:rFonts w:ascii="Arial"/>
          <w:color w:val="231F1F"/>
          <w:w w:val="355"/>
          <w:position w:val="1"/>
          <w:sz w:val="7"/>
        </w:rPr>
        <w:t>l </w:t>
      </w:r>
      <w:r>
        <w:rPr>
          <w:rFonts w:ascii="Calibri"/>
          <w:color w:val="008356"/>
          <w:w w:val="110"/>
          <w:sz w:val="11"/>
        </w:rPr>
        <w:t>DAPOXETINE </w:t>
      </w:r>
      <w:r>
        <w:rPr>
          <w:color w:val="231F1F"/>
          <w:w w:val="110"/>
        </w:rPr>
        <w:t>(manufacturer of dapoxetine advises duloxetine should not be started until 1 week after stopping dapoxetine, avoid dapoxetine for 2 weeks after stopping duloxetine)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1</w:t>
      </w:r>
      <w:r>
        <w:rPr>
          <w:rFonts w:ascii="Calibri" w:hAnsi="Calibri"/>
          <w:color w:val="231F1F"/>
          <w:w w:val="105"/>
          <w:vertAlign w:val="baseline"/>
        </w:rPr>
        <w:t>-receptor Agonists: </w:t>
      </w:r>
      <w:r>
        <w:rPr>
          <w:color w:val="231F1F"/>
          <w:w w:val="105"/>
          <w:vertAlign w:val="baseline"/>
        </w:rPr>
        <w:t>possible increased serotonergic effects </w:t>
      </w:r>
      <w:r>
        <w:rPr>
          <w:color w:val="231F1F"/>
          <w:w w:val="105"/>
          <w:position w:val="2"/>
          <w:vertAlign w:val="baseline"/>
        </w:rPr>
        <w:t>when duloxetine given with </w:t>
      </w:r>
      <w:r>
        <w:rPr>
          <w:rFonts w:ascii="Calibri" w:hAnsi="Calibri"/>
          <w:color w:val="008356"/>
          <w:w w:val="105"/>
          <w:position w:val="2"/>
          <w:sz w:val="11"/>
          <w:vertAlign w:val="baseline"/>
        </w:rPr>
        <w:t>5HT</w:t>
      </w:r>
      <w:r>
        <w:rPr>
          <w:rFonts w:ascii="Calibri" w:hAnsi="Calibri"/>
          <w:color w:val="008356"/>
          <w:w w:val="105"/>
          <w:position w:val="2"/>
          <w:sz w:val="11"/>
          <w:vertAlign w:val="subscript"/>
        </w:rPr>
        <w:t>1</w:t>
      </w:r>
      <w:r>
        <w:rPr>
          <w:rFonts w:ascii="Calibri" w:hAnsi="Calibri"/>
          <w:color w:val="008356"/>
          <w:w w:val="105"/>
          <w:position w:val="2"/>
          <w:sz w:val="11"/>
          <w:vertAlign w:val="baseline"/>
        </w:rPr>
        <w:t> AGONISTS</w:t>
      </w:r>
    </w:p>
    <w:p>
      <w:pPr>
        <w:pStyle w:val="BodyText"/>
        <w:spacing w:line="131" w:lineRule="exact"/>
        <w:ind w:left="186"/>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possible increased serotonergic</w:t>
      </w:r>
    </w:p>
    <w:p>
      <w:pPr>
        <w:spacing w:line="225" w:lineRule="auto" w:before="0"/>
        <w:ind w:left="286" w:right="0" w:firstLine="0"/>
        <w:jc w:val="left"/>
        <w:rPr>
          <w:rFonts w:ascii="Calibri"/>
          <w:sz w:val="11"/>
        </w:rPr>
      </w:pPr>
      <w:r>
        <w:rPr>
          <w:color w:val="231F1F"/>
          <w:w w:val="110"/>
          <w:position w:val="2"/>
          <w:sz w:val="12"/>
        </w:rPr>
        <w:t>effects when SSRI-related antidepressants given with </w:t>
      </w:r>
      <w:r>
        <w:rPr>
          <w:rFonts w:ascii="Calibri"/>
          <w:color w:val="008356"/>
          <w:w w:val="110"/>
          <w:position w:val="2"/>
          <w:sz w:val="11"/>
        </w:rPr>
        <w:t>5HT</w:t>
      </w:r>
      <w:r>
        <w:rPr>
          <w:rFonts w:ascii="Calibri"/>
          <w:color w:val="008356"/>
          <w:w w:val="110"/>
          <w:position w:val="2"/>
          <w:sz w:val="11"/>
          <w:vertAlign w:val="subscript"/>
        </w:rPr>
        <w:t>3</w:t>
      </w:r>
      <w:r>
        <w:rPr>
          <w:rFonts w:ascii="Calibri"/>
          <w:color w:val="008356"/>
          <w:w w:val="110"/>
          <w:position w:val="2"/>
          <w:sz w:val="11"/>
          <w:vertAlign w:val="baseline"/>
        </w:rPr>
        <w:t> </w:t>
      </w:r>
      <w:r>
        <w:rPr>
          <w:rFonts w:ascii="Calibri"/>
          <w:color w:val="008356"/>
          <w:w w:val="110"/>
          <w:sz w:val="11"/>
          <w:vertAlign w:val="baseline"/>
        </w:rPr>
        <w:t>ANTAGONISTS</w:t>
      </w:r>
    </w:p>
    <w:p>
      <w:pPr>
        <w:pStyle w:val="BodyText"/>
        <w:spacing w:line="244" w:lineRule="auto"/>
        <w:ind w:left="286" w:right="163" w:hanging="100"/>
      </w:pPr>
      <w:r>
        <w:rPr>
          <w:rFonts w:ascii="Arial" w:hAnsi="Arial"/>
          <w:color w:val="231F1F"/>
          <w:w w:val="355"/>
          <w:position w:val="1"/>
          <w:sz w:val="7"/>
        </w:rPr>
        <w:t>l </w:t>
      </w:r>
      <w:r>
        <w:rPr>
          <w:rFonts w:ascii="Calibri" w:hAnsi="Calibri"/>
          <w:color w:val="231F1F"/>
          <w:w w:val="110"/>
        </w:rPr>
        <w:t>Methylthioninium: </w:t>
      </w:r>
      <w:r>
        <w:rPr>
          <w:color w:val="231F1F"/>
          <w:w w:val="110"/>
        </w:rPr>
        <w:t>risk of CNS toxicity when SSRI-related antidepressants given with </w:t>
      </w:r>
      <w:r>
        <w:rPr>
          <w:rFonts w:ascii="Arial" w:hAnsi="Arial"/>
          <w:color w:val="231F1F"/>
          <w:w w:val="355"/>
          <w:position w:val="1"/>
          <w:sz w:val="7"/>
        </w:rPr>
        <w:t>l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w:t>
      </w:r>
      <w:r>
        <w:rPr>
          <w:color w:val="231F1F"/>
          <w:spacing w:val="-5"/>
          <w:w w:val="110"/>
        </w:rPr>
        <w:t>for </w:t>
      </w:r>
      <w:r>
        <w:rPr>
          <w:color w:val="231F1F"/>
          <w:w w:val="110"/>
        </w:rPr>
        <w:t>up to 4 hours after</w:t>
      </w:r>
      <w:r>
        <w:rPr>
          <w:color w:val="231F1F"/>
          <w:spacing w:val="-1"/>
          <w:w w:val="110"/>
        </w:rPr>
        <w:t> </w:t>
      </w:r>
      <w:r>
        <w:rPr>
          <w:color w:val="231F1F"/>
          <w:w w:val="110"/>
        </w:rPr>
        <w:t>administration)</w:t>
      </w:r>
    </w:p>
    <w:p>
      <w:pPr>
        <w:pStyle w:val="BodyText"/>
        <w:spacing w:before="6"/>
        <w:ind w:left="186"/>
        <w:rPr>
          <w:rFonts w:ascii="Trebuchet MS"/>
        </w:rPr>
      </w:pPr>
      <w:r>
        <w:rPr>
          <w:rFonts w:ascii="Trebuchet MS"/>
          <w:color w:val="008356"/>
        </w:rPr>
        <w:t>Dutasteride</w:t>
      </w:r>
    </w:p>
    <w:p>
      <w:pPr>
        <w:spacing w:line="220" w:lineRule="auto" w:before="9"/>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plasma concentration of dutasteride increased by </w:t>
      </w:r>
      <w:r>
        <w:rPr>
          <w:rFonts w:ascii="Calibri" w:hAnsi="Calibri"/>
          <w:color w:val="008356"/>
          <w:w w:val="105"/>
          <w:sz w:val="11"/>
        </w:rPr>
        <w:t>DILTIAZEM </w:t>
      </w:r>
      <w:r>
        <w:rPr>
          <w:color w:val="231F1F"/>
          <w:w w:val="105"/>
          <w:sz w:val="12"/>
        </w:rPr>
        <w:t>and </w:t>
      </w:r>
      <w:r>
        <w:rPr>
          <w:rFonts w:ascii="Calibri" w:hAnsi="Calibri"/>
          <w:color w:val="008356"/>
          <w:w w:val="105"/>
          <w:sz w:val="11"/>
        </w:rPr>
        <w:t>VERAPAMIL</w:t>
      </w:r>
    </w:p>
    <w:p>
      <w:pPr>
        <w:pStyle w:val="BodyText"/>
        <w:spacing w:before="9"/>
        <w:ind w:left="186"/>
      </w:pPr>
      <w:r>
        <w:rPr>
          <w:rFonts w:ascii="Trebuchet MS"/>
          <w:color w:val="008356"/>
          <w:w w:val="105"/>
        </w:rPr>
        <w:t>Dydrogesterone </w:t>
      </w:r>
      <w:r>
        <w:rPr>
          <w:i/>
          <w:color w:val="231F1F"/>
          <w:w w:val="105"/>
        </w:rPr>
        <w:t>see </w:t>
      </w:r>
      <w:r>
        <w:rPr>
          <w:color w:val="231F1F"/>
          <w:w w:val="105"/>
        </w:rPr>
        <w:t>Progestogens</w:t>
      </w:r>
    </w:p>
    <w:p>
      <w:pPr>
        <w:pStyle w:val="BodyText"/>
        <w:spacing w:before="11"/>
        <w:ind w:left="186"/>
        <w:rPr>
          <w:rFonts w:ascii="Trebuchet MS"/>
        </w:rPr>
      </w:pPr>
      <w:r>
        <w:rPr>
          <w:rFonts w:ascii="Trebuchet MS"/>
          <w:color w:val="008356"/>
        </w:rPr>
        <w:t>Efavirenz</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efavirenz reduces plasma concentration of</w:t>
      </w:r>
    </w:p>
    <w:p>
      <w:pPr>
        <w:spacing w:line="130" w:lineRule="exact" w:before="0"/>
        <w:ind w:left="286" w:right="0" w:firstLine="0"/>
        <w:jc w:val="left"/>
        <w:rPr>
          <w:rFonts w:ascii="Calibri"/>
          <w:sz w:val="11"/>
        </w:rPr>
      </w:pPr>
      <w:r>
        <w:rPr>
          <w:rFonts w:ascii="Calibri"/>
          <w:color w:val="008356"/>
          <w:sz w:val="11"/>
        </w:rPr>
        <w:t>METHADONE</w:t>
      </w:r>
    </w:p>
    <w:p>
      <w:pPr>
        <w:pStyle w:val="BodyText"/>
        <w:spacing w:line="242" w:lineRule="auto"/>
        <w:ind w:left="286" w:right="57"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efavirenz reduces plasma concentration of </w:t>
      </w:r>
      <w:r>
        <w:rPr>
          <w:rFonts w:ascii="Calibri" w:hAnsi="Calibri"/>
          <w:color w:val="008356"/>
          <w:w w:val="110"/>
          <w:sz w:val="11"/>
        </w:rPr>
        <w:t>CLARITHROMYCIN</w:t>
      </w:r>
      <w:r>
        <w:rPr>
          <w:color w:val="231F1F"/>
          <w:w w:val="110"/>
        </w:rPr>
        <w:t>, also plasma concentration of active metabolite of clarithromycin increased; efavirenz reduces plasma concentration of </w:t>
      </w:r>
      <w:r>
        <w:rPr>
          <w:rFonts w:ascii="Calibri" w:hAnsi="Calibri"/>
          <w:color w:val="008356"/>
          <w:w w:val="110"/>
          <w:sz w:val="11"/>
        </w:rPr>
        <w:t>RIFABUTIN</w:t>
      </w:r>
      <w:r>
        <w:rPr>
          <w:rFonts w:ascii="Arial" w:hAnsi="Arial"/>
          <w:color w:val="231F1F"/>
          <w:w w:val="110"/>
        </w:rPr>
        <w:t>—</w:t>
      </w:r>
      <w:r>
        <w:rPr>
          <w:color w:val="231F1F"/>
          <w:w w:val="110"/>
        </w:rPr>
        <w:t>increase dose of rifabutin; plasma concentration of efavirenz reduced by </w:t>
      </w:r>
      <w:r>
        <w:rPr>
          <w:rFonts w:ascii="Calibri" w:hAnsi="Calibri"/>
          <w:color w:val="008356"/>
          <w:w w:val="110"/>
          <w:sz w:val="11"/>
        </w:rPr>
        <w:t>RIFAMPICIN</w:t>
      </w:r>
      <w:r>
        <w:rPr>
          <w:rFonts w:ascii="Arial" w:hAnsi="Arial"/>
          <w:color w:val="231F1F"/>
          <w:w w:val="110"/>
        </w:rPr>
        <w:t>—</w:t>
      </w:r>
      <w:r>
        <w:rPr>
          <w:color w:val="231F1F"/>
          <w:w w:val="110"/>
        </w:rPr>
        <w:t>increase dose of efavirenz; efavirenz possibly reduces plasma concentration of </w:t>
      </w:r>
      <w:r>
        <w:rPr>
          <w:rFonts w:ascii="Calibri" w:hAnsi="Calibri"/>
          <w:color w:val="008356"/>
          <w:w w:val="110"/>
          <w:sz w:val="11"/>
        </w:rPr>
        <w:t>BEDAQUILINE</w:t>
      </w:r>
      <w:r>
        <w:rPr>
          <w:rFonts w:ascii="Arial" w:hAnsi="Arial"/>
          <w:color w:val="231F1F"/>
          <w:w w:val="110"/>
        </w:rPr>
        <w:t>—</w:t>
      </w:r>
      <w:r>
        <w:rPr>
          <w:color w:val="231F1F"/>
          <w:w w:val="110"/>
        </w:rPr>
        <w:t>manufacturer of bedaquiline advises avoid concomitant use</w:t>
      </w:r>
    </w:p>
    <w:p>
      <w:pPr>
        <w:pStyle w:val="BodyText"/>
        <w:spacing w:line="237" w:lineRule="auto"/>
        <w:ind w:left="286" w:right="750" w:hanging="100"/>
        <w:rPr>
          <w:rFonts w:ascii="Calibri"/>
          <w:sz w:val="11"/>
        </w:rPr>
      </w:pPr>
      <w:r>
        <w:rPr>
          <w:rFonts w:ascii="Arial"/>
          <w:color w:val="231F1F"/>
          <w:w w:val="295"/>
          <w:position w:val="1"/>
          <w:sz w:val="7"/>
        </w:rPr>
        <w:t>l</w:t>
      </w:r>
      <w:r>
        <w:rPr>
          <w:rFonts w:ascii="Arial"/>
          <w:color w:val="231F1F"/>
          <w:spacing w:val="-45"/>
          <w:w w:val="295"/>
          <w:position w:val="1"/>
          <w:sz w:val="7"/>
        </w:rPr>
        <w:t> </w:t>
      </w:r>
      <w:r>
        <w:rPr>
          <w:rFonts w:ascii="Calibri"/>
          <w:color w:val="231F1F"/>
          <w:w w:val="115"/>
        </w:rPr>
        <w:t>Anticoagulants:</w:t>
      </w:r>
      <w:r>
        <w:rPr>
          <w:rFonts w:ascii="Calibri"/>
          <w:color w:val="231F1F"/>
          <w:spacing w:val="-20"/>
          <w:w w:val="115"/>
        </w:rPr>
        <w:t> </w:t>
      </w:r>
      <w:r>
        <w:rPr>
          <w:color w:val="231F1F"/>
          <w:w w:val="115"/>
        </w:rPr>
        <w:t>efavirenz</w:t>
      </w:r>
      <w:r>
        <w:rPr>
          <w:color w:val="231F1F"/>
          <w:spacing w:val="-25"/>
          <w:w w:val="115"/>
        </w:rPr>
        <w:t> </w:t>
      </w:r>
      <w:r>
        <w:rPr>
          <w:color w:val="231F1F"/>
          <w:w w:val="115"/>
        </w:rPr>
        <w:t>possibly</w:t>
      </w:r>
      <w:r>
        <w:rPr>
          <w:color w:val="231F1F"/>
          <w:spacing w:val="-24"/>
          <w:w w:val="115"/>
        </w:rPr>
        <w:t> </w:t>
      </w:r>
      <w:r>
        <w:rPr>
          <w:color w:val="231F1F"/>
          <w:w w:val="115"/>
        </w:rPr>
        <w:t>affects</w:t>
      </w:r>
      <w:r>
        <w:rPr>
          <w:color w:val="231F1F"/>
          <w:spacing w:val="-24"/>
          <w:w w:val="115"/>
        </w:rPr>
        <w:t>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COUMARINS</w:t>
      </w:r>
    </w:p>
    <w:p>
      <w:pPr>
        <w:pStyle w:val="BodyText"/>
        <w:spacing w:line="144" w:lineRule="exact"/>
        <w:ind w:left="186"/>
      </w:pPr>
      <w:r>
        <w:rPr>
          <w:rFonts w:ascii="Arial"/>
          <w:color w:val="231F1F"/>
          <w:w w:val="355"/>
          <w:position w:val="1"/>
          <w:sz w:val="7"/>
        </w:rPr>
        <w:t>l </w:t>
      </w:r>
      <w:r>
        <w:rPr>
          <w:rFonts w:ascii="Calibri"/>
          <w:color w:val="231F1F"/>
          <w:w w:val="110"/>
        </w:rPr>
        <w:t>Antidepressants: </w:t>
      </w:r>
      <w:r>
        <w:rPr>
          <w:color w:val="231F1F"/>
          <w:w w:val="110"/>
        </w:rPr>
        <w:t>plasma concentration of efavirenz reduced</w:t>
      </w:r>
      <w:r>
        <w:rPr>
          <w:color w:val="231F1F"/>
          <w:spacing w:val="-20"/>
          <w:w w:val="110"/>
        </w:rPr>
        <w:t> </w:t>
      </w:r>
      <w:r>
        <w:rPr>
          <w:color w:val="231F1F"/>
          <w:w w:val="110"/>
        </w:rPr>
        <w:t>by</w:t>
      </w:r>
    </w:p>
    <w:p>
      <w:pPr>
        <w:spacing w:line="140" w:lineRule="exact" w:before="0"/>
        <w:ind w:left="286" w:right="0" w:firstLine="0"/>
        <w:jc w:val="left"/>
        <w:rPr>
          <w:sz w:val="12"/>
        </w:rPr>
      </w:pPr>
      <w:r>
        <w:rPr>
          <w:rFonts w:ascii="Arial" w:hAnsi="Arial"/>
          <w:color w:val="231F1F"/>
          <w:w w:val="355"/>
          <w:position w:val="1"/>
          <w:sz w:val="7"/>
        </w:rPr>
        <w:t>l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rFonts w:ascii="Arial" w:hAnsi="Arial"/>
          <w:color w:val="231F1F"/>
          <w:w w:val="115"/>
          <w:sz w:val="12"/>
        </w:rPr>
        <w:t>—</w:t>
      </w:r>
      <w:r>
        <w:rPr>
          <w:color w:val="231F1F"/>
          <w:w w:val="115"/>
          <w:sz w:val="12"/>
        </w:rPr>
        <w:t>avoid concomitant use</w:t>
      </w:r>
    </w:p>
    <w:p>
      <w:pPr>
        <w:pStyle w:val="BodyText"/>
        <w:spacing w:line="220" w:lineRule="auto" w:before="3"/>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Antiepileptics: </w:t>
      </w:r>
      <w:r>
        <w:rPr>
          <w:color w:val="231F1F"/>
          <w:w w:val="110"/>
        </w:rPr>
        <w:t>plasma concentration of both drugs reduced when efavirenz given with </w:t>
      </w:r>
      <w:r>
        <w:rPr>
          <w:rFonts w:ascii="Calibri" w:hAnsi="Calibri"/>
          <w:color w:val="008356"/>
          <w:w w:val="110"/>
          <w:sz w:val="11"/>
        </w:rPr>
        <w:t>CARBAMAZEPINE</w:t>
      </w:r>
    </w:p>
    <w:p>
      <w:pPr>
        <w:pStyle w:val="BodyText"/>
        <w:spacing w:line="146" w:lineRule="exact" w:before="1"/>
        <w:ind w:left="186"/>
      </w:pPr>
      <w:r>
        <w:rPr>
          <w:rFonts w:ascii="Arial"/>
          <w:color w:val="231F1F"/>
          <w:w w:val="355"/>
          <w:position w:val="1"/>
          <w:sz w:val="7"/>
        </w:rPr>
        <w:t>l </w:t>
      </w:r>
      <w:r>
        <w:rPr>
          <w:rFonts w:ascii="Calibri"/>
          <w:color w:val="231F1F"/>
          <w:w w:val="115"/>
        </w:rPr>
        <w:t>Antifungals: </w:t>
      </w:r>
      <w:r>
        <w:rPr>
          <w:color w:val="231F1F"/>
          <w:w w:val="115"/>
        </w:rPr>
        <w:t>efavirenz reduces plasma concentration of</w:t>
      </w:r>
    </w:p>
    <w:p>
      <w:pPr>
        <w:spacing w:line="141" w:lineRule="exact" w:before="0"/>
        <w:ind w:left="286" w:right="0" w:firstLine="0"/>
        <w:jc w:val="left"/>
        <w:rPr>
          <w:sz w:val="12"/>
        </w:rPr>
      </w:pPr>
      <w:r>
        <w:rPr>
          <w:rFonts w:ascii="Calibri"/>
          <w:color w:val="008356"/>
          <w:spacing w:val="4"/>
          <w:w w:val="110"/>
          <w:sz w:val="11"/>
        </w:rPr>
        <w:t>ITRACONAZOLE</w:t>
      </w:r>
      <w:r>
        <w:rPr>
          <w:color w:val="231F1F"/>
          <w:spacing w:val="4"/>
          <w:w w:val="110"/>
          <w:sz w:val="12"/>
        </w:rPr>
        <w:t>, </w:t>
      </w:r>
      <w:r>
        <w:rPr>
          <w:rFonts w:ascii="Arial"/>
          <w:color w:val="231F1F"/>
          <w:w w:val="355"/>
          <w:position w:val="1"/>
          <w:sz w:val="7"/>
        </w:rPr>
        <w:t>l </w:t>
      </w:r>
      <w:r>
        <w:rPr>
          <w:rFonts w:ascii="Calibri"/>
          <w:color w:val="008356"/>
          <w:spacing w:val="4"/>
          <w:w w:val="110"/>
          <w:sz w:val="11"/>
        </w:rPr>
        <w:t>KETOCONAZOLE </w:t>
      </w:r>
      <w:r>
        <w:rPr>
          <w:color w:val="231F1F"/>
          <w:w w:val="110"/>
          <w:sz w:val="12"/>
        </w:rPr>
        <w:t>and </w:t>
      </w:r>
      <w:r>
        <w:rPr>
          <w:rFonts w:ascii="Arial"/>
          <w:color w:val="231F1F"/>
          <w:w w:val="355"/>
          <w:position w:val="1"/>
          <w:sz w:val="7"/>
        </w:rPr>
        <w:t>l </w:t>
      </w:r>
      <w:r>
        <w:rPr>
          <w:rFonts w:ascii="Calibri"/>
          <w:color w:val="008356"/>
          <w:spacing w:val="4"/>
          <w:w w:val="110"/>
          <w:sz w:val="11"/>
        </w:rPr>
        <w:t>POSACONAZOLE</w:t>
      </w:r>
      <w:r>
        <w:rPr>
          <w:color w:val="231F1F"/>
          <w:spacing w:val="4"/>
          <w:w w:val="110"/>
          <w:sz w:val="12"/>
        </w:rPr>
        <w:t>;</w:t>
      </w:r>
    </w:p>
    <w:p>
      <w:pPr>
        <w:pStyle w:val="BodyText"/>
        <w:spacing w:line="247" w:lineRule="auto" w:before="2"/>
        <w:ind w:left="286" w:right="175"/>
      </w:pPr>
      <w:r>
        <w:rPr>
          <w:color w:val="231F1F"/>
          <w:w w:val="105"/>
        </w:rPr>
        <w:t>efavirenz reduces plasma concentration of </w:t>
      </w:r>
      <w:r>
        <w:rPr>
          <w:rFonts w:ascii="Arial" w:hAnsi="Arial"/>
          <w:color w:val="231F1F"/>
          <w:w w:val="355"/>
          <w:position w:val="1"/>
          <w:sz w:val="7"/>
        </w:rPr>
        <w:t>l </w:t>
      </w:r>
      <w:r>
        <w:rPr>
          <w:rFonts w:ascii="Calibri" w:hAnsi="Calibri"/>
          <w:color w:val="008356"/>
          <w:w w:val="105"/>
          <w:sz w:val="11"/>
        </w:rPr>
        <w:t>VORICONAZOLE</w:t>
      </w:r>
      <w:r>
        <w:rPr>
          <w:color w:val="231F1F"/>
          <w:w w:val="105"/>
        </w:rPr>
        <w:t>, also plasma concentration of efavirenz increased (increase voriconazole dose and reduce efavirenz dose); efavirenz possibly reduces plasma concentration of </w:t>
      </w:r>
      <w:r>
        <w:rPr>
          <w:rFonts w:ascii="Calibri" w:hAnsi="Calibri"/>
          <w:color w:val="008356"/>
          <w:w w:val="105"/>
          <w:sz w:val="11"/>
        </w:rPr>
        <w:t>CASPOFUNGIN</w:t>
      </w:r>
      <w:r>
        <w:rPr>
          <w:rFonts w:ascii="Arial" w:hAnsi="Arial"/>
          <w:color w:val="231F1F"/>
          <w:w w:val="105"/>
        </w:rPr>
        <w:t>— </w:t>
      </w:r>
      <w:r>
        <w:rPr>
          <w:color w:val="231F1F"/>
          <w:w w:val="105"/>
        </w:rPr>
        <w:t>consider increasing dose of caspofungin</w:t>
      </w:r>
    </w:p>
    <w:p>
      <w:pPr>
        <w:pStyle w:val="BodyText"/>
        <w:spacing w:line="140" w:lineRule="exact"/>
        <w:ind w:left="186"/>
      </w:pPr>
      <w:r>
        <w:rPr>
          <w:rFonts w:ascii="Arial"/>
          <w:color w:val="231F1F"/>
          <w:w w:val="355"/>
          <w:position w:val="1"/>
          <w:sz w:val="7"/>
        </w:rPr>
        <w:t>l </w:t>
      </w:r>
      <w:r>
        <w:rPr>
          <w:rFonts w:ascii="Calibri"/>
          <w:color w:val="231F1F"/>
          <w:w w:val="115"/>
        </w:rPr>
        <w:t>Antimalarials: </w:t>
      </w:r>
      <w:r>
        <w:rPr>
          <w:color w:val="231F1F"/>
          <w:w w:val="115"/>
        </w:rPr>
        <w:t>efavirenz reduces plasma concentration of</w:t>
      </w:r>
    </w:p>
    <w:p>
      <w:pPr>
        <w:spacing w:before="0"/>
        <w:ind w:left="286" w:right="0" w:firstLine="0"/>
        <w:jc w:val="left"/>
        <w:rPr>
          <w:rFonts w:ascii="Calibri"/>
          <w:sz w:val="11"/>
        </w:rPr>
      </w:pPr>
      <w:r>
        <w:rPr>
          <w:rFonts w:ascii="Arial"/>
          <w:color w:val="231F1F"/>
          <w:w w:val="170"/>
          <w:position w:val="1"/>
          <w:sz w:val="7"/>
        </w:rPr>
        <w:t>l </w:t>
      </w:r>
      <w:r>
        <w:rPr>
          <w:rFonts w:ascii="Calibri"/>
          <w:color w:val="008356"/>
          <w:w w:val="110"/>
          <w:sz w:val="11"/>
        </w:rPr>
        <w:t>ARTEMETHER WITH LUMEFANTRINE</w:t>
      </w:r>
      <w:r>
        <w:rPr>
          <w:color w:val="231F1F"/>
          <w:w w:val="110"/>
          <w:sz w:val="12"/>
        </w:rPr>
        <w:t>; efavirenz possibly affects plasma concentration of </w:t>
      </w:r>
      <w:r>
        <w:rPr>
          <w:rFonts w:ascii="Calibri"/>
          <w:color w:val="008356"/>
          <w:w w:val="110"/>
          <w:sz w:val="11"/>
        </w:rPr>
        <w:t>PROGUANIL</w:t>
      </w:r>
    </w:p>
    <w:p>
      <w:pPr>
        <w:pStyle w:val="BodyText"/>
        <w:spacing w:line="244" w:lineRule="auto"/>
        <w:ind w:left="286" w:hanging="100"/>
      </w:pPr>
      <w:r>
        <w:rPr>
          <w:rFonts w:ascii="Arial" w:hAnsi="Arial"/>
          <w:color w:val="231F1F"/>
          <w:w w:val="355"/>
          <w:position w:val="1"/>
          <w:sz w:val="7"/>
        </w:rPr>
        <w:t>l </w:t>
      </w:r>
      <w:r>
        <w:rPr>
          <w:rFonts w:ascii="Calibri" w:hAnsi="Calibri"/>
          <w:color w:val="231F1F"/>
          <w:w w:val="115"/>
        </w:rPr>
        <w:t>Antipsychotics: </w:t>
      </w:r>
      <w:r>
        <w:rPr>
          <w:color w:val="231F1F"/>
          <w:w w:val="115"/>
        </w:rPr>
        <w:t>efavirenz possibly reduces plasma concentration of </w:t>
      </w:r>
      <w:r>
        <w:rPr>
          <w:rFonts w:ascii="Arial" w:hAnsi="Arial"/>
          <w:color w:val="231F1F"/>
          <w:w w:val="355"/>
          <w:position w:val="1"/>
          <w:sz w:val="7"/>
        </w:rPr>
        <w:t>l </w:t>
      </w:r>
      <w:r>
        <w:rPr>
          <w:rFonts w:ascii="Calibri" w:hAnsi="Calibri"/>
          <w:color w:val="008356"/>
          <w:spacing w:val="4"/>
          <w:w w:val="115"/>
          <w:sz w:val="11"/>
        </w:rPr>
        <w:t>ARIPIPRAZOLE </w:t>
      </w:r>
      <w:r>
        <w:rPr>
          <w:color w:val="231F1F"/>
          <w:w w:val="115"/>
        </w:rPr>
        <w:t>(avoid concomitant use or consider increasing the dose of aripiprazole</w:t>
      </w:r>
      <w:r>
        <w:rPr>
          <w:rFonts w:ascii="Arial" w:hAnsi="Arial"/>
          <w:color w:val="231F1F"/>
          <w:w w:val="115"/>
        </w:rPr>
        <w:t>—</w:t>
      </w:r>
      <w:r>
        <w:rPr>
          <w:color w:val="231F1F"/>
          <w:w w:val="115"/>
        </w:rPr>
        <w:t>consult aripiprazole product literature); efavirenz possibly increases plasma concentration of </w:t>
      </w:r>
      <w:r>
        <w:rPr>
          <w:rFonts w:ascii="Arial" w:hAnsi="Arial"/>
          <w:color w:val="231F1F"/>
          <w:w w:val="355"/>
          <w:position w:val="1"/>
          <w:sz w:val="7"/>
        </w:rPr>
        <w:t>l </w:t>
      </w:r>
      <w:r>
        <w:rPr>
          <w:rFonts w:ascii="Calibri" w:hAnsi="Calibri"/>
          <w:color w:val="008356"/>
          <w:spacing w:val="4"/>
          <w:w w:val="115"/>
          <w:sz w:val="11"/>
        </w:rPr>
        <w:t>PIMOZIDE </w:t>
      </w:r>
      <w:r>
        <w:rPr>
          <w:color w:val="231F1F"/>
          <w:w w:val="115"/>
        </w:rPr>
        <w:t>(increased risk of ventricular arrhythmias</w:t>
      </w:r>
      <w:r>
        <w:rPr>
          <w:rFonts w:ascii="Arial" w:hAnsi="Arial"/>
          <w:color w:val="231F1F"/>
          <w:w w:val="115"/>
        </w:rPr>
        <w:t>—</w:t>
      </w:r>
      <w:r>
        <w:rPr>
          <w:color w:val="231F1F"/>
          <w:w w:val="115"/>
        </w:rPr>
        <w:t>avoid concomitant use)</w:t>
      </w:r>
    </w:p>
    <w:p>
      <w:pPr>
        <w:pStyle w:val="BodyText"/>
        <w:ind w:left="286" w:right="80" w:hanging="100"/>
        <w:jc w:val="both"/>
      </w:pPr>
      <w:r>
        <w:rPr>
          <w:rFonts w:ascii="Arial"/>
          <w:color w:val="231F1F"/>
          <w:w w:val="355"/>
          <w:position w:val="1"/>
          <w:sz w:val="7"/>
        </w:rPr>
        <w:t>l </w:t>
      </w:r>
      <w:r>
        <w:rPr>
          <w:rFonts w:ascii="Calibri"/>
          <w:color w:val="231F1F"/>
          <w:w w:val="110"/>
        </w:rPr>
        <w:t>Antivirals: </w:t>
      </w:r>
      <w:r>
        <w:rPr>
          <w:color w:val="231F1F"/>
          <w:w w:val="110"/>
        </w:rPr>
        <w:t>avoidance of efavirenz advised by manufacturer </w:t>
      </w:r>
      <w:r>
        <w:rPr>
          <w:color w:val="231F1F"/>
          <w:spacing w:val="-8"/>
          <w:w w:val="110"/>
        </w:rPr>
        <w:t>of </w:t>
      </w:r>
      <w:r>
        <w:rPr>
          <w:rFonts w:ascii="Arial"/>
          <w:color w:val="231F1F"/>
          <w:w w:val="355"/>
          <w:position w:val="1"/>
          <w:sz w:val="7"/>
        </w:rPr>
        <w:t>l </w:t>
      </w:r>
      <w:r>
        <w:rPr>
          <w:rFonts w:ascii="Calibri"/>
          <w:color w:val="008356"/>
          <w:spacing w:val="2"/>
          <w:w w:val="110"/>
          <w:sz w:val="11"/>
        </w:rPr>
        <w:t>ATAZANAVIR </w:t>
      </w:r>
      <w:r>
        <w:rPr>
          <w:color w:val="231F1F"/>
          <w:w w:val="110"/>
        </w:rPr>
        <w:t>(plasma concentration of atazanavir reduced); efavirenz reduces the plasma concentration</w:t>
      </w:r>
      <w:r>
        <w:rPr>
          <w:color w:val="231F1F"/>
          <w:spacing w:val="5"/>
          <w:w w:val="110"/>
        </w:rPr>
        <w:t> </w:t>
      </w:r>
      <w:r>
        <w:rPr>
          <w:color w:val="231F1F"/>
          <w:w w:val="110"/>
        </w:rPr>
        <w:t>of</w:t>
      </w:r>
    </w:p>
    <w:p>
      <w:pPr>
        <w:pStyle w:val="BodyText"/>
        <w:spacing w:line="244" w:lineRule="auto" w:before="3"/>
        <w:ind w:left="286" w:right="37"/>
      </w:pPr>
      <w:r>
        <w:rPr>
          <w:rFonts w:ascii="Arial" w:hAnsi="Arial"/>
          <w:color w:val="231F1F"/>
          <w:w w:val="355"/>
          <w:position w:val="1"/>
          <w:sz w:val="7"/>
        </w:rPr>
        <w:t>l </w:t>
      </w:r>
      <w:r>
        <w:rPr>
          <w:rFonts w:ascii="Calibri" w:hAnsi="Calibri"/>
          <w:color w:val="008356"/>
          <w:spacing w:val="2"/>
          <w:w w:val="115"/>
          <w:sz w:val="11"/>
        </w:rPr>
        <w:t>DACLATASVIR</w:t>
      </w:r>
      <w:r>
        <w:rPr>
          <w:rFonts w:ascii="Arial" w:hAnsi="Arial"/>
          <w:color w:val="231F1F"/>
          <w:spacing w:val="2"/>
          <w:w w:val="115"/>
        </w:rPr>
        <w:t>—</w:t>
      </w:r>
      <w:r>
        <w:rPr>
          <w:color w:val="231F1F"/>
          <w:spacing w:val="2"/>
          <w:w w:val="115"/>
        </w:rPr>
        <w:t>increase </w:t>
      </w:r>
      <w:r>
        <w:rPr>
          <w:color w:val="231F1F"/>
          <w:w w:val="115"/>
        </w:rPr>
        <w:t>dose of daclatasvir (see under Daclatasvir, p. 544); efavirenz reduces plasma</w:t>
      </w:r>
      <w:r>
        <w:rPr>
          <w:color w:val="231F1F"/>
          <w:spacing w:val="-16"/>
          <w:w w:val="115"/>
        </w:rPr>
        <w:t> </w:t>
      </w:r>
      <w:r>
        <w:rPr>
          <w:color w:val="231F1F"/>
          <w:spacing w:val="-2"/>
          <w:w w:val="115"/>
        </w:rPr>
        <w:t>concentration </w:t>
      </w:r>
      <w:r>
        <w:rPr>
          <w:color w:val="231F1F"/>
          <w:w w:val="115"/>
        </w:rPr>
        <w:t>of </w:t>
      </w:r>
      <w:r>
        <w:rPr>
          <w:rFonts w:ascii="Arial" w:hAnsi="Arial"/>
          <w:color w:val="231F1F"/>
          <w:w w:val="355"/>
          <w:position w:val="1"/>
          <w:sz w:val="7"/>
        </w:rPr>
        <w:t>l </w:t>
      </w:r>
      <w:r>
        <w:rPr>
          <w:rFonts w:ascii="Calibri" w:hAnsi="Calibri"/>
          <w:color w:val="008356"/>
          <w:spacing w:val="3"/>
          <w:w w:val="115"/>
          <w:sz w:val="11"/>
        </w:rPr>
        <w:t>DARUNAVIR </w:t>
      </w:r>
      <w:r>
        <w:rPr>
          <w:color w:val="231F1F"/>
          <w:w w:val="115"/>
        </w:rPr>
        <w:t>(adjust dose</w:t>
      </w:r>
      <w:r>
        <w:rPr>
          <w:rFonts w:ascii="Arial" w:hAnsi="Arial"/>
          <w:color w:val="231F1F"/>
          <w:w w:val="115"/>
        </w:rPr>
        <w:t>—</w:t>
      </w:r>
      <w:r>
        <w:rPr>
          <w:color w:val="231F1F"/>
          <w:w w:val="115"/>
        </w:rPr>
        <w:t>consult product literature); efavirenz reduces the plasma concentration</w:t>
      </w:r>
      <w:r>
        <w:rPr>
          <w:color w:val="231F1F"/>
          <w:spacing w:val="-20"/>
          <w:w w:val="115"/>
        </w:rPr>
        <w:t> </w:t>
      </w:r>
      <w:r>
        <w:rPr>
          <w:color w:val="231F1F"/>
          <w:w w:val="115"/>
        </w:rPr>
        <w:t>of</w:t>
      </w:r>
    </w:p>
    <w:p>
      <w:pPr>
        <w:pStyle w:val="BodyText"/>
        <w:spacing w:line="242" w:lineRule="auto" w:before="3"/>
        <w:ind w:left="286"/>
      </w:pPr>
      <w:r>
        <w:rPr>
          <w:rFonts w:ascii="Arial"/>
          <w:color w:val="231F1F"/>
          <w:w w:val="355"/>
          <w:position w:val="1"/>
          <w:sz w:val="7"/>
        </w:rPr>
        <w:t>l </w:t>
      </w:r>
      <w:r>
        <w:rPr>
          <w:rFonts w:ascii="Calibri"/>
          <w:color w:val="008356"/>
          <w:spacing w:val="4"/>
          <w:w w:val="110"/>
          <w:sz w:val="11"/>
        </w:rPr>
        <w:t>DOLUTEGRAVIR </w:t>
      </w:r>
      <w:r>
        <w:rPr>
          <w:color w:val="231F1F"/>
          <w:w w:val="110"/>
        </w:rPr>
        <w:t>(see under Dolutegravir, p. 557); avoidance of efavirenz advised by manufacturer of </w:t>
      </w:r>
      <w:r>
        <w:rPr>
          <w:rFonts w:ascii="Calibri"/>
          <w:color w:val="008356"/>
          <w:spacing w:val="3"/>
          <w:w w:val="110"/>
          <w:sz w:val="11"/>
        </w:rPr>
        <w:t>ELVITEGRAVIR</w:t>
      </w:r>
      <w:r>
        <w:rPr>
          <w:color w:val="231F1F"/>
          <w:spacing w:val="3"/>
          <w:w w:val="110"/>
        </w:rPr>
        <w:t>; </w:t>
      </w:r>
      <w:r>
        <w:rPr>
          <w:color w:val="231F1F"/>
          <w:w w:val="110"/>
        </w:rPr>
        <w:t>efavirenz possibly reduces plasma concentration of</w:t>
      </w:r>
    </w:p>
    <w:p>
      <w:pPr>
        <w:pStyle w:val="BodyText"/>
        <w:spacing w:line="244" w:lineRule="auto" w:before="5"/>
        <w:ind w:left="286" w:right="33"/>
      </w:pPr>
      <w:r>
        <w:rPr>
          <w:rFonts w:ascii="Arial" w:hAnsi="Arial"/>
          <w:color w:val="231F1F"/>
          <w:w w:val="355"/>
          <w:position w:val="1"/>
          <w:sz w:val="7"/>
        </w:rPr>
        <w:t>l </w:t>
      </w:r>
      <w:r>
        <w:rPr>
          <w:rFonts w:ascii="Calibri" w:hAnsi="Calibri"/>
          <w:color w:val="008356"/>
          <w:spacing w:val="2"/>
          <w:w w:val="115"/>
          <w:sz w:val="11"/>
        </w:rPr>
        <w:t>ETRAVIRINE</w:t>
      </w:r>
      <w:r>
        <w:rPr>
          <w:rFonts w:ascii="Arial" w:hAnsi="Arial"/>
          <w:color w:val="231F1F"/>
          <w:spacing w:val="2"/>
          <w:w w:val="115"/>
        </w:rPr>
        <w:t>—</w:t>
      </w:r>
      <w:r>
        <w:rPr>
          <w:color w:val="231F1F"/>
          <w:spacing w:val="2"/>
          <w:w w:val="115"/>
        </w:rPr>
        <w:t>avoid </w:t>
      </w:r>
      <w:r>
        <w:rPr>
          <w:color w:val="231F1F"/>
          <w:w w:val="115"/>
        </w:rPr>
        <w:t>concomitant use; efavirenz reduces </w:t>
      </w:r>
      <w:r>
        <w:rPr>
          <w:color w:val="231F1F"/>
          <w:w w:val="110"/>
        </w:rPr>
        <w:t>plasma concentration of </w:t>
      </w:r>
      <w:r>
        <w:rPr>
          <w:rFonts w:ascii="Calibri" w:hAnsi="Calibri"/>
          <w:color w:val="008356"/>
          <w:spacing w:val="3"/>
          <w:w w:val="110"/>
          <w:sz w:val="11"/>
        </w:rPr>
        <w:t>INDINAVIR </w:t>
      </w:r>
      <w:r>
        <w:rPr>
          <w:color w:val="231F1F"/>
          <w:w w:val="110"/>
        </w:rPr>
        <w:t>and </w:t>
      </w:r>
      <w:r>
        <w:rPr>
          <w:rFonts w:ascii="Calibri" w:hAnsi="Calibri"/>
          <w:color w:val="008356"/>
          <w:spacing w:val="4"/>
          <w:w w:val="110"/>
          <w:sz w:val="11"/>
        </w:rPr>
        <w:t>SIMEPREVIR</w:t>
      </w:r>
      <w:r>
        <w:rPr>
          <w:color w:val="231F1F"/>
          <w:spacing w:val="4"/>
          <w:w w:val="110"/>
        </w:rPr>
        <w:t>;</w:t>
      </w:r>
      <w:r>
        <w:rPr>
          <w:color w:val="231F1F"/>
          <w:spacing w:val="-10"/>
          <w:w w:val="110"/>
        </w:rPr>
        <w:t> </w:t>
      </w:r>
      <w:r>
        <w:rPr>
          <w:color w:val="231F1F"/>
          <w:w w:val="110"/>
        </w:rPr>
        <w:t>efavirenz </w:t>
      </w:r>
      <w:r>
        <w:rPr>
          <w:color w:val="231F1F"/>
          <w:w w:val="115"/>
        </w:rPr>
        <w:t>reduces plasma concentration of </w:t>
      </w:r>
      <w:r>
        <w:rPr>
          <w:rFonts w:ascii="Arial" w:hAnsi="Arial"/>
          <w:color w:val="231F1F"/>
          <w:w w:val="355"/>
          <w:position w:val="1"/>
          <w:sz w:val="7"/>
        </w:rPr>
        <w:t>l </w:t>
      </w:r>
      <w:r>
        <w:rPr>
          <w:rFonts w:ascii="Calibri" w:hAnsi="Calibri"/>
          <w:color w:val="008356"/>
          <w:spacing w:val="2"/>
          <w:w w:val="115"/>
          <w:sz w:val="11"/>
        </w:rPr>
        <w:t>LOPINAVIR</w:t>
      </w:r>
      <w:r>
        <w:rPr>
          <w:rFonts w:ascii="Arial" w:hAnsi="Arial"/>
          <w:color w:val="231F1F"/>
          <w:spacing w:val="2"/>
          <w:w w:val="115"/>
        </w:rPr>
        <w:t>—</w:t>
      </w:r>
      <w:r>
        <w:rPr>
          <w:color w:val="231F1F"/>
          <w:spacing w:val="2"/>
          <w:w w:val="115"/>
        </w:rPr>
        <w:t>consider </w:t>
      </w:r>
      <w:r>
        <w:rPr>
          <w:color w:val="231F1F"/>
          <w:w w:val="115"/>
        </w:rPr>
        <w:t>increasing dose of lopinavir; efavirenz possibly reduces plasma</w:t>
      </w:r>
      <w:r>
        <w:rPr>
          <w:color w:val="231F1F"/>
          <w:spacing w:val="-18"/>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MARAVIROC</w:t>
      </w:r>
      <w:r>
        <w:rPr>
          <w:rFonts w:ascii="Arial" w:hAnsi="Arial"/>
          <w:color w:val="231F1F"/>
          <w:spacing w:val="2"/>
          <w:w w:val="115"/>
        </w:rPr>
        <w:t>—</w:t>
      </w:r>
      <w:r>
        <w:rPr>
          <w:color w:val="231F1F"/>
          <w:spacing w:val="2"/>
          <w:w w:val="115"/>
        </w:rPr>
        <w:t>consider</w:t>
      </w:r>
      <w:r>
        <w:rPr>
          <w:color w:val="231F1F"/>
          <w:spacing w:val="-18"/>
          <w:w w:val="115"/>
        </w:rPr>
        <w:t> </w:t>
      </w:r>
      <w:r>
        <w:rPr>
          <w:color w:val="231F1F"/>
          <w:w w:val="115"/>
        </w:rPr>
        <w:t>increasing dose of maraviroc; plasma concentration of efavirenz reduced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NEVIRAPINE</w:t>
      </w:r>
      <w:r>
        <w:rPr>
          <w:rFonts w:ascii="Arial" w:hAnsi="Arial"/>
          <w:color w:val="231F1F"/>
          <w:spacing w:val="3"/>
          <w:w w:val="115"/>
        </w:rPr>
        <w:t>—</w:t>
      </w:r>
      <w:r>
        <w:rPr>
          <w:color w:val="231F1F"/>
          <w:spacing w:val="3"/>
          <w:w w:val="115"/>
        </w:rPr>
        <w:t>avoid</w:t>
      </w:r>
      <w:r>
        <w:rPr>
          <w:color w:val="231F1F"/>
          <w:spacing w:val="-20"/>
          <w:w w:val="115"/>
        </w:rPr>
        <w:t> </w:t>
      </w:r>
      <w:r>
        <w:rPr>
          <w:color w:val="231F1F"/>
          <w:w w:val="115"/>
        </w:rPr>
        <w:t>concomitant</w:t>
      </w:r>
      <w:r>
        <w:rPr>
          <w:color w:val="231F1F"/>
          <w:spacing w:val="-20"/>
          <w:w w:val="115"/>
        </w:rPr>
        <w:t> </w:t>
      </w:r>
      <w:r>
        <w:rPr>
          <w:color w:val="231F1F"/>
          <w:w w:val="115"/>
        </w:rPr>
        <w:t>use;</w:t>
      </w:r>
      <w:r>
        <w:rPr>
          <w:color w:val="231F1F"/>
          <w:spacing w:val="-19"/>
          <w:w w:val="115"/>
        </w:rPr>
        <w:t> </w:t>
      </w:r>
      <w:r>
        <w:rPr>
          <w:color w:val="231F1F"/>
          <w:w w:val="115"/>
        </w:rPr>
        <w:t>toxicity</w:t>
      </w:r>
      <w:r>
        <w:rPr>
          <w:color w:val="231F1F"/>
          <w:spacing w:val="-20"/>
          <w:w w:val="115"/>
        </w:rPr>
        <w:t> </w:t>
      </w:r>
      <w:r>
        <w:rPr>
          <w:color w:val="231F1F"/>
          <w:w w:val="115"/>
        </w:rPr>
        <w:t>of efavirenz increased by </w:t>
      </w:r>
      <w:r>
        <w:rPr>
          <w:rFonts w:ascii="Arial" w:hAnsi="Arial"/>
          <w:color w:val="231F1F"/>
          <w:w w:val="355"/>
          <w:position w:val="1"/>
          <w:sz w:val="7"/>
        </w:rPr>
        <w:t>l </w:t>
      </w:r>
      <w:r>
        <w:rPr>
          <w:rFonts w:ascii="Calibri" w:hAnsi="Calibri"/>
          <w:color w:val="008356"/>
          <w:spacing w:val="3"/>
          <w:w w:val="115"/>
          <w:sz w:val="11"/>
        </w:rPr>
        <w:t>RITONAVIR</w:t>
      </w:r>
      <w:r>
        <w:rPr>
          <w:color w:val="231F1F"/>
          <w:spacing w:val="3"/>
          <w:w w:val="115"/>
        </w:rPr>
        <w:t>, </w:t>
      </w:r>
      <w:r>
        <w:rPr>
          <w:color w:val="231F1F"/>
          <w:w w:val="115"/>
        </w:rPr>
        <w:t>monitor liver function tests</w:t>
      </w:r>
      <w:r>
        <w:rPr>
          <w:color w:val="231F1F"/>
          <w:spacing w:val="-10"/>
          <w:w w:val="115"/>
        </w:rPr>
        <w:t> </w:t>
      </w:r>
      <w:r>
        <w:rPr>
          <w:rFonts w:ascii="Arial" w:hAnsi="Arial"/>
          <w:color w:val="231F1F"/>
          <w:w w:val="115"/>
        </w:rPr>
        <w:t>—</w:t>
      </w:r>
      <w:r>
        <w:rPr>
          <w:color w:val="231F1F"/>
          <w:w w:val="115"/>
        </w:rPr>
        <w:t>manufacturer</w:t>
      </w:r>
      <w:r>
        <w:rPr>
          <w:color w:val="231F1F"/>
          <w:spacing w:val="-11"/>
          <w:w w:val="115"/>
        </w:rPr>
        <w:t> </w:t>
      </w:r>
      <w:r>
        <w:rPr>
          <w:color w:val="231F1F"/>
          <w:w w:val="115"/>
        </w:rPr>
        <w:t>of</w:t>
      </w:r>
      <w:r>
        <w:rPr>
          <w:color w:val="231F1F"/>
          <w:spacing w:val="-9"/>
          <w:w w:val="115"/>
        </w:rPr>
        <w:t> </w:t>
      </w:r>
      <w:r>
        <w:rPr>
          <w:i/>
          <w:color w:val="231F1F"/>
          <w:w w:val="115"/>
        </w:rPr>
        <w:t>Atripla</w:t>
      </w:r>
      <w:r>
        <w:rPr>
          <w:i/>
          <w:color w:val="231F1F"/>
          <w:spacing w:val="-19"/>
          <w:w w:val="115"/>
        </w:rPr>
        <w:t> </w:t>
      </w:r>
      <w:r>
        <w:rPr>
          <w:rFonts w:ascii="Arial" w:hAnsi="Arial"/>
          <w:color w:val="231F1F"/>
          <w:w w:val="115"/>
          <w:vertAlign w:val="superscript"/>
        </w:rPr>
        <w:t>®</w:t>
      </w:r>
      <w:r>
        <w:rPr>
          <w:rFonts w:ascii="Arial" w:hAnsi="Arial"/>
          <w:color w:val="231F1F"/>
          <w:spacing w:val="-14"/>
          <w:w w:val="115"/>
          <w:vertAlign w:val="baseline"/>
        </w:rPr>
        <w:t> </w:t>
      </w:r>
      <w:r>
        <w:rPr>
          <w:color w:val="231F1F"/>
          <w:w w:val="115"/>
          <w:vertAlign w:val="baseline"/>
        </w:rPr>
        <w:t>advises</w:t>
      </w:r>
      <w:r>
        <w:rPr>
          <w:color w:val="231F1F"/>
          <w:spacing w:val="-9"/>
          <w:w w:val="115"/>
          <w:vertAlign w:val="baseline"/>
        </w:rPr>
        <w:t> </w:t>
      </w:r>
      <w:r>
        <w:rPr>
          <w:color w:val="231F1F"/>
          <w:w w:val="115"/>
          <w:vertAlign w:val="baseline"/>
        </w:rPr>
        <w:t>avoid</w:t>
      </w:r>
      <w:r>
        <w:rPr>
          <w:color w:val="231F1F"/>
          <w:spacing w:val="-10"/>
          <w:w w:val="115"/>
          <w:vertAlign w:val="baseline"/>
        </w:rPr>
        <w:t> </w:t>
      </w:r>
      <w:r>
        <w:rPr>
          <w:color w:val="231F1F"/>
          <w:w w:val="115"/>
          <w:vertAlign w:val="baseline"/>
        </w:rPr>
        <w:t>concomitant use</w:t>
      </w:r>
      <w:r>
        <w:rPr>
          <w:color w:val="231F1F"/>
          <w:spacing w:val="-11"/>
          <w:w w:val="115"/>
          <w:vertAlign w:val="baseline"/>
        </w:rPr>
        <w:t> </w:t>
      </w:r>
      <w:r>
        <w:rPr>
          <w:color w:val="231F1F"/>
          <w:w w:val="115"/>
          <w:vertAlign w:val="baseline"/>
        </w:rPr>
        <w:t>with</w:t>
      </w:r>
      <w:r>
        <w:rPr>
          <w:color w:val="231F1F"/>
          <w:spacing w:val="-11"/>
          <w:w w:val="115"/>
          <w:vertAlign w:val="baseline"/>
        </w:rPr>
        <w:t> </w:t>
      </w:r>
      <w:r>
        <w:rPr>
          <w:i/>
          <w:color w:val="231F1F"/>
          <w:w w:val="115"/>
          <w:vertAlign w:val="baseline"/>
        </w:rPr>
        <w:t>high-dose</w:t>
      </w:r>
      <w:r>
        <w:rPr>
          <w:i/>
          <w:color w:val="231F1F"/>
          <w:spacing w:val="-11"/>
          <w:w w:val="115"/>
          <w:vertAlign w:val="baseline"/>
        </w:rPr>
        <w:t> </w:t>
      </w:r>
      <w:r>
        <w:rPr>
          <w:color w:val="231F1F"/>
          <w:w w:val="115"/>
          <w:vertAlign w:val="baseline"/>
        </w:rPr>
        <w:t>ritonavir;</w:t>
      </w:r>
      <w:r>
        <w:rPr>
          <w:color w:val="231F1F"/>
          <w:spacing w:val="-11"/>
          <w:w w:val="115"/>
          <w:vertAlign w:val="baseline"/>
        </w:rPr>
        <w:t> </w:t>
      </w:r>
      <w:r>
        <w:rPr>
          <w:color w:val="231F1F"/>
          <w:w w:val="115"/>
          <w:vertAlign w:val="baseline"/>
        </w:rPr>
        <w:t>efavirenz</w:t>
      </w:r>
      <w:r>
        <w:rPr>
          <w:color w:val="231F1F"/>
          <w:spacing w:val="-11"/>
          <w:w w:val="115"/>
          <w:vertAlign w:val="baseline"/>
        </w:rPr>
        <w:t> </w:t>
      </w:r>
      <w:r>
        <w:rPr>
          <w:color w:val="231F1F"/>
          <w:w w:val="115"/>
          <w:vertAlign w:val="baseline"/>
        </w:rPr>
        <w:t>significantly</w:t>
      </w:r>
      <w:r>
        <w:rPr>
          <w:color w:val="231F1F"/>
          <w:spacing w:val="-12"/>
          <w:w w:val="115"/>
          <w:vertAlign w:val="baseline"/>
        </w:rPr>
        <w:t> </w:t>
      </w:r>
      <w:r>
        <w:rPr>
          <w:color w:val="231F1F"/>
          <w:w w:val="115"/>
          <w:vertAlign w:val="baseline"/>
        </w:rPr>
        <w:t>reduces</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Efavirenz</w:t>
      </w:r>
    </w:p>
    <w:p>
      <w:pPr>
        <w:pStyle w:val="BodyText"/>
        <w:spacing w:line="146" w:lineRule="exact" w:before="4"/>
        <w:ind w:left="179"/>
        <w:rPr>
          <w:rFonts w:ascii="Calibri"/>
        </w:rPr>
      </w:pPr>
      <w:r>
        <w:rPr>
          <w:rFonts w:ascii="Arial"/>
          <w:color w:val="231F1F"/>
          <w:w w:val="355"/>
          <w:position w:val="1"/>
          <w:sz w:val="7"/>
        </w:rPr>
        <w:t>l </w:t>
      </w:r>
      <w:r>
        <w:rPr>
          <w:rFonts w:ascii="Calibri"/>
          <w:color w:val="231F1F"/>
          <w:w w:val="110"/>
        </w:rPr>
        <w:t>Antivirals (continued)</w:t>
      </w:r>
    </w:p>
    <w:p>
      <w:pPr>
        <w:pStyle w:val="BodyText"/>
        <w:spacing w:line="242" w:lineRule="auto"/>
        <w:ind w:left="279" w:right="821"/>
      </w:pPr>
      <w:r>
        <w:rPr>
          <w:color w:val="231F1F"/>
          <w:w w:val="115"/>
        </w:rPr>
        <w:t>plasma concentration of </w:t>
      </w:r>
      <w:r>
        <w:rPr>
          <w:rFonts w:ascii="Calibri" w:hAnsi="Calibri"/>
          <w:color w:val="008356"/>
          <w:spacing w:val="4"/>
          <w:w w:val="115"/>
          <w:sz w:val="11"/>
        </w:rPr>
        <w:t>SAQUINAVIR</w:t>
      </w:r>
      <w:r>
        <w:rPr>
          <w:color w:val="231F1F"/>
          <w:spacing w:val="4"/>
          <w:w w:val="115"/>
        </w:rPr>
        <w:t>; </w:t>
      </w:r>
      <w:r>
        <w:rPr>
          <w:color w:val="231F1F"/>
          <w:w w:val="115"/>
        </w:rPr>
        <w:t>efavirenz reduces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TELAPREVIR</w:t>
      </w:r>
      <w:r>
        <w:rPr>
          <w:rFonts w:ascii="Arial" w:hAnsi="Arial"/>
          <w:color w:val="231F1F"/>
          <w:spacing w:val="2"/>
          <w:w w:val="115"/>
        </w:rPr>
        <w:t>—</w:t>
      </w:r>
      <w:r>
        <w:rPr>
          <w:color w:val="231F1F"/>
          <w:spacing w:val="2"/>
          <w:w w:val="115"/>
        </w:rPr>
        <w:t>increase </w:t>
      </w:r>
      <w:r>
        <w:rPr>
          <w:color w:val="231F1F"/>
          <w:w w:val="115"/>
        </w:rPr>
        <w:t>dose </w:t>
      </w:r>
      <w:r>
        <w:rPr>
          <w:color w:val="231F1F"/>
          <w:spacing w:val="-6"/>
          <w:w w:val="115"/>
        </w:rPr>
        <w:t>of </w:t>
      </w:r>
      <w:r>
        <w:rPr>
          <w:color w:val="231F1F"/>
          <w:w w:val="115"/>
        </w:rPr>
        <w:t>telaprevir</w:t>
      </w:r>
    </w:p>
    <w:p>
      <w:pPr>
        <w:pStyle w:val="BodyText"/>
        <w:ind w:left="279" w:right="556" w:hanging="100"/>
      </w:pPr>
      <w:r>
        <w:rPr>
          <w:rFonts w:ascii="Arial" w:hAnsi="Arial"/>
          <w:color w:val="231F1F"/>
          <w:w w:val="355"/>
          <w:position w:val="1"/>
          <w:sz w:val="7"/>
        </w:rPr>
        <w:t>l </w:t>
      </w:r>
      <w:r>
        <w:rPr>
          <w:rFonts w:ascii="Calibri" w:hAnsi="Calibri"/>
          <w:color w:val="231F1F"/>
          <w:w w:val="110"/>
        </w:rPr>
        <w:t>Anxiolytics and Hypnotics: </w:t>
      </w:r>
      <w:r>
        <w:rPr>
          <w:color w:val="231F1F"/>
          <w:w w:val="110"/>
        </w:rPr>
        <w:t>increased risk of prolonged sedation when efavirenz given with </w:t>
      </w:r>
      <w:r>
        <w:rPr>
          <w:rFonts w:ascii="Arial" w:hAnsi="Arial"/>
          <w:color w:val="231F1F"/>
          <w:w w:val="355"/>
          <w:position w:val="1"/>
          <w:sz w:val="7"/>
        </w:rPr>
        <w:t>l </w:t>
      </w:r>
      <w:r>
        <w:rPr>
          <w:rFonts w:ascii="Calibri" w:hAnsi="Calibri"/>
          <w:color w:val="008356"/>
          <w:w w:val="110"/>
          <w:sz w:val="11"/>
        </w:rPr>
        <w:t>MIDAZOLAM</w:t>
      </w:r>
      <w:r>
        <w:rPr>
          <w:rFonts w:ascii="Arial" w:hAnsi="Arial"/>
          <w:color w:val="231F1F"/>
          <w:w w:val="110"/>
        </w:rPr>
        <w:t>—</w:t>
      </w:r>
      <w:r>
        <w:rPr>
          <w:color w:val="231F1F"/>
          <w:w w:val="110"/>
        </w:rPr>
        <w:t>avoid concomitant use</w:t>
      </w:r>
    </w:p>
    <w:p>
      <w:pPr>
        <w:pStyle w:val="BodyText"/>
        <w:spacing w:line="146" w:lineRule="exact" w:before="2"/>
        <w:ind w:left="179"/>
      </w:pPr>
      <w:r>
        <w:rPr>
          <w:rFonts w:ascii="Arial"/>
          <w:color w:val="231F1F"/>
          <w:w w:val="355"/>
          <w:position w:val="1"/>
          <w:sz w:val="7"/>
        </w:rPr>
        <w:t>l </w:t>
      </w:r>
      <w:r>
        <w:rPr>
          <w:rFonts w:ascii="Calibri"/>
          <w:color w:val="231F1F"/>
          <w:w w:val="110"/>
        </w:rPr>
        <w:t>Atovaquone: </w:t>
      </w:r>
      <w:r>
        <w:rPr>
          <w:color w:val="231F1F"/>
          <w:w w:val="110"/>
        </w:rPr>
        <w:t>efavirenz reduces plasma concentration of</w:t>
      </w:r>
    </w:p>
    <w:p>
      <w:pPr>
        <w:spacing w:line="140" w:lineRule="exact" w:before="0"/>
        <w:ind w:left="279"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0"/>
          <w:sz w:val="11"/>
        </w:rPr>
        <w:t>ATOVAQUONE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30" w:lineRule="auto" w:before="3"/>
        <w:ind w:left="279" w:right="641" w:hanging="100"/>
      </w:pPr>
      <w:r>
        <w:rPr>
          <w:rFonts w:ascii="Lucida Sans Unicode" w:hAnsi="Lucida Sans Unicode"/>
          <w:color w:val="A7A8AC"/>
          <w:w w:val="95"/>
          <w:sz w:val="10"/>
        </w:rPr>
        <w:t>▶ </w:t>
      </w:r>
      <w:r>
        <w:rPr>
          <w:rFonts w:ascii="Calibri" w:hAnsi="Calibri"/>
          <w:color w:val="231F1F"/>
          <w:w w:val="110"/>
        </w:rPr>
        <w:t>Avanafil: </w:t>
      </w:r>
      <w:r>
        <w:rPr>
          <w:color w:val="231F1F"/>
          <w:w w:val="110"/>
        </w:rPr>
        <w:t>efavirenz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152" w:lineRule="exact" w:before="3"/>
        <w:ind w:left="179"/>
        <w:rPr>
          <w:rFonts w:ascii="Calibri" w:hAnsi="Calibri"/>
          <w:sz w:val="11"/>
        </w:rPr>
      </w:pPr>
      <w:r>
        <w:rPr>
          <w:rFonts w:ascii="Lucida Sans Unicode" w:hAnsi="Lucida Sans Unicode"/>
          <w:color w:val="A7A8AC"/>
          <w:w w:val="95"/>
          <w:sz w:val="10"/>
        </w:rPr>
        <w:t>▶ </w:t>
      </w:r>
      <w:r>
        <w:rPr>
          <w:rFonts w:ascii="Calibri" w:hAnsi="Calibri"/>
          <w:color w:val="231F1F"/>
          <w:w w:val="105"/>
        </w:rPr>
        <w:t>Bupropion: </w:t>
      </w:r>
      <w:r>
        <w:rPr>
          <w:color w:val="231F1F"/>
          <w:w w:val="105"/>
        </w:rPr>
        <w:t>efavirenz accelerates metabolism of </w:t>
      </w:r>
      <w:r>
        <w:rPr>
          <w:rFonts w:ascii="Calibri" w:hAnsi="Calibri"/>
          <w:color w:val="008356"/>
          <w:w w:val="105"/>
          <w:sz w:val="11"/>
        </w:rPr>
        <w:t>BUPROPION</w:t>
      </w:r>
    </w:p>
    <w:p>
      <w:pPr>
        <w:pStyle w:val="BodyText"/>
        <w:spacing w:line="132" w:lineRule="exact"/>
        <w:ind w:left="279"/>
      </w:pPr>
      <w:r>
        <w:rPr>
          <w:color w:val="231F1F"/>
          <w:w w:val="115"/>
        </w:rPr>
        <w:t>(reduced plasma concentration)</w:t>
      </w:r>
    </w:p>
    <w:p>
      <w:pPr>
        <w:pStyle w:val="BodyText"/>
        <w:spacing w:line="220" w:lineRule="auto" w:before="9"/>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efavirenz reduces plasma concentration of </w:t>
      </w:r>
      <w:r>
        <w:rPr>
          <w:rFonts w:ascii="Calibri" w:hAnsi="Calibri"/>
          <w:color w:val="008356"/>
          <w:w w:val="105"/>
          <w:sz w:val="11"/>
        </w:rPr>
        <w:t>DILTIAZEM</w:t>
      </w:r>
    </w:p>
    <w:p>
      <w:pPr>
        <w:pStyle w:val="BodyText"/>
        <w:ind w:left="279" w:right="655"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efavirenz possibly reduces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CICLOSPORIN</w:t>
      </w:r>
    </w:p>
    <w:p>
      <w:pPr>
        <w:pStyle w:val="BodyText"/>
        <w:ind w:left="279" w:right="588" w:hanging="100"/>
      </w:pP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231F1F"/>
          <w:w w:val="115"/>
        </w:rPr>
        <w:t>Cytotoxics:</w:t>
      </w:r>
      <w:r>
        <w:rPr>
          <w:rFonts w:ascii="Calibri" w:hAnsi="Calibri"/>
          <w:color w:val="231F1F"/>
          <w:spacing w:val="-7"/>
          <w:w w:val="115"/>
        </w:rPr>
        <w:t> </w:t>
      </w:r>
      <w:r>
        <w:rPr>
          <w:color w:val="231F1F"/>
          <w:w w:val="115"/>
        </w:rPr>
        <w:t>efavirenz</w:t>
      </w:r>
      <w:r>
        <w:rPr>
          <w:color w:val="231F1F"/>
          <w:spacing w:val="-11"/>
          <w:w w:val="115"/>
        </w:rPr>
        <w:t> </w:t>
      </w:r>
      <w:r>
        <w:rPr>
          <w:color w:val="231F1F"/>
          <w:w w:val="115"/>
        </w:rPr>
        <w:t>possibly</w:t>
      </w:r>
      <w:r>
        <w:rPr>
          <w:color w:val="231F1F"/>
          <w:spacing w:val="-12"/>
          <w:w w:val="115"/>
        </w:rPr>
        <w:t> </w:t>
      </w:r>
      <w:r>
        <w:rPr>
          <w:color w:val="231F1F"/>
          <w:w w:val="115"/>
        </w:rPr>
        <w:t>reduces</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spacing w:val="-7"/>
          <w:w w:val="115"/>
        </w:rPr>
        <w:t>of </w:t>
      </w:r>
      <w:r>
        <w:rPr>
          <w:rFonts w:ascii="Arial" w:hAnsi="Arial"/>
          <w:color w:val="231F1F"/>
          <w:w w:val="355"/>
          <w:position w:val="1"/>
          <w:sz w:val="7"/>
        </w:rPr>
        <w:t>l </w:t>
      </w:r>
      <w:r>
        <w:rPr>
          <w:rFonts w:ascii="Calibri" w:hAnsi="Calibri"/>
          <w:color w:val="008356"/>
          <w:spacing w:val="2"/>
          <w:w w:val="120"/>
          <w:sz w:val="11"/>
        </w:rPr>
        <w:t>BOSUTINIB</w:t>
      </w:r>
      <w:r>
        <w:rPr>
          <w:rFonts w:ascii="Arial" w:hAnsi="Arial"/>
          <w:color w:val="231F1F"/>
          <w:spacing w:val="2"/>
          <w:w w:val="120"/>
        </w:rPr>
        <w:t>—</w:t>
      </w:r>
      <w:r>
        <w:rPr>
          <w:color w:val="231F1F"/>
          <w:spacing w:val="2"/>
          <w:w w:val="120"/>
        </w:rPr>
        <w:t>manufacturer </w:t>
      </w:r>
      <w:r>
        <w:rPr>
          <w:color w:val="231F1F"/>
          <w:w w:val="120"/>
        </w:rPr>
        <w:t>of bosutinib advises avoid concomitant</w:t>
      </w:r>
      <w:r>
        <w:rPr>
          <w:color w:val="231F1F"/>
          <w:spacing w:val="-7"/>
          <w:w w:val="120"/>
        </w:rPr>
        <w:t> </w:t>
      </w:r>
      <w:r>
        <w:rPr>
          <w:color w:val="231F1F"/>
          <w:w w:val="120"/>
        </w:rPr>
        <w:t>use</w:t>
      </w:r>
    </w:p>
    <w:p>
      <w:pPr>
        <w:pStyle w:val="BodyText"/>
        <w:ind w:left="279" w:right="857"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Ergot</w:t>
      </w:r>
      <w:r>
        <w:rPr>
          <w:rFonts w:ascii="Calibri" w:hAnsi="Calibri"/>
          <w:color w:val="231F1F"/>
          <w:spacing w:val="-15"/>
          <w:w w:val="115"/>
        </w:rPr>
        <w:t> </w:t>
      </w:r>
      <w:r>
        <w:rPr>
          <w:rFonts w:ascii="Calibri" w:hAnsi="Calibri"/>
          <w:color w:val="231F1F"/>
          <w:w w:val="115"/>
        </w:rPr>
        <w:t>Alkaloids:</w:t>
      </w:r>
      <w:r>
        <w:rPr>
          <w:rFonts w:ascii="Calibri" w:hAnsi="Calibri"/>
          <w:color w:val="231F1F"/>
          <w:spacing w:val="-15"/>
          <w:w w:val="115"/>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ergotism</w:t>
      </w:r>
      <w:r>
        <w:rPr>
          <w:color w:val="231F1F"/>
          <w:spacing w:val="-18"/>
          <w:w w:val="115"/>
        </w:rPr>
        <w:t> </w:t>
      </w:r>
      <w:r>
        <w:rPr>
          <w:color w:val="231F1F"/>
          <w:w w:val="115"/>
        </w:rPr>
        <w:t>when</w:t>
      </w:r>
      <w:r>
        <w:rPr>
          <w:color w:val="231F1F"/>
          <w:spacing w:val="-18"/>
          <w:w w:val="115"/>
        </w:rPr>
        <w:t> </w:t>
      </w:r>
      <w:r>
        <w:rPr>
          <w:color w:val="231F1F"/>
          <w:w w:val="115"/>
        </w:rPr>
        <w:t>efavirenz given</w:t>
      </w:r>
      <w:r>
        <w:rPr>
          <w:color w:val="231F1F"/>
          <w:spacing w:val="-17"/>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ERGOT</w:t>
      </w:r>
      <w:r>
        <w:rPr>
          <w:rFonts w:ascii="Calibri" w:hAnsi="Calibri"/>
          <w:color w:val="008356"/>
          <w:spacing w:val="-13"/>
          <w:w w:val="115"/>
          <w:sz w:val="11"/>
        </w:rPr>
        <w:t> </w:t>
      </w:r>
      <w:r>
        <w:rPr>
          <w:rFonts w:ascii="Calibri" w:hAnsi="Calibri"/>
          <w:color w:val="008356"/>
          <w:spacing w:val="2"/>
          <w:w w:val="115"/>
          <w:sz w:val="11"/>
        </w:rPr>
        <w:t>ALKALOIDS</w:t>
      </w:r>
      <w:r>
        <w:rPr>
          <w:rFonts w:ascii="Arial" w:hAnsi="Arial"/>
          <w:color w:val="231F1F"/>
          <w:spacing w:val="2"/>
          <w:w w:val="115"/>
        </w:rPr>
        <w:t>—</w:t>
      </w:r>
      <w:r>
        <w:rPr>
          <w:color w:val="231F1F"/>
          <w:spacing w:val="2"/>
          <w:w w:val="115"/>
        </w:rPr>
        <w:t>avoid</w:t>
      </w:r>
      <w:r>
        <w:rPr>
          <w:color w:val="231F1F"/>
          <w:spacing w:val="-17"/>
          <w:w w:val="115"/>
        </w:rPr>
        <w:t> </w:t>
      </w:r>
      <w:r>
        <w:rPr>
          <w:color w:val="231F1F"/>
          <w:w w:val="115"/>
        </w:rPr>
        <w:t>concomitant</w:t>
      </w:r>
      <w:r>
        <w:rPr>
          <w:color w:val="231F1F"/>
          <w:spacing w:val="-18"/>
          <w:w w:val="115"/>
        </w:rPr>
        <w:t> </w:t>
      </w:r>
      <w:r>
        <w:rPr>
          <w:color w:val="231F1F"/>
          <w:w w:val="115"/>
        </w:rPr>
        <w:t>use</w:t>
      </w:r>
    </w:p>
    <w:p>
      <w:pPr>
        <w:pStyle w:val="BodyText"/>
        <w:spacing w:line="220" w:lineRule="auto" w:before="4"/>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efavirenz possibly increased by </w:t>
      </w:r>
      <w:r>
        <w:rPr>
          <w:rFonts w:ascii="Calibri" w:hAnsi="Calibri"/>
          <w:color w:val="008356"/>
          <w:w w:val="105"/>
          <w:sz w:val="11"/>
        </w:rPr>
        <w:t>GRAPEFRUIT JUICE</w:t>
      </w:r>
    </w:p>
    <w:p>
      <w:pPr>
        <w:spacing w:line="220" w:lineRule="auto" w:before="8"/>
        <w:ind w:left="279" w:right="64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efavirenz  reduces plasma  </w:t>
      </w:r>
      <w:r>
        <w:rPr>
          <w:color w:val="231F1F"/>
          <w:spacing w:val="-2"/>
          <w:w w:val="105"/>
          <w:sz w:val="12"/>
        </w:rPr>
        <w:t>concentration </w:t>
      </w:r>
      <w:r>
        <w:rPr>
          <w:color w:val="231F1F"/>
          <w:w w:val="105"/>
          <w:sz w:val="12"/>
        </w:rPr>
        <w:t>of </w:t>
      </w:r>
      <w:r>
        <w:rPr>
          <w:rFonts w:ascii="Calibri" w:hAnsi="Calibri"/>
          <w:color w:val="008356"/>
          <w:spacing w:val="2"/>
          <w:w w:val="105"/>
          <w:sz w:val="11"/>
        </w:rPr>
        <w:t>ATORVASTATIN</w:t>
      </w:r>
      <w:r>
        <w:rPr>
          <w:color w:val="231F1F"/>
          <w:spacing w:val="2"/>
          <w:w w:val="105"/>
          <w:sz w:val="12"/>
        </w:rPr>
        <w:t>, </w:t>
      </w:r>
      <w:r>
        <w:rPr>
          <w:rFonts w:ascii="Calibri" w:hAnsi="Calibri"/>
          <w:color w:val="008356"/>
          <w:spacing w:val="2"/>
          <w:w w:val="105"/>
          <w:sz w:val="11"/>
        </w:rPr>
        <w:t>PRAVASTATIN </w:t>
      </w:r>
      <w:r>
        <w:rPr>
          <w:color w:val="231F1F"/>
          <w:w w:val="105"/>
          <w:sz w:val="12"/>
        </w:rPr>
        <w:t>and</w:t>
      </w:r>
      <w:r>
        <w:rPr>
          <w:color w:val="231F1F"/>
          <w:spacing w:val="-4"/>
          <w:w w:val="105"/>
          <w:sz w:val="12"/>
        </w:rPr>
        <w:t> </w:t>
      </w:r>
      <w:r>
        <w:rPr>
          <w:rFonts w:ascii="Calibri" w:hAnsi="Calibri"/>
          <w:color w:val="008356"/>
          <w:spacing w:val="3"/>
          <w:w w:val="105"/>
          <w:sz w:val="11"/>
        </w:rPr>
        <w:t>SIMVASTATIN</w:t>
      </w:r>
    </w:p>
    <w:p>
      <w:pPr>
        <w:pStyle w:val="BodyText"/>
        <w:ind w:left="179"/>
      </w:pPr>
      <w:r>
        <w:rPr>
          <w:rFonts w:ascii="Arial"/>
          <w:color w:val="231F1F"/>
          <w:w w:val="355"/>
          <w:position w:val="1"/>
          <w:sz w:val="7"/>
        </w:rPr>
        <w:t>l </w:t>
      </w:r>
      <w:r>
        <w:rPr>
          <w:rFonts w:ascii="Calibri"/>
          <w:color w:val="231F1F"/>
          <w:w w:val="115"/>
        </w:rPr>
        <w:t>Orlistat: </w:t>
      </w:r>
      <w:r>
        <w:rPr>
          <w:color w:val="231F1F"/>
          <w:w w:val="115"/>
        </w:rPr>
        <w:t>absorption of efavirenz possibly reduced by</w:t>
      </w:r>
    </w:p>
    <w:p>
      <w:pPr>
        <w:spacing w:line="133" w:lineRule="exact" w:before="6"/>
        <w:ind w:left="279"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left="279" w:right="618" w:hanging="100"/>
        <w:rPr>
          <w:rFonts w:ascii="Calibri"/>
          <w:sz w:val="11"/>
        </w:rPr>
      </w:pPr>
      <w:r>
        <w:rPr>
          <w:rFonts w:ascii="Arial"/>
          <w:color w:val="231F1F"/>
          <w:w w:val="355"/>
          <w:position w:val="1"/>
          <w:sz w:val="7"/>
        </w:rPr>
        <w:t>l </w:t>
      </w:r>
      <w:r>
        <w:rPr>
          <w:rFonts w:ascii="Calibri"/>
          <w:color w:val="231F1F"/>
          <w:w w:val="110"/>
        </w:rPr>
        <w:t>Progestogens: </w:t>
      </w:r>
      <w:r>
        <w:rPr>
          <w:color w:val="231F1F"/>
          <w:w w:val="110"/>
        </w:rPr>
        <w:t>efavirenz possibly reduces contraceptive effect of </w:t>
      </w:r>
      <w:r>
        <w:rPr>
          <w:rFonts w:ascii="Arial"/>
          <w:color w:val="231F1F"/>
          <w:w w:val="355"/>
          <w:position w:val="1"/>
          <w:sz w:val="7"/>
        </w:rPr>
        <w:t>l </w:t>
      </w:r>
      <w:r>
        <w:rPr>
          <w:rFonts w:ascii="Calibri"/>
          <w:color w:val="008356"/>
          <w:w w:val="110"/>
          <w:sz w:val="11"/>
        </w:rPr>
        <w:t>PROGESTOGENS</w:t>
      </w:r>
    </w:p>
    <w:p>
      <w:pPr>
        <w:pStyle w:val="BodyText"/>
        <w:spacing w:line="143" w:lineRule="exact"/>
        <w:ind w:left="179"/>
      </w:pPr>
      <w:r>
        <w:rPr>
          <w:rFonts w:ascii="Arial"/>
          <w:color w:val="231F1F"/>
          <w:w w:val="355"/>
          <w:position w:val="1"/>
          <w:sz w:val="7"/>
        </w:rPr>
        <w:t>l </w:t>
      </w:r>
      <w:r>
        <w:rPr>
          <w:rFonts w:ascii="Calibri"/>
          <w:color w:val="231F1F"/>
          <w:w w:val="115"/>
        </w:rPr>
        <w:t>Tacrolimus: </w:t>
      </w:r>
      <w:r>
        <w:rPr>
          <w:color w:val="231F1F"/>
          <w:w w:val="115"/>
        </w:rPr>
        <w:t>efavirenz possibly affects plasma concentration of</w:t>
      </w:r>
    </w:p>
    <w:p>
      <w:pPr>
        <w:spacing w:before="6"/>
        <w:ind w:left="279"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before="7"/>
        <w:ind w:left="179"/>
      </w:pPr>
      <w:r>
        <w:rPr>
          <w:rFonts w:ascii="Trebuchet MS"/>
          <w:color w:val="008356"/>
          <w:w w:val="110"/>
        </w:rPr>
        <w:t>Eletriptan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0"/>
        <w:ind w:left="179"/>
        <w:rPr>
          <w:rFonts w:ascii="Trebuchet MS"/>
        </w:rPr>
      </w:pPr>
      <w:r>
        <w:rPr>
          <w:rFonts w:ascii="Trebuchet MS"/>
          <w:color w:val="008356"/>
        </w:rPr>
        <w:t>Eltrombopag</w:t>
      </w:r>
    </w:p>
    <w:p>
      <w:pPr>
        <w:pStyle w:val="BodyText"/>
        <w:spacing w:line="152" w:lineRule="exact"/>
        <w:ind w:left="179"/>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eltrombopag reduced by </w:t>
      </w:r>
      <w:r>
        <w:rPr>
          <w:rFonts w:ascii="Calibri" w:hAnsi="Calibri"/>
          <w:color w:val="008356"/>
          <w:w w:val="105"/>
          <w:sz w:val="11"/>
        </w:rPr>
        <w:t>ANTACIDS</w:t>
      </w:r>
    </w:p>
    <w:p>
      <w:pPr>
        <w:pStyle w:val="BodyText"/>
        <w:spacing w:line="132" w:lineRule="exact"/>
        <w:ind w:left="279"/>
      </w:pPr>
      <w:r>
        <w:rPr>
          <w:color w:val="231F1F"/>
          <w:w w:val="115"/>
        </w:rPr>
        <w:t>(give at least 4 hours apart)</w:t>
      </w:r>
    </w:p>
    <w:p>
      <w:pPr>
        <w:pStyle w:val="BodyText"/>
        <w:spacing w:line="220" w:lineRule="auto" w:before="10"/>
        <w:ind w:left="279" w:right="641"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eltrombopag possibly reduced by </w:t>
      </w:r>
      <w:r>
        <w:rPr>
          <w:rFonts w:ascii="Calibri" w:hAnsi="Calibri"/>
          <w:color w:val="008356"/>
          <w:w w:val="110"/>
          <w:sz w:val="11"/>
        </w:rPr>
        <w:t>LOPINAVIR</w:t>
      </w:r>
    </w:p>
    <w:p>
      <w:pPr>
        <w:pStyle w:val="BodyText"/>
        <w:spacing w:line="152" w:lineRule="exact"/>
        <w:ind w:left="179"/>
      </w:pPr>
      <w:r>
        <w:rPr>
          <w:rFonts w:ascii="Lucida Sans Unicode" w:hAnsi="Lucida Sans Unicode"/>
          <w:color w:val="A7A8AC"/>
          <w:w w:val="95"/>
          <w:sz w:val="10"/>
        </w:rPr>
        <w:t>▶ </w:t>
      </w:r>
      <w:r>
        <w:rPr>
          <w:rFonts w:ascii="Calibri" w:hAnsi="Calibri"/>
          <w:color w:val="231F1F"/>
          <w:w w:val="105"/>
        </w:rPr>
        <w:t>Calcium Salts: </w:t>
      </w:r>
      <w:r>
        <w:rPr>
          <w:color w:val="231F1F"/>
          <w:w w:val="105"/>
        </w:rPr>
        <w:t>absorption of eltrombopag possibly reduced by</w:t>
      </w:r>
    </w:p>
    <w:p>
      <w:pPr>
        <w:spacing w:line="134" w:lineRule="exact" w:before="0"/>
        <w:ind w:left="279" w:right="0" w:firstLine="0"/>
        <w:jc w:val="left"/>
        <w:rPr>
          <w:sz w:val="12"/>
        </w:rPr>
      </w:pPr>
      <w:r>
        <w:rPr>
          <w:rFonts w:ascii="Calibri"/>
          <w:color w:val="008356"/>
          <w:w w:val="110"/>
          <w:sz w:val="11"/>
        </w:rPr>
        <w:t>CALCIUM SALTS </w:t>
      </w:r>
      <w:r>
        <w:rPr>
          <w:color w:val="231F1F"/>
          <w:w w:val="110"/>
          <w:sz w:val="12"/>
        </w:rPr>
        <w:t>(give at least 4 hours apart)</w:t>
      </w:r>
    </w:p>
    <w:p>
      <w:pPr>
        <w:pStyle w:val="BodyText"/>
        <w:spacing w:line="151" w:lineRule="exact"/>
        <w:ind w:left="179"/>
      </w:pPr>
      <w:r>
        <w:rPr>
          <w:rFonts w:ascii="Lucida Sans Unicode" w:hAnsi="Lucida Sans Unicode"/>
          <w:color w:val="A7A8AC"/>
          <w:w w:val="95"/>
          <w:sz w:val="10"/>
        </w:rPr>
        <w:t>▶ </w:t>
      </w:r>
      <w:r>
        <w:rPr>
          <w:rFonts w:ascii="Calibri" w:hAnsi="Calibri"/>
          <w:color w:val="231F1F"/>
          <w:w w:val="105"/>
        </w:rPr>
        <w:t>Dairy Products: </w:t>
      </w:r>
      <w:r>
        <w:rPr>
          <w:color w:val="231F1F"/>
          <w:w w:val="105"/>
        </w:rPr>
        <w:t>absorption of eltrombopag possibly reduced by</w:t>
      </w:r>
    </w:p>
    <w:p>
      <w:pPr>
        <w:spacing w:line="134" w:lineRule="exact" w:before="0"/>
        <w:ind w:left="279" w:right="0" w:firstLine="0"/>
        <w:jc w:val="left"/>
        <w:rPr>
          <w:sz w:val="12"/>
        </w:rPr>
      </w:pPr>
      <w:r>
        <w:rPr>
          <w:rFonts w:ascii="Calibri"/>
          <w:color w:val="008356"/>
          <w:w w:val="110"/>
          <w:sz w:val="11"/>
        </w:rPr>
        <w:t>DAIRY PRODUCTS </w:t>
      </w:r>
      <w:r>
        <w:rPr>
          <w:color w:val="231F1F"/>
          <w:w w:val="110"/>
          <w:sz w:val="12"/>
        </w:rPr>
        <w:t>(give at least 4 hours apart)</w:t>
      </w:r>
    </w:p>
    <w:p>
      <w:pPr>
        <w:pStyle w:val="BodyText"/>
        <w:spacing w:line="151" w:lineRule="exact"/>
        <w:ind w:left="179"/>
        <w:rPr>
          <w:i/>
        </w:rPr>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eltrombopag possibly reduced by </w:t>
      </w:r>
      <w:r>
        <w:rPr>
          <w:i/>
          <w:color w:val="231F1F"/>
          <w:w w:val="105"/>
        </w:rPr>
        <w:t>oral</w:t>
      </w:r>
    </w:p>
    <w:p>
      <w:pPr>
        <w:spacing w:line="135" w:lineRule="exact" w:before="0"/>
        <w:ind w:left="279" w:right="0" w:firstLine="0"/>
        <w:jc w:val="left"/>
        <w:rPr>
          <w:sz w:val="12"/>
        </w:rPr>
      </w:pPr>
      <w:r>
        <w:rPr>
          <w:rFonts w:ascii="Calibri"/>
          <w:color w:val="008356"/>
          <w:w w:val="110"/>
          <w:sz w:val="11"/>
        </w:rPr>
        <w:t>IRON SALTS </w:t>
      </w:r>
      <w:r>
        <w:rPr>
          <w:color w:val="231F1F"/>
          <w:w w:val="110"/>
          <w:sz w:val="12"/>
        </w:rPr>
        <w:t>(give at least 4 hours apart)</w:t>
      </w:r>
    </w:p>
    <w:p>
      <w:pPr>
        <w:pStyle w:val="BodyText"/>
        <w:ind w:left="279" w:right="595"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eltrombopag increases plasma concentration</w:t>
      </w:r>
      <w:r>
        <w:rPr>
          <w:color w:val="231F1F"/>
          <w:spacing w:val="-24"/>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3"/>
          <w:w w:val="115"/>
        </w:rPr>
        <w:t> </w:t>
      </w:r>
      <w:r>
        <w:rPr>
          <w:color w:val="231F1F"/>
          <w:w w:val="115"/>
        </w:rPr>
        <w:t>of</w:t>
      </w:r>
      <w:r>
        <w:rPr>
          <w:color w:val="231F1F"/>
          <w:spacing w:val="-23"/>
          <w:w w:val="115"/>
        </w:rPr>
        <w:t> </w:t>
      </w:r>
      <w:r>
        <w:rPr>
          <w:color w:val="231F1F"/>
          <w:w w:val="115"/>
        </w:rPr>
        <w:t>rosuvastatin (consult product</w:t>
      </w:r>
      <w:r>
        <w:rPr>
          <w:color w:val="231F1F"/>
          <w:spacing w:val="-7"/>
          <w:w w:val="115"/>
        </w:rPr>
        <w:t> </w:t>
      </w:r>
      <w:r>
        <w:rPr>
          <w:color w:val="231F1F"/>
          <w:w w:val="115"/>
        </w:rPr>
        <w:t>literature)</w:t>
      </w:r>
    </w:p>
    <w:p>
      <w:pPr>
        <w:pStyle w:val="BodyText"/>
        <w:spacing w:line="152" w:lineRule="exact"/>
        <w:ind w:left="179"/>
      </w:pPr>
      <w:r>
        <w:rPr>
          <w:rFonts w:ascii="Lucida Sans Unicode" w:hAnsi="Lucida Sans Unicode"/>
          <w:color w:val="A7A8AC"/>
          <w:w w:val="95"/>
          <w:sz w:val="10"/>
        </w:rPr>
        <w:t>▶ </w:t>
      </w:r>
      <w:r>
        <w:rPr>
          <w:rFonts w:ascii="Calibri" w:hAnsi="Calibri"/>
          <w:color w:val="231F1F"/>
          <w:w w:val="105"/>
        </w:rPr>
        <w:t>Selenium: </w:t>
      </w:r>
      <w:r>
        <w:rPr>
          <w:color w:val="231F1F"/>
          <w:w w:val="105"/>
        </w:rPr>
        <w:t>absorption of eltrombopag possibly reduced by</w:t>
      </w:r>
    </w:p>
    <w:p>
      <w:pPr>
        <w:spacing w:line="135" w:lineRule="exact" w:before="0"/>
        <w:ind w:left="279" w:right="0" w:firstLine="0"/>
        <w:jc w:val="left"/>
        <w:rPr>
          <w:sz w:val="12"/>
        </w:rPr>
      </w:pPr>
      <w:r>
        <w:rPr>
          <w:rFonts w:ascii="Calibri"/>
          <w:color w:val="008356"/>
          <w:w w:val="110"/>
          <w:sz w:val="11"/>
        </w:rPr>
        <w:t>SELENIUM </w:t>
      </w:r>
      <w:r>
        <w:rPr>
          <w:color w:val="231F1F"/>
          <w:w w:val="110"/>
          <w:sz w:val="12"/>
        </w:rPr>
        <w:t>(give at least 4 hours apart)</w:t>
      </w:r>
    </w:p>
    <w:p>
      <w:pPr>
        <w:pStyle w:val="BodyText"/>
        <w:spacing w:line="151" w:lineRule="exact"/>
        <w:ind w:left="179"/>
        <w:rPr>
          <w:rFonts w:ascii="Calibri" w:hAnsi="Calibri"/>
          <w:sz w:val="11"/>
        </w:rPr>
      </w:pPr>
      <w:r>
        <w:rPr>
          <w:rFonts w:ascii="Lucida Sans Unicode" w:hAnsi="Lucida Sans Unicode"/>
          <w:color w:val="A7A8AC"/>
          <w:w w:val="95"/>
          <w:sz w:val="10"/>
        </w:rPr>
        <w:t>▶ </w:t>
      </w:r>
      <w:r>
        <w:rPr>
          <w:rFonts w:ascii="Calibri" w:hAnsi="Calibri"/>
          <w:color w:val="231F1F"/>
          <w:w w:val="105"/>
        </w:rPr>
        <w:t>Zinc: </w:t>
      </w:r>
      <w:r>
        <w:rPr>
          <w:color w:val="231F1F"/>
          <w:w w:val="105"/>
        </w:rPr>
        <w:t>absorption of eltrombopag possibly reduced by </w:t>
      </w:r>
      <w:r>
        <w:rPr>
          <w:rFonts w:ascii="Calibri" w:hAnsi="Calibri"/>
          <w:color w:val="008356"/>
          <w:w w:val="105"/>
          <w:sz w:val="11"/>
        </w:rPr>
        <w:t>ZINC</w:t>
      </w:r>
    </w:p>
    <w:p>
      <w:pPr>
        <w:pStyle w:val="BodyText"/>
        <w:spacing w:line="131" w:lineRule="exact"/>
        <w:ind w:left="279"/>
      </w:pPr>
      <w:r>
        <w:rPr>
          <w:color w:val="231F1F"/>
          <w:w w:val="115"/>
        </w:rPr>
        <w:t>(give at least 4 hours apart)</w:t>
      </w:r>
    </w:p>
    <w:p>
      <w:pPr>
        <w:pStyle w:val="BodyText"/>
        <w:spacing w:before="11"/>
        <w:ind w:left="179"/>
        <w:rPr>
          <w:rFonts w:ascii="Trebuchet MS"/>
        </w:rPr>
      </w:pPr>
      <w:r>
        <w:rPr>
          <w:rFonts w:ascii="Trebuchet MS"/>
          <w:color w:val="008356"/>
        </w:rPr>
        <w:t>Elvitegravir</w:t>
      </w:r>
    </w:p>
    <w:p>
      <w:pPr>
        <w:spacing w:line="230" w:lineRule="auto" w:before="5"/>
        <w:ind w:left="279" w:right="641" w:hanging="100"/>
        <w:jc w:val="left"/>
        <w:rPr>
          <w:sz w:val="12"/>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absorption of elvitegravir reduced by </w:t>
      </w:r>
      <w:r>
        <w:rPr>
          <w:rFonts w:ascii="Calibri" w:hAnsi="Calibri"/>
          <w:color w:val="008356"/>
          <w:w w:val="105"/>
          <w:sz w:val="11"/>
        </w:rPr>
        <w:t>ALUMINIUM HYDROXIDE </w:t>
      </w:r>
      <w:r>
        <w:rPr>
          <w:color w:val="231F1F"/>
          <w:w w:val="105"/>
          <w:sz w:val="12"/>
        </w:rPr>
        <w:t>and </w:t>
      </w:r>
      <w:r>
        <w:rPr>
          <w:rFonts w:ascii="Calibri" w:hAnsi="Calibri"/>
          <w:color w:val="008356"/>
          <w:w w:val="105"/>
          <w:sz w:val="11"/>
        </w:rPr>
        <w:t>ORAL MAGNESIUM SALTS </w:t>
      </w:r>
      <w:r>
        <w:rPr>
          <w:color w:val="231F1F"/>
          <w:w w:val="105"/>
          <w:sz w:val="12"/>
        </w:rPr>
        <w:t>(give at least 4 hours apart)</w:t>
      </w:r>
    </w:p>
    <w:p>
      <w:pPr>
        <w:pStyle w:val="BodyText"/>
        <w:spacing w:line="242" w:lineRule="auto" w:before="4"/>
        <w:ind w:left="279" w:right="586" w:hanging="100"/>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Antibacterials:</w:t>
      </w:r>
      <w:r>
        <w:rPr>
          <w:rFonts w:ascii="Calibri" w:hAnsi="Calibri"/>
          <w:color w:val="231F1F"/>
          <w:spacing w:val="-14"/>
          <w:w w:val="115"/>
        </w:rPr>
        <w:t> </w:t>
      </w:r>
      <w:r>
        <w:rPr>
          <w:color w:val="231F1F"/>
          <w:w w:val="115"/>
        </w:rPr>
        <w:t>plasma</w:t>
      </w:r>
      <w:r>
        <w:rPr>
          <w:color w:val="231F1F"/>
          <w:spacing w:val="-18"/>
          <w:w w:val="115"/>
        </w:rPr>
        <w:t> </w:t>
      </w:r>
      <w:r>
        <w:rPr>
          <w:color w:val="231F1F"/>
          <w:w w:val="115"/>
        </w:rPr>
        <w:t>concentration</w:t>
      </w:r>
      <w:r>
        <w:rPr>
          <w:color w:val="231F1F"/>
          <w:spacing w:val="-17"/>
          <w:w w:val="115"/>
        </w:rPr>
        <w:t> </w:t>
      </w:r>
      <w:r>
        <w:rPr>
          <w:color w:val="231F1F"/>
          <w:w w:val="115"/>
        </w:rPr>
        <w:t>of</w:t>
      </w:r>
      <w:r>
        <w:rPr>
          <w:color w:val="231F1F"/>
          <w:spacing w:val="-18"/>
          <w:w w:val="115"/>
        </w:rPr>
        <w:t> </w:t>
      </w:r>
      <w:r>
        <w:rPr>
          <w:color w:val="231F1F"/>
          <w:w w:val="115"/>
        </w:rPr>
        <w:t>elvitegravir</w:t>
      </w:r>
      <w:r>
        <w:rPr>
          <w:color w:val="231F1F"/>
          <w:spacing w:val="-17"/>
          <w:w w:val="115"/>
        </w:rPr>
        <w:t> </w:t>
      </w:r>
      <w:r>
        <w:rPr>
          <w:color w:val="231F1F"/>
          <w:w w:val="115"/>
        </w:rPr>
        <w:t>reduced</w:t>
      </w:r>
      <w:r>
        <w:rPr>
          <w:color w:val="231F1F"/>
          <w:spacing w:val="-18"/>
          <w:w w:val="115"/>
        </w:rPr>
        <w:t> </w:t>
      </w:r>
      <w:r>
        <w:rPr>
          <w:color w:val="231F1F"/>
          <w:spacing w:val="-7"/>
          <w:w w:val="115"/>
        </w:rPr>
        <w:t>by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5"/>
          <w:sz w:val="11"/>
        </w:rPr>
        <w:t>RIFABUTIN</w:t>
      </w:r>
      <w:r>
        <w:rPr>
          <w:rFonts w:ascii="Calibri" w:hAnsi="Calibri"/>
          <w:color w:val="008356"/>
          <w:spacing w:val="-2"/>
          <w:w w:val="115"/>
          <w:sz w:val="11"/>
        </w:rPr>
        <w:t> </w:t>
      </w:r>
      <w:r>
        <w:rPr>
          <w:color w:val="231F1F"/>
          <w:w w:val="115"/>
        </w:rPr>
        <w:t>also</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active</w:t>
      </w:r>
      <w:r>
        <w:rPr>
          <w:color w:val="231F1F"/>
          <w:spacing w:val="-12"/>
          <w:w w:val="115"/>
        </w:rPr>
        <w:t> </w:t>
      </w:r>
      <w:r>
        <w:rPr>
          <w:color w:val="231F1F"/>
          <w:w w:val="115"/>
        </w:rPr>
        <w:t>metabolite</w:t>
      </w:r>
      <w:r>
        <w:rPr>
          <w:color w:val="231F1F"/>
          <w:spacing w:val="-13"/>
          <w:w w:val="115"/>
        </w:rPr>
        <w:t> </w:t>
      </w:r>
      <w:r>
        <w:rPr>
          <w:color w:val="231F1F"/>
          <w:w w:val="115"/>
        </w:rPr>
        <w:t>of rifabutin increased</w:t>
      </w:r>
      <w:r>
        <w:rPr>
          <w:rFonts w:ascii="Arial" w:hAnsi="Arial"/>
          <w:color w:val="231F1F"/>
          <w:w w:val="115"/>
        </w:rPr>
        <w:t>—</w:t>
      </w:r>
      <w:r>
        <w:rPr>
          <w:color w:val="231F1F"/>
          <w:w w:val="115"/>
        </w:rPr>
        <w:t>reduce dose of rifabutin; manufacturer of</w:t>
      </w:r>
      <w:r>
        <w:rPr>
          <w:color w:val="231F1F"/>
          <w:spacing w:val="-5"/>
          <w:w w:val="115"/>
        </w:rPr>
        <w:t> </w:t>
      </w:r>
      <w:r>
        <w:rPr>
          <w:color w:val="231F1F"/>
          <w:w w:val="115"/>
        </w:rPr>
        <w:t>elvitegravir</w:t>
      </w:r>
      <w:r>
        <w:rPr>
          <w:color w:val="231F1F"/>
          <w:spacing w:val="-3"/>
          <w:w w:val="115"/>
        </w:rPr>
        <w:t> </w:t>
      </w:r>
      <w:r>
        <w:rPr>
          <w:color w:val="231F1F"/>
          <w:w w:val="115"/>
        </w:rPr>
        <w:t>advises</w:t>
      </w:r>
      <w:r>
        <w:rPr>
          <w:color w:val="231F1F"/>
          <w:spacing w:val="-6"/>
          <w:w w:val="115"/>
        </w:rPr>
        <w:t> </w:t>
      </w:r>
      <w:r>
        <w:rPr>
          <w:color w:val="231F1F"/>
          <w:w w:val="115"/>
        </w:rPr>
        <w:t>avoid</w:t>
      </w:r>
      <w:r>
        <w:rPr>
          <w:color w:val="231F1F"/>
          <w:spacing w:val="-5"/>
          <w:w w:val="115"/>
        </w:rPr>
        <w:t> </w:t>
      </w:r>
      <w:r>
        <w:rPr>
          <w:color w:val="231F1F"/>
          <w:w w:val="115"/>
        </w:rPr>
        <w:t>concomitant</w:t>
      </w:r>
      <w:r>
        <w:rPr>
          <w:color w:val="231F1F"/>
          <w:spacing w:val="-6"/>
          <w:w w:val="115"/>
        </w:rPr>
        <w:t> </w:t>
      </w:r>
      <w:r>
        <w:rPr>
          <w:color w:val="231F1F"/>
          <w:w w:val="115"/>
        </w:rPr>
        <w:t>use</w:t>
      </w:r>
      <w:r>
        <w:rPr>
          <w:color w:val="231F1F"/>
          <w:spacing w:val="-5"/>
          <w:w w:val="115"/>
        </w:rPr>
        <w:t> </w:t>
      </w:r>
      <w:r>
        <w:rPr>
          <w:color w:val="231F1F"/>
          <w:w w:val="115"/>
        </w:rPr>
        <w:t>with</w:t>
      </w:r>
    </w:p>
    <w:p>
      <w:pPr>
        <w:spacing w:line="133" w:lineRule="exact" w:before="13"/>
        <w:ind w:left="279" w:right="0" w:firstLine="0"/>
        <w:jc w:val="left"/>
        <w:rPr>
          <w:rFonts w:ascii="Calibri"/>
          <w:sz w:val="11"/>
        </w:rPr>
      </w:pPr>
      <w:r>
        <w:rPr>
          <w:rFonts w:ascii="Arial"/>
          <w:color w:val="231F1F"/>
          <w:w w:val="355"/>
          <w:position w:val="1"/>
          <w:sz w:val="7"/>
        </w:rPr>
        <w:t>l </w:t>
      </w:r>
      <w:r>
        <w:rPr>
          <w:rFonts w:ascii="Calibri"/>
          <w:color w:val="008356"/>
          <w:w w:val="115"/>
          <w:sz w:val="11"/>
        </w:rPr>
        <w:t>RIFAMPICIN</w:t>
      </w:r>
    </w:p>
    <w:p>
      <w:pPr>
        <w:pStyle w:val="BodyText"/>
        <w:ind w:left="279" w:right="641"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manufacturer of elvitegravir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spacing w:line="240" w:lineRule="auto" w:before="0"/>
        <w:ind w:left="279" w:right="854"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manufacturer of elvitegravir advises avoid concomitant</w:t>
      </w:r>
      <w:r>
        <w:rPr>
          <w:color w:val="231F1F"/>
          <w:spacing w:val="-17"/>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PHENOBARBITAL</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r>
        <w:rPr>
          <w:rFonts w:ascii="Calibri"/>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0"/>
          <w:sz w:val="11"/>
        </w:rPr>
        <w:t>PRIMIDONE</w:t>
      </w:r>
    </w:p>
    <w:p>
      <w:pPr>
        <w:pStyle w:val="BodyText"/>
        <w:spacing w:line="242" w:lineRule="auto"/>
        <w:ind w:left="279" w:right="676"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plasma concentration of elvitegravir increased by </w:t>
      </w:r>
      <w:r>
        <w:rPr>
          <w:rFonts w:ascii="Arial"/>
          <w:color w:val="231F1F"/>
          <w:w w:val="355"/>
          <w:position w:val="1"/>
          <w:sz w:val="7"/>
        </w:rPr>
        <w:t>l</w:t>
      </w:r>
      <w:r>
        <w:rPr>
          <w:rFonts w:ascii="Arial"/>
          <w:color w:val="231F1F"/>
          <w:spacing w:val="-43"/>
          <w:w w:val="355"/>
          <w:position w:val="1"/>
          <w:sz w:val="7"/>
        </w:rPr>
        <w:t> </w:t>
      </w:r>
      <w:r>
        <w:rPr>
          <w:rFonts w:ascii="Calibri"/>
          <w:color w:val="008356"/>
          <w:spacing w:val="2"/>
          <w:w w:val="110"/>
          <w:sz w:val="11"/>
        </w:rPr>
        <w:t>ATAZANAVIR</w:t>
      </w:r>
      <w:r>
        <w:rPr>
          <w:rFonts w:ascii="Calibri"/>
          <w:color w:val="008356"/>
          <w:spacing w:val="8"/>
          <w:w w:val="110"/>
          <w:sz w:val="11"/>
        </w:rPr>
        <w:t> </w:t>
      </w:r>
      <w:r>
        <w:rPr>
          <w:color w:val="231F1F"/>
          <w:w w:val="110"/>
        </w:rPr>
        <w:t>and</w:t>
      </w:r>
      <w:r>
        <w:rPr>
          <w:color w:val="231F1F"/>
          <w:spacing w:val="-3"/>
          <w:w w:val="11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3"/>
          <w:w w:val="110"/>
          <w:sz w:val="11"/>
        </w:rPr>
        <w:t>LOPINAVIR</w:t>
      </w:r>
      <w:r>
        <w:rPr>
          <w:rFonts w:ascii="Calibri"/>
          <w:color w:val="008356"/>
          <w:spacing w:val="8"/>
          <w:w w:val="110"/>
          <w:sz w:val="11"/>
        </w:rPr>
        <w:t> </w:t>
      </w:r>
      <w:r>
        <w:rPr>
          <w:color w:val="231F1F"/>
          <w:w w:val="110"/>
        </w:rPr>
        <w:t>boosted</w:t>
      </w:r>
      <w:r>
        <w:rPr>
          <w:color w:val="231F1F"/>
          <w:spacing w:val="-4"/>
          <w:w w:val="110"/>
        </w:rPr>
        <w:t> </w:t>
      </w:r>
      <w:r>
        <w:rPr>
          <w:color w:val="231F1F"/>
          <w:w w:val="110"/>
        </w:rPr>
        <w:t>with</w:t>
      </w:r>
      <w:r>
        <w:rPr>
          <w:color w:val="231F1F"/>
          <w:spacing w:val="-4"/>
          <w:w w:val="110"/>
        </w:rPr>
        <w:t> </w:t>
      </w:r>
      <w:r>
        <w:rPr>
          <w:color w:val="231F1F"/>
          <w:w w:val="110"/>
        </w:rPr>
        <w:t>ritonavir</w:t>
      </w:r>
      <w:r>
        <w:rPr>
          <w:color w:val="231F1F"/>
          <w:spacing w:val="-4"/>
          <w:w w:val="110"/>
        </w:rPr>
        <w:t> </w:t>
      </w:r>
      <w:r>
        <w:rPr>
          <w:color w:val="231F1F"/>
          <w:w w:val="110"/>
        </w:rPr>
        <w:t>(reduce dose of elvitegravir); manufacturer of elvitegravir advises avoid concomitant use with </w:t>
      </w:r>
      <w:r>
        <w:rPr>
          <w:rFonts w:ascii="Calibri"/>
          <w:color w:val="008356"/>
          <w:spacing w:val="3"/>
          <w:w w:val="110"/>
          <w:sz w:val="11"/>
        </w:rPr>
        <w:t>EFAVIRENZ </w:t>
      </w:r>
      <w:r>
        <w:rPr>
          <w:color w:val="231F1F"/>
          <w:w w:val="110"/>
        </w:rPr>
        <w:t>and</w:t>
      </w:r>
      <w:r>
        <w:rPr>
          <w:color w:val="231F1F"/>
          <w:spacing w:val="-15"/>
          <w:w w:val="110"/>
        </w:rPr>
        <w:t> </w:t>
      </w:r>
      <w:r>
        <w:rPr>
          <w:rFonts w:ascii="Calibri"/>
          <w:color w:val="008356"/>
          <w:spacing w:val="5"/>
          <w:w w:val="110"/>
          <w:sz w:val="11"/>
        </w:rPr>
        <w:t>NEVIRAPINE</w:t>
      </w:r>
    </w:p>
    <w:p>
      <w:pPr>
        <w:pStyle w:val="BodyText"/>
        <w:spacing w:line="220" w:lineRule="auto" w:before="1"/>
        <w:ind w:left="279"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Bosentan: </w:t>
      </w:r>
      <w:r>
        <w:rPr>
          <w:color w:val="231F1F"/>
          <w:w w:val="105"/>
        </w:rPr>
        <w:t>manufacturer of elvitegravir advises avoid concomitant use with </w:t>
      </w:r>
      <w:r>
        <w:rPr>
          <w:rFonts w:ascii="Calibri" w:hAnsi="Calibri"/>
          <w:color w:val="008356"/>
          <w:w w:val="105"/>
          <w:sz w:val="11"/>
        </w:rPr>
        <w:t>BOSENTAN</w:t>
      </w:r>
    </w:p>
    <w:p>
      <w:pPr>
        <w:pStyle w:val="BodyText"/>
        <w:spacing w:line="146" w:lineRule="exact"/>
        <w:ind w:left="179"/>
      </w:pPr>
      <w:r>
        <w:rPr>
          <w:rFonts w:ascii="Arial"/>
          <w:color w:val="231F1F"/>
          <w:w w:val="355"/>
          <w:position w:val="1"/>
          <w:sz w:val="7"/>
        </w:rPr>
        <w:t>l </w:t>
      </w:r>
      <w:r>
        <w:rPr>
          <w:rFonts w:ascii="Calibri"/>
          <w:color w:val="231F1F"/>
          <w:w w:val="120"/>
        </w:rPr>
        <w:t>Orlistat: </w:t>
      </w:r>
      <w:r>
        <w:rPr>
          <w:color w:val="231F1F"/>
          <w:w w:val="120"/>
        </w:rPr>
        <w:t>absorption of elvitegravir possibly reduced by</w:t>
      </w:r>
    </w:p>
    <w:p>
      <w:pPr>
        <w:spacing w:before="7"/>
        <w:ind w:left="279"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spacing w:after="0"/>
        <w:jc w:val="left"/>
        <w:rPr>
          <w:rFonts w:ascii="Calibri"/>
          <w:sz w:val="11"/>
        </w:rPr>
        <w:sectPr>
          <w:headerReference w:type="even" r:id="rId27"/>
          <w:headerReference w:type="default" r:id="rId28"/>
          <w:pgSz w:w="8390" w:h="11910"/>
          <w:pgMar w:header="0" w:footer="0" w:top="460" w:bottom="280" w:left="480" w:right="0"/>
          <w:cols w:num="2" w:equalWidth="0">
            <w:col w:w="3643" w:space="40"/>
            <w:col w:w="4227"/>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Elvitegravir </w:t>
      </w:r>
      <w:r>
        <w:rPr>
          <w:rFonts w:ascii="Calibri"/>
          <w:color w:val="231F1F"/>
        </w:rPr>
        <w:t>(continued)</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Progestogens: </w:t>
      </w:r>
      <w:r>
        <w:rPr>
          <w:color w:val="231F1F"/>
          <w:w w:val="105"/>
        </w:rPr>
        <w:t>elvitegravir increases plasma concentration of</w:t>
      </w:r>
    </w:p>
    <w:p>
      <w:pPr>
        <w:spacing w:line="132" w:lineRule="exact" w:before="0"/>
        <w:ind w:left="208" w:right="0" w:firstLine="0"/>
        <w:jc w:val="left"/>
        <w:rPr>
          <w:rFonts w:ascii="Calibri"/>
          <w:sz w:val="11"/>
        </w:rPr>
      </w:pPr>
      <w:r>
        <w:rPr>
          <w:rFonts w:ascii="Calibri"/>
          <w:color w:val="008356"/>
          <w:sz w:val="11"/>
        </w:rPr>
        <w:t>NORGESTIMATE</w:t>
      </w:r>
    </w:p>
    <w:p>
      <w:pPr>
        <w:pStyle w:val="BodyText"/>
        <w:spacing w:before="6"/>
        <w:ind w:left="108"/>
      </w:pPr>
      <w:r>
        <w:rPr>
          <w:rFonts w:ascii="Trebuchet MS"/>
          <w:color w:val="008356"/>
          <w:w w:val="105"/>
        </w:rPr>
        <w:t>Empagliflozin </w:t>
      </w:r>
      <w:r>
        <w:rPr>
          <w:i/>
          <w:color w:val="231F1F"/>
          <w:w w:val="105"/>
        </w:rPr>
        <w:t>see </w:t>
      </w:r>
      <w:r>
        <w:rPr>
          <w:color w:val="231F1F"/>
          <w:w w:val="105"/>
        </w:rPr>
        <w:t>Antidiabetics</w:t>
      </w:r>
    </w:p>
    <w:p>
      <w:pPr>
        <w:pStyle w:val="BodyText"/>
        <w:spacing w:before="11"/>
        <w:ind w:left="108"/>
        <w:rPr>
          <w:rFonts w:ascii="Trebuchet MS"/>
        </w:rPr>
      </w:pPr>
      <w:r>
        <w:rPr>
          <w:rFonts w:ascii="Trebuchet MS"/>
          <w:color w:val="008356"/>
        </w:rPr>
        <w:t>Emtricitabine</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manufacturer of emtricitabine advises avoid concomitant use with </w:t>
      </w:r>
      <w:r>
        <w:rPr>
          <w:rFonts w:ascii="Calibri" w:hAnsi="Calibri"/>
          <w:color w:val="008356"/>
          <w:w w:val="110"/>
          <w:sz w:val="11"/>
        </w:rPr>
        <w:t>LAMIVUDINE</w:t>
      </w:r>
    </w:p>
    <w:p>
      <w:pPr>
        <w:pStyle w:val="BodyText"/>
        <w:spacing w:line="146" w:lineRule="exact"/>
        <w:ind w:left="108"/>
      </w:pPr>
      <w:r>
        <w:rPr>
          <w:rFonts w:ascii="Arial"/>
          <w:color w:val="231F1F"/>
          <w:w w:val="355"/>
          <w:position w:val="1"/>
          <w:sz w:val="7"/>
        </w:rPr>
        <w:t>l </w:t>
      </w:r>
      <w:r>
        <w:rPr>
          <w:rFonts w:ascii="Calibri"/>
          <w:color w:val="231F1F"/>
          <w:w w:val="120"/>
        </w:rPr>
        <w:t>Orlistat: </w:t>
      </w:r>
      <w:r>
        <w:rPr>
          <w:color w:val="231F1F"/>
          <w:w w:val="120"/>
        </w:rPr>
        <w:t>absorption of emtricitabine possibly reduced by</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before="8"/>
        <w:ind w:left="108"/>
      </w:pPr>
      <w:r>
        <w:rPr>
          <w:rFonts w:ascii="Trebuchet MS"/>
          <w:color w:val="008356"/>
          <w:w w:val="105"/>
        </w:rPr>
        <w:t>Enalapril </w:t>
      </w:r>
      <w:r>
        <w:rPr>
          <w:i/>
          <w:color w:val="231F1F"/>
          <w:w w:val="105"/>
        </w:rPr>
        <w:t>see </w:t>
      </w:r>
      <w:r>
        <w:rPr>
          <w:color w:val="231F1F"/>
          <w:w w:val="105"/>
        </w:rPr>
        <w:t>ACE Inhibitors</w:t>
      </w:r>
    </w:p>
    <w:p>
      <w:pPr>
        <w:pStyle w:val="BodyText"/>
        <w:spacing w:before="9"/>
        <w:ind w:left="108"/>
        <w:rPr>
          <w:rFonts w:ascii="Trebuchet MS"/>
        </w:rPr>
      </w:pPr>
      <w:r>
        <w:rPr>
          <w:rFonts w:ascii="Trebuchet MS"/>
          <w:color w:val="008356"/>
        </w:rPr>
        <w:t>Enfuvirtide</w:t>
      </w:r>
    </w:p>
    <w:p>
      <w:pPr>
        <w:pStyle w:val="BodyText"/>
        <w:spacing w:before="1"/>
        <w:ind w:left="108"/>
      </w:pPr>
      <w:r>
        <w:rPr>
          <w:rFonts w:ascii="Arial"/>
          <w:color w:val="231F1F"/>
          <w:w w:val="355"/>
          <w:position w:val="1"/>
          <w:sz w:val="7"/>
        </w:rPr>
        <w:t>l </w:t>
      </w:r>
      <w:r>
        <w:rPr>
          <w:rFonts w:ascii="Calibri"/>
          <w:color w:val="231F1F"/>
          <w:w w:val="115"/>
        </w:rPr>
        <w:t>Orlistat: </w:t>
      </w:r>
      <w:r>
        <w:rPr>
          <w:color w:val="231F1F"/>
          <w:w w:val="115"/>
        </w:rPr>
        <w:t>absorption of enfuvirtide possibly reduced by</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before="6"/>
        <w:ind w:left="108"/>
      </w:pPr>
      <w:r>
        <w:rPr>
          <w:rFonts w:ascii="Trebuchet MS"/>
          <w:color w:val="008356"/>
          <w:w w:val="105"/>
        </w:rPr>
        <w:t>Enoxaparin </w:t>
      </w:r>
      <w:r>
        <w:rPr>
          <w:i/>
          <w:color w:val="231F1F"/>
          <w:w w:val="105"/>
        </w:rPr>
        <w:t>see </w:t>
      </w:r>
      <w:r>
        <w:rPr>
          <w:color w:val="231F1F"/>
          <w:w w:val="105"/>
        </w:rPr>
        <w:t>Heparins</w:t>
      </w:r>
    </w:p>
    <w:p>
      <w:pPr>
        <w:pStyle w:val="BodyText"/>
        <w:spacing w:before="11"/>
        <w:ind w:left="108"/>
      </w:pPr>
      <w:r>
        <w:rPr>
          <w:rFonts w:ascii="Trebuchet MS"/>
          <w:color w:val="008356"/>
          <w:w w:val="110"/>
        </w:rPr>
        <w:t>Enoximone </w:t>
      </w:r>
      <w:r>
        <w:rPr>
          <w:i/>
          <w:color w:val="231F1F"/>
          <w:w w:val="110"/>
        </w:rPr>
        <w:t>see </w:t>
      </w:r>
      <w:r>
        <w:rPr>
          <w:color w:val="231F1F"/>
          <w:w w:val="110"/>
        </w:rPr>
        <w:t>Phosphodiesterase Inhibitors</w:t>
      </w:r>
    </w:p>
    <w:p>
      <w:pPr>
        <w:pStyle w:val="BodyText"/>
        <w:spacing w:before="10"/>
        <w:ind w:left="108"/>
        <w:rPr>
          <w:rFonts w:ascii="Trebuchet MS"/>
        </w:rPr>
      </w:pPr>
      <w:r>
        <w:rPr>
          <w:rFonts w:ascii="Trebuchet MS"/>
          <w:color w:val="008356"/>
        </w:rPr>
        <w:t>Entacapone</w:t>
      </w:r>
    </w:p>
    <w:p>
      <w:pPr>
        <w:pStyle w:val="BodyText"/>
        <w:spacing w:before="1"/>
        <w:ind w:left="108"/>
      </w:pPr>
      <w:r>
        <w:rPr>
          <w:rFonts w:ascii="Arial"/>
          <w:color w:val="231F1F"/>
          <w:w w:val="355"/>
          <w:position w:val="1"/>
          <w:sz w:val="7"/>
        </w:rPr>
        <w:t>l </w:t>
      </w:r>
      <w:r>
        <w:rPr>
          <w:rFonts w:ascii="Calibri"/>
          <w:color w:val="231F1F"/>
          <w:w w:val="115"/>
        </w:rPr>
        <w:t>Anticoagulants: </w:t>
      </w:r>
      <w:r>
        <w:rPr>
          <w:color w:val="231F1F"/>
          <w:w w:val="115"/>
        </w:rPr>
        <w:t>entacapone enhances anticoagulant effect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WARFARIN</w:t>
      </w:r>
    </w:p>
    <w:p>
      <w:pPr>
        <w:spacing w:before="0"/>
        <w:ind w:left="208" w:right="105"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manufacturer of entacapone advises caution with </w:t>
      </w:r>
      <w:r>
        <w:rPr>
          <w:rFonts w:ascii="Calibri"/>
          <w:color w:val="008356"/>
          <w:w w:val="110"/>
          <w:sz w:val="11"/>
        </w:rPr>
        <w:t>MOCLOBEMIDE</w:t>
      </w:r>
      <w:r>
        <w:rPr>
          <w:color w:val="231F1F"/>
          <w:w w:val="110"/>
          <w:sz w:val="12"/>
        </w:rPr>
        <w:t>, </w:t>
      </w:r>
      <w:r>
        <w:rPr>
          <w:rFonts w:ascii="Calibri"/>
          <w:color w:val="008356"/>
          <w:w w:val="110"/>
          <w:sz w:val="11"/>
        </w:rPr>
        <w:t>TRICYCLICS </w:t>
      </w:r>
      <w:r>
        <w:rPr>
          <w:color w:val="231F1F"/>
          <w:w w:val="110"/>
          <w:sz w:val="12"/>
        </w:rPr>
        <w:t>and </w:t>
      </w:r>
      <w:r>
        <w:rPr>
          <w:rFonts w:ascii="Calibri"/>
          <w:color w:val="008356"/>
          <w:w w:val="110"/>
          <w:sz w:val="11"/>
        </w:rPr>
        <w:t>VENLAFAXINE</w:t>
      </w:r>
      <w:r>
        <w:rPr>
          <w:color w:val="231F1F"/>
          <w:w w:val="110"/>
          <w:sz w:val="12"/>
        </w:rPr>
        <w:t>; avoid</w:t>
      </w:r>
    </w:p>
    <w:p>
      <w:pPr>
        <w:pStyle w:val="BodyText"/>
        <w:spacing w:line="141" w:lineRule="exact"/>
        <w:rPr>
          <w:rFonts w:ascii="Calibri"/>
          <w:sz w:val="11"/>
        </w:rPr>
      </w:pPr>
      <w:r>
        <w:rPr>
          <w:color w:val="231F1F"/>
          <w:w w:val="115"/>
        </w:rPr>
        <w:t>concomitant use of entacapone with non-selective </w:t>
      </w:r>
      <w:r>
        <w:rPr>
          <w:rFonts w:ascii="Arial"/>
          <w:color w:val="231F1F"/>
          <w:w w:val="355"/>
          <w:position w:val="1"/>
          <w:sz w:val="7"/>
        </w:rPr>
        <w:t>l </w:t>
      </w:r>
      <w:r>
        <w:rPr>
          <w:rFonts w:ascii="Calibri"/>
          <w:color w:val="008356"/>
          <w:w w:val="115"/>
          <w:sz w:val="11"/>
        </w:rPr>
        <w:t>MAOIS</w:t>
      </w:r>
    </w:p>
    <w:p>
      <w:pPr>
        <w:pStyle w:val="BodyText"/>
        <w:spacing w:line="235" w:lineRule="auto" w:before="1"/>
        <w:ind w:right="105"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entacapone possibly enhances effects of </w:t>
      </w:r>
      <w:r>
        <w:rPr>
          <w:rFonts w:ascii="Calibri" w:hAnsi="Calibri"/>
          <w:color w:val="008356"/>
          <w:w w:val="110"/>
          <w:sz w:val="11"/>
        </w:rPr>
        <w:t>APOMORPHINE</w:t>
      </w:r>
      <w:r>
        <w:rPr>
          <w:color w:val="231F1F"/>
          <w:w w:val="110"/>
        </w:rPr>
        <w:t>; entacapone possibly reduces plasma concentration of </w:t>
      </w:r>
      <w:r>
        <w:rPr>
          <w:rFonts w:ascii="Calibri" w:hAnsi="Calibri"/>
          <w:color w:val="008356"/>
          <w:w w:val="110"/>
          <w:sz w:val="11"/>
        </w:rPr>
        <w:t>RASAGILINE</w:t>
      </w:r>
      <w:r>
        <w:rPr>
          <w:color w:val="231F1F"/>
          <w:w w:val="110"/>
        </w:rPr>
        <w:t>; manufacturer of entacapone advises max. dose of 10 mg </w:t>
      </w:r>
      <w:r>
        <w:rPr>
          <w:rFonts w:ascii="Calibri" w:hAnsi="Calibri"/>
          <w:color w:val="008356"/>
          <w:w w:val="110"/>
          <w:sz w:val="11"/>
        </w:rPr>
        <w:t>SELEGILINE </w:t>
      </w:r>
      <w:r>
        <w:rPr>
          <w:color w:val="231F1F"/>
          <w:w w:val="110"/>
        </w:rPr>
        <w:t>if used concomitantly</w:t>
      </w:r>
    </w:p>
    <w:p>
      <w:pPr>
        <w:spacing w:line="232" w:lineRule="auto" w:before="1"/>
        <w:ind w:left="208" w:right="23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absorption of entacapone reduced by </w:t>
      </w:r>
      <w:r>
        <w:rPr>
          <w:i/>
          <w:color w:val="231F1F"/>
          <w:w w:val="105"/>
          <w:sz w:val="12"/>
        </w:rPr>
        <w:t>oral </w:t>
      </w:r>
      <w:r>
        <w:rPr>
          <w:rFonts w:ascii="Calibri" w:hAnsi="Calibri"/>
          <w:color w:val="008356"/>
          <w:w w:val="105"/>
          <w:sz w:val="11"/>
        </w:rPr>
        <w:t>IRON SALTS</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08" w:right="0" w:firstLine="0"/>
        <w:jc w:val="left"/>
        <w:rPr>
          <w:rFonts w:ascii="Calibri"/>
          <w:sz w:val="11"/>
        </w:rPr>
      </w:pPr>
      <w:r>
        <w:rPr>
          <w:rFonts w:ascii="Calibri"/>
          <w:color w:val="008356"/>
          <w:sz w:val="11"/>
        </w:rPr>
        <w:t>MEMANTINE</w:t>
      </w:r>
    </w:p>
    <w:p>
      <w:pPr>
        <w:pStyle w:val="BodyText"/>
        <w:spacing w:line="230" w:lineRule="auto" w:before="3"/>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entacapone possibly enhances effects of </w:t>
      </w:r>
      <w:r>
        <w:rPr>
          <w:rFonts w:ascii="Calibri" w:hAnsi="Calibri"/>
          <w:color w:val="008356"/>
          <w:w w:val="105"/>
          <w:sz w:val="11"/>
        </w:rPr>
        <w:t>METHYLDOPA</w:t>
      </w:r>
      <w:r>
        <w:rPr>
          <w:color w:val="231F1F"/>
          <w:w w:val="105"/>
        </w:rPr>
        <w:t>; antiparkinsonian effect of dopaminergics antagonised by </w:t>
      </w:r>
      <w:r>
        <w:rPr>
          <w:rFonts w:ascii="Calibri" w:hAnsi="Calibri"/>
          <w:color w:val="008356"/>
          <w:w w:val="105"/>
          <w:sz w:val="11"/>
        </w:rPr>
        <w:t>METHYLDOPA</w:t>
      </w:r>
    </w:p>
    <w:p>
      <w:pPr>
        <w:spacing w:line="237" w:lineRule="auto" w:before="1"/>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Sympathomimetics: </w:t>
      </w:r>
      <w:r>
        <w:rPr>
          <w:color w:val="231F1F"/>
          <w:w w:val="105"/>
          <w:sz w:val="12"/>
        </w:rPr>
        <w:t>entacapone possibly enhances effects of </w:t>
      </w:r>
      <w:r>
        <w:rPr>
          <w:rFonts w:ascii="Calibri" w:hAnsi="Calibri"/>
          <w:color w:val="008356"/>
          <w:w w:val="105"/>
          <w:sz w:val="11"/>
        </w:rPr>
        <w:t>ADRENALINE (EPINEPHRINE)</w:t>
      </w:r>
      <w:r>
        <w:rPr>
          <w:color w:val="231F1F"/>
          <w:w w:val="105"/>
          <w:sz w:val="12"/>
        </w:rPr>
        <w:t>, </w:t>
      </w:r>
      <w:r>
        <w:rPr>
          <w:rFonts w:ascii="Calibri" w:hAnsi="Calibri"/>
          <w:color w:val="008356"/>
          <w:w w:val="105"/>
          <w:sz w:val="11"/>
        </w:rPr>
        <w:t>DOBUTAMINE</w:t>
      </w:r>
      <w:r>
        <w:rPr>
          <w:color w:val="231F1F"/>
          <w:w w:val="105"/>
          <w:sz w:val="12"/>
        </w:rPr>
        <w:t>, </w:t>
      </w:r>
      <w:r>
        <w:rPr>
          <w:rFonts w:ascii="Calibri" w:hAnsi="Calibri"/>
          <w:color w:val="008356"/>
          <w:w w:val="105"/>
          <w:sz w:val="11"/>
        </w:rPr>
        <w:t>DOPAMINE </w:t>
      </w:r>
      <w:r>
        <w:rPr>
          <w:color w:val="231F1F"/>
          <w:w w:val="105"/>
          <w:sz w:val="12"/>
        </w:rPr>
        <w:t>and </w:t>
      </w:r>
      <w:r>
        <w:rPr>
          <w:rFonts w:ascii="Calibri" w:hAnsi="Calibri"/>
          <w:color w:val="008356"/>
          <w:w w:val="105"/>
          <w:sz w:val="11"/>
        </w:rPr>
        <w:t>NORADRENALINE (NOREPINEPHRINE)</w:t>
      </w:r>
    </w:p>
    <w:p>
      <w:pPr>
        <w:pStyle w:val="BodyText"/>
        <w:spacing w:line="139" w:lineRule="exact" w:before="7"/>
        <w:ind w:left="108"/>
        <w:rPr>
          <w:rFonts w:ascii="Trebuchet MS"/>
        </w:rPr>
      </w:pPr>
      <w:r>
        <w:rPr>
          <w:rFonts w:ascii="Trebuchet MS"/>
          <w:color w:val="008356"/>
        </w:rPr>
        <w:t>Enteral Foods</w:t>
      </w:r>
    </w:p>
    <w:p>
      <w:pPr>
        <w:pStyle w:val="BodyText"/>
        <w:ind w:right="70"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the presence of vitamin K in some enteral feeds can antagonise the anticoagulant effect of </w:t>
      </w:r>
      <w:r>
        <w:rPr>
          <w:rFonts w:ascii="Arial"/>
          <w:color w:val="231F1F"/>
          <w:w w:val="355"/>
          <w:position w:val="1"/>
          <w:sz w:val="7"/>
        </w:rPr>
        <w:t>l </w:t>
      </w:r>
      <w:r>
        <w:rPr>
          <w:rFonts w:ascii="Calibri"/>
          <w:color w:val="008356"/>
          <w:w w:val="110"/>
          <w:sz w:val="11"/>
        </w:rPr>
        <w:t>COUMARINS </w:t>
      </w:r>
      <w:r>
        <w:rPr>
          <w:color w:val="231F1F"/>
          <w:w w:val="110"/>
        </w:rPr>
        <w:t>and </w:t>
      </w:r>
      <w:r>
        <w:rPr>
          <w:rFonts w:ascii="Arial"/>
          <w:color w:val="231F1F"/>
          <w:w w:val="355"/>
          <w:position w:val="1"/>
          <w:sz w:val="7"/>
        </w:rPr>
        <w:t>l </w:t>
      </w:r>
      <w:r>
        <w:rPr>
          <w:rFonts w:ascii="Calibri"/>
          <w:color w:val="008356"/>
          <w:w w:val="110"/>
          <w:sz w:val="11"/>
        </w:rPr>
        <w:t>PHENINDIONE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enteral feeds possibly reduce absorption of</w:t>
      </w:r>
    </w:p>
    <w:p>
      <w:pPr>
        <w:spacing w:line="136" w:lineRule="exact" w:before="0"/>
        <w:ind w:left="208"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pStyle w:val="BodyText"/>
        <w:spacing w:before="6"/>
        <w:ind w:left="108"/>
        <w:rPr>
          <w:rFonts w:ascii="Trebuchet MS"/>
        </w:rPr>
      </w:pPr>
      <w:r>
        <w:rPr>
          <w:rFonts w:ascii="Trebuchet MS"/>
          <w:color w:val="008356"/>
        </w:rPr>
        <w:t>Enzalutamide</w:t>
      </w:r>
    </w:p>
    <w:p>
      <w:pPr>
        <w:pStyle w:val="BodyText"/>
        <w:spacing w:line="220" w:lineRule="auto" w:before="10"/>
        <w:ind w:right="23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manufacturer of enzalutamide advises avoid concomitant use with </w:t>
      </w:r>
      <w:r>
        <w:rPr>
          <w:rFonts w:ascii="Calibri" w:hAnsi="Calibri"/>
          <w:color w:val="008356"/>
          <w:w w:val="110"/>
          <w:sz w:val="11"/>
        </w:rPr>
        <w:t>RIFAMPICIN</w:t>
      </w:r>
    </w:p>
    <w:p>
      <w:pPr>
        <w:pStyle w:val="BodyText"/>
        <w:ind w:right="411" w:hanging="100"/>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Anticoagulants: </w:t>
      </w:r>
      <w:r>
        <w:rPr>
          <w:color w:val="231F1F"/>
          <w:w w:val="115"/>
        </w:rPr>
        <w:t>enzalutamide possibly reduces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5"/>
          <w:sz w:val="11"/>
        </w:rPr>
        <w:t>COUMARINS</w:t>
      </w:r>
    </w:p>
    <w:p>
      <w:pPr>
        <w:pStyle w:val="BodyText"/>
        <w:ind w:right="70"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Lipid-regulating</w:t>
      </w:r>
      <w:r>
        <w:rPr>
          <w:rFonts w:ascii="Calibri" w:hAnsi="Calibri"/>
          <w:color w:val="231F1F"/>
          <w:spacing w:val="-14"/>
          <w:w w:val="115"/>
        </w:rPr>
        <w:t> </w:t>
      </w:r>
      <w:r>
        <w:rPr>
          <w:rFonts w:ascii="Calibri" w:hAnsi="Calibri"/>
          <w:color w:val="231F1F"/>
          <w:w w:val="115"/>
        </w:rPr>
        <w:t>Drugs:</w:t>
      </w:r>
      <w:r>
        <w:rPr>
          <w:rFonts w:ascii="Calibri" w:hAnsi="Calibri"/>
          <w:color w:val="231F1F"/>
          <w:spacing w:val="-14"/>
          <w:w w:val="115"/>
        </w:rPr>
        <w:t> </w:t>
      </w:r>
      <w:r>
        <w:rPr>
          <w:color w:val="231F1F"/>
          <w:w w:val="115"/>
        </w:rPr>
        <w:t>plasma</w:t>
      </w:r>
      <w:r>
        <w:rPr>
          <w:color w:val="231F1F"/>
          <w:spacing w:val="-17"/>
          <w:w w:val="115"/>
        </w:rPr>
        <w:t> </w:t>
      </w:r>
      <w:r>
        <w:rPr>
          <w:color w:val="231F1F"/>
          <w:w w:val="115"/>
        </w:rPr>
        <w:t>concentration</w:t>
      </w:r>
      <w:r>
        <w:rPr>
          <w:color w:val="231F1F"/>
          <w:spacing w:val="-18"/>
          <w:w w:val="115"/>
        </w:rPr>
        <w:t> </w:t>
      </w:r>
      <w:r>
        <w:rPr>
          <w:color w:val="231F1F"/>
          <w:w w:val="115"/>
        </w:rPr>
        <w:t>of</w:t>
      </w:r>
      <w:r>
        <w:rPr>
          <w:color w:val="231F1F"/>
          <w:spacing w:val="-16"/>
          <w:w w:val="115"/>
        </w:rPr>
        <w:t> </w:t>
      </w:r>
      <w:r>
        <w:rPr>
          <w:color w:val="231F1F"/>
          <w:w w:val="115"/>
        </w:rPr>
        <w:t>enzalutamide increased</w:t>
      </w:r>
      <w:r>
        <w:rPr>
          <w:color w:val="231F1F"/>
          <w:spacing w:val="-20"/>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GEMFIBROZIL</w:t>
      </w:r>
      <w:r>
        <w:rPr>
          <w:rFonts w:ascii="Arial" w:hAnsi="Arial"/>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8"/>
          <w:w w:val="115"/>
        </w:rPr>
        <w:t> </w:t>
      </w:r>
      <w:r>
        <w:rPr>
          <w:color w:val="231F1F"/>
          <w:w w:val="115"/>
        </w:rPr>
        <w:t>enzalutamide advises</w:t>
      </w:r>
      <w:r>
        <w:rPr>
          <w:color w:val="231F1F"/>
          <w:spacing w:val="-6"/>
          <w:w w:val="115"/>
        </w:rPr>
        <w:t> </w:t>
      </w:r>
      <w:r>
        <w:rPr>
          <w:color w:val="231F1F"/>
          <w:w w:val="115"/>
        </w:rPr>
        <w:t>avoid</w:t>
      </w:r>
      <w:r>
        <w:rPr>
          <w:color w:val="231F1F"/>
          <w:spacing w:val="-5"/>
          <w:w w:val="115"/>
        </w:rPr>
        <w:t> </w:t>
      </w:r>
      <w:r>
        <w:rPr>
          <w:color w:val="231F1F"/>
          <w:w w:val="115"/>
        </w:rPr>
        <w:t>concomitant</w:t>
      </w:r>
      <w:r>
        <w:rPr>
          <w:color w:val="231F1F"/>
          <w:spacing w:val="-6"/>
          <w:w w:val="115"/>
        </w:rPr>
        <w:t> </w:t>
      </w:r>
      <w:r>
        <w:rPr>
          <w:color w:val="231F1F"/>
          <w:w w:val="115"/>
        </w:rPr>
        <w:t>use</w:t>
      </w:r>
      <w:r>
        <w:rPr>
          <w:color w:val="231F1F"/>
          <w:spacing w:val="-5"/>
          <w:w w:val="115"/>
        </w:rPr>
        <w:t> </w:t>
      </w:r>
      <w:r>
        <w:rPr>
          <w:color w:val="231F1F"/>
          <w:w w:val="115"/>
        </w:rPr>
        <w:t>or</w:t>
      </w:r>
      <w:r>
        <w:rPr>
          <w:color w:val="231F1F"/>
          <w:spacing w:val="-5"/>
          <w:w w:val="115"/>
        </w:rPr>
        <w:t> </w:t>
      </w:r>
      <w:r>
        <w:rPr>
          <w:color w:val="231F1F"/>
          <w:w w:val="115"/>
        </w:rPr>
        <w:t>halve</w:t>
      </w:r>
      <w:r>
        <w:rPr>
          <w:color w:val="231F1F"/>
          <w:spacing w:val="-3"/>
          <w:w w:val="115"/>
        </w:rPr>
        <w:t> </w:t>
      </w:r>
      <w:r>
        <w:rPr>
          <w:color w:val="231F1F"/>
          <w:w w:val="115"/>
        </w:rPr>
        <w:t>dose</w:t>
      </w:r>
      <w:r>
        <w:rPr>
          <w:color w:val="231F1F"/>
          <w:spacing w:val="-5"/>
          <w:w w:val="115"/>
        </w:rPr>
        <w:t> </w:t>
      </w:r>
      <w:r>
        <w:rPr>
          <w:color w:val="231F1F"/>
          <w:w w:val="115"/>
        </w:rPr>
        <w:t>of</w:t>
      </w:r>
      <w:r>
        <w:rPr>
          <w:color w:val="231F1F"/>
          <w:spacing w:val="-5"/>
          <w:w w:val="115"/>
        </w:rPr>
        <w:t> </w:t>
      </w:r>
      <w:r>
        <w:rPr>
          <w:color w:val="231F1F"/>
          <w:spacing w:val="-2"/>
          <w:w w:val="115"/>
        </w:rPr>
        <w:t>enzalutamide</w:t>
      </w:r>
    </w:p>
    <w:p>
      <w:pPr>
        <w:pStyle w:val="BodyText"/>
        <w:spacing w:before="9"/>
        <w:ind w:left="108"/>
      </w:pPr>
      <w:r>
        <w:rPr>
          <w:rFonts w:ascii="Trebuchet MS"/>
          <w:color w:val="008356"/>
          <w:w w:val="110"/>
        </w:rPr>
        <w:t>Ephedrine </w:t>
      </w:r>
      <w:r>
        <w:rPr>
          <w:i/>
          <w:color w:val="231F1F"/>
          <w:w w:val="110"/>
        </w:rPr>
        <w:t>see </w:t>
      </w:r>
      <w:r>
        <w:rPr>
          <w:color w:val="231F1F"/>
          <w:w w:val="110"/>
        </w:rPr>
        <w:t>Sympathomimetics</w:t>
      </w:r>
    </w:p>
    <w:p>
      <w:pPr>
        <w:pStyle w:val="BodyText"/>
        <w:spacing w:before="9"/>
        <w:ind w:left="108"/>
        <w:rPr>
          <w:rFonts w:ascii="Trebuchet MS"/>
        </w:rPr>
      </w:pPr>
      <w:r>
        <w:rPr>
          <w:rFonts w:ascii="Trebuchet MS"/>
          <w:color w:val="008356"/>
        </w:rPr>
        <w:t>Epinephrine</w:t>
      </w:r>
    </w:p>
    <w:p>
      <w:pPr>
        <w:pStyle w:val="BodyText"/>
        <w:spacing w:before="5"/>
      </w:pPr>
      <w:r>
        <w:rPr>
          <w:rFonts w:ascii="Calibri"/>
          <w:color w:val="008356"/>
          <w:w w:val="115"/>
          <w:sz w:val="11"/>
        </w:rPr>
        <w:t>NOTE </w:t>
      </w:r>
      <w:r>
        <w:rPr>
          <w:color w:val="231F1F"/>
          <w:w w:val="115"/>
        </w:rPr>
        <w:t>Epinephrine interactions as for adrenaline, see under sympathomimetics</w:t>
      </w:r>
    </w:p>
    <w:p>
      <w:pPr>
        <w:pStyle w:val="BodyText"/>
        <w:spacing w:line="139" w:lineRule="exact" w:before="11"/>
        <w:ind w:left="108"/>
        <w:rPr>
          <w:rFonts w:ascii="Trebuchet MS"/>
        </w:rPr>
      </w:pPr>
      <w:r>
        <w:rPr>
          <w:rFonts w:ascii="Trebuchet MS"/>
          <w:color w:val="008356"/>
        </w:rPr>
        <w:t>Epirubicin</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45" w:lineRule="exact"/>
        <w:ind w:left="108"/>
      </w:pPr>
      <w:r>
        <w:rPr>
          <w:rFonts w:ascii="Arial"/>
          <w:color w:val="231F1F"/>
          <w:w w:val="355"/>
          <w:position w:val="1"/>
          <w:sz w:val="7"/>
        </w:rPr>
        <w:t>l </w:t>
      </w:r>
      <w:r>
        <w:rPr>
          <w:rFonts w:ascii="Calibri"/>
          <w:color w:val="231F1F"/>
          <w:w w:val="115"/>
        </w:rPr>
        <w:t>Ciclosporin: </w:t>
      </w:r>
      <w:r>
        <w:rPr>
          <w:color w:val="231F1F"/>
          <w:w w:val="115"/>
        </w:rPr>
        <w:t>plasma concentration of epirubicin increased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ind w:right="429" w:hanging="100"/>
        <w:rPr>
          <w:rFonts w:ascii="Calibri"/>
          <w:sz w:val="11"/>
        </w:rPr>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Ulcer-healing</w:t>
      </w:r>
      <w:r>
        <w:rPr>
          <w:rFonts w:ascii="Calibri"/>
          <w:color w:val="231F1F"/>
          <w:spacing w:val="-20"/>
          <w:w w:val="115"/>
        </w:rPr>
        <w:t> </w:t>
      </w:r>
      <w:r>
        <w:rPr>
          <w:rFonts w:ascii="Calibri"/>
          <w:color w:val="231F1F"/>
          <w:w w:val="115"/>
        </w:rPr>
        <w:t>Drugs:</w:t>
      </w:r>
      <w:r>
        <w:rPr>
          <w:rFonts w:ascii="Calibri"/>
          <w:color w:val="231F1F"/>
          <w:spacing w:val="-20"/>
          <w:w w:val="115"/>
        </w:rPr>
        <w:t> </w:t>
      </w:r>
      <w:r>
        <w:rPr>
          <w:color w:val="231F1F"/>
          <w:w w:val="115"/>
        </w:rPr>
        <w:t>plasma</w:t>
      </w:r>
      <w:r>
        <w:rPr>
          <w:color w:val="231F1F"/>
          <w:spacing w:val="-23"/>
          <w:w w:val="115"/>
        </w:rPr>
        <w:t> </w:t>
      </w:r>
      <w:r>
        <w:rPr>
          <w:color w:val="231F1F"/>
          <w:w w:val="115"/>
        </w:rPr>
        <w:t>concentration</w:t>
      </w:r>
      <w:r>
        <w:rPr>
          <w:color w:val="231F1F"/>
          <w:spacing w:val="-23"/>
          <w:w w:val="115"/>
        </w:rPr>
        <w:t> </w:t>
      </w:r>
      <w:r>
        <w:rPr>
          <w:color w:val="231F1F"/>
          <w:w w:val="115"/>
        </w:rPr>
        <w:t>of</w:t>
      </w:r>
      <w:r>
        <w:rPr>
          <w:color w:val="231F1F"/>
          <w:spacing w:val="-23"/>
          <w:w w:val="115"/>
        </w:rPr>
        <w:t> </w:t>
      </w:r>
      <w:r>
        <w:rPr>
          <w:color w:val="231F1F"/>
          <w:w w:val="115"/>
        </w:rPr>
        <w:t>epirubicin increased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5"/>
          <w:w w:val="115"/>
          <w:sz w:val="11"/>
        </w:rPr>
        <w:t>CIMETIDINE</w:t>
      </w:r>
    </w:p>
    <w:p>
      <w:pPr>
        <w:pStyle w:val="BodyText"/>
        <w:spacing w:before="5"/>
        <w:ind w:left="108"/>
      </w:pPr>
      <w:r>
        <w:rPr>
          <w:rFonts w:ascii="Trebuchet MS"/>
          <w:color w:val="008356"/>
          <w:w w:val="105"/>
        </w:rPr>
        <w:t>Eplerenone </w:t>
      </w:r>
      <w:r>
        <w:rPr>
          <w:i/>
          <w:color w:val="231F1F"/>
          <w:w w:val="105"/>
        </w:rPr>
        <w:t>see </w:t>
      </w:r>
      <w:r>
        <w:rPr>
          <w:color w:val="231F1F"/>
          <w:w w:val="105"/>
        </w:rPr>
        <w:t>Diuretics</w:t>
      </w:r>
    </w:p>
    <w:p>
      <w:pPr>
        <w:pStyle w:val="BodyText"/>
        <w:spacing w:before="10"/>
        <w:ind w:left="108"/>
      </w:pPr>
      <w:r>
        <w:rPr>
          <w:rFonts w:ascii="Trebuchet MS"/>
          <w:color w:val="008356"/>
          <w:w w:val="110"/>
        </w:rPr>
        <w:t>Eprosartan </w:t>
      </w:r>
      <w:r>
        <w:rPr>
          <w:i/>
          <w:color w:val="231F1F"/>
          <w:w w:val="110"/>
        </w:rPr>
        <w:t>see </w:t>
      </w:r>
      <w:r>
        <w:rPr>
          <w:color w:val="231F1F"/>
          <w:w w:val="110"/>
        </w:rPr>
        <w:t>Angiotensin-II Receptor Antagonists</w:t>
      </w:r>
    </w:p>
    <w:p>
      <w:pPr>
        <w:pStyle w:val="BodyText"/>
        <w:spacing w:before="11"/>
        <w:ind w:left="108"/>
        <w:rPr>
          <w:rFonts w:ascii="Trebuchet MS"/>
        </w:rPr>
      </w:pPr>
      <w:r>
        <w:rPr>
          <w:rFonts w:ascii="Trebuchet MS"/>
          <w:color w:val="008356"/>
        </w:rPr>
        <w:t>Eptifibatide</w:t>
      </w:r>
    </w:p>
    <w:p>
      <w:pPr>
        <w:pStyle w:val="BodyText"/>
        <w:spacing w:line="220" w:lineRule="auto" w:before="9"/>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10"/>
        </w:rPr>
        <w:t>Iloprost: </w:t>
      </w:r>
      <w:r>
        <w:rPr>
          <w:color w:val="231F1F"/>
          <w:w w:val="110"/>
        </w:rPr>
        <w:t>increased risk of bleeding when eptifibatide </w:t>
      </w:r>
      <w:r>
        <w:rPr>
          <w:color w:val="231F1F"/>
          <w:spacing w:val="-3"/>
          <w:w w:val="110"/>
        </w:rPr>
        <w:t>given </w:t>
      </w:r>
      <w:r>
        <w:rPr>
          <w:color w:val="231F1F"/>
          <w:w w:val="110"/>
        </w:rPr>
        <w:t>with</w:t>
      </w:r>
      <w:r>
        <w:rPr>
          <w:color w:val="231F1F"/>
          <w:spacing w:val="-3"/>
          <w:w w:val="110"/>
        </w:rPr>
        <w:t> </w:t>
      </w:r>
      <w:r>
        <w:rPr>
          <w:rFonts w:ascii="Calibri" w:hAnsi="Calibri"/>
          <w:color w:val="008356"/>
          <w:spacing w:val="4"/>
          <w:w w:val="110"/>
          <w:sz w:val="11"/>
        </w:rPr>
        <w:t>ILOPROST</w:t>
      </w:r>
    </w:p>
    <w:p>
      <w:pPr>
        <w:pStyle w:val="BodyText"/>
        <w:spacing w:line="256" w:lineRule="auto" w:before="9"/>
        <w:ind w:left="108" w:right="1593"/>
        <w:rPr>
          <w:rFonts w:ascii="Trebuchet MS"/>
        </w:rPr>
      </w:pPr>
      <w:r>
        <w:rPr>
          <w:rFonts w:ascii="Trebuchet MS"/>
          <w:color w:val="008356"/>
        </w:rPr>
        <w:t>Ergocalciferol </w:t>
      </w:r>
      <w:r>
        <w:rPr>
          <w:i/>
          <w:color w:val="231F1F"/>
        </w:rPr>
        <w:t>see </w:t>
      </w:r>
      <w:r>
        <w:rPr>
          <w:color w:val="231F1F"/>
        </w:rPr>
        <w:t>Vitamins </w:t>
      </w:r>
      <w:r>
        <w:rPr>
          <w:rFonts w:ascii="Trebuchet MS"/>
          <w:color w:val="008356"/>
        </w:rPr>
        <w:t>Ergometrine </w:t>
      </w:r>
      <w:r>
        <w:rPr>
          <w:i/>
          <w:color w:val="231F1F"/>
        </w:rPr>
        <w:t>see </w:t>
      </w:r>
      <w:r>
        <w:rPr>
          <w:color w:val="231F1F"/>
        </w:rPr>
        <w:t>Ergot Alkaloids </w:t>
      </w:r>
      <w:r>
        <w:rPr>
          <w:rFonts w:ascii="Trebuchet MS"/>
          <w:color w:val="008356"/>
        </w:rPr>
        <w:t>Ergot</w:t>
      </w:r>
      <w:r>
        <w:rPr>
          <w:rFonts w:ascii="Trebuchet MS"/>
          <w:color w:val="008356"/>
          <w:spacing w:val="-6"/>
        </w:rPr>
        <w:t> </w:t>
      </w:r>
      <w:r>
        <w:rPr>
          <w:rFonts w:ascii="Trebuchet MS"/>
          <w:color w:val="008356"/>
        </w:rPr>
        <w:t>Alkaloids</w:t>
      </w:r>
    </w:p>
    <w:p>
      <w:pPr>
        <w:pStyle w:val="BodyText"/>
        <w:spacing w:line="137" w:lineRule="exact"/>
        <w:ind w:left="108"/>
      </w:pPr>
      <w:r>
        <w:rPr>
          <w:rFonts w:ascii="Arial"/>
          <w:color w:val="231F1F"/>
          <w:w w:val="355"/>
          <w:position w:val="1"/>
          <w:sz w:val="7"/>
        </w:rPr>
        <w:t>l </w:t>
      </w:r>
      <w:r>
        <w:rPr>
          <w:rFonts w:ascii="Calibri"/>
          <w:color w:val="231F1F"/>
          <w:w w:val="115"/>
        </w:rPr>
        <w:t>Antibacterials: </w:t>
      </w:r>
      <w:r>
        <w:rPr>
          <w:color w:val="231F1F"/>
          <w:w w:val="115"/>
        </w:rPr>
        <w:t>increased risk of ergotism when ergometrine</w:t>
      </w:r>
    </w:p>
    <w:p>
      <w:pPr>
        <w:spacing w:line="247" w:lineRule="auto" w:before="0"/>
        <w:ind w:left="208" w:right="0" w:firstLine="0"/>
        <w:jc w:val="left"/>
        <w:rPr>
          <w:rFonts w:ascii="Calibri" w:hAnsi="Calibri"/>
          <w:sz w:val="11"/>
        </w:rPr>
      </w:pPr>
      <w:r>
        <w:rPr>
          <w:color w:val="231F1F"/>
          <w:w w:val="110"/>
          <w:sz w:val="12"/>
        </w:rPr>
        <w:t>given with </w:t>
      </w:r>
      <w:r>
        <w:rPr>
          <w:rFonts w:ascii="Arial" w:hAnsi="Arial"/>
          <w:color w:val="231F1F"/>
          <w:w w:val="355"/>
          <w:position w:val="1"/>
          <w:sz w:val="7"/>
        </w:rPr>
        <w:t>l </w:t>
      </w:r>
      <w:r>
        <w:rPr>
          <w:rFonts w:ascii="Calibri" w:hAnsi="Calibri"/>
          <w:color w:val="008356"/>
          <w:w w:val="110"/>
          <w:sz w:val="11"/>
        </w:rPr>
        <w:t>CLARITHROMYCIN </w:t>
      </w:r>
      <w:r>
        <w:rPr>
          <w:color w:val="231F1F"/>
          <w:w w:val="110"/>
          <w:sz w:val="12"/>
        </w:rPr>
        <w:t>or </w:t>
      </w: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sz w:val="12"/>
        </w:rPr>
        <w:t>—</w:t>
      </w:r>
      <w:r>
        <w:rPr>
          <w:color w:val="231F1F"/>
          <w:w w:val="110"/>
          <w:sz w:val="12"/>
        </w:rPr>
        <w:t>avoid concomitant use; increased risk of ergotism when ergotamine given with </w:t>
      </w:r>
      <w:r>
        <w:rPr>
          <w:rFonts w:ascii="Arial" w:hAnsi="Arial"/>
          <w:color w:val="231F1F"/>
          <w:w w:val="355"/>
          <w:position w:val="1"/>
          <w:sz w:val="7"/>
        </w:rPr>
        <w:t>l </w:t>
      </w:r>
      <w:r>
        <w:rPr>
          <w:rFonts w:ascii="Calibri" w:hAnsi="Calibri"/>
          <w:color w:val="008356"/>
          <w:w w:val="110"/>
          <w:sz w:val="11"/>
        </w:rPr>
        <w:t>MACROLIDES </w:t>
      </w:r>
      <w:r>
        <w:rPr>
          <w:color w:val="231F1F"/>
          <w:w w:val="110"/>
          <w:sz w:val="12"/>
        </w:rPr>
        <w:t>or </w:t>
      </w:r>
      <w:r>
        <w:rPr>
          <w:rFonts w:ascii="Arial" w:hAnsi="Arial"/>
          <w:color w:val="231F1F"/>
          <w:w w:val="355"/>
          <w:position w:val="1"/>
          <w:sz w:val="7"/>
        </w:rPr>
        <w:t>l </w:t>
      </w:r>
      <w:r>
        <w:rPr>
          <w:rFonts w:ascii="Calibri" w:hAnsi="Calibri"/>
          <w:color w:val="008356"/>
          <w:w w:val="110"/>
          <w:sz w:val="11"/>
        </w:rPr>
        <w:t>TELITHROMYCIN</w:t>
      </w:r>
      <w:r>
        <w:rPr>
          <w:rFonts w:ascii="Arial" w:hAnsi="Arial"/>
          <w:color w:val="231F1F"/>
          <w:w w:val="110"/>
          <w:sz w:val="12"/>
        </w:rPr>
        <w:t>—</w:t>
      </w:r>
      <w:r>
        <w:rPr>
          <w:color w:val="231F1F"/>
          <w:w w:val="110"/>
          <w:sz w:val="12"/>
        </w:rPr>
        <w:t>avoid concomitant use; increased risk of ergotism when ergotamine given with </w:t>
      </w:r>
      <w:r>
        <w:rPr>
          <w:rFonts w:ascii="Calibri" w:hAnsi="Calibri"/>
          <w:color w:val="008356"/>
          <w:w w:val="110"/>
          <w:sz w:val="11"/>
        </w:rPr>
        <w:t>TETRACYCLINES</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Ergot Alkaloids </w:t>
      </w:r>
      <w:r>
        <w:rPr>
          <w:rFonts w:ascii="Calibri"/>
          <w:color w:val="231F1F"/>
        </w:rPr>
        <w:t>(continued)</w:t>
      </w:r>
    </w:p>
    <w:p>
      <w:pPr>
        <w:pStyle w:val="BodyText"/>
        <w:spacing w:line="220" w:lineRule="auto" w:before="6"/>
        <w:ind w:right="673" w:hanging="100"/>
        <w:rPr>
          <w:rFonts w:ascii="Calibri" w:hAnsi="Calibri"/>
          <w:sz w:val="11"/>
        </w:rPr>
      </w:pPr>
      <w:r>
        <w:rPr/>
        <w:pict>
          <v:rect style="position:absolute;margin-left:398.891296pt;margin-top:-8.655787pt;width:20.522993pt;height:149.443pt;mso-position-horizontal-relative:page;mso-position-vertical-relative:paragraph;z-index:3712" filled="true" fillcolor="#bfdbcf" stroked="false">
            <v:fill type="solid"/>
            <w10:wrap type="none"/>
          </v:rect>
        </w:pict>
      </w:r>
      <w:r>
        <w:rPr/>
        <w:pict>
          <v:shape style="position:absolute;margin-left:399.725769pt;margin-top:-3.692398pt;width:10.4pt;height:78.850pt;mso-position-horizontal-relative:page;mso-position-vertical-relative:paragraph;z-index:373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Antidepressants: </w:t>
      </w:r>
      <w:r>
        <w:rPr>
          <w:color w:val="231F1F"/>
          <w:w w:val="110"/>
        </w:rPr>
        <w:t>possible risk of hypertension when ergotamine given with </w:t>
      </w:r>
      <w:r>
        <w:rPr>
          <w:rFonts w:ascii="Calibri" w:hAnsi="Calibri"/>
          <w:color w:val="008356"/>
          <w:w w:val="110"/>
          <w:sz w:val="11"/>
        </w:rPr>
        <w:t>REBOXETINE</w:t>
      </w:r>
    </w:p>
    <w:p>
      <w:pPr>
        <w:pStyle w:val="BodyText"/>
        <w:spacing w:line="242" w:lineRule="auto"/>
        <w:ind w:right="653" w:hanging="100"/>
      </w:pPr>
      <w:r>
        <w:rPr>
          <w:rFonts w:ascii="Arial" w:hAnsi="Arial"/>
          <w:color w:val="231F1F"/>
          <w:w w:val="355"/>
          <w:position w:val="1"/>
          <w:sz w:val="7"/>
        </w:rPr>
        <w:t>l </w:t>
      </w:r>
      <w:r>
        <w:rPr>
          <w:rFonts w:ascii="Calibri" w:hAnsi="Calibri"/>
          <w:color w:val="231F1F"/>
          <w:w w:val="110"/>
        </w:rPr>
        <w:t>Antifungals: </w:t>
      </w:r>
      <w:r>
        <w:rPr>
          <w:color w:val="231F1F"/>
          <w:w w:val="110"/>
        </w:rPr>
        <w:t>avoidance of ergot alkaloids advised by manufacturer of </w:t>
      </w:r>
      <w:r>
        <w:rPr>
          <w:rFonts w:ascii="Arial" w:hAnsi="Arial"/>
          <w:color w:val="231F1F"/>
          <w:w w:val="355"/>
          <w:position w:val="1"/>
          <w:sz w:val="7"/>
        </w:rPr>
        <w:t>l </w:t>
      </w:r>
      <w:r>
        <w:rPr>
          <w:rFonts w:ascii="Calibri" w:hAnsi="Calibri"/>
          <w:color w:val="008356"/>
          <w:spacing w:val="4"/>
          <w:w w:val="110"/>
          <w:sz w:val="11"/>
        </w:rPr>
        <w:t>KETOCONAZOLE</w:t>
      </w:r>
      <w:r>
        <w:rPr>
          <w:color w:val="231F1F"/>
          <w:spacing w:val="4"/>
          <w:w w:val="110"/>
        </w:rPr>
        <w:t>; </w:t>
      </w:r>
      <w:r>
        <w:rPr>
          <w:color w:val="231F1F"/>
          <w:w w:val="110"/>
        </w:rPr>
        <w:t>avoidance of ergometrine advised by manufacturer of </w:t>
      </w: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4"/>
          <w:w w:val="110"/>
          <w:sz w:val="11"/>
        </w:rPr>
        <w:t>ITRACONAZOLE </w:t>
      </w:r>
      <w:r>
        <w:rPr>
          <w:color w:val="231F1F"/>
          <w:w w:val="110"/>
        </w:rPr>
        <w:t>(increased risk of ergotism); increased risk of ergotism when ergometrine </w:t>
      </w:r>
      <w:r>
        <w:rPr>
          <w:color w:val="231F1F"/>
          <w:spacing w:val="-3"/>
          <w:w w:val="110"/>
        </w:rPr>
        <w:t>given </w:t>
      </w:r>
      <w:r>
        <w:rPr>
          <w:color w:val="231F1F"/>
          <w:w w:val="110"/>
        </w:rPr>
        <w:t>with </w:t>
      </w:r>
      <w:r>
        <w:rPr>
          <w:rFonts w:ascii="Arial" w:hAnsi="Arial"/>
          <w:color w:val="231F1F"/>
          <w:w w:val="355"/>
          <w:position w:val="1"/>
          <w:sz w:val="7"/>
        </w:rPr>
        <w:t>l </w:t>
      </w:r>
      <w:r>
        <w:rPr>
          <w:rFonts w:ascii="Calibri" w:hAnsi="Calibri"/>
          <w:color w:val="008356"/>
          <w:spacing w:val="3"/>
          <w:w w:val="110"/>
          <w:sz w:val="11"/>
        </w:rPr>
        <w:t>VORICONAZOLE</w:t>
      </w:r>
      <w:r>
        <w:rPr>
          <w:rFonts w:ascii="Arial" w:hAnsi="Arial"/>
          <w:color w:val="231F1F"/>
          <w:spacing w:val="3"/>
          <w:w w:val="110"/>
        </w:rPr>
        <w:t>—</w:t>
      </w:r>
      <w:r>
        <w:rPr>
          <w:color w:val="231F1F"/>
          <w:spacing w:val="3"/>
          <w:w w:val="110"/>
        </w:rPr>
        <w:t>avoid </w:t>
      </w:r>
      <w:r>
        <w:rPr>
          <w:color w:val="231F1F"/>
          <w:w w:val="110"/>
        </w:rPr>
        <w:t>concomitant use; increased risk of ergotism when ergotamine given with </w:t>
      </w:r>
      <w:r>
        <w:rPr>
          <w:rFonts w:ascii="Arial" w:hAnsi="Arial"/>
          <w:color w:val="231F1F"/>
          <w:w w:val="355"/>
          <w:position w:val="1"/>
          <w:sz w:val="7"/>
        </w:rPr>
        <w:t>l </w:t>
      </w:r>
      <w:r>
        <w:rPr>
          <w:rFonts w:ascii="Calibri" w:hAnsi="Calibri"/>
          <w:color w:val="008356"/>
          <w:spacing w:val="4"/>
          <w:w w:val="110"/>
          <w:sz w:val="11"/>
        </w:rPr>
        <w:t>IMIDAZOLES </w:t>
      </w:r>
      <w:r>
        <w:rPr>
          <w:color w:val="231F1F"/>
          <w:w w:val="110"/>
        </w:rPr>
        <w:t>or</w:t>
      </w:r>
    </w:p>
    <w:p>
      <w:pPr>
        <w:spacing w:line="141" w:lineRule="exact" w:before="4"/>
        <w:ind w:left="208"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TRIAZOLES</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7"/>
        <w:ind w:right="820" w:hanging="100"/>
      </w:pPr>
      <w:r>
        <w:rPr>
          <w:rFonts w:ascii="Lucida Sans Unicode" w:hAnsi="Lucida Sans Unicode"/>
          <w:color w:val="A7A8AC"/>
          <w:w w:val="95"/>
          <w:sz w:val="10"/>
        </w:rPr>
        <w:t>▶ </w:t>
      </w:r>
      <w:r>
        <w:rPr>
          <w:rFonts w:ascii="Calibri" w:hAnsi="Calibri"/>
          <w:color w:val="231F1F"/>
          <w:w w:val="105"/>
        </w:rPr>
        <w:t>Antipsychotics:  </w:t>
      </w:r>
      <w:r>
        <w:rPr>
          <w:color w:val="231F1F"/>
          <w:w w:val="105"/>
        </w:rPr>
        <w:t>plasma concentration of ergot alkaloids possibly increased by </w:t>
      </w:r>
      <w:r>
        <w:rPr>
          <w:rFonts w:ascii="Calibri" w:hAnsi="Calibri"/>
          <w:color w:val="008356"/>
          <w:spacing w:val="4"/>
          <w:w w:val="105"/>
          <w:sz w:val="11"/>
        </w:rPr>
        <w:t>LURASIDONE </w:t>
      </w:r>
      <w:r>
        <w:rPr>
          <w:color w:val="231F1F"/>
          <w:w w:val="105"/>
        </w:rPr>
        <w:t>(increased risk of</w:t>
      </w:r>
      <w:r>
        <w:rPr>
          <w:color w:val="231F1F"/>
          <w:spacing w:val="6"/>
          <w:w w:val="105"/>
        </w:rPr>
        <w:t> </w:t>
      </w:r>
      <w:r>
        <w:rPr>
          <w:color w:val="231F1F"/>
          <w:w w:val="105"/>
        </w:rPr>
        <w:t>toxicity)</w:t>
      </w:r>
    </w:p>
    <w:p>
      <w:pPr>
        <w:pStyle w:val="BodyText"/>
        <w:ind w:right="848"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Antivirals:</w:t>
      </w:r>
      <w:r>
        <w:rPr>
          <w:rFonts w:ascii="Calibri" w:hAnsi="Calibri"/>
          <w:color w:val="231F1F"/>
          <w:spacing w:val="-12"/>
          <w:w w:val="115"/>
        </w:rPr>
        <w:t> </w:t>
      </w:r>
      <w:r>
        <w:rPr>
          <w:color w:val="231F1F"/>
          <w:w w:val="115"/>
        </w:rPr>
        <w:t>plasma</w:t>
      </w:r>
      <w:r>
        <w:rPr>
          <w:color w:val="231F1F"/>
          <w:spacing w:val="-14"/>
          <w:w w:val="115"/>
        </w:rPr>
        <w:t> </w:t>
      </w:r>
      <w:r>
        <w:rPr>
          <w:color w:val="231F1F"/>
          <w:w w:val="115"/>
        </w:rPr>
        <w:t>concentration</w:t>
      </w:r>
      <w:r>
        <w:rPr>
          <w:color w:val="231F1F"/>
          <w:spacing w:val="-16"/>
          <w:w w:val="115"/>
        </w:rPr>
        <w:t> </w:t>
      </w:r>
      <w:r>
        <w:rPr>
          <w:color w:val="231F1F"/>
          <w:w w:val="115"/>
        </w:rPr>
        <w:t>of</w:t>
      </w:r>
      <w:r>
        <w:rPr>
          <w:color w:val="231F1F"/>
          <w:spacing w:val="-14"/>
          <w:w w:val="115"/>
        </w:rPr>
        <w:t> </w:t>
      </w:r>
      <w:r>
        <w:rPr>
          <w:color w:val="231F1F"/>
          <w:w w:val="115"/>
        </w:rPr>
        <w:t>ergot</w:t>
      </w:r>
      <w:r>
        <w:rPr>
          <w:color w:val="231F1F"/>
          <w:spacing w:val="-15"/>
          <w:w w:val="115"/>
        </w:rPr>
        <w:t> </w:t>
      </w:r>
      <w:r>
        <w:rPr>
          <w:color w:val="231F1F"/>
          <w:w w:val="115"/>
        </w:rPr>
        <w:t>alkaloids</w:t>
      </w:r>
      <w:r>
        <w:rPr>
          <w:color w:val="231F1F"/>
          <w:spacing w:val="-15"/>
          <w:w w:val="115"/>
        </w:rPr>
        <w:t> </w:t>
      </w:r>
      <w:r>
        <w:rPr>
          <w:color w:val="231F1F"/>
          <w:w w:val="115"/>
        </w:rPr>
        <w:t>possibly increased by </w:t>
      </w:r>
      <w:r>
        <w:rPr>
          <w:rFonts w:ascii="Arial" w:hAnsi="Arial"/>
          <w:color w:val="231F1F"/>
          <w:w w:val="355"/>
          <w:position w:val="1"/>
          <w:sz w:val="7"/>
        </w:rPr>
        <w:t>l </w:t>
      </w:r>
      <w:r>
        <w:rPr>
          <w:rFonts w:ascii="Calibri" w:hAnsi="Calibri"/>
          <w:color w:val="008356"/>
          <w:spacing w:val="2"/>
          <w:w w:val="115"/>
          <w:sz w:val="11"/>
        </w:rPr>
        <w:t>ATAZANAVIR</w:t>
      </w:r>
      <w:r>
        <w:rPr>
          <w:rFonts w:ascii="Arial" w:hAnsi="Arial"/>
          <w:color w:val="231F1F"/>
          <w:spacing w:val="2"/>
          <w:w w:val="115"/>
        </w:rPr>
        <w:t>—</w:t>
      </w:r>
      <w:r>
        <w:rPr>
          <w:color w:val="231F1F"/>
          <w:spacing w:val="2"/>
          <w:w w:val="115"/>
        </w:rPr>
        <w:t>avoid </w:t>
      </w:r>
      <w:r>
        <w:rPr>
          <w:color w:val="231F1F"/>
          <w:w w:val="115"/>
        </w:rPr>
        <w:t>concomitant use; avoidance</w:t>
      </w:r>
      <w:r>
        <w:rPr>
          <w:color w:val="231F1F"/>
          <w:spacing w:val="-9"/>
          <w:w w:val="115"/>
        </w:rPr>
        <w:t> </w:t>
      </w:r>
      <w:r>
        <w:rPr>
          <w:color w:val="231F1F"/>
          <w:w w:val="115"/>
        </w:rPr>
        <w:t>of</w:t>
      </w:r>
      <w:r>
        <w:rPr>
          <w:color w:val="231F1F"/>
          <w:spacing w:val="-7"/>
          <w:w w:val="115"/>
        </w:rPr>
        <w:t> </w:t>
      </w:r>
      <w:r>
        <w:rPr>
          <w:color w:val="231F1F"/>
          <w:w w:val="115"/>
        </w:rPr>
        <w:t>ergot</w:t>
      </w:r>
      <w:r>
        <w:rPr>
          <w:color w:val="231F1F"/>
          <w:spacing w:val="-9"/>
          <w:w w:val="115"/>
        </w:rPr>
        <w:t> </w:t>
      </w:r>
      <w:r>
        <w:rPr>
          <w:color w:val="231F1F"/>
          <w:w w:val="115"/>
        </w:rPr>
        <w:t>alkaloids</w:t>
      </w:r>
      <w:r>
        <w:rPr>
          <w:color w:val="231F1F"/>
          <w:spacing w:val="-8"/>
          <w:w w:val="115"/>
        </w:rPr>
        <w:t> </w:t>
      </w:r>
      <w:r>
        <w:rPr>
          <w:color w:val="231F1F"/>
          <w:w w:val="115"/>
        </w:rPr>
        <w:t>advised</w:t>
      </w:r>
      <w:r>
        <w:rPr>
          <w:color w:val="231F1F"/>
          <w:spacing w:val="-7"/>
          <w:w w:val="115"/>
        </w:rPr>
        <w:t> </w:t>
      </w:r>
      <w:r>
        <w:rPr>
          <w:color w:val="231F1F"/>
          <w:w w:val="115"/>
        </w:rPr>
        <w:t>by</w:t>
      </w:r>
      <w:r>
        <w:rPr>
          <w:color w:val="231F1F"/>
          <w:spacing w:val="-8"/>
          <w:w w:val="115"/>
        </w:rPr>
        <w:t> </w:t>
      </w:r>
      <w:r>
        <w:rPr>
          <w:color w:val="231F1F"/>
          <w:w w:val="115"/>
        </w:rPr>
        <w:t>manufacturer</w:t>
      </w:r>
      <w:r>
        <w:rPr>
          <w:color w:val="231F1F"/>
          <w:spacing w:val="-9"/>
          <w:w w:val="115"/>
        </w:rPr>
        <w:t> </w:t>
      </w:r>
      <w:r>
        <w:rPr>
          <w:color w:val="231F1F"/>
          <w:w w:val="115"/>
        </w:rPr>
        <w:t>of</w:t>
      </w:r>
    </w:p>
    <w:p>
      <w:pPr>
        <w:spacing w:line="244" w:lineRule="auto" w:before="6"/>
        <w:ind w:left="208" w:right="659"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20"/>
          <w:sz w:val="11"/>
        </w:rPr>
        <w:t>BOCEPREVIR</w:t>
      </w:r>
      <w:r>
        <w:rPr>
          <w:rFonts w:ascii="Calibri" w:hAnsi="Calibri"/>
          <w:color w:val="008356"/>
          <w:spacing w:val="-13"/>
          <w:w w:val="120"/>
          <w:sz w:val="11"/>
        </w:rPr>
        <w:t> </w:t>
      </w:r>
      <w:r>
        <w:rPr>
          <w:color w:val="231F1F"/>
          <w:w w:val="120"/>
          <w:sz w:val="12"/>
        </w:rPr>
        <w:t>and</w:t>
      </w:r>
      <w:r>
        <w:rPr>
          <w:color w:val="231F1F"/>
          <w:spacing w:val="-23"/>
          <w:w w:val="12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20"/>
          <w:sz w:val="11"/>
        </w:rPr>
        <w:t>TELAPREVIR</w:t>
      </w:r>
      <w:r>
        <w:rPr>
          <w:color w:val="231F1F"/>
          <w:spacing w:val="4"/>
          <w:w w:val="120"/>
          <w:sz w:val="12"/>
        </w:rPr>
        <w:t>;</w:t>
      </w:r>
      <w:r>
        <w:rPr>
          <w:color w:val="231F1F"/>
          <w:spacing w:val="-22"/>
          <w:w w:val="120"/>
          <w:sz w:val="12"/>
        </w:rPr>
        <w:t> </w:t>
      </w:r>
      <w:r>
        <w:rPr>
          <w:color w:val="231F1F"/>
          <w:w w:val="120"/>
          <w:sz w:val="12"/>
        </w:rPr>
        <w:t>increased</w:t>
      </w:r>
      <w:r>
        <w:rPr>
          <w:color w:val="231F1F"/>
          <w:spacing w:val="-23"/>
          <w:w w:val="120"/>
          <w:sz w:val="12"/>
        </w:rPr>
        <w:t> </w:t>
      </w:r>
      <w:r>
        <w:rPr>
          <w:color w:val="231F1F"/>
          <w:w w:val="120"/>
          <w:sz w:val="12"/>
        </w:rPr>
        <w:t>risk</w:t>
      </w:r>
      <w:r>
        <w:rPr>
          <w:color w:val="231F1F"/>
          <w:spacing w:val="-21"/>
          <w:w w:val="120"/>
          <w:sz w:val="12"/>
        </w:rPr>
        <w:t> </w:t>
      </w:r>
      <w:r>
        <w:rPr>
          <w:color w:val="231F1F"/>
          <w:w w:val="120"/>
          <w:sz w:val="12"/>
        </w:rPr>
        <w:t>of</w:t>
      </w:r>
      <w:r>
        <w:rPr>
          <w:color w:val="231F1F"/>
          <w:spacing w:val="-23"/>
          <w:w w:val="120"/>
          <w:sz w:val="12"/>
        </w:rPr>
        <w:t> </w:t>
      </w:r>
      <w:r>
        <w:rPr>
          <w:color w:val="231F1F"/>
          <w:w w:val="120"/>
          <w:sz w:val="12"/>
        </w:rPr>
        <w:t>ergotism </w:t>
      </w:r>
      <w:r>
        <w:rPr>
          <w:color w:val="231F1F"/>
          <w:w w:val="115"/>
          <w:sz w:val="12"/>
        </w:rPr>
        <w:t>when ergot alkaloids given with </w:t>
      </w:r>
      <w:r>
        <w:rPr>
          <w:rFonts w:ascii="Arial" w:hAnsi="Arial"/>
          <w:color w:val="231F1F"/>
          <w:w w:val="115"/>
          <w:position w:val="1"/>
          <w:sz w:val="7"/>
        </w:rPr>
        <w:t>l </w:t>
      </w:r>
      <w:r>
        <w:rPr>
          <w:rFonts w:ascii="Calibri" w:hAnsi="Calibri"/>
          <w:color w:val="008356"/>
          <w:w w:val="115"/>
          <w:sz w:val="11"/>
        </w:rPr>
        <w:t>DARUNAVIR</w:t>
      </w:r>
      <w:r>
        <w:rPr>
          <w:rFonts w:ascii="Arial" w:hAnsi="Arial"/>
          <w:color w:val="231F1F"/>
          <w:w w:val="115"/>
          <w:sz w:val="12"/>
        </w:rPr>
        <w:t>—</w:t>
      </w:r>
      <w:r>
        <w:rPr>
          <w:color w:val="231F1F"/>
          <w:w w:val="115"/>
          <w:sz w:val="12"/>
        </w:rPr>
        <w:t>manufacturer </w:t>
      </w:r>
      <w:r>
        <w:rPr>
          <w:color w:val="231F1F"/>
          <w:w w:val="120"/>
          <w:sz w:val="12"/>
        </w:rPr>
        <w:t>of</w:t>
      </w:r>
      <w:r>
        <w:rPr>
          <w:color w:val="231F1F"/>
          <w:spacing w:val="-24"/>
          <w:w w:val="120"/>
          <w:sz w:val="12"/>
        </w:rPr>
        <w:t> </w:t>
      </w:r>
      <w:r>
        <w:rPr>
          <w:color w:val="231F1F"/>
          <w:w w:val="120"/>
          <w:sz w:val="12"/>
        </w:rPr>
        <w:t>darunavir</w:t>
      </w:r>
      <w:r>
        <w:rPr>
          <w:color w:val="231F1F"/>
          <w:spacing w:val="-23"/>
          <w:w w:val="120"/>
          <w:sz w:val="12"/>
        </w:rPr>
        <w:t> </w:t>
      </w:r>
      <w:r>
        <w:rPr>
          <w:color w:val="231F1F"/>
          <w:w w:val="120"/>
          <w:sz w:val="12"/>
        </w:rPr>
        <w:t>advises</w:t>
      </w:r>
      <w:r>
        <w:rPr>
          <w:color w:val="231F1F"/>
          <w:spacing w:val="-23"/>
          <w:w w:val="120"/>
          <w:sz w:val="12"/>
        </w:rPr>
        <w:t> </w:t>
      </w:r>
      <w:r>
        <w:rPr>
          <w:color w:val="231F1F"/>
          <w:w w:val="120"/>
          <w:sz w:val="12"/>
        </w:rPr>
        <w:t>avoid</w:t>
      </w:r>
      <w:r>
        <w:rPr>
          <w:color w:val="231F1F"/>
          <w:spacing w:val="-23"/>
          <w:w w:val="120"/>
          <w:sz w:val="12"/>
        </w:rPr>
        <w:t> </w:t>
      </w:r>
      <w:r>
        <w:rPr>
          <w:color w:val="231F1F"/>
          <w:w w:val="120"/>
          <w:sz w:val="12"/>
        </w:rPr>
        <w:t>concomitant</w:t>
      </w:r>
      <w:r>
        <w:rPr>
          <w:color w:val="231F1F"/>
          <w:spacing w:val="-24"/>
          <w:w w:val="120"/>
          <w:sz w:val="12"/>
        </w:rPr>
        <w:t> </w:t>
      </w:r>
      <w:r>
        <w:rPr>
          <w:color w:val="231F1F"/>
          <w:w w:val="120"/>
          <w:sz w:val="12"/>
        </w:rPr>
        <w:t>use;</w:t>
      </w:r>
      <w:r>
        <w:rPr>
          <w:color w:val="231F1F"/>
          <w:spacing w:val="-23"/>
          <w:w w:val="120"/>
          <w:sz w:val="12"/>
        </w:rPr>
        <w:t> </w:t>
      </w:r>
      <w:r>
        <w:rPr>
          <w:color w:val="231F1F"/>
          <w:w w:val="120"/>
          <w:sz w:val="12"/>
        </w:rPr>
        <w:t>increased</w:t>
      </w:r>
      <w:r>
        <w:rPr>
          <w:color w:val="231F1F"/>
          <w:spacing w:val="-23"/>
          <w:w w:val="120"/>
          <w:sz w:val="12"/>
        </w:rPr>
        <w:t> </w:t>
      </w:r>
      <w:r>
        <w:rPr>
          <w:color w:val="231F1F"/>
          <w:w w:val="120"/>
          <w:sz w:val="12"/>
        </w:rPr>
        <w:t>risk</w:t>
      </w:r>
      <w:r>
        <w:rPr>
          <w:color w:val="231F1F"/>
          <w:spacing w:val="-23"/>
          <w:w w:val="120"/>
          <w:sz w:val="12"/>
        </w:rPr>
        <w:t> </w:t>
      </w:r>
      <w:r>
        <w:rPr>
          <w:color w:val="231F1F"/>
          <w:w w:val="120"/>
          <w:sz w:val="12"/>
        </w:rPr>
        <w:t>of </w:t>
      </w:r>
      <w:r>
        <w:rPr>
          <w:color w:val="231F1F"/>
          <w:w w:val="115"/>
          <w:sz w:val="12"/>
        </w:rPr>
        <w:t>ergotism</w:t>
      </w:r>
      <w:r>
        <w:rPr>
          <w:color w:val="231F1F"/>
          <w:spacing w:val="-15"/>
          <w:w w:val="115"/>
          <w:sz w:val="12"/>
        </w:rPr>
        <w:t> </w:t>
      </w:r>
      <w:r>
        <w:rPr>
          <w:color w:val="231F1F"/>
          <w:w w:val="115"/>
          <w:sz w:val="12"/>
        </w:rPr>
        <w:t>when</w:t>
      </w:r>
      <w:r>
        <w:rPr>
          <w:color w:val="231F1F"/>
          <w:spacing w:val="-14"/>
          <w:w w:val="115"/>
          <w:sz w:val="12"/>
        </w:rPr>
        <w:t> </w:t>
      </w:r>
      <w:r>
        <w:rPr>
          <w:color w:val="231F1F"/>
          <w:w w:val="115"/>
          <w:sz w:val="12"/>
        </w:rPr>
        <w:t>ergot</w:t>
      </w:r>
      <w:r>
        <w:rPr>
          <w:color w:val="231F1F"/>
          <w:spacing w:val="-15"/>
          <w:w w:val="115"/>
          <w:sz w:val="12"/>
        </w:rPr>
        <w:t> </w:t>
      </w:r>
      <w:r>
        <w:rPr>
          <w:color w:val="231F1F"/>
          <w:w w:val="115"/>
          <w:sz w:val="12"/>
        </w:rPr>
        <w:t>alkaloids</w:t>
      </w:r>
      <w:r>
        <w:rPr>
          <w:color w:val="231F1F"/>
          <w:spacing w:val="-14"/>
          <w:w w:val="115"/>
          <w:sz w:val="12"/>
        </w:rPr>
        <w:t> </w:t>
      </w:r>
      <w:r>
        <w:rPr>
          <w:color w:val="231F1F"/>
          <w:w w:val="115"/>
          <w:sz w:val="12"/>
        </w:rPr>
        <w:t>given</w:t>
      </w:r>
      <w:r>
        <w:rPr>
          <w:color w:val="231F1F"/>
          <w:spacing w:val="-14"/>
          <w:w w:val="115"/>
          <w:sz w:val="12"/>
        </w:rPr>
        <w:t> </w:t>
      </w:r>
      <w:r>
        <w:rPr>
          <w:color w:val="231F1F"/>
          <w:w w:val="115"/>
          <w:sz w:val="12"/>
        </w:rPr>
        <w:t>with</w:t>
      </w:r>
      <w:r>
        <w:rPr>
          <w:color w:val="231F1F"/>
          <w:spacing w:val="-14"/>
          <w:w w:val="115"/>
          <w:sz w:val="12"/>
        </w:rPr>
        <w:t> </w:t>
      </w:r>
      <w:r>
        <w:rPr>
          <w:rFonts w:ascii="Arial" w:hAnsi="Arial"/>
          <w:color w:val="231F1F"/>
          <w:w w:val="115"/>
          <w:position w:val="1"/>
          <w:sz w:val="7"/>
        </w:rPr>
        <w:t>l</w:t>
      </w:r>
      <w:r>
        <w:rPr>
          <w:rFonts w:ascii="Arial" w:hAnsi="Arial"/>
          <w:color w:val="231F1F"/>
          <w:spacing w:val="-3"/>
          <w:w w:val="115"/>
          <w:position w:val="1"/>
          <w:sz w:val="7"/>
        </w:rPr>
        <w:t> </w:t>
      </w:r>
      <w:r>
        <w:rPr>
          <w:rFonts w:ascii="Calibri" w:hAnsi="Calibri"/>
          <w:color w:val="008356"/>
          <w:spacing w:val="2"/>
          <w:w w:val="115"/>
          <w:sz w:val="11"/>
        </w:rPr>
        <w:t>EFAVIRENZ</w:t>
      </w:r>
      <w:r>
        <w:rPr>
          <w:rFonts w:ascii="Arial" w:hAnsi="Arial"/>
          <w:color w:val="231F1F"/>
          <w:spacing w:val="2"/>
          <w:w w:val="115"/>
          <w:sz w:val="12"/>
        </w:rPr>
        <w:t>—</w:t>
      </w:r>
      <w:r>
        <w:rPr>
          <w:color w:val="231F1F"/>
          <w:spacing w:val="2"/>
          <w:w w:val="115"/>
          <w:sz w:val="12"/>
        </w:rPr>
        <w:t>avoid </w:t>
      </w:r>
      <w:r>
        <w:rPr>
          <w:color w:val="231F1F"/>
          <w:w w:val="115"/>
          <w:sz w:val="12"/>
        </w:rPr>
        <w:t>concomitant</w:t>
      </w:r>
      <w:r>
        <w:rPr>
          <w:color w:val="231F1F"/>
          <w:spacing w:val="-8"/>
          <w:w w:val="115"/>
          <w:sz w:val="12"/>
        </w:rPr>
        <w:t> </w:t>
      </w:r>
      <w:r>
        <w:rPr>
          <w:color w:val="231F1F"/>
          <w:w w:val="115"/>
          <w:sz w:val="12"/>
        </w:rPr>
        <w:t>use;</w:t>
      </w:r>
      <w:r>
        <w:rPr>
          <w:color w:val="231F1F"/>
          <w:spacing w:val="-7"/>
          <w:w w:val="115"/>
          <w:sz w:val="12"/>
        </w:rPr>
        <w:t> </w:t>
      </w:r>
      <w:r>
        <w:rPr>
          <w:color w:val="231F1F"/>
          <w:w w:val="115"/>
          <w:sz w:val="12"/>
        </w:rPr>
        <w:t>increased</w:t>
      </w:r>
      <w:r>
        <w:rPr>
          <w:color w:val="231F1F"/>
          <w:spacing w:val="-7"/>
          <w:w w:val="115"/>
          <w:sz w:val="12"/>
        </w:rPr>
        <w:t> </w:t>
      </w:r>
      <w:r>
        <w:rPr>
          <w:color w:val="231F1F"/>
          <w:w w:val="115"/>
          <w:sz w:val="12"/>
        </w:rPr>
        <w:t>risk</w:t>
      </w:r>
      <w:r>
        <w:rPr>
          <w:color w:val="231F1F"/>
          <w:spacing w:val="-6"/>
          <w:w w:val="115"/>
          <w:sz w:val="12"/>
        </w:rPr>
        <w:t> </w:t>
      </w:r>
      <w:r>
        <w:rPr>
          <w:color w:val="231F1F"/>
          <w:w w:val="115"/>
          <w:sz w:val="12"/>
        </w:rPr>
        <w:t>of</w:t>
      </w:r>
      <w:r>
        <w:rPr>
          <w:color w:val="231F1F"/>
          <w:spacing w:val="-6"/>
          <w:w w:val="115"/>
          <w:sz w:val="12"/>
        </w:rPr>
        <w:t> </w:t>
      </w:r>
      <w:r>
        <w:rPr>
          <w:color w:val="231F1F"/>
          <w:w w:val="115"/>
          <w:sz w:val="12"/>
        </w:rPr>
        <w:t>ergotism</w:t>
      </w:r>
      <w:r>
        <w:rPr>
          <w:color w:val="231F1F"/>
          <w:spacing w:val="-8"/>
          <w:w w:val="115"/>
          <w:sz w:val="12"/>
        </w:rPr>
        <w:t> </w:t>
      </w:r>
      <w:r>
        <w:rPr>
          <w:color w:val="231F1F"/>
          <w:w w:val="115"/>
          <w:sz w:val="12"/>
        </w:rPr>
        <w:t>when</w:t>
      </w:r>
      <w:r>
        <w:rPr>
          <w:color w:val="231F1F"/>
          <w:spacing w:val="-7"/>
          <w:w w:val="115"/>
          <w:sz w:val="12"/>
        </w:rPr>
        <w:t> </w:t>
      </w:r>
      <w:r>
        <w:rPr>
          <w:color w:val="231F1F"/>
          <w:w w:val="115"/>
          <w:sz w:val="12"/>
        </w:rPr>
        <w:t>ergotamine </w:t>
      </w:r>
      <w:r>
        <w:rPr>
          <w:color w:val="231F1F"/>
          <w:w w:val="120"/>
          <w:sz w:val="12"/>
        </w:rPr>
        <w:t>given</w:t>
      </w:r>
      <w:r>
        <w:rPr>
          <w:color w:val="231F1F"/>
          <w:spacing w:val="-26"/>
          <w:w w:val="120"/>
          <w:sz w:val="12"/>
        </w:rPr>
        <w:t> </w:t>
      </w:r>
      <w:r>
        <w:rPr>
          <w:color w:val="231F1F"/>
          <w:w w:val="120"/>
          <w:sz w:val="12"/>
        </w:rPr>
        <w:t>with</w:t>
      </w:r>
      <w:r>
        <w:rPr>
          <w:color w:val="231F1F"/>
          <w:spacing w:val="-26"/>
          <w:w w:val="120"/>
          <w:sz w:val="12"/>
        </w:rPr>
        <w:t> </w:t>
      </w:r>
      <w:r>
        <w:rPr>
          <w:rFonts w:ascii="Arial" w:hAnsi="Arial"/>
          <w:color w:val="231F1F"/>
          <w:w w:val="340"/>
          <w:position w:val="1"/>
          <w:sz w:val="7"/>
        </w:rPr>
        <w:t>l</w:t>
      </w:r>
      <w:r>
        <w:rPr>
          <w:rFonts w:ascii="Arial" w:hAnsi="Arial"/>
          <w:color w:val="231F1F"/>
          <w:spacing w:val="-56"/>
          <w:w w:val="340"/>
          <w:position w:val="1"/>
          <w:sz w:val="7"/>
        </w:rPr>
        <w:t> </w:t>
      </w:r>
      <w:r>
        <w:rPr>
          <w:rFonts w:ascii="Calibri" w:hAnsi="Calibri"/>
          <w:color w:val="008356"/>
          <w:spacing w:val="4"/>
          <w:w w:val="120"/>
          <w:sz w:val="11"/>
        </w:rPr>
        <w:t>FOSAMPRENAVIR</w:t>
      </w:r>
      <w:r>
        <w:rPr>
          <w:color w:val="231F1F"/>
          <w:spacing w:val="4"/>
          <w:w w:val="120"/>
          <w:sz w:val="12"/>
        </w:rPr>
        <w:t>,</w:t>
      </w:r>
      <w:r>
        <w:rPr>
          <w:color w:val="231F1F"/>
          <w:spacing w:val="-26"/>
          <w:w w:val="120"/>
          <w:sz w:val="12"/>
        </w:rPr>
        <w:t> </w:t>
      </w:r>
      <w:r>
        <w:rPr>
          <w:rFonts w:ascii="Arial" w:hAnsi="Arial"/>
          <w:color w:val="231F1F"/>
          <w:w w:val="340"/>
          <w:position w:val="1"/>
          <w:sz w:val="7"/>
        </w:rPr>
        <w:t>l</w:t>
      </w:r>
      <w:r>
        <w:rPr>
          <w:rFonts w:ascii="Arial" w:hAnsi="Arial"/>
          <w:color w:val="231F1F"/>
          <w:spacing w:val="-56"/>
          <w:w w:val="340"/>
          <w:position w:val="1"/>
          <w:sz w:val="7"/>
        </w:rPr>
        <w:t> </w:t>
      </w:r>
      <w:r>
        <w:rPr>
          <w:rFonts w:ascii="Calibri" w:hAnsi="Calibri"/>
          <w:color w:val="008356"/>
          <w:spacing w:val="4"/>
          <w:w w:val="120"/>
          <w:sz w:val="11"/>
        </w:rPr>
        <w:t>INDINAVIR</w:t>
      </w:r>
      <w:r>
        <w:rPr>
          <w:color w:val="231F1F"/>
          <w:spacing w:val="4"/>
          <w:w w:val="120"/>
          <w:sz w:val="12"/>
        </w:rPr>
        <w:t>,</w:t>
      </w:r>
      <w:r>
        <w:rPr>
          <w:color w:val="231F1F"/>
          <w:spacing w:val="-25"/>
          <w:w w:val="120"/>
          <w:sz w:val="12"/>
        </w:rPr>
        <w:t> </w:t>
      </w:r>
      <w:r>
        <w:rPr>
          <w:rFonts w:ascii="Arial" w:hAnsi="Arial"/>
          <w:color w:val="231F1F"/>
          <w:w w:val="340"/>
          <w:position w:val="1"/>
          <w:sz w:val="7"/>
        </w:rPr>
        <w:t>l</w:t>
      </w:r>
      <w:r>
        <w:rPr>
          <w:rFonts w:ascii="Arial" w:hAnsi="Arial"/>
          <w:color w:val="231F1F"/>
          <w:spacing w:val="-57"/>
          <w:w w:val="340"/>
          <w:position w:val="1"/>
          <w:sz w:val="7"/>
        </w:rPr>
        <w:t> </w:t>
      </w:r>
      <w:r>
        <w:rPr>
          <w:rFonts w:ascii="Calibri" w:hAnsi="Calibri"/>
          <w:color w:val="008356"/>
          <w:spacing w:val="3"/>
          <w:w w:val="120"/>
          <w:sz w:val="11"/>
        </w:rPr>
        <w:t>RITONAVIR</w:t>
      </w:r>
      <w:r>
        <w:rPr>
          <w:rFonts w:ascii="Calibri" w:hAnsi="Calibri"/>
          <w:color w:val="008356"/>
          <w:spacing w:val="-18"/>
          <w:w w:val="120"/>
          <w:sz w:val="11"/>
        </w:rPr>
        <w:t> </w:t>
      </w:r>
      <w:r>
        <w:rPr>
          <w:color w:val="231F1F"/>
          <w:w w:val="120"/>
          <w:sz w:val="12"/>
        </w:rPr>
        <w:t>or</w:t>
      </w:r>
    </w:p>
    <w:p>
      <w:pPr>
        <w:spacing w:line="244" w:lineRule="auto" w:before="0"/>
        <w:ind w:left="208" w:right="67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0"/>
          <w:sz w:val="11"/>
        </w:rPr>
        <w:t>SAQUINAVIR</w:t>
      </w:r>
      <w:r>
        <w:rPr>
          <w:rFonts w:ascii="Arial" w:hAnsi="Arial"/>
          <w:color w:val="231F1F"/>
          <w:spacing w:val="2"/>
          <w:w w:val="110"/>
          <w:sz w:val="12"/>
        </w:rPr>
        <w:t>—</w:t>
      </w:r>
      <w:r>
        <w:rPr>
          <w:color w:val="231F1F"/>
          <w:spacing w:val="2"/>
          <w:w w:val="110"/>
          <w:sz w:val="12"/>
        </w:rPr>
        <w:t>avoid </w:t>
      </w:r>
      <w:r>
        <w:rPr>
          <w:color w:val="231F1F"/>
          <w:w w:val="110"/>
          <w:sz w:val="12"/>
        </w:rPr>
        <w:t>concomitant use; increased risk </w:t>
      </w:r>
      <w:r>
        <w:rPr>
          <w:color w:val="231F1F"/>
          <w:spacing w:val="-6"/>
          <w:w w:val="110"/>
          <w:sz w:val="12"/>
        </w:rPr>
        <w:t>of </w:t>
      </w:r>
      <w:r>
        <w:rPr>
          <w:color w:val="231F1F"/>
          <w:w w:val="110"/>
          <w:sz w:val="12"/>
        </w:rPr>
        <w:t>ergotism when ergometrine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INDINAVIR </w:t>
      </w:r>
      <w:r>
        <w:rPr>
          <w:color w:val="231F1F"/>
          <w:w w:val="110"/>
          <w:sz w:val="12"/>
        </w:rPr>
        <w:t>or</w:t>
      </w:r>
    </w:p>
    <w:p>
      <w:pPr>
        <w:spacing w:line="139"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RITONAVIR</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increased peripheral vasoconstriction when ergotamine given with </w:t>
      </w:r>
      <w:r>
        <w:rPr>
          <w:rFonts w:ascii="Calibri" w:hAnsi="Calibri"/>
          <w:color w:val="008356"/>
          <w:w w:val="105"/>
          <w:sz w:val="11"/>
        </w:rPr>
        <w:t>BETA-BLOCKERS</w:t>
      </w:r>
    </w:p>
    <w:p>
      <w:pPr>
        <w:pStyle w:val="BodyText"/>
        <w:ind w:right="599" w:hanging="100"/>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231F1F"/>
          <w:w w:val="120"/>
        </w:rPr>
        <w:t>Cobicistat: </w:t>
      </w:r>
      <w:r>
        <w:rPr>
          <w:color w:val="231F1F"/>
          <w:w w:val="120"/>
        </w:rPr>
        <w:t>plasma concentration of ergot alkaloids possibly </w:t>
      </w:r>
      <w:r>
        <w:rPr>
          <w:color w:val="231F1F"/>
          <w:w w:val="115"/>
        </w:rPr>
        <w:t>increased by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advises </w:t>
      </w:r>
      <w:r>
        <w:rPr>
          <w:color w:val="231F1F"/>
          <w:w w:val="120"/>
        </w:rPr>
        <w:t>avoid concomitant use</w:t>
      </w:r>
    </w:p>
    <w:p>
      <w:pPr>
        <w:pStyle w:val="BodyText"/>
        <w:spacing w:before="1"/>
        <w:ind w:right="762"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caution with ergot alkaloids advised by manufacturer of </w:t>
      </w:r>
      <w:r>
        <w:rPr>
          <w:rFonts w:ascii="Arial"/>
          <w:color w:val="231F1F"/>
          <w:w w:val="355"/>
          <w:position w:val="1"/>
          <w:sz w:val="7"/>
        </w:rPr>
        <w:t>l </w:t>
      </w:r>
      <w:r>
        <w:rPr>
          <w:rFonts w:ascii="Calibri"/>
          <w:color w:val="008356"/>
          <w:w w:val="110"/>
          <w:sz w:val="11"/>
        </w:rPr>
        <w:t>CRIZOTINIB</w:t>
      </w:r>
      <w:r>
        <w:rPr>
          <w:color w:val="231F1F"/>
          <w:w w:val="110"/>
        </w:rPr>
        <w:t>; avoidance of ergotamine advised by manufacturer of </w:t>
      </w:r>
      <w:r>
        <w:rPr>
          <w:rFonts w:ascii="Calibri"/>
          <w:color w:val="008356"/>
          <w:w w:val="110"/>
          <w:sz w:val="11"/>
        </w:rPr>
        <w:t>IDELALISIB</w:t>
      </w:r>
    </w:p>
    <w:p>
      <w:pPr>
        <w:spacing w:before="0"/>
        <w:ind w:left="208" w:right="984" w:hanging="100"/>
        <w:jc w:val="left"/>
        <w:rPr>
          <w:sz w:val="12"/>
        </w:rPr>
      </w:pPr>
      <w:r>
        <w:rPr>
          <w:rFonts w:ascii="Arial"/>
          <w:color w:val="231F1F"/>
          <w:w w:val="355"/>
          <w:position w:val="1"/>
          <w:sz w:val="7"/>
        </w:rPr>
        <w:t>l</w:t>
      </w:r>
      <w:r>
        <w:rPr>
          <w:rFonts w:ascii="Arial"/>
          <w:color w:val="231F1F"/>
          <w:spacing w:val="-41"/>
          <w:w w:val="355"/>
          <w:position w:val="1"/>
          <w:sz w:val="7"/>
        </w:rPr>
        <w:t> </w:t>
      </w:r>
      <w:r>
        <w:rPr>
          <w:rFonts w:ascii="Calibri"/>
          <w:color w:val="231F1F"/>
          <w:w w:val="110"/>
          <w:sz w:val="12"/>
        </w:rPr>
        <w:t>5HT</w:t>
      </w:r>
      <w:r>
        <w:rPr>
          <w:rFonts w:ascii="Calibri"/>
          <w:color w:val="231F1F"/>
          <w:w w:val="110"/>
          <w:sz w:val="12"/>
          <w:vertAlign w:val="subscript"/>
        </w:rPr>
        <w:t>1</w:t>
      </w:r>
      <w:r>
        <w:rPr>
          <w:rFonts w:ascii="Calibri"/>
          <w:color w:val="231F1F"/>
          <w:w w:val="110"/>
          <w:sz w:val="12"/>
          <w:vertAlign w:val="baseline"/>
        </w:rPr>
        <w:t>-receptor</w:t>
      </w:r>
      <w:r>
        <w:rPr>
          <w:rFonts w:ascii="Calibri"/>
          <w:color w:val="231F1F"/>
          <w:spacing w:val="-7"/>
          <w:w w:val="110"/>
          <w:sz w:val="12"/>
          <w:vertAlign w:val="baseline"/>
        </w:rPr>
        <w:t> </w:t>
      </w:r>
      <w:r>
        <w:rPr>
          <w:rFonts w:ascii="Calibri"/>
          <w:color w:val="231F1F"/>
          <w:w w:val="110"/>
          <w:sz w:val="12"/>
          <w:vertAlign w:val="baseline"/>
        </w:rPr>
        <w:t>Agonists:</w:t>
      </w:r>
      <w:r>
        <w:rPr>
          <w:rFonts w:ascii="Calibri"/>
          <w:color w:val="231F1F"/>
          <w:spacing w:val="-7"/>
          <w:w w:val="110"/>
          <w:sz w:val="12"/>
          <w:vertAlign w:val="baseline"/>
        </w:rPr>
        <w:t> </w:t>
      </w:r>
      <w:r>
        <w:rPr>
          <w:color w:val="231F1F"/>
          <w:w w:val="110"/>
          <w:sz w:val="12"/>
          <w:vertAlign w:val="baseline"/>
        </w:rPr>
        <w:t>increased</w:t>
      </w:r>
      <w:r>
        <w:rPr>
          <w:color w:val="231F1F"/>
          <w:spacing w:val="-11"/>
          <w:w w:val="110"/>
          <w:sz w:val="12"/>
          <w:vertAlign w:val="baseline"/>
        </w:rPr>
        <w:t> </w:t>
      </w:r>
      <w:r>
        <w:rPr>
          <w:color w:val="231F1F"/>
          <w:w w:val="110"/>
          <w:sz w:val="12"/>
          <w:vertAlign w:val="baseline"/>
        </w:rPr>
        <w:t>risk</w:t>
      </w:r>
      <w:r>
        <w:rPr>
          <w:color w:val="231F1F"/>
          <w:spacing w:val="-10"/>
          <w:w w:val="110"/>
          <w:sz w:val="12"/>
          <w:vertAlign w:val="baseline"/>
        </w:rPr>
        <w:t> </w:t>
      </w:r>
      <w:r>
        <w:rPr>
          <w:color w:val="231F1F"/>
          <w:w w:val="110"/>
          <w:sz w:val="12"/>
          <w:vertAlign w:val="baseline"/>
        </w:rPr>
        <w:t>of</w:t>
      </w:r>
      <w:r>
        <w:rPr>
          <w:color w:val="231F1F"/>
          <w:spacing w:val="-10"/>
          <w:w w:val="110"/>
          <w:sz w:val="12"/>
          <w:vertAlign w:val="baseline"/>
        </w:rPr>
        <w:t> </w:t>
      </w:r>
      <w:r>
        <w:rPr>
          <w:color w:val="231F1F"/>
          <w:w w:val="110"/>
          <w:sz w:val="12"/>
          <w:vertAlign w:val="baseline"/>
        </w:rPr>
        <w:t>vasospasm</w:t>
      </w:r>
      <w:r>
        <w:rPr>
          <w:color w:val="231F1F"/>
          <w:spacing w:val="-11"/>
          <w:w w:val="110"/>
          <w:sz w:val="12"/>
          <w:vertAlign w:val="baseline"/>
        </w:rPr>
        <w:t> </w:t>
      </w:r>
      <w:r>
        <w:rPr>
          <w:color w:val="231F1F"/>
          <w:spacing w:val="-3"/>
          <w:w w:val="110"/>
          <w:sz w:val="12"/>
          <w:vertAlign w:val="baseline"/>
        </w:rPr>
        <w:t>when </w:t>
      </w:r>
      <w:r>
        <w:rPr>
          <w:color w:val="231F1F"/>
          <w:w w:val="110"/>
          <w:sz w:val="12"/>
          <w:vertAlign w:val="baseline"/>
        </w:rPr>
        <w:t>ergotamine</w:t>
      </w:r>
      <w:r>
        <w:rPr>
          <w:color w:val="231F1F"/>
          <w:spacing w:val="-10"/>
          <w:w w:val="110"/>
          <w:sz w:val="12"/>
          <w:vertAlign w:val="baseline"/>
        </w:rPr>
        <w:t> </w:t>
      </w:r>
      <w:r>
        <w:rPr>
          <w:color w:val="231F1F"/>
          <w:w w:val="110"/>
          <w:sz w:val="12"/>
          <w:vertAlign w:val="baseline"/>
        </w:rPr>
        <w:t>given</w:t>
      </w:r>
      <w:r>
        <w:rPr>
          <w:color w:val="231F1F"/>
          <w:spacing w:val="-9"/>
          <w:w w:val="110"/>
          <w:sz w:val="12"/>
          <w:vertAlign w:val="baseline"/>
        </w:rPr>
        <w:t> </w:t>
      </w:r>
      <w:r>
        <w:rPr>
          <w:color w:val="231F1F"/>
          <w:w w:val="110"/>
          <w:sz w:val="12"/>
          <w:vertAlign w:val="baseline"/>
        </w:rPr>
        <w:t>with</w:t>
      </w:r>
      <w:r>
        <w:rPr>
          <w:color w:val="231F1F"/>
          <w:spacing w:val="-8"/>
          <w:w w:val="110"/>
          <w:sz w:val="12"/>
          <w:vertAlign w:val="baseline"/>
        </w:rPr>
        <w:t> </w:t>
      </w:r>
      <w:r>
        <w:rPr>
          <w:rFonts w:ascii="Arial"/>
          <w:color w:val="231F1F"/>
          <w:w w:val="355"/>
          <w:position w:val="1"/>
          <w:sz w:val="7"/>
          <w:vertAlign w:val="baseline"/>
        </w:rPr>
        <w:t>l</w:t>
      </w:r>
      <w:r>
        <w:rPr>
          <w:rFonts w:ascii="Arial"/>
          <w:color w:val="231F1F"/>
          <w:spacing w:val="-47"/>
          <w:w w:val="355"/>
          <w:position w:val="1"/>
          <w:sz w:val="7"/>
          <w:vertAlign w:val="baseline"/>
        </w:rPr>
        <w:t> </w:t>
      </w:r>
      <w:r>
        <w:rPr>
          <w:rFonts w:ascii="Calibri"/>
          <w:color w:val="008356"/>
          <w:spacing w:val="4"/>
          <w:w w:val="110"/>
          <w:sz w:val="11"/>
          <w:vertAlign w:val="baseline"/>
        </w:rPr>
        <w:t>ALMOTRIPTAN</w:t>
      </w:r>
      <w:r>
        <w:rPr>
          <w:color w:val="231F1F"/>
          <w:spacing w:val="4"/>
          <w:w w:val="110"/>
          <w:sz w:val="12"/>
          <w:vertAlign w:val="baseline"/>
        </w:rPr>
        <w:t>,</w:t>
      </w:r>
      <w:r>
        <w:rPr>
          <w:color w:val="231F1F"/>
          <w:spacing w:val="-8"/>
          <w:w w:val="110"/>
          <w:sz w:val="12"/>
          <w:vertAlign w:val="baseline"/>
        </w:rPr>
        <w:t> </w:t>
      </w:r>
      <w:r>
        <w:rPr>
          <w:rFonts w:ascii="Arial"/>
          <w:color w:val="231F1F"/>
          <w:w w:val="355"/>
          <w:position w:val="1"/>
          <w:sz w:val="7"/>
          <w:vertAlign w:val="baseline"/>
        </w:rPr>
        <w:t>l</w:t>
      </w:r>
      <w:r>
        <w:rPr>
          <w:rFonts w:ascii="Arial"/>
          <w:color w:val="231F1F"/>
          <w:spacing w:val="-47"/>
          <w:w w:val="355"/>
          <w:position w:val="1"/>
          <w:sz w:val="7"/>
          <w:vertAlign w:val="baseline"/>
        </w:rPr>
        <w:t> </w:t>
      </w:r>
      <w:r>
        <w:rPr>
          <w:rFonts w:ascii="Calibri"/>
          <w:color w:val="008356"/>
          <w:spacing w:val="3"/>
          <w:w w:val="110"/>
          <w:sz w:val="11"/>
          <w:vertAlign w:val="baseline"/>
        </w:rPr>
        <w:t>RIZATRIPTAN</w:t>
      </w:r>
      <w:r>
        <w:rPr>
          <w:color w:val="231F1F"/>
          <w:spacing w:val="3"/>
          <w:w w:val="110"/>
          <w:sz w:val="12"/>
          <w:vertAlign w:val="baseline"/>
        </w:rPr>
        <w:t>,</w:t>
      </w:r>
    </w:p>
    <w:p>
      <w:pPr>
        <w:pStyle w:val="BodyText"/>
        <w:spacing w:line="247" w:lineRule="auto"/>
        <w:ind w:right="717"/>
      </w:pPr>
      <w:r>
        <w:rPr>
          <w:rFonts w:ascii="Arial"/>
          <w:color w:val="231F1F"/>
          <w:w w:val="355"/>
          <w:position w:val="1"/>
          <w:sz w:val="7"/>
        </w:rPr>
        <w:t>l </w:t>
      </w:r>
      <w:r>
        <w:rPr>
          <w:rFonts w:ascii="Calibri"/>
          <w:color w:val="008356"/>
          <w:spacing w:val="3"/>
          <w:w w:val="110"/>
          <w:sz w:val="11"/>
        </w:rPr>
        <w:t>SUMATRIPTAN </w:t>
      </w:r>
      <w:r>
        <w:rPr>
          <w:color w:val="231F1F"/>
          <w:w w:val="110"/>
        </w:rPr>
        <w:t>or </w:t>
      </w:r>
      <w:r>
        <w:rPr>
          <w:rFonts w:ascii="Arial"/>
          <w:color w:val="231F1F"/>
          <w:w w:val="355"/>
          <w:position w:val="1"/>
          <w:sz w:val="7"/>
        </w:rPr>
        <w:t>l </w:t>
      </w:r>
      <w:r>
        <w:rPr>
          <w:rFonts w:ascii="Calibri"/>
          <w:color w:val="008356"/>
          <w:spacing w:val="4"/>
          <w:w w:val="110"/>
          <w:sz w:val="11"/>
        </w:rPr>
        <w:t>ZOLMITRIPTAN </w:t>
      </w:r>
      <w:r>
        <w:rPr>
          <w:color w:val="231F1F"/>
          <w:w w:val="110"/>
        </w:rPr>
        <w:t>(avoid ergotamine for 6 hours after almotriptan, rizatriptan, sumatriptan or zolmitriptan, avoid almotriptan, rizatriptan, sumatriptan or zolmitriptan for 24 hours after ergotamine); increased risk </w:t>
      </w:r>
      <w:r>
        <w:rPr>
          <w:color w:val="231F1F"/>
          <w:spacing w:val="-8"/>
          <w:w w:val="110"/>
        </w:rPr>
        <w:t>of </w:t>
      </w:r>
      <w:r>
        <w:rPr>
          <w:color w:val="231F1F"/>
          <w:w w:val="110"/>
        </w:rPr>
        <w:t>vasospasm when ergotamine given with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ELETRIPTAN</w:t>
      </w:r>
      <w:r>
        <w:rPr>
          <w:color w:val="231F1F"/>
          <w:spacing w:val="4"/>
          <w:w w:val="110"/>
        </w:rPr>
        <w:t>,</w:t>
      </w:r>
    </w:p>
    <w:p>
      <w:pPr>
        <w:pStyle w:val="BodyText"/>
        <w:spacing w:line="247" w:lineRule="auto"/>
        <w:ind w:right="860" w:hanging="1"/>
      </w:pP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FROVATRIPTAN</w:t>
      </w:r>
      <w:r>
        <w:rPr>
          <w:rFonts w:ascii="Calibri"/>
          <w:color w:val="008356"/>
          <w:spacing w:val="-3"/>
          <w:w w:val="110"/>
          <w:sz w:val="11"/>
        </w:rPr>
        <w:t> </w:t>
      </w:r>
      <w:r>
        <w:rPr>
          <w:color w:val="231F1F"/>
          <w:w w:val="110"/>
        </w:rPr>
        <w:t>or</w:t>
      </w:r>
      <w:r>
        <w:rPr>
          <w:color w:val="231F1F"/>
          <w:spacing w:val="-13"/>
          <w:w w:val="110"/>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0"/>
          <w:sz w:val="11"/>
        </w:rPr>
        <w:t>NARATRIPTAN</w:t>
      </w:r>
      <w:r>
        <w:rPr>
          <w:rFonts w:ascii="Calibri"/>
          <w:color w:val="008356"/>
          <w:spacing w:val="-3"/>
          <w:w w:val="110"/>
          <w:sz w:val="11"/>
        </w:rPr>
        <w:t> </w:t>
      </w:r>
      <w:r>
        <w:rPr>
          <w:color w:val="231F1F"/>
          <w:w w:val="110"/>
        </w:rPr>
        <w:t>(avoid</w:t>
      </w:r>
      <w:r>
        <w:rPr>
          <w:color w:val="231F1F"/>
          <w:spacing w:val="-12"/>
          <w:w w:val="110"/>
        </w:rPr>
        <w:t> </w:t>
      </w:r>
      <w:r>
        <w:rPr>
          <w:color w:val="231F1F"/>
          <w:w w:val="110"/>
        </w:rPr>
        <w:t>ergotamine</w:t>
      </w:r>
      <w:r>
        <w:rPr>
          <w:color w:val="231F1F"/>
          <w:spacing w:val="-14"/>
          <w:w w:val="110"/>
        </w:rPr>
        <w:t> </w:t>
      </w:r>
      <w:r>
        <w:rPr>
          <w:color w:val="231F1F"/>
          <w:w w:val="110"/>
        </w:rPr>
        <w:t>for</w:t>
      </w:r>
      <w:r>
        <w:rPr>
          <w:color w:val="231F1F"/>
          <w:spacing w:val="-12"/>
          <w:w w:val="110"/>
        </w:rPr>
        <w:t> </w:t>
      </w:r>
      <w:r>
        <w:rPr>
          <w:color w:val="231F1F"/>
          <w:w w:val="110"/>
        </w:rPr>
        <w:t>24 hours after eletriptan, frovatriptan or naratriptan, avoid eletriptan, frovatriptan or naratriptan for 24 hours after ergotamine)</w:t>
      </w:r>
    </w:p>
    <w:p>
      <w:pPr>
        <w:pStyle w:val="BodyText"/>
        <w:spacing w:line="220" w:lineRule="auto" w:before="6"/>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increased risk of ergotism when ergotamine given with </w:t>
      </w:r>
      <w:r>
        <w:rPr>
          <w:rFonts w:ascii="Calibri" w:hAnsi="Calibri"/>
          <w:color w:val="008356"/>
          <w:w w:val="105"/>
          <w:sz w:val="11"/>
        </w:rPr>
        <w:t>SYMPATHOMIMETICS</w:t>
      </w:r>
    </w:p>
    <w:p>
      <w:pPr>
        <w:pStyle w:val="BodyText"/>
        <w:ind w:right="828" w:hanging="100"/>
        <w:rPr>
          <w:rFonts w:ascii="Calibri"/>
          <w:sz w:val="11"/>
        </w:rPr>
      </w:pPr>
      <w:r>
        <w:rPr>
          <w:rFonts w:ascii="Arial"/>
          <w:color w:val="231F1F"/>
          <w:w w:val="355"/>
          <w:position w:val="1"/>
          <w:sz w:val="7"/>
        </w:rPr>
        <w:t>l </w:t>
      </w:r>
      <w:r>
        <w:rPr>
          <w:rFonts w:ascii="Calibri"/>
          <w:color w:val="231F1F"/>
          <w:w w:val="110"/>
        </w:rPr>
        <w:t>Ticagrelor: </w:t>
      </w:r>
      <w:r>
        <w:rPr>
          <w:color w:val="231F1F"/>
          <w:w w:val="110"/>
        </w:rPr>
        <w:t>plasma concentration of ergot alkaloids possibly increased by </w:t>
      </w:r>
      <w:r>
        <w:rPr>
          <w:rFonts w:ascii="Arial"/>
          <w:color w:val="231F1F"/>
          <w:w w:val="355"/>
          <w:position w:val="1"/>
          <w:sz w:val="7"/>
        </w:rPr>
        <w:t>l </w:t>
      </w:r>
      <w:r>
        <w:rPr>
          <w:rFonts w:ascii="Calibri"/>
          <w:color w:val="008356"/>
          <w:spacing w:val="4"/>
          <w:w w:val="110"/>
          <w:sz w:val="11"/>
        </w:rPr>
        <w:t>TICAGRELOR</w:t>
      </w:r>
    </w:p>
    <w:p>
      <w:pPr>
        <w:pStyle w:val="BodyText"/>
        <w:spacing w:line="237" w:lineRule="auto"/>
        <w:ind w:right="757" w:hanging="100"/>
      </w:pPr>
      <w:r>
        <w:rPr>
          <w:rFonts w:ascii="Arial" w:hAnsi="Arial"/>
          <w:color w:val="231F1F"/>
          <w:w w:val="355"/>
          <w:position w:val="1"/>
          <w:sz w:val="7"/>
        </w:rPr>
        <w:t>l </w:t>
      </w:r>
      <w:r>
        <w:rPr>
          <w:rFonts w:ascii="Calibri" w:hAnsi="Calibri"/>
          <w:color w:val="231F1F"/>
          <w:w w:val="110"/>
        </w:rPr>
        <w:t>Ulcer-healing Drugs: </w:t>
      </w:r>
      <w:r>
        <w:rPr>
          <w:color w:val="231F1F"/>
          <w:w w:val="110"/>
        </w:rPr>
        <w:t>increased risk of ergotism when ergotamine given with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0"/>
          <w:sz w:val="11"/>
        </w:rPr>
        <w:t>CIMETIDINE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before="5"/>
        <w:ind w:left="108"/>
      </w:pPr>
      <w:r>
        <w:rPr>
          <w:rFonts w:ascii="Trebuchet MS"/>
          <w:color w:val="008356"/>
          <w:w w:val="105"/>
        </w:rPr>
        <w:t>Ergotamine </w:t>
      </w:r>
      <w:r>
        <w:rPr>
          <w:i/>
          <w:color w:val="231F1F"/>
          <w:w w:val="105"/>
        </w:rPr>
        <w:t>see </w:t>
      </w:r>
      <w:r>
        <w:rPr>
          <w:color w:val="231F1F"/>
          <w:w w:val="105"/>
        </w:rPr>
        <w:t>Ergot Alkaloids</w:t>
      </w:r>
    </w:p>
    <w:p>
      <w:pPr>
        <w:pStyle w:val="BodyText"/>
        <w:spacing w:before="10"/>
        <w:ind w:left="108"/>
        <w:rPr>
          <w:rFonts w:ascii="Trebuchet MS"/>
        </w:rPr>
      </w:pPr>
      <w:r>
        <w:rPr>
          <w:rFonts w:ascii="Trebuchet MS"/>
          <w:color w:val="008356"/>
          <w:w w:val="105"/>
        </w:rPr>
        <w:t>Eribulin</w:t>
      </w:r>
    </w:p>
    <w:p>
      <w:pPr>
        <w:pStyle w:val="BodyText"/>
        <w:spacing w:line="220" w:lineRule="auto" w:before="10"/>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eribulin possibly reduced by </w:t>
      </w:r>
      <w:r>
        <w:rPr>
          <w:rFonts w:ascii="Calibri" w:hAnsi="Calibri"/>
          <w:color w:val="008356"/>
          <w:w w:val="105"/>
          <w:sz w:val="11"/>
        </w:rPr>
        <w:t>RIFAMPICIN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eribulin possibly reduced by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20" w:lineRule="auto" w:before="8"/>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eribulin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before="8"/>
        <w:ind w:left="108"/>
        <w:rPr>
          <w:rFonts w:ascii="Trebuchet MS"/>
        </w:rPr>
      </w:pPr>
      <w:r>
        <w:rPr>
          <w:rFonts w:ascii="Trebuchet MS"/>
          <w:color w:val="008356"/>
        </w:rPr>
        <w:t>Erlotinib</w:t>
      </w:r>
    </w:p>
    <w:p>
      <w:pPr>
        <w:pStyle w:val="BodyText"/>
        <w:ind w:right="885" w:hanging="100"/>
        <w:rPr>
          <w:rFonts w:ascii="Calibri"/>
          <w:sz w:val="11"/>
        </w:rPr>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Analgesics:</w:t>
      </w:r>
      <w:r>
        <w:rPr>
          <w:rFonts w:ascii="Calibri"/>
          <w:color w:val="231F1F"/>
          <w:spacing w:val="-10"/>
          <w:w w:val="115"/>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bleeding</w:t>
      </w:r>
      <w:r>
        <w:rPr>
          <w:color w:val="231F1F"/>
          <w:spacing w:val="-15"/>
          <w:w w:val="115"/>
        </w:rPr>
        <w:t> </w:t>
      </w:r>
      <w:r>
        <w:rPr>
          <w:color w:val="231F1F"/>
          <w:w w:val="115"/>
        </w:rPr>
        <w:t>when</w:t>
      </w:r>
      <w:r>
        <w:rPr>
          <w:color w:val="231F1F"/>
          <w:spacing w:val="-14"/>
          <w:w w:val="115"/>
        </w:rPr>
        <w:t> </w:t>
      </w:r>
      <w:r>
        <w:rPr>
          <w:color w:val="231F1F"/>
          <w:w w:val="115"/>
        </w:rPr>
        <w:t>erlotinib</w:t>
      </w:r>
      <w:r>
        <w:rPr>
          <w:color w:val="231F1F"/>
          <w:spacing w:val="-14"/>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Calibri"/>
          <w:color w:val="008356"/>
          <w:spacing w:val="5"/>
          <w:w w:val="115"/>
          <w:sz w:val="11"/>
        </w:rPr>
        <w:t>NSAIDS</w:t>
      </w:r>
    </w:p>
    <w:p>
      <w:pPr>
        <w:pStyle w:val="BodyText"/>
        <w:ind w:right="762" w:hanging="100"/>
      </w:pPr>
      <w:r>
        <w:rPr>
          <w:rFonts w:ascii="Arial" w:hAnsi="Arial"/>
          <w:color w:val="231F1F"/>
          <w:w w:val="355"/>
          <w:position w:val="1"/>
          <w:sz w:val="7"/>
        </w:rPr>
        <w:t>l </w:t>
      </w:r>
      <w:r>
        <w:rPr>
          <w:rFonts w:ascii="Calibri" w:hAnsi="Calibri"/>
          <w:color w:val="231F1F"/>
          <w:w w:val="110"/>
        </w:rPr>
        <w:t>Antacids: </w:t>
      </w:r>
      <w:r>
        <w:rPr>
          <w:color w:val="231F1F"/>
          <w:w w:val="110"/>
        </w:rPr>
        <w:t>plasma concentration of erlotinib possibly reduced by </w:t>
      </w:r>
      <w:r>
        <w:rPr>
          <w:rFonts w:ascii="Arial" w:hAnsi="Arial"/>
          <w:color w:val="231F1F"/>
          <w:w w:val="355"/>
          <w:position w:val="1"/>
          <w:sz w:val="7"/>
        </w:rPr>
        <w:t>l </w:t>
      </w:r>
      <w:r>
        <w:rPr>
          <w:rFonts w:ascii="Calibri" w:hAnsi="Calibri"/>
          <w:color w:val="008356"/>
          <w:w w:val="110"/>
          <w:sz w:val="11"/>
        </w:rPr>
        <w:t>ANTACIDS</w:t>
      </w:r>
      <w:r>
        <w:rPr>
          <w:rFonts w:ascii="Arial" w:hAnsi="Arial"/>
          <w:color w:val="231F1F"/>
          <w:w w:val="110"/>
        </w:rPr>
        <w:t>—</w:t>
      </w:r>
      <w:r>
        <w:rPr>
          <w:color w:val="231F1F"/>
          <w:w w:val="110"/>
        </w:rPr>
        <w:t>give antacids </w:t>
      </w:r>
      <w:r>
        <w:rPr>
          <w:color w:val="231F1F"/>
          <w:w w:val="135"/>
        </w:rPr>
        <w:t>at </w:t>
      </w:r>
      <w:r>
        <w:rPr>
          <w:color w:val="231F1F"/>
          <w:w w:val="110"/>
        </w:rPr>
        <w:t>least 4 hours before or 2 hours after erlotinib</w:t>
      </w:r>
    </w:p>
    <w:p>
      <w:pPr>
        <w:pStyle w:val="BodyText"/>
        <w:spacing w:line="230" w:lineRule="auto" w:before="3"/>
        <w:ind w:right="670"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erlotinib increased by </w:t>
      </w:r>
      <w:r>
        <w:rPr>
          <w:rFonts w:ascii="Calibri" w:hAnsi="Calibri"/>
          <w:color w:val="008356"/>
          <w:w w:val="110"/>
          <w:sz w:val="11"/>
        </w:rPr>
        <w:t>CIPROFLOXACIN</w:t>
      </w:r>
      <w:r>
        <w:rPr>
          <w:color w:val="231F1F"/>
          <w:w w:val="110"/>
        </w:rPr>
        <w:t>; metabolism of erlotinib accelerated by </w:t>
      </w:r>
      <w:r>
        <w:rPr>
          <w:rFonts w:ascii="Calibri" w:hAnsi="Calibri"/>
          <w:color w:val="008356"/>
          <w:w w:val="110"/>
          <w:sz w:val="11"/>
        </w:rPr>
        <w:t>RIFAMPICIN </w:t>
      </w:r>
      <w:r>
        <w:rPr>
          <w:color w:val="231F1F"/>
          <w:w w:val="110"/>
        </w:rPr>
        <w:t>(reduced plasma concentration)</w:t>
      </w:r>
    </w:p>
    <w:p>
      <w:pPr>
        <w:pStyle w:val="BodyText"/>
        <w:ind w:right="667"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Anticoagulants: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9"/>
          <w:w w:val="115"/>
        </w:rPr>
        <w:t> </w:t>
      </w:r>
      <w:r>
        <w:rPr>
          <w:color w:val="231F1F"/>
          <w:w w:val="115"/>
        </w:rPr>
        <w:t>of</w:t>
      </w:r>
      <w:r>
        <w:rPr>
          <w:color w:val="231F1F"/>
          <w:spacing w:val="-17"/>
          <w:w w:val="115"/>
        </w:rPr>
        <w:t> </w:t>
      </w:r>
      <w:r>
        <w:rPr>
          <w:color w:val="231F1F"/>
          <w:w w:val="115"/>
        </w:rPr>
        <w:t>bleeding</w:t>
      </w:r>
      <w:r>
        <w:rPr>
          <w:color w:val="231F1F"/>
          <w:spacing w:val="-19"/>
          <w:w w:val="115"/>
        </w:rPr>
        <w:t> </w:t>
      </w:r>
      <w:r>
        <w:rPr>
          <w:color w:val="231F1F"/>
          <w:w w:val="115"/>
        </w:rPr>
        <w:t>when</w:t>
      </w:r>
      <w:r>
        <w:rPr>
          <w:color w:val="231F1F"/>
          <w:spacing w:val="-18"/>
          <w:w w:val="115"/>
        </w:rPr>
        <w:t> </w:t>
      </w:r>
      <w:r>
        <w:rPr>
          <w:color w:val="231F1F"/>
          <w:w w:val="115"/>
        </w:rPr>
        <w:t>erlotinib</w:t>
      </w:r>
      <w:r>
        <w:rPr>
          <w:color w:val="231F1F"/>
          <w:spacing w:val="-18"/>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5"/>
          <w:sz w:val="11"/>
        </w:rPr>
        <w:t>COUMARINS</w:t>
      </w:r>
    </w:p>
    <w:p>
      <w:pPr>
        <w:pStyle w:val="BodyText"/>
        <w:spacing w:line="149" w:lineRule="exact"/>
        <w:ind w:left="108"/>
      </w:pPr>
      <w:r>
        <w:rPr>
          <w:rFonts w:ascii="Lucida Sans Unicode" w:hAnsi="Lucida Sans Unicode"/>
          <w:color w:val="A7A8AC"/>
          <w:w w:val="95"/>
          <w:sz w:val="10"/>
        </w:rPr>
        <w:t>▶   </w:t>
      </w:r>
      <w:r>
        <w:rPr>
          <w:rFonts w:ascii="Calibri" w:hAnsi="Calibri"/>
          <w:color w:val="231F1F"/>
          <w:w w:val="105"/>
        </w:rPr>
        <w:t>Antifungals:  </w:t>
      </w:r>
      <w:r>
        <w:rPr>
          <w:color w:val="231F1F"/>
          <w:w w:val="105"/>
        </w:rPr>
        <w:t>metabolism of  erlotinib inhibited</w:t>
      </w:r>
      <w:r>
        <w:rPr>
          <w:color w:val="231F1F"/>
          <w:spacing w:val="4"/>
          <w:w w:val="105"/>
        </w:rPr>
        <w:t> </w:t>
      </w:r>
      <w:r>
        <w:rPr>
          <w:color w:val="231F1F"/>
          <w:w w:val="105"/>
        </w:rPr>
        <w:t>by</w:t>
      </w:r>
    </w:p>
    <w:p>
      <w:pPr>
        <w:spacing w:line="134" w:lineRule="exact" w:before="0"/>
        <w:ind w:left="208" w:right="0" w:firstLine="0"/>
        <w:jc w:val="left"/>
        <w:rPr>
          <w:sz w:val="12"/>
        </w:rPr>
      </w:pPr>
      <w:r>
        <w:rPr>
          <w:rFonts w:ascii="Calibri"/>
          <w:color w:val="008356"/>
          <w:spacing w:val="4"/>
          <w:w w:val="110"/>
          <w:sz w:val="11"/>
        </w:rPr>
        <w:t>KETOCONAZOLE </w:t>
      </w:r>
      <w:r>
        <w:rPr>
          <w:color w:val="231F1F"/>
          <w:w w:val="110"/>
          <w:sz w:val="12"/>
        </w:rPr>
        <w:t>(increased plasma</w:t>
      </w:r>
      <w:r>
        <w:rPr>
          <w:color w:val="231F1F"/>
          <w:spacing w:val="-12"/>
          <w:w w:val="110"/>
          <w:sz w:val="12"/>
        </w:rPr>
        <w:t> </w:t>
      </w:r>
      <w:r>
        <w:rPr>
          <w:color w:val="231F1F"/>
          <w:w w:val="110"/>
          <w:sz w:val="12"/>
        </w:rPr>
        <w:t>concentration)</w:t>
      </w:r>
    </w:p>
    <w:p>
      <w:pPr>
        <w:pStyle w:val="BodyText"/>
        <w:spacing w:line="145"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45" w:lineRule="exact"/>
        <w:ind w:left="108"/>
      </w:pPr>
      <w:r>
        <w:rPr>
          <w:rFonts w:ascii="Arial"/>
          <w:color w:val="231F1F"/>
          <w:w w:val="355"/>
          <w:position w:val="1"/>
          <w:sz w:val="7"/>
        </w:rPr>
        <w:t>l </w:t>
      </w:r>
      <w:r>
        <w:rPr>
          <w:rFonts w:ascii="Calibri"/>
          <w:color w:val="231F1F"/>
          <w:w w:val="115"/>
        </w:rPr>
        <w:t>Antivirals: </w:t>
      </w:r>
      <w:r>
        <w:rPr>
          <w:color w:val="231F1F"/>
          <w:w w:val="115"/>
        </w:rPr>
        <w:t>avoidance of erlotinib advised by manufacturer of</w:t>
      </w:r>
    </w:p>
    <w:p>
      <w:pPr>
        <w:spacing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BOCEPREVIR</w:t>
      </w:r>
    </w:p>
    <w:p>
      <w:pPr>
        <w:spacing w:after="0"/>
        <w:jc w:val="left"/>
        <w:rPr>
          <w:rFonts w:ascii="Calibri"/>
          <w:sz w:val="11"/>
        </w:rPr>
        <w:sectPr>
          <w:pgSz w:w="8390" w:h="11910"/>
          <w:pgMar w:header="0" w:footer="0" w:top="460" w:bottom="0" w:left="480" w:right="0"/>
          <w:cols w:num="2" w:equalWidth="0">
            <w:col w:w="3607" w:space="69"/>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3760" filled="true" fillcolor="#bfdbcf" stroked="false">
            <v:fill type="solid"/>
            <w10:wrap type="none"/>
          </v:rect>
        </w:pict>
      </w:r>
      <w:r>
        <w:rPr/>
        <w:pict>
          <v:shape style="position:absolute;margin-left:7.751256pt;margin-top:35.804367pt;width:10.4pt;height:78.850pt;mso-position-horizontal-relative:page;mso-position-vertical-relative:page;z-index:378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Erlotinib </w:t>
      </w:r>
      <w:r>
        <w:rPr>
          <w:rFonts w:ascii="Calibri"/>
          <w:color w:val="231F1F"/>
        </w:rPr>
        <w:t>(continued)</w:t>
      </w:r>
    </w:p>
    <w:p>
      <w:pPr>
        <w:pStyle w:val="BodyText"/>
        <w:spacing w:line="220" w:lineRule="auto" w:before="6"/>
        <w:ind w:left="286" w:right="171"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erlotinib possibly increased by </w:t>
      </w:r>
      <w:r>
        <w:rPr>
          <w:rFonts w:ascii="Calibri" w:hAnsi="Calibri"/>
          <w:color w:val="008356"/>
          <w:w w:val="105"/>
          <w:sz w:val="11"/>
        </w:rPr>
        <w:t>CAPECITABINE</w:t>
      </w:r>
    </w:p>
    <w:p>
      <w:pPr>
        <w:spacing w:before="0"/>
        <w:ind w:left="286" w:right="0" w:hanging="100"/>
        <w:jc w:val="left"/>
        <w:rPr>
          <w:sz w:val="12"/>
        </w:rPr>
      </w:pPr>
      <w:r>
        <w:rPr>
          <w:rFonts w:ascii="Arial"/>
          <w:color w:val="231F1F"/>
          <w:w w:val="355"/>
          <w:position w:val="1"/>
          <w:sz w:val="7"/>
        </w:rPr>
        <w:t>l </w:t>
      </w:r>
      <w:r>
        <w:rPr>
          <w:rFonts w:ascii="Calibri"/>
          <w:color w:val="231F1F"/>
          <w:w w:val="110"/>
          <w:sz w:val="12"/>
        </w:rPr>
        <w:t>Ulcer-healing Drugs: </w:t>
      </w:r>
      <w:r>
        <w:rPr>
          <w:color w:val="231F1F"/>
          <w:w w:val="110"/>
          <w:sz w:val="12"/>
        </w:rPr>
        <w:t>manufacturer of erlotinib advises avoid concomitant use with </w:t>
      </w:r>
      <w:r>
        <w:rPr>
          <w:rFonts w:ascii="Arial"/>
          <w:color w:val="231F1F"/>
          <w:w w:val="355"/>
          <w:position w:val="1"/>
          <w:sz w:val="7"/>
        </w:rPr>
        <w:t>l </w:t>
      </w:r>
      <w:r>
        <w:rPr>
          <w:rFonts w:ascii="Calibri"/>
          <w:color w:val="008356"/>
          <w:w w:val="110"/>
          <w:sz w:val="11"/>
        </w:rPr>
        <w:t>CIMETIDINE</w:t>
      </w:r>
      <w:r>
        <w:rPr>
          <w:color w:val="231F1F"/>
          <w:w w:val="110"/>
          <w:sz w:val="12"/>
        </w:rPr>
        <w:t>, </w:t>
      </w:r>
      <w:r>
        <w:rPr>
          <w:rFonts w:ascii="Arial"/>
          <w:color w:val="231F1F"/>
          <w:w w:val="355"/>
          <w:position w:val="1"/>
          <w:sz w:val="7"/>
        </w:rPr>
        <w:t>l </w:t>
      </w:r>
      <w:r>
        <w:rPr>
          <w:rFonts w:ascii="Calibri"/>
          <w:color w:val="008356"/>
          <w:w w:val="110"/>
          <w:sz w:val="11"/>
        </w:rPr>
        <w:t>ESOMEPRAZOLE</w:t>
      </w:r>
      <w:r>
        <w:rPr>
          <w:color w:val="231F1F"/>
          <w:w w:val="110"/>
          <w:sz w:val="12"/>
        </w:rPr>
        <w:t>,</w:t>
      </w:r>
    </w:p>
    <w:p>
      <w:pPr>
        <w:spacing w:before="1"/>
        <w:ind w:left="286" w:right="0" w:firstLine="0"/>
        <w:jc w:val="left"/>
        <w:rPr>
          <w:rFonts w:ascii="Calibri"/>
          <w:sz w:val="11"/>
        </w:rPr>
      </w:pPr>
      <w:r>
        <w:rPr>
          <w:rFonts w:ascii="Arial"/>
          <w:color w:val="231F1F"/>
          <w:w w:val="110"/>
          <w:position w:val="1"/>
          <w:sz w:val="7"/>
        </w:rPr>
        <w:t>l </w:t>
      </w:r>
      <w:r>
        <w:rPr>
          <w:rFonts w:ascii="Calibri"/>
          <w:color w:val="008356"/>
          <w:w w:val="110"/>
          <w:sz w:val="11"/>
        </w:rPr>
        <w:t>FAMOTIDINE</w:t>
      </w:r>
      <w:r>
        <w:rPr>
          <w:color w:val="231F1F"/>
          <w:w w:val="110"/>
          <w:sz w:val="12"/>
        </w:rPr>
        <w:t>, </w:t>
      </w:r>
      <w:r>
        <w:rPr>
          <w:rFonts w:ascii="Arial"/>
          <w:color w:val="231F1F"/>
          <w:w w:val="110"/>
          <w:position w:val="1"/>
          <w:sz w:val="7"/>
        </w:rPr>
        <w:t>l </w:t>
      </w:r>
      <w:r>
        <w:rPr>
          <w:rFonts w:ascii="Calibri"/>
          <w:color w:val="008356"/>
          <w:w w:val="110"/>
          <w:sz w:val="11"/>
        </w:rPr>
        <w:t>LANSOPRAZOLE</w:t>
      </w:r>
      <w:r>
        <w:rPr>
          <w:color w:val="231F1F"/>
          <w:w w:val="110"/>
          <w:sz w:val="12"/>
        </w:rPr>
        <w:t>, </w:t>
      </w:r>
      <w:r>
        <w:rPr>
          <w:rFonts w:ascii="Arial"/>
          <w:color w:val="231F1F"/>
          <w:w w:val="110"/>
          <w:position w:val="1"/>
          <w:sz w:val="7"/>
        </w:rPr>
        <w:t>l </w:t>
      </w:r>
      <w:r>
        <w:rPr>
          <w:rFonts w:ascii="Calibri"/>
          <w:color w:val="008356"/>
          <w:w w:val="110"/>
          <w:sz w:val="11"/>
        </w:rPr>
        <w:t>NIZATIDINE</w:t>
      </w:r>
      <w:r>
        <w:rPr>
          <w:color w:val="231F1F"/>
          <w:w w:val="110"/>
          <w:sz w:val="12"/>
        </w:rPr>
        <w:t>, </w:t>
      </w:r>
      <w:r>
        <w:rPr>
          <w:rFonts w:ascii="Arial"/>
          <w:color w:val="231F1F"/>
          <w:w w:val="110"/>
          <w:position w:val="1"/>
          <w:sz w:val="7"/>
        </w:rPr>
        <w:t>l </w:t>
      </w:r>
      <w:r>
        <w:rPr>
          <w:rFonts w:ascii="Calibri"/>
          <w:color w:val="008356"/>
          <w:w w:val="110"/>
          <w:sz w:val="11"/>
        </w:rPr>
        <w:t>PANTOPRAZOLE</w:t>
      </w:r>
    </w:p>
    <w:p>
      <w:pPr>
        <w:pStyle w:val="BodyText"/>
        <w:spacing w:line="244" w:lineRule="auto" w:before="2"/>
        <w:ind w:left="286" w:right="-11"/>
      </w:pPr>
      <w:r>
        <w:rPr>
          <w:color w:val="231F1F"/>
          <w:w w:val="115"/>
        </w:rPr>
        <w:t>and </w:t>
      </w:r>
      <w:r>
        <w:rPr>
          <w:rFonts w:ascii="Arial" w:hAnsi="Arial"/>
          <w:color w:val="231F1F"/>
          <w:w w:val="355"/>
          <w:position w:val="1"/>
          <w:sz w:val="7"/>
        </w:rPr>
        <w:t>l </w:t>
      </w:r>
      <w:r>
        <w:rPr>
          <w:rFonts w:ascii="Calibri" w:hAnsi="Calibri"/>
          <w:color w:val="008356"/>
          <w:spacing w:val="4"/>
          <w:w w:val="115"/>
          <w:sz w:val="11"/>
        </w:rPr>
        <w:t>RABEPRAZOLE</w:t>
      </w:r>
      <w:r>
        <w:rPr>
          <w:color w:val="231F1F"/>
          <w:spacing w:val="4"/>
          <w:w w:val="115"/>
        </w:rPr>
        <w:t>; </w:t>
      </w:r>
      <w:r>
        <w:rPr>
          <w:color w:val="231F1F"/>
          <w:w w:val="115"/>
        </w:rPr>
        <w:t>plasma concentration of erlotinib reduced</w:t>
      </w:r>
      <w:r>
        <w:rPr>
          <w:color w:val="231F1F"/>
          <w:spacing w:val="-16"/>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RANITIDINE</w:t>
      </w:r>
      <w:r>
        <w:rPr>
          <w:rFonts w:ascii="Arial" w:hAnsi="Arial"/>
          <w:color w:val="231F1F"/>
          <w:spacing w:val="2"/>
          <w:w w:val="115"/>
        </w:rPr>
        <w:t>—</w:t>
      </w:r>
      <w:r>
        <w:rPr>
          <w:color w:val="231F1F"/>
          <w:spacing w:val="2"/>
          <w:w w:val="115"/>
        </w:rPr>
        <w:t>manufacturer</w:t>
      </w:r>
      <w:r>
        <w:rPr>
          <w:color w:val="231F1F"/>
          <w:spacing w:val="-15"/>
          <w:w w:val="115"/>
        </w:rPr>
        <w:t> </w:t>
      </w:r>
      <w:r>
        <w:rPr>
          <w:color w:val="231F1F"/>
          <w:w w:val="115"/>
        </w:rPr>
        <w:t>of</w:t>
      </w:r>
      <w:r>
        <w:rPr>
          <w:color w:val="231F1F"/>
          <w:spacing w:val="-16"/>
          <w:w w:val="115"/>
        </w:rPr>
        <w:t> </w:t>
      </w:r>
      <w:r>
        <w:rPr>
          <w:color w:val="231F1F"/>
          <w:w w:val="115"/>
        </w:rPr>
        <w:t>erlotinib</w:t>
      </w:r>
      <w:r>
        <w:rPr>
          <w:color w:val="231F1F"/>
          <w:spacing w:val="-15"/>
          <w:w w:val="115"/>
        </w:rPr>
        <w:t> </w:t>
      </w:r>
      <w:r>
        <w:rPr>
          <w:color w:val="231F1F"/>
          <w:w w:val="115"/>
        </w:rPr>
        <w:t>advises give at least 2 hours before or 10 hours after ranitidine; 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20"/>
          <w:w w:val="115"/>
        </w:rPr>
        <w:t> </w:t>
      </w:r>
      <w:r>
        <w:rPr>
          <w:color w:val="231F1F"/>
          <w:w w:val="115"/>
        </w:rPr>
        <w:t>erlotinib</w:t>
      </w:r>
      <w:r>
        <w:rPr>
          <w:color w:val="231F1F"/>
          <w:spacing w:val="-20"/>
          <w:w w:val="115"/>
        </w:rPr>
        <w:t> </w:t>
      </w:r>
      <w:r>
        <w:rPr>
          <w:color w:val="231F1F"/>
          <w:w w:val="115"/>
        </w:rPr>
        <w:t>reduced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OMEPRAZOLE</w:t>
      </w:r>
      <w:r>
        <w:rPr>
          <w:rFonts w:ascii="Arial" w:hAnsi="Arial"/>
          <w:color w:val="231F1F"/>
          <w:spacing w:val="2"/>
          <w:w w:val="115"/>
        </w:rPr>
        <w:t>— </w:t>
      </w:r>
      <w:r>
        <w:rPr>
          <w:color w:val="231F1F"/>
          <w:w w:val="115"/>
        </w:rPr>
        <w:t>manufacturer</w:t>
      </w:r>
      <w:r>
        <w:rPr>
          <w:color w:val="231F1F"/>
          <w:spacing w:val="-6"/>
          <w:w w:val="115"/>
        </w:rPr>
        <w:t> </w:t>
      </w:r>
      <w:r>
        <w:rPr>
          <w:color w:val="231F1F"/>
          <w:w w:val="115"/>
        </w:rPr>
        <w:t>of</w:t>
      </w:r>
      <w:r>
        <w:rPr>
          <w:color w:val="231F1F"/>
          <w:spacing w:val="-3"/>
          <w:w w:val="115"/>
        </w:rPr>
        <w:t> </w:t>
      </w:r>
      <w:r>
        <w:rPr>
          <w:color w:val="231F1F"/>
          <w:w w:val="115"/>
        </w:rPr>
        <w:t>erlotinib</w:t>
      </w:r>
      <w:r>
        <w:rPr>
          <w:color w:val="231F1F"/>
          <w:spacing w:val="-5"/>
          <w:w w:val="115"/>
        </w:rPr>
        <w:t> </w:t>
      </w:r>
      <w:r>
        <w:rPr>
          <w:color w:val="231F1F"/>
          <w:w w:val="115"/>
        </w:rPr>
        <w:t>advises</w:t>
      </w:r>
      <w:r>
        <w:rPr>
          <w:color w:val="231F1F"/>
          <w:spacing w:val="-5"/>
          <w:w w:val="115"/>
        </w:rPr>
        <w:t> </w:t>
      </w:r>
      <w:r>
        <w:rPr>
          <w:color w:val="231F1F"/>
          <w:w w:val="115"/>
        </w:rPr>
        <w:t>avoid</w:t>
      </w:r>
      <w:r>
        <w:rPr>
          <w:color w:val="231F1F"/>
          <w:spacing w:val="-4"/>
          <w:w w:val="115"/>
        </w:rPr>
        <w:t> </w:t>
      </w:r>
      <w:r>
        <w:rPr>
          <w:color w:val="231F1F"/>
          <w:w w:val="115"/>
        </w:rPr>
        <w:t>concomitant</w:t>
      </w:r>
      <w:r>
        <w:rPr>
          <w:color w:val="231F1F"/>
          <w:spacing w:val="-5"/>
          <w:w w:val="115"/>
        </w:rPr>
        <w:t> </w:t>
      </w:r>
      <w:r>
        <w:rPr>
          <w:color w:val="231F1F"/>
          <w:w w:val="115"/>
        </w:rPr>
        <w:t>use</w:t>
      </w:r>
    </w:p>
    <w:p>
      <w:pPr>
        <w:pStyle w:val="BodyText"/>
        <w:spacing w:before="7"/>
        <w:ind w:left="186"/>
        <w:rPr>
          <w:rFonts w:ascii="Trebuchet MS"/>
        </w:rPr>
      </w:pPr>
      <w:r>
        <w:rPr>
          <w:rFonts w:ascii="Trebuchet MS"/>
          <w:color w:val="008356"/>
        </w:rPr>
        <w:t>Ertapenem</w:t>
      </w:r>
    </w:p>
    <w:p>
      <w:pPr>
        <w:pStyle w:val="BodyText"/>
        <w:spacing w:line="146" w:lineRule="exact" w:before="1"/>
        <w:ind w:left="186"/>
      </w:pPr>
      <w:r>
        <w:rPr>
          <w:rFonts w:ascii="Arial"/>
          <w:color w:val="231F1F"/>
          <w:w w:val="355"/>
          <w:position w:val="1"/>
          <w:sz w:val="7"/>
        </w:rPr>
        <w:t>l </w:t>
      </w:r>
      <w:r>
        <w:rPr>
          <w:rFonts w:ascii="Calibri"/>
          <w:color w:val="231F1F"/>
          <w:w w:val="115"/>
        </w:rPr>
        <w:t>Antiepileptics: </w:t>
      </w:r>
      <w:r>
        <w:rPr>
          <w:color w:val="231F1F"/>
          <w:w w:val="115"/>
        </w:rPr>
        <w:t>carbapenems reduce plasma concentration of</w:t>
      </w:r>
    </w:p>
    <w:p>
      <w:pPr>
        <w:spacing w:line="244" w:lineRule="auto" w:before="0"/>
        <w:ind w:left="286" w:right="0" w:firstLine="0"/>
        <w:jc w:val="left"/>
        <w:rPr>
          <w:sz w:val="12"/>
        </w:rPr>
      </w:pPr>
      <w:r>
        <w:rPr>
          <w:rFonts w:ascii="Arial" w:hAnsi="Arial"/>
          <w:color w:val="231F1F"/>
          <w:w w:val="110"/>
          <w:position w:val="1"/>
          <w:sz w:val="7"/>
        </w:rPr>
        <w:t>l </w:t>
      </w:r>
      <w:r>
        <w:rPr>
          <w:rFonts w:ascii="Calibri" w:hAnsi="Calibri"/>
          <w:color w:val="008356"/>
          <w:w w:val="110"/>
          <w:sz w:val="11"/>
        </w:rPr>
        <w:t>SODIUM VALPROATE </w:t>
      </w:r>
      <w:r>
        <w:rPr>
          <w:color w:val="231F1F"/>
          <w:w w:val="110"/>
          <w:sz w:val="12"/>
        </w:rPr>
        <w:t>and </w:t>
      </w:r>
      <w:r>
        <w:rPr>
          <w:rFonts w:ascii="Arial" w:hAnsi="Arial"/>
          <w:color w:val="231F1F"/>
          <w:w w:val="110"/>
          <w:position w:val="1"/>
          <w:sz w:val="7"/>
        </w:rPr>
        <w:t>l </w:t>
      </w:r>
      <w:r>
        <w:rPr>
          <w:rFonts w:ascii="Calibri" w:hAnsi="Calibri"/>
          <w:color w:val="008356"/>
          <w:w w:val="110"/>
          <w:sz w:val="11"/>
        </w:rPr>
        <w:t>VALPROIC ACID</w:t>
      </w:r>
      <w:r>
        <w:rPr>
          <w:rFonts w:ascii="Arial" w:hAnsi="Arial"/>
          <w:color w:val="231F1F"/>
          <w:w w:val="110"/>
          <w:sz w:val="12"/>
        </w:rPr>
        <w:t>—</w:t>
      </w:r>
      <w:r>
        <w:rPr>
          <w:color w:val="231F1F"/>
          <w:w w:val="110"/>
          <w:sz w:val="12"/>
        </w:rPr>
        <w:t>avoid concomitant </w:t>
      </w:r>
      <w:r>
        <w:rPr>
          <w:color w:val="231F1F"/>
          <w:w w:val="115"/>
          <w:sz w:val="12"/>
        </w:rPr>
        <w:t>use</w:t>
      </w:r>
    </w:p>
    <w:p>
      <w:pPr>
        <w:spacing w:line="220" w:lineRule="auto" w:before="5"/>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4"/>
        <w:ind w:left="186" w:right="1190"/>
        <w:rPr>
          <w:rFonts w:ascii="Trebuchet MS"/>
        </w:rPr>
      </w:pPr>
      <w:r>
        <w:rPr>
          <w:rFonts w:ascii="Trebuchet MS"/>
          <w:color w:val="008356"/>
          <w:w w:val="105"/>
        </w:rPr>
        <w:t>Erythromycin </w:t>
      </w:r>
      <w:r>
        <w:rPr>
          <w:i/>
          <w:color w:val="231F1F"/>
          <w:w w:val="105"/>
        </w:rPr>
        <w:t>see </w:t>
      </w:r>
      <w:r>
        <w:rPr>
          <w:color w:val="231F1F"/>
          <w:w w:val="105"/>
        </w:rPr>
        <w:t>Macrolides </w:t>
      </w:r>
      <w:r>
        <w:rPr>
          <w:rFonts w:ascii="Trebuchet MS"/>
          <w:color w:val="008356"/>
          <w:w w:val="105"/>
        </w:rPr>
        <w:t>Escitalopram </w:t>
      </w:r>
      <w:r>
        <w:rPr>
          <w:i/>
          <w:color w:val="231F1F"/>
          <w:w w:val="105"/>
        </w:rPr>
        <w:t>see </w:t>
      </w:r>
      <w:r>
        <w:rPr>
          <w:color w:val="231F1F"/>
          <w:w w:val="105"/>
        </w:rPr>
        <w:t>Antidepressants, SSRI </w:t>
      </w:r>
      <w:r>
        <w:rPr>
          <w:rFonts w:ascii="Trebuchet MS"/>
          <w:color w:val="008356"/>
          <w:w w:val="105"/>
        </w:rPr>
        <w:t>Eslicarbazepine</w:t>
      </w:r>
    </w:p>
    <w:p>
      <w:pPr>
        <w:pStyle w:val="BodyText"/>
        <w:spacing w:line="220" w:lineRule="auto"/>
        <w:ind w:left="286" w:right="10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eslicarbazepine  reduces  plasma  </w:t>
      </w:r>
      <w:r>
        <w:rPr>
          <w:color w:val="231F1F"/>
          <w:spacing w:val="-2"/>
          <w:w w:val="105"/>
        </w:rPr>
        <w:t>concentration </w:t>
      </w:r>
      <w:r>
        <w:rPr>
          <w:color w:val="231F1F"/>
          <w:w w:val="105"/>
        </w:rPr>
        <w:t>of </w:t>
      </w:r>
      <w:r>
        <w:rPr>
          <w:rFonts w:ascii="Calibri" w:hAnsi="Calibri"/>
          <w:color w:val="008356"/>
          <w:spacing w:val="3"/>
          <w:w w:val="105"/>
          <w:sz w:val="11"/>
        </w:rPr>
        <w:t>WARFARIN</w:t>
      </w:r>
    </w:p>
    <w:p>
      <w:pPr>
        <w:spacing w:line="242" w:lineRule="auto" w:before="0"/>
        <w:ind w:left="286" w:right="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44" w:lineRule="auto"/>
        <w:ind w:left="286" w:right="91"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Antiepileptics: </w:t>
      </w:r>
      <w:r>
        <w:rPr>
          <w:color w:val="231F1F"/>
          <w:w w:val="110"/>
        </w:rPr>
        <w:t>plasma concentration of eslicarbazepine possibly reduced by </w:t>
      </w:r>
      <w:r>
        <w:rPr>
          <w:rFonts w:ascii="Calibri" w:hAnsi="Calibri"/>
          <w:color w:val="008356"/>
          <w:spacing w:val="4"/>
          <w:w w:val="110"/>
          <w:sz w:val="11"/>
        </w:rPr>
        <w:t>CARBAMAZEPINE </w:t>
      </w:r>
      <w:r>
        <w:rPr>
          <w:color w:val="231F1F"/>
          <w:w w:val="110"/>
        </w:rPr>
        <w:t>but risk of side-effects increased; plasma concentration of eslicarbazepine </w:t>
      </w:r>
      <w:r>
        <w:rPr>
          <w:color w:val="231F1F"/>
          <w:spacing w:val="-3"/>
          <w:w w:val="110"/>
        </w:rPr>
        <w:t>reduced </w:t>
      </w:r>
      <w:r>
        <w:rPr>
          <w:color w:val="231F1F"/>
          <w:w w:val="110"/>
        </w:rPr>
        <w:t>by</w:t>
      </w:r>
      <w:r>
        <w:rPr>
          <w:color w:val="231F1F"/>
          <w:spacing w:val="-11"/>
          <w:w w:val="110"/>
        </w:rPr>
        <w:t> </w:t>
      </w:r>
      <w:r>
        <w:rPr>
          <w:rFonts w:ascii="Calibri" w:hAnsi="Calibri"/>
          <w:color w:val="008356"/>
          <w:spacing w:val="4"/>
          <w:w w:val="110"/>
          <w:sz w:val="11"/>
        </w:rPr>
        <w:t>FOSPHENYTOIN</w:t>
      </w:r>
      <w:r>
        <w:rPr>
          <w:rFonts w:ascii="Calibri" w:hAnsi="Calibri"/>
          <w:color w:val="008356"/>
          <w:w w:val="110"/>
          <w:sz w:val="11"/>
        </w:rPr>
        <w:t> </w:t>
      </w:r>
      <w:r>
        <w:rPr>
          <w:color w:val="231F1F"/>
          <w:w w:val="110"/>
        </w:rPr>
        <w:t>and</w:t>
      </w:r>
      <w:r>
        <w:rPr>
          <w:color w:val="231F1F"/>
          <w:spacing w:val="-11"/>
          <w:w w:val="110"/>
        </w:rPr>
        <w:t> </w:t>
      </w:r>
      <w:r>
        <w:rPr>
          <w:rFonts w:ascii="Calibri" w:hAnsi="Calibri"/>
          <w:color w:val="008356"/>
          <w:spacing w:val="4"/>
          <w:w w:val="110"/>
          <w:sz w:val="11"/>
        </w:rPr>
        <w:t>PHENYTOIN</w:t>
      </w:r>
      <w:r>
        <w:rPr>
          <w:color w:val="231F1F"/>
          <w:spacing w:val="4"/>
          <w:w w:val="110"/>
        </w:rPr>
        <w:t>,</w:t>
      </w:r>
      <w:r>
        <w:rPr>
          <w:color w:val="231F1F"/>
          <w:spacing w:val="-10"/>
          <w:w w:val="110"/>
        </w:rPr>
        <w:t> </w:t>
      </w:r>
      <w:r>
        <w:rPr>
          <w:color w:val="231F1F"/>
          <w:w w:val="110"/>
        </w:rPr>
        <w:t>also</w:t>
      </w:r>
      <w:r>
        <w:rPr>
          <w:color w:val="231F1F"/>
          <w:spacing w:val="-11"/>
          <w:w w:val="110"/>
        </w:rPr>
        <w:t> </w:t>
      </w:r>
      <w:r>
        <w:rPr>
          <w:color w:val="231F1F"/>
          <w:w w:val="110"/>
        </w:rPr>
        <w:t>plasma</w:t>
      </w:r>
      <w:r>
        <w:rPr>
          <w:color w:val="231F1F"/>
          <w:spacing w:val="-11"/>
          <w:w w:val="110"/>
        </w:rPr>
        <w:t> </w:t>
      </w:r>
      <w:r>
        <w:rPr>
          <w:color w:val="231F1F"/>
          <w:w w:val="110"/>
        </w:rPr>
        <w:t>concentration of fosphenytoin and phenytoin increased; manufacturer of eslicarbazepine advises avoid concomitant use with </w:t>
      </w:r>
      <w:r>
        <w:rPr>
          <w:rFonts w:ascii="Calibri" w:hAnsi="Calibri"/>
          <w:color w:val="008356"/>
          <w:spacing w:val="4"/>
          <w:w w:val="110"/>
          <w:sz w:val="11"/>
        </w:rPr>
        <w:t>OXCARBAZEPINE</w:t>
      </w:r>
    </w:p>
    <w:p>
      <w:pPr>
        <w:pStyle w:val="BodyText"/>
        <w:spacing w:line="140" w:lineRule="exact"/>
        <w:ind w:left="186"/>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Antimalarials: </w:t>
      </w:r>
      <w:r>
        <w:rPr>
          <w:color w:val="231F1F"/>
          <w:w w:val="115"/>
        </w:rPr>
        <w:t>anticonvulsant effect of antiepileptics</w:t>
      </w:r>
    </w:p>
    <w:p>
      <w:pPr>
        <w:spacing w:line="140" w:lineRule="exact" w:before="0"/>
        <w:ind w:left="286" w:right="0" w:firstLine="0"/>
        <w:jc w:val="left"/>
        <w:rPr>
          <w:rFonts w:ascii="Calibri"/>
          <w:sz w:val="11"/>
        </w:rPr>
      </w:pPr>
      <w:r>
        <w:rPr>
          <w:color w:val="231F1F"/>
          <w:w w:val="110"/>
          <w:sz w:val="12"/>
        </w:rPr>
        <w:t>antagonised by </w:t>
      </w:r>
      <w:r>
        <w:rPr>
          <w:rFonts w:ascii="Arial"/>
          <w:color w:val="231F1F"/>
          <w:w w:val="355"/>
          <w:position w:val="1"/>
          <w:sz w:val="7"/>
        </w:rPr>
        <w:t>l </w:t>
      </w:r>
      <w:r>
        <w:rPr>
          <w:rFonts w:ascii="Calibri"/>
          <w:color w:val="008356"/>
          <w:spacing w:val="4"/>
          <w:w w:val="110"/>
          <w:sz w:val="11"/>
        </w:rPr>
        <w:t>MEFLOQUINE</w:t>
      </w:r>
    </w:p>
    <w:p>
      <w:pPr>
        <w:pStyle w:val="BodyText"/>
        <w:spacing w:line="242" w:lineRule="auto"/>
        <w:ind w:left="286" w:right="356"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235" w:lineRule="auto"/>
        <w:ind w:left="286" w:right="102"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eslicarbazepine reduces plasma concentration of </w:t>
      </w:r>
      <w:r>
        <w:rPr>
          <w:rFonts w:ascii="Calibri" w:hAnsi="Calibri"/>
          <w:color w:val="008356"/>
          <w:w w:val="110"/>
          <w:sz w:val="11"/>
        </w:rPr>
        <w:t>ROSUVASTATIN</w:t>
      </w:r>
      <w:r>
        <w:rPr>
          <w:color w:val="231F1F"/>
          <w:w w:val="110"/>
        </w:rPr>
        <w:t>; eslicarbazepine reduces plasma concentration of </w:t>
      </w:r>
      <w:r>
        <w:rPr>
          <w:rFonts w:ascii="Calibri" w:hAnsi="Calibri"/>
          <w:color w:val="008356"/>
          <w:w w:val="110"/>
          <w:sz w:val="11"/>
        </w:rPr>
        <w:t>SIMVASTATIN</w:t>
      </w:r>
      <w:r>
        <w:rPr>
          <w:rFonts w:ascii="Arial" w:hAnsi="Arial"/>
          <w:color w:val="231F1F"/>
          <w:w w:val="110"/>
        </w:rPr>
        <w:t>—</w:t>
      </w:r>
      <w:r>
        <w:rPr>
          <w:color w:val="231F1F"/>
          <w:w w:val="110"/>
        </w:rPr>
        <w:t>consider increasing dose of simvastatin</w:t>
      </w:r>
    </w:p>
    <w:p>
      <w:pPr>
        <w:pStyle w:val="BodyText"/>
        <w:spacing w:line="146" w:lineRule="exact"/>
        <w:ind w:left="186"/>
      </w:pPr>
      <w:r>
        <w:rPr>
          <w:rFonts w:ascii="Arial"/>
          <w:color w:val="231F1F"/>
          <w:w w:val="355"/>
          <w:position w:val="1"/>
          <w:sz w:val="7"/>
        </w:rPr>
        <w:t>l </w:t>
      </w:r>
      <w:r>
        <w:rPr>
          <w:rFonts w:ascii="Calibri"/>
          <w:color w:val="231F1F"/>
          <w:w w:val="120"/>
        </w:rPr>
        <w:t>Oestrogens: </w:t>
      </w:r>
      <w:r>
        <w:rPr>
          <w:color w:val="231F1F"/>
          <w:w w:val="120"/>
        </w:rPr>
        <w:t>eslicarbazepine accelerates metabolism of</w:t>
      </w:r>
    </w:p>
    <w:p>
      <w:pPr>
        <w:pStyle w:val="BodyText"/>
        <w:spacing w:line="244" w:lineRule="auto"/>
        <w:ind w:left="286" w:hanging="1"/>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left="286" w:right="473"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86"/>
      </w:pPr>
      <w:r>
        <w:rPr>
          <w:rFonts w:ascii="Arial"/>
          <w:color w:val="231F1F"/>
          <w:w w:val="355"/>
          <w:position w:val="1"/>
          <w:sz w:val="7"/>
        </w:rPr>
        <w:t>l </w:t>
      </w:r>
      <w:r>
        <w:rPr>
          <w:rFonts w:ascii="Calibri"/>
          <w:color w:val="231F1F"/>
          <w:w w:val="115"/>
        </w:rPr>
        <w:t>Progestogens: </w:t>
      </w:r>
      <w:r>
        <w:rPr>
          <w:color w:val="231F1F"/>
          <w:w w:val="115"/>
        </w:rPr>
        <w:t>eslicarbazepine accelerates metabolism of</w:t>
      </w:r>
    </w:p>
    <w:p>
      <w:pPr>
        <w:pStyle w:val="BodyText"/>
        <w:spacing w:line="247" w:lineRule="auto"/>
        <w:ind w:left="286" w:hanging="1"/>
      </w:pPr>
      <w:r>
        <w:rPr>
          <w:rFonts w:ascii="Arial" w:hAnsi="Arial"/>
          <w:color w:val="231F1F"/>
          <w:w w:val="245"/>
          <w:position w:val="1"/>
          <w:sz w:val="7"/>
        </w:rPr>
        <w:t>l</w:t>
      </w:r>
      <w:r>
        <w:rPr>
          <w:rFonts w:ascii="Arial" w:hAnsi="Arial"/>
          <w:color w:val="231F1F"/>
          <w:spacing w:val="-39"/>
          <w:w w:val="24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before="3"/>
        <w:ind w:left="186"/>
      </w:pPr>
      <w:r>
        <w:rPr>
          <w:rFonts w:ascii="Trebuchet MS"/>
          <w:color w:val="008356"/>
          <w:w w:val="110"/>
        </w:rPr>
        <w:t>Esmolol </w:t>
      </w:r>
      <w:r>
        <w:rPr>
          <w:i/>
          <w:color w:val="231F1F"/>
          <w:w w:val="110"/>
        </w:rPr>
        <w:t>see </w:t>
      </w:r>
      <w:r>
        <w:rPr>
          <w:color w:val="231F1F"/>
          <w:w w:val="110"/>
        </w:rPr>
        <w:t>Beta-blockers</w:t>
      </w:r>
    </w:p>
    <w:p>
      <w:pPr>
        <w:pStyle w:val="BodyText"/>
        <w:spacing w:before="9"/>
        <w:ind w:left="186"/>
      </w:pPr>
      <w:r>
        <w:rPr>
          <w:rFonts w:ascii="Trebuchet MS"/>
          <w:color w:val="008356"/>
          <w:w w:val="110"/>
        </w:rPr>
        <w:t>Esomeprazole </w:t>
      </w:r>
      <w:r>
        <w:rPr>
          <w:i/>
          <w:color w:val="231F1F"/>
          <w:w w:val="110"/>
        </w:rPr>
        <w:t>see </w:t>
      </w:r>
      <w:r>
        <w:rPr>
          <w:color w:val="231F1F"/>
          <w:w w:val="110"/>
        </w:rPr>
        <w:t>Proton Pump Inhibitors</w:t>
      </w:r>
    </w:p>
    <w:p>
      <w:pPr>
        <w:pStyle w:val="BodyText"/>
        <w:spacing w:before="10"/>
        <w:ind w:left="186"/>
      </w:pPr>
      <w:r>
        <w:rPr>
          <w:rFonts w:ascii="Trebuchet MS"/>
          <w:color w:val="008356"/>
          <w:w w:val="110"/>
        </w:rPr>
        <w:t>Estradiol </w:t>
      </w:r>
      <w:r>
        <w:rPr>
          <w:i/>
          <w:color w:val="231F1F"/>
          <w:w w:val="110"/>
        </w:rPr>
        <w:t>see </w:t>
      </w:r>
      <w:r>
        <w:rPr>
          <w:color w:val="231F1F"/>
          <w:w w:val="110"/>
        </w:rPr>
        <w:t>Oestrogens</w:t>
      </w:r>
    </w:p>
    <w:p>
      <w:pPr>
        <w:pStyle w:val="BodyText"/>
        <w:spacing w:before="11"/>
        <w:ind w:left="186"/>
        <w:rPr>
          <w:rFonts w:ascii="Trebuchet MS"/>
        </w:rPr>
      </w:pPr>
      <w:r>
        <w:rPr>
          <w:rFonts w:ascii="Trebuchet MS"/>
          <w:color w:val="008356"/>
          <w:w w:val="105"/>
        </w:rPr>
        <w:t>Estramustine</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estramustine possibly reduced by</w:t>
      </w:r>
    </w:p>
    <w:p>
      <w:pPr>
        <w:spacing w:line="135" w:lineRule="exact" w:before="0"/>
        <w:ind w:left="286" w:right="0" w:firstLine="0"/>
        <w:jc w:val="left"/>
        <w:rPr>
          <w:rFonts w:ascii="Arial" w:hAnsi="Arial"/>
          <w:sz w:val="12"/>
        </w:rPr>
      </w:pPr>
      <w:r>
        <w:rPr>
          <w:rFonts w:ascii="Calibri" w:hAnsi="Calibri"/>
          <w:color w:val="008356"/>
          <w:sz w:val="11"/>
        </w:rPr>
        <w:t>ALUMINIUM HYDROXIDE </w:t>
      </w:r>
      <w:r>
        <w:rPr>
          <w:color w:val="231F1F"/>
          <w:sz w:val="12"/>
        </w:rPr>
        <w:t>and </w:t>
      </w:r>
      <w:r>
        <w:rPr>
          <w:rFonts w:ascii="Calibri" w:hAnsi="Calibri"/>
          <w:color w:val="008356"/>
          <w:sz w:val="11"/>
        </w:rPr>
        <w:t>ORAL MAGNESIUM SALTS</w:t>
      </w:r>
      <w:r>
        <w:rPr>
          <w:rFonts w:ascii="Arial" w:hAnsi="Arial"/>
          <w:color w:val="231F1F"/>
          <w:sz w:val="12"/>
        </w:rPr>
        <w:t>—</w:t>
      </w:r>
    </w:p>
    <w:p>
      <w:pPr>
        <w:pStyle w:val="BodyText"/>
        <w:spacing w:line="247" w:lineRule="auto" w:before="3"/>
        <w:ind w:left="286"/>
      </w:pPr>
      <w:r>
        <w:rPr>
          <w:color w:val="231F1F"/>
          <w:w w:val="115"/>
        </w:rPr>
        <w:t>manufacturer of estramustine advises avoid concomitant administration</w:t>
      </w:r>
    </w:p>
    <w:p>
      <w:pPr>
        <w:pStyle w:val="BodyText"/>
        <w:spacing w:line="144"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Bisphosphonates: </w:t>
      </w:r>
      <w:r>
        <w:rPr>
          <w:color w:val="231F1F"/>
          <w:w w:val="110"/>
          <w:sz w:val="12"/>
        </w:rPr>
        <w:t>plasma concentration of </w:t>
      </w:r>
      <w:r>
        <w:rPr>
          <w:color w:val="231F1F"/>
          <w:spacing w:val="-2"/>
          <w:w w:val="110"/>
          <w:sz w:val="12"/>
        </w:rPr>
        <w:t>estramustine </w:t>
      </w:r>
      <w:r>
        <w:rPr>
          <w:color w:val="231F1F"/>
          <w:w w:val="110"/>
          <w:sz w:val="12"/>
        </w:rPr>
        <w:t>increased by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SODIUM </w:t>
      </w:r>
      <w:r>
        <w:rPr>
          <w:rFonts w:ascii="Calibri"/>
          <w:color w:val="008356"/>
          <w:spacing w:val="3"/>
          <w:w w:val="110"/>
          <w:sz w:val="11"/>
        </w:rPr>
        <w:t>CLODRONATE</w:t>
      </w:r>
    </w:p>
    <w:p>
      <w:pPr>
        <w:pStyle w:val="BodyText"/>
        <w:spacing w:line="230" w:lineRule="auto"/>
        <w:ind w:left="286" w:right="102" w:hanging="100"/>
      </w:pPr>
      <w:r>
        <w:rPr>
          <w:rFonts w:ascii="Lucida Sans Unicode" w:hAnsi="Lucida Sans Unicode"/>
          <w:color w:val="A7A8AC"/>
          <w:w w:val="95"/>
          <w:sz w:val="10"/>
        </w:rPr>
        <w:t>▶ </w:t>
      </w:r>
      <w:r>
        <w:rPr>
          <w:rFonts w:ascii="Calibri" w:hAnsi="Calibri"/>
          <w:color w:val="231F1F"/>
          <w:w w:val="105"/>
        </w:rPr>
        <w:t>Calcium Salts: </w:t>
      </w:r>
      <w:r>
        <w:rPr>
          <w:color w:val="231F1F"/>
          <w:w w:val="105"/>
        </w:rPr>
        <w:t>absorption of estramustine reduced by </w:t>
      </w:r>
      <w:r>
        <w:rPr>
          <w:rFonts w:ascii="Calibri" w:hAnsi="Calibri"/>
          <w:color w:val="008356"/>
          <w:spacing w:val="2"/>
          <w:w w:val="105"/>
          <w:sz w:val="11"/>
        </w:rPr>
        <w:t>CALCIUM SALTS </w:t>
      </w:r>
      <w:r>
        <w:rPr>
          <w:color w:val="231F1F"/>
          <w:w w:val="105"/>
        </w:rPr>
        <w:t>(manufacturer of  estramustine  advises  avoid concomitant administration)</w:t>
      </w:r>
    </w:p>
    <w:p>
      <w:pPr>
        <w:pStyle w:val="BodyText"/>
        <w:spacing w:line="256" w:lineRule="auto" w:before="14"/>
        <w:ind w:left="186" w:right="1885"/>
        <w:rPr>
          <w:rFonts w:ascii="Trebuchet MS"/>
        </w:rPr>
      </w:pPr>
      <w:r>
        <w:rPr>
          <w:rFonts w:ascii="Trebuchet MS"/>
          <w:color w:val="008356"/>
          <w:w w:val="105"/>
        </w:rPr>
        <w:t>Estriol </w:t>
      </w:r>
      <w:r>
        <w:rPr>
          <w:i/>
          <w:color w:val="231F1F"/>
          <w:w w:val="105"/>
        </w:rPr>
        <w:t>see </w:t>
      </w:r>
      <w:r>
        <w:rPr>
          <w:color w:val="231F1F"/>
          <w:w w:val="105"/>
        </w:rPr>
        <w:t>Oestrogens </w:t>
      </w:r>
      <w:r>
        <w:rPr>
          <w:rFonts w:ascii="Trebuchet MS"/>
          <w:color w:val="008356"/>
          <w:w w:val="105"/>
        </w:rPr>
        <w:t>Estrone </w:t>
      </w:r>
      <w:r>
        <w:rPr>
          <w:i/>
          <w:color w:val="231F1F"/>
          <w:w w:val="105"/>
        </w:rPr>
        <w:t>see </w:t>
      </w:r>
      <w:r>
        <w:rPr>
          <w:color w:val="231F1F"/>
          <w:w w:val="105"/>
        </w:rPr>
        <w:t>Oestrogens </w:t>
      </w:r>
      <w:r>
        <w:rPr>
          <w:rFonts w:ascii="Trebuchet MS"/>
          <w:color w:val="008356"/>
          <w:w w:val="105"/>
        </w:rPr>
        <w:t>Etanercept</w:t>
      </w:r>
    </w:p>
    <w:p>
      <w:pPr>
        <w:pStyle w:val="BodyText"/>
        <w:spacing w:line="137" w:lineRule="exact"/>
        <w:ind w:left="186"/>
      </w:pPr>
      <w:r>
        <w:rPr>
          <w:rFonts w:ascii="Arial"/>
          <w:color w:val="231F1F"/>
          <w:w w:val="355"/>
          <w:position w:val="1"/>
          <w:sz w:val="7"/>
        </w:rPr>
        <w:t>l </w:t>
      </w:r>
      <w:r>
        <w:rPr>
          <w:rFonts w:ascii="Calibri"/>
          <w:color w:val="231F1F"/>
          <w:w w:val="110"/>
        </w:rPr>
        <w:t>Abatacept: </w:t>
      </w:r>
      <w:r>
        <w:rPr>
          <w:color w:val="231F1F"/>
          <w:w w:val="110"/>
        </w:rPr>
        <w:t>avoid concomitant use of etanercept with</w:t>
      </w:r>
    </w:p>
    <w:p>
      <w:pPr>
        <w:spacing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ABATACEPT</w:t>
      </w:r>
    </w:p>
    <w:p>
      <w:pPr>
        <w:pStyle w:val="BodyText"/>
        <w:spacing w:before="9"/>
        <w:ind w:left="0"/>
        <w:rPr>
          <w:rFonts w:ascii="Calibri"/>
          <w:sz w:val="13"/>
        </w:rPr>
      </w:pPr>
      <w:r>
        <w:rPr/>
        <w:br w:type="column"/>
      </w:r>
      <w:r>
        <w:rPr>
          <w:rFonts w:ascii="Calibri"/>
          <w:sz w:val="13"/>
        </w:rPr>
      </w:r>
    </w:p>
    <w:p>
      <w:pPr>
        <w:pStyle w:val="BodyText"/>
        <w:spacing w:line="144" w:lineRule="exact"/>
        <w:ind w:left="186"/>
        <w:jc w:val="both"/>
        <w:rPr>
          <w:rFonts w:ascii="Calibri"/>
        </w:rPr>
      </w:pPr>
      <w:r>
        <w:rPr>
          <w:rFonts w:ascii="Arial"/>
          <w:color w:val="008356"/>
        </w:rPr>
        <w:t>Etanercept </w:t>
      </w:r>
      <w:r>
        <w:rPr>
          <w:rFonts w:ascii="Calibri"/>
          <w:color w:val="231F1F"/>
        </w:rPr>
        <w:t>(continued)</w:t>
      </w:r>
    </w:p>
    <w:p>
      <w:pPr>
        <w:pStyle w:val="BodyText"/>
        <w:spacing w:line="144" w:lineRule="exact"/>
        <w:ind w:left="186"/>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Anakinra: </w:t>
      </w:r>
      <w:r>
        <w:rPr>
          <w:color w:val="231F1F"/>
          <w:w w:val="115"/>
        </w:rPr>
        <w:t>avoid concomitant use of etanercept with</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20"/>
          <w:sz w:val="11"/>
        </w:rPr>
        <w:t>ANAKINRA</w:t>
      </w:r>
    </w:p>
    <w:p>
      <w:pPr>
        <w:pStyle w:val="BodyText"/>
        <w:ind w:left="286" w:right="609"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Vaccines:</w:t>
      </w:r>
      <w:r>
        <w:rPr>
          <w:rFonts w:ascii="Calibri" w:hAnsi="Calibri"/>
          <w:color w:val="231F1F"/>
          <w:spacing w:val="-8"/>
          <w:w w:val="115"/>
        </w:rPr>
        <w:t> </w:t>
      </w:r>
      <w:r>
        <w:rPr>
          <w:color w:val="231F1F"/>
          <w:w w:val="115"/>
        </w:rPr>
        <w:t>risk</w:t>
      </w:r>
      <w:r>
        <w:rPr>
          <w:color w:val="231F1F"/>
          <w:spacing w:val="-12"/>
          <w:w w:val="115"/>
        </w:rPr>
        <w:t> </w:t>
      </w:r>
      <w:r>
        <w:rPr>
          <w:color w:val="231F1F"/>
          <w:w w:val="115"/>
        </w:rPr>
        <w:t>of</w:t>
      </w:r>
      <w:r>
        <w:rPr>
          <w:color w:val="231F1F"/>
          <w:spacing w:val="-11"/>
          <w:w w:val="115"/>
        </w:rPr>
        <w:t> </w:t>
      </w:r>
      <w:r>
        <w:rPr>
          <w:color w:val="231F1F"/>
          <w:w w:val="115"/>
        </w:rPr>
        <w:t>generalised</w:t>
      </w:r>
      <w:r>
        <w:rPr>
          <w:color w:val="231F1F"/>
          <w:spacing w:val="-13"/>
          <w:w w:val="115"/>
        </w:rPr>
        <w:t> </w:t>
      </w:r>
      <w:r>
        <w:rPr>
          <w:color w:val="231F1F"/>
          <w:w w:val="115"/>
        </w:rPr>
        <w:t>infections</w:t>
      </w:r>
      <w:r>
        <w:rPr>
          <w:color w:val="231F1F"/>
          <w:spacing w:val="-11"/>
          <w:w w:val="115"/>
        </w:rPr>
        <w:t> </w:t>
      </w:r>
      <w:r>
        <w:rPr>
          <w:color w:val="231F1F"/>
          <w:w w:val="115"/>
        </w:rPr>
        <w:t>when</w:t>
      </w:r>
      <w:r>
        <w:rPr>
          <w:color w:val="231F1F"/>
          <w:spacing w:val="-12"/>
          <w:w w:val="115"/>
        </w:rPr>
        <w:t> </w:t>
      </w:r>
      <w:r>
        <w:rPr>
          <w:color w:val="231F1F"/>
          <w:w w:val="115"/>
        </w:rPr>
        <w:t>etanercept</w:t>
      </w:r>
      <w:r>
        <w:rPr>
          <w:color w:val="231F1F"/>
          <w:spacing w:val="-13"/>
          <w:w w:val="115"/>
        </w:rPr>
        <w:t> </w:t>
      </w:r>
      <w:r>
        <w:rPr>
          <w:color w:val="231F1F"/>
          <w:spacing w:val="-3"/>
          <w:w w:val="115"/>
        </w:rPr>
        <w:t>given </w:t>
      </w:r>
      <w:r>
        <w:rPr>
          <w:color w:val="231F1F"/>
          <w:w w:val="115"/>
        </w:rPr>
        <w:t>with</w:t>
      </w:r>
      <w:r>
        <w:rPr>
          <w:color w:val="231F1F"/>
          <w:spacing w:val="-7"/>
          <w:w w:val="115"/>
        </w:rPr>
        <w:t> </w:t>
      </w:r>
      <w:r>
        <w:rPr>
          <w:color w:val="231F1F"/>
          <w:w w:val="115"/>
        </w:rPr>
        <w:t>live</w:t>
      </w:r>
      <w:r>
        <w:rPr>
          <w:color w:val="231F1F"/>
          <w:spacing w:val="-6"/>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8"/>
          <w:w w:val="115"/>
        </w:rPr>
        <w:t> </w:t>
      </w:r>
      <w:r>
        <w:rPr>
          <w:color w:val="231F1F"/>
          <w:w w:val="115"/>
        </w:rPr>
        <w:t>use</w:t>
      </w:r>
    </w:p>
    <w:p>
      <w:pPr>
        <w:pStyle w:val="BodyText"/>
        <w:spacing w:line="139" w:lineRule="exact" w:before="5"/>
        <w:ind w:left="186"/>
        <w:rPr>
          <w:rFonts w:ascii="Trebuchet MS"/>
        </w:rPr>
      </w:pPr>
      <w:r>
        <w:rPr>
          <w:rFonts w:ascii="Trebuchet MS"/>
          <w:color w:val="008356"/>
        </w:rPr>
        <w:t>Ethambutol</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ethambutol increased by</w:t>
      </w:r>
      <w:r>
        <w:rPr>
          <w:color w:val="231F1F"/>
          <w:spacing w:val="-1"/>
          <w:w w:val="105"/>
        </w:rPr>
        <w:t> </w:t>
      </w:r>
      <w:r>
        <w:rPr>
          <w:rFonts w:ascii="Calibri" w:hAnsi="Calibri"/>
          <w:color w:val="008356"/>
          <w:spacing w:val="5"/>
          <w:w w:val="105"/>
          <w:sz w:val="11"/>
        </w:rPr>
        <w:t>DELAMANID</w:t>
      </w:r>
    </w:p>
    <w:p>
      <w:pPr>
        <w:spacing w:line="220" w:lineRule="auto" w:before="9"/>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spacing w:val="3"/>
          <w:w w:val="105"/>
          <w:sz w:val="11"/>
        </w:rPr>
        <w:t>ORAL </w:t>
      </w:r>
      <w:r>
        <w:rPr>
          <w:rFonts w:ascii="Calibri" w:hAnsi="Calibri"/>
          <w:color w:val="008356"/>
          <w:spacing w:val="4"/>
          <w:w w:val="105"/>
          <w:sz w:val="11"/>
        </w:rPr>
        <w:t>TYPHOID </w:t>
      </w:r>
      <w:r>
        <w:rPr>
          <w:rFonts w:ascii="Calibri" w:hAnsi="Calibri"/>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2"/>
        <w:ind w:left="186"/>
      </w:pPr>
      <w:r>
        <w:rPr>
          <w:rFonts w:ascii="Trebuchet MS"/>
          <w:color w:val="008356"/>
          <w:w w:val="105"/>
        </w:rPr>
        <w:t>Ethinylestradiol  </w:t>
      </w:r>
      <w:r>
        <w:rPr>
          <w:i/>
          <w:color w:val="231F1F"/>
          <w:w w:val="105"/>
        </w:rPr>
        <w:t>see</w:t>
      </w:r>
      <w:r>
        <w:rPr>
          <w:i/>
          <w:color w:val="231F1F"/>
          <w:spacing w:val="8"/>
          <w:w w:val="105"/>
        </w:rPr>
        <w:t> </w:t>
      </w:r>
      <w:r>
        <w:rPr>
          <w:color w:val="231F1F"/>
          <w:w w:val="105"/>
        </w:rPr>
        <w:t>Oestrogens</w:t>
      </w:r>
    </w:p>
    <w:p>
      <w:pPr>
        <w:pStyle w:val="BodyText"/>
        <w:spacing w:before="11"/>
        <w:ind w:left="186"/>
        <w:rPr>
          <w:rFonts w:ascii="Trebuchet MS"/>
        </w:rPr>
      </w:pPr>
      <w:r>
        <w:rPr>
          <w:rFonts w:ascii="Trebuchet MS"/>
          <w:color w:val="008356"/>
        </w:rPr>
        <w:t>Ethosuximide</w:t>
      </w:r>
    </w:p>
    <w:p>
      <w:pPr>
        <w:pStyle w:val="BodyText"/>
        <w:spacing w:before="1"/>
        <w:ind w:left="286" w:right="938" w:hanging="100"/>
        <w:jc w:val="both"/>
      </w:pPr>
      <w:r>
        <w:rPr>
          <w:rFonts w:ascii="Arial"/>
          <w:color w:val="231F1F"/>
          <w:w w:val="355"/>
          <w:position w:val="1"/>
          <w:sz w:val="7"/>
        </w:rPr>
        <w:t>l </w:t>
      </w:r>
      <w:r>
        <w:rPr>
          <w:rFonts w:ascii="Calibri"/>
          <w:color w:val="231F1F"/>
          <w:w w:val="110"/>
        </w:rPr>
        <w:t>Antibacterials: </w:t>
      </w:r>
      <w:r>
        <w:rPr>
          <w:color w:val="231F1F"/>
          <w:w w:val="110"/>
        </w:rPr>
        <w:t>metabolism of ethosuximide inhibited by </w:t>
      </w:r>
      <w:r>
        <w:rPr>
          <w:rFonts w:ascii="Arial"/>
          <w:color w:val="231F1F"/>
          <w:w w:val="355"/>
          <w:position w:val="1"/>
          <w:sz w:val="7"/>
        </w:rPr>
        <w:t>l </w:t>
      </w:r>
      <w:r>
        <w:rPr>
          <w:rFonts w:ascii="Calibri"/>
          <w:color w:val="008356"/>
          <w:w w:val="110"/>
          <w:sz w:val="11"/>
        </w:rPr>
        <w:t>ISONIAZID </w:t>
      </w:r>
      <w:r>
        <w:rPr>
          <w:color w:val="231F1F"/>
          <w:w w:val="110"/>
        </w:rPr>
        <w:t>(increased plasma concentration and risk of toxicity)</w:t>
      </w:r>
    </w:p>
    <w:p>
      <w:pPr>
        <w:spacing w:line="242" w:lineRule="auto" w:before="1"/>
        <w:ind w:left="286"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spacing w:line="240" w:lineRule="auto" w:before="0"/>
        <w:ind w:left="286" w:right="62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ethosuximide possibly </w:t>
      </w:r>
      <w:r>
        <w:rPr>
          <w:color w:val="231F1F"/>
          <w:w w:val="105"/>
          <w:sz w:val="12"/>
        </w:rPr>
        <w:t>reduced by </w:t>
      </w:r>
      <w:r>
        <w:rPr>
          <w:rFonts w:ascii="Calibri"/>
          <w:color w:val="008356"/>
          <w:w w:val="105"/>
          <w:sz w:val="11"/>
        </w:rPr>
        <w:t>CARBAMAZEPINE</w:t>
      </w:r>
      <w:r>
        <w:rPr>
          <w:color w:val="231F1F"/>
          <w:w w:val="105"/>
          <w:sz w:val="12"/>
        </w:rPr>
        <w:t>, </w:t>
      </w:r>
      <w:r>
        <w:rPr>
          <w:rFonts w:ascii="Calibri"/>
          <w:color w:val="008356"/>
          <w:w w:val="105"/>
          <w:sz w:val="11"/>
        </w:rPr>
        <w:t>PHENOBARBITAL </w:t>
      </w:r>
      <w:r>
        <w:rPr>
          <w:color w:val="231F1F"/>
          <w:w w:val="105"/>
          <w:sz w:val="12"/>
        </w:rPr>
        <w:t>and </w:t>
      </w:r>
      <w:r>
        <w:rPr>
          <w:rFonts w:ascii="Calibri"/>
          <w:color w:val="008356"/>
          <w:w w:val="105"/>
          <w:sz w:val="11"/>
        </w:rPr>
        <w:t>PRIMIDONE</w:t>
      </w:r>
      <w:r>
        <w:rPr>
          <w:color w:val="231F1F"/>
          <w:w w:val="105"/>
          <w:sz w:val="12"/>
        </w:rPr>
        <w:t>;</w:t>
      </w:r>
    </w:p>
    <w:p>
      <w:pPr>
        <w:spacing w:line="247" w:lineRule="auto" w:before="0"/>
        <w:ind w:left="286" w:right="658" w:firstLine="0"/>
        <w:jc w:val="left"/>
        <w:rPr>
          <w:rFonts w:ascii="Calibri"/>
          <w:sz w:val="11"/>
        </w:rPr>
      </w:pPr>
      <w:r>
        <w:rPr>
          <w:color w:val="231F1F"/>
          <w:w w:val="110"/>
          <w:sz w:val="12"/>
        </w:rPr>
        <w:t>plasma  concentration of  ethosuximide  possibly  reduced by</w:t>
      </w:r>
      <w:r>
        <w:rPr>
          <w:color w:val="231F1F"/>
          <w:w w:val="110"/>
          <w:position w:val="1"/>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FOSPHENYTOIN</w:t>
      </w:r>
      <w:r>
        <w:rPr>
          <w:rFonts w:ascii="Calibri"/>
          <w:color w:val="008356"/>
          <w:spacing w:val="2"/>
          <w:w w:val="110"/>
          <w:sz w:val="11"/>
        </w:rPr>
        <w:t> </w:t>
      </w:r>
      <w:r>
        <w:rPr>
          <w:color w:val="231F1F"/>
          <w:w w:val="110"/>
          <w:sz w:val="12"/>
        </w:rPr>
        <w:t>and</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PHENYTOIN</w:t>
      </w:r>
      <w:r>
        <w:rPr>
          <w:color w:val="231F1F"/>
          <w:spacing w:val="4"/>
          <w:w w:val="110"/>
          <w:sz w:val="12"/>
        </w:rPr>
        <w:t>,</w:t>
      </w:r>
      <w:r>
        <w:rPr>
          <w:color w:val="231F1F"/>
          <w:spacing w:val="-7"/>
          <w:w w:val="110"/>
          <w:sz w:val="12"/>
        </w:rPr>
        <w:t> </w:t>
      </w:r>
      <w:r>
        <w:rPr>
          <w:color w:val="231F1F"/>
          <w:w w:val="110"/>
          <w:sz w:val="12"/>
        </w:rPr>
        <w:t>also</w:t>
      </w:r>
      <w:r>
        <w:rPr>
          <w:color w:val="231F1F"/>
          <w:spacing w:val="-7"/>
          <w:w w:val="110"/>
          <w:sz w:val="12"/>
        </w:rPr>
        <w:t> </w:t>
      </w:r>
      <w:r>
        <w:rPr>
          <w:color w:val="231F1F"/>
          <w:w w:val="110"/>
          <w:sz w:val="12"/>
        </w:rPr>
        <w:t>plasma</w:t>
      </w:r>
      <w:r>
        <w:rPr>
          <w:color w:val="231F1F"/>
          <w:spacing w:val="-8"/>
          <w:w w:val="110"/>
          <w:sz w:val="12"/>
        </w:rPr>
        <w:t> </w:t>
      </w:r>
      <w:r>
        <w:rPr>
          <w:color w:val="231F1F"/>
          <w:w w:val="110"/>
          <w:sz w:val="12"/>
        </w:rPr>
        <w:t>concentration of fosphenytoin and phenytoin possibly increased; plasma concentration of ethosuximide possibly increased by </w:t>
      </w:r>
      <w:r>
        <w:rPr>
          <w:rFonts w:ascii="Calibri"/>
          <w:color w:val="008356"/>
          <w:spacing w:val="3"/>
          <w:w w:val="110"/>
          <w:sz w:val="11"/>
        </w:rPr>
        <w:t>SODIUM VALPROATE </w:t>
      </w:r>
      <w:r>
        <w:rPr>
          <w:color w:val="231F1F"/>
          <w:w w:val="110"/>
          <w:sz w:val="12"/>
        </w:rPr>
        <w:t>and </w:t>
      </w:r>
      <w:r>
        <w:rPr>
          <w:rFonts w:ascii="Calibri"/>
          <w:color w:val="008356"/>
          <w:spacing w:val="3"/>
          <w:w w:val="110"/>
          <w:sz w:val="11"/>
        </w:rPr>
        <w:t>VALPROIC</w:t>
      </w:r>
      <w:r>
        <w:rPr>
          <w:rFonts w:ascii="Calibri"/>
          <w:color w:val="008356"/>
          <w:spacing w:val="6"/>
          <w:w w:val="110"/>
          <w:sz w:val="11"/>
        </w:rPr>
        <w:t> </w:t>
      </w:r>
      <w:r>
        <w:rPr>
          <w:rFonts w:ascii="Calibri"/>
          <w:color w:val="008356"/>
          <w:spacing w:val="4"/>
          <w:w w:val="110"/>
          <w:sz w:val="11"/>
        </w:rPr>
        <w:t>ACID</w:t>
      </w:r>
    </w:p>
    <w:p>
      <w:pPr>
        <w:pStyle w:val="BodyText"/>
        <w:spacing w:line="138" w:lineRule="exact"/>
        <w:ind w:left="186"/>
      </w:pPr>
      <w:r>
        <w:rPr>
          <w:rFonts w:ascii="Arial"/>
          <w:color w:val="231F1F"/>
          <w:w w:val="355"/>
          <w:position w:val="1"/>
          <w:sz w:val="7"/>
        </w:rPr>
        <w:t>l </w:t>
      </w:r>
      <w:r>
        <w:rPr>
          <w:rFonts w:ascii="Calibri"/>
          <w:color w:val="231F1F"/>
          <w:w w:val="115"/>
        </w:rPr>
        <w:t>Antimalarials: </w:t>
      </w:r>
      <w:r>
        <w:rPr>
          <w:color w:val="231F1F"/>
          <w:w w:val="115"/>
        </w:rPr>
        <w:t>anticonvulsant effect of antiepileptics</w:t>
      </w:r>
    </w:p>
    <w:p>
      <w:pPr>
        <w:spacing w:line="140" w:lineRule="exact" w:before="0"/>
        <w:ind w:left="286" w:right="0" w:firstLine="0"/>
        <w:jc w:val="left"/>
        <w:rPr>
          <w:rFonts w:ascii="Calibri"/>
          <w:sz w:val="11"/>
        </w:rPr>
      </w:pPr>
      <w:r>
        <w:rPr>
          <w:color w:val="231F1F"/>
          <w:w w:val="110"/>
          <w:sz w:val="12"/>
        </w:rPr>
        <w:t>antagonised by </w:t>
      </w:r>
      <w:r>
        <w:rPr>
          <w:rFonts w:ascii="Arial"/>
          <w:color w:val="231F1F"/>
          <w:w w:val="355"/>
          <w:position w:val="1"/>
          <w:sz w:val="7"/>
        </w:rPr>
        <w:t>l </w:t>
      </w:r>
      <w:r>
        <w:rPr>
          <w:rFonts w:ascii="Calibri"/>
          <w:color w:val="008356"/>
          <w:w w:val="110"/>
          <w:sz w:val="11"/>
        </w:rPr>
        <w:t>MEFLOQUINE</w:t>
      </w:r>
    </w:p>
    <w:p>
      <w:pPr>
        <w:pStyle w:val="BodyText"/>
        <w:ind w:left="286" w:right="961"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left="286" w:right="1078"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spacing w:before="4"/>
        <w:ind w:left="186" w:right="0" w:firstLine="0"/>
        <w:jc w:val="left"/>
        <w:rPr>
          <w:sz w:val="12"/>
        </w:rPr>
      </w:pPr>
      <w:r>
        <w:rPr>
          <w:rFonts w:ascii="Trebuchet MS"/>
          <w:color w:val="008356"/>
          <w:sz w:val="12"/>
        </w:rPr>
        <w:t>Etodolac </w:t>
      </w:r>
      <w:r>
        <w:rPr>
          <w:i/>
          <w:color w:val="231F1F"/>
          <w:sz w:val="12"/>
        </w:rPr>
        <w:t>see </w:t>
      </w:r>
      <w:r>
        <w:rPr>
          <w:color w:val="231F1F"/>
          <w:sz w:val="12"/>
        </w:rPr>
        <w:t>NSAIDs</w:t>
      </w:r>
    </w:p>
    <w:p>
      <w:pPr>
        <w:pStyle w:val="BodyText"/>
        <w:spacing w:line="256" w:lineRule="auto" w:before="9"/>
        <w:ind w:left="186" w:right="1930"/>
        <w:rPr>
          <w:rFonts w:ascii="Trebuchet MS"/>
        </w:rPr>
      </w:pPr>
      <w:r>
        <w:rPr>
          <w:rFonts w:ascii="Trebuchet MS"/>
          <w:color w:val="008356"/>
          <w:w w:val="105"/>
        </w:rPr>
        <w:t>Etomidate </w:t>
      </w:r>
      <w:r>
        <w:rPr>
          <w:i/>
          <w:color w:val="231F1F"/>
          <w:w w:val="105"/>
        </w:rPr>
        <w:t>see </w:t>
      </w:r>
      <w:r>
        <w:rPr>
          <w:color w:val="231F1F"/>
          <w:w w:val="105"/>
        </w:rPr>
        <w:t>Anaesthetics, General </w:t>
      </w:r>
      <w:r>
        <w:rPr>
          <w:rFonts w:ascii="Trebuchet MS"/>
          <w:color w:val="008356"/>
          <w:w w:val="105"/>
        </w:rPr>
        <w:t>Etonogestrel </w:t>
      </w:r>
      <w:r>
        <w:rPr>
          <w:i/>
          <w:color w:val="231F1F"/>
          <w:w w:val="105"/>
        </w:rPr>
        <w:t>see </w:t>
      </w:r>
      <w:r>
        <w:rPr>
          <w:color w:val="231F1F"/>
          <w:w w:val="105"/>
        </w:rPr>
        <w:t>Progestogens </w:t>
      </w:r>
      <w:r>
        <w:rPr>
          <w:rFonts w:ascii="Trebuchet MS"/>
          <w:color w:val="008356"/>
          <w:w w:val="105"/>
        </w:rPr>
        <w:t>Etoposide</w:t>
      </w:r>
    </w:p>
    <w:p>
      <w:pPr>
        <w:pStyle w:val="BodyText"/>
        <w:spacing w:line="138" w:lineRule="exact"/>
        <w:ind w:left="186"/>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Anticoagulants: </w:t>
      </w:r>
      <w:r>
        <w:rPr>
          <w:color w:val="231F1F"/>
          <w:w w:val="115"/>
        </w:rPr>
        <w:t>etoposide possibly enhances anticoagulant</w:t>
      </w:r>
    </w:p>
    <w:p>
      <w:pPr>
        <w:spacing w:line="140" w:lineRule="exact" w:before="0"/>
        <w:ind w:left="286" w:right="0" w:firstLine="0"/>
        <w:jc w:val="left"/>
        <w:rPr>
          <w:rFonts w:ascii="Calibri"/>
          <w:sz w:val="11"/>
        </w:rPr>
      </w:pPr>
      <w:r>
        <w:rPr>
          <w:color w:val="231F1F"/>
          <w:w w:val="105"/>
          <w:sz w:val="12"/>
        </w:rPr>
        <w:t>effect of </w:t>
      </w:r>
      <w:r>
        <w:rPr>
          <w:rFonts w:ascii="Arial"/>
          <w:color w:val="231F1F"/>
          <w:w w:val="355"/>
          <w:position w:val="1"/>
          <w:sz w:val="7"/>
        </w:rPr>
        <w:t>l </w:t>
      </w:r>
      <w:r>
        <w:rPr>
          <w:rFonts w:ascii="Calibri"/>
          <w:color w:val="008356"/>
          <w:w w:val="105"/>
          <w:sz w:val="11"/>
        </w:rPr>
        <w:t>COUMARINS</w:t>
      </w:r>
    </w:p>
    <w:p>
      <w:pPr>
        <w:spacing w:line="237" w:lineRule="auto" w:before="0"/>
        <w:ind w:left="286" w:right="81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etoposide possibly reduced by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etoposide increased by</w:t>
      </w:r>
    </w:p>
    <w:p>
      <w:pPr>
        <w:spacing w:line="130" w:lineRule="exact" w:before="0"/>
        <w:ind w:left="286" w:right="0" w:firstLine="0"/>
        <w:jc w:val="left"/>
        <w:rPr>
          <w:rFonts w:ascii="Calibri"/>
          <w:sz w:val="11"/>
        </w:rPr>
      </w:pPr>
      <w:r>
        <w:rPr>
          <w:rFonts w:ascii="Calibri"/>
          <w:color w:val="008356"/>
          <w:sz w:val="11"/>
        </w:rPr>
        <w:t>KETOCONAZOLE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Atovaquone: </w:t>
      </w:r>
      <w:r>
        <w:rPr>
          <w:color w:val="231F1F"/>
          <w:w w:val="105"/>
        </w:rPr>
        <w:t>plasma concentration of etoposide possibly increased by </w:t>
      </w:r>
      <w:r>
        <w:rPr>
          <w:rFonts w:ascii="Calibri" w:hAnsi="Calibri"/>
          <w:color w:val="008356"/>
          <w:w w:val="105"/>
          <w:sz w:val="11"/>
        </w:rPr>
        <w:t>ATOVAQUONE</w:t>
      </w:r>
    </w:p>
    <w:p>
      <w:pPr>
        <w:pStyle w:val="BodyText"/>
        <w:spacing w:line="220" w:lineRule="auto" w:before="8"/>
        <w:ind w:left="286" w:right="972" w:hanging="100"/>
        <w:jc w:val="both"/>
      </w:pPr>
      <w:r>
        <w:rPr>
          <w:rFonts w:ascii="Lucida Sans Unicode" w:hAnsi="Lucida Sans Unicode"/>
          <w:color w:val="A7A8AC"/>
          <w:w w:val="95"/>
          <w:sz w:val="10"/>
        </w:rPr>
        <w:t>▶ </w:t>
      </w:r>
      <w:r>
        <w:rPr>
          <w:rFonts w:ascii="Calibri" w:hAnsi="Calibri"/>
          <w:color w:val="231F1F"/>
          <w:w w:val="105"/>
        </w:rPr>
        <w:t>Ciclosporin: </w:t>
      </w:r>
      <w:r>
        <w:rPr>
          <w:color w:val="231F1F"/>
          <w:w w:val="105"/>
        </w:rPr>
        <w:t>plasma concentration of etoposide possibly increased by </w:t>
      </w:r>
      <w:r>
        <w:rPr>
          <w:rFonts w:ascii="Calibri" w:hAnsi="Calibri"/>
          <w:color w:val="008356"/>
          <w:w w:val="105"/>
          <w:sz w:val="11"/>
        </w:rPr>
        <w:t>CICLOSPORIN </w:t>
      </w:r>
      <w:r>
        <w:rPr>
          <w:color w:val="231F1F"/>
          <w:w w:val="105"/>
        </w:rPr>
        <w:t>(increased risk of toxicity)</w:t>
      </w:r>
    </w:p>
    <w:p>
      <w:pPr>
        <w:pStyle w:val="BodyText"/>
        <w:spacing w:before="9"/>
        <w:ind w:left="186"/>
      </w:pPr>
      <w:r>
        <w:rPr>
          <w:rFonts w:ascii="Trebuchet MS"/>
          <w:color w:val="008356"/>
          <w:w w:val="105"/>
        </w:rPr>
        <w:t>Etoricoxib </w:t>
      </w:r>
      <w:r>
        <w:rPr>
          <w:i/>
          <w:color w:val="231F1F"/>
          <w:w w:val="105"/>
        </w:rPr>
        <w:t>see </w:t>
      </w:r>
      <w:r>
        <w:rPr>
          <w:color w:val="231F1F"/>
          <w:w w:val="105"/>
        </w:rPr>
        <w:t>NSAIDs</w:t>
      </w:r>
    </w:p>
    <w:p>
      <w:pPr>
        <w:pStyle w:val="BodyText"/>
        <w:spacing w:before="11"/>
        <w:ind w:left="186"/>
        <w:rPr>
          <w:rFonts w:ascii="Trebuchet MS"/>
        </w:rPr>
      </w:pPr>
      <w:r>
        <w:rPr>
          <w:rFonts w:ascii="Trebuchet MS"/>
          <w:color w:val="008356"/>
        </w:rPr>
        <w:t>Etravirine</w:t>
      </w:r>
    </w:p>
    <w:p>
      <w:pPr>
        <w:pStyle w:val="BodyText"/>
        <w:spacing w:line="146" w:lineRule="exact"/>
        <w:ind w:left="186"/>
      </w:pPr>
      <w:r>
        <w:rPr>
          <w:rFonts w:ascii="Arial"/>
          <w:color w:val="231F1F"/>
          <w:w w:val="355"/>
          <w:position w:val="1"/>
          <w:sz w:val="7"/>
        </w:rPr>
        <w:t>l </w:t>
      </w:r>
      <w:r>
        <w:rPr>
          <w:rFonts w:ascii="Calibri"/>
          <w:color w:val="231F1F"/>
          <w:w w:val="115"/>
        </w:rPr>
        <w:t>Antibacterials: </w:t>
      </w:r>
      <w:r>
        <w:rPr>
          <w:color w:val="231F1F"/>
          <w:w w:val="115"/>
        </w:rPr>
        <w:t>etravirine reduces plasma concentration of</w:t>
      </w:r>
    </w:p>
    <w:p>
      <w:pPr>
        <w:pStyle w:val="BodyText"/>
        <w:spacing w:line="244" w:lineRule="auto"/>
        <w:ind w:left="286" w:right="534"/>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CLARITHROMYCIN </w:t>
      </w:r>
      <w:r>
        <w:rPr>
          <w:color w:val="231F1F"/>
          <w:w w:val="115"/>
        </w:rPr>
        <w:t>(but concentration of an active metabolite increased), also plasma concentration of etravirine increased; plasma concentration of both drugs reduced when etravirine given with </w:t>
      </w:r>
      <w:r>
        <w:rPr>
          <w:rFonts w:ascii="Arial" w:hAnsi="Arial"/>
          <w:color w:val="231F1F"/>
          <w:w w:val="355"/>
          <w:position w:val="1"/>
          <w:sz w:val="7"/>
        </w:rPr>
        <w:t>l </w:t>
      </w:r>
      <w:r>
        <w:rPr>
          <w:rFonts w:ascii="Calibri" w:hAnsi="Calibri"/>
          <w:color w:val="008356"/>
          <w:spacing w:val="4"/>
          <w:w w:val="115"/>
          <w:sz w:val="11"/>
        </w:rPr>
        <w:t>RIFABUTIN</w:t>
      </w:r>
      <w:r>
        <w:rPr>
          <w:color w:val="231F1F"/>
          <w:spacing w:val="4"/>
          <w:w w:val="115"/>
        </w:rPr>
        <w:t>; </w:t>
      </w:r>
      <w:r>
        <w:rPr>
          <w:color w:val="231F1F"/>
          <w:w w:val="115"/>
        </w:rPr>
        <w:t>manufacturer of etravirine advises avoid concomitant use with </w:t>
      </w:r>
      <w:r>
        <w:rPr>
          <w:rFonts w:ascii="Calibri" w:hAnsi="Calibri"/>
          <w:color w:val="008356"/>
          <w:spacing w:val="4"/>
          <w:w w:val="115"/>
          <w:sz w:val="11"/>
        </w:rPr>
        <w:t>RIFAMPICIN</w:t>
      </w:r>
      <w:r>
        <w:rPr>
          <w:color w:val="231F1F"/>
          <w:spacing w:val="4"/>
          <w:w w:val="115"/>
        </w:rPr>
        <w:t>; </w:t>
      </w:r>
      <w:r>
        <w:rPr>
          <w:color w:val="231F1F"/>
          <w:w w:val="115"/>
        </w:rPr>
        <w:t>etravirine possibly </w:t>
      </w:r>
      <w:r>
        <w:rPr>
          <w:color w:val="231F1F"/>
          <w:w w:val="110"/>
        </w:rPr>
        <w:t>reduces plasma concentration of </w:t>
      </w:r>
      <w:r>
        <w:rPr>
          <w:rFonts w:ascii="Calibri" w:hAnsi="Calibri"/>
          <w:color w:val="008356"/>
          <w:spacing w:val="2"/>
          <w:w w:val="110"/>
          <w:sz w:val="11"/>
        </w:rPr>
        <w:t>BEDAQUILINE</w:t>
      </w:r>
      <w:r>
        <w:rPr>
          <w:rFonts w:ascii="Arial" w:hAnsi="Arial"/>
          <w:color w:val="231F1F"/>
          <w:spacing w:val="2"/>
          <w:w w:val="110"/>
        </w:rPr>
        <w:t>—</w:t>
      </w:r>
      <w:r>
        <w:rPr>
          <w:color w:val="231F1F"/>
          <w:spacing w:val="2"/>
          <w:w w:val="110"/>
        </w:rPr>
        <w:t>manufacturer </w:t>
      </w:r>
      <w:r>
        <w:rPr>
          <w:color w:val="231F1F"/>
          <w:w w:val="115"/>
        </w:rPr>
        <w:t>of bedaquiline advises avoid concomitant use</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etravirine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32" w:lineRule="auto" w:before="3"/>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etravirine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Antimalarials: </w:t>
      </w:r>
      <w:r>
        <w:rPr>
          <w:color w:val="231F1F"/>
          <w:w w:val="105"/>
        </w:rPr>
        <w:t>etravirine reduces plasma concentration of</w:t>
      </w:r>
    </w:p>
    <w:p>
      <w:pPr>
        <w:spacing w:line="131" w:lineRule="exact" w:before="0"/>
        <w:ind w:left="286" w:right="0" w:firstLine="0"/>
        <w:jc w:val="left"/>
        <w:rPr>
          <w:rFonts w:ascii="Calibri"/>
          <w:sz w:val="11"/>
        </w:rPr>
      </w:pPr>
      <w:r>
        <w:rPr>
          <w:rFonts w:ascii="Calibri"/>
          <w:color w:val="008356"/>
          <w:sz w:val="11"/>
        </w:rPr>
        <w:t>ARTEMETHER WITH LUMEFANTRINE</w:t>
      </w:r>
    </w:p>
    <w:p>
      <w:pPr>
        <w:pStyle w:val="BodyText"/>
        <w:spacing w:line="244" w:lineRule="auto"/>
        <w:ind w:left="286" w:right="592" w:hanging="100"/>
        <w:rPr>
          <w:rFonts w:ascii="Arial" w:hAnsi="Arial"/>
        </w:rPr>
      </w:pPr>
      <w:r>
        <w:rPr>
          <w:rFonts w:ascii="Arial" w:hAnsi="Arial"/>
          <w:color w:val="231F1F"/>
          <w:w w:val="355"/>
          <w:position w:val="1"/>
          <w:sz w:val="7"/>
        </w:rPr>
        <w:t>l </w:t>
      </w:r>
      <w:r>
        <w:rPr>
          <w:rFonts w:ascii="Calibri" w:hAnsi="Calibri"/>
          <w:color w:val="231F1F"/>
          <w:w w:val="110"/>
        </w:rPr>
        <w:t>Antivirals: </w:t>
      </w:r>
      <w:r>
        <w:rPr>
          <w:color w:val="231F1F"/>
          <w:w w:val="110"/>
        </w:rPr>
        <w:t>effects of both drugs possibly reduced when etravirine given with </w:t>
      </w:r>
      <w:r>
        <w:rPr>
          <w:rFonts w:ascii="Calibri" w:hAnsi="Calibri"/>
          <w:color w:val="008356"/>
          <w:spacing w:val="4"/>
          <w:w w:val="110"/>
          <w:sz w:val="11"/>
        </w:rPr>
        <w:t>BOCEPREVIR</w:t>
      </w:r>
      <w:r>
        <w:rPr>
          <w:color w:val="231F1F"/>
          <w:spacing w:val="4"/>
          <w:w w:val="110"/>
        </w:rPr>
        <w:t>; </w:t>
      </w:r>
      <w:r>
        <w:rPr>
          <w:color w:val="231F1F"/>
          <w:w w:val="110"/>
        </w:rPr>
        <w:t>avoidance of etravirine advised by manufacturer of </w:t>
      </w:r>
      <w:r>
        <w:rPr>
          <w:rFonts w:ascii="Calibri" w:hAnsi="Calibri"/>
          <w:color w:val="008356"/>
          <w:spacing w:val="3"/>
          <w:w w:val="110"/>
          <w:sz w:val="11"/>
        </w:rPr>
        <w:t>DACLATASVIR </w:t>
      </w:r>
      <w:r>
        <w:rPr>
          <w:color w:val="231F1F"/>
          <w:w w:val="110"/>
        </w:rPr>
        <w:t>(plasma concentration of daclatasvir possibly reduced); etravirine reduces the plasma concentration of </w:t>
      </w:r>
      <w:r>
        <w:rPr>
          <w:rFonts w:ascii="Arial" w:hAnsi="Arial"/>
          <w:color w:val="231F1F"/>
          <w:w w:val="355"/>
          <w:position w:val="1"/>
          <w:sz w:val="7"/>
        </w:rPr>
        <w:t>l </w:t>
      </w:r>
      <w:r>
        <w:rPr>
          <w:rFonts w:ascii="Calibri" w:hAnsi="Calibri"/>
          <w:color w:val="008356"/>
          <w:spacing w:val="4"/>
          <w:w w:val="110"/>
          <w:sz w:val="11"/>
        </w:rPr>
        <w:t>DOLUTEGRAVIR </w:t>
      </w:r>
      <w:r>
        <w:rPr>
          <w:color w:val="231F1F"/>
          <w:w w:val="110"/>
        </w:rPr>
        <w:t>(see under Dolutegravir, p. 557); plasma concentration of  etravirine</w:t>
      </w:r>
      <w:r>
        <w:rPr>
          <w:color w:val="231F1F"/>
          <w:spacing w:val="-9"/>
          <w:w w:val="110"/>
        </w:rPr>
        <w:t> </w:t>
      </w:r>
      <w:r>
        <w:rPr>
          <w:color w:val="231F1F"/>
          <w:w w:val="110"/>
        </w:rPr>
        <w:t>possibly</w:t>
      </w:r>
      <w:r>
        <w:rPr>
          <w:color w:val="231F1F"/>
          <w:spacing w:val="-8"/>
          <w:w w:val="110"/>
        </w:rPr>
        <w:t> </w:t>
      </w:r>
      <w:r>
        <w:rPr>
          <w:color w:val="231F1F"/>
          <w:w w:val="110"/>
        </w:rPr>
        <w:t>reduced</w:t>
      </w:r>
      <w:r>
        <w:rPr>
          <w:color w:val="231F1F"/>
          <w:spacing w:val="-9"/>
          <w:w w:val="110"/>
        </w:rPr>
        <w:t> </w:t>
      </w:r>
      <w:r>
        <w:rPr>
          <w:color w:val="231F1F"/>
          <w:w w:val="110"/>
        </w:rPr>
        <w:t>by</w:t>
      </w:r>
      <w:r>
        <w:rPr>
          <w:color w:val="231F1F"/>
          <w:spacing w:val="-7"/>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0"/>
          <w:sz w:val="11"/>
        </w:rPr>
        <w:t>EFAVIRENZ</w:t>
      </w:r>
      <w:r>
        <w:rPr>
          <w:rFonts w:ascii="Calibri" w:hAnsi="Calibri"/>
          <w:color w:val="008356"/>
          <w:spacing w:val="2"/>
          <w:w w:val="110"/>
          <w:sz w:val="11"/>
        </w:rPr>
        <w:t> </w:t>
      </w:r>
      <w:r>
        <w:rPr>
          <w:color w:val="231F1F"/>
          <w:w w:val="110"/>
        </w:rPr>
        <w:t>and</w:t>
      </w:r>
      <w:r>
        <w:rPr>
          <w:color w:val="231F1F"/>
          <w:spacing w:val="-8"/>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NEVIRAPINE</w:t>
      </w:r>
      <w:r>
        <w:rPr>
          <w:rFonts w:ascii="Arial" w:hAnsi="Arial"/>
          <w:color w:val="231F1F"/>
          <w:spacing w:val="4"/>
          <w:w w:val="110"/>
        </w:rPr>
        <w:t>—</w:t>
      </w:r>
    </w:p>
    <w:p>
      <w:pPr>
        <w:spacing w:after="0" w:line="244" w:lineRule="auto"/>
        <w:rPr>
          <w:rFonts w:ascii="Arial" w:hAnsi="Arial"/>
        </w:rPr>
        <w:sectPr>
          <w:headerReference w:type="even" r:id="rId29"/>
          <w:headerReference w:type="default" r:id="rId30"/>
          <w:pgSz w:w="8390" w:h="11910"/>
          <w:pgMar w:header="0" w:footer="0" w:top="460" w:bottom="280" w:left="480" w:right="0"/>
          <w:pgNumType w:start="1192"/>
          <w:cols w:num="2" w:equalWidth="0">
            <w:col w:w="3629" w:space="47"/>
            <w:col w:w="4234"/>
          </w:cols>
        </w:sectPr>
      </w:pPr>
    </w:p>
    <w:p>
      <w:pPr>
        <w:pStyle w:val="BodyText"/>
        <w:spacing w:before="8"/>
        <w:ind w:left="0"/>
        <w:rPr>
          <w:rFonts w:ascii="Arial"/>
          <w:sz w:val="14"/>
        </w:rPr>
      </w:pPr>
    </w:p>
    <w:p>
      <w:pPr>
        <w:pStyle w:val="BodyText"/>
        <w:ind w:left="108"/>
        <w:rPr>
          <w:rFonts w:ascii="Arial"/>
        </w:rPr>
      </w:pPr>
      <w:r>
        <w:rPr>
          <w:rFonts w:ascii="Arial"/>
          <w:color w:val="008356"/>
        </w:rPr>
        <w:t>Etravirine</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0"/>
        </w:rPr>
        <w:t>Antivirals (continued)</w:t>
      </w:r>
    </w:p>
    <w:p>
      <w:pPr>
        <w:pStyle w:val="BodyText"/>
        <w:spacing w:line="244" w:lineRule="auto"/>
        <w:ind w:right="52"/>
      </w:pPr>
      <w:r>
        <w:rPr>
          <w:color w:val="231F1F"/>
          <w:w w:val="110"/>
        </w:rPr>
        <w:t>avoid concomitant use; etravirine increases plasma concentration of </w:t>
      </w:r>
      <w:r>
        <w:rPr>
          <w:rFonts w:ascii="Arial" w:hAnsi="Arial"/>
          <w:color w:val="231F1F"/>
          <w:w w:val="355"/>
          <w:position w:val="1"/>
          <w:sz w:val="7"/>
        </w:rPr>
        <w:t>l </w:t>
      </w:r>
      <w:r>
        <w:rPr>
          <w:rFonts w:ascii="Calibri" w:hAnsi="Calibri"/>
          <w:color w:val="008356"/>
          <w:w w:val="110"/>
          <w:sz w:val="11"/>
        </w:rPr>
        <w:t>FOSAMPRENAVIR </w:t>
      </w:r>
      <w:r>
        <w:rPr>
          <w:color w:val="231F1F"/>
          <w:w w:val="110"/>
        </w:rPr>
        <w:t>(consider reducing dose of fosamprenavir); etravirine possibly reduces plasma concentration of </w:t>
      </w:r>
      <w:r>
        <w:rPr>
          <w:rFonts w:ascii="Arial" w:hAnsi="Arial"/>
          <w:color w:val="231F1F"/>
          <w:w w:val="355"/>
          <w:position w:val="1"/>
          <w:sz w:val="7"/>
        </w:rPr>
        <w:t>l </w:t>
      </w:r>
      <w:r>
        <w:rPr>
          <w:rFonts w:ascii="Calibri" w:hAnsi="Calibri"/>
          <w:color w:val="008356"/>
          <w:w w:val="110"/>
          <w:sz w:val="11"/>
        </w:rPr>
        <w:t>INDINAVIR</w:t>
      </w:r>
      <w:r>
        <w:rPr>
          <w:rFonts w:ascii="Arial" w:hAnsi="Arial"/>
          <w:color w:val="231F1F"/>
          <w:w w:val="110"/>
        </w:rPr>
        <w:t>—</w:t>
      </w:r>
      <w:r>
        <w:rPr>
          <w:color w:val="231F1F"/>
          <w:w w:val="110"/>
        </w:rPr>
        <w:t>avoid concomitant use; etravirine possibly reduces plasma concentration of </w:t>
      </w:r>
      <w:r>
        <w:rPr>
          <w:rFonts w:ascii="Calibri" w:hAnsi="Calibri"/>
          <w:color w:val="008356"/>
          <w:w w:val="110"/>
          <w:sz w:val="11"/>
        </w:rPr>
        <w:t>MARAVIROC</w:t>
      </w:r>
      <w:r>
        <w:rPr>
          <w:color w:val="231F1F"/>
          <w:w w:val="110"/>
        </w:rPr>
        <w:t>; avoidance of etravirine advised by manufacturer of </w:t>
      </w:r>
      <w:r>
        <w:rPr>
          <w:rFonts w:ascii="Calibri" w:hAnsi="Calibri"/>
          <w:color w:val="008356"/>
          <w:w w:val="110"/>
          <w:sz w:val="11"/>
        </w:rPr>
        <w:t>SIMEPREVIR</w:t>
      </w:r>
      <w:r>
        <w:rPr>
          <w:color w:val="231F1F"/>
          <w:w w:val="110"/>
        </w:rPr>
        <w:t>; plasma concentration of etravirine reduced by </w:t>
      </w:r>
      <w:r>
        <w:rPr>
          <w:rFonts w:ascii="Arial" w:hAnsi="Arial"/>
          <w:color w:val="231F1F"/>
          <w:w w:val="355"/>
          <w:position w:val="1"/>
          <w:sz w:val="7"/>
        </w:rPr>
        <w:t>l </w:t>
      </w:r>
      <w:r>
        <w:rPr>
          <w:rFonts w:ascii="Calibri" w:hAnsi="Calibri"/>
          <w:color w:val="008356"/>
          <w:w w:val="110"/>
          <w:sz w:val="11"/>
        </w:rPr>
        <w:t>TIPRANAVIR</w:t>
      </w:r>
      <w:r>
        <w:rPr>
          <w:color w:val="231F1F"/>
          <w:w w:val="110"/>
        </w:rPr>
        <w:t>, also plasma concentration of tipranavir increased (avoid concomitant use)</w:t>
      </w:r>
    </w:p>
    <w:p>
      <w:pPr>
        <w:pStyle w:val="BodyText"/>
        <w:spacing w:line="220" w:lineRule="auto" w:before="10"/>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etravirine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DIGOXIN</w:t>
      </w:r>
    </w:p>
    <w:p>
      <w:pPr>
        <w:pStyle w:val="BodyText"/>
        <w:ind w:left="108"/>
      </w:pPr>
      <w:r>
        <w:rPr>
          <w:rFonts w:ascii="Arial"/>
          <w:color w:val="231F1F"/>
          <w:w w:val="355"/>
          <w:position w:val="1"/>
          <w:sz w:val="7"/>
        </w:rPr>
        <w:t>l </w:t>
      </w:r>
      <w:r>
        <w:rPr>
          <w:rFonts w:ascii="Calibri"/>
          <w:color w:val="231F1F"/>
          <w:w w:val="110"/>
        </w:rPr>
        <w:t>Clopidogrel: </w:t>
      </w:r>
      <w:r>
        <w:rPr>
          <w:color w:val="231F1F"/>
          <w:w w:val="110"/>
        </w:rPr>
        <w:t>etravirine possibly reduces antiplatelet effect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CLOPIDOGREL</w:t>
      </w:r>
    </w:p>
    <w:p>
      <w:pPr>
        <w:pStyle w:val="BodyText"/>
        <w:ind w:right="70" w:hanging="100"/>
      </w:pPr>
      <w:r>
        <w:rPr>
          <w:rFonts w:ascii="Arial" w:hAnsi="Arial"/>
          <w:color w:val="231F1F"/>
          <w:w w:val="115"/>
          <w:position w:val="1"/>
          <w:sz w:val="7"/>
        </w:rPr>
        <w:t>l </w:t>
      </w:r>
      <w:r>
        <w:rPr>
          <w:rFonts w:ascii="Calibri" w:hAnsi="Calibri"/>
          <w:color w:val="231F1F"/>
          <w:w w:val="115"/>
        </w:rPr>
        <w:t>Cytotoxics: </w:t>
      </w:r>
      <w:r>
        <w:rPr>
          <w:color w:val="231F1F"/>
          <w:w w:val="115"/>
        </w:rPr>
        <w:t>etravirine possibly reduces plasma concentration </w:t>
      </w:r>
      <w:r>
        <w:rPr>
          <w:color w:val="231F1F"/>
          <w:w w:val="120"/>
        </w:rPr>
        <w:t>of </w:t>
      </w:r>
      <w:r>
        <w:rPr>
          <w:rFonts w:ascii="Arial" w:hAnsi="Arial"/>
          <w:color w:val="231F1F"/>
          <w:w w:val="295"/>
          <w:position w:val="1"/>
          <w:sz w:val="7"/>
        </w:rPr>
        <w:t>l </w:t>
      </w:r>
      <w:r>
        <w:rPr>
          <w:rFonts w:ascii="Calibri" w:hAnsi="Calibri"/>
          <w:color w:val="008356"/>
          <w:w w:val="120"/>
          <w:sz w:val="11"/>
        </w:rPr>
        <w:t>BOSUTINIB</w:t>
      </w:r>
      <w:r>
        <w:rPr>
          <w:rFonts w:ascii="Arial" w:hAnsi="Arial"/>
          <w:color w:val="231F1F"/>
          <w:w w:val="120"/>
        </w:rPr>
        <w:t>—</w:t>
      </w:r>
      <w:r>
        <w:rPr>
          <w:color w:val="231F1F"/>
          <w:w w:val="120"/>
        </w:rPr>
        <w:t>manufacturer of bosutinib advises avoid concomitant use</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etravirine possibly reduces plasma concentration of </w:t>
      </w:r>
      <w:r>
        <w:rPr>
          <w:rFonts w:ascii="Calibri" w:hAnsi="Calibri"/>
          <w:color w:val="008356"/>
          <w:w w:val="105"/>
          <w:sz w:val="11"/>
        </w:rPr>
        <w:t>ATORVASTATIN</w:t>
      </w:r>
    </w:p>
    <w:p>
      <w:pPr>
        <w:pStyle w:val="BodyText"/>
        <w:spacing w:line="146" w:lineRule="exact"/>
        <w:ind w:left="108"/>
      </w:pPr>
      <w:r>
        <w:rPr>
          <w:rFonts w:ascii="Arial"/>
          <w:color w:val="231F1F"/>
          <w:w w:val="355"/>
          <w:position w:val="1"/>
          <w:sz w:val="7"/>
        </w:rPr>
        <w:t>l </w:t>
      </w:r>
      <w:r>
        <w:rPr>
          <w:rFonts w:ascii="Calibri"/>
          <w:color w:val="231F1F"/>
          <w:w w:val="115"/>
        </w:rPr>
        <w:t>Orlistat: </w:t>
      </w:r>
      <w:r>
        <w:rPr>
          <w:color w:val="231F1F"/>
          <w:w w:val="115"/>
        </w:rPr>
        <w:t>absorption of etravirine possibly reduced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Sildenafil: </w:t>
      </w:r>
      <w:r>
        <w:rPr>
          <w:color w:val="231F1F"/>
          <w:w w:val="105"/>
        </w:rPr>
        <w:t>etravirine reduces plasma concentration of</w:t>
      </w:r>
    </w:p>
    <w:p>
      <w:pPr>
        <w:spacing w:line="132" w:lineRule="exact" w:before="0"/>
        <w:ind w:left="208" w:right="0" w:firstLine="0"/>
        <w:jc w:val="left"/>
        <w:rPr>
          <w:rFonts w:ascii="Calibri"/>
          <w:sz w:val="11"/>
        </w:rPr>
      </w:pPr>
      <w:r>
        <w:rPr>
          <w:rFonts w:ascii="Calibri"/>
          <w:color w:val="008356"/>
          <w:sz w:val="11"/>
        </w:rPr>
        <w:t>SILDENAFIL</w:t>
      </w:r>
    </w:p>
    <w:p>
      <w:pPr>
        <w:pStyle w:val="BodyText"/>
        <w:spacing w:line="139" w:lineRule="exact" w:before="7"/>
        <w:ind w:left="108"/>
        <w:rPr>
          <w:rFonts w:ascii="Trebuchet MS"/>
        </w:rPr>
      </w:pPr>
      <w:r>
        <w:rPr>
          <w:rFonts w:ascii="Trebuchet MS"/>
          <w:color w:val="008356"/>
        </w:rPr>
        <w:t>Everolimus</w:t>
      </w:r>
    </w:p>
    <w:p>
      <w:pPr>
        <w:pStyle w:val="BodyText"/>
        <w:ind w:hanging="100"/>
        <w:rPr>
          <w:rFonts w:ascii="Calibri"/>
          <w:sz w:val="11"/>
        </w:rPr>
      </w:pPr>
      <w:r>
        <w:rPr>
          <w:rFonts w:ascii="Arial"/>
          <w:color w:val="231F1F"/>
          <w:w w:val="355"/>
          <w:position w:val="1"/>
          <w:sz w:val="7"/>
        </w:rPr>
        <w:t>l </w:t>
      </w:r>
      <w:r>
        <w:rPr>
          <w:rFonts w:ascii="Calibri"/>
          <w:color w:val="231F1F"/>
          <w:w w:val="110"/>
        </w:rPr>
        <w:t>ACE Inhibitors: </w:t>
      </w:r>
      <w:r>
        <w:rPr>
          <w:color w:val="231F1F"/>
          <w:w w:val="110"/>
        </w:rPr>
        <w:t>increased risk of angioedema when everolimus given with </w:t>
      </w:r>
      <w:r>
        <w:rPr>
          <w:rFonts w:ascii="Arial"/>
          <w:color w:val="231F1F"/>
          <w:w w:val="355"/>
          <w:position w:val="1"/>
          <w:sz w:val="7"/>
        </w:rPr>
        <w:t>l </w:t>
      </w:r>
      <w:r>
        <w:rPr>
          <w:rFonts w:ascii="Calibri"/>
          <w:color w:val="008356"/>
          <w:w w:val="110"/>
          <w:sz w:val="11"/>
        </w:rPr>
        <w:t>ACE INHIBITORS</w:t>
      </w:r>
    </w:p>
    <w:p>
      <w:pPr>
        <w:pStyle w:val="BodyText"/>
        <w:spacing w:line="242" w:lineRule="auto"/>
        <w:ind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everolimus possibly increased by </w:t>
      </w:r>
      <w:r>
        <w:rPr>
          <w:rFonts w:ascii="Arial" w:hAnsi="Arial"/>
          <w:color w:val="231F1F"/>
          <w:w w:val="355"/>
          <w:position w:val="1"/>
          <w:sz w:val="7"/>
        </w:rPr>
        <w:t>l </w:t>
      </w:r>
      <w:r>
        <w:rPr>
          <w:rFonts w:ascii="Calibri" w:hAnsi="Calibri"/>
          <w:color w:val="008356"/>
          <w:w w:val="110"/>
          <w:sz w:val="11"/>
        </w:rPr>
        <w:t>CLARITHROMYCIN </w:t>
      </w:r>
      <w:r>
        <w:rPr>
          <w:color w:val="231F1F"/>
          <w:w w:val="110"/>
        </w:rPr>
        <w:t>and </w:t>
      </w:r>
      <w:r>
        <w:rPr>
          <w:rFonts w:ascii="Arial" w:hAnsi="Arial"/>
          <w:color w:val="231F1F"/>
          <w:w w:val="355"/>
          <w:position w:val="1"/>
          <w:sz w:val="7"/>
        </w:rPr>
        <w:t>l </w:t>
      </w:r>
      <w:r>
        <w:rPr>
          <w:rFonts w:ascii="Calibri" w:hAnsi="Calibri"/>
          <w:color w:val="008356"/>
          <w:w w:val="110"/>
          <w:sz w:val="11"/>
        </w:rPr>
        <w:t>TELITHROMYCIN</w:t>
      </w:r>
      <w:r>
        <w:rPr>
          <w:rFonts w:ascii="Arial" w:hAnsi="Arial"/>
          <w:color w:val="231F1F"/>
          <w:w w:val="110"/>
        </w:rPr>
        <w:t>— </w:t>
      </w:r>
      <w:r>
        <w:rPr>
          <w:color w:val="231F1F"/>
          <w:w w:val="110"/>
        </w:rPr>
        <w:t>manufacturer of everolimus advises avoid concomitant use; plasma concentration of everolimus increased by</w:t>
      </w:r>
    </w:p>
    <w:p>
      <w:pPr>
        <w:pStyle w:val="BodyText"/>
        <w:spacing w:line="247" w:lineRule="auto" w:before="3"/>
        <w:ind w:right="72"/>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ERYTHROMYCIN</w:t>
      </w:r>
      <w:r>
        <w:rPr>
          <w:rFonts w:ascii="Calibri" w:hAnsi="Calibri"/>
          <w:color w:val="008356"/>
          <w:spacing w:val="5"/>
          <w:w w:val="110"/>
          <w:sz w:val="11"/>
        </w:rPr>
        <w:t> </w:t>
      </w:r>
      <w:r>
        <w:rPr>
          <w:color w:val="231F1F"/>
          <w:w w:val="110"/>
        </w:rPr>
        <w:t>(consider</w:t>
      </w:r>
      <w:r>
        <w:rPr>
          <w:color w:val="231F1F"/>
          <w:spacing w:val="-6"/>
          <w:w w:val="110"/>
        </w:rPr>
        <w:t> </w:t>
      </w:r>
      <w:r>
        <w:rPr>
          <w:color w:val="231F1F"/>
          <w:w w:val="110"/>
        </w:rPr>
        <w:t>reducing</w:t>
      </w:r>
      <w:r>
        <w:rPr>
          <w:color w:val="231F1F"/>
          <w:spacing w:val="-7"/>
          <w:w w:val="110"/>
        </w:rPr>
        <w:t> </w:t>
      </w:r>
      <w:r>
        <w:rPr>
          <w:color w:val="231F1F"/>
          <w:w w:val="110"/>
        </w:rPr>
        <w:t>the</w:t>
      </w:r>
      <w:r>
        <w:rPr>
          <w:color w:val="231F1F"/>
          <w:spacing w:val="-5"/>
          <w:w w:val="110"/>
        </w:rPr>
        <w:t> </w:t>
      </w:r>
      <w:r>
        <w:rPr>
          <w:color w:val="231F1F"/>
          <w:w w:val="110"/>
        </w:rPr>
        <w:t>dose</w:t>
      </w:r>
      <w:r>
        <w:rPr>
          <w:color w:val="231F1F"/>
          <w:spacing w:val="-7"/>
          <w:w w:val="110"/>
        </w:rPr>
        <w:t> </w:t>
      </w:r>
      <w:r>
        <w:rPr>
          <w:color w:val="231F1F"/>
          <w:w w:val="110"/>
        </w:rPr>
        <w:t>of</w:t>
      </w:r>
      <w:r>
        <w:rPr>
          <w:color w:val="231F1F"/>
          <w:spacing w:val="-5"/>
          <w:w w:val="110"/>
        </w:rPr>
        <w:t> </w:t>
      </w:r>
      <w:r>
        <w:rPr>
          <w:color w:val="231F1F"/>
          <w:w w:val="110"/>
        </w:rPr>
        <w:t>everolimus</w:t>
      </w:r>
      <w:r>
        <w:rPr>
          <w:color w:val="231F1F"/>
          <w:spacing w:val="-7"/>
          <w:w w:val="110"/>
        </w:rPr>
        <w:t> </w:t>
      </w:r>
      <w:r>
        <w:rPr>
          <w:rFonts w:ascii="Arial" w:hAnsi="Arial"/>
          <w:color w:val="231F1F"/>
          <w:w w:val="110"/>
        </w:rPr>
        <w:t>— </w:t>
      </w:r>
      <w:r>
        <w:rPr>
          <w:color w:val="231F1F"/>
          <w:w w:val="110"/>
        </w:rPr>
        <w:t>consult everolimus product literature); plasma  </w:t>
      </w:r>
      <w:r>
        <w:rPr>
          <w:color w:val="231F1F"/>
          <w:spacing w:val="-2"/>
          <w:w w:val="110"/>
        </w:rPr>
        <w:t>concentration </w:t>
      </w:r>
      <w:r>
        <w:rPr>
          <w:color w:val="231F1F"/>
          <w:w w:val="110"/>
        </w:rPr>
        <w:t>of everolimus reduced by </w:t>
      </w:r>
      <w:r>
        <w:rPr>
          <w:rFonts w:ascii="Arial" w:hAnsi="Arial"/>
          <w:color w:val="231F1F"/>
          <w:w w:val="355"/>
          <w:position w:val="1"/>
          <w:sz w:val="7"/>
        </w:rPr>
        <w:t>l </w:t>
      </w:r>
      <w:r>
        <w:rPr>
          <w:rFonts w:ascii="Calibri" w:hAnsi="Calibri"/>
          <w:color w:val="008356"/>
          <w:spacing w:val="4"/>
          <w:w w:val="110"/>
          <w:sz w:val="11"/>
        </w:rPr>
        <w:t>RIFAMPICIN </w:t>
      </w:r>
      <w:r>
        <w:rPr>
          <w:color w:val="231F1F"/>
          <w:w w:val="110"/>
        </w:rPr>
        <w:t>(avoid concomitant use or consider increasing the dose of everolimus </w:t>
      </w:r>
      <w:r>
        <w:rPr>
          <w:rFonts w:ascii="Arial" w:hAnsi="Arial"/>
          <w:color w:val="231F1F"/>
          <w:w w:val="110"/>
        </w:rPr>
        <w:t>—</w:t>
      </w:r>
      <w:r>
        <w:rPr>
          <w:color w:val="231F1F"/>
          <w:w w:val="110"/>
        </w:rPr>
        <w:t>consult everolimus product</w:t>
      </w:r>
      <w:r>
        <w:rPr>
          <w:color w:val="231F1F"/>
          <w:spacing w:val="-2"/>
          <w:w w:val="110"/>
        </w:rPr>
        <w:t> </w:t>
      </w:r>
      <w:r>
        <w:rPr>
          <w:color w:val="231F1F"/>
          <w:w w:val="110"/>
        </w:rPr>
        <w:t>literature)</w:t>
      </w:r>
    </w:p>
    <w:p>
      <w:pPr>
        <w:pStyle w:val="BodyText"/>
        <w:spacing w:line="230" w:lineRule="auto"/>
        <w:ind w:right="94"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everolimus</w:t>
      </w:r>
      <w:r>
        <w:rPr>
          <w:color w:val="231F1F"/>
          <w:spacing w:val="-17"/>
          <w:w w:val="110"/>
        </w:rPr>
        <w:t> </w:t>
      </w:r>
      <w:r>
        <w:rPr>
          <w:color w:val="231F1F"/>
          <w:w w:val="110"/>
        </w:rPr>
        <w:t>possibly reduced by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manufacturer of everolimus advises avoid concomitant</w:t>
      </w:r>
      <w:r>
        <w:rPr>
          <w:color w:val="231F1F"/>
          <w:spacing w:val="-6"/>
          <w:w w:val="110"/>
        </w:rPr>
        <w:t> </w:t>
      </w:r>
      <w:r>
        <w:rPr>
          <w:color w:val="231F1F"/>
          <w:w w:val="110"/>
        </w:rPr>
        <w:t>use</w:t>
      </w:r>
    </w:p>
    <w:p>
      <w:pPr>
        <w:pStyle w:val="BodyText"/>
        <w:spacing w:line="244" w:lineRule="auto" w:before="1"/>
        <w:ind w:right="38" w:hanging="100"/>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5"/>
        </w:rPr>
        <w:t>Antifungals:</w:t>
      </w:r>
      <w:r>
        <w:rPr>
          <w:rFonts w:ascii="Calibri" w:hAnsi="Calibri"/>
          <w:color w:val="231F1F"/>
          <w:spacing w:val="-5"/>
          <w:w w:val="115"/>
        </w:rPr>
        <w:t> </w:t>
      </w:r>
      <w:r>
        <w:rPr>
          <w:color w:val="231F1F"/>
          <w:w w:val="115"/>
        </w:rPr>
        <w:t>plasma</w:t>
      </w:r>
      <w:r>
        <w:rPr>
          <w:color w:val="231F1F"/>
          <w:spacing w:val="-9"/>
          <w:w w:val="115"/>
        </w:rPr>
        <w:t> </w:t>
      </w:r>
      <w:r>
        <w:rPr>
          <w:color w:val="231F1F"/>
          <w:w w:val="115"/>
        </w:rPr>
        <w:t>concentration</w:t>
      </w:r>
      <w:r>
        <w:rPr>
          <w:color w:val="231F1F"/>
          <w:spacing w:val="-9"/>
          <w:w w:val="115"/>
        </w:rPr>
        <w:t> </w:t>
      </w:r>
      <w:r>
        <w:rPr>
          <w:color w:val="231F1F"/>
          <w:w w:val="115"/>
        </w:rPr>
        <w:t>of</w:t>
      </w:r>
      <w:r>
        <w:rPr>
          <w:color w:val="231F1F"/>
          <w:spacing w:val="-9"/>
          <w:w w:val="115"/>
        </w:rPr>
        <w:t> </w:t>
      </w:r>
      <w:r>
        <w:rPr>
          <w:color w:val="231F1F"/>
          <w:w w:val="115"/>
        </w:rPr>
        <w:t>everolimus</w:t>
      </w:r>
      <w:r>
        <w:rPr>
          <w:color w:val="231F1F"/>
          <w:spacing w:val="-9"/>
          <w:w w:val="115"/>
        </w:rPr>
        <w:t> </w:t>
      </w:r>
      <w:r>
        <w:rPr>
          <w:color w:val="231F1F"/>
          <w:w w:val="115"/>
        </w:rPr>
        <w:t>increased</w:t>
      </w:r>
      <w:r>
        <w:rPr>
          <w:color w:val="231F1F"/>
          <w:spacing w:val="-9"/>
          <w:w w:val="115"/>
        </w:rPr>
        <w:t> </w:t>
      </w:r>
      <w:r>
        <w:rPr>
          <w:color w:val="231F1F"/>
          <w:w w:val="115"/>
        </w:rPr>
        <w:t>by </w:t>
      </w:r>
      <w:r>
        <w:rPr>
          <w:rFonts w:ascii="Arial" w:hAnsi="Arial"/>
          <w:color w:val="231F1F"/>
          <w:w w:val="110"/>
          <w:position w:val="1"/>
          <w:sz w:val="7"/>
        </w:rPr>
        <w:t>l </w:t>
      </w:r>
      <w:r>
        <w:rPr>
          <w:rFonts w:ascii="Calibri" w:hAnsi="Calibri"/>
          <w:color w:val="008356"/>
          <w:spacing w:val="2"/>
          <w:w w:val="110"/>
          <w:sz w:val="11"/>
        </w:rPr>
        <w:t>KETOCONAZOLE</w:t>
      </w:r>
      <w:r>
        <w:rPr>
          <w:rFonts w:ascii="Arial" w:hAnsi="Arial"/>
          <w:color w:val="231F1F"/>
          <w:spacing w:val="2"/>
          <w:w w:val="110"/>
        </w:rPr>
        <w:t>—</w:t>
      </w:r>
      <w:r>
        <w:rPr>
          <w:color w:val="231F1F"/>
          <w:spacing w:val="2"/>
          <w:w w:val="110"/>
        </w:rPr>
        <w:t>manufacturer </w:t>
      </w:r>
      <w:r>
        <w:rPr>
          <w:color w:val="231F1F"/>
          <w:w w:val="110"/>
        </w:rPr>
        <w:t>of ketoconazole advises </w:t>
      </w:r>
      <w:r>
        <w:rPr>
          <w:color w:val="231F1F"/>
          <w:spacing w:val="-3"/>
          <w:w w:val="110"/>
        </w:rPr>
        <w:t>avoid </w:t>
      </w:r>
      <w:r>
        <w:rPr>
          <w:color w:val="231F1F"/>
          <w:w w:val="115"/>
        </w:rPr>
        <w:t>concomitant use; plasma concentration of everolimus possibly</w:t>
      </w:r>
      <w:r>
        <w:rPr>
          <w:color w:val="231F1F"/>
          <w:spacing w:val="-24"/>
          <w:w w:val="115"/>
        </w:rPr>
        <w:t> </w:t>
      </w:r>
      <w:r>
        <w:rPr>
          <w:color w:val="231F1F"/>
          <w:w w:val="115"/>
        </w:rPr>
        <w:t>increased</w:t>
      </w:r>
      <w:r>
        <w:rPr>
          <w:color w:val="231F1F"/>
          <w:spacing w:val="-22"/>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ITRACONAZOLE</w:t>
      </w:r>
      <w:r>
        <w:rPr>
          <w:color w:val="231F1F"/>
          <w:spacing w:val="4"/>
          <w:w w:val="115"/>
        </w:rPr>
        <w:t>,</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POSACONAZOLE</w:t>
      </w:r>
      <w:r>
        <w:rPr>
          <w:rFonts w:ascii="Calibri" w:hAnsi="Calibri"/>
          <w:color w:val="008356"/>
          <w:spacing w:val="-14"/>
          <w:w w:val="115"/>
          <w:sz w:val="11"/>
        </w:rPr>
        <w:t> </w:t>
      </w:r>
      <w:r>
        <w:rPr>
          <w:color w:val="231F1F"/>
          <w:w w:val="115"/>
        </w:rPr>
        <w:t>and</w:t>
      </w:r>
    </w:p>
    <w:p>
      <w:pPr>
        <w:pStyle w:val="BodyText"/>
        <w:spacing w:line="242" w:lineRule="auto"/>
      </w:pP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rPr>
        <w:t>—</w:t>
      </w:r>
      <w:r>
        <w:rPr>
          <w:color w:val="231F1F"/>
          <w:w w:val="110"/>
        </w:rPr>
        <w:t>manufacturer of everolimus advises avoid </w:t>
      </w:r>
      <w:r>
        <w:rPr>
          <w:color w:val="231F1F"/>
          <w:w w:val="115"/>
        </w:rPr>
        <w:t>concomitant use</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before="0"/>
        <w:ind w:left="208" w:right="419" w:hanging="100"/>
        <w:jc w:val="left"/>
        <w:rPr>
          <w:sz w:val="12"/>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sz w:val="12"/>
        </w:rPr>
        <w:t>Antivirals:</w:t>
      </w:r>
      <w:r>
        <w:rPr>
          <w:rFonts w:ascii="Calibri"/>
          <w:color w:val="231F1F"/>
          <w:spacing w:val="-13"/>
          <w:w w:val="115"/>
          <w:sz w:val="12"/>
        </w:rPr>
        <w:t> </w:t>
      </w:r>
      <w:r>
        <w:rPr>
          <w:color w:val="231F1F"/>
          <w:w w:val="115"/>
          <w:sz w:val="12"/>
        </w:rPr>
        <w:t>plasma</w:t>
      </w:r>
      <w:r>
        <w:rPr>
          <w:color w:val="231F1F"/>
          <w:spacing w:val="-17"/>
          <w:w w:val="115"/>
          <w:sz w:val="12"/>
        </w:rPr>
        <w:t> </w:t>
      </w:r>
      <w:r>
        <w:rPr>
          <w:color w:val="231F1F"/>
          <w:w w:val="115"/>
          <w:sz w:val="12"/>
        </w:rPr>
        <w:t>concentration</w:t>
      </w:r>
      <w:r>
        <w:rPr>
          <w:color w:val="231F1F"/>
          <w:spacing w:val="-16"/>
          <w:w w:val="115"/>
          <w:sz w:val="12"/>
        </w:rPr>
        <w:t> </w:t>
      </w:r>
      <w:r>
        <w:rPr>
          <w:color w:val="231F1F"/>
          <w:w w:val="115"/>
          <w:sz w:val="12"/>
        </w:rPr>
        <w:t>of</w:t>
      </w:r>
      <w:r>
        <w:rPr>
          <w:color w:val="231F1F"/>
          <w:spacing w:val="-16"/>
          <w:w w:val="115"/>
          <w:sz w:val="12"/>
        </w:rPr>
        <w:t> </w:t>
      </w:r>
      <w:r>
        <w:rPr>
          <w:color w:val="231F1F"/>
          <w:w w:val="115"/>
          <w:sz w:val="12"/>
        </w:rPr>
        <w:t>everolimus</w:t>
      </w:r>
      <w:r>
        <w:rPr>
          <w:color w:val="231F1F"/>
          <w:spacing w:val="-18"/>
          <w:w w:val="115"/>
          <w:sz w:val="12"/>
        </w:rPr>
        <w:t> </w:t>
      </w:r>
      <w:r>
        <w:rPr>
          <w:color w:val="231F1F"/>
          <w:w w:val="115"/>
          <w:sz w:val="12"/>
        </w:rPr>
        <w:t>possibly increased</w:t>
      </w:r>
      <w:r>
        <w:rPr>
          <w:color w:val="231F1F"/>
          <w:spacing w:val="-25"/>
          <w:w w:val="115"/>
          <w:sz w:val="12"/>
        </w:rPr>
        <w:t> </w:t>
      </w:r>
      <w:r>
        <w:rPr>
          <w:color w:val="231F1F"/>
          <w:w w:val="115"/>
          <w:sz w:val="12"/>
        </w:rPr>
        <w:t>by</w:t>
      </w:r>
      <w:r>
        <w:rPr>
          <w:color w:val="231F1F"/>
          <w:spacing w:val="-24"/>
          <w:w w:val="115"/>
          <w:sz w:val="12"/>
        </w:rPr>
        <w:t> </w:t>
      </w:r>
      <w:r>
        <w:rPr>
          <w:rFonts w:ascii="Arial"/>
          <w:color w:val="231F1F"/>
          <w:w w:val="305"/>
          <w:position w:val="1"/>
          <w:sz w:val="7"/>
        </w:rPr>
        <w:t>l</w:t>
      </w:r>
      <w:r>
        <w:rPr>
          <w:rFonts w:ascii="Arial"/>
          <w:color w:val="231F1F"/>
          <w:spacing w:val="-49"/>
          <w:w w:val="305"/>
          <w:position w:val="1"/>
          <w:sz w:val="7"/>
        </w:rPr>
        <w:t> </w:t>
      </w:r>
      <w:r>
        <w:rPr>
          <w:rFonts w:ascii="Calibri"/>
          <w:color w:val="008356"/>
          <w:spacing w:val="3"/>
          <w:w w:val="115"/>
          <w:sz w:val="11"/>
        </w:rPr>
        <w:t>ATAZANAVIR</w:t>
      </w:r>
      <w:r>
        <w:rPr>
          <w:color w:val="231F1F"/>
          <w:spacing w:val="3"/>
          <w:w w:val="115"/>
          <w:sz w:val="12"/>
        </w:rPr>
        <w:t>,</w:t>
      </w:r>
      <w:r>
        <w:rPr>
          <w:color w:val="231F1F"/>
          <w:spacing w:val="-24"/>
          <w:w w:val="115"/>
          <w:sz w:val="12"/>
        </w:rPr>
        <w:t> </w:t>
      </w:r>
      <w:r>
        <w:rPr>
          <w:rFonts w:ascii="Arial"/>
          <w:color w:val="231F1F"/>
          <w:w w:val="305"/>
          <w:position w:val="1"/>
          <w:sz w:val="7"/>
        </w:rPr>
        <w:t>l</w:t>
      </w:r>
      <w:r>
        <w:rPr>
          <w:rFonts w:ascii="Arial"/>
          <w:color w:val="231F1F"/>
          <w:spacing w:val="-50"/>
          <w:w w:val="305"/>
          <w:position w:val="1"/>
          <w:sz w:val="7"/>
        </w:rPr>
        <w:t> </w:t>
      </w:r>
      <w:r>
        <w:rPr>
          <w:rFonts w:ascii="Calibri"/>
          <w:color w:val="008356"/>
          <w:spacing w:val="4"/>
          <w:w w:val="115"/>
          <w:sz w:val="11"/>
        </w:rPr>
        <w:t>DARUNAVIR</w:t>
      </w:r>
      <w:r>
        <w:rPr>
          <w:color w:val="231F1F"/>
          <w:spacing w:val="4"/>
          <w:w w:val="115"/>
          <w:sz w:val="12"/>
        </w:rPr>
        <w:t>,</w:t>
      </w:r>
      <w:r>
        <w:rPr>
          <w:color w:val="231F1F"/>
          <w:spacing w:val="-24"/>
          <w:w w:val="115"/>
          <w:sz w:val="12"/>
        </w:rPr>
        <w:t> </w:t>
      </w:r>
      <w:r>
        <w:rPr>
          <w:rFonts w:ascii="Arial"/>
          <w:color w:val="231F1F"/>
          <w:w w:val="305"/>
          <w:position w:val="1"/>
          <w:sz w:val="7"/>
        </w:rPr>
        <w:t>l</w:t>
      </w:r>
      <w:r>
        <w:rPr>
          <w:rFonts w:ascii="Arial"/>
          <w:color w:val="231F1F"/>
          <w:spacing w:val="-49"/>
          <w:w w:val="305"/>
          <w:position w:val="1"/>
          <w:sz w:val="7"/>
        </w:rPr>
        <w:t> </w:t>
      </w:r>
      <w:r>
        <w:rPr>
          <w:rFonts w:ascii="Calibri"/>
          <w:color w:val="008356"/>
          <w:spacing w:val="3"/>
          <w:w w:val="115"/>
          <w:sz w:val="11"/>
        </w:rPr>
        <w:t>INDINAVIR</w:t>
      </w:r>
      <w:r>
        <w:rPr>
          <w:color w:val="231F1F"/>
          <w:spacing w:val="3"/>
          <w:w w:val="115"/>
          <w:sz w:val="12"/>
        </w:rPr>
        <w:t>,</w:t>
      </w:r>
    </w:p>
    <w:p>
      <w:pPr>
        <w:spacing w:line="244" w:lineRule="auto" w:before="0"/>
        <w:ind w:left="208" w:right="175" w:firstLine="0"/>
        <w:jc w:val="left"/>
        <w:rPr>
          <w:sz w:val="12"/>
        </w:rPr>
      </w:pP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spacing w:val="3"/>
          <w:w w:val="115"/>
          <w:sz w:val="11"/>
        </w:rPr>
        <w:t>RITONAVIR</w:t>
      </w:r>
      <w:r>
        <w:rPr>
          <w:rFonts w:ascii="Calibri" w:hAnsi="Calibri"/>
          <w:color w:val="008356"/>
          <w:spacing w:val="-7"/>
          <w:w w:val="115"/>
          <w:sz w:val="11"/>
        </w:rPr>
        <w:t> </w:t>
      </w:r>
      <w:r>
        <w:rPr>
          <w:color w:val="231F1F"/>
          <w:w w:val="115"/>
          <w:sz w:val="12"/>
        </w:rPr>
        <w:t>and</w:t>
      </w:r>
      <w:r>
        <w:rPr>
          <w:color w:val="231F1F"/>
          <w:spacing w:val="-17"/>
          <w:w w:val="115"/>
          <w:sz w:val="12"/>
        </w:rPr>
        <w:t> </w:t>
      </w: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w w:val="115"/>
          <w:sz w:val="11"/>
        </w:rPr>
        <w:t>SAQUINAVIR</w:t>
      </w:r>
      <w:r>
        <w:rPr>
          <w:rFonts w:ascii="Arial" w:hAnsi="Arial"/>
          <w:color w:val="231F1F"/>
          <w:w w:val="115"/>
          <w:sz w:val="12"/>
        </w:rPr>
        <w:t>—</w:t>
      </w:r>
      <w:r>
        <w:rPr>
          <w:color w:val="231F1F"/>
          <w:w w:val="115"/>
          <w:sz w:val="12"/>
        </w:rPr>
        <w:t>manufacturer</w:t>
      </w:r>
      <w:r>
        <w:rPr>
          <w:color w:val="231F1F"/>
          <w:spacing w:val="-17"/>
          <w:w w:val="115"/>
          <w:sz w:val="12"/>
        </w:rPr>
        <w:t> </w:t>
      </w:r>
      <w:r>
        <w:rPr>
          <w:color w:val="231F1F"/>
          <w:w w:val="115"/>
          <w:sz w:val="12"/>
        </w:rPr>
        <w:t>of</w:t>
      </w:r>
      <w:r>
        <w:rPr>
          <w:color w:val="231F1F"/>
          <w:spacing w:val="-16"/>
          <w:w w:val="115"/>
          <w:sz w:val="12"/>
        </w:rPr>
        <w:t> </w:t>
      </w:r>
      <w:r>
        <w:rPr>
          <w:color w:val="231F1F"/>
          <w:w w:val="115"/>
          <w:sz w:val="12"/>
        </w:rPr>
        <w:t>everolimus </w:t>
      </w:r>
      <w:r>
        <w:rPr>
          <w:color w:val="231F1F"/>
          <w:w w:val="120"/>
          <w:sz w:val="12"/>
        </w:rPr>
        <w:t>advises avoid concomitant</w:t>
      </w:r>
      <w:r>
        <w:rPr>
          <w:color w:val="231F1F"/>
          <w:spacing w:val="-22"/>
          <w:w w:val="120"/>
          <w:sz w:val="12"/>
        </w:rPr>
        <w:t> </w:t>
      </w:r>
      <w:r>
        <w:rPr>
          <w:color w:val="231F1F"/>
          <w:w w:val="120"/>
          <w:sz w:val="12"/>
        </w:rPr>
        <w:t>use</w:t>
      </w:r>
    </w:p>
    <w:p>
      <w:pPr>
        <w:pStyle w:val="BodyText"/>
        <w:spacing w:line="242" w:lineRule="auto"/>
        <w:ind w:right="77"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0"/>
        </w:rPr>
        <w:t>Calcium-channel Blockers: </w:t>
      </w:r>
      <w:r>
        <w:rPr>
          <w:color w:val="231F1F"/>
          <w:w w:val="110"/>
        </w:rPr>
        <w:t>plasma concentration of both </w:t>
      </w:r>
      <w:r>
        <w:rPr>
          <w:color w:val="231F1F"/>
          <w:spacing w:val="-3"/>
          <w:w w:val="110"/>
        </w:rPr>
        <w:t>drugs </w:t>
      </w:r>
      <w:r>
        <w:rPr>
          <w:color w:val="231F1F"/>
          <w:w w:val="110"/>
        </w:rPr>
        <w:t>may increase when everolimus given with </w:t>
      </w:r>
      <w:r>
        <w:rPr>
          <w:rFonts w:ascii="Arial" w:hAnsi="Arial"/>
          <w:color w:val="231F1F"/>
          <w:w w:val="355"/>
          <w:position w:val="1"/>
          <w:sz w:val="7"/>
        </w:rPr>
        <w:t>l </w:t>
      </w:r>
      <w:r>
        <w:rPr>
          <w:rFonts w:ascii="Calibri" w:hAnsi="Calibri"/>
          <w:color w:val="008356"/>
          <w:spacing w:val="4"/>
          <w:w w:val="110"/>
          <w:sz w:val="11"/>
        </w:rPr>
        <w:t>VERAPAMIL </w:t>
      </w:r>
      <w:r>
        <w:rPr>
          <w:color w:val="231F1F"/>
          <w:w w:val="110"/>
        </w:rPr>
        <w:t>(consider reducing the dose of everolimus </w:t>
      </w:r>
      <w:r>
        <w:rPr>
          <w:rFonts w:ascii="Arial" w:hAnsi="Arial"/>
          <w:color w:val="231F1F"/>
          <w:w w:val="110"/>
        </w:rPr>
        <w:t>—</w:t>
      </w:r>
      <w:r>
        <w:rPr>
          <w:color w:val="231F1F"/>
          <w:w w:val="110"/>
        </w:rPr>
        <w:t>consult everolimus product</w:t>
      </w:r>
      <w:r>
        <w:rPr>
          <w:color w:val="231F1F"/>
          <w:spacing w:val="-2"/>
          <w:w w:val="110"/>
        </w:rPr>
        <w:t> </w:t>
      </w:r>
      <w:r>
        <w:rPr>
          <w:color w:val="231F1F"/>
          <w:w w:val="110"/>
        </w:rPr>
        <w:t>literature)</w:t>
      </w:r>
    </w:p>
    <w:p>
      <w:pPr>
        <w:pStyle w:val="BodyText"/>
        <w:ind w:right="113" w:hanging="100"/>
      </w:pPr>
      <w:r>
        <w:rPr>
          <w:rFonts w:ascii="Arial" w:hAnsi="Arial"/>
          <w:color w:val="231F1F"/>
          <w:w w:val="355"/>
          <w:position w:val="1"/>
          <w:sz w:val="7"/>
        </w:rPr>
        <w:t>l </w:t>
      </w:r>
      <w:r>
        <w:rPr>
          <w:rFonts w:ascii="Calibri" w:hAnsi="Calibri"/>
          <w:color w:val="231F1F"/>
          <w:w w:val="110"/>
        </w:rPr>
        <w:t>Ciclosporin: </w:t>
      </w:r>
      <w:r>
        <w:rPr>
          <w:color w:val="231F1F"/>
          <w:w w:val="110"/>
        </w:rPr>
        <w:t>plasma concentration of everolimus increased </w:t>
      </w:r>
      <w:r>
        <w:rPr>
          <w:color w:val="231F1F"/>
          <w:spacing w:val="-8"/>
          <w:w w:val="110"/>
        </w:rPr>
        <w:t>by </w:t>
      </w:r>
      <w:r>
        <w:rPr>
          <w:rFonts w:ascii="Arial" w:hAnsi="Arial"/>
          <w:color w:val="231F1F"/>
          <w:w w:val="355"/>
          <w:position w:val="1"/>
          <w:sz w:val="7"/>
        </w:rPr>
        <w:t>l </w:t>
      </w:r>
      <w:r>
        <w:rPr>
          <w:rFonts w:ascii="Calibri" w:hAnsi="Calibri"/>
          <w:color w:val="008356"/>
          <w:spacing w:val="4"/>
          <w:w w:val="110"/>
          <w:sz w:val="11"/>
        </w:rPr>
        <w:t>CICLOSPORIN </w:t>
      </w:r>
      <w:r>
        <w:rPr>
          <w:color w:val="231F1F"/>
          <w:w w:val="110"/>
        </w:rPr>
        <w:t>(consider reducing the dose of everolimus </w:t>
      </w:r>
      <w:r>
        <w:rPr>
          <w:rFonts w:ascii="Arial" w:hAnsi="Arial"/>
          <w:color w:val="231F1F"/>
          <w:w w:val="110"/>
        </w:rPr>
        <w:t>— </w:t>
      </w:r>
      <w:r>
        <w:rPr>
          <w:color w:val="231F1F"/>
          <w:w w:val="110"/>
        </w:rPr>
        <w:t>consult everolimus product</w:t>
      </w:r>
      <w:r>
        <w:rPr>
          <w:color w:val="231F1F"/>
          <w:spacing w:val="-2"/>
          <w:w w:val="110"/>
        </w:rPr>
        <w:t> </w:t>
      </w:r>
      <w:r>
        <w:rPr>
          <w:color w:val="231F1F"/>
          <w:w w:val="110"/>
        </w:rPr>
        <w:t>literature)</w:t>
      </w:r>
    </w:p>
    <w:p>
      <w:pPr>
        <w:pStyle w:val="BodyText"/>
        <w:ind w:right="158" w:hanging="100"/>
      </w:pPr>
      <w:r>
        <w:rPr>
          <w:rFonts w:ascii="Arial" w:hAnsi="Arial"/>
          <w:color w:val="231F1F"/>
          <w:w w:val="355"/>
          <w:position w:val="1"/>
          <w:sz w:val="7"/>
        </w:rPr>
        <w:t>l </w:t>
      </w:r>
      <w:r>
        <w:rPr>
          <w:rFonts w:ascii="Calibri" w:hAnsi="Calibri"/>
          <w:color w:val="231F1F"/>
          <w:w w:val="110"/>
        </w:rPr>
        <w:t>Cytotoxics: </w:t>
      </w:r>
      <w:r>
        <w:rPr>
          <w:color w:val="231F1F"/>
          <w:w w:val="110"/>
        </w:rPr>
        <w:t>plasma concentration of everolimus increased </w:t>
      </w:r>
      <w:r>
        <w:rPr>
          <w:color w:val="231F1F"/>
          <w:spacing w:val="-7"/>
          <w:w w:val="110"/>
        </w:rPr>
        <w:t>by </w:t>
      </w:r>
      <w:r>
        <w:rPr>
          <w:rFonts w:ascii="Arial" w:hAnsi="Arial"/>
          <w:color w:val="231F1F"/>
          <w:w w:val="355"/>
          <w:position w:val="1"/>
          <w:sz w:val="7"/>
        </w:rPr>
        <w:t>l </w:t>
      </w:r>
      <w:r>
        <w:rPr>
          <w:rFonts w:ascii="Calibri" w:hAnsi="Calibri"/>
          <w:color w:val="008356"/>
          <w:spacing w:val="3"/>
          <w:w w:val="110"/>
          <w:sz w:val="11"/>
        </w:rPr>
        <w:t>IMATINIB </w:t>
      </w:r>
      <w:r>
        <w:rPr>
          <w:color w:val="231F1F"/>
          <w:w w:val="110"/>
        </w:rPr>
        <w:t>(consider reducing the dose of everolimus </w:t>
      </w:r>
      <w:r>
        <w:rPr>
          <w:rFonts w:ascii="Arial" w:hAnsi="Arial"/>
          <w:color w:val="231F1F"/>
          <w:w w:val="110"/>
        </w:rPr>
        <w:t>— </w:t>
      </w:r>
      <w:r>
        <w:rPr>
          <w:color w:val="231F1F"/>
          <w:w w:val="110"/>
        </w:rPr>
        <w:t>consult everolimus product</w:t>
      </w:r>
      <w:r>
        <w:rPr>
          <w:color w:val="231F1F"/>
          <w:spacing w:val="-2"/>
          <w:w w:val="110"/>
        </w:rPr>
        <w:t> </w:t>
      </w:r>
      <w:r>
        <w:rPr>
          <w:color w:val="231F1F"/>
          <w:w w:val="110"/>
        </w:rPr>
        <w:t>literature)</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everolimus advises avoid concomitant use with </w:t>
      </w:r>
      <w:r>
        <w:rPr>
          <w:rFonts w:ascii="Calibri" w:hAnsi="Calibri"/>
          <w:color w:val="008356"/>
          <w:w w:val="105"/>
          <w:sz w:val="11"/>
        </w:rPr>
        <w:t>GRAPEFRUIT JUICE</w:t>
      </w:r>
    </w:p>
    <w:p>
      <w:pPr>
        <w:pStyle w:val="BodyText"/>
        <w:spacing w:before="8"/>
        <w:ind w:left="108"/>
        <w:rPr>
          <w:rFonts w:ascii="Trebuchet MS"/>
        </w:rPr>
      </w:pPr>
      <w:r>
        <w:rPr>
          <w:rFonts w:ascii="Trebuchet MS"/>
          <w:color w:val="008356"/>
        </w:rPr>
        <w:t>Exemestane</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exemestane possibly reduced by </w:t>
      </w:r>
      <w:r>
        <w:rPr>
          <w:rFonts w:ascii="Calibri" w:hAnsi="Calibri"/>
          <w:color w:val="008356"/>
          <w:w w:val="105"/>
          <w:sz w:val="11"/>
        </w:rPr>
        <w:t>RIFAMPICIN</w:t>
      </w:r>
    </w:p>
    <w:p>
      <w:pPr>
        <w:pStyle w:val="BodyText"/>
        <w:spacing w:before="9"/>
        <w:ind w:left="108"/>
      </w:pPr>
      <w:r>
        <w:rPr>
          <w:rFonts w:ascii="Trebuchet MS"/>
          <w:color w:val="008356"/>
          <w:w w:val="110"/>
        </w:rPr>
        <w:t>Exenatide </w:t>
      </w:r>
      <w:r>
        <w:rPr>
          <w:i/>
          <w:color w:val="231F1F"/>
          <w:w w:val="110"/>
        </w:rPr>
        <w:t>see </w:t>
      </w:r>
      <w:r>
        <w:rPr>
          <w:color w:val="231F1F"/>
          <w:w w:val="110"/>
        </w:rPr>
        <w:t>Antidiabetics</w:t>
      </w:r>
    </w:p>
    <w:p>
      <w:pPr>
        <w:pStyle w:val="BodyText"/>
        <w:spacing w:line="139" w:lineRule="exact" w:before="10"/>
        <w:ind w:left="108"/>
        <w:rPr>
          <w:rFonts w:ascii="Trebuchet MS"/>
        </w:rPr>
      </w:pPr>
      <w:r>
        <w:rPr>
          <w:rFonts w:ascii="Trebuchet MS"/>
          <w:color w:val="008356"/>
        </w:rPr>
        <w:t>Ezetimibe</w:t>
      </w:r>
    </w:p>
    <w:p>
      <w:pPr>
        <w:pStyle w:val="BodyText"/>
        <w:spacing w:line="220" w:lineRule="auto" w:before="9"/>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ezetimibe possibly enhances anticoagulant effect of </w:t>
      </w:r>
      <w:r>
        <w:rPr>
          <w:rFonts w:ascii="Calibri" w:hAnsi="Calibri"/>
          <w:color w:val="008356"/>
          <w:w w:val="105"/>
          <w:sz w:val="11"/>
        </w:rPr>
        <w:t>COUMARINS</w:t>
      </w:r>
    </w:p>
    <w:p>
      <w:pPr>
        <w:pStyle w:val="BodyText"/>
        <w:ind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plasma concentration of both drugs may increase when ezetimibe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CICLOSPORIN</w:t>
      </w:r>
    </w:p>
    <w:p>
      <w:pPr>
        <w:pStyle w:val="BodyText"/>
        <w:ind w:right="49"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ezetimibe increases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350"/>
          <w:position w:val="1"/>
          <w:sz w:val="7"/>
        </w:rPr>
        <w:t>l</w:t>
      </w:r>
      <w:r>
        <w:rPr>
          <w:rFonts w:ascii="Arial" w:hAnsi="Arial"/>
          <w:color w:val="231F1F"/>
          <w:spacing w:val="-59"/>
          <w:w w:val="350"/>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4"/>
          <w:w w:val="115"/>
        </w:rPr>
        <w:t> </w:t>
      </w:r>
      <w:r>
        <w:rPr>
          <w:color w:val="231F1F"/>
          <w:w w:val="115"/>
        </w:rPr>
        <w:t>of</w:t>
      </w:r>
      <w:r>
        <w:rPr>
          <w:color w:val="231F1F"/>
          <w:spacing w:val="-25"/>
          <w:w w:val="115"/>
        </w:rPr>
        <w:t> </w:t>
      </w:r>
      <w:r>
        <w:rPr>
          <w:color w:val="231F1F"/>
          <w:w w:val="115"/>
        </w:rPr>
        <w:t>rosuvastatin (consult</w:t>
      </w:r>
      <w:r>
        <w:rPr>
          <w:color w:val="231F1F"/>
          <w:spacing w:val="-6"/>
          <w:w w:val="115"/>
        </w:rPr>
        <w:t> </w:t>
      </w:r>
      <w:r>
        <w:rPr>
          <w:color w:val="231F1F"/>
          <w:w w:val="115"/>
        </w:rPr>
        <w:t>product</w:t>
      </w:r>
      <w:r>
        <w:rPr>
          <w:color w:val="231F1F"/>
          <w:spacing w:val="-5"/>
          <w:w w:val="115"/>
        </w:rPr>
        <w:t> </w:t>
      </w:r>
      <w:r>
        <w:rPr>
          <w:color w:val="231F1F"/>
          <w:w w:val="115"/>
        </w:rPr>
        <w:t>literature);</w:t>
      </w:r>
      <w:r>
        <w:rPr>
          <w:color w:val="231F1F"/>
          <w:spacing w:val="-5"/>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3"/>
          <w:w w:val="115"/>
        </w:rPr>
        <w:t> </w:t>
      </w:r>
      <w:r>
        <w:rPr>
          <w:color w:val="231F1F"/>
          <w:w w:val="115"/>
        </w:rPr>
        <w:t>cholelithiasis</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Ezetimibe</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3808" filled="true" fillcolor="#bfdbcf" stroked="false">
            <v:fill type="solid"/>
            <w10:wrap type="none"/>
          </v:rect>
        </w:pict>
      </w:r>
      <w:r>
        <w:rPr/>
        <w:pict>
          <v:shape style="position:absolute;margin-left:399.725769pt;margin-top:-3.416702pt;width:10.4pt;height:78.850pt;mso-position-horizontal-relative:page;mso-position-vertical-relative:paragraph;z-index:383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Lipid-regulating Drugs (continued)</w:t>
      </w:r>
    </w:p>
    <w:p>
      <w:pPr>
        <w:pStyle w:val="BodyText"/>
        <w:spacing w:line="137" w:lineRule="exact"/>
      </w:pPr>
      <w:r>
        <w:rPr>
          <w:color w:val="231F1F"/>
          <w:w w:val="115"/>
        </w:rPr>
        <w:t>and gallbladder disease when ezetimibe given with</w:t>
      </w:r>
    </w:p>
    <w:p>
      <w:pPr>
        <w:pStyle w:val="BodyText"/>
        <w:spacing w:line="254" w:lineRule="auto" w:before="5"/>
        <w:ind w:left="108" w:right="1848" w:firstLine="99"/>
        <w:rPr>
          <w:rFonts w:ascii="Trebuchet MS" w:hAnsi="Trebuchet MS"/>
        </w:rPr>
      </w:pPr>
      <w:r>
        <w:rPr>
          <w:rFonts w:ascii="Calibri" w:hAnsi="Calibri"/>
          <w:color w:val="008356"/>
          <w:w w:val="110"/>
          <w:sz w:val="11"/>
        </w:rPr>
        <w:t>FIBRATES</w:t>
      </w:r>
      <w:r>
        <w:rPr>
          <w:rFonts w:ascii="Arial" w:hAnsi="Arial"/>
          <w:color w:val="231F1F"/>
          <w:w w:val="110"/>
        </w:rPr>
        <w:t>—</w:t>
      </w:r>
      <w:r>
        <w:rPr>
          <w:color w:val="231F1F"/>
          <w:w w:val="110"/>
        </w:rPr>
        <w:t>discontinue if suspected </w:t>
      </w:r>
      <w:r>
        <w:rPr>
          <w:rFonts w:ascii="Trebuchet MS" w:hAnsi="Trebuchet MS"/>
          <w:color w:val="008356"/>
          <w:w w:val="110"/>
        </w:rPr>
        <w:t>Famotidine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 </w:t>
      </w:r>
      <w:r>
        <w:rPr>
          <w:rFonts w:ascii="Trebuchet MS" w:hAnsi="Trebuchet MS"/>
          <w:color w:val="008356"/>
          <w:w w:val="110"/>
          <w:vertAlign w:val="baseline"/>
        </w:rPr>
        <w:t>Fampridine</w:t>
      </w:r>
    </w:p>
    <w:p>
      <w:pPr>
        <w:pStyle w:val="BodyText"/>
        <w:spacing w:line="139" w:lineRule="exact"/>
        <w:ind w:left="108"/>
      </w:pPr>
      <w:r>
        <w:rPr>
          <w:rFonts w:ascii="Arial"/>
          <w:color w:val="231F1F"/>
          <w:w w:val="355"/>
          <w:position w:val="1"/>
          <w:sz w:val="7"/>
        </w:rPr>
        <w:t>l </w:t>
      </w:r>
      <w:r>
        <w:rPr>
          <w:rFonts w:ascii="Calibri"/>
          <w:color w:val="231F1F"/>
          <w:w w:val="115"/>
        </w:rPr>
        <w:t>Ulcer-healing Drugs: </w:t>
      </w:r>
      <w:r>
        <w:rPr>
          <w:color w:val="231F1F"/>
          <w:w w:val="115"/>
        </w:rPr>
        <w:t>manufacturer of fampridine advises avoid</w:t>
      </w:r>
    </w:p>
    <w:p>
      <w:pPr>
        <w:spacing w:before="0"/>
        <w:ind w:left="208" w:right="0" w:firstLine="0"/>
        <w:jc w:val="left"/>
        <w:rPr>
          <w:rFonts w:ascii="Calibri"/>
          <w:sz w:val="11"/>
        </w:rPr>
      </w:pPr>
      <w:r>
        <w:rPr>
          <w:color w:val="231F1F"/>
          <w:w w:val="110"/>
          <w:sz w:val="12"/>
        </w:rPr>
        <w:t>concomitant use with </w:t>
      </w:r>
      <w:r>
        <w:rPr>
          <w:rFonts w:ascii="Arial"/>
          <w:color w:val="231F1F"/>
          <w:w w:val="355"/>
          <w:position w:val="1"/>
          <w:sz w:val="7"/>
        </w:rPr>
        <w:t>l </w:t>
      </w:r>
      <w:r>
        <w:rPr>
          <w:rFonts w:ascii="Calibri"/>
          <w:color w:val="008356"/>
          <w:spacing w:val="5"/>
          <w:w w:val="110"/>
          <w:sz w:val="11"/>
        </w:rPr>
        <w:t>CIMETIDINE</w:t>
      </w:r>
    </w:p>
    <w:p>
      <w:pPr>
        <w:pStyle w:val="BodyText"/>
        <w:spacing w:line="139" w:lineRule="exact" w:before="8"/>
        <w:ind w:left="108"/>
        <w:rPr>
          <w:rFonts w:ascii="Trebuchet MS"/>
        </w:rPr>
      </w:pPr>
      <w:r>
        <w:rPr>
          <w:rFonts w:ascii="Trebuchet MS"/>
          <w:color w:val="008356"/>
        </w:rPr>
        <w:t>Febuxostat</w:t>
      </w:r>
    </w:p>
    <w:p>
      <w:pPr>
        <w:pStyle w:val="BodyText"/>
        <w:ind w:right="1068" w:hanging="100"/>
        <w:rPr>
          <w:rFonts w:ascii="Calibri"/>
          <w:sz w:val="11"/>
        </w:rPr>
      </w:pPr>
      <w:r>
        <w:rPr>
          <w:rFonts w:ascii="Arial"/>
          <w:color w:val="231F1F"/>
          <w:w w:val="355"/>
          <w:position w:val="1"/>
          <w:sz w:val="7"/>
        </w:rPr>
        <w:t>l </w:t>
      </w:r>
      <w:r>
        <w:rPr>
          <w:rFonts w:ascii="Calibri"/>
          <w:color w:val="231F1F"/>
          <w:w w:val="110"/>
        </w:rPr>
        <w:t>Azathioprine: </w:t>
      </w:r>
      <w:r>
        <w:rPr>
          <w:color w:val="231F1F"/>
          <w:w w:val="110"/>
        </w:rPr>
        <w:t>manufacturer of febuxostat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AZATHIOPRINE</w:t>
      </w:r>
    </w:p>
    <w:p>
      <w:pPr>
        <w:pStyle w:val="BodyText"/>
        <w:spacing w:line="237" w:lineRule="auto"/>
        <w:ind w:right="1201"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manufacturer of febuxostat advises </w:t>
      </w:r>
      <w:r>
        <w:rPr>
          <w:color w:val="231F1F"/>
          <w:spacing w:val="-3"/>
          <w:w w:val="110"/>
        </w:rPr>
        <w:t>avoid </w:t>
      </w:r>
      <w:r>
        <w:rPr>
          <w:color w:val="231F1F"/>
          <w:w w:val="110"/>
        </w:rPr>
        <w:t>concomitant use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0"/>
          <w:sz w:val="11"/>
        </w:rPr>
        <w:t>MERCAPTOPURINE</w:t>
      </w:r>
    </w:p>
    <w:p>
      <w:pPr>
        <w:pStyle w:val="BodyText"/>
        <w:spacing w:before="6"/>
        <w:ind w:left="108"/>
      </w:pPr>
      <w:r>
        <w:rPr>
          <w:rFonts w:ascii="Trebuchet MS"/>
          <w:color w:val="008356"/>
          <w:w w:val="110"/>
        </w:rPr>
        <w:t>Felodipine </w:t>
      </w:r>
      <w:r>
        <w:rPr>
          <w:i/>
          <w:color w:val="231F1F"/>
          <w:w w:val="110"/>
        </w:rPr>
        <w:t>see </w:t>
      </w:r>
      <w:r>
        <w:rPr>
          <w:color w:val="231F1F"/>
          <w:w w:val="110"/>
        </w:rPr>
        <w:t>Calcium-channel Blockers</w:t>
      </w:r>
    </w:p>
    <w:p>
      <w:pPr>
        <w:pStyle w:val="BodyText"/>
        <w:spacing w:line="256" w:lineRule="auto" w:before="11"/>
        <w:ind w:left="108" w:right="2377"/>
      </w:pPr>
      <w:r>
        <w:rPr>
          <w:rFonts w:ascii="Trebuchet MS"/>
          <w:color w:val="008356"/>
          <w:w w:val="105"/>
        </w:rPr>
        <w:t>Fenofibrate </w:t>
      </w:r>
      <w:r>
        <w:rPr>
          <w:i/>
          <w:color w:val="231F1F"/>
          <w:w w:val="105"/>
        </w:rPr>
        <w:t>see </w:t>
      </w:r>
      <w:r>
        <w:rPr>
          <w:color w:val="231F1F"/>
          <w:w w:val="105"/>
        </w:rPr>
        <w:t>Fibrates </w:t>
      </w:r>
      <w:r>
        <w:rPr>
          <w:rFonts w:ascii="Trebuchet MS"/>
          <w:color w:val="008356"/>
          <w:w w:val="105"/>
        </w:rPr>
        <w:t>Fenoprofen </w:t>
      </w:r>
      <w:r>
        <w:rPr>
          <w:i/>
          <w:color w:val="231F1F"/>
          <w:w w:val="105"/>
        </w:rPr>
        <w:t>see </w:t>
      </w:r>
      <w:r>
        <w:rPr>
          <w:color w:val="231F1F"/>
          <w:w w:val="105"/>
        </w:rPr>
        <w:t>NSAIDs </w:t>
      </w:r>
      <w:r>
        <w:rPr>
          <w:rFonts w:ascii="Trebuchet MS"/>
          <w:color w:val="008356"/>
          <w:w w:val="105"/>
        </w:rPr>
        <w:t>Fentanyl </w:t>
      </w:r>
      <w:r>
        <w:rPr>
          <w:i/>
          <w:color w:val="231F1F"/>
          <w:w w:val="105"/>
        </w:rPr>
        <w:t>see </w:t>
      </w:r>
      <w:r>
        <w:rPr>
          <w:color w:val="231F1F"/>
          <w:w w:val="105"/>
        </w:rPr>
        <w:t>Opioid Analgesics </w:t>
      </w:r>
      <w:r>
        <w:rPr>
          <w:rFonts w:ascii="Trebuchet MS"/>
          <w:color w:val="008356"/>
          <w:w w:val="105"/>
        </w:rPr>
        <w:t>Ferrous Fumarate </w:t>
      </w:r>
      <w:r>
        <w:rPr>
          <w:i/>
          <w:color w:val="231F1F"/>
          <w:w w:val="105"/>
        </w:rPr>
        <w:t>see </w:t>
      </w:r>
      <w:r>
        <w:rPr>
          <w:color w:val="231F1F"/>
          <w:w w:val="105"/>
        </w:rPr>
        <w:t>Iron salts </w:t>
      </w:r>
      <w:r>
        <w:rPr>
          <w:rFonts w:ascii="Trebuchet MS"/>
          <w:color w:val="008356"/>
          <w:w w:val="105"/>
        </w:rPr>
        <w:t>Ferrous Gluconate </w:t>
      </w:r>
      <w:r>
        <w:rPr>
          <w:i/>
          <w:color w:val="231F1F"/>
          <w:w w:val="105"/>
        </w:rPr>
        <w:t>see </w:t>
      </w:r>
      <w:r>
        <w:rPr>
          <w:color w:val="231F1F"/>
          <w:w w:val="105"/>
        </w:rPr>
        <w:t>Iron salts </w:t>
      </w:r>
      <w:r>
        <w:rPr>
          <w:rFonts w:ascii="Trebuchet MS"/>
          <w:color w:val="008356"/>
          <w:w w:val="105"/>
        </w:rPr>
        <w:t>Ferrous Sulfate </w:t>
      </w:r>
      <w:r>
        <w:rPr>
          <w:i/>
          <w:color w:val="231F1F"/>
          <w:w w:val="105"/>
        </w:rPr>
        <w:t>see </w:t>
      </w:r>
      <w:r>
        <w:rPr>
          <w:color w:val="231F1F"/>
          <w:w w:val="105"/>
        </w:rPr>
        <w:t>Iron salts</w:t>
      </w:r>
    </w:p>
    <w:p>
      <w:pPr>
        <w:pStyle w:val="BodyText"/>
        <w:spacing w:line="256" w:lineRule="auto" w:before="1"/>
        <w:ind w:left="108" w:right="2284"/>
        <w:jc w:val="both"/>
        <w:rPr>
          <w:rFonts w:ascii="Trebuchet MS"/>
        </w:rPr>
      </w:pPr>
      <w:r>
        <w:rPr>
          <w:rFonts w:ascii="Trebuchet MS"/>
          <w:color w:val="008356"/>
          <w:w w:val="110"/>
        </w:rPr>
        <w:t>Fesoterodine</w:t>
      </w:r>
      <w:r>
        <w:rPr>
          <w:rFonts w:ascii="Trebuchet MS"/>
          <w:color w:val="008356"/>
          <w:spacing w:val="-18"/>
          <w:w w:val="110"/>
        </w:rPr>
        <w:t> </w:t>
      </w:r>
      <w:r>
        <w:rPr>
          <w:i/>
          <w:color w:val="231F1F"/>
          <w:w w:val="110"/>
        </w:rPr>
        <w:t>see</w:t>
      </w:r>
      <w:r>
        <w:rPr>
          <w:i/>
          <w:color w:val="231F1F"/>
          <w:spacing w:val="-22"/>
          <w:w w:val="110"/>
        </w:rPr>
        <w:t> </w:t>
      </w:r>
      <w:r>
        <w:rPr>
          <w:color w:val="231F1F"/>
          <w:w w:val="110"/>
        </w:rPr>
        <w:t>Antimuscarinics </w:t>
      </w:r>
      <w:r>
        <w:rPr>
          <w:rFonts w:ascii="Trebuchet MS"/>
          <w:color w:val="008356"/>
          <w:w w:val="110"/>
        </w:rPr>
        <w:t>Fexofenadine </w:t>
      </w:r>
      <w:r>
        <w:rPr>
          <w:i/>
          <w:color w:val="231F1F"/>
          <w:w w:val="110"/>
        </w:rPr>
        <w:t>see </w:t>
      </w:r>
      <w:r>
        <w:rPr>
          <w:color w:val="231F1F"/>
          <w:w w:val="110"/>
        </w:rPr>
        <w:t>Antihistamines </w:t>
      </w:r>
      <w:r>
        <w:rPr>
          <w:rFonts w:ascii="Trebuchet MS"/>
          <w:color w:val="008356"/>
          <w:w w:val="110"/>
        </w:rPr>
        <w:t>Fibrates</w:t>
      </w:r>
    </w:p>
    <w:p>
      <w:pPr>
        <w:pStyle w:val="BodyText"/>
        <w:spacing w:line="138" w:lineRule="exact"/>
        <w:ind w:left="108"/>
      </w:pPr>
      <w:r>
        <w:rPr>
          <w:rFonts w:ascii="Arial"/>
          <w:color w:val="231F1F"/>
          <w:w w:val="355"/>
          <w:position w:val="1"/>
          <w:sz w:val="7"/>
        </w:rPr>
        <w:t>l </w:t>
      </w:r>
      <w:r>
        <w:rPr>
          <w:rFonts w:ascii="Calibri"/>
          <w:color w:val="231F1F"/>
          <w:w w:val="115"/>
        </w:rPr>
        <w:t>Antibacterials: </w:t>
      </w:r>
      <w:r>
        <w:rPr>
          <w:color w:val="231F1F"/>
          <w:w w:val="115"/>
        </w:rPr>
        <w:t>increased risk of myopathy when fibrates given</w:t>
      </w:r>
    </w:p>
    <w:p>
      <w:pPr>
        <w:spacing w:line="140" w:lineRule="exact" w:before="0"/>
        <w:ind w:left="208" w:right="0" w:firstLine="0"/>
        <w:jc w:val="left"/>
        <w:rPr>
          <w:sz w:val="12"/>
        </w:rPr>
      </w:pPr>
      <w:r>
        <w:rPr>
          <w:color w:val="231F1F"/>
          <w:w w:val="110"/>
          <w:sz w:val="12"/>
        </w:rPr>
        <w:t>with</w:t>
      </w:r>
      <w:r>
        <w:rPr>
          <w:color w:val="231F1F"/>
          <w:spacing w:val="-6"/>
          <w:w w:val="110"/>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DAPTOMYCIN</w:t>
      </w:r>
      <w:r>
        <w:rPr>
          <w:rFonts w:ascii="Calibri"/>
          <w:color w:val="008356"/>
          <w:spacing w:val="5"/>
          <w:w w:val="110"/>
          <w:sz w:val="11"/>
        </w:rPr>
        <w:t> </w:t>
      </w:r>
      <w:r>
        <w:rPr>
          <w:color w:val="231F1F"/>
          <w:w w:val="110"/>
          <w:sz w:val="12"/>
        </w:rPr>
        <w:t>(preferably</w:t>
      </w:r>
      <w:r>
        <w:rPr>
          <w:color w:val="231F1F"/>
          <w:spacing w:val="-6"/>
          <w:w w:val="110"/>
          <w:sz w:val="12"/>
        </w:rPr>
        <w:t> </w:t>
      </w:r>
      <w:r>
        <w:rPr>
          <w:color w:val="231F1F"/>
          <w:w w:val="110"/>
          <w:sz w:val="12"/>
        </w:rPr>
        <w:t>avoid</w:t>
      </w:r>
      <w:r>
        <w:rPr>
          <w:color w:val="231F1F"/>
          <w:spacing w:val="-6"/>
          <w:w w:val="110"/>
          <w:sz w:val="12"/>
        </w:rPr>
        <w:t> </w:t>
      </w:r>
      <w:r>
        <w:rPr>
          <w:color w:val="231F1F"/>
          <w:w w:val="110"/>
          <w:sz w:val="12"/>
        </w:rPr>
        <w:t>concomitant</w:t>
      </w:r>
      <w:r>
        <w:rPr>
          <w:color w:val="231F1F"/>
          <w:spacing w:val="-7"/>
          <w:w w:val="110"/>
          <w:sz w:val="12"/>
        </w:rPr>
        <w:t> </w:t>
      </w:r>
      <w:r>
        <w:rPr>
          <w:color w:val="231F1F"/>
          <w:w w:val="110"/>
          <w:sz w:val="12"/>
        </w:rPr>
        <w:t>use)</w:t>
      </w:r>
    </w:p>
    <w:p>
      <w:pPr>
        <w:pStyle w:val="BodyText"/>
        <w:spacing w:line="145" w:lineRule="exact"/>
        <w:ind w:left="108"/>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Anticoagulants:</w:t>
      </w:r>
      <w:r>
        <w:rPr>
          <w:rFonts w:ascii="Calibri"/>
          <w:color w:val="231F1F"/>
          <w:spacing w:val="-16"/>
          <w:w w:val="115"/>
        </w:rPr>
        <w:t> </w:t>
      </w:r>
      <w:r>
        <w:rPr>
          <w:color w:val="231F1F"/>
          <w:w w:val="115"/>
        </w:rPr>
        <w:t>fibrates</w:t>
      </w:r>
      <w:r>
        <w:rPr>
          <w:color w:val="231F1F"/>
          <w:spacing w:val="-18"/>
          <w:w w:val="115"/>
        </w:rPr>
        <w:t> </w:t>
      </w:r>
      <w:r>
        <w:rPr>
          <w:color w:val="231F1F"/>
          <w:w w:val="115"/>
        </w:rPr>
        <w:t>enhance</w:t>
      </w:r>
      <w:r>
        <w:rPr>
          <w:color w:val="231F1F"/>
          <w:spacing w:val="-19"/>
          <w:w w:val="115"/>
        </w:rPr>
        <w:t> </w:t>
      </w:r>
      <w:r>
        <w:rPr>
          <w:color w:val="231F1F"/>
          <w:w w:val="115"/>
        </w:rPr>
        <w:t>anticoagulant</w:t>
      </w:r>
      <w:r>
        <w:rPr>
          <w:color w:val="231F1F"/>
          <w:spacing w:val="-18"/>
          <w:w w:val="115"/>
        </w:rPr>
        <w:t> </w:t>
      </w:r>
      <w:r>
        <w:rPr>
          <w:color w:val="231F1F"/>
          <w:w w:val="115"/>
        </w:rPr>
        <w:t>effect</w:t>
      </w:r>
      <w:r>
        <w:rPr>
          <w:color w:val="231F1F"/>
          <w:spacing w:val="-18"/>
          <w:w w:val="115"/>
        </w:rPr>
        <w:t> </w:t>
      </w:r>
      <w:r>
        <w:rPr>
          <w:color w:val="231F1F"/>
          <w:w w:val="115"/>
        </w:rPr>
        <w:t>of</w:t>
      </w:r>
    </w:p>
    <w:p>
      <w:pPr>
        <w:spacing w:line="140" w:lineRule="exact"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p>
    <w:p>
      <w:pPr>
        <w:pStyle w:val="BodyText"/>
        <w:spacing w:line="244" w:lineRule="auto"/>
        <w:ind w:right="681" w:hanging="100"/>
      </w:pPr>
      <w:r>
        <w:rPr>
          <w:rFonts w:ascii="Arial" w:hAnsi="Arial"/>
          <w:color w:val="231F1F"/>
          <w:w w:val="355"/>
          <w:position w:val="1"/>
          <w:sz w:val="7"/>
        </w:rPr>
        <w:t>l </w:t>
      </w:r>
      <w:r>
        <w:rPr>
          <w:rFonts w:ascii="Calibri" w:hAnsi="Calibri"/>
          <w:color w:val="231F1F"/>
          <w:w w:val="110"/>
        </w:rPr>
        <w:t>Antidiabetics: </w:t>
      </w:r>
      <w:r>
        <w:rPr>
          <w:color w:val="231F1F"/>
          <w:w w:val="110"/>
        </w:rPr>
        <w:t>fibrates may improve glucose tolerance and have an additive effect with </w:t>
      </w:r>
      <w:r>
        <w:rPr>
          <w:rFonts w:ascii="Calibri" w:hAnsi="Calibri"/>
          <w:color w:val="008356"/>
          <w:spacing w:val="4"/>
          <w:w w:val="110"/>
          <w:sz w:val="11"/>
        </w:rPr>
        <w:t>INSULIN </w:t>
      </w:r>
      <w:r>
        <w:rPr>
          <w:color w:val="231F1F"/>
          <w:w w:val="110"/>
        </w:rPr>
        <w:t>or </w:t>
      </w:r>
      <w:r>
        <w:rPr>
          <w:rFonts w:ascii="Calibri" w:hAnsi="Calibri"/>
          <w:color w:val="008356"/>
          <w:spacing w:val="4"/>
          <w:w w:val="110"/>
          <w:sz w:val="11"/>
        </w:rPr>
        <w:t>SULFONYLUREAS</w:t>
      </w:r>
      <w:r>
        <w:rPr>
          <w:color w:val="231F1F"/>
          <w:spacing w:val="4"/>
          <w:w w:val="110"/>
        </w:rPr>
        <w:t>; </w:t>
      </w:r>
      <w:r>
        <w:rPr>
          <w:color w:val="231F1F"/>
          <w:w w:val="110"/>
        </w:rPr>
        <w:t>gemfibrozil possibly enhances hypoglycaemic effect of </w:t>
      </w:r>
      <w:r>
        <w:rPr>
          <w:rFonts w:ascii="Calibri" w:hAnsi="Calibri"/>
          <w:color w:val="008356"/>
          <w:spacing w:val="4"/>
          <w:w w:val="110"/>
          <w:sz w:val="11"/>
        </w:rPr>
        <w:t>NATEGLINIDE</w:t>
      </w:r>
      <w:r>
        <w:rPr>
          <w:color w:val="231F1F"/>
          <w:spacing w:val="4"/>
          <w:w w:val="110"/>
        </w:rPr>
        <w:t>; </w:t>
      </w:r>
      <w:r>
        <w:rPr>
          <w:color w:val="231F1F"/>
          <w:w w:val="110"/>
        </w:rPr>
        <w:t>increased risk of severe hypoglycaemia when gemfibrozil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0"/>
          <w:sz w:val="11"/>
        </w:rPr>
        <w:t>REPAGLINIDE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20" w:lineRule="auto"/>
        <w:ind w:right="1213"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increased risk of renal impairment when bezafibrate or fenofibrate given with </w:t>
      </w:r>
      <w:r>
        <w:rPr>
          <w:rFonts w:ascii="Calibri" w:hAnsi="Calibri"/>
          <w:color w:val="008356"/>
          <w:w w:val="110"/>
          <w:sz w:val="11"/>
        </w:rPr>
        <w:t>CICLOSPORIN</w:t>
      </w:r>
    </w:p>
    <w:p>
      <w:pPr>
        <w:pStyle w:val="BodyText"/>
        <w:ind w:right="670" w:hanging="100"/>
        <w:rPr>
          <w:rFonts w:ascii="Calibri"/>
          <w:sz w:val="11"/>
        </w:rPr>
      </w:pPr>
      <w:r>
        <w:rPr>
          <w:rFonts w:ascii="Arial"/>
          <w:color w:val="231F1F"/>
          <w:w w:val="355"/>
          <w:position w:val="1"/>
          <w:sz w:val="7"/>
        </w:rPr>
        <w:t>l </w:t>
      </w:r>
      <w:r>
        <w:rPr>
          <w:rFonts w:ascii="Calibri"/>
          <w:color w:val="231F1F"/>
          <w:w w:val="110"/>
        </w:rPr>
        <w:t>Colchicine: </w:t>
      </w:r>
      <w:r>
        <w:rPr>
          <w:color w:val="231F1F"/>
          <w:w w:val="110"/>
        </w:rPr>
        <w:t>possible increased risk of myopathy when fibrates given with </w:t>
      </w:r>
      <w:r>
        <w:rPr>
          <w:rFonts w:ascii="Arial"/>
          <w:color w:val="231F1F"/>
          <w:w w:val="355"/>
          <w:position w:val="1"/>
          <w:sz w:val="7"/>
        </w:rPr>
        <w:t>l </w:t>
      </w:r>
      <w:r>
        <w:rPr>
          <w:rFonts w:ascii="Calibri"/>
          <w:color w:val="008356"/>
          <w:spacing w:val="4"/>
          <w:w w:val="110"/>
          <w:sz w:val="11"/>
        </w:rPr>
        <w:t>COLCHICINE</w:t>
      </w:r>
    </w:p>
    <w:p>
      <w:pPr>
        <w:pStyle w:val="BodyText"/>
        <w:ind w:right="799"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Cytotoxics:</w:t>
      </w:r>
      <w:r>
        <w:rPr>
          <w:rFonts w:ascii="Calibri" w:hAnsi="Calibri"/>
          <w:color w:val="231F1F"/>
          <w:spacing w:val="-9"/>
          <w:w w:val="115"/>
        </w:rPr>
        <w:t> </w:t>
      </w:r>
      <w:r>
        <w:rPr>
          <w:color w:val="231F1F"/>
          <w:w w:val="115"/>
        </w:rPr>
        <w:t>gemfibrozil</w:t>
      </w:r>
      <w:r>
        <w:rPr>
          <w:color w:val="231F1F"/>
          <w:spacing w:val="-13"/>
          <w:w w:val="115"/>
        </w:rPr>
        <w:t> </w:t>
      </w:r>
      <w:r>
        <w:rPr>
          <w:color w:val="231F1F"/>
          <w:w w:val="115"/>
        </w:rPr>
        <w:t>increases</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 </w:t>
      </w:r>
      <w:r>
        <w:rPr>
          <w:rFonts w:ascii="Calibri" w:hAnsi="Calibri"/>
          <w:color w:val="008356"/>
          <w:spacing w:val="4"/>
          <w:w w:val="115"/>
          <w:sz w:val="11"/>
        </w:rPr>
        <w:t>DABRAFENIB</w:t>
      </w:r>
      <w:r>
        <w:rPr>
          <w:color w:val="231F1F"/>
          <w:spacing w:val="4"/>
          <w:w w:val="115"/>
        </w:rPr>
        <w:t>;</w:t>
      </w:r>
      <w:r>
        <w:rPr>
          <w:color w:val="231F1F"/>
          <w:spacing w:val="-22"/>
          <w:w w:val="115"/>
        </w:rPr>
        <w:t> </w:t>
      </w:r>
      <w:r>
        <w:rPr>
          <w:color w:val="231F1F"/>
          <w:w w:val="115"/>
        </w:rPr>
        <w:t>gemfibrozil</w:t>
      </w:r>
      <w:r>
        <w:rPr>
          <w:color w:val="231F1F"/>
          <w:spacing w:val="-21"/>
          <w:w w:val="115"/>
        </w:rPr>
        <w:t> </w:t>
      </w:r>
      <w:r>
        <w:rPr>
          <w:color w:val="231F1F"/>
          <w:w w:val="115"/>
        </w:rPr>
        <w:t>increases</w:t>
      </w:r>
      <w:r>
        <w:rPr>
          <w:color w:val="231F1F"/>
          <w:spacing w:val="-21"/>
          <w:w w:val="115"/>
        </w:rPr>
        <w:t> </w:t>
      </w:r>
      <w:r>
        <w:rPr>
          <w:color w:val="231F1F"/>
          <w:w w:val="115"/>
        </w:rPr>
        <w:t>plasma</w:t>
      </w:r>
      <w:r>
        <w:rPr>
          <w:color w:val="231F1F"/>
          <w:spacing w:val="-21"/>
          <w:w w:val="115"/>
        </w:rPr>
        <w:t> </w:t>
      </w:r>
      <w:r>
        <w:rPr>
          <w:color w:val="231F1F"/>
          <w:w w:val="115"/>
        </w:rPr>
        <w:t>concentration</w:t>
      </w:r>
      <w:r>
        <w:rPr>
          <w:color w:val="231F1F"/>
          <w:spacing w:val="-22"/>
          <w:w w:val="115"/>
        </w:rPr>
        <w:t> </w:t>
      </w:r>
      <w:r>
        <w:rPr>
          <w:color w:val="231F1F"/>
          <w:spacing w:val="-6"/>
          <w:w w:val="115"/>
        </w:rPr>
        <w:t>of </w:t>
      </w: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BEXAROTENE</w:t>
      </w:r>
      <w:r>
        <w:rPr>
          <w:rFonts w:ascii="Arial" w:hAnsi="Arial"/>
          <w:color w:val="231F1F"/>
          <w:spacing w:val="3"/>
          <w:w w:val="115"/>
        </w:rPr>
        <w:t>—</w:t>
      </w:r>
      <w:r>
        <w:rPr>
          <w:color w:val="231F1F"/>
          <w:spacing w:val="3"/>
          <w:w w:val="115"/>
        </w:rPr>
        <w:t>avoid </w:t>
      </w:r>
      <w:r>
        <w:rPr>
          <w:color w:val="231F1F"/>
          <w:w w:val="115"/>
        </w:rPr>
        <w:t>concomitant use</w:t>
      </w:r>
    </w:p>
    <w:p>
      <w:pPr>
        <w:pStyle w:val="BodyText"/>
        <w:spacing w:line="242" w:lineRule="auto"/>
        <w:ind w:right="633" w:hanging="100"/>
      </w:pPr>
      <w:r>
        <w:rPr>
          <w:rFonts w:ascii="Arial" w:hAnsi="Arial"/>
          <w:color w:val="231F1F"/>
          <w:w w:val="355"/>
          <w:position w:val="1"/>
          <w:sz w:val="7"/>
        </w:rPr>
        <w:t>l </w:t>
      </w:r>
      <w:r>
        <w:rPr>
          <w:rFonts w:ascii="Calibri" w:hAnsi="Calibri"/>
          <w:color w:val="231F1F"/>
          <w:w w:val="115"/>
        </w:rPr>
        <w:t>Hormone Antagonists: </w:t>
      </w:r>
      <w:r>
        <w:rPr>
          <w:color w:val="231F1F"/>
          <w:w w:val="115"/>
        </w:rPr>
        <w:t>gemfibrozil increases plasma concentration of </w:t>
      </w:r>
      <w:r>
        <w:rPr>
          <w:rFonts w:ascii="Arial" w:hAnsi="Arial"/>
          <w:color w:val="231F1F"/>
          <w:w w:val="355"/>
          <w:position w:val="1"/>
          <w:sz w:val="7"/>
        </w:rPr>
        <w:t>l </w:t>
      </w:r>
      <w:r>
        <w:rPr>
          <w:rFonts w:ascii="Calibri" w:hAnsi="Calibri"/>
          <w:color w:val="008356"/>
          <w:w w:val="115"/>
          <w:sz w:val="11"/>
        </w:rPr>
        <w:t>ENZALUTAMIDE</w:t>
      </w:r>
      <w:r>
        <w:rPr>
          <w:rFonts w:ascii="Arial" w:hAnsi="Arial"/>
          <w:color w:val="231F1F"/>
          <w:w w:val="115"/>
        </w:rPr>
        <w:t>—</w:t>
      </w:r>
      <w:r>
        <w:rPr>
          <w:color w:val="231F1F"/>
          <w:w w:val="115"/>
        </w:rPr>
        <w:t>manufacturer of enzalutamide advises avoid concomitant use or halve dose of enzalutamide</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gemfibrozil increases plasma concentration of </w:t>
      </w:r>
      <w:r>
        <w:rPr>
          <w:rFonts w:ascii="Calibri" w:hAnsi="Calibri"/>
          <w:color w:val="008356"/>
          <w:w w:val="105"/>
          <w:sz w:val="11"/>
        </w:rPr>
        <w:t>MONTELUKAST</w:t>
      </w:r>
    </w:p>
    <w:p>
      <w:pPr>
        <w:spacing w:before="0"/>
        <w:ind w:left="208" w:right="922" w:hanging="100"/>
        <w:jc w:val="left"/>
        <w:rPr>
          <w:sz w:val="12"/>
        </w:rPr>
      </w:pPr>
      <w:r>
        <w:rPr>
          <w:rFonts w:ascii="Arial"/>
          <w:color w:val="231F1F"/>
          <w:w w:val="355"/>
          <w:position w:val="1"/>
          <w:sz w:val="7"/>
        </w:rPr>
        <w:t>l </w:t>
      </w:r>
      <w:r>
        <w:rPr>
          <w:rFonts w:ascii="Calibri"/>
          <w:color w:val="231F1F"/>
          <w:w w:val="110"/>
          <w:sz w:val="12"/>
        </w:rPr>
        <w:t>Lipid-regulating Drugs: </w:t>
      </w:r>
      <w:r>
        <w:rPr>
          <w:color w:val="231F1F"/>
          <w:w w:val="110"/>
          <w:sz w:val="12"/>
        </w:rPr>
        <w:t>increased risk of myopathy when gemfibrozil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2"/>
          <w:w w:val="110"/>
          <w:sz w:val="11"/>
        </w:rPr>
        <w:t>ATORVASTATIN</w:t>
      </w:r>
      <w:r>
        <w:rPr>
          <w:color w:val="231F1F"/>
          <w:spacing w:val="2"/>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2"/>
          <w:w w:val="110"/>
          <w:sz w:val="11"/>
        </w:rPr>
        <w:t>FLUVASTATIN </w:t>
      </w:r>
      <w:r>
        <w:rPr>
          <w:color w:val="231F1F"/>
          <w:w w:val="110"/>
          <w:sz w:val="12"/>
        </w:rPr>
        <w:t>or</w:t>
      </w:r>
    </w:p>
    <w:p>
      <w:pPr>
        <w:pStyle w:val="BodyText"/>
        <w:spacing w:line="244" w:lineRule="auto"/>
        <w:ind w:right="625"/>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PRAVASTATIN </w:t>
      </w:r>
      <w:r>
        <w:rPr>
          <w:color w:val="231F1F"/>
          <w:w w:val="115"/>
        </w:rPr>
        <w:t>(preferably avoid concomitant use); increased risk of myopathy when fibrates given with </w:t>
      </w:r>
      <w:r>
        <w:rPr>
          <w:rFonts w:ascii="Arial" w:hAnsi="Arial"/>
          <w:color w:val="231F1F"/>
          <w:w w:val="355"/>
          <w:position w:val="1"/>
          <w:sz w:val="7"/>
        </w:rPr>
        <w:t>l </w:t>
      </w:r>
      <w:r>
        <w:rPr>
          <w:rFonts w:ascii="Calibri" w:hAnsi="Calibri"/>
          <w:color w:val="008356"/>
          <w:spacing w:val="3"/>
          <w:w w:val="115"/>
          <w:sz w:val="11"/>
        </w:rPr>
        <w:t>ROSUVASTATIN </w:t>
      </w:r>
      <w:r>
        <w:rPr>
          <w:color w:val="231F1F"/>
          <w:w w:val="115"/>
        </w:rPr>
        <w:t>(see under Rosuvastatin, p. 180); possible increased risk of myopathy when bezafibrate given with </w:t>
      </w:r>
      <w:r>
        <w:rPr>
          <w:rFonts w:ascii="Arial" w:hAnsi="Arial"/>
          <w:color w:val="231F1F"/>
          <w:w w:val="355"/>
          <w:position w:val="1"/>
          <w:sz w:val="7"/>
        </w:rPr>
        <w:t>l </w:t>
      </w:r>
      <w:r>
        <w:rPr>
          <w:rFonts w:ascii="Calibri" w:hAnsi="Calibri"/>
          <w:color w:val="008356"/>
          <w:spacing w:val="3"/>
          <w:w w:val="115"/>
          <w:sz w:val="11"/>
        </w:rPr>
        <w:t>SIMVASTATIN </w:t>
      </w:r>
      <w:r>
        <w:rPr>
          <w:color w:val="231F1F"/>
          <w:w w:val="115"/>
        </w:rPr>
        <w:t>(see under Simvastatin, p. 181); possible increased risk of myopathy when ciprofibrate given with </w:t>
      </w:r>
      <w:r>
        <w:rPr>
          <w:rFonts w:ascii="Arial" w:hAnsi="Arial"/>
          <w:color w:val="231F1F"/>
          <w:w w:val="355"/>
          <w:position w:val="1"/>
          <w:sz w:val="7"/>
        </w:rPr>
        <w:t>l </w:t>
      </w:r>
      <w:r>
        <w:rPr>
          <w:rFonts w:ascii="Calibri" w:hAnsi="Calibri"/>
          <w:color w:val="008356"/>
          <w:spacing w:val="3"/>
          <w:w w:val="115"/>
          <w:sz w:val="11"/>
        </w:rPr>
        <w:t>SIMVASTATIN </w:t>
      </w:r>
      <w:r>
        <w:rPr>
          <w:color w:val="231F1F"/>
          <w:w w:val="115"/>
        </w:rPr>
        <w:t>(see under Simvastatin, p. 181); increased risk of myopathy </w:t>
      </w:r>
      <w:r>
        <w:rPr>
          <w:color w:val="231F1F"/>
          <w:spacing w:val="-4"/>
          <w:w w:val="115"/>
        </w:rPr>
        <w:t>when </w:t>
      </w:r>
      <w:r>
        <w:rPr>
          <w:color w:val="231F1F"/>
          <w:w w:val="115"/>
        </w:rPr>
        <w:t>gemfibrozil given with </w:t>
      </w:r>
      <w:r>
        <w:rPr>
          <w:rFonts w:ascii="Arial" w:hAnsi="Arial"/>
          <w:color w:val="231F1F"/>
          <w:w w:val="355"/>
          <w:position w:val="1"/>
          <w:sz w:val="7"/>
        </w:rPr>
        <w:t>l </w:t>
      </w:r>
      <w:r>
        <w:rPr>
          <w:rFonts w:ascii="Calibri" w:hAnsi="Calibri"/>
          <w:color w:val="008356"/>
          <w:spacing w:val="2"/>
          <w:w w:val="115"/>
          <w:sz w:val="11"/>
        </w:rPr>
        <w:t>SIMVASTATIN </w:t>
      </w:r>
      <w:r>
        <w:rPr>
          <w:color w:val="231F1F"/>
          <w:w w:val="115"/>
        </w:rPr>
        <w:t>(avoid concomitant use); increased risk of cholelithiasis and gallbladder disease when fibrates given with </w:t>
      </w:r>
      <w:r>
        <w:rPr>
          <w:rFonts w:ascii="Calibri" w:hAnsi="Calibri"/>
          <w:color w:val="008356"/>
          <w:spacing w:val="2"/>
          <w:w w:val="115"/>
          <w:sz w:val="11"/>
        </w:rPr>
        <w:t>EZETIMIBE</w:t>
      </w:r>
      <w:r>
        <w:rPr>
          <w:rFonts w:ascii="Arial" w:hAnsi="Arial"/>
          <w:color w:val="231F1F"/>
          <w:spacing w:val="2"/>
          <w:w w:val="115"/>
        </w:rPr>
        <w:t>—</w:t>
      </w:r>
      <w:r>
        <w:rPr>
          <w:color w:val="231F1F"/>
          <w:spacing w:val="2"/>
          <w:w w:val="115"/>
        </w:rPr>
        <w:t>discontinue </w:t>
      </w:r>
      <w:r>
        <w:rPr>
          <w:color w:val="231F1F"/>
          <w:w w:val="115"/>
        </w:rPr>
        <w:t>if suspected; increased risk of myopathy when fibrates given with </w:t>
      </w:r>
      <w:r>
        <w:rPr>
          <w:rFonts w:ascii="Arial" w:hAnsi="Arial"/>
          <w:color w:val="231F1F"/>
          <w:w w:val="355"/>
          <w:position w:val="1"/>
          <w:sz w:val="7"/>
        </w:rPr>
        <w:t>l </w:t>
      </w:r>
      <w:r>
        <w:rPr>
          <w:rFonts w:ascii="Calibri" w:hAnsi="Calibri"/>
          <w:color w:val="008356"/>
          <w:spacing w:val="2"/>
          <w:w w:val="115"/>
          <w:sz w:val="11"/>
        </w:rPr>
        <w:t>STATINS</w:t>
      </w:r>
      <w:r>
        <w:rPr>
          <w:color w:val="231F1F"/>
          <w:spacing w:val="2"/>
          <w:w w:val="115"/>
        </w:rPr>
        <w:t>; </w:t>
      </w:r>
      <w:r>
        <w:rPr>
          <w:color w:val="231F1F"/>
          <w:w w:val="115"/>
        </w:rPr>
        <w:t>reduce maximum dose of fenofibrate when given with </w:t>
      </w:r>
      <w:r>
        <w:rPr>
          <w:rFonts w:ascii="Calibri" w:hAnsi="Calibri"/>
          <w:color w:val="008356"/>
          <w:w w:val="115"/>
          <w:sz w:val="11"/>
        </w:rPr>
        <w:t>STATINS</w:t>
      </w:r>
      <w:r>
        <w:rPr>
          <w:rFonts w:ascii="Arial" w:hAnsi="Arial"/>
          <w:color w:val="231F1F"/>
          <w:w w:val="115"/>
        </w:rPr>
        <w:t>—</w:t>
      </w:r>
      <w:r>
        <w:rPr>
          <w:color w:val="231F1F"/>
          <w:w w:val="115"/>
        </w:rPr>
        <w:t>see under Fenofibrate, p. 175</w:t>
      </w:r>
    </w:p>
    <w:p>
      <w:pPr>
        <w:pStyle w:val="BodyText"/>
        <w:spacing w:line="139" w:lineRule="exact" w:before="12"/>
        <w:ind w:left="108"/>
        <w:rPr>
          <w:rFonts w:ascii="Trebuchet MS"/>
        </w:rPr>
      </w:pPr>
      <w:r>
        <w:rPr>
          <w:rFonts w:ascii="Trebuchet MS"/>
          <w:color w:val="008356"/>
        </w:rPr>
        <w:t>Fidaxomicin</w:t>
      </w:r>
    </w:p>
    <w:p>
      <w:pPr>
        <w:spacing w:line="220" w:lineRule="auto" w:before="9"/>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Anti-arrhythmics: </w:t>
      </w:r>
      <w:r>
        <w:rPr>
          <w:color w:val="231F1F"/>
          <w:w w:val="110"/>
          <w:sz w:val="12"/>
        </w:rPr>
        <w:t>manufacturer of fidaxomicin advises avoid concomitant use with </w:t>
      </w:r>
      <w:r>
        <w:rPr>
          <w:rFonts w:ascii="Calibri" w:hAnsi="Calibri"/>
          <w:color w:val="008356"/>
          <w:w w:val="110"/>
          <w:sz w:val="11"/>
        </w:rPr>
        <w:t>AMIODARONE </w:t>
      </w:r>
      <w:r>
        <w:rPr>
          <w:color w:val="231F1F"/>
          <w:w w:val="110"/>
          <w:sz w:val="12"/>
        </w:rPr>
        <w:t>and </w:t>
      </w:r>
      <w:r>
        <w:rPr>
          <w:rFonts w:ascii="Calibri" w:hAnsi="Calibri"/>
          <w:color w:val="008356"/>
          <w:w w:val="110"/>
          <w:sz w:val="11"/>
        </w:rPr>
        <w:t>DRONEDARONE</w:t>
      </w:r>
    </w:p>
    <w:p>
      <w:pPr>
        <w:spacing w:line="220" w:lineRule="auto" w:before="9"/>
        <w:ind w:left="208" w:right="8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manufacturer of fidaxomicin advises avoid concomitant use with </w:t>
      </w:r>
      <w:r>
        <w:rPr>
          <w:rFonts w:ascii="Calibri" w:hAnsi="Calibri"/>
          <w:color w:val="008356"/>
          <w:w w:val="110"/>
          <w:sz w:val="11"/>
        </w:rPr>
        <w:t>CLARITHROMYCIN </w:t>
      </w:r>
      <w:r>
        <w:rPr>
          <w:color w:val="231F1F"/>
          <w:w w:val="110"/>
          <w:sz w:val="12"/>
        </w:rPr>
        <w:t>and </w:t>
      </w:r>
      <w:r>
        <w:rPr>
          <w:rFonts w:ascii="Calibri" w:hAnsi="Calibri"/>
          <w:color w:val="008356"/>
          <w:w w:val="110"/>
          <w:sz w:val="11"/>
        </w:rPr>
        <w:t>ERYTHROMYCIN</w:t>
      </w:r>
    </w:p>
    <w:p>
      <w:pPr>
        <w:pStyle w:val="BodyText"/>
        <w:spacing w:line="220" w:lineRule="auto" w:before="8"/>
        <w:ind w:right="106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manufacturer of fidaxomicin advises avoid concomitant use with </w:t>
      </w:r>
      <w:r>
        <w:rPr>
          <w:rFonts w:ascii="Calibri" w:hAnsi="Calibri"/>
          <w:color w:val="008356"/>
          <w:w w:val="110"/>
          <w:sz w:val="11"/>
        </w:rPr>
        <w:t>KETOCONAZOLE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manufacturer of fidaxomicin advises avoid concomitant use with </w:t>
      </w:r>
      <w:r>
        <w:rPr>
          <w:rFonts w:ascii="Calibri" w:hAnsi="Calibri"/>
          <w:color w:val="008356"/>
          <w:w w:val="105"/>
          <w:sz w:val="11"/>
        </w:rPr>
        <w:t>VERAPAMIL</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manufacturer of fidaxomicin advises avoid concomitant use with </w:t>
      </w:r>
      <w:r>
        <w:rPr>
          <w:rFonts w:ascii="Calibri" w:hAnsi="Calibri"/>
          <w:color w:val="008356"/>
          <w:w w:val="105"/>
          <w:sz w:val="11"/>
        </w:rPr>
        <w:t>CICLOSPORIN</w:t>
      </w:r>
    </w:p>
    <w:p>
      <w:pPr>
        <w:spacing w:line="220" w:lineRule="auto" w:before="10"/>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spacing w:after="0" w:line="220" w:lineRule="auto"/>
        <w:jc w:val="left"/>
        <w:rPr>
          <w:sz w:val="12"/>
        </w:rPr>
        <w:sectPr>
          <w:pgSz w:w="8390" w:h="11910"/>
          <w:pgMar w:header="0" w:footer="0" w:top="460" w:bottom="0" w:left="480" w:right="0"/>
          <w:cols w:num="2" w:equalWidth="0">
            <w:col w:w="3605" w:space="71"/>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3856" filled="true" fillcolor="#bfdbcf" stroked="false">
            <v:fill type="solid"/>
            <w10:wrap type="none"/>
          </v:rect>
        </w:pict>
      </w:r>
      <w:r>
        <w:rPr/>
        <w:pict>
          <v:shape style="position:absolute;margin-left:7.751256pt;margin-top:35.804367pt;width:10.4pt;height:78.850pt;mso-position-horizontal-relative:page;mso-position-vertical-relative:page;z-index:388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39" w:lineRule="exact" w:before="1"/>
        <w:ind w:left="186"/>
        <w:rPr>
          <w:rFonts w:ascii="Trebuchet MS"/>
        </w:rPr>
      </w:pPr>
      <w:r>
        <w:rPr>
          <w:rFonts w:ascii="Trebuchet MS"/>
          <w:color w:val="008356"/>
        </w:rPr>
        <w:t>Filgrastim</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neutropenia possibly exacerbated when filgrastim given with </w:t>
      </w:r>
      <w:r>
        <w:rPr>
          <w:rFonts w:ascii="Calibri" w:hAnsi="Calibri"/>
          <w:color w:val="008356"/>
          <w:w w:val="105"/>
          <w:sz w:val="11"/>
        </w:rPr>
        <w:t>CAPECITABINE</w:t>
      </w:r>
      <w:r>
        <w:rPr>
          <w:color w:val="231F1F"/>
          <w:w w:val="105"/>
          <w:sz w:val="12"/>
        </w:rPr>
        <w:t>, </w:t>
      </w:r>
      <w:r>
        <w:rPr>
          <w:rFonts w:ascii="Calibri" w:hAnsi="Calibri"/>
          <w:color w:val="008356"/>
          <w:w w:val="105"/>
          <w:sz w:val="11"/>
        </w:rPr>
        <w:t>FLUOROURACIL </w:t>
      </w:r>
      <w:r>
        <w:rPr>
          <w:color w:val="231F1F"/>
          <w:w w:val="105"/>
          <w:sz w:val="12"/>
        </w:rPr>
        <w:t>or </w:t>
      </w:r>
      <w:r>
        <w:rPr>
          <w:rFonts w:ascii="Calibri" w:hAnsi="Calibri"/>
          <w:color w:val="008356"/>
          <w:w w:val="105"/>
          <w:sz w:val="11"/>
        </w:rPr>
        <w:t>TEGAFUR</w:t>
      </w:r>
    </w:p>
    <w:p>
      <w:pPr>
        <w:pStyle w:val="BodyText"/>
        <w:spacing w:line="139" w:lineRule="exact" w:before="10"/>
        <w:ind w:left="186"/>
        <w:rPr>
          <w:rFonts w:ascii="Trebuchet MS"/>
        </w:rPr>
      </w:pPr>
      <w:r>
        <w:rPr>
          <w:rFonts w:ascii="Trebuchet MS"/>
          <w:color w:val="008356"/>
        </w:rPr>
        <w:t>Fingolimod</w:t>
      </w:r>
    </w:p>
    <w:p>
      <w:pPr>
        <w:spacing w:before="0"/>
        <w:ind w:left="286" w:right="0" w:hanging="100"/>
        <w:jc w:val="left"/>
        <w:rPr>
          <w:sz w:val="12"/>
        </w:rPr>
      </w:pPr>
      <w:r>
        <w:rPr>
          <w:rFonts w:ascii="Arial"/>
          <w:color w:val="231F1F"/>
          <w:w w:val="355"/>
          <w:position w:val="1"/>
          <w:sz w:val="7"/>
        </w:rPr>
        <w:t>l </w:t>
      </w:r>
      <w:r>
        <w:rPr>
          <w:rFonts w:ascii="Calibri"/>
          <w:color w:val="231F1F"/>
          <w:w w:val="110"/>
          <w:sz w:val="12"/>
        </w:rPr>
        <w:t>Anti-arrhythmics: </w:t>
      </w:r>
      <w:r>
        <w:rPr>
          <w:color w:val="231F1F"/>
          <w:w w:val="110"/>
          <w:sz w:val="12"/>
        </w:rPr>
        <w:t>possible increased risk of bradycardia </w:t>
      </w:r>
      <w:r>
        <w:rPr>
          <w:color w:val="231F1F"/>
          <w:spacing w:val="-4"/>
          <w:w w:val="110"/>
          <w:sz w:val="12"/>
        </w:rPr>
        <w:t>when </w:t>
      </w:r>
      <w:r>
        <w:rPr>
          <w:color w:val="231F1F"/>
          <w:w w:val="110"/>
          <w:sz w:val="12"/>
        </w:rPr>
        <w:t>fingolimod given with </w:t>
      </w:r>
      <w:r>
        <w:rPr>
          <w:rFonts w:ascii="Arial"/>
          <w:color w:val="231F1F"/>
          <w:w w:val="355"/>
          <w:position w:val="1"/>
          <w:sz w:val="7"/>
        </w:rPr>
        <w:t>l </w:t>
      </w:r>
      <w:r>
        <w:rPr>
          <w:rFonts w:ascii="Calibri"/>
          <w:color w:val="008356"/>
          <w:spacing w:val="4"/>
          <w:w w:val="110"/>
          <w:sz w:val="11"/>
        </w:rPr>
        <w:t>AMIODARONE</w:t>
      </w:r>
      <w:r>
        <w:rPr>
          <w:color w:val="231F1F"/>
          <w:spacing w:val="4"/>
          <w:w w:val="110"/>
          <w:sz w:val="12"/>
        </w:rPr>
        <w:t>, </w:t>
      </w:r>
      <w:r>
        <w:rPr>
          <w:rFonts w:ascii="Arial"/>
          <w:color w:val="231F1F"/>
          <w:w w:val="355"/>
          <w:position w:val="1"/>
          <w:sz w:val="7"/>
        </w:rPr>
        <w:t>l </w:t>
      </w:r>
      <w:r>
        <w:rPr>
          <w:rFonts w:ascii="Calibri"/>
          <w:color w:val="008356"/>
          <w:spacing w:val="4"/>
          <w:w w:val="110"/>
          <w:sz w:val="11"/>
        </w:rPr>
        <w:t>DISOPYRAMIDE </w:t>
      </w:r>
      <w:r>
        <w:rPr>
          <w:color w:val="231F1F"/>
          <w:w w:val="110"/>
          <w:sz w:val="12"/>
        </w:rPr>
        <w:t>or</w:t>
      </w:r>
    </w:p>
    <w:p>
      <w:pPr>
        <w:spacing w:line="133" w:lineRule="exact" w:before="8"/>
        <w:ind w:left="286" w:right="0" w:firstLine="0"/>
        <w:jc w:val="left"/>
        <w:rPr>
          <w:rFonts w:ascii="Calibri"/>
          <w:sz w:val="11"/>
        </w:rPr>
      </w:pPr>
      <w:r>
        <w:rPr>
          <w:rFonts w:ascii="Arial"/>
          <w:color w:val="231F1F"/>
          <w:w w:val="355"/>
          <w:position w:val="1"/>
          <w:sz w:val="7"/>
        </w:rPr>
        <w:t>l </w:t>
      </w:r>
      <w:r>
        <w:rPr>
          <w:rFonts w:ascii="Calibri"/>
          <w:color w:val="008356"/>
          <w:w w:val="115"/>
          <w:sz w:val="11"/>
        </w:rPr>
        <w:t>DRONEDARONE</w:t>
      </w:r>
    </w:p>
    <w:p>
      <w:pPr>
        <w:pStyle w:val="BodyText"/>
        <w:spacing w:line="230" w:lineRule="auto" w:before="4"/>
        <w:ind w:left="286"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fingolimod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fingolimod advises avoid concomitant use</w:t>
      </w:r>
    </w:p>
    <w:p>
      <w:pPr>
        <w:pStyle w:val="BodyText"/>
        <w:spacing w:line="156" w:lineRule="exact" w:before="3"/>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plasma concentration of fingolimod reduced by</w:t>
      </w:r>
    </w:p>
    <w:p>
      <w:pPr>
        <w:spacing w:line="130" w:lineRule="exact" w:before="0"/>
        <w:ind w:left="286" w:right="0" w:firstLine="0"/>
        <w:jc w:val="left"/>
        <w:rPr>
          <w:rFonts w:ascii="Calibri"/>
          <w:sz w:val="11"/>
        </w:rPr>
      </w:pPr>
      <w:r>
        <w:rPr>
          <w:rFonts w:ascii="Calibri"/>
          <w:color w:val="008356"/>
          <w:sz w:val="11"/>
        </w:rPr>
        <w:t>CARBAMAZEPINE</w:t>
      </w:r>
    </w:p>
    <w:p>
      <w:pPr>
        <w:pStyle w:val="BodyText"/>
        <w:spacing w:line="145" w:lineRule="exact"/>
        <w:ind w:left="186"/>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Antifungals:</w:t>
      </w:r>
      <w:r>
        <w:rPr>
          <w:rFonts w:asci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color w:val="231F1F"/>
          <w:w w:val="115"/>
        </w:rPr>
        <w:t>fingolimod</w:t>
      </w:r>
      <w:r>
        <w:rPr>
          <w:color w:val="231F1F"/>
          <w:spacing w:val="-14"/>
          <w:w w:val="115"/>
        </w:rPr>
        <w:t> </w:t>
      </w:r>
      <w:r>
        <w:rPr>
          <w:color w:val="231F1F"/>
          <w:w w:val="115"/>
        </w:rPr>
        <w:t>increased</w:t>
      </w:r>
      <w:r>
        <w:rPr>
          <w:color w:val="231F1F"/>
          <w:spacing w:val="-14"/>
          <w:w w:val="115"/>
        </w:rPr>
        <w:t> </w:t>
      </w:r>
      <w:r>
        <w:rPr>
          <w:color w:val="231F1F"/>
          <w:w w:val="115"/>
        </w:rPr>
        <w:t>by</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KETOCONAZOLE</w:t>
      </w:r>
    </w:p>
    <w:p>
      <w:pPr>
        <w:pStyle w:val="BodyText"/>
        <w:ind w:left="286" w:hanging="100"/>
        <w:rPr>
          <w:rFonts w:ascii="Calibri"/>
          <w:sz w:val="11"/>
        </w:rPr>
      </w:pPr>
      <w:r>
        <w:rPr>
          <w:rFonts w:ascii="Arial"/>
          <w:color w:val="231F1F"/>
          <w:w w:val="355"/>
          <w:position w:val="1"/>
          <w:sz w:val="7"/>
        </w:rPr>
        <w:t>l </w:t>
      </w:r>
      <w:r>
        <w:rPr>
          <w:rFonts w:ascii="Calibri"/>
          <w:color w:val="231F1F"/>
          <w:w w:val="110"/>
        </w:rPr>
        <w:t>Beta-blockers: </w:t>
      </w:r>
      <w:r>
        <w:rPr>
          <w:color w:val="231F1F"/>
          <w:w w:val="110"/>
        </w:rPr>
        <w:t>possible increased risk of bradycardia </w:t>
      </w:r>
      <w:r>
        <w:rPr>
          <w:color w:val="231F1F"/>
          <w:spacing w:val="-4"/>
          <w:w w:val="110"/>
        </w:rPr>
        <w:t>when </w:t>
      </w:r>
      <w:r>
        <w:rPr>
          <w:color w:val="231F1F"/>
          <w:w w:val="110"/>
        </w:rPr>
        <w:t>fingolimod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BETA-BLOCKERS</w:t>
      </w:r>
    </w:p>
    <w:p>
      <w:pPr>
        <w:spacing w:line="247" w:lineRule="auto" w:before="0"/>
        <w:ind w:left="286" w:right="333" w:hanging="100"/>
        <w:jc w:val="left"/>
        <w:rPr>
          <w:rFonts w:ascii="Calibri"/>
          <w:sz w:val="11"/>
        </w:rPr>
      </w:pPr>
      <w:r>
        <w:rPr>
          <w:rFonts w:ascii="Arial"/>
          <w:color w:val="231F1F"/>
          <w:w w:val="355"/>
          <w:position w:val="1"/>
          <w:sz w:val="7"/>
        </w:rPr>
        <w:t>l </w:t>
      </w:r>
      <w:r>
        <w:rPr>
          <w:rFonts w:ascii="Calibri"/>
          <w:color w:val="231F1F"/>
          <w:w w:val="110"/>
          <w:sz w:val="12"/>
        </w:rPr>
        <w:t>Calcium-channel Blockers: </w:t>
      </w:r>
      <w:r>
        <w:rPr>
          <w:color w:val="231F1F"/>
          <w:w w:val="110"/>
          <w:sz w:val="12"/>
        </w:rPr>
        <w:t>possible increased risk of bradycardia when fingolimod given with </w:t>
      </w:r>
      <w:r>
        <w:rPr>
          <w:rFonts w:ascii="Arial"/>
          <w:color w:val="231F1F"/>
          <w:w w:val="355"/>
          <w:position w:val="1"/>
          <w:sz w:val="7"/>
        </w:rPr>
        <w:t>l </w:t>
      </w:r>
      <w:r>
        <w:rPr>
          <w:rFonts w:ascii="Calibri"/>
          <w:color w:val="008356"/>
          <w:w w:val="110"/>
          <w:sz w:val="11"/>
        </w:rPr>
        <w:t>DILTIAZEM </w:t>
      </w:r>
      <w:r>
        <w:rPr>
          <w:color w:val="231F1F"/>
          <w:w w:val="110"/>
          <w:sz w:val="12"/>
        </w:rPr>
        <w:t>or </w:t>
      </w:r>
      <w:r>
        <w:rPr>
          <w:rFonts w:ascii="Arial"/>
          <w:color w:val="231F1F"/>
          <w:w w:val="355"/>
          <w:position w:val="1"/>
          <w:sz w:val="7"/>
        </w:rPr>
        <w:t>l </w:t>
      </w:r>
      <w:r>
        <w:rPr>
          <w:rFonts w:ascii="Calibri"/>
          <w:color w:val="008356"/>
          <w:w w:val="110"/>
          <w:sz w:val="11"/>
        </w:rPr>
        <w:t>VERAPAMIL</w:t>
      </w:r>
    </w:p>
    <w:p>
      <w:pPr>
        <w:pStyle w:val="BodyText"/>
        <w:ind w:left="186"/>
      </w:pPr>
      <w:r>
        <w:rPr>
          <w:rFonts w:ascii="Trebuchet MS"/>
          <w:color w:val="008356"/>
          <w:w w:val="110"/>
        </w:rPr>
        <w:t>Flavoxate </w:t>
      </w:r>
      <w:r>
        <w:rPr>
          <w:i/>
          <w:color w:val="231F1F"/>
          <w:w w:val="110"/>
        </w:rPr>
        <w:t>see </w:t>
      </w:r>
      <w:r>
        <w:rPr>
          <w:color w:val="231F1F"/>
          <w:w w:val="110"/>
        </w:rPr>
        <w:t>Antimuscarinics</w:t>
      </w:r>
    </w:p>
    <w:p>
      <w:pPr>
        <w:pStyle w:val="BodyText"/>
        <w:spacing w:line="139" w:lineRule="exact" w:before="9"/>
        <w:ind w:left="186"/>
        <w:rPr>
          <w:rFonts w:ascii="Trebuchet MS"/>
        </w:rPr>
      </w:pPr>
      <w:r>
        <w:rPr>
          <w:rFonts w:ascii="Trebuchet MS"/>
          <w:color w:val="008356"/>
        </w:rPr>
        <w:t>Flecainide</w:t>
      </w:r>
    </w:p>
    <w:p>
      <w:pPr>
        <w:spacing w:line="220" w:lineRule="auto" w:before="9"/>
        <w:ind w:left="286" w:right="120"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1" w:lineRule="exact" w:before="3"/>
        <w:ind w:left="286"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spacing w:line="242" w:lineRule="auto"/>
        <w:ind w:left="286" w:right="-4" w:hanging="100"/>
      </w:pPr>
      <w:r>
        <w:rPr>
          <w:rFonts w:ascii="Arial"/>
          <w:color w:val="231F1F"/>
          <w:w w:val="355"/>
          <w:position w:val="1"/>
          <w:sz w:val="7"/>
        </w:rPr>
        <w:t>l </w:t>
      </w:r>
      <w:r>
        <w:rPr>
          <w:rFonts w:ascii="Calibri"/>
          <w:color w:val="231F1F"/>
          <w:w w:val="110"/>
        </w:rPr>
        <w:t>Anti-arrhythmics: </w:t>
      </w:r>
      <w:r>
        <w:rPr>
          <w:color w:val="231F1F"/>
          <w:w w:val="110"/>
        </w:rPr>
        <w:t>increased myocardial depression when anti- arrhythmics given with other </w:t>
      </w:r>
      <w:r>
        <w:rPr>
          <w:rFonts w:ascii="Arial"/>
          <w:color w:val="231F1F"/>
          <w:w w:val="355"/>
          <w:position w:val="1"/>
          <w:sz w:val="7"/>
        </w:rPr>
        <w:t>l </w:t>
      </w:r>
      <w:r>
        <w:rPr>
          <w:rFonts w:ascii="Calibri"/>
          <w:color w:val="008356"/>
          <w:w w:val="110"/>
          <w:sz w:val="11"/>
        </w:rPr>
        <w:t>ANTI-ARRHYTHMICS</w:t>
      </w:r>
      <w:r>
        <w:rPr>
          <w:color w:val="231F1F"/>
          <w:w w:val="110"/>
        </w:rPr>
        <w:t>; plasma concentration of flecainide increased by </w:t>
      </w:r>
      <w:r>
        <w:rPr>
          <w:rFonts w:ascii="Arial"/>
          <w:color w:val="231F1F"/>
          <w:w w:val="355"/>
          <w:position w:val="1"/>
          <w:sz w:val="7"/>
        </w:rPr>
        <w:t>l </w:t>
      </w:r>
      <w:r>
        <w:rPr>
          <w:rFonts w:ascii="Calibri"/>
          <w:color w:val="008356"/>
          <w:w w:val="110"/>
          <w:sz w:val="11"/>
        </w:rPr>
        <w:t>AMIODARONE </w:t>
      </w:r>
      <w:r>
        <w:rPr>
          <w:color w:val="231F1F"/>
          <w:w w:val="110"/>
        </w:rPr>
        <w:t>(halve dose of flecainide)</w:t>
      </w:r>
    </w:p>
    <w:p>
      <w:pPr>
        <w:pStyle w:val="BodyText"/>
        <w:ind w:left="286" w:right="31"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plasma concentration of flecainide increased by </w:t>
      </w:r>
      <w:r>
        <w:rPr>
          <w:rFonts w:ascii="Calibri"/>
          <w:color w:val="008356"/>
          <w:spacing w:val="4"/>
          <w:w w:val="110"/>
          <w:sz w:val="11"/>
        </w:rPr>
        <w:t>FLUOXETINE</w:t>
      </w:r>
      <w:r>
        <w:rPr>
          <w:color w:val="231F1F"/>
          <w:spacing w:val="4"/>
          <w:w w:val="110"/>
        </w:rPr>
        <w:t>; </w:t>
      </w:r>
      <w:r>
        <w:rPr>
          <w:color w:val="231F1F"/>
          <w:w w:val="110"/>
        </w:rPr>
        <w:t>increased risk of ventricular arrhythmias when flecainide given with </w:t>
      </w:r>
      <w:r>
        <w:rPr>
          <w:rFonts w:ascii="Arial"/>
          <w:color w:val="231F1F"/>
          <w:w w:val="355"/>
          <w:position w:val="1"/>
          <w:sz w:val="7"/>
        </w:rPr>
        <w:t>l </w:t>
      </w:r>
      <w:r>
        <w:rPr>
          <w:rFonts w:ascii="Calibri"/>
          <w:color w:val="008356"/>
          <w:spacing w:val="4"/>
          <w:w w:val="110"/>
          <w:sz w:val="11"/>
        </w:rPr>
        <w:t>TRICYCLICS</w:t>
      </w:r>
    </w:p>
    <w:p>
      <w:pPr>
        <w:pStyle w:val="BodyText"/>
        <w:spacing w:line="237" w:lineRule="auto"/>
        <w:ind w:left="286" w:right="1"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Antihistamines:</w:t>
      </w:r>
      <w:r>
        <w:rPr>
          <w:rFonts w:ascii="Calibri" w:hAnsi="Calibri"/>
          <w:color w:val="231F1F"/>
          <w:spacing w:val="-15"/>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spacing w:val="-4"/>
          <w:w w:val="115"/>
        </w:rPr>
        <w:t>when </w:t>
      </w:r>
      <w:r>
        <w:rPr>
          <w:color w:val="231F1F"/>
          <w:w w:val="115"/>
        </w:rPr>
        <w:t>flecainide</w:t>
      </w:r>
      <w:r>
        <w:rPr>
          <w:color w:val="231F1F"/>
          <w:spacing w:val="-21"/>
          <w:w w:val="115"/>
        </w:rPr>
        <w:t> </w:t>
      </w:r>
      <w:r>
        <w:rPr>
          <w:color w:val="231F1F"/>
          <w:w w:val="115"/>
        </w:rPr>
        <w:t>given</w:t>
      </w:r>
      <w:r>
        <w:rPr>
          <w:color w:val="231F1F"/>
          <w:spacing w:val="-21"/>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MIZOLASTINE</w:t>
      </w:r>
      <w:r>
        <w:rPr>
          <w:rFonts w:ascii="Arial" w:hAnsi="Arial"/>
          <w:color w:val="231F1F"/>
          <w:spacing w:val="3"/>
          <w:w w:val="115"/>
        </w:rPr>
        <w:t>—</w:t>
      </w:r>
      <w:r>
        <w:rPr>
          <w:color w:val="231F1F"/>
          <w:spacing w:val="3"/>
          <w:w w:val="115"/>
        </w:rPr>
        <w:t>avoid</w:t>
      </w:r>
      <w:r>
        <w:rPr>
          <w:color w:val="231F1F"/>
          <w:spacing w:val="-21"/>
          <w:w w:val="115"/>
        </w:rPr>
        <w:t> </w:t>
      </w:r>
      <w:r>
        <w:rPr>
          <w:color w:val="231F1F"/>
          <w:w w:val="115"/>
        </w:rPr>
        <w:t>concomitant</w:t>
      </w:r>
      <w:r>
        <w:rPr>
          <w:color w:val="231F1F"/>
          <w:spacing w:val="-21"/>
          <w:w w:val="115"/>
        </w:rPr>
        <w:t> </w:t>
      </w:r>
      <w:r>
        <w:rPr>
          <w:color w:val="231F1F"/>
          <w:w w:val="115"/>
        </w:rPr>
        <w:t>use</w:t>
      </w:r>
    </w:p>
    <w:p>
      <w:pPr>
        <w:spacing w:line="242" w:lineRule="auto"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flecainide advised by </w:t>
      </w:r>
      <w:r>
        <w:rPr>
          <w:color w:val="231F1F"/>
          <w:spacing w:val="-2"/>
          <w:w w:val="110"/>
          <w:sz w:val="12"/>
        </w:rPr>
        <w:t>manufacturer </w:t>
      </w:r>
      <w:r>
        <w:rPr>
          <w:color w:val="231F1F"/>
          <w:w w:val="110"/>
          <w:sz w:val="12"/>
        </w:rPr>
        <w:t>of </w:t>
      </w:r>
      <w:r>
        <w:rPr>
          <w:rFonts w:ascii="Arial"/>
          <w:color w:val="231F1F"/>
          <w:w w:val="355"/>
          <w:position w:val="1"/>
          <w:sz w:val="7"/>
        </w:rPr>
        <w:t>l </w:t>
      </w:r>
      <w:r>
        <w:rPr>
          <w:rFonts w:ascii="Calibri"/>
          <w:color w:val="008356"/>
          <w:spacing w:val="4"/>
          <w:w w:val="110"/>
          <w:sz w:val="11"/>
        </w:rPr>
        <w:t>ARTEMETHER </w:t>
      </w:r>
      <w:r>
        <w:rPr>
          <w:rFonts w:ascii="Calibri"/>
          <w:color w:val="008356"/>
          <w:spacing w:val="3"/>
          <w:w w:val="110"/>
          <w:sz w:val="11"/>
        </w:rPr>
        <w:t>WITH </w:t>
      </w:r>
      <w:r>
        <w:rPr>
          <w:rFonts w:ascii="Calibri"/>
          <w:color w:val="008356"/>
          <w:spacing w:val="4"/>
          <w:w w:val="110"/>
          <w:sz w:val="11"/>
        </w:rPr>
        <w:t>LUMEFANTRINE </w:t>
      </w:r>
      <w:r>
        <w:rPr>
          <w:color w:val="231F1F"/>
          <w:w w:val="110"/>
          <w:sz w:val="12"/>
        </w:rPr>
        <w:t>(risk of ventricular arrhythmias); plasma concentration  of  flecainide  increased by </w:t>
      </w:r>
      <w:r>
        <w:rPr>
          <w:rFonts w:ascii="Arial"/>
          <w:color w:val="231F1F"/>
          <w:w w:val="355"/>
          <w:position w:val="1"/>
          <w:sz w:val="7"/>
        </w:rPr>
        <w:t>l</w:t>
      </w:r>
      <w:r>
        <w:rPr>
          <w:rFonts w:ascii="Arial"/>
          <w:color w:val="231F1F"/>
          <w:spacing w:val="-43"/>
          <w:w w:val="355"/>
          <w:position w:val="1"/>
          <w:sz w:val="7"/>
        </w:rPr>
        <w:t> </w:t>
      </w:r>
      <w:r>
        <w:rPr>
          <w:rFonts w:ascii="Calibri"/>
          <w:color w:val="008356"/>
          <w:spacing w:val="5"/>
          <w:w w:val="110"/>
          <w:sz w:val="11"/>
        </w:rPr>
        <w:t>QUININE</w:t>
      </w:r>
    </w:p>
    <w:p>
      <w:pPr>
        <w:pStyle w:val="BodyText"/>
        <w:ind w:left="286" w:right="17" w:hanging="100"/>
        <w:rPr>
          <w:rFonts w:ascii="Calibri"/>
          <w:sz w:val="11"/>
        </w:rPr>
      </w:pPr>
      <w:r>
        <w:rPr>
          <w:rFonts w:ascii="Arial"/>
          <w:color w:val="231F1F"/>
          <w:w w:val="355"/>
          <w:position w:val="1"/>
          <w:sz w:val="7"/>
        </w:rPr>
        <w:t>l </w:t>
      </w:r>
      <w:r>
        <w:rPr>
          <w:rFonts w:ascii="Calibri"/>
          <w:color w:val="231F1F"/>
          <w:w w:val="110"/>
        </w:rPr>
        <w:t>Antimuscarinics: </w:t>
      </w:r>
      <w:r>
        <w:rPr>
          <w:color w:val="231F1F"/>
          <w:w w:val="110"/>
        </w:rPr>
        <w:t>increased risk of ventricular arrhythmias when flecainide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TOLTERODINE</w:t>
      </w:r>
    </w:p>
    <w:p>
      <w:pPr>
        <w:pStyle w:val="BodyText"/>
        <w:ind w:left="286" w:right="34"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9"/>
          <w:w w:val="115"/>
        </w:rPr>
        <w:t> </w:t>
      </w:r>
      <w:r>
        <w:rPr>
          <w:color w:val="231F1F"/>
          <w:w w:val="115"/>
        </w:rPr>
        <w:t>arrhythmias</w:t>
      </w:r>
      <w:r>
        <w:rPr>
          <w:color w:val="231F1F"/>
          <w:spacing w:val="-18"/>
          <w:w w:val="115"/>
        </w:rPr>
        <w:t> </w:t>
      </w:r>
      <w:r>
        <w:rPr>
          <w:color w:val="231F1F"/>
          <w:spacing w:val="-4"/>
          <w:w w:val="115"/>
        </w:rPr>
        <w:t>when </w:t>
      </w:r>
      <w:r>
        <w:rPr>
          <w:color w:val="231F1F"/>
          <w:w w:val="115"/>
        </w:rPr>
        <w:t>anti-arrhythmics that prolong the QT interval given</w:t>
      </w:r>
      <w:r>
        <w:rPr>
          <w:color w:val="231F1F"/>
          <w:spacing w:val="-22"/>
          <w:w w:val="115"/>
        </w:rPr>
        <w:t> </w:t>
      </w:r>
      <w:r>
        <w:rPr>
          <w:color w:val="231F1F"/>
          <w:w w:val="115"/>
        </w:rPr>
        <w:t>with</w:t>
      </w:r>
    </w:p>
    <w:p>
      <w:pPr>
        <w:spacing w:line="244" w:lineRule="auto" w:before="0"/>
        <w:ind w:left="286" w:right="-2" w:hanging="1"/>
        <w:jc w:val="left"/>
        <w:rPr>
          <w:rFonts w:ascii="Calibri"/>
          <w:sz w:val="11"/>
        </w:rPr>
      </w:pPr>
      <w:r>
        <w:rPr>
          <w:rFonts w:ascii="Arial"/>
          <w:color w:val="231F1F"/>
          <w:w w:val="355"/>
          <w:position w:val="1"/>
          <w:sz w:val="7"/>
        </w:rPr>
        <w:t>l </w:t>
      </w:r>
      <w:r>
        <w:rPr>
          <w:rFonts w:ascii="Calibri"/>
          <w:color w:val="008356"/>
          <w:spacing w:val="4"/>
          <w:w w:val="110"/>
          <w:sz w:val="11"/>
        </w:rPr>
        <w:t>ANTIPSYCHOTICS </w:t>
      </w:r>
      <w:r>
        <w:rPr>
          <w:color w:val="231F1F"/>
          <w:w w:val="110"/>
          <w:sz w:val="12"/>
        </w:rPr>
        <w:t>that prolong the QT interval; increased risk of arrhythmias when flecainide given with </w:t>
      </w:r>
      <w:r>
        <w:rPr>
          <w:rFonts w:ascii="Arial"/>
          <w:color w:val="231F1F"/>
          <w:w w:val="355"/>
          <w:position w:val="1"/>
          <w:sz w:val="7"/>
        </w:rPr>
        <w:t>l </w:t>
      </w:r>
      <w:r>
        <w:rPr>
          <w:rFonts w:ascii="Calibri"/>
          <w:color w:val="008356"/>
          <w:spacing w:val="4"/>
          <w:w w:val="110"/>
          <w:sz w:val="11"/>
        </w:rPr>
        <w:t>CLOZAPINE</w:t>
      </w:r>
    </w:p>
    <w:p>
      <w:pPr>
        <w:spacing w:line="237" w:lineRule="auto" w:before="0"/>
        <w:ind w:left="286" w:right="110"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flecainide possibly increased</w:t>
      </w:r>
      <w:r>
        <w:rPr>
          <w:color w:val="231F1F"/>
          <w:spacing w:val="-19"/>
          <w:w w:val="110"/>
          <w:sz w:val="12"/>
        </w:rPr>
        <w:t> </w:t>
      </w:r>
      <w:r>
        <w:rPr>
          <w:color w:val="231F1F"/>
          <w:w w:val="110"/>
          <w:sz w:val="12"/>
        </w:rPr>
        <w:t>by</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FOSAMPRENAVIR</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INDINAVIR</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3"/>
          <w:w w:val="110"/>
          <w:sz w:val="11"/>
        </w:rPr>
        <w:t>LOPINAVIR</w:t>
      </w:r>
      <w:r>
        <w:rPr>
          <w:rFonts w:ascii="Calibri"/>
          <w:color w:val="008356"/>
          <w:spacing w:val="-10"/>
          <w:w w:val="110"/>
          <w:sz w:val="11"/>
        </w:rPr>
        <w:t> </w:t>
      </w:r>
      <w:r>
        <w:rPr>
          <w:color w:val="231F1F"/>
          <w:w w:val="110"/>
          <w:sz w:val="12"/>
        </w:rPr>
        <w:t>and</w:t>
      </w:r>
    </w:p>
    <w:p>
      <w:pPr>
        <w:pStyle w:val="BodyText"/>
        <w:spacing w:line="244" w:lineRule="auto"/>
        <w:ind w:left="286" w:right="22"/>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5"/>
          <w:sz w:val="11"/>
        </w:rPr>
        <w:t>RITONAVIR</w:t>
      </w:r>
      <w:r>
        <w:rPr>
          <w:rFonts w:ascii="Calibri" w:hAnsi="Calibri"/>
          <w:color w:val="008356"/>
          <w:spacing w:val="-16"/>
          <w:w w:val="115"/>
          <w:sz w:val="11"/>
        </w:rPr>
        <w:t> </w:t>
      </w:r>
      <w:r>
        <w:rPr>
          <w:color w:val="231F1F"/>
          <w:w w:val="115"/>
        </w:rPr>
        <w:t>(increased</w:t>
      </w:r>
      <w:r>
        <w:rPr>
          <w:color w:val="231F1F"/>
          <w:spacing w:val="-24"/>
          <w:w w:val="115"/>
        </w:rPr>
        <w:t> </w:t>
      </w:r>
      <w:r>
        <w:rPr>
          <w:color w:val="231F1F"/>
          <w:w w:val="115"/>
        </w:rPr>
        <w:t>risk</w:t>
      </w:r>
      <w:r>
        <w:rPr>
          <w:color w:val="231F1F"/>
          <w:spacing w:val="-23"/>
          <w:w w:val="115"/>
        </w:rPr>
        <w:t> </w:t>
      </w:r>
      <w:r>
        <w:rPr>
          <w:color w:val="231F1F"/>
          <w:w w:val="115"/>
        </w:rPr>
        <w:t>of</w:t>
      </w:r>
      <w:r>
        <w:rPr>
          <w:color w:val="231F1F"/>
          <w:spacing w:val="-24"/>
          <w:w w:val="115"/>
        </w:rPr>
        <w:t> </w:t>
      </w:r>
      <w:r>
        <w:rPr>
          <w:color w:val="231F1F"/>
          <w:w w:val="115"/>
        </w:rPr>
        <w:t>ventricular</w:t>
      </w:r>
      <w:r>
        <w:rPr>
          <w:color w:val="231F1F"/>
          <w:spacing w:val="-24"/>
          <w:w w:val="115"/>
        </w:rPr>
        <w:t> </w:t>
      </w:r>
      <w:r>
        <w:rPr>
          <w:color w:val="231F1F"/>
          <w:w w:val="115"/>
        </w:rPr>
        <w:t>arrhythmias</w:t>
      </w:r>
      <w:r>
        <w:rPr>
          <w:rFonts w:ascii="Arial" w:hAnsi="Arial"/>
          <w:color w:val="231F1F"/>
          <w:w w:val="115"/>
        </w:rPr>
        <w:t>—</w:t>
      </w:r>
      <w:r>
        <w:rPr>
          <w:color w:val="231F1F"/>
          <w:w w:val="115"/>
        </w:rPr>
        <w:t>avoid concomitant use); increased risk of ventricular arrhythmias when</w:t>
      </w:r>
      <w:r>
        <w:rPr>
          <w:color w:val="231F1F"/>
          <w:spacing w:val="-25"/>
          <w:w w:val="115"/>
        </w:rPr>
        <w:t> </w:t>
      </w:r>
      <w:r>
        <w:rPr>
          <w:color w:val="231F1F"/>
          <w:w w:val="115"/>
        </w:rPr>
        <w:t>flecainide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45"/>
          <w:position w:val="1"/>
          <w:sz w:val="7"/>
        </w:rPr>
        <w:t>l</w:t>
      </w:r>
      <w:r>
        <w:rPr>
          <w:rFonts w:ascii="Arial" w:hAnsi="Arial"/>
          <w:color w:val="231F1F"/>
          <w:spacing w:val="-38"/>
          <w:w w:val="245"/>
          <w:position w:val="1"/>
          <w:sz w:val="7"/>
        </w:rPr>
        <w:t> </w:t>
      </w:r>
      <w:r>
        <w:rPr>
          <w:rFonts w:ascii="Calibri" w:hAnsi="Calibri"/>
          <w:color w:val="008356"/>
          <w:spacing w:val="2"/>
          <w:w w:val="115"/>
          <w:sz w:val="11"/>
        </w:rPr>
        <w:t>SAQUINAVIR</w:t>
      </w:r>
      <w:r>
        <w:rPr>
          <w:rFonts w:ascii="Arial" w:hAnsi="Arial"/>
          <w:color w:val="231F1F"/>
          <w:spacing w:val="2"/>
          <w:w w:val="115"/>
        </w:rPr>
        <w:t>—</w:t>
      </w:r>
      <w:r>
        <w:rPr>
          <w:color w:val="231F1F"/>
          <w:spacing w:val="2"/>
          <w:w w:val="115"/>
        </w:rPr>
        <w:t>avoid</w:t>
      </w:r>
      <w:r>
        <w:rPr>
          <w:color w:val="231F1F"/>
          <w:spacing w:val="-25"/>
          <w:w w:val="115"/>
        </w:rPr>
        <w:t> </w:t>
      </w:r>
      <w:r>
        <w:rPr>
          <w:color w:val="231F1F"/>
          <w:w w:val="115"/>
        </w:rPr>
        <w:t>concomitant use;</w:t>
      </w:r>
      <w:r>
        <w:rPr>
          <w:color w:val="231F1F"/>
          <w:spacing w:val="-6"/>
          <w:w w:val="115"/>
        </w:rPr>
        <w:t> </w:t>
      </w:r>
      <w:r>
        <w:rPr>
          <w:color w:val="231F1F"/>
          <w:w w:val="115"/>
        </w:rPr>
        <w:t>caution</w:t>
      </w:r>
      <w:r>
        <w:rPr>
          <w:color w:val="231F1F"/>
          <w:spacing w:val="-5"/>
          <w:w w:val="115"/>
        </w:rPr>
        <w:t> </w:t>
      </w:r>
      <w:r>
        <w:rPr>
          <w:color w:val="231F1F"/>
          <w:w w:val="115"/>
        </w:rPr>
        <w:t>with</w:t>
      </w:r>
      <w:r>
        <w:rPr>
          <w:color w:val="231F1F"/>
          <w:spacing w:val="-5"/>
          <w:w w:val="115"/>
        </w:rPr>
        <w:t> </w:t>
      </w:r>
      <w:r>
        <w:rPr>
          <w:color w:val="231F1F"/>
          <w:w w:val="115"/>
        </w:rPr>
        <w:t>flecainide</w:t>
      </w:r>
      <w:r>
        <w:rPr>
          <w:color w:val="231F1F"/>
          <w:spacing w:val="-5"/>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6"/>
          <w:w w:val="115"/>
        </w:rPr>
        <w:t> </w:t>
      </w:r>
      <w:r>
        <w:rPr>
          <w:color w:val="231F1F"/>
          <w:w w:val="115"/>
        </w:rPr>
        <w:t>of</w:t>
      </w:r>
    </w:p>
    <w:p>
      <w:pPr>
        <w:spacing w:line="141" w:lineRule="exact" w:before="0"/>
        <w:ind w:left="286" w:right="0"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5"/>
          <w:sz w:val="11"/>
        </w:rPr>
        <w:t>TELAPREVIR </w:t>
      </w:r>
      <w:r>
        <w:rPr>
          <w:color w:val="231F1F"/>
          <w:w w:val="115"/>
          <w:sz w:val="12"/>
        </w:rPr>
        <w:t>(risk of ventricular arrhythmias)</w:t>
      </w:r>
    </w:p>
    <w:p>
      <w:pPr>
        <w:pStyle w:val="BodyText"/>
        <w:spacing w:line="242" w:lineRule="auto"/>
        <w:ind w:left="286" w:right="217"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Beta-blockers:</w:t>
      </w:r>
      <w:r>
        <w:rPr>
          <w:rFonts w:asci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myocardial</w:t>
      </w:r>
      <w:r>
        <w:rPr>
          <w:color w:val="231F1F"/>
          <w:spacing w:val="-19"/>
          <w:w w:val="115"/>
        </w:rPr>
        <w:t> </w:t>
      </w:r>
      <w:r>
        <w:rPr>
          <w:color w:val="231F1F"/>
          <w:w w:val="115"/>
        </w:rPr>
        <w:t>depression</w:t>
      </w:r>
      <w:r>
        <w:rPr>
          <w:color w:val="231F1F"/>
          <w:spacing w:val="-18"/>
          <w:w w:val="115"/>
        </w:rPr>
        <w:t> </w:t>
      </w:r>
      <w:r>
        <w:rPr>
          <w:color w:val="231F1F"/>
          <w:spacing w:val="-5"/>
          <w:w w:val="115"/>
        </w:rPr>
        <w:t>and </w:t>
      </w:r>
      <w:r>
        <w:rPr>
          <w:color w:val="231F1F"/>
          <w:w w:val="115"/>
        </w:rPr>
        <w:t>bradycardia</w:t>
      </w:r>
      <w:r>
        <w:rPr>
          <w:color w:val="231F1F"/>
          <w:spacing w:val="-22"/>
          <w:w w:val="115"/>
        </w:rPr>
        <w:t> </w:t>
      </w:r>
      <w:r>
        <w:rPr>
          <w:color w:val="231F1F"/>
          <w:w w:val="115"/>
        </w:rPr>
        <w:t>when</w:t>
      </w:r>
      <w:r>
        <w:rPr>
          <w:color w:val="231F1F"/>
          <w:spacing w:val="-22"/>
          <w:w w:val="115"/>
        </w:rPr>
        <w:t> </w:t>
      </w:r>
      <w:r>
        <w:rPr>
          <w:color w:val="231F1F"/>
          <w:w w:val="115"/>
        </w:rPr>
        <w:t>flecainide</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BETA-BLOCKERS</w:t>
      </w:r>
      <w:r>
        <w:rPr>
          <w:color w:val="231F1F"/>
          <w:spacing w:val="4"/>
          <w:w w:val="115"/>
        </w:rPr>
        <w:t>; </w:t>
      </w:r>
      <w:r>
        <w:rPr>
          <w:color w:val="231F1F"/>
          <w:w w:val="115"/>
        </w:rPr>
        <w:t>increased myocardial depression when anti-arrhythmics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BETA-BLOCKERS</w:t>
      </w:r>
    </w:p>
    <w:p>
      <w:pPr>
        <w:pStyle w:val="BodyText"/>
        <w:spacing w:line="249" w:lineRule="auto"/>
        <w:ind w:left="286" w:right="490" w:hanging="100"/>
        <w:rPr>
          <w:rFonts w:ascii="Calibri"/>
          <w:sz w:val="11"/>
        </w:rPr>
      </w:pPr>
      <w:r>
        <w:rPr>
          <w:rFonts w:ascii="Arial"/>
          <w:color w:val="231F1F"/>
          <w:w w:val="355"/>
          <w:position w:val="1"/>
          <w:sz w:val="7"/>
        </w:rPr>
        <w:t>l</w:t>
      </w:r>
      <w:r>
        <w:rPr>
          <w:rFonts w:ascii="Arial"/>
          <w:color w:val="231F1F"/>
          <w:spacing w:val="-45"/>
          <w:w w:val="355"/>
          <w:position w:val="1"/>
          <w:sz w:val="7"/>
        </w:rPr>
        <w:t> </w:t>
      </w:r>
      <w:r>
        <w:rPr>
          <w:rFonts w:ascii="Calibri"/>
          <w:color w:val="231F1F"/>
          <w:w w:val="110"/>
        </w:rPr>
        <w:t>Calcium-channel</w:t>
      </w:r>
      <w:r>
        <w:rPr>
          <w:rFonts w:ascii="Calibri"/>
          <w:color w:val="231F1F"/>
          <w:spacing w:val="-11"/>
          <w:w w:val="110"/>
        </w:rPr>
        <w:t> </w:t>
      </w:r>
      <w:r>
        <w:rPr>
          <w:rFonts w:ascii="Calibri"/>
          <w:color w:val="231F1F"/>
          <w:w w:val="110"/>
        </w:rPr>
        <w:t>Blockers:</w:t>
      </w:r>
      <w:r>
        <w:rPr>
          <w:rFonts w:ascii="Calibri"/>
          <w:color w:val="231F1F"/>
          <w:spacing w:val="-10"/>
          <w:w w:val="110"/>
        </w:rPr>
        <w:t> </w:t>
      </w:r>
      <w:r>
        <w:rPr>
          <w:color w:val="231F1F"/>
          <w:w w:val="110"/>
        </w:rPr>
        <w:t>increased</w:t>
      </w:r>
      <w:r>
        <w:rPr>
          <w:color w:val="231F1F"/>
          <w:spacing w:val="-14"/>
          <w:w w:val="110"/>
        </w:rPr>
        <w:t> </w:t>
      </w:r>
      <w:r>
        <w:rPr>
          <w:color w:val="231F1F"/>
          <w:w w:val="110"/>
        </w:rPr>
        <w:t>risk</w:t>
      </w:r>
      <w:r>
        <w:rPr>
          <w:color w:val="231F1F"/>
          <w:spacing w:val="-14"/>
          <w:w w:val="110"/>
        </w:rPr>
        <w:t> </w:t>
      </w:r>
      <w:r>
        <w:rPr>
          <w:color w:val="231F1F"/>
          <w:w w:val="110"/>
        </w:rPr>
        <w:t>of</w:t>
      </w:r>
      <w:r>
        <w:rPr>
          <w:color w:val="231F1F"/>
          <w:spacing w:val="-14"/>
          <w:w w:val="110"/>
        </w:rPr>
        <w:t> </w:t>
      </w:r>
      <w:r>
        <w:rPr>
          <w:color w:val="231F1F"/>
          <w:w w:val="110"/>
        </w:rPr>
        <w:t>myocardial depression and asystole when flecainide given 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VERAPAMIL</w:t>
      </w:r>
    </w:p>
    <w:p>
      <w:pPr>
        <w:pStyle w:val="BodyText"/>
        <w:spacing w:line="139" w:lineRule="exact"/>
        <w:ind w:left="186"/>
      </w:pPr>
      <w:r>
        <w:rPr>
          <w:rFonts w:ascii="Arial"/>
          <w:color w:val="231F1F"/>
          <w:w w:val="355"/>
          <w:position w:val="1"/>
          <w:sz w:val="7"/>
        </w:rPr>
        <w:t>l </w:t>
      </w:r>
      <w:r>
        <w:rPr>
          <w:rFonts w:ascii="Calibri"/>
          <w:color w:val="231F1F"/>
          <w:w w:val="115"/>
        </w:rPr>
        <w:t>Diuretics: </w:t>
      </w:r>
      <w:r>
        <w:rPr>
          <w:color w:val="231F1F"/>
          <w:w w:val="115"/>
        </w:rPr>
        <w:t>increased cardiac toxicity with flecainide if</w:t>
      </w:r>
    </w:p>
    <w:p>
      <w:pPr>
        <w:spacing w:line="141" w:lineRule="exact" w:before="0"/>
        <w:ind w:left="286" w:right="0" w:firstLine="0"/>
        <w:jc w:val="left"/>
        <w:rPr>
          <w:rFonts w:ascii="Calibri"/>
          <w:sz w:val="11"/>
        </w:rPr>
      </w:pPr>
      <w:r>
        <w:rPr>
          <w:color w:val="231F1F"/>
          <w:w w:val="110"/>
          <w:sz w:val="12"/>
        </w:rPr>
        <w:t>hypokalaemia</w:t>
      </w:r>
      <w:r>
        <w:rPr>
          <w:color w:val="231F1F"/>
          <w:spacing w:val="-18"/>
          <w:w w:val="110"/>
          <w:sz w:val="12"/>
        </w:rPr>
        <w:t> </w:t>
      </w:r>
      <w:r>
        <w:rPr>
          <w:color w:val="231F1F"/>
          <w:w w:val="110"/>
          <w:sz w:val="12"/>
        </w:rPr>
        <w:t>occurs</w:t>
      </w:r>
      <w:r>
        <w:rPr>
          <w:color w:val="231F1F"/>
          <w:spacing w:val="-17"/>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ACETAZOLAMIDE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LOOP</w:t>
      </w:r>
      <w:r>
        <w:rPr>
          <w:rFonts w:ascii="Calibri"/>
          <w:color w:val="008356"/>
          <w:spacing w:val="-10"/>
          <w:w w:val="110"/>
          <w:sz w:val="11"/>
        </w:rPr>
        <w:t> </w:t>
      </w:r>
      <w:r>
        <w:rPr>
          <w:rFonts w:ascii="Calibri"/>
          <w:color w:val="008356"/>
          <w:spacing w:val="5"/>
          <w:w w:val="110"/>
          <w:sz w:val="11"/>
        </w:rPr>
        <w:t>DIURETICS</w:t>
      </w:r>
    </w:p>
    <w:p>
      <w:pPr>
        <w:spacing w:line="141" w:lineRule="exact" w:before="0"/>
        <w:ind w:left="286" w:right="0" w:firstLine="0"/>
        <w:jc w:val="left"/>
        <w:rPr>
          <w:rFonts w:ascii="Calibri"/>
          <w:sz w:val="11"/>
        </w:rPr>
      </w:pPr>
      <w:r>
        <w:rPr>
          <w:color w:val="231F1F"/>
          <w:w w:val="110"/>
          <w:sz w:val="12"/>
        </w:rPr>
        <w:t>or </w:t>
      </w:r>
      <w:r>
        <w:rPr>
          <w:rFonts w:ascii="Arial"/>
          <w:color w:val="231F1F"/>
          <w:w w:val="355"/>
          <w:position w:val="1"/>
          <w:sz w:val="7"/>
        </w:rPr>
        <w:t>l </w:t>
      </w:r>
      <w:r>
        <w:rPr>
          <w:rFonts w:ascii="Calibri"/>
          <w:color w:val="008356"/>
          <w:spacing w:val="4"/>
          <w:w w:val="110"/>
          <w:sz w:val="11"/>
        </w:rPr>
        <w:t>THIAZIDES </w:t>
      </w:r>
      <w:r>
        <w:rPr>
          <w:rFonts w:ascii="Calibri"/>
          <w:color w:val="008356"/>
          <w:spacing w:val="3"/>
          <w:w w:val="110"/>
          <w:sz w:val="11"/>
        </w:rPr>
        <w:t>AND RELATED </w:t>
      </w:r>
      <w:r>
        <w:rPr>
          <w:rFonts w:ascii="Calibri"/>
          <w:color w:val="008356"/>
          <w:spacing w:val="5"/>
          <w:w w:val="110"/>
          <w:sz w:val="11"/>
        </w:rPr>
        <w:t>DIURETICS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flecainide inhibited by</w:t>
      </w:r>
    </w:p>
    <w:p>
      <w:pPr>
        <w:spacing w:line="135" w:lineRule="exact" w:before="0"/>
        <w:ind w:left="286" w:right="0" w:firstLine="0"/>
        <w:jc w:val="left"/>
        <w:rPr>
          <w:sz w:val="12"/>
        </w:rPr>
      </w:pPr>
      <w:r>
        <w:rPr>
          <w:rFonts w:ascii="Calibri"/>
          <w:color w:val="008356"/>
          <w:w w:val="110"/>
          <w:sz w:val="11"/>
        </w:rPr>
        <w:t>CIMETIDINE </w:t>
      </w:r>
      <w:r>
        <w:rPr>
          <w:color w:val="231F1F"/>
          <w:w w:val="110"/>
          <w:sz w:val="12"/>
        </w:rPr>
        <w:t>(increased plasma concentration)</w:t>
      </w:r>
    </w:p>
    <w:p>
      <w:pPr>
        <w:pStyle w:val="BodyText"/>
        <w:spacing w:line="256" w:lineRule="auto" w:before="4"/>
        <w:ind w:left="186" w:right="1294"/>
        <w:rPr>
          <w:rFonts w:ascii="Trebuchet MS"/>
        </w:rPr>
      </w:pPr>
      <w:r>
        <w:rPr>
          <w:rFonts w:ascii="Trebuchet MS"/>
          <w:color w:val="008356"/>
          <w:w w:val="105"/>
        </w:rPr>
        <w:t>Flucloxacillin </w:t>
      </w:r>
      <w:r>
        <w:rPr>
          <w:i/>
          <w:color w:val="231F1F"/>
          <w:w w:val="105"/>
        </w:rPr>
        <w:t>see </w:t>
      </w:r>
      <w:r>
        <w:rPr>
          <w:color w:val="231F1F"/>
          <w:w w:val="105"/>
        </w:rPr>
        <w:t>Penicillins </w:t>
      </w:r>
      <w:r>
        <w:rPr>
          <w:rFonts w:ascii="Trebuchet MS"/>
          <w:color w:val="008356"/>
          <w:w w:val="105"/>
        </w:rPr>
        <w:t>Fluconazole </w:t>
      </w:r>
      <w:r>
        <w:rPr>
          <w:i/>
          <w:color w:val="231F1F"/>
          <w:w w:val="105"/>
        </w:rPr>
        <w:t>see </w:t>
      </w:r>
      <w:r>
        <w:rPr>
          <w:color w:val="231F1F"/>
          <w:w w:val="105"/>
        </w:rPr>
        <w:t>Antifungals, Triazole </w:t>
      </w:r>
      <w:r>
        <w:rPr>
          <w:rFonts w:ascii="Trebuchet MS"/>
          <w:color w:val="008356"/>
          <w:w w:val="105"/>
        </w:rPr>
        <w:t>Flucytosine</w:t>
      </w:r>
    </w:p>
    <w:p>
      <w:pPr>
        <w:pStyle w:val="BodyText"/>
        <w:spacing w:line="230" w:lineRule="auto"/>
        <w:ind w:left="286" w:right="139" w:hanging="100"/>
      </w:pPr>
      <w:r>
        <w:rPr>
          <w:rFonts w:ascii="Lucida Sans Unicode" w:hAnsi="Lucida Sans Unicode"/>
          <w:color w:val="A7A8AC"/>
          <w:w w:val="95"/>
          <w:sz w:val="10"/>
        </w:rPr>
        <w:t>▶ </w:t>
      </w:r>
      <w:r>
        <w:rPr>
          <w:rFonts w:ascii="Calibri" w:hAnsi="Calibri"/>
          <w:color w:val="231F1F"/>
          <w:w w:val="105"/>
        </w:rPr>
        <w:t>Antifungals: </w:t>
      </w:r>
      <w:r>
        <w:rPr>
          <w:color w:val="231F1F"/>
          <w:w w:val="105"/>
        </w:rPr>
        <w:t>renal excretion of flucytosine decreased and cellular uptake increased by </w:t>
      </w:r>
      <w:r>
        <w:rPr>
          <w:rFonts w:ascii="Calibri" w:hAnsi="Calibri"/>
          <w:color w:val="008356"/>
          <w:spacing w:val="4"/>
          <w:w w:val="105"/>
          <w:sz w:val="11"/>
        </w:rPr>
        <w:t>AMPHOTERICIN </w:t>
      </w:r>
      <w:r>
        <w:rPr>
          <w:color w:val="231F1F"/>
          <w:w w:val="105"/>
        </w:rPr>
        <w:t>(toxicity possibly increased)</w:t>
      </w:r>
    </w:p>
    <w:p>
      <w:pPr>
        <w:pStyle w:val="BodyText"/>
        <w:spacing w:line="220" w:lineRule="auto" w:before="8"/>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flucytosine possibly reduced by </w:t>
      </w:r>
      <w:r>
        <w:rPr>
          <w:rFonts w:ascii="Calibri" w:hAnsi="Calibri"/>
          <w:color w:val="008356"/>
          <w:w w:val="105"/>
          <w:sz w:val="11"/>
        </w:rPr>
        <w:t>CYTARABINE</w:t>
      </w:r>
    </w:p>
    <w:p>
      <w:pPr>
        <w:pStyle w:val="BodyText"/>
        <w:spacing w:before="9"/>
        <w:ind w:left="186"/>
        <w:rPr>
          <w:rFonts w:ascii="Trebuchet MS"/>
        </w:rPr>
      </w:pPr>
      <w:r>
        <w:rPr>
          <w:rFonts w:ascii="Trebuchet MS"/>
          <w:color w:val="008356"/>
        </w:rPr>
        <w:t>Fludarabine</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33" w:hanging="100"/>
      </w:pPr>
      <w:r>
        <w:rPr>
          <w:rFonts w:ascii="Arial"/>
          <w:color w:val="231F1F"/>
          <w:w w:val="355"/>
          <w:position w:val="1"/>
          <w:sz w:val="7"/>
        </w:rPr>
        <w:t>l </w:t>
      </w:r>
      <w:r>
        <w:rPr>
          <w:rFonts w:ascii="Calibri"/>
          <w:color w:val="231F1F"/>
          <w:w w:val="115"/>
        </w:rPr>
        <w:t>Cytotoxics: </w:t>
      </w:r>
      <w:r>
        <w:rPr>
          <w:color w:val="231F1F"/>
          <w:w w:val="115"/>
        </w:rPr>
        <w:t>fludarabine increases intracellular </w:t>
      </w:r>
      <w:r>
        <w:rPr>
          <w:color w:val="231F1F"/>
          <w:spacing w:val="-2"/>
          <w:w w:val="115"/>
        </w:rPr>
        <w:t>concentration </w:t>
      </w:r>
      <w:r>
        <w:rPr>
          <w:color w:val="231F1F"/>
          <w:w w:val="115"/>
        </w:rPr>
        <w:t>of </w:t>
      </w:r>
      <w:r>
        <w:rPr>
          <w:rFonts w:ascii="Calibri"/>
          <w:color w:val="008356"/>
          <w:spacing w:val="4"/>
          <w:w w:val="115"/>
          <w:sz w:val="11"/>
        </w:rPr>
        <w:t>CYTARABINE</w:t>
      </w:r>
      <w:r>
        <w:rPr>
          <w:color w:val="231F1F"/>
          <w:spacing w:val="4"/>
          <w:w w:val="115"/>
        </w:rPr>
        <w:t>; </w:t>
      </w:r>
      <w:r>
        <w:rPr>
          <w:color w:val="231F1F"/>
          <w:w w:val="115"/>
        </w:rPr>
        <w:t>increased pulmonary toxicity when</w:t>
      </w:r>
    </w:p>
    <w:p>
      <w:pPr>
        <w:pStyle w:val="BodyText"/>
        <w:spacing w:before="8"/>
        <w:ind w:left="0"/>
        <w:rPr>
          <w:sz w:val="14"/>
        </w:rPr>
      </w:pPr>
      <w:r>
        <w:rPr/>
        <w:br w:type="column"/>
      </w:r>
      <w:r>
        <w:rPr>
          <w:sz w:val="14"/>
        </w:rPr>
      </w:r>
    </w:p>
    <w:p>
      <w:pPr>
        <w:pStyle w:val="BodyText"/>
        <w:ind w:left="184"/>
        <w:rPr>
          <w:rFonts w:ascii="Arial"/>
        </w:rPr>
      </w:pPr>
      <w:r>
        <w:rPr>
          <w:rFonts w:ascii="Arial"/>
          <w:color w:val="008356"/>
        </w:rPr>
        <w:t>Fludarabine</w:t>
      </w:r>
    </w:p>
    <w:p>
      <w:pPr>
        <w:pStyle w:val="BodyText"/>
        <w:spacing w:line="146" w:lineRule="exact" w:before="5"/>
        <w:ind w:left="184"/>
        <w:rPr>
          <w:rFonts w:ascii="Calibri"/>
        </w:rPr>
      </w:pPr>
      <w:r>
        <w:rPr>
          <w:rFonts w:ascii="Arial"/>
          <w:color w:val="231F1F"/>
          <w:w w:val="355"/>
          <w:position w:val="1"/>
          <w:sz w:val="7"/>
        </w:rPr>
        <w:t>l </w:t>
      </w:r>
      <w:r>
        <w:rPr>
          <w:rFonts w:ascii="Calibri"/>
          <w:color w:val="231F1F"/>
          <w:w w:val="110"/>
        </w:rPr>
        <w:t>Cytotoxics (continued)</w:t>
      </w:r>
    </w:p>
    <w:p>
      <w:pPr>
        <w:pStyle w:val="BodyText"/>
        <w:spacing w:line="244" w:lineRule="auto"/>
        <w:ind w:left="283" w:right="850" w:hanging="1"/>
      </w:pPr>
      <w:r>
        <w:rPr>
          <w:color w:val="231F1F"/>
          <w:w w:val="110"/>
        </w:rPr>
        <w:t>fludarabine given with </w:t>
      </w:r>
      <w:r>
        <w:rPr>
          <w:rFonts w:ascii="Arial"/>
          <w:color w:val="231F1F"/>
          <w:w w:val="355"/>
          <w:position w:val="1"/>
          <w:sz w:val="7"/>
        </w:rPr>
        <w:t>l </w:t>
      </w:r>
      <w:r>
        <w:rPr>
          <w:rFonts w:ascii="Calibri"/>
          <w:color w:val="008356"/>
          <w:w w:val="110"/>
          <w:sz w:val="11"/>
        </w:rPr>
        <w:t>PENTOSTATIN </w:t>
      </w:r>
      <w:r>
        <w:rPr>
          <w:color w:val="231F1F"/>
          <w:w w:val="110"/>
        </w:rPr>
        <w:t>(unacceptably high incidence of fatalities)</w:t>
      </w:r>
    </w:p>
    <w:p>
      <w:pPr>
        <w:pStyle w:val="BodyText"/>
        <w:spacing w:line="154" w:lineRule="exact"/>
        <w:ind w:left="184"/>
      </w:pPr>
      <w:r>
        <w:rPr>
          <w:rFonts w:ascii="Lucida Sans Unicode" w:hAnsi="Lucida Sans Unicode"/>
          <w:color w:val="A7A8AC"/>
          <w:w w:val="95"/>
          <w:sz w:val="10"/>
        </w:rPr>
        <w:t>▶ </w:t>
      </w:r>
      <w:r>
        <w:rPr>
          <w:rFonts w:ascii="Calibri" w:hAnsi="Calibri"/>
          <w:color w:val="231F1F"/>
        </w:rPr>
        <w:t>Dipyridamole: </w:t>
      </w:r>
      <w:r>
        <w:rPr>
          <w:color w:val="231F1F"/>
        </w:rPr>
        <w:t>effects of fludarabine possibly reduced by</w:t>
      </w:r>
    </w:p>
    <w:p>
      <w:pPr>
        <w:spacing w:line="131" w:lineRule="exact" w:before="0"/>
        <w:ind w:left="283" w:right="0" w:firstLine="0"/>
        <w:jc w:val="left"/>
        <w:rPr>
          <w:rFonts w:ascii="Calibri"/>
          <w:sz w:val="11"/>
        </w:rPr>
      </w:pPr>
      <w:r>
        <w:rPr>
          <w:rFonts w:ascii="Calibri"/>
          <w:color w:val="008356"/>
          <w:sz w:val="11"/>
        </w:rPr>
        <w:t>DIPYRIDAMOLE</w:t>
      </w:r>
    </w:p>
    <w:p>
      <w:pPr>
        <w:pStyle w:val="BodyText"/>
        <w:spacing w:before="7"/>
        <w:ind w:left="184"/>
      </w:pPr>
      <w:r>
        <w:rPr>
          <w:rFonts w:ascii="Trebuchet MS"/>
          <w:color w:val="008356"/>
          <w:w w:val="105"/>
        </w:rPr>
        <w:t>Fludrocortisone </w:t>
      </w:r>
      <w:r>
        <w:rPr>
          <w:i/>
          <w:color w:val="231F1F"/>
          <w:w w:val="105"/>
        </w:rPr>
        <w:t>see </w:t>
      </w:r>
      <w:r>
        <w:rPr>
          <w:color w:val="231F1F"/>
          <w:w w:val="105"/>
        </w:rPr>
        <w:t>Corticosteroids</w:t>
      </w:r>
    </w:p>
    <w:p>
      <w:pPr>
        <w:pStyle w:val="BodyText"/>
        <w:spacing w:before="10"/>
        <w:ind w:left="184"/>
        <w:rPr>
          <w:rFonts w:ascii="Trebuchet MS"/>
        </w:rPr>
      </w:pPr>
      <w:r>
        <w:rPr>
          <w:rFonts w:ascii="Trebuchet MS"/>
          <w:color w:val="008356"/>
        </w:rPr>
        <w:t>Fluorides</w:t>
      </w:r>
    </w:p>
    <w:p>
      <w:pPr>
        <w:spacing w:line="230" w:lineRule="auto" w:before="5"/>
        <w:ind w:left="283" w:right="75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fluorides reduced by </w:t>
      </w:r>
      <w:r>
        <w:rPr>
          <w:rFonts w:ascii="Calibri" w:hAnsi="Calibri"/>
          <w:color w:val="008356"/>
          <w:w w:val="105"/>
          <w:sz w:val="11"/>
        </w:rPr>
        <w:t>CALCIUM SALTS</w:t>
      </w:r>
    </w:p>
    <w:p>
      <w:pPr>
        <w:pStyle w:val="BodyText"/>
        <w:spacing w:before="9"/>
        <w:ind w:left="184"/>
        <w:rPr>
          <w:rFonts w:ascii="Trebuchet MS"/>
        </w:rPr>
      </w:pPr>
      <w:r>
        <w:rPr>
          <w:rFonts w:ascii="Trebuchet MS"/>
          <w:color w:val="008356"/>
        </w:rPr>
        <w:t>Fluorouracil</w:t>
      </w:r>
    </w:p>
    <w:p>
      <w:pPr>
        <w:pStyle w:val="BodyText"/>
        <w:spacing w:line="152" w:lineRule="exact" w:before="1"/>
        <w:ind w:left="184"/>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fluorouracil inhibited by</w:t>
      </w:r>
    </w:p>
    <w:p>
      <w:pPr>
        <w:spacing w:line="134" w:lineRule="exact" w:before="0"/>
        <w:ind w:left="283" w:right="0" w:firstLine="0"/>
        <w:jc w:val="left"/>
        <w:rPr>
          <w:sz w:val="12"/>
        </w:rPr>
      </w:pPr>
      <w:r>
        <w:rPr>
          <w:rFonts w:ascii="Calibri"/>
          <w:color w:val="008356"/>
          <w:w w:val="105"/>
          <w:sz w:val="11"/>
        </w:rPr>
        <w:t>METRONIDAZOLE </w:t>
      </w:r>
      <w:r>
        <w:rPr>
          <w:color w:val="231F1F"/>
          <w:w w:val="105"/>
          <w:sz w:val="12"/>
        </w:rPr>
        <w:t>(increased toxicity)</w:t>
      </w:r>
    </w:p>
    <w:p>
      <w:pPr>
        <w:pStyle w:val="BodyText"/>
        <w:spacing w:line="145" w:lineRule="exact"/>
        <w:ind w:left="184"/>
      </w:pPr>
      <w:r>
        <w:rPr>
          <w:rFonts w:ascii="Arial"/>
          <w:color w:val="231F1F"/>
          <w:w w:val="355"/>
          <w:position w:val="1"/>
          <w:sz w:val="7"/>
        </w:rPr>
        <w:t>l </w:t>
      </w:r>
      <w:r>
        <w:rPr>
          <w:rFonts w:ascii="Calibri"/>
          <w:color w:val="231F1F"/>
          <w:w w:val="115"/>
        </w:rPr>
        <w:t>Anticoagulants: </w:t>
      </w:r>
      <w:r>
        <w:rPr>
          <w:color w:val="231F1F"/>
          <w:w w:val="115"/>
        </w:rPr>
        <w:t>fluorouracil enhances anticoagulant effect of</w:t>
      </w:r>
    </w:p>
    <w:p>
      <w:pPr>
        <w:spacing w:line="133" w:lineRule="exact" w:before="6"/>
        <w:ind w:left="283"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line="151" w:lineRule="exact"/>
        <w:ind w:left="184"/>
      </w:pPr>
      <w:r>
        <w:rPr>
          <w:rFonts w:ascii="Lucida Sans Unicode" w:hAnsi="Lucida Sans Unicode"/>
          <w:color w:val="A7A8AC"/>
          <w:w w:val="95"/>
          <w:sz w:val="10"/>
        </w:rPr>
        <w:t>▶ </w:t>
      </w:r>
      <w:r>
        <w:rPr>
          <w:rFonts w:ascii="Calibri" w:hAnsi="Calibri"/>
          <w:color w:val="231F1F"/>
        </w:rPr>
        <w:t>Antiepileptics: </w:t>
      </w:r>
      <w:r>
        <w:rPr>
          <w:color w:val="231F1F"/>
        </w:rPr>
        <w:t>fluorouracil possibly inhibits metabolism of</w:t>
      </w:r>
    </w:p>
    <w:p>
      <w:pPr>
        <w:spacing w:line="134" w:lineRule="exact" w:before="0"/>
        <w:ind w:left="283" w:right="0" w:firstLine="0"/>
        <w:jc w:val="left"/>
        <w:rPr>
          <w:sz w:val="12"/>
        </w:rPr>
      </w:pPr>
      <w:r>
        <w:rPr>
          <w:rFonts w:ascii="Calibri"/>
          <w:color w:val="008356"/>
          <w:spacing w:val="4"/>
          <w:w w:val="105"/>
          <w:sz w:val="11"/>
        </w:rPr>
        <w:t>FOSPHENYTOIN  </w:t>
      </w:r>
      <w:r>
        <w:rPr>
          <w:color w:val="231F1F"/>
          <w:w w:val="105"/>
          <w:sz w:val="12"/>
        </w:rPr>
        <w:t>and </w:t>
      </w:r>
      <w:r>
        <w:rPr>
          <w:rFonts w:ascii="Calibri"/>
          <w:color w:val="008356"/>
          <w:spacing w:val="4"/>
          <w:w w:val="105"/>
          <w:sz w:val="11"/>
        </w:rPr>
        <w:t>PHENYTOIN  </w:t>
      </w:r>
      <w:r>
        <w:rPr>
          <w:color w:val="231F1F"/>
          <w:w w:val="105"/>
          <w:sz w:val="12"/>
        </w:rPr>
        <w:t>(increased risk of</w:t>
      </w:r>
      <w:r>
        <w:rPr>
          <w:color w:val="231F1F"/>
          <w:spacing w:val="-20"/>
          <w:w w:val="105"/>
          <w:sz w:val="12"/>
        </w:rPr>
        <w:t> </w:t>
      </w:r>
      <w:r>
        <w:rPr>
          <w:color w:val="231F1F"/>
          <w:w w:val="105"/>
          <w:sz w:val="12"/>
        </w:rPr>
        <w:t>toxicity)</w:t>
      </w:r>
    </w:p>
    <w:p>
      <w:pPr>
        <w:pStyle w:val="BodyText"/>
        <w:spacing w:line="145" w:lineRule="exact"/>
        <w:ind w:left="184"/>
      </w:pPr>
      <w:r>
        <w:rPr>
          <w:rFonts w:ascii="Arial"/>
          <w:color w:val="231F1F"/>
          <w:w w:val="355"/>
          <w:position w:val="1"/>
          <w:sz w:val="7"/>
        </w:rPr>
        <w:t>l</w:t>
      </w:r>
      <w:r>
        <w:rPr>
          <w:rFonts w:ascii="Arial"/>
          <w:color w:val="231F1F"/>
          <w:spacing w:val="-34"/>
          <w:w w:val="355"/>
          <w:position w:val="1"/>
          <w:sz w:val="7"/>
        </w:rPr>
        <w:t> </w:t>
      </w:r>
      <w:r>
        <w:rPr>
          <w:rFonts w:ascii="Calibri"/>
          <w:color w:val="231F1F"/>
          <w:w w:val="110"/>
        </w:rPr>
        <w:t>Antipsychotics: </w:t>
      </w:r>
      <w:r>
        <w:rPr>
          <w:color w:val="231F1F"/>
          <w:w w:val="110"/>
        </w:rPr>
        <w:t>avoid concomitant use of cytotoxics with</w:t>
      </w:r>
    </w:p>
    <w:p>
      <w:pPr>
        <w:spacing w:line="140" w:lineRule="exact" w:before="0"/>
        <w:ind w:left="283"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7"/>
        <w:ind w:left="283" w:right="1223" w:hanging="100"/>
        <w:rPr>
          <w:rFonts w:ascii="Calibri" w:hAnsi="Calibri"/>
          <w:sz w:val="11"/>
        </w:rPr>
      </w:pPr>
      <w:r>
        <w:rPr>
          <w:rFonts w:ascii="Lucida Sans Unicode" w:hAnsi="Lucida Sans Unicode"/>
          <w:color w:val="A7A8AC"/>
          <w:w w:val="95"/>
          <w:sz w:val="10"/>
        </w:rPr>
        <w:t>▶ </w:t>
      </w:r>
      <w:r>
        <w:rPr>
          <w:rFonts w:ascii="Calibri" w:hAnsi="Calibri"/>
          <w:color w:val="231F1F"/>
          <w:w w:val="105"/>
        </w:rPr>
        <w:t>Filgrastim: </w:t>
      </w:r>
      <w:r>
        <w:rPr>
          <w:color w:val="231F1F"/>
          <w:w w:val="105"/>
        </w:rPr>
        <w:t>neutropenia possibly exacerbated when fluorouracil given with </w:t>
      </w:r>
      <w:r>
        <w:rPr>
          <w:rFonts w:ascii="Calibri" w:hAnsi="Calibri"/>
          <w:color w:val="008356"/>
          <w:w w:val="105"/>
          <w:sz w:val="11"/>
        </w:rPr>
        <w:t>FILGRASTIM</w:t>
      </w:r>
    </w:p>
    <w:p>
      <w:pPr>
        <w:spacing w:line="146" w:lineRule="exact" w:before="0"/>
        <w:ind w:left="184" w:right="0" w:firstLine="0"/>
        <w:jc w:val="left"/>
        <w:rPr>
          <w:rFonts w:ascii="Arial" w:hAnsi="Arial"/>
          <w:sz w:val="12"/>
        </w:rPr>
      </w:pPr>
      <w:r>
        <w:rPr>
          <w:rFonts w:ascii="Arial" w:hAnsi="Arial"/>
          <w:color w:val="231F1F"/>
          <w:w w:val="355"/>
          <w:position w:val="1"/>
          <w:sz w:val="7"/>
        </w:rPr>
        <w:t>l </w:t>
      </w:r>
      <w:r>
        <w:rPr>
          <w:rFonts w:ascii="Calibri" w:hAnsi="Calibri"/>
          <w:color w:val="231F1F"/>
          <w:w w:val="115"/>
          <w:sz w:val="12"/>
        </w:rPr>
        <w:t>Folates: </w:t>
      </w:r>
      <w:r>
        <w:rPr>
          <w:color w:val="231F1F"/>
          <w:w w:val="115"/>
          <w:sz w:val="12"/>
        </w:rPr>
        <w:t>toxicity of fluorouracil increased by </w:t>
      </w:r>
      <w:r>
        <w:rPr>
          <w:rFonts w:ascii="Arial" w:hAnsi="Arial"/>
          <w:color w:val="231F1F"/>
          <w:w w:val="355"/>
          <w:position w:val="1"/>
          <w:sz w:val="7"/>
        </w:rPr>
        <w:t>l </w:t>
      </w:r>
      <w:r>
        <w:rPr>
          <w:rFonts w:ascii="Calibri" w:hAnsi="Calibri"/>
          <w:color w:val="008356"/>
          <w:w w:val="115"/>
          <w:sz w:val="11"/>
        </w:rPr>
        <w:t>FOLIC ACID</w:t>
      </w:r>
      <w:r>
        <w:rPr>
          <w:rFonts w:ascii="Arial" w:hAnsi="Arial"/>
          <w:color w:val="231F1F"/>
          <w:w w:val="115"/>
          <w:sz w:val="12"/>
        </w:rPr>
        <w:t>—</w:t>
      </w:r>
    </w:p>
    <w:p>
      <w:pPr>
        <w:pStyle w:val="BodyText"/>
        <w:ind w:left="283"/>
      </w:pPr>
      <w:r>
        <w:rPr>
          <w:color w:val="231F1F"/>
          <w:w w:val="115"/>
        </w:rPr>
        <w:t>avoid concomitant use</w:t>
      </w:r>
    </w:p>
    <w:p>
      <w:pPr>
        <w:pStyle w:val="BodyText"/>
        <w:spacing w:line="220" w:lineRule="auto" w:before="9"/>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Lipegfilgrastim: </w:t>
      </w:r>
      <w:r>
        <w:rPr>
          <w:color w:val="231F1F"/>
          <w:w w:val="105"/>
        </w:rPr>
        <w:t>neutropenia possibly exacerbated when fluorouracil given with </w:t>
      </w:r>
      <w:r>
        <w:rPr>
          <w:rFonts w:ascii="Calibri" w:hAnsi="Calibri"/>
          <w:color w:val="008356"/>
          <w:w w:val="105"/>
          <w:sz w:val="11"/>
        </w:rPr>
        <w:t>LIPEGFILGRASTIM</w:t>
      </w:r>
    </w:p>
    <w:p>
      <w:pPr>
        <w:pStyle w:val="BodyText"/>
        <w:spacing w:line="220" w:lineRule="auto" w:before="9"/>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Pegfilgrastim: </w:t>
      </w:r>
      <w:r>
        <w:rPr>
          <w:color w:val="231F1F"/>
          <w:w w:val="105"/>
        </w:rPr>
        <w:t>neutropenia possibly exacerbated when fluorouracil given with </w:t>
      </w:r>
      <w:r>
        <w:rPr>
          <w:rFonts w:ascii="Calibri" w:hAnsi="Calibri"/>
          <w:color w:val="008356"/>
          <w:w w:val="105"/>
          <w:sz w:val="11"/>
        </w:rPr>
        <w:t>PEGFILGRASTIM</w:t>
      </w:r>
    </w:p>
    <w:p>
      <w:pPr>
        <w:pStyle w:val="BodyText"/>
        <w:spacing w:line="145" w:lineRule="exact"/>
        <w:ind w:left="184"/>
        <w:rPr>
          <w:i/>
        </w:rPr>
      </w:pPr>
      <w:r>
        <w:rPr>
          <w:rFonts w:ascii="Arial"/>
          <w:color w:val="231F1F"/>
          <w:w w:val="355"/>
          <w:position w:val="1"/>
          <w:sz w:val="7"/>
        </w:rPr>
        <w:t>l </w:t>
      </w:r>
      <w:r>
        <w:rPr>
          <w:rFonts w:ascii="Calibri"/>
          <w:color w:val="231F1F"/>
          <w:w w:val="120"/>
        </w:rPr>
        <w:t>Temoporfin: </w:t>
      </w:r>
      <w:r>
        <w:rPr>
          <w:color w:val="231F1F"/>
          <w:w w:val="120"/>
        </w:rPr>
        <w:t>increased skin photosensitivity when </w:t>
      </w:r>
      <w:r>
        <w:rPr>
          <w:i/>
          <w:color w:val="231F1F"/>
          <w:w w:val="120"/>
        </w:rPr>
        <w:t>topical</w:t>
      </w:r>
    </w:p>
    <w:p>
      <w:pPr>
        <w:spacing w:line="140" w:lineRule="exact" w:before="0"/>
        <w:ind w:left="283" w:right="0" w:firstLine="0"/>
        <w:jc w:val="left"/>
        <w:rPr>
          <w:rFonts w:ascii="Calibri"/>
          <w:sz w:val="11"/>
        </w:rPr>
      </w:pPr>
      <w:r>
        <w:rPr>
          <w:color w:val="231F1F"/>
          <w:w w:val="110"/>
          <w:sz w:val="12"/>
        </w:rPr>
        <w:t>fluorouracil used with </w:t>
      </w:r>
      <w:r>
        <w:rPr>
          <w:rFonts w:ascii="Arial"/>
          <w:color w:val="231F1F"/>
          <w:w w:val="355"/>
          <w:position w:val="1"/>
          <w:sz w:val="7"/>
        </w:rPr>
        <w:t>l </w:t>
      </w:r>
      <w:r>
        <w:rPr>
          <w:rFonts w:ascii="Calibri"/>
          <w:color w:val="008356"/>
          <w:spacing w:val="4"/>
          <w:w w:val="110"/>
          <w:sz w:val="11"/>
        </w:rPr>
        <w:t>TEMOPORFIN</w:t>
      </w:r>
    </w:p>
    <w:p>
      <w:pPr>
        <w:pStyle w:val="BodyText"/>
        <w:spacing w:line="151" w:lineRule="exact"/>
        <w:ind w:left="184"/>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fluorouracil inhibited by</w:t>
      </w:r>
    </w:p>
    <w:p>
      <w:pPr>
        <w:pStyle w:val="BodyText"/>
        <w:spacing w:line="254" w:lineRule="auto"/>
        <w:ind w:left="184" w:right="1479" w:firstLine="99"/>
      </w:pPr>
      <w:r>
        <w:rPr>
          <w:rFonts w:ascii="Calibri"/>
          <w:color w:val="008356"/>
          <w:w w:val="110"/>
          <w:sz w:val="11"/>
        </w:rPr>
        <w:t>CIMETIDINE </w:t>
      </w:r>
      <w:r>
        <w:rPr>
          <w:color w:val="231F1F"/>
          <w:w w:val="110"/>
        </w:rPr>
        <w:t>(increased plasma concentration) </w:t>
      </w:r>
      <w:r>
        <w:rPr>
          <w:rFonts w:ascii="Trebuchet MS"/>
          <w:color w:val="008356"/>
          <w:w w:val="110"/>
        </w:rPr>
        <w:t>Fluoxetine </w:t>
      </w:r>
      <w:r>
        <w:rPr>
          <w:i/>
          <w:color w:val="231F1F"/>
          <w:w w:val="110"/>
        </w:rPr>
        <w:t>see </w:t>
      </w:r>
      <w:r>
        <w:rPr>
          <w:color w:val="231F1F"/>
          <w:w w:val="110"/>
        </w:rPr>
        <w:t>Antidepressants, SSRI </w:t>
      </w:r>
      <w:r>
        <w:rPr>
          <w:rFonts w:ascii="Trebuchet MS"/>
          <w:color w:val="008356"/>
          <w:w w:val="110"/>
        </w:rPr>
        <w:t>Flupentixol </w:t>
      </w:r>
      <w:r>
        <w:rPr>
          <w:i/>
          <w:color w:val="231F1F"/>
          <w:w w:val="110"/>
        </w:rPr>
        <w:t>see </w:t>
      </w:r>
      <w:r>
        <w:rPr>
          <w:color w:val="231F1F"/>
          <w:w w:val="110"/>
        </w:rPr>
        <w:t>Antipsychotics</w:t>
      </w:r>
    </w:p>
    <w:p>
      <w:pPr>
        <w:pStyle w:val="BodyText"/>
        <w:spacing w:line="256" w:lineRule="auto"/>
        <w:ind w:left="184" w:right="1561"/>
      </w:pPr>
      <w:r>
        <w:rPr>
          <w:rFonts w:ascii="Trebuchet MS"/>
          <w:color w:val="008356"/>
          <w:w w:val="110"/>
        </w:rPr>
        <w:t>Fluphenazine </w:t>
      </w:r>
      <w:r>
        <w:rPr>
          <w:i/>
          <w:color w:val="231F1F"/>
          <w:w w:val="110"/>
        </w:rPr>
        <w:t>see </w:t>
      </w:r>
      <w:r>
        <w:rPr>
          <w:color w:val="231F1F"/>
          <w:w w:val="110"/>
        </w:rPr>
        <w:t>Antipsychotics </w:t>
      </w:r>
      <w:r>
        <w:rPr>
          <w:rFonts w:ascii="Trebuchet MS"/>
          <w:color w:val="008356"/>
          <w:w w:val="110"/>
        </w:rPr>
        <w:t>Flurazepam </w:t>
      </w:r>
      <w:r>
        <w:rPr>
          <w:i/>
          <w:color w:val="231F1F"/>
          <w:w w:val="110"/>
        </w:rPr>
        <w:t>see </w:t>
      </w:r>
      <w:r>
        <w:rPr>
          <w:color w:val="231F1F"/>
          <w:w w:val="110"/>
        </w:rPr>
        <w:t>Anxiolytics and Hypnotics </w:t>
      </w:r>
      <w:r>
        <w:rPr>
          <w:rFonts w:ascii="Trebuchet MS"/>
          <w:color w:val="008356"/>
          <w:w w:val="110"/>
        </w:rPr>
        <w:t>Flurbiprofen </w:t>
      </w:r>
      <w:r>
        <w:rPr>
          <w:i/>
          <w:color w:val="231F1F"/>
          <w:w w:val="110"/>
        </w:rPr>
        <w:t>see </w:t>
      </w:r>
      <w:r>
        <w:rPr>
          <w:color w:val="231F1F"/>
          <w:w w:val="110"/>
        </w:rPr>
        <w:t>NSAIDs</w:t>
      </w:r>
    </w:p>
    <w:p>
      <w:pPr>
        <w:pStyle w:val="BodyText"/>
        <w:spacing w:line="139" w:lineRule="exact"/>
        <w:ind w:left="184"/>
        <w:rPr>
          <w:rFonts w:ascii="Trebuchet MS"/>
        </w:rPr>
      </w:pPr>
      <w:r>
        <w:rPr>
          <w:rFonts w:ascii="Trebuchet MS"/>
          <w:color w:val="008356"/>
        </w:rPr>
        <w:t>Flutamide</w:t>
      </w:r>
    </w:p>
    <w:p>
      <w:pPr>
        <w:pStyle w:val="BodyText"/>
        <w:ind w:left="184"/>
      </w:pPr>
      <w:r>
        <w:rPr>
          <w:rFonts w:ascii="Arial"/>
          <w:color w:val="231F1F"/>
          <w:w w:val="355"/>
          <w:position w:val="1"/>
          <w:sz w:val="7"/>
        </w:rPr>
        <w:t>l </w:t>
      </w:r>
      <w:r>
        <w:rPr>
          <w:rFonts w:ascii="Calibri"/>
          <w:color w:val="231F1F"/>
          <w:w w:val="115"/>
        </w:rPr>
        <w:t>Anticoagulants: </w:t>
      </w:r>
      <w:r>
        <w:rPr>
          <w:color w:val="231F1F"/>
          <w:w w:val="115"/>
        </w:rPr>
        <w:t>flutamide enhances anticoagulant effect of</w:t>
      </w:r>
    </w:p>
    <w:p>
      <w:pPr>
        <w:spacing w:before="5"/>
        <w:ind w:left="283"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before="8"/>
        <w:ind w:left="184"/>
      </w:pPr>
      <w:r>
        <w:rPr>
          <w:rFonts w:ascii="Trebuchet MS"/>
          <w:color w:val="008356"/>
          <w:w w:val="110"/>
        </w:rPr>
        <w:t>Fluticasone </w:t>
      </w:r>
      <w:r>
        <w:rPr>
          <w:i/>
          <w:color w:val="231F1F"/>
          <w:w w:val="110"/>
        </w:rPr>
        <w:t>see </w:t>
      </w:r>
      <w:r>
        <w:rPr>
          <w:color w:val="231F1F"/>
          <w:w w:val="110"/>
        </w:rPr>
        <w:t>Corticosteroids</w:t>
      </w:r>
    </w:p>
    <w:p>
      <w:pPr>
        <w:pStyle w:val="BodyText"/>
        <w:spacing w:before="9"/>
        <w:ind w:left="184"/>
      </w:pPr>
      <w:r>
        <w:rPr>
          <w:rFonts w:ascii="Trebuchet MS"/>
          <w:color w:val="008356"/>
          <w:w w:val="105"/>
        </w:rPr>
        <w:t>Fluvastatin </w:t>
      </w:r>
      <w:r>
        <w:rPr>
          <w:i/>
          <w:color w:val="231F1F"/>
          <w:w w:val="105"/>
        </w:rPr>
        <w:t>see </w:t>
      </w:r>
      <w:r>
        <w:rPr>
          <w:color w:val="231F1F"/>
          <w:w w:val="105"/>
        </w:rPr>
        <w:t>Statins</w:t>
      </w:r>
    </w:p>
    <w:p>
      <w:pPr>
        <w:pStyle w:val="BodyText"/>
        <w:spacing w:before="10"/>
        <w:ind w:left="183"/>
      </w:pPr>
      <w:r>
        <w:rPr>
          <w:rFonts w:ascii="Trebuchet MS"/>
          <w:color w:val="008356"/>
          <w:w w:val="105"/>
        </w:rPr>
        <w:t>Fluvoxamine </w:t>
      </w:r>
      <w:r>
        <w:rPr>
          <w:i/>
          <w:color w:val="231F1F"/>
          <w:w w:val="105"/>
        </w:rPr>
        <w:t>see </w:t>
      </w:r>
      <w:r>
        <w:rPr>
          <w:color w:val="231F1F"/>
          <w:w w:val="105"/>
        </w:rPr>
        <w:t>Antidepressants, SSRI</w:t>
      </w:r>
    </w:p>
    <w:p>
      <w:pPr>
        <w:pStyle w:val="BodyText"/>
        <w:spacing w:before="10"/>
        <w:ind w:left="183"/>
        <w:rPr>
          <w:rFonts w:ascii="Trebuchet MS"/>
        </w:rPr>
      </w:pPr>
      <w:r>
        <w:rPr>
          <w:rFonts w:ascii="Trebuchet MS"/>
          <w:color w:val="008356"/>
        </w:rPr>
        <w:t>Folates</w:t>
      </w:r>
    </w:p>
    <w:p>
      <w:pPr>
        <w:pStyle w:val="BodyText"/>
        <w:spacing w:line="155" w:lineRule="exact" w:before="1"/>
        <w:ind w:left="184"/>
      </w:pPr>
      <w:r>
        <w:rPr>
          <w:rFonts w:ascii="Lucida Sans Unicode" w:hAnsi="Lucida Sans Unicode"/>
          <w:color w:val="A7A8AC"/>
          <w:w w:val="95"/>
          <w:sz w:val="10"/>
        </w:rPr>
        <w:t>▶ </w:t>
      </w:r>
      <w:r>
        <w:rPr>
          <w:rFonts w:ascii="Calibri" w:hAnsi="Calibri"/>
          <w:color w:val="231F1F"/>
          <w:w w:val="105"/>
        </w:rPr>
        <w:t>Aminosalicylates: </w:t>
      </w:r>
      <w:r>
        <w:rPr>
          <w:color w:val="231F1F"/>
          <w:w w:val="105"/>
        </w:rPr>
        <w:t>absorption of folic acid possibly reduced by</w:t>
      </w:r>
    </w:p>
    <w:p>
      <w:pPr>
        <w:spacing w:line="130" w:lineRule="exact" w:before="0"/>
        <w:ind w:left="283" w:right="0" w:firstLine="0"/>
        <w:jc w:val="left"/>
        <w:rPr>
          <w:rFonts w:ascii="Calibri"/>
          <w:sz w:val="11"/>
        </w:rPr>
      </w:pPr>
      <w:r>
        <w:rPr>
          <w:rFonts w:ascii="Calibri"/>
          <w:color w:val="008356"/>
          <w:sz w:val="11"/>
        </w:rPr>
        <w:t>SULFASALAZINE</w:t>
      </w:r>
    </w:p>
    <w:p>
      <w:pPr>
        <w:pStyle w:val="BodyText"/>
        <w:spacing w:line="151" w:lineRule="exact"/>
        <w:ind w:left="184"/>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folic acid possibly reduced by  </w:t>
      </w:r>
      <w:r>
        <w:rPr>
          <w:rFonts w:ascii="Calibri" w:hAnsi="Calibri"/>
          <w:color w:val="008356"/>
          <w:spacing w:val="3"/>
          <w:w w:val="105"/>
          <w:sz w:val="11"/>
        </w:rPr>
        <w:t>ANTACIDS</w:t>
      </w:r>
    </w:p>
    <w:p>
      <w:pPr>
        <w:pStyle w:val="BodyText"/>
        <w:spacing w:line="132" w:lineRule="exact"/>
        <w:ind w:left="283"/>
      </w:pPr>
      <w:r>
        <w:rPr>
          <w:color w:val="231F1F"/>
          <w:w w:val="115"/>
        </w:rPr>
        <w:t>(manufacturer</w:t>
      </w:r>
      <w:r>
        <w:rPr>
          <w:color w:val="231F1F"/>
          <w:spacing w:val="-8"/>
          <w:w w:val="115"/>
        </w:rPr>
        <w:t> </w:t>
      </w:r>
      <w:r>
        <w:rPr>
          <w:color w:val="231F1F"/>
          <w:w w:val="115"/>
        </w:rPr>
        <w:t>of</w:t>
      </w:r>
      <w:r>
        <w:rPr>
          <w:color w:val="231F1F"/>
          <w:spacing w:val="-7"/>
          <w:w w:val="115"/>
        </w:rPr>
        <w:t> </w:t>
      </w:r>
      <w:r>
        <w:rPr>
          <w:color w:val="231F1F"/>
          <w:w w:val="115"/>
        </w:rPr>
        <w:t>folic</w:t>
      </w:r>
      <w:r>
        <w:rPr>
          <w:color w:val="231F1F"/>
          <w:spacing w:val="-6"/>
          <w:w w:val="115"/>
        </w:rPr>
        <w:t> </w:t>
      </w:r>
      <w:r>
        <w:rPr>
          <w:color w:val="231F1F"/>
          <w:w w:val="115"/>
        </w:rPr>
        <w:t>acid</w:t>
      </w:r>
      <w:r>
        <w:rPr>
          <w:color w:val="231F1F"/>
          <w:spacing w:val="-8"/>
          <w:w w:val="115"/>
        </w:rPr>
        <w:t> </w:t>
      </w:r>
      <w:r>
        <w:rPr>
          <w:color w:val="231F1F"/>
          <w:w w:val="115"/>
        </w:rPr>
        <w:t>advises</w:t>
      </w:r>
      <w:r>
        <w:rPr>
          <w:color w:val="231F1F"/>
          <w:spacing w:val="-7"/>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8"/>
          <w:w w:val="115"/>
        </w:rPr>
        <w:t> </w:t>
      </w:r>
      <w:r>
        <w:rPr>
          <w:color w:val="231F1F"/>
          <w:w w:val="115"/>
        </w:rPr>
        <w:t>2</w:t>
      </w:r>
      <w:r>
        <w:rPr>
          <w:color w:val="231F1F"/>
          <w:spacing w:val="-7"/>
          <w:w w:val="115"/>
        </w:rPr>
        <w:t> </w:t>
      </w:r>
      <w:r>
        <w:rPr>
          <w:color w:val="231F1F"/>
          <w:w w:val="115"/>
        </w:rPr>
        <w:t>hours</w:t>
      </w:r>
      <w:r>
        <w:rPr>
          <w:color w:val="231F1F"/>
          <w:spacing w:val="-7"/>
          <w:w w:val="115"/>
        </w:rPr>
        <w:t> </w:t>
      </w:r>
      <w:r>
        <w:rPr>
          <w:color w:val="231F1F"/>
          <w:w w:val="115"/>
        </w:rPr>
        <w:t>apart)</w:t>
      </w:r>
    </w:p>
    <w:p>
      <w:pPr>
        <w:pStyle w:val="BodyText"/>
        <w:spacing w:line="152" w:lineRule="exact" w:before="1"/>
        <w:ind w:left="184"/>
      </w:pPr>
      <w:r>
        <w:rPr>
          <w:rFonts w:ascii="Lucida Sans Unicode" w:hAnsi="Lucida Sans Unicode"/>
          <w:color w:val="A7A8AC"/>
          <w:w w:val="95"/>
          <w:sz w:val="10"/>
        </w:rPr>
        <w:t>▶</w:t>
      </w:r>
      <w:r>
        <w:rPr>
          <w:rFonts w:ascii="Lucida Sans Unicode" w:hAnsi="Lucida Sans Unicode"/>
          <w:color w:val="A7A8AC"/>
          <w:spacing w:val="10"/>
          <w:w w:val="95"/>
          <w:sz w:val="10"/>
        </w:rPr>
        <w:t> </w:t>
      </w:r>
      <w:r>
        <w:rPr>
          <w:rFonts w:ascii="Calibri" w:hAnsi="Calibri"/>
          <w:color w:val="231F1F"/>
          <w:w w:val="105"/>
        </w:rPr>
        <w:t>Antiepileptics:  </w:t>
      </w:r>
      <w:r>
        <w:rPr>
          <w:color w:val="231F1F"/>
          <w:w w:val="105"/>
        </w:rPr>
        <w:t>folates  possibly  reduce  plasma  concentration of</w:t>
      </w:r>
    </w:p>
    <w:p>
      <w:pPr>
        <w:spacing w:line="135" w:lineRule="exact" w:before="0"/>
        <w:ind w:left="283" w:right="0" w:firstLine="0"/>
        <w:jc w:val="left"/>
        <w:rPr>
          <w:rFonts w:ascii="Calibri"/>
          <w:sz w:val="11"/>
        </w:rPr>
      </w:pPr>
      <w:r>
        <w:rPr>
          <w:rFonts w:ascii="Calibri"/>
          <w:color w:val="008356"/>
          <w:sz w:val="11"/>
        </w:rPr>
        <w:t>FOSPHENYTOIN</w:t>
      </w:r>
      <w:r>
        <w:rPr>
          <w:color w:val="231F1F"/>
          <w:sz w:val="12"/>
        </w:rPr>
        <w:t>, </w:t>
      </w:r>
      <w:r>
        <w:rPr>
          <w:rFonts w:ascii="Calibri"/>
          <w:color w:val="008356"/>
          <w:sz w:val="11"/>
        </w:rPr>
        <w:t>PHENOBARBITAL</w:t>
      </w:r>
      <w:r>
        <w:rPr>
          <w:color w:val="231F1F"/>
          <w:sz w:val="12"/>
        </w:rPr>
        <w:t>, </w:t>
      </w:r>
      <w:r>
        <w:rPr>
          <w:rFonts w:ascii="Calibri"/>
          <w:color w:val="008356"/>
          <w:sz w:val="11"/>
        </w:rPr>
        <w:t>PHENYTOIN </w:t>
      </w:r>
      <w:r>
        <w:rPr>
          <w:color w:val="231F1F"/>
          <w:sz w:val="12"/>
        </w:rPr>
        <w:t>and </w:t>
      </w:r>
      <w:r>
        <w:rPr>
          <w:rFonts w:ascii="Calibri"/>
          <w:color w:val="008356"/>
          <w:sz w:val="11"/>
        </w:rPr>
        <w:t>PRIMIDONE</w:t>
      </w:r>
    </w:p>
    <w:p>
      <w:pPr>
        <w:spacing w:line="240" w:lineRule="auto" w:before="0"/>
        <w:ind w:left="283" w:right="906" w:hanging="100"/>
        <w:jc w:val="both"/>
        <w:rPr>
          <w:sz w:val="12"/>
        </w:rPr>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0"/>
          <w:sz w:val="12"/>
        </w:rPr>
        <w:t>Cytotoxics:</w:t>
      </w:r>
      <w:r>
        <w:rPr>
          <w:rFonts w:ascii="Calibri" w:hAnsi="Calibri"/>
          <w:color w:val="231F1F"/>
          <w:spacing w:val="-7"/>
          <w:w w:val="110"/>
          <w:sz w:val="12"/>
        </w:rPr>
        <w:t> </w:t>
      </w:r>
      <w:r>
        <w:rPr>
          <w:color w:val="231F1F"/>
          <w:w w:val="110"/>
          <w:sz w:val="12"/>
        </w:rPr>
        <w:t>folic</w:t>
      </w:r>
      <w:r>
        <w:rPr>
          <w:color w:val="231F1F"/>
          <w:spacing w:val="-11"/>
          <w:w w:val="110"/>
          <w:sz w:val="12"/>
        </w:rPr>
        <w:t> </w:t>
      </w:r>
      <w:r>
        <w:rPr>
          <w:color w:val="231F1F"/>
          <w:w w:val="110"/>
          <w:sz w:val="12"/>
        </w:rPr>
        <w:t>acid</w:t>
      </w:r>
      <w:r>
        <w:rPr>
          <w:color w:val="231F1F"/>
          <w:spacing w:val="-11"/>
          <w:w w:val="110"/>
          <w:sz w:val="12"/>
        </w:rPr>
        <w:t> </w:t>
      </w:r>
      <w:r>
        <w:rPr>
          <w:color w:val="231F1F"/>
          <w:w w:val="110"/>
          <w:sz w:val="12"/>
        </w:rPr>
        <w:t>increases</w:t>
      </w:r>
      <w:r>
        <w:rPr>
          <w:color w:val="231F1F"/>
          <w:spacing w:val="-12"/>
          <w:w w:val="110"/>
          <w:sz w:val="12"/>
        </w:rPr>
        <w:t> </w:t>
      </w:r>
      <w:r>
        <w:rPr>
          <w:color w:val="231F1F"/>
          <w:w w:val="110"/>
          <w:sz w:val="12"/>
        </w:rPr>
        <w:t>toxicity</w:t>
      </w:r>
      <w:r>
        <w:rPr>
          <w:color w:val="231F1F"/>
          <w:spacing w:val="-12"/>
          <w:w w:val="110"/>
          <w:sz w:val="12"/>
        </w:rPr>
        <w:t> </w:t>
      </w:r>
      <w:r>
        <w:rPr>
          <w:color w:val="231F1F"/>
          <w:w w:val="110"/>
          <w:sz w:val="12"/>
        </w:rPr>
        <w:t>of</w:t>
      </w:r>
      <w:r>
        <w:rPr>
          <w:color w:val="231F1F"/>
          <w:spacing w:val="-11"/>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0"/>
          <w:sz w:val="11"/>
        </w:rPr>
        <w:t>CAPECITABINE</w:t>
      </w:r>
      <w:r>
        <w:rPr>
          <w:color w:val="231F1F"/>
          <w:spacing w:val="4"/>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FLUOROURACIL</w:t>
      </w:r>
      <w:r>
        <w:rPr>
          <w:rFonts w:ascii="Calibri" w:hAnsi="Calibri"/>
          <w:color w:val="008356"/>
          <w:spacing w:val="-2"/>
          <w:w w:val="110"/>
          <w:sz w:val="11"/>
        </w:rPr>
        <w:t> </w:t>
      </w:r>
      <w:r>
        <w:rPr>
          <w:color w:val="231F1F"/>
          <w:w w:val="110"/>
          <w:sz w:val="12"/>
        </w:rPr>
        <w:t>and</w:t>
      </w:r>
      <w:r>
        <w:rPr>
          <w:color w:val="231F1F"/>
          <w:spacing w:val="-12"/>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2"/>
          <w:w w:val="110"/>
          <w:sz w:val="11"/>
        </w:rPr>
        <w:t>TEGAFUR</w:t>
      </w:r>
      <w:r>
        <w:rPr>
          <w:rFonts w:ascii="Arial" w:hAnsi="Arial"/>
          <w:color w:val="231F1F"/>
          <w:spacing w:val="2"/>
          <w:w w:val="110"/>
          <w:sz w:val="12"/>
        </w:rPr>
        <w:t>—</w:t>
      </w:r>
      <w:r>
        <w:rPr>
          <w:color w:val="231F1F"/>
          <w:spacing w:val="2"/>
          <w:w w:val="110"/>
          <w:sz w:val="12"/>
        </w:rPr>
        <w:t>avoid</w:t>
      </w:r>
      <w:r>
        <w:rPr>
          <w:color w:val="231F1F"/>
          <w:spacing w:val="-12"/>
          <w:w w:val="110"/>
          <w:sz w:val="12"/>
        </w:rPr>
        <w:t> </w:t>
      </w:r>
      <w:r>
        <w:rPr>
          <w:color w:val="231F1F"/>
          <w:w w:val="110"/>
          <w:sz w:val="12"/>
        </w:rPr>
        <w:t>concomitant</w:t>
      </w:r>
      <w:r>
        <w:rPr>
          <w:color w:val="231F1F"/>
          <w:spacing w:val="-13"/>
          <w:w w:val="110"/>
          <w:sz w:val="12"/>
        </w:rPr>
        <w:t> </w:t>
      </w:r>
      <w:r>
        <w:rPr>
          <w:color w:val="231F1F"/>
          <w:w w:val="110"/>
          <w:sz w:val="12"/>
        </w:rPr>
        <w:t>use; avoidance of folates advised by manufacturer</w:t>
      </w:r>
      <w:r>
        <w:rPr>
          <w:color w:val="231F1F"/>
          <w:spacing w:val="7"/>
          <w:w w:val="110"/>
          <w:sz w:val="12"/>
        </w:rPr>
        <w:t> </w:t>
      </w:r>
      <w:r>
        <w:rPr>
          <w:color w:val="231F1F"/>
          <w:w w:val="110"/>
          <w:sz w:val="12"/>
        </w:rPr>
        <w:t>of</w:t>
      </w:r>
    </w:p>
    <w:p>
      <w:pPr>
        <w:spacing w:before="11"/>
        <w:ind w:left="283" w:right="0" w:firstLine="0"/>
        <w:jc w:val="left"/>
        <w:rPr>
          <w:rFonts w:ascii="Calibri"/>
          <w:sz w:val="11"/>
        </w:rPr>
      </w:pPr>
      <w:r>
        <w:rPr>
          <w:rFonts w:ascii="Arial"/>
          <w:color w:val="231F1F"/>
          <w:w w:val="355"/>
          <w:position w:val="1"/>
          <w:sz w:val="7"/>
        </w:rPr>
        <w:t>l </w:t>
      </w:r>
      <w:r>
        <w:rPr>
          <w:rFonts w:ascii="Calibri"/>
          <w:color w:val="008356"/>
          <w:w w:val="120"/>
          <w:sz w:val="11"/>
        </w:rPr>
        <w:t>RALTITREXED</w:t>
      </w:r>
    </w:p>
    <w:p>
      <w:pPr>
        <w:pStyle w:val="BodyText"/>
        <w:spacing w:line="256" w:lineRule="auto" w:before="8"/>
        <w:ind w:left="184" w:right="2777"/>
        <w:rPr>
          <w:rFonts w:ascii="Trebuchet MS"/>
        </w:rPr>
      </w:pPr>
      <w:r>
        <w:rPr>
          <w:rFonts w:ascii="Trebuchet MS"/>
          <w:color w:val="008356"/>
          <w:w w:val="105"/>
        </w:rPr>
        <w:t>Folic Acid </w:t>
      </w:r>
      <w:r>
        <w:rPr>
          <w:i/>
          <w:color w:val="231F1F"/>
          <w:w w:val="105"/>
        </w:rPr>
        <w:t>see </w:t>
      </w:r>
      <w:r>
        <w:rPr>
          <w:color w:val="231F1F"/>
          <w:w w:val="105"/>
        </w:rPr>
        <w:t>Folates </w:t>
      </w:r>
      <w:r>
        <w:rPr>
          <w:rFonts w:ascii="Trebuchet MS"/>
          <w:color w:val="008356"/>
          <w:w w:val="105"/>
        </w:rPr>
        <w:t>Folinic Acid </w:t>
      </w:r>
      <w:r>
        <w:rPr>
          <w:i/>
          <w:color w:val="231F1F"/>
          <w:w w:val="105"/>
        </w:rPr>
        <w:t>see </w:t>
      </w:r>
      <w:r>
        <w:rPr>
          <w:color w:val="231F1F"/>
          <w:w w:val="105"/>
        </w:rPr>
        <w:t>Folates </w:t>
      </w:r>
      <w:r>
        <w:rPr>
          <w:rFonts w:ascii="Trebuchet MS"/>
          <w:color w:val="008356"/>
          <w:w w:val="105"/>
        </w:rPr>
        <w:t>Fondaparinux</w:t>
      </w:r>
    </w:p>
    <w:p>
      <w:pPr>
        <w:pStyle w:val="BodyText"/>
        <w:spacing w:line="137" w:lineRule="exact"/>
        <w:ind w:left="184"/>
        <w:jc w:val="both"/>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Analgesics: </w:t>
      </w:r>
      <w:r>
        <w:rPr>
          <w:color w:val="231F1F"/>
          <w:w w:val="115"/>
        </w:rPr>
        <w:t>increased risk of haemorrhage when</w:t>
      </w:r>
    </w:p>
    <w:p>
      <w:pPr>
        <w:pStyle w:val="BodyText"/>
        <w:spacing w:line="247" w:lineRule="auto"/>
        <w:ind w:left="283" w:right="797" w:hanging="1"/>
        <w:jc w:val="both"/>
      </w:pPr>
      <w:r>
        <w:rPr>
          <w:color w:val="231F1F"/>
          <w:w w:val="110"/>
        </w:rPr>
        <w:t>anticoagulants</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6"/>
          <w:w w:val="110"/>
        </w:rPr>
        <w:t> </w:t>
      </w:r>
      <w:r>
        <w:rPr>
          <w:i/>
          <w:color w:val="231F1F"/>
          <w:w w:val="110"/>
        </w:rPr>
        <w:t>intravenous</w:t>
      </w:r>
      <w:r>
        <w:rPr>
          <w:i/>
          <w:color w:val="231F1F"/>
          <w:spacing w:val="-7"/>
          <w:w w:val="110"/>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DICLOFENAC </w:t>
      </w:r>
      <w:r>
        <w:rPr>
          <w:color w:val="231F1F"/>
          <w:w w:val="110"/>
        </w:rPr>
        <w:t>(avoid concomitant use, including low-dose heparins); increased risk of haemorrhage when anticoagulants given</w:t>
      </w:r>
      <w:r>
        <w:rPr>
          <w:color w:val="231F1F"/>
          <w:spacing w:val="24"/>
          <w:w w:val="110"/>
        </w:rPr>
        <w:t> </w:t>
      </w:r>
      <w:r>
        <w:rPr>
          <w:color w:val="231F1F"/>
          <w:w w:val="110"/>
        </w:rPr>
        <w:t>with</w:t>
      </w:r>
    </w:p>
    <w:p>
      <w:pPr>
        <w:pStyle w:val="BodyText"/>
        <w:ind w:left="284" w:right="866" w:hanging="1"/>
        <w:jc w:val="both"/>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spacing w:line="244" w:lineRule="auto" w:before="3"/>
        <w:ind w:left="283" w:right="822"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before="6"/>
        <w:ind w:left="184"/>
      </w:pPr>
      <w:r>
        <w:rPr>
          <w:rFonts w:ascii="Trebuchet MS"/>
          <w:color w:val="008356"/>
          <w:w w:val="110"/>
        </w:rPr>
        <w:t>Formoterol </w:t>
      </w:r>
      <w:r>
        <w:rPr>
          <w:i/>
          <w:color w:val="231F1F"/>
          <w:w w:val="110"/>
        </w:rPr>
        <w:t>see </w:t>
      </w:r>
      <w:r>
        <w:rPr>
          <w:color w:val="231F1F"/>
          <w:w w:val="110"/>
        </w:rPr>
        <w:t>Sympathomimetics, Beta</w:t>
      </w:r>
      <w:r>
        <w:rPr>
          <w:color w:val="231F1F"/>
          <w:w w:val="110"/>
          <w:vertAlign w:val="subscript"/>
        </w:rPr>
        <w:t>2</w:t>
      </w:r>
    </w:p>
    <w:p>
      <w:pPr>
        <w:pStyle w:val="BodyText"/>
        <w:spacing w:before="10"/>
        <w:ind w:left="184"/>
        <w:rPr>
          <w:rFonts w:ascii="Trebuchet MS"/>
        </w:rPr>
      </w:pPr>
      <w:r>
        <w:rPr>
          <w:rFonts w:ascii="Trebuchet MS"/>
          <w:color w:val="008356"/>
          <w:w w:val="105"/>
        </w:rPr>
        <w:t>Fosamprenavir</w:t>
      </w:r>
    </w:p>
    <w:p>
      <w:pPr>
        <w:pStyle w:val="BodyText"/>
        <w:spacing w:line="141" w:lineRule="exact" w:before="4"/>
        <w:ind w:left="283"/>
        <w:jc w:val="both"/>
      </w:pPr>
      <w:r>
        <w:rPr>
          <w:rFonts w:ascii="Calibri"/>
          <w:color w:val="008356"/>
          <w:w w:val="110"/>
          <w:sz w:val="11"/>
        </w:rPr>
        <w:t>NOTE </w:t>
      </w:r>
      <w:r>
        <w:rPr>
          <w:color w:val="231F1F"/>
          <w:w w:val="110"/>
        </w:rPr>
        <w:t>Fosamprenavir is a prodrug of amprenavir</w:t>
      </w:r>
    </w:p>
    <w:p>
      <w:pPr>
        <w:pStyle w:val="BodyText"/>
        <w:spacing w:line="154" w:lineRule="exact"/>
        <w:ind w:left="184"/>
      </w:pPr>
      <w:r>
        <w:rPr>
          <w:rFonts w:ascii="Lucida Sans Unicode" w:hAnsi="Lucida Sans Unicode"/>
          <w:color w:val="A7A8AC"/>
          <w:w w:val="95"/>
          <w:sz w:val="10"/>
        </w:rPr>
        <w:t>▶ </w:t>
      </w:r>
      <w:r>
        <w:rPr>
          <w:rFonts w:ascii="Calibri" w:hAnsi="Calibri"/>
          <w:color w:val="231F1F"/>
          <w:w w:val="105"/>
        </w:rPr>
        <w:t>Analgesics: </w:t>
      </w:r>
      <w:r>
        <w:rPr>
          <w:color w:val="231F1F"/>
          <w:w w:val="105"/>
        </w:rPr>
        <w:t>fosamprenavir reduces plasma concentration of</w:t>
      </w:r>
    </w:p>
    <w:p>
      <w:pPr>
        <w:spacing w:line="130" w:lineRule="exact" w:before="0"/>
        <w:ind w:left="283" w:right="0" w:firstLine="0"/>
        <w:jc w:val="left"/>
        <w:rPr>
          <w:rFonts w:ascii="Calibri"/>
          <w:sz w:val="11"/>
        </w:rPr>
      </w:pPr>
      <w:r>
        <w:rPr>
          <w:rFonts w:ascii="Calibri"/>
          <w:color w:val="008356"/>
          <w:sz w:val="11"/>
        </w:rPr>
        <w:t>METHADONE</w:t>
      </w:r>
    </w:p>
    <w:p>
      <w:pPr>
        <w:spacing w:before="0"/>
        <w:ind w:left="283" w:right="827" w:hanging="100"/>
        <w:jc w:val="both"/>
        <w:rPr>
          <w:sz w:val="12"/>
        </w:rPr>
      </w:pPr>
      <w:r>
        <w:rPr>
          <w:rFonts w:ascii="Arial"/>
          <w:color w:val="231F1F"/>
          <w:w w:val="280"/>
          <w:position w:val="1"/>
          <w:sz w:val="7"/>
        </w:rPr>
        <w:t>l</w:t>
      </w:r>
      <w:r>
        <w:rPr>
          <w:rFonts w:ascii="Arial"/>
          <w:color w:val="231F1F"/>
          <w:spacing w:val="-42"/>
          <w:w w:val="280"/>
          <w:position w:val="1"/>
          <w:sz w:val="7"/>
        </w:rPr>
        <w:t> </w:t>
      </w:r>
      <w:r>
        <w:rPr>
          <w:rFonts w:ascii="Calibri"/>
          <w:color w:val="231F1F"/>
          <w:w w:val="115"/>
          <w:sz w:val="12"/>
        </w:rPr>
        <w:t>Anti-arrhythmics:</w:t>
      </w:r>
      <w:r>
        <w:rPr>
          <w:rFonts w:ascii="Calibri"/>
          <w:color w:val="231F1F"/>
          <w:spacing w:val="-20"/>
          <w:w w:val="115"/>
          <w:sz w:val="12"/>
        </w:rPr>
        <w:t> </w:t>
      </w:r>
      <w:r>
        <w:rPr>
          <w:color w:val="231F1F"/>
          <w:w w:val="115"/>
          <w:sz w:val="12"/>
        </w:rPr>
        <w:t>fosamprenavir</w:t>
      </w:r>
      <w:r>
        <w:rPr>
          <w:color w:val="231F1F"/>
          <w:spacing w:val="-25"/>
          <w:w w:val="115"/>
          <w:sz w:val="12"/>
        </w:rPr>
        <w:t> </w:t>
      </w:r>
      <w:r>
        <w:rPr>
          <w:color w:val="231F1F"/>
          <w:w w:val="115"/>
          <w:sz w:val="12"/>
        </w:rPr>
        <w:t>possibly</w:t>
      </w:r>
      <w:r>
        <w:rPr>
          <w:color w:val="231F1F"/>
          <w:spacing w:val="-24"/>
          <w:w w:val="115"/>
          <w:sz w:val="12"/>
        </w:rPr>
        <w:t> </w:t>
      </w:r>
      <w:r>
        <w:rPr>
          <w:color w:val="231F1F"/>
          <w:w w:val="115"/>
          <w:sz w:val="12"/>
        </w:rPr>
        <w:t>increases</w:t>
      </w:r>
      <w:r>
        <w:rPr>
          <w:color w:val="231F1F"/>
          <w:spacing w:val="-24"/>
          <w:w w:val="115"/>
          <w:sz w:val="12"/>
        </w:rPr>
        <w:t> </w:t>
      </w:r>
      <w:r>
        <w:rPr>
          <w:color w:val="231F1F"/>
          <w:spacing w:val="-3"/>
          <w:w w:val="115"/>
          <w:sz w:val="12"/>
        </w:rPr>
        <w:t>plasma </w:t>
      </w:r>
      <w:r>
        <w:rPr>
          <w:color w:val="231F1F"/>
          <w:w w:val="115"/>
          <w:sz w:val="12"/>
        </w:rPr>
        <w:t>concentration</w:t>
      </w:r>
      <w:r>
        <w:rPr>
          <w:color w:val="231F1F"/>
          <w:spacing w:val="-13"/>
          <w:w w:val="115"/>
          <w:sz w:val="12"/>
        </w:rPr>
        <w:t> </w:t>
      </w:r>
      <w:r>
        <w:rPr>
          <w:color w:val="231F1F"/>
          <w:w w:val="115"/>
          <w:sz w:val="12"/>
        </w:rPr>
        <w:t>of</w:t>
      </w:r>
      <w:r>
        <w:rPr>
          <w:color w:val="231F1F"/>
          <w:spacing w:val="-11"/>
          <w:w w:val="115"/>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AMIODARONE</w:t>
      </w:r>
      <w:r>
        <w:rPr>
          <w:color w:val="231F1F"/>
          <w:spacing w:val="4"/>
          <w:w w:val="115"/>
          <w:sz w:val="12"/>
        </w:rPr>
        <w:t>,</w:t>
      </w:r>
      <w:r>
        <w:rPr>
          <w:color w:val="231F1F"/>
          <w:spacing w:val="-11"/>
          <w:w w:val="115"/>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FLECAINIDE</w:t>
      </w:r>
      <w:r>
        <w:rPr>
          <w:rFonts w:ascii="Calibri"/>
          <w:color w:val="008356"/>
          <w:spacing w:val="-1"/>
          <w:w w:val="115"/>
          <w:sz w:val="11"/>
        </w:rPr>
        <w:t> </w:t>
      </w:r>
      <w:r>
        <w:rPr>
          <w:color w:val="231F1F"/>
          <w:w w:val="115"/>
          <w:sz w:val="12"/>
        </w:rPr>
        <w:t>and</w:t>
      </w:r>
    </w:p>
    <w:p>
      <w:pPr>
        <w:spacing w:before="0"/>
        <w:ind w:left="283" w:right="0" w:firstLine="0"/>
        <w:jc w:val="left"/>
        <w:rPr>
          <w:rFonts w:ascii="Arial" w:hAnsi="Arial"/>
          <w:sz w:val="12"/>
        </w:rPr>
      </w:pPr>
      <w:r>
        <w:rPr>
          <w:rFonts w:ascii="Arial" w:hAnsi="Arial"/>
          <w:color w:val="231F1F"/>
          <w:w w:val="355"/>
          <w:position w:val="1"/>
          <w:sz w:val="7"/>
        </w:rPr>
        <w:t>l </w:t>
      </w:r>
      <w:r>
        <w:rPr>
          <w:rFonts w:ascii="Calibri" w:hAnsi="Calibri"/>
          <w:color w:val="008356"/>
          <w:spacing w:val="4"/>
          <w:w w:val="110"/>
          <w:sz w:val="11"/>
        </w:rPr>
        <w:t>PROPAFENONE </w:t>
      </w:r>
      <w:r>
        <w:rPr>
          <w:color w:val="231F1F"/>
          <w:w w:val="110"/>
          <w:sz w:val="12"/>
        </w:rPr>
        <w:t>(increased risk of ventricular arrhythmias</w:t>
      </w:r>
      <w:r>
        <w:rPr>
          <w:rFonts w:ascii="Arial" w:hAnsi="Arial"/>
          <w:color w:val="231F1F"/>
          <w:w w:val="110"/>
          <w:sz w:val="12"/>
        </w:rPr>
        <w:t>—</w:t>
      </w:r>
    </w:p>
    <w:p>
      <w:pPr>
        <w:spacing w:after="0"/>
        <w:jc w:val="left"/>
        <w:rPr>
          <w:rFonts w:ascii="Arial" w:hAnsi="Arial"/>
          <w:sz w:val="12"/>
        </w:rPr>
        <w:sectPr>
          <w:pgSz w:w="8390" w:h="11910"/>
          <w:pgMar w:header="0" w:footer="0" w:top="460" w:bottom="280" w:left="480" w:right="0"/>
          <w:cols w:num="2" w:equalWidth="0">
            <w:col w:w="3639" w:space="40"/>
            <w:col w:w="4231"/>
          </w:cols>
        </w:sectPr>
      </w:pPr>
    </w:p>
    <w:p>
      <w:pPr>
        <w:pStyle w:val="BodyText"/>
        <w:spacing w:before="8"/>
        <w:ind w:left="0"/>
        <w:rPr>
          <w:rFonts w:ascii="Arial"/>
          <w:sz w:val="14"/>
        </w:rPr>
      </w:pPr>
    </w:p>
    <w:p>
      <w:pPr>
        <w:pStyle w:val="BodyText"/>
        <w:ind w:left="108"/>
        <w:rPr>
          <w:rFonts w:ascii="Arial"/>
        </w:rPr>
      </w:pPr>
      <w:r>
        <w:rPr>
          <w:rFonts w:ascii="Arial"/>
          <w:color w:val="008356"/>
        </w:rPr>
        <w:t>Fosamprenavir</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Anti-arrhythmics (continued)</w:t>
      </w:r>
    </w:p>
    <w:p>
      <w:pPr>
        <w:pStyle w:val="BodyText"/>
        <w:spacing w:line="249" w:lineRule="auto"/>
      </w:pPr>
      <w:r>
        <w:rPr>
          <w:color w:val="231F1F"/>
          <w:w w:val="110"/>
        </w:rPr>
        <w:t>avoid concomitant use); fosamprenavir possibly increases plasma concentration of </w:t>
      </w:r>
      <w:r>
        <w:rPr>
          <w:rFonts w:ascii="Arial" w:hAnsi="Arial"/>
          <w:color w:val="231F1F"/>
          <w:w w:val="355"/>
          <w:position w:val="1"/>
          <w:sz w:val="7"/>
        </w:rPr>
        <w:t>l </w:t>
      </w:r>
      <w:r>
        <w:rPr>
          <w:rFonts w:ascii="Calibri" w:hAnsi="Calibri"/>
          <w:color w:val="008356"/>
          <w:spacing w:val="3"/>
          <w:w w:val="110"/>
          <w:sz w:val="11"/>
        </w:rPr>
        <w:t>LIDOCAINE</w:t>
      </w:r>
      <w:r>
        <w:rPr>
          <w:rFonts w:ascii="Arial" w:hAnsi="Arial"/>
          <w:color w:val="231F1F"/>
          <w:spacing w:val="3"/>
          <w:w w:val="110"/>
        </w:rPr>
        <w:t>—</w:t>
      </w:r>
      <w:r>
        <w:rPr>
          <w:color w:val="231F1F"/>
          <w:spacing w:val="3"/>
          <w:w w:val="110"/>
        </w:rPr>
        <w:t>avoid</w:t>
      </w:r>
      <w:r>
        <w:rPr>
          <w:color w:val="231F1F"/>
          <w:spacing w:val="-20"/>
          <w:w w:val="110"/>
        </w:rPr>
        <w:t> </w:t>
      </w:r>
      <w:r>
        <w:rPr>
          <w:color w:val="231F1F"/>
          <w:w w:val="110"/>
        </w:rPr>
        <w:t>concomitant </w:t>
      </w:r>
      <w:r>
        <w:rPr>
          <w:color w:val="231F1F"/>
          <w:spacing w:val="-4"/>
          <w:w w:val="110"/>
        </w:rPr>
        <w:t>use</w:t>
      </w:r>
    </w:p>
    <w:p>
      <w:pPr>
        <w:pStyle w:val="BodyText"/>
        <w:spacing w:line="138"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Antibacterials:</w:t>
      </w:r>
      <w:r>
        <w:rPr>
          <w:rFonts w:ascii="Calibri"/>
          <w:color w:val="231F1F"/>
          <w:spacing w:val="-18"/>
          <w:w w:val="115"/>
        </w:rPr>
        <w:t> </w:t>
      </w:r>
      <w:r>
        <w:rPr>
          <w:color w:val="231F1F"/>
          <w:w w:val="115"/>
        </w:rPr>
        <w:t>fosamprenavir</w:t>
      </w:r>
      <w:r>
        <w:rPr>
          <w:color w:val="231F1F"/>
          <w:spacing w:val="-20"/>
          <w:w w:val="115"/>
        </w:rPr>
        <w:t> </w:t>
      </w:r>
      <w:r>
        <w:rPr>
          <w:color w:val="231F1F"/>
          <w:w w:val="115"/>
        </w:rPr>
        <w:t>increases</w:t>
      </w:r>
      <w:r>
        <w:rPr>
          <w:color w:val="231F1F"/>
          <w:spacing w:val="-22"/>
          <w:w w:val="115"/>
        </w:rPr>
        <w:t> </w:t>
      </w:r>
      <w:r>
        <w:rPr>
          <w:color w:val="231F1F"/>
          <w:w w:val="115"/>
        </w:rPr>
        <w:t>plasma</w:t>
      </w:r>
      <w:r>
        <w:rPr>
          <w:color w:val="231F1F"/>
          <w:spacing w:val="-21"/>
          <w:w w:val="115"/>
        </w:rPr>
        <w:t> </w:t>
      </w:r>
      <w:r>
        <w:rPr>
          <w:color w:val="231F1F"/>
          <w:w w:val="115"/>
        </w:rPr>
        <w:t>concentration</w:t>
      </w:r>
    </w:p>
    <w:p>
      <w:pPr>
        <w:pStyle w:val="BodyText"/>
        <w:spacing w:line="247" w:lineRule="auto"/>
        <w:ind w:right="329"/>
        <w:rPr>
          <w:rFonts w:ascii="Calibri" w:hAnsi="Calibri"/>
          <w:sz w:val="11"/>
        </w:rPr>
      </w:pPr>
      <w:r>
        <w:rPr>
          <w:color w:val="231F1F"/>
          <w:w w:val="110"/>
        </w:rPr>
        <w:t>of </w:t>
      </w:r>
      <w:r>
        <w:rPr>
          <w:rFonts w:ascii="Arial" w:hAnsi="Arial"/>
          <w:color w:val="231F1F"/>
          <w:w w:val="355"/>
          <w:position w:val="1"/>
          <w:sz w:val="7"/>
        </w:rPr>
        <w:t>l </w:t>
      </w:r>
      <w:r>
        <w:rPr>
          <w:rFonts w:ascii="Calibri" w:hAnsi="Calibri"/>
          <w:color w:val="008356"/>
          <w:spacing w:val="4"/>
          <w:w w:val="110"/>
          <w:sz w:val="11"/>
        </w:rPr>
        <w:t>RIFABUTIN </w:t>
      </w:r>
      <w:r>
        <w:rPr>
          <w:color w:val="231F1F"/>
          <w:w w:val="110"/>
        </w:rPr>
        <w:t>(reduce dose of rifabutin); plasma concentration of fosamprenavir significantly  reduced by </w:t>
      </w:r>
      <w:r>
        <w:rPr>
          <w:rFonts w:ascii="Arial" w:hAnsi="Arial"/>
          <w:color w:val="231F1F"/>
          <w:w w:val="355"/>
          <w:position w:val="1"/>
          <w:sz w:val="7"/>
        </w:rPr>
        <w:t>l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avoidance of concomitant fosamprenavir in severe renal and hepatic impairment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TELITHROMYCIN</w:t>
      </w:r>
    </w:p>
    <w:p>
      <w:pPr>
        <w:pStyle w:val="BodyText"/>
        <w:spacing w:line="23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avoidance of fosamprenavir advised by manufacturer of </w:t>
      </w:r>
      <w:r>
        <w:rPr>
          <w:rFonts w:ascii="Calibri" w:hAnsi="Calibri"/>
          <w:color w:val="008356"/>
          <w:w w:val="110"/>
          <w:sz w:val="11"/>
        </w:rPr>
        <w:t>APIXABAN </w:t>
      </w:r>
      <w:r>
        <w:rPr>
          <w:color w:val="231F1F"/>
          <w:w w:val="110"/>
        </w:rPr>
        <w:t>and </w:t>
      </w:r>
      <w:r>
        <w:rPr>
          <w:rFonts w:ascii="Calibri" w:hAnsi="Calibri"/>
          <w:color w:val="008356"/>
          <w:w w:val="110"/>
          <w:sz w:val="11"/>
        </w:rPr>
        <w:t>RIVAROXABAN</w:t>
      </w:r>
      <w:r>
        <w:rPr>
          <w:color w:val="231F1F"/>
          <w:w w:val="110"/>
        </w:rPr>
        <w:t>; fosamprenavir may enhance or reduce anticoagulant effect of </w:t>
      </w:r>
      <w:r>
        <w:rPr>
          <w:rFonts w:ascii="Calibri" w:hAnsi="Calibri"/>
          <w:color w:val="008356"/>
          <w:w w:val="110"/>
          <w:sz w:val="11"/>
        </w:rPr>
        <w:t>COUMARINS</w:t>
      </w:r>
    </w:p>
    <w:p>
      <w:pPr>
        <w:pStyle w:val="BodyText"/>
        <w:ind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fosamprenavir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avoid concomitant use</w:t>
      </w:r>
    </w:p>
    <w:p>
      <w:pPr>
        <w:spacing w:line="220"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fosamprenavir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PHENOBARBITAL </w:t>
      </w:r>
      <w:r>
        <w:rPr>
          <w:color w:val="231F1F"/>
          <w:w w:val="105"/>
          <w:sz w:val="12"/>
        </w:rPr>
        <w:t>and </w:t>
      </w:r>
      <w:r>
        <w:rPr>
          <w:rFonts w:ascii="Calibri" w:hAnsi="Calibri"/>
          <w:color w:val="008356"/>
          <w:w w:val="105"/>
          <w:sz w:val="11"/>
        </w:rPr>
        <w:t>PRIMIDONE</w:t>
      </w:r>
    </w:p>
    <w:p>
      <w:pPr>
        <w:pStyle w:val="BodyText"/>
        <w:spacing w:line="244"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fosamprenavir increases plasma concentration of </w:t>
      </w:r>
      <w:r>
        <w:rPr>
          <w:rFonts w:ascii="Calibri" w:hAnsi="Calibri"/>
          <w:color w:val="008356"/>
          <w:w w:val="110"/>
          <w:sz w:val="11"/>
        </w:rPr>
        <w:t>KETOCONAZOLE </w:t>
      </w:r>
      <w:r>
        <w:rPr>
          <w:color w:val="231F1F"/>
          <w:w w:val="110"/>
        </w:rPr>
        <w:t>(also plasma concentration of fosamprenavir possibly increased); plasma concentration of both drugs may increase when fosamprenavir given with </w:t>
      </w:r>
      <w:r>
        <w:rPr>
          <w:rFonts w:ascii="Calibri" w:hAnsi="Calibri"/>
          <w:color w:val="008356"/>
          <w:w w:val="110"/>
          <w:sz w:val="11"/>
        </w:rPr>
        <w:t>ITRACONAZOLE</w:t>
      </w:r>
      <w:r>
        <w:rPr>
          <w:color w:val="231F1F"/>
          <w:w w:val="110"/>
        </w:rPr>
        <w:t>; fosamprenavir possibly reduces plasma concentration of </w:t>
      </w:r>
      <w:r>
        <w:rPr>
          <w:rFonts w:ascii="Calibri" w:hAnsi="Calibri"/>
          <w:color w:val="008356"/>
          <w:w w:val="110"/>
          <w:sz w:val="11"/>
        </w:rPr>
        <w:t>POSACONAZOLE</w:t>
      </w:r>
    </w:p>
    <w:p>
      <w:pPr>
        <w:pStyle w:val="BodyText"/>
        <w:spacing w:line="137" w:lineRule="exact"/>
        <w:ind w:left="108"/>
      </w:pPr>
      <w:r>
        <w:rPr>
          <w:rFonts w:ascii="Arial"/>
          <w:color w:val="231F1F"/>
          <w:w w:val="355"/>
          <w:position w:val="1"/>
          <w:sz w:val="7"/>
        </w:rPr>
        <w:t>l </w:t>
      </w:r>
      <w:r>
        <w:rPr>
          <w:rFonts w:ascii="Calibri"/>
          <w:color w:val="231F1F"/>
          <w:w w:val="115"/>
        </w:rPr>
        <w:t>Antimalarials: </w:t>
      </w:r>
      <w:r>
        <w:rPr>
          <w:color w:val="231F1F"/>
          <w:w w:val="115"/>
        </w:rPr>
        <w:t>caution with fosamprenavir advised by</w:t>
      </w:r>
    </w:p>
    <w:p>
      <w:pPr>
        <w:spacing w:line="247" w:lineRule="auto" w:before="0"/>
        <w:ind w:left="208" w:right="303" w:firstLine="0"/>
        <w:jc w:val="left"/>
        <w:rPr>
          <w:sz w:val="12"/>
        </w:rPr>
      </w:pPr>
      <w:r>
        <w:rPr>
          <w:color w:val="231F1F"/>
          <w:w w:val="110"/>
          <w:sz w:val="12"/>
        </w:rPr>
        <w:t>manufacturer of </w:t>
      </w:r>
      <w:r>
        <w:rPr>
          <w:rFonts w:ascii="Calibri"/>
          <w:color w:val="008356"/>
          <w:spacing w:val="4"/>
          <w:w w:val="110"/>
          <w:sz w:val="11"/>
        </w:rPr>
        <w:t>ARTEMETHER </w:t>
      </w:r>
      <w:r>
        <w:rPr>
          <w:rFonts w:ascii="Calibri"/>
          <w:color w:val="008356"/>
          <w:spacing w:val="3"/>
          <w:w w:val="110"/>
          <w:sz w:val="11"/>
        </w:rPr>
        <w:t>WITH </w:t>
      </w:r>
      <w:r>
        <w:rPr>
          <w:rFonts w:ascii="Calibri"/>
          <w:color w:val="008356"/>
          <w:spacing w:val="4"/>
          <w:w w:val="110"/>
          <w:sz w:val="11"/>
        </w:rPr>
        <w:t>LUMEFANTRINE</w:t>
      </w:r>
      <w:r>
        <w:rPr>
          <w:color w:val="231F1F"/>
          <w:spacing w:val="4"/>
          <w:w w:val="110"/>
          <w:sz w:val="12"/>
        </w:rPr>
        <w:t>; </w:t>
      </w:r>
      <w:r>
        <w:rPr>
          <w:color w:val="231F1F"/>
          <w:w w:val="110"/>
          <w:sz w:val="12"/>
        </w:rPr>
        <w:t>fosamprenavir possibly increases plasma concentration </w:t>
      </w:r>
      <w:r>
        <w:rPr>
          <w:color w:val="231F1F"/>
          <w:spacing w:val="-8"/>
          <w:w w:val="110"/>
          <w:sz w:val="12"/>
        </w:rPr>
        <w:t>of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QUININE </w:t>
      </w:r>
      <w:r>
        <w:rPr>
          <w:color w:val="231F1F"/>
          <w:w w:val="110"/>
          <w:sz w:val="12"/>
        </w:rPr>
        <w:t>(increased risk of toxicity)</w:t>
      </w:r>
    </w:p>
    <w:p>
      <w:pPr>
        <w:spacing w:line="220"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Antimuscarinics: </w:t>
      </w:r>
      <w:r>
        <w:rPr>
          <w:color w:val="231F1F"/>
          <w:w w:val="105"/>
          <w:sz w:val="12"/>
        </w:rPr>
        <w:t>avoidance of fosamprenavir advised by manufacturer of </w:t>
      </w:r>
      <w:r>
        <w:rPr>
          <w:rFonts w:ascii="Calibri" w:hAnsi="Calibri"/>
          <w:color w:val="008356"/>
          <w:w w:val="105"/>
          <w:sz w:val="11"/>
        </w:rPr>
        <w:t>DARIFENACIN </w:t>
      </w:r>
      <w:r>
        <w:rPr>
          <w:color w:val="231F1F"/>
          <w:w w:val="105"/>
          <w:sz w:val="12"/>
        </w:rPr>
        <w:t>and </w:t>
      </w:r>
      <w:r>
        <w:rPr>
          <w:rFonts w:ascii="Calibri" w:hAnsi="Calibri"/>
          <w:color w:val="008356"/>
          <w:w w:val="105"/>
          <w:sz w:val="11"/>
        </w:rPr>
        <w:t>TOLTERODINE</w:t>
      </w:r>
    </w:p>
    <w:p>
      <w:pPr>
        <w:pStyle w:val="BodyText"/>
        <w:spacing w:line="244" w:lineRule="auto"/>
        <w:ind w:right="34" w:hanging="100"/>
      </w:pPr>
      <w:r>
        <w:rPr>
          <w:rFonts w:ascii="Arial" w:hAnsi="Arial"/>
          <w:color w:val="231F1F"/>
          <w:w w:val="355"/>
          <w:position w:val="1"/>
          <w:sz w:val="7"/>
        </w:rPr>
        <w:t>l </w:t>
      </w:r>
      <w:r>
        <w:rPr>
          <w:rFonts w:ascii="Calibri" w:hAnsi="Calibri"/>
          <w:color w:val="231F1F"/>
          <w:w w:val="115"/>
        </w:rPr>
        <w:t>Antipsychotics: </w:t>
      </w:r>
      <w:r>
        <w:rPr>
          <w:color w:val="231F1F"/>
          <w:w w:val="115"/>
        </w:rPr>
        <w:t>fosamprenavir possibly increases plasma concentration of </w:t>
      </w:r>
      <w:r>
        <w:rPr>
          <w:rFonts w:ascii="Arial" w:hAnsi="Arial"/>
          <w:color w:val="231F1F"/>
          <w:w w:val="355"/>
          <w:position w:val="1"/>
          <w:sz w:val="7"/>
        </w:rPr>
        <w:t>l </w:t>
      </w:r>
      <w:r>
        <w:rPr>
          <w:rFonts w:ascii="Calibri" w:hAnsi="Calibri"/>
          <w:color w:val="008356"/>
          <w:spacing w:val="4"/>
          <w:w w:val="115"/>
          <w:sz w:val="11"/>
        </w:rPr>
        <w:t>ARIPIPRAZOLE </w:t>
      </w:r>
      <w:r>
        <w:rPr>
          <w:color w:val="231F1F"/>
          <w:w w:val="115"/>
        </w:rPr>
        <w:t>(reduce dose of aripiprazole</w:t>
      </w:r>
      <w:r>
        <w:rPr>
          <w:rFonts w:ascii="Arial" w:hAnsi="Arial"/>
          <w:color w:val="231F1F"/>
          <w:w w:val="115"/>
        </w:rPr>
        <w:t>—</w:t>
      </w:r>
      <w:r>
        <w:rPr>
          <w:color w:val="231F1F"/>
          <w:w w:val="115"/>
        </w:rPr>
        <w:t>consult aripiprazole product literature); fosamprenavir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PIMOZIDE </w:t>
      </w:r>
      <w:r>
        <w:rPr>
          <w:color w:val="231F1F"/>
          <w:w w:val="115"/>
        </w:rPr>
        <w:t>(increased risk of ventricular arrhythmias</w:t>
      </w:r>
      <w:r>
        <w:rPr>
          <w:rFonts w:ascii="Arial" w:hAnsi="Arial"/>
          <w:color w:val="231F1F"/>
          <w:w w:val="115"/>
        </w:rPr>
        <w:t>—</w:t>
      </w:r>
      <w:r>
        <w:rPr>
          <w:color w:val="231F1F"/>
          <w:w w:val="115"/>
        </w:rPr>
        <w:t>avoid concomitant use); fosamprenavir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 </w:t>
      </w:r>
      <w:r>
        <w:rPr>
          <w:color w:val="231F1F"/>
          <w:w w:val="115"/>
        </w:rPr>
        <w:t>of quetiapine advises avoid concomitant use</w:t>
      </w:r>
    </w:p>
    <w:p>
      <w:pPr>
        <w:pStyle w:val="BodyText"/>
        <w:ind w:right="406" w:hanging="100"/>
        <w:jc w:val="both"/>
      </w:pPr>
      <w:r>
        <w:rPr>
          <w:rFonts w:ascii="Arial"/>
          <w:color w:val="231F1F"/>
          <w:w w:val="355"/>
          <w:position w:val="1"/>
          <w:sz w:val="7"/>
        </w:rPr>
        <w:t>l </w:t>
      </w:r>
      <w:r>
        <w:rPr>
          <w:rFonts w:ascii="Calibri"/>
          <w:color w:val="231F1F"/>
          <w:w w:val="110"/>
        </w:rPr>
        <w:t>Antivirals: </w:t>
      </w:r>
      <w:r>
        <w:rPr>
          <w:color w:val="231F1F"/>
          <w:w w:val="110"/>
        </w:rPr>
        <w:t>manufacturer of fosamprenavir advises </w:t>
      </w:r>
      <w:r>
        <w:rPr>
          <w:color w:val="231F1F"/>
          <w:spacing w:val="-3"/>
          <w:w w:val="110"/>
        </w:rPr>
        <w:t>avoid </w:t>
      </w:r>
      <w:r>
        <w:rPr>
          <w:color w:val="231F1F"/>
          <w:w w:val="110"/>
        </w:rPr>
        <w:t>concomitant</w:t>
      </w:r>
      <w:r>
        <w:rPr>
          <w:color w:val="231F1F"/>
          <w:spacing w:val="-8"/>
          <w:w w:val="110"/>
        </w:rPr>
        <w:t> </w:t>
      </w:r>
      <w:r>
        <w:rPr>
          <w:color w:val="231F1F"/>
          <w:w w:val="110"/>
        </w:rPr>
        <w:t>use</w:t>
      </w:r>
      <w:r>
        <w:rPr>
          <w:color w:val="231F1F"/>
          <w:spacing w:val="-4"/>
          <w:w w:val="110"/>
        </w:rPr>
        <w:t> </w:t>
      </w:r>
      <w:r>
        <w:rPr>
          <w:color w:val="231F1F"/>
          <w:w w:val="110"/>
        </w:rPr>
        <w:t>with</w:t>
      </w:r>
      <w:r>
        <w:rPr>
          <w:color w:val="231F1F"/>
          <w:spacing w:val="-6"/>
          <w:w w:val="11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BOCEPREVIR</w:t>
      </w:r>
      <w:r>
        <w:rPr>
          <w:rFonts w:ascii="Calibri"/>
          <w:color w:val="008356"/>
          <w:spacing w:val="5"/>
          <w:w w:val="110"/>
          <w:sz w:val="11"/>
        </w:rPr>
        <w:t> </w:t>
      </w:r>
      <w:r>
        <w:rPr>
          <w:color w:val="231F1F"/>
          <w:w w:val="110"/>
        </w:rPr>
        <w:t>and</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10"/>
          <w:sz w:val="11"/>
        </w:rPr>
        <w:t>RALTEGRAVIR</w:t>
      </w:r>
      <w:r>
        <w:rPr>
          <w:color w:val="231F1F"/>
          <w:spacing w:val="3"/>
          <w:w w:val="110"/>
        </w:rPr>
        <w:t>; </w:t>
      </w:r>
      <w:r>
        <w:rPr>
          <w:color w:val="231F1F"/>
          <w:w w:val="110"/>
        </w:rPr>
        <w:t>fosamprenavir reduces plasma concentration</w:t>
      </w:r>
      <w:r>
        <w:rPr>
          <w:color w:val="231F1F"/>
          <w:spacing w:val="11"/>
          <w:w w:val="110"/>
        </w:rPr>
        <w:t> </w:t>
      </w:r>
      <w:r>
        <w:rPr>
          <w:color w:val="231F1F"/>
          <w:w w:val="110"/>
        </w:rPr>
        <w:t>of</w:t>
      </w:r>
    </w:p>
    <w:p>
      <w:pPr>
        <w:pStyle w:val="BodyText"/>
        <w:spacing w:line="244" w:lineRule="auto" w:before="4"/>
        <w:ind w:right="198"/>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DOLUTEGRAVIR</w:t>
      </w:r>
      <w:r>
        <w:rPr>
          <w:color w:val="231F1F"/>
          <w:spacing w:val="4"/>
          <w:w w:val="110"/>
        </w:rPr>
        <w:t>; </w:t>
      </w:r>
      <w:r>
        <w:rPr>
          <w:color w:val="231F1F"/>
          <w:w w:val="110"/>
        </w:rPr>
        <w:t>plasma concentration of fosamprenavir increased by </w:t>
      </w:r>
      <w:r>
        <w:rPr>
          <w:rFonts w:ascii="Arial" w:hAnsi="Arial"/>
          <w:color w:val="231F1F"/>
          <w:w w:val="355"/>
          <w:position w:val="1"/>
          <w:sz w:val="7"/>
        </w:rPr>
        <w:t>l </w:t>
      </w:r>
      <w:r>
        <w:rPr>
          <w:rFonts w:ascii="Calibri" w:hAnsi="Calibri"/>
          <w:color w:val="008356"/>
          <w:spacing w:val="4"/>
          <w:w w:val="110"/>
          <w:sz w:val="11"/>
        </w:rPr>
        <w:t>ETRAVIRINE </w:t>
      </w:r>
      <w:r>
        <w:rPr>
          <w:color w:val="231F1F"/>
          <w:w w:val="110"/>
        </w:rPr>
        <w:t>(consider reducing dose of fosamprenavir); plasma concentration of fosamprenavir reduced by </w:t>
      </w:r>
      <w:r>
        <w:rPr>
          <w:rFonts w:ascii="Calibri" w:hAnsi="Calibri"/>
          <w:color w:val="008356"/>
          <w:spacing w:val="3"/>
          <w:w w:val="110"/>
          <w:sz w:val="11"/>
        </w:rPr>
        <w:t>LOPINAVIR</w:t>
      </w:r>
      <w:r>
        <w:rPr>
          <w:color w:val="231F1F"/>
          <w:spacing w:val="3"/>
          <w:w w:val="110"/>
        </w:rPr>
        <w:t>, </w:t>
      </w:r>
      <w:r>
        <w:rPr>
          <w:color w:val="231F1F"/>
          <w:w w:val="110"/>
        </w:rPr>
        <w:t>effect on lopinavir plasma concentration not predictable</w:t>
      </w:r>
      <w:r>
        <w:rPr>
          <w:rFonts w:ascii="Arial" w:hAnsi="Arial"/>
          <w:color w:val="231F1F"/>
          <w:w w:val="110"/>
        </w:rPr>
        <w:t>—</w:t>
      </w:r>
      <w:r>
        <w:rPr>
          <w:color w:val="231F1F"/>
          <w:w w:val="110"/>
        </w:rPr>
        <w:t>avoid concomitant use; plasma concentration of fosamprenavir reduced by</w:t>
      </w:r>
    </w:p>
    <w:p>
      <w:pPr>
        <w:pStyle w:val="BodyText"/>
        <w:spacing w:line="244" w:lineRule="auto" w:before="5"/>
        <w:ind w:right="68"/>
        <w:rPr>
          <w:rFonts w:ascii="Calibri" w:hAnsi="Calibri"/>
          <w:sz w:val="11"/>
        </w:rPr>
      </w:pPr>
      <w:r>
        <w:rPr>
          <w:rFonts w:ascii="Arial" w:hAnsi="Arial"/>
          <w:color w:val="231F1F"/>
          <w:w w:val="355"/>
          <w:position w:val="1"/>
          <w:sz w:val="7"/>
        </w:rPr>
        <w:t>l </w:t>
      </w:r>
      <w:r>
        <w:rPr>
          <w:rFonts w:ascii="Calibri" w:hAnsi="Calibri"/>
          <w:color w:val="008356"/>
          <w:spacing w:val="2"/>
          <w:w w:val="110"/>
          <w:sz w:val="11"/>
        </w:rPr>
        <w:t>MARAVIROC</w:t>
      </w:r>
      <w:r>
        <w:rPr>
          <w:rFonts w:ascii="Arial" w:hAnsi="Arial"/>
          <w:color w:val="231F1F"/>
          <w:spacing w:val="2"/>
          <w:w w:val="110"/>
        </w:rPr>
        <w:t>—</w:t>
      </w:r>
      <w:r>
        <w:rPr>
          <w:color w:val="231F1F"/>
          <w:spacing w:val="2"/>
          <w:w w:val="110"/>
        </w:rPr>
        <w:t>avoid </w:t>
      </w:r>
      <w:r>
        <w:rPr>
          <w:color w:val="231F1F"/>
          <w:w w:val="110"/>
        </w:rPr>
        <w:t>concomitant use; plasma concentration of fosamprenavir possibly reduced by </w:t>
      </w:r>
      <w:r>
        <w:rPr>
          <w:rFonts w:ascii="Calibri" w:hAnsi="Calibri"/>
          <w:color w:val="008356"/>
          <w:spacing w:val="3"/>
          <w:w w:val="110"/>
          <w:sz w:val="11"/>
        </w:rPr>
        <w:t>NEVIRAPINE</w:t>
      </w:r>
      <w:r>
        <w:rPr>
          <w:rFonts w:ascii="Arial" w:hAnsi="Arial"/>
          <w:color w:val="231F1F"/>
          <w:spacing w:val="3"/>
          <w:w w:val="110"/>
        </w:rPr>
        <w:t>—</w:t>
      </w:r>
      <w:r>
        <w:rPr>
          <w:color w:val="231F1F"/>
          <w:spacing w:val="3"/>
          <w:w w:val="110"/>
        </w:rPr>
        <w:t>avoid </w:t>
      </w:r>
      <w:r>
        <w:rPr>
          <w:color w:val="231F1F"/>
          <w:w w:val="110"/>
        </w:rPr>
        <w:t>unboosted fosamprenavir; manufacturers advise avoid concomitant use of fosamprenavir with </w:t>
      </w:r>
      <w:r>
        <w:rPr>
          <w:rFonts w:ascii="Arial" w:hAnsi="Arial"/>
          <w:color w:val="231F1F"/>
          <w:w w:val="355"/>
          <w:position w:val="1"/>
          <w:sz w:val="7"/>
        </w:rPr>
        <w:t>l </w:t>
      </w:r>
      <w:r>
        <w:rPr>
          <w:rFonts w:ascii="Calibri" w:hAnsi="Calibri"/>
          <w:color w:val="008356"/>
          <w:spacing w:val="4"/>
          <w:w w:val="110"/>
          <w:sz w:val="11"/>
        </w:rPr>
        <w:t>TELAPREVIR</w:t>
      </w:r>
      <w:r>
        <w:rPr>
          <w:color w:val="231F1F"/>
          <w:spacing w:val="4"/>
          <w:w w:val="110"/>
        </w:rPr>
        <w:t>; </w:t>
      </w:r>
      <w:r>
        <w:rPr>
          <w:color w:val="231F1F"/>
          <w:w w:val="110"/>
        </w:rPr>
        <w:t>plasma concentration of fosamprenavir reduced by </w:t>
      </w:r>
      <w:r>
        <w:rPr>
          <w:rFonts w:ascii="Arial" w:hAnsi="Arial"/>
          <w:color w:val="231F1F"/>
          <w:w w:val="355"/>
          <w:position w:val="1"/>
          <w:sz w:val="7"/>
        </w:rPr>
        <w:t>l</w:t>
      </w:r>
      <w:r>
        <w:rPr>
          <w:rFonts w:ascii="Arial" w:hAnsi="Arial"/>
          <w:color w:val="231F1F"/>
          <w:spacing w:val="-36"/>
          <w:w w:val="355"/>
          <w:position w:val="1"/>
          <w:sz w:val="7"/>
        </w:rPr>
        <w:t> </w:t>
      </w:r>
      <w:r>
        <w:rPr>
          <w:rFonts w:ascii="Calibri" w:hAnsi="Calibri"/>
          <w:color w:val="008356"/>
          <w:spacing w:val="4"/>
          <w:w w:val="110"/>
          <w:sz w:val="11"/>
        </w:rPr>
        <w:t>TIPRANAVIR</w:t>
      </w:r>
    </w:p>
    <w:p>
      <w:pPr>
        <w:pStyle w:val="BodyText"/>
        <w:spacing w:line="237" w:lineRule="auto"/>
        <w:ind w:right="251" w:hanging="100"/>
      </w:pPr>
      <w:r>
        <w:rPr>
          <w:rFonts w:ascii="Arial"/>
          <w:color w:val="231F1F"/>
          <w:w w:val="110"/>
          <w:position w:val="1"/>
          <w:sz w:val="7"/>
        </w:rPr>
        <w:t>l </w:t>
      </w:r>
      <w:r>
        <w:rPr>
          <w:rFonts w:ascii="Calibri"/>
          <w:color w:val="231F1F"/>
          <w:w w:val="110"/>
        </w:rPr>
        <w:t>Anxiolytics and Hypnotics: </w:t>
      </w:r>
      <w:r>
        <w:rPr>
          <w:color w:val="231F1F"/>
          <w:w w:val="110"/>
        </w:rPr>
        <w:t>fosamprenavir possibly increases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MIDAZOLAM</w:t>
      </w:r>
      <w:r>
        <w:rPr>
          <w:rFonts w:ascii="Calibri"/>
          <w:color w:val="008356"/>
          <w:spacing w:val="-2"/>
          <w:w w:val="110"/>
          <w:sz w:val="11"/>
        </w:rPr>
        <w:t> </w:t>
      </w:r>
      <w:r>
        <w:rPr>
          <w:color w:val="231F1F"/>
          <w:w w:val="115"/>
        </w:rPr>
        <w:t>(risk</w:t>
      </w:r>
      <w:r>
        <w:rPr>
          <w:color w:val="231F1F"/>
          <w:spacing w:val="-13"/>
          <w:w w:val="115"/>
        </w:rPr>
        <w:t> </w:t>
      </w:r>
      <w:r>
        <w:rPr>
          <w:color w:val="231F1F"/>
          <w:w w:val="115"/>
        </w:rPr>
        <w:t>of</w:t>
      </w:r>
      <w:r>
        <w:rPr>
          <w:color w:val="231F1F"/>
          <w:spacing w:val="-12"/>
          <w:w w:val="115"/>
        </w:rPr>
        <w:t> </w:t>
      </w:r>
      <w:r>
        <w:rPr>
          <w:color w:val="231F1F"/>
          <w:w w:val="115"/>
        </w:rPr>
        <w:t>prolonged</w:t>
      </w:r>
    </w:p>
    <w:p>
      <w:pPr>
        <w:pStyle w:val="BodyText"/>
      </w:pPr>
      <w:r>
        <w:rPr>
          <w:color w:val="231F1F"/>
          <w:w w:val="115"/>
        </w:rPr>
        <w:t>sedation</w:t>
      </w:r>
      <w:r>
        <w:rPr>
          <w:rFonts w:ascii="Arial" w:hAnsi="Arial"/>
          <w:color w:val="231F1F"/>
          <w:w w:val="115"/>
        </w:rPr>
        <w:t>—</w:t>
      </w:r>
      <w:r>
        <w:rPr>
          <w:color w:val="231F1F"/>
          <w:w w:val="115"/>
        </w:rPr>
        <w:t>avoid concomitant use of </w:t>
      </w:r>
      <w:r>
        <w:rPr>
          <w:i/>
          <w:color w:val="231F1F"/>
          <w:w w:val="115"/>
        </w:rPr>
        <w:t>oral </w:t>
      </w:r>
      <w:r>
        <w:rPr>
          <w:color w:val="231F1F"/>
          <w:w w:val="115"/>
        </w:rPr>
        <w:t>midazolam)</w:t>
      </w:r>
    </w:p>
    <w:p>
      <w:pPr>
        <w:pStyle w:val="BodyText"/>
        <w:ind w:right="244" w:hanging="100"/>
      </w:pPr>
      <w:r>
        <w:rPr>
          <w:rFonts w:ascii="Arial" w:hAnsi="Arial"/>
          <w:color w:val="231F1F"/>
          <w:w w:val="355"/>
          <w:position w:val="1"/>
          <w:sz w:val="7"/>
        </w:rPr>
        <w:t>l </w:t>
      </w:r>
      <w:r>
        <w:rPr>
          <w:rFonts w:ascii="Calibri" w:hAnsi="Calibri"/>
          <w:color w:val="231F1F"/>
          <w:w w:val="115"/>
        </w:rPr>
        <w:t>Avanafil: </w:t>
      </w:r>
      <w:r>
        <w:rPr>
          <w:color w:val="231F1F"/>
          <w:w w:val="115"/>
        </w:rPr>
        <w:t>fosamprenavir possibly increases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see </w:t>
      </w:r>
      <w:r>
        <w:rPr>
          <w:color w:val="231F1F"/>
          <w:w w:val="115"/>
        </w:rPr>
        <w:t>under Avanafil, p. </w:t>
      </w:r>
      <w:r>
        <w:rPr>
          <w:color w:val="231F1F"/>
          <w:spacing w:val="-4"/>
          <w:w w:val="115"/>
        </w:rPr>
        <w:t>698</w:t>
      </w:r>
    </w:p>
    <w:p>
      <w:pPr>
        <w:pStyle w:val="BodyText"/>
        <w:spacing w:line="144" w:lineRule="exact"/>
        <w:ind w:left="108"/>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Ciclosporin:</w:t>
      </w:r>
      <w:r>
        <w:rPr>
          <w:rFonts w:ascii="Calibri"/>
          <w:color w:val="231F1F"/>
          <w:spacing w:val="-9"/>
          <w:w w:val="115"/>
        </w:rPr>
        <w:t> </w:t>
      </w:r>
      <w:r>
        <w:rPr>
          <w:color w:val="231F1F"/>
          <w:w w:val="115"/>
        </w:rPr>
        <w:t>fosamprenavir</w:t>
      </w:r>
      <w:r>
        <w:rPr>
          <w:color w:val="231F1F"/>
          <w:spacing w:val="-13"/>
          <w:w w:val="115"/>
        </w:rPr>
        <w:t> </w:t>
      </w:r>
      <w:r>
        <w:rPr>
          <w:color w:val="231F1F"/>
          <w:w w:val="115"/>
        </w:rPr>
        <w:t>increases</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p>
    <w:p>
      <w:pPr>
        <w:spacing w:line="133" w:lineRule="exact" w:before="4"/>
        <w:ind w:left="208" w:right="0" w:firstLine="0"/>
        <w:jc w:val="both"/>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244" w:lineRule="auto"/>
        <w:ind w:right="97" w:hanging="100"/>
      </w:pPr>
      <w:r>
        <w:rPr>
          <w:rFonts w:ascii="Arial" w:hAnsi="Arial"/>
          <w:color w:val="231F1F"/>
          <w:w w:val="355"/>
          <w:position w:val="1"/>
          <w:sz w:val="7"/>
        </w:rPr>
        <w:t>l </w:t>
      </w:r>
      <w:r>
        <w:rPr>
          <w:rFonts w:ascii="Calibri" w:hAnsi="Calibri"/>
          <w:color w:val="231F1F"/>
          <w:w w:val="115"/>
        </w:rPr>
        <w:t>Cytotoxics: </w:t>
      </w:r>
      <w:r>
        <w:rPr>
          <w:color w:val="231F1F"/>
          <w:w w:val="115"/>
        </w:rPr>
        <w:t>fosamprenavir possibly increases the plasma concentration of </w:t>
      </w:r>
      <w:r>
        <w:rPr>
          <w:rFonts w:ascii="Arial" w:hAnsi="Arial"/>
          <w:color w:val="231F1F"/>
          <w:w w:val="355"/>
          <w:position w:val="1"/>
          <w:sz w:val="7"/>
        </w:rPr>
        <w:t>l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fosamprenavir possibly increases the plasma concentration of</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w:t>
      </w:r>
      <w:r>
        <w:rPr>
          <w:color w:val="231F1F"/>
          <w:spacing w:val="-16"/>
          <w:w w:val="115"/>
        </w:rPr>
        <w:t> </w:t>
      </w:r>
      <w:r>
        <w:rPr>
          <w:color w:val="231F1F"/>
          <w:w w:val="115"/>
        </w:rPr>
        <w:t>dose</w:t>
      </w:r>
      <w:r>
        <w:rPr>
          <w:color w:val="231F1F"/>
          <w:spacing w:val="-16"/>
          <w:w w:val="115"/>
        </w:rPr>
        <w:t> </w:t>
      </w:r>
      <w:r>
        <w:rPr>
          <w:color w:val="231F1F"/>
          <w:w w:val="115"/>
        </w:rPr>
        <w:t>of</w:t>
      </w:r>
      <w:r>
        <w:rPr>
          <w:color w:val="231F1F"/>
          <w:spacing w:val="-16"/>
          <w:w w:val="115"/>
        </w:rPr>
        <w:t> </w:t>
      </w:r>
      <w:r>
        <w:rPr>
          <w:color w:val="231F1F"/>
          <w:w w:val="115"/>
        </w:rPr>
        <w:t>ibrutinib</w:t>
      </w:r>
      <w:r>
        <w:rPr>
          <w:color w:val="231F1F"/>
          <w:spacing w:val="-16"/>
          <w:w w:val="115"/>
        </w:rPr>
        <w:t> </w:t>
      </w:r>
      <w:r>
        <w:rPr>
          <w:color w:val="231F1F"/>
          <w:w w:val="115"/>
        </w:rPr>
        <w:t>(see</w:t>
      </w:r>
      <w:r>
        <w:rPr>
          <w:color w:val="231F1F"/>
          <w:spacing w:val="-15"/>
          <w:w w:val="115"/>
        </w:rPr>
        <w:t> </w:t>
      </w:r>
      <w:r>
        <w:rPr>
          <w:color w:val="231F1F"/>
          <w:w w:val="115"/>
        </w:rPr>
        <w:t>under</w:t>
      </w:r>
      <w:r>
        <w:rPr>
          <w:color w:val="231F1F"/>
          <w:spacing w:val="-16"/>
          <w:w w:val="115"/>
        </w:rPr>
        <w:t> </w:t>
      </w:r>
      <w:r>
        <w:rPr>
          <w:color w:val="231F1F"/>
          <w:w w:val="115"/>
        </w:rPr>
        <w:t>Ibrutinib, p.</w:t>
      </w:r>
      <w:r>
        <w:rPr>
          <w:color w:val="231F1F"/>
          <w:spacing w:val="-4"/>
          <w:w w:val="115"/>
        </w:rPr>
        <w:t> </w:t>
      </w:r>
      <w:r>
        <w:rPr>
          <w:color w:val="231F1F"/>
          <w:w w:val="115"/>
        </w:rPr>
        <w:t>809)</w:t>
      </w:r>
    </w:p>
    <w:p>
      <w:pPr>
        <w:pStyle w:val="BodyText"/>
        <w:spacing w:line="230" w:lineRule="auto" w:before="1"/>
        <w:ind w:right="116" w:hanging="100"/>
      </w:pPr>
      <w:r>
        <w:rPr>
          <w:rFonts w:ascii="Lucida Sans Unicode" w:hAnsi="Lucida Sans Unicode"/>
          <w:color w:val="A7A8AC"/>
          <w:w w:val="95"/>
          <w:sz w:val="10"/>
        </w:rPr>
        <w:t>▶ </w:t>
      </w:r>
      <w:r>
        <w:rPr>
          <w:rFonts w:ascii="Calibri" w:hAnsi="Calibri"/>
          <w:color w:val="231F1F"/>
          <w:w w:val="110"/>
        </w:rPr>
        <w:t>Dapoxetine: </w:t>
      </w:r>
      <w:r>
        <w:rPr>
          <w:color w:val="231F1F"/>
          <w:w w:val="110"/>
        </w:rPr>
        <w:t>manufacturer of dapoxetine advises dose reduction when fosamprenavir given with </w:t>
      </w:r>
      <w:r>
        <w:rPr>
          <w:rFonts w:ascii="Calibri" w:hAnsi="Calibri"/>
          <w:color w:val="008356"/>
          <w:w w:val="110"/>
          <w:sz w:val="11"/>
        </w:rPr>
        <w:t>DAPOXETINE </w:t>
      </w:r>
      <w:r>
        <w:rPr>
          <w:color w:val="231F1F"/>
          <w:w w:val="110"/>
        </w:rPr>
        <w:t>(see under Dapoxetine, p. 703)</w:t>
      </w:r>
    </w:p>
    <w:p>
      <w:pPr>
        <w:pStyle w:val="BodyText"/>
        <w:spacing w:before="3"/>
        <w:ind w:right="70"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fosamprenavir given with </w:t>
      </w:r>
      <w:r>
        <w:rPr>
          <w:rFonts w:ascii="Arial" w:hAnsi="Arial"/>
          <w:color w:val="231F1F"/>
          <w:w w:val="355"/>
          <w:position w:val="1"/>
          <w:sz w:val="7"/>
        </w:rPr>
        <w:t>l </w:t>
      </w:r>
      <w:r>
        <w:rPr>
          <w:rFonts w:ascii="Calibri" w:hAnsi="Calibri"/>
          <w:color w:val="008356"/>
          <w:w w:val="110"/>
          <w:sz w:val="11"/>
        </w:rPr>
        <w:t>ERGOTAMINE</w:t>
      </w:r>
      <w:r>
        <w:rPr>
          <w:rFonts w:ascii="Arial" w:hAnsi="Arial"/>
          <w:color w:val="231F1F"/>
          <w:w w:val="110"/>
        </w:rPr>
        <w:t>—</w:t>
      </w:r>
      <w:r>
        <w:rPr>
          <w:color w:val="231F1F"/>
          <w:w w:val="110"/>
        </w:rPr>
        <w:t>avoid concomitant use</w:t>
      </w:r>
    </w:p>
    <w:p>
      <w:pPr>
        <w:pStyle w:val="BodyText"/>
        <w:spacing w:line="244" w:lineRule="auto" w:before="2"/>
        <w:ind w:right="115"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Lipid-regulating</w:t>
      </w:r>
      <w:r>
        <w:rPr>
          <w:rFonts w:ascii="Calibri" w:hAnsi="Calibri"/>
          <w:color w:val="231F1F"/>
          <w:spacing w:val="-12"/>
          <w:w w:val="115"/>
        </w:rPr>
        <w:t> </w:t>
      </w:r>
      <w:r>
        <w:rPr>
          <w:rFonts w:ascii="Calibri" w:hAnsi="Calibri"/>
          <w:color w:val="231F1F"/>
          <w:w w:val="115"/>
        </w:rPr>
        <w:t>Drugs:</w:t>
      </w:r>
      <w:r>
        <w:rPr>
          <w:rFonts w:ascii="Calibri" w:hAnsi="Calibri"/>
          <w:color w:val="231F1F"/>
          <w:spacing w:val="-12"/>
          <w:w w:val="115"/>
        </w:rPr>
        <w:t> </w:t>
      </w:r>
      <w:r>
        <w:rPr>
          <w:color w:val="231F1F"/>
          <w:w w:val="115"/>
        </w:rPr>
        <w:t>possible</w:t>
      </w:r>
      <w:r>
        <w:rPr>
          <w:color w:val="231F1F"/>
          <w:spacing w:val="-16"/>
          <w:w w:val="115"/>
        </w:rPr>
        <w:t> </w:t>
      </w:r>
      <w:r>
        <w:rPr>
          <w:color w:val="231F1F"/>
          <w:w w:val="115"/>
        </w:rPr>
        <w:t>increased</w:t>
      </w:r>
      <w:r>
        <w:rPr>
          <w:color w:val="231F1F"/>
          <w:spacing w:val="-15"/>
          <w:w w:val="115"/>
        </w:rPr>
        <w:t> </w:t>
      </w:r>
      <w:r>
        <w:rPr>
          <w:color w:val="231F1F"/>
          <w:w w:val="115"/>
        </w:rPr>
        <w:t>risk</w:t>
      </w:r>
      <w:r>
        <w:rPr>
          <w:color w:val="231F1F"/>
          <w:spacing w:val="-16"/>
          <w:w w:val="115"/>
        </w:rPr>
        <w:t> </w:t>
      </w:r>
      <w:r>
        <w:rPr>
          <w:color w:val="231F1F"/>
          <w:w w:val="115"/>
        </w:rPr>
        <w:t>of</w:t>
      </w:r>
      <w:r>
        <w:rPr>
          <w:color w:val="231F1F"/>
          <w:spacing w:val="-15"/>
          <w:w w:val="115"/>
        </w:rPr>
        <w:t> </w:t>
      </w:r>
      <w:r>
        <w:rPr>
          <w:color w:val="231F1F"/>
          <w:w w:val="115"/>
        </w:rPr>
        <w:t>myopathy when fosamprenavir given with </w:t>
      </w:r>
      <w:r>
        <w:rPr>
          <w:rFonts w:ascii="Calibri" w:hAnsi="Calibri"/>
          <w:color w:val="008356"/>
          <w:spacing w:val="2"/>
          <w:w w:val="115"/>
          <w:sz w:val="11"/>
        </w:rPr>
        <w:t>ATORVASTATIN</w:t>
      </w:r>
      <w:r>
        <w:rPr>
          <w:color w:val="231F1F"/>
          <w:spacing w:val="2"/>
          <w:w w:val="115"/>
        </w:rPr>
        <w:t>; </w:t>
      </w:r>
      <w:r>
        <w:rPr>
          <w:color w:val="231F1F"/>
          <w:w w:val="115"/>
        </w:rPr>
        <w:t>possible increased</w:t>
      </w:r>
      <w:r>
        <w:rPr>
          <w:color w:val="231F1F"/>
          <w:spacing w:val="-9"/>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myopathy</w:t>
      </w:r>
      <w:r>
        <w:rPr>
          <w:color w:val="231F1F"/>
          <w:spacing w:val="-9"/>
          <w:w w:val="115"/>
        </w:rPr>
        <w:t> </w:t>
      </w:r>
      <w:r>
        <w:rPr>
          <w:color w:val="231F1F"/>
          <w:w w:val="115"/>
        </w:rPr>
        <w:t>when</w:t>
      </w:r>
      <w:r>
        <w:rPr>
          <w:color w:val="231F1F"/>
          <w:spacing w:val="-7"/>
          <w:w w:val="115"/>
        </w:rPr>
        <w:t> </w:t>
      </w:r>
      <w:r>
        <w:rPr>
          <w:color w:val="231F1F"/>
          <w:w w:val="115"/>
        </w:rPr>
        <w:t>fosamprenavir</w:t>
      </w:r>
      <w:r>
        <w:rPr>
          <w:color w:val="231F1F"/>
          <w:spacing w:val="-8"/>
          <w:w w:val="115"/>
        </w:rPr>
        <w:t> </w:t>
      </w:r>
      <w:r>
        <w:rPr>
          <w:color w:val="231F1F"/>
          <w:w w:val="115"/>
        </w:rPr>
        <w:t>given</w:t>
      </w:r>
      <w:r>
        <w:rPr>
          <w:color w:val="231F1F"/>
          <w:spacing w:val="-8"/>
          <w:w w:val="115"/>
        </w:rPr>
        <w:t> </w:t>
      </w:r>
      <w:r>
        <w:rPr>
          <w:color w:val="231F1F"/>
          <w:w w:val="115"/>
        </w:rPr>
        <w:t>with </w:t>
      </w:r>
      <w:r>
        <w:rPr>
          <w:rFonts w:ascii="Arial" w:hAnsi="Arial"/>
          <w:color w:val="231F1F"/>
          <w:w w:val="330"/>
          <w:position w:val="1"/>
          <w:sz w:val="7"/>
        </w:rPr>
        <w:t>l</w:t>
      </w:r>
      <w:r>
        <w:rPr>
          <w:rFonts w:ascii="Arial" w:hAnsi="Arial"/>
          <w:color w:val="231F1F"/>
          <w:spacing w:val="-55"/>
          <w:w w:val="330"/>
          <w:position w:val="1"/>
          <w:sz w:val="7"/>
        </w:rPr>
        <w:t> </w:t>
      </w:r>
      <w:r>
        <w:rPr>
          <w:rFonts w:ascii="Calibri" w:hAnsi="Calibri"/>
          <w:color w:val="008356"/>
          <w:w w:val="115"/>
          <w:sz w:val="11"/>
        </w:rPr>
        <w:t>ROSUVASTATIN</w:t>
      </w:r>
      <w:r>
        <w:rPr>
          <w:rFonts w:ascii="Arial" w:hAnsi="Arial"/>
          <w:color w:val="231F1F"/>
          <w:w w:val="115"/>
        </w:rPr>
        <w:t>—</w:t>
      </w:r>
      <w:r>
        <w:rPr>
          <w:color w:val="231F1F"/>
          <w:w w:val="115"/>
        </w:rPr>
        <w:t>manufacturer</w:t>
      </w:r>
      <w:r>
        <w:rPr>
          <w:color w:val="231F1F"/>
          <w:spacing w:val="-25"/>
          <w:w w:val="115"/>
        </w:rPr>
        <w:t> </w:t>
      </w:r>
      <w:r>
        <w:rPr>
          <w:color w:val="231F1F"/>
          <w:w w:val="115"/>
        </w:rPr>
        <w:t>of</w:t>
      </w:r>
      <w:r>
        <w:rPr>
          <w:color w:val="231F1F"/>
          <w:spacing w:val="-23"/>
          <w:w w:val="115"/>
        </w:rPr>
        <w:t> </w:t>
      </w:r>
      <w:r>
        <w:rPr>
          <w:color w:val="231F1F"/>
          <w:w w:val="115"/>
        </w:rPr>
        <w:t>rosuvastatin</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9"/>
          <w:w w:val="115"/>
        </w:rPr>
        <w:t> </w:t>
      </w:r>
      <w:r>
        <w:rPr>
          <w:color w:val="231F1F"/>
          <w:w w:val="115"/>
        </w:rPr>
        <w:t>use;</w:t>
      </w:r>
      <w:r>
        <w:rPr>
          <w:color w:val="231F1F"/>
          <w:spacing w:val="-6"/>
          <w:w w:val="115"/>
        </w:rPr>
        <w:t> </w:t>
      </w:r>
      <w:r>
        <w:rPr>
          <w:color w:val="231F1F"/>
          <w:w w:val="115"/>
        </w:rPr>
        <w:t>possible</w:t>
      </w:r>
      <w:r>
        <w:rPr>
          <w:color w:val="231F1F"/>
          <w:spacing w:val="-6"/>
          <w:w w:val="115"/>
        </w:rPr>
        <w:t> </w:t>
      </w:r>
      <w:r>
        <w:rPr>
          <w:color w:val="231F1F"/>
          <w:w w:val="115"/>
        </w:rPr>
        <w:t>increased</w:t>
      </w:r>
      <w:r>
        <w:rPr>
          <w:color w:val="231F1F"/>
          <w:spacing w:val="-8"/>
          <w:w w:val="115"/>
        </w:rPr>
        <w:t> </w:t>
      </w:r>
      <w:r>
        <w:rPr>
          <w:color w:val="231F1F"/>
          <w:w w:val="115"/>
        </w:rPr>
        <w:t>risk</w:t>
      </w:r>
      <w:r>
        <w:rPr>
          <w:color w:val="231F1F"/>
          <w:spacing w:val="-5"/>
          <w:w w:val="115"/>
        </w:rPr>
        <w:t> </w:t>
      </w:r>
      <w:r>
        <w:rPr>
          <w:color w:val="231F1F"/>
          <w:w w:val="115"/>
        </w:rPr>
        <w:t>of</w:t>
      </w:r>
      <w:r>
        <w:rPr>
          <w:color w:val="231F1F"/>
          <w:spacing w:val="-7"/>
          <w:w w:val="115"/>
        </w:rPr>
        <w:t> </w:t>
      </w:r>
      <w:r>
        <w:rPr>
          <w:color w:val="231F1F"/>
          <w:w w:val="115"/>
        </w:rPr>
        <w:t>myopathy</w:t>
      </w:r>
      <w:r>
        <w:rPr>
          <w:color w:val="231F1F"/>
          <w:spacing w:val="-8"/>
          <w:w w:val="115"/>
        </w:rPr>
        <w:t> </w:t>
      </w:r>
      <w:r>
        <w:rPr>
          <w:color w:val="231F1F"/>
          <w:w w:val="115"/>
        </w:rPr>
        <w:t>when </w:t>
      </w:r>
      <w:r>
        <w:rPr>
          <w:color w:val="231F1F"/>
          <w:w w:val="110"/>
        </w:rPr>
        <w:t>fosamprenavir given with </w:t>
      </w:r>
      <w:r>
        <w:rPr>
          <w:rFonts w:ascii="Arial" w:hAnsi="Arial"/>
          <w:color w:val="231F1F"/>
          <w:w w:val="110"/>
          <w:position w:val="1"/>
          <w:sz w:val="7"/>
        </w:rPr>
        <w:t>l </w:t>
      </w:r>
      <w:r>
        <w:rPr>
          <w:rFonts w:ascii="Calibri" w:hAnsi="Calibri"/>
          <w:color w:val="008356"/>
          <w:spacing w:val="2"/>
          <w:w w:val="110"/>
          <w:sz w:val="11"/>
        </w:rPr>
        <w:t>SIMVASTATIN</w:t>
      </w:r>
      <w:r>
        <w:rPr>
          <w:rFonts w:ascii="Arial" w:hAnsi="Arial"/>
          <w:color w:val="231F1F"/>
          <w:spacing w:val="2"/>
          <w:w w:val="110"/>
        </w:rPr>
        <w:t>—</w:t>
      </w:r>
      <w:r>
        <w:rPr>
          <w:color w:val="231F1F"/>
          <w:spacing w:val="2"/>
          <w:w w:val="110"/>
        </w:rPr>
        <w:t>avoid</w:t>
      </w:r>
      <w:r>
        <w:rPr>
          <w:color w:val="231F1F"/>
          <w:spacing w:val="-6"/>
          <w:w w:val="110"/>
        </w:rPr>
        <w:t> </w:t>
      </w:r>
      <w:r>
        <w:rPr>
          <w:color w:val="231F1F"/>
          <w:w w:val="110"/>
        </w:rPr>
        <w:t>concomitant</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Fosamprenavir</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3904" filled="true" fillcolor="#bfdbcf" stroked="false">
            <v:fill type="solid"/>
            <w10:wrap type="none"/>
          </v:rect>
        </w:pict>
      </w:r>
      <w:r>
        <w:rPr/>
        <w:pict>
          <v:shape style="position:absolute;margin-left:399.725769pt;margin-top:-3.416702pt;width:10.4pt;height:78.850pt;mso-position-horizontal-relative:page;mso-position-vertical-relative:paragraph;z-index:392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Lipid-regulating Drugs (continued)</w:t>
      </w:r>
    </w:p>
    <w:p>
      <w:pPr>
        <w:pStyle w:val="BodyText"/>
        <w:spacing w:line="247" w:lineRule="auto"/>
        <w:ind w:right="796"/>
      </w:pPr>
      <w:r>
        <w:rPr>
          <w:color w:val="231F1F"/>
          <w:w w:val="110"/>
        </w:rPr>
        <w:t>use; avoidance of fosamprenavir advised by manufacturer </w:t>
      </w:r>
      <w:r>
        <w:rPr>
          <w:color w:val="231F1F"/>
          <w:spacing w:val="-8"/>
          <w:w w:val="110"/>
        </w:rPr>
        <w:t>of  </w:t>
      </w:r>
      <w:r>
        <w:rPr>
          <w:rFonts w:ascii="Arial"/>
          <w:color w:val="231F1F"/>
          <w:w w:val="355"/>
          <w:position w:val="1"/>
          <w:sz w:val="7"/>
        </w:rPr>
        <w:t>l </w:t>
      </w:r>
      <w:r>
        <w:rPr>
          <w:rFonts w:ascii="Calibri"/>
          <w:color w:val="008356"/>
          <w:spacing w:val="3"/>
          <w:w w:val="110"/>
          <w:sz w:val="11"/>
        </w:rPr>
        <w:t>LOMITAPIDE </w:t>
      </w:r>
      <w:r>
        <w:rPr>
          <w:color w:val="231F1F"/>
          <w:w w:val="110"/>
        </w:rPr>
        <w:t>(plasma concentration of lomitapide possibly increased)</w:t>
      </w:r>
    </w:p>
    <w:p>
      <w:pPr>
        <w:pStyle w:val="BodyText"/>
        <w:spacing w:line="143" w:lineRule="exact"/>
        <w:ind w:left="108"/>
      </w:pPr>
      <w:r>
        <w:rPr>
          <w:rFonts w:ascii="Arial"/>
          <w:color w:val="231F1F"/>
          <w:w w:val="355"/>
          <w:position w:val="1"/>
          <w:sz w:val="7"/>
        </w:rPr>
        <w:t>l </w:t>
      </w:r>
      <w:r>
        <w:rPr>
          <w:rFonts w:ascii="Calibri"/>
          <w:color w:val="231F1F"/>
          <w:w w:val="120"/>
        </w:rPr>
        <w:t>Orlistat: </w:t>
      </w:r>
      <w:r>
        <w:rPr>
          <w:color w:val="231F1F"/>
          <w:w w:val="120"/>
        </w:rPr>
        <w:t>absorption of fosamprenavir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242" w:lineRule="auto"/>
        <w:ind w:right="670" w:hanging="100"/>
      </w:pPr>
      <w:r>
        <w:rPr>
          <w:rFonts w:ascii="Arial" w:hAnsi="Arial"/>
          <w:color w:val="231F1F"/>
          <w:w w:val="355"/>
          <w:position w:val="1"/>
          <w:sz w:val="7"/>
        </w:rPr>
        <w:t>l </w:t>
      </w:r>
      <w:r>
        <w:rPr>
          <w:rFonts w:ascii="Calibri" w:hAnsi="Calibri"/>
          <w:color w:val="231F1F"/>
          <w:w w:val="120"/>
        </w:rPr>
        <w:t>Ranolazine: </w:t>
      </w:r>
      <w:r>
        <w:rPr>
          <w:color w:val="231F1F"/>
          <w:w w:val="120"/>
        </w:rPr>
        <w:t>fosamprenavir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spacing w:line="220" w:lineRule="auto" w:before="5"/>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Sildenafil: </w:t>
      </w:r>
      <w:r>
        <w:rPr>
          <w:color w:val="231F1F"/>
          <w:w w:val="105"/>
        </w:rPr>
        <w:t>fosamprenavir possibly increases plasma concentration of </w:t>
      </w:r>
      <w:r>
        <w:rPr>
          <w:rFonts w:ascii="Calibri" w:hAnsi="Calibri"/>
          <w:color w:val="008356"/>
          <w:w w:val="105"/>
          <w:sz w:val="11"/>
        </w:rPr>
        <w:t>SILDENAFIL</w:t>
      </w:r>
    </w:p>
    <w:p>
      <w:pPr>
        <w:pStyle w:val="BodyText"/>
        <w:spacing w:before="1"/>
        <w:ind w:left="108"/>
      </w:pPr>
      <w:r>
        <w:rPr>
          <w:rFonts w:ascii="Arial"/>
          <w:color w:val="231F1F"/>
          <w:w w:val="355"/>
          <w:position w:val="1"/>
          <w:sz w:val="7"/>
        </w:rPr>
        <w:t>l </w:t>
      </w:r>
      <w:r>
        <w:rPr>
          <w:rFonts w:ascii="Calibri"/>
          <w:color w:val="231F1F"/>
          <w:w w:val="115"/>
        </w:rPr>
        <w:t>Tacrolimus: </w:t>
      </w:r>
      <w:r>
        <w:rPr>
          <w:color w:val="231F1F"/>
          <w:w w:val="115"/>
        </w:rPr>
        <w:t>fosamprenavir increases plasma concentration of</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Tadalafil: </w:t>
      </w:r>
      <w:r>
        <w:rPr>
          <w:color w:val="231F1F"/>
          <w:w w:val="105"/>
        </w:rPr>
        <w:t>fosamprenavir possibly increases plasma concentration of </w:t>
      </w:r>
      <w:r>
        <w:rPr>
          <w:rFonts w:ascii="Calibri" w:hAnsi="Calibri"/>
          <w:color w:val="008356"/>
          <w:w w:val="105"/>
          <w:sz w:val="11"/>
        </w:rPr>
        <w:t>TADALAFIL</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Vardenafil: </w:t>
      </w:r>
      <w:r>
        <w:rPr>
          <w:color w:val="231F1F"/>
          <w:w w:val="105"/>
        </w:rPr>
        <w:t>fosamprenavir possibly increases plasma concentration of </w:t>
      </w:r>
      <w:r>
        <w:rPr>
          <w:rFonts w:ascii="Calibri" w:hAnsi="Calibri"/>
          <w:color w:val="008356"/>
          <w:w w:val="105"/>
          <w:sz w:val="11"/>
        </w:rPr>
        <w:t>VARDENAFIL</w:t>
      </w:r>
    </w:p>
    <w:p>
      <w:pPr>
        <w:pStyle w:val="BodyText"/>
        <w:spacing w:before="9"/>
        <w:ind w:left="108"/>
        <w:rPr>
          <w:rFonts w:ascii="Trebuchet MS"/>
        </w:rPr>
      </w:pPr>
      <w:r>
        <w:rPr>
          <w:rFonts w:ascii="Trebuchet MS"/>
          <w:color w:val="008356"/>
        </w:rPr>
        <w:t>Fosaprepitant</w:t>
      </w:r>
    </w:p>
    <w:p>
      <w:pPr>
        <w:spacing w:line="230" w:lineRule="auto" w:before="5"/>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plasma concentration of fosaprepitant possibly increased by </w:t>
      </w:r>
      <w:r>
        <w:rPr>
          <w:rFonts w:ascii="Calibri" w:hAnsi="Calibri"/>
          <w:color w:val="008356"/>
          <w:w w:val="110"/>
          <w:sz w:val="11"/>
        </w:rPr>
        <w:t>CLARITHROMYCIN </w:t>
      </w:r>
      <w:r>
        <w:rPr>
          <w:color w:val="231F1F"/>
          <w:w w:val="110"/>
          <w:sz w:val="12"/>
        </w:rPr>
        <w:t>and </w:t>
      </w:r>
      <w:r>
        <w:rPr>
          <w:rFonts w:ascii="Calibri" w:hAnsi="Calibri"/>
          <w:color w:val="008356"/>
          <w:w w:val="110"/>
          <w:sz w:val="11"/>
        </w:rPr>
        <w:t>TELITHROMYCIN</w:t>
      </w:r>
      <w:r>
        <w:rPr>
          <w:color w:val="231F1F"/>
          <w:w w:val="110"/>
          <w:sz w:val="12"/>
        </w:rPr>
        <w:t>; plasma concentration of fosaprepitant reduced by </w:t>
      </w:r>
      <w:r>
        <w:rPr>
          <w:rFonts w:ascii="Calibri" w:hAnsi="Calibri"/>
          <w:color w:val="008356"/>
          <w:w w:val="110"/>
          <w:sz w:val="11"/>
        </w:rPr>
        <w:t>RIFAMPICIN</w:t>
      </w:r>
    </w:p>
    <w:p>
      <w:pPr>
        <w:pStyle w:val="BodyText"/>
        <w:spacing w:line="220" w:lineRule="auto" w:before="9"/>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fosaprepitant possibly reduces anticoagulant effect of </w:t>
      </w:r>
      <w:r>
        <w:rPr>
          <w:rFonts w:ascii="Calibri" w:hAnsi="Calibri"/>
          <w:color w:val="008356"/>
          <w:w w:val="105"/>
          <w:sz w:val="11"/>
        </w:rPr>
        <w:t>WARFARIN</w:t>
      </w:r>
    </w:p>
    <w:p>
      <w:pPr>
        <w:pStyle w:val="BodyText"/>
        <w:ind w:right="670"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manufacturer of fosaprepitant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fosaprepitant reduces plasma concentration of</w:t>
      </w:r>
    </w:p>
    <w:p>
      <w:pPr>
        <w:spacing w:line="130" w:lineRule="exact" w:before="0"/>
        <w:ind w:left="208" w:right="0" w:firstLine="0"/>
        <w:jc w:val="left"/>
        <w:rPr>
          <w:rFonts w:ascii="Calibri"/>
          <w:sz w:val="11"/>
        </w:rPr>
      </w:pPr>
      <w:r>
        <w:rPr>
          <w:rFonts w:ascii="Calibri"/>
          <w:color w:val="008356"/>
          <w:sz w:val="11"/>
        </w:rPr>
        <w:t>TOLBUTAMIDE</w:t>
      </w:r>
    </w:p>
    <w:p>
      <w:pPr>
        <w:spacing w:line="230" w:lineRule="auto" w:before="3"/>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fosaprepitant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220" w:lineRule="auto" w:before="9"/>
        <w:ind w:right="82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fosaprepitant  increased by</w:t>
      </w:r>
      <w:r>
        <w:rPr>
          <w:color w:val="231F1F"/>
          <w:spacing w:val="-2"/>
          <w:w w:val="105"/>
        </w:rPr>
        <w:t> </w:t>
      </w:r>
      <w:r>
        <w:rPr>
          <w:rFonts w:ascii="Calibri" w:hAnsi="Calibri"/>
          <w:color w:val="008356"/>
          <w:spacing w:val="4"/>
          <w:w w:val="105"/>
          <w:sz w:val="11"/>
        </w:rPr>
        <w:t>KETOCONAZOLE</w:t>
      </w:r>
    </w:p>
    <w:p>
      <w:pPr>
        <w:pStyle w:val="BodyText"/>
        <w:ind w:right="837"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manufacturer of fosaprepitant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5"/>
          <w:w w:val="110"/>
          <w:sz w:val="11"/>
        </w:rPr>
        <w:t>PIMOZIDE</w:t>
      </w:r>
    </w:p>
    <w:p>
      <w:pPr>
        <w:pStyle w:val="BodyText"/>
        <w:spacing w:line="220" w:lineRule="auto" w:before="4"/>
        <w:ind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fosaprepitant possibly increased by </w:t>
      </w:r>
      <w:r>
        <w:rPr>
          <w:rFonts w:ascii="Calibri" w:hAnsi="Calibri"/>
          <w:color w:val="008356"/>
          <w:w w:val="105"/>
          <w:sz w:val="11"/>
        </w:rPr>
        <w:t>RITONAVIR</w:t>
      </w:r>
    </w:p>
    <w:p>
      <w:pPr>
        <w:pStyle w:val="BodyText"/>
        <w:spacing w:line="220" w:lineRule="auto" w:before="9"/>
        <w:ind w:right="670" w:hanging="100"/>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fosaprepitant increases plasma concentration of </w:t>
      </w:r>
      <w:r>
        <w:rPr>
          <w:rFonts w:ascii="Calibri" w:hAnsi="Calibri"/>
          <w:color w:val="008356"/>
          <w:w w:val="105"/>
          <w:sz w:val="11"/>
        </w:rPr>
        <w:t>MIDAZOLAM </w:t>
      </w:r>
      <w:r>
        <w:rPr>
          <w:color w:val="231F1F"/>
          <w:w w:val="105"/>
        </w:rPr>
        <w:t>(risk of prolonged sedation)</w:t>
      </w:r>
    </w:p>
    <w:p>
      <w:pPr>
        <w:pStyle w:val="BodyText"/>
        <w:spacing w:line="220" w:lineRule="auto" w:before="9"/>
        <w:ind w:right="1328" w:hanging="100"/>
        <w:rPr>
          <w:rFonts w:ascii="Calibri" w:hAnsi="Calibri"/>
          <w:sz w:val="11"/>
        </w:rPr>
      </w:pPr>
      <w:r>
        <w:rPr>
          <w:rFonts w:ascii="Lucida Sans Unicode" w:hAnsi="Lucida Sans Unicode"/>
          <w:color w:val="A7A8AC"/>
          <w:w w:val="95"/>
          <w:sz w:val="10"/>
        </w:rPr>
        <w:t>▶ </w:t>
      </w:r>
      <w:r>
        <w:rPr>
          <w:rFonts w:ascii="Calibri" w:hAnsi="Calibri"/>
          <w:color w:val="231F1F"/>
          <w:w w:val="105"/>
        </w:rPr>
        <w:t>Avanafil: </w:t>
      </w:r>
      <w:r>
        <w:rPr>
          <w:color w:val="231F1F"/>
          <w:w w:val="105"/>
        </w:rPr>
        <w:t>fosaprepitant possibly increases plasma concentration of </w:t>
      </w:r>
      <w:r>
        <w:rPr>
          <w:rFonts w:ascii="Calibri" w:hAnsi="Calibri"/>
          <w:color w:val="008356"/>
          <w:w w:val="105"/>
          <w:sz w:val="11"/>
        </w:rPr>
        <w:t>AVANAFIL</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plasma concentration of both drugs may increase when fosaprepitant given with </w:t>
      </w:r>
      <w:r>
        <w:rPr>
          <w:rFonts w:ascii="Calibri" w:hAnsi="Calibri"/>
          <w:color w:val="008356"/>
          <w:w w:val="110"/>
          <w:sz w:val="11"/>
        </w:rPr>
        <w:t>DILTIAZEM</w:t>
      </w:r>
    </w:p>
    <w:p>
      <w:pPr>
        <w:spacing w:line="230" w:lineRule="auto" w:before="5"/>
        <w:ind w:left="208" w:right="670" w:hanging="100"/>
        <w:jc w:val="left"/>
        <w:rPr>
          <w:sz w:val="12"/>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fosaprepitant inhibits metabolism of </w:t>
      </w:r>
      <w:r>
        <w:rPr>
          <w:rFonts w:ascii="Calibri" w:hAnsi="Calibri"/>
          <w:color w:val="008356"/>
          <w:w w:val="105"/>
          <w:sz w:val="11"/>
        </w:rPr>
        <w:t>DEXAMETHASONE </w:t>
      </w:r>
      <w:r>
        <w:rPr>
          <w:color w:val="231F1F"/>
          <w:w w:val="105"/>
          <w:sz w:val="12"/>
        </w:rPr>
        <w:t>and </w:t>
      </w:r>
      <w:r>
        <w:rPr>
          <w:rFonts w:ascii="Calibri" w:hAnsi="Calibri"/>
          <w:color w:val="008356"/>
          <w:w w:val="105"/>
          <w:sz w:val="11"/>
        </w:rPr>
        <w:t>METHYLPREDNISOLONE </w:t>
      </w:r>
      <w:r>
        <w:rPr>
          <w:color w:val="231F1F"/>
          <w:w w:val="105"/>
          <w:sz w:val="12"/>
        </w:rPr>
        <w:t>(reduce dose of </w:t>
      </w:r>
      <w:r>
        <w:rPr>
          <w:color w:val="231F1F"/>
          <w:w w:val="110"/>
          <w:sz w:val="12"/>
        </w:rPr>
        <w:t>dexamethasone and methylprednisolone)</w:t>
      </w:r>
    </w:p>
    <w:p>
      <w:pPr>
        <w:pStyle w:val="BodyText"/>
        <w:spacing w:line="247" w:lineRule="auto" w:before="2"/>
        <w:ind w:right="845" w:hanging="100"/>
        <w:rPr>
          <w:rFonts w:ascii="Calibri" w:hAnsi="Calibri"/>
          <w:sz w:val="11"/>
        </w:rPr>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231F1F"/>
          <w:w w:val="120"/>
        </w:rPr>
        <w:t>Cytotoxics: </w:t>
      </w:r>
      <w:r>
        <w:rPr>
          <w:color w:val="231F1F"/>
          <w:w w:val="120"/>
        </w:rPr>
        <w:t>fosaprepitant possibly increases the plasma </w:t>
      </w:r>
      <w:r>
        <w:rPr>
          <w:color w:val="231F1F"/>
          <w:w w:val="115"/>
        </w:rPr>
        <w:t>concentration of </w:t>
      </w:r>
      <w:r>
        <w:rPr>
          <w:rFonts w:ascii="Arial" w:hAnsi="Arial"/>
          <w:color w:val="231F1F"/>
          <w:w w:val="115"/>
          <w:position w:val="1"/>
          <w:sz w:val="7"/>
        </w:rPr>
        <w:t>l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w:t>
      </w:r>
      <w:r>
        <w:rPr>
          <w:color w:val="231F1F"/>
          <w:w w:val="120"/>
        </w:rPr>
        <w:t>advises avoid or consider reducing dose of bosutinib; </w:t>
      </w:r>
      <w:r>
        <w:rPr>
          <w:color w:val="231F1F"/>
          <w:w w:val="115"/>
        </w:rPr>
        <w:t>fosaprepitant possibly increases plasma concentration </w:t>
      </w:r>
      <w:r>
        <w:rPr>
          <w:color w:val="231F1F"/>
          <w:spacing w:val="-8"/>
          <w:w w:val="115"/>
        </w:rPr>
        <w:t>of </w:t>
      </w:r>
      <w:r>
        <w:rPr>
          <w:rFonts w:ascii="Calibri" w:hAnsi="Calibri"/>
          <w:color w:val="008356"/>
          <w:spacing w:val="5"/>
          <w:w w:val="120"/>
          <w:sz w:val="11"/>
        </w:rPr>
        <w:t>IBRUTINIB</w:t>
      </w:r>
    </w:p>
    <w:p>
      <w:pPr>
        <w:pStyle w:val="BodyText"/>
        <w:spacing w:line="242" w:lineRule="auto"/>
        <w:ind w:right="111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fosaprepitant by 12 hours advised by manufacturer of </w:t>
      </w:r>
      <w:r>
        <w:rPr>
          <w:rFonts w:ascii="Calibri" w:hAnsi="Calibri"/>
          <w:color w:val="008356"/>
          <w:w w:val="105"/>
          <w:sz w:val="11"/>
        </w:rPr>
        <w:t>LOMITAPIDE</w:t>
      </w:r>
    </w:p>
    <w:p>
      <w:pPr>
        <w:pStyle w:val="BodyText"/>
        <w:spacing w:line="140" w:lineRule="exact"/>
        <w:ind w:left="108"/>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Oestrogens: </w:t>
      </w:r>
      <w:r>
        <w:rPr>
          <w:color w:val="231F1F"/>
          <w:w w:val="115"/>
        </w:rPr>
        <w:t>fosaprepitant possibly causes contraceptive</w:t>
      </w:r>
    </w:p>
    <w:p>
      <w:pPr>
        <w:spacing w:before="0"/>
        <w:ind w:left="208" w:right="0" w:firstLine="0"/>
        <w:jc w:val="left"/>
        <w:rPr>
          <w:rFonts w:ascii="Calibri"/>
          <w:sz w:val="11"/>
        </w:rPr>
      </w:pPr>
      <w:r>
        <w:rPr>
          <w:color w:val="231F1F"/>
          <w:w w:val="110"/>
          <w:sz w:val="12"/>
        </w:rPr>
        <w:t>failure of hormonal contraceptives containing </w:t>
      </w:r>
      <w:r>
        <w:rPr>
          <w:rFonts w:ascii="Arial"/>
          <w:color w:val="231F1F"/>
          <w:w w:val="355"/>
          <w:position w:val="1"/>
          <w:sz w:val="7"/>
        </w:rPr>
        <w:t>l </w:t>
      </w:r>
      <w:r>
        <w:rPr>
          <w:rFonts w:ascii="Calibri"/>
          <w:color w:val="008356"/>
          <w:spacing w:val="5"/>
          <w:w w:val="110"/>
          <w:sz w:val="11"/>
        </w:rPr>
        <w:t>OESTROGENS</w:t>
      </w:r>
    </w:p>
    <w:p>
      <w:pPr>
        <w:pStyle w:val="BodyText"/>
      </w:pPr>
      <w:r>
        <w:rPr>
          <w:color w:val="231F1F"/>
          <w:w w:val="115"/>
        </w:rPr>
        <w:t>(alternative contraception recommended)</w:t>
      </w:r>
    </w:p>
    <w:p>
      <w:pPr>
        <w:pStyle w:val="BodyText"/>
        <w:ind w:right="909" w:hanging="100"/>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Progestogens:</w:t>
      </w:r>
      <w:r>
        <w:rPr>
          <w:rFonts w:ascii="Calibri"/>
          <w:color w:val="231F1F"/>
          <w:spacing w:val="-12"/>
          <w:w w:val="115"/>
        </w:rPr>
        <w:t> </w:t>
      </w:r>
      <w:r>
        <w:rPr>
          <w:color w:val="231F1F"/>
          <w:w w:val="115"/>
        </w:rPr>
        <w:t>fosaprepitant</w:t>
      </w:r>
      <w:r>
        <w:rPr>
          <w:color w:val="231F1F"/>
          <w:spacing w:val="-15"/>
          <w:w w:val="115"/>
        </w:rPr>
        <w:t> </w:t>
      </w:r>
      <w:r>
        <w:rPr>
          <w:color w:val="231F1F"/>
          <w:w w:val="115"/>
        </w:rPr>
        <w:t>possibly</w:t>
      </w:r>
      <w:r>
        <w:rPr>
          <w:color w:val="231F1F"/>
          <w:spacing w:val="-16"/>
          <w:w w:val="115"/>
        </w:rPr>
        <w:t> </w:t>
      </w:r>
      <w:r>
        <w:rPr>
          <w:color w:val="231F1F"/>
          <w:w w:val="115"/>
        </w:rPr>
        <w:t>causes</w:t>
      </w:r>
      <w:r>
        <w:rPr>
          <w:color w:val="231F1F"/>
          <w:spacing w:val="-15"/>
          <w:w w:val="115"/>
        </w:rPr>
        <w:t> </w:t>
      </w:r>
      <w:r>
        <w:rPr>
          <w:color w:val="231F1F"/>
          <w:spacing w:val="-3"/>
          <w:w w:val="115"/>
        </w:rPr>
        <w:t>contraceptive </w:t>
      </w:r>
      <w:r>
        <w:rPr>
          <w:color w:val="231F1F"/>
          <w:w w:val="115"/>
        </w:rPr>
        <w:t>failure of hormonal contraceptives</w:t>
      </w:r>
      <w:r>
        <w:rPr>
          <w:color w:val="231F1F"/>
          <w:spacing w:val="-16"/>
          <w:w w:val="115"/>
        </w:rPr>
        <w:t> </w:t>
      </w:r>
      <w:r>
        <w:rPr>
          <w:color w:val="231F1F"/>
          <w:w w:val="115"/>
        </w:rPr>
        <w:t>containing</w:t>
      </w:r>
    </w:p>
    <w:p>
      <w:pPr>
        <w:spacing w:before="3"/>
        <w:ind w:left="208" w:right="0" w:firstLine="0"/>
        <w:jc w:val="left"/>
        <w:rPr>
          <w:sz w:val="12"/>
        </w:rPr>
      </w:pPr>
      <w:r>
        <w:rPr>
          <w:rFonts w:ascii="Arial"/>
          <w:color w:val="231F1F"/>
          <w:w w:val="355"/>
          <w:position w:val="1"/>
          <w:sz w:val="7"/>
        </w:rPr>
        <w:t>l </w:t>
      </w:r>
      <w:r>
        <w:rPr>
          <w:rFonts w:ascii="Calibri"/>
          <w:color w:val="008356"/>
          <w:w w:val="110"/>
          <w:sz w:val="11"/>
        </w:rPr>
        <w:t>PROGESTOGENS </w:t>
      </w:r>
      <w:r>
        <w:rPr>
          <w:color w:val="231F1F"/>
          <w:w w:val="110"/>
          <w:sz w:val="12"/>
        </w:rPr>
        <w:t>(alternative contraception recommended)</w:t>
      </w:r>
    </w:p>
    <w:p>
      <w:pPr>
        <w:pStyle w:val="BodyText"/>
        <w:spacing w:line="139" w:lineRule="exact" w:before="7"/>
        <w:ind w:left="108"/>
        <w:rPr>
          <w:rFonts w:ascii="Trebuchet MS"/>
        </w:rPr>
      </w:pPr>
      <w:r>
        <w:rPr>
          <w:rFonts w:ascii="Trebuchet MS"/>
          <w:color w:val="008356"/>
        </w:rPr>
        <w:t>Foscarnet</w:t>
      </w:r>
    </w:p>
    <w:p>
      <w:pPr>
        <w:spacing w:before="0"/>
        <w:ind w:left="208" w:right="668" w:hanging="100"/>
        <w:jc w:val="left"/>
        <w:rPr>
          <w:rFonts w:ascii="Calibri"/>
          <w:sz w:val="11"/>
        </w:rPr>
      </w:pPr>
      <w:r>
        <w:rPr>
          <w:rFonts w:ascii="Arial"/>
          <w:color w:val="231F1F"/>
          <w:w w:val="355"/>
          <w:position w:val="1"/>
          <w:sz w:val="7"/>
        </w:rPr>
        <w:t>l </w:t>
      </w:r>
      <w:r>
        <w:rPr>
          <w:rFonts w:ascii="Calibri"/>
          <w:color w:val="231F1F"/>
          <w:w w:val="110"/>
          <w:sz w:val="12"/>
        </w:rPr>
        <w:t>Pentamidine Isetionate: </w:t>
      </w:r>
      <w:r>
        <w:rPr>
          <w:color w:val="231F1F"/>
          <w:w w:val="110"/>
          <w:sz w:val="12"/>
        </w:rPr>
        <w:t>increased risk of hypocalcaemia </w:t>
      </w:r>
      <w:r>
        <w:rPr>
          <w:color w:val="231F1F"/>
          <w:spacing w:val="-4"/>
          <w:w w:val="110"/>
          <w:sz w:val="12"/>
        </w:rPr>
        <w:t>when </w:t>
      </w:r>
      <w:r>
        <w:rPr>
          <w:color w:val="231F1F"/>
          <w:w w:val="110"/>
          <w:sz w:val="12"/>
        </w:rPr>
        <w:t>foscarnet given with </w:t>
      </w:r>
      <w:r>
        <w:rPr>
          <w:i/>
          <w:color w:val="231F1F"/>
          <w:w w:val="110"/>
          <w:sz w:val="12"/>
        </w:rPr>
        <w:t>parenteral </w:t>
      </w:r>
      <w:r>
        <w:rPr>
          <w:rFonts w:ascii="Arial"/>
          <w:color w:val="231F1F"/>
          <w:w w:val="355"/>
          <w:position w:val="1"/>
          <w:sz w:val="7"/>
        </w:rPr>
        <w:t>l </w:t>
      </w:r>
      <w:r>
        <w:rPr>
          <w:rFonts w:ascii="Calibri"/>
          <w:color w:val="008356"/>
          <w:spacing w:val="4"/>
          <w:w w:val="110"/>
          <w:sz w:val="11"/>
        </w:rPr>
        <w:t>PENTAMIDINE ISETIONATE</w:t>
      </w:r>
    </w:p>
    <w:p>
      <w:pPr>
        <w:pStyle w:val="BodyText"/>
        <w:spacing w:before="7"/>
        <w:ind w:left="108"/>
        <w:rPr>
          <w:rFonts w:ascii="Trebuchet MS"/>
        </w:rPr>
      </w:pPr>
      <w:r>
        <w:rPr>
          <w:rFonts w:ascii="Trebuchet MS"/>
          <w:color w:val="008356"/>
        </w:rPr>
        <w:t>Fosfomycin</w:t>
      </w:r>
    </w:p>
    <w:p>
      <w:pPr>
        <w:spacing w:line="220" w:lineRule="auto" w:before="1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Metoclopramide: </w:t>
      </w:r>
      <w:r>
        <w:rPr>
          <w:color w:val="231F1F"/>
          <w:w w:val="105"/>
          <w:sz w:val="12"/>
        </w:rPr>
        <w:t>plasma concentration of fosfomycin reduced by</w:t>
      </w:r>
      <w:r>
        <w:rPr>
          <w:color w:val="231F1F"/>
          <w:spacing w:val="-2"/>
          <w:w w:val="105"/>
          <w:sz w:val="12"/>
        </w:rPr>
        <w:t> </w:t>
      </w:r>
      <w:r>
        <w:rPr>
          <w:rFonts w:ascii="Calibri" w:hAnsi="Calibri"/>
          <w:color w:val="008356"/>
          <w:spacing w:val="4"/>
          <w:w w:val="105"/>
          <w:sz w:val="11"/>
        </w:rPr>
        <w:t>METOCLOPRAMIDE</w:t>
      </w:r>
    </w:p>
    <w:p>
      <w:pPr>
        <w:spacing w:line="220" w:lineRule="auto" w:before="8"/>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08"/>
      </w:pPr>
      <w:r>
        <w:rPr>
          <w:rFonts w:ascii="Trebuchet MS"/>
          <w:color w:val="008356"/>
          <w:w w:val="105"/>
        </w:rPr>
        <w:t>Fosinopril </w:t>
      </w:r>
      <w:r>
        <w:rPr>
          <w:i/>
          <w:color w:val="231F1F"/>
          <w:w w:val="105"/>
        </w:rPr>
        <w:t>see </w:t>
      </w:r>
      <w:r>
        <w:rPr>
          <w:color w:val="231F1F"/>
          <w:w w:val="105"/>
        </w:rPr>
        <w:t>ACE Inhibitors</w:t>
      </w:r>
    </w:p>
    <w:p>
      <w:pPr>
        <w:pStyle w:val="BodyText"/>
        <w:spacing w:before="10"/>
        <w:ind w:left="108"/>
        <w:rPr>
          <w:rFonts w:ascii="Trebuchet MS"/>
        </w:rPr>
      </w:pPr>
      <w:r>
        <w:rPr>
          <w:rFonts w:ascii="Trebuchet MS"/>
          <w:color w:val="008356"/>
        </w:rPr>
        <w:t>Fosphenytoin</w:t>
      </w:r>
    </w:p>
    <w:p>
      <w:pPr>
        <w:pStyle w:val="BodyText"/>
        <w:spacing w:line="220" w:lineRule="auto" w:before="10"/>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plasma concentration of fosphenytoin possibly reduced by chronic heavy consumption of </w:t>
      </w:r>
      <w:r>
        <w:rPr>
          <w:rFonts w:ascii="Calibri" w:hAnsi="Calibri"/>
          <w:color w:val="008356"/>
          <w:w w:val="110"/>
          <w:sz w:val="11"/>
        </w:rPr>
        <w:t>ALCOHOL</w:t>
      </w:r>
    </w:p>
    <w:p>
      <w:pPr>
        <w:pStyle w:val="BodyText"/>
        <w:ind w:right="670" w:hanging="100"/>
        <w:rPr>
          <w:rFonts w:ascii="Calibri"/>
          <w:sz w:val="11"/>
        </w:rPr>
      </w:pPr>
      <w:r>
        <w:rPr>
          <w:rFonts w:ascii="Arial"/>
          <w:color w:val="231F1F"/>
          <w:w w:val="355"/>
          <w:position w:val="1"/>
          <w:sz w:val="7"/>
        </w:rPr>
        <w:t>l </w:t>
      </w:r>
      <w:r>
        <w:rPr>
          <w:rFonts w:ascii="Calibri"/>
          <w:color w:val="231F1F"/>
          <w:w w:val="110"/>
        </w:rPr>
        <w:t>Aminophylline: </w:t>
      </w:r>
      <w:r>
        <w:rPr>
          <w:color w:val="231F1F"/>
          <w:w w:val="110"/>
        </w:rPr>
        <w:t>plasma concentration of both drugs </w:t>
      </w:r>
      <w:r>
        <w:rPr>
          <w:color w:val="231F1F"/>
          <w:spacing w:val="-3"/>
          <w:w w:val="110"/>
        </w:rPr>
        <w:t>reduced </w:t>
      </w:r>
      <w:r>
        <w:rPr>
          <w:color w:val="231F1F"/>
          <w:w w:val="110"/>
        </w:rPr>
        <w:t>when fosphenytoin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5"/>
          <w:w w:val="110"/>
          <w:sz w:val="11"/>
        </w:rPr>
        <w:t>AMINOPHYLLINE</w:t>
      </w:r>
    </w:p>
    <w:p>
      <w:pPr>
        <w:pStyle w:val="BodyText"/>
        <w:spacing w:line="143" w:lineRule="exact"/>
        <w:ind w:left="108"/>
      </w:pPr>
      <w:r>
        <w:rPr>
          <w:rFonts w:ascii="Arial"/>
          <w:color w:val="231F1F"/>
          <w:w w:val="355"/>
          <w:position w:val="1"/>
          <w:sz w:val="7"/>
        </w:rPr>
        <w:t>l </w:t>
      </w:r>
      <w:r>
        <w:rPr>
          <w:rFonts w:ascii="Calibri"/>
          <w:color w:val="231F1F"/>
          <w:w w:val="115"/>
        </w:rPr>
        <w:t>Analgesics: </w:t>
      </w:r>
      <w:r>
        <w:rPr>
          <w:color w:val="231F1F"/>
          <w:w w:val="115"/>
        </w:rPr>
        <w:t>excretion of fosphenytoin possibly reduced by</w:t>
      </w:r>
    </w:p>
    <w:p>
      <w:pPr>
        <w:pStyle w:val="BodyText"/>
      </w:pPr>
      <w:r>
        <w:rPr>
          <w:rFonts w:ascii="Calibri"/>
          <w:color w:val="008356"/>
          <w:w w:val="110"/>
          <w:sz w:val="11"/>
        </w:rPr>
        <w:t>ACEMETACIN </w:t>
      </w:r>
      <w:r>
        <w:rPr>
          <w:color w:val="231F1F"/>
          <w:w w:val="110"/>
        </w:rPr>
        <w:t>(increased risk of toxicity); fosphenytoin possibly</w:t>
      </w:r>
    </w:p>
    <w:p>
      <w:pPr>
        <w:spacing w:after="0"/>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952" filled="true" fillcolor="#bfdbcf" stroked="false">
            <v:fill type="solid"/>
            <w10:wrap type="none"/>
          </v:rect>
        </w:pict>
      </w:r>
      <w:r>
        <w:rPr/>
        <w:pict>
          <v:shape style="position:absolute;margin-left:7.751256pt;margin-top:35.804367pt;width:10.4pt;height:78.850pt;mso-position-horizontal-relative:page;mso-position-vertical-relative:page;z-index:397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Fosphenytoin</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Analgesics (continued)</w:t>
      </w:r>
    </w:p>
    <w:p>
      <w:pPr>
        <w:pStyle w:val="BodyText"/>
        <w:spacing w:line="244" w:lineRule="auto"/>
        <w:ind w:left="286" w:right="37"/>
      </w:pPr>
      <w:r>
        <w:rPr>
          <w:color w:val="231F1F"/>
          <w:w w:val="105"/>
        </w:rPr>
        <w:t>accelerates metabolism of </w:t>
      </w:r>
      <w:r>
        <w:rPr>
          <w:rFonts w:ascii="Calibri"/>
          <w:color w:val="008356"/>
          <w:w w:val="105"/>
          <w:sz w:val="11"/>
        </w:rPr>
        <w:t>FENTANYL </w:t>
      </w:r>
      <w:r>
        <w:rPr>
          <w:color w:val="231F1F"/>
          <w:w w:val="105"/>
        </w:rPr>
        <w:t>(reduced effect); fosphenytoin accelerates metabolism of </w:t>
      </w:r>
      <w:r>
        <w:rPr>
          <w:rFonts w:ascii="Calibri"/>
          <w:color w:val="008356"/>
          <w:w w:val="105"/>
          <w:sz w:val="11"/>
        </w:rPr>
        <w:t>METHADONE </w:t>
      </w:r>
      <w:r>
        <w:rPr>
          <w:color w:val="231F1F"/>
          <w:w w:val="105"/>
        </w:rPr>
        <w:t>(reduced effect and risk of withdrawal effects); fosphenytoin possibly increases risk of </w:t>
      </w:r>
      <w:r>
        <w:rPr>
          <w:rFonts w:ascii="Arial"/>
          <w:color w:val="231F1F"/>
          <w:w w:val="355"/>
          <w:position w:val="1"/>
          <w:sz w:val="7"/>
        </w:rPr>
        <w:t>l </w:t>
      </w:r>
      <w:r>
        <w:rPr>
          <w:rFonts w:ascii="Calibri"/>
          <w:color w:val="008356"/>
          <w:w w:val="105"/>
          <w:sz w:val="11"/>
        </w:rPr>
        <w:t>PETHIDINE </w:t>
      </w:r>
      <w:r>
        <w:rPr>
          <w:color w:val="231F1F"/>
          <w:w w:val="105"/>
        </w:rPr>
        <w:t>toxicity; effects of fosphenytoin enhanced by </w:t>
      </w:r>
      <w:r>
        <w:rPr>
          <w:rFonts w:ascii="Calibri"/>
          <w:color w:val="008356"/>
          <w:w w:val="105"/>
          <w:sz w:val="11"/>
        </w:rPr>
        <w:t>ASPIRIN</w:t>
      </w:r>
      <w:r>
        <w:rPr>
          <w:color w:val="231F1F"/>
          <w:w w:val="105"/>
        </w:rPr>
        <w:t>; fosphenytoin possibly accelerates metabolism of </w:t>
      </w:r>
      <w:r>
        <w:rPr>
          <w:rFonts w:ascii="Calibri"/>
          <w:color w:val="008356"/>
          <w:w w:val="105"/>
          <w:sz w:val="11"/>
        </w:rPr>
        <w:t>PARACETAMOL </w:t>
      </w:r>
      <w:r>
        <w:rPr>
          <w:color w:val="231F1F"/>
          <w:w w:val="105"/>
        </w:rPr>
        <w:t>(also isolated reports of hepatotoxicity)</w:t>
      </w:r>
    </w:p>
    <w:p>
      <w:pPr>
        <w:pStyle w:val="BodyText"/>
        <w:spacing w:line="147"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fosphenytoin reduced by </w:t>
      </w:r>
      <w:r>
        <w:rPr>
          <w:rFonts w:ascii="Calibri" w:hAnsi="Calibri"/>
          <w:color w:val="008356"/>
          <w:w w:val="105"/>
          <w:sz w:val="11"/>
        </w:rPr>
        <w:t>ANTACIDS</w:t>
      </w:r>
    </w:p>
    <w:p>
      <w:pPr>
        <w:pStyle w:val="BodyText"/>
        <w:spacing w:line="138" w:lineRule="exact"/>
        <w:ind w:left="186"/>
      </w:pPr>
      <w:r>
        <w:rPr>
          <w:rFonts w:ascii="Arial"/>
          <w:color w:val="231F1F"/>
          <w:w w:val="355"/>
          <w:position w:val="1"/>
          <w:sz w:val="7"/>
        </w:rPr>
        <w:t>l </w:t>
      </w:r>
      <w:r>
        <w:rPr>
          <w:rFonts w:ascii="Calibri"/>
          <w:color w:val="231F1F"/>
          <w:w w:val="110"/>
        </w:rPr>
        <w:t>Anthelmintics: </w:t>
      </w:r>
      <w:r>
        <w:rPr>
          <w:color w:val="231F1F"/>
          <w:w w:val="110"/>
        </w:rPr>
        <w:t>fosphenytoin reduces plasma concentration of</w:t>
      </w:r>
    </w:p>
    <w:p>
      <w:pPr>
        <w:pStyle w:val="BodyText"/>
        <w:spacing w:line="247" w:lineRule="auto"/>
        <w:ind w:left="286" w:right="53"/>
        <w:rPr>
          <w:rFonts w:ascii="Calibri" w:hAnsi="Calibri"/>
          <w:sz w:val="11"/>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ALBENDAZOLE </w:t>
      </w:r>
      <w:r>
        <w:rPr>
          <w:color w:val="231F1F"/>
          <w:w w:val="115"/>
        </w:rPr>
        <w:t>and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PRAZIQUANTEL</w:t>
      </w:r>
      <w:r>
        <w:rPr>
          <w:rFonts w:ascii="Arial" w:hAnsi="Arial"/>
          <w:color w:val="231F1F"/>
          <w:spacing w:val="2"/>
          <w:w w:val="115"/>
        </w:rPr>
        <w:t>—</w:t>
      </w:r>
      <w:r>
        <w:rPr>
          <w:color w:val="231F1F"/>
          <w:spacing w:val="2"/>
          <w:w w:val="115"/>
        </w:rPr>
        <w:t>consider </w:t>
      </w:r>
      <w:r>
        <w:rPr>
          <w:color w:val="231F1F"/>
          <w:w w:val="115"/>
        </w:rPr>
        <w:t>increasing albendazole and praziquantel dose when given for systemic infections; plasma concentration of fosphenytoin possibly increased by </w:t>
      </w:r>
      <w:r>
        <w:rPr>
          <w:rFonts w:ascii="Calibri" w:hAnsi="Calibri"/>
          <w:color w:val="008356"/>
          <w:spacing w:val="4"/>
          <w:w w:val="115"/>
          <w:sz w:val="11"/>
        </w:rPr>
        <w:t>LEVAMISOLE</w:t>
      </w:r>
    </w:p>
    <w:p>
      <w:pPr>
        <w:pStyle w:val="BodyText"/>
        <w:spacing w:line="139" w:lineRule="exact"/>
        <w:ind w:left="186"/>
      </w:pPr>
      <w:r>
        <w:rPr>
          <w:rFonts w:ascii="Arial"/>
          <w:color w:val="231F1F"/>
          <w:w w:val="355"/>
          <w:position w:val="1"/>
          <w:sz w:val="7"/>
        </w:rPr>
        <w:t>l </w:t>
      </w:r>
      <w:r>
        <w:rPr>
          <w:rFonts w:ascii="Calibri"/>
          <w:color w:val="231F1F"/>
          <w:w w:val="115"/>
        </w:rPr>
        <w:t>Anti-arrhythmics: </w:t>
      </w:r>
      <w:r>
        <w:rPr>
          <w:color w:val="231F1F"/>
          <w:w w:val="115"/>
        </w:rPr>
        <w:t>metabolism of fosphenytoin inhibited by</w:t>
      </w:r>
    </w:p>
    <w:p>
      <w:pPr>
        <w:pStyle w:val="BodyText"/>
        <w:spacing w:line="242" w:lineRule="auto"/>
        <w:ind w:left="286" w:right="37"/>
      </w:pPr>
      <w:r>
        <w:rPr>
          <w:rFonts w:ascii="Arial"/>
          <w:color w:val="231F1F"/>
          <w:w w:val="355"/>
          <w:position w:val="1"/>
          <w:sz w:val="7"/>
        </w:rPr>
        <w:t>l </w:t>
      </w:r>
      <w:r>
        <w:rPr>
          <w:rFonts w:ascii="Calibri"/>
          <w:color w:val="008356"/>
          <w:w w:val="110"/>
          <w:sz w:val="11"/>
        </w:rPr>
        <w:t>AMIODARONE </w:t>
      </w:r>
      <w:r>
        <w:rPr>
          <w:color w:val="231F1F"/>
          <w:w w:val="110"/>
        </w:rPr>
        <w:t>(increased plasma concentration); fosphenytoin reduces plasma concentration of </w:t>
      </w:r>
      <w:r>
        <w:rPr>
          <w:rFonts w:ascii="Calibri"/>
          <w:color w:val="008356"/>
          <w:w w:val="110"/>
          <w:sz w:val="11"/>
        </w:rPr>
        <w:t>DISOPYRAMIDE</w:t>
      </w:r>
      <w:r>
        <w:rPr>
          <w:color w:val="231F1F"/>
          <w:w w:val="110"/>
        </w:rPr>
        <w:t>; fosphenytoin possibly reduces plasma concentration of</w:t>
      </w:r>
    </w:p>
    <w:p>
      <w:pPr>
        <w:spacing w:line="141" w:lineRule="exact" w:before="3"/>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DRONEDARONE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4" w:lineRule="auto"/>
        <w:ind w:left="286" w:right="104" w:hanging="100"/>
      </w:pPr>
      <w:r>
        <w:rPr>
          <w:rFonts w:ascii="Arial" w:hAnsi="Arial"/>
          <w:color w:val="231F1F"/>
          <w:w w:val="355"/>
          <w:position w:val="1"/>
          <w:sz w:val="7"/>
        </w:rPr>
        <w:t>l </w:t>
      </w:r>
      <w:r>
        <w:rPr>
          <w:rFonts w:ascii="Calibri" w:hAnsi="Calibri"/>
          <w:color w:val="231F1F"/>
          <w:w w:val="110"/>
        </w:rPr>
        <w:t>Antibacterials: </w:t>
      </w:r>
      <w:r>
        <w:rPr>
          <w:color w:val="231F1F"/>
          <w:w w:val="110"/>
        </w:rPr>
        <w:t>metabolism of fosphenytoin inhibited by </w:t>
      </w:r>
      <w:r>
        <w:rPr>
          <w:rFonts w:ascii="Calibri" w:hAnsi="Calibri"/>
          <w:color w:val="008356"/>
          <w:w w:val="110"/>
          <w:sz w:val="11"/>
        </w:rPr>
        <w:t>CLARITHROMYCIN </w:t>
      </w:r>
      <w:r>
        <w:rPr>
          <w:color w:val="231F1F"/>
          <w:w w:val="110"/>
        </w:rPr>
        <w:t>(increased plasma concentration); metabolism of fosphenytoin possibly inhibited by </w:t>
      </w:r>
      <w:r>
        <w:rPr>
          <w:rFonts w:ascii="Calibri" w:hAnsi="Calibri"/>
          <w:color w:val="008356"/>
          <w:w w:val="110"/>
          <w:sz w:val="11"/>
        </w:rPr>
        <w:t>METRONIDAZOLE </w:t>
      </w:r>
      <w:r>
        <w:rPr>
          <w:color w:val="231F1F"/>
          <w:w w:val="110"/>
        </w:rPr>
        <w:t>(increased plasma concentration); plasma concentration of fosphenytoin increased or decreased by </w:t>
      </w:r>
      <w:r>
        <w:rPr>
          <w:rFonts w:ascii="Calibri" w:hAnsi="Calibri"/>
          <w:color w:val="008356"/>
          <w:w w:val="110"/>
          <w:sz w:val="11"/>
        </w:rPr>
        <w:t>CIPROFLOXACIN</w:t>
      </w:r>
      <w:r>
        <w:rPr>
          <w:color w:val="231F1F"/>
          <w:w w:val="110"/>
        </w:rPr>
        <w:t>; fosphenytoin accelerates metabolism of </w:t>
      </w:r>
      <w:r>
        <w:rPr>
          <w:rFonts w:ascii="Calibri" w:hAnsi="Calibri"/>
          <w:color w:val="008356"/>
          <w:w w:val="110"/>
          <w:sz w:val="11"/>
        </w:rPr>
        <w:t>DOXYCYCLINE </w:t>
      </w:r>
      <w:r>
        <w:rPr>
          <w:color w:val="231F1F"/>
          <w:w w:val="110"/>
        </w:rPr>
        <w:t>(reduced plasma concentration); fosphenytoin possibly reduces plasma concentration of </w:t>
      </w:r>
      <w:r>
        <w:rPr>
          <w:rFonts w:ascii="Arial" w:hAnsi="Arial"/>
          <w:color w:val="231F1F"/>
          <w:w w:val="355"/>
          <w:position w:val="1"/>
          <w:sz w:val="7"/>
        </w:rPr>
        <w:t>l </w:t>
      </w:r>
      <w:r>
        <w:rPr>
          <w:rFonts w:ascii="Calibri" w:hAnsi="Calibri"/>
          <w:color w:val="008356"/>
          <w:w w:val="110"/>
          <w:sz w:val="11"/>
        </w:rPr>
        <w:t>BEDAQUILINE</w:t>
      </w:r>
      <w:r>
        <w:rPr>
          <w:rFonts w:ascii="Arial" w:hAnsi="Arial"/>
          <w:color w:val="231F1F"/>
          <w:w w:val="110"/>
        </w:rPr>
        <w:t>— </w:t>
      </w:r>
      <w:r>
        <w:rPr>
          <w:color w:val="231F1F"/>
          <w:w w:val="110"/>
        </w:rPr>
        <w:t>manufacturer of bedaquiline advises avoid concomitant use; plasma concentration of fosphenytoin increased by</w:t>
      </w:r>
    </w:p>
    <w:p>
      <w:pPr>
        <w:pStyle w:val="BodyText"/>
        <w:spacing w:line="242" w:lineRule="auto" w:before="1"/>
        <w:ind w:left="286" w:right="26" w:hanging="1"/>
      </w:pPr>
      <w:r>
        <w:rPr>
          <w:rFonts w:ascii="Arial"/>
          <w:color w:val="231F1F"/>
          <w:w w:val="355"/>
          <w:position w:val="1"/>
          <w:sz w:val="7"/>
        </w:rPr>
        <w:t>l </w:t>
      </w:r>
      <w:r>
        <w:rPr>
          <w:rFonts w:ascii="Calibri"/>
          <w:color w:val="008356"/>
          <w:spacing w:val="4"/>
          <w:w w:val="105"/>
          <w:sz w:val="11"/>
        </w:rPr>
        <w:t>CHLORAMPHENICOL </w:t>
      </w:r>
      <w:r>
        <w:rPr>
          <w:color w:val="231F1F"/>
          <w:w w:val="105"/>
        </w:rPr>
        <w:t>(increased risk of toxicity); metabolism </w:t>
      </w:r>
      <w:r>
        <w:rPr>
          <w:color w:val="231F1F"/>
          <w:spacing w:val="-6"/>
          <w:w w:val="105"/>
        </w:rPr>
        <w:t>of </w:t>
      </w:r>
      <w:r>
        <w:rPr>
          <w:color w:val="231F1F"/>
          <w:w w:val="105"/>
        </w:rPr>
        <w:t>fosphenytoin possibly  inhibited  by  </w:t>
      </w:r>
      <w:r>
        <w:rPr>
          <w:rFonts w:ascii="Calibri"/>
          <w:color w:val="008356"/>
          <w:spacing w:val="4"/>
          <w:w w:val="105"/>
          <w:sz w:val="11"/>
        </w:rPr>
        <w:t>ISONIAZID  </w:t>
      </w:r>
      <w:r>
        <w:rPr>
          <w:color w:val="231F1F"/>
          <w:w w:val="105"/>
        </w:rPr>
        <w:t>(increased  risk of toxicity); metabolism of fosphenytoin</w:t>
      </w:r>
      <w:r>
        <w:rPr>
          <w:color w:val="231F1F"/>
          <w:spacing w:val="6"/>
          <w:w w:val="105"/>
        </w:rPr>
        <w:t> </w:t>
      </w:r>
      <w:r>
        <w:rPr>
          <w:color w:val="231F1F"/>
          <w:w w:val="105"/>
        </w:rPr>
        <w:t>accelerated by</w:t>
      </w:r>
    </w:p>
    <w:p>
      <w:pPr>
        <w:pStyle w:val="BodyText"/>
        <w:spacing w:line="244" w:lineRule="auto" w:before="6"/>
        <w:ind w:left="286" w:right="13"/>
      </w:pPr>
      <w:r>
        <w:rPr>
          <w:rFonts w:ascii="Arial"/>
          <w:color w:val="231F1F"/>
          <w:w w:val="355"/>
          <w:position w:val="1"/>
          <w:sz w:val="7"/>
        </w:rPr>
        <w:t>l </w:t>
      </w:r>
      <w:r>
        <w:rPr>
          <w:rFonts w:ascii="Calibri"/>
          <w:color w:val="008356"/>
          <w:spacing w:val="3"/>
          <w:w w:val="110"/>
          <w:sz w:val="11"/>
        </w:rPr>
        <w:t>RIFAMYCINS </w:t>
      </w:r>
      <w:r>
        <w:rPr>
          <w:color w:val="231F1F"/>
          <w:w w:val="110"/>
        </w:rPr>
        <w:t>(reduced plasma concentration); plasma concentration of fosphenytoin possibly increased by </w:t>
      </w:r>
      <w:r>
        <w:rPr>
          <w:rFonts w:ascii="Calibri"/>
          <w:color w:val="008356"/>
          <w:spacing w:val="4"/>
          <w:w w:val="110"/>
          <w:sz w:val="11"/>
        </w:rPr>
        <w:t>SULFONAMIDES</w:t>
      </w:r>
      <w:r>
        <w:rPr>
          <w:color w:val="231F1F"/>
          <w:spacing w:val="4"/>
          <w:w w:val="110"/>
        </w:rPr>
        <w:t>; </w:t>
      </w:r>
      <w:r>
        <w:rPr>
          <w:color w:val="231F1F"/>
          <w:w w:val="110"/>
        </w:rPr>
        <w:t>fosphenytoin  reduces plasma concentration of </w:t>
      </w:r>
      <w:r>
        <w:rPr>
          <w:rFonts w:ascii="Arial"/>
          <w:color w:val="231F1F"/>
          <w:w w:val="355"/>
          <w:position w:val="1"/>
          <w:sz w:val="7"/>
        </w:rPr>
        <w:t>l </w:t>
      </w:r>
      <w:r>
        <w:rPr>
          <w:rFonts w:ascii="Calibri"/>
          <w:color w:val="008356"/>
          <w:spacing w:val="4"/>
          <w:w w:val="110"/>
          <w:sz w:val="11"/>
        </w:rPr>
        <w:t>TELITHROMYCIN </w:t>
      </w:r>
      <w:r>
        <w:rPr>
          <w:color w:val="231F1F"/>
          <w:w w:val="110"/>
        </w:rPr>
        <w:t>(avoid during and for 2 weeks after fosphenytoin); plasma concentration of  fosphenytoin increased</w:t>
      </w:r>
      <w:r>
        <w:rPr>
          <w:color w:val="231F1F"/>
          <w:spacing w:val="-5"/>
          <w:w w:val="110"/>
        </w:rPr>
        <w:t> </w:t>
      </w:r>
      <w:r>
        <w:rPr>
          <w:color w:val="231F1F"/>
          <w:w w:val="110"/>
        </w:rPr>
        <w:t>by</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TRIMETHOPRIM</w:t>
      </w:r>
      <w:r>
        <w:rPr>
          <w:rFonts w:ascii="Calibri"/>
          <w:color w:val="008356"/>
          <w:spacing w:val="7"/>
          <w:w w:val="110"/>
          <w:sz w:val="11"/>
        </w:rPr>
        <w:t> </w:t>
      </w:r>
      <w:r>
        <w:rPr>
          <w:color w:val="231F1F"/>
          <w:w w:val="110"/>
        </w:rPr>
        <w:t>(also</w:t>
      </w:r>
      <w:r>
        <w:rPr>
          <w:color w:val="231F1F"/>
          <w:spacing w:val="-5"/>
          <w:w w:val="110"/>
        </w:rPr>
        <w:t> </w:t>
      </w:r>
      <w:r>
        <w:rPr>
          <w:color w:val="231F1F"/>
          <w:w w:val="110"/>
        </w:rPr>
        <w:t>increased</w:t>
      </w:r>
      <w:r>
        <w:rPr>
          <w:color w:val="231F1F"/>
          <w:spacing w:val="-6"/>
          <w:w w:val="110"/>
        </w:rPr>
        <w:t> </w:t>
      </w:r>
      <w:r>
        <w:rPr>
          <w:color w:val="231F1F"/>
          <w:w w:val="110"/>
        </w:rPr>
        <w:t>antifolate</w:t>
      </w:r>
      <w:r>
        <w:rPr>
          <w:color w:val="231F1F"/>
          <w:spacing w:val="-4"/>
          <w:w w:val="110"/>
        </w:rPr>
        <w:t> </w:t>
      </w:r>
      <w:r>
        <w:rPr>
          <w:color w:val="231F1F"/>
          <w:w w:val="110"/>
        </w:rPr>
        <w:t>effect)</w:t>
      </w:r>
    </w:p>
    <w:p>
      <w:pPr>
        <w:pStyle w:val="BodyText"/>
        <w:spacing w:line="244" w:lineRule="auto"/>
        <w:ind w:left="286" w:right="225" w:hanging="100"/>
      </w:pPr>
      <w:r>
        <w:rPr>
          <w:rFonts w:ascii="Arial" w:hAnsi="Arial"/>
          <w:color w:val="231F1F"/>
          <w:w w:val="355"/>
          <w:position w:val="1"/>
          <w:sz w:val="7"/>
        </w:rPr>
        <w:t>l </w:t>
      </w:r>
      <w:r>
        <w:rPr>
          <w:rFonts w:ascii="Calibri" w:hAnsi="Calibri"/>
          <w:color w:val="231F1F"/>
          <w:w w:val="115"/>
        </w:rPr>
        <w:t>Anticoagulants: </w:t>
      </w:r>
      <w:r>
        <w:rPr>
          <w:color w:val="231F1F"/>
          <w:w w:val="115"/>
        </w:rPr>
        <w:t>fosphenytoin possibly reduces plasma concentration of </w:t>
      </w:r>
      <w:r>
        <w:rPr>
          <w:rFonts w:ascii="Arial" w:hAnsi="Arial"/>
          <w:color w:val="231F1F"/>
          <w:w w:val="355"/>
          <w:position w:val="1"/>
          <w:sz w:val="7"/>
        </w:rPr>
        <w:t>l </w:t>
      </w:r>
      <w:r>
        <w:rPr>
          <w:rFonts w:ascii="Calibri" w:hAnsi="Calibri"/>
          <w:color w:val="008356"/>
          <w:spacing w:val="4"/>
          <w:w w:val="115"/>
          <w:sz w:val="11"/>
        </w:rPr>
        <w:t>APIXABAN</w:t>
      </w:r>
      <w:r>
        <w:rPr>
          <w:color w:val="231F1F"/>
          <w:spacing w:val="4"/>
          <w:w w:val="115"/>
        </w:rPr>
        <w:t>; </w:t>
      </w:r>
      <w:r>
        <w:rPr>
          <w:color w:val="231F1F"/>
          <w:w w:val="115"/>
        </w:rPr>
        <w:t>fosphenytoin accelerates metabolism of </w:t>
      </w:r>
      <w:r>
        <w:rPr>
          <w:rFonts w:ascii="Arial" w:hAnsi="Arial"/>
          <w:color w:val="231F1F"/>
          <w:w w:val="355"/>
          <w:position w:val="1"/>
          <w:sz w:val="7"/>
        </w:rPr>
        <w:t>l </w:t>
      </w:r>
      <w:r>
        <w:rPr>
          <w:rFonts w:ascii="Calibri" w:hAnsi="Calibri"/>
          <w:color w:val="008356"/>
          <w:spacing w:val="4"/>
          <w:w w:val="115"/>
          <w:sz w:val="11"/>
        </w:rPr>
        <w:t>COUMARINS </w:t>
      </w:r>
      <w:r>
        <w:rPr>
          <w:color w:val="231F1F"/>
          <w:w w:val="115"/>
        </w:rPr>
        <w:t>(possibility of reduced anticoagulant effect, but enhancement also reported); fosphenytoin possibly reduces plasma concentration of </w:t>
      </w:r>
      <w:r>
        <w:rPr>
          <w:rFonts w:ascii="Calibri" w:hAnsi="Calibri"/>
          <w:color w:val="008356"/>
          <w:w w:val="115"/>
          <w:sz w:val="11"/>
        </w:rPr>
        <w:t>DABIGATRAN</w:t>
      </w:r>
      <w:r>
        <w:rPr>
          <w:rFonts w:ascii="Arial" w:hAnsi="Arial"/>
          <w:color w:val="231F1F"/>
          <w:w w:val="115"/>
        </w:rPr>
        <w:t>—</w:t>
      </w:r>
      <w:r>
        <w:rPr>
          <w:color w:val="231F1F"/>
          <w:w w:val="115"/>
        </w:rPr>
        <w:t>manufacturer of dabigatran advises avoid concomitant use; fosphenytoin possibly reduces </w:t>
      </w:r>
      <w:r>
        <w:rPr>
          <w:color w:val="231F1F"/>
          <w:spacing w:val="-3"/>
          <w:w w:val="115"/>
        </w:rPr>
        <w:t>plasma </w:t>
      </w:r>
      <w:r>
        <w:rPr>
          <w:color w:val="231F1F"/>
          <w:w w:val="115"/>
        </w:rPr>
        <w:t>concentration of </w:t>
      </w:r>
      <w:r>
        <w:rPr>
          <w:rFonts w:ascii="Arial" w:hAnsi="Arial"/>
          <w:color w:val="231F1F"/>
          <w:w w:val="355"/>
          <w:position w:val="1"/>
          <w:sz w:val="7"/>
        </w:rPr>
        <w:t>l </w:t>
      </w:r>
      <w:r>
        <w:rPr>
          <w:rFonts w:ascii="Calibri" w:hAnsi="Calibri"/>
          <w:color w:val="008356"/>
          <w:w w:val="115"/>
          <w:sz w:val="11"/>
        </w:rPr>
        <w:t>RIVAROXABAN</w:t>
      </w:r>
      <w:r>
        <w:rPr>
          <w:rFonts w:ascii="Arial" w:hAnsi="Arial"/>
          <w:color w:val="231F1F"/>
          <w:w w:val="115"/>
        </w:rPr>
        <w:t>—</w:t>
      </w:r>
      <w:r>
        <w:rPr>
          <w:color w:val="231F1F"/>
          <w:w w:val="115"/>
        </w:rPr>
        <w:t>manufacturer of rivaroxaban advises monitor for signs of thrombosis</w:t>
      </w:r>
    </w:p>
    <w:p>
      <w:pPr>
        <w:spacing w:line="242" w:lineRule="auto" w:before="0"/>
        <w:ind w:left="286" w:right="33"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plasma concentration of fosphenytoin increased</w:t>
      </w:r>
      <w:r>
        <w:rPr>
          <w:color w:val="231F1F"/>
          <w:spacing w:val="-10"/>
          <w:w w:val="110"/>
          <w:sz w:val="12"/>
        </w:rPr>
        <w:t> </w:t>
      </w:r>
      <w:r>
        <w:rPr>
          <w:color w:val="231F1F"/>
          <w:w w:val="110"/>
          <w:sz w:val="12"/>
        </w:rPr>
        <w:t>by</w:t>
      </w:r>
      <w:r>
        <w:rPr>
          <w:color w:val="231F1F"/>
          <w:spacing w:val="-9"/>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FLUOXETINE</w:t>
      </w:r>
      <w:r>
        <w:rPr>
          <w:rFonts w:ascii="Calibri" w:hAnsi="Calibri"/>
          <w:color w:val="008356"/>
          <w:spacing w:val="1"/>
          <w:w w:val="110"/>
          <w:sz w:val="11"/>
        </w:rPr>
        <w:t> </w:t>
      </w:r>
      <w:r>
        <w:rPr>
          <w:color w:val="231F1F"/>
          <w:w w:val="110"/>
          <w:sz w:val="12"/>
        </w:rPr>
        <w:t>and</w:t>
      </w:r>
      <w:r>
        <w:rPr>
          <w:color w:val="231F1F"/>
          <w:spacing w:val="-9"/>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0"/>
          <w:sz w:val="11"/>
        </w:rPr>
        <w:t>FLUVOXAMINE</w:t>
      </w:r>
      <w:r>
        <w:rPr>
          <w:color w:val="231F1F"/>
          <w:spacing w:val="4"/>
          <w:w w:val="110"/>
          <w:sz w:val="12"/>
        </w:rPr>
        <w:t>;</w:t>
      </w:r>
      <w:r>
        <w:rPr>
          <w:color w:val="231F1F"/>
          <w:spacing w:val="-9"/>
          <w:w w:val="110"/>
          <w:sz w:val="12"/>
        </w:rPr>
        <w:t> </w:t>
      </w:r>
      <w:r>
        <w:rPr>
          <w:color w:val="231F1F"/>
          <w:w w:val="110"/>
          <w:sz w:val="12"/>
        </w:rPr>
        <w:t>fosphenytoin reduces plasma concentration of </w:t>
      </w:r>
      <w:r>
        <w:rPr>
          <w:rFonts w:ascii="Arial" w:hAnsi="Arial"/>
          <w:color w:val="231F1F"/>
          <w:w w:val="355"/>
          <w:position w:val="1"/>
          <w:sz w:val="7"/>
        </w:rPr>
        <w:t>l </w:t>
      </w:r>
      <w:r>
        <w:rPr>
          <w:rFonts w:ascii="Calibri" w:hAnsi="Calibri"/>
          <w:color w:val="008356"/>
          <w:spacing w:val="4"/>
          <w:w w:val="110"/>
          <w:sz w:val="11"/>
        </w:rPr>
        <w:t>MIANSERIN</w:t>
      </w:r>
      <w:r>
        <w:rPr>
          <w:color w:val="231F1F"/>
          <w:spacing w:val="4"/>
          <w:w w:val="110"/>
          <w:sz w:val="12"/>
        </w:rPr>
        <w:t>, </w:t>
      </w:r>
      <w:r>
        <w:rPr>
          <w:rFonts w:ascii="Calibri" w:hAnsi="Calibri"/>
          <w:color w:val="008356"/>
          <w:spacing w:val="4"/>
          <w:w w:val="110"/>
          <w:sz w:val="11"/>
        </w:rPr>
        <w:t>MIRTAZAPINE </w:t>
      </w:r>
      <w:r>
        <w:rPr>
          <w:color w:val="231F1F"/>
          <w:w w:val="110"/>
          <w:sz w:val="12"/>
        </w:rPr>
        <w:t>and </w:t>
      </w:r>
      <w:r>
        <w:rPr>
          <w:rFonts w:ascii="Calibri" w:hAnsi="Calibri"/>
          <w:color w:val="008356"/>
          <w:spacing w:val="4"/>
          <w:w w:val="110"/>
          <w:sz w:val="11"/>
        </w:rPr>
        <w:t>PAROXETINE</w:t>
      </w:r>
      <w:r>
        <w:rPr>
          <w:color w:val="231F1F"/>
          <w:spacing w:val="4"/>
          <w:w w:val="110"/>
          <w:sz w:val="12"/>
        </w:rPr>
        <w:t>; </w:t>
      </w:r>
      <w:r>
        <w:rPr>
          <w:color w:val="231F1F"/>
          <w:w w:val="110"/>
          <w:sz w:val="12"/>
        </w:rPr>
        <w:t>plasma concentration of fosphenytoin possibly increased by </w:t>
      </w:r>
      <w:r>
        <w:rPr>
          <w:rFonts w:ascii="Calibri" w:hAnsi="Calibri"/>
          <w:color w:val="008356"/>
          <w:spacing w:val="4"/>
          <w:w w:val="110"/>
          <w:sz w:val="11"/>
        </w:rPr>
        <w:t>SERTRALINE</w:t>
      </w:r>
      <w:r>
        <w:rPr>
          <w:color w:val="231F1F"/>
          <w:spacing w:val="4"/>
          <w:w w:val="110"/>
          <w:sz w:val="12"/>
        </w:rPr>
        <w:t>, </w:t>
      </w:r>
      <w:r>
        <w:rPr>
          <w:color w:val="231F1F"/>
          <w:w w:val="110"/>
          <w:sz w:val="12"/>
        </w:rPr>
        <w:t>also plasma concentration of sertraline possibly reduced; anticonvulsant effect of antiepileptics possibly antagonised by </w:t>
      </w:r>
      <w:r>
        <w:rPr>
          <w:rFonts w:ascii="Calibri" w:hAnsi="Calibri"/>
          <w:color w:val="008356"/>
          <w:spacing w:val="4"/>
          <w:w w:val="110"/>
          <w:sz w:val="11"/>
        </w:rPr>
        <w:t>MAOI</w:t>
      </w:r>
      <w:r>
        <w:rPr>
          <w:rFonts w:ascii="Calibri" w:hAnsi="Calibri"/>
          <w:color w:val="008356"/>
          <w:spacing w:val="4"/>
          <w:w w:val="110"/>
          <w:sz w:val="9"/>
        </w:rPr>
        <w:t>S </w:t>
      </w:r>
      <w:r>
        <w:rPr>
          <w:color w:val="231F1F"/>
          <w:w w:val="110"/>
          <w:sz w:val="12"/>
        </w:rPr>
        <w:t>and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TRICYCLIC- </w:t>
      </w:r>
      <w:r>
        <w:rPr>
          <w:rFonts w:ascii="Calibri" w:hAnsi="Calibri"/>
          <w:color w:val="008356"/>
          <w:spacing w:val="3"/>
          <w:w w:val="110"/>
          <w:sz w:val="11"/>
        </w:rPr>
        <w:t>RELATED </w:t>
      </w:r>
      <w:r>
        <w:rPr>
          <w:rFonts w:ascii="Calibri" w:hAnsi="Calibri"/>
          <w:color w:val="008356"/>
          <w:spacing w:val="4"/>
          <w:w w:val="110"/>
          <w:sz w:val="11"/>
        </w:rPr>
        <w:t>ANTIDEPRESSANTS </w:t>
      </w:r>
      <w:r>
        <w:rPr>
          <w:color w:val="231F1F"/>
          <w:w w:val="110"/>
          <w:sz w:val="12"/>
        </w:rPr>
        <w:t>(convulsive threshold lowered); anticonvulsant effect of antiepileptics antagonised by </w:t>
      </w:r>
      <w:r>
        <w:rPr>
          <w:rFonts w:ascii="Arial" w:hAnsi="Arial"/>
          <w:color w:val="231F1F"/>
          <w:w w:val="355"/>
          <w:position w:val="1"/>
          <w:sz w:val="7"/>
        </w:rPr>
        <w:t>l </w:t>
      </w:r>
      <w:r>
        <w:rPr>
          <w:rFonts w:ascii="Calibri" w:hAnsi="Calibri"/>
          <w:color w:val="008356"/>
          <w:w w:val="110"/>
          <w:sz w:val="11"/>
        </w:rPr>
        <w:t>SSRIS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TRICYCLICS </w:t>
      </w:r>
      <w:r>
        <w:rPr>
          <w:color w:val="231F1F"/>
          <w:w w:val="110"/>
          <w:sz w:val="12"/>
        </w:rPr>
        <w:t>(convulsive threshold lowered); plasma concentration of fosphenytoin possibly reduced by </w:t>
      </w:r>
      <w:r>
        <w:rPr>
          <w:rFonts w:ascii="Arial" w:hAnsi="Arial"/>
          <w:color w:val="231F1F"/>
          <w:w w:val="355"/>
          <w:position w:val="1"/>
          <w:sz w:val="7"/>
        </w:rPr>
        <w:t>l </w:t>
      </w:r>
      <w:r>
        <w:rPr>
          <w:rFonts w:ascii="Calibri" w:hAnsi="Calibri"/>
          <w:color w:val="008356"/>
          <w:spacing w:val="4"/>
          <w:w w:val="110"/>
          <w:sz w:val="11"/>
        </w:rPr>
        <w:t>ST 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sz w:val="12"/>
        </w:rPr>
        <w:t>—</w:t>
      </w:r>
      <w:r>
        <w:rPr>
          <w:color w:val="231F1F"/>
          <w:w w:val="110"/>
          <w:sz w:val="12"/>
        </w:rPr>
        <w:t>avoid concomitant use; fosphenytoin possibly reduces plasma concentration of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TRICYCLICS</w:t>
      </w:r>
    </w:p>
    <w:p>
      <w:pPr>
        <w:pStyle w:val="BodyText"/>
        <w:spacing w:line="220" w:lineRule="auto" w:before="7"/>
        <w:ind w:left="286" w:right="69" w:hanging="100"/>
      </w:pPr>
      <w:r>
        <w:rPr>
          <w:rFonts w:ascii="Lucida Sans Unicode" w:hAnsi="Lucida Sans Unicode"/>
          <w:color w:val="A7A8AC"/>
          <w:w w:val="95"/>
          <w:sz w:val="10"/>
        </w:rPr>
        <w:t>▶ </w:t>
      </w:r>
      <w:r>
        <w:rPr>
          <w:rFonts w:ascii="Calibri" w:hAnsi="Calibri"/>
          <w:color w:val="231F1F"/>
          <w:w w:val="105"/>
        </w:rPr>
        <w:t>Antidiabetics: </w:t>
      </w:r>
      <w:r>
        <w:rPr>
          <w:color w:val="231F1F"/>
          <w:w w:val="105"/>
        </w:rPr>
        <w:t>plasma  concentration  of  fosphenytoin transiently</w:t>
      </w:r>
      <w:r>
        <w:rPr>
          <w:color w:val="231F1F"/>
          <w:spacing w:val="14"/>
          <w:w w:val="105"/>
        </w:rPr>
        <w:t> </w:t>
      </w:r>
      <w:r>
        <w:rPr>
          <w:color w:val="231F1F"/>
          <w:w w:val="105"/>
        </w:rPr>
        <w:t>increased</w:t>
      </w:r>
      <w:r>
        <w:rPr>
          <w:color w:val="231F1F"/>
          <w:spacing w:val="16"/>
          <w:w w:val="105"/>
        </w:rPr>
        <w:t> </w:t>
      </w:r>
      <w:r>
        <w:rPr>
          <w:color w:val="231F1F"/>
          <w:w w:val="105"/>
        </w:rPr>
        <w:t>by</w:t>
      </w:r>
      <w:r>
        <w:rPr>
          <w:color w:val="231F1F"/>
          <w:spacing w:val="16"/>
          <w:w w:val="105"/>
        </w:rPr>
        <w:t> </w:t>
      </w:r>
      <w:r>
        <w:rPr>
          <w:rFonts w:ascii="Calibri" w:hAnsi="Calibri"/>
          <w:color w:val="008356"/>
          <w:spacing w:val="4"/>
          <w:w w:val="105"/>
          <w:sz w:val="11"/>
        </w:rPr>
        <w:t>TOLBUTAMIDE</w:t>
      </w:r>
      <w:r>
        <w:rPr>
          <w:rFonts w:ascii="Calibri" w:hAnsi="Calibri"/>
          <w:color w:val="008356"/>
          <w:spacing w:val="32"/>
          <w:w w:val="105"/>
          <w:sz w:val="11"/>
        </w:rPr>
        <w:t> </w:t>
      </w:r>
      <w:r>
        <w:rPr>
          <w:color w:val="231F1F"/>
          <w:w w:val="105"/>
        </w:rPr>
        <w:t>(possibility</w:t>
      </w:r>
      <w:r>
        <w:rPr>
          <w:color w:val="231F1F"/>
          <w:spacing w:val="16"/>
          <w:w w:val="105"/>
        </w:rPr>
        <w:t> </w:t>
      </w:r>
      <w:r>
        <w:rPr>
          <w:color w:val="231F1F"/>
          <w:w w:val="105"/>
        </w:rPr>
        <w:t>of</w:t>
      </w:r>
      <w:r>
        <w:rPr>
          <w:color w:val="231F1F"/>
          <w:spacing w:val="16"/>
          <w:w w:val="105"/>
        </w:rPr>
        <w:t> </w:t>
      </w:r>
      <w:r>
        <w:rPr>
          <w:color w:val="231F1F"/>
          <w:w w:val="105"/>
        </w:rPr>
        <w:t>toxicity)</w:t>
      </w:r>
    </w:p>
    <w:p>
      <w:pPr>
        <w:pStyle w:val="BodyText"/>
        <w:spacing w:line="244" w:lineRule="auto"/>
        <w:ind w:left="286" w:hanging="100"/>
      </w:pPr>
      <w:r>
        <w:rPr>
          <w:rFonts w:ascii="Arial"/>
          <w:color w:val="231F1F"/>
          <w:w w:val="355"/>
          <w:position w:val="1"/>
          <w:sz w:val="7"/>
        </w:rPr>
        <w:t>l </w:t>
      </w:r>
      <w:r>
        <w:rPr>
          <w:rFonts w:ascii="Calibri"/>
          <w:color w:val="231F1F"/>
          <w:w w:val="110"/>
        </w:rPr>
        <w:t>Antiepileptics: </w:t>
      </w:r>
      <w:r>
        <w:rPr>
          <w:color w:val="231F1F"/>
          <w:w w:val="110"/>
        </w:rPr>
        <w:t>plasma concentration of both drugs often reduced when fosphenytoin given with </w:t>
      </w:r>
      <w:r>
        <w:rPr>
          <w:rFonts w:ascii="Calibri"/>
          <w:color w:val="008356"/>
          <w:spacing w:val="4"/>
          <w:w w:val="110"/>
          <w:sz w:val="11"/>
        </w:rPr>
        <w:t>CARBAMAZEPINE</w:t>
      </w:r>
      <w:r>
        <w:rPr>
          <w:color w:val="231F1F"/>
          <w:spacing w:val="4"/>
          <w:w w:val="110"/>
        </w:rPr>
        <w:t>, </w:t>
      </w:r>
      <w:r>
        <w:rPr>
          <w:color w:val="231F1F"/>
          <w:w w:val="110"/>
        </w:rPr>
        <w:t>also plasma concentration of fosphenytoin may be increased; fosphenytoin reduces plasma concentration of </w:t>
      </w:r>
      <w:r>
        <w:rPr>
          <w:rFonts w:ascii="Calibri"/>
          <w:color w:val="008356"/>
          <w:spacing w:val="4"/>
          <w:w w:val="110"/>
          <w:sz w:val="11"/>
        </w:rPr>
        <w:t>ESLICARBAZEPINE</w:t>
      </w:r>
      <w:r>
        <w:rPr>
          <w:color w:val="231F1F"/>
          <w:spacing w:val="4"/>
          <w:w w:val="110"/>
        </w:rPr>
        <w:t>, </w:t>
      </w:r>
      <w:r>
        <w:rPr>
          <w:color w:val="231F1F"/>
          <w:w w:val="110"/>
        </w:rPr>
        <w:t>also plasma concentration of fosphenytoin increased; plasma concentration of fosphenytoin possibly increased by </w:t>
      </w:r>
      <w:r>
        <w:rPr>
          <w:rFonts w:ascii="Arial"/>
          <w:color w:val="231F1F"/>
          <w:w w:val="355"/>
          <w:position w:val="1"/>
          <w:sz w:val="7"/>
        </w:rPr>
        <w:t>l </w:t>
      </w:r>
      <w:r>
        <w:rPr>
          <w:rFonts w:ascii="Calibri"/>
          <w:color w:val="008356"/>
          <w:spacing w:val="4"/>
          <w:w w:val="110"/>
          <w:sz w:val="11"/>
        </w:rPr>
        <w:t>ETHOSUXIMIDE</w:t>
      </w:r>
      <w:r>
        <w:rPr>
          <w:color w:val="231F1F"/>
          <w:spacing w:val="4"/>
          <w:w w:val="110"/>
        </w:rPr>
        <w:t>, </w:t>
      </w:r>
      <w:r>
        <w:rPr>
          <w:color w:val="231F1F"/>
          <w:w w:val="110"/>
        </w:rPr>
        <w:t>also plasma concentration of ethosuximide possibly reduced; fosphenytoin reduces </w:t>
      </w:r>
      <w:r>
        <w:rPr>
          <w:color w:val="231F1F"/>
          <w:spacing w:val="-3"/>
          <w:w w:val="110"/>
        </w:rPr>
        <w:t>plasma </w:t>
      </w:r>
      <w:r>
        <w:rPr>
          <w:color w:val="231F1F"/>
          <w:w w:val="110"/>
        </w:rPr>
        <w:t>concentration of </w:t>
      </w:r>
      <w:r>
        <w:rPr>
          <w:rFonts w:ascii="Calibri"/>
          <w:color w:val="008356"/>
          <w:spacing w:val="4"/>
          <w:w w:val="110"/>
          <w:sz w:val="11"/>
        </w:rPr>
        <w:t>LAMOTRIGINE</w:t>
      </w:r>
      <w:r>
        <w:rPr>
          <w:color w:val="231F1F"/>
          <w:spacing w:val="4"/>
          <w:w w:val="110"/>
        </w:rPr>
        <w:t>, </w:t>
      </w:r>
      <w:r>
        <w:rPr>
          <w:rFonts w:ascii="Calibri"/>
          <w:color w:val="008356"/>
          <w:spacing w:val="4"/>
          <w:w w:val="110"/>
          <w:sz w:val="11"/>
        </w:rPr>
        <w:t>TIAGABINE </w:t>
      </w:r>
      <w:r>
        <w:rPr>
          <w:color w:val="231F1F"/>
          <w:w w:val="110"/>
        </w:rPr>
        <w:t>and </w:t>
      </w:r>
      <w:r>
        <w:rPr>
          <w:rFonts w:ascii="Calibri"/>
          <w:color w:val="008356"/>
          <w:spacing w:val="4"/>
          <w:w w:val="110"/>
          <w:sz w:val="11"/>
        </w:rPr>
        <w:t>ZONISAMIDE</w:t>
      </w:r>
      <w:r>
        <w:rPr>
          <w:color w:val="231F1F"/>
          <w:spacing w:val="4"/>
          <w:w w:val="110"/>
        </w:rPr>
        <w:t>; </w:t>
      </w:r>
      <w:r>
        <w:rPr>
          <w:color w:val="231F1F"/>
          <w:w w:val="110"/>
        </w:rPr>
        <w:t>plasma concentration of fosphenytoin increased by </w:t>
      </w:r>
      <w:r>
        <w:rPr>
          <w:rFonts w:ascii="Calibri"/>
          <w:color w:val="008356"/>
          <w:spacing w:val="4"/>
          <w:w w:val="110"/>
          <w:sz w:val="11"/>
        </w:rPr>
        <w:t>OXCARBAZEPINE</w:t>
      </w:r>
      <w:r>
        <w:rPr>
          <w:color w:val="231F1F"/>
          <w:spacing w:val="4"/>
          <w:w w:val="110"/>
        </w:rPr>
        <w:t>, </w:t>
      </w:r>
      <w:r>
        <w:rPr>
          <w:color w:val="231F1F"/>
          <w:w w:val="110"/>
        </w:rPr>
        <w:t>also plasma concentration of an active metabolite</w:t>
      </w:r>
      <w:r>
        <w:rPr>
          <w:color w:val="231F1F"/>
          <w:spacing w:val="12"/>
          <w:w w:val="110"/>
        </w:rPr>
        <w:t> </w:t>
      </w:r>
      <w:r>
        <w:rPr>
          <w:color w:val="231F1F"/>
          <w:w w:val="110"/>
        </w:rPr>
        <w:t>of</w:t>
      </w:r>
      <w:r>
        <w:rPr>
          <w:color w:val="231F1F"/>
          <w:spacing w:val="13"/>
          <w:w w:val="110"/>
        </w:rPr>
        <w:t> </w:t>
      </w:r>
      <w:r>
        <w:rPr>
          <w:color w:val="231F1F"/>
          <w:w w:val="110"/>
        </w:rPr>
        <w:t>oxcarbazepine</w:t>
      </w:r>
      <w:r>
        <w:rPr>
          <w:color w:val="231F1F"/>
          <w:spacing w:val="11"/>
          <w:w w:val="110"/>
        </w:rPr>
        <w:t> </w:t>
      </w:r>
      <w:r>
        <w:rPr>
          <w:color w:val="231F1F"/>
          <w:w w:val="110"/>
        </w:rPr>
        <w:t>reduced;</w:t>
      </w:r>
      <w:r>
        <w:rPr>
          <w:color w:val="231F1F"/>
          <w:spacing w:val="12"/>
          <w:w w:val="110"/>
        </w:rPr>
        <w:t> </w:t>
      </w:r>
      <w:r>
        <w:rPr>
          <w:color w:val="231F1F"/>
          <w:w w:val="110"/>
        </w:rPr>
        <w:t>fosphenytoin</w:t>
      </w:r>
      <w:r>
        <w:rPr>
          <w:color w:val="231F1F"/>
          <w:spacing w:val="15"/>
          <w:w w:val="110"/>
        </w:rPr>
        <w:t> </w:t>
      </w:r>
      <w:r>
        <w:rPr>
          <w:color w:val="231F1F"/>
          <w:w w:val="110"/>
        </w:rPr>
        <w:t>reduces</w:t>
      </w:r>
    </w:p>
    <w:p>
      <w:pPr>
        <w:pStyle w:val="BodyText"/>
        <w:spacing w:before="8"/>
        <w:ind w:left="0"/>
        <w:rPr>
          <w:sz w:val="14"/>
        </w:rPr>
      </w:pPr>
      <w:r>
        <w:rPr/>
        <w:br w:type="column"/>
      </w:r>
      <w:r>
        <w:rPr>
          <w:sz w:val="14"/>
        </w:rPr>
      </w:r>
    </w:p>
    <w:p>
      <w:pPr>
        <w:pStyle w:val="BodyText"/>
        <w:ind w:left="180"/>
        <w:rPr>
          <w:rFonts w:ascii="Arial"/>
        </w:rPr>
      </w:pPr>
      <w:r>
        <w:rPr>
          <w:rFonts w:ascii="Arial"/>
          <w:color w:val="008356"/>
        </w:rPr>
        <w:t>Fosphenytoin</w:t>
      </w:r>
    </w:p>
    <w:p>
      <w:pPr>
        <w:pStyle w:val="BodyText"/>
        <w:spacing w:line="146" w:lineRule="exact" w:before="5"/>
        <w:ind w:left="180"/>
        <w:rPr>
          <w:rFonts w:ascii="Calibri"/>
        </w:rPr>
      </w:pPr>
      <w:r>
        <w:rPr>
          <w:rFonts w:ascii="Arial"/>
          <w:color w:val="231F1F"/>
          <w:w w:val="105"/>
          <w:position w:val="1"/>
          <w:sz w:val="7"/>
        </w:rPr>
        <w:t>l </w:t>
      </w:r>
      <w:r>
        <w:rPr>
          <w:rFonts w:ascii="Calibri"/>
          <w:color w:val="231F1F"/>
          <w:w w:val="105"/>
        </w:rPr>
        <w:t>Antiepileptics</w:t>
      </w:r>
      <w:r>
        <w:rPr>
          <w:rFonts w:ascii="Calibri"/>
          <w:color w:val="231F1F"/>
          <w:spacing w:val="-5"/>
          <w:w w:val="105"/>
        </w:rPr>
        <w:t> </w:t>
      </w:r>
      <w:r>
        <w:rPr>
          <w:rFonts w:ascii="Calibri"/>
          <w:color w:val="231F1F"/>
          <w:w w:val="105"/>
        </w:rPr>
        <w:t>(continued)</w:t>
      </w:r>
    </w:p>
    <w:p>
      <w:pPr>
        <w:pStyle w:val="BodyText"/>
        <w:spacing w:line="247" w:lineRule="auto"/>
        <w:ind w:left="280" w:right="665"/>
        <w:rPr>
          <w:rFonts w:ascii="Calibri"/>
          <w:sz w:val="11"/>
        </w:rPr>
      </w:pPr>
      <w:r>
        <w:rPr>
          <w:color w:val="231F1F"/>
          <w:w w:val="110"/>
        </w:rPr>
        <w:t>plasma concentration of </w:t>
      </w:r>
      <w:r>
        <w:rPr>
          <w:rFonts w:ascii="Arial"/>
          <w:color w:val="231F1F"/>
          <w:w w:val="355"/>
          <w:position w:val="1"/>
          <w:sz w:val="7"/>
        </w:rPr>
        <w:t>l </w:t>
      </w:r>
      <w:r>
        <w:rPr>
          <w:rFonts w:ascii="Calibri"/>
          <w:color w:val="008356"/>
          <w:spacing w:val="4"/>
          <w:w w:val="110"/>
          <w:sz w:val="11"/>
        </w:rPr>
        <w:t>PERAMPANEL </w:t>
      </w:r>
      <w:r>
        <w:rPr>
          <w:color w:val="231F1F"/>
          <w:w w:val="110"/>
        </w:rPr>
        <w:t>(see under Perampanel, p. 398); fosphenytoin often increases plasma concentration of </w:t>
      </w:r>
      <w:r>
        <w:rPr>
          <w:rFonts w:ascii="Calibri"/>
          <w:color w:val="008356"/>
          <w:spacing w:val="4"/>
          <w:w w:val="110"/>
          <w:sz w:val="11"/>
        </w:rPr>
        <w:t>PHENOBARBITAL </w:t>
      </w:r>
      <w:r>
        <w:rPr>
          <w:color w:val="231F1F"/>
          <w:w w:val="110"/>
        </w:rPr>
        <w:t>and </w:t>
      </w:r>
      <w:r>
        <w:rPr>
          <w:rFonts w:ascii="Calibri"/>
          <w:color w:val="008356"/>
          <w:spacing w:val="4"/>
          <w:w w:val="110"/>
          <w:sz w:val="11"/>
        </w:rPr>
        <w:t>PRIMIDONE</w:t>
      </w:r>
      <w:r>
        <w:rPr>
          <w:color w:val="231F1F"/>
          <w:spacing w:val="4"/>
          <w:w w:val="110"/>
        </w:rPr>
        <w:t>, </w:t>
      </w:r>
      <w:r>
        <w:rPr>
          <w:color w:val="231F1F"/>
          <w:w w:val="110"/>
        </w:rPr>
        <w:t>plasma concentration of fosphenytoin often reduced but may be increased; fosphenytoin possibly reduces plasma concentration of </w:t>
      </w:r>
      <w:r>
        <w:rPr>
          <w:rFonts w:ascii="Calibri"/>
          <w:color w:val="008356"/>
          <w:spacing w:val="4"/>
          <w:w w:val="110"/>
          <w:sz w:val="11"/>
        </w:rPr>
        <w:t>RETIGABINE</w:t>
      </w:r>
      <w:r>
        <w:rPr>
          <w:color w:val="231F1F"/>
          <w:spacing w:val="4"/>
          <w:w w:val="110"/>
        </w:rPr>
        <w:t>; </w:t>
      </w:r>
      <w:r>
        <w:rPr>
          <w:color w:val="231F1F"/>
          <w:w w:val="110"/>
        </w:rPr>
        <w:t>fosphenytoin possibly reduces plasma concentration of </w:t>
      </w:r>
      <w:r>
        <w:rPr>
          <w:rFonts w:ascii="Calibri"/>
          <w:color w:val="008356"/>
          <w:spacing w:val="4"/>
          <w:w w:val="110"/>
          <w:sz w:val="11"/>
        </w:rPr>
        <w:t>RUFINAMIDE</w:t>
      </w:r>
      <w:r>
        <w:rPr>
          <w:color w:val="231F1F"/>
          <w:spacing w:val="4"/>
          <w:w w:val="110"/>
        </w:rPr>
        <w:t>, </w:t>
      </w:r>
      <w:r>
        <w:rPr>
          <w:color w:val="231F1F"/>
          <w:w w:val="110"/>
        </w:rPr>
        <w:t>also plasma concentration of fosphenytoin possibly increased; plasma concentration of fosphenytoin increased or possibly reduced when</w:t>
      </w:r>
      <w:r>
        <w:rPr>
          <w:color w:val="231F1F"/>
          <w:spacing w:val="-14"/>
          <w:w w:val="110"/>
        </w:rPr>
        <w:t> </w:t>
      </w:r>
      <w:r>
        <w:rPr>
          <w:color w:val="231F1F"/>
          <w:w w:val="110"/>
        </w:rPr>
        <w:t>given</w:t>
      </w:r>
      <w:r>
        <w:rPr>
          <w:color w:val="231F1F"/>
          <w:spacing w:val="-14"/>
          <w:w w:val="110"/>
        </w:rPr>
        <w:t> </w:t>
      </w:r>
      <w:r>
        <w:rPr>
          <w:color w:val="231F1F"/>
          <w:w w:val="110"/>
        </w:rPr>
        <w:t>with</w:t>
      </w:r>
      <w:r>
        <w:rPr>
          <w:color w:val="231F1F"/>
          <w:spacing w:val="-14"/>
          <w:w w:val="110"/>
        </w:rPr>
        <w:t> </w:t>
      </w:r>
      <w:r>
        <w:rPr>
          <w:rFonts w:ascii="Calibri"/>
          <w:color w:val="008356"/>
          <w:spacing w:val="4"/>
          <w:w w:val="110"/>
          <w:sz w:val="11"/>
        </w:rPr>
        <w:t>SODIUM</w:t>
      </w:r>
      <w:r>
        <w:rPr>
          <w:rFonts w:ascii="Calibri"/>
          <w:color w:val="008356"/>
          <w:spacing w:val="-7"/>
          <w:w w:val="110"/>
          <w:sz w:val="11"/>
        </w:rPr>
        <w:t> </w:t>
      </w:r>
      <w:r>
        <w:rPr>
          <w:rFonts w:ascii="Calibri"/>
          <w:color w:val="008356"/>
          <w:spacing w:val="3"/>
          <w:w w:val="110"/>
          <w:sz w:val="11"/>
        </w:rPr>
        <w:t>VALPROATE</w:t>
      </w:r>
      <w:r>
        <w:rPr>
          <w:rFonts w:ascii="Calibri"/>
          <w:color w:val="008356"/>
          <w:spacing w:val="-4"/>
          <w:w w:val="110"/>
          <w:sz w:val="11"/>
        </w:rPr>
        <w:t> </w:t>
      </w:r>
      <w:r>
        <w:rPr>
          <w:color w:val="231F1F"/>
          <w:w w:val="110"/>
        </w:rPr>
        <w:t>and</w:t>
      </w:r>
      <w:r>
        <w:rPr>
          <w:color w:val="231F1F"/>
          <w:spacing w:val="-14"/>
          <w:w w:val="110"/>
        </w:rPr>
        <w:t> </w:t>
      </w:r>
      <w:r>
        <w:rPr>
          <w:rFonts w:ascii="Calibri"/>
          <w:color w:val="008356"/>
          <w:spacing w:val="3"/>
          <w:w w:val="110"/>
          <w:sz w:val="11"/>
        </w:rPr>
        <w:t>VALPROIC</w:t>
      </w:r>
      <w:r>
        <w:rPr>
          <w:rFonts w:ascii="Calibri"/>
          <w:color w:val="008356"/>
          <w:spacing w:val="-7"/>
          <w:w w:val="110"/>
          <w:sz w:val="11"/>
        </w:rPr>
        <w:t> </w:t>
      </w:r>
      <w:r>
        <w:rPr>
          <w:rFonts w:ascii="Calibri"/>
          <w:color w:val="008356"/>
          <w:spacing w:val="3"/>
          <w:w w:val="110"/>
          <w:sz w:val="11"/>
        </w:rPr>
        <w:t>ACID</w:t>
      </w:r>
      <w:r>
        <w:rPr>
          <w:color w:val="231F1F"/>
          <w:spacing w:val="3"/>
          <w:w w:val="110"/>
        </w:rPr>
        <w:t>,</w:t>
      </w:r>
      <w:r>
        <w:rPr>
          <w:color w:val="231F1F"/>
          <w:spacing w:val="-13"/>
          <w:w w:val="110"/>
        </w:rPr>
        <w:t> </w:t>
      </w:r>
      <w:r>
        <w:rPr>
          <w:color w:val="231F1F"/>
          <w:w w:val="110"/>
        </w:rPr>
        <w:t>also plasma concentration of sodium valproate and valproic acid reduced; plasma concentration of  fosphenytoin  increased </w:t>
      </w:r>
      <w:r>
        <w:rPr>
          <w:color w:val="231F1F"/>
          <w:spacing w:val="-6"/>
          <w:w w:val="110"/>
        </w:rPr>
        <w:t>by </w:t>
      </w:r>
      <w:r>
        <w:rPr>
          <w:rFonts w:ascii="Arial"/>
          <w:color w:val="231F1F"/>
          <w:w w:val="355"/>
          <w:position w:val="1"/>
          <w:sz w:val="7"/>
        </w:rPr>
        <w:t>l </w:t>
      </w:r>
      <w:r>
        <w:rPr>
          <w:rFonts w:ascii="Calibri"/>
          <w:color w:val="008356"/>
          <w:spacing w:val="4"/>
          <w:w w:val="110"/>
          <w:sz w:val="11"/>
        </w:rPr>
        <w:t>STIRIPENTOL</w:t>
      </w:r>
      <w:r>
        <w:rPr>
          <w:color w:val="231F1F"/>
          <w:spacing w:val="4"/>
          <w:w w:val="110"/>
        </w:rPr>
        <w:t>; </w:t>
      </w:r>
      <w:r>
        <w:rPr>
          <w:color w:val="231F1F"/>
          <w:w w:val="110"/>
        </w:rPr>
        <w:t>plasma concentration of fosphenytoin increased by </w:t>
      </w:r>
      <w:r>
        <w:rPr>
          <w:rFonts w:ascii="Arial"/>
          <w:color w:val="231F1F"/>
          <w:w w:val="355"/>
          <w:position w:val="1"/>
          <w:sz w:val="7"/>
        </w:rPr>
        <w:t>l </w:t>
      </w:r>
      <w:r>
        <w:rPr>
          <w:rFonts w:ascii="Calibri"/>
          <w:color w:val="008356"/>
          <w:spacing w:val="3"/>
          <w:w w:val="110"/>
          <w:sz w:val="11"/>
        </w:rPr>
        <w:t>TOPIRAMATE </w:t>
      </w:r>
      <w:r>
        <w:rPr>
          <w:color w:val="231F1F"/>
          <w:w w:val="110"/>
        </w:rPr>
        <w:t>(also plasma concentration of topiramate reduced); plasma concentration of fosphenytoin reduced by</w:t>
      </w:r>
      <w:r>
        <w:rPr>
          <w:color w:val="231F1F"/>
          <w:spacing w:val="-5"/>
          <w:w w:val="110"/>
        </w:rPr>
        <w:t> </w:t>
      </w:r>
      <w:r>
        <w:rPr>
          <w:rFonts w:ascii="Calibri"/>
          <w:color w:val="008356"/>
          <w:spacing w:val="4"/>
          <w:w w:val="110"/>
          <w:sz w:val="11"/>
        </w:rPr>
        <w:t>VIGABATRIN</w:t>
      </w:r>
    </w:p>
    <w:p>
      <w:pPr>
        <w:pStyle w:val="BodyText"/>
        <w:spacing w:line="135" w:lineRule="exact"/>
        <w:ind w:left="180"/>
      </w:pPr>
      <w:r>
        <w:rPr>
          <w:rFonts w:ascii="Arial"/>
          <w:color w:val="231F1F"/>
          <w:w w:val="355"/>
          <w:position w:val="1"/>
          <w:sz w:val="7"/>
        </w:rPr>
        <w:t>l </w:t>
      </w:r>
      <w:r>
        <w:rPr>
          <w:rFonts w:ascii="Calibri"/>
          <w:color w:val="231F1F"/>
          <w:w w:val="115"/>
        </w:rPr>
        <w:t>Antifungals: </w:t>
      </w:r>
      <w:r>
        <w:rPr>
          <w:color w:val="231F1F"/>
          <w:w w:val="115"/>
        </w:rPr>
        <w:t>fosphenytoin reduces plasma concentration of</w:t>
      </w:r>
    </w:p>
    <w:p>
      <w:pPr>
        <w:pStyle w:val="BodyText"/>
        <w:spacing w:line="247" w:lineRule="auto"/>
        <w:ind w:left="280" w:right="645"/>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KETOCONAZOLE </w:t>
      </w:r>
      <w:r>
        <w:rPr>
          <w:color w:val="231F1F"/>
          <w:w w:val="110"/>
        </w:rPr>
        <w:t>and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POSACONAZOLE</w:t>
      </w:r>
      <w:r>
        <w:rPr>
          <w:color w:val="231F1F"/>
          <w:spacing w:val="4"/>
          <w:w w:val="110"/>
        </w:rPr>
        <w:t>; </w:t>
      </w:r>
      <w:r>
        <w:rPr>
          <w:color w:val="231F1F"/>
          <w:w w:val="110"/>
        </w:rPr>
        <w:t>anticonvulsant effect of fosphenytoin enhanced by </w:t>
      </w:r>
      <w:r>
        <w:rPr>
          <w:rFonts w:ascii="Arial" w:hAnsi="Arial"/>
          <w:color w:val="231F1F"/>
          <w:w w:val="355"/>
          <w:position w:val="1"/>
          <w:sz w:val="7"/>
        </w:rPr>
        <w:t>l </w:t>
      </w:r>
      <w:r>
        <w:rPr>
          <w:rFonts w:ascii="Calibri" w:hAnsi="Calibri"/>
          <w:color w:val="008356"/>
          <w:spacing w:val="4"/>
          <w:w w:val="110"/>
          <w:sz w:val="11"/>
        </w:rPr>
        <w:t>MICONAZOLE </w:t>
      </w:r>
      <w:r>
        <w:rPr>
          <w:color w:val="231F1F"/>
          <w:w w:val="110"/>
        </w:rPr>
        <w:t>(plasma concentration of fosphenytoin increased); plasma concentration of fosphenytoin increased by </w:t>
      </w:r>
      <w:r>
        <w:rPr>
          <w:rFonts w:ascii="Arial" w:hAnsi="Arial"/>
          <w:color w:val="231F1F"/>
          <w:w w:val="355"/>
          <w:position w:val="1"/>
          <w:sz w:val="7"/>
        </w:rPr>
        <w:t>l </w:t>
      </w:r>
      <w:r>
        <w:rPr>
          <w:rFonts w:ascii="Calibri" w:hAnsi="Calibri"/>
          <w:color w:val="008356"/>
          <w:spacing w:val="4"/>
          <w:w w:val="110"/>
          <w:sz w:val="11"/>
        </w:rPr>
        <w:t>FLUCONAZOLE </w:t>
      </w:r>
      <w:r>
        <w:rPr>
          <w:color w:val="231F1F"/>
          <w:w w:val="110"/>
        </w:rPr>
        <w:t>(consider reducing dose of fosphenytoin); fosphenytoin reduces plasma concentration of </w:t>
      </w:r>
      <w:r>
        <w:rPr>
          <w:rFonts w:ascii="Arial" w:hAnsi="Arial"/>
          <w:color w:val="231F1F"/>
          <w:w w:val="355"/>
          <w:position w:val="1"/>
          <w:sz w:val="7"/>
        </w:rPr>
        <w:t>l </w:t>
      </w:r>
      <w:r>
        <w:rPr>
          <w:rFonts w:ascii="Calibri" w:hAnsi="Calibri"/>
          <w:color w:val="008356"/>
          <w:spacing w:val="3"/>
          <w:w w:val="110"/>
          <w:sz w:val="11"/>
        </w:rPr>
        <w:t>ITRACONAZOLE</w:t>
      </w:r>
      <w:r>
        <w:rPr>
          <w:rFonts w:ascii="Arial" w:hAnsi="Arial"/>
          <w:color w:val="231F1F"/>
          <w:spacing w:val="3"/>
          <w:w w:val="110"/>
        </w:rPr>
        <w:t>—</w:t>
      </w:r>
      <w:r>
        <w:rPr>
          <w:color w:val="231F1F"/>
          <w:spacing w:val="3"/>
          <w:w w:val="110"/>
        </w:rPr>
        <w:t>avoid </w:t>
      </w:r>
      <w:r>
        <w:rPr>
          <w:color w:val="231F1F"/>
          <w:w w:val="110"/>
        </w:rPr>
        <w:t>concomitant use; plasma concentration of fosphenytoin increased by </w:t>
      </w:r>
      <w:r>
        <w:rPr>
          <w:rFonts w:ascii="Arial" w:hAnsi="Arial"/>
          <w:color w:val="231F1F"/>
          <w:w w:val="355"/>
          <w:position w:val="1"/>
          <w:sz w:val="7"/>
        </w:rPr>
        <w:t>l </w:t>
      </w:r>
      <w:r>
        <w:rPr>
          <w:rFonts w:ascii="Calibri" w:hAnsi="Calibri"/>
          <w:color w:val="008356"/>
          <w:spacing w:val="4"/>
          <w:w w:val="110"/>
          <w:sz w:val="11"/>
        </w:rPr>
        <w:t>VORICONAZOLE</w:t>
      </w:r>
      <w:r>
        <w:rPr>
          <w:color w:val="231F1F"/>
          <w:spacing w:val="4"/>
          <w:w w:val="110"/>
        </w:rPr>
        <w:t>, </w:t>
      </w:r>
      <w:r>
        <w:rPr>
          <w:color w:val="231F1F"/>
          <w:w w:val="110"/>
        </w:rPr>
        <w:t>also fosphenytoin reduces plasma concentration of voriconazole (increase dose of voriconazole and also monitor for fosphenytoin toxicity); fosphenytoin possibly reduces plasma concentration of </w:t>
      </w:r>
      <w:r>
        <w:rPr>
          <w:rFonts w:ascii="Calibri" w:hAnsi="Calibri"/>
          <w:color w:val="008356"/>
          <w:spacing w:val="2"/>
          <w:w w:val="110"/>
          <w:sz w:val="11"/>
        </w:rPr>
        <w:t>CASPOFUNGIN</w:t>
      </w:r>
      <w:r>
        <w:rPr>
          <w:rFonts w:ascii="Arial" w:hAnsi="Arial"/>
          <w:color w:val="231F1F"/>
          <w:spacing w:val="2"/>
          <w:w w:val="110"/>
        </w:rPr>
        <w:t>—</w:t>
      </w:r>
      <w:r>
        <w:rPr>
          <w:color w:val="231F1F"/>
          <w:spacing w:val="2"/>
          <w:w w:val="110"/>
        </w:rPr>
        <w:t>consider </w:t>
      </w:r>
      <w:r>
        <w:rPr>
          <w:color w:val="231F1F"/>
          <w:w w:val="110"/>
        </w:rPr>
        <w:t>increasing dose of caspofungin</w:t>
      </w:r>
    </w:p>
    <w:p>
      <w:pPr>
        <w:pStyle w:val="BodyText"/>
        <w:spacing w:line="135" w:lineRule="exact"/>
        <w:ind w:left="180"/>
      </w:pPr>
      <w:r>
        <w:rPr>
          <w:rFonts w:ascii="Arial"/>
          <w:color w:val="231F1F"/>
          <w:w w:val="355"/>
          <w:position w:val="1"/>
          <w:sz w:val="7"/>
        </w:rPr>
        <w:t>l </w:t>
      </w:r>
      <w:r>
        <w:rPr>
          <w:rFonts w:ascii="Calibri"/>
          <w:color w:val="231F1F"/>
          <w:w w:val="115"/>
        </w:rPr>
        <w:t>Antimalarials: </w:t>
      </w:r>
      <w:r>
        <w:rPr>
          <w:color w:val="231F1F"/>
          <w:w w:val="115"/>
        </w:rPr>
        <w:t>avoidance of fosphenytoin advised by</w:t>
      </w:r>
    </w:p>
    <w:p>
      <w:pPr>
        <w:spacing w:line="242" w:lineRule="auto" w:before="0"/>
        <w:ind w:left="280" w:right="589" w:firstLine="0"/>
        <w:jc w:val="left"/>
        <w:rPr>
          <w:sz w:val="12"/>
        </w:rPr>
      </w:pPr>
      <w:r>
        <w:rPr>
          <w:color w:val="231F1F"/>
          <w:w w:val="110"/>
          <w:sz w:val="12"/>
        </w:rPr>
        <w:t>manufacturer of </w:t>
      </w:r>
      <w:r>
        <w:rPr>
          <w:rFonts w:ascii="Calibri"/>
          <w:color w:val="008356"/>
          <w:w w:val="110"/>
          <w:sz w:val="11"/>
        </w:rPr>
        <w:t>ARTENIMOL WITH PIPERAQUINE</w:t>
      </w:r>
      <w:r>
        <w:rPr>
          <w:color w:val="231F1F"/>
          <w:w w:val="110"/>
          <w:sz w:val="12"/>
        </w:rPr>
        <w:t>; anticonvulsant effect of antiepileptics antagonised by </w:t>
      </w:r>
      <w:r>
        <w:rPr>
          <w:rFonts w:ascii="Arial"/>
          <w:color w:val="231F1F"/>
          <w:w w:val="355"/>
          <w:position w:val="1"/>
          <w:sz w:val="7"/>
        </w:rPr>
        <w:t>l </w:t>
      </w:r>
      <w:r>
        <w:rPr>
          <w:rFonts w:ascii="Calibri"/>
          <w:color w:val="008356"/>
          <w:w w:val="110"/>
          <w:sz w:val="11"/>
        </w:rPr>
        <w:t>MEFLOQUINE</w:t>
      </w:r>
      <w:r>
        <w:rPr>
          <w:color w:val="231F1F"/>
          <w:w w:val="110"/>
          <w:sz w:val="12"/>
        </w:rPr>
        <w:t>; anticonvulsant effect of fosphenytoin antagonised by</w:t>
      </w:r>
    </w:p>
    <w:p>
      <w:pPr>
        <w:spacing w:line="141" w:lineRule="exact" w:before="3"/>
        <w:ind w:left="280"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PYRIMETHAMINE</w:t>
      </w:r>
      <w:r>
        <w:rPr>
          <w:color w:val="231F1F"/>
          <w:spacing w:val="4"/>
          <w:w w:val="110"/>
          <w:sz w:val="12"/>
        </w:rPr>
        <w:t>, </w:t>
      </w:r>
      <w:r>
        <w:rPr>
          <w:color w:val="231F1F"/>
          <w:w w:val="110"/>
          <w:sz w:val="12"/>
        </w:rPr>
        <w:t>also increased antifolate effect</w:t>
      </w:r>
    </w:p>
    <w:p>
      <w:pPr>
        <w:pStyle w:val="BodyText"/>
        <w:spacing w:line="244" w:lineRule="auto"/>
        <w:ind w:left="280" w:right="641" w:hanging="100"/>
      </w:pPr>
      <w:r>
        <w:rPr>
          <w:rFonts w:ascii="Arial" w:hAnsi="Arial"/>
          <w:color w:val="231F1F"/>
          <w:w w:val="355"/>
          <w:position w:val="1"/>
          <w:sz w:val="7"/>
        </w:rPr>
        <w:t>l </w:t>
      </w:r>
      <w:r>
        <w:rPr>
          <w:rFonts w:ascii="Calibri" w:hAnsi="Calibri"/>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Calibri" w:hAnsi="Calibri"/>
          <w:color w:val="008356"/>
          <w:w w:val="110"/>
          <w:sz w:val="11"/>
        </w:rPr>
        <w:t>ANTIPSYCHOTICS </w:t>
      </w:r>
      <w:r>
        <w:rPr>
          <w:color w:val="231F1F"/>
          <w:w w:val="110"/>
        </w:rPr>
        <w:t>(convulsive threshold lowered); fosphenytoin reduces plasma concentration of </w:t>
      </w:r>
      <w:r>
        <w:rPr>
          <w:rFonts w:ascii="Calibri" w:hAnsi="Calibri"/>
          <w:color w:val="008356"/>
          <w:w w:val="110"/>
          <w:sz w:val="11"/>
        </w:rPr>
        <w:t>HALOPERIDOL</w:t>
      </w:r>
      <w:r>
        <w:rPr>
          <w:color w:val="231F1F"/>
          <w:w w:val="110"/>
        </w:rPr>
        <w:t>; plasma concentration of fosphenytoin possibly increased or decreased by </w:t>
      </w:r>
      <w:r>
        <w:rPr>
          <w:rFonts w:ascii="Calibri" w:hAnsi="Calibri"/>
          <w:color w:val="008356"/>
          <w:w w:val="110"/>
          <w:sz w:val="11"/>
        </w:rPr>
        <w:t>CHLORPROMAZINE</w:t>
      </w:r>
      <w:r>
        <w:rPr>
          <w:color w:val="231F1F"/>
          <w:w w:val="110"/>
        </w:rPr>
        <w:t>; fosphenytoin possibly reduces plasma concentration of </w:t>
      </w:r>
      <w:r>
        <w:rPr>
          <w:rFonts w:ascii="Arial" w:hAnsi="Arial"/>
          <w:color w:val="231F1F"/>
          <w:w w:val="355"/>
          <w:position w:val="1"/>
          <w:sz w:val="7"/>
        </w:rPr>
        <w:t>l </w:t>
      </w:r>
      <w:r>
        <w:rPr>
          <w:rFonts w:ascii="Calibri" w:hAnsi="Calibri"/>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fosphenytoin accelerates metabolism of </w:t>
      </w:r>
      <w:r>
        <w:rPr>
          <w:rFonts w:ascii="Calibri" w:hAnsi="Calibri"/>
          <w:color w:val="008356"/>
          <w:w w:val="110"/>
          <w:sz w:val="11"/>
        </w:rPr>
        <w:t>CLOZAPINE </w:t>
      </w:r>
      <w:r>
        <w:rPr>
          <w:color w:val="231F1F"/>
          <w:w w:val="110"/>
        </w:rPr>
        <w:t>and </w:t>
      </w:r>
      <w:r>
        <w:rPr>
          <w:rFonts w:ascii="Calibri" w:hAnsi="Calibri"/>
          <w:color w:val="008356"/>
          <w:w w:val="110"/>
          <w:sz w:val="11"/>
        </w:rPr>
        <w:t>QUETIAPINE </w:t>
      </w:r>
      <w:r>
        <w:rPr>
          <w:color w:val="231F1F"/>
          <w:w w:val="110"/>
        </w:rPr>
        <w:t>(reduced plasma concentration); fosphenytoin possibly reduces plasma concentration of </w:t>
      </w:r>
      <w:r>
        <w:rPr>
          <w:rFonts w:ascii="Arial" w:hAnsi="Arial"/>
          <w:color w:val="231F1F"/>
          <w:w w:val="355"/>
          <w:position w:val="1"/>
          <w:sz w:val="7"/>
        </w:rPr>
        <w:t>l </w:t>
      </w:r>
      <w:r>
        <w:rPr>
          <w:rFonts w:ascii="Calibri" w:hAnsi="Calibri"/>
          <w:color w:val="008356"/>
          <w:w w:val="110"/>
          <w:sz w:val="11"/>
        </w:rPr>
        <w:t>LURASIDONE</w:t>
      </w:r>
      <w:r>
        <w:rPr>
          <w:rFonts w:ascii="Arial" w:hAnsi="Arial"/>
          <w:color w:val="231F1F"/>
          <w:w w:val="110"/>
        </w:rPr>
        <w:t>— </w:t>
      </w:r>
      <w:r>
        <w:rPr>
          <w:color w:val="231F1F"/>
          <w:w w:val="110"/>
        </w:rPr>
        <w:t>avoid concomitant use</w:t>
      </w:r>
    </w:p>
    <w:p>
      <w:pPr>
        <w:pStyle w:val="BodyText"/>
        <w:spacing w:line="142" w:lineRule="exact"/>
        <w:ind w:left="180"/>
      </w:pPr>
      <w:r>
        <w:rPr>
          <w:rFonts w:ascii="Arial"/>
          <w:color w:val="231F1F"/>
          <w:w w:val="355"/>
          <w:position w:val="1"/>
          <w:sz w:val="7"/>
        </w:rPr>
        <w:t>l </w:t>
      </w:r>
      <w:r>
        <w:rPr>
          <w:rFonts w:ascii="Calibri"/>
          <w:color w:val="231F1F"/>
          <w:w w:val="115"/>
        </w:rPr>
        <w:t>Antivirals: </w:t>
      </w:r>
      <w:r>
        <w:rPr>
          <w:color w:val="231F1F"/>
          <w:w w:val="115"/>
        </w:rPr>
        <w:t>fosphenytoin possibly reduces plasma</w:t>
      </w:r>
    </w:p>
    <w:p>
      <w:pPr>
        <w:spacing w:line="244" w:lineRule="auto" w:before="0"/>
        <w:ind w:left="280" w:right="641" w:firstLine="0"/>
        <w:jc w:val="left"/>
        <w:rPr>
          <w:sz w:val="12"/>
        </w:rPr>
      </w:pPr>
      <w:r>
        <w:rPr>
          <w:color w:val="231F1F"/>
          <w:w w:val="110"/>
          <w:sz w:val="12"/>
        </w:rPr>
        <w:t>concentration of </w:t>
      </w:r>
      <w:r>
        <w:rPr>
          <w:rFonts w:ascii="Calibri"/>
          <w:color w:val="008356"/>
          <w:w w:val="110"/>
          <w:sz w:val="11"/>
        </w:rPr>
        <w:t>ABACAVIR</w:t>
      </w:r>
      <w:r>
        <w:rPr>
          <w:color w:val="231F1F"/>
          <w:w w:val="110"/>
          <w:sz w:val="12"/>
        </w:rPr>
        <w:t>, </w:t>
      </w:r>
      <w:r>
        <w:rPr>
          <w:rFonts w:ascii="Calibri"/>
          <w:color w:val="008356"/>
          <w:w w:val="110"/>
          <w:sz w:val="11"/>
        </w:rPr>
        <w:t>DARUNAVIR</w:t>
      </w:r>
      <w:r>
        <w:rPr>
          <w:color w:val="231F1F"/>
          <w:w w:val="110"/>
          <w:sz w:val="12"/>
        </w:rPr>
        <w:t>, </w:t>
      </w:r>
      <w:r>
        <w:rPr>
          <w:rFonts w:ascii="Calibri"/>
          <w:color w:val="008356"/>
          <w:w w:val="110"/>
          <w:sz w:val="11"/>
        </w:rPr>
        <w:t>LOPINAVIR </w:t>
      </w:r>
      <w:r>
        <w:rPr>
          <w:color w:val="231F1F"/>
          <w:w w:val="110"/>
          <w:sz w:val="12"/>
        </w:rPr>
        <w:t>and </w:t>
      </w:r>
      <w:r>
        <w:rPr>
          <w:rFonts w:ascii="Calibri"/>
          <w:color w:val="008356"/>
          <w:w w:val="110"/>
          <w:sz w:val="11"/>
        </w:rPr>
        <w:t>SAQUINAVIR</w:t>
      </w:r>
      <w:r>
        <w:rPr>
          <w:color w:val="231F1F"/>
          <w:w w:val="110"/>
          <w:sz w:val="12"/>
        </w:rPr>
        <w:t>; avoidance of fosphenytoin advised by manufacturer of </w:t>
      </w:r>
      <w:r>
        <w:rPr>
          <w:rFonts w:ascii="Arial"/>
          <w:color w:val="231F1F"/>
          <w:w w:val="355"/>
          <w:position w:val="1"/>
          <w:sz w:val="7"/>
        </w:rPr>
        <w:t>l </w:t>
      </w:r>
      <w:r>
        <w:rPr>
          <w:rFonts w:ascii="Calibri"/>
          <w:color w:val="008356"/>
          <w:w w:val="110"/>
          <w:sz w:val="11"/>
        </w:rPr>
        <w:t>BOCEPREVIR </w:t>
      </w:r>
      <w:r>
        <w:rPr>
          <w:color w:val="231F1F"/>
          <w:w w:val="110"/>
          <w:sz w:val="12"/>
        </w:rPr>
        <w:t>and </w:t>
      </w:r>
      <w:r>
        <w:rPr>
          <w:rFonts w:ascii="Arial"/>
          <w:color w:val="231F1F"/>
          <w:w w:val="355"/>
          <w:position w:val="1"/>
          <w:sz w:val="7"/>
        </w:rPr>
        <w:t>l </w:t>
      </w:r>
      <w:r>
        <w:rPr>
          <w:rFonts w:ascii="Calibri"/>
          <w:color w:val="008356"/>
          <w:w w:val="110"/>
          <w:sz w:val="11"/>
        </w:rPr>
        <w:t>RILPIVIRINE </w:t>
      </w:r>
      <w:r>
        <w:rPr>
          <w:color w:val="231F1F"/>
          <w:w w:val="110"/>
          <w:sz w:val="12"/>
        </w:rPr>
        <w:t>(plasma concentration of boceprevir and rilpivirine possibly reduced); fosphenytoin possibly reduces plasma concentration of</w:t>
      </w:r>
    </w:p>
    <w:p>
      <w:pPr>
        <w:spacing w:line="247" w:lineRule="auto" w:before="2"/>
        <w:ind w:left="280" w:right="610" w:firstLine="0"/>
        <w:jc w:val="left"/>
        <w:rPr>
          <w:sz w:val="12"/>
        </w:rPr>
      </w:pP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008356"/>
          <w:spacing w:val="3"/>
          <w:w w:val="115"/>
          <w:sz w:val="11"/>
        </w:rPr>
        <w:t>DACLATASVIR</w:t>
      </w:r>
      <w:r>
        <w:rPr>
          <w:rFonts w:ascii="Calibri" w:hAnsi="Calibri"/>
          <w:color w:val="008356"/>
          <w:spacing w:val="-13"/>
          <w:w w:val="115"/>
          <w:sz w:val="11"/>
        </w:rPr>
        <w:t> </w:t>
      </w:r>
      <w:r>
        <w:rPr>
          <w:color w:val="231F1F"/>
          <w:w w:val="115"/>
          <w:sz w:val="12"/>
        </w:rPr>
        <w:t>and</w:t>
      </w:r>
      <w:r>
        <w:rPr>
          <w:color w:val="231F1F"/>
          <w:spacing w:val="-21"/>
          <w:w w:val="115"/>
          <w:sz w:val="12"/>
        </w:rPr>
        <w:t> </w:t>
      </w: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008356"/>
          <w:spacing w:val="2"/>
          <w:w w:val="115"/>
          <w:sz w:val="11"/>
        </w:rPr>
        <w:t>SIMEPREVIR</w:t>
      </w:r>
      <w:r>
        <w:rPr>
          <w:rFonts w:ascii="Arial" w:hAnsi="Arial"/>
          <w:color w:val="231F1F"/>
          <w:spacing w:val="2"/>
          <w:w w:val="115"/>
          <w:sz w:val="12"/>
        </w:rPr>
        <w:t>—</w:t>
      </w:r>
      <w:r>
        <w:rPr>
          <w:color w:val="231F1F"/>
          <w:spacing w:val="2"/>
          <w:w w:val="115"/>
          <w:sz w:val="12"/>
        </w:rPr>
        <w:t>manufacturer</w:t>
      </w:r>
      <w:r>
        <w:rPr>
          <w:color w:val="231F1F"/>
          <w:spacing w:val="-22"/>
          <w:w w:val="115"/>
          <w:sz w:val="12"/>
        </w:rPr>
        <w:t> </w:t>
      </w:r>
      <w:r>
        <w:rPr>
          <w:color w:val="231F1F"/>
          <w:w w:val="115"/>
          <w:sz w:val="12"/>
        </w:rPr>
        <w:t>of</w:t>
      </w:r>
      <w:r>
        <w:rPr>
          <w:color w:val="231F1F"/>
          <w:spacing w:val="-21"/>
          <w:w w:val="115"/>
          <w:sz w:val="12"/>
        </w:rPr>
        <w:t> </w:t>
      </w:r>
      <w:r>
        <w:rPr>
          <w:color w:val="231F1F"/>
          <w:w w:val="115"/>
          <w:sz w:val="12"/>
        </w:rPr>
        <w:t>daclatasvir </w:t>
      </w:r>
      <w:r>
        <w:rPr>
          <w:color w:val="231F1F"/>
          <w:w w:val="120"/>
          <w:sz w:val="12"/>
        </w:rPr>
        <w:t>and</w:t>
      </w:r>
      <w:r>
        <w:rPr>
          <w:color w:val="231F1F"/>
          <w:spacing w:val="-25"/>
          <w:w w:val="120"/>
          <w:sz w:val="12"/>
        </w:rPr>
        <w:t> </w:t>
      </w:r>
      <w:r>
        <w:rPr>
          <w:color w:val="231F1F"/>
          <w:w w:val="120"/>
          <w:sz w:val="12"/>
        </w:rPr>
        <w:t>simeprevir</w:t>
      </w:r>
      <w:r>
        <w:rPr>
          <w:color w:val="231F1F"/>
          <w:spacing w:val="-24"/>
          <w:w w:val="120"/>
          <w:sz w:val="12"/>
        </w:rPr>
        <w:t> </w:t>
      </w:r>
      <w:r>
        <w:rPr>
          <w:color w:val="231F1F"/>
          <w:w w:val="120"/>
          <w:sz w:val="12"/>
        </w:rPr>
        <w:t>advises</w:t>
      </w:r>
      <w:r>
        <w:rPr>
          <w:color w:val="231F1F"/>
          <w:spacing w:val="-24"/>
          <w:w w:val="120"/>
          <w:sz w:val="12"/>
        </w:rPr>
        <w:t> </w:t>
      </w:r>
      <w:r>
        <w:rPr>
          <w:color w:val="231F1F"/>
          <w:w w:val="120"/>
          <w:sz w:val="12"/>
        </w:rPr>
        <w:t>avoid</w:t>
      </w:r>
      <w:r>
        <w:rPr>
          <w:color w:val="231F1F"/>
          <w:spacing w:val="-24"/>
          <w:w w:val="120"/>
          <w:sz w:val="12"/>
        </w:rPr>
        <w:t> </w:t>
      </w:r>
      <w:r>
        <w:rPr>
          <w:color w:val="231F1F"/>
          <w:w w:val="120"/>
          <w:sz w:val="12"/>
        </w:rPr>
        <w:t>concomitant</w:t>
      </w:r>
      <w:r>
        <w:rPr>
          <w:color w:val="231F1F"/>
          <w:spacing w:val="-24"/>
          <w:w w:val="120"/>
          <w:sz w:val="12"/>
        </w:rPr>
        <w:t> </w:t>
      </w:r>
      <w:r>
        <w:rPr>
          <w:color w:val="231F1F"/>
          <w:w w:val="120"/>
          <w:sz w:val="12"/>
        </w:rPr>
        <w:t>use;</w:t>
      </w:r>
      <w:r>
        <w:rPr>
          <w:color w:val="231F1F"/>
          <w:spacing w:val="-24"/>
          <w:w w:val="120"/>
          <w:sz w:val="12"/>
        </w:rPr>
        <w:t> </w:t>
      </w:r>
      <w:r>
        <w:rPr>
          <w:color w:val="231F1F"/>
          <w:w w:val="120"/>
          <w:sz w:val="12"/>
        </w:rPr>
        <w:t>avoidance</w:t>
      </w:r>
      <w:r>
        <w:rPr>
          <w:color w:val="231F1F"/>
          <w:spacing w:val="-25"/>
          <w:w w:val="120"/>
          <w:sz w:val="12"/>
        </w:rPr>
        <w:t> </w:t>
      </w:r>
      <w:r>
        <w:rPr>
          <w:color w:val="231F1F"/>
          <w:w w:val="120"/>
          <w:sz w:val="12"/>
        </w:rPr>
        <w:t>of fosphenytoin</w:t>
      </w:r>
      <w:r>
        <w:rPr>
          <w:color w:val="231F1F"/>
          <w:spacing w:val="-25"/>
          <w:w w:val="120"/>
          <w:sz w:val="12"/>
        </w:rPr>
        <w:t> </w:t>
      </w:r>
      <w:r>
        <w:rPr>
          <w:color w:val="231F1F"/>
          <w:w w:val="120"/>
          <w:sz w:val="12"/>
        </w:rPr>
        <w:t>advised</w:t>
      </w:r>
      <w:r>
        <w:rPr>
          <w:color w:val="231F1F"/>
          <w:spacing w:val="-25"/>
          <w:w w:val="120"/>
          <w:sz w:val="12"/>
        </w:rPr>
        <w:t> </w:t>
      </w:r>
      <w:r>
        <w:rPr>
          <w:color w:val="231F1F"/>
          <w:w w:val="120"/>
          <w:sz w:val="12"/>
        </w:rPr>
        <w:t>by</w:t>
      </w:r>
      <w:r>
        <w:rPr>
          <w:color w:val="231F1F"/>
          <w:spacing w:val="-23"/>
          <w:w w:val="120"/>
          <w:sz w:val="12"/>
        </w:rPr>
        <w:t> </w:t>
      </w:r>
      <w:r>
        <w:rPr>
          <w:color w:val="231F1F"/>
          <w:w w:val="120"/>
          <w:sz w:val="12"/>
        </w:rPr>
        <w:t>manufacturer</w:t>
      </w:r>
      <w:r>
        <w:rPr>
          <w:color w:val="231F1F"/>
          <w:spacing w:val="-24"/>
          <w:w w:val="120"/>
          <w:sz w:val="12"/>
        </w:rPr>
        <w:t> </w:t>
      </w:r>
      <w:r>
        <w:rPr>
          <w:color w:val="231F1F"/>
          <w:w w:val="120"/>
          <w:sz w:val="12"/>
        </w:rPr>
        <w:t>of</w:t>
      </w:r>
      <w:r>
        <w:rPr>
          <w:color w:val="231F1F"/>
          <w:spacing w:val="-25"/>
          <w:w w:val="120"/>
          <w:sz w:val="12"/>
        </w:rPr>
        <w:t> </w:t>
      </w:r>
      <w:r>
        <w:rPr>
          <w:rFonts w:ascii="Calibri" w:hAnsi="Calibri"/>
          <w:color w:val="008356"/>
          <w:spacing w:val="4"/>
          <w:w w:val="120"/>
          <w:sz w:val="11"/>
        </w:rPr>
        <w:t>DOLUTEGRAVIR</w:t>
      </w:r>
      <w:r>
        <w:rPr>
          <w:color w:val="231F1F"/>
          <w:spacing w:val="4"/>
          <w:w w:val="120"/>
          <w:sz w:val="12"/>
        </w:rPr>
        <w:t>,</w:t>
      </w:r>
    </w:p>
    <w:p>
      <w:pPr>
        <w:spacing w:line="138" w:lineRule="exact" w:before="0"/>
        <w:ind w:left="280" w:right="0" w:firstLine="0"/>
        <w:jc w:val="left"/>
        <w:rPr>
          <w:sz w:val="12"/>
        </w:rPr>
      </w:pPr>
      <w:r>
        <w:rPr>
          <w:rFonts w:ascii="Arial"/>
          <w:color w:val="231F1F"/>
          <w:w w:val="355"/>
          <w:position w:val="1"/>
          <w:sz w:val="7"/>
        </w:rPr>
        <w:t>l </w:t>
      </w:r>
      <w:r>
        <w:rPr>
          <w:rFonts w:ascii="Calibri"/>
          <w:color w:val="008356"/>
          <w:w w:val="110"/>
          <w:sz w:val="11"/>
        </w:rPr>
        <w:t>ELVITEGRAVIR</w:t>
      </w:r>
      <w:r>
        <w:rPr>
          <w:color w:val="231F1F"/>
          <w:w w:val="110"/>
          <w:sz w:val="12"/>
        </w:rPr>
        <w:t>, </w:t>
      </w:r>
      <w:r>
        <w:rPr>
          <w:rFonts w:ascii="Calibri"/>
          <w:color w:val="008356"/>
          <w:w w:val="110"/>
          <w:sz w:val="11"/>
        </w:rPr>
        <w:t>ETRAVIRINE</w:t>
      </w:r>
      <w:r>
        <w:rPr>
          <w:color w:val="231F1F"/>
          <w:w w:val="110"/>
          <w:sz w:val="12"/>
        </w:rPr>
        <w:t>, </w:t>
      </w:r>
      <w:r>
        <w:rPr>
          <w:rFonts w:ascii="Calibri"/>
          <w:color w:val="008356"/>
          <w:w w:val="110"/>
          <w:sz w:val="11"/>
        </w:rPr>
        <w:t>SOFOSBUVIR </w:t>
      </w:r>
      <w:r>
        <w:rPr>
          <w:color w:val="231F1F"/>
          <w:w w:val="110"/>
          <w:sz w:val="12"/>
        </w:rPr>
        <w:t>and </w:t>
      </w:r>
      <w:r>
        <w:rPr>
          <w:rFonts w:ascii="Arial"/>
          <w:color w:val="231F1F"/>
          <w:w w:val="355"/>
          <w:position w:val="1"/>
          <w:sz w:val="7"/>
        </w:rPr>
        <w:t>l </w:t>
      </w:r>
      <w:r>
        <w:rPr>
          <w:rFonts w:ascii="Calibri"/>
          <w:color w:val="008356"/>
          <w:w w:val="110"/>
          <w:sz w:val="11"/>
        </w:rPr>
        <w:t>TELAPREVIR</w:t>
      </w:r>
      <w:r>
        <w:rPr>
          <w:color w:val="231F1F"/>
          <w:w w:val="110"/>
          <w:sz w:val="12"/>
        </w:rPr>
        <w:t>;</w:t>
      </w:r>
    </w:p>
    <w:p>
      <w:pPr>
        <w:pStyle w:val="BodyText"/>
        <w:spacing w:before="2"/>
        <w:ind w:left="280"/>
      </w:pPr>
      <w:r>
        <w:rPr>
          <w:color w:val="231F1F"/>
          <w:w w:val="115"/>
        </w:rPr>
        <w:t>fosphenytoin possibly reduces plasma concentration of</w:t>
      </w:r>
    </w:p>
    <w:p>
      <w:pPr>
        <w:pStyle w:val="BodyText"/>
        <w:spacing w:line="247" w:lineRule="auto" w:before="5"/>
        <w:ind w:left="280" w:right="641"/>
        <w:rPr>
          <w:rFonts w:ascii="Calibri"/>
          <w:sz w:val="11"/>
        </w:rPr>
      </w:pPr>
      <w:r>
        <w:rPr>
          <w:rFonts w:ascii="Arial"/>
          <w:color w:val="231F1F"/>
          <w:w w:val="355"/>
          <w:position w:val="1"/>
          <w:sz w:val="7"/>
        </w:rPr>
        <w:t>l </w:t>
      </w:r>
      <w:r>
        <w:rPr>
          <w:rFonts w:ascii="Calibri"/>
          <w:color w:val="008356"/>
          <w:w w:val="110"/>
          <w:sz w:val="11"/>
        </w:rPr>
        <w:t>INDINAVIR</w:t>
      </w:r>
      <w:r>
        <w:rPr>
          <w:color w:val="231F1F"/>
          <w:w w:val="110"/>
        </w:rPr>
        <w:t>, also plasma concentration of fosphenytoin possibly increased; fosphenytoin possibly reduces plasma concentration of </w:t>
      </w:r>
      <w:r>
        <w:rPr>
          <w:rFonts w:ascii="Calibri"/>
          <w:color w:val="008356"/>
          <w:w w:val="110"/>
          <w:sz w:val="11"/>
        </w:rPr>
        <w:t>RITONAVIR</w:t>
      </w:r>
      <w:r>
        <w:rPr>
          <w:color w:val="231F1F"/>
          <w:w w:val="110"/>
        </w:rPr>
        <w:t>, also plasma concentration of fosphenytoin possibly affected; plasma concentration of fosphenytoin increased or decreased by </w:t>
      </w:r>
      <w:r>
        <w:rPr>
          <w:rFonts w:ascii="Calibri"/>
          <w:color w:val="008356"/>
          <w:w w:val="110"/>
          <w:sz w:val="11"/>
        </w:rPr>
        <w:t>ZIDOVUDINE</w:t>
      </w:r>
    </w:p>
    <w:p>
      <w:pPr>
        <w:pStyle w:val="BodyText"/>
        <w:spacing w:line="230" w:lineRule="auto"/>
        <w:ind w:left="280" w:right="641" w:hanging="100"/>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fosphenytoin often reduces plasma concentration of </w:t>
      </w:r>
      <w:r>
        <w:rPr>
          <w:rFonts w:ascii="Calibri" w:hAnsi="Calibri"/>
          <w:color w:val="008356"/>
          <w:w w:val="110"/>
          <w:sz w:val="11"/>
        </w:rPr>
        <w:t>CLONAZEPAM</w:t>
      </w:r>
      <w:r>
        <w:rPr>
          <w:color w:val="231F1F"/>
          <w:w w:val="110"/>
        </w:rPr>
        <w:t>; plasma concentration of fosphenytoin increased or decreased by </w:t>
      </w:r>
      <w:r>
        <w:rPr>
          <w:rFonts w:ascii="Calibri" w:hAnsi="Calibri"/>
          <w:color w:val="008356"/>
          <w:w w:val="110"/>
          <w:sz w:val="11"/>
        </w:rPr>
        <w:t>DIAZEPAM</w:t>
      </w:r>
      <w:r>
        <w:rPr>
          <w:color w:val="231F1F"/>
          <w:w w:val="110"/>
        </w:rPr>
        <w:t>; plasma</w:t>
      </w:r>
    </w:p>
    <w:p>
      <w:pPr>
        <w:pStyle w:val="BodyText"/>
        <w:spacing w:line="249" w:lineRule="auto" w:before="1"/>
        <w:ind w:left="280" w:right="963"/>
        <w:rPr>
          <w:rFonts w:ascii="Calibri"/>
          <w:sz w:val="11"/>
        </w:rPr>
      </w:pPr>
      <w:r>
        <w:rPr>
          <w:color w:val="231F1F"/>
          <w:w w:val="110"/>
        </w:rPr>
        <w:t>concentration of fosphenytoin possibly increased or decreased by </w:t>
      </w:r>
      <w:r>
        <w:rPr>
          <w:rFonts w:ascii="Calibri"/>
          <w:color w:val="008356"/>
          <w:w w:val="110"/>
          <w:sz w:val="11"/>
        </w:rPr>
        <w:t>BENZODIAZEPINES</w:t>
      </w:r>
    </w:p>
    <w:p>
      <w:pPr>
        <w:pStyle w:val="BodyText"/>
        <w:spacing w:line="220" w:lineRule="auto"/>
        <w:ind w:left="280"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fosphenytoin possibly reduces plasma concentration of </w:t>
      </w:r>
      <w:r>
        <w:rPr>
          <w:rFonts w:ascii="Calibri" w:hAnsi="Calibri"/>
          <w:color w:val="008356"/>
          <w:w w:val="105"/>
          <w:sz w:val="11"/>
        </w:rPr>
        <w:t>APREPITANT</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Bupropion: </w:t>
      </w:r>
      <w:r>
        <w:rPr>
          <w:color w:val="231F1F"/>
          <w:w w:val="105"/>
        </w:rPr>
        <w:t>fosphenytoin reduces plasma concentration of</w:t>
      </w:r>
    </w:p>
    <w:p>
      <w:pPr>
        <w:spacing w:line="131" w:lineRule="exact" w:before="0"/>
        <w:ind w:left="280" w:right="0" w:firstLine="0"/>
        <w:jc w:val="left"/>
        <w:rPr>
          <w:rFonts w:ascii="Calibri"/>
          <w:sz w:val="11"/>
        </w:rPr>
      </w:pPr>
      <w:r>
        <w:rPr>
          <w:rFonts w:ascii="Calibri"/>
          <w:color w:val="008356"/>
          <w:sz w:val="11"/>
        </w:rPr>
        <w:t>BUPROPION</w:t>
      </w:r>
    </w:p>
    <w:p>
      <w:pPr>
        <w:pStyle w:val="BodyText"/>
        <w:spacing w:line="154" w:lineRule="exact"/>
        <w:ind w:left="180"/>
      </w:pPr>
      <w:r>
        <w:rPr>
          <w:rFonts w:ascii="Lucida Sans Unicode" w:hAnsi="Lucida Sans Unicode"/>
          <w:color w:val="A7A8AC"/>
          <w:w w:val="95"/>
          <w:sz w:val="10"/>
        </w:rPr>
        <w:t>▶ </w:t>
      </w:r>
      <w:r>
        <w:rPr>
          <w:rFonts w:ascii="Calibri" w:hAnsi="Calibri"/>
          <w:color w:val="231F1F"/>
          <w:w w:val="105"/>
        </w:rPr>
        <w:t>Caffeine citrate: </w:t>
      </w:r>
      <w:r>
        <w:rPr>
          <w:color w:val="231F1F"/>
          <w:w w:val="105"/>
        </w:rPr>
        <w:t>fosphenytoin reduces plasma concentration of</w:t>
      </w:r>
    </w:p>
    <w:p>
      <w:pPr>
        <w:spacing w:line="131" w:lineRule="exact" w:before="0"/>
        <w:ind w:left="280" w:right="0" w:firstLine="0"/>
        <w:jc w:val="left"/>
        <w:rPr>
          <w:rFonts w:ascii="Calibri"/>
          <w:sz w:val="11"/>
        </w:rPr>
      </w:pPr>
      <w:r>
        <w:rPr>
          <w:rFonts w:ascii="Calibri"/>
          <w:color w:val="008356"/>
          <w:sz w:val="11"/>
        </w:rPr>
        <w:t>CAFFEINE CITRATE</w:t>
      </w:r>
    </w:p>
    <w:p>
      <w:pPr>
        <w:spacing w:after="0" w:line="131" w:lineRule="exact"/>
        <w:jc w:val="left"/>
        <w:rPr>
          <w:rFonts w:ascii="Calibri"/>
          <w:sz w:val="11"/>
        </w:rPr>
        <w:sectPr>
          <w:pgSz w:w="8390" w:h="11910"/>
          <w:pgMar w:header="0" w:footer="0" w:top="460" w:bottom="280" w:left="480" w:right="0"/>
          <w:cols w:num="2" w:equalWidth="0">
            <w:col w:w="3643" w:space="40"/>
            <w:col w:w="4227"/>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Fosphenytoin </w:t>
      </w:r>
      <w:r>
        <w:rPr>
          <w:rFonts w:ascii="Calibri"/>
          <w:color w:val="231F1F"/>
        </w:rPr>
        <w:t>(continued)</w:t>
      </w:r>
    </w:p>
    <w:p>
      <w:pPr>
        <w:pStyle w:val="BodyText"/>
        <w:spacing w:line="242" w:lineRule="auto"/>
        <w:ind w:right="46" w:hanging="100"/>
      </w:pPr>
      <w:r>
        <w:rPr>
          <w:rFonts w:ascii="Arial"/>
          <w:color w:val="231F1F"/>
          <w:w w:val="355"/>
          <w:position w:val="1"/>
          <w:sz w:val="7"/>
        </w:rPr>
        <w:t>l </w:t>
      </w:r>
      <w:r>
        <w:rPr>
          <w:rFonts w:ascii="Calibri"/>
          <w:color w:val="231F1F"/>
          <w:w w:val="110"/>
        </w:rPr>
        <w:t>Calcium-channel Blockers: </w:t>
      </w:r>
      <w:r>
        <w:rPr>
          <w:color w:val="231F1F"/>
          <w:w w:val="110"/>
        </w:rPr>
        <w:t>fosphenytoin reduces effects of </w:t>
      </w:r>
      <w:r>
        <w:rPr>
          <w:rFonts w:ascii="Calibri"/>
          <w:color w:val="008356"/>
          <w:w w:val="110"/>
          <w:sz w:val="11"/>
        </w:rPr>
        <w:t>FELODIPINE </w:t>
      </w:r>
      <w:r>
        <w:rPr>
          <w:color w:val="231F1F"/>
          <w:w w:val="110"/>
        </w:rPr>
        <w:t>and </w:t>
      </w:r>
      <w:r>
        <w:rPr>
          <w:rFonts w:ascii="Calibri"/>
          <w:color w:val="008356"/>
          <w:w w:val="110"/>
          <w:sz w:val="11"/>
        </w:rPr>
        <w:t>VERAPAMIL</w:t>
      </w:r>
      <w:r>
        <w:rPr>
          <w:color w:val="231F1F"/>
          <w:w w:val="110"/>
        </w:rPr>
        <w:t>; avoidance of fosphenytoin advised by manufacturer of </w:t>
      </w:r>
      <w:r>
        <w:rPr>
          <w:rFonts w:ascii="Calibri"/>
          <w:color w:val="008356"/>
          <w:w w:val="110"/>
          <w:sz w:val="11"/>
        </w:rPr>
        <w:t>ISRADIPINE</w:t>
      </w:r>
      <w:r>
        <w:rPr>
          <w:color w:val="231F1F"/>
          <w:w w:val="110"/>
        </w:rPr>
        <w:t>; avoidance of fosphenytoin advised by manufacturer of </w:t>
      </w:r>
      <w:r>
        <w:rPr>
          <w:rFonts w:ascii="Calibri"/>
          <w:color w:val="008356"/>
          <w:w w:val="110"/>
          <w:sz w:val="11"/>
        </w:rPr>
        <w:t>NIMODIPINE </w:t>
      </w:r>
      <w:r>
        <w:rPr>
          <w:color w:val="231F1F"/>
          <w:w w:val="110"/>
        </w:rPr>
        <w:t>(plasma concentration of nimodipine possibly reduced); plasma concentration of fosphenytoin increased by </w:t>
      </w:r>
      <w:r>
        <w:rPr>
          <w:rFonts w:ascii="Arial"/>
          <w:color w:val="231F1F"/>
          <w:w w:val="355"/>
          <w:position w:val="1"/>
          <w:sz w:val="7"/>
        </w:rPr>
        <w:t>l </w:t>
      </w:r>
      <w:r>
        <w:rPr>
          <w:rFonts w:ascii="Calibri"/>
          <w:color w:val="008356"/>
          <w:w w:val="110"/>
          <w:sz w:val="11"/>
        </w:rPr>
        <w:t>DILTIAZEM </w:t>
      </w:r>
      <w:r>
        <w:rPr>
          <w:color w:val="231F1F"/>
          <w:w w:val="110"/>
        </w:rPr>
        <w:t>but also effect of diltiazem reduced</w:t>
      </w:r>
    </w:p>
    <w:p>
      <w:pPr>
        <w:pStyle w:val="BodyText"/>
        <w:spacing w:before="2"/>
        <w:ind w:right="405" w:hanging="100"/>
        <w:jc w:val="both"/>
      </w:pPr>
      <w:r>
        <w:rPr>
          <w:rFonts w:ascii="Arial" w:hAnsi="Arial"/>
          <w:color w:val="231F1F"/>
          <w:w w:val="115"/>
          <w:position w:val="1"/>
          <w:sz w:val="7"/>
        </w:rPr>
        <w:t>l</w:t>
      </w:r>
      <w:r>
        <w:rPr>
          <w:rFonts w:ascii="Arial" w:hAnsi="Arial"/>
          <w:color w:val="231F1F"/>
          <w:spacing w:val="1"/>
          <w:w w:val="115"/>
          <w:position w:val="1"/>
          <w:sz w:val="7"/>
        </w:rPr>
        <w:t> </w:t>
      </w:r>
      <w:r>
        <w:rPr>
          <w:rFonts w:ascii="Calibri" w:hAnsi="Calibri"/>
          <w:color w:val="231F1F"/>
          <w:w w:val="115"/>
        </w:rPr>
        <w:t>Cannabis</w:t>
      </w:r>
      <w:r>
        <w:rPr>
          <w:rFonts w:ascii="Calibri" w:hAnsi="Calibri"/>
          <w:color w:val="231F1F"/>
          <w:spacing w:val="-13"/>
          <w:w w:val="115"/>
        </w:rPr>
        <w:t> </w:t>
      </w:r>
      <w:r>
        <w:rPr>
          <w:rFonts w:ascii="Calibri" w:hAnsi="Calibri"/>
          <w:color w:val="231F1F"/>
          <w:w w:val="115"/>
        </w:rPr>
        <w:t>Extract:</w:t>
      </w:r>
      <w:r>
        <w:rPr>
          <w:rFonts w:ascii="Calibri" w:hAnsi="Calibri"/>
          <w:color w:val="231F1F"/>
          <w:spacing w:val="-13"/>
          <w:w w:val="115"/>
        </w:rPr>
        <w:t> </w:t>
      </w:r>
      <w:r>
        <w:rPr>
          <w:color w:val="231F1F"/>
          <w:w w:val="115"/>
        </w:rPr>
        <w:t>fosphenytoin</w:t>
      </w:r>
      <w:r>
        <w:rPr>
          <w:color w:val="231F1F"/>
          <w:spacing w:val="-15"/>
          <w:w w:val="115"/>
        </w:rPr>
        <w:t> </w:t>
      </w:r>
      <w:r>
        <w:rPr>
          <w:color w:val="231F1F"/>
          <w:w w:val="115"/>
        </w:rPr>
        <w:t>possibly</w:t>
      </w:r>
      <w:r>
        <w:rPr>
          <w:color w:val="231F1F"/>
          <w:spacing w:val="-16"/>
          <w:w w:val="115"/>
        </w:rPr>
        <w:t> </w:t>
      </w:r>
      <w:r>
        <w:rPr>
          <w:color w:val="231F1F"/>
          <w:w w:val="115"/>
        </w:rPr>
        <w:t>reduces</w:t>
      </w:r>
      <w:r>
        <w:rPr>
          <w:color w:val="231F1F"/>
          <w:spacing w:val="-17"/>
          <w:w w:val="115"/>
        </w:rPr>
        <w:t> </w:t>
      </w:r>
      <w:r>
        <w:rPr>
          <w:color w:val="231F1F"/>
          <w:w w:val="115"/>
        </w:rPr>
        <w:t>plasma concentration</w:t>
      </w:r>
      <w:r>
        <w:rPr>
          <w:color w:val="231F1F"/>
          <w:spacing w:val="-20"/>
          <w:w w:val="115"/>
        </w:rPr>
        <w:t> </w:t>
      </w:r>
      <w:r>
        <w:rPr>
          <w:color w:val="231F1F"/>
          <w:w w:val="115"/>
        </w:rPr>
        <w:t>of</w:t>
      </w:r>
      <w:r>
        <w:rPr>
          <w:color w:val="231F1F"/>
          <w:spacing w:val="-19"/>
          <w:w w:val="115"/>
        </w:rPr>
        <w:t>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CANNABIS</w:t>
      </w:r>
      <w:r>
        <w:rPr>
          <w:rFonts w:ascii="Calibri" w:hAnsi="Calibri"/>
          <w:color w:val="008356"/>
          <w:spacing w:val="-13"/>
          <w:w w:val="115"/>
          <w:sz w:val="11"/>
        </w:rPr>
        <w:t> </w:t>
      </w:r>
      <w:r>
        <w:rPr>
          <w:rFonts w:ascii="Calibri" w:hAnsi="Calibri"/>
          <w:color w:val="008356"/>
          <w:w w:val="115"/>
          <w:sz w:val="11"/>
        </w:rPr>
        <w:t>EXTRACT</w:t>
      </w:r>
      <w:r>
        <w:rPr>
          <w:rFonts w:ascii="Arial" w:hAnsi="Arial"/>
          <w:color w:val="231F1F"/>
          <w:w w:val="115"/>
        </w:rPr>
        <w:t>—</w:t>
      </w:r>
      <w:r>
        <w:rPr>
          <w:color w:val="231F1F"/>
          <w:w w:val="115"/>
        </w:rPr>
        <w:t>manufacturer</w:t>
      </w:r>
      <w:r>
        <w:rPr>
          <w:color w:val="231F1F"/>
          <w:spacing w:val="-20"/>
          <w:w w:val="115"/>
        </w:rPr>
        <w:t> </w:t>
      </w:r>
      <w:r>
        <w:rPr>
          <w:color w:val="231F1F"/>
          <w:w w:val="115"/>
        </w:rPr>
        <w:t>of </w:t>
      </w:r>
      <w:r>
        <w:rPr>
          <w:color w:val="231F1F"/>
          <w:w w:val="120"/>
        </w:rPr>
        <w:t>cannabis</w:t>
      </w:r>
      <w:r>
        <w:rPr>
          <w:color w:val="231F1F"/>
          <w:spacing w:val="-13"/>
          <w:w w:val="120"/>
        </w:rPr>
        <w:t> </w:t>
      </w:r>
      <w:r>
        <w:rPr>
          <w:color w:val="231F1F"/>
          <w:w w:val="120"/>
        </w:rPr>
        <w:t>extract</w:t>
      </w:r>
      <w:r>
        <w:rPr>
          <w:color w:val="231F1F"/>
          <w:spacing w:val="-11"/>
          <w:w w:val="120"/>
        </w:rPr>
        <w:t> </w:t>
      </w:r>
      <w:r>
        <w:rPr>
          <w:color w:val="231F1F"/>
          <w:w w:val="120"/>
        </w:rPr>
        <w:t>advises</w:t>
      </w:r>
      <w:r>
        <w:rPr>
          <w:color w:val="231F1F"/>
          <w:spacing w:val="-12"/>
          <w:w w:val="120"/>
        </w:rPr>
        <w:t> </w:t>
      </w:r>
      <w:r>
        <w:rPr>
          <w:color w:val="231F1F"/>
          <w:w w:val="120"/>
        </w:rPr>
        <w:t>avoid</w:t>
      </w:r>
      <w:r>
        <w:rPr>
          <w:color w:val="231F1F"/>
          <w:spacing w:val="-11"/>
          <w:w w:val="120"/>
        </w:rPr>
        <w:t> </w:t>
      </w:r>
      <w:r>
        <w:rPr>
          <w:color w:val="231F1F"/>
          <w:w w:val="120"/>
        </w:rPr>
        <w:t>concomitant</w:t>
      </w:r>
      <w:r>
        <w:rPr>
          <w:color w:val="231F1F"/>
          <w:spacing w:val="-13"/>
          <w:w w:val="120"/>
        </w:rPr>
        <w:t> </w:t>
      </w:r>
      <w:r>
        <w:rPr>
          <w:color w:val="231F1F"/>
          <w:w w:val="120"/>
        </w:rPr>
        <w:t>use</w:t>
      </w:r>
    </w:p>
    <w:p>
      <w:pPr>
        <w:pStyle w:val="BodyText"/>
        <w:spacing w:line="220" w:lineRule="auto" w:before="10"/>
        <w:ind w:right="33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fosphenytoin possibly reduces plasma concentration of </w:t>
      </w:r>
      <w:r>
        <w:rPr>
          <w:rFonts w:ascii="Calibri" w:hAnsi="Calibri"/>
          <w:color w:val="008356"/>
          <w:w w:val="105"/>
          <w:sz w:val="11"/>
        </w:rPr>
        <w:t>DIGOXIN</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fosphenytoin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ind w:hanging="100"/>
      </w:pPr>
      <w:r>
        <w:rPr>
          <w:rFonts w:ascii="Arial" w:hAnsi="Arial"/>
          <w:color w:val="231F1F"/>
          <w:w w:val="355"/>
          <w:position w:val="1"/>
          <w:sz w:val="7"/>
        </w:rPr>
        <w:t>l </w:t>
      </w:r>
      <w:r>
        <w:rPr>
          <w:rFonts w:ascii="Calibri" w:hAnsi="Calibri"/>
          <w:color w:val="231F1F"/>
          <w:w w:val="120"/>
        </w:rPr>
        <w:t>Cobicistat: </w:t>
      </w:r>
      <w:r>
        <w:rPr>
          <w:color w:val="231F1F"/>
          <w:w w:val="120"/>
        </w:rPr>
        <w:t>fosphenytoin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w:t>
      </w:r>
      <w:r>
        <w:rPr>
          <w:color w:val="231F1F"/>
          <w:w w:val="120"/>
        </w:rPr>
        <w:t>advises avoid concomitant use</w:t>
      </w:r>
    </w:p>
    <w:p>
      <w:pPr>
        <w:pStyle w:val="BodyText"/>
        <w:spacing w:line="146" w:lineRule="exact" w:before="1"/>
        <w:ind w:left="108"/>
      </w:pPr>
      <w:r>
        <w:rPr>
          <w:rFonts w:ascii="Arial"/>
          <w:color w:val="231F1F"/>
          <w:w w:val="355"/>
          <w:position w:val="1"/>
          <w:sz w:val="7"/>
        </w:rPr>
        <w:t>l </w:t>
      </w:r>
      <w:r>
        <w:rPr>
          <w:rFonts w:ascii="Calibri"/>
          <w:color w:val="231F1F"/>
          <w:w w:val="110"/>
        </w:rPr>
        <w:t>Corticosteroids: </w:t>
      </w:r>
      <w:r>
        <w:rPr>
          <w:color w:val="231F1F"/>
          <w:w w:val="110"/>
        </w:rPr>
        <w:t>fosphenytoin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pStyle w:val="BodyText"/>
        <w:spacing w:line="244" w:lineRule="auto"/>
        <w:ind w:right="93" w:hanging="100"/>
      </w:pPr>
      <w:r>
        <w:rPr>
          <w:rFonts w:ascii="Arial" w:hAnsi="Arial"/>
          <w:color w:val="231F1F"/>
          <w:w w:val="355"/>
          <w:position w:val="1"/>
          <w:sz w:val="7"/>
        </w:rPr>
        <w:t>l </w:t>
      </w:r>
      <w:r>
        <w:rPr>
          <w:rFonts w:ascii="Calibri" w:hAnsi="Calibri"/>
          <w:color w:val="231F1F"/>
          <w:w w:val="110"/>
        </w:rPr>
        <w:t>Cytotoxics: </w:t>
      </w:r>
      <w:r>
        <w:rPr>
          <w:color w:val="231F1F"/>
          <w:w w:val="110"/>
        </w:rPr>
        <w:t>fosphenytoin possibly reduces plasma concentration of </w:t>
      </w:r>
      <w:r>
        <w:rPr>
          <w:rFonts w:ascii="Calibri" w:hAnsi="Calibri"/>
          <w:color w:val="008356"/>
          <w:w w:val="110"/>
          <w:sz w:val="11"/>
        </w:rPr>
        <w:t>BUSULFAN</w:t>
      </w:r>
      <w:r>
        <w:rPr>
          <w:color w:val="231F1F"/>
          <w:w w:val="110"/>
        </w:rPr>
        <w:t>, </w:t>
      </w:r>
      <w:r>
        <w:rPr>
          <w:rFonts w:ascii="Calibri" w:hAnsi="Calibri"/>
          <w:color w:val="008356"/>
          <w:w w:val="110"/>
          <w:sz w:val="11"/>
        </w:rPr>
        <w:t>ERIBULIN </w:t>
      </w:r>
      <w:r>
        <w:rPr>
          <w:color w:val="231F1F"/>
          <w:w w:val="110"/>
        </w:rPr>
        <w:t>and </w:t>
      </w:r>
      <w:r>
        <w:rPr>
          <w:rFonts w:ascii="Calibri" w:hAnsi="Calibri"/>
          <w:color w:val="008356"/>
          <w:w w:val="110"/>
          <w:sz w:val="11"/>
        </w:rPr>
        <w:t>ETOPOSIDE</w:t>
      </w:r>
      <w:r>
        <w:rPr>
          <w:color w:val="231F1F"/>
          <w:w w:val="110"/>
        </w:rPr>
        <w:t>; metabolism of fosphenytoin possibly inhibited by </w:t>
      </w:r>
      <w:r>
        <w:rPr>
          <w:rFonts w:ascii="Calibri" w:hAnsi="Calibri"/>
          <w:color w:val="008356"/>
          <w:w w:val="110"/>
          <w:sz w:val="11"/>
        </w:rPr>
        <w:t>CAPECITABINE</w:t>
      </w:r>
      <w:r>
        <w:rPr>
          <w:color w:val="231F1F"/>
          <w:w w:val="110"/>
        </w:rPr>
        <w:t>, </w:t>
      </w:r>
      <w:r>
        <w:rPr>
          <w:rFonts w:ascii="Calibri" w:hAnsi="Calibri"/>
          <w:color w:val="008356"/>
          <w:w w:val="110"/>
          <w:sz w:val="11"/>
        </w:rPr>
        <w:t>FLUOROURACIL </w:t>
      </w:r>
      <w:r>
        <w:rPr>
          <w:color w:val="231F1F"/>
          <w:w w:val="110"/>
        </w:rPr>
        <w:t>and </w:t>
      </w:r>
      <w:r>
        <w:rPr>
          <w:rFonts w:ascii="Calibri" w:hAnsi="Calibri"/>
          <w:color w:val="008356"/>
          <w:w w:val="110"/>
          <w:sz w:val="11"/>
        </w:rPr>
        <w:t>TEGAFUR </w:t>
      </w:r>
      <w:r>
        <w:rPr>
          <w:color w:val="231F1F"/>
          <w:w w:val="110"/>
        </w:rPr>
        <w:t>(increased risk of toxicity); fosphenytoin increases antifolate effect of </w:t>
      </w:r>
      <w:r>
        <w:rPr>
          <w:rFonts w:ascii="Calibri" w:hAnsi="Calibri"/>
          <w:color w:val="008356"/>
          <w:w w:val="110"/>
          <w:sz w:val="11"/>
        </w:rPr>
        <w:t>METHOTREXATE</w:t>
      </w:r>
      <w:r>
        <w:rPr>
          <w:color w:val="231F1F"/>
          <w:w w:val="110"/>
        </w:rPr>
        <w:t>; plasma concentration of fosphenytoin possibly reduced by </w:t>
      </w:r>
      <w:r>
        <w:rPr>
          <w:rFonts w:ascii="Calibri" w:hAnsi="Calibri"/>
          <w:color w:val="008356"/>
          <w:w w:val="110"/>
          <w:sz w:val="11"/>
        </w:rPr>
        <w:t>CISPLATIN</w:t>
      </w:r>
      <w:r>
        <w:rPr>
          <w:color w:val="231F1F"/>
          <w:w w:val="110"/>
        </w:rPr>
        <w:t>; fosphenytoin possibly decreases plasma concentration of </w:t>
      </w:r>
      <w:r>
        <w:rPr>
          <w:rFonts w:ascii="Calibri" w:hAnsi="Calibri"/>
          <w:color w:val="008356"/>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fosphenytoin possibly reduces plasma concentration of </w:t>
      </w:r>
      <w:r>
        <w:rPr>
          <w:rFonts w:ascii="Calibri" w:hAnsi="Calibri"/>
          <w:color w:val="008356"/>
          <w:w w:val="110"/>
          <w:sz w:val="11"/>
        </w:rPr>
        <w:t>BORTEZOMIB</w:t>
      </w:r>
      <w:r>
        <w:rPr>
          <w:color w:val="231F1F"/>
          <w:w w:val="110"/>
        </w:rPr>
        <w:t>,</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BOSUTINIB</w:t>
      </w:r>
      <w:r>
        <w:rPr>
          <w:color w:val="231F1F"/>
          <w:w w:val="110"/>
          <w:sz w:val="12"/>
        </w:rPr>
        <w:t>, </w:t>
      </w:r>
      <w:r>
        <w:rPr>
          <w:rFonts w:ascii="Calibri"/>
          <w:color w:val="008356"/>
          <w:w w:val="110"/>
          <w:sz w:val="11"/>
        </w:rPr>
        <w:t>CRIZOTINIB</w:t>
      </w:r>
      <w:r>
        <w:rPr>
          <w:color w:val="231F1F"/>
          <w:w w:val="110"/>
          <w:sz w:val="12"/>
        </w:rPr>
        <w:t>, </w:t>
      </w:r>
      <w:r>
        <w:rPr>
          <w:rFonts w:ascii="Arial"/>
          <w:color w:val="231F1F"/>
          <w:w w:val="355"/>
          <w:position w:val="1"/>
          <w:sz w:val="7"/>
        </w:rPr>
        <w:t>l </w:t>
      </w:r>
      <w:r>
        <w:rPr>
          <w:rFonts w:ascii="Calibri"/>
          <w:color w:val="008356"/>
          <w:w w:val="110"/>
          <w:sz w:val="11"/>
        </w:rPr>
        <w:t>IBRUTINIB</w:t>
      </w:r>
      <w:r>
        <w:rPr>
          <w:color w:val="231F1F"/>
          <w:w w:val="110"/>
          <w:sz w:val="12"/>
        </w:rPr>
        <w:t>, </w:t>
      </w:r>
      <w:r>
        <w:rPr>
          <w:rFonts w:ascii="Arial"/>
          <w:color w:val="231F1F"/>
          <w:w w:val="355"/>
          <w:position w:val="1"/>
          <w:sz w:val="7"/>
        </w:rPr>
        <w:t>l </w:t>
      </w:r>
      <w:r>
        <w:rPr>
          <w:rFonts w:ascii="Calibri"/>
          <w:color w:val="008356"/>
          <w:w w:val="110"/>
          <w:sz w:val="11"/>
        </w:rPr>
        <w:t>IDELALISIB </w:t>
      </w:r>
      <w:r>
        <w:rPr>
          <w:color w:val="231F1F"/>
          <w:w w:val="110"/>
          <w:sz w:val="12"/>
        </w:rPr>
        <w:t>and</w:t>
      </w:r>
    </w:p>
    <w:p>
      <w:pPr>
        <w:pStyle w:val="BodyText"/>
        <w:spacing w:line="247" w:lineRule="auto"/>
        <w:ind w:right="190"/>
      </w:pPr>
      <w:r>
        <w:rPr>
          <w:rFonts w:ascii="Calibri" w:hAnsi="Calibri"/>
          <w:color w:val="008356"/>
          <w:w w:val="110"/>
          <w:sz w:val="11"/>
        </w:rPr>
        <w:t>PONATINIB</w:t>
      </w:r>
      <w:r>
        <w:rPr>
          <w:rFonts w:ascii="Arial" w:hAnsi="Arial"/>
          <w:color w:val="231F1F"/>
          <w:w w:val="110"/>
        </w:rPr>
        <w:t>—</w:t>
      </w:r>
      <w:r>
        <w:rPr>
          <w:color w:val="231F1F"/>
          <w:w w:val="110"/>
        </w:rPr>
        <w:t>manufacturer of bortezomib, bosutinib, crizotinib, ibrutinib, idelalisib and ponatinib advises </w:t>
      </w:r>
      <w:r>
        <w:rPr>
          <w:color w:val="231F1F"/>
          <w:spacing w:val="-3"/>
          <w:w w:val="110"/>
        </w:rPr>
        <w:t>avoid </w:t>
      </w:r>
      <w:r>
        <w:rPr>
          <w:color w:val="231F1F"/>
          <w:w w:val="110"/>
        </w:rPr>
        <w:t>concomitant use; fosphenytoin 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fosphenytoin advised by manufacturer of</w:t>
      </w:r>
    </w:p>
    <w:p>
      <w:pPr>
        <w:spacing w:line="141" w:lineRule="exact"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CABAZITAXEL</w:t>
      </w:r>
      <w:r>
        <w:rPr>
          <w:color w:val="231F1F"/>
          <w:spacing w:val="4"/>
          <w:w w:val="115"/>
          <w:sz w:val="12"/>
        </w:rPr>
        <w:t>, </w:t>
      </w:r>
      <w:r>
        <w:rPr>
          <w:rFonts w:ascii="Calibri"/>
          <w:color w:val="008356"/>
          <w:spacing w:val="4"/>
          <w:w w:val="115"/>
          <w:sz w:val="11"/>
        </w:rPr>
        <w:t>DABRAFENIB</w:t>
      </w:r>
      <w:r>
        <w:rPr>
          <w:color w:val="231F1F"/>
          <w:spacing w:val="4"/>
          <w:w w:val="115"/>
          <w:sz w:val="12"/>
        </w:rPr>
        <w:t>, </w:t>
      </w:r>
      <w:r>
        <w:rPr>
          <w:rFonts w:ascii="Calibri"/>
          <w:color w:val="008356"/>
          <w:spacing w:val="4"/>
          <w:w w:val="115"/>
          <w:sz w:val="11"/>
        </w:rPr>
        <w:t>GEFITINIB</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LAPATINIB </w:t>
      </w:r>
      <w:r>
        <w:rPr>
          <w:color w:val="231F1F"/>
          <w:w w:val="115"/>
          <w:sz w:val="12"/>
        </w:rPr>
        <w:t>and</w:t>
      </w:r>
    </w:p>
    <w:p>
      <w:pPr>
        <w:pStyle w:val="BodyText"/>
        <w:spacing w:line="247" w:lineRule="auto" w:before="1"/>
        <w:ind w:right="64"/>
        <w:rPr>
          <w:rFonts w:ascii="Calibri" w:hAnsi="Calibri"/>
          <w:sz w:val="11"/>
        </w:rPr>
      </w:pPr>
      <w:r>
        <w:rPr>
          <w:rFonts w:ascii="Calibri" w:hAnsi="Calibri"/>
          <w:color w:val="008356"/>
          <w:spacing w:val="4"/>
          <w:w w:val="110"/>
          <w:sz w:val="11"/>
        </w:rPr>
        <w:t>VEMURAFENIB</w:t>
      </w:r>
      <w:r>
        <w:rPr>
          <w:color w:val="231F1F"/>
          <w:spacing w:val="4"/>
          <w:w w:val="110"/>
        </w:rPr>
        <w:t>; </w:t>
      </w:r>
      <w:r>
        <w:rPr>
          <w:color w:val="231F1F"/>
          <w:w w:val="110"/>
        </w:rPr>
        <w:t>avoidance of fosphenytoin advised by manufacturer of </w:t>
      </w:r>
      <w:r>
        <w:rPr>
          <w:rFonts w:ascii="Calibri" w:hAnsi="Calibri"/>
          <w:color w:val="008356"/>
          <w:spacing w:val="3"/>
          <w:w w:val="110"/>
          <w:sz w:val="11"/>
        </w:rPr>
        <w:t>DASATINIB </w:t>
      </w:r>
      <w:r>
        <w:rPr>
          <w:color w:val="231F1F"/>
          <w:w w:val="110"/>
        </w:rPr>
        <w:t>and </w:t>
      </w:r>
      <w:r>
        <w:rPr>
          <w:rFonts w:ascii="Arial" w:hAnsi="Arial"/>
          <w:color w:val="231F1F"/>
          <w:w w:val="355"/>
          <w:position w:val="1"/>
          <w:sz w:val="7"/>
        </w:rPr>
        <w:t>l </w:t>
      </w:r>
      <w:r>
        <w:rPr>
          <w:rFonts w:ascii="Calibri" w:hAnsi="Calibri"/>
          <w:color w:val="008356"/>
          <w:spacing w:val="4"/>
          <w:w w:val="110"/>
          <w:sz w:val="11"/>
        </w:rPr>
        <w:t>VISMODEGIB </w:t>
      </w:r>
      <w:r>
        <w:rPr>
          <w:color w:val="231F1F"/>
          <w:w w:val="110"/>
        </w:rPr>
        <w:t>(plasma concentration of dasatinib and vismodegib possibly reduced); fosphenytoin reduces plasma concentration of </w:t>
      </w:r>
      <w:r>
        <w:rPr>
          <w:rFonts w:ascii="Arial" w:hAnsi="Arial"/>
          <w:color w:val="231F1F"/>
          <w:w w:val="355"/>
          <w:position w:val="1"/>
          <w:sz w:val="7"/>
        </w:rPr>
        <w:t>l </w:t>
      </w:r>
      <w:r>
        <w:rPr>
          <w:rFonts w:ascii="Calibri" w:hAnsi="Calibri"/>
          <w:color w:val="008356"/>
          <w:spacing w:val="4"/>
          <w:w w:val="110"/>
          <w:sz w:val="11"/>
        </w:rPr>
        <w:t>IMATINIB</w:t>
      </w:r>
      <w:r>
        <w:rPr>
          <w:rFonts w:ascii="Arial" w:hAnsi="Arial"/>
          <w:color w:val="231F1F"/>
          <w:spacing w:val="4"/>
          <w:w w:val="110"/>
        </w:rPr>
        <w:t>— </w:t>
      </w:r>
      <w:r>
        <w:rPr>
          <w:color w:val="231F1F"/>
          <w:w w:val="110"/>
        </w:rPr>
        <w:t>avoid concomitant use; fosphenytoin reduces plasma concentration of </w:t>
      </w:r>
      <w:r>
        <w:rPr>
          <w:rFonts w:ascii="Calibri" w:hAnsi="Calibri"/>
          <w:color w:val="008356"/>
          <w:spacing w:val="4"/>
          <w:w w:val="110"/>
          <w:sz w:val="11"/>
        </w:rPr>
        <w:t>IRINOTECAN </w:t>
      </w:r>
      <w:r>
        <w:rPr>
          <w:color w:val="231F1F"/>
          <w:w w:val="110"/>
        </w:rPr>
        <w:t>and its active metabolite; manufacturer of procarbazine advises possible increased risk of hypersensitivity reactions when fosphenytoin given with </w:t>
      </w:r>
      <w:r>
        <w:rPr>
          <w:rFonts w:ascii="Calibri" w:hAnsi="Calibri"/>
          <w:color w:val="008356"/>
          <w:spacing w:val="5"/>
          <w:w w:val="110"/>
          <w:sz w:val="11"/>
        </w:rPr>
        <w:t>PROCARBAZINE</w:t>
      </w:r>
    </w:p>
    <w:p>
      <w:pPr>
        <w:pStyle w:val="BodyText"/>
        <w:spacing w:line="143" w:lineRule="exact"/>
        <w:ind w:left="108"/>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Dexrazoxane:</w:t>
      </w:r>
      <w:r>
        <w:rPr>
          <w:rFonts w:ascii="Calibri"/>
          <w:color w:val="231F1F"/>
          <w:spacing w:val="-11"/>
          <w:w w:val="115"/>
        </w:rPr>
        <w:t> </w:t>
      </w:r>
      <w:r>
        <w:rPr>
          <w:color w:val="231F1F"/>
          <w:w w:val="115"/>
        </w:rPr>
        <w:t>absorption</w:t>
      </w:r>
      <w:r>
        <w:rPr>
          <w:color w:val="231F1F"/>
          <w:spacing w:val="-15"/>
          <w:w w:val="115"/>
        </w:rPr>
        <w:t> </w:t>
      </w:r>
      <w:r>
        <w:rPr>
          <w:color w:val="231F1F"/>
          <w:w w:val="115"/>
        </w:rPr>
        <w:t>of</w:t>
      </w:r>
      <w:r>
        <w:rPr>
          <w:color w:val="231F1F"/>
          <w:spacing w:val="-14"/>
          <w:w w:val="115"/>
        </w:rPr>
        <w:t> </w:t>
      </w:r>
      <w:r>
        <w:rPr>
          <w:color w:val="231F1F"/>
          <w:w w:val="115"/>
        </w:rPr>
        <w:t>fosphenytoin</w:t>
      </w:r>
      <w:r>
        <w:rPr>
          <w:color w:val="231F1F"/>
          <w:spacing w:val="-13"/>
          <w:w w:val="115"/>
        </w:rPr>
        <w:t> </w:t>
      </w:r>
      <w:r>
        <w:rPr>
          <w:color w:val="231F1F"/>
          <w:w w:val="115"/>
        </w:rPr>
        <w:t>possibly</w:t>
      </w:r>
      <w:r>
        <w:rPr>
          <w:color w:val="231F1F"/>
          <w:spacing w:val="-14"/>
          <w:w w:val="115"/>
        </w:rPr>
        <w:t> </w:t>
      </w:r>
      <w:r>
        <w:rPr>
          <w:color w:val="231F1F"/>
          <w:w w:val="115"/>
        </w:rPr>
        <w:t>reduced</w:t>
      </w:r>
      <w:r>
        <w:rPr>
          <w:color w:val="231F1F"/>
          <w:spacing w:val="-15"/>
          <w:w w:val="115"/>
        </w:rPr>
        <w:t> </w:t>
      </w:r>
      <w:r>
        <w:rPr>
          <w:color w:val="231F1F"/>
          <w:w w:val="115"/>
        </w:rPr>
        <w:t>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DEXRAZOXANE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Diazoxide: </w:t>
      </w:r>
      <w:r>
        <w:rPr>
          <w:color w:val="231F1F"/>
          <w:w w:val="105"/>
        </w:rPr>
        <w:t>plasma concentration of fosphenytoin reduced by</w:t>
      </w:r>
    </w:p>
    <w:p>
      <w:pPr>
        <w:pStyle w:val="BodyText"/>
        <w:spacing w:line="134" w:lineRule="exact"/>
      </w:pPr>
      <w:r>
        <w:rPr>
          <w:rFonts w:ascii="Calibri"/>
          <w:color w:val="008356"/>
          <w:w w:val="110"/>
          <w:sz w:val="11"/>
        </w:rPr>
        <w:t>DIAZOXIDE</w:t>
      </w:r>
      <w:r>
        <w:rPr>
          <w:color w:val="231F1F"/>
          <w:w w:val="110"/>
        </w:rPr>
        <w:t>, also effect of diazoxide may be reduced</w:t>
      </w:r>
    </w:p>
    <w:p>
      <w:pPr>
        <w:pStyle w:val="BodyText"/>
        <w:spacing w:line="145" w:lineRule="exact"/>
        <w:ind w:left="108"/>
      </w:pPr>
      <w:r>
        <w:rPr>
          <w:rFonts w:ascii="Arial"/>
          <w:color w:val="231F1F"/>
          <w:w w:val="355"/>
          <w:position w:val="1"/>
          <w:sz w:val="7"/>
        </w:rPr>
        <w:t>l </w:t>
      </w:r>
      <w:r>
        <w:rPr>
          <w:rFonts w:ascii="Calibri"/>
          <w:color w:val="231F1F"/>
          <w:w w:val="115"/>
        </w:rPr>
        <w:t>Disulfiram: </w:t>
      </w:r>
      <w:r>
        <w:rPr>
          <w:color w:val="231F1F"/>
          <w:w w:val="115"/>
        </w:rPr>
        <w:t>metabolism of fosphenytoin inhibited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DISULFIRAM </w:t>
      </w:r>
      <w:r>
        <w:rPr>
          <w:color w:val="231F1F"/>
          <w:w w:val="110"/>
          <w:sz w:val="12"/>
        </w:rPr>
        <w:t>(increased risk of toxicity)</w:t>
      </w:r>
    </w:p>
    <w:p>
      <w:pPr>
        <w:spacing w:line="247" w:lineRule="auto" w:before="0"/>
        <w:ind w:left="208" w:right="0"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Diuretics: </w:t>
      </w:r>
      <w:r>
        <w:rPr>
          <w:color w:val="231F1F"/>
          <w:w w:val="110"/>
          <w:sz w:val="12"/>
        </w:rPr>
        <w:t>plasma concentration of fosphenytoin possibly increased by </w:t>
      </w:r>
      <w:r>
        <w:rPr>
          <w:rFonts w:ascii="Arial" w:hAnsi="Arial"/>
          <w:color w:val="231F1F"/>
          <w:w w:val="355"/>
          <w:position w:val="1"/>
          <w:sz w:val="7"/>
        </w:rPr>
        <w:t>l </w:t>
      </w:r>
      <w:r>
        <w:rPr>
          <w:rFonts w:ascii="Calibri" w:hAnsi="Calibri"/>
          <w:color w:val="008356"/>
          <w:w w:val="110"/>
          <w:sz w:val="11"/>
        </w:rPr>
        <w:t>ACETAZOLAMIDE</w:t>
      </w:r>
      <w:r>
        <w:rPr>
          <w:color w:val="231F1F"/>
          <w:w w:val="110"/>
          <w:sz w:val="12"/>
        </w:rPr>
        <w:t>; fosphenytoin antagonises effects of </w:t>
      </w:r>
      <w:r>
        <w:rPr>
          <w:rFonts w:ascii="Calibri" w:hAnsi="Calibri"/>
          <w:color w:val="008356"/>
          <w:w w:val="110"/>
          <w:sz w:val="11"/>
        </w:rPr>
        <w:t>FUROSEMIDE</w:t>
      </w:r>
      <w:r>
        <w:rPr>
          <w:color w:val="231F1F"/>
          <w:w w:val="110"/>
          <w:sz w:val="12"/>
        </w:rPr>
        <w:t>; fosphenytoin reduces plasma concentration of </w:t>
      </w:r>
      <w:r>
        <w:rPr>
          <w:rFonts w:ascii="Arial" w:hAnsi="Arial"/>
          <w:color w:val="231F1F"/>
          <w:w w:val="355"/>
          <w:position w:val="1"/>
          <w:sz w:val="7"/>
        </w:rPr>
        <w:t>l </w:t>
      </w:r>
      <w:r>
        <w:rPr>
          <w:rFonts w:ascii="Calibri" w:hAnsi="Calibri"/>
          <w:color w:val="008356"/>
          <w:w w:val="110"/>
          <w:sz w:val="11"/>
        </w:rPr>
        <w:t>EPLERENONE</w:t>
      </w:r>
      <w:r>
        <w:rPr>
          <w:rFonts w:ascii="Arial" w:hAnsi="Arial"/>
          <w:color w:val="231F1F"/>
          <w:w w:val="110"/>
          <w:sz w:val="12"/>
        </w:rPr>
        <w:t>—</w:t>
      </w:r>
      <w:r>
        <w:rPr>
          <w:color w:val="231F1F"/>
          <w:w w:val="110"/>
          <w:sz w:val="12"/>
        </w:rPr>
        <w:t>avoid concomitant use; increased risk of osteomalacia when fosphenytoin given with </w:t>
      </w:r>
      <w:r>
        <w:rPr>
          <w:rFonts w:ascii="Calibri" w:hAnsi="Calibri"/>
          <w:color w:val="008356"/>
          <w:w w:val="110"/>
          <w:sz w:val="11"/>
        </w:rPr>
        <w:t>CARBONIC ANHYDRASE INHIBITORS</w:t>
      </w:r>
    </w:p>
    <w:p>
      <w:pPr>
        <w:spacing w:line="220"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fosphenytoin possibly reduces effects of </w:t>
      </w:r>
      <w:r>
        <w:rPr>
          <w:rFonts w:ascii="Calibri" w:hAnsi="Calibri"/>
          <w:color w:val="008356"/>
          <w:w w:val="105"/>
          <w:sz w:val="11"/>
        </w:rPr>
        <w:t>CO- BENELDOPA</w:t>
      </w:r>
      <w:r>
        <w:rPr>
          <w:color w:val="231F1F"/>
          <w:w w:val="105"/>
          <w:sz w:val="12"/>
        </w:rPr>
        <w:t>, </w:t>
      </w:r>
      <w:r>
        <w:rPr>
          <w:rFonts w:ascii="Calibri" w:hAnsi="Calibri"/>
          <w:color w:val="008356"/>
          <w:w w:val="105"/>
          <w:sz w:val="11"/>
        </w:rPr>
        <w:t>CO-CARELDOPA </w:t>
      </w:r>
      <w:r>
        <w:rPr>
          <w:color w:val="231F1F"/>
          <w:w w:val="105"/>
          <w:sz w:val="12"/>
        </w:rPr>
        <w:t>and </w:t>
      </w:r>
      <w:r>
        <w:rPr>
          <w:rFonts w:ascii="Calibri" w:hAnsi="Calibri"/>
          <w:color w:val="008356"/>
          <w:w w:val="105"/>
          <w:sz w:val="11"/>
        </w:rPr>
        <w:t>LEVODOPA</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Enteral Foods: </w:t>
      </w:r>
      <w:r>
        <w:rPr>
          <w:color w:val="231F1F"/>
          <w:w w:val="105"/>
        </w:rPr>
        <w:t>absorption of fosphenytoin possibly reduced by</w:t>
      </w:r>
    </w:p>
    <w:p>
      <w:pPr>
        <w:spacing w:line="130" w:lineRule="exact" w:before="0"/>
        <w:ind w:left="208" w:right="0" w:firstLine="0"/>
        <w:jc w:val="left"/>
        <w:rPr>
          <w:rFonts w:ascii="Calibri"/>
          <w:sz w:val="11"/>
        </w:rPr>
      </w:pPr>
      <w:r>
        <w:rPr>
          <w:rFonts w:ascii="Calibri"/>
          <w:color w:val="008356"/>
          <w:sz w:val="11"/>
        </w:rPr>
        <w:t>ENTERAL FEEDS</w:t>
      </w:r>
    </w:p>
    <w:p>
      <w:pPr>
        <w:pStyle w:val="BodyText"/>
        <w:spacing w:line="220" w:lineRule="auto" w:before="5"/>
        <w:ind w:right="306" w:hanging="100"/>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plasma concentration of fosphenytoin possibly reduced by </w:t>
      </w:r>
      <w:r>
        <w:rPr>
          <w:rFonts w:ascii="Calibri" w:hAnsi="Calibri"/>
          <w:color w:val="008356"/>
          <w:w w:val="105"/>
          <w:sz w:val="11"/>
        </w:rPr>
        <w:t>FOLATES</w:t>
      </w:r>
    </w:p>
    <w:p>
      <w:pPr>
        <w:pStyle w:val="BodyText"/>
        <w:spacing w:line="220" w:lineRule="auto" w:before="9"/>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fosphenytoin possibly reduces plasma concentration of </w:t>
      </w:r>
      <w:r>
        <w:rPr>
          <w:rFonts w:ascii="Calibri" w:hAnsi="Calibri"/>
          <w:color w:val="008356"/>
          <w:w w:val="105"/>
          <w:sz w:val="11"/>
        </w:rPr>
        <w:t>FOSAPREPITANT</w:t>
      </w:r>
    </w:p>
    <w:p>
      <w:pPr>
        <w:pStyle w:val="BodyText"/>
        <w:spacing w:line="242" w:lineRule="auto"/>
        <w:ind w:right="165" w:hanging="100"/>
        <w:rPr>
          <w:rFonts w:ascii="Calibri" w:hAnsi="Calibri"/>
          <w:sz w:val="11"/>
        </w:rPr>
      </w:pPr>
      <w:r>
        <w:rPr>
          <w:rFonts w:ascii="Arial" w:hAnsi="Arial"/>
          <w:color w:val="231F1F"/>
          <w:w w:val="115"/>
          <w:position w:val="1"/>
          <w:sz w:val="7"/>
        </w:rPr>
        <w:t>l</w:t>
      </w:r>
      <w:r>
        <w:rPr>
          <w:rFonts w:ascii="Arial" w:hAnsi="Arial"/>
          <w:color w:val="231F1F"/>
          <w:spacing w:val="-7"/>
          <w:w w:val="115"/>
          <w:position w:val="1"/>
          <w:sz w:val="7"/>
        </w:rPr>
        <w:t> </w:t>
      </w:r>
      <w:r>
        <w:rPr>
          <w:rFonts w:ascii="Calibri" w:hAnsi="Calibri"/>
          <w:color w:val="231F1F"/>
          <w:w w:val="115"/>
        </w:rPr>
        <w:t>Hormone</w:t>
      </w:r>
      <w:r>
        <w:rPr>
          <w:rFonts w:ascii="Calibri" w:hAnsi="Calibri"/>
          <w:color w:val="231F1F"/>
          <w:spacing w:val="-19"/>
          <w:w w:val="115"/>
        </w:rPr>
        <w:t> </w:t>
      </w:r>
      <w:r>
        <w:rPr>
          <w:rFonts w:ascii="Calibri" w:hAnsi="Calibri"/>
          <w:color w:val="231F1F"/>
          <w:w w:val="115"/>
        </w:rPr>
        <w:t>Antagonists:</w:t>
      </w:r>
      <w:r>
        <w:rPr>
          <w:rFonts w:ascii="Calibri" w:hAnsi="Calibri"/>
          <w:color w:val="231F1F"/>
          <w:spacing w:val="-18"/>
          <w:w w:val="115"/>
        </w:rPr>
        <w:t> </w:t>
      </w:r>
      <w:r>
        <w:rPr>
          <w:color w:val="231F1F"/>
          <w:w w:val="115"/>
        </w:rPr>
        <w:t>fosphenytoin</w:t>
      </w:r>
      <w:r>
        <w:rPr>
          <w:color w:val="231F1F"/>
          <w:spacing w:val="-21"/>
          <w:w w:val="115"/>
        </w:rPr>
        <w:t> </w:t>
      </w:r>
      <w:r>
        <w:rPr>
          <w:color w:val="231F1F"/>
          <w:w w:val="115"/>
        </w:rPr>
        <w:t>possibly</w:t>
      </w:r>
      <w:r>
        <w:rPr>
          <w:color w:val="231F1F"/>
          <w:spacing w:val="-22"/>
          <w:w w:val="115"/>
        </w:rPr>
        <w:t> </w:t>
      </w:r>
      <w:r>
        <w:rPr>
          <w:color w:val="231F1F"/>
          <w:w w:val="115"/>
        </w:rPr>
        <w:t>reduces</w:t>
      </w:r>
      <w:r>
        <w:rPr>
          <w:color w:val="231F1F"/>
          <w:spacing w:val="-23"/>
          <w:w w:val="115"/>
        </w:rPr>
        <w:t> </w:t>
      </w:r>
      <w:r>
        <w:rPr>
          <w:color w:val="231F1F"/>
          <w:spacing w:val="-3"/>
          <w:w w:val="115"/>
        </w:rPr>
        <w:t>plasma </w:t>
      </w:r>
      <w:r>
        <w:rPr>
          <w:color w:val="231F1F"/>
          <w:w w:val="120"/>
        </w:rPr>
        <w:t>concentration of </w:t>
      </w:r>
      <w:r>
        <w:rPr>
          <w:rFonts w:ascii="Arial" w:hAnsi="Arial"/>
          <w:color w:val="231F1F"/>
          <w:w w:val="355"/>
          <w:position w:val="1"/>
          <w:sz w:val="7"/>
        </w:rPr>
        <w:t>l </w:t>
      </w:r>
      <w:r>
        <w:rPr>
          <w:rFonts w:ascii="Calibri" w:hAnsi="Calibri"/>
          <w:color w:val="008356"/>
          <w:spacing w:val="2"/>
          <w:w w:val="120"/>
          <w:sz w:val="11"/>
        </w:rPr>
        <w:t>ABIRATERONE</w:t>
      </w:r>
      <w:r>
        <w:rPr>
          <w:rFonts w:ascii="Arial" w:hAnsi="Arial"/>
          <w:color w:val="231F1F"/>
          <w:spacing w:val="2"/>
          <w:w w:val="120"/>
        </w:rPr>
        <w:t>—</w:t>
      </w:r>
      <w:r>
        <w:rPr>
          <w:color w:val="231F1F"/>
          <w:spacing w:val="2"/>
          <w:w w:val="120"/>
        </w:rPr>
        <w:t>manufacturer </w:t>
      </w:r>
      <w:r>
        <w:rPr>
          <w:color w:val="231F1F"/>
          <w:w w:val="120"/>
        </w:rPr>
        <w:t>of abiraterone</w:t>
      </w:r>
      <w:r>
        <w:rPr>
          <w:color w:val="231F1F"/>
          <w:spacing w:val="-22"/>
          <w:w w:val="120"/>
        </w:rPr>
        <w:t> </w:t>
      </w:r>
      <w:r>
        <w:rPr>
          <w:color w:val="231F1F"/>
          <w:w w:val="120"/>
        </w:rPr>
        <w:t>advises</w:t>
      </w:r>
      <w:r>
        <w:rPr>
          <w:color w:val="231F1F"/>
          <w:spacing w:val="-21"/>
          <w:w w:val="120"/>
        </w:rPr>
        <w:t> </w:t>
      </w:r>
      <w:r>
        <w:rPr>
          <w:color w:val="231F1F"/>
          <w:w w:val="120"/>
        </w:rPr>
        <w:t>avoid</w:t>
      </w:r>
      <w:r>
        <w:rPr>
          <w:color w:val="231F1F"/>
          <w:spacing w:val="-22"/>
          <w:w w:val="120"/>
        </w:rPr>
        <w:t> </w:t>
      </w:r>
      <w:r>
        <w:rPr>
          <w:color w:val="231F1F"/>
          <w:w w:val="120"/>
        </w:rPr>
        <w:t>concomitant</w:t>
      </w:r>
      <w:r>
        <w:rPr>
          <w:color w:val="231F1F"/>
          <w:spacing w:val="-21"/>
          <w:w w:val="120"/>
        </w:rPr>
        <w:t> </w:t>
      </w:r>
      <w:r>
        <w:rPr>
          <w:color w:val="231F1F"/>
          <w:w w:val="120"/>
        </w:rPr>
        <w:t>use;</w:t>
      </w:r>
      <w:r>
        <w:rPr>
          <w:color w:val="231F1F"/>
          <w:spacing w:val="-21"/>
          <w:w w:val="120"/>
        </w:rPr>
        <w:t> </w:t>
      </w:r>
      <w:r>
        <w:rPr>
          <w:color w:val="231F1F"/>
          <w:w w:val="120"/>
        </w:rPr>
        <w:t>fosphenytoin possibly</w:t>
      </w:r>
      <w:r>
        <w:rPr>
          <w:color w:val="231F1F"/>
          <w:spacing w:val="-16"/>
          <w:w w:val="120"/>
        </w:rPr>
        <w:t> </w:t>
      </w:r>
      <w:r>
        <w:rPr>
          <w:color w:val="231F1F"/>
          <w:w w:val="120"/>
        </w:rPr>
        <w:t>accelerates</w:t>
      </w:r>
      <w:r>
        <w:rPr>
          <w:color w:val="231F1F"/>
          <w:spacing w:val="-15"/>
          <w:w w:val="120"/>
        </w:rPr>
        <w:t> </w:t>
      </w:r>
      <w:r>
        <w:rPr>
          <w:color w:val="231F1F"/>
          <w:w w:val="120"/>
        </w:rPr>
        <w:t>metabolism</w:t>
      </w:r>
      <w:r>
        <w:rPr>
          <w:color w:val="231F1F"/>
          <w:spacing w:val="-15"/>
          <w:w w:val="120"/>
        </w:rPr>
        <w:t> </w:t>
      </w:r>
      <w:r>
        <w:rPr>
          <w:color w:val="231F1F"/>
          <w:w w:val="120"/>
        </w:rPr>
        <w:t>of</w:t>
      </w:r>
      <w:r>
        <w:rPr>
          <w:color w:val="231F1F"/>
          <w:spacing w:val="-13"/>
          <w:w w:val="120"/>
        </w:rPr>
        <w:t> </w:t>
      </w:r>
      <w:r>
        <w:rPr>
          <w:rFonts w:ascii="Calibri" w:hAnsi="Calibri"/>
          <w:color w:val="008356"/>
          <w:spacing w:val="4"/>
          <w:w w:val="120"/>
          <w:sz w:val="11"/>
        </w:rPr>
        <w:t>TOREMIFENE</w:t>
      </w:r>
    </w:p>
    <w:p>
      <w:pPr>
        <w:pStyle w:val="BodyText"/>
        <w:spacing w:line="220" w:lineRule="auto" w:before="6"/>
        <w:ind w:right="190" w:hanging="100"/>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fosphenytoin accelerates metabolism of </w:t>
      </w:r>
      <w:r>
        <w:rPr>
          <w:rFonts w:ascii="Calibri" w:hAnsi="Calibri"/>
          <w:color w:val="008356"/>
          <w:w w:val="105"/>
          <w:sz w:val="11"/>
          <w:vertAlign w:val="baseline"/>
        </w:rPr>
        <w:t>ONDANSETRON </w:t>
      </w:r>
      <w:r>
        <w:rPr>
          <w:color w:val="231F1F"/>
          <w:w w:val="105"/>
          <w:vertAlign w:val="baseline"/>
        </w:rPr>
        <w:t>(reduced effect)</w:t>
      </w:r>
    </w:p>
    <w:p>
      <w:pPr>
        <w:pStyle w:val="BodyText"/>
        <w:ind w:hanging="100"/>
      </w:pPr>
      <w:r>
        <w:rPr>
          <w:rFonts w:ascii="Arial" w:hAnsi="Arial"/>
          <w:color w:val="231F1F"/>
          <w:w w:val="355"/>
          <w:position w:val="1"/>
          <w:sz w:val="7"/>
        </w:rPr>
        <w:t>l </w:t>
      </w:r>
      <w:r>
        <w:rPr>
          <w:rFonts w:ascii="Calibri" w:hAnsi="Calibri"/>
          <w:color w:val="231F1F"/>
          <w:w w:val="120"/>
        </w:rPr>
        <w:t>Ivacaftor: </w:t>
      </w:r>
      <w:r>
        <w:rPr>
          <w:color w:val="231F1F"/>
          <w:w w:val="120"/>
        </w:rPr>
        <w:t>fosphenytoin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IVACAFTOR</w:t>
      </w:r>
      <w:r>
        <w:rPr>
          <w:rFonts w:ascii="Arial" w:hAnsi="Arial"/>
          <w:color w:val="231F1F"/>
          <w:w w:val="115"/>
        </w:rPr>
        <w:t>—</w:t>
      </w:r>
      <w:r>
        <w:rPr>
          <w:color w:val="231F1F"/>
          <w:w w:val="115"/>
        </w:rPr>
        <w:t>manufacturer of ivacaftor </w:t>
      </w:r>
      <w:r>
        <w:rPr>
          <w:color w:val="231F1F"/>
          <w:w w:val="120"/>
        </w:rPr>
        <w:t>advises avoid concomitant use</w:t>
      </w:r>
    </w:p>
    <w:p>
      <w:pPr>
        <w:pStyle w:val="BodyText"/>
        <w:spacing w:before="6"/>
        <w:ind w:left="0"/>
        <w:rPr>
          <w:sz w:val="14"/>
        </w:rPr>
      </w:pPr>
      <w:r>
        <w:rPr/>
        <w:br w:type="column"/>
      </w:r>
      <w:r>
        <w:rPr>
          <w:sz w:val="14"/>
        </w:rPr>
      </w:r>
    </w:p>
    <w:p>
      <w:pPr>
        <w:pStyle w:val="BodyText"/>
        <w:spacing w:line="144" w:lineRule="exact" w:before="1"/>
        <w:ind w:left="108"/>
        <w:rPr>
          <w:rFonts w:ascii="Calibri"/>
        </w:rPr>
      </w:pPr>
      <w:r>
        <w:rPr>
          <w:rFonts w:ascii="Arial"/>
          <w:color w:val="008356"/>
        </w:rPr>
        <w:t>Fosphenytoin </w:t>
      </w:r>
      <w:r>
        <w:rPr>
          <w:rFonts w:ascii="Calibri"/>
          <w:color w:val="231F1F"/>
        </w:rPr>
        <w:t>(continued)</w:t>
      </w:r>
    </w:p>
    <w:p>
      <w:pPr>
        <w:pStyle w:val="BodyText"/>
        <w:spacing w:line="220" w:lineRule="auto" w:before="6"/>
        <w:ind w:right="670" w:hanging="100"/>
        <w:rPr>
          <w:rFonts w:ascii="Calibri" w:hAnsi="Calibri"/>
          <w:sz w:val="11"/>
        </w:rPr>
      </w:pPr>
      <w:r>
        <w:rPr/>
        <w:pict>
          <v:rect style="position:absolute;margin-left:398.891296pt;margin-top:-8.655787pt;width:20.522993pt;height:149.443pt;mso-position-horizontal-relative:page;mso-position-vertical-relative:paragraph;z-index:4000" filled="true" fillcolor="#bfdbcf" stroked="false">
            <v:fill type="solid"/>
            <w10:wrap type="none"/>
          </v:rect>
        </w:pict>
      </w:r>
      <w:r>
        <w:rPr/>
        <w:pict>
          <v:shape style="position:absolute;margin-left:399.725769pt;margin-top:-3.692398pt;width:10.4pt;height:78.850pt;mso-position-horizontal-relative:page;mso-position-vertical-relative:paragraph;z-index:402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Leflunomide: </w:t>
      </w:r>
      <w:r>
        <w:rPr>
          <w:color w:val="231F1F"/>
          <w:w w:val="105"/>
        </w:rPr>
        <w:t>plasma concentration of fosphenytoin possibly increased by </w:t>
      </w:r>
      <w:r>
        <w:rPr>
          <w:rFonts w:ascii="Calibri" w:hAnsi="Calibri"/>
          <w:color w:val="008356"/>
          <w:w w:val="105"/>
          <w:sz w:val="11"/>
        </w:rPr>
        <w:t>LEFLUNOMIDE</w:t>
      </w:r>
    </w:p>
    <w:p>
      <w:pPr>
        <w:pStyle w:val="BodyText"/>
        <w:spacing w:line="235" w:lineRule="auto" w:before="2"/>
        <w:ind w:right="762"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fosphenytoin possibly reduced by </w:t>
      </w:r>
      <w:r>
        <w:rPr>
          <w:rFonts w:ascii="Calibri" w:hAnsi="Calibri"/>
          <w:color w:val="008356"/>
          <w:w w:val="110"/>
          <w:sz w:val="11"/>
        </w:rPr>
        <w:t>COLESEVELAM</w:t>
      </w:r>
      <w:r>
        <w:rPr>
          <w:color w:val="231F1F"/>
          <w:w w:val="110"/>
        </w:rPr>
        <w:t>; combination of fosphenytoin with </w:t>
      </w:r>
      <w:r>
        <w:rPr>
          <w:rFonts w:ascii="Calibri" w:hAnsi="Calibri"/>
          <w:color w:val="008356"/>
          <w:w w:val="110"/>
          <w:sz w:val="11"/>
        </w:rPr>
        <w:t>FLUVASTATIN </w:t>
      </w:r>
      <w:r>
        <w:rPr>
          <w:color w:val="231F1F"/>
          <w:w w:val="110"/>
        </w:rPr>
        <w:t>may increase plasma concentration of either drug (or both)</w:t>
      </w:r>
    </w:p>
    <w:p>
      <w:pPr>
        <w:pStyle w:val="BodyText"/>
        <w:spacing w:line="230" w:lineRule="auto" w:before="6"/>
        <w:ind w:right="762" w:hanging="100"/>
      </w:pPr>
      <w:r>
        <w:rPr>
          <w:rFonts w:ascii="Lucida Sans Unicode" w:hAnsi="Lucida Sans Unicode"/>
          <w:color w:val="A7A8AC"/>
          <w:w w:val="95"/>
          <w:sz w:val="10"/>
        </w:rPr>
        <w:t>▶ </w:t>
      </w:r>
      <w:r>
        <w:rPr>
          <w:rFonts w:ascii="Calibri" w:hAnsi="Calibri"/>
          <w:color w:val="231F1F"/>
          <w:w w:val="110"/>
        </w:rPr>
        <w:t>Lithium: </w:t>
      </w:r>
      <w:r>
        <w:rPr>
          <w:color w:val="231F1F"/>
          <w:w w:val="110"/>
        </w:rPr>
        <w:t>neurotoxicity may occur when fosphenytoin given with </w:t>
      </w:r>
      <w:r>
        <w:rPr>
          <w:rFonts w:ascii="Calibri" w:hAnsi="Calibri"/>
          <w:color w:val="008356"/>
          <w:w w:val="110"/>
          <w:sz w:val="11"/>
        </w:rPr>
        <w:t>LITHIUM </w:t>
      </w:r>
      <w:r>
        <w:rPr>
          <w:color w:val="231F1F"/>
          <w:w w:val="110"/>
        </w:rPr>
        <w:t>without increased plasma concentration of lithium</w:t>
      </w:r>
    </w:p>
    <w:p>
      <w:pPr>
        <w:pStyle w:val="BodyText"/>
        <w:spacing w:line="220" w:lineRule="auto" w:before="13"/>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Macitentan: </w:t>
      </w:r>
      <w:r>
        <w:rPr>
          <w:color w:val="231F1F"/>
          <w:w w:val="105"/>
        </w:rPr>
        <w:t>avoidance of fosphenytoin advised by manufacturer of </w:t>
      </w:r>
      <w:r>
        <w:rPr>
          <w:rFonts w:ascii="Calibri" w:hAnsi="Calibri"/>
          <w:color w:val="008356"/>
          <w:w w:val="105"/>
          <w:sz w:val="11"/>
        </w:rPr>
        <w:t>MACITENTAN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Modafinil: </w:t>
      </w:r>
      <w:r>
        <w:rPr>
          <w:color w:val="231F1F"/>
          <w:w w:val="105"/>
        </w:rPr>
        <w:t>plasma concentration of fosphenytoin possibly increased by </w:t>
      </w:r>
      <w:r>
        <w:rPr>
          <w:rFonts w:ascii="Calibri" w:hAnsi="Calibri"/>
          <w:color w:val="008356"/>
          <w:w w:val="105"/>
          <w:sz w:val="11"/>
        </w:rPr>
        <w:t>MODAFINIL</w:t>
      </w:r>
    </w:p>
    <w:p>
      <w:pPr>
        <w:spacing w:line="244" w:lineRule="auto" w:before="0"/>
        <w:ind w:left="208" w:right="762" w:hanging="100"/>
        <w:jc w:val="left"/>
        <w:rPr>
          <w:sz w:val="12"/>
        </w:rPr>
      </w:pPr>
      <w:r>
        <w:rPr>
          <w:rFonts w:ascii="Arial"/>
          <w:color w:val="231F1F"/>
          <w:w w:val="355"/>
          <w:position w:val="1"/>
          <w:sz w:val="7"/>
        </w:rPr>
        <w:t>l </w:t>
      </w:r>
      <w:r>
        <w:rPr>
          <w:rFonts w:ascii="Calibri"/>
          <w:color w:val="231F1F"/>
          <w:w w:val="110"/>
          <w:sz w:val="12"/>
        </w:rPr>
        <w:t>Muscle Relaxants: </w:t>
      </w:r>
      <w:r>
        <w:rPr>
          <w:i/>
          <w:color w:val="231F1F"/>
          <w:w w:val="110"/>
          <w:sz w:val="12"/>
        </w:rPr>
        <w:t>long-term use </w:t>
      </w:r>
      <w:r>
        <w:rPr>
          <w:color w:val="231F1F"/>
          <w:w w:val="110"/>
          <w:sz w:val="12"/>
        </w:rPr>
        <w:t>of fosphenytoin reduces effects of </w:t>
      </w:r>
      <w:r>
        <w:rPr>
          <w:rFonts w:ascii="Arial"/>
          <w:color w:val="231F1F"/>
          <w:w w:val="275"/>
          <w:position w:val="1"/>
          <w:sz w:val="7"/>
        </w:rPr>
        <w:t>l </w:t>
      </w:r>
      <w:r>
        <w:rPr>
          <w:rFonts w:ascii="Calibri"/>
          <w:color w:val="008356"/>
          <w:w w:val="110"/>
          <w:sz w:val="11"/>
        </w:rPr>
        <w:t>NON-DEPOLARISING MUSCLE RELAXANTS </w:t>
      </w:r>
      <w:r>
        <w:rPr>
          <w:color w:val="231F1F"/>
          <w:w w:val="110"/>
          <w:sz w:val="12"/>
        </w:rPr>
        <w:t>(but </w:t>
      </w:r>
      <w:r>
        <w:rPr>
          <w:i/>
          <w:color w:val="231F1F"/>
          <w:w w:val="110"/>
          <w:sz w:val="12"/>
        </w:rPr>
        <w:t>acute </w:t>
      </w:r>
      <w:r>
        <w:rPr>
          <w:i/>
          <w:color w:val="231F1F"/>
          <w:w w:val="110"/>
          <w:sz w:val="12"/>
        </w:rPr>
        <w:t>use </w:t>
      </w:r>
      <w:r>
        <w:rPr>
          <w:color w:val="231F1F"/>
          <w:w w:val="110"/>
          <w:sz w:val="12"/>
        </w:rPr>
        <w:t>of fosphenytoin might increase effects of non- depolarising muscle relaxants)</w:t>
      </w:r>
    </w:p>
    <w:p>
      <w:pPr>
        <w:pStyle w:val="BodyText"/>
        <w:spacing w:line="143" w:lineRule="exact"/>
        <w:ind w:left="108"/>
      </w:pPr>
      <w:r>
        <w:rPr>
          <w:rFonts w:ascii="Arial"/>
          <w:color w:val="231F1F"/>
          <w:w w:val="355"/>
          <w:position w:val="1"/>
          <w:sz w:val="7"/>
        </w:rPr>
        <w:t>l </w:t>
      </w:r>
      <w:r>
        <w:rPr>
          <w:rFonts w:ascii="Calibri"/>
          <w:color w:val="231F1F"/>
          <w:w w:val="110"/>
        </w:rPr>
        <w:t>Oestrogens: </w:t>
      </w:r>
      <w:r>
        <w:rPr>
          <w:color w:val="231F1F"/>
          <w:w w:val="110"/>
        </w:rPr>
        <w:t>fosphenytoin accelerates metabolism of</w:t>
      </w:r>
    </w:p>
    <w:p>
      <w:pPr>
        <w:pStyle w:val="BodyText"/>
        <w:spacing w:line="244" w:lineRule="auto"/>
        <w:ind w:right="670"/>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08"/>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Progestogens: </w:t>
      </w:r>
      <w:r>
        <w:rPr>
          <w:color w:val="231F1F"/>
          <w:w w:val="115"/>
        </w:rPr>
        <w:t>fosphenytoin accelerates metabolism of</w:t>
      </w:r>
    </w:p>
    <w:p>
      <w:pPr>
        <w:pStyle w:val="BodyText"/>
        <w:spacing w:line="247" w:lineRule="auto"/>
        <w:ind w:right="683" w:hanging="1"/>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5"/>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pStyle w:val="BodyText"/>
        <w:spacing w:line="232" w:lineRule="auto"/>
        <w:ind w:right="670" w:hanging="100"/>
      </w:pPr>
      <w:r>
        <w:rPr>
          <w:rFonts w:ascii="Lucida Sans Unicode" w:hAnsi="Lucida Sans Unicode"/>
          <w:color w:val="A7A8AC"/>
          <w:w w:val="95"/>
          <w:sz w:val="10"/>
        </w:rPr>
        <w:t>▶ </w:t>
      </w:r>
      <w:r>
        <w:rPr>
          <w:rFonts w:ascii="Calibri" w:hAnsi="Calibri"/>
          <w:color w:val="231F1F"/>
          <w:w w:val="110"/>
        </w:rPr>
        <w:t>Roflumilast: </w:t>
      </w:r>
      <w:r>
        <w:rPr>
          <w:color w:val="231F1F"/>
          <w:w w:val="110"/>
        </w:rPr>
        <w:t>fosphenytoin possibly inhibits effects of </w:t>
      </w:r>
      <w:r>
        <w:rPr>
          <w:rFonts w:ascii="Calibri" w:hAnsi="Calibri"/>
          <w:color w:val="008356"/>
          <w:w w:val="110"/>
          <w:sz w:val="11"/>
        </w:rPr>
        <w:t>ROFLUMILAST </w:t>
      </w:r>
      <w:r>
        <w:rPr>
          <w:color w:val="231F1F"/>
          <w:w w:val="110"/>
        </w:rPr>
        <w:t>(manufacturer of roflumilast advises avoid concomitant use)</w:t>
      </w:r>
    </w:p>
    <w:p>
      <w:pPr>
        <w:spacing w:before="0"/>
        <w:ind w:left="208" w:right="762" w:hanging="100"/>
        <w:jc w:val="left"/>
        <w:rPr>
          <w:rFonts w:ascii="Calibri"/>
          <w:sz w:val="11"/>
        </w:rPr>
      </w:pPr>
      <w:r>
        <w:rPr>
          <w:rFonts w:ascii="Arial"/>
          <w:color w:val="231F1F"/>
          <w:w w:val="355"/>
          <w:position w:val="1"/>
          <w:sz w:val="7"/>
        </w:rPr>
        <w:t>l </w:t>
      </w:r>
      <w:r>
        <w:rPr>
          <w:rFonts w:ascii="Calibri"/>
          <w:color w:val="231F1F"/>
          <w:w w:val="110"/>
          <w:sz w:val="12"/>
        </w:rPr>
        <w:t>Sulfinpyrazone: </w:t>
      </w:r>
      <w:r>
        <w:rPr>
          <w:color w:val="231F1F"/>
          <w:w w:val="110"/>
          <w:sz w:val="12"/>
        </w:rPr>
        <w:t>plasma concentration of </w:t>
      </w:r>
      <w:r>
        <w:rPr>
          <w:color w:val="231F1F"/>
          <w:spacing w:val="-3"/>
          <w:w w:val="110"/>
          <w:sz w:val="12"/>
        </w:rPr>
        <w:t>fosphenytoin </w:t>
      </w:r>
      <w:r>
        <w:rPr>
          <w:color w:val="231F1F"/>
          <w:w w:val="110"/>
          <w:sz w:val="12"/>
        </w:rPr>
        <w:t>increased by </w:t>
      </w:r>
      <w:r>
        <w:rPr>
          <w:rFonts w:ascii="Arial"/>
          <w:color w:val="231F1F"/>
          <w:w w:val="355"/>
          <w:position w:val="1"/>
          <w:sz w:val="7"/>
        </w:rPr>
        <w:t>l</w:t>
      </w:r>
      <w:r>
        <w:rPr>
          <w:rFonts w:ascii="Arial"/>
          <w:color w:val="231F1F"/>
          <w:spacing w:val="-49"/>
          <w:w w:val="355"/>
          <w:position w:val="1"/>
          <w:sz w:val="7"/>
        </w:rPr>
        <w:t> </w:t>
      </w:r>
      <w:r>
        <w:rPr>
          <w:rFonts w:ascii="Calibri"/>
          <w:color w:val="008356"/>
          <w:spacing w:val="5"/>
          <w:w w:val="110"/>
          <w:sz w:val="11"/>
        </w:rPr>
        <w:t>SULFINPYRAZONE</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plasma concentration of </w:t>
      </w:r>
      <w:r>
        <w:rPr>
          <w:color w:val="231F1F"/>
          <w:spacing w:val="-2"/>
          <w:w w:val="105"/>
        </w:rPr>
        <w:t>fosphenytoin </w:t>
      </w:r>
      <w:r>
        <w:rPr>
          <w:color w:val="231F1F"/>
          <w:w w:val="105"/>
        </w:rPr>
        <w:t>increased by</w:t>
      </w:r>
      <w:r>
        <w:rPr>
          <w:color w:val="231F1F"/>
          <w:spacing w:val="-2"/>
          <w:w w:val="105"/>
        </w:rPr>
        <w:t> </w:t>
      </w:r>
      <w:r>
        <w:rPr>
          <w:rFonts w:ascii="Calibri" w:hAnsi="Calibri"/>
          <w:color w:val="008356"/>
          <w:spacing w:val="4"/>
          <w:w w:val="105"/>
          <w:sz w:val="11"/>
        </w:rPr>
        <w:t>METHYLPHENIDATE</w:t>
      </w:r>
    </w:p>
    <w:p>
      <w:pPr>
        <w:pStyle w:val="BodyText"/>
        <w:spacing w:line="230" w:lineRule="auto" w:before="4"/>
        <w:ind w:right="670" w:hanging="100"/>
      </w:pPr>
      <w:r>
        <w:rPr>
          <w:rFonts w:ascii="Lucida Sans Unicode" w:hAnsi="Lucida Sans Unicode"/>
          <w:color w:val="A7A8AC"/>
          <w:w w:val="95"/>
          <w:sz w:val="10"/>
        </w:rPr>
        <w:t>▶ </w:t>
      </w:r>
      <w:r>
        <w:rPr>
          <w:rFonts w:ascii="Calibri" w:hAnsi="Calibri"/>
          <w:color w:val="231F1F"/>
          <w:w w:val="110"/>
        </w:rPr>
        <w:t>Tacrolimus: </w:t>
      </w:r>
      <w:r>
        <w:rPr>
          <w:color w:val="231F1F"/>
          <w:w w:val="110"/>
        </w:rPr>
        <w:t>fosphenytoin reduces plasma concentration of </w:t>
      </w:r>
      <w:r>
        <w:rPr>
          <w:rFonts w:ascii="Calibri" w:hAnsi="Calibri"/>
          <w:color w:val="008356"/>
          <w:w w:val="110"/>
          <w:sz w:val="11"/>
        </w:rPr>
        <w:t>TACROLIMUS</w:t>
      </w:r>
      <w:r>
        <w:rPr>
          <w:color w:val="231F1F"/>
          <w:w w:val="110"/>
        </w:rPr>
        <w:t>, also plasma concentration of fosphenytoin possibly increased</w:t>
      </w:r>
    </w:p>
    <w:p>
      <w:pPr>
        <w:pStyle w:val="BodyText"/>
        <w:spacing w:before="4"/>
        <w:ind w:right="762" w:hanging="100"/>
        <w:rPr>
          <w:rFonts w:ascii="Calibri"/>
          <w:sz w:val="11"/>
        </w:rPr>
      </w:pPr>
      <w:r>
        <w:rPr>
          <w:rFonts w:ascii="Arial"/>
          <w:color w:val="231F1F"/>
          <w:w w:val="355"/>
          <w:position w:val="1"/>
          <w:sz w:val="7"/>
        </w:rPr>
        <w:t>l </w:t>
      </w:r>
      <w:r>
        <w:rPr>
          <w:rFonts w:ascii="Calibri"/>
          <w:color w:val="231F1F"/>
          <w:w w:val="110"/>
        </w:rPr>
        <w:t>Theophylline: </w:t>
      </w:r>
      <w:r>
        <w:rPr>
          <w:color w:val="231F1F"/>
          <w:w w:val="110"/>
        </w:rPr>
        <w:t>plasma concentration of both drugs </w:t>
      </w:r>
      <w:r>
        <w:rPr>
          <w:color w:val="231F1F"/>
          <w:spacing w:val="-3"/>
          <w:w w:val="110"/>
        </w:rPr>
        <w:t>reduced </w:t>
      </w:r>
      <w:r>
        <w:rPr>
          <w:color w:val="231F1F"/>
          <w:w w:val="110"/>
        </w:rPr>
        <w:t>when fosphenytoin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5"/>
          <w:w w:val="110"/>
          <w:sz w:val="11"/>
        </w:rPr>
        <w:t>THEOPHYLLINE</w:t>
      </w:r>
    </w:p>
    <w:p>
      <w:pPr>
        <w:pStyle w:val="BodyText"/>
        <w:spacing w:line="237" w:lineRule="auto"/>
        <w:ind w:right="670" w:hanging="100"/>
      </w:pPr>
      <w:r>
        <w:rPr>
          <w:rFonts w:ascii="Lucida Sans Unicode" w:hAnsi="Lucida Sans Unicode"/>
          <w:color w:val="A7A8AC"/>
          <w:w w:val="95"/>
          <w:sz w:val="10"/>
        </w:rPr>
        <w:t>▶ </w:t>
      </w:r>
      <w:r>
        <w:rPr>
          <w:rFonts w:ascii="Calibri" w:hAnsi="Calibri"/>
          <w:color w:val="231F1F"/>
          <w:w w:val="110"/>
        </w:rPr>
        <w:t>Thyroid Hormones: </w:t>
      </w:r>
      <w:r>
        <w:rPr>
          <w:color w:val="231F1F"/>
          <w:w w:val="110"/>
        </w:rPr>
        <w:t>fosphenytoin accelerates metabolism of </w:t>
      </w:r>
      <w:r>
        <w:rPr>
          <w:rFonts w:ascii="Calibri" w:hAnsi="Calibri"/>
          <w:color w:val="008356"/>
          <w:w w:val="110"/>
          <w:sz w:val="11"/>
        </w:rPr>
        <w:t>THYROID HORMONES </w:t>
      </w:r>
      <w:r>
        <w:rPr>
          <w:color w:val="231F1F"/>
          <w:w w:val="110"/>
        </w:rPr>
        <w:t>(may increase requirements in hypothyroidism), also plasma concentration of fosphenytoin possibly increased</w:t>
      </w:r>
    </w:p>
    <w:p>
      <w:pPr>
        <w:pStyle w:val="BodyText"/>
        <w:spacing w:line="150"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Tibolone: </w:t>
      </w:r>
      <w:r>
        <w:rPr>
          <w:color w:val="231F1F"/>
          <w:w w:val="105"/>
        </w:rPr>
        <w:t>fosphenytoin accelerates metabolism of </w:t>
      </w:r>
      <w:r>
        <w:rPr>
          <w:rFonts w:ascii="Calibri" w:hAnsi="Calibri"/>
          <w:color w:val="008356"/>
          <w:w w:val="105"/>
          <w:sz w:val="11"/>
        </w:rPr>
        <w:t>TIBOLONE</w:t>
      </w:r>
    </w:p>
    <w:p>
      <w:pPr>
        <w:pStyle w:val="BodyText"/>
        <w:spacing w:line="220" w:lineRule="auto"/>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Ticagrelor: </w:t>
      </w:r>
      <w:r>
        <w:rPr>
          <w:color w:val="231F1F"/>
          <w:w w:val="105"/>
        </w:rPr>
        <w:t>fosphenytoin possibly reduces plasma concentration of </w:t>
      </w:r>
      <w:r>
        <w:rPr>
          <w:rFonts w:ascii="Calibri" w:hAnsi="Calibri"/>
          <w:color w:val="008356"/>
          <w:w w:val="105"/>
          <w:sz w:val="11"/>
        </w:rPr>
        <w:t>TICAGRELOR</w:t>
      </w:r>
    </w:p>
    <w:p>
      <w:pPr>
        <w:pStyle w:val="BodyText"/>
        <w:spacing w:line="242" w:lineRule="auto"/>
        <w:ind w:right="714" w:hanging="100"/>
        <w:rPr>
          <w:rFonts w:ascii="Calibri"/>
          <w:sz w:val="11"/>
        </w:rPr>
      </w:pPr>
      <w:r>
        <w:rPr>
          <w:rFonts w:ascii="Arial"/>
          <w:color w:val="231F1F"/>
          <w:w w:val="355"/>
          <w:position w:val="1"/>
          <w:sz w:val="7"/>
        </w:rPr>
        <w:t>l </w:t>
      </w:r>
      <w:r>
        <w:rPr>
          <w:rFonts w:ascii="Calibri"/>
          <w:color w:val="231F1F"/>
          <w:w w:val="110"/>
        </w:rPr>
        <w:t>Ulcer-healing Drugs: </w:t>
      </w:r>
      <w:r>
        <w:rPr>
          <w:color w:val="231F1F"/>
          <w:w w:val="110"/>
        </w:rPr>
        <w:t>metabolism of fosphenytoin inhibited by </w:t>
      </w:r>
      <w:r>
        <w:rPr>
          <w:rFonts w:ascii="Arial"/>
          <w:color w:val="231F1F"/>
          <w:w w:val="355"/>
          <w:position w:val="1"/>
          <w:sz w:val="7"/>
        </w:rPr>
        <w:t>l </w:t>
      </w:r>
      <w:r>
        <w:rPr>
          <w:rFonts w:ascii="Calibri"/>
          <w:color w:val="008356"/>
          <w:spacing w:val="4"/>
          <w:w w:val="110"/>
          <w:sz w:val="11"/>
        </w:rPr>
        <w:t>CIMETIDINE </w:t>
      </w:r>
      <w:r>
        <w:rPr>
          <w:color w:val="231F1F"/>
          <w:w w:val="110"/>
        </w:rPr>
        <w:t>(increased plasma concentration); effects of fosphenytoin enhanced by </w:t>
      </w:r>
      <w:r>
        <w:rPr>
          <w:rFonts w:ascii="Arial"/>
          <w:color w:val="231F1F"/>
          <w:w w:val="355"/>
          <w:position w:val="1"/>
          <w:sz w:val="7"/>
        </w:rPr>
        <w:t>l </w:t>
      </w:r>
      <w:r>
        <w:rPr>
          <w:rFonts w:ascii="Calibri"/>
          <w:color w:val="008356"/>
          <w:spacing w:val="4"/>
          <w:w w:val="110"/>
          <w:sz w:val="11"/>
        </w:rPr>
        <w:t>ESOMEPRAZOLE</w:t>
      </w:r>
      <w:r>
        <w:rPr>
          <w:color w:val="231F1F"/>
          <w:spacing w:val="4"/>
          <w:w w:val="110"/>
        </w:rPr>
        <w:t>; </w:t>
      </w:r>
      <w:r>
        <w:rPr>
          <w:color w:val="231F1F"/>
          <w:w w:val="110"/>
        </w:rPr>
        <w:t>effects of fosphenytoin possibly enhanced by </w:t>
      </w:r>
      <w:r>
        <w:rPr>
          <w:rFonts w:ascii="Calibri"/>
          <w:color w:val="008356"/>
          <w:spacing w:val="4"/>
          <w:w w:val="110"/>
          <w:sz w:val="11"/>
        </w:rPr>
        <w:t>OMEPRAZOLE</w:t>
      </w:r>
      <w:r>
        <w:rPr>
          <w:color w:val="231F1F"/>
          <w:spacing w:val="4"/>
          <w:w w:val="110"/>
        </w:rPr>
        <w:t>; </w:t>
      </w:r>
      <w:r>
        <w:rPr>
          <w:color w:val="231F1F"/>
          <w:w w:val="110"/>
        </w:rPr>
        <w:t>absorption of fosphenytoin reduced by </w:t>
      </w:r>
      <w:r>
        <w:rPr>
          <w:rFonts w:ascii="Arial"/>
          <w:color w:val="231F1F"/>
          <w:w w:val="355"/>
          <w:position w:val="1"/>
          <w:sz w:val="7"/>
        </w:rPr>
        <w:t>l </w:t>
      </w:r>
      <w:r>
        <w:rPr>
          <w:rFonts w:ascii="Calibri"/>
          <w:color w:val="008356"/>
          <w:spacing w:val="3"/>
          <w:w w:val="110"/>
          <w:sz w:val="11"/>
        </w:rPr>
        <w:t>SUCRALFATE</w:t>
      </w:r>
    </w:p>
    <w:p>
      <w:pPr>
        <w:pStyle w:val="BodyText"/>
        <w:ind w:right="687" w:hanging="100"/>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Ulipristal:</w:t>
      </w:r>
      <w:r>
        <w:rPr>
          <w:rFonts w:ascii="Calibri"/>
          <w:color w:val="231F1F"/>
          <w:spacing w:val="-11"/>
          <w:w w:val="115"/>
        </w:rPr>
        <w:t> </w:t>
      </w:r>
      <w:r>
        <w:rPr>
          <w:color w:val="231F1F"/>
          <w:w w:val="115"/>
        </w:rPr>
        <w:t>avoidance</w:t>
      </w:r>
      <w:r>
        <w:rPr>
          <w:color w:val="231F1F"/>
          <w:spacing w:val="-12"/>
          <w:w w:val="115"/>
        </w:rPr>
        <w:t> </w:t>
      </w:r>
      <w:r>
        <w:rPr>
          <w:color w:val="231F1F"/>
          <w:w w:val="115"/>
        </w:rPr>
        <w:t>of</w:t>
      </w:r>
      <w:r>
        <w:rPr>
          <w:color w:val="231F1F"/>
          <w:spacing w:val="-12"/>
          <w:w w:val="115"/>
        </w:rPr>
        <w:t> </w:t>
      </w:r>
      <w:r>
        <w:rPr>
          <w:color w:val="231F1F"/>
          <w:w w:val="115"/>
        </w:rPr>
        <w:t>fosphenytoin</w:t>
      </w:r>
      <w:r>
        <w:rPr>
          <w:color w:val="231F1F"/>
          <w:spacing w:val="-12"/>
          <w:w w:val="115"/>
        </w:rPr>
        <w:t> </w:t>
      </w:r>
      <w:r>
        <w:rPr>
          <w:color w:val="231F1F"/>
          <w:w w:val="115"/>
        </w:rPr>
        <w:t>advised</w:t>
      </w:r>
      <w:r>
        <w:rPr>
          <w:color w:val="231F1F"/>
          <w:spacing w:val="-14"/>
          <w:w w:val="115"/>
        </w:rPr>
        <w:t> </w:t>
      </w:r>
      <w:r>
        <w:rPr>
          <w:color w:val="231F1F"/>
          <w:w w:val="115"/>
        </w:rPr>
        <w:t>by</w:t>
      </w:r>
      <w:r>
        <w:rPr>
          <w:color w:val="231F1F"/>
          <w:spacing w:val="-12"/>
          <w:w w:val="115"/>
        </w:rPr>
        <w:t> </w:t>
      </w:r>
      <w:r>
        <w:rPr>
          <w:color w:val="231F1F"/>
          <w:spacing w:val="-2"/>
          <w:w w:val="115"/>
        </w:rPr>
        <w:t>manufacturer </w:t>
      </w:r>
      <w:r>
        <w:rPr>
          <w:color w:val="231F1F"/>
          <w:w w:val="115"/>
        </w:rPr>
        <w:t>of </w:t>
      </w:r>
      <w:r>
        <w:rPr>
          <w:rFonts w:ascii="Arial"/>
          <w:color w:val="231F1F"/>
          <w:w w:val="355"/>
          <w:position w:val="1"/>
          <w:sz w:val="7"/>
        </w:rPr>
        <w:t>l </w:t>
      </w:r>
      <w:r>
        <w:rPr>
          <w:rFonts w:ascii="Calibri"/>
          <w:color w:val="008356"/>
          <w:spacing w:val="4"/>
          <w:w w:val="115"/>
          <w:sz w:val="11"/>
        </w:rPr>
        <w:t>ULIPRISTAL </w:t>
      </w:r>
      <w:r>
        <w:rPr>
          <w:color w:val="231F1F"/>
          <w:w w:val="115"/>
        </w:rPr>
        <w:t>(contraceptive effect of ulipristal possibly reduced)</w:t>
      </w:r>
    </w:p>
    <w:p>
      <w:pPr>
        <w:spacing w:line="232" w:lineRule="auto" w:before="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effects of fosphenytoin enhanced by </w:t>
      </w:r>
      <w:r>
        <w:rPr>
          <w:rFonts w:ascii="Calibri" w:hAnsi="Calibri"/>
          <w:color w:val="008356"/>
          <w:w w:val="105"/>
          <w:sz w:val="11"/>
        </w:rPr>
        <w:t>INFLUENZA VACCINE</w:t>
      </w:r>
    </w:p>
    <w:p>
      <w:pPr>
        <w:spacing w:line="240" w:lineRule="auto" w:before="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fosphenytoin possibly increases requirements for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 </w:t>
      </w:r>
      <w:r>
        <w:rPr>
          <w:rFonts w:ascii="Calibri" w:hAnsi="Calibri"/>
          <w:color w:val="008356"/>
          <w:w w:val="105"/>
          <w:sz w:val="11"/>
        </w:rPr>
        <w:t>VITAMIN D</w:t>
      </w:r>
    </w:p>
    <w:p>
      <w:pPr>
        <w:pStyle w:val="BodyText"/>
        <w:spacing w:before="3"/>
        <w:ind w:left="108"/>
      </w:pPr>
      <w:r>
        <w:rPr>
          <w:rFonts w:ascii="Trebuchet MS"/>
          <w:color w:val="008356"/>
          <w:w w:val="110"/>
        </w:rPr>
        <w:t>Frovatriptan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0"/>
        <w:ind w:left="108"/>
      </w:pPr>
      <w:r>
        <w:rPr>
          <w:rFonts w:ascii="Trebuchet MS"/>
          <w:color w:val="008356"/>
          <w:w w:val="105"/>
        </w:rPr>
        <w:t>Furosemide </w:t>
      </w:r>
      <w:r>
        <w:rPr>
          <w:i/>
          <w:color w:val="231F1F"/>
          <w:w w:val="105"/>
        </w:rPr>
        <w:t>see </w:t>
      </w:r>
      <w:r>
        <w:rPr>
          <w:color w:val="231F1F"/>
          <w:w w:val="105"/>
        </w:rPr>
        <w:t>Diuretics</w:t>
      </w:r>
    </w:p>
    <w:p>
      <w:pPr>
        <w:pStyle w:val="BodyText"/>
        <w:spacing w:before="9"/>
        <w:ind w:left="108"/>
        <w:rPr>
          <w:rFonts w:ascii="Trebuchet MS"/>
        </w:rPr>
      </w:pPr>
      <w:r>
        <w:rPr>
          <w:rFonts w:ascii="Trebuchet MS"/>
          <w:color w:val="008356"/>
        </w:rPr>
        <w:t>Fusidic Acid</w:t>
      </w:r>
    </w:p>
    <w:p>
      <w:pPr>
        <w:pStyle w:val="BodyText"/>
        <w:spacing w:line="244" w:lineRule="auto" w:before="1"/>
        <w:ind w:right="666" w:hanging="100"/>
        <w:rPr>
          <w:rFonts w:ascii="Calibri" w:hAnsi="Calibri"/>
          <w:sz w:val="11"/>
        </w:rPr>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5"/>
        </w:rPr>
        <w:t>Antivirals:</w:t>
      </w:r>
      <w:r>
        <w:rPr>
          <w:rFonts w:ascii="Calibri" w:hAnsi="Calibri"/>
          <w:color w:val="231F1F"/>
          <w:spacing w:val="-5"/>
          <w:w w:val="115"/>
        </w:rPr>
        <w:t> </w:t>
      </w:r>
      <w:r>
        <w:rPr>
          <w:color w:val="231F1F"/>
          <w:w w:val="115"/>
        </w:rPr>
        <w:t>plasma</w:t>
      </w:r>
      <w:r>
        <w:rPr>
          <w:color w:val="231F1F"/>
          <w:spacing w:val="-9"/>
          <w:w w:val="115"/>
        </w:rPr>
        <w:t> </w:t>
      </w:r>
      <w:r>
        <w:rPr>
          <w:color w:val="231F1F"/>
          <w:w w:val="115"/>
        </w:rPr>
        <w:t>concentration</w:t>
      </w:r>
      <w:r>
        <w:rPr>
          <w:color w:val="231F1F"/>
          <w:spacing w:val="-10"/>
          <w:w w:val="115"/>
        </w:rPr>
        <w:t> </w:t>
      </w:r>
      <w:r>
        <w:rPr>
          <w:color w:val="231F1F"/>
          <w:w w:val="115"/>
        </w:rPr>
        <w:t>of</w:t>
      </w:r>
      <w:r>
        <w:rPr>
          <w:color w:val="231F1F"/>
          <w:spacing w:val="-9"/>
          <w:w w:val="115"/>
        </w:rPr>
        <w:t> </w:t>
      </w:r>
      <w:r>
        <w:rPr>
          <w:color w:val="231F1F"/>
          <w:w w:val="115"/>
        </w:rPr>
        <w:t>both</w:t>
      </w:r>
      <w:r>
        <w:rPr>
          <w:color w:val="231F1F"/>
          <w:spacing w:val="-9"/>
          <w:w w:val="115"/>
        </w:rPr>
        <w:t> </w:t>
      </w:r>
      <w:r>
        <w:rPr>
          <w:color w:val="231F1F"/>
          <w:w w:val="115"/>
        </w:rPr>
        <w:t>drugs</w:t>
      </w:r>
      <w:r>
        <w:rPr>
          <w:color w:val="231F1F"/>
          <w:spacing w:val="-8"/>
          <w:w w:val="115"/>
        </w:rPr>
        <w:t> </w:t>
      </w:r>
      <w:r>
        <w:rPr>
          <w:color w:val="231F1F"/>
          <w:w w:val="115"/>
        </w:rPr>
        <w:t>increased</w:t>
      </w:r>
      <w:r>
        <w:rPr>
          <w:color w:val="231F1F"/>
          <w:spacing w:val="-10"/>
          <w:w w:val="115"/>
        </w:rPr>
        <w:t> </w:t>
      </w:r>
      <w:r>
        <w:rPr>
          <w:color w:val="231F1F"/>
          <w:spacing w:val="-4"/>
          <w:w w:val="115"/>
        </w:rPr>
        <w:t>when </w:t>
      </w:r>
      <w:r>
        <w:rPr>
          <w:color w:val="231F1F"/>
          <w:w w:val="115"/>
        </w:rPr>
        <w:t>fusidic</w:t>
      </w:r>
      <w:r>
        <w:rPr>
          <w:color w:val="231F1F"/>
          <w:spacing w:val="-17"/>
          <w:w w:val="115"/>
        </w:rPr>
        <w:t> </w:t>
      </w:r>
      <w:r>
        <w:rPr>
          <w:color w:val="231F1F"/>
          <w:w w:val="115"/>
        </w:rPr>
        <w:t>acid</w:t>
      </w:r>
      <w:r>
        <w:rPr>
          <w:color w:val="231F1F"/>
          <w:spacing w:val="-16"/>
          <w:w w:val="115"/>
        </w:rPr>
        <w:t> </w:t>
      </w:r>
      <w:r>
        <w:rPr>
          <w:color w:val="231F1F"/>
          <w:w w:val="115"/>
        </w:rPr>
        <w:t>given</w:t>
      </w:r>
      <w:r>
        <w:rPr>
          <w:color w:val="231F1F"/>
          <w:spacing w:val="-16"/>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avoid</w:t>
      </w:r>
      <w:r>
        <w:rPr>
          <w:color w:val="231F1F"/>
          <w:spacing w:val="-17"/>
          <w:w w:val="115"/>
        </w:rPr>
        <w:t> </w:t>
      </w:r>
      <w:r>
        <w:rPr>
          <w:color w:val="231F1F"/>
          <w:w w:val="115"/>
        </w:rPr>
        <w:t>concomitant</w:t>
      </w:r>
      <w:r>
        <w:rPr>
          <w:color w:val="231F1F"/>
          <w:spacing w:val="-16"/>
          <w:w w:val="115"/>
        </w:rPr>
        <w:t> </w:t>
      </w:r>
      <w:r>
        <w:rPr>
          <w:color w:val="231F1F"/>
          <w:w w:val="115"/>
        </w:rPr>
        <w:t>use; plasma concentration of both drugs may increase when fusidic acid given with</w:t>
      </w:r>
      <w:r>
        <w:rPr>
          <w:color w:val="231F1F"/>
          <w:spacing w:val="-24"/>
          <w:w w:val="115"/>
        </w:rPr>
        <w:t> </w:t>
      </w:r>
      <w:r>
        <w:rPr>
          <w:rFonts w:ascii="Calibri" w:hAnsi="Calibri"/>
          <w:color w:val="008356"/>
          <w:spacing w:val="4"/>
          <w:w w:val="115"/>
          <w:sz w:val="11"/>
        </w:rPr>
        <w:t>SAQUINAVIR</w:t>
      </w:r>
    </w:p>
    <w:p>
      <w:pPr>
        <w:pStyle w:val="BodyText"/>
        <w:spacing w:line="138" w:lineRule="exact"/>
        <w:ind w:left="108"/>
      </w:pPr>
      <w:r>
        <w:rPr>
          <w:rFonts w:ascii="Arial"/>
          <w:color w:val="231F1F"/>
          <w:w w:val="355"/>
          <w:position w:val="1"/>
          <w:sz w:val="7"/>
        </w:rPr>
        <w:t>l </w:t>
      </w:r>
      <w:r>
        <w:rPr>
          <w:rFonts w:ascii="Calibri"/>
          <w:color w:val="231F1F"/>
          <w:w w:val="115"/>
        </w:rPr>
        <w:t>Lipid-regulating Drugs: </w:t>
      </w:r>
      <w:r>
        <w:rPr>
          <w:color w:val="231F1F"/>
          <w:w w:val="115"/>
        </w:rPr>
        <w:t>risk of myopathy and rhabdomyolysis</w:t>
      </w:r>
    </w:p>
    <w:p>
      <w:pPr>
        <w:pStyle w:val="BodyText"/>
        <w:spacing w:line="244" w:lineRule="auto"/>
        <w:ind w:right="827"/>
      </w:pPr>
      <w:r>
        <w:rPr>
          <w:color w:val="231F1F"/>
          <w:w w:val="115"/>
        </w:rPr>
        <w:t>when</w:t>
      </w:r>
      <w:r>
        <w:rPr>
          <w:color w:val="231F1F"/>
          <w:spacing w:val="-19"/>
          <w:w w:val="115"/>
        </w:rPr>
        <w:t> </w:t>
      </w:r>
      <w:r>
        <w:rPr>
          <w:color w:val="231F1F"/>
          <w:w w:val="115"/>
        </w:rPr>
        <w:t>fusidic</w:t>
      </w:r>
      <w:r>
        <w:rPr>
          <w:color w:val="231F1F"/>
          <w:spacing w:val="-17"/>
          <w:w w:val="115"/>
        </w:rPr>
        <w:t> </w:t>
      </w:r>
      <w:r>
        <w:rPr>
          <w:color w:val="231F1F"/>
          <w:w w:val="115"/>
        </w:rPr>
        <w:t>acid</w:t>
      </w:r>
      <w:r>
        <w:rPr>
          <w:color w:val="231F1F"/>
          <w:spacing w:val="-18"/>
          <w:w w:val="115"/>
        </w:rPr>
        <w:t> </w:t>
      </w:r>
      <w:r>
        <w:rPr>
          <w:color w:val="231F1F"/>
          <w:w w:val="115"/>
        </w:rPr>
        <w:t>given</w:t>
      </w:r>
      <w:r>
        <w:rPr>
          <w:color w:val="231F1F"/>
          <w:spacing w:val="-18"/>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w w:val="115"/>
          <w:sz w:val="11"/>
        </w:rPr>
        <w:t>STATINS</w:t>
      </w:r>
      <w:r>
        <w:rPr>
          <w:rFonts w:ascii="Arial" w:hAnsi="Arial"/>
          <w:color w:val="231F1F"/>
          <w:w w:val="115"/>
        </w:rPr>
        <w:t>—</w:t>
      </w:r>
      <w:r>
        <w:rPr>
          <w:color w:val="231F1F"/>
          <w:w w:val="115"/>
        </w:rPr>
        <w:t>avoid</w:t>
      </w:r>
      <w:r>
        <w:rPr>
          <w:color w:val="231F1F"/>
          <w:spacing w:val="-18"/>
          <w:w w:val="115"/>
        </w:rPr>
        <w:t> </w:t>
      </w:r>
      <w:r>
        <w:rPr>
          <w:color w:val="231F1F"/>
          <w:w w:val="115"/>
        </w:rPr>
        <w:t>concomitant use</w:t>
      </w:r>
      <w:r>
        <w:rPr>
          <w:color w:val="231F1F"/>
          <w:spacing w:val="-5"/>
          <w:w w:val="115"/>
        </w:rPr>
        <w:t> </w:t>
      </w:r>
      <w:r>
        <w:rPr>
          <w:color w:val="231F1F"/>
          <w:w w:val="115"/>
        </w:rPr>
        <w:t>and</w:t>
      </w:r>
      <w:r>
        <w:rPr>
          <w:color w:val="231F1F"/>
          <w:spacing w:val="-4"/>
          <w:w w:val="115"/>
        </w:rPr>
        <w:t> </w:t>
      </w:r>
      <w:r>
        <w:rPr>
          <w:color w:val="231F1F"/>
          <w:w w:val="115"/>
        </w:rPr>
        <w:t>for</w:t>
      </w:r>
      <w:r>
        <w:rPr>
          <w:color w:val="231F1F"/>
          <w:spacing w:val="-5"/>
          <w:w w:val="115"/>
        </w:rPr>
        <w:t> </w:t>
      </w:r>
      <w:r>
        <w:rPr>
          <w:color w:val="231F1F"/>
          <w:w w:val="115"/>
        </w:rPr>
        <w:t>7</w:t>
      </w:r>
      <w:r>
        <w:rPr>
          <w:color w:val="231F1F"/>
          <w:spacing w:val="-4"/>
          <w:w w:val="115"/>
        </w:rPr>
        <w:t> </w:t>
      </w:r>
      <w:r>
        <w:rPr>
          <w:color w:val="231F1F"/>
          <w:w w:val="115"/>
        </w:rPr>
        <w:t>days</w:t>
      </w:r>
      <w:r>
        <w:rPr>
          <w:color w:val="231F1F"/>
          <w:spacing w:val="-3"/>
          <w:w w:val="115"/>
        </w:rPr>
        <w:t> </w:t>
      </w:r>
      <w:r>
        <w:rPr>
          <w:color w:val="231F1F"/>
          <w:w w:val="115"/>
        </w:rPr>
        <w:t>after</w:t>
      </w:r>
      <w:r>
        <w:rPr>
          <w:color w:val="231F1F"/>
          <w:spacing w:val="-6"/>
          <w:w w:val="115"/>
        </w:rPr>
        <w:t> </w:t>
      </w:r>
      <w:r>
        <w:rPr>
          <w:color w:val="231F1F"/>
          <w:w w:val="115"/>
        </w:rPr>
        <w:t>last</w:t>
      </w:r>
      <w:r>
        <w:rPr>
          <w:color w:val="231F1F"/>
          <w:spacing w:val="-3"/>
          <w:w w:val="115"/>
        </w:rPr>
        <w:t> </w:t>
      </w:r>
      <w:r>
        <w:rPr>
          <w:color w:val="231F1F"/>
          <w:w w:val="115"/>
        </w:rPr>
        <w:t>fusidic</w:t>
      </w:r>
      <w:r>
        <w:rPr>
          <w:color w:val="231F1F"/>
          <w:spacing w:val="-4"/>
          <w:w w:val="115"/>
        </w:rPr>
        <w:t> </w:t>
      </w:r>
      <w:r>
        <w:rPr>
          <w:color w:val="231F1F"/>
          <w:w w:val="115"/>
        </w:rPr>
        <w:t>acid</w:t>
      </w:r>
      <w:r>
        <w:rPr>
          <w:color w:val="231F1F"/>
          <w:spacing w:val="-5"/>
          <w:w w:val="115"/>
        </w:rPr>
        <w:t> </w:t>
      </w:r>
      <w:r>
        <w:rPr>
          <w:color w:val="231F1F"/>
          <w:w w:val="115"/>
        </w:rPr>
        <w:t>dose</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05"/>
        </w:rPr>
        <w:t>Sugammadex: </w:t>
      </w:r>
      <w:r>
        <w:rPr>
          <w:color w:val="231F1F"/>
          <w:w w:val="105"/>
        </w:rPr>
        <w:t>fusidic acid possibly reduces response to</w:t>
      </w:r>
    </w:p>
    <w:p>
      <w:pPr>
        <w:spacing w:line="132" w:lineRule="exact" w:before="0"/>
        <w:ind w:left="208" w:right="0" w:firstLine="0"/>
        <w:jc w:val="left"/>
        <w:rPr>
          <w:rFonts w:ascii="Calibri"/>
          <w:sz w:val="11"/>
        </w:rPr>
      </w:pPr>
      <w:r>
        <w:rPr>
          <w:rFonts w:ascii="Calibri"/>
          <w:color w:val="008356"/>
          <w:sz w:val="11"/>
        </w:rPr>
        <w:t>SUGAMMADEX</w:t>
      </w:r>
    </w:p>
    <w:p>
      <w:pPr>
        <w:spacing w:after="0" w:line="132" w:lineRule="exact"/>
        <w:jc w:val="left"/>
        <w:rPr>
          <w:rFonts w:ascii="Calibri"/>
          <w:sz w:val="11"/>
        </w:rPr>
        <w:sectPr>
          <w:pgSz w:w="8390" w:h="11910"/>
          <w:pgMar w:header="0" w:footer="0" w:top="460" w:bottom="0" w:left="480" w:right="0"/>
          <w:cols w:num="2" w:equalWidth="0">
            <w:col w:w="3593" w:space="83"/>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4048" filled="true" fillcolor="#bfdbcf" stroked="false">
            <v:fill type="solid"/>
            <w10:wrap type="none"/>
          </v:rect>
        </w:pict>
      </w:r>
      <w:r>
        <w:rPr/>
        <w:pict>
          <v:shape style="position:absolute;margin-left:7.751256pt;margin-top:35.804367pt;width:10.4pt;height:78.850pt;mso-position-horizontal-relative:page;mso-position-vertical-relative:page;z-index:407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Fusidic Acid </w:t>
      </w:r>
      <w:r>
        <w:rPr>
          <w:rFonts w:ascii="Calibri"/>
          <w:color w:val="231F1F"/>
        </w:rPr>
        <w:t>(continued)</w:t>
      </w:r>
    </w:p>
    <w:p>
      <w:pPr>
        <w:spacing w:line="220" w:lineRule="auto" w:before="6"/>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rPr>
          <w:rFonts w:ascii="Trebuchet MS"/>
        </w:rPr>
      </w:pPr>
      <w:r>
        <w:rPr>
          <w:rFonts w:ascii="Trebuchet MS"/>
          <w:color w:val="008356"/>
        </w:rPr>
        <w:t>Gabapentin</w:t>
      </w:r>
    </w:p>
    <w:p>
      <w:pPr>
        <w:pStyle w:val="BodyText"/>
        <w:spacing w:line="156" w:lineRule="exact" w:before="1"/>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bioavailability of gabapentin increased by</w:t>
      </w:r>
    </w:p>
    <w:p>
      <w:pPr>
        <w:spacing w:line="130" w:lineRule="exact" w:before="0"/>
        <w:ind w:left="286" w:right="0" w:firstLine="0"/>
        <w:jc w:val="left"/>
        <w:rPr>
          <w:rFonts w:ascii="Calibri"/>
          <w:sz w:val="11"/>
        </w:rPr>
      </w:pPr>
      <w:r>
        <w:rPr>
          <w:rFonts w:ascii="Calibri"/>
          <w:color w:val="008356"/>
          <w:sz w:val="11"/>
        </w:rPr>
        <w:t>MORPHINE</w:t>
      </w:r>
    </w:p>
    <w:p>
      <w:pPr>
        <w:spacing w:line="225" w:lineRule="auto" w:before="5"/>
        <w:ind w:left="186" w:right="352" w:firstLine="0"/>
        <w:jc w:val="center"/>
        <w:rPr>
          <w:rFonts w:ascii="Calibri" w:hAnsi="Calibri"/>
          <w:sz w:val="11"/>
        </w:rPr>
      </w:pPr>
      <w:r>
        <w:rPr>
          <w:rFonts w:ascii="Lucida Sans Unicode" w:hAnsi="Lucida Sans Unicode"/>
          <w:color w:val="A7A8AC"/>
          <w:w w:val="90"/>
          <w:sz w:val="10"/>
        </w:rPr>
        <w:t>▶ </w:t>
      </w:r>
      <w:r>
        <w:rPr>
          <w:rFonts w:ascii="Calibri" w:hAnsi="Calibri"/>
          <w:color w:val="231F1F"/>
          <w:w w:val="110"/>
          <w:sz w:val="12"/>
        </w:rPr>
        <w:t>Antacids: </w:t>
      </w:r>
      <w:r>
        <w:rPr>
          <w:color w:val="231F1F"/>
          <w:w w:val="110"/>
          <w:sz w:val="12"/>
        </w:rPr>
        <w:t>absorption of gabapentin reduced by </w:t>
      </w:r>
      <w:r>
        <w:rPr>
          <w:rFonts w:ascii="Calibri" w:hAnsi="Calibri"/>
          <w:color w:val="008356"/>
          <w:spacing w:val="2"/>
          <w:w w:val="110"/>
          <w:sz w:val="11"/>
        </w:rPr>
        <w:t>ANTACIDS </w:t>
      </w: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anticonvulsant effect of antiepileptics possibly antagonised by </w:t>
      </w:r>
      <w:r>
        <w:rPr>
          <w:rFonts w:ascii="Calibri" w:hAnsi="Calibri"/>
          <w:color w:val="008356"/>
          <w:spacing w:val="3"/>
          <w:w w:val="110"/>
          <w:sz w:val="11"/>
        </w:rPr>
        <w:t>MAOI</w:t>
      </w:r>
      <w:r>
        <w:rPr>
          <w:rFonts w:ascii="Calibri" w:hAnsi="Calibri"/>
          <w:color w:val="008356"/>
          <w:spacing w:val="3"/>
          <w:w w:val="110"/>
          <w:sz w:val="9"/>
        </w:rPr>
        <w:t>S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TRICYCLIC-RELATED</w:t>
      </w:r>
    </w:p>
    <w:p>
      <w:pPr>
        <w:spacing w:line="242" w:lineRule="auto" w:before="4"/>
        <w:ind w:left="286" w:right="0" w:firstLine="0"/>
        <w:jc w:val="left"/>
        <w:rPr>
          <w:sz w:val="12"/>
        </w:rPr>
      </w:pPr>
      <w:r>
        <w:rPr>
          <w:rFonts w:ascii="Calibri"/>
          <w:color w:val="008356"/>
          <w:w w:val="110"/>
          <w:sz w:val="11"/>
        </w:rPr>
        <w:t>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ind w:left="286" w:right="477" w:hanging="100"/>
        <w:rPr>
          <w:rFonts w:ascii="Calibri"/>
          <w:sz w:val="11"/>
        </w:rPr>
      </w:pPr>
      <w:r>
        <w:rPr>
          <w:rFonts w:ascii="Arial"/>
          <w:color w:val="231F1F"/>
          <w:w w:val="355"/>
          <w:position w:val="1"/>
          <w:sz w:val="7"/>
        </w:rPr>
        <w:t>l </w:t>
      </w:r>
      <w:r>
        <w:rPr>
          <w:rFonts w:ascii="Calibri"/>
          <w:color w:val="231F1F"/>
          <w:w w:val="115"/>
        </w:rPr>
        <w:t>Antimalarials: </w:t>
      </w:r>
      <w:r>
        <w:rPr>
          <w:color w:val="231F1F"/>
          <w:w w:val="115"/>
        </w:rPr>
        <w:t>anticonvulsant effect of </w:t>
      </w:r>
      <w:r>
        <w:rPr>
          <w:color w:val="231F1F"/>
          <w:spacing w:val="-3"/>
          <w:w w:val="115"/>
        </w:rPr>
        <w:t>antiepileptics </w:t>
      </w:r>
      <w:r>
        <w:rPr>
          <w:color w:val="231F1F"/>
          <w:w w:val="115"/>
        </w:rPr>
        <w:t>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left="286" w:right="37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left="286" w:right="48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4"/>
        <w:ind w:left="186"/>
      </w:pPr>
      <w:r>
        <w:rPr>
          <w:rFonts w:ascii="Trebuchet MS"/>
          <w:color w:val="008356"/>
          <w:w w:val="110"/>
        </w:rPr>
        <w:t>Galantamine </w:t>
      </w:r>
      <w:r>
        <w:rPr>
          <w:i/>
          <w:color w:val="231F1F"/>
          <w:w w:val="110"/>
        </w:rPr>
        <w:t>see </w:t>
      </w:r>
      <w:r>
        <w:rPr>
          <w:color w:val="231F1F"/>
          <w:w w:val="110"/>
        </w:rPr>
        <w:t>Parasympathomimetics</w:t>
      </w:r>
    </w:p>
    <w:p>
      <w:pPr>
        <w:pStyle w:val="BodyText"/>
        <w:spacing w:before="9"/>
        <w:ind w:left="186"/>
        <w:rPr>
          <w:rFonts w:ascii="Trebuchet MS"/>
        </w:rPr>
      </w:pPr>
      <w:r>
        <w:rPr>
          <w:rFonts w:ascii="Trebuchet MS"/>
          <w:color w:val="008356"/>
        </w:rPr>
        <w:t>Ganciclovir</w:t>
      </w:r>
    </w:p>
    <w:p>
      <w:pPr>
        <w:pStyle w:val="BodyText"/>
        <w:spacing w:before="5"/>
        <w:ind w:left="286" w:right="472" w:hanging="1"/>
      </w:pPr>
      <w:r>
        <w:rPr>
          <w:rFonts w:ascii="Calibri" w:hAnsi="Calibri"/>
          <w:color w:val="008356"/>
          <w:w w:val="115"/>
          <w:sz w:val="11"/>
        </w:rPr>
        <w:t>NOTE </w:t>
      </w:r>
      <w:r>
        <w:rPr>
          <w:color w:val="231F1F"/>
          <w:w w:val="115"/>
        </w:rPr>
        <w:t>Increased risk of myelosuppression with other myelosuppressive drugs</w:t>
      </w:r>
      <w:r>
        <w:rPr>
          <w:rFonts w:ascii="Arial" w:hAnsi="Arial"/>
          <w:color w:val="231F1F"/>
          <w:w w:val="115"/>
        </w:rPr>
        <w:t>—</w:t>
      </w:r>
      <w:r>
        <w:rPr>
          <w:color w:val="231F1F"/>
          <w:w w:val="115"/>
        </w:rPr>
        <w:t>consult product literature</w:t>
      </w:r>
    </w:p>
    <w:p>
      <w:pPr>
        <w:spacing w:before="0"/>
        <w:ind w:left="286" w:right="77" w:hanging="100"/>
        <w:jc w:val="left"/>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0"/>
          <w:sz w:val="12"/>
        </w:rPr>
        <w:t>Antibacterials: </w:t>
      </w:r>
      <w:r>
        <w:rPr>
          <w:color w:val="231F1F"/>
          <w:w w:val="110"/>
          <w:sz w:val="12"/>
        </w:rPr>
        <w:t>increased risk of convulsions when ganciclovir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IMIPENEM </w:t>
      </w:r>
      <w:r>
        <w:rPr>
          <w:rFonts w:ascii="Calibri"/>
          <w:color w:val="008356"/>
          <w:spacing w:val="3"/>
          <w:w w:val="110"/>
          <w:sz w:val="11"/>
        </w:rPr>
        <w:t>WITH CILASTATIN</w:t>
      </w:r>
    </w:p>
    <w:p>
      <w:pPr>
        <w:pStyle w:val="BodyText"/>
        <w:spacing w:line="244" w:lineRule="auto"/>
        <w:ind w:left="286" w:right="-6" w:hanging="100"/>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Antivirals:</w:t>
      </w:r>
      <w:r>
        <w:rPr>
          <w:rFonts w:ascii="Calibri"/>
          <w:color w:val="231F1F"/>
          <w:spacing w:val="-11"/>
          <w:w w:val="115"/>
        </w:rPr>
        <w:t> </w:t>
      </w:r>
      <w:r>
        <w:rPr>
          <w:color w:val="231F1F"/>
          <w:w w:val="115"/>
        </w:rPr>
        <w:t>ganciclovir</w:t>
      </w:r>
      <w:r>
        <w:rPr>
          <w:color w:val="231F1F"/>
          <w:spacing w:val="-14"/>
          <w:w w:val="115"/>
        </w:rPr>
        <w:t> </w:t>
      </w:r>
      <w:r>
        <w:rPr>
          <w:color w:val="231F1F"/>
          <w:w w:val="115"/>
        </w:rPr>
        <w:t>possibly</w:t>
      </w:r>
      <w:r>
        <w:rPr>
          <w:color w:val="231F1F"/>
          <w:spacing w:val="-16"/>
          <w:w w:val="115"/>
        </w:rPr>
        <w:t> </w:t>
      </w:r>
      <w:r>
        <w:rPr>
          <w:color w:val="231F1F"/>
          <w:w w:val="115"/>
        </w:rPr>
        <w:t>increases</w:t>
      </w:r>
      <w:r>
        <w:rPr>
          <w:color w:val="231F1F"/>
          <w:spacing w:val="-14"/>
          <w:w w:val="115"/>
        </w:rPr>
        <w:t> </w:t>
      </w:r>
      <w:r>
        <w:rPr>
          <w:color w:val="231F1F"/>
          <w:w w:val="115"/>
        </w:rPr>
        <w:t>plasma</w:t>
      </w:r>
      <w:r>
        <w:rPr>
          <w:color w:val="231F1F"/>
          <w:spacing w:val="-15"/>
          <w:w w:val="115"/>
        </w:rPr>
        <w:t> </w:t>
      </w:r>
      <w:r>
        <w:rPr>
          <w:color w:val="231F1F"/>
          <w:spacing w:val="-2"/>
          <w:w w:val="115"/>
        </w:rPr>
        <w:t>concentration </w:t>
      </w:r>
      <w:r>
        <w:rPr>
          <w:color w:val="231F1F"/>
          <w:w w:val="115"/>
        </w:rPr>
        <w:t>of</w:t>
      </w:r>
      <w:r>
        <w:rPr>
          <w:color w:val="231F1F"/>
          <w:spacing w:val="-23"/>
          <w:w w:val="115"/>
        </w:rPr>
        <w:t> </w:t>
      </w:r>
      <w:r>
        <w:rPr>
          <w:rFonts w:ascii="Calibri"/>
          <w:color w:val="008356"/>
          <w:spacing w:val="4"/>
          <w:w w:val="115"/>
          <w:sz w:val="11"/>
        </w:rPr>
        <w:t>DIDANOSINE</w:t>
      </w:r>
      <w:r>
        <w:rPr>
          <w:color w:val="231F1F"/>
          <w:spacing w:val="4"/>
          <w:w w:val="115"/>
        </w:rPr>
        <w:t>;</w:t>
      </w:r>
      <w:r>
        <w:rPr>
          <w:color w:val="231F1F"/>
          <w:spacing w:val="-24"/>
          <w:w w:val="115"/>
        </w:rPr>
        <w:t> </w:t>
      </w:r>
      <w:r>
        <w:rPr>
          <w:color w:val="231F1F"/>
          <w:w w:val="115"/>
        </w:rPr>
        <w:t>profound</w:t>
      </w:r>
      <w:r>
        <w:rPr>
          <w:color w:val="231F1F"/>
          <w:spacing w:val="-23"/>
          <w:w w:val="115"/>
        </w:rPr>
        <w:t> </w:t>
      </w:r>
      <w:r>
        <w:rPr>
          <w:color w:val="231F1F"/>
          <w:w w:val="115"/>
        </w:rPr>
        <w:t>myelosuppression</w:t>
      </w:r>
      <w:r>
        <w:rPr>
          <w:color w:val="231F1F"/>
          <w:spacing w:val="-24"/>
          <w:w w:val="115"/>
        </w:rPr>
        <w:t> </w:t>
      </w:r>
      <w:r>
        <w:rPr>
          <w:color w:val="231F1F"/>
          <w:w w:val="115"/>
        </w:rPr>
        <w:t>when</w:t>
      </w:r>
      <w:r>
        <w:rPr>
          <w:color w:val="231F1F"/>
          <w:spacing w:val="-23"/>
          <w:w w:val="115"/>
        </w:rPr>
        <w:t> </w:t>
      </w:r>
      <w:r>
        <w:rPr>
          <w:color w:val="231F1F"/>
          <w:w w:val="115"/>
        </w:rPr>
        <w:t>ganciclovir given with </w:t>
      </w:r>
      <w:r>
        <w:rPr>
          <w:rFonts w:ascii="Arial"/>
          <w:color w:val="231F1F"/>
          <w:w w:val="355"/>
          <w:position w:val="1"/>
          <w:sz w:val="7"/>
        </w:rPr>
        <w:t>l </w:t>
      </w:r>
      <w:r>
        <w:rPr>
          <w:rFonts w:ascii="Calibri"/>
          <w:color w:val="008356"/>
          <w:spacing w:val="4"/>
          <w:w w:val="115"/>
          <w:sz w:val="11"/>
        </w:rPr>
        <w:t>ZIDOVUDINE </w:t>
      </w:r>
      <w:r>
        <w:rPr>
          <w:color w:val="231F1F"/>
          <w:w w:val="115"/>
        </w:rPr>
        <w:t>(if possible avoid concomitant administration, particularly during initial ganciclovir therapy)</w:t>
      </w:r>
    </w:p>
    <w:p>
      <w:pPr>
        <w:pStyle w:val="BodyText"/>
        <w:spacing w:line="230" w:lineRule="auto"/>
        <w:ind w:left="286" w:hanging="100"/>
      </w:pPr>
      <w:r>
        <w:rPr>
          <w:rFonts w:ascii="Lucida Sans Unicode" w:hAnsi="Lucida Sans Unicode"/>
          <w:color w:val="A7A8AC"/>
          <w:w w:val="95"/>
          <w:sz w:val="10"/>
        </w:rPr>
        <w:t>▶ </w:t>
      </w:r>
      <w:r>
        <w:rPr>
          <w:rFonts w:ascii="Calibri" w:hAnsi="Calibri"/>
          <w:color w:val="231F1F"/>
          <w:w w:val="110"/>
        </w:rPr>
        <w:t>Mycophenolate: </w:t>
      </w:r>
      <w:r>
        <w:rPr>
          <w:color w:val="231F1F"/>
          <w:w w:val="110"/>
        </w:rPr>
        <w:t>plasma concentration of ganciclovir possibly increased by </w:t>
      </w:r>
      <w:r>
        <w:rPr>
          <w:rFonts w:ascii="Calibri" w:hAnsi="Calibri"/>
          <w:color w:val="008356"/>
          <w:w w:val="110"/>
          <w:sz w:val="11"/>
        </w:rPr>
        <w:t>MYCOPHENOLATE</w:t>
      </w:r>
      <w:r>
        <w:rPr>
          <w:color w:val="231F1F"/>
          <w:w w:val="110"/>
        </w:rPr>
        <w:t>, also plasma concentration of inactive metabolite of mycophenolate possibly increased</w:t>
      </w:r>
    </w:p>
    <w:p>
      <w:pPr>
        <w:pStyle w:val="BodyText"/>
        <w:spacing w:line="220" w:lineRule="auto" w:before="9"/>
        <w:ind w:left="286" w:right="220"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possible increased risk of nephrotoxicity when ganciclovir given with </w:t>
      </w:r>
      <w:r>
        <w:rPr>
          <w:rFonts w:ascii="Calibri" w:hAnsi="Calibri"/>
          <w:color w:val="008356"/>
          <w:w w:val="110"/>
          <w:sz w:val="11"/>
        </w:rPr>
        <w:t>TACROLIMUS</w:t>
      </w:r>
    </w:p>
    <w:p>
      <w:pPr>
        <w:pStyle w:val="BodyText"/>
        <w:spacing w:line="139" w:lineRule="exact" w:before="10"/>
        <w:ind w:left="186"/>
        <w:rPr>
          <w:rFonts w:ascii="Trebuchet MS"/>
        </w:rPr>
      </w:pPr>
      <w:r>
        <w:rPr>
          <w:rFonts w:ascii="Trebuchet MS"/>
          <w:color w:val="008356"/>
        </w:rPr>
        <w:t>Gefitinib</w:t>
      </w:r>
    </w:p>
    <w:p>
      <w:pPr>
        <w:pStyle w:val="BodyText"/>
        <w:spacing w:line="146" w:lineRule="exact"/>
        <w:ind w:left="186"/>
      </w:pPr>
      <w:r>
        <w:rPr>
          <w:rFonts w:ascii="Arial"/>
          <w:color w:val="231F1F"/>
          <w:w w:val="355"/>
          <w:position w:val="1"/>
          <w:sz w:val="7"/>
        </w:rPr>
        <w:t>l </w:t>
      </w:r>
      <w:r>
        <w:rPr>
          <w:rFonts w:ascii="Calibri"/>
          <w:color w:val="231F1F"/>
          <w:w w:val="115"/>
        </w:rPr>
        <w:t>Antibacterials: </w:t>
      </w:r>
      <w:r>
        <w:rPr>
          <w:color w:val="231F1F"/>
          <w:w w:val="115"/>
        </w:rPr>
        <w:t>plasma concentration of gefitinib reduced by</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ind w:left="286" w:right="279"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Anticoagulants:</w:t>
      </w:r>
      <w:r>
        <w:rPr>
          <w:rFonts w:ascii="Calibri"/>
          <w:color w:val="231F1F"/>
          <w:spacing w:val="-14"/>
          <w:w w:val="115"/>
        </w:rPr>
        <w:t> </w:t>
      </w:r>
      <w:r>
        <w:rPr>
          <w:color w:val="231F1F"/>
          <w:w w:val="115"/>
        </w:rPr>
        <w:t>gefitinib</w:t>
      </w:r>
      <w:r>
        <w:rPr>
          <w:color w:val="231F1F"/>
          <w:spacing w:val="-17"/>
          <w:w w:val="115"/>
        </w:rPr>
        <w:t> </w:t>
      </w:r>
      <w:r>
        <w:rPr>
          <w:color w:val="231F1F"/>
          <w:w w:val="115"/>
        </w:rPr>
        <w:t>possibly</w:t>
      </w:r>
      <w:r>
        <w:rPr>
          <w:color w:val="231F1F"/>
          <w:spacing w:val="-17"/>
          <w:w w:val="115"/>
        </w:rPr>
        <w:t> </w:t>
      </w:r>
      <w:r>
        <w:rPr>
          <w:color w:val="231F1F"/>
          <w:w w:val="115"/>
        </w:rPr>
        <w:t>enhances</w:t>
      </w:r>
      <w:r>
        <w:rPr>
          <w:color w:val="231F1F"/>
          <w:spacing w:val="-17"/>
          <w:w w:val="115"/>
        </w:rPr>
        <w:t>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WARFARIN</w:t>
      </w:r>
    </w:p>
    <w:p>
      <w:pPr>
        <w:pStyle w:val="BodyText"/>
        <w:spacing w:line="220" w:lineRule="auto" w:before="5"/>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gefitinib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30" w:lineRule="auto" w:before="3"/>
        <w:ind w:left="286" w:right="45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gefitinib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gefitinib increased by</w:t>
      </w:r>
    </w:p>
    <w:p>
      <w:pPr>
        <w:spacing w:line="130" w:lineRule="exact" w:before="0"/>
        <w:ind w:left="286" w:right="0" w:firstLine="0"/>
        <w:jc w:val="left"/>
        <w:rPr>
          <w:rFonts w:ascii="Calibri"/>
          <w:sz w:val="11"/>
        </w:rPr>
      </w:pPr>
      <w:r>
        <w:rPr>
          <w:rFonts w:ascii="Calibri"/>
          <w:color w:val="008356"/>
          <w:sz w:val="11"/>
        </w:rPr>
        <w:t>ITRACONAZOLE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45" w:lineRule="exact"/>
        <w:ind w:left="186"/>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Antivirals:</w:t>
      </w:r>
      <w:r>
        <w:rPr>
          <w:rFonts w:ascii="Calibri"/>
          <w:color w:val="231F1F"/>
          <w:spacing w:val="-7"/>
          <w:w w:val="115"/>
        </w:rPr>
        <w:t> </w:t>
      </w:r>
      <w:r>
        <w:rPr>
          <w:color w:val="231F1F"/>
          <w:w w:val="115"/>
        </w:rPr>
        <w:t>avoidance</w:t>
      </w:r>
      <w:r>
        <w:rPr>
          <w:color w:val="231F1F"/>
          <w:spacing w:val="-12"/>
          <w:w w:val="115"/>
        </w:rPr>
        <w:t> </w:t>
      </w:r>
      <w:r>
        <w:rPr>
          <w:color w:val="231F1F"/>
          <w:w w:val="115"/>
        </w:rPr>
        <w:t>of</w:t>
      </w:r>
      <w:r>
        <w:rPr>
          <w:color w:val="231F1F"/>
          <w:spacing w:val="-11"/>
          <w:w w:val="115"/>
        </w:rPr>
        <w:t> </w:t>
      </w:r>
      <w:r>
        <w:rPr>
          <w:color w:val="231F1F"/>
          <w:w w:val="115"/>
        </w:rPr>
        <w:t>gefitinib</w:t>
      </w:r>
      <w:r>
        <w:rPr>
          <w:color w:val="231F1F"/>
          <w:spacing w:val="-10"/>
          <w:w w:val="115"/>
        </w:rPr>
        <w:t> </w:t>
      </w:r>
      <w:r>
        <w:rPr>
          <w:color w:val="231F1F"/>
          <w:w w:val="115"/>
        </w:rPr>
        <w:t>advised</w:t>
      </w:r>
      <w:r>
        <w:rPr>
          <w:color w:val="231F1F"/>
          <w:spacing w:val="-12"/>
          <w:w w:val="115"/>
        </w:rPr>
        <w:t> </w:t>
      </w:r>
      <w:r>
        <w:rPr>
          <w:color w:val="231F1F"/>
          <w:w w:val="115"/>
        </w:rPr>
        <w:t>by</w:t>
      </w:r>
      <w:r>
        <w:rPr>
          <w:color w:val="231F1F"/>
          <w:spacing w:val="-11"/>
          <w:w w:val="115"/>
        </w:rPr>
        <w:t> </w:t>
      </w:r>
      <w:r>
        <w:rPr>
          <w:color w:val="231F1F"/>
          <w:w w:val="115"/>
        </w:rPr>
        <w:t>manufacturer</w:t>
      </w:r>
      <w:r>
        <w:rPr>
          <w:color w:val="231F1F"/>
          <w:spacing w:val="-12"/>
          <w:w w:val="115"/>
        </w:rPr>
        <w:t> </w:t>
      </w:r>
      <w:r>
        <w:rPr>
          <w:color w:val="231F1F"/>
          <w:w w:val="115"/>
        </w:rPr>
        <w:t>of</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20"/>
          <w:sz w:val="11"/>
        </w:rPr>
        <w:t>BOCEPREVIR</w:t>
      </w:r>
    </w:p>
    <w:p>
      <w:pPr>
        <w:pStyle w:val="BodyText"/>
        <w:ind w:left="286" w:right="-5" w:hanging="100"/>
        <w:rPr>
          <w:rFonts w:ascii="Calibri"/>
          <w:sz w:val="11"/>
        </w:rPr>
      </w:pPr>
      <w:r>
        <w:rPr>
          <w:rFonts w:ascii="Arial"/>
          <w:color w:val="231F1F"/>
          <w:w w:val="355"/>
          <w:position w:val="1"/>
          <w:sz w:val="7"/>
        </w:rPr>
        <w:t>l </w:t>
      </w:r>
      <w:r>
        <w:rPr>
          <w:rFonts w:ascii="Calibri"/>
          <w:color w:val="231F1F"/>
          <w:w w:val="110"/>
        </w:rPr>
        <w:t>Ulcer-healing Drugs: </w:t>
      </w:r>
      <w:r>
        <w:rPr>
          <w:color w:val="231F1F"/>
          <w:w w:val="110"/>
        </w:rPr>
        <w:t>plasma concentration of gefitinib reduced by </w:t>
      </w:r>
      <w:r>
        <w:rPr>
          <w:rFonts w:ascii="Arial"/>
          <w:color w:val="231F1F"/>
          <w:w w:val="355"/>
          <w:position w:val="1"/>
          <w:sz w:val="7"/>
        </w:rPr>
        <w:t>l </w:t>
      </w:r>
      <w:r>
        <w:rPr>
          <w:rFonts w:ascii="Calibri"/>
          <w:color w:val="008356"/>
          <w:w w:val="110"/>
          <w:sz w:val="11"/>
        </w:rPr>
        <w:t>RANITIDINE</w:t>
      </w:r>
    </w:p>
    <w:p>
      <w:pPr>
        <w:pStyle w:val="BodyText"/>
        <w:spacing w:before="5"/>
        <w:ind w:left="186"/>
        <w:rPr>
          <w:rFonts w:ascii="Trebuchet MS"/>
        </w:rPr>
      </w:pPr>
      <w:r>
        <w:rPr>
          <w:rFonts w:ascii="Trebuchet MS"/>
          <w:color w:val="008356"/>
        </w:rPr>
        <w:t>Gemcitabine</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gemcitabine possibly enhances anticoagulant effect of </w:t>
      </w:r>
      <w:r>
        <w:rPr>
          <w:rFonts w:ascii="Calibri" w:hAnsi="Calibri"/>
          <w:color w:val="008356"/>
          <w:w w:val="105"/>
          <w:sz w:val="11"/>
        </w:rPr>
        <w:t>WARFARIN</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56" w:lineRule="auto" w:before="7"/>
        <w:ind w:left="186" w:right="1533"/>
        <w:rPr>
          <w:rFonts w:ascii="Trebuchet MS"/>
        </w:rPr>
      </w:pPr>
      <w:r>
        <w:rPr>
          <w:rFonts w:ascii="Trebuchet MS"/>
          <w:color w:val="008356"/>
          <w:w w:val="105"/>
        </w:rPr>
        <w:t>Gemeprost </w:t>
      </w:r>
      <w:r>
        <w:rPr>
          <w:i/>
          <w:color w:val="231F1F"/>
          <w:w w:val="105"/>
        </w:rPr>
        <w:t>see </w:t>
      </w:r>
      <w:r>
        <w:rPr>
          <w:color w:val="231F1F"/>
          <w:w w:val="105"/>
        </w:rPr>
        <w:t>Prostaglandins </w:t>
      </w:r>
      <w:r>
        <w:rPr>
          <w:rFonts w:ascii="Trebuchet MS"/>
          <w:color w:val="008356"/>
          <w:w w:val="105"/>
        </w:rPr>
        <w:t>Gemfibrozil </w:t>
      </w:r>
      <w:r>
        <w:rPr>
          <w:i/>
          <w:color w:val="231F1F"/>
          <w:w w:val="105"/>
        </w:rPr>
        <w:t>see </w:t>
      </w:r>
      <w:r>
        <w:rPr>
          <w:color w:val="231F1F"/>
          <w:w w:val="105"/>
        </w:rPr>
        <w:t>Fibrates </w:t>
      </w:r>
      <w:r>
        <w:rPr>
          <w:rFonts w:ascii="Trebuchet MS"/>
          <w:color w:val="008356"/>
          <w:w w:val="105"/>
        </w:rPr>
        <w:t>Gentamicin </w:t>
      </w:r>
      <w:r>
        <w:rPr>
          <w:i/>
          <w:color w:val="231F1F"/>
          <w:w w:val="105"/>
        </w:rPr>
        <w:t>see </w:t>
      </w:r>
      <w:r>
        <w:rPr>
          <w:color w:val="231F1F"/>
          <w:w w:val="105"/>
        </w:rPr>
        <w:t>Aminoglycosides </w:t>
      </w:r>
      <w:r>
        <w:rPr>
          <w:rFonts w:ascii="Trebuchet MS"/>
          <w:color w:val="008356"/>
          <w:w w:val="105"/>
        </w:rPr>
        <w:t>Gestodene </w:t>
      </w:r>
      <w:r>
        <w:rPr>
          <w:i/>
          <w:color w:val="231F1F"/>
          <w:w w:val="105"/>
        </w:rPr>
        <w:t>see </w:t>
      </w:r>
      <w:r>
        <w:rPr>
          <w:color w:val="231F1F"/>
          <w:w w:val="105"/>
        </w:rPr>
        <w:t>Progestogens </w:t>
      </w:r>
      <w:r>
        <w:rPr>
          <w:rFonts w:ascii="Trebuchet MS"/>
          <w:color w:val="008356"/>
          <w:w w:val="105"/>
        </w:rPr>
        <w:t>Glibenclamide </w:t>
      </w:r>
      <w:r>
        <w:rPr>
          <w:i/>
          <w:color w:val="231F1F"/>
          <w:w w:val="105"/>
        </w:rPr>
        <w:t>see </w:t>
      </w:r>
      <w:r>
        <w:rPr>
          <w:color w:val="231F1F"/>
          <w:w w:val="105"/>
        </w:rPr>
        <w:t>Antidiabetics </w:t>
      </w:r>
      <w:r>
        <w:rPr>
          <w:rFonts w:ascii="Trebuchet MS"/>
          <w:color w:val="008356"/>
          <w:w w:val="105"/>
        </w:rPr>
        <w:t>Gliclazide </w:t>
      </w:r>
      <w:r>
        <w:rPr>
          <w:i/>
          <w:color w:val="231F1F"/>
          <w:w w:val="105"/>
        </w:rPr>
        <w:t>see </w:t>
      </w:r>
      <w:r>
        <w:rPr>
          <w:color w:val="231F1F"/>
          <w:w w:val="105"/>
        </w:rPr>
        <w:t>Antidiabetics </w:t>
      </w:r>
      <w:r>
        <w:rPr>
          <w:rFonts w:ascii="Trebuchet MS"/>
          <w:color w:val="008356"/>
          <w:w w:val="105"/>
        </w:rPr>
        <w:t>Glimepiride </w:t>
      </w:r>
      <w:r>
        <w:rPr>
          <w:i/>
          <w:color w:val="231F1F"/>
          <w:w w:val="105"/>
        </w:rPr>
        <w:t>see </w:t>
      </w:r>
      <w:r>
        <w:rPr>
          <w:color w:val="231F1F"/>
          <w:w w:val="105"/>
        </w:rPr>
        <w:t>Antidiabetics </w:t>
      </w:r>
      <w:r>
        <w:rPr>
          <w:rFonts w:ascii="Trebuchet MS"/>
          <w:color w:val="008356"/>
          <w:w w:val="105"/>
        </w:rPr>
        <w:t>Glipizide </w:t>
      </w:r>
      <w:r>
        <w:rPr>
          <w:i/>
          <w:color w:val="231F1F"/>
          <w:w w:val="105"/>
        </w:rPr>
        <w:t>see </w:t>
      </w:r>
      <w:r>
        <w:rPr>
          <w:color w:val="231F1F"/>
          <w:w w:val="105"/>
        </w:rPr>
        <w:t>Antidiabetics </w:t>
      </w:r>
      <w:r>
        <w:rPr>
          <w:rFonts w:ascii="Trebuchet MS"/>
          <w:color w:val="008356"/>
          <w:w w:val="105"/>
        </w:rPr>
        <w:t>Glucosamine</w:t>
      </w:r>
    </w:p>
    <w:p>
      <w:pPr>
        <w:pStyle w:val="BodyText"/>
        <w:spacing w:line="139" w:lineRule="exact"/>
        <w:ind w:left="186"/>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Anticoagulants:</w:t>
      </w:r>
      <w:r>
        <w:rPr>
          <w:rFonts w:ascii="Calibri"/>
          <w:color w:val="231F1F"/>
          <w:spacing w:val="-12"/>
          <w:w w:val="115"/>
        </w:rPr>
        <w:t> </w:t>
      </w:r>
      <w:r>
        <w:rPr>
          <w:color w:val="231F1F"/>
          <w:w w:val="115"/>
        </w:rPr>
        <w:t>glucosamine</w:t>
      </w:r>
      <w:r>
        <w:rPr>
          <w:color w:val="231F1F"/>
          <w:spacing w:val="-16"/>
          <w:w w:val="115"/>
        </w:rPr>
        <w:t> </w:t>
      </w:r>
      <w:r>
        <w:rPr>
          <w:color w:val="231F1F"/>
          <w:w w:val="115"/>
        </w:rPr>
        <w:t>enhances</w:t>
      </w:r>
      <w:r>
        <w:rPr>
          <w:color w:val="231F1F"/>
          <w:spacing w:val="-16"/>
          <w:w w:val="115"/>
        </w:rPr>
        <w:t> </w:t>
      </w:r>
      <w:r>
        <w:rPr>
          <w:color w:val="231F1F"/>
          <w:w w:val="115"/>
        </w:rPr>
        <w:t>anticoagulant</w:t>
      </w:r>
      <w:r>
        <w:rPr>
          <w:color w:val="231F1F"/>
          <w:spacing w:val="-16"/>
          <w:w w:val="115"/>
        </w:rPr>
        <w:t> </w:t>
      </w:r>
      <w:r>
        <w:rPr>
          <w:color w:val="231F1F"/>
          <w:w w:val="115"/>
        </w:rPr>
        <w:t>effect</w:t>
      </w:r>
      <w:r>
        <w:rPr>
          <w:color w:val="231F1F"/>
          <w:spacing w:val="-16"/>
          <w:w w:val="115"/>
        </w:rPr>
        <w:t> </w:t>
      </w:r>
      <w:r>
        <w:rPr>
          <w:color w:val="231F1F"/>
          <w:w w:val="115"/>
        </w:rPr>
        <w:t>of</w:t>
      </w:r>
    </w:p>
    <w:p>
      <w:pPr>
        <w:pStyle w:val="BodyText"/>
        <w:spacing w:line="256" w:lineRule="auto"/>
        <w:ind w:left="186" w:right="921" w:firstLine="99"/>
        <w:rPr>
          <w:rFonts w:ascii="Trebuchet MS"/>
        </w:rPr>
      </w:pPr>
      <w:r>
        <w:rPr>
          <w:rFonts w:ascii="Arial"/>
          <w:color w:val="231F1F"/>
          <w:w w:val="355"/>
          <w:position w:val="1"/>
          <w:sz w:val="7"/>
        </w:rPr>
        <w:t>l </w:t>
      </w:r>
      <w:r>
        <w:rPr>
          <w:rFonts w:ascii="Calibri"/>
          <w:color w:val="008356"/>
          <w:w w:val="110"/>
          <w:sz w:val="11"/>
        </w:rPr>
        <w:t>WARFARIN </w:t>
      </w:r>
      <w:r>
        <w:rPr>
          <w:color w:val="231F1F"/>
          <w:w w:val="110"/>
        </w:rPr>
        <w:t>(avoid concomitant use) </w:t>
      </w:r>
      <w:r>
        <w:rPr>
          <w:rFonts w:ascii="Trebuchet MS"/>
          <w:color w:val="008356"/>
          <w:w w:val="110"/>
        </w:rPr>
        <w:t>Glyceryl Trinitrate </w:t>
      </w:r>
      <w:r>
        <w:rPr>
          <w:i/>
          <w:color w:val="231F1F"/>
          <w:w w:val="110"/>
        </w:rPr>
        <w:t>see </w:t>
      </w:r>
      <w:r>
        <w:rPr>
          <w:color w:val="231F1F"/>
          <w:w w:val="110"/>
        </w:rPr>
        <w:t>Nitrates </w:t>
      </w:r>
      <w:r>
        <w:rPr>
          <w:rFonts w:ascii="Trebuchet MS"/>
          <w:color w:val="008356"/>
          <w:w w:val="110"/>
        </w:rPr>
        <w:t>Glycopyrronium </w:t>
      </w:r>
      <w:r>
        <w:rPr>
          <w:i/>
          <w:color w:val="231F1F"/>
          <w:w w:val="110"/>
        </w:rPr>
        <w:t>see </w:t>
      </w:r>
      <w:r>
        <w:rPr>
          <w:color w:val="231F1F"/>
          <w:w w:val="110"/>
        </w:rPr>
        <w:t>Antimuscarinics </w:t>
      </w:r>
      <w:r>
        <w:rPr>
          <w:rFonts w:ascii="Trebuchet MS"/>
          <w:color w:val="008356"/>
          <w:w w:val="110"/>
        </w:rPr>
        <w:t>Golimumab</w:t>
      </w:r>
    </w:p>
    <w:p>
      <w:pPr>
        <w:pStyle w:val="BodyText"/>
        <w:spacing w:line="136" w:lineRule="exact"/>
        <w:ind w:left="186"/>
      </w:pPr>
      <w:r>
        <w:rPr>
          <w:rFonts w:ascii="Arial"/>
          <w:color w:val="231F1F"/>
          <w:w w:val="355"/>
          <w:position w:val="1"/>
          <w:sz w:val="7"/>
        </w:rPr>
        <w:t>l </w:t>
      </w:r>
      <w:r>
        <w:rPr>
          <w:rFonts w:ascii="Calibri"/>
          <w:color w:val="231F1F"/>
          <w:w w:val="110"/>
        </w:rPr>
        <w:t>Abatacept: </w:t>
      </w:r>
      <w:r>
        <w:rPr>
          <w:color w:val="231F1F"/>
          <w:w w:val="110"/>
        </w:rPr>
        <w:t>avoid concomitant use of golimumab with</w:t>
      </w:r>
    </w:p>
    <w:p>
      <w:pPr>
        <w:spacing w:before="6"/>
        <w:ind w:left="286" w:right="0" w:firstLine="0"/>
        <w:jc w:val="both"/>
        <w:rPr>
          <w:rFonts w:ascii="Calibri"/>
          <w:sz w:val="11"/>
        </w:rPr>
      </w:pPr>
      <w:r>
        <w:rPr>
          <w:rFonts w:ascii="Arial"/>
          <w:color w:val="231F1F"/>
          <w:w w:val="355"/>
          <w:position w:val="1"/>
          <w:sz w:val="7"/>
        </w:rPr>
        <w:t>l </w:t>
      </w:r>
      <w:r>
        <w:rPr>
          <w:rFonts w:ascii="Calibri"/>
          <w:color w:val="008356"/>
          <w:w w:val="115"/>
          <w:sz w:val="11"/>
        </w:rPr>
        <w:t>ABATACEPT</w:t>
      </w:r>
    </w:p>
    <w:p>
      <w:pPr>
        <w:pStyle w:val="BodyText"/>
        <w:spacing w:before="9"/>
        <w:ind w:left="0"/>
        <w:rPr>
          <w:rFonts w:ascii="Calibri"/>
          <w:sz w:val="13"/>
        </w:rPr>
      </w:pPr>
      <w:r>
        <w:rPr/>
        <w:br w:type="column"/>
      </w:r>
      <w:r>
        <w:rPr>
          <w:rFonts w:ascii="Calibri"/>
          <w:sz w:val="13"/>
        </w:rPr>
      </w:r>
    </w:p>
    <w:p>
      <w:pPr>
        <w:pStyle w:val="BodyText"/>
        <w:spacing w:line="144" w:lineRule="exact"/>
        <w:ind w:left="180"/>
        <w:rPr>
          <w:rFonts w:ascii="Calibri"/>
        </w:rPr>
      </w:pPr>
      <w:r>
        <w:rPr>
          <w:rFonts w:ascii="Arial"/>
          <w:color w:val="008356"/>
        </w:rPr>
        <w:t>Golimumab </w:t>
      </w:r>
      <w:r>
        <w:rPr>
          <w:rFonts w:ascii="Calibri"/>
          <w:color w:val="231F1F"/>
        </w:rPr>
        <w:t>(continued)</w:t>
      </w:r>
    </w:p>
    <w:p>
      <w:pPr>
        <w:pStyle w:val="BodyText"/>
        <w:spacing w:line="144" w:lineRule="exact"/>
        <w:ind w:left="180"/>
      </w:pPr>
      <w:r>
        <w:rPr>
          <w:rFonts w:ascii="Arial"/>
          <w:color w:val="231F1F"/>
          <w:w w:val="355"/>
          <w:position w:val="1"/>
          <w:sz w:val="7"/>
        </w:rPr>
        <w:t>l </w:t>
      </w:r>
      <w:r>
        <w:rPr>
          <w:rFonts w:ascii="Calibri"/>
          <w:color w:val="231F1F"/>
          <w:w w:val="115"/>
        </w:rPr>
        <w:t>Anakinra: </w:t>
      </w:r>
      <w:r>
        <w:rPr>
          <w:color w:val="231F1F"/>
          <w:w w:val="115"/>
        </w:rPr>
        <w:t>avoid concomitant use of golimumab with</w:t>
      </w:r>
    </w:p>
    <w:p>
      <w:pPr>
        <w:spacing w:line="133" w:lineRule="exact" w:before="7"/>
        <w:ind w:left="280" w:right="0" w:firstLine="0"/>
        <w:jc w:val="left"/>
        <w:rPr>
          <w:rFonts w:ascii="Calibri"/>
          <w:sz w:val="11"/>
        </w:rPr>
      </w:pPr>
      <w:r>
        <w:rPr>
          <w:rFonts w:ascii="Arial"/>
          <w:color w:val="231F1F"/>
          <w:w w:val="355"/>
          <w:position w:val="1"/>
          <w:sz w:val="7"/>
        </w:rPr>
        <w:t>l </w:t>
      </w:r>
      <w:r>
        <w:rPr>
          <w:rFonts w:ascii="Calibri"/>
          <w:color w:val="008356"/>
          <w:w w:val="120"/>
          <w:sz w:val="11"/>
        </w:rPr>
        <w:t>ANAKINRA</w:t>
      </w:r>
    </w:p>
    <w:p>
      <w:pPr>
        <w:pStyle w:val="BodyText"/>
        <w:spacing w:line="145" w:lineRule="exact"/>
        <w:ind w:left="180"/>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0"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left="280" w:right="593"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w w:val="115"/>
        </w:rPr>
        <w:t>use</w:t>
      </w:r>
    </w:p>
    <w:p>
      <w:pPr>
        <w:pStyle w:val="BodyText"/>
        <w:spacing w:before="5"/>
        <w:ind w:left="180"/>
      </w:pPr>
      <w:r>
        <w:rPr>
          <w:rFonts w:ascii="Trebuchet MS"/>
          <w:color w:val="008356"/>
          <w:w w:val="110"/>
        </w:rPr>
        <w:t>Granisetron </w:t>
      </w:r>
      <w:r>
        <w:rPr>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10"/>
        <w:ind w:left="180"/>
        <w:rPr>
          <w:rFonts w:ascii="Trebuchet MS"/>
        </w:rPr>
      </w:pPr>
      <w:r>
        <w:rPr>
          <w:rFonts w:ascii="Trebuchet MS"/>
          <w:color w:val="008356"/>
        </w:rPr>
        <w:t>Grapefruit Juice</w:t>
      </w:r>
    </w:p>
    <w:p>
      <w:pPr>
        <w:pStyle w:val="BodyText"/>
        <w:spacing w:line="146" w:lineRule="exact" w:before="1"/>
        <w:ind w:left="180"/>
      </w:pPr>
      <w:r>
        <w:rPr>
          <w:rFonts w:ascii="Arial"/>
          <w:color w:val="231F1F"/>
          <w:w w:val="355"/>
          <w:position w:val="1"/>
          <w:sz w:val="7"/>
        </w:rPr>
        <w:t>l </w:t>
      </w:r>
      <w:r>
        <w:rPr>
          <w:rFonts w:ascii="Calibri"/>
          <w:color w:val="231F1F"/>
          <w:w w:val="120"/>
        </w:rPr>
        <w:t>Aliskiren: </w:t>
      </w:r>
      <w:r>
        <w:rPr>
          <w:color w:val="231F1F"/>
          <w:w w:val="120"/>
        </w:rPr>
        <w:t>grapefruit juice reduces plasma concentration of</w:t>
      </w:r>
    </w:p>
    <w:p>
      <w:pPr>
        <w:spacing w:line="140" w:lineRule="exact" w:before="0"/>
        <w:ind w:left="280"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ALISKIREN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30" w:lineRule="auto" w:before="3"/>
        <w:ind w:left="280" w:right="62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Anthelmintics: </w:t>
      </w:r>
      <w:r>
        <w:rPr>
          <w:color w:val="231F1F"/>
          <w:w w:val="110"/>
        </w:rPr>
        <w:t>grapefruit juice increases plasma concentration of active metabolite of </w:t>
      </w:r>
      <w:r>
        <w:rPr>
          <w:rFonts w:ascii="Calibri" w:hAnsi="Calibri"/>
          <w:color w:val="008356"/>
          <w:w w:val="110"/>
          <w:sz w:val="11"/>
        </w:rPr>
        <w:t>ALBENDAZOLE</w:t>
      </w:r>
      <w:r>
        <w:rPr>
          <w:color w:val="231F1F"/>
          <w:w w:val="110"/>
        </w:rPr>
        <w:t>; grapefruit juice increases plasma concentration of </w:t>
      </w:r>
      <w:r>
        <w:rPr>
          <w:rFonts w:ascii="Calibri" w:hAnsi="Calibri"/>
          <w:color w:val="008356"/>
          <w:w w:val="110"/>
          <w:sz w:val="11"/>
        </w:rPr>
        <w:t>PRAZIQUANTEL</w:t>
      </w:r>
    </w:p>
    <w:p>
      <w:pPr>
        <w:pStyle w:val="BodyText"/>
        <w:ind w:left="280" w:right="605" w:hanging="100"/>
      </w:pPr>
      <w:r>
        <w:rPr>
          <w:rFonts w:ascii="Arial" w:hAnsi="Arial"/>
          <w:color w:val="231F1F"/>
          <w:w w:val="355"/>
          <w:position w:val="1"/>
          <w:sz w:val="7"/>
        </w:rPr>
        <w:t>l </w:t>
      </w:r>
      <w:r>
        <w:rPr>
          <w:rFonts w:ascii="Calibri" w:hAnsi="Calibri"/>
          <w:color w:val="231F1F"/>
          <w:w w:val="110"/>
        </w:rPr>
        <w:t>Anti-arrhythmics: </w:t>
      </w:r>
      <w:r>
        <w:rPr>
          <w:color w:val="231F1F"/>
          <w:w w:val="110"/>
        </w:rPr>
        <w:t>grapefruit juice increases plasma concentration of </w:t>
      </w:r>
      <w:r>
        <w:rPr>
          <w:rFonts w:ascii="Calibri" w:hAnsi="Calibri"/>
          <w:color w:val="008356"/>
          <w:w w:val="110"/>
          <w:sz w:val="11"/>
        </w:rPr>
        <w:t>AMIODARONE</w:t>
      </w:r>
      <w:r>
        <w:rPr>
          <w:color w:val="231F1F"/>
          <w:w w:val="110"/>
        </w:rPr>
        <w:t>; grapefruit juice increases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w:t>
      </w:r>
    </w:p>
    <w:p>
      <w:pPr>
        <w:pStyle w:val="BodyText"/>
        <w:spacing w:line="220" w:lineRule="auto" w:before="12"/>
        <w:ind w:left="280"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grapefruit juice possibly increases plasma concentration of </w:t>
      </w:r>
      <w:r>
        <w:rPr>
          <w:rFonts w:ascii="Calibri" w:hAnsi="Calibri"/>
          <w:color w:val="008356"/>
          <w:w w:val="105"/>
          <w:sz w:val="11"/>
        </w:rPr>
        <w:t>SERTRALINE</w:t>
      </w:r>
    </w:p>
    <w:p>
      <w:pPr>
        <w:pStyle w:val="BodyText"/>
        <w:spacing w:line="220" w:lineRule="auto" w:before="8"/>
        <w:ind w:left="280" w:right="65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Antihistamines: </w:t>
      </w:r>
      <w:r>
        <w:rPr>
          <w:color w:val="231F1F"/>
          <w:w w:val="105"/>
        </w:rPr>
        <w:t>grapefruit  juice  reduces plasma  </w:t>
      </w:r>
      <w:r>
        <w:rPr>
          <w:color w:val="231F1F"/>
          <w:spacing w:val="-2"/>
          <w:w w:val="105"/>
        </w:rPr>
        <w:t>concentration </w:t>
      </w:r>
      <w:r>
        <w:rPr>
          <w:color w:val="231F1F"/>
          <w:w w:val="105"/>
        </w:rPr>
        <w:t>of </w:t>
      </w:r>
      <w:r>
        <w:rPr>
          <w:rFonts w:ascii="Calibri" w:hAnsi="Calibri"/>
          <w:color w:val="008356"/>
          <w:spacing w:val="4"/>
          <w:w w:val="105"/>
          <w:sz w:val="11"/>
        </w:rPr>
        <w:t>BILASTINE</w:t>
      </w:r>
    </w:p>
    <w:p>
      <w:pPr>
        <w:spacing w:line="240" w:lineRule="auto" w:before="1"/>
        <w:ind w:left="280" w:right="66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Antimalarials: </w:t>
      </w:r>
      <w:r>
        <w:rPr>
          <w:color w:val="231F1F"/>
          <w:w w:val="105"/>
          <w:sz w:val="12"/>
        </w:rPr>
        <w:t>grapefruit juice possibly increases plasma concentration of </w:t>
      </w:r>
      <w:r>
        <w:rPr>
          <w:rFonts w:ascii="Calibri" w:hAnsi="Calibri"/>
          <w:color w:val="008356"/>
          <w:spacing w:val="4"/>
          <w:w w:val="105"/>
          <w:sz w:val="11"/>
        </w:rPr>
        <w:t>ARTEMETHER </w:t>
      </w:r>
      <w:r>
        <w:rPr>
          <w:rFonts w:ascii="Calibri" w:hAnsi="Calibri"/>
          <w:color w:val="008356"/>
          <w:spacing w:val="3"/>
          <w:w w:val="105"/>
          <w:sz w:val="11"/>
        </w:rPr>
        <w:t>WITH </w:t>
      </w:r>
      <w:r>
        <w:rPr>
          <w:rFonts w:ascii="Calibri" w:hAnsi="Calibri"/>
          <w:color w:val="008356"/>
          <w:spacing w:val="4"/>
          <w:w w:val="105"/>
          <w:sz w:val="11"/>
        </w:rPr>
        <w:t>LUMEFANTRINE</w:t>
      </w:r>
      <w:r>
        <w:rPr>
          <w:color w:val="231F1F"/>
          <w:spacing w:val="4"/>
          <w:w w:val="105"/>
          <w:sz w:val="12"/>
        </w:rPr>
        <w:t>; </w:t>
      </w:r>
      <w:r>
        <w:rPr>
          <w:color w:val="231F1F"/>
          <w:w w:val="105"/>
          <w:sz w:val="12"/>
        </w:rPr>
        <w:t>avoidance of grapefruit juice advised by manufacturer  of </w:t>
      </w:r>
      <w:r>
        <w:rPr>
          <w:rFonts w:ascii="Calibri" w:hAnsi="Calibri"/>
          <w:color w:val="008356"/>
          <w:spacing w:val="5"/>
          <w:w w:val="105"/>
          <w:sz w:val="11"/>
        </w:rPr>
        <w:t>ARTENIMOL </w:t>
      </w:r>
      <w:r>
        <w:rPr>
          <w:rFonts w:ascii="Calibri" w:hAnsi="Calibri"/>
          <w:color w:val="008356"/>
          <w:spacing w:val="4"/>
          <w:w w:val="105"/>
          <w:sz w:val="11"/>
        </w:rPr>
        <w:t>WITH</w:t>
      </w:r>
      <w:r>
        <w:rPr>
          <w:rFonts w:ascii="Calibri" w:hAnsi="Calibri"/>
          <w:color w:val="008356"/>
          <w:spacing w:val="5"/>
          <w:w w:val="105"/>
          <w:sz w:val="11"/>
        </w:rPr>
        <w:t> PIPERAQUINE</w:t>
      </w:r>
    </w:p>
    <w:p>
      <w:pPr>
        <w:pStyle w:val="BodyText"/>
        <w:spacing w:line="242" w:lineRule="auto"/>
        <w:ind w:left="280" w:right="641" w:hanging="100"/>
      </w:pPr>
      <w:r>
        <w:rPr>
          <w:rFonts w:ascii="Arial" w:hAnsi="Arial"/>
          <w:color w:val="231F1F"/>
          <w:w w:val="355"/>
          <w:position w:val="1"/>
          <w:sz w:val="7"/>
        </w:rPr>
        <w:t>l </w:t>
      </w:r>
      <w:r>
        <w:rPr>
          <w:rFonts w:ascii="Calibri" w:hAnsi="Calibri"/>
          <w:color w:val="231F1F"/>
          <w:w w:val="110"/>
        </w:rPr>
        <w:t>Antipsychotics: </w:t>
      </w:r>
      <w:r>
        <w:rPr>
          <w:color w:val="231F1F"/>
          <w:w w:val="110"/>
        </w:rPr>
        <w:t>avoidance of grapefruit juice advised by manufacturer of </w:t>
      </w:r>
      <w:r>
        <w:rPr>
          <w:rFonts w:ascii="Calibri" w:hAnsi="Calibri"/>
          <w:color w:val="008356"/>
          <w:spacing w:val="4"/>
          <w:w w:val="110"/>
          <w:sz w:val="11"/>
        </w:rPr>
        <w:t>LURASIDONE </w:t>
      </w:r>
      <w:r>
        <w:rPr>
          <w:color w:val="231F1F"/>
          <w:w w:val="110"/>
        </w:rPr>
        <w:t>and </w:t>
      </w:r>
      <w:r>
        <w:rPr>
          <w:rFonts w:ascii="Calibri" w:hAnsi="Calibri"/>
          <w:color w:val="008356"/>
          <w:spacing w:val="4"/>
          <w:w w:val="110"/>
          <w:sz w:val="11"/>
        </w:rPr>
        <w:t>PIMOZIDE</w:t>
      </w:r>
      <w:r>
        <w:rPr>
          <w:color w:val="231F1F"/>
          <w:spacing w:val="4"/>
          <w:w w:val="110"/>
        </w:rPr>
        <w:t>; </w:t>
      </w:r>
      <w:r>
        <w:rPr>
          <w:color w:val="231F1F"/>
          <w:w w:val="110"/>
        </w:rPr>
        <w:t>grapefruit juice possibly increases plasma concentration of </w:t>
      </w:r>
      <w:r>
        <w:rPr>
          <w:rFonts w:ascii="Arial" w:hAnsi="Arial"/>
          <w:color w:val="231F1F"/>
          <w:w w:val="355"/>
          <w:position w:val="1"/>
          <w:sz w:val="7"/>
        </w:rPr>
        <w:t>l </w:t>
      </w:r>
      <w:r>
        <w:rPr>
          <w:rFonts w:ascii="Calibri" w:hAnsi="Calibri"/>
          <w:color w:val="008356"/>
          <w:spacing w:val="4"/>
          <w:w w:val="110"/>
          <w:sz w:val="11"/>
        </w:rPr>
        <w:t>QUETIAPINE</w:t>
      </w:r>
      <w:r>
        <w:rPr>
          <w:rFonts w:ascii="Arial" w:hAnsi="Arial"/>
          <w:color w:val="231F1F"/>
          <w:spacing w:val="4"/>
          <w:w w:val="110"/>
        </w:rPr>
        <w:t>— </w:t>
      </w:r>
      <w:r>
        <w:rPr>
          <w:color w:val="231F1F"/>
          <w:w w:val="110"/>
        </w:rPr>
        <w:t>manufacturer of quetiapine advises avoid concomitant use</w:t>
      </w:r>
    </w:p>
    <w:p>
      <w:pPr>
        <w:pStyle w:val="BodyText"/>
        <w:spacing w:line="220" w:lineRule="auto" w:before="2"/>
        <w:ind w:left="280"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grapefruit juice possibly increases plasma concentration of </w:t>
      </w:r>
      <w:r>
        <w:rPr>
          <w:rFonts w:ascii="Calibri" w:hAnsi="Calibri"/>
          <w:color w:val="008356"/>
          <w:w w:val="105"/>
          <w:sz w:val="11"/>
        </w:rPr>
        <w:t>EFAVIRENZ</w:t>
      </w:r>
    </w:p>
    <w:p>
      <w:pPr>
        <w:pStyle w:val="BodyText"/>
        <w:spacing w:line="230" w:lineRule="auto" w:before="5"/>
        <w:ind w:left="280" w:right="687" w:hanging="100"/>
        <w:rPr>
          <w:rFonts w:ascii="Calibri" w:hAnsi="Calibri"/>
          <w:sz w:val="11"/>
        </w:rPr>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grapefruit juice possibly increases plasma concentration of </w:t>
      </w:r>
      <w:r>
        <w:rPr>
          <w:i/>
          <w:color w:val="231F1F"/>
          <w:w w:val="110"/>
        </w:rPr>
        <w:t>oral </w:t>
      </w:r>
      <w:r>
        <w:rPr>
          <w:rFonts w:ascii="Calibri" w:hAnsi="Calibri"/>
          <w:color w:val="008356"/>
          <w:w w:val="110"/>
          <w:sz w:val="11"/>
        </w:rPr>
        <w:t>MIDAZOLAM</w:t>
      </w:r>
      <w:r>
        <w:rPr>
          <w:color w:val="231F1F"/>
          <w:w w:val="110"/>
        </w:rPr>
        <w:t>; grapefruit juice increases plasma concentration of </w:t>
      </w:r>
      <w:r>
        <w:rPr>
          <w:rFonts w:ascii="Calibri" w:hAnsi="Calibri"/>
          <w:color w:val="008356"/>
          <w:w w:val="110"/>
          <w:sz w:val="11"/>
        </w:rPr>
        <w:t>BUSPIRONE</w:t>
      </w:r>
    </w:p>
    <w:p>
      <w:pPr>
        <w:pStyle w:val="BodyText"/>
        <w:spacing w:line="230" w:lineRule="auto" w:before="3"/>
        <w:ind w:left="280" w:right="618" w:hanging="100"/>
      </w:pPr>
      <w:r>
        <w:rPr>
          <w:rFonts w:ascii="Lucida Sans Unicode" w:hAnsi="Lucida Sans Unicode"/>
          <w:color w:val="A7A8AC"/>
          <w:w w:val="95"/>
          <w:sz w:val="10"/>
        </w:rPr>
        <w:t>▶ </w:t>
      </w:r>
      <w:r>
        <w:rPr>
          <w:rFonts w:ascii="Calibri" w:hAnsi="Calibri"/>
          <w:color w:val="231F1F"/>
          <w:w w:val="110"/>
        </w:rPr>
        <w:t>Avanafil: </w:t>
      </w:r>
      <w:r>
        <w:rPr>
          <w:color w:val="231F1F"/>
          <w:w w:val="110"/>
        </w:rPr>
        <w:t>grapefruit juice possibly increases plasma concentration of </w:t>
      </w:r>
      <w:r>
        <w:rPr>
          <w:rFonts w:ascii="Calibri" w:hAnsi="Calibri"/>
          <w:color w:val="008356"/>
          <w:w w:val="110"/>
          <w:sz w:val="11"/>
        </w:rPr>
        <w:t>AVANAFIL</w:t>
      </w:r>
      <w:r>
        <w:rPr>
          <w:rFonts w:ascii="Arial" w:hAnsi="Arial"/>
          <w:color w:val="231F1F"/>
          <w:w w:val="110"/>
        </w:rPr>
        <w:t>— </w:t>
      </w:r>
      <w:r>
        <w:rPr>
          <w:color w:val="231F1F"/>
          <w:w w:val="110"/>
        </w:rPr>
        <w:t>manufacturer of avanafil advises avoid grapefruit juice for 24 hours before avanafil</w:t>
      </w:r>
    </w:p>
    <w:p>
      <w:pPr>
        <w:spacing w:line="237" w:lineRule="auto" w:before="4"/>
        <w:ind w:left="280" w:right="79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grapefruit juice possibly increases plasma concentration of </w:t>
      </w:r>
      <w:r>
        <w:rPr>
          <w:rFonts w:ascii="Calibri" w:hAnsi="Calibri"/>
          <w:color w:val="008356"/>
          <w:w w:val="105"/>
          <w:sz w:val="11"/>
        </w:rPr>
        <w:t>AMLODIPINE</w:t>
      </w:r>
      <w:r>
        <w:rPr>
          <w:color w:val="231F1F"/>
          <w:w w:val="105"/>
          <w:sz w:val="12"/>
        </w:rPr>
        <w:t>; grapefruit juice increases plasma concentration of </w:t>
      </w:r>
      <w:r>
        <w:rPr>
          <w:rFonts w:ascii="Calibri" w:hAnsi="Calibri"/>
          <w:color w:val="008356"/>
          <w:w w:val="105"/>
          <w:sz w:val="11"/>
        </w:rPr>
        <w:t>FELODIPINE</w:t>
      </w:r>
      <w:r>
        <w:rPr>
          <w:color w:val="231F1F"/>
          <w:w w:val="105"/>
          <w:sz w:val="12"/>
        </w:rPr>
        <w:t>, </w:t>
      </w:r>
      <w:r>
        <w:rPr>
          <w:rFonts w:ascii="Calibri" w:hAnsi="Calibri"/>
          <w:color w:val="008356"/>
          <w:w w:val="105"/>
          <w:sz w:val="11"/>
        </w:rPr>
        <w:t>ISRADIPINE</w:t>
      </w:r>
      <w:r>
        <w:rPr>
          <w:color w:val="231F1F"/>
          <w:w w:val="105"/>
          <w:sz w:val="12"/>
        </w:rPr>
        <w:t>, </w:t>
      </w:r>
      <w:r>
        <w:rPr>
          <w:rFonts w:ascii="Calibri" w:hAnsi="Calibri"/>
          <w:color w:val="008356"/>
          <w:w w:val="105"/>
          <w:sz w:val="11"/>
        </w:rPr>
        <w:t>LACIDIPINE</w:t>
      </w:r>
      <w:r>
        <w:rPr>
          <w:color w:val="231F1F"/>
          <w:w w:val="105"/>
          <w:sz w:val="12"/>
        </w:rPr>
        <w:t>, </w:t>
      </w:r>
      <w:r>
        <w:rPr>
          <w:rFonts w:ascii="Calibri" w:hAnsi="Calibri"/>
          <w:color w:val="008356"/>
          <w:w w:val="105"/>
          <w:sz w:val="11"/>
        </w:rPr>
        <w:t>LERCANIDIPINE</w:t>
      </w:r>
      <w:r>
        <w:rPr>
          <w:color w:val="231F1F"/>
          <w:w w:val="105"/>
          <w:sz w:val="12"/>
        </w:rPr>
        <w:t>, </w:t>
      </w:r>
      <w:r>
        <w:rPr>
          <w:rFonts w:ascii="Calibri" w:hAnsi="Calibri"/>
          <w:color w:val="008356"/>
          <w:w w:val="105"/>
          <w:sz w:val="11"/>
        </w:rPr>
        <w:t>NICARDIPINE</w:t>
      </w:r>
      <w:r>
        <w:rPr>
          <w:color w:val="231F1F"/>
          <w:w w:val="105"/>
          <w:sz w:val="12"/>
        </w:rPr>
        <w:t>, </w:t>
      </w:r>
      <w:r>
        <w:rPr>
          <w:rFonts w:ascii="Calibri" w:hAnsi="Calibri"/>
          <w:color w:val="008356"/>
          <w:w w:val="105"/>
          <w:sz w:val="11"/>
        </w:rPr>
        <w:t>NIFEDIPINE</w:t>
      </w:r>
      <w:r>
        <w:rPr>
          <w:color w:val="231F1F"/>
          <w:w w:val="105"/>
          <w:sz w:val="12"/>
        </w:rPr>
        <w:t>, </w:t>
      </w:r>
      <w:r>
        <w:rPr>
          <w:rFonts w:ascii="Calibri" w:hAnsi="Calibri"/>
          <w:color w:val="008356"/>
          <w:w w:val="105"/>
          <w:sz w:val="11"/>
        </w:rPr>
        <w:t>NIMODIPINE </w:t>
      </w:r>
      <w:r>
        <w:rPr>
          <w:color w:val="231F1F"/>
          <w:w w:val="105"/>
          <w:sz w:val="12"/>
        </w:rPr>
        <w:t>and </w:t>
      </w:r>
      <w:r>
        <w:rPr>
          <w:rFonts w:ascii="Calibri" w:hAnsi="Calibri"/>
          <w:color w:val="008356"/>
          <w:w w:val="105"/>
          <w:sz w:val="11"/>
        </w:rPr>
        <w:t>VERAPAMIL</w:t>
      </w:r>
    </w:p>
    <w:p>
      <w:pPr>
        <w:pStyle w:val="BodyText"/>
        <w:spacing w:line="143" w:lineRule="exact"/>
        <w:ind w:left="180"/>
      </w:pPr>
      <w:r>
        <w:rPr>
          <w:rFonts w:ascii="Arial"/>
          <w:color w:val="231F1F"/>
          <w:w w:val="355"/>
          <w:position w:val="1"/>
          <w:sz w:val="7"/>
        </w:rPr>
        <w:t>l </w:t>
      </w:r>
      <w:r>
        <w:rPr>
          <w:rFonts w:ascii="Calibri"/>
          <w:color w:val="231F1F"/>
          <w:w w:val="115"/>
        </w:rPr>
        <w:t>Ciclosporin: </w:t>
      </w:r>
      <w:r>
        <w:rPr>
          <w:color w:val="231F1F"/>
          <w:w w:val="115"/>
        </w:rPr>
        <w:t>grapefruit juice increases plasma concentration of</w:t>
      </w:r>
    </w:p>
    <w:p>
      <w:pPr>
        <w:spacing w:line="140" w:lineRule="exact" w:before="0"/>
        <w:ind w:left="280"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(increased risk of toxicity)</w:t>
      </w:r>
    </w:p>
    <w:p>
      <w:pPr>
        <w:pStyle w:val="BodyText"/>
        <w:spacing w:line="145" w:lineRule="exact"/>
        <w:ind w:left="180"/>
      </w:pPr>
      <w:r>
        <w:rPr>
          <w:rFonts w:ascii="Arial"/>
          <w:color w:val="231F1F"/>
          <w:w w:val="355"/>
          <w:position w:val="1"/>
          <w:sz w:val="7"/>
        </w:rPr>
        <w:t>l </w:t>
      </w:r>
      <w:r>
        <w:rPr>
          <w:rFonts w:ascii="Calibri"/>
          <w:color w:val="231F1F"/>
          <w:w w:val="110"/>
        </w:rPr>
        <w:t>Colchicine: </w:t>
      </w:r>
      <w:r>
        <w:rPr>
          <w:color w:val="231F1F"/>
          <w:w w:val="110"/>
        </w:rPr>
        <w:t>grapefruit juice possibly increases risk of</w:t>
      </w:r>
    </w:p>
    <w:p>
      <w:pPr>
        <w:spacing w:line="140" w:lineRule="exact" w:before="0"/>
        <w:ind w:left="280" w:right="0" w:firstLine="0"/>
        <w:jc w:val="left"/>
        <w:rPr>
          <w:sz w:val="12"/>
        </w:rPr>
      </w:pPr>
      <w:r>
        <w:rPr>
          <w:rFonts w:ascii="Arial"/>
          <w:color w:val="231F1F"/>
          <w:w w:val="355"/>
          <w:position w:val="1"/>
          <w:sz w:val="7"/>
        </w:rPr>
        <w:t>l </w:t>
      </w:r>
      <w:r>
        <w:rPr>
          <w:rFonts w:ascii="Calibri"/>
          <w:color w:val="008356"/>
          <w:w w:val="110"/>
          <w:sz w:val="11"/>
        </w:rPr>
        <w:t>COLCHICINE </w:t>
      </w:r>
      <w:r>
        <w:rPr>
          <w:color w:val="231F1F"/>
          <w:w w:val="110"/>
          <w:sz w:val="12"/>
        </w:rPr>
        <w:t>toxicity</w:t>
      </w:r>
    </w:p>
    <w:p>
      <w:pPr>
        <w:pStyle w:val="BodyText"/>
        <w:spacing w:line="242" w:lineRule="auto"/>
        <w:ind w:left="280" w:right="641" w:hanging="100"/>
      </w:pPr>
      <w:r>
        <w:rPr>
          <w:rFonts w:ascii="Arial" w:hAnsi="Arial"/>
          <w:color w:val="231F1F"/>
          <w:w w:val="355"/>
          <w:position w:val="1"/>
          <w:sz w:val="7"/>
        </w:rPr>
        <w:t>l </w:t>
      </w:r>
      <w:r>
        <w:rPr>
          <w:rFonts w:ascii="Calibri" w:hAnsi="Calibri"/>
          <w:color w:val="231F1F"/>
          <w:w w:val="110"/>
        </w:rPr>
        <w:t>Corticosteroids: </w:t>
      </w:r>
      <w:r>
        <w:rPr>
          <w:color w:val="231F1F"/>
          <w:w w:val="110"/>
        </w:rPr>
        <w:t>grapefruit juice increases plasma concentration of </w:t>
      </w:r>
      <w:r>
        <w:rPr>
          <w:i/>
          <w:color w:val="231F1F"/>
          <w:w w:val="110"/>
        </w:rPr>
        <w:t>oral </w:t>
      </w: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0"/>
          <w:sz w:val="11"/>
        </w:rPr>
        <w:t>BUDESONIDE</w:t>
      </w:r>
      <w:r>
        <w:rPr>
          <w:rFonts w:ascii="Arial" w:hAnsi="Arial"/>
          <w:color w:val="231F1F"/>
          <w:spacing w:val="3"/>
          <w:w w:val="110"/>
        </w:rPr>
        <w:t>—</w:t>
      </w:r>
      <w:r>
        <w:rPr>
          <w:color w:val="231F1F"/>
          <w:spacing w:val="3"/>
          <w:w w:val="110"/>
        </w:rPr>
        <w:t>avoid </w:t>
      </w:r>
      <w:r>
        <w:rPr>
          <w:color w:val="231F1F"/>
          <w:w w:val="110"/>
        </w:rPr>
        <w:t>concurrent use </w:t>
      </w:r>
      <w:r>
        <w:rPr>
          <w:color w:val="231F1F"/>
          <w:spacing w:val="-6"/>
          <w:w w:val="110"/>
        </w:rPr>
        <w:t>or </w:t>
      </w:r>
      <w:r>
        <w:rPr>
          <w:color w:val="231F1F"/>
          <w:w w:val="110"/>
        </w:rPr>
        <w:t>separate administration by as much as possible and consider reducing </w:t>
      </w:r>
      <w:r>
        <w:rPr>
          <w:i/>
          <w:color w:val="231F1F"/>
          <w:w w:val="110"/>
        </w:rPr>
        <w:t>oral </w:t>
      </w:r>
      <w:r>
        <w:rPr>
          <w:color w:val="231F1F"/>
          <w:w w:val="110"/>
        </w:rPr>
        <w:t>budesonide dose</w:t>
      </w:r>
    </w:p>
    <w:p>
      <w:pPr>
        <w:pStyle w:val="BodyText"/>
        <w:spacing w:line="244" w:lineRule="auto" w:before="1"/>
        <w:ind w:left="280" w:right="539" w:hanging="100"/>
      </w:pPr>
      <w:r>
        <w:rPr>
          <w:rFonts w:ascii="Arial" w:hAnsi="Arial"/>
          <w:color w:val="231F1F"/>
          <w:w w:val="355"/>
          <w:position w:val="1"/>
          <w:sz w:val="7"/>
        </w:rPr>
        <w:t>l </w:t>
      </w:r>
      <w:r>
        <w:rPr>
          <w:rFonts w:ascii="Calibri" w:hAnsi="Calibri"/>
          <w:color w:val="231F1F"/>
          <w:w w:val="115"/>
        </w:rPr>
        <w:t>Cytotoxics: </w:t>
      </w:r>
      <w:r>
        <w:rPr>
          <w:color w:val="231F1F"/>
          <w:w w:val="115"/>
        </w:rPr>
        <w:t>grapefruit juice possibly increases plasma concentration of </w:t>
      </w:r>
      <w:r>
        <w:rPr>
          <w:rFonts w:ascii="Calibri" w:hAnsi="Calibri"/>
          <w:color w:val="008356"/>
          <w:spacing w:val="4"/>
          <w:w w:val="115"/>
          <w:sz w:val="11"/>
        </w:rPr>
        <w:t>AXITINIB</w:t>
      </w:r>
      <w:r>
        <w:rPr>
          <w:color w:val="231F1F"/>
          <w:spacing w:val="4"/>
          <w:w w:val="115"/>
        </w:rPr>
        <w:t>, </w:t>
      </w:r>
      <w:r>
        <w:rPr>
          <w:rFonts w:ascii="Calibri" w:hAnsi="Calibri"/>
          <w:color w:val="008356"/>
          <w:spacing w:val="4"/>
          <w:w w:val="115"/>
          <w:sz w:val="11"/>
        </w:rPr>
        <w:t>CABOZANTINIB </w:t>
      </w:r>
      <w:r>
        <w:rPr>
          <w:color w:val="231F1F"/>
          <w:w w:val="115"/>
        </w:rPr>
        <w:t>and </w:t>
      </w:r>
      <w:r>
        <w:rPr>
          <w:rFonts w:ascii="Calibri" w:hAnsi="Calibri"/>
          <w:color w:val="008356"/>
          <w:spacing w:val="4"/>
          <w:w w:val="115"/>
          <w:sz w:val="11"/>
        </w:rPr>
        <w:t>PONATINIB</w:t>
      </w:r>
      <w:r>
        <w:rPr>
          <w:color w:val="231F1F"/>
          <w:spacing w:val="4"/>
          <w:w w:val="115"/>
        </w:rPr>
        <w:t>; </w:t>
      </w:r>
      <w:r>
        <w:rPr>
          <w:color w:val="231F1F"/>
          <w:w w:val="115"/>
        </w:rPr>
        <w:t>grapefruit juice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grapefruit juice possibly increases plasma concentration of </w:t>
      </w:r>
      <w:r>
        <w:rPr>
          <w:rFonts w:ascii="Arial" w:hAnsi="Arial"/>
          <w:color w:val="231F1F"/>
          <w:w w:val="355"/>
          <w:position w:val="1"/>
          <w:sz w:val="7"/>
        </w:rPr>
        <w:t>l </w:t>
      </w:r>
      <w:r>
        <w:rPr>
          <w:rFonts w:ascii="Calibri" w:hAnsi="Calibri"/>
          <w:color w:val="008356"/>
          <w:spacing w:val="4"/>
          <w:w w:val="115"/>
          <w:sz w:val="11"/>
        </w:rPr>
        <w:t>CRIZOTINIB </w:t>
      </w:r>
      <w:r>
        <w:rPr>
          <w:color w:val="231F1F"/>
          <w:w w:val="115"/>
        </w:rPr>
        <w:t>and </w:t>
      </w:r>
      <w:r>
        <w:rPr>
          <w:rFonts w:ascii="Calibri" w:hAnsi="Calibri"/>
          <w:color w:val="008356"/>
          <w:spacing w:val="2"/>
          <w:w w:val="115"/>
          <w:sz w:val="11"/>
        </w:rPr>
        <w:t>VINFLUNINE</w:t>
      </w:r>
      <w:r>
        <w:rPr>
          <w:rFonts w:ascii="Arial" w:hAnsi="Arial"/>
          <w:color w:val="231F1F"/>
          <w:spacing w:val="2"/>
          <w:w w:val="115"/>
        </w:rPr>
        <w:t>—</w:t>
      </w:r>
      <w:r>
        <w:rPr>
          <w:color w:val="231F1F"/>
          <w:spacing w:val="2"/>
          <w:w w:val="115"/>
        </w:rPr>
        <w:t>manufacturer </w:t>
      </w:r>
      <w:r>
        <w:rPr>
          <w:color w:val="231F1F"/>
          <w:w w:val="115"/>
        </w:rPr>
        <w:t>of crizotinib and vinflunine advises avoid concomitant use; avoidance of grapefruit juice advised by manufacturer of </w:t>
      </w:r>
      <w:r>
        <w:rPr>
          <w:rFonts w:ascii="Calibri" w:hAnsi="Calibri"/>
          <w:color w:val="008356"/>
          <w:spacing w:val="3"/>
          <w:w w:val="115"/>
          <w:sz w:val="11"/>
        </w:rPr>
        <w:t>DASATINIB </w:t>
      </w:r>
      <w:r>
        <w:rPr>
          <w:color w:val="231F1F"/>
          <w:w w:val="115"/>
        </w:rPr>
        <w:t>(plasma concentration of dasatinib possibly increased); avoidance of grapefruit </w:t>
      </w:r>
      <w:r>
        <w:rPr>
          <w:color w:val="231F1F"/>
          <w:spacing w:val="-4"/>
          <w:w w:val="115"/>
        </w:rPr>
        <w:t>juice </w:t>
      </w:r>
      <w:r>
        <w:rPr>
          <w:color w:val="231F1F"/>
          <w:w w:val="115"/>
        </w:rPr>
        <w:t>advised by manufacturer of </w:t>
      </w:r>
      <w:r>
        <w:rPr>
          <w:rFonts w:ascii="Calibri" w:hAnsi="Calibri"/>
          <w:color w:val="008356"/>
          <w:spacing w:val="4"/>
          <w:w w:val="115"/>
          <w:sz w:val="11"/>
        </w:rPr>
        <w:t>EVEROLIMUS</w:t>
      </w:r>
      <w:r>
        <w:rPr>
          <w:color w:val="231F1F"/>
          <w:spacing w:val="4"/>
          <w:w w:val="115"/>
        </w:rPr>
        <w:t>, </w:t>
      </w:r>
      <w:r>
        <w:rPr>
          <w:rFonts w:ascii="Calibri" w:hAnsi="Calibri"/>
          <w:color w:val="008356"/>
          <w:spacing w:val="4"/>
          <w:w w:val="115"/>
          <w:sz w:val="11"/>
        </w:rPr>
        <w:t>IBRUTINIB</w:t>
      </w:r>
      <w:r>
        <w:rPr>
          <w:color w:val="231F1F"/>
          <w:spacing w:val="4"/>
          <w:w w:val="115"/>
        </w:rPr>
        <w:t>,</w:t>
      </w:r>
    </w:p>
    <w:p>
      <w:pPr>
        <w:spacing w:line="141" w:lineRule="exact" w:before="1"/>
        <w:ind w:left="280" w:right="0" w:firstLine="0"/>
        <w:jc w:val="left"/>
        <w:rPr>
          <w:rFonts w:ascii="Calibri"/>
          <w:sz w:val="11"/>
        </w:rPr>
      </w:pPr>
      <w:r>
        <w:rPr>
          <w:rFonts w:ascii="Arial"/>
          <w:color w:val="231F1F"/>
          <w:w w:val="355"/>
          <w:position w:val="1"/>
          <w:sz w:val="7"/>
        </w:rPr>
        <w:t>l </w:t>
      </w:r>
      <w:r>
        <w:rPr>
          <w:rFonts w:ascii="Calibri"/>
          <w:color w:val="008356"/>
          <w:w w:val="120"/>
          <w:sz w:val="11"/>
        </w:rPr>
        <w:t>LAPATINIB</w:t>
      </w:r>
      <w:r>
        <w:rPr>
          <w:color w:val="231F1F"/>
          <w:w w:val="120"/>
          <w:sz w:val="12"/>
        </w:rPr>
        <w:t>, </w:t>
      </w:r>
      <w:r>
        <w:rPr>
          <w:rFonts w:ascii="Arial"/>
          <w:color w:val="231F1F"/>
          <w:w w:val="355"/>
          <w:position w:val="1"/>
          <w:sz w:val="7"/>
        </w:rPr>
        <w:t>l </w:t>
      </w:r>
      <w:r>
        <w:rPr>
          <w:rFonts w:ascii="Calibri"/>
          <w:color w:val="008356"/>
          <w:w w:val="120"/>
          <w:sz w:val="11"/>
        </w:rPr>
        <w:t>NILOTINIB </w:t>
      </w:r>
      <w:r>
        <w:rPr>
          <w:color w:val="231F1F"/>
          <w:w w:val="120"/>
          <w:sz w:val="12"/>
        </w:rPr>
        <w:t>and </w:t>
      </w:r>
      <w:r>
        <w:rPr>
          <w:rFonts w:ascii="Arial"/>
          <w:color w:val="231F1F"/>
          <w:w w:val="355"/>
          <w:position w:val="1"/>
          <w:sz w:val="7"/>
        </w:rPr>
        <w:t>l </w:t>
      </w:r>
      <w:r>
        <w:rPr>
          <w:rFonts w:ascii="Calibri"/>
          <w:color w:val="008356"/>
          <w:w w:val="120"/>
          <w:sz w:val="11"/>
        </w:rPr>
        <w:t>PAZOPANIB</w:t>
      </w:r>
    </w:p>
    <w:p>
      <w:pPr>
        <w:pStyle w:val="BodyText"/>
        <w:spacing w:line="154" w:lineRule="exact"/>
        <w:ind w:left="180"/>
      </w:pPr>
      <w:r>
        <w:rPr>
          <w:rFonts w:ascii="Lucida Sans Unicode" w:hAnsi="Lucida Sans Unicode"/>
          <w:color w:val="A7A8AC"/>
          <w:w w:val="95"/>
          <w:sz w:val="10"/>
        </w:rPr>
        <w:t>▶ </w:t>
      </w:r>
      <w:r>
        <w:rPr>
          <w:rFonts w:ascii="Calibri" w:hAnsi="Calibri"/>
          <w:color w:val="231F1F"/>
          <w:w w:val="105"/>
        </w:rPr>
        <w:t>Ivabradine: </w:t>
      </w:r>
      <w:r>
        <w:rPr>
          <w:color w:val="231F1F"/>
          <w:w w:val="105"/>
        </w:rPr>
        <w:t>grapefruit juice increases plasma concentration of</w:t>
      </w:r>
    </w:p>
    <w:p>
      <w:pPr>
        <w:spacing w:line="130" w:lineRule="exact" w:before="0"/>
        <w:ind w:left="280" w:right="0" w:firstLine="0"/>
        <w:jc w:val="left"/>
        <w:rPr>
          <w:rFonts w:ascii="Calibri"/>
          <w:sz w:val="11"/>
        </w:rPr>
      </w:pPr>
      <w:r>
        <w:rPr>
          <w:rFonts w:ascii="Calibri"/>
          <w:color w:val="008356"/>
          <w:sz w:val="11"/>
        </w:rPr>
        <w:t>IVABRADINE</w:t>
      </w:r>
    </w:p>
    <w:p>
      <w:pPr>
        <w:pStyle w:val="BodyText"/>
        <w:spacing w:line="230" w:lineRule="auto" w:before="3"/>
        <w:ind w:left="280" w:right="641" w:hanging="100"/>
      </w:pPr>
      <w:r>
        <w:rPr>
          <w:rFonts w:ascii="Lucida Sans Unicode" w:hAnsi="Lucida Sans Unicode"/>
          <w:color w:val="A7A8AC"/>
          <w:w w:val="95"/>
          <w:sz w:val="10"/>
        </w:rPr>
        <w:t>▶ </w:t>
      </w:r>
      <w:r>
        <w:rPr>
          <w:rFonts w:ascii="Calibri" w:hAnsi="Calibri"/>
          <w:color w:val="231F1F"/>
          <w:w w:val="110"/>
        </w:rPr>
        <w:t>Ivacaftor: </w:t>
      </w:r>
      <w:r>
        <w:rPr>
          <w:color w:val="231F1F"/>
          <w:w w:val="110"/>
        </w:rPr>
        <w:t>grapefruit juice possibly increases plasma concentration of </w:t>
      </w:r>
      <w:r>
        <w:rPr>
          <w:rFonts w:ascii="Calibri" w:hAnsi="Calibri"/>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line="242" w:lineRule="auto" w:before="3"/>
        <w:ind w:left="280" w:right="721" w:hanging="100"/>
        <w:rPr>
          <w:rFonts w:ascii="Calibri" w:hAnsi="Calibri"/>
          <w:sz w:val="11"/>
        </w:rPr>
      </w:pPr>
      <w:r>
        <w:rPr>
          <w:rFonts w:ascii="Arial" w:hAnsi="Arial"/>
          <w:color w:val="231F1F"/>
          <w:w w:val="355"/>
          <w:position w:val="1"/>
          <w:sz w:val="7"/>
        </w:rPr>
        <w:t>l </w:t>
      </w:r>
      <w:r>
        <w:rPr>
          <w:rFonts w:ascii="Calibri" w:hAnsi="Calibri"/>
          <w:color w:val="231F1F"/>
          <w:w w:val="115"/>
        </w:rPr>
        <w:t>Lipid-regulating Drugs: </w:t>
      </w:r>
      <w:r>
        <w:rPr>
          <w:color w:val="231F1F"/>
          <w:w w:val="115"/>
        </w:rPr>
        <w:t>grapefruit juice possibly increases plasma concentration of </w:t>
      </w:r>
      <w:r>
        <w:rPr>
          <w:rFonts w:ascii="Calibri" w:hAnsi="Calibri"/>
          <w:color w:val="008356"/>
          <w:spacing w:val="2"/>
          <w:w w:val="115"/>
          <w:sz w:val="11"/>
        </w:rPr>
        <w:t>ATORVASTATIN</w:t>
      </w:r>
      <w:r>
        <w:rPr>
          <w:color w:val="231F1F"/>
          <w:spacing w:val="2"/>
          <w:w w:val="115"/>
        </w:rPr>
        <w:t>; </w:t>
      </w:r>
      <w:r>
        <w:rPr>
          <w:color w:val="231F1F"/>
          <w:w w:val="115"/>
        </w:rPr>
        <w:t>grapefruit juice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SIMVASTATIN</w:t>
      </w:r>
      <w:r>
        <w:rPr>
          <w:rFonts w:ascii="Arial" w:hAnsi="Arial"/>
          <w:color w:val="231F1F"/>
          <w:spacing w:val="2"/>
          <w:w w:val="115"/>
        </w:rPr>
        <w:t>—</w:t>
      </w:r>
      <w:r>
        <w:rPr>
          <w:color w:val="231F1F"/>
          <w:spacing w:val="2"/>
          <w:w w:val="115"/>
        </w:rPr>
        <w:t>avoid </w:t>
      </w:r>
      <w:r>
        <w:rPr>
          <w:color w:val="231F1F"/>
          <w:w w:val="115"/>
        </w:rPr>
        <w:t>concomitant use; avoidance of grapefruit juice advised </w:t>
      </w:r>
      <w:r>
        <w:rPr>
          <w:color w:val="231F1F"/>
          <w:spacing w:val="-8"/>
          <w:w w:val="115"/>
        </w:rPr>
        <w:t>by </w:t>
      </w:r>
      <w:r>
        <w:rPr>
          <w:color w:val="231F1F"/>
          <w:w w:val="115"/>
        </w:rPr>
        <w:t>manufacturer of </w:t>
      </w:r>
      <w:r>
        <w:rPr>
          <w:rFonts w:ascii="Calibri" w:hAnsi="Calibri"/>
          <w:color w:val="008356"/>
          <w:spacing w:val="3"/>
          <w:w w:val="115"/>
          <w:sz w:val="11"/>
        </w:rPr>
        <w:t>LOMITAPIDE</w:t>
      </w:r>
    </w:p>
    <w:p>
      <w:pPr>
        <w:pStyle w:val="BodyText"/>
        <w:spacing w:line="220" w:lineRule="auto" w:before="8"/>
        <w:ind w:left="280"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Pirfenidone: </w:t>
      </w:r>
      <w:r>
        <w:rPr>
          <w:color w:val="231F1F"/>
          <w:w w:val="105"/>
        </w:rPr>
        <w:t>avoidance of grapefruit juice advised by manufacturer of </w:t>
      </w:r>
      <w:r>
        <w:rPr>
          <w:rFonts w:ascii="Calibri" w:hAnsi="Calibri"/>
          <w:color w:val="008356"/>
          <w:w w:val="105"/>
          <w:sz w:val="11"/>
        </w:rPr>
        <w:t>PIRFENIDONE</w:t>
      </w:r>
    </w:p>
    <w:p>
      <w:pPr>
        <w:spacing w:after="0" w:line="220" w:lineRule="auto"/>
        <w:rPr>
          <w:rFonts w:ascii="Calibri" w:hAnsi="Calibri"/>
          <w:sz w:val="11"/>
        </w:rPr>
        <w:sectPr>
          <w:pgSz w:w="8390" w:h="11910"/>
          <w:pgMar w:header="0" w:footer="0" w:top="460" w:bottom="280" w:left="480" w:right="0"/>
          <w:cols w:num="2" w:equalWidth="0">
            <w:col w:w="3643" w:space="40"/>
            <w:col w:w="4227"/>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Grapefruit Juice </w:t>
      </w:r>
      <w:r>
        <w:rPr>
          <w:rFonts w:ascii="Calibri"/>
          <w:color w:val="231F1F"/>
        </w:rPr>
        <w:t>(continued)</w:t>
      </w:r>
    </w:p>
    <w:p>
      <w:pPr>
        <w:pStyle w:val="BodyText"/>
        <w:ind w:hanging="100"/>
      </w:pPr>
      <w:r>
        <w:rPr>
          <w:rFonts w:ascii="Arial" w:hAnsi="Arial"/>
          <w:color w:val="231F1F"/>
          <w:w w:val="355"/>
          <w:position w:val="1"/>
          <w:sz w:val="7"/>
        </w:rPr>
        <w:t>l </w:t>
      </w:r>
      <w:r>
        <w:rPr>
          <w:rFonts w:ascii="Calibri" w:hAnsi="Calibri"/>
          <w:color w:val="231F1F"/>
          <w:w w:val="120"/>
        </w:rPr>
        <w:t>Ranolazine: </w:t>
      </w:r>
      <w:r>
        <w:rPr>
          <w:color w:val="231F1F"/>
          <w:w w:val="120"/>
        </w:rPr>
        <w:t>grapefruit juice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spacing w:line="220" w:lineRule="auto" w:before="8"/>
        <w:ind w:right="76" w:hanging="100"/>
        <w:rPr>
          <w:rFonts w:ascii="Calibri" w:hAnsi="Calibri"/>
          <w:sz w:val="11"/>
        </w:rPr>
      </w:pPr>
      <w:r>
        <w:rPr>
          <w:rFonts w:ascii="Lucida Sans Unicode" w:hAnsi="Lucida Sans Unicode"/>
          <w:color w:val="A7A8AC"/>
          <w:w w:val="95"/>
          <w:sz w:val="10"/>
        </w:rPr>
        <w:t>▶ </w:t>
      </w:r>
      <w:r>
        <w:rPr>
          <w:rFonts w:ascii="Calibri" w:hAnsi="Calibri"/>
          <w:color w:val="231F1F"/>
          <w:w w:val="105"/>
        </w:rPr>
        <w:t>Sildenafil: </w:t>
      </w:r>
      <w:r>
        <w:rPr>
          <w:color w:val="231F1F"/>
          <w:w w:val="105"/>
        </w:rPr>
        <w:t>grapefruit juice possibly increases plasma concentration of </w:t>
      </w:r>
      <w:r>
        <w:rPr>
          <w:rFonts w:ascii="Calibri" w:hAnsi="Calibri"/>
          <w:color w:val="008356"/>
          <w:w w:val="105"/>
          <w:sz w:val="11"/>
        </w:rPr>
        <w:t>SILDENAFIL</w:t>
      </w:r>
    </w:p>
    <w:p>
      <w:pPr>
        <w:pStyle w:val="BodyText"/>
        <w:spacing w:line="145" w:lineRule="exact"/>
        <w:ind w:left="108"/>
      </w:pPr>
      <w:r>
        <w:rPr>
          <w:rFonts w:ascii="Arial"/>
          <w:color w:val="231F1F"/>
          <w:w w:val="355"/>
          <w:position w:val="1"/>
          <w:sz w:val="7"/>
        </w:rPr>
        <w:t>l</w:t>
      </w:r>
      <w:r>
        <w:rPr>
          <w:rFonts w:ascii="Arial"/>
          <w:color w:val="231F1F"/>
          <w:spacing w:val="-53"/>
          <w:w w:val="355"/>
          <w:position w:val="1"/>
          <w:sz w:val="7"/>
        </w:rPr>
        <w:t> </w:t>
      </w:r>
      <w:r>
        <w:rPr>
          <w:rFonts w:ascii="Calibri"/>
          <w:color w:val="231F1F"/>
          <w:w w:val="120"/>
        </w:rPr>
        <w:t>Sirolimus:</w:t>
      </w:r>
      <w:r>
        <w:rPr>
          <w:rFonts w:ascii="Calibri"/>
          <w:color w:val="231F1F"/>
          <w:spacing w:val="-19"/>
          <w:w w:val="120"/>
        </w:rPr>
        <w:t> </w:t>
      </w:r>
      <w:r>
        <w:rPr>
          <w:color w:val="231F1F"/>
          <w:w w:val="120"/>
        </w:rPr>
        <w:t>grapefruit</w:t>
      </w:r>
      <w:r>
        <w:rPr>
          <w:color w:val="231F1F"/>
          <w:spacing w:val="-23"/>
          <w:w w:val="120"/>
        </w:rPr>
        <w:t> </w:t>
      </w:r>
      <w:r>
        <w:rPr>
          <w:color w:val="231F1F"/>
          <w:w w:val="120"/>
        </w:rPr>
        <w:t>juice</w:t>
      </w:r>
      <w:r>
        <w:rPr>
          <w:color w:val="231F1F"/>
          <w:spacing w:val="-23"/>
          <w:w w:val="120"/>
        </w:rPr>
        <w:t> </w:t>
      </w:r>
      <w:r>
        <w:rPr>
          <w:color w:val="231F1F"/>
          <w:w w:val="120"/>
        </w:rPr>
        <w:t>increases</w:t>
      </w:r>
      <w:r>
        <w:rPr>
          <w:color w:val="231F1F"/>
          <w:spacing w:val="-23"/>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p>
    <w:p>
      <w:pPr>
        <w:spacing w:line="140"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5"/>
          <w:sz w:val="11"/>
        </w:rPr>
        <w:t>SIROLIMUS</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45" w:lineRule="exact"/>
        <w:ind w:left="108"/>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Tacrolimus:</w:t>
      </w:r>
      <w:r>
        <w:rPr>
          <w:rFonts w:ascii="Calibri"/>
          <w:color w:val="231F1F"/>
          <w:spacing w:val="-10"/>
          <w:w w:val="115"/>
        </w:rPr>
        <w:t> </w:t>
      </w:r>
      <w:r>
        <w:rPr>
          <w:color w:val="231F1F"/>
          <w:w w:val="115"/>
        </w:rPr>
        <w:t>grapefruit</w:t>
      </w:r>
      <w:r>
        <w:rPr>
          <w:color w:val="231F1F"/>
          <w:spacing w:val="-13"/>
          <w:w w:val="115"/>
        </w:rPr>
        <w:t> </w:t>
      </w:r>
      <w:r>
        <w:rPr>
          <w:color w:val="231F1F"/>
          <w:w w:val="115"/>
        </w:rPr>
        <w:t>juice</w:t>
      </w:r>
      <w:r>
        <w:rPr>
          <w:color w:val="231F1F"/>
          <w:spacing w:val="-13"/>
          <w:w w:val="115"/>
        </w:rPr>
        <w:t> </w:t>
      </w:r>
      <w:r>
        <w:rPr>
          <w:color w:val="231F1F"/>
          <w:w w:val="115"/>
        </w:rPr>
        <w:t>increases</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220" w:lineRule="auto" w:before="7"/>
        <w:ind w:right="249" w:hanging="100"/>
        <w:rPr>
          <w:rFonts w:ascii="Calibri" w:hAnsi="Calibri"/>
          <w:sz w:val="11"/>
        </w:rPr>
      </w:pPr>
      <w:r>
        <w:rPr>
          <w:rFonts w:ascii="Lucida Sans Unicode" w:hAnsi="Lucida Sans Unicode"/>
          <w:color w:val="A7A8AC"/>
          <w:w w:val="95"/>
          <w:sz w:val="10"/>
        </w:rPr>
        <w:t>▶ </w:t>
      </w:r>
      <w:r>
        <w:rPr>
          <w:rFonts w:ascii="Calibri" w:hAnsi="Calibri"/>
          <w:color w:val="231F1F"/>
          <w:w w:val="105"/>
        </w:rPr>
        <w:t>Tadalafil: </w:t>
      </w:r>
      <w:r>
        <w:rPr>
          <w:color w:val="231F1F"/>
          <w:w w:val="105"/>
        </w:rPr>
        <w:t>grapefruit juice possibly increases plasma concentration of </w:t>
      </w:r>
      <w:r>
        <w:rPr>
          <w:rFonts w:ascii="Calibri" w:hAnsi="Calibri"/>
          <w:color w:val="008356"/>
          <w:w w:val="105"/>
          <w:sz w:val="11"/>
        </w:rPr>
        <w:t>TADALAFIL</w:t>
      </w:r>
    </w:p>
    <w:p>
      <w:pPr>
        <w:pStyle w:val="BodyText"/>
        <w:spacing w:line="145" w:lineRule="exact"/>
        <w:ind w:left="108"/>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Tolvaptan:</w:t>
      </w:r>
      <w:r>
        <w:rPr>
          <w:rFonts w:ascii="Calibri"/>
          <w:color w:val="231F1F"/>
          <w:spacing w:val="-8"/>
          <w:w w:val="115"/>
        </w:rPr>
        <w:t> </w:t>
      </w:r>
      <w:r>
        <w:rPr>
          <w:color w:val="231F1F"/>
          <w:w w:val="115"/>
        </w:rPr>
        <w:t>grapefruit</w:t>
      </w:r>
      <w:r>
        <w:rPr>
          <w:color w:val="231F1F"/>
          <w:spacing w:val="-12"/>
          <w:w w:val="115"/>
        </w:rPr>
        <w:t> </w:t>
      </w:r>
      <w:r>
        <w:rPr>
          <w:color w:val="231F1F"/>
          <w:w w:val="115"/>
        </w:rPr>
        <w:t>juice</w:t>
      </w:r>
      <w:r>
        <w:rPr>
          <w:color w:val="231F1F"/>
          <w:spacing w:val="-11"/>
          <w:w w:val="115"/>
        </w:rPr>
        <w:t> </w:t>
      </w:r>
      <w:r>
        <w:rPr>
          <w:color w:val="231F1F"/>
          <w:w w:val="115"/>
        </w:rPr>
        <w:t>increases</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0"/>
          <w:w w:val="115"/>
        </w:rPr>
        <w:t> </w:t>
      </w:r>
      <w:r>
        <w:rPr>
          <w:color w:val="231F1F"/>
          <w:w w:val="115"/>
        </w:rPr>
        <w:t>of</w:t>
      </w:r>
    </w:p>
    <w:p>
      <w:pPr>
        <w:spacing w:line="140" w:lineRule="exact" w:before="0"/>
        <w:ind w:left="208" w:right="0" w:firstLine="0"/>
        <w:jc w:val="left"/>
        <w:rPr>
          <w:sz w:val="12"/>
        </w:rPr>
      </w:pPr>
      <w:r>
        <w:rPr>
          <w:rFonts w:ascii="Arial" w:hAnsi="Arial"/>
          <w:color w:val="231F1F"/>
          <w:w w:val="130"/>
          <w:position w:val="1"/>
          <w:sz w:val="7"/>
        </w:rPr>
        <w:t>l</w:t>
      </w:r>
      <w:r>
        <w:rPr>
          <w:rFonts w:ascii="Arial" w:hAnsi="Arial"/>
          <w:color w:val="231F1F"/>
          <w:spacing w:val="-16"/>
          <w:w w:val="130"/>
          <w:position w:val="1"/>
          <w:sz w:val="7"/>
        </w:rPr>
        <w:t> </w:t>
      </w:r>
      <w:r>
        <w:rPr>
          <w:rFonts w:ascii="Calibri" w:hAnsi="Calibri"/>
          <w:color w:val="008356"/>
          <w:w w:val="115"/>
          <w:sz w:val="11"/>
        </w:rPr>
        <w:t>TOLVAPTAN</w:t>
      </w:r>
      <w:r>
        <w:rPr>
          <w:rFonts w:ascii="Arial" w:hAnsi="Arial"/>
          <w:color w:val="231F1F"/>
          <w:w w:val="115"/>
          <w:sz w:val="12"/>
        </w:rPr>
        <w:t>—</w:t>
      </w:r>
      <w:r>
        <w:rPr>
          <w:color w:val="231F1F"/>
          <w:w w:val="115"/>
          <w:sz w:val="12"/>
        </w:rPr>
        <w:t>avoid</w:t>
      </w:r>
      <w:r>
        <w:rPr>
          <w:color w:val="231F1F"/>
          <w:spacing w:val="-25"/>
          <w:w w:val="115"/>
          <w:sz w:val="12"/>
        </w:rPr>
        <w:t> </w:t>
      </w:r>
      <w:r>
        <w:rPr>
          <w:color w:val="231F1F"/>
          <w:w w:val="115"/>
          <w:sz w:val="12"/>
        </w:rPr>
        <w:t>concomitant</w:t>
      </w:r>
      <w:r>
        <w:rPr>
          <w:color w:val="231F1F"/>
          <w:spacing w:val="-24"/>
          <w:w w:val="115"/>
          <w:sz w:val="12"/>
        </w:rPr>
        <w:t> </w:t>
      </w:r>
      <w:r>
        <w:rPr>
          <w:color w:val="231F1F"/>
          <w:w w:val="115"/>
          <w:sz w:val="12"/>
        </w:rPr>
        <w:t>use</w:t>
      </w:r>
    </w:p>
    <w:p>
      <w:pPr>
        <w:spacing w:line="220" w:lineRule="auto" w:before="7"/>
        <w:ind w:left="208" w:right="68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Ulipristal: </w:t>
      </w:r>
      <w:r>
        <w:rPr>
          <w:color w:val="231F1F"/>
          <w:w w:val="110"/>
          <w:sz w:val="12"/>
        </w:rPr>
        <w:t>avoidance of grapefruit juice advised </w:t>
      </w:r>
      <w:r>
        <w:rPr>
          <w:color w:val="231F1F"/>
          <w:spacing w:val="-7"/>
          <w:w w:val="110"/>
          <w:sz w:val="12"/>
        </w:rPr>
        <w:t>by </w:t>
      </w:r>
      <w:r>
        <w:rPr>
          <w:color w:val="231F1F"/>
          <w:w w:val="110"/>
          <w:sz w:val="12"/>
        </w:rPr>
        <w:t>manufacturer of </w:t>
      </w:r>
      <w:r>
        <w:rPr>
          <w:i/>
          <w:color w:val="231F1F"/>
          <w:w w:val="110"/>
          <w:sz w:val="12"/>
        </w:rPr>
        <w:t>low-dose</w:t>
      </w:r>
      <w:r>
        <w:rPr>
          <w:i/>
          <w:color w:val="231F1F"/>
          <w:spacing w:val="-7"/>
          <w:w w:val="110"/>
          <w:sz w:val="12"/>
        </w:rPr>
        <w:t> </w:t>
      </w:r>
      <w:r>
        <w:rPr>
          <w:rFonts w:ascii="Calibri" w:hAnsi="Calibri"/>
          <w:color w:val="008356"/>
          <w:spacing w:val="4"/>
          <w:w w:val="110"/>
          <w:sz w:val="11"/>
        </w:rPr>
        <w:t>ULIPRISTAL</w:t>
      </w:r>
    </w:p>
    <w:p>
      <w:pPr>
        <w:pStyle w:val="BodyText"/>
        <w:spacing w:before="1"/>
        <w:ind w:right="288" w:hanging="100"/>
      </w:pPr>
      <w:r>
        <w:rPr>
          <w:rFonts w:ascii="Arial" w:hAnsi="Arial"/>
          <w:color w:val="231F1F"/>
          <w:w w:val="355"/>
          <w:position w:val="1"/>
          <w:sz w:val="7"/>
        </w:rPr>
        <w:t>l </w:t>
      </w:r>
      <w:r>
        <w:rPr>
          <w:rFonts w:ascii="Calibri" w:hAnsi="Calibri"/>
          <w:color w:val="231F1F"/>
          <w:w w:val="115"/>
        </w:rPr>
        <w:t>Vardenafil: </w:t>
      </w:r>
      <w:r>
        <w:rPr>
          <w:color w:val="231F1F"/>
          <w:w w:val="115"/>
        </w:rPr>
        <w:t>grapefruit juice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before="6"/>
        <w:ind w:left="108"/>
        <w:rPr>
          <w:rFonts w:ascii="Trebuchet MS"/>
        </w:rPr>
      </w:pPr>
      <w:r>
        <w:rPr>
          <w:rFonts w:ascii="Trebuchet MS"/>
          <w:color w:val="008356"/>
        </w:rPr>
        <w:t>Griseofulvin</w:t>
      </w:r>
    </w:p>
    <w:p>
      <w:pPr>
        <w:pStyle w:val="BodyText"/>
        <w:spacing w:line="150"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griseofulvin possibly enhances effects of </w:t>
      </w:r>
      <w:r>
        <w:rPr>
          <w:rFonts w:ascii="Calibri" w:hAnsi="Calibri"/>
          <w:color w:val="008356"/>
          <w:w w:val="105"/>
          <w:sz w:val="11"/>
        </w:rPr>
        <w:t>ALCOHOL</w:t>
      </w:r>
    </w:p>
    <w:p>
      <w:pPr>
        <w:pStyle w:val="BodyText"/>
        <w:spacing w:line="138" w:lineRule="exact"/>
        <w:ind w:left="108"/>
      </w:pPr>
      <w:r>
        <w:rPr>
          <w:rFonts w:ascii="Arial"/>
          <w:color w:val="231F1F"/>
          <w:w w:val="355"/>
          <w:position w:val="1"/>
          <w:sz w:val="7"/>
        </w:rPr>
        <w:t>l </w:t>
      </w:r>
      <w:r>
        <w:rPr>
          <w:rFonts w:ascii="Calibri"/>
          <w:color w:val="231F1F"/>
          <w:w w:val="115"/>
        </w:rPr>
        <w:t>Anticoagulants: </w:t>
      </w:r>
      <w:r>
        <w:rPr>
          <w:color w:val="231F1F"/>
          <w:w w:val="115"/>
        </w:rPr>
        <w:t>griseofulvin reduces anticoagulant effect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absorption of griseofulvin reduced by</w:t>
      </w:r>
    </w:p>
    <w:p>
      <w:pPr>
        <w:spacing w:line="134" w:lineRule="exact" w:before="0"/>
        <w:ind w:left="208" w:right="0" w:firstLine="0"/>
        <w:jc w:val="left"/>
        <w:rPr>
          <w:sz w:val="12"/>
        </w:rPr>
      </w:pPr>
      <w:r>
        <w:rPr>
          <w:rFonts w:ascii="Calibri"/>
          <w:color w:val="008356"/>
          <w:w w:val="105"/>
          <w:sz w:val="11"/>
        </w:rPr>
        <w:t>PHENOBARBITAL </w:t>
      </w:r>
      <w:r>
        <w:rPr>
          <w:color w:val="231F1F"/>
          <w:w w:val="105"/>
          <w:sz w:val="12"/>
        </w:rPr>
        <w:t>and </w:t>
      </w:r>
      <w:r>
        <w:rPr>
          <w:rFonts w:ascii="Calibri"/>
          <w:color w:val="008356"/>
          <w:w w:val="105"/>
          <w:sz w:val="11"/>
        </w:rPr>
        <w:t>PRIMIDONE </w:t>
      </w:r>
      <w:r>
        <w:rPr>
          <w:color w:val="231F1F"/>
          <w:w w:val="105"/>
          <w:sz w:val="12"/>
        </w:rPr>
        <w:t>(reduced effect)</w:t>
      </w:r>
    </w:p>
    <w:p>
      <w:pPr>
        <w:pStyle w:val="BodyText"/>
        <w:spacing w:line="220" w:lineRule="auto" w:before="8"/>
        <w:ind w:right="249"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griseofulvin possibly reduces plasma concentration of </w:t>
      </w:r>
      <w:r>
        <w:rPr>
          <w:rFonts w:ascii="Calibri" w:hAnsi="Calibri"/>
          <w:color w:val="008356"/>
          <w:w w:val="105"/>
          <w:sz w:val="11"/>
        </w:rPr>
        <w:t>CICLOSPORIN</w:t>
      </w:r>
    </w:p>
    <w:p>
      <w:pPr>
        <w:pStyle w:val="BodyText"/>
        <w:spacing w:line="242"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anecdotal reports of contraceptive failure and menstrual irregularities when griseofulvin given with </w:t>
      </w:r>
      <w:r>
        <w:rPr>
          <w:rFonts w:ascii="Calibri" w:hAnsi="Calibri"/>
          <w:color w:val="008356"/>
          <w:w w:val="110"/>
          <w:sz w:val="11"/>
        </w:rPr>
        <w:t>OESTROGENS</w:t>
      </w:r>
    </w:p>
    <w:p>
      <w:pPr>
        <w:pStyle w:val="BodyText"/>
        <w:spacing w:line="220" w:lineRule="auto" w:before="2"/>
        <w:ind w:hanging="100"/>
      </w:pPr>
      <w:r>
        <w:rPr>
          <w:rFonts w:ascii="Lucida Sans Unicode" w:hAnsi="Lucida Sans Unicode"/>
          <w:color w:val="A7A8AC"/>
          <w:w w:val="95"/>
          <w:sz w:val="10"/>
        </w:rPr>
        <w:t>▶ </w:t>
      </w:r>
      <w:r>
        <w:rPr>
          <w:rFonts w:ascii="Calibri" w:hAnsi="Calibri"/>
          <w:color w:val="231F1F"/>
          <w:w w:val="110"/>
        </w:rPr>
        <w:t>Progestogens: </w:t>
      </w:r>
      <w:r>
        <w:rPr>
          <w:color w:val="231F1F"/>
          <w:w w:val="110"/>
        </w:rPr>
        <w:t>anecdotal reports of contraceptive failure and menstrual irregularities when griseofulvin given with</w:t>
      </w:r>
    </w:p>
    <w:p>
      <w:pPr>
        <w:spacing w:before="15"/>
        <w:ind w:left="208" w:right="0" w:firstLine="0"/>
        <w:jc w:val="left"/>
        <w:rPr>
          <w:rFonts w:ascii="Calibri"/>
          <w:sz w:val="11"/>
        </w:rPr>
      </w:pPr>
      <w:r>
        <w:rPr>
          <w:rFonts w:ascii="Calibri"/>
          <w:color w:val="008356"/>
          <w:sz w:val="11"/>
        </w:rPr>
        <w:t>PROGESTOGENS</w:t>
      </w:r>
    </w:p>
    <w:p>
      <w:pPr>
        <w:pStyle w:val="BodyText"/>
        <w:spacing w:before="7"/>
        <w:ind w:left="108"/>
      </w:pPr>
      <w:r>
        <w:rPr>
          <w:rFonts w:ascii="Trebuchet MS"/>
          <w:color w:val="008356"/>
          <w:w w:val="110"/>
        </w:rPr>
        <w:t>Guanethidine </w:t>
      </w:r>
      <w:r>
        <w:rPr>
          <w:i/>
          <w:color w:val="231F1F"/>
          <w:w w:val="110"/>
        </w:rPr>
        <w:t>see </w:t>
      </w:r>
      <w:r>
        <w:rPr>
          <w:color w:val="231F1F"/>
          <w:w w:val="110"/>
        </w:rPr>
        <w:t>Adrenergic Neurone Blockers</w:t>
      </w:r>
    </w:p>
    <w:p>
      <w:pPr>
        <w:pStyle w:val="BodyText"/>
        <w:spacing w:line="256" w:lineRule="auto" w:before="10"/>
        <w:ind w:left="108" w:right="1406"/>
      </w:pPr>
      <w:r>
        <w:rPr>
          <w:rFonts w:ascii="Trebuchet MS"/>
          <w:color w:val="008356"/>
          <w:w w:val="105"/>
        </w:rPr>
        <w:t>Haemophilus Vaccine </w:t>
      </w:r>
      <w:r>
        <w:rPr>
          <w:i/>
          <w:color w:val="231F1F"/>
          <w:w w:val="105"/>
        </w:rPr>
        <w:t>see </w:t>
      </w:r>
      <w:r>
        <w:rPr>
          <w:color w:val="231F1F"/>
          <w:w w:val="105"/>
        </w:rPr>
        <w:t>Vaccines </w:t>
      </w:r>
      <w:r>
        <w:rPr>
          <w:rFonts w:ascii="Trebuchet MS"/>
          <w:color w:val="008356"/>
          <w:w w:val="105"/>
        </w:rPr>
        <w:t>Haloperidol </w:t>
      </w:r>
      <w:r>
        <w:rPr>
          <w:i/>
          <w:color w:val="231F1F"/>
          <w:w w:val="105"/>
        </w:rPr>
        <w:t>see </w:t>
      </w:r>
      <w:r>
        <w:rPr>
          <w:color w:val="231F1F"/>
          <w:w w:val="105"/>
        </w:rPr>
        <w:t>Antipsychotics </w:t>
      </w:r>
      <w:r>
        <w:rPr>
          <w:rFonts w:ascii="Trebuchet MS"/>
          <w:color w:val="008356"/>
          <w:w w:val="105"/>
        </w:rPr>
        <w:t>Heparin </w:t>
      </w:r>
      <w:r>
        <w:rPr>
          <w:i/>
          <w:color w:val="231F1F"/>
          <w:w w:val="105"/>
        </w:rPr>
        <w:t>see </w:t>
      </w:r>
      <w:r>
        <w:rPr>
          <w:color w:val="231F1F"/>
          <w:w w:val="105"/>
        </w:rPr>
        <w:t>Heparins</w:t>
      </w:r>
    </w:p>
    <w:p>
      <w:pPr>
        <w:pStyle w:val="BodyText"/>
        <w:spacing w:before="1"/>
        <w:ind w:left="108"/>
        <w:rPr>
          <w:rFonts w:ascii="Trebuchet MS"/>
        </w:rPr>
      </w:pPr>
      <w:r>
        <w:rPr>
          <w:rFonts w:ascii="Trebuchet MS"/>
          <w:color w:val="008356"/>
          <w:w w:val="105"/>
        </w:rPr>
        <w:t>Heparins</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increased risk of hyperkalaemia when heparins given with </w:t>
      </w:r>
      <w:r>
        <w:rPr>
          <w:rFonts w:ascii="Calibri" w:hAnsi="Calibri"/>
          <w:color w:val="008356"/>
          <w:w w:val="105"/>
          <w:sz w:val="11"/>
        </w:rPr>
        <w:t>ACE INHIBITORS</w:t>
      </w:r>
    </w:p>
    <w:p>
      <w:pPr>
        <w:pStyle w:val="BodyText"/>
        <w:spacing w:line="220" w:lineRule="auto" w:before="8"/>
        <w:ind w:right="249" w:hanging="100"/>
        <w:rPr>
          <w:rFonts w:ascii="Calibri" w:hAnsi="Calibri"/>
          <w:sz w:val="11"/>
        </w:rPr>
      </w:pPr>
      <w:r>
        <w:rPr>
          <w:rFonts w:ascii="Lucida Sans Unicode" w:hAnsi="Lucida Sans Unicode"/>
          <w:color w:val="A7A8AC"/>
          <w:w w:val="95"/>
          <w:sz w:val="10"/>
        </w:rPr>
        <w:t>▶ </w:t>
      </w:r>
      <w:r>
        <w:rPr>
          <w:rFonts w:ascii="Calibri" w:hAnsi="Calibri"/>
          <w:color w:val="231F1F"/>
          <w:w w:val="110"/>
        </w:rPr>
        <w:t>Aliskiren: </w:t>
      </w:r>
      <w:r>
        <w:rPr>
          <w:color w:val="231F1F"/>
          <w:w w:val="110"/>
        </w:rPr>
        <w:t>increased risk of hyperkalaemia when heparins given with </w:t>
      </w:r>
      <w:r>
        <w:rPr>
          <w:rFonts w:ascii="Calibri" w:hAnsi="Calibri"/>
          <w:color w:val="008356"/>
          <w:w w:val="110"/>
          <w:sz w:val="11"/>
        </w:rPr>
        <w:t>ALISKIREN</w:t>
      </w:r>
    </w:p>
    <w:p>
      <w:pPr>
        <w:pStyle w:val="BodyText"/>
        <w:spacing w:line="244" w:lineRule="auto"/>
        <w:ind w:right="82" w:hanging="100"/>
      </w:pPr>
      <w:r>
        <w:rPr>
          <w:rFonts w:ascii="Arial"/>
          <w:color w:val="231F1F"/>
          <w:w w:val="355"/>
          <w:position w:val="1"/>
          <w:sz w:val="7"/>
        </w:rPr>
        <w:t>l </w:t>
      </w:r>
      <w:r>
        <w:rPr>
          <w:rFonts w:ascii="Calibri"/>
          <w:color w:val="231F1F"/>
          <w:w w:val="110"/>
        </w:rPr>
        <w:t>Analgesics: </w:t>
      </w:r>
      <w:r>
        <w:rPr>
          <w:color w:val="231F1F"/>
          <w:w w:val="110"/>
        </w:rPr>
        <w:t>possible increased risk of bleeding when heparins given with </w:t>
      </w:r>
      <w:r>
        <w:rPr>
          <w:rFonts w:ascii="Calibri"/>
          <w:color w:val="008356"/>
          <w:spacing w:val="4"/>
          <w:w w:val="110"/>
          <w:sz w:val="11"/>
        </w:rPr>
        <w:t>NSAID</w:t>
      </w:r>
      <w:r>
        <w:rPr>
          <w:rFonts w:ascii="Calibri"/>
          <w:color w:val="008356"/>
          <w:spacing w:val="4"/>
          <w:w w:val="110"/>
          <w:sz w:val="9"/>
        </w:rPr>
        <w:t>S</w:t>
      </w:r>
      <w:r>
        <w:rPr>
          <w:color w:val="231F1F"/>
          <w:spacing w:val="4"/>
          <w:w w:val="110"/>
        </w:rPr>
        <w:t>;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spacing w:val="4"/>
          <w:w w:val="110"/>
          <w:sz w:val="11"/>
        </w:rPr>
        <w:t>DICLOFENAC </w:t>
      </w:r>
      <w:r>
        <w:rPr>
          <w:color w:val="231F1F"/>
          <w:w w:val="110"/>
        </w:rPr>
        <w:t>(avoid concomitant use, including low-dose heparins);  increased risk of haemorrhage when anticoagulants given</w:t>
      </w:r>
      <w:r>
        <w:rPr>
          <w:color w:val="231F1F"/>
          <w:spacing w:val="17"/>
          <w:w w:val="110"/>
        </w:rPr>
        <w:t> </w:t>
      </w:r>
      <w:r>
        <w:rPr>
          <w:color w:val="231F1F"/>
          <w:w w:val="110"/>
        </w:rPr>
        <w:t>with</w:t>
      </w:r>
    </w:p>
    <w:p>
      <w:pPr>
        <w:pStyle w:val="BodyText"/>
        <w:spacing w:line="252" w:lineRule="auto"/>
        <w:ind w:right="275"/>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KETOROLAC</w:t>
      </w:r>
      <w:r>
        <w:rPr>
          <w:rFonts w:ascii="Calibri"/>
          <w:color w:val="008356"/>
          <w:spacing w:val="-13"/>
          <w:w w:val="115"/>
          <w:sz w:val="11"/>
        </w:rPr>
        <w:t> </w:t>
      </w:r>
      <w:r>
        <w:rPr>
          <w:color w:val="231F1F"/>
          <w:w w:val="115"/>
        </w:rPr>
        <w:t>(avoid</w:t>
      </w:r>
      <w:r>
        <w:rPr>
          <w:color w:val="231F1F"/>
          <w:spacing w:val="-21"/>
          <w:w w:val="115"/>
        </w:rPr>
        <w:t> </w:t>
      </w:r>
      <w:r>
        <w:rPr>
          <w:color w:val="231F1F"/>
          <w:w w:val="115"/>
        </w:rPr>
        <w:t>concomitant</w:t>
      </w:r>
      <w:r>
        <w:rPr>
          <w:color w:val="231F1F"/>
          <w:spacing w:val="-22"/>
          <w:w w:val="115"/>
        </w:rPr>
        <w:t> </w:t>
      </w:r>
      <w:r>
        <w:rPr>
          <w:color w:val="231F1F"/>
          <w:w w:val="115"/>
        </w:rPr>
        <w:t>use,</w:t>
      </w:r>
      <w:r>
        <w:rPr>
          <w:color w:val="231F1F"/>
          <w:spacing w:val="-21"/>
          <w:w w:val="115"/>
        </w:rPr>
        <w:t> </w:t>
      </w:r>
      <w:r>
        <w:rPr>
          <w:color w:val="231F1F"/>
          <w:w w:val="115"/>
        </w:rPr>
        <w:t>including</w:t>
      </w:r>
      <w:r>
        <w:rPr>
          <w:color w:val="231F1F"/>
          <w:spacing w:val="-22"/>
          <w:w w:val="115"/>
        </w:rPr>
        <w:t> </w:t>
      </w:r>
      <w:r>
        <w:rPr>
          <w:color w:val="231F1F"/>
          <w:w w:val="115"/>
        </w:rPr>
        <w:t>low-dose heparins); anticoagulant effect of heparins enhanced by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5"/>
          <w:sz w:val="11"/>
        </w:rPr>
        <w:t>ASPIRIN</w:t>
      </w:r>
    </w:p>
    <w:p>
      <w:pPr>
        <w:pStyle w:val="BodyText"/>
        <w:spacing w:line="144" w:lineRule="exact"/>
        <w:ind w:left="108"/>
      </w:pPr>
      <w:r>
        <w:rPr>
          <w:rFonts w:ascii="Lucida Sans Unicode" w:hAnsi="Lucida Sans Unicode"/>
          <w:color w:val="A7A8AC"/>
          <w:w w:val="95"/>
          <w:sz w:val="10"/>
        </w:rPr>
        <w:t>▶ </w:t>
      </w:r>
      <w:r>
        <w:rPr>
          <w:rFonts w:ascii="Calibri" w:hAnsi="Calibri"/>
          <w:color w:val="231F1F"/>
        </w:rPr>
        <w:t>Angiotensin-II Receptor Antagonists: </w:t>
      </w:r>
      <w:r>
        <w:rPr>
          <w:color w:val="231F1F"/>
        </w:rPr>
        <w:t>increased risk of</w:t>
      </w:r>
    </w:p>
    <w:p>
      <w:pPr>
        <w:spacing w:line="254" w:lineRule="auto" w:before="0"/>
        <w:ind w:left="208" w:right="76" w:firstLine="0"/>
        <w:jc w:val="left"/>
        <w:rPr>
          <w:rFonts w:ascii="Calibri"/>
          <w:sz w:val="11"/>
        </w:rPr>
      </w:pPr>
      <w:r>
        <w:rPr>
          <w:color w:val="231F1F"/>
          <w:w w:val="105"/>
          <w:sz w:val="12"/>
        </w:rPr>
        <w:t>hyperkalaemia when heparins given with </w:t>
      </w:r>
      <w:r>
        <w:rPr>
          <w:rFonts w:ascii="Calibri"/>
          <w:color w:val="008356"/>
          <w:w w:val="105"/>
          <w:sz w:val="11"/>
        </w:rPr>
        <w:t>ANGIOTENSIN-II RECEPTOR ANTAGONISTS</w:t>
      </w:r>
    </w:p>
    <w:p>
      <w:pPr>
        <w:pStyle w:val="BodyText"/>
        <w:spacing w:line="136" w:lineRule="exact"/>
        <w:ind w:left="108"/>
      </w:pPr>
      <w:r>
        <w:rPr>
          <w:rFonts w:ascii="Arial"/>
          <w:color w:val="231F1F"/>
          <w:w w:val="355"/>
          <w:position w:val="1"/>
          <w:sz w:val="7"/>
        </w:rPr>
        <w:t>l </w:t>
      </w:r>
      <w:r>
        <w:rPr>
          <w:rFonts w:ascii="Calibri"/>
          <w:color w:val="231F1F"/>
          <w:w w:val="110"/>
        </w:rPr>
        <w:t>Anticoagulants: </w:t>
      </w:r>
      <w:r>
        <w:rPr>
          <w:color w:val="231F1F"/>
          <w:w w:val="110"/>
        </w:rPr>
        <w:t>increased risk of haemorrhage when other</w:t>
      </w:r>
    </w:p>
    <w:p>
      <w:pPr>
        <w:pStyle w:val="BodyText"/>
        <w:spacing w:line="244" w:lineRule="auto"/>
        <w:ind w:right="254"/>
      </w:pPr>
      <w:r>
        <w:rPr>
          <w:color w:val="231F1F"/>
          <w:w w:val="110"/>
        </w:rPr>
        <w:t>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spacing w:line="220" w:lineRule="auto" w:before="2"/>
        <w:ind w:right="177" w:hanging="100"/>
        <w:rPr>
          <w:rFonts w:ascii="Calibri" w:hAnsi="Calibri"/>
          <w:sz w:val="11"/>
        </w:rPr>
      </w:pPr>
      <w:r>
        <w:rPr>
          <w:rFonts w:ascii="Lucida Sans Unicode" w:hAnsi="Lucida Sans Unicode"/>
          <w:color w:val="A7A8AC"/>
          <w:w w:val="95"/>
          <w:sz w:val="10"/>
        </w:rPr>
        <w:t>▶ </w:t>
      </w:r>
      <w:r>
        <w:rPr>
          <w:rFonts w:ascii="Calibri" w:hAnsi="Calibri"/>
          <w:color w:val="231F1F"/>
          <w:w w:val="110"/>
        </w:rPr>
        <w:t>Clopidogrel: </w:t>
      </w:r>
      <w:r>
        <w:rPr>
          <w:color w:val="231F1F"/>
          <w:w w:val="110"/>
        </w:rPr>
        <w:t>increased risk of bleeding when heparins given with </w:t>
      </w:r>
      <w:r>
        <w:rPr>
          <w:rFonts w:ascii="Calibri" w:hAnsi="Calibri"/>
          <w:color w:val="008356"/>
          <w:w w:val="110"/>
          <w:sz w:val="11"/>
        </w:rPr>
        <w:t>CLOPIDOGREL</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Dipyridamole: </w:t>
      </w:r>
      <w:r>
        <w:rPr>
          <w:color w:val="231F1F"/>
          <w:w w:val="105"/>
        </w:rPr>
        <w:t>anticoagulant effect of heparins enhanced by</w:t>
      </w:r>
    </w:p>
    <w:p>
      <w:pPr>
        <w:spacing w:line="130" w:lineRule="exact" w:before="0"/>
        <w:ind w:left="208" w:right="0" w:firstLine="0"/>
        <w:jc w:val="left"/>
        <w:rPr>
          <w:rFonts w:ascii="Calibri"/>
          <w:sz w:val="11"/>
        </w:rPr>
      </w:pPr>
      <w:r>
        <w:rPr>
          <w:rFonts w:ascii="Calibri"/>
          <w:color w:val="008356"/>
          <w:sz w:val="11"/>
        </w:rPr>
        <w:t>DIPYRIDAMOLE</w:t>
      </w:r>
    </w:p>
    <w:p>
      <w:pPr>
        <w:pStyle w:val="BodyText"/>
        <w:spacing w:line="220" w:lineRule="auto" w:before="7"/>
        <w:ind w:right="249" w:hanging="100"/>
        <w:rPr>
          <w:rFonts w:ascii="Calibri" w:hAnsi="Calibri"/>
          <w:sz w:val="11"/>
        </w:rPr>
      </w:pPr>
      <w:r>
        <w:rPr>
          <w:rFonts w:ascii="Lucida Sans Unicode" w:hAnsi="Lucida Sans Unicode"/>
          <w:color w:val="A7A8AC"/>
          <w:w w:val="95"/>
          <w:sz w:val="10"/>
        </w:rPr>
        <w:t>▶ </w:t>
      </w:r>
      <w:r>
        <w:rPr>
          <w:rFonts w:ascii="Calibri" w:hAnsi="Calibri"/>
          <w:color w:val="231F1F"/>
          <w:w w:val="105"/>
        </w:rPr>
        <w:t>Iloprost:  </w:t>
      </w:r>
      <w:r>
        <w:rPr>
          <w:color w:val="231F1F"/>
          <w:w w:val="105"/>
        </w:rPr>
        <w:t>anticoagulant effect of heparins possibly enhanced  by</w:t>
      </w:r>
      <w:r>
        <w:rPr>
          <w:color w:val="231F1F"/>
          <w:spacing w:val="-1"/>
          <w:w w:val="105"/>
        </w:rPr>
        <w:t> </w:t>
      </w:r>
      <w:r>
        <w:rPr>
          <w:rFonts w:ascii="Calibri" w:hAnsi="Calibri"/>
          <w:color w:val="008356"/>
          <w:spacing w:val="4"/>
          <w:w w:val="105"/>
          <w:sz w:val="11"/>
        </w:rPr>
        <w:t>ILOPROST</w:t>
      </w:r>
    </w:p>
    <w:p>
      <w:pPr>
        <w:pStyle w:val="BodyText"/>
        <w:spacing w:line="146" w:lineRule="exact"/>
        <w:ind w:left="108"/>
        <w:rPr>
          <w:i/>
        </w:rPr>
      </w:pPr>
      <w:r>
        <w:rPr>
          <w:rFonts w:ascii="Arial"/>
          <w:color w:val="231F1F"/>
          <w:w w:val="355"/>
          <w:position w:val="1"/>
          <w:sz w:val="7"/>
        </w:rPr>
        <w:t>l</w:t>
      </w:r>
      <w:r>
        <w:rPr>
          <w:rFonts w:ascii="Arial"/>
          <w:color w:val="231F1F"/>
          <w:spacing w:val="-55"/>
          <w:w w:val="355"/>
          <w:position w:val="1"/>
          <w:sz w:val="7"/>
        </w:rPr>
        <w:t> </w:t>
      </w:r>
      <w:r>
        <w:rPr>
          <w:rFonts w:ascii="Calibri"/>
          <w:color w:val="231F1F"/>
          <w:w w:val="120"/>
        </w:rPr>
        <w:t>Nitrates:</w:t>
      </w:r>
      <w:r>
        <w:rPr>
          <w:rFonts w:ascii="Calibri"/>
          <w:color w:val="231F1F"/>
          <w:spacing w:val="-22"/>
          <w:w w:val="120"/>
        </w:rPr>
        <w:t> </w:t>
      </w:r>
      <w:r>
        <w:rPr>
          <w:color w:val="231F1F"/>
          <w:w w:val="120"/>
        </w:rPr>
        <w:t>anticoagulant</w:t>
      </w:r>
      <w:r>
        <w:rPr>
          <w:color w:val="231F1F"/>
          <w:spacing w:val="-24"/>
          <w:w w:val="120"/>
        </w:rPr>
        <w:t> </w:t>
      </w:r>
      <w:r>
        <w:rPr>
          <w:color w:val="231F1F"/>
          <w:w w:val="120"/>
        </w:rPr>
        <w:t>effect</w:t>
      </w:r>
      <w:r>
        <w:rPr>
          <w:color w:val="231F1F"/>
          <w:spacing w:val="-25"/>
          <w:w w:val="120"/>
        </w:rPr>
        <w:t> </w:t>
      </w:r>
      <w:r>
        <w:rPr>
          <w:color w:val="231F1F"/>
          <w:w w:val="120"/>
        </w:rPr>
        <w:t>of</w:t>
      </w:r>
      <w:r>
        <w:rPr>
          <w:color w:val="231F1F"/>
          <w:spacing w:val="-25"/>
          <w:w w:val="120"/>
        </w:rPr>
        <w:t> </w:t>
      </w:r>
      <w:r>
        <w:rPr>
          <w:color w:val="231F1F"/>
          <w:w w:val="120"/>
        </w:rPr>
        <w:t>heparins</w:t>
      </w:r>
      <w:r>
        <w:rPr>
          <w:color w:val="231F1F"/>
          <w:spacing w:val="-25"/>
          <w:w w:val="120"/>
        </w:rPr>
        <w:t> </w:t>
      </w:r>
      <w:r>
        <w:rPr>
          <w:color w:val="231F1F"/>
          <w:w w:val="120"/>
        </w:rPr>
        <w:t>reduced</w:t>
      </w:r>
      <w:r>
        <w:rPr>
          <w:color w:val="231F1F"/>
          <w:spacing w:val="-25"/>
          <w:w w:val="120"/>
        </w:rPr>
        <w:t> </w:t>
      </w:r>
      <w:r>
        <w:rPr>
          <w:color w:val="231F1F"/>
          <w:w w:val="120"/>
        </w:rPr>
        <w:t>by</w:t>
      </w:r>
      <w:r>
        <w:rPr>
          <w:color w:val="231F1F"/>
          <w:spacing w:val="-25"/>
          <w:w w:val="120"/>
        </w:rPr>
        <w:t> </w:t>
      </w:r>
      <w:r>
        <w:rPr>
          <w:i/>
          <w:color w:val="231F1F"/>
          <w:w w:val="120"/>
        </w:rPr>
        <w:t>infusion</w:t>
      </w:r>
    </w:p>
    <w:p>
      <w:pPr>
        <w:spacing w:line="141" w:lineRule="exact" w:before="0"/>
        <w:ind w:left="208" w:right="0" w:firstLine="0"/>
        <w:jc w:val="left"/>
        <w:rPr>
          <w:rFonts w:ascii="Calibri"/>
          <w:sz w:val="11"/>
        </w:rPr>
      </w:pPr>
      <w:r>
        <w:rPr>
          <w:color w:val="231F1F"/>
          <w:w w:val="110"/>
          <w:sz w:val="12"/>
        </w:rPr>
        <w:t>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0"/>
          <w:sz w:val="11"/>
        </w:rPr>
        <w:t>GLYCERYL </w:t>
      </w:r>
      <w:r>
        <w:rPr>
          <w:rFonts w:ascii="Calibri"/>
          <w:color w:val="008356"/>
          <w:spacing w:val="4"/>
          <w:w w:val="110"/>
          <w:sz w:val="11"/>
        </w:rPr>
        <w:t>TRINITRATE</w:t>
      </w:r>
    </w:p>
    <w:p>
      <w:pPr>
        <w:pStyle w:val="BodyText"/>
        <w:spacing w:before="8"/>
        <w:ind w:left="108"/>
      </w:pPr>
      <w:r>
        <w:rPr>
          <w:rFonts w:ascii="Trebuchet MS"/>
          <w:color w:val="008356"/>
        </w:rPr>
        <w:t>Hepatitis Vaccines </w:t>
      </w:r>
      <w:r>
        <w:rPr>
          <w:i/>
          <w:color w:val="231F1F"/>
        </w:rPr>
        <w:t>see </w:t>
      </w:r>
      <w:r>
        <w:rPr>
          <w:color w:val="231F1F"/>
        </w:rPr>
        <w:t>Vaccines</w:t>
      </w:r>
    </w:p>
    <w:p>
      <w:pPr>
        <w:pStyle w:val="BodyText"/>
        <w:spacing w:before="10"/>
        <w:ind w:left="108"/>
        <w:rPr>
          <w:rFonts w:ascii="Trebuchet MS"/>
        </w:rPr>
      </w:pPr>
      <w:r>
        <w:rPr>
          <w:rFonts w:ascii="Trebuchet MS"/>
          <w:color w:val="008356"/>
        </w:rPr>
        <w:t>Histamine</w:t>
      </w:r>
    </w:p>
    <w:p>
      <w:pPr>
        <w:pStyle w:val="BodyText"/>
        <w:spacing w:line="235" w:lineRule="auto" w:before="3"/>
        <w:ind w:right="177"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manufacturer of histamine advises avoid concomitant use with </w:t>
      </w:r>
      <w:r>
        <w:rPr>
          <w:rFonts w:ascii="Calibri" w:hAnsi="Calibri"/>
          <w:color w:val="008356"/>
          <w:w w:val="110"/>
          <w:sz w:val="11"/>
        </w:rPr>
        <w:t>MAOI</w:t>
      </w:r>
      <w:r>
        <w:rPr>
          <w:rFonts w:ascii="Calibri" w:hAnsi="Calibri"/>
          <w:color w:val="008356"/>
          <w:w w:val="110"/>
          <w:sz w:val="9"/>
        </w:rPr>
        <w:t>S</w:t>
      </w:r>
      <w:r>
        <w:rPr>
          <w:color w:val="231F1F"/>
          <w:w w:val="110"/>
        </w:rPr>
        <w:t>; effects of histamine theoretically antagonised by </w:t>
      </w:r>
      <w:r>
        <w:rPr>
          <w:rFonts w:ascii="Calibri" w:hAnsi="Calibri"/>
          <w:color w:val="008356"/>
          <w:w w:val="110"/>
          <w:sz w:val="11"/>
        </w:rPr>
        <w:t>TRICYCLICS</w:t>
      </w:r>
      <w:r>
        <w:rPr>
          <w:rFonts w:ascii="Arial" w:hAnsi="Arial"/>
          <w:color w:val="231F1F"/>
          <w:w w:val="110"/>
        </w:rPr>
        <w:t>—</w:t>
      </w:r>
      <w:r>
        <w:rPr>
          <w:color w:val="231F1F"/>
          <w:w w:val="110"/>
        </w:rPr>
        <w:t>manufacturer of histamine advises avoid concomitant use</w:t>
      </w:r>
    </w:p>
    <w:p>
      <w:pPr>
        <w:pStyle w:val="BodyText"/>
        <w:spacing w:line="230" w:lineRule="auto" w:before="5"/>
        <w:ind w:right="55" w:hanging="100"/>
        <w:jc w:val="both"/>
      </w:pPr>
      <w:r>
        <w:rPr>
          <w:rFonts w:ascii="Lucida Sans Unicode" w:hAnsi="Lucida Sans Unicode"/>
          <w:color w:val="A7A8AC"/>
          <w:w w:val="95"/>
          <w:sz w:val="10"/>
        </w:rPr>
        <w:t>▶ </w:t>
      </w:r>
      <w:r>
        <w:rPr>
          <w:rFonts w:ascii="Calibri" w:hAnsi="Calibri"/>
          <w:color w:val="231F1F"/>
          <w:w w:val="105"/>
        </w:rPr>
        <w:t>Antihistamines: </w:t>
      </w:r>
      <w:r>
        <w:rPr>
          <w:color w:val="231F1F"/>
          <w:w w:val="105"/>
        </w:rPr>
        <w:t>effects  of  histamine theoretically antagonised by </w:t>
      </w:r>
      <w:r>
        <w:rPr>
          <w:rFonts w:ascii="Calibri" w:hAnsi="Calibri"/>
          <w:color w:val="008356"/>
          <w:spacing w:val="2"/>
          <w:w w:val="105"/>
          <w:sz w:val="11"/>
        </w:rPr>
        <w:t>ANTIHISTAMINES</w:t>
      </w:r>
      <w:r>
        <w:rPr>
          <w:rFonts w:ascii="Arial" w:hAnsi="Arial"/>
          <w:color w:val="231F1F"/>
          <w:spacing w:val="2"/>
          <w:w w:val="105"/>
        </w:rPr>
        <w:t>—</w:t>
      </w:r>
      <w:r>
        <w:rPr>
          <w:color w:val="231F1F"/>
          <w:spacing w:val="2"/>
          <w:w w:val="105"/>
        </w:rPr>
        <w:t>manufacturer </w:t>
      </w:r>
      <w:r>
        <w:rPr>
          <w:color w:val="231F1F"/>
          <w:w w:val="105"/>
        </w:rPr>
        <w:t>of histamine advises </w:t>
      </w:r>
      <w:r>
        <w:rPr>
          <w:color w:val="231F1F"/>
          <w:spacing w:val="-3"/>
          <w:w w:val="105"/>
        </w:rPr>
        <w:t>avoid </w:t>
      </w:r>
      <w:r>
        <w:rPr>
          <w:color w:val="231F1F"/>
          <w:w w:val="105"/>
        </w:rPr>
        <w:t>concomitant</w:t>
      </w:r>
      <w:r>
        <w:rPr>
          <w:color w:val="231F1F"/>
          <w:spacing w:val="-2"/>
          <w:w w:val="105"/>
        </w:rPr>
        <w:t> </w:t>
      </w:r>
      <w:r>
        <w:rPr>
          <w:color w:val="231F1F"/>
          <w:w w:val="105"/>
        </w:rPr>
        <w:t>use</w:t>
      </w:r>
    </w:p>
    <w:p>
      <w:pPr>
        <w:pStyle w:val="BodyText"/>
        <w:spacing w:before="7"/>
        <w:ind w:left="0"/>
        <w:rPr>
          <w:sz w:val="14"/>
        </w:rPr>
      </w:pPr>
      <w:r>
        <w:rPr/>
        <w:br w:type="column"/>
      </w:r>
      <w:r>
        <w:rPr>
          <w:sz w:val="14"/>
        </w:rPr>
      </w:r>
    </w:p>
    <w:p>
      <w:pPr>
        <w:pStyle w:val="BodyText"/>
        <w:spacing w:line="144" w:lineRule="exact"/>
        <w:ind w:left="108"/>
        <w:rPr>
          <w:rFonts w:ascii="Calibri"/>
        </w:rPr>
      </w:pPr>
      <w:r>
        <w:rPr>
          <w:rFonts w:ascii="Arial"/>
          <w:color w:val="008356"/>
        </w:rPr>
        <w:t>Histamine </w:t>
      </w:r>
      <w:r>
        <w:rPr>
          <w:rFonts w:ascii="Calibri"/>
          <w:color w:val="231F1F"/>
        </w:rPr>
        <w:t>(continued)</w:t>
      </w:r>
    </w:p>
    <w:p>
      <w:pPr>
        <w:pStyle w:val="BodyText"/>
        <w:spacing w:line="220" w:lineRule="auto" w:before="6"/>
        <w:ind w:right="1087" w:hanging="100"/>
        <w:jc w:val="both"/>
        <w:rPr>
          <w:rFonts w:ascii="Calibri" w:hAnsi="Calibri"/>
          <w:sz w:val="11"/>
        </w:rPr>
      </w:pPr>
      <w:r>
        <w:rPr/>
        <w:pict>
          <v:rect style="position:absolute;margin-left:398.891296pt;margin-top:-8.655787pt;width:20.522993pt;height:149.443pt;mso-position-horizontal-relative:page;mso-position-vertical-relative:paragraph;z-index:4096" filled="true" fillcolor="#bfdbcf" stroked="false">
            <v:fill type="solid"/>
            <w10:wrap type="none"/>
          </v:rect>
        </w:pict>
      </w:r>
      <w:r>
        <w:rPr/>
        <w:pict>
          <v:shape style="position:absolute;margin-left:399.725769pt;margin-top:-3.692398pt;width:10.4pt;height:78.850pt;mso-position-horizontal-relative:page;mso-position-vertical-relative:paragraph;z-index:412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Antimalarials: </w:t>
      </w:r>
      <w:r>
        <w:rPr>
          <w:color w:val="231F1F"/>
          <w:w w:val="105"/>
        </w:rPr>
        <w:t>manufacturer of histamine advises avoid concomitant use with </w:t>
      </w:r>
      <w:r>
        <w:rPr>
          <w:rFonts w:ascii="Calibri" w:hAnsi="Calibri"/>
          <w:color w:val="008356"/>
          <w:w w:val="105"/>
          <w:sz w:val="11"/>
        </w:rPr>
        <w:t>ANTIMALARIALS</w:t>
      </w:r>
    </w:p>
    <w:p>
      <w:pPr>
        <w:pStyle w:val="BodyText"/>
        <w:spacing w:line="230" w:lineRule="auto" w:before="4"/>
        <w:ind w:right="713" w:hanging="100"/>
        <w:jc w:val="both"/>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histamine theoretically antagonised by </w:t>
      </w:r>
      <w:r>
        <w:rPr>
          <w:rFonts w:ascii="Calibri" w:hAnsi="Calibri"/>
          <w:color w:val="008356"/>
          <w:spacing w:val="2"/>
          <w:w w:val="105"/>
          <w:sz w:val="11"/>
        </w:rPr>
        <w:t>ANTIPSYCHOTICS</w:t>
      </w:r>
      <w:r>
        <w:rPr>
          <w:rFonts w:ascii="Arial" w:hAnsi="Arial"/>
          <w:color w:val="231F1F"/>
          <w:spacing w:val="2"/>
          <w:w w:val="105"/>
        </w:rPr>
        <w:t>—</w:t>
      </w:r>
      <w:r>
        <w:rPr>
          <w:color w:val="231F1F"/>
          <w:spacing w:val="2"/>
          <w:w w:val="105"/>
        </w:rPr>
        <w:t>manufacturer </w:t>
      </w:r>
      <w:r>
        <w:rPr>
          <w:color w:val="231F1F"/>
          <w:w w:val="105"/>
        </w:rPr>
        <w:t>of histamine advises avoid concomitant</w:t>
      </w:r>
      <w:r>
        <w:rPr>
          <w:color w:val="231F1F"/>
          <w:spacing w:val="-1"/>
          <w:w w:val="105"/>
        </w:rPr>
        <w:t> </w:t>
      </w:r>
      <w:r>
        <w:rPr>
          <w:color w:val="231F1F"/>
          <w:w w:val="105"/>
        </w:rPr>
        <w:t>use</w:t>
      </w:r>
    </w:p>
    <w:p>
      <w:pPr>
        <w:pStyle w:val="BodyText"/>
        <w:spacing w:line="220" w:lineRule="auto" w:before="12"/>
        <w:ind w:right="115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Atovaquone: </w:t>
      </w:r>
      <w:r>
        <w:rPr>
          <w:color w:val="231F1F"/>
          <w:w w:val="105"/>
        </w:rPr>
        <w:t>manufacturer of histamine advises avoid concomitant use with </w:t>
      </w:r>
      <w:r>
        <w:rPr>
          <w:rFonts w:ascii="Calibri" w:hAnsi="Calibri"/>
          <w:color w:val="008356"/>
          <w:w w:val="105"/>
          <w:sz w:val="11"/>
        </w:rPr>
        <w:t>ATOVAQUONE</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manufacturer of histamine advises avoid concomitant use with </w:t>
      </w:r>
      <w:r>
        <w:rPr>
          <w:rFonts w:ascii="Calibri" w:hAnsi="Calibri"/>
          <w:color w:val="008356"/>
          <w:w w:val="105"/>
          <w:sz w:val="11"/>
        </w:rPr>
        <w:t>CLONIDINE</w:t>
      </w:r>
    </w:p>
    <w:p>
      <w:pPr>
        <w:pStyle w:val="BodyText"/>
        <w:spacing w:line="220" w:lineRule="auto" w:before="9"/>
        <w:ind w:right="980"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manufacturer of histamine advises avoid concomitant use with </w:t>
      </w:r>
      <w:r>
        <w:rPr>
          <w:rFonts w:ascii="Calibri" w:hAnsi="Calibri"/>
          <w:color w:val="008356"/>
          <w:w w:val="110"/>
          <w:sz w:val="11"/>
        </w:rPr>
        <w:t>CORTICOSTEROIDS</w:t>
      </w:r>
    </w:p>
    <w:p>
      <w:pPr>
        <w:pStyle w:val="BodyText"/>
        <w:spacing w:line="216" w:lineRule="auto" w:before="10"/>
        <w:ind w:right="762"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effects of histamine theoretically </w:t>
      </w:r>
      <w:r>
        <w:rPr>
          <w:color w:val="231F1F"/>
          <w:w w:val="105"/>
          <w:position w:val="2"/>
        </w:rPr>
        <w:t>antagonised by </w:t>
      </w:r>
      <w:r>
        <w:rPr>
          <w:rFonts w:ascii="Calibri" w:hAnsi="Calibri"/>
          <w:color w:val="008356"/>
          <w:w w:val="105"/>
          <w:position w:val="2"/>
          <w:sz w:val="11"/>
        </w:rPr>
        <w:t>HISTAMINE H</w:t>
      </w:r>
      <w:r>
        <w:rPr>
          <w:rFonts w:ascii="Calibri" w:hAnsi="Calibri"/>
          <w:color w:val="008356"/>
          <w:w w:val="105"/>
          <w:position w:val="2"/>
          <w:sz w:val="11"/>
          <w:vertAlign w:val="subscript"/>
        </w:rPr>
        <w:t>2</w:t>
      </w:r>
      <w:r>
        <w:rPr>
          <w:rFonts w:ascii="Calibri" w:hAnsi="Calibri"/>
          <w:color w:val="008356"/>
          <w:w w:val="105"/>
          <w:position w:val="2"/>
          <w:sz w:val="11"/>
          <w:vertAlign w:val="baseline"/>
        </w:rPr>
        <w:t>-ANTAGONISTS</w:t>
      </w:r>
      <w:r>
        <w:rPr>
          <w:rFonts w:ascii="Arial" w:hAnsi="Arial"/>
          <w:color w:val="231F1F"/>
          <w:w w:val="105"/>
          <w:position w:val="2"/>
          <w:vertAlign w:val="baseline"/>
        </w:rPr>
        <w:t>—</w:t>
      </w:r>
      <w:r>
        <w:rPr>
          <w:color w:val="231F1F"/>
          <w:w w:val="105"/>
          <w:position w:val="2"/>
          <w:vertAlign w:val="baseline"/>
        </w:rPr>
        <w:t>manufacturer of </w:t>
      </w:r>
      <w:r>
        <w:rPr>
          <w:color w:val="231F1F"/>
          <w:w w:val="105"/>
          <w:vertAlign w:val="baseline"/>
        </w:rPr>
        <w:t>histamine advises avoid concomitant use</w:t>
      </w:r>
    </w:p>
    <w:p>
      <w:pPr>
        <w:pStyle w:val="BodyText"/>
        <w:spacing w:before="12"/>
        <w:ind w:left="108"/>
        <w:jc w:val="both"/>
        <w:rPr>
          <w:rFonts w:ascii="Trebuchet MS"/>
        </w:rPr>
      </w:pPr>
      <w:r>
        <w:rPr>
          <w:rFonts w:ascii="Trebuchet MS"/>
          <w:color w:val="008356"/>
        </w:rPr>
        <w:t>Histamine H</w:t>
      </w:r>
      <w:r>
        <w:rPr>
          <w:rFonts w:ascii="Trebuchet MS"/>
          <w:color w:val="008356"/>
          <w:vertAlign w:val="subscript"/>
        </w:rPr>
        <w:t>2</w:t>
      </w:r>
      <w:r>
        <w:rPr>
          <w:rFonts w:ascii="Trebuchet MS"/>
          <w:color w:val="008356"/>
          <w:vertAlign w:val="baseline"/>
        </w:rPr>
        <w:t>-antagonists</w:t>
      </w:r>
    </w:p>
    <w:p>
      <w:pPr>
        <w:pStyle w:val="BodyText"/>
        <w:spacing w:before="1"/>
        <w:ind w:left="108"/>
      </w:pPr>
      <w:r>
        <w:rPr>
          <w:rFonts w:ascii="Arial"/>
          <w:color w:val="231F1F"/>
          <w:w w:val="355"/>
          <w:position w:val="1"/>
          <w:sz w:val="7"/>
        </w:rPr>
        <w:t>l </w:t>
      </w:r>
      <w:r>
        <w:rPr>
          <w:rFonts w:ascii="Calibri"/>
          <w:color w:val="231F1F"/>
          <w:w w:val="115"/>
        </w:rPr>
        <w:t>Alpha-blockers: </w:t>
      </w:r>
      <w:r>
        <w:rPr>
          <w:color w:val="231F1F"/>
          <w:w w:val="115"/>
        </w:rPr>
        <w:t>cimetidine and ranitidine antagonise effects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TOLAZOLINE</w:t>
      </w:r>
    </w:p>
    <w:p>
      <w:pPr>
        <w:pStyle w:val="BodyText"/>
        <w:spacing w:line="145" w:lineRule="exact"/>
        <w:ind w:left="108"/>
      </w:pPr>
      <w:r>
        <w:rPr>
          <w:rFonts w:ascii="Arial"/>
          <w:color w:val="231F1F"/>
          <w:w w:val="355"/>
          <w:position w:val="1"/>
          <w:sz w:val="7"/>
        </w:rPr>
        <w:t>l </w:t>
      </w:r>
      <w:r>
        <w:rPr>
          <w:rFonts w:ascii="Calibri"/>
          <w:color w:val="231F1F"/>
          <w:w w:val="110"/>
        </w:rPr>
        <w:t>Aminophylline: </w:t>
      </w:r>
      <w:r>
        <w:rPr>
          <w:color w:val="231F1F"/>
          <w:w w:val="110"/>
        </w:rPr>
        <w:t>cimetidine inhibits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AMINOPHYLLINE </w:t>
      </w:r>
      <w:r>
        <w:rPr>
          <w:color w:val="231F1F"/>
          <w:w w:val="110"/>
          <w:sz w:val="12"/>
        </w:rPr>
        <w:t>(increased plasma concentration)</w:t>
      </w:r>
    </w:p>
    <w:p>
      <w:pPr>
        <w:spacing w:line="220" w:lineRule="auto" w:before="8"/>
        <w:ind w:left="208" w:right="870" w:hanging="100"/>
        <w:jc w:val="left"/>
        <w:rPr>
          <w:sz w:val="12"/>
        </w:rPr>
      </w:pPr>
      <w:r>
        <w:rPr>
          <w:rFonts w:ascii="Lucida Sans Unicode" w:hAnsi="Lucida Sans Unicode"/>
          <w:color w:val="A7A8AC"/>
          <w:w w:val="95"/>
          <w:sz w:val="10"/>
        </w:rPr>
        <w:t>▶ </w:t>
      </w:r>
      <w:r>
        <w:rPr>
          <w:rFonts w:ascii="Calibri" w:hAnsi="Calibri"/>
          <w:color w:val="231F1F"/>
          <w:w w:val="105"/>
          <w:sz w:val="12"/>
        </w:rPr>
        <w:t>Analgesics: </w:t>
      </w:r>
      <w:r>
        <w:rPr>
          <w:color w:val="231F1F"/>
          <w:w w:val="105"/>
          <w:sz w:val="12"/>
        </w:rPr>
        <w:t>cimetidine inhibits metabolism of </w:t>
      </w:r>
      <w:r>
        <w:rPr>
          <w:rFonts w:ascii="Calibri" w:hAnsi="Calibri"/>
          <w:color w:val="008356"/>
          <w:w w:val="105"/>
          <w:sz w:val="11"/>
        </w:rPr>
        <w:t>OPIOID ANALGESICS </w:t>
      </w:r>
      <w:r>
        <w:rPr>
          <w:color w:val="231F1F"/>
          <w:w w:val="105"/>
          <w:sz w:val="12"/>
        </w:rPr>
        <w:t>(increased plasma concentration)</w:t>
      </w:r>
    </w:p>
    <w:p>
      <w:pPr>
        <w:pStyle w:val="BodyText"/>
        <w:spacing w:line="235" w:lineRule="auto" w:before="2"/>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Anthelmintics: </w:t>
      </w:r>
      <w:r>
        <w:rPr>
          <w:color w:val="231F1F"/>
          <w:w w:val="110"/>
        </w:rPr>
        <w:t>cimetidine possibly enhances effects of </w:t>
      </w:r>
      <w:r>
        <w:rPr>
          <w:rFonts w:ascii="Calibri" w:hAnsi="Calibri"/>
          <w:color w:val="008356"/>
          <w:w w:val="110"/>
          <w:sz w:val="11"/>
        </w:rPr>
        <w:t>ALBENDAZOLE</w:t>
      </w:r>
      <w:r>
        <w:rPr>
          <w:color w:val="231F1F"/>
          <w:w w:val="110"/>
        </w:rPr>
        <w:t>; cimetidine possibly inhibits metabolism of </w:t>
      </w:r>
      <w:r>
        <w:rPr>
          <w:rFonts w:ascii="Calibri" w:hAnsi="Calibri"/>
          <w:color w:val="008356"/>
          <w:w w:val="110"/>
          <w:sz w:val="11"/>
        </w:rPr>
        <w:t>MEBENDAZOLE </w:t>
      </w:r>
      <w:r>
        <w:rPr>
          <w:color w:val="231F1F"/>
          <w:w w:val="110"/>
        </w:rPr>
        <w:t>(increased plasma concentration); cimetidine increases plasma concentration of </w:t>
      </w:r>
      <w:r>
        <w:rPr>
          <w:rFonts w:ascii="Calibri" w:hAnsi="Calibri"/>
          <w:color w:val="008356"/>
          <w:w w:val="110"/>
          <w:sz w:val="11"/>
        </w:rPr>
        <w:t>PRAZIQUANTEL</w:t>
      </w:r>
    </w:p>
    <w:p>
      <w:pPr>
        <w:pStyle w:val="BodyText"/>
        <w:spacing w:line="242" w:lineRule="auto"/>
        <w:ind w:right="762" w:hanging="100"/>
      </w:pPr>
      <w:r>
        <w:rPr>
          <w:rFonts w:ascii="Arial"/>
          <w:color w:val="231F1F"/>
          <w:w w:val="355"/>
          <w:position w:val="1"/>
          <w:sz w:val="7"/>
        </w:rPr>
        <w:t>l </w:t>
      </w:r>
      <w:r>
        <w:rPr>
          <w:rFonts w:ascii="Calibri"/>
          <w:color w:val="231F1F"/>
          <w:w w:val="110"/>
        </w:rPr>
        <w:t>Anti-arrhythmics: </w:t>
      </w:r>
      <w:r>
        <w:rPr>
          <w:color w:val="231F1F"/>
          <w:w w:val="110"/>
        </w:rPr>
        <w:t>cimetidine increases plasma concentration of </w:t>
      </w:r>
      <w:r>
        <w:rPr>
          <w:rFonts w:ascii="Calibri"/>
          <w:color w:val="008356"/>
          <w:w w:val="110"/>
          <w:sz w:val="11"/>
        </w:rPr>
        <w:t>AMIODARONE </w:t>
      </w:r>
      <w:r>
        <w:rPr>
          <w:color w:val="231F1F"/>
          <w:w w:val="110"/>
        </w:rPr>
        <w:t>and </w:t>
      </w:r>
      <w:r>
        <w:rPr>
          <w:rFonts w:ascii="Arial"/>
          <w:color w:val="231F1F"/>
          <w:w w:val="355"/>
          <w:position w:val="1"/>
          <w:sz w:val="7"/>
        </w:rPr>
        <w:t>l </w:t>
      </w:r>
      <w:r>
        <w:rPr>
          <w:rFonts w:ascii="Calibri"/>
          <w:color w:val="008356"/>
          <w:w w:val="110"/>
          <w:sz w:val="11"/>
        </w:rPr>
        <w:t>PROPAFENONE</w:t>
      </w:r>
      <w:r>
        <w:rPr>
          <w:color w:val="231F1F"/>
          <w:w w:val="110"/>
        </w:rPr>
        <w:t>; cimetidine inhibits metabolism of </w:t>
      </w:r>
      <w:r>
        <w:rPr>
          <w:rFonts w:ascii="Calibri"/>
          <w:color w:val="008356"/>
          <w:w w:val="110"/>
          <w:sz w:val="11"/>
        </w:rPr>
        <w:t>FLECAINIDE </w:t>
      </w:r>
      <w:r>
        <w:rPr>
          <w:color w:val="231F1F"/>
          <w:w w:val="110"/>
        </w:rPr>
        <w:t>(increased plasma concentration); cimetidine increases plasma concentration of </w:t>
      </w:r>
      <w:r>
        <w:rPr>
          <w:rFonts w:ascii="Arial"/>
          <w:color w:val="231F1F"/>
          <w:w w:val="355"/>
          <w:position w:val="1"/>
          <w:sz w:val="7"/>
        </w:rPr>
        <w:t>l </w:t>
      </w:r>
      <w:r>
        <w:rPr>
          <w:rFonts w:ascii="Calibri"/>
          <w:color w:val="008356"/>
          <w:w w:val="110"/>
          <w:sz w:val="11"/>
        </w:rPr>
        <w:t>LIDOCAINE </w:t>
      </w:r>
      <w:r>
        <w:rPr>
          <w:color w:val="231F1F"/>
          <w:w w:val="110"/>
        </w:rPr>
        <w:t>(increased risk of toxicity)</w:t>
      </w:r>
    </w:p>
    <w:p>
      <w:pPr>
        <w:pStyle w:val="BodyText"/>
        <w:spacing w:line="237" w:lineRule="auto"/>
        <w:ind w:right="683"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cimetidine increases plasma concentration of </w:t>
      </w:r>
      <w:r>
        <w:rPr>
          <w:rFonts w:ascii="Calibri" w:hAnsi="Calibri"/>
          <w:color w:val="008356"/>
          <w:w w:val="110"/>
          <w:sz w:val="11"/>
        </w:rPr>
        <w:t>ERYTHROMYCIN </w:t>
      </w:r>
      <w:r>
        <w:rPr>
          <w:color w:val="231F1F"/>
          <w:w w:val="110"/>
        </w:rPr>
        <w:t>(increased risk of toxicity, including deafness); cimetidine inhibits metabolism of </w:t>
      </w:r>
      <w:r>
        <w:rPr>
          <w:rFonts w:ascii="Calibri" w:hAnsi="Calibri"/>
          <w:color w:val="008356"/>
          <w:w w:val="110"/>
          <w:sz w:val="11"/>
        </w:rPr>
        <w:t>METRONIDAZOLE </w:t>
      </w:r>
      <w:r>
        <w:rPr>
          <w:color w:val="231F1F"/>
          <w:w w:val="110"/>
        </w:rPr>
        <w:t>(increased plasma concentration); metabolism of cimetidine accelerated by </w:t>
      </w:r>
      <w:r>
        <w:rPr>
          <w:rFonts w:ascii="Calibri" w:hAnsi="Calibri"/>
          <w:color w:val="008356"/>
          <w:w w:val="110"/>
          <w:sz w:val="11"/>
        </w:rPr>
        <w:t>RIFAMPICIN </w:t>
      </w:r>
      <w:r>
        <w:rPr>
          <w:color w:val="231F1F"/>
          <w:w w:val="110"/>
        </w:rPr>
        <w:t>(reduced plasma concentration)</w:t>
      </w:r>
    </w:p>
    <w:p>
      <w:pPr>
        <w:spacing w:line="146" w:lineRule="exact" w:before="0"/>
        <w:ind w:left="108" w:right="0" w:firstLine="0"/>
        <w:jc w:val="left"/>
        <w:rPr>
          <w:rFonts w:ascii="Calibri"/>
          <w:sz w:val="11"/>
        </w:rPr>
      </w:pPr>
      <w:r>
        <w:rPr>
          <w:rFonts w:ascii="Arial"/>
          <w:color w:val="231F1F"/>
          <w:w w:val="355"/>
          <w:position w:val="1"/>
          <w:sz w:val="7"/>
        </w:rPr>
        <w:t>l </w:t>
      </w:r>
      <w:r>
        <w:rPr>
          <w:rFonts w:ascii="Calibri"/>
          <w:color w:val="231F1F"/>
          <w:w w:val="115"/>
          <w:sz w:val="12"/>
        </w:rPr>
        <w:t>Anticoagulants: </w:t>
      </w:r>
      <w:r>
        <w:rPr>
          <w:color w:val="231F1F"/>
          <w:w w:val="115"/>
          <w:sz w:val="12"/>
        </w:rPr>
        <w:t>cimetidine inhibits metabolism of </w:t>
      </w:r>
      <w:r>
        <w:rPr>
          <w:rFonts w:ascii="Arial"/>
          <w:color w:val="231F1F"/>
          <w:w w:val="355"/>
          <w:position w:val="1"/>
          <w:sz w:val="7"/>
        </w:rPr>
        <w:t>l </w:t>
      </w:r>
      <w:r>
        <w:rPr>
          <w:rFonts w:ascii="Calibri"/>
          <w:color w:val="008356"/>
          <w:spacing w:val="4"/>
          <w:w w:val="115"/>
          <w:sz w:val="11"/>
        </w:rPr>
        <w:t>COUMARINS</w:t>
      </w:r>
    </w:p>
    <w:p>
      <w:pPr>
        <w:pStyle w:val="BodyText"/>
        <w:spacing w:line="137" w:lineRule="exact"/>
      </w:pPr>
      <w:r>
        <w:rPr>
          <w:color w:val="231F1F"/>
          <w:w w:val="115"/>
        </w:rPr>
        <w:t>(enhanced anticoagulant effect)</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Antidepressants: </w:t>
      </w:r>
      <w:r>
        <w:rPr>
          <w:color w:val="231F1F"/>
          <w:w w:val="105"/>
        </w:rPr>
        <w:t>cimetidine increases plasma concentration of</w:t>
      </w:r>
    </w:p>
    <w:p>
      <w:pPr>
        <w:spacing w:line="135" w:lineRule="exact" w:before="0"/>
        <w:ind w:left="208" w:right="0" w:firstLine="0"/>
        <w:jc w:val="left"/>
        <w:rPr>
          <w:sz w:val="12"/>
        </w:rPr>
      </w:pPr>
      <w:r>
        <w:rPr>
          <w:rFonts w:ascii="Calibri"/>
          <w:color w:val="008356"/>
          <w:w w:val="105"/>
          <w:sz w:val="11"/>
        </w:rPr>
        <w:t>CITALOPRAM</w:t>
      </w:r>
      <w:r>
        <w:rPr>
          <w:color w:val="231F1F"/>
          <w:w w:val="105"/>
          <w:sz w:val="12"/>
        </w:rPr>
        <w:t>, </w:t>
      </w:r>
      <w:r>
        <w:rPr>
          <w:rFonts w:ascii="Calibri"/>
          <w:color w:val="008356"/>
          <w:w w:val="105"/>
          <w:sz w:val="11"/>
        </w:rPr>
        <w:t>ESCITALOPRAM</w:t>
      </w:r>
      <w:r>
        <w:rPr>
          <w:color w:val="231F1F"/>
          <w:w w:val="105"/>
          <w:sz w:val="12"/>
        </w:rPr>
        <w:t>, </w:t>
      </w:r>
      <w:r>
        <w:rPr>
          <w:rFonts w:ascii="Calibri"/>
          <w:color w:val="008356"/>
          <w:w w:val="105"/>
          <w:sz w:val="11"/>
        </w:rPr>
        <w:t>MIRTAZAPINE </w:t>
      </w:r>
      <w:r>
        <w:rPr>
          <w:color w:val="231F1F"/>
          <w:w w:val="105"/>
          <w:sz w:val="12"/>
        </w:rPr>
        <w:t>and </w:t>
      </w:r>
      <w:r>
        <w:rPr>
          <w:rFonts w:ascii="Calibri"/>
          <w:color w:val="008356"/>
          <w:w w:val="105"/>
          <w:sz w:val="11"/>
        </w:rPr>
        <w:t>SERTRALINE</w:t>
      </w:r>
      <w:r>
        <w:rPr>
          <w:color w:val="231F1F"/>
          <w:w w:val="105"/>
          <w:sz w:val="12"/>
        </w:rPr>
        <w:t>;</w:t>
      </w:r>
    </w:p>
    <w:p>
      <w:pPr>
        <w:spacing w:line="244" w:lineRule="auto" w:before="3"/>
        <w:ind w:left="208" w:right="670" w:firstLine="0"/>
        <w:jc w:val="left"/>
        <w:rPr>
          <w:rFonts w:ascii="Calibri"/>
          <w:sz w:val="11"/>
        </w:rPr>
      </w:pPr>
      <w:r>
        <w:rPr>
          <w:color w:val="231F1F"/>
          <w:w w:val="110"/>
          <w:sz w:val="12"/>
        </w:rPr>
        <w:t>cimetidine inhibits metabolism of </w:t>
      </w:r>
      <w:r>
        <w:rPr>
          <w:rFonts w:ascii="Calibri"/>
          <w:color w:val="008356"/>
          <w:w w:val="110"/>
          <w:sz w:val="11"/>
        </w:rPr>
        <w:t>AMITRIPTYLINE</w:t>
      </w:r>
      <w:r>
        <w:rPr>
          <w:color w:val="231F1F"/>
          <w:w w:val="110"/>
          <w:sz w:val="12"/>
        </w:rPr>
        <w:t>, </w:t>
      </w:r>
      <w:r>
        <w:rPr>
          <w:rFonts w:ascii="Calibri"/>
          <w:color w:val="008356"/>
          <w:w w:val="110"/>
          <w:sz w:val="11"/>
        </w:rPr>
        <w:t>DOXEPIN</w:t>
      </w:r>
      <w:r>
        <w:rPr>
          <w:color w:val="231F1F"/>
          <w:w w:val="110"/>
          <w:sz w:val="12"/>
        </w:rPr>
        <w:t>, </w:t>
      </w:r>
      <w:r>
        <w:rPr>
          <w:rFonts w:ascii="Calibri"/>
          <w:color w:val="008356"/>
          <w:w w:val="110"/>
          <w:sz w:val="11"/>
        </w:rPr>
        <w:t>IMIPRAMINE </w:t>
      </w:r>
      <w:r>
        <w:rPr>
          <w:color w:val="231F1F"/>
          <w:w w:val="110"/>
          <w:sz w:val="12"/>
        </w:rPr>
        <w:t>and </w:t>
      </w:r>
      <w:r>
        <w:rPr>
          <w:rFonts w:ascii="Calibri"/>
          <w:color w:val="008356"/>
          <w:w w:val="110"/>
          <w:sz w:val="11"/>
        </w:rPr>
        <w:t>NORTRIPTYLINE </w:t>
      </w:r>
      <w:r>
        <w:rPr>
          <w:color w:val="231F1F"/>
          <w:w w:val="110"/>
          <w:sz w:val="12"/>
        </w:rPr>
        <w:t>(increased plasma concentration); cimetidine increases plasma concentration of </w:t>
      </w:r>
      <w:r>
        <w:rPr>
          <w:rFonts w:ascii="Calibri"/>
          <w:color w:val="008356"/>
          <w:w w:val="110"/>
          <w:sz w:val="11"/>
        </w:rPr>
        <w:t>MOCLOBEMIDE </w:t>
      </w:r>
      <w:r>
        <w:rPr>
          <w:color w:val="231F1F"/>
          <w:w w:val="110"/>
          <w:sz w:val="12"/>
        </w:rPr>
        <w:t>(halve dose of moclobemide); cimetidine possibly increases plasma concentration of </w:t>
      </w:r>
      <w:r>
        <w:rPr>
          <w:rFonts w:ascii="Calibri"/>
          <w:color w:val="008356"/>
          <w:w w:val="110"/>
          <w:sz w:val="11"/>
        </w:rPr>
        <w:t>TRICYCLICS</w:t>
      </w:r>
    </w:p>
    <w:p>
      <w:pPr>
        <w:pStyle w:val="BodyText"/>
        <w:spacing w:line="235" w:lineRule="auto"/>
        <w:ind w:right="90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cimetidine reduces excretion of </w:t>
      </w:r>
      <w:r>
        <w:rPr>
          <w:rFonts w:ascii="Calibri" w:hAnsi="Calibri"/>
          <w:color w:val="008356"/>
          <w:w w:val="110"/>
          <w:sz w:val="11"/>
        </w:rPr>
        <w:t>METFORMIN </w:t>
      </w:r>
      <w:r>
        <w:rPr>
          <w:color w:val="231F1F"/>
          <w:w w:val="110"/>
        </w:rPr>
        <w:t>(increased plasma concentration); cimetidine enhances hypoglycaemic effect of </w:t>
      </w:r>
      <w:r>
        <w:rPr>
          <w:rFonts w:ascii="Calibri" w:hAnsi="Calibri"/>
          <w:color w:val="008356"/>
          <w:w w:val="110"/>
          <w:sz w:val="11"/>
        </w:rPr>
        <w:t>SULFONYLUREAS</w:t>
      </w:r>
    </w:p>
    <w:p>
      <w:pPr>
        <w:pStyle w:val="BodyText"/>
        <w:spacing w:line="143" w:lineRule="exact"/>
        <w:ind w:left="108"/>
      </w:pPr>
      <w:r>
        <w:rPr>
          <w:rFonts w:ascii="Arial"/>
          <w:color w:val="231F1F"/>
          <w:w w:val="355"/>
          <w:position w:val="1"/>
          <w:sz w:val="7"/>
        </w:rPr>
        <w:t>l </w:t>
      </w:r>
      <w:r>
        <w:rPr>
          <w:rFonts w:ascii="Calibri"/>
          <w:color w:val="231F1F"/>
          <w:w w:val="110"/>
        </w:rPr>
        <w:t>Antiepileptics: </w:t>
      </w:r>
      <w:r>
        <w:rPr>
          <w:color w:val="231F1F"/>
          <w:w w:val="110"/>
        </w:rPr>
        <w:t>cimetidine inhibits metabolism of</w:t>
      </w:r>
    </w:p>
    <w:p>
      <w:pPr>
        <w:spacing w:line="141" w:lineRule="exact" w:before="0"/>
        <w:ind w:left="208" w:right="0" w:firstLine="0"/>
        <w:jc w:val="left"/>
        <w:rPr>
          <w:rFonts w:ascii="Calibri"/>
          <w:sz w:val="11"/>
        </w:rPr>
      </w:pPr>
      <w:r>
        <w:rPr>
          <w:rFonts w:ascii="Arial"/>
          <w:color w:val="231F1F"/>
          <w:w w:val="355"/>
          <w:position w:val="1"/>
          <w:sz w:val="7"/>
        </w:rPr>
        <w:t>l </w:t>
      </w:r>
      <w:r>
        <w:rPr>
          <w:rFonts w:ascii="Calibri"/>
          <w:color w:val="008356"/>
          <w:spacing w:val="4"/>
          <w:w w:val="115"/>
          <w:sz w:val="11"/>
        </w:rPr>
        <w:t>CARBAMAZEPINE</w:t>
      </w:r>
      <w:r>
        <w:rPr>
          <w:color w:val="231F1F"/>
          <w:spacing w:val="4"/>
          <w:w w:val="115"/>
          <w:sz w:val="12"/>
        </w:rPr>
        <w:t>, </w:t>
      </w:r>
      <w:r>
        <w:rPr>
          <w:rFonts w:ascii="Arial"/>
          <w:color w:val="231F1F"/>
          <w:w w:val="355"/>
          <w:position w:val="1"/>
          <w:sz w:val="7"/>
        </w:rPr>
        <w:t>l </w:t>
      </w:r>
      <w:r>
        <w:rPr>
          <w:rFonts w:ascii="Calibri"/>
          <w:color w:val="008356"/>
          <w:spacing w:val="4"/>
          <w:w w:val="115"/>
          <w:sz w:val="11"/>
        </w:rPr>
        <w:t>FOSPHENYTOIN</w:t>
      </w:r>
      <w:r>
        <w:rPr>
          <w:color w:val="231F1F"/>
          <w:spacing w:val="4"/>
          <w:w w:val="115"/>
          <w:sz w:val="12"/>
        </w:rPr>
        <w:t>, </w:t>
      </w:r>
      <w:r>
        <w:rPr>
          <w:rFonts w:ascii="Arial"/>
          <w:color w:val="231F1F"/>
          <w:w w:val="355"/>
          <w:position w:val="1"/>
          <w:sz w:val="7"/>
        </w:rPr>
        <w:t>l </w:t>
      </w:r>
      <w:r>
        <w:rPr>
          <w:rFonts w:ascii="Calibri"/>
          <w:color w:val="008356"/>
          <w:spacing w:val="4"/>
          <w:w w:val="115"/>
          <w:sz w:val="11"/>
        </w:rPr>
        <w:t>PHENYTOIN</w:t>
      </w:r>
      <w:r>
        <w:rPr>
          <w:color w:val="231F1F"/>
          <w:spacing w:val="4"/>
          <w:w w:val="115"/>
          <w:sz w:val="12"/>
        </w:rPr>
        <w:t>, </w:t>
      </w:r>
      <w:r>
        <w:rPr>
          <w:rFonts w:ascii="Arial"/>
          <w:color w:val="231F1F"/>
          <w:w w:val="355"/>
          <w:position w:val="1"/>
          <w:sz w:val="7"/>
        </w:rPr>
        <w:t>l </w:t>
      </w:r>
      <w:r>
        <w:rPr>
          <w:rFonts w:ascii="Calibri"/>
          <w:color w:val="008356"/>
          <w:spacing w:val="5"/>
          <w:w w:val="115"/>
          <w:sz w:val="11"/>
        </w:rPr>
        <w:t>SODIUM</w:t>
      </w:r>
    </w:p>
    <w:p>
      <w:pPr>
        <w:spacing w:before="0"/>
        <w:ind w:left="208" w:right="670" w:firstLine="0"/>
        <w:jc w:val="left"/>
        <w:rPr>
          <w:sz w:val="12"/>
        </w:rPr>
      </w:pPr>
      <w:r>
        <w:rPr>
          <w:rFonts w:ascii="Calibri"/>
          <w:color w:val="008356"/>
          <w:w w:val="110"/>
          <w:sz w:val="11"/>
        </w:rPr>
        <w:t>VALPROATE </w:t>
      </w:r>
      <w:r>
        <w:rPr>
          <w:color w:val="231F1F"/>
          <w:w w:val="110"/>
          <w:sz w:val="12"/>
        </w:rPr>
        <w:t>and </w:t>
      </w:r>
      <w:r>
        <w:rPr>
          <w:rFonts w:ascii="Arial"/>
          <w:color w:val="231F1F"/>
          <w:w w:val="110"/>
          <w:position w:val="1"/>
          <w:sz w:val="7"/>
        </w:rPr>
        <w:t>l </w:t>
      </w:r>
      <w:r>
        <w:rPr>
          <w:rFonts w:ascii="Calibri"/>
          <w:color w:val="008356"/>
          <w:w w:val="110"/>
          <w:sz w:val="11"/>
        </w:rPr>
        <w:t>VALPROIC ACID </w:t>
      </w:r>
      <w:r>
        <w:rPr>
          <w:color w:val="231F1F"/>
          <w:w w:val="110"/>
          <w:sz w:val="12"/>
        </w:rPr>
        <w:t>(increased plasma </w:t>
      </w:r>
      <w:r>
        <w:rPr>
          <w:color w:val="231F1F"/>
          <w:w w:val="120"/>
          <w:sz w:val="12"/>
        </w:rPr>
        <w:t>concentration)</w:t>
      </w:r>
    </w:p>
    <w:p>
      <w:pPr>
        <w:pStyle w:val="BodyText"/>
        <w:spacing w:line="244" w:lineRule="auto" w:before="2"/>
        <w:ind w:right="704" w:hanging="100"/>
        <w:rPr>
          <w:rFonts w:ascii="Calibri" w:hAnsi="Calibri"/>
          <w:sz w:val="11"/>
        </w:rPr>
      </w:pPr>
      <w:r>
        <w:rPr>
          <w:rFonts w:ascii="Arial" w:hAnsi="Arial"/>
          <w:color w:val="231F1F"/>
          <w:w w:val="355"/>
          <w:position w:val="1"/>
          <w:sz w:val="7"/>
        </w:rPr>
        <w:t>l </w:t>
      </w:r>
      <w:r>
        <w:rPr>
          <w:rFonts w:ascii="Calibri" w:hAnsi="Calibri"/>
          <w:color w:val="231F1F"/>
          <w:w w:val="115"/>
        </w:rPr>
        <w:t>Antifungals: </w:t>
      </w:r>
      <w:r>
        <w:rPr>
          <w:color w:val="231F1F"/>
          <w:w w:val="115"/>
        </w:rPr>
        <w:t>histamine H</w:t>
      </w:r>
      <w:r>
        <w:rPr>
          <w:color w:val="231F1F"/>
          <w:w w:val="115"/>
          <w:vertAlign w:val="subscript"/>
        </w:rPr>
        <w:t>2</w:t>
      </w:r>
      <w:r>
        <w:rPr>
          <w:color w:val="231F1F"/>
          <w:w w:val="115"/>
          <w:vertAlign w:val="baseline"/>
        </w:rPr>
        <w:t>-antagonists reduce absorption of </w:t>
      </w:r>
      <w:r>
        <w:rPr>
          <w:rFonts w:ascii="Calibri" w:hAnsi="Calibri"/>
          <w:color w:val="008356"/>
          <w:spacing w:val="4"/>
          <w:w w:val="110"/>
          <w:sz w:val="11"/>
          <w:vertAlign w:val="baseline"/>
        </w:rPr>
        <w:t>ITRACONAZOLE</w:t>
      </w:r>
      <w:r>
        <w:rPr>
          <w:rFonts w:ascii="Calibri" w:hAnsi="Calibri"/>
          <w:color w:val="008356"/>
          <w:spacing w:val="-10"/>
          <w:w w:val="110"/>
          <w:sz w:val="11"/>
          <w:vertAlign w:val="baseline"/>
        </w:rPr>
        <w:t> </w:t>
      </w:r>
      <w:r>
        <w:rPr>
          <w:color w:val="231F1F"/>
          <w:w w:val="110"/>
          <w:vertAlign w:val="baseline"/>
        </w:rPr>
        <w:t>and</w:t>
      </w:r>
      <w:r>
        <w:rPr>
          <w:color w:val="231F1F"/>
          <w:spacing w:val="-19"/>
          <w:w w:val="110"/>
          <w:vertAlign w:val="baseline"/>
        </w:rPr>
        <w:t> </w:t>
      </w:r>
      <w:r>
        <w:rPr>
          <w:rFonts w:ascii="Calibri" w:hAnsi="Calibri"/>
          <w:color w:val="008356"/>
          <w:spacing w:val="4"/>
          <w:w w:val="110"/>
          <w:sz w:val="11"/>
          <w:vertAlign w:val="baseline"/>
        </w:rPr>
        <w:t>KETOCONAZOLE</w:t>
      </w:r>
      <w:r>
        <w:rPr>
          <w:color w:val="231F1F"/>
          <w:spacing w:val="4"/>
          <w:w w:val="110"/>
          <w:vertAlign w:val="baseline"/>
        </w:rPr>
        <w:t>;</w:t>
      </w:r>
      <w:r>
        <w:rPr>
          <w:color w:val="231F1F"/>
          <w:spacing w:val="-18"/>
          <w:w w:val="110"/>
          <w:vertAlign w:val="baseline"/>
        </w:rPr>
        <w:t> </w:t>
      </w:r>
      <w:r>
        <w:rPr>
          <w:color w:val="231F1F"/>
          <w:w w:val="110"/>
          <w:vertAlign w:val="baseline"/>
        </w:rPr>
        <w:t>cimetidine</w:t>
      </w:r>
      <w:r>
        <w:rPr>
          <w:color w:val="231F1F"/>
          <w:spacing w:val="-19"/>
          <w:w w:val="110"/>
          <w:vertAlign w:val="baseline"/>
        </w:rPr>
        <w:t> </w:t>
      </w:r>
      <w:r>
        <w:rPr>
          <w:color w:val="231F1F"/>
          <w:w w:val="110"/>
          <w:vertAlign w:val="baseline"/>
        </w:rPr>
        <w:t>reduces</w:t>
      </w:r>
      <w:r>
        <w:rPr>
          <w:color w:val="231F1F"/>
          <w:spacing w:val="-18"/>
          <w:w w:val="110"/>
          <w:vertAlign w:val="baseline"/>
        </w:rPr>
        <w:t> </w:t>
      </w:r>
      <w:r>
        <w:rPr>
          <w:color w:val="231F1F"/>
          <w:w w:val="110"/>
          <w:vertAlign w:val="baseline"/>
        </w:rPr>
        <w:t>plasma </w:t>
      </w:r>
      <w:r>
        <w:rPr>
          <w:color w:val="231F1F"/>
          <w:w w:val="115"/>
          <w:vertAlign w:val="baseline"/>
        </w:rPr>
        <w:t>concentration of </w:t>
      </w:r>
      <w:r>
        <w:rPr>
          <w:rFonts w:ascii="Arial" w:hAnsi="Arial"/>
          <w:color w:val="231F1F"/>
          <w:w w:val="355"/>
          <w:position w:val="1"/>
          <w:sz w:val="7"/>
          <w:vertAlign w:val="baseline"/>
        </w:rPr>
        <w:t>l </w:t>
      </w:r>
      <w:r>
        <w:rPr>
          <w:rFonts w:ascii="Calibri" w:hAnsi="Calibri"/>
          <w:color w:val="008356"/>
          <w:spacing w:val="2"/>
          <w:w w:val="115"/>
          <w:sz w:val="11"/>
          <w:vertAlign w:val="baseline"/>
        </w:rPr>
        <w:t>POSACONAZOLE</w:t>
      </w:r>
      <w:r>
        <w:rPr>
          <w:rFonts w:ascii="Arial" w:hAnsi="Arial"/>
          <w:color w:val="231F1F"/>
          <w:spacing w:val="2"/>
          <w:w w:val="115"/>
          <w:vertAlign w:val="baseline"/>
        </w:rPr>
        <w:t>—</w:t>
      </w:r>
      <w:r>
        <w:rPr>
          <w:color w:val="231F1F"/>
          <w:spacing w:val="2"/>
          <w:w w:val="115"/>
          <w:vertAlign w:val="baseline"/>
        </w:rPr>
        <w:t>manufacturer </w:t>
      </w:r>
      <w:r>
        <w:rPr>
          <w:color w:val="231F1F"/>
          <w:w w:val="115"/>
          <w:vertAlign w:val="baseline"/>
        </w:rPr>
        <w:t>of posaconazole </w:t>
      </w:r>
      <w:r>
        <w:rPr>
          <w:i/>
          <w:color w:val="231F1F"/>
          <w:w w:val="115"/>
          <w:vertAlign w:val="baseline"/>
        </w:rPr>
        <w:t>suspension </w:t>
      </w:r>
      <w:r>
        <w:rPr>
          <w:color w:val="231F1F"/>
          <w:w w:val="115"/>
          <w:vertAlign w:val="baseline"/>
        </w:rPr>
        <w:t>advises avoid concomitant use; famotidine, nizatidine and ranitidine possibly reduce</w:t>
      </w:r>
      <w:r>
        <w:rPr>
          <w:color w:val="231F1F"/>
          <w:spacing w:val="-24"/>
          <w:w w:val="115"/>
          <w:vertAlign w:val="baseline"/>
        </w:rPr>
        <w:t> </w:t>
      </w:r>
      <w:r>
        <w:rPr>
          <w:color w:val="231F1F"/>
          <w:spacing w:val="-3"/>
          <w:w w:val="115"/>
          <w:vertAlign w:val="baseline"/>
        </w:rPr>
        <w:t>plasma </w:t>
      </w:r>
      <w:r>
        <w:rPr>
          <w:color w:val="231F1F"/>
          <w:w w:val="115"/>
          <w:vertAlign w:val="baseline"/>
        </w:rPr>
        <w:t>concentration of </w:t>
      </w:r>
      <w:r>
        <w:rPr>
          <w:rFonts w:ascii="Arial" w:hAnsi="Arial"/>
          <w:color w:val="231F1F"/>
          <w:w w:val="355"/>
          <w:position w:val="1"/>
          <w:sz w:val="7"/>
          <w:vertAlign w:val="baseline"/>
        </w:rPr>
        <w:t>l </w:t>
      </w:r>
      <w:r>
        <w:rPr>
          <w:rFonts w:ascii="Calibri" w:hAnsi="Calibri"/>
          <w:color w:val="008356"/>
          <w:spacing w:val="2"/>
          <w:w w:val="115"/>
          <w:sz w:val="11"/>
          <w:vertAlign w:val="baseline"/>
        </w:rPr>
        <w:t>POSACONAZOLE</w:t>
      </w:r>
      <w:r>
        <w:rPr>
          <w:rFonts w:ascii="Arial" w:hAnsi="Arial"/>
          <w:color w:val="231F1F"/>
          <w:spacing w:val="2"/>
          <w:w w:val="115"/>
          <w:vertAlign w:val="baseline"/>
        </w:rPr>
        <w:t>—</w:t>
      </w:r>
      <w:r>
        <w:rPr>
          <w:color w:val="231F1F"/>
          <w:spacing w:val="2"/>
          <w:w w:val="115"/>
          <w:vertAlign w:val="baseline"/>
        </w:rPr>
        <w:t>manufacturer </w:t>
      </w:r>
      <w:r>
        <w:rPr>
          <w:color w:val="231F1F"/>
          <w:w w:val="115"/>
          <w:vertAlign w:val="baseline"/>
        </w:rPr>
        <w:t>of posaconazole </w:t>
      </w:r>
      <w:r>
        <w:rPr>
          <w:i/>
          <w:color w:val="231F1F"/>
          <w:w w:val="115"/>
          <w:vertAlign w:val="baseline"/>
        </w:rPr>
        <w:t>suspension </w:t>
      </w:r>
      <w:r>
        <w:rPr>
          <w:color w:val="231F1F"/>
          <w:w w:val="115"/>
          <w:vertAlign w:val="baseline"/>
        </w:rPr>
        <w:t>advises avoid concomitant use; cimetidine</w:t>
      </w:r>
      <w:r>
        <w:rPr>
          <w:color w:val="231F1F"/>
          <w:spacing w:val="-13"/>
          <w:w w:val="115"/>
          <w:vertAlign w:val="baseline"/>
        </w:rPr>
        <w:t> </w:t>
      </w:r>
      <w:r>
        <w:rPr>
          <w:color w:val="231F1F"/>
          <w:w w:val="115"/>
          <w:vertAlign w:val="baseline"/>
        </w:rPr>
        <w:t>increases</w:t>
      </w:r>
      <w:r>
        <w:rPr>
          <w:color w:val="231F1F"/>
          <w:spacing w:val="-13"/>
          <w:w w:val="115"/>
          <w:vertAlign w:val="baseline"/>
        </w:rPr>
        <w:t> </w:t>
      </w:r>
      <w:r>
        <w:rPr>
          <w:color w:val="231F1F"/>
          <w:w w:val="115"/>
          <w:vertAlign w:val="baseline"/>
        </w:rPr>
        <w:t>plasma</w:t>
      </w:r>
      <w:r>
        <w:rPr>
          <w:color w:val="231F1F"/>
          <w:spacing w:val="-12"/>
          <w:w w:val="115"/>
          <w:vertAlign w:val="baseline"/>
        </w:rPr>
        <w:t> </w:t>
      </w:r>
      <w:r>
        <w:rPr>
          <w:color w:val="231F1F"/>
          <w:w w:val="115"/>
          <w:vertAlign w:val="baseline"/>
        </w:rPr>
        <w:t>concentration</w:t>
      </w:r>
      <w:r>
        <w:rPr>
          <w:color w:val="231F1F"/>
          <w:spacing w:val="-13"/>
          <w:w w:val="115"/>
          <w:vertAlign w:val="baseline"/>
        </w:rPr>
        <w:t> </w:t>
      </w:r>
      <w:r>
        <w:rPr>
          <w:color w:val="231F1F"/>
          <w:w w:val="115"/>
          <w:vertAlign w:val="baseline"/>
        </w:rPr>
        <w:t>of</w:t>
      </w:r>
      <w:r>
        <w:rPr>
          <w:color w:val="231F1F"/>
          <w:spacing w:val="-11"/>
          <w:w w:val="115"/>
          <w:vertAlign w:val="baseline"/>
        </w:rPr>
        <w:t> </w:t>
      </w:r>
      <w:r>
        <w:rPr>
          <w:rFonts w:ascii="Calibri" w:hAnsi="Calibri"/>
          <w:color w:val="008356"/>
          <w:spacing w:val="5"/>
          <w:w w:val="115"/>
          <w:sz w:val="11"/>
          <w:vertAlign w:val="baseline"/>
        </w:rPr>
        <w:t>TERBINAFINE</w:t>
      </w:r>
    </w:p>
    <w:p>
      <w:pPr>
        <w:pStyle w:val="BodyText"/>
        <w:spacing w:line="232"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Antihistamines: </w:t>
      </w:r>
      <w:r>
        <w:rPr>
          <w:color w:val="231F1F"/>
          <w:w w:val="110"/>
        </w:rPr>
        <w:t>manufacturer of loratadine advises cimetidine possibly increases plasma concentration of </w:t>
      </w:r>
      <w:r>
        <w:rPr>
          <w:rFonts w:ascii="Calibri" w:hAnsi="Calibri"/>
          <w:color w:val="008356"/>
          <w:spacing w:val="3"/>
          <w:w w:val="110"/>
          <w:sz w:val="11"/>
        </w:rPr>
        <w:t>LORATADINE</w:t>
      </w:r>
      <w:r>
        <w:rPr>
          <w:color w:val="231F1F"/>
          <w:spacing w:val="3"/>
          <w:w w:val="110"/>
        </w:rPr>
        <w:t>; </w:t>
      </w:r>
      <w:r>
        <w:rPr>
          <w:color w:val="231F1F"/>
          <w:w w:val="110"/>
        </w:rPr>
        <w:t>cimetidine increases plasma concentration of</w:t>
      </w:r>
      <w:r>
        <w:rPr>
          <w:color w:val="231F1F"/>
          <w:spacing w:val="10"/>
          <w:w w:val="110"/>
        </w:rPr>
        <w:t> </w:t>
      </w:r>
      <w:r>
        <w:rPr>
          <w:rFonts w:ascii="Calibri" w:hAnsi="Calibri"/>
          <w:color w:val="008356"/>
          <w:spacing w:val="4"/>
          <w:w w:val="110"/>
          <w:sz w:val="11"/>
        </w:rPr>
        <w:t>HYDROXYZINE</w:t>
      </w:r>
    </w:p>
    <w:p>
      <w:pPr>
        <w:spacing w:line="242" w:lineRule="auto" w:before="0"/>
        <w:ind w:left="208" w:right="762"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cimetidine advised by manufacturer of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ARTEMETHER </w:t>
      </w:r>
      <w:r>
        <w:rPr>
          <w:rFonts w:ascii="Calibri"/>
          <w:color w:val="008356"/>
          <w:spacing w:val="3"/>
          <w:w w:val="110"/>
          <w:sz w:val="11"/>
        </w:rPr>
        <w:t>WITH </w:t>
      </w:r>
      <w:r>
        <w:rPr>
          <w:rFonts w:ascii="Calibri"/>
          <w:color w:val="008356"/>
          <w:spacing w:val="4"/>
          <w:w w:val="110"/>
          <w:sz w:val="11"/>
        </w:rPr>
        <w:t>LUMEFANTRINE</w:t>
      </w:r>
      <w:r>
        <w:rPr>
          <w:color w:val="231F1F"/>
          <w:spacing w:val="4"/>
          <w:w w:val="110"/>
          <w:sz w:val="12"/>
        </w:rPr>
        <w:t>; </w:t>
      </w:r>
      <w:r>
        <w:rPr>
          <w:color w:val="231F1F"/>
          <w:w w:val="110"/>
          <w:sz w:val="12"/>
        </w:rPr>
        <w:t>cimetidine inhibits metabolism of </w:t>
      </w:r>
      <w:r>
        <w:rPr>
          <w:rFonts w:ascii="Calibri"/>
          <w:color w:val="008356"/>
          <w:spacing w:val="4"/>
          <w:w w:val="110"/>
          <w:sz w:val="11"/>
        </w:rPr>
        <w:t>CHLOROQUINE</w:t>
      </w:r>
      <w:r>
        <w:rPr>
          <w:color w:val="231F1F"/>
          <w:spacing w:val="4"/>
          <w:w w:val="110"/>
          <w:sz w:val="12"/>
        </w:rPr>
        <w:t>, </w:t>
      </w:r>
      <w:r>
        <w:rPr>
          <w:rFonts w:ascii="Calibri"/>
          <w:color w:val="008356"/>
          <w:spacing w:val="4"/>
          <w:w w:val="105"/>
          <w:sz w:val="11"/>
        </w:rPr>
        <w:t>HYDROXYCHLOROQUINE </w:t>
      </w:r>
      <w:r>
        <w:rPr>
          <w:color w:val="231F1F"/>
          <w:w w:val="105"/>
          <w:sz w:val="12"/>
        </w:rPr>
        <w:t>and </w:t>
      </w:r>
      <w:r>
        <w:rPr>
          <w:rFonts w:ascii="Calibri"/>
          <w:color w:val="008356"/>
          <w:spacing w:val="4"/>
          <w:w w:val="105"/>
          <w:sz w:val="11"/>
        </w:rPr>
        <w:t>QUININE </w:t>
      </w:r>
      <w:r>
        <w:rPr>
          <w:color w:val="231F1F"/>
          <w:w w:val="105"/>
          <w:sz w:val="12"/>
        </w:rPr>
        <w:t>(increased plasma </w:t>
      </w:r>
      <w:r>
        <w:rPr>
          <w:color w:val="231F1F"/>
          <w:w w:val="110"/>
          <w:sz w:val="12"/>
        </w:rPr>
        <w:t>concentration)</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Antipsychotics: </w:t>
      </w:r>
      <w:r>
        <w:rPr>
          <w:color w:val="231F1F"/>
          <w:w w:val="105"/>
        </w:rPr>
        <w:t>cimetidine possibly enhances effects of</w:t>
      </w:r>
    </w:p>
    <w:p>
      <w:pPr>
        <w:spacing w:line="134" w:lineRule="exact" w:before="0"/>
        <w:ind w:left="208" w:right="0" w:firstLine="0"/>
        <w:jc w:val="left"/>
        <w:rPr>
          <w:rFonts w:ascii="Calibri"/>
          <w:sz w:val="11"/>
        </w:rPr>
      </w:pPr>
      <w:r>
        <w:rPr>
          <w:rFonts w:ascii="Calibri"/>
          <w:color w:val="008356"/>
          <w:w w:val="105"/>
          <w:sz w:val="11"/>
        </w:rPr>
        <w:t>ANTIPSYCHOTICS</w:t>
      </w:r>
      <w:r>
        <w:rPr>
          <w:color w:val="231F1F"/>
          <w:w w:val="105"/>
          <w:sz w:val="12"/>
        </w:rPr>
        <w:t>, </w:t>
      </w:r>
      <w:r>
        <w:rPr>
          <w:rFonts w:ascii="Calibri"/>
          <w:color w:val="008356"/>
          <w:w w:val="105"/>
          <w:sz w:val="11"/>
        </w:rPr>
        <w:t>CHLORPROMAZINE </w:t>
      </w:r>
      <w:r>
        <w:rPr>
          <w:color w:val="231F1F"/>
          <w:w w:val="105"/>
          <w:sz w:val="12"/>
        </w:rPr>
        <w:t>and </w:t>
      </w:r>
      <w:r>
        <w:rPr>
          <w:rFonts w:ascii="Calibri"/>
          <w:color w:val="008356"/>
          <w:w w:val="105"/>
          <w:sz w:val="11"/>
        </w:rPr>
        <w:t>CLOZAPINE</w:t>
      </w:r>
    </w:p>
    <w:p>
      <w:pPr>
        <w:pStyle w:val="BodyText"/>
        <w:spacing w:line="244" w:lineRule="auto"/>
        <w:ind w:right="735"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Antivirals:</w:t>
      </w:r>
      <w:r>
        <w:rPr>
          <w:rFonts w:ascii="Calibri" w:hAnsi="Calibri"/>
          <w:color w:val="231F1F"/>
          <w:spacing w:val="-7"/>
          <w:w w:val="115"/>
        </w:rPr>
        <w:t> </w:t>
      </w:r>
      <w:r>
        <w:rPr>
          <w:color w:val="231F1F"/>
          <w:w w:val="115"/>
        </w:rPr>
        <w:t>manufacturer</w:t>
      </w:r>
      <w:r>
        <w:rPr>
          <w:color w:val="231F1F"/>
          <w:spacing w:val="-12"/>
          <w:w w:val="115"/>
        </w:rPr>
        <w:t> </w:t>
      </w:r>
      <w:r>
        <w:rPr>
          <w:color w:val="231F1F"/>
          <w:w w:val="115"/>
        </w:rPr>
        <w:t>of</w:t>
      </w:r>
      <w:r>
        <w:rPr>
          <w:color w:val="231F1F"/>
          <w:spacing w:val="-11"/>
          <w:w w:val="115"/>
        </w:rPr>
        <w:t> </w:t>
      </w:r>
      <w:r>
        <w:rPr>
          <w:color w:val="231F1F"/>
          <w:w w:val="115"/>
        </w:rPr>
        <w:t>atazanavir</w:t>
      </w:r>
      <w:r>
        <w:rPr>
          <w:color w:val="231F1F"/>
          <w:spacing w:val="-10"/>
          <w:w w:val="115"/>
        </w:rPr>
        <w:t> </w:t>
      </w:r>
      <w:r>
        <w:rPr>
          <w:color w:val="231F1F"/>
          <w:w w:val="115"/>
        </w:rPr>
        <w:t>advises</w:t>
      </w:r>
      <w:r>
        <w:rPr>
          <w:color w:val="231F1F"/>
          <w:spacing w:val="-11"/>
          <w:w w:val="115"/>
        </w:rPr>
        <w:t> </w:t>
      </w:r>
      <w:r>
        <w:rPr>
          <w:color w:val="231F1F"/>
          <w:w w:val="115"/>
        </w:rPr>
        <w:t>adjust</w:t>
      </w:r>
      <w:r>
        <w:rPr>
          <w:color w:val="231F1F"/>
          <w:spacing w:val="-12"/>
          <w:w w:val="115"/>
        </w:rPr>
        <w:t> </w:t>
      </w:r>
      <w:r>
        <w:rPr>
          <w:color w:val="231F1F"/>
          <w:w w:val="115"/>
        </w:rPr>
        <w:t>doses</w:t>
      </w:r>
      <w:r>
        <w:rPr>
          <w:color w:val="231F1F"/>
          <w:spacing w:val="-11"/>
          <w:w w:val="115"/>
        </w:rPr>
        <w:t> </w:t>
      </w:r>
      <w:r>
        <w:rPr>
          <w:color w:val="231F1F"/>
          <w:spacing w:val="-7"/>
          <w:w w:val="115"/>
        </w:rPr>
        <w:t>of </w:t>
      </w:r>
      <w:r>
        <w:rPr>
          <w:color w:val="231F1F"/>
          <w:w w:val="115"/>
        </w:rPr>
        <w:t>both drugs when cimetidine and nizatidine given with </w:t>
      </w:r>
      <w:r>
        <w:rPr>
          <w:rFonts w:ascii="Calibri" w:hAnsi="Calibri"/>
          <w:color w:val="008356"/>
          <w:w w:val="115"/>
          <w:sz w:val="11"/>
        </w:rPr>
        <w:t>ATAZANAVIR</w:t>
      </w:r>
      <w:r>
        <w:rPr>
          <w:rFonts w:ascii="Arial" w:hAnsi="Arial"/>
          <w:color w:val="231F1F"/>
          <w:w w:val="115"/>
        </w:rPr>
        <w:t>—</w:t>
      </w:r>
      <w:r>
        <w:rPr>
          <w:color w:val="231F1F"/>
          <w:w w:val="115"/>
        </w:rPr>
        <w:t>consult atazanavir product literature; famotidine and ranitidine reduce the plasma concentration of </w:t>
      </w:r>
      <w:r>
        <w:rPr>
          <w:rFonts w:ascii="Arial" w:hAnsi="Arial"/>
          <w:color w:val="231F1F"/>
          <w:w w:val="355"/>
          <w:position w:val="1"/>
          <w:sz w:val="7"/>
        </w:rPr>
        <w:t>l </w:t>
      </w:r>
      <w:r>
        <w:rPr>
          <w:rFonts w:ascii="Calibri" w:hAnsi="Calibri"/>
          <w:color w:val="008356"/>
          <w:spacing w:val="2"/>
          <w:w w:val="115"/>
          <w:sz w:val="11"/>
        </w:rPr>
        <w:t>ATAZANAVIR </w:t>
      </w:r>
      <w:r>
        <w:rPr>
          <w:color w:val="231F1F"/>
          <w:w w:val="115"/>
        </w:rPr>
        <w:t>(adjust doses of both drugs</w:t>
      </w:r>
      <w:r>
        <w:rPr>
          <w:rFonts w:ascii="Arial" w:hAnsi="Arial"/>
          <w:color w:val="231F1F"/>
          <w:w w:val="115"/>
        </w:rPr>
        <w:t>—</w:t>
      </w:r>
      <w:r>
        <w:rPr>
          <w:color w:val="231F1F"/>
          <w:w w:val="115"/>
        </w:rPr>
        <w:t>consult atazanavir product literature); famotidine increases</w:t>
      </w:r>
      <w:r>
        <w:rPr>
          <w:color w:val="231F1F"/>
          <w:spacing w:val="-16"/>
          <w:w w:val="115"/>
        </w:rPr>
        <w:t> </w:t>
      </w:r>
      <w:r>
        <w:rPr>
          <w:color w:val="231F1F"/>
          <w:w w:val="115"/>
        </w:rPr>
        <w:t>plasma</w:t>
      </w:r>
    </w:p>
    <w:p>
      <w:pPr>
        <w:spacing w:after="0" w:line="244" w:lineRule="auto"/>
        <w:sectPr>
          <w:pgSz w:w="8390" w:h="11910"/>
          <w:pgMar w:header="0" w:footer="0" w:top="460" w:bottom="0" w:left="480" w:right="0"/>
          <w:cols w:num="2" w:equalWidth="0">
            <w:col w:w="3574" w:space="102"/>
            <w:col w:w="4234"/>
          </w:cols>
        </w:sectPr>
      </w:pPr>
    </w:p>
    <w:p>
      <w:pPr>
        <w:pStyle w:val="BodyText"/>
        <w:ind w:left="186"/>
        <w:rPr>
          <w:sz w:val="20"/>
        </w:rPr>
      </w:pPr>
      <w:r>
        <w:rPr>
          <w:sz w:val="20"/>
        </w:rPr>
        <w:pict>
          <v:group style="width:356.7pt;height:23.9pt;mso-position-horizontal-relative:char;mso-position-vertical-relative:line" coordorigin="0,0" coordsize="7134,478">
            <v:rect style="position:absolute;left:0;top:0;width:7134;height:478" filled="true" fillcolor="#008356" stroked="false">
              <v:fill type="solid"/>
            </v:rect>
            <v:shape style="position:absolute;left:120;top:139;width:2342;height:240" type="#_x0000_t202" filled="false" stroked="false">
              <v:textbox inset="0,0,0,0">
                <w:txbxContent>
                  <w:p>
                    <w:pPr>
                      <w:spacing w:line="234" w:lineRule="exact" w:before="0"/>
                      <w:ind w:left="0" w:right="0" w:firstLine="0"/>
                      <w:jc w:val="left"/>
                      <w:rPr>
                        <w:rFonts w:ascii="Arial"/>
                        <w:sz w:val="18"/>
                      </w:rPr>
                    </w:pPr>
                    <w:r>
                      <w:rPr>
                        <w:rFonts w:ascii="Trebuchet MS"/>
                        <w:color w:val="FFFFFF"/>
                        <w:sz w:val="21"/>
                      </w:rPr>
                      <w:t>1200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v:shape style="position:absolute;left:2850;top:159;width:1304;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@drmyothethan</w:t>
                    </w:r>
                  </w:p>
                </w:txbxContent>
              </v:textbox>
              <w10:wrap type="none"/>
            </v:shape>
            <v:shape style="position:absolute;left:6658;top:224;width:382;height:132" type="#_x0000_t202" filled="false" stroked="false">
              <v:textbox inset="0,0,0,0">
                <w:txbxContent>
                  <w:p>
                    <w:pPr>
                      <w:spacing w:line="131" w:lineRule="exact" w:before="0"/>
                      <w:ind w:left="0" w:right="0" w:firstLine="0"/>
                      <w:jc w:val="left"/>
                      <w:rPr>
                        <w:rFonts w:ascii="Calibri"/>
                        <w:sz w:val="11"/>
                      </w:rPr>
                    </w:pPr>
                    <w:r>
                      <w:rPr>
                        <w:rFonts w:ascii="Calibri"/>
                        <w:color w:val="FFFFFF"/>
                        <w:w w:val="105"/>
                        <w:sz w:val="11"/>
                      </w:rPr>
                      <w:t>BNF 70</w:t>
                    </w:r>
                  </w:p>
                </w:txbxContent>
              </v:textbox>
              <w10:wrap type="none"/>
            </v:shape>
          </v:group>
        </w:pict>
      </w:r>
      <w:r>
        <w:rPr>
          <w:sz w:val="20"/>
        </w:rPr>
      </w:r>
    </w:p>
    <w:p>
      <w:pPr>
        <w:pStyle w:val="BodyText"/>
        <w:spacing w:before="1"/>
        <w:ind w:left="0"/>
        <w:rPr>
          <w:sz w:val="6"/>
        </w:rPr>
      </w:pPr>
    </w:p>
    <w:p>
      <w:pPr>
        <w:spacing w:after="0"/>
        <w:rPr>
          <w:sz w:val="6"/>
        </w:rPr>
        <w:sectPr>
          <w:headerReference w:type="even" r:id="rId31"/>
          <w:pgSz w:w="8390" w:h="11910"/>
          <w:pgMar w:header="0" w:footer="0" w:top="0" w:bottom="0" w:left="480" w:right="0"/>
        </w:sectPr>
      </w:pPr>
    </w:p>
    <w:p>
      <w:pPr>
        <w:pStyle w:val="BodyText"/>
        <w:spacing w:before="68"/>
        <w:ind w:left="186"/>
        <w:rPr>
          <w:rFonts w:ascii="Arial"/>
        </w:rPr>
      </w:pPr>
      <w:r>
        <w:rPr/>
        <w:pict>
          <v:rect style="position:absolute;margin-left:0pt;margin-top:30.840979pt;width:20.353299pt;height:149.443pt;mso-position-horizontal-relative:page;mso-position-vertical-relative:page;z-index:4240" filled="true" fillcolor="#bfdbcf" stroked="false">
            <v:fill type="solid"/>
            <w10:wrap type="none"/>
          </v:rect>
        </w:pict>
      </w:r>
      <w:r>
        <w:rPr/>
        <w:pict>
          <v:shape style="position:absolute;margin-left:7.751256pt;margin-top:35.804367pt;width:10.4pt;height:78.850pt;mso-position-horizontal-relative:page;mso-position-vertical-relative:page;z-index:426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008356"/>
        </w:rPr>
        <w:t>Histamine H</w:t>
      </w:r>
      <w:r>
        <w:rPr>
          <w:rFonts w:ascii="Arial"/>
          <w:color w:val="008356"/>
          <w:vertAlign w:val="subscript"/>
        </w:rPr>
        <w:t>2</w:t>
      </w:r>
      <w:r>
        <w:rPr>
          <w:rFonts w:ascii="Arial"/>
          <w:color w:val="008356"/>
          <w:vertAlign w:val="baseline"/>
        </w:rPr>
        <w:t>-antagonists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Antivirals (continued)</w:t>
      </w:r>
    </w:p>
    <w:p>
      <w:pPr>
        <w:pStyle w:val="BodyText"/>
        <w:spacing w:line="247" w:lineRule="auto"/>
        <w:ind w:left="286" w:right="213"/>
        <w:rPr>
          <w:rFonts w:ascii="Calibri" w:hAnsi="Calibri"/>
          <w:sz w:val="11"/>
        </w:rPr>
      </w:pPr>
      <w:r>
        <w:rPr>
          <w:color w:val="231F1F"/>
          <w:w w:val="110"/>
        </w:rPr>
        <w:t>concentration of </w:t>
      </w:r>
      <w:r>
        <w:rPr>
          <w:rFonts w:ascii="Calibri" w:hAnsi="Calibri"/>
          <w:color w:val="008356"/>
          <w:w w:val="110"/>
          <w:sz w:val="11"/>
        </w:rPr>
        <w:t>RALTEGRAVIR</w:t>
      </w:r>
      <w:r>
        <w:rPr>
          <w:color w:val="231F1F"/>
          <w:w w:val="110"/>
        </w:rPr>
        <w:t>; avoidance of histamine H</w:t>
      </w:r>
      <w:r>
        <w:rPr>
          <w:color w:val="231F1F"/>
          <w:w w:val="110"/>
          <w:vertAlign w:val="subscript"/>
        </w:rPr>
        <w:t>2</w:t>
      </w:r>
      <w:r>
        <w:rPr>
          <w:color w:val="231F1F"/>
          <w:w w:val="110"/>
          <w:vertAlign w:val="baseline"/>
        </w:rPr>
        <w:t>- antagonists for 12 hours before or 4 hours after </w:t>
      </w:r>
      <w:r>
        <w:rPr>
          <w:rFonts w:ascii="Calibri" w:hAnsi="Calibri"/>
          <w:color w:val="008356"/>
          <w:w w:val="110"/>
          <w:sz w:val="11"/>
          <w:vertAlign w:val="baseline"/>
        </w:rPr>
        <w:t>RILPIVIRINE </w:t>
      </w:r>
      <w:r>
        <w:rPr>
          <w:color w:val="231F1F"/>
          <w:w w:val="110"/>
          <w:vertAlign w:val="baseline"/>
        </w:rPr>
        <w:t>advised by manufacturer of rilpivirine</w:t>
      </w:r>
      <w:r>
        <w:rPr>
          <w:rFonts w:ascii="Arial" w:hAnsi="Arial"/>
          <w:color w:val="231F1F"/>
          <w:w w:val="110"/>
          <w:vertAlign w:val="baseline"/>
        </w:rPr>
        <w:t>—</w:t>
      </w:r>
      <w:r>
        <w:rPr>
          <w:color w:val="231F1F"/>
          <w:w w:val="110"/>
          <w:vertAlign w:val="baseline"/>
        </w:rPr>
        <w:t>consult product literature; cimetidine possibly increases plasma concentration of </w:t>
      </w:r>
      <w:r>
        <w:rPr>
          <w:rFonts w:ascii="Calibri" w:hAnsi="Calibri"/>
          <w:color w:val="008356"/>
          <w:w w:val="110"/>
          <w:sz w:val="11"/>
          <w:vertAlign w:val="baseline"/>
        </w:rPr>
        <w:t>SAQUINAVIR</w:t>
      </w:r>
    </w:p>
    <w:p>
      <w:pPr>
        <w:pStyle w:val="BodyText"/>
        <w:spacing w:line="144" w:lineRule="exact"/>
        <w:ind w:left="186"/>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cimetidine inhibits metabolism</w:t>
      </w:r>
      <w:r>
        <w:rPr>
          <w:color w:val="231F1F"/>
          <w:spacing w:val="-12"/>
          <w:w w:val="105"/>
        </w:rPr>
        <w:t> </w:t>
      </w:r>
      <w:r>
        <w:rPr>
          <w:color w:val="231F1F"/>
          <w:w w:val="105"/>
        </w:rPr>
        <w:t>of</w:t>
      </w:r>
    </w:p>
    <w:p>
      <w:pPr>
        <w:spacing w:line="136" w:lineRule="exact" w:before="0"/>
        <w:ind w:left="286" w:right="0" w:firstLine="0"/>
        <w:jc w:val="left"/>
        <w:rPr>
          <w:sz w:val="12"/>
        </w:rPr>
      </w:pPr>
      <w:r>
        <w:rPr>
          <w:rFonts w:ascii="Calibri"/>
          <w:color w:val="008356"/>
          <w:spacing w:val="4"/>
          <w:w w:val="105"/>
          <w:sz w:val="11"/>
        </w:rPr>
        <w:t>BENZODIAZEPINES</w:t>
      </w:r>
      <w:r>
        <w:rPr>
          <w:color w:val="231F1F"/>
          <w:spacing w:val="4"/>
          <w:w w:val="105"/>
          <w:sz w:val="12"/>
        </w:rPr>
        <w:t>,</w:t>
      </w:r>
      <w:r>
        <w:rPr>
          <w:color w:val="231F1F"/>
          <w:spacing w:val="-12"/>
          <w:w w:val="105"/>
          <w:sz w:val="12"/>
        </w:rPr>
        <w:t> </w:t>
      </w:r>
      <w:r>
        <w:rPr>
          <w:rFonts w:ascii="Calibri"/>
          <w:color w:val="008356"/>
          <w:spacing w:val="4"/>
          <w:w w:val="105"/>
          <w:sz w:val="11"/>
        </w:rPr>
        <w:t>CLOMETHIAZOLE</w:t>
      </w:r>
      <w:r>
        <w:rPr>
          <w:rFonts w:ascii="Calibri"/>
          <w:color w:val="008356"/>
          <w:spacing w:val="1"/>
          <w:w w:val="105"/>
          <w:sz w:val="11"/>
        </w:rPr>
        <w:t> </w:t>
      </w:r>
      <w:r>
        <w:rPr>
          <w:color w:val="231F1F"/>
          <w:w w:val="105"/>
          <w:sz w:val="12"/>
        </w:rPr>
        <w:t>and</w:t>
      </w:r>
      <w:r>
        <w:rPr>
          <w:color w:val="231F1F"/>
          <w:spacing w:val="-8"/>
          <w:w w:val="105"/>
          <w:sz w:val="12"/>
        </w:rPr>
        <w:t> </w:t>
      </w:r>
      <w:r>
        <w:rPr>
          <w:rFonts w:ascii="Calibri"/>
          <w:color w:val="008356"/>
          <w:spacing w:val="4"/>
          <w:w w:val="105"/>
          <w:sz w:val="11"/>
        </w:rPr>
        <w:t>ZALEPLON</w:t>
      </w:r>
      <w:r>
        <w:rPr>
          <w:rFonts w:ascii="Calibri"/>
          <w:color w:val="008356"/>
          <w:spacing w:val="1"/>
          <w:w w:val="105"/>
          <w:sz w:val="11"/>
        </w:rPr>
        <w:t> </w:t>
      </w:r>
      <w:r>
        <w:rPr>
          <w:color w:val="231F1F"/>
          <w:w w:val="105"/>
          <w:sz w:val="12"/>
        </w:rPr>
        <w:t>(increased</w:t>
      </w:r>
    </w:p>
    <w:p>
      <w:pPr>
        <w:pStyle w:val="BodyText"/>
        <w:spacing w:line="249" w:lineRule="auto"/>
        <w:ind w:left="286"/>
        <w:rPr>
          <w:rFonts w:ascii="Calibri"/>
          <w:sz w:val="11"/>
        </w:rPr>
      </w:pPr>
      <w:r>
        <w:rPr>
          <w:color w:val="231F1F"/>
          <w:w w:val="115"/>
        </w:rPr>
        <w:t>plasma concentration); cimetidine increases plasma concentration of </w:t>
      </w:r>
      <w:r>
        <w:rPr>
          <w:rFonts w:ascii="Calibri"/>
          <w:color w:val="008356"/>
          <w:w w:val="115"/>
          <w:sz w:val="11"/>
        </w:rPr>
        <w:t>MELATONIN</w:t>
      </w:r>
    </w:p>
    <w:p>
      <w:pPr>
        <w:pStyle w:val="BodyText"/>
        <w:spacing w:line="145" w:lineRule="exact"/>
        <w:ind w:left="186"/>
      </w:pPr>
      <w:r>
        <w:rPr>
          <w:rFonts w:ascii="Lucida Sans Unicode" w:hAnsi="Lucida Sans Unicode"/>
          <w:color w:val="A7A8AC"/>
          <w:w w:val="95"/>
          <w:sz w:val="10"/>
        </w:rPr>
        <w:t>▶ </w:t>
      </w:r>
      <w:r>
        <w:rPr>
          <w:rFonts w:ascii="Calibri" w:hAnsi="Calibri"/>
          <w:color w:val="231F1F"/>
          <w:w w:val="105"/>
        </w:rPr>
        <w:t>Beta-blockers: </w:t>
      </w:r>
      <w:r>
        <w:rPr>
          <w:color w:val="231F1F"/>
          <w:w w:val="105"/>
        </w:rPr>
        <w:t>cimetidine increases plasma concentration of</w:t>
      </w:r>
    </w:p>
    <w:p>
      <w:pPr>
        <w:spacing w:line="135" w:lineRule="exact" w:before="0"/>
        <w:ind w:left="286" w:right="0" w:firstLine="0"/>
        <w:jc w:val="left"/>
        <w:rPr>
          <w:sz w:val="12"/>
        </w:rPr>
      </w:pPr>
      <w:r>
        <w:rPr>
          <w:rFonts w:ascii="Calibri"/>
          <w:color w:val="008356"/>
          <w:w w:val="105"/>
          <w:sz w:val="11"/>
        </w:rPr>
        <w:t>LABETALOL</w:t>
      </w:r>
      <w:r>
        <w:rPr>
          <w:color w:val="231F1F"/>
          <w:w w:val="105"/>
          <w:sz w:val="12"/>
        </w:rPr>
        <w:t>, </w:t>
      </w:r>
      <w:r>
        <w:rPr>
          <w:rFonts w:ascii="Calibri"/>
          <w:color w:val="008356"/>
          <w:w w:val="105"/>
          <w:sz w:val="11"/>
        </w:rPr>
        <w:t>METOPROLOL </w:t>
      </w:r>
      <w:r>
        <w:rPr>
          <w:color w:val="231F1F"/>
          <w:w w:val="105"/>
          <w:sz w:val="12"/>
        </w:rPr>
        <w:t>and </w:t>
      </w:r>
      <w:r>
        <w:rPr>
          <w:rFonts w:ascii="Calibri"/>
          <w:color w:val="008356"/>
          <w:w w:val="105"/>
          <w:sz w:val="11"/>
        </w:rPr>
        <w:t>PROPRANOLOL</w:t>
      </w:r>
      <w:r>
        <w:rPr>
          <w:color w:val="231F1F"/>
          <w:w w:val="105"/>
          <w:sz w:val="12"/>
        </w:rPr>
        <w:t>; cimetidine</w:t>
      </w:r>
    </w:p>
    <w:p>
      <w:pPr>
        <w:spacing w:line="140" w:lineRule="exact" w:before="3"/>
        <w:ind w:left="286" w:right="0" w:firstLine="0"/>
        <w:jc w:val="left"/>
        <w:rPr>
          <w:rFonts w:ascii="Calibri"/>
          <w:sz w:val="11"/>
        </w:rPr>
      </w:pPr>
      <w:r>
        <w:rPr>
          <w:color w:val="231F1F"/>
          <w:w w:val="110"/>
          <w:sz w:val="12"/>
        </w:rPr>
        <w:t>possibly increases plasma concentration of </w:t>
      </w:r>
      <w:r>
        <w:rPr>
          <w:i/>
          <w:color w:val="231F1F"/>
          <w:w w:val="110"/>
          <w:sz w:val="12"/>
        </w:rPr>
        <w:t>oral </w:t>
      </w:r>
      <w:r>
        <w:rPr>
          <w:rFonts w:ascii="Calibri"/>
          <w:color w:val="008356"/>
          <w:w w:val="110"/>
          <w:sz w:val="11"/>
        </w:rPr>
        <w:t>TIMOLOL</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Caffeine citrate: </w:t>
      </w:r>
      <w:r>
        <w:rPr>
          <w:color w:val="231F1F"/>
          <w:w w:val="105"/>
        </w:rPr>
        <w:t>cimetidine increases plasma concentration of</w:t>
      </w:r>
    </w:p>
    <w:p>
      <w:pPr>
        <w:spacing w:line="131" w:lineRule="exact" w:before="0"/>
        <w:ind w:left="286" w:right="0" w:firstLine="0"/>
        <w:jc w:val="left"/>
        <w:rPr>
          <w:rFonts w:ascii="Calibri"/>
          <w:sz w:val="11"/>
        </w:rPr>
      </w:pPr>
      <w:r>
        <w:rPr>
          <w:rFonts w:ascii="Calibri"/>
          <w:color w:val="008356"/>
          <w:sz w:val="11"/>
        </w:rPr>
        <w:t>CAFFEINE CITRATE</w:t>
      </w:r>
    </w:p>
    <w:p>
      <w:pPr>
        <w:pStyle w:val="BodyText"/>
        <w:spacing w:line="237" w:lineRule="auto"/>
        <w:ind w:left="286" w:right="17" w:hanging="100"/>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cimetidine possibly inhibits metabolism of </w:t>
      </w:r>
      <w:r>
        <w:rPr>
          <w:rFonts w:ascii="Calibri" w:hAnsi="Calibri"/>
          <w:color w:val="008356"/>
          <w:w w:val="105"/>
          <w:sz w:val="11"/>
        </w:rPr>
        <w:t>CALCIUM-CHANNEL BLOCKERS </w:t>
      </w:r>
      <w:r>
        <w:rPr>
          <w:color w:val="231F1F"/>
          <w:w w:val="105"/>
        </w:rPr>
        <w:t>(increased plasma concentration); cimetidine increases plasma concentration of </w:t>
      </w:r>
      <w:r>
        <w:rPr>
          <w:rFonts w:ascii="Calibri" w:hAnsi="Calibri"/>
          <w:color w:val="008356"/>
          <w:w w:val="105"/>
          <w:sz w:val="11"/>
        </w:rPr>
        <w:t>ISRADIPINE </w:t>
      </w:r>
      <w:r>
        <w:rPr>
          <w:color w:val="231F1F"/>
          <w:w w:val="105"/>
        </w:rPr>
        <w:t>(halve dose of isradipine)</w:t>
      </w:r>
    </w:p>
    <w:p>
      <w:pPr>
        <w:pStyle w:val="BodyText"/>
        <w:ind w:left="286" w:right="715"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cimetidine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4"/>
          <w:w w:val="110"/>
          <w:sz w:val="11"/>
        </w:rPr>
        <w:t>CICLOSPORIN</w:t>
      </w:r>
    </w:p>
    <w:p>
      <w:pPr>
        <w:pStyle w:val="BodyText"/>
        <w:spacing w:line="143" w:lineRule="exact"/>
        <w:ind w:left="186"/>
      </w:pPr>
      <w:r>
        <w:rPr>
          <w:rFonts w:ascii="Arial"/>
          <w:color w:val="231F1F"/>
          <w:w w:val="355"/>
          <w:position w:val="1"/>
          <w:sz w:val="7"/>
        </w:rPr>
        <w:t>l </w:t>
      </w:r>
      <w:r>
        <w:rPr>
          <w:rFonts w:ascii="Calibri"/>
          <w:color w:val="231F1F"/>
          <w:w w:val="110"/>
        </w:rPr>
        <w:t>Clopidogrel: </w:t>
      </w:r>
      <w:r>
        <w:rPr>
          <w:color w:val="231F1F"/>
          <w:w w:val="110"/>
        </w:rPr>
        <w:t>cimetidine possibly reduces antiplatelet effect of</w:t>
      </w:r>
    </w:p>
    <w:p>
      <w:pPr>
        <w:spacing w:line="133" w:lineRule="exact" w:before="3"/>
        <w:ind w:left="286" w:right="0" w:firstLine="0"/>
        <w:jc w:val="left"/>
        <w:rPr>
          <w:rFonts w:ascii="Calibri"/>
          <w:sz w:val="11"/>
        </w:rPr>
      </w:pPr>
      <w:r>
        <w:rPr>
          <w:rFonts w:ascii="Arial"/>
          <w:color w:val="231F1F"/>
          <w:w w:val="355"/>
          <w:position w:val="1"/>
          <w:sz w:val="7"/>
        </w:rPr>
        <w:t>l </w:t>
      </w:r>
      <w:r>
        <w:rPr>
          <w:rFonts w:ascii="Calibri"/>
          <w:color w:val="008356"/>
          <w:w w:val="115"/>
          <w:sz w:val="11"/>
        </w:rPr>
        <w:t>CLOPIDOGREL</w:t>
      </w:r>
    </w:p>
    <w:p>
      <w:pPr>
        <w:pStyle w:val="BodyText"/>
        <w:spacing w:line="244" w:lineRule="auto"/>
        <w:ind w:left="286" w:right="126" w:hanging="100"/>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Cytotoxics:</w:t>
      </w:r>
      <w:r>
        <w:rPr>
          <w:rFonts w:ascii="Calibri" w:hAnsi="Calibri"/>
          <w:color w:val="231F1F"/>
          <w:spacing w:val="-14"/>
          <w:w w:val="115"/>
        </w:rPr>
        <w:t> </w:t>
      </w:r>
      <w:r>
        <w:rPr>
          <w:color w:val="231F1F"/>
          <w:w w:val="115"/>
        </w:rPr>
        <w:t>cimetidine</w:t>
      </w:r>
      <w:r>
        <w:rPr>
          <w:color w:val="231F1F"/>
          <w:spacing w:val="-19"/>
          <w:w w:val="115"/>
        </w:rPr>
        <w:t> </w:t>
      </w:r>
      <w:r>
        <w:rPr>
          <w:color w:val="231F1F"/>
          <w:w w:val="115"/>
        </w:rPr>
        <w:t>possibly</w:t>
      </w:r>
      <w:r>
        <w:rPr>
          <w:color w:val="231F1F"/>
          <w:spacing w:val="-19"/>
          <w:w w:val="115"/>
        </w:rPr>
        <w:t> </w:t>
      </w:r>
      <w:r>
        <w:rPr>
          <w:color w:val="231F1F"/>
          <w:w w:val="115"/>
        </w:rPr>
        <w:t>enhances</w:t>
      </w:r>
      <w:r>
        <w:rPr>
          <w:color w:val="231F1F"/>
          <w:spacing w:val="-18"/>
          <w:w w:val="115"/>
        </w:rPr>
        <w:t> </w:t>
      </w:r>
      <w:r>
        <w:rPr>
          <w:color w:val="231F1F"/>
          <w:w w:val="115"/>
        </w:rPr>
        <w:t>myelosuppressive </w:t>
      </w:r>
      <w:r>
        <w:rPr>
          <w:color w:val="231F1F"/>
          <w:w w:val="110"/>
        </w:rPr>
        <w:t>effects of </w:t>
      </w:r>
      <w:r>
        <w:rPr>
          <w:rFonts w:ascii="Calibri" w:hAnsi="Calibri"/>
          <w:color w:val="008356"/>
          <w:spacing w:val="4"/>
          <w:w w:val="110"/>
          <w:sz w:val="11"/>
        </w:rPr>
        <w:t>CARMUSTINE </w:t>
      </w:r>
      <w:r>
        <w:rPr>
          <w:color w:val="231F1F"/>
          <w:w w:val="110"/>
        </w:rPr>
        <w:t>and </w:t>
      </w:r>
      <w:r>
        <w:rPr>
          <w:rFonts w:ascii="Calibri" w:hAnsi="Calibri"/>
          <w:color w:val="008356"/>
          <w:spacing w:val="4"/>
          <w:w w:val="110"/>
          <w:sz w:val="11"/>
        </w:rPr>
        <w:t>LOMUSTINE</w:t>
      </w:r>
      <w:r>
        <w:rPr>
          <w:color w:val="231F1F"/>
          <w:spacing w:val="4"/>
          <w:w w:val="110"/>
        </w:rPr>
        <w:t>; </w:t>
      </w:r>
      <w:r>
        <w:rPr>
          <w:color w:val="231F1F"/>
          <w:w w:val="110"/>
        </w:rPr>
        <w:t>cimetidine reduces plasma concentration of </w:t>
      </w:r>
      <w:r>
        <w:rPr>
          <w:rFonts w:ascii="Calibri" w:hAnsi="Calibri"/>
          <w:color w:val="008356"/>
          <w:spacing w:val="4"/>
          <w:w w:val="110"/>
          <w:sz w:val="11"/>
        </w:rPr>
        <w:t>DOXORUBICIN</w:t>
      </w:r>
      <w:r>
        <w:rPr>
          <w:color w:val="231F1F"/>
          <w:spacing w:val="4"/>
          <w:w w:val="110"/>
        </w:rPr>
        <w:t>; </w:t>
      </w:r>
      <w:r>
        <w:rPr>
          <w:color w:val="231F1F"/>
          <w:w w:val="110"/>
        </w:rPr>
        <w:t>cimetidine increases </w:t>
      </w:r>
      <w:r>
        <w:rPr>
          <w:color w:val="231F1F"/>
          <w:w w:val="115"/>
        </w:rPr>
        <w:t>plasma</w:t>
      </w:r>
      <w:r>
        <w:rPr>
          <w:color w:val="231F1F"/>
          <w:spacing w:val="-10"/>
          <w:w w:val="115"/>
        </w:rPr>
        <w:t> </w:t>
      </w:r>
      <w:r>
        <w:rPr>
          <w:color w:val="231F1F"/>
          <w:w w:val="115"/>
        </w:rPr>
        <w:t>concentration</w:t>
      </w:r>
      <w:r>
        <w:rPr>
          <w:color w:val="231F1F"/>
          <w:spacing w:val="-11"/>
          <w:w w:val="115"/>
        </w:rPr>
        <w:t> </w:t>
      </w:r>
      <w:r>
        <w:rPr>
          <w:color w:val="231F1F"/>
          <w:w w:val="115"/>
        </w:rPr>
        <w:t>of</w:t>
      </w:r>
      <w:r>
        <w:rPr>
          <w:color w:val="231F1F"/>
          <w:spacing w:val="-9"/>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5"/>
          <w:sz w:val="11"/>
        </w:rPr>
        <w:t>EPIRUBICIN</w:t>
      </w:r>
      <w:r>
        <w:rPr>
          <w:color w:val="231F1F"/>
          <w:spacing w:val="4"/>
          <w:w w:val="115"/>
        </w:rPr>
        <w:t>;</w:t>
      </w:r>
      <w:r>
        <w:rPr>
          <w:color w:val="231F1F"/>
          <w:spacing w:val="-9"/>
          <w:w w:val="115"/>
        </w:rPr>
        <w:t> </w:t>
      </w:r>
      <w:r>
        <w:rPr>
          <w:color w:val="231F1F"/>
          <w:w w:val="115"/>
        </w:rPr>
        <w:t>cimetidine</w:t>
      </w:r>
      <w:r>
        <w:rPr>
          <w:color w:val="231F1F"/>
          <w:spacing w:val="-10"/>
          <w:w w:val="115"/>
        </w:rPr>
        <w:t> </w:t>
      </w:r>
      <w:r>
        <w:rPr>
          <w:color w:val="231F1F"/>
          <w:w w:val="115"/>
        </w:rPr>
        <w:t>inhibits </w:t>
      </w:r>
      <w:r>
        <w:rPr>
          <w:color w:val="231F1F"/>
          <w:w w:val="110"/>
        </w:rPr>
        <w:t>metabolism of </w:t>
      </w:r>
      <w:r>
        <w:rPr>
          <w:rFonts w:ascii="Calibri" w:hAnsi="Calibri"/>
          <w:color w:val="008356"/>
          <w:spacing w:val="4"/>
          <w:w w:val="110"/>
          <w:sz w:val="11"/>
        </w:rPr>
        <w:t>CAPECITABINE</w:t>
      </w:r>
      <w:r>
        <w:rPr>
          <w:color w:val="231F1F"/>
          <w:spacing w:val="4"/>
          <w:w w:val="110"/>
        </w:rPr>
        <w:t>, </w:t>
      </w:r>
      <w:r>
        <w:rPr>
          <w:rFonts w:ascii="Calibri" w:hAnsi="Calibri"/>
          <w:color w:val="008356"/>
          <w:spacing w:val="4"/>
          <w:w w:val="110"/>
          <w:sz w:val="11"/>
        </w:rPr>
        <w:t>FLUOROURACIL </w:t>
      </w:r>
      <w:r>
        <w:rPr>
          <w:color w:val="231F1F"/>
          <w:w w:val="110"/>
        </w:rPr>
        <w:t>and </w:t>
      </w:r>
      <w:r>
        <w:rPr>
          <w:rFonts w:ascii="Calibri" w:hAnsi="Calibri"/>
          <w:color w:val="008356"/>
          <w:spacing w:val="5"/>
          <w:w w:val="110"/>
          <w:sz w:val="11"/>
        </w:rPr>
        <w:t>TEGAFUR </w:t>
      </w:r>
      <w:r>
        <w:rPr>
          <w:color w:val="231F1F"/>
          <w:w w:val="115"/>
        </w:rPr>
        <w:t>(increased plasma concentration); famotidine possibly reduces plasma concentration of </w:t>
      </w:r>
      <w:r>
        <w:rPr>
          <w:rFonts w:ascii="Calibri" w:hAnsi="Calibri"/>
          <w:color w:val="008356"/>
          <w:spacing w:val="4"/>
          <w:w w:val="115"/>
          <w:sz w:val="11"/>
        </w:rPr>
        <w:t>DASATINIB</w:t>
      </w:r>
      <w:r>
        <w:rPr>
          <w:color w:val="231F1F"/>
          <w:spacing w:val="4"/>
          <w:w w:val="115"/>
        </w:rPr>
        <w:t>; </w:t>
      </w:r>
      <w:r>
        <w:rPr>
          <w:color w:val="231F1F"/>
          <w:w w:val="115"/>
        </w:rPr>
        <w:t>avoidance of cimetidine, famotidine and nizatidine advised by manufacturer of </w:t>
      </w:r>
      <w:r>
        <w:rPr>
          <w:rFonts w:ascii="Arial" w:hAnsi="Arial"/>
          <w:color w:val="231F1F"/>
          <w:w w:val="355"/>
          <w:position w:val="1"/>
          <w:sz w:val="7"/>
        </w:rPr>
        <w:t>l </w:t>
      </w:r>
      <w:r>
        <w:rPr>
          <w:rFonts w:ascii="Calibri" w:hAnsi="Calibri"/>
          <w:color w:val="008356"/>
          <w:spacing w:val="4"/>
          <w:w w:val="115"/>
          <w:sz w:val="11"/>
        </w:rPr>
        <w:t>ERLOTINIB</w:t>
      </w:r>
      <w:r>
        <w:rPr>
          <w:color w:val="231F1F"/>
          <w:spacing w:val="4"/>
          <w:w w:val="115"/>
        </w:rPr>
        <w:t>; </w:t>
      </w:r>
      <w:r>
        <w:rPr>
          <w:color w:val="231F1F"/>
          <w:w w:val="115"/>
        </w:rPr>
        <w:t>ranitidine reduces plasma concentration of </w:t>
      </w:r>
      <w:r>
        <w:rPr>
          <w:rFonts w:ascii="Arial" w:hAnsi="Arial"/>
          <w:color w:val="231F1F"/>
          <w:w w:val="355"/>
          <w:position w:val="1"/>
          <w:sz w:val="7"/>
        </w:rPr>
        <w:t>l </w:t>
      </w:r>
      <w:r>
        <w:rPr>
          <w:rFonts w:ascii="Calibri" w:hAnsi="Calibri"/>
          <w:color w:val="008356"/>
          <w:w w:val="115"/>
          <w:sz w:val="11"/>
        </w:rPr>
        <w:t>ERLOTINIB</w:t>
      </w:r>
      <w:r>
        <w:rPr>
          <w:rFonts w:ascii="Arial" w:hAnsi="Arial"/>
          <w:color w:val="231F1F"/>
          <w:w w:val="115"/>
        </w:rPr>
        <w:t>—</w:t>
      </w:r>
      <w:r>
        <w:rPr>
          <w:color w:val="231F1F"/>
          <w:w w:val="115"/>
        </w:rPr>
        <w:t>manufacturer of erlotinib advises give at least 2 hours before or 10 hours after ranitidine; ranitidine reduces plasma concentration</w:t>
      </w:r>
      <w:r>
        <w:rPr>
          <w:color w:val="231F1F"/>
          <w:spacing w:val="-14"/>
          <w:w w:val="115"/>
        </w:rPr>
        <w:t> </w:t>
      </w:r>
      <w:r>
        <w:rPr>
          <w:color w:val="231F1F"/>
          <w:w w:val="115"/>
        </w:rPr>
        <w:t>of</w:t>
      </w:r>
    </w:p>
    <w:p>
      <w:pPr>
        <w:pStyle w:val="BodyText"/>
        <w:spacing w:line="244" w:lineRule="auto"/>
        <w:ind w:left="286" w:right="37"/>
      </w:pPr>
      <w:r>
        <w:rPr>
          <w:rFonts w:ascii="Arial" w:hAnsi="Arial"/>
          <w:color w:val="231F1F"/>
          <w:w w:val="355"/>
          <w:position w:val="1"/>
          <w:sz w:val="7"/>
        </w:rPr>
        <w:t>l </w:t>
      </w:r>
      <w:r>
        <w:rPr>
          <w:rFonts w:ascii="Calibri" w:hAnsi="Calibri"/>
          <w:color w:val="008356"/>
          <w:spacing w:val="4"/>
          <w:w w:val="120"/>
          <w:sz w:val="11"/>
        </w:rPr>
        <w:t>GEFITINIB</w:t>
      </w:r>
      <w:r>
        <w:rPr>
          <w:color w:val="231F1F"/>
          <w:spacing w:val="4"/>
          <w:w w:val="120"/>
        </w:rPr>
        <w:t>; </w:t>
      </w:r>
      <w:r>
        <w:rPr>
          <w:color w:val="231F1F"/>
          <w:w w:val="120"/>
        </w:rPr>
        <w:t>histamine H</w:t>
      </w:r>
      <w:r>
        <w:rPr>
          <w:color w:val="231F1F"/>
          <w:w w:val="120"/>
          <w:vertAlign w:val="subscript"/>
        </w:rPr>
        <w:t>2</w:t>
      </w:r>
      <w:r>
        <w:rPr>
          <w:color w:val="231F1F"/>
          <w:w w:val="120"/>
          <w:vertAlign w:val="baseline"/>
        </w:rPr>
        <w:t>-antagonists possibly reduce </w:t>
      </w:r>
      <w:r>
        <w:rPr>
          <w:color w:val="231F1F"/>
          <w:w w:val="115"/>
          <w:vertAlign w:val="baseline"/>
        </w:rPr>
        <w:t>absorption of </w:t>
      </w:r>
      <w:r>
        <w:rPr>
          <w:rFonts w:ascii="Calibri" w:hAnsi="Calibri"/>
          <w:color w:val="008356"/>
          <w:spacing w:val="3"/>
          <w:w w:val="115"/>
          <w:sz w:val="11"/>
          <w:vertAlign w:val="baseline"/>
        </w:rPr>
        <w:t>LAPATINIB</w:t>
      </w:r>
      <w:r>
        <w:rPr>
          <w:color w:val="231F1F"/>
          <w:spacing w:val="3"/>
          <w:w w:val="115"/>
          <w:vertAlign w:val="baseline"/>
        </w:rPr>
        <w:t>; </w:t>
      </w:r>
      <w:r>
        <w:rPr>
          <w:color w:val="231F1F"/>
          <w:w w:val="115"/>
          <w:vertAlign w:val="baseline"/>
        </w:rPr>
        <w:t>histamine H</w:t>
      </w:r>
      <w:r>
        <w:rPr>
          <w:color w:val="231F1F"/>
          <w:w w:val="115"/>
          <w:vertAlign w:val="subscript"/>
        </w:rPr>
        <w:t>2</w:t>
      </w:r>
      <w:r>
        <w:rPr>
          <w:color w:val="231F1F"/>
          <w:w w:val="115"/>
          <w:vertAlign w:val="baseline"/>
        </w:rPr>
        <w:t>-antagonists possibly reduce</w:t>
      </w:r>
      <w:r>
        <w:rPr>
          <w:color w:val="231F1F"/>
          <w:spacing w:val="-20"/>
          <w:w w:val="115"/>
          <w:vertAlign w:val="baseline"/>
        </w:rPr>
        <w:t> </w:t>
      </w:r>
      <w:r>
        <w:rPr>
          <w:color w:val="231F1F"/>
          <w:w w:val="115"/>
          <w:vertAlign w:val="baseline"/>
        </w:rPr>
        <w:t>absorption</w:t>
      </w:r>
      <w:r>
        <w:rPr>
          <w:color w:val="231F1F"/>
          <w:spacing w:val="-21"/>
          <w:w w:val="115"/>
          <w:vertAlign w:val="baseline"/>
        </w:rPr>
        <w:t> </w:t>
      </w:r>
      <w:r>
        <w:rPr>
          <w:color w:val="231F1F"/>
          <w:w w:val="115"/>
          <w:vertAlign w:val="baseline"/>
        </w:rPr>
        <w:t>of</w:t>
      </w:r>
      <w:r>
        <w:rPr>
          <w:color w:val="231F1F"/>
          <w:spacing w:val="-19"/>
          <w:w w:val="115"/>
          <w:vertAlign w:val="baseline"/>
        </w:rPr>
        <w:t> </w:t>
      </w:r>
      <w:r>
        <w:rPr>
          <w:rFonts w:ascii="Calibri" w:hAnsi="Calibri"/>
          <w:color w:val="008356"/>
          <w:w w:val="115"/>
          <w:sz w:val="11"/>
          <w:vertAlign w:val="baseline"/>
        </w:rPr>
        <w:t>PAZOPANIB</w:t>
      </w:r>
      <w:r>
        <w:rPr>
          <w:rFonts w:ascii="Arial" w:hAnsi="Arial"/>
          <w:color w:val="231F1F"/>
          <w:w w:val="115"/>
          <w:vertAlign w:val="baseline"/>
        </w:rPr>
        <w:t>—</w:t>
      </w:r>
      <w:r>
        <w:rPr>
          <w:color w:val="231F1F"/>
          <w:w w:val="115"/>
          <w:vertAlign w:val="baseline"/>
        </w:rPr>
        <w:t>manufacturer</w:t>
      </w:r>
      <w:r>
        <w:rPr>
          <w:color w:val="231F1F"/>
          <w:spacing w:val="-20"/>
          <w:w w:val="115"/>
          <w:vertAlign w:val="baseline"/>
        </w:rPr>
        <w:t> </w:t>
      </w:r>
      <w:r>
        <w:rPr>
          <w:color w:val="231F1F"/>
          <w:w w:val="115"/>
          <w:vertAlign w:val="baseline"/>
        </w:rPr>
        <w:t>of</w:t>
      </w:r>
      <w:r>
        <w:rPr>
          <w:color w:val="231F1F"/>
          <w:spacing w:val="-20"/>
          <w:w w:val="115"/>
          <w:vertAlign w:val="baseline"/>
        </w:rPr>
        <w:t> </w:t>
      </w:r>
      <w:r>
        <w:rPr>
          <w:color w:val="231F1F"/>
          <w:w w:val="115"/>
          <w:vertAlign w:val="baseline"/>
        </w:rPr>
        <w:t>pazopanib </w:t>
      </w:r>
      <w:r>
        <w:rPr>
          <w:color w:val="231F1F"/>
          <w:w w:val="120"/>
          <w:vertAlign w:val="baseline"/>
        </w:rPr>
        <w:t>advises give at least 2 hours before or 10 hours after histamine</w:t>
      </w:r>
      <w:r>
        <w:rPr>
          <w:color w:val="231F1F"/>
          <w:spacing w:val="-7"/>
          <w:w w:val="120"/>
          <w:vertAlign w:val="baseline"/>
        </w:rPr>
        <w:t> </w:t>
      </w:r>
      <w:r>
        <w:rPr>
          <w:color w:val="231F1F"/>
          <w:w w:val="120"/>
          <w:vertAlign w:val="baseline"/>
        </w:rPr>
        <w:t>H</w:t>
      </w:r>
      <w:r>
        <w:rPr>
          <w:color w:val="231F1F"/>
          <w:w w:val="120"/>
          <w:vertAlign w:val="subscript"/>
        </w:rPr>
        <w:t>2</w:t>
      </w:r>
      <w:r>
        <w:rPr>
          <w:color w:val="231F1F"/>
          <w:w w:val="120"/>
          <w:vertAlign w:val="baseline"/>
        </w:rPr>
        <w:t>-antagonists</w:t>
      </w:r>
    </w:p>
    <w:p>
      <w:pPr>
        <w:spacing w:line="150"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sz w:val="12"/>
        </w:rPr>
        <w:t>Dopaminergics: </w:t>
      </w:r>
      <w:r>
        <w:rPr>
          <w:color w:val="231F1F"/>
          <w:sz w:val="12"/>
        </w:rPr>
        <w:t>cimetidine reduces excretion of </w:t>
      </w:r>
      <w:r>
        <w:rPr>
          <w:rFonts w:ascii="Calibri" w:hAnsi="Calibri"/>
          <w:color w:val="008356"/>
          <w:sz w:val="11"/>
        </w:rPr>
        <w:t>PRAMIPEXOLE</w:t>
      </w:r>
    </w:p>
    <w:p>
      <w:pPr>
        <w:pStyle w:val="BodyText"/>
        <w:spacing w:line="131" w:lineRule="exact"/>
        <w:ind w:left="286"/>
      </w:pPr>
      <w:r>
        <w:rPr>
          <w:color w:val="231F1F"/>
          <w:w w:val="115"/>
        </w:rPr>
        <w:t>(increased plasma concentration)</w:t>
      </w:r>
    </w:p>
    <w:p>
      <w:pPr>
        <w:pStyle w:val="BodyText"/>
        <w:spacing w:before="1"/>
        <w:ind w:left="286"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cimetidine given with </w:t>
      </w: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ind w:left="286" w:right="28" w:hanging="100"/>
        <w:rPr>
          <w:rFonts w:ascii="Calibri"/>
          <w:sz w:val="11"/>
        </w:rPr>
      </w:pPr>
      <w:r>
        <w:rPr>
          <w:rFonts w:ascii="Arial"/>
          <w:color w:val="231F1F"/>
          <w:w w:val="355"/>
          <w:position w:val="1"/>
          <w:sz w:val="7"/>
        </w:rPr>
        <w:t>l </w:t>
      </w:r>
      <w:r>
        <w:rPr>
          <w:rFonts w:ascii="Calibri"/>
          <w:color w:val="231F1F"/>
          <w:w w:val="110"/>
        </w:rPr>
        <w:t>Fampridine: </w:t>
      </w:r>
      <w:r>
        <w:rPr>
          <w:color w:val="231F1F"/>
          <w:w w:val="110"/>
        </w:rPr>
        <w:t>avoidance of cimetidine advised by manufacturer of </w:t>
      </w:r>
      <w:r>
        <w:rPr>
          <w:rFonts w:ascii="Arial"/>
          <w:color w:val="231F1F"/>
          <w:w w:val="355"/>
          <w:position w:val="1"/>
          <w:sz w:val="7"/>
        </w:rPr>
        <w:t>l </w:t>
      </w:r>
      <w:r>
        <w:rPr>
          <w:rFonts w:ascii="Calibri"/>
          <w:color w:val="008356"/>
          <w:w w:val="110"/>
          <w:sz w:val="11"/>
        </w:rPr>
        <w:t>FAMPRIDINE</w:t>
      </w:r>
    </w:p>
    <w:p>
      <w:pPr>
        <w:pStyle w:val="BodyText"/>
        <w:spacing w:line="230" w:lineRule="auto"/>
        <w:ind w:left="286" w:right="50" w:hanging="100"/>
      </w:pPr>
      <w:r>
        <w:rPr>
          <w:rFonts w:ascii="Lucida Sans Unicode" w:hAnsi="Lucida Sans Unicode"/>
          <w:color w:val="A7A8AC"/>
          <w:w w:val="95"/>
          <w:sz w:val="10"/>
        </w:rPr>
        <w:t>▶ </w:t>
      </w:r>
      <w:r>
        <w:rPr>
          <w:rFonts w:ascii="Calibri" w:hAnsi="Calibri"/>
          <w:color w:val="231F1F"/>
          <w:w w:val="110"/>
        </w:rPr>
        <w:t>Histamine: </w:t>
      </w:r>
      <w:r>
        <w:rPr>
          <w:color w:val="231F1F"/>
          <w:w w:val="110"/>
        </w:rPr>
        <w:t>histamine H</w:t>
      </w:r>
      <w:r>
        <w:rPr>
          <w:color w:val="231F1F"/>
          <w:w w:val="110"/>
          <w:vertAlign w:val="subscript"/>
        </w:rPr>
        <w:t>2</w:t>
      </w:r>
      <w:r>
        <w:rPr>
          <w:color w:val="231F1F"/>
          <w:w w:val="110"/>
          <w:vertAlign w:val="baseline"/>
        </w:rPr>
        <w:t>-antagonists theoretically antagonise effects of </w:t>
      </w:r>
      <w:r>
        <w:rPr>
          <w:rFonts w:ascii="Calibri" w:hAnsi="Calibri"/>
          <w:color w:val="008356"/>
          <w:w w:val="110"/>
          <w:sz w:val="11"/>
          <w:vertAlign w:val="baseline"/>
        </w:rPr>
        <w:t>HISTAMINE</w:t>
      </w:r>
      <w:r>
        <w:rPr>
          <w:rFonts w:ascii="Arial" w:hAnsi="Arial"/>
          <w:color w:val="231F1F"/>
          <w:w w:val="110"/>
          <w:vertAlign w:val="baseline"/>
        </w:rPr>
        <w:t>—</w:t>
      </w:r>
      <w:r>
        <w:rPr>
          <w:color w:val="231F1F"/>
          <w:w w:val="110"/>
          <w:vertAlign w:val="baseline"/>
        </w:rPr>
        <w:t>manufacturer of histamine advises avoid concomitant</w:t>
      </w:r>
      <w:r>
        <w:rPr>
          <w:color w:val="231F1F"/>
          <w:spacing w:val="-4"/>
          <w:w w:val="110"/>
          <w:vertAlign w:val="baseline"/>
        </w:rPr>
        <w:t> </w:t>
      </w:r>
      <w:r>
        <w:rPr>
          <w:color w:val="231F1F"/>
          <w:w w:val="110"/>
          <w:vertAlign w:val="baseline"/>
        </w:rPr>
        <w:t>use</w:t>
      </w:r>
    </w:p>
    <w:p>
      <w:pPr>
        <w:pStyle w:val="BodyText"/>
        <w:spacing w:line="220" w:lineRule="auto" w:before="9"/>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Hormone Antagonists: </w:t>
      </w:r>
      <w:r>
        <w:rPr>
          <w:color w:val="231F1F"/>
          <w:w w:val="105"/>
        </w:rPr>
        <w:t>absorption of cimetidine possibly delayed by</w:t>
      </w:r>
      <w:r>
        <w:rPr>
          <w:color w:val="231F1F"/>
          <w:spacing w:val="-2"/>
          <w:w w:val="105"/>
        </w:rPr>
        <w:t> </w:t>
      </w:r>
      <w:r>
        <w:rPr>
          <w:rFonts w:ascii="Calibri" w:hAnsi="Calibri"/>
          <w:color w:val="008356"/>
          <w:spacing w:val="4"/>
          <w:w w:val="105"/>
          <w:sz w:val="11"/>
        </w:rPr>
        <w:t>OCTREOTIDE</w:t>
      </w:r>
    </w:p>
    <w:p>
      <w:pPr>
        <w:pStyle w:val="BodyText"/>
        <w:spacing w:line="152" w:lineRule="exact"/>
        <w:ind w:left="186"/>
      </w:pPr>
      <w:r>
        <w:rPr>
          <w:rFonts w:ascii="Lucida Sans Unicode" w:hAnsi="Lucida Sans Unicode"/>
          <w:color w:val="A7A8AC"/>
          <w:w w:val="95"/>
          <w:sz w:val="10"/>
        </w:rPr>
        <w:t>▶ </w:t>
      </w:r>
      <w:r>
        <w:rPr>
          <w:rFonts w:ascii="Calibri" w:hAnsi="Calibri"/>
          <w:color w:val="231F1F"/>
        </w:rPr>
        <w:t>5HT</w:t>
      </w:r>
      <w:r>
        <w:rPr>
          <w:rFonts w:ascii="Calibri" w:hAnsi="Calibri"/>
          <w:color w:val="231F1F"/>
          <w:vertAlign w:val="subscript"/>
        </w:rPr>
        <w:t>1</w:t>
      </w:r>
      <w:r>
        <w:rPr>
          <w:rFonts w:ascii="Calibri" w:hAnsi="Calibri"/>
          <w:color w:val="231F1F"/>
          <w:vertAlign w:val="baseline"/>
        </w:rPr>
        <w:t>-receptor Agonists: </w:t>
      </w:r>
      <w:r>
        <w:rPr>
          <w:color w:val="231F1F"/>
          <w:vertAlign w:val="baseline"/>
        </w:rPr>
        <w:t>cimetidine inhibits metabolism of</w:t>
      </w:r>
    </w:p>
    <w:p>
      <w:pPr>
        <w:spacing w:line="134" w:lineRule="exact" w:before="0"/>
        <w:ind w:left="286" w:right="0" w:firstLine="0"/>
        <w:jc w:val="left"/>
        <w:rPr>
          <w:sz w:val="12"/>
        </w:rPr>
      </w:pPr>
      <w:r>
        <w:rPr>
          <w:rFonts w:ascii="Calibri"/>
          <w:color w:val="008356"/>
          <w:w w:val="115"/>
          <w:sz w:val="11"/>
        </w:rPr>
        <w:t>ZOLMITRIPTAN </w:t>
      </w:r>
      <w:r>
        <w:rPr>
          <w:color w:val="231F1F"/>
          <w:w w:val="115"/>
          <w:sz w:val="12"/>
        </w:rPr>
        <w:t>(reduce dose of zolmitriptan)</w:t>
      </w:r>
    </w:p>
    <w:p>
      <w:pPr>
        <w:pStyle w:val="BodyText"/>
        <w:spacing w:line="235" w:lineRule="auto" w:before="1"/>
        <w:ind w:left="286" w:right="456" w:hanging="100"/>
        <w:rPr>
          <w:rFonts w:ascii="Calibri" w:hAnsi="Calibri"/>
          <w:sz w:val="11"/>
        </w:rPr>
      </w:pPr>
      <w:r>
        <w:rPr>
          <w:rFonts w:ascii="Lucida Sans Unicode" w:hAnsi="Lucida Sans Unicode"/>
          <w:color w:val="A7A8AC"/>
          <w:w w:val="95"/>
          <w:sz w:val="10"/>
        </w:rPr>
        <w:t>▶ </w:t>
      </w:r>
      <w:r>
        <w:rPr>
          <w:rFonts w:ascii="Calibri" w:hAnsi="Calibri"/>
          <w:color w:val="231F1F"/>
          <w:w w:val="110"/>
        </w:rPr>
        <w:t>Lipid-regulating Drugs: </w:t>
      </w:r>
      <w:r>
        <w:rPr>
          <w:color w:val="231F1F"/>
          <w:w w:val="110"/>
        </w:rPr>
        <w:t>separating administration from cimetidine and ranitidine by 12 hours advised by manufacturer of </w:t>
      </w:r>
      <w:r>
        <w:rPr>
          <w:rFonts w:ascii="Calibri" w:hAnsi="Calibri"/>
          <w:color w:val="008356"/>
          <w:w w:val="110"/>
          <w:sz w:val="11"/>
        </w:rPr>
        <w:t>LOMITAPIDE</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Roflumilast: </w:t>
      </w:r>
      <w:r>
        <w:rPr>
          <w:color w:val="231F1F"/>
          <w:w w:val="105"/>
        </w:rPr>
        <w:t>cimetidine inhibits the metabolism of</w:t>
      </w:r>
    </w:p>
    <w:p>
      <w:pPr>
        <w:spacing w:line="130" w:lineRule="exact" w:before="0"/>
        <w:ind w:left="286" w:right="0" w:firstLine="0"/>
        <w:jc w:val="left"/>
        <w:rPr>
          <w:rFonts w:ascii="Calibri"/>
          <w:sz w:val="11"/>
        </w:rPr>
      </w:pPr>
      <w:r>
        <w:rPr>
          <w:rFonts w:ascii="Calibri"/>
          <w:color w:val="008356"/>
          <w:spacing w:val="4"/>
          <w:sz w:val="11"/>
        </w:rPr>
        <w:t>ROFLUMILAST</w:t>
      </w:r>
    </w:p>
    <w:p>
      <w:pPr>
        <w:pStyle w:val="BodyText"/>
        <w:spacing w:line="230" w:lineRule="auto" w:before="4"/>
        <w:ind w:left="286" w:right="113" w:hanging="100"/>
      </w:pPr>
      <w:r>
        <w:rPr>
          <w:rFonts w:ascii="Lucida Sans Unicode" w:hAnsi="Lucida Sans Unicode"/>
          <w:color w:val="A7A8AC"/>
          <w:w w:val="95"/>
          <w:sz w:val="10"/>
        </w:rPr>
        <w:t>▶ </w:t>
      </w:r>
      <w:r>
        <w:rPr>
          <w:rFonts w:ascii="Calibri" w:hAnsi="Calibri"/>
          <w:color w:val="231F1F"/>
          <w:w w:val="110"/>
        </w:rPr>
        <w:t>Sildenafil: </w:t>
      </w:r>
      <w:r>
        <w:rPr>
          <w:color w:val="231F1F"/>
          <w:w w:val="110"/>
        </w:rPr>
        <w:t>cimetidine increases plasma concentration of </w:t>
      </w:r>
      <w:r>
        <w:rPr>
          <w:rFonts w:ascii="Calibri" w:hAnsi="Calibri"/>
          <w:color w:val="008356"/>
          <w:spacing w:val="2"/>
          <w:w w:val="110"/>
          <w:sz w:val="11"/>
        </w:rPr>
        <w:t>SILDENAFIL</w:t>
      </w:r>
      <w:r>
        <w:rPr>
          <w:rFonts w:ascii="Arial" w:hAnsi="Arial"/>
          <w:color w:val="231F1F"/>
          <w:spacing w:val="2"/>
          <w:w w:val="110"/>
        </w:rPr>
        <w:t>—</w:t>
      </w:r>
      <w:r>
        <w:rPr>
          <w:color w:val="231F1F"/>
          <w:spacing w:val="2"/>
          <w:w w:val="110"/>
        </w:rPr>
        <w:t>consider </w:t>
      </w:r>
      <w:r>
        <w:rPr>
          <w:color w:val="231F1F"/>
          <w:w w:val="110"/>
        </w:rPr>
        <w:t>reducing dose of sildenafil for erectile dysfunction</w:t>
      </w:r>
    </w:p>
    <w:p>
      <w:pPr>
        <w:pStyle w:val="BodyText"/>
        <w:spacing w:line="156" w:lineRule="exact" w:before="3"/>
        <w:ind w:left="186"/>
      </w:pPr>
      <w:r>
        <w:rPr>
          <w:rFonts w:ascii="Lucida Sans Unicode" w:hAnsi="Lucida Sans Unicode"/>
          <w:color w:val="A7A8AC"/>
          <w:w w:val="95"/>
          <w:sz w:val="10"/>
        </w:rPr>
        <w:t>▶ </w:t>
      </w:r>
      <w:r>
        <w:rPr>
          <w:rFonts w:ascii="Calibri" w:hAnsi="Calibri"/>
          <w:color w:val="231F1F"/>
        </w:rPr>
        <w:t>Sympathomimetics: </w:t>
      </w:r>
      <w:r>
        <w:rPr>
          <w:color w:val="231F1F"/>
        </w:rPr>
        <w:t>cimetidine possibly inhibits metabolism of</w:t>
      </w:r>
    </w:p>
    <w:p>
      <w:pPr>
        <w:spacing w:line="130" w:lineRule="exact" w:before="0"/>
        <w:ind w:left="286" w:right="0" w:firstLine="0"/>
        <w:jc w:val="left"/>
        <w:rPr>
          <w:rFonts w:ascii="Calibri"/>
          <w:sz w:val="11"/>
        </w:rPr>
      </w:pPr>
      <w:r>
        <w:rPr>
          <w:rFonts w:ascii="Calibri"/>
          <w:color w:val="008356"/>
          <w:sz w:val="11"/>
        </w:rPr>
        <w:t>DOBUTAMINE</w:t>
      </w:r>
    </w:p>
    <w:p>
      <w:pPr>
        <w:pStyle w:val="BodyText"/>
        <w:spacing w:line="145" w:lineRule="exact"/>
        <w:ind w:left="186"/>
      </w:pPr>
      <w:r>
        <w:rPr>
          <w:rFonts w:ascii="Arial"/>
          <w:color w:val="231F1F"/>
          <w:w w:val="355"/>
          <w:position w:val="1"/>
          <w:sz w:val="7"/>
        </w:rPr>
        <w:t>l </w:t>
      </w:r>
      <w:r>
        <w:rPr>
          <w:rFonts w:ascii="Calibri"/>
          <w:color w:val="231F1F"/>
          <w:w w:val="110"/>
        </w:rPr>
        <w:t>Theophylline: </w:t>
      </w:r>
      <w:r>
        <w:rPr>
          <w:color w:val="231F1F"/>
          <w:w w:val="110"/>
        </w:rPr>
        <w:t>cimetidine inhibits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THEOPHYLLINE </w:t>
      </w:r>
      <w:r>
        <w:rPr>
          <w:color w:val="231F1F"/>
          <w:w w:val="110"/>
          <w:sz w:val="12"/>
        </w:rPr>
        <w:t>(increased plasma concentration)</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Thyroid Hormones: </w:t>
      </w:r>
      <w:r>
        <w:rPr>
          <w:color w:val="231F1F"/>
          <w:w w:val="105"/>
        </w:rPr>
        <w:t>cimetidine reduces absorption of</w:t>
      </w:r>
    </w:p>
    <w:p>
      <w:pPr>
        <w:spacing w:line="131" w:lineRule="exact" w:before="0"/>
        <w:ind w:left="286" w:right="0" w:firstLine="0"/>
        <w:jc w:val="left"/>
        <w:rPr>
          <w:rFonts w:ascii="Calibri"/>
          <w:sz w:val="11"/>
        </w:rPr>
      </w:pPr>
      <w:r>
        <w:rPr>
          <w:rFonts w:ascii="Calibri"/>
          <w:color w:val="008356"/>
          <w:sz w:val="11"/>
        </w:rPr>
        <w:t>LEVOTHYROXINE</w:t>
      </w:r>
    </w:p>
    <w:p>
      <w:pPr>
        <w:pStyle w:val="BodyText"/>
        <w:spacing w:before="7"/>
        <w:ind w:left="186"/>
      </w:pPr>
      <w:r>
        <w:rPr>
          <w:rFonts w:ascii="Trebuchet MS"/>
          <w:color w:val="008356"/>
          <w:w w:val="110"/>
        </w:rPr>
        <w:t>Homatropine </w:t>
      </w:r>
      <w:r>
        <w:rPr>
          <w:i/>
          <w:color w:val="231F1F"/>
          <w:w w:val="110"/>
        </w:rPr>
        <w:t>see </w:t>
      </w:r>
      <w:r>
        <w:rPr>
          <w:color w:val="231F1F"/>
          <w:w w:val="110"/>
        </w:rPr>
        <w:t>Antimuscarinics</w:t>
      </w:r>
    </w:p>
    <w:p>
      <w:pPr>
        <w:pStyle w:val="BodyText"/>
        <w:spacing w:line="244" w:lineRule="auto" w:before="11"/>
        <w:ind w:left="286" w:right="10" w:hanging="100"/>
      </w:pPr>
      <w:r>
        <w:rPr>
          <w:rFonts w:ascii="Trebuchet MS"/>
          <w:color w:val="008356"/>
          <w:w w:val="110"/>
        </w:rPr>
        <w:t>Hormone Antagonists </w:t>
      </w:r>
      <w:r>
        <w:rPr>
          <w:i/>
          <w:color w:val="231F1F"/>
          <w:w w:val="110"/>
        </w:rPr>
        <w:t>see </w:t>
      </w:r>
      <w:r>
        <w:rPr>
          <w:color w:val="231F1F"/>
          <w:w w:val="110"/>
        </w:rPr>
        <w:t>Abiraterone, Bicalutamide, Danazol, Dutasteride, Enzalutamide, Exemestane, Flutamide, Lanreotide, Octreotide, Pasireotide, Tamoxifen, and Toremifene</w:t>
      </w:r>
    </w:p>
    <w:p>
      <w:pPr>
        <w:pStyle w:val="BodyText"/>
        <w:spacing w:before="9"/>
        <w:ind w:left="186"/>
        <w:rPr>
          <w:rFonts w:ascii="Trebuchet MS"/>
        </w:rPr>
      </w:pPr>
      <w:r>
        <w:rPr>
          <w:rFonts w:ascii="Trebuchet MS"/>
          <w:color w:val="008356"/>
        </w:rPr>
        <w:t>5HT</w:t>
      </w:r>
      <w:r>
        <w:rPr>
          <w:rFonts w:ascii="Trebuchet MS"/>
          <w:color w:val="008356"/>
          <w:vertAlign w:val="subscript"/>
        </w:rPr>
        <w:t>1</w:t>
      </w:r>
      <w:r>
        <w:rPr>
          <w:rFonts w:ascii="Trebuchet MS"/>
          <w:color w:val="008356"/>
          <w:vertAlign w:val="baseline"/>
        </w:rPr>
        <w:t>-receptor Agonists</w:t>
      </w:r>
    </w:p>
    <w:p>
      <w:pPr>
        <w:pStyle w:val="BodyText"/>
        <w:spacing w:line="146" w:lineRule="exact" w:before="1"/>
        <w:ind w:left="186"/>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Antibacterials:</w:t>
      </w:r>
      <w:r>
        <w:rPr>
          <w:rFonts w:ascii="Calibri"/>
          <w:color w:val="231F1F"/>
          <w:spacing w:val="-10"/>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color w:val="231F1F"/>
          <w:w w:val="115"/>
        </w:rPr>
        <w:t>eletriptan</w:t>
      </w:r>
      <w:r>
        <w:rPr>
          <w:color w:val="231F1F"/>
          <w:spacing w:val="-14"/>
          <w:w w:val="115"/>
        </w:rPr>
        <w:t> </w:t>
      </w:r>
      <w:r>
        <w:rPr>
          <w:color w:val="231F1F"/>
          <w:w w:val="115"/>
        </w:rPr>
        <w:t>increased</w:t>
      </w:r>
      <w:r>
        <w:rPr>
          <w:color w:val="231F1F"/>
          <w:spacing w:val="-14"/>
          <w:w w:val="115"/>
        </w:rPr>
        <w:t> </w:t>
      </w:r>
      <w:r>
        <w:rPr>
          <w:color w:val="231F1F"/>
          <w:spacing w:val="-9"/>
          <w:w w:val="115"/>
        </w:rPr>
        <w:t>by</w:t>
      </w:r>
    </w:p>
    <w:p>
      <w:pPr>
        <w:spacing w:line="141" w:lineRule="exact"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CLARITHROMYCIN </w:t>
      </w:r>
      <w:r>
        <w:rPr>
          <w:color w:val="231F1F"/>
          <w:w w:val="110"/>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ERYTHROMYCIN </w:t>
      </w:r>
      <w:r>
        <w:rPr>
          <w:color w:val="231F1F"/>
          <w:w w:val="110"/>
          <w:sz w:val="12"/>
        </w:rPr>
        <w:t>(risk of toxicity)</w:t>
      </w:r>
      <w:r>
        <w:rPr>
          <w:rFonts w:ascii="Arial" w:hAnsi="Arial"/>
          <w:color w:val="231F1F"/>
          <w:w w:val="110"/>
          <w:sz w:val="12"/>
        </w:rPr>
        <w:t>—</w:t>
      </w:r>
    </w:p>
    <w:p>
      <w:pPr>
        <w:pStyle w:val="BodyText"/>
        <w:spacing w:before="68"/>
        <w:ind w:left="184"/>
        <w:rPr>
          <w:rFonts w:ascii="Arial"/>
        </w:rPr>
      </w:pPr>
      <w:r>
        <w:rPr/>
        <w:br w:type="column"/>
      </w:r>
      <w:r>
        <w:rPr>
          <w:rFonts w:ascii="Arial"/>
          <w:color w:val="008356"/>
        </w:rPr>
        <w:t>5HT</w:t>
      </w:r>
      <w:r>
        <w:rPr>
          <w:rFonts w:ascii="Arial"/>
          <w:color w:val="008356"/>
          <w:vertAlign w:val="subscript"/>
        </w:rPr>
        <w:t>1</w:t>
      </w:r>
      <w:r>
        <w:rPr>
          <w:rFonts w:ascii="Arial"/>
          <w:color w:val="008356"/>
          <w:vertAlign w:val="baseline"/>
        </w:rPr>
        <w:t>-receptor Agonists</w:t>
      </w:r>
    </w:p>
    <w:p>
      <w:pPr>
        <w:pStyle w:val="BodyText"/>
        <w:spacing w:line="146" w:lineRule="exact" w:before="5"/>
        <w:ind w:left="184"/>
        <w:rPr>
          <w:rFonts w:ascii="Calibri"/>
        </w:rPr>
      </w:pPr>
      <w:r>
        <w:rPr>
          <w:rFonts w:ascii="Arial"/>
          <w:color w:val="231F1F"/>
          <w:w w:val="355"/>
          <w:position w:val="1"/>
          <w:sz w:val="7"/>
        </w:rPr>
        <w:t>l </w:t>
      </w:r>
      <w:r>
        <w:rPr>
          <w:rFonts w:ascii="Calibri"/>
          <w:color w:val="231F1F"/>
          <w:w w:val="115"/>
        </w:rPr>
        <w:t>Antibacterials (continued)</w:t>
      </w:r>
    </w:p>
    <w:p>
      <w:pPr>
        <w:pStyle w:val="BodyText"/>
        <w:spacing w:line="249" w:lineRule="auto"/>
        <w:ind w:left="283" w:right="610"/>
      </w:pPr>
      <w:r>
        <w:rPr>
          <w:color w:val="231F1F"/>
          <w:w w:val="115"/>
        </w:rPr>
        <w:t>avoid concomitant use; metabolism of zolmitriptan possibly inhibited by </w:t>
      </w:r>
      <w:r>
        <w:rPr>
          <w:rFonts w:ascii="Calibri"/>
          <w:color w:val="008356"/>
          <w:w w:val="115"/>
          <w:sz w:val="11"/>
        </w:rPr>
        <w:t>QUINOLONES </w:t>
      </w:r>
      <w:r>
        <w:rPr>
          <w:color w:val="231F1F"/>
          <w:w w:val="115"/>
        </w:rPr>
        <w:t>(reduce dose of zolmitriptan)</w:t>
      </w:r>
    </w:p>
    <w:p>
      <w:pPr>
        <w:pStyle w:val="BodyText"/>
        <w:spacing w:line="139" w:lineRule="exact"/>
        <w:ind w:left="184"/>
      </w:pPr>
      <w:r>
        <w:rPr>
          <w:rFonts w:ascii="Arial"/>
          <w:color w:val="231F1F"/>
          <w:w w:val="355"/>
          <w:position w:val="1"/>
          <w:sz w:val="7"/>
        </w:rPr>
        <w:t>l</w:t>
      </w:r>
      <w:r>
        <w:rPr>
          <w:rFonts w:ascii="Arial"/>
          <w:color w:val="231F1F"/>
          <w:spacing w:val="-40"/>
          <w:w w:val="355"/>
          <w:position w:val="1"/>
          <w:sz w:val="7"/>
        </w:rPr>
        <w:t> </w:t>
      </w:r>
      <w:r>
        <w:rPr>
          <w:rFonts w:ascii="Calibri"/>
          <w:color w:val="231F1F"/>
          <w:w w:val="110"/>
        </w:rPr>
        <w:t>Antidepressants:</w:t>
      </w:r>
      <w:r>
        <w:rPr>
          <w:rFonts w:ascii="Calibri"/>
          <w:color w:val="231F1F"/>
          <w:spacing w:val="-7"/>
          <w:w w:val="110"/>
        </w:rPr>
        <w:t> </w:t>
      </w:r>
      <w:r>
        <w:rPr>
          <w:color w:val="231F1F"/>
          <w:w w:val="110"/>
        </w:rPr>
        <w:t>increased</w:t>
      </w:r>
      <w:r>
        <w:rPr>
          <w:color w:val="231F1F"/>
          <w:spacing w:val="-10"/>
          <w:w w:val="110"/>
        </w:rPr>
        <w:t> </w:t>
      </w:r>
      <w:r>
        <w:rPr>
          <w:color w:val="231F1F"/>
          <w:w w:val="110"/>
        </w:rPr>
        <w:t>risk</w:t>
      </w:r>
      <w:r>
        <w:rPr>
          <w:color w:val="231F1F"/>
          <w:spacing w:val="-10"/>
          <w:w w:val="110"/>
        </w:rPr>
        <w:t> </w:t>
      </w:r>
      <w:r>
        <w:rPr>
          <w:color w:val="231F1F"/>
          <w:w w:val="110"/>
        </w:rPr>
        <w:t>of</w:t>
      </w:r>
      <w:r>
        <w:rPr>
          <w:color w:val="231F1F"/>
          <w:spacing w:val="-8"/>
          <w:w w:val="110"/>
        </w:rPr>
        <w:t> </w:t>
      </w:r>
      <w:r>
        <w:rPr>
          <w:color w:val="231F1F"/>
          <w:w w:val="110"/>
        </w:rPr>
        <w:t>CNS</w:t>
      </w:r>
      <w:r>
        <w:rPr>
          <w:color w:val="231F1F"/>
          <w:spacing w:val="-10"/>
          <w:w w:val="110"/>
        </w:rPr>
        <w:t> </w:t>
      </w:r>
      <w:r>
        <w:rPr>
          <w:color w:val="231F1F"/>
          <w:w w:val="110"/>
        </w:rPr>
        <w:t>toxicity</w:t>
      </w:r>
      <w:r>
        <w:rPr>
          <w:color w:val="231F1F"/>
          <w:spacing w:val="-10"/>
          <w:w w:val="110"/>
        </w:rPr>
        <w:t> </w:t>
      </w:r>
      <w:r>
        <w:rPr>
          <w:color w:val="231F1F"/>
          <w:w w:val="110"/>
        </w:rPr>
        <w:t>when</w:t>
      </w:r>
      <w:r>
        <w:rPr>
          <w:color w:val="231F1F"/>
          <w:spacing w:val="-10"/>
          <w:w w:val="110"/>
        </w:rPr>
        <w:t> </w:t>
      </w:r>
      <w:r>
        <w:rPr>
          <w:color w:val="231F1F"/>
          <w:w w:val="110"/>
        </w:rPr>
        <w:t>5HT</w:t>
      </w:r>
      <w:r>
        <w:rPr>
          <w:color w:val="231F1F"/>
          <w:w w:val="110"/>
          <w:vertAlign w:val="subscript"/>
        </w:rPr>
        <w:t>1</w:t>
      </w:r>
    </w:p>
    <w:p>
      <w:pPr>
        <w:pStyle w:val="BodyText"/>
        <w:spacing w:line="247" w:lineRule="auto"/>
        <w:ind w:left="283" w:right="673" w:hanging="1"/>
      </w:pPr>
      <w:r>
        <w:rPr>
          <w:color w:val="231F1F"/>
          <w:w w:val="110"/>
        </w:rPr>
        <w:t>agonists given with </w:t>
      </w:r>
      <w:r>
        <w:rPr>
          <w:rFonts w:ascii="Arial"/>
          <w:color w:val="231F1F"/>
          <w:w w:val="355"/>
          <w:position w:val="1"/>
          <w:sz w:val="7"/>
        </w:rPr>
        <w:t>l </w:t>
      </w:r>
      <w:r>
        <w:rPr>
          <w:rFonts w:ascii="Calibri"/>
          <w:color w:val="008356"/>
          <w:spacing w:val="3"/>
          <w:w w:val="110"/>
          <w:sz w:val="11"/>
        </w:rPr>
        <w:t>CITALOPRAM </w:t>
      </w:r>
      <w:r>
        <w:rPr>
          <w:color w:val="231F1F"/>
          <w:w w:val="110"/>
        </w:rPr>
        <w:t>(manufacturer of citalopram advises avoid concomitant use); increased risk </w:t>
      </w:r>
      <w:r>
        <w:rPr>
          <w:color w:val="231F1F"/>
          <w:spacing w:val="-7"/>
          <w:w w:val="110"/>
        </w:rPr>
        <w:t>of </w:t>
      </w:r>
      <w:r>
        <w:rPr>
          <w:color w:val="231F1F"/>
          <w:w w:val="110"/>
        </w:rPr>
        <w:t>CNS</w:t>
      </w:r>
      <w:r>
        <w:rPr>
          <w:color w:val="231F1F"/>
          <w:spacing w:val="-3"/>
          <w:w w:val="110"/>
        </w:rPr>
        <w:t> </w:t>
      </w:r>
      <w:r>
        <w:rPr>
          <w:color w:val="231F1F"/>
          <w:w w:val="110"/>
        </w:rPr>
        <w:t>toxicity</w:t>
      </w:r>
      <w:r>
        <w:rPr>
          <w:color w:val="231F1F"/>
          <w:spacing w:val="-4"/>
          <w:w w:val="110"/>
        </w:rPr>
        <w:t> </w:t>
      </w:r>
      <w:r>
        <w:rPr>
          <w:color w:val="231F1F"/>
          <w:w w:val="110"/>
        </w:rPr>
        <w:t>when</w:t>
      </w:r>
      <w:r>
        <w:rPr>
          <w:color w:val="231F1F"/>
          <w:spacing w:val="-4"/>
          <w:w w:val="110"/>
        </w:rPr>
        <w:t> </w:t>
      </w:r>
      <w:r>
        <w:rPr>
          <w:color w:val="231F1F"/>
          <w:w w:val="110"/>
        </w:rPr>
        <w:t>sumatriptan</w:t>
      </w:r>
      <w:r>
        <w:rPr>
          <w:color w:val="231F1F"/>
          <w:spacing w:val="-5"/>
          <w:w w:val="110"/>
        </w:rPr>
        <w:t> </w:t>
      </w:r>
      <w:r>
        <w:rPr>
          <w:color w:val="231F1F"/>
          <w:w w:val="110"/>
        </w:rPr>
        <w:t>given</w:t>
      </w:r>
      <w:r>
        <w:rPr>
          <w:color w:val="231F1F"/>
          <w:spacing w:val="-4"/>
          <w:w w:val="110"/>
        </w:rPr>
        <w:t> </w:t>
      </w:r>
      <w:r>
        <w:rPr>
          <w:color w:val="231F1F"/>
          <w:w w:val="110"/>
        </w:rPr>
        <w:t>with</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CITALOPRAM</w:t>
      </w:r>
      <w:r>
        <w:rPr>
          <w:color w:val="231F1F"/>
          <w:spacing w:val="4"/>
          <w:w w:val="110"/>
        </w:rPr>
        <w:t>,</w:t>
      </w:r>
    </w:p>
    <w:p>
      <w:pPr>
        <w:spacing w:line="139" w:lineRule="exact" w:before="0"/>
        <w:ind w:left="283" w:right="0" w:firstLine="0"/>
        <w:jc w:val="left"/>
        <w:rPr>
          <w:sz w:val="12"/>
        </w:rPr>
      </w:pPr>
      <w:r>
        <w:rPr>
          <w:rFonts w:ascii="Arial"/>
          <w:color w:val="231F1F"/>
          <w:w w:val="355"/>
          <w:position w:val="1"/>
          <w:sz w:val="7"/>
        </w:rPr>
        <w:t>l </w:t>
      </w:r>
      <w:r>
        <w:rPr>
          <w:rFonts w:ascii="Calibri"/>
          <w:color w:val="008356"/>
          <w:spacing w:val="4"/>
          <w:w w:val="115"/>
          <w:sz w:val="11"/>
        </w:rPr>
        <w:t>ESCITALOPRAM</w:t>
      </w:r>
      <w:r>
        <w:rPr>
          <w:color w:val="231F1F"/>
          <w:spacing w:val="4"/>
          <w:w w:val="115"/>
          <w:sz w:val="12"/>
        </w:rPr>
        <w:t>, </w:t>
      </w:r>
      <w:r>
        <w:rPr>
          <w:rFonts w:ascii="Arial"/>
          <w:color w:val="231F1F"/>
          <w:w w:val="355"/>
          <w:position w:val="1"/>
          <w:sz w:val="7"/>
        </w:rPr>
        <w:t>l </w:t>
      </w:r>
      <w:r>
        <w:rPr>
          <w:rFonts w:ascii="Calibri"/>
          <w:color w:val="008356"/>
          <w:spacing w:val="4"/>
          <w:w w:val="115"/>
          <w:sz w:val="11"/>
        </w:rPr>
        <w:t>FLUOXETINE</w:t>
      </w:r>
      <w:r>
        <w:rPr>
          <w:color w:val="231F1F"/>
          <w:spacing w:val="4"/>
          <w:w w:val="115"/>
          <w:sz w:val="12"/>
        </w:rPr>
        <w:t>, </w:t>
      </w:r>
      <w:r>
        <w:rPr>
          <w:rFonts w:ascii="Arial"/>
          <w:color w:val="231F1F"/>
          <w:w w:val="355"/>
          <w:position w:val="1"/>
          <w:sz w:val="7"/>
        </w:rPr>
        <w:t>l </w:t>
      </w:r>
      <w:r>
        <w:rPr>
          <w:rFonts w:ascii="Calibri"/>
          <w:color w:val="008356"/>
          <w:spacing w:val="4"/>
          <w:w w:val="115"/>
          <w:sz w:val="11"/>
        </w:rPr>
        <w:t>FLUVOXAMINE </w:t>
      </w:r>
      <w:r>
        <w:rPr>
          <w:color w:val="231F1F"/>
          <w:w w:val="115"/>
          <w:sz w:val="12"/>
        </w:rPr>
        <w:t>or</w:t>
      </w:r>
    </w:p>
    <w:p>
      <w:pPr>
        <w:pStyle w:val="BodyText"/>
        <w:spacing w:line="244" w:lineRule="auto"/>
        <w:ind w:left="283" w:right="619"/>
      </w:pPr>
      <w:r>
        <w:rPr>
          <w:rFonts w:ascii="Arial"/>
          <w:color w:val="231F1F"/>
          <w:w w:val="355"/>
          <w:position w:val="1"/>
          <w:sz w:val="7"/>
        </w:rPr>
        <w:t>l </w:t>
      </w:r>
      <w:r>
        <w:rPr>
          <w:rFonts w:ascii="Calibri"/>
          <w:color w:val="008356"/>
          <w:w w:val="110"/>
          <w:sz w:val="11"/>
        </w:rPr>
        <w:t>PAROXETINE</w:t>
      </w:r>
      <w:r>
        <w:rPr>
          <w:color w:val="231F1F"/>
          <w:w w:val="110"/>
        </w:rPr>
        <w:t>; metabolism of frovatriptan inhibited by </w:t>
      </w:r>
      <w:r>
        <w:rPr>
          <w:rFonts w:ascii="Calibri"/>
          <w:color w:val="008356"/>
          <w:w w:val="110"/>
          <w:sz w:val="11"/>
        </w:rPr>
        <w:t>FLUVOXAMINE</w:t>
      </w:r>
      <w:r>
        <w:rPr>
          <w:color w:val="231F1F"/>
          <w:w w:val="110"/>
        </w:rPr>
        <w:t>; metabolism of zolmitriptan possibly inhibited by </w:t>
      </w:r>
      <w:r>
        <w:rPr>
          <w:rFonts w:ascii="Calibri"/>
          <w:color w:val="008356"/>
          <w:w w:val="110"/>
          <w:sz w:val="11"/>
        </w:rPr>
        <w:t>FLUVOXAMINE </w:t>
      </w:r>
      <w:r>
        <w:rPr>
          <w:color w:val="231F1F"/>
          <w:w w:val="110"/>
        </w:rPr>
        <w:t>(reduce dose of zolmitriptan); CNS toxicity reported when sumatriptan given with </w:t>
      </w:r>
      <w:r>
        <w:rPr>
          <w:rFonts w:ascii="Calibri"/>
          <w:color w:val="008356"/>
          <w:w w:val="110"/>
          <w:sz w:val="11"/>
        </w:rPr>
        <w:t>SERTRALINE</w:t>
      </w:r>
      <w:r>
        <w:rPr>
          <w:color w:val="231F1F"/>
          <w:w w:val="110"/>
        </w:rPr>
        <w:t>; possible increased serotonergic effects when 5HT</w:t>
      </w:r>
      <w:r>
        <w:rPr>
          <w:color w:val="231F1F"/>
          <w:w w:val="110"/>
          <w:vertAlign w:val="subscript"/>
        </w:rPr>
        <w:t>1</w:t>
      </w:r>
      <w:r>
        <w:rPr>
          <w:color w:val="231F1F"/>
          <w:w w:val="110"/>
          <w:vertAlign w:val="baseline"/>
        </w:rPr>
        <w:t> agonists given with </w:t>
      </w:r>
      <w:r>
        <w:rPr>
          <w:rFonts w:ascii="Calibri"/>
          <w:color w:val="008356"/>
          <w:w w:val="110"/>
          <w:sz w:val="11"/>
          <w:vertAlign w:val="baseline"/>
        </w:rPr>
        <w:t>DULOXETINE </w:t>
      </w:r>
      <w:r>
        <w:rPr>
          <w:color w:val="231F1F"/>
          <w:w w:val="110"/>
          <w:vertAlign w:val="baseline"/>
        </w:rPr>
        <w:t>or </w:t>
      </w:r>
      <w:r>
        <w:rPr>
          <w:rFonts w:ascii="Calibri"/>
          <w:color w:val="008356"/>
          <w:w w:val="110"/>
          <w:sz w:val="11"/>
          <w:vertAlign w:val="baseline"/>
        </w:rPr>
        <w:t>VENLAFAXINE</w:t>
      </w:r>
      <w:r>
        <w:rPr>
          <w:color w:val="231F1F"/>
          <w:w w:val="110"/>
          <w:vertAlign w:val="baseline"/>
        </w:rPr>
        <w:t>; risk of CNS toxicity when rizatriptan or sumatriptan given with </w:t>
      </w:r>
      <w:r>
        <w:rPr>
          <w:rFonts w:ascii="Arial"/>
          <w:color w:val="231F1F"/>
          <w:w w:val="355"/>
          <w:position w:val="1"/>
          <w:sz w:val="7"/>
          <w:vertAlign w:val="baseline"/>
        </w:rPr>
        <w:t>l </w:t>
      </w:r>
      <w:r>
        <w:rPr>
          <w:rFonts w:ascii="Calibri"/>
          <w:color w:val="008356"/>
          <w:w w:val="110"/>
          <w:sz w:val="11"/>
          <w:vertAlign w:val="baseline"/>
        </w:rPr>
        <w:t>MAOIS </w:t>
      </w:r>
      <w:r>
        <w:rPr>
          <w:color w:val="231F1F"/>
          <w:w w:val="110"/>
          <w:vertAlign w:val="baseline"/>
        </w:rPr>
        <w:t>(avoid rizatriptan or sumatriptan for 2 weeks after MAOIs); risk of CNS toxicity when zolmitriptan given with </w:t>
      </w:r>
      <w:r>
        <w:rPr>
          <w:rFonts w:ascii="Arial"/>
          <w:color w:val="231F1F"/>
          <w:w w:val="355"/>
          <w:position w:val="1"/>
          <w:sz w:val="7"/>
          <w:vertAlign w:val="baseline"/>
        </w:rPr>
        <w:t>l </w:t>
      </w:r>
      <w:r>
        <w:rPr>
          <w:rFonts w:ascii="Calibri"/>
          <w:color w:val="008356"/>
          <w:w w:val="110"/>
          <w:sz w:val="11"/>
          <w:vertAlign w:val="baseline"/>
        </w:rPr>
        <w:t>MAOIS </w:t>
      </w:r>
      <w:r>
        <w:rPr>
          <w:color w:val="231F1F"/>
          <w:w w:val="110"/>
          <w:vertAlign w:val="baseline"/>
        </w:rPr>
        <w:t>or</w:t>
      </w:r>
    </w:p>
    <w:p>
      <w:pPr>
        <w:pStyle w:val="BodyText"/>
        <w:spacing w:line="244" w:lineRule="auto"/>
        <w:ind w:left="283" w:right="673" w:hanging="1"/>
      </w:pPr>
      <w:r>
        <w:rPr>
          <w:rFonts w:ascii="Arial"/>
          <w:color w:val="231F1F"/>
          <w:w w:val="355"/>
          <w:position w:val="1"/>
          <w:sz w:val="7"/>
        </w:rPr>
        <w:t>l </w:t>
      </w:r>
      <w:r>
        <w:rPr>
          <w:rFonts w:ascii="Calibri"/>
          <w:color w:val="008356"/>
          <w:w w:val="105"/>
          <w:sz w:val="11"/>
        </w:rPr>
        <w:t>MOCLOBEMIDE </w:t>
      </w:r>
      <w:r>
        <w:rPr>
          <w:color w:val="231F1F"/>
          <w:w w:val="110"/>
        </w:rPr>
        <w:t>(reduce dose of zolmitriptan); risk of CNS toxicity when rizatriptan or sumatriptan given with</w:t>
      </w:r>
    </w:p>
    <w:p>
      <w:pPr>
        <w:pStyle w:val="BodyText"/>
        <w:spacing w:line="244" w:lineRule="auto" w:before="1"/>
        <w:ind w:left="283" w:right="619"/>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05"/>
          <w:sz w:val="11"/>
        </w:rPr>
        <w:t>MOCLOBEMIDE </w:t>
      </w:r>
      <w:r>
        <w:rPr>
          <w:color w:val="231F1F"/>
          <w:w w:val="110"/>
        </w:rPr>
        <w:t>(avoid rizatriptan or sumatriptan for 2 weeks after moclobemide); possible increased serotonergic effects when naratriptan given with </w:t>
      </w:r>
      <w:r>
        <w:rPr>
          <w:rFonts w:ascii="Calibri" w:hAnsi="Calibri"/>
          <w:color w:val="008356"/>
          <w:spacing w:val="4"/>
          <w:w w:val="110"/>
          <w:sz w:val="11"/>
        </w:rPr>
        <w:t>SSRI</w:t>
      </w:r>
      <w:r>
        <w:rPr>
          <w:rFonts w:ascii="Calibri" w:hAnsi="Calibri"/>
          <w:color w:val="008356"/>
          <w:spacing w:val="4"/>
          <w:w w:val="110"/>
          <w:sz w:val="9"/>
        </w:rPr>
        <w:t>S</w:t>
      </w:r>
      <w:r>
        <w:rPr>
          <w:color w:val="231F1F"/>
          <w:spacing w:val="4"/>
          <w:w w:val="110"/>
        </w:rPr>
        <w:t>; </w:t>
      </w:r>
      <w:r>
        <w:rPr>
          <w:color w:val="231F1F"/>
          <w:w w:val="110"/>
        </w:rPr>
        <w:t>increased serotonergic effects when 5HT</w:t>
      </w:r>
      <w:r>
        <w:rPr>
          <w:color w:val="231F1F"/>
          <w:w w:val="110"/>
          <w:vertAlign w:val="subscript"/>
        </w:rPr>
        <w:t>1</w:t>
      </w:r>
      <w:r>
        <w:rPr>
          <w:color w:val="231F1F"/>
          <w:w w:val="110"/>
          <w:vertAlign w:val="baseline"/>
        </w:rPr>
        <w:t> agonists given with </w:t>
      </w:r>
      <w:r>
        <w:rPr>
          <w:rFonts w:ascii="Arial" w:hAnsi="Arial"/>
          <w:color w:val="231F1F"/>
          <w:w w:val="355"/>
          <w:position w:val="1"/>
          <w:sz w:val="7"/>
          <w:vertAlign w:val="baseline"/>
        </w:rPr>
        <w:t>l </w:t>
      </w:r>
      <w:r>
        <w:rPr>
          <w:rFonts w:ascii="Calibri" w:hAnsi="Calibri"/>
          <w:color w:val="008356"/>
          <w:w w:val="110"/>
          <w:sz w:val="11"/>
          <w:vertAlign w:val="baseline"/>
        </w:rPr>
        <w:t>ST </w:t>
      </w:r>
      <w:r>
        <w:rPr>
          <w:rFonts w:ascii="Calibri" w:hAnsi="Calibri"/>
          <w:color w:val="008356"/>
          <w:spacing w:val="4"/>
          <w:w w:val="110"/>
          <w:sz w:val="11"/>
          <w:vertAlign w:val="baseline"/>
        </w:rPr>
        <w:t>JOHN</w:t>
      </w:r>
      <w:r>
        <w:rPr>
          <w:rFonts w:ascii="Arial" w:hAnsi="Arial"/>
          <w:color w:val="008356"/>
          <w:spacing w:val="4"/>
          <w:w w:val="110"/>
          <w:sz w:val="11"/>
          <w:vertAlign w:val="baseline"/>
        </w:rPr>
        <w:t>’</w:t>
      </w:r>
      <w:r>
        <w:rPr>
          <w:rFonts w:ascii="Calibri" w:hAnsi="Calibri"/>
          <w:color w:val="008356"/>
          <w:spacing w:val="4"/>
          <w:w w:val="110"/>
          <w:sz w:val="11"/>
          <w:vertAlign w:val="baseline"/>
        </w:rPr>
        <w:t>S </w:t>
      </w:r>
      <w:r>
        <w:rPr>
          <w:rFonts w:ascii="Calibri" w:hAnsi="Calibri"/>
          <w:color w:val="008356"/>
          <w:spacing w:val="3"/>
          <w:w w:val="110"/>
          <w:sz w:val="11"/>
          <w:vertAlign w:val="baseline"/>
        </w:rPr>
        <w:t>WORT</w:t>
      </w:r>
      <w:r>
        <w:rPr>
          <w:rFonts w:ascii="Arial" w:hAnsi="Arial"/>
          <w:color w:val="231F1F"/>
          <w:spacing w:val="3"/>
          <w:w w:val="110"/>
          <w:vertAlign w:val="baseline"/>
        </w:rPr>
        <w:t>— </w:t>
      </w:r>
      <w:r>
        <w:rPr>
          <w:color w:val="231F1F"/>
          <w:w w:val="110"/>
          <w:vertAlign w:val="baseline"/>
        </w:rPr>
        <w:t>avoid concomitant use</w:t>
      </w:r>
    </w:p>
    <w:p>
      <w:pPr>
        <w:pStyle w:val="BodyText"/>
        <w:spacing w:line="242" w:lineRule="auto"/>
        <w:ind w:left="283" w:right="681"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eletriptan increased by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0"/>
          <w:sz w:val="11"/>
        </w:rPr>
        <w:t>ITRACONAZOLE</w:t>
      </w:r>
      <w:r>
        <w:rPr>
          <w:rFonts w:ascii="Calibri" w:hAnsi="Calibri"/>
          <w:color w:val="008356"/>
          <w:spacing w:val="-15"/>
          <w:w w:val="110"/>
          <w:sz w:val="11"/>
        </w:rPr>
        <w:t> </w:t>
      </w:r>
      <w:r>
        <w:rPr>
          <w:color w:val="231F1F"/>
          <w:w w:val="110"/>
        </w:rPr>
        <w:t>and</w:t>
      </w:r>
      <w:r>
        <w:rPr>
          <w:color w:val="231F1F"/>
          <w:spacing w:val="-23"/>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KETOCONAZOLE</w:t>
      </w:r>
      <w:r>
        <w:rPr>
          <w:rFonts w:ascii="Calibri" w:hAnsi="Calibri"/>
          <w:color w:val="008356"/>
          <w:spacing w:val="-15"/>
          <w:w w:val="110"/>
          <w:sz w:val="11"/>
        </w:rPr>
        <w:t> </w:t>
      </w:r>
      <w:r>
        <w:rPr>
          <w:color w:val="231F1F"/>
          <w:w w:val="110"/>
        </w:rPr>
        <w:t>(risk</w:t>
      </w:r>
      <w:r>
        <w:rPr>
          <w:color w:val="231F1F"/>
          <w:spacing w:val="-22"/>
          <w:w w:val="110"/>
        </w:rPr>
        <w:t> </w:t>
      </w:r>
      <w:r>
        <w:rPr>
          <w:color w:val="231F1F"/>
          <w:w w:val="110"/>
        </w:rPr>
        <w:t>of</w:t>
      </w:r>
      <w:r>
        <w:rPr>
          <w:color w:val="231F1F"/>
          <w:spacing w:val="-23"/>
          <w:w w:val="110"/>
        </w:rPr>
        <w:t> </w:t>
      </w:r>
      <w:r>
        <w:rPr>
          <w:color w:val="231F1F"/>
          <w:w w:val="110"/>
        </w:rPr>
        <w:t>toxicity)</w:t>
      </w:r>
      <w:r>
        <w:rPr>
          <w:rFonts w:ascii="Arial" w:hAnsi="Arial"/>
          <w:color w:val="231F1F"/>
          <w:w w:val="110"/>
        </w:rPr>
        <w:t>—</w:t>
      </w:r>
      <w:r>
        <w:rPr>
          <w:color w:val="231F1F"/>
          <w:w w:val="110"/>
        </w:rPr>
        <w:t>avoid concomitant use; plasma concentration of almotriptan increased by </w:t>
      </w:r>
      <w:r>
        <w:rPr>
          <w:rFonts w:ascii="Calibri" w:hAnsi="Calibri"/>
          <w:color w:val="008356"/>
          <w:spacing w:val="4"/>
          <w:w w:val="110"/>
          <w:sz w:val="11"/>
        </w:rPr>
        <w:t>KETOCONAZOLE </w:t>
      </w:r>
      <w:r>
        <w:rPr>
          <w:color w:val="231F1F"/>
          <w:w w:val="110"/>
        </w:rPr>
        <w:t>(increased risk of</w:t>
      </w:r>
      <w:r>
        <w:rPr>
          <w:color w:val="231F1F"/>
          <w:spacing w:val="-20"/>
          <w:w w:val="110"/>
        </w:rPr>
        <w:t> </w:t>
      </w:r>
      <w:r>
        <w:rPr>
          <w:color w:val="231F1F"/>
          <w:w w:val="110"/>
        </w:rPr>
        <w:t>toxicity)</w:t>
      </w:r>
    </w:p>
    <w:p>
      <w:pPr>
        <w:pStyle w:val="BodyText"/>
        <w:ind w:left="283" w:right="805" w:hanging="100"/>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5"/>
        </w:rPr>
        <w:t>Antivirals:</w:t>
      </w:r>
      <w:r>
        <w:rPr>
          <w:rFonts w:ascii="Calibri" w:hAnsi="Calibri"/>
          <w:color w:val="231F1F"/>
          <w:spacing w:val="-6"/>
          <w:w w:val="115"/>
        </w:rPr>
        <w:t> </w:t>
      </w:r>
      <w:r>
        <w:rPr>
          <w:color w:val="231F1F"/>
          <w:w w:val="115"/>
        </w:rPr>
        <w:t>plasma</w:t>
      </w:r>
      <w:r>
        <w:rPr>
          <w:color w:val="231F1F"/>
          <w:spacing w:val="-9"/>
          <w:w w:val="115"/>
        </w:rPr>
        <w:t> </w:t>
      </w:r>
      <w:r>
        <w:rPr>
          <w:color w:val="231F1F"/>
          <w:w w:val="115"/>
        </w:rPr>
        <w:t>concentration</w:t>
      </w:r>
      <w:r>
        <w:rPr>
          <w:color w:val="231F1F"/>
          <w:spacing w:val="-9"/>
          <w:w w:val="115"/>
        </w:rPr>
        <w:t> </w:t>
      </w:r>
      <w:r>
        <w:rPr>
          <w:color w:val="231F1F"/>
          <w:w w:val="115"/>
        </w:rPr>
        <w:t>of</w:t>
      </w:r>
      <w:r>
        <w:rPr>
          <w:color w:val="231F1F"/>
          <w:spacing w:val="-9"/>
          <w:w w:val="115"/>
        </w:rPr>
        <w:t> </w:t>
      </w:r>
      <w:r>
        <w:rPr>
          <w:color w:val="231F1F"/>
          <w:w w:val="115"/>
        </w:rPr>
        <w:t>eletriptan</w:t>
      </w:r>
      <w:r>
        <w:rPr>
          <w:color w:val="231F1F"/>
          <w:spacing w:val="-9"/>
          <w:w w:val="115"/>
        </w:rPr>
        <w:t> </w:t>
      </w:r>
      <w:r>
        <w:rPr>
          <w:color w:val="231F1F"/>
          <w:w w:val="115"/>
        </w:rPr>
        <w:t>increased</w:t>
      </w:r>
      <w:r>
        <w:rPr>
          <w:color w:val="231F1F"/>
          <w:spacing w:val="-10"/>
          <w:w w:val="115"/>
        </w:rPr>
        <w:t> </w:t>
      </w:r>
      <w:r>
        <w:rPr>
          <w:color w:val="231F1F"/>
          <w:spacing w:val="-7"/>
          <w:w w:val="115"/>
        </w:rPr>
        <w:t>by </w:t>
      </w:r>
      <w:r>
        <w:rPr>
          <w:rFonts w:ascii="Arial" w:hAnsi="Arial"/>
          <w:color w:val="231F1F"/>
          <w:w w:val="355"/>
          <w:position w:val="1"/>
          <w:sz w:val="7"/>
        </w:rPr>
        <w:t>l </w:t>
      </w:r>
      <w:r>
        <w:rPr>
          <w:rFonts w:ascii="Calibri" w:hAnsi="Calibri"/>
          <w:color w:val="008356"/>
          <w:spacing w:val="4"/>
          <w:w w:val="115"/>
          <w:sz w:val="11"/>
        </w:rPr>
        <w:t>INDINAVIR </w:t>
      </w:r>
      <w:r>
        <w:rPr>
          <w:color w:val="231F1F"/>
          <w:w w:val="115"/>
        </w:rPr>
        <w:t>and </w:t>
      </w:r>
      <w:r>
        <w:rPr>
          <w:rFonts w:ascii="Arial" w:hAnsi="Arial"/>
          <w:color w:val="231F1F"/>
          <w:w w:val="355"/>
          <w:position w:val="1"/>
          <w:sz w:val="7"/>
        </w:rPr>
        <w:t>l </w:t>
      </w:r>
      <w:r>
        <w:rPr>
          <w:rFonts w:ascii="Calibri" w:hAnsi="Calibri"/>
          <w:color w:val="008356"/>
          <w:spacing w:val="3"/>
          <w:w w:val="115"/>
          <w:sz w:val="11"/>
        </w:rPr>
        <w:t>RITONAVIR </w:t>
      </w:r>
      <w:r>
        <w:rPr>
          <w:color w:val="231F1F"/>
          <w:w w:val="115"/>
        </w:rPr>
        <w:t>(risk of toxicity)</w:t>
      </w:r>
      <w:r>
        <w:rPr>
          <w:rFonts w:ascii="Arial" w:hAnsi="Arial"/>
          <w:color w:val="231F1F"/>
          <w:w w:val="115"/>
        </w:rPr>
        <w:t>—</w:t>
      </w:r>
      <w:r>
        <w:rPr>
          <w:color w:val="231F1F"/>
          <w:w w:val="115"/>
        </w:rPr>
        <w:t>avoid concomitant</w:t>
      </w:r>
      <w:r>
        <w:rPr>
          <w:color w:val="231F1F"/>
          <w:spacing w:val="-5"/>
          <w:w w:val="115"/>
        </w:rPr>
        <w:t> </w:t>
      </w:r>
      <w:r>
        <w:rPr>
          <w:color w:val="231F1F"/>
          <w:w w:val="115"/>
        </w:rPr>
        <w:t>use</w:t>
      </w:r>
    </w:p>
    <w:p>
      <w:pPr>
        <w:pStyle w:val="BodyText"/>
        <w:spacing w:line="230" w:lineRule="auto" w:before="2"/>
        <w:ind w:left="283" w:right="713" w:hanging="100"/>
        <w:jc w:val="both"/>
      </w:pPr>
      <w:r>
        <w:rPr>
          <w:rFonts w:ascii="Lucida Sans Unicode" w:hAnsi="Lucida Sans Unicode"/>
          <w:color w:val="A7A8AC"/>
          <w:w w:val="95"/>
          <w:sz w:val="10"/>
        </w:rPr>
        <w:t>▶ </w:t>
      </w:r>
      <w:r>
        <w:rPr>
          <w:rFonts w:ascii="Calibri" w:hAnsi="Calibri"/>
          <w:color w:val="231F1F"/>
          <w:w w:val="110"/>
        </w:rPr>
        <w:t>Beta-blockers: </w:t>
      </w:r>
      <w:r>
        <w:rPr>
          <w:color w:val="231F1F"/>
          <w:w w:val="110"/>
        </w:rPr>
        <w:t>plasma concentration of rizatriptan increased by </w:t>
      </w:r>
      <w:r>
        <w:rPr>
          <w:rFonts w:ascii="Calibri" w:hAnsi="Calibri"/>
          <w:color w:val="008356"/>
          <w:w w:val="110"/>
          <w:sz w:val="11"/>
        </w:rPr>
        <w:t>PROPRANOLOL </w:t>
      </w:r>
      <w:r>
        <w:rPr>
          <w:color w:val="231F1F"/>
          <w:w w:val="110"/>
        </w:rPr>
        <w:t>(manufacturer of rizatriptan advises halve dose and avoid within 2 hours of propranolol)</w:t>
      </w:r>
    </w:p>
    <w:p>
      <w:pPr>
        <w:pStyle w:val="BodyText"/>
        <w:spacing w:line="244" w:lineRule="auto" w:before="4"/>
        <w:ind w:left="283" w:right="654"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5HT</w:t>
      </w:r>
      <w:r>
        <w:rPr>
          <w:color w:val="231F1F"/>
          <w:w w:val="110"/>
          <w:vertAlign w:val="subscript"/>
        </w:rPr>
        <w:t>1</w:t>
      </w:r>
      <w:r>
        <w:rPr>
          <w:color w:val="231F1F"/>
          <w:w w:val="110"/>
          <w:vertAlign w:val="baseline"/>
        </w:rPr>
        <w:t> agonists given with </w:t>
      </w:r>
      <w:r>
        <w:rPr>
          <w:rFonts w:ascii="Arial"/>
          <w:color w:val="231F1F"/>
          <w:w w:val="355"/>
          <w:position w:val="1"/>
          <w:sz w:val="7"/>
          <w:vertAlign w:val="baseline"/>
        </w:rPr>
        <w:t>l </w:t>
      </w:r>
      <w:r>
        <w:rPr>
          <w:rFonts w:ascii="Calibri"/>
          <w:color w:val="008356"/>
          <w:spacing w:val="4"/>
          <w:w w:val="110"/>
          <w:sz w:val="11"/>
          <w:vertAlign w:val="baseline"/>
        </w:rPr>
        <w:t>DAPOXETINE </w:t>
      </w:r>
      <w:r>
        <w:rPr>
          <w:color w:val="231F1F"/>
          <w:w w:val="110"/>
          <w:vertAlign w:val="baseline"/>
        </w:rPr>
        <w:t>(manufacturer of dapoxetine advises 5HT</w:t>
      </w:r>
      <w:r>
        <w:rPr>
          <w:color w:val="231F1F"/>
          <w:w w:val="110"/>
          <w:vertAlign w:val="subscript"/>
        </w:rPr>
        <w:t>1</w:t>
      </w:r>
      <w:r>
        <w:rPr>
          <w:color w:val="231F1F"/>
          <w:w w:val="110"/>
          <w:vertAlign w:val="baseline"/>
        </w:rPr>
        <w:t> agonists should not be started until 1 week after stopping  dapoxetine, avoid dapoxetine </w:t>
      </w:r>
      <w:r>
        <w:rPr>
          <w:color w:val="231F1F"/>
          <w:spacing w:val="-5"/>
          <w:w w:val="110"/>
          <w:vertAlign w:val="baseline"/>
        </w:rPr>
        <w:t>for  </w:t>
      </w:r>
      <w:r>
        <w:rPr>
          <w:color w:val="231F1F"/>
          <w:w w:val="110"/>
          <w:vertAlign w:val="baseline"/>
        </w:rPr>
        <w:t>2 weeks after stopping</w:t>
      </w:r>
      <w:r>
        <w:rPr>
          <w:color w:val="231F1F"/>
          <w:spacing w:val="-5"/>
          <w:w w:val="110"/>
          <w:vertAlign w:val="baseline"/>
        </w:rPr>
        <w:t> </w:t>
      </w:r>
      <w:r>
        <w:rPr>
          <w:color w:val="231F1F"/>
          <w:w w:val="110"/>
          <w:vertAlign w:val="baseline"/>
        </w:rPr>
        <w:t>5HT</w:t>
      </w:r>
      <w:r>
        <w:rPr>
          <w:color w:val="231F1F"/>
          <w:w w:val="110"/>
          <w:vertAlign w:val="subscript"/>
        </w:rPr>
        <w:t>1</w:t>
      </w:r>
      <w:r>
        <w:rPr>
          <w:color w:val="231F1F"/>
          <w:w w:val="110"/>
          <w:vertAlign w:val="baseline"/>
        </w:rPr>
        <w:t>agonists)</w:t>
      </w:r>
    </w:p>
    <w:p>
      <w:pPr>
        <w:pStyle w:val="BodyText"/>
        <w:spacing w:line="220" w:lineRule="auto" w:before="8"/>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Dopaminergics: </w:t>
      </w:r>
      <w:r>
        <w:rPr>
          <w:color w:val="231F1F"/>
          <w:w w:val="105"/>
        </w:rPr>
        <w:t>avoidance of 5HT</w:t>
      </w:r>
      <w:r>
        <w:rPr>
          <w:color w:val="231F1F"/>
          <w:w w:val="105"/>
          <w:vertAlign w:val="subscript"/>
        </w:rPr>
        <w:t>1</w:t>
      </w:r>
      <w:r>
        <w:rPr>
          <w:color w:val="231F1F"/>
          <w:w w:val="105"/>
          <w:vertAlign w:val="baseline"/>
        </w:rPr>
        <w:t>agonists advised by manufacturer of </w:t>
      </w:r>
      <w:r>
        <w:rPr>
          <w:rFonts w:ascii="Calibri" w:hAnsi="Calibri"/>
          <w:color w:val="008356"/>
          <w:w w:val="105"/>
          <w:sz w:val="11"/>
          <w:vertAlign w:val="baseline"/>
        </w:rPr>
        <w:t>SELEGILINE</w:t>
      </w:r>
    </w:p>
    <w:p>
      <w:pPr>
        <w:pStyle w:val="BodyText"/>
        <w:spacing w:line="247" w:lineRule="auto"/>
        <w:ind w:left="283" w:right="669" w:hanging="100"/>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Ergot</w:t>
      </w:r>
      <w:r>
        <w:rPr>
          <w:rFonts w:ascii="Calibri"/>
          <w:color w:val="231F1F"/>
          <w:spacing w:val="-11"/>
          <w:w w:val="115"/>
        </w:rPr>
        <w:t> </w:t>
      </w:r>
      <w:r>
        <w:rPr>
          <w:rFonts w:ascii="Calibri"/>
          <w:color w:val="231F1F"/>
          <w:w w:val="115"/>
        </w:rPr>
        <w:t>Alkaloids:</w:t>
      </w:r>
      <w:r>
        <w:rPr>
          <w:rFonts w:ascii="Calibri"/>
          <w:color w:val="231F1F"/>
          <w:spacing w:val="-12"/>
          <w:w w:val="115"/>
        </w:rPr>
        <w:t> </w:t>
      </w:r>
      <w:r>
        <w:rPr>
          <w:color w:val="231F1F"/>
          <w:w w:val="115"/>
        </w:rPr>
        <w:t>increased</w:t>
      </w:r>
      <w:r>
        <w:rPr>
          <w:color w:val="231F1F"/>
          <w:spacing w:val="-15"/>
          <w:w w:val="115"/>
        </w:rPr>
        <w:t> </w:t>
      </w:r>
      <w:r>
        <w:rPr>
          <w:color w:val="231F1F"/>
          <w:w w:val="115"/>
        </w:rPr>
        <w:t>risk</w:t>
      </w:r>
      <w:r>
        <w:rPr>
          <w:color w:val="231F1F"/>
          <w:spacing w:val="-14"/>
          <w:w w:val="115"/>
        </w:rPr>
        <w:t> </w:t>
      </w:r>
      <w:r>
        <w:rPr>
          <w:color w:val="231F1F"/>
          <w:w w:val="115"/>
        </w:rPr>
        <w:t>of</w:t>
      </w:r>
      <w:r>
        <w:rPr>
          <w:color w:val="231F1F"/>
          <w:spacing w:val="-14"/>
          <w:w w:val="115"/>
        </w:rPr>
        <w:t> </w:t>
      </w:r>
      <w:r>
        <w:rPr>
          <w:color w:val="231F1F"/>
          <w:w w:val="115"/>
        </w:rPr>
        <w:t>vasospasm</w:t>
      </w:r>
      <w:r>
        <w:rPr>
          <w:color w:val="231F1F"/>
          <w:spacing w:val="-15"/>
          <w:w w:val="115"/>
        </w:rPr>
        <w:t> </w:t>
      </w:r>
      <w:r>
        <w:rPr>
          <w:color w:val="231F1F"/>
          <w:w w:val="115"/>
        </w:rPr>
        <w:t>when</w:t>
      </w:r>
      <w:r>
        <w:rPr>
          <w:color w:val="231F1F"/>
          <w:spacing w:val="-14"/>
          <w:w w:val="115"/>
        </w:rPr>
        <w:t> </w:t>
      </w:r>
      <w:r>
        <w:rPr>
          <w:color w:val="231F1F"/>
          <w:w w:val="115"/>
        </w:rPr>
        <w:t>eletriptan, frovatriptan</w:t>
      </w:r>
      <w:r>
        <w:rPr>
          <w:color w:val="231F1F"/>
          <w:spacing w:val="-9"/>
          <w:w w:val="115"/>
        </w:rPr>
        <w:t> </w:t>
      </w:r>
      <w:r>
        <w:rPr>
          <w:color w:val="231F1F"/>
          <w:w w:val="115"/>
        </w:rPr>
        <w:t>or</w:t>
      </w:r>
      <w:r>
        <w:rPr>
          <w:color w:val="231F1F"/>
          <w:spacing w:val="-8"/>
          <w:w w:val="115"/>
        </w:rPr>
        <w:t> </w:t>
      </w:r>
      <w:r>
        <w:rPr>
          <w:color w:val="231F1F"/>
          <w:w w:val="115"/>
        </w:rPr>
        <w:t>naratriptan</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05"/>
          <w:sz w:val="11"/>
        </w:rPr>
        <w:t>ERGOTAMINE</w:t>
      </w:r>
      <w:r>
        <w:rPr>
          <w:rFonts w:ascii="Calibri"/>
          <w:color w:val="008356"/>
          <w:spacing w:val="5"/>
          <w:w w:val="105"/>
          <w:sz w:val="11"/>
        </w:rPr>
        <w:t> </w:t>
      </w:r>
      <w:r>
        <w:rPr>
          <w:color w:val="231F1F"/>
          <w:w w:val="115"/>
        </w:rPr>
        <w:t>(avoid ergotamine for 24 hours after eletriptan, frovatriptan or naratriptan, avoid eletriptan, frovatriptan or naratriptan for 24 hours after ergotamine); increased risk of vasospasm when almotriptan, rizatriptan, sumatriptan or zolmitriptan given</w:t>
      </w:r>
      <w:r>
        <w:rPr>
          <w:color w:val="231F1F"/>
          <w:spacing w:val="-12"/>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3"/>
          <w:w w:val="105"/>
          <w:sz w:val="11"/>
        </w:rPr>
        <w:t>ERGOTAMINE</w:t>
      </w:r>
      <w:r>
        <w:rPr>
          <w:rFonts w:ascii="Calibri"/>
          <w:color w:val="008356"/>
          <w:spacing w:val="2"/>
          <w:w w:val="105"/>
          <w:sz w:val="11"/>
        </w:rPr>
        <w:t> </w:t>
      </w:r>
      <w:r>
        <w:rPr>
          <w:color w:val="231F1F"/>
          <w:w w:val="115"/>
        </w:rPr>
        <w:t>(avoid</w:t>
      </w:r>
      <w:r>
        <w:rPr>
          <w:color w:val="231F1F"/>
          <w:spacing w:val="-12"/>
          <w:w w:val="115"/>
        </w:rPr>
        <w:t> </w:t>
      </w:r>
      <w:r>
        <w:rPr>
          <w:color w:val="231F1F"/>
          <w:w w:val="115"/>
        </w:rPr>
        <w:t>ergotamine</w:t>
      </w:r>
      <w:r>
        <w:rPr>
          <w:color w:val="231F1F"/>
          <w:spacing w:val="-12"/>
          <w:w w:val="115"/>
        </w:rPr>
        <w:t> </w:t>
      </w:r>
      <w:r>
        <w:rPr>
          <w:color w:val="231F1F"/>
          <w:w w:val="115"/>
        </w:rPr>
        <w:t>for</w:t>
      </w:r>
      <w:r>
        <w:rPr>
          <w:color w:val="231F1F"/>
          <w:spacing w:val="-12"/>
          <w:w w:val="115"/>
        </w:rPr>
        <w:t> </w:t>
      </w:r>
      <w:r>
        <w:rPr>
          <w:color w:val="231F1F"/>
          <w:w w:val="115"/>
        </w:rPr>
        <w:t>6</w:t>
      </w:r>
      <w:r>
        <w:rPr>
          <w:color w:val="231F1F"/>
          <w:spacing w:val="-11"/>
          <w:w w:val="115"/>
        </w:rPr>
        <w:t> </w:t>
      </w:r>
      <w:r>
        <w:rPr>
          <w:color w:val="231F1F"/>
          <w:w w:val="115"/>
        </w:rPr>
        <w:t>hours</w:t>
      </w:r>
      <w:r>
        <w:rPr>
          <w:color w:val="231F1F"/>
          <w:spacing w:val="-12"/>
          <w:w w:val="115"/>
        </w:rPr>
        <w:t> </w:t>
      </w:r>
      <w:r>
        <w:rPr>
          <w:color w:val="231F1F"/>
          <w:w w:val="115"/>
        </w:rPr>
        <w:t>after almotriptan, rizatriptan, sumatriptan or zolmitriptan, avoid almotriptan, rizatriptan, sumatriptan or zolmitriptan for 24 hours after</w:t>
      </w:r>
      <w:r>
        <w:rPr>
          <w:color w:val="231F1F"/>
          <w:spacing w:val="-6"/>
          <w:w w:val="115"/>
        </w:rPr>
        <w:t> </w:t>
      </w:r>
      <w:r>
        <w:rPr>
          <w:color w:val="231F1F"/>
          <w:w w:val="115"/>
        </w:rPr>
        <w:t>ergotamine)</w:t>
      </w:r>
    </w:p>
    <w:p>
      <w:pPr>
        <w:pStyle w:val="BodyText"/>
        <w:spacing w:line="151" w:lineRule="exact"/>
        <w:ind w:left="184"/>
      </w:pPr>
      <w:r>
        <w:rPr>
          <w:rFonts w:ascii="Lucida Sans Unicode" w:hAnsi="Lucida Sans Unicode"/>
          <w:color w:val="A7A8AC"/>
          <w:w w:val="95"/>
          <w:sz w:val="10"/>
        </w:rPr>
        <w:t>▶ </w:t>
      </w:r>
      <w:r>
        <w:rPr>
          <w:rFonts w:ascii="Calibri" w:hAnsi="Calibri"/>
          <w:color w:val="231F1F"/>
          <w:w w:val="105"/>
        </w:rPr>
        <w:t>Lithium: </w:t>
      </w:r>
      <w:r>
        <w:rPr>
          <w:color w:val="231F1F"/>
          <w:w w:val="105"/>
        </w:rPr>
        <w:t>possible risk of toxicity when sumatriptan given with</w:t>
      </w:r>
    </w:p>
    <w:p>
      <w:pPr>
        <w:spacing w:line="130" w:lineRule="exact" w:before="0"/>
        <w:ind w:left="283" w:right="0" w:firstLine="0"/>
        <w:jc w:val="left"/>
        <w:rPr>
          <w:rFonts w:ascii="Calibri"/>
          <w:sz w:val="11"/>
        </w:rPr>
      </w:pPr>
      <w:r>
        <w:rPr>
          <w:rFonts w:ascii="Calibri"/>
          <w:color w:val="008356"/>
          <w:sz w:val="11"/>
        </w:rPr>
        <w:t>LITHIUM</w:t>
      </w:r>
    </w:p>
    <w:p>
      <w:pPr>
        <w:pStyle w:val="BodyText"/>
        <w:spacing w:line="151" w:lineRule="exact"/>
        <w:ind w:left="184"/>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zolmitriptan inhibited by</w:t>
      </w:r>
    </w:p>
    <w:p>
      <w:pPr>
        <w:spacing w:line="135" w:lineRule="exact" w:before="0"/>
        <w:ind w:left="283" w:right="0" w:firstLine="0"/>
        <w:jc w:val="left"/>
        <w:rPr>
          <w:sz w:val="12"/>
        </w:rPr>
      </w:pPr>
      <w:r>
        <w:rPr>
          <w:rFonts w:ascii="Calibri"/>
          <w:color w:val="008356"/>
          <w:w w:val="110"/>
          <w:sz w:val="11"/>
        </w:rPr>
        <w:t>CIMETIDINE </w:t>
      </w:r>
      <w:r>
        <w:rPr>
          <w:color w:val="231F1F"/>
          <w:w w:val="110"/>
          <w:sz w:val="12"/>
        </w:rPr>
        <w:t>(reduce dose of zolmitriptan)</w:t>
      </w:r>
    </w:p>
    <w:p>
      <w:pPr>
        <w:pStyle w:val="BodyText"/>
        <w:spacing w:before="7"/>
        <w:ind w:left="184"/>
        <w:jc w:val="both"/>
        <w:rPr>
          <w:rFonts w:ascii="Trebuchet MS"/>
        </w:rPr>
      </w:pPr>
      <w:r>
        <w:rPr>
          <w:rFonts w:ascii="Trebuchet MS"/>
          <w:color w:val="008356"/>
        </w:rPr>
        <w:t>5HT</w:t>
      </w:r>
      <w:r>
        <w:rPr>
          <w:rFonts w:ascii="Trebuchet MS"/>
          <w:color w:val="008356"/>
          <w:vertAlign w:val="subscript"/>
        </w:rPr>
        <w:t>3</w:t>
      </w:r>
      <w:r>
        <w:rPr>
          <w:rFonts w:ascii="Trebuchet MS"/>
          <w:color w:val="008356"/>
          <w:vertAlign w:val="baseline"/>
        </w:rPr>
        <w:t>-receptor Antagonists</w:t>
      </w:r>
    </w:p>
    <w:p>
      <w:pPr>
        <w:pStyle w:val="BodyText"/>
        <w:spacing w:line="155" w:lineRule="exact" w:before="1"/>
        <w:ind w:left="184"/>
      </w:pPr>
      <w:r>
        <w:rPr>
          <w:rFonts w:ascii="Lucida Sans Unicode" w:hAnsi="Lucida Sans Unicode"/>
          <w:color w:val="A7A8AC"/>
          <w:w w:val="95"/>
          <w:sz w:val="10"/>
        </w:rPr>
        <w:t>▶ </w:t>
      </w:r>
      <w:r>
        <w:rPr>
          <w:rFonts w:ascii="Calibri" w:hAnsi="Calibri"/>
          <w:color w:val="231F1F"/>
          <w:w w:val="105"/>
        </w:rPr>
        <w:t>Analgesics: </w:t>
      </w:r>
      <w:r>
        <w:rPr>
          <w:color w:val="231F1F"/>
          <w:w w:val="105"/>
        </w:rPr>
        <w:t>ondansetron possibly antagonises effects of</w:t>
      </w:r>
    </w:p>
    <w:p>
      <w:pPr>
        <w:spacing w:line="130" w:lineRule="exact" w:before="0"/>
        <w:ind w:left="283" w:right="0" w:firstLine="0"/>
        <w:jc w:val="left"/>
        <w:rPr>
          <w:rFonts w:ascii="Calibri"/>
          <w:sz w:val="11"/>
        </w:rPr>
      </w:pPr>
      <w:r>
        <w:rPr>
          <w:rFonts w:ascii="Calibri"/>
          <w:color w:val="008356"/>
          <w:sz w:val="11"/>
        </w:rPr>
        <w:t>TRAMADOL</w:t>
      </w:r>
    </w:p>
    <w:p>
      <w:pPr>
        <w:pStyle w:val="BodyText"/>
        <w:spacing w:line="151" w:lineRule="exact"/>
        <w:ind w:left="184"/>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ondansetron accelerated by</w:t>
      </w:r>
    </w:p>
    <w:p>
      <w:pPr>
        <w:spacing w:line="135" w:lineRule="exact" w:before="0"/>
        <w:ind w:left="283" w:right="0" w:firstLine="0"/>
        <w:jc w:val="left"/>
        <w:rPr>
          <w:sz w:val="12"/>
        </w:rPr>
      </w:pPr>
      <w:r>
        <w:rPr>
          <w:rFonts w:ascii="Calibri"/>
          <w:color w:val="008356"/>
          <w:w w:val="105"/>
          <w:sz w:val="11"/>
        </w:rPr>
        <w:t>RIFAMPICIN </w:t>
      </w:r>
      <w:r>
        <w:rPr>
          <w:color w:val="231F1F"/>
          <w:w w:val="105"/>
          <w:sz w:val="12"/>
        </w:rPr>
        <w:t>(reduced effect)</w:t>
      </w:r>
    </w:p>
    <w:p>
      <w:pPr>
        <w:spacing w:line="230" w:lineRule="auto" w:before="3"/>
        <w:ind w:left="283" w:right="681" w:hanging="100"/>
        <w:jc w:val="left"/>
        <w:rPr>
          <w:rFonts w:ascii="Calibri" w:hAnsi="Calibri"/>
          <w:sz w:val="9"/>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possible increased serotonergic effects </w:t>
      </w:r>
      <w:r>
        <w:rPr>
          <w:color w:val="231F1F"/>
          <w:spacing w:val="-4"/>
          <w:w w:val="105"/>
          <w:sz w:val="12"/>
        </w:rPr>
        <w:t>when </w:t>
      </w:r>
      <w:r>
        <w:rPr>
          <w:color w:val="231F1F"/>
          <w:w w:val="105"/>
          <w:sz w:val="12"/>
        </w:rPr>
        <w:t>5HT</w:t>
      </w:r>
      <w:r>
        <w:rPr>
          <w:color w:val="231F1F"/>
          <w:w w:val="105"/>
          <w:sz w:val="12"/>
          <w:vertAlign w:val="subscript"/>
        </w:rPr>
        <w:t>3</w:t>
      </w:r>
      <w:r>
        <w:rPr>
          <w:color w:val="231F1F"/>
          <w:w w:val="105"/>
          <w:sz w:val="12"/>
          <w:vertAlign w:val="baseline"/>
        </w:rPr>
        <w:t> antagonists given with </w:t>
      </w:r>
      <w:r>
        <w:rPr>
          <w:rFonts w:ascii="Calibri" w:hAnsi="Calibri"/>
          <w:color w:val="008356"/>
          <w:spacing w:val="4"/>
          <w:w w:val="105"/>
          <w:sz w:val="11"/>
          <w:vertAlign w:val="baseline"/>
        </w:rPr>
        <w:t>SSRI-RELATED </w:t>
      </w:r>
      <w:r>
        <w:rPr>
          <w:rFonts w:ascii="Calibri" w:hAnsi="Calibri"/>
          <w:color w:val="008356"/>
          <w:spacing w:val="5"/>
          <w:w w:val="105"/>
          <w:sz w:val="11"/>
          <w:vertAlign w:val="baseline"/>
        </w:rPr>
        <w:t>ANTIDEPRESSANTS </w:t>
      </w:r>
      <w:r>
        <w:rPr>
          <w:color w:val="231F1F"/>
          <w:w w:val="105"/>
          <w:sz w:val="12"/>
          <w:vertAlign w:val="baseline"/>
        </w:rPr>
        <w:t>or</w:t>
      </w:r>
      <w:r>
        <w:rPr>
          <w:color w:val="231F1F"/>
          <w:spacing w:val="-1"/>
          <w:w w:val="105"/>
          <w:sz w:val="12"/>
          <w:vertAlign w:val="baseline"/>
        </w:rPr>
        <w:t> </w:t>
      </w:r>
      <w:r>
        <w:rPr>
          <w:rFonts w:ascii="Calibri" w:hAnsi="Calibri"/>
          <w:color w:val="008356"/>
          <w:spacing w:val="4"/>
          <w:w w:val="105"/>
          <w:sz w:val="11"/>
          <w:vertAlign w:val="baseline"/>
        </w:rPr>
        <w:t>SSRI</w:t>
      </w:r>
      <w:r>
        <w:rPr>
          <w:rFonts w:ascii="Calibri" w:hAnsi="Calibri"/>
          <w:color w:val="008356"/>
          <w:spacing w:val="4"/>
          <w:w w:val="105"/>
          <w:sz w:val="9"/>
          <w:vertAlign w:val="baseline"/>
        </w:rPr>
        <w:t>S</w:t>
      </w:r>
    </w:p>
    <w:p>
      <w:pPr>
        <w:pStyle w:val="BodyText"/>
        <w:spacing w:line="151" w:lineRule="exact"/>
        <w:ind w:left="184"/>
      </w:pPr>
      <w:r>
        <w:rPr>
          <w:rFonts w:ascii="Lucida Sans Unicode" w:hAnsi="Lucida Sans Unicode"/>
          <w:color w:val="A7A8AC"/>
          <w:w w:val="95"/>
          <w:sz w:val="10"/>
        </w:rPr>
        <w:t>▶ </w:t>
      </w:r>
      <w:r>
        <w:rPr>
          <w:rFonts w:ascii="Calibri" w:hAnsi="Calibri"/>
          <w:color w:val="231F1F"/>
          <w:w w:val="105"/>
        </w:rPr>
        <w:t>Antiepileptics: </w:t>
      </w:r>
      <w:r>
        <w:rPr>
          <w:color w:val="231F1F"/>
          <w:w w:val="105"/>
        </w:rPr>
        <w:t>metabolism of ondansetron accelerated by</w:t>
      </w:r>
    </w:p>
    <w:p>
      <w:pPr>
        <w:spacing w:line="136" w:lineRule="exact" w:before="0"/>
        <w:ind w:left="283" w:right="0" w:firstLine="0"/>
        <w:jc w:val="left"/>
        <w:rPr>
          <w:sz w:val="12"/>
        </w:rPr>
      </w:pPr>
      <w:r>
        <w:rPr>
          <w:rFonts w:ascii="Calibri"/>
          <w:color w:val="008356"/>
          <w:w w:val="105"/>
          <w:sz w:val="11"/>
        </w:rPr>
        <w:t>CARBAMAZEPINE</w:t>
      </w:r>
      <w:r>
        <w:rPr>
          <w:color w:val="231F1F"/>
          <w:w w:val="105"/>
          <w:sz w:val="12"/>
        </w:rPr>
        <w:t>, </w:t>
      </w:r>
      <w:r>
        <w:rPr>
          <w:rFonts w:ascii="Calibri"/>
          <w:color w:val="008356"/>
          <w:w w:val="105"/>
          <w:sz w:val="11"/>
        </w:rPr>
        <w:t>FOSPHENYTOIN </w:t>
      </w:r>
      <w:r>
        <w:rPr>
          <w:color w:val="231F1F"/>
          <w:w w:val="105"/>
          <w:sz w:val="12"/>
        </w:rPr>
        <w:t>and </w:t>
      </w:r>
      <w:r>
        <w:rPr>
          <w:rFonts w:ascii="Calibri"/>
          <w:color w:val="008356"/>
          <w:w w:val="105"/>
          <w:sz w:val="11"/>
        </w:rPr>
        <w:t>PHENYTOIN </w:t>
      </w:r>
      <w:r>
        <w:rPr>
          <w:color w:val="231F1F"/>
          <w:w w:val="105"/>
          <w:sz w:val="12"/>
        </w:rPr>
        <w:t>(reduced</w:t>
      </w:r>
    </w:p>
    <w:p>
      <w:pPr>
        <w:pStyle w:val="BodyText"/>
        <w:spacing w:before="1"/>
        <w:ind w:left="283"/>
      </w:pPr>
      <w:r>
        <w:rPr>
          <w:color w:val="231F1F"/>
          <w:w w:val="110"/>
        </w:rPr>
        <w:t>effect)</w:t>
      </w:r>
    </w:p>
    <w:p>
      <w:pPr>
        <w:pStyle w:val="BodyText"/>
        <w:spacing w:before="2"/>
        <w:ind w:left="283" w:right="767" w:hanging="100"/>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5"/>
        </w:rPr>
        <w:t>Cytotoxics:</w:t>
      </w:r>
      <w:r>
        <w:rPr>
          <w:rFonts w:ascii="Calibri" w:hAnsi="Calibri"/>
          <w:color w:val="231F1F"/>
          <w:spacing w:val="-9"/>
          <w:w w:val="115"/>
        </w:rPr>
        <w:t> </w:t>
      </w:r>
      <w:r>
        <w:rPr>
          <w:color w:val="231F1F"/>
          <w:w w:val="115"/>
        </w:rPr>
        <w:t>increased</w:t>
      </w:r>
      <w:r>
        <w:rPr>
          <w:color w:val="231F1F"/>
          <w:spacing w:val="-15"/>
          <w:w w:val="115"/>
        </w:rPr>
        <w:t> </w:t>
      </w:r>
      <w:r>
        <w:rPr>
          <w:color w:val="231F1F"/>
          <w:w w:val="115"/>
        </w:rPr>
        <w:t>risk</w:t>
      </w:r>
      <w:r>
        <w:rPr>
          <w:color w:val="231F1F"/>
          <w:spacing w:val="-12"/>
          <w:w w:val="115"/>
        </w:rPr>
        <w:t> </w:t>
      </w:r>
      <w:r>
        <w:rPr>
          <w:color w:val="231F1F"/>
          <w:w w:val="115"/>
        </w:rPr>
        <w:t>of</w:t>
      </w:r>
      <w:r>
        <w:rPr>
          <w:color w:val="231F1F"/>
          <w:spacing w:val="-14"/>
          <w:w w:val="115"/>
        </w:rPr>
        <w:t> </w:t>
      </w:r>
      <w:r>
        <w:rPr>
          <w:color w:val="231F1F"/>
          <w:w w:val="115"/>
        </w:rPr>
        <w:t>ventricular</w:t>
      </w:r>
      <w:r>
        <w:rPr>
          <w:color w:val="231F1F"/>
          <w:spacing w:val="-13"/>
          <w:w w:val="115"/>
        </w:rPr>
        <w:t> </w:t>
      </w:r>
      <w:r>
        <w:rPr>
          <w:color w:val="231F1F"/>
          <w:w w:val="115"/>
        </w:rPr>
        <w:t>arrhythmias</w:t>
      </w:r>
      <w:r>
        <w:rPr>
          <w:color w:val="231F1F"/>
          <w:spacing w:val="-14"/>
          <w:w w:val="115"/>
        </w:rPr>
        <w:t> </w:t>
      </w:r>
      <w:r>
        <w:rPr>
          <w:color w:val="231F1F"/>
          <w:w w:val="115"/>
        </w:rPr>
        <w:t>when ondansetron</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70"/>
          <w:position w:val="1"/>
          <w:sz w:val="7"/>
        </w:rPr>
        <w:t>l</w:t>
      </w:r>
      <w:r>
        <w:rPr>
          <w:rFonts w:ascii="Arial" w:hAnsi="Arial"/>
          <w:color w:val="231F1F"/>
          <w:spacing w:val="-43"/>
          <w:w w:val="270"/>
          <w:position w:val="1"/>
          <w:sz w:val="7"/>
        </w:rPr>
        <w:t>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w:t>
      </w:r>
      <w:r>
        <w:rPr>
          <w:color w:val="231F1F"/>
          <w:spacing w:val="-25"/>
          <w:w w:val="115"/>
        </w:rPr>
        <w:t> </w:t>
      </w:r>
      <w:r>
        <w:rPr>
          <w:color w:val="231F1F"/>
          <w:w w:val="115"/>
        </w:rPr>
        <w:t>concomitant use</w:t>
      </w:r>
    </w:p>
    <w:p>
      <w:pPr>
        <w:pStyle w:val="BodyText"/>
        <w:spacing w:before="2"/>
        <w:ind w:left="283" w:right="663" w:hanging="100"/>
      </w:pPr>
      <w:r>
        <w:rPr>
          <w:rFonts w:ascii="Arial" w:hAnsi="Arial"/>
          <w:color w:val="231F1F"/>
          <w:w w:val="355"/>
          <w:position w:val="1"/>
          <w:sz w:val="7"/>
        </w:rPr>
        <w:t>l </w:t>
      </w:r>
      <w:r>
        <w:rPr>
          <w:rFonts w:ascii="Calibri" w:hAnsi="Calibri"/>
          <w:color w:val="231F1F"/>
          <w:w w:val="110"/>
        </w:rPr>
        <w:t>Dopaminergics: </w:t>
      </w:r>
      <w:r>
        <w:rPr>
          <w:color w:val="231F1F"/>
          <w:w w:val="110"/>
        </w:rPr>
        <w:t>possible increased hypotensive effect when ondansetron</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3"/>
          <w:w w:val="110"/>
          <w:sz w:val="11"/>
        </w:rPr>
        <w:t>APOMORPHINE</w:t>
      </w:r>
      <w:r>
        <w:rPr>
          <w:rFonts w:ascii="Arial" w:hAnsi="Arial"/>
          <w:color w:val="231F1F"/>
          <w:spacing w:val="3"/>
          <w:w w:val="110"/>
        </w:rPr>
        <w:t>—</w:t>
      </w:r>
      <w:r>
        <w:rPr>
          <w:color w:val="231F1F"/>
          <w:spacing w:val="3"/>
          <w:w w:val="110"/>
        </w:rPr>
        <w:t>avoid</w:t>
      </w:r>
      <w:r>
        <w:rPr>
          <w:color w:val="231F1F"/>
          <w:spacing w:val="-4"/>
          <w:w w:val="110"/>
        </w:rPr>
        <w:t> </w:t>
      </w:r>
      <w:r>
        <w:rPr>
          <w:color w:val="231F1F"/>
          <w:w w:val="110"/>
        </w:rPr>
        <w:t>concomitant use</w:t>
      </w:r>
    </w:p>
    <w:p>
      <w:pPr>
        <w:pStyle w:val="BodyText"/>
        <w:spacing w:before="11"/>
        <w:ind w:left="183"/>
        <w:jc w:val="both"/>
      </w:pPr>
      <w:r>
        <w:rPr>
          <w:rFonts w:ascii="Trebuchet MS"/>
          <w:color w:val="008356"/>
          <w:w w:val="105"/>
        </w:rPr>
        <w:t>Human papillomavirus Vaccine </w:t>
      </w:r>
      <w:r>
        <w:rPr>
          <w:i/>
          <w:color w:val="231F1F"/>
          <w:w w:val="105"/>
        </w:rPr>
        <w:t>see </w:t>
      </w:r>
      <w:r>
        <w:rPr>
          <w:color w:val="231F1F"/>
          <w:w w:val="105"/>
        </w:rPr>
        <w:t>Vaccines</w:t>
      </w:r>
    </w:p>
    <w:p>
      <w:pPr>
        <w:pStyle w:val="BodyText"/>
        <w:spacing w:before="11"/>
        <w:ind w:left="183"/>
      </w:pPr>
      <w:r>
        <w:rPr>
          <w:rFonts w:ascii="Trebuchet MS"/>
          <w:color w:val="008356"/>
          <w:w w:val="110"/>
        </w:rPr>
        <w:t>Hydralazine </w:t>
      </w:r>
      <w:r>
        <w:rPr>
          <w:i/>
          <w:color w:val="231F1F"/>
          <w:w w:val="110"/>
        </w:rPr>
        <w:t>see </w:t>
      </w:r>
      <w:r>
        <w:rPr>
          <w:color w:val="231F1F"/>
          <w:w w:val="110"/>
        </w:rPr>
        <w:t>Vasodilator Antihypertensives</w:t>
      </w:r>
    </w:p>
    <w:p>
      <w:pPr>
        <w:spacing w:after="0"/>
        <w:sectPr>
          <w:type w:val="continuous"/>
          <w:pgSz w:w="8390" w:h="11910"/>
          <w:pgMar w:top="0" w:bottom="0" w:left="480" w:right="0"/>
          <w:cols w:num="2" w:equalWidth="0">
            <w:col w:w="3639" w:space="40"/>
            <w:col w:w="4231"/>
          </w:cols>
        </w:sectPr>
      </w:pPr>
    </w:p>
    <w:p>
      <w:pPr>
        <w:pStyle w:val="BodyText"/>
        <w:spacing w:before="3"/>
        <w:ind w:left="0"/>
        <w:rPr>
          <w:sz w:val="15"/>
        </w:rPr>
      </w:pPr>
    </w:p>
    <w:p>
      <w:pPr>
        <w:pStyle w:val="BodyText"/>
        <w:spacing w:line="256" w:lineRule="auto" w:before="1"/>
        <w:ind w:left="108" w:right="1342"/>
        <w:rPr>
          <w:rFonts w:ascii="Trebuchet MS"/>
        </w:rPr>
      </w:pPr>
      <w:r>
        <w:rPr>
          <w:rFonts w:ascii="Trebuchet MS"/>
          <w:color w:val="008356"/>
          <w:w w:val="105"/>
        </w:rPr>
        <w:t>Hydrochlorothiazide </w:t>
      </w:r>
      <w:r>
        <w:rPr>
          <w:i/>
          <w:color w:val="231F1F"/>
          <w:w w:val="105"/>
        </w:rPr>
        <w:t>see </w:t>
      </w:r>
      <w:r>
        <w:rPr>
          <w:color w:val="231F1F"/>
          <w:w w:val="105"/>
        </w:rPr>
        <w:t>Diuretics </w:t>
      </w:r>
      <w:r>
        <w:rPr>
          <w:rFonts w:ascii="Trebuchet MS"/>
          <w:color w:val="008356"/>
          <w:w w:val="105"/>
        </w:rPr>
        <w:t>Hydrocortisone </w:t>
      </w:r>
      <w:r>
        <w:rPr>
          <w:i/>
          <w:color w:val="231F1F"/>
          <w:w w:val="105"/>
        </w:rPr>
        <w:t>see </w:t>
      </w:r>
      <w:r>
        <w:rPr>
          <w:color w:val="231F1F"/>
          <w:w w:val="105"/>
        </w:rPr>
        <w:t>Corticosteroids </w:t>
      </w:r>
      <w:r>
        <w:rPr>
          <w:rFonts w:ascii="Trebuchet MS"/>
          <w:color w:val="008356"/>
          <w:w w:val="105"/>
        </w:rPr>
        <w:t>Hydroflumethiazide </w:t>
      </w:r>
      <w:r>
        <w:rPr>
          <w:i/>
          <w:color w:val="231F1F"/>
          <w:w w:val="105"/>
        </w:rPr>
        <w:t>see </w:t>
      </w:r>
      <w:r>
        <w:rPr>
          <w:color w:val="231F1F"/>
          <w:w w:val="105"/>
        </w:rPr>
        <w:t>Diuretics </w:t>
      </w:r>
      <w:r>
        <w:rPr>
          <w:rFonts w:ascii="Trebuchet MS"/>
          <w:color w:val="008356"/>
          <w:w w:val="105"/>
        </w:rPr>
        <w:t>Hydromorphone </w:t>
      </w:r>
      <w:r>
        <w:rPr>
          <w:i/>
          <w:color w:val="231F1F"/>
          <w:w w:val="105"/>
        </w:rPr>
        <w:t>see </w:t>
      </w:r>
      <w:r>
        <w:rPr>
          <w:color w:val="231F1F"/>
          <w:w w:val="105"/>
        </w:rPr>
        <w:t>Opioid Analgesics </w:t>
      </w:r>
      <w:r>
        <w:rPr>
          <w:rFonts w:ascii="Trebuchet MS"/>
          <w:color w:val="008356"/>
          <w:w w:val="105"/>
        </w:rPr>
        <w:t>Hydrotalcite </w:t>
      </w:r>
      <w:r>
        <w:rPr>
          <w:i/>
          <w:color w:val="231F1F"/>
          <w:w w:val="105"/>
        </w:rPr>
        <w:t>see </w:t>
      </w:r>
      <w:r>
        <w:rPr>
          <w:color w:val="231F1F"/>
          <w:w w:val="105"/>
        </w:rPr>
        <w:t>Antacids </w:t>
      </w:r>
      <w:r>
        <w:rPr>
          <w:rFonts w:ascii="Trebuchet MS"/>
          <w:color w:val="008356"/>
          <w:w w:val="105"/>
        </w:rPr>
        <w:t>Hydroxocobalamin</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response to hydroxocobalamin reduced by</w:t>
      </w:r>
    </w:p>
    <w:p>
      <w:pPr>
        <w:spacing w:line="132" w:lineRule="exact" w:before="0"/>
        <w:ind w:left="208" w:right="0" w:firstLine="0"/>
        <w:jc w:val="left"/>
        <w:rPr>
          <w:rFonts w:ascii="Calibri"/>
          <w:sz w:val="11"/>
        </w:rPr>
      </w:pPr>
      <w:r>
        <w:rPr>
          <w:rFonts w:ascii="Calibri"/>
          <w:color w:val="008356"/>
          <w:sz w:val="11"/>
        </w:rPr>
        <w:t>CHLORAMPHENICOL</w:t>
      </w:r>
    </w:p>
    <w:p>
      <w:pPr>
        <w:pStyle w:val="BodyText"/>
        <w:spacing w:line="139" w:lineRule="exact" w:before="7"/>
        <w:ind w:left="108"/>
        <w:rPr>
          <w:rFonts w:ascii="Trebuchet MS"/>
        </w:rPr>
      </w:pPr>
      <w:r>
        <w:rPr>
          <w:rFonts w:ascii="Trebuchet MS"/>
          <w:color w:val="008356"/>
        </w:rPr>
        <w:t>Hydroxycarbamide</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240" w:lineRule="auto" w:before="0"/>
        <w:ind w:left="208" w:right="27" w:hanging="100"/>
        <w:jc w:val="left"/>
        <w:rPr>
          <w:sz w:val="12"/>
        </w:rPr>
      </w:pPr>
      <w:r>
        <w:rPr>
          <w:rFonts w:ascii="Arial" w:hAnsi="Arial"/>
          <w:color w:val="231F1F"/>
          <w:w w:val="355"/>
          <w:position w:val="1"/>
          <w:sz w:val="7"/>
        </w:rPr>
        <w:t>l </w:t>
      </w:r>
      <w:r>
        <w:rPr>
          <w:rFonts w:ascii="Calibri" w:hAnsi="Calibri"/>
          <w:color w:val="231F1F"/>
          <w:w w:val="110"/>
          <w:sz w:val="12"/>
        </w:rPr>
        <w:t>Antivirals: </w:t>
      </w:r>
      <w:r>
        <w:rPr>
          <w:color w:val="231F1F"/>
          <w:w w:val="110"/>
          <w:sz w:val="12"/>
        </w:rPr>
        <w:t>increased risk of toxicity when hydroxycarbamide given</w:t>
      </w:r>
      <w:r>
        <w:rPr>
          <w:color w:val="231F1F"/>
          <w:spacing w:val="-13"/>
          <w:w w:val="110"/>
          <w:sz w:val="12"/>
        </w:rPr>
        <w:t> </w:t>
      </w:r>
      <w:r>
        <w:rPr>
          <w:color w:val="231F1F"/>
          <w:w w:val="110"/>
          <w:sz w:val="12"/>
        </w:rPr>
        <w:t>with</w:t>
      </w:r>
      <w:r>
        <w:rPr>
          <w:color w:val="231F1F"/>
          <w:spacing w:val="-13"/>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DIDANOSINE</w:t>
      </w:r>
      <w:r>
        <w:rPr>
          <w:rFonts w:ascii="Calibri" w:hAnsi="Calibri"/>
          <w:color w:val="008356"/>
          <w:spacing w:val="-2"/>
          <w:w w:val="110"/>
          <w:sz w:val="11"/>
        </w:rPr>
        <w:t> </w:t>
      </w:r>
      <w:r>
        <w:rPr>
          <w:color w:val="231F1F"/>
          <w:w w:val="110"/>
          <w:sz w:val="12"/>
        </w:rPr>
        <w:t>and</w:t>
      </w:r>
      <w:r>
        <w:rPr>
          <w:color w:val="231F1F"/>
          <w:spacing w:val="-12"/>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0"/>
          <w:sz w:val="11"/>
        </w:rPr>
        <w:t>STAVUDINE</w:t>
      </w:r>
      <w:r>
        <w:rPr>
          <w:rFonts w:ascii="Arial" w:hAnsi="Arial"/>
          <w:color w:val="231F1F"/>
          <w:spacing w:val="2"/>
          <w:w w:val="110"/>
          <w:sz w:val="12"/>
        </w:rPr>
        <w:t>—</w:t>
      </w:r>
      <w:r>
        <w:rPr>
          <w:color w:val="231F1F"/>
          <w:spacing w:val="2"/>
          <w:w w:val="110"/>
          <w:sz w:val="12"/>
        </w:rPr>
        <w:t>avoid</w:t>
      </w:r>
      <w:r>
        <w:rPr>
          <w:color w:val="231F1F"/>
          <w:spacing w:val="-12"/>
          <w:w w:val="110"/>
          <w:sz w:val="12"/>
        </w:rPr>
        <w:t> </w:t>
      </w:r>
      <w:r>
        <w:rPr>
          <w:color w:val="231F1F"/>
          <w:w w:val="110"/>
          <w:sz w:val="12"/>
        </w:rPr>
        <w:t>concomitant use</w:t>
      </w:r>
    </w:p>
    <w:p>
      <w:pPr>
        <w:pStyle w:val="BodyText"/>
        <w:spacing w:line="139" w:lineRule="exact" w:before="11"/>
        <w:ind w:left="108"/>
        <w:rPr>
          <w:rFonts w:ascii="Trebuchet MS"/>
        </w:rPr>
      </w:pPr>
      <w:r>
        <w:rPr>
          <w:rFonts w:ascii="Trebuchet MS"/>
          <w:color w:val="008356"/>
        </w:rPr>
        <w:t>Hydroxychloroquine</w:t>
      </w:r>
    </w:p>
    <w:p>
      <w:pPr>
        <w:pStyle w:val="BodyText"/>
        <w:spacing w:line="156" w:lineRule="exact"/>
        <w:ind w:left="108"/>
      </w:pPr>
      <w:r>
        <w:rPr>
          <w:rFonts w:ascii="Lucida Sans Unicode" w:hAnsi="Lucida Sans Unicode"/>
          <w:color w:val="A7A8AC"/>
          <w:w w:val="95"/>
          <w:sz w:val="10"/>
        </w:rPr>
        <w:t>▶ </w:t>
      </w:r>
      <w:r>
        <w:rPr>
          <w:rFonts w:ascii="Calibri" w:hAnsi="Calibri"/>
          <w:color w:val="231F1F"/>
        </w:rPr>
        <w:t>Adsorbents: </w:t>
      </w:r>
      <w:r>
        <w:rPr>
          <w:color w:val="231F1F"/>
        </w:rPr>
        <w:t>absorption of hydroxychloroquine reduced by</w:t>
      </w:r>
    </w:p>
    <w:p>
      <w:pPr>
        <w:spacing w:line="131" w:lineRule="exact" w:before="0"/>
        <w:ind w:left="208" w:right="0" w:firstLine="0"/>
        <w:jc w:val="left"/>
        <w:rPr>
          <w:rFonts w:ascii="Calibri"/>
          <w:sz w:val="11"/>
        </w:rPr>
      </w:pPr>
      <w:r>
        <w:rPr>
          <w:rFonts w:ascii="Calibri"/>
          <w:color w:val="008356"/>
          <w:sz w:val="11"/>
        </w:rPr>
        <w:t>KAOLIN</w:t>
      </w:r>
    </w:p>
    <w:p>
      <w:pPr>
        <w:pStyle w:val="BodyText"/>
        <w:spacing w:line="230" w:lineRule="auto" w:before="3"/>
        <w:ind w:right="47" w:hanging="100"/>
      </w:pPr>
      <w:r>
        <w:rPr>
          <w:rFonts w:ascii="Lucida Sans Unicode" w:hAnsi="Lucida Sans Unicode"/>
          <w:color w:val="A7A8AC"/>
          <w:w w:val="95"/>
          <w:sz w:val="10"/>
        </w:rPr>
        <w:t>▶</w:t>
      </w:r>
      <w:r>
        <w:rPr>
          <w:rFonts w:ascii="Lucida Sans Unicode" w:hAnsi="Lucida Sans Unicode"/>
          <w:color w:val="A7A8AC"/>
          <w:spacing w:val="7"/>
          <w:w w:val="95"/>
          <w:sz w:val="10"/>
        </w:rPr>
        <w:t> </w:t>
      </w:r>
      <w:r>
        <w:rPr>
          <w:rFonts w:ascii="Calibri" w:hAnsi="Calibri"/>
          <w:color w:val="231F1F"/>
          <w:w w:val="110"/>
        </w:rPr>
        <w:t>Agalsidase</w:t>
      </w:r>
      <w:r>
        <w:rPr>
          <w:rFonts w:ascii="Calibri" w:hAnsi="Calibri"/>
          <w:color w:val="231F1F"/>
          <w:spacing w:val="-9"/>
          <w:w w:val="110"/>
        </w:rPr>
        <w:t> </w:t>
      </w:r>
      <w:r>
        <w:rPr>
          <w:rFonts w:ascii="Calibri" w:hAnsi="Calibri"/>
          <w:color w:val="231F1F"/>
          <w:w w:val="110"/>
        </w:rPr>
        <w:t>Alfa</w:t>
      </w:r>
      <w:r>
        <w:rPr>
          <w:rFonts w:ascii="Calibri" w:hAnsi="Calibri"/>
          <w:color w:val="231F1F"/>
          <w:spacing w:val="-7"/>
          <w:w w:val="110"/>
        </w:rPr>
        <w:t> </w:t>
      </w:r>
      <w:r>
        <w:rPr>
          <w:rFonts w:ascii="Calibri" w:hAnsi="Calibri"/>
          <w:color w:val="231F1F"/>
          <w:w w:val="110"/>
        </w:rPr>
        <w:t>and</w:t>
      </w:r>
      <w:r>
        <w:rPr>
          <w:rFonts w:ascii="Calibri" w:hAnsi="Calibri"/>
          <w:color w:val="231F1F"/>
          <w:spacing w:val="-8"/>
          <w:w w:val="110"/>
        </w:rPr>
        <w:t> </w:t>
      </w:r>
      <w:r>
        <w:rPr>
          <w:rFonts w:ascii="Calibri" w:hAnsi="Calibri"/>
          <w:color w:val="231F1F"/>
          <w:w w:val="110"/>
        </w:rPr>
        <w:t>Beta:</w:t>
      </w:r>
      <w:r>
        <w:rPr>
          <w:rFonts w:ascii="Calibri" w:hAnsi="Calibri"/>
          <w:color w:val="231F1F"/>
          <w:spacing w:val="-8"/>
          <w:w w:val="110"/>
        </w:rPr>
        <w:t> </w:t>
      </w:r>
      <w:r>
        <w:rPr>
          <w:color w:val="231F1F"/>
          <w:w w:val="110"/>
        </w:rPr>
        <w:t>hydroxychloroquine</w:t>
      </w:r>
      <w:r>
        <w:rPr>
          <w:color w:val="231F1F"/>
          <w:spacing w:val="-12"/>
          <w:w w:val="110"/>
        </w:rPr>
        <w:t> </w:t>
      </w:r>
      <w:r>
        <w:rPr>
          <w:color w:val="231F1F"/>
          <w:w w:val="110"/>
        </w:rPr>
        <w:t>possibly</w:t>
      </w:r>
      <w:r>
        <w:rPr>
          <w:color w:val="231F1F"/>
          <w:spacing w:val="-12"/>
          <w:w w:val="110"/>
        </w:rPr>
        <w:t> </w:t>
      </w:r>
      <w:r>
        <w:rPr>
          <w:color w:val="231F1F"/>
          <w:w w:val="110"/>
        </w:rPr>
        <w:t>inhibits effects of </w:t>
      </w:r>
      <w:r>
        <w:rPr>
          <w:rFonts w:ascii="Calibri" w:hAnsi="Calibri"/>
          <w:color w:val="008356"/>
          <w:spacing w:val="4"/>
          <w:w w:val="110"/>
          <w:sz w:val="11"/>
        </w:rPr>
        <w:t>AGALSIDASE </w:t>
      </w:r>
      <w:r>
        <w:rPr>
          <w:rFonts w:ascii="Calibri" w:hAnsi="Calibri"/>
          <w:color w:val="008356"/>
          <w:spacing w:val="2"/>
          <w:w w:val="110"/>
          <w:sz w:val="11"/>
        </w:rPr>
        <w:t>ALFA </w:t>
      </w:r>
      <w:r>
        <w:rPr>
          <w:rFonts w:ascii="Calibri" w:hAnsi="Calibri"/>
          <w:color w:val="008356"/>
          <w:spacing w:val="3"/>
          <w:w w:val="110"/>
          <w:sz w:val="11"/>
        </w:rPr>
        <w:t>AND </w:t>
      </w:r>
      <w:r>
        <w:rPr>
          <w:rFonts w:ascii="Calibri" w:hAnsi="Calibri"/>
          <w:color w:val="008356"/>
          <w:spacing w:val="2"/>
          <w:w w:val="110"/>
          <w:sz w:val="11"/>
        </w:rPr>
        <w:t>BETA </w:t>
      </w:r>
      <w:r>
        <w:rPr>
          <w:color w:val="231F1F"/>
          <w:w w:val="110"/>
        </w:rPr>
        <w:t>(manufacturers of agalsidase alfa and beta advise avoid concomitant</w:t>
      </w:r>
      <w:r>
        <w:rPr>
          <w:color w:val="231F1F"/>
          <w:spacing w:val="19"/>
          <w:w w:val="110"/>
        </w:rPr>
        <w:t> </w:t>
      </w:r>
      <w:r>
        <w:rPr>
          <w:color w:val="231F1F"/>
          <w:w w:val="110"/>
        </w:rPr>
        <w:t>use)</w:t>
      </w:r>
    </w:p>
    <w:p>
      <w:pPr>
        <w:pStyle w:val="BodyText"/>
        <w:spacing w:line="156" w:lineRule="exact" w:before="3"/>
        <w:ind w:left="108"/>
      </w:pPr>
      <w:r>
        <w:rPr>
          <w:rFonts w:ascii="Lucida Sans Unicode" w:hAnsi="Lucida Sans Unicode"/>
          <w:color w:val="A7A8AC"/>
          <w:w w:val="95"/>
          <w:sz w:val="10"/>
        </w:rPr>
        <w:t>▶    </w:t>
      </w:r>
      <w:r>
        <w:rPr>
          <w:rFonts w:ascii="Calibri" w:hAnsi="Calibri"/>
          <w:color w:val="231F1F"/>
        </w:rPr>
        <w:t>Antacids:   </w:t>
      </w:r>
      <w:r>
        <w:rPr>
          <w:color w:val="231F1F"/>
        </w:rPr>
        <w:t>absorption  of  hydroxychloroquine  reduced </w:t>
      </w:r>
      <w:r>
        <w:rPr>
          <w:color w:val="231F1F"/>
          <w:spacing w:val="17"/>
        </w:rPr>
        <w:t> </w:t>
      </w:r>
      <w:r>
        <w:rPr>
          <w:color w:val="231F1F"/>
        </w:rPr>
        <w:t>by</w:t>
      </w:r>
    </w:p>
    <w:p>
      <w:pPr>
        <w:spacing w:line="131" w:lineRule="exact" w:before="0"/>
        <w:ind w:left="208" w:right="0" w:firstLine="0"/>
        <w:jc w:val="left"/>
        <w:rPr>
          <w:rFonts w:ascii="Calibri"/>
          <w:sz w:val="11"/>
        </w:rPr>
      </w:pPr>
      <w:r>
        <w:rPr>
          <w:rFonts w:ascii="Calibri"/>
          <w:color w:val="008356"/>
          <w:sz w:val="11"/>
        </w:rPr>
        <w:t>ANTACIDS</w:t>
      </w:r>
    </w:p>
    <w:p>
      <w:pPr>
        <w:pStyle w:val="BodyText"/>
        <w:ind w:right="145"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w:t>
      </w:r>
      <w:r>
        <w:rPr>
          <w:color w:val="231F1F"/>
          <w:spacing w:val="-14"/>
          <w:w w:val="110"/>
        </w:rPr>
        <w:t> </w:t>
      </w:r>
      <w:r>
        <w:rPr>
          <w:color w:val="231F1F"/>
          <w:w w:val="110"/>
        </w:rPr>
        <w:t>hydroxychloroquine</w:t>
      </w:r>
      <w:r>
        <w:rPr>
          <w:color w:val="231F1F"/>
          <w:spacing w:val="-13"/>
          <w:w w:val="110"/>
        </w:rPr>
        <w:t> </w:t>
      </w:r>
      <w:r>
        <w:rPr>
          <w:color w:val="231F1F"/>
          <w:w w:val="110"/>
        </w:rPr>
        <w:t>given</w:t>
      </w:r>
      <w:r>
        <w:rPr>
          <w:color w:val="231F1F"/>
          <w:spacing w:val="-13"/>
          <w:w w:val="110"/>
        </w:rPr>
        <w:t> </w:t>
      </w:r>
      <w:r>
        <w:rPr>
          <w:color w:val="231F1F"/>
          <w:w w:val="110"/>
        </w:rPr>
        <w:t>with</w:t>
      </w:r>
      <w:r>
        <w:rPr>
          <w:color w:val="231F1F"/>
          <w:spacing w:val="-1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0"/>
          <w:sz w:val="11"/>
        </w:rPr>
        <w:t>AMIODARONE</w:t>
      </w:r>
      <w:r>
        <w:rPr>
          <w:rFonts w:ascii="Arial" w:hAnsi="Arial"/>
          <w:color w:val="231F1F"/>
          <w:spacing w:val="2"/>
          <w:w w:val="110"/>
        </w:rPr>
        <w:t>—</w:t>
      </w:r>
      <w:r>
        <w:rPr>
          <w:color w:val="231F1F"/>
          <w:spacing w:val="2"/>
          <w:w w:val="110"/>
        </w:rPr>
        <w:t>avoid </w:t>
      </w:r>
      <w:r>
        <w:rPr>
          <w:color w:val="231F1F"/>
          <w:w w:val="110"/>
        </w:rPr>
        <w:t>concomitant</w:t>
      </w:r>
      <w:r>
        <w:rPr>
          <w:color w:val="231F1F"/>
          <w:spacing w:val="-4"/>
          <w:w w:val="110"/>
        </w:rPr>
        <w:t> </w:t>
      </w:r>
      <w:r>
        <w:rPr>
          <w:color w:val="231F1F"/>
          <w:w w:val="110"/>
        </w:rPr>
        <w:t>use</w:t>
      </w:r>
    </w:p>
    <w:p>
      <w:pPr>
        <w:pStyle w:val="BodyText"/>
        <w:spacing w:before="1"/>
        <w:ind w:right="79"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t>
      </w:r>
      <w:r>
        <w:rPr>
          <w:color w:val="231F1F"/>
          <w:spacing w:val="-4"/>
          <w:w w:val="110"/>
        </w:rPr>
        <w:t>when </w:t>
      </w:r>
      <w:r>
        <w:rPr>
          <w:color w:val="231F1F"/>
          <w:w w:val="110"/>
        </w:rPr>
        <w:t>hydroxychloroquine given with </w:t>
      </w:r>
      <w:r>
        <w:rPr>
          <w:rFonts w:ascii="Arial" w:hAnsi="Arial"/>
          <w:color w:val="231F1F"/>
          <w:w w:val="355"/>
          <w:position w:val="1"/>
          <w:sz w:val="7"/>
        </w:rPr>
        <w:t>l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w:t>
      </w:r>
      <w:r>
        <w:rPr>
          <w:color w:val="231F1F"/>
          <w:spacing w:val="-4"/>
          <w:w w:val="110"/>
        </w:rPr>
        <w:t> </w:t>
      </w:r>
      <w:r>
        <w:rPr>
          <w:color w:val="231F1F"/>
          <w:w w:val="110"/>
        </w:rPr>
        <w:t>use</w:t>
      </w:r>
    </w:p>
    <w:p>
      <w:pPr>
        <w:pStyle w:val="BodyText"/>
        <w:ind w:right="43" w:hanging="100"/>
      </w:pPr>
      <w:r>
        <w:rPr>
          <w:rFonts w:ascii="Arial"/>
          <w:color w:val="231F1F"/>
          <w:w w:val="355"/>
          <w:position w:val="1"/>
          <w:sz w:val="7"/>
        </w:rPr>
        <w:t>l </w:t>
      </w:r>
      <w:r>
        <w:rPr>
          <w:rFonts w:ascii="Calibri"/>
          <w:color w:val="231F1F"/>
          <w:w w:val="110"/>
        </w:rPr>
        <w:t>Antimalarials: </w:t>
      </w:r>
      <w:r>
        <w:rPr>
          <w:color w:val="231F1F"/>
          <w:w w:val="110"/>
        </w:rPr>
        <w:t>avoidance of antimalarials advised by manufacturer</w:t>
      </w:r>
      <w:r>
        <w:rPr>
          <w:color w:val="231F1F"/>
          <w:spacing w:val="-22"/>
          <w:w w:val="110"/>
        </w:rPr>
        <w:t> </w:t>
      </w:r>
      <w:r>
        <w:rPr>
          <w:color w:val="231F1F"/>
          <w:w w:val="110"/>
        </w:rPr>
        <w:t>of</w:t>
      </w:r>
      <w:r>
        <w:rPr>
          <w:color w:val="231F1F"/>
          <w:spacing w:val="-22"/>
          <w:w w:val="110"/>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ARTEMETHER</w:t>
      </w:r>
      <w:r>
        <w:rPr>
          <w:rFonts w:ascii="Calibri"/>
          <w:color w:val="008356"/>
          <w:spacing w:val="-15"/>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rPr>
        <w:t>;</w:t>
      </w:r>
      <w:r>
        <w:rPr>
          <w:color w:val="231F1F"/>
          <w:spacing w:val="-22"/>
          <w:w w:val="110"/>
        </w:rPr>
        <w:t> </w:t>
      </w:r>
      <w:r>
        <w:rPr>
          <w:color w:val="231F1F"/>
          <w:w w:val="110"/>
        </w:rPr>
        <w:t>increased risk of convulsions when hydroxychloroquine given</w:t>
      </w:r>
      <w:r>
        <w:rPr>
          <w:color w:val="231F1F"/>
          <w:spacing w:val="14"/>
          <w:w w:val="110"/>
        </w:rPr>
        <w:t> </w:t>
      </w:r>
      <w:r>
        <w:rPr>
          <w:color w:val="231F1F"/>
          <w:w w:val="110"/>
        </w:rPr>
        <w:t>with</w:t>
      </w:r>
    </w:p>
    <w:p>
      <w:pPr>
        <w:spacing w:line="133" w:lineRule="exact" w:before="15"/>
        <w:ind w:left="208" w:right="0" w:firstLine="0"/>
        <w:jc w:val="left"/>
        <w:rPr>
          <w:rFonts w:ascii="Calibri"/>
          <w:sz w:val="11"/>
        </w:rPr>
      </w:pPr>
      <w:r>
        <w:rPr>
          <w:rFonts w:ascii="Arial"/>
          <w:color w:val="231F1F"/>
          <w:w w:val="355"/>
          <w:position w:val="1"/>
          <w:sz w:val="7"/>
        </w:rPr>
        <w:t>l </w:t>
      </w:r>
      <w:r>
        <w:rPr>
          <w:rFonts w:ascii="Calibri"/>
          <w:color w:val="008356"/>
          <w:w w:val="115"/>
          <w:sz w:val="11"/>
        </w:rPr>
        <w:t>MEFLOQUINE</w:t>
      </w:r>
    </w:p>
    <w:p>
      <w:pPr>
        <w:pStyle w:val="BodyText"/>
        <w:ind w:right="44"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Antipsychotics:</w:t>
      </w:r>
      <w:r>
        <w:rPr>
          <w:rFonts w:ascii="Calibri" w:hAnsi="Calibri"/>
          <w:color w:val="231F1F"/>
          <w:spacing w:val="-14"/>
          <w:w w:val="115"/>
        </w:rPr>
        <w:t> </w:t>
      </w:r>
      <w:r>
        <w:rPr>
          <w:color w:val="231F1F"/>
          <w:w w:val="115"/>
        </w:rPr>
        <w:t>increased</w:t>
      </w:r>
      <w:r>
        <w:rPr>
          <w:color w:val="231F1F"/>
          <w:spacing w:val="-19"/>
          <w:w w:val="115"/>
        </w:rPr>
        <w:t> </w:t>
      </w:r>
      <w:r>
        <w:rPr>
          <w:color w:val="231F1F"/>
          <w:w w:val="115"/>
        </w:rPr>
        <w:t>risk</w:t>
      </w:r>
      <w:r>
        <w:rPr>
          <w:color w:val="231F1F"/>
          <w:spacing w:val="-17"/>
          <w:w w:val="115"/>
        </w:rPr>
        <w:t> </w:t>
      </w:r>
      <w:r>
        <w:rPr>
          <w:color w:val="231F1F"/>
          <w:w w:val="115"/>
        </w:rPr>
        <w:t>of</w:t>
      </w:r>
      <w:r>
        <w:rPr>
          <w:color w:val="231F1F"/>
          <w:spacing w:val="-19"/>
          <w:w w:val="115"/>
        </w:rPr>
        <w:t> </w:t>
      </w:r>
      <w:r>
        <w:rPr>
          <w:color w:val="231F1F"/>
          <w:w w:val="115"/>
        </w:rPr>
        <w:t>ventricular</w:t>
      </w:r>
      <w:r>
        <w:rPr>
          <w:color w:val="231F1F"/>
          <w:spacing w:val="-18"/>
          <w:w w:val="115"/>
        </w:rPr>
        <w:t> </w:t>
      </w:r>
      <w:r>
        <w:rPr>
          <w:color w:val="231F1F"/>
          <w:w w:val="115"/>
        </w:rPr>
        <w:t>arrhythmias</w:t>
      </w:r>
      <w:r>
        <w:rPr>
          <w:color w:val="231F1F"/>
          <w:spacing w:val="-18"/>
          <w:w w:val="115"/>
        </w:rPr>
        <w:t> </w:t>
      </w:r>
      <w:r>
        <w:rPr>
          <w:color w:val="231F1F"/>
          <w:spacing w:val="-4"/>
          <w:w w:val="115"/>
        </w:rPr>
        <w:t>when </w:t>
      </w:r>
      <w:r>
        <w:rPr>
          <w:color w:val="231F1F"/>
          <w:w w:val="115"/>
        </w:rPr>
        <w:t>hydroxychloroquine given with </w:t>
      </w:r>
      <w:r>
        <w:rPr>
          <w:rFonts w:ascii="Arial" w:hAnsi="Arial"/>
          <w:color w:val="231F1F"/>
          <w:w w:val="355"/>
          <w:position w:val="1"/>
          <w:sz w:val="7"/>
        </w:rPr>
        <w:t>l </w:t>
      </w:r>
      <w:r>
        <w:rPr>
          <w:rFonts w:ascii="Calibri" w:hAnsi="Calibri"/>
          <w:color w:val="008356"/>
          <w:spacing w:val="3"/>
          <w:w w:val="115"/>
          <w:sz w:val="11"/>
        </w:rPr>
        <w:t>DROPERIDOL</w:t>
      </w:r>
      <w:r>
        <w:rPr>
          <w:rFonts w:ascii="Arial" w:hAnsi="Arial"/>
          <w:color w:val="231F1F"/>
          <w:spacing w:val="3"/>
          <w:w w:val="115"/>
        </w:rPr>
        <w:t>—</w:t>
      </w:r>
      <w:r>
        <w:rPr>
          <w:color w:val="231F1F"/>
          <w:spacing w:val="3"/>
          <w:w w:val="115"/>
        </w:rPr>
        <w:t>avoid </w:t>
      </w:r>
      <w:r>
        <w:rPr>
          <w:color w:val="231F1F"/>
          <w:w w:val="115"/>
        </w:rPr>
        <w:t>concomitant</w:t>
      </w:r>
      <w:r>
        <w:rPr>
          <w:color w:val="231F1F"/>
          <w:spacing w:val="-6"/>
          <w:w w:val="115"/>
        </w:rPr>
        <w:t> </w:t>
      </w:r>
      <w:r>
        <w:rPr>
          <w:color w:val="231F1F"/>
          <w:w w:val="115"/>
        </w:rPr>
        <w:t>use</w:t>
      </w:r>
    </w:p>
    <w:p>
      <w:pPr>
        <w:pStyle w:val="BodyText"/>
        <w:spacing w:before="1"/>
        <w:ind w:hanging="100"/>
        <w:rPr>
          <w:rFonts w:ascii="Calibri"/>
          <w:sz w:val="11"/>
        </w:rPr>
      </w:pPr>
      <w:r>
        <w:rPr>
          <w:rFonts w:ascii="Arial"/>
          <w:color w:val="231F1F"/>
          <w:w w:val="110"/>
          <w:position w:val="1"/>
          <w:sz w:val="7"/>
        </w:rPr>
        <w:t>l </w:t>
      </w:r>
      <w:r>
        <w:rPr>
          <w:rFonts w:ascii="Calibri"/>
          <w:color w:val="231F1F"/>
          <w:w w:val="110"/>
        </w:rPr>
        <w:t>Cardiac Glycosides: </w:t>
      </w:r>
      <w:r>
        <w:rPr>
          <w:color w:val="231F1F"/>
          <w:w w:val="110"/>
        </w:rPr>
        <w:t>hydroxychloroquine possibly increases </w:t>
      </w:r>
      <w:r>
        <w:rPr>
          <w:color w:val="231F1F"/>
          <w:w w:val="115"/>
        </w:rPr>
        <w:t>plasma concentration 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DIGOXIN</w:t>
      </w:r>
    </w:p>
    <w:p>
      <w:pPr>
        <w:pStyle w:val="BodyText"/>
        <w:spacing w:line="237" w:lineRule="auto"/>
        <w:ind w:right="237" w:hanging="100"/>
      </w:pPr>
      <w:r>
        <w:rPr>
          <w:rFonts w:ascii="Arial"/>
          <w:color w:val="231F1F"/>
          <w:w w:val="355"/>
          <w:position w:val="1"/>
          <w:sz w:val="7"/>
        </w:rPr>
        <w:t>l </w:t>
      </w:r>
      <w:r>
        <w:rPr>
          <w:rFonts w:ascii="Calibri"/>
          <w:color w:val="231F1F"/>
          <w:w w:val="115"/>
        </w:rPr>
        <w:t>Ciclosporin: </w:t>
      </w:r>
      <w:r>
        <w:rPr>
          <w:color w:val="231F1F"/>
          <w:w w:val="115"/>
        </w:rPr>
        <w:t>hydroxychloroquine increases plasma concentration</w:t>
      </w:r>
      <w:r>
        <w:rPr>
          <w:color w:val="231F1F"/>
          <w:spacing w:val="-21"/>
          <w:w w:val="115"/>
        </w:rPr>
        <w:t> </w:t>
      </w:r>
      <w:r>
        <w:rPr>
          <w:color w:val="231F1F"/>
          <w:w w:val="115"/>
        </w:rPr>
        <w:t>of</w:t>
      </w:r>
      <w:r>
        <w:rPr>
          <w:color w:val="231F1F"/>
          <w:spacing w:val="-20"/>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CICLOSPORIN</w:t>
      </w:r>
      <w:r>
        <w:rPr>
          <w:rFonts w:ascii="Calibri"/>
          <w:color w:val="008356"/>
          <w:spacing w:val="-12"/>
          <w:w w:val="115"/>
          <w:sz w:val="11"/>
        </w:rPr>
        <w:t> </w:t>
      </w:r>
      <w:r>
        <w:rPr>
          <w:color w:val="231F1F"/>
          <w:w w:val="115"/>
        </w:rPr>
        <w:t>(increased</w:t>
      </w:r>
      <w:r>
        <w:rPr>
          <w:color w:val="231F1F"/>
          <w:spacing w:val="-20"/>
          <w:w w:val="115"/>
        </w:rPr>
        <w:t> </w:t>
      </w:r>
      <w:r>
        <w:rPr>
          <w:color w:val="231F1F"/>
          <w:w w:val="115"/>
        </w:rPr>
        <w:t>risk</w:t>
      </w:r>
      <w:r>
        <w:rPr>
          <w:color w:val="231F1F"/>
          <w:spacing w:val="-21"/>
          <w:w w:val="115"/>
        </w:rPr>
        <w:t> </w:t>
      </w:r>
      <w:r>
        <w:rPr>
          <w:color w:val="231F1F"/>
          <w:w w:val="115"/>
        </w:rPr>
        <w:t>of</w:t>
      </w:r>
      <w:r>
        <w:rPr>
          <w:color w:val="231F1F"/>
          <w:spacing w:val="-20"/>
          <w:w w:val="115"/>
        </w:rPr>
        <w:t> </w:t>
      </w:r>
      <w:r>
        <w:rPr>
          <w:color w:val="231F1F"/>
          <w:w w:val="115"/>
        </w:rPr>
        <w:t>toxicity)</w:t>
      </w:r>
    </w:p>
    <w:p>
      <w:pPr>
        <w:pStyle w:val="BodyText"/>
        <w:ind w:right="41" w:hanging="100"/>
        <w:rPr>
          <w:rFonts w:ascii="Calibri"/>
          <w:sz w:val="11"/>
        </w:rPr>
      </w:pPr>
      <w:r>
        <w:rPr>
          <w:rFonts w:ascii="Arial"/>
          <w:color w:val="231F1F"/>
          <w:w w:val="115"/>
          <w:position w:val="1"/>
          <w:sz w:val="7"/>
        </w:rPr>
        <w:t>l </w:t>
      </w:r>
      <w:r>
        <w:rPr>
          <w:rFonts w:ascii="Calibri"/>
          <w:color w:val="231F1F"/>
          <w:w w:val="115"/>
        </w:rPr>
        <w:t>Cytotoxics: </w:t>
      </w:r>
      <w:r>
        <w:rPr>
          <w:color w:val="231F1F"/>
          <w:w w:val="115"/>
        </w:rPr>
        <w:t>possible increased risk of ventricular arrhythmias </w:t>
      </w:r>
      <w:r>
        <w:rPr>
          <w:color w:val="231F1F"/>
          <w:w w:val="120"/>
        </w:rPr>
        <w:t>when hydroxychloroquine given with </w:t>
      </w:r>
      <w:r>
        <w:rPr>
          <w:rFonts w:ascii="Arial"/>
          <w:color w:val="231F1F"/>
          <w:w w:val="355"/>
          <w:position w:val="1"/>
          <w:sz w:val="7"/>
        </w:rPr>
        <w:t>l </w:t>
      </w:r>
      <w:r>
        <w:rPr>
          <w:rFonts w:ascii="Calibri"/>
          <w:color w:val="008356"/>
          <w:spacing w:val="4"/>
          <w:w w:val="120"/>
          <w:sz w:val="11"/>
        </w:rPr>
        <w:t>BOSUTINIB</w:t>
      </w:r>
    </w:p>
    <w:p>
      <w:pPr>
        <w:pStyle w:val="BodyText"/>
        <w:spacing w:line="220" w:lineRule="auto" w:before="1"/>
        <w:ind w:right="237"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spacing w:line="220" w:lineRule="auto" w:before="9"/>
        <w:ind w:right="237" w:hanging="100"/>
      </w:pPr>
      <w:r>
        <w:rPr>
          <w:rFonts w:ascii="Lucida Sans Unicode" w:hAnsi="Lucida Sans Unicode"/>
          <w:color w:val="A7A8AC"/>
          <w:w w:val="95"/>
          <w:sz w:val="10"/>
        </w:rPr>
        <w:t>▶ </w:t>
      </w:r>
      <w:r>
        <w:rPr>
          <w:rFonts w:ascii="Calibri" w:hAnsi="Calibri"/>
          <w:color w:val="231F1F"/>
          <w:w w:val="105"/>
        </w:rPr>
        <w:t>Lanthanum: </w:t>
      </w:r>
      <w:r>
        <w:rPr>
          <w:color w:val="231F1F"/>
          <w:w w:val="105"/>
        </w:rPr>
        <w:t>absorption of hydroxychloroquine possibly reduced by </w:t>
      </w:r>
      <w:r>
        <w:rPr>
          <w:rFonts w:ascii="Calibri" w:hAnsi="Calibri"/>
          <w:color w:val="008356"/>
          <w:w w:val="105"/>
          <w:sz w:val="11"/>
        </w:rPr>
        <w:t>LANTHANUM </w:t>
      </w:r>
      <w:r>
        <w:rPr>
          <w:color w:val="231F1F"/>
          <w:w w:val="105"/>
        </w:rPr>
        <w:t>(give at least 2 hours apart)</w:t>
      </w:r>
    </w:p>
    <w:p>
      <w:pPr>
        <w:pStyle w:val="BodyText"/>
        <w:spacing w:line="230" w:lineRule="auto" w:before="4"/>
        <w:ind w:right="197" w:hanging="100"/>
      </w:pPr>
      <w:r>
        <w:rPr>
          <w:rFonts w:ascii="Lucida Sans Unicode" w:hAnsi="Lucida Sans Unicode"/>
          <w:color w:val="A7A8AC"/>
          <w:w w:val="95"/>
          <w:sz w:val="10"/>
        </w:rPr>
        <w:t>▶ </w:t>
      </w:r>
      <w:r>
        <w:rPr>
          <w:rFonts w:ascii="Calibri" w:hAnsi="Calibri"/>
          <w:color w:val="231F1F"/>
          <w:w w:val="110"/>
        </w:rPr>
        <w:t>Laronidase: </w:t>
      </w:r>
      <w:r>
        <w:rPr>
          <w:color w:val="231F1F"/>
          <w:w w:val="110"/>
        </w:rPr>
        <w:t>hydroxychloroquine possibly inhibits effects of </w:t>
      </w:r>
      <w:r>
        <w:rPr>
          <w:rFonts w:ascii="Calibri" w:hAnsi="Calibri"/>
          <w:color w:val="008356"/>
          <w:w w:val="110"/>
          <w:sz w:val="11"/>
        </w:rPr>
        <w:t>LARONIDASE </w:t>
      </w:r>
      <w:r>
        <w:rPr>
          <w:color w:val="231F1F"/>
          <w:w w:val="110"/>
        </w:rPr>
        <w:t>(manufacturer of laronidase advises avoid concomitant use)</w:t>
      </w:r>
    </w:p>
    <w:p>
      <w:pPr>
        <w:pStyle w:val="BodyText"/>
        <w:spacing w:line="235" w:lineRule="auto" w:before="6"/>
        <w:ind w:right="15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Parasympathomimetics: </w:t>
      </w:r>
      <w:r>
        <w:rPr>
          <w:color w:val="231F1F"/>
          <w:w w:val="110"/>
        </w:rPr>
        <w:t>hydroxychloroquine has potential</w:t>
      </w:r>
      <w:r>
        <w:rPr>
          <w:color w:val="231F1F"/>
          <w:spacing w:val="-23"/>
          <w:w w:val="110"/>
        </w:rPr>
        <w:t> </w:t>
      </w:r>
      <w:r>
        <w:rPr>
          <w:color w:val="231F1F"/>
          <w:spacing w:val="-7"/>
          <w:w w:val="110"/>
        </w:rPr>
        <w:t>to </w:t>
      </w:r>
      <w:r>
        <w:rPr>
          <w:color w:val="231F1F"/>
          <w:w w:val="110"/>
        </w:rPr>
        <w:t>increase symptoms of myasthenia gravis and thus diminish effect of </w:t>
      </w:r>
      <w:r>
        <w:rPr>
          <w:rFonts w:ascii="Calibri" w:hAnsi="Calibri"/>
          <w:color w:val="008356"/>
          <w:spacing w:val="4"/>
          <w:w w:val="110"/>
          <w:sz w:val="11"/>
        </w:rPr>
        <w:t>NEOSTIGMINE </w:t>
      </w:r>
      <w:r>
        <w:rPr>
          <w:color w:val="231F1F"/>
          <w:w w:val="110"/>
        </w:rPr>
        <w:t>and</w:t>
      </w:r>
      <w:r>
        <w:rPr>
          <w:color w:val="231F1F"/>
          <w:spacing w:val="-20"/>
          <w:w w:val="110"/>
        </w:rPr>
        <w:t> </w:t>
      </w:r>
      <w:r>
        <w:rPr>
          <w:rFonts w:ascii="Calibri" w:hAnsi="Calibri"/>
          <w:color w:val="008356"/>
          <w:spacing w:val="4"/>
          <w:w w:val="110"/>
          <w:sz w:val="11"/>
        </w:rPr>
        <w:t>PYRIDOSTIGMINE</w:t>
      </w:r>
    </w:p>
    <w:p>
      <w:pPr>
        <w:pStyle w:val="BodyText"/>
        <w:spacing w:line="220" w:lineRule="auto" w:before="6"/>
        <w:ind w:right="145"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hydroxychloroquine inhibited by </w:t>
      </w:r>
      <w:r>
        <w:rPr>
          <w:rFonts w:ascii="Calibri" w:hAnsi="Calibri"/>
          <w:color w:val="008356"/>
          <w:w w:val="105"/>
          <w:sz w:val="11"/>
        </w:rPr>
        <w:t>CIMETIDINE </w:t>
      </w:r>
      <w:r>
        <w:rPr>
          <w:color w:val="231F1F"/>
          <w:w w:val="105"/>
        </w:rPr>
        <w:t>(increased plasma concentration)</w:t>
      </w:r>
    </w:p>
    <w:p>
      <w:pPr>
        <w:spacing w:line="220" w:lineRule="auto" w:before="8"/>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2"/>
        <w:ind w:left="108" w:right="1342"/>
        <w:rPr>
          <w:rFonts w:ascii="Trebuchet MS"/>
        </w:rPr>
      </w:pPr>
      <w:r>
        <w:rPr>
          <w:rFonts w:ascii="Trebuchet MS"/>
          <w:color w:val="008356"/>
          <w:w w:val="105"/>
        </w:rPr>
        <w:t>Hydroxyzine </w:t>
      </w:r>
      <w:r>
        <w:rPr>
          <w:i/>
          <w:color w:val="231F1F"/>
          <w:w w:val="105"/>
        </w:rPr>
        <w:t>see </w:t>
      </w:r>
      <w:r>
        <w:rPr>
          <w:color w:val="231F1F"/>
          <w:w w:val="105"/>
        </w:rPr>
        <w:t>Antihistamines </w:t>
      </w:r>
      <w:r>
        <w:rPr>
          <w:rFonts w:ascii="Trebuchet MS"/>
          <w:color w:val="008356"/>
          <w:w w:val="105"/>
        </w:rPr>
        <w:t>Hyoscine </w:t>
      </w:r>
      <w:r>
        <w:rPr>
          <w:i/>
          <w:color w:val="231F1F"/>
          <w:w w:val="105"/>
        </w:rPr>
        <w:t>see </w:t>
      </w:r>
      <w:r>
        <w:rPr>
          <w:color w:val="231F1F"/>
          <w:w w:val="105"/>
        </w:rPr>
        <w:t>Antimuscarinics </w:t>
      </w:r>
      <w:r>
        <w:rPr>
          <w:rFonts w:ascii="Trebuchet MS"/>
          <w:color w:val="008356"/>
          <w:w w:val="105"/>
        </w:rPr>
        <w:t>Ibandronic Acid </w:t>
      </w:r>
      <w:r>
        <w:rPr>
          <w:i/>
          <w:color w:val="231F1F"/>
          <w:w w:val="105"/>
        </w:rPr>
        <w:t>see </w:t>
      </w:r>
      <w:r>
        <w:rPr>
          <w:color w:val="231F1F"/>
          <w:w w:val="105"/>
        </w:rPr>
        <w:t>Bisphosphonates </w:t>
      </w:r>
      <w:r>
        <w:rPr>
          <w:rFonts w:ascii="Trebuchet MS"/>
          <w:color w:val="008356"/>
          <w:w w:val="105"/>
        </w:rPr>
        <w:t>Ibrutinib</w:t>
      </w:r>
    </w:p>
    <w:p>
      <w:pPr>
        <w:pStyle w:val="BodyText"/>
        <w:spacing w:line="138" w:lineRule="exact"/>
        <w:ind w:left="108"/>
      </w:pPr>
      <w:r>
        <w:rPr>
          <w:rFonts w:ascii="Arial"/>
          <w:color w:val="231F1F"/>
          <w:w w:val="355"/>
          <w:position w:val="1"/>
          <w:sz w:val="7"/>
        </w:rPr>
        <w:t>l </w:t>
      </w:r>
      <w:r>
        <w:rPr>
          <w:rFonts w:ascii="Calibri"/>
          <w:color w:val="231F1F"/>
          <w:w w:val="115"/>
        </w:rPr>
        <w:t>Anti-arrhythmics: </w:t>
      </w:r>
      <w:r>
        <w:rPr>
          <w:color w:val="231F1F"/>
          <w:w w:val="115"/>
        </w:rPr>
        <w:t>plasma concentration of ibrutinib possibly</w:t>
      </w:r>
    </w:p>
    <w:p>
      <w:pPr>
        <w:spacing w:before="0"/>
        <w:ind w:left="208" w:right="0" w:firstLine="0"/>
        <w:jc w:val="left"/>
        <w:rPr>
          <w:sz w:val="12"/>
        </w:rPr>
      </w:pPr>
      <w:r>
        <w:rPr>
          <w:color w:val="231F1F"/>
          <w:w w:val="110"/>
          <w:sz w:val="12"/>
        </w:rPr>
        <w:t>increased by </w:t>
      </w:r>
      <w:r>
        <w:rPr>
          <w:rFonts w:ascii="Arial" w:hAnsi="Arial"/>
          <w:color w:val="231F1F"/>
          <w:w w:val="110"/>
          <w:position w:val="1"/>
          <w:sz w:val="7"/>
        </w:rPr>
        <w:t>l </w:t>
      </w:r>
      <w:r>
        <w:rPr>
          <w:rFonts w:ascii="Calibri" w:hAnsi="Calibri"/>
          <w:color w:val="008356"/>
          <w:w w:val="110"/>
          <w:sz w:val="11"/>
        </w:rPr>
        <w:t>AMIODARONE </w:t>
      </w:r>
      <w:r>
        <w:rPr>
          <w:color w:val="231F1F"/>
          <w:w w:val="110"/>
          <w:sz w:val="12"/>
        </w:rPr>
        <w:t>and </w:t>
      </w:r>
      <w:r>
        <w:rPr>
          <w:rFonts w:ascii="Arial" w:hAnsi="Arial"/>
          <w:color w:val="231F1F"/>
          <w:w w:val="110"/>
          <w:position w:val="1"/>
          <w:sz w:val="7"/>
        </w:rPr>
        <w:t>l </w:t>
      </w:r>
      <w:r>
        <w:rPr>
          <w:rFonts w:ascii="Calibri" w:hAnsi="Calibri"/>
          <w:color w:val="008356"/>
          <w:w w:val="110"/>
          <w:sz w:val="11"/>
        </w:rPr>
        <w:t>DRONEDARONE</w:t>
      </w:r>
      <w:r>
        <w:rPr>
          <w:rFonts w:ascii="Arial" w:hAnsi="Arial"/>
          <w:color w:val="231F1F"/>
          <w:w w:val="110"/>
          <w:sz w:val="12"/>
        </w:rPr>
        <w:t>—</w:t>
      </w:r>
      <w:r>
        <w:rPr>
          <w:color w:val="231F1F"/>
          <w:w w:val="110"/>
          <w:sz w:val="12"/>
        </w:rPr>
        <w:t>reduce dose </w:t>
      </w:r>
      <w:r>
        <w:rPr>
          <w:color w:val="231F1F"/>
          <w:w w:val="115"/>
          <w:sz w:val="12"/>
        </w:rPr>
        <w:t>of ibrutinib (see under Ibrutinib, p. 809)</w:t>
      </w:r>
    </w:p>
    <w:p>
      <w:pPr>
        <w:spacing w:before="3"/>
        <w:ind w:left="208" w:right="293"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ibrutinib possibly increased by </w:t>
      </w:r>
      <w:r>
        <w:rPr>
          <w:rFonts w:ascii="Arial"/>
          <w:color w:val="231F1F"/>
          <w:w w:val="355"/>
          <w:position w:val="1"/>
          <w:sz w:val="7"/>
        </w:rPr>
        <w:t>l </w:t>
      </w:r>
      <w:r>
        <w:rPr>
          <w:rFonts w:ascii="Calibri"/>
          <w:color w:val="008356"/>
          <w:spacing w:val="4"/>
          <w:w w:val="110"/>
          <w:sz w:val="11"/>
        </w:rPr>
        <w:t>CIPROFLOXACIN</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CLARITHROMYCIN</w:t>
      </w:r>
      <w:r>
        <w:rPr>
          <w:color w:val="231F1F"/>
          <w:spacing w:val="4"/>
          <w:w w:val="110"/>
          <w:sz w:val="12"/>
        </w:rPr>
        <w:t>,</w:t>
      </w:r>
    </w:p>
    <w:p>
      <w:pPr>
        <w:spacing w:line="244" w:lineRule="auto" w:before="0"/>
        <w:ind w:left="208" w:right="0" w:firstLine="0"/>
        <w:jc w:val="left"/>
        <w:rPr>
          <w:sz w:val="12"/>
        </w:rPr>
      </w:pPr>
      <w:r>
        <w:rPr>
          <w:rFonts w:ascii="Arial" w:hAnsi="Arial"/>
          <w:color w:val="231F1F"/>
          <w:w w:val="355"/>
          <w:position w:val="1"/>
          <w:sz w:val="7"/>
        </w:rPr>
        <w:t>l </w:t>
      </w:r>
      <w:r>
        <w:rPr>
          <w:rFonts w:ascii="Calibri" w:hAnsi="Calibri"/>
          <w:color w:val="008356"/>
          <w:spacing w:val="4"/>
          <w:w w:val="115"/>
          <w:sz w:val="11"/>
        </w:rPr>
        <w:t>ERYTHROMYCIN </w:t>
      </w:r>
      <w:r>
        <w:rPr>
          <w:color w:val="231F1F"/>
          <w:w w:val="115"/>
          <w:sz w:val="12"/>
        </w:rPr>
        <w:t>and </w:t>
      </w:r>
      <w:r>
        <w:rPr>
          <w:rFonts w:ascii="Arial" w:hAnsi="Arial"/>
          <w:color w:val="231F1F"/>
          <w:w w:val="355"/>
          <w:position w:val="1"/>
          <w:sz w:val="7"/>
        </w:rPr>
        <w:t>l </w:t>
      </w:r>
      <w:r>
        <w:rPr>
          <w:rFonts w:ascii="Calibri" w:hAnsi="Calibri"/>
          <w:color w:val="008356"/>
          <w:spacing w:val="3"/>
          <w:w w:val="115"/>
          <w:sz w:val="11"/>
        </w:rPr>
        <w:t>TELITHROMYCIN</w:t>
      </w:r>
      <w:r>
        <w:rPr>
          <w:rFonts w:ascii="Arial" w:hAnsi="Arial"/>
          <w:color w:val="231F1F"/>
          <w:spacing w:val="3"/>
          <w:w w:val="115"/>
          <w:sz w:val="12"/>
        </w:rPr>
        <w:t>—</w:t>
      </w:r>
      <w:r>
        <w:rPr>
          <w:color w:val="231F1F"/>
          <w:spacing w:val="3"/>
          <w:w w:val="115"/>
          <w:sz w:val="12"/>
        </w:rPr>
        <w:t>reduce </w:t>
      </w:r>
      <w:r>
        <w:rPr>
          <w:color w:val="231F1F"/>
          <w:w w:val="115"/>
          <w:sz w:val="12"/>
        </w:rPr>
        <w:t>dose of ibrutinib (see under Ibrutinib, p. 809); plasma </w:t>
      </w:r>
      <w:r>
        <w:rPr>
          <w:color w:val="231F1F"/>
          <w:spacing w:val="-2"/>
          <w:w w:val="115"/>
          <w:sz w:val="12"/>
        </w:rPr>
        <w:t>concentration </w:t>
      </w:r>
      <w:r>
        <w:rPr>
          <w:color w:val="231F1F"/>
          <w:w w:val="115"/>
          <w:sz w:val="12"/>
        </w:rPr>
        <w:t>of</w:t>
      </w:r>
      <w:r>
        <w:rPr>
          <w:color w:val="231F1F"/>
          <w:spacing w:val="-18"/>
          <w:w w:val="115"/>
          <w:sz w:val="12"/>
        </w:rPr>
        <w:t> </w:t>
      </w:r>
      <w:r>
        <w:rPr>
          <w:color w:val="231F1F"/>
          <w:w w:val="115"/>
          <w:sz w:val="12"/>
        </w:rPr>
        <w:t>ibrutinib</w:t>
      </w:r>
      <w:r>
        <w:rPr>
          <w:color w:val="231F1F"/>
          <w:spacing w:val="-18"/>
          <w:w w:val="115"/>
          <w:sz w:val="12"/>
        </w:rPr>
        <w:t> </w:t>
      </w:r>
      <w:r>
        <w:rPr>
          <w:color w:val="231F1F"/>
          <w:w w:val="115"/>
          <w:sz w:val="12"/>
        </w:rPr>
        <w:t>reduced</w:t>
      </w:r>
      <w:r>
        <w:rPr>
          <w:color w:val="231F1F"/>
          <w:spacing w:val="-18"/>
          <w:w w:val="115"/>
          <w:sz w:val="12"/>
        </w:rPr>
        <w:t> </w:t>
      </w:r>
      <w:r>
        <w:rPr>
          <w:color w:val="231F1F"/>
          <w:w w:val="115"/>
          <w:sz w:val="12"/>
        </w:rPr>
        <w:t>by</w:t>
      </w:r>
      <w:r>
        <w:rPr>
          <w:color w:val="231F1F"/>
          <w:spacing w:val="-18"/>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w:t>
      </w:r>
      <w:r>
        <w:rPr>
          <w:color w:val="231F1F"/>
          <w:spacing w:val="-18"/>
          <w:w w:val="115"/>
          <w:sz w:val="12"/>
        </w:rPr>
        <w:t> </w:t>
      </w:r>
      <w:r>
        <w:rPr>
          <w:color w:val="231F1F"/>
          <w:w w:val="115"/>
          <w:sz w:val="12"/>
        </w:rPr>
        <w:t>concomitant</w:t>
      </w:r>
      <w:r>
        <w:rPr>
          <w:color w:val="231F1F"/>
          <w:spacing w:val="-19"/>
          <w:w w:val="115"/>
          <w:sz w:val="12"/>
        </w:rPr>
        <w:t> </w:t>
      </w:r>
      <w:r>
        <w:rPr>
          <w:color w:val="231F1F"/>
          <w:w w:val="115"/>
          <w:sz w:val="12"/>
        </w:rPr>
        <w:t>use</w:t>
      </w:r>
    </w:p>
    <w:p>
      <w:pPr>
        <w:spacing w:line="220" w:lineRule="auto" w:before="5"/>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Anticoagulants: </w:t>
      </w:r>
      <w:r>
        <w:rPr>
          <w:color w:val="231F1F"/>
          <w:w w:val="110"/>
          <w:sz w:val="12"/>
        </w:rPr>
        <w:t>manufacturer of ibrutinib advises avoid concomitant use with </w:t>
      </w:r>
      <w:r>
        <w:rPr>
          <w:rFonts w:ascii="Calibri" w:hAnsi="Calibri"/>
          <w:color w:val="008356"/>
          <w:w w:val="110"/>
          <w:sz w:val="11"/>
        </w:rPr>
        <w:t>COUMARINS </w:t>
      </w:r>
      <w:r>
        <w:rPr>
          <w:color w:val="231F1F"/>
          <w:w w:val="110"/>
          <w:sz w:val="12"/>
        </w:rPr>
        <w:t>and </w:t>
      </w:r>
      <w:r>
        <w:rPr>
          <w:rFonts w:ascii="Calibri" w:hAnsi="Calibri"/>
          <w:color w:val="008356"/>
          <w:w w:val="110"/>
          <w:sz w:val="11"/>
        </w:rPr>
        <w:t>PHENINDIONE</w:t>
      </w:r>
    </w:p>
    <w:p>
      <w:pPr>
        <w:pStyle w:val="BodyText"/>
        <w:ind w:right="184"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15"/>
        </w:rPr>
        <w:t>Antidepressants:</w:t>
      </w:r>
      <w:r>
        <w:rPr>
          <w:rFonts w:ascii="Calibri" w:hAnsi="Calibri"/>
          <w:color w:val="231F1F"/>
          <w:spacing w:val="-19"/>
          <w:w w:val="115"/>
        </w:rPr>
        <w:t> </w:t>
      </w:r>
      <w:r>
        <w:rPr>
          <w:color w:val="231F1F"/>
          <w:w w:val="115"/>
        </w:rPr>
        <w:t>plasma</w:t>
      </w:r>
      <w:r>
        <w:rPr>
          <w:color w:val="231F1F"/>
          <w:spacing w:val="-22"/>
          <w:w w:val="115"/>
        </w:rPr>
        <w:t> </w:t>
      </w:r>
      <w:r>
        <w:rPr>
          <w:color w:val="231F1F"/>
          <w:w w:val="115"/>
        </w:rPr>
        <w:t>concentration</w:t>
      </w:r>
      <w:r>
        <w:rPr>
          <w:color w:val="231F1F"/>
          <w:spacing w:val="-23"/>
          <w:w w:val="115"/>
        </w:rPr>
        <w:t> </w:t>
      </w:r>
      <w:r>
        <w:rPr>
          <w:color w:val="231F1F"/>
          <w:w w:val="115"/>
        </w:rPr>
        <w:t>of</w:t>
      </w:r>
      <w:r>
        <w:rPr>
          <w:color w:val="231F1F"/>
          <w:spacing w:val="-22"/>
          <w:w w:val="115"/>
        </w:rPr>
        <w:t> </w:t>
      </w:r>
      <w:r>
        <w:rPr>
          <w:color w:val="231F1F"/>
          <w:w w:val="115"/>
        </w:rPr>
        <w:t>ibrutinib</w:t>
      </w:r>
      <w:r>
        <w:rPr>
          <w:color w:val="231F1F"/>
          <w:spacing w:val="-23"/>
          <w:w w:val="115"/>
        </w:rPr>
        <w:t> </w:t>
      </w:r>
      <w:r>
        <w:rPr>
          <w:color w:val="231F1F"/>
          <w:w w:val="115"/>
        </w:rPr>
        <w:t>possibly reduced</w:t>
      </w:r>
      <w:r>
        <w:rPr>
          <w:color w:val="231F1F"/>
          <w:spacing w:val="-16"/>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ST</w:t>
      </w:r>
      <w:r>
        <w:rPr>
          <w:rFonts w:ascii="Calibri" w:hAnsi="Calibri"/>
          <w:color w:val="008356"/>
          <w:spacing w:val="-11"/>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8"/>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5"/>
          <w:w w:val="115"/>
        </w:rPr>
        <w:t> </w:t>
      </w:r>
      <w:r>
        <w:rPr>
          <w:color w:val="231F1F"/>
          <w:w w:val="115"/>
        </w:rPr>
        <w:t>ibrutinib advises avoid concomitant</w:t>
      </w:r>
      <w:r>
        <w:rPr>
          <w:color w:val="231F1F"/>
          <w:spacing w:val="-14"/>
          <w:w w:val="115"/>
        </w:rPr>
        <w:t> </w:t>
      </w:r>
      <w:r>
        <w:rPr>
          <w:color w:val="231F1F"/>
          <w:w w:val="115"/>
        </w:rPr>
        <w:t>use</w:t>
      </w:r>
    </w:p>
    <w:p>
      <w:pPr>
        <w:spacing w:before="2"/>
        <w:ind w:left="208" w:right="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ibrutinib possibly reduced by </w:t>
      </w:r>
      <w:r>
        <w:rPr>
          <w:rFonts w:ascii="Arial"/>
          <w:color w:val="231F1F"/>
          <w:w w:val="355"/>
          <w:position w:val="1"/>
          <w:sz w:val="7"/>
        </w:rPr>
        <w:t>l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 </w:t>
      </w:r>
      <w:r>
        <w:rPr>
          <w:rFonts w:ascii="Calibri"/>
          <w:color w:val="008356"/>
          <w:spacing w:val="4"/>
          <w:w w:val="110"/>
          <w:sz w:val="11"/>
        </w:rPr>
        <w:t>FOSPHENYTOIN </w:t>
      </w:r>
      <w:r>
        <w:rPr>
          <w:color w:val="231F1F"/>
          <w:w w:val="110"/>
          <w:sz w:val="12"/>
        </w:rPr>
        <w:t>and</w:t>
      </w:r>
    </w:p>
    <w:p>
      <w:pPr>
        <w:pStyle w:val="BodyText"/>
        <w:spacing w:before="8"/>
        <w:ind w:left="0"/>
        <w:rPr>
          <w:sz w:val="14"/>
        </w:rPr>
      </w:pPr>
      <w:r>
        <w:rPr/>
        <w:br w:type="column"/>
      </w:r>
      <w:r>
        <w:rPr>
          <w:sz w:val="14"/>
        </w:rPr>
      </w:r>
    </w:p>
    <w:p>
      <w:pPr>
        <w:pStyle w:val="BodyText"/>
        <w:ind w:left="108"/>
        <w:rPr>
          <w:rFonts w:ascii="Arial"/>
        </w:rPr>
      </w:pPr>
      <w:r>
        <w:rPr>
          <w:rFonts w:ascii="Arial"/>
          <w:color w:val="008356"/>
          <w:w w:val="105"/>
        </w:rPr>
        <w:t>Ibrutinib</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4288" filled="true" fillcolor="#bfdbcf" stroked="false">
            <v:fill type="solid"/>
            <w10:wrap type="none"/>
          </v:rect>
        </w:pict>
      </w:r>
      <w:r>
        <w:rPr/>
        <w:pict>
          <v:shape style="position:absolute;margin-left:399.725769pt;margin-top:-3.416702pt;width:10.4pt;height:78.850pt;mso-position-horizontal-relative:page;mso-position-vertical-relative:paragraph;z-index:431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Antiepileptics (continued)</w:t>
      </w:r>
    </w:p>
    <w:p>
      <w:pPr>
        <w:pStyle w:val="BodyText"/>
        <w:spacing w:line="244" w:lineRule="auto"/>
        <w:ind w:right="1042"/>
      </w:pPr>
      <w:r>
        <w:rPr>
          <w:rFonts w:ascii="Arial" w:hAnsi="Arial"/>
          <w:color w:val="231F1F"/>
          <w:w w:val="115"/>
          <w:position w:val="1"/>
          <w:sz w:val="7"/>
        </w:rPr>
        <w:t>l </w:t>
      </w:r>
      <w:r>
        <w:rPr>
          <w:rFonts w:ascii="Calibri" w:hAnsi="Calibri"/>
          <w:color w:val="008356"/>
          <w:w w:val="115"/>
          <w:sz w:val="11"/>
        </w:rPr>
        <w:t>PHENYTOIN</w:t>
      </w:r>
      <w:r>
        <w:rPr>
          <w:rFonts w:ascii="Arial" w:hAnsi="Arial"/>
          <w:color w:val="231F1F"/>
          <w:w w:val="115"/>
        </w:rPr>
        <w:t>—</w:t>
      </w:r>
      <w:r>
        <w:rPr>
          <w:color w:val="231F1F"/>
          <w:w w:val="115"/>
        </w:rPr>
        <w:t>manufacturer of ibrutinib advises avoid </w:t>
      </w:r>
      <w:r>
        <w:rPr>
          <w:color w:val="231F1F"/>
          <w:w w:val="120"/>
        </w:rPr>
        <w:t>concomitant use</w:t>
      </w:r>
    </w:p>
    <w:p>
      <w:pPr>
        <w:pStyle w:val="BodyText"/>
        <w:spacing w:line="144"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ibrutinib increased by</w:t>
      </w:r>
    </w:p>
    <w:p>
      <w:pPr>
        <w:spacing w:line="247" w:lineRule="auto" w:before="0"/>
        <w:ind w:left="208" w:right="625" w:firstLine="0"/>
        <w:jc w:val="left"/>
        <w:rPr>
          <w:sz w:val="12"/>
        </w:rPr>
      </w:pPr>
      <w:r>
        <w:rPr>
          <w:rFonts w:ascii="Arial" w:hAnsi="Arial"/>
          <w:color w:val="231F1F"/>
          <w:w w:val="355"/>
          <w:position w:val="1"/>
          <w:sz w:val="7"/>
        </w:rPr>
        <w:t>l </w:t>
      </w:r>
      <w:r>
        <w:rPr>
          <w:rFonts w:ascii="Calibri" w:hAnsi="Calibri"/>
          <w:color w:val="008356"/>
          <w:spacing w:val="3"/>
          <w:w w:val="115"/>
          <w:sz w:val="11"/>
        </w:rPr>
        <w:t>KETOCONAZOLE</w:t>
      </w:r>
      <w:r>
        <w:rPr>
          <w:rFonts w:ascii="Arial" w:hAnsi="Arial"/>
          <w:color w:val="231F1F"/>
          <w:spacing w:val="3"/>
          <w:w w:val="115"/>
          <w:sz w:val="12"/>
        </w:rPr>
        <w:t>—</w:t>
      </w:r>
      <w:r>
        <w:rPr>
          <w:color w:val="231F1F"/>
          <w:spacing w:val="3"/>
          <w:w w:val="115"/>
          <w:sz w:val="12"/>
        </w:rPr>
        <w:t>reduce </w:t>
      </w:r>
      <w:r>
        <w:rPr>
          <w:color w:val="231F1F"/>
          <w:w w:val="115"/>
          <w:sz w:val="12"/>
        </w:rPr>
        <w:t>dose of ibrutinib (see under Ibrutinib, p. 809); plasma concentration of ibrutinib possibly increased by </w:t>
      </w:r>
      <w:r>
        <w:rPr>
          <w:rFonts w:ascii="Arial" w:hAnsi="Arial"/>
          <w:color w:val="231F1F"/>
          <w:w w:val="355"/>
          <w:position w:val="1"/>
          <w:sz w:val="7"/>
        </w:rPr>
        <w:t>l </w:t>
      </w:r>
      <w:r>
        <w:rPr>
          <w:rFonts w:ascii="Calibri" w:hAnsi="Calibri"/>
          <w:color w:val="008356"/>
          <w:spacing w:val="4"/>
          <w:w w:val="115"/>
          <w:sz w:val="11"/>
        </w:rPr>
        <w:t>FLUCONAZOLE</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ITRACONAZOLE </w:t>
      </w:r>
      <w:r>
        <w:rPr>
          <w:color w:val="231F1F"/>
          <w:w w:val="115"/>
          <w:sz w:val="12"/>
        </w:rPr>
        <w:t>and</w:t>
      </w:r>
    </w:p>
    <w:p>
      <w:pPr>
        <w:spacing w:line="242" w:lineRule="auto" w:before="0"/>
        <w:ind w:left="208" w:right="1158" w:firstLine="0"/>
        <w:jc w:val="left"/>
        <w:rPr>
          <w:sz w:val="12"/>
        </w:rPr>
      </w:pPr>
      <w:r>
        <w:rPr>
          <w:rFonts w:ascii="Arial" w:hAnsi="Arial"/>
          <w:color w:val="231F1F"/>
          <w:w w:val="250"/>
          <w:position w:val="1"/>
          <w:sz w:val="7"/>
        </w:rPr>
        <w:t>l</w:t>
      </w:r>
      <w:r>
        <w:rPr>
          <w:rFonts w:ascii="Arial" w:hAnsi="Arial"/>
          <w:color w:val="231F1F"/>
          <w:spacing w:val="-40"/>
          <w:w w:val="250"/>
          <w:position w:val="1"/>
          <w:sz w:val="7"/>
        </w:rPr>
        <w:t> </w:t>
      </w:r>
      <w:r>
        <w:rPr>
          <w:rFonts w:ascii="Calibri" w:hAnsi="Calibri"/>
          <w:color w:val="008356"/>
          <w:spacing w:val="3"/>
          <w:w w:val="115"/>
          <w:sz w:val="11"/>
        </w:rPr>
        <w:t>VORICONAZOLE</w:t>
      </w:r>
      <w:r>
        <w:rPr>
          <w:rFonts w:ascii="Arial" w:hAnsi="Arial"/>
          <w:color w:val="231F1F"/>
          <w:spacing w:val="3"/>
          <w:w w:val="115"/>
          <w:sz w:val="12"/>
        </w:rPr>
        <w:t>—</w:t>
      </w:r>
      <w:r>
        <w:rPr>
          <w:color w:val="231F1F"/>
          <w:spacing w:val="3"/>
          <w:w w:val="115"/>
          <w:sz w:val="12"/>
        </w:rPr>
        <w:t>reduce</w:t>
      </w:r>
      <w:r>
        <w:rPr>
          <w:color w:val="231F1F"/>
          <w:spacing w:val="-24"/>
          <w:w w:val="115"/>
          <w:sz w:val="12"/>
        </w:rPr>
        <w:t> </w:t>
      </w:r>
      <w:r>
        <w:rPr>
          <w:color w:val="231F1F"/>
          <w:w w:val="115"/>
          <w:sz w:val="12"/>
        </w:rPr>
        <w:t>dose</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ibrutinib</w:t>
      </w:r>
      <w:r>
        <w:rPr>
          <w:color w:val="231F1F"/>
          <w:spacing w:val="-24"/>
          <w:w w:val="115"/>
          <w:sz w:val="12"/>
        </w:rPr>
        <w:t> </w:t>
      </w:r>
      <w:r>
        <w:rPr>
          <w:color w:val="231F1F"/>
          <w:w w:val="115"/>
          <w:sz w:val="12"/>
        </w:rPr>
        <w:t>(see</w:t>
      </w:r>
      <w:r>
        <w:rPr>
          <w:color w:val="231F1F"/>
          <w:spacing w:val="-24"/>
          <w:w w:val="115"/>
          <w:sz w:val="12"/>
        </w:rPr>
        <w:t> </w:t>
      </w:r>
      <w:r>
        <w:rPr>
          <w:color w:val="231F1F"/>
          <w:spacing w:val="-3"/>
          <w:w w:val="115"/>
          <w:sz w:val="12"/>
        </w:rPr>
        <w:t>under </w:t>
      </w:r>
      <w:r>
        <w:rPr>
          <w:color w:val="231F1F"/>
          <w:w w:val="115"/>
          <w:sz w:val="12"/>
        </w:rPr>
        <w:t>Ibrutinib, p.</w:t>
      </w:r>
      <w:r>
        <w:rPr>
          <w:color w:val="231F1F"/>
          <w:spacing w:val="-11"/>
          <w:w w:val="115"/>
          <w:sz w:val="12"/>
        </w:rPr>
        <w:t> </w:t>
      </w:r>
      <w:r>
        <w:rPr>
          <w:color w:val="231F1F"/>
          <w:w w:val="115"/>
          <w:sz w:val="12"/>
        </w:rPr>
        <w:t>809)</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spacing w:before="0"/>
        <w:ind w:left="208" w:right="833"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ibrutinib possibly increased</w:t>
      </w:r>
      <w:r>
        <w:rPr>
          <w:color w:val="231F1F"/>
          <w:spacing w:val="-23"/>
          <w:w w:val="110"/>
          <w:sz w:val="12"/>
        </w:rPr>
        <w:t> </w:t>
      </w:r>
      <w:r>
        <w:rPr>
          <w:color w:val="231F1F"/>
          <w:w w:val="110"/>
          <w:sz w:val="12"/>
        </w:rPr>
        <w:t>by</w:t>
      </w:r>
      <w:r>
        <w:rPr>
          <w:color w:val="231F1F"/>
          <w:spacing w:val="-22"/>
          <w:w w:val="110"/>
          <w:sz w:val="12"/>
        </w:rPr>
        <w:t> </w:t>
      </w:r>
      <w:r>
        <w:rPr>
          <w:rFonts w:ascii="Arial"/>
          <w:color w:val="231F1F"/>
          <w:w w:val="295"/>
          <w:position w:val="1"/>
          <w:sz w:val="7"/>
        </w:rPr>
        <w:t>l</w:t>
      </w:r>
      <w:r>
        <w:rPr>
          <w:rFonts w:ascii="Arial"/>
          <w:color w:val="231F1F"/>
          <w:spacing w:val="-48"/>
          <w:w w:val="295"/>
          <w:position w:val="1"/>
          <w:sz w:val="7"/>
        </w:rPr>
        <w:t> </w:t>
      </w:r>
      <w:r>
        <w:rPr>
          <w:rFonts w:ascii="Calibri"/>
          <w:color w:val="008356"/>
          <w:spacing w:val="3"/>
          <w:w w:val="110"/>
          <w:sz w:val="11"/>
        </w:rPr>
        <w:t>ATAZANAVIR</w:t>
      </w:r>
      <w:r>
        <w:rPr>
          <w:color w:val="231F1F"/>
          <w:spacing w:val="3"/>
          <w:w w:val="110"/>
          <w:sz w:val="12"/>
        </w:rPr>
        <w:t>,</w:t>
      </w:r>
      <w:r>
        <w:rPr>
          <w:color w:val="231F1F"/>
          <w:spacing w:val="-22"/>
          <w:w w:val="110"/>
          <w:sz w:val="12"/>
        </w:rPr>
        <w:t> </w:t>
      </w:r>
      <w:r>
        <w:rPr>
          <w:rFonts w:ascii="Arial"/>
          <w:color w:val="231F1F"/>
          <w:w w:val="295"/>
          <w:position w:val="1"/>
          <w:sz w:val="7"/>
        </w:rPr>
        <w:t>l</w:t>
      </w:r>
      <w:r>
        <w:rPr>
          <w:rFonts w:ascii="Arial"/>
          <w:color w:val="231F1F"/>
          <w:spacing w:val="-47"/>
          <w:w w:val="295"/>
          <w:position w:val="1"/>
          <w:sz w:val="7"/>
        </w:rPr>
        <w:t> </w:t>
      </w:r>
      <w:r>
        <w:rPr>
          <w:rFonts w:ascii="Calibri"/>
          <w:color w:val="008356"/>
          <w:spacing w:val="4"/>
          <w:w w:val="110"/>
          <w:sz w:val="11"/>
        </w:rPr>
        <w:t>DARUNAVIR</w:t>
      </w:r>
      <w:r>
        <w:rPr>
          <w:color w:val="231F1F"/>
          <w:spacing w:val="4"/>
          <w:w w:val="110"/>
          <w:sz w:val="12"/>
        </w:rPr>
        <w:t>,</w:t>
      </w:r>
      <w:r>
        <w:rPr>
          <w:color w:val="231F1F"/>
          <w:spacing w:val="-22"/>
          <w:w w:val="110"/>
          <w:sz w:val="12"/>
        </w:rPr>
        <w:t> </w:t>
      </w:r>
      <w:r>
        <w:rPr>
          <w:rFonts w:ascii="Arial"/>
          <w:color w:val="231F1F"/>
          <w:w w:val="295"/>
          <w:position w:val="1"/>
          <w:sz w:val="7"/>
        </w:rPr>
        <w:t>l</w:t>
      </w:r>
      <w:r>
        <w:rPr>
          <w:rFonts w:ascii="Arial"/>
          <w:color w:val="231F1F"/>
          <w:spacing w:val="-48"/>
          <w:w w:val="295"/>
          <w:position w:val="1"/>
          <w:sz w:val="7"/>
        </w:rPr>
        <w:t> </w:t>
      </w:r>
      <w:r>
        <w:rPr>
          <w:rFonts w:ascii="Calibri"/>
          <w:color w:val="008356"/>
          <w:spacing w:val="4"/>
          <w:w w:val="110"/>
          <w:sz w:val="11"/>
        </w:rPr>
        <w:t>FOSAMPRENAVIR</w:t>
      </w:r>
      <w:r>
        <w:rPr>
          <w:color w:val="231F1F"/>
          <w:spacing w:val="4"/>
          <w:w w:val="110"/>
          <w:sz w:val="12"/>
        </w:rPr>
        <w:t>,</w:t>
      </w:r>
    </w:p>
    <w:p>
      <w:pPr>
        <w:spacing w:line="244" w:lineRule="auto" w:before="0"/>
        <w:ind w:left="208" w:right="773" w:firstLine="0"/>
        <w:jc w:val="left"/>
        <w:rPr>
          <w:sz w:val="12"/>
        </w:rPr>
      </w:pPr>
      <w:r>
        <w:rPr>
          <w:rFonts w:ascii="Arial" w:hAnsi="Arial"/>
          <w:color w:val="231F1F"/>
          <w:w w:val="170"/>
          <w:position w:val="1"/>
          <w:sz w:val="7"/>
        </w:rPr>
        <w:t>l </w:t>
      </w:r>
      <w:r>
        <w:rPr>
          <w:rFonts w:ascii="Calibri" w:hAnsi="Calibri"/>
          <w:color w:val="008356"/>
          <w:w w:val="115"/>
          <w:sz w:val="11"/>
        </w:rPr>
        <w:t>INDINAVIR</w:t>
      </w:r>
      <w:r>
        <w:rPr>
          <w:color w:val="231F1F"/>
          <w:w w:val="115"/>
          <w:sz w:val="12"/>
        </w:rPr>
        <w:t>, </w:t>
      </w:r>
      <w:r>
        <w:rPr>
          <w:rFonts w:ascii="Arial" w:hAnsi="Arial"/>
          <w:color w:val="231F1F"/>
          <w:w w:val="170"/>
          <w:position w:val="1"/>
          <w:sz w:val="7"/>
        </w:rPr>
        <w:t>l </w:t>
      </w:r>
      <w:r>
        <w:rPr>
          <w:rFonts w:ascii="Calibri" w:hAnsi="Calibri"/>
          <w:color w:val="008356"/>
          <w:w w:val="115"/>
          <w:sz w:val="11"/>
        </w:rPr>
        <w:t>RITONAVIR </w:t>
      </w:r>
      <w:r>
        <w:rPr>
          <w:color w:val="231F1F"/>
          <w:w w:val="115"/>
          <w:sz w:val="12"/>
        </w:rPr>
        <w:t>and </w:t>
      </w:r>
      <w:r>
        <w:rPr>
          <w:rFonts w:ascii="Arial" w:hAnsi="Arial"/>
          <w:color w:val="231F1F"/>
          <w:w w:val="170"/>
          <w:position w:val="1"/>
          <w:sz w:val="7"/>
        </w:rPr>
        <w:t>l </w:t>
      </w:r>
      <w:r>
        <w:rPr>
          <w:rFonts w:ascii="Calibri" w:hAnsi="Calibri"/>
          <w:color w:val="008356"/>
          <w:w w:val="115"/>
          <w:sz w:val="11"/>
        </w:rPr>
        <w:t>SAQUINAVIR</w:t>
      </w:r>
      <w:r>
        <w:rPr>
          <w:rFonts w:ascii="Arial" w:hAnsi="Arial"/>
          <w:color w:val="231F1F"/>
          <w:w w:val="115"/>
          <w:sz w:val="12"/>
        </w:rPr>
        <w:t>—</w:t>
      </w:r>
      <w:r>
        <w:rPr>
          <w:color w:val="231F1F"/>
          <w:w w:val="115"/>
          <w:sz w:val="12"/>
        </w:rPr>
        <w:t>reduce dose of ibrutinib (see under Ibrutinib, p. 809)</w:t>
      </w:r>
    </w:p>
    <w:p>
      <w:pPr>
        <w:pStyle w:val="BodyText"/>
        <w:ind w:right="950" w:hanging="100"/>
      </w:pPr>
      <w:r>
        <w:rPr>
          <w:rFonts w:ascii="Arial" w:hAnsi="Arial"/>
          <w:color w:val="231F1F"/>
          <w:w w:val="355"/>
          <w:position w:val="1"/>
          <w:sz w:val="7"/>
        </w:rPr>
        <w:t>l </w:t>
      </w:r>
      <w:r>
        <w:rPr>
          <w:rFonts w:ascii="Calibri" w:hAnsi="Calibri"/>
          <w:color w:val="231F1F"/>
          <w:w w:val="115"/>
        </w:rPr>
        <w:t>Aprepitant: </w:t>
      </w:r>
      <w:r>
        <w:rPr>
          <w:color w:val="231F1F"/>
          <w:w w:val="115"/>
        </w:rPr>
        <w:t>plasma concentration of ibrutinib possibly increased</w:t>
      </w:r>
      <w:r>
        <w:rPr>
          <w:color w:val="231F1F"/>
          <w:spacing w:val="-20"/>
          <w:w w:val="115"/>
        </w:rPr>
        <w:t> </w:t>
      </w:r>
      <w:r>
        <w:rPr>
          <w:color w:val="231F1F"/>
          <w:w w:val="115"/>
        </w:rPr>
        <w:t>by</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APREPITANT</w:t>
      </w:r>
      <w:r>
        <w:rPr>
          <w:rFonts w:ascii="Arial" w:hAnsi="Arial"/>
          <w:color w:val="231F1F"/>
          <w:spacing w:val="2"/>
          <w:w w:val="115"/>
        </w:rPr>
        <w:t>—</w:t>
      </w:r>
      <w:r>
        <w:rPr>
          <w:color w:val="231F1F"/>
          <w:spacing w:val="2"/>
          <w:w w:val="115"/>
        </w:rPr>
        <w:t>reduce</w:t>
      </w:r>
      <w:r>
        <w:rPr>
          <w:color w:val="231F1F"/>
          <w:spacing w:val="-20"/>
          <w:w w:val="115"/>
        </w:rPr>
        <w:t> </w:t>
      </w:r>
      <w:r>
        <w:rPr>
          <w:color w:val="231F1F"/>
          <w:w w:val="115"/>
        </w:rPr>
        <w:t>dose</w:t>
      </w:r>
      <w:r>
        <w:rPr>
          <w:color w:val="231F1F"/>
          <w:spacing w:val="-19"/>
          <w:w w:val="115"/>
        </w:rPr>
        <w:t> </w:t>
      </w:r>
      <w:r>
        <w:rPr>
          <w:color w:val="231F1F"/>
          <w:w w:val="115"/>
        </w:rPr>
        <w:t>of</w:t>
      </w:r>
      <w:r>
        <w:rPr>
          <w:color w:val="231F1F"/>
          <w:spacing w:val="-20"/>
          <w:w w:val="115"/>
        </w:rPr>
        <w:t> </w:t>
      </w:r>
      <w:r>
        <w:rPr>
          <w:color w:val="231F1F"/>
          <w:w w:val="115"/>
        </w:rPr>
        <w:t>ibrutinib</w:t>
      </w:r>
      <w:r>
        <w:rPr>
          <w:color w:val="231F1F"/>
          <w:spacing w:val="-19"/>
          <w:w w:val="115"/>
        </w:rPr>
        <w:t> </w:t>
      </w:r>
      <w:r>
        <w:rPr>
          <w:color w:val="231F1F"/>
          <w:spacing w:val="-3"/>
          <w:w w:val="115"/>
        </w:rPr>
        <w:t>(see </w:t>
      </w:r>
      <w:r>
        <w:rPr>
          <w:color w:val="231F1F"/>
          <w:w w:val="115"/>
        </w:rPr>
        <w:t>under Ibrutinib, p.</w:t>
      </w:r>
      <w:r>
        <w:rPr>
          <w:color w:val="231F1F"/>
          <w:spacing w:val="-14"/>
          <w:w w:val="115"/>
        </w:rPr>
        <w:t> </w:t>
      </w:r>
      <w:r>
        <w:rPr>
          <w:color w:val="231F1F"/>
          <w:w w:val="115"/>
        </w:rPr>
        <w:t>809)</w:t>
      </w:r>
    </w:p>
    <w:p>
      <w:pPr>
        <w:pStyle w:val="BodyText"/>
        <w:spacing w:line="242" w:lineRule="auto"/>
        <w:ind w:right="831" w:hanging="100"/>
        <w:jc w:val="both"/>
      </w:pPr>
      <w:r>
        <w:rPr>
          <w:rFonts w:ascii="Arial" w:hAnsi="Arial"/>
          <w:color w:val="231F1F"/>
          <w:w w:val="330"/>
          <w:position w:val="1"/>
          <w:sz w:val="7"/>
        </w:rPr>
        <w:t>l</w:t>
      </w:r>
      <w:r>
        <w:rPr>
          <w:rFonts w:ascii="Arial" w:hAnsi="Arial"/>
          <w:color w:val="231F1F"/>
          <w:spacing w:val="-51"/>
          <w:w w:val="330"/>
          <w:position w:val="1"/>
          <w:sz w:val="7"/>
        </w:rPr>
        <w:t> </w:t>
      </w:r>
      <w:r>
        <w:rPr>
          <w:rFonts w:ascii="Calibri" w:hAnsi="Calibri"/>
          <w:color w:val="231F1F"/>
          <w:w w:val="115"/>
        </w:rPr>
        <w:t>Calcium-channel</w:t>
      </w:r>
      <w:r>
        <w:rPr>
          <w:rFonts w:ascii="Calibri" w:hAnsi="Calibri"/>
          <w:color w:val="231F1F"/>
          <w:spacing w:val="-21"/>
          <w:w w:val="115"/>
        </w:rPr>
        <w:t> </w:t>
      </w:r>
      <w:r>
        <w:rPr>
          <w:rFonts w:ascii="Calibri" w:hAnsi="Calibri"/>
          <w:color w:val="231F1F"/>
          <w:w w:val="115"/>
        </w:rPr>
        <w:t>Blockers:</w:t>
      </w:r>
      <w:r>
        <w:rPr>
          <w:rFonts w:ascii="Calibri" w:hAnsi="Calibri"/>
          <w:color w:val="231F1F"/>
          <w:spacing w:val="-2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4"/>
          <w:w w:val="115"/>
        </w:rPr>
        <w:t> </w:t>
      </w:r>
      <w:r>
        <w:rPr>
          <w:color w:val="231F1F"/>
          <w:w w:val="115"/>
        </w:rPr>
        <w:t>ibrutinib possibly</w:t>
      </w:r>
      <w:r>
        <w:rPr>
          <w:color w:val="231F1F"/>
          <w:spacing w:val="-25"/>
          <w:w w:val="115"/>
        </w:rPr>
        <w:t> </w:t>
      </w:r>
      <w:r>
        <w:rPr>
          <w:color w:val="231F1F"/>
          <w:w w:val="115"/>
        </w:rPr>
        <w:t>increased</w:t>
      </w:r>
      <w:r>
        <w:rPr>
          <w:color w:val="231F1F"/>
          <w:spacing w:val="-24"/>
          <w:w w:val="115"/>
        </w:rPr>
        <w:t> </w:t>
      </w:r>
      <w:r>
        <w:rPr>
          <w:color w:val="231F1F"/>
          <w:w w:val="115"/>
        </w:rPr>
        <w:t>by</w:t>
      </w:r>
      <w:r>
        <w:rPr>
          <w:color w:val="231F1F"/>
          <w:spacing w:val="-24"/>
          <w:w w:val="115"/>
        </w:rPr>
        <w:t> </w:t>
      </w:r>
      <w:r>
        <w:rPr>
          <w:rFonts w:ascii="Arial" w:hAnsi="Arial"/>
          <w:color w:val="231F1F"/>
          <w:w w:val="220"/>
          <w:position w:val="1"/>
          <w:sz w:val="7"/>
        </w:rPr>
        <w:t>l</w:t>
      </w:r>
      <w:r>
        <w:rPr>
          <w:rFonts w:ascii="Arial" w:hAnsi="Arial"/>
          <w:color w:val="231F1F"/>
          <w:spacing w:val="-33"/>
          <w:w w:val="220"/>
          <w:position w:val="1"/>
          <w:sz w:val="7"/>
        </w:rPr>
        <w:t> </w:t>
      </w:r>
      <w:r>
        <w:rPr>
          <w:rFonts w:ascii="Calibri" w:hAnsi="Calibri"/>
          <w:color w:val="008356"/>
          <w:spacing w:val="3"/>
          <w:w w:val="115"/>
          <w:sz w:val="11"/>
        </w:rPr>
        <w:t>DILTIAZEM</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20"/>
          <w:position w:val="1"/>
          <w:sz w:val="7"/>
        </w:rPr>
        <w:t>l</w:t>
      </w:r>
      <w:r>
        <w:rPr>
          <w:rFonts w:ascii="Arial" w:hAnsi="Arial"/>
          <w:color w:val="231F1F"/>
          <w:spacing w:val="-34"/>
          <w:w w:val="220"/>
          <w:position w:val="1"/>
          <w:sz w:val="7"/>
        </w:rPr>
        <w:t> </w:t>
      </w:r>
      <w:r>
        <w:rPr>
          <w:rFonts w:ascii="Calibri" w:hAnsi="Calibri"/>
          <w:color w:val="008356"/>
          <w:spacing w:val="2"/>
          <w:w w:val="115"/>
          <w:sz w:val="11"/>
        </w:rPr>
        <w:t>VERAPAMIL</w:t>
      </w:r>
      <w:r>
        <w:rPr>
          <w:rFonts w:ascii="Arial" w:hAnsi="Arial"/>
          <w:color w:val="231F1F"/>
          <w:spacing w:val="2"/>
          <w:w w:val="115"/>
        </w:rPr>
        <w:t>—</w:t>
      </w:r>
      <w:r>
        <w:rPr>
          <w:color w:val="231F1F"/>
          <w:spacing w:val="2"/>
          <w:w w:val="115"/>
        </w:rPr>
        <w:t>reduce </w:t>
      </w:r>
      <w:r>
        <w:rPr>
          <w:color w:val="231F1F"/>
          <w:w w:val="115"/>
        </w:rPr>
        <w:t>dose of ibrutinib (see under Ibrutinib, p.</w:t>
      </w:r>
      <w:r>
        <w:rPr>
          <w:color w:val="231F1F"/>
          <w:spacing w:val="4"/>
          <w:w w:val="115"/>
        </w:rPr>
        <w:t> </w:t>
      </w:r>
      <w:r>
        <w:rPr>
          <w:color w:val="231F1F"/>
          <w:w w:val="115"/>
        </w:rPr>
        <w:t>809)</w:t>
      </w:r>
    </w:p>
    <w:p>
      <w:pPr>
        <w:pStyle w:val="BodyText"/>
        <w:spacing w:line="150" w:lineRule="exact"/>
        <w:ind w:left="108"/>
        <w:jc w:val="both"/>
      </w:pPr>
      <w:r>
        <w:rPr>
          <w:rFonts w:ascii="Lucida Sans Unicode" w:hAnsi="Lucida Sans Unicode"/>
          <w:color w:val="A7A8AC"/>
          <w:w w:val="95"/>
          <w:sz w:val="10"/>
        </w:rPr>
        <w:t>▶ </w:t>
      </w:r>
      <w:r>
        <w:rPr>
          <w:rFonts w:ascii="Calibri" w:hAnsi="Calibri"/>
          <w:color w:val="231F1F"/>
          <w:w w:val="105"/>
        </w:rPr>
        <w:t>Cardiac Glycosides: </w:t>
      </w:r>
      <w:r>
        <w:rPr>
          <w:color w:val="231F1F"/>
          <w:w w:val="105"/>
        </w:rPr>
        <w:t>manufacturer of ibrutinib advises give</w:t>
      </w:r>
    </w:p>
    <w:p>
      <w:pPr>
        <w:pStyle w:val="BodyText"/>
        <w:spacing w:line="135" w:lineRule="exact"/>
        <w:jc w:val="both"/>
      </w:pPr>
      <w:r>
        <w:rPr>
          <w:rFonts w:ascii="Calibri"/>
          <w:color w:val="008356"/>
          <w:w w:val="115"/>
          <w:sz w:val="11"/>
        </w:rPr>
        <w:t>DIGOXIN </w:t>
      </w:r>
      <w:r>
        <w:rPr>
          <w:color w:val="231F1F"/>
          <w:w w:val="115"/>
        </w:rPr>
        <w:t>at least 6 hours before or after ibrutinib</w:t>
      </w:r>
    </w:p>
    <w:p>
      <w:pPr>
        <w:pStyle w:val="BodyText"/>
        <w:ind w:right="999" w:hanging="100"/>
      </w:pPr>
      <w:r>
        <w:rPr>
          <w:rFonts w:ascii="Arial" w:hAnsi="Arial"/>
          <w:color w:val="231F1F"/>
          <w:w w:val="355"/>
          <w:position w:val="1"/>
          <w:sz w:val="7"/>
        </w:rPr>
        <w:t>l </w:t>
      </w:r>
      <w:r>
        <w:rPr>
          <w:rFonts w:ascii="Calibri" w:hAnsi="Calibri"/>
          <w:color w:val="231F1F"/>
          <w:w w:val="115"/>
        </w:rPr>
        <w:t>Cobicistat: </w:t>
      </w:r>
      <w:r>
        <w:rPr>
          <w:color w:val="231F1F"/>
          <w:w w:val="115"/>
        </w:rPr>
        <w:t>plasma concentration of ibrutinib possibly increased</w:t>
      </w:r>
      <w:r>
        <w:rPr>
          <w:color w:val="231F1F"/>
          <w:spacing w:val="-22"/>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COBICISTAT</w:t>
      </w:r>
      <w:r>
        <w:rPr>
          <w:rFonts w:ascii="Arial" w:hAnsi="Arial"/>
          <w:color w:val="231F1F"/>
          <w:spacing w:val="2"/>
          <w:w w:val="115"/>
        </w:rPr>
        <w:t>—</w:t>
      </w:r>
      <w:r>
        <w:rPr>
          <w:color w:val="231F1F"/>
          <w:spacing w:val="2"/>
          <w:w w:val="115"/>
        </w:rPr>
        <w:t>reduce</w:t>
      </w:r>
      <w:r>
        <w:rPr>
          <w:color w:val="231F1F"/>
          <w:spacing w:val="-22"/>
          <w:w w:val="115"/>
        </w:rPr>
        <w:t> </w:t>
      </w:r>
      <w:r>
        <w:rPr>
          <w:color w:val="231F1F"/>
          <w:w w:val="115"/>
        </w:rPr>
        <w:t>dose</w:t>
      </w:r>
      <w:r>
        <w:rPr>
          <w:color w:val="231F1F"/>
          <w:spacing w:val="-21"/>
          <w:w w:val="115"/>
        </w:rPr>
        <w:t> </w:t>
      </w:r>
      <w:r>
        <w:rPr>
          <w:color w:val="231F1F"/>
          <w:w w:val="115"/>
        </w:rPr>
        <w:t>of</w:t>
      </w:r>
      <w:r>
        <w:rPr>
          <w:color w:val="231F1F"/>
          <w:spacing w:val="-20"/>
          <w:w w:val="115"/>
        </w:rPr>
        <w:t> </w:t>
      </w:r>
      <w:r>
        <w:rPr>
          <w:color w:val="231F1F"/>
          <w:w w:val="115"/>
        </w:rPr>
        <w:t>ibrutinib</w:t>
      </w:r>
      <w:r>
        <w:rPr>
          <w:color w:val="231F1F"/>
          <w:spacing w:val="-21"/>
          <w:w w:val="115"/>
        </w:rPr>
        <w:t> </w:t>
      </w:r>
      <w:r>
        <w:rPr>
          <w:color w:val="231F1F"/>
          <w:spacing w:val="-3"/>
          <w:w w:val="115"/>
        </w:rPr>
        <w:t>(see </w:t>
      </w:r>
      <w:r>
        <w:rPr>
          <w:color w:val="231F1F"/>
          <w:w w:val="115"/>
        </w:rPr>
        <w:t>under Ibrutinib, p.</w:t>
      </w:r>
      <w:r>
        <w:rPr>
          <w:color w:val="231F1F"/>
          <w:spacing w:val="-14"/>
          <w:w w:val="115"/>
        </w:rPr>
        <w:t> </w:t>
      </w:r>
      <w:r>
        <w:rPr>
          <w:color w:val="231F1F"/>
          <w:w w:val="115"/>
        </w:rPr>
        <w:t>809)</w:t>
      </w:r>
    </w:p>
    <w:p>
      <w:pPr>
        <w:pStyle w:val="BodyText"/>
        <w:ind w:right="952" w:hanging="100"/>
      </w:pPr>
      <w:r>
        <w:rPr>
          <w:rFonts w:ascii="Arial" w:hAnsi="Arial"/>
          <w:color w:val="231F1F"/>
          <w:w w:val="355"/>
          <w:position w:val="1"/>
          <w:sz w:val="7"/>
        </w:rPr>
        <w:t>l </w:t>
      </w:r>
      <w:r>
        <w:rPr>
          <w:rFonts w:ascii="Calibri" w:hAnsi="Calibri"/>
          <w:color w:val="231F1F"/>
          <w:w w:val="115"/>
        </w:rPr>
        <w:t>Cytotoxics: </w:t>
      </w:r>
      <w:r>
        <w:rPr>
          <w:color w:val="231F1F"/>
          <w:w w:val="115"/>
        </w:rPr>
        <w:t>plasma concentration of ibrutinib possibly increased</w:t>
      </w:r>
      <w:r>
        <w:rPr>
          <w:color w:val="231F1F"/>
          <w:spacing w:val="-25"/>
          <w:w w:val="115"/>
        </w:rPr>
        <w:t> </w:t>
      </w:r>
      <w:r>
        <w:rPr>
          <w:color w:val="231F1F"/>
          <w:w w:val="115"/>
        </w:rPr>
        <w:t>by</w:t>
      </w:r>
      <w:r>
        <w:rPr>
          <w:color w:val="231F1F"/>
          <w:spacing w:val="-24"/>
          <w:w w:val="115"/>
        </w:rPr>
        <w:t> </w:t>
      </w:r>
      <w:r>
        <w:rPr>
          <w:rFonts w:ascii="Arial" w:hAnsi="Arial"/>
          <w:color w:val="231F1F"/>
          <w:w w:val="295"/>
          <w:position w:val="1"/>
          <w:sz w:val="7"/>
        </w:rPr>
        <w:t>l</w:t>
      </w:r>
      <w:r>
        <w:rPr>
          <w:rFonts w:ascii="Arial" w:hAnsi="Arial"/>
          <w:color w:val="231F1F"/>
          <w:spacing w:val="-47"/>
          <w:w w:val="295"/>
          <w:position w:val="1"/>
          <w:sz w:val="7"/>
        </w:rPr>
        <w:t> </w:t>
      </w:r>
      <w:r>
        <w:rPr>
          <w:rFonts w:ascii="Calibri" w:hAnsi="Calibri"/>
          <w:color w:val="008356"/>
          <w:spacing w:val="4"/>
          <w:w w:val="115"/>
          <w:sz w:val="11"/>
        </w:rPr>
        <w:t>CRIZOTINIB</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95"/>
          <w:position w:val="1"/>
          <w:sz w:val="7"/>
        </w:rPr>
        <w:t>l</w:t>
      </w:r>
      <w:r>
        <w:rPr>
          <w:rFonts w:ascii="Arial" w:hAnsi="Arial"/>
          <w:color w:val="231F1F"/>
          <w:spacing w:val="-48"/>
          <w:w w:val="295"/>
          <w:position w:val="1"/>
          <w:sz w:val="7"/>
        </w:rPr>
        <w:t> </w:t>
      </w:r>
      <w:r>
        <w:rPr>
          <w:rFonts w:ascii="Calibri" w:hAnsi="Calibri"/>
          <w:color w:val="008356"/>
          <w:spacing w:val="2"/>
          <w:w w:val="115"/>
          <w:sz w:val="11"/>
        </w:rPr>
        <w:t>IMATINIB</w:t>
      </w:r>
      <w:r>
        <w:rPr>
          <w:rFonts w:ascii="Arial" w:hAnsi="Arial"/>
          <w:color w:val="231F1F"/>
          <w:spacing w:val="2"/>
          <w:w w:val="115"/>
        </w:rPr>
        <w:t>—</w:t>
      </w:r>
      <w:r>
        <w:rPr>
          <w:color w:val="231F1F"/>
          <w:spacing w:val="2"/>
          <w:w w:val="115"/>
        </w:rPr>
        <w:t>reduce</w:t>
      </w:r>
      <w:r>
        <w:rPr>
          <w:color w:val="231F1F"/>
          <w:spacing w:val="-24"/>
          <w:w w:val="115"/>
        </w:rPr>
        <w:t> </w:t>
      </w:r>
      <w:r>
        <w:rPr>
          <w:color w:val="231F1F"/>
          <w:w w:val="115"/>
        </w:rPr>
        <w:t>dose</w:t>
      </w:r>
      <w:r>
        <w:rPr>
          <w:color w:val="231F1F"/>
          <w:spacing w:val="-24"/>
          <w:w w:val="115"/>
        </w:rPr>
        <w:t> </w:t>
      </w:r>
      <w:r>
        <w:rPr>
          <w:color w:val="231F1F"/>
          <w:w w:val="115"/>
        </w:rPr>
        <w:t>of ibrutinib (see under Ibrutinib, p.</w:t>
      </w:r>
      <w:r>
        <w:rPr>
          <w:color w:val="231F1F"/>
          <w:spacing w:val="-21"/>
          <w:w w:val="115"/>
        </w:rPr>
        <w:t> </w:t>
      </w:r>
      <w:r>
        <w:rPr>
          <w:color w:val="231F1F"/>
          <w:w w:val="115"/>
        </w:rPr>
        <w:t>809)</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plasma concentration of ibrutinib possibly increased by </w:t>
      </w:r>
      <w:r>
        <w:rPr>
          <w:rFonts w:ascii="Calibri" w:hAnsi="Calibri"/>
          <w:color w:val="008356"/>
          <w:w w:val="105"/>
          <w:sz w:val="11"/>
        </w:rPr>
        <w:t>FOSAPREPITANT</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ibrutinib advises avoid concomitant use with </w:t>
      </w:r>
      <w:r>
        <w:rPr>
          <w:rFonts w:ascii="Calibri" w:hAnsi="Calibri"/>
          <w:color w:val="008356"/>
          <w:w w:val="105"/>
          <w:sz w:val="11"/>
        </w:rPr>
        <w:t>GRAPEFRUIT JUICE</w:t>
      </w:r>
    </w:p>
    <w:p>
      <w:pPr>
        <w:pStyle w:val="BodyText"/>
        <w:spacing w:line="220" w:lineRule="auto" w:before="8"/>
        <w:ind w:right="1328" w:hanging="100"/>
        <w:rPr>
          <w:rFonts w:ascii="Calibri" w:hAnsi="Calibri"/>
          <w:sz w:val="11"/>
        </w:rPr>
      </w:pPr>
      <w:r>
        <w:rPr>
          <w:rFonts w:ascii="Lucida Sans Unicode" w:hAnsi="Lucida Sans Unicode"/>
          <w:color w:val="A7A8AC"/>
          <w:w w:val="95"/>
          <w:sz w:val="10"/>
        </w:rPr>
        <w:t>▶ </w:t>
      </w:r>
      <w:r>
        <w:rPr>
          <w:rFonts w:ascii="Calibri" w:hAnsi="Calibri"/>
          <w:color w:val="231F1F"/>
          <w:w w:val="105"/>
        </w:rPr>
        <w:t>Vitamins: </w:t>
      </w:r>
      <w:r>
        <w:rPr>
          <w:color w:val="231F1F"/>
          <w:w w:val="105"/>
        </w:rPr>
        <w:t>manufacturer of ibrutinib advises avoid concomitant use with </w:t>
      </w:r>
      <w:r>
        <w:rPr>
          <w:rFonts w:ascii="Calibri" w:hAnsi="Calibri"/>
          <w:color w:val="008356"/>
          <w:w w:val="105"/>
          <w:sz w:val="11"/>
        </w:rPr>
        <w:t>VITAMIN E</w:t>
      </w:r>
    </w:p>
    <w:p>
      <w:pPr>
        <w:pStyle w:val="BodyText"/>
        <w:spacing w:before="9"/>
        <w:ind w:left="108"/>
      </w:pPr>
      <w:r>
        <w:rPr>
          <w:rFonts w:ascii="Trebuchet MS"/>
          <w:color w:val="008356"/>
          <w:w w:val="105"/>
        </w:rPr>
        <w:t>Ibuprofen </w:t>
      </w:r>
      <w:r>
        <w:rPr>
          <w:i/>
          <w:color w:val="231F1F"/>
          <w:w w:val="105"/>
        </w:rPr>
        <w:t>see </w:t>
      </w:r>
      <w:r>
        <w:rPr>
          <w:color w:val="231F1F"/>
          <w:w w:val="105"/>
        </w:rPr>
        <w:t>NSAIDs</w:t>
      </w:r>
    </w:p>
    <w:p>
      <w:pPr>
        <w:pStyle w:val="BodyText"/>
        <w:spacing w:before="10"/>
        <w:ind w:left="108"/>
        <w:rPr>
          <w:rFonts w:ascii="Trebuchet MS"/>
        </w:rPr>
      </w:pPr>
      <w:r>
        <w:rPr>
          <w:rFonts w:ascii="Trebuchet MS"/>
          <w:color w:val="008356"/>
        </w:rPr>
        <w:t>Idarubicin</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45" w:lineRule="exact"/>
        <w:ind w:left="108"/>
      </w:pPr>
      <w:r>
        <w:rPr>
          <w:rFonts w:ascii="Arial"/>
          <w:color w:val="231F1F"/>
          <w:w w:val="355"/>
          <w:position w:val="1"/>
          <w:sz w:val="7"/>
        </w:rPr>
        <w:t>l </w:t>
      </w:r>
      <w:r>
        <w:rPr>
          <w:rFonts w:ascii="Calibri"/>
          <w:color w:val="231F1F"/>
          <w:w w:val="115"/>
        </w:rPr>
        <w:t>Ciclosporin: </w:t>
      </w:r>
      <w:r>
        <w:rPr>
          <w:color w:val="231F1F"/>
          <w:w w:val="115"/>
        </w:rPr>
        <w:t>plasma concentration of idarubicin increased by</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before="6"/>
        <w:ind w:left="108"/>
        <w:rPr>
          <w:rFonts w:ascii="Trebuchet MS"/>
        </w:rPr>
      </w:pPr>
      <w:r>
        <w:rPr>
          <w:rFonts w:ascii="Trebuchet MS"/>
          <w:color w:val="008356"/>
        </w:rPr>
        <w:t>Idelalisib</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manufacturer of idelalisib advises avoid concomitant use with </w:t>
      </w:r>
      <w:r>
        <w:rPr>
          <w:rFonts w:ascii="Calibri" w:hAnsi="Calibri"/>
          <w:color w:val="008356"/>
          <w:w w:val="110"/>
          <w:sz w:val="11"/>
        </w:rPr>
        <w:t>ALFUZOSIN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Anti-arrhythmics: </w:t>
      </w:r>
      <w:r>
        <w:rPr>
          <w:color w:val="231F1F"/>
          <w:w w:val="110"/>
        </w:rPr>
        <w:t>manufacturer of idelalisib advises avoid concomitant use with </w:t>
      </w:r>
      <w:r>
        <w:rPr>
          <w:rFonts w:ascii="Calibri" w:hAnsi="Calibri"/>
          <w:color w:val="008356"/>
          <w:w w:val="110"/>
          <w:sz w:val="11"/>
        </w:rPr>
        <w:t>AMIODARONE</w:t>
      </w:r>
    </w:p>
    <w:p>
      <w:pPr>
        <w:pStyle w:val="BodyText"/>
        <w:spacing w:line="146" w:lineRule="exact"/>
        <w:ind w:left="108"/>
      </w:pPr>
      <w:r>
        <w:rPr>
          <w:rFonts w:ascii="Arial"/>
          <w:color w:val="231F1F"/>
          <w:w w:val="355"/>
          <w:position w:val="1"/>
          <w:sz w:val="7"/>
        </w:rPr>
        <w:t>l </w:t>
      </w:r>
      <w:r>
        <w:rPr>
          <w:rFonts w:ascii="Calibri"/>
          <w:color w:val="231F1F"/>
          <w:w w:val="115"/>
        </w:rPr>
        <w:t>Antibacterials: </w:t>
      </w:r>
      <w:r>
        <w:rPr>
          <w:color w:val="231F1F"/>
          <w:w w:val="115"/>
        </w:rPr>
        <w:t>plasma concentration of idelalisib reduced by</w:t>
      </w:r>
    </w:p>
    <w:p>
      <w:pPr>
        <w:spacing w:line="140" w:lineRule="exact" w:before="0"/>
        <w:ind w:left="208" w:right="0" w:firstLine="0"/>
        <w:jc w:val="both"/>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ind w:right="821" w:hanging="100"/>
      </w:pPr>
      <w:r>
        <w:rPr>
          <w:rFonts w:ascii="Arial" w:hAnsi="Arial"/>
          <w:color w:val="231F1F"/>
          <w:w w:val="335"/>
          <w:position w:val="1"/>
          <w:sz w:val="7"/>
        </w:rPr>
        <w:t>l</w:t>
      </w:r>
      <w:r>
        <w:rPr>
          <w:rFonts w:ascii="Arial" w:hAnsi="Arial"/>
          <w:color w:val="231F1F"/>
          <w:spacing w:val="-52"/>
          <w:w w:val="335"/>
          <w:position w:val="1"/>
          <w:sz w:val="7"/>
        </w:rPr>
        <w:t> </w:t>
      </w:r>
      <w:r>
        <w:rPr>
          <w:rFonts w:ascii="Calibri" w:hAnsi="Calibri"/>
          <w:color w:val="231F1F"/>
          <w:w w:val="115"/>
        </w:rPr>
        <w:t>Antidepressants:</w:t>
      </w:r>
      <w:r>
        <w:rPr>
          <w:rFonts w:ascii="Calibri" w:hAnsi="Calibri"/>
          <w:color w:val="231F1F"/>
          <w:spacing w:val="-2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3"/>
          <w:w w:val="115"/>
        </w:rPr>
        <w:t> </w:t>
      </w:r>
      <w:r>
        <w:rPr>
          <w:color w:val="231F1F"/>
          <w:w w:val="115"/>
        </w:rPr>
        <w:t>idelalisib</w:t>
      </w:r>
      <w:r>
        <w:rPr>
          <w:color w:val="231F1F"/>
          <w:spacing w:val="-24"/>
          <w:w w:val="115"/>
        </w:rPr>
        <w:t> </w:t>
      </w:r>
      <w:r>
        <w:rPr>
          <w:color w:val="231F1F"/>
          <w:w w:val="115"/>
        </w:rPr>
        <w:t>possibly reduced</w:t>
      </w:r>
      <w:r>
        <w:rPr>
          <w:color w:val="231F1F"/>
          <w:spacing w:val="-17"/>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ST</w:t>
      </w:r>
      <w:r>
        <w:rPr>
          <w:rFonts w:ascii="Calibri" w:hAnsi="Calibri"/>
          <w:color w:val="008356"/>
          <w:spacing w:val="-13"/>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9"/>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7"/>
          <w:w w:val="115"/>
        </w:rPr>
        <w:t> </w:t>
      </w:r>
      <w:r>
        <w:rPr>
          <w:color w:val="231F1F"/>
          <w:w w:val="115"/>
        </w:rPr>
        <w:t>of</w:t>
      </w:r>
      <w:r>
        <w:rPr>
          <w:color w:val="231F1F"/>
          <w:spacing w:val="-16"/>
          <w:w w:val="115"/>
        </w:rPr>
        <w:t> </w:t>
      </w:r>
      <w:r>
        <w:rPr>
          <w:color w:val="231F1F"/>
          <w:w w:val="115"/>
        </w:rPr>
        <w:t>idelalisib advises avoid concomitant</w:t>
      </w:r>
      <w:r>
        <w:rPr>
          <w:color w:val="231F1F"/>
          <w:spacing w:val="-14"/>
          <w:w w:val="115"/>
        </w:rPr>
        <w:t> </w:t>
      </w:r>
      <w:r>
        <w:rPr>
          <w:color w:val="231F1F"/>
          <w:w w:val="115"/>
        </w:rPr>
        <w:t>use</w:t>
      </w:r>
    </w:p>
    <w:p>
      <w:pPr>
        <w:spacing w:before="1"/>
        <w:ind w:left="208" w:right="67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idelalisib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 </w:t>
      </w:r>
      <w:r>
        <w:rPr>
          <w:color w:val="231F1F"/>
          <w:w w:val="110"/>
          <w:sz w:val="12"/>
        </w:rPr>
        <w:t>and</w:t>
      </w:r>
    </w:p>
    <w:p>
      <w:pPr>
        <w:pStyle w:val="BodyText"/>
        <w:spacing w:before="1"/>
        <w:ind w:right="1012"/>
      </w:pPr>
      <w:r>
        <w:rPr>
          <w:rFonts w:ascii="Arial" w:hAnsi="Arial"/>
          <w:color w:val="231F1F"/>
          <w:w w:val="115"/>
          <w:position w:val="1"/>
          <w:sz w:val="7"/>
        </w:rPr>
        <w:t>l </w:t>
      </w:r>
      <w:r>
        <w:rPr>
          <w:rFonts w:ascii="Calibri" w:hAnsi="Calibri"/>
          <w:color w:val="008356"/>
          <w:w w:val="115"/>
          <w:sz w:val="11"/>
        </w:rPr>
        <w:t>PHENYTOIN</w:t>
      </w:r>
      <w:r>
        <w:rPr>
          <w:rFonts w:ascii="Arial" w:hAnsi="Arial"/>
          <w:color w:val="231F1F"/>
          <w:w w:val="115"/>
        </w:rPr>
        <w:t>—</w:t>
      </w:r>
      <w:r>
        <w:rPr>
          <w:color w:val="231F1F"/>
          <w:w w:val="115"/>
        </w:rPr>
        <w:t>manufacturer of idelalisib advises avoid </w:t>
      </w:r>
      <w:r>
        <w:rPr>
          <w:color w:val="231F1F"/>
          <w:w w:val="120"/>
        </w:rPr>
        <w:t>concomitant use</w:t>
      </w:r>
    </w:p>
    <w:p>
      <w:pPr>
        <w:pStyle w:val="BodyText"/>
        <w:spacing w:line="156" w:lineRule="exact" w:before="3"/>
        <w:ind w:left="108"/>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idelalisib increased by</w:t>
      </w:r>
    </w:p>
    <w:p>
      <w:pPr>
        <w:spacing w:line="130" w:lineRule="exact" w:before="0"/>
        <w:ind w:left="208" w:right="0" w:firstLine="0"/>
        <w:jc w:val="left"/>
        <w:rPr>
          <w:rFonts w:ascii="Calibri"/>
          <w:sz w:val="11"/>
        </w:rPr>
      </w:pPr>
      <w:r>
        <w:rPr>
          <w:rFonts w:ascii="Calibri"/>
          <w:color w:val="008356"/>
          <w:sz w:val="11"/>
        </w:rPr>
        <w:t>KETOCONAZOLE</w:t>
      </w:r>
    </w:p>
    <w:p>
      <w:pPr>
        <w:pStyle w:val="BodyText"/>
        <w:spacing w:line="145" w:lineRule="exact"/>
        <w:ind w:left="108"/>
        <w:jc w:val="both"/>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249" w:lineRule="auto" w:before="0"/>
        <w:ind w:left="208" w:right="679" w:firstLine="0"/>
        <w:jc w:val="both"/>
        <w:rPr>
          <w:rFonts w:ascii="Calibri"/>
          <w:sz w:val="11"/>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CLOZAPINE</w:t>
      </w:r>
      <w:r>
        <w:rPr>
          <w:rFonts w:ascii="Calibri"/>
          <w:color w:val="008356"/>
          <w:spacing w:val="-11"/>
          <w:w w:val="115"/>
          <w:sz w:val="11"/>
        </w:rPr>
        <w:t> </w:t>
      </w:r>
      <w:r>
        <w:rPr>
          <w:color w:val="231F1F"/>
          <w:w w:val="115"/>
          <w:sz w:val="12"/>
        </w:rPr>
        <w:t>(increased</w:t>
      </w:r>
      <w:r>
        <w:rPr>
          <w:color w:val="231F1F"/>
          <w:spacing w:val="-19"/>
          <w:w w:val="115"/>
          <w:sz w:val="12"/>
        </w:rPr>
        <w:t> </w:t>
      </w:r>
      <w:r>
        <w:rPr>
          <w:color w:val="231F1F"/>
          <w:w w:val="115"/>
          <w:sz w:val="12"/>
        </w:rPr>
        <w:t>risk</w:t>
      </w:r>
      <w:r>
        <w:rPr>
          <w:color w:val="231F1F"/>
          <w:spacing w:val="-19"/>
          <w:w w:val="115"/>
          <w:sz w:val="12"/>
        </w:rPr>
        <w:t> </w:t>
      </w:r>
      <w:r>
        <w:rPr>
          <w:color w:val="231F1F"/>
          <w:w w:val="115"/>
          <w:sz w:val="12"/>
        </w:rPr>
        <w:t>of</w:t>
      </w:r>
      <w:r>
        <w:rPr>
          <w:color w:val="231F1F"/>
          <w:spacing w:val="-19"/>
          <w:w w:val="115"/>
          <w:sz w:val="12"/>
        </w:rPr>
        <w:t> </w:t>
      </w:r>
      <w:r>
        <w:rPr>
          <w:color w:val="231F1F"/>
          <w:w w:val="115"/>
          <w:sz w:val="12"/>
        </w:rPr>
        <w:t>agranulocytosis);</w:t>
      </w:r>
      <w:r>
        <w:rPr>
          <w:color w:val="231F1F"/>
          <w:spacing w:val="-19"/>
          <w:w w:val="115"/>
          <w:sz w:val="12"/>
        </w:rPr>
        <w:t> </w:t>
      </w:r>
      <w:r>
        <w:rPr>
          <w:color w:val="231F1F"/>
          <w:w w:val="115"/>
          <w:sz w:val="12"/>
        </w:rPr>
        <w:t>manufacturer of</w:t>
      </w:r>
      <w:r>
        <w:rPr>
          <w:color w:val="231F1F"/>
          <w:spacing w:val="-17"/>
          <w:w w:val="115"/>
          <w:sz w:val="12"/>
        </w:rPr>
        <w:t> </w:t>
      </w:r>
      <w:r>
        <w:rPr>
          <w:color w:val="231F1F"/>
          <w:w w:val="115"/>
          <w:sz w:val="12"/>
        </w:rPr>
        <w:t>idelalisib</w:t>
      </w:r>
      <w:r>
        <w:rPr>
          <w:color w:val="231F1F"/>
          <w:spacing w:val="-16"/>
          <w:w w:val="115"/>
          <w:sz w:val="12"/>
        </w:rPr>
        <w:t> </w:t>
      </w:r>
      <w:r>
        <w:rPr>
          <w:color w:val="231F1F"/>
          <w:w w:val="115"/>
          <w:sz w:val="12"/>
        </w:rPr>
        <w:t>advises</w:t>
      </w:r>
      <w:r>
        <w:rPr>
          <w:color w:val="231F1F"/>
          <w:spacing w:val="-16"/>
          <w:w w:val="115"/>
          <w:sz w:val="12"/>
        </w:rPr>
        <w:t> </w:t>
      </w:r>
      <w:r>
        <w:rPr>
          <w:color w:val="231F1F"/>
          <w:w w:val="115"/>
          <w:sz w:val="12"/>
        </w:rPr>
        <w:t>avoid</w:t>
      </w:r>
      <w:r>
        <w:rPr>
          <w:color w:val="231F1F"/>
          <w:spacing w:val="-17"/>
          <w:w w:val="115"/>
          <w:sz w:val="12"/>
        </w:rPr>
        <w:t> </w:t>
      </w:r>
      <w:r>
        <w:rPr>
          <w:color w:val="231F1F"/>
          <w:w w:val="115"/>
          <w:sz w:val="12"/>
        </w:rPr>
        <w:t>concomitant</w:t>
      </w:r>
      <w:r>
        <w:rPr>
          <w:color w:val="231F1F"/>
          <w:spacing w:val="-17"/>
          <w:w w:val="115"/>
          <w:sz w:val="12"/>
        </w:rPr>
        <w:t> </w:t>
      </w:r>
      <w:r>
        <w:rPr>
          <w:color w:val="231F1F"/>
          <w:w w:val="115"/>
          <w:sz w:val="12"/>
        </w:rPr>
        <w:t>use</w:t>
      </w:r>
      <w:r>
        <w:rPr>
          <w:color w:val="231F1F"/>
          <w:spacing w:val="-15"/>
          <w:w w:val="115"/>
          <w:sz w:val="12"/>
        </w:rPr>
        <w:t> </w:t>
      </w:r>
      <w:r>
        <w:rPr>
          <w:color w:val="231F1F"/>
          <w:w w:val="115"/>
          <w:sz w:val="12"/>
        </w:rPr>
        <w:t>with</w:t>
      </w:r>
      <w:r>
        <w:rPr>
          <w:color w:val="231F1F"/>
          <w:spacing w:val="-16"/>
          <w:w w:val="115"/>
          <w:sz w:val="12"/>
        </w:rPr>
        <w:t> </w:t>
      </w:r>
      <w:r>
        <w:rPr>
          <w:rFonts w:ascii="Calibri"/>
          <w:color w:val="008356"/>
          <w:spacing w:val="4"/>
          <w:w w:val="115"/>
          <w:sz w:val="11"/>
        </w:rPr>
        <w:t>PIMOZIDE</w:t>
      </w:r>
      <w:r>
        <w:rPr>
          <w:rFonts w:ascii="Calibri"/>
          <w:color w:val="008356"/>
          <w:spacing w:val="-7"/>
          <w:w w:val="115"/>
          <w:sz w:val="11"/>
        </w:rPr>
        <w:t> </w:t>
      </w:r>
      <w:r>
        <w:rPr>
          <w:color w:val="231F1F"/>
          <w:spacing w:val="-4"/>
          <w:w w:val="115"/>
          <w:sz w:val="12"/>
        </w:rPr>
        <w:t>and </w:t>
      </w:r>
      <w:r>
        <w:rPr>
          <w:rFonts w:ascii="Calibri"/>
          <w:color w:val="008356"/>
          <w:spacing w:val="4"/>
          <w:w w:val="115"/>
          <w:sz w:val="11"/>
        </w:rPr>
        <w:t>QUETIAPINE</w:t>
      </w:r>
    </w:p>
    <w:p>
      <w:pPr>
        <w:pStyle w:val="BodyText"/>
        <w:spacing w:line="220" w:lineRule="auto" w:before="1"/>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manufacturer of idelalisib advises avoid concomitant use of </w:t>
      </w:r>
      <w:r>
        <w:rPr>
          <w:i/>
          <w:color w:val="231F1F"/>
          <w:w w:val="105"/>
        </w:rPr>
        <w:t>oral </w:t>
      </w:r>
      <w:r>
        <w:rPr>
          <w:rFonts w:ascii="Calibri" w:hAnsi="Calibri"/>
          <w:color w:val="008356"/>
          <w:w w:val="105"/>
          <w:sz w:val="11"/>
        </w:rPr>
        <w:t>MIDAZOLAM</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Ergot Alkaloids: </w:t>
      </w:r>
      <w:r>
        <w:rPr>
          <w:color w:val="231F1F"/>
          <w:w w:val="105"/>
        </w:rPr>
        <w:t>manufacturer of idelalisib advises </w:t>
      </w:r>
      <w:r>
        <w:rPr>
          <w:color w:val="231F1F"/>
          <w:spacing w:val="-3"/>
          <w:w w:val="105"/>
        </w:rPr>
        <w:t>avoid </w:t>
      </w:r>
      <w:r>
        <w:rPr>
          <w:color w:val="231F1F"/>
          <w:w w:val="105"/>
        </w:rPr>
        <w:t>concomitant use with </w:t>
      </w:r>
      <w:r>
        <w:rPr>
          <w:rFonts w:ascii="Calibri" w:hAnsi="Calibri"/>
          <w:color w:val="008356"/>
          <w:spacing w:val="4"/>
          <w:w w:val="105"/>
          <w:sz w:val="11"/>
        </w:rPr>
        <w:t>ERGOTAMINE</w:t>
      </w:r>
    </w:p>
    <w:p>
      <w:pPr>
        <w:pStyle w:val="BodyText"/>
        <w:spacing w:line="220" w:lineRule="auto" w:before="8"/>
        <w:ind w:right="68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manufacturer of idelalisib advises </w:t>
      </w:r>
      <w:r>
        <w:rPr>
          <w:color w:val="231F1F"/>
          <w:spacing w:val="-3"/>
          <w:w w:val="105"/>
        </w:rPr>
        <w:t>avoid </w:t>
      </w:r>
      <w:r>
        <w:rPr>
          <w:color w:val="231F1F"/>
          <w:w w:val="105"/>
        </w:rPr>
        <w:t>concomitant use with </w:t>
      </w:r>
      <w:r>
        <w:rPr>
          <w:rFonts w:ascii="Calibri" w:hAnsi="Calibri"/>
          <w:color w:val="008356"/>
          <w:spacing w:val="3"/>
          <w:w w:val="105"/>
          <w:sz w:val="11"/>
        </w:rPr>
        <w:t>SIMVASTATIN</w:t>
      </w:r>
    </w:p>
    <w:p>
      <w:pPr>
        <w:pStyle w:val="BodyText"/>
        <w:spacing w:line="230" w:lineRule="auto" w:before="5"/>
        <w:ind w:right="762" w:hanging="100"/>
      </w:pPr>
      <w:r>
        <w:rPr>
          <w:rFonts w:ascii="Lucida Sans Unicode" w:hAnsi="Lucida Sans Unicode"/>
          <w:color w:val="A7A8AC"/>
          <w:w w:val="95"/>
          <w:sz w:val="10"/>
        </w:rPr>
        <w:t>▶ </w:t>
      </w:r>
      <w:r>
        <w:rPr>
          <w:rFonts w:ascii="Calibri" w:hAnsi="Calibri"/>
          <w:color w:val="231F1F"/>
          <w:w w:val="110"/>
        </w:rPr>
        <w:t>Sildenafil: </w:t>
      </w:r>
      <w:r>
        <w:rPr>
          <w:color w:val="231F1F"/>
          <w:w w:val="110"/>
        </w:rPr>
        <w:t>manufacturer of idelalisib advises avoid concomitant use of </w:t>
      </w:r>
      <w:r>
        <w:rPr>
          <w:rFonts w:ascii="Calibri" w:hAnsi="Calibri"/>
          <w:color w:val="008356"/>
          <w:w w:val="110"/>
          <w:sz w:val="11"/>
        </w:rPr>
        <w:t>SILDENAFIL </w:t>
      </w:r>
      <w:r>
        <w:rPr>
          <w:color w:val="231F1F"/>
          <w:w w:val="110"/>
        </w:rPr>
        <w:t>for pulmonary arterial hypertension</w:t>
      </w:r>
    </w:p>
    <w:p>
      <w:pPr>
        <w:pStyle w:val="BodyText"/>
        <w:spacing w:line="220" w:lineRule="auto" w:before="12"/>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manufacturer of idelalisib advises avoid concomitant use with </w:t>
      </w:r>
      <w:r>
        <w:rPr>
          <w:rFonts w:ascii="Calibri" w:hAnsi="Calibri"/>
          <w:color w:val="008356"/>
          <w:w w:val="105"/>
          <w:sz w:val="11"/>
          <w:vertAlign w:val="baseline"/>
        </w:rPr>
        <w:t>SALMETEROL</w:t>
      </w:r>
    </w:p>
    <w:p>
      <w:pPr>
        <w:pStyle w:val="BodyText"/>
        <w:spacing w:before="9"/>
        <w:ind w:left="108"/>
        <w:rPr>
          <w:rFonts w:ascii="Trebuchet MS"/>
        </w:rPr>
      </w:pPr>
      <w:r>
        <w:rPr>
          <w:rFonts w:ascii="Trebuchet MS"/>
          <w:color w:val="008356"/>
        </w:rPr>
        <w:t>Ifosfamide</w:t>
      </w:r>
    </w:p>
    <w:p>
      <w:pPr>
        <w:pStyle w:val="BodyText"/>
        <w:spacing w:before="1"/>
        <w:ind w:right="836"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Anticoagulants:</w:t>
      </w:r>
      <w:r>
        <w:rPr>
          <w:rFonts w:ascii="Calibri"/>
          <w:color w:val="231F1F"/>
          <w:spacing w:val="-16"/>
          <w:w w:val="115"/>
        </w:rPr>
        <w:t> </w:t>
      </w:r>
      <w:r>
        <w:rPr>
          <w:color w:val="231F1F"/>
          <w:w w:val="115"/>
        </w:rPr>
        <w:t>ifosfamide</w:t>
      </w:r>
      <w:r>
        <w:rPr>
          <w:color w:val="231F1F"/>
          <w:spacing w:val="-20"/>
          <w:w w:val="115"/>
        </w:rPr>
        <w:t> </w:t>
      </w:r>
      <w:r>
        <w:rPr>
          <w:color w:val="231F1F"/>
          <w:w w:val="115"/>
        </w:rPr>
        <w:t>possibly</w:t>
      </w:r>
      <w:r>
        <w:rPr>
          <w:color w:val="231F1F"/>
          <w:spacing w:val="-18"/>
          <w:w w:val="115"/>
        </w:rPr>
        <w:t> </w:t>
      </w:r>
      <w:r>
        <w:rPr>
          <w:color w:val="231F1F"/>
          <w:w w:val="115"/>
        </w:rPr>
        <w:t>enhances</w:t>
      </w:r>
      <w:r>
        <w:rPr>
          <w:color w:val="231F1F"/>
          <w:spacing w:val="-19"/>
          <w:w w:val="115"/>
        </w:rPr>
        <w:t>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5"/>
          <w:sz w:val="11"/>
        </w:rPr>
        <w:t>COUMARINS</w:t>
      </w:r>
    </w:p>
    <w:p>
      <w:pPr>
        <w:spacing w:after="0"/>
        <w:rPr>
          <w:rFonts w:ascii="Calibri"/>
          <w:sz w:val="11"/>
        </w:rPr>
        <w:sectPr>
          <w:headerReference w:type="default" r:id="rId32"/>
          <w:headerReference w:type="even" r:id="rId33"/>
          <w:pgSz w:w="8390" w:h="11910"/>
          <w:pgMar w:header="0" w:footer="0" w:top="460" w:bottom="0" w:left="480" w:right="0"/>
          <w:cols w:num="2" w:equalWidth="0">
            <w:col w:w="3580" w:space="96"/>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4336" filled="true" fillcolor="#bfdbcf" stroked="false">
            <v:fill type="solid"/>
            <w10:wrap type="none"/>
          </v:rect>
        </w:pict>
      </w:r>
      <w:r>
        <w:rPr/>
        <w:pict>
          <v:shape style="position:absolute;margin-left:7.751256pt;margin-top:35.804367pt;width:10.4pt;height:78.850pt;mso-position-horizontal-relative:page;mso-position-vertical-relative:page;z-index:436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Ifosfamide </w:t>
      </w:r>
      <w:r>
        <w:rPr>
          <w:rFonts w:ascii="Calibri"/>
          <w:color w:val="231F1F"/>
        </w:rPr>
        <w:t>(continued)</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metabolism of ifosfamide inhibited by</w:t>
      </w:r>
    </w:p>
    <w:p>
      <w:pPr>
        <w:spacing w:line="130" w:lineRule="exact" w:before="0"/>
        <w:ind w:left="286" w:right="0" w:firstLine="0"/>
        <w:jc w:val="left"/>
        <w:rPr>
          <w:rFonts w:ascii="Calibri"/>
          <w:sz w:val="11"/>
        </w:rPr>
      </w:pPr>
      <w:r>
        <w:rPr>
          <w:rFonts w:ascii="Calibri"/>
          <w:color w:val="008356"/>
          <w:sz w:val="11"/>
        </w:rPr>
        <w:t>KETOCONAZOLE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left="286" w:right="104"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increased risk of otoxicity when ifosfamide given with </w:t>
      </w:r>
      <w:r>
        <w:rPr>
          <w:rFonts w:ascii="Calibri" w:hAnsi="Calibri"/>
          <w:color w:val="008356"/>
          <w:w w:val="105"/>
          <w:sz w:val="11"/>
        </w:rPr>
        <w:t>CISPLATIN</w:t>
      </w:r>
    </w:p>
    <w:p>
      <w:pPr>
        <w:pStyle w:val="BodyText"/>
        <w:spacing w:before="9"/>
        <w:ind w:left="186"/>
        <w:rPr>
          <w:rFonts w:ascii="Trebuchet MS"/>
        </w:rPr>
      </w:pPr>
      <w:r>
        <w:rPr>
          <w:rFonts w:ascii="Trebuchet MS"/>
          <w:color w:val="008356"/>
          <w:w w:val="105"/>
        </w:rPr>
        <w:t>Iloprost</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10"/>
        </w:rPr>
        <w:t>Analgesics: </w:t>
      </w:r>
      <w:r>
        <w:rPr>
          <w:color w:val="231F1F"/>
          <w:w w:val="110"/>
        </w:rPr>
        <w:t>increased risk of bleeding when iloprost given with</w:t>
      </w:r>
    </w:p>
    <w:p>
      <w:pPr>
        <w:spacing w:line="134" w:lineRule="exact" w:before="0"/>
        <w:ind w:left="286" w:right="0" w:firstLine="0"/>
        <w:jc w:val="left"/>
        <w:rPr>
          <w:rFonts w:ascii="Calibri"/>
          <w:sz w:val="11"/>
        </w:rPr>
      </w:pPr>
      <w:r>
        <w:rPr>
          <w:rFonts w:ascii="Calibri"/>
          <w:color w:val="008356"/>
          <w:w w:val="105"/>
          <w:sz w:val="11"/>
        </w:rPr>
        <w:t>NSAID</w:t>
      </w:r>
      <w:r>
        <w:rPr>
          <w:rFonts w:ascii="Calibri"/>
          <w:color w:val="008356"/>
          <w:w w:val="105"/>
          <w:sz w:val="9"/>
        </w:rPr>
        <w:t>S </w:t>
      </w:r>
      <w:r>
        <w:rPr>
          <w:color w:val="231F1F"/>
          <w:w w:val="105"/>
          <w:sz w:val="12"/>
        </w:rPr>
        <w:t>or </w:t>
      </w:r>
      <w:r>
        <w:rPr>
          <w:rFonts w:ascii="Calibri"/>
          <w:color w:val="008356"/>
          <w:w w:val="105"/>
          <w:sz w:val="11"/>
        </w:rPr>
        <w:t>ASPIRIN</w:t>
      </w:r>
    </w:p>
    <w:p>
      <w:pPr>
        <w:pStyle w:val="BodyText"/>
        <w:spacing w:line="230" w:lineRule="auto" w:before="4"/>
        <w:ind w:left="286" w:right="5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iloprost possibly enhances anticoagulant effect of </w:t>
      </w:r>
      <w:r>
        <w:rPr>
          <w:rFonts w:ascii="Calibri" w:hAnsi="Calibri"/>
          <w:color w:val="008356"/>
          <w:w w:val="110"/>
          <w:sz w:val="11"/>
        </w:rPr>
        <w:t>COUMARINS </w:t>
      </w:r>
      <w:r>
        <w:rPr>
          <w:color w:val="231F1F"/>
          <w:w w:val="110"/>
        </w:rPr>
        <w:t>and </w:t>
      </w:r>
      <w:r>
        <w:rPr>
          <w:rFonts w:ascii="Calibri" w:hAnsi="Calibri"/>
          <w:color w:val="008356"/>
          <w:w w:val="110"/>
          <w:sz w:val="11"/>
        </w:rPr>
        <w:t>HEPARINS</w:t>
      </w:r>
      <w:r>
        <w:rPr>
          <w:color w:val="231F1F"/>
          <w:w w:val="110"/>
        </w:rPr>
        <w:t>; increased risk of bleeding when iloprost given with </w:t>
      </w:r>
      <w:r>
        <w:rPr>
          <w:rFonts w:ascii="Calibri" w:hAnsi="Calibri"/>
          <w:color w:val="008356"/>
          <w:w w:val="110"/>
          <w:sz w:val="11"/>
        </w:rPr>
        <w:t>PHENINDIONE</w:t>
      </w:r>
    </w:p>
    <w:p>
      <w:pPr>
        <w:pStyle w:val="BodyText"/>
        <w:spacing w:line="220" w:lineRule="auto" w:before="9"/>
        <w:ind w:left="286" w:right="317" w:hanging="100"/>
        <w:rPr>
          <w:rFonts w:ascii="Calibri" w:hAnsi="Calibri"/>
          <w:sz w:val="11"/>
        </w:rPr>
      </w:pPr>
      <w:r>
        <w:rPr>
          <w:rFonts w:ascii="Lucida Sans Unicode" w:hAnsi="Lucida Sans Unicode"/>
          <w:color w:val="A7A8AC"/>
          <w:w w:val="95"/>
          <w:sz w:val="10"/>
        </w:rPr>
        <w:t>▶ </w:t>
      </w:r>
      <w:r>
        <w:rPr>
          <w:rFonts w:ascii="Calibri" w:hAnsi="Calibri"/>
          <w:color w:val="231F1F"/>
          <w:w w:val="105"/>
        </w:rPr>
        <w:t>Clopidogrel: </w:t>
      </w:r>
      <w:r>
        <w:rPr>
          <w:color w:val="231F1F"/>
          <w:w w:val="105"/>
        </w:rPr>
        <w:t>increased risk of bleeding when iloprost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CLOPIDOGREL</w:t>
      </w:r>
    </w:p>
    <w:p>
      <w:pPr>
        <w:pStyle w:val="BodyText"/>
        <w:spacing w:line="220" w:lineRule="auto" w:before="8"/>
        <w:ind w:left="286" w:right="317" w:hanging="100"/>
        <w:rPr>
          <w:rFonts w:ascii="Calibri" w:hAnsi="Calibri"/>
          <w:sz w:val="11"/>
        </w:rPr>
      </w:pPr>
      <w:r>
        <w:rPr>
          <w:rFonts w:ascii="Lucida Sans Unicode" w:hAnsi="Lucida Sans Unicode"/>
          <w:color w:val="A7A8AC"/>
          <w:w w:val="95"/>
          <w:sz w:val="10"/>
        </w:rPr>
        <w:t>▶ </w:t>
      </w:r>
      <w:r>
        <w:rPr>
          <w:rFonts w:ascii="Calibri" w:hAnsi="Calibri"/>
          <w:color w:val="231F1F"/>
          <w:w w:val="105"/>
        </w:rPr>
        <w:t>Eptifibatide: </w:t>
      </w:r>
      <w:r>
        <w:rPr>
          <w:color w:val="231F1F"/>
          <w:w w:val="105"/>
        </w:rPr>
        <w:t>increased risk of bleeding when iloprost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EPTIFIBATIDE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10"/>
        </w:rPr>
        <w:t>Tirofiban: </w:t>
      </w:r>
      <w:r>
        <w:rPr>
          <w:color w:val="231F1F"/>
          <w:w w:val="110"/>
        </w:rPr>
        <w:t>increased risk of bleeding when iloprost given with</w:t>
      </w:r>
    </w:p>
    <w:p>
      <w:pPr>
        <w:spacing w:line="132" w:lineRule="exact" w:before="0"/>
        <w:ind w:left="286" w:right="0" w:firstLine="0"/>
        <w:jc w:val="left"/>
        <w:rPr>
          <w:rFonts w:ascii="Calibri"/>
          <w:sz w:val="11"/>
        </w:rPr>
      </w:pPr>
      <w:r>
        <w:rPr>
          <w:rFonts w:ascii="Calibri"/>
          <w:color w:val="008356"/>
          <w:sz w:val="11"/>
        </w:rPr>
        <w:t>TIROFIBAN</w:t>
      </w:r>
    </w:p>
    <w:p>
      <w:pPr>
        <w:pStyle w:val="BodyText"/>
        <w:spacing w:before="7"/>
        <w:ind w:left="186"/>
        <w:rPr>
          <w:rFonts w:ascii="Trebuchet MS"/>
        </w:rPr>
      </w:pPr>
      <w:r>
        <w:rPr>
          <w:rFonts w:ascii="Trebuchet MS"/>
          <w:color w:val="008356"/>
          <w:w w:val="105"/>
        </w:rPr>
        <w:t>Imatinib</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10"/>
        </w:rPr>
        <w:t>Analgesics: </w:t>
      </w:r>
      <w:r>
        <w:rPr>
          <w:color w:val="231F1F"/>
          <w:w w:val="110"/>
        </w:rPr>
        <w:t>manufacturer of imatinib advises caution with</w:t>
      </w:r>
    </w:p>
    <w:p>
      <w:pPr>
        <w:spacing w:line="130" w:lineRule="exact" w:before="0"/>
        <w:ind w:left="286" w:right="0" w:firstLine="0"/>
        <w:jc w:val="left"/>
        <w:rPr>
          <w:rFonts w:ascii="Calibri"/>
          <w:sz w:val="11"/>
        </w:rPr>
      </w:pPr>
      <w:r>
        <w:rPr>
          <w:rFonts w:ascii="Calibri"/>
          <w:color w:val="008356"/>
          <w:sz w:val="11"/>
        </w:rPr>
        <w:t>PARACETAMOL</w:t>
      </w:r>
    </w:p>
    <w:p>
      <w:pPr>
        <w:pStyle w:val="BodyText"/>
        <w:spacing w:line="144" w:lineRule="exact"/>
        <w:ind w:left="186"/>
      </w:pPr>
      <w:r>
        <w:rPr>
          <w:rFonts w:ascii="Arial"/>
          <w:color w:val="231F1F"/>
          <w:w w:val="355"/>
          <w:position w:val="1"/>
          <w:sz w:val="7"/>
        </w:rPr>
        <w:t>l </w:t>
      </w:r>
      <w:r>
        <w:rPr>
          <w:rFonts w:ascii="Calibri"/>
          <w:color w:val="231F1F"/>
          <w:w w:val="115"/>
        </w:rPr>
        <w:t>Antibacterials: </w:t>
      </w:r>
      <w:r>
        <w:rPr>
          <w:color w:val="231F1F"/>
          <w:w w:val="115"/>
        </w:rPr>
        <w:t>plasma concentration of imatinib reduced by</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30" w:lineRule="auto" w:before="3"/>
        <w:ind w:left="286" w:right="41" w:hanging="100"/>
        <w:jc w:val="both"/>
      </w:pPr>
      <w:r>
        <w:rPr>
          <w:rFonts w:ascii="Lucida Sans Unicode" w:hAnsi="Lucida Sans Unicode"/>
          <w:color w:val="A7A8AC"/>
          <w:w w:val="95"/>
          <w:sz w:val="10"/>
        </w:rPr>
        <w:t>▶ </w:t>
      </w:r>
      <w:r>
        <w:rPr>
          <w:rFonts w:ascii="Calibri" w:hAnsi="Calibri"/>
          <w:color w:val="231F1F"/>
          <w:w w:val="110"/>
        </w:rPr>
        <w:t>Anticoagulants: </w:t>
      </w:r>
      <w:r>
        <w:rPr>
          <w:color w:val="231F1F"/>
          <w:w w:val="110"/>
        </w:rPr>
        <w:t>manufacturer of imatinib advises replacement of </w:t>
      </w:r>
      <w:r>
        <w:rPr>
          <w:rFonts w:ascii="Calibri" w:hAnsi="Calibri"/>
          <w:color w:val="008356"/>
          <w:w w:val="110"/>
          <w:sz w:val="11"/>
        </w:rPr>
        <w:t>WARFARIN </w:t>
      </w:r>
      <w:r>
        <w:rPr>
          <w:color w:val="231F1F"/>
          <w:w w:val="110"/>
        </w:rPr>
        <w:t>with a heparin (possibility of enhanced warfarin effect)</w:t>
      </w:r>
    </w:p>
    <w:p>
      <w:pPr>
        <w:pStyle w:val="BodyText"/>
        <w:spacing w:line="146" w:lineRule="exact" w:before="4"/>
        <w:ind w:left="186"/>
        <w:jc w:val="both"/>
      </w:pPr>
      <w:r>
        <w:rPr>
          <w:rFonts w:ascii="Arial"/>
          <w:color w:val="231F1F"/>
          <w:w w:val="355"/>
          <w:position w:val="1"/>
          <w:sz w:val="7"/>
        </w:rPr>
        <w:t>l </w:t>
      </w:r>
      <w:r>
        <w:rPr>
          <w:rFonts w:ascii="Calibri"/>
          <w:color w:val="231F1F"/>
          <w:w w:val="110"/>
        </w:rPr>
        <w:t>Antidepressants: </w:t>
      </w:r>
      <w:r>
        <w:rPr>
          <w:color w:val="231F1F"/>
          <w:w w:val="110"/>
        </w:rPr>
        <w:t>plasma concentration of imatinib reduced by</w:t>
      </w:r>
    </w:p>
    <w:p>
      <w:pPr>
        <w:spacing w:line="140" w:lineRule="exact" w:before="0"/>
        <w:ind w:left="286" w:right="0" w:firstLine="0"/>
        <w:jc w:val="left"/>
        <w:rPr>
          <w:sz w:val="12"/>
        </w:rPr>
      </w:pPr>
      <w:r>
        <w:rPr>
          <w:rFonts w:ascii="Arial" w:hAnsi="Arial"/>
          <w:color w:val="231F1F"/>
          <w:w w:val="355"/>
          <w:position w:val="1"/>
          <w:sz w:val="7"/>
        </w:rPr>
        <w:t>l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rFonts w:ascii="Arial" w:hAnsi="Arial"/>
          <w:color w:val="231F1F"/>
          <w:w w:val="115"/>
          <w:sz w:val="12"/>
        </w:rPr>
        <w:t>—</w:t>
      </w:r>
      <w:r>
        <w:rPr>
          <w:color w:val="231F1F"/>
          <w:w w:val="115"/>
          <w:sz w:val="12"/>
        </w:rPr>
        <w:t>avoid concomitant use</w:t>
      </w:r>
    </w:p>
    <w:p>
      <w:pPr>
        <w:pStyle w:val="BodyText"/>
        <w:spacing w:line="145" w:lineRule="exact"/>
        <w:ind w:left="186"/>
        <w:jc w:val="both"/>
      </w:pPr>
      <w:r>
        <w:rPr>
          <w:rFonts w:ascii="Arial"/>
          <w:color w:val="231F1F"/>
          <w:w w:val="355"/>
          <w:position w:val="1"/>
          <w:sz w:val="7"/>
        </w:rPr>
        <w:t>l </w:t>
      </w:r>
      <w:r>
        <w:rPr>
          <w:rFonts w:ascii="Calibri"/>
          <w:color w:val="231F1F"/>
          <w:w w:val="110"/>
        </w:rPr>
        <w:t>Antiepileptics: </w:t>
      </w:r>
      <w:r>
        <w:rPr>
          <w:color w:val="231F1F"/>
          <w:w w:val="110"/>
        </w:rPr>
        <w:t>plasma concentration of imatinib reduced by</w:t>
      </w:r>
    </w:p>
    <w:p>
      <w:pPr>
        <w:spacing w:before="0"/>
        <w:ind w:left="286"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OXCARBAZEPINE </w:t>
      </w:r>
      <w:r>
        <w:rPr>
          <w:color w:val="231F1F"/>
          <w:w w:val="115"/>
          <w:sz w:val="12"/>
        </w:rPr>
        <w:t>and</w:t>
      </w:r>
    </w:p>
    <w:p>
      <w:pPr>
        <w:spacing w:line="141" w:lineRule="exact" w:before="1"/>
        <w:ind w:left="286" w:right="0" w:firstLine="0"/>
        <w:jc w:val="both"/>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PHENYTOIN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155" w:lineRule="exact"/>
        <w:ind w:left="186"/>
        <w:jc w:val="both"/>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imatinib increased by</w:t>
      </w:r>
    </w:p>
    <w:p>
      <w:pPr>
        <w:spacing w:line="130" w:lineRule="exact" w:before="0"/>
        <w:ind w:left="286" w:right="0" w:firstLine="0"/>
        <w:jc w:val="left"/>
        <w:rPr>
          <w:rFonts w:ascii="Calibri"/>
          <w:sz w:val="11"/>
        </w:rPr>
      </w:pPr>
      <w:r>
        <w:rPr>
          <w:rFonts w:ascii="Calibri"/>
          <w:color w:val="008356"/>
          <w:sz w:val="11"/>
        </w:rPr>
        <w:t>KETOCONAZOLE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45" w:lineRule="exact"/>
        <w:ind w:left="186"/>
      </w:pPr>
      <w:r>
        <w:rPr>
          <w:rFonts w:ascii="Arial"/>
          <w:color w:val="231F1F"/>
          <w:w w:val="355"/>
          <w:position w:val="1"/>
          <w:sz w:val="7"/>
        </w:rPr>
        <w:t>l</w:t>
      </w:r>
      <w:r>
        <w:rPr>
          <w:rFonts w:ascii="Arial"/>
          <w:color w:val="231F1F"/>
          <w:spacing w:val="-39"/>
          <w:w w:val="355"/>
          <w:position w:val="1"/>
          <w:sz w:val="7"/>
        </w:rPr>
        <w:t> </w:t>
      </w:r>
      <w:r>
        <w:rPr>
          <w:rFonts w:ascii="Calibri"/>
          <w:color w:val="231F1F"/>
          <w:w w:val="115"/>
        </w:rPr>
        <w:t>Antivirals:</w:t>
      </w:r>
      <w:r>
        <w:rPr>
          <w:rFonts w:ascii="Calibri"/>
          <w:color w:val="231F1F"/>
          <w:spacing w:val="-7"/>
          <w:w w:val="115"/>
        </w:rPr>
        <w:t> </w:t>
      </w:r>
      <w:r>
        <w:rPr>
          <w:color w:val="231F1F"/>
          <w:w w:val="115"/>
        </w:rPr>
        <w:t>avoidance</w:t>
      </w:r>
      <w:r>
        <w:rPr>
          <w:color w:val="231F1F"/>
          <w:spacing w:val="-10"/>
          <w:w w:val="115"/>
        </w:rPr>
        <w:t> </w:t>
      </w:r>
      <w:r>
        <w:rPr>
          <w:color w:val="231F1F"/>
          <w:w w:val="115"/>
        </w:rPr>
        <w:t>of</w:t>
      </w:r>
      <w:r>
        <w:rPr>
          <w:color w:val="231F1F"/>
          <w:spacing w:val="-11"/>
          <w:w w:val="115"/>
        </w:rPr>
        <w:t> </w:t>
      </w:r>
      <w:r>
        <w:rPr>
          <w:color w:val="231F1F"/>
          <w:w w:val="115"/>
        </w:rPr>
        <w:t>imatinib</w:t>
      </w:r>
      <w:r>
        <w:rPr>
          <w:color w:val="231F1F"/>
          <w:spacing w:val="-11"/>
          <w:w w:val="115"/>
        </w:rPr>
        <w:t> </w:t>
      </w:r>
      <w:r>
        <w:rPr>
          <w:color w:val="231F1F"/>
          <w:w w:val="115"/>
        </w:rPr>
        <w:t>advised</w:t>
      </w:r>
      <w:r>
        <w:rPr>
          <w:color w:val="231F1F"/>
          <w:spacing w:val="-11"/>
          <w:w w:val="115"/>
        </w:rPr>
        <w:t> </w:t>
      </w:r>
      <w:r>
        <w:rPr>
          <w:color w:val="231F1F"/>
          <w:w w:val="115"/>
        </w:rPr>
        <w:t>by</w:t>
      </w:r>
      <w:r>
        <w:rPr>
          <w:color w:val="231F1F"/>
          <w:spacing w:val="-10"/>
          <w:w w:val="115"/>
        </w:rPr>
        <w:t> </w:t>
      </w:r>
      <w:r>
        <w:rPr>
          <w:color w:val="231F1F"/>
          <w:w w:val="115"/>
        </w:rPr>
        <w:t>manufacturer</w:t>
      </w:r>
      <w:r>
        <w:rPr>
          <w:color w:val="231F1F"/>
          <w:spacing w:val="-11"/>
          <w:w w:val="115"/>
        </w:rPr>
        <w:t> </w:t>
      </w:r>
      <w:r>
        <w:rPr>
          <w:color w:val="231F1F"/>
          <w:w w:val="115"/>
        </w:rPr>
        <w:t>of</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20"/>
          <w:sz w:val="11"/>
        </w:rPr>
        <w:t>BOCEPREVIR</w:t>
      </w:r>
    </w:p>
    <w:p>
      <w:pPr>
        <w:pStyle w:val="BodyText"/>
        <w:spacing w:line="220" w:lineRule="auto" w:before="8"/>
        <w:ind w:left="286" w:right="6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imatinib possibly  increases  plasma  </w:t>
      </w:r>
      <w:r>
        <w:rPr>
          <w:color w:val="231F1F"/>
          <w:spacing w:val="-2"/>
          <w:w w:val="105"/>
        </w:rPr>
        <w:t>concentration </w:t>
      </w:r>
      <w:r>
        <w:rPr>
          <w:color w:val="231F1F"/>
          <w:w w:val="105"/>
        </w:rPr>
        <w:t>of </w:t>
      </w:r>
      <w:r>
        <w:rPr>
          <w:rFonts w:ascii="Calibri" w:hAnsi="Calibri"/>
          <w:color w:val="008356"/>
          <w:spacing w:val="4"/>
          <w:w w:val="105"/>
          <w:sz w:val="11"/>
        </w:rPr>
        <w:t>CICLOSPORIN</w:t>
      </w:r>
    </w:p>
    <w:p>
      <w:pPr>
        <w:pStyle w:val="BodyText"/>
        <w:spacing w:line="244" w:lineRule="auto"/>
        <w:ind w:left="286" w:right="87" w:hanging="100"/>
      </w:pPr>
      <w:r>
        <w:rPr>
          <w:rFonts w:ascii="Arial" w:hAnsi="Arial"/>
          <w:color w:val="231F1F"/>
          <w:w w:val="355"/>
          <w:position w:val="1"/>
          <w:sz w:val="7"/>
        </w:rPr>
        <w:t>l </w:t>
      </w:r>
      <w:r>
        <w:rPr>
          <w:rFonts w:ascii="Calibri" w:hAnsi="Calibri"/>
          <w:color w:val="231F1F"/>
          <w:w w:val="115"/>
        </w:rPr>
        <w:t>Cytotoxics: </w:t>
      </w:r>
      <w:r>
        <w:rPr>
          <w:color w:val="231F1F"/>
          <w:w w:val="115"/>
        </w:rPr>
        <w:t>imatinib possibly increases the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imatinib increases plasma concentration of </w:t>
      </w:r>
      <w:r>
        <w:rPr>
          <w:rFonts w:ascii="Arial" w:hAnsi="Arial"/>
          <w:color w:val="231F1F"/>
          <w:w w:val="355"/>
          <w:position w:val="1"/>
          <w:sz w:val="7"/>
        </w:rPr>
        <w:t>l </w:t>
      </w:r>
      <w:r>
        <w:rPr>
          <w:rFonts w:ascii="Calibri" w:hAnsi="Calibri"/>
          <w:color w:val="008356"/>
          <w:spacing w:val="5"/>
          <w:w w:val="115"/>
          <w:sz w:val="11"/>
        </w:rPr>
        <w:t>EVEROLIMUS </w:t>
      </w:r>
      <w:r>
        <w:rPr>
          <w:color w:val="231F1F"/>
          <w:w w:val="115"/>
        </w:rPr>
        <w:t>(consider reducing the dose of everolimus </w:t>
      </w:r>
      <w:r>
        <w:rPr>
          <w:rFonts w:ascii="Arial" w:hAnsi="Arial"/>
          <w:color w:val="231F1F"/>
          <w:w w:val="115"/>
        </w:rPr>
        <w:t>—</w:t>
      </w:r>
      <w:r>
        <w:rPr>
          <w:color w:val="231F1F"/>
          <w:w w:val="115"/>
        </w:rPr>
        <w:t>consult everolimus product literature); imatinib possibly increases the plasma concentration of </w:t>
      </w:r>
      <w:r>
        <w:rPr>
          <w:rFonts w:ascii="Arial" w:hAnsi="Arial"/>
          <w:color w:val="231F1F"/>
          <w:w w:val="355"/>
          <w:position w:val="1"/>
          <w:sz w:val="7"/>
        </w:rPr>
        <w:t>l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(see under Ibrutinib, p. 809)</w:t>
      </w:r>
    </w:p>
    <w:p>
      <w:pPr>
        <w:pStyle w:val="BodyText"/>
        <w:spacing w:line="220" w:lineRule="auto" w:before="8"/>
        <w:ind w:left="286" w:right="317"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imatinib increases plasma concentration of </w:t>
      </w:r>
      <w:r>
        <w:rPr>
          <w:rFonts w:ascii="Calibri" w:hAnsi="Calibri"/>
          <w:color w:val="008356"/>
          <w:w w:val="105"/>
          <w:sz w:val="11"/>
        </w:rPr>
        <w:t>SIMVASTATIN</w:t>
      </w:r>
    </w:p>
    <w:p>
      <w:pPr>
        <w:pStyle w:val="BodyText"/>
        <w:spacing w:line="155" w:lineRule="exact"/>
        <w:ind w:left="186"/>
        <w:jc w:val="both"/>
      </w:pPr>
      <w:r>
        <w:rPr>
          <w:rFonts w:ascii="Lucida Sans Unicode" w:hAnsi="Lucida Sans Unicode"/>
          <w:color w:val="A7A8AC"/>
          <w:w w:val="95"/>
          <w:sz w:val="10"/>
        </w:rPr>
        <w:t>▶ </w:t>
      </w:r>
      <w:r>
        <w:rPr>
          <w:rFonts w:ascii="Calibri" w:hAnsi="Calibri"/>
          <w:color w:val="231F1F"/>
          <w:w w:val="105"/>
        </w:rPr>
        <w:t>Tacrolimus: </w:t>
      </w:r>
      <w:r>
        <w:rPr>
          <w:color w:val="231F1F"/>
          <w:w w:val="105"/>
        </w:rPr>
        <w:t>imatinib increases plasma concentration of</w:t>
      </w:r>
    </w:p>
    <w:p>
      <w:pPr>
        <w:spacing w:line="130" w:lineRule="exact" w:before="0"/>
        <w:ind w:left="286" w:right="0" w:firstLine="0"/>
        <w:jc w:val="left"/>
        <w:rPr>
          <w:rFonts w:ascii="Calibri"/>
          <w:sz w:val="11"/>
        </w:rPr>
      </w:pPr>
      <w:r>
        <w:rPr>
          <w:rFonts w:ascii="Calibri"/>
          <w:color w:val="008356"/>
          <w:sz w:val="11"/>
        </w:rPr>
        <w:t>TACROLIMUS</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Thyroid Hormones: </w:t>
      </w:r>
      <w:r>
        <w:rPr>
          <w:color w:val="231F1F"/>
          <w:w w:val="105"/>
        </w:rPr>
        <w:t>imatinib possibly reduces plasma concentration of </w:t>
      </w:r>
      <w:r>
        <w:rPr>
          <w:rFonts w:ascii="Calibri" w:hAnsi="Calibri"/>
          <w:color w:val="008356"/>
          <w:w w:val="105"/>
          <w:sz w:val="11"/>
        </w:rPr>
        <w:t>LEVOTHYROXINE</w:t>
      </w:r>
    </w:p>
    <w:p>
      <w:pPr>
        <w:pStyle w:val="BodyText"/>
        <w:spacing w:before="10"/>
        <w:ind w:left="186"/>
      </w:pPr>
      <w:r>
        <w:rPr>
          <w:rFonts w:ascii="Trebuchet MS"/>
          <w:color w:val="008356"/>
          <w:w w:val="105"/>
        </w:rPr>
        <w:t>Imidapril </w:t>
      </w:r>
      <w:r>
        <w:rPr>
          <w:i/>
          <w:color w:val="231F1F"/>
          <w:w w:val="105"/>
        </w:rPr>
        <w:t>see </w:t>
      </w:r>
      <w:r>
        <w:rPr>
          <w:color w:val="231F1F"/>
          <w:w w:val="105"/>
        </w:rPr>
        <w:t>ACE Inhibitors</w:t>
      </w:r>
    </w:p>
    <w:p>
      <w:pPr>
        <w:pStyle w:val="BodyText"/>
        <w:spacing w:before="9"/>
        <w:ind w:left="186"/>
        <w:rPr>
          <w:rFonts w:ascii="Trebuchet MS"/>
        </w:rPr>
      </w:pPr>
      <w:r>
        <w:rPr>
          <w:rFonts w:ascii="Trebuchet MS"/>
          <w:color w:val="008356"/>
        </w:rPr>
        <w:t>Imipenem with Cilastatin</w:t>
      </w:r>
    </w:p>
    <w:p>
      <w:pPr>
        <w:pStyle w:val="BodyText"/>
        <w:spacing w:line="146" w:lineRule="exact" w:before="1"/>
        <w:ind w:left="186"/>
        <w:jc w:val="both"/>
      </w:pPr>
      <w:r>
        <w:rPr>
          <w:rFonts w:ascii="Arial"/>
          <w:color w:val="231F1F"/>
          <w:w w:val="355"/>
          <w:position w:val="1"/>
          <w:sz w:val="7"/>
        </w:rPr>
        <w:t>l </w:t>
      </w:r>
      <w:r>
        <w:rPr>
          <w:rFonts w:ascii="Calibri"/>
          <w:color w:val="231F1F"/>
          <w:w w:val="115"/>
        </w:rPr>
        <w:t>Antiepileptics: </w:t>
      </w:r>
      <w:r>
        <w:rPr>
          <w:color w:val="231F1F"/>
          <w:w w:val="115"/>
        </w:rPr>
        <w:t>carbapenems reduce plasma concentration of</w:t>
      </w:r>
    </w:p>
    <w:p>
      <w:pPr>
        <w:spacing w:before="0"/>
        <w:ind w:left="286" w:right="0" w:firstLine="0"/>
        <w:jc w:val="left"/>
        <w:rPr>
          <w:sz w:val="12"/>
        </w:rPr>
      </w:pPr>
      <w:r>
        <w:rPr>
          <w:rFonts w:ascii="Arial" w:hAnsi="Arial"/>
          <w:color w:val="231F1F"/>
          <w:w w:val="110"/>
          <w:position w:val="1"/>
          <w:sz w:val="7"/>
        </w:rPr>
        <w:t>l </w:t>
      </w:r>
      <w:r>
        <w:rPr>
          <w:rFonts w:ascii="Calibri" w:hAnsi="Calibri"/>
          <w:color w:val="008356"/>
          <w:w w:val="110"/>
          <w:sz w:val="11"/>
        </w:rPr>
        <w:t>SODIUM VALPROATE </w:t>
      </w:r>
      <w:r>
        <w:rPr>
          <w:color w:val="231F1F"/>
          <w:w w:val="110"/>
          <w:sz w:val="12"/>
        </w:rPr>
        <w:t>and </w:t>
      </w:r>
      <w:r>
        <w:rPr>
          <w:rFonts w:ascii="Arial" w:hAnsi="Arial"/>
          <w:color w:val="231F1F"/>
          <w:w w:val="110"/>
          <w:position w:val="1"/>
          <w:sz w:val="7"/>
        </w:rPr>
        <w:t>l </w:t>
      </w:r>
      <w:r>
        <w:rPr>
          <w:rFonts w:ascii="Calibri" w:hAnsi="Calibri"/>
          <w:color w:val="008356"/>
          <w:w w:val="110"/>
          <w:sz w:val="11"/>
        </w:rPr>
        <w:t>VALPROIC ACID</w:t>
      </w:r>
      <w:r>
        <w:rPr>
          <w:rFonts w:ascii="Arial" w:hAnsi="Arial"/>
          <w:color w:val="231F1F"/>
          <w:w w:val="110"/>
          <w:sz w:val="12"/>
        </w:rPr>
        <w:t>—</w:t>
      </w:r>
      <w:r>
        <w:rPr>
          <w:color w:val="231F1F"/>
          <w:w w:val="110"/>
          <w:sz w:val="12"/>
        </w:rPr>
        <w:t>avoid concomitant </w:t>
      </w:r>
      <w:r>
        <w:rPr>
          <w:color w:val="231F1F"/>
          <w:w w:val="115"/>
          <w:sz w:val="12"/>
        </w:rPr>
        <w:t>use</w:t>
      </w:r>
    </w:p>
    <w:p>
      <w:pPr>
        <w:spacing w:before="2"/>
        <w:ind w:left="286" w:right="0" w:hanging="100"/>
        <w:jc w:val="left"/>
        <w:rPr>
          <w:rFonts w:ascii="Calibri"/>
          <w:sz w:val="11"/>
        </w:rPr>
      </w:pPr>
      <w:r>
        <w:rPr>
          <w:rFonts w:ascii="Arial"/>
          <w:color w:val="231F1F"/>
          <w:w w:val="355"/>
          <w:position w:val="1"/>
          <w:sz w:val="7"/>
        </w:rPr>
        <w:t>l </w:t>
      </w:r>
      <w:r>
        <w:rPr>
          <w:rFonts w:ascii="Calibri"/>
          <w:color w:val="231F1F"/>
          <w:w w:val="110"/>
          <w:sz w:val="12"/>
        </w:rPr>
        <w:t>Antivirals: </w:t>
      </w:r>
      <w:r>
        <w:rPr>
          <w:color w:val="231F1F"/>
          <w:w w:val="110"/>
          <w:sz w:val="12"/>
        </w:rPr>
        <w:t>increased risk of convulsions when imipenem </w:t>
      </w:r>
      <w:r>
        <w:rPr>
          <w:color w:val="231F1F"/>
          <w:spacing w:val="-4"/>
          <w:w w:val="110"/>
          <w:sz w:val="12"/>
        </w:rPr>
        <w:t>with </w:t>
      </w:r>
      <w:r>
        <w:rPr>
          <w:color w:val="231F1F"/>
          <w:w w:val="110"/>
          <w:sz w:val="12"/>
        </w:rPr>
        <w:t>cilastatin given with </w:t>
      </w:r>
      <w:r>
        <w:rPr>
          <w:rFonts w:ascii="Arial"/>
          <w:color w:val="231F1F"/>
          <w:w w:val="355"/>
          <w:position w:val="1"/>
          <w:sz w:val="7"/>
        </w:rPr>
        <w:t>l </w:t>
      </w:r>
      <w:r>
        <w:rPr>
          <w:rFonts w:ascii="Calibri"/>
          <w:color w:val="008356"/>
          <w:spacing w:val="4"/>
          <w:w w:val="110"/>
          <w:sz w:val="11"/>
        </w:rPr>
        <w:t>GANCICLOVIR </w:t>
      </w:r>
      <w:r>
        <w:rPr>
          <w:color w:val="231F1F"/>
          <w:w w:val="110"/>
          <w:sz w:val="12"/>
        </w:rPr>
        <w:t>or </w:t>
      </w:r>
      <w:r>
        <w:rPr>
          <w:rFonts w:ascii="Arial"/>
          <w:color w:val="231F1F"/>
          <w:w w:val="355"/>
          <w:position w:val="1"/>
          <w:sz w:val="7"/>
        </w:rPr>
        <w:t>l </w:t>
      </w:r>
      <w:r>
        <w:rPr>
          <w:rFonts w:ascii="Calibri"/>
          <w:color w:val="008356"/>
          <w:spacing w:val="4"/>
          <w:w w:val="110"/>
          <w:sz w:val="11"/>
        </w:rPr>
        <w:t>VALGANCICLOVIR</w:t>
      </w:r>
    </w:p>
    <w:p>
      <w:pPr>
        <w:spacing w:line="220" w:lineRule="auto" w:before="6"/>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pPr>
      <w:r>
        <w:rPr>
          <w:rFonts w:ascii="Trebuchet MS"/>
          <w:color w:val="008356"/>
          <w:w w:val="105"/>
        </w:rPr>
        <w:t>Imipramine </w:t>
      </w:r>
      <w:r>
        <w:rPr>
          <w:i/>
          <w:color w:val="231F1F"/>
          <w:w w:val="105"/>
        </w:rPr>
        <w:t>see </w:t>
      </w:r>
      <w:r>
        <w:rPr>
          <w:color w:val="231F1F"/>
          <w:w w:val="105"/>
        </w:rPr>
        <w:t>Antidepressants, Tricyclic</w:t>
      </w:r>
    </w:p>
    <w:p>
      <w:pPr>
        <w:pStyle w:val="BodyText"/>
        <w:spacing w:before="9"/>
        <w:ind w:left="186"/>
        <w:rPr>
          <w:rFonts w:ascii="Trebuchet MS"/>
        </w:rPr>
      </w:pPr>
      <w:r>
        <w:rPr>
          <w:rFonts w:ascii="Trebuchet MS"/>
          <w:color w:val="008356"/>
          <w:w w:val="105"/>
        </w:rPr>
        <w:t>Immunoglobulins</w:t>
      </w:r>
    </w:p>
    <w:p>
      <w:pPr>
        <w:pStyle w:val="BodyText"/>
        <w:spacing w:line="244" w:lineRule="auto" w:before="1"/>
        <w:ind w:left="286" w:right="104" w:hanging="100"/>
      </w:pPr>
      <w:r>
        <w:rPr>
          <w:rFonts w:ascii="Arial" w:hAnsi="Arial"/>
          <w:color w:val="231F1F"/>
          <w:w w:val="355"/>
          <w:position w:val="1"/>
          <w:sz w:val="7"/>
        </w:rPr>
        <w:t>l </w:t>
      </w:r>
      <w:r>
        <w:rPr>
          <w:rFonts w:ascii="Calibri" w:hAnsi="Calibri"/>
          <w:color w:val="231F1F"/>
          <w:w w:val="110"/>
        </w:rPr>
        <w:t>Vaccines: </w:t>
      </w:r>
      <w:r>
        <w:rPr>
          <w:color w:val="231F1F"/>
          <w:w w:val="110"/>
        </w:rPr>
        <w:t>anti-d immunoglobulins and normal immunoglobulin might impair immune response to </w:t>
      </w:r>
      <w:r>
        <w:rPr>
          <w:rFonts w:ascii="Arial" w:hAnsi="Arial"/>
          <w:color w:val="231F1F"/>
          <w:w w:val="355"/>
          <w:position w:val="1"/>
          <w:sz w:val="7"/>
        </w:rPr>
        <w:t>l </w:t>
      </w:r>
      <w:r>
        <w:rPr>
          <w:rFonts w:ascii="Calibri" w:hAnsi="Calibri"/>
          <w:color w:val="008356"/>
          <w:w w:val="110"/>
          <w:sz w:val="11"/>
        </w:rPr>
        <w:t>BCG VACCINE</w:t>
      </w:r>
      <w:r>
        <w:rPr>
          <w:rFonts w:ascii="Arial" w:hAnsi="Arial"/>
          <w:color w:val="231F1F"/>
          <w:w w:val="110"/>
        </w:rPr>
        <w:t>—</w:t>
      </w:r>
      <w:r>
        <w:rPr>
          <w:color w:val="231F1F"/>
          <w:w w:val="110"/>
        </w:rPr>
        <w:t>give BCG vaccine at least 3 weeks before or 3 months after anti-d immunoglobulins and normal immunoglobulin; anti-d immunoglobulins and normal immunoglobulin might impair immune response to</w:t>
      </w:r>
    </w:p>
    <w:p>
      <w:pPr>
        <w:pStyle w:val="BodyText"/>
        <w:spacing w:line="247" w:lineRule="auto" w:before="2"/>
        <w:ind w:left="286" w:right="68"/>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MMR</w:t>
      </w:r>
      <w:r>
        <w:rPr>
          <w:rFonts w:ascii="Calibri" w:hAnsi="Calibri"/>
          <w:color w:val="008356"/>
          <w:spacing w:val="-6"/>
          <w:w w:val="110"/>
          <w:sz w:val="11"/>
        </w:rPr>
        <w:t>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w:t>
      </w:r>
      <w:r>
        <w:rPr>
          <w:color w:val="231F1F"/>
          <w:spacing w:val="-12"/>
          <w:w w:val="110"/>
        </w:rPr>
        <w:t> </w:t>
      </w:r>
      <w:r>
        <w:rPr>
          <w:color w:val="231F1F"/>
          <w:w w:val="110"/>
        </w:rPr>
        <w:t>MMR</w:t>
      </w:r>
      <w:r>
        <w:rPr>
          <w:color w:val="231F1F"/>
          <w:spacing w:val="-12"/>
          <w:w w:val="110"/>
        </w:rPr>
        <w:t> </w:t>
      </w:r>
      <w:r>
        <w:rPr>
          <w:color w:val="231F1F"/>
          <w:w w:val="110"/>
        </w:rPr>
        <w:t>vaccine</w:t>
      </w:r>
      <w:r>
        <w:rPr>
          <w:color w:val="231F1F"/>
          <w:spacing w:val="-12"/>
          <w:w w:val="110"/>
        </w:rPr>
        <w:t> </w:t>
      </w:r>
      <w:r>
        <w:rPr>
          <w:color w:val="231F1F"/>
          <w:w w:val="110"/>
        </w:rPr>
        <w:t>at</w:t>
      </w:r>
      <w:r>
        <w:rPr>
          <w:color w:val="231F1F"/>
          <w:spacing w:val="-12"/>
          <w:w w:val="110"/>
        </w:rPr>
        <w:t> </w:t>
      </w:r>
      <w:r>
        <w:rPr>
          <w:color w:val="231F1F"/>
          <w:w w:val="110"/>
        </w:rPr>
        <w:t>least</w:t>
      </w:r>
      <w:r>
        <w:rPr>
          <w:color w:val="231F1F"/>
          <w:spacing w:val="-13"/>
          <w:w w:val="110"/>
        </w:rPr>
        <w:t> </w:t>
      </w:r>
      <w:r>
        <w:rPr>
          <w:color w:val="231F1F"/>
          <w:w w:val="110"/>
        </w:rPr>
        <w:t>3</w:t>
      </w:r>
      <w:r>
        <w:rPr>
          <w:color w:val="231F1F"/>
          <w:spacing w:val="-12"/>
          <w:w w:val="110"/>
        </w:rPr>
        <w:t> </w:t>
      </w:r>
      <w:r>
        <w:rPr>
          <w:color w:val="231F1F"/>
          <w:w w:val="110"/>
        </w:rPr>
        <w:t>weeks</w:t>
      </w:r>
      <w:r>
        <w:rPr>
          <w:color w:val="231F1F"/>
          <w:spacing w:val="-12"/>
          <w:w w:val="110"/>
        </w:rPr>
        <w:t> </w:t>
      </w:r>
      <w:r>
        <w:rPr>
          <w:color w:val="231F1F"/>
          <w:w w:val="110"/>
        </w:rPr>
        <w:t>before</w:t>
      </w:r>
      <w:r>
        <w:rPr>
          <w:color w:val="231F1F"/>
          <w:spacing w:val="-12"/>
          <w:w w:val="110"/>
        </w:rPr>
        <w:t> </w:t>
      </w:r>
      <w:r>
        <w:rPr>
          <w:color w:val="231F1F"/>
          <w:w w:val="110"/>
        </w:rPr>
        <w:t>or 3 months after anti-d immunoglobulins and normal immunoglobulin; anti-d immunoglobulins and normal immunoglobulin might impair immune response to</w:t>
      </w:r>
      <w:r>
        <w:rPr>
          <w:color w:val="231F1F"/>
          <w:spacing w:val="32"/>
          <w:w w:val="110"/>
        </w:rPr>
        <w:t> </w:t>
      </w:r>
      <w:r>
        <w:rPr>
          <w:color w:val="231F1F"/>
          <w:w w:val="110"/>
        </w:rPr>
        <w:t>live</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Immunoglobulins</w:t>
      </w:r>
    </w:p>
    <w:p>
      <w:pPr>
        <w:pStyle w:val="BodyText"/>
        <w:spacing w:line="146" w:lineRule="exact" w:before="4"/>
        <w:ind w:left="179"/>
        <w:rPr>
          <w:rFonts w:ascii="Calibri"/>
        </w:rPr>
      </w:pPr>
      <w:r>
        <w:rPr>
          <w:rFonts w:ascii="Arial"/>
          <w:color w:val="231F1F"/>
          <w:w w:val="355"/>
          <w:position w:val="1"/>
          <w:sz w:val="7"/>
        </w:rPr>
        <w:t>l </w:t>
      </w:r>
      <w:r>
        <w:rPr>
          <w:rFonts w:ascii="Calibri"/>
          <w:color w:val="231F1F"/>
          <w:w w:val="110"/>
        </w:rPr>
        <w:t>Vaccines (continued)</w:t>
      </w:r>
    </w:p>
    <w:p>
      <w:pPr>
        <w:pStyle w:val="BodyText"/>
        <w:spacing w:line="247" w:lineRule="auto"/>
        <w:ind w:left="279" w:right="643"/>
      </w:pPr>
      <w:r>
        <w:rPr>
          <w:rFonts w:ascii="Arial" w:hAnsi="Arial"/>
          <w:color w:val="231F1F"/>
          <w:w w:val="355"/>
          <w:position w:val="1"/>
          <w:sz w:val="7"/>
        </w:rPr>
        <w:t>l </w:t>
      </w:r>
      <w:r>
        <w:rPr>
          <w:rFonts w:ascii="Calibri" w:hAnsi="Calibri"/>
          <w:color w:val="008356"/>
          <w:spacing w:val="4"/>
          <w:w w:val="110"/>
          <w:sz w:val="11"/>
        </w:rPr>
        <w:t>INFLUENZA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 </w:t>
      </w:r>
      <w:r>
        <w:rPr>
          <w:color w:val="231F1F"/>
          <w:w w:val="110"/>
        </w:rPr>
        <w:t>live influenza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  immune  response  to</w:t>
      </w:r>
      <w:r>
        <w:rPr>
          <w:color w:val="231F1F"/>
          <w:w w:val="110"/>
          <w:position w:val="1"/>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ORAL</w:t>
      </w:r>
      <w:r>
        <w:rPr>
          <w:rFonts w:ascii="Calibri" w:hAnsi="Calibri"/>
          <w:color w:val="008356"/>
          <w:spacing w:val="-8"/>
          <w:w w:val="110"/>
          <w:sz w:val="11"/>
        </w:rPr>
        <w:t> </w:t>
      </w:r>
      <w:r>
        <w:rPr>
          <w:rFonts w:ascii="Calibri" w:hAnsi="Calibri"/>
          <w:color w:val="008356"/>
          <w:spacing w:val="4"/>
          <w:w w:val="110"/>
          <w:sz w:val="11"/>
        </w:rPr>
        <w:t>TYPHOID</w:t>
      </w:r>
      <w:r>
        <w:rPr>
          <w:rFonts w:ascii="Calibri" w:hAnsi="Calibri"/>
          <w:color w:val="008356"/>
          <w:spacing w:val="-3"/>
          <w:w w:val="110"/>
          <w:sz w:val="11"/>
        </w:rPr>
        <w:t>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w:t>
      </w:r>
      <w:r>
        <w:rPr>
          <w:color w:val="231F1F"/>
          <w:spacing w:val="-9"/>
          <w:w w:val="110"/>
        </w:rPr>
        <w:t> </w:t>
      </w:r>
      <w:r>
        <w:rPr>
          <w:color w:val="231F1F"/>
          <w:w w:val="110"/>
        </w:rPr>
        <w:t>oral</w:t>
      </w:r>
      <w:r>
        <w:rPr>
          <w:color w:val="231F1F"/>
          <w:spacing w:val="-9"/>
          <w:w w:val="110"/>
        </w:rPr>
        <w:t> </w:t>
      </w:r>
      <w:r>
        <w:rPr>
          <w:color w:val="231F1F"/>
          <w:w w:val="110"/>
        </w:rPr>
        <w:t>typhoid</w:t>
      </w:r>
      <w:r>
        <w:rPr>
          <w:color w:val="231F1F"/>
          <w:spacing w:val="-10"/>
          <w:w w:val="110"/>
        </w:rPr>
        <w:t> </w:t>
      </w:r>
      <w:r>
        <w:rPr>
          <w:color w:val="231F1F"/>
          <w:w w:val="110"/>
        </w:rPr>
        <w:t>vaccine</w:t>
      </w:r>
      <w:r>
        <w:rPr>
          <w:color w:val="231F1F"/>
          <w:spacing w:val="-9"/>
          <w:w w:val="110"/>
        </w:rPr>
        <w:t> </w:t>
      </w:r>
      <w:r>
        <w:rPr>
          <w:color w:val="231F1F"/>
          <w:w w:val="110"/>
        </w:rPr>
        <w:t>at</w:t>
      </w:r>
      <w:r>
        <w:rPr>
          <w:color w:val="231F1F"/>
          <w:spacing w:val="-9"/>
          <w:w w:val="110"/>
        </w:rPr>
        <w:t> </w:t>
      </w:r>
      <w:r>
        <w:rPr>
          <w:color w:val="231F1F"/>
          <w:w w:val="110"/>
        </w:rPr>
        <w:t>least</w:t>
      </w:r>
      <w:r>
        <w:rPr>
          <w:color w:val="231F1F"/>
          <w:spacing w:val="-10"/>
          <w:w w:val="110"/>
        </w:rPr>
        <w:t> </w:t>
      </w:r>
      <w:r>
        <w:rPr>
          <w:color w:val="231F1F"/>
          <w:w w:val="110"/>
        </w:rPr>
        <w:t>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 immune response to </w:t>
      </w:r>
      <w:r>
        <w:rPr>
          <w:i/>
          <w:color w:val="231F1F"/>
          <w:w w:val="110"/>
        </w:rPr>
        <w:t>oral</w:t>
      </w:r>
      <w:r>
        <w:rPr>
          <w:i/>
          <w:color w:val="231F1F"/>
          <w:spacing w:val="-21"/>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0"/>
          <w:sz w:val="11"/>
        </w:rPr>
        <w:t>POLIOMYELITIS</w:t>
      </w:r>
      <w:r>
        <w:rPr>
          <w:rFonts w:ascii="Calibri" w:hAnsi="Calibri"/>
          <w:color w:val="008356"/>
          <w:spacing w:val="-15"/>
          <w:w w:val="110"/>
          <w:sz w:val="11"/>
        </w:rPr>
        <w:t>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w:t>
      </w:r>
      <w:r>
        <w:rPr>
          <w:color w:val="231F1F"/>
          <w:spacing w:val="-21"/>
          <w:w w:val="110"/>
        </w:rPr>
        <w:t> </w:t>
      </w:r>
      <w:r>
        <w:rPr>
          <w:i/>
          <w:color w:val="231F1F"/>
          <w:w w:val="110"/>
        </w:rPr>
        <w:t>oral</w:t>
      </w:r>
      <w:r>
        <w:rPr>
          <w:i/>
          <w:color w:val="231F1F"/>
          <w:spacing w:val="-21"/>
          <w:w w:val="110"/>
        </w:rPr>
        <w:t> </w:t>
      </w:r>
      <w:r>
        <w:rPr>
          <w:color w:val="231F1F"/>
          <w:w w:val="110"/>
        </w:rPr>
        <w:t>poliomyelitis</w:t>
      </w:r>
      <w:r>
        <w:rPr>
          <w:color w:val="231F1F"/>
          <w:spacing w:val="-20"/>
          <w:w w:val="110"/>
        </w:rPr>
        <w:t> </w:t>
      </w:r>
      <w:r>
        <w:rPr>
          <w:color w:val="231F1F"/>
          <w:w w:val="110"/>
        </w:rPr>
        <w:t>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Calibri" w:hAnsi="Calibri"/>
          <w:color w:val="008356"/>
          <w:spacing w:val="3"/>
          <w:w w:val="110"/>
          <w:sz w:val="11"/>
        </w:rPr>
        <w:t>ROTAVIRUS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 </w:t>
      </w:r>
      <w:r>
        <w:rPr>
          <w:color w:val="231F1F"/>
          <w:w w:val="110"/>
        </w:rPr>
        <w:t>rotavirus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Calibri" w:hAnsi="Calibri"/>
          <w:color w:val="008356"/>
          <w:spacing w:val="4"/>
          <w:w w:val="110"/>
          <w:sz w:val="11"/>
        </w:rPr>
        <w:t>SMALLPOX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 </w:t>
      </w:r>
      <w:r>
        <w:rPr>
          <w:color w:val="231F1F"/>
          <w:w w:val="110"/>
        </w:rPr>
        <w:t>smallpox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Calibri" w:hAnsi="Calibri"/>
          <w:color w:val="008356"/>
          <w:spacing w:val="4"/>
          <w:w w:val="110"/>
          <w:sz w:val="11"/>
        </w:rPr>
        <w:t>VARICELLA-ZOSTER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 </w:t>
      </w:r>
      <w:r>
        <w:rPr>
          <w:color w:val="231F1F"/>
          <w:w w:val="110"/>
        </w:rPr>
        <w:t>varicella-zoster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w:t>
      </w:r>
      <w:r>
        <w:rPr>
          <w:color w:val="231F1F"/>
          <w:spacing w:val="-7"/>
          <w:w w:val="110"/>
        </w:rPr>
        <w:t> </w:t>
      </w:r>
      <w:r>
        <w:rPr>
          <w:color w:val="231F1F"/>
          <w:w w:val="110"/>
        </w:rPr>
        <w:t>immune</w:t>
      </w:r>
      <w:r>
        <w:rPr>
          <w:color w:val="231F1F"/>
          <w:spacing w:val="-8"/>
          <w:w w:val="110"/>
        </w:rPr>
        <w:t> </w:t>
      </w:r>
      <w:r>
        <w:rPr>
          <w:color w:val="231F1F"/>
          <w:w w:val="110"/>
        </w:rPr>
        <w:t>response</w:t>
      </w:r>
      <w:r>
        <w:rPr>
          <w:color w:val="231F1F"/>
          <w:spacing w:val="-7"/>
          <w:w w:val="110"/>
        </w:rPr>
        <w:t> </w:t>
      </w:r>
      <w:r>
        <w:rPr>
          <w:color w:val="231F1F"/>
          <w:w w:val="110"/>
        </w:rPr>
        <w:t>to</w:t>
      </w:r>
      <w:r>
        <w:rPr>
          <w:color w:val="231F1F"/>
          <w:spacing w:val="-7"/>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3"/>
          <w:w w:val="110"/>
          <w:sz w:val="11"/>
        </w:rPr>
        <w:t>YELLOW</w:t>
      </w:r>
      <w:r>
        <w:rPr>
          <w:rFonts w:ascii="Calibri" w:hAnsi="Calibri"/>
          <w:color w:val="008356"/>
          <w:spacing w:val="1"/>
          <w:w w:val="110"/>
          <w:sz w:val="11"/>
        </w:rPr>
        <w:t> </w:t>
      </w:r>
      <w:r>
        <w:rPr>
          <w:rFonts w:ascii="Calibri" w:hAnsi="Calibri"/>
          <w:color w:val="008356"/>
          <w:spacing w:val="4"/>
          <w:w w:val="110"/>
          <w:sz w:val="11"/>
        </w:rPr>
        <w:t>FEVER</w:t>
      </w:r>
      <w:r>
        <w:rPr>
          <w:rFonts w:ascii="Calibri" w:hAnsi="Calibri"/>
          <w:color w:val="008356"/>
          <w:spacing w:val="1"/>
          <w:w w:val="110"/>
          <w:sz w:val="11"/>
        </w:rPr>
        <w:t> </w:t>
      </w:r>
      <w:r>
        <w:rPr>
          <w:rFonts w:ascii="Calibri" w:hAnsi="Calibri"/>
          <w:color w:val="008356"/>
          <w:spacing w:val="2"/>
          <w:w w:val="110"/>
          <w:sz w:val="11"/>
        </w:rPr>
        <w:t>VACCINE</w:t>
      </w:r>
      <w:r>
        <w:rPr>
          <w:rFonts w:ascii="Arial" w:hAnsi="Arial"/>
          <w:color w:val="231F1F"/>
          <w:spacing w:val="2"/>
          <w:w w:val="110"/>
        </w:rPr>
        <w:t>—</w:t>
      </w:r>
      <w:r>
        <w:rPr>
          <w:color w:val="231F1F"/>
          <w:spacing w:val="2"/>
          <w:w w:val="110"/>
        </w:rPr>
        <w:t>give</w:t>
      </w:r>
    </w:p>
    <w:p>
      <w:pPr>
        <w:pStyle w:val="BodyText"/>
        <w:spacing w:line="249" w:lineRule="auto" w:before="4"/>
        <w:ind w:left="279" w:right="534"/>
      </w:pPr>
      <w:r>
        <w:rPr>
          <w:color w:val="231F1F"/>
          <w:w w:val="115"/>
        </w:rPr>
        <w:t>yellow fever vaccine at least 3 weeks before or 3 months </w:t>
      </w:r>
      <w:r>
        <w:rPr>
          <w:color w:val="231F1F"/>
          <w:spacing w:val="-3"/>
          <w:w w:val="115"/>
        </w:rPr>
        <w:t>after </w:t>
      </w:r>
      <w:r>
        <w:rPr>
          <w:color w:val="231F1F"/>
          <w:w w:val="115"/>
        </w:rPr>
        <w:t>anti-d immunoglobulins and normal immunoglobulin</w:t>
      </w:r>
    </w:p>
    <w:p>
      <w:pPr>
        <w:pStyle w:val="BodyText"/>
        <w:spacing w:before="6"/>
        <w:ind w:left="179"/>
      </w:pPr>
      <w:r>
        <w:rPr>
          <w:rFonts w:ascii="Trebuchet MS"/>
          <w:color w:val="008356"/>
          <w:w w:val="110"/>
        </w:rPr>
        <w:t>Indacaterol </w:t>
      </w:r>
      <w:r>
        <w:rPr>
          <w:i/>
          <w:color w:val="231F1F"/>
          <w:w w:val="110"/>
        </w:rPr>
        <w:t>see </w:t>
      </w:r>
      <w:r>
        <w:rPr>
          <w:color w:val="231F1F"/>
          <w:w w:val="110"/>
        </w:rPr>
        <w:t>Sympathomimetics, Beta</w:t>
      </w:r>
      <w:r>
        <w:rPr>
          <w:color w:val="231F1F"/>
          <w:w w:val="110"/>
          <w:vertAlign w:val="subscript"/>
        </w:rPr>
        <w:t>2</w:t>
      </w:r>
    </w:p>
    <w:p>
      <w:pPr>
        <w:pStyle w:val="BodyText"/>
        <w:spacing w:before="10"/>
        <w:ind w:left="179"/>
      </w:pPr>
      <w:r>
        <w:rPr>
          <w:rFonts w:ascii="Trebuchet MS"/>
          <w:color w:val="008356"/>
          <w:w w:val="105"/>
        </w:rPr>
        <w:t>Indapamide </w:t>
      </w:r>
      <w:r>
        <w:rPr>
          <w:i/>
          <w:color w:val="231F1F"/>
          <w:w w:val="105"/>
        </w:rPr>
        <w:t>see </w:t>
      </w:r>
      <w:r>
        <w:rPr>
          <w:color w:val="231F1F"/>
          <w:w w:val="105"/>
        </w:rPr>
        <w:t>Diuretics</w:t>
      </w:r>
    </w:p>
    <w:p>
      <w:pPr>
        <w:pStyle w:val="BodyText"/>
        <w:spacing w:before="9"/>
        <w:ind w:left="179"/>
        <w:rPr>
          <w:rFonts w:ascii="Trebuchet MS"/>
        </w:rPr>
      </w:pPr>
      <w:r>
        <w:rPr>
          <w:rFonts w:ascii="Trebuchet MS"/>
          <w:color w:val="008356"/>
          <w:w w:val="105"/>
        </w:rPr>
        <w:t>Indinavir</w:t>
      </w:r>
    </w:p>
    <w:p>
      <w:pPr>
        <w:pStyle w:val="BodyText"/>
        <w:spacing w:line="220" w:lineRule="auto" w:before="10"/>
        <w:ind w:left="279" w:right="963" w:hanging="100"/>
        <w:rPr>
          <w:rFonts w:ascii="Calibri" w:hAnsi="Calibri"/>
          <w:sz w:val="11"/>
        </w:rPr>
      </w:pPr>
      <w:r>
        <w:rPr>
          <w:rFonts w:ascii="Lucida Sans Unicode" w:hAnsi="Lucida Sans Unicode"/>
          <w:color w:val="A7A8AC"/>
          <w:w w:val="95"/>
          <w:sz w:val="10"/>
        </w:rPr>
        <w:t>▶ </w:t>
      </w:r>
      <w:r>
        <w:rPr>
          <w:rFonts w:ascii="Calibri" w:hAnsi="Calibri"/>
          <w:color w:val="231F1F"/>
          <w:w w:val="105"/>
        </w:rPr>
        <w:t>Aldesleukin: </w:t>
      </w:r>
      <w:r>
        <w:rPr>
          <w:color w:val="231F1F"/>
          <w:w w:val="105"/>
        </w:rPr>
        <w:t>plasma concentration of indinavir possibly increased by </w:t>
      </w:r>
      <w:r>
        <w:rPr>
          <w:rFonts w:ascii="Calibri" w:hAnsi="Calibri"/>
          <w:color w:val="008356"/>
          <w:w w:val="105"/>
          <w:sz w:val="11"/>
        </w:rPr>
        <w:t>ALDESLEUKIN</w:t>
      </w:r>
    </w:p>
    <w:p>
      <w:pPr>
        <w:pStyle w:val="BodyText"/>
        <w:ind w:left="279" w:right="641" w:hanging="100"/>
      </w:pPr>
      <w:r>
        <w:rPr>
          <w:rFonts w:ascii="Arial" w:hAnsi="Arial"/>
          <w:color w:val="231F1F"/>
          <w:w w:val="355"/>
          <w:position w:val="1"/>
          <w:sz w:val="7"/>
        </w:rPr>
        <w:t>l </w:t>
      </w:r>
      <w:r>
        <w:rPr>
          <w:rFonts w:ascii="Calibri" w:hAnsi="Calibri"/>
          <w:color w:val="231F1F"/>
          <w:w w:val="110"/>
        </w:rPr>
        <w:t>Anti-arrhythmics: </w:t>
      </w:r>
      <w:r>
        <w:rPr>
          <w:color w:val="231F1F"/>
          <w:w w:val="110"/>
        </w:rPr>
        <w:t>indinavir possibly increases plasma concentration of </w:t>
      </w:r>
      <w:r>
        <w:rPr>
          <w:rFonts w:ascii="Arial" w:hAnsi="Arial"/>
          <w:color w:val="231F1F"/>
          <w:w w:val="355"/>
          <w:position w:val="1"/>
          <w:sz w:val="7"/>
        </w:rPr>
        <w:t>l </w:t>
      </w:r>
      <w:r>
        <w:rPr>
          <w:rFonts w:ascii="Calibri" w:hAnsi="Calibri"/>
          <w:color w:val="008356"/>
          <w:w w:val="110"/>
          <w:sz w:val="11"/>
        </w:rPr>
        <w:t>AMIODARONE</w:t>
      </w:r>
      <w:r>
        <w:rPr>
          <w:rFonts w:ascii="Arial" w:hAnsi="Arial"/>
          <w:color w:val="231F1F"/>
          <w:w w:val="110"/>
        </w:rPr>
        <w:t>—</w:t>
      </w:r>
      <w:r>
        <w:rPr>
          <w:color w:val="231F1F"/>
          <w:w w:val="110"/>
        </w:rPr>
        <w:t>avoid concomitant use; indinavir possibly increases plasma concentration of</w:t>
      </w:r>
    </w:p>
    <w:p>
      <w:pPr>
        <w:pStyle w:val="BodyText"/>
        <w:spacing w:line="244" w:lineRule="auto" w:before="5"/>
        <w:ind w:left="279"/>
      </w:pPr>
      <w:r>
        <w:rPr>
          <w:rFonts w:ascii="Arial" w:hAnsi="Arial"/>
          <w:color w:val="231F1F"/>
          <w:w w:val="115"/>
          <w:position w:val="1"/>
          <w:sz w:val="7"/>
        </w:rPr>
        <w:t>l </w:t>
      </w:r>
      <w:r>
        <w:rPr>
          <w:rFonts w:ascii="Calibri" w:hAnsi="Calibri"/>
          <w:color w:val="008356"/>
          <w:w w:val="115"/>
          <w:sz w:val="11"/>
        </w:rPr>
        <w:t>FLECAINIDE </w:t>
      </w:r>
      <w:r>
        <w:rPr>
          <w:color w:val="231F1F"/>
          <w:w w:val="115"/>
        </w:rPr>
        <w:t>(increased risk of ventricular arrhythmias</w:t>
      </w:r>
      <w:r>
        <w:rPr>
          <w:rFonts w:ascii="Arial" w:hAnsi="Arial"/>
          <w:color w:val="231F1F"/>
          <w:w w:val="115"/>
        </w:rPr>
        <w:t>—</w:t>
      </w:r>
      <w:r>
        <w:rPr>
          <w:color w:val="231F1F"/>
          <w:w w:val="115"/>
        </w:rPr>
        <w:t>avoid </w:t>
      </w:r>
      <w:r>
        <w:rPr>
          <w:color w:val="231F1F"/>
          <w:w w:val="120"/>
        </w:rPr>
        <w:t>concomitant use)</w:t>
      </w:r>
    </w:p>
    <w:p>
      <w:pPr>
        <w:pStyle w:val="BodyText"/>
        <w:spacing w:line="144" w:lineRule="exact"/>
        <w:ind w:left="179"/>
      </w:pPr>
      <w:r>
        <w:rPr>
          <w:rFonts w:ascii="Arial"/>
          <w:color w:val="231F1F"/>
          <w:w w:val="355"/>
          <w:position w:val="1"/>
          <w:sz w:val="7"/>
        </w:rPr>
        <w:t>l </w:t>
      </w:r>
      <w:r>
        <w:rPr>
          <w:rFonts w:ascii="Calibri"/>
          <w:color w:val="231F1F"/>
          <w:w w:val="115"/>
        </w:rPr>
        <w:t>Antibacterials: </w:t>
      </w:r>
      <w:r>
        <w:rPr>
          <w:color w:val="231F1F"/>
          <w:w w:val="115"/>
        </w:rPr>
        <w:t>indinavir increases plasma concentration of</w:t>
      </w:r>
    </w:p>
    <w:p>
      <w:pPr>
        <w:pStyle w:val="BodyText"/>
        <w:spacing w:line="247" w:lineRule="auto"/>
        <w:ind w:left="279" w:right="591" w:hanging="1"/>
        <w:rPr>
          <w:rFonts w:ascii="Calibri" w:hAnsi="Calibri"/>
          <w:sz w:val="11"/>
        </w:rPr>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RIFABUTIN</w:t>
      </w:r>
      <w:r>
        <w:rPr>
          <w:color w:val="231F1F"/>
          <w:spacing w:val="4"/>
          <w:w w:val="115"/>
        </w:rPr>
        <w:t>,</w:t>
      </w:r>
      <w:r>
        <w:rPr>
          <w:color w:val="231F1F"/>
          <w:spacing w:val="-15"/>
          <w:w w:val="115"/>
        </w:rPr>
        <w:t> </w:t>
      </w:r>
      <w:r>
        <w:rPr>
          <w:color w:val="231F1F"/>
          <w:w w:val="115"/>
        </w:rPr>
        <w:t>also</w:t>
      </w:r>
      <w:r>
        <w:rPr>
          <w:color w:val="231F1F"/>
          <w:spacing w:val="-15"/>
          <w:w w:val="115"/>
        </w:rPr>
        <w:t> </w:t>
      </w:r>
      <w:r>
        <w:rPr>
          <w:color w:val="231F1F"/>
          <w:w w:val="115"/>
        </w:rPr>
        <w:t>plasma</w:t>
      </w:r>
      <w:r>
        <w:rPr>
          <w:color w:val="231F1F"/>
          <w:spacing w:val="-15"/>
          <w:w w:val="115"/>
        </w:rPr>
        <w:t> </w:t>
      </w:r>
      <w:r>
        <w:rPr>
          <w:color w:val="231F1F"/>
          <w:w w:val="115"/>
        </w:rPr>
        <w:t>concentration</w:t>
      </w:r>
      <w:r>
        <w:rPr>
          <w:color w:val="231F1F"/>
          <w:spacing w:val="-17"/>
          <w:w w:val="115"/>
        </w:rPr>
        <w:t> </w:t>
      </w:r>
      <w:r>
        <w:rPr>
          <w:color w:val="231F1F"/>
          <w:w w:val="115"/>
        </w:rPr>
        <w:t>of</w:t>
      </w:r>
      <w:r>
        <w:rPr>
          <w:color w:val="231F1F"/>
          <w:spacing w:val="-15"/>
          <w:w w:val="115"/>
        </w:rPr>
        <w:t> </w:t>
      </w:r>
      <w:r>
        <w:rPr>
          <w:color w:val="231F1F"/>
          <w:w w:val="115"/>
        </w:rPr>
        <w:t>indinavir</w:t>
      </w:r>
      <w:r>
        <w:rPr>
          <w:color w:val="231F1F"/>
          <w:spacing w:val="-15"/>
          <w:w w:val="115"/>
        </w:rPr>
        <w:t> </w:t>
      </w:r>
      <w:r>
        <w:rPr>
          <w:color w:val="231F1F"/>
          <w:w w:val="115"/>
        </w:rPr>
        <w:t>decreased (reduce dose of rifabutin and increase dose of indinavir); metabolism</w:t>
      </w:r>
      <w:r>
        <w:rPr>
          <w:color w:val="231F1F"/>
          <w:spacing w:val="-19"/>
          <w:w w:val="115"/>
        </w:rPr>
        <w:t> </w:t>
      </w:r>
      <w:r>
        <w:rPr>
          <w:color w:val="231F1F"/>
          <w:w w:val="115"/>
        </w:rPr>
        <w:t>of</w:t>
      </w:r>
      <w:r>
        <w:rPr>
          <w:color w:val="231F1F"/>
          <w:spacing w:val="-17"/>
          <w:w w:val="115"/>
        </w:rPr>
        <w:t> </w:t>
      </w:r>
      <w:r>
        <w:rPr>
          <w:color w:val="231F1F"/>
          <w:w w:val="115"/>
        </w:rPr>
        <w:t>indinavir</w:t>
      </w:r>
      <w:r>
        <w:rPr>
          <w:color w:val="231F1F"/>
          <w:spacing w:val="-19"/>
          <w:w w:val="115"/>
        </w:rPr>
        <w:t> </w:t>
      </w:r>
      <w:r>
        <w:rPr>
          <w:color w:val="231F1F"/>
          <w:w w:val="115"/>
        </w:rPr>
        <w:t>accelerated</w:t>
      </w:r>
      <w:r>
        <w:rPr>
          <w:color w:val="231F1F"/>
          <w:spacing w:val="-18"/>
          <w:w w:val="115"/>
        </w:rPr>
        <w:t> </w:t>
      </w:r>
      <w:r>
        <w:rPr>
          <w:color w:val="231F1F"/>
          <w:w w:val="115"/>
        </w:rPr>
        <w:t>by</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RIFAMPICIN</w:t>
      </w:r>
      <w:r>
        <w:rPr>
          <w:rFonts w:ascii="Calibri" w:hAnsi="Calibri"/>
          <w:color w:val="008356"/>
          <w:spacing w:val="-8"/>
          <w:w w:val="115"/>
          <w:sz w:val="11"/>
        </w:rPr>
        <w:t> </w:t>
      </w:r>
      <w:r>
        <w:rPr>
          <w:color w:val="231F1F"/>
          <w:w w:val="115"/>
        </w:rPr>
        <w:t>(reduced plasma</w:t>
      </w:r>
      <w:r>
        <w:rPr>
          <w:color w:val="231F1F"/>
          <w:spacing w:val="-11"/>
          <w:w w:val="115"/>
        </w:rPr>
        <w:t> </w:t>
      </w:r>
      <w:r>
        <w:rPr>
          <w:color w:val="231F1F"/>
          <w:w w:val="115"/>
        </w:rPr>
        <w:t>concentration</w:t>
      </w:r>
      <w:r>
        <w:rPr>
          <w:rFonts w:ascii="Arial" w:hAnsi="Arial"/>
          <w:color w:val="231F1F"/>
          <w:w w:val="115"/>
        </w:rPr>
        <w:t>—</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r>
        <w:rPr>
          <w:color w:val="231F1F"/>
          <w:spacing w:val="-9"/>
          <w:w w:val="115"/>
        </w:rPr>
        <w:t> </w:t>
      </w:r>
      <w:r>
        <w:rPr>
          <w:color w:val="231F1F"/>
          <w:w w:val="115"/>
        </w:rPr>
        <w:t>avoidance</w:t>
      </w:r>
      <w:r>
        <w:rPr>
          <w:color w:val="231F1F"/>
          <w:spacing w:val="-11"/>
          <w:w w:val="115"/>
        </w:rPr>
        <w:t> </w:t>
      </w:r>
      <w:r>
        <w:rPr>
          <w:color w:val="231F1F"/>
          <w:w w:val="115"/>
        </w:rPr>
        <w:t>of concomitant indinavir in severe renal and hepatic impairment</w:t>
      </w:r>
      <w:r>
        <w:rPr>
          <w:color w:val="231F1F"/>
          <w:spacing w:val="-13"/>
          <w:w w:val="115"/>
        </w:rPr>
        <w:t> </w:t>
      </w:r>
      <w:r>
        <w:rPr>
          <w:color w:val="231F1F"/>
          <w:w w:val="115"/>
        </w:rPr>
        <w:t>advised</w:t>
      </w:r>
      <w:r>
        <w:rPr>
          <w:color w:val="231F1F"/>
          <w:spacing w:val="-12"/>
          <w:w w:val="115"/>
        </w:rPr>
        <w:t> </w:t>
      </w:r>
      <w:r>
        <w:rPr>
          <w:color w:val="231F1F"/>
          <w:w w:val="115"/>
        </w:rPr>
        <w:t>by</w:t>
      </w:r>
      <w:r>
        <w:rPr>
          <w:color w:val="231F1F"/>
          <w:spacing w:val="-12"/>
          <w:w w:val="115"/>
        </w:rPr>
        <w:t> </w:t>
      </w:r>
      <w:r>
        <w:rPr>
          <w:color w:val="231F1F"/>
          <w:w w:val="115"/>
        </w:rPr>
        <w:t>manufacturer</w:t>
      </w:r>
      <w:r>
        <w:rPr>
          <w:color w:val="231F1F"/>
          <w:spacing w:val="-13"/>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5"/>
          <w:sz w:val="11"/>
        </w:rPr>
        <w:t>TELITHROMYCIN</w:t>
      </w:r>
    </w:p>
    <w:p>
      <w:pPr>
        <w:spacing w:line="220" w:lineRule="auto" w:before="1"/>
        <w:ind w:left="279" w:right="96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Anticoagulants: </w:t>
      </w:r>
      <w:r>
        <w:rPr>
          <w:color w:val="231F1F"/>
          <w:w w:val="105"/>
          <w:sz w:val="12"/>
        </w:rPr>
        <w:t>avoidance of indinavir advised by manufacturer of </w:t>
      </w:r>
      <w:r>
        <w:rPr>
          <w:rFonts w:ascii="Calibri" w:hAnsi="Calibri"/>
          <w:color w:val="008356"/>
          <w:w w:val="105"/>
          <w:sz w:val="11"/>
        </w:rPr>
        <w:t>APIXABAN </w:t>
      </w:r>
      <w:r>
        <w:rPr>
          <w:color w:val="231F1F"/>
          <w:w w:val="105"/>
          <w:sz w:val="12"/>
        </w:rPr>
        <w:t>and </w:t>
      </w:r>
      <w:r>
        <w:rPr>
          <w:rFonts w:ascii="Calibri" w:hAnsi="Calibri"/>
          <w:color w:val="008356"/>
          <w:w w:val="105"/>
          <w:sz w:val="11"/>
        </w:rPr>
        <w:t>RIVAROXABAN</w:t>
      </w:r>
    </w:p>
    <w:p>
      <w:pPr>
        <w:pStyle w:val="BodyText"/>
        <w:spacing w:line="146" w:lineRule="exact"/>
        <w:ind w:left="179"/>
      </w:pPr>
      <w:r>
        <w:rPr>
          <w:rFonts w:ascii="Arial"/>
          <w:color w:val="231F1F"/>
          <w:w w:val="355"/>
          <w:position w:val="1"/>
          <w:sz w:val="7"/>
        </w:rPr>
        <w:t>l </w:t>
      </w:r>
      <w:r>
        <w:rPr>
          <w:rFonts w:ascii="Calibri"/>
          <w:color w:val="231F1F"/>
          <w:w w:val="110"/>
        </w:rPr>
        <w:t>Antidepressants: </w:t>
      </w:r>
      <w:r>
        <w:rPr>
          <w:color w:val="231F1F"/>
          <w:w w:val="110"/>
        </w:rPr>
        <w:t>plasma concentration of indinavir reduced by</w:t>
      </w:r>
    </w:p>
    <w:p>
      <w:pPr>
        <w:spacing w:line="140" w:lineRule="exact" w:before="0"/>
        <w:ind w:left="279"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15"/>
          <w:sz w:val="11"/>
        </w:rPr>
        <w:t>ST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 </w:t>
      </w:r>
      <w:r>
        <w:rPr>
          <w:rFonts w:ascii="Calibri" w:hAnsi="Calibri"/>
          <w:color w:val="008356"/>
          <w:w w:val="115"/>
          <w:sz w:val="11"/>
        </w:rPr>
        <w:t>WORT</w:t>
      </w:r>
      <w:r>
        <w:rPr>
          <w:rFonts w:ascii="Arial" w:hAnsi="Arial"/>
          <w:color w:val="231F1F"/>
          <w:w w:val="115"/>
          <w:sz w:val="12"/>
        </w:rPr>
        <w:t>—</w:t>
      </w:r>
      <w:r>
        <w:rPr>
          <w:color w:val="231F1F"/>
          <w:w w:val="115"/>
          <w:sz w:val="12"/>
        </w:rPr>
        <w:t>avoid concomitant use</w:t>
      </w:r>
    </w:p>
    <w:p>
      <w:pPr>
        <w:spacing w:before="0"/>
        <w:ind w:left="279" w:right="641"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indinavir possibly reduced by </w:t>
      </w:r>
      <w:r>
        <w:rPr>
          <w:rFonts w:ascii="Arial"/>
          <w:color w:val="231F1F"/>
          <w:w w:val="355"/>
          <w:position w:val="1"/>
          <w:sz w:val="7"/>
        </w:rPr>
        <w:t>l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 </w:t>
      </w:r>
      <w:r>
        <w:rPr>
          <w:rFonts w:ascii="Calibri"/>
          <w:color w:val="008356"/>
          <w:spacing w:val="4"/>
          <w:w w:val="110"/>
          <w:sz w:val="11"/>
        </w:rPr>
        <w:t>FOSPHENYTOIN </w:t>
      </w:r>
      <w:r>
        <w:rPr>
          <w:color w:val="231F1F"/>
          <w:w w:val="110"/>
          <w:sz w:val="12"/>
        </w:rPr>
        <w:t>and</w:t>
      </w:r>
    </w:p>
    <w:p>
      <w:pPr>
        <w:pStyle w:val="BodyText"/>
        <w:spacing w:line="247" w:lineRule="auto"/>
        <w:ind w:left="279" w:right="754"/>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PHENYTOIN</w:t>
      </w:r>
      <w:r>
        <w:rPr>
          <w:color w:val="231F1F"/>
          <w:spacing w:val="4"/>
          <w:w w:val="115"/>
        </w:rPr>
        <w:t>,</w:t>
      </w:r>
      <w:r>
        <w:rPr>
          <w:color w:val="231F1F"/>
          <w:spacing w:val="-18"/>
          <w:w w:val="115"/>
        </w:rPr>
        <w:t> </w:t>
      </w:r>
      <w:r>
        <w:rPr>
          <w:color w:val="231F1F"/>
          <w:w w:val="115"/>
        </w:rPr>
        <w:t>also</w:t>
      </w:r>
      <w:r>
        <w:rPr>
          <w:color w:val="231F1F"/>
          <w:spacing w:val="-18"/>
          <w:w w:val="115"/>
        </w:rPr>
        <w:t> </w:t>
      </w:r>
      <w:r>
        <w:rPr>
          <w:color w:val="231F1F"/>
          <w:w w:val="115"/>
        </w:rPr>
        <w:t>plasma</w:t>
      </w:r>
      <w:r>
        <w:rPr>
          <w:color w:val="231F1F"/>
          <w:spacing w:val="-19"/>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color w:val="231F1F"/>
          <w:w w:val="115"/>
        </w:rPr>
        <w:t>carbamazepine, fosphenytoin and phenytoin possibly increased; plasma concentration of indinavir possibly reduced</w:t>
      </w:r>
      <w:r>
        <w:rPr>
          <w:color w:val="231F1F"/>
          <w:spacing w:val="-24"/>
          <w:w w:val="115"/>
        </w:rPr>
        <w:t> </w:t>
      </w:r>
      <w:r>
        <w:rPr>
          <w:color w:val="231F1F"/>
          <w:w w:val="115"/>
        </w:rPr>
        <w:t>by</w:t>
      </w:r>
    </w:p>
    <w:p>
      <w:pPr>
        <w:spacing w:line="140" w:lineRule="exact" w:before="0"/>
        <w:ind w:left="279" w:right="0" w:firstLine="0"/>
        <w:jc w:val="left"/>
        <w:rPr>
          <w:rFonts w:ascii="Calibri"/>
          <w:sz w:val="11"/>
        </w:rPr>
      </w:pPr>
      <w:r>
        <w:rPr>
          <w:rFonts w:ascii="Arial"/>
          <w:color w:val="231F1F"/>
          <w:w w:val="355"/>
          <w:position w:val="1"/>
          <w:sz w:val="7"/>
        </w:rPr>
        <w:t>l </w:t>
      </w:r>
      <w:r>
        <w:rPr>
          <w:rFonts w:ascii="Calibri"/>
          <w:color w:val="008356"/>
          <w:w w:val="110"/>
          <w:sz w:val="11"/>
        </w:rPr>
        <w:t>PHENOBARBITAL </w:t>
      </w:r>
      <w:r>
        <w:rPr>
          <w:color w:val="231F1F"/>
          <w:w w:val="110"/>
          <w:sz w:val="12"/>
        </w:rPr>
        <w:t>and </w:t>
      </w:r>
      <w:r>
        <w:rPr>
          <w:rFonts w:ascii="Arial"/>
          <w:color w:val="231F1F"/>
          <w:w w:val="355"/>
          <w:position w:val="1"/>
          <w:sz w:val="7"/>
        </w:rPr>
        <w:t>l </w:t>
      </w:r>
      <w:r>
        <w:rPr>
          <w:rFonts w:ascii="Calibri"/>
          <w:color w:val="008356"/>
          <w:w w:val="110"/>
          <w:sz w:val="11"/>
        </w:rPr>
        <w:t>PRIMIDONE</w:t>
      </w:r>
    </w:p>
    <w:p>
      <w:pPr>
        <w:pStyle w:val="BodyText"/>
        <w:spacing w:line="145" w:lineRule="exact"/>
        <w:ind w:left="179"/>
      </w:pPr>
      <w:r>
        <w:rPr>
          <w:rFonts w:ascii="Arial"/>
          <w:color w:val="231F1F"/>
          <w:w w:val="355"/>
          <w:position w:val="1"/>
          <w:sz w:val="7"/>
        </w:rPr>
        <w:t>l </w:t>
      </w:r>
      <w:r>
        <w:rPr>
          <w:rFonts w:ascii="Calibri"/>
          <w:color w:val="231F1F"/>
          <w:w w:val="115"/>
        </w:rPr>
        <w:t>Antifungals: </w:t>
      </w:r>
      <w:r>
        <w:rPr>
          <w:color w:val="231F1F"/>
          <w:w w:val="115"/>
        </w:rPr>
        <w:t>plasma concentration of indinavir increased by</w:t>
      </w:r>
    </w:p>
    <w:p>
      <w:pPr>
        <w:spacing w:before="0"/>
        <w:ind w:left="279" w:right="578" w:hanging="1"/>
        <w:jc w:val="left"/>
        <w:rPr>
          <w:sz w:val="12"/>
        </w:rPr>
      </w:pP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ITRACONAZOLE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KETOCONAZOLE </w:t>
      </w:r>
      <w:r>
        <w:rPr>
          <w:color w:val="231F1F"/>
          <w:w w:val="110"/>
          <w:sz w:val="12"/>
        </w:rPr>
        <w:t>(consider reducing dose of indinavir)</w:t>
      </w:r>
    </w:p>
    <w:p>
      <w:pPr>
        <w:spacing w:line="242" w:lineRule="auto" w:before="3"/>
        <w:ind w:left="279" w:right="586"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caution with indinavir advised by manufacturer of </w:t>
      </w:r>
      <w:r>
        <w:rPr>
          <w:rFonts w:ascii="Calibri"/>
          <w:color w:val="008356"/>
          <w:w w:val="110"/>
          <w:sz w:val="11"/>
        </w:rPr>
        <w:t>ARTEMETHER WITH LUMEFANTRINE</w:t>
      </w:r>
      <w:r>
        <w:rPr>
          <w:color w:val="231F1F"/>
          <w:w w:val="110"/>
          <w:sz w:val="12"/>
        </w:rPr>
        <w:t>; indinavir possibly increases plasma concentration of </w:t>
      </w:r>
      <w:r>
        <w:rPr>
          <w:rFonts w:ascii="Arial"/>
          <w:color w:val="231F1F"/>
          <w:w w:val="355"/>
          <w:position w:val="1"/>
          <w:sz w:val="7"/>
        </w:rPr>
        <w:t>l </w:t>
      </w:r>
      <w:r>
        <w:rPr>
          <w:rFonts w:ascii="Calibri"/>
          <w:color w:val="008356"/>
          <w:w w:val="110"/>
          <w:sz w:val="11"/>
        </w:rPr>
        <w:t>QUININE </w:t>
      </w:r>
      <w:r>
        <w:rPr>
          <w:color w:val="231F1F"/>
          <w:w w:val="110"/>
          <w:sz w:val="12"/>
        </w:rPr>
        <w:t>(increased risk of toxicity)</w:t>
      </w:r>
    </w:p>
    <w:p>
      <w:pPr>
        <w:pStyle w:val="BodyText"/>
        <w:spacing w:line="237" w:lineRule="auto"/>
        <w:ind w:left="279" w:right="618" w:hanging="100"/>
      </w:pPr>
      <w:r>
        <w:rPr>
          <w:rFonts w:ascii="Lucida Sans Unicode" w:hAnsi="Lucida Sans Unicode"/>
          <w:color w:val="A7A8AC"/>
          <w:w w:val="95"/>
          <w:sz w:val="10"/>
        </w:rPr>
        <w:t>▶ </w:t>
      </w:r>
      <w:r>
        <w:rPr>
          <w:rFonts w:ascii="Calibri" w:hAnsi="Calibri"/>
          <w:color w:val="231F1F"/>
          <w:w w:val="110"/>
        </w:rPr>
        <w:t>Antimuscarinics: </w:t>
      </w:r>
      <w:r>
        <w:rPr>
          <w:color w:val="231F1F"/>
          <w:w w:val="110"/>
        </w:rPr>
        <w:t>avoidance of indinavir advised by manufacturer of </w:t>
      </w:r>
      <w:r>
        <w:rPr>
          <w:rFonts w:ascii="Calibri" w:hAnsi="Calibri"/>
          <w:color w:val="008356"/>
          <w:w w:val="110"/>
          <w:sz w:val="11"/>
        </w:rPr>
        <w:t>DARIFENACIN </w:t>
      </w:r>
      <w:r>
        <w:rPr>
          <w:color w:val="231F1F"/>
          <w:w w:val="110"/>
        </w:rPr>
        <w:t>and </w:t>
      </w:r>
      <w:r>
        <w:rPr>
          <w:rFonts w:ascii="Calibri" w:hAnsi="Calibri"/>
          <w:color w:val="008356"/>
          <w:w w:val="110"/>
          <w:sz w:val="11"/>
        </w:rPr>
        <w:t>TOLTERODINE</w:t>
      </w:r>
      <w:r>
        <w:rPr>
          <w:color w:val="231F1F"/>
          <w:w w:val="110"/>
        </w:rPr>
        <w:t>; manufacturer of fesoterodine advises dose reduction when indinavir given with </w:t>
      </w:r>
      <w:r>
        <w:rPr>
          <w:rFonts w:ascii="Calibri" w:hAnsi="Calibri"/>
          <w:color w:val="008356"/>
          <w:w w:val="110"/>
          <w:sz w:val="11"/>
        </w:rPr>
        <w:t>FESOTERODINE</w:t>
      </w:r>
      <w:r>
        <w:rPr>
          <w:rFonts w:ascii="Arial" w:hAnsi="Arial"/>
          <w:color w:val="231F1F"/>
          <w:w w:val="110"/>
        </w:rPr>
        <w:t>—</w:t>
      </w:r>
      <w:r>
        <w:rPr>
          <w:color w:val="231F1F"/>
          <w:w w:val="110"/>
        </w:rPr>
        <w:t>consult fesoterodine product literature</w:t>
      </w:r>
    </w:p>
    <w:p>
      <w:pPr>
        <w:pStyle w:val="BodyText"/>
        <w:spacing w:line="242" w:lineRule="auto"/>
        <w:ind w:left="279" w:right="1018" w:hanging="10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231F1F"/>
          <w:w w:val="120"/>
        </w:rPr>
        <w:t>Antipsychotics:</w:t>
      </w:r>
      <w:r>
        <w:rPr>
          <w:rFonts w:ascii="Calibri" w:hAnsi="Calibri"/>
          <w:color w:val="231F1F"/>
          <w:spacing w:val="-20"/>
          <w:w w:val="120"/>
        </w:rPr>
        <w:t> </w:t>
      </w:r>
      <w:r>
        <w:rPr>
          <w:color w:val="231F1F"/>
          <w:w w:val="120"/>
        </w:rPr>
        <w:t>indinavir</w:t>
      </w:r>
      <w:r>
        <w:rPr>
          <w:color w:val="231F1F"/>
          <w:spacing w:val="-25"/>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 concentration of </w:t>
      </w:r>
      <w:r>
        <w:rPr>
          <w:rFonts w:ascii="Arial" w:hAnsi="Arial"/>
          <w:color w:val="231F1F"/>
          <w:w w:val="355"/>
          <w:position w:val="1"/>
          <w:sz w:val="7"/>
        </w:rPr>
        <w:t>l </w:t>
      </w:r>
      <w:r>
        <w:rPr>
          <w:rFonts w:ascii="Calibri" w:hAnsi="Calibri"/>
          <w:color w:val="008356"/>
          <w:spacing w:val="4"/>
          <w:w w:val="120"/>
          <w:sz w:val="11"/>
        </w:rPr>
        <w:t>ARIPIPRAZOLE </w:t>
      </w:r>
      <w:r>
        <w:rPr>
          <w:color w:val="231F1F"/>
          <w:w w:val="120"/>
        </w:rPr>
        <w:t>(reduce dose of </w:t>
      </w:r>
      <w:r>
        <w:rPr>
          <w:color w:val="231F1F"/>
          <w:w w:val="115"/>
        </w:rPr>
        <w:t>aripiprazole</w:t>
      </w:r>
      <w:r>
        <w:rPr>
          <w:rFonts w:ascii="Arial" w:hAnsi="Arial"/>
          <w:color w:val="231F1F"/>
          <w:w w:val="115"/>
        </w:rPr>
        <w:t>—</w:t>
      </w:r>
      <w:r>
        <w:rPr>
          <w:color w:val="231F1F"/>
          <w:w w:val="115"/>
        </w:rPr>
        <w:t>consult</w:t>
      </w:r>
      <w:r>
        <w:rPr>
          <w:color w:val="231F1F"/>
          <w:spacing w:val="-9"/>
          <w:w w:val="115"/>
        </w:rPr>
        <w:t> </w:t>
      </w:r>
      <w:r>
        <w:rPr>
          <w:color w:val="231F1F"/>
          <w:w w:val="115"/>
        </w:rPr>
        <w:t>aripiprazole</w:t>
      </w:r>
      <w:r>
        <w:rPr>
          <w:color w:val="231F1F"/>
          <w:spacing w:val="-10"/>
          <w:w w:val="115"/>
        </w:rPr>
        <w:t> </w:t>
      </w:r>
      <w:r>
        <w:rPr>
          <w:color w:val="231F1F"/>
          <w:w w:val="115"/>
        </w:rPr>
        <w:t>product</w:t>
      </w:r>
      <w:r>
        <w:rPr>
          <w:color w:val="231F1F"/>
          <w:spacing w:val="-9"/>
          <w:w w:val="115"/>
        </w:rPr>
        <w:t> </w:t>
      </w:r>
      <w:r>
        <w:rPr>
          <w:color w:val="231F1F"/>
          <w:spacing w:val="-2"/>
          <w:w w:val="115"/>
        </w:rPr>
        <w:t>literature); </w:t>
      </w:r>
      <w:r>
        <w:rPr>
          <w:color w:val="231F1F"/>
          <w:w w:val="120"/>
        </w:rPr>
        <w:t>indinavir</w:t>
      </w:r>
      <w:r>
        <w:rPr>
          <w:color w:val="231F1F"/>
          <w:spacing w:val="-24"/>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4"/>
          <w:w w:val="120"/>
        </w:rPr>
        <w:t> </w:t>
      </w:r>
      <w:r>
        <w:rPr>
          <w:color w:val="231F1F"/>
          <w:w w:val="120"/>
        </w:rPr>
        <w:t>concentration</w:t>
      </w:r>
      <w:r>
        <w:rPr>
          <w:color w:val="231F1F"/>
          <w:spacing w:val="-25"/>
          <w:w w:val="120"/>
        </w:rPr>
        <w:t> </w:t>
      </w:r>
      <w:r>
        <w:rPr>
          <w:color w:val="231F1F"/>
          <w:w w:val="120"/>
        </w:rPr>
        <w:t>of</w:t>
      </w:r>
    </w:p>
    <w:p>
      <w:pPr>
        <w:pStyle w:val="BodyText"/>
        <w:spacing w:line="244" w:lineRule="auto" w:before="2"/>
        <w:ind w:left="279" w:right="659"/>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w:t>
      </w:r>
      <w:r>
        <w:rPr>
          <w:color w:val="231F1F"/>
          <w:spacing w:val="-17"/>
          <w:w w:val="115"/>
        </w:rPr>
        <w:t> </w:t>
      </w:r>
      <w:r>
        <w:rPr>
          <w:color w:val="231F1F"/>
          <w:w w:val="115"/>
        </w:rPr>
        <w:t>concomitant</w:t>
      </w:r>
      <w:r>
        <w:rPr>
          <w:color w:val="231F1F"/>
          <w:spacing w:val="-17"/>
          <w:w w:val="115"/>
        </w:rPr>
        <w:t> </w:t>
      </w:r>
      <w:r>
        <w:rPr>
          <w:color w:val="231F1F"/>
          <w:w w:val="115"/>
        </w:rPr>
        <w:t>use;</w:t>
      </w:r>
      <w:r>
        <w:rPr>
          <w:color w:val="231F1F"/>
          <w:spacing w:val="-15"/>
          <w:w w:val="115"/>
        </w:rPr>
        <w:t> </w:t>
      </w:r>
      <w:r>
        <w:rPr>
          <w:color w:val="231F1F"/>
          <w:w w:val="115"/>
        </w:rPr>
        <w:t>indinavir</w:t>
      </w:r>
      <w:r>
        <w:rPr>
          <w:color w:val="231F1F"/>
          <w:spacing w:val="-17"/>
          <w:w w:val="115"/>
        </w:rPr>
        <w:t> </w:t>
      </w:r>
      <w:r>
        <w:rPr>
          <w:color w:val="231F1F"/>
          <w:w w:val="115"/>
        </w:rPr>
        <w:t>possibly increases</w:t>
      </w:r>
      <w:r>
        <w:rPr>
          <w:color w:val="231F1F"/>
          <w:spacing w:val="-16"/>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PIMOZIDE</w:t>
      </w:r>
      <w:r>
        <w:rPr>
          <w:rFonts w:ascii="Calibri" w:hAnsi="Calibri"/>
          <w:color w:val="008356"/>
          <w:spacing w:val="-5"/>
          <w:w w:val="115"/>
          <w:sz w:val="11"/>
        </w:rPr>
        <w:t> </w:t>
      </w:r>
      <w:r>
        <w:rPr>
          <w:color w:val="231F1F"/>
          <w:w w:val="115"/>
        </w:rPr>
        <w:t>(increased</w:t>
      </w:r>
      <w:r>
        <w:rPr>
          <w:color w:val="231F1F"/>
          <w:spacing w:val="-16"/>
          <w:w w:val="115"/>
        </w:rPr>
        <w:t> </w:t>
      </w:r>
      <w:r>
        <w:rPr>
          <w:color w:val="231F1F"/>
          <w:spacing w:val="-3"/>
          <w:w w:val="115"/>
        </w:rPr>
        <w:t>risk </w:t>
      </w:r>
      <w:r>
        <w:rPr>
          <w:color w:val="231F1F"/>
          <w:w w:val="115"/>
        </w:rPr>
        <w:t>of ventricular arrhythmias</w:t>
      </w:r>
      <w:r>
        <w:rPr>
          <w:rFonts w:ascii="Arial" w:hAnsi="Arial"/>
          <w:color w:val="231F1F"/>
          <w:w w:val="115"/>
        </w:rPr>
        <w:t>—</w:t>
      </w:r>
      <w:r>
        <w:rPr>
          <w:color w:val="231F1F"/>
          <w:w w:val="115"/>
        </w:rPr>
        <w:t>avoid concomitant use); indinavir possibly increases plasma concentration</w:t>
      </w:r>
      <w:r>
        <w:rPr>
          <w:color w:val="231F1F"/>
          <w:spacing w:val="-25"/>
          <w:w w:val="115"/>
        </w:rPr>
        <w:t> </w:t>
      </w:r>
      <w:r>
        <w:rPr>
          <w:color w:val="231F1F"/>
          <w:w w:val="115"/>
        </w:rPr>
        <w:t>of</w:t>
      </w:r>
    </w:p>
    <w:p>
      <w:pPr>
        <w:spacing w:after="0" w:line="244"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w w:val="105"/>
        </w:rPr>
        <w:t>Indinavir</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Antipsychotics (continued)</w:t>
      </w:r>
    </w:p>
    <w:p>
      <w:pPr>
        <w:pStyle w:val="BodyText"/>
        <w:spacing w:line="244" w:lineRule="auto"/>
        <w:ind w:right="339" w:hanging="1"/>
      </w:pPr>
      <w:r>
        <w:rPr>
          <w:rFonts w:ascii="Arial" w:hAnsi="Arial"/>
          <w:color w:val="231F1F"/>
          <w:w w:val="280"/>
          <w:position w:val="1"/>
          <w:sz w:val="7"/>
        </w:rPr>
        <w:t>l</w:t>
      </w:r>
      <w:r>
        <w:rPr>
          <w:rFonts w:ascii="Arial" w:hAnsi="Arial"/>
          <w:color w:val="231F1F"/>
          <w:spacing w:val="-45"/>
          <w:w w:val="280"/>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quetiapine</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6"/>
          <w:w w:val="115"/>
        </w:rPr>
        <w:t> </w:t>
      </w:r>
      <w:r>
        <w:rPr>
          <w:color w:val="231F1F"/>
          <w:w w:val="115"/>
        </w:rPr>
        <w:t>use</w:t>
      </w:r>
    </w:p>
    <w:p>
      <w:pPr>
        <w:pStyle w:val="BodyText"/>
        <w:spacing w:line="144" w:lineRule="exact"/>
        <w:ind w:left="108"/>
      </w:pPr>
      <w:r>
        <w:rPr>
          <w:rFonts w:ascii="Arial"/>
          <w:color w:val="231F1F"/>
          <w:w w:val="355"/>
          <w:position w:val="1"/>
          <w:sz w:val="7"/>
        </w:rPr>
        <w:t>l </w:t>
      </w:r>
      <w:r>
        <w:rPr>
          <w:rFonts w:ascii="Calibri"/>
          <w:color w:val="231F1F"/>
          <w:w w:val="115"/>
        </w:rPr>
        <w:t>Antivirals: </w:t>
      </w:r>
      <w:r>
        <w:rPr>
          <w:color w:val="231F1F"/>
          <w:w w:val="115"/>
        </w:rPr>
        <w:t>avoid concomitant use of indinavir with</w:t>
      </w:r>
    </w:p>
    <w:p>
      <w:pPr>
        <w:pStyle w:val="BodyText"/>
        <w:spacing w:line="244" w:lineRule="auto"/>
        <w:ind w:right="27"/>
        <w:rPr>
          <w:rFonts w:ascii="Calibri" w:hAnsi="Calibri"/>
          <w:sz w:val="11"/>
        </w:rPr>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5"/>
          <w:sz w:val="11"/>
        </w:rPr>
        <w:t>ATAZANAVIR</w:t>
      </w:r>
      <w:r>
        <w:rPr>
          <w:color w:val="231F1F"/>
          <w:spacing w:val="3"/>
          <w:w w:val="115"/>
        </w:rPr>
        <w:t>;</w:t>
      </w:r>
      <w:r>
        <w:rPr>
          <w:color w:val="231F1F"/>
          <w:spacing w:val="-12"/>
          <w:w w:val="115"/>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color w:val="231F1F"/>
          <w:w w:val="115"/>
        </w:rPr>
        <w:t>both</w:t>
      </w:r>
      <w:r>
        <w:rPr>
          <w:color w:val="231F1F"/>
          <w:spacing w:val="-11"/>
          <w:w w:val="115"/>
        </w:rPr>
        <w:t> </w:t>
      </w:r>
      <w:r>
        <w:rPr>
          <w:color w:val="231F1F"/>
          <w:w w:val="115"/>
        </w:rPr>
        <w:t>drugs</w:t>
      </w:r>
      <w:r>
        <w:rPr>
          <w:color w:val="231F1F"/>
          <w:spacing w:val="-11"/>
          <w:w w:val="115"/>
        </w:rPr>
        <w:t> </w:t>
      </w:r>
      <w:r>
        <w:rPr>
          <w:color w:val="231F1F"/>
          <w:w w:val="115"/>
        </w:rPr>
        <w:t>increased when</w:t>
      </w:r>
      <w:r>
        <w:rPr>
          <w:color w:val="231F1F"/>
          <w:spacing w:val="-22"/>
          <w:w w:val="115"/>
        </w:rPr>
        <w:t> </w:t>
      </w:r>
      <w:r>
        <w:rPr>
          <w:color w:val="231F1F"/>
          <w:w w:val="115"/>
        </w:rPr>
        <w:t>indinavir</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rFonts w:ascii="Calibri" w:hAnsi="Calibri"/>
          <w:color w:val="008356"/>
          <w:spacing w:val="4"/>
          <w:w w:val="115"/>
          <w:sz w:val="11"/>
        </w:rPr>
        <w:t>DARUNAVIR</w:t>
      </w:r>
      <w:r>
        <w:rPr>
          <w:color w:val="231F1F"/>
          <w:spacing w:val="4"/>
          <w:w w:val="115"/>
        </w:rPr>
        <w:t>;</w:t>
      </w:r>
      <w:r>
        <w:rPr>
          <w:color w:val="231F1F"/>
          <w:spacing w:val="-21"/>
          <w:w w:val="115"/>
        </w:rPr>
        <w:t> </w:t>
      </w:r>
      <w:r>
        <w:rPr>
          <w:color w:val="231F1F"/>
          <w:w w:val="115"/>
        </w:rPr>
        <w:t>absorption</w:t>
      </w:r>
      <w:r>
        <w:rPr>
          <w:color w:val="231F1F"/>
          <w:spacing w:val="-21"/>
          <w:w w:val="115"/>
        </w:rPr>
        <w:t> </w:t>
      </w:r>
      <w:r>
        <w:rPr>
          <w:color w:val="231F1F"/>
          <w:w w:val="115"/>
        </w:rPr>
        <w:t>of</w:t>
      </w:r>
      <w:r>
        <w:rPr>
          <w:color w:val="231F1F"/>
          <w:spacing w:val="-20"/>
          <w:w w:val="115"/>
        </w:rPr>
        <w:t> </w:t>
      </w:r>
      <w:r>
        <w:rPr>
          <w:color w:val="231F1F"/>
          <w:w w:val="115"/>
        </w:rPr>
        <w:t>indinavir reduced by </w:t>
      </w:r>
      <w:r>
        <w:rPr>
          <w:rFonts w:ascii="Calibri" w:hAnsi="Calibri"/>
          <w:color w:val="008356"/>
          <w:spacing w:val="4"/>
          <w:w w:val="115"/>
          <w:sz w:val="11"/>
        </w:rPr>
        <w:t>DIDANOSINE </w:t>
      </w:r>
      <w:r>
        <w:rPr>
          <w:i/>
          <w:color w:val="231F1F"/>
          <w:w w:val="115"/>
        </w:rPr>
        <w:t>tablets </w:t>
      </w:r>
      <w:r>
        <w:rPr>
          <w:color w:val="231F1F"/>
          <w:w w:val="115"/>
        </w:rPr>
        <w:t>(give at least 1 hour apart); 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indinavir</w:t>
      </w:r>
      <w:r>
        <w:rPr>
          <w:color w:val="231F1F"/>
          <w:spacing w:val="-11"/>
          <w:w w:val="115"/>
        </w:rPr>
        <w:t> </w:t>
      </w:r>
      <w:r>
        <w:rPr>
          <w:color w:val="231F1F"/>
          <w:w w:val="115"/>
        </w:rPr>
        <w:t>reduced</w:t>
      </w:r>
      <w:r>
        <w:rPr>
          <w:color w:val="231F1F"/>
          <w:spacing w:val="-12"/>
          <w:w w:val="115"/>
        </w:rPr>
        <w:t> </w:t>
      </w:r>
      <w:r>
        <w:rPr>
          <w:color w:val="231F1F"/>
          <w:w w:val="115"/>
        </w:rPr>
        <w:t>by</w:t>
      </w:r>
      <w:r>
        <w:rPr>
          <w:color w:val="231F1F"/>
          <w:spacing w:val="-11"/>
          <w:w w:val="115"/>
        </w:rPr>
        <w:t> </w:t>
      </w:r>
      <w:r>
        <w:rPr>
          <w:rFonts w:ascii="Calibri" w:hAnsi="Calibri"/>
          <w:color w:val="008356"/>
          <w:spacing w:val="3"/>
          <w:w w:val="115"/>
          <w:sz w:val="11"/>
        </w:rPr>
        <w:t>EFAVIRENZ</w:t>
      </w:r>
      <w:r>
        <w:rPr>
          <w:rFonts w:ascii="Calibri" w:hAnsi="Calibri"/>
          <w:color w:val="008356"/>
          <w:w w:val="115"/>
          <w:sz w:val="11"/>
        </w:rPr>
        <w:t> </w:t>
      </w:r>
      <w:r>
        <w:rPr>
          <w:color w:val="231F1F"/>
          <w:w w:val="115"/>
        </w:rPr>
        <w:t>and </w:t>
      </w:r>
      <w:r>
        <w:rPr>
          <w:rFonts w:ascii="Calibri" w:hAnsi="Calibri"/>
          <w:color w:val="008356"/>
          <w:spacing w:val="4"/>
          <w:w w:val="115"/>
          <w:sz w:val="11"/>
        </w:rPr>
        <w:t>NEVIRAPINE</w:t>
      </w:r>
      <w:r>
        <w:rPr>
          <w:color w:val="231F1F"/>
          <w:spacing w:val="4"/>
          <w:w w:val="115"/>
        </w:rPr>
        <w:t>; </w:t>
      </w:r>
      <w:r>
        <w:rPr>
          <w:color w:val="231F1F"/>
          <w:w w:val="115"/>
        </w:rPr>
        <w:t>plasma concentration of indinavir possibly reduced</w:t>
      </w:r>
      <w:r>
        <w:rPr>
          <w:color w:val="231F1F"/>
          <w:spacing w:val="-14"/>
          <w:w w:val="115"/>
        </w:rPr>
        <w:t> </w:t>
      </w:r>
      <w:r>
        <w:rPr>
          <w:color w:val="231F1F"/>
          <w:w w:val="115"/>
        </w:rPr>
        <w:t>by</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5"/>
          <w:sz w:val="11"/>
        </w:rPr>
        <w:t>ETRAVIRINE</w:t>
      </w:r>
      <w:r>
        <w:rPr>
          <w:rFonts w:ascii="Arial" w:hAnsi="Arial"/>
          <w:color w:val="231F1F"/>
          <w:spacing w:val="2"/>
          <w:w w:val="115"/>
        </w:rPr>
        <w:t>—</w:t>
      </w:r>
      <w:r>
        <w:rPr>
          <w:color w:val="231F1F"/>
          <w:spacing w:val="2"/>
          <w:w w:val="115"/>
        </w:rPr>
        <w:t>avoid</w:t>
      </w:r>
      <w:r>
        <w:rPr>
          <w:color w:val="231F1F"/>
          <w:spacing w:val="-13"/>
          <w:w w:val="115"/>
        </w:rPr>
        <w:t> </w:t>
      </w:r>
      <w:r>
        <w:rPr>
          <w:color w:val="231F1F"/>
          <w:w w:val="115"/>
        </w:rPr>
        <w:t>concomitant</w:t>
      </w:r>
      <w:r>
        <w:rPr>
          <w:color w:val="231F1F"/>
          <w:spacing w:val="-15"/>
          <w:w w:val="115"/>
        </w:rPr>
        <w:t> </w:t>
      </w:r>
      <w:r>
        <w:rPr>
          <w:color w:val="231F1F"/>
          <w:w w:val="115"/>
        </w:rPr>
        <w:t>use;</w:t>
      </w:r>
      <w:r>
        <w:rPr>
          <w:color w:val="231F1F"/>
          <w:spacing w:val="-12"/>
          <w:w w:val="115"/>
        </w:rPr>
        <w:t> </w:t>
      </w:r>
      <w:r>
        <w:rPr>
          <w:color w:val="231F1F"/>
          <w:w w:val="115"/>
        </w:rPr>
        <w:t>indinavir increases plasma concentration of </w:t>
      </w:r>
      <w:r>
        <w:rPr>
          <w:rFonts w:ascii="Arial" w:hAnsi="Arial"/>
          <w:color w:val="231F1F"/>
          <w:w w:val="355"/>
          <w:position w:val="1"/>
          <w:sz w:val="7"/>
        </w:rPr>
        <w:t>l </w:t>
      </w:r>
      <w:r>
        <w:rPr>
          <w:rFonts w:ascii="Calibri" w:hAnsi="Calibri"/>
          <w:color w:val="008356"/>
          <w:spacing w:val="4"/>
          <w:w w:val="115"/>
          <w:sz w:val="11"/>
        </w:rPr>
        <w:t>MARAVIROC </w:t>
      </w:r>
      <w:r>
        <w:rPr>
          <w:color w:val="231F1F"/>
          <w:w w:val="115"/>
        </w:rPr>
        <w:t>(consider reducing dose of maraviroc); plasma concentration of indinavir</w:t>
      </w:r>
      <w:r>
        <w:rPr>
          <w:color w:val="231F1F"/>
          <w:spacing w:val="-16"/>
          <w:w w:val="115"/>
        </w:rPr>
        <w:t> </w:t>
      </w:r>
      <w:r>
        <w:rPr>
          <w:color w:val="231F1F"/>
          <w:w w:val="115"/>
        </w:rPr>
        <w:t>increased</w:t>
      </w:r>
      <w:r>
        <w:rPr>
          <w:color w:val="231F1F"/>
          <w:spacing w:val="-16"/>
          <w:w w:val="115"/>
        </w:rPr>
        <w:t> </w:t>
      </w:r>
      <w:r>
        <w:rPr>
          <w:color w:val="231F1F"/>
          <w:w w:val="115"/>
        </w:rPr>
        <w:t>by</w:t>
      </w:r>
      <w:r>
        <w:rPr>
          <w:color w:val="231F1F"/>
          <w:spacing w:val="-15"/>
          <w:w w:val="115"/>
        </w:rPr>
        <w:t> </w:t>
      </w:r>
      <w:r>
        <w:rPr>
          <w:rFonts w:ascii="Calibri" w:hAnsi="Calibri"/>
          <w:color w:val="008356"/>
          <w:spacing w:val="3"/>
          <w:w w:val="115"/>
          <w:sz w:val="11"/>
        </w:rPr>
        <w:t>RITONAVIR</w:t>
      </w:r>
      <w:r>
        <w:rPr>
          <w:color w:val="231F1F"/>
          <w:spacing w:val="3"/>
          <w:w w:val="115"/>
        </w:rPr>
        <w:t>;</w:t>
      </w:r>
      <w:r>
        <w:rPr>
          <w:color w:val="231F1F"/>
          <w:spacing w:val="-16"/>
          <w:w w:val="115"/>
        </w:rPr>
        <w:t> </w:t>
      </w:r>
      <w:r>
        <w:rPr>
          <w:color w:val="231F1F"/>
          <w:w w:val="115"/>
        </w:rPr>
        <w:t>indinavir</w:t>
      </w:r>
      <w:r>
        <w:rPr>
          <w:color w:val="231F1F"/>
          <w:spacing w:val="-15"/>
          <w:w w:val="115"/>
        </w:rPr>
        <w:t> </w:t>
      </w:r>
      <w:r>
        <w:rPr>
          <w:color w:val="231F1F"/>
          <w:w w:val="115"/>
        </w:rPr>
        <w:t>increases</w:t>
      </w:r>
      <w:r>
        <w:rPr>
          <w:color w:val="231F1F"/>
          <w:spacing w:val="-15"/>
          <w:w w:val="115"/>
        </w:rPr>
        <w:t> </w:t>
      </w:r>
      <w:r>
        <w:rPr>
          <w:color w:val="231F1F"/>
          <w:w w:val="115"/>
        </w:rPr>
        <w:t>plasma concentration of</w:t>
      </w:r>
      <w:r>
        <w:rPr>
          <w:color w:val="231F1F"/>
          <w:spacing w:val="-8"/>
          <w:w w:val="115"/>
        </w:rPr>
        <w:t> </w:t>
      </w:r>
      <w:r>
        <w:rPr>
          <w:rFonts w:ascii="Calibri" w:hAnsi="Calibri"/>
          <w:color w:val="008356"/>
          <w:spacing w:val="4"/>
          <w:w w:val="115"/>
          <w:sz w:val="11"/>
        </w:rPr>
        <w:t>SAQUINAVIR</w:t>
      </w:r>
    </w:p>
    <w:p>
      <w:pPr>
        <w:pStyle w:val="BodyText"/>
        <w:spacing w:line="136" w:lineRule="exact"/>
        <w:ind w:left="108"/>
      </w:pPr>
      <w:r>
        <w:rPr>
          <w:rFonts w:ascii="Arial"/>
          <w:color w:val="231F1F"/>
          <w:w w:val="355"/>
          <w:position w:val="1"/>
          <w:sz w:val="7"/>
        </w:rPr>
        <w:t>l</w:t>
      </w:r>
      <w:r>
        <w:rPr>
          <w:rFonts w:ascii="Arial"/>
          <w:color w:val="231F1F"/>
          <w:spacing w:val="-55"/>
          <w:w w:val="355"/>
          <w:position w:val="1"/>
          <w:sz w:val="7"/>
        </w:rPr>
        <w:t> </w:t>
      </w:r>
      <w:r>
        <w:rPr>
          <w:rFonts w:ascii="Calibri"/>
          <w:color w:val="231F1F"/>
          <w:w w:val="110"/>
        </w:rPr>
        <w:t>Anxiolytics and Hypnotics: </w:t>
      </w:r>
      <w:r>
        <w:rPr>
          <w:color w:val="231F1F"/>
          <w:w w:val="110"/>
        </w:rPr>
        <w:t>increased risk of prolonged sedation</w:t>
      </w:r>
    </w:p>
    <w:p>
      <w:pPr>
        <w:pStyle w:val="BodyText"/>
        <w:spacing w:line="244" w:lineRule="auto"/>
        <w:ind w:right="48"/>
      </w:pPr>
      <w:r>
        <w:rPr>
          <w:color w:val="231F1F"/>
          <w:w w:val="115"/>
        </w:rPr>
        <w:t>when</w:t>
      </w:r>
      <w:r>
        <w:rPr>
          <w:color w:val="231F1F"/>
          <w:spacing w:val="-25"/>
          <w:w w:val="115"/>
        </w:rPr>
        <w:t> </w:t>
      </w:r>
      <w:r>
        <w:rPr>
          <w:color w:val="231F1F"/>
          <w:w w:val="115"/>
        </w:rPr>
        <w:t>indinavir</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00"/>
          <w:position w:val="1"/>
          <w:sz w:val="7"/>
        </w:rPr>
        <w:t>l</w:t>
      </w:r>
      <w:r>
        <w:rPr>
          <w:rFonts w:ascii="Arial" w:hAnsi="Arial"/>
          <w:color w:val="231F1F"/>
          <w:spacing w:val="-30"/>
          <w:w w:val="200"/>
          <w:position w:val="1"/>
          <w:sz w:val="7"/>
        </w:rPr>
        <w:t> </w:t>
      </w:r>
      <w:r>
        <w:rPr>
          <w:rFonts w:ascii="Calibri" w:hAnsi="Calibri"/>
          <w:color w:val="008356"/>
          <w:spacing w:val="3"/>
          <w:w w:val="115"/>
          <w:sz w:val="11"/>
        </w:rPr>
        <w:t>ALPRAZOLAM</w:t>
      </w:r>
      <w:r>
        <w:rPr>
          <w:rFonts w:ascii="Arial" w:hAnsi="Arial"/>
          <w:color w:val="231F1F"/>
          <w:spacing w:val="3"/>
          <w:w w:val="115"/>
        </w:rPr>
        <w:t>—</w:t>
      </w:r>
      <w:r>
        <w:rPr>
          <w:color w:val="231F1F"/>
          <w:spacing w:val="3"/>
          <w:w w:val="115"/>
        </w:rPr>
        <w:t>avoid</w:t>
      </w:r>
      <w:r>
        <w:rPr>
          <w:color w:val="231F1F"/>
          <w:spacing w:val="-24"/>
          <w:w w:val="115"/>
        </w:rPr>
        <w:t> </w:t>
      </w:r>
      <w:r>
        <w:rPr>
          <w:color w:val="231F1F"/>
          <w:w w:val="115"/>
        </w:rPr>
        <w:t>concomitant use;</w:t>
      </w:r>
      <w:r>
        <w:rPr>
          <w:color w:val="231F1F"/>
          <w:spacing w:val="-5"/>
          <w:w w:val="115"/>
        </w:rPr>
        <w:t> </w:t>
      </w:r>
      <w:r>
        <w:rPr>
          <w:color w:val="231F1F"/>
          <w:w w:val="115"/>
        </w:rPr>
        <w:t>indinavir</w:t>
      </w:r>
      <w:r>
        <w:rPr>
          <w:color w:val="231F1F"/>
          <w:spacing w:val="-5"/>
          <w:w w:val="115"/>
        </w:rPr>
        <w:t> </w:t>
      </w:r>
      <w:r>
        <w:rPr>
          <w:color w:val="231F1F"/>
          <w:w w:val="115"/>
        </w:rPr>
        <w:t>possibly</w:t>
      </w:r>
      <w:r>
        <w:rPr>
          <w:color w:val="231F1F"/>
          <w:spacing w:val="-6"/>
          <w:w w:val="115"/>
        </w:rPr>
        <w:t> </w:t>
      </w:r>
      <w:r>
        <w:rPr>
          <w:color w:val="231F1F"/>
          <w:w w:val="115"/>
        </w:rPr>
        <w:t>increases</w:t>
      </w:r>
      <w:r>
        <w:rPr>
          <w:color w:val="231F1F"/>
          <w:spacing w:val="-5"/>
          <w:w w:val="115"/>
        </w:rPr>
        <w:t> </w:t>
      </w:r>
      <w:r>
        <w:rPr>
          <w:color w:val="231F1F"/>
          <w:w w:val="115"/>
        </w:rPr>
        <w:t>plasma</w:t>
      </w:r>
      <w:r>
        <w:rPr>
          <w:color w:val="231F1F"/>
          <w:spacing w:val="-5"/>
          <w:w w:val="115"/>
        </w:rPr>
        <w:t> </w:t>
      </w:r>
      <w:r>
        <w:rPr>
          <w:color w:val="231F1F"/>
          <w:w w:val="115"/>
        </w:rPr>
        <w:t>concentration</w:t>
      </w:r>
      <w:r>
        <w:rPr>
          <w:color w:val="231F1F"/>
          <w:spacing w:val="-5"/>
          <w:w w:val="115"/>
        </w:rPr>
        <w:t> </w:t>
      </w:r>
      <w:r>
        <w:rPr>
          <w:color w:val="231F1F"/>
          <w:w w:val="115"/>
        </w:rPr>
        <w:t>of</w:t>
      </w:r>
    </w:p>
    <w:p>
      <w:pPr>
        <w:spacing w:line="244" w:lineRule="auto" w:before="0"/>
        <w:ind w:left="208" w:right="71" w:firstLine="0"/>
        <w:jc w:val="left"/>
        <w:rPr>
          <w:sz w:val="12"/>
        </w:rPr>
      </w:pPr>
      <w:r>
        <w:rPr>
          <w:rFonts w:ascii="Arial" w:hAnsi="Arial"/>
          <w:color w:val="231F1F"/>
          <w:w w:val="140"/>
          <w:position w:val="1"/>
          <w:sz w:val="7"/>
        </w:rPr>
        <w:t>l</w:t>
      </w:r>
      <w:r>
        <w:rPr>
          <w:rFonts w:ascii="Arial" w:hAnsi="Arial"/>
          <w:color w:val="231F1F"/>
          <w:spacing w:val="-18"/>
          <w:w w:val="140"/>
          <w:position w:val="1"/>
          <w:sz w:val="7"/>
        </w:rPr>
        <w:t> </w:t>
      </w:r>
      <w:r>
        <w:rPr>
          <w:rFonts w:ascii="Calibri" w:hAnsi="Calibri"/>
          <w:color w:val="008356"/>
          <w:spacing w:val="4"/>
          <w:w w:val="115"/>
          <w:sz w:val="11"/>
        </w:rPr>
        <w:t>MIDAZOLAM</w:t>
      </w:r>
      <w:r>
        <w:rPr>
          <w:rFonts w:ascii="Calibri" w:hAnsi="Calibri"/>
          <w:color w:val="008356"/>
          <w:spacing w:val="-16"/>
          <w:w w:val="115"/>
          <w:sz w:val="11"/>
        </w:rPr>
        <w:t> </w:t>
      </w:r>
      <w:r>
        <w:rPr>
          <w:color w:val="231F1F"/>
          <w:w w:val="115"/>
          <w:sz w:val="12"/>
        </w:rPr>
        <w:t>(risk</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prolonged</w:t>
      </w:r>
      <w:r>
        <w:rPr>
          <w:color w:val="231F1F"/>
          <w:spacing w:val="-24"/>
          <w:w w:val="115"/>
          <w:sz w:val="12"/>
        </w:rPr>
        <w:t> </w:t>
      </w:r>
      <w:r>
        <w:rPr>
          <w:color w:val="231F1F"/>
          <w:w w:val="115"/>
          <w:sz w:val="12"/>
        </w:rPr>
        <w:t>sedation</w:t>
      </w:r>
      <w:r>
        <w:rPr>
          <w:rFonts w:ascii="Arial" w:hAnsi="Arial"/>
          <w:color w:val="231F1F"/>
          <w:w w:val="115"/>
          <w:sz w:val="12"/>
        </w:rPr>
        <w:t>—</w:t>
      </w:r>
      <w:r>
        <w:rPr>
          <w:color w:val="231F1F"/>
          <w:w w:val="115"/>
          <w:sz w:val="12"/>
        </w:rPr>
        <w:t>avoid</w:t>
      </w:r>
      <w:r>
        <w:rPr>
          <w:color w:val="231F1F"/>
          <w:spacing w:val="-25"/>
          <w:w w:val="115"/>
          <w:sz w:val="12"/>
        </w:rPr>
        <w:t> </w:t>
      </w:r>
      <w:r>
        <w:rPr>
          <w:color w:val="231F1F"/>
          <w:w w:val="115"/>
          <w:sz w:val="12"/>
        </w:rPr>
        <w:t>concomitant use of </w:t>
      </w:r>
      <w:r>
        <w:rPr>
          <w:i/>
          <w:color w:val="231F1F"/>
          <w:w w:val="115"/>
          <w:sz w:val="12"/>
        </w:rPr>
        <w:t>oral</w:t>
      </w:r>
      <w:r>
        <w:rPr>
          <w:i/>
          <w:color w:val="231F1F"/>
          <w:spacing w:val="-12"/>
          <w:w w:val="115"/>
          <w:sz w:val="12"/>
        </w:rPr>
        <w:t> </w:t>
      </w:r>
      <w:r>
        <w:rPr>
          <w:color w:val="231F1F"/>
          <w:w w:val="115"/>
          <w:sz w:val="12"/>
        </w:rPr>
        <w:t>midazolam)</w:t>
      </w:r>
    </w:p>
    <w:p>
      <w:pPr>
        <w:pStyle w:val="BodyText"/>
        <w:spacing w:line="220" w:lineRule="auto" w:before="6"/>
        <w:ind w:right="507" w:hanging="100"/>
        <w:rPr>
          <w:rFonts w:ascii="Calibri" w:hAnsi="Calibri"/>
          <w:sz w:val="11"/>
        </w:rPr>
      </w:pPr>
      <w:r>
        <w:rPr>
          <w:rFonts w:ascii="Lucida Sans Unicode" w:hAnsi="Lucida Sans Unicode"/>
          <w:color w:val="A7A8AC"/>
          <w:w w:val="95"/>
          <w:sz w:val="10"/>
        </w:rPr>
        <w:t>▶ </w:t>
      </w:r>
      <w:r>
        <w:rPr>
          <w:rFonts w:ascii="Calibri" w:hAnsi="Calibri"/>
          <w:color w:val="231F1F"/>
          <w:w w:val="105"/>
        </w:rPr>
        <w:t>Atovaquone: </w:t>
      </w:r>
      <w:r>
        <w:rPr>
          <w:color w:val="231F1F"/>
          <w:w w:val="105"/>
        </w:rPr>
        <w:t>plasma concentration of indinavir possibly reduced by </w:t>
      </w:r>
      <w:r>
        <w:rPr>
          <w:rFonts w:ascii="Calibri" w:hAnsi="Calibri"/>
          <w:color w:val="008356"/>
          <w:w w:val="105"/>
          <w:sz w:val="11"/>
        </w:rPr>
        <w:t>ATOVAQUONE</w:t>
      </w:r>
    </w:p>
    <w:p>
      <w:pPr>
        <w:pStyle w:val="BodyText"/>
        <w:ind w:right="20" w:hanging="100"/>
      </w:pPr>
      <w:r>
        <w:rPr>
          <w:rFonts w:ascii="Arial" w:hAnsi="Arial"/>
          <w:color w:val="231F1F"/>
          <w:w w:val="115"/>
          <w:position w:val="1"/>
          <w:sz w:val="7"/>
        </w:rPr>
        <w:t>l </w:t>
      </w:r>
      <w:r>
        <w:rPr>
          <w:rFonts w:ascii="Calibri" w:hAnsi="Calibri"/>
          <w:color w:val="231F1F"/>
          <w:w w:val="115"/>
        </w:rPr>
        <w:t>Avanafil: </w:t>
      </w:r>
      <w:r>
        <w:rPr>
          <w:color w:val="231F1F"/>
          <w:w w:val="115"/>
        </w:rPr>
        <w:t>indinavir possibly increases plasma concentration of </w:t>
      </w:r>
      <w:r>
        <w:rPr>
          <w:rFonts w:ascii="Arial" w:hAnsi="Arial"/>
          <w:color w:val="231F1F"/>
          <w:w w:val="355"/>
          <w:position w:val="1"/>
          <w:sz w:val="7"/>
        </w:rPr>
        <w:t>l </w:t>
      </w:r>
      <w:r>
        <w:rPr>
          <w:rFonts w:ascii="Calibri" w:hAnsi="Calibri"/>
          <w:color w:val="008356"/>
          <w:w w:val="120"/>
          <w:sz w:val="11"/>
        </w:rPr>
        <w:t>AVANAFIL</w:t>
      </w:r>
      <w:r>
        <w:rPr>
          <w:rFonts w:ascii="Arial" w:hAnsi="Arial"/>
          <w:color w:val="231F1F"/>
          <w:w w:val="120"/>
        </w:rPr>
        <w:t>—</w:t>
      </w:r>
      <w:r>
        <w:rPr>
          <w:color w:val="231F1F"/>
          <w:w w:val="120"/>
        </w:rPr>
        <w:t>manufacturer of avanafil advises avoid concomitant use</w:t>
      </w:r>
    </w:p>
    <w:p>
      <w:pPr>
        <w:pStyle w:val="BodyText"/>
        <w:spacing w:line="220" w:lineRule="auto" w:before="10"/>
        <w:ind w:right="181" w:hanging="100"/>
        <w:rPr>
          <w:rFonts w:ascii="Calibri" w:hAnsi="Calibri"/>
          <w:sz w:val="11"/>
        </w:rPr>
      </w:pPr>
      <w:r>
        <w:rPr>
          <w:rFonts w:ascii="Lucida Sans Unicode" w:hAnsi="Lucida Sans Unicode"/>
          <w:color w:val="A7A8AC"/>
          <w:w w:val="95"/>
          <w:sz w:val="10"/>
        </w:rPr>
        <w:t>▶ </w:t>
      </w:r>
      <w:r>
        <w:rPr>
          <w:rFonts w:ascii="Calibri" w:hAnsi="Calibri"/>
          <w:color w:val="231F1F"/>
          <w:w w:val="105"/>
        </w:rPr>
        <w:t>Bosentan: </w:t>
      </w:r>
      <w:r>
        <w:rPr>
          <w:color w:val="231F1F"/>
          <w:w w:val="105"/>
        </w:rPr>
        <w:t>plasma concentration of indinavir possibly reduced  by</w:t>
      </w:r>
      <w:r>
        <w:rPr>
          <w:color w:val="231F1F"/>
          <w:spacing w:val="-1"/>
          <w:w w:val="105"/>
        </w:rPr>
        <w:t> </w:t>
      </w:r>
      <w:r>
        <w:rPr>
          <w:rFonts w:ascii="Calibri" w:hAnsi="Calibri"/>
          <w:color w:val="008356"/>
          <w:spacing w:val="4"/>
          <w:w w:val="105"/>
          <w:sz w:val="11"/>
        </w:rPr>
        <w:t>BOSENTAN</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indinavir increases plasma concentration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242" w:lineRule="auto"/>
        <w:ind w:right="244" w:hanging="100"/>
      </w:pPr>
      <w:r>
        <w:rPr>
          <w:rFonts w:ascii="Arial" w:hAnsi="Arial"/>
          <w:color w:val="231F1F"/>
          <w:w w:val="340"/>
          <w:position w:val="1"/>
          <w:sz w:val="7"/>
        </w:rPr>
        <w:t>l</w:t>
      </w:r>
      <w:r>
        <w:rPr>
          <w:rFonts w:ascii="Arial" w:hAnsi="Arial"/>
          <w:color w:val="231F1F"/>
          <w:spacing w:val="-53"/>
          <w:w w:val="340"/>
          <w:position w:val="1"/>
          <w:sz w:val="7"/>
        </w:rPr>
        <w:t> </w:t>
      </w:r>
      <w:r>
        <w:rPr>
          <w:rFonts w:ascii="Calibri" w:hAnsi="Calibri"/>
          <w:color w:val="231F1F"/>
          <w:w w:val="115"/>
        </w:rPr>
        <w:t>Colchicine:</w:t>
      </w:r>
      <w:r>
        <w:rPr>
          <w:rFonts w:ascii="Calibri" w:hAnsi="Calibri"/>
          <w:color w:val="231F1F"/>
          <w:spacing w:val="-22"/>
          <w:w w:val="115"/>
        </w:rPr>
        <w:t> </w:t>
      </w:r>
      <w:r>
        <w:rPr>
          <w:color w:val="231F1F"/>
          <w:w w:val="115"/>
        </w:rPr>
        <w:t>indinavir</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3"/>
          <w:w w:val="115"/>
        </w:rPr>
        <w:t> </w:t>
      </w:r>
      <w:r>
        <w:rPr>
          <w:rFonts w:ascii="Arial" w:hAnsi="Arial"/>
          <w:color w:val="231F1F"/>
          <w:w w:val="340"/>
          <w:position w:val="1"/>
          <w:sz w:val="7"/>
        </w:rPr>
        <w:t>l</w:t>
      </w:r>
      <w:r>
        <w:rPr>
          <w:rFonts w:ascii="Arial" w:hAnsi="Arial"/>
          <w:color w:val="231F1F"/>
          <w:spacing w:val="-57"/>
          <w:w w:val="340"/>
          <w:position w:val="1"/>
          <w:sz w:val="7"/>
        </w:rPr>
        <w:t> </w:t>
      </w:r>
      <w:r>
        <w:rPr>
          <w:rFonts w:ascii="Calibri" w:hAnsi="Calibri"/>
          <w:color w:val="008356"/>
          <w:spacing w:val="2"/>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pStyle w:val="BodyText"/>
        <w:spacing w:line="220" w:lineRule="auto" w:before="9"/>
        <w:ind w:right="88"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indinavir possibly reduced by </w:t>
      </w:r>
      <w:r>
        <w:rPr>
          <w:rFonts w:ascii="Calibri" w:hAnsi="Calibri"/>
          <w:color w:val="008356"/>
          <w:w w:val="105"/>
          <w:sz w:val="11"/>
        </w:rPr>
        <w:t>DEXAMETHASONE</w:t>
      </w:r>
    </w:p>
    <w:p>
      <w:pPr>
        <w:pStyle w:val="BodyText"/>
        <w:spacing w:line="244" w:lineRule="auto"/>
        <w:ind w:right="94" w:hanging="100"/>
      </w:pPr>
      <w:r>
        <w:rPr>
          <w:rFonts w:ascii="Arial" w:hAnsi="Arial"/>
          <w:color w:val="231F1F"/>
          <w:w w:val="355"/>
          <w:position w:val="1"/>
          <w:sz w:val="7"/>
        </w:rPr>
        <w:t>l </w:t>
      </w:r>
      <w:r>
        <w:rPr>
          <w:rFonts w:ascii="Calibri" w:hAnsi="Calibri"/>
          <w:color w:val="231F1F"/>
          <w:w w:val="110"/>
        </w:rPr>
        <w:t>Cytotoxics: </w:t>
      </w:r>
      <w:r>
        <w:rPr>
          <w:color w:val="231F1F"/>
          <w:w w:val="110"/>
        </w:rPr>
        <w:t>indinavir possibly increases plasma concentration of </w:t>
      </w:r>
      <w:r>
        <w:rPr>
          <w:rFonts w:ascii="Calibri" w:hAnsi="Calibri"/>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indinavir possibly increases the plasma concentration of </w:t>
      </w:r>
      <w:r>
        <w:rPr>
          <w:rFonts w:ascii="Arial" w:hAnsi="Arial"/>
          <w:color w:val="231F1F"/>
          <w:w w:val="355"/>
          <w:position w:val="1"/>
          <w:sz w:val="7"/>
        </w:rPr>
        <w:t>l </w:t>
      </w:r>
      <w:r>
        <w:rPr>
          <w:rFonts w:ascii="Calibri" w:hAnsi="Calibri"/>
          <w:color w:val="008356"/>
          <w:spacing w:val="4"/>
          <w:w w:val="110"/>
          <w:sz w:val="11"/>
        </w:rPr>
        <w:t>BOSUTINIB </w:t>
      </w:r>
      <w:r>
        <w:rPr>
          <w:color w:val="231F1F"/>
          <w:w w:val="110"/>
        </w:rPr>
        <w:t>and </w:t>
      </w:r>
      <w:r>
        <w:rPr>
          <w:rFonts w:ascii="Arial" w:hAnsi="Arial"/>
          <w:color w:val="231F1F"/>
          <w:w w:val="355"/>
          <w:position w:val="1"/>
          <w:sz w:val="7"/>
        </w:rPr>
        <w:t>l </w:t>
      </w:r>
      <w:r>
        <w:rPr>
          <w:rFonts w:ascii="Calibri" w:hAnsi="Calibri"/>
          <w:color w:val="008356"/>
          <w:spacing w:val="4"/>
          <w:w w:val="110"/>
          <w:sz w:val="11"/>
        </w:rPr>
        <w:t>CABAZITAXEL</w:t>
      </w:r>
      <w:r>
        <w:rPr>
          <w:rFonts w:ascii="Arial" w:hAnsi="Arial"/>
          <w:color w:val="231F1F"/>
          <w:spacing w:val="4"/>
          <w:w w:val="110"/>
        </w:rPr>
        <w:t>— </w:t>
      </w:r>
      <w:r>
        <w:rPr>
          <w:color w:val="231F1F"/>
          <w:w w:val="110"/>
        </w:rPr>
        <w:t>manufacturer of bosutinib and cabazitaxel advises avoid or consider reducing dose  of bosutinib and cabazitaxel; indinavir possibly increases plasma concentration</w:t>
      </w:r>
      <w:r>
        <w:rPr>
          <w:color w:val="231F1F"/>
          <w:spacing w:val="12"/>
          <w:w w:val="110"/>
        </w:rPr>
        <w:t> </w:t>
      </w:r>
      <w:r>
        <w:rPr>
          <w:color w:val="231F1F"/>
          <w:w w:val="110"/>
        </w:rPr>
        <w:t>of</w:t>
      </w:r>
    </w:p>
    <w:p>
      <w:pPr>
        <w:pStyle w:val="BodyText"/>
        <w:spacing w:line="247" w:lineRule="auto" w:before="3"/>
        <w:ind w:right="109" w:hanging="1"/>
      </w:pPr>
      <w:r>
        <w:rPr>
          <w:rFonts w:ascii="Arial" w:hAnsi="Arial"/>
          <w:color w:val="231F1F"/>
          <w:w w:val="350"/>
          <w:position w:val="1"/>
          <w:sz w:val="7"/>
        </w:rPr>
        <w:t>l</w:t>
      </w:r>
      <w:r>
        <w:rPr>
          <w:rFonts w:ascii="Arial" w:hAnsi="Arial"/>
          <w:color w:val="231F1F"/>
          <w:spacing w:val="-59"/>
          <w:w w:val="350"/>
          <w:position w:val="1"/>
          <w:sz w:val="7"/>
        </w:rPr>
        <w:t> </w:t>
      </w:r>
      <w:r>
        <w:rPr>
          <w:rFonts w:ascii="Calibri" w:hAnsi="Calibri"/>
          <w:color w:val="008356"/>
          <w:spacing w:val="4"/>
          <w:w w:val="115"/>
          <w:sz w:val="11"/>
        </w:rPr>
        <w:t>CRIZOTINIB</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350"/>
          <w:position w:val="1"/>
          <w:sz w:val="7"/>
        </w:rPr>
        <w:t>l</w:t>
      </w:r>
      <w:r>
        <w:rPr>
          <w:rFonts w:ascii="Arial" w:hAnsi="Arial"/>
          <w:color w:val="231F1F"/>
          <w:spacing w:val="-58"/>
          <w:w w:val="350"/>
          <w:position w:val="1"/>
          <w:sz w:val="7"/>
        </w:rPr>
        <w:t> </w:t>
      </w:r>
      <w:r>
        <w:rPr>
          <w:rFonts w:ascii="Calibri" w:hAnsi="Calibri"/>
          <w:color w:val="008356"/>
          <w:spacing w:val="2"/>
          <w:w w:val="115"/>
          <w:sz w:val="11"/>
        </w:rPr>
        <w:t>EVEROLIMUS</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3"/>
          <w:w w:val="115"/>
        </w:rPr>
        <w:t> </w:t>
      </w:r>
      <w:r>
        <w:rPr>
          <w:color w:val="231F1F"/>
          <w:w w:val="115"/>
        </w:rPr>
        <w:t>crizotinib and everolimus advises avoid concomitant use; indinavir possibly</w:t>
      </w:r>
      <w:r>
        <w:rPr>
          <w:color w:val="231F1F"/>
          <w:spacing w:val="-16"/>
          <w:w w:val="115"/>
        </w:rPr>
        <w:t> </w:t>
      </w:r>
      <w:r>
        <w:rPr>
          <w:color w:val="231F1F"/>
          <w:w w:val="115"/>
        </w:rPr>
        <w:t>increases</w:t>
      </w:r>
      <w:r>
        <w:rPr>
          <w:color w:val="231F1F"/>
          <w:spacing w:val="-15"/>
          <w:w w:val="115"/>
        </w:rPr>
        <w:t> </w:t>
      </w:r>
      <w:r>
        <w:rPr>
          <w:color w:val="231F1F"/>
          <w:w w:val="115"/>
        </w:rPr>
        <w:t>the</w:t>
      </w:r>
      <w:r>
        <w:rPr>
          <w:color w:val="231F1F"/>
          <w:spacing w:val="-14"/>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IBRUTINIB</w:t>
      </w:r>
      <w:r>
        <w:rPr>
          <w:rFonts w:ascii="Arial" w:hAnsi="Arial"/>
          <w:color w:val="231F1F"/>
          <w:spacing w:val="2"/>
          <w:w w:val="115"/>
        </w:rPr>
        <w:t>— </w:t>
      </w:r>
      <w:r>
        <w:rPr>
          <w:color w:val="231F1F"/>
          <w:w w:val="115"/>
        </w:rPr>
        <w:t>reduce dose of ibrutinib (see under Ibrutinib, p. 809); indinavir possibly increases plasma concentration</w:t>
      </w:r>
      <w:r>
        <w:rPr>
          <w:color w:val="231F1F"/>
          <w:spacing w:val="-25"/>
          <w:w w:val="115"/>
        </w:rPr>
        <w:t> </w:t>
      </w:r>
      <w:r>
        <w:rPr>
          <w:color w:val="231F1F"/>
          <w:w w:val="115"/>
        </w:rPr>
        <w:t>of</w:t>
      </w:r>
    </w:p>
    <w:p>
      <w:pPr>
        <w:pStyle w:val="BodyText"/>
        <w:spacing w:line="242" w:lineRule="auto"/>
        <w:ind w:right="196"/>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PAZOPANIB</w:t>
      </w:r>
      <w:r>
        <w:rPr>
          <w:rFonts w:ascii="Calibri" w:hAnsi="Calibri"/>
          <w:color w:val="008356"/>
          <w:spacing w:val="-11"/>
          <w:w w:val="115"/>
          <w:sz w:val="11"/>
        </w:rPr>
        <w:t> </w:t>
      </w:r>
      <w:r>
        <w:rPr>
          <w:color w:val="231F1F"/>
          <w:w w:val="115"/>
        </w:rPr>
        <w:t>(reduce</w:t>
      </w:r>
      <w:r>
        <w:rPr>
          <w:color w:val="231F1F"/>
          <w:spacing w:val="-21"/>
          <w:w w:val="115"/>
        </w:rPr>
        <w:t> </w:t>
      </w:r>
      <w:r>
        <w:rPr>
          <w:color w:val="231F1F"/>
          <w:w w:val="115"/>
        </w:rPr>
        <w:t>dose</w:t>
      </w:r>
      <w:r>
        <w:rPr>
          <w:color w:val="231F1F"/>
          <w:spacing w:val="-20"/>
          <w:w w:val="115"/>
        </w:rPr>
        <w:t> </w:t>
      </w:r>
      <w:r>
        <w:rPr>
          <w:color w:val="231F1F"/>
          <w:w w:val="115"/>
        </w:rPr>
        <w:t>of</w:t>
      </w:r>
      <w:r>
        <w:rPr>
          <w:color w:val="231F1F"/>
          <w:spacing w:val="-20"/>
          <w:w w:val="115"/>
        </w:rPr>
        <w:t> </w:t>
      </w:r>
      <w:r>
        <w:rPr>
          <w:color w:val="231F1F"/>
          <w:w w:val="115"/>
        </w:rPr>
        <w:t>pazopanib);</w:t>
      </w:r>
      <w:r>
        <w:rPr>
          <w:color w:val="231F1F"/>
          <w:spacing w:val="-20"/>
          <w:w w:val="115"/>
        </w:rPr>
        <w:t> </w:t>
      </w:r>
      <w:r>
        <w:rPr>
          <w:color w:val="231F1F"/>
          <w:w w:val="115"/>
        </w:rPr>
        <w:t>indinavir</w:t>
      </w:r>
      <w:r>
        <w:rPr>
          <w:color w:val="231F1F"/>
          <w:spacing w:val="-20"/>
          <w:w w:val="115"/>
        </w:rPr>
        <w:t> </w:t>
      </w:r>
      <w:r>
        <w:rPr>
          <w:color w:val="231F1F"/>
          <w:w w:val="115"/>
        </w:rPr>
        <w:t>possibly increases plasma concentration of </w:t>
      </w:r>
      <w:r>
        <w:rPr>
          <w:rFonts w:ascii="Calibri" w:hAnsi="Calibri"/>
          <w:color w:val="008356"/>
          <w:spacing w:val="2"/>
          <w:w w:val="115"/>
          <w:sz w:val="11"/>
        </w:rPr>
        <w:t>PONATINIB</w:t>
      </w:r>
      <w:r>
        <w:rPr>
          <w:rFonts w:ascii="Arial" w:hAnsi="Arial"/>
          <w:color w:val="231F1F"/>
          <w:spacing w:val="2"/>
          <w:w w:val="115"/>
        </w:rPr>
        <w:t>—</w:t>
      </w:r>
      <w:r>
        <w:rPr>
          <w:color w:val="231F1F"/>
          <w:spacing w:val="2"/>
          <w:w w:val="115"/>
        </w:rPr>
        <w:t>consider </w:t>
      </w:r>
      <w:r>
        <w:rPr>
          <w:color w:val="231F1F"/>
          <w:w w:val="115"/>
        </w:rPr>
        <w:t>reducing initial dose of ponatinib (see under</w:t>
      </w:r>
      <w:r>
        <w:rPr>
          <w:color w:val="231F1F"/>
          <w:spacing w:val="-24"/>
          <w:w w:val="115"/>
        </w:rPr>
        <w:t> </w:t>
      </w:r>
      <w:r>
        <w:rPr>
          <w:color w:val="231F1F"/>
          <w:w w:val="115"/>
        </w:rPr>
        <w:t>Ponatinib,</w:t>
      </w:r>
    </w:p>
    <w:p>
      <w:pPr>
        <w:pStyle w:val="BodyText"/>
        <w:spacing w:line="247" w:lineRule="auto" w:before="4"/>
        <w:ind w:right="87"/>
      </w:pPr>
      <w:r>
        <w:rPr>
          <w:color w:val="231F1F"/>
          <w:w w:val="115"/>
        </w:rPr>
        <w:t>p. 814); manufacturer of ruxolitinib advises dose reduction when</w:t>
      </w:r>
      <w:r>
        <w:rPr>
          <w:color w:val="231F1F"/>
          <w:spacing w:val="-24"/>
          <w:w w:val="115"/>
        </w:rPr>
        <w:t> </w:t>
      </w:r>
      <w:r>
        <w:rPr>
          <w:color w:val="231F1F"/>
          <w:w w:val="115"/>
        </w:rPr>
        <w:t>indinavir</w:t>
      </w:r>
      <w:r>
        <w:rPr>
          <w:color w:val="231F1F"/>
          <w:spacing w:val="-23"/>
          <w:w w:val="115"/>
        </w:rPr>
        <w:t> </w:t>
      </w:r>
      <w:r>
        <w:rPr>
          <w:color w:val="231F1F"/>
          <w:w w:val="115"/>
        </w:rPr>
        <w:t>given</w:t>
      </w:r>
      <w:r>
        <w:rPr>
          <w:color w:val="231F1F"/>
          <w:spacing w:val="-24"/>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w:t>
      </w:r>
      <w:r>
        <w:rPr>
          <w:color w:val="231F1F"/>
          <w:spacing w:val="-23"/>
          <w:w w:val="115"/>
        </w:rPr>
        <w:t> </w:t>
      </w:r>
      <w:r>
        <w:rPr>
          <w:color w:val="231F1F"/>
          <w:w w:val="115"/>
        </w:rPr>
        <w:t>ruxolitinib product literature; indinavir possibly increases plasma concentration of </w:t>
      </w:r>
      <w:r>
        <w:rPr>
          <w:rFonts w:ascii="Arial" w:hAnsi="Arial"/>
          <w:color w:val="231F1F"/>
          <w:w w:val="355"/>
          <w:position w:val="1"/>
          <w:sz w:val="7"/>
        </w:rPr>
        <w:t>l </w:t>
      </w:r>
      <w:r>
        <w:rPr>
          <w:rFonts w:ascii="Calibri" w:hAnsi="Calibri"/>
          <w:color w:val="008356"/>
          <w:w w:val="115"/>
          <w:sz w:val="11"/>
        </w:rPr>
        <w:t>DOCETAXEL</w:t>
      </w:r>
      <w:r>
        <w:rPr>
          <w:rFonts w:ascii="Arial" w:hAnsi="Arial"/>
          <w:color w:val="231F1F"/>
          <w:w w:val="115"/>
        </w:rPr>
        <w:t>—</w:t>
      </w:r>
      <w:r>
        <w:rPr>
          <w:color w:val="231F1F"/>
          <w:w w:val="115"/>
        </w:rPr>
        <w:t>manufacturer of docetaxel advises avoid concomitant use or consider reducing docetaxel</w:t>
      </w:r>
      <w:r>
        <w:rPr>
          <w:color w:val="231F1F"/>
          <w:spacing w:val="-3"/>
          <w:w w:val="115"/>
        </w:rPr>
        <w:t> </w:t>
      </w:r>
      <w:r>
        <w:rPr>
          <w:color w:val="231F1F"/>
          <w:w w:val="115"/>
        </w:rPr>
        <w:t>dose</w:t>
      </w:r>
    </w:p>
    <w:p>
      <w:pPr>
        <w:spacing w:line="240" w:lineRule="auto" w:before="0"/>
        <w:ind w:left="208" w:right="88" w:hanging="100"/>
        <w:jc w:val="left"/>
        <w:rPr>
          <w:sz w:val="12"/>
        </w:rPr>
      </w:pPr>
      <w:r>
        <w:rPr>
          <w:rFonts w:ascii="Arial" w:hAnsi="Arial"/>
          <w:color w:val="231F1F"/>
          <w:w w:val="355"/>
          <w:position w:val="1"/>
          <w:sz w:val="7"/>
        </w:rPr>
        <w:t>l</w:t>
      </w:r>
      <w:r>
        <w:rPr>
          <w:rFonts w:ascii="Arial" w:hAnsi="Arial"/>
          <w:color w:val="231F1F"/>
          <w:spacing w:val="-35"/>
          <w:w w:val="355"/>
          <w:position w:val="1"/>
          <w:sz w:val="7"/>
        </w:rPr>
        <w:t> </w:t>
      </w:r>
      <w:r>
        <w:rPr>
          <w:rFonts w:ascii="Calibri" w:hAnsi="Calibri"/>
          <w:color w:val="231F1F"/>
          <w:w w:val="110"/>
          <w:sz w:val="12"/>
        </w:rPr>
        <w:t>Ergot Alkaloids: </w:t>
      </w:r>
      <w:r>
        <w:rPr>
          <w:color w:val="231F1F"/>
          <w:w w:val="110"/>
          <w:sz w:val="12"/>
        </w:rPr>
        <w:t>increased risk of ergotism when indinavir given with </w:t>
      </w:r>
      <w:r>
        <w:rPr>
          <w:rFonts w:ascii="Arial" w:hAnsi="Arial"/>
          <w:color w:val="231F1F"/>
          <w:w w:val="355"/>
          <w:position w:val="1"/>
          <w:sz w:val="7"/>
        </w:rPr>
        <w:t>l </w:t>
      </w:r>
      <w:r>
        <w:rPr>
          <w:rFonts w:ascii="Calibri" w:hAnsi="Calibri"/>
          <w:color w:val="008356"/>
          <w:spacing w:val="4"/>
          <w:w w:val="110"/>
          <w:sz w:val="11"/>
        </w:rPr>
        <w:t>ERGOMETRINE </w:t>
      </w:r>
      <w:r>
        <w:rPr>
          <w:color w:val="231F1F"/>
          <w:w w:val="110"/>
          <w:sz w:val="12"/>
        </w:rPr>
        <w:t>or </w:t>
      </w:r>
      <w:r>
        <w:rPr>
          <w:rFonts w:ascii="Arial" w:hAnsi="Arial"/>
          <w:color w:val="231F1F"/>
          <w:w w:val="355"/>
          <w:position w:val="1"/>
          <w:sz w:val="7"/>
        </w:rPr>
        <w:t>l </w:t>
      </w:r>
      <w:r>
        <w:rPr>
          <w:rFonts w:ascii="Calibri" w:hAnsi="Calibri"/>
          <w:color w:val="008356"/>
          <w:spacing w:val="2"/>
          <w:w w:val="110"/>
          <w:sz w:val="11"/>
        </w:rPr>
        <w:t>ERGOTAMINE</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4"/>
          <w:w w:val="110"/>
          <w:sz w:val="12"/>
        </w:rPr>
        <w:t> </w:t>
      </w:r>
      <w:r>
        <w:rPr>
          <w:color w:val="231F1F"/>
          <w:w w:val="110"/>
          <w:sz w:val="12"/>
        </w:rPr>
        <w:t>use</w:t>
      </w:r>
    </w:p>
    <w:p>
      <w:pPr>
        <w:pStyle w:val="BodyText"/>
        <w:ind w:right="469"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indinavir increases plasma concentration</w:t>
      </w:r>
      <w:r>
        <w:rPr>
          <w:color w:val="231F1F"/>
          <w:spacing w:val="-6"/>
          <w:w w:val="110"/>
          <w:vertAlign w:val="baseline"/>
        </w:rPr>
        <w:t> </w:t>
      </w:r>
      <w:r>
        <w:rPr>
          <w:color w:val="231F1F"/>
          <w:w w:val="110"/>
          <w:vertAlign w:val="baseline"/>
        </w:rPr>
        <w:t>of</w:t>
      </w:r>
      <w:r>
        <w:rPr>
          <w:color w:val="231F1F"/>
          <w:spacing w:val="-6"/>
          <w:w w:val="110"/>
          <w:vertAlign w:val="baseline"/>
        </w:rPr>
        <w:t> </w:t>
      </w:r>
      <w:r>
        <w:rPr>
          <w:rFonts w:ascii="Arial" w:hAnsi="Arial"/>
          <w:color w:val="231F1F"/>
          <w:w w:val="355"/>
          <w:position w:val="1"/>
          <w:sz w:val="7"/>
          <w:vertAlign w:val="baseline"/>
        </w:rPr>
        <w:t>l</w:t>
      </w:r>
      <w:r>
        <w:rPr>
          <w:rFonts w:ascii="Arial" w:hAnsi="Arial"/>
          <w:color w:val="231F1F"/>
          <w:spacing w:val="-44"/>
          <w:w w:val="355"/>
          <w:position w:val="1"/>
          <w:sz w:val="7"/>
          <w:vertAlign w:val="baseline"/>
        </w:rPr>
        <w:t> </w:t>
      </w:r>
      <w:r>
        <w:rPr>
          <w:rFonts w:ascii="Calibri" w:hAnsi="Calibri"/>
          <w:color w:val="008356"/>
          <w:spacing w:val="4"/>
          <w:w w:val="110"/>
          <w:sz w:val="11"/>
          <w:vertAlign w:val="baseline"/>
        </w:rPr>
        <w:t>ELETRIPTAN </w:t>
      </w:r>
      <w:r>
        <w:rPr>
          <w:color w:val="231F1F"/>
          <w:w w:val="110"/>
          <w:vertAlign w:val="baseline"/>
        </w:rPr>
        <w:t>(risk</w:t>
      </w:r>
      <w:r>
        <w:rPr>
          <w:color w:val="231F1F"/>
          <w:spacing w:val="-7"/>
          <w:w w:val="110"/>
          <w:vertAlign w:val="baseline"/>
        </w:rPr>
        <w:t> </w:t>
      </w:r>
      <w:r>
        <w:rPr>
          <w:color w:val="231F1F"/>
          <w:w w:val="110"/>
          <w:vertAlign w:val="baseline"/>
        </w:rPr>
        <w:t>of</w:t>
      </w:r>
      <w:r>
        <w:rPr>
          <w:color w:val="231F1F"/>
          <w:spacing w:val="-6"/>
          <w:w w:val="110"/>
          <w:vertAlign w:val="baseline"/>
        </w:rPr>
        <w:t> </w:t>
      </w:r>
      <w:r>
        <w:rPr>
          <w:color w:val="231F1F"/>
          <w:w w:val="110"/>
          <w:vertAlign w:val="baseline"/>
        </w:rPr>
        <w:t>toxicity)</w:t>
      </w:r>
      <w:r>
        <w:rPr>
          <w:rFonts w:ascii="Arial" w:hAnsi="Arial"/>
          <w:color w:val="231F1F"/>
          <w:w w:val="110"/>
          <w:vertAlign w:val="baseline"/>
        </w:rPr>
        <w:t>—</w:t>
      </w:r>
      <w:r>
        <w:rPr>
          <w:color w:val="231F1F"/>
          <w:w w:val="110"/>
          <w:vertAlign w:val="baseline"/>
        </w:rPr>
        <w:t>avoid concomitant</w:t>
      </w:r>
      <w:r>
        <w:rPr>
          <w:color w:val="231F1F"/>
          <w:spacing w:val="-4"/>
          <w:w w:val="110"/>
          <w:vertAlign w:val="baseline"/>
        </w:rPr>
        <w:t> </w:t>
      </w:r>
      <w:r>
        <w:rPr>
          <w:color w:val="231F1F"/>
          <w:w w:val="110"/>
          <w:vertAlign w:val="baseline"/>
        </w:rPr>
        <w:t>use</w:t>
      </w:r>
    </w:p>
    <w:p>
      <w:pPr>
        <w:pStyle w:val="BodyText"/>
        <w:spacing w:line="242" w:lineRule="auto"/>
        <w:ind w:right="-9" w:hanging="100"/>
      </w:pPr>
      <w:r>
        <w:rPr>
          <w:rFonts w:ascii="Arial" w:hAnsi="Arial"/>
          <w:color w:val="231F1F"/>
          <w:w w:val="355"/>
          <w:position w:val="1"/>
          <w:sz w:val="7"/>
        </w:rPr>
        <w:t>l </w:t>
      </w:r>
      <w:r>
        <w:rPr>
          <w:rFonts w:ascii="Calibri" w:hAnsi="Calibri"/>
          <w:color w:val="231F1F"/>
          <w:w w:val="110"/>
        </w:rPr>
        <w:t>Lipid-regulating Drugs: </w:t>
      </w:r>
      <w:r>
        <w:rPr>
          <w:color w:val="231F1F"/>
          <w:w w:val="110"/>
        </w:rPr>
        <w:t>possible increased risk of myopathy when indinavir given with </w:t>
      </w:r>
      <w:r>
        <w:rPr>
          <w:rFonts w:ascii="Calibri" w:hAnsi="Calibri"/>
          <w:color w:val="008356"/>
          <w:w w:val="110"/>
          <w:sz w:val="11"/>
        </w:rPr>
        <w:t>ATORVASTATIN</w:t>
      </w:r>
      <w:r>
        <w:rPr>
          <w:color w:val="231F1F"/>
          <w:w w:val="110"/>
        </w:rPr>
        <w:t>; possible increased risk of myopathy when indinavir given with </w:t>
      </w:r>
      <w:r>
        <w:rPr>
          <w:rFonts w:ascii="Arial" w:hAnsi="Arial"/>
          <w:color w:val="231F1F"/>
          <w:w w:val="355"/>
          <w:position w:val="1"/>
          <w:sz w:val="7"/>
        </w:rPr>
        <w:t>l </w:t>
      </w:r>
      <w:r>
        <w:rPr>
          <w:rFonts w:ascii="Calibri" w:hAnsi="Calibri"/>
          <w:color w:val="008356"/>
          <w:w w:val="110"/>
          <w:sz w:val="11"/>
        </w:rPr>
        <w:t>ROSUVASTATIN</w:t>
      </w:r>
      <w:r>
        <w:rPr>
          <w:rFonts w:ascii="Arial" w:hAnsi="Arial"/>
          <w:color w:val="231F1F"/>
          <w:w w:val="110"/>
        </w:rPr>
        <w:t>— </w:t>
      </w:r>
      <w:r>
        <w:rPr>
          <w:color w:val="231F1F"/>
          <w:w w:val="110"/>
        </w:rPr>
        <w:t>manufacturer of rosuvastatin advises avoid concomitant use; increased risk of myopathy when indinavir given with</w:t>
      </w:r>
    </w:p>
    <w:p>
      <w:pPr>
        <w:pStyle w:val="BodyText"/>
        <w:spacing w:line="242" w:lineRule="auto" w:before="6"/>
        <w:ind w:right="194"/>
      </w:pPr>
      <w:r>
        <w:rPr>
          <w:rFonts w:ascii="Arial"/>
          <w:color w:val="231F1F"/>
          <w:w w:val="355"/>
          <w:position w:val="1"/>
          <w:sz w:val="7"/>
        </w:rPr>
        <w:t>l </w:t>
      </w:r>
      <w:r>
        <w:rPr>
          <w:rFonts w:ascii="Calibri"/>
          <w:color w:val="008356"/>
          <w:w w:val="110"/>
          <w:sz w:val="11"/>
        </w:rPr>
        <w:t>SIMVASTATIN </w:t>
      </w:r>
      <w:r>
        <w:rPr>
          <w:color w:val="231F1F"/>
          <w:w w:val="110"/>
        </w:rPr>
        <w:t>(avoid concomitant use); avoidance of indinavir advised by manufacturer of </w:t>
      </w: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before="1"/>
        <w:ind w:left="108"/>
      </w:pPr>
      <w:r>
        <w:rPr>
          <w:rFonts w:ascii="Arial"/>
          <w:color w:val="231F1F"/>
          <w:w w:val="355"/>
          <w:position w:val="1"/>
          <w:sz w:val="7"/>
        </w:rPr>
        <w:t>l </w:t>
      </w:r>
      <w:r>
        <w:rPr>
          <w:rFonts w:ascii="Calibri"/>
          <w:color w:val="231F1F"/>
          <w:w w:val="115"/>
        </w:rPr>
        <w:t>Orlistat: </w:t>
      </w:r>
      <w:r>
        <w:rPr>
          <w:color w:val="231F1F"/>
          <w:w w:val="115"/>
        </w:rPr>
        <w:t>absorption of indinavir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right="11" w:hanging="100"/>
      </w:pPr>
      <w:r>
        <w:rPr>
          <w:rFonts w:ascii="Arial" w:hAnsi="Arial"/>
          <w:color w:val="231F1F"/>
          <w:w w:val="115"/>
          <w:position w:val="1"/>
          <w:sz w:val="7"/>
        </w:rPr>
        <w:t>l </w:t>
      </w:r>
      <w:r>
        <w:rPr>
          <w:rFonts w:ascii="Calibri" w:hAnsi="Calibri"/>
          <w:color w:val="231F1F"/>
          <w:w w:val="115"/>
        </w:rPr>
        <w:t>Ranolazine: </w:t>
      </w:r>
      <w:r>
        <w:rPr>
          <w:color w:val="231F1F"/>
          <w:w w:val="115"/>
        </w:rPr>
        <w:t>indinavir possibly increases plasma 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advises avoid </w:t>
      </w:r>
      <w:r>
        <w:rPr>
          <w:color w:val="231F1F"/>
          <w:w w:val="120"/>
        </w:rPr>
        <w:t>concomitant use</w:t>
      </w:r>
    </w:p>
    <w:p>
      <w:pPr>
        <w:pStyle w:val="BodyText"/>
        <w:spacing w:line="146" w:lineRule="exact" w:before="1"/>
        <w:ind w:left="108"/>
      </w:pPr>
      <w:r>
        <w:rPr>
          <w:rFonts w:ascii="Arial"/>
          <w:color w:val="231F1F"/>
          <w:w w:val="355"/>
          <w:position w:val="1"/>
          <w:sz w:val="7"/>
        </w:rPr>
        <w:t>l </w:t>
      </w:r>
      <w:r>
        <w:rPr>
          <w:rFonts w:ascii="Calibri"/>
          <w:color w:val="231F1F"/>
          <w:w w:val="115"/>
        </w:rPr>
        <w:t>Sildenafil: </w:t>
      </w:r>
      <w:r>
        <w:rPr>
          <w:color w:val="231F1F"/>
          <w:w w:val="115"/>
        </w:rPr>
        <w:t>indinavir increases plasma concentration of</w:t>
      </w:r>
    </w:p>
    <w:p>
      <w:pPr>
        <w:spacing w:line="141"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SILDENAFIL</w:t>
      </w:r>
      <w:r>
        <w:rPr>
          <w:rFonts w:ascii="Arial" w:hAnsi="Arial"/>
          <w:color w:val="231F1F"/>
          <w:w w:val="115"/>
          <w:sz w:val="12"/>
        </w:rPr>
        <w:t>—</w:t>
      </w:r>
      <w:r>
        <w:rPr>
          <w:color w:val="231F1F"/>
          <w:w w:val="115"/>
          <w:sz w:val="12"/>
        </w:rPr>
        <w:t>reduce initial dose of sildenafil</w:t>
      </w:r>
    </w:p>
    <w:p>
      <w:pPr>
        <w:pStyle w:val="BodyText"/>
        <w:spacing w:before="7"/>
        <w:ind w:left="0"/>
        <w:rPr>
          <w:sz w:val="14"/>
        </w:rPr>
      </w:pPr>
      <w:r>
        <w:rPr/>
        <w:br w:type="column"/>
      </w:r>
      <w:r>
        <w:rPr>
          <w:sz w:val="14"/>
        </w:rPr>
      </w:r>
    </w:p>
    <w:p>
      <w:pPr>
        <w:pStyle w:val="BodyText"/>
        <w:spacing w:line="144" w:lineRule="exact"/>
        <w:ind w:left="108"/>
        <w:rPr>
          <w:rFonts w:ascii="Calibri"/>
        </w:rPr>
      </w:pPr>
      <w:r>
        <w:rPr>
          <w:rFonts w:ascii="Arial"/>
          <w:color w:val="008356"/>
        </w:rPr>
        <w:t>Indinavir </w:t>
      </w:r>
      <w:r>
        <w:rPr>
          <w:rFonts w:ascii="Calibri"/>
          <w:color w:val="231F1F"/>
        </w:rPr>
        <w:t>(continued)</w:t>
      </w:r>
    </w:p>
    <w:p>
      <w:pPr>
        <w:pStyle w:val="BodyText"/>
        <w:spacing w:line="154" w:lineRule="exact"/>
        <w:ind w:left="108"/>
      </w:pPr>
      <w:r>
        <w:rPr/>
        <w:pict>
          <v:rect style="position:absolute;margin-left:398.891296pt;margin-top:-8.635828pt;width:20.522993pt;height:149.443pt;mso-position-horizontal-relative:page;mso-position-vertical-relative:paragraph;z-index:4384" filled="true" fillcolor="#bfdbcf" stroked="false">
            <v:fill type="solid"/>
            <w10:wrap type="none"/>
          </v:rect>
        </w:pict>
      </w:r>
      <w:r>
        <w:rPr/>
        <w:pict>
          <v:shape style="position:absolute;margin-left:399.725769pt;margin-top:-3.672439pt;width:10.4pt;height:78.850pt;mso-position-horizontal-relative:page;mso-position-vertical-relative:paragraph;z-index:440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Tadalafil: </w:t>
      </w:r>
      <w:r>
        <w:rPr>
          <w:color w:val="231F1F"/>
          <w:w w:val="105"/>
        </w:rPr>
        <w:t>indinavir possibly increases plasma concentration of</w:t>
      </w:r>
    </w:p>
    <w:p>
      <w:pPr>
        <w:spacing w:line="130" w:lineRule="exact" w:before="0"/>
        <w:ind w:left="208" w:right="0" w:firstLine="0"/>
        <w:jc w:val="left"/>
        <w:rPr>
          <w:rFonts w:ascii="Calibri"/>
          <w:sz w:val="11"/>
        </w:rPr>
      </w:pPr>
      <w:r>
        <w:rPr>
          <w:rFonts w:ascii="Calibri"/>
          <w:color w:val="008356"/>
          <w:w w:val="105"/>
          <w:sz w:val="11"/>
        </w:rPr>
        <w:t>TADALAFIL</w:t>
      </w:r>
    </w:p>
    <w:p>
      <w:pPr>
        <w:pStyle w:val="BodyText"/>
        <w:spacing w:line="144" w:lineRule="exact"/>
        <w:ind w:left="108"/>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Vardenafil: </w:t>
      </w:r>
      <w:r>
        <w:rPr>
          <w:color w:val="231F1F"/>
          <w:w w:val="115"/>
        </w:rPr>
        <w:t>indinavir increases plasma concentration of</w:t>
      </w:r>
    </w:p>
    <w:p>
      <w:pPr>
        <w:spacing w:line="142" w:lineRule="exact" w:before="0"/>
        <w:ind w:left="208"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VARDENAFIL</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56" w:lineRule="auto" w:before="7"/>
        <w:ind w:left="108" w:right="2217"/>
        <w:rPr>
          <w:rFonts w:ascii="Trebuchet MS"/>
        </w:rPr>
      </w:pPr>
      <w:r>
        <w:rPr>
          <w:rFonts w:ascii="Trebuchet MS"/>
          <w:color w:val="008356"/>
          <w:w w:val="105"/>
        </w:rPr>
        <w:t>Indometacin </w:t>
      </w:r>
      <w:r>
        <w:rPr>
          <w:i/>
          <w:color w:val="231F1F"/>
          <w:w w:val="105"/>
        </w:rPr>
        <w:t>see </w:t>
      </w:r>
      <w:r>
        <w:rPr>
          <w:color w:val="231F1F"/>
          <w:w w:val="105"/>
        </w:rPr>
        <w:t>NSAIDs </w:t>
      </w:r>
      <w:r>
        <w:rPr>
          <w:rFonts w:ascii="Trebuchet MS"/>
          <w:color w:val="008356"/>
          <w:w w:val="105"/>
        </w:rPr>
        <w:t>Indoramin </w:t>
      </w:r>
      <w:r>
        <w:rPr>
          <w:i/>
          <w:color w:val="231F1F"/>
          <w:w w:val="105"/>
        </w:rPr>
        <w:t>see </w:t>
      </w:r>
      <w:r>
        <w:rPr>
          <w:color w:val="231F1F"/>
          <w:w w:val="105"/>
        </w:rPr>
        <w:t>Alpha-blockers </w:t>
      </w:r>
      <w:r>
        <w:rPr>
          <w:rFonts w:ascii="Trebuchet MS"/>
          <w:color w:val="008356"/>
          <w:w w:val="105"/>
        </w:rPr>
        <w:t>Infliximab</w:t>
      </w:r>
    </w:p>
    <w:p>
      <w:pPr>
        <w:pStyle w:val="BodyText"/>
        <w:spacing w:line="138" w:lineRule="exact"/>
        <w:ind w:left="108"/>
      </w:pPr>
      <w:r>
        <w:rPr>
          <w:rFonts w:ascii="Arial"/>
          <w:color w:val="231F1F"/>
          <w:w w:val="355"/>
          <w:position w:val="1"/>
          <w:sz w:val="7"/>
        </w:rPr>
        <w:t>l </w:t>
      </w:r>
      <w:r>
        <w:rPr>
          <w:rFonts w:ascii="Calibri"/>
          <w:color w:val="231F1F"/>
          <w:w w:val="110"/>
        </w:rPr>
        <w:t>Abatacept: </w:t>
      </w:r>
      <w:r>
        <w:rPr>
          <w:color w:val="231F1F"/>
          <w:w w:val="110"/>
        </w:rPr>
        <w:t>avoid concomitant use of infliximab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ABATACEPT</w:t>
      </w:r>
    </w:p>
    <w:p>
      <w:pPr>
        <w:pStyle w:val="BodyText"/>
        <w:spacing w:line="145" w:lineRule="exact"/>
        <w:ind w:left="108"/>
      </w:pPr>
      <w:r>
        <w:rPr>
          <w:rFonts w:ascii="Arial"/>
          <w:color w:val="231F1F"/>
          <w:w w:val="355"/>
          <w:position w:val="1"/>
          <w:sz w:val="7"/>
        </w:rPr>
        <w:t>l </w:t>
      </w:r>
      <w:r>
        <w:rPr>
          <w:rFonts w:ascii="Calibri"/>
          <w:color w:val="231F1F"/>
          <w:w w:val="115"/>
        </w:rPr>
        <w:t>Anakinra: </w:t>
      </w:r>
      <w:r>
        <w:rPr>
          <w:color w:val="231F1F"/>
          <w:w w:val="115"/>
        </w:rPr>
        <w:t>avoid concomitant use of infliximab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ANAKINRA</w:t>
      </w:r>
    </w:p>
    <w:p>
      <w:pPr>
        <w:pStyle w:val="BodyText"/>
        <w:spacing w:line="145"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673"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0"/>
          <w:w w:val="115"/>
        </w:rPr>
        <w:t> </w:t>
      </w:r>
      <w:r>
        <w:rPr>
          <w:color w:val="231F1F"/>
          <w:w w:val="115"/>
        </w:rPr>
        <w:t>use</w:t>
      </w:r>
    </w:p>
    <w:p>
      <w:pPr>
        <w:pStyle w:val="BodyText"/>
        <w:spacing w:line="256" w:lineRule="auto" w:before="5"/>
        <w:ind w:left="108" w:right="2263"/>
        <w:rPr>
          <w:rFonts w:ascii="Trebuchet MS"/>
        </w:rPr>
      </w:pPr>
      <w:r>
        <w:rPr>
          <w:rFonts w:ascii="Trebuchet MS"/>
          <w:color w:val="008356"/>
          <w:w w:val="105"/>
        </w:rPr>
        <w:t>Influenza Vaccine </w:t>
      </w:r>
      <w:r>
        <w:rPr>
          <w:i/>
          <w:color w:val="231F1F"/>
          <w:w w:val="105"/>
        </w:rPr>
        <w:t>see </w:t>
      </w:r>
      <w:r>
        <w:rPr>
          <w:color w:val="231F1F"/>
          <w:w w:val="105"/>
        </w:rPr>
        <w:t>Vaccines </w:t>
      </w:r>
      <w:r>
        <w:rPr>
          <w:rFonts w:ascii="Trebuchet MS"/>
          <w:color w:val="008356"/>
          <w:w w:val="105"/>
        </w:rPr>
        <w:t>Insulin  </w:t>
      </w:r>
      <w:r>
        <w:rPr>
          <w:i/>
          <w:color w:val="231F1F"/>
          <w:w w:val="105"/>
        </w:rPr>
        <w:t>see </w:t>
      </w:r>
      <w:r>
        <w:rPr>
          <w:color w:val="231F1F"/>
          <w:w w:val="105"/>
        </w:rPr>
        <w:t>Antidiabetics </w:t>
      </w:r>
      <w:r>
        <w:rPr>
          <w:rFonts w:ascii="Trebuchet MS"/>
          <w:color w:val="008356"/>
          <w:w w:val="105"/>
        </w:rPr>
        <w:t>Interferon Alfa </w:t>
      </w:r>
      <w:r>
        <w:rPr>
          <w:i/>
          <w:color w:val="231F1F"/>
          <w:w w:val="105"/>
        </w:rPr>
        <w:t>see </w:t>
      </w:r>
      <w:r>
        <w:rPr>
          <w:color w:val="231F1F"/>
          <w:w w:val="105"/>
        </w:rPr>
        <w:t>Interferons </w:t>
      </w:r>
      <w:r>
        <w:rPr>
          <w:rFonts w:ascii="Trebuchet MS"/>
          <w:color w:val="008356"/>
          <w:w w:val="105"/>
        </w:rPr>
        <w:t>Interferon Gamma </w:t>
      </w:r>
      <w:r>
        <w:rPr>
          <w:i/>
          <w:color w:val="231F1F"/>
          <w:w w:val="105"/>
        </w:rPr>
        <w:t>see </w:t>
      </w:r>
      <w:r>
        <w:rPr>
          <w:color w:val="231F1F"/>
          <w:w w:val="105"/>
        </w:rPr>
        <w:t>Interferons </w:t>
      </w:r>
      <w:r>
        <w:rPr>
          <w:rFonts w:ascii="Trebuchet MS"/>
          <w:color w:val="008356"/>
          <w:w w:val="105"/>
        </w:rPr>
        <w:t>Interferons</w:t>
      </w:r>
    </w:p>
    <w:p>
      <w:pPr>
        <w:pStyle w:val="BodyText"/>
        <w:spacing w:line="139" w:lineRule="exact"/>
        <w:ind w:left="108"/>
      </w:pPr>
      <w:r>
        <w:rPr>
          <w:rFonts w:ascii="Arial"/>
          <w:color w:val="231F1F"/>
          <w:w w:val="355"/>
          <w:position w:val="1"/>
          <w:sz w:val="7"/>
        </w:rPr>
        <w:t>l </w:t>
      </w:r>
      <w:r>
        <w:rPr>
          <w:rFonts w:ascii="Calibri"/>
          <w:color w:val="231F1F"/>
          <w:w w:val="110"/>
        </w:rPr>
        <w:t>Aminophylline: </w:t>
      </w:r>
      <w:r>
        <w:rPr>
          <w:color w:val="231F1F"/>
          <w:w w:val="110"/>
        </w:rPr>
        <w:t>interferon alfa and peginterferon alfa inhibit</w:t>
      </w:r>
    </w:p>
    <w:p>
      <w:pPr>
        <w:spacing w:before="0"/>
        <w:ind w:left="208" w:right="835" w:firstLine="0"/>
        <w:jc w:val="left"/>
        <w:rPr>
          <w:sz w:val="12"/>
        </w:rPr>
      </w:pPr>
      <w:r>
        <w:rPr>
          <w:color w:val="231F1F"/>
          <w:w w:val="110"/>
          <w:sz w:val="12"/>
        </w:rPr>
        <w:t>metabolism of </w:t>
      </w:r>
      <w:r>
        <w:rPr>
          <w:rFonts w:ascii="Arial"/>
          <w:color w:val="231F1F"/>
          <w:w w:val="355"/>
          <w:position w:val="1"/>
          <w:sz w:val="7"/>
        </w:rPr>
        <w:t>l</w:t>
      </w:r>
      <w:r>
        <w:rPr>
          <w:rFonts w:ascii="Arial"/>
          <w:color w:val="231F1F"/>
          <w:spacing w:val="-61"/>
          <w:w w:val="355"/>
          <w:position w:val="1"/>
          <w:sz w:val="7"/>
        </w:rPr>
        <w:t> </w:t>
      </w:r>
      <w:r>
        <w:rPr>
          <w:rFonts w:ascii="Calibri"/>
          <w:color w:val="008356"/>
          <w:spacing w:val="4"/>
          <w:w w:val="110"/>
          <w:sz w:val="11"/>
        </w:rPr>
        <w:t>AMINOPHYLLINE </w:t>
      </w:r>
      <w:r>
        <w:rPr>
          <w:color w:val="231F1F"/>
          <w:w w:val="110"/>
          <w:sz w:val="12"/>
        </w:rPr>
        <w:t>(consider reducing dose of aminophylline)</w:t>
      </w:r>
    </w:p>
    <w:p>
      <w:pPr>
        <w:pStyle w:val="BodyText"/>
        <w:spacing w:line="244" w:lineRule="auto" w:before="2"/>
        <w:ind w:right="670"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caution with peginterferon alfa advised by manufacturer of </w:t>
      </w:r>
      <w:r>
        <w:rPr>
          <w:rFonts w:ascii="Calibri"/>
          <w:color w:val="008356"/>
          <w:w w:val="110"/>
          <w:sz w:val="11"/>
        </w:rPr>
        <w:t>ADEFOVIR</w:t>
      </w:r>
      <w:r>
        <w:rPr>
          <w:color w:val="231F1F"/>
          <w:w w:val="110"/>
        </w:rPr>
        <w:t>; increased risk of peripheral neuropathy when interferon alfa and peginterferon alfa given with </w:t>
      </w:r>
      <w:r>
        <w:rPr>
          <w:rFonts w:ascii="Arial"/>
          <w:color w:val="231F1F"/>
          <w:w w:val="355"/>
          <w:position w:val="1"/>
          <w:sz w:val="7"/>
        </w:rPr>
        <w:t>l </w:t>
      </w:r>
      <w:r>
        <w:rPr>
          <w:rFonts w:ascii="Calibri"/>
          <w:color w:val="008356"/>
          <w:w w:val="110"/>
          <w:sz w:val="11"/>
        </w:rPr>
        <w:t>TELBIVUDINE</w:t>
      </w:r>
    </w:p>
    <w:p>
      <w:pPr>
        <w:pStyle w:val="BodyText"/>
        <w:spacing w:line="139" w:lineRule="exact"/>
        <w:ind w:left="108"/>
      </w:pPr>
      <w:r>
        <w:rPr>
          <w:rFonts w:ascii="Arial"/>
          <w:color w:val="231F1F"/>
          <w:w w:val="355"/>
          <w:position w:val="1"/>
          <w:sz w:val="7"/>
        </w:rPr>
        <w:t>l </w:t>
      </w:r>
      <w:r>
        <w:rPr>
          <w:rFonts w:ascii="Calibri"/>
          <w:color w:val="231F1F"/>
          <w:w w:val="110"/>
        </w:rPr>
        <w:t>Theophylline: </w:t>
      </w:r>
      <w:r>
        <w:rPr>
          <w:color w:val="231F1F"/>
          <w:w w:val="110"/>
        </w:rPr>
        <w:t>interferon alfa and peginterferon alfa inhibit</w:t>
      </w:r>
    </w:p>
    <w:p>
      <w:pPr>
        <w:spacing w:before="0"/>
        <w:ind w:left="208" w:right="670" w:firstLine="0"/>
        <w:jc w:val="left"/>
        <w:rPr>
          <w:sz w:val="12"/>
        </w:rPr>
      </w:pPr>
      <w:r>
        <w:rPr>
          <w:color w:val="231F1F"/>
          <w:w w:val="110"/>
          <w:sz w:val="12"/>
        </w:rPr>
        <w:t>metabolism of </w:t>
      </w:r>
      <w:r>
        <w:rPr>
          <w:rFonts w:ascii="Arial"/>
          <w:color w:val="231F1F"/>
          <w:w w:val="355"/>
          <w:position w:val="1"/>
          <w:sz w:val="7"/>
        </w:rPr>
        <w:t>l </w:t>
      </w:r>
      <w:r>
        <w:rPr>
          <w:rFonts w:ascii="Calibri"/>
          <w:color w:val="008356"/>
          <w:w w:val="110"/>
          <w:sz w:val="11"/>
        </w:rPr>
        <w:t>THEOPHYLLINE </w:t>
      </w:r>
      <w:r>
        <w:rPr>
          <w:color w:val="231F1F"/>
          <w:w w:val="110"/>
          <w:sz w:val="12"/>
        </w:rPr>
        <w:t>(consider reducing dose of theophylline)</w:t>
      </w:r>
    </w:p>
    <w:p>
      <w:pPr>
        <w:pStyle w:val="BodyText"/>
        <w:spacing w:line="220" w:lineRule="auto" w:before="12"/>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Vaccines: </w:t>
      </w:r>
      <w:r>
        <w:rPr>
          <w:color w:val="231F1F"/>
          <w:w w:val="110"/>
        </w:rPr>
        <w:t>manufacturer of interferon gamma advises avoid concomitant use with </w:t>
      </w:r>
      <w:r>
        <w:rPr>
          <w:rFonts w:ascii="Calibri" w:hAnsi="Calibri"/>
          <w:color w:val="008356"/>
          <w:w w:val="110"/>
          <w:sz w:val="11"/>
        </w:rPr>
        <w:t>VACCINES</w:t>
      </w:r>
    </w:p>
    <w:p>
      <w:pPr>
        <w:pStyle w:val="BodyText"/>
        <w:spacing w:before="9"/>
        <w:ind w:left="108"/>
        <w:rPr>
          <w:rFonts w:ascii="Trebuchet MS"/>
        </w:rPr>
      </w:pPr>
      <w:r>
        <w:rPr>
          <w:rFonts w:ascii="Trebuchet MS"/>
          <w:color w:val="008356"/>
          <w:w w:val="105"/>
        </w:rPr>
        <w:t>Ipilimumab</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manufacturer of ipilimumab advises avoid concomitant use with </w:t>
      </w:r>
      <w:r>
        <w:rPr>
          <w:rFonts w:ascii="Calibri" w:hAnsi="Calibri"/>
          <w:color w:val="008356"/>
          <w:w w:val="105"/>
          <w:sz w:val="11"/>
        </w:rPr>
        <w:t>VEMURAFENIB</w:t>
      </w:r>
    </w:p>
    <w:p>
      <w:pPr>
        <w:pStyle w:val="BodyText"/>
        <w:ind w:right="673"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0"/>
          <w:w w:val="115"/>
        </w:rPr>
        <w:t> </w:t>
      </w:r>
      <w:r>
        <w:rPr>
          <w:color w:val="231F1F"/>
          <w:w w:val="115"/>
        </w:rPr>
        <w:t>use</w:t>
      </w:r>
    </w:p>
    <w:p>
      <w:pPr>
        <w:pStyle w:val="BodyText"/>
        <w:spacing w:before="5"/>
        <w:ind w:left="108"/>
      </w:pPr>
      <w:r>
        <w:rPr>
          <w:rFonts w:ascii="Trebuchet MS"/>
          <w:color w:val="008356"/>
          <w:w w:val="110"/>
        </w:rPr>
        <w:t>Ipratropium </w:t>
      </w:r>
      <w:r>
        <w:rPr>
          <w:i/>
          <w:color w:val="231F1F"/>
          <w:w w:val="110"/>
        </w:rPr>
        <w:t>see </w:t>
      </w:r>
      <w:r>
        <w:rPr>
          <w:color w:val="231F1F"/>
          <w:w w:val="110"/>
        </w:rPr>
        <w:t>Antimuscarinics</w:t>
      </w:r>
    </w:p>
    <w:p>
      <w:pPr>
        <w:pStyle w:val="BodyText"/>
        <w:spacing w:before="10"/>
        <w:ind w:left="108"/>
      </w:pPr>
      <w:r>
        <w:rPr>
          <w:rFonts w:ascii="Trebuchet MS"/>
          <w:color w:val="008356"/>
          <w:w w:val="110"/>
        </w:rPr>
        <w:t>Irbesartan </w:t>
      </w:r>
      <w:r>
        <w:rPr>
          <w:i/>
          <w:color w:val="231F1F"/>
          <w:w w:val="110"/>
        </w:rPr>
        <w:t>see </w:t>
      </w:r>
      <w:r>
        <w:rPr>
          <w:color w:val="231F1F"/>
          <w:w w:val="110"/>
        </w:rPr>
        <w:t>Angiotensin-II Receptor Antagonists</w:t>
      </w:r>
    </w:p>
    <w:p>
      <w:pPr>
        <w:pStyle w:val="BodyText"/>
        <w:spacing w:before="11"/>
        <w:ind w:left="108"/>
        <w:rPr>
          <w:rFonts w:ascii="Trebuchet MS"/>
        </w:rPr>
      </w:pPr>
      <w:r>
        <w:rPr>
          <w:rFonts w:ascii="Trebuchet MS"/>
          <w:color w:val="008356"/>
        </w:rPr>
        <w:t>Irinotecan</w:t>
      </w:r>
    </w:p>
    <w:p>
      <w:pPr>
        <w:pStyle w:val="BodyText"/>
        <w:spacing w:before="1"/>
        <w:ind w:right="665" w:hanging="100"/>
      </w:pPr>
      <w:r>
        <w:rPr>
          <w:rFonts w:ascii="Arial" w:hAnsi="Arial"/>
          <w:color w:val="231F1F"/>
          <w:w w:val="355"/>
          <w:position w:val="1"/>
          <w:sz w:val="7"/>
        </w:rPr>
        <w:t>l </w:t>
      </w:r>
      <w:r>
        <w:rPr>
          <w:rFonts w:ascii="Calibri" w:hAnsi="Calibri"/>
          <w:color w:val="231F1F"/>
          <w:w w:val="110"/>
        </w:rPr>
        <w:t>Antidepressants: </w:t>
      </w:r>
      <w:r>
        <w:rPr>
          <w:color w:val="231F1F"/>
          <w:w w:val="110"/>
        </w:rPr>
        <w:t>metabolism of irinotecan accelerated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(reduced plasma concentration</w:t>
      </w:r>
      <w:r>
        <w:rPr>
          <w:rFonts w:ascii="Arial" w:hAnsi="Arial"/>
          <w:color w:val="231F1F"/>
          <w:w w:val="110"/>
        </w:rPr>
        <w:t>—</w:t>
      </w:r>
      <w:r>
        <w:rPr>
          <w:color w:val="231F1F"/>
          <w:w w:val="110"/>
        </w:rPr>
        <w:t>avoid concomitant use)</w:t>
      </w:r>
    </w:p>
    <w:p>
      <w:pPr>
        <w:spacing w:line="220" w:lineRule="auto" w:before="9"/>
        <w:ind w:left="208" w:right="735"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irinotecan  and  its active metabolite reduced by </w:t>
      </w:r>
      <w:r>
        <w:rPr>
          <w:rFonts w:ascii="Calibri" w:hAnsi="Calibri"/>
          <w:color w:val="008356"/>
          <w:spacing w:val="4"/>
          <w:w w:val="105"/>
          <w:sz w:val="11"/>
        </w:rPr>
        <w:t>CARBAMAZEPINE</w:t>
      </w:r>
      <w:r>
        <w:rPr>
          <w:color w:val="231F1F"/>
          <w:spacing w:val="4"/>
          <w:w w:val="105"/>
          <w:sz w:val="12"/>
        </w:rPr>
        <w:t>,</w:t>
      </w:r>
      <w:r>
        <w:rPr>
          <w:color w:val="231F1F"/>
          <w:spacing w:val="32"/>
          <w:w w:val="105"/>
          <w:sz w:val="12"/>
        </w:rPr>
        <w:t> </w:t>
      </w:r>
      <w:r>
        <w:rPr>
          <w:rFonts w:ascii="Calibri" w:hAnsi="Calibri"/>
          <w:color w:val="008356"/>
          <w:spacing w:val="4"/>
          <w:w w:val="105"/>
          <w:sz w:val="11"/>
        </w:rPr>
        <w:t>FOSPHENYTOIN</w:t>
      </w:r>
      <w:r>
        <w:rPr>
          <w:color w:val="231F1F"/>
          <w:spacing w:val="4"/>
          <w:w w:val="105"/>
          <w:sz w:val="12"/>
        </w:rPr>
        <w:t>,</w:t>
      </w:r>
    </w:p>
    <w:p>
      <w:pPr>
        <w:spacing w:line="141" w:lineRule="exact" w:before="4"/>
        <w:ind w:left="208" w:right="0" w:firstLine="0"/>
        <w:jc w:val="left"/>
        <w:rPr>
          <w:rFonts w:ascii="Calibri"/>
          <w:sz w:val="11"/>
        </w:rPr>
      </w:pPr>
      <w:r>
        <w:rPr>
          <w:rFonts w:ascii="Calibri"/>
          <w:color w:val="008356"/>
          <w:w w:val="105"/>
          <w:sz w:val="11"/>
        </w:rPr>
        <w:t>PHENOBARBITAL</w:t>
      </w:r>
      <w:r>
        <w:rPr>
          <w:color w:val="231F1F"/>
          <w:w w:val="105"/>
          <w:sz w:val="12"/>
        </w:rPr>
        <w:t>, </w:t>
      </w:r>
      <w:r>
        <w:rPr>
          <w:rFonts w:ascii="Calibri"/>
          <w:color w:val="008356"/>
          <w:w w:val="105"/>
          <w:sz w:val="11"/>
        </w:rPr>
        <w:t>PHENYTOIN </w:t>
      </w:r>
      <w:r>
        <w:rPr>
          <w:color w:val="231F1F"/>
          <w:w w:val="105"/>
          <w:sz w:val="12"/>
        </w:rPr>
        <w:t>and </w:t>
      </w:r>
      <w:r>
        <w:rPr>
          <w:rFonts w:ascii="Calibri"/>
          <w:color w:val="008356"/>
          <w:w w:val="105"/>
          <w:sz w:val="11"/>
        </w:rPr>
        <w:t>PRIMIDONE</w:t>
      </w:r>
    </w:p>
    <w:p>
      <w:pPr>
        <w:pStyle w:val="BodyText"/>
        <w:spacing w:line="145"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irinotecan reduced by</w:t>
      </w:r>
    </w:p>
    <w:p>
      <w:pPr>
        <w:pStyle w:val="BodyText"/>
        <w:spacing w:line="244" w:lineRule="auto"/>
        <w:ind w:right="681"/>
      </w:pPr>
      <w:r>
        <w:rPr>
          <w:rFonts w:ascii="Arial" w:hAnsi="Arial"/>
          <w:color w:val="231F1F"/>
          <w:w w:val="355"/>
          <w:position w:val="1"/>
          <w:sz w:val="7"/>
        </w:rPr>
        <w:t>l </w:t>
      </w:r>
      <w:r>
        <w:rPr>
          <w:rFonts w:ascii="Calibri" w:hAnsi="Calibri"/>
          <w:color w:val="008356"/>
          <w:spacing w:val="4"/>
          <w:w w:val="110"/>
          <w:sz w:val="11"/>
        </w:rPr>
        <w:t>KETOCONAZOLE </w:t>
      </w:r>
      <w:r>
        <w:rPr>
          <w:color w:val="231F1F"/>
          <w:w w:val="110"/>
        </w:rPr>
        <w:t>(but concentration of active metabolite of irinotecan increased)</w:t>
      </w:r>
      <w:r>
        <w:rPr>
          <w:rFonts w:ascii="Arial" w:hAnsi="Arial"/>
          <w:color w:val="231F1F"/>
          <w:w w:val="110"/>
        </w:rPr>
        <w:t>—</w:t>
      </w:r>
      <w:r>
        <w:rPr>
          <w:color w:val="231F1F"/>
          <w:w w:val="110"/>
        </w:rPr>
        <w:t>avoid concomitant use; increased risk of</w:t>
      </w:r>
      <w:r>
        <w:rPr>
          <w:color w:val="231F1F"/>
          <w:spacing w:val="-7"/>
          <w:w w:val="110"/>
        </w:rPr>
        <w:t> </w:t>
      </w:r>
      <w:r>
        <w:rPr>
          <w:color w:val="231F1F"/>
          <w:w w:val="110"/>
        </w:rPr>
        <w:t>toxicity</w:t>
      </w:r>
      <w:r>
        <w:rPr>
          <w:color w:val="231F1F"/>
          <w:spacing w:val="-7"/>
          <w:w w:val="110"/>
        </w:rPr>
        <w:t> </w:t>
      </w:r>
      <w:r>
        <w:rPr>
          <w:color w:val="231F1F"/>
          <w:w w:val="110"/>
        </w:rPr>
        <w:t>when</w:t>
      </w:r>
      <w:r>
        <w:rPr>
          <w:color w:val="231F1F"/>
          <w:spacing w:val="-8"/>
          <w:w w:val="110"/>
        </w:rPr>
        <w:t> </w:t>
      </w:r>
      <w:r>
        <w:rPr>
          <w:color w:val="231F1F"/>
          <w:w w:val="110"/>
        </w:rPr>
        <w:t>irinotecan</w:t>
      </w:r>
      <w:r>
        <w:rPr>
          <w:color w:val="231F1F"/>
          <w:spacing w:val="-7"/>
          <w:w w:val="110"/>
        </w:rPr>
        <w:t> </w:t>
      </w:r>
      <w:r>
        <w:rPr>
          <w:color w:val="231F1F"/>
          <w:w w:val="110"/>
        </w:rPr>
        <w:t>given</w:t>
      </w:r>
      <w:r>
        <w:rPr>
          <w:color w:val="231F1F"/>
          <w:spacing w:val="-7"/>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3"/>
          <w:w w:val="110"/>
          <w:sz w:val="11"/>
        </w:rPr>
        <w:t>ITRACONAZOLE</w:t>
      </w:r>
      <w:r>
        <w:rPr>
          <w:rFonts w:ascii="Arial" w:hAnsi="Arial"/>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pStyle w:val="BodyText"/>
        <w:spacing w:line="144"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45" w:lineRule="exact"/>
        <w:ind w:left="108"/>
      </w:pPr>
      <w:r>
        <w:rPr>
          <w:rFonts w:ascii="Arial"/>
          <w:color w:val="231F1F"/>
          <w:w w:val="355"/>
          <w:position w:val="1"/>
          <w:sz w:val="7"/>
        </w:rPr>
        <w:t>l </w:t>
      </w:r>
      <w:r>
        <w:rPr>
          <w:rFonts w:ascii="Calibri"/>
          <w:color w:val="231F1F"/>
          <w:w w:val="115"/>
        </w:rPr>
        <w:t>Antivirals: </w:t>
      </w:r>
      <w:r>
        <w:rPr>
          <w:color w:val="231F1F"/>
          <w:w w:val="115"/>
        </w:rPr>
        <w:t>metabolism of irinotecan possibly inhibited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ATAZANAVIR </w:t>
      </w:r>
      <w:r>
        <w:rPr>
          <w:color w:val="231F1F"/>
          <w:w w:val="110"/>
          <w:sz w:val="12"/>
        </w:rPr>
        <w:t>(increased risk of toxicity)</w:t>
      </w:r>
    </w:p>
    <w:p>
      <w:pPr>
        <w:pStyle w:val="BodyText"/>
        <w:spacing w:line="242" w:lineRule="auto"/>
        <w:ind w:right="693" w:hanging="100"/>
        <w:rPr>
          <w:rFonts w:ascii="Calibri" w:hAnsi="Calibri"/>
          <w:sz w:val="11"/>
        </w:rPr>
      </w:pPr>
      <w:r>
        <w:rPr>
          <w:rFonts w:ascii="Arial" w:hAnsi="Arial"/>
          <w:color w:val="231F1F"/>
          <w:w w:val="355"/>
          <w:position w:val="1"/>
          <w:sz w:val="7"/>
        </w:rPr>
        <w:t>l </w:t>
      </w:r>
      <w:r>
        <w:rPr>
          <w:rFonts w:ascii="Calibri" w:hAnsi="Calibri"/>
          <w:color w:val="231F1F"/>
          <w:w w:val="115"/>
        </w:rPr>
        <w:t>Cytotoxics: </w:t>
      </w:r>
      <w:r>
        <w:rPr>
          <w:color w:val="231F1F"/>
          <w:w w:val="115"/>
        </w:rPr>
        <w:t>plasma concentration of active metabolite of irinotecan</w:t>
      </w:r>
      <w:r>
        <w:rPr>
          <w:color w:val="231F1F"/>
          <w:spacing w:val="-14"/>
          <w:w w:val="115"/>
        </w:rPr>
        <w:t> </w:t>
      </w:r>
      <w:r>
        <w:rPr>
          <w:color w:val="231F1F"/>
          <w:w w:val="115"/>
        </w:rPr>
        <w:t>increased</w:t>
      </w:r>
      <w:r>
        <w:rPr>
          <w:color w:val="231F1F"/>
          <w:spacing w:val="-13"/>
          <w:w w:val="115"/>
        </w:rPr>
        <w:t> </w:t>
      </w:r>
      <w:r>
        <w:rPr>
          <w:color w:val="231F1F"/>
          <w:w w:val="115"/>
        </w:rPr>
        <w:t>by</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w w:val="115"/>
          <w:sz w:val="11"/>
        </w:rPr>
        <w:t>LAPATINIB</w:t>
      </w:r>
      <w:r>
        <w:rPr>
          <w:rFonts w:ascii="Arial" w:hAnsi="Arial"/>
          <w:color w:val="231F1F"/>
          <w:w w:val="115"/>
        </w:rPr>
        <w:t>—</w:t>
      </w:r>
      <w:r>
        <w:rPr>
          <w:color w:val="231F1F"/>
          <w:w w:val="115"/>
        </w:rPr>
        <w:t>consider</w:t>
      </w:r>
      <w:r>
        <w:rPr>
          <w:color w:val="231F1F"/>
          <w:spacing w:val="-13"/>
          <w:w w:val="115"/>
        </w:rPr>
        <w:t> </w:t>
      </w:r>
      <w:r>
        <w:rPr>
          <w:color w:val="231F1F"/>
          <w:w w:val="115"/>
        </w:rPr>
        <w:t>reducing</w:t>
      </w:r>
      <w:r>
        <w:rPr>
          <w:color w:val="231F1F"/>
          <w:spacing w:val="-13"/>
          <w:w w:val="115"/>
        </w:rPr>
        <w:t> </w:t>
      </w:r>
      <w:r>
        <w:rPr>
          <w:color w:val="231F1F"/>
          <w:w w:val="115"/>
        </w:rPr>
        <w:t>dose of irinotecan; plasma concentration of irinotecan increased by</w:t>
      </w:r>
      <w:r>
        <w:rPr>
          <w:color w:val="231F1F"/>
          <w:spacing w:val="-21"/>
          <w:w w:val="115"/>
        </w:rPr>
        <w:t> </w:t>
      </w:r>
      <w:r>
        <w:rPr>
          <w:rFonts w:ascii="Calibri" w:hAnsi="Calibri"/>
          <w:color w:val="008356"/>
          <w:spacing w:val="4"/>
          <w:w w:val="115"/>
          <w:sz w:val="11"/>
        </w:rPr>
        <w:t>REGORAFENIB</w:t>
      </w:r>
      <w:r>
        <w:rPr>
          <w:color w:val="231F1F"/>
          <w:spacing w:val="4"/>
          <w:w w:val="115"/>
        </w:rPr>
        <w:t>;</w:t>
      </w:r>
      <w:r>
        <w:rPr>
          <w:color w:val="231F1F"/>
          <w:spacing w:val="-21"/>
          <w:w w:val="115"/>
        </w:rPr>
        <w:t> </w:t>
      </w:r>
      <w:r>
        <w:rPr>
          <w:color w:val="231F1F"/>
          <w:w w:val="115"/>
        </w:rPr>
        <w:t>plasma</w:t>
      </w:r>
      <w:r>
        <w:rPr>
          <w:color w:val="231F1F"/>
          <w:spacing w:val="-21"/>
          <w:w w:val="115"/>
        </w:rPr>
        <w:t> </w:t>
      </w:r>
      <w:r>
        <w:rPr>
          <w:color w:val="231F1F"/>
          <w:w w:val="115"/>
        </w:rPr>
        <w:t>concentration</w:t>
      </w:r>
      <w:r>
        <w:rPr>
          <w:color w:val="231F1F"/>
          <w:spacing w:val="-21"/>
          <w:w w:val="115"/>
        </w:rPr>
        <w:t> </w:t>
      </w:r>
      <w:r>
        <w:rPr>
          <w:color w:val="231F1F"/>
          <w:w w:val="115"/>
        </w:rPr>
        <w:t>of</w:t>
      </w:r>
      <w:r>
        <w:rPr>
          <w:color w:val="231F1F"/>
          <w:spacing w:val="-21"/>
          <w:w w:val="115"/>
        </w:rPr>
        <w:t> </w:t>
      </w:r>
      <w:r>
        <w:rPr>
          <w:color w:val="231F1F"/>
          <w:w w:val="115"/>
        </w:rPr>
        <w:t>irinotecan</w:t>
      </w:r>
      <w:r>
        <w:rPr>
          <w:color w:val="231F1F"/>
          <w:spacing w:val="-21"/>
          <w:w w:val="115"/>
        </w:rPr>
        <w:t> </w:t>
      </w:r>
      <w:r>
        <w:rPr>
          <w:color w:val="231F1F"/>
          <w:w w:val="115"/>
        </w:rPr>
        <w:t>possibly increased by</w:t>
      </w:r>
      <w:r>
        <w:rPr>
          <w:color w:val="231F1F"/>
          <w:spacing w:val="-10"/>
          <w:w w:val="115"/>
        </w:rPr>
        <w:t> </w:t>
      </w:r>
      <w:r>
        <w:rPr>
          <w:rFonts w:ascii="Calibri" w:hAnsi="Calibri"/>
          <w:color w:val="008356"/>
          <w:spacing w:val="5"/>
          <w:w w:val="115"/>
          <w:sz w:val="11"/>
        </w:rPr>
        <w:t>SORAFENIB</w:t>
      </w:r>
    </w:p>
    <w:p>
      <w:pPr>
        <w:pStyle w:val="BodyText"/>
        <w:spacing w:line="139" w:lineRule="exact" w:before="7"/>
        <w:ind w:left="108"/>
        <w:rPr>
          <w:rFonts w:ascii="Trebuchet MS"/>
        </w:rPr>
      </w:pPr>
      <w:r>
        <w:rPr>
          <w:rFonts w:ascii="Trebuchet MS"/>
          <w:color w:val="008356"/>
          <w:w w:val="105"/>
        </w:rPr>
        <w:t>Iron Salts</w:t>
      </w:r>
    </w:p>
    <w:p>
      <w:pPr>
        <w:spacing w:line="220" w:lineRule="auto" w:before="9"/>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absorption of </w:t>
      </w:r>
      <w:r>
        <w:rPr>
          <w:i/>
          <w:color w:val="231F1F"/>
          <w:w w:val="105"/>
          <w:sz w:val="12"/>
        </w:rPr>
        <w:t>oral </w:t>
      </w:r>
      <w:r>
        <w:rPr>
          <w:color w:val="231F1F"/>
          <w:w w:val="105"/>
          <w:sz w:val="12"/>
        </w:rPr>
        <w:t>iron salts reduced by </w:t>
      </w:r>
      <w:r>
        <w:rPr>
          <w:rFonts w:ascii="Calibri" w:hAnsi="Calibri"/>
          <w:color w:val="008356"/>
          <w:w w:val="105"/>
          <w:sz w:val="11"/>
        </w:rPr>
        <w:t>ORAL MAGNESIUM SALTS </w:t>
      </w:r>
      <w:r>
        <w:rPr>
          <w:color w:val="231F1F"/>
          <w:w w:val="105"/>
          <w:sz w:val="12"/>
        </w:rPr>
        <w:t>(as magnesium trisilicate)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Antibacterials: </w:t>
      </w:r>
      <w:r>
        <w:rPr>
          <w:i/>
          <w:color w:val="231F1F"/>
          <w:w w:val="105"/>
        </w:rPr>
        <w:t>oral </w:t>
      </w:r>
      <w:r>
        <w:rPr>
          <w:color w:val="231F1F"/>
          <w:w w:val="105"/>
        </w:rPr>
        <w:t>iron salts reduce absorption of</w:t>
      </w:r>
    </w:p>
    <w:p>
      <w:pPr>
        <w:spacing w:line="135" w:lineRule="exact" w:before="0"/>
        <w:ind w:left="208" w:right="0" w:firstLine="0"/>
        <w:jc w:val="left"/>
        <w:rPr>
          <w:sz w:val="12"/>
        </w:rPr>
      </w:pPr>
      <w:r>
        <w:rPr>
          <w:rFonts w:ascii="Calibri"/>
          <w:color w:val="008356"/>
          <w:sz w:val="11"/>
        </w:rPr>
        <w:t>CIPROFLOXACIN</w:t>
      </w:r>
      <w:r>
        <w:rPr>
          <w:color w:val="231F1F"/>
          <w:sz w:val="12"/>
        </w:rPr>
        <w:t>, </w:t>
      </w:r>
      <w:r>
        <w:rPr>
          <w:rFonts w:ascii="Calibri"/>
          <w:color w:val="008356"/>
          <w:sz w:val="11"/>
        </w:rPr>
        <w:t>LEVOFLOXACIN</w:t>
      </w:r>
      <w:r>
        <w:rPr>
          <w:color w:val="231F1F"/>
          <w:sz w:val="12"/>
        </w:rPr>
        <w:t>, </w:t>
      </w:r>
      <w:r>
        <w:rPr>
          <w:rFonts w:ascii="Calibri"/>
          <w:color w:val="008356"/>
          <w:sz w:val="11"/>
        </w:rPr>
        <w:t>MOXIFLOXACIN </w:t>
      </w:r>
      <w:r>
        <w:rPr>
          <w:color w:val="231F1F"/>
          <w:sz w:val="12"/>
        </w:rPr>
        <w:t>and </w:t>
      </w:r>
      <w:r>
        <w:rPr>
          <w:rFonts w:ascii="Calibri"/>
          <w:color w:val="008356"/>
          <w:sz w:val="11"/>
        </w:rPr>
        <w:t>OFLOXACIN</w:t>
      </w:r>
      <w:r>
        <w:rPr>
          <w:color w:val="231F1F"/>
          <w:sz w:val="12"/>
        </w:rPr>
        <w:t>;</w:t>
      </w:r>
    </w:p>
    <w:p>
      <w:pPr>
        <w:spacing w:line="244" w:lineRule="auto" w:before="3"/>
        <w:ind w:left="208" w:right="663" w:firstLine="0"/>
        <w:jc w:val="left"/>
        <w:rPr>
          <w:sz w:val="12"/>
        </w:rPr>
      </w:pPr>
      <w:r>
        <w:rPr>
          <w:i/>
          <w:color w:val="231F1F"/>
          <w:w w:val="115"/>
          <w:sz w:val="12"/>
        </w:rPr>
        <w:t>oral</w:t>
      </w:r>
      <w:r>
        <w:rPr>
          <w:i/>
          <w:color w:val="231F1F"/>
          <w:spacing w:val="-19"/>
          <w:w w:val="115"/>
          <w:sz w:val="12"/>
        </w:rPr>
        <w:t> </w:t>
      </w:r>
      <w:r>
        <w:rPr>
          <w:color w:val="231F1F"/>
          <w:w w:val="115"/>
          <w:sz w:val="12"/>
        </w:rPr>
        <w:t>iron</w:t>
      </w:r>
      <w:r>
        <w:rPr>
          <w:color w:val="231F1F"/>
          <w:spacing w:val="-17"/>
          <w:w w:val="115"/>
          <w:sz w:val="12"/>
        </w:rPr>
        <w:t> </w:t>
      </w:r>
      <w:r>
        <w:rPr>
          <w:color w:val="231F1F"/>
          <w:w w:val="115"/>
          <w:sz w:val="12"/>
        </w:rPr>
        <w:t>salts</w:t>
      </w:r>
      <w:r>
        <w:rPr>
          <w:color w:val="231F1F"/>
          <w:spacing w:val="-19"/>
          <w:w w:val="115"/>
          <w:sz w:val="12"/>
        </w:rPr>
        <w:t> </w:t>
      </w:r>
      <w:r>
        <w:rPr>
          <w:color w:val="231F1F"/>
          <w:w w:val="115"/>
          <w:sz w:val="12"/>
        </w:rPr>
        <w:t>reduce</w:t>
      </w:r>
      <w:r>
        <w:rPr>
          <w:color w:val="231F1F"/>
          <w:spacing w:val="-18"/>
          <w:w w:val="115"/>
          <w:sz w:val="12"/>
        </w:rPr>
        <w:t> </w:t>
      </w:r>
      <w:r>
        <w:rPr>
          <w:color w:val="231F1F"/>
          <w:w w:val="115"/>
          <w:sz w:val="12"/>
        </w:rPr>
        <w:t>absorption</w:t>
      </w:r>
      <w:r>
        <w:rPr>
          <w:color w:val="231F1F"/>
          <w:spacing w:val="-18"/>
          <w:w w:val="115"/>
          <w:sz w:val="12"/>
        </w:rPr>
        <w:t> </w:t>
      </w:r>
      <w:r>
        <w:rPr>
          <w:color w:val="231F1F"/>
          <w:w w:val="115"/>
          <w:sz w:val="12"/>
        </w:rPr>
        <w:t>of</w:t>
      </w:r>
      <w:r>
        <w:rPr>
          <w:color w:val="231F1F"/>
          <w:spacing w:val="-18"/>
          <w:w w:val="115"/>
          <w:sz w:val="12"/>
        </w:rPr>
        <w:t> </w:t>
      </w:r>
      <w:r>
        <w:rPr>
          <w:rFonts w:ascii="Calibri"/>
          <w:color w:val="008356"/>
          <w:spacing w:val="4"/>
          <w:w w:val="115"/>
          <w:sz w:val="11"/>
        </w:rPr>
        <w:t>NORFLOXACIN</w:t>
      </w:r>
      <w:r>
        <w:rPr>
          <w:rFonts w:ascii="Calibri"/>
          <w:color w:val="008356"/>
          <w:spacing w:val="-9"/>
          <w:w w:val="115"/>
          <w:sz w:val="11"/>
        </w:rPr>
        <w:t> </w:t>
      </w:r>
      <w:r>
        <w:rPr>
          <w:color w:val="231F1F"/>
          <w:w w:val="115"/>
          <w:sz w:val="12"/>
        </w:rPr>
        <w:t>(give</w:t>
      </w:r>
      <w:r>
        <w:rPr>
          <w:color w:val="231F1F"/>
          <w:spacing w:val="-18"/>
          <w:w w:val="115"/>
          <w:sz w:val="12"/>
        </w:rPr>
        <w:t> </w:t>
      </w:r>
      <w:r>
        <w:rPr>
          <w:color w:val="231F1F"/>
          <w:w w:val="115"/>
          <w:sz w:val="12"/>
        </w:rPr>
        <w:t>at</w:t>
      </w:r>
      <w:r>
        <w:rPr>
          <w:color w:val="231F1F"/>
          <w:spacing w:val="-18"/>
          <w:w w:val="115"/>
          <w:sz w:val="12"/>
        </w:rPr>
        <w:t> </w:t>
      </w:r>
      <w:r>
        <w:rPr>
          <w:color w:val="231F1F"/>
          <w:w w:val="115"/>
          <w:sz w:val="12"/>
        </w:rPr>
        <w:t>least 2 hours apart); </w:t>
      </w:r>
      <w:r>
        <w:rPr>
          <w:i/>
          <w:color w:val="231F1F"/>
          <w:w w:val="115"/>
          <w:sz w:val="12"/>
        </w:rPr>
        <w:t>oral </w:t>
      </w:r>
      <w:r>
        <w:rPr>
          <w:color w:val="231F1F"/>
          <w:w w:val="115"/>
          <w:sz w:val="12"/>
        </w:rPr>
        <w:t>iron salts reduce absorption of </w:t>
      </w:r>
      <w:r>
        <w:rPr>
          <w:rFonts w:ascii="Calibri"/>
          <w:color w:val="008356"/>
          <w:spacing w:val="4"/>
          <w:w w:val="115"/>
          <w:sz w:val="11"/>
        </w:rPr>
        <w:t>TETRACYCLINES</w:t>
      </w:r>
      <w:r>
        <w:rPr>
          <w:color w:val="231F1F"/>
          <w:spacing w:val="4"/>
          <w:w w:val="115"/>
          <w:sz w:val="12"/>
        </w:rPr>
        <w:t>,</w:t>
      </w:r>
      <w:r>
        <w:rPr>
          <w:color w:val="231F1F"/>
          <w:spacing w:val="-14"/>
          <w:w w:val="115"/>
          <w:sz w:val="12"/>
        </w:rPr>
        <w:t> </w:t>
      </w:r>
      <w:r>
        <w:rPr>
          <w:color w:val="231F1F"/>
          <w:w w:val="115"/>
          <w:sz w:val="12"/>
        </w:rPr>
        <w:t>also</w:t>
      </w:r>
      <w:r>
        <w:rPr>
          <w:color w:val="231F1F"/>
          <w:spacing w:val="-15"/>
          <w:w w:val="115"/>
          <w:sz w:val="12"/>
        </w:rPr>
        <w:t> </w:t>
      </w:r>
      <w:r>
        <w:rPr>
          <w:color w:val="231F1F"/>
          <w:w w:val="115"/>
          <w:sz w:val="12"/>
        </w:rPr>
        <w:t>absorption</w:t>
      </w:r>
      <w:r>
        <w:rPr>
          <w:color w:val="231F1F"/>
          <w:spacing w:val="-14"/>
          <w:w w:val="115"/>
          <w:sz w:val="12"/>
        </w:rPr>
        <w:t> </w:t>
      </w:r>
      <w:r>
        <w:rPr>
          <w:color w:val="231F1F"/>
          <w:w w:val="115"/>
          <w:sz w:val="12"/>
        </w:rPr>
        <w:t>of</w:t>
      </w:r>
      <w:r>
        <w:rPr>
          <w:color w:val="231F1F"/>
          <w:spacing w:val="-13"/>
          <w:w w:val="115"/>
          <w:sz w:val="12"/>
        </w:rPr>
        <w:t> </w:t>
      </w:r>
      <w:r>
        <w:rPr>
          <w:i/>
          <w:color w:val="231F1F"/>
          <w:w w:val="115"/>
          <w:sz w:val="12"/>
        </w:rPr>
        <w:t>oral</w:t>
      </w:r>
      <w:r>
        <w:rPr>
          <w:i/>
          <w:color w:val="231F1F"/>
          <w:spacing w:val="-14"/>
          <w:w w:val="115"/>
          <w:sz w:val="12"/>
        </w:rPr>
        <w:t> </w:t>
      </w:r>
      <w:r>
        <w:rPr>
          <w:color w:val="231F1F"/>
          <w:w w:val="115"/>
          <w:sz w:val="12"/>
        </w:rPr>
        <w:t>iron</w:t>
      </w:r>
      <w:r>
        <w:rPr>
          <w:color w:val="231F1F"/>
          <w:spacing w:val="-14"/>
          <w:w w:val="115"/>
          <w:sz w:val="12"/>
        </w:rPr>
        <w:t> </w:t>
      </w:r>
      <w:r>
        <w:rPr>
          <w:color w:val="231F1F"/>
          <w:w w:val="115"/>
          <w:sz w:val="12"/>
        </w:rPr>
        <w:t>salts</w:t>
      </w:r>
      <w:r>
        <w:rPr>
          <w:color w:val="231F1F"/>
          <w:spacing w:val="-14"/>
          <w:w w:val="115"/>
          <w:sz w:val="12"/>
        </w:rPr>
        <w:t> </w:t>
      </w:r>
      <w:r>
        <w:rPr>
          <w:color w:val="231F1F"/>
          <w:w w:val="115"/>
          <w:sz w:val="12"/>
        </w:rPr>
        <w:t>reduced</w:t>
      </w:r>
      <w:r>
        <w:rPr>
          <w:color w:val="231F1F"/>
          <w:spacing w:val="-14"/>
          <w:w w:val="115"/>
          <w:sz w:val="12"/>
        </w:rPr>
        <w:t> </w:t>
      </w:r>
      <w:r>
        <w:rPr>
          <w:color w:val="231F1F"/>
          <w:w w:val="115"/>
          <w:sz w:val="12"/>
        </w:rPr>
        <w:t>by tetracyclines</w:t>
      </w:r>
    </w:p>
    <w:p>
      <w:pPr>
        <w:pStyle w:val="BodyText"/>
        <w:spacing w:line="235" w:lineRule="auto" w:before="1"/>
        <w:ind w:right="675" w:hanging="100"/>
      </w:pPr>
      <w:r>
        <w:rPr>
          <w:rFonts w:ascii="Lucida Sans Unicode" w:hAnsi="Lucida Sans Unicode"/>
          <w:color w:val="A7A8AC"/>
          <w:w w:val="95"/>
          <w:sz w:val="10"/>
        </w:rPr>
        <w:t>▶ </w:t>
      </w:r>
      <w:r>
        <w:rPr>
          <w:rFonts w:ascii="Calibri" w:hAnsi="Calibri"/>
          <w:color w:val="231F1F"/>
          <w:w w:val="110"/>
        </w:rPr>
        <w:t>Antivirals: </w:t>
      </w:r>
      <w:r>
        <w:rPr>
          <w:i/>
          <w:color w:val="231F1F"/>
          <w:w w:val="110"/>
        </w:rPr>
        <w:t>oral </w:t>
      </w:r>
      <w:r>
        <w:rPr>
          <w:color w:val="231F1F"/>
          <w:w w:val="110"/>
        </w:rPr>
        <w:t>iron salts reduce absoption of </w:t>
      </w:r>
      <w:r>
        <w:rPr>
          <w:rFonts w:ascii="Calibri" w:hAnsi="Calibri"/>
          <w:color w:val="008356"/>
          <w:w w:val="110"/>
          <w:sz w:val="11"/>
        </w:rPr>
        <w:t>DOLUTEGRAVIR</w:t>
      </w:r>
      <w:r>
        <w:rPr>
          <w:rFonts w:ascii="Arial" w:hAnsi="Arial"/>
          <w:color w:val="231F1F"/>
          <w:w w:val="110"/>
        </w:rPr>
        <w:t>— </w:t>
      </w:r>
      <w:r>
        <w:rPr>
          <w:color w:val="231F1F"/>
          <w:w w:val="110"/>
        </w:rPr>
        <w:t>manufacturer of dolutegravir advises give at least 2 hours before or 6 hours after </w:t>
      </w:r>
      <w:r>
        <w:rPr>
          <w:i/>
          <w:color w:val="231F1F"/>
          <w:w w:val="110"/>
        </w:rPr>
        <w:t>oral </w:t>
      </w:r>
      <w:r>
        <w:rPr>
          <w:color w:val="231F1F"/>
          <w:w w:val="110"/>
        </w:rPr>
        <w:t>iron salts</w:t>
      </w:r>
    </w:p>
    <w:p>
      <w:pPr>
        <w:spacing w:after="0" w:line="235" w:lineRule="auto"/>
        <w:sectPr>
          <w:headerReference w:type="default" r:id="rId34"/>
          <w:headerReference w:type="even" r:id="rId35"/>
          <w:pgSz w:w="8390" w:h="11910"/>
          <w:pgMar w:header="0" w:footer="0" w:top="460" w:bottom="0" w:left="480" w:right="0"/>
          <w:pgNumType w:start="1203"/>
          <w:cols w:num="2" w:equalWidth="0">
            <w:col w:w="3603" w:space="73"/>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4432" filled="true" fillcolor="#bfdbcf" stroked="false">
            <v:fill type="solid"/>
            <w10:wrap type="none"/>
          </v:rect>
        </w:pict>
      </w:r>
      <w:r>
        <w:rPr/>
        <w:pict>
          <v:shape style="position:absolute;margin-left:7.751256pt;margin-top:35.804367pt;width:10.4pt;height:78.850pt;mso-position-horizontal-relative:page;mso-position-vertical-relative:page;z-index:445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Iron Salts </w:t>
      </w:r>
      <w:r>
        <w:rPr>
          <w:rFonts w:ascii="Calibri"/>
          <w:color w:val="231F1F"/>
        </w:rPr>
        <w:t>(continued)</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Bisphosphonates: </w:t>
      </w:r>
      <w:r>
        <w:rPr>
          <w:i/>
          <w:color w:val="231F1F"/>
          <w:w w:val="105"/>
        </w:rPr>
        <w:t>oral </w:t>
      </w:r>
      <w:r>
        <w:rPr>
          <w:color w:val="231F1F"/>
          <w:w w:val="105"/>
        </w:rPr>
        <w:t>iron salts reduce absorption of</w:t>
      </w:r>
    </w:p>
    <w:p>
      <w:pPr>
        <w:spacing w:line="130" w:lineRule="exact" w:before="0"/>
        <w:ind w:left="286" w:right="0" w:firstLine="0"/>
        <w:jc w:val="left"/>
        <w:rPr>
          <w:rFonts w:ascii="Calibri"/>
          <w:sz w:val="11"/>
        </w:rPr>
      </w:pPr>
      <w:r>
        <w:rPr>
          <w:rFonts w:ascii="Calibri"/>
          <w:color w:val="008356"/>
          <w:sz w:val="11"/>
        </w:rPr>
        <w:t>BISPHOSPHONATES</w:t>
      </w:r>
    </w:p>
    <w:p>
      <w:pPr>
        <w:spacing w:line="232" w:lineRule="auto" w:before="1"/>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w:t>
      </w:r>
      <w:r>
        <w:rPr>
          <w:i/>
          <w:color w:val="231F1F"/>
          <w:w w:val="105"/>
          <w:sz w:val="12"/>
        </w:rPr>
        <w:t>oral </w:t>
      </w:r>
      <w:r>
        <w:rPr>
          <w:color w:val="231F1F"/>
          <w:w w:val="105"/>
          <w:sz w:val="12"/>
        </w:rPr>
        <w:t>iron salts reduced by </w:t>
      </w:r>
      <w:r>
        <w:rPr>
          <w:rFonts w:ascii="Calibri" w:hAnsi="Calibri"/>
          <w:color w:val="008356"/>
          <w:w w:val="105"/>
          <w:sz w:val="11"/>
        </w:rPr>
        <w:t>CALCIUM SALTS</w:t>
      </w:r>
    </w:p>
    <w:p>
      <w:pPr>
        <w:spacing w:line="230" w:lineRule="auto" w:before="3"/>
        <w:ind w:left="286" w:right="14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i/>
          <w:color w:val="231F1F"/>
          <w:w w:val="105"/>
          <w:sz w:val="12"/>
        </w:rPr>
        <w:t>oral </w:t>
      </w:r>
      <w:r>
        <w:rPr>
          <w:color w:val="231F1F"/>
          <w:w w:val="105"/>
          <w:sz w:val="12"/>
        </w:rPr>
        <w:t>iron salts possibly reduce absorption of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and </w:t>
      </w:r>
      <w:r>
        <w:rPr>
          <w:rFonts w:ascii="Calibri" w:hAnsi="Calibri"/>
          <w:color w:val="008356"/>
          <w:w w:val="105"/>
          <w:sz w:val="11"/>
        </w:rPr>
        <w:t>LEVODOPA</w:t>
      </w:r>
      <w:r>
        <w:rPr>
          <w:color w:val="231F1F"/>
          <w:w w:val="105"/>
          <w:sz w:val="12"/>
        </w:rPr>
        <w:t>; </w:t>
      </w:r>
      <w:r>
        <w:rPr>
          <w:i/>
          <w:color w:val="231F1F"/>
          <w:w w:val="105"/>
          <w:sz w:val="12"/>
        </w:rPr>
        <w:t>oral </w:t>
      </w:r>
      <w:r>
        <w:rPr>
          <w:color w:val="231F1F"/>
          <w:w w:val="105"/>
          <w:sz w:val="12"/>
        </w:rPr>
        <w:t>iron salts reduce absorption of </w:t>
      </w:r>
      <w:r>
        <w:rPr>
          <w:rFonts w:ascii="Calibri" w:hAnsi="Calibri"/>
          <w:color w:val="008356"/>
          <w:w w:val="105"/>
          <w:sz w:val="11"/>
        </w:rPr>
        <w:t>ENTACAPONE</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Eltrombopag: </w:t>
      </w:r>
      <w:r>
        <w:rPr>
          <w:i/>
          <w:color w:val="231F1F"/>
          <w:w w:val="105"/>
        </w:rPr>
        <w:t>oral </w:t>
      </w:r>
      <w:r>
        <w:rPr>
          <w:color w:val="231F1F"/>
          <w:w w:val="105"/>
        </w:rPr>
        <w:t>iron salts possibly reduce absorption of</w:t>
      </w:r>
    </w:p>
    <w:p>
      <w:pPr>
        <w:spacing w:line="135" w:lineRule="exact" w:before="0"/>
        <w:ind w:left="286" w:right="0" w:firstLine="0"/>
        <w:jc w:val="left"/>
        <w:rPr>
          <w:sz w:val="12"/>
        </w:rPr>
      </w:pPr>
      <w:r>
        <w:rPr>
          <w:rFonts w:ascii="Calibri"/>
          <w:color w:val="008356"/>
          <w:w w:val="110"/>
          <w:sz w:val="11"/>
        </w:rPr>
        <w:t>ELTROMBOPAG </w:t>
      </w:r>
      <w:r>
        <w:rPr>
          <w:color w:val="231F1F"/>
          <w:w w:val="110"/>
          <w:sz w:val="12"/>
        </w:rPr>
        <w:t>(give at least 4 hours apart)</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Methyldopa: </w:t>
      </w:r>
      <w:r>
        <w:rPr>
          <w:i/>
          <w:color w:val="231F1F"/>
          <w:w w:val="105"/>
        </w:rPr>
        <w:t>oral </w:t>
      </w:r>
      <w:r>
        <w:rPr>
          <w:color w:val="231F1F"/>
          <w:w w:val="105"/>
        </w:rPr>
        <w:t>iron salts antagonise hypotensive effect of</w:t>
      </w:r>
    </w:p>
    <w:p>
      <w:pPr>
        <w:spacing w:line="130" w:lineRule="exact" w:before="0"/>
        <w:ind w:left="286" w:right="0" w:firstLine="0"/>
        <w:jc w:val="left"/>
        <w:rPr>
          <w:rFonts w:ascii="Calibri"/>
          <w:sz w:val="11"/>
        </w:rPr>
      </w:pPr>
      <w:r>
        <w:rPr>
          <w:rFonts w:ascii="Calibri"/>
          <w:color w:val="008356"/>
          <w:sz w:val="11"/>
        </w:rPr>
        <w:t>METHYLDOPA</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Mycophenolate: </w:t>
      </w:r>
      <w:r>
        <w:rPr>
          <w:i/>
          <w:color w:val="231F1F"/>
          <w:w w:val="105"/>
        </w:rPr>
        <w:t>oral </w:t>
      </w:r>
      <w:r>
        <w:rPr>
          <w:color w:val="231F1F"/>
          <w:w w:val="105"/>
        </w:rPr>
        <w:t>iron salts reduce absorption of</w:t>
      </w:r>
    </w:p>
    <w:p>
      <w:pPr>
        <w:spacing w:line="130" w:lineRule="exact" w:before="0"/>
        <w:ind w:left="286" w:right="0" w:firstLine="0"/>
        <w:jc w:val="left"/>
        <w:rPr>
          <w:rFonts w:ascii="Calibri"/>
          <w:sz w:val="11"/>
        </w:rPr>
      </w:pPr>
      <w:r>
        <w:rPr>
          <w:rFonts w:ascii="Calibri"/>
          <w:color w:val="008356"/>
          <w:sz w:val="11"/>
        </w:rPr>
        <w:t>MYCOPHENOLATE</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Penicillamine: </w:t>
      </w:r>
      <w:r>
        <w:rPr>
          <w:i/>
          <w:color w:val="231F1F"/>
          <w:w w:val="105"/>
        </w:rPr>
        <w:t>oral </w:t>
      </w:r>
      <w:r>
        <w:rPr>
          <w:color w:val="231F1F"/>
          <w:w w:val="105"/>
        </w:rPr>
        <w:t>iron salts reduce absorption of</w:t>
      </w:r>
    </w:p>
    <w:p>
      <w:pPr>
        <w:spacing w:line="131" w:lineRule="exact" w:before="0"/>
        <w:ind w:left="286" w:right="0" w:firstLine="0"/>
        <w:jc w:val="left"/>
        <w:rPr>
          <w:rFonts w:ascii="Calibri"/>
          <w:sz w:val="11"/>
        </w:rPr>
      </w:pPr>
      <w:r>
        <w:rPr>
          <w:rFonts w:ascii="Calibri"/>
          <w:color w:val="008356"/>
          <w:sz w:val="11"/>
        </w:rPr>
        <w:t>PENICILLAMINE</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Thyroid Hormones: </w:t>
      </w:r>
      <w:r>
        <w:rPr>
          <w:i/>
          <w:color w:val="231F1F"/>
          <w:w w:val="105"/>
        </w:rPr>
        <w:t>oral </w:t>
      </w:r>
      <w:r>
        <w:rPr>
          <w:color w:val="231F1F"/>
          <w:w w:val="105"/>
        </w:rPr>
        <w:t>iron salts reduce absorption of</w:t>
      </w:r>
    </w:p>
    <w:p>
      <w:pPr>
        <w:spacing w:line="134" w:lineRule="exact" w:before="0"/>
        <w:ind w:left="286" w:right="0" w:firstLine="0"/>
        <w:jc w:val="left"/>
        <w:rPr>
          <w:sz w:val="12"/>
        </w:rPr>
      </w:pPr>
      <w:r>
        <w:rPr>
          <w:rFonts w:ascii="Calibri"/>
          <w:color w:val="008356"/>
          <w:w w:val="110"/>
          <w:sz w:val="11"/>
        </w:rPr>
        <w:t>LEVOTHYROXINE </w:t>
      </w:r>
      <w:r>
        <w:rPr>
          <w:color w:val="231F1F"/>
          <w:w w:val="110"/>
          <w:sz w:val="12"/>
        </w:rPr>
        <w:t>(give at least 2 hours apart)</w:t>
      </w:r>
    </w:p>
    <w:p>
      <w:pPr>
        <w:spacing w:line="149"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Trientine: </w:t>
      </w:r>
      <w:r>
        <w:rPr>
          <w:color w:val="231F1F"/>
          <w:w w:val="105"/>
          <w:sz w:val="12"/>
        </w:rPr>
        <w:t>absorption of </w:t>
      </w:r>
      <w:r>
        <w:rPr>
          <w:i/>
          <w:color w:val="231F1F"/>
          <w:w w:val="105"/>
          <w:sz w:val="12"/>
        </w:rPr>
        <w:t>oral </w:t>
      </w:r>
      <w:r>
        <w:rPr>
          <w:color w:val="231F1F"/>
          <w:w w:val="105"/>
          <w:sz w:val="12"/>
        </w:rPr>
        <w:t>iron salts reduced by </w:t>
      </w:r>
      <w:r>
        <w:rPr>
          <w:rFonts w:ascii="Calibri" w:hAnsi="Calibri"/>
          <w:color w:val="008356"/>
          <w:w w:val="105"/>
          <w:sz w:val="11"/>
        </w:rPr>
        <w:t>TRIENTINE</w:t>
      </w:r>
    </w:p>
    <w:p>
      <w:pPr>
        <w:pStyle w:val="BodyText"/>
        <w:spacing w:line="220" w:lineRule="auto" w:before="1"/>
        <w:ind w:left="286" w:hanging="100"/>
      </w:pPr>
      <w:r>
        <w:rPr>
          <w:rFonts w:ascii="Lucida Sans Unicode" w:hAnsi="Lucida Sans Unicode"/>
          <w:color w:val="A7A8AC"/>
          <w:w w:val="95"/>
          <w:sz w:val="10"/>
        </w:rPr>
        <w:t>▶ </w:t>
      </w:r>
      <w:r>
        <w:rPr>
          <w:rFonts w:ascii="Calibri" w:hAnsi="Calibri"/>
          <w:color w:val="231F1F"/>
          <w:w w:val="110"/>
        </w:rPr>
        <w:t>Zinc: </w:t>
      </w:r>
      <w:r>
        <w:rPr>
          <w:i/>
          <w:color w:val="231F1F"/>
          <w:w w:val="110"/>
        </w:rPr>
        <w:t>oral </w:t>
      </w:r>
      <w:r>
        <w:rPr>
          <w:color w:val="231F1F"/>
          <w:w w:val="110"/>
        </w:rPr>
        <w:t>iron salts reduce absorption of </w:t>
      </w:r>
      <w:r>
        <w:rPr>
          <w:rFonts w:ascii="Calibri" w:hAnsi="Calibri"/>
          <w:color w:val="008356"/>
          <w:w w:val="110"/>
          <w:sz w:val="11"/>
        </w:rPr>
        <w:t>ZINC</w:t>
      </w:r>
      <w:r>
        <w:rPr>
          <w:color w:val="231F1F"/>
          <w:w w:val="110"/>
        </w:rPr>
        <w:t>, also absorption of </w:t>
      </w:r>
      <w:r>
        <w:rPr>
          <w:i/>
          <w:color w:val="231F1F"/>
          <w:w w:val="110"/>
        </w:rPr>
        <w:t>oral </w:t>
      </w:r>
      <w:r>
        <w:rPr>
          <w:color w:val="231F1F"/>
          <w:w w:val="110"/>
        </w:rPr>
        <w:t>iron salts reduced by zinc</w:t>
      </w:r>
    </w:p>
    <w:p>
      <w:pPr>
        <w:pStyle w:val="BodyText"/>
        <w:spacing w:before="12"/>
        <w:ind w:left="186"/>
      </w:pPr>
      <w:r>
        <w:rPr>
          <w:rFonts w:ascii="Trebuchet MS"/>
          <w:color w:val="008356"/>
          <w:w w:val="105"/>
        </w:rPr>
        <w:t>Isocarboxazid </w:t>
      </w:r>
      <w:r>
        <w:rPr>
          <w:i/>
          <w:color w:val="231F1F"/>
          <w:w w:val="105"/>
        </w:rPr>
        <w:t>see </w:t>
      </w:r>
      <w:r>
        <w:rPr>
          <w:color w:val="231F1F"/>
          <w:w w:val="105"/>
        </w:rPr>
        <w:t>MAOIs</w:t>
      </w:r>
    </w:p>
    <w:p>
      <w:pPr>
        <w:pStyle w:val="BodyText"/>
        <w:spacing w:line="256" w:lineRule="auto" w:before="11"/>
        <w:ind w:left="186" w:right="1187"/>
        <w:rPr>
          <w:rFonts w:ascii="Trebuchet MS"/>
        </w:rPr>
      </w:pPr>
      <w:r>
        <w:rPr>
          <w:rFonts w:ascii="Trebuchet MS"/>
          <w:color w:val="008356"/>
          <w:w w:val="110"/>
        </w:rPr>
        <w:t>Isoflurane </w:t>
      </w:r>
      <w:r>
        <w:rPr>
          <w:i/>
          <w:color w:val="231F1F"/>
          <w:w w:val="110"/>
        </w:rPr>
        <w:t>see </w:t>
      </w:r>
      <w:r>
        <w:rPr>
          <w:color w:val="231F1F"/>
          <w:w w:val="110"/>
        </w:rPr>
        <w:t>Anaesthetics, General </w:t>
      </w:r>
      <w:r>
        <w:rPr>
          <w:rFonts w:ascii="Trebuchet MS"/>
          <w:color w:val="008356"/>
          <w:w w:val="110"/>
        </w:rPr>
        <w:t>Isometheptene </w:t>
      </w:r>
      <w:r>
        <w:rPr>
          <w:i/>
          <w:color w:val="231F1F"/>
          <w:w w:val="110"/>
        </w:rPr>
        <w:t>see </w:t>
      </w:r>
      <w:r>
        <w:rPr>
          <w:color w:val="231F1F"/>
          <w:w w:val="110"/>
        </w:rPr>
        <w:t>Sympathomimetics </w:t>
      </w:r>
      <w:r>
        <w:rPr>
          <w:rFonts w:ascii="Trebuchet MS"/>
          <w:color w:val="008356"/>
          <w:w w:val="110"/>
        </w:rPr>
        <w:t>Isoniazid</w:t>
      </w:r>
    </w:p>
    <w:p>
      <w:pPr>
        <w:pStyle w:val="BodyText"/>
        <w:spacing w:line="220" w:lineRule="auto"/>
        <w:ind w:left="286" w:right="476"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isoniazid possibly increases </w:t>
      </w:r>
      <w:r>
        <w:rPr>
          <w:color w:val="231F1F"/>
          <w:spacing w:val="-3"/>
          <w:w w:val="105"/>
        </w:rPr>
        <w:t>plasma </w:t>
      </w:r>
      <w:r>
        <w:rPr>
          <w:color w:val="231F1F"/>
          <w:w w:val="105"/>
        </w:rPr>
        <w:t>concentration of </w:t>
      </w:r>
      <w:r>
        <w:rPr>
          <w:rFonts w:ascii="Calibri" w:hAnsi="Calibri"/>
          <w:color w:val="008356"/>
          <w:spacing w:val="4"/>
          <w:w w:val="105"/>
          <w:sz w:val="11"/>
        </w:rPr>
        <w:t>AMINOPHYLLINE</w:t>
      </w:r>
    </w:p>
    <w:p>
      <w:pPr>
        <w:pStyle w:val="BodyText"/>
        <w:spacing w:line="220" w:lineRule="auto" w:before="8"/>
        <w:ind w:left="286" w:right="14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Anaesthetics, General: </w:t>
      </w:r>
      <w:r>
        <w:rPr>
          <w:color w:val="231F1F"/>
          <w:w w:val="105"/>
        </w:rPr>
        <w:t>increased risk of hepatotoxicity </w:t>
      </w:r>
      <w:r>
        <w:rPr>
          <w:color w:val="231F1F"/>
          <w:spacing w:val="-4"/>
          <w:w w:val="105"/>
        </w:rPr>
        <w:t>when </w:t>
      </w:r>
      <w:r>
        <w:rPr>
          <w:color w:val="231F1F"/>
          <w:w w:val="105"/>
        </w:rPr>
        <w:t>isoniazid given with</w:t>
      </w:r>
      <w:r>
        <w:rPr>
          <w:color w:val="231F1F"/>
          <w:spacing w:val="1"/>
          <w:w w:val="105"/>
        </w:rPr>
        <w:t> </w:t>
      </w:r>
      <w:r>
        <w:rPr>
          <w:rFonts w:ascii="Calibri" w:hAnsi="Calibri"/>
          <w:color w:val="008356"/>
          <w:spacing w:val="4"/>
          <w:w w:val="105"/>
          <w:sz w:val="11"/>
        </w:rPr>
        <w:t>ISOFLURANE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avoidance of isoniazid advised by manufacturer of</w:t>
      </w:r>
    </w:p>
    <w:p>
      <w:pPr>
        <w:spacing w:line="130" w:lineRule="exact" w:before="0"/>
        <w:ind w:left="286" w:right="0" w:firstLine="0"/>
        <w:jc w:val="left"/>
        <w:rPr>
          <w:rFonts w:ascii="Calibri"/>
          <w:sz w:val="11"/>
        </w:rPr>
      </w:pPr>
      <w:r>
        <w:rPr>
          <w:rFonts w:ascii="Calibri"/>
          <w:color w:val="008356"/>
          <w:sz w:val="11"/>
        </w:rPr>
        <w:t>PETHIDINE</w:t>
      </w:r>
    </w:p>
    <w:p>
      <w:pPr>
        <w:pStyle w:val="BodyText"/>
        <w:spacing w:line="149"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isoniazid reduced by </w:t>
      </w:r>
      <w:r>
        <w:rPr>
          <w:rFonts w:ascii="Calibri" w:hAnsi="Calibri"/>
          <w:color w:val="008356"/>
          <w:w w:val="105"/>
          <w:sz w:val="11"/>
        </w:rPr>
        <w:t>ANTACIDS</w:t>
      </w:r>
    </w:p>
    <w:p>
      <w:pPr>
        <w:pStyle w:val="BodyText"/>
        <w:spacing w:line="138" w:lineRule="exact"/>
        <w:ind w:left="186"/>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Antibacterials: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hepatotoxicity</w:t>
      </w:r>
      <w:r>
        <w:rPr>
          <w:color w:val="231F1F"/>
          <w:spacing w:val="-17"/>
          <w:w w:val="115"/>
        </w:rPr>
        <w:t> </w:t>
      </w:r>
      <w:r>
        <w:rPr>
          <w:color w:val="231F1F"/>
          <w:w w:val="115"/>
        </w:rPr>
        <w:t>when</w:t>
      </w:r>
      <w:r>
        <w:rPr>
          <w:color w:val="231F1F"/>
          <w:spacing w:val="-18"/>
          <w:w w:val="115"/>
        </w:rPr>
        <w:t> </w:t>
      </w:r>
      <w:r>
        <w:rPr>
          <w:color w:val="231F1F"/>
          <w:w w:val="115"/>
        </w:rPr>
        <w:t>isoniazid</w:t>
      </w:r>
    </w:p>
    <w:p>
      <w:pPr>
        <w:spacing w:line="244" w:lineRule="auto" w:before="0"/>
        <w:ind w:left="286" w:right="13" w:firstLine="0"/>
        <w:jc w:val="left"/>
        <w:rPr>
          <w:rFonts w:ascii="Calibri"/>
          <w:sz w:val="11"/>
        </w:rPr>
      </w:pPr>
      <w:r>
        <w:rPr>
          <w:color w:val="231F1F"/>
          <w:w w:val="110"/>
          <w:sz w:val="12"/>
        </w:rPr>
        <w:t>given with </w:t>
      </w:r>
      <w:r>
        <w:rPr>
          <w:rFonts w:ascii="Arial"/>
          <w:color w:val="231F1F"/>
          <w:w w:val="355"/>
          <w:position w:val="1"/>
          <w:sz w:val="7"/>
        </w:rPr>
        <w:t>l </w:t>
      </w:r>
      <w:r>
        <w:rPr>
          <w:rFonts w:ascii="Calibri"/>
          <w:color w:val="008356"/>
          <w:w w:val="110"/>
          <w:sz w:val="11"/>
        </w:rPr>
        <w:t>RIFAMPICIN</w:t>
      </w:r>
      <w:r>
        <w:rPr>
          <w:color w:val="231F1F"/>
          <w:w w:val="110"/>
          <w:sz w:val="12"/>
        </w:rPr>
        <w:t>; increased risk of CNS toxicity when isoniazid given with </w:t>
      </w:r>
      <w:r>
        <w:rPr>
          <w:rFonts w:ascii="Calibri"/>
          <w:color w:val="008356"/>
          <w:w w:val="110"/>
          <w:sz w:val="11"/>
        </w:rPr>
        <w:t>CYCLOSERINE</w:t>
      </w:r>
    </w:p>
    <w:p>
      <w:pPr>
        <w:pStyle w:val="BodyText"/>
        <w:spacing w:line="141" w:lineRule="exact"/>
        <w:ind w:left="186"/>
      </w:pPr>
      <w:r>
        <w:rPr>
          <w:rFonts w:ascii="Arial"/>
          <w:color w:val="231F1F"/>
          <w:w w:val="355"/>
          <w:position w:val="1"/>
          <w:sz w:val="7"/>
        </w:rPr>
        <w:t>l </w:t>
      </w:r>
      <w:r>
        <w:rPr>
          <w:rFonts w:ascii="Calibri"/>
          <w:color w:val="231F1F"/>
          <w:w w:val="115"/>
        </w:rPr>
        <w:t>Antiepileptics: </w:t>
      </w:r>
      <w:r>
        <w:rPr>
          <w:color w:val="231F1F"/>
          <w:w w:val="115"/>
        </w:rPr>
        <w:t>isoniazid increases plasma concentration of</w:t>
      </w:r>
    </w:p>
    <w:p>
      <w:pPr>
        <w:pStyle w:val="BodyText"/>
        <w:spacing w:line="244" w:lineRule="auto"/>
        <w:ind w:left="286" w:right="476"/>
      </w:pPr>
      <w:r>
        <w:rPr>
          <w:rFonts w:ascii="Arial"/>
          <w:color w:val="231F1F"/>
          <w:w w:val="355"/>
          <w:position w:val="1"/>
          <w:sz w:val="7"/>
        </w:rPr>
        <w:t>l </w:t>
      </w:r>
      <w:r>
        <w:rPr>
          <w:rFonts w:ascii="Calibri"/>
          <w:color w:val="008356"/>
          <w:spacing w:val="4"/>
          <w:w w:val="110"/>
          <w:sz w:val="11"/>
        </w:rPr>
        <w:t>CARBAMAZEPINE </w:t>
      </w:r>
      <w:r>
        <w:rPr>
          <w:color w:val="231F1F"/>
          <w:w w:val="110"/>
        </w:rPr>
        <w:t>(also possibly increased isoniazid hepatotoxicity); isoniazid inhibits metabolism of</w:t>
      </w:r>
    </w:p>
    <w:p>
      <w:pPr>
        <w:spacing w:line="247" w:lineRule="auto" w:before="1"/>
        <w:ind w:left="286" w:right="0" w:firstLine="0"/>
        <w:jc w:val="left"/>
        <w:rPr>
          <w:sz w:val="12"/>
        </w:rPr>
      </w:pPr>
      <w:r>
        <w:rPr>
          <w:rFonts w:ascii="Arial"/>
          <w:color w:val="231F1F"/>
          <w:w w:val="355"/>
          <w:position w:val="1"/>
          <w:sz w:val="7"/>
        </w:rPr>
        <w:t>l </w:t>
      </w:r>
      <w:r>
        <w:rPr>
          <w:rFonts w:ascii="Calibri"/>
          <w:color w:val="008356"/>
          <w:w w:val="110"/>
          <w:sz w:val="11"/>
        </w:rPr>
        <w:t>ETHOSUXIMIDE </w:t>
      </w:r>
      <w:r>
        <w:rPr>
          <w:color w:val="231F1F"/>
          <w:w w:val="110"/>
          <w:sz w:val="12"/>
        </w:rPr>
        <w:t>(increased plasma concentration and risk of toxicity); isoniazid possibly inhibits metabolism of </w:t>
      </w:r>
      <w:r>
        <w:rPr>
          <w:rFonts w:ascii="Calibri"/>
          <w:color w:val="008356"/>
          <w:w w:val="110"/>
          <w:sz w:val="11"/>
        </w:rPr>
        <w:t>FOSPHENYTOIN </w:t>
      </w:r>
      <w:r>
        <w:rPr>
          <w:color w:val="231F1F"/>
          <w:w w:val="110"/>
          <w:sz w:val="12"/>
        </w:rPr>
        <w:t>and </w:t>
      </w:r>
      <w:r>
        <w:rPr>
          <w:rFonts w:ascii="Calibri"/>
          <w:color w:val="008356"/>
          <w:w w:val="110"/>
          <w:sz w:val="11"/>
        </w:rPr>
        <w:t>PHENYTOIN </w:t>
      </w:r>
      <w:r>
        <w:rPr>
          <w:color w:val="231F1F"/>
          <w:w w:val="110"/>
          <w:sz w:val="12"/>
        </w:rPr>
        <w:t>(increased risk of toxicity)</w:t>
      </w:r>
    </w:p>
    <w:p>
      <w:pPr>
        <w:pStyle w:val="BodyText"/>
        <w:spacing w:line="220" w:lineRule="auto" w:before="1"/>
        <w:ind w:left="286" w:right="6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isoniazid possibly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KETOCONAZOLE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isoniazid inhibits the metabolism of</w:t>
      </w:r>
    </w:p>
    <w:p>
      <w:pPr>
        <w:spacing w:line="131" w:lineRule="exact" w:before="0"/>
        <w:ind w:left="286" w:right="0" w:firstLine="0"/>
        <w:jc w:val="left"/>
        <w:rPr>
          <w:rFonts w:ascii="Calibri"/>
          <w:sz w:val="11"/>
        </w:rPr>
      </w:pPr>
      <w:r>
        <w:rPr>
          <w:rFonts w:ascii="Calibri"/>
          <w:color w:val="008356"/>
          <w:sz w:val="11"/>
        </w:rPr>
        <w:t>DIAZEPAM</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isoniazid possibly reduced by </w:t>
      </w:r>
      <w:r>
        <w:rPr>
          <w:rFonts w:ascii="Calibri" w:hAnsi="Calibri"/>
          <w:color w:val="008356"/>
          <w:w w:val="105"/>
          <w:sz w:val="11"/>
        </w:rPr>
        <w:t>CORTICOSTEROIDS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Disulfiram: </w:t>
      </w:r>
      <w:r>
        <w:rPr>
          <w:color w:val="231F1F"/>
          <w:w w:val="105"/>
        </w:rPr>
        <w:t>isoniazid possibly increases CNS effects of</w:t>
      </w:r>
    </w:p>
    <w:p>
      <w:pPr>
        <w:spacing w:line="130" w:lineRule="exact" w:before="0"/>
        <w:ind w:left="286" w:right="0" w:firstLine="0"/>
        <w:jc w:val="left"/>
        <w:rPr>
          <w:rFonts w:ascii="Calibri"/>
          <w:sz w:val="11"/>
        </w:rPr>
      </w:pPr>
      <w:r>
        <w:rPr>
          <w:rFonts w:ascii="Calibri"/>
          <w:color w:val="008356"/>
          <w:sz w:val="11"/>
        </w:rPr>
        <w:t>DISULFIRAM</w:t>
      </w:r>
    </w:p>
    <w:p>
      <w:pPr>
        <w:spacing w:line="220" w:lineRule="auto" w:before="8"/>
        <w:ind w:left="286" w:right="476"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Dopaminergics: </w:t>
      </w:r>
      <w:r>
        <w:rPr>
          <w:color w:val="231F1F"/>
          <w:sz w:val="12"/>
        </w:rPr>
        <w:t>isoniazid possibly reduces effects of </w:t>
      </w:r>
      <w:r>
        <w:rPr>
          <w:rFonts w:ascii="Calibri" w:hAnsi="Calibri"/>
          <w:color w:val="008356"/>
          <w:sz w:val="11"/>
        </w:rPr>
        <w:t>CO- BENELDOPA</w:t>
      </w:r>
      <w:r>
        <w:rPr>
          <w:color w:val="231F1F"/>
          <w:sz w:val="12"/>
        </w:rPr>
        <w:t>, </w:t>
      </w:r>
      <w:r>
        <w:rPr>
          <w:rFonts w:ascii="Calibri" w:hAnsi="Calibri"/>
          <w:color w:val="008356"/>
          <w:sz w:val="11"/>
        </w:rPr>
        <w:t>CO-CARELDOPA </w:t>
      </w:r>
      <w:r>
        <w:rPr>
          <w:color w:val="231F1F"/>
          <w:sz w:val="12"/>
        </w:rPr>
        <w:t>and </w:t>
      </w:r>
      <w:r>
        <w:rPr>
          <w:rFonts w:ascii="Calibri" w:hAnsi="Calibri"/>
          <w:color w:val="008356"/>
          <w:sz w:val="11"/>
        </w:rPr>
        <w:t>LEVODOPA</w:t>
      </w:r>
    </w:p>
    <w:p>
      <w:pPr>
        <w:pStyle w:val="BodyText"/>
        <w:spacing w:line="220" w:lineRule="auto" w:before="9"/>
        <w:ind w:left="286" w:right="4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isoniazid by 12 hours advised by manufacturer</w:t>
      </w:r>
      <w:r>
        <w:rPr>
          <w:color w:val="231F1F"/>
          <w:spacing w:val="20"/>
          <w:w w:val="105"/>
        </w:rPr>
        <w:t> </w:t>
      </w:r>
      <w:r>
        <w:rPr>
          <w:color w:val="231F1F"/>
          <w:w w:val="105"/>
        </w:rPr>
        <w:t>of </w:t>
      </w:r>
      <w:r>
        <w:rPr>
          <w:rFonts w:ascii="Calibri" w:hAnsi="Calibri"/>
          <w:color w:val="008356"/>
          <w:w w:val="105"/>
          <w:sz w:val="11"/>
        </w:rPr>
        <w:t>LOMITAPIDE</w:t>
      </w:r>
    </w:p>
    <w:p>
      <w:pPr>
        <w:pStyle w:val="BodyText"/>
        <w:spacing w:line="220" w:lineRule="auto" w:before="8"/>
        <w:ind w:left="286" w:right="476"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isoniazid possibly increases </w:t>
      </w:r>
      <w:r>
        <w:rPr>
          <w:color w:val="231F1F"/>
          <w:spacing w:val="-3"/>
          <w:w w:val="105"/>
        </w:rPr>
        <w:t>plasma </w:t>
      </w:r>
      <w:r>
        <w:rPr>
          <w:color w:val="231F1F"/>
          <w:w w:val="105"/>
        </w:rPr>
        <w:t>concentration of</w:t>
      </w:r>
      <w:r>
        <w:rPr>
          <w:color w:val="231F1F"/>
          <w:spacing w:val="1"/>
          <w:w w:val="105"/>
        </w:rPr>
        <w:t> </w:t>
      </w:r>
      <w:r>
        <w:rPr>
          <w:rFonts w:ascii="Calibri" w:hAnsi="Calibri"/>
          <w:color w:val="008356"/>
          <w:spacing w:val="5"/>
          <w:w w:val="105"/>
          <w:sz w:val="11"/>
        </w:rPr>
        <w:t>THEOPHYLLINE</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spacing w:val="4"/>
          <w:w w:val="105"/>
          <w:sz w:val="11"/>
        </w:rPr>
        <w:t>ORAL TYPHOID </w:t>
      </w:r>
      <w:r>
        <w:rPr>
          <w:rFonts w:ascii="Calibri" w:hAnsi="Calibri"/>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line="256" w:lineRule="auto" w:before="13"/>
        <w:ind w:left="186" w:right="1187"/>
      </w:pPr>
      <w:r>
        <w:rPr>
          <w:rFonts w:ascii="Trebuchet MS"/>
          <w:color w:val="008356"/>
          <w:w w:val="105"/>
        </w:rPr>
        <w:t>Isosorbide Dinitrate </w:t>
      </w:r>
      <w:r>
        <w:rPr>
          <w:i/>
          <w:color w:val="231F1F"/>
          <w:w w:val="105"/>
        </w:rPr>
        <w:t>see </w:t>
      </w:r>
      <w:r>
        <w:rPr>
          <w:color w:val="231F1F"/>
          <w:w w:val="105"/>
        </w:rPr>
        <w:t>Nitrates </w:t>
      </w:r>
      <w:r>
        <w:rPr>
          <w:rFonts w:ascii="Trebuchet MS"/>
          <w:color w:val="008356"/>
          <w:w w:val="105"/>
        </w:rPr>
        <w:t>Isosorbide Mononitrate </w:t>
      </w:r>
      <w:r>
        <w:rPr>
          <w:i/>
          <w:color w:val="231F1F"/>
          <w:w w:val="105"/>
        </w:rPr>
        <w:t>see </w:t>
      </w:r>
      <w:r>
        <w:rPr>
          <w:color w:val="231F1F"/>
          <w:w w:val="105"/>
        </w:rPr>
        <w:t>Nitrates </w:t>
      </w:r>
      <w:r>
        <w:rPr>
          <w:rFonts w:ascii="Trebuchet MS"/>
          <w:color w:val="008356"/>
          <w:w w:val="105"/>
        </w:rPr>
        <w:t>Isotretinoin </w:t>
      </w:r>
      <w:r>
        <w:rPr>
          <w:i/>
          <w:color w:val="231F1F"/>
          <w:w w:val="105"/>
        </w:rPr>
        <w:t>see </w:t>
      </w:r>
      <w:r>
        <w:rPr>
          <w:color w:val="231F1F"/>
          <w:w w:val="105"/>
        </w:rPr>
        <w:t>Retinoids</w:t>
      </w:r>
    </w:p>
    <w:p>
      <w:pPr>
        <w:pStyle w:val="BodyText"/>
        <w:spacing w:line="256" w:lineRule="auto" w:before="1"/>
        <w:ind w:left="186" w:right="1187"/>
        <w:rPr>
          <w:rFonts w:ascii="Trebuchet MS"/>
        </w:rPr>
      </w:pPr>
      <w:r>
        <w:rPr>
          <w:rFonts w:ascii="Trebuchet MS"/>
          <w:color w:val="008356"/>
          <w:w w:val="110"/>
        </w:rPr>
        <w:t>Isradipine </w:t>
      </w:r>
      <w:r>
        <w:rPr>
          <w:i/>
          <w:color w:val="231F1F"/>
          <w:w w:val="110"/>
        </w:rPr>
        <w:t>see </w:t>
      </w:r>
      <w:r>
        <w:rPr>
          <w:color w:val="231F1F"/>
          <w:w w:val="110"/>
        </w:rPr>
        <w:t>Calcium-channel Blockers </w:t>
      </w:r>
      <w:r>
        <w:rPr>
          <w:rFonts w:ascii="Trebuchet MS"/>
          <w:color w:val="008356"/>
          <w:w w:val="110"/>
        </w:rPr>
        <w:t>Itraconazole </w:t>
      </w:r>
      <w:r>
        <w:rPr>
          <w:i/>
          <w:color w:val="231F1F"/>
          <w:w w:val="110"/>
        </w:rPr>
        <w:t>see </w:t>
      </w:r>
      <w:r>
        <w:rPr>
          <w:color w:val="231F1F"/>
          <w:w w:val="110"/>
        </w:rPr>
        <w:t>Antifungals, Triazole </w:t>
      </w:r>
      <w:r>
        <w:rPr>
          <w:rFonts w:ascii="Trebuchet MS"/>
          <w:color w:val="008356"/>
          <w:w w:val="110"/>
        </w:rPr>
        <w:t>Ivabradine</w:t>
      </w:r>
    </w:p>
    <w:p>
      <w:pPr>
        <w:pStyle w:val="BodyText"/>
        <w:spacing w:line="137" w:lineRule="exact"/>
        <w:ind w:left="186"/>
      </w:pPr>
      <w:r>
        <w:rPr>
          <w:rFonts w:ascii="Arial"/>
          <w:color w:val="231F1F"/>
          <w:w w:val="355"/>
          <w:position w:val="1"/>
          <w:sz w:val="7"/>
        </w:rPr>
        <w:t>l </w:t>
      </w:r>
      <w:r>
        <w:rPr>
          <w:rFonts w:ascii="Calibri"/>
          <w:color w:val="231F1F"/>
          <w:w w:val="115"/>
        </w:rPr>
        <w:t>Anti-arrhythmics: </w:t>
      </w:r>
      <w:r>
        <w:rPr>
          <w:color w:val="231F1F"/>
          <w:w w:val="115"/>
        </w:rPr>
        <w:t>increased risk of ventricular arrhythmias</w:t>
      </w:r>
    </w:p>
    <w:p>
      <w:pPr>
        <w:spacing w:line="140" w:lineRule="exact" w:before="0"/>
        <w:ind w:left="286" w:right="0" w:firstLine="0"/>
        <w:jc w:val="left"/>
        <w:rPr>
          <w:rFonts w:ascii="Calibri"/>
          <w:sz w:val="11"/>
        </w:rPr>
      </w:pPr>
      <w:r>
        <w:rPr>
          <w:color w:val="231F1F"/>
          <w:w w:val="105"/>
          <w:sz w:val="12"/>
        </w:rPr>
        <w:t>when ivabradine given with </w:t>
      </w:r>
      <w:r>
        <w:rPr>
          <w:rFonts w:ascii="Arial"/>
          <w:color w:val="231F1F"/>
          <w:w w:val="355"/>
          <w:position w:val="1"/>
          <w:sz w:val="7"/>
        </w:rPr>
        <w:t>l </w:t>
      </w:r>
      <w:r>
        <w:rPr>
          <w:rFonts w:ascii="Calibri"/>
          <w:color w:val="008356"/>
          <w:w w:val="105"/>
          <w:sz w:val="11"/>
        </w:rPr>
        <w:t>AMIODARONE </w:t>
      </w:r>
      <w:r>
        <w:rPr>
          <w:color w:val="231F1F"/>
          <w:w w:val="105"/>
          <w:sz w:val="12"/>
        </w:rPr>
        <w:t>or </w:t>
      </w:r>
      <w:r>
        <w:rPr>
          <w:rFonts w:ascii="Arial"/>
          <w:color w:val="231F1F"/>
          <w:w w:val="355"/>
          <w:position w:val="1"/>
          <w:sz w:val="7"/>
        </w:rPr>
        <w:t>l </w:t>
      </w:r>
      <w:r>
        <w:rPr>
          <w:rFonts w:ascii="Calibri"/>
          <w:color w:val="008356"/>
          <w:w w:val="105"/>
          <w:sz w:val="11"/>
        </w:rPr>
        <w:t>DISOPYRAMIDE</w:t>
      </w:r>
    </w:p>
    <w:p>
      <w:pPr>
        <w:pStyle w:val="BodyText"/>
        <w:spacing w:line="244" w:lineRule="auto"/>
        <w:ind w:left="286" w:right="43"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ivabradine possibly increased by </w:t>
      </w:r>
      <w:r>
        <w:rPr>
          <w:rFonts w:ascii="Arial" w:hAnsi="Arial"/>
          <w:color w:val="231F1F"/>
          <w:w w:val="260"/>
          <w:position w:val="1"/>
          <w:sz w:val="7"/>
        </w:rPr>
        <w:t>l </w:t>
      </w:r>
      <w:r>
        <w:rPr>
          <w:rFonts w:ascii="Calibri" w:hAnsi="Calibri"/>
          <w:color w:val="008356"/>
          <w:w w:val="110"/>
          <w:sz w:val="11"/>
        </w:rPr>
        <w:t>CLARITHROMYCIN </w:t>
      </w:r>
      <w:r>
        <w:rPr>
          <w:color w:val="231F1F"/>
          <w:w w:val="110"/>
        </w:rPr>
        <w:t>and </w:t>
      </w:r>
      <w:r>
        <w:rPr>
          <w:rFonts w:ascii="Arial" w:hAnsi="Arial"/>
          <w:color w:val="231F1F"/>
          <w:w w:val="260"/>
          <w:position w:val="1"/>
          <w:sz w:val="7"/>
        </w:rPr>
        <w:t>l </w:t>
      </w:r>
      <w:r>
        <w:rPr>
          <w:rFonts w:ascii="Calibri" w:hAnsi="Calibri"/>
          <w:color w:val="008356"/>
          <w:w w:val="110"/>
          <w:sz w:val="11"/>
        </w:rPr>
        <w:t>TELITHROMYCIN</w:t>
      </w:r>
      <w:r>
        <w:rPr>
          <w:rFonts w:ascii="Arial" w:hAnsi="Arial"/>
          <w:color w:val="231F1F"/>
          <w:w w:val="110"/>
        </w:rPr>
        <w:t>—</w:t>
      </w:r>
      <w:r>
        <w:rPr>
          <w:color w:val="231F1F"/>
          <w:w w:val="110"/>
        </w:rPr>
        <w:t>avoid concomitant use; increased risk of ventricular arrhythmias when ivabradine given with </w:t>
      </w:r>
      <w:r>
        <w:rPr>
          <w:rFonts w:ascii="Arial" w:hAnsi="Arial"/>
          <w:color w:val="231F1F"/>
          <w:w w:val="355"/>
          <w:position w:val="1"/>
          <w:sz w:val="7"/>
        </w:rPr>
        <w:t>l </w:t>
      </w:r>
      <w:r>
        <w:rPr>
          <w:rFonts w:ascii="Calibri" w:hAnsi="Calibri"/>
          <w:color w:val="008356"/>
          <w:w w:val="110"/>
          <w:sz w:val="11"/>
        </w:rPr>
        <w:t>ERYTHROMYCIN</w:t>
      </w:r>
      <w:r>
        <w:rPr>
          <w:rFonts w:ascii="Arial" w:hAnsi="Arial"/>
          <w:color w:val="231F1F"/>
          <w:w w:val="110"/>
        </w:rPr>
        <w:t>—</w:t>
      </w:r>
      <w:r>
        <w:rPr>
          <w:color w:val="231F1F"/>
          <w:w w:val="110"/>
        </w:rPr>
        <w:t>avoid concomitant use</w:t>
      </w:r>
    </w:p>
    <w:p>
      <w:pPr>
        <w:pStyle w:val="BodyText"/>
        <w:spacing w:line="220" w:lineRule="auto" w:before="2"/>
        <w:ind w:left="286" w:right="103" w:hanging="100"/>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ivabradine reduced  by </w:t>
      </w:r>
      <w:r>
        <w:rPr>
          <w:rFonts w:ascii="Calibri" w:hAnsi="Calibri"/>
          <w:color w:val="008356"/>
          <w:w w:val="105"/>
          <w:sz w:val="11"/>
        </w:rPr>
        <w:t>ST </w:t>
      </w:r>
      <w:r>
        <w:rPr>
          <w:rFonts w:ascii="Calibri" w:hAnsi="Calibri"/>
          <w:color w:val="008356"/>
          <w:spacing w:val="4"/>
          <w:w w:val="105"/>
          <w:sz w:val="11"/>
        </w:rPr>
        <w:t>JOHN</w:t>
      </w:r>
      <w:r>
        <w:rPr>
          <w:rFonts w:ascii="Arial" w:hAnsi="Arial"/>
          <w:color w:val="008356"/>
          <w:spacing w:val="4"/>
          <w:w w:val="105"/>
          <w:sz w:val="11"/>
        </w:rPr>
        <w:t>’</w:t>
      </w:r>
      <w:r>
        <w:rPr>
          <w:rFonts w:ascii="Calibri" w:hAnsi="Calibri"/>
          <w:color w:val="008356"/>
          <w:spacing w:val="4"/>
          <w:w w:val="105"/>
          <w:sz w:val="11"/>
        </w:rPr>
        <w:t>S </w:t>
      </w:r>
      <w:r>
        <w:rPr>
          <w:rFonts w:ascii="Calibri" w:hAnsi="Calibri"/>
          <w:color w:val="008356"/>
          <w:w w:val="105"/>
          <w:sz w:val="11"/>
        </w:rPr>
        <w:t>WORT</w:t>
      </w:r>
      <w:r>
        <w:rPr>
          <w:rFonts w:ascii="Arial" w:hAnsi="Arial"/>
          <w:color w:val="231F1F"/>
          <w:w w:val="105"/>
        </w:rPr>
        <w:t>—</w:t>
      </w:r>
      <w:r>
        <w:rPr>
          <w:color w:val="231F1F"/>
          <w:w w:val="105"/>
        </w:rPr>
        <w:t>avoid concomitant</w:t>
      </w:r>
      <w:r>
        <w:rPr>
          <w:color w:val="231F1F"/>
          <w:spacing w:val="9"/>
          <w:w w:val="105"/>
        </w:rPr>
        <w:t> </w:t>
      </w:r>
      <w:r>
        <w:rPr>
          <w:color w:val="231F1F"/>
          <w:w w:val="105"/>
        </w:rPr>
        <w:t>use</w:t>
      </w:r>
    </w:p>
    <w:p>
      <w:pPr>
        <w:pStyle w:val="BodyText"/>
        <w:ind w:left="286" w:right="59" w:hanging="100"/>
        <w:rPr>
          <w:rFonts w:ascii="Arial" w:hAnsi="Arial"/>
        </w:rPr>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ivabradine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plasma concentration of ivabradine increased by </w:t>
      </w:r>
      <w:r>
        <w:rPr>
          <w:rFonts w:ascii="Calibri" w:hAnsi="Calibri"/>
          <w:color w:val="008356"/>
          <w:w w:val="110"/>
          <w:sz w:val="11"/>
        </w:rPr>
        <w:t>FLUCONAZOLE</w:t>
      </w:r>
      <w:r>
        <w:rPr>
          <w:rFonts w:ascii="Arial" w:hAnsi="Arial"/>
          <w:color w:val="231F1F"/>
          <w:w w:val="110"/>
        </w:rPr>
        <w:t>—</w:t>
      </w:r>
    </w:p>
    <w:p>
      <w:pPr>
        <w:pStyle w:val="BodyText"/>
        <w:spacing w:before="8"/>
        <w:ind w:left="0"/>
        <w:rPr>
          <w:rFonts w:ascii="Arial"/>
          <w:sz w:val="14"/>
        </w:rPr>
      </w:pPr>
      <w:r>
        <w:rPr/>
        <w:br w:type="column"/>
      </w:r>
      <w:r>
        <w:rPr>
          <w:rFonts w:ascii="Arial"/>
          <w:sz w:val="14"/>
        </w:rPr>
      </w:r>
    </w:p>
    <w:p>
      <w:pPr>
        <w:pStyle w:val="BodyText"/>
        <w:ind w:left="186"/>
        <w:rPr>
          <w:rFonts w:ascii="Arial"/>
        </w:rPr>
      </w:pPr>
      <w:r>
        <w:rPr>
          <w:rFonts w:ascii="Arial"/>
          <w:color w:val="008356"/>
        </w:rPr>
        <w:t>Ivabradine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Antifungals (continued)</w:t>
      </w:r>
    </w:p>
    <w:p>
      <w:pPr>
        <w:pStyle w:val="BodyText"/>
        <w:spacing w:line="244" w:lineRule="auto"/>
        <w:ind w:left="286" w:right="605"/>
      </w:pPr>
      <w:r>
        <w:rPr>
          <w:color w:val="231F1F"/>
          <w:w w:val="110"/>
        </w:rPr>
        <w:t>reduce initial dose of ivabradine; plasma concentration of ivabradine possibly increased by </w:t>
      </w:r>
      <w:r>
        <w:rPr>
          <w:rFonts w:ascii="Arial" w:hAnsi="Arial"/>
          <w:color w:val="231F1F"/>
          <w:w w:val="355"/>
          <w:position w:val="1"/>
          <w:sz w:val="7"/>
        </w:rPr>
        <w:t>l </w:t>
      </w:r>
      <w:r>
        <w:rPr>
          <w:rFonts w:ascii="Calibri" w:hAnsi="Calibri"/>
          <w:color w:val="008356"/>
          <w:w w:val="110"/>
          <w:sz w:val="11"/>
        </w:rPr>
        <w:t>ITRACONAZOLE</w:t>
      </w:r>
      <w:r>
        <w:rPr>
          <w:rFonts w:ascii="Arial" w:hAnsi="Arial"/>
          <w:color w:val="231F1F"/>
          <w:w w:val="110"/>
        </w:rPr>
        <w:t>—</w:t>
      </w:r>
      <w:r>
        <w:rPr>
          <w:color w:val="231F1F"/>
          <w:w w:val="110"/>
        </w:rPr>
        <w:t>avoid concomitant use</w:t>
      </w:r>
    </w:p>
    <w:p>
      <w:pPr>
        <w:pStyle w:val="BodyText"/>
        <w:ind w:left="286" w:right="605" w:hanging="100"/>
        <w:rPr>
          <w:rFonts w:ascii="Calibri"/>
          <w:sz w:val="11"/>
        </w:rPr>
      </w:pPr>
      <w:r>
        <w:rPr>
          <w:rFonts w:ascii="Arial"/>
          <w:color w:val="231F1F"/>
          <w:w w:val="355"/>
          <w:position w:val="1"/>
          <w:sz w:val="7"/>
        </w:rPr>
        <w:t>l </w:t>
      </w:r>
      <w:r>
        <w:rPr>
          <w:rFonts w:ascii="Calibri"/>
          <w:color w:val="231F1F"/>
          <w:w w:val="110"/>
        </w:rPr>
        <w:t>Antimalarials: </w:t>
      </w:r>
      <w:r>
        <w:rPr>
          <w:color w:val="231F1F"/>
          <w:w w:val="110"/>
        </w:rPr>
        <w:t>increased risk of ventricular arrhythmias </w:t>
      </w:r>
      <w:r>
        <w:rPr>
          <w:color w:val="231F1F"/>
          <w:spacing w:val="-4"/>
          <w:w w:val="110"/>
        </w:rPr>
        <w:t>when </w:t>
      </w:r>
      <w:r>
        <w:rPr>
          <w:color w:val="231F1F"/>
          <w:w w:val="110"/>
        </w:rPr>
        <w:t>ivabradine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MEFLOQUINE</w:t>
      </w:r>
    </w:p>
    <w:p>
      <w:pPr>
        <w:pStyle w:val="BodyText"/>
        <w:ind w:left="286" w:right="618"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increased risk of ventricular arrhythmias </w:t>
      </w:r>
      <w:r>
        <w:rPr>
          <w:color w:val="231F1F"/>
          <w:spacing w:val="-4"/>
          <w:w w:val="110"/>
        </w:rPr>
        <w:t>when </w:t>
      </w:r>
      <w:r>
        <w:rPr>
          <w:color w:val="231F1F"/>
          <w:w w:val="110"/>
        </w:rPr>
        <w:t>ivabradine given with </w:t>
      </w:r>
      <w:r>
        <w:rPr>
          <w:rFonts w:ascii="Arial"/>
          <w:color w:val="231F1F"/>
          <w:w w:val="355"/>
          <w:position w:val="1"/>
          <w:sz w:val="7"/>
        </w:rPr>
        <w:t>l </w:t>
      </w:r>
      <w:r>
        <w:rPr>
          <w:rFonts w:ascii="Calibri"/>
          <w:color w:val="008356"/>
          <w:spacing w:val="5"/>
          <w:w w:val="110"/>
          <w:sz w:val="11"/>
        </w:rPr>
        <w:t>PIMOZIDE</w:t>
      </w:r>
    </w:p>
    <w:p>
      <w:pPr>
        <w:pStyle w:val="BodyText"/>
        <w:spacing w:line="237" w:lineRule="auto"/>
        <w:ind w:left="286" w:right="997"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Antivirals:</w:t>
      </w:r>
      <w:r>
        <w:rPr>
          <w:rFonts w:ascii="Calibri" w:hAnsi="Calibri"/>
          <w:color w:val="231F1F"/>
          <w:spacing w:val="-12"/>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color w:val="231F1F"/>
          <w:w w:val="115"/>
        </w:rPr>
        <w:t>ivabradine</w:t>
      </w:r>
      <w:r>
        <w:rPr>
          <w:color w:val="231F1F"/>
          <w:spacing w:val="-16"/>
          <w:w w:val="115"/>
        </w:rPr>
        <w:t> </w:t>
      </w:r>
      <w:r>
        <w:rPr>
          <w:color w:val="231F1F"/>
          <w:w w:val="115"/>
        </w:rPr>
        <w:t>possibly increased</w:t>
      </w:r>
      <w:r>
        <w:rPr>
          <w:color w:val="231F1F"/>
          <w:spacing w:val="-12"/>
          <w:w w:val="115"/>
        </w:rPr>
        <w:t> </w:t>
      </w:r>
      <w:r>
        <w:rPr>
          <w:color w:val="231F1F"/>
          <w:w w:val="115"/>
        </w:rPr>
        <w:t>by</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avoid</w:t>
      </w:r>
      <w:r>
        <w:rPr>
          <w:color w:val="231F1F"/>
          <w:spacing w:val="-11"/>
          <w:w w:val="115"/>
        </w:rPr>
        <w:t> </w:t>
      </w:r>
      <w:r>
        <w:rPr>
          <w:color w:val="231F1F"/>
          <w:w w:val="115"/>
        </w:rPr>
        <w:t>concomitant</w:t>
      </w:r>
      <w:r>
        <w:rPr>
          <w:color w:val="231F1F"/>
          <w:spacing w:val="-13"/>
          <w:w w:val="115"/>
        </w:rPr>
        <w:t> </w:t>
      </w:r>
      <w:r>
        <w:rPr>
          <w:color w:val="231F1F"/>
          <w:w w:val="115"/>
        </w:rPr>
        <w:t>use</w:t>
      </w:r>
    </w:p>
    <w:p>
      <w:pPr>
        <w:pStyle w:val="BodyText"/>
        <w:ind w:left="286" w:right="656"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Beta-blockers:</w:t>
      </w:r>
      <w:r>
        <w:rPr>
          <w:rFonts w:asci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ventricular</w:t>
      </w:r>
      <w:r>
        <w:rPr>
          <w:color w:val="231F1F"/>
          <w:spacing w:val="-16"/>
          <w:w w:val="115"/>
        </w:rPr>
        <w:t> </w:t>
      </w:r>
      <w:r>
        <w:rPr>
          <w:color w:val="231F1F"/>
          <w:w w:val="115"/>
        </w:rPr>
        <w:t>arrhythmias</w:t>
      </w:r>
      <w:r>
        <w:rPr>
          <w:color w:val="231F1F"/>
          <w:spacing w:val="-17"/>
          <w:w w:val="115"/>
        </w:rPr>
        <w:t> </w:t>
      </w:r>
      <w:r>
        <w:rPr>
          <w:color w:val="231F1F"/>
          <w:spacing w:val="-4"/>
          <w:w w:val="115"/>
        </w:rPr>
        <w:t>when </w:t>
      </w:r>
      <w:r>
        <w:rPr>
          <w:color w:val="231F1F"/>
          <w:w w:val="115"/>
        </w:rPr>
        <w:t>ivabradine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3"/>
          <w:w w:val="115"/>
          <w:sz w:val="11"/>
        </w:rPr>
        <w:t>SOTALOL</w:t>
      </w:r>
    </w:p>
    <w:p>
      <w:pPr>
        <w:pStyle w:val="BodyText"/>
        <w:ind w:left="286" w:right="664" w:hanging="100"/>
      </w:pPr>
      <w:r>
        <w:rPr>
          <w:rFonts w:ascii="Arial" w:hAnsi="Arial"/>
          <w:color w:val="231F1F"/>
          <w:w w:val="155"/>
          <w:position w:val="1"/>
          <w:sz w:val="7"/>
        </w:rPr>
        <w:t>l</w:t>
      </w:r>
      <w:r>
        <w:rPr>
          <w:rFonts w:ascii="Arial" w:hAnsi="Arial"/>
          <w:color w:val="231F1F"/>
          <w:spacing w:val="-18"/>
          <w:w w:val="155"/>
          <w:position w:val="1"/>
          <w:sz w:val="7"/>
        </w:rPr>
        <w:t> </w:t>
      </w:r>
      <w:r>
        <w:rPr>
          <w:rFonts w:ascii="Calibri" w:hAnsi="Calibri"/>
          <w:color w:val="231F1F"/>
          <w:w w:val="115"/>
        </w:rPr>
        <w:t>Calcium-channel</w:t>
      </w:r>
      <w:r>
        <w:rPr>
          <w:rFonts w:ascii="Calibri" w:hAnsi="Calibri"/>
          <w:color w:val="231F1F"/>
          <w:spacing w:val="-21"/>
          <w:w w:val="115"/>
        </w:rPr>
        <w:t> </w:t>
      </w:r>
      <w:r>
        <w:rPr>
          <w:rFonts w:ascii="Calibri" w:hAnsi="Calibri"/>
          <w:color w:val="231F1F"/>
          <w:w w:val="115"/>
        </w:rPr>
        <w:t>Blockers:</w:t>
      </w:r>
      <w:r>
        <w:rPr>
          <w:rFonts w:ascii="Calibri" w:hAnsi="Calibri"/>
          <w:color w:val="231F1F"/>
          <w:spacing w:val="-2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3"/>
          <w:w w:val="115"/>
        </w:rPr>
        <w:t> </w:t>
      </w:r>
      <w:r>
        <w:rPr>
          <w:color w:val="231F1F"/>
          <w:w w:val="115"/>
        </w:rPr>
        <w:t>ivabradine increased by </w:t>
      </w:r>
      <w:r>
        <w:rPr>
          <w:rFonts w:ascii="Arial" w:hAnsi="Arial"/>
          <w:color w:val="231F1F"/>
          <w:w w:val="355"/>
          <w:position w:val="1"/>
          <w:sz w:val="7"/>
        </w:rPr>
        <w:t>l </w:t>
      </w:r>
      <w:r>
        <w:rPr>
          <w:rFonts w:ascii="Calibri" w:hAnsi="Calibri"/>
          <w:color w:val="008356"/>
          <w:spacing w:val="3"/>
          <w:w w:val="115"/>
          <w:sz w:val="11"/>
        </w:rPr>
        <w:t>DILTIAZEM </w:t>
      </w:r>
      <w:r>
        <w:rPr>
          <w:color w:val="231F1F"/>
          <w:w w:val="115"/>
        </w:rPr>
        <w:t>and </w:t>
      </w:r>
      <w:r>
        <w:rPr>
          <w:rFonts w:ascii="Arial" w:hAnsi="Arial"/>
          <w:color w:val="231F1F"/>
          <w:w w:val="355"/>
          <w:position w:val="1"/>
          <w:sz w:val="7"/>
        </w:rPr>
        <w:t>l </w:t>
      </w:r>
      <w:r>
        <w:rPr>
          <w:rFonts w:ascii="Calibri" w:hAnsi="Calibri"/>
          <w:color w:val="008356"/>
          <w:spacing w:val="2"/>
          <w:w w:val="115"/>
          <w:sz w:val="11"/>
        </w:rPr>
        <w:t>VERAPAMIL</w:t>
      </w:r>
      <w:r>
        <w:rPr>
          <w:rFonts w:ascii="Arial" w:hAnsi="Arial"/>
          <w:color w:val="231F1F"/>
          <w:spacing w:val="2"/>
          <w:w w:val="115"/>
        </w:rPr>
        <w:t>—</w:t>
      </w:r>
      <w:r>
        <w:rPr>
          <w:color w:val="231F1F"/>
          <w:spacing w:val="2"/>
          <w:w w:val="115"/>
        </w:rPr>
        <w:t>avoid </w:t>
      </w:r>
      <w:r>
        <w:rPr>
          <w:color w:val="231F1F"/>
          <w:w w:val="115"/>
        </w:rPr>
        <w:t>concomitant</w:t>
      </w:r>
      <w:r>
        <w:rPr>
          <w:color w:val="231F1F"/>
          <w:spacing w:val="-5"/>
          <w:w w:val="115"/>
        </w:rPr>
        <w:t> </w:t>
      </w:r>
      <w:r>
        <w:rPr>
          <w:color w:val="231F1F"/>
          <w:w w:val="115"/>
        </w:rPr>
        <w:t>use</w:t>
      </w:r>
    </w:p>
    <w:p>
      <w:pPr>
        <w:spacing w:line="220" w:lineRule="auto" w:before="0"/>
        <w:ind w:left="286" w:right="70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Grapefruit Juice:  </w:t>
      </w:r>
      <w:r>
        <w:rPr>
          <w:color w:val="231F1F"/>
          <w:w w:val="105"/>
          <w:sz w:val="12"/>
        </w:rPr>
        <w:t>plasma concentration of ivabradine increased by </w:t>
      </w:r>
      <w:r>
        <w:rPr>
          <w:rFonts w:ascii="Calibri" w:hAnsi="Calibri"/>
          <w:color w:val="008356"/>
          <w:spacing w:val="4"/>
          <w:w w:val="105"/>
          <w:sz w:val="11"/>
        </w:rPr>
        <w:t>GRAPEFRUIT</w:t>
      </w:r>
      <w:r>
        <w:rPr>
          <w:rFonts w:ascii="Calibri" w:hAnsi="Calibri"/>
          <w:color w:val="008356"/>
          <w:spacing w:val="1"/>
          <w:w w:val="105"/>
          <w:sz w:val="11"/>
        </w:rPr>
        <w:t> </w:t>
      </w:r>
      <w:r>
        <w:rPr>
          <w:rFonts w:ascii="Calibri" w:hAnsi="Calibri"/>
          <w:color w:val="008356"/>
          <w:spacing w:val="5"/>
          <w:w w:val="105"/>
          <w:sz w:val="11"/>
        </w:rPr>
        <w:t>JUICE</w:t>
      </w:r>
    </w:p>
    <w:p>
      <w:pPr>
        <w:spacing w:line="247" w:lineRule="auto" w:before="0"/>
        <w:ind w:left="286" w:right="605" w:hanging="100"/>
        <w:jc w:val="left"/>
        <w:rPr>
          <w:rFonts w:ascii="Calibri"/>
          <w:sz w:val="11"/>
        </w:rPr>
      </w:pPr>
      <w:r>
        <w:rPr>
          <w:rFonts w:ascii="Arial"/>
          <w:color w:val="231F1F"/>
          <w:w w:val="355"/>
          <w:position w:val="1"/>
          <w:sz w:val="7"/>
        </w:rPr>
        <w:t>l </w:t>
      </w:r>
      <w:r>
        <w:rPr>
          <w:rFonts w:ascii="Calibri"/>
          <w:color w:val="231F1F"/>
          <w:w w:val="110"/>
          <w:sz w:val="12"/>
        </w:rPr>
        <w:t>Pentamidine Isetionate: </w:t>
      </w:r>
      <w:r>
        <w:rPr>
          <w:color w:val="231F1F"/>
          <w:w w:val="110"/>
          <w:sz w:val="12"/>
        </w:rPr>
        <w:t>increased risk of ventricular arrhythmias when ivabradine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0"/>
          <w:sz w:val="11"/>
        </w:rPr>
        <w:t>PENTAMIDINE </w:t>
      </w:r>
      <w:r>
        <w:rPr>
          <w:rFonts w:ascii="Calibri"/>
          <w:color w:val="008356"/>
          <w:spacing w:val="4"/>
          <w:w w:val="110"/>
          <w:sz w:val="11"/>
        </w:rPr>
        <w:t>ISETIONATE</w:t>
      </w:r>
    </w:p>
    <w:p>
      <w:pPr>
        <w:pStyle w:val="BodyText"/>
        <w:spacing w:before="2"/>
        <w:ind w:left="186"/>
        <w:rPr>
          <w:rFonts w:ascii="Trebuchet MS"/>
        </w:rPr>
      </w:pPr>
      <w:r>
        <w:rPr>
          <w:rFonts w:ascii="Trebuchet MS"/>
          <w:color w:val="008356"/>
        </w:rPr>
        <w:t>Ivacaftor</w:t>
      </w:r>
    </w:p>
    <w:p>
      <w:pPr>
        <w:spacing w:before="1"/>
        <w:ind w:left="286" w:right="605"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ivacaftor possibly increased by </w:t>
      </w:r>
      <w:r>
        <w:rPr>
          <w:rFonts w:ascii="Arial"/>
          <w:color w:val="231F1F"/>
          <w:w w:val="355"/>
          <w:position w:val="1"/>
          <w:sz w:val="7"/>
        </w:rPr>
        <w:t>l </w:t>
      </w:r>
      <w:r>
        <w:rPr>
          <w:rFonts w:ascii="Calibri"/>
          <w:color w:val="008356"/>
          <w:spacing w:val="4"/>
          <w:w w:val="110"/>
          <w:sz w:val="11"/>
        </w:rPr>
        <w:t>CLARITHROMYCIN</w:t>
      </w:r>
      <w:r>
        <w:rPr>
          <w:color w:val="231F1F"/>
          <w:spacing w:val="4"/>
          <w:w w:val="110"/>
          <w:sz w:val="12"/>
        </w:rPr>
        <w:t>, </w:t>
      </w:r>
      <w:r>
        <w:rPr>
          <w:rFonts w:ascii="Arial"/>
          <w:color w:val="231F1F"/>
          <w:w w:val="355"/>
          <w:position w:val="1"/>
          <w:sz w:val="7"/>
        </w:rPr>
        <w:t>l </w:t>
      </w:r>
      <w:r>
        <w:rPr>
          <w:rFonts w:ascii="Calibri"/>
          <w:color w:val="008356"/>
          <w:spacing w:val="4"/>
          <w:w w:val="110"/>
          <w:sz w:val="11"/>
        </w:rPr>
        <w:t>ERYTHROMYCIN </w:t>
      </w:r>
      <w:r>
        <w:rPr>
          <w:color w:val="231F1F"/>
          <w:w w:val="110"/>
          <w:sz w:val="12"/>
        </w:rPr>
        <w:t>and</w:t>
      </w:r>
    </w:p>
    <w:p>
      <w:pPr>
        <w:pStyle w:val="BodyText"/>
        <w:spacing w:line="244" w:lineRule="auto" w:before="1"/>
        <w:ind w:left="286" w:right="605" w:hanging="1"/>
      </w:pPr>
      <w:r>
        <w:rPr>
          <w:rFonts w:ascii="Arial" w:hAnsi="Arial"/>
          <w:color w:val="231F1F"/>
          <w:w w:val="355"/>
          <w:position w:val="1"/>
          <w:sz w:val="7"/>
        </w:rPr>
        <w:t>l </w:t>
      </w:r>
      <w:r>
        <w:rPr>
          <w:rFonts w:ascii="Calibri" w:hAnsi="Calibri"/>
          <w:color w:val="008356"/>
          <w:spacing w:val="4"/>
          <w:w w:val="110"/>
          <w:sz w:val="11"/>
        </w:rPr>
        <w:t>TELITHROMYCIN </w:t>
      </w:r>
      <w:r>
        <w:rPr>
          <w:color w:val="231F1F"/>
          <w:w w:val="110"/>
        </w:rPr>
        <w:t>(see under Ivacaftor, p. 257); plasma concentration of ivacaftor possibly reduced by </w:t>
      </w:r>
      <w:r>
        <w:rPr>
          <w:rFonts w:ascii="Arial" w:hAnsi="Arial"/>
          <w:color w:val="231F1F"/>
          <w:w w:val="355"/>
          <w:position w:val="1"/>
          <w:sz w:val="7"/>
        </w:rPr>
        <w:t>l </w:t>
      </w:r>
      <w:r>
        <w:rPr>
          <w:rFonts w:ascii="Calibri" w:hAnsi="Calibri"/>
          <w:color w:val="008356"/>
          <w:spacing w:val="2"/>
          <w:w w:val="110"/>
          <w:sz w:val="11"/>
        </w:rPr>
        <w:t>RIFABUTIN</w:t>
      </w:r>
      <w:r>
        <w:rPr>
          <w:rFonts w:ascii="Arial" w:hAnsi="Arial"/>
          <w:color w:val="231F1F"/>
          <w:spacing w:val="2"/>
          <w:w w:val="110"/>
        </w:rPr>
        <w:t>— </w:t>
      </w:r>
      <w:r>
        <w:rPr>
          <w:color w:val="231F1F"/>
          <w:w w:val="110"/>
        </w:rPr>
        <w:t>manufacturer of ivacaftor advises avoid concomitant use; plasma concentration of ivacaftor reduced by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RIFAMPICIN</w:t>
      </w:r>
      <w:r>
        <w:rPr>
          <w:rFonts w:ascii="Arial" w:hAnsi="Arial"/>
          <w:color w:val="231F1F"/>
          <w:spacing w:val="4"/>
          <w:w w:val="110"/>
        </w:rPr>
        <w:t>— </w:t>
      </w:r>
      <w:r>
        <w:rPr>
          <w:color w:val="231F1F"/>
          <w:w w:val="110"/>
        </w:rPr>
        <w:t>manufacturer of ivacaftor advises avoid concomitant use</w:t>
      </w:r>
    </w:p>
    <w:p>
      <w:pPr>
        <w:pStyle w:val="BodyText"/>
        <w:ind w:left="286" w:right="755"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15"/>
        </w:rPr>
        <w:t>Antidepressants:</w:t>
      </w:r>
      <w:r>
        <w:rPr>
          <w:rFonts w:ascii="Calibri" w:hAnsi="Calibri"/>
          <w:color w:val="231F1F"/>
          <w:spacing w:val="-21"/>
          <w:w w:val="115"/>
        </w:rPr>
        <w:t> </w:t>
      </w:r>
      <w:r>
        <w:rPr>
          <w:color w:val="231F1F"/>
          <w:w w:val="115"/>
        </w:rPr>
        <w:t>plasma</w:t>
      </w:r>
      <w:r>
        <w:rPr>
          <w:color w:val="231F1F"/>
          <w:spacing w:val="-24"/>
          <w:w w:val="115"/>
        </w:rPr>
        <w:t> </w:t>
      </w:r>
      <w:r>
        <w:rPr>
          <w:color w:val="231F1F"/>
          <w:w w:val="115"/>
        </w:rPr>
        <w:t>concentration</w:t>
      </w:r>
      <w:r>
        <w:rPr>
          <w:color w:val="231F1F"/>
          <w:spacing w:val="-24"/>
          <w:w w:val="115"/>
        </w:rPr>
        <w:t> </w:t>
      </w:r>
      <w:r>
        <w:rPr>
          <w:color w:val="231F1F"/>
          <w:w w:val="115"/>
        </w:rPr>
        <w:t>of</w:t>
      </w:r>
      <w:r>
        <w:rPr>
          <w:color w:val="231F1F"/>
          <w:spacing w:val="-23"/>
          <w:w w:val="115"/>
        </w:rPr>
        <w:t> </w:t>
      </w:r>
      <w:r>
        <w:rPr>
          <w:color w:val="231F1F"/>
          <w:w w:val="115"/>
        </w:rPr>
        <w:t>ivacaftor</w:t>
      </w:r>
      <w:r>
        <w:rPr>
          <w:color w:val="231F1F"/>
          <w:spacing w:val="-24"/>
          <w:w w:val="115"/>
        </w:rPr>
        <w:t> </w:t>
      </w:r>
      <w:r>
        <w:rPr>
          <w:color w:val="231F1F"/>
          <w:w w:val="115"/>
        </w:rPr>
        <w:t>possibly reduced</w:t>
      </w:r>
      <w:r>
        <w:rPr>
          <w:color w:val="231F1F"/>
          <w:spacing w:val="-17"/>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ST</w:t>
      </w:r>
      <w:r>
        <w:rPr>
          <w:rFonts w:ascii="Calibri" w:hAnsi="Calibri"/>
          <w:color w:val="008356"/>
          <w:spacing w:val="-12"/>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9"/>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6"/>
          <w:w w:val="115"/>
        </w:rPr>
        <w:t> </w:t>
      </w:r>
      <w:r>
        <w:rPr>
          <w:color w:val="231F1F"/>
          <w:w w:val="115"/>
        </w:rPr>
        <w:t>of</w:t>
      </w:r>
      <w:r>
        <w:rPr>
          <w:color w:val="231F1F"/>
          <w:spacing w:val="-16"/>
          <w:w w:val="115"/>
        </w:rPr>
        <w:t> </w:t>
      </w:r>
      <w:r>
        <w:rPr>
          <w:color w:val="231F1F"/>
          <w:w w:val="115"/>
        </w:rPr>
        <w:t>ivacaftor advises avoid concomitant</w:t>
      </w:r>
      <w:r>
        <w:rPr>
          <w:color w:val="231F1F"/>
          <w:spacing w:val="-13"/>
          <w:w w:val="115"/>
        </w:rPr>
        <w:t> </w:t>
      </w:r>
      <w:r>
        <w:rPr>
          <w:color w:val="231F1F"/>
          <w:w w:val="115"/>
        </w:rPr>
        <w:t>use</w:t>
      </w:r>
    </w:p>
    <w:p>
      <w:pPr>
        <w:spacing w:before="0"/>
        <w:ind w:left="286" w:right="605"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ivacaftor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86" w:right="0" w:firstLine="0"/>
        <w:jc w:val="left"/>
        <w:rPr>
          <w:rFonts w:ascii="Arial" w:hAnsi="Arial"/>
          <w:sz w:val="12"/>
        </w:rPr>
      </w:pPr>
      <w:r>
        <w:rPr>
          <w:rFonts w:ascii="Arial" w:hAnsi="Arial"/>
          <w:color w:val="231F1F"/>
          <w:w w:val="355"/>
          <w:position w:val="1"/>
          <w:sz w:val="7"/>
        </w:rPr>
        <w:t>l </w:t>
      </w:r>
      <w:r>
        <w:rPr>
          <w:rFonts w:ascii="Calibri" w:hAnsi="Calibri"/>
          <w:color w:val="008356"/>
          <w:spacing w:val="4"/>
          <w:w w:val="115"/>
          <w:sz w:val="11"/>
        </w:rPr>
        <w:t>PHENOBARBITAL</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PRIMIDONE</w:t>
      </w:r>
      <w:r>
        <w:rPr>
          <w:rFonts w:ascii="Arial" w:hAnsi="Arial"/>
          <w:color w:val="231F1F"/>
          <w:spacing w:val="4"/>
          <w:w w:val="115"/>
          <w:sz w:val="12"/>
        </w:rPr>
        <w:t>—</w:t>
      </w:r>
    </w:p>
    <w:p>
      <w:pPr>
        <w:pStyle w:val="BodyText"/>
        <w:spacing w:before="1"/>
        <w:ind w:left="286"/>
      </w:pPr>
      <w:r>
        <w:rPr>
          <w:color w:val="231F1F"/>
          <w:w w:val="115"/>
        </w:rPr>
        <w:t>manufacturer of ivacaftor advises avoid concomitant use</w:t>
      </w:r>
    </w:p>
    <w:p>
      <w:pPr>
        <w:pStyle w:val="BodyText"/>
        <w:spacing w:line="146" w:lineRule="exact" w:before="2"/>
        <w:ind w:left="186"/>
      </w:pPr>
      <w:r>
        <w:rPr>
          <w:rFonts w:ascii="Arial"/>
          <w:color w:val="231F1F"/>
          <w:w w:val="355"/>
          <w:position w:val="1"/>
          <w:sz w:val="7"/>
        </w:rPr>
        <w:t>l </w:t>
      </w:r>
      <w:r>
        <w:rPr>
          <w:rFonts w:ascii="Calibri"/>
          <w:color w:val="231F1F"/>
          <w:w w:val="115"/>
        </w:rPr>
        <w:t>Antifungals: </w:t>
      </w:r>
      <w:r>
        <w:rPr>
          <w:color w:val="231F1F"/>
          <w:w w:val="115"/>
        </w:rPr>
        <w:t>plasma concentration of ivacaftor increased by</w:t>
      </w:r>
    </w:p>
    <w:p>
      <w:pPr>
        <w:spacing w:before="0"/>
        <w:ind w:left="286" w:right="0" w:firstLine="0"/>
        <w:jc w:val="left"/>
        <w:rPr>
          <w:sz w:val="12"/>
        </w:rPr>
      </w:pPr>
      <w:r>
        <w:rPr>
          <w:rFonts w:ascii="Arial"/>
          <w:color w:val="231F1F"/>
          <w:w w:val="355"/>
          <w:position w:val="1"/>
          <w:sz w:val="7"/>
        </w:rPr>
        <w:t>l </w:t>
      </w:r>
      <w:r>
        <w:rPr>
          <w:rFonts w:ascii="Calibri"/>
          <w:color w:val="008356"/>
          <w:w w:val="110"/>
          <w:sz w:val="11"/>
        </w:rPr>
        <w:t>FLUCONAZOLE </w:t>
      </w:r>
      <w:r>
        <w:rPr>
          <w:color w:val="231F1F"/>
          <w:w w:val="110"/>
          <w:sz w:val="12"/>
        </w:rPr>
        <w:t>and </w:t>
      </w:r>
      <w:r>
        <w:rPr>
          <w:rFonts w:ascii="Arial"/>
          <w:color w:val="231F1F"/>
          <w:w w:val="355"/>
          <w:position w:val="1"/>
          <w:sz w:val="7"/>
        </w:rPr>
        <w:t>l </w:t>
      </w:r>
      <w:r>
        <w:rPr>
          <w:rFonts w:ascii="Calibri"/>
          <w:color w:val="008356"/>
          <w:w w:val="110"/>
          <w:sz w:val="11"/>
        </w:rPr>
        <w:t>KETOCONAZOLE </w:t>
      </w:r>
      <w:r>
        <w:rPr>
          <w:color w:val="231F1F"/>
          <w:w w:val="110"/>
          <w:sz w:val="12"/>
        </w:rPr>
        <w:t>(see under Ivacaftor,</w:t>
      </w:r>
    </w:p>
    <w:p>
      <w:pPr>
        <w:spacing w:line="247" w:lineRule="auto" w:before="1"/>
        <w:ind w:left="286" w:right="641" w:firstLine="0"/>
        <w:jc w:val="both"/>
        <w:rPr>
          <w:sz w:val="12"/>
        </w:rPr>
      </w:pPr>
      <w:r>
        <w:rPr>
          <w:color w:val="231F1F"/>
          <w:w w:val="110"/>
          <w:sz w:val="12"/>
        </w:rPr>
        <w:t>p. 257); plasma concentration of ivacaftor possibly increased by</w:t>
      </w:r>
      <w:r>
        <w:rPr>
          <w:color w:val="231F1F"/>
          <w:spacing w:val="-23"/>
          <w:w w:val="110"/>
          <w:sz w:val="12"/>
        </w:rPr>
        <w:t> </w:t>
      </w:r>
      <w:r>
        <w:rPr>
          <w:rFonts w:ascii="Arial"/>
          <w:color w:val="231F1F"/>
          <w:w w:val="300"/>
          <w:position w:val="1"/>
          <w:sz w:val="7"/>
        </w:rPr>
        <w:t>l</w:t>
      </w:r>
      <w:r>
        <w:rPr>
          <w:rFonts w:ascii="Arial"/>
          <w:color w:val="231F1F"/>
          <w:spacing w:val="-49"/>
          <w:w w:val="300"/>
          <w:position w:val="1"/>
          <w:sz w:val="7"/>
        </w:rPr>
        <w:t> </w:t>
      </w:r>
      <w:r>
        <w:rPr>
          <w:rFonts w:ascii="Calibri"/>
          <w:color w:val="008356"/>
          <w:spacing w:val="4"/>
          <w:w w:val="110"/>
          <w:sz w:val="11"/>
        </w:rPr>
        <w:t>ITRACONAZOLE</w:t>
      </w:r>
      <w:r>
        <w:rPr>
          <w:color w:val="231F1F"/>
          <w:spacing w:val="4"/>
          <w:w w:val="110"/>
          <w:sz w:val="12"/>
        </w:rPr>
        <w:t>,</w:t>
      </w:r>
      <w:r>
        <w:rPr>
          <w:color w:val="231F1F"/>
          <w:spacing w:val="-22"/>
          <w:w w:val="110"/>
          <w:sz w:val="12"/>
        </w:rPr>
        <w:t> </w:t>
      </w:r>
      <w:r>
        <w:rPr>
          <w:rFonts w:ascii="Arial"/>
          <w:color w:val="231F1F"/>
          <w:w w:val="300"/>
          <w:position w:val="1"/>
          <w:sz w:val="7"/>
        </w:rPr>
        <w:t>l</w:t>
      </w:r>
      <w:r>
        <w:rPr>
          <w:rFonts w:ascii="Arial"/>
          <w:color w:val="231F1F"/>
          <w:spacing w:val="-49"/>
          <w:w w:val="300"/>
          <w:position w:val="1"/>
          <w:sz w:val="7"/>
        </w:rPr>
        <w:t> </w:t>
      </w:r>
      <w:r>
        <w:rPr>
          <w:rFonts w:ascii="Calibri"/>
          <w:color w:val="008356"/>
          <w:spacing w:val="4"/>
          <w:w w:val="110"/>
          <w:sz w:val="11"/>
        </w:rPr>
        <w:t>POSACONAZOLE</w:t>
      </w:r>
      <w:r>
        <w:rPr>
          <w:rFonts w:ascii="Calibri"/>
          <w:color w:val="008356"/>
          <w:spacing w:val="-14"/>
          <w:w w:val="110"/>
          <w:sz w:val="11"/>
        </w:rPr>
        <w:t> </w:t>
      </w:r>
      <w:r>
        <w:rPr>
          <w:color w:val="231F1F"/>
          <w:w w:val="110"/>
          <w:sz w:val="12"/>
        </w:rPr>
        <w:t>and</w:t>
      </w:r>
      <w:r>
        <w:rPr>
          <w:color w:val="231F1F"/>
          <w:spacing w:val="-23"/>
          <w:w w:val="110"/>
          <w:sz w:val="12"/>
        </w:rPr>
        <w:t> </w:t>
      </w:r>
      <w:r>
        <w:rPr>
          <w:rFonts w:ascii="Arial"/>
          <w:color w:val="231F1F"/>
          <w:w w:val="300"/>
          <w:position w:val="1"/>
          <w:sz w:val="7"/>
        </w:rPr>
        <w:t>l</w:t>
      </w:r>
      <w:r>
        <w:rPr>
          <w:rFonts w:ascii="Arial"/>
          <w:color w:val="231F1F"/>
          <w:spacing w:val="-49"/>
          <w:w w:val="300"/>
          <w:position w:val="1"/>
          <w:sz w:val="7"/>
        </w:rPr>
        <w:t> </w:t>
      </w:r>
      <w:r>
        <w:rPr>
          <w:rFonts w:ascii="Calibri"/>
          <w:color w:val="008356"/>
          <w:spacing w:val="4"/>
          <w:w w:val="110"/>
          <w:sz w:val="11"/>
        </w:rPr>
        <w:t>VORICONAZOLE</w:t>
      </w:r>
      <w:r>
        <w:rPr>
          <w:rFonts w:ascii="Calibri"/>
          <w:color w:val="008356"/>
          <w:spacing w:val="-15"/>
          <w:w w:val="110"/>
          <w:sz w:val="11"/>
        </w:rPr>
        <w:t> </w:t>
      </w:r>
      <w:r>
        <w:rPr>
          <w:color w:val="231F1F"/>
          <w:w w:val="110"/>
          <w:sz w:val="12"/>
        </w:rPr>
        <w:t>(see under Ivacaftor, p.</w:t>
      </w:r>
      <w:r>
        <w:rPr>
          <w:color w:val="231F1F"/>
          <w:spacing w:val="-5"/>
          <w:w w:val="110"/>
          <w:sz w:val="12"/>
        </w:rPr>
        <w:t> </w:t>
      </w:r>
      <w:r>
        <w:rPr>
          <w:color w:val="231F1F"/>
          <w:w w:val="110"/>
          <w:sz w:val="12"/>
        </w:rPr>
        <w:t>257)</w:t>
      </w:r>
    </w:p>
    <w:p>
      <w:pPr>
        <w:pStyle w:val="BodyText"/>
        <w:spacing w:line="220" w:lineRule="auto" w:before="5"/>
        <w:ind w:left="286" w:right="117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ivacaftor increases plasma concentration of </w:t>
      </w:r>
      <w:r>
        <w:rPr>
          <w:rFonts w:ascii="Calibri" w:hAnsi="Calibri"/>
          <w:color w:val="008356"/>
          <w:w w:val="105"/>
          <w:sz w:val="11"/>
        </w:rPr>
        <w:t>MIDAZOLAM</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ivacaftor increases plasma concentration of</w:t>
      </w:r>
    </w:p>
    <w:p>
      <w:pPr>
        <w:spacing w:line="131" w:lineRule="exact" w:before="0"/>
        <w:ind w:left="286" w:right="0" w:firstLine="0"/>
        <w:jc w:val="left"/>
        <w:rPr>
          <w:rFonts w:ascii="Calibri"/>
          <w:sz w:val="11"/>
        </w:rPr>
      </w:pPr>
      <w:r>
        <w:rPr>
          <w:rFonts w:ascii="Calibri"/>
          <w:color w:val="008356"/>
          <w:sz w:val="11"/>
        </w:rPr>
        <w:t>DIGOXIN</w:t>
      </w:r>
    </w:p>
    <w:p>
      <w:pPr>
        <w:pStyle w:val="BodyText"/>
        <w:spacing w:line="230" w:lineRule="auto" w:before="4"/>
        <w:ind w:left="286" w:right="764" w:hanging="100"/>
      </w:pPr>
      <w:r>
        <w:rPr>
          <w:rFonts w:ascii="Lucida Sans Unicode" w:hAnsi="Lucida Sans Unicode"/>
          <w:color w:val="A7A8AC"/>
          <w:w w:val="95"/>
          <w:sz w:val="10"/>
        </w:rPr>
        <w:t>▶ </w:t>
      </w:r>
      <w:r>
        <w:rPr>
          <w:rFonts w:ascii="Calibri" w:hAnsi="Calibri"/>
          <w:color w:val="231F1F"/>
          <w:w w:val="110"/>
        </w:rPr>
        <w:t>Grapefruit Juice: </w:t>
      </w:r>
      <w:r>
        <w:rPr>
          <w:color w:val="231F1F"/>
          <w:w w:val="110"/>
        </w:rPr>
        <w:t>plasma concentration of ivacaftor possibly increased by </w:t>
      </w:r>
      <w:r>
        <w:rPr>
          <w:rFonts w:ascii="Calibri" w:hAnsi="Calibri"/>
          <w:color w:val="008356"/>
          <w:w w:val="110"/>
          <w:sz w:val="11"/>
        </w:rPr>
        <w:t>GRAPEFRUIT JUICE</w:t>
      </w:r>
      <w:r>
        <w:rPr>
          <w:rFonts w:ascii="Arial" w:hAnsi="Arial"/>
          <w:color w:val="231F1F"/>
          <w:w w:val="110"/>
        </w:rPr>
        <w:t>—</w:t>
      </w:r>
      <w:r>
        <w:rPr>
          <w:color w:val="231F1F"/>
          <w:w w:val="110"/>
        </w:rPr>
        <w:t>manufacturer of ivacaftor advises avoid concomitant use</w:t>
      </w:r>
    </w:p>
    <w:p>
      <w:pPr>
        <w:pStyle w:val="BodyText"/>
        <w:spacing w:line="220" w:lineRule="auto" w:before="10"/>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ivacaftor by 12 hours advised by manufacturer</w:t>
      </w:r>
      <w:r>
        <w:rPr>
          <w:color w:val="231F1F"/>
          <w:spacing w:val="13"/>
          <w:w w:val="105"/>
        </w:rPr>
        <w:t> </w:t>
      </w:r>
      <w:r>
        <w:rPr>
          <w:color w:val="231F1F"/>
          <w:w w:val="105"/>
        </w:rPr>
        <w:t>of </w:t>
      </w:r>
      <w:r>
        <w:rPr>
          <w:rFonts w:ascii="Calibri" w:hAnsi="Calibri"/>
          <w:color w:val="008356"/>
          <w:w w:val="105"/>
          <w:sz w:val="11"/>
        </w:rPr>
        <w:t>LOMITAPIDE</w:t>
      </w:r>
    </w:p>
    <w:p>
      <w:pPr>
        <w:pStyle w:val="BodyText"/>
        <w:spacing w:before="10"/>
        <w:ind w:left="186"/>
        <w:rPr>
          <w:rFonts w:ascii="Trebuchet MS"/>
        </w:rPr>
      </w:pPr>
      <w:r>
        <w:rPr>
          <w:rFonts w:ascii="Trebuchet MS"/>
          <w:color w:val="008356"/>
        </w:rPr>
        <w:t>Ivermectin</w:t>
      </w:r>
    </w:p>
    <w:p>
      <w:pPr>
        <w:pStyle w:val="BodyText"/>
        <w:spacing w:line="220" w:lineRule="auto" w:before="10"/>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Anthelmintics: </w:t>
      </w:r>
      <w:r>
        <w:rPr>
          <w:color w:val="231F1F"/>
          <w:w w:val="105"/>
        </w:rPr>
        <w:t>plasma concentration of ivermectin possibly increased by </w:t>
      </w:r>
      <w:r>
        <w:rPr>
          <w:rFonts w:ascii="Calibri" w:hAnsi="Calibri"/>
          <w:color w:val="008356"/>
          <w:w w:val="105"/>
          <w:sz w:val="11"/>
        </w:rPr>
        <w:t>LEVAMISOLE</w:t>
      </w:r>
    </w:p>
    <w:p>
      <w:pPr>
        <w:pStyle w:val="BodyText"/>
        <w:spacing w:line="220" w:lineRule="auto" w:before="8"/>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ivermectin possibly enhances anticoagulant effect of </w:t>
      </w:r>
      <w:r>
        <w:rPr>
          <w:rFonts w:ascii="Calibri" w:hAnsi="Calibri"/>
          <w:color w:val="008356"/>
          <w:w w:val="105"/>
          <w:sz w:val="11"/>
        </w:rPr>
        <w:t>COUMARINS</w:t>
      </w:r>
    </w:p>
    <w:p>
      <w:pPr>
        <w:pStyle w:val="BodyText"/>
        <w:spacing w:before="9"/>
        <w:ind w:left="186"/>
      </w:pPr>
      <w:r>
        <w:rPr>
          <w:rFonts w:ascii="Trebuchet MS"/>
          <w:color w:val="008356"/>
        </w:rPr>
        <w:t>Japanese Encephalitis Vaccine </w:t>
      </w:r>
      <w:r>
        <w:rPr>
          <w:i/>
          <w:color w:val="231F1F"/>
        </w:rPr>
        <w:t>see </w:t>
      </w:r>
      <w:r>
        <w:rPr>
          <w:color w:val="231F1F"/>
        </w:rPr>
        <w:t>Vaccines</w:t>
      </w:r>
    </w:p>
    <w:p>
      <w:pPr>
        <w:pStyle w:val="BodyText"/>
        <w:spacing w:before="10"/>
        <w:ind w:left="186"/>
        <w:rPr>
          <w:rFonts w:ascii="Trebuchet MS"/>
        </w:rPr>
      </w:pPr>
      <w:r>
        <w:rPr>
          <w:rFonts w:ascii="Trebuchet MS"/>
          <w:color w:val="008356"/>
          <w:w w:val="105"/>
        </w:rPr>
        <w:t>Kaolin</w:t>
      </w:r>
    </w:p>
    <w:p>
      <w:pPr>
        <w:pStyle w:val="BodyText"/>
        <w:spacing w:line="149" w:lineRule="exact" w:before="1"/>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kaolin possibly reduces absorption of </w:t>
      </w:r>
      <w:r>
        <w:rPr>
          <w:rFonts w:ascii="Calibri" w:hAnsi="Calibri"/>
          <w:color w:val="008356"/>
          <w:w w:val="105"/>
          <w:sz w:val="11"/>
        </w:rPr>
        <w:t>ASPIRIN</w:t>
      </w:r>
    </w:p>
    <w:p>
      <w:pPr>
        <w:pStyle w:val="BodyText"/>
        <w:spacing w:line="147"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kaolin possibly reduces absorption of</w:t>
      </w:r>
    </w:p>
    <w:p>
      <w:pPr>
        <w:spacing w:line="131" w:lineRule="exact" w:before="0"/>
        <w:ind w:left="286" w:right="0" w:firstLine="0"/>
        <w:jc w:val="left"/>
        <w:rPr>
          <w:rFonts w:ascii="Calibri"/>
          <w:sz w:val="11"/>
        </w:rPr>
      </w:pPr>
      <w:r>
        <w:rPr>
          <w:rFonts w:ascii="Calibri"/>
          <w:color w:val="008356"/>
          <w:sz w:val="11"/>
        </w:rPr>
        <w:t>TETRACYCLINES</w:t>
      </w:r>
    </w:p>
    <w:p>
      <w:pPr>
        <w:spacing w:line="154" w:lineRule="exact" w:before="0"/>
        <w:ind w:left="186" w:right="0" w:firstLine="0"/>
        <w:jc w:val="left"/>
        <w:rPr>
          <w:sz w:val="12"/>
        </w:rPr>
      </w:pPr>
      <w:r>
        <w:rPr>
          <w:rFonts w:ascii="Lucida Sans Unicode" w:hAnsi="Lucida Sans Unicode"/>
          <w:color w:val="A7A8AC"/>
          <w:w w:val="95"/>
          <w:sz w:val="10"/>
        </w:rPr>
        <w:t>▶ </w:t>
      </w:r>
      <w:r>
        <w:rPr>
          <w:rFonts w:ascii="Calibri" w:hAnsi="Calibri"/>
          <w:color w:val="231F1F"/>
          <w:w w:val="105"/>
          <w:sz w:val="12"/>
        </w:rPr>
        <w:t>Antimalarials: </w:t>
      </w:r>
      <w:r>
        <w:rPr>
          <w:color w:val="231F1F"/>
          <w:w w:val="105"/>
          <w:sz w:val="12"/>
        </w:rPr>
        <w:t>kaolin reduces absorption of </w:t>
      </w:r>
      <w:r>
        <w:rPr>
          <w:rFonts w:ascii="Calibri" w:hAnsi="Calibri"/>
          <w:color w:val="008356"/>
          <w:w w:val="105"/>
          <w:sz w:val="11"/>
        </w:rPr>
        <w:t>CHLOROQUINE </w:t>
      </w:r>
      <w:r>
        <w:rPr>
          <w:color w:val="231F1F"/>
          <w:w w:val="105"/>
          <w:sz w:val="12"/>
        </w:rPr>
        <w:t>and</w:t>
      </w:r>
    </w:p>
    <w:p>
      <w:pPr>
        <w:spacing w:line="130" w:lineRule="exact" w:before="0"/>
        <w:ind w:left="286" w:right="0" w:firstLine="0"/>
        <w:jc w:val="left"/>
        <w:rPr>
          <w:rFonts w:ascii="Calibri"/>
          <w:sz w:val="11"/>
        </w:rPr>
      </w:pPr>
      <w:r>
        <w:rPr>
          <w:rFonts w:ascii="Calibri"/>
          <w:color w:val="008356"/>
          <w:sz w:val="11"/>
        </w:rPr>
        <w:t>HYDROXYCHLOROQUINE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Antipsychotics: </w:t>
      </w:r>
      <w:r>
        <w:rPr>
          <w:color w:val="231F1F"/>
          <w:w w:val="105"/>
        </w:rPr>
        <w:t>kaolin possibly reduces absorption of</w:t>
      </w:r>
    </w:p>
    <w:p>
      <w:pPr>
        <w:spacing w:line="132" w:lineRule="exact" w:before="0"/>
        <w:ind w:left="286" w:right="0" w:firstLine="0"/>
        <w:jc w:val="left"/>
        <w:rPr>
          <w:rFonts w:ascii="Calibri"/>
          <w:sz w:val="11"/>
        </w:rPr>
      </w:pPr>
      <w:r>
        <w:rPr>
          <w:rFonts w:ascii="Calibri"/>
          <w:color w:val="008356"/>
          <w:sz w:val="11"/>
        </w:rPr>
        <w:t>PHENOTHIAZINES</w:t>
      </w:r>
    </w:p>
    <w:p>
      <w:pPr>
        <w:pStyle w:val="BodyText"/>
        <w:spacing w:line="256" w:lineRule="auto" w:before="6"/>
        <w:ind w:left="186" w:right="1598"/>
      </w:pPr>
      <w:r>
        <w:rPr>
          <w:rFonts w:ascii="Trebuchet MS"/>
          <w:color w:val="008356"/>
          <w:w w:val="105"/>
        </w:rPr>
        <w:t>Ketamine </w:t>
      </w:r>
      <w:r>
        <w:rPr>
          <w:i/>
          <w:color w:val="231F1F"/>
          <w:w w:val="105"/>
        </w:rPr>
        <w:t>see </w:t>
      </w:r>
      <w:r>
        <w:rPr>
          <w:color w:val="231F1F"/>
          <w:w w:val="105"/>
        </w:rPr>
        <w:t>Anaesthetics, General </w:t>
      </w:r>
      <w:r>
        <w:rPr>
          <w:rFonts w:ascii="Trebuchet MS"/>
          <w:color w:val="008356"/>
          <w:w w:val="105"/>
        </w:rPr>
        <w:t>Ketoconazole </w:t>
      </w:r>
      <w:r>
        <w:rPr>
          <w:i/>
          <w:color w:val="231F1F"/>
          <w:w w:val="105"/>
        </w:rPr>
        <w:t>see </w:t>
      </w:r>
      <w:r>
        <w:rPr>
          <w:color w:val="231F1F"/>
          <w:w w:val="105"/>
        </w:rPr>
        <w:t>Antifungals, Imidazole </w:t>
      </w:r>
      <w:r>
        <w:rPr>
          <w:rFonts w:ascii="Trebuchet MS"/>
          <w:color w:val="008356"/>
          <w:w w:val="105"/>
        </w:rPr>
        <w:t>Ketoprofen </w:t>
      </w:r>
      <w:r>
        <w:rPr>
          <w:i/>
          <w:color w:val="231F1F"/>
          <w:w w:val="105"/>
        </w:rPr>
        <w:t>see </w:t>
      </w:r>
      <w:r>
        <w:rPr>
          <w:color w:val="231F1F"/>
          <w:w w:val="105"/>
        </w:rPr>
        <w:t>NSAIDs</w:t>
      </w:r>
    </w:p>
    <w:p>
      <w:pPr>
        <w:pStyle w:val="BodyText"/>
        <w:spacing w:line="256" w:lineRule="auto" w:before="2"/>
        <w:ind w:left="186" w:right="2334"/>
      </w:pPr>
      <w:r>
        <w:rPr>
          <w:rFonts w:ascii="Trebuchet MS"/>
          <w:color w:val="008356"/>
          <w:w w:val="105"/>
        </w:rPr>
        <w:t>Ketorolac </w:t>
      </w:r>
      <w:r>
        <w:rPr>
          <w:i/>
          <w:color w:val="231F1F"/>
          <w:w w:val="105"/>
        </w:rPr>
        <w:t>see </w:t>
      </w:r>
      <w:r>
        <w:rPr>
          <w:color w:val="231F1F"/>
          <w:w w:val="105"/>
        </w:rPr>
        <w:t>NSAIDs </w:t>
      </w:r>
      <w:r>
        <w:rPr>
          <w:rFonts w:ascii="Trebuchet MS"/>
          <w:color w:val="008356"/>
          <w:w w:val="105"/>
        </w:rPr>
        <w:t>Ketotifen </w:t>
      </w:r>
      <w:r>
        <w:rPr>
          <w:i/>
          <w:color w:val="231F1F"/>
          <w:w w:val="105"/>
        </w:rPr>
        <w:t>see </w:t>
      </w:r>
      <w:r>
        <w:rPr>
          <w:color w:val="231F1F"/>
          <w:w w:val="105"/>
        </w:rPr>
        <w:t>Antihistamines </w:t>
      </w:r>
      <w:r>
        <w:rPr>
          <w:rFonts w:ascii="Trebuchet MS"/>
          <w:color w:val="008356"/>
          <w:w w:val="105"/>
        </w:rPr>
        <w:t>Labetalol </w:t>
      </w:r>
      <w:r>
        <w:rPr>
          <w:i/>
          <w:color w:val="231F1F"/>
          <w:w w:val="105"/>
        </w:rPr>
        <w:t>see </w:t>
      </w:r>
      <w:r>
        <w:rPr>
          <w:color w:val="231F1F"/>
          <w:w w:val="105"/>
        </w:rPr>
        <w:t>Beta-blockers</w:t>
      </w:r>
    </w:p>
    <w:p>
      <w:pPr>
        <w:pStyle w:val="BodyText"/>
        <w:spacing w:before="1"/>
        <w:ind w:left="186"/>
      </w:pPr>
      <w:r>
        <w:rPr>
          <w:rFonts w:ascii="Trebuchet MS"/>
          <w:color w:val="008356"/>
          <w:w w:val="110"/>
        </w:rPr>
        <w:t>Lacidipine </w:t>
      </w:r>
      <w:r>
        <w:rPr>
          <w:i/>
          <w:color w:val="231F1F"/>
          <w:w w:val="110"/>
        </w:rPr>
        <w:t>see </w:t>
      </w:r>
      <w:r>
        <w:rPr>
          <w:color w:val="231F1F"/>
          <w:w w:val="110"/>
        </w:rPr>
        <w:t>Calcium-channel Blockers</w:t>
      </w:r>
    </w:p>
    <w:p>
      <w:pPr>
        <w:pStyle w:val="BodyText"/>
        <w:spacing w:before="10"/>
        <w:ind w:left="186"/>
        <w:rPr>
          <w:rFonts w:ascii="Trebuchet MS"/>
        </w:rPr>
      </w:pPr>
      <w:r>
        <w:rPr>
          <w:rFonts w:ascii="Trebuchet MS"/>
          <w:color w:val="008356"/>
        </w:rPr>
        <w:t>Lacosamide</w:t>
      </w:r>
    </w:p>
    <w:p>
      <w:pPr>
        <w:spacing w:line="240" w:lineRule="auto" w:before="1"/>
        <w:ind w:left="286" w:right="983" w:hanging="100"/>
        <w:jc w:val="both"/>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w:t>
      </w:r>
      <w:r>
        <w:rPr>
          <w:color w:val="231F1F"/>
          <w:spacing w:val="-13"/>
          <w:w w:val="110"/>
          <w:sz w:val="12"/>
        </w:rPr>
        <w:t> </w:t>
      </w:r>
      <w:r>
        <w:rPr>
          <w:color w:val="231F1F"/>
          <w:w w:val="110"/>
          <w:sz w:val="12"/>
        </w:rPr>
        <w:t>antagonised</w:t>
      </w:r>
      <w:r>
        <w:rPr>
          <w:color w:val="231F1F"/>
          <w:spacing w:val="-12"/>
          <w:w w:val="110"/>
          <w:sz w:val="12"/>
        </w:rPr>
        <w:t> </w:t>
      </w:r>
      <w:r>
        <w:rPr>
          <w:color w:val="231F1F"/>
          <w:w w:val="110"/>
          <w:sz w:val="12"/>
        </w:rPr>
        <w:t>by</w:t>
      </w:r>
      <w:r>
        <w:rPr>
          <w:color w:val="231F1F"/>
          <w:spacing w:val="-12"/>
          <w:w w:val="110"/>
          <w:sz w:val="12"/>
        </w:rPr>
        <w:t> </w:t>
      </w:r>
      <w:r>
        <w:rPr>
          <w:rFonts w:ascii="Calibri"/>
          <w:color w:val="008356"/>
          <w:spacing w:val="4"/>
          <w:w w:val="110"/>
          <w:sz w:val="11"/>
        </w:rPr>
        <w:t>MAOI</w:t>
      </w:r>
      <w:r>
        <w:rPr>
          <w:rFonts w:ascii="Calibri"/>
          <w:color w:val="008356"/>
          <w:spacing w:val="4"/>
          <w:w w:val="110"/>
          <w:sz w:val="9"/>
        </w:rPr>
        <w:t>S</w:t>
      </w:r>
      <w:r>
        <w:rPr>
          <w:rFonts w:ascii="Calibri"/>
          <w:color w:val="008356"/>
          <w:spacing w:val="1"/>
          <w:w w:val="110"/>
          <w:sz w:val="9"/>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TRICYCLIC-RELATED ANTIDEPRESSANTS </w:t>
      </w:r>
      <w:r>
        <w:rPr>
          <w:color w:val="231F1F"/>
          <w:w w:val="110"/>
          <w:sz w:val="12"/>
        </w:rPr>
        <w:t>(convulsive threshold</w:t>
      </w:r>
      <w:r>
        <w:rPr>
          <w:color w:val="231F1F"/>
          <w:spacing w:val="-7"/>
          <w:w w:val="110"/>
          <w:sz w:val="12"/>
        </w:rPr>
        <w:t> </w:t>
      </w:r>
      <w:r>
        <w:rPr>
          <w:color w:val="231F1F"/>
          <w:w w:val="110"/>
          <w:sz w:val="12"/>
        </w:rPr>
        <w:t>lowered);</w:t>
      </w:r>
    </w:p>
    <w:p>
      <w:pPr>
        <w:spacing w:after="0" w:line="240" w:lineRule="auto"/>
        <w:jc w:val="both"/>
        <w:rPr>
          <w:sz w:val="12"/>
        </w:rPr>
        <w:sectPr>
          <w:pgSz w:w="8390" w:h="11910"/>
          <w:pgMar w:header="0" w:footer="0" w:top="460" w:bottom="280" w:left="480" w:right="0"/>
          <w:cols w:num="2" w:equalWidth="0">
            <w:col w:w="3616" w:space="59"/>
            <w:col w:w="4235"/>
          </w:cols>
        </w:sectPr>
      </w:pPr>
    </w:p>
    <w:p>
      <w:pPr>
        <w:pStyle w:val="BodyText"/>
        <w:spacing w:before="8"/>
        <w:ind w:left="0"/>
        <w:rPr>
          <w:sz w:val="14"/>
        </w:rPr>
      </w:pPr>
    </w:p>
    <w:p>
      <w:pPr>
        <w:pStyle w:val="BodyText"/>
        <w:ind w:left="108"/>
        <w:rPr>
          <w:rFonts w:ascii="Arial"/>
        </w:rPr>
      </w:pPr>
      <w:r>
        <w:rPr>
          <w:rFonts w:ascii="Arial"/>
          <w:color w:val="008356"/>
        </w:rPr>
        <w:t>Lacosamide</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Antidepressants (continued)</w:t>
      </w:r>
    </w:p>
    <w:p>
      <w:pPr>
        <w:pStyle w:val="BodyText"/>
        <w:spacing w:line="141" w:lineRule="exact"/>
        <w:rPr>
          <w:rFonts w:ascii="Calibri"/>
          <w:sz w:val="11"/>
        </w:rPr>
      </w:pPr>
      <w:r>
        <w:rPr>
          <w:color w:val="231F1F"/>
          <w:w w:val="120"/>
        </w:rPr>
        <w:t>anticonvulsant</w:t>
      </w:r>
      <w:r>
        <w:rPr>
          <w:color w:val="231F1F"/>
          <w:spacing w:val="-18"/>
          <w:w w:val="120"/>
        </w:rPr>
        <w:t> </w:t>
      </w:r>
      <w:r>
        <w:rPr>
          <w:color w:val="231F1F"/>
          <w:w w:val="120"/>
        </w:rPr>
        <w:t>effect</w:t>
      </w:r>
      <w:r>
        <w:rPr>
          <w:color w:val="231F1F"/>
          <w:spacing w:val="-18"/>
          <w:w w:val="120"/>
        </w:rPr>
        <w:t> </w:t>
      </w:r>
      <w:r>
        <w:rPr>
          <w:color w:val="231F1F"/>
          <w:w w:val="120"/>
        </w:rPr>
        <w:t>of</w:t>
      </w:r>
      <w:r>
        <w:rPr>
          <w:color w:val="231F1F"/>
          <w:spacing w:val="-17"/>
          <w:w w:val="120"/>
        </w:rPr>
        <w:t> </w:t>
      </w:r>
      <w:r>
        <w:rPr>
          <w:color w:val="231F1F"/>
          <w:w w:val="120"/>
        </w:rPr>
        <w:t>antiepileptics</w:t>
      </w:r>
      <w:r>
        <w:rPr>
          <w:color w:val="231F1F"/>
          <w:spacing w:val="-17"/>
          <w:w w:val="120"/>
        </w:rPr>
        <w:t> </w:t>
      </w:r>
      <w:r>
        <w:rPr>
          <w:color w:val="231F1F"/>
          <w:w w:val="120"/>
        </w:rPr>
        <w:t>antagonised</w:t>
      </w:r>
      <w:r>
        <w:rPr>
          <w:color w:val="231F1F"/>
          <w:spacing w:val="-18"/>
          <w:w w:val="120"/>
        </w:rPr>
        <w:t> </w:t>
      </w:r>
      <w:r>
        <w:rPr>
          <w:color w:val="231F1F"/>
          <w:w w:val="120"/>
        </w:rPr>
        <w:t>by</w:t>
      </w:r>
      <w:r>
        <w:rPr>
          <w:color w:val="231F1F"/>
          <w:spacing w:val="-18"/>
          <w:w w:val="120"/>
        </w:rPr>
        <w:t> </w:t>
      </w:r>
      <w:r>
        <w:rPr>
          <w:rFonts w:ascii="Arial"/>
          <w:color w:val="231F1F"/>
          <w:w w:val="120"/>
          <w:position w:val="1"/>
          <w:sz w:val="7"/>
        </w:rPr>
        <w:t>l</w:t>
      </w:r>
      <w:r>
        <w:rPr>
          <w:rFonts w:ascii="Arial"/>
          <w:color w:val="231F1F"/>
          <w:spacing w:val="-6"/>
          <w:w w:val="120"/>
          <w:position w:val="1"/>
          <w:sz w:val="7"/>
        </w:rPr>
        <w:t> </w:t>
      </w:r>
      <w:r>
        <w:rPr>
          <w:rFonts w:ascii="Calibri"/>
          <w:color w:val="008356"/>
          <w:spacing w:val="5"/>
          <w:w w:val="120"/>
          <w:sz w:val="11"/>
        </w:rPr>
        <w:t>SSRIS</w:t>
      </w:r>
    </w:p>
    <w:p>
      <w:pPr>
        <w:spacing w:line="141" w:lineRule="exact" w:before="2"/>
        <w:ind w:left="208" w:right="0" w:firstLine="0"/>
        <w:jc w:val="left"/>
        <w:rPr>
          <w:sz w:val="12"/>
        </w:rPr>
      </w:pP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ind w:right="583"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4"/>
          <w:w w:val="115"/>
        </w:rPr>
        <w:t> </w:t>
      </w:r>
      <w:r>
        <w:rPr>
          <w:color w:val="231F1F"/>
          <w:w w:val="115"/>
        </w:rPr>
        <w:t>anticonvulsant</w:t>
      </w:r>
      <w:r>
        <w:rPr>
          <w:color w:val="231F1F"/>
          <w:spacing w:val="-18"/>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MEFLOQUINE</w:t>
      </w:r>
    </w:p>
    <w:p>
      <w:pPr>
        <w:pStyle w:val="BodyText"/>
        <w:ind w:right="402"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right="51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4"/>
        <w:ind w:left="108"/>
        <w:rPr>
          <w:rFonts w:ascii="Trebuchet MS"/>
        </w:rPr>
      </w:pPr>
      <w:r>
        <w:rPr>
          <w:rFonts w:ascii="Trebuchet MS"/>
          <w:color w:val="008356"/>
        </w:rPr>
        <w:t>Lactulose</w:t>
      </w:r>
    </w:p>
    <w:p>
      <w:pPr>
        <w:pStyle w:val="BodyText"/>
        <w:spacing w:line="220" w:lineRule="auto" w:before="10"/>
        <w:ind w:right="31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lactulose possibly enhances anticoagulant effect of </w:t>
      </w:r>
      <w:r>
        <w:rPr>
          <w:rFonts w:ascii="Calibri" w:hAnsi="Calibri"/>
          <w:color w:val="008356"/>
          <w:w w:val="105"/>
          <w:sz w:val="11"/>
        </w:rPr>
        <w:t>COUMARINS</w:t>
      </w:r>
    </w:p>
    <w:p>
      <w:pPr>
        <w:pStyle w:val="BodyText"/>
        <w:spacing w:before="9"/>
        <w:ind w:left="108"/>
        <w:rPr>
          <w:rFonts w:ascii="Trebuchet MS"/>
        </w:rPr>
      </w:pPr>
      <w:r>
        <w:rPr>
          <w:rFonts w:ascii="Trebuchet MS"/>
          <w:color w:val="008356"/>
        </w:rPr>
        <w:t>Lamivudine</w:t>
      </w:r>
    </w:p>
    <w:p>
      <w:pPr>
        <w:pStyle w:val="BodyText"/>
        <w:spacing w:line="230" w:lineRule="auto" w:before="5"/>
        <w:ind w:right="70" w:hanging="100"/>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lamivudine  increased by </w:t>
      </w:r>
      <w:r>
        <w:rPr>
          <w:rFonts w:ascii="Calibri" w:hAnsi="Calibri"/>
          <w:color w:val="008356"/>
          <w:spacing w:val="4"/>
          <w:w w:val="105"/>
          <w:sz w:val="11"/>
        </w:rPr>
        <w:t>TRIMETHOPRIM </w:t>
      </w:r>
      <w:r>
        <w:rPr>
          <w:color w:val="231F1F"/>
          <w:w w:val="105"/>
        </w:rPr>
        <w:t>(as co-trimoxazole)</w:t>
      </w:r>
      <w:r>
        <w:rPr>
          <w:rFonts w:ascii="Arial" w:hAnsi="Arial"/>
          <w:color w:val="231F1F"/>
          <w:w w:val="105"/>
        </w:rPr>
        <w:t>—</w:t>
      </w:r>
      <w:r>
        <w:rPr>
          <w:color w:val="231F1F"/>
          <w:w w:val="105"/>
        </w:rPr>
        <w:t>avoid concomitant use of high-dose</w:t>
      </w:r>
      <w:r>
        <w:rPr>
          <w:color w:val="231F1F"/>
          <w:spacing w:val="1"/>
          <w:w w:val="105"/>
        </w:rPr>
        <w:t> </w:t>
      </w:r>
      <w:r>
        <w:rPr>
          <w:color w:val="231F1F"/>
          <w:w w:val="105"/>
        </w:rPr>
        <w:t>co-trimoxazole</w:t>
      </w:r>
    </w:p>
    <w:p>
      <w:pPr>
        <w:pStyle w:val="BodyText"/>
        <w:spacing w:line="220" w:lineRule="auto" w:before="12"/>
        <w:ind w:right="21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avoidance of  lamivudine advised by  </w:t>
      </w:r>
      <w:r>
        <w:rPr>
          <w:color w:val="231F1F"/>
          <w:spacing w:val="-3"/>
          <w:w w:val="105"/>
        </w:rPr>
        <w:t>manufacturer </w:t>
      </w:r>
      <w:r>
        <w:rPr>
          <w:color w:val="231F1F"/>
          <w:w w:val="105"/>
        </w:rPr>
        <w:t>of</w:t>
      </w:r>
      <w:r>
        <w:rPr>
          <w:color w:val="231F1F"/>
          <w:spacing w:val="-1"/>
          <w:w w:val="105"/>
        </w:rPr>
        <w:t> </w:t>
      </w:r>
      <w:r>
        <w:rPr>
          <w:rFonts w:ascii="Calibri" w:hAnsi="Calibri"/>
          <w:color w:val="008356"/>
          <w:spacing w:val="4"/>
          <w:w w:val="105"/>
          <w:sz w:val="11"/>
        </w:rPr>
        <w:t>EMTRICITABINE</w:t>
      </w:r>
    </w:p>
    <w:p>
      <w:pPr>
        <w:pStyle w:val="BodyText"/>
        <w:ind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manufacturer of lamivudine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5"/>
          <w:w w:val="110"/>
          <w:sz w:val="11"/>
        </w:rPr>
        <w:t>CLADRIBINE</w:t>
      </w:r>
    </w:p>
    <w:p>
      <w:pPr>
        <w:pStyle w:val="BodyText"/>
        <w:spacing w:line="143" w:lineRule="exact"/>
        <w:ind w:left="108"/>
      </w:pPr>
      <w:r>
        <w:rPr>
          <w:rFonts w:ascii="Arial"/>
          <w:color w:val="231F1F"/>
          <w:w w:val="355"/>
          <w:position w:val="1"/>
          <w:sz w:val="7"/>
        </w:rPr>
        <w:t>l </w:t>
      </w:r>
      <w:r>
        <w:rPr>
          <w:rFonts w:ascii="Calibri"/>
          <w:color w:val="231F1F"/>
          <w:w w:val="115"/>
        </w:rPr>
        <w:t>Orlistat: </w:t>
      </w:r>
      <w:r>
        <w:rPr>
          <w:color w:val="231F1F"/>
          <w:w w:val="115"/>
        </w:rPr>
        <w:t>absorption of lamivudine possibly reduced by</w:t>
      </w:r>
    </w:p>
    <w:p>
      <w:pPr>
        <w:spacing w:before="6"/>
        <w:ind w:left="208" w:right="0" w:firstLine="0"/>
        <w:jc w:val="left"/>
        <w:rPr>
          <w:rFonts w:ascii="Calibri"/>
          <w:sz w:val="11"/>
        </w:rPr>
      </w:pPr>
      <w:r>
        <w:rPr>
          <w:rFonts w:ascii="Arial"/>
          <w:color w:val="231F1F"/>
          <w:w w:val="110"/>
          <w:position w:val="1"/>
          <w:sz w:val="7"/>
        </w:rPr>
        <w:t>l</w:t>
      </w:r>
      <w:r>
        <w:rPr>
          <w:rFonts w:ascii="Arial"/>
          <w:color w:val="231F1F"/>
          <w:spacing w:val="9"/>
          <w:w w:val="110"/>
          <w:position w:val="1"/>
          <w:sz w:val="7"/>
        </w:rPr>
        <w:t> </w:t>
      </w:r>
      <w:r>
        <w:rPr>
          <w:rFonts w:ascii="Calibri"/>
          <w:color w:val="008356"/>
          <w:spacing w:val="3"/>
          <w:w w:val="110"/>
          <w:sz w:val="11"/>
        </w:rPr>
        <w:t>ORLISTAT</w:t>
      </w:r>
    </w:p>
    <w:p>
      <w:pPr>
        <w:pStyle w:val="BodyText"/>
        <w:spacing w:line="139" w:lineRule="exact" w:before="8"/>
        <w:ind w:left="108"/>
        <w:rPr>
          <w:rFonts w:ascii="Trebuchet MS"/>
        </w:rPr>
      </w:pPr>
      <w:r>
        <w:rPr>
          <w:rFonts w:ascii="Trebuchet MS"/>
          <w:color w:val="008356"/>
        </w:rPr>
        <w:t>Lamotrigine</w:t>
      </w:r>
    </w:p>
    <w:p>
      <w:pPr>
        <w:pStyle w:val="BodyText"/>
        <w:ind w:right="177"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plasma concentration of lamotrigine reduced by </w:t>
      </w:r>
      <w:r>
        <w:rPr>
          <w:rFonts w:ascii="Arial"/>
          <w:color w:val="231F1F"/>
          <w:w w:val="355"/>
          <w:position w:val="1"/>
          <w:sz w:val="7"/>
        </w:rPr>
        <w:t>l </w:t>
      </w:r>
      <w:r>
        <w:rPr>
          <w:rFonts w:ascii="Calibri"/>
          <w:color w:val="008356"/>
          <w:w w:val="110"/>
          <w:sz w:val="11"/>
        </w:rPr>
        <w:t>RIFAMPICIN</w:t>
      </w:r>
    </w:p>
    <w:p>
      <w:pPr>
        <w:spacing w:line="242" w:lineRule="auto" w:before="0"/>
        <w:ind w:left="208" w:right="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44" w:lineRule="auto"/>
        <w:ind w:hanging="100"/>
      </w:pPr>
      <w:r>
        <w:rPr>
          <w:rFonts w:ascii="Arial"/>
          <w:color w:val="231F1F"/>
          <w:w w:val="355"/>
          <w:position w:val="1"/>
          <w:sz w:val="7"/>
        </w:rPr>
        <w:t>l </w:t>
      </w:r>
      <w:r>
        <w:rPr>
          <w:rFonts w:ascii="Calibri"/>
          <w:color w:val="231F1F"/>
          <w:w w:val="110"/>
        </w:rPr>
        <w:t>Antiepileptics: </w:t>
      </w:r>
      <w:r>
        <w:rPr>
          <w:color w:val="231F1F"/>
          <w:w w:val="110"/>
        </w:rPr>
        <w:t>plasma concentration of lamotrigine often reduced by </w:t>
      </w:r>
      <w:r>
        <w:rPr>
          <w:rFonts w:ascii="Calibri"/>
          <w:color w:val="008356"/>
          <w:w w:val="110"/>
          <w:sz w:val="11"/>
        </w:rPr>
        <w:t>CARBAMAZEPINE</w:t>
      </w:r>
      <w:r>
        <w:rPr>
          <w:color w:val="231F1F"/>
          <w:w w:val="110"/>
        </w:rPr>
        <w:t>, also plasma concentration of an active metabolite of carbamazepine sometimes raised (but evidence is conflicting); plasma concentration of lamotrigine reduced by </w:t>
      </w:r>
      <w:r>
        <w:rPr>
          <w:rFonts w:ascii="Calibri"/>
          <w:color w:val="008356"/>
          <w:w w:val="110"/>
          <w:sz w:val="11"/>
        </w:rPr>
        <w:t>FOSPHENYTOIN</w:t>
      </w:r>
      <w:r>
        <w:rPr>
          <w:color w:val="231F1F"/>
          <w:w w:val="110"/>
        </w:rPr>
        <w:t>, </w:t>
      </w:r>
      <w:r>
        <w:rPr>
          <w:rFonts w:ascii="Calibri"/>
          <w:color w:val="008356"/>
          <w:w w:val="110"/>
          <w:sz w:val="11"/>
        </w:rPr>
        <w:t>PHENOBARBITAL</w:t>
      </w:r>
      <w:r>
        <w:rPr>
          <w:color w:val="231F1F"/>
          <w:w w:val="110"/>
        </w:rPr>
        <w:t>, </w:t>
      </w:r>
      <w:r>
        <w:rPr>
          <w:rFonts w:ascii="Calibri"/>
          <w:color w:val="008356"/>
          <w:w w:val="110"/>
          <w:sz w:val="11"/>
        </w:rPr>
        <w:t>PHENYTOIN </w:t>
      </w:r>
      <w:r>
        <w:rPr>
          <w:color w:val="231F1F"/>
          <w:w w:val="110"/>
        </w:rPr>
        <w:t>and</w:t>
      </w:r>
    </w:p>
    <w:p>
      <w:pPr>
        <w:spacing w:line="242" w:lineRule="auto" w:before="0"/>
        <w:ind w:left="208" w:right="43" w:firstLine="0"/>
        <w:jc w:val="left"/>
        <w:rPr>
          <w:sz w:val="12"/>
        </w:rPr>
      </w:pPr>
      <w:r>
        <w:rPr>
          <w:rFonts w:ascii="Calibri" w:hAnsi="Calibri"/>
          <w:color w:val="008356"/>
          <w:spacing w:val="4"/>
          <w:w w:val="115"/>
          <w:sz w:val="11"/>
        </w:rPr>
        <w:t>PRIMIDONE</w:t>
      </w:r>
      <w:r>
        <w:rPr>
          <w:color w:val="231F1F"/>
          <w:spacing w:val="4"/>
          <w:w w:val="115"/>
          <w:sz w:val="12"/>
        </w:rPr>
        <w:t>;</w:t>
      </w:r>
      <w:r>
        <w:rPr>
          <w:color w:val="231F1F"/>
          <w:spacing w:val="-19"/>
          <w:w w:val="115"/>
          <w:sz w:val="12"/>
        </w:rPr>
        <w:t> </w:t>
      </w:r>
      <w:r>
        <w:rPr>
          <w:color w:val="231F1F"/>
          <w:w w:val="115"/>
          <w:sz w:val="12"/>
        </w:rPr>
        <w:t>plasma</w:t>
      </w:r>
      <w:r>
        <w:rPr>
          <w:color w:val="231F1F"/>
          <w:spacing w:val="-18"/>
          <w:w w:val="115"/>
          <w:sz w:val="12"/>
        </w:rPr>
        <w:t> </w:t>
      </w:r>
      <w:r>
        <w:rPr>
          <w:color w:val="231F1F"/>
          <w:w w:val="115"/>
          <w:sz w:val="12"/>
        </w:rPr>
        <w:t>concentration</w:t>
      </w:r>
      <w:r>
        <w:rPr>
          <w:color w:val="231F1F"/>
          <w:spacing w:val="-20"/>
          <w:w w:val="115"/>
          <w:sz w:val="12"/>
        </w:rPr>
        <w:t> </w:t>
      </w:r>
      <w:r>
        <w:rPr>
          <w:color w:val="231F1F"/>
          <w:w w:val="115"/>
          <w:sz w:val="12"/>
        </w:rPr>
        <w:t>of</w:t>
      </w:r>
      <w:r>
        <w:rPr>
          <w:color w:val="231F1F"/>
          <w:spacing w:val="-18"/>
          <w:w w:val="115"/>
          <w:sz w:val="12"/>
        </w:rPr>
        <w:t> </w:t>
      </w:r>
      <w:r>
        <w:rPr>
          <w:color w:val="231F1F"/>
          <w:w w:val="115"/>
          <w:sz w:val="12"/>
        </w:rPr>
        <w:t>lamotrigine</w:t>
      </w:r>
      <w:r>
        <w:rPr>
          <w:color w:val="231F1F"/>
          <w:spacing w:val="-19"/>
          <w:w w:val="115"/>
          <w:sz w:val="12"/>
        </w:rPr>
        <w:t> </w:t>
      </w:r>
      <w:r>
        <w:rPr>
          <w:color w:val="231F1F"/>
          <w:w w:val="115"/>
          <w:sz w:val="12"/>
        </w:rPr>
        <w:t>increased</w:t>
      </w:r>
      <w:r>
        <w:rPr>
          <w:color w:val="231F1F"/>
          <w:spacing w:val="-19"/>
          <w:w w:val="115"/>
          <w:sz w:val="12"/>
        </w:rPr>
        <w:t> </w:t>
      </w:r>
      <w:r>
        <w:rPr>
          <w:color w:val="231F1F"/>
          <w:spacing w:val="-6"/>
          <w:w w:val="115"/>
          <w:sz w:val="12"/>
        </w:rPr>
        <w:t>by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SODIUM</w:t>
      </w:r>
      <w:r>
        <w:rPr>
          <w:rFonts w:ascii="Calibri" w:hAnsi="Calibri"/>
          <w:color w:val="008356"/>
          <w:spacing w:val="-14"/>
          <w:w w:val="115"/>
          <w:sz w:val="11"/>
        </w:rPr>
        <w:t> </w:t>
      </w:r>
      <w:r>
        <w:rPr>
          <w:rFonts w:ascii="Calibri" w:hAnsi="Calibri"/>
          <w:color w:val="008356"/>
          <w:spacing w:val="3"/>
          <w:w w:val="115"/>
          <w:sz w:val="11"/>
        </w:rPr>
        <w:t>VALPROATE</w:t>
      </w:r>
      <w:r>
        <w:rPr>
          <w:rFonts w:ascii="Calibri" w:hAnsi="Calibri"/>
          <w:color w:val="008356"/>
          <w:spacing w:val="-11"/>
          <w:w w:val="115"/>
          <w:sz w:val="11"/>
        </w:rPr>
        <w:t> </w:t>
      </w:r>
      <w:r>
        <w:rPr>
          <w:color w:val="231F1F"/>
          <w:w w:val="115"/>
          <w:sz w:val="12"/>
        </w:rPr>
        <w:t>and</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VALPROIC</w:t>
      </w:r>
      <w:r>
        <w:rPr>
          <w:rFonts w:ascii="Calibri" w:hAnsi="Calibri"/>
          <w:color w:val="008356"/>
          <w:spacing w:val="-13"/>
          <w:w w:val="115"/>
          <w:sz w:val="11"/>
        </w:rPr>
        <w:t> </w:t>
      </w:r>
      <w:r>
        <w:rPr>
          <w:rFonts w:ascii="Calibri" w:hAnsi="Calibri"/>
          <w:color w:val="008356"/>
          <w:spacing w:val="3"/>
          <w:w w:val="115"/>
          <w:sz w:val="11"/>
        </w:rPr>
        <w:t>ACID</w:t>
      </w:r>
      <w:r>
        <w:rPr>
          <w:rFonts w:ascii="Calibri" w:hAnsi="Calibri"/>
          <w:color w:val="008356"/>
          <w:spacing w:val="-11"/>
          <w:w w:val="115"/>
          <w:sz w:val="11"/>
        </w:rPr>
        <w:t> </w:t>
      </w:r>
      <w:r>
        <w:rPr>
          <w:color w:val="231F1F"/>
          <w:w w:val="115"/>
          <w:sz w:val="12"/>
        </w:rPr>
        <w:t>(increased</w:t>
      </w:r>
      <w:r>
        <w:rPr>
          <w:color w:val="231F1F"/>
          <w:spacing w:val="-21"/>
          <w:w w:val="115"/>
          <w:sz w:val="12"/>
        </w:rPr>
        <w:t> </w:t>
      </w:r>
      <w:r>
        <w:rPr>
          <w:color w:val="231F1F"/>
          <w:w w:val="115"/>
          <w:sz w:val="12"/>
        </w:rPr>
        <w:t>risk</w:t>
      </w:r>
      <w:r>
        <w:rPr>
          <w:color w:val="231F1F"/>
          <w:spacing w:val="-19"/>
          <w:w w:val="115"/>
          <w:sz w:val="12"/>
        </w:rPr>
        <w:t> </w:t>
      </w:r>
      <w:r>
        <w:rPr>
          <w:color w:val="231F1F"/>
          <w:w w:val="115"/>
          <w:sz w:val="12"/>
        </w:rPr>
        <w:t>of toxicity</w:t>
      </w:r>
      <w:r>
        <w:rPr>
          <w:rFonts w:ascii="Arial" w:hAnsi="Arial"/>
          <w:color w:val="231F1F"/>
          <w:w w:val="115"/>
          <w:sz w:val="12"/>
        </w:rPr>
        <w:t>—</w:t>
      </w:r>
      <w:r>
        <w:rPr>
          <w:color w:val="231F1F"/>
          <w:w w:val="115"/>
          <w:sz w:val="12"/>
        </w:rPr>
        <w:t>reduce lamotrigine</w:t>
      </w:r>
      <w:r>
        <w:rPr>
          <w:color w:val="231F1F"/>
          <w:spacing w:val="-9"/>
          <w:w w:val="115"/>
          <w:sz w:val="12"/>
        </w:rPr>
        <w:t> </w:t>
      </w:r>
      <w:r>
        <w:rPr>
          <w:color w:val="231F1F"/>
          <w:w w:val="115"/>
          <w:sz w:val="12"/>
        </w:rPr>
        <w:t>dose)</w:t>
      </w:r>
    </w:p>
    <w:p>
      <w:pPr>
        <w:pStyle w:val="BodyText"/>
        <w:ind w:right="583"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4"/>
          <w:w w:val="115"/>
        </w:rPr>
        <w:t> </w:t>
      </w:r>
      <w:r>
        <w:rPr>
          <w:color w:val="231F1F"/>
          <w:w w:val="115"/>
        </w:rPr>
        <w:t>anticonvulsant</w:t>
      </w:r>
      <w:r>
        <w:rPr>
          <w:color w:val="231F1F"/>
          <w:spacing w:val="-18"/>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MEFLOQUINE</w:t>
      </w:r>
    </w:p>
    <w:p>
      <w:pPr>
        <w:pStyle w:val="BodyText"/>
        <w:ind w:right="402"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220" w:lineRule="auto" w:before="1"/>
        <w:ind w:right="31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lamotrigine possibly reduced by </w:t>
      </w:r>
      <w:r>
        <w:rPr>
          <w:rFonts w:ascii="Calibri" w:hAnsi="Calibri"/>
          <w:color w:val="008356"/>
          <w:w w:val="105"/>
          <w:sz w:val="11"/>
        </w:rPr>
        <w:t>RITONAVIR</w:t>
      </w:r>
    </w:p>
    <w:p>
      <w:pPr>
        <w:pStyle w:val="BodyText"/>
        <w:spacing w:line="145" w:lineRule="exact"/>
        <w:ind w:left="108"/>
      </w:pPr>
      <w:r>
        <w:rPr>
          <w:rFonts w:ascii="Arial"/>
          <w:color w:val="231F1F"/>
          <w:w w:val="355"/>
          <w:position w:val="1"/>
          <w:sz w:val="7"/>
        </w:rPr>
        <w:t>l </w:t>
      </w:r>
      <w:r>
        <w:rPr>
          <w:rFonts w:ascii="Calibri"/>
          <w:color w:val="231F1F"/>
          <w:w w:val="110"/>
        </w:rPr>
        <w:t>Oestrogens: </w:t>
      </w:r>
      <w:r>
        <w:rPr>
          <w:color w:val="231F1F"/>
          <w:w w:val="110"/>
        </w:rPr>
        <w:t>plasma concentration of lamotrigine reduced by</w:t>
      </w:r>
    </w:p>
    <w:p>
      <w:pPr>
        <w:spacing w:line="141"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OESTROGENS</w:t>
      </w:r>
      <w:r>
        <w:rPr>
          <w:rFonts w:ascii="Arial" w:hAnsi="Arial"/>
          <w:color w:val="231F1F"/>
          <w:w w:val="115"/>
          <w:sz w:val="12"/>
        </w:rPr>
        <w:t>—</w:t>
      </w:r>
      <w:r>
        <w:rPr>
          <w:color w:val="231F1F"/>
          <w:w w:val="115"/>
          <w:sz w:val="12"/>
        </w:rPr>
        <w:t>consider increasing dose of lamotrigine</w:t>
      </w:r>
    </w:p>
    <w:p>
      <w:pPr>
        <w:pStyle w:val="BodyText"/>
        <w:ind w:right="51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220" w:lineRule="auto" w:before="4"/>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plasma concentration of lamotrigine possibly increased by </w:t>
      </w:r>
      <w:r>
        <w:rPr>
          <w:rFonts w:ascii="Calibri" w:hAnsi="Calibri"/>
          <w:color w:val="008356"/>
          <w:w w:val="105"/>
          <w:sz w:val="11"/>
        </w:rPr>
        <w:t>DESOGESTREL</w:t>
      </w:r>
    </w:p>
    <w:p>
      <w:pPr>
        <w:pStyle w:val="BodyText"/>
        <w:spacing w:before="9"/>
        <w:ind w:left="108"/>
        <w:rPr>
          <w:rFonts w:ascii="Trebuchet MS"/>
        </w:rPr>
      </w:pPr>
      <w:r>
        <w:rPr>
          <w:rFonts w:ascii="Trebuchet MS"/>
          <w:color w:val="008356"/>
        </w:rPr>
        <w:t>Lanreotide</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lanreotide possibly reduces requirements for</w:t>
      </w:r>
    </w:p>
    <w:p>
      <w:pPr>
        <w:spacing w:line="130" w:lineRule="exact" w:before="0"/>
        <w:ind w:left="208" w:right="0" w:firstLine="0"/>
        <w:jc w:val="left"/>
        <w:rPr>
          <w:rFonts w:ascii="Calibri"/>
          <w:sz w:val="11"/>
        </w:rPr>
      </w:pPr>
      <w:r>
        <w:rPr>
          <w:rFonts w:ascii="Calibri"/>
          <w:color w:val="008356"/>
          <w:sz w:val="11"/>
        </w:rPr>
        <w:t>ANTIDIABETICS</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Ciclosporin: </w:t>
      </w:r>
      <w:r>
        <w:rPr>
          <w:color w:val="231F1F"/>
          <w:w w:val="105"/>
        </w:rPr>
        <w:t>lanreotide reduces plasma concentration of</w:t>
      </w:r>
    </w:p>
    <w:p>
      <w:pPr>
        <w:spacing w:line="132" w:lineRule="exact" w:before="0"/>
        <w:ind w:left="208" w:right="0" w:firstLine="0"/>
        <w:jc w:val="left"/>
        <w:rPr>
          <w:rFonts w:ascii="Calibri"/>
          <w:sz w:val="11"/>
        </w:rPr>
      </w:pPr>
      <w:r>
        <w:rPr>
          <w:rFonts w:ascii="Calibri"/>
          <w:color w:val="008356"/>
          <w:sz w:val="11"/>
        </w:rPr>
        <w:t>CICLOSPORIN</w:t>
      </w:r>
    </w:p>
    <w:p>
      <w:pPr>
        <w:pStyle w:val="BodyText"/>
        <w:spacing w:before="7"/>
        <w:ind w:left="108"/>
      </w:pPr>
      <w:r>
        <w:rPr>
          <w:rFonts w:ascii="Trebuchet MS"/>
          <w:color w:val="008356"/>
          <w:w w:val="110"/>
        </w:rPr>
        <w:t>Lansoprazole </w:t>
      </w:r>
      <w:r>
        <w:rPr>
          <w:i/>
          <w:color w:val="231F1F"/>
          <w:w w:val="110"/>
        </w:rPr>
        <w:t>see </w:t>
      </w:r>
      <w:r>
        <w:rPr>
          <w:color w:val="231F1F"/>
          <w:w w:val="110"/>
        </w:rPr>
        <w:t>Proton Pump Inhibitors</w:t>
      </w:r>
    </w:p>
    <w:p>
      <w:pPr>
        <w:pStyle w:val="BodyText"/>
        <w:spacing w:line="139" w:lineRule="exact" w:before="10"/>
        <w:ind w:left="108"/>
        <w:rPr>
          <w:rFonts w:ascii="Trebuchet MS"/>
        </w:rPr>
      </w:pPr>
      <w:r>
        <w:rPr>
          <w:rFonts w:ascii="Trebuchet MS"/>
          <w:color w:val="008356"/>
        </w:rPr>
        <w:t>Lanthanum</w:t>
      </w:r>
    </w:p>
    <w:p>
      <w:pPr>
        <w:pStyle w:val="BodyText"/>
        <w:spacing w:line="230" w:lineRule="auto" w:before="5"/>
        <w:ind w:right="334" w:hanging="100"/>
        <w:jc w:val="both"/>
      </w:pPr>
      <w:r>
        <w:rPr>
          <w:rFonts w:ascii="Lucida Sans Unicode" w:hAnsi="Lucida Sans Unicode"/>
          <w:color w:val="A7A8AC"/>
          <w:w w:val="95"/>
          <w:sz w:val="10"/>
        </w:rPr>
        <w:t>▶ </w:t>
      </w:r>
      <w:r>
        <w:rPr>
          <w:rFonts w:ascii="Calibri" w:hAnsi="Calibri"/>
          <w:color w:val="231F1F"/>
          <w:w w:val="110"/>
        </w:rPr>
        <w:t>Antibacterials: </w:t>
      </w:r>
      <w:r>
        <w:rPr>
          <w:color w:val="231F1F"/>
          <w:w w:val="110"/>
        </w:rPr>
        <w:t>lanthanum possibly reduces absorption of </w:t>
      </w:r>
      <w:r>
        <w:rPr>
          <w:rFonts w:ascii="Calibri" w:hAnsi="Calibri"/>
          <w:color w:val="008356"/>
          <w:w w:val="110"/>
          <w:sz w:val="11"/>
        </w:rPr>
        <w:t>QUINOLONES </w:t>
      </w:r>
      <w:r>
        <w:rPr>
          <w:color w:val="231F1F"/>
          <w:w w:val="110"/>
        </w:rPr>
        <w:t>(give at least 2 hours before or 4 hours after lanthanum)</w:t>
      </w:r>
    </w:p>
    <w:p>
      <w:pPr>
        <w:pStyle w:val="BodyText"/>
        <w:spacing w:line="152" w:lineRule="exact" w:before="3"/>
        <w:ind w:left="108"/>
        <w:jc w:val="both"/>
      </w:pPr>
      <w:r>
        <w:rPr>
          <w:rFonts w:ascii="Lucida Sans Unicode" w:hAnsi="Lucida Sans Unicode"/>
          <w:color w:val="A7A8AC"/>
          <w:w w:val="95"/>
          <w:sz w:val="10"/>
        </w:rPr>
        <w:t>▶ </w:t>
      </w:r>
      <w:r>
        <w:rPr>
          <w:rFonts w:ascii="Calibri" w:hAnsi="Calibri"/>
          <w:color w:val="231F1F"/>
          <w:w w:val="105"/>
        </w:rPr>
        <w:t>Antifungals: </w:t>
      </w:r>
      <w:r>
        <w:rPr>
          <w:color w:val="231F1F"/>
          <w:w w:val="105"/>
        </w:rPr>
        <w:t>lanthanum possibly reduces absorption of</w:t>
      </w:r>
    </w:p>
    <w:p>
      <w:pPr>
        <w:spacing w:line="134" w:lineRule="exact" w:before="0"/>
        <w:ind w:left="208" w:right="0" w:firstLine="0"/>
        <w:jc w:val="left"/>
        <w:rPr>
          <w:sz w:val="12"/>
        </w:rPr>
      </w:pPr>
      <w:r>
        <w:rPr>
          <w:rFonts w:ascii="Calibri"/>
          <w:color w:val="008356"/>
          <w:w w:val="110"/>
          <w:sz w:val="11"/>
        </w:rPr>
        <w:t>KETOCONAZOLE </w:t>
      </w:r>
      <w:r>
        <w:rPr>
          <w:color w:val="231F1F"/>
          <w:w w:val="110"/>
          <w:sz w:val="12"/>
        </w:rPr>
        <w:t>(give at least 2 hours apart)</w:t>
      </w:r>
    </w:p>
    <w:p>
      <w:pPr>
        <w:spacing w:line="230" w:lineRule="auto" w:before="3"/>
        <w:ind w:left="208" w:right="0" w:hanging="100"/>
        <w:jc w:val="left"/>
        <w:rPr>
          <w:sz w:val="12"/>
        </w:rPr>
      </w:pPr>
      <w:r>
        <w:rPr>
          <w:rFonts w:ascii="Lucida Sans Unicode" w:hAnsi="Lucida Sans Unicode"/>
          <w:color w:val="A7A8AC"/>
          <w:w w:val="95"/>
          <w:sz w:val="10"/>
        </w:rPr>
        <w:t>▶ </w:t>
      </w:r>
      <w:r>
        <w:rPr>
          <w:rFonts w:ascii="Calibri" w:hAnsi="Calibri"/>
          <w:color w:val="231F1F"/>
          <w:w w:val="110"/>
          <w:sz w:val="12"/>
        </w:rPr>
        <w:t>Antimalarials: </w:t>
      </w:r>
      <w:r>
        <w:rPr>
          <w:color w:val="231F1F"/>
          <w:w w:val="110"/>
          <w:sz w:val="12"/>
        </w:rPr>
        <w:t>lanthanum possibly reduces absorption of </w:t>
      </w:r>
      <w:r>
        <w:rPr>
          <w:rFonts w:ascii="Calibri" w:hAnsi="Calibri"/>
          <w:color w:val="008356"/>
          <w:w w:val="105"/>
          <w:sz w:val="11"/>
        </w:rPr>
        <w:t>CHLOROQUINE </w:t>
      </w:r>
      <w:r>
        <w:rPr>
          <w:color w:val="231F1F"/>
          <w:w w:val="105"/>
          <w:sz w:val="12"/>
        </w:rPr>
        <w:t>and </w:t>
      </w:r>
      <w:r>
        <w:rPr>
          <w:rFonts w:ascii="Calibri" w:hAnsi="Calibri"/>
          <w:color w:val="008356"/>
          <w:w w:val="105"/>
          <w:sz w:val="11"/>
        </w:rPr>
        <w:t>HYDROXYCHLOROQUINE </w:t>
      </w:r>
      <w:r>
        <w:rPr>
          <w:color w:val="231F1F"/>
          <w:w w:val="105"/>
          <w:sz w:val="12"/>
        </w:rPr>
        <w:t>(give at least 2 hours </w:t>
      </w:r>
      <w:r>
        <w:rPr>
          <w:color w:val="231F1F"/>
          <w:w w:val="110"/>
          <w:sz w:val="12"/>
        </w:rPr>
        <w:t>apart)</w:t>
      </w:r>
    </w:p>
    <w:p>
      <w:pPr>
        <w:pStyle w:val="BodyText"/>
        <w:spacing w:line="152" w:lineRule="exact" w:before="4"/>
        <w:ind w:left="108"/>
      </w:pPr>
      <w:r>
        <w:rPr>
          <w:rFonts w:ascii="Lucida Sans Unicode" w:hAnsi="Lucida Sans Unicode"/>
          <w:color w:val="A7A8AC"/>
          <w:w w:val="95"/>
          <w:sz w:val="10"/>
        </w:rPr>
        <w:t>▶ </w:t>
      </w:r>
      <w:r>
        <w:rPr>
          <w:rFonts w:ascii="Calibri" w:hAnsi="Calibri"/>
          <w:color w:val="231F1F"/>
          <w:w w:val="105"/>
        </w:rPr>
        <w:t>Thyroid Hormones: </w:t>
      </w:r>
      <w:r>
        <w:rPr>
          <w:color w:val="231F1F"/>
          <w:w w:val="105"/>
        </w:rPr>
        <w:t>lanthanum reduces absorption of</w:t>
      </w:r>
    </w:p>
    <w:p>
      <w:pPr>
        <w:spacing w:line="136" w:lineRule="exact" w:before="0"/>
        <w:ind w:left="208" w:right="0" w:firstLine="0"/>
        <w:jc w:val="left"/>
        <w:rPr>
          <w:sz w:val="12"/>
        </w:rPr>
      </w:pPr>
      <w:r>
        <w:rPr>
          <w:rFonts w:ascii="Calibri"/>
          <w:color w:val="008356"/>
          <w:w w:val="110"/>
          <w:sz w:val="11"/>
        </w:rPr>
        <w:t>LEVOTHYROXINE </w:t>
      </w:r>
      <w:r>
        <w:rPr>
          <w:color w:val="231F1F"/>
          <w:w w:val="110"/>
          <w:sz w:val="12"/>
        </w:rPr>
        <w:t>(give at least 2 hours apart)</w:t>
      </w:r>
    </w:p>
    <w:p>
      <w:pPr>
        <w:pStyle w:val="BodyText"/>
        <w:spacing w:line="139" w:lineRule="exact" w:before="7"/>
        <w:ind w:left="108"/>
        <w:rPr>
          <w:rFonts w:ascii="Trebuchet MS"/>
        </w:rPr>
      </w:pPr>
      <w:r>
        <w:rPr>
          <w:rFonts w:ascii="Trebuchet MS"/>
          <w:color w:val="008356"/>
        </w:rPr>
        <w:t>Lapatinib</w:t>
      </w:r>
    </w:p>
    <w:p>
      <w:pPr>
        <w:spacing w:before="0"/>
        <w:ind w:left="208" w:right="0"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manufacturer of lapatinib advises avoid concomitant use with </w:t>
      </w:r>
      <w:r>
        <w:rPr>
          <w:rFonts w:ascii="Arial"/>
          <w:color w:val="231F1F"/>
          <w:w w:val="355"/>
          <w:position w:val="1"/>
          <w:sz w:val="7"/>
        </w:rPr>
        <w:t>l </w:t>
      </w:r>
      <w:r>
        <w:rPr>
          <w:rFonts w:ascii="Calibri"/>
          <w:color w:val="008356"/>
          <w:w w:val="110"/>
          <w:sz w:val="11"/>
        </w:rPr>
        <w:t>RIFABUTIN</w:t>
      </w:r>
      <w:r>
        <w:rPr>
          <w:color w:val="231F1F"/>
          <w:w w:val="110"/>
          <w:sz w:val="12"/>
        </w:rPr>
        <w:t>, </w:t>
      </w:r>
      <w:r>
        <w:rPr>
          <w:rFonts w:ascii="Arial"/>
          <w:color w:val="231F1F"/>
          <w:w w:val="355"/>
          <w:position w:val="1"/>
          <w:sz w:val="7"/>
        </w:rPr>
        <w:t>l </w:t>
      </w:r>
      <w:r>
        <w:rPr>
          <w:rFonts w:ascii="Calibri"/>
          <w:color w:val="008356"/>
          <w:w w:val="110"/>
          <w:sz w:val="11"/>
        </w:rPr>
        <w:t>RIFAMPICIN </w:t>
      </w:r>
      <w:r>
        <w:rPr>
          <w:color w:val="231F1F"/>
          <w:w w:val="110"/>
          <w:sz w:val="12"/>
        </w:rPr>
        <w:t>and</w:t>
      </w:r>
    </w:p>
    <w:p>
      <w:pPr>
        <w:spacing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TELITHROMYCIN</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Lapatinib </w:t>
      </w:r>
      <w:r>
        <w:rPr>
          <w:rFonts w:ascii="Calibri"/>
          <w:color w:val="231F1F"/>
        </w:rPr>
        <w:t>(continued)</w:t>
      </w:r>
    </w:p>
    <w:p>
      <w:pPr>
        <w:pStyle w:val="BodyText"/>
        <w:ind w:right="670" w:hanging="100"/>
        <w:rPr>
          <w:rFonts w:ascii="Calibri" w:hAnsi="Calibri"/>
          <w:sz w:val="11"/>
        </w:rPr>
      </w:pPr>
      <w:r>
        <w:rPr/>
        <w:pict>
          <v:rect style="position:absolute;margin-left:398.891296pt;margin-top:-8.517115pt;width:20.522993pt;height:149.443pt;mso-position-horizontal-relative:page;mso-position-vertical-relative:paragraph;z-index:4480" filled="true" fillcolor="#bfdbcf" stroked="false">
            <v:fill type="solid"/>
            <w10:wrap type="none"/>
          </v:rect>
        </w:pict>
      </w:r>
      <w:r>
        <w:rPr/>
        <w:pict>
          <v:shape style="position:absolute;margin-left:399.725769pt;margin-top:-3.553726pt;width:10.4pt;height:78.850pt;mso-position-horizontal-relative:page;mso-position-vertical-relative:paragraph;z-index:450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Calibri" w:hAnsi="Calibri"/>
          <w:color w:val="231F1F"/>
          <w:w w:val="110"/>
        </w:rPr>
        <w:t>Antidepressants: </w:t>
      </w:r>
      <w:r>
        <w:rPr>
          <w:color w:val="231F1F"/>
          <w:w w:val="110"/>
        </w:rPr>
        <w:t>manufacturer of lapatinib advises </w:t>
      </w:r>
      <w:r>
        <w:rPr>
          <w:color w:val="231F1F"/>
          <w:spacing w:val="-3"/>
          <w:w w:val="110"/>
        </w:rPr>
        <w:t>avoid </w:t>
      </w:r>
      <w:r>
        <w:rPr>
          <w:color w:val="231F1F"/>
          <w:w w:val="110"/>
        </w:rPr>
        <w:t>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spacing w:val="3"/>
          <w:w w:val="110"/>
          <w:sz w:val="11"/>
        </w:rPr>
        <w:t>WORT</w:t>
      </w:r>
    </w:p>
    <w:p>
      <w:pPr>
        <w:pStyle w:val="BodyText"/>
        <w:ind w:right="1142" w:hanging="100"/>
        <w:rPr>
          <w:rFonts w:ascii="Calibri"/>
          <w:sz w:val="11"/>
        </w:rPr>
      </w:pPr>
      <w:r>
        <w:rPr>
          <w:rFonts w:ascii="Arial"/>
          <w:color w:val="231F1F"/>
          <w:w w:val="355"/>
          <w:position w:val="1"/>
          <w:sz w:val="7"/>
        </w:rPr>
        <w:t>l </w:t>
      </w:r>
      <w:r>
        <w:rPr>
          <w:rFonts w:ascii="Calibri"/>
          <w:color w:val="231F1F"/>
          <w:w w:val="110"/>
        </w:rPr>
        <w:t>Antidiabetics: </w:t>
      </w:r>
      <w:r>
        <w:rPr>
          <w:color w:val="231F1F"/>
          <w:w w:val="110"/>
        </w:rPr>
        <w:t>manufacturer of lapatinib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REPAGLINIDE</w:t>
      </w:r>
    </w:p>
    <w:p>
      <w:pPr>
        <w:pStyle w:val="BodyText"/>
        <w:spacing w:line="143" w:lineRule="exact"/>
        <w:ind w:left="108"/>
      </w:pPr>
      <w:r>
        <w:rPr>
          <w:rFonts w:ascii="Arial"/>
          <w:color w:val="231F1F"/>
          <w:w w:val="355"/>
          <w:position w:val="1"/>
          <w:sz w:val="7"/>
        </w:rPr>
        <w:t>l </w:t>
      </w:r>
      <w:r>
        <w:rPr>
          <w:rFonts w:ascii="Calibri"/>
          <w:color w:val="231F1F"/>
          <w:w w:val="110"/>
        </w:rPr>
        <w:t>Antiepileptics: </w:t>
      </w:r>
      <w:r>
        <w:rPr>
          <w:color w:val="231F1F"/>
          <w:w w:val="110"/>
        </w:rPr>
        <w:t>plasma concentration of lapatinib reduced by</w:t>
      </w:r>
    </w:p>
    <w:p>
      <w:pPr>
        <w:spacing w:line="242" w:lineRule="auto" w:before="0"/>
        <w:ind w:left="208" w:right="670" w:firstLine="0"/>
        <w:jc w:val="left"/>
        <w:rPr>
          <w:rFonts w:ascii="Calibri" w:hAnsi="Calibri"/>
          <w:sz w:val="11"/>
        </w:rPr>
      </w:pPr>
      <w:r>
        <w:rPr>
          <w:rFonts w:ascii="Arial" w:hAnsi="Arial"/>
          <w:color w:val="231F1F"/>
          <w:w w:val="355"/>
          <w:position w:val="1"/>
          <w:sz w:val="7"/>
        </w:rPr>
        <w:t>l </w:t>
      </w:r>
      <w:r>
        <w:rPr>
          <w:rFonts w:ascii="Calibri" w:hAnsi="Calibri"/>
          <w:color w:val="008356"/>
          <w:w w:val="110"/>
          <w:sz w:val="11"/>
        </w:rPr>
        <w:t>CARBAMAZEPINE</w:t>
      </w:r>
      <w:r>
        <w:rPr>
          <w:rFonts w:ascii="Arial" w:hAnsi="Arial"/>
          <w:color w:val="231F1F"/>
          <w:w w:val="110"/>
          <w:sz w:val="12"/>
        </w:rPr>
        <w:t>—</w:t>
      </w:r>
      <w:r>
        <w:rPr>
          <w:color w:val="231F1F"/>
          <w:w w:val="110"/>
          <w:sz w:val="12"/>
        </w:rPr>
        <w:t>avoid concomitant use; manufacturer of lapatinib advises avoid concomitant use with </w:t>
      </w:r>
      <w:r>
        <w:rPr>
          <w:rFonts w:ascii="Arial" w:hAnsi="Arial"/>
          <w:color w:val="231F1F"/>
          <w:w w:val="355"/>
          <w:position w:val="1"/>
          <w:sz w:val="7"/>
        </w:rPr>
        <w:t>l </w:t>
      </w:r>
      <w:r>
        <w:rPr>
          <w:rFonts w:ascii="Calibri" w:hAnsi="Calibri"/>
          <w:color w:val="008356"/>
          <w:w w:val="110"/>
          <w:sz w:val="11"/>
        </w:rPr>
        <w:t>FOSPHENYTOIN </w:t>
      </w:r>
      <w:r>
        <w:rPr>
          <w:color w:val="231F1F"/>
          <w:w w:val="110"/>
          <w:sz w:val="12"/>
        </w:rPr>
        <w:t>and </w:t>
      </w:r>
      <w:r>
        <w:rPr>
          <w:rFonts w:ascii="Arial" w:hAnsi="Arial"/>
          <w:color w:val="231F1F"/>
          <w:w w:val="355"/>
          <w:position w:val="1"/>
          <w:sz w:val="7"/>
        </w:rPr>
        <w:t>l </w:t>
      </w:r>
      <w:r>
        <w:rPr>
          <w:rFonts w:ascii="Calibri" w:hAnsi="Calibri"/>
          <w:color w:val="008356"/>
          <w:w w:val="110"/>
          <w:sz w:val="11"/>
        </w:rPr>
        <w:t>PHENYTOIN</w:t>
      </w:r>
    </w:p>
    <w:p>
      <w:pPr>
        <w:pStyle w:val="BodyText"/>
        <w:spacing w:line="144"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lapatinib increased by</w:t>
      </w:r>
    </w:p>
    <w:p>
      <w:pPr>
        <w:spacing w:line="242" w:lineRule="auto" w:before="0"/>
        <w:ind w:left="208" w:right="670" w:firstLine="0"/>
        <w:jc w:val="left"/>
        <w:rPr>
          <w:rFonts w:ascii="Calibri" w:hAnsi="Calibri"/>
          <w:sz w:val="11"/>
        </w:rPr>
      </w:pP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sz w:val="12"/>
        </w:rPr>
        <w:t>—</w:t>
      </w:r>
      <w:r>
        <w:rPr>
          <w:color w:val="231F1F"/>
          <w:w w:val="110"/>
          <w:sz w:val="12"/>
        </w:rPr>
        <w:t>avoid concomitant use; manufacturer of lapatinib advises avoid concomitant use with </w:t>
      </w:r>
      <w:r>
        <w:rPr>
          <w:rFonts w:ascii="Arial" w:hAnsi="Arial"/>
          <w:color w:val="231F1F"/>
          <w:w w:val="355"/>
          <w:position w:val="1"/>
          <w:sz w:val="7"/>
        </w:rPr>
        <w:t>l </w:t>
      </w:r>
      <w:r>
        <w:rPr>
          <w:rFonts w:ascii="Calibri" w:hAnsi="Calibri"/>
          <w:color w:val="008356"/>
          <w:w w:val="110"/>
          <w:sz w:val="11"/>
        </w:rPr>
        <w:t>ITRACONAZOLE</w:t>
      </w:r>
      <w:r>
        <w:rPr>
          <w:color w:val="231F1F"/>
          <w:w w:val="110"/>
          <w:sz w:val="12"/>
        </w:rPr>
        <w:t>, </w:t>
      </w:r>
      <w:r>
        <w:rPr>
          <w:rFonts w:ascii="Arial" w:hAnsi="Arial"/>
          <w:color w:val="231F1F"/>
          <w:w w:val="355"/>
          <w:position w:val="1"/>
          <w:sz w:val="7"/>
        </w:rPr>
        <w:t>l </w:t>
      </w:r>
      <w:r>
        <w:rPr>
          <w:rFonts w:ascii="Calibri" w:hAnsi="Calibri"/>
          <w:color w:val="008356"/>
          <w:w w:val="110"/>
          <w:sz w:val="11"/>
        </w:rPr>
        <w:t>POSACONAZOLE </w:t>
      </w:r>
      <w:r>
        <w:rPr>
          <w:color w:val="231F1F"/>
          <w:w w:val="110"/>
          <w:sz w:val="12"/>
        </w:rPr>
        <w:t>and </w:t>
      </w:r>
      <w:r>
        <w:rPr>
          <w:rFonts w:ascii="Arial" w:hAnsi="Arial"/>
          <w:color w:val="231F1F"/>
          <w:w w:val="355"/>
          <w:position w:val="1"/>
          <w:sz w:val="7"/>
        </w:rPr>
        <w:t>l </w:t>
      </w:r>
      <w:r>
        <w:rPr>
          <w:rFonts w:ascii="Calibri" w:hAnsi="Calibri"/>
          <w:color w:val="008356"/>
          <w:w w:val="110"/>
          <w:sz w:val="11"/>
        </w:rPr>
        <w:t>VORICONAZOLE</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pStyle w:val="BodyText"/>
        <w:ind w:right="678" w:hanging="1"/>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CLOZAPINE</w:t>
      </w:r>
      <w:r>
        <w:rPr>
          <w:rFonts w:ascii="Calibri"/>
          <w:color w:val="008356"/>
          <w:spacing w:val="-12"/>
          <w:w w:val="115"/>
          <w:sz w:val="11"/>
        </w:rPr>
        <w:t> </w:t>
      </w:r>
      <w:r>
        <w:rPr>
          <w:color w:val="231F1F"/>
          <w:w w:val="115"/>
        </w:rPr>
        <w:t>(increased</w:t>
      </w:r>
      <w:r>
        <w:rPr>
          <w:color w:val="231F1F"/>
          <w:spacing w:val="-21"/>
          <w:w w:val="115"/>
        </w:rPr>
        <w:t> </w:t>
      </w:r>
      <w:r>
        <w:rPr>
          <w:color w:val="231F1F"/>
          <w:w w:val="115"/>
        </w:rPr>
        <w:t>risk</w:t>
      </w:r>
      <w:r>
        <w:rPr>
          <w:color w:val="231F1F"/>
          <w:spacing w:val="-20"/>
          <w:w w:val="115"/>
        </w:rPr>
        <w:t> </w:t>
      </w:r>
      <w:r>
        <w:rPr>
          <w:color w:val="231F1F"/>
          <w:w w:val="115"/>
        </w:rPr>
        <w:t>of</w:t>
      </w:r>
      <w:r>
        <w:rPr>
          <w:color w:val="231F1F"/>
          <w:spacing w:val="-21"/>
          <w:w w:val="115"/>
        </w:rPr>
        <w:t> </w:t>
      </w:r>
      <w:r>
        <w:rPr>
          <w:color w:val="231F1F"/>
          <w:w w:val="115"/>
        </w:rPr>
        <w:t>agranulocytosis);</w:t>
      </w:r>
      <w:r>
        <w:rPr>
          <w:color w:val="231F1F"/>
          <w:spacing w:val="-20"/>
          <w:w w:val="115"/>
        </w:rPr>
        <w:t> </w:t>
      </w:r>
      <w:r>
        <w:rPr>
          <w:color w:val="231F1F"/>
          <w:w w:val="115"/>
        </w:rPr>
        <w:t>manufacturer of</w:t>
      </w:r>
      <w:r>
        <w:rPr>
          <w:color w:val="231F1F"/>
          <w:spacing w:val="-12"/>
          <w:w w:val="115"/>
        </w:rPr>
        <w:t> </w:t>
      </w:r>
      <w:r>
        <w:rPr>
          <w:color w:val="231F1F"/>
          <w:w w:val="115"/>
        </w:rPr>
        <w:t>lapatinib</w:t>
      </w:r>
      <w:r>
        <w:rPr>
          <w:color w:val="231F1F"/>
          <w:spacing w:val="-11"/>
          <w:w w:val="115"/>
        </w:rPr>
        <w:t> </w:t>
      </w:r>
      <w:r>
        <w:rPr>
          <w:color w:val="231F1F"/>
          <w:w w:val="115"/>
        </w:rPr>
        <w:t>advises</w:t>
      </w:r>
      <w:r>
        <w:rPr>
          <w:color w:val="231F1F"/>
          <w:spacing w:val="-11"/>
          <w:w w:val="115"/>
        </w:rPr>
        <w:t> </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r>
        <w:rPr>
          <w:color w:val="231F1F"/>
          <w:spacing w:val="-11"/>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5"/>
          <w:sz w:val="11"/>
        </w:rPr>
        <w:t>PIMOZIDE</w:t>
      </w:r>
    </w:p>
    <w:p>
      <w:pPr>
        <w:spacing w:before="0"/>
        <w:ind w:left="208" w:right="761" w:hanging="100"/>
        <w:jc w:val="left"/>
        <w:rPr>
          <w:rFonts w:ascii="Calibri"/>
          <w:sz w:val="11"/>
        </w:rPr>
      </w:pPr>
      <w:r>
        <w:rPr>
          <w:rFonts w:ascii="Arial"/>
          <w:color w:val="231F1F"/>
          <w:w w:val="355"/>
          <w:position w:val="1"/>
          <w:sz w:val="7"/>
        </w:rPr>
        <w:t>l </w:t>
      </w:r>
      <w:r>
        <w:rPr>
          <w:rFonts w:ascii="Calibri"/>
          <w:color w:val="231F1F"/>
          <w:w w:val="110"/>
          <w:sz w:val="12"/>
        </w:rPr>
        <w:t>Antivirals: </w:t>
      </w:r>
      <w:r>
        <w:rPr>
          <w:color w:val="231F1F"/>
          <w:w w:val="110"/>
          <w:sz w:val="12"/>
        </w:rPr>
        <w:t>avoidance of lapatinib advised by manufacturer of </w:t>
      </w:r>
      <w:r>
        <w:rPr>
          <w:rFonts w:ascii="Arial"/>
          <w:color w:val="231F1F"/>
          <w:w w:val="355"/>
          <w:position w:val="1"/>
          <w:sz w:val="7"/>
        </w:rPr>
        <w:t>l </w:t>
      </w:r>
      <w:r>
        <w:rPr>
          <w:rFonts w:ascii="Calibri"/>
          <w:color w:val="008356"/>
          <w:w w:val="110"/>
          <w:sz w:val="11"/>
        </w:rPr>
        <w:t>BOCEPREVIR</w:t>
      </w:r>
      <w:r>
        <w:rPr>
          <w:color w:val="231F1F"/>
          <w:w w:val="110"/>
          <w:sz w:val="12"/>
        </w:rPr>
        <w:t>; manufacturer of lapatinib advises avoid concomitant use with </w:t>
      </w:r>
      <w:r>
        <w:rPr>
          <w:rFonts w:ascii="Arial"/>
          <w:color w:val="231F1F"/>
          <w:w w:val="355"/>
          <w:position w:val="1"/>
          <w:sz w:val="7"/>
        </w:rPr>
        <w:t>l </w:t>
      </w:r>
      <w:r>
        <w:rPr>
          <w:rFonts w:ascii="Calibri"/>
          <w:color w:val="008356"/>
          <w:w w:val="110"/>
          <w:sz w:val="11"/>
        </w:rPr>
        <w:t>RITONAVIR </w:t>
      </w:r>
      <w:r>
        <w:rPr>
          <w:color w:val="231F1F"/>
          <w:w w:val="110"/>
          <w:sz w:val="12"/>
        </w:rPr>
        <w:t>and </w:t>
      </w:r>
      <w:r>
        <w:rPr>
          <w:rFonts w:ascii="Arial"/>
          <w:color w:val="231F1F"/>
          <w:w w:val="355"/>
          <w:position w:val="1"/>
          <w:sz w:val="7"/>
        </w:rPr>
        <w:t>l </w:t>
      </w:r>
      <w:r>
        <w:rPr>
          <w:rFonts w:ascii="Calibri"/>
          <w:color w:val="008356"/>
          <w:w w:val="110"/>
          <w:sz w:val="11"/>
        </w:rPr>
        <w:t>SAQUINAVIR</w:t>
      </w:r>
    </w:p>
    <w:p>
      <w:pPr>
        <w:pStyle w:val="BodyText"/>
        <w:spacing w:line="242" w:lineRule="auto"/>
        <w:ind w:right="670" w:hanging="100"/>
      </w:pPr>
      <w:r>
        <w:rPr>
          <w:rFonts w:ascii="Arial" w:hAnsi="Arial"/>
          <w:color w:val="231F1F"/>
          <w:w w:val="355"/>
          <w:position w:val="1"/>
          <w:sz w:val="7"/>
        </w:rPr>
        <w:t>l </w:t>
      </w:r>
      <w:r>
        <w:rPr>
          <w:rFonts w:ascii="Calibri" w:hAnsi="Calibri"/>
          <w:color w:val="231F1F"/>
          <w:w w:val="110"/>
        </w:rPr>
        <w:t>Cytotoxics: </w:t>
      </w:r>
      <w:r>
        <w:rPr>
          <w:color w:val="231F1F"/>
          <w:w w:val="110"/>
        </w:rPr>
        <w:t>lapatinib increases plasma concentration of </w:t>
      </w:r>
      <w:r>
        <w:rPr>
          <w:rFonts w:ascii="Calibri" w:hAnsi="Calibri"/>
          <w:color w:val="008356"/>
          <w:w w:val="110"/>
          <w:sz w:val="11"/>
        </w:rPr>
        <w:t>PAZOPANIB</w:t>
      </w:r>
      <w:r>
        <w:rPr>
          <w:color w:val="231F1F"/>
          <w:w w:val="110"/>
        </w:rPr>
        <w:t>; possible increased risk of neutropenia when lapatinib given with </w:t>
      </w:r>
      <w:r>
        <w:rPr>
          <w:rFonts w:ascii="Calibri" w:hAnsi="Calibri"/>
          <w:color w:val="008356"/>
          <w:w w:val="110"/>
          <w:sz w:val="11"/>
        </w:rPr>
        <w:t>DOCETAXEL</w:t>
      </w:r>
      <w:r>
        <w:rPr>
          <w:color w:val="231F1F"/>
          <w:w w:val="110"/>
        </w:rPr>
        <w:t>; increased risk of neutropenia when lapatinib given with </w:t>
      </w:r>
      <w:r>
        <w:rPr>
          <w:rFonts w:ascii="Arial" w:hAnsi="Arial"/>
          <w:color w:val="231F1F"/>
          <w:w w:val="355"/>
          <w:position w:val="1"/>
          <w:sz w:val="7"/>
        </w:rPr>
        <w:t>l </w:t>
      </w:r>
      <w:r>
        <w:rPr>
          <w:rFonts w:ascii="Calibri" w:hAnsi="Calibri"/>
          <w:color w:val="008356"/>
          <w:w w:val="110"/>
          <w:sz w:val="11"/>
        </w:rPr>
        <w:t>PACLITAXEL</w:t>
      </w:r>
      <w:r>
        <w:rPr>
          <w:color w:val="231F1F"/>
          <w:w w:val="110"/>
        </w:rPr>
        <w:t>; lapatinib increases plasma concentration of active metabolite of </w:t>
      </w:r>
      <w:r>
        <w:rPr>
          <w:rFonts w:ascii="Arial" w:hAnsi="Arial"/>
          <w:color w:val="231F1F"/>
          <w:w w:val="355"/>
          <w:position w:val="1"/>
          <w:sz w:val="7"/>
        </w:rPr>
        <w:t>l </w:t>
      </w:r>
      <w:r>
        <w:rPr>
          <w:rFonts w:ascii="Calibri" w:hAnsi="Calibri"/>
          <w:color w:val="008356"/>
          <w:w w:val="110"/>
          <w:sz w:val="11"/>
        </w:rPr>
        <w:t>IRINOTECAN</w:t>
      </w:r>
      <w:r>
        <w:rPr>
          <w:rFonts w:ascii="Arial" w:hAnsi="Arial"/>
          <w:color w:val="231F1F"/>
          <w:w w:val="110"/>
        </w:rPr>
        <w:t>— </w:t>
      </w:r>
      <w:r>
        <w:rPr>
          <w:color w:val="231F1F"/>
          <w:w w:val="110"/>
        </w:rPr>
        <w:t>consider reducing dose of irinotecan</w:t>
      </w:r>
    </w:p>
    <w:p>
      <w:pPr>
        <w:spacing w:before="0"/>
        <w:ind w:left="208" w:right="670" w:hanging="100"/>
        <w:jc w:val="left"/>
        <w:rPr>
          <w:rFonts w:ascii="Calibri"/>
          <w:sz w:val="11"/>
        </w:rPr>
      </w:pPr>
      <w:r>
        <w:rPr>
          <w:rFonts w:ascii="Arial"/>
          <w:color w:val="231F1F"/>
          <w:w w:val="355"/>
          <w:position w:val="1"/>
          <w:sz w:val="7"/>
        </w:rPr>
        <w:t>l </w:t>
      </w:r>
      <w:r>
        <w:rPr>
          <w:rFonts w:ascii="Calibri"/>
          <w:color w:val="231F1F"/>
          <w:w w:val="110"/>
          <w:sz w:val="12"/>
        </w:rPr>
        <w:t>Grapefruit Juice: </w:t>
      </w:r>
      <w:r>
        <w:rPr>
          <w:color w:val="231F1F"/>
          <w:w w:val="110"/>
          <w:sz w:val="12"/>
        </w:rPr>
        <w:t>manufacturer of lapatinib advises </w:t>
      </w:r>
      <w:r>
        <w:rPr>
          <w:color w:val="231F1F"/>
          <w:spacing w:val="-3"/>
          <w:w w:val="110"/>
          <w:sz w:val="12"/>
        </w:rPr>
        <w:t>avoid </w:t>
      </w:r>
      <w:r>
        <w:rPr>
          <w:color w:val="231F1F"/>
          <w:w w:val="110"/>
          <w:sz w:val="12"/>
        </w:rPr>
        <w:t>concomitant use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GRAPEFRUIT </w:t>
      </w:r>
      <w:r>
        <w:rPr>
          <w:rFonts w:ascii="Calibri"/>
          <w:color w:val="008356"/>
          <w:spacing w:val="5"/>
          <w:w w:val="110"/>
          <w:sz w:val="11"/>
        </w:rPr>
        <w:t>JUICE</w:t>
      </w:r>
    </w:p>
    <w:p>
      <w:pPr>
        <w:pStyle w:val="BodyText"/>
        <w:spacing w:line="220" w:lineRule="auto"/>
        <w:ind w:right="73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lapatinib</w:t>
      </w:r>
      <w:r>
        <w:rPr>
          <w:color w:val="231F1F"/>
          <w:spacing w:val="18"/>
          <w:w w:val="105"/>
        </w:rPr>
        <w:t> </w:t>
      </w:r>
      <w:r>
        <w:rPr>
          <w:color w:val="231F1F"/>
          <w:w w:val="105"/>
        </w:rPr>
        <w:t>by</w:t>
      </w:r>
      <w:r>
        <w:rPr>
          <w:color w:val="231F1F"/>
          <w:spacing w:val="19"/>
          <w:w w:val="105"/>
        </w:rPr>
        <w:t> </w:t>
      </w:r>
      <w:r>
        <w:rPr>
          <w:color w:val="231F1F"/>
          <w:w w:val="105"/>
        </w:rPr>
        <w:t>12</w:t>
      </w:r>
      <w:r>
        <w:rPr>
          <w:color w:val="231F1F"/>
          <w:spacing w:val="21"/>
          <w:w w:val="105"/>
        </w:rPr>
        <w:t> </w:t>
      </w:r>
      <w:r>
        <w:rPr>
          <w:color w:val="231F1F"/>
          <w:w w:val="105"/>
        </w:rPr>
        <w:t>hours</w:t>
      </w:r>
      <w:r>
        <w:rPr>
          <w:color w:val="231F1F"/>
          <w:spacing w:val="19"/>
          <w:w w:val="105"/>
        </w:rPr>
        <w:t> </w:t>
      </w:r>
      <w:r>
        <w:rPr>
          <w:color w:val="231F1F"/>
          <w:w w:val="105"/>
        </w:rPr>
        <w:t>advised</w:t>
      </w:r>
      <w:r>
        <w:rPr>
          <w:color w:val="231F1F"/>
          <w:spacing w:val="19"/>
          <w:w w:val="105"/>
        </w:rPr>
        <w:t> </w:t>
      </w:r>
      <w:r>
        <w:rPr>
          <w:color w:val="231F1F"/>
          <w:w w:val="105"/>
        </w:rPr>
        <w:t>by</w:t>
      </w:r>
      <w:r>
        <w:rPr>
          <w:color w:val="231F1F"/>
          <w:spacing w:val="19"/>
          <w:w w:val="105"/>
        </w:rPr>
        <w:t> </w:t>
      </w:r>
      <w:r>
        <w:rPr>
          <w:color w:val="231F1F"/>
          <w:w w:val="105"/>
        </w:rPr>
        <w:t>manufacturer</w:t>
      </w:r>
      <w:r>
        <w:rPr>
          <w:color w:val="231F1F"/>
          <w:spacing w:val="17"/>
          <w:w w:val="105"/>
        </w:rPr>
        <w:t> </w:t>
      </w:r>
      <w:r>
        <w:rPr>
          <w:color w:val="231F1F"/>
          <w:w w:val="105"/>
        </w:rPr>
        <w:t>of</w:t>
      </w:r>
      <w:r>
        <w:rPr>
          <w:color w:val="231F1F"/>
          <w:spacing w:val="21"/>
          <w:w w:val="105"/>
        </w:rPr>
        <w:t> </w:t>
      </w:r>
      <w:r>
        <w:rPr>
          <w:rFonts w:ascii="Calibri" w:hAnsi="Calibri"/>
          <w:color w:val="008356"/>
          <w:w w:val="105"/>
          <w:sz w:val="11"/>
        </w:rPr>
        <w:t>LOMITAPIDE</w:t>
      </w:r>
    </w:p>
    <w:p>
      <w:pPr>
        <w:spacing w:line="220" w:lineRule="auto" w:before="4"/>
        <w:ind w:left="208" w:right="82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Ulcer-healing Drugs: </w:t>
      </w:r>
      <w:r>
        <w:rPr>
          <w:color w:val="231F1F"/>
          <w:w w:val="105"/>
          <w:sz w:val="12"/>
        </w:rPr>
        <w:t>absorption of lapatinib possibly reduced </w:t>
      </w:r>
      <w:r>
        <w:rPr>
          <w:color w:val="231F1F"/>
          <w:w w:val="105"/>
          <w:position w:val="2"/>
          <w:sz w:val="12"/>
        </w:rPr>
        <w:t>by</w:t>
      </w:r>
      <w:r>
        <w:rPr>
          <w:color w:val="231F1F"/>
          <w:spacing w:val="-15"/>
          <w:w w:val="105"/>
          <w:position w:val="2"/>
          <w:sz w:val="12"/>
        </w:rPr>
        <w:t> </w:t>
      </w:r>
      <w:r>
        <w:rPr>
          <w:rFonts w:ascii="Calibri" w:hAnsi="Calibri"/>
          <w:color w:val="008356"/>
          <w:spacing w:val="3"/>
          <w:w w:val="105"/>
          <w:position w:val="2"/>
          <w:sz w:val="11"/>
        </w:rPr>
        <w:t>HISTAMINE</w:t>
      </w:r>
      <w:r>
        <w:rPr>
          <w:rFonts w:ascii="Calibri" w:hAnsi="Calibri"/>
          <w:color w:val="008356"/>
          <w:spacing w:val="-8"/>
          <w:w w:val="105"/>
          <w:position w:val="2"/>
          <w:sz w:val="11"/>
        </w:rPr>
        <w:t> </w:t>
      </w:r>
      <w:r>
        <w:rPr>
          <w:rFonts w:ascii="Calibri" w:hAnsi="Calibri"/>
          <w:color w:val="008356"/>
          <w:spacing w:val="3"/>
          <w:w w:val="105"/>
          <w:position w:val="2"/>
          <w:sz w:val="11"/>
        </w:rPr>
        <w:t>H</w:t>
      </w:r>
      <w:r>
        <w:rPr>
          <w:rFonts w:ascii="Calibri" w:hAnsi="Calibri"/>
          <w:color w:val="008356"/>
          <w:spacing w:val="3"/>
          <w:w w:val="105"/>
          <w:position w:val="2"/>
          <w:sz w:val="11"/>
          <w:vertAlign w:val="subscript"/>
        </w:rPr>
        <w:t>2</w:t>
      </w:r>
      <w:r>
        <w:rPr>
          <w:rFonts w:ascii="Calibri" w:hAnsi="Calibri"/>
          <w:color w:val="008356"/>
          <w:spacing w:val="3"/>
          <w:w w:val="105"/>
          <w:position w:val="2"/>
          <w:sz w:val="11"/>
          <w:vertAlign w:val="baseline"/>
        </w:rPr>
        <w:t>-ANTAGONISTS</w:t>
      </w:r>
      <w:r>
        <w:rPr>
          <w:rFonts w:ascii="Calibri" w:hAnsi="Calibri"/>
          <w:color w:val="008356"/>
          <w:spacing w:val="-6"/>
          <w:w w:val="105"/>
          <w:position w:val="2"/>
          <w:sz w:val="11"/>
          <w:vertAlign w:val="baseline"/>
        </w:rPr>
        <w:t> </w:t>
      </w:r>
      <w:r>
        <w:rPr>
          <w:color w:val="231F1F"/>
          <w:w w:val="105"/>
          <w:position w:val="2"/>
          <w:sz w:val="12"/>
          <w:vertAlign w:val="baseline"/>
        </w:rPr>
        <w:t>and</w:t>
      </w:r>
      <w:r>
        <w:rPr>
          <w:color w:val="231F1F"/>
          <w:spacing w:val="-14"/>
          <w:w w:val="105"/>
          <w:position w:val="2"/>
          <w:sz w:val="12"/>
          <w:vertAlign w:val="baseline"/>
        </w:rPr>
        <w:t> </w:t>
      </w:r>
      <w:r>
        <w:rPr>
          <w:rFonts w:ascii="Calibri" w:hAnsi="Calibri"/>
          <w:color w:val="008356"/>
          <w:spacing w:val="3"/>
          <w:w w:val="105"/>
          <w:position w:val="2"/>
          <w:sz w:val="11"/>
          <w:vertAlign w:val="baseline"/>
        </w:rPr>
        <w:t>PROTON</w:t>
      </w:r>
      <w:r>
        <w:rPr>
          <w:rFonts w:ascii="Calibri" w:hAnsi="Calibri"/>
          <w:color w:val="008356"/>
          <w:spacing w:val="-9"/>
          <w:w w:val="105"/>
          <w:position w:val="2"/>
          <w:sz w:val="11"/>
          <w:vertAlign w:val="baseline"/>
        </w:rPr>
        <w:t> </w:t>
      </w:r>
      <w:r>
        <w:rPr>
          <w:rFonts w:ascii="Calibri" w:hAnsi="Calibri"/>
          <w:color w:val="008356"/>
          <w:spacing w:val="4"/>
          <w:w w:val="105"/>
          <w:position w:val="2"/>
          <w:sz w:val="11"/>
          <w:vertAlign w:val="baseline"/>
        </w:rPr>
        <w:t>PUMP</w:t>
      </w:r>
      <w:r>
        <w:rPr>
          <w:rFonts w:ascii="Calibri" w:hAnsi="Calibri"/>
          <w:color w:val="008356"/>
          <w:spacing w:val="-8"/>
          <w:w w:val="105"/>
          <w:position w:val="2"/>
          <w:sz w:val="11"/>
          <w:vertAlign w:val="baseline"/>
        </w:rPr>
        <w:t> </w:t>
      </w:r>
      <w:r>
        <w:rPr>
          <w:rFonts w:ascii="Calibri" w:hAnsi="Calibri"/>
          <w:color w:val="008356"/>
          <w:spacing w:val="4"/>
          <w:w w:val="105"/>
          <w:position w:val="2"/>
          <w:sz w:val="11"/>
          <w:vertAlign w:val="baseline"/>
        </w:rPr>
        <w:t>INHIBITORS</w:t>
      </w:r>
    </w:p>
    <w:p>
      <w:pPr>
        <w:pStyle w:val="BodyText"/>
        <w:spacing w:line="128" w:lineRule="exact"/>
        <w:ind w:left="108"/>
        <w:rPr>
          <w:rFonts w:ascii="Trebuchet MS"/>
        </w:rPr>
      </w:pPr>
      <w:r>
        <w:rPr>
          <w:rFonts w:ascii="Trebuchet MS"/>
          <w:color w:val="008356"/>
        </w:rPr>
        <w:t>Laronidase</w:t>
      </w:r>
    </w:p>
    <w:p>
      <w:pPr>
        <w:spacing w:line="230" w:lineRule="auto" w:before="5"/>
        <w:ind w:left="208" w:right="670" w:hanging="100"/>
        <w:jc w:val="left"/>
        <w:rPr>
          <w:sz w:val="12"/>
        </w:rPr>
      </w:pPr>
      <w:r>
        <w:rPr>
          <w:rFonts w:ascii="Lucida Sans Unicode" w:hAnsi="Lucida Sans Unicode"/>
          <w:color w:val="A7A8AC"/>
          <w:w w:val="95"/>
          <w:sz w:val="10"/>
        </w:rPr>
        <w:t>▶ </w:t>
      </w:r>
      <w:r>
        <w:rPr>
          <w:rFonts w:ascii="Calibri" w:hAnsi="Calibri"/>
          <w:color w:val="231F1F"/>
          <w:w w:val="110"/>
          <w:sz w:val="12"/>
        </w:rPr>
        <w:t>Antimalarials: </w:t>
      </w:r>
      <w:r>
        <w:rPr>
          <w:color w:val="231F1F"/>
          <w:w w:val="110"/>
          <w:sz w:val="12"/>
        </w:rPr>
        <w:t>effects of laronidase possibly inhibited by </w:t>
      </w:r>
      <w:r>
        <w:rPr>
          <w:rFonts w:ascii="Calibri" w:hAnsi="Calibri"/>
          <w:color w:val="008356"/>
          <w:w w:val="105"/>
          <w:sz w:val="11"/>
        </w:rPr>
        <w:t>CHLOROQUINE </w:t>
      </w:r>
      <w:r>
        <w:rPr>
          <w:color w:val="231F1F"/>
          <w:w w:val="105"/>
          <w:sz w:val="12"/>
        </w:rPr>
        <w:t>and </w:t>
      </w:r>
      <w:r>
        <w:rPr>
          <w:rFonts w:ascii="Calibri" w:hAnsi="Calibri"/>
          <w:color w:val="008356"/>
          <w:w w:val="105"/>
          <w:sz w:val="11"/>
        </w:rPr>
        <w:t>HYDROXYCHLOROQUINE </w:t>
      </w:r>
      <w:r>
        <w:rPr>
          <w:color w:val="231F1F"/>
          <w:w w:val="105"/>
          <w:sz w:val="12"/>
        </w:rPr>
        <w:t>(manufacturer of </w:t>
      </w:r>
      <w:r>
        <w:rPr>
          <w:color w:val="231F1F"/>
          <w:w w:val="110"/>
          <w:sz w:val="12"/>
        </w:rPr>
        <w:t>laronidase advises avoid concomitant use)</w:t>
      </w:r>
    </w:p>
    <w:p>
      <w:pPr>
        <w:pStyle w:val="BodyText"/>
        <w:spacing w:before="13"/>
        <w:ind w:left="108"/>
        <w:rPr>
          <w:rFonts w:ascii="Trebuchet MS"/>
        </w:rPr>
      </w:pPr>
      <w:r>
        <w:rPr>
          <w:rFonts w:ascii="Trebuchet MS"/>
          <w:color w:val="008356"/>
        </w:rPr>
        <w:t>Leflunomide</w:t>
      </w:r>
    </w:p>
    <w:p>
      <w:pPr>
        <w:pStyle w:val="BodyText"/>
        <w:spacing w:before="5"/>
        <w:ind w:right="703"/>
      </w:pPr>
      <w:r>
        <w:rPr>
          <w:rFonts w:ascii="Calibri"/>
          <w:color w:val="008356"/>
          <w:w w:val="115"/>
          <w:sz w:val="11"/>
        </w:rPr>
        <w:t>NOTE </w:t>
      </w:r>
      <w:r>
        <w:rPr>
          <w:color w:val="231F1F"/>
          <w:w w:val="115"/>
        </w:rPr>
        <w:t>Increased risk of toxicity with other haematotoxic and hepatotoxic drugs</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active metabolite of leflunomide possibly increased by </w:t>
      </w:r>
      <w:r>
        <w:rPr>
          <w:rFonts w:ascii="Calibri" w:hAnsi="Calibri"/>
          <w:color w:val="008356"/>
          <w:w w:val="105"/>
          <w:sz w:val="11"/>
        </w:rPr>
        <w:t>RIFAMPICIN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leflunomide possibly enhances anticoagulant effect of </w:t>
      </w:r>
      <w:r>
        <w:rPr>
          <w:rFonts w:ascii="Calibri" w:hAnsi="Calibri"/>
          <w:color w:val="008356"/>
          <w:w w:val="105"/>
          <w:sz w:val="11"/>
        </w:rPr>
        <w:t>WARFARIN</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leflunomide possibly enhances hypoglycaemic effect of </w:t>
      </w:r>
      <w:r>
        <w:rPr>
          <w:rFonts w:ascii="Calibri" w:hAnsi="Calibri"/>
          <w:color w:val="008356"/>
          <w:w w:val="105"/>
          <w:sz w:val="11"/>
        </w:rPr>
        <w:t>TOLBUTAMIDE</w:t>
      </w:r>
    </w:p>
    <w:p>
      <w:pPr>
        <w:spacing w:line="220" w:lineRule="auto" w:before="9"/>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leflunomide possibly increases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46" w:lineRule="exact"/>
        <w:ind w:left="108"/>
      </w:pPr>
      <w:r>
        <w:rPr>
          <w:rFonts w:ascii="Arial"/>
          <w:color w:val="231F1F"/>
          <w:w w:val="355"/>
          <w:position w:val="1"/>
          <w:sz w:val="7"/>
        </w:rPr>
        <w:t>l </w:t>
      </w:r>
      <w:r>
        <w:rPr>
          <w:rFonts w:ascii="Calibri"/>
          <w:color w:val="231F1F"/>
          <w:w w:val="110"/>
        </w:rPr>
        <w:t>Cytotoxics: </w:t>
      </w:r>
      <w:r>
        <w:rPr>
          <w:color w:val="231F1F"/>
          <w:w w:val="110"/>
        </w:rPr>
        <w:t>risk of toxicity when leflunomide given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METHOTREXATE</w:t>
      </w:r>
    </w:p>
    <w:p>
      <w:pPr>
        <w:pStyle w:val="BodyText"/>
        <w:spacing w:line="230" w:lineRule="auto" w:before="2"/>
        <w:ind w:right="597"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the effect of leflunomide is significantly decreased by </w:t>
      </w:r>
      <w:r>
        <w:rPr>
          <w:rFonts w:ascii="Calibri" w:hAnsi="Calibri"/>
          <w:color w:val="008356"/>
          <w:w w:val="110"/>
          <w:sz w:val="11"/>
        </w:rPr>
        <w:t>COLESTYRAMINE </w:t>
      </w:r>
      <w:r>
        <w:rPr>
          <w:color w:val="231F1F"/>
          <w:w w:val="110"/>
        </w:rPr>
        <w:t>(enhanced elimination)</w:t>
      </w:r>
      <w:r>
        <w:rPr>
          <w:rFonts w:ascii="Arial" w:hAnsi="Arial"/>
          <w:color w:val="231F1F"/>
          <w:w w:val="110"/>
        </w:rPr>
        <w:t>—</w:t>
      </w:r>
      <w:r>
        <w:rPr>
          <w:color w:val="231F1F"/>
          <w:w w:val="110"/>
        </w:rPr>
        <w:t>avoid unless drug elimination desired</w:t>
      </w:r>
    </w:p>
    <w:p>
      <w:pPr>
        <w:pStyle w:val="BodyText"/>
        <w:spacing w:before="3"/>
        <w:ind w:right="938"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Vaccines:</w:t>
      </w:r>
      <w:r>
        <w:rPr>
          <w:rFonts w:ascii="Calibri" w:hAnsi="Calibri"/>
          <w:color w:val="231F1F"/>
          <w:spacing w:val="-13"/>
          <w:w w:val="115"/>
        </w:rPr>
        <w:t> </w:t>
      </w:r>
      <w:r>
        <w:rPr>
          <w:color w:val="231F1F"/>
          <w:w w:val="115"/>
        </w:rPr>
        <w:t>risk</w:t>
      </w:r>
      <w:r>
        <w:rPr>
          <w:color w:val="231F1F"/>
          <w:spacing w:val="-17"/>
          <w:w w:val="115"/>
        </w:rPr>
        <w:t> </w:t>
      </w:r>
      <w:r>
        <w:rPr>
          <w:color w:val="231F1F"/>
          <w:w w:val="115"/>
        </w:rPr>
        <w:t>of</w:t>
      </w:r>
      <w:r>
        <w:rPr>
          <w:color w:val="231F1F"/>
          <w:spacing w:val="-17"/>
          <w:w w:val="115"/>
        </w:rPr>
        <w:t> </w:t>
      </w:r>
      <w:r>
        <w:rPr>
          <w:color w:val="231F1F"/>
          <w:w w:val="115"/>
        </w:rPr>
        <w:t>generalised</w:t>
      </w:r>
      <w:r>
        <w:rPr>
          <w:color w:val="231F1F"/>
          <w:spacing w:val="-16"/>
          <w:w w:val="115"/>
        </w:rPr>
        <w:t> </w:t>
      </w:r>
      <w:r>
        <w:rPr>
          <w:color w:val="231F1F"/>
          <w:w w:val="115"/>
        </w:rPr>
        <w:t>infections</w:t>
      </w:r>
      <w:r>
        <w:rPr>
          <w:color w:val="231F1F"/>
          <w:spacing w:val="-17"/>
          <w:w w:val="115"/>
        </w:rPr>
        <w:t> </w:t>
      </w:r>
      <w:r>
        <w:rPr>
          <w:color w:val="231F1F"/>
          <w:w w:val="115"/>
        </w:rPr>
        <w:t>when</w:t>
      </w:r>
      <w:r>
        <w:rPr>
          <w:color w:val="231F1F"/>
          <w:spacing w:val="-18"/>
          <w:w w:val="115"/>
        </w:rPr>
        <w:t> </w:t>
      </w:r>
      <w:r>
        <w:rPr>
          <w:color w:val="231F1F"/>
          <w:w w:val="115"/>
        </w:rPr>
        <w:t>leflunomide given</w:t>
      </w:r>
      <w:r>
        <w:rPr>
          <w:color w:val="231F1F"/>
          <w:spacing w:val="-12"/>
          <w:w w:val="115"/>
        </w:rPr>
        <w:t> </w:t>
      </w:r>
      <w:r>
        <w:rPr>
          <w:color w:val="231F1F"/>
          <w:w w:val="115"/>
        </w:rPr>
        <w:t>with</w:t>
      </w:r>
      <w:r>
        <w:rPr>
          <w:color w:val="231F1F"/>
          <w:spacing w:val="-10"/>
          <w:w w:val="115"/>
        </w:rPr>
        <w:t> </w:t>
      </w:r>
      <w:r>
        <w:rPr>
          <w:color w:val="231F1F"/>
          <w:w w:val="115"/>
        </w:rPr>
        <w:t>live</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1"/>
          <w:w w:val="115"/>
        </w:rPr>
        <w:t> </w:t>
      </w:r>
      <w:r>
        <w:rPr>
          <w:color w:val="231F1F"/>
          <w:w w:val="115"/>
        </w:rPr>
        <w:t>concomitant</w:t>
      </w:r>
      <w:r>
        <w:rPr>
          <w:color w:val="231F1F"/>
          <w:spacing w:val="-11"/>
          <w:w w:val="115"/>
        </w:rPr>
        <w:t> </w:t>
      </w:r>
      <w:r>
        <w:rPr>
          <w:color w:val="231F1F"/>
          <w:w w:val="115"/>
        </w:rPr>
        <w:t>use</w:t>
      </w:r>
    </w:p>
    <w:p>
      <w:pPr>
        <w:pStyle w:val="BodyText"/>
        <w:spacing w:line="139" w:lineRule="exact" w:before="7"/>
        <w:ind w:left="108"/>
        <w:rPr>
          <w:rFonts w:ascii="Trebuchet MS"/>
        </w:rPr>
      </w:pPr>
      <w:r>
        <w:rPr>
          <w:rFonts w:ascii="Trebuchet MS"/>
          <w:color w:val="008356"/>
        </w:rPr>
        <w:t>Lenalidomide</w:t>
      </w:r>
    </w:p>
    <w:p>
      <w:pPr>
        <w:pStyle w:val="BodyText"/>
        <w:ind w:right="713" w:hanging="100"/>
      </w:pPr>
      <w:r>
        <w:rPr>
          <w:rFonts w:ascii="Arial"/>
          <w:color w:val="231F1F"/>
          <w:w w:val="355"/>
          <w:position w:val="1"/>
          <w:sz w:val="7"/>
        </w:rPr>
        <w:t>l </w:t>
      </w:r>
      <w:r>
        <w:rPr>
          <w:rFonts w:ascii="Calibri"/>
          <w:color w:val="231F1F"/>
          <w:w w:val="110"/>
        </w:rPr>
        <w:t>Antibacterials: </w:t>
      </w:r>
      <w:r>
        <w:rPr>
          <w:color w:val="231F1F"/>
          <w:w w:val="110"/>
        </w:rPr>
        <w:t>plasma concentration of lenalidomide possibly increased by </w:t>
      </w:r>
      <w:r>
        <w:rPr>
          <w:rFonts w:ascii="Arial"/>
          <w:color w:val="231F1F"/>
          <w:w w:val="355"/>
          <w:position w:val="1"/>
          <w:sz w:val="7"/>
        </w:rPr>
        <w:t>l </w:t>
      </w:r>
      <w:r>
        <w:rPr>
          <w:rFonts w:ascii="Calibri"/>
          <w:color w:val="008356"/>
          <w:w w:val="110"/>
          <w:sz w:val="11"/>
        </w:rPr>
        <w:t>CLARITHROMYCIN </w:t>
      </w:r>
      <w:r>
        <w:rPr>
          <w:color w:val="231F1F"/>
          <w:w w:val="110"/>
        </w:rPr>
        <w:t>(increased risk of toxicity)</w:t>
      </w:r>
    </w:p>
    <w:p>
      <w:pPr>
        <w:spacing w:line="240" w:lineRule="auto" w:before="0"/>
        <w:ind w:left="208" w:right="748" w:hanging="100"/>
        <w:jc w:val="left"/>
        <w:rPr>
          <w:sz w:val="12"/>
        </w:rPr>
      </w:pPr>
      <w:r>
        <w:rPr>
          <w:rFonts w:ascii="Arial"/>
          <w:color w:val="231F1F"/>
          <w:w w:val="355"/>
          <w:position w:val="1"/>
          <w:sz w:val="7"/>
        </w:rPr>
        <w:t>l </w:t>
      </w:r>
      <w:r>
        <w:rPr>
          <w:rFonts w:ascii="Calibri"/>
          <w:color w:val="231F1F"/>
          <w:w w:val="110"/>
          <w:sz w:val="12"/>
        </w:rPr>
        <w:t>Antifungals: </w:t>
      </w:r>
      <w:r>
        <w:rPr>
          <w:color w:val="231F1F"/>
          <w:w w:val="110"/>
          <w:sz w:val="12"/>
        </w:rPr>
        <w:t>plasma concentration of lenalidomide possibly increased</w:t>
      </w:r>
      <w:r>
        <w:rPr>
          <w:color w:val="231F1F"/>
          <w:spacing w:val="-17"/>
          <w:w w:val="110"/>
          <w:sz w:val="12"/>
        </w:rPr>
        <w:t> </w:t>
      </w:r>
      <w:r>
        <w:rPr>
          <w:color w:val="231F1F"/>
          <w:w w:val="110"/>
          <w:sz w:val="12"/>
        </w:rPr>
        <w:t>by</w:t>
      </w:r>
      <w:r>
        <w:rPr>
          <w:color w:val="231F1F"/>
          <w:spacing w:val="-15"/>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ITRACONAZOLE</w:t>
      </w:r>
      <w:r>
        <w:rPr>
          <w:rFonts w:ascii="Calibri"/>
          <w:color w:val="008356"/>
          <w:spacing w:val="-7"/>
          <w:w w:val="110"/>
          <w:sz w:val="11"/>
        </w:rPr>
        <w:t> </w:t>
      </w:r>
      <w:r>
        <w:rPr>
          <w:color w:val="231F1F"/>
          <w:w w:val="110"/>
          <w:sz w:val="12"/>
        </w:rPr>
        <w:t>and</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KETOCONAZOLE</w:t>
      </w:r>
      <w:r>
        <w:rPr>
          <w:rFonts w:ascii="Calibri"/>
          <w:color w:val="008356"/>
          <w:spacing w:val="-7"/>
          <w:w w:val="110"/>
          <w:sz w:val="11"/>
        </w:rPr>
        <w:t> </w:t>
      </w:r>
      <w:r>
        <w:rPr>
          <w:color w:val="231F1F"/>
          <w:w w:val="110"/>
          <w:sz w:val="12"/>
        </w:rPr>
        <w:t>(increased risk of</w:t>
      </w:r>
      <w:r>
        <w:rPr>
          <w:color w:val="231F1F"/>
          <w:spacing w:val="-3"/>
          <w:w w:val="110"/>
          <w:sz w:val="12"/>
        </w:rPr>
        <w:t> </w:t>
      </w:r>
      <w:r>
        <w:rPr>
          <w:color w:val="231F1F"/>
          <w:w w:val="110"/>
          <w:sz w:val="12"/>
        </w:rPr>
        <w:t>toxicity)</w:t>
      </w:r>
    </w:p>
    <w:p>
      <w:pPr>
        <w:pStyle w:val="BodyText"/>
        <w:spacing w:line="242" w:lineRule="auto"/>
        <w:ind w:right="762" w:hanging="100"/>
      </w:pPr>
      <w:r>
        <w:rPr>
          <w:rFonts w:ascii="Arial"/>
          <w:color w:val="231F1F"/>
          <w:w w:val="355"/>
          <w:position w:val="1"/>
          <w:sz w:val="7"/>
        </w:rPr>
        <w:t>l </w:t>
      </w:r>
      <w:r>
        <w:rPr>
          <w:rFonts w:ascii="Calibri"/>
          <w:color w:val="231F1F"/>
          <w:w w:val="110"/>
        </w:rPr>
        <w:t>Calcium-channel Blockers: </w:t>
      </w:r>
      <w:r>
        <w:rPr>
          <w:color w:val="231F1F"/>
          <w:w w:val="110"/>
        </w:rPr>
        <w:t>plasma concentration of lenalidomide possibly increased by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VERAPAMIL </w:t>
      </w:r>
      <w:r>
        <w:rPr>
          <w:color w:val="231F1F"/>
          <w:w w:val="110"/>
        </w:rPr>
        <w:t>(increased risk of</w:t>
      </w:r>
      <w:r>
        <w:rPr>
          <w:color w:val="231F1F"/>
          <w:spacing w:val="-3"/>
          <w:w w:val="110"/>
        </w:rPr>
        <w:t> </w:t>
      </w:r>
      <w:r>
        <w:rPr>
          <w:color w:val="231F1F"/>
          <w:w w:val="110"/>
        </w:rPr>
        <w:t>toxicity)</w:t>
      </w:r>
    </w:p>
    <w:p>
      <w:pPr>
        <w:pStyle w:val="BodyText"/>
        <w:spacing w:line="220" w:lineRule="auto" w:before="6"/>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lenalidomide possibly increases plasma concentration of </w:t>
      </w:r>
      <w:r>
        <w:rPr>
          <w:rFonts w:ascii="Calibri" w:hAnsi="Calibri"/>
          <w:color w:val="008356"/>
          <w:w w:val="105"/>
          <w:sz w:val="11"/>
        </w:rPr>
        <w:t>DIGOXIN</w:t>
      </w:r>
    </w:p>
    <w:p>
      <w:pPr>
        <w:pStyle w:val="BodyText"/>
        <w:spacing w:before="1"/>
        <w:ind w:right="860" w:hanging="100"/>
      </w:pPr>
      <w:r>
        <w:rPr>
          <w:rFonts w:ascii="Arial"/>
          <w:color w:val="231F1F"/>
          <w:w w:val="355"/>
          <w:position w:val="1"/>
          <w:sz w:val="7"/>
        </w:rPr>
        <w:t>l </w:t>
      </w:r>
      <w:r>
        <w:rPr>
          <w:rFonts w:ascii="Calibri"/>
          <w:color w:val="231F1F"/>
          <w:w w:val="110"/>
        </w:rPr>
        <w:t>Ciclosporin: </w:t>
      </w:r>
      <w:r>
        <w:rPr>
          <w:color w:val="231F1F"/>
          <w:w w:val="110"/>
        </w:rPr>
        <w:t>plasma concentration of lenalidomide possibly increased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CICLOSPORIN </w:t>
      </w:r>
      <w:r>
        <w:rPr>
          <w:color w:val="231F1F"/>
          <w:w w:val="110"/>
        </w:rPr>
        <w:t>(increased risk of toxicity)</w:t>
      </w:r>
    </w:p>
    <w:p>
      <w:pPr>
        <w:pStyle w:val="BodyText"/>
        <w:spacing w:before="6"/>
        <w:ind w:left="108"/>
      </w:pPr>
      <w:r>
        <w:rPr>
          <w:rFonts w:ascii="Trebuchet MS"/>
          <w:color w:val="008356"/>
          <w:w w:val="110"/>
        </w:rPr>
        <w:t>Lercanidipine </w:t>
      </w:r>
      <w:r>
        <w:rPr>
          <w:i/>
          <w:color w:val="231F1F"/>
          <w:w w:val="110"/>
        </w:rPr>
        <w:t>see </w:t>
      </w:r>
      <w:r>
        <w:rPr>
          <w:color w:val="231F1F"/>
          <w:w w:val="110"/>
        </w:rPr>
        <w:t>Calcium-channel Blockers</w:t>
      </w:r>
    </w:p>
    <w:p>
      <w:pPr>
        <w:pStyle w:val="BodyText"/>
        <w:spacing w:line="139" w:lineRule="exact" w:before="10"/>
        <w:ind w:left="108"/>
        <w:rPr>
          <w:rFonts w:ascii="Trebuchet MS"/>
        </w:rPr>
      </w:pPr>
      <w:r>
        <w:rPr>
          <w:rFonts w:ascii="Trebuchet MS"/>
          <w:color w:val="008356"/>
        </w:rPr>
        <w:t>Leukotriene Receptor Antagonists</w:t>
      </w:r>
    </w:p>
    <w:p>
      <w:pPr>
        <w:pStyle w:val="BodyText"/>
        <w:spacing w:line="232" w:lineRule="auto" w:before="3"/>
        <w:ind w:right="820" w:hanging="100"/>
      </w:pPr>
      <w:r>
        <w:rPr>
          <w:rFonts w:ascii="Lucida Sans Unicode" w:hAnsi="Lucida Sans Unicode"/>
          <w:color w:val="A7A8AC"/>
          <w:w w:val="95"/>
          <w:sz w:val="10"/>
        </w:rPr>
        <w:t>▶ </w:t>
      </w:r>
      <w:r>
        <w:rPr>
          <w:rFonts w:ascii="Calibri" w:hAnsi="Calibri"/>
          <w:color w:val="231F1F"/>
          <w:w w:val="110"/>
        </w:rPr>
        <w:t>Aminophylline: </w:t>
      </w:r>
      <w:r>
        <w:rPr>
          <w:color w:val="231F1F"/>
          <w:w w:val="110"/>
        </w:rPr>
        <w:t>zafirlukast possibly increases plasma concentration of </w:t>
      </w:r>
      <w:r>
        <w:rPr>
          <w:rFonts w:ascii="Calibri" w:hAnsi="Calibri"/>
          <w:color w:val="008356"/>
          <w:w w:val="110"/>
          <w:sz w:val="11"/>
        </w:rPr>
        <w:t>AMINOPHYLLINE</w:t>
      </w:r>
      <w:r>
        <w:rPr>
          <w:color w:val="231F1F"/>
          <w:w w:val="110"/>
        </w:rPr>
        <w:t>, also plasma concentration of zafirlukast reduced</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Analgesics: </w:t>
      </w:r>
      <w:r>
        <w:rPr>
          <w:color w:val="231F1F"/>
          <w:w w:val="105"/>
        </w:rPr>
        <w:t>plasma concentration of zafirlukast increased by</w:t>
      </w:r>
    </w:p>
    <w:p>
      <w:pPr>
        <w:spacing w:line="131" w:lineRule="exact" w:before="0"/>
        <w:ind w:left="208" w:right="0" w:firstLine="0"/>
        <w:jc w:val="left"/>
        <w:rPr>
          <w:rFonts w:ascii="Calibri"/>
          <w:sz w:val="11"/>
        </w:rPr>
      </w:pPr>
      <w:r>
        <w:rPr>
          <w:rFonts w:ascii="Calibri"/>
          <w:color w:val="008356"/>
          <w:sz w:val="11"/>
        </w:rPr>
        <w:t>ASPIRIN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zafirlukast reduced by</w:t>
      </w:r>
    </w:p>
    <w:p>
      <w:pPr>
        <w:spacing w:line="131" w:lineRule="exact" w:before="0"/>
        <w:ind w:left="208" w:right="0" w:firstLine="0"/>
        <w:jc w:val="left"/>
        <w:rPr>
          <w:rFonts w:ascii="Calibri"/>
          <w:sz w:val="11"/>
        </w:rPr>
      </w:pPr>
      <w:r>
        <w:rPr>
          <w:rFonts w:ascii="Calibri"/>
          <w:color w:val="008356"/>
          <w:sz w:val="11"/>
        </w:rPr>
        <w:t>ERYTHROMYCIN</w:t>
      </w:r>
    </w:p>
    <w:p>
      <w:pPr>
        <w:spacing w:after="0" w:line="131" w:lineRule="exact"/>
        <w:jc w:val="left"/>
        <w:rPr>
          <w:rFonts w:ascii="Calibri"/>
          <w:sz w:val="11"/>
        </w:rPr>
        <w:sectPr>
          <w:pgSz w:w="8390" w:h="11910"/>
          <w:pgMar w:header="0" w:footer="0" w:top="460" w:bottom="0" w:left="480" w:right="0"/>
          <w:cols w:num="2" w:equalWidth="0">
            <w:col w:w="3595" w:space="81"/>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4528" filled="true" fillcolor="#bfdbcf" stroked="false">
            <v:fill type="solid"/>
            <w10:wrap type="none"/>
          </v:rect>
        </w:pict>
      </w:r>
      <w:r>
        <w:rPr/>
        <w:pict>
          <v:shape style="position:absolute;margin-left:7.751256pt;margin-top:35.804367pt;width:10.4pt;height:78.850pt;mso-position-horizontal-relative:page;mso-position-vertical-relative:page;z-index:455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Leukotriene Receptor Antagonists </w:t>
      </w:r>
      <w:r>
        <w:rPr>
          <w:rFonts w:ascii="Calibri"/>
          <w:color w:val="231F1F"/>
        </w:rPr>
        <w:t>(continued)</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Anticoagulants: </w:t>
      </w:r>
      <w:r>
        <w:rPr>
          <w:color w:val="231F1F"/>
          <w:w w:val="105"/>
        </w:rPr>
        <w:t>zafirlukast enhances anticoagulant effect of</w:t>
      </w:r>
    </w:p>
    <w:p>
      <w:pPr>
        <w:spacing w:line="130" w:lineRule="exact" w:before="0"/>
        <w:ind w:left="286" w:right="0" w:firstLine="0"/>
        <w:jc w:val="left"/>
        <w:rPr>
          <w:rFonts w:ascii="Calibri"/>
          <w:sz w:val="11"/>
        </w:rPr>
      </w:pPr>
      <w:r>
        <w:rPr>
          <w:rFonts w:ascii="Calibri"/>
          <w:color w:val="008356"/>
          <w:sz w:val="11"/>
        </w:rPr>
        <w:t>WARFARIN</w:t>
      </w:r>
    </w:p>
    <w:p>
      <w:pPr>
        <w:spacing w:line="220" w:lineRule="auto" w:before="7"/>
        <w:ind w:left="286" w:right="1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montelukast  reduced by </w:t>
      </w:r>
      <w:r>
        <w:rPr>
          <w:rFonts w:ascii="Calibri" w:hAnsi="Calibri"/>
          <w:color w:val="008356"/>
          <w:spacing w:val="4"/>
          <w:w w:val="105"/>
          <w:sz w:val="11"/>
        </w:rPr>
        <w:t>PHENOBARBITAL </w:t>
      </w:r>
      <w:r>
        <w:rPr>
          <w:color w:val="231F1F"/>
          <w:w w:val="105"/>
          <w:sz w:val="12"/>
        </w:rPr>
        <w:t>and</w:t>
      </w:r>
      <w:r>
        <w:rPr>
          <w:color w:val="231F1F"/>
          <w:spacing w:val="3"/>
          <w:w w:val="105"/>
          <w:sz w:val="12"/>
        </w:rPr>
        <w:t> </w:t>
      </w:r>
      <w:r>
        <w:rPr>
          <w:rFonts w:ascii="Calibri" w:hAnsi="Calibri"/>
          <w:color w:val="008356"/>
          <w:spacing w:val="5"/>
          <w:w w:val="105"/>
          <w:sz w:val="11"/>
        </w:rPr>
        <w:t>PRIMIDONE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zafirlukast increased by</w:t>
      </w:r>
    </w:p>
    <w:p>
      <w:pPr>
        <w:spacing w:line="130" w:lineRule="exact" w:before="0"/>
        <w:ind w:left="286" w:right="0" w:firstLine="0"/>
        <w:jc w:val="left"/>
        <w:rPr>
          <w:rFonts w:ascii="Calibri"/>
          <w:sz w:val="11"/>
        </w:rPr>
      </w:pPr>
      <w:r>
        <w:rPr>
          <w:rFonts w:ascii="Calibri"/>
          <w:color w:val="008356"/>
          <w:sz w:val="11"/>
        </w:rPr>
        <w:t>FLUCONAZOLE</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plasma concentration of montelukast increased by </w:t>
      </w:r>
      <w:r>
        <w:rPr>
          <w:rFonts w:ascii="Calibri" w:hAnsi="Calibri"/>
          <w:color w:val="008356"/>
          <w:w w:val="105"/>
          <w:sz w:val="11"/>
        </w:rPr>
        <w:t>GEMFIBROZIL</w:t>
      </w:r>
    </w:p>
    <w:p>
      <w:pPr>
        <w:pStyle w:val="BodyText"/>
        <w:spacing w:line="230" w:lineRule="auto" w:before="4"/>
        <w:ind w:left="286" w:hanging="100"/>
      </w:pPr>
      <w:r>
        <w:rPr>
          <w:rFonts w:ascii="Lucida Sans Unicode" w:hAnsi="Lucida Sans Unicode"/>
          <w:color w:val="A7A8AC"/>
          <w:w w:val="95"/>
          <w:sz w:val="10"/>
        </w:rPr>
        <w:t>▶ </w:t>
      </w:r>
      <w:r>
        <w:rPr>
          <w:rFonts w:ascii="Calibri" w:hAnsi="Calibri"/>
          <w:color w:val="231F1F"/>
          <w:w w:val="110"/>
        </w:rPr>
        <w:t>Theophylline: </w:t>
      </w:r>
      <w:r>
        <w:rPr>
          <w:color w:val="231F1F"/>
          <w:w w:val="110"/>
        </w:rPr>
        <w:t>zafirlukast possibly increases plasma concentration of </w:t>
      </w:r>
      <w:r>
        <w:rPr>
          <w:rFonts w:ascii="Calibri" w:hAnsi="Calibri"/>
          <w:color w:val="008356"/>
          <w:w w:val="110"/>
          <w:sz w:val="11"/>
        </w:rPr>
        <w:t>THEOPHYLLINE</w:t>
      </w:r>
      <w:r>
        <w:rPr>
          <w:color w:val="231F1F"/>
          <w:w w:val="110"/>
        </w:rPr>
        <w:t>, also plasma concentration of zafirlukast reduced</w:t>
      </w:r>
    </w:p>
    <w:p>
      <w:pPr>
        <w:pStyle w:val="BodyText"/>
        <w:spacing w:before="13"/>
        <w:ind w:left="186"/>
        <w:rPr>
          <w:rFonts w:ascii="Trebuchet MS"/>
        </w:rPr>
      </w:pPr>
      <w:r>
        <w:rPr>
          <w:rFonts w:ascii="Trebuchet MS"/>
          <w:color w:val="008356"/>
        </w:rPr>
        <w:t>Levamisole</w:t>
      </w:r>
    </w:p>
    <w:p>
      <w:pPr>
        <w:pStyle w:val="BodyText"/>
        <w:spacing w:line="220" w:lineRule="auto" w:before="10"/>
        <w:ind w:left="286"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possibility of disulfiram-like reaction when levamisole given with </w:t>
      </w:r>
      <w:r>
        <w:rPr>
          <w:rFonts w:ascii="Calibri" w:hAnsi="Calibri"/>
          <w:color w:val="008356"/>
          <w:w w:val="105"/>
          <w:sz w:val="11"/>
        </w:rPr>
        <w:t>ALCOHOL</w:t>
      </w:r>
    </w:p>
    <w:p>
      <w:pPr>
        <w:pStyle w:val="BodyText"/>
        <w:spacing w:line="242" w:lineRule="auto"/>
        <w:ind w:left="286" w:right="98" w:hanging="100"/>
        <w:rPr>
          <w:rFonts w:ascii="Calibri" w:hAnsi="Calibri"/>
          <w:sz w:val="11"/>
        </w:rPr>
      </w:pPr>
      <w:r>
        <w:rPr>
          <w:rFonts w:ascii="Lucida Sans Unicode" w:hAnsi="Lucida Sans Unicode"/>
          <w:color w:val="A7A8AC"/>
          <w:w w:val="95"/>
          <w:sz w:val="10"/>
        </w:rPr>
        <w:t>▶ </w:t>
      </w:r>
      <w:r>
        <w:rPr>
          <w:rFonts w:ascii="Calibri" w:hAnsi="Calibri"/>
          <w:color w:val="231F1F"/>
          <w:w w:val="110"/>
        </w:rPr>
        <w:t>Anthelmintics: </w:t>
      </w:r>
      <w:r>
        <w:rPr>
          <w:color w:val="231F1F"/>
          <w:w w:val="110"/>
        </w:rPr>
        <w:t>plasma concentration of both drugs possibly reduced when levamisole given with </w:t>
      </w:r>
      <w:r>
        <w:rPr>
          <w:rFonts w:ascii="Calibri" w:hAnsi="Calibri"/>
          <w:color w:val="008356"/>
          <w:w w:val="110"/>
          <w:sz w:val="11"/>
        </w:rPr>
        <w:t>ALBENDAZOLE</w:t>
      </w:r>
      <w:r>
        <w:rPr>
          <w:color w:val="231F1F"/>
          <w:w w:val="110"/>
        </w:rPr>
        <w:t>; levamisole possibly increases plasma concentration of </w:t>
      </w:r>
      <w:r>
        <w:rPr>
          <w:rFonts w:ascii="Calibri" w:hAnsi="Calibri"/>
          <w:color w:val="008356"/>
          <w:w w:val="110"/>
          <w:sz w:val="11"/>
        </w:rPr>
        <w:t>IVERMECTIN</w:t>
      </w:r>
    </w:p>
    <w:p>
      <w:pPr>
        <w:pStyle w:val="BodyText"/>
        <w:spacing w:line="140" w:lineRule="exact"/>
        <w:ind w:left="186"/>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Anticoagulants:</w:t>
      </w:r>
      <w:r>
        <w:rPr>
          <w:rFonts w:ascii="Calibri"/>
          <w:color w:val="231F1F"/>
          <w:spacing w:val="-12"/>
          <w:w w:val="115"/>
        </w:rPr>
        <w:t> </w:t>
      </w:r>
      <w:r>
        <w:rPr>
          <w:color w:val="231F1F"/>
          <w:w w:val="115"/>
        </w:rPr>
        <w:t>levamisole</w:t>
      </w:r>
      <w:r>
        <w:rPr>
          <w:color w:val="231F1F"/>
          <w:spacing w:val="-16"/>
          <w:w w:val="115"/>
        </w:rPr>
        <w:t> </w:t>
      </w:r>
      <w:r>
        <w:rPr>
          <w:color w:val="231F1F"/>
          <w:w w:val="115"/>
        </w:rPr>
        <w:t>possibly</w:t>
      </w:r>
      <w:r>
        <w:rPr>
          <w:color w:val="231F1F"/>
          <w:spacing w:val="-15"/>
          <w:w w:val="115"/>
        </w:rPr>
        <w:t> </w:t>
      </w:r>
      <w:r>
        <w:rPr>
          <w:color w:val="231F1F"/>
          <w:w w:val="115"/>
        </w:rPr>
        <w:t>enhances</w:t>
      </w:r>
      <w:r>
        <w:rPr>
          <w:color w:val="231F1F"/>
          <w:spacing w:val="-15"/>
          <w:w w:val="115"/>
        </w:rPr>
        <w:t> </w:t>
      </w:r>
      <w:r>
        <w:rPr>
          <w:color w:val="231F1F"/>
          <w:w w:val="115"/>
        </w:rPr>
        <w:t>anticoagulant</w:t>
      </w:r>
    </w:p>
    <w:p>
      <w:pPr>
        <w:spacing w:line="140" w:lineRule="exact" w:before="0"/>
        <w:ind w:left="286" w:right="0" w:firstLine="0"/>
        <w:jc w:val="left"/>
        <w:rPr>
          <w:rFonts w:ascii="Calibri"/>
          <w:sz w:val="11"/>
        </w:rPr>
      </w:pPr>
      <w:r>
        <w:rPr>
          <w:color w:val="231F1F"/>
          <w:w w:val="110"/>
          <w:sz w:val="12"/>
        </w:rPr>
        <w:t>effect of </w:t>
      </w:r>
      <w:r>
        <w:rPr>
          <w:rFonts w:ascii="Arial"/>
          <w:color w:val="231F1F"/>
          <w:w w:val="355"/>
          <w:position w:val="1"/>
          <w:sz w:val="7"/>
        </w:rPr>
        <w:t>l </w:t>
      </w:r>
      <w:r>
        <w:rPr>
          <w:rFonts w:ascii="Calibri"/>
          <w:color w:val="008356"/>
          <w:w w:val="110"/>
          <w:sz w:val="11"/>
        </w:rPr>
        <w:t>WARFARIN</w:t>
      </w:r>
    </w:p>
    <w:p>
      <w:pPr>
        <w:spacing w:line="220" w:lineRule="auto" w:before="7"/>
        <w:ind w:left="286" w:right="1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levamisole possibly increases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before="9"/>
        <w:ind w:left="186"/>
        <w:rPr>
          <w:rFonts w:ascii="Trebuchet MS"/>
        </w:rPr>
      </w:pPr>
      <w:r>
        <w:rPr>
          <w:rFonts w:ascii="Trebuchet MS"/>
          <w:color w:val="008356"/>
        </w:rPr>
        <w:t>Levetiracetam</w:t>
      </w:r>
    </w:p>
    <w:p>
      <w:pPr>
        <w:spacing w:line="242" w:lineRule="auto" w:before="1"/>
        <w:ind w:left="286" w:right="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147" w:lineRule="exact"/>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levetiracetam possibly increases risk of</w:t>
      </w:r>
    </w:p>
    <w:p>
      <w:pPr>
        <w:spacing w:line="134" w:lineRule="exact" w:before="0"/>
        <w:ind w:left="286" w:right="0" w:firstLine="0"/>
        <w:jc w:val="left"/>
        <w:rPr>
          <w:sz w:val="12"/>
        </w:rPr>
      </w:pPr>
      <w:r>
        <w:rPr>
          <w:rFonts w:ascii="Calibri"/>
          <w:color w:val="008356"/>
          <w:w w:val="105"/>
          <w:sz w:val="11"/>
        </w:rPr>
        <w:t>CARBAMAZEPINE </w:t>
      </w:r>
      <w:r>
        <w:rPr>
          <w:color w:val="231F1F"/>
          <w:w w:val="105"/>
          <w:sz w:val="12"/>
        </w:rPr>
        <w:t>toxicity</w:t>
      </w:r>
    </w:p>
    <w:p>
      <w:pPr>
        <w:pStyle w:val="BodyText"/>
        <w:ind w:left="286" w:right="445" w:hanging="100"/>
        <w:rPr>
          <w:rFonts w:ascii="Calibri"/>
          <w:sz w:val="11"/>
        </w:rPr>
      </w:pPr>
      <w:r>
        <w:rPr>
          <w:rFonts w:ascii="Arial"/>
          <w:color w:val="231F1F"/>
          <w:w w:val="355"/>
          <w:position w:val="1"/>
          <w:sz w:val="7"/>
        </w:rPr>
        <w:t>l </w:t>
      </w:r>
      <w:r>
        <w:rPr>
          <w:rFonts w:ascii="Calibri"/>
          <w:color w:val="231F1F"/>
          <w:w w:val="115"/>
        </w:rPr>
        <w:t>Antimalarials: </w:t>
      </w:r>
      <w:r>
        <w:rPr>
          <w:color w:val="231F1F"/>
          <w:w w:val="115"/>
        </w:rPr>
        <w:t>anticonvulsant effect of </w:t>
      </w:r>
      <w:r>
        <w:rPr>
          <w:color w:val="231F1F"/>
          <w:spacing w:val="-3"/>
          <w:w w:val="115"/>
        </w:rPr>
        <w:t>antiepileptics </w:t>
      </w:r>
      <w:r>
        <w:rPr>
          <w:color w:val="231F1F"/>
          <w:w w:val="115"/>
        </w:rPr>
        <w:t>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left="286" w:right="338"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left="286" w:right="455"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4"/>
        <w:ind w:left="186"/>
      </w:pPr>
      <w:r>
        <w:rPr>
          <w:rFonts w:ascii="Trebuchet MS"/>
          <w:color w:val="008356"/>
          <w:w w:val="110"/>
        </w:rPr>
        <w:t>Levobunolol </w:t>
      </w:r>
      <w:r>
        <w:rPr>
          <w:i/>
          <w:color w:val="231F1F"/>
          <w:w w:val="110"/>
        </w:rPr>
        <w:t>see </w:t>
      </w:r>
      <w:r>
        <w:rPr>
          <w:color w:val="231F1F"/>
          <w:w w:val="110"/>
        </w:rPr>
        <w:t>Beta-blockers</w:t>
      </w:r>
    </w:p>
    <w:p>
      <w:pPr>
        <w:pStyle w:val="BodyText"/>
        <w:spacing w:before="10"/>
        <w:ind w:left="186"/>
        <w:rPr>
          <w:rFonts w:ascii="Trebuchet MS"/>
        </w:rPr>
      </w:pPr>
      <w:r>
        <w:rPr>
          <w:rFonts w:ascii="Trebuchet MS"/>
          <w:color w:val="008356"/>
        </w:rPr>
        <w:t>Levobupivacaine</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increased myocardial depression when levobupivacaine given with </w:t>
      </w:r>
      <w:r>
        <w:rPr>
          <w:rFonts w:ascii="Calibri" w:hAnsi="Calibri"/>
          <w:color w:val="008356"/>
          <w:w w:val="105"/>
          <w:sz w:val="11"/>
        </w:rPr>
        <w:t>ANTI-ARRHYTHMICS</w:t>
      </w:r>
    </w:p>
    <w:p>
      <w:pPr>
        <w:pStyle w:val="BodyText"/>
        <w:spacing w:before="8"/>
        <w:ind w:left="186"/>
        <w:rPr>
          <w:rFonts w:ascii="Trebuchet MS"/>
        </w:rPr>
      </w:pPr>
      <w:r>
        <w:rPr>
          <w:rFonts w:ascii="Trebuchet MS"/>
          <w:color w:val="008356"/>
        </w:rPr>
        <w:t>Levocarnitine</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levocarnitine possibly enhances anticoagulant effect of </w:t>
      </w:r>
      <w:r>
        <w:rPr>
          <w:rFonts w:ascii="Calibri" w:hAnsi="Calibri"/>
          <w:color w:val="008356"/>
          <w:w w:val="105"/>
          <w:sz w:val="11"/>
        </w:rPr>
        <w:t>COUMARINS</w:t>
      </w:r>
    </w:p>
    <w:p>
      <w:pPr>
        <w:pStyle w:val="BodyText"/>
        <w:spacing w:before="9"/>
        <w:ind w:left="186"/>
      </w:pPr>
      <w:r>
        <w:rPr>
          <w:rFonts w:ascii="Trebuchet MS"/>
          <w:color w:val="008356"/>
          <w:w w:val="105"/>
        </w:rPr>
        <w:t>Levocetirizine </w:t>
      </w:r>
      <w:r>
        <w:rPr>
          <w:i/>
          <w:color w:val="231F1F"/>
          <w:w w:val="105"/>
        </w:rPr>
        <w:t>see </w:t>
      </w:r>
      <w:r>
        <w:rPr>
          <w:color w:val="231F1F"/>
          <w:w w:val="105"/>
        </w:rPr>
        <w:t>Antihistamines</w:t>
      </w:r>
    </w:p>
    <w:p>
      <w:pPr>
        <w:pStyle w:val="BodyText"/>
        <w:spacing w:before="10"/>
        <w:ind w:left="186"/>
        <w:rPr>
          <w:rFonts w:ascii="Trebuchet MS"/>
        </w:rPr>
      </w:pPr>
      <w:r>
        <w:rPr>
          <w:rFonts w:ascii="Trebuchet MS"/>
          <w:color w:val="008356"/>
        </w:rPr>
        <w:t>Levodopa</w:t>
      </w:r>
    </w:p>
    <w:p>
      <w:pPr>
        <w:pStyle w:val="BodyText"/>
        <w:spacing w:line="220" w:lineRule="auto" w:before="10"/>
        <w:ind w:left="286"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levodopa given with </w:t>
      </w:r>
      <w:r>
        <w:rPr>
          <w:rFonts w:ascii="Calibri" w:hAnsi="Calibri"/>
          <w:color w:val="008356"/>
          <w:w w:val="105"/>
          <w:sz w:val="11"/>
        </w:rPr>
        <w:t>ACE INHIBITORS</w:t>
      </w:r>
    </w:p>
    <w:p>
      <w:pPr>
        <w:spacing w:line="220" w:lineRule="auto" w:before="8"/>
        <w:ind w:left="286" w:right="16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levodopa given with </w:t>
      </w:r>
      <w:r>
        <w:rPr>
          <w:rFonts w:ascii="Calibri" w:hAnsi="Calibri"/>
          <w:color w:val="008356"/>
          <w:w w:val="105"/>
          <w:sz w:val="11"/>
        </w:rPr>
        <w:t>ADRENERGIC NEURONE BLOCKERS</w:t>
      </w:r>
    </w:p>
    <w:p>
      <w:pPr>
        <w:pStyle w:val="BodyText"/>
        <w:spacing w:line="220" w:lineRule="auto" w:before="9"/>
        <w:ind w:left="286" w:right="98"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levodopa given with </w:t>
      </w:r>
      <w:r>
        <w:rPr>
          <w:rFonts w:ascii="Calibri" w:hAnsi="Calibri"/>
          <w:color w:val="008356"/>
          <w:w w:val="110"/>
          <w:sz w:val="11"/>
        </w:rPr>
        <w:t>ALPHA-BLOCKERS</w:t>
      </w:r>
    </w:p>
    <w:p>
      <w:pPr>
        <w:spacing w:before="0"/>
        <w:ind w:left="286" w:right="21" w:hanging="100"/>
        <w:jc w:val="left"/>
        <w:rPr>
          <w:rFonts w:ascii="Calibri"/>
          <w:sz w:val="11"/>
        </w:rPr>
      </w:pPr>
      <w:r>
        <w:rPr>
          <w:rFonts w:ascii="Arial"/>
          <w:color w:val="231F1F"/>
          <w:w w:val="355"/>
          <w:position w:val="1"/>
          <w:sz w:val="7"/>
        </w:rPr>
        <w:t>l </w:t>
      </w:r>
      <w:r>
        <w:rPr>
          <w:rFonts w:ascii="Calibri"/>
          <w:color w:val="231F1F"/>
          <w:w w:val="110"/>
          <w:sz w:val="12"/>
        </w:rPr>
        <w:t>Anaesthetics, General: </w:t>
      </w:r>
      <w:r>
        <w:rPr>
          <w:color w:val="231F1F"/>
          <w:w w:val="110"/>
          <w:sz w:val="12"/>
        </w:rPr>
        <w:t>increased risk of arrhythmias when levodopa</w:t>
      </w:r>
      <w:r>
        <w:rPr>
          <w:color w:val="231F1F"/>
          <w:spacing w:val="-23"/>
          <w:w w:val="110"/>
          <w:sz w:val="12"/>
        </w:rPr>
        <w:t> </w:t>
      </w:r>
      <w:r>
        <w:rPr>
          <w:color w:val="231F1F"/>
          <w:w w:val="110"/>
          <w:sz w:val="12"/>
        </w:rPr>
        <w:t>given</w:t>
      </w:r>
      <w:r>
        <w:rPr>
          <w:color w:val="231F1F"/>
          <w:spacing w:val="-23"/>
          <w:w w:val="110"/>
          <w:sz w:val="12"/>
        </w:rPr>
        <w:t> </w:t>
      </w:r>
      <w:r>
        <w:rPr>
          <w:color w:val="231F1F"/>
          <w:w w:val="110"/>
          <w:sz w:val="12"/>
        </w:rPr>
        <w:t>with</w:t>
      </w:r>
      <w:r>
        <w:rPr>
          <w:color w:val="231F1F"/>
          <w:spacing w:val="-23"/>
          <w:w w:val="110"/>
          <w:sz w:val="12"/>
        </w:rPr>
        <w:t> </w:t>
      </w:r>
      <w:r>
        <w:rPr>
          <w:rFonts w:ascii="Arial"/>
          <w:color w:val="231F1F"/>
          <w:w w:val="340"/>
          <w:position w:val="1"/>
          <w:sz w:val="7"/>
        </w:rPr>
        <w:t>l</w:t>
      </w:r>
      <w:r>
        <w:rPr>
          <w:rFonts w:ascii="Arial"/>
          <w:color w:val="231F1F"/>
          <w:spacing w:val="-56"/>
          <w:w w:val="340"/>
          <w:position w:val="1"/>
          <w:sz w:val="7"/>
        </w:rPr>
        <w:t> </w:t>
      </w:r>
      <w:r>
        <w:rPr>
          <w:rFonts w:ascii="Calibri"/>
          <w:color w:val="008356"/>
          <w:spacing w:val="3"/>
          <w:w w:val="110"/>
          <w:sz w:val="11"/>
        </w:rPr>
        <w:t>VOLATILE</w:t>
      </w:r>
      <w:r>
        <w:rPr>
          <w:rFonts w:ascii="Calibri"/>
          <w:color w:val="008356"/>
          <w:spacing w:val="-16"/>
          <w:w w:val="110"/>
          <w:sz w:val="11"/>
        </w:rPr>
        <w:t> </w:t>
      </w:r>
      <w:r>
        <w:rPr>
          <w:rFonts w:ascii="Calibri"/>
          <w:color w:val="008356"/>
          <w:spacing w:val="4"/>
          <w:w w:val="110"/>
          <w:sz w:val="11"/>
        </w:rPr>
        <w:t>LIQUID</w:t>
      </w:r>
      <w:r>
        <w:rPr>
          <w:rFonts w:ascii="Calibri"/>
          <w:color w:val="008356"/>
          <w:spacing w:val="-17"/>
          <w:w w:val="110"/>
          <w:sz w:val="11"/>
        </w:rPr>
        <w:t> </w:t>
      </w:r>
      <w:r>
        <w:rPr>
          <w:rFonts w:ascii="Calibri"/>
          <w:color w:val="008356"/>
          <w:spacing w:val="4"/>
          <w:w w:val="110"/>
          <w:sz w:val="11"/>
        </w:rPr>
        <w:t>GENERAL</w:t>
      </w:r>
      <w:r>
        <w:rPr>
          <w:rFonts w:ascii="Calibri"/>
          <w:color w:val="008356"/>
          <w:spacing w:val="-16"/>
          <w:w w:val="110"/>
          <w:sz w:val="11"/>
        </w:rPr>
        <w:t> </w:t>
      </w:r>
      <w:r>
        <w:rPr>
          <w:rFonts w:ascii="Calibri"/>
          <w:color w:val="008356"/>
          <w:spacing w:val="5"/>
          <w:w w:val="110"/>
          <w:sz w:val="11"/>
        </w:rPr>
        <w:t>ANAESTHETICS</w:t>
      </w:r>
    </w:p>
    <w:p>
      <w:pPr>
        <w:spacing w:line="237" w:lineRule="auto" w:before="0"/>
        <w:ind w:left="286" w:right="215"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levodopa given with </w:t>
      </w:r>
      <w:r>
        <w:rPr>
          <w:rFonts w:ascii="Calibri" w:hAnsi="Calibri"/>
          <w:color w:val="008356"/>
          <w:w w:val="105"/>
          <w:sz w:val="11"/>
        </w:rPr>
        <w:t>ANGIOTENSIN-II RECEPTOR ANTAGONISTS</w:t>
      </w:r>
    </w:p>
    <w:p>
      <w:pPr>
        <w:pStyle w:val="BodyText"/>
        <w:spacing w:line="154" w:lineRule="exact"/>
        <w:ind w:left="186"/>
      </w:pPr>
      <w:r>
        <w:rPr>
          <w:rFonts w:ascii="Lucida Sans Unicode" w:hAnsi="Lucida Sans Unicode"/>
          <w:color w:val="A7A8AC"/>
          <w:w w:val="95"/>
          <w:sz w:val="10"/>
        </w:rPr>
        <w:t>▶ </w:t>
      </w:r>
      <w:r>
        <w:rPr>
          <w:rFonts w:ascii="Calibri" w:hAnsi="Calibri"/>
          <w:color w:val="231F1F"/>
        </w:rPr>
        <w:t>Antibacterials: </w:t>
      </w:r>
      <w:r>
        <w:rPr>
          <w:color w:val="231F1F"/>
        </w:rPr>
        <w:t>effects of levodopa possibly reduced by</w:t>
      </w:r>
    </w:p>
    <w:p>
      <w:pPr>
        <w:spacing w:line="130" w:lineRule="exact" w:before="0"/>
        <w:ind w:left="286" w:right="0" w:firstLine="0"/>
        <w:jc w:val="left"/>
        <w:rPr>
          <w:rFonts w:ascii="Calibri"/>
          <w:sz w:val="11"/>
        </w:rPr>
      </w:pPr>
      <w:r>
        <w:rPr>
          <w:rFonts w:ascii="Calibri"/>
          <w:color w:val="008356"/>
          <w:sz w:val="11"/>
        </w:rPr>
        <w:t>ISONIAZID</w:t>
      </w:r>
    </w:p>
    <w:p>
      <w:pPr>
        <w:pStyle w:val="BodyText"/>
        <w:spacing w:line="244" w:lineRule="auto"/>
        <w:ind w:left="286" w:right="98" w:hanging="100"/>
        <w:rPr>
          <w:rFonts w:ascii="Calibri"/>
          <w:sz w:val="11"/>
        </w:rPr>
      </w:pPr>
      <w:r>
        <w:rPr>
          <w:rFonts w:ascii="Arial"/>
          <w:color w:val="231F1F"/>
          <w:w w:val="355"/>
          <w:position w:val="1"/>
          <w:sz w:val="7"/>
        </w:rPr>
        <w:t>l </w:t>
      </w:r>
      <w:r>
        <w:rPr>
          <w:rFonts w:ascii="Calibri"/>
          <w:color w:val="231F1F"/>
          <w:w w:val="105"/>
        </w:rPr>
        <w:t>Antidepressants: </w:t>
      </w:r>
      <w:r>
        <w:rPr>
          <w:color w:val="231F1F"/>
          <w:w w:val="105"/>
        </w:rPr>
        <w:t>risk of hypertensive crisis when levodopa given with </w:t>
      </w:r>
      <w:r>
        <w:rPr>
          <w:rFonts w:ascii="Arial"/>
          <w:color w:val="231F1F"/>
          <w:w w:val="355"/>
          <w:position w:val="1"/>
          <w:sz w:val="7"/>
        </w:rPr>
        <w:t>l </w:t>
      </w:r>
      <w:r>
        <w:rPr>
          <w:rFonts w:ascii="Calibri"/>
          <w:color w:val="008356"/>
          <w:spacing w:val="4"/>
          <w:w w:val="105"/>
          <w:sz w:val="11"/>
        </w:rPr>
        <w:t>MAOIS</w:t>
      </w:r>
      <w:r>
        <w:rPr>
          <w:color w:val="231F1F"/>
          <w:spacing w:val="4"/>
          <w:w w:val="105"/>
        </w:rPr>
        <w:t>, </w:t>
      </w:r>
      <w:r>
        <w:rPr>
          <w:color w:val="231F1F"/>
          <w:w w:val="105"/>
        </w:rPr>
        <w:t>avoid levodopa for </w:t>
      </w:r>
      <w:r>
        <w:rPr>
          <w:color w:val="231F1F"/>
          <w:w w:val="130"/>
        </w:rPr>
        <w:t>at </w:t>
      </w:r>
      <w:r>
        <w:rPr>
          <w:color w:val="231F1F"/>
          <w:w w:val="105"/>
        </w:rPr>
        <w:t>least 2 weeks after stopping MAOIs; increased  risk  of  side-effects  when levodopa given with</w:t>
      </w:r>
      <w:r>
        <w:rPr>
          <w:color w:val="231F1F"/>
          <w:spacing w:val="-3"/>
          <w:w w:val="105"/>
        </w:rPr>
        <w:t> </w:t>
      </w:r>
      <w:r>
        <w:rPr>
          <w:rFonts w:ascii="Calibri"/>
          <w:color w:val="008356"/>
          <w:spacing w:val="4"/>
          <w:w w:val="105"/>
          <w:sz w:val="11"/>
        </w:rPr>
        <w:t>MOCLOBEMIDE</w:t>
      </w:r>
    </w:p>
    <w:p>
      <w:pPr>
        <w:pStyle w:val="BodyText"/>
        <w:spacing w:line="145" w:lineRule="exact"/>
        <w:ind w:left="186"/>
      </w:pPr>
      <w:r>
        <w:rPr>
          <w:rFonts w:ascii="Lucida Sans Unicode" w:hAnsi="Lucida Sans Unicode"/>
          <w:color w:val="A7A8AC"/>
          <w:w w:val="95"/>
          <w:sz w:val="10"/>
        </w:rPr>
        <w:t>▶ </w:t>
      </w:r>
      <w:r>
        <w:rPr>
          <w:rFonts w:ascii="Calibri" w:hAnsi="Calibri"/>
          <w:color w:val="231F1F"/>
        </w:rPr>
        <w:t>Antiepileptics: </w:t>
      </w:r>
      <w:r>
        <w:rPr>
          <w:color w:val="231F1F"/>
        </w:rPr>
        <w:t>effects of levodopa possibly reduced by</w:t>
      </w:r>
    </w:p>
    <w:p>
      <w:pPr>
        <w:spacing w:line="134" w:lineRule="exact" w:before="0"/>
        <w:ind w:left="286"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Antimuscarinics: </w:t>
      </w:r>
      <w:r>
        <w:rPr>
          <w:color w:val="231F1F"/>
          <w:w w:val="105"/>
        </w:rPr>
        <w:t>absorption of levodopa possibly reduced by</w:t>
      </w:r>
    </w:p>
    <w:p>
      <w:pPr>
        <w:spacing w:line="130" w:lineRule="exact" w:before="0"/>
        <w:ind w:left="286" w:right="0" w:firstLine="0"/>
        <w:jc w:val="left"/>
        <w:rPr>
          <w:rFonts w:ascii="Calibri"/>
          <w:sz w:val="11"/>
        </w:rPr>
      </w:pPr>
      <w:r>
        <w:rPr>
          <w:rFonts w:ascii="Calibri"/>
          <w:color w:val="008356"/>
          <w:sz w:val="11"/>
        </w:rPr>
        <w:t>ANTIMUSCARINICS</w:t>
      </w:r>
    </w:p>
    <w:p>
      <w:pPr>
        <w:pStyle w:val="BodyText"/>
        <w:spacing w:line="230" w:lineRule="auto"/>
        <w:ind w:left="286"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effects of levodopa antagonised by </w:t>
      </w:r>
      <w:r>
        <w:rPr>
          <w:rFonts w:ascii="Calibri" w:hAnsi="Calibri"/>
          <w:color w:val="008356"/>
          <w:w w:val="110"/>
          <w:sz w:val="11"/>
        </w:rPr>
        <w:t>ANTIPSYCHOTICS</w:t>
      </w:r>
      <w:r>
        <w:rPr>
          <w:color w:val="231F1F"/>
          <w:w w:val="110"/>
        </w:rPr>
        <w:t>; avoidance of levodopa advised by manufacturer of </w:t>
      </w:r>
      <w:r>
        <w:rPr>
          <w:rFonts w:ascii="Calibri" w:hAnsi="Calibri"/>
          <w:color w:val="008356"/>
          <w:w w:val="110"/>
          <w:sz w:val="11"/>
        </w:rPr>
        <w:t>AMISULPRIDE </w:t>
      </w:r>
      <w:r>
        <w:rPr>
          <w:color w:val="231F1F"/>
          <w:w w:val="110"/>
        </w:rPr>
        <w:t>(antagonism of effect)</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effects of levodopa possibly antagonised by </w:t>
      </w:r>
      <w:r>
        <w:rPr>
          <w:rFonts w:ascii="Calibri" w:hAnsi="Calibri"/>
          <w:color w:val="008356"/>
          <w:w w:val="105"/>
          <w:sz w:val="11"/>
        </w:rPr>
        <w:t>BENZODIAZEPINES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levodopa given with </w:t>
      </w:r>
      <w:r>
        <w:rPr>
          <w:rFonts w:ascii="Calibri" w:hAnsi="Calibri"/>
          <w:color w:val="008356"/>
          <w:w w:val="110"/>
          <w:sz w:val="11"/>
        </w:rPr>
        <w:t>BETA-BLOCKERS</w:t>
      </w:r>
    </w:p>
    <w:p>
      <w:pPr>
        <w:pStyle w:val="BodyText"/>
        <w:spacing w:before="9"/>
        <w:ind w:left="0"/>
        <w:rPr>
          <w:rFonts w:ascii="Calibri"/>
          <w:sz w:val="13"/>
        </w:rPr>
      </w:pPr>
      <w:r>
        <w:rPr/>
        <w:br w:type="column"/>
      </w:r>
      <w:r>
        <w:rPr>
          <w:rFonts w:ascii="Calibri"/>
          <w:sz w:val="13"/>
        </w:rPr>
      </w:r>
    </w:p>
    <w:p>
      <w:pPr>
        <w:pStyle w:val="BodyText"/>
        <w:spacing w:line="144" w:lineRule="exact"/>
        <w:ind w:left="187"/>
        <w:rPr>
          <w:rFonts w:ascii="Calibri"/>
        </w:rPr>
      </w:pPr>
      <w:r>
        <w:rPr>
          <w:rFonts w:ascii="Arial"/>
          <w:color w:val="008356"/>
        </w:rPr>
        <w:t>Levodopa </w:t>
      </w:r>
      <w:r>
        <w:rPr>
          <w:rFonts w:ascii="Calibri"/>
          <w:color w:val="231F1F"/>
        </w:rPr>
        <w:t>(continued)</w:t>
      </w:r>
    </w:p>
    <w:p>
      <w:pPr>
        <w:pStyle w:val="BodyText"/>
        <w:spacing w:line="220" w:lineRule="auto" w:before="6"/>
        <w:ind w:left="286" w:right="616" w:hanging="100"/>
        <w:rPr>
          <w:rFonts w:ascii="Calibri" w:hAnsi="Calibri"/>
          <w:sz w:val="11"/>
        </w:rPr>
      </w:pPr>
      <w:r>
        <w:rPr>
          <w:rFonts w:ascii="Lucida Sans Unicode" w:hAnsi="Lucida Sans Unicode"/>
          <w:color w:val="A7A8AC"/>
          <w:w w:val="95"/>
          <w:sz w:val="10"/>
        </w:rPr>
        <w:t>▶ </w:t>
      </w:r>
      <w:r>
        <w:rPr>
          <w:rFonts w:ascii="Calibri" w:hAnsi="Calibri"/>
          <w:color w:val="231F1F"/>
          <w:w w:val="110"/>
        </w:rPr>
        <w:t>Bupropion: </w:t>
      </w:r>
      <w:r>
        <w:rPr>
          <w:color w:val="231F1F"/>
          <w:w w:val="110"/>
        </w:rPr>
        <w:t>increased risk of side-effects when levodopa given with </w:t>
      </w:r>
      <w:r>
        <w:rPr>
          <w:rFonts w:ascii="Calibri" w:hAnsi="Calibri"/>
          <w:color w:val="008356"/>
          <w:w w:val="110"/>
          <w:sz w:val="11"/>
        </w:rPr>
        <w:t>BUPROPION</w:t>
      </w:r>
    </w:p>
    <w:p>
      <w:pPr>
        <w:spacing w:line="220" w:lineRule="auto" w:before="9"/>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levodopa given with </w:t>
      </w:r>
      <w:r>
        <w:rPr>
          <w:rFonts w:ascii="Calibri" w:hAnsi="Calibri"/>
          <w:color w:val="008356"/>
          <w:w w:val="105"/>
          <w:sz w:val="11"/>
        </w:rPr>
        <w:t>CALCIUM-CHANNEL BLOCKERS</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levodopa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CLONIDINE</w:t>
      </w:r>
    </w:p>
    <w:p>
      <w:pPr>
        <w:pStyle w:val="BodyText"/>
        <w:spacing w:line="220" w:lineRule="auto" w:before="8"/>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levodopa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DIAZOXIDE</w:t>
      </w:r>
    </w:p>
    <w:p>
      <w:pPr>
        <w:pStyle w:val="BodyText"/>
        <w:spacing w:line="220" w:lineRule="auto" w:before="8"/>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levodopa </w:t>
      </w:r>
      <w:r>
        <w:rPr>
          <w:color w:val="231F1F"/>
          <w:spacing w:val="-3"/>
          <w:w w:val="105"/>
        </w:rPr>
        <w:t>given </w:t>
      </w:r>
      <w:r>
        <w:rPr>
          <w:color w:val="231F1F"/>
          <w:w w:val="105"/>
        </w:rPr>
        <w:t>with</w:t>
      </w:r>
      <w:r>
        <w:rPr>
          <w:color w:val="231F1F"/>
          <w:spacing w:val="-1"/>
          <w:w w:val="105"/>
        </w:rPr>
        <w:t> </w:t>
      </w:r>
      <w:r>
        <w:rPr>
          <w:rFonts w:ascii="Calibri" w:hAnsi="Calibri"/>
          <w:color w:val="008356"/>
          <w:spacing w:val="5"/>
          <w:w w:val="105"/>
          <w:sz w:val="11"/>
        </w:rPr>
        <w:t>DIURETICS</w:t>
      </w:r>
    </w:p>
    <w:p>
      <w:pPr>
        <w:pStyle w:val="BodyText"/>
        <w:spacing w:line="230" w:lineRule="auto" w:before="5"/>
        <w:ind w:left="286" w:right="839"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enhanced effects and increased toxicity of levodopa when given with </w:t>
      </w:r>
      <w:r>
        <w:rPr>
          <w:rFonts w:ascii="Calibri" w:hAnsi="Calibri"/>
          <w:color w:val="008356"/>
          <w:w w:val="110"/>
          <w:sz w:val="11"/>
        </w:rPr>
        <w:t>SELEGILINE </w:t>
      </w:r>
      <w:r>
        <w:rPr>
          <w:color w:val="231F1F"/>
          <w:w w:val="110"/>
        </w:rPr>
        <w:t>(reduce dose of levodopa)</w:t>
      </w:r>
    </w:p>
    <w:p>
      <w:pPr>
        <w:pStyle w:val="BodyText"/>
        <w:spacing w:line="156" w:lineRule="exact" w:before="2"/>
        <w:ind w:left="187"/>
        <w:rPr>
          <w:i/>
        </w:rPr>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levodopa possibly reduced by </w:t>
      </w:r>
      <w:r>
        <w:rPr>
          <w:i/>
          <w:color w:val="231F1F"/>
          <w:w w:val="105"/>
        </w:rPr>
        <w:t>oral</w:t>
      </w:r>
    </w:p>
    <w:p>
      <w:pPr>
        <w:spacing w:line="131" w:lineRule="exact" w:before="0"/>
        <w:ind w:left="286" w:right="0" w:firstLine="0"/>
        <w:jc w:val="left"/>
        <w:rPr>
          <w:rFonts w:ascii="Calibri"/>
          <w:sz w:val="11"/>
        </w:rPr>
      </w:pPr>
      <w:r>
        <w:rPr>
          <w:rFonts w:ascii="Calibri"/>
          <w:color w:val="008356"/>
          <w:sz w:val="11"/>
        </w:rPr>
        <w:t>IRON SALTS</w:t>
      </w:r>
    </w:p>
    <w:p>
      <w:pPr>
        <w:pStyle w:val="BodyText"/>
        <w:spacing w:line="154" w:lineRule="exact"/>
        <w:ind w:left="187"/>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30" w:lineRule="auto" w:before="4"/>
        <w:ind w:left="286" w:right="865"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levodopa given with </w:t>
      </w:r>
      <w:r>
        <w:rPr>
          <w:rFonts w:ascii="Calibri" w:hAnsi="Calibri"/>
          <w:color w:val="008356"/>
          <w:w w:val="110"/>
          <w:sz w:val="11"/>
        </w:rPr>
        <w:t>METHYLDOPA</w:t>
      </w:r>
      <w:r>
        <w:rPr>
          <w:color w:val="231F1F"/>
          <w:w w:val="110"/>
        </w:rPr>
        <w:t>; antiparkinsonian effect of dopaminergics antagonised by </w:t>
      </w:r>
      <w:r>
        <w:rPr>
          <w:rFonts w:ascii="Calibri" w:hAnsi="Calibri"/>
          <w:color w:val="008356"/>
          <w:w w:val="110"/>
          <w:sz w:val="11"/>
        </w:rPr>
        <w:t>METHYLDOPA</w:t>
      </w:r>
    </w:p>
    <w:p>
      <w:pPr>
        <w:pStyle w:val="BodyText"/>
        <w:spacing w:line="220" w:lineRule="auto" w:before="8"/>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levodopa given with </w:t>
      </w:r>
      <w:r>
        <w:rPr>
          <w:rFonts w:ascii="Calibri" w:hAnsi="Calibri"/>
          <w:color w:val="008356"/>
          <w:w w:val="105"/>
          <w:sz w:val="11"/>
        </w:rPr>
        <w:t>MOXONIDINE</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possible agitation, confusion and hallucinations when levodopa given with </w:t>
      </w:r>
      <w:r>
        <w:rPr>
          <w:rFonts w:ascii="Calibri" w:hAnsi="Calibri"/>
          <w:color w:val="008356"/>
          <w:w w:val="110"/>
          <w:sz w:val="11"/>
        </w:rPr>
        <w:t>BACLOFEN</w:t>
      </w:r>
    </w:p>
    <w:p>
      <w:pPr>
        <w:pStyle w:val="BodyText"/>
        <w:spacing w:line="220" w:lineRule="auto" w:before="8"/>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levodopa given with </w:t>
      </w:r>
      <w:r>
        <w:rPr>
          <w:rFonts w:ascii="Calibri" w:hAnsi="Calibri"/>
          <w:color w:val="008356"/>
          <w:w w:val="105"/>
          <w:sz w:val="11"/>
        </w:rPr>
        <w:t>NITRATES</w:t>
      </w:r>
    </w:p>
    <w:p>
      <w:pPr>
        <w:spacing w:line="237" w:lineRule="auto" w:before="1"/>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levodopa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line="220" w:lineRule="auto" w:before="6"/>
        <w:ind w:left="286" w:right="670" w:hanging="100"/>
      </w:pPr>
      <w:r>
        <w:rPr>
          <w:rFonts w:ascii="Lucida Sans Unicode" w:hAnsi="Lucida Sans Unicode"/>
          <w:color w:val="A7A8AC"/>
          <w:w w:val="95"/>
          <w:sz w:val="10"/>
        </w:rPr>
        <w:t>▶ </w:t>
      </w:r>
      <w:r>
        <w:rPr>
          <w:rFonts w:ascii="Calibri" w:hAnsi="Calibri"/>
          <w:color w:val="231F1F"/>
          <w:w w:val="110"/>
        </w:rPr>
        <w:t>Vitamins: </w:t>
      </w:r>
      <w:r>
        <w:rPr>
          <w:color w:val="231F1F"/>
          <w:w w:val="110"/>
        </w:rPr>
        <w:t>effects of levodopa reduced by </w:t>
      </w:r>
      <w:r>
        <w:rPr>
          <w:rFonts w:ascii="Calibri" w:hAnsi="Calibri"/>
          <w:color w:val="008356"/>
          <w:w w:val="110"/>
          <w:sz w:val="11"/>
        </w:rPr>
        <w:t>PYRIDOXINE </w:t>
      </w:r>
      <w:r>
        <w:rPr>
          <w:color w:val="231F1F"/>
          <w:w w:val="110"/>
        </w:rPr>
        <w:t>when given without dopa-decarboxylase inhibitor</w:t>
      </w:r>
    </w:p>
    <w:p>
      <w:pPr>
        <w:pStyle w:val="BodyText"/>
        <w:spacing w:line="256" w:lineRule="auto" w:before="13"/>
        <w:ind w:left="186" w:right="1930"/>
        <w:rPr>
          <w:rFonts w:ascii="Trebuchet MS"/>
        </w:rPr>
      </w:pPr>
      <w:r>
        <w:rPr>
          <w:rFonts w:ascii="Trebuchet MS"/>
          <w:color w:val="008356"/>
          <w:w w:val="105"/>
        </w:rPr>
        <w:t>Levofloxacin </w:t>
      </w:r>
      <w:r>
        <w:rPr>
          <w:i/>
          <w:color w:val="231F1F"/>
          <w:w w:val="105"/>
        </w:rPr>
        <w:t>see </w:t>
      </w:r>
      <w:r>
        <w:rPr>
          <w:color w:val="231F1F"/>
          <w:w w:val="105"/>
        </w:rPr>
        <w:t>Quinolones </w:t>
      </w:r>
      <w:r>
        <w:rPr>
          <w:rFonts w:ascii="Trebuchet MS"/>
          <w:color w:val="008356"/>
          <w:w w:val="105"/>
        </w:rPr>
        <w:t>Levofolinic Acid </w:t>
      </w:r>
      <w:r>
        <w:rPr>
          <w:i/>
          <w:color w:val="231F1F"/>
          <w:w w:val="105"/>
        </w:rPr>
        <w:t>see </w:t>
      </w:r>
      <w:r>
        <w:rPr>
          <w:color w:val="231F1F"/>
          <w:w w:val="105"/>
        </w:rPr>
        <w:t>Folates </w:t>
      </w:r>
      <w:r>
        <w:rPr>
          <w:rFonts w:ascii="Trebuchet MS"/>
          <w:color w:val="008356"/>
          <w:w w:val="105"/>
        </w:rPr>
        <w:t>Levomepromazine </w:t>
      </w:r>
      <w:r>
        <w:rPr>
          <w:i/>
          <w:color w:val="231F1F"/>
          <w:w w:val="105"/>
        </w:rPr>
        <w:t>see </w:t>
      </w:r>
      <w:r>
        <w:rPr>
          <w:color w:val="231F1F"/>
          <w:w w:val="105"/>
        </w:rPr>
        <w:t>Antipsychotics </w:t>
      </w:r>
      <w:r>
        <w:rPr>
          <w:rFonts w:ascii="Trebuchet MS"/>
          <w:color w:val="008356"/>
          <w:w w:val="105"/>
        </w:rPr>
        <w:t>Levonorgestrel </w:t>
      </w:r>
      <w:r>
        <w:rPr>
          <w:i/>
          <w:color w:val="231F1F"/>
          <w:w w:val="105"/>
        </w:rPr>
        <w:t>see </w:t>
      </w:r>
      <w:r>
        <w:rPr>
          <w:color w:val="231F1F"/>
          <w:w w:val="105"/>
        </w:rPr>
        <w:t>Progestogens </w:t>
      </w:r>
      <w:r>
        <w:rPr>
          <w:rFonts w:ascii="Trebuchet MS"/>
          <w:color w:val="008356"/>
          <w:w w:val="105"/>
        </w:rPr>
        <w:t>Levothyroxine </w:t>
      </w:r>
      <w:r>
        <w:rPr>
          <w:i/>
          <w:color w:val="231F1F"/>
          <w:w w:val="105"/>
        </w:rPr>
        <w:t>see </w:t>
      </w:r>
      <w:r>
        <w:rPr>
          <w:color w:val="231F1F"/>
          <w:w w:val="105"/>
        </w:rPr>
        <w:t>Thyroid Hormones </w:t>
      </w:r>
      <w:r>
        <w:rPr>
          <w:rFonts w:ascii="Trebuchet MS"/>
          <w:color w:val="008356"/>
          <w:w w:val="105"/>
        </w:rPr>
        <w:t>Lidocaine</w:t>
      </w:r>
    </w:p>
    <w:p>
      <w:pPr>
        <w:pStyle w:val="BodyText"/>
        <w:spacing w:line="137" w:lineRule="exact"/>
        <w:ind w:left="286"/>
      </w:pPr>
      <w:r>
        <w:rPr>
          <w:rFonts w:ascii="Calibri"/>
          <w:color w:val="008356"/>
          <w:w w:val="110"/>
          <w:sz w:val="11"/>
        </w:rPr>
        <w:t>NOTE </w:t>
      </w:r>
      <w:r>
        <w:rPr>
          <w:color w:val="231F1F"/>
          <w:w w:val="110"/>
        </w:rPr>
        <w:t>Interactions less likely when lidocaine used topically</w:t>
      </w:r>
    </w:p>
    <w:p>
      <w:pPr>
        <w:spacing w:line="220" w:lineRule="auto" w:before="8"/>
        <w:ind w:left="286" w:right="713"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1" w:lineRule="exact" w:before="4"/>
        <w:ind w:left="286"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ind w:left="286" w:right="635" w:hanging="100"/>
        <w:rPr>
          <w:rFonts w:ascii="Calibri"/>
          <w:sz w:val="11"/>
        </w:rPr>
      </w:pPr>
      <w:r>
        <w:rPr>
          <w:rFonts w:ascii="Arial"/>
          <w:color w:val="231F1F"/>
          <w:w w:val="355"/>
          <w:position w:val="1"/>
          <w:sz w:val="7"/>
        </w:rPr>
        <w:t>l </w:t>
      </w:r>
      <w:r>
        <w:rPr>
          <w:rFonts w:ascii="Calibri"/>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8"/>
          <w:w w:val="355"/>
          <w:position w:val="1"/>
          <w:sz w:val="7"/>
        </w:rPr>
        <w:t> </w:t>
      </w:r>
      <w:r>
        <w:rPr>
          <w:rFonts w:ascii="Calibri"/>
          <w:color w:val="008356"/>
          <w:spacing w:val="5"/>
          <w:w w:val="110"/>
          <w:sz w:val="11"/>
        </w:rPr>
        <w:t>ANTI-ARRHYTHMICS</w:t>
      </w:r>
    </w:p>
    <w:p>
      <w:pPr>
        <w:pStyle w:val="BodyText"/>
        <w:ind w:left="286" w:right="627"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8"/>
          <w:w w:val="115"/>
        </w:rPr>
        <w:t> </w:t>
      </w:r>
      <w:r>
        <w:rPr>
          <w:color w:val="231F1F"/>
          <w:spacing w:val="-4"/>
          <w:w w:val="115"/>
        </w:rPr>
        <w:t>when </w:t>
      </w:r>
      <w:r>
        <w:rPr>
          <w:color w:val="231F1F"/>
          <w:w w:val="115"/>
        </w:rPr>
        <w:t>anti-arrhythmics that prolong the QT interval given</w:t>
      </w:r>
      <w:r>
        <w:rPr>
          <w:color w:val="231F1F"/>
          <w:spacing w:val="-23"/>
          <w:w w:val="115"/>
        </w:rPr>
        <w:t> </w:t>
      </w:r>
      <w:r>
        <w:rPr>
          <w:color w:val="231F1F"/>
          <w:w w:val="115"/>
        </w:rPr>
        <w:t>with</w:t>
      </w:r>
    </w:p>
    <w:p>
      <w:pPr>
        <w:spacing w:line="141" w:lineRule="exact" w:before="0"/>
        <w:ind w:left="286" w:right="0" w:firstLine="0"/>
        <w:jc w:val="left"/>
        <w:rPr>
          <w:sz w:val="12"/>
        </w:rPr>
      </w:pPr>
      <w:r>
        <w:rPr>
          <w:rFonts w:ascii="Arial"/>
          <w:color w:val="231F1F"/>
          <w:w w:val="355"/>
          <w:position w:val="1"/>
          <w:sz w:val="7"/>
        </w:rPr>
        <w:t>l</w:t>
      </w:r>
      <w:r>
        <w:rPr>
          <w:rFonts w:ascii="Arial"/>
          <w:color w:val="231F1F"/>
          <w:spacing w:val="-61"/>
          <w:w w:val="355"/>
          <w:position w:val="1"/>
          <w:sz w:val="7"/>
        </w:rPr>
        <w:t> </w:t>
      </w:r>
      <w:r>
        <w:rPr>
          <w:rFonts w:ascii="Calibri"/>
          <w:color w:val="008356"/>
          <w:spacing w:val="4"/>
          <w:w w:val="110"/>
          <w:sz w:val="11"/>
        </w:rPr>
        <w:t>ANTIPSYCHOTICS </w:t>
      </w:r>
      <w:r>
        <w:rPr>
          <w:color w:val="231F1F"/>
          <w:w w:val="145"/>
          <w:sz w:val="12"/>
        </w:rPr>
        <w:t>that </w:t>
      </w:r>
      <w:r>
        <w:rPr>
          <w:color w:val="231F1F"/>
          <w:w w:val="110"/>
          <w:sz w:val="12"/>
        </w:rPr>
        <w:t>prolong the QT interval</w:t>
      </w:r>
    </w:p>
    <w:p>
      <w:pPr>
        <w:pStyle w:val="BodyText"/>
        <w:ind w:left="286" w:right="600"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lidocaine possibly increased by </w:t>
      </w:r>
      <w:r>
        <w:rPr>
          <w:rFonts w:ascii="Arial" w:hAnsi="Arial"/>
          <w:color w:val="231F1F"/>
          <w:w w:val="355"/>
          <w:position w:val="1"/>
          <w:sz w:val="7"/>
        </w:rPr>
        <w:t>l </w:t>
      </w:r>
      <w:r>
        <w:rPr>
          <w:rFonts w:ascii="Calibri" w:hAnsi="Calibri"/>
          <w:color w:val="008356"/>
          <w:w w:val="110"/>
          <w:sz w:val="11"/>
        </w:rPr>
        <w:t>ATAZANAVIR </w:t>
      </w:r>
      <w:r>
        <w:rPr>
          <w:color w:val="231F1F"/>
          <w:w w:val="110"/>
        </w:rPr>
        <w:t>and </w:t>
      </w:r>
      <w:r>
        <w:rPr>
          <w:rFonts w:ascii="Calibri" w:hAnsi="Calibri"/>
          <w:color w:val="008356"/>
          <w:w w:val="110"/>
          <w:sz w:val="11"/>
        </w:rPr>
        <w:t>LOPINAVIR</w:t>
      </w:r>
      <w:r>
        <w:rPr>
          <w:color w:val="231F1F"/>
          <w:w w:val="110"/>
        </w:rPr>
        <w:t>; plasma concentration of lidocaine possibly increased by </w:t>
      </w:r>
      <w:r>
        <w:rPr>
          <w:rFonts w:ascii="Calibri" w:hAnsi="Calibri"/>
          <w:color w:val="008356"/>
          <w:w w:val="110"/>
          <w:sz w:val="11"/>
        </w:rPr>
        <w:t>DARUNAVIR </w:t>
      </w:r>
      <w:r>
        <w:rPr>
          <w:color w:val="231F1F"/>
          <w:w w:val="110"/>
        </w:rPr>
        <w:t>and </w:t>
      </w:r>
      <w:r>
        <w:rPr>
          <w:rFonts w:ascii="Arial" w:hAnsi="Arial"/>
          <w:color w:val="231F1F"/>
          <w:w w:val="355"/>
          <w:position w:val="1"/>
          <w:sz w:val="7"/>
        </w:rPr>
        <w:t>l </w:t>
      </w:r>
      <w:r>
        <w:rPr>
          <w:rFonts w:ascii="Calibri" w:hAnsi="Calibri"/>
          <w:color w:val="008356"/>
          <w:w w:val="110"/>
          <w:sz w:val="11"/>
        </w:rPr>
        <w:t>FOSAMPRENAVIR</w:t>
      </w:r>
      <w:r>
        <w:rPr>
          <w:rFonts w:ascii="Arial" w:hAnsi="Arial"/>
          <w:color w:val="231F1F"/>
          <w:w w:val="110"/>
        </w:rPr>
        <w:t>—</w:t>
      </w:r>
      <w:r>
        <w:rPr>
          <w:color w:val="231F1F"/>
          <w:w w:val="110"/>
        </w:rPr>
        <w:t>avoid concomitant use; increased risk of ventricular arrhythmias when lidocaine given with</w:t>
      </w:r>
    </w:p>
    <w:p>
      <w:pPr>
        <w:spacing w:before="9"/>
        <w:ind w:left="286" w:right="0" w:firstLine="0"/>
        <w:jc w:val="left"/>
        <w:rPr>
          <w:sz w:val="12"/>
        </w:rPr>
      </w:pPr>
      <w:r>
        <w:rPr>
          <w:rFonts w:ascii="Arial" w:hAnsi="Arial"/>
          <w:color w:val="231F1F"/>
          <w:w w:val="355"/>
          <w:position w:val="1"/>
          <w:sz w:val="7"/>
        </w:rPr>
        <w:t>l </w:t>
      </w:r>
      <w:r>
        <w:rPr>
          <w:rFonts w:ascii="Calibri" w:hAnsi="Calibri"/>
          <w:color w:val="008356"/>
          <w:w w:val="115"/>
          <w:sz w:val="11"/>
        </w:rPr>
        <w:t>SAQUINAVIR</w:t>
      </w:r>
      <w:r>
        <w:rPr>
          <w:rFonts w:ascii="Arial" w:hAnsi="Arial"/>
          <w:color w:val="231F1F"/>
          <w:w w:val="115"/>
          <w:sz w:val="12"/>
        </w:rPr>
        <w:t>—</w:t>
      </w:r>
      <w:r>
        <w:rPr>
          <w:color w:val="231F1F"/>
          <w:w w:val="115"/>
          <w:sz w:val="12"/>
        </w:rPr>
        <w:t>avoid concomitant use; caution with</w:t>
      </w:r>
    </w:p>
    <w:p>
      <w:pPr>
        <w:spacing w:line="141" w:lineRule="exact" w:before="1"/>
        <w:ind w:left="286" w:right="0" w:firstLine="0"/>
        <w:jc w:val="left"/>
        <w:rPr>
          <w:rFonts w:ascii="Calibri"/>
          <w:sz w:val="11"/>
        </w:rPr>
      </w:pPr>
      <w:r>
        <w:rPr>
          <w:i/>
          <w:color w:val="231F1F"/>
          <w:w w:val="110"/>
          <w:sz w:val="12"/>
        </w:rPr>
        <w:t>intravenous </w:t>
      </w:r>
      <w:r>
        <w:rPr>
          <w:color w:val="231F1F"/>
          <w:w w:val="110"/>
          <w:sz w:val="12"/>
        </w:rPr>
        <w:t>lidocaine advised by manufacturer of </w:t>
      </w:r>
      <w:r>
        <w:rPr>
          <w:rFonts w:ascii="Calibri"/>
          <w:color w:val="008356"/>
          <w:w w:val="110"/>
          <w:sz w:val="11"/>
        </w:rPr>
        <w:t>TELAPREVIR</w:t>
      </w:r>
    </w:p>
    <w:p>
      <w:pPr>
        <w:pStyle w:val="BodyText"/>
        <w:spacing w:line="242" w:lineRule="auto"/>
        <w:ind w:left="286" w:right="597" w:hanging="100"/>
        <w:rPr>
          <w:rFonts w:ascii="Calibri"/>
          <w:sz w:val="11"/>
        </w:rPr>
      </w:pPr>
      <w:r>
        <w:rPr>
          <w:rFonts w:ascii="Arial"/>
          <w:color w:val="231F1F"/>
          <w:w w:val="355"/>
          <w:position w:val="1"/>
          <w:sz w:val="7"/>
        </w:rPr>
        <w:t>l </w:t>
      </w:r>
      <w:r>
        <w:rPr>
          <w:rFonts w:ascii="Calibri"/>
          <w:color w:val="231F1F"/>
          <w:w w:val="110"/>
        </w:rPr>
        <w:t>Beta-blockers: </w:t>
      </w:r>
      <w:r>
        <w:rPr>
          <w:color w:val="231F1F"/>
          <w:w w:val="110"/>
        </w:rPr>
        <w:t>increased myocardial depression when anti- arrhythmics given with </w:t>
      </w:r>
      <w:r>
        <w:rPr>
          <w:rFonts w:ascii="Arial"/>
          <w:color w:val="231F1F"/>
          <w:w w:val="355"/>
          <w:position w:val="1"/>
          <w:sz w:val="7"/>
        </w:rPr>
        <w:t>l </w:t>
      </w:r>
      <w:r>
        <w:rPr>
          <w:rFonts w:ascii="Calibri"/>
          <w:color w:val="008356"/>
          <w:w w:val="110"/>
          <w:sz w:val="11"/>
        </w:rPr>
        <w:t>BETA-BLOCKERS</w:t>
      </w:r>
      <w:r>
        <w:rPr>
          <w:color w:val="231F1F"/>
          <w:w w:val="110"/>
        </w:rPr>
        <w:t>; possible increased risk of lidocaine toxicity when given with </w:t>
      </w:r>
      <w:r>
        <w:rPr>
          <w:rFonts w:ascii="Calibri"/>
          <w:color w:val="008356"/>
          <w:w w:val="110"/>
          <w:sz w:val="11"/>
        </w:rPr>
        <w:t>NADOLOL</w:t>
      </w:r>
      <w:r>
        <w:rPr>
          <w:color w:val="231F1F"/>
          <w:w w:val="110"/>
        </w:rPr>
        <w:t>; increased risk of lidocaine toxicity when given with </w:t>
      </w:r>
      <w:r>
        <w:rPr>
          <w:rFonts w:ascii="Arial"/>
          <w:color w:val="231F1F"/>
          <w:w w:val="355"/>
          <w:position w:val="1"/>
          <w:sz w:val="7"/>
        </w:rPr>
        <w:t>l </w:t>
      </w:r>
      <w:r>
        <w:rPr>
          <w:rFonts w:ascii="Calibri"/>
          <w:color w:val="008356"/>
          <w:w w:val="110"/>
          <w:sz w:val="11"/>
        </w:rPr>
        <w:t>PROPRANOLOL</w:t>
      </w:r>
    </w:p>
    <w:p>
      <w:pPr>
        <w:pStyle w:val="BodyText"/>
        <w:spacing w:line="141" w:lineRule="exact"/>
        <w:ind w:left="187"/>
      </w:pPr>
      <w:r>
        <w:rPr>
          <w:rFonts w:ascii="Arial"/>
          <w:color w:val="231F1F"/>
          <w:w w:val="355"/>
          <w:position w:val="1"/>
          <w:sz w:val="7"/>
        </w:rPr>
        <w:t>l </w:t>
      </w:r>
      <w:r>
        <w:rPr>
          <w:rFonts w:ascii="Calibri"/>
          <w:color w:val="231F1F"/>
          <w:w w:val="115"/>
        </w:rPr>
        <w:t>Diuretics: </w:t>
      </w:r>
      <w:r>
        <w:rPr>
          <w:color w:val="231F1F"/>
          <w:w w:val="115"/>
        </w:rPr>
        <w:t>action of lidocaine antagonised by hypokalaemia</w:t>
      </w:r>
    </w:p>
    <w:p>
      <w:pPr>
        <w:spacing w:line="254" w:lineRule="auto" w:before="0"/>
        <w:ind w:left="286" w:right="726" w:hanging="1"/>
        <w:jc w:val="left"/>
        <w:rPr>
          <w:rFonts w:ascii="Calibri"/>
          <w:sz w:val="11"/>
        </w:rPr>
      </w:pPr>
      <w:r>
        <w:rPr>
          <w:color w:val="231F1F"/>
          <w:w w:val="110"/>
          <w:sz w:val="12"/>
        </w:rPr>
        <w:t>caused</w:t>
      </w:r>
      <w:r>
        <w:rPr>
          <w:color w:val="231F1F"/>
          <w:spacing w:val="-21"/>
          <w:w w:val="110"/>
          <w:sz w:val="12"/>
        </w:rPr>
        <w:t> </w:t>
      </w:r>
      <w:r>
        <w:rPr>
          <w:color w:val="231F1F"/>
          <w:w w:val="110"/>
          <w:sz w:val="12"/>
        </w:rPr>
        <w:t>by</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ACETAZOLAMIDE</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0"/>
          <w:sz w:val="11"/>
        </w:rPr>
        <w:t>LOOP</w:t>
      </w:r>
      <w:r>
        <w:rPr>
          <w:rFonts w:ascii="Calibri"/>
          <w:color w:val="008356"/>
          <w:spacing w:val="-14"/>
          <w:w w:val="110"/>
          <w:sz w:val="11"/>
        </w:rPr>
        <w:t> </w:t>
      </w:r>
      <w:r>
        <w:rPr>
          <w:rFonts w:ascii="Calibri"/>
          <w:color w:val="008356"/>
          <w:spacing w:val="4"/>
          <w:w w:val="110"/>
          <w:sz w:val="11"/>
        </w:rPr>
        <w:t>DIURETICS</w:t>
      </w:r>
      <w:r>
        <w:rPr>
          <w:rFonts w:ascii="Calibri"/>
          <w:color w:val="008356"/>
          <w:spacing w:val="-12"/>
          <w:w w:val="110"/>
          <w:sz w:val="11"/>
        </w:rPr>
        <w:t> </w:t>
      </w:r>
      <w:r>
        <w:rPr>
          <w:color w:val="231F1F"/>
          <w:w w:val="110"/>
          <w:sz w:val="12"/>
        </w:rPr>
        <w:t>or</w:t>
      </w:r>
      <w:r>
        <w:rPr>
          <w:color w:val="231F1F"/>
          <w:spacing w:val="-21"/>
          <w:w w:val="11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THIAZIDES </w:t>
      </w:r>
      <w:r>
        <w:rPr>
          <w:rFonts w:ascii="Calibri"/>
          <w:color w:val="008356"/>
          <w:spacing w:val="3"/>
          <w:w w:val="110"/>
          <w:sz w:val="11"/>
        </w:rPr>
        <w:t>AND RELATED</w:t>
      </w:r>
      <w:r>
        <w:rPr>
          <w:rFonts w:ascii="Calibri"/>
          <w:color w:val="008356"/>
          <w:spacing w:val="5"/>
          <w:w w:val="110"/>
          <w:sz w:val="11"/>
        </w:rPr>
        <w:t> DIURETICS</w:t>
      </w:r>
    </w:p>
    <w:p>
      <w:pPr>
        <w:pStyle w:val="BodyText"/>
        <w:spacing w:line="220" w:lineRule="auto"/>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neuromuscular blockade enhanced and prolonged when lidocaine given with </w:t>
      </w:r>
      <w:r>
        <w:rPr>
          <w:rFonts w:ascii="Calibri" w:hAnsi="Calibri"/>
          <w:color w:val="008356"/>
          <w:w w:val="105"/>
          <w:sz w:val="11"/>
        </w:rPr>
        <w:t>SUXAMETHONIUM</w:t>
      </w:r>
    </w:p>
    <w:p>
      <w:pPr>
        <w:pStyle w:val="BodyText"/>
        <w:ind w:left="286" w:right="670" w:hanging="100"/>
      </w:pPr>
      <w:r>
        <w:rPr>
          <w:rFonts w:ascii="Arial"/>
          <w:color w:val="231F1F"/>
          <w:w w:val="355"/>
          <w:position w:val="1"/>
          <w:sz w:val="7"/>
        </w:rPr>
        <w:t>l </w:t>
      </w:r>
      <w:r>
        <w:rPr>
          <w:rFonts w:ascii="Calibri"/>
          <w:color w:val="231F1F"/>
          <w:w w:val="110"/>
        </w:rPr>
        <w:t>Ulcer-healing Drugs: </w:t>
      </w:r>
      <w:r>
        <w:rPr>
          <w:color w:val="231F1F"/>
          <w:w w:val="110"/>
        </w:rPr>
        <w:t>plasma concentration of lidocaine increased by </w:t>
      </w:r>
      <w:r>
        <w:rPr>
          <w:rFonts w:ascii="Arial"/>
          <w:color w:val="231F1F"/>
          <w:w w:val="355"/>
          <w:position w:val="1"/>
          <w:sz w:val="7"/>
        </w:rPr>
        <w:t>l</w:t>
      </w:r>
      <w:r>
        <w:rPr>
          <w:rFonts w:ascii="Arial"/>
          <w:color w:val="231F1F"/>
          <w:spacing w:val="-61"/>
          <w:w w:val="355"/>
          <w:position w:val="1"/>
          <w:sz w:val="7"/>
        </w:rPr>
        <w:t> </w:t>
      </w:r>
      <w:r>
        <w:rPr>
          <w:rFonts w:ascii="Calibri"/>
          <w:color w:val="008356"/>
          <w:spacing w:val="4"/>
          <w:w w:val="110"/>
          <w:sz w:val="11"/>
        </w:rPr>
        <w:t>CIMETIDINE </w:t>
      </w:r>
      <w:r>
        <w:rPr>
          <w:color w:val="231F1F"/>
          <w:w w:val="110"/>
        </w:rPr>
        <w:t>(increased risk of toxicity)</w:t>
      </w:r>
    </w:p>
    <w:p>
      <w:pPr>
        <w:pStyle w:val="BodyText"/>
        <w:spacing w:before="4"/>
        <w:ind w:left="187"/>
      </w:pPr>
      <w:r>
        <w:rPr>
          <w:rFonts w:ascii="Trebuchet MS"/>
          <w:color w:val="008356"/>
          <w:w w:val="110"/>
        </w:rPr>
        <w:t>Linagliptin </w:t>
      </w:r>
      <w:r>
        <w:rPr>
          <w:i/>
          <w:color w:val="231F1F"/>
          <w:w w:val="110"/>
        </w:rPr>
        <w:t>see </w:t>
      </w:r>
      <w:r>
        <w:rPr>
          <w:color w:val="231F1F"/>
          <w:w w:val="110"/>
        </w:rPr>
        <w:t>Antidiabetics</w:t>
      </w:r>
    </w:p>
    <w:p>
      <w:pPr>
        <w:pStyle w:val="BodyText"/>
        <w:spacing w:before="9"/>
        <w:ind w:left="186"/>
        <w:rPr>
          <w:rFonts w:ascii="Trebuchet MS"/>
        </w:rPr>
      </w:pPr>
      <w:r>
        <w:rPr>
          <w:rFonts w:ascii="Trebuchet MS"/>
          <w:color w:val="008356"/>
        </w:rPr>
        <w:t>Linezolid</w:t>
      </w:r>
    </w:p>
    <w:p>
      <w:pPr>
        <w:pStyle w:val="BodyText"/>
        <w:spacing w:before="5"/>
        <w:ind w:left="286" w:right="627" w:hanging="1"/>
      </w:pPr>
      <w:r>
        <w:rPr>
          <w:rFonts w:ascii="Calibri" w:hAnsi="Calibri"/>
          <w:color w:val="008356"/>
          <w:spacing w:val="3"/>
          <w:w w:val="115"/>
          <w:sz w:val="11"/>
        </w:rPr>
        <w:t>NOTE</w:t>
      </w:r>
      <w:r>
        <w:rPr>
          <w:rFonts w:ascii="Calibri" w:hAnsi="Calibri"/>
          <w:color w:val="008356"/>
          <w:spacing w:val="-14"/>
          <w:w w:val="115"/>
          <w:sz w:val="11"/>
        </w:rPr>
        <w:t> </w:t>
      </w:r>
      <w:r>
        <w:rPr>
          <w:color w:val="231F1F"/>
          <w:w w:val="115"/>
        </w:rPr>
        <w:t>Linezolid</w:t>
      </w:r>
      <w:r>
        <w:rPr>
          <w:color w:val="231F1F"/>
          <w:spacing w:val="-21"/>
          <w:w w:val="115"/>
        </w:rPr>
        <w:t> </w:t>
      </w:r>
      <w:r>
        <w:rPr>
          <w:color w:val="231F1F"/>
          <w:w w:val="115"/>
        </w:rPr>
        <w:t>is</w:t>
      </w:r>
      <w:r>
        <w:rPr>
          <w:color w:val="231F1F"/>
          <w:spacing w:val="-20"/>
          <w:w w:val="115"/>
        </w:rPr>
        <w:t> </w:t>
      </w:r>
      <w:r>
        <w:rPr>
          <w:color w:val="231F1F"/>
          <w:w w:val="115"/>
        </w:rPr>
        <w:t>a</w:t>
      </w:r>
      <w:r>
        <w:rPr>
          <w:color w:val="231F1F"/>
          <w:spacing w:val="-20"/>
          <w:w w:val="115"/>
        </w:rPr>
        <w:t> </w:t>
      </w:r>
      <w:r>
        <w:rPr>
          <w:color w:val="231F1F"/>
          <w:w w:val="115"/>
        </w:rPr>
        <w:t>reversible,</w:t>
      </w:r>
      <w:r>
        <w:rPr>
          <w:color w:val="231F1F"/>
          <w:spacing w:val="-21"/>
          <w:w w:val="115"/>
        </w:rPr>
        <w:t> </w:t>
      </w:r>
      <w:r>
        <w:rPr>
          <w:color w:val="231F1F"/>
          <w:w w:val="115"/>
        </w:rPr>
        <w:t>non-selective</w:t>
      </w:r>
      <w:r>
        <w:rPr>
          <w:color w:val="231F1F"/>
          <w:spacing w:val="-21"/>
          <w:w w:val="115"/>
        </w:rPr>
        <w:t> </w:t>
      </w:r>
      <w:r>
        <w:rPr>
          <w:color w:val="231F1F"/>
          <w:w w:val="115"/>
        </w:rPr>
        <w:t>MAO</w:t>
      </w:r>
      <w:r>
        <w:rPr>
          <w:color w:val="231F1F"/>
          <w:spacing w:val="-20"/>
          <w:w w:val="115"/>
        </w:rPr>
        <w:t> </w:t>
      </w:r>
      <w:r>
        <w:rPr>
          <w:color w:val="231F1F"/>
          <w:spacing w:val="-3"/>
          <w:w w:val="115"/>
        </w:rPr>
        <w:t>inhibitor</w:t>
      </w:r>
      <w:r>
        <w:rPr>
          <w:rFonts w:ascii="Arial" w:hAnsi="Arial"/>
          <w:color w:val="231F1F"/>
          <w:spacing w:val="-3"/>
          <w:w w:val="115"/>
        </w:rPr>
        <w:t>— </w:t>
      </w:r>
      <w:r>
        <w:rPr>
          <w:color w:val="231F1F"/>
          <w:w w:val="115"/>
        </w:rPr>
        <w:t>see interactions of</w:t>
      </w:r>
      <w:r>
        <w:rPr>
          <w:color w:val="231F1F"/>
          <w:spacing w:val="-10"/>
          <w:w w:val="115"/>
        </w:rPr>
        <w:t> </w:t>
      </w:r>
      <w:r>
        <w:rPr>
          <w:color w:val="231F1F"/>
          <w:w w:val="115"/>
        </w:rPr>
        <w:t>MAOIs</w:t>
      </w:r>
    </w:p>
    <w:p>
      <w:pPr>
        <w:pStyle w:val="BodyText"/>
        <w:spacing w:line="152" w:lineRule="exact" w:before="2"/>
        <w:ind w:left="187"/>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linezolid reduced by</w:t>
      </w:r>
    </w:p>
    <w:p>
      <w:pPr>
        <w:spacing w:line="134" w:lineRule="exact" w:before="0"/>
        <w:ind w:left="286" w:right="0" w:firstLine="0"/>
        <w:jc w:val="left"/>
        <w:rPr>
          <w:sz w:val="12"/>
        </w:rPr>
      </w:pPr>
      <w:r>
        <w:rPr>
          <w:rFonts w:ascii="Calibri"/>
          <w:color w:val="008356"/>
          <w:w w:val="110"/>
          <w:sz w:val="11"/>
        </w:rPr>
        <w:t>RIFAMPICIN </w:t>
      </w:r>
      <w:r>
        <w:rPr>
          <w:color w:val="231F1F"/>
          <w:w w:val="110"/>
          <w:sz w:val="12"/>
        </w:rPr>
        <w:t>(possible therapeutic failure of linezolid)</w:t>
      </w:r>
    </w:p>
    <w:p>
      <w:pPr>
        <w:spacing w:line="220" w:lineRule="auto" w:before="8"/>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87"/>
      </w:pPr>
      <w:r>
        <w:rPr>
          <w:rFonts w:ascii="Trebuchet MS"/>
          <w:color w:val="008356"/>
          <w:w w:val="110"/>
        </w:rPr>
        <w:t>Liothyronine </w:t>
      </w:r>
      <w:r>
        <w:rPr>
          <w:i/>
          <w:color w:val="231F1F"/>
          <w:w w:val="110"/>
        </w:rPr>
        <w:t>see </w:t>
      </w:r>
      <w:r>
        <w:rPr>
          <w:color w:val="231F1F"/>
          <w:w w:val="110"/>
        </w:rPr>
        <w:t>Thyroid Hormones</w:t>
      </w:r>
    </w:p>
    <w:p>
      <w:pPr>
        <w:spacing w:after="0"/>
        <w:sectPr>
          <w:pgSz w:w="8390" w:h="11910"/>
          <w:pgMar w:header="0" w:footer="0" w:top="460" w:bottom="280" w:left="480" w:right="0"/>
          <w:cols w:num="2" w:equalWidth="0">
            <w:col w:w="3611" w:space="65"/>
            <w:col w:w="4234"/>
          </w:cols>
        </w:sectPr>
      </w:pPr>
    </w:p>
    <w:p>
      <w:pPr>
        <w:pStyle w:val="BodyText"/>
        <w:spacing w:before="3"/>
        <w:ind w:left="0"/>
        <w:rPr>
          <w:sz w:val="15"/>
        </w:rPr>
      </w:pPr>
    </w:p>
    <w:p>
      <w:pPr>
        <w:pStyle w:val="BodyText"/>
        <w:spacing w:line="139" w:lineRule="exact" w:before="1"/>
        <w:ind w:left="108"/>
        <w:rPr>
          <w:rFonts w:ascii="Trebuchet MS"/>
        </w:rPr>
      </w:pPr>
      <w:r>
        <w:rPr>
          <w:rFonts w:ascii="Trebuchet MS"/>
          <w:color w:val="008356"/>
        </w:rPr>
        <w:t>Lipegfilgrastim</w:t>
      </w:r>
    </w:p>
    <w:p>
      <w:pPr>
        <w:spacing w:line="237" w:lineRule="auto" w:before="1"/>
        <w:ind w:left="208" w:right="26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neutropenia possibly exacerbated when lipegfilgrastim given with </w:t>
      </w:r>
      <w:r>
        <w:rPr>
          <w:rFonts w:ascii="Calibri" w:hAnsi="Calibri"/>
          <w:color w:val="008356"/>
          <w:w w:val="105"/>
          <w:sz w:val="11"/>
        </w:rPr>
        <w:t>CAPECITABINE</w:t>
      </w:r>
      <w:r>
        <w:rPr>
          <w:color w:val="231F1F"/>
          <w:w w:val="105"/>
          <w:sz w:val="12"/>
        </w:rPr>
        <w:t>, </w:t>
      </w:r>
      <w:r>
        <w:rPr>
          <w:rFonts w:ascii="Calibri" w:hAnsi="Calibri"/>
          <w:color w:val="008356"/>
          <w:w w:val="105"/>
          <w:sz w:val="11"/>
        </w:rPr>
        <w:t>FLUOROURACIL </w:t>
      </w:r>
      <w:r>
        <w:rPr>
          <w:color w:val="231F1F"/>
          <w:w w:val="105"/>
          <w:sz w:val="12"/>
        </w:rPr>
        <w:t>or </w:t>
      </w:r>
      <w:r>
        <w:rPr>
          <w:rFonts w:ascii="Calibri" w:hAnsi="Calibri"/>
          <w:color w:val="008356"/>
          <w:w w:val="105"/>
          <w:sz w:val="11"/>
        </w:rPr>
        <w:t>TEGAFUR</w:t>
      </w:r>
    </w:p>
    <w:p>
      <w:pPr>
        <w:pStyle w:val="BodyText"/>
        <w:spacing w:line="244" w:lineRule="auto" w:before="7"/>
        <w:ind w:right="66" w:hanging="100"/>
      </w:pPr>
      <w:r>
        <w:rPr>
          <w:rFonts w:ascii="Trebuchet MS"/>
          <w:color w:val="008356"/>
          <w:w w:val="110"/>
        </w:rPr>
        <w:t>Lipid-regulating Drugs </w:t>
      </w:r>
      <w:r>
        <w:rPr>
          <w:i/>
          <w:color w:val="231F1F"/>
          <w:w w:val="110"/>
        </w:rPr>
        <w:t>see </w:t>
      </w:r>
      <w:r>
        <w:rPr>
          <w:color w:val="231F1F"/>
          <w:w w:val="110"/>
        </w:rPr>
        <w:t>Colesevelam, Colestipol, Colestyramine, Ezetimibe, Fibrates, Lomitapide, Nicotinic Acid, and Statins</w:t>
      </w:r>
    </w:p>
    <w:p>
      <w:pPr>
        <w:pStyle w:val="BodyText"/>
        <w:spacing w:line="256" w:lineRule="auto" w:before="9"/>
        <w:ind w:left="108" w:right="968"/>
      </w:pPr>
      <w:r>
        <w:rPr>
          <w:rFonts w:ascii="Trebuchet MS"/>
          <w:color w:val="008356"/>
          <w:w w:val="105"/>
        </w:rPr>
        <w:t>Liraglutide </w:t>
      </w:r>
      <w:r>
        <w:rPr>
          <w:i/>
          <w:color w:val="231F1F"/>
          <w:w w:val="105"/>
        </w:rPr>
        <w:t>see </w:t>
      </w:r>
      <w:r>
        <w:rPr>
          <w:color w:val="231F1F"/>
          <w:w w:val="105"/>
        </w:rPr>
        <w:t>Antidiabetics </w:t>
      </w:r>
      <w:r>
        <w:rPr>
          <w:rFonts w:ascii="Trebuchet MS"/>
          <w:color w:val="008356"/>
          <w:w w:val="105"/>
        </w:rPr>
        <w:t>Lisdexamfetamine </w:t>
      </w:r>
      <w:r>
        <w:rPr>
          <w:i/>
          <w:color w:val="231F1F"/>
          <w:w w:val="105"/>
        </w:rPr>
        <w:t>see </w:t>
      </w:r>
      <w:r>
        <w:rPr>
          <w:color w:val="231F1F"/>
          <w:w w:val="105"/>
        </w:rPr>
        <w:t>Sympathomimetics </w:t>
      </w:r>
      <w:r>
        <w:rPr>
          <w:rFonts w:ascii="Trebuchet MS"/>
          <w:color w:val="008356"/>
          <w:w w:val="105"/>
        </w:rPr>
        <w:t>Lisinopril </w:t>
      </w:r>
      <w:r>
        <w:rPr>
          <w:i/>
          <w:color w:val="231F1F"/>
          <w:w w:val="105"/>
        </w:rPr>
        <w:t>see </w:t>
      </w:r>
      <w:r>
        <w:rPr>
          <w:color w:val="231F1F"/>
          <w:w w:val="105"/>
        </w:rPr>
        <w:t>ACE Inhibitors</w:t>
      </w:r>
    </w:p>
    <w:p>
      <w:pPr>
        <w:pStyle w:val="BodyText"/>
        <w:spacing w:before="1"/>
        <w:ind w:left="108"/>
        <w:rPr>
          <w:rFonts w:ascii="Trebuchet MS"/>
        </w:rPr>
      </w:pPr>
      <w:r>
        <w:rPr>
          <w:rFonts w:ascii="Trebuchet MS"/>
          <w:color w:val="008356"/>
        </w:rPr>
        <w:t>Lithium</w:t>
      </w:r>
    </w:p>
    <w:p>
      <w:pPr>
        <w:pStyle w:val="BodyText"/>
        <w:spacing w:before="1"/>
        <w:ind w:right="601" w:hanging="100"/>
      </w:pPr>
      <w:r>
        <w:rPr>
          <w:rFonts w:ascii="Arial"/>
          <w:color w:val="231F1F"/>
          <w:w w:val="210"/>
          <w:position w:val="1"/>
          <w:sz w:val="7"/>
        </w:rPr>
        <w:t>l</w:t>
      </w:r>
      <w:r>
        <w:rPr>
          <w:rFonts w:ascii="Arial"/>
          <w:color w:val="231F1F"/>
          <w:spacing w:val="-28"/>
          <w:w w:val="210"/>
          <w:position w:val="1"/>
          <w:sz w:val="7"/>
        </w:rPr>
        <w:t> </w:t>
      </w:r>
      <w:r>
        <w:rPr>
          <w:rFonts w:ascii="Calibri"/>
          <w:color w:val="231F1F"/>
          <w:w w:val="120"/>
        </w:rPr>
        <w:t>ACE</w:t>
      </w:r>
      <w:r>
        <w:rPr>
          <w:rFonts w:ascii="Calibri"/>
          <w:color w:val="231F1F"/>
          <w:spacing w:val="-22"/>
          <w:w w:val="120"/>
        </w:rPr>
        <w:t> </w:t>
      </w:r>
      <w:r>
        <w:rPr>
          <w:rFonts w:ascii="Calibri"/>
          <w:color w:val="231F1F"/>
          <w:w w:val="120"/>
        </w:rPr>
        <w:t>Inhibitors:</w:t>
      </w:r>
      <w:r>
        <w:rPr>
          <w:rFonts w:ascii="Calibri"/>
          <w:color w:val="231F1F"/>
          <w:spacing w:val="-23"/>
          <w:w w:val="120"/>
        </w:rPr>
        <w:t> </w:t>
      </w:r>
      <w:r>
        <w:rPr>
          <w:color w:val="231F1F"/>
          <w:w w:val="120"/>
        </w:rPr>
        <w:t>excretion</w:t>
      </w:r>
      <w:r>
        <w:rPr>
          <w:color w:val="231F1F"/>
          <w:spacing w:val="-26"/>
          <w:w w:val="120"/>
        </w:rPr>
        <w:t> </w:t>
      </w:r>
      <w:r>
        <w:rPr>
          <w:color w:val="231F1F"/>
          <w:w w:val="120"/>
        </w:rPr>
        <w:t>of</w:t>
      </w:r>
      <w:r>
        <w:rPr>
          <w:color w:val="231F1F"/>
          <w:spacing w:val="-25"/>
          <w:w w:val="120"/>
        </w:rPr>
        <w:t> </w:t>
      </w:r>
      <w:r>
        <w:rPr>
          <w:color w:val="231F1F"/>
          <w:w w:val="120"/>
        </w:rPr>
        <w:t>lithium</w:t>
      </w:r>
      <w:r>
        <w:rPr>
          <w:color w:val="231F1F"/>
          <w:spacing w:val="-25"/>
          <w:w w:val="120"/>
        </w:rPr>
        <w:t> </w:t>
      </w:r>
      <w:r>
        <w:rPr>
          <w:color w:val="231F1F"/>
          <w:w w:val="120"/>
        </w:rPr>
        <w:t>reduced</w:t>
      </w:r>
      <w:r>
        <w:rPr>
          <w:color w:val="231F1F"/>
          <w:spacing w:val="-26"/>
          <w:w w:val="120"/>
        </w:rPr>
        <w:t> </w:t>
      </w:r>
      <w:r>
        <w:rPr>
          <w:color w:val="231F1F"/>
          <w:w w:val="120"/>
        </w:rPr>
        <w:t>by</w:t>
      </w:r>
      <w:r>
        <w:rPr>
          <w:color w:val="231F1F"/>
          <w:spacing w:val="-26"/>
          <w:w w:val="120"/>
        </w:rPr>
        <w:t> </w:t>
      </w:r>
      <w:r>
        <w:rPr>
          <w:rFonts w:ascii="Arial"/>
          <w:color w:val="231F1F"/>
          <w:w w:val="210"/>
          <w:position w:val="1"/>
          <w:sz w:val="7"/>
        </w:rPr>
        <w:t>l</w:t>
      </w:r>
      <w:r>
        <w:rPr>
          <w:rFonts w:ascii="Arial"/>
          <w:color w:val="231F1F"/>
          <w:spacing w:val="-31"/>
          <w:w w:val="210"/>
          <w:position w:val="1"/>
          <w:sz w:val="7"/>
        </w:rPr>
        <w:t> </w:t>
      </w:r>
      <w:r>
        <w:rPr>
          <w:rFonts w:ascii="Calibri"/>
          <w:color w:val="008356"/>
          <w:w w:val="120"/>
          <w:sz w:val="11"/>
        </w:rPr>
        <w:t>ACE </w:t>
      </w:r>
      <w:r>
        <w:rPr>
          <w:rFonts w:ascii="Calibri"/>
          <w:color w:val="008356"/>
          <w:spacing w:val="4"/>
          <w:w w:val="120"/>
          <w:sz w:val="11"/>
        </w:rPr>
        <w:t>INHIBITORS</w:t>
      </w:r>
      <w:r>
        <w:rPr>
          <w:rFonts w:ascii="Calibri"/>
          <w:color w:val="008356"/>
          <w:spacing w:val="-7"/>
          <w:w w:val="120"/>
          <w:sz w:val="11"/>
        </w:rPr>
        <w:t> </w:t>
      </w:r>
      <w:r>
        <w:rPr>
          <w:color w:val="231F1F"/>
          <w:w w:val="120"/>
        </w:rPr>
        <w:t>(increased</w:t>
      </w:r>
      <w:r>
        <w:rPr>
          <w:color w:val="231F1F"/>
          <w:spacing w:val="-18"/>
          <w:w w:val="120"/>
        </w:rPr>
        <w:t> </w:t>
      </w:r>
      <w:r>
        <w:rPr>
          <w:color w:val="231F1F"/>
          <w:w w:val="120"/>
        </w:rPr>
        <w:t>plasma</w:t>
      </w:r>
      <w:r>
        <w:rPr>
          <w:color w:val="231F1F"/>
          <w:spacing w:val="-17"/>
          <w:w w:val="120"/>
        </w:rPr>
        <w:t> </w:t>
      </w:r>
      <w:r>
        <w:rPr>
          <w:color w:val="231F1F"/>
          <w:w w:val="120"/>
        </w:rPr>
        <w:t>concentration)</w:t>
      </w:r>
    </w:p>
    <w:p>
      <w:pPr>
        <w:pStyle w:val="BodyText"/>
        <w:spacing w:line="148" w:lineRule="exact"/>
        <w:ind w:left="108"/>
      </w:pPr>
      <w:r>
        <w:rPr>
          <w:rFonts w:ascii="Lucida Sans Unicode" w:hAnsi="Lucida Sans Unicode"/>
          <w:color w:val="A7A8AC"/>
          <w:w w:val="95"/>
          <w:sz w:val="10"/>
        </w:rPr>
        <w:t>▶    </w:t>
      </w:r>
      <w:r>
        <w:rPr>
          <w:rFonts w:ascii="Calibri" w:hAnsi="Calibri"/>
          <w:color w:val="231F1F"/>
        </w:rPr>
        <w:t>Aminophylline:  </w:t>
      </w:r>
      <w:r>
        <w:rPr>
          <w:color w:val="231F1F"/>
        </w:rPr>
        <w:t>excretion  of  lithium  increased</w:t>
      </w:r>
      <w:r>
        <w:rPr>
          <w:color w:val="231F1F"/>
          <w:spacing w:val="4"/>
        </w:rPr>
        <w:t> </w:t>
      </w:r>
      <w:r>
        <w:rPr>
          <w:color w:val="231F1F"/>
        </w:rPr>
        <w:t>by</w:t>
      </w:r>
    </w:p>
    <w:p>
      <w:pPr>
        <w:spacing w:line="134" w:lineRule="exact" w:before="0"/>
        <w:ind w:left="208" w:right="0" w:firstLine="0"/>
        <w:jc w:val="left"/>
        <w:rPr>
          <w:sz w:val="12"/>
        </w:rPr>
      </w:pPr>
      <w:r>
        <w:rPr>
          <w:rFonts w:ascii="Calibri"/>
          <w:color w:val="008356"/>
          <w:spacing w:val="4"/>
          <w:w w:val="110"/>
          <w:sz w:val="11"/>
        </w:rPr>
        <w:t>AMINOPHYLLINE </w:t>
      </w:r>
      <w:r>
        <w:rPr>
          <w:color w:val="231F1F"/>
          <w:w w:val="110"/>
          <w:sz w:val="12"/>
        </w:rPr>
        <w:t>(reduced plasma</w:t>
      </w:r>
      <w:r>
        <w:rPr>
          <w:color w:val="231F1F"/>
          <w:spacing w:val="-8"/>
          <w:w w:val="110"/>
          <w:sz w:val="12"/>
        </w:rPr>
        <w:t> </w:t>
      </w:r>
      <w:r>
        <w:rPr>
          <w:color w:val="231F1F"/>
          <w:w w:val="110"/>
          <w:sz w:val="12"/>
        </w:rPr>
        <w:t>concentration)</w:t>
      </w:r>
    </w:p>
    <w:p>
      <w:pPr>
        <w:pStyle w:val="BodyText"/>
        <w:spacing w:line="244" w:lineRule="auto"/>
        <w:ind w:right="155" w:hanging="100"/>
      </w:pPr>
      <w:r>
        <w:rPr>
          <w:rFonts w:ascii="Arial" w:hAnsi="Arial"/>
          <w:color w:val="231F1F"/>
          <w:w w:val="355"/>
          <w:position w:val="1"/>
          <w:sz w:val="7"/>
        </w:rPr>
        <w:t>l </w:t>
      </w:r>
      <w:r>
        <w:rPr>
          <w:rFonts w:ascii="Calibri" w:hAnsi="Calibri"/>
          <w:color w:val="231F1F"/>
          <w:w w:val="115"/>
        </w:rPr>
        <w:t>Analgesics: </w:t>
      </w:r>
      <w:r>
        <w:rPr>
          <w:color w:val="231F1F"/>
          <w:w w:val="115"/>
        </w:rPr>
        <w:t>excretion of lithium reduced by </w:t>
      </w:r>
      <w:r>
        <w:rPr>
          <w:rFonts w:ascii="Arial" w:hAnsi="Arial"/>
          <w:color w:val="231F1F"/>
          <w:w w:val="355"/>
          <w:position w:val="1"/>
          <w:sz w:val="7"/>
        </w:rPr>
        <w:t>l </w:t>
      </w:r>
      <w:r>
        <w:rPr>
          <w:rFonts w:ascii="Calibri" w:hAnsi="Calibri"/>
          <w:color w:val="008356"/>
          <w:spacing w:val="5"/>
          <w:w w:val="115"/>
          <w:sz w:val="11"/>
        </w:rPr>
        <w:t>NSAIDS </w:t>
      </w:r>
      <w:r>
        <w:rPr>
          <w:color w:val="231F1F"/>
          <w:w w:val="115"/>
        </w:rPr>
        <w:t>(increased</w:t>
      </w:r>
      <w:r>
        <w:rPr>
          <w:color w:val="231F1F"/>
          <w:spacing w:val="-9"/>
          <w:w w:val="115"/>
        </w:rPr>
        <w:t> </w:t>
      </w:r>
      <w:r>
        <w:rPr>
          <w:color w:val="231F1F"/>
          <w:w w:val="115"/>
        </w:rPr>
        <w:t>risk</w:t>
      </w:r>
      <w:r>
        <w:rPr>
          <w:color w:val="231F1F"/>
          <w:spacing w:val="-8"/>
          <w:w w:val="115"/>
        </w:rPr>
        <w:t> </w:t>
      </w:r>
      <w:r>
        <w:rPr>
          <w:color w:val="231F1F"/>
          <w:w w:val="115"/>
        </w:rPr>
        <w:t>of</w:t>
      </w:r>
      <w:r>
        <w:rPr>
          <w:color w:val="231F1F"/>
          <w:spacing w:val="-8"/>
          <w:w w:val="115"/>
        </w:rPr>
        <w:t> </w:t>
      </w:r>
      <w:r>
        <w:rPr>
          <w:color w:val="231F1F"/>
          <w:w w:val="115"/>
        </w:rPr>
        <w:t>toxicity);</w:t>
      </w:r>
      <w:r>
        <w:rPr>
          <w:color w:val="231F1F"/>
          <w:spacing w:val="-8"/>
          <w:w w:val="115"/>
        </w:rPr>
        <w:t> </w:t>
      </w:r>
      <w:r>
        <w:rPr>
          <w:color w:val="231F1F"/>
          <w:w w:val="115"/>
        </w:rPr>
        <w:t>excretion</w:t>
      </w:r>
      <w:r>
        <w:rPr>
          <w:color w:val="231F1F"/>
          <w:spacing w:val="-8"/>
          <w:w w:val="115"/>
        </w:rPr>
        <w:t> </w:t>
      </w:r>
      <w:r>
        <w:rPr>
          <w:color w:val="231F1F"/>
          <w:w w:val="115"/>
        </w:rPr>
        <w:t>of</w:t>
      </w:r>
      <w:r>
        <w:rPr>
          <w:color w:val="231F1F"/>
          <w:spacing w:val="-8"/>
          <w:w w:val="115"/>
        </w:rPr>
        <w:t> </w:t>
      </w:r>
      <w:r>
        <w:rPr>
          <w:color w:val="231F1F"/>
          <w:w w:val="115"/>
        </w:rPr>
        <w:t>lithium</w:t>
      </w:r>
      <w:r>
        <w:rPr>
          <w:color w:val="231F1F"/>
          <w:spacing w:val="-7"/>
          <w:w w:val="115"/>
        </w:rPr>
        <w:t> </w:t>
      </w:r>
      <w:r>
        <w:rPr>
          <w:color w:val="231F1F"/>
          <w:w w:val="115"/>
        </w:rPr>
        <w:t>reduced</w:t>
      </w:r>
      <w:r>
        <w:rPr>
          <w:color w:val="231F1F"/>
          <w:spacing w:val="-8"/>
          <w:w w:val="115"/>
        </w:rPr>
        <w:t> </w:t>
      </w:r>
      <w:r>
        <w:rPr>
          <w:color w:val="231F1F"/>
          <w:w w:val="115"/>
        </w:rPr>
        <w:t>by </w:t>
      </w:r>
      <w:r>
        <w:rPr>
          <w:rFonts w:ascii="Arial" w:hAnsi="Arial"/>
          <w:color w:val="231F1F"/>
          <w:w w:val="185"/>
          <w:position w:val="1"/>
          <w:sz w:val="7"/>
        </w:rPr>
        <w:t>l</w:t>
      </w:r>
      <w:r>
        <w:rPr>
          <w:rFonts w:ascii="Arial" w:hAnsi="Arial"/>
          <w:color w:val="231F1F"/>
          <w:spacing w:val="-27"/>
          <w:w w:val="185"/>
          <w:position w:val="1"/>
          <w:sz w:val="7"/>
        </w:rPr>
        <w:t> </w:t>
      </w:r>
      <w:r>
        <w:rPr>
          <w:rFonts w:ascii="Calibri" w:hAnsi="Calibri"/>
          <w:color w:val="008356"/>
          <w:spacing w:val="4"/>
          <w:w w:val="115"/>
          <w:sz w:val="11"/>
        </w:rPr>
        <w:t>KETOROLAC</w:t>
      </w:r>
      <w:r>
        <w:rPr>
          <w:rFonts w:ascii="Calibri" w:hAnsi="Calibri"/>
          <w:color w:val="008356"/>
          <w:spacing w:val="-16"/>
          <w:w w:val="115"/>
          <w:sz w:val="11"/>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toxicity)</w:t>
      </w:r>
      <w:r>
        <w:rPr>
          <w:rFonts w:ascii="Arial" w:hAnsi="Arial"/>
          <w:color w:val="231F1F"/>
          <w:w w:val="115"/>
        </w:rPr>
        <w:t>—</w:t>
      </w:r>
      <w:r>
        <w:rPr>
          <w:color w:val="231F1F"/>
          <w:w w:val="115"/>
        </w:rPr>
        <w:t>avoid</w:t>
      </w:r>
      <w:r>
        <w:rPr>
          <w:color w:val="231F1F"/>
          <w:spacing w:val="-24"/>
          <w:w w:val="115"/>
        </w:rPr>
        <w:t> </w:t>
      </w:r>
      <w:r>
        <w:rPr>
          <w:color w:val="231F1F"/>
          <w:w w:val="115"/>
        </w:rPr>
        <w:t>concomitant use</w:t>
      </w:r>
    </w:p>
    <w:p>
      <w:pPr>
        <w:spacing w:line="240" w:lineRule="auto" w:before="0"/>
        <w:ind w:left="208" w:right="62" w:hanging="100"/>
        <w:jc w:val="left"/>
        <w:rPr>
          <w:sz w:val="12"/>
        </w:rPr>
      </w:pPr>
      <w:r>
        <w:rPr>
          <w:rFonts w:ascii="Arial"/>
          <w:color w:val="231F1F"/>
          <w:w w:val="355"/>
          <w:position w:val="1"/>
          <w:sz w:val="7"/>
        </w:rPr>
        <w:t>l </w:t>
      </w:r>
      <w:r>
        <w:rPr>
          <w:rFonts w:ascii="Calibri"/>
          <w:color w:val="231F1F"/>
          <w:w w:val="110"/>
          <w:sz w:val="12"/>
        </w:rPr>
        <w:t>Angiotensin-II Receptor Antagonists: </w:t>
      </w:r>
      <w:r>
        <w:rPr>
          <w:color w:val="231F1F"/>
          <w:w w:val="110"/>
          <w:sz w:val="12"/>
        </w:rPr>
        <w:t>excretion of lithium reduced by </w:t>
      </w:r>
      <w:r>
        <w:rPr>
          <w:rFonts w:ascii="Arial"/>
          <w:color w:val="231F1F"/>
          <w:w w:val="140"/>
          <w:position w:val="1"/>
          <w:sz w:val="7"/>
        </w:rPr>
        <w:t>l </w:t>
      </w:r>
      <w:r>
        <w:rPr>
          <w:rFonts w:ascii="Calibri"/>
          <w:color w:val="008356"/>
          <w:w w:val="110"/>
          <w:sz w:val="11"/>
        </w:rPr>
        <w:t>ANGIOTENSIN-II RECEPTOR ANTAGONISTS </w:t>
      </w:r>
      <w:r>
        <w:rPr>
          <w:color w:val="231F1F"/>
          <w:w w:val="110"/>
          <w:sz w:val="12"/>
        </w:rPr>
        <w:t>(increased plasma concentration)</w:t>
      </w:r>
    </w:p>
    <w:p>
      <w:pPr>
        <w:spacing w:line="220" w:lineRule="auto" w:before="6"/>
        <w:ind w:left="208" w:right="268" w:hanging="100"/>
        <w:jc w:val="left"/>
        <w:rPr>
          <w:sz w:val="12"/>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excretion of lithium increased by </w:t>
      </w:r>
      <w:r>
        <w:rPr>
          <w:rFonts w:ascii="Calibri" w:hAnsi="Calibri"/>
          <w:color w:val="008356"/>
          <w:w w:val="105"/>
          <w:sz w:val="11"/>
        </w:rPr>
        <w:t>SODIUM BICARBONATE </w:t>
      </w:r>
      <w:r>
        <w:rPr>
          <w:color w:val="231F1F"/>
          <w:w w:val="105"/>
          <w:sz w:val="12"/>
        </w:rPr>
        <w:t>(reduced plasma concentration)</w:t>
      </w:r>
    </w:p>
    <w:p>
      <w:pPr>
        <w:pStyle w:val="BodyText"/>
        <w:ind w:right="669" w:hanging="100"/>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Anti-arrhythmics:</w:t>
      </w:r>
      <w:r>
        <w:rPr>
          <w:rFonts w:ascii="Calibri"/>
          <w:color w:val="231F1F"/>
          <w:spacing w:val="-15"/>
          <w:w w:val="115"/>
        </w:rPr>
        <w:t> </w:t>
      </w:r>
      <w:r>
        <w:rPr>
          <w:color w:val="231F1F"/>
          <w:w w:val="115"/>
        </w:rPr>
        <w:t>avoidance</w:t>
      </w:r>
      <w:r>
        <w:rPr>
          <w:color w:val="231F1F"/>
          <w:spacing w:val="-19"/>
          <w:w w:val="115"/>
        </w:rPr>
        <w:t> </w:t>
      </w:r>
      <w:r>
        <w:rPr>
          <w:color w:val="231F1F"/>
          <w:w w:val="115"/>
        </w:rPr>
        <w:t>of</w:t>
      </w:r>
      <w:r>
        <w:rPr>
          <w:color w:val="231F1F"/>
          <w:spacing w:val="-19"/>
          <w:w w:val="115"/>
        </w:rPr>
        <w:t> </w:t>
      </w:r>
      <w:r>
        <w:rPr>
          <w:color w:val="231F1F"/>
          <w:w w:val="115"/>
        </w:rPr>
        <w:t>lithium</w:t>
      </w:r>
      <w:r>
        <w:rPr>
          <w:color w:val="231F1F"/>
          <w:spacing w:val="-18"/>
          <w:w w:val="115"/>
        </w:rPr>
        <w:t> </w:t>
      </w:r>
      <w:r>
        <w:rPr>
          <w:color w:val="231F1F"/>
          <w:w w:val="115"/>
        </w:rPr>
        <w:t>advised</w:t>
      </w:r>
      <w:r>
        <w:rPr>
          <w:color w:val="231F1F"/>
          <w:spacing w:val="-19"/>
          <w:w w:val="115"/>
        </w:rPr>
        <w:t> </w:t>
      </w:r>
      <w:r>
        <w:rPr>
          <w:color w:val="231F1F"/>
          <w:w w:val="115"/>
        </w:rPr>
        <w:t>by manufacturer</w:t>
      </w:r>
      <w:r>
        <w:rPr>
          <w:color w:val="231F1F"/>
          <w:spacing w:val="-24"/>
          <w:w w:val="115"/>
        </w:rPr>
        <w:t> </w:t>
      </w:r>
      <w:r>
        <w:rPr>
          <w:color w:val="231F1F"/>
          <w:w w:val="115"/>
        </w:rPr>
        <w:t>of</w:t>
      </w:r>
      <w:r>
        <w:rPr>
          <w:color w:val="231F1F"/>
          <w:spacing w:val="-24"/>
          <w:w w:val="115"/>
        </w:rPr>
        <w:t> </w:t>
      </w:r>
      <w:r>
        <w:rPr>
          <w:rFonts w:ascii="Arial"/>
          <w:color w:val="231F1F"/>
          <w:w w:val="260"/>
          <w:position w:val="1"/>
          <w:sz w:val="7"/>
        </w:rPr>
        <w:t>l</w:t>
      </w:r>
      <w:r>
        <w:rPr>
          <w:rFonts w:ascii="Arial"/>
          <w:color w:val="231F1F"/>
          <w:spacing w:val="-41"/>
          <w:w w:val="260"/>
          <w:position w:val="1"/>
          <w:sz w:val="7"/>
        </w:rPr>
        <w:t> </w:t>
      </w:r>
      <w:r>
        <w:rPr>
          <w:rFonts w:ascii="Calibri"/>
          <w:color w:val="008356"/>
          <w:spacing w:val="4"/>
          <w:w w:val="115"/>
          <w:sz w:val="11"/>
        </w:rPr>
        <w:t>AMIODARONE</w:t>
      </w:r>
      <w:r>
        <w:rPr>
          <w:rFonts w:ascii="Calibri"/>
          <w:color w:val="008356"/>
          <w:spacing w:val="-17"/>
          <w:w w:val="115"/>
          <w:sz w:val="11"/>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ventricular arrhythmias)</w:t>
      </w:r>
    </w:p>
    <w:p>
      <w:pPr>
        <w:pStyle w:val="BodyText"/>
        <w:spacing w:line="220" w:lineRule="auto" w:before="12"/>
        <w:ind w:right="268"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increased risk of lithium toxicity when given with </w:t>
      </w:r>
      <w:r>
        <w:rPr>
          <w:rFonts w:ascii="Calibri" w:hAnsi="Calibri"/>
          <w:color w:val="008356"/>
          <w:w w:val="105"/>
          <w:sz w:val="11"/>
        </w:rPr>
        <w:t>METRONIDAZOLE</w:t>
      </w:r>
    </w:p>
    <w:p>
      <w:pPr>
        <w:pStyle w:val="BodyText"/>
        <w:spacing w:line="242" w:lineRule="auto"/>
        <w:ind w:right="62"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possible increased serotonergic effects when lithium given with </w:t>
      </w:r>
      <w:r>
        <w:rPr>
          <w:rFonts w:ascii="Calibri"/>
          <w:color w:val="008356"/>
          <w:w w:val="110"/>
          <w:sz w:val="11"/>
        </w:rPr>
        <w:t>VENLAFAXINE</w:t>
      </w:r>
      <w:r>
        <w:rPr>
          <w:color w:val="231F1F"/>
          <w:w w:val="110"/>
        </w:rPr>
        <w:t>; increased risk of CNS effects when lithium given with </w:t>
      </w:r>
      <w:r>
        <w:rPr>
          <w:rFonts w:ascii="Arial"/>
          <w:color w:val="231F1F"/>
          <w:w w:val="355"/>
          <w:position w:val="1"/>
          <w:sz w:val="7"/>
        </w:rPr>
        <w:t>l </w:t>
      </w:r>
      <w:r>
        <w:rPr>
          <w:rFonts w:ascii="Calibri"/>
          <w:color w:val="008356"/>
          <w:w w:val="110"/>
          <w:sz w:val="11"/>
        </w:rPr>
        <w:t>SSRIS </w:t>
      </w:r>
      <w:r>
        <w:rPr>
          <w:color w:val="231F1F"/>
          <w:w w:val="110"/>
        </w:rPr>
        <w:t>(lithium toxicity reported); risk of toxicity when lithium given with </w:t>
      </w:r>
      <w:r>
        <w:rPr>
          <w:rFonts w:ascii="Calibri"/>
          <w:color w:val="008356"/>
          <w:w w:val="110"/>
          <w:sz w:val="11"/>
        </w:rPr>
        <w:t>TRICYCLICS</w:t>
      </w:r>
    </w:p>
    <w:p>
      <w:pPr>
        <w:spacing w:line="220" w:lineRule="auto" w:before="2"/>
        <w:ind w:left="208" w:right="193"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neurotoxicity may occur when lithium </w:t>
      </w:r>
      <w:r>
        <w:rPr>
          <w:color w:val="231F1F"/>
          <w:spacing w:val="-3"/>
          <w:w w:val="105"/>
          <w:sz w:val="12"/>
        </w:rPr>
        <w:t>given </w:t>
      </w:r>
      <w:r>
        <w:rPr>
          <w:color w:val="231F1F"/>
          <w:w w:val="105"/>
          <w:sz w:val="12"/>
        </w:rPr>
        <w:t>with</w:t>
      </w:r>
      <w:r>
        <w:rPr>
          <w:color w:val="231F1F"/>
          <w:spacing w:val="-10"/>
          <w:w w:val="105"/>
          <w:sz w:val="12"/>
        </w:rPr>
        <w:t> </w:t>
      </w:r>
      <w:r>
        <w:rPr>
          <w:rFonts w:ascii="Calibri" w:hAnsi="Calibri"/>
          <w:color w:val="008356"/>
          <w:spacing w:val="4"/>
          <w:w w:val="105"/>
          <w:sz w:val="11"/>
        </w:rPr>
        <w:t>CARBAMAZEPINE</w:t>
      </w:r>
      <w:r>
        <w:rPr>
          <w:color w:val="231F1F"/>
          <w:spacing w:val="4"/>
          <w:w w:val="105"/>
          <w:sz w:val="12"/>
        </w:rPr>
        <w:t>,</w:t>
      </w:r>
      <w:r>
        <w:rPr>
          <w:color w:val="231F1F"/>
          <w:spacing w:val="-9"/>
          <w:w w:val="105"/>
          <w:sz w:val="12"/>
        </w:rPr>
        <w:t> </w:t>
      </w:r>
      <w:r>
        <w:rPr>
          <w:rFonts w:ascii="Calibri" w:hAnsi="Calibri"/>
          <w:color w:val="008356"/>
          <w:spacing w:val="4"/>
          <w:w w:val="105"/>
          <w:sz w:val="11"/>
        </w:rPr>
        <w:t>FOSPHENYTOIN</w:t>
      </w:r>
      <w:r>
        <w:rPr>
          <w:rFonts w:ascii="Calibri" w:hAnsi="Calibri"/>
          <w:color w:val="008356"/>
          <w:spacing w:val="1"/>
          <w:w w:val="105"/>
          <w:sz w:val="11"/>
        </w:rPr>
        <w:t> </w:t>
      </w:r>
      <w:r>
        <w:rPr>
          <w:color w:val="231F1F"/>
          <w:w w:val="105"/>
          <w:sz w:val="12"/>
        </w:rPr>
        <w:t>or</w:t>
      </w:r>
      <w:r>
        <w:rPr>
          <w:color w:val="231F1F"/>
          <w:spacing w:val="-9"/>
          <w:w w:val="105"/>
          <w:sz w:val="12"/>
        </w:rPr>
        <w:t> </w:t>
      </w:r>
      <w:r>
        <w:rPr>
          <w:rFonts w:ascii="Calibri" w:hAnsi="Calibri"/>
          <w:color w:val="008356"/>
          <w:spacing w:val="4"/>
          <w:w w:val="105"/>
          <w:sz w:val="11"/>
        </w:rPr>
        <w:t>PHENYTOIN</w:t>
      </w:r>
      <w:r>
        <w:rPr>
          <w:rFonts w:ascii="Calibri" w:hAnsi="Calibri"/>
          <w:color w:val="008356"/>
          <w:spacing w:val="1"/>
          <w:w w:val="105"/>
          <w:sz w:val="11"/>
        </w:rPr>
        <w:t> </w:t>
      </w:r>
      <w:r>
        <w:rPr>
          <w:color w:val="231F1F"/>
          <w:w w:val="105"/>
          <w:sz w:val="12"/>
        </w:rPr>
        <w:t>without</w:t>
      </w:r>
    </w:p>
    <w:p>
      <w:pPr>
        <w:pStyle w:val="BodyText"/>
        <w:spacing w:line="249" w:lineRule="auto" w:before="4"/>
        <w:rPr>
          <w:rFonts w:ascii="Calibri"/>
          <w:sz w:val="11"/>
        </w:rPr>
      </w:pPr>
      <w:r>
        <w:rPr>
          <w:color w:val="231F1F"/>
          <w:w w:val="115"/>
        </w:rPr>
        <w:t>increased plasma concentration of lithium; plasma concentration</w:t>
      </w:r>
      <w:r>
        <w:rPr>
          <w:color w:val="231F1F"/>
          <w:spacing w:val="-21"/>
          <w:w w:val="115"/>
        </w:rPr>
        <w:t> </w:t>
      </w:r>
      <w:r>
        <w:rPr>
          <w:color w:val="231F1F"/>
          <w:w w:val="115"/>
        </w:rPr>
        <w:t>of</w:t>
      </w:r>
      <w:r>
        <w:rPr>
          <w:color w:val="231F1F"/>
          <w:spacing w:val="-20"/>
          <w:w w:val="115"/>
        </w:rPr>
        <w:t> </w:t>
      </w:r>
      <w:r>
        <w:rPr>
          <w:color w:val="231F1F"/>
          <w:w w:val="115"/>
        </w:rPr>
        <w:t>lithium</w:t>
      </w:r>
      <w:r>
        <w:rPr>
          <w:color w:val="231F1F"/>
          <w:spacing w:val="-22"/>
          <w:w w:val="115"/>
        </w:rPr>
        <w:t> </w:t>
      </w:r>
      <w:r>
        <w:rPr>
          <w:color w:val="231F1F"/>
          <w:w w:val="115"/>
        </w:rPr>
        <w:t>possibly</w:t>
      </w:r>
      <w:r>
        <w:rPr>
          <w:color w:val="231F1F"/>
          <w:spacing w:val="-20"/>
          <w:w w:val="115"/>
        </w:rPr>
        <w:t> </w:t>
      </w:r>
      <w:r>
        <w:rPr>
          <w:color w:val="231F1F"/>
          <w:w w:val="115"/>
        </w:rPr>
        <w:t>affected</w:t>
      </w:r>
      <w:r>
        <w:rPr>
          <w:color w:val="231F1F"/>
          <w:spacing w:val="-22"/>
          <w:w w:val="115"/>
        </w:rPr>
        <w:t> </w:t>
      </w:r>
      <w:r>
        <w:rPr>
          <w:color w:val="231F1F"/>
          <w:w w:val="115"/>
        </w:rPr>
        <w:t>by</w:t>
      </w:r>
      <w:r>
        <w:rPr>
          <w:color w:val="231F1F"/>
          <w:spacing w:val="-20"/>
          <w:w w:val="115"/>
        </w:rPr>
        <w:t> </w:t>
      </w:r>
      <w:r>
        <w:rPr>
          <w:rFonts w:ascii="Calibri"/>
          <w:color w:val="008356"/>
          <w:w w:val="115"/>
          <w:sz w:val="11"/>
        </w:rPr>
        <w:t>TOPIRAMATE</w:t>
      </w:r>
    </w:p>
    <w:p>
      <w:pPr>
        <w:pStyle w:val="BodyText"/>
        <w:spacing w:line="139" w:lineRule="exact"/>
        <w:ind w:left="108"/>
      </w:pPr>
      <w:r>
        <w:rPr>
          <w:rFonts w:ascii="Arial"/>
          <w:color w:val="231F1F"/>
          <w:w w:val="355"/>
          <w:position w:val="1"/>
          <w:sz w:val="7"/>
        </w:rPr>
        <w:t>l </w:t>
      </w:r>
      <w:r>
        <w:rPr>
          <w:rFonts w:ascii="Calibri"/>
          <w:color w:val="231F1F"/>
          <w:w w:val="115"/>
        </w:rPr>
        <w:t>Antipsychotics: </w:t>
      </w:r>
      <w:r>
        <w:rPr>
          <w:color w:val="231F1F"/>
          <w:w w:val="115"/>
        </w:rPr>
        <w:t>increased risk of extrapyramidal side-effects</w:t>
      </w:r>
    </w:p>
    <w:p>
      <w:pPr>
        <w:pStyle w:val="BodyText"/>
        <w:spacing w:line="137" w:lineRule="exact"/>
      </w:pPr>
      <w:r>
        <w:rPr>
          <w:color w:val="231F1F"/>
          <w:w w:val="115"/>
        </w:rPr>
        <w:t>and possibly neurotoxicity when lithium given with</w:t>
      </w:r>
    </w:p>
    <w:p>
      <w:pPr>
        <w:spacing w:before="6"/>
        <w:ind w:left="208" w:right="0" w:firstLine="0"/>
        <w:jc w:val="left"/>
        <w:rPr>
          <w:sz w:val="12"/>
        </w:rPr>
      </w:pPr>
      <w:r>
        <w:rPr>
          <w:rFonts w:ascii="Calibri"/>
          <w:color w:val="008356"/>
          <w:sz w:val="11"/>
        </w:rPr>
        <w:t>CLOZAPINE</w:t>
      </w:r>
      <w:r>
        <w:rPr>
          <w:color w:val="231F1F"/>
          <w:sz w:val="12"/>
        </w:rPr>
        <w:t>, </w:t>
      </w:r>
      <w:r>
        <w:rPr>
          <w:rFonts w:ascii="Calibri"/>
          <w:color w:val="008356"/>
          <w:sz w:val="11"/>
        </w:rPr>
        <w:t>FLUPENTIXOL</w:t>
      </w:r>
      <w:r>
        <w:rPr>
          <w:color w:val="231F1F"/>
          <w:sz w:val="12"/>
        </w:rPr>
        <w:t>, </w:t>
      </w:r>
      <w:r>
        <w:rPr>
          <w:rFonts w:ascii="Calibri"/>
          <w:color w:val="008356"/>
          <w:sz w:val="11"/>
        </w:rPr>
        <w:t>HALOPERIDOL</w:t>
      </w:r>
      <w:r>
        <w:rPr>
          <w:color w:val="231F1F"/>
          <w:sz w:val="12"/>
        </w:rPr>
        <w:t>, </w:t>
      </w:r>
      <w:r>
        <w:rPr>
          <w:rFonts w:ascii="Calibri"/>
          <w:color w:val="008356"/>
          <w:sz w:val="11"/>
        </w:rPr>
        <w:t>PHENOTHIAZINES</w:t>
      </w:r>
      <w:r>
        <w:rPr>
          <w:color w:val="231F1F"/>
          <w:sz w:val="12"/>
        </w:rPr>
        <w:t>,</w:t>
      </w:r>
    </w:p>
    <w:p>
      <w:pPr>
        <w:spacing w:line="244" w:lineRule="auto" w:before="1"/>
        <w:ind w:left="208" w:right="156" w:firstLine="0"/>
        <w:jc w:val="left"/>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RISPERIDONE </w:t>
      </w:r>
      <w:r>
        <w:rPr>
          <w:color w:val="231F1F"/>
          <w:w w:val="110"/>
          <w:sz w:val="12"/>
        </w:rPr>
        <w:t>or </w:t>
      </w:r>
      <w:r>
        <w:rPr>
          <w:rFonts w:ascii="Calibri"/>
          <w:color w:val="008356"/>
          <w:spacing w:val="4"/>
          <w:w w:val="110"/>
          <w:sz w:val="11"/>
        </w:rPr>
        <w:t>ZUCLOPENTHIXOL</w:t>
      </w:r>
      <w:r>
        <w:rPr>
          <w:color w:val="231F1F"/>
          <w:spacing w:val="4"/>
          <w:w w:val="110"/>
          <w:sz w:val="12"/>
        </w:rPr>
        <w:t>; </w:t>
      </w:r>
      <w:r>
        <w:rPr>
          <w:color w:val="231F1F"/>
          <w:w w:val="110"/>
          <w:sz w:val="12"/>
        </w:rPr>
        <w:t>possible risk of toxicity when lithium given with </w:t>
      </w:r>
      <w:r>
        <w:rPr>
          <w:rFonts w:ascii="Calibri"/>
          <w:color w:val="008356"/>
          <w:spacing w:val="4"/>
          <w:w w:val="110"/>
          <w:sz w:val="11"/>
        </w:rPr>
        <w:t>OLANZAPINE</w:t>
      </w:r>
      <w:r>
        <w:rPr>
          <w:color w:val="231F1F"/>
          <w:spacing w:val="4"/>
          <w:w w:val="110"/>
          <w:sz w:val="12"/>
        </w:rPr>
        <w:t>; </w:t>
      </w:r>
      <w:r>
        <w:rPr>
          <w:color w:val="231F1F"/>
          <w:w w:val="110"/>
          <w:sz w:val="12"/>
        </w:rPr>
        <w:t>lithium possibly increases extrapyramidal side-effects of </w:t>
      </w:r>
      <w:r>
        <w:rPr>
          <w:rFonts w:ascii="Calibri"/>
          <w:color w:val="008356"/>
          <w:spacing w:val="4"/>
          <w:w w:val="110"/>
          <w:sz w:val="11"/>
        </w:rPr>
        <w:t>QUETIAPINE</w:t>
      </w:r>
      <w:r>
        <w:rPr>
          <w:color w:val="231F1F"/>
          <w:spacing w:val="4"/>
          <w:w w:val="110"/>
          <w:sz w:val="12"/>
        </w:rPr>
        <w:t>; </w:t>
      </w:r>
      <w:r>
        <w:rPr>
          <w:color w:val="231F1F"/>
          <w:w w:val="110"/>
          <w:sz w:val="12"/>
        </w:rPr>
        <w:t>increased risk of extrapyramidal side-effects when </w:t>
      </w:r>
      <w:r>
        <w:rPr>
          <w:color w:val="231F1F"/>
          <w:spacing w:val="-3"/>
          <w:w w:val="110"/>
          <w:sz w:val="12"/>
        </w:rPr>
        <w:t>lithium </w:t>
      </w:r>
      <w:r>
        <w:rPr>
          <w:color w:val="231F1F"/>
          <w:w w:val="110"/>
          <w:sz w:val="12"/>
        </w:rPr>
        <w:t>given with </w:t>
      </w:r>
      <w:r>
        <w:rPr>
          <w:rFonts w:ascii="Calibri"/>
          <w:color w:val="008356"/>
          <w:spacing w:val="5"/>
          <w:w w:val="110"/>
          <w:sz w:val="11"/>
        </w:rPr>
        <w:t>SULPIRIDE</w:t>
      </w:r>
    </w:p>
    <w:p>
      <w:pPr>
        <w:pStyle w:val="BodyText"/>
        <w:spacing w:line="220" w:lineRule="auto" w:before="4"/>
        <w:ind w:right="5" w:hanging="100"/>
        <w:rPr>
          <w:rFonts w:ascii="Calibri" w:hAnsi="Calibri"/>
          <w:sz w:val="11"/>
        </w:rPr>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increased risk of neurotoxicity when lithium given with </w:t>
      </w:r>
      <w:r>
        <w:rPr>
          <w:rFonts w:ascii="Calibri" w:hAnsi="Calibri"/>
          <w:color w:val="008356"/>
          <w:w w:val="110"/>
          <w:sz w:val="11"/>
        </w:rPr>
        <w:t>CLONAZEPAM</w:t>
      </w:r>
    </w:p>
    <w:p>
      <w:pPr>
        <w:pStyle w:val="BodyText"/>
        <w:spacing w:line="230" w:lineRule="auto" w:before="4"/>
        <w:ind w:hanging="100"/>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neurotoxicity may occur when lithium given with </w:t>
      </w:r>
      <w:r>
        <w:rPr>
          <w:rFonts w:ascii="Calibri" w:hAnsi="Calibri"/>
          <w:color w:val="008356"/>
          <w:w w:val="110"/>
          <w:sz w:val="11"/>
        </w:rPr>
        <w:t>DILTIAZEM </w:t>
      </w:r>
      <w:r>
        <w:rPr>
          <w:color w:val="231F1F"/>
          <w:w w:val="110"/>
        </w:rPr>
        <w:t>or </w:t>
      </w:r>
      <w:r>
        <w:rPr>
          <w:rFonts w:ascii="Calibri" w:hAnsi="Calibri"/>
          <w:color w:val="008356"/>
          <w:w w:val="110"/>
          <w:sz w:val="11"/>
        </w:rPr>
        <w:t>VERAPAMIL </w:t>
      </w:r>
      <w:r>
        <w:rPr>
          <w:color w:val="231F1F"/>
          <w:w w:val="110"/>
        </w:rPr>
        <w:t>without increased plasma concentration of lithium</w:t>
      </w:r>
    </w:p>
    <w:p>
      <w:pPr>
        <w:spacing w:before="4"/>
        <w:ind w:left="208" w:right="0" w:hanging="100"/>
        <w:jc w:val="left"/>
        <w:rPr>
          <w:rFonts w:ascii="Calibri"/>
          <w:sz w:val="11"/>
        </w:rPr>
      </w:pPr>
      <w:r>
        <w:rPr>
          <w:rFonts w:ascii="Arial"/>
          <w:color w:val="231F1F"/>
          <w:w w:val="355"/>
          <w:position w:val="1"/>
          <w:sz w:val="7"/>
        </w:rPr>
        <w:t>l </w:t>
      </w:r>
      <w:r>
        <w:rPr>
          <w:rFonts w:ascii="Calibri"/>
          <w:color w:val="231F1F"/>
          <w:w w:val="110"/>
          <w:sz w:val="12"/>
        </w:rPr>
        <w:t>Cytotoxics: </w:t>
      </w:r>
      <w:r>
        <w:rPr>
          <w:color w:val="231F1F"/>
          <w:w w:val="110"/>
          <w:sz w:val="12"/>
        </w:rPr>
        <w:t>increased risk of ventricular arrhythmias </w:t>
      </w:r>
      <w:r>
        <w:rPr>
          <w:color w:val="231F1F"/>
          <w:spacing w:val="-4"/>
          <w:w w:val="110"/>
          <w:sz w:val="12"/>
        </w:rPr>
        <w:t>when </w:t>
      </w:r>
      <w:r>
        <w:rPr>
          <w:color w:val="231F1F"/>
          <w:w w:val="110"/>
          <w:sz w:val="12"/>
        </w:rPr>
        <w:t>lithium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ARSENIC TRIOXIDE</w:t>
      </w:r>
    </w:p>
    <w:p>
      <w:pPr>
        <w:pStyle w:val="BodyText"/>
        <w:spacing w:line="244" w:lineRule="auto"/>
        <w:ind w:right="66"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lithium given with </w:t>
      </w:r>
      <w:r>
        <w:rPr>
          <w:rFonts w:ascii="Arial"/>
          <w:color w:val="231F1F"/>
          <w:w w:val="355"/>
          <w:position w:val="1"/>
          <w:sz w:val="7"/>
        </w:rPr>
        <w:t>l </w:t>
      </w:r>
      <w:r>
        <w:rPr>
          <w:rFonts w:ascii="Calibri"/>
          <w:color w:val="008356"/>
          <w:w w:val="110"/>
          <w:sz w:val="11"/>
        </w:rPr>
        <w:t>DAPOXETINE </w:t>
      </w:r>
      <w:r>
        <w:rPr>
          <w:color w:val="231F1F"/>
          <w:w w:val="110"/>
        </w:rPr>
        <w:t>(manufacturer of dapoxetine advises lithium should not be started until 1 week after stopping dapoxetine, avoid dapoxetine for 2 weeks after stopping lithium)</w:t>
      </w:r>
    </w:p>
    <w:p>
      <w:pPr>
        <w:spacing w:before="0"/>
        <w:ind w:left="208" w:right="22" w:hanging="100"/>
        <w:jc w:val="left"/>
        <w:rPr>
          <w:sz w:val="12"/>
        </w:rPr>
      </w:pPr>
      <w:r>
        <w:rPr>
          <w:rFonts w:ascii="Arial"/>
          <w:color w:val="231F1F"/>
          <w:w w:val="355"/>
          <w:position w:val="1"/>
          <w:sz w:val="7"/>
        </w:rPr>
        <w:t>l </w:t>
      </w:r>
      <w:r>
        <w:rPr>
          <w:rFonts w:ascii="Calibri"/>
          <w:color w:val="231F1F"/>
          <w:w w:val="110"/>
          <w:sz w:val="12"/>
        </w:rPr>
        <w:t>Diuretics: </w:t>
      </w:r>
      <w:r>
        <w:rPr>
          <w:color w:val="231F1F"/>
          <w:w w:val="110"/>
          <w:sz w:val="12"/>
        </w:rPr>
        <w:t>excretion of lithium increased by </w:t>
      </w:r>
      <w:r>
        <w:rPr>
          <w:rFonts w:ascii="Arial"/>
          <w:color w:val="231F1F"/>
          <w:w w:val="355"/>
          <w:position w:val="1"/>
          <w:sz w:val="7"/>
        </w:rPr>
        <w:t>l </w:t>
      </w:r>
      <w:r>
        <w:rPr>
          <w:rFonts w:ascii="Calibri"/>
          <w:color w:val="008356"/>
          <w:w w:val="110"/>
          <w:sz w:val="11"/>
        </w:rPr>
        <w:t>ACETAZOLAMIDE</w:t>
      </w:r>
      <w:r>
        <w:rPr>
          <w:color w:val="231F1F"/>
          <w:w w:val="110"/>
          <w:sz w:val="12"/>
        </w:rPr>
        <w:t>; excretion of lithium reduced by </w:t>
      </w:r>
      <w:r>
        <w:rPr>
          <w:rFonts w:ascii="Arial"/>
          <w:color w:val="231F1F"/>
          <w:w w:val="355"/>
          <w:position w:val="1"/>
          <w:sz w:val="7"/>
        </w:rPr>
        <w:t>l </w:t>
      </w:r>
      <w:r>
        <w:rPr>
          <w:rFonts w:ascii="Calibri"/>
          <w:color w:val="008356"/>
          <w:w w:val="110"/>
          <w:sz w:val="11"/>
        </w:rPr>
        <w:t>LOOP DIURETICS </w:t>
      </w:r>
      <w:r>
        <w:rPr>
          <w:color w:val="231F1F"/>
          <w:w w:val="110"/>
          <w:sz w:val="12"/>
        </w:rPr>
        <w:t>and</w:t>
      </w:r>
    </w:p>
    <w:p>
      <w:pPr>
        <w:spacing w:line="244" w:lineRule="auto" w:before="0"/>
        <w:ind w:left="208" w:right="66" w:firstLine="0"/>
        <w:jc w:val="left"/>
        <w:rPr>
          <w:sz w:val="12"/>
        </w:rPr>
      </w:pPr>
      <w:r>
        <w:rPr>
          <w:rFonts w:ascii="Arial" w:hAnsi="Arial"/>
          <w:color w:val="231F1F"/>
          <w:w w:val="355"/>
          <w:position w:val="1"/>
          <w:sz w:val="7"/>
        </w:rPr>
        <w:t>l </w:t>
      </w:r>
      <w:r>
        <w:rPr>
          <w:rFonts w:ascii="Calibri" w:hAnsi="Calibri"/>
          <w:color w:val="008356"/>
          <w:w w:val="110"/>
          <w:sz w:val="11"/>
        </w:rPr>
        <w:t>THIAZIDES AND RELATED DIURETICS </w:t>
      </w:r>
      <w:r>
        <w:rPr>
          <w:color w:val="231F1F"/>
          <w:w w:val="110"/>
          <w:sz w:val="12"/>
        </w:rPr>
        <w:t>(increased plasma concentration and risk of toxicity)</w:t>
      </w:r>
      <w:r>
        <w:rPr>
          <w:rFonts w:ascii="Arial" w:hAnsi="Arial"/>
          <w:color w:val="231F1F"/>
          <w:w w:val="110"/>
          <w:sz w:val="12"/>
        </w:rPr>
        <w:t>—</w:t>
      </w:r>
      <w:r>
        <w:rPr>
          <w:color w:val="231F1F"/>
          <w:w w:val="110"/>
          <w:sz w:val="12"/>
        </w:rPr>
        <w:t>loop diuretics safer than thiazides; excretion of lithium reduced by </w:t>
      </w:r>
      <w:r>
        <w:rPr>
          <w:rFonts w:ascii="Arial" w:hAnsi="Arial"/>
          <w:color w:val="231F1F"/>
          <w:w w:val="355"/>
          <w:position w:val="1"/>
          <w:sz w:val="7"/>
        </w:rPr>
        <w:t>l </w:t>
      </w:r>
      <w:r>
        <w:rPr>
          <w:rFonts w:ascii="Calibri" w:hAnsi="Calibri"/>
          <w:color w:val="008356"/>
          <w:w w:val="110"/>
          <w:sz w:val="11"/>
        </w:rPr>
        <w:t>POTASSIUM- </w:t>
      </w:r>
      <w:r>
        <w:rPr>
          <w:rFonts w:ascii="Calibri" w:hAnsi="Calibri"/>
          <w:color w:val="008356"/>
          <w:w w:val="105"/>
          <w:sz w:val="11"/>
        </w:rPr>
        <w:t>SPARING DIURETICS AND ALDOSTERONE ANTAGONISTS </w:t>
      </w:r>
      <w:r>
        <w:rPr>
          <w:color w:val="231F1F"/>
          <w:w w:val="105"/>
          <w:sz w:val="12"/>
        </w:rPr>
        <w:t>(increased</w:t>
      </w:r>
    </w:p>
    <w:p>
      <w:pPr>
        <w:pStyle w:val="BodyText"/>
        <w:spacing w:line="137" w:lineRule="exact"/>
      </w:pPr>
      <w:r>
        <w:rPr>
          <w:color w:val="231F1F"/>
          <w:w w:val="115"/>
        </w:rPr>
        <w:t>plasma concentration and risk of toxicity)</w:t>
      </w:r>
    </w:p>
    <w:p>
      <w:pPr>
        <w:pStyle w:val="BodyText"/>
        <w:spacing w:line="220" w:lineRule="auto" w:before="7"/>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1</w:t>
      </w:r>
      <w:r>
        <w:rPr>
          <w:rFonts w:ascii="Calibri" w:hAnsi="Calibri"/>
          <w:color w:val="231F1F"/>
          <w:w w:val="105"/>
          <w:vertAlign w:val="baseline"/>
        </w:rPr>
        <w:t>-receptor Agonists: </w:t>
      </w:r>
      <w:r>
        <w:rPr>
          <w:color w:val="231F1F"/>
          <w:w w:val="105"/>
          <w:vertAlign w:val="baseline"/>
        </w:rPr>
        <w:t>possible risk of toxicity when lithium given with </w:t>
      </w:r>
      <w:r>
        <w:rPr>
          <w:rFonts w:ascii="Calibri" w:hAnsi="Calibri"/>
          <w:color w:val="008356"/>
          <w:w w:val="105"/>
          <w:sz w:val="11"/>
          <w:vertAlign w:val="baseline"/>
        </w:rPr>
        <w:t>SUMATRIPTAN</w:t>
      </w:r>
    </w:p>
    <w:p>
      <w:pPr>
        <w:pStyle w:val="BodyText"/>
        <w:spacing w:line="242" w:lineRule="auto"/>
        <w:ind w:right="12" w:hanging="100"/>
      </w:pPr>
      <w:r>
        <w:rPr>
          <w:rFonts w:ascii="Arial"/>
          <w:color w:val="231F1F"/>
          <w:w w:val="355"/>
          <w:position w:val="1"/>
          <w:sz w:val="7"/>
        </w:rPr>
        <w:t>l </w:t>
      </w:r>
      <w:r>
        <w:rPr>
          <w:rFonts w:ascii="Calibri"/>
          <w:color w:val="231F1F"/>
          <w:w w:val="110"/>
        </w:rPr>
        <w:t>Methyldopa: </w:t>
      </w:r>
      <w:r>
        <w:rPr>
          <w:color w:val="231F1F"/>
          <w:w w:val="110"/>
        </w:rPr>
        <w:t>neurotoxicity may occur when lithium given with </w:t>
      </w:r>
      <w:r>
        <w:rPr>
          <w:rFonts w:ascii="Arial"/>
          <w:color w:val="231F1F"/>
          <w:w w:val="355"/>
          <w:position w:val="1"/>
          <w:sz w:val="7"/>
        </w:rPr>
        <w:t>l </w:t>
      </w:r>
      <w:r>
        <w:rPr>
          <w:rFonts w:ascii="Calibri"/>
          <w:color w:val="008356"/>
          <w:w w:val="110"/>
          <w:sz w:val="11"/>
        </w:rPr>
        <w:t>METHYLDOPA </w:t>
      </w:r>
      <w:r>
        <w:rPr>
          <w:color w:val="231F1F"/>
          <w:w w:val="110"/>
        </w:rPr>
        <w:t>without increased plasma concentration of lithium</w:t>
      </w:r>
    </w:p>
    <w:p>
      <w:pPr>
        <w:spacing w:line="230" w:lineRule="auto" w:before="2"/>
        <w:ind w:left="208" w:right="565" w:hanging="100"/>
        <w:jc w:val="both"/>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6"/>
          <w:w w:val="95"/>
          <w:sz w:val="10"/>
        </w:rPr>
        <w:t> </w:t>
      </w:r>
      <w:r>
        <w:rPr>
          <w:rFonts w:ascii="Calibri" w:hAnsi="Calibri"/>
          <w:color w:val="231F1F"/>
          <w:w w:val="110"/>
          <w:sz w:val="12"/>
        </w:rPr>
        <w:t>Muscle</w:t>
      </w:r>
      <w:r>
        <w:rPr>
          <w:rFonts w:ascii="Calibri" w:hAnsi="Calibri"/>
          <w:color w:val="231F1F"/>
          <w:spacing w:val="-9"/>
          <w:w w:val="110"/>
          <w:sz w:val="12"/>
        </w:rPr>
        <w:t> </w:t>
      </w:r>
      <w:r>
        <w:rPr>
          <w:rFonts w:ascii="Calibri" w:hAnsi="Calibri"/>
          <w:color w:val="231F1F"/>
          <w:w w:val="110"/>
          <w:sz w:val="12"/>
        </w:rPr>
        <w:t>Relaxants:</w:t>
      </w:r>
      <w:r>
        <w:rPr>
          <w:rFonts w:ascii="Calibri" w:hAnsi="Calibri"/>
          <w:color w:val="231F1F"/>
          <w:spacing w:val="-9"/>
          <w:w w:val="110"/>
          <w:sz w:val="12"/>
        </w:rPr>
        <w:t> </w:t>
      </w:r>
      <w:r>
        <w:rPr>
          <w:color w:val="231F1F"/>
          <w:w w:val="110"/>
          <w:sz w:val="12"/>
        </w:rPr>
        <w:t>lithium</w:t>
      </w:r>
      <w:r>
        <w:rPr>
          <w:color w:val="231F1F"/>
          <w:spacing w:val="-12"/>
          <w:w w:val="110"/>
          <w:sz w:val="12"/>
        </w:rPr>
        <w:t> </w:t>
      </w:r>
      <w:r>
        <w:rPr>
          <w:color w:val="231F1F"/>
          <w:w w:val="110"/>
          <w:sz w:val="12"/>
        </w:rPr>
        <w:t>enhances</w:t>
      </w:r>
      <w:r>
        <w:rPr>
          <w:color w:val="231F1F"/>
          <w:spacing w:val="-12"/>
          <w:w w:val="110"/>
          <w:sz w:val="12"/>
        </w:rPr>
        <w:t> </w:t>
      </w:r>
      <w:r>
        <w:rPr>
          <w:color w:val="231F1F"/>
          <w:w w:val="110"/>
          <w:sz w:val="12"/>
        </w:rPr>
        <w:t>effects</w:t>
      </w:r>
      <w:r>
        <w:rPr>
          <w:color w:val="231F1F"/>
          <w:spacing w:val="-12"/>
          <w:w w:val="110"/>
          <w:sz w:val="12"/>
        </w:rPr>
        <w:t> </w:t>
      </w:r>
      <w:r>
        <w:rPr>
          <w:color w:val="231F1F"/>
          <w:w w:val="110"/>
          <w:sz w:val="12"/>
        </w:rPr>
        <w:t>of</w:t>
      </w:r>
      <w:r>
        <w:rPr>
          <w:color w:val="231F1F"/>
          <w:spacing w:val="-11"/>
          <w:w w:val="110"/>
          <w:sz w:val="12"/>
        </w:rPr>
        <w:t> </w:t>
      </w:r>
      <w:r>
        <w:rPr>
          <w:rFonts w:ascii="Calibri" w:hAnsi="Calibri"/>
          <w:color w:val="008356"/>
          <w:w w:val="110"/>
          <w:sz w:val="11"/>
        </w:rPr>
        <w:t>MUSCLE </w:t>
      </w:r>
      <w:r>
        <w:rPr>
          <w:rFonts w:ascii="Calibri" w:hAnsi="Calibri"/>
          <w:color w:val="008356"/>
          <w:spacing w:val="4"/>
          <w:w w:val="110"/>
          <w:sz w:val="11"/>
        </w:rPr>
        <w:t>RELAXANTS</w:t>
      </w:r>
      <w:r>
        <w:rPr>
          <w:color w:val="231F1F"/>
          <w:spacing w:val="4"/>
          <w:w w:val="110"/>
          <w:sz w:val="12"/>
        </w:rPr>
        <w:t>; </w:t>
      </w:r>
      <w:r>
        <w:rPr>
          <w:color w:val="231F1F"/>
          <w:w w:val="110"/>
          <w:sz w:val="12"/>
        </w:rPr>
        <w:t>hyperkinesis caused by lithium possibly aggravated by</w:t>
      </w:r>
      <w:r>
        <w:rPr>
          <w:color w:val="231F1F"/>
          <w:spacing w:val="-7"/>
          <w:w w:val="110"/>
          <w:sz w:val="12"/>
        </w:rPr>
        <w:t> </w:t>
      </w:r>
      <w:r>
        <w:rPr>
          <w:rFonts w:ascii="Calibri" w:hAnsi="Calibri"/>
          <w:color w:val="008356"/>
          <w:spacing w:val="4"/>
          <w:w w:val="110"/>
          <w:sz w:val="11"/>
        </w:rPr>
        <w:t>BACLOFEN</w:t>
      </w:r>
    </w:p>
    <w:p>
      <w:pPr>
        <w:pStyle w:val="BodyText"/>
        <w:spacing w:line="156" w:lineRule="exact"/>
        <w:ind w:left="108"/>
      </w:pPr>
      <w:r>
        <w:rPr>
          <w:rFonts w:ascii="Lucida Sans Unicode" w:hAnsi="Lucida Sans Unicode"/>
          <w:color w:val="A7A8AC"/>
          <w:w w:val="95"/>
          <w:sz w:val="10"/>
        </w:rPr>
        <w:t>▶ </w:t>
      </w:r>
      <w:r>
        <w:rPr>
          <w:rFonts w:ascii="Calibri" w:hAnsi="Calibri"/>
          <w:color w:val="231F1F"/>
        </w:rPr>
        <w:t>Parasympathomimetics: </w:t>
      </w:r>
      <w:r>
        <w:rPr>
          <w:color w:val="231F1F"/>
        </w:rPr>
        <w:t>lithium antagonises effects of</w:t>
      </w:r>
    </w:p>
    <w:p>
      <w:pPr>
        <w:spacing w:line="132" w:lineRule="exact" w:before="0"/>
        <w:ind w:left="208" w:right="0" w:firstLine="0"/>
        <w:jc w:val="left"/>
        <w:rPr>
          <w:rFonts w:ascii="Calibri"/>
          <w:sz w:val="11"/>
        </w:rPr>
      </w:pPr>
      <w:r>
        <w:rPr>
          <w:rFonts w:ascii="Calibri"/>
          <w:color w:val="008356"/>
          <w:sz w:val="11"/>
        </w:rPr>
        <w:t>NEOSTIGMINE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Lithium </w:t>
      </w:r>
      <w:r>
        <w:rPr>
          <w:rFonts w:ascii="Calibri"/>
          <w:color w:val="231F1F"/>
        </w:rPr>
        <w:t>(continued)</w:t>
      </w:r>
    </w:p>
    <w:p>
      <w:pPr>
        <w:spacing w:line="150" w:lineRule="exact" w:before="0"/>
        <w:ind w:left="108" w:right="0" w:firstLine="0"/>
        <w:jc w:val="left"/>
        <w:rPr>
          <w:rFonts w:ascii="Calibri" w:hAnsi="Calibri"/>
          <w:sz w:val="11"/>
        </w:rPr>
      </w:pPr>
      <w:r>
        <w:rPr/>
        <w:pict>
          <v:rect style="position:absolute;margin-left:398.891296pt;margin-top:-8.635736pt;width:20.522993pt;height:149.443pt;mso-position-horizontal-relative:page;mso-position-vertical-relative:paragraph;z-index:4576" filled="true" fillcolor="#bfdbcf" stroked="false">
            <v:fill type="solid"/>
            <w10:wrap type="none"/>
          </v:rect>
        </w:pict>
      </w:r>
      <w:r>
        <w:rPr/>
        <w:pict>
          <v:shape style="position:absolute;margin-left:399.725769pt;margin-top:-3.672348pt;width:10.4pt;height:78.850pt;mso-position-horizontal-relative:page;mso-position-vertical-relative:paragraph;z-index:460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sz w:val="12"/>
        </w:rPr>
        <w:t>Theophylline: </w:t>
      </w:r>
      <w:r>
        <w:rPr>
          <w:color w:val="231F1F"/>
          <w:sz w:val="12"/>
        </w:rPr>
        <w:t>excretion of lithium increased by </w:t>
      </w:r>
      <w:r>
        <w:rPr>
          <w:rFonts w:ascii="Calibri" w:hAnsi="Calibri"/>
          <w:color w:val="008356"/>
          <w:sz w:val="11"/>
        </w:rPr>
        <w:t>THEOPHYLLINE</w:t>
      </w:r>
    </w:p>
    <w:p>
      <w:pPr>
        <w:pStyle w:val="BodyText"/>
        <w:spacing w:line="132" w:lineRule="exact"/>
      </w:pPr>
      <w:r>
        <w:rPr>
          <w:color w:val="231F1F"/>
          <w:w w:val="115"/>
        </w:rPr>
        <w:t>(reduced plasma concentration)</w:t>
      </w:r>
    </w:p>
    <w:p>
      <w:pPr>
        <w:pStyle w:val="BodyText"/>
        <w:spacing w:before="10"/>
        <w:ind w:left="108"/>
      </w:pPr>
      <w:r>
        <w:rPr>
          <w:rFonts w:ascii="Trebuchet MS"/>
          <w:color w:val="008356"/>
          <w:w w:val="110"/>
        </w:rPr>
        <w:t>Lixisenatide </w:t>
      </w:r>
      <w:r>
        <w:rPr>
          <w:i/>
          <w:color w:val="231F1F"/>
          <w:w w:val="110"/>
        </w:rPr>
        <w:t>see </w:t>
      </w:r>
      <w:r>
        <w:rPr>
          <w:color w:val="231F1F"/>
          <w:w w:val="110"/>
        </w:rPr>
        <w:t>Antidiabetics</w:t>
      </w:r>
    </w:p>
    <w:p>
      <w:pPr>
        <w:pStyle w:val="BodyText"/>
        <w:spacing w:before="10"/>
        <w:ind w:left="108"/>
      </w:pPr>
      <w:r>
        <w:rPr>
          <w:rFonts w:ascii="Trebuchet MS"/>
          <w:color w:val="008356"/>
          <w:w w:val="105"/>
        </w:rPr>
        <w:t>Lofepramine </w:t>
      </w:r>
      <w:r>
        <w:rPr>
          <w:i/>
          <w:color w:val="231F1F"/>
          <w:w w:val="105"/>
        </w:rPr>
        <w:t>see </w:t>
      </w:r>
      <w:r>
        <w:rPr>
          <w:color w:val="231F1F"/>
          <w:w w:val="105"/>
        </w:rPr>
        <w:t>Antidepressants, Tricyclic</w:t>
      </w:r>
    </w:p>
    <w:p>
      <w:pPr>
        <w:pStyle w:val="BodyText"/>
        <w:spacing w:before="11"/>
        <w:ind w:left="108"/>
        <w:rPr>
          <w:rFonts w:ascii="Trebuchet MS"/>
        </w:rPr>
      </w:pPr>
      <w:r>
        <w:rPr>
          <w:rFonts w:ascii="Trebuchet MS"/>
          <w:color w:val="008356"/>
        </w:rPr>
        <w:t>Lofexidine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Alcohol: </w:t>
      </w:r>
      <w:r>
        <w:rPr>
          <w:color w:val="231F1F"/>
          <w:w w:val="105"/>
        </w:rPr>
        <w:t>increased sedative effect when lofexidine given with</w:t>
      </w:r>
    </w:p>
    <w:p>
      <w:pPr>
        <w:spacing w:line="130" w:lineRule="exact" w:before="0"/>
        <w:ind w:left="208" w:right="0" w:firstLine="0"/>
        <w:jc w:val="left"/>
        <w:rPr>
          <w:rFonts w:ascii="Calibri"/>
          <w:sz w:val="11"/>
        </w:rPr>
      </w:pPr>
      <w:r>
        <w:rPr>
          <w:rFonts w:ascii="Calibri"/>
          <w:color w:val="008356"/>
          <w:sz w:val="11"/>
        </w:rPr>
        <w:t>ALCOHOL</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lofexidine given with </w:t>
      </w:r>
      <w:r>
        <w:rPr>
          <w:rFonts w:ascii="Calibri" w:hAnsi="Calibri"/>
          <w:color w:val="008356"/>
          <w:w w:val="105"/>
          <w:sz w:val="11"/>
        </w:rPr>
        <w:t>ANXIOLYTICS AND HYPNOTICS</w:t>
      </w:r>
    </w:p>
    <w:p>
      <w:pPr>
        <w:pStyle w:val="BodyText"/>
        <w:spacing w:before="9"/>
        <w:ind w:left="108"/>
        <w:rPr>
          <w:rFonts w:ascii="Trebuchet MS"/>
        </w:rPr>
      </w:pPr>
      <w:r>
        <w:rPr>
          <w:rFonts w:ascii="Trebuchet MS"/>
          <w:color w:val="008356"/>
        </w:rPr>
        <w:t>Lomitapide</w:t>
      </w:r>
    </w:p>
    <w:p>
      <w:pPr>
        <w:pStyle w:val="BodyText"/>
        <w:spacing w:line="220" w:lineRule="auto" w:before="10"/>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manufacturer of lomitapide advises avoid concomitant use with </w:t>
      </w:r>
      <w:r>
        <w:rPr>
          <w:rFonts w:ascii="Calibri" w:hAnsi="Calibri"/>
          <w:color w:val="008356"/>
          <w:w w:val="110"/>
          <w:sz w:val="11"/>
        </w:rPr>
        <w:t>ALCOHOL</w:t>
      </w:r>
    </w:p>
    <w:p>
      <w:pPr>
        <w:pStyle w:val="BodyText"/>
        <w:spacing w:line="244" w:lineRule="auto"/>
        <w:ind w:left="207" w:right="762" w:hanging="100"/>
      </w:pPr>
      <w:r>
        <w:rPr>
          <w:rFonts w:ascii="Arial"/>
          <w:color w:val="231F1F"/>
          <w:w w:val="355"/>
          <w:position w:val="1"/>
          <w:sz w:val="7"/>
        </w:rPr>
        <w:t>l </w:t>
      </w:r>
      <w:r>
        <w:rPr>
          <w:rFonts w:ascii="Calibri"/>
          <w:color w:val="231F1F"/>
          <w:w w:val="110"/>
        </w:rPr>
        <w:t>Anti-arrhythmics: </w:t>
      </w:r>
      <w:r>
        <w:rPr>
          <w:color w:val="231F1F"/>
          <w:w w:val="110"/>
        </w:rPr>
        <w:t>manufacturer of lomitapide advises separating administration from </w:t>
      </w:r>
      <w:r>
        <w:rPr>
          <w:rFonts w:ascii="Calibri"/>
          <w:color w:val="008356"/>
          <w:w w:val="110"/>
          <w:sz w:val="11"/>
        </w:rPr>
        <w:t>AMIODARONE </w:t>
      </w:r>
      <w:r>
        <w:rPr>
          <w:color w:val="231F1F"/>
          <w:w w:val="110"/>
        </w:rPr>
        <w:t>by 12 hours; manufacturer of lomitapide advises avoid concomitant use with </w:t>
      </w:r>
      <w:r>
        <w:rPr>
          <w:rFonts w:ascii="Arial"/>
          <w:color w:val="231F1F"/>
          <w:w w:val="355"/>
          <w:position w:val="1"/>
          <w:sz w:val="7"/>
        </w:rPr>
        <w:t>l </w:t>
      </w:r>
      <w:r>
        <w:rPr>
          <w:rFonts w:ascii="Calibri"/>
          <w:color w:val="008356"/>
          <w:w w:val="110"/>
          <w:sz w:val="11"/>
        </w:rPr>
        <w:t>DRONEDARONE </w:t>
      </w:r>
      <w:r>
        <w:rPr>
          <w:color w:val="231F1F"/>
          <w:w w:val="110"/>
        </w:rPr>
        <w:t>(plasma concentration of lomitapide possibly increased)</w:t>
      </w:r>
    </w:p>
    <w:p>
      <w:pPr>
        <w:spacing w:line="244" w:lineRule="auto" w:before="0"/>
        <w:ind w:left="208" w:right="669"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manufacturer of lomitapide advises separating administration</w:t>
      </w:r>
      <w:r>
        <w:rPr>
          <w:color w:val="231F1F"/>
          <w:spacing w:val="-9"/>
          <w:w w:val="110"/>
          <w:sz w:val="12"/>
        </w:rPr>
        <w:t> </w:t>
      </w:r>
      <w:r>
        <w:rPr>
          <w:color w:val="231F1F"/>
          <w:w w:val="110"/>
          <w:sz w:val="12"/>
        </w:rPr>
        <w:t>from</w:t>
      </w:r>
      <w:r>
        <w:rPr>
          <w:color w:val="231F1F"/>
          <w:spacing w:val="-9"/>
          <w:w w:val="110"/>
          <w:sz w:val="12"/>
        </w:rPr>
        <w:t> </w:t>
      </w:r>
      <w:r>
        <w:rPr>
          <w:rFonts w:ascii="Calibri"/>
          <w:color w:val="008356"/>
          <w:spacing w:val="4"/>
          <w:w w:val="110"/>
          <w:sz w:val="11"/>
        </w:rPr>
        <w:t>AZITHROMYCIN</w:t>
      </w:r>
      <w:r>
        <w:rPr>
          <w:rFonts w:ascii="Calibri"/>
          <w:color w:val="008356"/>
          <w:spacing w:val="2"/>
          <w:w w:val="110"/>
          <w:sz w:val="11"/>
        </w:rPr>
        <w:t> </w:t>
      </w:r>
      <w:r>
        <w:rPr>
          <w:color w:val="231F1F"/>
          <w:w w:val="110"/>
          <w:sz w:val="12"/>
        </w:rPr>
        <w:t>and</w:t>
      </w:r>
      <w:r>
        <w:rPr>
          <w:color w:val="231F1F"/>
          <w:spacing w:val="-9"/>
          <w:w w:val="110"/>
          <w:sz w:val="12"/>
        </w:rPr>
        <w:t> </w:t>
      </w:r>
      <w:r>
        <w:rPr>
          <w:rFonts w:ascii="Calibri"/>
          <w:color w:val="008356"/>
          <w:spacing w:val="4"/>
          <w:w w:val="110"/>
          <w:sz w:val="11"/>
        </w:rPr>
        <w:t>ISONIAZID</w:t>
      </w:r>
      <w:r>
        <w:rPr>
          <w:rFonts w:ascii="Calibri"/>
          <w:color w:val="008356"/>
          <w:spacing w:val="1"/>
          <w:w w:val="110"/>
          <w:sz w:val="11"/>
        </w:rPr>
        <w:t> </w:t>
      </w:r>
      <w:r>
        <w:rPr>
          <w:color w:val="231F1F"/>
          <w:w w:val="110"/>
          <w:sz w:val="12"/>
        </w:rPr>
        <w:t>by</w:t>
      </w:r>
      <w:r>
        <w:rPr>
          <w:color w:val="231F1F"/>
          <w:spacing w:val="-9"/>
          <w:w w:val="110"/>
          <w:sz w:val="12"/>
        </w:rPr>
        <w:t> </w:t>
      </w:r>
      <w:r>
        <w:rPr>
          <w:color w:val="231F1F"/>
          <w:w w:val="110"/>
          <w:sz w:val="12"/>
        </w:rPr>
        <w:t>12</w:t>
      </w:r>
      <w:r>
        <w:rPr>
          <w:color w:val="231F1F"/>
          <w:spacing w:val="-8"/>
          <w:w w:val="110"/>
          <w:sz w:val="12"/>
        </w:rPr>
        <w:t> </w:t>
      </w:r>
      <w:r>
        <w:rPr>
          <w:color w:val="231F1F"/>
          <w:w w:val="110"/>
          <w:sz w:val="12"/>
        </w:rPr>
        <w:t>hours; manufacturer of lomitapide advises avoid concomitant use  with</w:t>
      </w:r>
      <w:r>
        <w:rPr>
          <w:color w:val="231F1F"/>
          <w:spacing w:val="-23"/>
          <w:w w:val="110"/>
          <w:sz w:val="12"/>
        </w:rPr>
        <w:t> </w:t>
      </w:r>
      <w:r>
        <w:rPr>
          <w:rFonts w:ascii="Arial"/>
          <w:color w:val="231F1F"/>
          <w:w w:val="280"/>
          <w:position w:val="1"/>
          <w:sz w:val="7"/>
        </w:rPr>
        <w:t>l</w:t>
      </w:r>
      <w:r>
        <w:rPr>
          <w:rFonts w:ascii="Arial"/>
          <w:color w:val="231F1F"/>
          <w:spacing w:val="-45"/>
          <w:w w:val="280"/>
          <w:position w:val="1"/>
          <w:sz w:val="7"/>
        </w:rPr>
        <w:t> </w:t>
      </w:r>
      <w:r>
        <w:rPr>
          <w:rFonts w:ascii="Calibri"/>
          <w:color w:val="008356"/>
          <w:spacing w:val="4"/>
          <w:w w:val="110"/>
          <w:sz w:val="11"/>
        </w:rPr>
        <w:t>CLARITHROMYCIN</w:t>
      </w:r>
      <w:r>
        <w:rPr>
          <w:color w:val="231F1F"/>
          <w:spacing w:val="4"/>
          <w:w w:val="110"/>
          <w:sz w:val="12"/>
        </w:rPr>
        <w:t>,</w:t>
      </w:r>
      <w:r>
        <w:rPr>
          <w:color w:val="231F1F"/>
          <w:spacing w:val="-22"/>
          <w:w w:val="110"/>
          <w:sz w:val="12"/>
        </w:rPr>
        <w:t> </w:t>
      </w:r>
      <w:r>
        <w:rPr>
          <w:rFonts w:ascii="Arial"/>
          <w:color w:val="231F1F"/>
          <w:w w:val="280"/>
          <w:position w:val="1"/>
          <w:sz w:val="7"/>
        </w:rPr>
        <w:t>l</w:t>
      </w:r>
      <w:r>
        <w:rPr>
          <w:rFonts w:ascii="Arial"/>
          <w:color w:val="231F1F"/>
          <w:spacing w:val="-45"/>
          <w:w w:val="280"/>
          <w:position w:val="1"/>
          <w:sz w:val="7"/>
        </w:rPr>
        <w:t> </w:t>
      </w:r>
      <w:r>
        <w:rPr>
          <w:rFonts w:ascii="Calibri"/>
          <w:color w:val="008356"/>
          <w:spacing w:val="4"/>
          <w:w w:val="110"/>
          <w:sz w:val="11"/>
        </w:rPr>
        <w:t>ERYTHROMYCIN</w:t>
      </w:r>
      <w:r>
        <w:rPr>
          <w:rFonts w:ascii="Calibri"/>
          <w:color w:val="008356"/>
          <w:spacing w:val="-16"/>
          <w:w w:val="110"/>
          <w:sz w:val="11"/>
        </w:rPr>
        <w:t> </w:t>
      </w:r>
      <w:r>
        <w:rPr>
          <w:color w:val="231F1F"/>
          <w:w w:val="110"/>
          <w:sz w:val="12"/>
        </w:rPr>
        <w:t>and</w:t>
      </w:r>
      <w:r>
        <w:rPr>
          <w:color w:val="231F1F"/>
          <w:spacing w:val="-22"/>
          <w:w w:val="110"/>
          <w:sz w:val="12"/>
        </w:rPr>
        <w:t> </w:t>
      </w:r>
      <w:r>
        <w:rPr>
          <w:rFonts w:ascii="Arial"/>
          <w:color w:val="231F1F"/>
          <w:w w:val="280"/>
          <w:position w:val="1"/>
          <w:sz w:val="7"/>
        </w:rPr>
        <w:t>l</w:t>
      </w:r>
      <w:r>
        <w:rPr>
          <w:rFonts w:ascii="Arial"/>
          <w:color w:val="231F1F"/>
          <w:spacing w:val="-45"/>
          <w:w w:val="280"/>
          <w:position w:val="1"/>
          <w:sz w:val="7"/>
        </w:rPr>
        <w:t> </w:t>
      </w:r>
      <w:r>
        <w:rPr>
          <w:rFonts w:ascii="Calibri"/>
          <w:color w:val="008356"/>
          <w:spacing w:val="4"/>
          <w:w w:val="110"/>
          <w:sz w:val="11"/>
        </w:rPr>
        <w:t>TELITHROMYCIN</w:t>
      </w:r>
    </w:p>
    <w:p>
      <w:pPr>
        <w:pStyle w:val="BodyText"/>
        <w:spacing w:line="135" w:lineRule="exact"/>
      </w:pPr>
      <w:r>
        <w:rPr>
          <w:color w:val="231F1F"/>
          <w:w w:val="115"/>
        </w:rPr>
        <w:t>(plasma concentration of lomitapide possibly increased)</w:t>
      </w:r>
    </w:p>
    <w:p>
      <w:pPr>
        <w:pStyle w:val="BodyText"/>
        <w:spacing w:line="220" w:lineRule="auto" w:before="5"/>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lomitapide possibly enhances anticoagulant effect of </w:t>
      </w:r>
      <w:r>
        <w:rPr>
          <w:rFonts w:ascii="Calibri" w:hAnsi="Calibri"/>
          <w:color w:val="008356"/>
          <w:w w:val="105"/>
          <w:sz w:val="11"/>
        </w:rPr>
        <w:t>WARFARIN</w:t>
      </w:r>
    </w:p>
    <w:p>
      <w:pPr>
        <w:pStyle w:val="BodyText"/>
        <w:spacing w:line="232" w:lineRule="auto" w:before="3"/>
        <w:ind w:right="762" w:hanging="100"/>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lomitapide  advises separating administration from </w:t>
      </w:r>
      <w:r>
        <w:rPr>
          <w:rFonts w:ascii="Calibri" w:hAnsi="Calibri"/>
          <w:color w:val="008356"/>
          <w:spacing w:val="4"/>
          <w:w w:val="105"/>
          <w:sz w:val="11"/>
        </w:rPr>
        <w:t>FLUOXETINE </w:t>
      </w:r>
      <w:r>
        <w:rPr>
          <w:color w:val="231F1F"/>
          <w:w w:val="105"/>
        </w:rPr>
        <w:t>and </w:t>
      </w:r>
      <w:r>
        <w:rPr>
          <w:rFonts w:ascii="Calibri" w:hAnsi="Calibri"/>
          <w:color w:val="008356"/>
          <w:spacing w:val="4"/>
          <w:w w:val="105"/>
          <w:sz w:val="11"/>
        </w:rPr>
        <w:t>FLUVOXAMINE </w:t>
      </w:r>
      <w:r>
        <w:rPr>
          <w:color w:val="231F1F"/>
          <w:w w:val="105"/>
        </w:rPr>
        <w:t>by 12 hours</w:t>
      </w:r>
    </w:p>
    <w:p>
      <w:pPr>
        <w:pStyle w:val="BodyText"/>
        <w:spacing w:line="220" w:lineRule="auto" w:before="9"/>
        <w:ind w:right="670" w:hanging="100"/>
      </w:pPr>
      <w:r>
        <w:rPr>
          <w:rFonts w:ascii="Lucida Sans Unicode" w:hAnsi="Lucida Sans Unicode"/>
          <w:color w:val="A7A8AC"/>
          <w:w w:val="95"/>
          <w:sz w:val="10"/>
        </w:rPr>
        <w:t>▶ </w:t>
      </w:r>
      <w:r>
        <w:rPr>
          <w:rFonts w:ascii="Calibri" w:hAnsi="Calibri"/>
          <w:color w:val="231F1F"/>
          <w:w w:val="105"/>
        </w:rPr>
        <w:t>Antidiabetics: </w:t>
      </w:r>
      <w:r>
        <w:rPr>
          <w:color w:val="231F1F"/>
          <w:w w:val="105"/>
        </w:rPr>
        <w:t>manufacturer of lomitapide advises separating administration from </w:t>
      </w:r>
      <w:r>
        <w:rPr>
          <w:rFonts w:ascii="Calibri" w:hAnsi="Calibri"/>
          <w:color w:val="008356"/>
          <w:w w:val="105"/>
          <w:sz w:val="11"/>
        </w:rPr>
        <w:t>LINAGLIPTIN </w:t>
      </w:r>
      <w:r>
        <w:rPr>
          <w:color w:val="231F1F"/>
          <w:w w:val="105"/>
        </w:rPr>
        <w:t>by 12 hours</w:t>
      </w:r>
    </w:p>
    <w:p>
      <w:pPr>
        <w:pStyle w:val="BodyText"/>
        <w:ind w:right="733"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lomitapide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manufacturer of lomitapide advises avoid concomitant use with </w:t>
      </w:r>
      <w:r>
        <w:rPr>
          <w:rFonts w:ascii="Arial" w:hAnsi="Arial"/>
          <w:color w:val="231F1F"/>
          <w:w w:val="355"/>
          <w:position w:val="1"/>
          <w:sz w:val="7"/>
        </w:rPr>
        <w:t>l </w:t>
      </w:r>
      <w:r>
        <w:rPr>
          <w:rFonts w:ascii="Calibri" w:hAnsi="Calibri"/>
          <w:color w:val="008356"/>
          <w:w w:val="110"/>
          <w:sz w:val="11"/>
        </w:rPr>
        <w:t>TRIAZOLES </w:t>
      </w:r>
      <w:r>
        <w:rPr>
          <w:color w:val="231F1F"/>
          <w:w w:val="110"/>
        </w:rPr>
        <w:t>(plasma concentration of lomitapide possibly increased)</w:t>
      </w:r>
    </w:p>
    <w:p>
      <w:pPr>
        <w:spacing w:line="240" w:lineRule="auto" w:before="4"/>
        <w:ind w:left="208" w:right="1104"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manufacturer of lomitapide advises avoid concomitant</w:t>
      </w:r>
      <w:r>
        <w:rPr>
          <w:color w:val="231F1F"/>
          <w:spacing w:val="-15"/>
          <w:w w:val="110"/>
          <w:sz w:val="12"/>
        </w:rPr>
        <w:t> </w:t>
      </w:r>
      <w:r>
        <w:rPr>
          <w:color w:val="231F1F"/>
          <w:w w:val="110"/>
          <w:sz w:val="12"/>
        </w:rPr>
        <w:t>use</w:t>
      </w:r>
      <w:r>
        <w:rPr>
          <w:color w:val="231F1F"/>
          <w:spacing w:val="-14"/>
          <w:w w:val="110"/>
          <w:sz w:val="12"/>
        </w:rPr>
        <w:t> </w:t>
      </w:r>
      <w:r>
        <w:rPr>
          <w:color w:val="231F1F"/>
          <w:w w:val="110"/>
          <w:sz w:val="12"/>
        </w:rPr>
        <w:t>with</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0"/>
          <w:sz w:val="11"/>
        </w:rPr>
        <w:t>DARUNAVIR</w:t>
      </w:r>
      <w:r>
        <w:rPr>
          <w:color w:val="231F1F"/>
          <w:spacing w:val="3"/>
          <w:w w:val="110"/>
          <w:sz w:val="12"/>
        </w:rPr>
        <w:t>,</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INDINAVIR</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3"/>
          <w:w w:val="110"/>
          <w:sz w:val="11"/>
        </w:rPr>
        <w:t>LOPINAVIR</w:t>
      </w:r>
      <w:r>
        <w:rPr>
          <w:color w:val="231F1F"/>
          <w:spacing w:val="3"/>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3"/>
          <w:w w:val="110"/>
          <w:sz w:val="11"/>
        </w:rPr>
        <w:t>RITONAVIR</w:t>
      </w:r>
      <w:r>
        <w:rPr>
          <w:color w:val="231F1F"/>
          <w:spacing w:val="3"/>
          <w:w w:val="110"/>
          <w:sz w:val="12"/>
        </w:rPr>
        <w:t>,</w:t>
      </w:r>
      <w:r>
        <w:rPr>
          <w:color w:val="231F1F"/>
          <w:spacing w:val="-17"/>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SAQUINAVIR</w:t>
      </w:r>
      <w:r>
        <w:rPr>
          <w:color w:val="231F1F"/>
          <w:spacing w:val="4"/>
          <w:w w:val="110"/>
          <w:sz w:val="12"/>
        </w:rPr>
        <w:t>,</w:t>
      </w:r>
    </w:p>
    <w:p>
      <w:pPr>
        <w:spacing w:line="244" w:lineRule="auto" w:before="2"/>
        <w:ind w:left="207" w:right="967"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TELAPREVIR</w:t>
      </w:r>
      <w:r>
        <w:rPr>
          <w:rFonts w:ascii="Calibri"/>
          <w:color w:val="008356"/>
          <w:spacing w:val="-13"/>
          <w:w w:val="115"/>
          <w:sz w:val="11"/>
        </w:rPr>
        <w:t> </w:t>
      </w:r>
      <w:r>
        <w:rPr>
          <w:color w:val="231F1F"/>
          <w:w w:val="115"/>
          <w:sz w:val="12"/>
        </w:rPr>
        <w:t>and</w:t>
      </w:r>
      <w:r>
        <w:rPr>
          <w:color w:val="231F1F"/>
          <w:spacing w:val="-20"/>
          <w:w w:val="115"/>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TIPRANAVIR</w:t>
      </w:r>
      <w:r>
        <w:rPr>
          <w:rFonts w:ascii="Calibri"/>
          <w:color w:val="008356"/>
          <w:spacing w:val="-11"/>
          <w:w w:val="115"/>
          <w:sz w:val="11"/>
        </w:rPr>
        <w:t> </w:t>
      </w:r>
      <w:r>
        <w:rPr>
          <w:color w:val="231F1F"/>
          <w:w w:val="115"/>
          <w:sz w:val="12"/>
        </w:rPr>
        <w:t>(plasma</w:t>
      </w:r>
      <w:r>
        <w:rPr>
          <w:color w:val="231F1F"/>
          <w:spacing w:val="-21"/>
          <w:w w:val="115"/>
          <w:sz w:val="12"/>
        </w:rPr>
        <w:t> </w:t>
      </w:r>
      <w:r>
        <w:rPr>
          <w:color w:val="231F1F"/>
          <w:w w:val="115"/>
          <w:sz w:val="12"/>
        </w:rPr>
        <w:t>concentration</w:t>
      </w:r>
      <w:r>
        <w:rPr>
          <w:color w:val="231F1F"/>
          <w:spacing w:val="-21"/>
          <w:w w:val="115"/>
          <w:sz w:val="12"/>
        </w:rPr>
        <w:t> </w:t>
      </w:r>
      <w:r>
        <w:rPr>
          <w:color w:val="231F1F"/>
          <w:w w:val="115"/>
          <w:sz w:val="12"/>
        </w:rPr>
        <w:t>of lomitapide possibly</w:t>
      </w:r>
      <w:r>
        <w:rPr>
          <w:color w:val="231F1F"/>
          <w:spacing w:val="-10"/>
          <w:w w:val="115"/>
          <w:sz w:val="12"/>
        </w:rPr>
        <w:t> </w:t>
      </w:r>
      <w:r>
        <w:rPr>
          <w:color w:val="231F1F"/>
          <w:w w:val="115"/>
          <w:sz w:val="12"/>
        </w:rPr>
        <w:t>increased)</w:t>
      </w:r>
    </w:p>
    <w:p>
      <w:pPr>
        <w:pStyle w:val="BodyText"/>
        <w:spacing w:line="220" w:lineRule="auto" w:before="7"/>
        <w:ind w:right="670" w:hanging="100"/>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manufacturer of lomitapide advises separating administration from </w:t>
      </w:r>
      <w:r>
        <w:rPr>
          <w:rFonts w:ascii="Calibri" w:hAnsi="Calibri"/>
          <w:color w:val="008356"/>
          <w:w w:val="105"/>
          <w:sz w:val="11"/>
        </w:rPr>
        <w:t>ALPRAZOLAM </w:t>
      </w:r>
      <w:r>
        <w:rPr>
          <w:color w:val="231F1F"/>
          <w:w w:val="105"/>
        </w:rPr>
        <w:t>by 12 hours</w:t>
      </w:r>
    </w:p>
    <w:p>
      <w:pPr>
        <w:pStyle w:val="BodyText"/>
        <w:spacing w:line="242" w:lineRule="auto"/>
        <w:ind w:left="207" w:right="682" w:hanging="100"/>
      </w:pPr>
      <w:r>
        <w:rPr>
          <w:rFonts w:ascii="Arial"/>
          <w:color w:val="231F1F"/>
          <w:w w:val="355"/>
          <w:position w:val="1"/>
          <w:sz w:val="7"/>
        </w:rPr>
        <w:t>l </w:t>
      </w:r>
      <w:r>
        <w:rPr>
          <w:rFonts w:ascii="Calibri"/>
          <w:color w:val="231F1F"/>
          <w:w w:val="110"/>
        </w:rPr>
        <w:t>Calcium-channel Blockers: </w:t>
      </w:r>
      <w:r>
        <w:rPr>
          <w:color w:val="231F1F"/>
          <w:w w:val="110"/>
        </w:rPr>
        <w:t>manufacturer of lomitapide advises separating administration from </w:t>
      </w:r>
      <w:r>
        <w:rPr>
          <w:rFonts w:ascii="Calibri"/>
          <w:color w:val="008356"/>
          <w:w w:val="110"/>
          <w:sz w:val="11"/>
        </w:rPr>
        <w:t>AMLODIPINE </w:t>
      </w:r>
      <w:r>
        <w:rPr>
          <w:color w:val="231F1F"/>
          <w:w w:val="110"/>
        </w:rPr>
        <w:t>and </w:t>
      </w:r>
      <w:r>
        <w:rPr>
          <w:rFonts w:ascii="Calibri"/>
          <w:color w:val="008356"/>
          <w:w w:val="110"/>
          <w:sz w:val="11"/>
        </w:rPr>
        <w:t>LACIDIPINE </w:t>
      </w:r>
      <w:r>
        <w:rPr>
          <w:color w:val="231F1F"/>
          <w:w w:val="110"/>
        </w:rPr>
        <w:t>by 12 hours; manufacturer of lomitapide advises avoid concomitant use with </w:t>
      </w:r>
      <w:r>
        <w:rPr>
          <w:rFonts w:ascii="Arial"/>
          <w:color w:val="231F1F"/>
          <w:w w:val="355"/>
          <w:position w:val="1"/>
          <w:sz w:val="7"/>
        </w:rPr>
        <w:t>l </w:t>
      </w:r>
      <w:r>
        <w:rPr>
          <w:rFonts w:ascii="Calibri"/>
          <w:color w:val="008356"/>
          <w:w w:val="110"/>
          <w:sz w:val="11"/>
        </w:rPr>
        <w:t>DILTIAZEM </w:t>
      </w:r>
      <w:r>
        <w:rPr>
          <w:color w:val="231F1F"/>
          <w:w w:val="110"/>
        </w:rPr>
        <w:t>and </w:t>
      </w:r>
      <w:r>
        <w:rPr>
          <w:rFonts w:ascii="Arial"/>
          <w:color w:val="231F1F"/>
          <w:w w:val="355"/>
          <w:position w:val="1"/>
          <w:sz w:val="7"/>
        </w:rPr>
        <w:t>l </w:t>
      </w:r>
      <w:r>
        <w:rPr>
          <w:rFonts w:ascii="Calibri"/>
          <w:color w:val="008356"/>
          <w:w w:val="110"/>
          <w:sz w:val="11"/>
        </w:rPr>
        <w:t>VERAPAMIL </w:t>
      </w:r>
      <w:r>
        <w:rPr>
          <w:color w:val="231F1F"/>
          <w:w w:val="110"/>
        </w:rPr>
        <w:t>(plasma concentration of lomitapide possibly increased)</w:t>
      </w:r>
    </w:p>
    <w:p>
      <w:pPr>
        <w:pStyle w:val="BodyText"/>
        <w:spacing w:line="220" w:lineRule="auto" w:before="11"/>
        <w:ind w:right="670" w:hanging="100"/>
      </w:pPr>
      <w:r>
        <w:rPr>
          <w:rFonts w:ascii="Lucida Sans Unicode" w:hAnsi="Lucida Sans Unicode"/>
          <w:color w:val="A7A8AC"/>
          <w:w w:val="95"/>
          <w:sz w:val="10"/>
        </w:rPr>
        <w:t>▶ </w:t>
      </w:r>
      <w:r>
        <w:rPr>
          <w:rFonts w:ascii="Calibri" w:hAnsi="Calibri"/>
          <w:color w:val="231F1F"/>
          <w:w w:val="105"/>
        </w:rPr>
        <w:t>Ciclosporin: </w:t>
      </w:r>
      <w:r>
        <w:rPr>
          <w:color w:val="231F1F"/>
          <w:w w:val="105"/>
        </w:rPr>
        <w:t>manufacturer of lomitapide advises separating administration from </w:t>
      </w:r>
      <w:r>
        <w:rPr>
          <w:rFonts w:ascii="Calibri" w:hAnsi="Calibri"/>
          <w:color w:val="008356"/>
          <w:w w:val="105"/>
          <w:sz w:val="11"/>
        </w:rPr>
        <w:t>CICLOSPORIN </w:t>
      </w:r>
      <w:r>
        <w:rPr>
          <w:color w:val="231F1F"/>
          <w:w w:val="105"/>
        </w:rPr>
        <w:t>by 12 hours</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05"/>
        </w:rPr>
        <w:t>Cilostazol: </w:t>
      </w:r>
      <w:r>
        <w:rPr>
          <w:color w:val="231F1F"/>
          <w:w w:val="105"/>
        </w:rPr>
        <w:t>manufacturer of lomitapide advises separating administration from </w:t>
      </w:r>
      <w:r>
        <w:rPr>
          <w:rFonts w:ascii="Calibri" w:hAnsi="Calibri"/>
          <w:color w:val="008356"/>
          <w:w w:val="105"/>
          <w:sz w:val="11"/>
        </w:rPr>
        <w:t>CILOSTAZOL </w:t>
      </w:r>
      <w:r>
        <w:rPr>
          <w:color w:val="231F1F"/>
          <w:w w:val="105"/>
        </w:rPr>
        <w:t>by 12 hours</w:t>
      </w:r>
    </w:p>
    <w:p>
      <w:pPr>
        <w:spacing w:line="230" w:lineRule="auto" w:before="5"/>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manufacturer of lomitapide advises separating administration from </w:t>
      </w:r>
      <w:r>
        <w:rPr>
          <w:rFonts w:ascii="Calibri" w:hAnsi="Calibri"/>
          <w:color w:val="008356"/>
          <w:w w:val="105"/>
          <w:sz w:val="11"/>
        </w:rPr>
        <w:t>LAPATINIB</w:t>
      </w:r>
      <w:r>
        <w:rPr>
          <w:color w:val="231F1F"/>
          <w:w w:val="105"/>
          <w:sz w:val="12"/>
        </w:rPr>
        <w:t>, </w:t>
      </w:r>
      <w:r>
        <w:rPr>
          <w:rFonts w:ascii="Calibri" w:hAnsi="Calibri"/>
          <w:color w:val="008356"/>
          <w:w w:val="105"/>
          <w:sz w:val="11"/>
        </w:rPr>
        <w:t>NILOTINIB </w:t>
      </w:r>
      <w:r>
        <w:rPr>
          <w:color w:val="231F1F"/>
          <w:w w:val="105"/>
          <w:sz w:val="12"/>
        </w:rPr>
        <w:t>and </w:t>
      </w:r>
      <w:r>
        <w:rPr>
          <w:rFonts w:ascii="Calibri" w:hAnsi="Calibri"/>
          <w:color w:val="008356"/>
          <w:w w:val="105"/>
          <w:sz w:val="11"/>
        </w:rPr>
        <w:t>PAZOPANIB </w:t>
      </w:r>
      <w:r>
        <w:rPr>
          <w:color w:val="231F1F"/>
          <w:w w:val="105"/>
          <w:sz w:val="12"/>
        </w:rPr>
        <w:t>by 12 hours</w:t>
      </w:r>
    </w:p>
    <w:p>
      <w:pPr>
        <w:pStyle w:val="BodyText"/>
        <w:spacing w:line="220" w:lineRule="auto" w:before="11"/>
        <w:ind w:right="670" w:hanging="100"/>
      </w:pPr>
      <w:r>
        <w:rPr>
          <w:rFonts w:ascii="Lucida Sans Unicode" w:hAnsi="Lucida Sans Unicode"/>
          <w:color w:val="A7A8AC"/>
          <w:w w:val="95"/>
          <w:sz w:val="10"/>
        </w:rPr>
        <w:t>▶ </w:t>
      </w:r>
      <w:r>
        <w:rPr>
          <w:rFonts w:ascii="Calibri" w:hAnsi="Calibri"/>
          <w:color w:val="231F1F"/>
          <w:w w:val="105"/>
        </w:rPr>
        <w:t>Fosaprepitant: </w:t>
      </w:r>
      <w:r>
        <w:rPr>
          <w:color w:val="231F1F"/>
          <w:w w:val="105"/>
        </w:rPr>
        <w:t>manufacturer of lomitapide advises separating administration from </w:t>
      </w:r>
      <w:r>
        <w:rPr>
          <w:rFonts w:ascii="Calibri" w:hAnsi="Calibri"/>
          <w:color w:val="008356"/>
          <w:w w:val="105"/>
          <w:sz w:val="11"/>
        </w:rPr>
        <w:t>FOSAPREPITANT </w:t>
      </w:r>
      <w:r>
        <w:rPr>
          <w:color w:val="231F1F"/>
          <w:w w:val="105"/>
        </w:rPr>
        <w:t>by 12 hours</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lomitapide advises avoid concomitant use with </w:t>
      </w:r>
      <w:r>
        <w:rPr>
          <w:rFonts w:ascii="Calibri" w:hAnsi="Calibri"/>
          <w:color w:val="008356"/>
          <w:w w:val="105"/>
          <w:sz w:val="11"/>
        </w:rPr>
        <w:t>GRAPEFRUIT JUICE</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05"/>
        </w:rPr>
        <w:t>Hormone Antagonists: </w:t>
      </w:r>
      <w:r>
        <w:rPr>
          <w:color w:val="231F1F"/>
          <w:w w:val="105"/>
        </w:rPr>
        <w:t>manufacturer of lomitapide advises separating administration from </w:t>
      </w:r>
      <w:r>
        <w:rPr>
          <w:rFonts w:ascii="Calibri" w:hAnsi="Calibri"/>
          <w:color w:val="008356"/>
          <w:w w:val="105"/>
          <w:sz w:val="11"/>
        </w:rPr>
        <w:t>BICALUTAMIDE </w:t>
      </w:r>
      <w:r>
        <w:rPr>
          <w:color w:val="231F1F"/>
          <w:w w:val="105"/>
        </w:rPr>
        <w:t>by 12 hours</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05"/>
        </w:rPr>
        <w:t>Ivacaftor: </w:t>
      </w:r>
      <w:r>
        <w:rPr>
          <w:color w:val="231F1F"/>
          <w:w w:val="105"/>
        </w:rPr>
        <w:t>manufacturer of lomitapide advises separating administration from </w:t>
      </w:r>
      <w:r>
        <w:rPr>
          <w:rFonts w:ascii="Calibri" w:hAnsi="Calibri"/>
          <w:color w:val="008356"/>
          <w:w w:val="105"/>
          <w:sz w:val="11"/>
        </w:rPr>
        <w:t>IVACAFTOR </w:t>
      </w:r>
      <w:r>
        <w:rPr>
          <w:color w:val="231F1F"/>
          <w:w w:val="105"/>
        </w:rPr>
        <w:t>by 12 hours</w:t>
      </w:r>
    </w:p>
    <w:p>
      <w:pPr>
        <w:pStyle w:val="BodyText"/>
        <w:spacing w:line="244" w:lineRule="auto"/>
        <w:ind w:right="670" w:hanging="100"/>
      </w:pPr>
      <w:r>
        <w:rPr>
          <w:rFonts w:ascii="Arial" w:hAnsi="Arial"/>
          <w:color w:val="231F1F"/>
          <w:w w:val="355"/>
          <w:position w:val="1"/>
          <w:sz w:val="7"/>
        </w:rPr>
        <w:t>l </w:t>
      </w:r>
      <w:r>
        <w:rPr>
          <w:rFonts w:ascii="Calibri" w:hAnsi="Calibri"/>
          <w:color w:val="231F1F"/>
          <w:w w:val="115"/>
        </w:rPr>
        <w:t>Lipid-regulating Drugs: </w:t>
      </w:r>
      <w:r>
        <w:rPr>
          <w:color w:val="231F1F"/>
          <w:w w:val="115"/>
        </w:rPr>
        <w:t>lomitapide increases plasma </w:t>
      </w:r>
      <w:r>
        <w:rPr>
          <w:color w:val="231F1F"/>
          <w:w w:val="110"/>
        </w:rPr>
        <w:t>concentration of </w:t>
      </w:r>
      <w:r>
        <w:rPr>
          <w:rFonts w:ascii="Calibri" w:hAnsi="Calibri"/>
          <w:color w:val="008356"/>
          <w:w w:val="110"/>
          <w:sz w:val="11"/>
        </w:rPr>
        <w:t>ATORVASTATIN</w:t>
      </w:r>
      <w:r>
        <w:rPr>
          <w:rFonts w:ascii="Arial" w:hAnsi="Arial"/>
          <w:color w:val="231F1F"/>
          <w:w w:val="110"/>
        </w:rPr>
        <w:t>—</w:t>
      </w:r>
      <w:r>
        <w:rPr>
          <w:color w:val="231F1F"/>
          <w:w w:val="110"/>
        </w:rPr>
        <w:t>manufacturer of lomitapide </w:t>
      </w:r>
      <w:r>
        <w:rPr>
          <w:color w:val="231F1F"/>
          <w:w w:val="115"/>
        </w:rPr>
        <w:t>advises reduce dose of atorvastatin by half or separate administration by 12 hours; lomitapide increases plasma concentration of </w:t>
      </w:r>
      <w:r>
        <w:rPr>
          <w:rFonts w:ascii="Arial" w:hAnsi="Arial"/>
          <w:color w:val="231F1F"/>
          <w:w w:val="355"/>
          <w:position w:val="1"/>
          <w:sz w:val="7"/>
        </w:rPr>
        <w:t>l </w:t>
      </w:r>
      <w:r>
        <w:rPr>
          <w:rFonts w:ascii="Calibri" w:hAnsi="Calibri"/>
          <w:color w:val="008356"/>
          <w:w w:val="115"/>
          <w:sz w:val="11"/>
        </w:rPr>
        <w:t>SIMVASTATIN </w:t>
      </w:r>
      <w:r>
        <w:rPr>
          <w:color w:val="231F1F"/>
          <w:w w:val="115"/>
        </w:rPr>
        <w:t>(see under Simvastatin,</w:t>
      </w:r>
    </w:p>
    <w:p>
      <w:pPr>
        <w:spacing w:line="244" w:lineRule="auto" w:before="0"/>
        <w:ind w:left="208" w:right="762" w:hanging="1"/>
        <w:jc w:val="left"/>
        <w:rPr>
          <w:sz w:val="12"/>
        </w:rPr>
      </w:pPr>
      <w:r>
        <w:rPr>
          <w:color w:val="231F1F"/>
          <w:w w:val="110"/>
          <w:sz w:val="12"/>
        </w:rPr>
        <w:t>p. 181); absorption of lomitapide possibly reduced by </w:t>
      </w:r>
      <w:r>
        <w:rPr>
          <w:rFonts w:ascii="Calibri"/>
          <w:color w:val="008356"/>
          <w:w w:val="110"/>
          <w:sz w:val="11"/>
        </w:rPr>
        <w:t>BILE ACID SEQUESTRANTS </w:t>
      </w:r>
      <w:r>
        <w:rPr>
          <w:color w:val="231F1F"/>
          <w:w w:val="110"/>
          <w:sz w:val="12"/>
        </w:rPr>
        <w:t>(give at least 4 hours apart)</w:t>
      </w:r>
    </w:p>
    <w:p>
      <w:pPr>
        <w:pStyle w:val="BodyText"/>
        <w:spacing w:line="220" w:lineRule="auto" w:before="2"/>
        <w:ind w:right="670" w:hanging="100"/>
      </w:pPr>
      <w:r>
        <w:rPr>
          <w:rFonts w:ascii="Lucida Sans Unicode" w:hAnsi="Lucida Sans Unicode"/>
          <w:color w:val="A7A8AC"/>
          <w:w w:val="95"/>
          <w:sz w:val="10"/>
        </w:rPr>
        <w:t>▶ </w:t>
      </w:r>
      <w:r>
        <w:rPr>
          <w:rFonts w:ascii="Calibri" w:hAnsi="Calibri"/>
          <w:color w:val="231F1F"/>
          <w:w w:val="105"/>
        </w:rPr>
        <w:t>Oestrogens: </w:t>
      </w:r>
      <w:r>
        <w:rPr>
          <w:color w:val="231F1F"/>
          <w:w w:val="105"/>
        </w:rPr>
        <w:t>manufacturer of lomitapide advises separating administration from </w:t>
      </w:r>
      <w:r>
        <w:rPr>
          <w:rFonts w:ascii="Calibri" w:hAnsi="Calibri"/>
          <w:color w:val="008356"/>
          <w:spacing w:val="4"/>
          <w:w w:val="105"/>
          <w:sz w:val="11"/>
        </w:rPr>
        <w:t>OESTROGENS </w:t>
      </w:r>
      <w:r>
        <w:rPr>
          <w:color w:val="231F1F"/>
          <w:w w:val="105"/>
        </w:rPr>
        <w:t>by 12</w:t>
      </w:r>
      <w:r>
        <w:rPr>
          <w:color w:val="231F1F"/>
          <w:spacing w:val="-6"/>
          <w:w w:val="105"/>
        </w:rPr>
        <w:t> </w:t>
      </w:r>
      <w:r>
        <w:rPr>
          <w:color w:val="231F1F"/>
          <w:w w:val="105"/>
        </w:rPr>
        <w:t>hours</w:t>
      </w:r>
    </w:p>
    <w:p>
      <w:pPr>
        <w:pStyle w:val="BodyText"/>
        <w:spacing w:line="220" w:lineRule="auto" w:before="9"/>
        <w:ind w:right="670" w:hanging="100"/>
      </w:pPr>
      <w:r>
        <w:rPr>
          <w:rFonts w:ascii="Lucida Sans Unicode" w:hAnsi="Lucida Sans Unicode"/>
          <w:color w:val="A7A8AC"/>
          <w:w w:val="95"/>
          <w:sz w:val="10"/>
        </w:rPr>
        <w:t>▶ </w:t>
      </w:r>
      <w:r>
        <w:rPr>
          <w:rFonts w:ascii="Calibri" w:hAnsi="Calibri"/>
          <w:color w:val="231F1F"/>
          <w:w w:val="105"/>
        </w:rPr>
        <w:t>Ranolazine: </w:t>
      </w:r>
      <w:r>
        <w:rPr>
          <w:color w:val="231F1F"/>
          <w:w w:val="105"/>
        </w:rPr>
        <w:t>manufacturer of lomitapide advises separating administration from </w:t>
      </w:r>
      <w:r>
        <w:rPr>
          <w:rFonts w:ascii="Calibri" w:hAnsi="Calibri"/>
          <w:color w:val="008356"/>
          <w:spacing w:val="4"/>
          <w:w w:val="105"/>
          <w:sz w:val="11"/>
        </w:rPr>
        <w:t>RANOLAZINE </w:t>
      </w:r>
      <w:r>
        <w:rPr>
          <w:color w:val="231F1F"/>
          <w:w w:val="105"/>
        </w:rPr>
        <w:t>by 12</w:t>
      </w:r>
      <w:r>
        <w:rPr>
          <w:color w:val="231F1F"/>
          <w:spacing w:val="-4"/>
          <w:w w:val="105"/>
        </w:rPr>
        <w:t> </w:t>
      </w:r>
      <w:r>
        <w:rPr>
          <w:color w:val="231F1F"/>
          <w:w w:val="105"/>
        </w:rPr>
        <w:t>hours</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05"/>
        </w:rPr>
        <w:t>Tacrolimus: </w:t>
      </w:r>
      <w:r>
        <w:rPr>
          <w:color w:val="231F1F"/>
          <w:w w:val="105"/>
        </w:rPr>
        <w:t>manufacturer of lomitapide advises separating administration from </w:t>
      </w:r>
      <w:r>
        <w:rPr>
          <w:rFonts w:ascii="Calibri" w:hAnsi="Calibri"/>
          <w:color w:val="008356"/>
          <w:spacing w:val="3"/>
          <w:w w:val="105"/>
          <w:sz w:val="11"/>
        </w:rPr>
        <w:t>TACROLIMUS </w:t>
      </w:r>
      <w:r>
        <w:rPr>
          <w:color w:val="231F1F"/>
          <w:w w:val="105"/>
        </w:rPr>
        <w:t>by 12</w:t>
      </w:r>
      <w:r>
        <w:rPr>
          <w:color w:val="231F1F"/>
          <w:spacing w:val="-4"/>
          <w:w w:val="105"/>
        </w:rPr>
        <w:t> </w:t>
      </w:r>
      <w:r>
        <w:rPr>
          <w:color w:val="231F1F"/>
          <w:w w:val="105"/>
        </w:rPr>
        <w:t>hours</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05"/>
        </w:rPr>
        <w:t>Ticagrelor: </w:t>
      </w:r>
      <w:r>
        <w:rPr>
          <w:color w:val="231F1F"/>
          <w:w w:val="105"/>
        </w:rPr>
        <w:t>manufacturer of lomitapide advises separating administration from </w:t>
      </w:r>
      <w:r>
        <w:rPr>
          <w:rFonts w:ascii="Calibri" w:hAnsi="Calibri"/>
          <w:color w:val="008356"/>
          <w:spacing w:val="4"/>
          <w:w w:val="105"/>
          <w:sz w:val="11"/>
        </w:rPr>
        <w:t>TICAGRELOR </w:t>
      </w:r>
      <w:r>
        <w:rPr>
          <w:color w:val="231F1F"/>
          <w:w w:val="105"/>
        </w:rPr>
        <w:t>by 12</w:t>
      </w:r>
      <w:r>
        <w:rPr>
          <w:color w:val="231F1F"/>
          <w:spacing w:val="-4"/>
          <w:w w:val="105"/>
        </w:rPr>
        <w:t> </w:t>
      </w:r>
      <w:r>
        <w:rPr>
          <w:color w:val="231F1F"/>
          <w:w w:val="105"/>
        </w:rPr>
        <w:t>hours</w:t>
      </w:r>
    </w:p>
    <w:p>
      <w:pPr>
        <w:spacing w:after="0" w:line="220" w:lineRule="auto"/>
        <w:sectPr>
          <w:pgSz w:w="8390" w:h="11910"/>
          <w:pgMar w:header="0" w:footer="0" w:top="460" w:bottom="0" w:left="480" w:right="0"/>
          <w:cols w:num="2" w:equalWidth="0">
            <w:col w:w="3601" w:space="75"/>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4624" filled="true" fillcolor="#bfdbcf" stroked="false">
            <v:fill type="solid"/>
            <w10:wrap type="none"/>
          </v:rect>
        </w:pict>
      </w:r>
      <w:r>
        <w:rPr/>
        <w:pict>
          <v:shape style="position:absolute;margin-left:7.751256pt;margin-top:35.804367pt;width:10.4pt;height:78.850pt;mso-position-horizontal-relative:page;mso-position-vertical-relative:page;z-index:464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Lomitapide </w:t>
      </w:r>
      <w:r>
        <w:rPr>
          <w:rFonts w:ascii="Calibri"/>
          <w:color w:val="231F1F"/>
        </w:rPr>
        <w:t>(continued)</w:t>
      </w:r>
    </w:p>
    <w:p>
      <w:pPr>
        <w:pStyle w:val="BodyText"/>
        <w:spacing w:line="220" w:lineRule="auto" w:before="6"/>
        <w:ind w:left="286" w:hanging="100"/>
      </w:pPr>
      <w:r>
        <w:rPr>
          <w:rFonts w:ascii="Lucida Sans Unicode" w:hAnsi="Lucida Sans Unicode"/>
          <w:color w:val="A7A8AC"/>
          <w:w w:val="95"/>
          <w:sz w:val="10"/>
        </w:rPr>
        <w:t>▶ </w:t>
      </w:r>
      <w:r>
        <w:rPr>
          <w:rFonts w:ascii="Calibri" w:hAnsi="Calibri"/>
          <w:color w:val="231F1F"/>
          <w:w w:val="105"/>
        </w:rPr>
        <w:t>Tolvaptan: </w:t>
      </w:r>
      <w:r>
        <w:rPr>
          <w:color w:val="231F1F"/>
          <w:w w:val="105"/>
        </w:rPr>
        <w:t>manufacturer of lomitapide advises separating administration from </w:t>
      </w:r>
      <w:r>
        <w:rPr>
          <w:rFonts w:ascii="Calibri" w:hAnsi="Calibri"/>
          <w:color w:val="008356"/>
          <w:w w:val="105"/>
          <w:sz w:val="11"/>
        </w:rPr>
        <w:t>TOLVAPTAN </w:t>
      </w:r>
      <w:r>
        <w:rPr>
          <w:color w:val="231F1F"/>
          <w:w w:val="105"/>
        </w:rPr>
        <w:t>by 12 hours</w:t>
      </w:r>
    </w:p>
    <w:p>
      <w:pPr>
        <w:pStyle w:val="BodyText"/>
        <w:spacing w:line="230" w:lineRule="auto" w:before="4"/>
        <w:ind w:left="286" w:right="76"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manufacturer of lomitapide advises separating administration from </w:t>
      </w:r>
      <w:r>
        <w:rPr>
          <w:rFonts w:ascii="Calibri" w:hAnsi="Calibri"/>
          <w:color w:val="008356"/>
          <w:spacing w:val="4"/>
          <w:w w:val="105"/>
          <w:sz w:val="11"/>
        </w:rPr>
        <w:t>CIMETIDINE </w:t>
      </w:r>
      <w:r>
        <w:rPr>
          <w:color w:val="231F1F"/>
          <w:w w:val="105"/>
        </w:rPr>
        <w:t>and </w:t>
      </w:r>
      <w:r>
        <w:rPr>
          <w:rFonts w:ascii="Calibri" w:hAnsi="Calibri"/>
          <w:color w:val="008356"/>
          <w:spacing w:val="4"/>
          <w:w w:val="105"/>
          <w:sz w:val="11"/>
        </w:rPr>
        <w:t>RANITIDINE </w:t>
      </w:r>
      <w:r>
        <w:rPr>
          <w:color w:val="231F1F"/>
          <w:w w:val="105"/>
        </w:rPr>
        <w:t>by 12 hours</w:t>
      </w:r>
    </w:p>
    <w:p>
      <w:pPr>
        <w:pStyle w:val="BodyText"/>
        <w:spacing w:before="13"/>
        <w:ind w:left="186"/>
        <w:rPr>
          <w:rFonts w:ascii="Trebuchet MS"/>
        </w:rPr>
      </w:pPr>
      <w:r>
        <w:rPr>
          <w:rFonts w:ascii="Trebuchet MS"/>
          <w:color w:val="008356"/>
        </w:rPr>
        <w:t>Lomustine</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myelosuppressive effects of lomustine possibly enhanced by </w:t>
      </w:r>
      <w:r>
        <w:rPr>
          <w:rFonts w:ascii="Calibri" w:hAnsi="Calibri"/>
          <w:color w:val="008356"/>
          <w:w w:val="105"/>
          <w:sz w:val="11"/>
        </w:rPr>
        <w:t>CIMETIDINE</w:t>
      </w:r>
    </w:p>
    <w:p>
      <w:pPr>
        <w:pStyle w:val="BodyText"/>
        <w:spacing w:line="139" w:lineRule="exact" w:before="10"/>
        <w:ind w:left="186"/>
        <w:rPr>
          <w:rFonts w:ascii="Trebuchet MS"/>
        </w:rPr>
      </w:pPr>
      <w:r>
        <w:rPr>
          <w:rFonts w:ascii="Trebuchet MS"/>
          <w:color w:val="008356"/>
        </w:rPr>
        <w:t>Loperamide</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Desmopressin: </w:t>
      </w:r>
      <w:r>
        <w:rPr>
          <w:color w:val="231F1F"/>
          <w:w w:val="105"/>
        </w:rPr>
        <w:t>loperamide increases plasma concentration of</w:t>
      </w:r>
    </w:p>
    <w:p>
      <w:pPr>
        <w:spacing w:line="136" w:lineRule="exact" w:before="0"/>
        <w:ind w:left="286" w:right="0" w:firstLine="0"/>
        <w:jc w:val="left"/>
        <w:rPr>
          <w:rFonts w:ascii="Calibri"/>
          <w:sz w:val="11"/>
        </w:rPr>
      </w:pPr>
      <w:r>
        <w:rPr>
          <w:i/>
          <w:color w:val="231F1F"/>
          <w:sz w:val="12"/>
        </w:rPr>
        <w:t>oral </w:t>
      </w:r>
      <w:r>
        <w:rPr>
          <w:rFonts w:ascii="Calibri"/>
          <w:color w:val="008356"/>
          <w:sz w:val="11"/>
        </w:rPr>
        <w:t>DESMOPRESSIN</w:t>
      </w:r>
    </w:p>
    <w:p>
      <w:pPr>
        <w:pStyle w:val="BodyText"/>
        <w:spacing w:before="7"/>
        <w:ind w:left="186"/>
        <w:rPr>
          <w:rFonts w:ascii="Trebuchet MS"/>
        </w:rPr>
      </w:pPr>
      <w:r>
        <w:rPr>
          <w:rFonts w:ascii="Trebuchet MS"/>
          <w:color w:val="008356"/>
          <w:w w:val="105"/>
        </w:rPr>
        <w:t>Lopinavir</w:t>
      </w:r>
    </w:p>
    <w:p>
      <w:pPr>
        <w:pStyle w:val="BodyText"/>
        <w:spacing w:line="242" w:lineRule="auto" w:before="4"/>
        <w:ind w:left="286" w:hanging="1"/>
      </w:pPr>
      <w:r>
        <w:rPr>
          <w:rFonts w:ascii="Calibri" w:hAnsi="Calibri"/>
          <w:color w:val="008356"/>
          <w:spacing w:val="3"/>
          <w:w w:val="115"/>
          <w:sz w:val="11"/>
        </w:rPr>
        <w:t>NOTE</w:t>
      </w:r>
      <w:r>
        <w:rPr>
          <w:rFonts w:ascii="Calibri" w:hAnsi="Calibri"/>
          <w:color w:val="008356"/>
          <w:spacing w:val="-4"/>
          <w:w w:val="115"/>
          <w:sz w:val="11"/>
        </w:rPr>
        <w:t> </w:t>
      </w:r>
      <w:r>
        <w:rPr>
          <w:color w:val="231F1F"/>
          <w:w w:val="115"/>
        </w:rPr>
        <w:t>In</w:t>
      </w:r>
      <w:r>
        <w:rPr>
          <w:color w:val="231F1F"/>
          <w:spacing w:val="-12"/>
          <w:w w:val="115"/>
        </w:rPr>
        <w:t> </w:t>
      </w:r>
      <w:r>
        <w:rPr>
          <w:color w:val="231F1F"/>
          <w:w w:val="115"/>
        </w:rPr>
        <w:t>combination</w:t>
      </w:r>
      <w:r>
        <w:rPr>
          <w:color w:val="231F1F"/>
          <w:spacing w:val="-12"/>
          <w:w w:val="115"/>
        </w:rPr>
        <w:t> </w:t>
      </w:r>
      <w:r>
        <w:rPr>
          <w:color w:val="231F1F"/>
          <w:w w:val="115"/>
        </w:rPr>
        <w:t>with</w:t>
      </w:r>
      <w:r>
        <w:rPr>
          <w:color w:val="231F1F"/>
          <w:spacing w:val="-11"/>
          <w:w w:val="115"/>
        </w:rPr>
        <w:t> </w:t>
      </w:r>
      <w:r>
        <w:rPr>
          <w:color w:val="231F1F"/>
          <w:w w:val="115"/>
        </w:rPr>
        <w:t>ritonavir</w:t>
      </w:r>
      <w:r>
        <w:rPr>
          <w:color w:val="231F1F"/>
          <w:spacing w:val="-12"/>
          <w:w w:val="115"/>
        </w:rPr>
        <w:t> </w:t>
      </w:r>
      <w:r>
        <w:rPr>
          <w:color w:val="231F1F"/>
          <w:w w:val="115"/>
        </w:rPr>
        <w:t>as</w:t>
      </w:r>
      <w:r>
        <w:rPr>
          <w:color w:val="231F1F"/>
          <w:spacing w:val="-11"/>
          <w:w w:val="115"/>
        </w:rPr>
        <w:t> </w:t>
      </w:r>
      <w:r>
        <w:rPr>
          <w:i/>
          <w:color w:val="231F1F"/>
          <w:w w:val="115"/>
        </w:rPr>
        <w:t>Kaletra</w:t>
      </w:r>
      <w:r>
        <w:rPr>
          <w:i/>
          <w:color w:val="231F1F"/>
          <w:spacing w:val="-21"/>
          <w:w w:val="115"/>
        </w:rPr>
        <w:t> </w:t>
      </w:r>
      <w:r>
        <w:rPr>
          <w:rFonts w:ascii="Arial" w:hAnsi="Arial"/>
          <w:color w:val="231F1F"/>
          <w:w w:val="115"/>
          <w:vertAlign w:val="superscript"/>
        </w:rPr>
        <w:t>®</w:t>
      </w:r>
      <w:r>
        <w:rPr>
          <w:rFonts w:ascii="Arial" w:hAnsi="Arial"/>
          <w:color w:val="231F1F"/>
          <w:spacing w:val="-15"/>
          <w:w w:val="115"/>
          <w:vertAlign w:val="baseline"/>
        </w:rPr>
        <w:t> </w:t>
      </w:r>
      <w:r>
        <w:rPr>
          <w:color w:val="231F1F"/>
          <w:w w:val="115"/>
          <w:vertAlign w:val="baseline"/>
        </w:rPr>
        <w:t>(ritonavir</w:t>
      </w:r>
      <w:r>
        <w:rPr>
          <w:color w:val="231F1F"/>
          <w:spacing w:val="-12"/>
          <w:w w:val="115"/>
          <w:vertAlign w:val="baseline"/>
        </w:rPr>
        <w:t> </w:t>
      </w:r>
      <w:r>
        <w:rPr>
          <w:color w:val="231F1F"/>
          <w:w w:val="115"/>
          <w:vertAlign w:val="baseline"/>
        </w:rPr>
        <w:t>is present</w:t>
      </w:r>
      <w:r>
        <w:rPr>
          <w:color w:val="231F1F"/>
          <w:spacing w:val="-5"/>
          <w:w w:val="115"/>
          <w:vertAlign w:val="baseline"/>
        </w:rPr>
        <w:t> </w:t>
      </w:r>
      <w:r>
        <w:rPr>
          <w:color w:val="231F1F"/>
          <w:w w:val="115"/>
          <w:vertAlign w:val="baseline"/>
        </w:rPr>
        <w:t>to</w:t>
      </w:r>
      <w:r>
        <w:rPr>
          <w:color w:val="231F1F"/>
          <w:spacing w:val="-4"/>
          <w:w w:val="115"/>
          <w:vertAlign w:val="baseline"/>
        </w:rPr>
        <w:t> </w:t>
      </w:r>
      <w:r>
        <w:rPr>
          <w:color w:val="231F1F"/>
          <w:w w:val="115"/>
          <w:vertAlign w:val="baseline"/>
        </w:rPr>
        <w:t>inhibit</w:t>
      </w:r>
      <w:r>
        <w:rPr>
          <w:color w:val="231F1F"/>
          <w:spacing w:val="-4"/>
          <w:w w:val="115"/>
          <w:vertAlign w:val="baseline"/>
        </w:rPr>
        <w:t> </w:t>
      </w:r>
      <w:r>
        <w:rPr>
          <w:color w:val="231F1F"/>
          <w:w w:val="115"/>
          <w:vertAlign w:val="baseline"/>
        </w:rPr>
        <w:t>lopinavir</w:t>
      </w:r>
      <w:r>
        <w:rPr>
          <w:color w:val="231F1F"/>
          <w:spacing w:val="-3"/>
          <w:w w:val="115"/>
          <w:vertAlign w:val="baseline"/>
        </w:rPr>
        <w:t> </w:t>
      </w:r>
      <w:r>
        <w:rPr>
          <w:color w:val="231F1F"/>
          <w:w w:val="115"/>
          <w:vertAlign w:val="baseline"/>
        </w:rPr>
        <w:t>metabolism</w:t>
      </w:r>
      <w:r>
        <w:rPr>
          <w:color w:val="231F1F"/>
          <w:spacing w:val="-4"/>
          <w:w w:val="115"/>
          <w:vertAlign w:val="baseline"/>
        </w:rPr>
        <w:t> </w:t>
      </w:r>
      <w:r>
        <w:rPr>
          <w:color w:val="231F1F"/>
          <w:w w:val="115"/>
          <w:vertAlign w:val="baseline"/>
        </w:rPr>
        <w:t>and</w:t>
      </w:r>
      <w:r>
        <w:rPr>
          <w:color w:val="231F1F"/>
          <w:spacing w:val="-4"/>
          <w:w w:val="115"/>
          <w:vertAlign w:val="baseline"/>
        </w:rPr>
        <w:t> </w:t>
      </w:r>
      <w:r>
        <w:rPr>
          <w:color w:val="231F1F"/>
          <w:w w:val="115"/>
          <w:vertAlign w:val="baseline"/>
        </w:rPr>
        <w:t>increase</w:t>
      </w:r>
      <w:r>
        <w:rPr>
          <w:color w:val="231F1F"/>
          <w:spacing w:val="-4"/>
          <w:w w:val="115"/>
          <w:vertAlign w:val="baseline"/>
        </w:rPr>
        <w:t> </w:t>
      </w:r>
      <w:r>
        <w:rPr>
          <w:color w:val="231F1F"/>
          <w:w w:val="115"/>
          <w:vertAlign w:val="baseline"/>
        </w:rPr>
        <w:t>plasma- lopinavir concentration)</w:t>
      </w:r>
      <w:r>
        <w:rPr>
          <w:rFonts w:ascii="Arial" w:hAnsi="Arial"/>
          <w:color w:val="231F1F"/>
          <w:w w:val="115"/>
          <w:vertAlign w:val="baseline"/>
        </w:rPr>
        <w:t>—</w:t>
      </w:r>
      <w:r>
        <w:rPr>
          <w:color w:val="231F1F"/>
          <w:w w:val="115"/>
          <w:vertAlign w:val="baseline"/>
        </w:rPr>
        <w:t>see also</w:t>
      </w:r>
      <w:r>
        <w:rPr>
          <w:color w:val="231F1F"/>
          <w:spacing w:val="-16"/>
          <w:w w:val="115"/>
          <w:vertAlign w:val="baseline"/>
        </w:rPr>
        <w:t> </w:t>
      </w:r>
      <w:r>
        <w:rPr>
          <w:color w:val="231F1F"/>
          <w:w w:val="115"/>
          <w:vertAlign w:val="baseline"/>
        </w:rPr>
        <w:t>Ritonavir</w:t>
      </w:r>
    </w:p>
    <w:p>
      <w:pPr>
        <w:pStyle w:val="BodyText"/>
        <w:spacing w:line="242" w:lineRule="auto"/>
        <w:ind w:left="286" w:right="150" w:hanging="100"/>
        <w:rPr>
          <w:rFonts w:ascii="Calibri" w:hAnsi="Calibri"/>
          <w:sz w:val="11"/>
        </w:rPr>
      </w:pPr>
      <w:r>
        <w:rPr>
          <w:rFonts w:ascii="Arial" w:hAnsi="Arial"/>
          <w:color w:val="231F1F"/>
          <w:w w:val="355"/>
          <w:position w:val="1"/>
          <w:sz w:val="7"/>
        </w:rPr>
        <w:t>l </w:t>
      </w:r>
      <w:r>
        <w:rPr>
          <w:rFonts w:ascii="Calibri" w:hAnsi="Calibri"/>
          <w:color w:val="231F1F"/>
          <w:w w:val="110"/>
        </w:rPr>
        <w:t>Anti-arrhythmics: </w:t>
      </w:r>
      <w:r>
        <w:rPr>
          <w:color w:val="231F1F"/>
          <w:w w:val="110"/>
        </w:rPr>
        <w:t>lopinavir possibly increases plasma concentration of </w:t>
      </w:r>
      <w:r>
        <w:rPr>
          <w:rFonts w:ascii="Arial" w:hAnsi="Arial"/>
          <w:color w:val="231F1F"/>
          <w:w w:val="355"/>
          <w:position w:val="1"/>
          <w:sz w:val="7"/>
        </w:rPr>
        <w:t>l </w:t>
      </w:r>
      <w:r>
        <w:rPr>
          <w:rFonts w:ascii="Calibri" w:hAnsi="Calibri"/>
          <w:color w:val="008356"/>
          <w:spacing w:val="4"/>
          <w:w w:val="110"/>
          <w:sz w:val="11"/>
        </w:rPr>
        <w:t>FLECAINIDE </w:t>
      </w:r>
      <w:r>
        <w:rPr>
          <w:color w:val="231F1F"/>
          <w:w w:val="110"/>
        </w:rPr>
        <w:t>(increased risk of ventricular arrhythmias</w:t>
      </w:r>
      <w:r>
        <w:rPr>
          <w:rFonts w:ascii="Arial" w:hAnsi="Arial"/>
          <w:color w:val="231F1F"/>
          <w:w w:val="110"/>
        </w:rPr>
        <w:t>—</w:t>
      </w:r>
      <w:r>
        <w:rPr>
          <w:color w:val="231F1F"/>
          <w:w w:val="110"/>
        </w:rPr>
        <w:t>avoid concomitant use); lopinavir possibly increases plasma concentration of</w:t>
      </w:r>
      <w:r>
        <w:rPr>
          <w:color w:val="231F1F"/>
          <w:spacing w:val="-7"/>
          <w:w w:val="110"/>
        </w:rPr>
        <w:t> </w:t>
      </w:r>
      <w:r>
        <w:rPr>
          <w:rFonts w:ascii="Calibri" w:hAnsi="Calibri"/>
          <w:color w:val="008356"/>
          <w:spacing w:val="5"/>
          <w:w w:val="110"/>
          <w:sz w:val="11"/>
        </w:rPr>
        <w:t>LIDOCAINE</w:t>
      </w:r>
    </w:p>
    <w:p>
      <w:pPr>
        <w:pStyle w:val="BodyText"/>
        <w:spacing w:line="242" w:lineRule="auto"/>
        <w:ind w:left="286" w:right="130" w:hanging="100"/>
        <w:rPr>
          <w:rFonts w:ascii="Calibri" w:hAnsi="Calibri"/>
          <w:sz w:val="11"/>
        </w:rPr>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lopinavir reduced </w:t>
      </w:r>
      <w:r>
        <w:rPr>
          <w:color w:val="231F1F"/>
          <w:spacing w:val="-7"/>
          <w:w w:val="110"/>
        </w:rPr>
        <w:t>by </w:t>
      </w:r>
      <w:r>
        <w:rPr>
          <w:rFonts w:ascii="Arial" w:hAnsi="Arial"/>
          <w:color w:val="231F1F"/>
          <w:w w:val="355"/>
          <w:position w:val="1"/>
          <w:sz w:val="7"/>
        </w:rPr>
        <w:t>l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lopinavir increases plasma concentration of </w:t>
      </w:r>
      <w:r>
        <w:rPr>
          <w:rFonts w:ascii="Calibri" w:hAnsi="Calibri"/>
          <w:color w:val="008356"/>
          <w:spacing w:val="4"/>
          <w:w w:val="110"/>
          <w:sz w:val="11"/>
        </w:rPr>
        <w:t>DELAMANID</w:t>
      </w:r>
      <w:r>
        <w:rPr>
          <w:color w:val="231F1F"/>
          <w:spacing w:val="4"/>
          <w:w w:val="110"/>
        </w:rPr>
        <w:t>; </w:t>
      </w:r>
      <w:r>
        <w:rPr>
          <w:color w:val="231F1F"/>
          <w:w w:val="110"/>
        </w:rPr>
        <w:t>avoidance of concomitant lopinavir in severe renal and hepatic impairment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TELITHROMYCIN</w:t>
      </w:r>
    </w:p>
    <w:p>
      <w:pPr>
        <w:pStyle w:val="BodyText"/>
        <w:spacing w:line="230" w:lineRule="auto" w:before="1"/>
        <w:ind w:left="286" w:right="40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avoidance of lopinavir advised by manufacturer of </w:t>
      </w:r>
      <w:r>
        <w:rPr>
          <w:rFonts w:ascii="Calibri" w:hAnsi="Calibri"/>
          <w:color w:val="008356"/>
          <w:w w:val="110"/>
          <w:sz w:val="11"/>
        </w:rPr>
        <w:t>APIXABAN</w:t>
      </w:r>
      <w:r>
        <w:rPr>
          <w:color w:val="231F1F"/>
          <w:w w:val="110"/>
        </w:rPr>
        <w:t>; manufacturers advise avoid concomitant use of lopinavir with </w:t>
      </w:r>
      <w:r>
        <w:rPr>
          <w:rFonts w:ascii="Calibri" w:hAnsi="Calibri"/>
          <w:color w:val="008356"/>
          <w:w w:val="110"/>
          <w:sz w:val="11"/>
        </w:rPr>
        <w:t>RIVAROXABAN</w:t>
      </w:r>
    </w:p>
    <w:p>
      <w:pPr>
        <w:pStyle w:val="BodyText"/>
        <w:spacing w:line="146" w:lineRule="exact"/>
        <w:ind w:left="186"/>
      </w:pPr>
      <w:r>
        <w:rPr>
          <w:rFonts w:ascii="Arial"/>
          <w:color w:val="231F1F"/>
          <w:w w:val="355"/>
          <w:position w:val="1"/>
          <w:sz w:val="7"/>
        </w:rPr>
        <w:t>l </w:t>
      </w:r>
      <w:r>
        <w:rPr>
          <w:rFonts w:ascii="Calibri"/>
          <w:color w:val="231F1F"/>
          <w:w w:val="110"/>
        </w:rPr>
        <w:t>Antidepressants: </w:t>
      </w:r>
      <w:r>
        <w:rPr>
          <w:color w:val="231F1F"/>
          <w:w w:val="110"/>
        </w:rPr>
        <w:t>plasma concentration of lopinavir reduced by</w:t>
      </w:r>
    </w:p>
    <w:p>
      <w:pPr>
        <w:spacing w:line="140" w:lineRule="exact" w:before="0"/>
        <w:ind w:left="286" w:right="0" w:firstLine="0"/>
        <w:jc w:val="left"/>
        <w:rPr>
          <w:sz w:val="12"/>
        </w:rPr>
      </w:pPr>
      <w:r>
        <w:rPr>
          <w:rFonts w:ascii="Arial" w:hAnsi="Arial"/>
          <w:color w:val="231F1F"/>
          <w:w w:val="355"/>
          <w:position w:val="1"/>
          <w:sz w:val="7"/>
        </w:rPr>
        <w:t>l </w:t>
      </w:r>
      <w:r>
        <w:rPr>
          <w:rFonts w:ascii="Calibri" w:hAnsi="Calibri"/>
          <w:color w:val="008356"/>
          <w:w w:val="115"/>
          <w:sz w:val="11"/>
        </w:rPr>
        <w:t>ST JOHN</w:t>
      </w:r>
      <w:r>
        <w:rPr>
          <w:rFonts w:ascii="Arial" w:hAnsi="Arial"/>
          <w:color w:val="008356"/>
          <w:w w:val="115"/>
          <w:sz w:val="11"/>
        </w:rPr>
        <w:t>’</w:t>
      </w:r>
      <w:r>
        <w:rPr>
          <w:rFonts w:ascii="Calibri" w:hAnsi="Calibri"/>
          <w:color w:val="008356"/>
          <w:w w:val="115"/>
          <w:sz w:val="11"/>
        </w:rPr>
        <w:t>S WORT</w:t>
      </w:r>
      <w:r>
        <w:rPr>
          <w:rFonts w:ascii="Arial" w:hAnsi="Arial"/>
          <w:color w:val="231F1F"/>
          <w:w w:val="115"/>
          <w:sz w:val="12"/>
        </w:rPr>
        <w:t>—</w:t>
      </w:r>
      <w:r>
        <w:rPr>
          <w:color w:val="231F1F"/>
          <w:w w:val="115"/>
          <w:sz w:val="12"/>
        </w:rPr>
        <w:t>avoid concomitant use</w:t>
      </w:r>
    </w:p>
    <w:p>
      <w:pPr>
        <w:spacing w:line="240" w:lineRule="auto"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lopinavir possibly </w:t>
      </w:r>
      <w:r>
        <w:rPr>
          <w:color w:val="231F1F"/>
          <w:w w:val="105"/>
          <w:sz w:val="12"/>
        </w:rPr>
        <w:t>reduced by </w:t>
      </w:r>
      <w:r>
        <w:rPr>
          <w:rFonts w:ascii="Calibri"/>
          <w:color w:val="008356"/>
          <w:w w:val="105"/>
          <w:sz w:val="11"/>
        </w:rPr>
        <w:t>CARBAMAZEPINE</w:t>
      </w:r>
      <w:r>
        <w:rPr>
          <w:color w:val="231F1F"/>
          <w:w w:val="105"/>
          <w:sz w:val="12"/>
        </w:rPr>
        <w:t>, </w:t>
      </w:r>
      <w:r>
        <w:rPr>
          <w:rFonts w:ascii="Calibri"/>
          <w:color w:val="008356"/>
          <w:w w:val="105"/>
          <w:sz w:val="11"/>
        </w:rPr>
        <w:t>FOSPHENYTOIN</w:t>
      </w:r>
      <w:r>
        <w:rPr>
          <w:color w:val="231F1F"/>
          <w:w w:val="105"/>
          <w:sz w:val="12"/>
        </w:rPr>
        <w:t>, </w:t>
      </w:r>
      <w:r>
        <w:rPr>
          <w:rFonts w:ascii="Arial"/>
          <w:color w:val="231F1F"/>
          <w:w w:val="105"/>
          <w:position w:val="1"/>
          <w:sz w:val="7"/>
        </w:rPr>
        <w:t>l </w:t>
      </w:r>
      <w:r>
        <w:rPr>
          <w:rFonts w:ascii="Calibri"/>
          <w:color w:val="008356"/>
          <w:w w:val="105"/>
          <w:sz w:val="11"/>
        </w:rPr>
        <w:t>PHENOBARBITAL</w:t>
      </w:r>
      <w:r>
        <w:rPr>
          <w:color w:val="231F1F"/>
          <w:w w:val="105"/>
          <w:sz w:val="12"/>
        </w:rPr>
        <w:t>, </w:t>
      </w:r>
      <w:r>
        <w:rPr>
          <w:rFonts w:ascii="Calibri"/>
          <w:color w:val="008356"/>
          <w:w w:val="110"/>
          <w:sz w:val="11"/>
        </w:rPr>
        <w:t>PHENYTOIN </w:t>
      </w:r>
      <w:r>
        <w:rPr>
          <w:color w:val="231F1F"/>
          <w:w w:val="110"/>
          <w:sz w:val="12"/>
        </w:rPr>
        <w:t>and </w:t>
      </w:r>
      <w:r>
        <w:rPr>
          <w:rFonts w:ascii="Arial"/>
          <w:color w:val="231F1F"/>
          <w:w w:val="355"/>
          <w:position w:val="1"/>
          <w:sz w:val="7"/>
        </w:rPr>
        <w:t>l </w:t>
      </w:r>
      <w:r>
        <w:rPr>
          <w:rFonts w:ascii="Calibri"/>
          <w:color w:val="008356"/>
          <w:w w:val="110"/>
          <w:sz w:val="11"/>
        </w:rPr>
        <w:t>PRIMIDONE</w:t>
      </w:r>
    </w:p>
    <w:p>
      <w:pPr>
        <w:pStyle w:val="BodyText"/>
        <w:spacing w:line="220" w:lineRule="auto" w:before="7"/>
        <w:ind w:left="286" w:right="40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Antihistamines: </w:t>
      </w:r>
      <w:r>
        <w:rPr>
          <w:color w:val="231F1F"/>
          <w:w w:val="105"/>
        </w:rPr>
        <w:t>lopinavir possibly increases </w:t>
      </w:r>
      <w:r>
        <w:rPr>
          <w:color w:val="231F1F"/>
          <w:spacing w:val="-3"/>
          <w:w w:val="105"/>
        </w:rPr>
        <w:t>plasma </w:t>
      </w:r>
      <w:r>
        <w:rPr>
          <w:color w:val="231F1F"/>
          <w:w w:val="105"/>
        </w:rPr>
        <w:t>concentration of</w:t>
      </w:r>
      <w:r>
        <w:rPr>
          <w:color w:val="231F1F"/>
          <w:spacing w:val="-2"/>
          <w:w w:val="105"/>
        </w:rPr>
        <w:t> </w:t>
      </w:r>
      <w:r>
        <w:rPr>
          <w:rFonts w:ascii="Calibri" w:hAnsi="Calibri"/>
          <w:color w:val="008356"/>
          <w:spacing w:val="5"/>
          <w:w w:val="105"/>
          <w:sz w:val="11"/>
        </w:rPr>
        <w:t>CHLORPHENAMINE</w:t>
      </w:r>
    </w:p>
    <w:p>
      <w:pPr>
        <w:spacing w:line="220" w:lineRule="auto" w:before="8"/>
        <w:ind w:left="286" w:right="7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Antimalarials: </w:t>
      </w:r>
      <w:r>
        <w:rPr>
          <w:color w:val="231F1F"/>
          <w:w w:val="105"/>
          <w:sz w:val="12"/>
        </w:rPr>
        <w:t>caution with  lopinavir  advised by  </w:t>
      </w:r>
      <w:r>
        <w:rPr>
          <w:color w:val="231F1F"/>
          <w:spacing w:val="-2"/>
          <w:w w:val="105"/>
          <w:sz w:val="12"/>
        </w:rPr>
        <w:t>manufacturer </w:t>
      </w:r>
      <w:r>
        <w:rPr>
          <w:color w:val="231F1F"/>
          <w:w w:val="105"/>
          <w:sz w:val="12"/>
        </w:rPr>
        <w:t>of </w:t>
      </w:r>
      <w:r>
        <w:rPr>
          <w:rFonts w:ascii="Calibri" w:hAnsi="Calibri"/>
          <w:color w:val="008356"/>
          <w:spacing w:val="4"/>
          <w:w w:val="105"/>
          <w:sz w:val="11"/>
        </w:rPr>
        <w:t>ARTEMETHER </w:t>
      </w:r>
      <w:r>
        <w:rPr>
          <w:rFonts w:ascii="Calibri" w:hAnsi="Calibri"/>
          <w:color w:val="008356"/>
          <w:spacing w:val="3"/>
          <w:w w:val="105"/>
          <w:sz w:val="11"/>
        </w:rPr>
        <w:t>WITH </w:t>
      </w:r>
      <w:r>
        <w:rPr>
          <w:rFonts w:ascii="Calibri" w:hAnsi="Calibri"/>
          <w:color w:val="008356"/>
          <w:spacing w:val="4"/>
          <w:w w:val="105"/>
          <w:sz w:val="11"/>
        </w:rPr>
        <w:t>LUMEFANTRINE</w:t>
      </w:r>
    </w:p>
    <w:p>
      <w:pPr>
        <w:spacing w:line="220" w:lineRule="auto" w:before="8"/>
        <w:ind w:left="286" w:right="40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Antimuscarinics: </w:t>
      </w:r>
      <w:r>
        <w:rPr>
          <w:color w:val="231F1F"/>
          <w:w w:val="105"/>
          <w:sz w:val="12"/>
        </w:rPr>
        <w:t>avoidance of lopinavir advised by manufacturer of </w:t>
      </w:r>
      <w:r>
        <w:rPr>
          <w:rFonts w:ascii="Calibri" w:hAnsi="Calibri"/>
          <w:color w:val="008356"/>
          <w:w w:val="105"/>
          <w:sz w:val="11"/>
        </w:rPr>
        <w:t>DARIFENACIN </w:t>
      </w:r>
      <w:r>
        <w:rPr>
          <w:color w:val="231F1F"/>
          <w:w w:val="105"/>
          <w:sz w:val="12"/>
        </w:rPr>
        <w:t>and </w:t>
      </w:r>
      <w:r>
        <w:rPr>
          <w:rFonts w:ascii="Calibri" w:hAnsi="Calibri"/>
          <w:color w:val="008356"/>
          <w:w w:val="105"/>
          <w:sz w:val="11"/>
        </w:rPr>
        <w:t>TOLTERODINE</w:t>
      </w:r>
    </w:p>
    <w:p>
      <w:pPr>
        <w:pStyle w:val="BodyText"/>
        <w:spacing w:line="242" w:lineRule="auto" w:before="1"/>
        <w:ind w:left="286" w:right="424"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20"/>
        </w:rPr>
        <w:t>Antipsychotics:</w:t>
      </w:r>
      <w:r>
        <w:rPr>
          <w:rFonts w:ascii="Calibri" w:hAnsi="Calibri"/>
          <w:color w:val="231F1F"/>
          <w:spacing w:val="-22"/>
          <w:w w:val="120"/>
        </w:rPr>
        <w:t> </w:t>
      </w:r>
      <w:r>
        <w:rPr>
          <w:color w:val="231F1F"/>
          <w:w w:val="120"/>
        </w:rPr>
        <w:t>lopinavir</w:t>
      </w:r>
      <w:r>
        <w:rPr>
          <w:color w:val="231F1F"/>
          <w:spacing w:val="-24"/>
          <w:w w:val="120"/>
        </w:rPr>
        <w:t> </w:t>
      </w:r>
      <w:r>
        <w:rPr>
          <w:color w:val="231F1F"/>
          <w:w w:val="120"/>
        </w:rPr>
        <w:t>possibly</w:t>
      </w:r>
      <w:r>
        <w:rPr>
          <w:color w:val="231F1F"/>
          <w:spacing w:val="-24"/>
          <w:w w:val="120"/>
        </w:rPr>
        <w:t> </w:t>
      </w:r>
      <w:r>
        <w:rPr>
          <w:color w:val="231F1F"/>
          <w:w w:val="120"/>
        </w:rPr>
        <w:t>increases</w:t>
      </w:r>
      <w:r>
        <w:rPr>
          <w:color w:val="231F1F"/>
          <w:spacing w:val="-25"/>
          <w:w w:val="120"/>
        </w:rPr>
        <w:t> </w:t>
      </w:r>
      <w:r>
        <w:rPr>
          <w:color w:val="231F1F"/>
          <w:w w:val="120"/>
        </w:rPr>
        <w:t>plasma concentration of </w:t>
      </w:r>
      <w:r>
        <w:rPr>
          <w:rFonts w:ascii="Arial" w:hAnsi="Arial"/>
          <w:color w:val="231F1F"/>
          <w:w w:val="355"/>
          <w:position w:val="1"/>
          <w:sz w:val="7"/>
        </w:rPr>
        <w:t>l </w:t>
      </w:r>
      <w:r>
        <w:rPr>
          <w:rFonts w:ascii="Calibri" w:hAnsi="Calibri"/>
          <w:color w:val="008356"/>
          <w:spacing w:val="4"/>
          <w:w w:val="120"/>
          <w:sz w:val="11"/>
        </w:rPr>
        <w:t>ARIPIPRAZOLE </w:t>
      </w:r>
      <w:r>
        <w:rPr>
          <w:color w:val="231F1F"/>
          <w:w w:val="120"/>
        </w:rPr>
        <w:t>(reduce dose of </w:t>
      </w:r>
      <w:r>
        <w:rPr>
          <w:color w:val="231F1F"/>
          <w:w w:val="115"/>
        </w:rPr>
        <w:t>aripiprazole</w:t>
      </w:r>
      <w:r>
        <w:rPr>
          <w:rFonts w:ascii="Arial" w:hAnsi="Arial"/>
          <w:color w:val="231F1F"/>
          <w:w w:val="115"/>
        </w:rPr>
        <w:t>—</w:t>
      </w:r>
      <w:r>
        <w:rPr>
          <w:color w:val="231F1F"/>
          <w:w w:val="115"/>
        </w:rPr>
        <w:t>consult</w:t>
      </w:r>
      <w:r>
        <w:rPr>
          <w:color w:val="231F1F"/>
          <w:spacing w:val="-10"/>
          <w:w w:val="115"/>
        </w:rPr>
        <w:t> </w:t>
      </w:r>
      <w:r>
        <w:rPr>
          <w:color w:val="231F1F"/>
          <w:w w:val="115"/>
        </w:rPr>
        <w:t>aripiprazole</w:t>
      </w:r>
      <w:r>
        <w:rPr>
          <w:color w:val="231F1F"/>
          <w:spacing w:val="-8"/>
          <w:w w:val="115"/>
        </w:rPr>
        <w:t> </w:t>
      </w:r>
      <w:r>
        <w:rPr>
          <w:color w:val="231F1F"/>
          <w:w w:val="115"/>
        </w:rPr>
        <w:t>product</w:t>
      </w:r>
      <w:r>
        <w:rPr>
          <w:color w:val="231F1F"/>
          <w:spacing w:val="-10"/>
          <w:w w:val="115"/>
        </w:rPr>
        <w:t> </w:t>
      </w:r>
      <w:r>
        <w:rPr>
          <w:color w:val="231F1F"/>
          <w:spacing w:val="-2"/>
          <w:w w:val="115"/>
        </w:rPr>
        <w:t>literature); </w:t>
      </w:r>
      <w:r>
        <w:rPr>
          <w:color w:val="231F1F"/>
          <w:w w:val="120"/>
        </w:rPr>
        <w:t>lopinavir</w:t>
      </w:r>
      <w:r>
        <w:rPr>
          <w:color w:val="231F1F"/>
          <w:spacing w:val="-25"/>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5"/>
          <w:w w:val="120"/>
        </w:rPr>
        <w:t> </w:t>
      </w:r>
      <w:r>
        <w:rPr>
          <w:color w:val="231F1F"/>
          <w:w w:val="120"/>
        </w:rPr>
        <w:t>concentration</w:t>
      </w:r>
      <w:r>
        <w:rPr>
          <w:color w:val="231F1F"/>
          <w:spacing w:val="-24"/>
          <w:w w:val="120"/>
        </w:rPr>
        <w:t> </w:t>
      </w:r>
      <w:r>
        <w:rPr>
          <w:color w:val="231F1F"/>
          <w:w w:val="120"/>
        </w:rPr>
        <w:t>of</w:t>
      </w:r>
    </w:p>
    <w:p>
      <w:pPr>
        <w:pStyle w:val="BodyText"/>
        <w:spacing w:before="5"/>
        <w:ind w:left="286" w:right="244"/>
      </w:pPr>
      <w:r>
        <w:rPr>
          <w:rFonts w:ascii="Arial" w:hAnsi="Arial"/>
          <w:color w:val="231F1F"/>
          <w:w w:val="115"/>
          <w:position w:val="1"/>
          <w:sz w:val="7"/>
        </w:rPr>
        <w:t>l </w:t>
      </w:r>
      <w:r>
        <w:rPr>
          <w:rFonts w:ascii="Calibri" w:hAnsi="Calibri"/>
          <w:color w:val="008356"/>
          <w:w w:val="115"/>
          <w:sz w:val="11"/>
        </w:rPr>
        <w:t>QUETIAPINE</w:t>
      </w:r>
      <w:r>
        <w:rPr>
          <w:rFonts w:ascii="Arial" w:hAnsi="Arial"/>
          <w:color w:val="231F1F"/>
          <w:w w:val="115"/>
        </w:rPr>
        <w:t>—</w:t>
      </w:r>
      <w:r>
        <w:rPr>
          <w:color w:val="231F1F"/>
          <w:w w:val="115"/>
        </w:rPr>
        <w:t>manufacturer of quetiapine advises avoid </w:t>
      </w:r>
      <w:r>
        <w:rPr>
          <w:color w:val="231F1F"/>
          <w:w w:val="120"/>
        </w:rPr>
        <w:t>concomitant use</w:t>
      </w:r>
    </w:p>
    <w:p>
      <w:pPr>
        <w:pStyle w:val="BodyText"/>
        <w:spacing w:line="244" w:lineRule="auto" w:before="3"/>
        <w:ind w:left="286" w:right="129" w:hanging="100"/>
      </w:pPr>
      <w:r>
        <w:rPr>
          <w:rFonts w:ascii="Arial"/>
          <w:color w:val="231F1F"/>
          <w:w w:val="355"/>
          <w:position w:val="1"/>
          <w:sz w:val="7"/>
        </w:rPr>
        <w:t>l </w:t>
      </w:r>
      <w:r>
        <w:rPr>
          <w:rFonts w:ascii="Calibri"/>
          <w:color w:val="231F1F"/>
          <w:w w:val="110"/>
        </w:rPr>
        <w:t>Antivirals: </w:t>
      </w:r>
      <w:r>
        <w:rPr>
          <w:color w:val="231F1F"/>
          <w:w w:val="110"/>
        </w:rPr>
        <w:t>manufacturers advise avoid concomitant use of lopinavir</w:t>
      </w:r>
      <w:r>
        <w:rPr>
          <w:color w:val="231F1F"/>
          <w:spacing w:val="-7"/>
          <w:w w:val="110"/>
        </w:rPr>
        <w:t> </w:t>
      </w:r>
      <w:r>
        <w:rPr>
          <w:color w:val="231F1F"/>
          <w:w w:val="110"/>
        </w:rPr>
        <w:t>with</w:t>
      </w:r>
      <w:r>
        <w:rPr>
          <w:color w:val="231F1F"/>
          <w:spacing w:val="-4"/>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BOCEPREVIR</w:t>
      </w:r>
      <w:r>
        <w:rPr>
          <w:rFonts w:ascii="Calibri"/>
          <w:color w:val="008356"/>
          <w:spacing w:val="6"/>
          <w:w w:val="110"/>
          <w:sz w:val="11"/>
        </w:rPr>
        <w:t> </w:t>
      </w:r>
      <w:r>
        <w:rPr>
          <w:color w:val="231F1F"/>
          <w:w w:val="110"/>
        </w:rPr>
        <w:t>and</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TELAPREVIR</w:t>
      </w:r>
      <w:r>
        <w:rPr>
          <w:color w:val="231F1F"/>
          <w:spacing w:val="4"/>
          <w:w w:val="110"/>
        </w:rPr>
        <w:t>;</w:t>
      </w:r>
      <w:r>
        <w:rPr>
          <w:color w:val="231F1F"/>
          <w:spacing w:val="-4"/>
          <w:w w:val="110"/>
        </w:rPr>
        <w:t> </w:t>
      </w:r>
      <w:r>
        <w:rPr>
          <w:color w:val="231F1F"/>
          <w:w w:val="110"/>
        </w:rPr>
        <w:t>avoidance</w:t>
      </w:r>
      <w:r>
        <w:rPr>
          <w:color w:val="231F1F"/>
          <w:spacing w:val="-6"/>
          <w:w w:val="110"/>
        </w:rPr>
        <w:t> </w:t>
      </w:r>
      <w:r>
        <w:rPr>
          <w:color w:val="231F1F"/>
          <w:w w:val="110"/>
        </w:rPr>
        <w:t>of lopinavir advised by manufacturer of </w:t>
      </w:r>
      <w:r>
        <w:rPr>
          <w:rFonts w:ascii="Calibri"/>
          <w:color w:val="008356"/>
          <w:spacing w:val="3"/>
          <w:w w:val="110"/>
          <w:sz w:val="11"/>
        </w:rPr>
        <w:t>DACLATASVIR </w:t>
      </w:r>
      <w:r>
        <w:rPr>
          <w:color w:val="231F1F"/>
          <w:w w:val="110"/>
        </w:rPr>
        <w:t>(plasma concentration of daclatasvir possibly increased); lopinavir reduces plasma concentration of </w:t>
      </w:r>
      <w:r>
        <w:rPr>
          <w:rFonts w:ascii="Arial"/>
          <w:color w:val="231F1F"/>
          <w:w w:val="355"/>
          <w:position w:val="1"/>
          <w:sz w:val="7"/>
        </w:rPr>
        <w:t>l </w:t>
      </w:r>
      <w:r>
        <w:rPr>
          <w:rFonts w:ascii="Calibri"/>
          <w:color w:val="008356"/>
          <w:spacing w:val="4"/>
          <w:w w:val="110"/>
          <w:sz w:val="11"/>
        </w:rPr>
        <w:t>DARUNAVIR</w:t>
      </w:r>
      <w:r>
        <w:rPr>
          <w:color w:val="231F1F"/>
          <w:spacing w:val="4"/>
          <w:w w:val="110"/>
        </w:rPr>
        <w:t>, </w:t>
      </w:r>
      <w:r>
        <w:rPr>
          <w:color w:val="231F1F"/>
          <w:w w:val="110"/>
        </w:rPr>
        <w:t>also plasma concentration of lopinavir increased (avoid concomitant use); plasma concentration of lopinavir reduced</w:t>
      </w:r>
      <w:r>
        <w:rPr>
          <w:color w:val="231F1F"/>
          <w:spacing w:val="13"/>
          <w:w w:val="110"/>
        </w:rPr>
        <w:t> </w:t>
      </w:r>
      <w:r>
        <w:rPr>
          <w:color w:val="231F1F"/>
          <w:w w:val="110"/>
        </w:rPr>
        <w:t>by</w:t>
      </w:r>
    </w:p>
    <w:p>
      <w:pPr>
        <w:pStyle w:val="BodyText"/>
        <w:spacing w:before="1"/>
        <w:ind w:left="286" w:right="47" w:hanging="1"/>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15"/>
          <w:sz w:val="11"/>
        </w:rPr>
        <w:t>EFAVIRENZ</w:t>
      </w:r>
      <w:r>
        <w:rPr>
          <w:rFonts w:ascii="Arial" w:hAnsi="Arial"/>
          <w:color w:val="231F1F"/>
          <w:w w:val="115"/>
        </w:rPr>
        <w:t>—</w:t>
      </w:r>
      <w:r>
        <w:rPr>
          <w:color w:val="231F1F"/>
          <w:w w:val="115"/>
        </w:rPr>
        <w:t>consider</w:t>
      </w:r>
      <w:r>
        <w:rPr>
          <w:color w:val="231F1F"/>
          <w:spacing w:val="-19"/>
          <w:w w:val="115"/>
        </w:rPr>
        <w:t> </w:t>
      </w:r>
      <w:r>
        <w:rPr>
          <w:color w:val="231F1F"/>
          <w:w w:val="115"/>
        </w:rPr>
        <w:t>increasing</w:t>
      </w:r>
      <w:r>
        <w:rPr>
          <w:color w:val="231F1F"/>
          <w:spacing w:val="-20"/>
          <w:w w:val="115"/>
        </w:rPr>
        <w:t> </w:t>
      </w:r>
      <w:r>
        <w:rPr>
          <w:color w:val="231F1F"/>
          <w:w w:val="115"/>
        </w:rPr>
        <w:t>dose</w:t>
      </w:r>
      <w:r>
        <w:rPr>
          <w:color w:val="231F1F"/>
          <w:spacing w:val="-19"/>
          <w:w w:val="115"/>
        </w:rPr>
        <w:t> </w:t>
      </w:r>
      <w:r>
        <w:rPr>
          <w:color w:val="231F1F"/>
          <w:w w:val="115"/>
        </w:rPr>
        <w:t>of</w:t>
      </w:r>
      <w:r>
        <w:rPr>
          <w:color w:val="231F1F"/>
          <w:spacing w:val="-20"/>
          <w:w w:val="115"/>
        </w:rPr>
        <w:t> </w:t>
      </w:r>
      <w:r>
        <w:rPr>
          <w:color w:val="231F1F"/>
          <w:w w:val="115"/>
        </w:rPr>
        <w:t>lopinavir;</w:t>
      </w:r>
      <w:r>
        <w:rPr>
          <w:color w:val="231F1F"/>
          <w:spacing w:val="-19"/>
          <w:w w:val="115"/>
        </w:rPr>
        <w:t> </w:t>
      </w:r>
      <w:r>
        <w:rPr>
          <w:color w:val="231F1F"/>
          <w:w w:val="115"/>
        </w:rPr>
        <w:t>lopinavir boosted with ritonavir increases plasma concentration</w:t>
      </w:r>
      <w:r>
        <w:rPr>
          <w:color w:val="231F1F"/>
          <w:spacing w:val="-25"/>
          <w:w w:val="115"/>
        </w:rPr>
        <w:t> </w:t>
      </w:r>
      <w:r>
        <w:rPr>
          <w:color w:val="231F1F"/>
          <w:w w:val="115"/>
        </w:rPr>
        <w:t>of</w:t>
      </w:r>
    </w:p>
    <w:p>
      <w:pPr>
        <w:pStyle w:val="BodyText"/>
        <w:spacing w:line="244" w:lineRule="auto" w:before="8"/>
        <w:ind w:left="286"/>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3"/>
          <w:w w:val="110"/>
          <w:sz w:val="11"/>
        </w:rPr>
        <w:t>ELVITEGRAVIR </w:t>
      </w:r>
      <w:r>
        <w:rPr>
          <w:color w:val="231F1F"/>
          <w:w w:val="110"/>
        </w:rPr>
        <w:t>(reduce dose of elvitegravir); lopinavir reduces plasma concentration of </w:t>
      </w:r>
      <w:r>
        <w:rPr>
          <w:rFonts w:ascii="Calibri" w:hAnsi="Calibri"/>
          <w:color w:val="008356"/>
          <w:spacing w:val="4"/>
          <w:w w:val="110"/>
          <w:sz w:val="11"/>
        </w:rPr>
        <w:t>FOSAMPRENAVIR</w:t>
      </w:r>
      <w:r>
        <w:rPr>
          <w:color w:val="231F1F"/>
          <w:spacing w:val="4"/>
          <w:w w:val="110"/>
        </w:rPr>
        <w:t>, </w:t>
      </w:r>
      <w:r>
        <w:rPr>
          <w:color w:val="231F1F"/>
          <w:w w:val="110"/>
        </w:rPr>
        <w:t>effect on lopinavir plasma concentration not  predictable</w:t>
      </w:r>
      <w:r>
        <w:rPr>
          <w:rFonts w:ascii="Arial" w:hAnsi="Arial"/>
          <w:color w:val="231F1F"/>
          <w:w w:val="110"/>
        </w:rPr>
        <w:t>—</w:t>
      </w:r>
      <w:r>
        <w:rPr>
          <w:color w:val="231F1F"/>
          <w:w w:val="110"/>
        </w:rPr>
        <w:t>avoid  concomitant use; lopinavir increases plasma concentration of </w:t>
      </w:r>
      <w:r>
        <w:rPr>
          <w:rFonts w:ascii="Arial" w:hAnsi="Arial"/>
          <w:color w:val="231F1F"/>
          <w:w w:val="355"/>
          <w:position w:val="1"/>
          <w:sz w:val="7"/>
        </w:rPr>
        <w:t>l </w:t>
      </w:r>
      <w:r>
        <w:rPr>
          <w:rFonts w:ascii="Calibri" w:hAnsi="Calibri"/>
          <w:color w:val="008356"/>
          <w:spacing w:val="4"/>
          <w:w w:val="110"/>
          <w:sz w:val="11"/>
        </w:rPr>
        <w:t>MARAVIROC </w:t>
      </w:r>
      <w:r>
        <w:rPr>
          <w:color w:val="231F1F"/>
          <w:w w:val="110"/>
        </w:rPr>
        <w:t>(consider reducing dose of maraviroc); plasma concentration  of lopinavir possibly reduced by </w:t>
      </w:r>
      <w:r>
        <w:rPr>
          <w:rFonts w:ascii="Arial" w:hAnsi="Arial"/>
          <w:color w:val="231F1F"/>
          <w:w w:val="355"/>
          <w:position w:val="1"/>
          <w:sz w:val="7"/>
        </w:rPr>
        <w:t>l </w:t>
      </w:r>
      <w:r>
        <w:rPr>
          <w:rFonts w:ascii="Calibri" w:hAnsi="Calibri"/>
          <w:color w:val="008356"/>
          <w:spacing w:val="2"/>
          <w:w w:val="110"/>
          <w:sz w:val="11"/>
        </w:rPr>
        <w:t>NEVIRAPINE</w:t>
      </w:r>
      <w:r>
        <w:rPr>
          <w:rFonts w:ascii="Arial" w:hAnsi="Arial"/>
          <w:color w:val="231F1F"/>
          <w:spacing w:val="2"/>
          <w:w w:val="110"/>
        </w:rPr>
        <w:t>—</w:t>
      </w:r>
      <w:r>
        <w:rPr>
          <w:color w:val="231F1F"/>
          <w:spacing w:val="2"/>
          <w:w w:val="110"/>
        </w:rPr>
        <w:t>consider </w:t>
      </w:r>
      <w:r>
        <w:rPr>
          <w:color w:val="231F1F"/>
          <w:w w:val="110"/>
        </w:rPr>
        <w:t>increasing dose of lopinavir; increased risk of ventricular arrhythmias when lopinavir given with </w:t>
      </w:r>
      <w:r>
        <w:rPr>
          <w:rFonts w:ascii="Arial" w:hAnsi="Arial"/>
          <w:color w:val="231F1F"/>
          <w:w w:val="355"/>
          <w:position w:val="1"/>
          <w:sz w:val="7"/>
        </w:rPr>
        <w:t>l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lopinavir increases plasma concentration </w:t>
      </w:r>
      <w:r>
        <w:rPr>
          <w:color w:val="231F1F"/>
          <w:spacing w:val="-9"/>
          <w:w w:val="110"/>
        </w:rPr>
        <w:t>of </w:t>
      </w:r>
      <w:r>
        <w:rPr>
          <w:rFonts w:ascii="Calibri" w:hAnsi="Calibri"/>
          <w:color w:val="008356"/>
          <w:spacing w:val="4"/>
          <w:w w:val="110"/>
          <w:sz w:val="11"/>
        </w:rPr>
        <w:t>TENOFOVIR</w:t>
      </w:r>
      <w:r>
        <w:rPr>
          <w:color w:val="231F1F"/>
          <w:spacing w:val="4"/>
          <w:w w:val="110"/>
        </w:rPr>
        <w:t>; </w:t>
      </w:r>
      <w:r>
        <w:rPr>
          <w:color w:val="231F1F"/>
          <w:w w:val="110"/>
        </w:rPr>
        <w:t>plasma concentration of lopinavir reduced</w:t>
      </w:r>
      <w:r>
        <w:rPr>
          <w:color w:val="231F1F"/>
          <w:spacing w:val="-7"/>
          <w:w w:val="110"/>
        </w:rPr>
        <w:t> </w:t>
      </w:r>
      <w:r>
        <w:rPr>
          <w:color w:val="231F1F"/>
          <w:w w:val="110"/>
        </w:rPr>
        <w:t>by</w:t>
      </w:r>
    </w:p>
    <w:p>
      <w:pPr>
        <w:spacing w:line="133" w:lineRule="exact" w:before="11"/>
        <w:ind w:left="286" w:right="0" w:firstLine="0"/>
        <w:jc w:val="left"/>
        <w:rPr>
          <w:rFonts w:ascii="Calibri"/>
          <w:sz w:val="11"/>
        </w:rPr>
      </w:pPr>
      <w:r>
        <w:rPr>
          <w:rFonts w:ascii="Arial"/>
          <w:color w:val="231F1F"/>
          <w:w w:val="355"/>
          <w:position w:val="1"/>
          <w:sz w:val="7"/>
        </w:rPr>
        <w:t>l </w:t>
      </w:r>
      <w:r>
        <w:rPr>
          <w:rFonts w:ascii="Calibri"/>
          <w:color w:val="008356"/>
          <w:w w:val="120"/>
          <w:sz w:val="11"/>
        </w:rPr>
        <w:t>TIPRANAVIR</w:t>
      </w:r>
    </w:p>
    <w:p>
      <w:pPr>
        <w:pStyle w:val="BodyText"/>
        <w:spacing w:line="145" w:lineRule="exact"/>
        <w:ind w:left="186"/>
      </w:pPr>
      <w:r>
        <w:rPr>
          <w:rFonts w:ascii="Arial"/>
          <w:color w:val="231F1F"/>
          <w:w w:val="355"/>
          <w:position w:val="1"/>
          <w:sz w:val="7"/>
        </w:rPr>
        <w:t>l </w:t>
      </w:r>
      <w:r>
        <w:rPr>
          <w:rFonts w:ascii="Calibri"/>
          <w:color w:val="231F1F"/>
          <w:w w:val="120"/>
        </w:rPr>
        <w:t>Bosentan: </w:t>
      </w:r>
      <w:r>
        <w:rPr>
          <w:color w:val="231F1F"/>
          <w:w w:val="120"/>
        </w:rPr>
        <w:t>lopinavir increases plasma concentration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BOSENTAN </w:t>
      </w:r>
      <w:r>
        <w:rPr>
          <w:color w:val="231F1F"/>
          <w:w w:val="110"/>
          <w:sz w:val="12"/>
        </w:rPr>
        <w:t>(consider reducing dose of bosentan)</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lopinavir possibly reduced by </w:t>
      </w:r>
      <w:r>
        <w:rPr>
          <w:rFonts w:ascii="Calibri" w:hAnsi="Calibri"/>
          <w:color w:val="008356"/>
          <w:w w:val="105"/>
          <w:sz w:val="11"/>
        </w:rPr>
        <w:t>DEXAMETHASONE</w:t>
      </w:r>
    </w:p>
    <w:p>
      <w:pPr>
        <w:pStyle w:val="BodyText"/>
        <w:ind w:left="286" w:right="17"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Cytotoxics:</w:t>
      </w:r>
      <w:r>
        <w:rPr>
          <w:rFonts w:ascii="Calibri" w:hAnsi="Calibri"/>
          <w:color w:val="231F1F"/>
          <w:spacing w:val="-13"/>
          <w:w w:val="115"/>
        </w:rPr>
        <w:t> </w:t>
      </w:r>
      <w:r>
        <w:rPr>
          <w:color w:val="231F1F"/>
          <w:w w:val="115"/>
        </w:rPr>
        <w:t>manufacturer</w:t>
      </w:r>
      <w:r>
        <w:rPr>
          <w:color w:val="231F1F"/>
          <w:spacing w:val="-16"/>
          <w:w w:val="115"/>
        </w:rPr>
        <w:t> </w:t>
      </w:r>
      <w:r>
        <w:rPr>
          <w:color w:val="231F1F"/>
          <w:w w:val="115"/>
        </w:rPr>
        <w:t>of</w:t>
      </w:r>
      <w:r>
        <w:rPr>
          <w:color w:val="231F1F"/>
          <w:spacing w:val="-16"/>
          <w:w w:val="115"/>
        </w:rPr>
        <w:t> </w:t>
      </w:r>
      <w:r>
        <w:rPr>
          <w:color w:val="231F1F"/>
          <w:w w:val="115"/>
        </w:rPr>
        <w:t>ruxolitinib</w:t>
      </w:r>
      <w:r>
        <w:rPr>
          <w:color w:val="231F1F"/>
          <w:spacing w:val="-16"/>
          <w:w w:val="115"/>
        </w:rPr>
        <w:t> </w:t>
      </w:r>
      <w:r>
        <w:rPr>
          <w:color w:val="231F1F"/>
          <w:w w:val="115"/>
        </w:rPr>
        <w:t>advises</w:t>
      </w:r>
      <w:r>
        <w:rPr>
          <w:color w:val="231F1F"/>
          <w:spacing w:val="-16"/>
          <w:w w:val="115"/>
        </w:rPr>
        <w:t> </w:t>
      </w:r>
      <w:r>
        <w:rPr>
          <w:color w:val="231F1F"/>
          <w:w w:val="115"/>
        </w:rPr>
        <w:t>dose</w:t>
      </w:r>
      <w:r>
        <w:rPr>
          <w:color w:val="231F1F"/>
          <w:spacing w:val="-17"/>
          <w:w w:val="115"/>
        </w:rPr>
        <w:t> </w:t>
      </w:r>
      <w:r>
        <w:rPr>
          <w:color w:val="231F1F"/>
          <w:w w:val="115"/>
        </w:rPr>
        <w:t>reduction when</w:t>
      </w:r>
      <w:r>
        <w:rPr>
          <w:color w:val="231F1F"/>
          <w:spacing w:val="-21"/>
          <w:w w:val="115"/>
        </w:rPr>
        <w:t> </w:t>
      </w:r>
      <w:r>
        <w:rPr>
          <w:color w:val="231F1F"/>
          <w:w w:val="115"/>
        </w:rPr>
        <w:t>lopinavir</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w:t>
      </w:r>
      <w:r>
        <w:rPr>
          <w:color w:val="231F1F"/>
          <w:spacing w:val="-20"/>
          <w:w w:val="115"/>
        </w:rPr>
        <w:t> </w:t>
      </w:r>
      <w:r>
        <w:rPr>
          <w:color w:val="231F1F"/>
          <w:w w:val="115"/>
        </w:rPr>
        <w:t>ruxolitinib product</w:t>
      </w:r>
      <w:r>
        <w:rPr>
          <w:color w:val="231F1F"/>
          <w:spacing w:val="-4"/>
          <w:w w:val="115"/>
        </w:rPr>
        <w:t> </w:t>
      </w:r>
      <w:r>
        <w:rPr>
          <w:color w:val="231F1F"/>
          <w:w w:val="115"/>
        </w:rPr>
        <w:t>literature</w:t>
      </w:r>
    </w:p>
    <w:p>
      <w:pPr>
        <w:pStyle w:val="BodyText"/>
        <w:spacing w:line="220" w:lineRule="auto" w:before="11"/>
        <w:ind w:left="286" w:right="76" w:hanging="100"/>
        <w:rPr>
          <w:rFonts w:ascii="Calibri" w:hAnsi="Calibri"/>
          <w:sz w:val="11"/>
        </w:rPr>
      </w:pPr>
      <w:r>
        <w:rPr>
          <w:rFonts w:ascii="Lucida Sans Unicode" w:hAnsi="Lucida Sans Unicode"/>
          <w:color w:val="A7A8AC"/>
          <w:w w:val="95"/>
          <w:sz w:val="10"/>
        </w:rPr>
        <w:t>▶ </w:t>
      </w:r>
      <w:r>
        <w:rPr>
          <w:rFonts w:ascii="Calibri" w:hAnsi="Calibri"/>
          <w:color w:val="231F1F"/>
          <w:w w:val="105"/>
        </w:rPr>
        <w:t>Eltrombopag: </w:t>
      </w:r>
      <w:r>
        <w:rPr>
          <w:color w:val="231F1F"/>
          <w:w w:val="105"/>
        </w:rPr>
        <w:t>lopinavir  possibly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ELTROMBOPAG</w:t>
      </w:r>
    </w:p>
    <w:p>
      <w:pPr>
        <w:pStyle w:val="BodyText"/>
        <w:spacing w:before="9"/>
        <w:ind w:left="0"/>
        <w:rPr>
          <w:rFonts w:ascii="Calibri"/>
          <w:sz w:val="13"/>
        </w:rPr>
      </w:pPr>
      <w:r>
        <w:rPr/>
        <w:br w:type="column"/>
      </w:r>
      <w:r>
        <w:rPr>
          <w:rFonts w:ascii="Calibri"/>
          <w:sz w:val="13"/>
        </w:rPr>
      </w:r>
    </w:p>
    <w:p>
      <w:pPr>
        <w:pStyle w:val="BodyText"/>
        <w:spacing w:line="144" w:lineRule="exact"/>
        <w:ind w:left="183"/>
        <w:rPr>
          <w:rFonts w:ascii="Calibri"/>
        </w:rPr>
      </w:pPr>
      <w:r>
        <w:rPr>
          <w:rFonts w:ascii="Arial"/>
          <w:color w:val="008356"/>
        </w:rPr>
        <w:t>Lopinavir </w:t>
      </w:r>
      <w:r>
        <w:rPr>
          <w:rFonts w:ascii="Calibri"/>
          <w:color w:val="231F1F"/>
        </w:rPr>
        <w:t>(continued)</w:t>
      </w:r>
    </w:p>
    <w:p>
      <w:pPr>
        <w:pStyle w:val="BodyText"/>
        <w:spacing w:line="244" w:lineRule="auto"/>
        <w:ind w:left="282" w:right="666"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Lipid-regulating</w:t>
      </w:r>
      <w:r>
        <w:rPr>
          <w:rFonts w:ascii="Calibri" w:hAnsi="Calibri"/>
          <w:color w:val="231F1F"/>
          <w:spacing w:val="-12"/>
          <w:w w:val="115"/>
        </w:rPr>
        <w:t> </w:t>
      </w:r>
      <w:r>
        <w:rPr>
          <w:rFonts w:ascii="Calibri" w:hAnsi="Calibri"/>
          <w:color w:val="231F1F"/>
          <w:w w:val="115"/>
        </w:rPr>
        <w:t>Drugs:</w:t>
      </w:r>
      <w:r>
        <w:rPr>
          <w:rFonts w:ascii="Calibri" w:hAnsi="Calibri"/>
          <w:color w:val="231F1F"/>
          <w:spacing w:val="-13"/>
          <w:w w:val="115"/>
        </w:rPr>
        <w:t> </w:t>
      </w:r>
      <w:r>
        <w:rPr>
          <w:color w:val="231F1F"/>
          <w:w w:val="115"/>
        </w:rPr>
        <w:t>possible</w:t>
      </w:r>
      <w:r>
        <w:rPr>
          <w:color w:val="231F1F"/>
          <w:spacing w:val="-16"/>
          <w:w w:val="115"/>
        </w:rPr>
        <w:t> </w:t>
      </w:r>
      <w:r>
        <w:rPr>
          <w:color w:val="231F1F"/>
          <w:w w:val="115"/>
        </w:rPr>
        <w:t>increased</w:t>
      </w:r>
      <w:r>
        <w:rPr>
          <w:color w:val="231F1F"/>
          <w:spacing w:val="-16"/>
          <w:w w:val="115"/>
        </w:rPr>
        <w:t> </w:t>
      </w:r>
      <w:r>
        <w:rPr>
          <w:color w:val="231F1F"/>
          <w:w w:val="115"/>
        </w:rPr>
        <w:t>risk</w:t>
      </w:r>
      <w:r>
        <w:rPr>
          <w:color w:val="231F1F"/>
          <w:spacing w:val="-15"/>
          <w:w w:val="115"/>
        </w:rPr>
        <w:t> </w:t>
      </w:r>
      <w:r>
        <w:rPr>
          <w:color w:val="231F1F"/>
          <w:w w:val="115"/>
        </w:rPr>
        <w:t>of</w:t>
      </w:r>
      <w:r>
        <w:rPr>
          <w:color w:val="231F1F"/>
          <w:spacing w:val="-15"/>
          <w:w w:val="115"/>
        </w:rPr>
        <w:t> </w:t>
      </w:r>
      <w:r>
        <w:rPr>
          <w:color w:val="231F1F"/>
          <w:w w:val="115"/>
        </w:rPr>
        <w:t>myopathy </w:t>
      </w:r>
      <w:r>
        <w:rPr>
          <w:color w:val="231F1F"/>
          <w:w w:val="110"/>
        </w:rPr>
        <w:t>when lopinavir given with </w:t>
      </w:r>
      <w:r>
        <w:rPr>
          <w:rFonts w:ascii="Calibri" w:hAnsi="Calibri"/>
          <w:color w:val="008356"/>
          <w:spacing w:val="2"/>
          <w:w w:val="110"/>
          <w:sz w:val="11"/>
        </w:rPr>
        <w:t>ATORVASTATIN</w:t>
      </w:r>
      <w:r>
        <w:rPr>
          <w:color w:val="231F1F"/>
          <w:spacing w:val="2"/>
          <w:w w:val="110"/>
        </w:rPr>
        <w:t>; </w:t>
      </w:r>
      <w:r>
        <w:rPr>
          <w:color w:val="231F1F"/>
          <w:w w:val="110"/>
        </w:rPr>
        <w:t>lopinavir</w:t>
      </w:r>
      <w:r>
        <w:rPr>
          <w:color w:val="231F1F"/>
          <w:spacing w:val="-21"/>
          <w:w w:val="110"/>
        </w:rPr>
        <w:t> </w:t>
      </w:r>
      <w:r>
        <w:rPr>
          <w:color w:val="231F1F"/>
          <w:w w:val="110"/>
        </w:rPr>
        <w:t>increases </w:t>
      </w:r>
      <w:r>
        <w:rPr>
          <w:color w:val="231F1F"/>
          <w:w w:val="115"/>
        </w:rPr>
        <w:t>plasma concentration of </w:t>
      </w:r>
      <w:r>
        <w:rPr>
          <w:rFonts w:ascii="Arial" w:hAnsi="Arial"/>
          <w:color w:val="231F1F"/>
          <w:w w:val="355"/>
          <w:position w:val="1"/>
          <w:sz w:val="7"/>
        </w:rPr>
        <w:t>l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 </w:t>
      </w:r>
      <w:r>
        <w:rPr>
          <w:color w:val="231F1F"/>
          <w:w w:val="115"/>
        </w:rPr>
        <w:t>dose of rosuvastatin (consult product literature); possible increased risk</w:t>
      </w:r>
      <w:r>
        <w:rPr>
          <w:color w:val="231F1F"/>
          <w:spacing w:val="-23"/>
          <w:w w:val="115"/>
        </w:rPr>
        <w:t> </w:t>
      </w:r>
      <w:r>
        <w:rPr>
          <w:color w:val="231F1F"/>
          <w:w w:val="115"/>
        </w:rPr>
        <w:t>of</w:t>
      </w:r>
      <w:r>
        <w:rPr>
          <w:color w:val="231F1F"/>
          <w:spacing w:val="-22"/>
          <w:w w:val="115"/>
        </w:rPr>
        <w:t> </w:t>
      </w:r>
      <w:r>
        <w:rPr>
          <w:color w:val="231F1F"/>
          <w:w w:val="115"/>
        </w:rPr>
        <w:t>myopathy</w:t>
      </w:r>
      <w:r>
        <w:rPr>
          <w:color w:val="231F1F"/>
          <w:spacing w:val="-23"/>
          <w:w w:val="115"/>
        </w:rPr>
        <w:t> </w:t>
      </w:r>
      <w:r>
        <w:rPr>
          <w:color w:val="231F1F"/>
          <w:w w:val="115"/>
        </w:rPr>
        <w:t>when</w:t>
      </w:r>
      <w:r>
        <w:rPr>
          <w:color w:val="231F1F"/>
          <w:spacing w:val="-23"/>
          <w:w w:val="115"/>
        </w:rPr>
        <w:t> </w:t>
      </w:r>
      <w:r>
        <w:rPr>
          <w:color w:val="231F1F"/>
          <w:w w:val="115"/>
        </w:rPr>
        <w:t>lopinavir</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SIMVASTATIN</w:t>
      </w:r>
      <w:r>
        <w:rPr>
          <w:rFonts w:ascii="Arial" w:hAnsi="Arial"/>
          <w:color w:val="231F1F"/>
          <w:spacing w:val="3"/>
          <w:w w:val="115"/>
        </w:rPr>
        <w:t>— </w:t>
      </w:r>
      <w:r>
        <w:rPr>
          <w:color w:val="231F1F"/>
          <w:w w:val="115"/>
        </w:rPr>
        <w:t>avoid concomitant use; avoidance of lopinavir advised by manufacturer of </w:t>
      </w:r>
      <w:r>
        <w:rPr>
          <w:rFonts w:ascii="Arial" w:hAnsi="Arial"/>
          <w:color w:val="231F1F"/>
          <w:w w:val="355"/>
          <w:position w:val="1"/>
          <w:sz w:val="7"/>
        </w:rPr>
        <w:t>l </w:t>
      </w:r>
      <w:r>
        <w:rPr>
          <w:rFonts w:ascii="Calibri" w:hAnsi="Calibri"/>
          <w:color w:val="008356"/>
          <w:spacing w:val="3"/>
          <w:w w:val="115"/>
          <w:sz w:val="11"/>
        </w:rPr>
        <w:t>LOMITAPIDE </w:t>
      </w:r>
      <w:r>
        <w:rPr>
          <w:color w:val="231F1F"/>
          <w:w w:val="115"/>
        </w:rPr>
        <w:t>(plasma concentration of lomitapide possibly</w:t>
      </w:r>
      <w:r>
        <w:rPr>
          <w:color w:val="231F1F"/>
          <w:spacing w:val="-8"/>
          <w:w w:val="115"/>
        </w:rPr>
        <w:t> </w:t>
      </w:r>
      <w:r>
        <w:rPr>
          <w:color w:val="231F1F"/>
          <w:w w:val="115"/>
        </w:rPr>
        <w:t>increased)</w:t>
      </w:r>
    </w:p>
    <w:p>
      <w:pPr>
        <w:pStyle w:val="BodyText"/>
        <w:spacing w:line="143" w:lineRule="exact"/>
        <w:ind w:left="183"/>
      </w:pPr>
      <w:r>
        <w:rPr>
          <w:rFonts w:ascii="Arial"/>
          <w:color w:val="231F1F"/>
          <w:w w:val="355"/>
          <w:position w:val="1"/>
          <w:sz w:val="7"/>
        </w:rPr>
        <w:t>l </w:t>
      </w:r>
      <w:r>
        <w:rPr>
          <w:rFonts w:ascii="Calibri"/>
          <w:color w:val="231F1F"/>
          <w:w w:val="115"/>
        </w:rPr>
        <w:t>Orlistat: </w:t>
      </w:r>
      <w:r>
        <w:rPr>
          <w:color w:val="231F1F"/>
          <w:w w:val="115"/>
        </w:rPr>
        <w:t>absorption of lopinavir possibly reduced by</w:t>
      </w:r>
    </w:p>
    <w:p>
      <w:pPr>
        <w:spacing w:line="133" w:lineRule="exact" w:before="4"/>
        <w:ind w:left="282"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left="282" w:right="505" w:hanging="100"/>
      </w:pPr>
      <w:r>
        <w:rPr>
          <w:rFonts w:ascii="Arial" w:hAnsi="Arial"/>
          <w:color w:val="231F1F"/>
          <w:w w:val="115"/>
          <w:position w:val="1"/>
          <w:sz w:val="7"/>
        </w:rPr>
        <w:t>l </w:t>
      </w:r>
      <w:r>
        <w:rPr>
          <w:rFonts w:ascii="Calibri" w:hAnsi="Calibri"/>
          <w:color w:val="231F1F"/>
          <w:w w:val="115"/>
        </w:rPr>
        <w:t>Ranolazine: </w:t>
      </w:r>
      <w:r>
        <w:rPr>
          <w:color w:val="231F1F"/>
          <w:w w:val="115"/>
        </w:rPr>
        <w:t>lopinavir possibly increases plasma 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advises avoid </w:t>
      </w:r>
      <w:r>
        <w:rPr>
          <w:color w:val="231F1F"/>
          <w:w w:val="120"/>
        </w:rPr>
        <w:t>concomitant use</w:t>
      </w:r>
    </w:p>
    <w:p>
      <w:pPr>
        <w:pStyle w:val="BodyText"/>
        <w:spacing w:line="220" w:lineRule="auto" w:before="9"/>
        <w:ind w:left="282" w:right="741" w:hanging="100"/>
        <w:rPr>
          <w:rFonts w:ascii="Calibri" w:hAnsi="Calibri"/>
          <w:sz w:val="11"/>
        </w:rPr>
      </w:pPr>
      <w:r>
        <w:rPr>
          <w:rFonts w:ascii="Lucida Sans Unicode" w:hAnsi="Lucida Sans Unicode"/>
          <w:color w:val="A7A8AC"/>
          <w:w w:val="95"/>
          <w:sz w:val="10"/>
        </w:rPr>
        <w:t>▶ </w:t>
      </w:r>
      <w:r>
        <w:rPr>
          <w:rFonts w:ascii="Calibri" w:hAnsi="Calibri"/>
          <w:color w:val="231F1F"/>
          <w:w w:val="105"/>
        </w:rPr>
        <w:t>Sirolimus: </w:t>
      </w:r>
      <w:r>
        <w:rPr>
          <w:color w:val="231F1F"/>
          <w:w w:val="105"/>
        </w:rPr>
        <w:t>lopinavir possibly  increases  plasma  </w:t>
      </w:r>
      <w:r>
        <w:rPr>
          <w:color w:val="231F1F"/>
          <w:spacing w:val="-2"/>
          <w:w w:val="105"/>
        </w:rPr>
        <w:t>concentration </w:t>
      </w:r>
      <w:r>
        <w:rPr>
          <w:color w:val="231F1F"/>
          <w:w w:val="105"/>
        </w:rPr>
        <w:t>of </w:t>
      </w:r>
      <w:r>
        <w:rPr>
          <w:rFonts w:ascii="Calibri" w:hAnsi="Calibri"/>
          <w:color w:val="008356"/>
          <w:spacing w:val="4"/>
          <w:w w:val="105"/>
          <w:sz w:val="11"/>
        </w:rPr>
        <w:t>SIROLIMUS</w:t>
      </w:r>
    </w:p>
    <w:p>
      <w:pPr>
        <w:pStyle w:val="BodyText"/>
        <w:spacing w:line="220" w:lineRule="auto" w:before="8"/>
        <w:ind w:left="282" w:right="72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manufacturer of lopinavir advises avoid concomitant use with</w:t>
      </w:r>
      <w:r>
        <w:rPr>
          <w:color w:val="231F1F"/>
          <w:spacing w:val="6"/>
          <w:w w:val="105"/>
          <w:vertAlign w:val="baseline"/>
        </w:rPr>
        <w:t> </w:t>
      </w:r>
      <w:r>
        <w:rPr>
          <w:rFonts w:ascii="Calibri" w:hAnsi="Calibri"/>
          <w:color w:val="008356"/>
          <w:spacing w:val="5"/>
          <w:w w:val="105"/>
          <w:sz w:val="11"/>
          <w:vertAlign w:val="baseline"/>
        </w:rPr>
        <w:t>SALMETEROL</w:t>
      </w:r>
    </w:p>
    <w:p>
      <w:pPr>
        <w:pStyle w:val="BodyText"/>
        <w:spacing w:before="9"/>
        <w:ind w:left="183"/>
      </w:pPr>
      <w:r>
        <w:rPr>
          <w:rFonts w:ascii="Trebuchet MS"/>
          <w:color w:val="008356"/>
          <w:w w:val="110"/>
        </w:rPr>
        <w:t>Loprazolam</w:t>
      </w:r>
      <w:r>
        <w:rPr>
          <w:rFonts w:ascii="Trebuchet MS"/>
          <w:color w:val="008356"/>
          <w:spacing w:val="4"/>
          <w:w w:val="110"/>
        </w:rPr>
        <w:t> </w:t>
      </w:r>
      <w:r>
        <w:rPr>
          <w:i/>
          <w:color w:val="231F1F"/>
          <w:w w:val="110"/>
        </w:rPr>
        <w:t>see</w:t>
      </w:r>
      <w:r>
        <w:rPr>
          <w:i/>
          <w:color w:val="231F1F"/>
          <w:spacing w:val="-11"/>
          <w:w w:val="110"/>
        </w:rPr>
        <w:t> </w:t>
      </w:r>
      <w:r>
        <w:rPr>
          <w:color w:val="231F1F"/>
          <w:w w:val="110"/>
        </w:rPr>
        <w:t>Anxiolytics</w:t>
      </w:r>
      <w:r>
        <w:rPr>
          <w:color w:val="231F1F"/>
          <w:spacing w:val="-12"/>
          <w:w w:val="110"/>
        </w:rPr>
        <w:t> </w:t>
      </w:r>
      <w:r>
        <w:rPr>
          <w:color w:val="231F1F"/>
          <w:w w:val="110"/>
        </w:rPr>
        <w:t>and</w:t>
      </w:r>
      <w:r>
        <w:rPr>
          <w:color w:val="231F1F"/>
          <w:spacing w:val="-11"/>
          <w:w w:val="110"/>
        </w:rPr>
        <w:t> </w:t>
      </w:r>
      <w:r>
        <w:rPr>
          <w:color w:val="231F1F"/>
          <w:w w:val="110"/>
        </w:rPr>
        <w:t>Hypnotics</w:t>
      </w:r>
    </w:p>
    <w:p>
      <w:pPr>
        <w:pStyle w:val="BodyText"/>
        <w:spacing w:before="11"/>
        <w:ind w:left="182"/>
      </w:pPr>
      <w:r>
        <w:rPr>
          <w:rFonts w:ascii="Trebuchet MS"/>
          <w:color w:val="008356"/>
          <w:w w:val="110"/>
        </w:rPr>
        <w:t>Loratadine </w:t>
      </w:r>
      <w:r>
        <w:rPr>
          <w:i/>
          <w:color w:val="231F1F"/>
          <w:w w:val="110"/>
        </w:rPr>
        <w:t>see</w:t>
      </w:r>
      <w:r>
        <w:rPr>
          <w:i/>
          <w:color w:val="231F1F"/>
          <w:spacing w:val="-5"/>
          <w:w w:val="110"/>
        </w:rPr>
        <w:t> </w:t>
      </w:r>
      <w:r>
        <w:rPr>
          <w:color w:val="231F1F"/>
          <w:w w:val="110"/>
        </w:rPr>
        <w:t>Antihistamines</w:t>
      </w:r>
    </w:p>
    <w:p>
      <w:pPr>
        <w:pStyle w:val="BodyText"/>
        <w:spacing w:line="256" w:lineRule="auto" w:before="10"/>
        <w:ind w:left="182" w:right="1150"/>
      </w:pPr>
      <w:r>
        <w:rPr>
          <w:rFonts w:ascii="Trebuchet MS"/>
          <w:color w:val="008356"/>
          <w:w w:val="110"/>
        </w:rPr>
        <w:t>Lorazepam </w:t>
      </w:r>
      <w:r>
        <w:rPr>
          <w:i/>
          <w:color w:val="231F1F"/>
          <w:w w:val="110"/>
        </w:rPr>
        <w:t>see </w:t>
      </w:r>
      <w:r>
        <w:rPr>
          <w:color w:val="231F1F"/>
          <w:w w:val="110"/>
        </w:rPr>
        <w:t>Anxiolytics and Hypnotics </w:t>
      </w:r>
      <w:r>
        <w:rPr>
          <w:rFonts w:ascii="Trebuchet MS"/>
          <w:color w:val="008356"/>
          <w:w w:val="110"/>
        </w:rPr>
        <w:t>Lormetazepam </w:t>
      </w:r>
      <w:r>
        <w:rPr>
          <w:i/>
          <w:color w:val="231F1F"/>
          <w:w w:val="110"/>
        </w:rPr>
        <w:t>see </w:t>
      </w:r>
      <w:r>
        <w:rPr>
          <w:color w:val="231F1F"/>
          <w:w w:val="110"/>
        </w:rPr>
        <w:t>Anxiolytics and Hypnotics </w:t>
      </w:r>
      <w:r>
        <w:rPr>
          <w:rFonts w:ascii="Trebuchet MS"/>
          <w:color w:val="008356"/>
          <w:w w:val="110"/>
        </w:rPr>
        <w:t>Losartan </w:t>
      </w:r>
      <w:r>
        <w:rPr>
          <w:i/>
          <w:color w:val="231F1F"/>
          <w:w w:val="110"/>
        </w:rPr>
        <w:t>see </w:t>
      </w:r>
      <w:r>
        <w:rPr>
          <w:color w:val="231F1F"/>
          <w:w w:val="110"/>
        </w:rPr>
        <w:t>Angiotensin-II Receptor Antagonists </w:t>
      </w:r>
      <w:r>
        <w:rPr>
          <w:rFonts w:ascii="Trebuchet MS"/>
          <w:color w:val="008356"/>
          <w:w w:val="110"/>
        </w:rPr>
        <w:t>Lurasidone </w:t>
      </w:r>
      <w:r>
        <w:rPr>
          <w:i/>
          <w:color w:val="231F1F"/>
          <w:w w:val="110"/>
        </w:rPr>
        <w:t>see</w:t>
      </w:r>
      <w:r>
        <w:rPr>
          <w:i/>
          <w:color w:val="231F1F"/>
          <w:spacing w:val="-21"/>
          <w:w w:val="110"/>
        </w:rPr>
        <w:t> </w:t>
      </w:r>
      <w:r>
        <w:rPr>
          <w:color w:val="231F1F"/>
          <w:w w:val="110"/>
        </w:rPr>
        <w:t>Antipsychotics</w:t>
      </w:r>
    </w:p>
    <w:p>
      <w:pPr>
        <w:pStyle w:val="BodyText"/>
        <w:spacing w:before="1"/>
        <w:ind w:left="182"/>
      </w:pPr>
      <w:r>
        <w:rPr>
          <w:rFonts w:ascii="Trebuchet MS"/>
          <w:color w:val="008356"/>
          <w:w w:val="105"/>
        </w:rPr>
        <w:t>Lymecycline  </w:t>
      </w:r>
      <w:r>
        <w:rPr>
          <w:i/>
          <w:color w:val="231F1F"/>
          <w:w w:val="105"/>
        </w:rPr>
        <w:t>see</w:t>
      </w:r>
      <w:r>
        <w:rPr>
          <w:i/>
          <w:color w:val="231F1F"/>
          <w:spacing w:val="-16"/>
          <w:w w:val="105"/>
        </w:rPr>
        <w:t> </w:t>
      </w:r>
      <w:r>
        <w:rPr>
          <w:color w:val="231F1F"/>
          <w:w w:val="105"/>
        </w:rPr>
        <w:t>Tetracyclines</w:t>
      </w:r>
    </w:p>
    <w:p>
      <w:pPr>
        <w:pStyle w:val="BodyText"/>
        <w:spacing w:before="10"/>
        <w:ind w:left="182"/>
        <w:rPr>
          <w:rFonts w:ascii="Trebuchet MS"/>
        </w:rPr>
      </w:pPr>
      <w:r>
        <w:rPr>
          <w:rFonts w:ascii="Trebuchet MS"/>
          <w:color w:val="008356"/>
        </w:rPr>
        <w:t>Macitentan</w:t>
      </w:r>
    </w:p>
    <w:p>
      <w:pPr>
        <w:pStyle w:val="BodyText"/>
        <w:spacing w:line="146" w:lineRule="exact" w:before="1"/>
        <w:ind w:left="183"/>
      </w:pPr>
      <w:r>
        <w:rPr>
          <w:rFonts w:ascii="Arial"/>
          <w:color w:val="231F1F"/>
          <w:w w:val="355"/>
          <w:position w:val="1"/>
          <w:sz w:val="7"/>
        </w:rPr>
        <w:t>l </w:t>
      </w:r>
      <w:r>
        <w:rPr>
          <w:rFonts w:ascii="Calibri"/>
          <w:color w:val="231F1F"/>
          <w:w w:val="115"/>
        </w:rPr>
        <w:t>Antibacterials: </w:t>
      </w:r>
      <w:r>
        <w:rPr>
          <w:color w:val="231F1F"/>
          <w:w w:val="115"/>
        </w:rPr>
        <w:t>plasma concentration of macitentan reduced by</w:t>
      </w:r>
    </w:p>
    <w:p>
      <w:pPr>
        <w:spacing w:line="140" w:lineRule="exact" w:before="0"/>
        <w:ind w:left="282" w:right="0" w:firstLine="0"/>
        <w:jc w:val="left"/>
        <w:rPr>
          <w:sz w:val="12"/>
        </w:rPr>
      </w:pPr>
      <w:r>
        <w:rPr>
          <w:rFonts w:ascii="Arial" w:hAnsi="Arial"/>
          <w:color w:val="231F1F"/>
          <w:w w:val="110"/>
          <w:position w:val="1"/>
          <w:sz w:val="7"/>
        </w:rPr>
        <w:t>l  </w:t>
      </w:r>
      <w:r>
        <w:rPr>
          <w:rFonts w:ascii="Calibri" w:hAnsi="Calibri"/>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5"/>
          <w:w w:val="110"/>
          <w:sz w:val="12"/>
        </w:rPr>
        <w:t> </w:t>
      </w:r>
      <w:r>
        <w:rPr>
          <w:color w:val="231F1F"/>
          <w:w w:val="110"/>
          <w:sz w:val="12"/>
        </w:rPr>
        <w:t>use</w:t>
      </w:r>
    </w:p>
    <w:p>
      <w:pPr>
        <w:pStyle w:val="BodyText"/>
        <w:spacing w:line="220" w:lineRule="auto" w:before="8"/>
        <w:ind w:left="282"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macitentan advises </w:t>
      </w:r>
      <w:r>
        <w:rPr>
          <w:color w:val="231F1F"/>
          <w:spacing w:val="-3"/>
          <w:w w:val="105"/>
        </w:rPr>
        <w:t>avoid </w:t>
      </w:r>
      <w:r>
        <w:rPr>
          <w:color w:val="231F1F"/>
          <w:w w:val="105"/>
        </w:rPr>
        <w:t>concomitant use with </w:t>
      </w:r>
      <w:r>
        <w:rPr>
          <w:rFonts w:ascii="Calibri" w:hAnsi="Calibri"/>
          <w:color w:val="008356"/>
          <w:w w:val="105"/>
          <w:sz w:val="11"/>
        </w:rPr>
        <w:t>ST </w:t>
      </w:r>
      <w:r>
        <w:rPr>
          <w:rFonts w:ascii="Calibri" w:hAnsi="Calibri"/>
          <w:color w:val="008356"/>
          <w:spacing w:val="4"/>
          <w:w w:val="105"/>
          <w:sz w:val="11"/>
        </w:rPr>
        <w:t>JOHN</w:t>
      </w:r>
      <w:r>
        <w:rPr>
          <w:rFonts w:ascii="Arial" w:hAnsi="Arial"/>
          <w:color w:val="008356"/>
          <w:spacing w:val="4"/>
          <w:w w:val="105"/>
          <w:sz w:val="11"/>
        </w:rPr>
        <w:t>’</w:t>
      </w:r>
      <w:r>
        <w:rPr>
          <w:rFonts w:ascii="Calibri" w:hAnsi="Calibri"/>
          <w:color w:val="008356"/>
          <w:spacing w:val="4"/>
          <w:w w:val="105"/>
          <w:sz w:val="11"/>
        </w:rPr>
        <w:t>S</w:t>
      </w:r>
      <w:r>
        <w:rPr>
          <w:rFonts w:ascii="Calibri" w:hAnsi="Calibri"/>
          <w:color w:val="008356"/>
          <w:spacing w:val="13"/>
          <w:w w:val="105"/>
          <w:sz w:val="11"/>
        </w:rPr>
        <w:t> </w:t>
      </w:r>
      <w:r>
        <w:rPr>
          <w:rFonts w:ascii="Calibri" w:hAnsi="Calibri"/>
          <w:color w:val="008356"/>
          <w:spacing w:val="3"/>
          <w:w w:val="105"/>
          <w:sz w:val="11"/>
        </w:rPr>
        <w:t>WORT</w:t>
      </w:r>
    </w:p>
    <w:p>
      <w:pPr>
        <w:spacing w:line="237" w:lineRule="auto" w:before="1"/>
        <w:ind w:left="282" w:right="91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macitentan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54" w:lineRule="exact"/>
        <w:ind w:left="183"/>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macitentan increased by</w:t>
      </w:r>
    </w:p>
    <w:p>
      <w:pPr>
        <w:spacing w:line="132" w:lineRule="exact" w:before="0"/>
        <w:ind w:left="282" w:right="0" w:firstLine="0"/>
        <w:jc w:val="left"/>
        <w:rPr>
          <w:rFonts w:ascii="Calibri"/>
          <w:sz w:val="11"/>
        </w:rPr>
      </w:pPr>
      <w:r>
        <w:rPr>
          <w:rFonts w:ascii="Calibri"/>
          <w:color w:val="008356"/>
          <w:sz w:val="11"/>
        </w:rPr>
        <w:t>KETOCONAZOLE</w:t>
      </w:r>
    </w:p>
    <w:p>
      <w:pPr>
        <w:pStyle w:val="BodyText"/>
        <w:spacing w:before="6"/>
        <w:ind w:left="183"/>
        <w:rPr>
          <w:rFonts w:ascii="Trebuchet MS"/>
        </w:rPr>
      </w:pPr>
      <w:r>
        <w:rPr>
          <w:rFonts w:ascii="Trebuchet MS"/>
          <w:color w:val="008356"/>
          <w:w w:val="105"/>
        </w:rPr>
        <w:t>Macrogols</w:t>
      </w:r>
    </w:p>
    <w:p>
      <w:pPr>
        <w:pStyle w:val="BodyText"/>
        <w:spacing w:line="242" w:lineRule="auto" w:before="5"/>
        <w:ind w:left="282" w:right="505" w:hanging="1"/>
      </w:pPr>
      <w:r>
        <w:rPr>
          <w:rFonts w:ascii="Calibri"/>
          <w:color w:val="008356"/>
          <w:w w:val="115"/>
          <w:sz w:val="11"/>
        </w:rPr>
        <w:t>NOTE </w:t>
      </w:r>
      <w:r>
        <w:rPr>
          <w:color w:val="231F1F"/>
          <w:w w:val="115"/>
        </w:rPr>
        <w:t>Some manufacturers suggest taking other oral medication 1 hour before or 1 hour after macrogols to reduce possible interference with absorption</w:t>
      </w:r>
    </w:p>
    <w:p>
      <w:pPr>
        <w:pStyle w:val="BodyText"/>
        <w:spacing w:before="10"/>
        <w:ind w:left="182"/>
        <w:rPr>
          <w:rFonts w:ascii="Trebuchet MS"/>
        </w:rPr>
      </w:pPr>
      <w:r>
        <w:rPr>
          <w:rFonts w:ascii="Trebuchet MS"/>
          <w:color w:val="008356"/>
        </w:rPr>
        <w:t>Macrolides</w:t>
      </w:r>
    </w:p>
    <w:p>
      <w:pPr>
        <w:spacing w:before="5"/>
        <w:ind w:left="282" w:right="0" w:firstLine="0"/>
        <w:jc w:val="left"/>
        <w:rPr>
          <w:sz w:val="12"/>
        </w:rPr>
      </w:pPr>
      <w:r>
        <w:rPr>
          <w:rFonts w:ascii="Calibri"/>
          <w:color w:val="008356"/>
          <w:spacing w:val="3"/>
          <w:w w:val="110"/>
          <w:sz w:val="11"/>
        </w:rPr>
        <w:t>NOTE</w:t>
      </w:r>
      <w:r>
        <w:rPr>
          <w:rFonts w:ascii="Calibri"/>
          <w:color w:val="008356"/>
          <w:spacing w:val="-6"/>
          <w:w w:val="110"/>
          <w:sz w:val="11"/>
        </w:rPr>
        <w:t> </w:t>
      </w:r>
      <w:r>
        <w:rPr>
          <w:i/>
          <w:color w:val="231F1F"/>
          <w:w w:val="110"/>
          <w:sz w:val="12"/>
        </w:rPr>
        <w:t>See</w:t>
      </w:r>
      <w:r>
        <w:rPr>
          <w:i/>
          <w:color w:val="231F1F"/>
          <w:spacing w:val="-13"/>
          <w:w w:val="110"/>
          <w:sz w:val="12"/>
        </w:rPr>
        <w:t> </w:t>
      </w:r>
      <w:r>
        <w:rPr>
          <w:i/>
          <w:color w:val="231F1F"/>
          <w:w w:val="110"/>
          <w:sz w:val="12"/>
        </w:rPr>
        <w:t>also</w:t>
      </w:r>
      <w:r>
        <w:rPr>
          <w:i/>
          <w:color w:val="231F1F"/>
          <w:spacing w:val="-12"/>
          <w:w w:val="110"/>
          <w:sz w:val="12"/>
        </w:rPr>
        <w:t> </w:t>
      </w:r>
      <w:r>
        <w:rPr>
          <w:color w:val="231F1F"/>
          <w:w w:val="110"/>
          <w:sz w:val="12"/>
        </w:rPr>
        <w:t>Telithromycin</w:t>
      </w:r>
    </w:p>
    <w:p>
      <w:pPr>
        <w:pStyle w:val="BodyText"/>
        <w:spacing w:before="1"/>
        <w:ind w:left="282" w:right="1150" w:hanging="1"/>
      </w:pPr>
      <w:r>
        <w:rPr>
          <w:rFonts w:ascii="Calibri"/>
          <w:color w:val="008356"/>
          <w:spacing w:val="3"/>
          <w:w w:val="115"/>
          <w:sz w:val="11"/>
        </w:rPr>
        <w:t>NOTE</w:t>
      </w:r>
      <w:r>
        <w:rPr>
          <w:rFonts w:ascii="Calibri"/>
          <w:color w:val="008356"/>
          <w:w w:val="115"/>
          <w:sz w:val="11"/>
        </w:rPr>
        <w:t> </w:t>
      </w:r>
      <w:r>
        <w:rPr>
          <w:color w:val="231F1F"/>
          <w:w w:val="115"/>
        </w:rPr>
        <w:t>Interactions</w:t>
      </w:r>
      <w:r>
        <w:rPr>
          <w:color w:val="231F1F"/>
          <w:spacing w:val="-9"/>
          <w:w w:val="115"/>
        </w:rPr>
        <w:t> </w:t>
      </w:r>
      <w:r>
        <w:rPr>
          <w:color w:val="231F1F"/>
          <w:w w:val="115"/>
        </w:rPr>
        <w:t>do</w:t>
      </w:r>
      <w:r>
        <w:rPr>
          <w:color w:val="231F1F"/>
          <w:spacing w:val="-7"/>
          <w:w w:val="115"/>
        </w:rPr>
        <w:t> </w:t>
      </w:r>
      <w:r>
        <w:rPr>
          <w:color w:val="231F1F"/>
          <w:w w:val="115"/>
        </w:rPr>
        <w:t>not</w:t>
      </w:r>
      <w:r>
        <w:rPr>
          <w:color w:val="231F1F"/>
          <w:spacing w:val="-7"/>
          <w:w w:val="115"/>
        </w:rPr>
        <w:t> </w:t>
      </w:r>
      <w:r>
        <w:rPr>
          <w:color w:val="231F1F"/>
          <w:w w:val="115"/>
        </w:rPr>
        <w:t>apply</w:t>
      </w:r>
      <w:r>
        <w:rPr>
          <w:color w:val="231F1F"/>
          <w:spacing w:val="-7"/>
          <w:w w:val="115"/>
        </w:rPr>
        <w:t> </w:t>
      </w:r>
      <w:r>
        <w:rPr>
          <w:color w:val="231F1F"/>
          <w:w w:val="115"/>
        </w:rPr>
        <w:t>to</w:t>
      </w:r>
      <w:r>
        <w:rPr>
          <w:color w:val="231F1F"/>
          <w:spacing w:val="-8"/>
          <w:w w:val="115"/>
        </w:rPr>
        <w:t> </w:t>
      </w:r>
      <w:r>
        <w:rPr>
          <w:color w:val="231F1F"/>
          <w:w w:val="115"/>
        </w:rPr>
        <w:t>small</w:t>
      </w:r>
      <w:r>
        <w:rPr>
          <w:color w:val="231F1F"/>
          <w:spacing w:val="-7"/>
          <w:w w:val="115"/>
        </w:rPr>
        <w:t> </w:t>
      </w:r>
      <w:r>
        <w:rPr>
          <w:color w:val="231F1F"/>
          <w:w w:val="115"/>
        </w:rPr>
        <w:t>amounts</w:t>
      </w:r>
      <w:r>
        <w:rPr>
          <w:color w:val="231F1F"/>
          <w:spacing w:val="-9"/>
          <w:w w:val="115"/>
        </w:rPr>
        <w:t> </w:t>
      </w:r>
      <w:r>
        <w:rPr>
          <w:color w:val="231F1F"/>
          <w:w w:val="115"/>
        </w:rPr>
        <w:t>of erythromycin used</w:t>
      </w:r>
      <w:r>
        <w:rPr>
          <w:color w:val="231F1F"/>
          <w:spacing w:val="-9"/>
          <w:w w:val="115"/>
        </w:rPr>
        <w:t> </w:t>
      </w:r>
      <w:r>
        <w:rPr>
          <w:color w:val="231F1F"/>
          <w:w w:val="115"/>
        </w:rPr>
        <w:t>topically</w:t>
      </w:r>
    </w:p>
    <w:p>
      <w:pPr>
        <w:pStyle w:val="BodyText"/>
        <w:spacing w:line="242" w:lineRule="auto" w:before="2"/>
        <w:ind w:left="282" w:right="720" w:hanging="100"/>
      </w:pPr>
      <w:r>
        <w:rPr>
          <w:rFonts w:ascii="Arial"/>
          <w:color w:val="231F1F"/>
          <w:w w:val="355"/>
          <w:position w:val="1"/>
          <w:sz w:val="7"/>
        </w:rPr>
        <w:t>l </w:t>
      </w:r>
      <w:r>
        <w:rPr>
          <w:rFonts w:ascii="Calibri"/>
          <w:color w:val="231F1F"/>
          <w:w w:val="110"/>
        </w:rPr>
        <w:t>Aminophylline: </w:t>
      </w:r>
      <w:r>
        <w:rPr>
          <w:color w:val="231F1F"/>
          <w:w w:val="110"/>
        </w:rPr>
        <w:t>clarithromycin possibly increases plasma concentration of </w:t>
      </w:r>
      <w:r>
        <w:rPr>
          <w:rFonts w:ascii="Calibri"/>
          <w:color w:val="008356"/>
          <w:w w:val="110"/>
          <w:sz w:val="11"/>
        </w:rPr>
        <w:t>AMINOPHYLLINE</w:t>
      </w:r>
      <w:r>
        <w:rPr>
          <w:color w:val="231F1F"/>
          <w:w w:val="110"/>
        </w:rPr>
        <w:t>; erythromycin increases plasma concentration of </w:t>
      </w:r>
      <w:r>
        <w:rPr>
          <w:rFonts w:ascii="Arial"/>
          <w:color w:val="231F1F"/>
          <w:w w:val="355"/>
          <w:position w:val="1"/>
          <w:sz w:val="7"/>
        </w:rPr>
        <w:t>l </w:t>
      </w:r>
      <w:r>
        <w:rPr>
          <w:rFonts w:ascii="Calibri"/>
          <w:color w:val="008356"/>
          <w:w w:val="110"/>
          <w:sz w:val="11"/>
        </w:rPr>
        <w:t>AMINOPHYLLINE </w:t>
      </w:r>
      <w:r>
        <w:rPr>
          <w:color w:val="231F1F"/>
          <w:w w:val="110"/>
        </w:rPr>
        <w:t>(also aminophylline may reduce absorption of </w:t>
      </w:r>
      <w:r>
        <w:rPr>
          <w:i/>
          <w:color w:val="231F1F"/>
          <w:w w:val="110"/>
        </w:rPr>
        <w:t>oral </w:t>
      </w:r>
      <w:r>
        <w:rPr>
          <w:color w:val="231F1F"/>
          <w:w w:val="110"/>
        </w:rPr>
        <w:t>erythromycin)</w:t>
      </w:r>
    </w:p>
    <w:p>
      <w:pPr>
        <w:pStyle w:val="BodyText"/>
        <w:spacing w:line="230" w:lineRule="auto" w:before="3"/>
        <w:ind w:left="282" w:right="7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erythromycin increases plasma concentration of </w:t>
      </w:r>
      <w:r>
        <w:rPr>
          <w:rFonts w:ascii="Calibri" w:hAnsi="Calibri"/>
          <w:color w:val="008356"/>
          <w:w w:val="110"/>
          <w:sz w:val="11"/>
        </w:rPr>
        <w:t>ALFENTANIL</w:t>
      </w:r>
      <w:r>
        <w:rPr>
          <w:color w:val="231F1F"/>
          <w:w w:val="110"/>
        </w:rPr>
        <w:t>; clarithromycin possibly increases plasma concentration of </w:t>
      </w:r>
      <w:r>
        <w:rPr>
          <w:rFonts w:ascii="Calibri" w:hAnsi="Calibri"/>
          <w:color w:val="008356"/>
          <w:w w:val="110"/>
          <w:sz w:val="11"/>
        </w:rPr>
        <w:t>FENTANYL</w:t>
      </w:r>
    </w:p>
    <w:p>
      <w:pPr>
        <w:spacing w:line="225" w:lineRule="auto" w:before="6"/>
        <w:ind w:left="147" w:right="809" w:firstLine="0"/>
        <w:jc w:val="right"/>
        <w:rPr>
          <w:rFonts w:ascii="Arial" w:hAnsi="Arial"/>
          <w:sz w:val="12"/>
        </w:rPr>
      </w:pPr>
      <w:r>
        <w:rPr>
          <w:rFonts w:ascii="Lucida Sans Unicode" w:hAnsi="Lucida Sans Unicode"/>
          <w:color w:val="A7A8AC"/>
          <w:w w:val="90"/>
          <w:sz w:val="10"/>
        </w:rPr>
        <w:t>▶ </w:t>
      </w:r>
      <w:r>
        <w:rPr>
          <w:rFonts w:ascii="Calibri" w:hAnsi="Calibri"/>
          <w:color w:val="231F1F"/>
          <w:w w:val="110"/>
          <w:sz w:val="12"/>
        </w:rPr>
        <w:t>Antacids: </w:t>
      </w:r>
      <w:r>
        <w:rPr>
          <w:color w:val="231F1F"/>
          <w:w w:val="110"/>
          <w:sz w:val="12"/>
        </w:rPr>
        <w:t>absorption of azithromycin reduced by </w:t>
      </w:r>
      <w:r>
        <w:rPr>
          <w:rFonts w:ascii="Calibri" w:hAnsi="Calibri"/>
          <w:color w:val="008356"/>
          <w:spacing w:val="4"/>
          <w:w w:val="110"/>
          <w:sz w:val="11"/>
        </w:rPr>
        <w:t>ANTACIDS</w:t>
      </w:r>
      <w:r>
        <w:rPr>
          <w:rFonts w:ascii="Calibri" w:hAnsi="Calibri"/>
          <w:color w:val="008356"/>
          <w:spacing w:val="5"/>
          <w:w w:val="99"/>
          <w:sz w:val="11"/>
        </w:rPr>
        <w:t> </w:t>
      </w:r>
      <w:r>
        <w:rPr>
          <w:rFonts w:ascii="Arial" w:hAnsi="Arial"/>
          <w:color w:val="231F1F"/>
          <w:w w:val="355"/>
          <w:position w:val="1"/>
          <w:sz w:val="7"/>
        </w:rPr>
        <w:t>l </w:t>
      </w:r>
      <w:r>
        <w:rPr>
          <w:rFonts w:ascii="Calibri" w:hAnsi="Calibri"/>
          <w:color w:val="231F1F"/>
          <w:w w:val="110"/>
          <w:sz w:val="12"/>
        </w:rPr>
        <w:t>Anti-arrhythmics: </w:t>
      </w:r>
      <w:r>
        <w:rPr>
          <w:color w:val="231F1F"/>
          <w:w w:val="110"/>
          <w:sz w:val="12"/>
        </w:rPr>
        <w:t>increased risk of ventricular arrhythmias</w:t>
      </w:r>
      <w:r>
        <w:rPr>
          <w:color w:val="231F1F"/>
          <w:w w:val="115"/>
          <w:sz w:val="12"/>
        </w:rPr>
        <w:t> </w:t>
      </w:r>
      <w:r>
        <w:rPr>
          <w:color w:val="231F1F"/>
          <w:w w:val="110"/>
          <w:sz w:val="12"/>
        </w:rPr>
        <w:t>when </w:t>
      </w:r>
      <w:r>
        <w:rPr>
          <w:i/>
          <w:color w:val="231F1F"/>
          <w:w w:val="110"/>
          <w:sz w:val="12"/>
        </w:rPr>
        <w:t>parenteral </w:t>
      </w:r>
      <w:r>
        <w:rPr>
          <w:color w:val="231F1F"/>
          <w:w w:val="110"/>
          <w:sz w:val="12"/>
        </w:rPr>
        <w:t>erythromycin given 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AMIODARONE</w:t>
      </w:r>
      <w:r>
        <w:rPr>
          <w:rFonts w:ascii="Arial" w:hAnsi="Arial"/>
          <w:color w:val="231F1F"/>
          <w:spacing w:val="4"/>
          <w:w w:val="110"/>
          <w:sz w:val="12"/>
        </w:rPr>
        <w:t>—</w:t>
      </w:r>
    </w:p>
    <w:p>
      <w:pPr>
        <w:pStyle w:val="BodyText"/>
        <w:spacing w:line="244" w:lineRule="auto" w:before="4"/>
        <w:ind w:left="282" w:right="741"/>
      </w:pPr>
      <w:r>
        <w:rPr>
          <w:color w:val="231F1F"/>
          <w:w w:val="110"/>
        </w:rPr>
        <w:t>avoid concomitant use; azithromycin possibly increases plasma concentration of </w:t>
      </w:r>
      <w:r>
        <w:rPr>
          <w:rFonts w:ascii="Arial" w:hAnsi="Arial"/>
          <w:color w:val="231F1F"/>
          <w:w w:val="355"/>
          <w:position w:val="1"/>
          <w:sz w:val="7"/>
        </w:rPr>
        <w:t>l </w:t>
      </w:r>
      <w:r>
        <w:rPr>
          <w:rFonts w:ascii="Calibri" w:hAnsi="Calibri"/>
          <w:color w:val="008356"/>
          <w:spacing w:val="4"/>
          <w:w w:val="110"/>
          <w:sz w:val="11"/>
        </w:rPr>
        <w:t>DISOPYRAMIDE </w:t>
      </w:r>
      <w:r>
        <w:rPr>
          <w:color w:val="231F1F"/>
          <w:w w:val="110"/>
        </w:rPr>
        <w:t>(increased risk of toxicity); erythromycin increases plasma concentration  of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DISOPYRAMIDE </w:t>
      </w:r>
      <w:r>
        <w:rPr>
          <w:color w:val="231F1F"/>
          <w:w w:val="110"/>
        </w:rPr>
        <w:t>(increased risk of toxicity); clarithromycin possibly increases plasma concentration of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0"/>
          <w:sz w:val="11"/>
        </w:rPr>
        <w:t>DISOPYRAMIDE </w:t>
      </w:r>
      <w:r>
        <w:rPr>
          <w:color w:val="231F1F"/>
          <w:w w:val="110"/>
        </w:rPr>
        <w:t>(increased risk of ventricular arrhythmias); avoidance of clarithromycin</w:t>
      </w:r>
      <w:r>
        <w:rPr>
          <w:color w:val="231F1F"/>
          <w:spacing w:val="-6"/>
          <w:w w:val="110"/>
        </w:rPr>
        <w:t> </w:t>
      </w:r>
      <w:r>
        <w:rPr>
          <w:color w:val="231F1F"/>
          <w:w w:val="110"/>
        </w:rPr>
        <w:t>advised</w:t>
      </w:r>
      <w:r>
        <w:rPr>
          <w:color w:val="231F1F"/>
          <w:spacing w:val="-7"/>
          <w:w w:val="110"/>
        </w:rPr>
        <w:t> </w:t>
      </w:r>
      <w:r>
        <w:rPr>
          <w:color w:val="231F1F"/>
          <w:w w:val="110"/>
        </w:rPr>
        <w:t>by</w:t>
      </w:r>
      <w:r>
        <w:rPr>
          <w:color w:val="231F1F"/>
          <w:spacing w:val="-5"/>
          <w:w w:val="110"/>
        </w:rPr>
        <w:t> </w:t>
      </w:r>
      <w:r>
        <w:rPr>
          <w:color w:val="231F1F"/>
          <w:w w:val="110"/>
        </w:rPr>
        <w:t>manufacturer</w:t>
      </w:r>
      <w:r>
        <w:rPr>
          <w:color w:val="231F1F"/>
          <w:spacing w:val="-6"/>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5"/>
          <w:w w:val="110"/>
          <w:sz w:val="11"/>
        </w:rPr>
        <w:t>DRONEDARONE </w:t>
      </w:r>
      <w:r>
        <w:rPr>
          <w:color w:val="231F1F"/>
          <w:w w:val="110"/>
        </w:rPr>
        <w:t>(risk of ventricular arrhythmias); erythromycin increases plasma concentration of </w:t>
      </w:r>
      <w:r>
        <w:rPr>
          <w:rFonts w:ascii="Arial" w:hAnsi="Arial"/>
          <w:color w:val="231F1F"/>
          <w:w w:val="355"/>
          <w:position w:val="1"/>
          <w:sz w:val="7"/>
        </w:rPr>
        <w:t>l </w:t>
      </w:r>
      <w:r>
        <w:rPr>
          <w:rFonts w:ascii="Calibri" w:hAnsi="Calibri"/>
          <w:color w:val="008356"/>
          <w:spacing w:val="4"/>
          <w:w w:val="110"/>
          <w:sz w:val="11"/>
        </w:rPr>
        <w:t>DRONEDARONE </w:t>
      </w:r>
      <w:r>
        <w:rPr>
          <w:color w:val="231F1F"/>
          <w:w w:val="110"/>
        </w:rPr>
        <w:t>(increased risk of ventricular arrhythmias</w:t>
      </w:r>
      <w:r>
        <w:rPr>
          <w:rFonts w:ascii="Arial" w:hAnsi="Arial"/>
          <w:color w:val="231F1F"/>
          <w:w w:val="110"/>
        </w:rPr>
        <w:t>—</w:t>
      </w:r>
      <w:r>
        <w:rPr>
          <w:color w:val="231F1F"/>
          <w:w w:val="110"/>
        </w:rPr>
        <w:t>avoid concomitant</w:t>
      </w:r>
      <w:r>
        <w:rPr>
          <w:color w:val="231F1F"/>
          <w:spacing w:val="2"/>
          <w:w w:val="110"/>
        </w:rPr>
        <w:t> </w:t>
      </w:r>
      <w:r>
        <w:rPr>
          <w:color w:val="231F1F"/>
          <w:w w:val="110"/>
        </w:rPr>
        <w:t>use)</w:t>
      </w:r>
    </w:p>
    <w:p>
      <w:pPr>
        <w:pStyle w:val="BodyText"/>
        <w:spacing w:line="244" w:lineRule="auto" w:before="4"/>
        <w:ind w:left="282" w:right="594"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when </w:t>
      </w:r>
      <w:r>
        <w:rPr>
          <w:i/>
          <w:color w:val="231F1F"/>
          <w:w w:val="110"/>
        </w:rPr>
        <w:t>parenteral </w:t>
      </w:r>
      <w:r>
        <w:rPr>
          <w:color w:val="231F1F"/>
          <w:w w:val="110"/>
        </w:rPr>
        <w:t>erythromycin given with </w:t>
      </w: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w:t>
      </w:r>
      <w:r>
        <w:rPr>
          <w:color w:val="231F1F"/>
          <w:w w:val="110"/>
        </w:rPr>
        <w:t>avoid concomitant use; increased risk of side-effects including neutropenia when azithromycin given with </w:t>
      </w:r>
      <w:r>
        <w:rPr>
          <w:rFonts w:ascii="Arial" w:hAnsi="Arial"/>
          <w:color w:val="231F1F"/>
          <w:w w:val="355"/>
          <w:position w:val="1"/>
          <w:sz w:val="7"/>
        </w:rPr>
        <w:t>l </w:t>
      </w:r>
      <w:r>
        <w:rPr>
          <w:rFonts w:ascii="Calibri" w:hAnsi="Calibri"/>
          <w:color w:val="008356"/>
          <w:w w:val="110"/>
          <w:sz w:val="11"/>
        </w:rPr>
        <w:t>RIFABUTIN</w:t>
      </w:r>
      <w:r>
        <w:rPr>
          <w:color w:val="231F1F"/>
          <w:w w:val="110"/>
        </w:rPr>
        <w:t>; clarithromycin increases plasma concentration of </w:t>
      </w:r>
      <w:r>
        <w:rPr>
          <w:rFonts w:ascii="Arial" w:hAnsi="Arial"/>
          <w:color w:val="231F1F"/>
          <w:w w:val="355"/>
          <w:position w:val="1"/>
          <w:sz w:val="7"/>
        </w:rPr>
        <w:t>l </w:t>
      </w:r>
      <w:r>
        <w:rPr>
          <w:rFonts w:ascii="Calibri" w:hAnsi="Calibri"/>
          <w:color w:val="008356"/>
          <w:w w:val="110"/>
          <w:sz w:val="11"/>
        </w:rPr>
        <w:t>RIFABUTIN </w:t>
      </w:r>
      <w:r>
        <w:rPr>
          <w:color w:val="231F1F"/>
          <w:w w:val="110"/>
        </w:rPr>
        <w:t>(increased risk of toxicity</w:t>
      </w:r>
      <w:r>
        <w:rPr>
          <w:rFonts w:ascii="Arial" w:hAnsi="Arial"/>
          <w:color w:val="231F1F"/>
          <w:w w:val="110"/>
        </w:rPr>
        <w:t>—</w:t>
      </w:r>
      <w:r>
        <w:rPr>
          <w:color w:val="231F1F"/>
          <w:w w:val="110"/>
        </w:rPr>
        <w:t>reduce rifabutin dose); erythromycin possibly increases plasma concentration of</w:t>
      </w:r>
    </w:p>
    <w:p>
      <w:pPr>
        <w:pStyle w:val="BodyText"/>
        <w:spacing w:line="247" w:lineRule="auto"/>
        <w:ind w:left="282" w:right="720"/>
      </w:pPr>
      <w:r>
        <w:rPr>
          <w:rFonts w:ascii="Arial" w:hAnsi="Arial"/>
          <w:color w:val="231F1F"/>
          <w:w w:val="355"/>
          <w:position w:val="1"/>
          <w:sz w:val="7"/>
        </w:rPr>
        <w:t>l </w:t>
      </w:r>
      <w:r>
        <w:rPr>
          <w:rFonts w:ascii="Calibri" w:hAnsi="Calibri"/>
          <w:color w:val="008356"/>
          <w:w w:val="110"/>
          <w:sz w:val="11"/>
        </w:rPr>
        <w:t>RIFABUTIN </w:t>
      </w:r>
      <w:r>
        <w:rPr>
          <w:color w:val="231F1F"/>
          <w:w w:val="110"/>
        </w:rPr>
        <w:t>(increased risk of toxicity</w:t>
      </w:r>
      <w:r>
        <w:rPr>
          <w:rFonts w:ascii="Arial" w:hAnsi="Arial"/>
          <w:color w:val="231F1F"/>
          <w:w w:val="110"/>
        </w:rPr>
        <w:t>—</w:t>
      </w:r>
      <w:r>
        <w:rPr>
          <w:color w:val="231F1F"/>
          <w:w w:val="110"/>
        </w:rPr>
        <w:t>reduce rifabutin dose); clarithromycin and erythromycin possibly increase plasma concentration of </w:t>
      </w:r>
      <w:r>
        <w:rPr>
          <w:rFonts w:ascii="Calibri" w:hAnsi="Calibri"/>
          <w:color w:val="008356"/>
          <w:w w:val="110"/>
          <w:sz w:val="11"/>
        </w:rPr>
        <w:t>BEDAQUILINE</w:t>
      </w:r>
      <w:r>
        <w:rPr>
          <w:rFonts w:ascii="Arial" w:hAnsi="Arial"/>
          <w:color w:val="231F1F"/>
          <w:w w:val="110"/>
        </w:rPr>
        <w:t>—</w:t>
      </w:r>
      <w:r>
        <w:rPr>
          <w:color w:val="231F1F"/>
          <w:w w:val="110"/>
        </w:rPr>
        <w:t>avoid concomitant use if clarithromycin and erythromycin given for more than 14 days; possible increased risk of ventricular arrhythmias</w:t>
      </w:r>
    </w:p>
    <w:p>
      <w:pPr>
        <w:spacing w:after="0" w:line="247" w:lineRule="auto"/>
        <w:sectPr>
          <w:pgSz w:w="8390" w:h="11910"/>
          <w:pgMar w:header="0" w:footer="0" w:top="460" w:bottom="0" w:left="480" w:right="0"/>
          <w:cols w:num="2" w:equalWidth="0">
            <w:col w:w="3640" w:space="40"/>
            <w:col w:w="4230"/>
          </w:cols>
        </w:sectPr>
      </w:pPr>
    </w:p>
    <w:p>
      <w:pPr>
        <w:pStyle w:val="BodyText"/>
        <w:spacing w:before="8"/>
        <w:ind w:left="0"/>
        <w:rPr>
          <w:sz w:val="14"/>
        </w:rPr>
      </w:pPr>
    </w:p>
    <w:p>
      <w:pPr>
        <w:pStyle w:val="BodyText"/>
        <w:ind w:left="108"/>
        <w:rPr>
          <w:rFonts w:ascii="Arial"/>
        </w:rPr>
      </w:pPr>
      <w:r>
        <w:rPr>
          <w:rFonts w:ascii="Arial"/>
          <w:color w:val="008356"/>
        </w:rPr>
        <w:t>Macrolides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Antibacterials (continued)</w:t>
      </w:r>
    </w:p>
    <w:p>
      <w:pPr>
        <w:pStyle w:val="BodyText"/>
        <w:spacing w:line="137" w:lineRule="exact"/>
      </w:pPr>
      <w:r>
        <w:rPr>
          <w:color w:val="231F1F"/>
          <w:w w:val="115"/>
        </w:rPr>
        <w:t>when clarithromycin and erythromycin given with</w:t>
      </w:r>
    </w:p>
    <w:p>
      <w:pPr>
        <w:spacing w:line="242" w:lineRule="auto" w:before="6"/>
        <w:ind w:left="208" w:right="121" w:firstLine="0"/>
        <w:jc w:val="left"/>
        <w:rPr>
          <w:rFonts w:ascii="Calibri"/>
          <w:sz w:val="11"/>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DELAMANID</w:t>
      </w:r>
      <w:r>
        <w:rPr>
          <w:color w:val="231F1F"/>
          <w:spacing w:val="4"/>
          <w:w w:val="110"/>
          <w:sz w:val="12"/>
        </w:rPr>
        <w:t>; </w:t>
      </w:r>
      <w:r>
        <w:rPr>
          <w:color w:val="231F1F"/>
          <w:w w:val="110"/>
          <w:sz w:val="12"/>
        </w:rPr>
        <w:t>avoidance of clarithromycin and erythromycin advised by manufacturer of </w:t>
      </w:r>
      <w:r>
        <w:rPr>
          <w:rFonts w:ascii="Calibri"/>
          <w:color w:val="008356"/>
          <w:spacing w:val="4"/>
          <w:w w:val="110"/>
          <w:sz w:val="11"/>
        </w:rPr>
        <w:t>FIDAXOMICIN</w:t>
      </w:r>
      <w:r>
        <w:rPr>
          <w:color w:val="231F1F"/>
          <w:spacing w:val="4"/>
          <w:w w:val="110"/>
          <w:sz w:val="12"/>
        </w:rPr>
        <w:t>; </w:t>
      </w:r>
      <w:r>
        <w:rPr>
          <w:color w:val="231F1F"/>
          <w:w w:val="110"/>
          <w:sz w:val="12"/>
        </w:rPr>
        <w:t>plasma concentration of clarithromycin reduced by </w:t>
      </w:r>
      <w:r>
        <w:rPr>
          <w:rFonts w:ascii="Calibri"/>
          <w:color w:val="008356"/>
          <w:spacing w:val="3"/>
          <w:w w:val="110"/>
          <w:sz w:val="11"/>
        </w:rPr>
        <w:t>RIFAMYCINS</w:t>
      </w:r>
    </w:p>
    <w:p>
      <w:pPr>
        <w:pStyle w:val="BodyText"/>
        <w:spacing w:line="242" w:lineRule="auto"/>
        <w:ind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avoidance of clarithromycin advised by manufacturer of </w:t>
      </w:r>
      <w:r>
        <w:rPr>
          <w:rFonts w:ascii="Calibri"/>
          <w:color w:val="008356"/>
          <w:w w:val="110"/>
          <w:sz w:val="11"/>
        </w:rPr>
        <w:t>APIXABAN</w:t>
      </w:r>
      <w:r>
        <w:rPr>
          <w:color w:val="231F1F"/>
          <w:w w:val="110"/>
        </w:rPr>
        <w:t>; clarithromycin and erythromycin enhance anticoagulant effect of </w:t>
      </w:r>
      <w:r>
        <w:rPr>
          <w:rFonts w:ascii="Arial"/>
          <w:color w:val="231F1F"/>
          <w:w w:val="355"/>
          <w:position w:val="1"/>
          <w:sz w:val="7"/>
        </w:rPr>
        <w:t>l </w:t>
      </w:r>
      <w:r>
        <w:rPr>
          <w:rFonts w:ascii="Calibri"/>
          <w:color w:val="008356"/>
          <w:w w:val="110"/>
          <w:sz w:val="11"/>
        </w:rPr>
        <w:t>COUMARINS</w:t>
      </w:r>
      <w:r>
        <w:rPr>
          <w:color w:val="231F1F"/>
          <w:w w:val="110"/>
        </w:rPr>
        <w:t>; azithromycin possibly enhances anticoagulant effect of </w:t>
      </w:r>
      <w:r>
        <w:rPr>
          <w:rFonts w:ascii="Arial"/>
          <w:color w:val="231F1F"/>
          <w:w w:val="355"/>
          <w:position w:val="1"/>
          <w:sz w:val="7"/>
        </w:rPr>
        <w:t>l </w:t>
      </w:r>
      <w:r>
        <w:rPr>
          <w:rFonts w:ascii="Calibri"/>
          <w:color w:val="008356"/>
          <w:w w:val="110"/>
          <w:sz w:val="11"/>
        </w:rPr>
        <w:t>COUMARINS</w:t>
      </w:r>
      <w:r>
        <w:rPr>
          <w:color w:val="231F1F"/>
          <w:w w:val="110"/>
        </w:rPr>
        <w:t>; possible increased risk of bleeding when clarithromycin given with </w:t>
      </w:r>
      <w:r>
        <w:rPr>
          <w:rFonts w:ascii="Calibri"/>
          <w:color w:val="008356"/>
          <w:w w:val="110"/>
          <w:sz w:val="11"/>
        </w:rPr>
        <w:t>DABIGATRAN</w:t>
      </w:r>
    </w:p>
    <w:p>
      <w:pPr>
        <w:spacing w:line="247" w:lineRule="auto" w:before="0"/>
        <w:ind w:left="208" w:right="150"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avoidance of macrolides advised by manufacturer of </w:t>
      </w:r>
      <w:r>
        <w:rPr>
          <w:rFonts w:ascii="Arial"/>
          <w:color w:val="231F1F"/>
          <w:w w:val="355"/>
          <w:position w:val="1"/>
          <w:sz w:val="7"/>
        </w:rPr>
        <w:t>l </w:t>
      </w:r>
      <w:r>
        <w:rPr>
          <w:rFonts w:ascii="Calibri"/>
          <w:color w:val="008356"/>
          <w:w w:val="110"/>
          <w:sz w:val="11"/>
        </w:rPr>
        <w:t>REBOXETINE</w:t>
      </w:r>
      <w:r>
        <w:rPr>
          <w:color w:val="231F1F"/>
          <w:w w:val="110"/>
          <w:sz w:val="12"/>
        </w:rPr>
        <w:t>; avoidance of </w:t>
      </w:r>
      <w:r>
        <w:rPr>
          <w:i/>
          <w:color w:val="231F1F"/>
          <w:w w:val="110"/>
          <w:sz w:val="12"/>
        </w:rPr>
        <w:t>intravenous </w:t>
      </w:r>
      <w:r>
        <w:rPr>
          <w:color w:val="231F1F"/>
          <w:w w:val="110"/>
          <w:sz w:val="12"/>
        </w:rPr>
        <w:t>erythromycin advised by manufacturer of </w:t>
      </w:r>
      <w:r>
        <w:rPr>
          <w:rFonts w:ascii="Arial"/>
          <w:color w:val="231F1F"/>
          <w:w w:val="355"/>
          <w:position w:val="1"/>
          <w:sz w:val="7"/>
        </w:rPr>
        <w:t>l </w:t>
      </w:r>
      <w:r>
        <w:rPr>
          <w:rFonts w:ascii="Calibri"/>
          <w:color w:val="008356"/>
          <w:w w:val="110"/>
          <w:sz w:val="11"/>
        </w:rPr>
        <w:t>CITALOPRAM </w:t>
      </w:r>
      <w:r>
        <w:rPr>
          <w:color w:val="231F1F"/>
          <w:w w:val="110"/>
          <w:sz w:val="12"/>
        </w:rPr>
        <w:t>and </w:t>
      </w:r>
      <w:r>
        <w:rPr>
          <w:rFonts w:ascii="Arial"/>
          <w:color w:val="231F1F"/>
          <w:w w:val="355"/>
          <w:position w:val="1"/>
          <w:sz w:val="7"/>
        </w:rPr>
        <w:t>l </w:t>
      </w:r>
      <w:r>
        <w:rPr>
          <w:rFonts w:ascii="Calibri"/>
          <w:color w:val="008356"/>
          <w:w w:val="110"/>
          <w:sz w:val="11"/>
        </w:rPr>
        <w:t>ESCITALOPRAM </w:t>
      </w:r>
      <w:r>
        <w:rPr>
          <w:color w:val="231F1F"/>
          <w:w w:val="110"/>
          <w:sz w:val="12"/>
        </w:rPr>
        <w:t>(risk of ventricular arrhythmias); clarithromycin possibly increases plasma concentration of </w:t>
      </w:r>
      <w:r>
        <w:rPr>
          <w:rFonts w:ascii="Calibri"/>
          <w:color w:val="008356"/>
          <w:w w:val="110"/>
          <w:sz w:val="11"/>
        </w:rPr>
        <w:t>TRAZODONE</w:t>
      </w:r>
    </w:p>
    <w:p>
      <w:pPr>
        <w:spacing w:line="140"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Antidiabetics:  </w:t>
      </w:r>
      <w:r>
        <w:rPr>
          <w:color w:val="231F1F"/>
          <w:w w:val="105"/>
          <w:sz w:val="12"/>
        </w:rPr>
        <w:t>clarithromycin enhances effects of</w:t>
      </w:r>
      <w:r>
        <w:rPr>
          <w:color w:val="231F1F"/>
          <w:spacing w:val="-5"/>
          <w:w w:val="105"/>
          <w:sz w:val="12"/>
        </w:rPr>
        <w:t> </w:t>
      </w:r>
      <w:r>
        <w:rPr>
          <w:rFonts w:ascii="Calibri" w:hAnsi="Calibri"/>
          <w:color w:val="008356"/>
          <w:spacing w:val="4"/>
          <w:w w:val="105"/>
          <w:sz w:val="11"/>
        </w:rPr>
        <w:t>REPAGLINIDE</w:t>
      </w:r>
    </w:p>
    <w:p>
      <w:pPr>
        <w:pStyle w:val="BodyText"/>
        <w:spacing w:line="138" w:lineRule="exact"/>
        <w:ind w:left="108"/>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Antiepileptics:</w:t>
      </w:r>
      <w:r>
        <w:rPr>
          <w:rFonts w:ascii="Calibri"/>
          <w:color w:val="231F1F"/>
          <w:spacing w:val="-18"/>
          <w:w w:val="115"/>
        </w:rPr>
        <w:t> </w:t>
      </w:r>
      <w:r>
        <w:rPr>
          <w:color w:val="231F1F"/>
          <w:w w:val="115"/>
        </w:rPr>
        <w:t>clarithromycin</w:t>
      </w:r>
      <w:r>
        <w:rPr>
          <w:color w:val="231F1F"/>
          <w:spacing w:val="-21"/>
          <w:w w:val="115"/>
        </w:rPr>
        <w:t> </w:t>
      </w:r>
      <w:r>
        <w:rPr>
          <w:color w:val="231F1F"/>
          <w:w w:val="115"/>
        </w:rPr>
        <w:t>increases</w:t>
      </w:r>
      <w:r>
        <w:rPr>
          <w:color w:val="231F1F"/>
          <w:spacing w:val="-22"/>
          <w:w w:val="115"/>
        </w:rPr>
        <w:t> </w:t>
      </w:r>
      <w:r>
        <w:rPr>
          <w:color w:val="231F1F"/>
          <w:w w:val="115"/>
        </w:rPr>
        <w:t>plasma</w:t>
      </w:r>
      <w:r>
        <w:rPr>
          <w:color w:val="231F1F"/>
          <w:spacing w:val="-22"/>
          <w:w w:val="115"/>
        </w:rPr>
        <w:t> </w:t>
      </w:r>
      <w:r>
        <w:rPr>
          <w:color w:val="231F1F"/>
          <w:w w:val="115"/>
        </w:rPr>
        <w:t>concentration</w:t>
      </w:r>
    </w:p>
    <w:p>
      <w:pPr>
        <w:spacing w:line="244" w:lineRule="auto" w:before="0"/>
        <w:ind w:left="208" w:right="175" w:firstLine="0"/>
        <w:jc w:val="left"/>
        <w:rPr>
          <w:sz w:val="12"/>
        </w:rPr>
      </w:pPr>
      <w:r>
        <w:rPr>
          <w:color w:val="231F1F"/>
          <w:w w:val="110"/>
          <w:sz w:val="12"/>
        </w:rPr>
        <w:t>of </w:t>
      </w:r>
      <w:r>
        <w:rPr>
          <w:rFonts w:ascii="Arial"/>
          <w:color w:val="231F1F"/>
          <w:w w:val="355"/>
          <w:position w:val="1"/>
          <w:sz w:val="7"/>
        </w:rPr>
        <w:t>l </w:t>
      </w:r>
      <w:r>
        <w:rPr>
          <w:rFonts w:ascii="Calibri"/>
          <w:color w:val="008356"/>
          <w:w w:val="110"/>
          <w:sz w:val="11"/>
        </w:rPr>
        <w:t>CARBAMAZEPINE </w:t>
      </w:r>
      <w:r>
        <w:rPr>
          <w:color w:val="231F1F"/>
          <w:w w:val="110"/>
          <w:sz w:val="12"/>
        </w:rPr>
        <w:t>(consider reducing dose of carbamazepine); erythromycin increases plasma concentration of </w:t>
      </w:r>
      <w:r>
        <w:rPr>
          <w:rFonts w:ascii="Arial"/>
          <w:color w:val="231F1F"/>
          <w:w w:val="355"/>
          <w:position w:val="1"/>
          <w:sz w:val="7"/>
        </w:rPr>
        <w:t>l </w:t>
      </w:r>
      <w:r>
        <w:rPr>
          <w:rFonts w:ascii="Calibri"/>
          <w:color w:val="008356"/>
          <w:w w:val="110"/>
          <w:sz w:val="11"/>
        </w:rPr>
        <w:t>CARBAMAZEPINE</w:t>
      </w:r>
      <w:r>
        <w:rPr>
          <w:color w:val="231F1F"/>
          <w:w w:val="110"/>
          <w:sz w:val="12"/>
        </w:rPr>
        <w:t>; clarithromycin inhibits metabolism of </w:t>
      </w:r>
      <w:r>
        <w:rPr>
          <w:rFonts w:ascii="Calibri"/>
          <w:color w:val="008356"/>
          <w:w w:val="110"/>
          <w:sz w:val="11"/>
        </w:rPr>
        <w:t>FOSPHENYTOIN </w:t>
      </w:r>
      <w:r>
        <w:rPr>
          <w:color w:val="231F1F"/>
          <w:w w:val="110"/>
          <w:sz w:val="12"/>
        </w:rPr>
        <w:t>and </w:t>
      </w:r>
      <w:r>
        <w:rPr>
          <w:rFonts w:ascii="Calibri"/>
          <w:color w:val="008356"/>
          <w:w w:val="110"/>
          <w:sz w:val="11"/>
        </w:rPr>
        <w:t>PHENYTOIN </w:t>
      </w:r>
      <w:r>
        <w:rPr>
          <w:color w:val="231F1F"/>
          <w:w w:val="110"/>
          <w:sz w:val="12"/>
        </w:rPr>
        <w:t>(increased plasma concentration); erythromycin possibly inhibits metabolism of </w:t>
      </w:r>
      <w:r>
        <w:rPr>
          <w:rFonts w:ascii="Calibri"/>
          <w:color w:val="008356"/>
          <w:w w:val="110"/>
          <w:sz w:val="11"/>
        </w:rPr>
        <w:t>SODIUM VALPROATE </w:t>
      </w:r>
      <w:r>
        <w:rPr>
          <w:color w:val="231F1F"/>
          <w:w w:val="110"/>
          <w:sz w:val="12"/>
        </w:rPr>
        <w:t>and </w:t>
      </w:r>
      <w:r>
        <w:rPr>
          <w:rFonts w:ascii="Calibri"/>
          <w:color w:val="008356"/>
          <w:w w:val="110"/>
          <w:sz w:val="11"/>
        </w:rPr>
        <w:t>VALPROIC ACID </w:t>
      </w:r>
      <w:r>
        <w:rPr>
          <w:color w:val="231F1F"/>
          <w:w w:val="110"/>
          <w:sz w:val="12"/>
        </w:rPr>
        <w:t>(increased plasma concentration)</w:t>
      </w:r>
    </w:p>
    <w:p>
      <w:pPr>
        <w:pStyle w:val="BodyText"/>
        <w:ind w:right="372" w:hanging="100"/>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Antifungals:</w:t>
      </w:r>
      <w:r>
        <w:rPr>
          <w:rFonts w:ascii="Calibri"/>
          <w:color w:val="231F1F"/>
          <w:spacing w:val="-12"/>
          <w:w w:val="115"/>
        </w:rPr>
        <w:t> </w:t>
      </w:r>
      <w:r>
        <w:rPr>
          <w:color w:val="231F1F"/>
          <w:w w:val="115"/>
        </w:rPr>
        <w:t>avoidance</w:t>
      </w:r>
      <w:r>
        <w:rPr>
          <w:color w:val="231F1F"/>
          <w:spacing w:val="-16"/>
          <w:w w:val="115"/>
        </w:rPr>
        <w:t> </w:t>
      </w:r>
      <w:r>
        <w:rPr>
          <w:color w:val="231F1F"/>
          <w:w w:val="115"/>
        </w:rPr>
        <w:t>of</w:t>
      </w:r>
      <w:r>
        <w:rPr>
          <w:color w:val="231F1F"/>
          <w:spacing w:val="-16"/>
          <w:w w:val="115"/>
        </w:rPr>
        <w:t> </w:t>
      </w:r>
      <w:r>
        <w:rPr>
          <w:color w:val="231F1F"/>
          <w:w w:val="115"/>
        </w:rPr>
        <w:t>concomitant</w:t>
      </w:r>
      <w:r>
        <w:rPr>
          <w:color w:val="231F1F"/>
          <w:spacing w:val="-17"/>
          <w:w w:val="115"/>
        </w:rPr>
        <w:t> </w:t>
      </w:r>
      <w:r>
        <w:rPr>
          <w:color w:val="231F1F"/>
          <w:w w:val="115"/>
        </w:rPr>
        <w:t>clarithromycin</w:t>
      </w:r>
      <w:r>
        <w:rPr>
          <w:color w:val="231F1F"/>
          <w:spacing w:val="-16"/>
          <w:w w:val="115"/>
        </w:rPr>
        <w:t> </w:t>
      </w:r>
      <w:r>
        <w:rPr>
          <w:color w:val="231F1F"/>
          <w:spacing w:val="-8"/>
          <w:w w:val="115"/>
        </w:rPr>
        <w:t>in </w:t>
      </w:r>
      <w:r>
        <w:rPr>
          <w:color w:val="231F1F"/>
          <w:w w:val="115"/>
        </w:rPr>
        <w:t>severe</w:t>
      </w:r>
      <w:r>
        <w:rPr>
          <w:color w:val="231F1F"/>
          <w:spacing w:val="-7"/>
          <w:w w:val="115"/>
        </w:rPr>
        <w:t> </w:t>
      </w:r>
      <w:r>
        <w:rPr>
          <w:color w:val="231F1F"/>
          <w:w w:val="115"/>
        </w:rPr>
        <w:t>renal</w:t>
      </w:r>
      <w:r>
        <w:rPr>
          <w:color w:val="231F1F"/>
          <w:spacing w:val="-5"/>
          <w:w w:val="115"/>
        </w:rPr>
        <w:t> </w:t>
      </w:r>
      <w:r>
        <w:rPr>
          <w:color w:val="231F1F"/>
          <w:w w:val="115"/>
        </w:rPr>
        <w:t>imapirment</w:t>
      </w:r>
      <w:r>
        <w:rPr>
          <w:color w:val="231F1F"/>
          <w:spacing w:val="-6"/>
          <w:w w:val="115"/>
        </w:rPr>
        <w:t> </w:t>
      </w:r>
      <w:r>
        <w:rPr>
          <w:color w:val="231F1F"/>
          <w:w w:val="115"/>
        </w:rPr>
        <w:t>advised</w:t>
      </w:r>
      <w:r>
        <w:rPr>
          <w:color w:val="231F1F"/>
          <w:spacing w:val="-5"/>
          <w:w w:val="115"/>
        </w:rPr>
        <w:t> </w:t>
      </w:r>
      <w:r>
        <w:rPr>
          <w:color w:val="231F1F"/>
          <w:w w:val="115"/>
        </w:rPr>
        <w:t>by</w:t>
      </w:r>
      <w:r>
        <w:rPr>
          <w:color w:val="231F1F"/>
          <w:spacing w:val="-5"/>
          <w:w w:val="115"/>
        </w:rPr>
        <w:t> </w:t>
      </w:r>
      <w:r>
        <w:rPr>
          <w:color w:val="231F1F"/>
          <w:w w:val="115"/>
        </w:rPr>
        <w:t>manufacturer</w:t>
      </w:r>
      <w:r>
        <w:rPr>
          <w:color w:val="231F1F"/>
          <w:spacing w:val="-7"/>
          <w:w w:val="115"/>
        </w:rPr>
        <w:t> </w:t>
      </w:r>
      <w:r>
        <w:rPr>
          <w:color w:val="231F1F"/>
          <w:w w:val="115"/>
        </w:rPr>
        <w:t>of</w:t>
      </w:r>
    </w:p>
    <w:p>
      <w:pPr>
        <w:spacing w:line="242" w:lineRule="auto" w:before="2"/>
        <w:ind w:left="208" w:right="371" w:firstLine="0"/>
        <w:jc w:val="both"/>
        <w:rPr>
          <w:rFonts w:ascii="Calibri"/>
          <w:sz w:val="11"/>
        </w:rPr>
      </w:pPr>
      <w:r>
        <w:rPr>
          <w:rFonts w:ascii="Arial"/>
          <w:color w:val="231F1F"/>
          <w:w w:val="355"/>
          <w:position w:val="1"/>
          <w:sz w:val="7"/>
        </w:rPr>
        <w:t>l </w:t>
      </w:r>
      <w:r>
        <w:rPr>
          <w:rFonts w:ascii="Calibri"/>
          <w:color w:val="008356"/>
          <w:w w:val="110"/>
          <w:sz w:val="11"/>
        </w:rPr>
        <w:t>KETOCONAZOLE</w:t>
      </w:r>
      <w:r>
        <w:rPr>
          <w:color w:val="231F1F"/>
          <w:w w:val="110"/>
          <w:sz w:val="12"/>
        </w:rPr>
        <w:t>; avoidance of erythromycin advised by manufacturer of </w:t>
      </w:r>
      <w:r>
        <w:rPr>
          <w:rFonts w:ascii="Calibri"/>
          <w:color w:val="008356"/>
          <w:w w:val="110"/>
          <w:sz w:val="11"/>
        </w:rPr>
        <w:t>FLUCONAZOLE</w:t>
      </w:r>
      <w:r>
        <w:rPr>
          <w:color w:val="231F1F"/>
          <w:w w:val="110"/>
          <w:sz w:val="12"/>
        </w:rPr>
        <w:t>; clarithromycin increases plasma concentration of </w:t>
      </w:r>
      <w:r>
        <w:rPr>
          <w:rFonts w:ascii="Calibri"/>
          <w:color w:val="008356"/>
          <w:w w:val="110"/>
          <w:sz w:val="11"/>
        </w:rPr>
        <w:t>ITRACONAZOLE</w:t>
      </w:r>
    </w:p>
    <w:p>
      <w:pPr>
        <w:pStyle w:val="BodyText"/>
        <w:spacing w:line="244" w:lineRule="auto"/>
        <w:ind w:hanging="100"/>
      </w:pPr>
      <w:r>
        <w:rPr>
          <w:rFonts w:ascii="Arial"/>
          <w:color w:val="231F1F"/>
          <w:w w:val="355"/>
          <w:position w:val="1"/>
          <w:sz w:val="7"/>
        </w:rPr>
        <w:t>l </w:t>
      </w:r>
      <w:r>
        <w:rPr>
          <w:rFonts w:ascii="Calibri"/>
          <w:color w:val="231F1F"/>
          <w:w w:val="110"/>
        </w:rPr>
        <w:t>Antihistamines: </w:t>
      </w:r>
      <w:r>
        <w:rPr>
          <w:color w:val="231F1F"/>
          <w:w w:val="110"/>
        </w:rPr>
        <w:t>manufacturer of loratadine advises erythromycin possibly increases plasma concentration of </w:t>
      </w:r>
      <w:r>
        <w:rPr>
          <w:rFonts w:ascii="Calibri"/>
          <w:color w:val="008356"/>
          <w:w w:val="110"/>
          <w:sz w:val="11"/>
        </w:rPr>
        <w:t>LORATADINE</w:t>
      </w:r>
      <w:r>
        <w:rPr>
          <w:color w:val="231F1F"/>
          <w:w w:val="110"/>
        </w:rPr>
        <w:t>; macrolides possibly inhibit metabolism of</w:t>
      </w:r>
    </w:p>
    <w:p>
      <w:pPr>
        <w:spacing w:line="242" w:lineRule="auto" w:before="0"/>
        <w:ind w:left="208" w:right="30" w:hanging="1"/>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MIZOLASTINE</w:t>
      </w:r>
      <w:r>
        <w:rPr>
          <w:rFonts w:ascii="Calibri" w:hAnsi="Calibri"/>
          <w:color w:val="008356"/>
          <w:spacing w:val="-13"/>
          <w:w w:val="115"/>
          <w:sz w:val="11"/>
        </w:rPr>
        <w:t> </w:t>
      </w:r>
      <w:r>
        <w:rPr>
          <w:color w:val="231F1F"/>
          <w:w w:val="115"/>
          <w:sz w:val="12"/>
        </w:rPr>
        <w:t>(avoid</w:t>
      </w:r>
      <w:r>
        <w:rPr>
          <w:color w:val="231F1F"/>
          <w:spacing w:val="-21"/>
          <w:w w:val="115"/>
          <w:sz w:val="12"/>
        </w:rPr>
        <w:t> </w:t>
      </w:r>
      <w:r>
        <w:rPr>
          <w:color w:val="231F1F"/>
          <w:w w:val="115"/>
          <w:sz w:val="12"/>
        </w:rPr>
        <w:t>concomitant</w:t>
      </w:r>
      <w:r>
        <w:rPr>
          <w:color w:val="231F1F"/>
          <w:spacing w:val="-21"/>
          <w:w w:val="115"/>
          <w:sz w:val="12"/>
        </w:rPr>
        <w:t> </w:t>
      </w:r>
      <w:r>
        <w:rPr>
          <w:color w:val="231F1F"/>
          <w:w w:val="115"/>
          <w:sz w:val="12"/>
        </w:rPr>
        <w:t>use);</w:t>
      </w:r>
      <w:r>
        <w:rPr>
          <w:color w:val="231F1F"/>
          <w:spacing w:val="-21"/>
          <w:w w:val="115"/>
          <w:sz w:val="12"/>
        </w:rPr>
        <w:t> </w:t>
      </w:r>
      <w:r>
        <w:rPr>
          <w:color w:val="231F1F"/>
          <w:w w:val="115"/>
          <w:sz w:val="12"/>
        </w:rPr>
        <w:t>erythromycin</w:t>
      </w:r>
      <w:r>
        <w:rPr>
          <w:color w:val="231F1F"/>
          <w:spacing w:val="-22"/>
          <w:w w:val="115"/>
          <w:sz w:val="12"/>
        </w:rPr>
        <w:t> </w:t>
      </w:r>
      <w:r>
        <w:rPr>
          <w:color w:val="231F1F"/>
          <w:w w:val="115"/>
          <w:sz w:val="12"/>
        </w:rPr>
        <w:t>inhibits metabolism</w:t>
      </w:r>
      <w:r>
        <w:rPr>
          <w:color w:val="231F1F"/>
          <w:spacing w:val="-11"/>
          <w:w w:val="115"/>
          <w:sz w:val="12"/>
        </w:rPr>
        <w:t> </w:t>
      </w:r>
      <w:r>
        <w:rPr>
          <w:color w:val="231F1F"/>
          <w:w w:val="115"/>
          <w:sz w:val="12"/>
        </w:rPr>
        <w:t>of</w:t>
      </w:r>
      <w:r>
        <w:rPr>
          <w:color w:val="231F1F"/>
          <w:spacing w:val="-10"/>
          <w:w w:val="115"/>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5"/>
          <w:sz w:val="11"/>
        </w:rPr>
        <w:t>MIZOLASTINE</w:t>
      </w:r>
      <w:r>
        <w:rPr>
          <w:rFonts w:ascii="Arial" w:hAnsi="Arial"/>
          <w:color w:val="231F1F"/>
          <w:spacing w:val="3"/>
          <w:w w:val="115"/>
          <w:sz w:val="12"/>
        </w:rPr>
        <w:t>—</w:t>
      </w:r>
      <w:r>
        <w:rPr>
          <w:color w:val="231F1F"/>
          <w:spacing w:val="3"/>
          <w:w w:val="115"/>
          <w:sz w:val="12"/>
        </w:rPr>
        <w:t>avoid</w:t>
      </w:r>
      <w:r>
        <w:rPr>
          <w:color w:val="231F1F"/>
          <w:spacing w:val="-11"/>
          <w:w w:val="115"/>
          <w:sz w:val="12"/>
        </w:rPr>
        <w:t> </w:t>
      </w:r>
      <w:r>
        <w:rPr>
          <w:color w:val="231F1F"/>
          <w:w w:val="115"/>
          <w:sz w:val="12"/>
        </w:rPr>
        <w:t>concomitant</w:t>
      </w:r>
      <w:r>
        <w:rPr>
          <w:color w:val="231F1F"/>
          <w:spacing w:val="-11"/>
          <w:w w:val="115"/>
          <w:sz w:val="12"/>
        </w:rPr>
        <w:t> </w:t>
      </w:r>
      <w:r>
        <w:rPr>
          <w:color w:val="231F1F"/>
          <w:w w:val="115"/>
          <w:sz w:val="12"/>
        </w:rPr>
        <w:t>use</w:t>
      </w:r>
    </w:p>
    <w:p>
      <w:pPr>
        <w:spacing w:line="242" w:lineRule="auto" w:before="0"/>
        <w:ind w:left="208" w:right="33"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macrolides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avoidance of macrolides advised by manufacturer of </w:t>
      </w:r>
      <w:r>
        <w:rPr>
          <w:rFonts w:ascii="Arial"/>
          <w:color w:val="231F1F"/>
          <w:w w:val="355"/>
          <w:position w:val="1"/>
          <w:sz w:val="7"/>
        </w:rPr>
        <w:t>l </w:t>
      </w:r>
      <w:r>
        <w:rPr>
          <w:rFonts w:ascii="Calibri"/>
          <w:color w:val="008356"/>
          <w:spacing w:val="4"/>
          <w:w w:val="110"/>
          <w:sz w:val="11"/>
        </w:rPr>
        <w:t>ARTENIMOL </w:t>
      </w:r>
      <w:r>
        <w:rPr>
          <w:rFonts w:ascii="Calibri"/>
          <w:color w:val="008356"/>
          <w:spacing w:val="5"/>
          <w:w w:val="110"/>
          <w:sz w:val="11"/>
        </w:rPr>
        <w:t>WITH </w:t>
      </w:r>
      <w:r>
        <w:rPr>
          <w:rFonts w:ascii="Calibri"/>
          <w:color w:val="008356"/>
          <w:spacing w:val="4"/>
          <w:w w:val="110"/>
          <w:sz w:val="11"/>
        </w:rPr>
        <w:t>PIPERAQUINE </w:t>
      </w:r>
      <w:r>
        <w:rPr>
          <w:color w:val="231F1F"/>
          <w:w w:val="110"/>
          <w:sz w:val="12"/>
        </w:rPr>
        <w:t>(possible risk of ventricular</w:t>
      </w:r>
      <w:r>
        <w:rPr>
          <w:color w:val="231F1F"/>
          <w:spacing w:val="-3"/>
          <w:w w:val="110"/>
          <w:sz w:val="12"/>
        </w:rPr>
        <w:t> </w:t>
      </w:r>
      <w:r>
        <w:rPr>
          <w:color w:val="231F1F"/>
          <w:w w:val="110"/>
          <w:sz w:val="12"/>
        </w:rPr>
        <w:t>arrhythmias)</w:t>
      </w:r>
    </w:p>
    <w:p>
      <w:pPr>
        <w:pStyle w:val="BodyText"/>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erythromycin possibly increases plasma concentration of </w:t>
      </w:r>
      <w:r>
        <w:rPr>
          <w:rFonts w:ascii="Calibri" w:hAnsi="Calibri"/>
          <w:color w:val="008356"/>
          <w:w w:val="110"/>
          <w:sz w:val="11"/>
        </w:rPr>
        <w:t>DARIFENACIN</w:t>
      </w:r>
      <w:r>
        <w:rPr>
          <w:color w:val="231F1F"/>
          <w:w w:val="110"/>
        </w:rPr>
        <w:t>; manufacturer of fesoterodine advises dose reduction when clarithromycin given with </w:t>
      </w:r>
      <w:r>
        <w:rPr>
          <w:rFonts w:ascii="Calibri" w:hAnsi="Calibri"/>
          <w:color w:val="008356"/>
          <w:w w:val="110"/>
          <w:sz w:val="11"/>
        </w:rPr>
        <w:t>FESOTERODINE</w:t>
      </w:r>
      <w:r>
        <w:rPr>
          <w:rFonts w:ascii="Arial" w:hAnsi="Arial"/>
          <w:color w:val="231F1F"/>
          <w:w w:val="110"/>
        </w:rPr>
        <w:t>—</w:t>
      </w:r>
      <w:r>
        <w:rPr>
          <w:color w:val="231F1F"/>
          <w:w w:val="110"/>
        </w:rPr>
        <w:t>consult fesoterodine product literature; avoidance of clarithromycin and erythromycin advised by manufacturer of </w:t>
      </w:r>
      <w:r>
        <w:rPr>
          <w:rFonts w:ascii="Calibri" w:hAnsi="Calibri"/>
          <w:color w:val="008356"/>
          <w:w w:val="110"/>
          <w:sz w:val="11"/>
        </w:rPr>
        <w:t>TOLTERODINE</w:t>
      </w:r>
    </w:p>
    <w:p>
      <w:pPr>
        <w:pStyle w:val="BodyText"/>
        <w:spacing w:line="244" w:lineRule="auto"/>
        <w:ind w:right="84" w:hanging="100"/>
      </w:pPr>
      <w:r>
        <w:rPr>
          <w:rFonts w:ascii="Arial" w:hAnsi="Arial"/>
          <w:color w:val="231F1F"/>
          <w:w w:val="355"/>
          <w:position w:val="1"/>
          <w:sz w:val="7"/>
        </w:rPr>
        <w:t>l </w:t>
      </w:r>
      <w:r>
        <w:rPr>
          <w:rFonts w:ascii="Calibri" w:hAnsi="Calibri"/>
          <w:color w:val="231F1F"/>
          <w:w w:val="110"/>
        </w:rPr>
        <w:t>Antipsychotics: </w:t>
      </w:r>
      <w:r>
        <w:rPr>
          <w:color w:val="231F1F"/>
          <w:w w:val="110"/>
        </w:rPr>
        <w:t>avoidance of macrolides advised by manufacturer of </w:t>
      </w:r>
      <w:r>
        <w:rPr>
          <w:rFonts w:ascii="Arial" w:hAnsi="Arial"/>
          <w:color w:val="231F1F"/>
          <w:w w:val="355"/>
          <w:position w:val="1"/>
          <w:sz w:val="7"/>
        </w:rPr>
        <w:t>l </w:t>
      </w:r>
      <w:r>
        <w:rPr>
          <w:rFonts w:ascii="Calibri" w:hAnsi="Calibri"/>
          <w:color w:val="008356"/>
          <w:spacing w:val="4"/>
          <w:w w:val="110"/>
          <w:sz w:val="11"/>
        </w:rPr>
        <w:t>DROPERIDOL </w:t>
      </w:r>
      <w:r>
        <w:rPr>
          <w:color w:val="231F1F"/>
          <w:w w:val="110"/>
        </w:rPr>
        <w:t>(risk of ventricular arrhythmias); increased risk of ventricular arrhythmias </w:t>
      </w:r>
      <w:r>
        <w:rPr>
          <w:color w:val="231F1F"/>
          <w:spacing w:val="-4"/>
          <w:w w:val="110"/>
        </w:rPr>
        <w:t>when </w:t>
      </w:r>
      <w:r>
        <w:rPr>
          <w:i/>
          <w:color w:val="231F1F"/>
          <w:w w:val="110"/>
        </w:rPr>
        <w:t>parenteral</w:t>
      </w:r>
      <w:r>
        <w:rPr>
          <w:i/>
          <w:color w:val="231F1F"/>
          <w:spacing w:val="-18"/>
          <w:w w:val="110"/>
        </w:rPr>
        <w:t> </w:t>
      </w:r>
      <w:r>
        <w:rPr>
          <w:color w:val="231F1F"/>
          <w:w w:val="110"/>
        </w:rPr>
        <w:t>erythromycin</w:t>
      </w:r>
      <w:r>
        <w:rPr>
          <w:color w:val="231F1F"/>
          <w:spacing w:val="-18"/>
          <w:w w:val="110"/>
        </w:rPr>
        <w:t> </w:t>
      </w:r>
      <w:r>
        <w:rPr>
          <w:color w:val="231F1F"/>
          <w:w w:val="110"/>
        </w:rPr>
        <w:t>given</w:t>
      </w:r>
      <w:r>
        <w:rPr>
          <w:color w:val="231F1F"/>
          <w:spacing w:val="-17"/>
          <w:w w:val="110"/>
        </w:rPr>
        <w:t> </w:t>
      </w:r>
      <w:r>
        <w:rPr>
          <w:color w:val="231F1F"/>
          <w:w w:val="110"/>
        </w:rPr>
        <w:t>with</w:t>
      </w:r>
      <w:r>
        <w:rPr>
          <w:color w:val="231F1F"/>
          <w:spacing w:val="-17"/>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0"/>
          <w:sz w:val="11"/>
        </w:rPr>
        <w:t>ZUCLOPENTHIXOL</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erythromycin given with </w:t>
      </w:r>
      <w:r>
        <w:rPr>
          <w:rFonts w:ascii="Arial" w:hAnsi="Arial"/>
          <w:color w:val="231F1F"/>
          <w:w w:val="355"/>
          <w:position w:val="1"/>
          <w:sz w:val="7"/>
        </w:rPr>
        <w:t>l </w:t>
      </w:r>
      <w:r>
        <w:rPr>
          <w:rFonts w:ascii="Calibri" w:hAnsi="Calibri"/>
          <w:color w:val="008356"/>
          <w:spacing w:val="3"/>
          <w:w w:val="110"/>
          <w:sz w:val="11"/>
        </w:rPr>
        <w:t>AMISULPRIDE</w:t>
      </w:r>
      <w:r>
        <w:rPr>
          <w:rFonts w:ascii="Arial" w:hAnsi="Arial"/>
          <w:color w:val="231F1F"/>
          <w:spacing w:val="3"/>
          <w:w w:val="110"/>
        </w:rPr>
        <w:t>—</w:t>
      </w:r>
      <w:r>
        <w:rPr>
          <w:color w:val="231F1F"/>
          <w:spacing w:val="3"/>
          <w:w w:val="110"/>
        </w:rPr>
        <w:t>avoid </w:t>
      </w:r>
      <w:r>
        <w:rPr>
          <w:color w:val="231F1F"/>
          <w:w w:val="110"/>
        </w:rPr>
        <w:t>concomitant use; erythromycin possibly increases plasma concentration of </w:t>
      </w:r>
      <w:r>
        <w:rPr>
          <w:rFonts w:ascii="Arial" w:hAnsi="Arial"/>
          <w:color w:val="231F1F"/>
          <w:w w:val="355"/>
          <w:position w:val="1"/>
          <w:sz w:val="7"/>
        </w:rPr>
        <w:t>l </w:t>
      </w:r>
      <w:r>
        <w:rPr>
          <w:rFonts w:ascii="Calibri" w:hAnsi="Calibri"/>
          <w:color w:val="008356"/>
          <w:spacing w:val="4"/>
          <w:w w:val="110"/>
          <w:sz w:val="11"/>
        </w:rPr>
        <w:t>CLOZAPINE </w:t>
      </w:r>
      <w:r>
        <w:rPr>
          <w:color w:val="231F1F"/>
          <w:w w:val="110"/>
        </w:rPr>
        <w:t>(possible increased risk of convulsions); clarithromycin possibly increases plasma concentration of </w:t>
      </w:r>
      <w:r>
        <w:rPr>
          <w:rFonts w:ascii="Arial" w:hAnsi="Arial"/>
          <w:color w:val="231F1F"/>
          <w:w w:val="355"/>
          <w:position w:val="1"/>
          <w:sz w:val="7"/>
        </w:rPr>
        <w:t>l </w:t>
      </w:r>
      <w:r>
        <w:rPr>
          <w:rFonts w:ascii="Calibri" w:hAnsi="Calibri"/>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erythromycin possibly increases </w:t>
      </w:r>
      <w:r>
        <w:rPr>
          <w:color w:val="231F1F"/>
          <w:w w:val="135"/>
        </w:rPr>
        <w:t>the </w:t>
      </w:r>
      <w:r>
        <w:rPr>
          <w:color w:val="231F1F"/>
          <w:w w:val="110"/>
        </w:rPr>
        <w:t>plasma concentration </w:t>
      </w:r>
      <w:r>
        <w:rPr>
          <w:color w:val="231F1F"/>
          <w:spacing w:val="-8"/>
          <w:w w:val="110"/>
        </w:rPr>
        <w:t>of  </w:t>
      </w:r>
      <w:r>
        <w:rPr>
          <w:rFonts w:ascii="Arial" w:hAnsi="Arial"/>
          <w:color w:val="231F1F"/>
          <w:w w:val="355"/>
          <w:position w:val="1"/>
          <w:sz w:val="7"/>
        </w:rPr>
        <w:t>l </w:t>
      </w:r>
      <w:r>
        <w:rPr>
          <w:rFonts w:ascii="Calibri" w:hAnsi="Calibri"/>
          <w:color w:val="008356"/>
          <w:spacing w:val="4"/>
          <w:w w:val="110"/>
          <w:sz w:val="11"/>
        </w:rPr>
        <w:t>LURASIDONE </w:t>
      </w:r>
      <w:r>
        <w:rPr>
          <w:color w:val="231F1F"/>
          <w:w w:val="110"/>
        </w:rPr>
        <w:t>(see under Lurasidone, p. 315); increased risk of ventricular arrhythmias when clarithromycin given</w:t>
      </w:r>
      <w:r>
        <w:rPr>
          <w:color w:val="231F1F"/>
          <w:spacing w:val="9"/>
          <w:w w:val="110"/>
        </w:rPr>
        <w:t> </w:t>
      </w:r>
      <w:r>
        <w:rPr>
          <w:color w:val="231F1F"/>
          <w:w w:val="110"/>
        </w:rPr>
        <w:t>with</w:t>
      </w:r>
    </w:p>
    <w:p>
      <w:pPr>
        <w:pStyle w:val="BodyText"/>
        <w:spacing w:line="244" w:lineRule="auto"/>
        <w:ind w:hanging="1"/>
      </w:pPr>
      <w:r>
        <w:rPr>
          <w:rFonts w:ascii="Arial" w:hAnsi="Arial"/>
          <w:color w:val="231F1F"/>
          <w:w w:val="355"/>
          <w:position w:val="1"/>
          <w:sz w:val="7"/>
        </w:rPr>
        <w:t>l </w:t>
      </w:r>
      <w:r>
        <w:rPr>
          <w:rFonts w:ascii="Calibri" w:hAnsi="Calibri"/>
          <w:color w:val="008356"/>
          <w:w w:val="110"/>
          <w:sz w:val="11"/>
        </w:rPr>
        <w:t>PIMOZIDE</w:t>
      </w:r>
      <w:r>
        <w:rPr>
          <w:rFonts w:ascii="Arial" w:hAnsi="Arial"/>
          <w:color w:val="231F1F"/>
          <w:w w:val="110"/>
        </w:rPr>
        <w:t>—</w:t>
      </w:r>
      <w:r>
        <w:rPr>
          <w:color w:val="231F1F"/>
          <w:w w:val="110"/>
        </w:rPr>
        <w:t>avoid concomitant use; possible increased risk of ventricular arrhythmias when erythromycin given with</w:t>
      </w:r>
    </w:p>
    <w:p>
      <w:pPr>
        <w:pStyle w:val="BodyText"/>
        <w:spacing w:line="244" w:lineRule="auto"/>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0"/>
          <w:sz w:val="11"/>
        </w:rPr>
        <w:t>PIMOZIDE</w:t>
      </w:r>
      <w:r>
        <w:rPr>
          <w:rFonts w:ascii="Arial" w:hAnsi="Arial"/>
          <w:color w:val="231F1F"/>
          <w:spacing w:val="2"/>
          <w:w w:val="110"/>
        </w:rPr>
        <w:t>—</w:t>
      </w:r>
      <w:r>
        <w:rPr>
          <w:color w:val="231F1F"/>
          <w:spacing w:val="2"/>
          <w:w w:val="110"/>
        </w:rPr>
        <w:t>avoid </w:t>
      </w:r>
      <w:r>
        <w:rPr>
          <w:color w:val="231F1F"/>
          <w:w w:val="110"/>
        </w:rPr>
        <w:t>concomitant use; clarithromycin possibly increases plasma concentration of </w:t>
      </w:r>
      <w:r>
        <w:rPr>
          <w:rFonts w:ascii="Arial" w:hAnsi="Arial"/>
          <w:color w:val="231F1F"/>
          <w:w w:val="355"/>
          <w:position w:val="1"/>
          <w:sz w:val="7"/>
        </w:rPr>
        <w:t>l </w:t>
      </w:r>
      <w:r>
        <w:rPr>
          <w:rFonts w:ascii="Calibri" w:hAnsi="Calibri"/>
          <w:color w:val="008356"/>
          <w:spacing w:val="4"/>
          <w:w w:val="110"/>
          <w:sz w:val="11"/>
        </w:rPr>
        <w:t>QUETIAPINE</w:t>
      </w:r>
      <w:r>
        <w:rPr>
          <w:rFonts w:ascii="Arial" w:hAnsi="Arial"/>
          <w:color w:val="231F1F"/>
          <w:spacing w:val="4"/>
          <w:w w:val="110"/>
        </w:rPr>
        <w:t>— </w:t>
      </w:r>
      <w:r>
        <w:rPr>
          <w:color w:val="231F1F"/>
          <w:w w:val="110"/>
        </w:rPr>
        <w:t>manufacturer of quetiapine advises avoid concomitant use; erythromycin increases plasma concentration of</w:t>
      </w:r>
    </w:p>
    <w:p>
      <w:pPr>
        <w:spacing w:line="247" w:lineRule="auto" w:before="0"/>
        <w:ind w:left="208" w:right="0" w:hanging="1"/>
        <w:jc w:val="left"/>
        <w:rPr>
          <w:rFonts w:ascii="Calibri" w:hAnsi="Calibri"/>
          <w:sz w:val="11"/>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QUETIAPINE</w:t>
      </w:r>
      <w:r>
        <w:rPr>
          <w:rFonts w:ascii="Arial" w:hAnsi="Arial"/>
          <w:color w:val="231F1F"/>
          <w:spacing w:val="2"/>
          <w:w w:val="115"/>
          <w:sz w:val="12"/>
        </w:rPr>
        <w:t>—</w:t>
      </w:r>
      <w:r>
        <w:rPr>
          <w:color w:val="231F1F"/>
          <w:spacing w:val="2"/>
          <w:w w:val="115"/>
          <w:sz w:val="12"/>
        </w:rPr>
        <w:t>manufacturer </w:t>
      </w:r>
      <w:r>
        <w:rPr>
          <w:color w:val="231F1F"/>
          <w:w w:val="115"/>
          <w:sz w:val="12"/>
        </w:rPr>
        <w:t>of quetiapine advises avoid concomitant use; increased risk of ventricular arrhythmias when </w:t>
      </w:r>
      <w:r>
        <w:rPr>
          <w:i/>
          <w:color w:val="231F1F"/>
          <w:w w:val="115"/>
          <w:sz w:val="12"/>
        </w:rPr>
        <w:t>parenteral </w:t>
      </w:r>
      <w:r>
        <w:rPr>
          <w:color w:val="231F1F"/>
          <w:w w:val="115"/>
          <w:sz w:val="12"/>
        </w:rPr>
        <w:t>erythromycin given with </w:t>
      </w:r>
      <w:r>
        <w:rPr>
          <w:rFonts w:ascii="Arial" w:hAnsi="Arial"/>
          <w:color w:val="231F1F"/>
          <w:w w:val="355"/>
          <w:position w:val="1"/>
          <w:sz w:val="7"/>
        </w:rPr>
        <w:t>l </w:t>
      </w:r>
      <w:r>
        <w:rPr>
          <w:rFonts w:ascii="Calibri" w:hAnsi="Calibri"/>
          <w:color w:val="008356"/>
          <w:spacing w:val="5"/>
          <w:w w:val="115"/>
          <w:sz w:val="11"/>
        </w:rPr>
        <w:t>SULPIRIDE</w:t>
      </w:r>
    </w:p>
    <w:p>
      <w:pPr>
        <w:pStyle w:val="BodyText"/>
        <w:spacing w:line="139" w:lineRule="exact"/>
        <w:ind w:left="108"/>
      </w:pPr>
      <w:r>
        <w:rPr>
          <w:rFonts w:ascii="Arial"/>
          <w:color w:val="231F1F"/>
          <w:w w:val="355"/>
          <w:position w:val="1"/>
          <w:sz w:val="7"/>
        </w:rPr>
        <w:t>l</w:t>
      </w:r>
      <w:r>
        <w:rPr>
          <w:rFonts w:ascii="Arial"/>
          <w:color w:val="231F1F"/>
          <w:spacing w:val="-37"/>
          <w:w w:val="355"/>
          <w:position w:val="1"/>
          <w:sz w:val="7"/>
        </w:rPr>
        <w:t> </w:t>
      </w:r>
      <w:r>
        <w:rPr>
          <w:rFonts w:ascii="Calibri"/>
          <w:color w:val="231F1F"/>
          <w:w w:val="115"/>
        </w:rPr>
        <w:t>Antivirals:</w:t>
      </w:r>
      <w:r>
        <w:rPr>
          <w:rFonts w:ascii="Calibri"/>
          <w:color w:val="231F1F"/>
          <w:spacing w:val="-5"/>
          <w:w w:val="115"/>
        </w:rPr>
        <w:t> </w:t>
      </w:r>
      <w:r>
        <w:rPr>
          <w:color w:val="231F1F"/>
          <w:w w:val="115"/>
        </w:rPr>
        <w:t>plasma</w:t>
      </w:r>
      <w:r>
        <w:rPr>
          <w:color w:val="231F1F"/>
          <w:spacing w:val="-9"/>
          <w:w w:val="115"/>
        </w:rPr>
        <w:t> </w:t>
      </w:r>
      <w:r>
        <w:rPr>
          <w:color w:val="231F1F"/>
          <w:w w:val="115"/>
        </w:rPr>
        <w:t>concentration</w:t>
      </w:r>
      <w:r>
        <w:rPr>
          <w:color w:val="231F1F"/>
          <w:spacing w:val="-8"/>
          <w:w w:val="115"/>
        </w:rPr>
        <w:t> </w:t>
      </w:r>
      <w:r>
        <w:rPr>
          <w:color w:val="231F1F"/>
          <w:w w:val="115"/>
        </w:rPr>
        <w:t>of</w:t>
      </w:r>
      <w:r>
        <w:rPr>
          <w:color w:val="231F1F"/>
          <w:spacing w:val="-8"/>
          <w:w w:val="115"/>
        </w:rPr>
        <w:t> </w:t>
      </w:r>
      <w:r>
        <w:rPr>
          <w:color w:val="231F1F"/>
          <w:w w:val="115"/>
        </w:rPr>
        <w:t>both</w:t>
      </w:r>
      <w:r>
        <w:rPr>
          <w:color w:val="231F1F"/>
          <w:spacing w:val="-9"/>
          <w:w w:val="115"/>
        </w:rPr>
        <w:t> </w:t>
      </w:r>
      <w:r>
        <w:rPr>
          <w:color w:val="231F1F"/>
          <w:w w:val="115"/>
        </w:rPr>
        <w:t>drugs</w:t>
      </w:r>
      <w:r>
        <w:rPr>
          <w:color w:val="231F1F"/>
          <w:spacing w:val="-9"/>
          <w:w w:val="115"/>
        </w:rPr>
        <w:t> </w:t>
      </w:r>
      <w:r>
        <w:rPr>
          <w:color w:val="231F1F"/>
          <w:w w:val="115"/>
        </w:rPr>
        <w:t>increased</w:t>
      </w:r>
      <w:r>
        <w:rPr>
          <w:color w:val="231F1F"/>
          <w:spacing w:val="-9"/>
          <w:w w:val="115"/>
        </w:rPr>
        <w:t> </w:t>
      </w:r>
      <w:r>
        <w:rPr>
          <w:color w:val="231F1F"/>
          <w:w w:val="115"/>
        </w:rPr>
        <w:t>when</w:t>
      </w:r>
    </w:p>
    <w:p>
      <w:pPr>
        <w:pStyle w:val="BodyText"/>
        <w:spacing w:line="244" w:lineRule="auto"/>
        <w:ind w:right="121"/>
      </w:pPr>
      <w:r>
        <w:rPr>
          <w:color w:val="231F1F"/>
          <w:w w:val="110"/>
        </w:rPr>
        <w:t>clarithromycin given with </w:t>
      </w:r>
      <w:r>
        <w:rPr>
          <w:rFonts w:ascii="Calibri"/>
          <w:color w:val="008356"/>
          <w:w w:val="110"/>
          <w:sz w:val="11"/>
        </w:rPr>
        <w:t>ATAZANAVIR</w:t>
      </w:r>
      <w:r>
        <w:rPr>
          <w:color w:val="231F1F"/>
          <w:w w:val="110"/>
        </w:rPr>
        <w:t>; clarithromycin </w:t>
      </w:r>
      <w:r>
        <w:rPr>
          <w:color w:val="231F1F"/>
          <w:w w:val="115"/>
        </w:rPr>
        <w:t>possibly increases the plasma concentration of</w:t>
      </w:r>
    </w:p>
    <w:p>
      <w:pPr>
        <w:pStyle w:val="BodyText"/>
        <w:spacing w:line="247" w:lineRule="auto"/>
        <w:ind w:hanging="1"/>
      </w:pPr>
      <w:r>
        <w:rPr>
          <w:rFonts w:ascii="Arial" w:hAnsi="Arial"/>
          <w:color w:val="231F1F"/>
          <w:w w:val="355"/>
          <w:position w:val="1"/>
          <w:sz w:val="7"/>
        </w:rPr>
        <w:t>l </w:t>
      </w:r>
      <w:r>
        <w:rPr>
          <w:rFonts w:ascii="Calibri" w:hAnsi="Calibri"/>
          <w:color w:val="008356"/>
          <w:w w:val="115"/>
          <w:sz w:val="11"/>
        </w:rPr>
        <w:t>DACLATASVIR</w:t>
      </w:r>
      <w:r>
        <w:rPr>
          <w:rFonts w:ascii="Arial" w:hAnsi="Arial"/>
          <w:color w:val="231F1F"/>
          <w:w w:val="115"/>
        </w:rPr>
        <w:t>—</w:t>
      </w:r>
      <w:r>
        <w:rPr>
          <w:color w:val="231F1F"/>
          <w:w w:val="115"/>
        </w:rPr>
        <w:t>reduce dose of daclatasvir (see under Daclatasvir, p. 544); plasma concentration of clarithromycin reduced by </w:t>
      </w:r>
      <w:r>
        <w:rPr>
          <w:rFonts w:ascii="Calibri" w:hAnsi="Calibri"/>
          <w:color w:val="008356"/>
          <w:w w:val="115"/>
          <w:sz w:val="11"/>
        </w:rPr>
        <w:t>EFAVIRENZ</w:t>
      </w:r>
      <w:r>
        <w:rPr>
          <w:color w:val="231F1F"/>
          <w:w w:val="115"/>
        </w:rPr>
        <w:t>, also plasma concentration of active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Macrolides</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4672" filled="true" fillcolor="#bfdbcf" stroked="false">
            <v:fill type="solid"/>
            <w10:wrap type="none"/>
          </v:rect>
        </w:pict>
      </w:r>
      <w:r>
        <w:rPr/>
        <w:pict>
          <v:shape style="position:absolute;margin-left:399.725769pt;margin-top:-3.466702pt;width:10.4pt;height:78.850pt;mso-position-horizontal-relative:page;mso-position-vertical-relative:paragraph;z-index:469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pStyle w:val="BodyText"/>
        <w:spacing w:line="247" w:lineRule="auto"/>
        <w:ind w:right="667"/>
      </w:pPr>
      <w:r>
        <w:rPr>
          <w:color w:val="231F1F"/>
          <w:w w:val="110"/>
        </w:rPr>
        <w:t>metabolite  of  clarithromycin  increased;  plasma concentration of clarithromycin reduced by </w:t>
      </w:r>
      <w:r>
        <w:rPr>
          <w:rFonts w:ascii="Arial"/>
          <w:color w:val="231F1F"/>
          <w:w w:val="355"/>
          <w:position w:val="1"/>
          <w:sz w:val="7"/>
        </w:rPr>
        <w:t>l </w:t>
      </w:r>
      <w:r>
        <w:rPr>
          <w:rFonts w:ascii="Calibri"/>
          <w:color w:val="008356"/>
          <w:spacing w:val="4"/>
          <w:w w:val="110"/>
          <w:sz w:val="11"/>
        </w:rPr>
        <w:t>ETRAVIRINE </w:t>
      </w:r>
      <w:r>
        <w:rPr>
          <w:color w:val="231F1F"/>
          <w:w w:val="110"/>
        </w:rPr>
        <w:t>and </w:t>
      </w:r>
      <w:r>
        <w:rPr>
          <w:rFonts w:ascii="Calibri"/>
          <w:color w:val="008356"/>
          <w:spacing w:val="4"/>
          <w:w w:val="110"/>
          <w:sz w:val="11"/>
        </w:rPr>
        <w:t>NEVIRAPINE </w:t>
      </w:r>
      <w:r>
        <w:rPr>
          <w:color w:val="231F1F"/>
          <w:w w:val="110"/>
        </w:rPr>
        <w:t>(but concentration of an active metabolite increased), also plasma concentration of etravirine and nevirapine increased; clarithromycin possibly  increases plasma concentration of </w:t>
      </w:r>
      <w:r>
        <w:rPr>
          <w:rFonts w:ascii="Arial"/>
          <w:color w:val="231F1F"/>
          <w:w w:val="355"/>
          <w:position w:val="1"/>
          <w:sz w:val="7"/>
        </w:rPr>
        <w:t>l </w:t>
      </w:r>
      <w:r>
        <w:rPr>
          <w:rFonts w:ascii="Calibri"/>
          <w:color w:val="008356"/>
          <w:spacing w:val="4"/>
          <w:w w:val="110"/>
          <w:sz w:val="11"/>
        </w:rPr>
        <w:t>MARAVIROC </w:t>
      </w:r>
      <w:r>
        <w:rPr>
          <w:color w:val="231F1F"/>
          <w:w w:val="110"/>
        </w:rPr>
        <w:t>(consider reducing </w:t>
      </w:r>
      <w:r>
        <w:rPr>
          <w:color w:val="231F1F"/>
          <w:spacing w:val="-4"/>
          <w:w w:val="110"/>
        </w:rPr>
        <w:t>dose </w:t>
      </w:r>
      <w:r>
        <w:rPr>
          <w:color w:val="231F1F"/>
          <w:w w:val="110"/>
        </w:rPr>
        <w:t>of maraviroc); avoidance of clarithromycin and erythromycin advised by manufacturer of </w:t>
      </w:r>
      <w:r>
        <w:rPr>
          <w:rFonts w:ascii="Arial"/>
          <w:color w:val="231F1F"/>
          <w:w w:val="355"/>
          <w:position w:val="1"/>
          <w:sz w:val="7"/>
        </w:rPr>
        <w:t>l </w:t>
      </w:r>
      <w:r>
        <w:rPr>
          <w:rFonts w:ascii="Calibri"/>
          <w:color w:val="008356"/>
          <w:spacing w:val="4"/>
          <w:w w:val="110"/>
          <w:sz w:val="11"/>
        </w:rPr>
        <w:t>RILPIVIRINE </w:t>
      </w:r>
      <w:r>
        <w:rPr>
          <w:color w:val="231F1F"/>
          <w:w w:val="110"/>
        </w:rPr>
        <w:t>(plasma concentration of rilpivirine possibly increased); plasma concentration of azithromycin and erythromycin possibly increased by </w:t>
      </w:r>
      <w:r>
        <w:rPr>
          <w:rFonts w:ascii="Calibri"/>
          <w:color w:val="008356"/>
          <w:spacing w:val="3"/>
          <w:w w:val="110"/>
          <w:sz w:val="11"/>
        </w:rPr>
        <w:t>RITONAVIR</w:t>
      </w:r>
      <w:r>
        <w:rPr>
          <w:color w:val="231F1F"/>
          <w:spacing w:val="3"/>
          <w:w w:val="110"/>
        </w:rPr>
        <w:t>; </w:t>
      </w:r>
      <w:r>
        <w:rPr>
          <w:color w:val="231F1F"/>
          <w:w w:val="110"/>
        </w:rPr>
        <w:t>plasma concentration of clarithromycin increased by </w:t>
      </w:r>
      <w:r>
        <w:rPr>
          <w:rFonts w:ascii="Arial"/>
          <w:color w:val="231F1F"/>
          <w:w w:val="355"/>
          <w:position w:val="1"/>
          <w:sz w:val="7"/>
        </w:rPr>
        <w:t>l </w:t>
      </w:r>
      <w:r>
        <w:rPr>
          <w:rFonts w:ascii="Calibri"/>
          <w:color w:val="008356"/>
          <w:spacing w:val="3"/>
          <w:w w:val="110"/>
          <w:sz w:val="11"/>
        </w:rPr>
        <w:t>RITONAVIR </w:t>
      </w:r>
      <w:r>
        <w:rPr>
          <w:color w:val="231F1F"/>
          <w:w w:val="110"/>
        </w:rPr>
        <w:t>(reduce dose of clarithromycin in renal impairment); increased risk of ventricular arrhythmias when erythromycin given</w:t>
      </w:r>
      <w:r>
        <w:rPr>
          <w:color w:val="231F1F"/>
          <w:spacing w:val="16"/>
          <w:w w:val="110"/>
        </w:rPr>
        <w:t> </w:t>
      </w:r>
      <w:r>
        <w:rPr>
          <w:color w:val="231F1F"/>
          <w:w w:val="110"/>
        </w:rPr>
        <w:t>with</w:t>
      </w:r>
    </w:p>
    <w:p>
      <w:pPr>
        <w:pStyle w:val="BodyText"/>
        <w:spacing w:line="247" w:lineRule="auto"/>
        <w:ind w:right="700"/>
      </w:pP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 plasma concentration of both drugs possibly increased when clarithromycin given with </w:t>
      </w:r>
      <w:r>
        <w:rPr>
          <w:rFonts w:ascii="Arial" w:hAnsi="Arial"/>
          <w:color w:val="231F1F"/>
          <w:w w:val="355"/>
          <w:position w:val="1"/>
          <w:sz w:val="7"/>
        </w:rPr>
        <w:t>l </w:t>
      </w:r>
      <w:r>
        <w:rPr>
          <w:rFonts w:ascii="Calibri" w:hAnsi="Calibri"/>
          <w:color w:val="008356"/>
          <w:w w:val="110"/>
          <w:sz w:val="11"/>
        </w:rPr>
        <w:t>SAQUINAVIR </w:t>
      </w:r>
      <w:r>
        <w:rPr>
          <w:color w:val="231F1F"/>
          <w:w w:val="110"/>
        </w:rPr>
        <w:t>and </w:t>
      </w:r>
      <w:r>
        <w:rPr>
          <w:rFonts w:ascii="Arial" w:hAnsi="Arial"/>
          <w:color w:val="231F1F"/>
          <w:w w:val="355"/>
          <w:position w:val="1"/>
          <w:sz w:val="7"/>
        </w:rPr>
        <w:t>l </w:t>
      </w:r>
      <w:r>
        <w:rPr>
          <w:rFonts w:ascii="Calibri" w:hAnsi="Calibri"/>
          <w:color w:val="008356"/>
          <w:w w:val="110"/>
          <w:sz w:val="11"/>
        </w:rPr>
        <w:t>TELAPREVIR </w:t>
      </w:r>
      <w:r>
        <w:rPr>
          <w:color w:val="231F1F"/>
          <w:w w:val="110"/>
        </w:rPr>
        <w:t>(increased risk of ventricular arrhythmias); plasma concentration of both drugs increased when erythromycin given with </w:t>
      </w:r>
      <w:r>
        <w:rPr>
          <w:rFonts w:ascii="Arial" w:hAnsi="Arial"/>
          <w:color w:val="231F1F"/>
          <w:w w:val="355"/>
          <w:position w:val="1"/>
          <w:sz w:val="7"/>
        </w:rPr>
        <w:t>l </w:t>
      </w:r>
      <w:r>
        <w:rPr>
          <w:rFonts w:ascii="Calibri" w:hAnsi="Calibri"/>
          <w:color w:val="008356"/>
          <w:w w:val="110"/>
          <w:sz w:val="11"/>
        </w:rPr>
        <w:t>SIMEPREVIR</w:t>
      </w:r>
      <w:r>
        <w:rPr>
          <w:rFonts w:ascii="Arial" w:hAnsi="Arial"/>
          <w:color w:val="231F1F"/>
          <w:w w:val="110"/>
        </w:rPr>
        <w:t>— </w:t>
      </w:r>
      <w:r>
        <w:rPr>
          <w:color w:val="231F1F"/>
          <w:w w:val="110"/>
        </w:rPr>
        <w:t>manufacturer of simeprevir advises avoid concomitant use; clarithromycin possibly increases plasma concentration of</w:t>
      </w:r>
    </w:p>
    <w:p>
      <w:pPr>
        <w:pStyle w:val="BodyText"/>
        <w:spacing w:line="247" w:lineRule="auto"/>
        <w:ind w:right="910" w:hanging="1"/>
      </w:pPr>
      <w:r>
        <w:rPr>
          <w:rFonts w:ascii="Arial" w:hAnsi="Arial"/>
          <w:color w:val="231F1F"/>
          <w:w w:val="115"/>
          <w:position w:val="1"/>
          <w:sz w:val="7"/>
        </w:rPr>
        <w:t>l </w:t>
      </w:r>
      <w:r>
        <w:rPr>
          <w:rFonts w:ascii="Calibri" w:hAnsi="Calibri"/>
          <w:color w:val="008356"/>
          <w:w w:val="115"/>
          <w:sz w:val="11"/>
        </w:rPr>
        <w:t>SIMEPREVIR</w:t>
      </w:r>
      <w:r>
        <w:rPr>
          <w:rFonts w:ascii="Arial" w:hAnsi="Arial"/>
          <w:color w:val="231F1F"/>
          <w:w w:val="115"/>
        </w:rPr>
        <w:t>—</w:t>
      </w:r>
      <w:r>
        <w:rPr>
          <w:color w:val="231F1F"/>
          <w:w w:val="115"/>
        </w:rPr>
        <w:t>manufacturer of simeprevir advises avoid </w:t>
      </w:r>
      <w:r>
        <w:rPr>
          <w:color w:val="231F1F"/>
          <w:w w:val="120"/>
        </w:rPr>
        <w:t>concomitant use; plasma concentration of both drugs possibly increased when erythromycin given with</w:t>
      </w:r>
    </w:p>
    <w:p>
      <w:pPr>
        <w:pStyle w:val="BodyText"/>
        <w:ind w:right="961"/>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TELAPREVIR</w:t>
      </w:r>
      <w:r>
        <w:rPr>
          <w:rFonts w:ascii="Calibri"/>
          <w:color w:val="008356"/>
          <w:spacing w:val="-9"/>
          <w:w w:val="115"/>
          <w:sz w:val="11"/>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8"/>
          <w:w w:val="115"/>
        </w:rPr>
        <w:t> </w:t>
      </w:r>
      <w:r>
        <w:rPr>
          <w:color w:val="231F1F"/>
          <w:w w:val="115"/>
        </w:rPr>
        <w:t>arrhythmias); 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4"/>
          <w:w w:val="115"/>
        </w:rPr>
        <w:t> </w:t>
      </w:r>
      <w:r>
        <w:rPr>
          <w:color w:val="231F1F"/>
          <w:w w:val="115"/>
        </w:rPr>
        <w:t>clarithromycin</w:t>
      </w:r>
      <w:r>
        <w:rPr>
          <w:color w:val="231F1F"/>
          <w:spacing w:val="-7"/>
          <w:w w:val="115"/>
        </w:rPr>
        <w:t> </w:t>
      </w:r>
      <w:r>
        <w:rPr>
          <w:color w:val="231F1F"/>
          <w:w w:val="115"/>
        </w:rPr>
        <w:t>increased</w:t>
      </w:r>
      <w:r>
        <w:rPr>
          <w:color w:val="231F1F"/>
          <w:spacing w:val="-5"/>
          <w:w w:val="115"/>
        </w:rPr>
        <w:t> </w:t>
      </w:r>
      <w:r>
        <w:rPr>
          <w:color w:val="231F1F"/>
          <w:w w:val="115"/>
        </w:rPr>
        <w:t>by</w:t>
      </w:r>
    </w:p>
    <w:p>
      <w:pPr>
        <w:pStyle w:val="BodyText"/>
        <w:spacing w:line="247" w:lineRule="auto" w:before="1"/>
        <w:ind w:right="700"/>
      </w:pPr>
      <w:r>
        <w:rPr>
          <w:rFonts w:ascii="Arial"/>
          <w:color w:val="231F1F"/>
          <w:w w:val="355"/>
          <w:position w:val="1"/>
          <w:sz w:val="7"/>
        </w:rPr>
        <w:t>l </w:t>
      </w:r>
      <w:r>
        <w:rPr>
          <w:rFonts w:ascii="Calibri"/>
          <w:color w:val="008356"/>
          <w:spacing w:val="4"/>
          <w:w w:val="110"/>
          <w:sz w:val="11"/>
        </w:rPr>
        <w:t>TIPRANAVIR </w:t>
      </w:r>
      <w:r>
        <w:rPr>
          <w:color w:val="231F1F"/>
          <w:w w:val="110"/>
        </w:rPr>
        <w:t>(reduce dose of clarithromycin in renal impairment), also clarithromycin increases plasma concentration of tipranavir; clarithromycin tablets </w:t>
      </w:r>
      <w:r>
        <w:rPr>
          <w:color w:val="231F1F"/>
          <w:spacing w:val="-3"/>
          <w:w w:val="110"/>
        </w:rPr>
        <w:t>reduce </w:t>
      </w:r>
      <w:r>
        <w:rPr>
          <w:color w:val="231F1F"/>
          <w:w w:val="110"/>
        </w:rPr>
        <w:t>absorption of </w:t>
      </w:r>
      <w:r>
        <w:rPr>
          <w:rFonts w:ascii="Calibri"/>
          <w:color w:val="008356"/>
          <w:spacing w:val="4"/>
          <w:w w:val="110"/>
          <w:sz w:val="11"/>
        </w:rPr>
        <w:t>ZIDOVUDINE </w:t>
      </w:r>
      <w:r>
        <w:rPr>
          <w:color w:val="231F1F"/>
          <w:w w:val="110"/>
        </w:rPr>
        <w:t>(give at least 2 hours apart)</w:t>
      </w:r>
    </w:p>
    <w:p>
      <w:pPr>
        <w:pStyle w:val="BodyText"/>
        <w:spacing w:line="140" w:lineRule="exact"/>
        <w:ind w:left="108"/>
      </w:pPr>
      <w:r>
        <w:rPr>
          <w:rFonts w:ascii="Arial"/>
          <w:color w:val="231F1F"/>
          <w:w w:val="355"/>
          <w:position w:val="1"/>
          <w:sz w:val="7"/>
        </w:rPr>
        <w:t>l </w:t>
      </w:r>
      <w:r>
        <w:rPr>
          <w:rFonts w:ascii="Calibri"/>
          <w:color w:val="231F1F"/>
          <w:w w:val="115"/>
        </w:rPr>
        <w:t>Anxiolytics and Hypnotics: </w:t>
      </w:r>
      <w:r>
        <w:rPr>
          <w:color w:val="231F1F"/>
          <w:w w:val="115"/>
        </w:rPr>
        <w:t>clarithromycin and erythromycin</w:t>
      </w:r>
    </w:p>
    <w:p>
      <w:pPr>
        <w:pStyle w:val="BodyText"/>
        <w:spacing w:line="249" w:lineRule="auto"/>
        <w:ind w:right="767"/>
        <w:rPr>
          <w:rFonts w:ascii="Calibri"/>
          <w:sz w:val="11"/>
        </w:rPr>
      </w:pPr>
      <w:r>
        <w:rPr>
          <w:color w:val="231F1F"/>
          <w:w w:val="105"/>
        </w:rPr>
        <w:t>inhibit metabolism of </w:t>
      </w:r>
      <w:r>
        <w:rPr>
          <w:rFonts w:ascii="Arial"/>
          <w:color w:val="231F1F"/>
          <w:w w:val="355"/>
          <w:position w:val="1"/>
          <w:sz w:val="7"/>
        </w:rPr>
        <w:t>l </w:t>
      </w:r>
      <w:r>
        <w:rPr>
          <w:rFonts w:ascii="Calibri"/>
          <w:color w:val="008356"/>
          <w:spacing w:val="4"/>
          <w:w w:val="105"/>
          <w:sz w:val="11"/>
        </w:rPr>
        <w:t>MIDAZOLAM </w:t>
      </w:r>
      <w:r>
        <w:rPr>
          <w:color w:val="231F1F"/>
          <w:w w:val="105"/>
        </w:rPr>
        <w:t>(increased plasma concentration  with  increased  sedation);   erythromycin increases plasma concentration of </w:t>
      </w:r>
      <w:r>
        <w:rPr>
          <w:rFonts w:ascii="Calibri"/>
          <w:color w:val="008356"/>
          <w:spacing w:val="4"/>
          <w:w w:val="105"/>
          <w:sz w:val="11"/>
        </w:rPr>
        <w:t>BUSPIRONE </w:t>
      </w:r>
      <w:r>
        <w:rPr>
          <w:color w:val="231F1F"/>
          <w:w w:val="105"/>
        </w:rPr>
        <w:t>(reduce dose </w:t>
      </w:r>
      <w:r>
        <w:rPr>
          <w:color w:val="231F1F"/>
          <w:spacing w:val="-7"/>
          <w:w w:val="105"/>
        </w:rPr>
        <w:t>of </w:t>
      </w:r>
      <w:r>
        <w:rPr>
          <w:color w:val="231F1F"/>
          <w:w w:val="105"/>
        </w:rPr>
        <w:t>buspirone); erythromycin  inhibits  the  metabolism  of </w:t>
      </w:r>
      <w:r>
        <w:rPr>
          <w:rFonts w:ascii="Calibri"/>
          <w:color w:val="008356"/>
          <w:spacing w:val="4"/>
          <w:w w:val="105"/>
          <w:sz w:val="11"/>
        </w:rPr>
        <w:t>ZOPICLONE</w:t>
      </w:r>
    </w:p>
    <w:p>
      <w:pPr>
        <w:pStyle w:val="BodyText"/>
        <w:spacing w:line="220" w:lineRule="auto" w:before="1"/>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clarithromycin possibly increases plasma concentration of </w:t>
      </w:r>
      <w:r>
        <w:rPr>
          <w:rFonts w:ascii="Calibri" w:hAnsi="Calibri"/>
          <w:color w:val="008356"/>
          <w:w w:val="105"/>
          <w:sz w:val="11"/>
        </w:rPr>
        <w:t>APREPITANT</w:t>
      </w:r>
    </w:p>
    <w:p>
      <w:pPr>
        <w:pStyle w:val="BodyText"/>
        <w:spacing w:line="146" w:lineRule="exact"/>
        <w:ind w:left="108"/>
      </w:pPr>
      <w:r>
        <w:rPr>
          <w:rFonts w:ascii="Arial"/>
          <w:color w:val="231F1F"/>
          <w:w w:val="355"/>
          <w:position w:val="1"/>
          <w:sz w:val="7"/>
        </w:rPr>
        <w:t>l </w:t>
      </w:r>
      <w:r>
        <w:rPr>
          <w:rFonts w:ascii="Calibri"/>
          <w:color w:val="231F1F"/>
          <w:w w:val="110"/>
        </w:rPr>
        <w:t>Atomoxetine: </w:t>
      </w:r>
      <w:r>
        <w:rPr>
          <w:color w:val="231F1F"/>
          <w:w w:val="110"/>
        </w:rPr>
        <w:t>increased risk of ventricular arrhythmias when</w:t>
      </w:r>
    </w:p>
    <w:p>
      <w:pPr>
        <w:spacing w:line="140" w:lineRule="exact" w:before="0"/>
        <w:ind w:left="208" w:right="0" w:firstLine="0"/>
        <w:jc w:val="left"/>
        <w:rPr>
          <w:rFonts w:ascii="Calibri"/>
          <w:sz w:val="11"/>
        </w:rPr>
      </w:pPr>
      <w:r>
        <w:rPr>
          <w:i/>
          <w:color w:val="231F1F"/>
          <w:w w:val="110"/>
          <w:sz w:val="12"/>
        </w:rPr>
        <w:t>parenteral </w:t>
      </w:r>
      <w:r>
        <w:rPr>
          <w:color w:val="231F1F"/>
          <w:w w:val="110"/>
          <w:sz w:val="12"/>
        </w:rPr>
        <w:t>erythromycin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ATOMOXETINE</w:t>
      </w:r>
    </w:p>
    <w:p>
      <w:pPr>
        <w:pStyle w:val="BodyText"/>
        <w:spacing w:line="242" w:lineRule="auto"/>
        <w:ind w:right="930" w:hanging="100"/>
      </w:pPr>
      <w:r>
        <w:rPr>
          <w:rFonts w:ascii="Arial" w:hAnsi="Arial"/>
          <w:color w:val="231F1F"/>
          <w:w w:val="355"/>
          <w:position w:val="1"/>
          <w:sz w:val="7"/>
        </w:rPr>
        <w:t>l </w:t>
      </w:r>
      <w:r>
        <w:rPr>
          <w:rFonts w:ascii="Calibri" w:hAnsi="Calibri"/>
          <w:color w:val="231F1F"/>
          <w:w w:val="120"/>
        </w:rPr>
        <w:t>Avanafil: </w:t>
      </w:r>
      <w:r>
        <w:rPr>
          <w:color w:val="231F1F"/>
          <w:w w:val="120"/>
        </w:rPr>
        <w:t>clarithromycin possibly increases plasma concentration</w:t>
      </w:r>
      <w:r>
        <w:rPr>
          <w:color w:val="231F1F"/>
          <w:spacing w:val="-26"/>
          <w:w w:val="120"/>
        </w:rPr>
        <w:t> </w:t>
      </w:r>
      <w:r>
        <w:rPr>
          <w:color w:val="231F1F"/>
          <w:w w:val="120"/>
        </w:rPr>
        <w:t>of</w:t>
      </w:r>
      <w:r>
        <w:rPr>
          <w:color w:val="231F1F"/>
          <w:spacing w:val="-25"/>
          <w:w w:val="120"/>
        </w:rPr>
        <w:t>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w w:val="120"/>
          <w:sz w:val="11"/>
        </w:rPr>
        <w:t>AVANAFIL</w:t>
      </w:r>
      <w:r>
        <w:rPr>
          <w:rFonts w:ascii="Arial" w:hAnsi="Arial"/>
          <w:color w:val="231F1F"/>
          <w:w w:val="120"/>
        </w:rPr>
        <w:t>—</w:t>
      </w:r>
      <w:r>
        <w:rPr>
          <w:color w:val="231F1F"/>
          <w:w w:val="120"/>
        </w:rPr>
        <w:t>manufacturer</w:t>
      </w:r>
      <w:r>
        <w:rPr>
          <w:color w:val="231F1F"/>
          <w:spacing w:val="-25"/>
          <w:w w:val="120"/>
        </w:rPr>
        <w:t> </w:t>
      </w:r>
      <w:r>
        <w:rPr>
          <w:color w:val="231F1F"/>
          <w:w w:val="120"/>
        </w:rPr>
        <w:t>of</w:t>
      </w:r>
      <w:r>
        <w:rPr>
          <w:color w:val="231F1F"/>
          <w:spacing w:val="-25"/>
          <w:w w:val="120"/>
        </w:rPr>
        <w:t> </w:t>
      </w:r>
      <w:r>
        <w:rPr>
          <w:color w:val="231F1F"/>
          <w:w w:val="120"/>
        </w:rPr>
        <w:t>avanafil advises</w:t>
      </w:r>
      <w:r>
        <w:rPr>
          <w:color w:val="231F1F"/>
          <w:spacing w:val="-24"/>
          <w:w w:val="120"/>
        </w:rPr>
        <w:t> </w:t>
      </w:r>
      <w:r>
        <w:rPr>
          <w:color w:val="231F1F"/>
          <w:w w:val="120"/>
        </w:rPr>
        <w:t>avoid</w:t>
      </w:r>
      <w:r>
        <w:rPr>
          <w:color w:val="231F1F"/>
          <w:spacing w:val="-24"/>
          <w:w w:val="120"/>
        </w:rPr>
        <w:t> </w:t>
      </w:r>
      <w:r>
        <w:rPr>
          <w:color w:val="231F1F"/>
          <w:w w:val="120"/>
        </w:rPr>
        <w:t>concomitant</w:t>
      </w:r>
      <w:r>
        <w:rPr>
          <w:color w:val="231F1F"/>
          <w:spacing w:val="-24"/>
          <w:w w:val="120"/>
        </w:rPr>
        <w:t> </w:t>
      </w:r>
      <w:r>
        <w:rPr>
          <w:color w:val="231F1F"/>
          <w:w w:val="120"/>
        </w:rPr>
        <w:t>use;</w:t>
      </w:r>
      <w:r>
        <w:rPr>
          <w:color w:val="231F1F"/>
          <w:spacing w:val="-23"/>
          <w:w w:val="120"/>
        </w:rPr>
        <w:t> </w:t>
      </w:r>
      <w:r>
        <w:rPr>
          <w:color w:val="231F1F"/>
          <w:w w:val="120"/>
        </w:rPr>
        <w:t>erythromycin</w:t>
      </w:r>
      <w:r>
        <w:rPr>
          <w:color w:val="231F1F"/>
          <w:spacing w:val="-24"/>
          <w:w w:val="120"/>
        </w:rPr>
        <w:t> </w:t>
      </w:r>
      <w:r>
        <w:rPr>
          <w:color w:val="231F1F"/>
          <w:w w:val="120"/>
        </w:rPr>
        <w:t>increases </w:t>
      </w:r>
      <w:r>
        <w:rPr>
          <w:color w:val="231F1F"/>
          <w:w w:val="115"/>
        </w:rPr>
        <w:t>plasma</w:t>
      </w:r>
      <w:r>
        <w:rPr>
          <w:color w:val="231F1F"/>
          <w:spacing w:val="-15"/>
          <w:w w:val="115"/>
        </w:rPr>
        <w:t> </w:t>
      </w:r>
      <w:r>
        <w:rPr>
          <w:color w:val="231F1F"/>
          <w:w w:val="115"/>
        </w:rPr>
        <w:t>concentration</w:t>
      </w:r>
      <w:r>
        <w:rPr>
          <w:color w:val="231F1F"/>
          <w:spacing w:val="-17"/>
          <w:w w:val="115"/>
        </w:rPr>
        <w:t> </w:t>
      </w:r>
      <w:r>
        <w:rPr>
          <w:color w:val="231F1F"/>
          <w:w w:val="115"/>
        </w:rPr>
        <w:t>of</w:t>
      </w:r>
      <w:r>
        <w:rPr>
          <w:color w:val="231F1F"/>
          <w:spacing w:val="-14"/>
          <w:w w:val="115"/>
        </w:rPr>
        <w:t> </w:t>
      </w: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see</w:t>
      </w:r>
      <w:r>
        <w:rPr>
          <w:color w:val="231F1F"/>
          <w:spacing w:val="-15"/>
          <w:w w:val="115"/>
        </w:rPr>
        <w:t> </w:t>
      </w:r>
      <w:r>
        <w:rPr>
          <w:color w:val="231F1F"/>
          <w:w w:val="115"/>
        </w:rPr>
        <w:t>under</w:t>
      </w:r>
      <w:r>
        <w:rPr>
          <w:color w:val="231F1F"/>
          <w:spacing w:val="-14"/>
          <w:w w:val="115"/>
        </w:rPr>
        <w:t> </w:t>
      </w:r>
      <w:r>
        <w:rPr>
          <w:color w:val="231F1F"/>
          <w:w w:val="115"/>
        </w:rPr>
        <w:t>Avanafil, </w:t>
      </w:r>
      <w:r>
        <w:rPr>
          <w:color w:val="231F1F"/>
          <w:w w:val="120"/>
        </w:rPr>
        <w:t>p.</w:t>
      </w:r>
      <w:r>
        <w:rPr>
          <w:color w:val="231F1F"/>
          <w:spacing w:val="-5"/>
          <w:w w:val="120"/>
        </w:rPr>
        <w:t> </w:t>
      </w:r>
      <w:r>
        <w:rPr>
          <w:color w:val="231F1F"/>
          <w:w w:val="120"/>
        </w:rPr>
        <w:t>698</w:t>
      </w:r>
    </w:p>
    <w:p>
      <w:pPr>
        <w:pStyle w:val="BodyText"/>
        <w:spacing w:line="244" w:lineRule="auto" w:before="1"/>
        <w:ind w:right="767" w:hanging="100"/>
        <w:rPr>
          <w:rFonts w:ascii="Calibri"/>
          <w:sz w:val="11"/>
        </w:rPr>
      </w:pPr>
      <w:r>
        <w:rPr>
          <w:rFonts w:ascii="Arial"/>
          <w:color w:val="231F1F"/>
          <w:w w:val="355"/>
          <w:position w:val="1"/>
          <w:sz w:val="7"/>
        </w:rPr>
        <w:t>l </w:t>
      </w:r>
      <w:r>
        <w:rPr>
          <w:rFonts w:ascii="Calibri"/>
          <w:color w:val="231F1F"/>
          <w:w w:val="105"/>
        </w:rPr>
        <w:t>Calcium-channel Blockers: </w:t>
      </w:r>
      <w:r>
        <w:rPr>
          <w:color w:val="231F1F"/>
          <w:w w:val="105"/>
        </w:rPr>
        <w:t>clarithromycin and erythromycin possibly inhibit metabolism of </w:t>
      </w:r>
      <w:r>
        <w:rPr>
          <w:rFonts w:ascii="Arial"/>
          <w:color w:val="231F1F"/>
          <w:w w:val="355"/>
          <w:position w:val="1"/>
          <w:sz w:val="7"/>
        </w:rPr>
        <w:t>l </w:t>
      </w:r>
      <w:r>
        <w:rPr>
          <w:rFonts w:ascii="Calibri"/>
          <w:color w:val="008356"/>
          <w:w w:val="105"/>
          <w:sz w:val="11"/>
        </w:rPr>
        <w:t>CALCIUM-CHANNEL BLOCKERS </w:t>
      </w:r>
      <w:r>
        <w:rPr>
          <w:color w:val="231F1F"/>
          <w:w w:val="105"/>
        </w:rPr>
        <w:t>(increased risk of side-effects); avoidance of erythromycin advised by manufacturer of </w:t>
      </w:r>
      <w:r>
        <w:rPr>
          <w:rFonts w:ascii="Calibri"/>
          <w:color w:val="008356"/>
          <w:w w:val="105"/>
          <w:sz w:val="11"/>
        </w:rPr>
        <w:t>LERCANIDIPINE</w:t>
      </w:r>
    </w:p>
    <w:p>
      <w:pPr>
        <w:pStyle w:val="BodyText"/>
        <w:spacing w:line="220" w:lineRule="auto" w:before="2"/>
        <w:ind w:right="829" w:hanging="100"/>
      </w:pPr>
      <w:r>
        <w:rPr>
          <w:rFonts w:ascii="Lucida Sans Unicode" w:hAnsi="Lucida Sans Unicode"/>
          <w:color w:val="A7A8AC"/>
          <w:w w:val="95"/>
          <w:sz w:val="10"/>
        </w:rPr>
        <w:t>▶ </w:t>
      </w:r>
      <w:r>
        <w:rPr>
          <w:rFonts w:ascii="Calibri" w:hAnsi="Calibri"/>
          <w:color w:val="231F1F"/>
          <w:w w:val="105"/>
        </w:rPr>
        <w:t>Cardiac Glycosides:  </w:t>
      </w:r>
      <w:r>
        <w:rPr>
          <w:color w:val="231F1F"/>
          <w:w w:val="105"/>
        </w:rPr>
        <w:t>macrolides increase plasma </w:t>
      </w:r>
      <w:r>
        <w:rPr>
          <w:color w:val="231F1F"/>
          <w:spacing w:val="-2"/>
          <w:w w:val="105"/>
        </w:rPr>
        <w:t>concentration  </w:t>
      </w:r>
      <w:r>
        <w:rPr>
          <w:color w:val="231F1F"/>
          <w:w w:val="105"/>
        </w:rPr>
        <w:t>of </w:t>
      </w:r>
      <w:r>
        <w:rPr>
          <w:rFonts w:ascii="Calibri" w:hAnsi="Calibri"/>
          <w:color w:val="008356"/>
          <w:spacing w:val="4"/>
          <w:w w:val="105"/>
          <w:sz w:val="11"/>
        </w:rPr>
        <w:t>DIGOXIN </w:t>
      </w:r>
      <w:r>
        <w:rPr>
          <w:color w:val="231F1F"/>
          <w:w w:val="105"/>
        </w:rPr>
        <w:t>(increased risk of</w:t>
      </w:r>
      <w:r>
        <w:rPr>
          <w:color w:val="231F1F"/>
          <w:spacing w:val="11"/>
          <w:w w:val="105"/>
        </w:rPr>
        <w:t> </w:t>
      </w:r>
      <w:r>
        <w:rPr>
          <w:color w:val="231F1F"/>
          <w:w w:val="105"/>
        </w:rPr>
        <w:t>toxicity)</w:t>
      </w:r>
    </w:p>
    <w:p>
      <w:pPr>
        <w:pStyle w:val="BodyText"/>
        <w:spacing w:line="145" w:lineRule="exact"/>
        <w:ind w:left="108"/>
      </w:pPr>
      <w:r>
        <w:rPr>
          <w:rFonts w:ascii="Arial"/>
          <w:color w:val="231F1F"/>
          <w:w w:val="355"/>
          <w:position w:val="1"/>
          <w:sz w:val="7"/>
        </w:rPr>
        <w:t>l </w:t>
      </w:r>
      <w:r>
        <w:rPr>
          <w:rFonts w:ascii="Calibri"/>
          <w:color w:val="231F1F"/>
          <w:w w:val="110"/>
        </w:rPr>
        <w:t>Ciclosporin: </w:t>
      </w:r>
      <w:r>
        <w:rPr>
          <w:color w:val="231F1F"/>
          <w:w w:val="110"/>
        </w:rPr>
        <w:t>macrolides possibly inhibit metabolism of</w:t>
      </w:r>
    </w:p>
    <w:p>
      <w:pPr>
        <w:pStyle w:val="BodyText"/>
        <w:spacing w:line="247" w:lineRule="auto"/>
        <w:ind w:right="1038"/>
      </w:pPr>
      <w:r>
        <w:rPr>
          <w:rFonts w:ascii="Arial"/>
          <w:color w:val="231F1F"/>
          <w:w w:val="355"/>
          <w:position w:val="1"/>
          <w:sz w:val="7"/>
        </w:rPr>
        <w:t>l </w:t>
      </w:r>
      <w:r>
        <w:rPr>
          <w:rFonts w:ascii="Calibri"/>
          <w:color w:val="008356"/>
          <w:spacing w:val="4"/>
          <w:w w:val="110"/>
          <w:sz w:val="11"/>
        </w:rPr>
        <w:t>CICLOSPORIN </w:t>
      </w:r>
      <w:r>
        <w:rPr>
          <w:color w:val="231F1F"/>
          <w:w w:val="110"/>
        </w:rPr>
        <w:t>(increased plasma concentration); clarithromycin  and erythromycin inhibit metabolism </w:t>
      </w:r>
      <w:r>
        <w:rPr>
          <w:color w:val="231F1F"/>
          <w:spacing w:val="-7"/>
          <w:w w:val="110"/>
        </w:rPr>
        <w:t>of  </w:t>
      </w:r>
      <w:r>
        <w:rPr>
          <w:rFonts w:ascii="Arial"/>
          <w:color w:val="231F1F"/>
          <w:w w:val="355"/>
          <w:position w:val="1"/>
          <w:sz w:val="7"/>
        </w:rPr>
        <w:t>l</w:t>
      </w:r>
      <w:r>
        <w:rPr>
          <w:rFonts w:ascii="Arial"/>
          <w:color w:val="231F1F"/>
          <w:spacing w:val="-37"/>
          <w:w w:val="355"/>
          <w:position w:val="1"/>
          <w:sz w:val="7"/>
        </w:rPr>
        <w:t> </w:t>
      </w:r>
      <w:r>
        <w:rPr>
          <w:rFonts w:ascii="Calibri"/>
          <w:color w:val="008356"/>
          <w:spacing w:val="4"/>
          <w:w w:val="110"/>
          <w:sz w:val="11"/>
        </w:rPr>
        <w:t>CICLOSPORIN </w:t>
      </w:r>
      <w:r>
        <w:rPr>
          <w:color w:val="231F1F"/>
          <w:w w:val="110"/>
        </w:rPr>
        <w:t>(increased plasma concentration)</w:t>
      </w:r>
    </w:p>
    <w:p>
      <w:pPr>
        <w:pStyle w:val="BodyText"/>
        <w:spacing w:line="139" w:lineRule="exact"/>
        <w:ind w:left="108"/>
      </w:pPr>
      <w:r>
        <w:rPr>
          <w:rFonts w:ascii="Arial"/>
          <w:color w:val="231F1F"/>
          <w:w w:val="355"/>
          <w:position w:val="1"/>
          <w:sz w:val="7"/>
        </w:rPr>
        <w:t>l </w:t>
      </w:r>
      <w:r>
        <w:rPr>
          <w:rFonts w:ascii="Calibri"/>
          <w:color w:val="231F1F"/>
          <w:w w:val="120"/>
        </w:rPr>
        <w:t>Cilostazol: </w:t>
      </w:r>
      <w:r>
        <w:rPr>
          <w:color w:val="231F1F"/>
          <w:w w:val="120"/>
        </w:rPr>
        <w:t>clarithromycin possibly increases plasma</w:t>
      </w:r>
    </w:p>
    <w:p>
      <w:pPr>
        <w:pStyle w:val="BodyText"/>
        <w:spacing w:line="242" w:lineRule="auto"/>
        <w:ind w:right="694"/>
        <w:jc w:val="both"/>
      </w:pPr>
      <w:r>
        <w:rPr>
          <w:color w:val="231F1F"/>
          <w:w w:val="110"/>
        </w:rPr>
        <w:t>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 erythromycin increases plasma 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w:t>
      </w:r>
    </w:p>
    <w:p>
      <w:pPr>
        <w:pStyle w:val="BodyText"/>
        <w:ind w:right="733" w:hanging="100"/>
        <w:jc w:val="both"/>
        <w:rPr>
          <w:rFonts w:ascii="Calibri"/>
          <w:sz w:val="11"/>
        </w:rPr>
      </w:pPr>
      <w:r>
        <w:rPr>
          <w:rFonts w:ascii="Arial"/>
          <w:color w:val="231F1F"/>
          <w:w w:val="355"/>
          <w:position w:val="1"/>
          <w:sz w:val="7"/>
        </w:rPr>
        <w:t>l </w:t>
      </w:r>
      <w:r>
        <w:rPr>
          <w:rFonts w:ascii="Calibri"/>
          <w:color w:val="231F1F"/>
          <w:w w:val="110"/>
        </w:rPr>
        <w:t>Clopidogrel: </w:t>
      </w:r>
      <w:r>
        <w:rPr>
          <w:color w:val="231F1F"/>
          <w:w w:val="110"/>
        </w:rPr>
        <w:t>erythromycin possibly reduces antiplatelet effect of </w:t>
      </w:r>
      <w:r>
        <w:rPr>
          <w:rFonts w:ascii="Arial"/>
          <w:color w:val="231F1F"/>
          <w:w w:val="355"/>
          <w:position w:val="1"/>
          <w:sz w:val="7"/>
        </w:rPr>
        <w:t>l </w:t>
      </w:r>
      <w:r>
        <w:rPr>
          <w:rFonts w:ascii="Calibri"/>
          <w:color w:val="008356"/>
          <w:w w:val="110"/>
          <w:sz w:val="11"/>
        </w:rPr>
        <w:t>CLOPIDOGREL</w:t>
      </w:r>
    </w:p>
    <w:p>
      <w:pPr>
        <w:pStyle w:val="BodyText"/>
        <w:spacing w:line="242" w:lineRule="auto"/>
        <w:ind w:right="700" w:hanging="100"/>
      </w:pPr>
      <w:r>
        <w:rPr>
          <w:rFonts w:ascii="Arial" w:hAnsi="Arial"/>
          <w:color w:val="231F1F"/>
          <w:w w:val="355"/>
          <w:position w:val="1"/>
          <w:sz w:val="7"/>
        </w:rPr>
        <w:t>l </w:t>
      </w:r>
      <w:r>
        <w:rPr>
          <w:rFonts w:ascii="Calibri" w:hAnsi="Calibri"/>
          <w:color w:val="231F1F"/>
          <w:w w:val="115"/>
        </w:rPr>
        <w:t>Colchicine: </w:t>
      </w:r>
      <w:r>
        <w:rPr>
          <w:color w:val="231F1F"/>
          <w:w w:val="115"/>
        </w:rPr>
        <w:t>azithromycin, clarithromycin and erythromycin possibly increase risk of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w:t>
      </w:r>
      <w:r>
        <w:rPr>
          <w:color w:val="231F1F"/>
          <w:spacing w:val="-3"/>
          <w:w w:val="115"/>
        </w:rPr>
        <w:t>hepatic </w:t>
      </w:r>
      <w:r>
        <w:rPr>
          <w:color w:val="231F1F"/>
          <w:w w:val="115"/>
        </w:rPr>
        <w:t>or renal impairment)</w:t>
      </w:r>
    </w:p>
    <w:p>
      <w:pPr>
        <w:spacing w:line="235" w:lineRule="auto" w:before="0"/>
        <w:ind w:left="208" w:right="65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erythromycin possibly inhibits metabolism of </w:t>
      </w:r>
      <w:r>
        <w:rPr>
          <w:rFonts w:ascii="Calibri" w:hAnsi="Calibri"/>
          <w:color w:val="008356"/>
          <w:w w:val="110"/>
          <w:sz w:val="11"/>
        </w:rPr>
        <w:t>CORTICOSTEROIDS</w:t>
      </w:r>
      <w:r>
        <w:rPr>
          <w:color w:val="231F1F"/>
          <w:w w:val="110"/>
          <w:sz w:val="12"/>
        </w:rPr>
        <w:t>; erythromycin inhibits the metabolism of </w:t>
      </w:r>
      <w:r>
        <w:rPr>
          <w:rFonts w:ascii="Calibri" w:hAnsi="Calibri"/>
          <w:color w:val="008356"/>
          <w:w w:val="110"/>
          <w:sz w:val="11"/>
        </w:rPr>
        <w:t>METHYLPREDNISOLONE</w:t>
      </w:r>
      <w:r>
        <w:rPr>
          <w:color w:val="231F1F"/>
          <w:w w:val="110"/>
          <w:sz w:val="12"/>
        </w:rPr>
        <w:t>; clarithromycin possibly increases plasma concentration of </w:t>
      </w:r>
      <w:r>
        <w:rPr>
          <w:rFonts w:ascii="Calibri" w:hAnsi="Calibri"/>
          <w:color w:val="008356"/>
          <w:w w:val="110"/>
          <w:sz w:val="11"/>
        </w:rPr>
        <w:t>METHYLPREDNISOLONE</w:t>
      </w:r>
    </w:p>
    <w:p>
      <w:pPr>
        <w:pStyle w:val="BodyText"/>
        <w:spacing w:line="244" w:lineRule="auto"/>
        <w:ind w:right="749" w:hanging="100"/>
      </w:pPr>
      <w:r>
        <w:rPr>
          <w:rFonts w:ascii="Arial" w:hAnsi="Arial"/>
          <w:color w:val="231F1F"/>
          <w:w w:val="355"/>
          <w:position w:val="1"/>
          <w:sz w:val="7"/>
        </w:rPr>
        <w:t>l </w:t>
      </w:r>
      <w:r>
        <w:rPr>
          <w:rFonts w:ascii="Calibri" w:hAnsi="Calibri"/>
          <w:color w:val="231F1F"/>
          <w:w w:val="120"/>
        </w:rPr>
        <w:t>Cytotoxics: </w:t>
      </w:r>
      <w:r>
        <w:rPr>
          <w:color w:val="231F1F"/>
          <w:w w:val="120"/>
        </w:rPr>
        <w:t>erythromycin possibly increases the plasma </w:t>
      </w:r>
      <w:r>
        <w:rPr>
          <w:color w:val="231F1F"/>
          <w:w w:val="115"/>
        </w:rPr>
        <w:t>concentration</w:t>
      </w:r>
      <w:r>
        <w:rPr>
          <w:color w:val="231F1F"/>
          <w:spacing w:val="-17"/>
          <w:w w:val="115"/>
        </w:rPr>
        <w:t> </w:t>
      </w:r>
      <w:r>
        <w:rPr>
          <w:color w:val="231F1F"/>
          <w:w w:val="115"/>
        </w:rPr>
        <w:t>of</w:t>
      </w:r>
      <w:r>
        <w:rPr>
          <w:color w:val="231F1F"/>
          <w:spacing w:val="-15"/>
          <w:w w:val="115"/>
        </w:rPr>
        <w:t> </w:t>
      </w:r>
      <w:r>
        <w:rPr>
          <w:rFonts w:ascii="Calibri" w:hAnsi="Calibri"/>
          <w:color w:val="008356"/>
          <w:w w:val="115"/>
          <w:sz w:val="11"/>
        </w:rPr>
        <w:t>AFATINIB</w:t>
      </w:r>
      <w:r>
        <w:rPr>
          <w:rFonts w:ascii="Arial" w:hAnsi="Arial"/>
          <w:color w:val="231F1F"/>
          <w:w w:val="115"/>
        </w:rPr>
        <w:t>—</w:t>
      </w:r>
      <w:r>
        <w:rPr>
          <w:color w:val="231F1F"/>
          <w:w w:val="115"/>
        </w:rPr>
        <w:t>manufacturer</w:t>
      </w:r>
      <w:r>
        <w:rPr>
          <w:color w:val="231F1F"/>
          <w:spacing w:val="-16"/>
          <w:w w:val="115"/>
        </w:rPr>
        <w:t> </w:t>
      </w:r>
      <w:r>
        <w:rPr>
          <w:color w:val="231F1F"/>
          <w:w w:val="115"/>
        </w:rPr>
        <w:t>of</w:t>
      </w:r>
      <w:r>
        <w:rPr>
          <w:color w:val="231F1F"/>
          <w:spacing w:val="-15"/>
          <w:w w:val="115"/>
        </w:rPr>
        <w:t> </w:t>
      </w:r>
      <w:r>
        <w:rPr>
          <w:color w:val="231F1F"/>
          <w:w w:val="115"/>
        </w:rPr>
        <w:t>afatinib</w:t>
      </w:r>
      <w:r>
        <w:rPr>
          <w:color w:val="231F1F"/>
          <w:spacing w:val="-15"/>
          <w:w w:val="115"/>
        </w:rPr>
        <w:t> </w:t>
      </w:r>
      <w:r>
        <w:rPr>
          <w:color w:val="231F1F"/>
          <w:w w:val="115"/>
        </w:rPr>
        <w:t>advises </w:t>
      </w:r>
      <w:r>
        <w:rPr>
          <w:color w:val="231F1F"/>
          <w:w w:val="120"/>
        </w:rPr>
        <w:t>separating</w:t>
      </w:r>
      <w:r>
        <w:rPr>
          <w:color w:val="231F1F"/>
          <w:spacing w:val="-22"/>
          <w:w w:val="120"/>
        </w:rPr>
        <w:t> </w:t>
      </w:r>
      <w:r>
        <w:rPr>
          <w:color w:val="231F1F"/>
          <w:w w:val="120"/>
        </w:rPr>
        <w:t>administration</w:t>
      </w:r>
      <w:r>
        <w:rPr>
          <w:color w:val="231F1F"/>
          <w:spacing w:val="-20"/>
          <w:w w:val="120"/>
        </w:rPr>
        <w:t> </w:t>
      </w:r>
      <w:r>
        <w:rPr>
          <w:color w:val="231F1F"/>
          <w:w w:val="120"/>
        </w:rPr>
        <w:t>of</w:t>
      </w:r>
      <w:r>
        <w:rPr>
          <w:color w:val="231F1F"/>
          <w:spacing w:val="-20"/>
          <w:w w:val="120"/>
        </w:rPr>
        <w:t> </w:t>
      </w:r>
      <w:r>
        <w:rPr>
          <w:color w:val="231F1F"/>
          <w:w w:val="120"/>
        </w:rPr>
        <w:t>erythromycin</w:t>
      </w:r>
      <w:r>
        <w:rPr>
          <w:color w:val="231F1F"/>
          <w:spacing w:val="-21"/>
          <w:w w:val="120"/>
        </w:rPr>
        <w:t> </w:t>
      </w:r>
      <w:r>
        <w:rPr>
          <w:color w:val="231F1F"/>
          <w:w w:val="120"/>
        </w:rPr>
        <w:t>by</w:t>
      </w:r>
      <w:r>
        <w:rPr>
          <w:color w:val="231F1F"/>
          <w:spacing w:val="-21"/>
          <w:w w:val="120"/>
        </w:rPr>
        <w:t> </w:t>
      </w:r>
      <w:r>
        <w:rPr>
          <w:color w:val="231F1F"/>
          <w:w w:val="120"/>
        </w:rPr>
        <w:t>6</w:t>
      </w:r>
      <w:r>
        <w:rPr>
          <w:color w:val="231F1F"/>
          <w:spacing w:val="-19"/>
          <w:w w:val="120"/>
        </w:rPr>
        <w:t> </w:t>
      </w:r>
      <w:r>
        <w:rPr>
          <w:color w:val="231F1F"/>
          <w:w w:val="120"/>
        </w:rPr>
        <w:t>to</w:t>
      </w:r>
      <w:r>
        <w:rPr>
          <w:color w:val="231F1F"/>
          <w:spacing w:val="-21"/>
          <w:w w:val="120"/>
        </w:rPr>
        <w:t> </w:t>
      </w:r>
      <w:r>
        <w:rPr>
          <w:color w:val="231F1F"/>
          <w:w w:val="120"/>
        </w:rPr>
        <w:t>12</w:t>
      </w:r>
      <w:r>
        <w:rPr>
          <w:color w:val="231F1F"/>
          <w:spacing w:val="-20"/>
          <w:w w:val="120"/>
        </w:rPr>
        <w:t> </w:t>
      </w:r>
      <w:r>
        <w:rPr>
          <w:color w:val="231F1F"/>
          <w:spacing w:val="-3"/>
          <w:w w:val="120"/>
        </w:rPr>
        <w:t>hours; </w:t>
      </w:r>
      <w:r>
        <w:rPr>
          <w:color w:val="231F1F"/>
          <w:w w:val="115"/>
        </w:rPr>
        <w:t>clarithromycin and erythromycin possibly increase plasma concentration</w:t>
      </w:r>
      <w:r>
        <w:rPr>
          <w:color w:val="231F1F"/>
          <w:spacing w:val="-16"/>
          <w:w w:val="115"/>
        </w:rPr>
        <w:t> </w:t>
      </w:r>
      <w:r>
        <w:rPr>
          <w:color w:val="231F1F"/>
          <w:w w:val="115"/>
        </w:rPr>
        <w:t>of</w:t>
      </w:r>
      <w:r>
        <w:rPr>
          <w:color w:val="231F1F"/>
          <w:spacing w:val="-13"/>
          <w:w w:val="115"/>
        </w:rPr>
        <w:t> </w:t>
      </w:r>
      <w:r>
        <w:rPr>
          <w:rFonts w:ascii="Calibri" w:hAnsi="Calibri"/>
          <w:color w:val="008356"/>
          <w:spacing w:val="4"/>
          <w:w w:val="115"/>
          <w:sz w:val="11"/>
        </w:rPr>
        <w:t>AXITINIB</w:t>
      </w:r>
      <w:r>
        <w:rPr>
          <w:rFonts w:ascii="Calibri" w:hAnsi="Calibri"/>
          <w:color w:val="008356"/>
          <w:spacing w:val="-3"/>
          <w:w w:val="115"/>
          <w:sz w:val="11"/>
        </w:rPr>
        <w:t> </w:t>
      </w:r>
      <w:r>
        <w:rPr>
          <w:color w:val="231F1F"/>
          <w:w w:val="115"/>
        </w:rPr>
        <w:t>(reduce</w:t>
      </w:r>
      <w:r>
        <w:rPr>
          <w:color w:val="231F1F"/>
          <w:spacing w:val="-14"/>
          <w:w w:val="115"/>
        </w:rPr>
        <w:t> </w:t>
      </w:r>
      <w:r>
        <w:rPr>
          <w:color w:val="231F1F"/>
          <w:w w:val="115"/>
        </w:rPr>
        <w:t>dose</w:t>
      </w:r>
      <w:r>
        <w:rPr>
          <w:color w:val="231F1F"/>
          <w:spacing w:val="-14"/>
          <w:w w:val="115"/>
        </w:rPr>
        <w:t> </w:t>
      </w:r>
      <w:r>
        <w:rPr>
          <w:color w:val="231F1F"/>
          <w:w w:val="115"/>
        </w:rPr>
        <w:t>of</w:t>
      </w:r>
      <w:r>
        <w:rPr>
          <w:color w:val="231F1F"/>
          <w:spacing w:val="-14"/>
          <w:w w:val="115"/>
        </w:rPr>
        <w:t> </w:t>
      </w:r>
      <w:r>
        <w:rPr>
          <w:color w:val="231F1F"/>
          <w:w w:val="115"/>
        </w:rPr>
        <w:t>axitinib</w:t>
      </w:r>
      <w:r>
        <w:rPr>
          <w:rFonts w:ascii="Arial" w:hAnsi="Arial"/>
          <w:color w:val="231F1F"/>
          <w:w w:val="115"/>
        </w:rPr>
        <w:t>—</w:t>
      </w:r>
      <w:r>
        <w:rPr>
          <w:color w:val="231F1F"/>
          <w:w w:val="115"/>
        </w:rPr>
        <w:t>consult</w:t>
      </w:r>
    </w:p>
    <w:p>
      <w:pPr>
        <w:spacing w:after="0" w:line="244" w:lineRule="auto"/>
        <w:sectPr>
          <w:pgSz w:w="8390" w:h="11910"/>
          <w:pgMar w:header="0" w:footer="0" w:top="460" w:bottom="0" w:left="480" w:right="0"/>
          <w:cols w:num="2" w:equalWidth="0">
            <w:col w:w="3602" w:space="73"/>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720" filled="true" fillcolor="#bfdbcf" stroked="false">
            <v:fill type="solid"/>
            <w10:wrap type="none"/>
          </v:rect>
        </w:pict>
      </w:r>
      <w:r>
        <w:rPr/>
        <w:pict>
          <v:shape style="position:absolute;margin-left:7.751256pt;margin-top:35.804367pt;width:10.4pt;height:78.850pt;mso-position-horizontal-relative:page;mso-position-vertical-relative:page;z-index:474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Macrolides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Cytotoxics (continued)</w:t>
      </w:r>
    </w:p>
    <w:p>
      <w:pPr>
        <w:pStyle w:val="BodyText"/>
        <w:spacing w:line="247" w:lineRule="auto"/>
        <w:ind w:left="286"/>
      </w:pPr>
      <w:r>
        <w:rPr>
          <w:color w:val="231F1F"/>
          <w:w w:val="110"/>
        </w:rPr>
        <w:t>axitinib product literature); clarithromycin and erythromycin possibly increase the plasma concentration of </w:t>
      </w:r>
      <w:r>
        <w:rPr>
          <w:rFonts w:ascii="Arial" w:hAnsi="Arial"/>
          <w:color w:val="231F1F"/>
          <w:w w:val="355"/>
          <w:position w:val="1"/>
          <w:sz w:val="7"/>
        </w:rPr>
        <w:t>l </w:t>
      </w:r>
      <w:r>
        <w:rPr>
          <w:rFonts w:ascii="Calibri" w:hAnsi="Calibri"/>
          <w:color w:val="008356"/>
          <w:spacing w:val="4"/>
          <w:w w:val="110"/>
          <w:sz w:val="11"/>
        </w:rPr>
        <w:t>BOSUTINIB</w:t>
      </w:r>
      <w:r>
        <w:rPr>
          <w:rFonts w:ascii="Arial" w:hAnsi="Arial"/>
          <w:color w:val="231F1F"/>
          <w:spacing w:val="4"/>
          <w:w w:val="110"/>
        </w:rPr>
        <w:t>— </w:t>
      </w:r>
      <w:r>
        <w:rPr>
          <w:color w:val="231F1F"/>
          <w:w w:val="110"/>
        </w:rPr>
        <w:t>manufacturer of bosutinib advises avoid or consider reducing dose of bosutinib; clarithromycin and erythromycin possibly increase plasma concentration of </w:t>
      </w:r>
      <w:r>
        <w:rPr>
          <w:rFonts w:ascii="Calibri" w:hAnsi="Calibri"/>
          <w:color w:val="008356"/>
          <w:spacing w:val="4"/>
          <w:w w:val="110"/>
          <w:sz w:val="11"/>
        </w:rPr>
        <w:t>CABOZANTINIB</w:t>
      </w:r>
      <w:r>
        <w:rPr>
          <w:color w:val="231F1F"/>
          <w:spacing w:val="4"/>
          <w:w w:val="110"/>
        </w:rPr>
        <w:t>; </w:t>
      </w:r>
      <w:r>
        <w:rPr>
          <w:color w:val="231F1F"/>
          <w:w w:val="110"/>
        </w:rPr>
        <w:t>clarithromycin possibly increases plasma concentration</w:t>
      </w:r>
      <w:r>
        <w:rPr>
          <w:color w:val="231F1F"/>
          <w:spacing w:val="5"/>
          <w:w w:val="110"/>
        </w:rPr>
        <w:t> </w:t>
      </w:r>
      <w:r>
        <w:rPr>
          <w:color w:val="231F1F"/>
          <w:w w:val="110"/>
        </w:rPr>
        <w:t>of</w:t>
      </w:r>
    </w:p>
    <w:p>
      <w:pPr>
        <w:pStyle w:val="BodyText"/>
        <w:spacing w:line="247" w:lineRule="auto"/>
        <w:ind w:left="286" w:right="34"/>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CRIZOTINIB</w:t>
      </w:r>
      <w:r>
        <w:rPr>
          <w:rFonts w:ascii="Calibri" w:hAnsi="Calibri"/>
          <w:color w:val="008356"/>
          <w:spacing w:val="-13"/>
          <w:w w:val="115"/>
          <w:sz w:val="11"/>
        </w:rPr>
        <w:t> </w:t>
      </w:r>
      <w:r>
        <w:rPr>
          <w:color w:val="231F1F"/>
          <w:w w:val="115"/>
        </w:rPr>
        <w:t>and</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EVEROLIMUS</w:t>
      </w:r>
      <w:r>
        <w:rPr>
          <w:rFonts w:ascii="Arial" w:hAnsi="Arial"/>
          <w:color w:val="231F1F"/>
          <w:spacing w:val="2"/>
          <w:w w:val="115"/>
        </w:rPr>
        <w:t>—</w:t>
      </w:r>
      <w:r>
        <w:rPr>
          <w:color w:val="231F1F"/>
          <w:spacing w:val="2"/>
          <w:w w:val="115"/>
        </w:rPr>
        <w:t>manufacturer</w:t>
      </w:r>
      <w:r>
        <w:rPr>
          <w:color w:val="231F1F"/>
          <w:spacing w:val="-22"/>
          <w:w w:val="115"/>
        </w:rPr>
        <w:t> </w:t>
      </w:r>
      <w:r>
        <w:rPr>
          <w:color w:val="231F1F"/>
          <w:w w:val="115"/>
        </w:rPr>
        <w:t>of</w:t>
      </w:r>
      <w:r>
        <w:rPr>
          <w:color w:val="231F1F"/>
          <w:spacing w:val="-22"/>
          <w:w w:val="115"/>
        </w:rPr>
        <w:t> </w:t>
      </w:r>
      <w:r>
        <w:rPr>
          <w:color w:val="231F1F"/>
          <w:w w:val="115"/>
        </w:rPr>
        <w:t>crizotinib and</w:t>
      </w:r>
      <w:r>
        <w:rPr>
          <w:color w:val="231F1F"/>
          <w:spacing w:val="-9"/>
          <w:w w:val="115"/>
        </w:rPr>
        <w:t> </w:t>
      </w:r>
      <w:r>
        <w:rPr>
          <w:color w:val="231F1F"/>
          <w:w w:val="115"/>
        </w:rPr>
        <w:t>everolimus</w:t>
      </w:r>
      <w:r>
        <w:rPr>
          <w:color w:val="231F1F"/>
          <w:spacing w:val="-8"/>
          <w:w w:val="115"/>
        </w:rPr>
        <w:t> </w:t>
      </w:r>
      <w:r>
        <w:rPr>
          <w:color w:val="231F1F"/>
          <w:w w:val="115"/>
        </w:rPr>
        <w:t>advises</w:t>
      </w:r>
      <w:r>
        <w:rPr>
          <w:color w:val="231F1F"/>
          <w:spacing w:val="-8"/>
          <w:w w:val="115"/>
        </w:rPr>
        <w:t> </w:t>
      </w:r>
      <w:r>
        <w:rPr>
          <w:color w:val="231F1F"/>
          <w:w w:val="115"/>
        </w:rPr>
        <w:t>avoid</w:t>
      </w:r>
      <w:r>
        <w:rPr>
          <w:color w:val="231F1F"/>
          <w:spacing w:val="-8"/>
          <w:w w:val="115"/>
        </w:rPr>
        <w:t> </w:t>
      </w:r>
      <w:r>
        <w:rPr>
          <w:color w:val="231F1F"/>
          <w:w w:val="115"/>
        </w:rPr>
        <w:t>concomitant</w:t>
      </w:r>
      <w:r>
        <w:rPr>
          <w:color w:val="231F1F"/>
          <w:spacing w:val="-10"/>
          <w:w w:val="115"/>
        </w:rPr>
        <w:t> </w:t>
      </w:r>
      <w:r>
        <w:rPr>
          <w:color w:val="231F1F"/>
          <w:w w:val="115"/>
        </w:rPr>
        <w:t>use;</w:t>
      </w:r>
      <w:r>
        <w:rPr>
          <w:color w:val="231F1F"/>
          <w:spacing w:val="-7"/>
          <w:w w:val="115"/>
        </w:rPr>
        <w:t> </w:t>
      </w:r>
      <w:r>
        <w:rPr>
          <w:color w:val="231F1F"/>
          <w:w w:val="115"/>
        </w:rPr>
        <w:t>avoidance</w:t>
      </w:r>
      <w:r>
        <w:rPr>
          <w:color w:val="231F1F"/>
          <w:spacing w:val="-9"/>
          <w:w w:val="115"/>
        </w:rPr>
        <w:t> </w:t>
      </w:r>
      <w:r>
        <w:rPr>
          <w:color w:val="231F1F"/>
          <w:w w:val="115"/>
        </w:rPr>
        <w:t>of clarithromycin</w:t>
      </w:r>
      <w:r>
        <w:rPr>
          <w:color w:val="231F1F"/>
          <w:spacing w:val="-10"/>
          <w:w w:val="115"/>
        </w:rPr>
        <w:t> </w:t>
      </w:r>
      <w:r>
        <w:rPr>
          <w:color w:val="231F1F"/>
          <w:w w:val="115"/>
        </w:rPr>
        <w:t>and</w:t>
      </w:r>
      <w:r>
        <w:rPr>
          <w:color w:val="231F1F"/>
          <w:spacing w:val="-10"/>
          <w:w w:val="115"/>
        </w:rPr>
        <w:t> </w:t>
      </w:r>
      <w:r>
        <w:rPr>
          <w:color w:val="231F1F"/>
          <w:w w:val="115"/>
        </w:rPr>
        <w:t>erythromycin</w:t>
      </w:r>
      <w:r>
        <w:rPr>
          <w:color w:val="231F1F"/>
          <w:spacing w:val="-8"/>
          <w:w w:val="115"/>
        </w:rPr>
        <w:t> </w:t>
      </w:r>
      <w:r>
        <w:rPr>
          <w:color w:val="231F1F"/>
          <w:w w:val="115"/>
        </w:rPr>
        <w:t>advised</w:t>
      </w:r>
      <w:r>
        <w:rPr>
          <w:color w:val="231F1F"/>
          <w:spacing w:val="-10"/>
          <w:w w:val="115"/>
        </w:rPr>
        <w:t> </w:t>
      </w:r>
      <w:r>
        <w:rPr>
          <w:color w:val="231F1F"/>
          <w:w w:val="115"/>
        </w:rPr>
        <w:t>by</w:t>
      </w:r>
      <w:r>
        <w:rPr>
          <w:color w:val="231F1F"/>
          <w:spacing w:val="-9"/>
          <w:w w:val="115"/>
        </w:rPr>
        <w:t> </w:t>
      </w:r>
      <w:r>
        <w:rPr>
          <w:color w:val="231F1F"/>
          <w:w w:val="115"/>
        </w:rPr>
        <w:t>manufacturer</w:t>
      </w:r>
      <w:r>
        <w:rPr>
          <w:color w:val="231F1F"/>
          <w:spacing w:val="-11"/>
          <w:w w:val="115"/>
        </w:rPr>
        <w:t> </w:t>
      </w:r>
      <w:r>
        <w:rPr>
          <w:color w:val="231F1F"/>
          <w:spacing w:val="-7"/>
          <w:w w:val="115"/>
        </w:rPr>
        <w:t>of </w:t>
      </w:r>
      <w:r>
        <w:rPr>
          <w:rFonts w:ascii="Calibri" w:hAnsi="Calibri"/>
          <w:color w:val="008356"/>
          <w:spacing w:val="3"/>
          <w:w w:val="115"/>
          <w:sz w:val="11"/>
        </w:rPr>
        <w:t>DASATINIB </w:t>
      </w:r>
      <w:r>
        <w:rPr>
          <w:color w:val="231F1F"/>
          <w:w w:val="115"/>
        </w:rPr>
        <w:t>(plasma concentration of dasatinib possibly increased); erythromycin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EVEROLIMUS</w:t>
      </w:r>
      <w:r>
        <w:rPr>
          <w:rFonts w:ascii="Calibri" w:hAnsi="Calibri"/>
          <w:color w:val="008356"/>
          <w:spacing w:val="-5"/>
          <w:w w:val="115"/>
          <w:sz w:val="11"/>
        </w:rPr>
        <w:t> </w:t>
      </w:r>
      <w:r>
        <w:rPr>
          <w:color w:val="231F1F"/>
          <w:w w:val="115"/>
        </w:rPr>
        <w:t>(consider</w:t>
      </w:r>
      <w:r>
        <w:rPr>
          <w:color w:val="231F1F"/>
          <w:spacing w:val="-14"/>
          <w:w w:val="115"/>
        </w:rPr>
        <w:t> </w:t>
      </w:r>
      <w:r>
        <w:rPr>
          <w:color w:val="231F1F"/>
          <w:w w:val="115"/>
        </w:rPr>
        <w:t>reducing</w:t>
      </w:r>
      <w:r>
        <w:rPr>
          <w:color w:val="231F1F"/>
          <w:spacing w:val="-16"/>
          <w:w w:val="115"/>
        </w:rPr>
        <w:t> </w:t>
      </w:r>
      <w:r>
        <w:rPr>
          <w:color w:val="231F1F"/>
          <w:w w:val="115"/>
        </w:rPr>
        <w:t>the</w:t>
      </w:r>
      <w:r>
        <w:rPr>
          <w:color w:val="231F1F"/>
          <w:spacing w:val="-14"/>
          <w:w w:val="115"/>
        </w:rPr>
        <w:t> </w:t>
      </w:r>
      <w:r>
        <w:rPr>
          <w:color w:val="231F1F"/>
          <w:w w:val="115"/>
        </w:rPr>
        <w:t>dose</w:t>
      </w:r>
      <w:r>
        <w:rPr>
          <w:color w:val="231F1F"/>
          <w:spacing w:val="-15"/>
          <w:w w:val="115"/>
        </w:rPr>
        <w:t> </w:t>
      </w:r>
      <w:r>
        <w:rPr>
          <w:color w:val="231F1F"/>
          <w:w w:val="115"/>
        </w:rPr>
        <w:t>of</w:t>
      </w:r>
      <w:r>
        <w:rPr>
          <w:color w:val="231F1F"/>
          <w:spacing w:val="-14"/>
          <w:w w:val="115"/>
        </w:rPr>
        <w:t> </w:t>
      </w:r>
      <w:r>
        <w:rPr>
          <w:color w:val="231F1F"/>
          <w:w w:val="115"/>
        </w:rPr>
        <w:t>everolimus</w:t>
      </w:r>
      <w:r>
        <w:rPr>
          <w:color w:val="231F1F"/>
          <w:spacing w:val="-15"/>
          <w:w w:val="115"/>
        </w:rPr>
        <w:t> </w:t>
      </w:r>
      <w:r>
        <w:rPr>
          <w:rFonts w:ascii="Arial" w:hAnsi="Arial"/>
          <w:color w:val="231F1F"/>
          <w:w w:val="115"/>
        </w:rPr>
        <w:t>— </w:t>
      </w:r>
      <w:r>
        <w:rPr>
          <w:color w:val="231F1F"/>
          <w:w w:val="115"/>
        </w:rPr>
        <w:t>consult everolimus product literature); clarithromycin and erythromycin possibly increase the plasma concentration of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w:t>
      </w:r>
      <w:r>
        <w:rPr>
          <w:color w:val="231F1F"/>
          <w:spacing w:val="-10"/>
          <w:w w:val="115"/>
        </w:rPr>
        <w:t> </w:t>
      </w:r>
      <w:r>
        <w:rPr>
          <w:color w:val="231F1F"/>
          <w:w w:val="115"/>
        </w:rPr>
        <w:t>dose</w:t>
      </w:r>
      <w:r>
        <w:rPr>
          <w:color w:val="231F1F"/>
          <w:spacing w:val="-11"/>
          <w:w w:val="115"/>
        </w:rPr>
        <w:t> </w:t>
      </w:r>
      <w:r>
        <w:rPr>
          <w:color w:val="231F1F"/>
          <w:w w:val="115"/>
        </w:rPr>
        <w:t>of</w:t>
      </w:r>
      <w:r>
        <w:rPr>
          <w:color w:val="231F1F"/>
          <w:spacing w:val="-10"/>
          <w:w w:val="115"/>
        </w:rPr>
        <w:t> </w:t>
      </w:r>
      <w:r>
        <w:rPr>
          <w:color w:val="231F1F"/>
          <w:w w:val="115"/>
        </w:rPr>
        <w:t>ibrutinib</w:t>
      </w:r>
      <w:r>
        <w:rPr>
          <w:color w:val="231F1F"/>
          <w:spacing w:val="-10"/>
          <w:w w:val="115"/>
        </w:rPr>
        <w:t> </w:t>
      </w:r>
      <w:r>
        <w:rPr>
          <w:color w:val="231F1F"/>
          <w:w w:val="115"/>
        </w:rPr>
        <w:t>(see</w:t>
      </w:r>
      <w:r>
        <w:rPr>
          <w:color w:val="231F1F"/>
          <w:spacing w:val="-12"/>
          <w:w w:val="115"/>
        </w:rPr>
        <w:t> </w:t>
      </w:r>
      <w:r>
        <w:rPr>
          <w:color w:val="231F1F"/>
          <w:w w:val="115"/>
        </w:rPr>
        <w:t>under</w:t>
      </w:r>
      <w:r>
        <w:rPr>
          <w:color w:val="231F1F"/>
          <w:spacing w:val="-10"/>
          <w:w w:val="115"/>
        </w:rPr>
        <w:t> </w:t>
      </w:r>
      <w:r>
        <w:rPr>
          <w:color w:val="231F1F"/>
          <w:w w:val="115"/>
        </w:rPr>
        <w:t>Ibrutinib,</w:t>
      </w:r>
    </w:p>
    <w:p>
      <w:pPr>
        <w:pStyle w:val="BodyText"/>
        <w:spacing w:line="247" w:lineRule="auto"/>
        <w:ind w:left="286" w:right="3"/>
      </w:pPr>
      <w:r>
        <w:rPr>
          <w:color w:val="231F1F"/>
          <w:w w:val="115"/>
        </w:rPr>
        <w:t>p.</w:t>
      </w:r>
      <w:r>
        <w:rPr>
          <w:color w:val="231F1F"/>
          <w:spacing w:val="-12"/>
          <w:w w:val="115"/>
        </w:rPr>
        <w:t> </w:t>
      </w:r>
      <w:r>
        <w:rPr>
          <w:color w:val="231F1F"/>
          <w:w w:val="115"/>
        </w:rPr>
        <w:t>809);</w:t>
      </w:r>
      <w:r>
        <w:rPr>
          <w:color w:val="231F1F"/>
          <w:spacing w:val="-13"/>
          <w:w w:val="115"/>
        </w:rPr>
        <w:t> </w:t>
      </w:r>
      <w:r>
        <w:rPr>
          <w:color w:val="231F1F"/>
          <w:w w:val="115"/>
        </w:rPr>
        <w:t>avoidance</w:t>
      </w:r>
      <w:r>
        <w:rPr>
          <w:color w:val="231F1F"/>
          <w:spacing w:val="-13"/>
          <w:w w:val="115"/>
        </w:rPr>
        <w:t> </w:t>
      </w:r>
      <w:r>
        <w:rPr>
          <w:color w:val="231F1F"/>
          <w:w w:val="115"/>
        </w:rPr>
        <w:t>of</w:t>
      </w:r>
      <w:r>
        <w:rPr>
          <w:color w:val="231F1F"/>
          <w:spacing w:val="-12"/>
          <w:w w:val="115"/>
        </w:rPr>
        <w:t> </w:t>
      </w:r>
      <w:r>
        <w:rPr>
          <w:color w:val="231F1F"/>
          <w:w w:val="115"/>
        </w:rPr>
        <w:t>clarithromycin</w:t>
      </w:r>
      <w:r>
        <w:rPr>
          <w:color w:val="231F1F"/>
          <w:spacing w:val="-12"/>
          <w:w w:val="115"/>
        </w:rPr>
        <w:t> </w:t>
      </w:r>
      <w:r>
        <w:rPr>
          <w:color w:val="231F1F"/>
          <w:w w:val="115"/>
        </w:rPr>
        <w:t>advised</w:t>
      </w:r>
      <w:r>
        <w:rPr>
          <w:color w:val="231F1F"/>
          <w:spacing w:val="-12"/>
          <w:w w:val="115"/>
        </w:rPr>
        <w:t> </w:t>
      </w:r>
      <w:r>
        <w:rPr>
          <w:color w:val="231F1F"/>
          <w:w w:val="115"/>
        </w:rPr>
        <w:t>by</w:t>
      </w:r>
      <w:r>
        <w:rPr>
          <w:color w:val="231F1F"/>
          <w:spacing w:val="-13"/>
          <w:w w:val="115"/>
        </w:rPr>
        <w:t> </w:t>
      </w:r>
      <w:r>
        <w:rPr>
          <w:color w:val="231F1F"/>
          <w:w w:val="115"/>
        </w:rPr>
        <w:t>manufacturer of </w:t>
      </w:r>
      <w:r>
        <w:rPr>
          <w:rFonts w:ascii="Arial" w:hAnsi="Arial"/>
          <w:color w:val="231F1F"/>
          <w:w w:val="355"/>
          <w:position w:val="1"/>
          <w:sz w:val="7"/>
        </w:rPr>
        <w:t>l </w:t>
      </w:r>
      <w:r>
        <w:rPr>
          <w:rFonts w:ascii="Calibri" w:hAnsi="Calibri"/>
          <w:color w:val="008356"/>
          <w:spacing w:val="4"/>
          <w:w w:val="115"/>
          <w:sz w:val="11"/>
        </w:rPr>
        <w:t>NILOTINIB</w:t>
      </w:r>
      <w:r>
        <w:rPr>
          <w:color w:val="231F1F"/>
          <w:spacing w:val="4"/>
          <w:w w:val="115"/>
        </w:rPr>
        <w:t>; </w:t>
      </w:r>
      <w:r>
        <w:rPr>
          <w:color w:val="231F1F"/>
          <w:w w:val="115"/>
        </w:rPr>
        <w:t>clarithromycin possibly increases plasma concentration of </w:t>
      </w:r>
      <w:r>
        <w:rPr>
          <w:rFonts w:ascii="Arial" w:hAnsi="Arial"/>
          <w:color w:val="231F1F"/>
          <w:w w:val="355"/>
          <w:position w:val="1"/>
          <w:sz w:val="7"/>
        </w:rPr>
        <w:t>l </w:t>
      </w:r>
      <w:r>
        <w:rPr>
          <w:rFonts w:ascii="Calibri" w:hAnsi="Calibri"/>
          <w:color w:val="008356"/>
          <w:spacing w:val="3"/>
          <w:w w:val="115"/>
          <w:sz w:val="11"/>
        </w:rPr>
        <w:t>PAZOPANIB </w:t>
      </w:r>
      <w:r>
        <w:rPr>
          <w:color w:val="231F1F"/>
          <w:w w:val="115"/>
        </w:rPr>
        <w:t>(reduce dose of pazopanib); clarithromycin possibly increases plasma concentration of</w:t>
      </w:r>
      <w:r>
        <w:rPr>
          <w:color w:val="008356"/>
          <w:w w:val="115"/>
        </w:rPr>
        <w:t> </w:t>
      </w:r>
      <w:r>
        <w:rPr>
          <w:rFonts w:ascii="Calibri" w:hAnsi="Calibri"/>
          <w:color w:val="008356"/>
          <w:spacing w:val="2"/>
          <w:w w:val="115"/>
          <w:sz w:val="11"/>
        </w:rPr>
        <w:t>PONATINIB</w:t>
      </w:r>
      <w:r>
        <w:rPr>
          <w:rFonts w:ascii="Arial" w:hAnsi="Arial"/>
          <w:color w:val="231F1F"/>
          <w:spacing w:val="2"/>
          <w:w w:val="115"/>
        </w:rPr>
        <w:t>—</w:t>
      </w:r>
      <w:r>
        <w:rPr>
          <w:color w:val="231F1F"/>
          <w:spacing w:val="2"/>
          <w:w w:val="115"/>
        </w:rPr>
        <w:t>consider</w:t>
      </w:r>
      <w:r>
        <w:rPr>
          <w:color w:val="231F1F"/>
          <w:spacing w:val="-16"/>
          <w:w w:val="115"/>
        </w:rPr>
        <w:t> </w:t>
      </w:r>
      <w:r>
        <w:rPr>
          <w:color w:val="231F1F"/>
          <w:w w:val="115"/>
        </w:rPr>
        <w:t>reducing</w:t>
      </w:r>
      <w:r>
        <w:rPr>
          <w:color w:val="231F1F"/>
          <w:spacing w:val="-15"/>
          <w:w w:val="115"/>
        </w:rPr>
        <w:t> </w:t>
      </w:r>
      <w:r>
        <w:rPr>
          <w:color w:val="231F1F"/>
          <w:w w:val="115"/>
        </w:rPr>
        <w:t>initial</w:t>
      </w:r>
      <w:r>
        <w:rPr>
          <w:color w:val="231F1F"/>
          <w:spacing w:val="-15"/>
          <w:w w:val="115"/>
        </w:rPr>
        <w:t> </w:t>
      </w:r>
      <w:r>
        <w:rPr>
          <w:color w:val="231F1F"/>
          <w:w w:val="115"/>
        </w:rPr>
        <w:t>dose</w:t>
      </w:r>
      <w:r>
        <w:rPr>
          <w:color w:val="231F1F"/>
          <w:spacing w:val="-15"/>
          <w:w w:val="115"/>
        </w:rPr>
        <w:t> </w:t>
      </w:r>
      <w:r>
        <w:rPr>
          <w:color w:val="231F1F"/>
          <w:w w:val="115"/>
        </w:rPr>
        <w:t>of</w:t>
      </w:r>
      <w:r>
        <w:rPr>
          <w:color w:val="231F1F"/>
          <w:spacing w:val="-15"/>
          <w:w w:val="115"/>
        </w:rPr>
        <w:t> </w:t>
      </w:r>
      <w:r>
        <w:rPr>
          <w:color w:val="231F1F"/>
          <w:w w:val="115"/>
        </w:rPr>
        <w:t>ponatinib</w:t>
      </w:r>
      <w:r>
        <w:rPr>
          <w:color w:val="231F1F"/>
          <w:spacing w:val="-15"/>
          <w:w w:val="115"/>
        </w:rPr>
        <w:t> </w:t>
      </w:r>
      <w:r>
        <w:rPr>
          <w:color w:val="231F1F"/>
          <w:w w:val="115"/>
        </w:rPr>
        <w:t>(see under Ponatinib, p. 814); manufacturer of ruxolitinib</w:t>
      </w:r>
      <w:r>
        <w:rPr>
          <w:color w:val="231F1F"/>
          <w:spacing w:val="-25"/>
          <w:w w:val="115"/>
        </w:rPr>
        <w:t> </w:t>
      </w:r>
      <w:r>
        <w:rPr>
          <w:color w:val="231F1F"/>
          <w:w w:val="115"/>
        </w:rPr>
        <w:t>advises dose reduction when clarithromycin given</w:t>
      </w:r>
      <w:r>
        <w:rPr>
          <w:color w:val="231F1F"/>
          <w:spacing w:val="-25"/>
          <w:w w:val="115"/>
        </w:rPr>
        <w:t> </w:t>
      </w:r>
      <w:r>
        <w:rPr>
          <w:color w:val="231F1F"/>
          <w:w w:val="115"/>
        </w:rPr>
        <w:t>with</w:t>
      </w:r>
    </w:p>
    <w:p>
      <w:pPr>
        <w:pStyle w:val="BodyText"/>
        <w:spacing w:line="247" w:lineRule="auto"/>
        <w:ind w:left="286" w:right="-12"/>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w:t>
      </w:r>
      <w:r>
        <w:rPr>
          <w:color w:val="231F1F"/>
          <w:spacing w:val="-22"/>
          <w:w w:val="115"/>
        </w:rPr>
        <w:t> </w:t>
      </w:r>
      <w:r>
        <w:rPr>
          <w:color w:val="231F1F"/>
          <w:w w:val="115"/>
        </w:rPr>
        <w:t>ruxolitinib</w:t>
      </w:r>
      <w:r>
        <w:rPr>
          <w:color w:val="231F1F"/>
          <w:spacing w:val="-21"/>
          <w:w w:val="115"/>
        </w:rPr>
        <w:t> </w:t>
      </w:r>
      <w:r>
        <w:rPr>
          <w:color w:val="231F1F"/>
          <w:w w:val="115"/>
        </w:rPr>
        <w:t>product</w:t>
      </w:r>
      <w:r>
        <w:rPr>
          <w:color w:val="231F1F"/>
          <w:spacing w:val="-22"/>
          <w:w w:val="115"/>
        </w:rPr>
        <w:t> </w:t>
      </w:r>
      <w:r>
        <w:rPr>
          <w:color w:val="231F1F"/>
          <w:w w:val="115"/>
        </w:rPr>
        <w:t>literature;</w:t>
      </w:r>
      <w:r>
        <w:rPr>
          <w:color w:val="231F1F"/>
          <w:spacing w:val="-21"/>
          <w:w w:val="115"/>
        </w:rPr>
        <w:t> </w:t>
      </w:r>
      <w:r>
        <w:rPr>
          <w:color w:val="231F1F"/>
          <w:w w:val="115"/>
        </w:rPr>
        <w:t>possible increased risk of ventricular arrhythmias when </w:t>
      </w:r>
      <w:r>
        <w:rPr>
          <w:i/>
          <w:color w:val="231F1F"/>
          <w:w w:val="115"/>
        </w:rPr>
        <w:t>parenteral </w:t>
      </w:r>
      <w:r>
        <w:rPr>
          <w:color w:val="231F1F"/>
          <w:w w:val="115"/>
        </w:rPr>
        <w:t>erythromycin</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 use; clarithromycin possibly increases the plasma concentration</w:t>
      </w:r>
      <w:r>
        <w:rPr>
          <w:color w:val="231F1F"/>
          <w:spacing w:val="-15"/>
          <w:w w:val="115"/>
        </w:rPr>
        <w:t> </w:t>
      </w:r>
      <w:r>
        <w:rPr>
          <w:color w:val="231F1F"/>
          <w:w w:val="115"/>
        </w:rPr>
        <w:t>of</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w w:val="115"/>
          <w:sz w:val="11"/>
        </w:rPr>
        <w:t>CABAZITAXEL</w:t>
      </w:r>
      <w:r>
        <w:rPr>
          <w:rFonts w:ascii="Arial" w:hAnsi="Arial"/>
          <w:color w:val="231F1F"/>
          <w:w w:val="115"/>
        </w:rPr>
        <w:t>—</w:t>
      </w:r>
      <w:r>
        <w:rPr>
          <w:color w:val="231F1F"/>
          <w:w w:val="115"/>
        </w:rPr>
        <w:t>manufacturer</w:t>
      </w:r>
      <w:r>
        <w:rPr>
          <w:color w:val="231F1F"/>
          <w:spacing w:val="-13"/>
          <w:w w:val="115"/>
        </w:rPr>
        <w:t> </w:t>
      </w:r>
      <w:r>
        <w:rPr>
          <w:color w:val="231F1F"/>
          <w:w w:val="115"/>
        </w:rPr>
        <w:t>of</w:t>
      </w:r>
      <w:r>
        <w:rPr>
          <w:color w:val="231F1F"/>
          <w:spacing w:val="-14"/>
          <w:w w:val="115"/>
        </w:rPr>
        <w:t> </w:t>
      </w:r>
      <w:r>
        <w:rPr>
          <w:color w:val="231F1F"/>
          <w:w w:val="115"/>
        </w:rPr>
        <w:t>cabazitaxel advises avoid or consider reducing dose of cabazitaxel; clarithromycin</w:t>
      </w:r>
      <w:r>
        <w:rPr>
          <w:color w:val="231F1F"/>
          <w:spacing w:val="-6"/>
          <w:w w:val="115"/>
        </w:rPr>
        <w:t> </w:t>
      </w:r>
      <w:r>
        <w:rPr>
          <w:color w:val="231F1F"/>
          <w:w w:val="115"/>
        </w:rPr>
        <w:t>possibly</w:t>
      </w:r>
      <w:r>
        <w:rPr>
          <w:color w:val="231F1F"/>
          <w:spacing w:val="-7"/>
          <w:w w:val="115"/>
        </w:rPr>
        <w:t> </w:t>
      </w:r>
      <w:r>
        <w:rPr>
          <w:color w:val="231F1F"/>
          <w:w w:val="115"/>
        </w:rPr>
        <w:t>increases</w:t>
      </w:r>
      <w:r>
        <w:rPr>
          <w:color w:val="231F1F"/>
          <w:spacing w:val="-6"/>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w:t>
      </w:r>
    </w:p>
    <w:p>
      <w:pPr>
        <w:pStyle w:val="BodyText"/>
        <w:spacing w:line="247" w:lineRule="auto"/>
        <w:ind w:left="286" w:right="2"/>
        <w:rPr>
          <w:rFonts w:ascii="Calibri" w:hAnsi="Calibri"/>
          <w:sz w:val="11"/>
        </w:rPr>
      </w:pPr>
      <w:r>
        <w:rPr>
          <w:rFonts w:ascii="Arial" w:hAnsi="Arial"/>
          <w:color w:val="231F1F"/>
          <w:w w:val="355"/>
          <w:position w:val="1"/>
          <w:sz w:val="7"/>
        </w:rPr>
        <w:t>l </w:t>
      </w:r>
      <w:r>
        <w:rPr>
          <w:rFonts w:ascii="Calibri" w:hAnsi="Calibri"/>
          <w:color w:val="008356"/>
          <w:w w:val="115"/>
          <w:sz w:val="11"/>
        </w:rPr>
        <w:t>DOCETAXEL</w:t>
      </w:r>
      <w:r>
        <w:rPr>
          <w:rFonts w:ascii="Arial" w:hAnsi="Arial"/>
          <w:color w:val="231F1F"/>
          <w:w w:val="115"/>
        </w:rPr>
        <w:t>—</w:t>
      </w:r>
      <w:r>
        <w:rPr>
          <w:color w:val="231F1F"/>
          <w:w w:val="115"/>
        </w:rPr>
        <w:t>manufacturer of docetaxel advises avoid concomitant use or consider reducing docetaxel dose; increased</w:t>
      </w:r>
      <w:r>
        <w:rPr>
          <w:color w:val="231F1F"/>
          <w:spacing w:val="-8"/>
          <w:w w:val="115"/>
        </w:rPr>
        <w:t> </w:t>
      </w:r>
      <w:r>
        <w:rPr>
          <w:color w:val="231F1F"/>
          <w:w w:val="115"/>
        </w:rPr>
        <w:t>risk</w:t>
      </w:r>
      <w:r>
        <w:rPr>
          <w:color w:val="231F1F"/>
          <w:spacing w:val="-8"/>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w:t>
      </w:r>
      <w:r>
        <w:rPr>
          <w:color w:val="231F1F"/>
          <w:spacing w:val="-9"/>
          <w:w w:val="115"/>
        </w:rPr>
        <w:t> </w:t>
      </w:r>
      <w:r>
        <w:rPr>
          <w:color w:val="231F1F"/>
          <w:w w:val="115"/>
        </w:rPr>
        <w:t>when</w:t>
      </w:r>
      <w:r>
        <w:rPr>
          <w:color w:val="231F1F"/>
          <w:spacing w:val="-8"/>
          <w:w w:val="115"/>
        </w:rPr>
        <w:t> </w:t>
      </w:r>
      <w:r>
        <w:rPr>
          <w:color w:val="231F1F"/>
          <w:w w:val="115"/>
        </w:rPr>
        <w:t>erythromycin given with </w:t>
      </w:r>
      <w:r>
        <w:rPr>
          <w:rFonts w:ascii="Arial" w:hAnsi="Arial"/>
          <w:color w:val="231F1F"/>
          <w:w w:val="355"/>
          <w:position w:val="1"/>
          <w:sz w:val="7"/>
        </w:rPr>
        <w:t>l </w:t>
      </w:r>
      <w:r>
        <w:rPr>
          <w:rFonts w:ascii="Calibri" w:hAnsi="Calibri"/>
          <w:color w:val="008356"/>
          <w:spacing w:val="4"/>
          <w:w w:val="115"/>
          <w:sz w:val="11"/>
        </w:rPr>
        <w:t>ARSENIC TRIOXIDE</w:t>
      </w:r>
      <w:r>
        <w:rPr>
          <w:color w:val="231F1F"/>
          <w:spacing w:val="4"/>
          <w:w w:val="115"/>
        </w:rPr>
        <w:t>; </w:t>
      </w:r>
      <w:r>
        <w:rPr>
          <w:color w:val="231F1F"/>
          <w:w w:val="115"/>
        </w:rPr>
        <w:t>erythromycin increases toxicity</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5"/>
          <w:sz w:val="11"/>
        </w:rPr>
        <w:t>VINBLASTINE</w:t>
      </w:r>
      <w:r>
        <w:rPr>
          <w:rFonts w:ascii="Arial" w:hAnsi="Arial"/>
          <w:color w:val="231F1F"/>
          <w:spacing w:val="3"/>
          <w:w w:val="115"/>
        </w:rPr>
        <w:t>—</w:t>
      </w:r>
      <w:r>
        <w:rPr>
          <w:color w:val="231F1F"/>
          <w:spacing w:val="3"/>
          <w:w w:val="115"/>
        </w:rPr>
        <w:t>avoid</w:t>
      </w:r>
      <w:r>
        <w:rPr>
          <w:color w:val="231F1F"/>
          <w:spacing w:val="-15"/>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possible increased</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neutropenia</w:t>
      </w:r>
      <w:r>
        <w:rPr>
          <w:color w:val="231F1F"/>
          <w:spacing w:val="-9"/>
          <w:w w:val="115"/>
        </w:rPr>
        <w:t> </w:t>
      </w:r>
      <w:r>
        <w:rPr>
          <w:color w:val="231F1F"/>
          <w:w w:val="115"/>
        </w:rPr>
        <w:t>when</w:t>
      </w:r>
      <w:r>
        <w:rPr>
          <w:color w:val="231F1F"/>
          <w:spacing w:val="-7"/>
          <w:w w:val="115"/>
        </w:rPr>
        <w:t> </w:t>
      </w:r>
      <w:r>
        <w:rPr>
          <w:color w:val="231F1F"/>
          <w:w w:val="115"/>
        </w:rPr>
        <w:t>clarithromycin</w:t>
      </w:r>
      <w:r>
        <w:rPr>
          <w:color w:val="231F1F"/>
          <w:spacing w:val="-9"/>
          <w:w w:val="115"/>
        </w:rPr>
        <w:t> </w:t>
      </w:r>
      <w:r>
        <w:rPr>
          <w:color w:val="231F1F"/>
          <w:w w:val="115"/>
        </w:rPr>
        <w:t>given</w:t>
      </w:r>
      <w:r>
        <w:rPr>
          <w:color w:val="231F1F"/>
          <w:spacing w:val="-6"/>
          <w:w w:val="115"/>
        </w:rPr>
        <w:t> </w:t>
      </w:r>
      <w:r>
        <w:rPr>
          <w:color w:val="231F1F"/>
          <w:spacing w:val="-4"/>
          <w:w w:val="115"/>
        </w:rPr>
        <w:t>with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5"/>
          <w:w w:val="115"/>
          <w:sz w:val="11"/>
        </w:rPr>
        <w:t>VINORELBINE</w:t>
      </w:r>
    </w:p>
    <w:p>
      <w:pPr>
        <w:pStyle w:val="BodyText"/>
        <w:spacing w:line="235" w:lineRule="auto"/>
        <w:ind w:left="286" w:right="92" w:hanging="100"/>
      </w:pPr>
      <w:r>
        <w:rPr>
          <w:rFonts w:ascii="Lucida Sans Unicode" w:hAnsi="Lucida Sans Unicode"/>
          <w:color w:val="A7A8AC"/>
          <w:w w:val="95"/>
          <w:sz w:val="10"/>
        </w:rPr>
        <w:t>▶ </w:t>
      </w:r>
      <w:r>
        <w:rPr>
          <w:rFonts w:ascii="Calibri" w:hAnsi="Calibri"/>
          <w:color w:val="231F1F"/>
          <w:w w:val="110"/>
        </w:rPr>
        <w:t>Dapoxetine: </w:t>
      </w:r>
      <w:r>
        <w:rPr>
          <w:color w:val="231F1F"/>
          <w:w w:val="110"/>
        </w:rPr>
        <w:t>manufacturer of dapoxetine advises dose reduction when clarithromycin and erythromycin given with </w:t>
      </w:r>
      <w:r>
        <w:rPr>
          <w:rFonts w:ascii="Calibri" w:hAnsi="Calibri"/>
          <w:color w:val="008356"/>
          <w:w w:val="110"/>
          <w:sz w:val="11"/>
        </w:rPr>
        <w:t>DAPOXETINE </w:t>
      </w:r>
      <w:r>
        <w:rPr>
          <w:color w:val="231F1F"/>
          <w:w w:val="110"/>
        </w:rPr>
        <w:t>(see under Dapoxetine, p. 703)</w:t>
      </w:r>
    </w:p>
    <w:p>
      <w:pPr>
        <w:pStyle w:val="BodyText"/>
        <w:spacing w:line="242" w:lineRule="auto"/>
        <w:ind w:left="286" w:right="93"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5"/>
        </w:rPr>
        <w:t>Diuretics:</w:t>
      </w:r>
      <w:r>
        <w:rPr>
          <w:rFonts w:ascii="Calibri" w:hAnsi="Calibri"/>
          <w:color w:val="231F1F"/>
          <w:spacing w:val="-8"/>
          <w:w w:val="115"/>
        </w:rPr>
        <w:t> </w:t>
      </w:r>
      <w:r>
        <w:rPr>
          <w:color w:val="231F1F"/>
          <w:w w:val="115"/>
        </w:rPr>
        <w:t>clarithromycin</w:t>
      </w:r>
      <w:r>
        <w:rPr>
          <w:color w:val="231F1F"/>
          <w:spacing w:val="-11"/>
          <w:w w:val="115"/>
        </w:rPr>
        <w:t> </w:t>
      </w:r>
      <w:r>
        <w:rPr>
          <w:color w:val="231F1F"/>
          <w:w w:val="115"/>
        </w:rPr>
        <w:t>increases</w:t>
      </w:r>
      <w:r>
        <w:rPr>
          <w:color w:val="231F1F"/>
          <w:spacing w:val="-12"/>
          <w:w w:val="115"/>
        </w:rPr>
        <w:t> </w:t>
      </w:r>
      <w:r>
        <w:rPr>
          <w:color w:val="231F1F"/>
          <w:w w:val="115"/>
        </w:rPr>
        <w:t>plasma</w:t>
      </w:r>
      <w:r>
        <w:rPr>
          <w:color w:val="231F1F"/>
          <w:spacing w:val="-11"/>
          <w:w w:val="115"/>
        </w:rPr>
        <w:t> </w:t>
      </w:r>
      <w:r>
        <w:rPr>
          <w:color w:val="231F1F"/>
          <w:w w:val="115"/>
        </w:rPr>
        <w:t>concentration</w:t>
      </w:r>
      <w:r>
        <w:rPr>
          <w:color w:val="231F1F"/>
          <w:spacing w:val="-13"/>
          <w:w w:val="115"/>
        </w:rPr>
        <w:t> </w:t>
      </w:r>
      <w:r>
        <w:rPr>
          <w:color w:val="231F1F"/>
          <w:w w:val="115"/>
        </w:rPr>
        <w:t>of </w:t>
      </w:r>
      <w:r>
        <w:rPr>
          <w:rFonts w:ascii="Arial" w:hAnsi="Arial"/>
          <w:color w:val="231F1F"/>
          <w:w w:val="355"/>
          <w:position w:val="1"/>
          <w:sz w:val="7"/>
        </w:rPr>
        <w:t>l </w:t>
      </w:r>
      <w:r>
        <w:rPr>
          <w:rFonts w:ascii="Calibri" w:hAnsi="Calibri"/>
          <w:color w:val="008356"/>
          <w:spacing w:val="3"/>
          <w:w w:val="115"/>
          <w:sz w:val="11"/>
        </w:rPr>
        <w:t>EPLERENONE</w:t>
      </w:r>
      <w:r>
        <w:rPr>
          <w:rFonts w:ascii="Arial" w:hAnsi="Arial"/>
          <w:color w:val="231F1F"/>
          <w:spacing w:val="3"/>
          <w:w w:val="115"/>
        </w:rPr>
        <w:t>—</w:t>
      </w:r>
      <w:r>
        <w:rPr>
          <w:color w:val="231F1F"/>
          <w:spacing w:val="3"/>
          <w:w w:val="115"/>
        </w:rPr>
        <w:t>avoid </w:t>
      </w:r>
      <w:r>
        <w:rPr>
          <w:color w:val="231F1F"/>
          <w:w w:val="115"/>
        </w:rPr>
        <w:t>concomitant use; erythromycin increases</w:t>
      </w:r>
      <w:r>
        <w:rPr>
          <w:color w:val="231F1F"/>
          <w:spacing w:val="-18"/>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7"/>
          <w:w w:val="115"/>
        </w:rPr>
        <w:t> </w:t>
      </w:r>
      <w:r>
        <w:rPr>
          <w:rFonts w:ascii="Calibri" w:hAnsi="Calibri"/>
          <w:color w:val="008356"/>
          <w:spacing w:val="4"/>
          <w:w w:val="115"/>
          <w:sz w:val="11"/>
        </w:rPr>
        <w:t>EPLERENONE</w:t>
      </w:r>
      <w:r>
        <w:rPr>
          <w:rFonts w:ascii="Calibri" w:hAnsi="Calibri"/>
          <w:color w:val="008356"/>
          <w:spacing w:val="-7"/>
          <w:w w:val="115"/>
          <w:sz w:val="11"/>
        </w:rPr>
        <w:t> </w:t>
      </w:r>
      <w:r>
        <w:rPr>
          <w:color w:val="231F1F"/>
          <w:w w:val="115"/>
        </w:rPr>
        <w:t>(reduce</w:t>
      </w:r>
      <w:r>
        <w:rPr>
          <w:color w:val="231F1F"/>
          <w:spacing w:val="-17"/>
          <w:w w:val="115"/>
        </w:rPr>
        <w:t> </w:t>
      </w:r>
      <w:r>
        <w:rPr>
          <w:color w:val="231F1F"/>
          <w:spacing w:val="-3"/>
          <w:w w:val="115"/>
        </w:rPr>
        <w:t>dose </w:t>
      </w:r>
      <w:r>
        <w:rPr>
          <w:color w:val="231F1F"/>
          <w:w w:val="115"/>
        </w:rPr>
        <w:t>of</w:t>
      </w:r>
      <w:r>
        <w:rPr>
          <w:color w:val="231F1F"/>
          <w:spacing w:val="-3"/>
          <w:w w:val="115"/>
        </w:rPr>
        <w:t> </w:t>
      </w:r>
      <w:r>
        <w:rPr>
          <w:color w:val="231F1F"/>
          <w:w w:val="115"/>
        </w:rPr>
        <w:t>eplerenone)</w:t>
      </w:r>
    </w:p>
    <w:p>
      <w:pPr>
        <w:pStyle w:val="BodyText"/>
        <w:ind w:left="286" w:right="561" w:hanging="100"/>
      </w:pPr>
      <w:r>
        <w:rPr>
          <w:rFonts w:ascii="Arial"/>
          <w:color w:val="231F1F"/>
          <w:w w:val="355"/>
          <w:position w:val="1"/>
          <w:sz w:val="7"/>
        </w:rPr>
        <w:t>l </w:t>
      </w:r>
      <w:r>
        <w:rPr>
          <w:rFonts w:ascii="Calibri"/>
          <w:color w:val="231F1F"/>
          <w:w w:val="110"/>
        </w:rPr>
        <w:t>Domperidone: </w:t>
      </w:r>
      <w:r>
        <w:rPr>
          <w:color w:val="231F1F"/>
          <w:w w:val="110"/>
        </w:rPr>
        <w:t>possible increased risk of ventricular arrhythmias when clarithromycin given with</w:t>
      </w:r>
    </w:p>
    <w:p>
      <w:pPr>
        <w:pStyle w:val="BodyText"/>
        <w:ind w:left="286" w:right="7"/>
      </w:pPr>
      <w:r>
        <w:rPr>
          <w:rFonts w:ascii="Arial" w:hAnsi="Arial"/>
          <w:color w:val="231F1F"/>
          <w:w w:val="355"/>
          <w:position w:val="1"/>
          <w:sz w:val="7"/>
        </w:rPr>
        <w:t>l </w:t>
      </w:r>
      <w:r>
        <w:rPr>
          <w:rFonts w:ascii="Calibri" w:hAnsi="Calibri"/>
          <w:color w:val="008356"/>
          <w:spacing w:val="3"/>
          <w:w w:val="110"/>
          <w:sz w:val="11"/>
        </w:rPr>
        <w:t>DOMPERIDONE</w:t>
      </w:r>
      <w:r>
        <w:rPr>
          <w:rFonts w:ascii="Arial" w:hAnsi="Arial"/>
          <w:color w:val="231F1F"/>
          <w:spacing w:val="3"/>
          <w:w w:val="110"/>
        </w:rPr>
        <w:t>—</w:t>
      </w:r>
      <w:r>
        <w:rPr>
          <w:color w:val="231F1F"/>
          <w:spacing w:val="3"/>
          <w:w w:val="110"/>
        </w:rPr>
        <w:t>avoid </w:t>
      </w:r>
      <w:r>
        <w:rPr>
          <w:color w:val="231F1F"/>
          <w:w w:val="110"/>
        </w:rPr>
        <w:t>concomitant use; erythromycin increases plasma concentration of </w:t>
      </w:r>
      <w:r>
        <w:rPr>
          <w:rFonts w:ascii="Arial" w:hAnsi="Arial"/>
          <w:color w:val="231F1F"/>
          <w:w w:val="355"/>
          <w:position w:val="1"/>
          <w:sz w:val="7"/>
        </w:rPr>
        <w:t>l </w:t>
      </w:r>
      <w:r>
        <w:rPr>
          <w:rFonts w:ascii="Calibri" w:hAnsi="Calibri"/>
          <w:color w:val="008356"/>
          <w:spacing w:val="4"/>
          <w:w w:val="110"/>
          <w:sz w:val="11"/>
        </w:rPr>
        <w:t>DOMPERIDONE </w:t>
      </w:r>
      <w:r>
        <w:rPr>
          <w:color w:val="231F1F"/>
          <w:w w:val="110"/>
        </w:rPr>
        <w:t>(increased risk of ventricular arrhythmias</w:t>
      </w:r>
      <w:r>
        <w:rPr>
          <w:rFonts w:ascii="Arial" w:hAnsi="Arial"/>
          <w:color w:val="231F1F"/>
          <w:w w:val="110"/>
        </w:rPr>
        <w:t>—</w:t>
      </w:r>
      <w:r>
        <w:rPr>
          <w:color w:val="231F1F"/>
          <w:w w:val="110"/>
        </w:rPr>
        <w:t>avoid concomitant use)</w:t>
      </w:r>
    </w:p>
    <w:p>
      <w:pPr>
        <w:spacing w:line="237" w:lineRule="auto" w:before="0"/>
        <w:ind w:left="286" w:right="0" w:hanging="100"/>
        <w:jc w:val="left"/>
        <w:rPr>
          <w:sz w:val="12"/>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erythromycin increases plasma concentration of </w:t>
      </w:r>
      <w:r>
        <w:rPr>
          <w:rFonts w:ascii="Calibri" w:hAnsi="Calibri"/>
          <w:color w:val="008356"/>
          <w:spacing w:val="4"/>
          <w:w w:val="110"/>
          <w:sz w:val="11"/>
        </w:rPr>
        <w:t>BROMOCRIPTINE </w:t>
      </w:r>
      <w:r>
        <w:rPr>
          <w:color w:val="231F1F"/>
          <w:w w:val="110"/>
          <w:sz w:val="12"/>
        </w:rPr>
        <w:t>and </w:t>
      </w:r>
      <w:r>
        <w:rPr>
          <w:rFonts w:ascii="Calibri" w:hAnsi="Calibri"/>
          <w:color w:val="008356"/>
          <w:spacing w:val="4"/>
          <w:w w:val="110"/>
          <w:sz w:val="11"/>
        </w:rPr>
        <w:t>CABERGOLINE </w:t>
      </w:r>
      <w:r>
        <w:rPr>
          <w:color w:val="231F1F"/>
          <w:w w:val="110"/>
          <w:sz w:val="12"/>
        </w:rPr>
        <w:t>(increased risk of toxicity); macrolides possibly increase plasma  concentration of</w:t>
      </w:r>
      <w:r>
        <w:rPr>
          <w:color w:val="231F1F"/>
          <w:spacing w:val="-18"/>
          <w:w w:val="110"/>
          <w:sz w:val="12"/>
        </w:rPr>
        <w:t> </w:t>
      </w:r>
      <w:r>
        <w:rPr>
          <w:rFonts w:ascii="Calibri" w:hAnsi="Calibri"/>
          <w:color w:val="008356"/>
          <w:spacing w:val="4"/>
          <w:w w:val="110"/>
          <w:sz w:val="11"/>
        </w:rPr>
        <w:t>BROMOCRIPTINE</w:t>
      </w:r>
      <w:r>
        <w:rPr>
          <w:rFonts w:ascii="Calibri" w:hAnsi="Calibri"/>
          <w:color w:val="008356"/>
          <w:spacing w:val="-10"/>
          <w:w w:val="110"/>
          <w:sz w:val="11"/>
        </w:rPr>
        <w:t> </w:t>
      </w:r>
      <w:r>
        <w:rPr>
          <w:color w:val="231F1F"/>
          <w:w w:val="110"/>
          <w:sz w:val="12"/>
        </w:rPr>
        <w:t>and</w:t>
      </w:r>
      <w:r>
        <w:rPr>
          <w:color w:val="231F1F"/>
          <w:spacing w:val="-19"/>
          <w:w w:val="110"/>
          <w:sz w:val="12"/>
        </w:rPr>
        <w:t> </w:t>
      </w:r>
      <w:r>
        <w:rPr>
          <w:rFonts w:ascii="Calibri" w:hAnsi="Calibri"/>
          <w:color w:val="008356"/>
          <w:spacing w:val="4"/>
          <w:w w:val="110"/>
          <w:sz w:val="11"/>
        </w:rPr>
        <w:t>CABERGOLINE</w:t>
      </w:r>
      <w:r>
        <w:rPr>
          <w:rFonts w:ascii="Calibri" w:hAnsi="Calibri"/>
          <w:color w:val="008356"/>
          <w:spacing w:val="-9"/>
          <w:w w:val="110"/>
          <w:sz w:val="11"/>
        </w:rPr>
        <w:t> </w:t>
      </w:r>
      <w:r>
        <w:rPr>
          <w:color w:val="231F1F"/>
          <w:w w:val="110"/>
          <w:sz w:val="12"/>
        </w:rPr>
        <w:t>(increased</w:t>
      </w:r>
      <w:r>
        <w:rPr>
          <w:color w:val="231F1F"/>
          <w:spacing w:val="-18"/>
          <w:w w:val="110"/>
          <w:sz w:val="12"/>
        </w:rPr>
        <w:t> </w:t>
      </w:r>
      <w:r>
        <w:rPr>
          <w:color w:val="231F1F"/>
          <w:w w:val="110"/>
          <w:sz w:val="12"/>
        </w:rPr>
        <w:t>risk</w:t>
      </w:r>
      <w:r>
        <w:rPr>
          <w:color w:val="231F1F"/>
          <w:spacing w:val="-19"/>
          <w:w w:val="110"/>
          <w:sz w:val="12"/>
        </w:rPr>
        <w:t> </w:t>
      </w:r>
      <w:r>
        <w:rPr>
          <w:color w:val="231F1F"/>
          <w:w w:val="110"/>
          <w:sz w:val="12"/>
        </w:rPr>
        <w:t>of</w:t>
      </w:r>
      <w:r>
        <w:rPr>
          <w:color w:val="231F1F"/>
          <w:spacing w:val="-17"/>
          <w:w w:val="110"/>
          <w:sz w:val="12"/>
        </w:rPr>
        <w:t> </w:t>
      </w:r>
      <w:r>
        <w:rPr>
          <w:color w:val="231F1F"/>
          <w:w w:val="110"/>
          <w:sz w:val="12"/>
        </w:rPr>
        <w:t>toxicity)</w:t>
      </w:r>
    </w:p>
    <w:p>
      <w:pPr>
        <w:pStyle w:val="BodyText"/>
        <w:spacing w:line="242" w:lineRule="auto"/>
        <w:ind w:left="286" w:right="5"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clarithromycin or erythromycin given with </w:t>
      </w:r>
      <w:r>
        <w:rPr>
          <w:rFonts w:ascii="Arial" w:hAnsi="Arial"/>
          <w:color w:val="231F1F"/>
          <w:w w:val="355"/>
          <w:position w:val="1"/>
          <w:sz w:val="7"/>
        </w:rPr>
        <w:t>l </w:t>
      </w:r>
      <w:r>
        <w:rPr>
          <w:rFonts w:ascii="Calibri" w:hAnsi="Calibri"/>
          <w:color w:val="008356"/>
          <w:w w:val="110"/>
          <w:sz w:val="11"/>
        </w:rPr>
        <w:t>ERGOMETRINE</w:t>
      </w:r>
      <w:r>
        <w:rPr>
          <w:rFonts w:ascii="Arial" w:hAnsi="Arial"/>
          <w:color w:val="231F1F"/>
          <w:w w:val="110"/>
        </w:rPr>
        <w:t>— </w:t>
      </w:r>
      <w:r>
        <w:rPr>
          <w:color w:val="231F1F"/>
          <w:w w:val="110"/>
        </w:rPr>
        <w:t>avoid concomitant use; increased risk of ergotism when macrolides given with </w:t>
      </w:r>
      <w:r>
        <w:rPr>
          <w:rFonts w:ascii="Arial" w:hAnsi="Arial"/>
          <w:color w:val="231F1F"/>
          <w:w w:val="355"/>
          <w:position w:val="1"/>
          <w:sz w:val="7"/>
        </w:rPr>
        <w:t>l </w:t>
      </w:r>
      <w:r>
        <w:rPr>
          <w:rFonts w:ascii="Calibri" w:hAnsi="Calibri"/>
          <w:color w:val="008356"/>
          <w:w w:val="110"/>
          <w:sz w:val="11"/>
        </w:rPr>
        <w:t>ERGOTAMINE</w:t>
      </w:r>
      <w:r>
        <w:rPr>
          <w:rFonts w:ascii="Arial" w:hAnsi="Arial"/>
          <w:color w:val="231F1F"/>
          <w:w w:val="110"/>
        </w:rPr>
        <w:t>—</w:t>
      </w:r>
      <w:r>
        <w:rPr>
          <w:color w:val="231F1F"/>
          <w:w w:val="110"/>
        </w:rPr>
        <w:t>avoid concomitant use</w:t>
      </w:r>
    </w:p>
    <w:p>
      <w:pPr>
        <w:pStyle w:val="BodyText"/>
        <w:spacing w:line="22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clarithromycin possibly increases plasma concentration of </w:t>
      </w:r>
      <w:r>
        <w:rPr>
          <w:rFonts w:ascii="Calibri" w:hAnsi="Calibri"/>
          <w:color w:val="008356"/>
          <w:w w:val="105"/>
          <w:sz w:val="11"/>
        </w:rPr>
        <w:t>FOSAPREPITANT</w:t>
      </w:r>
    </w:p>
    <w:p>
      <w:pPr>
        <w:pStyle w:val="BodyText"/>
        <w:ind w:left="286" w:right="256"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clarithromycin and erythromycin increase plasma concentration of </w:t>
      </w:r>
      <w:r>
        <w:rPr>
          <w:rFonts w:ascii="Arial" w:hAnsi="Arial"/>
          <w:color w:val="231F1F"/>
          <w:w w:val="355"/>
          <w:position w:val="1"/>
          <w:sz w:val="7"/>
          <w:vertAlign w:val="baseline"/>
        </w:rPr>
        <w:t>l </w:t>
      </w:r>
      <w:r>
        <w:rPr>
          <w:rFonts w:ascii="Calibri" w:hAnsi="Calibri"/>
          <w:color w:val="008356"/>
          <w:w w:val="110"/>
          <w:sz w:val="11"/>
          <w:vertAlign w:val="baseline"/>
        </w:rPr>
        <w:t>ELETRIPTAN </w:t>
      </w:r>
      <w:r>
        <w:rPr>
          <w:color w:val="231F1F"/>
          <w:w w:val="110"/>
          <w:vertAlign w:val="baseline"/>
        </w:rPr>
        <w:t>(risk of toxicity)</w:t>
      </w:r>
      <w:r>
        <w:rPr>
          <w:rFonts w:ascii="Arial" w:hAnsi="Arial"/>
          <w:color w:val="231F1F"/>
          <w:w w:val="110"/>
          <w:vertAlign w:val="baseline"/>
        </w:rPr>
        <w:t>—</w:t>
      </w:r>
      <w:r>
        <w:rPr>
          <w:color w:val="231F1F"/>
          <w:w w:val="110"/>
          <w:vertAlign w:val="baseline"/>
        </w:rPr>
        <w:t>avoid concomitant use</w:t>
      </w:r>
    </w:p>
    <w:p>
      <w:pPr>
        <w:pStyle w:val="BodyText"/>
        <w:spacing w:line="242" w:lineRule="auto"/>
        <w:ind w:left="286" w:right="-15" w:hanging="100"/>
      </w:pPr>
      <w:r>
        <w:rPr>
          <w:rFonts w:ascii="Arial" w:hAnsi="Arial"/>
          <w:color w:val="231F1F"/>
          <w:w w:val="355"/>
          <w:position w:val="1"/>
          <w:sz w:val="7"/>
        </w:rPr>
        <w:t>l </w:t>
      </w:r>
      <w:r>
        <w:rPr>
          <w:rFonts w:ascii="Calibri" w:hAnsi="Calibri"/>
          <w:color w:val="231F1F"/>
          <w:w w:val="115"/>
        </w:rPr>
        <w:t>Ivabradine: </w:t>
      </w:r>
      <w:r>
        <w:rPr>
          <w:color w:val="231F1F"/>
          <w:w w:val="115"/>
        </w:rPr>
        <w:t>clarithromycin possibly increases plasma concentration of </w:t>
      </w:r>
      <w:r>
        <w:rPr>
          <w:rFonts w:ascii="Arial" w:hAnsi="Arial"/>
          <w:color w:val="231F1F"/>
          <w:w w:val="355"/>
          <w:position w:val="1"/>
          <w:sz w:val="7"/>
        </w:rPr>
        <w:t>l </w:t>
      </w:r>
      <w:r>
        <w:rPr>
          <w:rFonts w:ascii="Calibri" w:hAnsi="Calibri"/>
          <w:color w:val="008356"/>
          <w:w w:val="115"/>
          <w:sz w:val="11"/>
        </w:rPr>
        <w:t>IVABRADINE</w:t>
      </w:r>
      <w:r>
        <w:rPr>
          <w:rFonts w:ascii="Arial" w:hAnsi="Arial"/>
          <w:color w:val="231F1F"/>
          <w:w w:val="115"/>
        </w:rPr>
        <w:t>—</w:t>
      </w:r>
      <w:r>
        <w:rPr>
          <w:color w:val="231F1F"/>
          <w:w w:val="115"/>
        </w:rPr>
        <w:t>avoid concomitant use; increased risk of ventricular arrhythmias when erythromycin given with </w:t>
      </w:r>
      <w:r>
        <w:rPr>
          <w:rFonts w:ascii="Arial" w:hAnsi="Arial"/>
          <w:color w:val="231F1F"/>
          <w:w w:val="355"/>
          <w:position w:val="1"/>
          <w:sz w:val="7"/>
        </w:rPr>
        <w:t>l </w:t>
      </w:r>
      <w:r>
        <w:rPr>
          <w:rFonts w:ascii="Calibri" w:hAnsi="Calibri"/>
          <w:color w:val="008356"/>
          <w:w w:val="115"/>
          <w:sz w:val="11"/>
        </w:rPr>
        <w:t>IVABRADINE</w:t>
      </w:r>
      <w:r>
        <w:rPr>
          <w:rFonts w:ascii="Arial" w:hAnsi="Arial"/>
          <w:color w:val="231F1F"/>
          <w:w w:val="115"/>
        </w:rPr>
        <w:t>—</w:t>
      </w:r>
      <w:r>
        <w:rPr>
          <w:color w:val="231F1F"/>
          <w:w w:val="115"/>
        </w:rPr>
        <w:t>avoid concomitant use</w:t>
      </w:r>
    </w:p>
    <w:p>
      <w:pPr>
        <w:pStyle w:val="BodyText"/>
        <w:ind w:left="286" w:right="85" w:hanging="100"/>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Ivacaftor:</w:t>
      </w:r>
      <w:r>
        <w:rPr>
          <w:rFonts w:ascii="Calibri"/>
          <w:color w:val="231F1F"/>
          <w:spacing w:val="-15"/>
          <w:w w:val="115"/>
        </w:rPr>
        <w:t> </w:t>
      </w:r>
      <w:r>
        <w:rPr>
          <w:color w:val="231F1F"/>
          <w:w w:val="115"/>
        </w:rPr>
        <w:t>clarithromycin</w:t>
      </w:r>
      <w:r>
        <w:rPr>
          <w:color w:val="231F1F"/>
          <w:spacing w:val="-18"/>
          <w:w w:val="115"/>
        </w:rPr>
        <w:t> </w:t>
      </w:r>
      <w:r>
        <w:rPr>
          <w:color w:val="231F1F"/>
          <w:w w:val="115"/>
        </w:rPr>
        <w:t>and</w:t>
      </w:r>
      <w:r>
        <w:rPr>
          <w:color w:val="231F1F"/>
          <w:spacing w:val="-19"/>
          <w:w w:val="115"/>
        </w:rPr>
        <w:t> </w:t>
      </w:r>
      <w:r>
        <w:rPr>
          <w:color w:val="231F1F"/>
          <w:w w:val="115"/>
        </w:rPr>
        <w:t>erythromycin</w:t>
      </w:r>
      <w:r>
        <w:rPr>
          <w:color w:val="231F1F"/>
          <w:spacing w:val="-20"/>
          <w:w w:val="115"/>
        </w:rPr>
        <w:t> </w:t>
      </w:r>
      <w:r>
        <w:rPr>
          <w:color w:val="231F1F"/>
          <w:w w:val="115"/>
        </w:rPr>
        <w:t>possibly</w:t>
      </w:r>
      <w:r>
        <w:rPr>
          <w:color w:val="231F1F"/>
          <w:spacing w:val="-19"/>
          <w:w w:val="115"/>
        </w:rPr>
        <w:t> </w:t>
      </w:r>
      <w:r>
        <w:rPr>
          <w:color w:val="231F1F"/>
          <w:w w:val="115"/>
        </w:rPr>
        <w:t>increase 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0"/>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3"/>
          <w:w w:val="115"/>
          <w:sz w:val="11"/>
        </w:rPr>
        <w:t>IVACAFTOR</w:t>
      </w:r>
      <w:r>
        <w:rPr>
          <w:rFonts w:ascii="Calibri"/>
          <w:color w:val="008356"/>
          <w:spacing w:val="1"/>
          <w:w w:val="115"/>
          <w:sz w:val="11"/>
        </w:rPr>
        <w:t> </w:t>
      </w:r>
      <w:r>
        <w:rPr>
          <w:color w:val="231F1F"/>
          <w:w w:val="115"/>
        </w:rPr>
        <w:t>(see</w:t>
      </w:r>
      <w:r>
        <w:rPr>
          <w:color w:val="231F1F"/>
          <w:spacing w:val="-12"/>
          <w:w w:val="115"/>
        </w:rPr>
        <w:t> </w:t>
      </w:r>
      <w:r>
        <w:rPr>
          <w:color w:val="231F1F"/>
          <w:w w:val="115"/>
        </w:rPr>
        <w:t>under</w:t>
      </w:r>
      <w:r>
        <w:rPr>
          <w:color w:val="231F1F"/>
          <w:spacing w:val="-10"/>
          <w:w w:val="115"/>
        </w:rPr>
        <w:t> </w:t>
      </w:r>
      <w:r>
        <w:rPr>
          <w:color w:val="231F1F"/>
          <w:w w:val="115"/>
        </w:rPr>
        <w:t>Ivacaftor, p.</w:t>
      </w:r>
      <w:r>
        <w:rPr>
          <w:color w:val="231F1F"/>
          <w:spacing w:val="-3"/>
          <w:w w:val="115"/>
        </w:rPr>
        <w:t> </w:t>
      </w:r>
      <w:r>
        <w:rPr>
          <w:color w:val="231F1F"/>
          <w:w w:val="115"/>
        </w:rPr>
        <w:t>257)</w:t>
      </w:r>
    </w:p>
    <w:p>
      <w:pPr>
        <w:pStyle w:val="BodyText"/>
        <w:ind w:left="286" w:right="137" w:hanging="100"/>
      </w:pPr>
      <w:r>
        <w:rPr>
          <w:rFonts w:ascii="Arial"/>
          <w:color w:val="231F1F"/>
          <w:w w:val="355"/>
          <w:position w:val="1"/>
          <w:sz w:val="7"/>
        </w:rPr>
        <w:t>l </w:t>
      </w:r>
      <w:r>
        <w:rPr>
          <w:rFonts w:ascii="Calibri"/>
          <w:color w:val="231F1F"/>
          <w:w w:val="110"/>
        </w:rPr>
        <w:t>Lenalidomide: </w:t>
      </w:r>
      <w:r>
        <w:rPr>
          <w:color w:val="231F1F"/>
          <w:w w:val="110"/>
        </w:rPr>
        <w:t>clarithromycin possibly increases plasma concentration 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LENALIDOMIDE </w:t>
      </w:r>
      <w:r>
        <w:rPr>
          <w:color w:val="231F1F"/>
          <w:w w:val="110"/>
        </w:rPr>
        <w:t>(increased risk of toxicity)</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erythromycin reduces plasma concentration of </w:t>
      </w:r>
      <w:r>
        <w:rPr>
          <w:rFonts w:ascii="Calibri" w:hAnsi="Calibri"/>
          <w:color w:val="008356"/>
          <w:w w:val="105"/>
          <w:sz w:val="11"/>
        </w:rPr>
        <w:t>ZAFIRLUKAST</w:t>
      </w:r>
    </w:p>
    <w:p>
      <w:pPr>
        <w:spacing w:before="0"/>
        <w:ind w:left="286" w:right="149" w:hanging="100"/>
        <w:jc w:val="left"/>
        <w:rPr>
          <w:sz w:val="12"/>
        </w:rPr>
      </w:pPr>
      <w:r>
        <w:rPr>
          <w:rFonts w:ascii="Arial"/>
          <w:color w:val="231F1F"/>
          <w:w w:val="355"/>
          <w:position w:val="1"/>
          <w:sz w:val="7"/>
        </w:rPr>
        <w:t>l </w:t>
      </w:r>
      <w:r>
        <w:rPr>
          <w:rFonts w:ascii="Calibri"/>
          <w:color w:val="231F1F"/>
          <w:w w:val="110"/>
          <w:sz w:val="12"/>
        </w:rPr>
        <w:t>Lipid-regulating Drugs: </w:t>
      </w:r>
      <w:r>
        <w:rPr>
          <w:color w:val="231F1F"/>
          <w:w w:val="110"/>
          <w:sz w:val="12"/>
        </w:rPr>
        <w:t>clarithromycin increases plasma concentration</w:t>
      </w:r>
      <w:r>
        <w:rPr>
          <w:color w:val="231F1F"/>
          <w:spacing w:val="-11"/>
          <w:w w:val="110"/>
          <w:sz w:val="12"/>
        </w:rPr>
        <w:t> </w:t>
      </w:r>
      <w:r>
        <w:rPr>
          <w:color w:val="231F1F"/>
          <w:w w:val="110"/>
          <w:sz w:val="12"/>
        </w:rPr>
        <w:t>of</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2"/>
          <w:w w:val="110"/>
          <w:sz w:val="11"/>
        </w:rPr>
        <w:t>ATORVASTATIN</w:t>
      </w:r>
      <w:r>
        <w:rPr>
          <w:rFonts w:ascii="Calibri"/>
          <w:color w:val="008356"/>
          <w:spacing w:val="1"/>
          <w:w w:val="110"/>
          <w:sz w:val="11"/>
        </w:rPr>
        <w:t> </w:t>
      </w:r>
      <w:r>
        <w:rPr>
          <w:color w:val="231F1F"/>
          <w:w w:val="110"/>
          <w:sz w:val="12"/>
        </w:rPr>
        <w:t>and</w:t>
      </w:r>
      <w:r>
        <w:rPr>
          <w:color w:val="231F1F"/>
          <w:spacing w:val="-10"/>
          <w:w w:val="110"/>
          <w:sz w:val="12"/>
        </w:rPr>
        <w:t> </w:t>
      </w:r>
      <w:r>
        <w:rPr>
          <w:rFonts w:ascii="Calibri"/>
          <w:color w:val="008356"/>
          <w:spacing w:val="2"/>
          <w:w w:val="110"/>
          <w:sz w:val="11"/>
        </w:rPr>
        <w:t>PRAVASTATIN</w:t>
      </w:r>
      <w:r>
        <w:rPr>
          <w:color w:val="231F1F"/>
          <w:spacing w:val="2"/>
          <w:w w:val="110"/>
          <w:sz w:val="12"/>
        </w:rPr>
        <w:t>;</w:t>
      </w:r>
      <w:r>
        <w:rPr>
          <w:color w:val="231F1F"/>
          <w:spacing w:val="-10"/>
          <w:w w:val="110"/>
          <w:sz w:val="12"/>
        </w:rPr>
        <w:t> </w:t>
      </w:r>
      <w:r>
        <w:rPr>
          <w:color w:val="231F1F"/>
          <w:w w:val="110"/>
          <w:sz w:val="12"/>
        </w:rPr>
        <w:t>possible</w:t>
      </w:r>
    </w:p>
    <w:p>
      <w:pPr>
        <w:pStyle w:val="BodyText"/>
        <w:spacing w:before="8"/>
        <w:ind w:left="0"/>
        <w:rPr>
          <w:sz w:val="14"/>
        </w:rPr>
      </w:pPr>
      <w:r>
        <w:rPr/>
        <w:br w:type="column"/>
      </w:r>
      <w:r>
        <w:rPr>
          <w:sz w:val="14"/>
        </w:rPr>
      </w:r>
    </w:p>
    <w:p>
      <w:pPr>
        <w:pStyle w:val="BodyText"/>
        <w:ind w:left="181"/>
        <w:rPr>
          <w:rFonts w:ascii="Arial"/>
        </w:rPr>
      </w:pPr>
      <w:r>
        <w:rPr>
          <w:rFonts w:ascii="Arial"/>
          <w:color w:val="008356"/>
        </w:rPr>
        <w:t>Macrolides</w:t>
      </w:r>
    </w:p>
    <w:p>
      <w:pPr>
        <w:pStyle w:val="BodyText"/>
        <w:spacing w:line="146" w:lineRule="exact" w:before="5"/>
        <w:ind w:left="181"/>
        <w:rPr>
          <w:rFonts w:ascii="Calibri"/>
        </w:rPr>
      </w:pPr>
      <w:r>
        <w:rPr>
          <w:rFonts w:ascii="Arial"/>
          <w:color w:val="231F1F"/>
          <w:w w:val="355"/>
          <w:position w:val="1"/>
          <w:sz w:val="7"/>
        </w:rPr>
        <w:t>l </w:t>
      </w:r>
      <w:r>
        <w:rPr>
          <w:rFonts w:ascii="Calibri"/>
          <w:color w:val="231F1F"/>
          <w:w w:val="115"/>
        </w:rPr>
        <w:t>Lipid-regulating Drugs (continued)</w:t>
      </w:r>
    </w:p>
    <w:p>
      <w:pPr>
        <w:pStyle w:val="BodyText"/>
        <w:spacing w:line="244" w:lineRule="auto"/>
        <w:ind w:left="281" w:right="672"/>
      </w:pPr>
      <w:r>
        <w:rPr>
          <w:color w:val="231F1F"/>
          <w:w w:val="110"/>
        </w:rPr>
        <w:t>increased risk of myopathy when erythromycin given with </w:t>
      </w:r>
      <w:r>
        <w:rPr>
          <w:rFonts w:ascii="Calibri"/>
          <w:color w:val="008356"/>
          <w:w w:val="110"/>
          <w:sz w:val="11"/>
        </w:rPr>
        <w:t>ATORVASTATIN</w:t>
      </w:r>
      <w:r>
        <w:rPr>
          <w:color w:val="231F1F"/>
          <w:w w:val="110"/>
        </w:rPr>
        <w:t>; erythromycin increases plasma concentration of </w:t>
      </w:r>
      <w:r>
        <w:rPr>
          <w:rFonts w:ascii="Calibri"/>
          <w:color w:val="008356"/>
          <w:w w:val="110"/>
          <w:sz w:val="11"/>
        </w:rPr>
        <w:t>PRAVASTATIN</w:t>
      </w:r>
      <w:r>
        <w:rPr>
          <w:color w:val="231F1F"/>
          <w:w w:val="110"/>
        </w:rPr>
        <w:t>; erythromycin reduces plasma concentration of </w:t>
      </w:r>
      <w:r>
        <w:rPr>
          <w:rFonts w:ascii="Calibri"/>
          <w:color w:val="008356"/>
          <w:w w:val="110"/>
          <w:sz w:val="11"/>
        </w:rPr>
        <w:t>ROSUVASTATIN</w:t>
      </w:r>
      <w:r>
        <w:rPr>
          <w:color w:val="231F1F"/>
          <w:w w:val="110"/>
        </w:rPr>
        <w:t>; increased risk of myopathy when clarithromycin or erythromycin given with </w:t>
      </w:r>
      <w:r>
        <w:rPr>
          <w:rFonts w:ascii="Arial"/>
          <w:color w:val="231F1F"/>
          <w:w w:val="355"/>
          <w:position w:val="1"/>
          <w:sz w:val="7"/>
        </w:rPr>
        <w:t>l </w:t>
      </w:r>
      <w:r>
        <w:rPr>
          <w:rFonts w:ascii="Calibri"/>
          <w:color w:val="008356"/>
          <w:w w:val="110"/>
          <w:sz w:val="11"/>
        </w:rPr>
        <w:t>SIMVASTATIN </w:t>
      </w:r>
      <w:r>
        <w:rPr>
          <w:color w:val="231F1F"/>
          <w:w w:val="110"/>
        </w:rPr>
        <w:t>(avoid concomitant use); separating administration from azithromycin by 12 hours advised by manufacturer of </w:t>
      </w:r>
      <w:r>
        <w:rPr>
          <w:rFonts w:ascii="Calibri"/>
          <w:color w:val="008356"/>
          <w:w w:val="110"/>
          <w:sz w:val="11"/>
        </w:rPr>
        <w:t>LOMITAPIDE</w:t>
      </w:r>
      <w:r>
        <w:rPr>
          <w:color w:val="231F1F"/>
          <w:w w:val="110"/>
        </w:rPr>
        <w:t>; avoidance of clarithromycin and erythromycin advised by manufacturer of </w:t>
      </w: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line="230" w:lineRule="auto" w:before="5"/>
        <w:ind w:left="281" w:right="544" w:hanging="100"/>
      </w:pPr>
      <w:r>
        <w:rPr>
          <w:rFonts w:ascii="Lucida Sans Unicode" w:hAnsi="Lucida Sans Unicode"/>
          <w:color w:val="A7A8AC"/>
          <w:w w:val="95"/>
          <w:sz w:val="10"/>
        </w:rPr>
        <w:t>▶ </w:t>
      </w:r>
      <w:r>
        <w:rPr>
          <w:rFonts w:ascii="Calibri" w:hAnsi="Calibri"/>
          <w:color w:val="231F1F"/>
          <w:w w:val="110"/>
        </w:rPr>
        <w:t>Mirabegron: </w:t>
      </w:r>
      <w:r>
        <w:rPr>
          <w:color w:val="231F1F"/>
          <w:w w:val="110"/>
        </w:rPr>
        <w:t>when given with clarithromycin avoid or reduce dose of </w:t>
      </w:r>
      <w:r>
        <w:rPr>
          <w:rFonts w:ascii="Calibri" w:hAnsi="Calibri"/>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155" w:lineRule="exact" w:before="4"/>
        <w:ind w:left="181"/>
      </w:pPr>
      <w:r>
        <w:rPr>
          <w:rFonts w:ascii="Lucida Sans Unicode" w:hAnsi="Lucida Sans Unicode"/>
          <w:color w:val="A7A8AC"/>
          <w:w w:val="95"/>
          <w:sz w:val="10"/>
        </w:rPr>
        <w:t>▶ </w:t>
      </w:r>
      <w:r>
        <w:rPr>
          <w:rFonts w:ascii="Calibri" w:hAnsi="Calibri"/>
          <w:color w:val="231F1F"/>
          <w:w w:val="105"/>
        </w:rPr>
        <w:t>Oestrogens: </w:t>
      </w:r>
      <w:r>
        <w:rPr>
          <w:color w:val="231F1F"/>
          <w:w w:val="105"/>
        </w:rPr>
        <w:t>erythromycin increases plasma concentration of</w:t>
      </w:r>
    </w:p>
    <w:p>
      <w:pPr>
        <w:spacing w:line="130" w:lineRule="exact" w:before="0"/>
        <w:ind w:left="281" w:right="0" w:firstLine="0"/>
        <w:jc w:val="left"/>
        <w:rPr>
          <w:rFonts w:ascii="Calibri"/>
          <w:sz w:val="11"/>
        </w:rPr>
      </w:pPr>
      <w:r>
        <w:rPr>
          <w:rFonts w:ascii="Calibri"/>
          <w:color w:val="008356"/>
          <w:sz w:val="11"/>
        </w:rPr>
        <w:t>ESTRADIOL</w:t>
      </w:r>
    </w:p>
    <w:p>
      <w:pPr>
        <w:pStyle w:val="BodyText"/>
        <w:spacing w:line="220" w:lineRule="auto" w:before="7"/>
        <w:ind w:left="281" w:right="672" w:hanging="100"/>
        <w:rPr>
          <w:rFonts w:ascii="Calibri" w:hAnsi="Calibri"/>
          <w:sz w:val="11"/>
        </w:rPr>
      </w:pPr>
      <w:r>
        <w:rPr>
          <w:rFonts w:ascii="Lucida Sans Unicode" w:hAnsi="Lucida Sans Unicode"/>
          <w:color w:val="A7A8AC"/>
          <w:w w:val="95"/>
          <w:sz w:val="10"/>
        </w:rPr>
        <w:t>▶ </w:t>
      </w:r>
      <w:r>
        <w:rPr>
          <w:rFonts w:ascii="Calibri" w:hAnsi="Calibri"/>
          <w:color w:val="231F1F"/>
          <w:w w:val="105"/>
        </w:rPr>
        <w:t>Parasympathomimetics: </w:t>
      </w:r>
      <w:r>
        <w:rPr>
          <w:color w:val="231F1F"/>
          <w:w w:val="105"/>
        </w:rPr>
        <w:t>erythromycin increases plasma concentration of </w:t>
      </w:r>
      <w:r>
        <w:rPr>
          <w:rFonts w:ascii="Calibri" w:hAnsi="Calibri"/>
          <w:color w:val="008356"/>
          <w:w w:val="105"/>
          <w:sz w:val="11"/>
        </w:rPr>
        <w:t>GALANTAMINE</w:t>
      </w:r>
    </w:p>
    <w:p>
      <w:pPr>
        <w:spacing w:line="249" w:lineRule="auto" w:before="0"/>
        <w:ind w:left="281" w:right="1031" w:hanging="100"/>
        <w:jc w:val="left"/>
        <w:rPr>
          <w:rFonts w:ascii="Calibri"/>
          <w:sz w:val="11"/>
        </w:rPr>
      </w:pPr>
      <w:r>
        <w:rPr>
          <w:rFonts w:ascii="Arial"/>
          <w:color w:val="231F1F"/>
          <w:w w:val="355"/>
          <w:position w:val="1"/>
          <w:sz w:val="7"/>
        </w:rPr>
        <w:t>l </w:t>
      </w:r>
      <w:r>
        <w:rPr>
          <w:rFonts w:ascii="Calibri"/>
          <w:color w:val="231F1F"/>
          <w:w w:val="110"/>
          <w:sz w:val="12"/>
        </w:rPr>
        <w:t>Pentamidine Isetionate: </w:t>
      </w:r>
      <w:r>
        <w:rPr>
          <w:color w:val="231F1F"/>
          <w:w w:val="110"/>
          <w:sz w:val="12"/>
        </w:rPr>
        <w:t>increased risk of ventricular arrhythmias when </w:t>
      </w:r>
      <w:r>
        <w:rPr>
          <w:i/>
          <w:color w:val="231F1F"/>
          <w:w w:val="110"/>
          <w:sz w:val="12"/>
        </w:rPr>
        <w:t>parenteral </w:t>
      </w:r>
      <w:r>
        <w:rPr>
          <w:color w:val="231F1F"/>
          <w:w w:val="110"/>
          <w:sz w:val="12"/>
        </w:rPr>
        <w:t>erythromycin given </w:t>
      </w:r>
      <w:r>
        <w:rPr>
          <w:color w:val="231F1F"/>
          <w:spacing w:val="-4"/>
          <w:w w:val="110"/>
          <w:sz w:val="12"/>
        </w:rPr>
        <w:t>with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PENTAMIDINE ISETIONATE</w:t>
      </w:r>
    </w:p>
    <w:p>
      <w:pPr>
        <w:pStyle w:val="BodyText"/>
        <w:spacing w:line="220" w:lineRule="auto" w:before="1"/>
        <w:ind w:left="281" w:right="754"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erythromycin  increases  plasma  </w:t>
      </w:r>
      <w:r>
        <w:rPr>
          <w:color w:val="231F1F"/>
          <w:spacing w:val="-2"/>
          <w:w w:val="105"/>
        </w:rPr>
        <w:t>concentration </w:t>
      </w:r>
      <w:r>
        <w:rPr>
          <w:color w:val="231F1F"/>
          <w:w w:val="105"/>
        </w:rPr>
        <w:t>of </w:t>
      </w:r>
      <w:r>
        <w:rPr>
          <w:rFonts w:ascii="Calibri" w:hAnsi="Calibri"/>
          <w:color w:val="008356"/>
          <w:spacing w:val="4"/>
          <w:w w:val="105"/>
          <w:sz w:val="11"/>
        </w:rPr>
        <w:t>DIENOGEST</w:t>
      </w:r>
    </w:p>
    <w:p>
      <w:pPr>
        <w:pStyle w:val="BodyText"/>
        <w:ind w:left="281" w:right="544" w:hanging="100"/>
      </w:pPr>
      <w:r>
        <w:rPr>
          <w:rFonts w:ascii="Arial" w:hAnsi="Arial"/>
          <w:color w:val="231F1F"/>
          <w:w w:val="355"/>
          <w:position w:val="1"/>
          <w:sz w:val="7"/>
        </w:rPr>
        <w:t>l </w:t>
      </w:r>
      <w:r>
        <w:rPr>
          <w:rFonts w:ascii="Calibri" w:hAnsi="Calibri"/>
          <w:color w:val="231F1F"/>
          <w:w w:val="120"/>
        </w:rPr>
        <w:t>Ranolazine: </w:t>
      </w:r>
      <w:r>
        <w:rPr>
          <w:color w:val="231F1F"/>
          <w:w w:val="120"/>
        </w:rPr>
        <w:t>clarithromycin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spacing w:line="244" w:lineRule="auto" w:before="2"/>
        <w:ind w:left="281" w:right="539" w:hanging="100"/>
      </w:pPr>
      <w:r>
        <w:rPr>
          <w:rFonts w:ascii="Arial" w:hAnsi="Arial"/>
          <w:color w:val="231F1F"/>
          <w:w w:val="355"/>
          <w:position w:val="1"/>
          <w:sz w:val="7"/>
        </w:rPr>
        <w:t>l </w:t>
      </w:r>
      <w:r>
        <w:rPr>
          <w:rFonts w:ascii="Calibri" w:hAnsi="Calibri"/>
          <w:color w:val="231F1F"/>
          <w:w w:val="115"/>
        </w:rPr>
        <w:t>Sildenafil: </w:t>
      </w:r>
      <w:r>
        <w:rPr>
          <w:color w:val="231F1F"/>
          <w:w w:val="115"/>
        </w:rPr>
        <w:t>clarithromycin increases the plasma concentration of </w:t>
      </w:r>
      <w:r>
        <w:rPr>
          <w:rFonts w:ascii="Arial" w:hAnsi="Arial"/>
          <w:color w:val="231F1F"/>
          <w:w w:val="355"/>
          <w:position w:val="1"/>
          <w:sz w:val="7"/>
        </w:rPr>
        <w:t>l </w:t>
      </w:r>
      <w:r>
        <w:rPr>
          <w:rFonts w:ascii="Calibri" w:hAnsi="Calibri"/>
          <w:color w:val="008356"/>
          <w:spacing w:val="2"/>
          <w:w w:val="115"/>
          <w:sz w:val="11"/>
        </w:rPr>
        <w:t>SILDENAFIL</w:t>
      </w:r>
      <w:r>
        <w:rPr>
          <w:rFonts w:ascii="Arial" w:hAnsi="Arial"/>
          <w:color w:val="231F1F"/>
          <w:spacing w:val="2"/>
          <w:w w:val="115"/>
        </w:rPr>
        <w:t>—</w:t>
      </w:r>
      <w:r>
        <w:rPr>
          <w:color w:val="231F1F"/>
          <w:spacing w:val="2"/>
          <w:w w:val="115"/>
        </w:rPr>
        <w:t>consider </w:t>
      </w:r>
      <w:r>
        <w:rPr>
          <w:color w:val="231F1F"/>
          <w:w w:val="115"/>
        </w:rPr>
        <w:t>reducing initial dose of sildenafil for erectile dysfunction or reduce sildenafil dose frequency </w:t>
      </w:r>
      <w:r>
        <w:rPr>
          <w:color w:val="231F1F"/>
          <w:spacing w:val="-7"/>
          <w:w w:val="115"/>
        </w:rPr>
        <w:t>to </w:t>
      </w:r>
      <w:r>
        <w:rPr>
          <w:color w:val="231F1F"/>
          <w:w w:val="115"/>
        </w:rPr>
        <w:t>once daily for pulmonary hypertension; erythromycin increases plasma concentration of </w:t>
      </w:r>
      <w:r>
        <w:rPr>
          <w:rFonts w:ascii="Calibri" w:hAnsi="Calibri"/>
          <w:color w:val="008356"/>
          <w:spacing w:val="2"/>
          <w:w w:val="115"/>
          <w:sz w:val="11"/>
        </w:rPr>
        <w:t>SILDENAFIL</w:t>
      </w:r>
      <w:r>
        <w:rPr>
          <w:rFonts w:ascii="Arial" w:hAnsi="Arial"/>
          <w:color w:val="231F1F"/>
          <w:spacing w:val="2"/>
          <w:w w:val="115"/>
        </w:rPr>
        <w:t>—</w:t>
      </w:r>
      <w:r>
        <w:rPr>
          <w:color w:val="231F1F"/>
          <w:spacing w:val="2"/>
          <w:w w:val="115"/>
        </w:rPr>
        <w:t>reduce </w:t>
      </w:r>
      <w:r>
        <w:rPr>
          <w:color w:val="231F1F"/>
          <w:w w:val="115"/>
        </w:rPr>
        <w:t>initial dose of sildenafil for erectile dysfunction or reduce sildenafil dose frequency to twice daily for pulmonary hypertension</w:t>
      </w:r>
    </w:p>
    <w:p>
      <w:pPr>
        <w:pStyle w:val="BodyText"/>
        <w:ind w:left="281" w:right="719" w:hanging="100"/>
        <w:jc w:val="both"/>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Sirolimus:</w:t>
      </w:r>
      <w:r>
        <w:rPr>
          <w:rFonts w:ascii="Calibri" w:hAnsi="Calibri"/>
          <w:color w:val="231F1F"/>
          <w:spacing w:val="-10"/>
          <w:w w:val="115"/>
        </w:rPr>
        <w:t> </w:t>
      </w:r>
      <w:r>
        <w:rPr>
          <w:color w:val="231F1F"/>
          <w:w w:val="115"/>
        </w:rPr>
        <w:t>clarithromycin</w:t>
      </w:r>
      <w:r>
        <w:rPr>
          <w:color w:val="231F1F"/>
          <w:spacing w:val="-12"/>
          <w:w w:val="115"/>
        </w:rPr>
        <w:t> </w:t>
      </w:r>
      <w:r>
        <w:rPr>
          <w:color w:val="231F1F"/>
          <w:w w:val="115"/>
        </w:rPr>
        <w:t>increases</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SIROLIMUS</w:t>
      </w:r>
      <w:r>
        <w:rPr>
          <w:rFonts w:ascii="Arial" w:hAnsi="Arial"/>
          <w:color w:val="231F1F"/>
          <w:spacing w:val="3"/>
          <w:w w:val="115"/>
        </w:rPr>
        <w:t>—</w:t>
      </w:r>
      <w:r>
        <w:rPr>
          <w:color w:val="231F1F"/>
          <w:spacing w:val="3"/>
          <w:w w:val="115"/>
        </w:rPr>
        <w:t>avoid</w:t>
      </w:r>
      <w:r>
        <w:rPr>
          <w:color w:val="231F1F"/>
          <w:spacing w:val="-23"/>
          <w:w w:val="115"/>
        </w:rPr>
        <w:t> </w:t>
      </w:r>
      <w:r>
        <w:rPr>
          <w:color w:val="231F1F"/>
          <w:w w:val="115"/>
        </w:rPr>
        <w:t>concomitant</w:t>
      </w:r>
      <w:r>
        <w:rPr>
          <w:color w:val="231F1F"/>
          <w:spacing w:val="-24"/>
          <w:w w:val="115"/>
        </w:rPr>
        <w:t> </w:t>
      </w:r>
      <w:r>
        <w:rPr>
          <w:color w:val="231F1F"/>
          <w:w w:val="115"/>
        </w:rPr>
        <w:t>use;</w:t>
      </w:r>
      <w:r>
        <w:rPr>
          <w:color w:val="231F1F"/>
          <w:spacing w:val="-23"/>
          <w:w w:val="115"/>
        </w:rPr>
        <w:t> </w:t>
      </w:r>
      <w:r>
        <w:rPr>
          <w:color w:val="231F1F"/>
          <w:w w:val="115"/>
        </w:rPr>
        <w:t>plasma</w:t>
      </w:r>
      <w:r>
        <w:rPr>
          <w:color w:val="231F1F"/>
          <w:spacing w:val="-23"/>
          <w:w w:val="115"/>
        </w:rPr>
        <w:t> </w:t>
      </w:r>
      <w:r>
        <w:rPr>
          <w:color w:val="231F1F"/>
          <w:w w:val="115"/>
        </w:rPr>
        <w:t>concentration of</w:t>
      </w:r>
      <w:r>
        <w:rPr>
          <w:color w:val="231F1F"/>
          <w:spacing w:val="-5"/>
          <w:w w:val="115"/>
        </w:rPr>
        <w:t> </w:t>
      </w:r>
      <w:r>
        <w:rPr>
          <w:color w:val="231F1F"/>
          <w:w w:val="115"/>
        </w:rPr>
        <w:t>both</w:t>
      </w:r>
      <w:r>
        <w:rPr>
          <w:color w:val="231F1F"/>
          <w:spacing w:val="-6"/>
          <w:w w:val="115"/>
        </w:rPr>
        <w:t> </w:t>
      </w:r>
      <w:r>
        <w:rPr>
          <w:color w:val="231F1F"/>
          <w:w w:val="115"/>
        </w:rPr>
        <w:t>drugs</w:t>
      </w:r>
      <w:r>
        <w:rPr>
          <w:color w:val="231F1F"/>
          <w:spacing w:val="-5"/>
          <w:w w:val="115"/>
        </w:rPr>
        <w:t> </w:t>
      </w:r>
      <w:r>
        <w:rPr>
          <w:color w:val="231F1F"/>
          <w:w w:val="115"/>
        </w:rPr>
        <w:t>increased</w:t>
      </w:r>
      <w:r>
        <w:rPr>
          <w:color w:val="231F1F"/>
          <w:spacing w:val="-6"/>
          <w:w w:val="115"/>
        </w:rPr>
        <w:t> </w:t>
      </w:r>
      <w:r>
        <w:rPr>
          <w:color w:val="231F1F"/>
          <w:w w:val="115"/>
        </w:rPr>
        <w:t>when</w:t>
      </w:r>
      <w:r>
        <w:rPr>
          <w:color w:val="231F1F"/>
          <w:spacing w:val="-6"/>
          <w:w w:val="115"/>
        </w:rPr>
        <w:t> </w:t>
      </w:r>
      <w:r>
        <w:rPr>
          <w:color w:val="231F1F"/>
          <w:w w:val="115"/>
        </w:rPr>
        <w:t>erythromycin</w:t>
      </w:r>
      <w:r>
        <w:rPr>
          <w:color w:val="231F1F"/>
          <w:spacing w:val="-7"/>
          <w:w w:val="115"/>
        </w:rPr>
        <w:t> </w:t>
      </w:r>
      <w:r>
        <w:rPr>
          <w:color w:val="231F1F"/>
          <w:w w:val="115"/>
        </w:rPr>
        <w:t>given</w:t>
      </w:r>
      <w:r>
        <w:rPr>
          <w:color w:val="231F1F"/>
          <w:spacing w:val="-5"/>
          <w:w w:val="115"/>
        </w:rPr>
        <w:t> </w:t>
      </w:r>
      <w:r>
        <w:rPr>
          <w:color w:val="231F1F"/>
          <w:w w:val="115"/>
        </w:rPr>
        <w:t>with</w:t>
      </w:r>
    </w:p>
    <w:p>
      <w:pPr>
        <w:spacing w:line="133" w:lineRule="exact" w:before="14"/>
        <w:ind w:left="281" w:right="0" w:firstLine="0"/>
        <w:jc w:val="left"/>
        <w:rPr>
          <w:rFonts w:ascii="Calibri"/>
          <w:sz w:val="11"/>
        </w:rPr>
      </w:pPr>
      <w:r>
        <w:rPr>
          <w:rFonts w:ascii="Arial"/>
          <w:color w:val="231F1F"/>
          <w:w w:val="355"/>
          <w:position w:val="1"/>
          <w:sz w:val="7"/>
        </w:rPr>
        <w:t>l </w:t>
      </w:r>
      <w:r>
        <w:rPr>
          <w:rFonts w:ascii="Calibri"/>
          <w:color w:val="008356"/>
          <w:w w:val="120"/>
          <w:sz w:val="11"/>
        </w:rPr>
        <w:t>SIROLIMUS</w:t>
      </w:r>
    </w:p>
    <w:p>
      <w:pPr>
        <w:pStyle w:val="BodyText"/>
        <w:ind w:left="281" w:right="640" w:hanging="100"/>
        <w:jc w:val="both"/>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Tacrolimus:</w:t>
      </w:r>
      <w:r>
        <w:rPr>
          <w:rFonts w:ascii="Calibri"/>
          <w:color w:val="231F1F"/>
          <w:spacing w:val="-14"/>
          <w:w w:val="115"/>
        </w:rPr>
        <w:t> </w:t>
      </w:r>
      <w:r>
        <w:rPr>
          <w:color w:val="231F1F"/>
          <w:w w:val="115"/>
        </w:rPr>
        <w:t>clarithromycin</w:t>
      </w:r>
      <w:r>
        <w:rPr>
          <w:color w:val="231F1F"/>
          <w:spacing w:val="-16"/>
          <w:w w:val="115"/>
        </w:rPr>
        <w:t> </w:t>
      </w:r>
      <w:r>
        <w:rPr>
          <w:color w:val="231F1F"/>
          <w:w w:val="115"/>
        </w:rPr>
        <w:t>and</w:t>
      </w:r>
      <w:r>
        <w:rPr>
          <w:color w:val="231F1F"/>
          <w:spacing w:val="-17"/>
          <w:w w:val="115"/>
        </w:rPr>
        <w:t> </w:t>
      </w:r>
      <w:r>
        <w:rPr>
          <w:color w:val="231F1F"/>
          <w:w w:val="115"/>
        </w:rPr>
        <w:t>erythromycin</w:t>
      </w:r>
      <w:r>
        <w:rPr>
          <w:color w:val="231F1F"/>
          <w:spacing w:val="-17"/>
          <w:w w:val="115"/>
        </w:rPr>
        <w:t> </w:t>
      </w:r>
      <w:r>
        <w:rPr>
          <w:color w:val="231F1F"/>
          <w:w w:val="115"/>
        </w:rPr>
        <w:t>increase</w:t>
      </w:r>
      <w:r>
        <w:rPr>
          <w:color w:val="231F1F"/>
          <w:spacing w:val="-17"/>
          <w:w w:val="115"/>
        </w:rPr>
        <w:t>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TACROLIMUS</w:t>
      </w:r>
    </w:p>
    <w:p>
      <w:pPr>
        <w:pStyle w:val="BodyText"/>
        <w:spacing w:line="220" w:lineRule="auto" w:before="5"/>
        <w:ind w:left="281" w:right="672" w:hanging="100"/>
        <w:rPr>
          <w:rFonts w:ascii="Calibri" w:hAnsi="Calibri"/>
          <w:sz w:val="11"/>
        </w:rPr>
      </w:pPr>
      <w:r>
        <w:rPr>
          <w:rFonts w:ascii="Lucida Sans Unicode" w:hAnsi="Lucida Sans Unicode"/>
          <w:color w:val="A7A8AC"/>
          <w:w w:val="95"/>
          <w:sz w:val="10"/>
        </w:rPr>
        <w:t>▶ </w:t>
      </w:r>
      <w:r>
        <w:rPr>
          <w:rFonts w:ascii="Calibri" w:hAnsi="Calibri"/>
          <w:color w:val="231F1F"/>
          <w:w w:val="110"/>
        </w:rPr>
        <w:t>Tadalafil: </w:t>
      </w:r>
      <w:r>
        <w:rPr>
          <w:color w:val="231F1F"/>
          <w:w w:val="110"/>
        </w:rPr>
        <w:t>clarithromycin and erythromycin possibly increase plasma concentration of </w:t>
      </w:r>
      <w:r>
        <w:rPr>
          <w:rFonts w:ascii="Calibri" w:hAnsi="Calibri"/>
          <w:color w:val="008356"/>
          <w:w w:val="110"/>
          <w:sz w:val="11"/>
        </w:rPr>
        <w:t>TADALAFIL</w:t>
      </w:r>
    </w:p>
    <w:p>
      <w:pPr>
        <w:pStyle w:val="BodyText"/>
        <w:spacing w:line="242" w:lineRule="auto"/>
        <w:ind w:left="281" w:right="672" w:hanging="100"/>
      </w:pPr>
      <w:r>
        <w:rPr>
          <w:rFonts w:ascii="Arial"/>
          <w:color w:val="231F1F"/>
          <w:w w:val="355"/>
          <w:position w:val="1"/>
          <w:sz w:val="7"/>
        </w:rPr>
        <w:t>l </w:t>
      </w:r>
      <w:r>
        <w:rPr>
          <w:rFonts w:ascii="Calibri"/>
          <w:color w:val="231F1F"/>
          <w:w w:val="110"/>
        </w:rPr>
        <w:t>Theophylline: </w:t>
      </w:r>
      <w:r>
        <w:rPr>
          <w:color w:val="231F1F"/>
          <w:w w:val="110"/>
        </w:rPr>
        <w:t>clarithromycin possibly increases plasma concentration of </w:t>
      </w:r>
      <w:r>
        <w:rPr>
          <w:rFonts w:ascii="Calibri"/>
          <w:color w:val="008356"/>
          <w:w w:val="110"/>
          <w:sz w:val="11"/>
        </w:rPr>
        <w:t>THEOPHYLLINE</w:t>
      </w:r>
      <w:r>
        <w:rPr>
          <w:color w:val="231F1F"/>
          <w:w w:val="110"/>
        </w:rPr>
        <w:t>; erythromycin increases plasma concentration of </w:t>
      </w:r>
      <w:r>
        <w:rPr>
          <w:rFonts w:ascii="Arial"/>
          <w:color w:val="231F1F"/>
          <w:w w:val="355"/>
          <w:position w:val="1"/>
          <w:sz w:val="7"/>
        </w:rPr>
        <w:t>l </w:t>
      </w:r>
      <w:r>
        <w:rPr>
          <w:rFonts w:ascii="Calibri"/>
          <w:color w:val="008356"/>
          <w:w w:val="110"/>
          <w:sz w:val="11"/>
        </w:rPr>
        <w:t>THEOPHYLLINE </w:t>
      </w:r>
      <w:r>
        <w:rPr>
          <w:color w:val="231F1F"/>
          <w:w w:val="110"/>
        </w:rPr>
        <w:t>(also theophylline may reduce absorption of </w:t>
      </w:r>
      <w:r>
        <w:rPr>
          <w:i/>
          <w:color w:val="231F1F"/>
          <w:w w:val="110"/>
        </w:rPr>
        <w:t>oral </w:t>
      </w:r>
      <w:r>
        <w:rPr>
          <w:color w:val="231F1F"/>
          <w:w w:val="110"/>
        </w:rPr>
        <w:t>erythromycin)</w:t>
      </w:r>
    </w:p>
    <w:p>
      <w:pPr>
        <w:pStyle w:val="BodyText"/>
        <w:spacing w:line="244" w:lineRule="auto"/>
        <w:ind w:left="281" w:right="754" w:hanging="100"/>
        <w:rPr>
          <w:rFonts w:ascii="Calibri" w:hAnsi="Calibri"/>
          <w:sz w:val="11"/>
        </w:rPr>
      </w:pPr>
      <w:r>
        <w:rPr>
          <w:rFonts w:ascii="Arial" w:hAnsi="Arial"/>
          <w:color w:val="231F1F"/>
          <w:w w:val="355"/>
          <w:position w:val="1"/>
          <w:sz w:val="7"/>
        </w:rPr>
        <w:t>l </w:t>
      </w:r>
      <w:r>
        <w:rPr>
          <w:rFonts w:ascii="Calibri" w:hAnsi="Calibri"/>
          <w:color w:val="231F1F"/>
          <w:w w:val="115"/>
        </w:rPr>
        <w:t>Ticagrelor: </w:t>
      </w:r>
      <w:r>
        <w:rPr>
          <w:color w:val="231F1F"/>
          <w:w w:val="115"/>
        </w:rPr>
        <w:t>clarithromycin possibly increases plasma concentration</w:t>
      </w:r>
      <w:r>
        <w:rPr>
          <w:color w:val="231F1F"/>
          <w:spacing w:val="-25"/>
          <w:w w:val="115"/>
        </w:rPr>
        <w:t> </w:t>
      </w:r>
      <w:r>
        <w:rPr>
          <w:color w:val="231F1F"/>
          <w:w w:val="115"/>
        </w:rPr>
        <w:t>of</w:t>
      </w:r>
      <w:r>
        <w:rPr>
          <w:color w:val="231F1F"/>
          <w:spacing w:val="-24"/>
          <w:w w:val="115"/>
        </w:rPr>
        <w:t> </w:t>
      </w:r>
      <w:r>
        <w:rPr>
          <w:rFonts w:ascii="Arial" w:hAnsi="Arial"/>
          <w:color w:val="231F1F"/>
          <w:w w:val="285"/>
          <w:position w:val="1"/>
          <w:sz w:val="7"/>
        </w:rPr>
        <w:t>l</w:t>
      </w:r>
      <w:r>
        <w:rPr>
          <w:rFonts w:ascii="Arial" w:hAnsi="Arial"/>
          <w:color w:val="231F1F"/>
          <w:spacing w:val="-46"/>
          <w:w w:val="285"/>
          <w:position w:val="1"/>
          <w:sz w:val="7"/>
        </w:rPr>
        <w:t> </w:t>
      </w:r>
      <w:r>
        <w:rPr>
          <w:rFonts w:ascii="Calibri" w:hAnsi="Calibri"/>
          <w:color w:val="008356"/>
          <w:spacing w:val="2"/>
          <w:w w:val="115"/>
          <w:sz w:val="11"/>
        </w:rPr>
        <w:t>TICAGRELOR</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ticagrelor advises avoid concomitant use; erythromycin possibly increases</w:t>
      </w:r>
      <w:r>
        <w:rPr>
          <w:color w:val="231F1F"/>
          <w:spacing w:val="-7"/>
          <w:w w:val="115"/>
        </w:rPr>
        <w:t> </w:t>
      </w:r>
      <w:r>
        <w:rPr>
          <w:color w:val="231F1F"/>
          <w:w w:val="115"/>
        </w:rPr>
        <w:t>plasma</w:t>
      </w:r>
      <w:r>
        <w:rPr>
          <w:color w:val="231F1F"/>
          <w:spacing w:val="-7"/>
          <w:w w:val="115"/>
        </w:rPr>
        <w:t> </w:t>
      </w:r>
      <w:r>
        <w:rPr>
          <w:color w:val="231F1F"/>
          <w:w w:val="115"/>
        </w:rPr>
        <w:t>concentration</w:t>
      </w:r>
      <w:r>
        <w:rPr>
          <w:color w:val="231F1F"/>
          <w:spacing w:val="-7"/>
          <w:w w:val="115"/>
        </w:rPr>
        <w:t> </w:t>
      </w:r>
      <w:r>
        <w:rPr>
          <w:color w:val="231F1F"/>
          <w:w w:val="115"/>
        </w:rPr>
        <w:t>of</w:t>
      </w:r>
      <w:r>
        <w:rPr>
          <w:color w:val="231F1F"/>
          <w:spacing w:val="-7"/>
          <w:w w:val="115"/>
        </w:rPr>
        <w:t> </w:t>
      </w:r>
      <w:r>
        <w:rPr>
          <w:rFonts w:ascii="Calibri" w:hAnsi="Calibri"/>
          <w:color w:val="008356"/>
          <w:spacing w:val="4"/>
          <w:w w:val="115"/>
          <w:sz w:val="11"/>
        </w:rPr>
        <w:t>TICAGRELOR</w:t>
      </w:r>
    </w:p>
    <w:p>
      <w:pPr>
        <w:pStyle w:val="BodyText"/>
        <w:spacing w:line="237" w:lineRule="auto"/>
        <w:ind w:left="281" w:right="677" w:hanging="100"/>
        <w:rPr>
          <w:rFonts w:ascii="Calibri" w:hAnsi="Calibri"/>
          <w:sz w:val="11"/>
        </w:rPr>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erythromycin increased by </w:t>
      </w:r>
      <w:r>
        <w:rPr>
          <w:rFonts w:ascii="Calibri" w:hAnsi="Calibri"/>
          <w:color w:val="008356"/>
          <w:spacing w:val="4"/>
          <w:w w:val="110"/>
          <w:sz w:val="11"/>
        </w:rPr>
        <w:t>CIMETIDINE </w:t>
      </w:r>
      <w:r>
        <w:rPr>
          <w:color w:val="231F1F"/>
          <w:w w:val="110"/>
        </w:rPr>
        <w:t>(increased risk of toxicity,</w:t>
      </w:r>
      <w:r>
        <w:rPr>
          <w:color w:val="231F1F"/>
          <w:spacing w:val="-23"/>
          <w:w w:val="110"/>
        </w:rPr>
        <w:t> </w:t>
      </w:r>
      <w:r>
        <w:rPr>
          <w:color w:val="231F1F"/>
          <w:w w:val="110"/>
        </w:rPr>
        <w:t>including deafness); plasma concentration of both drugs increased when clarithromycin given with</w:t>
      </w:r>
      <w:r>
        <w:rPr>
          <w:color w:val="231F1F"/>
          <w:spacing w:val="-15"/>
          <w:w w:val="110"/>
        </w:rPr>
        <w:t> </w:t>
      </w:r>
      <w:r>
        <w:rPr>
          <w:rFonts w:ascii="Calibri" w:hAnsi="Calibri"/>
          <w:color w:val="008356"/>
          <w:spacing w:val="5"/>
          <w:w w:val="110"/>
          <w:sz w:val="11"/>
        </w:rPr>
        <w:t>OMEPRAZOLE</w:t>
      </w:r>
    </w:p>
    <w:p>
      <w:pPr>
        <w:spacing w:line="235" w:lineRule="auto" w:before="0"/>
        <w:ind w:left="281" w:right="631" w:hanging="100"/>
        <w:jc w:val="left"/>
        <w:rPr>
          <w:sz w:val="12"/>
        </w:rPr>
      </w:pPr>
      <w:r>
        <w:rPr>
          <w:rFonts w:ascii="Lucida Sans Unicode" w:hAnsi="Lucida Sans Unicode"/>
          <w:color w:val="A7A8AC"/>
          <w:w w:val="95"/>
          <w:sz w:val="10"/>
        </w:rPr>
        <w:t>▶ </w:t>
      </w:r>
      <w:r>
        <w:rPr>
          <w:rFonts w:ascii="Calibri" w:hAnsi="Calibri"/>
          <w:color w:val="231F1F"/>
          <w:w w:val="110"/>
          <w:sz w:val="12"/>
        </w:rPr>
        <w:t>Ulipristal: </w:t>
      </w:r>
      <w:r>
        <w:rPr>
          <w:color w:val="231F1F"/>
          <w:w w:val="110"/>
          <w:sz w:val="12"/>
        </w:rPr>
        <w:t>avoidance of clarithromycin advised by manufacturer of </w:t>
      </w:r>
      <w:r>
        <w:rPr>
          <w:i/>
          <w:color w:val="231F1F"/>
          <w:w w:val="110"/>
          <w:sz w:val="12"/>
        </w:rPr>
        <w:t>low-dose </w:t>
      </w:r>
      <w:r>
        <w:rPr>
          <w:rFonts w:ascii="Calibri" w:hAnsi="Calibri"/>
          <w:color w:val="008356"/>
          <w:spacing w:val="4"/>
          <w:w w:val="110"/>
          <w:sz w:val="11"/>
        </w:rPr>
        <w:t>ULIPRISTAL</w:t>
      </w:r>
      <w:r>
        <w:rPr>
          <w:color w:val="231F1F"/>
          <w:spacing w:val="4"/>
          <w:w w:val="110"/>
          <w:sz w:val="12"/>
        </w:rPr>
        <w:t>; </w:t>
      </w:r>
      <w:r>
        <w:rPr>
          <w:color w:val="231F1F"/>
          <w:w w:val="110"/>
          <w:sz w:val="12"/>
        </w:rPr>
        <w:t>erythromycin increases plasma concentration of </w:t>
      </w:r>
      <w:r>
        <w:rPr>
          <w:i/>
          <w:color w:val="231F1F"/>
          <w:w w:val="110"/>
          <w:sz w:val="12"/>
        </w:rPr>
        <w:t>low-dose </w:t>
      </w:r>
      <w:r>
        <w:rPr>
          <w:rFonts w:ascii="Calibri" w:hAnsi="Calibri"/>
          <w:color w:val="008356"/>
          <w:w w:val="110"/>
          <w:sz w:val="11"/>
        </w:rPr>
        <w:t>ULIPRISTAL</w:t>
      </w:r>
      <w:r>
        <w:rPr>
          <w:rFonts w:ascii="Arial" w:hAnsi="Arial"/>
          <w:color w:val="231F1F"/>
          <w:w w:val="110"/>
          <w:sz w:val="12"/>
        </w:rPr>
        <w:t>—</w:t>
      </w:r>
      <w:r>
        <w:rPr>
          <w:color w:val="231F1F"/>
          <w:w w:val="110"/>
          <w:sz w:val="12"/>
        </w:rPr>
        <w:t>manufacturer of </w:t>
      </w:r>
      <w:r>
        <w:rPr>
          <w:i/>
          <w:color w:val="231F1F"/>
          <w:w w:val="110"/>
          <w:sz w:val="12"/>
        </w:rPr>
        <w:t>low-dose </w:t>
      </w:r>
      <w:r>
        <w:rPr>
          <w:color w:val="231F1F"/>
          <w:w w:val="110"/>
          <w:sz w:val="12"/>
        </w:rPr>
        <w:t>ulipristal advises avoid concomitant</w:t>
      </w:r>
      <w:r>
        <w:rPr>
          <w:color w:val="231F1F"/>
          <w:spacing w:val="3"/>
          <w:w w:val="110"/>
          <w:sz w:val="12"/>
        </w:rPr>
        <w:t> </w:t>
      </w:r>
      <w:r>
        <w:rPr>
          <w:color w:val="231F1F"/>
          <w:w w:val="110"/>
          <w:sz w:val="12"/>
        </w:rPr>
        <w:t>use</w:t>
      </w:r>
    </w:p>
    <w:p>
      <w:pPr>
        <w:spacing w:line="220" w:lineRule="auto" w:before="0"/>
        <w:ind w:left="281" w:right="672"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37" w:lineRule="auto" w:before="5"/>
        <w:ind w:left="281" w:right="698" w:hanging="100"/>
      </w:pPr>
      <w:r>
        <w:rPr>
          <w:rFonts w:ascii="Lucida Sans Unicode" w:hAnsi="Lucida Sans Unicode"/>
          <w:color w:val="A7A8AC"/>
          <w:w w:val="95"/>
          <w:sz w:val="10"/>
        </w:rPr>
        <w:t>▶ </w:t>
      </w:r>
      <w:r>
        <w:rPr>
          <w:rFonts w:ascii="Calibri" w:hAnsi="Calibri"/>
          <w:color w:val="231F1F"/>
          <w:w w:val="110"/>
        </w:rPr>
        <w:t>Vardenafil: </w:t>
      </w:r>
      <w:r>
        <w:rPr>
          <w:color w:val="231F1F"/>
          <w:w w:val="110"/>
        </w:rPr>
        <w:t>clarithromycin possibly increases plasma concentration of </w:t>
      </w:r>
      <w:r>
        <w:rPr>
          <w:rFonts w:ascii="Calibri" w:hAnsi="Calibri"/>
          <w:color w:val="008356"/>
          <w:spacing w:val="3"/>
          <w:w w:val="110"/>
          <w:sz w:val="11"/>
        </w:rPr>
        <w:t>VARDENAFIL </w:t>
      </w:r>
      <w:r>
        <w:rPr>
          <w:color w:val="231F1F"/>
          <w:w w:val="110"/>
        </w:rPr>
        <w:t>(consider reducing initial dose of vardenafil); erythromycin increases plasma </w:t>
      </w:r>
      <w:r>
        <w:rPr>
          <w:color w:val="231F1F"/>
          <w:spacing w:val="-2"/>
          <w:w w:val="110"/>
        </w:rPr>
        <w:t>concentration </w:t>
      </w:r>
      <w:r>
        <w:rPr>
          <w:color w:val="231F1F"/>
          <w:w w:val="110"/>
        </w:rPr>
        <w:t>of </w:t>
      </w:r>
      <w:r>
        <w:rPr>
          <w:rFonts w:ascii="Calibri" w:hAnsi="Calibri"/>
          <w:color w:val="008356"/>
          <w:spacing w:val="4"/>
          <w:w w:val="110"/>
          <w:sz w:val="11"/>
        </w:rPr>
        <w:t>VARDENAFIL </w:t>
      </w:r>
      <w:r>
        <w:rPr>
          <w:color w:val="231F1F"/>
          <w:w w:val="110"/>
        </w:rPr>
        <w:t>(reduce dose of</w:t>
      </w:r>
      <w:r>
        <w:rPr>
          <w:color w:val="231F1F"/>
          <w:spacing w:val="-4"/>
          <w:w w:val="110"/>
        </w:rPr>
        <w:t> </w:t>
      </w:r>
      <w:r>
        <w:rPr>
          <w:color w:val="231F1F"/>
          <w:w w:val="110"/>
        </w:rPr>
        <w:t>vardenafil)</w:t>
      </w:r>
    </w:p>
    <w:p>
      <w:pPr>
        <w:pStyle w:val="BodyText"/>
        <w:spacing w:before="6"/>
        <w:ind w:left="181"/>
        <w:rPr>
          <w:rFonts w:ascii="Trebuchet MS"/>
        </w:rPr>
      </w:pPr>
      <w:r>
        <w:rPr>
          <w:rFonts w:ascii="Trebuchet MS"/>
          <w:color w:val="008356"/>
        </w:rPr>
        <w:t>Magnesium (parenteral)</w:t>
      </w:r>
    </w:p>
    <w:p>
      <w:pPr>
        <w:pStyle w:val="BodyText"/>
        <w:spacing w:before="1"/>
        <w:ind w:left="281" w:right="618" w:hanging="100"/>
      </w:pPr>
      <w:r>
        <w:rPr>
          <w:rFonts w:ascii="Arial"/>
          <w:color w:val="231F1F"/>
          <w:w w:val="355"/>
          <w:position w:val="1"/>
          <w:sz w:val="7"/>
        </w:rPr>
        <w:t>l</w:t>
      </w:r>
      <w:r>
        <w:rPr>
          <w:rFonts w:ascii="Arial"/>
          <w:color w:val="231F1F"/>
          <w:spacing w:val="-37"/>
          <w:w w:val="355"/>
          <w:position w:val="1"/>
          <w:sz w:val="7"/>
        </w:rPr>
        <w:t> </w:t>
      </w:r>
      <w:r>
        <w:rPr>
          <w:rFonts w:ascii="Calibri"/>
          <w:color w:val="231F1F"/>
          <w:w w:val="110"/>
        </w:rPr>
        <w:t>Calcium-channel Blockers: </w:t>
      </w:r>
      <w:r>
        <w:rPr>
          <w:color w:val="231F1F"/>
          <w:w w:val="110"/>
        </w:rPr>
        <w:t>profound hypotension reported </w:t>
      </w:r>
      <w:r>
        <w:rPr>
          <w:color w:val="231F1F"/>
          <w:spacing w:val="-4"/>
          <w:w w:val="110"/>
        </w:rPr>
        <w:t>with </w:t>
      </w:r>
      <w:r>
        <w:rPr>
          <w:color w:val="231F1F"/>
          <w:w w:val="110"/>
        </w:rPr>
        <w:t>concomitant use  of parenteral magnesium and </w:t>
      </w:r>
      <w:r>
        <w:rPr>
          <w:rFonts w:ascii="Arial"/>
          <w:color w:val="231F1F"/>
          <w:w w:val="355"/>
          <w:position w:val="1"/>
          <w:sz w:val="7"/>
        </w:rPr>
        <w:t>l </w:t>
      </w:r>
      <w:r>
        <w:rPr>
          <w:rFonts w:ascii="Calibri"/>
          <w:color w:val="008356"/>
          <w:spacing w:val="4"/>
          <w:w w:val="110"/>
          <w:sz w:val="11"/>
        </w:rPr>
        <w:t>NIFEDIPINE </w:t>
      </w:r>
      <w:r>
        <w:rPr>
          <w:color w:val="231F1F"/>
          <w:w w:val="110"/>
        </w:rPr>
        <w:t>in</w:t>
      </w:r>
      <w:r>
        <w:rPr>
          <w:color w:val="231F1F"/>
          <w:spacing w:val="-1"/>
          <w:w w:val="110"/>
        </w:rPr>
        <w:t> </w:t>
      </w:r>
      <w:r>
        <w:rPr>
          <w:color w:val="231F1F"/>
          <w:w w:val="110"/>
        </w:rPr>
        <w:t>pre-eclampsia</w:t>
      </w:r>
    </w:p>
    <w:p>
      <w:pPr>
        <w:pStyle w:val="BodyText"/>
        <w:spacing w:line="152" w:lineRule="exact" w:before="3"/>
        <w:ind w:left="181"/>
      </w:pPr>
      <w:r>
        <w:rPr>
          <w:rFonts w:ascii="Lucida Sans Unicode" w:hAnsi="Lucida Sans Unicode"/>
          <w:color w:val="A7A8AC"/>
          <w:w w:val="95"/>
          <w:sz w:val="10"/>
        </w:rPr>
        <w:t>▶ </w:t>
      </w:r>
      <w:r>
        <w:rPr>
          <w:rFonts w:ascii="Calibri" w:hAnsi="Calibri"/>
          <w:color w:val="231F1F"/>
          <w:w w:val="105"/>
        </w:rPr>
        <w:t>Muscle Relaxants: </w:t>
      </w:r>
      <w:r>
        <w:rPr>
          <w:color w:val="231F1F"/>
          <w:w w:val="105"/>
        </w:rPr>
        <w:t>parenteral magnesium enhances effects of</w:t>
      </w:r>
    </w:p>
    <w:p>
      <w:pPr>
        <w:spacing w:line="135" w:lineRule="exact" w:before="0"/>
        <w:ind w:left="281" w:right="0" w:firstLine="0"/>
        <w:jc w:val="left"/>
        <w:rPr>
          <w:rFonts w:ascii="Calibri"/>
          <w:sz w:val="11"/>
        </w:rPr>
      </w:pPr>
      <w:r>
        <w:rPr>
          <w:rFonts w:ascii="Calibri"/>
          <w:color w:val="008356"/>
          <w:sz w:val="11"/>
        </w:rPr>
        <w:t>NON-DEPOLARISING MUSCLE RELAXANTS </w:t>
      </w:r>
      <w:r>
        <w:rPr>
          <w:color w:val="231F1F"/>
          <w:sz w:val="12"/>
        </w:rPr>
        <w:t>and </w:t>
      </w:r>
      <w:r>
        <w:rPr>
          <w:rFonts w:ascii="Calibri"/>
          <w:color w:val="008356"/>
          <w:sz w:val="11"/>
        </w:rPr>
        <w:t>SUXAMETHONIUM</w:t>
      </w:r>
    </w:p>
    <w:p>
      <w:pPr>
        <w:pStyle w:val="BodyText"/>
        <w:spacing w:before="7"/>
        <w:ind w:left="181"/>
      </w:pPr>
      <w:r>
        <w:rPr>
          <w:rFonts w:ascii="Trebuchet MS"/>
          <w:color w:val="008356"/>
          <w:w w:val="105"/>
        </w:rPr>
        <w:t>Magnesium Salts (oral) </w:t>
      </w:r>
      <w:r>
        <w:rPr>
          <w:i/>
          <w:color w:val="231F1F"/>
          <w:w w:val="105"/>
        </w:rPr>
        <w:t>see </w:t>
      </w:r>
      <w:r>
        <w:rPr>
          <w:color w:val="231F1F"/>
          <w:w w:val="105"/>
        </w:rPr>
        <w:t>Antacids</w:t>
      </w:r>
    </w:p>
    <w:p>
      <w:pPr>
        <w:pStyle w:val="BodyText"/>
        <w:spacing w:before="10"/>
        <w:ind w:left="181"/>
        <w:rPr>
          <w:rFonts w:ascii="Trebuchet MS"/>
        </w:rPr>
      </w:pPr>
      <w:r>
        <w:rPr>
          <w:rFonts w:ascii="Trebuchet MS"/>
          <w:color w:val="008356"/>
          <w:w w:val="105"/>
        </w:rPr>
        <w:t>Mannitol</w:t>
      </w:r>
    </w:p>
    <w:p>
      <w:pPr>
        <w:pStyle w:val="BodyText"/>
        <w:spacing w:line="220" w:lineRule="auto" w:before="10"/>
        <w:ind w:left="281" w:right="61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avoidance  of  mannitol advised by  manufacturer of </w:t>
      </w:r>
      <w:r>
        <w:rPr>
          <w:rFonts w:ascii="Calibri" w:hAnsi="Calibri"/>
          <w:color w:val="008356"/>
          <w:w w:val="105"/>
          <w:sz w:val="11"/>
        </w:rPr>
        <w:t>TOBRAMYCIN</w:t>
      </w:r>
    </w:p>
    <w:p>
      <w:pPr>
        <w:spacing w:after="0" w:line="220" w:lineRule="auto"/>
        <w:rPr>
          <w:rFonts w:ascii="Calibri" w:hAnsi="Calibri"/>
          <w:sz w:val="11"/>
        </w:rPr>
        <w:sectPr>
          <w:headerReference w:type="even" r:id="rId36"/>
          <w:headerReference w:type="default" r:id="rId37"/>
          <w:pgSz w:w="8390" w:h="11910"/>
          <w:pgMar w:header="0" w:footer="0" w:top="460" w:bottom="0" w:left="480" w:right="0"/>
          <w:cols w:num="2" w:equalWidth="0">
            <w:col w:w="3641" w:space="40"/>
            <w:col w:w="4229"/>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Mannitol </w:t>
      </w:r>
      <w:r>
        <w:rPr>
          <w:rFonts w:ascii="Calibri"/>
          <w:color w:val="231F1F"/>
        </w:rPr>
        <w:t>(continued)</w:t>
      </w:r>
    </w:p>
    <w:p>
      <w:pPr>
        <w:pStyle w:val="BodyText"/>
        <w:spacing w:line="220" w:lineRule="auto" w:before="6"/>
        <w:ind w:right="252"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possible increased risk of nephrotoxicity when mannitol given with </w:t>
      </w:r>
      <w:r>
        <w:rPr>
          <w:rFonts w:ascii="Calibri" w:hAnsi="Calibri"/>
          <w:color w:val="008356"/>
          <w:w w:val="110"/>
          <w:sz w:val="11"/>
        </w:rPr>
        <w:t>CICLOSPORIN</w:t>
      </w:r>
    </w:p>
    <w:p>
      <w:pPr>
        <w:pStyle w:val="BodyText"/>
        <w:spacing w:before="9"/>
        <w:ind w:left="108"/>
        <w:rPr>
          <w:rFonts w:ascii="Trebuchet MS"/>
        </w:rPr>
      </w:pPr>
      <w:r>
        <w:rPr>
          <w:rFonts w:ascii="Trebuchet MS"/>
          <w:color w:val="008356"/>
          <w:w w:val="110"/>
        </w:rPr>
        <w:t>MAOIs</w:t>
      </w:r>
    </w:p>
    <w:p>
      <w:pPr>
        <w:pStyle w:val="BodyText"/>
        <w:spacing w:line="244" w:lineRule="auto" w:before="6"/>
        <w:ind w:right="45"/>
      </w:pPr>
      <w:r>
        <w:rPr>
          <w:rFonts w:ascii="Calibri"/>
          <w:color w:val="008356"/>
          <w:spacing w:val="3"/>
          <w:w w:val="110"/>
          <w:sz w:val="11"/>
        </w:rPr>
        <w:t>NOTE</w:t>
      </w:r>
      <w:r>
        <w:rPr>
          <w:rFonts w:ascii="Calibri"/>
          <w:color w:val="008356"/>
          <w:spacing w:val="-1"/>
          <w:w w:val="110"/>
          <w:sz w:val="11"/>
        </w:rPr>
        <w:t> </w:t>
      </w:r>
      <w:r>
        <w:rPr>
          <w:color w:val="231F1F"/>
          <w:w w:val="110"/>
        </w:rPr>
        <w:t>For</w:t>
      </w:r>
      <w:r>
        <w:rPr>
          <w:color w:val="231F1F"/>
          <w:spacing w:val="-7"/>
          <w:w w:val="110"/>
        </w:rPr>
        <w:t> </w:t>
      </w:r>
      <w:r>
        <w:rPr>
          <w:color w:val="231F1F"/>
          <w:w w:val="110"/>
        </w:rPr>
        <w:t>interactions</w:t>
      </w:r>
      <w:r>
        <w:rPr>
          <w:color w:val="231F1F"/>
          <w:spacing w:val="-8"/>
          <w:w w:val="110"/>
        </w:rPr>
        <w:t> </w:t>
      </w:r>
      <w:r>
        <w:rPr>
          <w:color w:val="231F1F"/>
          <w:w w:val="110"/>
        </w:rPr>
        <w:t>of</w:t>
      </w:r>
      <w:r>
        <w:rPr>
          <w:color w:val="231F1F"/>
          <w:spacing w:val="-8"/>
          <w:w w:val="110"/>
        </w:rPr>
        <w:t> </w:t>
      </w:r>
      <w:r>
        <w:rPr>
          <w:color w:val="231F1F"/>
          <w:w w:val="110"/>
        </w:rPr>
        <w:t>reversible</w:t>
      </w:r>
      <w:r>
        <w:rPr>
          <w:color w:val="231F1F"/>
          <w:spacing w:val="-7"/>
          <w:w w:val="110"/>
        </w:rPr>
        <w:t> </w:t>
      </w:r>
      <w:r>
        <w:rPr>
          <w:color w:val="231F1F"/>
          <w:w w:val="110"/>
        </w:rPr>
        <w:t>MAO-A</w:t>
      </w:r>
      <w:r>
        <w:rPr>
          <w:color w:val="231F1F"/>
          <w:spacing w:val="-8"/>
          <w:w w:val="110"/>
        </w:rPr>
        <w:t> </w:t>
      </w:r>
      <w:r>
        <w:rPr>
          <w:color w:val="231F1F"/>
          <w:w w:val="110"/>
        </w:rPr>
        <w:t>inhibitors</w:t>
      </w:r>
      <w:r>
        <w:rPr>
          <w:color w:val="231F1F"/>
          <w:spacing w:val="-7"/>
          <w:w w:val="110"/>
        </w:rPr>
        <w:t> </w:t>
      </w:r>
      <w:r>
        <w:rPr>
          <w:color w:val="231F1F"/>
          <w:w w:val="110"/>
        </w:rPr>
        <w:t>(RIMAs) see Moclobemide, and for interactions of MAO-B inhibitors see Rasagiline and Selegiline; the antibacterial Linezolid is a reversible, non-selective MAO</w:t>
      </w:r>
      <w:r>
        <w:rPr>
          <w:color w:val="231F1F"/>
          <w:spacing w:val="-3"/>
          <w:w w:val="110"/>
        </w:rPr>
        <w:t> </w:t>
      </w:r>
      <w:r>
        <w:rPr>
          <w:color w:val="231F1F"/>
          <w:w w:val="110"/>
        </w:rPr>
        <w:t>inhibitor</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05"/>
        </w:rPr>
        <w:t>ACE Inhibitors: </w:t>
      </w:r>
      <w:r>
        <w:rPr>
          <w:color w:val="231F1F"/>
          <w:w w:val="105"/>
        </w:rPr>
        <w:t>MAOIs possibly enhance hypotensive effect of</w:t>
      </w:r>
    </w:p>
    <w:p>
      <w:pPr>
        <w:spacing w:line="130" w:lineRule="exact" w:before="0"/>
        <w:ind w:left="208" w:right="0" w:firstLine="0"/>
        <w:jc w:val="left"/>
        <w:rPr>
          <w:rFonts w:ascii="Calibri"/>
          <w:sz w:val="11"/>
        </w:rPr>
      </w:pPr>
      <w:r>
        <w:rPr>
          <w:rFonts w:ascii="Calibri"/>
          <w:color w:val="008356"/>
          <w:sz w:val="11"/>
        </w:rPr>
        <w:t>ACE INHIBITORS</w:t>
      </w:r>
    </w:p>
    <w:p>
      <w:pPr>
        <w:spacing w:line="220" w:lineRule="auto" w:before="7"/>
        <w:ind w:left="208" w:right="19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MAOIs given with </w:t>
      </w:r>
      <w:r>
        <w:rPr>
          <w:rFonts w:ascii="Calibri" w:hAnsi="Calibri"/>
          <w:color w:val="008356"/>
          <w:w w:val="105"/>
          <w:sz w:val="11"/>
        </w:rPr>
        <w:t>ADRENERGIC NEURONE BLOCKERS</w:t>
      </w:r>
    </w:p>
    <w:p>
      <w:pPr>
        <w:pStyle w:val="BodyText"/>
        <w:spacing w:line="242" w:lineRule="auto"/>
        <w:ind w:right="157" w:hanging="100"/>
      </w:pPr>
      <w:r>
        <w:rPr>
          <w:rFonts w:ascii="Arial" w:hAnsi="Arial"/>
          <w:color w:val="231F1F"/>
          <w:w w:val="355"/>
          <w:position w:val="1"/>
          <w:sz w:val="7"/>
        </w:rPr>
        <w:t>l </w:t>
      </w:r>
      <w:r>
        <w:rPr>
          <w:rFonts w:ascii="Calibri" w:hAnsi="Calibri"/>
          <w:color w:val="231F1F"/>
          <w:w w:val="115"/>
        </w:rPr>
        <w:t>Alcohol: </w:t>
      </w:r>
      <w:r>
        <w:rPr>
          <w:color w:val="231F1F"/>
          <w:w w:val="115"/>
        </w:rPr>
        <w:t>MAOIs interact with tyramine found in some beverages containing </w:t>
      </w:r>
      <w:r>
        <w:rPr>
          <w:rFonts w:ascii="Arial" w:hAnsi="Arial"/>
          <w:color w:val="231F1F"/>
          <w:w w:val="355"/>
          <w:position w:val="1"/>
          <w:sz w:val="7"/>
        </w:rPr>
        <w:t>l </w:t>
      </w:r>
      <w:r>
        <w:rPr>
          <w:rFonts w:ascii="Calibri" w:hAnsi="Calibri"/>
          <w:color w:val="008356"/>
          <w:spacing w:val="4"/>
          <w:w w:val="115"/>
          <w:sz w:val="11"/>
        </w:rPr>
        <w:t>ALCOHOL </w:t>
      </w:r>
      <w:r>
        <w:rPr>
          <w:color w:val="231F1F"/>
          <w:w w:val="115"/>
        </w:rPr>
        <w:t>and some dealcoholised beverages (hypertensive crisis)</w:t>
      </w:r>
      <w:r>
        <w:rPr>
          <w:rFonts w:ascii="Arial" w:hAnsi="Arial"/>
          <w:color w:val="231F1F"/>
          <w:w w:val="115"/>
        </w:rPr>
        <w:t>—</w:t>
      </w:r>
      <w:r>
        <w:rPr>
          <w:color w:val="231F1F"/>
          <w:w w:val="115"/>
        </w:rPr>
        <w:t>if no tyramine, enhanced hypotensive effect</w:t>
      </w:r>
    </w:p>
    <w:p>
      <w:pPr>
        <w:spacing w:line="220" w:lineRule="auto" w:before="10"/>
        <w:ind w:left="208" w:right="2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Alpha</w:t>
      </w:r>
      <w:r>
        <w:rPr>
          <w:rFonts w:ascii="Calibri" w:hAnsi="Calibri"/>
          <w:color w:val="231F1F"/>
          <w:w w:val="105"/>
          <w:sz w:val="12"/>
          <w:vertAlign w:val="subscript"/>
        </w:rPr>
        <w:t>2</w:t>
      </w:r>
      <w:r>
        <w:rPr>
          <w:rFonts w:ascii="Calibri" w:hAnsi="Calibri"/>
          <w:color w:val="231F1F"/>
          <w:w w:val="105"/>
          <w:sz w:val="12"/>
          <w:vertAlign w:val="baseline"/>
        </w:rPr>
        <w:t>-adrenoceptor Stimulants: </w:t>
      </w:r>
      <w:r>
        <w:rPr>
          <w:color w:val="231F1F"/>
          <w:w w:val="105"/>
          <w:sz w:val="12"/>
          <w:vertAlign w:val="baseline"/>
        </w:rPr>
        <w:t>avoidance of MAOIs advised by manufacturer of </w:t>
      </w:r>
      <w:r>
        <w:rPr>
          <w:rFonts w:ascii="Calibri" w:hAnsi="Calibri"/>
          <w:color w:val="008356"/>
          <w:w w:val="105"/>
          <w:sz w:val="11"/>
          <w:vertAlign w:val="baseline"/>
        </w:rPr>
        <w:t>APRACLONIDINE </w:t>
      </w:r>
      <w:r>
        <w:rPr>
          <w:color w:val="231F1F"/>
          <w:w w:val="105"/>
          <w:sz w:val="12"/>
          <w:vertAlign w:val="baseline"/>
        </w:rPr>
        <w:t>and </w:t>
      </w:r>
      <w:r>
        <w:rPr>
          <w:rFonts w:ascii="Calibri" w:hAnsi="Calibri"/>
          <w:color w:val="008356"/>
          <w:w w:val="105"/>
          <w:sz w:val="11"/>
          <w:vertAlign w:val="baseline"/>
        </w:rPr>
        <w:t>BRIMONIDINE</w:t>
      </w:r>
    </w:p>
    <w:p>
      <w:pPr>
        <w:pStyle w:val="BodyText"/>
        <w:ind w:right="115" w:hanging="100"/>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Alpha-blockers: </w:t>
      </w:r>
      <w:r>
        <w:rPr>
          <w:color w:val="231F1F"/>
          <w:w w:val="110"/>
        </w:rPr>
        <w:t>avoidance of MAOIs advised by </w:t>
      </w:r>
      <w:r>
        <w:rPr>
          <w:color w:val="231F1F"/>
          <w:spacing w:val="-2"/>
          <w:w w:val="110"/>
        </w:rPr>
        <w:t>manufacturer </w:t>
      </w:r>
      <w:r>
        <w:rPr>
          <w:color w:val="231F1F"/>
          <w:w w:val="110"/>
        </w:rPr>
        <w:t>of </w:t>
      </w:r>
      <w:r>
        <w:rPr>
          <w:rFonts w:ascii="Arial"/>
          <w:color w:val="231F1F"/>
          <w:w w:val="355"/>
          <w:position w:val="1"/>
          <w:sz w:val="7"/>
        </w:rPr>
        <w:t>l </w:t>
      </w:r>
      <w:r>
        <w:rPr>
          <w:rFonts w:ascii="Calibri"/>
          <w:color w:val="008356"/>
          <w:spacing w:val="4"/>
          <w:w w:val="110"/>
          <w:sz w:val="11"/>
        </w:rPr>
        <w:t>INDORAMIN</w:t>
      </w:r>
      <w:r>
        <w:rPr>
          <w:color w:val="231F1F"/>
          <w:spacing w:val="4"/>
          <w:w w:val="110"/>
        </w:rPr>
        <w:t>; </w:t>
      </w:r>
      <w:r>
        <w:rPr>
          <w:color w:val="231F1F"/>
          <w:w w:val="110"/>
        </w:rPr>
        <w:t>enhanced hypotensive effect when MAOIs given with </w:t>
      </w:r>
      <w:r>
        <w:rPr>
          <w:rFonts w:ascii="Calibri"/>
          <w:color w:val="008356"/>
          <w:spacing w:val="4"/>
          <w:w w:val="110"/>
          <w:sz w:val="11"/>
        </w:rPr>
        <w:t>ALPHA-BLOCKERS</w:t>
      </w:r>
    </w:p>
    <w:p>
      <w:pPr>
        <w:pStyle w:val="BodyText"/>
        <w:ind w:right="215" w:hanging="100"/>
      </w:pPr>
      <w:r>
        <w:rPr>
          <w:rFonts w:ascii="Arial"/>
          <w:color w:val="231F1F"/>
          <w:w w:val="355"/>
          <w:position w:val="1"/>
          <w:sz w:val="7"/>
        </w:rPr>
        <w:t>l </w:t>
      </w:r>
      <w:r>
        <w:rPr>
          <w:rFonts w:ascii="Calibri"/>
          <w:color w:val="231F1F"/>
          <w:w w:val="115"/>
        </w:rPr>
        <w:t>Analgesics: </w:t>
      </w:r>
      <w:r>
        <w:rPr>
          <w:color w:val="231F1F"/>
          <w:w w:val="115"/>
        </w:rPr>
        <w:t>possible increased serotonergic effects when </w:t>
      </w:r>
      <w:r>
        <w:rPr>
          <w:color w:val="231F1F"/>
          <w:w w:val="110"/>
        </w:rPr>
        <w:t>MAOIs given with </w:t>
      </w:r>
      <w:r>
        <w:rPr>
          <w:rFonts w:ascii="Calibri"/>
          <w:color w:val="008356"/>
          <w:w w:val="110"/>
          <w:sz w:val="11"/>
        </w:rPr>
        <w:t>FENTANYL</w:t>
      </w:r>
      <w:r>
        <w:rPr>
          <w:color w:val="231F1F"/>
          <w:w w:val="110"/>
        </w:rPr>
        <w:t>; CNS excitation or depression </w:t>
      </w:r>
      <w:r>
        <w:rPr>
          <w:color w:val="231F1F"/>
          <w:w w:val="115"/>
        </w:rPr>
        <w:t>(hypertension or hypotension) when MAOIs given with</w:t>
      </w:r>
    </w:p>
    <w:p>
      <w:pPr>
        <w:pStyle w:val="BodyText"/>
        <w:spacing w:line="247" w:lineRule="auto" w:before="5"/>
        <w:ind w:right="26"/>
      </w:pPr>
      <w:r>
        <w:rPr>
          <w:rFonts w:ascii="Arial" w:hAnsi="Arial"/>
          <w:color w:val="231F1F"/>
          <w:w w:val="355"/>
          <w:position w:val="1"/>
          <w:sz w:val="7"/>
        </w:rPr>
        <w:t>l </w:t>
      </w:r>
      <w:r>
        <w:rPr>
          <w:rFonts w:ascii="Calibri" w:hAnsi="Calibri"/>
          <w:color w:val="008356"/>
          <w:spacing w:val="3"/>
          <w:w w:val="115"/>
          <w:sz w:val="11"/>
        </w:rPr>
        <w:t>PETHIDINE</w:t>
      </w:r>
      <w:r>
        <w:rPr>
          <w:rFonts w:ascii="Arial" w:hAnsi="Arial"/>
          <w:color w:val="231F1F"/>
          <w:spacing w:val="3"/>
          <w:w w:val="115"/>
        </w:rPr>
        <w:t>—</w:t>
      </w:r>
      <w:r>
        <w:rPr>
          <w:color w:val="231F1F"/>
          <w:spacing w:val="3"/>
          <w:w w:val="115"/>
        </w:rPr>
        <w:t>avoid </w:t>
      </w:r>
      <w:r>
        <w:rPr>
          <w:color w:val="231F1F"/>
          <w:w w:val="115"/>
        </w:rPr>
        <w:t>concomitant use and for 2 weeks after stopping MAOIs; possible increased serotonergic effects </w:t>
      </w:r>
      <w:r>
        <w:rPr>
          <w:color w:val="231F1F"/>
          <w:spacing w:val="-5"/>
          <w:w w:val="115"/>
        </w:rPr>
        <w:t>and </w:t>
      </w:r>
      <w:r>
        <w:rPr>
          <w:color w:val="231F1F"/>
          <w:w w:val="115"/>
        </w:rPr>
        <w:t>increased risk of convulsions when MAOIs given with</w:t>
      </w:r>
    </w:p>
    <w:p>
      <w:pPr>
        <w:pStyle w:val="BodyText"/>
        <w:spacing w:line="247" w:lineRule="auto"/>
        <w:ind w:right="42"/>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TRAMADOL</w:t>
      </w:r>
      <w:r>
        <w:rPr>
          <w:rFonts w:ascii="Arial" w:hAnsi="Arial"/>
          <w:color w:val="231F1F"/>
          <w:spacing w:val="3"/>
          <w:w w:val="115"/>
        </w:rPr>
        <w:t>—</w:t>
      </w:r>
      <w:r>
        <w:rPr>
          <w:color w:val="231F1F"/>
          <w:spacing w:val="3"/>
          <w:w w:val="115"/>
        </w:rPr>
        <w:t>some</w:t>
      </w:r>
      <w:r>
        <w:rPr>
          <w:color w:val="231F1F"/>
          <w:spacing w:val="-22"/>
          <w:w w:val="115"/>
        </w:rPr>
        <w:t> </w:t>
      </w:r>
      <w:r>
        <w:rPr>
          <w:color w:val="231F1F"/>
          <w:w w:val="115"/>
        </w:rPr>
        <w:t>manufacturers</w:t>
      </w:r>
      <w:r>
        <w:rPr>
          <w:color w:val="231F1F"/>
          <w:spacing w:val="-24"/>
          <w:w w:val="115"/>
        </w:rPr>
        <w:t> </w:t>
      </w:r>
      <w:r>
        <w:rPr>
          <w:color w:val="231F1F"/>
          <w:w w:val="115"/>
        </w:rPr>
        <w:t>advise</w:t>
      </w:r>
      <w:r>
        <w:rPr>
          <w:color w:val="231F1F"/>
          <w:spacing w:val="-22"/>
          <w:w w:val="115"/>
        </w:rPr>
        <w:t> </w:t>
      </w:r>
      <w:r>
        <w:rPr>
          <w:color w:val="231F1F"/>
          <w:w w:val="115"/>
        </w:rPr>
        <w:t>avoid</w:t>
      </w:r>
      <w:r>
        <w:rPr>
          <w:color w:val="231F1F"/>
          <w:spacing w:val="-24"/>
          <w:w w:val="115"/>
        </w:rPr>
        <w:t> </w:t>
      </w:r>
      <w:r>
        <w:rPr>
          <w:color w:val="231F1F"/>
          <w:w w:val="115"/>
        </w:rPr>
        <w:t>concomitant use and for 2 weeks after stopping MAOIs; avoidance of MAOIs</w:t>
      </w:r>
      <w:r>
        <w:rPr>
          <w:color w:val="231F1F"/>
          <w:spacing w:val="-23"/>
          <w:w w:val="115"/>
        </w:rPr>
        <w:t> </w:t>
      </w:r>
      <w:r>
        <w:rPr>
          <w:color w:val="231F1F"/>
          <w:w w:val="115"/>
        </w:rPr>
        <w:t>advised</w:t>
      </w:r>
      <w:r>
        <w:rPr>
          <w:color w:val="231F1F"/>
          <w:spacing w:val="-22"/>
          <w:w w:val="115"/>
        </w:rPr>
        <w:t> </w:t>
      </w:r>
      <w:r>
        <w:rPr>
          <w:color w:val="231F1F"/>
          <w:w w:val="115"/>
        </w:rPr>
        <w:t>by</w:t>
      </w:r>
      <w:r>
        <w:rPr>
          <w:color w:val="231F1F"/>
          <w:spacing w:val="-23"/>
          <w:w w:val="115"/>
        </w:rPr>
        <w:t> </w:t>
      </w:r>
      <w:r>
        <w:rPr>
          <w:color w:val="231F1F"/>
          <w:w w:val="115"/>
        </w:rPr>
        <w:t>manufacturer</w:t>
      </w:r>
      <w:r>
        <w:rPr>
          <w:color w:val="231F1F"/>
          <w:spacing w:val="-22"/>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NEFOPAM</w:t>
      </w:r>
      <w:r>
        <w:rPr>
          <w:color w:val="231F1F"/>
          <w:spacing w:val="4"/>
          <w:w w:val="115"/>
        </w:rPr>
        <w:t>;</w:t>
      </w:r>
      <w:r>
        <w:rPr>
          <w:color w:val="231F1F"/>
          <w:spacing w:val="-22"/>
          <w:w w:val="115"/>
        </w:rPr>
        <w:t> </w:t>
      </w:r>
      <w:r>
        <w:rPr>
          <w:color w:val="231F1F"/>
          <w:w w:val="115"/>
        </w:rPr>
        <w:t>possible</w:t>
      </w:r>
      <w:r>
        <w:rPr>
          <w:color w:val="231F1F"/>
          <w:spacing w:val="-22"/>
          <w:w w:val="115"/>
        </w:rPr>
        <w:t> </w:t>
      </w:r>
      <w:r>
        <w:rPr>
          <w:color w:val="231F1F"/>
          <w:w w:val="115"/>
        </w:rPr>
        <w:t>CNS excitation or depression (hypertension or hypotension) </w:t>
      </w:r>
      <w:r>
        <w:rPr>
          <w:color w:val="231F1F"/>
          <w:spacing w:val="-4"/>
          <w:w w:val="115"/>
        </w:rPr>
        <w:t>when </w:t>
      </w:r>
      <w:r>
        <w:rPr>
          <w:color w:val="231F1F"/>
          <w:w w:val="110"/>
        </w:rPr>
        <w:t>MAOIs</w:t>
      </w:r>
      <w:r>
        <w:rPr>
          <w:color w:val="231F1F"/>
          <w:spacing w:val="-9"/>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w:hAnsi="Arial"/>
          <w:color w:val="231F1F"/>
          <w:w w:val="110"/>
          <w:position w:val="1"/>
          <w:sz w:val="7"/>
        </w:rPr>
        <w:t>l</w:t>
      </w:r>
      <w:r>
        <w:rPr>
          <w:rFonts w:ascii="Arial" w:hAnsi="Arial"/>
          <w:color w:val="231F1F"/>
          <w:spacing w:val="1"/>
          <w:w w:val="110"/>
          <w:position w:val="1"/>
          <w:sz w:val="7"/>
        </w:rPr>
        <w:t> </w:t>
      </w:r>
      <w:r>
        <w:rPr>
          <w:rFonts w:ascii="Calibri" w:hAnsi="Calibri"/>
          <w:color w:val="008356"/>
          <w:spacing w:val="4"/>
          <w:w w:val="110"/>
          <w:sz w:val="11"/>
        </w:rPr>
        <w:t>OPIOID</w:t>
      </w:r>
      <w:r>
        <w:rPr>
          <w:rFonts w:ascii="Calibri" w:hAnsi="Calibri"/>
          <w:color w:val="008356"/>
          <w:spacing w:val="-2"/>
          <w:w w:val="110"/>
          <w:sz w:val="11"/>
        </w:rPr>
        <w:t> </w:t>
      </w:r>
      <w:r>
        <w:rPr>
          <w:rFonts w:ascii="Calibri" w:hAnsi="Calibri"/>
          <w:color w:val="008356"/>
          <w:spacing w:val="3"/>
          <w:w w:val="110"/>
          <w:sz w:val="11"/>
        </w:rPr>
        <w:t>ANALGESICS</w:t>
      </w:r>
      <w:r>
        <w:rPr>
          <w:rFonts w:ascii="Arial" w:hAnsi="Arial"/>
          <w:color w:val="231F1F"/>
          <w:spacing w:val="3"/>
          <w:w w:val="110"/>
        </w:rPr>
        <w:t>—</w:t>
      </w:r>
      <w:r>
        <w:rPr>
          <w:color w:val="231F1F"/>
          <w:spacing w:val="3"/>
          <w:w w:val="110"/>
        </w:rPr>
        <w:t>some</w:t>
      </w:r>
      <w:r>
        <w:rPr>
          <w:color w:val="231F1F"/>
          <w:spacing w:val="-8"/>
          <w:w w:val="110"/>
        </w:rPr>
        <w:t> </w:t>
      </w:r>
      <w:r>
        <w:rPr>
          <w:color w:val="231F1F"/>
          <w:w w:val="110"/>
        </w:rPr>
        <w:t>manufacturers </w:t>
      </w:r>
      <w:r>
        <w:rPr>
          <w:color w:val="231F1F"/>
          <w:w w:val="115"/>
        </w:rPr>
        <w:t>advise</w:t>
      </w:r>
      <w:r>
        <w:rPr>
          <w:color w:val="231F1F"/>
          <w:spacing w:val="-8"/>
          <w:w w:val="115"/>
        </w:rPr>
        <w:t> </w:t>
      </w:r>
      <w:r>
        <w:rPr>
          <w:color w:val="231F1F"/>
          <w:w w:val="115"/>
        </w:rPr>
        <w:t>avoid</w:t>
      </w:r>
      <w:r>
        <w:rPr>
          <w:color w:val="231F1F"/>
          <w:spacing w:val="-6"/>
          <w:w w:val="115"/>
        </w:rPr>
        <w:t> </w:t>
      </w:r>
      <w:r>
        <w:rPr>
          <w:color w:val="231F1F"/>
          <w:w w:val="115"/>
        </w:rPr>
        <w:t>concomitant</w:t>
      </w:r>
      <w:r>
        <w:rPr>
          <w:color w:val="231F1F"/>
          <w:spacing w:val="-8"/>
          <w:w w:val="115"/>
        </w:rPr>
        <w:t> </w:t>
      </w:r>
      <w:r>
        <w:rPr>
          <w:color w:val="231F1F"/>
          <w:w w:val="115"/>
        </w:rPr>
        <w:t>use</w:t>
      </w:r>
      <w:r>
        <w:rPr>
          <w:color w:val="231F1F"/>
          <w:spacing w:val="-5"/>
          <w:w w:val="115"/>
        </w:rPr>
        <w:t> </w:t>
      </w:r>
      <w:r>
        <w:rPr>
          <w:color w:val="231F1F"/>
          <w:w w:val="115"/>
        </w:rPr>
        <w:t>and</w:t>
      </w:r>
      <w:r>
        <w:rPr>
          <w:color w:val="231F1F"/>
          <w:spacing w:val="-6"/>
          <w:w w:val="115"/>
        </w:rPr>
        <w:t> </w:t>
      </w:r>
      <w:r>
        <w:rPr>
          <w:color w:val="231F1F"/>
          <w:w w:val="115"/>
        </w:rPr>
        <w:t>for</w:t>
      </w:r>
      <w:r>
        <w:rPr>
          <w:color w:val="231F1F"/>
          <w:spacing w:val="-6"/>
          <w:w w:val="115"/>
        </w:rPr>
        <w:t> </w:t>
      </w:r>
      <w:r>
        <w:rPr>
          <w:color w:val="231F1F"/>
          <w:w w:val="115"/>
        </w:rPr>
        <w:t>2</w:t>
      </w:r>
      <w:r>
        <w:rPr>
          <w:color w:val="231F1F"/>
          <w:spacing w:val="-6"/>
          <w:w w:val="115"/>
        </w:rPr>
        <w:t> </w:t>
      </w:r>
      <w:r>
        <w:rPr>
          <w:color w:val="231F1F"/>
          <w:w w:val="115"/>
        </w:rPr>
        <w:t>weeks</w:t>
      </w:r>
      <w:r>
        <w:rPr>
          <w:color w:val="231F1F"/>
          <w:spacing w:val="-6"/>
          <w:w w:val="115"/>
        </w:rPr>
        <w:t> </w:t>
      </w:r>
      <w:r>
        <w:rPr>
          <w:color w:val="231F1F"/>
          <w:w w:val="115"/>
        </w:rPr>
        <w:t>after</w:t>
      </w:r>
      <w:r>
        <w:rPr>
          <w:color w:val="231F1F"/>
          <w:spacing w:val="-5"/>
          <w:w w:val="115"/>
        </w:rPr>
        <w:t> </w:t>
      </w:r>
      <w:r>
        <w:rPr>
          <w:color w:val="231F1F"/>
          <w:w w:val="115"/>
        </w:rPr>
        <w:t>stopping MAOIs</w:t>
      </w:r>
    </w:p>
    <w:p>
      <w:pPr>
        <w:spacing w:line="220" w:lineRule="auto" w:before="2"/>
        <w:ind w:left="208" w:right="18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MAOIs possibly enhance hypotensive effect of </w:t>
      </w:r>
      <w:r>
        <w:rPr>
          <w:rFonts w:ascii="Calibri" w:hAnsi="Calibri"/>
          <w:color w:val="008356"/>
          <w:w w:val="105"/>
          <w:sz w:val="11"/>
        </w:rPr>
        <w:t>ANGIOTENSIN-II RECEPTOR ANTAGONISTS</w:t>
      </w:r>
    </w:p>
    <w:p>
      <w:pPr>
        <w:spacing w:line="244" w:lineRule="auto" w:before="0"/>
        <w:ind w:left="208" w:right="97"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increased risk of hypertension and CNS excitation when MAOIs given with </w:t>
      </w:r>
      <w:r>
        <w:rPr>
          <w:rFonts w:ascii="Arial"/>
          <w:color w:val="231F1F"/>
          <w:w w:val="355"/>
          <w:position w:val="1"/>
          <w:sz w:val="7"/>
        </w:rPr>
        <w:t>l </w:t>
      </w:r>
      <w:r>
        <w:rPr>
          <w:rFonts w:ascii="Calibri"/>
          <w:color w:val="008356"/>
          <w:spacing w:val="4"/>
          <w:w w:val="110"/>
          <w:sz w:val="11"/>
        </w:rPr>
        <w:t>REBOXETINE </w:t>
      </w:r>
      <w:r>
        <w:rPr>
          <w:color w:val="231F1F"/>
          <w:w w:val="110"/>
          <w:sz w:val="12"/>
        </w:rPr>
        <w:t>(MAOIs should not be started until 1 week after stopping reboxetine, avoid reboxetine for 2 weeks after stopping MAOIs); after stopping</w:t>
      </w:r>
      <w:r>
        <w:rPr>
          <w:color w:val="231F1F"/>
          <w:spacing w:val="-13"/>
          <w:w w:val="110"/>
          <w:sz w:val="12"/>
        </w:rPr>
        <w:t> </w:t>
      </w:r>
      <w:r>
        <w:rPr>
          <w:color w:val="231F1F"/>
          <w:w w:val="110"/>
          <w:sz w:val="12"/>
        </w:rPr>
        <w:t>MAOIs</w:t>
      </w:r>
      <w:r>
        <w:rPr>
          <w:color w:val="231F1F"/>
          <w:spacing w:val="-12"/>
          <w:w w:val="110"/>
          <w:sz w:val="12"/>
        </w:rPr>
        <w:t> </w:t>
      </w:r>
      <w:r>
        <w:rPr>
          <w:color w:val="231F1F"/>
          <w:w w:val="110"/>
          <w:sz w:val="12"/>
        </w:rPr>
        <w:t>do</w:t>
      </w:r>
      <w:r>
        <w:rPr>
          <w:color w:val="231F1F"/>
          <w:spacing w:val="-12"/>
          <w:w w:val="110"/>
          <w:sz w:val="12"/>
        </w:rPr>
        <w:t> </w:t>
      </w:r>
      <w:r>
        <w:rPr>
          <w:color w:val="231F1F"/>
          <w:w w:val="110"/>
          <w:sz w:val="12"/>
        </w:rPr>
        <w:t>not</w:t>
      </w:r>
      <w:r>
        <w:rPr>
          <w:color w:val="231F1F"/>
          <w:spacing w:val="-11"/>
          <w:w w:val="110"/>
          <w:sz w:val="12"/>
        </w:rPr>
        <w:t> </w:t>
      </w:r>
      <w:r>
        <w:rPr>
          <w:color w:val="231F1F"/>
          <w:w w:val="110"/>
          <w:sz w:val="12"/>
        </w:rPr>
        <w:t>start</w:t>
      </w:r>
      <w:r>
        <w:rPr>
          <w:color w:val="231F1F"/>
          <w:spacing w:val="-12"/>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CITALOPRAM</w:t>
      </w:r>
      <w:r>
        <w:rPr>
          <w:color w:val="231F1F"/>
          <w:spacing w:val="4"/>
          <w:w w:val="110"/>
          <w:sz w:val="12"/>
        </w:rPr>
        <w:t>,</w:t>
      </w:r>
      <w:r>
        <w:rPr>
          <w:color w:val="231F1F"/>
          <w:spacing w:val="-11"/>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ESCITALOPRAM</w:t>
      </w:r>
      <w:r>
        <w:rPr>
          <w:color w:val="231F1F"/>
          <w:spacing w:val="4"/>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FLUVOXAMINE</w:t>
      </w:r>
      <w:r>
        <w:rPr>
          <w:color w:val="231F1F"/>
          <w:spacing w:val="4"/>
          <w:w w:val="110"/>
          <w:sz w:val="12"/>
        </w:rPr>
        <w:t>,</w:t>
      </w:r>
      <w:r>
        <w:rPr>
          <w:color w:val="231F1F"/>
          <w:spacing w:val="-11"/>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0"/>
          <w:sz w:val="11"/>
        </w:rPr>
        <w:t>PAROXETINE</w:t>
      </w:r>
      <w:r>
        <w:rPr>
          <w:rFonts w:ascii="Calibri"/>
          <w:color w:val="008356"/>
          <w:spacing w:val="-2"/>
          <w:w w:val="110"/>
          <w:sz w:val="11"/>
        </w:rPr>
        <w:t> </w:t>
      </w:r>
      <w:r>
        <w:rPr>
          <w:color w:val="231F1F"/>
          <w:w w:val="110"/>
          <w:sz w:val="12"/>
        </w:rPr>
        <w:t>or</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SERTRALINE</w:t>
      </w:r>
      <w:r>
        <w:rPr>
          <w:rFonts w:ascii="Calibri"/>
          <w:color w:val="008356"/>
          <w:spacing w:val="-1"/>
          <w:w w:val="110"/>
          <w:sz w:val="11"/>
        </w:rPr>
        <w:t> </w:t>
      </w:r>
      <w:r>
        <w:rPr>
          <w:color w:val="231F1F"/>
          <w:w w:val="110"/>
          <w:sz w:val="12"/>
        </w:rPr>
        <w:t>for</w:t>
      </w:r>
      <w:r>
        <w:rPr>
          <w:color w:val="231F1F"/>
          <w:spacing w:val="-12"/>
          <w:w w:val="110"/>
          <w:sz w:val="12"/>
        </w:rPr>
        <w:t> </w:t>
      </w:r>
      <w:r>
        <w:rPr>
          <w:color w:val="231F1F"/>
          <w:w w:val="110"/>
          <w:sz w:val="12"/>
        </w:rPr>
        <w:t>2</w:t>
      </w:r>
      <w:r>
        <w:rPr>
          <w:color w:val="231F1F"/>
          <w:spacing w:val="-12"/>
          <w:w w:val="110"/>
          <w:sz w:val="12"/>
        </w:rPr>
        <w:t> </w:t>
      </w:r>
      <w:r>
        <w:rPr>
          <w:color w:val="231F1F"/>
          <w:w w:val="110"/>
          <w:sz w:val="12"/>
        </w:rPr>
        <w:t>weeks,</w:t>
      </w:r>
    </w:p>
    <w:p>
      <w:pPr>
        <w:pStyle w:val="BodyText"/>
        <w:spacing w:line="247" w:lineRule="auto"/>
        <w:ind w:right="69"/>
      </w:pPr>
      <w:r>
        <w:rPr>
          <w:color w:val="231F1F"/>
          <w:w w:val="110"/>
        </w:rPr>
        <w:t>also MAOIs should not be started until at least 1 week after stopping citalopram, escitalopram,  fluvoxamine,  paroxetine or sertraline; after stopping MAOIs do not start </w:t>
      </w:r>
      <w:r>
        <w:rPr>
          <w:rFonts w:ascii="Arial"/>
          <w:color w:val="231F1F"/>
          <w:w w:val="355"/>
          <w:position w:val="1"/>
          <w:sz w:val="7"/>
        </w:rPr>
        <w:t>l </w:t>
      </w:r>
      <w:r>
        <w:rPr>
          <w:rFonts w:ascii="Calibri"/>
          <w:color w:val="008356"/>
          <w:spacing w:val="4"/>
          <w:w w:val="110"/>
          <w:sz w:val="11"/>
        </w:rPr>
        <w:t>FLUOXETINE </w:t>
      </w:r>
      <w:r>
        <w:rPr>
          <w:color w:val="231F1F"/>
          <w:w w:val="110"/>
        </w:rPr>
        <w:t>for 2 weeks, also MAOIs should not be started until at least 5 weeks after stopping fluoxetine; after stopping MAOIs do </w:t>
      </w:r>
      <w:r>
        <w:rPr>
          <w:color w:val="231F1F"/>
          <w:spacing w:val="-5"/>
          <w:w w:val="110"/>
        </w:rPr>
        <w:t>not </w:t>
      </w:r>
      <w:r>
        <w:rPr>
          <w:color w:val="231F1F"/>
          <w:w w:val="110"/>
        </w:rPr>
        <w:t>start </w:t>
      </w:r>
      <w:r>
        <w:rPr>
          <w:rFonts w:ascii="Arial"/>
          <w:color w:val="231F1F"/>
          <w:w w:val="355"/>
          <w:position w:val="1"/>
          <w:sz w:val="7"/>
        </w:rPr>
        <w:t>l </w:t>
      </w:r>
      <w:r>
        <w:rPr>
          <w:rFonts w:ascii="Calibri"/>
          <w:color w:val="008356"/>
          <w:spacing w:val="4"/>
          <w:w w:val="110"/>
          <w:sz w:val="11"/>
        </w:rPr>
        <w:t>DULOXETINE </w:t>
      </w:r>
      <w:r>
        <w:rPr>
          <w:color w:val="231F1F"/>
          <w:w w:val="110"/>
        </w:rPr>
        <w:t>for 2 weeks, also MAOIs should not be started until at least 5 days after stopping duloxetine;  enhanced CNS effects and toxicity when MAOIs given</w:t>
      </w:r>
      <w:r>
        <w:rPr>
          <w:color w:val="231F1F"/>
          <w:spacing w:val="1"/>
          <w:w w:val="110"/>
        </w:rPr>
        <w:t> </w:t>
      </w:r>
      <w:r>
        <w:rPr>
          <w:color w:val="231F1F"/>
          <w:w w:val="110"/>
        </w:rPr>
        <w:t>with</w:t>
      </w:r>
    </w:p>
    <w:p>
      <w:pPr>
        <w:pStyle w:val="BodyText"/>
        <w:spacing w:line="247" w:lineRule="auto" w:before="3"/>
        <w:ind w:right="112"/>
      </w:pPr>
      <w:r>
        <w:rPr>
          <w:rFonts w:ascii="Arial"/>
          <w:color w:val="231F1F"/>
          <w:w w:val="355"/>
          <w:position w:val="1"/>
          <w:sz w:val="7"/>
        </w:rPr>
        <w:t>l </w:t>
      </w:r>
      <w:r>
        <w:rPr>
          <w:rFonts w:ascii="Calibri"/>
          <w:color w:val="008356"/>
          <w:spacing w:val="4"/>
          <w:w w:val="110"/>
          <w:sz w:val="11"/>
        </w:rPr>
        <w:t>VENLAFAXINE </w:t>
      </w:r>
      <w:r>
        <w:rPr>
          <w:color w:val="231F1F"/>
          <w:w w:val="110"/>
        </w:rPr>
        <w:t>(venlafaxine should not be started until 2 weeks after stopping MAOIs, avoid MAOIs for 1 week after stopping venlafaxine); increased risk of hypertension and CNS</w:t>
      </w:r>
      <w:r>
        <w:rPr>
          <w:color w:val="231F1F"/>
          <w:spacing w:val="-4"/>
          <w:w w:val="110"/>
        </w:rPr>
        <w:t> </w:t>
      </w:r>
      <w:r>
        <w:rPr>
          <w:color w:val="231F1F"/>
          <w:w w:val="110"/>
        </w:rPr>
        <w:t>excitation</w:t>
      </w:r>
      <w:r>
        <w:rPr>
          <w:color w:val="231F1F"/>
          <w:spacing w:val="-5"/>
          <w:w w:val="110"/>
        </w:rPr>
        <w:t> </w:t>
      </w:r>
      <w:r>
        <w:rPr>
          <w:color w:val="231F1F"/>
          <w:w w:val="110"/>
        </w:rPr>
        <w:t>when</w:t>
      </w:r>
      <w:r>
        <w:rPr>
          <w:color w:val="231F1F"/>
          <w:spacing w:val="-4"/>
          <w:w w:val="110"/>
        </w:rPr>
        <w:t> </w:t>
      </w:r>
      <w:r>
        <w:rPr>
          <w:color w:val="231F1F"/>
          <w:w w:val="110"/>
        </w:rPr>
        <w:t>MAOIs</w:t>
      </w:r>
      <w:r>
        <w:rPr>
          <w:color w:val="231F1F"/>
          <w:spacing w:val="-4"/>
          <w:w w:val="110"/>
        </w:rPr>
        <w:t> </w:t>
      </w:r>
      <w:r>
        <w:rPr>
          <w:color w:val="231F1F"/>
          <w:w w:val="110"/>
        </w:rPr>
        <w:t>given</w:t>
      </w:r>
      <w:r>
        <w:rPr>
          <w:color w:val="231F1F"/>
          <w:spacing w:val="-5"/>
          <w:w w:val="110"/>
        </w:rPr>
        <w:t> </w:t>
      </w:r>
      <w:r>
        <w:rPr>
          <w:color w:val="231F1F"/>
          <w:w w:val="110"/>
        </w:rPr>
        <w:t>with</w:t>
      </w:r>
      <w:r>
        <w:rPr>
          <w:color w:val="231F1F"/>
          <w:spacing w:val="-3"/>
          <w:w w:val="110"/>
        </w:rPr>
        <w:t> </w:t>
      </w:r>
      <w:r>
        <w:rPr>
          <w:color w:val="231F1F"/>
          <w:w w:val="110"/>
        </w:rPr>
        <w:t>other</w:t>
      </w:r>
      <w:r>
        <w:rPr>
          <w:color w:val="231F1F"/>
          <w:spacing w:val="-4"/>
          <w:w w:val="110"/>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MAOIS</w:t>
      </w:r>
      <w:r>
        <w:rPr>
          <w:rFonts w:ascii="Calibri"/>
          <w:color w:val="008356"/>
          <w:spacing w:val="7"/>
          <w:w w:val="110"/>
          <w:sz w:val="11"/>
        </w:rPr>
        <w:t> </w:t>
      </w:r>
      <w:r>
        <w:rPr>
          <w:color w:val="231F1F"/>
          <w:spacing w:val="-3"/>
          <w:w w:val="110"/>
        </w:rPr>
        <w:t>(avoid </w:t>
      </w:r>
      <w:r>
        <w:rPr>
          <w:color w:val="231F1F"/>
          <w:w w:val="110"/>
        </w:rPr>
        <w:t>for at least 2 weeks after stopping previous MAOIs and then start</w:t>
      </w:r>
      <w:r>
        <w:rPr>
          <w:color w:val="231F1F"/>
          <w:spacing w:val="7"/>
          <w:w w:val="110"/>
        </w:rPr>
        <w:t> </w:t>
      </w:r>
      <w:r>
        <w:rPr>
          <w:color w:val="231F1F"/>
          <w:w w:val="110"/>
        </w:rPr>
        <w:t>at</w:t>
      </w:r>
      <w:r>
        <w:rPr>
          <w:color w:val="231F1F"/>
          <w:spacing w:val="6"/>
          <w:w w:val="110"/>
        </w:rPr>
        <w:t> </w:t>
      </w:r>
      <w:r>
        <w:rPr>
          <w:color w:val="231F1F"/>
          <w:w w:val="110"/>
        </w:rPr>
        <w:t>a</w:t>
      </w:r>
      <w:r>
        <w:rPr>
          <w:color w:val="231F1F"/>
          <w:spacing w:val="7"/>
          <w:w w:val="110"/>
        </w:rPr>
        <w:t> </w:t>
      </w:r>
      <w:r>
        <w:rPr>
          <w:color w:val="231F1F"/>
          <w:w w:val="110"/>
        </w:rPr>
        <w:t>reduced</w:t>
      </w:r>
      <w:r>
        <w:rPr>
          <w:color w:val="231F1F"/>
          <w:spacing w:val="7"/>
          <w:w w:val="110"/>
        </w:rPr>
        <w:t> </w:t>
      </w:r>
      <w:r>
        <w:rPr>
          <w:color w:val="231F1F"/>
          <w:w w:val="110"/>
        </w:rPr>
        <w:t>dose);</w:t>
      </w:r>
      <w:r>
        <w:rPr>
          <w:color w:val="231F1F"/>
          <w:spacing w:val="7"/>
          <w:w w:val="110"/>
        </w:rPr>
        <w:t> </w:t>
      </w:r>
      <w:r>
        <w:rPr>
          <w:color w:val="231F1F"/>
          <w:w w:val="110"/>
        </w:rPr>
        <w:t>after</w:t>
      </w:r>
      <w:r>
        <w:rPr>
          <w:color w:val="231F1F"/>
          <w:spacing w:val="9"/>
          <w:w w:val="110"/>
        </w:rPr>
        <w:t> </w:t>
      </w:r>
      <w:r>
        <w:rPr>
          <w:color w:val="231F1F"/>
          <w:w w:val="110"/>
        </w:rPr>
        <w:t>stopping</w:t>
      </w:r>
      <w:r>
        <w:rPr>
          <w:color w:val="231F1F"/>
          <w:spacing w:val="5"/>
          <w:w w:val="110"/>
        </w:rPr>
        <w:t> </w:t>
      </w:r>
      <w:r>
        <w:rPr>
          <w:color w:val="231F1F"/>
          <w:w w:val="110"/>
        </w:rPr>
        <w:t>MAOIs</w:t>
      </w:r>
      <w:r>
        <w:rPr>
          <w:color w:val="231F1F"/>
          <w:spacing w:val="7"/>
          <w:w w:val="110"/>
        </w:rPr>
        <w:t> </w:t>
      </w:r>
      <w:r>
        <w:rPr>
          <w:color w:val="231F1F"/>
          <w:w w:val="110"/>
        </w:rPr>
        <w:t>do</w:t>
      </w:r>
      <w:r>
        <w:rPr>
          <w:color w:val="231F1F"/>
          <w:spacing w:val="9"/>
          <w:w w:val="110"/>
        </w:rPr>
        <w:t> </w:t>
      </w:r>
      <w:r>
        <w:rPr>
          <w:color w:val="231F1F"/>
          <w:w w:val="110"/>
        </w:rPr>
        <w:t>not</w:t>
      </w:r>
      <w:r>
        <w:rPr>
          <w:color w:val="231F1F"/>
          <w:spacing w:val="7"/>
          <w:w w:val="110"/>
        </w:rPr>
        <w:t> </w:t>
      </w:r>
      <w:r>
        <w:rPr>
          <w:color w:val="231F1F"/>
          <w:w w:val="110"/>
        </w:rPr>
        <w:t>start</w:t>
      </w:r>
    </w:p>
    <w:p>
      <w:pPr>
        <w:pStyle w:val="BodyText"/>
        <w:spacing w:line="247" w:lineRule="auto"/>
        <w:ind w:right="45"/>
      </w:pPr>
      <w:r>
        <w:rPr>
          <w:rFonts w:ascii="Arial" w:hAnsi="Arial"/>
          <w:color w:val="231F1F"/>
          <w:w w:val="355"/>
          <w:position w:val="1"/>
          <w:sz w:val="7"/>
        </w:rPr>
        <w:t>l </w:t>
      </w:r>
      <w:r>
        <w:rPr>
          <w:rFonts w:ascii="Calibri" w:hAnsi="Calibri"/>
          <w:color w:val="008356"/>
          <w:spacing w:val="4"/>
          <w:w w:val="105"/>
          <w:sz w:val="11"/>
        </w:rPr>
        <w:t>MOCLOBEMIDE </w:t>
      </w:r>
      <w:r>
        <w:rPr>
          <w:color w:val="231F1F"/>
          <w:w w:val="110"/>
        </w:rPr>
        <w:t>for at least 1 week; MAOIs increase CNS effects of </w:t>
      </w:r>
      <w:r>
        <w:rPr>
          <w:rFonts w:ascii="Arial" w:hAnsi="Arial"/>
          <w:color w:val="231F1F"/>
          <w:w w:val="355"/>
          <w:position w:val="1"/>
          <w:sz w:val="7"/>
        </w:rPr>
        <w:t>l </w:t>
      </w:r>
      <w:r>
        <w:rPr>
          <w:rFonts w:ascii="Calibri" w:hAnsi="Calibri"/>
          <w:color w:val="008356"/>
          <w:spacing w:val="4"/>
          <w:w w:val="110"/>
          <w:sz w:val="11"/>
        </w:rPr>
        <w:t>SSRIS </w:t>
      </w:r>
      <w:r>
        <w:rPr>
          <w:color w:val="231F1F"/>
          <w:w w:val="110"/>
        </w:rPr>
        <w:t>(risk of serious toxicity); after stopping MAOIs do not start </w:t>
      </w:r>
      <w:r>
        <w:rPr>
          <w:rFonts w:ascii="Arial" w:hAnsi="Arial"/>
          <w:color w:val="231F1F"/>
          <w:w w:val="355"/>
          <w:position w:val="1"/>
          <w:sz w:val="7"/>
        </w:rPr>
        <w:t>l </w:t>
      </w:r>
      <w:r>
        <w:rPr>
          <w:rFonts w:ascii="Calibri" w:hAnsi="Calibri"/>
          <w:color w:val="008356"/>
          <w:spacing w:val="4"/>
          <w:w w:val="110"/>
          <w:sz w:val="11"/>
        </w:rPr>
        <w:t>MIRTAZAPINE </w:t>
      </w:r>
      <w:r>
        <w:rPr>
          <w:color w:val="231F1F"/>
          <w:w w:val="110"/>
        </w:rPr>
        <w:t>for 2 weeks, also MAOIs should not be started until at least 2 weeks after stopping mirtazapine; after stopping MAOIs do not start </w:t>
      </w:r>
      <w:r>
        <w:rPr>
          <w:rFonts w:ascii="Arial" w:hAnsi="Arial"/>
          <w:color w:val="231F1F"/>
          <w:w w:val="355"/>
          <w:position w:val="1"/>
          <w:sz w:val="7"/>
        </w:rPr>
        <w:t>l </w:t>
      </w:r>
      <w:r>
        <w:rPr>
          <w:rFonts w:ascii="Calibri" w:hAnsi="Calibri"/>
          <w:color w:val="008356"/>
          <w:spacing w:val="4"/>
          <w:w w:val="110"/>
          <w:sz w:val="11"/>
        </w:rPr>
        <w:t>TRICYCLIC- </w:t>
      </w:r>
      <w:r>
        <w:rPr>
          <w:rFonts w:ascii="Calibri" w:hAnsi="Calibri"/>
          <w:color w:val="008356"/>
          <w:spacing w:val="3"/>
          <w:w w:val="110"/>
          <w:sz w:val="11"/>
        </w:rPr>
        <w:t>RELATED</w:t>
      </w:r>
      <w:r>
        <w:rPr>
          <w:rFonts w:ascii="Calibri" w:hAnsi="Calibri"/>
          <w:color w:val="008356"/>
          <w:spacing w:val="-7"/>
          <w:w w:val="110"/>
          <w:sz w:val="11"/>
        </w:rPr>
        <w:t> </w:t>
      </w:r>
      <w:r>
        <w:rPr>
          <w:rFonts w:ascii="Calibri" w:hAnsi="Calibri"/>
          <w:color w:val="008356"/>
          <w:spacing w:val="4"/>
          <w:w w:val="110"/>
          <w:sz w:val="11"/>
        </w:rPr>
        <w:t>ANTIDEPRESSANTS</w:t>
      </w:r>
      <w:r>
        <w:rPr>
          <w:rFonts w:ascii="Calibri" w:hAnsi="Calibri"/>
          <w:color w:val="008356"/>
          <w:spacing w:val="-2"/>
          <w:w w:val="110"/>
          <w:sz w:val="11"/>
        </w:rPr>
        <w:t> </w:t>
      </w:r>
      <w:r>
        <w:rPr>
          <w:color w:val="231F1F"/>
          <w:w w:val="110"/>
        </w:rPr>
        <w:t>for</w:t>
      </w:r>
      <w:r>
        <w:rPr>
          <w:color w:val="231F1F"/>
          <w:spacing w:val="-12"/>
          <w:w w:val="110"/>
        </w:rPr>
        <w:t> </w:t>
      </w:r>
      <w:r>
        <w:rPr>
          <w:color w:val="231F1F"/>
          <w:w w:val="110"/>
        </w:rPr>
        <w:t>2</w:t>
      </w:r>
      <w:r>
        <w:rPr>
          <w:color w:val="231F1F"/>
          <w:spacing w:val="-13"/>
          <w:w w:val="110"/>
        </w:rPr>
        <w:t> </w:t>
      </w:r>
      <w:r>
        <w:rPr>
          <w:color w:val="231F1F"/>
          <w:w w:val="110"/>
        </w:rPr>
        <w:t>weeks,</w:t>
      </w:r>
      <w:r>
        <w:rPr>
          <w:color w:val="231F1F"/>
          <w:spacing w:val="-12"/>
          <w:w w:val="110"/>
        </w:rPr>
        <w:t> </w:t>
      </w:r>
      <w:r>
        <w:rPr>
          <w:color w:val="231F1F"/>
          <w:w w:val="110"/>
        </w:rPr>
        <w:t>also</w:t>
      </w:r>
      <w:r>
        <w:rPr>
          <w:color w:val="231F1F"/>
          <w:spacing w:val="-12"/>
          <w:w w:val="110"/>
        </w:rPr>
        <w:t> </w:t>
      </w:r>
      <w:r>
        <w:rPr>
          <w:color w:val="231F1F"/>
          <w:w w:val="110"/>
        </w:rPr>
        <w:t>MAOIs</w:t>
      </w:r>
      <w:r>
        <w:rPr>
          <w:color w:val="231F1F"/>
          <w:spacing w:val="-13"/>
          <w:w w:val="110"/>
        </w:rPr>
        <w:t> </w:t>
      </w:r>
      <w:r>
        <w:rPr>
          <w:color w:val="231F1F"/>
          <w:w w:val="110"/>
        </w:rPr>
        <w:t>should</w:t>
      </w:r>
      <w:r>
        <w:rPr>
          <w:color w:val="231F1F"/>
          <w:spacing w:val="-12"/>
          <w:w w:val="110"/>
        </w:rPr>
        <w:t> </w:t>
      </w:r>
      <w:r>
        <w:rPr>
          <w:color w:val="231F1F"/>
          <w:w w:val="110"/>
        </w:rPr>
        <w:t>not be started until at least 1</w:t>
      </w:r>
      <w:r>
        <w:rPr>
          <w:rFonts w:ascii="Arial" w:hAnsi="Arial"/>
          <w:color w:val="231F1F"/>
          <w:w w:val="110"/>
        </w:rPr>
        <w:t>–</w:t>
      </w:r>
      <w:r>
        <w:rPr>
          <w:color w:val="231F1F"/>
          <w:w w:val="110"/>
        </w:rPr>
        <w:t>2 weeks after stopping tricyclic- related antidepressants; increased risk of hypertension  and CNS excitation when MAOIs given with </w:t>
      </w:r>
      <w:r>
        <w:rPr>
          <w:rFonts w:ascii="Arial" w:hAnsi="Arial"/>
          <w:color w:val="231F1F"/>
          <w:w w:val="355"/>
          <w:position w:val="1"/>
          <w:sz w:val="7"/>
        </w:rPr>
        <w:t>l </w:t>
      </w:r>
      <w:r>
        <w:rPr>
          <w:rFonts w:ascii="Calibri" w:hAnsi="Calibri"/>
          <w:color w:val="008356"/>
          <w:spacing w:val="4"/>
          <w:w w:val="110"/>
          <w:sz w:val="11"/>
        </w:rPr>
        <w:t>TRICYCLICS</w:t>
      </w:r>
      <w:r>
        <w:rPr>
          <w:color w:val="231F1F"/>
          <w:spacing w:val="4"/>
          <w:w w:val="110"/>
        </w:rPr>
        <w:t>, </w:t>
      </w:r>
      <w:r>
        <w:rPr>
          <w:color w:val="231F1F"/>
          <w:w w:val="110"/>
        </w:rPr>
        <w:t>tricyclics should not be started until 2 weeks after stopping MAOIs (3 weeks if starting clomipramine or imipramine),  also MAOIs should not be started for at least 1</w:t>
      </w:r>
      <w:r>
        <w:rPr>
          <w:rFonts w:ascii="Arial" w:hAnsi="Arial"/>
          <w:color w:val="231F1F"/>
          <w:w w:val="110"/>
        </w:rPr>
        <w:t>–</w:t>
      </w:r>
      <w:r>
        <w:rPr>
          <w:color w:val="231F1F"/>
          <w:w w:val="110"/>
        </w:rPr>
        <w:t>2 weeks after stopping tricyclics (3 weeks in the case of clomipramine or imipramine)</w:t>
      </w:r>
    </w:p>
    <w:p>
      <w:pPr>
        <w:spacing w:line="232" w:lineRule="auto" w:before="0"/>
        <w:ind w:left="208" w:right="19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Antidiabetics: </w:t>
      </w:r>
      <w:r>
        <w:rPr>
          <w:color w:val="231F1F"/>
          <w:w w:val="105"/>
          <w:sz w:val="12"/>
        </w:rPr>
        <w:t>MAOIs possibly enhance hypoglycaemic </w:t>
      </w:r>
      <w:r>
        <w:rPr>
          <w:color w:val="231F1F"/>
          <w:spacing w:val="-3"/>
          <w:w w:val="105"/>
          <w:sz w:val="12"/>
        </w:rPr>
        <w:t>effect </w:t>
      </w:r>
      <w:r>
        <w:rPr>
          <w:color w:val="231F1F"/>
          <w:w w:val="105"/>
          <w:sz w:val="12"/>
        </w:rPr>
        <w:t>of </w:t>
      </w:r>
      <w:r>
        <w:rPr>
          <w:rFonts w:ascii="Calibri" w:hAnsi="Calibri"/>
          <w:color w:val="008356"/>
          <w:spacing w:val="4"/>
          <w:w w:val="105"/>
          <w:sz w:val="11"/>
        </w:rPr>
        <w:t>ANTIDIABETICS</w:t>
      </w:r>
      <w:r>
        <w:rPr>
          <w:color w:val="231F1F"/>
          <w:spacing w:val="4"/>
          <w:w w:val="105"/>
          <w:sz w:val="12"/>
        </w:rPr>
        <w:t>; </w:t>
      </w:r>
      <w:r>
        <w:rPr>
          <w:color w:val="231F1F"/>
          <w:w w:val="105"/>
          <w:sz w:val="12"/>
        </w:rPr>
        <w:t>MAOIs enhance hypoglycaemic effect of </w:t>
      </w:r>
      <w:r>
        <w:rPr>
          <w:rFonts w:ascii="Calibri" w:hAnsi="Calibri"/>
          <w:color w:val="008356"/>
          <w:spacing w:val="4"/>
          <w:w w:val="105"/>
          <w:sz w:val="11"/>
        </w:rPr>
        <w:t>INSULIN</w:t>
      </w:r>
      <w:r>
        <w:rPr>
          <w:color w:val="231F1F"/>
          <w:spacing w:val="4"/>
          <w:w w:val="105"/>
          <w:sz w:val="12"/>
        </w:rPr>
        <w:t>, </w:t>
      </w:r>
      <w:r>
        <w:rPr>
          <w:rFonts w:ascii="Calibri" w:hAnsi="Calibri"/>
          <w:color w:val="008356"/>
          <w:spacing w:val="4"/>
          <w:w w:val="105"/>
          <w:sz w:val="11"/>
        </w:rPr>
        <w:t>METFORMIN </w:t>
      </w:r>
      <w:r>
        <w:rPr>
          <w:color w:val="231F1F"/>
          <w:w w:val="105"/>
          <w:sz w:val="12"/>
        </w:rPr>
        <w:t>and</w:t>
      </w:r>
      <w:r>
        <w:rPr>
          <w:color w:val="231F1F"/>
          <w:spacing w:val="-5"/>
          <w:w w:val="105"/>
          <w:sz w:val="12"/>
        </w:rPr>
        <w:t> </w:t>
      </w:r>
      <w:r>
        <w:rPr>
          <w:rFonts w:ascii="Calibri" w:hAnsi="Calibri"/>
          <w:color w:val="008356"/>
          <w:spacing w:val="5"/>
          <w:w w:val="105"/>
          <w:sz w:val="11"/>
        </w:rPr>
        <w:t>SULFONYLUREAS</w:t>
      </w:r>
    </w:p>
    <w:p>
      <w:pPr>
        <w:pStyle w:val="BodyText"/>
        <w:ind w:right="116" w:hanging="100"/>
      </w:pPr>
      <w:r>
        <w:rPr>
          <w:rFonts w:ascii="Arial"/>
          <w:color w:val="231F1F"/>
          <w:w w:val="355"/>
          <w:position w:val="1"/>
          <w:sz w:val="7"/>
        </w:rPr>
        <w:t>l </w:t>
      </w:r>
      <w:r>
        <w:rPr>
          <w:rFonts w:ascii="Calibri"/>
          <w:color w:val="231F1F"/>
          <w:w w:val="110"/>
        </w:rPr>
        <w:t>Antiepileptics: </w:t>
      </w:r>
      <w:r>
        <w:rPr>
          <w:color w:val="231F1F"/>
          <w:w w:val="110"/>
        </w:rPr>
        <w:t>MAOIs possibly antagonise anticonvulsant effect of </w:t>
      </w:r>
      <w:r>
        <w:rPr>
          <w:rFonts w:ascii="Calibri"/>
          <w:color w:val="008356"/>
          <w:w w:val="110"/>
          <w:sz w:val="11"/>
        </w:rPr>
        <w:t>ANTIEPILEPTICS </w:t>
      </w:r>
      <w:r>
        <w:rPr>
          <w:color w:val="231F1F"/>
          <w:w w:val="110"/>
        </w:rPr>
        <w:t>(convulsive threshold lowered);</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MAOIs</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4768" filled="true" fillcolor="#bfdbcf" stroked="false">
            <v:fill type="solid"/>
            <w10:wrap type="none"/>
          </v:rect>
        </w:pict>
      </w:r>
      <w:r>
        <w:rPr/>
        <w:pict>
          <v:shape style="position:absolute;margin-left:399.725769pt;margin-top:-3.416702pt;width:10.4pt;height:78.850pt;mso-position-horizontal-relative:page;mso-position-vertical-relative:paragraph;z-index:479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Antiepileptics (continued)</w:t>
      </w:r>
    </w:p>
    <w:p>
      <w:pPr>
        <w:pStyle w:val="BodyText"/>
        <w:spacing w:line="247" w:lineRule="auto"/>
        <w:ind w:right="670"/>
      </w:pPr>
      <w:r>
        <w:rPr>
          <w:color w:val="231F1F"/>
          <w:w w:val="110"/>
        </w:rPr>
        <w:t>avoidance for 2 weeks after stopping MAOIs advised by manufacturer of </w:t>
      </w:r>
      <w:r>
        <w:rPr>
          <w:rFonts w:ascii="Arial"/>
          <w:color w:val="231F1F"/>
          <w:w w:val="355"/>
          <w:position w:val="1"/>
          <w:sz w:val="7"/>
        </w:rPr>
        <w:t>l </w:t>
      </w:r>
      <w:r>
        <w:rPr>
          <w:rFonts w:ascii="Calibri"/>
          <w:color w:val="008356"/>
          <w:w w:val="110"/>
          <w:sz w:val="11"/>
        </w:rPr>
        <w:t>CARBAMAZEPINE</w:t>
      </w:r>
      <w:r>
        <w:rPr>
          <w:color w:val="231F1F"/>
          <w:w w:val="110"/>
        </w:rPr>
        <w:t>, also antagonism of anticonvulsant effect</w:t>
      </w:r>
    </w:p>
    <w:p>
      <w:pPr>
        <w:pStyle w:val="BodyText"/>
        <w:spacing w:line="237" w:lineRule="auto"/>
        <w:ind w:right="62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Antihistamines: </w:t>
      </w:r>
      <w:r>
        <w:rPr>
          <w:color w:val="231F1F"/>
          <w:w w:val="110"/>
        </w:rPr>
        <w:t>avoidance of MAOIs advised by manufacturer of </w:t>
      </w:r>
      <w:r>
        <w:rPr>
          <w:rFonts w:ascii="Calibri" w:hAnsi="Calibri"/>
          <w:color w:val="008356"/>
          <w:w w:val="110"/>
          <w:sz w:val="11"/>
        </w:rPr>
        <w:t>HYDROXYZINE</w:t>
      </w:r>
      <w:r>
        <w:rPr>
          <w:color w:val="231F1F"/>
          <w:w w:val="110"/>
        </w:rPr>
        <w:t>; avoidance of promethazine for 2 weeks after stopping MAOIs advised by manufacturer of </w:t>
      </w:r>
      <w:r>
        <w:rPr>
          <w:rFonts w:ascii="Calibri" w:hAnsi="Calibri"/>
          <w:color w:val="008356"/>
          <w:w w:val="110"/>
          <w:sz w:val="11"/>
        </w:rPr>
        <w:t>PROMETHAZINE</w:t>
      </w:r>
      <w:r>
        <w:rPr>
          <w:color w:val="231F1F"/>
          <w:w w:val="110"/>
        </w:rPr>
        <w:t>; increased antimuscarinic and sedative effects when MAOIs given with </w:t>
      </w:r>
      <w:r>
        <w:rPr>
          <w:rFonts w:ascii="Calibri" w:hAnsi="Calibri"/>
          <w:color w:val="008356"/>
          <w:w w:val="110"/>
          <w:sz w:val="11"/>
        </w:rPr>
        <w:t>ANTIHISTAMINES</w:t>
      </w:r>
    </w:p>
    <w:p>
      <w:pPr>
        <w:spacing w:line="247" w:lineRule="auto" w:before="0"/>
        <w:ind w:left="208" w:right="1049"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40"/>
          <w:position w:val="1"/>
          <w:sz w:val="7"/>
        </w:rPr>
        <w:t>l</w:t>
      </w:r>
      <w:r>
        <w:rPr>
          <w:rFonts w:ascii="Arial"/>
          <w:color w:val="231F1F"/>
          <w:spacing w:val="-57"/>
          <w:w w:val="340"/>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pStyle w:val="BodyText"/>
        <w:spacing w:line="220" w:lineRule="auto"/>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increased risk of antimuscarinic side-effects when MAOIs given with </w:t>
      </w:r>
      <w:r>
        <w:rPr>
          <w:rFonts w:ascii="Calibri" w:hAnsi="Calibri"/>
          <w:color w:val="008356"/>
          <w:w w:val="110"/>
          <w:sz w:val="11"/>
        </w:rPr>
        <w:t>ANTIMUSCARINICS</w:t>
      </w:r>
    </w:p>
    <w:p>
      <w:pPr>
        <w:pStyle w:val="BodyText"/>
        <w:spacing w:line="146" w:lineRule="exact"/>
        <w:ind w:left="108"/>
      </w:pPr>
      <w:r>
        <w:rPr>
          <w:rFonts w:ascii="Arial"/>
          <w:color w:val="231F1F"/>
          <w:w w:val="355"/>
          <w:position w:val="1"/>
          <w:sz w:val="7"/>
        </w:rPr>
        <w:t>l</w:t>
      </w:r>
      <w:r>
        <w:rPr>
          <w:rFonts w:ascii="Arial"/>
          <w:color w:val="231F1F"/>
          <w:spacing w:val="-58"/>
          <w:w w:val="355"/>
          <w:position w:val="1"/>
          <w:sz w:val="7"/>
        </w:rPr>
        <w:t> </w:t>
      </w:r>
      <w:r>
        <w:rPr>
          <w:rFonts w:ascii="Calibri"/>
          <w:color w:val="231F1F"/>
          <w:w w:val="110"/>
        </w:rPr>
        <w:t>Antipsychotics: </w:t>
      </w:r>
      <w:r>
        <w:rPr>
          <w:color w:val="231F1F"/>
          <w:w w:val="110"/>
        </w:rPr>
        <w:t>CNS effects of MAOIs possibly increased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CLOZAPINE</w:t>
      </w:r>
    </w:p>
    <w:p>
      <w:pPr>
        <w:pStyle w:val="BodyText"/>
        <w:spacing w:line="242" w:lineRule="auto"/>
        <w:ind w:right="759" w:hanging="100"/>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Anxiolytics</w:t>
      </w:r>
      <w:r>
        <w:rPr>
          <w:rFonts w:ascii="Calibri"/>
          <w:color w:val="231F1F"/>
          <w:spacing w:val="-16"/>
          <w:w w:val="115"/>
        </w:rPr>
        <w:t> </w:t>
      </w:r>
      <w:r>
        <w:rPr>
          <w:rFonts w:ascii="Calibri"/>
          <w:color w:val="231F1F"/>
          <w:w w:val="115"/>
        </w:rPr>
        <w:t>and</w:t>
      </w:r>
      <w:r>
        <w:rPr>
          <w:rFonts w:ascii="Calibri"/>
          <w:color w:val="231F1F"/>
          <w:spacing w:val="-15"/>
          <w:w w:val="115"/>
        </w:rPr>
        <w:t> </w:t>
      </w:r>
      <w:r>
        <w:rPr>
          <w:rFonts w:ascii="Calibri"/>
          <w:color w:val="231F1F"/>
          <w:w w:val="115"/>
        </w:rPr>
        <w:t>Hypnotics:</w:t>
      </w:r>
      <w:r>
        <w:rPr>
          <w:rFonts w:ascii="Calibri"/>
          <w:color w:val="231F1F"/>
          <w:spacing w:val="-16"/>
          <w:w w:val="115"/>
        </w:rPr>
        <w:t> </w:t>
      </w:r>
      <w:r>
        <w:rPr>
          <w:color w:val="231F1F"/>
          <w:w w:val="115"/>
        </w:rPr>
        <w:t>avoidance</w:t>
      </w:r>
      <w:r>
        <w:rPr>
          <w:color w:val="231F1F"/>
          <w:spacing w:val="-19"/>
          <w:w w:val="115"/>
        </w:rPr>
        <w:t> </w:t>
      </w:r>
      <w:r>
        <w:rPr>
          <w:color w:val="231F1F"/>
          <w:w w:val="115"/>
        </w:rPr>
        <w:t>of</w:t>
      </w:r>
      <w:r>
        <w:rPr>
          <w:color w:val="231F1F"/>
          <w:spacing w:val="-18"/>
          <w:w w:val="115"/>
        </w:rPr>
        <w:t> </w:t>
      </w:r>
      <w:r>
        <w:rPr>
          <w:color w:val="231F1F"/>
          <w:w w:val="115"/>
        </w:rPr>
        <w:t>MAOIs</w:t>
      </w:r>
      <w:r>
        <w:rPr>
          <w:color w:val="231F1F"/>
          <w:spacing w:val="-19"/>
          <w:w w:val="115"/>
        </w:rPr>
        <w:t> </w:t>
      </w:r>
      <w:r>
        <w:rPr>
          <w:color w:val="231F1F"/>
          <w:w w:val="115"/>
        </w:rPr>
        <w:t>advised</w:t>
      </w:r>
      <w:r>
        <w:rPr>
          <w:color w:val="231F1F"/>
          <w:spacing w:val="-19"/>
          <w:w w:val="115"/>
        </w:rPr>
        <w:t> </w:t>
      </w:r>
      <w:r>
        <w:rPr>
          <w:color w:val="231F1F"/>
          <w:w w:val="115"/>
        </w:rPr>
        <w:t>by manufacturer of </w:t>
      </w:r>
      <w:r>
        <w:rPr>
          <w:rFonts w:ascii="Calibri"/>
          <w:color w:val="008356"/>
          <w:spacing w:val="4"/>
          <w:w w:val="115"/>
          <w:sz w:val="11"/>
        </w:rPr>
        <w:t>BUSPIRONE</w:t>
      </w:r>
      <w:r>
        <w:rPr>
          <w:color w:val="231F1F"/>
          <w:spacing w:val="4"/>
          <w:w w:val="115"/>
        </w:rPr>
        <w:t>; </w:t>
      </w:r>
      <w:r>
        <w:rPr>
          <w:color w:val="231F1F"/>
          <w:w w:val="115"/>
        </w:rPr>
        <w:t>manufacturer of tranylcypromine</w:t>
      </w:r>
      <w:r>
        <w:rPr>
          <w:color w:val="231F1F"/>
          <w:spacing w:val="-17"/>
          <w:w w:val="115"/>
        </w:rPr>
        <w:t> </w:t>
      </w:r>
      <w:r>
        <w:rPr>
          <w:color w:val="231F1F"/>
          <w:w w:val="115"/>
        </w:rPr>
        <w:t>advises</w:t>
      </w:r>
      <w:r>
        <w:rPr>
          <w:color w:val="231F1F"/>
          <w:spacing w:val="-18"/>
          <w:w w:val="115"/>
        </w:rPr>
        <w:t> </w:t>
      </w:r>
      <w:r>
        <w:rPr>
          <w:color w:val="231F1F"/>
          <w:w w:val="115"/>
        </w:rPr>
        <w:t>avoid</w:t>
      </w:r>
      <w:r>
        <w:rPr>
          <w:color w:val="231F1F"/>
          <w:spacing w:val="-17"/>
          <w:w w:val="115"/>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BUSPIRONE</w:t>
      </w:r>
      <w:r>
        <w:rPr>
          <w:rFonts w:ascii="Calibri"/>
          <w:color w:val="008356"/>
          <w:spacing w:val="-8"/>
          <w:w w:val="115"/>
          <w:sz w:val="11"/>
        </w:rPr>
        <w:t> </w:t>
      </w:r>
      <w:r>
        <w:rPr>
          <w:color w:val="231F1F"/>
          <w:w w:val="115"/>
        </w:rPr>
        <w:t>for</w:t>
      </w:r>
      <w:r>
        <w:rPr>
          <w:color w:val="231F1F"/>
          <w:spacing w:val="-16"/>
          <w:w w:val="115"/>
        </w:rPr>
        <w:t> </w:t>
      </w:r>
      <w:r>
        <w:rPr>
          <w:color w:val="231F1F"/>
          <w:w w:val="115"/>
        </w:rPr>
        <w:t>14</w:t>
      </w:r>
      <w:r>
        <w:rPr>
          <w:color w:val="231F1F"/>
          <w:spacing w:val="-18"/>
          <w:w w:val="115"/>
        </w:rPr>
        <w:t> </w:t>
      </w:r>
      <w:r>
        <w:rPr>
          <w:color w:val="231F1F"/>
          <w:w w:val="115"/>
        </w:rPr>
        <w:t>days</w:t>
      </w:r>
      <w:r>
        <w:rPr>
          <w:color w:val="231F1F"/>
          <w:spacing w:val="-17"/>
          <w:w w:val="115"/>
        </w:rPr>
        <w:t> </w:t>
      </w:r>
      <w:r>
        <w:rPr>
          <w:color w:val="231F1F"/>
          <w:spacing w:val="-3"/>
          <w:w w:val="115"/>
        </w:rPr>
        <w:t>after </w:t>
      </w:r>
      <w:r>
        <w:rPr>
          <w:color w:val="231F1F"/>
          <w:w w:val="115"/>
        </w:rPr>
        <w:t>stopping</w:t>
      </w:r>
      <w:r>
        <w:rPr>
          <w:color w:val="231F1F"/>
          <w:spacing w:val="-5"/>
          <w:w w:val="115"/>
        </w:rPr>
        <w:t> </w:t>
      </w:r>
      <w:r>
        <w:rPr>
          <w:color w:val="231F1F"/>
          <w:w w:val="115"/>
        </w:rPr>
        <w:t>tranylcypromine</w:t>
      </w:r>
    </w:p>
    <w:p>
      <w:pPr>
        <w:pStyle w:val="BodyText"/>
        <w:spacing w:line="244" w:lineRule="auto"/>
        <w:ind w:right="666" w:hanging="100"/>
        <w:rPr>
          <w:rFonts w:ascii="Calibri"/>
          <w:sz w:val="11"/>
        </w:rPr>
      </w:pPr>
      <w:r>
        <w:rPr>
          <w:rFonts w:ascii="Arial"/>
          <w:color w:val="231F1F"/>
          <w:w w:val="355"/>
          <w:position w:val="1"/>
          <w:sz w:val="7"/>
        </w:rPr>
        <w:t>l</w:t>
      </w:r>
      <w:r>
        <w:rPr>
          <w:rFonts w:ascii="Arial"/>
          <w:color w:val="231F1F"/>
          <w:spacing w:val="-42"/>
          <w:w w:val="355"/>
          <w:position w:val="1"/>
          <w:sz w:val="7"/>
        </w:rPr>
        <w:t> </w:t>
      </w:r>
      <w:r>
        <w:rPr>
          <w:rFonts w:ascii="Calibri"/>
          <w:color w:val="231F1F"/>
          <w:w w:val="110"/>
        </w:rPr>
        <w:t>Atomoxetine:</w:t>
      </w:r>
      <w:r>
        <w:rPr>
          <w:rFonts w:ascii="Calibri"/>
          <w:color w:val="231F1F"/>
          <w:spacing w:val="-9"/>
          <w:w w:val="110"/>
        </w:rPr>
        <w:t> </w:t>
      </w:r>
      <w:r>
        <w:rPr>
          <w:color w:val="231F1F"/>
          <w:w w:val="110"/>
        </w:rPr>
        <w:t>after</w:t>
      </w:r>
      <w:r>
        <w:rPr>
          <w:color w:val="231F1F"/>
          <w:spacing w:val="-11"/>
          <w:w w:val="110"/>
        </w:rPr>
        <w:t> </w:t>
      </w:r>
      <w:r>
        <w:rPr>
          <w:color w:val="231F1F"/>
          <w:w w:val="110"/>
        </w:rPr>
        <w:t>stopping</w:t>
      </w:r>
      <w:r>
        <w:rPr>
          <w:color w:val="231F1F"/>
          <w:spacing w:val="-13"/>
          <w:w w:val="110"/>
        </w:rPr>
        <w:t> </w:t>
      </w:r>
      <w:r>
        <w:rPr>
          <w:color w:val="231F1F"/>
          <w:w w:val="110"/>
        </w:rPr>
        <w:t>MAOIs</w:t>
      </w:r>
      <w:r>
        <w:rPr>
          <w:color w:val="231F1F"/>
          <w:spacing w:val="-12"/>
          <w:w w:val="110"/>
        </w:rPr>
        <w:t> </w:t>
      </w:r>
      <w:r>
        <w:rPr>
          <w:color w:val="231F1F"/>
          <w:w w:val="110"/>
        </w:rPr>
        <w:t>do</w:t>
      </w:r>
      <w:r>
        <w:rPr>
          <w:color w:val="231F1F"/>
          <w:spacing w:val="-12"/>
          <w:w w:val="110"/>
        </w:rPr>
        <w:t> </w:t>
      </w:r>
      <w:r>
        <w:rPr>
          <w:color w:val="231F1F"/>
          <w:w w:val="110"/>
        </w:rPr>
        <w:t>not</w:t>
      </w:r>
      <w:r>
        <w:rPr>
          <w:color w:val="231F1F"/>
          <w:spacing w:val="-11"/>
          <w:w w:val="110"/>
        </w:rPr>
        <w:t> </w:t>
      </w:r>
      <w:r>
        <w:rPr>
          <w:color w:val="231F1F"/>
          <w:w w:val="110"/>
        </w:rPr>
        <w:t>start</w:t>
      </w:r>
      <w:r>
        <w:rPr>
          <w:color w:val="231F1F"/>
          <w:spacing w:val="-12"/>
          <w:w w:val="110"/>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0"/>
          <w:sz w:val="11"/>
        </w:rPr>
        <w:t>ATOMOXETINE </w:t>
      </w:r>
      <w:r>
        <w:rPr>
          <w:color w:val="231F1F"/>
          <w:w w:val="110"/>
        </w:rPr>
        <w:t>for 2 weeks, also MAOIs should not be started until at least 2 weeks after stopping atomoxetine; possible increased risk of convulsions when antidepressants given with</w:t>
      </w:r>
      <w:r>
        <w:rPr>
          <w:color w:val="231F1F"/>
          <w:spacing w:val="-11"/>
          <w:w w:val="110"/>
        </w:rPr>
        <w:t> </w:t>
      </w:r>
      <w:r>
        <w:rPr>
          <w:rFonts w:ascii="Calibri"/>
          <w:color w:val="008356"/>
          <w:spacing w:val="3"/>
          <w:w w:val="110"/>
          <w:sz w:val="11"/>
        </w:rPr>
        <w:t>ATOMOXETINE</w:t>
      </w:r>
    </w:p>
    <w:p>
      <w:pPr>
        <w:pStyle w:val="BodyText"/>
        <w:spacing w:line="220" w:lineRule="auto" w:before="2"/>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enhanced hypotensive effect when MAOIs given with </w:t>
      </w:r>
      <w:r>
        <w:rPr>
          <w:rFonts w:ascii="Calibri" w:hAnsi="Calibri"/>
          <w:color w:val="008356"/>
          <w:w w:val="105"/>
          <w:sz w:val="11"/>
        </w:rPr>
        <w:t>BETA-BLOCKERS</w:t>
      </w:r>
    </w:p>
    <w:p>
      <w:pPr>
        <w:pStyle w:val="BodyText"/>
        <w:ind w:right="625" w:hanging="100"/>
        <w:rPr>
          <w:rFonts w:ascii="Calibri"/>
          <w:sz w:val="11"/>
        </w:rPr>
      </w:pPr>
      <w:r>
        <w:rPr>
          <w:rFonts w:ascii="Arial"/>
          <w:color w:val="231F1F"/>
          <w:w w:val="355"/>
          <w:position w:val="1"/>
          <w:sz w:val="7"/>
        </w:rPr>
        <w:t>l </w:t>
      </w:r>
      <w:r>
        <w:rPr>
          <w:rFonts w:ascii="Calibri"/>
          <w:color w:val="231F1F"/>
          <w:w w:val="110"/>
        </w:rPr>
        <w:t>Bupropion: </w:t>
      </w:r>
      <w:r>
        <w:rPr>
          <w:color w:val="231F1F"/>
          <w:w w:val="110"/>
        </w:rPr>
        <w:t>avoidance of bupropion for 2 weeks after stopping MAOIs advised by manufacturer of </w:t>
      </w:r>
      <w:r>
        <w:rPr>
          <w:rFonts w:ascii="Arial"/>
          <w:color w:val="231F1F"/>
          <w:w w:val="355"/>
          <w:position w:val="1"/>
          <w:sz w:val="7"/>
        </w:rPr>
        <w:t>l</w:t>
      </w:r>
      <w:r>
        <w:rPr>
          <w:rFonts w:ascii="Arial"/>
          <w:color w:val="231F1F"/>
          <w:spacing w:val="-61"/>
          <w:w w:val="355"/>
          <w:position w:val="1"/>
          <w:sz w:val="7"/>
        </w:rPr>
        <w:t> </w:t>
      </w:r>
      <w:r>
        <w:rPr>
          <w:rFonts w:ascii="Calibri"/>
          <w:color w:val="008356"/>
          <w:spacing w:val="5"/>
          <w:w w:val="110"/>
          <w:sz w:val="11"/>
        </w:rPr>
        <w:t>BUPROPION</w:t>
      </w:r>
    </w:p>
    <w:p>
      <w:pPr>
        <w:spacing w:line="220" w:lineRule="auto" w:before="6"/>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MAOIs given with </w:t>
      </w:r>
      <w:r>
        <w:rPr>
          <w:rFonts w:ascii="Calibri" w:hAnsi="Calibri"/>
          <w:color w:val="008356"/>
          <w:w w:val="105"/>
          <w:sz w:val="11"/>
        </w:rPr>
        <w:t>CALCIUM-CHANNEL BLOCKERS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MAOIs given with </w:t>
      </w:r>
      <w:r>
        <w:rPr>
          <w:rFonts w:ascii="Calibri" w:hAnsi="Calibri"/>
          <w:color w:val="008356"/>
          <w:w w:val="105"/>
          <w:sz w:val="11"/>
        </w:rPr>
        <w:t>CLONIDINE</w:t>
      </w:r>
    </w:p>
    <w:p>
      <w:pPr>
        <w:pStyle w:val="BodyText"/>
        <w:spacing w:line="244" w:lineRule="auto"/>
        <w:ind w:right="665" w:hanging="100"/>
        <w:jc w:val="both"/>
      </w:pPr>
      <w:r>
        <w:rPr>
          <w:rFonts w:ascii="Arial"/>
          <w:color w:val="231F1F"/>
          <w:w w:val="355"/>
          <w:position w:val="1"/>
          <w:sz w:val="7"/>
        </w:rPr>
        <w:t>l</w:t>
      </w:r>
      <w:r>
        <w:rPr>
          <w:rFonts w:ascii="Arial"/>
          <w:color w:val="231F1F"/>
          <w:spacing w:val="-58"/>
          <w:w w:val="355"/>
          <w:position w:val="1"/>
          <w:sz w:val="7"/>
        </w:rPr>
        <w:t> </w:t>
      </w:r>
      <w:r>
        <w:rPr>
          <w:rFonts w:ascii="Calibri"/>
          <w:color w:val="231F1F"/>
          <w:w w:val="110"/>
        </w:rPr>
        <w:t>Dapoxetine: </w:t>
      </w:r>
      <w:r>
        <w:rPr>
          <w:color w:val="231F1F"/>
          <w:w w:val="110"/>
        </w:rPr>
        <w:t>increased risk of serotonergic effects when MAOIs given with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DAPOXETINE </w:t>
      </w:r>
      <w:r>
        <w:rPr>
          <w:color w:val="231F1F"/>
          <w:w w:val="110"/>
        </w:rPr>
        <w:t>(MAOIs should not be started until 1 week after stopping dapoxetine, avoid dapoxetine for 2 </w:t>
      </w:r>
      <w:r>
        <w:rPr>
          <w:color w:val="231F1F"/>
          <w:spacing w:val="-3"/>
          <w:w w:val="110"/>
        </w:rPr>
        <w:t>weeks </w:t>
      </w:r>
      <w:r>
        <w:rPr>
          <w:color w:val="231F1F"/>
          <w:w w:val="110"/>
        </w:rPr>
        <w:t>after stopping</w:t>
      </w:r>
      <w:r>
        <w:rPr>
          <w:color w:val="231F1F"/>
          <w:spacing w:val="-4"/>
          <w:w w:val="110"/>
        </w:rPr>
        <w:t> </w:t>
      </w:r>
      <w:r>
        <w:rPr>
          <w:color w:val="231F1F"/>
          <w:w w:val="110"/>
        </w:rPr>
        <w:t>MAOIs)</w:t>
      </w:r>
    </w:p>
    <w:p>
      <w:pPr>
        <w:pStyle w:val="BodyText"/>
        <w:spacing w:line="220" w:lineRule="auto" w:before="6"/>
        <w:ind w:right="854"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MAOIs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DIAZOXIDE</w:t>
      </w:r>
    </w:p>
    <w:p>
      <w:pPr>
        <w:pStyle w:val="BodyText"/>
        <w:spacing w:line="220" w:lineRule="auto" w:before="8"/>
        <w:ind w:right="89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MAOIs </w:t>
      </w:r>
      <w:r>
        <w:rPr>
          <w:color w:val="231F1F"/>
          <w:spacing w:val="-3"/>
          <w:w w:val="105"/>
        </w:rPr>
        <w:t>given </w:t>
      </w:r>
      <w:r>
        <w:rPr>
          <w:color w:val="231F1F"/>
          <w:w w:val="105"/>
        </w:rPr>
        <w:t>with</w:t>
      </w:r>
      <w:r>
        <w:rPr>
          <w:color w:val="231F1F"/>
          <w:spacing w:val="-1"/>
          <w:w w:val="105"/>
        </w:rPr>
        <w:t> </w:t>
      </w:r>
      <w:r>
        <w:rPr>
          <w:rFonts w:ascii="Calibri" w:hAnsi="Calibri"/>
          <w:color w:val="008356"/>
          <w:spacing w:val="5"/>
          <w:w w:val="105"/>
          <w:sz w:val="11"/>
        </w:rPr>
        <w:t>DIURETICS</w:t>
      </w:r>
    </w:p>
    <w:p>
      <w:pPr>
        <w:spacing w:before="0"/>
        <w:ind w:left="208" w:right="770" w:hanging="100"/>
        <w:jc w:val="both"/>
        <w:rPr>
          <w:sz w:val="12"/>
        </w:rPr>
      </w:pPr>
      <w:r>
        <w:rPr>
          <w:rFonts w:ascii="Arial"/>
          <w:color w:val="231F1F"/>
          <w:w w:val="355"/>
          <w:position w:val="1"/>
          <w:sz w:val="7"/>
        </w:rPr>
        <w:t>l</w:t>
      </w:r>
      <w:r>
        <w:rPr>
          <w:rFonts w:ascii="Arial"/>
          <w:color w:val="231F1F"/>
          <w:spacing w:val="-36"/>
          <w:w w:val="355"/>
          <w:position w:val="1"/>
          <w:sz w:val="7"/>
        </w:rPr>
        <w:t> </w:t>
      </w:r>
      <w:r>
        <w:rPr>
          <w:rFonts w:ascii="Calibri"/>
          <w:color w:val="231F1F"/>
          <w:w w:val="110"/>
          <w:sz w:val="12"/>
        </w:rPr>
        <w:t>Dopaminergics:</w:t>
      </w:r>
      <w:r>
        <w:rPr>
          <w:rFonts w:ascii="Calibri"/>
          <w:color w:val="231F1F"/>
          <w:spacing w:val="-3"/>
          <w:w w:val="110"/>
          <w:sz w:val="12"/>
        </w:rPr>
        <w:t> </w:t>
      </w:r>
      <w:r>
        <w:rPr>
          <w:color w:val="231F1F"/>
          <w:w w:val="110"/>
          <w:sz w:val="12"/>
        </w:rPr>
        <w:t>risk</w:t>
      </w:r>
      <w:r>
        <w:rPr>
          <w:color w:val="231F1F"/>
          <w:spacing w:val="-6"/>
          <w:w w:val="110"/>
          <w:sz w:val="12"/>
        </w:rPr>
        <w:t> </w:t>
      </w:r>
      <w:r>
        <w:rPr>
          <w:color w:val="231F1F"/>
          <w:w w:val="110"/>
          <w:sz w:val="12"/>
        </w:rPr>
        <w:t>of</w:t>
      </w:r>
      <w:r>
        <w:rPr>
          <w:color w:val="231F1F"/>
          <w:spacing w:val="-6"/>
          <w:w w:val="110"/>
          <w:sz w:val="12"/>
        </w:rPr>
        <w:t> </w:t>
      </w:r>
      <w:r>
        <w:rPr>
          <w:color w:val="231F1F"/>
          <w:w w:val="110"/>
          <w:sz w:val="12"/>
        </w:rPr>
        <w:t>hypertensive</w:t>
      </w:r>
      <w:r>
        <w:rPr>
          <w:color w:val="231F1F"/>
          <w:spacing w:val="-7"/>
          <w:w w:val="110"/>
          <w:sz w:val="12"/>
        </w:rPr>
        <w:t> </w:t>
      </w:r>
      <w:r>
        <w:rPr>
          <w:color w:val="231F1F"/>
          <w:w w:val="110"/>
          <w:sz w:val="12"/>
        </w:rPr>
        <w:t>crisis</w:t>
      </w:r>
      <w:r>
        <w:rPr>
          <w:color w:val="231F1F"/>
          <w:spacing w:val="-7"/>
          <w:w w:val="110"/>
          <w:sz w:val="12"/>
        </w:rPr>
        <w:t> </w:t>
      </w:r>
      <w:r>
        <w:rPr>
          <w:color w:val="231F1F"/>
          <w:w w:val="110"/>
          <w:sz w:val="12"/>
        </w:rPr>
        <w:t>when</w:t>
      </w:r>
      <w:r>
        <w:rPr>
          <w:color w:val="231F1F"/>
          <w:spacing w:val="-7"/>
          <w:w w:val="110"/>
          <w:sz w:val="12"/>
        </w:rPr>
        <w:t> </w:t>
      </w:r>
      <w:r>
        <w:rPr>
          <w:color w:val="231F1F"/>
          <w:w w:val="110"/>
          <w:sz w:val="12"/>
        </w:rPr>
        <w:t>MAOIs</w:t>
      </w:r>
      <w:r>
        <w:rPr>
          <w:color w:val="231F1F"/>
          <w:spacing w:val="-7"/>
          <w:w w:val="110"/>
          <w:sz w:val="12"/>
        </w:rPr>
        <w:t> </w:t>
      </w:r>
      <w:r>
        <w:rPr>
          <w:color w:val="231F1F"/>
          <w:spacing w:val="-3"/>
          <w:w w:val="110"/>
          <w:sz w:val="12"/>
        </w:rPr>
        <w:t>given </w:t>
      </w:r>
      <w:r>
        <w:rPr>
          <w:color w:val="231F1F"/>
          <w:w w:val="110"/>
          <w:sz w:val="12"/>
        </w:rPr>
        <w:t>with</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CO-BENELDOPA</w:t>
      </w:r>
      <w:r>
        <w:rPr>
          <w:color w:val="231F1F"/>
          <w:spacing w:val="4"/>
          <w:w w:val="110"/>
          <w:sz w:val="12"/>
        </w:rPr>
        <w:t>,</w:t>
      </w:r>
      <w:r>
        <w:rPr>
          <w:color w:val="231F1F"/>
          <w:spacing w:val="-19"/>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CO-CARELDOPA</w:t>
      </w:r>
      <w:r>
        <w:rPr>
          <w:rFonts w:ascii="Calibri"/>
          <w:color w:val="008356"/>
          <w:spacing w:val="-9"/>
          <w:w w:val="110"/>
          <w:sz w:val="11"/>
        </w:rPr>
        <w:t> </w:t>
      </w:r>
      <w:r>
        <w:rPr>
          <w:color w:val="231F1F"/>
          <w:w w:val="110"/>
          <w:sz w:val="12"/>
        </w:rPr>
        <w:t>or</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10"/>
          <w:sz w:val="11"/>
        </w:rPr>
        <w:t>LEVODOPA</w:t>
      </w:r>
      <w:r>
        <w:rPr>
          <w:color w:val="231F1F"/>
          <w:spacing w:val="3"/>
          <w:w w:val="110"/>
          <w:sz w:val="12"/>
        </w:rPr>
        <w:t>,</w:t>
      </w:r>
      <w:r>
        <w:rPr>
          <w:color w:val="231F1F"/>
          <w:spacing w:val="-19"/>
          <w:w w:val="110"/>
          <w:sz w:val="12"/>
        </w:rPr>
        <w:t> </w:t>
      </w:r>
      <w:r>
        <w:rPr>
          <w:color w:val="231F1F"/>
          <w:w w:val="110"/>
          <w:sz w:val="12"/>
        </w:rPr>
        <w:t>avoid</w:t>
      </w:r>
    </w:p>
    <w:p>
      <w:pPr>
        <w:pStyle w:val="BodyText"/>
        <w:spacing w:line="247" w:lineRule="auto"/>
        <w:ind w:right="728"/>
        <w:rPr>
          <w:rFonts w:ascii="Calibri" w:hAnsi="Calibri"/>
          <w:sz w:val="11"/>
        </w:rPr>
      </w:pPr>
      <w:r>
        <w:rPr>
          <w:color w:val="231F1F"/>
          <w:w w:val="110"/>
        </w:rPr>
        <w:t>co-beneldopa, co-careldopa or levodopa for at least 2 weeks after stopping MAOIs; avoid concomitant use of non- selective MAOIs with </w:t>
      </w:r>
      <w:r>
        <w:rPr>
          <w:rFonts w:ascii="Arial" w:hAnsi="Arial"/>
          <w:color w:val="231F1F"/>
          <w:w w:val="355"/>
          <w:position w:val="1"/>
          <w:sz w:val="7"/>
        </w:rPr>
        <w:t>l </w:t>
      </w:r>
      <w:r>
        <w:rPr>
          <w:rFonts w:ascii="Calibri" w:hAnsi="Calibri"/>
          <w:color w:val="008356"/>
          <w:spacing w:val="4"/>
          <w:w w:val="110"/>
          <w:sz w:val="11"/>
        </w:rPr>
        <w:t>ENTACAPONE</w:t>
      </w:r>
      <w:r>
        <w:rPr>
          <w:color w:val="231F1F"/>
          <w:spacing w:val="4"/>
          <w:w w:val="110"/>
        </w:rPr>
        <w:t>; </w:t>
      </w:r>
      <w:r>
        <w:rPr>
          <w:color w:val="231F1F"/>
          <w:w w:val="110"/>
        </w:rPr>
        <w:t>risk of hypertensive crisis</w:t>
      </w:r>
      <w:r>
        <w:rPr>
          <w:color w:val="231F1F"/>
          <w:spacing w:val="-10"/>
          <w:w w:val="110"/>
        </w:rPr>
        <w:t> </w:t>
      </w:r>
      <w:r>
        <w:rPr>
          <w:color w:val="231F1F"/>
          <w:w w:val="110"/>
        </w:rPr>
        <w:t>when</w:t>
      </w:r>
      <w:r>
        <w:rPr>
          <w:color w:val="231F1F"/>
          <w:spacing w:val="-10"/>
          <w:w w:val="110"/>
        </w:rPr>
        <w:t> </w:t>
      </w:r>
      <w:r>
        <w:rPr>
          <w:color w:val="231F1F"/>
          <w:w w:val="110"/>
        </w:rPr>
        <w:t>MAOIs</w:t>
      </w:r>
      <w:r>
        <w:rPr>
          <w:color w:val="231F1F"/>
          <w:spacing w:val="-9"/>
          <w:w w:val="110"/>
        </w:rPr>
        <w:t> </w:t>
      </w:r>
      <w:r>
        <w:rPr>
          <w:color w:val="231F1F"/>
          <w:w w:val="110"/>
        </w:rPr>
        <w:t>given</w:t>
      </w:r>
      <w:r>
        <w:rPr>
          <w:color w:val="231F1F"/>
          <w:spacing w:val="-9"/>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RASAGILINE</w:t>
      </w:r>
      <w:r>
        <w:rPr>
          <w:color w:val="231F1F"/>
          <w:spacing w:val="4"/>
          <w:w w:val="110"/>
        </w:rPr>
        <w:t>,</w:t>
      </w:r>
      <w:r>
        <w:rPr>
          <w:color w:val="231F1F"/>
          <w:spacing w:val="-8"/>
          <w:w w:val="110"/>
        </w:rPr>
        <w:t> </w:t>
      </w:r>
      <w:r>
        <w:rPr>
          <w:color w:val="231F1F"/>
          <w:w w:val="110"/>
        </w:rPr>
        <w:t>avoid</w:t>
      </w:r>
      <w:r>
        <w:rPr>
          <w:color w:val="231F1F"/>
          <w:spacing w:val="-9"/>
          <w:w w:val="110"/>
        </w:rPr>
        <w:t> </w:t>
      </w:r>
      <w:r>
        <w:rPr>
          <w:color w:val="231F1F"/>
          <w:w w:val="110"/>
        </w:rPr>
        <w:t>MAOIs</w:t>
      </w:r>
      <w:r>
        <w:rPr>
          <w:color w:val="231F1F"/>
          <w:spacing w:val="-9"/>
          <w:w w:val="110"/>
        </w:rPr>
        <w:t> </w:t>
      </w:r>
      <w:r>
        <w:rPr>
          <w:color w:val="231F1F"/>
          <w:w w:val="110"/>
        </w:rPr>
        <w:t>for at least 2 weeks after stopping rasagiline; enhanced hypotensive effect when MAOIs given with </w:t>
      </w:r>
      <w:r>
        <w:rPr>
          <w:rFonts w:ascii="Arial" w:hAnsi="Arial"/>
          <w:color w:val="231F1F"/>
          <w:w w:val="355"/>
          <w:position w:val="1"/>
          <w:sz w:val="7"/>
        </w:rPr>
        <w:t>l </w:t>
      </w:r>
      <w:r>
        <w:rPr>
          <w:rFonts w:ascii="Calibri" w:hAnsi="Calibri"/>
          <w:color w:val="008356"/>
          <w:spacing w:val="4"/>
          <w:w w:val="110"/>
          <w:sz w:val="11"/>
        </w:rPr>
        <w:t>SELEGILINE</w:t>
      </w:r>
      <w:r>
        <w:rPr>
          <w:rFonts w:ascii="Arial" w:hAnsi="Arial"/>
          <w:color w:val="231F1F"/>
          <w:spacing w:val="4"/>
          <w:w w:val="110"/>
        </w:rPr>
        <w:t>— </w:t>
      </w:r>
      <w:r>
        <w:rPr>
          <w:color w:val="231F1F"/>
          <w:w w:val="110"/>
        </w:rPr>
        <w:t>manufacturer of selegiline advises avoid concomitant use; avoid concomitant use of MAOIs with</w:t>
      </w:r>
      <w:r>
        <w:rPr>
          <w:color w:val="231F1F"/>
          <w:spacing w:val="-22"/>
          <w:w w:val="110"/>
        </w:rPr>
        <w:t> </w:t>
      </w:r>
      <w:r>
        <w:rPr>
          <w:rFonts w:ascii="Calibri" w:hAnsi="Calibri"/>
          <w:color w:val="008356"/>
          <w:spacing w:val="4"/>
          <w:w w:val="110"/>
          <w:sz w:val="11"/>
        </w:rPr>
        <w:t>TOLCAPONE</w:t>
      </w:r>
    </w:p>
    <w:p>
      <w:pPr>
        <w:spacing w:line="142"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sz w:val="12"/>
        </w:rPr>
        <w:t>Doxapram: </w:t>
      </w:r>
      <w:r>
        <w:rPr>
          <w:color w:val="231F1F"/>
          <w:sz w:val="12"/>
        </w:rPr>
        <w:t>MAOIs enhance effects of </w:t>
      </w:r>
      <w:r>
        <w:rPr>
          <w:rFonts w:ascii="Calibri" w:hAnsi="Calibri"/>
          <w:color w:val="008356"/>
          <w:sz w:val="11"/>
        </w:rPr>
        <w:t>DOXAPRAM</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MAOIs advised by manufacturer of</w:t>
      </w:r>
    </w:p>
    <w:p>
      <w:pPr>
        <w:spacing w:line="130" w:lineRule="exact" w:before="0"/>
        <w:ind w:left="208" w:right="0" w:firstLine="0"/>
        <w:jc w:val="left"/>
        <w:rPr>
          <w:rFonts w:ascii="Calibri"/>
          <w:sz w:val="11"/>
        </w:rPr>
      </w:pPr>
      <w:r>
        <w:rPr>
          <w:rFonts w:ascii="Calibri"/>
          <w:color w:val="008356"/>
          <w:sz w:val="11"/>
        </w:rPr>
        <w:t>HISTAMINE</w:t>
      </w:r>
    </w:p>
    <w:p>
      <w:pPr>
        <w:pStyle w:val="BodyText"/>
        <w:spacing w:line="244" w:lineRule="auto"/>
        <w:ind w:right="702" w:hanging="100"/>
      </w:pPr>
      <w:r>
        <w:rPr>
          <w:rFonts w:ascii="Arial"/>
          <w:color w:val="231F1F"/>
          <w:w w:val="355"/>
          <w:position w:val="1"/>
          <w:sz w:val="7"/>
        </w:rPr>
        <w:t>l</w:t>
      </w:r>
      <w:r>
        <w:rPr>
          <w:rFonts w:ascii="Arial"/>
          <w:color w:val="231F1F"/>
          <w:spacing w:val="-47"/>
          <w:w w:val="355"/>
          <w:position w:val="1"/>
          <w:sz w:val="7"/>
        </w:rPr>
        <w:t> </w:t>
      </w:r>
      <w:r>
        <w:rPr>
          <w:rFonts w:ascii="Calibri"/>
          <w:color w:val="231F1F"/>
          <w:w w:val="110"/>
        </w:rPr>
        <w:t>5HT</w:t>
      </w:r>
      <w:r>
        <w:rPr>
          <w:rFonts w:ascii="Calibri"/>
          <w:color w:val="231F1F"/>
          <w:w w:val="110"/>
          <w:vertAlign w:val="subscript"/>
        </w:rPr>
        <w:t>1</w:t>
      </w:r>
      <w:r>
        <w:rPr>
          <w:rFonts w:ascii="Calibri"/>
          <w:color w:val="231F1F"/>
          <w:w w:val="110"/>
          <w:vertAlign w:val="baseline"/>
        </w:rPr>
        <w:t>-receptor</w:t>
      </w:r>
      <w:r>
        <w:rPr>
          <w:rFonts w:ascii="Calibri"/>
          <w:color w:val="231F1F"/>
          <w:spacing w:val="-12"/>
          <w:w w:val="110"/>
          <w:vertAlign w:val="baseline"/>
        </w:rPr>
        <w:t> </w:t>
      </w:r>
      <w:r>
        <w:rPr>
          <w:rFonts w:ascii="Calibri"/>
          <w:color w:val="231F1F"/>
          <w:w w:val="110"/>
          <w:vertAlign w:val="baseline"/>
        </w:rPr>
        <w:t>Agonists:</w:t>
      </w:r>
      <w:r>
        <w:rPr>
          <w:rFonts w:ascii="Calibri"/>
          <w:color w:val="231F1F"/>
          <w:spacing w:val="-12"/>
          <w:w w:val="110"/>
          <w:vertAlign w:val="baseline"/>
        </w:rPr>
        <w:t> </w:t>
      </w:r>
      <w:r>
        <w:rPr>
          <w:color w:val="231F1F"/>
          <w:w w:val="110"/>
          <w:vertAlign w:val="baseline"/>
        </w:rPr>
        <w:t>risk</w:t>
      </w:r>
      <w:r>
        <w:rPr>
          <w:color w:val="231F1F"/>
          <w:spacing w:val="-15"/>
          <w:w w:val="110"/>
          <w:vertAlign w:val="baseline"/>
        </w:rPr>
        <w:t> </w:t>
      </w:r>
      <w:r>
        <w:rPr>
          <w:color w:val="231F1F"/>
          <w:w w:val="110"/>
          <w:vertAlign w:val="baseline"/>
        </w:rPr>
        <w:t>of</w:t>
      </w:r>
      <w:r>
        <w:rPr>
          <w:color w:val="231F1F"/>
          <w:spacing w:val="-16"/>
          <w:w w:val="110"/>
          <w:vertAlign w:val="baseline"/>
        </w:rPr>
        <w:t> </w:t>
      </w:r>
      <w:r>
        <w:rPr>
          <w:color w:val="231F1F"/>
          <w:w w:val="110"/>
          <w:vertAlign w:val="baseline"/>
        </w:rPr>
        <w:t>CNS</w:t>
      </w:r>
      <w:r>
        <w:rPr>
          <w:color w:val="231F1F"/>
          <w:spacing w:val="-15"/>
          <w:w w:val="110"/>
          <w:vertAlign w:val="baseline"/>
        </w:rPr>
        <w:t> </w:t>
      </w:r>
      <w:r>
        <w:rPr>
          <w:color w:val="231F1F"/>
          <w:w w:val="110"/>
          <w:vertAlign w:val="baseline"/>
        </w:rPr>
        <w:t>toxicity</w:t>
      </w:r>
      <w:r>
        <w:rPr>
          <w:color w:val="231F1F"/>
          <w:spacing w:val="-16"/>
          <w:w w:val="110"/>
          <w:vertAlign w:val="baseline"/>
        </w:rPr>
        <w:t> </w:t>
      </w:r>
      <w:r>
        <w:rPr>
          <w:color w:val="231F1F"/>
          <w:w w:val="110"/>
          <w:vertAlign w:val="baseline"/>
        </w:rPr>
        <w:t>when</w:t>
      </w:r>
      <w:r>
        <w:rPr>
          <w:color w:val="231F1F"/>
          <w:spacing w:val="-15"/>
          <w:w w:val="110"/>
          <w:vertAlign w:val="baseline"/>
        </w:rPr>
        <w:t> </w:t>
      </w:r>
      <w:r>
        <w:rPr>
          <w:color w:val="231F1F"/>
          <w:w w:val="110"/>
          <w:vertAlign w:val="baseline"/>
        </w:rPr>
        <w:t>MAOIs</w:t>
      </w:r>
      <w:r>
        <w:rPr>
          <w:color w:val="231F1F"/>
          <w:spacing w:val="-16"/>
          <w:w w:val="110"/>
          <w:vertAlign w:val="baseline"/>
        </w:rPr>
        <w:t> </w:t>
      </w:r>
      <w:r>
        <w:rPr>
          <w:color w:val="231F1F"/>
          <w:spacing w:val="-3"/>
          <w:w w:val="110"/>
          <w:vertAlign w:val="baseline"/>
        </w:rPr>
        <w:t>given </w:t>
      </w:r>
      <w:r>
        <w:rPr>
          <w:color w:val="231F1F"/>
          <w:w w:val="110"/>
          <w:vertAlign w:val="baseline"/>
        </w:rPr>
        <w:t>with </w:t>
      </w:r>
      <w:r>
        <w:rPr>
          <w:rFonts w:ascii="Arial"/>
          <w:color w:val="231F1F"/>
          <w:w w:val="355"/>
          <w:position w:val="1"/>
          <w:sz w:val="7"/>
          <w:vertAlign w:val="baseline"/>
        </w:rPr>
        <w:t>l </w:t>
      </w:r>
      <w:r>
        <w:rPr>
          <w:rFonts w:ascii="Calibri"/>
          <w:color w:val="008356"/>
          <w:spacing w:val="3"/>
          <w:w w:val="110"/>
          <w:sz w:val="11"/>
          <w:vertAlign w:val="baseline"/>
        </w:rPr>
        <w:t>RIZATRIPTAN </w:t>
      </w:r>
      <w:r>
        <w:rPr>
          <w:color w:val="231F1F"/>
          <w:w w:val="110"/>
          <w:vertAlign w:val="baseline"/>
        </w:rPr>
        <w:t>or </w:t>
      </w:r>
      <w:r>
        <w:rPr>
          <w:rFonts w:ascii="Arial"/>
          <w:color w:val="231F1F"/>
          <w:w w:val="355"/>
          <w:position w:val="1"/>
          <w:sz w:val="7"/>
          <w:vertAlign w:val="baseline"/>
        </w:rPr>
        <w:t>l </w:t>
      </w:r>
      <w:r>
        <w:rPr>
          <w:rFonts w:ascii="Calibri"/>
          <w:color w:val="008356"/>
          <w:spacing w:val="3"/>
          <w:w w:val="110"/>
          <w:sz w:val="11"/>
          <w:vertAlign w:val="baseline"/>
        </w:rPr>
        <w:t>SUMATRIPTAN </w:t>
      </w:r>
      <w:r>
        <w:rPr>
          <w:color w:val="231F1F"/>
          <w:w w:val="110"/>
          <w:vertAlign w:val="baseline"/>
        </w:rPr>
        <w:t>(avoid rizatriptan or sumatriptan for 2 weeks after MAOIs); risk of CNS toxicity when MAOIs given with </w:t>
      </w:r>
      <w:r>
        <w:rPr>
          <w:rFonts w:ascii="Arial"/>
          <w:color w:val="231F1F"/>
          <w:w w:val="355"/>
          <w:position w:val="1"/>
          <w:sz w:val="7"/>
          <w:vertAlign w:val="baseline"/>
        </w:rPr>
        <w:t>l </w:t>
      </w:r>
      <w:r>
        <w:rPr>
          <w:rFonts w:ascii="Calibri"/>
          <w:color w:val="008356"/>
          <w:spacing w:val="4"/>
          <w:w w:val="110"/>
          <w:sz w:val="11"/>
          <w:vertAlign w:val="baseline"/>
        </w:rPr>
        <w:t>ZOLMITRIPTAN </w:t>
      </w:r>
      <w:r>
        <w:rPr>
          <w:color w:val="231F1F"/>
          <w:w w:val="110"/>
          <w:vertAlign w:val="baseline"/>
        </w:rPr>
        <w:t>(reduce dose of zolmitriptan)</w:t>
      </w:r>
    </w:p>
    <w:p>
      <w:pPr>
        <w:pStyle w:val="BodyText"/>
        <w:spacing w:line="142"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0"/>
        </w:rPr>
        <w:t>Methyldopa: </w:t>
      </w:r>
      <w:r>
        <w:rPr>
          <w:color w:val="231F1F"/>
          <w:w w:val="110"/>
        </w:rPr>
        <w:t>avoidance of MAOIs advised by manufacturer of</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METHYLDOPA</w:t>
      </w:r>
    </w:p>
    <w:p>
      <w:pPr>
        <w:pStyle w:val="BodyText"/>
        <w:spacing w:line="220" w:lineRule="auto" w:before="8"/>
        <w:ind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MAOIs given with </w:t>
      </w:r>
      <w:r>
        <w:rPr>
          <w:rFonts w:ascii="Calibri" w:hAnsi="Calibri"/>
          <w:color w:val="008356"/>
          <w:w w:val="105"/>
          <w:sz w:val="11"/>
        </w:rPr>
        <w:t>MOXONIDINE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Muscle Relaxants: </w:t>
      </w:r>
      <w:r>
        <w:rPr>
          <w:color w:val="231F1F"/>
          <w:w w:val="105"/>
        </w:rPr>
        <w:t>phenelzine enhances effects of</w:t>
      </w:r>
    </w:p>
    <w:p>
      <w:pPr>
        <w:spacing w:line="131" w:lineRule="exact" w:before="0"/>
        <w:ind w:left="208" w:right="0" w:firstLine="0"/>
        <w:jc w:val="left"/>
        <w:rPr>
          <w:rFonts w:ascii="Calibri"/>
          <w:sz w:val="11"/>
        </w:rPr>
      </w:pPr>
      <w:r>
        <w:rPr>
          <w:rFonts w:ascii="Calibri"/>
          <w:color w:val="008356"/>
          <w:spacing w:val="5"/>
          <w:sz w:val="11"/>
        </w:rPr>
        <w:t>SUXAMETHONIUM</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Nicorandil: </w:t>
      </w:r>
      <w:r>
        <w:rPr>
          <w:color w:val="231F1F"/>
          <w:w w:val="105"/>
        </w:rPr>
        <w:t>enhanced hypotensive effect when MAOIs </w:t>
      </w:r>
      <w:r>
        <w:rPr>
          <w:color w:val="231F1F"/>
          <w:spacing w:val="-3"/>
          <w:w w:val="105"/>
        </w:rPr>
        <w:t>given </w:t>
      </w:r>
      <w:r>
        <w:rPr>
          <w:color w:val="231F1F"/>
          <w:w w:val="105"/>
        </w:rPr>
        <w:t>with</w:t>
      </w:r>
      <w:r>
        <w:rPr>
          <w:color w:val="231F1F"/>
          <w:spacing w:val="-1"/>
          <w:w w:val="105"/>
        </w:rPr>
        <w:t> </w:t>
      </w:r>
      <w:r>
        <w:rPr>
          <w:rFonts w:ascii="Calibri" w:hAnsi="Calibri"/>
          <w:color w:val="008356"/>
          <w:spacing w:val="5"/>
          <w:w w:val="105"/>
          <w:sz w:val="11"/>
        </w:rPr>
        <w:t>NICORANDIL</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MAOIs given with</w:t>
      </w:r>
    </w:p>
    <w:p>
      <w:pPr>
        <w:spacing w:line="130" w:lineRule="exact" w:before="0"/>
        <w:ind w:left="208" w:right="0" w:firstLine="0"/>
        <w:jc w:val="left"/>
        <w:rPr>
          <w:rFonts w:ascii="Calibri"/>
          <w:sz w:val="11"/>
        </w:rPr>
      </w:pPr>
      <w:r>
        <w:rPr>
          <w:rFonts w:ascii="Calibri"/>
          <w:color w:val="008356"/>
          <w:sz w:val="11"/>
        </w:rPr>
        <w:t>NITRATES</w:t>
      </w:r>
    </w:p>
    <w:p>
      <w:pPr>
        <w:pStyle w:val="BodyText"/>
        <w:spacing w:line="220" w:lineRule="auto" w:before="7"/>
        <w:ind w:right="945" w:hanging="100"/>
        <w:rPr>
          <w:rFonts w:ascii="Calibri" w:hAnsi="Calibri"/>
          <w:sz w:val="11"/>
        </w:rPr>
      </w:pPr>
      <w:r>
        <w:rPr>
          <w:rFonts w:ascii="Lucida Sans Unicode" w:hAnsi="Lucida Sans Unicode"/>
          <w:color w:val="A7A8AC"/>
          <w:w w:val="95"/>
          <w:sz w:val="10"/>
        </w:rPr>
        <w:t>▶ </w:t>
      </w:r>
      <w:r>
        <w:rPr>
          <w:rFonts w:ascii="Calibri" w:hAnsi="Calibri"/>
          <w:color w:val="231F1F"/>
          <w:w w:val="110"/>
        </w:rPr>
        <w:t>Pholcodine: </w:t>
      </w:r>
      <w:r>
        <w:rPr>
          <w:color w:val="231F1F"/>
          <w:w w:val="110"/>
        </w:rPr>
        <w:t>avoidance of pholcodine for 2 weeks after stopping MAOIs advised by manufacturer of </w:t>
      </w:r>
      <w:r>
        <w:rPr>
          <w:rFonts w:ascii="Calibri" w:hAnsi="Calibri"/>
          <w:color w:val="008356"/>
          <w:w w:val="110"/>
          <w:sz w:val="11"/>
        </w:rPr>
        <w:t>PHOLCODINE</w:t>
      </w:r>
    </w:p>
    <w:p>
      <w:pPr>
        <w:spacing w:before="0"/>
        <w:ind w:left="208" w:right="884" w:hanging="100"/>
        <w:jc w:val="left"/>
        <w:rPr>
          <w:sz w:val="12"/>
        </w:rPr>
      </w:pPr>
      <w:r>
        <w:rPr>
          <w:rFonts w:ascii="Arial"/>
          <w:color w:val="231F1F"/>
          <w:w w:val="355"/>
          <w:position w:val="1"/>
          <w:sz w:val="7"/>
        </w:rPr>
        <w:t>l</w:t>
      </w:r>
      <w:r>
        <w:rPr>
          <w:rFonts w:ascii="Arial"/>
          <w:color w:val="231F1F"/>
          <w:spacing w:val="-40"/>
          <w:w w:val="355"/>
          <w:position w:val="1"/>
          <w:sz w:val="7"/>
        </w:rPr>
        <w:t> </w:t>
      </w:r>
      <w:r>
        <w:rPr>
          <w:rFonts w:ascii="Calibri"/>
          <w:color w:val="231F1F"/>
          <w:w w:val="110"/>
          <w:sz w:val="12"/>
        </w:rPr>
        <w:t>Sympathomimetics:</w:t>
      </w:r>
      <w:r>
        <w:rPr>
          <w:rFonts w:ascii="Calibri"/>
          <w:color w:val="231F1F"/>
          <w:spacing w:val="-7"/>
          <w:w w:val="110"/>
          <w:sz w:val="12"/>
        </w:rPr>
        <w:t> </w:t>
      </w:r>
      <w:r>
        <w:rPr>
          <w:color w:val="231F1F"/>
          <w:w w:val="110"/>
          <w:sz w:val="12"/>
        </w:rPr>
        <w:t>risk</w:t>
      </w:r>
      <w:r>
        <w:rPr>
          <w:color w:val="231F1F"/>
          <w:spacing w:val="-11"/>
          <w:w w:val="110"/>
          <w:sz w:val="12"/>
        </w:rPr>
        <w:t> </w:t>
      </w:r>
      <w:r>
        <w:rPr>
          <w:color w:val="231F1F"/>
          <w:w w:val="110"/>
          <w:sz w:val="12"/>
        </w:rPr>
        <w:t>of</w:t>
      </w:r>
      <w:r>
        <w:rPr>
          <w:color w:val="231F1F"/>
          <w:spacing w:val="-9"/>
          <w:w w:val="110"/>
          <w:sz w:val="12"/>
        </w:rPr>
        <w:t> </w:t>
      </w:r>
      <w:r>
        <w:rPr>
          <w:color w:val="231F1F"/>
          <w:w w:val="110"/>
          <w:sz w:val="12"/>
        </w:rPr>
        <w:t>hypertensive</w:t>
      </w:r>
      <w:r>
        <w:rPr>
          <w:color w:val="231F1F"/>
          <w:spacing w:val="-11"/>
          <w:w w:val="110"/>
          <w:sz w:val="12"/>
        </w:rPr>
        <w:t> </w:t>
      </w:r>
      <w:r>
        <w:rPr>
          <w:color w:val="231F1F"/>
          <w:w w:val="110"/>
          <w:sz w:val="12"/>
        </w:rPr>
        <w:t>crisis</w:t>
      </w:r>
      <w:r>
        <w:rPr>
          <w:color w:val="231F1F"/>
          <w:spacing w:val="-10"/>
          <w:w w:val="110"/>
          <w:sz w:val="12"/>
        </w:rPr>
        <w:t> </w:t>
      </w:r>
      <w:r>
        <w:rPr>
          <w:color w:val="231F1F"/>
          <w:w w:val="110"/>
          <w:sz w:val="12"/>
        </w:rPr>
        <w:t>when</w:t>
      </w:r>
      <w:r>
        <w:rPr>
          <w:color w:val="231F1F"/>
          <w:spacing w:val="-11"/>
          <w:w w:val="110"/>
          <w:sz w:val="12"/>
        </w:rPr>
        <w:t> </w:t>
      </w:r>
      <w:r>
        <w:rPr>
          <w:color w:val="231F1F"/>
          <w:spacing w:val="-3"/>
          <w:w w:val="110"/>
          <w:sz w:val="12"/>
        </w:rPr>
        <w:t>MAOIs </w:t>
      </w:r>
      <w:r>
        <w:rPr>
          <w:color w:val="231F1F"/>
          <w:w w:val="110"/>
          <w:sz w:val="12"/>
        </w:rPr>
        <w:t>given</w:t>
      </w:r>
      <w:r>
        <w:rPr>
          <w:color w:val="231F1F"/>
          <w:spacing w:val="-17"/>
          <w:w w:val="110"/>
          <w:sz w:val="12"/>
        </w:rPr>
        <w:t> </w:t>
      </w:r>
      <w:r>
        <w:rPr>
          <w:color w:val="231F1F"/>
          <w:w w:val="110"/>
          <w:sz w:val="12"/>
        </w:rPr>
        <w:t>with</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ADRENALINE</w:t>
      </w:r>
      <w:r>
        <w:rPr>
          <w:rFonts w:ascii="Calibri"/>
          <w:color w:val="008356"/>
          <w:spacing w:val="-9"/>
          <w:w w:val="110"/>
          <w:sz w:val="11"/>
        </w:rPr>
        <w:t> </w:t>
      </w:r>
      <w:r>
        <w:rPr>
          <w:rFonts w:ascii="Calibri"/>
          <w:color w:val="008356"/>
          <w:spacing w:val="4"/>
          <w:w w:val="110"/>
          <w:sz w:val="11"/>
        </w:rPr>
        <w:t>(EPINEPHRINE)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DOBUTAMINE</w:t>
      </w:r>
      <w:r>
        <w:rPr>
          <w:color w:val="231F1F"/>
          <w:spacing w:val="4"/>
          <w:w w:val="110"/>
          <w:sz w:val="12"/>
        </w:rPr>
        <w:t>,</w:t>
      </w:r>
    </w:p>
    <w:p>
      <w:pPr>
        <w:spacing w:before="1"/>
        <w:ind w:left="208" w:right="0" w:firstLine="0"/>
        <w:jc w:val="left"/>
        <w:rPr>
          <w:sz w:val="12"/>
        </w:rPr>
      </w:pPr>
      <w:r>
        <w:rPr>
          <w:rFonts w:ascii="Arial"/>
          <w:color w:val="231F1F"/>
          <w:w w:val="355"/>
          <w:position w:val="1"/>
          <w:sz w:val="7"/>
        </w:rPr>
        <w:t>l </w:t>
      </w:r>
      <w:r>
        <w:rPr>
          <w:rFonts w:ascii="Calibri"/>
          <w:color w:val="008356"/>
          <w:w w:val="110"/>
          <w:sz w:val="11"/>
        </w:rPr>
        <w:t>DOPAMINE</w:t>
      </w:r>
      <w:r>
        <w:rPr>
          <w:color w:val="231F1F"/>
          <w:w w:val="110"/>
          <w:sz w:val="12"/>
        </w:rPr>
        <w:t>, </w:t>
      </w:r>
      <w:r>
        <w:rPr>
          <w:rFonts w:ascii="Arial"/>
          <w:color w:val="231F1F"/>
          <w:w w:val="355"/>
          <w:position w:val="1"/>
          <w:sz w:val="7"/>
        </w:rPr>
        <w:t>l </w:t>
      </w:r>
      <w:r>
        <w:rPr>
          <w:rFonts w:ascii="Calibri"/>
          <w:color w:val="008356"/>
          <w:w w:val="110"/>
          <w:sz w:val="11"/>
        </w:rPr>
        <w:t>NORADRENALINE (NOREPINEPHRINE) </w:t>
      </w:r>
      <w:r>
        <w:rPr>
          <w:color w:val="231F1F"/>
          <w:w w:val="110"/>
          <w:sz w:val="12"/>
        </w:rPr>
        <w:t>or</w:t>
      </w:r>
    </w:p>
    <w:p>
      <w:pPr>
        <w:spacing w:line="244" w:lineRule="auto" w:before="2"/>
        <w:ind w:left="208" w:right="756"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XYLOMETAZOLINE</w:t>
      </w:r>
      <w:r>
        <w:rPr>
          <w:color w:val="231F1F"/>
          <w:spacing w:val="4"/>
          <w:w w:val="110"/>
          <w:sz w:val="12"/>
        </w:rPr>
        <w:t>;</w:t>
      </w:r>
      <w:r>
        <w:rPr>
          <w:color w:val="231F1F"/>
          <w:spacing w:val="-8"/>
          <w:w w:val="110"/>
          <w:sz w:val="12"/>
        </w:rPr>
        <w:t> </w:t>
      </w:r>
      <w:r>
        <w:rPr>
          <w:color w:val="231F1F"/>
          <w:w w:val="110"/>
          <w:sz w:val="12"/>
        </w:rPr>
        <w:t>risk</w:t>
      </w:r>
      <w:r>
        <w:rPr>
          <w:color w:val="231F1F"/>
          <w:spacing w:val="-9"/>
          <w:w w:val="110"/>
          <w:sz w:val="12"/>
        </w:rPr>
        <w:t> </w:t>
      </w:r>
      <w:r>
        <w:rPr>
          <w:color w:val="231F1F"/>
          <w:w w:val="110"/>
          <w:sz w:val="12"/>
        </w:rPr>
        <w:t>of</w:t>
      </w:r>
      <w:r>
        <w:rPr>
          <w:color w:val="231F1F"/>
          <w:spacing w:val="-8"/>
          <w:w w:val="110"/>
          <w:sz w:val="12"/>
        </w:rPr>
        <w:t> </w:t>
      </w:r>
      <w:r>
        <w:rPr>
          <w:color w:val="231F1F"/>
          <w:w w:val="110"/>
          <w:sz w:val="12"/>
        </w:rPr>
        <w:t>hypertensive</w:t>
      </w:r>
      <w:r>
        <w:rPr>
          <w:color w:val="231F1F"/>
          <w:spacing w:val="-10"/>
          <w:w w:val="110"/>
          <w:sz w:val="12"/>
        </w:rPr>
        <w:t> </w:t>
      </w:r>
      <w:r>
        <w:rPr>
          <w:color w:val="231F1F"/>
          <w:w w:val="110"/>
          <w:sz w:val="12"/>
        </w:rPr>
        <w:t>crisis</w:t>
      </w:r>
      <w:r>
        <w:rPr>
          <w:color w:val="231F1F"/>
          <w:spacing w:val="-8"/>
          <w:w w:val="110"/>
          <w:sz w:val="12"/>
        </w:rPr>
        <w:t> </w:t>
      </w:r>
      <w:r>
        <w:rPr>
          <w:color w:val="231F1F"/>
          <w:w w:val="110"/>
          <w:sz w:val="12"/>
        </w:rPr>
        <w:t>when</w:t>
      </w:r>
      <w:r>
        <w:rPr>
          <w:color w:val="231F1F"/>
          <w:spacing w:val="-9"/>
          <w:w w:val="110"/>
          <w:sz w:val="12"/>
        </w:rPr>
        <w:t> </w:t>
      </w:r>
      <w:r>
        <w:rPr>
          <w:color w:val="231F1F"/>
          <w:w w:val="110"/>
          <w:sz w:val="12"/>
        </w:rPr>
        <w:t>MAOIs given</w:t>
      </w:r>
      <w:r>
        <w:rPr>
          <w:color w:val="231F1F"/>
          <w:spacing w:val="-23"/>
          <w:w w:val="110"/>
          <w:sz w:val="12"/>
        </w:rPr>
        <w:t> </w:t>
      </w:r>
      <w:r>
        <w:rPr>
          <w:color w:val="231F1F"/>
          <w:w w:val="110"/>
          <w:sz w:val="12"/>
        </w:rPr>
        <w:t>with</w:t>
      </w:r>
      <w:r>
        <w:rPr>
          <w:color w:val="231F1F"/>
          <w:spacing w:val="-23"/>
          <w:w w:val="110"/>
          <w:sz w:val="12"/>
        </w:rPr>
        <w:t> </w:t>
      </w:r>
      <w:r>
        <w:rPr>
          <w:rFonts w:ascii="Arial"/>
          <w:color w:val="231F1F"/>
          <w:w w:val="240"/>
          <w:position w:val="1"/>
          <w:sz w:val="7"/>
        </w:rPr>
        <w:t>l</w:t>
      </w:r>
      <w:r>
        <w:rPr>
          <w:rFonts w:ascii="Arial"/>
          <w:color w:val="231F1F"/>
          <w:spacing w:val="-37"/>
          <w:w w:val="240"/>
          <w:position w:val="1"/>
          <w:sz w:val="7"/>
        </w:rPr>
        <w:t> </w:t>
      </w:r>
      <w:r>
        <w:rPr>
          <w:rFonts w:ascii="Calibri"/>
          <w:color w:val="008356"/>
          <w:spacing w:val="4"/>
          <w:w w:val="110"/>
          <w:sz w:val="11"/>
        </w:rPr>
        <w:t>DEXAMFETAMINE</w:t>
      </w:r>
      <w:r>
        <w:rPr>
          <w:color w:val="231F1F"/>
          <w:spacing w:val="4"/>
          <w:w w:val="110"/>
          <w:sz w:val="12"/>
        </w:rPr>
        <w:t>,</w:t>
      </w:r>
      <w:r>
        <w:rPr>
          <w:color w:val="231F1F"/>
          <w:spacing w:val="-22"/>
          <w:w w:val="110"/>
          <w:sz w:val="12"/>
        </w:rPr>
        <w:t> </w:t>
      </w:r>
      <w:r>
        <w:rPr>
          <w:rFonts w:ascii="Arial"/>
          <w:color w:val="231F1F"/>
          <w:w w:val="240"/>
          <w:position w:val="1"/>
          <w:sz w:val="7"/>
        </w:rPr>
        <w:t>l</w:t>
      </w:r>
      <w:r>
        <w:rPr>
          <w:rFonts w:ascii="Arial"/>
          <w:color w:val="231F1F"/>
          <w:spacing w:val="-37"/>
          <w:w w:val="240"/>
          <w:position w:val="1"/>
          <w:sz w:val="7"/>
        </w:rPr>
        <w:t> </w:t>
      </w:r>
      <w:r>
        <w:rPr>
          <w:rFonts w:ascii="Calibri"/>
          <w:color w:val="008356"/>
          <w:spacing w:val="4"/>
          <w:w w:val="110"/>
          <w:sz w:val="11"/>
        </w:rPr>
        <w:t>EPHEDRINE</w:t>
      </w:r>
      <w:r>
        <w:rPr>
          <w:color w:val="231F1F"/>
          <w:spacing w:val="4"/>
          <w:w w:val="110"/>
          <w:sz w:val="12"/>
        </w:rPr>
        <w:t>,</w:t>
      </w:r>
      <w:r>
        <w:rPr>
          <w:color w:val="231F1F"/>
          <w:spacing w:val="-22"/>
          <w:w w:val="110"/>
          <w:sz w:val="12"/>
        </w:rPr>
        <w:t> </w:t>
      </w:r>
      <w:r>
        <w:rPr>
          <w:rFonts w:ascii="Arial"/>
          <w:color w:val="231F1F"/>
          <w:w w:val="240"/>
          <w:position w:val="1"/>
          <w:sz w:val="7"/>
        </w:rPr>
        <w:t>l</w:t>
      </w:r>
      <w:r>
        <w:rPr>
          <w:rFonts w:ascii="Arial"/>
          <w:color w:val="231F1F"/>
          <w:spacing w:val="-38"/>
          <w:w w:val="240"/>
          <w:position w:val="1"/>
          <w:sz w:val="7"/>
        </w:rPr>
        <w:t> </w:t>
      </w:r>
      <w:r>
        <w:rPr>
          <w:rFonts w:ascii="Calibri"/>
          <w:color w:val="008356"/>
          <w:spacing w:val="4"/>
          <w:w w:val="110"/>
          <w:sz w:val="11"/>
        </w:rPr>
        <w:t>ISOMETHEPTENE</w:t>
      </w:r>
      <w:r>
        <w:rPr>
          <w:color w:val="231F1F"/>
          <w:spacing w:val="4"/>
          <w:w w:val="110"/>
          <w:sz w:val="12"/>
        </w:rPr>
        <w:t>,</w:t>
      </w:r>
    </w:p>
    <w:p>
      <w:pPr>
        <w:spacing w:after="0" w:line="244" w:lineRule="auto"/>
        <w:jc w:val="left"/>
        <w:rPr>
          <w:sz w:val="12"/>
        </w:rPr>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816" filled="true" fillcolor="#bfdbcf" stroked="false">
            <v:fill type="solid"/>
            <w10:wrap type="none"/>
          </v:rect>
        </w:pict>
      </w:r>
      <w:r>
        <w:rPr/>
        <w:pict>
          <v:shape style="position:absolute;margin-left:7.751256pt;margin-top:35.804367pt;width:10.4pt;height:78.850pt;mso-position-horizontal-relative:page;mso-position-vertical-relative:page;z-index:484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MAOIs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Sympathomimetics (continued)</w:t>
      </w:r>
    </w:p>
    <w:p>
      <w:pPr>
        <w:spacing w:line="141" w:lineRule="exact" w:before="0"/>
        <w:ind w:left="286" w:right="0" w:firstLine="0"/>
        <w:jc w:val="left"/>
        <w:rPr>
          <w:sz w:val="12"/>
        </w:rPr>
      </w:pPr>
      <w:r>
        <w:rPr>
          <w:rFonts w:ascii="Arial"/>
          <w:color w:val="231F1F"/>
          <w:w w:val="110"/>
          <w:position w:val="1"/>
          <w:sz w:val="7"/>
        </w:rPr>
        <w:t>l </w:t>
      </w:r>
      <w:r>
        <w:rPr>
          <w:rFonts w:ascii="Calibri"/>
          <w:color w:val="008356"/>
          <w:w w:val="110"/>
          <w:sz w:val="11"/>
        </w:rPr>
        <w:t>LISDEXAMFETAMINE</w:t>
      </w:r>
      <w:r>
        <w:rPr>
          <w:color w:val="231F1F"/>
          <w:w w:val="110"/>
          <w:sz w:val="12"/>
        </w:rPr>
        <w:t>, </w:t>
      </w:r>
      <w:r>
        <w:rPr>
          <w:rFonts w:ascii="Arial"/>
          <w:color w:val="231F1F"/>
          <w:w w:val="110"/>
          <w:position w:val="1"/>
          <w:sz w:val="7"/>
        </w:rPr>
        <w:t>l </w:t>
      </w:r>
      <w:r>
        <w:rPr>
          <w:rFonts w:ascii="Calibri"/>
          <w:color w:val="008356"/>
          <w:w w:val="110"/>
          <w:sz w:val="11"/>
        </w:rPr>
        <w:t>METARAMINOL</w:t>
      </w:r>
      <w:r>
        <w:rPr>
          <w:color w:val="231F1F"/>
          <w:w w:val="110"/>
          <w:sz w:val="12"/>
        </w:rPr>
        <w:t>, </w:t>
      </w:r>
      <w:r>
        <w:rPr>
          <w:rFonts w:ascii="Arial"/>
          <w:color w:val="231F1F"/>
          <w:w w:val="110"/>
          <w:position w:val="1"/>
          <w:sz w:val="7"/>
        </w:rPr>
        <w:t>l </w:t>
      </w:r>
      <w:r>
        <w:rPr>
          <w:rFonts w:ascii="Calibri"/>
          <w:color w:val="008356"/>
          <w:w w:val="110"/>
          <w:sz w:val="11"/>
        </w:rPr>
        <w:t>METHYLPHENIDATE</w:t>
      </w:r>
      <w:r>
        <w:rPr>
          <w:color w:val="231F1F"/>
          <w:w w:val="110"/>
          <w:sz w:val="12"/>
        </w:rPr>
        <w:t>,</w:t>
      </w:r>
    </w:p>
    <w:p>
      <w:pPr>
        <w:spacing w:before="2"/>
        <w:ind w:left="286" w:right="0" w:firstLine="0"/>
        <w:jc w:val="left"/>
        <w:rPr>
          <w:sz w:val="12"/>
        </w:rPr>
      </w:pPr>
      <w:r>
        <w:rPr>
          <w:rFonts w:ascii="Arial"/>
          <w:color w:val="231F1F"/>
          <w:w w:val="355"/>
          <w:position w:val="1"/>
          <w:sz w:val="7"/>
        </w:rPr>
        <w:t>l </w:t>
      </w:r>
      <w:r>
        <w:rPr>
          <w:rFonts w:ascii="Calibri"/>
          <w:color w:val="008356"/>
          <w:w w:val="110"/>
          <w:sz w:val="11"/>
        </w:rPr>
        <w:t>PHENYLEPHRINE </w:t>
      </w:r>
      <w:r>
        <w:rPr>
          <w:color w:val="231F1F"/>
          <w:w w:val="110"/>
          <w:sz w:val="12"/>
        </w:rPr>
        <w:t>or </w:t>
      </w:r>
      <w:r>
        <w:rPr>
          <w:rFonts w:ascii="Arial"/>
          <w:color w:val="231F1F"/>
          <w:w w:val="355"/>
          <w:position w:val="1"/>
          <w:sz w:val="7"/>
        </w:rPr>
        <w:t>l </w:t>
      </w:r>
      <w:r>
        <w:rPr>
          <w:rFonts w:ascii="Calibri"/>
          <w:color w:val="008356"/>
          <w:w w:val="110"/>
          <w:sz w:val="11"/>
        </w:rPr>
        <w:t>PSEUDOEPHEDRINE</w:t>
      </w:r>
      <w:r>
        <w:rPr>
          <w:color w:val="231F1F"/>
          <w:w w:val="110"/>
          <w:sz w:val="12"/>
        </w:rPr>
        <w:t>, avoid</w:t>
      </w:r>
    </w:p>
    <w:p>
      <w:pPr>
        <w:pStyle w:val="BodyText"/>
        <w:spacing w:line="249" w:lineRule="auto" w:before="2"/>
        <w:ind w:left="286" w:right="107"/>
      </w:pPr>
      <w:r>
        <w:rPr>
          <w:color w:val="231F1F"/>
          <w:w w:val="110"/>
        </w:rPr>
        <w:t>dexamfetamine, ephedrine,  isometheptene, lisdexamfetamine, metaraminol, methylphenidate, phenylephrine or pseudoephedrine for at least 2 weeks </w:t>
      </w:r>
      <w:r>
        <w:rPr>
          <w:color w:val="231F1F"/>
          <w:spacing w:val="-3"/>
          <w:w w:val="110"/>
        </w:rPr>
        <w:t>after </w:t>
      </w:r>
      <w:r>
        <w:rPr>
          <w:color w:val="231F1F"/>
          <w:w w:val="110"/>
        </w:rPr>
        <w:t>stopping MAOIs; risk of hypertensive crisis when MAOIs given with </w:t>
      </w:r>
      <w:r>
        <w:rPr>
          <w:rFonts w:ascii="Arial"/>
          <w:color w:val="231F1F"/>
          <w:w w:val="355"/>
          <w:position w:val="1"/>
          <w:sz w:val="7"/>
        </w:rPr>
        <w:t>l </w:t>
      </w:r>
      <w:r>
        <w:rPr>
          <w:rFonts w:ascii="Calibri"/>
          <w:color w:val="008356"/>
          <w:spacing w:val="4"/>
          <w:w w:val="110"/>
          <w:sz w:val="11"/>
        </w:rPr>
        <w:t>OXYMETAZOLINE</w:t>
      </w:r>
      <w:r>
        <w:rPr>
          <w:color w:val="231F1F"/>
          <w:spacing w:val="4"/>
          <w:w w:val="110"/>
        </w:rPr>
        <w:t>, </w:t>
      </w:r>
      <w:r>
        <w:rPr>
          <w:color w:val="231F1F"/>
          <w:w w:val="110"/>
        </w:rPr>
        <w:t>some manufacturers advise avoid oxymetazoline for at least 2 weeks after stopping MAOIs</w:t>
      </w:r>
    </w:p>
    <w:p>
      <w:pPr>
        <w:pStyle w:val="BodyText"/>
        <w:spacing w:line="138" w:lineRule="exact"/>
        <w:ind w:left="186"/>
      </w:pPr>
      <w:r>
        <w:rPr>
          <w:rFonts w:ascii="Arial"/>
          <w:color w:val="231F1F"/>
          <w:w w:val="355"/>
          <w:position w:val="1"/>
          <w:sz w:val="7"/>
        </w:rPr>
        <w:t>l </w:t>
      </w:r>
      <w:r>
        <w:rPr>
          <w:rFonts w:ascii="Calibri"/>
          <w:color w:val="231F1F"/>
          <w:w w:val="110"/>
        </w:rPr>
        <w:t>Tetrabenazine: </w:t>
      </w:r>
      <w:r>
        <w:rPr>
          <w:color w:val="231F1F"/>
          <w:w w:val="110"/>
        </w:rPr>
        <w:t>risk of CNS toxicity when MAOIs given with</w:t>
      </w:r>
    </w:p>
    <w:p>
      <w:pPr>
        <w:spacing w:before="0"/>
        <w:ind w:left="286" w:right="0" w:hanging="1"/>
        <w:jc w:val="left"/>
        <w:rPr>
          <w:sz w:val="12"/>
        </w:rPr>
      </w:pPr>
      <w:r>
        <w:rPr>
          <w:rFonts w:ascii="Arial"/>
          <w:color w:val="231F1F"/>
          <w:w w:val="355"/>
          <w:position w:val="1"/>
          <w:sz w:val="7"/>
        </w:rPr>
        <w:t>l </w:t>
      </w:r>
      <w:r>
        <w:rPr>
          <w:rFonts w:ascii="Calibri"/>
          <w:color w:val="008356"/>
          <w:spacing w:val="4"/>
          <w:w w:val="110"/>
          <w:sz w:val="11"/>
        </w:rPr>
        <w:t>TETRABENAZINE </w:t>
      </w:r>
      <w:r>
        <w:rPr>
          <w:color w:val="231F1F"/>
          <w:w w:val="110"/>
          <w:sz w:val="12"/>
        </w:rPr>
        <w:t>(avoid tetrabenazine for 2 weeks after MAOIs)</w:t>
      </w:r>
    </w:p>
    <w:p>
      <w:pPr>
        <w:spacing w:line="237" w:lineRule="auto" w:before="3"/>
        <w:ind w:left="286" w:right="191"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Vasodilator Antihypertensives: </w:t>
      </w:r>
      <w:r>
        <w:rPr>
          <w:color w:val="231F1F"/>
          <w:sz w:val="12"/>
        </w:rPr>
        <w:t>enhanced hypotensive  effect when MAOIs given with </w:t>
      </w:r>
      <w:r>
        <w:rPr>
          <w:rFonts w:ascii="Calibri" w:hAnsi="Calibri"/>
          <w:color w:val="008356"/>
          <w:spacing w:val="4"/>
          <w:sz w:val="11"/>
        </w:rPr>
        <w:t>HYDRALAZINE</w:t>
      </w:r>
      <w:r>
        <w:rPr>
          <w:color w:val="231F1F"/>
          <w:spacing w:val="4"/>
          <w:sz w:val="12"/>
        </w:rPr>
        <w:t>, </w:t>
      </w:r>
      <w:r>
        <w:rPr>
          <w:rFonts w:ascii="Calibri" w:hAnsi="Calibri"/>
          <w:color w:val="008356"/>
          <w:spacing w:val="4"/>
          <w:sz w:val="11"/>
        </w:rPr>
        <w:t>MINOXIDIL </w:t>
      </w:r>
      <w:r>
        <w:rPr>
          <w:color w:val="231F1F"/>
          <w:sz w:val="12"/>
        </w:rPr>
        <w:t>or </w:t>
      </w:r>
      <w:r>
        <w:rPr>
          <w:rFonts w:ascii="Calibri" w:hAnsi="Calibri"/>
          <w:color w:val="008356"/>
          <w:spacing w:val="5"/>
          <w:sz w:val="11"/>
        </w:rPr>
        <w:t>SODIUM NITROPRUSSIDE</w:t>
      </w:r>
    </w:p>
    <w:p>
      <w:pPr>
        <w:pStyle w:val="BodyText"/>
        <w:spacing w:before="8"/>
        <w:ind w:left="186"/>
      </w:pPr>
      <w:r>
        <w:rPr>
          <w:rFonts w:ascii="Trebuchet MS"/>
          <w:color w:val="008356"/>
          <w:w w:val="105"/>
        </w:rPr>
        <w:t>MAOIs, reversible </w:t>
      </w:r>
      <w:r>
        <w:rPr>
          <w:i/>
          <w:color w:val="231F1F"/>
          <w:w w:val="105"/>
        </w:rPr>
        <w:t>see </w:t>
      </w:r>
      <w:r>
        <w:rPr>
          <w:color w:val="231F1F"/>
          <w:w w:val="105"/>
        </w:rPr>
        <w:t>Moclobemide</w:t>
      </w:r>
    </w:p>
    <w:p>
      <w:pPr>
        <w:pStyle w:val="BodyText"/>
        <w:spacing w:before="10"/>
        <w:ind w:left="186"/>
        <w:rPr>
          <w:rFonts w:ascii="Trebuchet MS"/>
        </w:rPr>
      </w:pPr>
      <w:r>
        <w:rPr>
          <w:rFonts w:ascii="Trebuchet MS"/>
          <w:color w:val="008356"/>
          <w:w w:val="105"/>
        </w:rPr>
        <w:t>Maraviroc</w:t>
      </w:r>
    </w:p>
    <w:p>
      <w:pPr>
        <w:pStyle w:val="BodyText"/>
        <w:spacing w:line="242" w:lineRule="auto" w:before="1"/>
        <w:ind w:left="286" w:right="-15"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maraviroc possibly increased</w:t>
      </w:r>
      <w:r>
        <w:rPr>
          <w:color w:val="231F1F"/>
          <w:spacing w:val="-19"/>
          <w:w w:val="110"/>
        </w:rPr>
        <w:t> </w:t>
      </w:r>
      <w:r>
        <w:rPr>
          <w:color w:val="231F1F"/>
          <w:w w:val="110"/>
        </w:rPr>
        <w:t>by</w:t>
      </w:r>
      <w:r>
        <w:rPr>
          <w:color w:val="231F1F"/>
          <w:spacing w:val="-19"/>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CLARITHROMYCIN</w:t>
      </w:r>
      <w:r>
        <w:rPr>
          <w:rFonts w:ascii="Calibri" w:hAnsi="Calibri"/>
          <w:color w:val="008356"/>
          <w:spacing w:val="-10"/>
          <w:w w:val="110"/>
          <w:sz w:val="11"/>
        </w:rPr>
        <w:t> </w:t>
      </w:r>
      <w:r>
        <w:rPr>
          <w:color w:val="231F1F"/>
          <w:w w:val="110"/>
        </w:rPr>
        <w:t>and</w:t>
      </w:r>
      <w:r>
        <w:rPr>
          <w:color w:val="231F1F"/>
          <w:spacing w:val="-19"/>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TELITHROMYCIN</w:t>
      </w:r>
      <w:r>
        <w:rPr>
          <w:rFonts w:ascii="Calibri" w:hAnsi="Calibri"/>
          <w:color w:val="008356"/>
          <w:spacing w:val="-10"/>
          <w:w w:val="110"/>
          <w:sz w:val="11"/>
        </w:rPr>
        <w:t> </w:t>
      </w:r>
      <w:r>
        <w:rPr>
          <w:color w:val="231F1F"/>
          <w:w w:val="110"/>
        </w:rPr>
        <w:t>(consider reducing dose of maraviroc); plasma concentration of maraviroc</w:t>
      </w:r>
      <w:r>
        <w:rPr>
          <w:color w:val="231F1F"/>
          <w:spacing w:val="-5"/>
          <w:w w:val="110"/>
        </w:rPr>
        <w:t> </w:t>
      </w:r>
      <w:r>
        <w:rPr>
          <w:color w:val="231F1F"/>
          <w:w w:val="110"/>
        </w:rPr>
        <w:t>reduced</w:t>
      </w:r>
      <w:r>
        <w:rPr>
          <w:color w:val="231F1F"/>
          <w:spacing w:val="-3"/>
          <w:w w:val="110"/>
        </w:rPr>
        <w:t> </w:t>
      </w:r>
      <w:r>
        <w:rPr>
          <w:color w:val="231F1F"/>
          <w:w w:val="110"/>
        </w:rPr>
        <w:t>by</w:t>
      </w:r>
      <w:r>
        <w:rPr>
          <w:color w:val="231F1F"/>
          <w:spacing w:val="-3"/>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consider</w:t>
      </w:r>
      <w:r>
        <w:rPr>
          <w:color w:val="231F1F"/>
          <w:spacing w:val="-4"/>
          <w:w w:val="110"/>
        </w:rPr>
        <w:t> </w:t>
      </w:r>
      <w:r>
        <w:rPr>
          <w:color w:val="231F1F"/>
          <w:w w:val="110"/>
        </w:rPr>
        <w:t>increasing</w:t>
      </w:r>
      <w:r>
        <w:rPr>
          <w:color w:val="231F1F"/>
          <w:spacing w:val="-3"/>
          <w:w w:val="110"/>
        </w:rPr>
        <w:t> </w:t>
      </w:r>
      <w:r>
        <w:rPr>
          <w:color w:val="231F1F"/>
          <w:w w:val="110"/>
        </w:rPr>
        <w:t>dose of</w:t>
      </w:r>
      <w:r>
        <w:rPr>
          <w:color w:val="231F1F"/>
          <w:spacing w:val="-1"/>
          <w:w w:val="110"/>
        </w:rPr>
        <w:t> </w:t>
      </w:r>
      <w:r>
        <w:rPr>
          <w:color w:val="231F1F"/>
          <w:w w:val="110"/>
        </w:rPr>
        <w:t>maraviroc</w:t>
      </w:r>
    </w:p>
    <w:p>
      <w:pPr>
        <w:pStyle w:val="BodyText"/>
        <w:spacing w:before="1"/>
        <w:ind w:left="286"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maraviroc possibly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avoid concomitant use</w:t>
      </w:r>
    </w:p>
    <w:p>
      <w:pPr>
        <w:pStyle w:val="BodyText"/>
        <w:spacing w:line="143" w:lineRule="exact"/>
        <w:ind w:left="186"/>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Antifungals:</w:t>
      </w:r>
      <w:r>
        <w:rPr>
          <w:rFonts w:ascii="Calibri"/>
          <w:color w:val="231F1F"/>
          <w:spacing w:val="-9"/>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1"/>
          <w:w w:val="115"/>
        </w:rPr>
        <w:t> </w:t>
      </w:r>
      <w:r>
        <w:rPr>
          <w:color w:val="231F1F"/>
          <w:w w:val="115"/>
        </w:rPr>
        <w:t>maraviroc</w:t>
      </w:r>
      <w:r>
        <w:rPr>
          <w:color w:val="231F1F"/>
          <w:spacing w:val="-12"/>
          <w:w w:val="115"/>
        </w:rPr>
        <w:t> </w:t>
      </w:r>
      <w:r>
        <w:rPr>
          <w:color w:val="231F1F"/>
          <w:w w:val="115"/>
        </w:rPr>
        <w:t>increased</w:t>
      </w:r>
      <w:r>
        <w:rPr>
          <w:color w:val="231F1F"/>
          <w:spacing w:val="-13"/>
          <w:w w:val="115"/>
        </w:rPr>
        <w:t> </w:t>
      </w:r>
      <w:r>
        <w:rPr>
          <w:color w:val="231F1F"/>
          <w:w w:val="115"/>
        </w:rPr>
        <w:t>by</w:t>
      </w:r>
    </w:p>
    <w:p>
      <w:pPr>
        <w:spacing w:line="140" w:lineRule="exact" w:before="0"/>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KETOCONAZOLE </w:t>
      </w:r>
      <w:r>
        <w:rPr>
          <w:color w:val="231F1F"/>
          <w:w w:val="110"/>
          <w:sz w:val="12"/>
        </w:rPr>
        <w:t>(consider reducing dose of maraviroc)</w:t>
      </w:r>
    </w:p>
    <w:p>
      <w:pPr>
        <w:pStyle w:val="BodyText"/>
        <w:spacing w:line="145" w:lineRule="exact"/>
        <w:ind w:left="186"/>
      </w:pPr>
      <w:r>
        <w:rPr>
          <w:rFonts w:ascii="Arial"/>
          <w:color w:val="231F1F"/>
          <w:w w:val="355"/>
          <w:position w:val="1"/>
          <w:sz w:val="7"/>
        </w:rPr>
        <w:t>l </w:t>
      </w:r>
      <w:r>
        <w:rPr>
          <w:rFonts w:ascii="Calibri"/>
          <w:color w:val="231F1F"/>
          <w:w w:val="115"/>
        </w:rPr>
        <w:t>Antivirals: </w:t>
      </w:r>
      <w:r>
        <w:rPr>
          <w:color w:val="231F1F"/>
          <w:w w:val="115"/>
        </w:rPr>
        <w:t>plasma concentration of maraviroc increased by</w:t>
      </w:r>
    </w:p>
    <w:p>
      <w:pPr>
        <w:spacing w:before="0"/>
        <w:ind w:left="286"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5"/>
          <w:sz w:val="11"/>
        </w:rPr>
        <w:t>ATAZANAVIR</w:t>
      </w:r>
      <w:r>
        <w:rPr>
          <w:color w:val="231F1F"/>
          <w:spacing w:val="3"/>
          <w:w w:val="115"/>
          <w:sz w:val="12"/>
        </w:rPr>
        <w:t>, </w:t>
      </w:r>
      <w:r>
        <w:rPr>
          <w:rFonts w:ascii="Calibri"/>
          <w:color w:val="008356"/>
          <w:spacing w:val="4"/>
          <w:w w:val="115"/>
          <w:sz w:val="11"/>
        </w:rPr>
        <w:t>BOCEPREVIR</w:t>
      </w:r>
      <w:r>
        <w:rPr>
          <w:color w:val="231F1F"/>
          <w:spacing w:val="4"/>
          <w:w w:val="115"/>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DARUNAVIR</w:t>
      </w:r>
      <w:r>
        <w:rPr>
          <w:color w:val="231F1F"/>
          <w:spacing w:val="3"/>
          <w:w w:val="115"/>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INDINAVIR</w:t>
      </w:r>
      <w:r>
        <w:rPr>
          <w:color w:val="231F1F"/>
          <w:spacing w:val="4"/>
          <w:w w:val="115"/>
          <w:sz w:val="12"/>
        </w:rPr>
        <w:t>,</w:t>
      </w:r>
    </w:p>
    <w:p>
      <w:pPr>
        <w:spacing w:line="244" w:lineRule="auto" w:before="1"/>
        <w:ind w:left="286" w:right="30" w:firstLine="0"/>
        <w:jc w:val="left"/>
        <w:rPr>
          <w:rFonts w:ascii="Calibri" w:hAnsi="Calibri"/>
          <w:sz w:val="11"/>
        </w:rPr>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LOPINAVIR</w:t>
      </w:r>
      <w:r>
        <w:rPr>
          <w:color w:val="231F1F"/>
          <w:spacing w:val="3"/>
          <w:w w:val="110"/>
          <w:sz w:val="12"/>
        </w:rPr>
        <w:t>,</w:t>
      </w:r>
      <w:r>
        <w:rPr>
          <w:color w:val="231F1F"/>
          <w:spacing w:val="-12"/>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SAQUINAVIR</w:t>
      </w:r>
      <w:r>
        <w:rPr>
          <w:rFonts w:ascii="Calibri" w:hAnsi="Calibri"/>
          <w:color w:val="008356"/>
          <w:spacing w:val="-3"/>
          <w:w w:val="110"/>
          <w:sz w:val="11"/>
        </w:rPr>
        <w:t> </w:t>
      </w:r>
      <w:r>
        <w:rPr>
          <w:color w:val="231F1F"/>
          <w:w w:val="110"/>
          <w:sz w:val="12"/>
        </w:rPr>
        <w:t>and</w:t>
      </w:r>
      <w:r>
        <w:rPr>
          <w:color w:val="231F1F"/>
          <w:spacing w:val="-12"/>
          <w:w w:val="110"/>
          <w:sz w:val="12"/>
        </w:rPr>
        <w:t> </w:t>
      </w:r>
      <w:r>
        <w:rPr>
          <w:rFonts w:ascii="Calibri" w:hAnsi="Calibri"/>
          <w:color w:val="008356"/>
          <w:spacing w:val="4"/>
          <w:w w:val="110"/>
          <w:sz w:val="11"/>
        </w:rPr>
        <w:t>TELAPREVIR</w:t>
      </w:r>
      <w:r>
        <w:rPr>
          <w:rFonts w:ascii="Calibri" w:hAnsi="Calibri"/>
          <w:color w:val="008356"/>
          <w:spacing w:val="-2"/>
          <w:w w:val="110"/>
          <w:sz w:val="11"/>
        </w:rPr>
        <w:t> </w:t>
      </w:r>
      <w:r>
        <w:rPr>
          <w:color w:val="231F1F"/>
          <w:w w:val="110"/>
          <w:sz w:val="12"/>
        </w:rPr>
        <w:t>(consider</w:t>
      </w:r>
      <w:r>
        <w:rPr>
          <w:color w:val="231F1F"/>
          <w:spacing w:val="-12"/>
          <w:w w:val="110"/>
          <w:sz w:val="12"/>
        </w:rPr>
        <w:t> </w:t>
      </w:r>
      <w:r>
        <w:rPr>
          <w:color w:val="231F1F"/>
          <w:w w:val="110"/>
          <w:sz w:val="12"/>
        </w:rPr>
        <w:t>reducing dose of maraviroc); plasma concentration of maraviroc possibly reduced by </w:t>
      </w:r>
      <w:r>
        <w:rPr>
          <w:rFonts w:ascii="Arial" w:hAnsi="Arial"/>
          <w:color w:val="231F1F"/>
          <w:w w:val="355"/>
          <w:position w:val="1"/>
          <w:sz w:val="7"/>
        </w:rPr>
        <w:t>l</w:t>
      </w:r>
      <w:r>
        <w:rPr>
          <w:rFonts w:ascii="Arial" w:hAnsi="Arial"/>
          <w:color w:val="231F1F"/>
          <w:spacing w:val="-25"/>
          <w:w w:val="355"/>
          <w:position w:val="1"/>
          <w:sz w:val="7"/>
        </w:rPr>
        <w:t> </w:t>
      </w:r>
      <w:r>
        <w:rPr>
          <w:rFonts w:ascii="Calibri" w:hAnsi="Calibri"/>
          <w:color w:val="008356"/>
          <w:w w:val="110"/>
          <w:sz w:val="11"/>
        </w:rPr>
        <w:t>EFAVIRENZ</w:t>
      </w:r>
      <w:r>
        <w:rPr>
          <w:rFonts w:ascii="Arial" w:hAnsi="Arial"/>
          <w:color w:val="231F1F"/>
          <w:w w:val="110"/>
          <w:sz w:val="12"/>
        </w:rPr>
        <w:t>—</w:t>
      </w:r>
      <w:r>
        <w:rPr>
          <w:color w:val="231F1F"/>
          <w:w w:val="110"/>
          <w:sz w:val="12"/>
        </w:rPr>
        <w:t>consider increasing dose </w:t>
      </w:r>
      <w:r>
        <w:rPr>
          <w:color w:val="231F1F"/>
          <w:spacing w:val="-6"/>
          <w:w w:val="110"/>
          <w:sz w:val="12"/>
        </w:rPr>
        <w:t>of </w:t>
      </w:r>
      <w:r>
        <w:rPr>
          <w:color w:val="231F1F"/>
          <w:w w:val="110"/>
          <w:sz w:val="12"/>
        </w:rPr>
        <w:t>maraviroc; plasma concentration of maraviroc possibly reduced by </w:t>
      </w:r>
      <w:r>
        <w:rPr>
          <w:rFonts w:ascii="Calibri" w:hAnsi="Calibri"/>
          <w:color w:val="008356"/>
          <w:spacing w:val="4"/>
          <w:w w:val="110"/>
          <w:sz w:val="11"/>
        </w:rPr>
        <w:t>ETRAVIRINE</w:t>
      </w:r>
      <w:r>
        <w:rPr>
          <w:color w:val="231F1F"/>
          <w:spacing w:val="4"/>
          <w:w w:val="110"/>
          <w:sz w:val="12"/>
        </w:rPr>
        <w:t>; </w:t>
      </w:r>
      <w:r>
        <w:rPr>
          <w:color w:val="231F1F"/>
          <w:w w:val="110"/>
          <w:sz w:val="12"/>
        </w:rPr>
        <w:t>maraviroc reduces plasma concentration of </w:t>
      </w:r>
      <w:r>
        <w:rPr>
          <w:rFonts w:ascii="Arial" w:hAnsi="Arial"/>
          <w:color w:val="231F1F"/>
          <w:w w:val="355"/>
          <w:position w:val="1"/>
          <w:sz w:val="7"/>
        </w:rPr>
        <w:t>l </w:t>
      </w:r>
      <w:r>
        <w:rPr>
          <w:rFonts w:ascii="Calibri" w:hAnsi="Calibri"/>
          <w:color w:val="008356"/>
          <w:spacing w:val="3"/>
          <w:w w:val="110"/>
          <w:sz w:val="11"/>
        </w:rPr>
        <w:t>FOSAMPRENAVIR</w:t>
      </w:r>
      <w:r>
        <w:rPr>
          <w:rFonts w:ascii="Arial" w:hAnsi="Arial"/>
          <w:color w:val="231F1F"/>
          <w:spacing w:val="3"/>
          <w:w w:val="110"/>
          <w:sz w:val="12"/>
        </w:rPr>
        <w:t>—</w:t>
      </w:r>
      <w:r>
        <w:rPr>
          <w:color w:val="231F1F"/>
          <w:spacing w:val="3"/>
          <w:w w:val="110"/>
          <w:sz w:val="12"/>
        </w:rPr>
        <w:t>avoid </w:t>
      </w:r>
      <w:r>
        <w:rPr>
          <w:color w:val="231F1F"/>
          <w:w w:val="110"/>
          <w:sz w:val="12"/>
        </w:rPr>
        <w:t>concomitant use; plasma concentration of maraviroc increased by</w:t>
      </w:r>
      <w:r>
        <w:rPr>
          <w:color w:val="231F1F"/>
          <w:spacing w:val="3"/>
          <w:w w:val="110"/>
          <w:sz w:val="12"/>
        </w:rPr>
        <w:t> </w:t>
      </w:r>
      <w:r>
        <w:rPr>
          <w:rFonts w:ascii="Calibri" w:hAnsi="Calibri"/>
          <w:color w:val="008356"/>
          <w:spacing w:val="4"/>
          <w:w w:val="110"/>
          <w:sz w:val="11"/>
        </w:rPr>
        <w:t>RITONAVIR</w:t>
      </w:r>
    </w:p>
    <w:p>
      <w:pPr>
        <w:pStyle w:val="BodyText"/>
        <w:spacing w:line="237" w:lineRule="auto"/>
        <w:ind w:left="286" w:hanging="100"/>
      </w:pPr>
      <w:r>
        <w:rPr>
          <w:rFonts w:ascii="Arial"/>
          <w:color w:val="231F1F"/>
          <w:w w:val="355"/>
          <w:position w:val="1"/>
          <w:sz w:val="7"/>
        </w:rPr>
        <w:t>l</w:t>
      </w:r>
      <w:r>
        <w:rPr>
          <w:rFonts w:ascii="Arial"/>
          <w:color w:val="231F1F"/>
          <w:spacing w:val="-24"/>
          <w:w w:val="355"/>
          <w:position w:val="1"/>
          <w:sz w:val="7"/>
        </w:rPr>
        <w:t> </w:t>
      </w:r>
      <w:r>
        <w:rPr>
          <w:rFonts w:ascii="Calibri"/>
          <w:color w:val="231F1F"/>
          <w:w w:val="110"/>
        </w:rPr>
        <w:t>Cobicistat: </w:t>
      </w:r>
      <w:r>
        <w:rPr>
          <w:color w:val="231F1F"/>
          <w:w w:val="110"/>
        </w:rPr>
        <w:t>plasma concentration of maraviroc possibly increased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COBICISTAT </w:t>
      </w:r>
      <w:r>
        <w:rPr>
          <w:color w:val="231F1F"/>
          <w:w w:val="110"/>
        </w:rPr>
        <w:t>(reduce dose of maraviroc)</w:t>
      </w:r>
    </w:p>
    <w:p>
      <w:pPr>
        <w:pStyle w:val="BodyText"/>
        <w:spacing w:line="145" w:lineRule="exact"/>
        <w:ind w:left="186"/>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Orlistat:</w:t>
      </w:r>
      <w:r>
        <w:rPr>
          <w:rFonts w:ascii="Calibri"/>
          <w:color w:val="231F1F"/>
          <w:spacing w:val="-13"/>
          <w:w w:val="115"/>
        </w:rPr>
        <w:t> </w:t>
      </w:r>
      <w:r>
        <w:rPr>
          <w:color w:val="231F1F"/>
          <w:w w:val="115"/>
        </w:rPr>
        <w:t>absorption</w:t>
      </w:r>
      <w:r>
        <w:rPr>
          <w:color w:val="231F1F"/>
          <w:spacing w:val="-16"/>
          <w:w w:val="115"/>
        </w:rPr>
        <w:t> </w:t>
      </w:r>
      <w:r>
        <w:rPr>
          <w:color w:val="231F1F"/>
          <w:w w:val="115"/>
        </w:rPr>
        <w:t>of</w:t>
      </w:r>
      <w:r>
        <w:rPr>
          <w:color w:val="231F1F"/>
          <w:spacing w:val="-16"/>
          <w:w w:val="115"/>
        </w:rPr>
        <w:t> </w:t>
      </w:r>
      <w:r>
        <w:rPr>
          <w:color w:val="231F1F"/>
          <w:w w:val="115"/>
        </w:rPr>
        <w:t>maraviroc</w:t>
      </w:r>
      <w:r>
        <w:rPr>
          <w:color w:val="231F1F"/>
          <w:spacing w:val="-17"/>
          <w:w w:val="115"/>
        </w:rPr>
        <w:t> </w:t>
      </w:r>
      <w:r>
        <w:rPr>
          <w:color w:val="231F1F"/>
          <w:w w:val="115"/>
        </w:rPr>
        <w:t>possibly</w:t>
      </w:r>
      <w:r>
        <w:rPr>
          <w:color w:val="231F1F"/>
          <w:spacing w:val="-17"/>
          <w:w w:val="115"/>
        </w:rPr>
        <w:t> </w:t>
      </w:r>
      <w:r>
        <w:rPr>
          <w:color w:val="231F1F"/>
          <w:w w:val="115"/>
        </w:rPr>
        <w:t>reduced</w:t>
      </w:r>
      <w:r>
        <w:rPr>
          <w:color w:val="231F1F"/>
          <w:spacing w:val="-16"/>
          <w:w w:val="115"/>
        </w:rPr>
        <w:t> </w:t>
      </w:r>
      <w:r>
        <w:rPr>
          <w:color w:val="231F1F"/>
          <w:w w:val="115"/>
        </w:rPr>
        <w:t>by</w:t>
      </w:r>
    </w:p>
    <w:p>
      <w:pPr>
        <w:spacing w:before="4"/>
        <w:ind w:left="286"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139" w:lineRule="exact" w:before="8"/>
        <w:ind w:left="186"/>
        <w:rPr>
          <w:rFonts w:ascii="Trebuchet MS"/>
        </w:rPr>
      </w:pPr>
      <w:r>
        <w:rPr>
          <w:rFonts w:ascii="Trebuchet MS"/>
          <w:color w:val="008356"/>
        </w:rPr>
        <w:t>Mebendazole</w:t>
      </w:r>
    </w:p>
    <w:p>
      <w:pPr>
        <w:pStyle w:val="BodyText"/>
        <w:spacing w:line="220" w:lineRule="auto" w:before="8"/>
        <w:ind w:left="286"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mebendazole possibly inhibited by </w:t>
      </w:r>
      <w:r>
        <w:rPr>
          <w:rFonts w:ascii="Calibri" w:hAnsi="Calibri"/>
          <w:color w:val="008356"/>
          <w:w w:val="105"/>
          <w:sz w:val="11"/>
        </w:rPr>
        <w:t>CIMETIDINE </w:t>
      </w:r>
      <w:r>
        <w:rPr>
          <w:color w:val="231F1F"/>
          <w:w w:val="105"/>
        </w:rPr>
        <w:t>(increased plasma concentration)</w:t>
      </w:r>
    </w:p>
    <w:p>
      <w:pPr>
        <w:pStyle w:val="BodyText"/>
        <w:spacing w:before="10"/>
        <w:ind w:left="186"/>
      </w:pPr>
      <w:r>
        <w:rPr>
          <w:rFonts w:ascii="Trebuchet MS"/>
          <w:color w:val="008356"/>
          <w:w w:val="105"/>
        </w:rPr>
        <w:t>Medroxyprogesterone </w:t>
      </w:r>
      <w:r>
        <w:rPr>
          <w:i/>
          <w:color w:val="231F1F"/>
          <w:w w:val="105"/>
        </w:rPr>
        <w:t>see </w:t>
      </w:r>
      <w:r>
        <w:rPr>
          <w:color w:val="231F1F"/>
          <w:w w:val="105"/>
        </w:rPr>
        <w:t>Progestogens</w:t>
      </w:r>
    </w:p>
    <w:p>
      <w:pPr>
        <w:pStyle w:val="BodyText"/>
        <w:spacing w:before="9"/>
        <w:ind w:left="186"/>
      </w:pPr>
      <w:r>
        <w:rPr>
          <w:rFonts w:ascii="Trebuchet MS"/>
          <w:color w:val="008356"/>
        </w:rPr>
        <w:t>Mefenamic Acid </w:t>
      </w:r>
      <w:r>
        <w:rPr>
          <w:i/>
          <w:color w:val="231F1F"/>
        </w:rPr>
        <w:t>see </w:t>
      </w:r>
      <w:r>
        <w:rPr>
          <w:color w:val="231F1F"/>
        </w:rPr>
        <w:t>NSAIDs</w:t>
      </w:r>
    </w:p>
    <w:p>
      <w:pPr>
        <w:pStyle w:val="BodyText"/>
        <w:spacing w:before="11"/>
        <w:ind w:left="186"/>
        <w:rPr>
          <w:rFonts w:ascii="Trebuchet MS"/>
        </w:rPr>
      </w:pPr>
      <w:r>
        <w:rPr>
          <w:rFonts w:ascii="Trebuchet MS"/>
          <w:color w:val="008356"/>
        </w:rPr>
        <w:t>Mefloquine</w:t>
      </w:r>
    </w:p>
    <w:p>
      <w:pPr>
        <w:pStyle w:val="BodyText"/>
        <w:spacing w:before="1"/>
        <w:ind w:left="286" w:hanging="100"/>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 mefloquine given with </w:t>
      </w:r>
      <w:r>
        <w:rPr>
          <w:rFonts w:ascii="Arial" w:hAnsi="Arial"/>
          <w:color w:val="231F1F"/>
          <w:w w:val="355"/>
          <w:position w:val="1"/>
          <w:sz w:val="7"/>
        </w:rPr>
        <w:t>l </w:t>
      </w:r>
      <w:r>
        <w:rPr>
          <w:rFonts w:ascii="Calibri" w:hAnsi="Calibri"/>
          <w:color w:val="008356"/>
          <w:w w:val="110"/>
          <w:sz w:val="11"/>
        </w:rPr>
        <w:t>AMIODARONE</w:t>
      </w:r>
      <w:r>
        <w:rPr>
          <w:rFonts w:ascii="Arial" w:hAnsi="Arial"/>
          <w:color w:val="231F1F"/>
          <w:w w:val="110"/>
        </w:rPr>
        <w:t>—</w:t>
      </w:r>
      <w:r>
        <w:rPr>
          <w:color w:val="231F1F"/>
          <w:w w:val="110"/>
        </w:rPr>
        <w:t>avoid concomitant use</w:t>
      </w:r>
    </w:p>
    <w:p>
      <w:pPr>
        <w:pStyle w:val="BodyText"/>
        <w:spacing w:before="2"/>
        <w:ind w:left="286" w:right="41"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when mefloquine given with </w:t>
      </w: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w:t>
      </w:r>
      <w:r>
        <w:rPr>
          <w:color w:val="231F1F"/>
          <w:w w:val="110"/>
        </w:rPr>
        <w:t>avoid concomitant use; plasma concentration of mefloquine reduced by</w:t>
      </w:r>
    </w:p>
    <w:p>
      <w:pPr>
        <w:spacing w:line="141" w:lineRule="exact" w:before="4"/>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spacing w:before="0"/>
        <w:ind w:left="286" w:right="111" w:hanging="100"/>
        <w:jc w:val="left"/>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sz w:val="12"/>
        </w:rPr>
        <w:t>Antiepileptics:</w:t>
      </w:r>
      <w:r>
        <w:rPr>
          <w:rFonts w:ascii="Calibri"/>
          <w:color w:val="231F1F"/>
          <w:spacing w:val="-15"/>
          <w:w w:val="115"/>
          <w:sz w:val="12"/>
        </w:rPr>
        <w:t> </w:t>
      </w:r>
      <w:r>
        <w:rPr>
          <w:color w:val="231F1F"/>
          <w:w w:val="115"/>
          <w:sz w:val="12"/>
        </w:rPr>
        <w:t>mefloquine</w:t>
      </w:r>
      <w:r>
        <w:rPr>
          <w:color w:val="231F1F"/>
          <w:spacing w:val="-18"/>
          <w:w w:val="115"/>
          <w:sz w:val="12"/>
        </w:rPr>
        <w:t> </w:t>
      </w:r>
      <w:r>
        <w:rPr>
          <w:color w:val="231F1F"/>
          <w:w w:val="115"/>
          <w:sz w:val="12"/>
        </w:rPr>
        <w:t>antagonises</w:t>
      </w:r>
      <w:r>
        <w:rPr>
          <w:color w:val="231F1F"/>
          <w:spacing w:val="-18"/>
          <w:w w:val="115"/>
          <w:sz w:val="12"/>
        </w:rPr>
        <w:t> </w:t>
      </w:r>
      <w:r>
        <w:rPr>
          <w:color w:val="231F1F"/>
          <w:w w:val="115"/>
          <w:sz w:val="12"/>
        </w:rPr>
        <w:t>anticonvulsant</w:t>
      </w:r>
      <w:r>
        <w:rPr>
          <w:color w:val="231F1F"/>
          <w:spacing w:val="-18"/>
          <w:w w:val="115"/>
          <w:sz w:val="12"/>
        </w:rPr>
        <w:t> </w:t>
      </w:r>
      <w:r>
        <w:rPr>
          <w:color w:val="231F1F"/>
          <w:spacing w:val="-3"/>
          <w:w w:val="115"/>
          <w:sz w:val="12"/>
        </w:rPr>
        <w:t>effect </w:t>
      </w:r>
      <w:r>
        <w:rPr>
          <w:color w:val="231F1F"/>
          <w:w w:val="115"/>
          <w:sz w:val="12"/>
        </w:rPr>
        <w:t>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5"/>
          <w:w w:val="115"/>
          <w:sz w:val="11"/>
        </w:rPr>
        <w:t>ANTIEPILEPTICS</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mefloquine increased by</w:t>
      </w:r>
    </w:p>
    <w:p>
      <w:pPr>
        <w:spacing w:line="131" w:lineRule="exact" w:before="0"/>
        <w:ind w:left="286" w:right="0" w:firstLine="0"/>
        <w:jc w:val="left"/>
        <w:rPr>
          <w:rFonts w:ascii="Calibri"/>
          <w:sz w:val="11"/>
        </w:rPr>
      </w:pPr>
      <w:r>
        <w:rPr>
          <w:rFonts w:ascii="Calibri"/>
          <w:color w:val="008356"/>
          <w:sz w:val="11"/>
        </w:rPr>
        <w:t>KETOCONAZOLE</w:t>
      </w:r>
    </w:p>
    <w:p>
      <w:pPr>
        <w:spacing w:line="240" w:lineRule="auto" w:before="0"/>
        <w:ind w:left="286" w:right="20"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antimalarials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3"/>
          <w:w w:val="110"/>
          <w:sz w:val="12"/>
        </w:rPr>
        <w:t> </w:t>
      </w:r>
      <w:r>
        <w:rPr>
          <w:color w:val="231F1F"/>
          <w:w w:val="110"/>
          <w:sz w:val="12"/>
        </w:rPr>
        <w:t>increased risk of convulsions when mefloquine given</w:t>
      </w:r>
      <w:r>
        <w:rPr>
          <w:color w:val="231F1F"/>
          <w:spacing w:val="-3"/>
          <w:w w:val="110"/>
          <w:sz w:val="12"/>
        </w:rPr>
        <w:t> </w:t>
      </w:r>
      <w:r>
        <w:rPr>
          <w:color w:val="231F1F"/>
          <w:w w:val="110"/>
          <w:sz w:val="12"/>
        </w:rPr>
        <w:t>with</w:t>
      </w:r>
    </w:p>
    <w:p>
      <w:pPr>
        <w:spacing w:line="244" w:lineRule="auto" w:before="4"/>
        <w:ind w:left="286" w:right="125" w:firstLine="0"/>
        <w:jc w:val="left"/>
        <w:rPr>
          <w:sz w:val="12"/>
        </w:rPr>
      </w:pPr>
      <w:r>
        <w:rPr>
          <w:rFonts w:ascii="Arial"/>
          <w:color w:val="231F1F"/>
          <w:w w:val="305"/>
          <w:position w:val="1"/>
          <w:sz w:val="7"/>
        </w:rPr>
        <w:t>l</w:t>
      </w:r>
      <w:r>
        <w:rPr>
          <w:rFonts w:ascii="Arial"/>
          <w:color w:val="231F1F"/>
          <w:spacing w:val="-50"/>
          <w:w w:val="305"/>
          <w:position w:val="1"/>
          <w:sz w:val="7"/>
        </w:rPr>
        <w:t> </w:t>
      </w:r>
      <w:r>
        <w:rPr>
          <w:rFonts w:ascii="Calibri"/>
          <w:color w:val="008356"/>
          <w:spacing w:val="4"/>
          <w:w w:val="110"/>
          <w:sz w:val="11"/>
        </w:rPr>
        <w:t>CHLOROQUINE</w:t>
      </w:r>
      <w:r>
        <w:rPr>
          <w:rFonts w:ascii="Calibri"/>
          <w:color w:val="008356"/>
          <w:spacing w:val="-15"/>
          <w:w w:val="110"/>
          <w:sz w:val="11"/>
        </w:rPr>
        <w:t> </w:t>
      </w:r>
      <w:r>
        <w:rPr>
          <w:color w:val="231F1F"/>
          <w:w w:val="110"/>
          <w:sz w:val="12"/>
        </w:rPr>
        <w:t>or</w:t>
      </w:r>
      <w:r>
        <w:rPr>
          <w:color w:val="231F1F"/>
          <w:spacing w:val="-22"/>
          <w:w w:val="110"/>
          <w:sz w:val="12"/>
        </w:rPr>
        <w:t> </w:t>
      </w:r>
      <w:r>
        <w:rPr>
          <w:rFonts w:ascii="Arial"/>
          <w:color w:val="231F1F"/>
          <w:w w:val="305"/>
          <w:position w:val="1"/>
          <w:sz w:val="7"/>
        </w:rPr>
        <w:t>l</w:t>
      </w:r>
      <w:r>
        <w:rPr>
          <w:rFonts w:ascii="Arial"/>
          <w:color w:val="231F1F"/>
          <w:spacing w:val="-50"/>
          <w:w w:val="305"/>
          <w:position w:val="1"/>
          <w:sz w:val="7"/>
        </w:rPr>
        <w:t> </w:t>
      </w:r>
      <w:r>
        <w:rPr>
          <w:rFonts w:ascii="Calibri"/>
          <w:color w:val="008356"/>
          <w:spacing w:val="4"/>
          <w:w w:val="110"/>
          <w:sz w:val="11"/>
        </w:rPr>
        <w:t>HYDROXYCHLOROQUINE</w:t>
      </w:r>
      <w:r>
        <w:rPr>
          <w:color w:val="231F1F"/>
          <w:spacing w:val="4"/>
          <w:w w:val="110"/>
          <w:sz w:val="12"/>
        </w:rPr>
        <w:t>;</w:t>
      </w:r>
      <w:r>
        <w:rPr>
          <w:color w:val="231F1F"/>
          <w:spacing w:val="-23"/>
          <w:w w:val="110"/>
          <w:sz w:val="12"/>
        </w:rPr>
        <w:t> </w:t>
      </w:r>
      <w:r>
        <w:rPr>
          <w:color w:val="231F1F"/>
          <w:w w:val="110"/>
          <w:sz w:val="12"/>
        </w:rPr>
        <w:t>increased</w:t>
      </w:r>
      <w:r>
        <w:rPr>
          <w:color w:val="231F1F"/>
          <w:spacing w:val="-22"/>
          <w:w w:val="110"/>
          <w:sz w:val="12"/>
        </w:rPr>
        <w:t> </w:t>
      </w:r>
      <w:r>
        <w:rPr>
          <w:color w:val="231F1F"/>
          <w:w w:val="110"/>
          <w:sz w:val="12"/>
        </w:rPr>
        <w:t>risk</w:t>
      </w:r>
      <w:r>
        <w:rPr>
          <w:color w:val="231F1F"/>
          <w:spacing w:val="-23"/>
          <w:w w:val="110"/>
          <w:sz w:val="12"/>
        </w:rPr>
        <w:t> </w:t>
      </w:r>
      <w:r>
        <w:rPr>
          <w:color w:val="231F1F"/>
          <w:w w:val="110"/>
          <w:sz w:val="12"/>
        </w:rPr>
        <w:t>of convulsions when mefloquine given with </w:t>
      </w:r>
      <w:r>
        <w:rPr>
          <w:rFonts w:ascii="Arial"/>
          <w:color w:val="231F1F"/>
          <w:w w:val="355"/>
          <w:position w:val="1"/>
          <w:sz w:val="7"/>
        </w:rPr>
        <w:t>l </w:t>
      </w:r>
      <w:r>
        <w:rPr>
          <w:rFonts w:ascii="Calibri"/>
          <w:color w:val="008356"/>
          <w:spacing w:val="4"/>
          <w:w w:val="110"/>
          <w:sz w:val="11"/>
        </w:rPr>
        <w:t>QUININE </w:t>
      </w:r>
      <w:r>
        <w:rPr>
          <w:color w:val="231F1F"/>
          <w:w w:val="110"/>
          <w:sz w:val="12"/>
        </w:rPr>
        <w:t>(but should not prevent the use of </w:t>
      </w:r>
      <w:r>
        <w:rPr>
          <w:i/>
          <w:color w:val="231F1F"/>
          <w:w w:val="110"/>
          <w:sz w:val="12"/>
        </w:rPr>
        <w:t>intravenous </w:t>
      </w:r>
      <w:r>
        <w:rPr>
          <w:color w:val="231F1F"/>
          <w:w w:val="110"/>
          <w:sz w:val="12"/>
        </w:rPr>
        <w:t>quinine in </w:t>
      </w:r>
      <w:r>
        <w:rPr>
          <w:color w:val="231F1F"/>
          <w:spacing w:val="-3"/>
          <w:w w:val="110"/>
          <w:sz w:val="12"/>
        </w:rPr>
        <w:t>severe </w:t>
      </w:r>
      <w:r>
        <w:rPr>
          <w:color w:val="231F1F"/>
          <w:w w:val="110"/>
          <w:sz w:val="12"/>
        </w:rPr>
        <w:t>cases)</w:t>
      </w:r>
    </w:p>
    <w:p>
      <w:pPr>
        <w:pStyle w:val="BodyText"/>
        <w:spacing w:line="244" w:lineRule="auto"/>
        <w:ind w:left="286" w:right="91" w:hanging="100"/>
        <w:rPr>
          <w:rFonts w:ascii="Calibri" w:hAnsi="Calibri"/>
          <w:sz w:val="11"/>
        </w:rPr>
      </w:pPr>
      <w:r>
        <w:rPr>
          <w:rFonts w:ascii="Arial" w:hAnsi="Arial"/>
          <w:color w:val="231F1F"/>
          <w:w w:val="355"/>
          <w:position w:val="1"/>
          <w:sz w:val="7"/>
        </w:rPr>
        <w:t>l </w:t>
      </w:r>
      <w:r>
        <w:rPr>
          <w:rFonts w:ascii="Calibri" w:hAnsi="Calibri"/>
          <w:color w:val="231F1F"/>
          <w:w w:val="110"/>
        </w:rPr>
        <w:t>Antipsychotics: </w:t>
      </w:r>
      <w:r>
        <w:rPr>
          <w:color w:val="231F1F"/>
          <w:w w:val="110"/>
        </w:rPr>
        <w:t>possible increased risk of ventricular arrhythmias when mefloquine given with </w:t>
      </w:r>
      <w:r>
        <w:rPr>
          <w:rFonts w:ascii="Arial" w:hAnsi="Arial"/>
          <w:color w:val="231F1F"/>
          <w:w w:val="355"/>
          <w:position w:val="1"/>
          <w:sz w:val="7"/>
        </w:rPr>
        <w:t>l </w:t>
      </w:r>
      <w:r>
        <w:rPr>
          <w:rFonts w:ascii="Calibri" w:hAnsi="Calibri"/>
          <w:color w:val="008356"/>
          <w:spacing w:val="4"/>
          <w:w w:val="110"/>
          <w:sz w:val="11"/>
        </w:rPr>
        <w:t>HALOPERIDOL</w:t>
      </w:r>
      <w:r>
        <w:rPr>
          <w:rFonts w:ascii="Arial" w:hAnsi="Arial"/>
          <w:color w:val="231F1F"/>
          <w:spacing w:val="4"/>
          <w:w w:val="110"/>
        </w:rPr>
        <w:t>— </w:t>
      </w:r>
      <w:r>
        <w:rPr>
          <w:color w:val="231F1F"/>
          <w:w w:val="110"/>
        </w:rPr>
        <w:t>avoid concomitant use; avoidance of mefloquine advised </w:t>
      </w:r>
      <w:r>
        <w:rPr>
          <w:color w:val="231F1F"/>
          <w:spacing w:val="-7"/>
          <w:w w:val="110"/>
        </w:rPr>
        <w:t>by </w:t>
      </w:r>
      <w:r>
        <w:rPr>
          <w:color w:val="231F1F"/>
          <w:w w:val="110"/>
        </w:rPr>
        <w:t>manufacturer of </w:t>
      </w:r>
      <w:r>
        <w:rPr>
          <w:rFonts w:ascii="Calibri" w:hAnsi="Calibri"/>
          <w:color w:val="008356"/>
          <w:spacing w:val="4"/>
          <w:w w:val="110"/>
          <w:sz w:val="11"/>
        </w:rPr>
        <w:t>AMISULPRIDE</w:t>
      </w:r>
      <w:r>
        <w:rPr>
          <w:color w:val="231F1F"/>
          <w:spacing w:val="4"/>
          <w:w w:val="110"/>
        </w:rPr>
        <w:t>; </w:t>
      </w:r>
      <w:r>
        <w:rPr>
          <w:color w:val="231F1F"/>
          <w:w w:val="110"/>
        </w:rPr>
        <w:t>increased risk of ventricular arrhythmias when mefloquine given with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2"/>
          <w:w w:val="110"/>
          <w:sz w:val="11"/>
        </w:rPr>
        <w:t>PIMOZIDE</w:t>
      </w:r>
      <w:r>
        <w:rPr>
          <w:rFonts w:ascii="Arial" w:hAnsi="Arial"/>
          <w:color w:val="231F1F"/>
          <w:spacing w:val="2"/>
          <w:w w:val="110"/>
        </w:rPr>
        <w:t>—</w:t>
      </w:r>
      <w:r>
        <w:rPr>
          <w:color w:val="231F1F"/>
          <w:spacing w:val="2"/>
          <w:w w:val="110"/>
        </w:rPr>
        <w:t>avoid </w:t>
      </w:r>
      <w:r>
        <w:rPr>
          <w:color w:val="231F1F"/>
          <w:w w:val="110"/>
        </w:rPr>
        <w:t>concomitant use; manufacturer of risperidone advises possible risk of ventricular arrhythmias when mefloquine given with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5"/>
          <w:w w:val="110"/>
          <w:sz w:val="11"/>
        </w:rPr>
        <w:t>RISPERIDONE</w:t>
      </w:r>
    </w:p>
    <w:p>
      <w:pPr>
        <w:pStyle w:val="BodyText"/>
        <w:spacing w:line="220" w:lineRule="auto" w:before="4"/>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mefloquine  possibly  reduces  plasma  </w:t>
      </w:r>
      <w:r>
        <w:rPr>
          <w:color w:val="231F1F"/>
          <w:spacing w:val="-2"/>
          <w:w w:val="105"/>
        </w:rPr>
        <w:t>concentration </w:t>
      </w:r>
      <w:r>
        <w:rPr>
          <w:color w:val="231F1F"/>
          <w:w w:val="105"/>
        </w:rPr>
        <w:t>of </w:t>
      </w:r>
      <w:r>
        <w:rPr>
          <w:rFonts w:ascii="Calibri" w:hAnsi="Calibri"/>
          <w:color w:val="008356"/>
          <w:spacing w:val="4"/>
          <w:w w:val="105"/>
          <w:sz w:val="11"/>
        </w:rPr>
        <w:t>RITONAVIR</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Mefloquine </w:t>
      </w:r>
      <w:r>
        <w:rPr>
          <w:rFonts w:ascii="Calibri"/>
          <w:color w:val="231F1F"/>
        </w:rPr>
        <w:t>(continued)</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increased risk of ventricular arrhythmias </w:t>
      </w:r>
      <w:r>
        <w:rPr>
          <w:color w:val="231F1F"/>
          <w:spacing w:val="-3"/>
          <w:w w:val="110"/>
        </w:rPr>
        <w:t>when </w:t>
      </w:r>
      <w:r>
        <w:rPr>
          <w:color w:val="231F1F"/>
          <w:w w:val="110"/>
        </w:rPr>
        <w:t>mefloquine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ATOMOXETINE</w:t>
      </w:r>
    </w:p>
    <w:p>
      <w:pPr>
        <w:pStyle w:val="BodyText"/>
        <w:spacing w:line="220" w:lineRule="auto" w:before="3"/>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increased risk of bradycardia when mefloquine given with </w:t>
      </w:r>
      <w:r>
        <w:rPr>
          <w:rFonts w:ascii="Calibri" w:hAnsi="Calibri"/>
          <w:color w:val="008356"/>
          <w:w w:val="105"/>
          <w:sz w:val="11"/>
        </w:rPr>
        <w:t>BETA-BLOCKERS</w:t>
      </w:r>
    </w:p>
    <w:p>
      <w:pPr>
        <w:spacing w:line="237" w:lineRule="auto" w:before="2"/>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possible increased risk of bradycardia when mefloquine given with </w:t>
      </w:r>
      <w:r>
        <w:rPr>
          <w:rFonts w:ascii="Calibri" w:hAnsi="Calibri"/>
          <w:color w:val="008356"/>
          <w:w w:val="105"/>
          <w:sz w:val="11"/>
        </w:rPr>
        <w:t>CALCIUM-CHANNEL BLOCKERS</w:t>
      </w:r>
    </w:p>
    <w:p>
      <w:pPr>
        <w:pStyle w:val="BodyText"/>
        <w:spacing w:line="220" w:lineRule="auto" w:before="5"/>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Cardiac Glycosides: </w:t>
      </w:r>
      <w:r>
        <w:rPr>
          <w:color w:val="231F1F"/>
          <w:w w:val="110"/>
        </w:rPr>
        <w:t>possible increased risk of bradycardia when mefloquine given with </w:t>
      </w:r>
      <w:r>
        <w:rPr>
          <w:rFonts w:ascii="Calibri" w:hAnsi="Calibri"/>
          <w:color w:val="008356"/>
          <w:w w:val="110"/>
          <w:sz w:val="11"/>
        </w:rPr>
        <w:t>DIGOXIN</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possible increased risk of bradycardia when mefloquine given with </w:t>
      </w:r>
      <w:r>
        <w:rPr>
          <w:rFonts w:ascii="Calibri" w:hAnsi="Calibri"/>
          <w:color w:val="008356"/>
          <w:w w:val="110"/>
          <w:sz w:val="11"/>
        </w:rPr>
        <w:t>CRIZOTINIB</w:t>
      </w:r>
    </w:p>
    <w:p>
      <w:pPr>
        <w:pStyle w:val="BodyText"/>
        <w:spacing w:line="220" w:lineRule="auto" w:before="8"/>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t>
      </w:r>
      <w:r>
        <w:rPr>
          <w:color w:val="231F1F"/>
          <w:spacing w:val="-4"/>
          <w:w w:val="110"/>
        </w:rPr>
        <w:t>when </w:t>
      </w:r>
      <w:r>
        <w:rPr>
          <w:color w:val="231F1F"/>
          <w:w w:val="110"/>
        </w:rPr>
        <w:t>mefloquine given with </w:t>
      </w:r>
      <w:r>
        <w:rPr>
          <w:rFonts w:ascii="Arial"/>
          <w:color w:val="231F1F"/>
          <w:w w:val="355"/>
          <w:position w:val="1"/>
          <w:sz w:val="7"/>
        </w:rPr>
        <w:t>l </w:t>
      </w:r>
      <w:r>
        <w:rPr>
          <w:rFonts w:ascii="Calibri"/>
          <w:color w:val="008356"/>
          <w:spacing w:val="4"/>
          <w:w w:val="110"/>
          <w:sz w:val="11"/>
        </w:rPr>
        <w:t>IVABRADINE</w:t>
      </w:r>
    </w:p>
    <w:p>
      <w:pPr>
        <w:spacing w:line="220" w:lineRule="auto" w:before="6"/>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86"/>
      </w:pPr>
      <w:r>
        <w:rPr>
          <w:rFonts w:ascii="Trebuchet MS"/>
          <w:color w:val="008356"/>
          <w:w w:val="110"/>
        </w:rPr>
        <w:t>Megestrol </w:t>
      </w:r>
      <w:r>
        <w:rPr>
          <w:i/>
          <w:color w:val="231F1F"/>
          <w:w w:val="110"/>
        </w:rPr>
        <w:t>see </w:t>
      </w:r>
      <w:r>
        <w:rPr>
          <w:color w:val="231F1F"/>
          <w:w w:val="110"/>
        </w:rPr>
        <w:t>Progestogens</w:t>
      </w:r>
    </w:p>
    <w:p>
      <w:pPr>
        <w:pStyle w:val="BodyText"/>
        <w:spacing w:before="11"/>
        <w:ind w:left="186"/>
      </w:pPr>
      <w:r>
        <w:rPr>
          <w:rFonts w:ascii="Trebuchet MS"/>
          <w:color w:val="008356"/>
          <w:w w:val="110"/>
        </w:rPr>
        <w:t>Melatonin </w:t>
      </w:r>
      <w:r>
        <w:rPr>
          <w:i/>
          <w:color w:val="231F1F"/>
          <w:w w:val="110"/>
        </w:rPr>
        <w:t>see </w:t>
      </w:r>
      <w:r>
        <w:rPr>
          <w:color w:val="231F1F"/>
          <w:w w:val="110"/>
        </w:rPr>
        <w:t>Anxiolytics and Hypnotics</w:t>
      </w:r>
    </w:p>
    <w:p>
      <w:pPr>
        <w:pStyle w:val="BodyText"/>
        <w:spacing w:before="10"/>
        <w:ind w:left="186"/>
      </w:pPr>
      <w:r>
        <w:rPr>
          <w:rFonts w:ascii="Trebuchet MS"/>
          <w:color w:val="008356"/>
          <w:w w:val="105"/>
        </w:rPr>
        <w:t>Meloxicam </w:t>
      </w:r>
      <w:r>
        <w:rPr>
          <w:i/>
          <w:color w:val="231F1F"/>
          <w:w w:val="105"/>
        </w:rPr>
        <w:t>see </w:t>
      </w:r>
      <w:r>
        <w:rPr>
          <w:color w:val="231F1F"/>
          <w:w w:val="105"/>
        </w:rPr>
        <w:t>NSAIDs</w:t>
      </w:r>
    </w:p>
    <w:p>
      <w:pPr>
        <w:pStyle w:val="BodyText"/>
        <w:spacing w:before="9"/>
        <w:ind w:left="186"/>
        <w:rPr>
          <w:rFonts w:ascii="Trebuchet MS"/>
        </w:rPr>
      </w:pPr>
      <w:r>
        <w:rPr>
          <w:rFonts w:ascii="Trebuchet MS"/>
          <w:color w:val="008356"/>
          <w:w w:val="105"/>
        </w:rPr>
        <w:t>Melphalan</w:t>
      </w:r>
    </w:p>
    <w:p>
      <w:pPr>
        <w:pStyle w:val="BodyText"/>
        <w:spacing w:line="220" w:lineRule="auto" w:before="10"/>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increased risk of melphalan toxicity when given with </w:t>
      </w:r>
      <w:r>
        <w:rPr>
          <w:rFonts w:ascii="Calibri" w:hAnsi="Calibri"/>
          <w:color w:val="008356"/>
          <w:w w:val="105"/>
          <w:sz w:val="11"/>
        </w:rPr>
        <w:t>NALIDIXIC ACID</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melphalan possibly reduces absorption of</w:t>
      </w:r>
    </w:p>
    <w:p>
      <w:pPr>
        <w:spacing w:line="134" w:lineRule="exact" w:before="0"/>
        <w:ind w:left="286" w:right="0" w:firstLine="0"/>
        <w:jc w:val="left"/>
        <w:rPr>
          <w:i/>
          <w:sz w:val="12"/>
        </w:rPr>
      </w:pPr>
      <w:r>
        <w:rPr>
          <w:rFonts w:ascii="Calibri"/>
          <w:color w:val="008356"/>
          <w:w w:val="105"/>
          <w:sz w:val="11"/>
        </w:rPr>
        <w:t>DIGOXIN </w:t>
      </w:r>
      <w:r>
        <w:rPr>
          <w:i/>
          <w:color w:val="231F1F"/>
          <w:w w:val="105"/>
          <w:sz w:val="12"/>
        </w:rPr>
        <w:t>tablets</w:t>
      </w:r>
    </w:p>
    <w:p>
      <w:pPr>
        <w:pStyle w:val="BodyText"/>
        <w:ind w:left="286" w:right="669"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nephrotoxicity when melphalan given with </w:t>
      </w:r>
      <w:r>
        <w:rPr>
          <w:rFonts w:ascii="Arial"/>
          <w:color w:val="231F1F"/>
          <w:w w:val="355"/>
          <w:position w:val="1"/>
          <w:sz w:val="7"/>
        </w:rPr>
        <w:t>l </w:t>
      </w:r>
      <w:r>
        <w:rPr>
          <w:rFonts w:ascii="Calibri"/>
          <w:color w:val="008356"/>
          <w:spacing w:val="4"/>
          <w:w w:val="110"/>
          <w:sz w:val="11"/>
        </w:rPr>
        <w:t>CICLOSPORIN</w:t>
      </w:r>
    </w:p>
    <w:p>
      <w:pPr>
        <w:pStyle w:val="BodyText"/>
        <w:spacing w:before="5"/>
        <w:ind w:left="186"/>
        <w:rPr>
          <w:rFonts w:ascii="Trebuchet MS"/>
        </w:rPr>
      </w:pPr>
      <w:r>
        <w:rPr>
          <w:rFonts w:ascii="Trebuchet MS"/>
          <w:color w:val="008356"/>
        </w:rPr>
        <w:t>Memantine</w:t>
      </w:r>
    </w:p>
    <w:p>
      <w:pPr>
        <w:pStyle w:val="BodyText"/>
        <w:spacing w:before="1"/>
        <w:ind w:left="286" w:right="863" w:hanging="100"/>
      </w:pPr>
      <w:r>
        <w:rPr>
          <w:rFonts w:ascii="Arial"/>
          <w:color w:val="231F1F"/>
          <w:w w:val="200"/>
          <w:position w:val="1"/>
          <w:sz w:val="7"/>
        </w:rPr>
        <w:t>l</w:t>
      </w:r>
      <w:r>
        <w:rPr>
          <w:rFonts w:ascii="Arial"/>
          <w:color w:val="231F1F"/>
          <w:spacing w:val="-26"/>
          <w:w w:val="200"/>
          <w:position w:val="1"/>
          <w:sz w:val="7"/>
        </w:rPr>
        <w:t> </w:t>
      </w:r>
      <w:r>
        <w:rPr>
          <w:rFonts w:ascii="Calibri"/>
          <w:color w:val="231F1F"/>
          <w:w w:val="115"/>
        </w:rPr>
        <w:t>Anaesthetics,</w:t>
      </w:r>
      <w:r>
        <w:rPr>
          <w:rFonts w:ascii="Calibri"/>
          <w:color w:val="231F1F"/>
          <w:spacing w:val="-22"/>
          <w:w w:val="115"/>
        </w:rPr>
        <w:t> </w:t>
      </w:r>
      <w:r>
        <w:rPr>
          <w:rFonts w:ascii="Calibri"/>
          <w:color w:val="231F1F"/>
          <w:w w:val="115"/>
        </w:rPr>
        <w:t>General:</w:t>
      </w:r>
      <w:r>
        <w:rPr>
          <w:rFonts w:ascii="Calibri"/>
          <w:color w:val="231F1F"/>
          <w:spacing w:val="-21"/>
          <w:w w:val="115"/>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CNS</w:t>
      </w:r>
      <w:r>
        <w:rPr>
          <w:color w:val="231F1F"/>
          <w:spacing w:val="-24"/>
          <w:w w:val="115"/>
        </w:rPr>
        <w:t> </w:t>
      </w:r>
      <w:r>
        <w:rPr>
          <w:color w:val="231F1F"/>
          <w:w w:val="115"/>
        </w:rPr>
        <w:t>toxicity</w:t>
      </w:r>
      <w:r>
        <w:rPr>
          <w:color w:val="231F1F"/>
          <w:spacing w:val="-24"/>
          <w:w w:val="115"/>
        </w:rPr>
        <w:t> </w:t>
      </w:r>
      <w:r>
        <w:rPr>
          <w:color w:val="231F1F"/>
          <w:spacing w:val="-4"/>
          <w:w w:val="115"/>
        </w:rPr>
        <w:t>when </w:t>
      </w:r>
      <w:r>
        <w:rPr>
          <w:color w:val="231F1F"/>
          <w:w w:val="115"/>
        </w:rPr>
        <w:t>memantine given with </w:t>
      </w:r>
      <w:r>
        <w:rPr>
          <w:rFonts w:ascii="Arial"/>
          <w:color w:val="231F1F"/>
          <w:w w:val="355"/>
          <w:position w:val="1"/>
          <w:sz w:val="7"/>
        </w:rPr>
        <w:t>l </w:t>
      </w:r>
      <w:r>
        <w:rPr>
          <w:rFonts w:ascii="Calibri"/>
          <w:color w:val="008356"/>
          <w:spacing w:val="3"/>
          <w:w w:val="115"/>
          <w:sz w:val="11"/>
        </w:rPr>
        <w:t>KETAMINE </w:t>
      </w:r>
      <w:r>
        <w:rPr>
          <w:color w:val="231F1F"/>
          <w:w w:val="115"/>
        </w:rPr>
        <w:t>(manufacturer of memantine advises avoid concomitant</w:t>
      </w:r>
      <w:r>
        <w:rPr>
          <w:color w:val="231F1F"/>
          <w:spacing w:val="-18"/>
          <w:w w:val="115"/>
        </w:rPr>
        <w:t> </w:t>
      </w:r>
      <w:r>
        <w:rPr>
          <w:color w:val="231F1F"/>
          <w:w w:val="115"/>
        </w:rPr>
        <w:t>use)</w:t>
      </w:r>
    </w:p>
    <w:p>
      <w:pPr>
        <w:pStyle w:val="BodyText"/>
        <w:spacing w:before="2"/>
        <w:ind w:left="286" w:right="762" w:hanging="100"/>
      </w:pPr>
      <w:r>
        <w:rPr>
          <w:rFonts w:ascii="Arial"/>
          <w:color w:val="231F1F"/>
          <w:w w:val="355"/>
          <w:position w:val="1"/>
          <w:sz w:val="7"/>
        </w:rPr>
        <w:t>l </w:t>
      </w:r>
      <w:r>
        <w:rPr>
          <w:rFonts w:ascii="Calibri"/>
          <w:color w:val="231F1F"/>
          <w:w w:val="105"/>
        </w:rPr>
        <w:t>Analgesics: </w:t>
      </w:r>
      <w:r>
        <w:rPr>
          <w:color w:val="231F1F"/>
          <w:w w:val="105"/>
        </w:rPr>
        <w:t>increased risk of CNS toxicity when memantine given with </w:t>
      </w:r>
      <w:r>
        <w:rPr>
          <w:rFonts w:ascii="Arial"/>
          <w:color w:val="231F1F"/>
          <w:w w:val="355"/>
          <w:position w:val="1"/>
          <w:sz w:val="7"/>
        </w:rPr>
        <w:t>l </w:t>
      </w:r>
      <w:r>
        <w:rPr>
          <w:rFonts w:ascii="Calibri"/>
          <w:color w:val="008356"/>
          <w:spacing w:val="4"/>
          <w:w w:val="105"/>
          <w:sz w:val="11"/>
        </w:rPr>
        <w:t>DEXTROMETHORPHAN </w:t>
      </w:r>
      <w:r>
        <w:rPr>
          <w:color w:val="231F1F"/>
          <w:w w:val="105"/>
        </w:rPr>
        <w:t>(manufacturer of memantine advises avoid concomitant</w:t>
      </w:r>
      <w:r>
        <w:rPr>
          <w:color w:val="231F1F"/>
          <w:spacing w:val="20"/>
          <w:w w:val="105"/>
        </w:rPr>
        <w:t> </w:t>
      </w:r>
      <w:r>
        <w:rPr>
          <w:color w:val="231F1F"/>
          <w:w w:val="105"/>
        </w:rPr>
        <w:t>use)</w:t>
      </w:r>
    </w:p>
    <w:p>
      <w:pPr>
        <w:pStyle w:val="BodyText"/>
        <w:spacing w:line="220" w:lineRule="auto" w:before="12"/>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memantine possibly enhances anticoagulant effect of </w:t>
      </w:r>
      <w:r>
        <w:rPr>
          <w:rFonts w:ascii="Calibri" w:hAnsi="Calibri"/>
          <w:color w:val="008356"/>
          <w:w w:val="105"/>
          <w:sz w:val="11"/>
        </w:rPr>
        <w:t>WARFARIN</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Antimuscarinics: </w:t>
      </w:r>
      <w:r>
        <w:rPr>
          <w:color w:val="231F1F"/>
          <w:w w:val="105"/>
        </w:rPr>
        <w:t>memantine possibly enhances effects of</w:t>
      </w:r>
    </w:p>
    <w:p>
      <w:pPr>
        <w:spacing w:line="130" w:lineRule="exact" w:before="0"/>
        <w:ind w:left="286" w:right="0" w:firstLine="0"/>
        <w:jc w:val="left"/>
        <w:rPr>
          <w:rFonts w:ascii="Calibri"/>
          <w:sz w:val="11"/>
        </w:rPr>
      </w:pPr>
      <w:r>
        <w:rPr>
          <w:rFonts w:ascii="Calibri"/>
          <w:color w:val="008356"/>
          <w:sz w:val="11"/>
        </w:rPr>
        <w:t>ANTIMUSCARINICS</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Antipsychotics: </w:t>
      </w:r>
      <w:r>
        <w:rPr>
          <w:color w:val="231F1F"/>
          <w:w w:val="105"/>
        </w:rPr>
        <w:t>memantine possibly reduces effects of</w:t>
      </w:r>
    </w:p>
    <w:p>
      <w:pPr>
        <w:spacing w:line="131" w:lineRule="exact" w:before="0"/>
        <w:ind w:left="286" w:right="0" w:firstLine="0"/>
        <w:jc w:val="left"/>
        <w:rPr>
          <w:rFonts w:ascii="Calibri"/>
          <w:sz w:val="11"/>
        </w:rPr>
      </w:pPr>
      <w:r>
        <w:rPr>
          <w:rFonts w:ascii="Calibri"/>
          <w:color w:val="008356"/>
          <w:sz w:val="11"/>
        </w:rPr>
        <w:t>ANTIPSYCHOTICS</w:t>
      </w:r>
    </w:p>
    <w:p>
      <w:pPr>
        <w:pStyle w:val="BodyText"/>
        <w:spacing w:line="242" w:lineRule="auto"/>
        <w:ind w:left="286" w:right="670" w:hanging="100"/>
      </w:pPr>
      <w:r>
        <w:rPr>
          <w:rFonts w:ascii="Arial"/>
          <w:color w:val="231F1F"/>
          <w:w w:val="355"/>
          <w:position w:val="1"/>
          <w:sz w:val="7"/>
        </w:rPr>
        <w:t>l </w:t>
      </w:r>
      <w:r>
        <w:rPr>
          <w:rFonts w:ascii="Calibri"/>
          <w:color w:val="231F1F"/>
          <w:w w:val="105"/>
        </w:rPr>
        <w:t>Dopaminergics: </w:t>
      </w:r>
      <w:r>
        <w:rPr>
          <w:color w:val="231F1F"/>
          <w:w w:val="105"/>
        </w:rPr>
        <w:t>memantine possibly enhances effects of </w:t>
      </w:r>
      <w:r>
        <w:rPr>
          <w:rFonts w:ascii="Calibri"/>
          <w:color w:val="008356"/>
          <w:w w:val="105"/>
          <w:sz w:val="11"/>
        </w:rPr>
        <w:t>DOPAMINERGICS </w:t>
      </w:r>
      <w:r>
        <w:rPr>
          <w:color w:val="231F1F"/>
          <w:w w:val="105"/>
        </w:rPr>
        <w:t>and </w:t>
      </w:r>
      <w:r>
        <w:rPr>
          <w:rFonts w:ascii="Calibri"/>
          <w:color w:val="008356"/>
          <w:w w:val="105"/>
          <w:sz w:val="11"/>
        </w:rPr>
        <w:t>SELEGILINE</w:t>
      </w:r>
      <w:r>
        <w:rPr>
          <w:color w:val="231F1F"/>
          <w:w w:val="105"/>
        </w:rPr>
        <w:t>; increased risk of CNS toxicity when memantine given with </w:t>
      </w:r>
      <w:r>
        <w:rPr>
          <w:rFonts w:ascii="Arial"/>
          <w:color w:val="231F1F"/>
          <w:w w:val="355"/>
          <w:position w:val="1"/>
          <w:sz w:val="7"/>
        </w:rPr>
        <w:t>l </w:t>
      </w:r>
      <w:r>
        <w:rPr>
          <w:rFonts w:ascii="Calibri"/>
          <w:color w:val="008356"/>
          <w:w w:val="105"/>
          <w:sz w:val="11"/>
        </w:rPr>
        <w:t>AMANTADINE </w:t>
      </w:r>
      <w:r>
        <w:rPr>
          <w:color w:val="231F1F"/>
          <w:w w:val="105"/>
        </w:rPr>
        <w:t>(manufacturer of memantine advises avoid concomitant use)</w:t>
      </w:r>
    </w:p>
    <w:p>
      <w:pPr>
        <w:pStyle w:val="BodyText"/>
        <w:spacing w:line="150" w:lineRule="exact"/>
        <w:ind w:left="186"/>
      </w:pPr>
      <w:r>
        <w:rPr>
          <w:rFonts w:ascii="Lucida Sans Unicode" w:hAnsi="Lucida Sans Unicode"/>
          <w:color w:val="A7A8AC"/>
          <w:w w:val="95"/>
          <w:sz w:val="10"/>
        </w:rPr>
        <w:t>▶ </w:t>
      </w:r>
      <w:r>
        <w:rPr>
          <w:rFonts w:ascii="Calibri" w:hAnsi="Calibri"/>
          <w:color w:val="231F1F"/>
          <w:w w:val="105"/>
        </w:rPr>
        <w:t>Muscle Relaxants: </w:t>
      </w:r>
      <w:r>
        <w:rPr>
          <w:color w:val="231F1F"/>
          <w:w w:val="105"/>
        </w:rPr>
        <w:t>memantine possibly modifies effects of</w:t>
      </w:r>
    </w:p>
    <w:p>
      <w:pPr>
        <w:spacing w:line="135" w:lineRule="exact" w:before="0"/>
        <w:ind w:left="286" w:right="0" w:firstLine="0"/>
        <w:jc w:val="left"/>
        <w:rPr>
          <w:rFonts w:ascii="Calibri"/>
          <w:sz w:val="11"/>
        </w:rPr>
      </w:pPr>
      <w:r>
        <w:rPr>
          <w:rFonts w:ascii="Calibri"/>
          <w:color w:val="008356"/>
          <w:w w:val="105"/>
          <w:sz w:val="11"/>
        </w:rPr>
        <w:t>BACLOFEN </w:t>
      </w:r>
      <w:r>
        <w:rPr>
          <w:color w:val="231F1F"/>
          <w:w w:val="105"/>
          <w:sz w:val="12"/>
        </w:rPr>
        <w:t>and </w:t>
      </w:r>
      <w:r>
        <w:rPr>
          <w:rFonts w:ascii="Calibri"/>
          <w:color w:val="008356"/>
          <w:w w:val="105"/>
          <w:sz w:val="11"/>
        </w:rPr>
        <w:t>DANTROLENE</w:t>
      </w:r>
    </w:p>
    <w:p>
      <w:pPr>
        <w:pStyle w:val="BodyText"/>
        <w:spacing w:before="6"/>
        <w:ind w:left="186"/>
      </w:pPr>
      <w:r>
        <w:rPr>
          <w:rFonts w:ascii="Trebuchet MS"/>
          <w:color w:val="008356"/>
        </w:rPr>
        <w:t>Meningococcal Vaccines </w:t>
      </w:r>
      <w:r>
        <w:rPr>
          <w:i/>
          <w:color w:val="231F1F"/>
        </w:rPr>
        <w:t>see </w:t>
      </w:r>
      <w:r>
        <w:rPr>
          <w:color w:val="231F1F"/>
        </w:rPr>
        <w:t>Vaccines</w:t>
      </w:r>
    </w:p>
    <w:p>
      <w:pPr>
        <w:pStyle w:val="BodyText"/>
        <w:spacing w:before="10"/>
        <w:ind w:left="186"/>
        <w:rPr>
          <w:rFonts w:ascii="Trebuchet MS"/>
        </w:rPr>
      </w:pPr>
      <w:r>
        <w:rPr>
          <w:rFonts w:ascii="Trebuchet MS"/>
          <w:color w:val="008356"/>
        </w:rPr>
        <w:t>Mepacrine</w:t>
      </w:r>
    </w:p>
    <w:p>
      <w:pPr>
        <w:pStyle w:val="BodyText"/>
        <w:spacing w:line="152" w:lineRule="exact" w:before="1"/>
        <w:ind w:left="186"/>
      </w:pPr>
      <w:r>
        <w:rPr>
          <w:rFonts w:ascii="Lucida Sans Unicode" w:hAnsi="Lucida Sans Unicode"/>
          <w:color w:val="A7A8AC"/>
          <w:w w:val="95"/>
          <w:sz w:val="10"/>
        </w:rPr>
        <w:t>▶ </w:t>
      </w:r>
      <w:r>
        <w:rPr>
          <w:rFonts w:ascii="Calibri" w:hAnsi="Calibri"/>
          <w:color w:val="231F1F"/>
          <w:w w:val="105"/>
        </w:rPr>
        <w:t>Antimalarials: </w:t>
      </w:r>
      <w:r>
        <w:rPr>
          <w:color w:val="231F1F"/>
          <w:w w:val="105"/>
        </w:rPr>
        <w:t>mepacrine increases plasma concentration of</w:t>
      </w:r>
    </w:p>
    <w:p>
      <w:pPr>
        <w:pStyle w:val="BodyText"/>
        <w:spacing w:line="256" w:lineRule="auto"/>
        <w:ind w:left="186" w:right="1404" w:firstLine="99"/>
        <w:rPr>
          <w:rFonts w:ascii="Trebuchet MS"/>
        </w:rPr>
      </w:pPr>
      <w:r>
        <w:rPr>
          <w:rFonts w:ascii="Calibri"/>
          <w:color w:val="008356"/>
          <w:w w:val="105"/>
          <w:sz w:val="11"/>
        </w:rPr>
        <w:t>PRIMAQUINE </w:t>
      </w:r>
      <w:r>
        <w:rPr>
          <w:color w:val="231F1F"/>
          <w:w w:val="105"/>
        </w:rPr>
        <w:t>(increased risk of toxicity) </w:t>
      </w:r>
      <w:r>
        <w:rPr>
          <w:rFonts w:ascii="Trebuchet MS"/>
          <w:color w:val="008356"/>
          <w:w w:val="105"/>
        </w:rPr>
        <w:t>Meprobamate </w:t>
      </w:r>
      <w:r>
        <w:rPr>
          <w:i/>
          <w:color w:val="231F1F"/>
          <w:w w:val="105"/>
        </w:rPr>
        <w:t>see </w:t>
      </w:r>
      <w:r>
        <w:rPr>
          <w:color w:val="231F1F"/>
          <w:w w:val="105"/>
        </w:rPr>
        <w:t>Anxiolytics and Hypnotics </w:t>
      </w:r>
      <w:r>
        <w:rPr>
          <w:rFonts w:ascii="Trebuchet MS"/>
          <w:color w:val="008356"/>
          <w:w w:val="105"/>
        </w:rPr>
        <w:t>Meptazinol </w:t>
      </w:r>
      <w:r>
        <w:rPr>
          <w:i/>
          <w:color w:val="231F1F"/>
          <w:w w:val="105"/>
        </w:rPr>
        <w:t>see </w:t>
      </w:r>
      <w:r>
        <w:rPr>
          <w:color w:val="231F1F"/>
          <w:w w:val="105"/>
        </w:rPr>
        <w:t>Opioid Analgesics </w:t>
      </w:r>
      <w:r>
        <w:rPr>
          <w:rFonts w:ascii="Trebuchet MS"/>
          <w:color w:val="008356"/>
          <w:w w:val="105"/>
        </w:rPr>
        <w:t>Mercaptopurine</w:t>
      </w:r>
    </w:p>
    <w:p>
      <w:pPr>
        <w:pStyle w:val="BodyText"/>
        <w:spacing w:line="136" w:lineRule="exact"/>
        <w:ind w:left="186"/>
      </w:pPr>
      <w:r>
        <w:rPr>
          <w:rFonts w:ascii="Arial"/>
          <w:color w:val="231F1F"/>
          <w:w w:val="355"/>
          <w:position w:val="1"/>
          <w:sz w:val="7"/>
        </w:rPr>
        <w:t>l </w:t>
      </w:r>
      <w:r>
        <w:rPr>
          <w:rFonts w:ascii="Calibri"/>
          <w:color w:val="231F1F"/>
          <w:w w:val="115"/>
        </w:rPr>
        <w:t>Allopurinol: </w:t>
      </w:r>
      <w:r>
        <w:rPr>
          <w:color w:val="231F1F"/>
          <w:w w:val="115"/>
        </w:rPr>
        <w:t>enhanced effects and increased toxicity of</w:t>
      </w:r>
    </w:p>
    <w:p>
      <w:pPr>
        <w:pStyle w:val="BodyText"/>
        <w:spacing w:line="244" w:lineRule="auto"/>
        <w:ind w:left="286" w:right="597"/>
      </w:pPr>
      <w:r>
        <w:rPr>
          <w:color w:val="231F1F"/>
          <w:w w:val="110"/>
        </w:rPr>
        <w:t>mercaptopurine when given with </w:t>
      </w:r>
      <w:r>
        <w:rPr>
          <w:rFonts w:ascii="Arial"/>
          <w:color w:val="231F1F"/>
          <w:w w:val="355"/>
          <w:position w:val="1"/>
          <w:sz w:val="7"/>
        </w:rPr>
        <w:t>l </w:t>
      </w:r>
      <w:r>
        <w:rPr>
          <w:rFonts w:ascii="Calibri"/>
          <w:color w:val="008356"/>
          <w:w w:val="110"/>
          <w:sz w:val="11"/>
        </w:rPr>
        <w:t>ALLOPURINOL </w:t>
      </w:r>
      <w:r>
        <w:rPr>
          <w:color w:val="231F1F"/>
          <w:w w:val="110"/>
        </w:rPr>
        <w:t>(reduce dose of mercaptopurine to one quarter of usual dose)</w:t>
      </w:r>
    </w:p>
    <w:p>
      <w:pPr>
        <w:pStyle w:val="BodyText"/>
        <w:spacing w:line="242" w:lineRule="auto"/>
        <w:ind w:left="286" w:right="597" w:hanging="100"/>
      </w:pPr>
      <w:r>
        <w:rPr>
          <w:rFonts w:ascii="Arial"/>
          <w:color w:val="231F1F"/>
          <w:w w:val="355"/>
          <w:position w:val="1"/>
          <w:sz w:val="7"/>
        </w:rPr>
        <w:t>l </w:t>
      </w:r>
      <w:r>
        <w:rPr>
          <w:rFonts w:ascii="Calibri"/>
          <w:color w:val="231F1F"/>
          <w:w w:val="110"/>
        </w:rPr>
        <w:t>Antibacterials: </w:t>
      </w:r>
      <w:r>
        <w:rPr>
          <w:color w:val="231F1F"/>
          <w:w w:val="110"/>
        </w:rPr>
        <w:t>increased risk of haematological toxicity when mercaptopurine given with </w:t>
      </w:r>
      <w:r>
        <w:rPr>
          <w:rFonts w:ascii="Arial"/>
          <w:color w:val="231F1F"/>
          <w:w w:val="355"/>
          <w:position w:val="1"/>
          <w:sz w:val="7"/>
        </w:rPr>
        <w:t>l </w:t>
      </w:r>
      <w:r>
        <w:rPr>
          <w:rFonts w:ascii="Calibri"/>
          <w:color w:val="008356"/>
          <w:w w:val="110"/>
          <w:sz w:val="11"/>
        </w:rPr>
        <w:t>SULFAMETHOXAZOLE </w:t>
      </w:r>
      <w:r>
        <w:rPr>
          <w:color w:val="231F1F"/>
          <w:w w:val="110"/>
        </w:rPr>
        <w:t>(as co- trimoxazole); increased risk of haematological toxicity when mercaptopurine given with </w:t>
      </w:r>
      <w:r>
        <w:rPr>
          <w:rFonts w:ascii="Arial"/>
          <w:color w:val="231F1F"/>
          <w:w w:val="355"/>
          <w:position w:val="1"/>
          <w:sz w:val="7"/>
        </w:rPr>
        <w:t>l </w:t>
      </w:r>
      <w:r>
        <w:rPr>
          <w:rFonts w:ascii="Calibri"/>
          <w:color w:val="008356"/>
          <w:w w:val="110"/>
          <w:sz w:val="11"/>
        </w:rPr>
        <w:t>TRIMETHOPRIM </w:t>
      </w:r>
      <w:r>
        <w:rPr>
          <w:color w:val="231F1F"/>
          <w:w w:val="110"/>
        </w:rPr>
        <w:t>(also with co- trimoxazole)</w:t>
      </w:r>
    </w:p>
    <w:p>
      <w:pPr>
        <w:pStyle w:val="BodyText"/>
        <w:ind w:left="286" w:right="1332" w:hanging="100"/>
        <w:rPr>
          <w:rFonts w:ascii="Calibri"/>
          <w:sz w:val="11"/>
        </w:rPr>
      </w:pPr>
      <w:r>
        <w:rPr>
          <w:rFonts w:ascii="Arial"/>
          <w:color w:val="231F1F"/>
          <w:w w:val="205"/>
          <w:position w:val="1"/>
          <w:sz w:val="7"/>
        </w:rPr>
        <w:t>l</w:t>
      </w:r>
      <w:r>
        <w:rPr>
          <w:rFonts w:ascii="Arial"/>
          <w:color w:val="231F1F"/>
          <w:spacing w:val="-27"/>
          <w:w w:val="205"/>
          <w:position w:val="1"/>
          <w:sz w:val="7"/>
        </w:rPr>
        <w:t> </w:t>
      </w:r>
      <w:r>
        <w:rPr>
          <w:rFonts w:ascii="Calibri"/>
          <w:color w:val="231F1F"/>
          <w:w w:val="115"/>
        </w:rPr>
        <w:t>Anticoagulants:</w:t>
      </w:r>
      <w:r>
        <w:rPr>
          <w:rFonts w:ascii="Calibri"/>
          <w:color w:val="231F1F"/>
          <w:spacing w:val="-21"/>
          <w:w w:val="115"/>
        </w:rPr>
        <w:t> </w:t>
      </w:r>
      <w:r>
        <w:rPr>
          <w:color w:val="231F1F"/>
          <w:w w:val="115"/>
        </w:rPr>
        <w:t>mercaptopurine</w:t>
      </w:r>
      <w:r>
        <w:rPr>
          <w:color w:val="231F1F"/>
          <w:spacing w:val="-24"/>
          <w:w w:val="115"/>
        </w:rPr>
        <w:t> </w:t>
      </w:r>
      <w:r>
        <w:rPr>
          <w:color w:val="231F1F"/>
          <w:w w:val="115"/>
        </w:rPr>
        <w:t>possibly</w:t>
      </w:r>
      <w:r>
        <w:rPr>
          <w:color w:val="231F1F"/>
          <w:spacing w:val="-24"/>
          <w:w w:val="115"/>
        </w:rPr>
        <w:t> </w:t>
      </w:r>
      <w:r>
        <w:rPr>
          <w:color w:val="231F1F"/>
          <w:w w:val="115"/>
        </w:rPr>
        <w:t>reduces anticoagulant</w:t>
      </w:r>
      <w:r>
        <w:rPr>
          <w:color w:val="231F1F"/>
          <w:spacing w:val="-8"/>
          <w:w w:val="115"/>
        </w:rPr>
        <w:t> </w:t>
      </w:r>
      <w:r>
        <w:rPr>
          <w:color w:val="231F1F"/>
          <w:w w:val="115"/>
        </w:rPr>
        <w:t>effect</w:t>
      </w:r>
      <w:r>
        <w:rPr>
          <w:color w:val="231F1F"/>
          <w:spacing w:val="-8"/>
          <w:w w:val="115"/>
        </w:rPr>
        <w:t> </w:t>
      </w:r>
      <w:r>
        <w:rPr>
          <w:color w:val="231F1F"/>
          <w:w w:val="115"/>
        </w:rPr>
        <w:t>of</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5"/>
          <w:w w:val="115"/>
          <w:sz w:val="11"/>
        </w:rPr>
        <w:t>COUMARINS</w:t>
      </w:r>
    </w:p>
    <w:p>
      <w:pPr>
        <w:pStyle w:val="BodyText"/>
        <w:spacing w:line="143"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37" w:lineRule="auto"/>
        <w:ind w:left="286" w:right="670" w:hanging="100"/>
      </w:pPr>
      <w:r>
        <w:rPr>
          <w:rFonts w:ascii="Lucida Sans Unicode" w:hAnsi="Lucida Sans Unicode"/>
          <w:color w:val="A7A8AC"/>
          <w:w w:val="95"/>
          <w:sz w:val="10"/>
        </w:rPr>
        <w:t>▶ </w:t>
      </w:r>
      <w:r>
        <w:rPr>
          <w:rFonts w:ascii="Calibri" w:hAnsi="Calibri"/>
          <w:color w:val="231F1F"/>
          <w:w w:val="110"/>
        </w:rPr>
        <w:t>Dairy Products: </w:t>
      </w:r>
      <w:r>
        <w:rPr>
          <w:color w:val="231F1F"/>
          <w:w w:val="110"/>
        </w:rPr>
        <w:t>plasma concentration of mercaptopurine possibly reduced by </w:t>
      </w:r>
      <w:r>
        <w:rPr>
          <w:rFonts w:ascii="Calibri" w:hAnsi="Calibri"/>
          <w:color w:val="008356"/>
          <w:w w:val="110"/>
          <w:sz w:val="11"/>
        </w:rPr>
        <w:t>DAIRY PRODUCTS</w:t>
      </w:r>
      <w:r>
        <w:rPr>
          <w:rFonts w:ascii="Arial" w:hAnsi="Arial"/>
          <w:color w:val="231F1F"/>
          <w:w w:val="110"/>
        </w:rPr>
        <w:t>—</w:t>
      </w:r>
      <w:r>
        <w:rPr>
          <w:color w:val="231F1F"/>
          <w:w w:val="110"/>
        </w:rPr>
        <w:t>manufacturer of mercaptopurine advises give at least 1 hour before or 2 hours after dairy products</w:t>
      </w:r>
    </w:p>
    <w:p>
      <w:pPr>
        <w:pStyle w:val="BodyText"/>
        <w:ind w:left="286" w:right="1130" w:hanging="100"/>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Febuxostat:</w:t>
      </w:r>
      <w:r>
        <w:rPr>
          <w:rFonts w:ascii="Calibri"/>
          <w:color w:val="231F1F"/>
          <w:spacing w:val="-15"/>
          <w:w w:val="115"/>
        </w:rPr>
        <w:t> </w:t>
      </w:r>
      <w:r>
        <w:rPr>
          <w:color w:val="231F1F"/>
          <w:w w:val="115"/>
        </w:rPr>
        <w:t>avoidance</w:t>
      </w:r>
      <w:r>
        <w:rPr>
          <w:color w:val="231F1F"/>
          <w:spacing w:val="-19"/>
          <w:w w:val="115"/>
        </w:rPr>
        <w:t> </w:t>
      </w:r>
      <w:r>
        <w:rPr>
          <w:color w:val="231F1F"/>
          <w:w w:val="115"/>
        </w:rPr>
        <w:t>of</w:t>
      </w:r>
      <w:r>
        <w:rPr>
          <w:color w:val="231F1F"/>
          <w:spacing w:val="-19"/>
          <w:w w:val="115"/>
        </w:rPr>
        <w:t> </w:t>
      </w:r>
      <w:r>
        <w:rPr>
          <w:color w:val="231F1F"/>
          <w:w w:val="115"/>
        </w:rPr>
        <w:t>mercaptopurine</w:t>
      </w:r>
      <w:r>
        <w:rPr>
          <w:color w:val="231F1F"/>
          <w:spacing w:val="-18"/>
          <w:w w:val="115"/>
        </w:rPr>
        <w:t> </w:t>
      </w:r>
      <w:r>
        <w:rPr>
          <w:color w:val="231F1F"/>
          <w:w w:val="115"/>
        </w:rPr>
        <w:t>advised</w:t>
      </w:r>
      <w:r>
        <w:rPr>
          <w:color w:val="231F1F"/>
          <w:spacing w:val="-20"/>
          <w:w w:val="115"/>
        </w:rPr>
        <w:t> </w:t>
      </w:r>
      <w:r>
        <w:rPr>
          <w:color w:val="231F1F"/>
          <w:spacing w:val="-7"/>
          <w:w w:val="115"/>
        </w:rPr>
        <w:t>by </w:t>
      </w:r>
      <w:r>
        <w:rPr>
          <w:color w:val="231F1F"/>
          <w:w w:val="115"/>
        </w:rPr>
        <w:t>manufacturer of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5"/>
          <w:sz w:val="11"/>
        </w:rPr>
        <w:t>FEBUXOSTAT</w:t>
      </w:r>
    </w:p>
    <w:p>
      <w:pPr>
        <w:spacing w:after="0"/>
        <w:rPr>
          <w:rFonts w:ascii="Calibri"/>
          <w:sz w:val="11"/>
        </w:rPr>
        <w:sectPr>
          <w:headerReference w:type="even" r:id="rId38"/>
          <w:headerReference w:type="default" r:id="rId39"/>
          <w:pgSz w:w="8390" w:h="11910"/>
          <w:pgMar w:header="0" w:footer="0" w:top="460" w:bottom="280" w:left="480" w:right="0"/>
          <w:pgNumType w:start="1212"/>
          <w:cols w:num="2" w:equalWidth="0">
            <w:col w:w="3636" w:space="40"/>
            <w:col w:w="4234"/>
          </w:cols>
        </w:sectPr>
      </w:pPr>
    </w:p>
    <w:p>
      <w:pPr>
        <w:pStyle w:val="BodyText"/>
        <w:spacing w:before="5"/>
        <w:ind w:left="0"/>
        <w:rPr>
          <w:rFonts w:ascii="Calibri"/>
          <w:sz w:val="14"/>
        </w:rPr>
      </w:pPr>
    </w:p>
    <w:p>
      <w:pPr>
        <w:pStyle w:val="BodyText"/>
        <w:spacing w:line="139" w:lineRule="exact"/>
        <w:ind w:left="108"/>
        <w:rPr>
          <w:rFonts w:ascii="Trebuchet MS"/>
        </w:rPr>
      </w:pPr>
      <w:r>
        <w:rPr>
          <w:rFonts w:ascii="Trebuchet MS"/>
          <w:color w:val="008356"/>
        </w:rPr>
        <w:t>Meropenem</w:t>
      </w:r>
    </w:p>
    <w:p>
      <w:pPr>
        <w:pStyle w:val="BodyText"/>
        <w:spacing w:line="146" w:lineRule="exact"/>
        <w:ind w:left="108"/>
      </w:pPr>
      <w:r>
        <w:rPr>
          <w:rFonts w:ascii="Arial"/>
          <w:color w:val="231F1F"/>
          <w:w w:val="355"/>
          <w:position w:val="1"/>
          <w:sz w:val="7"/>
        </w:rPr>
        <w:t>l </w:t>
      </w:r>
      <w:r>
        <w:rPr>
          <w:rFonts w:ascii="Calibri"/>
          <w:color w:val="231F1F"/>
          <w:w w:val="110"/>
        </w:rPr>
        <w:t>Antiepileptics: </w:t>
      </w:r>
      <w:r>
        <w:rPr>
          <w:color w:val="231F1F"/>
          <w:w w:val="110"/>
        </w:rPr>
        <w:t>carbapenems reduce plasma concentration of</w:t>
      </w:r>
    </w:p>
    <w:p>
      <w:pPr>
        <w:spacing w:before="0"/>
        <w:ind w:left="208" w:right="-11" w:hanging="1"/>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SODIUM </w:t>
      </w:r>
      <w:r>
        <w:rPr>
          <w:rFonts w:ascii="Calibri" w:hAnsi="Calibri"/>
          <w:color w:val="008356"/>
          <w:spacing w:val="3"/>
          <w:w w:val="110"/>
          <w:sz w:val="11"/>
        </w:rPr>
        <w:t>VALPROATE </w:t>
      </w:r>
      <w:r>
        <w:rPr>
          <w:color w:val="231F1F"/>
          <w:w w:val="110"/>
          <w:sz w:val="12"/>
        </w:rPr>
        <w:t>and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0"/>
          <w:sz w:val="11"/>
        </w:rPr>
        <w:t>VALPROIC </w:t>
      </w:r>
      <w:r>
        <w:rPr>
          <w:rFonts w:ascii="Calibri" w:hAnsi="Calibri"/>
          <w:color w:val="008356"/>
          <w:w w:val="110"/>
          <w:sz w:val="11"/>
        </w:rPr>
        <w:t>ACID</w:t>
      </w:r>
      <w:r>
        <w:rPr>
          <w:rFonts w:ascii="Arial" w:hAnsi="Arial"/>
          <w:color w:val="231F1F"/>
          <w:w w:val="110"/>
          <w:sz w:val="12"/>
        </w:rPr>
        <w:t>—</w:t>
      </w:r>
      <w:r>
        <w:rPr>
          <w:color w:val="231F1F"/>
          <w:w w:val="110"/>
          <w:sz w:val="12"/>
        </w:rPr>
        <w:t>avoid concomitant use</w:t>
      </w:r>
    </w:p>
    <w:p>
      <w:pPr>
        <w:spacing w:line="220" w:lineRule="auto" w:before="11"/>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3"/>
        <w:ind w:left="108" w:right="1360"/>
        <w:rPr>
          <w:rFonts w:ascii="Trebuchet MS"/>
        </w:rPr>
      </w:pPr>
      <w:r>
        <w:rPr>
          <w:rFonts w:ascii="Trebuchet MS"/>
          <w:color w:val="008356"/>
          <w:w w:val="110"/>
        </w:rPr>
        <w:t>Mestranol </w:t>
      </w:r>
      <w:r>
        <w:rPr>
          <w:i/>
          <w:color w:val="231F1F"/>
          <w:w w:val="110"/>
        </w:rPr>
        <w:t>see </w:t>
      </w:r>
      <w:r>
        <w:rPr>
          <w:color w:val="231F1F"/>
          <w:w w:val="110"/>
        </w:rPr>
        <w:t>Oestrogens </w:t>
      </w:r>
      <w:r>
        <w:rPr>
          <w:rFonts w:ascii="Trebuchet MS"/>
          <w:color w:val="008356"/>
          <w:w w:val="110"/>
        </w:rPr>
        <w:t>Metaraminol </w:t>
      </w:r>
      <w:r>
        <w:rPr>
          <w:i/>
          <w:color w:val="231F1F"/>
          <w:w w:val="110"/>
        </w:rPr>
        <w:t>see </w:t>
      </w:r>
      <w:r>
        <w:rPr>
          <w:color w:val="231F1F"/>
          <w:w w:val="110"/>
        </w:rPr>
        <w:t>Sympathomimetics </w:t>
      </w:r>
      <w:r>
        <w:rPr>
          <w:rFonts w:ascii="Trebuchet MS"/>
          <w:color w:val="008356"/>
          <w:w w:val="110"/>
        </w:rPr>
        <w:t>Metformin </w:t>
      </w:r>
      <w:r>
        <w:rPr>
          <w:i/>
          <w:color w:val="231F1F"/>
          <w:w w:val="110"/>
        </w:rPr>
        <w:t>see </w:t>
      </w:r>
      <w:r>
        <w:rPr>
          <w:color w:val="231F1F"/>
          <w:w w:val="110"/>
        </w:rPr>
        <w:t>Antidiabetics </w:t>
      </w:r>
      <w:r>
        <w:rPr>
          <w:rFonts w:ascii="Trebuchet MS"/>
          <w:color w:val="008356"/>
          <w:w w:val="110"/>
        </w:rPr>
        <w:t>Methadone </w:t>
      </w:r>
      <w:r>
        <w:rPr>
          <w:i/>
          <w:color w:val="231F1F"/>
          <w:w w:val="110"/>
        </w:rPr>
        <w:t>see </w:t>
      </w:r>
      <w:r>
        <w:rPr>
          <w:color w:val="231F1F"/>
          <w:w w:val="110"/>
        </w:rPr>
        <w:t>Opioid Analgesics </w:t>
      </w:r>
      <w:r>
        <w:rPr>
          <w:rFonts w:ascii="Trebuchet MS"/>
          <w:color w:val="008356"/>
          <w:w w:val="110"/>
        </w:rPr>
        <w:t>Methenamine</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Antacids: </w:t>
      </w:r>
      <w:r>
        <w:rPr>
          <w:color w:val="231F1F"/>
          <w:w w:val="105"/>
        </w:rPr>
        <w:t>avoid concomitant use of methenamine with</w:t>
      </w:r>
    </w:p>
    <w:p>
      <w:pPr>
        <w:spacing w:line="131" w:lineRule="exact" w:before="0"/>
        <w:ind w:left="208" w:right="0" w:firstLine="0"/>
        <w:jc w:val="left"/>
        <w:rPr>
          <w:rFonts w:ascii="Calibri"/>
          <w:sz w:val="11"/>
        </w:rPr>
      </w:pPr>
      <w:r>
        <w:rPr>
          <w:rFonts w:ascii="Calibri"/>
          <w:color w:val="008356"/>
          <w:sz w:val="11"/>
        </w:rPr>
        <w:t>ANTACIDS</w:t>
      </w:r>
    </w:p>
    <w:p>
      <w:pPr>
        <w:pStyle w:val="BodyText"/>
        <w:ind w:right="138"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increased risk of crystalluria </w:t>
      </w:r>
      <w:r>
        <w:rPr>
          <w:color w:val="231F1F"/>
          <w:spacing w:val="-4"/>
          <w:w w:val="110"/>
        </w:rPr>
        <w:t>when </w:t>
      </w:r>
      <w:r>
        <w:rPr>
          <w:color w:val="231F1F"/>
          <w:w w:val="110"/>
        </w:rPr>
        <w:t>methenamine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5"/>
          <w:w w:val="110"/>
          <w:sz w:val="11"/>
        </w:rPr>
        <w:t>SULFONAMIDES</w:t>
      </w:r>
    </w:p>
    <w:p>
      <w:pPr>
        <w:pStyle w:val="BodyText"/>
        <w:spacing w:line="143" w:lineRule="exact"/>
        <w:ind w:left="108"/>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Diuretics: </w:t>
      </w:r>
      <w:r>
        <w:rPr>
          <w:color w:val="231F1F"/>
          <w:w w:val="115"/>
        </w:rPr>
        <w:t>effects of methenamine antagonised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ACETAZOLAMIDE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Potassium Salts: </w:t>
      </w:r>
      <w:r>
        <w:rPr>
          <w:color w:val="231F1F"/>
          <w:w w:val="105"/>
        </w:rPr>
        <w:t>avoid concomitant use of methenamine with</w:t>
      </w:r>
    </w:p>
    <w:p>
      <w:pPr>
        <w:spacing w:line="131" w:lineRule="exact" w:before="0"/>
        <w:ind w:left="208" w:right="0" w:firstLine="0"/>
        <w:jc w:val="left"/>
        <w:rPr>
          <w:rFonts w:ascii="Calibri"/>
          <w:sz w:val="11"/>
        </w:rPr>
      </w:pPr>
      <w:r>
        <w:rPr>
          <w:rFonts w:ascii="Calibri"/>
          <w:color w:val="008356"/>
          <w:sz w:val="11"/>
        </w:rPr>
        <w:t>POTASSIUM CITRATE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Sodium Citrate: </w:t>
      </w:r>
      <w:r>
        <w:rPr>
          <w:color w:val="231F1F"/>
          <w:w w:val="105"/>
        </w:rPr>
        <w:t>avoid concomitant use of methenamine with</w:t>
      </w:r>
    </w:p>
    <w:p>
      <w:pPr>
        <w:spacing w:line="130" w:lineRule="exact" w:before="0"/>
        <w:ind w:left="208" w:right="0" w:firstLine="0"/>
        <w:jc w:val="left"/>
        <w:rPr>
          <w:rFonts w:ascii="Calibri"/>
          <w:sz w:val="11"/>
        </w:rPr>
      </w:pPr>
      <w:r>
        <w:rPr>
          <w:rFonts w:ascii="Calibri"/>
          <w:color w:val="008356"/>
          <w:sz w:val="11"/>
        </w:rPr>
        <w:t>SODIUM CITRATE</w:t>
      </w:r>
    </w:p>
    <w:p>
      <w:pPr>
        <w:spacing w:line="220" w:lineRule="auto" w:before="8"/>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08"/>
      </w:pPr>
      <w:r>
        <w:rPr>
          <w:rFonts w:ascii="Trebuchet MS"/>
          <w:color w:val="008356"/>
          <w:w w:val="105"/>
        </w:rPr>
        <w:t>Methocarbamol </w:t>
      </w:r>
      <w:r>
        <w:rPr>
          <w:i/>
          <w:color w:val="231F1F"/>
          <w:w w:val="105"/>
        </w:rPr>
        <w:t>see </w:t>
      </w:r>
      <w:r>
        <w:rPr>
          <w:color w:val="231F1F"/>
          <w:w w:val="105"/>
        </w:rPr>
        <w:t>Muscle Relaxants</w:t>
      </w:r>
    </w:p>
    <w:p>
      <w:pPr>
        <w:pStyle w:val="BodyText"/>
        <w:spacing w:before="10"/>
        <w:ind w:left="108"/>
        <w:rPr>
          <w:rFonts w:ascii="Trebuchet MS"/>
        </w:rPr>
      </w:pPr>
      <w:r>
        <w:rPr>
          <w:rFonts w:ascii="Trebuchet MS"/>
          <w:color w:val="008356"/>
        </w:rPr>
        <w:t>Methotrexate</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methotrexate possibly increases plasma concentration of </w:t>
      </w:r>
      <w:r>
        <w:rPr>
          <w:rFonts w:ascii="Calibri" w:hAnsi="Calibri"/>
          <w:color w:val="008356"/>
          <w:w w:val="105"/>
          <w:sz w:val="11"/>
        </w:rPr>
        <w:t>AMINOPHYLLINE</w:t>
      </w:r>
    </w:p>
    <w:p>
      <w:pPr>
        <w:pStyle w:val="BodyText"/>
        <w:ind w:right="455" w:hanging="100"/>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231F1F"/>
          <w:w w:val="115"/>
        </w:rPr>
        <w:t>Anaesthetics,</w:t>
      </w:r>
      <w:r>
        <w:rPr>
          <w:rFonts w:ascii="Calibri" w:hAnsi="Calibri"/>
          <w:color w:val="231F1F"/>
          <w:spacing w:val="-18"/>
          <w:w w:val="115"/>
        </w:rPr>
        <w:t> </w:t>
      </w:r>
      <w:r>
        <w:rPr>
          <w:rFonts w:ascii="Calibri" w:hAnsi="Calibri"/>
          <w:color w:val="231F1F"/>
          <w:w w:val="115"/>
        </w:rPr>
        <w:t>General:</w:t>
      </w:r>
      <w:r>
        <w:rPr>
          <w:rFonts w:ascii="Calibri" w:hAnsi="Calibri"/>
          <w:color w:val="231F1F"/>
          <w:spacing w:val="-17"/>
          <w:w w:val="115"/>
        </w:rPr>
        <w:t> </w:t>
      </w:r>
      <w:r>
        <w:rPr>
          <w:color w:val="231F1F"/>
          <w:w w:val="115"/>
        </w:rPr>
        <w:t>antifolate</w:t>
      </w:r>
      <w:r>
        <w:rPr>
          <w:color w:val="231F1F"/>
          <w:spacing w:val="-20"/>
          <w:w w:val="115"/>
        </w:rPr>
        <w:t> </w:t>
      </w:r>
      <w:r>
        <w:rPr>
          <w:color w:val="231F1F"/>
          <w:w w:val="115"/>
        </w:rPr>
        <w:t>effect</w:t>
      </w:r>
      <w:r>
        <w:rPr>
          <w:color w:val="231F1F"/>
          <w:spacing w:val="-20"/>
          <w:w w:val="115"/>
        </w:rPr>
        <w:t> </w:t>
      </w:r>
      <w:r>
        <w:rPr>
          <w:color w:val="231F1F"/>
          <w:w w:val="115"/>
        </w:rPr>
        <w:t>of</w:t>
      </w:r>
      <w:r>
        <w:rPr>
          <w:color w:val="231F1F"/>
          <w:spacing w:val="-20"/>
          <w:w w:val="115"/>
        </w:rPr>
        <w:t> </w:t>
      </w:r>
      <w:r>
        <w:rPr>
          <w:color w:val="231F1F"/>
          <w:spacing w:val="-3"/>
          <w:w w:val="115"/>
        </w:rPr>
        <w:t>methotrexate </w:t>
      </w:r>
      <w:r>
        <w:rPr>
          <w:color w:val="231F1F"/>
          <w:w w:val="115"/>
        </w:rPr>
        <w:t>increased</w:t>
      </w:r>
      <w:r>
        <w:rPr>
          <w:color w:val="231F1F"/>
          <w:spacing w:val="-25"/>
          <w:w w:val="115"/>
        </w:rPr>
        <w:t> </w:t>
      </w:r>
      <w:r>
        <w:rPr>
          <w:color w:val="231F1F"/>
          <w:w w:val="115"/>
        </w:rPr>
        <w:t>by</w:t>
      </w:r>
      <w:r>
        <w:rPr>
          <w:color w:val="231F1F"/>
          <w:spacing w:val="-24"/>
          <w:w w:val="115"/>
        </w:rPr>
        <w:t> </w:t>
      </w:r>
      <w:r>
        <w:rPr>
          <w:rFonts w:ascii="Arial" w:hAnsi="Arial"/>
          <w:color w:val="231F1F"/>
          <w:w w:val="270"/>
          <w:position w:val="1"/>
          <w:sz w:val="7"/>
        </w:rPr>
        <w:t>l</w:t>
      </w:r>
      <w:r>
        <w:rPr>
          <w:rFonts w:ascii="Arial" w:hAnsi="Arial"/>
          <w:color w:val="231F1F"/>
          <w:spacing w:val="-43"/>
          <w:w w:val="270"/>
          <w:position w:val="1"/>
          <w:sz w:val="7"/>
        </w:rPr>
        <w:t> </w:t>
      </w:r>
      <w:r>
        <w:rPr>
          <w:rFonts w:ascii="Calibri" w:hAnsi="Calibri"/>
          <w:color w:val="008356"/>
          <w:spacing w:val="4"/>
          <w:w w:val="115"/>
          <w:sz w:val="11"/>
        </w:rPr>
        <w:t>NITROUS</w:t>
      </w:r>
      <w:r>
        <w:rPr>
          <w:rFonts w:ascii="Calibri" w:hAnsi="Calibri"/>
          <w:color w:val="008356"/>
          <w:spacing w:val="-17"/>
          <w:w w:val="115"/>
          <w:sz w:val="11"/>
        </w:rPr>
        <w:t> </w:t>
      </w:r>
      <w:r>
        <w:rPr>
          <w:rFonts w:ascii="Calibri" w:hAnsi="Calibri"/>
          <w:color w:val="008356"/>
          <w:spacing w:val="2"/>
          <w:w w:val="115"/>
          <w:sz w:val="11"/>
        </w:rPr>
        <w:t>OXIDE</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5"/>
          <w:w w:val="115"/>
        </w:rPr>
        <w:t> </w:t>
      </w:r>
      <w:r>
        <w:rPr>
          <w:color w:val="231F1F"/>
          <w:w w:val="115"/>
        </w:rPr>
        <w:t>use</w:t>
      </w:r>
    </w:p>
    <w:p>
      <w:pPr>
        <w:pStyle w:val="BodyText"/>
        <w:ind w:right="231" w:hanging="100"/>
      </w:pPr>
      <w:r>
        <w:rPr>
          <w:rFonts w:ascii="Arial"/>
          <w:color w:val="231F1F"/>
          <w:w w:val="355"/>
          <w:position w:val="1"/>
          <w:sz w:val="7"/>
        </w:rPr>
        <w:t>l </w:t>
      </w:r>
      <w:r>
        <w:rPr>
          <w:rFonts w:ascii="Calibri"/>
          <w:color w:val="231F1F"/>
          <w:w w:val="110"/>
        </w:rPr>
        <w:t>Analgesics: </w:t>
      </w:r>
      <w:r>
        <w:rPr>
          <w:color w:val="231F1F"/>
          <w:w w:val="110"/>
        </w:rPr>
        <w:t>excretion of methotrexate probably reduced by </w:t>
      </w:r>
      <w:r>
        <w:rPr>
          <w:rFonts w:ascii="Arial"/>
          <w:color w:val="231F1F"/>
          <w:w w:val="355"/>
          <w:position w:val="1"/>
          <w:sz w:val="7"/>
        </w:rPr>
        <w:t>l </w:t>
      </w:r>
      <w:r>
        <w:rPr>
          <w:rFonts w:ascii="Calibri"/>
          <w:color w:val="008356"/>
          <w:w w:val="110"/>
          <w:sz w:val="11"/>
        </w:rPr>
        <w:t>NSAIDS </w:t>
      </w:r>
      <w:r>
        <w:rPr>
          <w:color w:val="231F1F"/>
          <w:w w:val="110"/>
        </w:rPr>
        <w:t>(increased risk of toxicity); excretion of methotrexate reduced by </w:t>
      </w:r>
      <w:r>
        <w:rPr>
          <w:rFonts w:ascii="Arial"/>
          <w:color w:val="231F1F"/>
          <w:w w:val="355"/>
          <w:position w:val="1"/>
          <w:sz w:val="7"/>
        </w:rPr>
        <w:t>l </w:t>
      </w:r>
      <w:r>
        <w:rPr>
          <w:rFonts w:ascii="Calibri"/>
          <w:color w:val="008356"/>
          <w:w w:val="110"/>
          <w:sz w:val="11"/>
        </w:rPr>
        <w:t>ASPIRIN</w:t>
      </w:r>
      <w:r>
        <w:rPr>
          <w:color w:val="231F1F"/>
          <w:w w:val="110"/>
        </w:rPr>
        <w:t>, </w:t>
      </w:r>
      <w:r>
        <w:rPr>
          <w:rFonts w:ascii="Arial"/>
          <w:color w:val="231F1F"/>
          <w:w w:val="355"/>
          <w:position w:val="1"/>
          <w:sz w:val="7"/>
        </w:rPr>
        <w:t>l </w:t>
      </w:r>
      <w:r>
        <w:rPr>
          <w:rFonts w:ascii="Calibri"/>
          <w:color w:val="008356"/>
          <w:w w:val="110"/>
          <w:sz w:val="11"/>
        </w:rPr>
        <w:t>DICLOFENAC</w:t>
      </w:r>
      <w:r>
        <w:rPr>
          <w:color w:val="231F1F"/>
          <w:w w:val="110"/>
        </w:rPr>
        <w:t>,</w:t>
      </w:r>
    </w:p>
    <w:p>
      <w:pPr>
        <w:spacing w:before="0"/>
        <w:ind w:left="208" w:right="0" w:firstLine="0"/>
        <w:jc w:val="left"/>
        <w:rPr>
          <w:sz w:val="12"/>
        </w:rPr>
      </w:pPr>
      <w:r>
        <w:rPr>
          <w:rFonts w:ascii="Arial"/>
          <w:color w:val="231F1F"/>
          <w:w w:val="130"/>
          <w:position w:val="1"/>
          <w:sz w:val="7"/>
        </w:rPr>
        <w:t>l </w:t>
      </w:r>
      <w:r>
        <w:rPr>
          <w:rFonts w:ascii="Calibri"/>
          <w:color w:val="008356"/>
          <w:w w:val="115"/>
          <w:sz w:val="11"/>
        </w:rPr>
        <w:t>IBUPROFEN</w:t>
      </w:r>
      <w:r>
        <w:rPr>
          <w:color w:val="231F1F"/>
          <w:w w:val="115"/>
          <w:sz w:val="12"/>
        </w:rPr>
        <w:t>, </w:t>
      </w:r>
      <w:r>
        <w:rPr>
          <w:rFonts w:ascii="Arial"/>
          <w:color w:val="231F1F"/>
          <w:w w:val="130"/>
          <w:position w:val="1"/>
          <w:sz w:val="7"/>
        </w:rPr>
        <w:t>l </w:t>
      </w:r>
      <w:r>
        <w:rPr>
          <w:rFonts w:ascii="Calibri"/>
          <w:color w:val="008356"/>
          <w:w w:val="115"/>
          <w:sz w:val="11"/>
        </w:rPr>
        <w:t>INDOMETACIN</w:t>
      </w:r>
      <w:r>
        <w:rPr>
          <w:color w:val="231F1F"/>
          <w:w w:val="115"/>
          <w:sz w:val="12"/>
        </w:rPr>
        <w:t>, </w:t>
      </w:r>
      <w:r>
        <w:rPr>
          <w:rFonts w:ascii="Arial"/>
          <w:color w:val="231F1F"/>
          <w:w w:val="130"/>
          <w:position w:val="1"/>
          <w:sz w:val="7"/>
        </w:rPr>
        <w:t>l </w:t>
      </w:r>
      <w:r>
        <w:rPr>
          <w:rFonts w:ascii="Calibri"/>
          <w:color w:val="008356"/>
          <w:w w:val="115"/>
          <w:sz w:val="11"/>
        </w:rPr>
        <w:t>KETOPROFEN</w:t>
      </w:r>
      <w:r>
        <w:rPr>
          <w:color w:val="231F1F"/>
          <w:w w:val="115"/>
          <w:sz w:val="12"/>
        </w:rPr>
        <w:t>, </w:t>
      </w:r>
      <w:r>
        <w:rPr>
          <w:rFonts w:ascii="Arial"/>
          <w:color w:val="231F1F"/>
          <w:w w:val="130"/>
          <w:position w:val="1"/>
          <w:sz w:val="7"/>
        </w:rPr>
        <w:t>l </w:t>
      </w:r>
      <w:r>
        <w:rPr>
          <w:rFonts w:ascii="Calibri"/>
          <w:color w:val="008356"/>
          <w:w w:val="115"/>
          <w:sz w:val="11"/>
        </w:rPr>
        <w:t>MELOXICAM </w:t>
      </w:r>
      <w:r>
        <w:rPr>
          <w:color w:val="231F1F"/>
          <w:w w:val="115"/>
          <w:sz w:val="12"/>
        </w:rPr>
        <w:t>and</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10"/>
          <w:sz w:val="11"/>
        </w:rPr>
        <w:t>NAPROXEN </w:t>
      </w:r>
      <w:r>
        <w:rPr>
          <w:color w:val="231F1F"/>
          <w:w w:val="110"/>
          <w:sz w:val="12"/>
        </w:rPr>
        <w:t>(increased risk of toxicity)</w:t>
      </w:r>
    </w:p>
    <w:p>
      <w:pPr>
        <w:pStyle w:val="BodyText"/>
        <w:spacing w:line="242" w:lineRule="auto"/>
        <w:ind w:right="26" w:hanging="100"/>
      </w:pPr>
      <w:r>
        <w:rPr>
          <w:rFonts w:ascii="Arial"/>
          <w:color w:val="231F1F"/>
          <w:w w:val="355"/>
          <w:position w:val="1"/>
          <w:sz w:val="7"/>
        </w:rPr>
        <w:t>l </w:t>
      </w:r>
      <w:r>
        <w:rPr>
          <w:rFonts w:ascii="Calibri"/>
          <w:color w:val="231F1F"/>
          <w:w w:val="110"/>
        </w:rPr>
        <w:t>Antibacterials: </w:t>
      </w:r>
      <w:r>
        <w:rPr>
          <w:color w:val="231F1F"/>
          <w:w w:val="110"/>
        </w:rPr>
        <w:t>absorption of methotrexate possibly reduced by </w:t>
      </w:r>
      <w:r>
        <w:rPr>
          <w:rFonts w:ascii="Calibri"/>
          <w:color w:val="008356"/>
          <w:w w:val="110"/>
          <w:sz w:val="11"/>
        </w:rPr>
        <w:t>NEOMYCIN</w:t>
      </w:r>
      <w:r>
        <w:rPr>
          <w:color w:val="231F1F"/>
          <w:w w:val="110"/>
        </w:rPr>
        <w:t>; excretion of methotrexate possibly reduced by </w:t>
      </w:r>
      <w:r>
        <w:rPr>
          <w:rFonts w:ascii="Calibri"/>
          <w:color w:val="008356"/>
          <w:w w:val="110"/>
          <w:sz w:val="11"/>
        </w:rPr>
        <w:t>CIPROFLOXACIN </w:t>
      </w:r>
      <w:r>
        <w:rPr>
          <w:color w:val="231F1F"/>
          <w:w w:val="110"/>
        </w:rPr>
        <w:t>(increased risk of toxicity); increased risk of haematological toxicity when methotrexate given with</w:t>
      </w:r>
    </w:p>
    <w:p>
      <w:pPr>
        <w:spacing w:line="244" w:lineRule="auto" w:before="2"/>
        <w:ind w:left="208" w:right="89" w:firstLine="0"/>
        <w:jc w:val="left"/>
        <w:rPr>
          <w:sz w:val="12"/>
        </w:rPr>
      </w:pPr>
      <w:r>
        <w:rPr>
          <w:rFonts w:ascii="Arial"/>
          <w:color w:val="231F1F"/>
          <w:w w:val="355"/>
          <w:position w:val="1"/>
          <w:sz w:val="7"/>
        </w:rPr>
        <w:t>l </w:t>
      </w:r>
      <w:r>
        <w:rPr>
          <w:rFonts w:ascii="Calibri"/>
          <w:color w:val="008356"/>
          <w:spacing w:val="4"/>
          <w:w w:val="110"/>
          <w:sz w:val="11"/>
        </w:rPr>
        <w:t>SULFAMETHOXAZOLE </w:t>
      </w:r>
      <w:r>
        <w:rPr>
          <w:color w:val="231F1F"/>
          <w:w w:val="110"/>
          <w:sz w:val="12"/>
        </w:rPr>
        <w:t>(as co-trimoxazole); increased risk of methotrexate toxicity when given with </w:t>
      </w:r>
      <w:r>
        <w:rPr>
          <w:rFonts w:ascii="Calibri"/>
          <w:color w:val="008356"/>
          <w:spacing w:val="4"/>
          <w:w w:val="110"/>
          <w:sz w:val="11"/>
        </w:rPr>
        <w:t>DOXYCYCLINE</w:t>
      </w:r>
      <w:r>
        <w:rPr>
          <w:color w:val="231F1F"/>
          <w:spacing w:val="4"/>
          <w:w w:val="110"/>
          <w:sz w:val="12"/>
        </w:rPr>
        <w:t>, </w:t>
      </w:r>
      <w:r>
        <w:rPr>
          <w:rFonts w:ascii="Calibri"/>
          <w:color w:val="008356"/>
          <w:spacing w:val="4"/>
          <w:w w:val="110"/>
          <w:sz w:val="11"/>
        </w:rPr>
        <w:t>SULFONAMIDES </w:t>
      </w:r>
      <w:r>
        <w:rPr>
          <w:color w:val="231F1F"/>
          <w:w w:val="110"/>
          <w:sz w:val="12"/>
        </w:rPr>
        <w:t>or </w:t>
      </w:r>
      <w:r>
        <w:rPr>
          <w:rFonts w:ascii="Calibri"/>
          <w:color w:val="008356"/>
          <w:spacing w:val="4"/>
          <w:w w:val="110"/>
          <w:sz w:val="11"/>
        </w:rPr>
        <w:t>TETRACYCLINE</w:t>
      </w:r>
      <w:r>
        <w:rPr>
          <w:color w:val="231F1F"/>
          <w:spacing w:val="4"/>
          <w:w w:val="110"/>
          <w:sz w:val="12"/>
        </w:rPr>
        <w:t>; </w:t>
      </w:r>
      <w:r>
        <w:rPr>
          <w:color w:val="231F1F"/>
          <w:w w:val="110"/>
          <w:sz w:val="12"/>
        </w:rPr>
        <w:t>excretion of methotrexate reduced by </w:t>
      </w:r>
      <w:r>
        <w:rPr>
          <w:rFonts w:ascii="Calibri"/>
          <w:color w:val="008356"/>
          <w:spacing w:val="4"/>
          <w:w w:val="110"/>
          <w:sz w:val="11"/>
        </w:rPr>
        <w:t>PENICILLINS </w:t>
      </w:r>
      <w:r>
        <w:rPr>
          <w:color w:val="231F1F"/>
          <w:w w:val="110"/>
          <w:sz w:val="12"/>
        </w:rPr>
        <w:t>(increased risk of toxicity); increased risk of haematological toxicity when methotrexate given </w:t>
      </w:r>
      <w:r>
        <w:rPr>
          <w:color w:val="231F1F"/>
          <w:spacing w:val="-3"/>
          <w:w w:val="110"/>
          <w:sz w:val="12"/>
        </w:rPr>
        <w:t>with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TRIMETHOPRIM </w:t>
      </w:r>
      <w:r>
        <w:rPr>
          <w:color w:val="231F1F"/>
          <w:w w:val="110"/>
          <w:sz w:val="12"/>
        </w:rPr>
        <w:t>(also with co-trimoxazole)</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antifolate effect of methotrexate increased by</w:t>
      </w:r>
    </w:p>
    <w:p>
      <w:pPr>
        <w:spacing w:line="134" w:lineRule="exact" w:before="0"/>
        <w:ind w:left="208"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pStyle w:val="BodyText"/>
        <w:spacing w:line="145" w:lineRule="exact"/>
        <w:ind w:left="108"/>
      </w:pPr>
      <w:r>
        <w:rPr>
          <w:rFonts w:ascii="Arial"/>
          <w:color w:val="231F1F"/>
          <w:w w:val="355"/>
          <w:position w:val="1"/>
          <w:sz w:val="7"/>
        </w:rPr>
        <w:t>l </w:t>
      </w:r>
      <w:r>
        <w:rPr>
          <w:rFonts w:ascii="Calibri"/>
          <w:color w:val="231F1F"/>
          <w:w w:val="115"/>
        </w:rPr>
        <w:t>Antimalarials: </w:t>
      </w:r>
      <w:r>
        <w:rPr>
          <w:color w:val="231F1F"/>
          <w:w w:val="115"/>
        </w:rPr>
        <w:t>antifolate effect of methotrexate increased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PYRIMETHAMINE</w:t>
      </w:r>
    </w:p>
    <w:p>
      <w:pPr>
        <w:pStyle w:val="BodyText"/>
        <w:spacing w:line="145"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220" w:lineRule="auto" w:before="8"/>
        <w:ind w:left="208" w:right="154" w:hanging="100"/>
        <w:jc w:val="left"/>
        <w:rPr>
          <w:i/>
          <w:sz w:val="12"/>
        </w:rPr>
      </w:pPr>
      <w:r>
        <w:rPr>
          <w:rFonts w:ascii="Lucida Sans Unicode" w:hAnsi="Lucida Sans Unicode"/>
          <w:color w:val="A7A8AC"/>
          <w:w w:val="95"/>
          <w:sz w:val="10"/>
        </w:rPr>
        <w:t>▶ </w:t>
      </w:r>
      <w:r>
        <w:rPr>
          <w:rFonts w:ascii="Calibri" w:hAnsi="Calibri"/>
          <w:color w:val="231F1F"/>
          <w:w w:val="105"/>
          <w:sz w:val="12"/>
        </w:rPr>
        <w:t>Cardiac Glycosides:  </w:t>
      </w:r>
      <w:r>
        <w:rPr>
          <w:color w:val="231F1F"/>
          <w:w w:val="105"/>
          <w:sz w:val="12"/>
        </w:rPr>
        <w:t>methotrexate possibly reduces absorption of </w:t>
      </w:r>
      <w:r>
        <w:rPr>
          <w:rFonts w:ascii="Calibri" w:hAnsi="Calibri"/>
          <w:color w:val="008356"/>
          <w:spacing w:val="3"/>
          <w:w w:val="105"/>
          <w:sz w:val="11"/>
        </w:rPr>
        <w:t>DIGOXIN</w:t>
      </w:r>
      <w:r>
        <w:rPr>
          <w:rFonts w:ascii="Calibri" w:hAnsi="Calibri"/>
          <w:color w:val="008356"/>
          <w:spacing w:val="10"/>
          <w:w w:val="105"/>
          <w:sz w:val="11"/>
        </w:rPr>
        <w:t> </w:t>
      </w:r>
      <w:r>
        <w:rPr>
          <w:i/>
          <w:color w:val="231F1F"/>
          <w:w w:val="105"/>
          <w:sz w:val="12"/>
        </w:rPr>
        <w:t>tablets</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risk of toxicity when methotrexate given with</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Corticosteroids: </w:t>
      </w:r>
      <w:r>
        <w:rPr>
          <w:color w:val="231F1F"/>
          <w:w w:val="105"/>
        </w:rPr>
        <w:t>possible increased risk of hepatoxicity when</w:t>
      </w:r>
    </w:p>
    <w:p>
      <w:pPr>
        <w:spacing w:line="135" w:lineRule="exact" w:before="0"/>
        <w:ind w:left="208" w:right="0" w:firstLine="0"/>
        <w:jc w:val="left"/>
        <w:rPr>
          <w:rFonts w:ascii="Calibri"/>
          <w:sz w:val="11"/>
        </w:rPr>
      </w:pPr>
      <w:r>
        <w:rPr>
          <w:i/>
          <w:color w:val="231F1F"/>
          <w:w w:val="110"/>
          <w:sz w:val="12"/>
        </w:rPr>
        <w:t>high-dose </w:t>
      </w:r>
      <w:r>
        <w:rPr>
          <w:color w:val="231F1F"/>
          <w:w w:val="110"/>
          <w:sz w:val="12"/>
        </w:rPr>
        <w:t>methotrexate given with </w:t>
      </w:r>
      <w:r>
        <w:rPr>
          <w:rFonts w:ascii="Calibri"/>
          <w:color w:val="008356"/>
          <w:w w:val="110"/>
          <w:sz w:val="11"/>
        </w:rPr>
        <w:t>DEXAMETHASONE</w:t>
      </w:r>
    </w:p>
    <w:p>
      <w:pPr>
        <w:pStyle w:val="BodyText"/>
        <w:ind w:right="131" w:hanging="100"/>
        <w:rPr>
          <w:rFonts w:ascii="Calibri"/>
          <w:sz w:val="11"/>
        </w:rPr>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Cytotoxics:</w:t>
      </w:r>
      <w:r>
        <w:rPr>
          <w:rFonts w:ascii="Calibri"/>
          <w:color w:val="231F1F"/>
          <w:spacing w:val="-8"/>
          <w:w w:val="115"/>
        </w:rPr>
        <w:t> </w:t>
      </w:r>
      <w:r>
        <w:rPr>
          <w:color w:val="231F1F"/>
          <w:w w:val="115"/>
        </w:rPr>
        <w:t>increased</w:t>
      </w:r>
      <w:r>
        <w:rPr>
          <w:color w:val="231F1F"/>
          <w:spacing w:val="-12"/>
          <w:w w:val="115"/>
        </w:rPr>
        <w:t> </w:t>
      </w:r>
      <w:r>
        <w:rPr>
          <w:color w:val="231F1F"/>
          <w:w w:val="115"/>
        </w:rPr>
        <w:t>pulmonary</w:t>
      </w:r>
      <w:r>
        <w:rPr>
          <w:color w:val="231F1F"/>
          <w:spacing w:val="-12"/>
          <w:w w:val="115"/>
        </w:rPr>
        <w:t> </w:t>
      </w:r>
      <w:r>
        <w:rPr>
          <w:color w:val="231F1F"/>
          <w:w w:val="115"/>
        </w:rPr>
        <w:t>toxicity</w:t>
      </w:r>
      <w:r>
        <w:rPr>
          <w:color w:val="231F1F"/>
          <w:spacing w:val="-13"/>
          <w:w w:val="115"/>
        </w:rPr>
        <w:t> </w:t>
      </w:r>
      <w:r>
        <w:rPr>
          <w:color w:val="231F1F"/>
          <w:w w:val="115"/>
        </w:rPr>
        <w:t>when</w:t>
      </w:r>
      <w:r>
        <w:rPr>
          <w:color w:val="231F1F"/>
          <w:spacing w:val="-11"/>
          <w:w w:val="115"/>
        </w:rPr>
        <w:t> </w:t>
      </w:r>
      <w:r>
        <w:rPr>
          <w:color w:val="231F1F"/>
          <w:spacing w:val="-3"/>
          <w:w w:val="115"/>
        </w:rPr>
        <w:t>methotrexate </w:t>
      </w:r>
      <w:r>
        <w:rPr>
          <w:color w:val="231F1F"/>
          <w:w w:val="115"/>
        </w:rPr>
        <w:t>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CISPLATIN</w:t>
      </w:r>
    </w:p>
    <w:p>
      <w:pPr>
        <w:pStyle w:val="BodyText"/>
        <w:spacing w:line="220" w:lineRule="auto" w:before="5"/>
        <w:ind w:right="315"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excretion of methotrexate increased by alkaline urine due to </w:t>
      </w:r>
      <w:r>
        <w:rPr>
          <w:rFonts w:ascii="Calibri" w:hAnsi="Calibri"/>
          <w:color w:val="008356"/>
          <w:w w:val="105"/>
          <w:sz w:val="11"/>
        </w:rPr>
        <w:t>ACETAZOLAMIDE</w:t>
      </w:r>
    </w:p>
    <w:p>
      <w:pPr>
        <w:pStyle w:val="BodyText"/>
        <w:spacing w:line="146" w:lineRule="exact"/>
        <w:ind w:left="108"/>
      </w:pPr>
      <w:r>
        <w:rPr>
          <w:rFonts w:ascii="Arial"/>
          <w:color w:val="231F1F"/>
          <w:w w:val="355"/>
          <w:position w:val="1"/>
          <w:sz w:val="7"/>
        </w:rPr>
        <w:t>l </w:t>
      </w:r>
      <w:r>
        <w:rPr>
          <w:rFonts w:ascii="Calibri"/>
          <w:color w:val="231F1F"/>
          <w:w w:val="115"/>
        </w:rPr>
        <w:t>Leflunomide: </w:t>
      </w:r>
      <w:r>
        <w:rPr>
          <w:color w:val="231F1F"/>
          <w:w w:val="115"/>
        </w:rPr>
        <w:t>risk of toxicity when methotrexate given with</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LEFLUNOMIDE</w:t>
      </w:r>
    </w:p>
    <w:p>
      <w:pPr>
        <w:pStyle w:val="BodyText"/>
        <w:ind w:right="44" w:hanging="100"/>
      </w:pPr>
      <w:r>
        <w:rPr>
          <w:rFonts w:ascii="Arial" w:hAnsi="Arial"/>
          <w:color w:val="231F1F"/>
          <w:w w:val="160"/>
          <w:position w:val="1"/>
          <w:sz w:val="7"/>
        </w:rPr>
        <w:t>l</w:t>
      </w:r>
      <w:r>
        <w:rPr>
          <w:rFonts w:ascii="Arial" w:hAnsi="Arial"/>
          <w:color w:val="231F1F"/>
          <w:spacing w:val="-18"/>
          <w:w w:val="160"/>
          <w:position w:val="1"/>
          <w:sz w:val="7"/>
        </w:rPr>
        <w:t> </w:t>
      </w:r>
      <w:r>
        <w:rPr>
          <w:rFonts w:ascii="Calibri" w:hAnsi="Calibri"/>
          <w:color w:val="231F1F"/>
          <w:w w:val="120"/>
        </w:rPr>
        <w:t>Retinoids:</w:t>
      </w:r>
      <w:r>
        <w:rPr>
          <w:rFonts w:ascii="Calibri" w:hAnsi="Calibri"/>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w w:val="120"/>
        </w:rPr>
        <w:t>methotrexate</w:t>
      </w:r>
      <w:r>
        <w:rPr>
          <w:color w:val="231F1F"/>
          <w:spacing w:val="-25"/>
          <w:w w:val="120"/>
        </w:rPr>
        <w:t> </w:t>
      </w:r>
      <w:r>
        <w:rPr>
          <w:color w:val="231F1F"/>
          <w:w w:val="120"/>
        </w:rPr>
        <w:t>increased</w:t>
      </w:r>
      <w:r>
        <w:rPr>
          <w:color w:val="231F1F"/>
          <w:spacing w:val="-26"/>
          <w:w w:val="120"/>
        </w:rPr>
        <w:t> </w:t>
      </w:r>
      <w:r>
        <w:rPr>
          <w:color w:val="231F1F"/>
          <w:spacing w:val="-7"/>
          <w:w w:val="120"/>
        </w:rPr>
        <w:t>by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20"/>
          <w:sz w:val="11"/>
        </w:rPr>
        <w:t>ACITRETIN</w:t>
      </w:r>
      <w:r>
        <w:rPr>
          <w:rFonts w:ascii="Calibri" w:hAnsi="Calibri"/>
          <w:color w:val="008356"/>
          <w:spacing w:val="-15"/>
          <w:w w:val="120"/>
          <w:sz w:val="11"/>
        </w:rPr>
        <w:t> </w:t>
      </w:r>
      <w:r>
        <w:rPr>
          <w:color w:val="231F1F"/>
          <w:w w:val="120"/>
        </w:rPr>
        <w:t>(also</w:t>
      </w:r>
      <w:r>
        <w:rPr>
          <w:color w:val="231F1F"/>
          <w:spacing w:val="-23"/>
          <w:w w:val="120"/>
        </w:rPr>
        <w:t> </w:t>
      </w:r>
      <w:r>
        <w:rPr>
          <w:color w:val="231F1F"/>
          <w:w w:val="120"/>
        </w:rPr>
        <w:t>increased</w:t>
      </w:r>
      <w:r>
        <w:rPr>
          <w:color w:val="231F1F"/>
          <w:spacing w:val="-24"/>
          <w:w w:val="120"/>
        </w:rPr>
        <w:t> </w:t>
      </w:r>
      <w:r>
        <w:rPr>
          <w:color w:val="231F1F"/>
          <w:w w:val="120"/>
        </w:rPr>
        <w:t>risk</w:t>
      </w:r>
      <w:r>
        <w:rPr>
          <w:color w:val="231F1F"/>
          <w:spacing w:val="-23"/>
          <w:w w:val="120"/>
        </w:rPr>
        <w:t> </w:t>
      </w:r>
      <w:r>
        <w:rPr>
          <w:color w:val="231F1F"/>
          <w:w w:val="120"/>
        </w:rPr>
        <w:t>of</w:t>
      </w:r>
      <w:r>
        <w:rPr>
          <w:color w:val="231F1F"/>
          <w:spacing w:val="-24"/>
          <w:w w:val="120"/>
        </w:rPr>
        <w:t> </w:t>
      </w:r>
      <w:r>
        <w:rPr>
          <w:color w:val="231F1F"/>
          <w:w w:val="120"/>
        </w:rPr>
        <w:t>hepatotoxicity)</w:t>
      </w:r>
      <w:r>
        <w:rPr>
          <w:rFonts w:ascii="Arial" w:hAnsi="Arial"/>
          <w:color w:val="231F1F"/>
          <w:w w:val="120"/>
        </w:rPr>
        <w:t>—</w:t>
      </w:r>
      <w:r>
        <w:rPr>
          <w:color w:val="231F1F"/>
          <w:w w:val="120"/>
        </w:rPr>
        <w:t>avoid concomitant</w:t>
      </w:r>
      <w:r>
        <w:rPr>
          <w:color w:val="231F1F"/>
          <w:spacing w:val="-8"/>
          <w:w w:val="120"/>
        </w:rPr>
        <w:t> </w:t>
      </w:r>
      <w:r>
        <w:rPr>
          <w:color w:val="231F1F"/>
          <w:w w:val="120"/>
        </w:rPr>
        <w:t>use</w:t>
      </w:r>
    </w:p>
    <w:p>
      <w:pPr>
        <w:pStyle w:val="BodyText"/>
        <w:spacing w:line="220" w:lineRule="auto" w:before="9"/>
        <w:ind w:right="138"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methotrexate possibly increases plasma concentration of </w:t>
      </w:r>
      <w:r>
        <w:rPr>
          <w:rFonts w:ascii="Calibri" w:hAnsi="Calibri"/>
          <w:color w:val="008356"/>
          <w:w w:val="105"/>
          <w:sz w:val="11"/>
        </w:rPr>
        <w:t>THEOPHYLLINE</w:t>
      </w:r>
    </w:p>
    <w:p>
      <w:pPr>
        <w:spacing w:line="230" w:lineRule="auto" w:before="5"/>
        <w:ind w:left="208" w:right="315" w:hanging="100"/>
        <w:jc w:val="left"/>
        <w:rPr>
          <w:sz w:val="12"/>
        </w:rPr>
      </w:pPr>
      <w:r>
        <w:rPr>
          <w:rFonts w:ascii="Lucida Sans Unicode" w:hAnsi="Lucida Sans Unicode"/>
          <w:color w:val="A7A8AC"/>
          <w:w w:val="95"/>
          <w:sz w:val="10"/>
        </w:rPr>
        <w:t>▶ </w:t>
      </w:r>
      <w:r>
        <w:rPr>
          <w:rFonts w:ascii="Calibri" w:hAnsi="Calibri"/>
          <w:color w:val="231F1F"/>
          <w:w w:val="105"/>
          <w:sz w:val="12"/>
        </w:rPr>
        <w:t>Ulcer-healing Drugs: </w:t>
      </w:r>
      <w:r>
        <w:rPr>
          <w:color w:val="231F1F"/>
          <w:w w:val="105"/>
          <w:sz w:val="12"/>
        </w:rPr>
        <w:t>excretion of methotrexate possibly reduced by </w:t>
      </w:r>
      <w:r>
        <w:rPr>
          <w:rFonts w:ascii="Calibri" w:hAnsi="Calibri"/>
          <w:color w:val="008356"/>
          <w:w w:val="105"/>
          <w:sz w:val="11"/>
        </w:rPr>
        <w:t>PROTON PUMP INHIBITORS </w:t>
      </w:r>
      <w:r>
        <w:rPr>
          <w:color w:val="231F1F"/>
          <w:w w:val="105"/>
          <w:sz w:val="12"/>
        </w:rPr>
        <w:t>(increased risk of toxicity)</w:t>
      </w:r>
    </w:p>
    <w:p>
      <w:pPr>
        <w:pStyle w:val="BodyText"/>
        <w:spacing w:before="12"/>
        <w:ind w:left="108"/>
        <w:rPr>
          <w:rFonts w:ascii="Trebuchet MS"/>
        </w:rPr>
      </w:pPr>
      <w:r>
        <w:rPr>
          <w:rFonts w:ascii="Trebuchet MS"/>
          <w:color w:val="008356"/>
        </w:rPr>
        <w:t>Methyldopa</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methyldopa given with </w:t>
      </w:r>
      <w:r>
        <w:rPr>
          <w:rFonts w:ascii="Calibri" w:hAnsi="Calibri"/>
          <w:color w:val="008356"/>
          <w:w w:val="105"/>
          <w:sz w:val="11"/>
        </w:rPr>
        <w:t>ACE INHIBITORS</w:t>
      </w:r>
    </w:p>
    <w:p>
      <w:pPr>
        <w:spacing w:line="220" w:lineRule="auto" w:before="8"/>
        <w:ind w:left="208" w:right="11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methyldopa given with </w:t>
      </w:r>
      <w:r>
        <w:rPr>
          <w:rFonts w:ascii="Calibri" w:hAnsi="Calibri"/>
          <w:color w:val="008356"/>
          <w:spacing w:val="4"/>
          <w:w w:val="105"/>
          <w:sz w:val="11"/>
        </w:rPr>
        <w:t>ADRENERGIC NEURONE</w:t>
      </w:r>
      <w:r>
        <w:rPr>
          <w:rFonts w:ascii="Calibri" w:hAnsi="Calibri"/>
          <w:color w:val="008356"/>
          <w:spacing w:val="31"/>
          <w:w w:val="105"/>
          <w:sz w:val="11"/>
        </w:rPr>
        <w:t> </w:t>
      </w:r>
      <w:r>
        <w:rPr>
          <w:rFonts w:ascii="Calibri" w:hAnsi="Calibri"/>
          <w:color w:val="008356"/>
          <w:spacing w:val="4"/>
          <w:w w:val="105"/>
          <w:sz w:val="11"/>
        </w:rPr>
        <w:t>BLOCKERS</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Methyldopa </w:t>
      </w:r>
      <w:r>
        <w:rPr>
          <w:rFonts w:ascii="Calibri"/>
          <w:color w:val="231F1F"/>
        </w:rPr>
        <w:t>(continued)</w:t>
      </w:r>
    </w:p>
    <w:p>
      <w:pPr>
        <w:pStyle w:val="BodyText"/>
        <w:spacing w:line="220" w:lineRule="auto" w:before="6"/>
        <w:ind w:right="762" w:hanging="100"/>
        <w:rPr>
          <w:rFonts w:ascii="Calibri" w:hAnsi="Calibri"/>
          <w:sz w:val="11"/>
        </w:rPr>
      </w:pPr>
      <w:r>
        <w:rPr/>
        <w:pict>
          <v:rect style="position:absolute;margin-left:398.891296pt;margin-top:-8.655787pt;width:20.522993pt;height:149.443pt;mso-position-horizontal-relative:page;mso-position-vertical-relative:paragraph;z-index:4864" filled="true" fillcolor="#bfdbcf" stroked="false">
            <v:fill type="solid"/>
            <w10:wrap type="none"/>
          </v:rect>
        </w:pict>
      </w:r>
      <w:r>
        <w:rPr/>
        <w:pict>
          <v:shape style="position:absolute;margin-left:399.725769pt;margin-top:-3.692398pt;width:10.4pt;height:78.850pt;mso-position-horizontal-relative:page;mso-position-vertical-relative:paragraph;z-index:488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methyldopa given with </w:t>
      </w:r>
      <w:r>
        <w:rPr>
          <w:rFonts w:ascii="Calibri" w:hAnsi="Calibri"/>
          <w:color w:val="008356"/>
          <w:w w:val="105"/>
          <w:sz w:val="11"/>
        </w:rPr>
        <w:t>ALCOHOL</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methyldopa given with </w:t>
      </w:r>
      <w:r>
        <w:rPr>
          <w:rFonts w:ascii="Calibri" w:hAnsi="Calibri"/>
          <w:color w:val="008356"/>
          <w:w w:val="110"/>
          <w:sz w:val="11"/>
        </w:rPr>
        <w:t>ALDESLEUKIN</w:t>
      </w:r>
    </w:p>
    <w:p>
      <w:pPr>
        <w:pStyle w:val="BodyText"/>
        <w:spacing w:line="220" w:lineRule="auto" w:before="9"/>
        <w:ind w:right="1328"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enhanced hypotensive effect when methyldopa given with </w:t>
      </w:r>
      <w:r>
        <w:rPr>
          <w:rFonts w:ascii="Calibri" w:hAnsi="Calibri"/>
          <w:color w:val="008356"/>
          <w:w w:val="105"/>
          <w:sz w:val="11"/>
        </w:rPr>
        <w:t>ALPHA-BLOCKERS</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methyldopa given with </w:t>
      </w:r>
      <w:r>
        <w:rPr>
          <w:rFonts w:ascii="Calibri" w:hAnsi="Calibri"/>
          <w:color w:val="008356"/>
          <w:w w:val="105"/>
          <w:sz w:val="11"/>
        </w:rPr>
        <w:t>GENERAL ANAESTHETICS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methyldopa antagonised by</w:t>
      </w:r>
    </w:p>
    <w:p>
      <w:pPr>
        <w:spacing w:line="131" w:lineRule="exact" w:before="0"/>
        <w:ind w:left="208" w:right="0" w:firstLine="0"/>
        <w:jc w:val="left"/>
        <w:rPr>
          <w:rFonts w:ascii="Calibri"/>
          <w:sz w:val="9"/>
        </w:rPr>
      </w:pPr>
      <w:r>
        <w:rPr>
          <w:rFonts w:ascii="Calibri"/>
          <w:color w:val="008356"/>
          <w:sz w:val="11"/>
        </w:rPr>
        <w:t>NSAID</w:t>
      </w:r>
      <w:r>
        <w:rPr>
          <w:rFonts w:ascii="Calibri"/>
          <w:color w:val="008356"/>
          <w:sz w:val="9"/>
        </w:rPr>
        <w:t>S</w:t>
      </w:r>
    </w:p>
    <w:p>
      <w:pPr>
        <w:spacing w:line="237" w:lineRule="auto" w:before="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methyldopa given with </w:t>
      </w:r>
      <w:r>
        <w:rPr>
          <w:rFonts w:ascii="Calibri" w:hAnsi="Calibri"/>
          <w:color w:val="008356"/>
          <w:w w:val="105"/>
          <w:sz w:val="11"/>
        </w:rPr>
        <w:t>ANGIOTENSIN-II RECEPTOR ANTAGONISTS</w:t>
      </w:r>
    </w:p>
    <w:p>
      <w:pPr>
        <w:pStyle w:val="BodyText"/>
        <w:ind w:right="830" w:hanging="100"/>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Antidepressants:</w:t>
      </w:r>
      <w:r>
        <w:rPr>
          <w:rFonts w:ascii="Calibri"/>
          <w:color w:val="231F1F"/>
          <w:spacing w:val="-18"/>
          <w:w w:val="115"/>
        </w:rPr>
        <w:t> </w:t>
      </w:r>
      <w:r>
        <w:rPr>
          <w:color w:val="231F1F"/>
          <w:w w:val="115"/>
        </w:rPr>
        <w:t>manufacturer</w:t>
      </w:r>
      <w:r>
        <w:rPr>
          <w:color w:val="231F1F"/>
          <w:spacing w:val="-23"/>
          <w:w w:val="115"/>
        </w:rPr>
        <w:t> </w:t>
      </w:r>
      <w:r>
        <w:rPr>
          <w:color w:val="231F1F"/>
          <w:w w:val="115"/>
        </w:rPr>
        <w:t>of</w:t>
      </w:r>
      <w:r>
        <w:rPr>
          <w:color w:val="231F1F"/>
          <w:spacing w:val="-22"/>
          <w:w w:val="115"/>
        </w:rPr>
        <w:t> </w:t>
      </w:r>
      <w:r>
        <w:rPr>
          <w:color w:val="231F1F"/>
          <w:w w:val="115"/>
        </w:rPr>
        <w:t>methyldopa</w:t>
      </w:r>
      <w:r>
        <w:rPr>
          <w:color w:val="231F1F"/>
          <w:spacing w:val="-23"/>
          <w:w w:val="115"/>
        </w:rPr>
        <w:t> </w:t>
      </w:r>
      <w:r>
        <w:rPr>
          <w:color w:val="231F1F"/>
          <w:w w:val="115"/>
        </w:rPr>
        <w:t>advises</w:t>
      </w:r>
      <w:r>
        <w:rPr>
          <w:color w:val="231F1F"/>
          <w:spacing w:val="-22"/>
          <w:w w:val="115"/>
        </w:rPr>
        <w:t>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5"/>
          <w:w w:val="115"/>
          <w:sz w:val="11"/>
        </w:rPr>
        <w:t>MAOIS</w:t>
      </w:r>
    </w:p>
    <w:p>
      <w:pPr>
        <w:pStyle w:val="BodyText"/>
        <w:spacing w:line="230" w:lineRule="auto"/>
        <w:ind w:right="670"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enhanced hypotensive effect when methyldopa given with </w:t>
      </w:r>
      <w:r>
        <w:rPr>
          <w:rFonts w:ascii="Calibri" w:hAnsi="Calibri"/>
          <w:color w:val="008356"/>
          <w:w w:val="110"/>
          <w:sz w:val="11"/>
        </w:rPr>
        <w:t>ANTIPSYCHOTICS </w:t>
      </w:r>
      <w:r>
        <w:rPr>
          <w:color w:val="231F1F"/>
          <w:w w:val="110"/>
        </w:rPr>
        <w:t>(also increased risk of extrapyramidal effects)</w:t>
      </w:r>
    </w:p>
    <w:p>
      <w:pPr>
        <w:spacing w:line="220" w:lineRule="auto" w:before="1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methyldopa given with </w:t>
      </w:r>
      <w:r>
        <w:rPr>
          <w:rFonts w:ascii="Calibri" w:hAnsi="Calibri"/>
          <w:color w:val="008356"/>
          <w:w w:val="105"/>
          <w:sz w:val="11"/>
        </w:rPr>
        <w:t>ANXIOLYTICS AND HYPNOTICS</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methyldopa given with </w:t>
      </w:r>
      <w:r>
        <w:rPr>
          <w:rFonts w:ascii="Calibri" w:hAnsi="Calibri"/>
          <w:color w:val="008356"/>
          <w:w w:val="110"/>
          <w:sz w:val="11"/>
        </w:rPr>
        <w:t>BETA-BLOCKERS</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methyldopa given with </w:t>
      </w:r>
      <w:r>
        <w:rPr>
          <w:rFonts w:ascii="Calibri" w:hAnsi="Calibri"/>
          <w:color w:val="008356"/>
          <w:w w:val="105"/>
          <w:sz w:val="11"/>
        </w:rPr>
        <w:t>CALCIUM-CHANNEL BLOCKERS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methyldopa given with </w:t>
      </w:r>
      <w:r>
        <w:rPr>
          <w:rFonts w:ascii="Calibri" w:hAnsi="Calibri"/>
          <w:color w:val="008356"/>
          <w:w w:val="105"/>
          <w:sz w:val="11"/>
        </w:rPr>
        <w:t>CLONIDINE</w:t>
      </w:r>
    </w:p>
    <w:p>
      <w:pPr>
        <w:spacing w:line="220" w:lineRule="auto" w:before="9"/>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Corticosteroids: </w:t>
      </w:r>
      <w:r>
        <w:rPr>
          <w:color w:val="231F1F"/>
          <w:w w:val="105"/>
          <w:sz w:val="12"/>
        </w:rPr>
        <w:t>hypotensive effect of  methyldopa antagonised by</w:t>
      </w:r>
      <w:r>
        <w:rPr>
          <w:color w:val="231F1F"/>
          <w:spacing w:val="-2"/>
          <w:w w:val="105"/>
          <w:sz w:val="12"/>
        </w:rPr>
        <w:t> </w:t>
      </w:r>
      <w:r>
        <w:rPr>
          <w:rFonts w:ascii="Calibri" w:hAnsi="Calibri"/>
          <w:color w:val="008356"/>
          <w:spacing w:val="4"/>
          <w:w w:val="105"/>
          <w:sz w:val="11"/>
        </w:rPr>
        <w:t>CORTICOSTEROIDS</w:t>
      </w:r>
    </w:p>
    <w:p>
      <w:pPr>
        <w:pStyle w:val="BodyText"/>
        <w:spacing w:line="220" w:lineRule="auto" w:before="9"/>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methyldopa given with</w:t>
      </w:r>
      <w:r>
        <w:rPr>
          <w:color w:val="231F1F"/>
          <w:spacing w:val="-1"/>
          <w:w w:val="105"/>
        </w:rPr>
        <w:t> </w:t>
      </w:r>
      <w:r>
        <w:rPr>
          <w:rFonts w:ascii="Calibri" w:hAnsi="Calibri"/>
          <w:color w:val="008356"/>
          <w:spacing w:val="4"/>
          <w:w w:val="105"/>
          <w:sz w:val="11"/>
        </w:rPr>
        <w:t>DIAZOXIDE</w:t>
      </w:r>
    </w:p>
    <w:p>
      <w:pPr>
        <w:pStyle w:val="BodyText"/>
        <w:spacing w:line="220" w:lineRule="auto" w:before="8"/>
        <w:ind w:right="991"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methyldopa given with</w:t>
      </w:r>
      <w:r>
        <w:rPr>
          <w:color w:val="231F1F"/>
          <w:spacing w:val="-1"/>
          <w:w w:val="105"/>
        </w:rPr>
        <w:t> </w:t>
      </w:r>
      <w:r>
        <w:rPr>
          <w:rFonts w:ascii="Calibri" w:hAnsi="Calibri"/>
          <w:color w:val="008356"/>
          <w:spacing w:val="5"/>
          <w:w w:val="105"/>
          <w:sz w:val="11"/>
        </w:rPr>
        <w:t>DIURETICS</w:t>
      </w:r>
    </w:p>
    <w:p>
      <w:pPr>
        <w:spacing w:line="237" w:lineRule="auto" w:before="1"/>
        <w:ind w:left="208" w:right="851" w:hanging="100"/>
        <w:jc w:val="left"/>
        <w:rPr>
          <w:sz w:val="12"/>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methyldopa antagonises antiparkinsonian effect of </w:t>
      </w:r>
      <w:r>
        <w:rPr>
          <w:rFonts w:ascii="Calibri" w:hAnsi="Calibri"/>
          <w:color w:val="008356"/>
          <w:w w:val="110"/>
          <w:sz w:val="11"/>
        </w:rPr>
        <w:t>DOPAMINERGICS</w:t>
      </w:r>
      <w:r>
        <w:rPr>
          <w:color w:val="231F1F"/>
          <w:w w:val="110"/>
          <w:sz w:val="12"/>
        </w:rPr>
        <w:t>; increased risk of extrapyramidal side-effects when methyldopa given with </w:t>
      </w:r>
      <w:r>
        <w:rPr>
          <w:rFonts w:ascii="Calibri" w:hAnsi="Calibri"/>
          <w:color w:val="008356"/>
          <w:w w:val="110"/>
          <w:sz w:val="11"/>
        </w:rPr>
        <w:t>AMANTADINE</w:t>
      </w:r>
      <w:r>
        <w:rPr>
          <w:color w:val="231F1F"/>
          <w:w w:val="110"/>
          <w:sz w:val="12"/>
        </w:rPr>
        <w:t>; enhanced hypotensive effect when methyldopa given with </w:t>
      </w:r>
      <w:r>
        <w:rPr>
          <w:rFonts w:ascii="Calibri" w:hAnsi="Calibri"/>
          <w:color w:val="008356"/>
          <w:w w:val="110"/>
          <w:sz w:val="11"/>
        </w:rPr>
        <w:t>CO-BENELDOPA</w:t>
      </w:r>
      <w:r>
        <w:rPr>
          <w:color w:val="231F1F"/>
          <w:w w:val="110"/>
          <w:sz w:val="12"/>
        </w:rPr>
        <w:t>, </w:t>
      </w:r>
      <w:r>
        <w:rPr>
          <w:rFonts w:ascii="Calibri" w:hAnsi="Calibri"/>
          <w:color w:val="008356"/>
          <w:w w:val="110"/>
          <w:sz w:val="11"/>
        </w:rPr>
        <w:t>CO-CARELDOPA </w:t>
      </w:r>
      <w:r>
        <w:rPr>
          <w:color w:val="231F1F"/>
          <w:w w:val="110"/>
          <w:sz w:val="12"/>
        </w:rPr>
        <w:t>or </w:t>
      </w:r>
      <w:r>
        <w:rPr>
          <w:rFonts w:ascii="Calibri" w:hAnsi="Calibri"/>
          <w:color w:val="008356"/>
          <w:w w:val="110"/>
          <w:sz w:val="11"/>
        </w:rPr>
        <w:t>LEVODOPA</w:t>
      </w:r>
      <w:r>
        <w:rPr>
          <w:color w:val="231F1F"/>
          <w:w w:val="110"/>
          <w:sz w:val="12"/>
        </w:rPr>
        <w:t>; effects of</w:t>
      </w:r>
    </w:p>
    <w:p>
      <w:pPr>
        <w:spacing w:line="141" w:lineRule="exact" w:before="4"/>
        <w:ind w:left="208" w:right="0" w:firstLine="0"/>
        <w:jc w:val="left"/>
        <w:rPr>
          <w:rFonts w:ascii="Calibri"/>
          <w:sz w:val="11"/>
        </w:rPr>
      </w:pPr>
      <w:r>
        <w:rPr>
          <w:color w:val="231F1F"/>
          <w:w w:val="110"/>
          <w:sz w:val="12"/>
        </w:rPr>
        <w:t>methyldopa possibly enhanced by </w:t>
      </w:r>
      <w:r>
        <w:rPr>
          <w:rFonts w:ascii="Calibri"/>
          <w:color w:val="008356"/>
          <w:w w:val="110"/>
          <w:sz w:val="11"/>
        </w:rPr>
        <w:t>ENTACAPONE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Iron Salts: </w:t>
      </w:r>
      <w:r>
        <w:rPr>
          <w:color w:val="231F1F"/>
          <w:w w:val="105"/>
        </w:rPr>
        <w:t>hypotensive effect of methyldopa antagonised by</w:t>
      </w:r>
    </w:p>
    <w:p>
      <w:pPr>
        <w:spacing w:line="134" w:lineRule="exact" w:before="0"/>
        <w:ind w:left="208" w:right="0" w:firstLine="0"/>
        <w:jc w:val="left"/>
        <w:rPr>
          <w:rFonts w:ascii="Calibri"/>
          <w:sz w:val="11"/>
        </w:rPr>
      </w:pPr>
      <w:r>
        <w:rPr>
          <w:i/>
          <w:color w:val="231F1F"/>
          <w:sz w:val="12"/>
        </w:rPr>
        <w:t>oral </w:t>
      </w:r>
      <w:r>
        <w:rPr>
          <w:rFonts w:ascii="Calibri"/>
          <w:color w:val="008356"/>
          <w:sz w:val="11"/>
        </w:rPr>
        <w:t>IRON SALTS</w:t>
      </w:r>
    </w:p>
    <w:p>
      <w:pPr>
        <w:pStyle w:val="BodyText"/>
        <w:ind w:right="882" w:hanging="100"/>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Lithium:</w:t>
      </w:r>
      <w:r>
        <w:rPr>
          <w:rFonts w:ascii="Calibri"/>
          <w:color w:val="231F1F"/>
          <w:spacing w:val="-10"/>
          <w:w w:val="115"/>
        </w:rPr>
        <w:t> </w:t>
      </w:r>
      <w:r>
        <w:rPr>
          <w:color w:val="231F1F"/>
          <w:w w:val="115"/>
        </w:rPr>
        <w:t>neurotoxicity</w:t>
      </w:r>
      <w:r>
        <w:rPr>
          <w:color w:val="231F1F"/>
          <w:spacing w:val="-13"/>
          <w:w w:val="115"/>
        </w:rPr>
        <w:t> </w:t>
      </w:r>
      <w:r>
        <w:rPr>
          <w:color w:val="231F1F"/>
          <w:w w:val="115"/>
        </w:rPr>
        <w:t>may</w:t>
      </w:r>
      <w:r>
        <w:rPr>
          <w:color w:val="231F1F"/>
          <w:spacing w:val="-13"/>
          <w:w w:val="115"/>
        </w:rPr>
        <w:t> </w:t>
      </w:r>
      <w:r>
        <w:rPr>
          <w:color w:val="231F1F"/>
          <w:w w:val="115"/>
        </w:rPr>
        <w:t>occur</w:t>
      </w:r>
      <w:r>
        <w:rPr>
          <w:color w:val="231F1F"/>
          <w:spacing w:val="-13"/>
          <w:w w:val="115"/>
        </w:rPr>
        <w:t> </w:t>
      </w:r>
      <w:r>
        <w:rPr>
          <w:color w:val="231F1F"/>
          <w:w w:val="115"/>
        </w:rPr>
        <w:t>when</w:t>
      </w:r>
      <w:r>
        <w:rPr>
          <w:color w:val="231F1F"/>
          <w:spacing w:val="-13"/>
          <w:w w:val="115"/>
        </w:rPr>
        <w:t> </w:t>
      </w:r>
      <w:r>
        <w:rPr>
          <w:color w:val="231F1F"/>
          <w:w w:val="115"/>
        </w:rPr>
        <w:t>methyldopa</w:t>
      </w:r>
      <w:r>
        <w:rPr>
          <w:color w:val="231F1F"/>
          <w:spacing w:val="-13"/>
          <w:w w:val="115"/>
        </w:rPr>
        <w:t> </w:t>
      </w:r>
      <w:r>
        <w:rPr>
          <w:color w:val="231F1F"/>
          <w:w w:val="115"/>
        </w:rPr>
        <w:t>given with</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LITHIUM</w:t>
      </w:r>
      <w:r>
        <w:rPr>
          <w:rFonts w:ascii="Calibri"/>
          <w:color w:val="008356"/>
          <w:spacing w:val="-1"/>
          <w:w w:val="115"/>
          <w:sz w:val="11"/>
        </w:rPr>
        <w:t> </w:t>
      </w:r>
      <w:r>
        <w:rPr>
          <w:color w:val="231F1F"/>
          <w:w w:val="115"/>
        </w:rPr>
        <w:t>without</w:t>
      </w:r>
      <w:r>
        <w:rPr>
          <w:color w:val="231F1F"/>
          <w:spacing w:val="-12"/>
          <w:w w:val="115"/>
        </w:rPr>
        <w:t> </w:t>
      </w:r>
      <w:r>
        <w:rPr>
          <w:color w:val="231F1F"/>
          <w:w w:val="115"/>
        </w:rPr>
        <w:t>increased</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spacing w:val="-6"/>
          <w:w w:val="115"/>
        </w:rPr>
        <w:t>of </w:t>
      </w:r>
      <w:r>
        <w:rPr>
          <w:color w:val="231F1F"/>
          <w:w w:val="115"/>
        </w:rPr>
        <w:t>lithium</w:t>
      </w:r>
    </w:p>
    <w:p>
      <w:pPr>
        <w:pStyle w:val="BodyText"/>
        <w:spacing w:line="220" w:lineRule="auto" w:before="10"/>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methyldopa given with</w:t>
      </w:r>
      <w:r>
        <w:rPr>
          <w:color w:val="231F1F"/>
          <w:spacing w:val="-1"/>
          <w:w w:val="105"/>
        </w:rPr>
        <w:t> </w:t>
      </w:r>
      <w:r>
        <w:rPr>
          <w:rFonts w:ascii="Calibri" w:hAnsi="Calibri"/>
          <w:color w:val="008356"/>
          <w:spacing w:val="3"/>
          <w:w w:val="105"/>
          <w:sz w:val="11"/>
        </w:rPr>
        <w:t>MOXISYLYTE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methyldopa given with</w:t>
      </w:r>
      <w:r>
        <w:rPr>
          <w:color w:val="231F1F"/>
          <w:spacing w:val="-2"/>
          <w:w w:val="105"/>
        </w:rPr>
        <w:t> </w:t>
      </w:r>
      <w:r>
        <w:rPr>
          <w:rFonts w:ascii="Calibri" w:hAnsi="Calibri"/>
          <w:color w:val="008356"/>
          <w:spacing w:val="4"/>
          <w:w w:val="105"/>
          <w:sz w:val="11"/>
        </w:rPr>
        <w:t>MOXONIDINE</w:t>
      </w:r>
    </w:p>
    <w:p>
      <w:pPr>
        <w:spacing w:line="220" w:lineRule="auto" w:before="1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methyldopa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methyldopa given with </w:t>
      </w:r>
      <w:r>
        <w:rPr>
          <w:rFonts w:ascii="Calibri" w:hAnsi="Calibri"/>
          <w:color w:val="008356"/>
          <w:w w:val="105"/>
          <w:sz w:val="11"/>
        </w:rPr>
        <w:t>NITRATES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methyldopa antagonised by</w:t>
      </w:r>
    </w:p>
    <w:p>
      <w:pPr>
        <w:spacing w:line="131" w:lineRule="exact" w:before="0"/>
        <w:ind w:left="208" w:right="0" w:firstLine="0"/>
        <w:jc w:val="left"/>
        <w:rPr>
          <w:rFonts w:ascii="Calibri"/>
          <w:sz w:val="11"/>
        </w:rPr>
      </w:pPr>
      <w:r>
        <w:rPr>
          <w:rFonts w:ascii="Calibri"/>
          <w:color w:val="008356"/>
          <w:sz w:val="11"/>
        </w:rPr>
        <w:t>OESTROGENS</w:t>
      </w:r>
    </w:p>
    <w:p>
      <w:pPr>
        <w:pStyle w:val="BodyText"/>
        <w:spacing w:line="220" w:lineRule="auto" w:before="8"/>
        <w:ind w:right="1325"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methyldopa given with </w:t>
      </w:r>
      <w:r>
        <w:rPr>
          <w:rFonts w:ascii="Calibri" w:hAnsi="Calibri"/>
          <w:color w:val="008356"/>
          <w:w w:val="110"/>
          <w:sz w:val="11"/>
        </w:rPr>
        <w:t>ALPROSTADIL</w:t>
      </w:r>
    </w:p>
    <w:p>
      <w:pPr>
        <w:spacing w:before="0"/>
        <w:ind w:left="208" w:right="839" w:hanging="100"/>
        <w:jc w:val="left"/>
        <w:rPr>
          <w:rFonts w:ascii="Calibri"/>
          <w:sz w:val="11"/>
        </w:rPr>
      </w:pPr>
      <w:r>
        <w:rPr>
          <w:rFonts w:ascii="Arial"/>
          <w:color w:val="231F1F"/>
          <w:w w:val="355"/>
          <w:position w:val="1"/>
          <w:sz w:val="7"/>
        </w:rPr>
        <w:t>l</w:t>
      </w:r>
      <w:r>
        <w:rPr>
          <w:rFonts w:ascii="Arial"/>
          <w:color w:val="231F1F"/>
          <w:spacing w:val="-53"/>
          <w:w w:val="355"/>
          <w:position w:val="1"/>
          <w:sz w:val="7"/>
        </w:rPr>
        <w:t> </w:t>
      </w:r>
      <w:r>
        <w:rPr>
          <w:rFonts w:ascii="Calibri"/>
          <w:color w:val="231F1F"/>
          <w:w w:val="110"/>
          <w:sz w:val="12"/>
        </w:rPr>
        <w:t>Sympathomimetics, Beta</w:t>
      </w:r>
      <w:r>
        <w:rPr>
          <w:rFonts w:ascii="Calibri"/>
          <w:color w:val="231F1F"/>
          <w:w w:val="110"/>
          <w:sz w:val="12"/>
          <w:vertAlign w:val="subscript"/>
        </w:rPr>
        <w:t>2</w:t>
      </w:r>
      <w:r>
        <w:rPr>
          <w:rFonts w:ascii="Calibri"/>
          <w:color w:val="231F1F"/>
          <w:w w:val="110"/>
          <w:sz w:val="12"/>
          <w:vertAlign w:val="baseline"/>
        </w:rPr>
        <w:t>: </w:t>
      </w:r>
      <w:r>
        <w:rPr>
          <w:color w:val="231F1F"/>
          <w:w w:val="110"/>
          <w:sz w:val="12"/>
          <w:vertAlign w:val="baseline"/>
        </w:rPr>
        <w:t>acute hypotension reported when methyldopa given with </w:t>
      </w:r>
      <w:r>
        <w:rPr>
          <w:i/>
          <w:color w:val="231F1F"/>
          <w:w w:val="110"/>
          <w:sz w:val="12"/>
          <w:vertAlign w:val="baseline"/>
        </w:rPr>
        <w:t>infusion </w:t>
      </w:r>
      <w:r>
        <w:rPr>
          <w:color w:val="231F1F"/>
          <w:w w:val="110"/>
          <w:sz w:val="12"/>
          <w:vertAlign w:val="baseline"/>
        </w:rPr>
        <w:t>of </w:t>
      </w:r>
      <w:r>
        <w:rPr>
          <w:rFonts w:ascii="Arial"/>
          <w:color w:val="231F1F"/>
          <w:w w:val="355"/>
          <w:position w:val="1"/>
          <w:sz w:val="7"/>
          <w:vertAlign w:val="baseline"/>
        </w:rPr>
        <w:t>l </w:t>
      </w:r>
      <w:r>
        <w:rPr>
          <w:rFonts w:ascii="Calibri"/>
          <w:color w:val="008356"/>
          <w:spacing w:val="4"/>
          <w:w w:val="110"/>
          <w:sz w:val="11"/>
          <w:vertAlign w:val="baseline"/>
        </w:rPr>
        <w:t>SALBUTAMOL</w:t>
      </w:r>
    </w:p>
    <w:p>
      <w:pPr>
        <w:spacing w:line="237" w:lineRule="auto" w:before="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methyldopa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line="256" w:lineRule="auto" w:before="4"/>
        <w:ind w:left="108" w:right="1328"/>
        <w:rPr>
          <w:rFonts w:ascii="Trebuchet MS"/>
        </w:rPr>
      </w:pPr>
      <w:r>
        <w:rPr>
          <w:rFonts w:ascii="Trebuchet MS"/>
          <w:color w:val="008356"/>
          <w:w w:val="105"/>
        </w:rPr>
        <w:t>Methylphenidate </w:t>
      </w:r>
      <w:r>
        <w:rPr>
          <w:i/>
          <w:color w:val="231F1F"/>
          <w:w w:val="105"/>
        </w:rPr>
        <w:t>see </w:t>
      </w:r>
      <w:r>
        <w:rPr>
          <w:color w:val="231F1F"/>
          <w:w w:val="105"/>
        </w:rPr>
        <w:t>Sympathomimetics </w:t>
      </w:r>
      <w:r>
        <w:rPr>
          <w:rFonts w:ascii="Trebuchet MS"/>
          <w:color w:val="008356"/>
          <w:w w:val="105"/>
        </w:rPr>
        <w:t>Methylprednisolone </w:t>
      </w:r>
      <w:r>
        <w:rPr>
          <w:i/>
          <w:color w:val="231F1F"/>
          <w:w w:val="105"/>
        </w:rPr>
        <w:t>see </w:t>
      </w:r>
      <w:r>
        <w:rPr>
          <w:color w:val="231F1F"/>
          <w:w w:val="105"/>
        </w:rPr>
        <w:t>Corticosteroids </w:t>
      </w:r>
      <w:r>
        <w:rPr>
          <w:rFonts w:ascii="Trebuchet MS"/>
          <w:color w:val="008356"/>
          <w:w w:val="105"/>
        </w:rPr>
        <w:t>Methylthioninium</w:t>
      </w:r>
    </w:p>
    <w:p>
      <w:pPr>
        <w:pStyle w:val="BodyText"/>
        <w:spacing w:line="137" w:lineRule="exact"/>
        <w:ind w:left="108"/>
      </w:pPr>
      <w:r>
        <w:rPr>
          <w:rFonts w:ascii="Arial"/>
          <w:color w:val="231F1F"/>
          <w:w w:val="355"/>
          <w:position w:val="1"/>
          <w:sz w:val="7"/>
        </w:rPr>
        <w:t>l </w:t>
      </w:r>
      <w:r>
        <w:rPr>
          <w:rFonts w:ascii="Calibri"/>
          <w:color w:val="231F1F"/>
          <w:w w:val="115"/>
        </w:rPr>
        <w:t>Antidepressants: </w:t>
      </w:r>
      <w:r>
        <w:rPr>
          <w:color w:val="231F1F"/>
          <w:w w:val="115"/>
        </w:rPr>
        <w:t>risk of CNS toxicity when methylthioninium</w:t>
      </w:r>
    </w:p>
    <w:p>
      <w:pPr>
        <w:spacing w:before="0"/>
        <w:ind w:left="208" w:right="0" w:firstLine="0"/>
        <w:jc w:val="left"/>
        <w:rPr>
          <w:sz w:val="12"/>
        </w:rPr>
      </w:pPr>
      <w:r>
        <w:rPr>
          <w:color w:val="231F1F"/>
          <w:w w:val="110"/>
          <w:sz w:val="12"/>
        </w:rPr>
        <w:t>given</w:t>
      </w:r>
      <w:r>
        <w:rPr>
          <w:color w:val="231F1F"/>
          <w:spacing w:val="-16"/>
          <w:w w:val="110"/>
          <w:sz w:val="12"/>
        </w:rPr>
        <w:t> </w:t>
      </w:r>
      <w:r>
        <w:rPr>
          <w:color w:val="231F1F"/>
          <w:w w:val="110"/>
          <w:sz w:val="12"/>
        </w:rPr>
        <w:t>with</w:t>
      </w:r>
      <w:r>
        <w:rPr>
          <w:color w:val="231F1F"/>
          <w:spacing w:val="-14"/>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SSRI-RELATED</w:t>
      </w:r>
      <w:r>
        <w:rPr>
          <w:rFonts w:ascii="Calibri"/>
          <w:color w:val="008356"/>
          <w:spacing w:val="-9"/>
          <w:w w:val="110"/>
          <w:sz w:val="11"/>
        </w:rPr>
        <w:t> </w:t>
      </w:r>
      <w:r>
        <w:rPr>
          <w:rFonts w:ascii="Calibri"/>
          <w:color w:val="008356"/>
          <w:spacing w:val="4"/>
          <w:w w:val="110"/>
          <w:sz w:val="11"/>
        </w:rPr>
        <w:t>ANTIDEPRESSANTS</w:t>
      </w:r>
      <w:r>
        <w:rPr>
          <w:color w:val="231F1F"/>
          <w:spacing w:val="4"/>
          <w:w w:val="110"/>
          <w:sz w:val="12"/>
        </w:rPr>
        <w:t>,</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SSRIS</w:t>
      </w:r>
      <w:r>
        <w:rPr>
          <w:rFonts w:ascii="Calibri"/>
          <w:color w:val="008356"/>
          <w:spacing w:val="-6"/>
          <w:w w:val="110"/>
          <w:sz w:val="11"/>
        </w:rPr>
        <w:t> </w:t>
      </w:r>
      <w:r>
        <w:rPr>
          <w:color w:val="231F1F"/>
          <w:w w:val="110"/>
          <w:sz w:val="12"/>
        </w:rPr>
        <w:t>and</w:t>
      </w:r>
    </w:p>
    <w:p>
      <w:pPr>
        <w:pStyle w:val="BodyText"/>
        <w:spacing w:line="247" w:lineRule="auto"/>
        <w:ind w:right="706"/>
      </w:pPr>
      <w:r>
        <w:rPr>
          <w:rFonts w:ascii="Arial" w:hAnsi="Arial"/>
          <w:color w:val="231F1F"/>
          <w:w w:val="355"/>
          <w:position w:val="1"/>
          <w:sz w:val="7"/>
        </w:rPr>
        <w:t>l </w:t>
      </w:r>
      <w:r>
        <w:rPr>
          <w:rFonts w:ascii="Calibri" w:hAnsi="Calibri"/>
          <w:color w:val="008356"/>
          <w:spacing w:val="3"/>
          <w:w w:val="110"/>
          <w:sz w:val="11"/>
        </w:rPr>
        <w:t>CLOMIPRAMINE</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for up to 4 hours after administration); possible risk of CNS toxicity when methylthioninium given with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0"/>
          <w:sz w:val="11"/>
        </w:rPr>
        <w:t>MIRTAZAPINE</w:t>
      </w:r>
      <w:r>
        <w:rPr>
          <w:rFonts w:ascii="Arial" w:hAnsi="Arial"/>
          <w:color w:val="231F1F"/>
          <w:spacing w:val="2"/>
          <w:w w:val="110"/>
        </w:rPr>
        <w:t>—</w:t>
      </w:r>
      <w:r>
        <w:rPr>
          <w:color w:val="231F1F"/>
          <w:spacing w:val="2"/>
          <w:w w:val="110"/>
        </w:rPr>
        <w:t>avoid </w:t>
      </w:r>
      <w:r>
        <w:rPr>
          <w:color w:val="231F1F"/>
          <w:w w:val="110"/>
        </w:rPr>
        <w:t>concomitant use (if avoidance </w:t>
      </w:r>
      <w:r>
        <w:rPr>
          <w:color w:val="231F1F"/>
          <w:spacing w:val="-4"/>
          <w:w w:val="110"/>
        </w:rPr>
        <w:t>not </w:t>
      </w:r>
      <w:r>
        <w:rPr>
          <w:color w:val="231F1F"/>
          <w:w w:val="110"/>
        </w:rPr>
        <w:t>possible, use lowest possible dose of methylthioninium and observe patient for up to 4 hours after</w:t>
      </w:r>
      <w:r>
        <w:rPr>
          <w:color w:val="231F1F"/>
          <w:spacing w:val="3"/>
          <w:w w:val="110"/>
        </w:rPr>
        <w:t> </w:t>
      </w:r>
      <w:r>
        <w:rPr>
          <w:color w:val="231F1F"/>
          <w:w w:val="110"/>
        </w:rPr>
        <w:t>administration)</w:t>
      </w:r>
    </w:p>
    <w:p>
      <w:pPr>
        <w:pStyle w:val="BodyText"/>
        <w:ind w:right="819" w:hanging="100"/>
      </w:pPr>
      <w:r>
        <w:rPr>
          <w:rFonts w:ascii="Arial" w:hAnsi="Arial"/>
          <w:color w:val="231F1F"/>
          <w:w w:val="240"/>
          <w:position w:val="1"/>
          <w:sz w:val="7"/>
        </w:rPr>
        <w:t>l</w:t>
      </w:r>
      <w:r>
        <w:rPr>
          <w:rFonts w:ascii="Arial" w:hAnsi="Arial"/>
          <w:color w:val="231F1F"/>
          <w:spacing w:val="-34"/>
          <w:w w:val="240"/>
          <w:position w:val="1"/>
          <w:sz w:val="7"/>
        </w:rPr>
        <w:t> </w:t>
      </w:r>
      <w:r>
        <w:rPr>
          <w:rFonts w:ascii="Calibri" w:hAnsi="Calibri"/>
          <w:color w:val="231F1F"/>
          <w:w w:val="115"/>
        </w:rPr>
        <w:t>Anxiolytics</w:t>
      </w:r>
      <w:r>
        <w:rPr>
          <w:rFonts w:ascii="Calibri" w:hAnsi="Calibri"/>
          <w:color w:val="231F1F"/>
          <w:spacing w:val="-21"/>
          <w:w w:val="115"/>
        </w:rPr>
        <w:t> </w:t>
      </w:r>
      <w:r>
        <w:rPr>
          <w:rFonts w:ascii="Calibri" w:hAnsi="Calibri"/>
          <w:color w:val="231F1F"/>
          <w:w w:val="115"/>
        </w:rPr>
        <w:t>and</w:t>
      </w:r>
      <w:r>
        <w:rPr>
          <w:rFonts w:ascii="Calibri" w:hAnsi="Calibri"/>
          <w:color w:val="231F1F"/>
          <w:spacing w:val="-20"/>
          <w:w w:val="115"/>
        </w:rPr>
        <w:t> </w:t>
      </w:r>
      <w:r>
        <w:rPr>
          <w:rFonts w:ascii="Calibri" w:hAnsi="Calibri"/>
          <w:color w:val="231F1F"/>
          <w:w w:val="115"/>
        </w:rPr>
        <w:t>Hypnotics:</w:t>
      </w:r>
      <w:r>
        <w:rPr>
          <w:rFonts w:ascii="Calibri" w:hAnsi="Calibri"/>
          <w:color w:val="231F1F"/>
          <w:spacing w:val="-21"/>
          <w:w w:val="115"/>
        </w:rPr>
        <w:t> </w:t>
      </w:r>
      <w:r>
        <w:rPr>
          <w:color w:val="231F1F"/>
          <w:w w:val="115"/>
        </w:rPr>
        <w:t>possible</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CNS</w:t>
      </w:r>
      <w:r>
        <w:rPr>
          <w:color w:val="231F1F"/>
          <w:spacing w:val="-24"/>
          <w:w w:val="115"/>
        </w:rPr>
        <w:t> </w:t>
      </w:r>
      <w:r>
        <w:rPr>
          <w:color w:val="231F1F"/>
          <w:w w:val="115"/>
        </w:rPr>
        <w:t>toxicity</w:t>
      </w:r>
      <w:r>
        <w:rPr>
          <w:color w:val="231F1F"/>
          <w:spacing w:val="-24"/>
          <w:w w:val="115"/>
        </w:rPr>
        <w:t> </w:t>
      </w:r>
      <w:r>
        <w:rPr>
          <w:color w:val="231F1F"/>
          <w:spacing w:val="-4"/>
          <w:w w:val="115"/>
        </w:rPr>
        <w:t>when </w:t>
      </w:r>
      <w:r>
        <w:rPr>
          <w:color w:val="231F1F"/>
          <w:w w:val="115"/>
        </w:rPr>
        <w:t>methylthioninium given with </w:t>
      </w:r>
      <w:r>
        <w:rPr>
          <w:rFonts w:ascii="Arial" w:hAnsi="Arial"/>
          <w:color w:val="231F1F"/>
          <w:w w:val="355"/>
          <w:position w:val="1"/>
          <w:sz w:val="7"/>
        </w:rPr>
        <w:t>l </w:t>
      </w:r>
      <w:r>
        <w:rPr>
          <w:rFonts w:ascii="Calibri" w:hAnsi="Calibri"/>
          <w:color w:val="008356"/>
          <w:spacing w:val="3"/>
          <w:w w:val="115"/>
          <w:sz w:val="11"/>
        </w:rPr>
        <w:t>BUSPIRONE</w:t>
      </w:r>
      <w:r>
        <w:rPr>
          <w:rFonts w:ascii="Arial" w:hAnsi="Arial"/>
          <w:color w:val="231F1F"/>
          <w:spacing w:val="3"/>
          <w:w w:val="115"/>
        </w:rPr>
        <w:t>—</w:t>
      </w:r>
      <w:r>
        <w:rPr>
          <w:color w:val="231F1F"/>
          <w:spacing w:val="3"/>
          <w:w w:val="115"/>
        </w:rPr>
        <w:t>avoid </w:t>
      </w:r>
      <w:r>
        <w:rPr>
          <w:color w:val="231F1F"/>
          <w:w w:val="115"/>
        </w:rPr>
        <w:t>concomitant</w:t>
      </w:r>
      <w:r>
        <w:rPr>
          <w:color w:val="231F1F"/>
          <w:spacing w:val="-6"/>
          <w:w w:val="115"/>
        </w:rPr>
        <w:t> </w:t>
      </w:r>
      <w:r>
        <w:rPr>
          <w:color w:val="231F1F"/>
          <w:w w:val="115"/>
        </w:rPr>
        <w:t>use</w:t>
      </w:r>
      <w:r>
        <w:rPr>
          <w:color w:val="231F1F"/>
          <w:spacing w:val="-5"/>
          <w:w w:val="115"/>
        </w:rPr>
        <w:t> </w:t>
      </w:r>
      <w:r>
        <w:rPr>
          <w:color w:val="231F1F"/>
          <w:w w:val="115"/>
        </w:rPr>
        <w:t>(if</w:t>
      </w:r>
      <w:r>
        <w:rPr>
          <w:color w:val="231F1F"/>
          <w:spacing w:val="-5"/>
          <w:w w:val="115"/>
        </w:rPr>
        <w:t> </w:t>
      </w:r>
      <w:r>
        <w:rPr>
          <w:color w:val="231F1F"/>
          <w:w w:val="115"/>
        </w:rPr>
        <w:t>avoidance</w:t>
      </w:r>
      <w:r>
        <w:rPr>
          <w:color w:val="231F1F"/>
          <w:spacing w:val="-5"/>
          <w:w w:val="115"/>
        </w:rPr>
        <w:t> </w:t>
      </w:r>
      <w:r>
        <w:rPr>
          <w:color w:val="231F1F"/>
          <w:w w:val="115"/>
        </w:rPr>
        <w:t>not</w:t>
      </w:r>
      <w:r>
        <w:rPr>
          <w:color w:val="231F1F"/>
          <w:spacing w:val="-4"/>
          <w:w w:val="115"/>
        </w:rPr>
        <w:t> </w:t>
      </w:r>
      <w:r>
        <w:rPr>
          <w:color w:val="231F1F"/>
          <w:w w:val="115"/>
        </w:rPr>
        <w:t>possible,</w:t>
      </w:r>
      <w:r>
        <w:rPr>
          <w:color w:val="231F1F"/>
          <w:spacing w:val="-5"/>
          <w:w w:val="115"/>
        </w:rPr>
        <w:t> </w:t>
      </w:r>
      <w:r>
        <w:rPr>
          <w:color w:val="231F1F"/>
          <w:w w:val="115"/>
        </w:rPr>
        <w:t>use</w:t>
      </w:r>
      <w:r>
        <w:rPr>
          <w:color w:val="231F1F"/>
          <w:spacing w:val="-5"/>
          <w:w w:val="115"/>
        </w:rPr>
        <w:t> </w:t>
      </w:r>
      <w:r>
        <w:rPr>
          <w:color w:val="231F1F"/>
          <w:w w:val="115"/>
        </w:rPr>
        <w:t>lowest</w:t>
      </w:r>
    </w:p>
    <w:p>
      <w:pPr>
        <w:spacing w:after="0"/>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912" filled="true" fillcolor="#bfdbcf" stroked="false">
            <v:fill type="solid"/>
            <w10:wrap type="none"/>
          </v:rect>
        </w:pict>
      </w:r>
      <w:r>
        <w:rPr/>
        <w:pict>
          <v:shape style="position:absolute;margin-left:7.751256pt;margin-top:35.804367pt;width:10.4pt;height:78.850pt;mso-position-horizontal-relative:page;mso-position-vertical-relative:page;z-index:493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Methylthioninium</w:t>
      </w:r>
    </w:p>
    <w:p>
      <w:pPr>
        <w:pStyle w:val="BodyText"/>
        <w:spacing w:line="146" w:lineRule="exact" w:before="5"/>
        <w:ind w:left="186"/>
        <w:rPr>
          <w:rFonts w:ascii="Calibri"/>
        </w:rPr>
      </w:pPr>
      <w:r>
        <w:rPr>
          <w:rFonts w:ascii="Arial"/>
          <w:color w:val="231F1F"/>
          <w:w w:val="355"/>
          <w:position w:val="1"/>
          <w:sz w:val="7"/>
        </w:rPr>
        <w:t>l</w:t>
      </w:r>
      <w:r>
        <w:rPr>
          <w:rFonts w:ascii="Arial"/>
          <w:color w:val="231F1F"/>
          <w:spacing w:val="-53"/>
          <w:w w:val="355"/>
          <w:position w:val="1"/>
          <w:sz w:val="7"/>
        </w:rPr>
        <w:t> </w:t>
      </w:r>
      <w:r>
        <w:rPr>
          <w:rFonts w:ascii="Calibri"/>
          <w:color w:val="231F1F"/>
          <w:w w:val="105"/>
        </w:rPr>
        <w:t>Anxiolytics</w:t>
      </w:r>
      <w:r>
        <w:rPr>
          <w:rFonts w:ascii="Calibri"/>
          <w:color w:val="231F1F"/>
          <w:spacing w:val="-16"/>
          <w:w w:val="105"/>
        </w:rPr>
        <w:t> </w:t>
      </w:r>
      <w:r>
        <w:rPr>
          <w:rFonts w:ascii="Calibri"/>
          <w:color w:val="231F1F"/>
          <w:w w:val="105"/>
        </w:rPr>
        <w:t>and</w:t>
      </w:r>
      <w:r>
        <w:rPr>
          <w:rFonts w:ascii="Calibri"/>
          <w:color w:val="231F1F"/>
          <w:spacing w:val="-15"/>
          <w:w w:val="105"/>
        </w:rPr>
        <w:t> </w:t>
      </w:r>
      <w:r>
        <w:rPr>
          <w:rFonts w:ascii="Calibri"/>
          <w:color w:val="231F1F"/>
          <w:w w:val="105"/>
        </w:rPr>
        <w:t>Hypnotics</w:t>
      </w:r>
      <w:r>
        <w:rPr>
          <w:rFonts w:ascii="Calibri"/>
          <w:color w:val="231F1F"/>
          <w:spacing w:val="-16"/>
          <w:w w:val="105"/>
        </w:rPr>
        <w:t> </w:t>
      </w:r>
      <w:r>
        <w:rPr>
          <w:rFonts w:ascii="Calibri"/>
          <w:color w:val="231F1F"/>
          <w:w w:val="105"/>
        </w:rPr>
        <w:t>(continued)</w:t>
      </w:r>
    </w:p>
    <w:p>
      <w:pPr>
        <w:pStyle w:val="BodyText"/>
        <w:spacing w:line="249" w:lineRule="auto"/>
        <w:ind w:left="286" w:right="141"/>
      </w:pPr>
      <w:r>
        <w:rPr>
          <w:color w:val="231F1F"/>
          <w:w w:val="115"/>
        </w:rPr>
        <w:t>possible</w:t>
      </w:r>
      <w:r>
        <w:rPr>
          <w:color w:val="231F1F"/>
          <w:spacing w:val="-4"/>
          <w:w w:val="115"/>
        </w:rPr>
        <w:t> </w:t>
      </w:r>
      <w:r>
        <w:rPr>
          <w:color w:val="231F1F"/>
          <w:w w:val="115"/>
        </w:rPr>
        <w:t>dose</w:t>
      </w:r>
      <w:r>
        <w:rPr>
          <w:color w:val="231F1F"/>
          <w:spacing w:val="-3"/>
          <w:w w:val="115"/>
        </w:rPr>
        <w:t> </w:t>
      </w:r>
      <w:r>
        <w:rPr>
          <w:color w:val="231F1F"/>
          <w:w w:val="115"/>
        </w:rPr>
        <w:t>of</w:t>
      </w:r>
      <w:r>
        <w:rPr>
          <w:color w:val="231F1F"/>
          <w:spacing w:val="-4"/>
          <w:w w:val="115"/>
        </w:rPr>
        <w:t> </w:t>
      </w:r>
      <w:r>
        <w:rPr>
          <w:color w:val="231F1F"/>
          <w:w w:val="115"/>
        </w:rPr>
        <w:t>methylthioninium</w:t>
      </w:r>
      <w:r>
        <w:rPr>
          <w:color w:val="231F1F"/>
          <w:spacing w:val="-4"/>
          <w:w w:val="115"/>
        </w:rPr>
        <w:t> </w:t>
      </w:r>
      <w:r>
        <w:rPr>
          <w:color w:val="231F1F"/>
          <w:w w:val="115"/>
        </w:rPr>
        <w:t>and</w:t>
      </w:r>
      <w:r>
        <w:rPr>
          <w:color w:val="231F1F"/>
          <w:spacing w:val="-4"/>
          <w:w w:val="115"/>
        </w:rPr>
        <w:t> </w:t>
      </w:r>
      <w:r>
        <w:rPr>
          <w:color w:val="231F1F"/>
          <w:w w:val="115"/>
        </w:rPr>
        <w:t>observe</w:t>
      </w:r>
      <w:r>
        <w:rPr>
          <w:color w:val="231F1F"/>
          <w:spacing w:val="-4"/>
          <w:w w:val="115"/>
        </w:rPr>
        <w:t> </w:t>
      </w:r>
      <w:r>
        <w:rPr>
          <w:color w:val="231F1F"/>
          <w:w w:val="115"/>
        </w:rPr>
        <w:t>patient</w:t>
      </w:r>
      <w:r>
        <w:rPr>
          <w:color w:val="231F1F"/>
          <w:spacing w:val="-4"/>
          <w:w w:val="115"/>
        </w:rPr>
        <w:t> </w:t>
      </w:r>
      <w:r>
        <w:rPr>
          <w:color w:val="231F1F"/>
          <w:spacing w:val="-5"/>
          <w:w w:val="115"/>
        </w:rPr>
        <w:t>for </w:t>
      </w:r>
      <w:r>
        <w:rPr>
          <w:color w:val="231F1F"/>
          <w:w w:val="115"/>
        </w:rPr>
        <w:t>up to 4 hours after</w:t>
      </w:r>
      <w:r>
        <w:rPr>
          <w:color w:val="231F1F"/>
          <w:spacing w:val="-16"/>
          <w:w w:val="115"/>
        </w:rPr>
        <w:t> </w:t>
      </w:r>
      <w:r>
        <w:rPr>
          <w:color w:val="231F1F"/>
          <w:w w:val="115"/>
        </w:rPr>
        <w:t>administration)</w:t>
      </w:r>
    </w:p>
    <w:p>
      <w:pPr>
        <w:pStyle w:val="BodyText"/>
        <w:spacing w:line="244" w:lineRule="auto"/>
        <w:ind w:left="286" w:right="141" w:hanging="100"/>
      </w:pPr>
      <w:r>
        <w:rPr>
          <w:rFonts w:ascii="Arial" w:hAnsi="Arial"/>
          <w:color w:val="231F1F"/>
          <w:w w:val="355"/>
          <w:position w:val="1"/>
          <w:sz w:val="7"/>
        </w:rPr>
        <w:t>l </w:t>
      </w:r>
      <w:r>
        <w:rPr>
          <w:rFonts w:ascii="Calibri" w:hAnsi="Calibri"/>
          <w:color w:val="231F1F"/>
          <w:w w:val="110"/>
        </w:rPr>
        <w:t>Bupropion: </w:t>
      </w:r>
      <w:r>
        <w:rPr>
          <w:color w:val="231F1F"/>
          <w:w w:val="110"/>
        </w:rPr>
        <w:t>possible risk of CNS toxicity when methylthioninium given with </w:t>
      </w:r>
      <w:r>
        <w:rPr>
          <w:rFonts w:ascii="Arial" w:hAnsi="Arial"/>
          <w:color w:val="231F1F"/>
          <w:w w:val="355"/>
          <w:position w:val="1"/>
          <w:sz w:val="7"/>
        </w:rPr>
        <w:t>l </w:t>
      </w:r>
      <w:r>
        <w:rPr>
          <w:rFonts w:ascii="Calibri" w:hAnsi="Calibri"/>
          <w:color w:val="008356"/>
          <w:spacing w:val="3"/>
          <w:w w:val="110"/>
          <w:sz w:val="11"/>
        </w:rPr>
        <w:t>BUPROPION</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w:t>
      </w:r>
      <w:r>
        <w:rPr>
          <w:color w:val="231F1F"/>
          <w:w w:val="130"/>
        </w:rPr>
        <w:t>patient </w:t>
      </w:r>
      <w:r>
        <w:rPr>
          <w:color w:val="231F1F"/>
          <w:spacing w:val="-5"/>
          <w:w w:val="110"/>
        </w:rPr>
        <w:t>for </w:t>
      </w:r>
      <w:r>
        <w:rPr>
          <w:color w:val="231F1F"/>
          <w:w w:val="110"/>
        </w:rPr>
        <w:t>up to 4 hours after</w:t>
      </w:r>
      <w:r>
        <w:rPr>
          <w:color w:val="231F1F"/>
          <w:spacing w:val="-1"/>
          <w:w w:val="110"/>
        </w:rPr>
        <w:t> </w:t>
      </w:r>
      <w:r>
        <w:rPr>
          <w:color w:val="231F1F"/>
          <w:w w:val="110"/>
        </w:rPr>
        <w:t>administration)</w:t>
      </w:r>
    </w:p>
    <w:p>
      <w:pPr>
        <w:pStyle w:val="BodyText"/>
        <w:spacing w:line="139" w:lineRule="exact" w:before="4"/>
        <w:ind w:left="186"/>
        <w:rPr>
          <w:rFonts w:ascii="Trebuchet MS"/>
        </w:rPr>
      </w:pPr>
      <w:r>
        <w:rPr>
          <w:rFonts w:ascii="Trebuchet MS"/>
          <w:color w:val="008356"/>
        </w:rPr>
        <w:t>Metoclopramide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Alcohol: </w:t>
      </w:r>
      <w:r>
        <w:rPr>
          <w:color w:val="231F1F"/>
          <w:w w:val="105"/>
        </w:rPr>
        <w:t>metoclopramide possibly increases absorption of</w:t>
      </w:r>
    </w:p>
    <w:p>
      <w:pPr>
        <w:spacing w:line="131" w:lineRule="exact" w:before="0"/>
        <w:ind w:left="286" w:right="0" w:firstLine="0"/>
        <w:jc w:val="left"/>
        <w:rPr>
          <w:rFonts w:ascii="Calibri"/>
          <w:sz w:val="11"/>
        </w:rPr>
      </w:pPr>
      <w:r>
        <w:rPr>
          <w:rFonts w:ascii="Calibri"/>
          <w:color w:val="008356"/>
          <w:sz w:val="11"/>
        </w:rPr>
        <w:t>ALCOHOL</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Anaesthetics, General: </w:t>
      </w:r>
      <w:r>
        <w:rPr>
          <w:color w:val="231F1F"/>
          <w:w w:val="105"/>
        </w:rPr>
        <w:t>metoclopramide enhances effects of</w:t>
      </w:r>
    </w:p>
    <w:p>
      <w:pPr>
        <w:spacing w:line="130" w:lineRule="exact" w:before="0"/>
        <w:ind w:left="286" w:right="0" w:firstLine="0"/>
        <w:jc w:val="left"/>
        <w:rPr>
          <w:rFonts w:ascii="Calibri"/>
          <w:sz w:val="11"/>
        </w:rPr>
      </w:pPr>
      <w:r>
        <w:rPr>
          <w:rFonts w:ascii="Calibri"/>
          <w:color w:val="008356"/>
          <w:sz w:val="11"/>
        </w:rPr>
        <w:t>THIOPENTAL</w:t>
      </w:r>
    </w:p>
    <w:p>
      <w:pPr>
        <w:pStyle w:val="BodyText"/>
        <w:spacing w:line="235" w:lineRule="auto" w:before="1"/>
        <w:ind w:left="286" w:right="35"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metoclopramide increases rate of absorption of </w:t>
      </w:r>
      <w:r>
        <w:rPr>
          <w:rFonts w:ascii="Calibri" w:hAnsi="Calibri"/>
          <w:color w:val="008356"/>
          <w:w w:val="110"/>
          <w:sz w:val="11"/>
        </w:rPr>
        <w:t>ASPIRIN </w:t>
      </w:r>
      <w:r>
        <w:rPr>
          <w:color w:val="231F1F"/>
          <w:w w:val="110"/>
        </w:rPr>
        <w:t>(enhanced effect); effects of metoclopramide on gastro-intestinal activity antagonised by </w:t>
      </w:r>
      <w:r>
        <w:rPr>
          <w:rFonts w:ascii="Calibri" w:hAnsi="Calibri"/>
          <w:color w:val="008356"/>
          <w:w w:val="110"/>
          <w:sz w:val="11"/>
        </w:rPr>
        <w:t>OPIOID ANALGESICS</w:t>
      </w:r>
      <w:r>
        <w:rPr>
          <w:color w:val="231F1F"/>
          <w:w w:val="110"/>
        </w:rPr>
        <w:t>; metoclopramide increases rate of absorption of </w:t>
      </w:r>
      <w:r>
        <w:rPr>
          <w:rFonts w:ascii="Calibri" w:hAnsi="Calibri"/>
          <w:color w:val="008356"/>
          <w:w w:val="110"/>
          <w:sz w:val="11"/>
        </w:rPr>
        <w:t>PARACETAMOL</w:t>
      </w:r>
    </w:p>
    <w:p>
      <w:pPr>
        <w:pStyle w:val="BodyText"/>
        <w:spacing w:line="220" w:lineRule="auto" w:before="7"/>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metoclopramide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FOSFOMYCIN</w:t>
      </w:r>
    </w:p>
    <w:p>
      <w:pPr>
        <w:pStyle w:val="BodyText"/>
        <w:spacing w:line="220" w:lineRule="auto" w:before="9"/>
        <w:ind w:left="286" w:hanging="100"/>
        <w:rPr>
          <w:rFonts w:ascii="Calibri" w:hAnsi="Calibri"/>
          <w:sz w:val="9"/>
        </w:rPr>
      </w:pPr>
      <w:r>
        <w:rPr>
          <w:rFonts w:ascii="Lucida Sans Unicode" w:hAnsi="Lucida Sans Unicode"/>
          <w:color w:val="A7A8AC"/>
          <w:w w:val="95"/>
          <w:sz w:val="10"/>
        </w:rPr>
        <w:t>▶ </w:t>
      </w:r>
      <w:r>
        <w:rPr>
          <w:rFonts w:ascii="Calibri" w:hAnsi="Calibri"/>
          <w:color w:val="231F1F"/>
          <w:w w:val="105"/>
        </w:rPr>
        <w:t>Antidepressants: </w:t>
      </w:r>
      <w:r>
        <w:rPr>
          <w:color w:val="231F1F"/>
          <w:w w:val="105"/>
        </w:rPr>
        <w:t>CNS toxicity reported when metoclopramide given with </w:t>
      </w:r>
      <w:r>
        <w:rPr>
          <w:rFonts w:ascii="Calibri" w:hAnsi="Calibri"/>
          <w:color w:val="008356"/>
          <w:w w:val="105"/>
          <w:sz w:val="11"/>
        </w:rPr>
        <w:t>SSRI</w:t>
      </w:r>
      <w:r>
        <w:rPr>
          <w:rFonts w:ascii="Calibri" w:hAnsi="Calibri"/>
          <w:color w:val="008356"/>
          <w:w w:val="105"/>
          <w:sz w:val="9"/>
        </w:rPr>
        <w:t>S</w:t>
      </w:r>
    </w:p>
    <w:p>
      <w:pPr>
        <w:pStyle w:val="BodyText"/>
        <w:spacing w:line="220" w:lineRule="auto" w:before="8"/>
        <w:ind w:left="286" w:right="46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effects of metoclopramide on gastro- intestinal activity antagonised by </w:t>
      </w:r>
      <w:r>
        <w:rPr>
          <w:rFonts w:ascii="Calibri" w:hAnsi="Calibri"/>
          <w:color w:val="008356"/>
          <w:w w:val="110"/>
          <w:sz w:val="11"/>
        </w:rPr>
        <w:t>ANTIMUSCARINICS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increased risk of extrapyramidal side-effects when metoclopramide given with </w:t>
      </w:r>
      <w:r>
        <w:rPr>
          <w:rFonts w:ascii="Calibri" w:hAnsi="Calibri"/>
          <w:color w:val="008356"/>
          <w:w w:val="110"/>
          <w:sz w:val="11"/>
        </w:rPr>
        <w:t>ANTIPSYCHOTICS</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Atovaquone: </w:t>
      </w:r>
      <w:r>
        <w:rPr>
          <w:color w:val="231F1F"/>
          <w:w w:val="105"/>
        </w:rPr>
        <w:t>metoclopramide reduces plasma concentration of</w:t>
      </w:r>
    </w:p>
    <w:p>
      <w:pPr>
        <w:spacing w:line="135" w:lineRule="exact" w:before="0"/>
        <w:ind w:left="286" w:right="0" w:firstLine="0"/>
        <w:jc w:val="left"/>
        <w:rPr>
          <w:sz w:val="12"/>
        </w:rPr>
      </w:pPr>
      <w:r>
        <w:rPr>
          <w:rFonts w:ascii="Calibri" w:hAnsi="Calibri"/>
          <w:color w:val="008356"/>
          <w:w w:val="110"/>
          <w:sz w:val="11"/>
        </w:rPr>
        <w:t>ATOVAQUONE</w:t>
      </w:r>
      <w:r>
        <w:rPr>
          <w:rFonts w:ascii="Arial" w:hAnsi="Arial"/>
          <w:color w:val="231F1F"/>
          <w:w w:val="110"/>
          <w:sz w:val="12"/>
        </w:rPr>
        <w:t>—</w:t>
      </w:r>
      <w:r>
        <w:rPr>
          <w:color w:val="231F1F"/>
          <w:w w:val="110"/>
          <w:sz w:val="12"/>
        </w:rPr>
        <w:t>avoid concomitant use</w:t>
      </w:r>
    </w:p>
    <w:p>
      <w:pPr>
        <w:pStyle w:val="BodyText"/>
        <w:ind w:left="286" w:right="95" w:hanging="100"/>
        <w:rPr>
          <w:rFonts w:ascii="Calibri"/>
          <w:sz w:val="11"/>
        </w:rPr>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Ciclosporin:</w:t>
      </w:r>
      <w:r>
        <w:rPr>
          <w:rFonts w:ascii="Calibri"/>
          <w:color w:val="231F1F"/>
          <w:spacing w:val="-11"/>
          <w:w w:val="115"/>
        </w:rPr>
        <w:t> </w:t>
      </w:r>
      <w:r>
        <w:rPr>
          <w:color w:val="231F1F"/>
          <w:w w:val="115"/>
        </w:rPr>
        <w:t>metoclopramide</w:t>
      </w:r>
      <w:r>
        <w:rPr>
          <w:color w:val="231F1F"/>
          <w:spacing w:val="-15"/>
          <w:w w:val="115"/>
        </w:rPr>
        <w:t> </w:t>
      </w:r>
      <w:r>
        <w:rPr>
          <w:color w:val="231F1F"/>
          <w:w w:val="115"/>
        </w:rPr>
        <w:t>increases</w:t>
      </w:r>
      <w:r>
        <w:rPr>
          <w:color w:val="231F1F"/>
          <w:spacing w:val="-14"/>
          <w:w w:val="115"/>
        </w:rPr>
        <w:t> </w:t>
      </w:r>
      <w:r>
        <w:rPr>
          <w:color w:val="231F1F"/>
          <w:w w:val="115"/>
        </w:rPr>
        <w:t>plasma</w:t>
      </w:r>
      <w:r>
        <w:rPr>
          <w:color w:val="231F1F"/>
          <w:spacing w:val="-14"/>
          <w:w w:val="115"/>
        </w:rPr>
        <w:t> </w:t>
      </w:r>
      <w:r>
        <w:rPr>
          <w:color w:val="231F1F"/>
          <w:spacing w:val="-2"/>
          <w:w w:val="115"/>
        </w:rPr>
        <w:t>concentration </w:t>
      </w:r>
      <w:r>
        <w:rPr>
          <w:color w:val="231F1F"/>
          <w:w w:val="115"/>
        </w:rPr>
        <w:t>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CICLOSPORIN</w:t>
      </w:r>
    </w:p>
    <w:p>
      <w:pPr>
        <w:spacing w:line="237" w:lineRule="auto" w:before="0"/>
        <w:ind w:left="286" w:right="0" w:hanging="100"/>
        <w:jc w:val="left"/>
        <w:rPr>
          <w:sz w:val="12"/>
        </w:rPr>
      </w:pPr>
      <w:r>
        <w:rPr>
          <w:rFonts w:ascii="Lucida Sans Unicode" w:hAnsi="Lucida Sans Unicode"/>
          <w:color w:val="A7A8AC"/>
          <w:w w:val="95"/>
          <w:sz w:val="10"/>
        </w:rPr>
        <w:t>▶ </w:t>
      </w:r>
      <w:r>
        <w:rPr>
          <w:rFonts w:ascii="Calibri" w:hAnsi="Calibri"/>
          <w:color w:val="231F1F"/>
          <w:w w:val="110"/>
          <w:sz w:val="12"/>
        </w:rPr>
        <w:t>Dopaminergics: </w:t>
      </w:r>
      <w:r>
        <w:rPr>
          <w:color w:val="231F1F"/>
          <w:w w:val="110"/>
          <w:sz w:val="12"/>
        </w:rPr>
        <w:t>metoclopramide antagonises hypoprolactinaemic effects of </w:t>
      </w:r>
      <w:r>
        <w:rPr>
          <w:rFonts w:ascii="Calibri" w:hAnsi="Calibri"/>
          <w:color w:val="008356"/>
          <w:w w:val="110"/>
          <w:sz w:val="11"/>
        </w:rPr>
        <w:t>BROMOCRIPTINE </w:t>
      </w:r>
      <w:r>
        <w:rPr>
          <w:color w:val="231F1F"/>
          <w:w w:val="110"/>
          <w:sz w:val="12"/>
        </w:rPr>
        <w:t>and </w:t>
      </w:r>
      <w:r>
        <w:rPr>
          <w:rFonts w:ascii="Calibri" w:hAnsi="Calibri"/>
          <w:color w:val="008356"/>
          <w:w w:val="110"/>
          <w:sz w:val="11"/>
        </w:rPr>
        <w:t>CABERGOLINE</w:t>
      </w:r>
      <w:r>
        <w:rPr>
          <w:color w:val="231F1F"/>
          <w:w w:val="110"/>
          <w:sz w:val="12"/>
        </w:rPr>
        <w:t>; metoclopramide antagonises antiparkinsonian effect of </w:t>
      </w:r>
      <w:r>
        <w:rPr>
          <w:rFonts w:ascii="Calibri" w:hAnsi="Calibri"/>
          <w:color w:val="008356"/>
          <w:w w:val="110"/>
          <w:sz w:val="11"/>
        </w:rPr>
        <w:t>PERGOLIDE</w:t>
      </w:r>
      <w:r>
        <w:rPr>
          <w:color w:val="231F1F"/>
          <w:w w:val="110"/>
          <w:sz w:val="12"/>
        </w:rPr>
        <w:t>; avoidance of metoclopramide advised by manufacturer of </w:t>
      </w:r>
      <w:r>
        <w:rPr>
          <w:rFonts w:ascii="Calibri" w:hAnsi="Calibri"/>
          <w:color w:val="008356"/>
          <w:w w:val="110"/>
          <w:sz w:val="11"/>
        </w:rPr>
        <w:t>ROPINIROLE </w:t>
      </w:r>
      <w:r>
        <w:rPr>
          <w:color w:val="231F1F"/>
          <w:w w:val="110"/>
          <w:sz w:val="12"/>
        </w:rPr>
        <w:t>and </w:t>
      </w:r>
      <w:r>
        <w:rPr>
          <w:rFonts w:ascii="Calibri" w:hAnsi="Calibri"/>
          <w:color w:val="008356"/>
          <w:w w:val="110"/>
          <w:sz w:val="11"/>
        </w:rPr>
        <w:t>ROTIGOTINE </w:t>
      </w:r>
      <w:r>
        <w:rPr>
          <w:color w:val="231F1F"/>
          <w:w w:val="110"/>
          <w:sz w:val="12"/>
        </w:rPr>
        <w:t>(antagonism of effect)</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Muscle Relaxants: </w:t>
      </w:r>
      <w:r>
        <w:rPr>
          <w:color w:val="231F1F"/>
          <w:w w:val="105"/>
        </w:rPr>
        <w:t>metoclopramide enhances effects of</w:t>
      </w:r>
    </w:p>
    <w:p>
      <w:pPr>
        <w:spacing w:line="131" w:lineRule="exact" w:before="0"/>
        <w:ind w:left="286" w:right="0" w:firstLine="0"/>
        <w:jc w:val="left"/>
        <w:rPr>
          <w:rFonts w:ascii="Calibri"/>
          <w:sz w:val="11"/>
        </w:rPr>
      </w:pPr>
      <w:r>
        <w:rPr>
          <w:rFonts w:ascii="Calibri"/>
          <w:color w:val="008356"/>
          <w:sz w:val="11"/>
        </w:rPr>
        <w:t>SUXAMETHONIUM</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Tetrabenazine: </w:t>
      </w:r>
      <w:r>
        <w:rPr>
          <w:color w:val="231F1F"/>
          <w:w w:val="110"/>
        </w:rPr>
        <w:t>increased risk of extrapyramidal side-effects when metoclopramide given with </w:t>
      </w:r>
      <w:r>
        <w:rPr>
          <w:rFonts w:ascii="Calibri" w:hAnsi="Calibri"/>
          <w:color w:val="008356"/>
          <w:w w:val="110"/>
          <w:sz w:val="11"/>
        </w:rPr>
        <w:t>TETRABENAZINE</w:t>
      </w:r>
    </w:p>
    <w:p>
      <w:pPr>
        <w:pStyle w:val="BodyText"/>
        <w:spacing w:line="256" w:lineRule="auto" w:before="8"/>
        <w:ind w:left="186" w:right="1531"/>
        <w:rPr>
          <w:rFonts w:ascii="Trebuchet MS"/>
        </w:rPr>
      </w:pPr>
      <w:r>
        <w:rPr>
          <w:rFonts w:ascii="Trebuchet MS"/>
          <w:color w:val="008356"/>
          <w:w w:val="105"/>
        </w:rPr>
        <w:t>Metolazone </w:t>
      </w:r>
      <w:r>
        <w:rPr>
          <w:i/>
          <w:color w:val="231F1F"/>
          <w:w w:val="105"/>
        </w:rPr>
        <w:t>see </w:t>
      </w:r>
      <w:r>
        <w:rPr>
          <w:color w:val="231F1F"/>
          <w:w w:val="105"/>
        </w:rPr>
        <w:t>Diuretics </w:t>
      </w:r>
      <w:r>
        <w:rPr>
          <w:rFonts w:ascii="Trebuchet MS"/>
          <w:color w:val="008356"/>
          <w:w w:val="105"/>
        </w:rPr>
        <w:t>Metoprolol </w:t>
      </w:r>
      <w:r>
        <w:rPr>
          <w:i/>
          <w:color w:val="231F1F"/>
          <w:w w:val="105"/>
        </w:rPr>
        <w:t>see </w:t>
      </w:r>
      <w:r>
        <w:rPr>
          <w:color w:val="231F1F"/>
          <w:spacing w:val="-3"/>
          <w:w w:val="105"/>
        </w:rPr>
        <w:t>Beta-blockers </w:t>
      </w:r>
      <w:r>
        <w:rPr>
          <w:rFonts w:ascii="Trebuchet MS"/>
          <w:color w:val="008356"/>
          <w:w w:val="105"/>
        </w:rPr>
        <w:t>Metronidazole</w:t>
      </w:r>
    </w:p>
    <w:p>
      <w:pPr>
        <w:pStyle w:val="BodyText"/>
        <w:ind w:left="286" w:right="301" w:hanging="1"/>
      </w:pPr>
      <w:r>
        <w:rPr>
          <w:rFonts w:ascii="Calibri"/>
          <w:color w:val="008356"/>
          <w:spacing w:val="3"/>
          <w:w w:val="115"/>
          <w:sz w:val="11"/>
        </w:rPr>
        <w:t>NOTE</w:t>
      </w:r>
      <w:r>
        <w:rPr>
          <w:rFonts w:ascii="Calibri"/>
          <w:color w:val="008356"/>
          <w:w w:val="115"/>
          <w:sz w:val="11"/>
        </w:rPr>
        <w:t> </w:t>
      </w:r>
      <w:r>
        <w:rPr>
          <w:color w:val="231F1F"/>
          <w:w w:val="115"/>
        </w:rPr>
        <w:t>Interactions</w:t>
      </w:r>
      <w:r>
        <w:rPr>
          <w:color w:val="231F1F"/>
          <w:spacing w:val="-9"/>
          <w:w w:val="115"/>
        </w:rPr>
        <w:t> </w:t>
      </w:r>
      <w:r>
        <w:rPr>
          <w:color w:val="231F1F"/>
          <w:w w:val="115"/>
        </w:rPr>
        <w:t>do</w:t>
      </w:r>
      <w:r>
        <w:rPr>
          <w:color w:val="231F1F"/>
          <w:spacing w:val="-8"/>
          <w:w w:val="115"/>
        </w:rPr>
        <w:t> </w:t>
      </w:r>
      <w:r>
        <w:rPr>
          <w:color w:val="231F1F"/>
          <w:w w:val="115"/>
        </w:rPr>
        <w:t>not</w:t>
      </w:r>
      <w:r>
        <w:rPr>
          <w:color w:val="231F1F"/>
          <w:spacing w:val="-7"/>
          <w:w w:val="115"/>
        </w:rPr>
        <w:t> </w:t>
      </w:r>
      <w:r>
        <w:rPr>
          <w:color w:val="231F1F"/>
          <w:w w:val="115"/>
        </w:rPr>
        <w:t>apply</w:t>
      </w:r>
      <w:r>
        <w:rPr>
          <w:color w:val="231F1F"/>
          <w:spacing w:val="-9"/>
          <w:w w:val="115"/>
        </w:rPr>
        <w:t> </w:t>
      </w:r>
      <w:r>
        <w:rPr>
          <w:color w:val="231F1F"/>
          <w:w w:val="115"/>
        </w:rPr>
        <w:t>to</w:t>
      </w:r>
      <w:r>
        <w:rPr>
          <w:color w:val="231F1F"/>
          <w:spacing w:val="-8"/>
          <w:w w:val="115"/>
        </w:rPr>
        <w:t> </w:t>
      </w:r>
      <w:r>
        <w:rPr>
          <w:color w:val="231F1F"/>
          <w:w w:val="115"/>
        </w:rPr>
        <w:t>topical</w:t>
      </w:r>
      <w:r>
        <w:rPr>
          <w:color w:val="231F1F"/>
          <w:spacing w:val="-8"/>
          <w:w w:val="115"/>
        </w:rPr>
        <w:t> </w:t>
      </w:r>
      <w:r>
        <w:rPr>
          <w:color w:val="231F1F"/>
          <w:w w:val="115"/>
        </w:rPr>
        <w:t>metronidazole preparations</w:t>
      </w:r>
    </w:p>
    <w:p>
      <w:pPr>
        <w:pStyle w:val="BodyText"/>
        <w:spacing w:line="220" w:lineRule="auto" w:before="6"/>
        <w:ind w:left="286" w:right="301"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disulfiram-like reaction when metronidazole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ALCOHOL</w:t>
      </w:r>
    </w:p>
    <w:p>
      <w:pPr>
        <w:pStyle w:val="BodyText"/>
        <w:ind w:left="286" w:right="80"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Anticoagulants:</w:t>
      </w:r>
      <w:r>
        <w:rPr>
          <w:rFonts w:ascii="Calibri"/>
          <w:color w:val="231F1F"/>
          <w:spacing w:val="-14"/>
          <w:w w:val="115"/>
        </w:rPr>
        <w:t> </w:t>
      </w:r>
      <w:r>
        <w:rPr>
          <w:color w:val="231F1F"/>
          <w:w w:val="115"/>
        </w:rPr>
        <w:t>metronidazole</w:t>
      </w:r>
      <w:r>
        <w:rPr>
          <w:color w:val="231F1F"/>
          <w:spacing w:val="-17"/>
          <w:w w:val="115"/>
        </w:rPr>
        <w:t> </w:t>
      </w:r>
      <w:r>
        <w:rPr>
          <w:color w:val="231F1F"/>
          <w:w w:val="115"/>
        </w:rPr>
        <w:t>enhances</w:t>
      </w:r>
      <w:r>
        <w:rPr>
          <w:color w:val="231F1F"/>
          <w:spacing w:val="-18"/>
          <w:w w:val="115"/>
        </w:rPr>
        <w:t> </w:t>
      </w:r>
      <w:r>
        <w:rPr>
          <w:color w:val="231F1F"/>
          <w:w w:val="115"/>
        </w:rPr>
        <w:t>anticoagulant</w:t>
      </w:r>
      <w:r>
        <w:rPr>
          <w:color w:val="231F1F"/>
          <w:spacing w:val="-17"/>
          <w:w w:val="115"/>
        </w:rPr>
        <w:t> </w:t>
      </w:r>
      <w:r>
        <w:rPr>
          <w:color w:val="231F1F"/>
          <w:spacing w:val="-3"/>
          <w:w w:val="115"/>
        </w:rPr>
        <w:t>effect </w:t>
      </w:r>
      <w:r>
        <w:rPr>
          <w:color w:val="231F1F"/>
          <w:w w:val="115"/>
        </w:rPr>
        <w:t>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5"/>
          <w:w w:val="115"/>
          <w:sz w:val="11"/>
        </w:rPr>
        <w:t>COUMARINS</w:t>
      </w:r>
    </w:p>
    <w:p>
      <w:pPr>
        <w:spacing w:line="237" w:lineRule="auto" w:before="0"/>
        <w:ind w:left="286" w:right="0" w:hanging="100"/>
        <w:jc w:val="left"/>
        <w:rPr>
          <w:sz w:val="12"/>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metronidazole possibly inhibits metabolism of </w:t>
      </w:r>
      <w:r>
        <w:rPr>
          <w:rFonts w:ascii="Calibri" w:hAnsi="Calibri"/>
          <w:color w:val="008356"/>
          <w:w w:val="110"/>
          <w:sz w:val="11"/>
        </w:rPr>
        <w:t>FOSPHENYTOIN </w:t>
      </w:r>
      <w:r>
        <w:rPr>
          <w:color w:val="231F1F"/>
          <w:w w:val="110"/>
          <w:sz w:val="12"/>
        </w:rPr>
        <w:t>and </w:t>
      </w:r>
      <w:r>
        <w:rPr>
          <w:rFonts w:ascii="Calibri" w:hAnsi="Calibri"/>
          <w:color w:val="008356"/>
          <w:w w:val="110"/>
          <w:sz w:val="11"/>
        </w:rPr>
        <w:t>PHENYTOIN </w:t>
      </w:r>
      <w:r>
        <w:rPr>
          <w:color w:val="231F1F"/>
          <w:w w:val="110"/>
          <w:sz w:val="12"/>
        </w:rPr>
        <w:t>(increased plasma concentration); metabolism of metronidazole accelerated by </w:t>
      </w:r>
      <w:r>
        <w:rPr>
          <w:rFonts w:ascii="Calibri" w:hAnsi="Calibri"/>
          <w:color w:val="008356"/>
          <w:w w:val="110"/>
          <w:sz w:val="11"/>
        </w:rPr>
        <w:t>PHENOBARBITAL </w:t>
      </w:r>
      <w:r>
        <w:rPr>
          <w:color w:val="231F1F"/>
          <w:w w:val="110"/>
          <w:sz w:val="12"/>
        </w:rPr>
        <w:t>and </w:t>
      </w:r>
      <w:r>
        <w:rPr>
          <w:rFonts w:ascii="Calibri" w:hAnsi="Calibri"/>
          <w:color w:val="008356"/>
          <w:w w:val="110"/>
          <w:sz w:val="11"/>
        </w:rPr>
        <w:t>PRIMIDONE </w:t>
      </w:r>
      <w:r>
        <w:rPr>
          <w:color w:val="231F1F"/>
          <w:w w:val="110"/>
          <w:sz w:val="12"/>
        </w:rPr>
        <w:t>(reduced effect)</w:t>
      </w:r>
    </w:p>
    <w:p>
      <w:pPr>
        <w:spacing w:line="242" w:lineRule="auto" w:before="0"/>
        <w:ind w:left="286" w:right="99" w:hanging="100"/>
        <w:jc w:val="left"/>
        <w:rPr>
          <w:sz w:val="12"/>
        </w:rPr>
      </w:pPr>
      <w:r>
        <w:rPr>
          <w:rFonts w:ascii="Arial"/>
          <w:color w:val="231F1F"/>
          <w:w w:val="355"/>
          <w:position w:val="1"/>
          <w:sz w:val="7"/>
        </w:rPr>
        <w:t>l </w:t>
      </w:r>
      <w:r>
        <w:rPr>
          <w:rFonts w:ascii="Calibri"/>
          <w:color w:val="231F1F"/>
          <w:w w:val="110"/>
          <w:sz w:val="12"/>
        </w:rPr>
        <w:t>Cytotoxics: </w:t>
      </w:r>
      <w:r>
        <w:rPr>
          <w:color w:val="231F1F"/>
          <w:w w:val="110"/>
          <w:sz w:val="12"/>
        </w:rPr>
        <w:t>metronidazole increases plasma concentration of </w:t>
      </w:r>
      <w:r>
        <w:rPr>
          <w:rFonts w:ascii="Arial"/>
          <w:color w:val="231F1F"/>
          <w:w w:val="355"/>
          <w:position w:val="1"/>
          <w:sz w:val="7"/>
        </w:rPr>
        <w:t>l </w:t>
      </w:r>
      <w:r>
        <w:rPr>
          <w:rFonts w:ascii="Calibri"/>
          <w:color w:val="008356"/>
          <w:w w:val="110"/>
          <w:sz w:val="11"/>
        </w:rPr>
        <w:t>BUSULFAN </w:t>
      </w:r>
      <w:r>
        <w:rPr>
          <w:color w:val="231F1F"/>
          <w:w w:val="110"/>
          <w:sz w:val="12"/>
        </w:rPr>
        <w:t>(increased risk of toxicity); metronidazole inhibits metabolism of </w:t>
      </w:r>
      <w:r>
        <w:rPr>
          <w:rFonts w:ascii="Calibri"/>
          <w:color w:val="008356"/>
          <w:w w:val="110"/>
          <w:sz w:val="11"/>
        </w:rPr>
        <w:t>CAPECITABINE</w:t>
      </w:r>
      <w:r>
        <w:rPr>
          <w:color w:val="231F1F"/>
          <w:w w:val="110"/>
          <w:sz w:val="12"/>
        </w:rPr>
        <w:t>, </w:t>
      </w:r>
      <w:r>
        <w:rPr>
          <w:rFonts w:ascii="Calibri"/>
          <w:color w:val="008356"/>
          <w:w w:val="110"/>
          <w:sz w:val="11"/>
        </w:rPr>
        <w:t>FLUOROURACIL </w:t>
      </w:r>
      <w:r>
        <w:rPr>
          <w:color w:val="231F1F"/>
          <w:w w:val="110"/>
          <w:sz w:val="12"/>
        </w:rPr>
        <w:t>and </w:t>
      </w:r>
      <w:r>
        <w:rPr>
          <w:rFonts w:ascii="Calibri"/>
          <w:color w:val="008356"/>
          <w:w w:val="110"/>
          <w:sz w:val="11"/>
        </w:rPr>
        <w:t>TEGAFUR </w:t>
      </w:r>
      <w:r>
        <w:rPr>
          <w:color w:val="231F1F"/>
          <w:w w:val="110"/>
          <w:sz w:val="12"/>
        </w:rPr>
        <w:t>(increased toxicity)</w:t>
      </w:r>
    </w:p>
    <w:p>
      <w:pPr>
        <w:pStyle w:val="BodyText"/>
        <w:spacing w:line="220" w:lineRule="auto"/>
        <w:ind w:left="286" w:right="141" w:hanging="100"/>
        <w:rPr>
          <w:rFonts w:ascii="Calibri" w:hAnsi="Calibri"/>
          <w:sz w:val="11"/>
        </w:rPr>
      </w:pPr>
      <w:r>
        <w:rPr>
          <w:rFonts w:ascii="Lucida Sans Unicode" w:hAnsi="Lucida Sans Unicode"/>
          <w:color w:val="A7A8AC"/>
          <w:w w:val="95"/>
          <w:sz w:val="10"/>
        </w:rPr>
        <w:t>▶ </w:t>
      </w:r>
      <w:r>
        <w:rPr>
          <w:rFonts w:ascii="Calibri" w:hAnsi="Calibri"/>
          <w:color w:val="231F1F"/>
          <w:w w:val="105"/>
        </w:rPr>
        <w:t>Disulfiram: </w:t>
      </w:r>
      <w:r>
        <w:rPr>
          <w:color w:val="231F1F"/>
          <w:w w:val="105"/>
        </w:rPr>
        <w:t>psychotic reaction reported when metronidazole given with </w:t>
      </w:r>
      <w:r>
        <w:rPr>
          <w:rFonts w:ascii="Calibri" w:hAnsi="Calibri"/>
          <w:color w:val="008356"/>
          <w:w w:val="105"/>
          <w:sz w:val="11"/>
        </w:rPr>
        <w:t>DISULFIRAM</w:t>
      </w:r>
    </w:p>
    <w:p>
      <w:pPr>
        <w:pStyle w:val="BodyText"/>
        <w:spacing w:line="149" w:lineRule="exact"/>
        <w:ind w:left="186"/>
      </w:pPr>
      <w:r>
        <w:rPr>
          <w:rFonts w:ascii="Lucida Sans Unicode" w:hAnsi="Lucida Sans Unicode"/>
          <w:color w:val="A7A8AC"/>
          <w:w w:val="95"/>
          <w:sz w:val="10"/>
        </w:rPr>
        <w:t>▶ </w:t>
      </w:r>
      <w:r>
        <w:rPr>
          <w:rFonts w:ascii="Calibri" w:hAnsi="Calibri"/>
          <w:color w:val="231F1F"/>
          <w:w w:val="105"/>
        </w:rPr>
        <w:t>Lithium: </w:t>
      </w:r>
      <w:r>
        <w:rPr>
          <w:color w:val="231F1F"/>
          <w:w w:val="105"/>
        </w:rPr>
        <w:t>metronidazole increases risk of </w:t>
      </w:r>
      <w:r>
        <w:rPr>
          <w:rFonts w:ascii="Calibri" w:hAnsi="Calibri"/>
          <w:color w:val="008356"/>
          <w:w w:val="105"/>
          <w:sz w:val="11"/>
        </w:rPr>
        <w:t>LITHIUM </w:t>
      </w:r>
      <w:r>
        <w:rPr>
          <w:color w:val="231F1F"/>
          <w:w w:val="105"/>
        </w:rPr>
        <w:t>toxicity</w:t>
      </w:r>
    </w:p>
    <w:p>
      <w:pPr>
        <w:pStyle w:val="BodyText"/>
        <w:spacing w:line="220" w:lineRule="auto"/>
        <w:ind w:left="286" w:right="48" w:hanging="100"/>
        <w:rPr>
          <w:rFonts w:ascii="Calibri" w:hAnsi="Calibri"/>
          <w:sz w:val="11"/>
        </w:rPr>
      </w:pPr>
      <w:r>
        <w:rPr>
          <w:rFonts w:ascii="Lucida Sans Unicode" w:hAnsi="Lucida Sans Unicode"/>
          <w:color w:val="A7A8AC"/>
          <w:w w:val="95"/>
          <w:sz w:val="10"/>
        </w:rPr>
        <w:t>▶ </w:t>
      </w:r>
      <w:r>
        <w:rPr>
          <w:rFonts w:ascii="Calibri" w:hAnsi="Calibri"/>
          <w:color w:val="231F1F"/>
          <w:w w:val="105"/>
        </w:rPr>
        <w:t>Mycophenolate: </w:t>
      </w:r>
      <w:r>
        <w:rPr>
          <w:color w:val="231F1F"/>
          <w:w w:val="105"/>
        </w:rPr>
        <w:t>metronidazole possibly reduces bioavailability of</w:t>
      </w:r>
      <w:r>
        <w:rPr>
          <w:color w:val="231F1F"/>
          <w:spacing w:val="-1"/>
          <w:w w:val="105"/>
        </w:rPr>
        <w:t> </w:t>
      </w:r>
      <w:r>
        <w:rPr>
          <w:rFonts w:ascii="Calibri" w:hAnsi="Calibri"/>
          <w:color w:val="008356"/>
          <w:spacing w:val="4"/>
          <w:w w:val="105"/>
          <w:sz w:val="11"/>
        </w:rPr>
        <w:t>MYCOPHENOLATE</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metronidazole inhibited by</w:t>
      </w:r>
    </w:p>
    <w:p>
      <w:pPr>
        <w:spacing w:line="135" w:lineRule="exact" w:before="0"/>
        <w:ind w:left="286" w:right="0" w:firstLine="0"/>
        <w:jc w:val="left"/>
        <w:rPr>
          <w:sz w:val="12"/>
        </w:rPr>
      </w:pPr>
      <w:r>
        <w:rPr>
          <w:rFonts w:ascii="Calibri"/>
          <w:color w:val="008356"/>
          <w:w w:val="110"/>
          <w:sz w:val="11"/>
        </w:rPr>
        <w:t>CIMETIDINE </w:t>
      </w:r>
      <w:r>
        <w:rPr>
          <w:color w:val="231F1F"/>
          <w:w w:val="110"/>
          <w:sz w:val="12"/>
        </w:rPr>
        <w:t>(increased plasma concentration)</w:t>
      </w:r>
    </w:p>
    <w:p>
      <w:pPr>
        <w:spacing w:line="220" w:lineRule="auto" w:before="7"/>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86"/>
      </w:pPr>
      <w:r>
        <w:rPr>
          <w:rFonts w:ascii="Trebuchet MS"/>
          <w:color w:val="008356"/>
          <w:w w:val="110"/>
        </w:rPr>
        <w:t>Mianserin </w:t>
      </w:r>
      <w:r>
        <w:rPr>
          <w:i/>
          <w:color w:val="231F1F"/>
          <w:w w:val="110"/>
        </w:rPr>
        <w:t>see </w:t>
      </w:r>
      <w:r>
        <w:rPr>
          <w:color w:val="231F1F"/>
          <w:w w:val="110"/>
        </w:rPr>
        <w:t>Antidepressants, Tricyclic (related)</w:t>
      </w:r>
    </w:p>
    <w:p>
      <w:pPr>
        <w:pStyle w:val="BodyText"/>
        <w:spacing w:line="139" w:lineRule="exact" w:before="11"/>
        <w:ind w:left="186"/>
        <w:rPr>
          <w:rFonts w:ascii="Trebuchet MS"/>
        </w:rPr>
      </w:pPr>
      <w:r>
        <w:rPr>
          <w:rFonts w:ascii="Trebuchet MS"/>
          <w:color w:val="008356"/>
          <w:w w:val="105"/>
        </w:rPr>
        <w:t>Micafungin</w:t>
      </w:r>
    </w:p>
    <w:p>
      <w:pPr>
        <w:pStyle w:val="BodyText"/>
        <w:spacing w:line="235" w:lineRule="auto" w:before="2"/>
        <w:ind w:left="286"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micafungin possibly increases plasma concentration of </w:t>
      </w:r>
      <w:r>
        <w:rPr>
          <w:rFonts w:ascii="Calibri" w:hAnsi="Calibri"/>
          <w:color w:val="008356"/>
          <w:w w:val="110"/>
          <w:sz w:val="11"/>
        </w:rPr>
        <w:t>AMPHOTERICIN</w:t>
      </w:r>
      <w:r>
        <w:rPr>
          <w:color w:val="231F1F"/>
          <w:w w:val="110"/>
        </w:rPr>
        <w:t>; micafungin increases plasma concentration of </w:t>
      </w:r>
      <w:r>
        <w:rPr>
          <w:rFonts w:ascii="Calibri" w:hAnsi="Calibri"/>
          <w:color w:val="008356"/>
          <w:w w:val="110"/>
          <w:sz w:val="11"/>
        </w:rPr>
        <w:t>ITRACONAZOLE </w:t>
      </w:r>
      <w:r>
        <w:rPr>
          <w:color w:val="231F1F"/>
          <w:w w:val="110"/>
        </w:rPr>
        <w:t>(consider reducing dose of itraconazole)</w:t>
      </w:r>
    </w:p>
    <w:p>
      <w:pPr>
        <w:pStyle w:val="BodyText"/>
        <w:spacing w:line="220" w:lineRule="auto" w:before="1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micafungin increases plasma concentration of </w:t>
      </w:r>
      <w:r>
        <w:rPr>
          <w:rFonts w:ascii="Calibri" w:hAnsi="Calibri"/>
          <w:color w:val="008356"/>
          <w:w w:val="105"/>
          <w:sz w:val="11"/>
        </w:rPr>
        <w:t>NIFEDIPINE</w:t>
      </w:r>
    </w:p>
    <w:p>
      <w:pPr>
        <w:pStyle w:val="BodyText"/>
        <w:spacing w:before="9"/>
        <w:ind w:left="0"/>
        <w:rPr>
          <w:rFonts w:ascii="Calibri"/>
          <w:sz w:val="13"/>
        </w:rPr>
      </w:pPr>
      <w:r>
        <w:rPr/>
        <w:br w:type="column"/>
      </w:r>
      <w:r>
        <w:rPr>
          <w:rFonts w:ascii="Calibri"/>
          <w:sz w:val="13"/>
        </w:rPr>
      </w:r>
    </w:p>
    <w:p>
      <w:pPr>
        <w:pStyle w:val="BodyText"/>
        <w:spacing w:line="144" w:lineRule="exact"/>
        <w:ind w:left="185"/>
        <w:rPr>
          <w:rFonts w:ascii="Calibri"/>
        </w:rPr>
      </w:pPr>
      <w:r>
        <w:rPr>
          <w:rFonts w:ascii="Arial"/>
          <w:color w:val="008356"/>
        </w:rPr>
        <w:t>Micafungin </w:t>
      </w:r>
      <w:r>
        <w:rPr>
          <w:rFonts w:ascii="Calibri"/>
          <w:color w:val="231F1F"/>
        </w:rPr>
        <w:t>(continued)</w:t>
      </w:r>
    </w:p>
    <w:p>
      <w:pPr>
        <w:pStyle w:val="BodyText"/>
        <w:spacing w:line="220" w:lineRule="auto" w:before="6"/>
        <w:ind w:left="284" w:right="795"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micafungin possibly increases plasma concentration of </w:t>
      </w:r>
      <w:r>
        <w:rPr>
          <w:rFonts w:ascii="Calibri" w:hAnsi="Calibri"/>
          <w:color w:val="008356"/>
          <w:w w:val="105"/>
          <w:sz w:val="11"/>
        </w:rPr>
        <w:t>CICLOSPORIN</w:t>
      </w:r>
    </w:p>
    <w:p>
      <w:pPr>
        <w:pStyle w:val="BodyText"/>
        <w:spacing w:line="155" w:lineRule="exact"/>
        <w:ind w:left="185"/>
      </w:pPr>
      <w:r>
        <w:rPr>
          <w:rFonts w:ascii="Lucida Sans Unicode" w:hAnsi="Lucida Sans Unicode"/>
          <w:color w:val="A7A8AC"/>
          <w:w w:val="95"/>
          <w:sz w:val="10"/>
        </w:rPr>
        <w:t>▶ </w:t>
      </w:r>
      <w:r>
        <w:rPr>
          <w:rFonts w:ascii="Calibri" w:hAnsi="Calibri"/>
          <w:color w:val="231F1F"/>
          <w:w w:val="105"/>
        </w:rPr>
        <w:t>Sirolimus: </w:t>
      </w:r>
      <w:r>
        <w:rPr>
          <w:color w:val="231F1F"/>
          <w:w w:val="105"/>
        </w:rPr>
        <w:t>micafungin increases plasma concentration of</w:t>
      </w:r>
    </w:p>
    <w:p>
      <w:pPr>
        <w:spacing w:line="132" w:lineRule="exact" w:before="0"/>
        <w:ind w:left="284" w:right="0" w:firstLine="0"/>
        <w:jc w:val="left"/>
        <w:rPr>
          <w:rFonts w:ascii="Calibri"/>
          <w:sz w:val="11"/>
        </w:rPr>
      </w:pPr>
      <w:r>
        <w:rPr>
          <w:rFonts w:ascii="Calibri"/>
          <w:color w:val="008356"/>
          <w:spacing w:val="5"/>
          <w:sz w:val="11"/>
        </w:rPr>
        <w:t>SIROLIMUS</w:t>
      </w:r>
    </w:p>
    <w:p>
      <w:pPr>
        <w:pStyle w:val="BodyText"/>
        <w:spacing w:line="256" w:lineRule="auto" w:before="8"/>
        <w:ind w:left="185" w:right="1768"/>
        <w:rPr>
          <w:rFonts w:ascii="Trebuchet MS"/>
        </w:rPr>
      </w:pPr>
      <w:r>
        <w:rPr>
          <w:rFonts w:ascii="Trebuchet MS"/>
          <w:color w:val="008356"/>
          <w:w w:val="110"/>
        </w:rPr>
        <w:t>Miconazole </w:t>
      </w:r>
      <w:r>
        <w:rPr>
          <w:i/>
          <w:color w:val="231F1F"/>
          <w:w w:val="110"/>
        </w:rPr>
        <w:t>see </w:t>
      </w:r>
      <w:r>
        <w:rPr>
          <w:color w:val="231F1F"/>
          <w:w w:val="110"/>
        </w:rPr>
        <w:t>Antifungals, Imidazole </w:t>
      </w:r>
      <w:r>
        <w:rPr>
          <w:rFonts w:ascii="Trebuchet MS"/>
          <w:color w:val="008356"/>
          <w:w w:val="110"/>
        </w:rPr>
        <w:t>Midazolam </w:t>
      </w:r>
      <w:r>
        <w:rPr>
          <w:i/>
          <w:color w:val="231F1F"/>
          <w:w w:val="110"/>
        </w:rPr>
        <w:t>see </w:t>
      </w:r>
      <w:r>
        <w:rPr>
          <w:color w:val="231F1F"/>
          <w:w w:val="110"/>
        </w:rPr>
        <w:t>Anxiolytics and</w:t>
      </w:r>
      <w:r>
        <w:rPr>
          <w:color w:val="231F1F"/>
          <w:spacing w:val="-24"/>
          <w:w w:val="110"/>
        </w:rPr>
        <w:t> </w:t>
      </w:r>
      <w:r>
        <w:rPr>
          <w:color w:val="231F1F"/>
          <w:w w:val="110"/>
        </w:rPr>
        <w:t>Hypnotics </w:t>
      </w:r>
      <w:r>
        <w:rPr>
          <w:rFonts w:ascii="Trebuchet MS"/>
          <w:color w:val="008356"/>
          <w:w w:val="110"/>
        </w:rPr>
        <w:t>Mifamurtide</w:t>
      </w:r>
    </w:p>
    <w:p>
      <w:pPr>
        <w:pStyle w:val="BodyText"/>
        <w:spacing w:line="220" w:lineRule="auto"/>
        <w:ind w:left="284" w:right="617" w:hanging="100"/>
        <w:rPr>
          <w:rFonts w:ascii="Calibri" w:hAnsi="Calibri"/>
          <w:sz w:val="9"/>
        </w:rPr>
      </w:pPr>
      <w:r>
        <w:rPr>
          <w:rFonts w:ascii="Lucida Sans Unicode" w:hAnsi="Lucida Sans Unicode"/>
          <w:color w:val="A7A8AC"/>
          <w:w w:val="95"/>
          <w:sz w:val="10"/>
        </w:rPr>
        <w:t>▶ </w:t>
      </w:r>
      <w:r>
        <w:rPr>
          <w:rFonts w:ascii="Calibri" w:hAnsi="Calibri"/>
          <w:color w:val="231F1F"/>
          <w:w w:val="110"/>
        </w:rPr>
        <w:t>Analgesics: </w:t>
      </w:r>
      <w:r>
        <w:rPr>
          <w:color w:val="231F1F"/>
          <w:w w:val="110"/>
        </w:rPr>
        <w:t>manufacturer of mifamurtide advises avoid concomitant use with high doses of </w:t>
      </w:r>
      <w:r>
        <w:rPr>
          <w:rFonts w:ascii="Calibri" w:hAnsi="Calibri"/>
          <w:color w:val="008356"/>
          <w:w w:val="110"/>
          <w:sz w:val="11"/>
        </w:rPr>
        <w:t>NSAID</w:t>
      </w:r>
      <w:r>
        <w:rPr>
          <w:rFonts w:ascii="Calibri" w:hAnsi="Calibri"/>
          <w:color w:val="008356"/>
          <w:w w:val="110"/>
          <w:sz w:val="9"/>
        </w:rPr>
        <w:t>S</w:t>
      </w:r>
    </w:p>
    <w:p>
      <w:pPr>
        <w:pStyle w:val="BodyText"/>
        <w:spacing w:line="220" w:lineRule="auto" w:before="8"/>
        <w:ind w:left="284" w:right="984"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manufacturer of mifamurtide advises avoid concomitant use with </w:t>
      </w:r>
      <w:r>
        <w:rPr>
          <w:rFonts w:ascii="Calibri" w:hAnsi="Calibri"/>
          <w:color w:val="008356"/>
          <w:w w:val="110"/>
          <w:sz w:val="11"/>
        </w:rPr>
        <w:t>CICLOSPORIN</w:t>
      </w:r>
    </w:p>
    <w:p>
      <w:pPr>
        <w:pStyle w:val="BodyText"/>
        <w:spacing w:line="220" w:lineRule="auto" w:before="9"/>
        <w:ind w:left="284" w:right="617"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manufacturer of mifamurtide advises avoid concomitant use with </w:t>
      </w:r>
      <w:r>
        <w:rPr>
          <w:rFonts w:ascii="Calibri" w:hAnsi="Calibri"/>
          <w:color w:val="008356"/>
          <w:w w:val="110"/>
          <w:sz w:val="11"/>
        </w:rPr>
        <w:t>CORTICOSTEROIDS</w:t>
      </w:r>
    </w:p>
    <w:p>
      <w:pPr>
        <w:pStyle w:val="BodyText"/>
        <w:spacing w:line="220" w:lineRule="auto" w:before="8"/>
        <w:ind w:left="284" w:right="991"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manufacturer of mifamurtide advises avoid concomitant use with </w:t>
      </w:r>
      <w:r>
        <w:rPr>
          <w:rFonts w:ascii="Calibri" w:hAnsi="Calibri"/>
          <w:color w:val="008356"/>
          <w:w w:val="110"/>
          <w:sz w:val="11"/>
        </w:rPr>
        <w:t>TACROLIMUS</w:t>
      </w:r>
    </w:p>
    <w:p>
      <w:pPr>
        <w:pStyle w:val="BodyText"/>
        <w:spacing w:before="9"/>
        <w:ind w:left="185"/>
        <w:rPr>
          <w:rFonts w:ascii="Trebuchet MS"/>
        </w:rPr>
      </w:pPr>
      <w:r>
        <w:rPr>
          <w:rFonts w:ascii="Trebuchet MS"/>
          <w:color w:val="008356"/>
        </w:rPr>
        <w:t>Mifepristone</w:t>
      </w:r>
    </w:p>
    <w:p>
      <w:pPr>
        <w:spacing w:line="230" w:lineRule="auto" w:before="5"/>
        <w:ind w:left="284" w:right="725" w:hanging="100"/>
        <w:jc w:val="left"/>
        <w:rPr>
          <w:sz w:val="12"/>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mifepristone may reduce effect of </w:t>
      </w:r>
      <w:r>
        <w:rPr>
          <w:rFonts w:ascii="Calibri" w:hAnsi="Calibri"/>
          <w:color w:val="008356"/>
          <w:w w:val="110"/>
          <w:sz w:val="11"/>
        </w:rPr>
        <w:t>CORTICOSTEROIDS </w:t>
      </w:r>
      <w:r>
        <w:rPr>
          <w:color w:val="231F1F"/>
          <w:w w:val="110"/>
          <w:sz w:val="12"/>
        </w:rPr>
        <w:t>(including </w:t>
      </w:r>
      <w:r>
        <w:rPr>
          <w:i/>
          <w:color w:val="231F1F"/>
          <w:w w:val="110"/>
          <w:sz w:val="12"/>
        </w:rPr>
        <w:t>inhaled </w:t>
      </w:r>
      <w:r>
        <w:rPr>
          <w:color w:val="231F1F"/>
          <w:w w:val="110"/>
          <w:sz w:val="12"/>
        </w:rPr>
        <w:t>corticosteroids) for 3</w:t>
      </w:r>
      <w:r>
        <w:rPr>
          <w:rFonts w:ascii="Arial" w:hAnsi="Arial"/>
          <w:color w:val="231F1F"/>
          <w:w w:val="110"/>
          <w:sz w:val="12"/>
        </w:rPr>
        <w:t>–</w:t>
      </w:r>
      <w:r>
        <w:rPr>
          <w:color w:val="231F1F"/>
          <w:w w:val="110"/>
          <w:sz w:val="12"/>
        </w:rPr>
        <w:t>4 days</w:t>
      </w:r>
    </w:p>
    <w:p>
      <w:pPr>
        <w:pStyle w:val="BodyText"/>
        <w:spacing w:before="13"/>
        <w:ind w:left="185"/>
      </w:pPr>
      <w:r>
        <w:rPr>
          <w:rFonts w:ascii="Trebuchet MS"/>
          <w:color w:val="008356"/>
          <w:w w:val="115"/>
        </w:rPr>
        <w:t>Milrinone </w:t>
      </w:r>
      <w:r>
        <w:rPr>
          <w:i/>
          <w:color w:val="231F1F"/>
          <w:w w:val="115"/>
        </w:rPr>
        <w:t>see </w:t>
      </w:r>
      <w:r>
        <w:rPr>
          <w:color w:val="231F1F"/>
          <w:w w:val="115"/>
        </w:rPr>
        <w:t>Phosphodiesterase Inhibitors</w:t>
      </w:r>
    </w:p>
    <w:p>
      <w:pPr>
        <w:pStyle w:val="BodyText"/>
        <w:spacing w:before="10"/>
        <w:ind w:left="185"/>
      </w:pPr>
      <w:r>
        <w:rPr>
          <w:rFonts w:ascii="Trebuchet MS"/>
          <w:color w:val="008356"/>
          <w:w w:val="110"/>
        </w:rPr>
        <w:t>Minocycline </w:t>
      </w:r>
      <w:r>
        <w:rPr>
          <w:i/>
          <w:color w:val="231F1F"/>
          <w:w w:val="110"/>
        </w:rPr>
        <w:t>see </w:t>
      </w:r>
      <w:r>
        <w:rPr>
          <w:color w:val="231F1F"/>
          <w:w w:val="110"/>
        </w:rPr>
        <w:t>Tetracyclines</w:t>
      </w:r>
    </w:p>
    <w:p>
      <w:pPr>
        <w:pStyle w:val="BodyText"/>
        <w:spacing w:before="9"/>
        <w:ind w:left="185"/>
      </w:pPr>
      <w:r>
        <w:rPr>
          <w:rFonts w:ascii="Trebuchet MS"/>
          <w:color w:val="008356"/>
          <w:w w:val="110"/>
        </w:rPr>
        <w:t>Minoxidil </w:t>
      </w:r>
      <w:r>
        <w:rPr>
          <w:i/>
          <w:color w:val="231F1F"/>
          <w:w w:val="110"/>
        </w:rPr>
        <w:t>see </w:t>
      </w:r>
      <w:r>
        <w:rPr>
          <w:color w:val="231F1F"/>
          <w:w w:val="110"/>
        </w:rPr>
        <w:t>Vasodilator Antihypertensives</w:t>
      </w:r>
    </w:p>
    <w:p>
      <w:pPr>
        <w:pStyle w:val="BodyText"/>
        <w:spacing w:before="11"/>
        <w:ind w:left="185"/>
        <w:rPr>
          <w:rFonts w:ascii="Trebuchet MS"/>
        </w:rPr>
      </w:pPr>
      <w:r>
        <w:rPr>
          <w:rFonts w:ascii="Trebuchet MS"/>
          <w:color w:val="008356"/>
          <w:w w:val="105"/>
        </w:rPr>
        <w:t>Mirabegron</w:t>
      </w:r>
    </w:p>
    <w:p>
      <w:pPr>
        <w:pStyle w:val="BodyText"/>
        <w:spacing w:line="230" w:lineRule="auto" w:before="5"/>
        <w:ind w:left="284" w:right="718" w:hanging="100"/>
      </w:pPr>
      <w:r>
        <w:rPr>
          <w:rFonts w:ascii="Lucida Sans Unicode" w:hAnsi="Lucida Sans Unicode"/>
          <w:color w:val="A7A8AC"/>
          <w:w w:val="95"/>
          <w:sz w:val="10"/>
        </w:rPr>
        <w:t>▶ </w:t>
      </w:r>
      <w:r>
        <w:rPr>
          <w:rFonts w:ascii="Calibri" w:hAnsi="Calibri"/>
          <w:color w:val="231F1F"/>
          <w:w w:val="105"/>
        </w:rPr>
        <w:t>Antibacterials: </w:t>
      </w:r>
      <w:r>
        <w:rPr>
          <w:color w:val="231F1F"/>
          <w:w w:val="105"/>
        </w:rPr>
        <w:t>avoid or reduce dose of mirabegron in  hepatic or renal impairment when given with </w:t>
      </w:r>
      <w:r>
        <w:rPr>
          <w:rFonts w:ascii="Calibri" w:hAnsi="Calibri"/>
          <w:color w:val="008356"/>
          <w:spacing w:val="3"/>
          <w:w w:val="105"/>
          <w:sz w:val="11"/>
        </w:rPr>
        <w:t>CLARITHROMYCIN</w:t>
      </w:r>
      <w:r>
        <w:rPr>
          <w:rFonts w:ascii="Arial" w:hAnsi="Arial"/>
          <w:color w:val="231F1F"/>
          <w:spacing w:val="3"/>
          <w:w w:val="105"/>
        </w:rPr>
        <w:t>—</w:t>
      </w:r>
      <w:r>
        <w:rPr>
          <w:color w:val="231F1F"/>
          <w:spacing w:val="3"/>
          <w:w w:val="105"/>
        </w:rPr>
        <w:t>see </w:t>
      </w:r>
      <w:r>
        <w:rPr>
          <w:color w:val="231F1F"/>
          <w:w w:val="105"/>
        </w:rPr>
        <w:t>Mirabegron, p.</w:t>
      </w:r>
      <w:r>
        <w:rPr>
          <w:color w:val="231F1F"/>
          <w:spacing w:val="1"/>
          <w:w w:val="105"/>
        </w:rPr>
        <w:t> </w:t>
      </w:r>
      <w:r>
        <w:rPr>
          <w:color w:val="231F1F"/>
          <w:w w:val="105"/>
        </w:rPr>
        <w:t>671</w:t>
      </w:r>
    </w:p>
    <w:p>
      <w:pPr>
        <w:pStyle w:val="BodyText"/>
        <w:spacing w:line="230" w:lineRule="auto" w:before="7"/>
        <w:ind w:left="284" w:right="617"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avoid or reduce dose of mirabegron in hepatic or renal impairment when given with </w:t>
      </w:r>
      <w:r>
        <w:rPr>
          <w:rFonts w:ascii="Calibri" w:hAnsi="Calibri"/>
          <w:color w:val="008356"/>
          <w:w w:val="110"/>
          <w:sz w:val="11"/>
        </w:rPr>
        <w:t>ITRACONAZOLE </w:t>
      </w:r>
      <w:r>
        <w:rPr>
          <w:color w:val="231F1F"/>
          <w:w w:val="110"/>
        </w:rPr>
        <w:t>and </w:t>
      </w:r>
      <w:r>
        <w:rPr>
          <w:rFonts w:ascii="Calibri" w:hAnsi="Calibri"/>
          <w:color w:val="008356"/>
          <w:w w:val="110"/>
          <w:sz w:val="11"/>
        </w:rPr>
        <w:t>KETOCONAZOLE</w:t>
      </w:r>
      <w:r>
        <w:rPr>
          <w:rFonts w:ascii="Arial" w:hAnsi="Arial"/>
          <w:color w:val="231F1F"/>
          <w:w w:val="110"/>
        </w:rPr>
        <w:t>—</w:t>
      </w:r>
      <w:r>
        <w:rPr>
          <w:color w:val="231F1F"/>
          <w:w w:val="110"/>
        </w:rPr>
        <w:t>see Mirabegron, p. 671</w:t>
      </w:r>
    </w:p>
    <w:p>
      <w:pPr>
        <w:pStyle w:val="BodyText"/>
        <w:spacing w:line="230" w:lineRule="auto" w:before="4"/>
        <w:ind w:left="284" w:right="617"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avoid or reduce dose of mirabegron in hepatic or renal impairment when given with </w:t>
      </w:r>
      <w:r>
        <w:rPr>
          <w:rFonts w:ascii="Calibri" w:hAnsi="Calibri"/>
          <w:color w:val="008356"/>
          <w:w w:val="110"/>
          <w:sz w:val="11"/>
        </w:rPr>
        <w:t>RITONAVIR</w:t>
      </w:r>
      <w:r>
        <w:rPr>
          <w:rFonts w:ascii="Arial" w:hAnsi="Arial"/>
          <w:color w:val="231F1F"/>
          <w:w w:val="110"/>
        </w:rPr>
        <w:t>—</w:t>
      </w:r>
      <w:r>
        <w:rPr>
          <w:color w:val="231F1F"/>
          <w:w w:val="110"/>
        </w:rPr>
        <w:t>see Mirabegron, p. 671</w:t>
      </w:r>
    </w:p>
    <w:p>
      <w:pPr>
        <w:pStyle w:val="BodyText"/>
        <w:spacing w:line="156" w:lineRule="exact" w:before="2"/>
        <w:ind w:left="185"/>
      </w:pPr>
      <w:r>
        <w:rPr>
          <w:rFonts w:ascii="Lucida Sans Unicode" w:hAnsi="Lucida Sans Unicode"/>
          <w:color w:val="A7A8AC"/>
          <w:w w:val="95"/>
          <w:sz w:val="10"/>
        </w:rPr>
        <w:t>▶ </w:t>
      </w:r>
      <w:r>
        <w:rPr>
          <w:rFonts w:ascii="Calibri" w:hAnsi="Calibri"/>
          <w:color w:val="231F1F"/>
          <w:w w:val="105"/>
        </w:rPr>
        <w:t>Beta-blockers: </w:t>
      </w:r>
      <w:r>
        <w:rPr>
          <w:color w:val="231F1F"/>
          <w:w w:val="105"/>
        </w:rPr>
        <w:t>mirabegron increases plasma concentration of</w:t>
      </w:r>
    </w:p>
    <w:p>
      <w:pPr>
        <w:spacing w:line="131" w:lineRule="exact" w:before="0"/>
        <w:ind w:left="284" w:right="0" w:firstLine="0"/>
        <w:jc w:val="left"/>
        <w:rPr>
          <w:rFonts w:ascii="Calibri"/>
          <w:sz w:val="11"/>
        </w:rPr>
      </w:pPr>
      <w:r>
        <w:rPr>
          <w:rFonts w:ascii="Calibri"/>
          <w:color w:val="008356"/>
          <w:sz w:val="11"/>
        </w:rPr>
        <w:t>METOPROLOL</w:t>
      </w:r>
    </w:p>
    <w:p>
      <w:pPr>
        <w:pStyle w:val="BodyText"/>
        <w:spacing w:line="218" w:lineRule="auto" w:before="9"/>
        <w:ind w:left="284" w:right="795" w:hanging="100"/>
      </w:pPr>
      <w:r>
        <w:rPr>
          <w:rFonts w:ascii="Lucida Sans Unicode" w:hAnsi="Lucida Sans Unicode"/>
          <w:color w:val="A7A8AC"/>
          <w:w w:val="95"/>
          <w:sz w:val="10"/>
        </w:rPr>
        <w:t>▶ </w:t>
      </w:r>
      <w:r>
        <w:rPr>
          <w:rFonts w:ascii="Calibri" w:hAnsi="Calibri"/>
          <w:color w:val="231F1F"/>
          <w:w w:val="110"/>
        </w:rPr>
        <w:t>Cardiac Glycosides: </w:t>
      </w:r>
      <w:r>
        <w:rPr>
          <w:color w:val="231F1F"/>
          <w:w w:val="110"/>
        </w:rPr>
        <w:t>mirabegron increases plasma concentration of </w:t>
      </w:r>
      <w:r>
        <w:rPr>
          <w:rFonts w:ascii="Calibri" w:hAnsi="Calibri"/>
          <w:color w:val="008356"/>
          <w:w w:val="110"/>
          <w:sz w:val="11"/>
        </w:rPr>
        <w:t>DIGOXIN</w:t>
      </w:r>
      <w:r>
        <w:rPr>
          <w:rFonts w:ascii="Arial" w:hAnsi="Arial"/>
          <w:color w:val="231F1F"/>
          <w:w w:val="110"/>
        </w:rPr>
        <w:t>—</w:t>
      </w:r>
      <w:r>
        <w:rPr>
          <w:color w:val="231F1F"/>
          <w:w w:val="110"/>
        </w:rPr>
        <w:t>reduce initial dose of digoxin</w:t>
      </w:r>
    </w:p>
    <w:p>
      <w:pPr>
        <w:pStyle w:val="BodyText"/>
        <w:spacing w:before="10"/>
        <w:ind w:left="185"/>
        <w:rPr>
          <w:rFonts w:ascii="Trebuchet MS"/>
        </w:rPr>
      </w:pPr>
      <w:r>
        <w:rPr>
          <w:rFonts w:ascii="Trebuchet MS"/>
          <w:color w:val="008356"/>
        </w:rPr>
        <w:t>Mirtazapine</w:t>
      </w:r>
    </w:p>
    <w:p>
      <w:pPr>
        <w:pStyle w:val="BodyText"/>
        <w:spacing w:before="1"/>
        <w:ind w:left="284" w:right="827" w:hanging="100"/>
        <w:rPr>
          <w:rFonts w:ascii="Calibri"/>
          <w:sz w:val="11"/>
        </w:rPr>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Alcohol:</w:t>
      </w:r>
      <w:r>
        <w:rPr>
          <w:rFonts w:ascii="Calibri"/>
          <w:color w:val="231F1F"/>
          <w:spacing w:val="-9"/>
          <w:w w:val="115"/>
        </w:rPr>
        <w:t> </w:t>
      </w:r>
      <w:r>
        <w:rPr>
          <w:color w:val="231F1F"/>
          <w:w w:val="115"/>
        </w:rPr>
        <w:t>increased</w:t>
      </w:r>
      <w:r>
        <w:rPr>
          <w:color w:val="231F1F"/>
          <w:spacing w:val="-13"/>
          <w:w w:val="115"/>
        </w:rPr>
        <w:t> </w:t>
      </w:r>
      <w:r>
        <w:rPr>
          <w:color w:val="231F1F"/>
          <w:w w:val="115"/>
        </w:rPr>
        <w:t>sedative</w:t>
      </w:r>
      <w:r>
        <w:rPr>
          <w:color w:val="231F1F"/>
          <w:spacing w:val="-13"/>
          <w:w w:val="115"/>
        </w:rPr>
        <w:t> </w:t>
      </w:r>
      <w:r>
        <w:rPr>
          <w:color w:val="231F1F"/>
          <w:w w:val="115"/>
        </w:rPr>
        <w:t>effect</w:t>
      </w:r>
      <w:r>
        <w:rPr>
          <w:color w:val="231F1F"/>
          <w:spacing w:val="-12"/>
          <w:w w:val="115"/>
        </w:rPr>
        <w:t> </w:t>
      </w:r>
      <w:r>
        <w:rPr>
          <w:color w:val="231F1F"/>
          <w:w w:val="115"/>
        </w:rPr>
        <w:t>when</w:t>
      </w:r>
      <w:r>
        <w:rPr>
          <w:color w:val="231F1F"/>
          <w:spacing w:val="-12"/>
          <w:w w:val="115"/>
        </w:rPr>
        <w:t> </w:t>
      </w:r>
      <w:r>
        <w:rPr>
          <w:color w:val="231F1F"/>
          <w:w w:val="115"/>
        </w:rPr>
        <w:t>mirtazapine</w:t>
      </w:r>
      <w:r>
        <w:rPr>
          <w:color w:val="231F1F"/>
          <w:spacing w:val="-13"/>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ALCOHOL</w:t>
      </w:r>
    </w:p>
    <w:p>
      <w:pPr>
        <w:pStyle w:val="BodyText"/>
        <w:spacing w:line="220" w:lineRule="auto" w:before="5"/>
        <w:ind w:left="284" w:right="617"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serotonergic effects when mirtazapine given with </w:t>
      </w:r>
      <w:r>
        <w:rPr>
          <w:rFonts w:ascii="Calibri" w:hAnsi="Calibri"/>
          <w:color w:val="008356"/>
          <w:w w:val="110"/>
          <w:sz w:val="11"/>
        </w:rPr>
        <w:t>TRAMADOL</w:t>
      </w:r>
    </w:p>
    <w:p>
      <w:pPr>
        <w:pStyle w:val="BodyText"/>
        <w:spacing w:line="155" w:lineRule="exact"/>
        <w:ind w:left="185"/>
      </w:pPr>
      <w:r>
        <w:rPr>
          <w:rFonts w:ascii="Lucida Sans Unicode" w:hAnsi="Lucida Sans Unicode"/>
          <w:color w:val="A7A8AC"/>
          <w:w w:val="95"/>
          <w:sz w:val="10"/>
        </w:rPr>
        <w:t>▶ </w:t>
      </w:r>
      <w:r>
        <w:rPr>
          <w:rFonts w:ascii="Calibri" w:hAnsi="Calibri"/>
          <w:color w:val="231F1F"/>
          <w:w w:val="105"/>
        </w:rPr>
        <w:t>Anticoagulants: </w:t>
      </w:r>
      <w:r>
        <w:rPr>
          <w:color w:val="231F1F"/>
          <w:w w:val="105"/>
        </w:rPr>
        <w:t>mirtazapine enhances anticoagulant effect of</w:t>
      </w:r>
    </w:p>
    <w:p>
      <w:pPr>
        <w:spacing w:line="131" w:lineRule="exact" w:before="0"/>
        <w:ind w:left="284" w:right="0" w:firstLine="0"/>
        <w:jc w:val="left"/>
        <w:rPr>
          <w:rFonts w:ascii="Calibri"/>
          <w:sz w:val="11"/>
        </w:rPr>
      </w:pPr>
      <w:r>
        <w:rPr>
          <w:rFonts w:ascii="Calibri"/>
          <w:color w:val="008356"/>
          <w:sz w:val="11"/>
        </w:rPr>
        <w:t>WARFARIN</w:t>
      </w:r>
    </w:p>
    <w:p>
      <w:pPr>
        <w:pStyle w:val="BodyText"/>
        <w:spacing w:line="242" w:lineRule="auto"/>
        <w:ind w:left="284" w:right="617" w:hanging="100"/>
      </w:pPr>
      <w:r>
        <w:rPr>
          <w:rFonts w:ascii="Arial"/>
          <w:color w:val="231F1F"/>
          <w:w w:val="355"/>
          <w:position w:val="1"/>
          <w:sz w:val="7"/>
        </w:rPr>
        <w:t>l </w:t>
      </w:r>
      <w:r>
        <w:rPr>
          <w:rFonts w:ascii="Calibri"/>
          <w:color w:val="231F1F"/>
          <w:w w:val="105"/>
        </w:rPr>
        <w:t>Antidepressants: </w:t>
      </w:r>
      <w:r>
        <w:rPr>
          <w:color w:val="231F1F"/>
          <w:w w:val="105"/>
        </w:rPr>
        <w:t>possible increased serotonergic effects when mirtazapine given with </w:t>
      </w:r>
      <w:r>
        <w:rPr>
          <w:rFonts w:ascii="Calibri"/>
          <w:color w:val="008356"/>
          <w:spacing w:val="4"/>
          <w:w w:val="105"/>
          <w:sz w:val="11"/>
        </w:rPr>
        <w:t>FLUOXETINE</w:t>
      </w:r>
      <w:r>
        <w:rPr>
          <w:color w:val="231F1F"/>
          <w:spacing w:val="4"/>
          <w:w w:val="105"/>
        </w:rPr>
        <w:t>, </w:t>
      </w:r>
      <w:r>
        <w:rPr>
          <w:rFonts w:ascii="Calibri"/>
          <w:color w:val="008356"/>
          <w:spacing w:val="4"/>
          <w:w w:val="105"/>
          <w:sz w:val="11"/>
        </w:rPr>
        <w:t>FLUVOXAMINE </w:t>
      </w:r>
      <w:r>
        <w:rPr>
          <w:color w:val="231F1F"/>
          <w:w w:val="105"/>
        </w:rPr>
        <w:t>or </w:t>
      </w:r>
      <w:r>
        <w:rPr>
          <w:rFonts w:ascii="Calibri"/>
          <w:color w:val="008356"/>
          <w:spacing w:val="4"/>
          <w:w w:val="105"/>
          <w:sz w:val="11"/>
        </w:rPr>
        <w:t>VENLAFAXINE</w:t>
      </w:r>
      <w:r>
        <w:rPr>
          <w:color w:val="231F1F"/>
          <w:spacing w:val="4"/>
          <w:w w:val="105"/>
        </w:rPr>
        <w:t>; </w:t>
      </w:r>
      <w:r>
        <w:rPr>
          <w:color w:val="231F1F"/>
          <w:w w:val="105"/>
        </w:rPr>
        <w:t>mirtazapine should </w:t>
      </w:r>
      <w:r>
        <w:rPr>
          <w:color w:val="231F1F"/>
          <w:w w:val="130"/>
        </w:rPr>
        <w:t>not </w:t>
      </w:r>
      <w:r>
        <w:rPr>
          <w:color w:val="231F1F"/>
          <w:w w:val="105"/>
        </w:rPr>
        <w:t>be started until 2 weeks after stopping </w:t>
      </w:r>
      <w:r>
        <w:rPr>
          <w:rFonts w:ascii="Arial"/>
          <w:color w:val="231F1F"/>
          <w:w w:val="355"/>
          <w:position w:val="1"/>
          <w:sz w:val="7"/>
        </w:rPr>
        <w:t>l </w:t>
      </w:r>
      <w:r>
        <w:rPr>
          <w:rFonts w:ascii="Calibri"/>
          <w:color w:val="008356"/>
          <w:spacing w:val="4"/>
          <w:w w:val="105"/>
          <w:sz w:val="11"/>
        </w:rPr>
        <w:t>MAOIS</w:t>
      </w:r>
      <w:r>
        <w:rPr>
          <w:color w:val="231F1F"/>
          <w:spacing w:val="4"/>
          <w:w w:val="105"/>
        </w:rPr>
        <w:t>, </w:t>
      </w:r>
      <w:r>
        <w:rPr>
          <w:color w:val="231F1F"/>
          <w:w w:val="105"/>
        </w:rPr>
        <w:t>also MAOIs  should  </w:t>
      </w:r>
      <w:r>
        <w:rPr>
          <w:color w:val="231F1F"/>
          <w:w w:val="130"/>
        </w:rPr>
        <w:t>not </w:t>
      </w:r>
      <w:r>
        <w:rPr>
          <w:color w:val="231F1F"/>
          <w:w w:val="105"/>
        </w:rPr>
        <w:t>be  started until </w:t>
      </w:r>
      <w:r>
        <w:rPr>
          <w:color w:val="231F1F"/>
          <w:w w:val="130"/>
        </w:rPr>
        <w:t>at </w:t>
      </w:r>
      <w:r>
        <w:rPr>
          <w:color w:val="231F1F"/>
          <w:w w:val="105"/>
        </w:rPr>
        <w:t>least 2  weeks  after  stopping  mirtazapine;  after stopping mirtazapine do </w:t>
      </w:r>
      <w:r>
        <w:rPr>
          <w:color w:val="231F1F"/>
          <w:w w:val="130"/>
        </w:rPr>
        <w:t>not start </w:t>
      </w:r>
      <w:r>
        <w:rPr>
          <w:rFonts w:ascii="Arial"/>
          <w:color w:val="231F1F"/>
          <w:w w:val="355"/>
          <w:position w:val="1"/>
          <w:sz w:val="7"/>
        </w:rPr>
        <w:t>l </w:t>
      </w:r>
      <w:r>
        <w:rPr>
          <w:rFonts w:ascii="Calibri"/>
          <w:color w:val="008356"/>
          <w:spacing w:val="4"/>
          <w:w w:val="105"/>
          <w:sz w:val="11"/>
        </w:rPr>
        <w:t>MOCLOBEMIDE </w:t>
      </w:r>
      <w:r>
        <w:rPr>
          <w:color w:val="231F1F"/>
          <w:w w:val="105"/>
        </w:rPr>
        <w:t>for </w:t>
      </w:r>
      <w:r>
        <w:rPr>
          <w:color w:val="231F1F"/>
          <w:w w:val="130"/>
        </w:rPr>
        <w:t>at </w:t>
      </w:r>
      <w:r>
        <w:rPr>
          <w:color w:val="231F1F"/>
          <w:w w:val="105"/>
        </w:rPr>
        <w:t>least 1</w:t>
      </w:r>
      <w:r>
        <w:rPr>
          <w:color w:val="231F1F"/>
          <w:spacing w:val="-1"/>
          <w:w w:val="105"/>
        </w:rPr>
        <w:t> </w:t>
      </w:r>
      <w:r>
        <w:rPr>
          <w:color w:val="231F1F"/>
          <w:w w:val="105"/>
        </w:rPr>
        <w:t>week</w:t>
      </w:r>
    </w:p>
    <w:p>
      <w:pPr>
        <w:spacing w:line="220" w:lineRule="auto" w:before="12"/>
        <w:ind w:left="284" w:right="7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mirtazapine  reduced by </w:t>
      </w:r>
      <w:r>
        <w:rPr>
          <w:rFonts w:ascii="Calibri" w:hAnsi="Calibri"/>
          <w:color w:val="008356"/>
          <w:spacing w:val="4"/>
          <w:w w:val="105"/>
          <w:sz w:val="11"/>
        </w:rPr>
        <w:t>CARBAMAZEPINE</w:t>
      </w:r>
      <w:r>
        <w:rPr>
          <w:color w:val="231F1F"/>
          <w:spacing w:val="4"/>
          <w:w w:val="105"/>
          <w:sz w:val="12"/>
        </w:rPr>
        <w:t>, </w:t>
      </w:r>
      <w:r>
        <w:rPr>
          <w:rFonts w:ascii="Calibri" w:hAnsi="Calibri"/>
          <w:color w:val="008356"/>
          <w:spacing w:val="4"/>
          <w:w w:val="105"/>
          <w:sz w:val="11"/>
        </w:rPr>
        <w:t>FOSPHENYTOIN </w:t>
      </w:r>
      <w:r>
        <w:rPr>
          <w:color w:val="231F1F"/>
          <w:w w:val="105"/>
          <w:sz w:val="12"/>
        </w:rPr>
        <w:t>and</w:t>
      </w:r>
      <w:r>
        <w:rPr>
          <w:color w:val="231F1F"/>
          <w:spacing w:val="-12"/>
          <w:w w:val="105"/>
          <w:sz w:val="12"/>
        </w:rPr>
        <w:t> </w:t>
      </w:r>
      <w:r>
        <w:rPr>
          <w:rFonts w:ascii="Calibri" w:hAnsi="Calibri"/>
          <w:color w:val="008356"/>
          <w:spacing w:val="4"/>
          <w:w w:val="105"/>
          <w:sz w:val="11"/>
        </w:rPr>
        <w:t>PHENYTOIN</w:t>
      </w:r>
    </w:p>
    <w:p>
      <w:pPr>
        <w:pStyle w:val="BodyText"/>
        <w:spacing w:line="155" w:lineRule="exact"/>
        <w:ind w:left="185"/>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mirtazapine increased by</w:t>
      </w:r>
    </w:p>
    <w:p>
      <w:pPr>
        <w:spacing w:line="130" w:lineRule="exact" w:before="0"/>
        <w:ind w:left="284" w:right="0" w:firstLine="0"/>
        <w:jc w:val="left"/>
        <w:rPr>
          <w:rFonts w:ascii="Calibri"/>
          <w:sz w:val="11"/>
        </w:rPr>
      </w:pPr>
      <w:r>
        <w:rPr>
          <w:rFonts w:ascii="Calibri"/>
          <w:color w:val="008356"/>
          <w:sz w:val="11"/>
        </w:rPr>
        <w:t>KETOCONAZOLE</w:t>
      </w:r>
    </w:p>
    <w:p>
      <w:pPr>
        <w:spacing w:line="247" w:lineRule="auto" w:before="0"/>
        <w:ind w:left="284" w:right="97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15"/>
          <w:position w:val="1"/>
          <w:sz w:val="7"/>
        </w:rPr>
        <w:t>l</w:t>
      </w:r>
      <w:r>
        <w:rPr>
          <w:rFonts w:ascii="Arial"/>
          <w:color w:val="231F1F"/>
          <w:spacing w:val="-51"/>
          <w:w w:val="315"/>
          <w:position w:val="1"/>
          <w:sz w:val="7"/>
        </w:rPr>
        <w:t> </w:t>
      </w:r>
      <w:r>
        <w:rPr>
          <w:rFonts w:ascii="Calibri"/>
          <w:color w:val="008356"/>
          <w:spacing w:val="4"/>
          <w:w w:val="110"/>
          <w:sz w:val="11"/>
        </w:rPr>
        <w:t>ARTEMETHER</w:t>
      </w:r>
      <w:r>
        <w:rPr>
          <w:rFonts w:ascii="Calibri"/>
          <w:color w:val="008356"/>
          <w:spacing w:val="-17"/>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WITH </w:t>
      </w:r>
      <w:r>
        <w:rPr>
          <w:rFonts w:ascii="Calibri"/>
          <w:color w:val="008356"/>
          <w:spacing w:val="5"/>
          <w:w w:val="110"/>
          <w:sz w:val="11"/>
        </w:rPr>
        <w:t>PIPERAQUINE</w:t>
      </w:r>
    </w:p>
    <w:p>
      <w:pPr>
        <w:spacing w:line="220" w:lineRule="auto" w:before="1"/>
        <w:ind w:left="284" w:right="61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mirtazapine given with </w:t>
      </w:r>
      <w:r>
        <w:rPr>
          <w:rFonts w:ascii="Calibri" w:hAnsi="Calibri"/>
          <w:color w:val="008356"/>
          <w:w w:val="105"/>
          <w:sz w:val="11"/>
        </w:rPr>
        <w:t>ANXIOLYTICS AND HYPNOTICS</w:t>
      </w:r>
    </w:p>
    <w:p>
      <w:pPr>
        <w:pStyle w:val="BodyText"/>
        <w:spacing w:line="220" w:lineRule="auto" w:before="8"/>
        <w:ind w:left="284" w:right="617"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line="220" w:lineRule="auto" w:before="10"/>
        <w:ind w:left="284" w:right="984"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mirtazapine possibly antagonises hypotensive effect of </w:t>
      </w:r>
      <w:r>
        <w:rPr>
          <w:rFonts w:ascii="Calibri" w:hAnsi="Calibri"/>
          <w:color w:val="008356"/>
          <w:w w:val="105"/>
          <w:sz w:val="11"/>
        </w:rPr>
        <w:t>CLONIDINE</w:t>
      </w:r>
    </w:p>
    <w:p>
      <w:pPr>
        <w:pStyle w:val="BodyText"/>
        <w:spacing w:line="244" w:lineRule="auto"/>
        <w:ind w:left="284" w:right="795" w:hanging="100"/>
      </w:pPr>
      <w:r>
        <w:rPr>
          <w:rFonts w:ascii="Arial" w:hAnsi="Arial"/>
          <w:color w:val="231F1F"/>
          <w:w w:val="355"/>
          <w:position w:val="1"/>
          <w:sz w:val="7"/>
        </w:rPr>
        <w:t>l </w:t>
      </w:r>
      <w:r>
        <w:rPr>
          <w:rFonts w:ascii="Calibri" w:hAnsi="Calibri"/>
          <w:color w:val="231F1F"/>
          <w:w w:val="110"/>
        </w:rPr>
        <w:t>Methylthioninium: </w:t>
      </w:r>
      <w:r>
        <w:rPr>
          <w:color w:val="231F1F"/>
          <w:w w:val="110"/>
        </w:rPr>
        <w:t>possible risk of CNS toxicity when mirtazapine given with </w:t>
      </w:r>
      <w:r>
        <w:rPr>
          <w:rFonts w:ascii="Arial" w:hAnsi="Arial"/>
          <w:color w:val="231F1F"/>
          <w:w w:val="355"/>
          <w:position w:val="1"/>
          <w:sz w:val="7"/>
        </w:rPr>
        <w:t>l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w:t>
      </w:r>
      <w:r>
        <w:rPr>
          <w:color w:val="231F1F"/>
          <w:spacing w:val="-4"/>
          <w:w w:val="110"/>
        </w:rPr>
        <w:t>for </w:t>
      </w:r>
      <w:r>
        <w:rPr>
          <w:color w:val="231F1F"/>
          <w:w w:val="110"/>
        </w:rPr>
        <w:t>up to 4 hours after</w:t>
      </w:r>
      <w:r>
        <w:rPr>
          <w:color w:val="231F1F"/>
          <w:spacing w:val="1"/>
          <w:w w:val="110"/>
        </w:rPr>
        <w:t> </w:t>
      </w:r>
      <w:r>
        <w:rPr>
          <w:color w:val="231F1F"/>
          <w:w w:val="110"/>
        </w:rPr>
        <w:t>administration)</w:t>
      </w:r>
    </w:p>
    <w:p>
      <w:pPr>
        <w:pStyle w:val="BodyText"/>
        <w:spacing w:line="220" w:lineRule="auto" w:before="7"/>
        <w:ind w:left="284" w:right="617"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mirtazapine increased by </w:t>
      </w:r>
      <w:r>
        <w:rPr>
          <w:rFonts w:ascii="Calibri" w:hAnsi="Calibri"/>
          <w:color w:val="008356"/>
          <w:w w:val="105"/>
          <w:sz w:val="11"/>
        </w:rPr>
        <w:t>CIMETIDINE</w:t>
      </w:r>
    </w:p>
    <w:p>
      <w:pPr>
        <w:pStyle w:val="BodyText"/>
        <w:spacing w:before="9"/>
        <w:ind w:left="185"/>
        <w:rPr>
          <w:rFonts w:ascii="Trebuchet MS"/>
        </w:rPr>
      </w:pPr>
      <w:r>
        <w:rPr>
          <w:rFonts w:ascii="Trebuchet MS"/>
          <w:color w:val="008356"/>
        </w:rPr>
        <w:t>Mitomycin</w:t>
      </w:r>
    </w:p>
    <w:p>
      <w:pPr>
        <w:pStyle w:val="BodyText"/>
        <w:spacing w:line="146" w:lineRule="exact"/>
        <w:ind w:left="185"/>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4"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spacing w:after="0" w:line="141" w:lineRule="exact"/>
        <w:jc w:val="left"/>
        <w:rPr>
          <w:sz w:val="12"/>
        </w:rPr>
        <w:sectPr>
          <w:pgSz w:w="8390" w:h="11910"/>
          <w:pgMar w:header="0" w:footer="0" w:top="460" w:bottom="280" w:left="480" w:right="0"/>
          <w:cols w:num="2" w:equalWidth="0">
            <w:col w:w="3638" w:space="40"/>
            <w:col w:w="4232"/>
          </w:cols>
        </w:sectPr>
      </w:pPr>
    </w:p>
    <w:p>
      <w:pPr>
        <w:pStyle w:val="BodyText"/>
        <w:spacing w:before="3"/>
        <w:ind w:left="0"/>
        <w:rPr>
          <w:sz w:val="15"/>
        </w:rPr>
      </w:pPr>
    </w:p>
    <w:p>
      <w:pPr>
        <w:pStyle w:val="BodyText"/>
        <w:spacing w:line="139" w:lineRule="exact" w:before="1"/>
        <w:ind w:left="108"/>
        <w:rPr>
          <w:rFonts w:ascii="Trebuchet MS"/>
        </w:rPr>
      </w:pPr>
      <w:r>
        <w:rPr>
          <w:rFonts w:ascii="Trebuchet MS"/>
          <w:color w:val="008356"/>
        </w:rPr>
        <w:t>Mitotane</w:t>
      </w:r>
    </w:p>
    <w:p>
      <w:pPr>
        <w:pStyle w:val="BodyText"/>
        <w:ind w:right="40"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Anticoagulants:</w:t>
      </w:r>
      <w:r>
        <w:rPr>
          <w:rFonts w:ascii="Calibri"/>
          <w:color w:val="231F1F"/>
          <w:spacing w:val="-13"/>
          <w:w w:val="115"/>
        </w:rPr>
        <w:t> </w:t>
      </w:r>
      <w:r>
        <w:rPr>
          <w:color w:val="231F1F"/>
          <w:w w:val="115"/>
        </w:rPr>
        <w:t>mitotane</w:t>
      </w:r>
      <w:r>
        <w:rPr>
          <w:color w:val="231F1F"/>
          <w:spacing w:val="-18"/>
          <w:w w:val="115"/>
        </w:rPr>
        <w:t> </w:t>
      </w:r>
      <w:r>
        <w:rPr>
          <w:color w:val="231F1F"/>
          <w:w w:val="115"/>
        </w:rPr>
        <w:t>possibly</w:t>
      </w:r>
      <w:r>
        <w:rPr>
          <w:color w:val="231F1F"/>
          <w:spacing w:val="-18"/>
          <w:w w:val="115"/>
        </w:rPr>
        <w:t> </w:t>
      </w:r>
      <w:r>
        <w:rPr>
          <w:color w:val="231F1F"/>
          <w:w w:val="115"/>
        </w:rPr>
        <w:t>reduces</w:t>
      </w:r>
      <w:r>
        <w:rPr>
          <w:color w:val="231F1F"/>
          <w:spacing w:val="-18"/>
          <w:w w:val="115"/>
        </w:rPr>
        <w:t> </w:t>
      </w:r>
      <w:r>
        <w:rPr>
          <w:color w:val="231F1F"/>
          <w:w w:val="115"/>
        </w:rPr>
        <w:t>anticoagulant</w:t>
      </w:r>
      <w:r>
        <w:rPr>
          <w:color w:val="231F1F"/>
          <w:spacing w:val="-17"/>
          <w:w w:val="115"/>
        </w:rPr>
        <w:t> </w:t>
      </w:r>
      <w:r>
        <w:rPr>
          <w:color w:val="231F1F"/>
          <w:spacing w:val="-3"/>
          <w:w w:val="115"/>
        </w:rPr>
        <w:t>effect </w:t>
      </w:r>
      <w:r>
        <w:rPr>
          <w:color w:val="231F1F"/>
          <w:w w:val="115"/>
        </w:rPr>
        <w:t>of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5"/>
          <w:sz w:val="11"/>
        </w:rPr>
        <w:t>COUMARINS</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7"/>
        <w:ind w:right="136" w:hanging="100"/>
      </w:pPr>
      <w:r>
        <w:rPr>
          <w:rFonts w:ascii="Lucida Sans Unicode" w:hAnsi="Lucida Sans Unicode"/>
          <w:color w:val="A7A8AC"/>
          <w:w w:val="95"/>
          <w:sz w:val="10"/>
        </w:rPr>
        <w:t>▶ </w:t>
      </w:r>
      <w:r>
        <w:rPr>
          <w:rFonts w:ascii="Calibri" w:hAnsi="Calibri"/>
          <w:color w:val="231F1F"/>
          <w:w w:val="110"/>
        </w:rPr>
        <w:t>Diuretics: </w:t>
      </w:r>
      <w:r>
        <w:rPr>
          <w:color w:val="231F1F"/>
          <w:w w:val="110"/>
        </w:rPr>
        <w:t>manufacturer of mitotane advises avoid concomitant use of </w:t>
      </w:r>
      <w:r>
        <w:rPr>
          <w:rFonts w:ascii="Calibri" w:hAnsi="Calibri"/>
          <w:color w:val="008356"/>
          <w:w w:val="110"/>
          <w:sz w:val="11"/>
        </w:rPr>
        <w:t>SPIRONOLACTONE </w:t>
      </w:r>
      <w:r>
        <w:rPr>
          <w:color w:val="231F1F"/>
          <w:w w:val="110"/>
        </w:rPr>
        <w:t>(antagonism of effect)</w:t>
      </w:r>
    </w:p>
    <w:p>
      <w:pPr>
        <w:pStyle w:val="BodyText"/>
        <w:spacing w:before="9"/>
        <w:ind w:left="108"/>
        <w:rPr>
          <w:rFonts w:ascii="Trebuchet MS"/>
        </w:rPr>
      </w:pPr>
      <w:r>
        <w:rPr>
          <w:rFonts w:ascii="Trebuchet MS"/>
          <w:color w:val="008356"/>
        </w:rPr>
        <w:t>Mitoxantrone</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151"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Ciclosporin: </w:t>
      </w:r>
      <w:r>
        <w:rPr>
          <w:color w:val="231F1F"/>
          <w:w w:val="105"/>
          <w:sz w:val="12"/>
        </w:rPr>
        <w:t>excretion of mitoxantrone reduced by </w:t>
      </w:r>
      <w:r>
        <w:rPr>
          <w:rFonts w:ascii="Calibri" w:hAnsi="Calibri"/>
          <w:color w:val="008356"/>
          <w:w w:val="105"/>
          <w:sz w:val="11"/>
        </w:rPr>
        <w:t>CICLOSPORIN</w:t>
      </w:r>
    </w:p>
    <w:p>
      <w:pPr>
        <w:pStyle w:val="BodyText"/>
        <w:spacing w:line="256" w:lineRule="auto"/>
        <w:ind w:left="108" w:right="1552" w:firstLine="99"/>
        <w:rPr>
          <w:rFonts w:ascii="Trebuchet MS"/>
        </w:rPr>
      </w:pPr>
      <w:r>
        <w:rPr>
          <w:color w:val="231F1F"/>
          <w:w w:val="110"/>
        </w:rPr>
        <w:t>(increased plasma concentration) </w:t>
      </w:r>
      <w:r>
        <w:rPr>
          <w:rFonts w:ascii="Trebuchet MS"/>
          <w:color w:val="008356"/>
          <w:w w:val="110"/>
        </w:rPr>
        <w:t>Mivacurium </w:t>
      </w:r>
      <w:r>
        <w:rPr>
          <w:i/>
          <w:color w:val="231F1F"/>
          <w:w w:val="110"/>
        </w:rPr>
        <w:t>see </w:t>
      </w:r>
      <w:r>
        <w:rPr>
          <w:color w:val="231F1F"/>
          <w:w w:val="110"/>
        </w:rPr>
        <w:t>Muscle Relaxants </w:t>
      </w:r>
      <w:r>
        <w:rPr>
          <w:rFonts w:ascii="Trebuchet MS"/>
          <w:color w:val="008356"/>
          <w:w w:val="110"/>
        </w:rPr>
        <w:t>Mizolastine </w:t>
      </w:r>
      <w:r>
        <w:rPr>
          <w:i/>
          <w:color w:val="231F1F"/>
          <w:w w:val="110"/>
        </w:rPr>
        <w:t>see </w:t>
      </w:r>
      <w:r>
        <w:rPr>
          <w:color w:val="231F1F"/>
          <w:w w:val="110"/>
        </w:rPr>
        <w:t>Antihistamines </w:t>
      </w:r>
      <w:r>
        <w:rPr>
          <w:rFonts w:ascii="Trebuchet MS"/>
          <w:color w:val="008356"/>
          <w:w w:val="110"/>
        </w:rPr>
        <w:t>MMR Vaccine </w:t>
      </w:r>
      <w:r>
        <w:rPr>
          <w:i/>
          <w:color w:val="231F1F"/>
          <w:w w:val="110"/>
        </w:rPr>
        <w:t>see </w:t>
      </w:r>
      <w:r>
        <w:rPr>
          <w:color w:val="231F1F"/>
          <w:w w:val="110"/>
        </w:rPr>
        <w:t>Vaccines </w:t>
      </w:r>
      <w:r>
        <w:rPr>
          <w:rFonts w:ascii="Trebuchet MS"/>
          <w:color w:val="008356"/>
          <w:w w:val="110"/>
        </w:rPr>
        <w:t>Moclobemide</w:t>
      </w:r>
    </w:p>
    <w:p>
      <w:pPr>
        <w:pStyle w:val="BodyText"/>
        <w:spacing w:line="139" w:lineRule="exact"/>
        <w:ind w:left="108"/>
      </w:pPr>
      <w:r>
        <w:rPr>
          <w:rFonts w:ascii="Arial"/>
          <w:color w:val="231F1F"/>
          <w:w w:val="355"/>
          <w:position w:val="1"/>
          <w:sz w:val="7"/>
        </w:rPr>
        <w:t>l </w:t>
      </w:r>
      <w:r>
        <w:rPr>
          <w:rFonts w:ascii="Calibri"/>
          <w:color w:val="231F1F"/>
          <w:w w:val="115"/>
        </w:rPr>
        <w:t>Analgesics: </w:t>
      </w:r>
      <w:r>
        <w:rPr>
          <w:color w:val="231F1F"/>
          <w:w w:val="115"/>
        </w:rPr>
        <w:t>possible CNS excitation or depression</w:t>
      </w:r>
    </w:p>
    <w:p>
      <w:pPr>
        <w:pStyle w:val="BodyText"/>
        <w:spacing w:line="244" w:lineRule="auto"/>
        <w:ind w:right="37"/>
      </w:pPr>
      <w:r>
        <w:rPr>
          <w:color w:val="231F1F"/>
          <w:w w:val="110"/>
        </w:rPr>
        <w:t>(hypertension or  hypotension) when  moclobemide given </w:t>
      </w:r>
      <w:r>
        <w:rPr>
          <w:color w:val="231F1F"/>
          <w:spacing w:val="-4"/>
          <w:w w:val="110"/>
        </w:rPr>
        <w:t>with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DEXTROMETHORPHAN</w:t>
      </w:r>
      <w:r>
        <w:rPr>
          <w:rFonts w:ascii="Calibri" w:hAnsi="Calibri"/>
          <w:color w:val="008356"/>
          <w:spacing w:val="-13"/>
          <w:w w:val="110"/>
          <w:sz w:val="11"/>
        </w:rPr>
        <w:t> </w:t>
      </w:r>
      <w:r>
        <w:rPr>
          <w:color w:val="231F1F"/>
          <w:w w:val="110"/>
        </w:rPr>
        <w:t>or</w:t>
      </w:r>
      <w:r>
        <w:rPr>
          <w:color w:val="231F1F"/>
          <w:spacing w:val="-22"/>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0"/>
          <w:sz w:val="11"/>
        </w:rPr>
        <w:t>PETHIDINE</w:t>
      </w:r>
      <w:r>
        <w:rPr>
          <w:rFonts w:ascii="Arial" w:hAnsi="Arial"/>
          <w:color w:val="231F1F"/>
          <w:spacing w:val="3"/>
          <w:w w:val="110"/>
        </w:rPr>
        <w:t>—</w:t>
      </w:r>
      <w:r>
        <w:rPr>
          <w:color w:val="231F1F"/>
          <w:spacing w:val="3"/>
          <w:w w:val="110"/>
        </w:rPr>
        <w:t>avoid</w:t>
      </w:r>
      <w:r>
        <w:rPr>
          <w:color w:val="231F1F"/>
          <w:spacing w:val="-21"/>
          <w:w w:val="110"/>
        </w:rPr>
        <w:t> </w:t>
      </w:r>
      <w:r>
        <w:rPr>
          <w:color w:val="231F1F"/>
          <w:w w:val="110"/>
        </w:rPr>
        <w:t>concomitant</w:t>
      </w:r>
      <w:r>
        <w:rPr>
          <w:color w:val="231F1F"/>
          <w:spacing w:val="-22"/>
          <w:w w:val="110"/>
        </w:rPr>
        <w:t> </w:t>
      </w:r>
      <w:r>
        <w:rPr>
          <w:color w:val="231F1F"/>
          <w:w w:val="110"/>
        </w:rPr>
        <w:t>use; possible CNS excitation or depression (hypertension or hypotension) when moclobemide given with </w:t>
      </w:r>
      <w:r>
        <w:rPr>
          <w:rFonts w:ascii="Arial" w:hAnsi="Arial"/>
          <w:color w:val="231F1F"/>
          <w:w w:val="355"/>
          <w:position w:val="1"/>
          <w:sz w:val="7"/>
        </w:rPr>
        <w:t>l </w:t>
      </w:r>
      <w:r>
        <w:rPr>
          <w:rFonts w:ascii="Calibri" w:hAnsi="Calibri"/>
          <w:color w:val="008356"/>
          <w:spacing w:val="5"/>
          <w:w w:val="110"/>
          <w:sz w:val="11"/>
        </w:rPr>
        <w:t>OPIOID </w:t>
      </w:r>
      <w:r>
        <w:rPr>
          <w:rFonts w:ascii="Calibri" w:hAnsi="Calibri"/>
          <w:color w:val="008356"/>
          <w:w w:val="110"/>
          <w:sz w:val="11"/>
        </w:rPr>
        <w:t>ANALGESICS</w:t>
      </w:r>
      <w:r>
        <w:rPr>
          <w:rFonts w:ascii="Arial" w:hAnsi="Arial"/>
          <w:color w:val="231F1F"/>
          <w:w w:val="110"/>
        </w:rPr>
        <w:t>—</w:t>
      </w:r>
      <w:r>
        <w:rPr>
          <w:color w:val="231F1F"/>
          <w:w w:val="110"/>
        </w:rPr>
        <w:t>manufacturer of moclobemide advises consider reducing dose of opioid</w:t>
      </w:r>
      <w:r>
        <w:rPr>
          <w:color w:val="231F1F"/>
          <w:spacing w:val="-6"/>
          <w:w w:val="110"/>
        </w:rPr>
        <w:t> </w:t>
      </w:r>
      <w:r>
        <w:rPr>
          <w:color w:val="231F1F"/>
          <w:w w:val="110"/>
        </w:rPr>
        <w:t>analgesics</w:t>
      </w:r>
    </w:p>
    <w:p>
      <w:pPr>
        <w:spacing w:line="240" w:lineRule="auto" w:before="0"/>
        <w:ind w:left="208" w:right="277" w:hanging="100"/>
        <w:jc w:val="left"/>
        <w:rPr>
          <w:sz w:val="12"/>
        </w:rPr>
      </w:pPr>
      <w:r>
        <w:rPr>
          <w:rFonts w:ascii="Arial"/>
          <w:color w:val="231F1F"/>
          <w:w w:val="355"/>
          <w:position w:val="1"/>
          <w:sz w:val="7"/>
        </w:rPr>
        <w:t>l</w:t>
      </w:r>
      <w:r>
        <w:rPr>
          <w:rFonts w:ascii="Arial"/>
          <w:color w:val="231F1F"/>
          <w:spacing w:val="-37"/>
          <w:w w:val="355"/>
          <w:position w:val="1"/>
          <w:sz w:val="7"/>
        </w:rPr>
        <w:t> </w:t>
      </w:r>
      <w:r>
        <w:rPr>
          <w:rFonts w:ascii="Calibri"/>
          <w:color w:val="231F1F"/>
          <w:w w:val="110"/>
          <w:sz w:val="12"/>
        </w:rPr>
        <w:t>Antidepressants:</w:t>
      </w:r>
      <w:r>
        <w:rPr>
          <w:rFonts w:ascii="Calibri"/>
          <w:color w:val="231F1F"/>
          <w:spacing w:val="-5"/>
          <w:w w:val="110"/>
          <w:sz w:val="12"/>
        </w:rPr>
        <w:t> </w:t>
      </w:r>
      <w:r>
        <w:rPr>
          <w:color w:val="231F1F"/>
          <w:w w:val="110"/>
          <w:sz w:val="12"/>
        </w:rPr>
        <w:t>moclobemide</w:t>
      </w:r>
      <w:r>
        <w:rPr>
          <w:color w:val="231F1F"/>
          <w:spacing w:val="-9"/>
          <w:w w:val="110"/>
          <w:sz w:val="12"/>
        </w:rPr>
        <w:t> </w:t>
      </w:r>
      <w:r>
        <w:rPr>
          <w:color w:val="231F1F"/>
          <w:w w:val="110"/>
          <w:sz w:val="12"/>
        </w:rPr>
        <w:t>should</w:t>
      </w:r>
      <w:r>
        <w:rPr>
          <w:color w:val="231F1F"/>
          <w:spacing w:val="-7"/>
          <w:w w:val="110"/>
          <w:sz w:val="12"/>
        </w:rPr>
        <w:t> </w:t>
      </w:r>
      <w:r>
        <w:rPr>
          <w:color w:val="231F1F"/>
          <w:w w:val="145"/>
          <w:sz w:val="12"/>
        </w:rPr>
        <w:t>not</w:t>
      </w:r>
      <w:r>
        <w:rPr>
          <w:color w:val="231F1F"/>
          <w:spacing w:val="-19"/>
          <w:w w:val="145"/>
          <w:sz w:val="12"/>
        </w:rPr>
        <w:t> </w:t>
      </w:r>
      <w:r>
        <w:rPr>
          <w:color w:val="231F1F"/>
          <w:w w:val="110"/>
          <w:sz w:val="12"/>
        </w:rPr>
        <w:t>be</w:t>
      </w:r>
      <w:r>
        <w:rPr>
          <w:color w:val="231F1F"/>
          <w:spacing w:val="-7"/>
          <w:w w:val="110"/>
          <w:sz w:val="12"/>
        </w:rPr>
        <w:t> </w:t>
      </w:r>
      <w:r>
        <w:rPr>
          <w:color w:val="231F1F"/>
          <w:w w:val="110"/>
          <w:sz w:val="12"/>
        </w:rPr>
        <w:t>started</w:t>
      </w:r>
      <w:r>
        <w:rPr>
          <w:color w:val="231F1F"/>
          <w:spacing w:val="-9"/>
          <w:w w:val="110"/>
          <w:sz w:val="12"/>
        </w:rPr>
        <w:t> </w:t>
      </w:r>
      <w:r>
        <w:rPr>
          <w:color w:val="231F1F"/>
          <w:w w:val="110"/>
          <w:sz w:val="12"/>
        </w:rPr>
        <w:t>for</w:t>
      </w:r>
      <w:r>
        <w:rPr>
          <w:color w:val="231F1F"/>
          <w:spacing w:val="-7"/>
          <w:w w:val="110"/>
          <w:sz w:val="12"/>
        </w:rPr>
        <w:t> </w:t>
      </w:r>
      <w:r>
        <w:rPr>
          <w:color w:val="231F1F"/>
          <w:spacing w:val="-7"/>
          <w:w w:val="145"/>
          <w:sz w:val="12"/>
        </w:rPr>
        <w:t>at </w:t>
      </w:r>
      <w:r>
        <w:rPr>
          <w:color w:val="231F1F"/>
          <w:w w:val="110"/>
          <w:sz w:val="12"/>
        </w:rPr>
        <w:t>least 1 week after stopping </w:t>
      </w:r>
      <w:r>
        <w:rPr>
          <w:rFonts w:ascii="Arial"/>
          <w:color w:val="231F1F"/>
          <w:w w:val="355"/>
          <w:position w:val="1"/>
          <w:sz w:val="7"/>
        </w:rPr>
        <w:t>l </w:t>
      </w:r>
      <w:r>
        <w:rPr>
          <w:rFonts w:ascii="Calibri"/>
          <w:color w:val="008356"/>
          <w:spacing w:val="4"/>
          <w:w w:val="110"/>
          <w:sz w:val="11"/>
        </w:rPr>
        <w:t>MAOIS</w:t>
      </w:r>
      <w:r>
        <w:rPr>
          <w:color w:val="231F1F"/>
          <w:spacing w:val="4"/>
          <w:w w:val="110"/>
          <w:sz w:val="12"/>
        </w:rPr>
        <w:t>, </w:t>
      </w:r>
      <w:r>
        <w:rPr>
          <w:rFonts w:ascii="Arial"/>
          <w:color w:val="231F1F"/>
          <w:w w:val="355"/>
          <w:position w:val="1"/>
          <w:sz w:val="7"/>
        </w:rPr>
        <w:t>l </w:t>
      </w:r>
      <w:r>
        <w:rPr>
          <w:rFonts w:ascii="Calibri"/>
          <w:color w:val="008356"/>
          <w:spacing w:val="4"/>
          <w:w w:val="110"/>
          <w:sz w:val="11"/>
        </w:rPr>
        <w:t>SSRI-RELATED ANTIDEPRESSANTS</w:t>
      </w:r>
      <w:r>
        <w:rPr>
          <w:color w:val="231F1F"/>
          <w:spacing w:val="4"/>
          <w:w w:val="110"/>
          <w:sz w:val="12"/>
        </w:rPr>
        <w:t>,</w:t>
      </w:r>
      <w:r>
        <w:rPr>
          <w:color w:val="231F1F"/>
          <w:spacing w:val="-12"/>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CITALOPRAM</w:t>
      </w:r>
      <w:r>
        <w:rPr>
          <w:color w:val="231F1F"/>
          <w:spacing w:val="4"/>
          <w:w w:val="110"/>
          <w:sz w:val="12"/>
        </w:rPr>
        <w:t>,</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FLUVOXAMINE</w:t>
      </w:r>
      <w:r>
        <w:rPr>
          <w:color w:val="231F1F"/>
          <w:spacing w:val="4"/>
          <w:w w:val="110"/>
          <w:sz w:val="12"/>
        </w:rPr>
        <w:t>,</w:t>
      </w:r>
    </w:p>
    <w:p>
      <w:pPr>
        <w:spacing w:before="0"/>
        <w:ind w:left="208" w:right="0" w:firstLine="0"/>
        <w:jc w:val="left"/>
        <w:rPr>
          <w:rFonts w:ascii="Calibri"/>
          <w:sz w:val="11"/>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20"/>
          <w:sz w:val="11"/>
        </w:rPr>
        <w:t>MIRTAZAPINE</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20"/>
          <w:sz w:val="11"/>
        </w:rPr>
        <w:t>PAROXETINE</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20"/>
          <w:sz w:val="11"/>
        </w:rPr>
        <w:t>SERTRALINE</w:t>
      </w:r>
      <w:r>
        <w:rPr>
          <w:color w:val="231F1F"/>
          <w:spacing w:val="4"/>
          <w:w w:val="120"/>
          <w:sz w:val="12"/>
        </w:rPr>
        <w:t>, </w:t>
      </w:r>
      <w:r>
        <w:rPr>
          <w:rFonts w:ascii="Arial"/>
          <w:color w:val="231F1F"/>
          <w:w w:val="355"/>
          <w:position w:val="1"/>
          <w:sz w:val="7"/>
        </w:rPr>
        <w:t>l</w:t>
      </w:r>
      <w:r>
        <w:rPr>
          <w:rFonts w:ascii="Arial"/>
          <w:color w:val="231F1F"/>
          <w:spacing w:val="-62"/>
          <w:w w:val="355"/>
          <w:position w:val="1"/>
          <w:sz w:val="7"/>
        </w:rPr>
        <w:t> </w:t>
      </w:r>
      <w:r>
        <w:rPr>
          <w:rFonts w:ascii="Calibri"/>
          <w:color w:val="008356"/>
          <w:spacing w:val="4"/>
          <w:w w:val="120"/>
          <w:sz w:val="11"/>
        </w:rPr>
        <w:t>TRICYCLIC-</w:t>
      </w:r>
    </w:p>
    <w:p>
      <w:pPr>
        <w:spacing w:line="247" w:lineRule="auto" w:before="0"/>
        <w:ind w:left="208" w:right="70" w:firstLine="0"/>
        <w:jc w:val="left"/>
        <w:rPr>
          <w:rFonts w:ascii="Calibri"/>
          <w:sz w:val="11"/>
        </w:rPr>
      </w:pPr>
      <w:r>
        <w:rPr>
          <w:rFonts w:ascii="Calibri"/>
          <w:color w:val="008356"/>
          <w:spacing w:val="3"/>
          <w:w w:val="110"/>
          <w:sz w:val="11"/>
        </w:rPr>
        <w:t>RELATED </w:t>
      </w:r>
      <w:r>
        <w:rPr>
          <w:rFonts w:ascii="Calibri"/>
          <w:color w:val="008356"/>
          <w:spacing w:val="4"/>
          <w:w w:val="110"/>
          <w:sz w:val="11"/>
        </w:rPr>
        <w:t>ANTIDEPRESSANTS </w:t>
      </w:r>
      <w:r>
        <w:rPr>
          <w:color w:val="231F1F"/>
          <w:w w:val="110"/>
          <w:sz w:val="12"/>
        </w:rPr>
        <w:t>or </w:t>
      </w:r>
      <w:r>
        <w:rPr>
          <w:rFonts w:ascii="Arial"/>
          <w:color w:val="231F1F"/>
          <w:w w:val="355"/>
          <w:position w:val="1"/>
          <w:sz w:val="7"/>
        </w:rPr>
        <w:t>l </w:t>
      </w:r>
      <w:r>
        <w:rPr>
          <w:rFonts w:ascii="Calibri"/>
          <w:color w:val="008356"/>
          <w:spacing w:val="4"/>
          <w:w w:val="110"/>
          <w:sz w:val="11"/>
        </w:rPr>
        <w:t>TRICYCLICS</w:t>
      </w:r>
      <w:r>
        <w:rPr>
          <w:color w:val="231F1F"/>
          <w:spacing w:val="4"/>
          <w:w w:val="110"/>
          <w:sz w:val="12"/>
        </w:rPr>
        <w:t>; </w:t>
      </w:r>
      <w:r>
        <w:rPr>
          <w:color w:val="231F1F"/>
          <w:w w:val="110"/>
          <w:sz w:val="12"/>
        </w:rPr>
        <w:t>increased risk of CNS</w:t>
      </w:r>
      <w:r>
        <w:rPr>
          <w:color w:val="231F1F"/>
          <w:spacing w:val="-8"/>
          <w:w w:val="110"/>
          <w:sz w:val="12"/>
        </w:rPr>
        <w:t> </w:t>
      </w:r>
      <w:r>
        <w:rPr>
          <w:color w:val="231F1F"/>
          <w:w w:val="110"/>
          <w:sz w:val="12"/>
        </w:rPr>
        <w:t>toxicity</w:t>
      </w:r>
      <w:r>
        <w:rPr>
          <w:color w:val="231F1F"/>
          <w:spacing w:val="-9"/>
          <w:w w:val="110"/>
          <w:sz w:val="12"/>
        </w:rPr>
        <w:t> </w:t>
      </w:r>
      <w:r>
        <w:rPr>
          <w:color w:val="231F1F"/>
          <w:w w:val="110"/>
          <w:sz w:val="12"/>
        </w:rPr>
        <w:t>when</w:t>
      </w:r>
      <w:r>
        <w:rPr>
          <w:color w:val="231F1F"/>
          <w:spacing w:val="-8"/>
          <w:w w:val="110"/>
          <w:sz w:val="12"/>
        </w:rPr>
        <w:t> </w:t>
      </w:r>
      <w:r>
        <w:rPr>
          <w:color w:val="231F1F"/>
          <w:w w:val="110"/>
          <w:sz w:val="12"/>
        </w:rPr>
        <w:t>moclobemide</w:t>
      </w:r>
      <w:r>
        <w:rPr>
          <w:color w:val="231F1F"/>
          <w:spacing w:val="-8"/>
          <w:w w:val="110"/>
          <w:sz w:val="12"/>
        </w:rPr>
        <w:t> </w:t>
      </w:r>
      <w:r>
        <w:rPr>
          <w:color w:val="231F1F"/>
          <w:w w:val="110"/>
          <w:sz w:val="12"/>
        </w:rPr>
        <w:t>given</w:t>
      </w:r>
      <w:r>
        <w:rPr>
          <w:color w:val="231F1F"/>
          <w:spacing w:val="-9"/>
          <w:w w:val="110"/>
          <w:sz w:val="12"/>
        </w:rPr>
        <w:t> </w:t>
      </w:r>
      <w:r>
        <w:rPr>
          <w:color w:val="231F1F"/>
          <w:w w:val="110"/>
          <w:sz w:val="12"/>
        </w:rPr>
        <w:t>with</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ESCITALOPRAM</w:t>
      </w:r>
      <w:r>
        <w:rPr>
          <w:color w:val="231F1F"/>
          <w:spacing w:val="4"/>
          <w:w w:val="110"/>
          <w:sz w:val="12"/>
        </w:rPr>
        <w:t>, </w:t>
      </w:r>
      <w:r>
        <w:rPr>
          <w:color w:val="231F1F"/>
          <w:w w:val="110"/>
          <w:sz w:val="12"/>
        </w:rPr>
        <w:t>preferably avoid concomitant use; moclobemide should  not be</w:t>
      </w:r>
      <w:r>
        <w:rPr>
          <w:color w:val="231F1F"/>
          <w:spacing w:val="-8"/>
          <w:w w:val="110"/>
          <w:sz w:val="12"/>
        </w:rPr>
        <w:t> </w:t>
      </w:r>
      <w:r>
        <w:rPr>
          <w:color w:val="231F1F"/>
          <w:w w:val="140"/>
          <w:sz w:val="12"/>
        </w:rPr>
        <w:t>started</w:t>
      </w:r>
      <w:r>
        <w:rPr>
          <w:color w:val="231F1F"/>
          <w:spacing w:val="-17"/>
          <w:w w:val="140"/>
          <w:sz w:val="12"/>
        </w:rPr>
        <w:t> </w:t>
      </w:r>
      <w:r>
        <w:rPr>
          <w:color w:val="231F1F"/>
          <w:w w:val="110"/>
          <w:sz w:val="12"/>
        </w:rPr>
        <w:t>until</w:t>
      </w:r>
      <w:r>
        <w:rPr>
          <w:color w:val="231F1F"/>
          <w:spacing w:val="-7"/>
          <w:w w:val="110"/>
          <w:sz w:val="12"/>
        </w:rPr>
        <w:t> </w:t>
      </w:r>
      <w:r>
        <w:rPr>
          <w:color w:val="231F1F"/>
          <w:w w:val="110"/>
          <w:sz w:val="12"/>
        </w:rPr>
        <w:t>5</w:t>
      </w:r>
      <w:r>
        <w:rPr>
          <w:color w:val="231F1F"/>
          <w:spacing w:val="-7"/>
          <w:w w:val="110"/>
          <w:sz w:val="12"/>
        </w:rPr>
        <w:t> </w:t>
      </w:r>
      <w:r>
        <w:rPr>
          <w:color w:val="231F1F"/>
          <w:w w:val="110"/>
          <w:sz w:val="12"/>
        </w:rPr>
        <w:t>weeks</w:t>
      </w:r>
      <w:r>
        <w:rPr>
          <w:color w:val="231F1F"/>
          <w:spacing w:val="-7"/>
          <w:w w:val="110"/>
          <w:sz w:val="12"/>
        </w:rPr>
        <w:t> </w:t>
      </w:r>
      <w:r>
        <w:rPr>
          <w:color w:val="231F1F"/>
          <w:w w:val="110"/>
          <w:sz w:val="12"/>
        </w:rPr>
        <w:t>after</w:t>
      </w:r>
      <w:r>
        <w:rPr>
          <w:color w:val="231F1F"/>
          <w:spacing w:val="-7"/>
          <w:w w:val="110"/>
          <w:sz w:val="12"/>
        </w:rPr>
        <w:t> </w:t>
      </w:r>
      <w:r>
        <w:rPr>
          <w:color w:val="231F1F"/>
          <w:w w:val="110"/>
          <w:sz w:val="12"/>
        </w:rPr>
        <w:t>stopping</w:t>
      </w:r>
      <w:r>
        <w:rPr>
          <w:color w:val="231F1F"/>
          <w:spacing w:val="-8"/>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FLUOXETINE</w:t>
      </w:r>
      <w:r>
        <w:rPr>
          <w:color w:val="231F1F"/>
          <w:spacing w:val="4"/>
          <w:w w:val="110"/>
          <w:sz w:val="12"/>
        </w:rPr>
        <w:t>;</w:t>
      </w:r>
      <w:r>
        <w:rPr>
          <w:color w:val="231F1F"/>
          <w:spacing w:val="-7"/>
          <w:w w:val="110"/>
          <w:sz w:val="12"/>
        </w:rPr>
        <w:t> </w:t>
      </w:r>
      <w:r>
        <w:rPr>
          <w:color w:val="231F1F"/>
          <w:w w:val="110"/>
          <w:sz w:val="12"/>
        </w:rPr>
        <w:t>possible increased serotonergic effects when moclobemide given with</w:t>
      </w:r>
      <w:r>
        <w:rPr>
          <w:color w:val="231F1F"/>
          <w:spacing w:val="33"/>
          <w:w w:val="110"/>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DULOXETINE</w:t>
      </w:r>
    </w:p>
    <w:p>
      <w:pPr>
        <w:spacing w:line="247" w:lineRule="auto" w:before="0"/>
        <w:ind w:left="208" w:right="423"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25"/>
          <w:position w:val="1"/>
          <w:sz w:val="7"/>
        </w:rPr>
        <w:t>l</w:t>
      </w:r>
      <w:r>
        <w:rPr>
          <w:rFonts w:ascii="Arial"/>
          <w:color w:val="231F1F"/>
          <w:spacing w:val="-54"/>
          <w:w w:val="32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pStyle w:val="BodyText"/>
        <w:spacing w:line="22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ind w:right="103" w:hanging="100"/>
        <w:rPr>
          <w:rFonts w:ascii="Calibri"/>
          <w:sz w:val="11"/>
        </w:rPr>
      </w:pPr>
      <w:r>
        <w:rPr>
          <w:rFonts w:ascii="Arial"/>
          <w:color w:val="231F1F"/>
          <w:w w:val="355"/>
          <w:position w:val="1"/>
          <w:sz w:val="7"/>
        </w:rPr>
        <w:t>l </w:t>
      </w:r>
      <w:r>
        <w:rPr>
          <w:rFonts w:ascii="Calibri"/>
          <w:color w:val="231F1F"/>
          <w:w w:val="110"/>
        </w:rPr>
        <w:t>Bupropion: </w:t>
      </w:r>
      <w:r>
        <w:rPr>
          <w:color w:val="231F1F"/>
          <w:w w:val="110"/>
        </w:rPr>
        <w:t>avoidance of moclobemide advised </w:t>
      </w:r>
      <w:r>
        <w:rPr>
          <w:color w:val="231F1F"/>
          <w:spacing w:val="-8"/>
          <w:w w:val="110"/>
        </w:rPr>
        <w:t>by </w:t>
      </w:r>
      <w:r>
        <w:rPr>
          <w:color w:val="231F1F"/>
          <w:w w:val="110"/>
        </w:rPr>
        <w:t>manufacturer of </w:t>
      </w:r>
      <w:r>
        <w:rPr>
          <w:rFonts w:ascii="Arial"/>
          <w:color w:val="231F1F"/>
          <w:w w:val="355"/>
          <w:position w:val="1"/>
          <w:sz w:val="7"/>
        </w:rPr>
        <w:t>l </w:t>
      </w:r>
      <w:r>
        <w:rPr>
          <w:rFonts w:ascii="Calibri"/>
          <w:color w:val="008356"/>
          <w:spacing w:val="5"/>
          <w:w w:val="110"/>
          <w:sz w:val="11"/>
        </w:rPr>
        <w:t>BUPROPION</w:t>
      </w:r>
    </w:p>
    <w:p>
      <w:pPr>
        <w:pStyle w:val="BodyText"/>
        <w:spacing w:line="237" w:lineRule="auto"/>
        <w:ind w:right="95"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moclobemide possibly reduces antiplatelet effect of </w:t>
      </w:r>
      <w:r>
        <w:rPr>
          <w:rFonts w:ascii="Arial"/>
          <w:color w:val="231F1F"/>
          <w:w w:val="355"/>
          <w:position w:val="1"/>
          <w:sz w:val="7"/>
        </w:rPr>
        <w:t>l </w:t>
      </w:r>
      <w:r>
        <w:rPr>
          <w:rFonts w:ascii="Calibri"/>
          <w:color w:val="008356"/>
          <w:w w:val="110"/>
          <w:sz w:val="11"/>
        </w:rPr>
        <w:t>CLOPIDOGREL</w:t>
      </w:r>
    </w:p>
    <w:p>
      <w:pPr>
        <w:spacing w:line="242" w:lineRule="auto" w:before="0"/>
        <w:ind w:left="208" w:right="103" w:hanging="100"/>
        <w:jc w:val="left"/>
        <w:rPr>
          <w:rFonts w:ascii="Calibri"/>
          <w:sz w:val="11"/>
        </w:rPr>
      </w:pPr>
      <w:r>
        <w:rPr>
          <w:rFonts w:ascii="Arial"/>
          <w:color w:val="231F1F"/>
          <w:w w:val="355"/>
          <w:position w:val="1"/>
          <w:sz w:val="7"/>
        </w:rPr>
        <w:t>l </w:t>
      </w:r>
      <w:r>
        <w:rPr>
          <w:rFonts w:ascii="Calibri"/>
          <w:color w:val="231F1F"/>
          <w:w w:val="110"/>
          <w:sz w:val="12"/>
        </w:rPr>
        <w:t>Dopaminergics: </w:t>
      </w:r>
      <w:r>
        <w:rPr>
          <w:color w:val="231F1F"/>
          <w:w w:val="110"/>
          <w:sz w:val="12"/>
        </w:rPr>
        <w:t>increased risk of side-effects when </w:t>
      </w:r>
      <w:r>
        <w:rPr>
          <w:color w:val="231F1F"/>
          <w:w w:val="105"/>
          <w:sz w:val="12"/>
        </w:rPr>
        <w:t>moclobemide given with </w:t>
      </w:r>
      <w:r>
        <w:rPr>
          <w:rFonts w:ascii="Calibri"/>
          <w:color w:val="008356"/>
          <w:w w:val="105"/>
          <w:sz w:val="11"/>
        </w:rPr>
        <w:t>CO-BENELDOPA</w:t>
      </w:r>
      <w:r>
        <w:rPr>
          <w:color w:val="231F1F"/>
          <w:w w:val="105"/>
          <w:sz w:val="12"/>
        </w:rPr>
        <w:t>, </w:t>
      </w:r>
      <w:r>
        <w:rPr>
          <w:rFonts w:ascii="Calibri"/>
          <w:color w:val="008356"/>
          <w:w w:val="105"/>
          <w:sz w:val="11"/>
        </w:rPr>
        <w:t>CO-CARELDOPA </w:t>
      </w:r>
      <w:r>
        <w:rPr>
          <w:color w:val="231F1F"/>
          <w:w w:val="105"/>
          <w:sz w:val="12"/>
        </w:rPr>
        <w:t>or </w:t>
      </w:r>
      <w:r>
        <w:rPr>
          <w:rFonts w:ascii="Calibri"/>
          <w:color w:val="008356"/>
          <w:w w:val="110"/>
          <w:sz w:val="11"/>
        </w:rPr>
        <w:t>LEVODOPA</w:t>
      </w:r>
      <w:r>
        <w:rPr>
          <w:color w:val="231F1F"/>
          <w:w w:val="110"/>
          <w:sz w:val="12"/>
        </w:rPr>
        <w:t>; caution with moclobemide advised by manufacturer of </w:t>
      </w:r>
      <w:r>
        <w:rPr>
          <w:rFonts w:ascii="Calibri"/>
          <w:color w:val="008356"/>
          <w:w w:val="110"/>
          <w:sz w:val="11"/>
        </w:rPr>
        <w:t>ENTACAPONE</w:t>
      </w:r>
      <w:r>
        <w:rPr>
          <w:color w:val="231F1F"/>
          <w:w w:val="110"/>
          <w:sz w:val="12"/>
        </w:rPr>
        <w:t>; avoid concomitant use of moclobemide with </w:t>
      </w:r>
      <w:r>
        <w:rPr>
          <w:rFonts w:ascii="Arial"/>
          <w:color w:val="231F1F"/>
          <w:w w:val="355"/>
          <w:position w:val="1"/>
          <w:sz w:val="7"/>
        </w:rPr>
        <w:t>l </w:t>
      </w:r>
      <w:r>
        <w:rPr>
          <w:rFonts w:ascii="Calibri"/>
          <w:color w:val="008356"/>
          <w:w w:val="110"/>
          <w:sz w:val="11"/>
        </w:rPr>
        <w:t>SELEGILINE</w:t>
      </w:r>
    </w:p>
    <w:p>
      <w:pPr>
        <w:pStyle w:val="BodyText"/>
        <w:spacing w:line="244" w:lineRule="auto"/>
        <w:ind w:right="46" w:hanging="100"/>
      </w:pPr>
      <w:r>
        <w:rPr>
          <w:rFonts w:ascii="Arial"/>
          <w:color w:val="231F1F"/>
          <w:w w:val="355"/>
          <w:position w:val="1"/>
          <w:sz w:val="7"/>
        </w:rPr>
        <w:t>l</w:t>
      </w:r>
      <w:r>
        <w:rPr>
          <w:rFonts w:ascii="Arial"/>
          <w:color w:val="231F1F"/>
          <w:spacing w:val="-46"/>
          <w:w w:val="355"/>
          <w:position w:val="1"/>
          <w:sz w:val="7"/>
        </w:rPr>
        <w:t> </w:t>
      </w:r>
      <w:r>
        <w:rPr>
          <w:rFonts w:ascii="Calibri"/>
          <w:color w:val="231F1F"/>
          <w:w w:val="110"/>
        </w:rPr>
        <w:t>5HT</w:t>
      </w:r>
      <w:r>
        <w:rPr>
          <w:rFonts w:ascii="Calibri"/>
          <w:color w:val="231F1F"/>
          <w:w w:val="110"/>
          <w:vertAlign w:val="subscript"/>
        </w:rPr>
        <w:t>1</w:t>
      </w:r>
      <w:r>
        <w:rPr>
          <w:rFonts w:ascii="Calibri"/>
          <w:color w:val="231F1F"/>
          <w:w w:val="110"/>
          <w:vertAlign w:val="baseline"/>
        </w:rPr>
        <w:t>-receptor</w:t>
      </w:r>
      <w:r>
        <w:rPr>
          <w:rFonts w:ascii="Calibri"/>
          <w:color w:val="231F1F"/>
          <w:spacing w:val="-11"/>
          <w:w w:val="110"/>
          <w:vertAlign w:val="baseline"/>
        </w:rPr>
        <w:t> </w:t>
      </w:r>
      <w:r>
        <w:rPr>
          <w:rFonts w:ascii="Calibri"/>
          <w:color w:val="231F1F"/>
          <w:w w:val="110"/>
          <w:vertAlign w:val="baseline"/>
        </w:rPr>
        <w:t>Agonists:</w:t>
      </w:r>
      <w:r>
        <w:rPr>
          <w:rFonts w:ascii="Calibri"/>
          <w:color w:val="231F1F"/>
          <w:spacing w:val="-11"/>
          <w:w w:val="110"/>
          <w:vertAlign w:val="baseline"/>
        </w:rPr>
        <w:t> </w:t>
      </w:r>
      <w:r>
        <w:rPr>
          <w:color w:val="231F1F"/>
          <w:w w:val="110"/>
          <w:vertAlign w:val="baseline"/>
        </w:rPr>
        <w:t>risk</w:t>
      </w:r>
      <w:r>
        <w:rPr>
          <w:color w:val="231F1F"/>
          <w:spacing w:val="-15"/>
          <w:w w:val="110"/>
          <w:vertAlign w:val="baseline"/>
        </w:rPr>
        <w:t> </w:t>
      </w:r>
      <w:r>
        <w:rPr>
          <w:color w:val="231F1F"/>
          <w:w w:val="110"/>
          <w:vertAlign w:val="baseline"/>
        </w:rPr>
        <w:t>of</w:t>
      </w:r>
      <w:r>
        <w:rPr>
          <w:color w:val="231F1F"/>
          <w:spacing w:val="-13"/>
          <w:w w:val="110"/>
          <w:vertAlign w:val="baseline"/>
        </w:rPr>
        <w:t> </w:t>
      </w:r>
      <w:r>
        <w:rPr>
          <w:color w:val="231F1F"/>
          <w:w w:val="110"/>
          <w:vertAlign w:val="baseline"/>
        </w:rPr>
        <w:t>CNS</w:t>
      </w:r>
      <w:r>
        <w:rPr>
          <w:color w:val="231F1F"/>
          <w:spacing w:val="-15"/>
          <w:w w:val="110"/>
          <w:vertAlign w:val="baseline"/>
        </w:rPr>
        <w:t> </w:t>
      </w:r>
      <w:r>
        <w:rPr>
          <w:color w:val="231F1F"/>
          <w:w w:val="110"/>
          <w:vertAlign w:val="baseline"/>
        </w:rPr>
        <w:t>toxicity</w:t>
      </w:r>
      <w:r>
        <w:rPr>
          <w:color w:val="231F1F"/>
          <w:spacing w:val="-14"/>
          <w:w w:val="110"/>
          <w:vertAlign w:val="baseline"/>
        </w:rPr>
        <w:t> </w:t>
      </w:r>
      <w:r>
        <w:rPr>
          <w:color w:val="231F1F"/>
          <w:w w:val="110"/>
          <w:vertAlign w:val="baseline"/>
        </w:rPr>
        <w:t>when</w:t>
      </w:r>
      <w:r>
        <w:rPr>
          <w:color w:val="231F1F"/>
          <w:spacing w:val="-15"/>
          <w:w w:val="110"/>
          <w:vertAlign w:val="baseline"/>
        </w:rPr>
        <w:t> </w:t>
      </w:r>
      <w:r>
        <w:rPr>
          <w:color w:val="231F1F"/>
          <w:w w:val="110"/>
          <w:vertAlign w:val="baseline"/>
        </w:rPr>
        <w:t>moclobemide given</w:t>
      </w:r>
      <w:r>
        <w:rPr>
          <w:color w:val="231F1F"/>
          <w:spacing w:val="-9"/>
          <w:w w:val="110"/>
          <w:vertAlign w:val="baseline"/>
        </w:rPr>
        <w:t> </w:t>
      </w:r>
      <w:r>
        <w:rPr>
          <w:color w:val="231F1F"/>
          <w:w w:val="110"/>
          <w:vertAlign w:val="baseline"/>
        </w:rPr>
        <w:t>with</w:t>
      </w:r>
      <w:r>
        <w:rPr>
          <w:color w:val="231F1F"/>
          <w:spacing w:val="-8"/>
          <w:w w:val="110"/>
          <w:vertAlign w:val="baseline"/>
        </w:rPr>
        <w:t> </w:t>
      </w:r>
      <w:r>
        <w:rPr>
          <w:rFonts w:ascii="Arial"/>
          <w:color w:val="231F1F"/>
          <w:w w:val="355"/>
          <w:position w:val="1"/>
          <w:sz w:val="7"/>
          <w:vertAlign w:val="baseline"/>
        </w:rPr>
        <w:t>l</w:t>
      </w:r>
      <w:r>
        <w:rPr>
          <w:rFonts w:ascii="Arial"/>
          <w:color w:val="231F1F"/>
          <w:spacing w:val="-46"/>
          <w:w w:val="355"/>
          <w:position w:val="1"/>
          <w:sz w:val="7"/>
          <w:vertAlign w:val="baseline"/>
        </w:rPr>
        <w:t> </w:t>
      </w:r>
      <w:r>
        <w:rPr>
          <w:rFonts w:ascii="Calibri"/>
          <w:color w:val="008356"/>
          <w:spacing w:val="3"/>
          <w:w w:val="110"/>
          <w:sz w:val="11"/>
          <w:vertAlign w:val="baseline"/>
        </w:rPr>
        <w:t>RIZATRIPTAN </w:t>
      </w:r>
      <w:r>
        <w:rPr>
          <w:color w:val="231F1F"/>
          <w:w w:val="110"/>
          <w:vertAlign w:val="baseline"/>
        </w:rPr>
        <w:t>or</w:t>
      </w:r>
      <w:r>
        <w:rPr>
          <w:color w:val="231F1F"/>
          <w:spacing w:val="-8"/>
          <w:w w:val="110"/>
          <w:vertAlign w:val="baseline"/>
        </w:rPr>
        <w:t> </w:t>
      </w:r>
      <w:r>
        <w:rPr>
          <w:rFonts w:ascii="Arial"/>
          <w:color w:val="231F1F"/>
          <w:w w:val="355"/>
          <w:position w:val="1"/>
          <w:sz w:val="7"/>
          <w:vertAlign w:val="baseline"/>
        </w:rPr>
        <w:t>l</w:t>
      </w:r>
      <w:r>
        <w:rPr>
          <w:rFonts w:ascii="Arial"/>
          <w:color w:val="231F1F"/>
          <w:spacing w:val="-46"/>
          <w:w w:val="355"/>
          <w:position w:val="1"/>
          <w:sz w:val="7"/>
          <w:vertAlign w:val="baseline"/>
        </w:rPr>
        <w:t> </w:t>
      </w:r>
      <w:r>
        <w:rPr>
          <w:rFonts w:ascii="Calibri"/>
          <w:color w:val="008356"/>
          <w:spacing w:val="3"/>
          <w:w w:val="110"/>
          <w:sz w:val="11"/>
          <w:vertAlign w:val="baseline"/>
        </w:rPr>
        <w:t>SUMATRIPTAN </w:t>
      </w:r>
      <w:r>
        <w:rPr>
          <w:color w:val="231F1F"/>
          <w:w w:val="110"/>
          <w:vertAlign w:val="baseline"/>
        </w:rPr>
        <w:t>(avoid</w:t>
      </w:r>
      <w:r>
        <w:rPr>
          <w:color w:val="231F1F"/>
          <w:spacing w:val="-8"/>
          <w:w w:val="110"/>
          <w:vertAlign w:val="baseline"/>
        </w:rPr>
        <w:t> </w:t>
      </w:r>
      <w:r>
        <w:rPr>
          <w:color w:val="231F1F"/>
          <w:w w:val="110"/>
          <w:vertAlign w:val="baseline"/>
        </w:rPr>
        <w:t>rizatriptan or sumatriptan for 2 weeks after moclobemide); risk of CNS toxicity when moclobemide given with </w:t>
      </w:r>
      <w:r>
        <w:rPr>
          <w:rFonts w:ascii="Arial"/>
          <w:color w:val="231F1F"/>
          <w:w w:val="355"/>
          <w:position w:val="1"/>
          <w:sz w:val="7"/>
          <w:vertAlign w:val="baseline"/>
        </w:rPr>
        <w:t>l </w:t>
      </w:r>
      <w:r>
        <w:rPr>
          <w:rFonts w:ascii="Calibri"/>
          <w:color w:val="008356"/>
          <w:spacing w:val="4"/>
          <w:w w:val="110"/>
          <w:sz w:val="11"/>
          <w:vertAlign w:val="baseline"/>
        </w:rPr>
        <w:t>ZOLMITRIPTAN </w:t>
      </w:r>
      <w:r>
        <w:rPr>
          <w:color w:val="231F1F"/>
          <w:w w:val="110"/>
          <w:vertAlign w:val="baseline"/>
        </w:rPr>
        <w:t>(reduce dose of</w:t>
      </w:r>
      <w:r>
        <w:rPr>
          <w:color w:val="231F1F"/>
          <w:spacing w:val="-4"/>
          <w:w w:val="110"/>
          <w:vertAlign w:val="baseline"/>
        </w:rPr>
        <w:t> </w:t>
      </w:r>
      <w:r>
        <w:rPr>
          <w:color w:val="231F1F"/>
          <w:w w:val="110"/>
          <w:vertAlign w:val="baseline"/>
        </w:rPr>
        <w:t>zolmitriptan)</w:t>
      </w:r>
    </w:p>
    <w:p>
      <w:pPr>
        <w:spacing w:line="237" w:lineRule="auto" w:before="0"/>
        <w:ind w:left="208" w:right="103" w:hanging="100"/>
        <w:jc w:val="left"/>
        <w:rPr>
          <w:rFonts w:ascii="Calibri"/>
          <w:sz w:val="11"/>
        </w:rPr>
      </w:pPr>
      <w:r>
        <w:rPr>
          <w:rFonts w:ascii="Arial"/>
          <w:color w:val="231F1F"/>
          <w:w w:val="355"/>
          <w:position w:val="1"/>
          <w:sz w:val="7"/>
        </w:rPr>
        <w:t>l </w:t>
      </w:r>
      <w:r>
        <w:rPr>
          <w:rFonts w:ascii="Calibri"/>
          <w:color w:val="231F1F"/>
          <w:w w:val="105"/>
          <w:sz w:val="12"/>
        </w:rPr>
        <w:t>Sympathomimetics: </w:t>
      </w:r>
      <w:r>
        <w:rPr>
          <w:color w:val="231F1F"/>
          <w:w w:val="105"/>
          <w:sz w:val="12"/>
        </w:rPr>
        <w:t>risk of hypertensive crisis when moclobemide given with </w:t>
      </w:r>
      <w:r>
        <w:rPr>
          <w:rFonts w:ascii="Arial"/>
          <w:color w:val="231F1F"/>
          <w:w w:val="355"/>
          <w:position w:val="1"/>
          <w:sz w:val="7"/>
        </w:rPr>
        <w:t>l </w:t>
      </w:r>
      <w:r>
        <w:rPr>
          <w:rFonts w:ascii="Calibri"/>
          <w:color w:val="008356"/>
          <w:w w:val="105"/>
          <w:sz w:val="11"/>
        </w:rPr>
        <w:t>SYMPATHOMIMETICS</w:t>
      </w:r>
    </w:p>
    <w:p>
      <w:pPr>
        <w:pStyle w:val="BodyText"/>
        <w:spacing w:line="220" w:lineRule="auto"/>
        <w:ind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moclobemide increased by </w:t>
      </w:r>
      <w:r>
        <w:rPr>
          <w:rFonts w:ascii="Calibri" w:hAnsi="Calibri"/>
          <w:color w:val="008356"/>
          <w:w w:val="105"/>
          <w:sz w:val="11"/>
        </w:rPr>
        <w:t>CIMETIDINE </w:t>
      </w:r>
      <w:r>
        <w:rPr>
          <w:color w:val="231F1F"/>
          <w:w w:val="105"/>
        </w:rPr>
        <w:t>(halve dose of moclobemide)</w:t>
      </w:r>
    </w:p>
    <w:p>
      <w:pPr>
        <w:pStyle w:val="BodyText"/>
        <w:spacing w:before="3"/>
        <w:ind w:left="108"/>
        <w:rPr>
          <w:rFonts w:ascii="Trebuchet MS"/>
        </w:rPr>
      </w:pPr>
      <w:r>
        <w:rPr>
          <w:rFonts w:ascii="Trebuchet MS"/>
          <w:color w:val="008356"/>
          <w:w w:val="105"/>
        </w:rPr>
        <w:t>Modafinil</w:t>
      </w:r>
    </w:p>
    <w:p>
      <w:pPr>
        <w:spacing w:line="220" w:lineRule="auto" w:before="9"/>
        <w:ind w:left="208" w:right="37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modafinil possibly increases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46" w:lineRule="exact"/>
        <w:ind w:left="108"/>
      </w:pPr>
      <w:r>
        <w:rPr>
          <w:rFonts w:ascii="Arial"/>
          <w:color w:val="231F1F"/>
          <w:w w:val="355"/>
          <w:position w:val="1"/>
          <w:sz w:val="7"/>
        </w:rPr>
        <w:t>l </w:t>
      </w:r>
      <w:r>
        <w:rPr>
          <w:rFonts w:ascii="Calibri"/>
          <w:color w:val="231F1F"/>
          <w:w w:val="115"/>
        </w:rPr>
        <w:t>Ciclosporin: </w:t>
      </w:r>
      <w:r>
        <w:rPr>
          <w:color w:val="231F1F"/>
          <w:w w:val="115"/>
        </w:rPr>
        <w:t>modafinil reduces plasma concentration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ind w:right="74" w:hanging="100"/>
      </w:pPr>
      <w:r>
        <w:rPr>
          <w:rFonts w:ascii="Arial" w:hAnsi="Arial"/>
          <w:color w:val="231F1F"/>
          <w:w w:val="115"/>
          <w:position w:val="1"/>
          <w:sz w:val="7"/>
        </w:rPr>
        <w:t>l </w:t>
      </w:r>
      <w:r>
        <w:rPr>
          <w:rFonts w:ascii="Calibri" w:hAnsi="Calibri"/>
          <w:color w:val="231F1F"/>
          <w:w w:val="115"/>
        </w:rPr>
        <w:t>Cytotoxics: </w:t>
      </w:r>
      <w:r>
        <w:rPr>
          <w:color w:val="231F1F"/>
          <w:w w:val="115"/>
        </w:rPr>
        <w:t>modafinil possibly reduces plasma concentration </w:t>
      </w:r>
      <w:r>
        <w:rPr>
          <w:color w:val="231F1F"/>
          <w:w w:val="120"/>
        </w:rPr>
        <w:t>of </w:t>
      </w:r>
      <w:r>
        <w:rPr>
          <w:rFonts w:ascii="Arial" w:hAnsi="Arial"/>
          <w:color w:val="231F1F"/>
          <w:w w:val="285"/>
          <w:position w:val="1"/>
          <w:sz w:val="7"/>
        </w:rPr>
        <w:t>l </w:t>
      </w:r>
      <w:r>
        <w:rPr>
          <w:rFonts w:ascii="Calibri" w:hAnsi="Calibri"/>
          <w:color w:val="008356"/>
          <w:w w:val="120"/>
          <w:sz w:val="11"/>
        </w:rPr>
        <w:t>BOSUTINIB</w:t>
      </w:r>
      <w:r>
        <w:rPr>
          <w:rFonts w:ascii="Arial" w:hAnsi="Arial"/>
          <w:color w:val="231F1F"/>
          <w:w w:val="120"/>
        </w:rPr>
        <w:t>—</w:t>
      </w:r>
      <w:r>
        <w:rPr>
          <w:color w:val="231F1F"/>
          <w:w w:val="120"/>
        </w:rPr>
        <w:t>manufacturer of bosutinib advises avoid concomitant use</w:t>
      </w:r>
    </w:p>
    <w:p>
      <w:pPr>
        <w:pStyle w:val="BodyText"/>
        <w:spacing w:line="244" w:lineRule="auto"/>
        <w:ind w:right="34" w:hanging="100"/>
      </w:pPr>
      <w:r>
        <w:rPr>
          <w:rFonts w:ascii="Arial" w:hAnsi="Arial"/>
          <w:color w:val="231F1F"/>
          <w:w w:val="355"/>
          <w:position w:val="1"/>
          <w:sz w:val="7"/>
        </w:rPr>
        <w:t>l</w:t>
      </w:r>
      <w:r>
        <w:rPr>
          <w:rFonts w:ascii="Arial" w:hAnsi="Arial"/>
          <w:color w:val="231F1F"/>
          <w:spacing w:val="-39"/>
          <w:w w:val="355"/>
          <w:position w:val="1"/>
          <w:sz w:val="7"/>
        </w:rPr>
        <w:t> </w:t>
      </w:r>
      <w:r>
        <w:rPr>
          <w:rFonts w:ascii="Calibri" w:hAnsi="Calibri"/>
          <w:color w:val="231F1F"/>
          <w:w w:val="110"/>
        </w:rPr>
        <w:t>Oestrogens:</w:t>
      </w:r>
      <w:r>
        <w:rPr>
          <w:rFonts w:ascii="Calibri" w:hAnsi="Calibri"/>
          <w:color w:val="231F1F"/>
          <w:spacing w:val="-6"/>
          <w:w w:val="110"/>
        </w:rPr>
        <w:t> </w:t>
      </w:r>
      <w:r>
        <w:rPr>
          <w:color w:val="231F1F"/>
          <w:w w:val="110"/>
        </w:rPr>
        <w:t>modafinil</w:t>
      </w:r>
      <w:r>
        <w:rPr>
          <w:color w:val="231F1F"/>
          <w:spacing w:val="-10"/>
          <w:w w:val="110"/>
        </w:rPr>
        <w:t> </w:t>
      </w:r>
      <w:r>
        <w:rPr>
          <w:color w:val="231F1F"/>
          <w:w w:val="110"/>
        </w:rPr>
        <w:t>accelerates</w:t>
      </w:r>
      <w:r>
        <w:rPr>
          <w:color w:val="231F1F"/>
          <w:spacing w:val="-10"/>
          <w:w w:val="110"/>
        </w:rPr>
        <w:t> </w:t>
      </w:r>
      <w:r>
        <w:rPr>
          <w:color w:val="231F1F"/>
          <w:w w:val="110"/>
        </w:rPr>
        <w:t>metabolism</w:t>
      </w:r>
      <w:r>
        <w:rPr>
          <w:color w:val="231F1F"/>
          <w:spacing w:val="-10"/>
          <w:w w:val="110"/>
        </w:rPr>
        <w:t> </w:t>
      </w:r>
      <w:r>
        <w:rPr>
          <w:color w:val="231F1F"/>
          <w:w w:val="110"/>
        </w:rPr>
        <w:t>of</w:t>
      </w:r>
      <w:r>
        <w:rPr>
          <w:color w:val="231F1F"/>
          <w:spacing w:val="-9"/>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w:t>
      </w:r>
      <w:r>
        <w:rPr>
          <w:color w:val="231F1F"/>
          <w:spacing w:val="-4"/>
          <w:w w:val="110"/>
        </w:rPr>
        <w:t> </w:t>
      </w:r>
      <w:r>
        <w:rPr>
          <w:color w:val="231F1F"/>
          <w:w w:val="110"/>
        </w:rPr>
        <w:t>BNF)</w:t>
      </w:r>
    </w:p>
    <w:p>
      <w:pPr>
        <w:pStyle w:val="BodyText"/>
        <w:spacing w:line="256" w:lineRule="auto" w:before="10"/>
        <w:ind w:left="108" w:right="1552"/>
      </w:pPr>
      <w:r>
        <w:rPr>
          <w:rFonts w:ascii="Trebuchet MS"/>
          <w:color w:val="008356"/>
          <w:w w:val="110"/>
        </w:rPr>
        <w:t>Moexipril </w:t>
      </w:r>
      <w:r>
        <w:rPr>
          <w:i/>
          <w:color w:val="231F1F"/>
          <w:w w:val="110"/>
        </w:rPr>
        <w:t>see </w:t>
      </w:r>
      <w:r>
        <w:rPr>
          <w:color w:val="231F1F"/>
          <w:w w:val="110"/>
        </w:rPr>
        <w:t>ACE Inhibitors </w:t>
      </w:r>
      <w:r>
        <w:rPr>
          <w:rFonts w:ascii="Trebuchet MS"/>
          <w:color w:val="008356"/>
          <w:w w:val="110"/>
        </w:rPr>
        <w:t>Mometasone </w:t>
      </w:r>
      <w:r>
        <w:rPr>
          <w:i/>
          <w:color w:val="231F1F"/>
          <w:w w:val="110"/>
        </w:rPr>
        <w:t>see </w:t>
      </w:r>
      <w:r>
        <w:rPr>
          <w:color w:val="231F1F"/>
          <w:w w:val="110"/>
        </w:rPr>
        <w:t>Corticosteroids </w:t>
      </w:r>
      <w:r>
        <w:rPr>
          <w:rFonts w:ascii="Trebuchet MS"/>
          <w:color w:val="008356"/>
          <w:w w:val="110"/>
        </w:rPr>
        <w:t>Monobactams </w:t>
      </w:r>
      <w:r>
        <w:rPr>
          <w:i/>
          <w:color w:val="231F1F"/>
          <w:w w:val="110"/>
        </w:rPr>
        <w:t>see </w:t>
      </w:r>
      <w:r>
        <w:rPr>
          <w:color w:val="231F1F"/>
          <w:w w:val="110"/>
        </w:rPr>
        <w:t>Aztreonam</w:t>
      </w:r>
    </w:p>
    <w:p>
      <w:pPr>
        <w:pStyle w:val="BodyText"/>
        <w:spacing w:line="256" w:lineRule="auto" w:before="1"/>
        <w:ind w:left="108" w:right="529"/>
      </w:pPr>
      <w:r>
        <w:rPr>
          <w:rFonts w:ascii="Trebuchet MS"/>
          <w:color w:val="008356"/>
          <w:w w:val="110"/>
        </w:rPr>
        <w:t>Monoclonal antibodies </w:t>
      </w:r>
      <w:r>
        <w:rPr>
          <w:i/>
          <w:color w:val="231F1F"/>
          <w:w w:val="110"/>
        </w:rPr>
        <w:t>see </w:t>
      </w:r>
      <w:r>
        <w:rPr>
          <w:color w:val="231F1F"/>
          <w:w w:val="110"/>
        </w:rPr>
        <w:t>individual drugs </w:t>
      </w:r>
      <w:r>
        <w:rPr>
          <w:rFonts w:ascii="Trebuchet MS"/>
          <w:color w:val="008356"/>
          <w:w w:val="110"/>
        </w:rPr>
        <w:t>Montelukast </w:t>
      </w:r>
      <w:r>
        <w:rPr>
          <w:i/>
          <w:color w:val="231F1F"/>
          <w:w w:val="110"/>
        </w:rPr>
        <w:t>see </w:t>
      </w:r>
      <w:r>
        <w:rPr>
          <w:color w:val="231F1F"/>
          <w:w w:val="110"/>
        </w:rPr>
        <w:t>Leukotriene Receptor Antagonists </w:t>
      </w:r>
      <w:r>
        <w:rPr>
          <w:rFonts w:ascii="Trebuchet MS"/>
          <w:color w:val="008356"/>
          <w:w w:val="110"/>
        </w:rPr>
        <w:t>Morphine </w:t>
      </w:r>
      <w:r>
        <w:rPr>
          <w:i/>
          <w:color w:val="231F1F"/>
          <w:w w:val="110"/>
        </w:rPr>
        <w:t>see </w:t>
      </w:r>
      <w:r>
        <w:rPr>
          <w:color w:val="231F1F"/>
          <w:w w:val="110"/>
        </w:rPr>
        <w:t>Opioid Analgesics</w:t>
      </w:r>
    </w:p>
    <w:p>
      <w:pPr>
        <w:pStyle w:val="BodyText"/>
        <w:spacing w:before="1"/>
        <w:ind w:left="108"/>
      </w:pPr>
      <w:r>
        <w:rPr>
          <w:rFonts w:ascii="Trebuchet MS"/>
          <w:color w:val="008356"/>
          <w:w w:val="105"/>
        </w:rPr>
        <w:t>Moxifloxacin </w:t>
      </w:r>
      <w:r>
        <w:rPr>
          <w:i/>
          <w:color w:val="231F1F"/>
          <w:w w:val="105"/>
        </w:rPr>
        <w:t>see </w:t>
      </w:r>
      <w:r>
        <w:rPr>
          <w:color w:val="231F1F"/>
          <w:w w:val="105"/>
        </w:rPr>
        <w:t>Quinolones</w:t>
      </w:r>
    </w:p>
    <w:p>
      <w:pPr>
        <w:pStyle w:val="BodyText"/>
        <w:spacing w:before="3"/>
        <w:ind w:left="0"/>
        <w:rPr>
          <w:sz w:val="15"/>
        </w:rPr>
      </w:pPr>
      <w:r>
        <w:rPr/>
        <w:br w:type="column"/>
      </w:r>
      <w:r>
        <w:rPr>
          <w:sz w:val="15"/>
        </w:rPr>
      </w:r>
    </w:p>
    <w:p>
      <w:pPr>
        <w:pStyle w:val="BodyText"/>
        <w:spacing w:before="1"/>
        <w:ind w:left="108"/>
        <w:rPr>
          <w:rFonts w:ascii="Trebuchet MS"/>
        </w:rPr>
      </w:pPr>
      <w:r>
        <w:rPr>
          <w:rFonts w:ascii="Trebuchet MS"/>
          <w:color w:val="008356"/>
          <w:w w:val="105"/>
        </w:rPr>
        <w:t>Moxisylyte</w:t>
      </w:r>
    </w:p>
    <w:p>
      <w:pPr>
        <w:pStyle w:val="BodyText"/>
        <w:spacing w:line="220" w:lineRule="auto" w:before="8"/>
        <w:ind w:right="670" w:hanging="100"/>
        <w:rPr>
          <w:rFonts w:ascii="Calibri" w:hAnsi="Calibri"/>
          <w:sz w:val="11"/>
        </w:rPr>
      </w:pPr>
      <w:r>
        <w:rPr/>
        <w:pict>
          <v:rect style="position:absolute;margin-left:398.891296pt;margin-top:-8.839784pt;width:20.522993pt;height:149.443pt;mso-position-horizontal-relative:page;mso-position-vertical-relative:paragraph;z-index:4960" filled="true" fillcolor="#bfdbcf" stroked="false">
            <v:fill type="solid"/>
            <w10:wrap type="none"/>
          </v:rect>
        </w:pict>
      </w:r>
      <w:r>
        <w:rPr/>
        <w:pict>
          <v:shape style="position:absolute;margin-left:399.725769pt;margin-top:-3.876394pt;width:10.4pt;height:78.850pt;mso-position-horizontal-relative:page;mso-position-vertical-relative:paragraph;z-index:498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moxisylyte given with </w:t>
      </w:r>
      <w:r>
        <w:rPr>
          <w:rFonts w:ascii="Calibri" w:hAnsi="Calibri"/>
          <w:color w:val="008356"/>
          <w:w w:val="105"/>
          <w:sz w:val="11"/>
        </w:rPr>
        <w:t>ACE INHIBITORS</w:t>
      </w:r>
    </w:p>
    <w:p>
      <w:pPr>
        <w:spacing w:line="220" w:lineRule="auto" w:before="9"/>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moxisylyte given with </w:t>
      </w:r>
      <w:r>
        <w:rPr>
          <w:rFonts w:ascii="Calibri" w:hAnsi="Calibri"/>
          <w:color w:val="008356"/>
          <w:w w:val="105"/>
          <w:sz w:val="11"/>
        </w:rPr>
        <w:t>ADRENERGIC NEURONE BLOCKERS</w:t>
      </w:r>
    </w:p>
    <w:p>
      <w:pPr>
        <w:pStyle w:val="BodyText"/>
        <w:ind w:right="670" w:hanging="100"/>
        <w:rPr>
          <w:rFonts w:ascii="Calibri"/>
          <w:sz w:val="11"/>
        </w:rPr>
      </w:pPr>
      <w:r>
        <w:rPr>
          <w:rFonts w:ascii="Arial"/>
          <w:color w:val="231F1F"/>
          <w:w w:val="355"/>
          <w:position w:val="1"/>
          <w:sz w:val="7"/>
        </w:rPr>
        <w:t>l </w:t>
      </w:r>
      <w:r>
        <w:rPr>
          <w:rFonts w:ascii="Calibri"/>
          <w:color w:val="231F1F"/>
          <w:w w:val="110"/>
        </w:rPr>
        <w:t>Alpha-blockers: </w:t>
      </w:r>
      <w:r>
        <w:rPr>
          <w:color w:val="231F1F"/>
          <w:w w:val="110"/>
        </w:rPr>
        <w:t>possible severe postural hypotension </w:t>
      </w:r>
      <w:r>
        <w:rPr>
          <w:color w:val="231F1F"/>
          <w:spacing w:val="-4"/>
          <w:w w:val="110"/>
        </w:rPr>
        <w:t>when </w:t>
      </w:r>
      <w:r>
        <w:rPr>
          <w:color w:val="231F1F"/>
          <w:w w:val="110"/>
        </w:rPr>
        <w:t>moxisylyte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ALPHA-BLOCKERS</w:t>
      </w:r>
    </w:p>
    <w:p>
      <w:pPr>
        <w:spacing w:line="237" w:lineRule="auto" w:before="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moxisylyte given with </w:t>
      </w:r>
      <w:r>
        <w:rPr>
          <w:rFonts w:ascii="Calibri" w:hAnsi="Calibri"/>
          <w:color w:val="008356"/>
          <w:w w:val="105"/>
          <w:sz w:val="11"/>
        </w:rPr>
        <w:t>ANGIOTENSIN-II RECEPTOR ANTAGONISTS</w:t>
      </w:r>
    </w:p>
    <w:p>
      <w:pPr>
        <w:pStyle w:val="BodyText"/>
        <w:ind w:right="670" w:hanging="100"/>
        <w:rPr>
          <w:rFonts w:ascii="Calibri"/>
          <w:sz w:val="11"/>
        </w:rPr>
      </w:pPr>
      <w:r>
        <w:rPr>
          <w:rFonts w:ascii="Arial"/>
          <w:color w:val="231F1F"/>
          <w:w w:val="355"/>
          <w:position w:val="1"/>
          <w:sz w:val="7"/>
        </w:rPr>
        <w:t>l </w:t>
      </w:r>
      <w:r>
        <w:rPr>
          <w:rFonts w:ascii="Calibri"/>
          <w:color w:val="231F1F"/>
          <w:w w:val="110"/>
        </w:rPr>
        <w:t>Beta-blockers: </w:t>
      </w:r>
      <w:r>
        <w:rPr>
          <w:color w:val="231F1F"/>
          <w:w w:val="110"/>
        </w:rPr>
        <w:t>possible severe postural hypotension </w:t>
      </w:r>
      <w:r>
        <w:rPr>
          <w:color w:val="231F1F"/>
          <w:spacing w:val="-4"/>
          <w:w w:val="110"/>
        </w:rPr>
        <w:t>when </w:t>
      </w:r>
      <w:r>
        <w:rPr>
          <w:color w:val="231F1F"/>
          <w:w w:val="110"/>
        </w:rPr>
        <w:t>moxisylyte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BETA-BLOCKERS</w:t>
      </w:r>
    </w:p>
    <w:p>
      <w:pPr>
        <w:spacing w:line="220" w:lineRule="auto" w:before="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moxisylyte given with </w:t>
      </w:r>
      <w:r>
        <w:rPr>
          <w:rFonts w:ascii="Calibri" w:hAnsi="Calibri"/>
          <w:color w:val="008356"/>
          <w:w w:val="105"/>
          <w:sz w:val="11"/>
        </w:rPr>
        <w:t>CALCIUM-CHANNEL BLOCKERS</w:t>
      </w:r>
    </w:p>
    <w:p>
      <w:pPr>
        <w:pStyle w:val="BodyText"/>
        <w:spacing w:line="220" w:lineRule="auto" w:before="10"/>
        <w:ind w:right="991"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moxisylyte given with</w:t>
      </w:r>
      <w:r>
        <w:rPr>
          <w:color w:val="231F1F"/>
          <w:spacing w:val="-1"/>
          <w:w w:val="105"/>
        </w:rPr>
        <w:t> </w:t>
      </w:r>
      <w:r>
        <w:rPr>
          <w:rFonts w:ascii="Calibri" w:hAnsi="Calibri"/>
          <w:color w:val="008356"/>
          <w:spacing w:val="4"/>
          <w:w w:val="105"/>
          <w:sz w:val="11"/>
        </w:rPr>
        <w:t>CLONIDINE</w:t>
      </w:r>
    </w:p>
    <w:p>
      <w:pPr>
        <w:pStyle w:val="BodyText"/>
        <w:spacing w:line="220" w:lineRule="auto" w:before="8"/>
        <w:ind w:right="991"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moxisylyte given with</w:t>
      </w:r>
      <w:r>
        <w:rPr>
          <w:color w:val="231F1F"/>
          <w:spacing w:val="-1"/>
          <w:w w:val="105"/>
        </w:rPr>
        <w:t> </w:t>
      </w:r>
      <w:r>
        <w:rPr>
          <w:rFonts w:ascii="Calibri" w:hAnsi="Calibri"/>
          <w:color w:val="008356"/>
          <w:spacing w:val="4"/>
          <w:w w:val="105"/>
          <w:sz w:val="11"/>
        </w:rPr>
        <w:t>DIAZOXIDE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moxisylyte given with </w:t>
      </w:r>
      <w:r>
        <w:rPr>
          <w:rFonts w:ascii="Calibri" w:hAnsi="Calibri"/>
          <w:color w:val="008356"/>
          <w:w w:val="105"/>
          <w:sz w:val="11"/>
        </w:rPr>
        <w:t>DIURETICS</w:t>
      </w:r>
    </w:p>
    <w:p>
      <w:pPr>
        <w:pStyle w:val="BodyText"/>
        <w:spacing w:line="220" w:lineRule="auto" w:before="9"/>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moxisylyte given with</w:t>
      </w:r>
      <w:r>
        <w:rPr>
          <w:color w:val="231F1F"/>
          <w:spacing w:val="-2"/>
          <w:w w:val="105"/>
        </w:rPr>
        <w:t> </w:t>
      </w:r>
      <w:r>
        <w:rPr>
          <w:rFonts w:ascii="Calibri" w:hAnsi="Calibri"/>
          <w:color w:val="008356"/>
          <w:spacing w:val="4"/>
          <w:w w:val="105"/>
          <w:sz w:val="11"/>
        </w:rPr>
        <w:t>METHYLDOPA</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moxisylyte given with</w:t>
      </w:r>
      <w:r>
        <w:rPr>
          <w:color w:val="231F1F"/>
          <w:spacing w:val="-2"/>
          <w:w w:val="105"/>
        </w:rPr>
        <w:t> </w:t>
      </w:r>
      <w:r>
        <w:rPr>
          <w:rFonts w:ascii="Calibri" w:hAnsi="Calibri"/>
          <w:color w:val="008356"/>
          <w:spacing w:val="4"/>
          <w:w w:val="105"/>
          <w:sz w:val="11"/>
        </w:rPr>
        <w:t>MOXONIDINE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moxisylyte given with </w:t>
      </w:r>
      <w:r>
        <w:rPr>
          <w:rFonts w:ascii="Calibri" w:hAnsi="Calibri"/>
          <w:color w:val="008356"/>
          <w:w w:val="105"/>
          <w:sz w:val="11"/>
        </w:rPr>
        <w:t>NITRATES</w:t>
      </w:r>
    </w:p>
    <w:p>
      <w:pPr>
        <w:spacing w:line="237" w:lineRule="auto" w:before="1"/>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moxisylyte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7"/>
        <w:ind w:left="108"/>
        <w:rPr>
          <w:rFonts w:ascii="Trebuchet MS"/>
        </w:rPr>
      </w:pPr>
      <w:r>
        <w:rPr>
          <w:rFonts w:ascii="Trebuchet MS"/>
          <w:color w:val="008356"/>
        </w:rPr>
        <w:t>Moxonidine</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moxonidine given with </w:t>
      </w:r>
      <w:r>
        <w:rPr>
          <w:rFonts w:ascii="Calibri" w:hAnsi="Calibri"/>
          <w:color w:val="008356"/>
          <w:w w:val="105"/>
          <w:sz w:val="11"/>
        </w:rPr>
        <w:t>ACE INHIBITORS</w:t>
      </w:r>
    </w:p>
    <w:p>
      <w:pPr>
        <w:spacing w:line="220" w:lineRule="auto" w:before="9"/>
        <w:ind w:left="208" w:right="74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moxonidine given with </w:t>
      </w:r>
      <w:r>
        <w:rPr>
          <w:rFonts w:ascii="Calibri" w:hAnsi="Calibri"/>
          <w:color w:val="008356"/>
          <w:spacing w:val="4"/>
          <w:w w:val="105"/>
          <w:sz w:val="11"/>
        </w:rPr>
        <w:t>ADRENERGIC NEURONE</w:t>
      </w:r>
      <w:r>
        <w:rPr>
          <w:rFonts w:ascii="Calibri" w:hAnsi="Calibri"/>
          <w:color w:val="008356"/>
          <w:spacing w:val="28"/>
          <w:w w:val="105"/>
          <w:sz w:val="11"/>
        </w:rPr>
        <w:t> </w:t>
      </w:r>
      <w:r>
        <w:rPr>
          <w:rFonts w:ascii="Calibri" w:hAnsi="Calibri"/>
          <w:color w:val="008356"/>
          <w:spacing w:val="4"/>
          <w:w w:val="105"/>
          <w:sz w:val="11"/>
        </w:rPr>
        <w:t>BLOCKERS</w:t>
      </w:r>
    </w:p>
    <w:p>
      <w:pPr>
        <w:pStyle w:val="BodyText"/>
        <w:spacing w:line="220" w:lineRule="auto" w:before="9"/>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moxonidine given with </w:t>
      </w:r>
      <w:r>
        <w:rPr>
          <w:rFonts w:ascii="Calibri" w:hAnsi="Calibri"/>
          <w:color w:val="008356"/>
          <w:w w:val="105"/>
          <w:sz w:val="11"/>
        </w:rPr>
        <w:t>ALCOHOL</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moxonidine given with </w:t>
      </w:r>
      <w:r>
        <w:rPr>
          <w:rFonts w:ascii="Calibri" w:hAnsi="Calibri"/>
          <w:color w:val="008356"/>
          <w:w w:val="110"/>
          <w:sz w:val="11"/>
        </w:rPr>
        <w:t>ALDESLEUKIN</w:t>
      </w:r>
    </w:p>
    <w:p>
      <w:pPr>
        <w:pStyle w:val="BodyText"/>
        <w:spacing w:line="220" w:lineRule="auto" w:before="8"/>
        <w:ind w:right="1316"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moxonidine given with </w:t>
      </w:r>
      <w:r>
        <w:rPr>
          <w:rFonts w:ascii="Calibri" w:hAnsi="Calibri"/>
          <w:color w:val="008356"/>
          <w:w w:val="110"/>
          <w:sz w:val="11"/>
        </w:rPr>
        <w:t>ALPHA-BLOCKERS</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moxonidine given with </w:t>
      </w:r>
      <w:r>
        <w:rPr>
          <w:rFonts w:ascii="Calibri" w:hAnsi="Calibri"/>
          <w:color w:val="008356"/>
          <w:w w:val="105"/>
          <w:sz w:val="11"/>
        </w:rPr>
        <w:t>GENERAL ANAESTHETICS</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moxonidine antagonised by</w:t>
      </w:r>
    </w:p>
    <w:p>
      <w:pPr>
        <w:spacing w:line="130" w:lineRule="exact" w:before="0"/>
        <w:ind w:left="208" w:right="0" w:firstLine="0"/>
        <w:jc w:val="left"/>
        <w:rPr>
          <w:rFonts w:ascii="Calibri"/>
          <w:sz w:val="9"/>
        </w:rPr>
      </w:pPr>
      <w:r>
        <w:rPr>
          <w:rFonts w:ascii="Calibri"/>
          <w:color w:val="008356"/>
          <w:sz w:val="11"/>
        </w:rPr>
        <w:t>NSAID</w:t>
      </w:r>
      <w:r>
        <w:rPr>
          <w:rFonts w:ascii="Calibri"/>
          <w:color w:val="008356"/>
          <w:sz w:val="9"/>
        </w:rPr>
        <w:t>S</w:t>
      </w:r>
    </w:p>
    <w:p>
      <w:pPr>
        <w:spacing w:line="237" w:lineRule="auto" w:before="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moxonidine given with </w:t>
      </w:r>
      <w:r>
        <w:rPr>
          <w:rFonts w:ascii="Calibri" w:hAnsi="Calibri"/>
          <w:color w:val="008356"/>
          <w:w w:val="105"/>
          <w:sz w:val="11"/>
        </w:rPr>
        <w:t>ANGIOTENSIN-II RECEPTOR ANTAGONISTS</w:t>
      </w:r>
    </w:p>
    <w:p>
      <w:pPr>
        <w:pStyle w:val="BodyText"/>
        <w:spacing w:line="235" w:lineRule="auto"/>
        <w:ind w:right="699"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enhanced hypotensive effect when moxonidine given with </w:t>
      </w:r>
      <w:r>
        <w:rPr>
          <w:rFonts w:ascii="Calibri" w:hAnsi="Calibri"/>
          <w:color w:val="008356"/>
          <w:spacing w:val="3"/>
          <w:w w:val="110"/>
          <w:sz w:val="11"/>
        </w:rPr>
        <w:t>MAOI</w:t>
      </w:r>
      <w:r>
        <w:rPr>
          <w:rFonts w:ascii="Calibri" w:hAnsi="Calibri"/>
          <w:color w:val="008356"/>
          <w:spacing w:val="3"/>
          <w:w w:val="110"/>
          <w:sz w:val="9"/>
        </w:rPr>
        <w:t>S</w:t>
      </w:r>
      <w:r>
        <w:rPr>
          <w:color w:val="231F1F"/>
          <w:spacing w:val="3"/>
          <w:w w:val="110"/>
        </w:rPr>
        <w:t>; </w:t>
      </w:r>
      <w:r>
        <w:rPr>
          <w:color w:val="231F1F"/>
          <w:w w:val="110"/>
        </w:rPr>
        <w:t>hypotensive effect of moxonidine possibly antagonised by  </w:t>
      </w:r>
      <w:r>
        <w:rPr>
          <w:rFonts w:ascii="Calibri" w:hAnsi="Calibri"/>
          <w:color w:val="008356"/>
          <w:spacing w:val="4"/>
          <w:w w:val="110"/>
          <w:sz w:val="11"/>
        </w:rPr>
        <w:t>TRICYCLICS </w:t>
      </w:r>
      <w:r>
        <w:rPr>
          <w:color w:val="231F1F"/>
          <w:w w:val="110"/>
        </w:rPr>
        <w:t>(manufacturer of moxonidine advises avoid concomitant</w:t>
      </w:r>
      <w:r>
        <w:rPr>
          <w:color w:val="231F1F"/>
          <w:spacing w:val="18"/>
          <w:w w:val="110"/>
        </w:rPr>
        <w:t> </w:t>
      </w:r>
      <w:r>
        <w:rPr>
          <w:color w:val="231F1F"/>
          <w:spacing w:val="-4"/>
          <w:w w:val="110"/>
        </w:rPr>
        <w:t>use)</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enhanced hypotensive effect when moxonidine given with </w:t>
      </w:r>
      <w:r>
        <w:rPr>
          <w:rFonts w:ascii="Calibri" w:hAnsi="Calibri"/>
          <w:color w:val="008356"/>
          <w:w w:val="105"/>
          <w:sz w:val="11"/>
        </w:rPr>
        <w:t>PHENOTHIAZINES</w:t>
      </w:r>
    </w:p>
    <w:p>
      <w:pPr>
        <w:spacing w:line="242" w:lineRule="auto" w:before="1"/>
        <w:ind w:left="208" w:right="7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Anxiolytics and Hypnotics: </w:t>
      </w:r>
      <w:r>
        <w:rPr>
          <w:color w:val="231F1F"/>
          <w:w w:val="110"/>
          <w:sz w:val="12"/>
        </w:rPr>
        <w:t>enhanced hypotensive effect when moxonidine given with </w:t>
      </w:r>
      <w:r>
        <w:rPr>
          <w:rFonts w:ascii="Calibri" w:hAnsi="Calibri"/>
          <w:color w:val="008356"/>
          <w:w w:val="110"/>
          <w:sz w:val="11"/>
        </w:rPr>
        <w:t>ANXIOLYTICS AND HYPNOTICS</w:t>
      </w:r>
      <w:r>
        <w:rPr>
          <w:color w:val="231F1F"/>
          <w:w w:val="110"/>
          <w:sz w:val="12"/>
        </w:rPr>
        <w:t>; sedative effects possibly increased when moxonidine given with </w:t>
      </w:r>
      <w:r>
        <w:rPr>
          <w:rFonts w:ascii="Calibri" w:hAnsi="Calibri"/>
          <w:color w:val="008356"/>
          <w:w w:val="110"/>
          <w:sz w:val="11"/>
        </w:rPr>
        <w:t>BENZODIAZEPINES</w:t>
      </w:r>
    </w:p>
    <w:p>
      <w:pPr>
        <w:pStyle w:val="BodyText"/>
        <w:spacing w:line="220" w:lineRule="auto" w:before="2"/>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moxonidine given with </w:t>
      </w:r>
      <w:r>
        <w:rPr>
          <w:rFonts w:ascii="Calibri" w:hAnsi="Calibri"/>
          <w:color w:val="008356"/>
          <w:w w:val="110"/>
          <w:sz w:val="11"/>
        </w:rPr>
        <w:t>BETA-BLOCKERS</w:t>
      </w:r>
    </w:p>
    <w:p>
      <w:pPr>
        <w:spacing w:line="220" w:lineRule="auto" w:before="9"/>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moxonidine given with </w:t>
      </w:r>
      <w:r>
        <w:rPr>
          <w:rFonts w:ascii="Calibri" w:hAnsi="Calibri"/>
          <w:color w:val="008356"/>
          <w:w w:val="105"/>
          <w:sz w:val="11"/>
        </w:rPr>
        <w:t>CALCIUM-CHANNEL BLOCKERS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moxonidine given with </w:t>
      </w:r>
      <w:r>
        <w:rPr>
          <w:rFonts w:ascii="Calibri" w:hAnsi="Calibri"/>
          <w:color w:val="008356"/>
          <w:w w:val="105"/>
          <w:sz w:val="11"/>
        </w:rPr>
        <w:t>CLONIDINE</w:t>
      </w:r>
    </w:p>
    <w:p>
      <w:pPr>
        <w:spacing w:line="220" w:lineRule="auto" w:before="9"/>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Corticosteroids: </w:t>
      </w:r>
      <w:r>
        <w:rPr>
          <w:color w:val="231F1F"/>
          <w:w w:val="105"/>
          <w:sz w:val="12"/>
        </w:rPr>
        <w:t>hypotensive effect of  moxonidine antagonised by</w:t>
      </w:r>
      <w:r>
        <w:rPr>
          <w:color w:val="231F1F"/>
          <w:spacing w:val="-2"/>
          <w:w w:val="105"/>
          <w:sz w:val="12"/>
        </w:rPr>
        <w:t> </w:t>
      </w:r>
      <w:r>
        <w:rPr>
          <w:rFonts w:ascii="Calibri" w:hAnsi="Calibri"/>
          <w:color w:val="008356"/>
          <w:spacing w:val="4"/>
          <w:w w:val="105"/>
          <w:sz w:val="11"/>
        </w:rPr>
        <w:t>CORTICOSTEROIDS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w:t>
      </w:r>
      <w:r>
        <w:rPr>
          <w:color w:val="231F1F"/>
          <w:spacing w:val="-3"/>
          <w:w w:val="105"/>
        </w:rPr>
        <w:t>moxonidine </w:t>
      </w:r>
      <w:r>
        <w:rPr>
          <w:color w:val="231F1F"/>
          <w:w w:val="105"/>
        </w:rPr>
        <w:t>given with</w:t>
      </w:r>
      <w:r>
        <w:rPr>
          <w:color w:val="231F1F"/>
          <w:spacing w:val="-1"/>
          <w:w w:val="105"/>
        </w:rPr>
        <w:t> </w:t>
      </w:r>
      <w:r>
        <w:rPr>
          <w:rFonts w:ascii="Calibri" w:hAnsi="Calibri"/>
          <w:color w:val="008356"/>
          <w:spacing w:val="4"/>
          <w:w w:val="105"/>
          <w:sz w:val="11"/>
        </w:rPr>
        <w:t>DIAZOXIDE</w:t>
      </w:r>
    </w:p>
    <w:p>
      <w:pPr>
        <w:pStyle w:val="BodyText"/>
        <w:spacing w:line="220" w:lineRule="auto" w:before="8"/>
        <w:ind w:right="991"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w:t>
      </w:r>
      <w:r>
        <w:rPr>
          <w:color w:val="231F1F"/>
          <w:spacing w:val="-3"/>
          <w:w w:val="105"/>
        </w:rPr>
        <w:t>moxonidine </w:t>
      </w:r>
      <w:r>
        <w:rPr>
          <w:color w:val="231F1F"/>
          <w:w w:val="105"/>
        </w:rPr>
        <w:t>given with</w:t>
      </w:r>
      <w:r>
        <w:rPr>
          <w:color w:val="231F1F"/>
          <w:spacing w:val="-1"/>
          <w:w w:val="105"/>
        </w:rPr>
        <w:t> </w:t>
      </w:r>
      <w:r>
        <w:rPr>
          <w:rFonts w:ascii="Calibri" w:hAnsi="Calibri"/>
          <w:color w:val="008356"/>
          <w:spacing w:val="5"/>
          <w:w w:val="105"/>
          <w:sz w:val="11"/>
        </w:rPr>
        <w:t>DIURETICS</w:t>
      </w:r>
    </w:p>
    <w:p>
      <w:pPr>
        <w:spacing w:line="237" w:lineRule="auto" w:before="2"/>
        <w:ind w:left="208" w:right="99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moxonidine given with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 </w:t>
      </w:r>
      <w:r>
        <w:rPr>
          <w:rFonts w:ascii="Calibri" w:hAnsi="Calibri"/>
          <w:color w:val="008356"/>
          <w:w w:val="105"/>
          <w:sz w:val="11"/>
        </w:rPr>
        <w:t>LEVODOPA</w:t>
      </w:r>
    </w:p>
    <w:p>
      <w:pPr>
        <w:pStyle w:val="BodyText"/>
        <w:spacing w:line="220" w:lineRule="auto" w:before="5"/>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moxonidine given with </w:t>
      </w:r>
      <w:r>
        <w:rPr>
          <w:rFonts w:ascii="Calibri" w:hAnsi="Calibri"/>
          <w:color w:val="008356"/>
          <w:w w:val="105"/>
          <w:sz w:val="11"/>
        </w:rPr>
        <w:t>METHYLDOPA</w:t>
      </w:r>
    </w:p>
    <w:p>
      <w:pPr>
        <w:pStyle w:val="BodyText"/>
        <w:spacing w:line="220" w:lineRule="auto" w:before="9"/>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moxonidine given with </w:t>
      </w:r>
      <w:r>
        <w:rPr>
          <w:rFonts w:ascii="Calibri" w:hAnsi="Calibri"/>
          <w:color w:val="008356"/>
          <w:w w:val="105"/>
          <w:sz w:val="11"/>
        </w:rPr>
        <w:t>MOXISYLYTE</w:t>
      </w:r>
    </w:p>
    <w:p>
      <w:pPr>
        <w:spacing w:after="0" w:line="220" w:lineRule="auto"/>
        <w:rPr>
          <w:rFonts w:ascii="Calibri" w:hAnsi="Calibri"/>
          <w:sz w:val="11"/>
        </w:rPr>
        <w:sectPr>
          <w:pgSz w:w="8390" w:h="11910"/>
          <w:pgMar w:header="0" w:footer="0" w:top="460" w:bottom="0" w:left="480" w:right="0"/>
          <w:cols w:num="2" w:equalWidth="0">
            <w:col w:w="3606" w:space="70"/>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5008" filled="true" fillcolor="#bfdbcf" stroked="false">
            <v:fill type="solid"/>
            <w10:wrap type="none"/>
          </v:rect>
        </w:pict>
      </w:r>
      <w:r>
        <w:rPr/>
        <w:pict>
          <v:shape style="position:absolute;margin-left:7.751256pt;margin-top:35.804367pt;width:10.4pt;height:78.850pt;mso-position-horizontal-relative:page;mso-position-vertical-relative:page;z-index:503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Moxonidine </w:t>
      </w:r>
      <w:r>
        <w:rPr>
          <w:rFonts w:ascii="Calibri"/>
          <w:color w:val="231F1F"/>
        </w:rPr>
        <w:t>(continued)</w:t>
      </w:r>
    </w:p>
    <w:p>
      <w:pPr>
        <w:spacing w:line="220" w:lineRule="auto" w:before="6"/>
        <w:ind w:left="286" w:right="1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moxonidine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220" w:lineRule="auto" w:before="9"/>
        <w:ind w:left="286" w:right="245"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moxonidine given with </w:t>
      </w:r>
      <w:r>
        <w:rPr>
          <w:rFonts w:ascii="Calibri" w:hAnsi="Calibri"/>
          <w:color w:val="008356"/>
          <w:w w:val="105"/>
          <w:sz w:val="11"/>
        </w:rPr>
        <w:t>NITRATES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moxonidine antagonised by</w:t>
      </w:r>
    </w:p>
    <w:p>
      <w:pPr>
        <w:spacing w:line="130" w:lineRule="exact" w:before="0"/>
        <w:ind w:left="286" w:right="0" w:firstLine="0"/>
        <w:jc w:val="left"/>
        <w:rPr>
          <w:rFonts w:ascii="Calibri"/>
          <w:sz w:val="11"/>
        </w:rPr>
      </w:pPr>
      <w:r>
        <w:rPr>
          <w:rFonts w:ascii="Calibri"/>
          <w:color w:val="008356"/>
          <w:sz w:val="11"/>
        </w:rPr>
        <w:t>OESTROGENS</w:t>
      </w:r>
    </w:p>
    <w:p>
      <w:pPr>
        <w:pStyle w:val="BodyText"/>
        <w:spacing w:line="220" w:lineRule="auto" w:before="8"/>
        <w:ind w:left="286" w:right="637"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moxonidine given with </w:t>
      </w:r>
      <w:r>
        <w:rPr>
          <w:rFonts w:ascii="Calibri" w:hAnsi="Calibri"/>
          <w:color w:val="008356"/>
          <w:w w:val="110"/>
          <w:sz w:val="11"/>
        </w:rPr>
        <w:t>ALPROSTADIL</w:t>
      </w:r>
    </w:p>
    <w:p>
      <w:pPr>
        <w:spacing w:line="237" w:lineRule="auto" w:before="0"/>
        <w:ind w:left="286" w:right="1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moxonidine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7"/>
        <w:ind w:left="186"/>
        <w:rPr>
          <w:rFonts w:ascii="Trebuchet MS"/>
        </w:rPr>
      </w:pPr>
      <w:r>
        <w:rPr>
          <w:rFonts w:ascii="Trebuchet MS"/>
          <w:color w:val="008356"/>
          <w:w w:val="105"/>
        </w:rPr>
        <w:t>Muscle Relaxants</w:t>
      </w:r>
    </w:p>
    <w:p>
      <w:pPr>
        <w:pStyle w:val="BodyText"/>
        <w:spacing w:line="220" w:lineRule="auto" w:before="10"/>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baclofen or tizanidine given with </w:t>
      </w:r>
      <w:r>
        <w:rPr>
          <w:rFonts w:ascii="Calibri" w:hAnsi="Calibri"/>
          <w:color w:val="008356"/>
          <w:w w:val="105"/>
          <w:sz w:val="11"/>
        </w:rPr>
        <w:t>ACE INHIBITORS</w:t>
      </w:r>
    </w:p>
    <w:p>
      <w:pPr>
        <w:spacing w:line="237" w:lineRule="auto" w:before="0"/>
        <w:ind w:left="286" w:right="10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baclofen or tizanidine given with </w:t>
      </w:r>
      <w:r>
        <w:rPr>
          <w:rFonts w:ascii="Calibri" w:hAnsi="Calibri"/>
          <w:color w:val="008356"/>
          <w:spacing w:val="4"/>
          <w:w w:val="105"/>
          <w:sz w:val="11"/>
        </w:rPr>
        <w:t>ADRENERGIC </w:t>
      </w:r>
      <w:r>
        <w:rPr>
          <w:rFonts w:ascii="Calibri" w:hAnsi="Calibri"/>
          <w:color w:val="008356"/>
          <w:spacing w:val="5"/>
          <w:w w:val="105"/>
          <w:sz w:val="11"/>
        </w:rPr>
        <w:t>NEURONE </w:t>
      </w:r>
      <w:r>
        <w:rPr>
          <w:rFonts w:ascii="Calibri" w:hAnsi="Calibri"/>
          <w:color w:val="008356"/>
          <w:spacing w:val="4"/>
          <w:w w:val="105"/>
          <w:sz w:val="11"/>
        </w:rPr>
        <w:t>BLOCKERS</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increased sedative effect when baclofen, methocarbamol or tizanidine given with </w:t>
      </w:r>
      <w:r>
        <w:rPr>
          <w:rFonts w:ascii="Calibri" w:hAnsi="Calibri"/>
          <w:color w:val="008356"/>
          <w:w w:val="110"/>
          <w:sz w:val="11"/>
        </w:rPr>
        <w:t>ALCOHOL</w:t>
      </w:r>
    </w:p>
    <w:p>
      <w:pPr>
        <w:pStyle w:val="BodyText"/>
        <w:spacing w:line="220" w:lineRule="auto" w:before="8"/>
        <w:ind w:left="286" w:right="-3"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baclofen or tizanidine given with </w:t>
      </w:r>
      <w:r>
        <w:rPr>
          <w:rFonts w:ascii="Calibri" w:hAnsi="Calibri"/>
          <w:color w:val="008356"/>
          <w:w w:val="110"/>
          <w:sz w:val="11"/>
        </w:rPr>
        <w:t>ALPHA-BLOCKERS</w:t>
      </w:r>
    </w:p>
    <w:p>
      <w:pPr>
        <w:spacing w:line="244" w:lineRule="auto"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Anaesthetics, General: </w:t>
      </w:r>
      <w:r>
        <w:rPr>
          <w:color w:val="231F1F"/>
          <w:w w:val="110"/>
          <w:sz w:val="12"/>
        </w:rPr>
        <w:t>effects of atracurium enhanced by </w:t>
      </w:r>
      <w:r>
        <w:rPr>
          <w:rFonts w:ascii="Calibri"/>
          <w:color w:val="008356"/>
          <w:w w:val="110"/>
          <w:sz w:val="11"/>
        </w:rPr>
        <w:t>KETAMINE</w:t>
      </w:r>
      <w:r>
        <w:rPr>
          <w:color w:val="231F1F"/>
          <w:w w:val="110"/>
          <w:sz w:val="12"/>
        </w:rPr>
        <w:t>; increased risk of myocardial depression and bradycardia when suxamethonium given with </w:t>
      </w:r>
      <w:r>
        <w:rPr>
          <w:rFonts w:ascii="Arial"/>
          <w:color w:val="231F1F"/>
          <w:w w:val="355"/>
          <w:position w:val="1"/>
          <w:sz w:val="7"/>
        </w:rPr>
        <w:t>l </w:t>
      </w:r>
      <w:r>
        <w:rPr>
          <w:rFonts w:ascii="Calibri"/>
          <w:color w:val="008356"/>
          <w:w w:val="110"/>
          <w:sz w:val="11"/>
        </w:rPr>
        <w:t>PROPOFOL</w:t>
      </w:r>
      <w:r>
        <w:rPr>
          <w:color w:val="231F1F"/>
          <w:w w:val="110"/>
          <w:sz w:val="12"/>
        </w:rPr>
        <w:t>; effects of non-depolarising muscle relaxants and suxamethonium enhanced by </w:t>
      </w:r>
      <w:r>
        <w:rPr>
          <w:rFonts w:ascii="Calibri"/>
          <w:color w:val="008356"/>
          <w:w w:val="110"/>
          <w:sz w:val="11"/>
        </w:rPr>
        <w:t>VOLATILE LIQUID GENERAL ANAESTHETICS</w:t>
      </w:r>
    </w:p>
    <w:p>
      <w:pPr>
        <w:pStyle w:val="BodyText"/>
        <w:spacing w:line="237" w:lineRule="auto"/>
        <w:ind w:left="286" w:right="43"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excretion of baclofen possibly reduced by </w:t>
      </w:r>
      <w:r>
        <w:rPr>
          <w:rFonts w:ascii="Calibri" w:hAnsi="Calibri"/>
          <w:color w:val="008356"/>
          <w:w w:val="110"/>
          <w:sz w:val="11"/>
        </w:rPr>
        <w:t>NSAID</w:t>
      </w:r>
      <w:r>
        <w:rPr>
          <w:rFonts w:ascii="Calibri" w:hAnsi="Calibri"/>
          <w:color w:val="008356"/>
          <w:w w:val="110"/>
          <w:sz w:val="9"/>
        </w:rPr>
        <w:t>S </w:t>
      </w:r>
      <w:r>
        <w:rPr>
          <w:color w:val="231F1F"/>
          <w:w w:val="110"/>
        </w:rPr>
        <w:t>(increased risk of toxicity); excretion of baclofen reduced by </w:t>
      </w:r>
      <w:r>
        <w:rPr>
          <w:rFonts w:ascii="Calibri" w:hAnsi="Calibri"/>
          <w:color w:val="008356"/>
          <w:w w:val="110"/>
          <w:sz w:val="11"/>
        </w:rPr>
        <w:t>IBUPROFEN </w:t>
      </w:r>
      <w:r>
        <w:rPr>
          <w:color w:val="231F1F"/>
          <w:w w:val="110"/>
        </w:rPr>
        <w:t>(increased risk of toxicity); increased sedative effect when baclofen given with </w:t>
      </w:r>
      <w:r>
        <w:rPr>
          <w:rFonts w:ascii="Calibri" w:hAnsi="Calibri"/>
          <w:color w:val="008356"/>
          <w:w w:val="110"/>
          <w:sz w:val="11"/>
        </w:rPr>
        <w:t>FENTANYL </w:t>
      </w:r>
      <w:r>
        <w:rPr>
          <w:color w:val="231F1F"/>
          <w:w w:val="110"/>
        </w:rPr>
        <w:t>or </w:t>
      </w:r>
      <w:r>
        <w:rPr>
          <w:rFonts w:ascii="Calibri" w:hAnsi="Calibri"/>
          <w:color w:val="008356"/>
          <w:w w:val="110"/>
          <w:sz w:val="11"/>
        </w:rPr>
        <w:t>MORPHINE</w:t>
      </w:r>
    </w:p>
    <w:p>
      <w:pPr>
        <w:spacing w:line="237"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Angiotensin-II Receptor Antagonists: </w:t>
      </w:r>
      <w:r>
        <w:rPr>
          <w:color w:val="231F1F"/>
          <w:w w:val="110"/>
          <w:sz w:val="12"/>
        </w:rPr>
        <w:t>enhanced hypotensive effect when baclofen or tizanidine given with </w:t>
      </w:r>
      <w:r>
        <w:rPr>
          <w:rFonts w:ascii="Calibri" w:hAnsi="Calibri"/>
          <w:color w:val="008356"/>
          <w:w w:val="110"/>
          <w:sz w:val="11"/>
        </w:rPr>
        <w:t>ANGIOTENSIN-II RECEPTOR ANTAGONISTS</w:t>
      </w:r>
    </w:p>
    <w:p>
      <w:pPr>
        <w:pStyle w:val="BodyText"/>
        <w:spacing w:line="220" w:lineRule="auto" w:before="4"/>
        <w:ind w:left="286" w:right="29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Anti-arrhythmics: </w:t>
      </w:r>
      <w:r>
        <w:rPr>
          <w:color w:val="231F1F"/>
          <w:w w:val="110"/>
        </w:rPr>
        <w:t>neuromuscular blockade enhanced and prolonged when suxamethonium given with </w:t>
      </w:r>
      <w:r>
        <w:rPr>
          <w:rFonts w:ascii="Calibri" w:hAnsi="Calibri"/>
          <w:color w:val="008356"/>
          <w:w w:val="110"/>
          <w:sz w:val="11"/>
        </w:rPr>
        <w:t>LIDOCAINE</w:t>
      </w:r>
    </w:p>
    <w:p>
      <w:pPr>
        <w:pStyle w:val="BodyText"/>
        <w:spacing w:line="244" w:lineRule="auto"/>
        <w:ind w:left="286" w:right="101" w:hanging="100"/>
      </w:pPr>
      <w:r>
        <w:rPr>
          <w:rFonts w:ascii="Arial" w:hAnsi="Arial"/>
          <w:color w:val="231F1F"/>
          <w:w w:val="355"/>
          <w:position w:val="1"/>
          <w:sz w:val="7"/>
        </w:rPr>
        <w:t>l </w:t>
      </w:r>
      <w:r>
        <w:rPr>
          <w:rFonts w:ascii="Calibri" w:hAnsi="Calibri"/>
          <w:color w:val="231F1F"/>
          <w:w w:val="110"/>
        </w:rPr>
        <w:t>Antibacterials: </w:t>
      </w:r>
      <w:r>
        <w:rPr>
          <w:color w:val="231F1F"/>
          <w:w w:val="110"/>
        </w:rPr>
        <w:t>effects of non-depolarising muscle relaxants and suxamethonium enhanced by </w:t>
      </w:r>
      <w:r>
        <w:rPr>
          <w:rFonts w:ascii="Calibri" w:hAnsi="Calibri"/>
          <w:color w:val="008356"/>
          <w:w w:val="110"/>
          <w:sz w:val="11"/>
        </w:rPr>
        <w:t>PIPERACILLIN</w:t>
      </w:r>
      <w:r>
        <w:rPr>
          <w:color w:val="231F1F"/>
          <w:w w:val="110"/>
        </w:rPr>
        <w:t>; plasma concentration of tizanidine increased by </w:t>
      </w:r>
      <w:r>
        <w:rPr>
          <w:rFonts w:ascii="Arial" w:hAnsi="Arial"/>
          <w:color w:val="231F1F"/>
          <w:w w:val="355"/>
          <w:position w:val="1"/>
          <w:sz w:val="7"/>
        </w:rPr>
        <w:t>l </w:t>
      </w:r>
      <w:r>
        <w:rPr>
          <w:rFonts w:ascii="Calibri" w:hAnsi="Calibri"/>
          <w:color w:val="008356"/>
          <w:w w:val="110"/>
          <w:sz w:val="11"/>
        </w:rPr>
        <w:t>CIPROFLOXACIN </w:t>
      </w:r>
      <w:r>
        <w:rPr>
          <w:color w:val="231F1F"/>
          <w:w w:val="110"/>
        </w:rPr>
        <w:t>(increased risk of toxicity)</w:t>
      </w:r>
      <w:r>
        <w:rPr>
          <w:rFonts w:ascii="Arial" w:hAnsi="Arial"/>
          <w:color w:val="231F1F"/>
          <w:w w:val="110"/>
        </w:rPr>
        <w:t>—</w:t>
      </w:r>
      <w:r>
        <w:rPr>
          <w:color w:val="231F1F"/>
          <w:w w:val="110"/>
        </w:rPr>
        <w:t>avoid concomitant use; plasma concentration of tizanidine possibly increased by </w:t>
      </w:r>
      <w:r>
        <w:rPr>
          <w:rFonts w:ascii="Calibri" w:hAnsi="Calibri"/>
          <w:color w:val="008356"/>
          <w:w w:val="110"/>
          <w:sz w:val="11"/>
        </w:rPr>
        <w:t>NORFLOXACIN </w:t>
      </w:r>
      <w:r>
        <w:rPr>
          <w:color w:val="231F1F"/>
          <w:w w:val="110"/>
        </w:rPr>
        <w:t>(increased risk of toxicity); plasma concentration of tizanidine possibly reduced by </w:t>
      </w:r>
      <w:r>
        <w:rPr>
          <w:rFonts w:ascii="Calibri" w:hAnsi="Calibri"/>
          <w:color w:val="008356"/>
          <w:w w:val="110"/>
          <w:sz w:val="11"/>
        </w:rPr>
        <w:t>RIFAMPICIN</w:t>
      </w:r>
      <w:r>
        <w:rPr>
          <w:color w:val="231F1F"/>
          <w:w w:val="110"/>
        </w:rPr>
        <w:t>; effects of non-depolarising muscle relaxants and suxamethonium enhanced by </w:t>
      </w:r>
      <w:r>
        <w:rPr>
          <w:rFonts w:ascii="Arial" w:hAnsi="Arial"/>
          <w:color w:val="231F1F"/>
          <w:w w:val="355"/>
          <w:position w:val="1"/>
          <w:sz w:val="7"/>
        </w:rPr>
        <w:t>l </w:t>
      </w:r>
      <w:r>
        <w:rPr>
          <w:rFonts w:ascii="Calibri" w:hAnsi="Calibri"/>
          <w:color w:val="008356"/>
          <w:w w:val="110"/>
          <w:sz w:val="11"/>
        </w:rPr>
        <w:t>AMINOGLYCOSIDES</w:t>
      </w:r>
      <w:r>
        <w:rPr>
          <w:color w:val="231F1F"/>
          <w:w w:val="110"/>
        </w:rPr>
        <w:t>; effects of non-depolarising muscle relaxants and suxamethonium enhanced by </w:t>
      </w:r>
      <w:r>
        <w:rPr>
          <w:rFonts w:ascii="Arial" w:hAnsi="Arial"/>
          <w:color w:val="231F1F"/>
          <w:w w:val="355"/>
          <w:position w:val="1"/>
          <w:sz w:val="7"/>
        </w:rPr>
        <w:t>l </w:t>
      </w:r>
      <w:r>
        <w:rPr>
          <w:rFonts w:ascii="Calibri" w:hAnsi="Calibri"/>
          <w:color w:val="008356"/>
          <w:w w:val="110"/>
          <w:sz w:val="11"/>
        </w:rPr>
        <w:t>CLINDAMYCIN</w:t>
      </w:r>
      <w:r>
        <w:rPr>
          <w:color w:val="231F1F"/>
          <w:w w:val="110"/>
        </w:rPr>
        <w:t>; effects of non-depolarising muscle relaxants and suxamethonium enhanced by</w:t>
      </w:r>
    </w:p>
    <w:p>
      <w:pPr>
        <w:spacing w:before="4"/>
        <w:ind w:left="286" w:right="0" w:firstLine="0"/>
        <w:jc w:val="left"/>
        <w:rPr>
          <w:sz w:val="12"/>
        </w:rPr>
      </w:pPr>
      <w:r>
        <w:rPr>
          <w:rFonts w:ascii="Arial"/>
          <w:color w:val="231F1F"/>
          <w:w w:val="355"/>
          <w:position w:val="1"/>
          <w:sz w:val="7"/>
        </w:rPr>
        <w:t>l </w:t>
      </w:r>
      <w:r>
        <w:rPr>
          <w:rFonts w:ascii="Calibri"/>
          <w:color w:val="008356"/>
          <w:w w:val="115"/>
          <w:sz w:val="11"/>
        </w:rPr>
        <w:t>POLYMYXINS</w:t>
      </w:r>
      <w:r>
        <w:rPr>
          <w:color w:val="231F1F"/>
          <w:w w:val="115"/>
          <w:sz w:val="12"/>
        </w:rPr>
        <w:t>; effects of suxamethonium enhanced by</w:t>
      </w:r>
    </w:p>
    <w:p>
      <w:pPr>
        <w:spacing w:line="133" w:lineRule="exact" w:before="9"/>
        <w:ind w:left="286" w:right="0" w:firstLine="0"/>
        <w:jc w:val="left"/>
        <w:rPr>
          <w:rFonts w:ascii="Calibri"/>
          <w:sz w:val="11"/>
        </w:rPr>
      </w:pPr>
      <w:r>
        <w:rPr>
          <w:rFonts w:ascii="Arial"/>
          <w:color w:val="231F1F"/>
          <w:w w:val="355"/>
          <w:position w:val="1"/>
          <w:sz w:val="7"/>
        </w:rPr>
        <w:t>l </w:t>
      </w:r>
      <w:r>
        <w:rPr>
          <w:rFonts w:ascii="Calibri"/>
          <w:color w:val="008356"/>
          <w:w w:val="115"/>
          <w:sz w:val="11"/>
        </w:rPr>
        <w:t>VANCOMYCIN</w:t>
      </w:r>
    </w:p>
    <w:p>
      <w:pPr>
        <w:pStyle w:val="BodyText"/>
        <w:spacing w:line="247" w:lineRule="auto"/>
        <w:ind w:left="286" w:right="7"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tizanidine increased by </w:t>
      </w:r>
      <w:r>
        <w:rPr>
          <w:rFonts w:ascii="Arial" w:hAnsi="Arial"/>
          <w:color w:val="231F1F"/>
          <w:w w:val="355"/>
          <w:position w:val="1"/>
          <w:sz w:val="7"/>
        </w:rPr>
        <w:t>l </w:t>
      </w:r>
      <w:r>
        <w:rPr>
          <w:rFonts w:ascii="Calibri" w:hAnsi="Calibri"/>
          <w:color w:val="008356"/>
          <w:w w:val="110"/>
          <w:sz w:val="11"/>
        </w:rPr>
        <w:t>FLUVOXAMINE </w:t>
      </w:r>
      <w:r>
        <w:rPr>
          <w:color w:val="231F1F"/>
          <w:w w:val="110"/>
        </w:rPr>
        <w:t>(increased risk of toxicity)</w:t>
      </w:r>
      <w:r>
        <w:rPr>
          <w:rFonts w:ascii="Arial" w:hAnsi="Arial"/>
          <w:color w:val="231F1F"/>
          <w:w w:val="110"/>
        </w:rPr>
        <w:t>—</w:t>
      </w:r>
      <w:r>
        <w:rPr>
          <w:color w:val="231F1F"/>
          <w:w w:val="110"/>
        </w:rPr>
        <w:t>avoid concomitant use; effects of suxamethonium enhanced by </w:t>
      </w:r>
      <w:r>
        <w:rPr>
          <w:rFonts w:ascii="Calibri" w:hAnsi="Calibri"/>
          <w:color w:val="008356"/>
          <w:w w:val="110"/>
          <w:sz w:val="11"/>
        </w:rPr>
        <w:t>PHENELZINE</w:t>
      </w:r>
      <w:r>
        <w:rPr>
          <w:color w:val="231F1F"/>
          <w:w w:val="110"/>
        </w:rPr>
        <w:t>; muscle relaxant effect of baclofen enhanced by </w:t>
      </w:r>
      <w:r>
        <w:rPr>
          <w:rFonts w:ascii="Calibri" w:hAnsi="Calibri"/>
          <w:color w:val="008356"/>
          <w:w w:val="110"/>
          <w:sz w:val="11"/>
        </w:rPr>
        <w:t>TRICYCLICS</w:t>
      </w:r>
    </w:p>
    <w:p>
      <w:pPr>
        <w:pStyle w:val="BodyText"/>
        <w:spacing w:line="138" w:lineRule="exact"/>
        <w:ind w:left="186"/>
      </w:pPr>
      <w:r>
        <w:rPr>
          <w:rFonts w:ascii="Arial"/>
          <w:color w:val="231F1F"/>
          <w:w w:val="355"/>
          <w:position w:val="1"/>
          <w:sz w:val="7"/>
        </w:rPr>
        <w:t>l </w:t>
      </w:r>
      <w:r>
        <w:rPr>
          <w:rFonts w:ascii="Calibri"/>
          <w:color w:val="231F1F"/>
          <w:w w:val="115"/>
        </w:rPr>
        <w:t>Antiepileptics: </w:t>
      </w:r>
      <w:r>
        <w:rPr>
          <w:color w:val="231F1F"/>
          <w:w w:val="115"/>
        </w:rPr>
        <w:t>muscle relaxant effect of non-depolarising</w:t>
      </w:r>
    </w:p>
    <w:p>
      <w:pPr>
        <w:pStyle w:val="BodyText"/>
        <w:spacing w:line="247" w:lineRule="auto"/>
        <w:ind w:left="286" w:hanging="1"/>
      </w:pPr>
      <w:r>
        <w:rPr>
          <w:color w:val="231F1F"/>
          <w:w w:val="110"/>
        </w:rPr>
        <w:t>muscle relaxants antagonised by </w:t>
      </w:r>
      <w:r>
        <w:rPr>
          <w:rFonts w:ascii="Calibri"/>
          <w:color w:val="008356"/>
          <w:w w:val="110"/>
          <w:sz w:val="11"/>
        </w:rPr>
        <w:t>CARBAMAZEPINE </w:t>
      </w:r>
      <w:r>
        <w:rPr>
          <w:color w:val="231F1F"/>
          <w:w w:val="110"/>
        </w:rPr>
        <w:t>(accelerated </w:t>
      </w:r>
      <w:r>
        <w:rPr>
          <w:color w:val="231F1F"/>
          <w:w w:val="115"/>
        </w:rPr>
        <w:t>recovery from neuromuscular blockade); effects of non- depolarising muscle relaxants reduced by </w:t>
      </w:r>
      <w:r>
        <w:rPr>
          <w:i/>
          <w:color w:val="231F1F"/>
          <w:w w:val="115"/>
        </w:rPr>
        <w:t>long-term use </w:t>
      </w:r>
      <w:r>
        <w:rPr>
          <w:color w:val="231F1F"/>
          <w:w w:val="115"/>
        </w:rPr>
        <w:t>of</w:t>
      </w:r>
    </w:p>
    <w:p>
      <w:pPr>
        <w:spacing w:line="247" w:lineRule="auto" w:before="0"/>
        <w:ind w:left="286" w:right="145" w:firstLine="0"/>
        <w:jc w:val="left"/>
        <w:rPr>
          <w:sz w:val="12"/>
        </w:rPr>
      </w:pP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 </w:t>
      </w:r>
      <w:r>
        <w:rPr>
          <w:color w:val="231F1F"/>
          <w:w w:val="110"/>
          <w:sz w:val="12"/>
        </w:rPr>
        <w:t>(but effects of non- depolarising muscle relaxants might be increased by </w:t>
      </w:r>
      <w:r>
        <w:rPr>
          <w:i/>
          <w:color w:val="231F1F"/>
          <w:w w:val="110"/>
          <w:sz w:val="12"/>
        </w:rPr>
        <w:t>acute </w:t>
      </w:r>
      <w:r>
        <w:rPr>
          <w:i/>
          <w:color w:val="231F1F"/>
          <w:w w:val="110"/>
          <w:sz w:val="12"/>
        </w:rPr>
        <w:t>use </w:t>
      </w:r>
      <w:r>
        <w:rPr>
          <w:color w:val="231F1F"/>
          <w:w w:val="110"/>
          <w:sz w:val="12"/>
        </w:rPr>
        <w:t>of fosphenytoin and phenytoin)</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Antimalarials: </w:t>
      </w:r>
      <w:r>
        <w:rPr>
          <w:color w:val="231F1F"/>
          <w:w w:val="105"/>
        </w:rPr>
        <w:t>effects of suxamethonium possibly enhanced by</w:t>
      </w:r>
    </w:p>
    <w:p>
      <w:pPr>
        <w:spacing w:line="130" w:lineRule="exact" w:before="0"/>
        <w:ind w:left="286" w:right="0" w:firstLine="0"/>
        <w:jc w:val="left"/>
        <w:rPr>
          <w:rFonts w:ascii="Calibri"/>
          <w:sz w:val="11"/>
        </w:rPr>
      </w:pPr>
      <w:r>
        <w:rPr>
          <w:rFonts w:ascii="Calibri"/>
          <w:color w:val="008356"/>
          <w:sz w:val="11"/>
        </w:rPr>
        <w:t>QUININE</w:t>
      </w:r>
    </w:p>
    <w:p>
      <w:pPr>
        <w:pStyle w:val="BodyText"/>
        <w:spacing w:line="220" w:lineRule="auto" w:before="7"/>
        <w:ind w:left="286" w:right="14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suxamethonium possibly enhanced by </w:t>
      </w:r>
      <w:r>
        <w:rPr>
          <w:rFonts w:ascii="Calibri" w:hAnsi="Calibri"/>
          <w:color w:val="008356"/>
          <w:spacing w:val="4"/>
          <w:w w:val="105"/>
          <w:sz w:val="11"/>
        </w:rPr>
        <w:t>PROMAZINE</w:t>
      </w:r>
    </w:p>
    <w:p>
      <w:pPr>
        <w:spacing w:line="220" w:lineRule="auto" w:before="8"/>
        <w:ind w:left="286" w:right="1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baclofen or tizanidine given with </w:t>
      </w:r>
      <w:r>
        <w:rPr>
          <w:rFonts w:ascii="Calibri" w:hAnsi="Calibri"/>
          <w:color w:val="008356"/>
          <w:w w:val="105"/>
          <w:sz w:val="11"/>
        </w:rPr>
        <w:t>ANXIOLYTICS AND HYPNOTICS</w:t>
      </w:r>
    </w:p>
    <w:p>
      <w:pPr>
        <w:pStyle w:val="BodyText"/>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baclofen given with </w:t>
      </w:r>
      <w:r>
        <w:rPr>
          <w:rFonts w:ascii="Calibri" w:hAnsi="Calibri"/>
          <w:color w:val="008356"/>
          <w:w w:val="110"/>
          <w:sz w:val="11"/>
        </w:rPr>
        <w:t>BETA-BLOCKERS</w:t>
      </w:r>
      <w:r>
        <w:rPr>
          <w:color w:val="231F1F"/>
          <w:w w:val="110"/>
        </w:rPr>
        <w:t>; possible enhanced hypotensive effect and bradycardia when tizanidine given with </w:t>
      </w:r>
      <w:r>
        <w:rPr>
          <w:rFonts w:ascii="Calibri" w:hAnsi="Calibri"/>
          <w:color w:val="008356"/>
          <w:w w:val="110"/>
          <w:sz w:val="11"/>
        </w:rPr>
        <w:t>BETA- BLOCKERS</w:t>
      </w:r>
      <w:r>
        <w:rPr>
          <w:color w:val="231F1F"/>
          <w:w w:val="110"/>
        </w:rPr>
        <w:t>; effects of muscle relaxants enhanced by </w:t>
      </w:r>
      <w:r>
        <w:rPr>
          <w:rFonts w:ascii="Calibri" w:hAnsi="Calibri"/>
          <w:color w:val="008356"/>
          <w:w w:val="110"/>
          <w:sz w:val="11"/>
        </w:rPr>
        <w:t>PROPRANOLOL</w:t>
      </w:r>
    </w:p>
    <w:p>
      <w:pPr>
        <w:spacing w:line="220" w:lineRule="auto" w:before="7"/>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baclofen or tizanidine given with </w:t>
      </w:r>
      <w:r>
        <w:rPr>
          <w:rFonts w:ascii="Calibri" w:hAnsi="Calibri"/>
          <w:color w:val="008356"/>
          <w:w w:val="105"/>
          <w:sz w:val="11"/>
        </w:rPr>
        <w:t>CALCIUM-CHANNEL BLOCKERS</w:t>
      </w:r>
      <w:r>
        <w:rPr>
          <w:color w:val="231F1F"/>
          <w:w w:val="105"/>
          <w:sz w:val="12"/>
        </w:rPr>
        <w:t>;</w:t>
      </w:r>
    </w:p>
    <w:p>
      <w:pPr>
        <w:pStyle w:val="BodyText"/>
        <w:spacing w:before="8"/>
        <w:ind w:left="0"/>
        <w:rPr>
          <w:sz w:val="14"/>
        </w:rPr>
      </w:pPr>
      <w:r>
        <w:rPr/>
        <w:br w:type="column"/>
      </w:r>
      <w:r>
        <w:rPr>
          <w:sz w:val="14"/>
        </w:rPr>
      </w:r>
    </w:p>
    <w:p>
      <w:pPr>
        <w:pStyle w:val="BodyText"/>
        <w:spacing w:before="1"/>
        <w:ind w:left="187"/>
        <w:rPr>
          <w:rFonts w:ascii="Arial"/>
        </w:rPr>
      </w:pPr>
      <w:r>
        <w:rPr>
          <w:rFonts w:ascii="Arial"/>
          <w:color w:val="008356"/>
        </w:rPr>
        <w:t>Muscle Relaxants</w:t>
      </w:r>
    </w:p>
    <w:p>
      <w:pPr>
        <w:pStyle w:val="BodyText"/>
        <w:spacing w:line="146" w:lineRule="exact" w:before="4"/>
        <w:ind w:left="286"/>
        <w:rPr>
          <w:rFonts w:ascii="Calibri"/>
        </w:rPr>
      </w:pPr>
      <w:r>
        <w:rPr>
          <w:rFonts w:ascii="Calibri"/>
          <w:color w:val="231F1F"/>
        </w:rPr>
        <w:t>Calcium-channel Blockers (continued)</w:t>
      </w:r>
    </w:p>
    <w:p>
      <w:pPr>
        <w:pStyle w:val="BodyText"/>
        <w:spacing w:line="247" w:lineRule="auto"/>
        <w:ind w:left="286" w:right="634"/>
        <w:rPr>
          <w:rFonts w:ascii="Calibri" w:hAnsi="Calibri"/>
          <w:sz w:val="11"/>
        </w:rPr>
      </w:pPr>
      <w:r>
        <w:rPr>
          <w:color w:val="231F1F"/>
          <w:w w:val="110"/>
        </w:rPr>
        <w:t>effects of non-depolarising muscle relaxants possibly enhanced</w:t>
      </w:r>
      <w:r>
        <w:rPr>
          <w:color w:val="231F1F"/>
          <w:spacing w:val="-13"/>
          <w:w w:val="110"/>
        </w:rPr>
        <w:t> </w:t>
      </w:r>
      <w:r>
        <w:rPr>
          <w:color w:val="231F1F"/>
          <w:w w:val="110"/>
        </w:rPr>
        <w:t>by</w:t>
      </w:r>
      <w:r>
        <w:rPr>
          <w:color w:val="231F1F"/>
          <w:spacing w:val="-13"/>
          <w:w w:val="110"/>
        </w:rPr>
        <w:t> </w:t>
      </w:r>
      <w:r>
        <w:rPr>
          <w:rFonts w:ascii="Calibri" w:hAnsi="Calibri"/>
          <w:color w:val="008356"/>
          <w:spacing w:val="4"/>
          <w:w w:val="110"/>
          <w:sz w:val="11"/>
        </w:rPr>
        <w:t>CALCIUM-CHANNEL</w:t>
      </w:r>
      <w:r>
        <w:rPr>
          <w:rFonts w:ascii="Calibri" w:hAnsi="Calibri"/>
          <w:color w:val="008356"/>
          <w:spacing w:val="-6"/>
          <w:w w:val="110"/>
          <w:sz w:val="11"/>
        </w:rPr>
        <w:t> </w:t>
      </w:r>
      <w:r>
        <w:rPr>
          <w:rFonts w:ascii="Calibri" w:hAnsi="Calibri"/>
          <w:color w:val="008356"/>
          <w:spacing w:val="4"/>
          <w:w w:val="110"/>
          <w:sz w:val="11"/>
        </w:rPr>
        <w:t>BLOCKERS</w:t>
      </w:r>
      <w:r>
        <w:rPr>
          <w:color w:val="231F1F"/>
          <w:spacing w:val="4"/>
          <w:w w:val="110"/>
        </w:rPr>
        <w:t>;</w:t>
      </w:r>
      <w:r>
        <w:rPr>
          <w:color w:val="231F1F"/>
          <w:spacing w:val="-13"/>
          <w:w w:val="110"/>
        </w:rPr>
        <w:t> </w:t>
      </w:r>
      <w:r>
        <w:rPr>
          <w:color w:val="231F1F"/>
          <w:w w:val="110"/>
        </w:rPr>
        <w:t>possible</w:t>
      </w:r>
      <w:r>
        <w:rPr>
          <w:color w:val="231F1F"/>
          <w:spacing w:val="-13"/>
          <w:w w:val="110"/>
        </w:rPr>
        <w:t> </w:t>
      </w:r>
      <w:r>
        <w:rPr>
          <w:color w:val="231F1F"/>
          <w:w w:val="110"/>
        </w:rPr>
        <w:t>increased risk of ventricular arrhythmias when </w:t>
      </w:r>
      <w:r>
        <w:rPr>
          <w:i/>
          <w:color w:val="231F1F"/>
          <w:w w:val="110"/>
        </w:rPr>
        <w:t>intravenous </w:t>
      </w:r>
      <w:r>
        <w:rPr>
          <w:color w:val="231F1F"/>
          <w:w w:val="110"/>
        </w:rPr>
        <w:t>dantrolene given with </w:t>
      </w:r>
      <w:r>
        <w:rPr>
          <w:rFonts w:ascii="Calibri" w:hAnsi="Calibri"/>
          <w:color w:val="008356"/>
          <w:w w:val="110"/>
          <w:sz w:val="11"/>
        </w:rPr>
        <w:t>DILTIAZEM</w:t>
      </w:r>
      <w:r>
        <w:rPr>
          <w:rFonts w:ascii="Arial" w:hAnsi="Arial"/>
          <w:color w:val="231F1F"/>
          <w:w w:val="110"/>
        </w:rPr>
        <w:t>—</w:t>
      </w:r>
      <w:r>
        <w:rPr>
          <w:color w:val="231F1F"/>
          <w:w w:val="110"/>
        </w:rPr>
        <w:t>manufacturer of diltiazem advises avoid concomitant use; effects of non-depolarising muscle relaxants and suxamethonium enhanced by </w:t>
      </w:r>
      <w:r>
        <w:rPr>
          <w:rFonts w:ascii="Calibri" w:hAnsi="Calibri"/>
          <w:color w:val="008356"/>
          <w:spacing w:val="4"/>
          <w:w w:val="110"/>
          <w:sz w:val="11"/>
        </w:rPr>
        <w:t>VERAPAMIL</w:t>
      </w:r>
      <w:r>
        <w:rPr>
          <w:color w:val="231F1F"/>
          <w:spacing w:val="4"/>
          <w:w w:val="110"/>
        </w:rPr>
        <w:t>; </w:t>
      </w:r>
      <w:r>
        <w:rPr>
          <w:color w:val="231F1F"/>
          <w:w w:val="110"/>
        </w:rPr>
        <w:t>avoidance of </w:t>
      </w:r>
      <w:r>
        <w:rPr>
          <w:i/>
          <w:color w:val="231F1F"/>
          <w:w w:val="110"/>
        </w:rPr>
        <w:t>intravenous </w:t>
      </w:r>
      <w:r>
        <w:rPr>
          <w:color w:val="231F1F"/>
          <w:w w:val="110"/>
        </w:rPr>
        <w:t>dantrolene advised by </w:t>
      </w:r>
      <w:r>
        <w:rPr>
          <w:color w:val="231F1F"/>
          <w:spacing w:val="-2"/>
          <w:w w:val="110"/>
        </w:rPr>
        <w:t>manufacturer </w:t>
      </w:r>
      <w:r>
        <w:rPr>
          <w:color w:val="231F1F"/>
          <w:w w:val="110"/>
        </w:rPr>
        <w:t>of</w:t>
      </w:r>
      <w:r>
        <w:rPr>
          <w:color w:val="231F1F"/>
          <w:spacing w:val="-2"/>
          <w:w w:val="110"/>
        </w:rPr>
        <w:t> </w:t>
      </w:r>
      <w:r>
        <w:rPr>
          <w:rFonts w:ascii="Calibri" w:hAnsi="Calibri"/>
          <w:color w:val="008356"/>
          <w:spacing w:val="4"/>
          <w:w w:val="110"/>
          <w:sz w:val="11"/>
        </w:rPr>
        <w:t>VERAPAMIL</w:t>
      </w:r>
    </w:p>
    <w:p>
      <w:pPr>
        <w:pStyle w:val="BodyText"/>
        <w:spacing w:line="230" w:lineRule="auto"/>
        <w:ind w:left="286" w:right="482" w:hanging="100"/>
        <w:rPr>
          <w:rFonts w:ascii="Calibri" w:hAnsi="Calibri"/>
          <w:sz w:val="11"/>
        </w:rPr>
      </w:pPr>
      <w:r>
        <w:rPr>
          <w:rFonts w:ascii="Lucida Sans Unicode" w:hAnsi="Lucida Sans Unicode"/>
          <w:color w:val="A7A8AC"/>
          <w:w w:val="95"/>
          <w:sz w:val="10"/>
        </w:rPr>
        <w:t>▶ </w:t>
      </w:r>
      <w:r>
        <w:rPr>
          <w:rFonts w:ascii="Calibri" w:hAnsi="Calibri"/>
          <w:color w:val="231F1F"/>
          <w:w w:val="110"/>
        </w:rPr>
        <w:t>Cardiac Glycosides: </w:t>
      </w:r>
      <w:r>
        <w:rPr>
          <w:color w:val="231F1F"/>
          <w:w w:val="110"/>
        </w:rPr>
        <w:t>possible increased risk of bradycardia when tizanidine given with </w:t>
      </w:r>
      <w:r>
        <w:rPr>
          <w:rFonts w:ascii="Calibri" w:hAnsi="Calibri"/>
          <w:color w:val="008356"/>
          <w:w w:val="110"/>
          <w:sz w:val="11"/>
        </w:rPr>
        <w:t>CARDIAC GLYCOSIDES</w:t>
      </w:r>
      <w:r>
        <w:rPr>
          <w:color w:val="231F1F"/>
          <w:w w:val="110"/>
        </w:rPr>
        <w:t>; risk of ventricular arrhythmias when suxamethonium given with </w:t>
      </w:r>
      <w:r>
        <w:rPr>
          <w:rFonts w:ascii="Calibri" w:hAnsi="Calibri"/>
          <w:color w:val="008356"/>
          <w:w w:val="110"/>
          <w:sz w:val="11"/>
        </w:rPr>
        <w:t>CARDIAC</w:t>
      </w:r>
    </w:p>
    <w:p>
      <w:pPr>
        <w:spacing w:line="133" w:lineRule="exact" w:before="6"/>
        <w:ind w:left="286" w:right="0" w:firstLine="0"/>
        <w:jc w:val="left"/>
        <w:rPr>
          <w:rFonts w:ascii="Calibri"/>
          <w:sz w:val="11"/>
        </w:rPr>
      </w:pPr>
      <w:r>
        <w:rPr>
          <w:rFonts w:ascii="Calibri"/>
          <w:color w:val="008356"/>
          <w:sz w:val="11"/>
        </w:rPr>
        <w:t>GLYCOSIDES</w:t>
      </w:r>
    </w:p>
    <w:p>
      <w:pPr>
        <w:pStyle w:val="BodyText"/>
        <w:spacing w:line="220" w:lineRule="auto" w:before="8"/>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baclofen or tizanidine given with </w:t>
      </w:r>
      <w:r>
        <w:rPr>
          <w:rFonts w:ascii="Calibri" w:hAnsi="Calibri"/>
          <w:color w:val="008356"/>
          <w:w w:val="110"/>
          <w:sz w:val="11"/>
        </w:rPr>
        <w:t>CLONIDINE</w:t>
      </w:r>
    </w:p>
    <w:p>
      <w:pPr>
        <w:pStyle w:val="BodyText"/>
        <w:spacing w:line="220" w:lineRule="auto" w:before="8"/>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effects of pancuronium and vecuronium possibly antagonised by </w:t>
      </w:r>
      <w:r>
        <w:rPr>
          <w:rFonts w:ascii="Calibri" w:hAnsi="Calibri"/>
          <w:color w:val="008356"/>
          <w:w w:val="105"/>
          <w:sz w:val="11"/>
        </w:rPr>
        <w:t>CORTICOSTEROIDS</w:t>
      </w:r>
    </w:p>
    <w:p>
      <w:pPr>
        <w:pStyle w:val="BodyText"/>
        <w:spacing w:line="152" w:lineRule="exact" w:before="1"/>
        <w:ind w:left="186"/>
      </w:pPr>
      <w:r>
        <w:rPr>
          <w:rFonts w:ascii="Lucida Sans Unicode" w:hAnsi="Lucida Sans Unicode"/>
          <w:color w:val="A7A8AC"/>
          <w:w w:val="95"/>
          <w:sz w:val="10"/>
        </w:rPr>
        <w:t>▶ </w:t>
      </w:r>
      <w:r>
        <w:rPr>
          <w:rFonts w:ascii="Calibri" w:hAnsi="Calibri"/>
          <w:color w:val="231F1F"/>
          <w:w w:val="105"/>
        </w:rPr>
        <w:t>Cytotoxics: </w:t>
      </w:r>
      <w:r>
        <w:rPr>
          <w:color w:val="231F1F"/>
          <w:w w:val="105"/>
        </w:rPr>
        <w:t>effects of suxamethonium enhanced by</w:t>
      </w:r>
    </w:p>
    <w:p>
      <w:pPr>
        <w:spacing w:line="134" w:lineRule="exact" w:before="0"/>
        <w:ind w:left="286" w:right="0" w:firstLine="0"/>
        <w:jc w:val="left"/>
        <w:rPr>
          <w:rFonts w:ascii="Calibri"/>
          <w:sz w:val="11"/>
        </w:rPr>
      </w:pPr>
      <w:r>
        <w:rPr>
          <w:rFonts w:ascii="Calibri"/>
          <w:color w:val="008356"/>
          <w:w w:val="105"/>
          <w:sz w:val="11"/>
        </w:rPr>
        <w:t>CYCLOPHOSPHAMIDE </w:t>
      </w:r>
      <w:r>
        <w:rPr>
          <w:color w:val="231F1F"/>
          <w:w w:val="105"/>
          <w:sz w:val="12"/>
        </w:rPr>
        <w:t>and </w:t>
      </w:r>
      <w:r>
        <w:rPr>
          <w:rFonts w:ascii="Calibri"/>
          <w:color w:val="008356"/>
          <w:w w:val="105"/>
          <w:sz w:val="11"/>
        </w:rPr>
        <w:t>THIOTEPA</w:t>
      </w:r>
    </w:p>
    <w:p>
      <w:pPr>
        <w:pStyle w:val="BodyText"/>
        <w:spacing w:line="220" w:lineRule="auto" w:before="7"/>
        <w:ind w:left="286" w:right="767" w:hanging="100"/>
        <w:rPr>
          <w:rFonts w:ascii="Calibri" w:hAnsi="Calibri"/>
          <w:sz w:val="11"/>
        </w:rPr>
      </w:pPr>
      <w:r>
        <w:rPr>
          <w:rFonts w:ascii="Lucida Sans Unicode" w:hAnsi="Lucida Sans Unicode"/>
          <w:color w:val="A7A8AC"/>
          <w:w w:val="95"/>
          <w:sz w:val="10"/>
        </w:rPr>
        <w:t>▶ </w:t>
      </w:r>
      <w:r>
        <w:rPr>
          <w:rFonts w:ascii="Calibri" w:hAnsi="Calibri"/>
          <w:color w:val="231F1F"/>
          <w:w w:val="105"/>
        </w:rPr>
        <w:t>Deferasirox:  </w:t>
      </w:r>
      <w:r>
        <w:rPr>
          <w:color w:val="231F1F"/>
          <w:w w:val="105"/>
        </w:rPr>
        <w:t>avoidance of tizanidine advised by manufacturer  of </w:t>
      </w:r>
      <w:r>
        <w:rPr>
          <w:rFonts w:ascii="Calibri" w:hAnsi="Calibri"/>
          <w:color w:val="008356"/>
          <w:spacing w:val="4"/>
          <w:w w:val="105"/>
          <w:sz w:val="11"/>
        </w:rPr>
        <w:t>DEFERASIROX</w:t>
      </w:r>
    </w:p>
    <w:p>
      <w:pPr>
        <w:pStyle w:val="BodyText"/>
        <w:spacing w:line="220" w:lineRule="auto" w:before="9"/>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baclofen </w:t>
      </w:r>
      <w:r>
        <w:rPr>
          <w:color w:val="231F1F"/>
          <w:spacing w:val="-7"/>
          <w:w w:val="110"/>
        </w:rPr>
        <w:t>or </w:t>
      </w:r>
      <w:r>
        <w:rPr>
          <w:color w:val="231F1F"/>
          <w:w w:val="110"/>
        </w:rPr>
        <w:t>tizanidine given with</w:t>
      </w:r>
      <w:r>
        <w:rPr>
          <w:color w:val="231F1F"/>
          <w:spacing w:val="-7"/>
          <w:w w:val="110"/>
        </w:rPr>
        <w:t> </w:t>
      </w:r>
      <w:r>
        <w:rPr>
          <w:rFonts w:ascii="Calibri" w:hAnsi="Calibri"/>
          <w:color w:val="008356"/>
          <w:spacing w:val="4"/>
          <w:w w:val="110"/>
          <w:sz w:val="11"/>
        </w:rPr>
        <w:t>DIAZOXIDE</w:t>
      </w:r>
    </w:p>
    <w:p>
      <w:pPr>
        <w:pStyle w:val="BodyText"/>
        <w:spacing w:line="220" w:lineRule="auto" w:before="9"/>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baclofen </w:t>
      </w:r>
      <w:r>
        <w:rPr>
          <w:color w:val="231F1F"/>
          <w:spacing w:val="-7"/>
          <w:w w:val="110"/>
        </w:rPr>
        <w:t>or </w:t>
      </w:r>
      <w:r>
        <w:rPr>
          <w:color w:val="231F1F"/>
          <w:w w:val="110"/>
        </w:rPr>
        <w:t>tizanidine given with</w:t>
      </w:r>
      <w:r>
        <w:rPr>
          <w:color w:val="231F1F"/>
          <w:spacing w:val="-7"/>
          <w:w w:val="110"/>
        </w:rPr>
        <w:t> </w:t>
      </w:r>
      <w:r>
        <w:rPr>
          <w:rFonts w:ascii="Calibri" w:hAnsi="Calibri"/>
          <w:color w:val="008356"/>
          <w:spacing w:val="5"/>
          <w:w w:val="110"/>
          <w:sz w:val="11"/>
        </w:rPr>
        <w:t>DIURETICS</w:t>
      </w:r>
    </w:p>
    <w:p>
      <w:pPr>
        <w:spacing w:line="230" w:lineRule="auto" w:before="4"/>
        <w:ind w:left="286" w:right="76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possible agitation, confusion and hallucinations when baclofen given with </w:t>
      </w:r>
      <w:r>
        <w:rPr>
          <w:rFonts w:ascii="Calibri" w:hAnsi="Calibri"/>
          <w:color w:val="008356"/>
          <w:spacing w:val="4"/>
          <w:w w:val="105"/>
          <w:sz w:val="11"/>
        </w:rPr>
        <w:t>CO-BENELDOPA</w:t>
      </w:r>
      <w:r>
        <w:rPr>
          <w:color w:val="231F1F"/>
          <w:spacing w:val="4"/>
          <w:w w:val="105"/>
          <w:sz w:val="12"/>
        </w:rPr>
        <w:t>, </w:t>
      </w:r>
      <w:r>
        <w:rPr>
          <w:rFonts w:ascii="Calibri" w:hAnsi="Calibri"/>
          <w:color w:val="008356"/>
          <w:spacing w:val="5"/>
          <w:w w:val="105"/>
          <w:sz w:val="11"/>
        </w:rPr>
        <w:t>CO- </w:t>
      </w:r>
      <w:r>
        <w:rPr>
          <w:rFonts w:ascii="Calibri" w:hAnsi="Calibri"/>
          <w:color w:val="008356"/>
          <w:spacing w:val="4"/>
          <w:w w:val="105"/>
          <w:sz w:val="11"/>
        </w:rPr>
        <w:t>CARELDOPA </w:t>
      </w:r>
      <w:r>
        <w:rPr>
          <w:color w:val="231F1F"/>
          <w:w w:val="105"/>
          <w:sz w:val="12"/>
        </w:rPr>
        <w:t>or</w:t>
      </w:r>
      <w:r>
        <w:rPr>
          <w:color w:val="231F1F"/>
          <w:spacing w:val="6"/>
          <w:w w:val="105"/>
          <w:sz w:val="12"/>
        </w:rPr>
        <w:t> </w:t>
      </w:r>
      <w:r>
        <w:rPr>
          <w:rFonts w:ascii="Calibri" w:hAnsi="Calibri"/>
          <w:color w:val="008356"/>
          <w:spacing w:val="3"/>
          <w:w w:val="105"/>
          <w:sz w:val="11"/>
        </w:rPr>
        <w:t>LEVODOPA</w:t>
      </w:r>
    </w:p>
    <w:p>
      <w:pPr>
        <w:pStyle w:val="BodyText"/>
        <w:spacing w:line="220" w:lineRule="auto" w:before="8"/>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Lithium: </w:t>
      </w:r>
      <w:r>
        <w:rPr>
          <w:color w:val="231F1F"/>
          <w:w w:val="105"/>
        </w:rPr>
        <w:t>effects of muscle relaxants enhanced by </w:t>
      </w:r>
      <w:r>
        <w:rPr>
          <w:rFonts w:ascii="Calibri" w:hAnsi="Calibri"/>
          <w:color w:val="008356"/>
          <w:w w:val="105"/>
          <w:sz w:val="11"/>
        </w:rPr>
        <w:t>LITHIUM</w:t>
      </w:r>
      <w:r>
        <w:rPr>
          <w:color w:val="231F1F"/>
          <w:w w:val="105"/>
        </w:rPr>
        <w:t>; baclofen possibly aggravates hyperkinesis caused by </w:t>
      </w:r>
      <w:r>
        <w:rPr>
          <w:rFonts w:ascii="Calibri" w:hAnsi="Calibri"/>
          <w:color w:val="008356"/>
          <w:w w:val="105"/>
          <w:sz w:val="11"/>
        </w:rPr>
        <w:t>LITHIUM</w:t>
      </w:r>
    </w:p>
    <w:p>
      <w:pPr>
        <w:pStyle w:val="BodyText"/>
        <w:spacing w:line="237" w:lineRule="auto" w:before="1"/>
        <w:ind w:left="286" w:right="726" w:hanging="100"/>
        <w:rPr>
          <w:rFonts w:ascii="Calibri" w:hAnsi="Calibri"/>
          <w:sz w:val="11"/>
        </w:rPr>
      </w:pPr>
      <w:r>
        <w:rPr>
          <w:rFonts w:ascii="Lucida Sans Unicode" w:hAnsi="Lucida Sans Unicode"/>
          <w:color w:val="A7A8AC"/>
          <w:w w:val="95"/>
          <w:sz w:val="10"/>
        </w:rPr>
        <w:t>▶ </w:t>
      </w:r>
      <w:r>
        <w:rPr>
          <w:rFonts w:ascii="Calibri" w:hAnsi="Calibri"/>
          <w:color w:val="231F1F"/>
          <w:w w:val="110"/>
        </w:rPr>
        <w:t>Magnesium (parenteral): </w:t>
      </w:r>
      <w:r>
        <w:rPr>
          <w:color w:val="231F1F"/>
          <w:w w:val="110"/>
        </w:rPr>
        <w:t>effects of non-depolarising muscle relaxants and suxamethonium enhanced by </w:t>
      </w:r>
      <w:r>
        <w:rPr>
          <w:rFonts w:ascii="Calibri" w:hAnsi="Calibri"/>
          <w:color w:val="008356"/>
          <w:w w:val="110"/>
          <w:sz w:val="11"/>
        </w:rPr>
        <w:t>PARENTERAL MAGNESIUM</w:t>
      </w:r>
    </w:p>
    <w:p>
      <w:pPr>
        <w:pStyle w:val="BodyText"/>
        <w:spacing w:line="220" w:lineRule="auto" w:before="6"/>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Memantine: </w:t>
      </w:r>
      <w:r>
        <w:rPr>
          <w:color w:val="231F1F"/>
          <w:w w:val="105"/>
        </w:rPr>
        <w:t>effects of baclofen and dantrolene possibly modified by </w:t>
      </w:r>
      <w:r>
        <w:rPr>
          <w:rFonts w:ascii="Calibri" w:hAnsi="Calibri"/>
          <w:color w:val="008356"/>
          <w:w w:val="105"/>
          <w:sz w:val="11"/>
        </w:rPr>
        <w:t>MEMANTINE</w:t>
      </w:r>
    </w:p>
    <w:p>
      <w:pPr>
        <w:pStyle w:val="BodyText"/>
        <w:spacing w:line="220" w:lineRule="auto" w:before="8"/>
        <w:ind w:left="286" w:right="752"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baclofen or tizanidine given with </w:t>
      </w:r>
      <w:r>
        <w:rPr>
          <w:rFonts w:ascii="Calibri" w:hAnsi="Calibri"/>
          <w:color w:val="008356"/>
          <w:w w:val="110"/>
          <w:sz w:val="11"/>
        </w:rPr>
        <w:t>METHYLDOPA</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Metoclopramide: </w:t>
      </w:r>
      <w:r>
        <w:rPr>
          <w:color w:val="231F1F"/>
          <w:w w:val="105"/>
        </w:rPr>
        <w:t>effects of suxamethonium enhanced by</w:t>
      </w:r>
    </w:p>
    <w:p>
      <w:pPr>
        <w:spacing w:line="131" w:lineRule="exact" w:before="0"/>
        <w:ind w:left="286" w:right="0" w:firstLine="0"/>
        <w:jc w:val="left"/>
        <w:rPr>
          <w:rFonts w:ascii="Calibri"/>
          <w:sz w:val="11"/>
        </w:rPr>
      </w:pPr>
      <w:r>
        <w:rPr>
          <w:rFonts w:ascii="Calibri"/>
          <w:color w:val="008356"/>
          <w:sz w:val="11"/>
        </w:rPr>
        <w:t>METOCLOPRAMIDE</w:t>
      </w:r>
    </w:p>
    <w:p>
      <w:pPr>
        <w:pStyle w:val="BodyText"/>
        <w:spacing w:line="220" w:lineRule="auto" w:before="8"/>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baclofen or tizanidine given with </w:t>
      </w:r>
      <w:r>
        <w:rPr>
          <w:rFonts w:ascii="Calibri" w:hAnsi="Calibri"/>
          <w:color w:val="008356"/>
          <w:w w:val="105"/>
          <w:sz w:val="11"/>
        </w:rPr>
        <w:t>MOXONIDINE</w:t>
      </w:r>
    </w:p>
    <w:p>
      <w:pPr>
        <w:pStyle w:val="BodyText"/>
        <w:spacing w:line="220" w:lineRule="auto" w:before="8"/>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baclofen or tizanidine given with </w:t>
      </w:r>
      <w:r>
        <w:rPr>
          <w:rFonts w:ascii="Calibri" w:hAnsi="Calibri"/>
          <w:color w:val="008356"/>
          <w:w w:val="110"/>
          <w:sz w:val="11"/>
        </w:rPr>
        <w:t>NITRATES</w:t>
      </w:r>
    </w:p>
    <w:p>
      <w:pPr>
        <w:pStyle w:val="BodyText"/>
        <w:spacing w:line="220" w:lineRule="auto" w:before="8"/>
        <w:ind w:left="286" w:right="700" w:hanging="100"/>
      </w:pPr>
      <w:r>
        <w:rPr>
          <w:rFonts w:ascii="Lucida Sans Unicode" w:hAnsi="Lucida Sans Unicode"/>
          <w:color w:val="A7A8AC"/>
          <w:w w:val="95"/>
          <w:sz w:val="10"/>
        </w:rPr>
        <w:t>▶ </w:t>
      </w:r>
      <w:r>
        <w:rPr>
          <w:rFonts w:ascii="Calibri" w:hAnsi="Calibri"/>
          <w:color w:val="231F1F"/>
          <w:w w:val="105"/>
        </w:rPr>
        <w:t>Oestrogens: </w:t>
      </w:r>
      <w:r>
        <w:rPr>
          <w:color w:val="231F1F"/>
          <w:w w:val="105"/>
        </w:rPr>
        <w:t>plasma concentration of tizanidine possibly increased by </w:t>
      </w:r>
      <w:r>
        <w:rPr>
          <w:rFonts w:ascii="Calibri" w:hAnsi="Calibri"/>
          <w:color w:val="008356"/>
          <w:w w:val="105"/>
          <w:sz w:val="11"/>
        </w:rPr>
        <w:t>OESTROGENS </w:t>
      </w:r>
      <w:r>
        <w:rPr>
          <w:color w:val="231F1F"/>
          <w:w w:val="105"/>
        </w:rPr>
        <w:t>(increased risk of toxicity)</w:t>
      </w:r>
    </w:p>
    <w:p>
      <w:pPr>
        <w:spacing w:line="240" w:lineRule="auto" w:before="1"/>
        <w:ind w:left="286" w:right="59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Parasympathomimetics: </w:t>
      </w:r>
      <w:r>
        <w:rPr>
          <w:color w:val="231F1F"/>
          <w:w w:val="110"/>
          <w:sz w:val="12"/>
        </w:rPr>
        <w:t>effects of non-depolarising muscle relaxants possibly antagonised by </w:t>
      </w:r>
      <w:r>
        <w:rPr>
          <w:rFonts w:ascii="Calibri" w:hAnsi="Calibri"/>
          <w:color w:val="008356"/>
          <w:w w:val="110"/>
          <w:sz w:val="11"/>
        </w:rPr>
        <w:t>DONEPEZIL</w:t>
      </w:r>
      <w:r>
        <w:rPr>
          <w:color w:val="231F1F"/>
          <w:w w:val="110"/>
          <w:sz w:val="12"/>
        </w:rPr>
        <w:t>; effects of suxamethonium possibly enhanced by </w:t>
      </w:r>
      <w:r>
        <w:rPr>
          <w:rFonts w:ascii="Calibri" w:hAnsi="Calibri"/>
          <w:color w:val="008356"/>
          <w:w w:val="110"/>
          <w:sz w:val="11"/>
        </w:rPr>
        <w:t>DONEPEZIL</w:t>
      </w:r>
      <w:r>
        <w:rPr>
          <w:color w:val="231F1F"/>
          <w:w w:val="110"/>
          <w:sz w:val="12"/>
        </w:rPr>
        <w:t>; effects of suxamethonium enhanced by </w:t>
      </w:r>
      <w:r>
        <w:rPr>
          <w:rFonts w:ascii="Calibri" w:hAnsi="Calibri"/>
          <w:color w:val="008356"/>
          <w:w w:val="110"/>
          <w:sz w:val="11"/>
        </w:rPr>
        <w:t>GALANTAMINE</w:t>
      </w:r>
      <w:r>
        <w:rPr>
          <w:color w:val="231F1F"/>
          <w:w w:val="110"/>
          <w:sz w:val="12"/>
        </w:rPr>
        <w:t>, </w:t>
      </w:r>
      <w:r>
        <w:rPr>
          <w:rFonts w:ascii="Calibri" w:hAnsi="Calibri"/>
          <w:color w:val="008356"/>
          <w:w w:val="110"/>
          <w:sz w:val="11"/>
        </w:rPr>
        <w:t>NEOSTIGMINE</w:t>
      </w:r>
      <w:r>
        <w:rPr>
          <w:color w:val="231F1F"/>
          <w:w w:val="110"/>
          <w:sz w:val="12"/>
        </w:rPr>
        <w:t>, </w:t>
      </w:r>
      <w:r>
        <w:rPr>
          <w:rFonts w:ascii="Calibri" w:hAnsi="Calibri"/>
          <w:color w:val="008356"/>
          <w:w w:val="110"/>
          <w:sz w:val="11"/>
        </w:rPr>
        <w:t>PYRIDOSTIGMINE </w:t>
      </w:r>
      <w:r>
        <w:rPr>
          <w:color w:val="231F1F"/>
          <w:w w:val="110"/>
          <w:sz w:val="12"/>
        </w:rPr>
        <w:t>and </w:t>
      </w:r>
      <w:r>
        <w:rPr>
          <w:rFonts w:ascii="Calibri" w:hAnsi="Calibri"/>
          <w:color w:val="008356"/>
          <w:w w:val="110"/>
          <w:sz w:val="11"/>
        </w:rPr>
        <w:t>RIVASTIGMINE</w:t>
      </w:r>
      <w:r>
        <w:rPr>
          <w:color w:val="231F1F"/>
          <w:w w:val="110"/>
          <w:sz w:val="12"/>
        </w:rPr>
        <w:t>; effects of non-depolarising muscle relaxants antagonised by </w:t>
      </w:r>
      <w:r>
        <w:rPr>
          <w:rFonts w:ascii="Calibri" w:hAnsi="Calibri"/>
          <w:color w:val="008356"/>
          <w:w w:val="110"/>
          <w:sz w:val="11"/>
        </w:rPr>
        <w:t>NEOSTIGMINE</w:t>
      </w:r>
      <w:r>
        <w:rPr>
          <w:color w:val="231F1F"/>
          <w:w w:val="110"/>
          <w:sz w:val="12"/>
        </w:rPr>
        <w:t>, </w:t>
      </w:r>
      <w:r>
        <w:rPr>
          <w:rFonts w:ascii="Calibri" w:hAnsi="Calibri"/>
          <w:color w:val="008356"/>
          <w:w w:val="110"/>
          <w:sz w:val="11"/>
        </w:rPr>
        <w:t>PYRIDOSTIGMINE </w:t>
      </w:r>
      <w:r>
        <w:rPr>
          <w:color w:val="231F1F"/>
          <w:w w:val="110"/>
          <w:sz w:val="12"/>
        </w:rPr>
        <w:t>and </w:t>
      </w:r>
      <w:r>
        <w:rPr>
          <w:rFonts w:ascii="Calibri" w:hAnsi="Calibri"/>
          <w:color w:val="008356"/>
          <w:w w:val="110"/>
          <w:sz w:val="11"/>
        </w:rPr>
        <w:t>RIVASTIGMINE</w:t>
      </w:r>
    </w:p>
    <w:p>
      <w:pPr>
        <w:pStyle w:val="BodyText"/>
        <w:spacing w:line="220" w:lineRule="auto" w:before="3"/>
        <w:ind w:left="286" w:right="605" w:hanging="100"/>
      </w:pPr>
      <w:r>
        <w:rPr>
          <w:rFonts w:ascii="Lucida Sans Unicode" w:hAnsi="Lucida Sans Unicode"/>
          <w:color w:val="A7A8AC"/>
          <w:w w:val="95"/>
          <w:sz w:val="10"/>
        </w:rPr>
        <w:t>▶ </w:t>
      </w:r>
      <w:r>
        <w:rPr>
          <w:rFonts w:ascii="Calibri" w:hAnsi="Calibri"/>
          <w:color w:val="231F1F"/>
          <w:w w:val="105"/>
        </w:rPr>
        <w:t>Progestogens: </w:t>
      </w:r>
      <w:r>
        <w:rPr>
          <w:color w:val="231F1F"/>
          <w:w w:val="105"/>
        </w:rPr>
        <w:t>plasma concentration of tizanidine possibly increased by </w:t>
      </w:r>
      <w:r>
        <w:rPr>
          <w:rFonts w:ascii="Calibri" w:hAnsi="Calibri"/>
          <w:color w:val="008356"/>
          <w:w w:val="105"/>
          <w:sz w:val="11"/>
        </w:rPr>
        <w:t>PROGESTOGENS </w:t>
      </w:r>
      <w:r>
        <w:rPr>
          <w:color w:val="231F1F"/>
          <w:w w:val="105"/>
        </w:rPr>
        <w:t>(increased risk of toxicity)</w:t>
      </w:r>
    </w:p>
    <w:p>
      <w:pPr>
        <w:pStyle w:val="BodyText"/>
        <w:spacing w:line="220" w:lineRule="auto" w:before="8"/>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effects of suxamethonium enhanced by </w:t>
      </w:r>
      <w:r>
        <w:rPr>
          <w:rFonts w:ascii="Calibri" w:hAnsi="Calibri"/>
          <w:color w:val="008356"/>
          <w:w w:val="105"/>
          <w:sz w:val="11"/>
          <w:vertAlign w:val="baseline"/>
        </w:rPr>
        <w:t>BAMBUTEROL</w:t>
      </w:r>
    </w:p>
    <w:p>
      <w:pPr>
        <w:pStyle w:val="BodyText"/>
        <w:spacing w:line="237" w:lineRule="auto" w:before="1"/>
        <w:ind w:left="286" w:right="744" w:hanging="100"/>
        <w:rPr>
          <w:rFonts w:ascii="Calibri" w:hAnsi="Calibri"/>
          <w:sz w:val="11"/>
        </w:rPr>
      </w:pPr>
      <w:r>
        <w:rPr>
          <w:rFonts w:ascii="Lucida Sans Unicode" w:hAnsi="Lucida Sans Unicode"/>
          <w:color w:val="A7A8AC"/>
          <w:w w:val="95"/>
          <w:sz w:val="10"/>
        </w:rPr>
        <w:t>▶ </w:t>
      </w:r>
      <w:r>
        <w:rPr>
          <w:rFonts w:ascii="Calibri" w:hAnsi="Calibri"/>
          <w:color w:val="231F1F"/>
          <w:w w:val="110"/>
        </w:rPr>
        <w:t>Vasodilator Antihypertensives: </w:t>
      </w:r>
      <w:r>
        <w:rPr>
          <w:color w:val="231F1F"/>
          <w:w w:val="110"/>
        </w:rPr>
        <w:t>enhanced hypotensive effect when baclofen or tizanidine given with </w:t>
      </w:r>
      <w:r>
        <w:rPr>
          <w:rFonts w:ascii="Calibri" w:hAnsi="Calibri"/>
          <w:color w:val="008356"/>
          <w:w w:val="110"/>
          <w:sz w:val="11"/>
        </w:rPr>
        <w:t>HYDRALAZINE</w:t>
      </w:r>
      <w:r>
        <w:rPr>
          <w:color w:val="231F1F"/>
          <w:w w:val="110"/>
        </w:rPr>
        <w:t>; enhanced hypotensive effect when baclofen or tizanidine given with </w:t>
      </w:r>
      <w:r>
        <w:rPr>
          <w:rFonts w:ascii="Calibri" w:hAnsi="Calibri"/>
          <w:color w:val="008356"/>
          <w:w w:val="110"/>
          <w:sz w:val="11"/>
        </w:rPr>
        <w:t>MINOXIDIL</w:t>
      </w:r>
      <w:r>
        <w:rPr>
          <w:color w:val="231F1F"/>
          <w:w w:val="110"/>
        </w:rPr>
        <w:t>; enhanced hypotensive effect when baclofen or tizanidine given with </w:t>
      </w:r>
      <w:r>
        <w:rPr>
          <w:rFonts w:ascii="Calibri" w:hAnsi="Calibri"/>
          <w:color w:val="008356"/>
          <w:w w:val="110"/>
          <w:sz w:val="11"/>
        </w:rPr>
        <w:t>SODIUM NITROPRUSSIDE</w:t>
      </w:r>
    </w:p>
    <w:p>
      <w:pPr>
        <w:pStyle w:val="BodyText"/>
        <w:spacing w:line="256" w:lineRule="auto" w:before="10"/>
        <w:ind w:left="186" w:right="919"/>
        <w:rPr>
          <w:rFonts w:ascii="Trebuchet MS"/>
        </w:rPr>
      </w:pPr>
      <w:r>
        <w:rPr>
          <w:rFonts w:ascii="Trebuchet MS"/>
          <w:color w:val="008356"/>
          <w:w w:val="105"/>
        </w:rPr>
        <w:t>Muscle Relaxants, depolarising </w:t>
      </w:r>
      <w:r>
        <w:rPr>
          <w:i/>
          <w:color w:val="231F1F"/>
          <w:w w:val="105"/>
        </w:rPr>
        <w:t>see </w:t>
      </w:r>
      <w:r>
        <w:rPr>
          <w:color w:val="231F1F"/>
          <w:w w:val="105"/>
        </w:rPr>
        <w:t>Muscle Relaxants </w:t>
      </w:r>
      <w:r>
        <w:rPr>
          <w:rFonts w:ascii="Trebuchet MS"/>
          <w:color w:val="008356"/>
          <w:w w:val="105"/>
        </w:rPr>
        <w:t>Muscle Relaxants, non-depolarising </w:t>
      </w:r>
      <w:r>
        <w:rPr>
          <w:i/>
          <w:color w:val="231F1F"/>
          <w:w w:val="105"/>
        </w:rPr>
        <w:t>see </w:t>
      </w:r>
      <w:r>
        <w:rPr>
          <w:color w:val="231F1F"/>
          <w:w w:val="105"/>
        </w:rPr>
        <w:t>Muscle Relaxants </w:t>
      </w:r>
      <w:r>
        <w:rPr>
          <w:rFonts w:ascii="Trebuchet MS"/>
          <w:color w:val="008356"/>
          <w:w w:val="105"/>
        </w:rPr>
        <w:t>Mycophenolate</w:t>
      </w:r>
    </w:p>
    <w:p>
      <w:pPr>
        <w:pStyle w:val="BodyText"/>
        <w:spacing w:line="141"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mycophenolate reduced by </w:t>
      </w:r>
      <w:r>
        <w:rPr>
          <w:rFonts w:ascii="Calibri" w:hAnsi="Calibri"/>
          <w:color w:val="008356"/>
          <w:w w:val="105"/>
          <w:sz w:val="11"/>
        </w:rPr>
        <w:t>ANTACIDS</w:t>
      </w:r>
    </w:p>
    <w:p>
      <w:pPr>
        <w:pStyle w:val="BodyText"/>
        <w:spacing w:line="138" w:lineRule="exact"/>
        <w:ind w:left="186"/>
      </w:pPr>
      <w:r>
        <w:rPr>
          <w:rFonts w:ascii="Arial"/>
          <w:color w:val="231F1F"/>
          <w:w w:val="355"/>
          <w:position w:val="1"/>
          <w:sz w:val="7"/>
        </w:rPr>
        <w:t>l </w:t>
      </w:r>
      <w:r>
        <w:rPr>
          <w:rFonts w:ascii="Calibri"/>
          <w:color w:val="231F1F"/>
          <w:w w:val="115"/>
        </w:rPr>
        <w:t>Antibacterials: </w:t>
      </w:r>
      <w:r>
        <w:rPr>
          <w:color w:val="231F1F"/>
          <w:w w:val="115"/>
        </w:rPr>
        <w:t>bioavailability of mycophenolate possibly</w:t>
      </w:r>
    </w:p>
    <w:p>
      <w:pPr>
        <w:spacing w:line="242" w:lineRule="auto" w:before="0"/>
        <w:ind w:left="286" w:right="605" w:firstLine="0"/>
        <w:jc w:val="left"/>
        <w:rPr>
          <w:rFonts w:ascii="Calibri"/>
          <w:sz w:val="11"/>
        </w:rPr>
      </w:pPr>
      <w:r>
        <w:rPr>
          <w:color w:val="231F1F"/>
          <w:w w:val="110"/>
          <w:sz w:val="12"/>
        </w:rPr>
        <w:t>reduced by </w:t>
      </w:r>
      <w:r>
        <w:rPr>
          <w:rFonts w:ascii="Calibri"/>
          <w:color w:val="008356"/>
          <w:w w:val="105"/>
          <w:sz w:val="11"/>
        </w:rPr>
        <w:t>METRONIDAZOLE </w:t>
      </w:r>
      <w:r>
        <w:rPr>
          <w:color w:val="231F1F"/>
          <w:w w:val="110"/>
          <w:sz w:val="12"/>
        </w:rPr>
        <w:t>and </w:t>
      </w:r>
      <w:r>
        <w:rPr>
          <w:rFonts w:ascii="Calibri"/>
          <w:color w:val="008356"/>
          <w:w w:val="110"/>
          <w:sz w:val="11"/>
        </w:rPr>
        <w:t>NORFLOXACIN</w:t>
      </w:r>
      <w:r>
        <w:rPr>
          <w:color w:val="231F1F"/>
          <w:w w:val="110"/>
          <w:sz w:val="12"/>
        </w:rPr>
        <w:t>; plasma concentration of mycophenolate possibly reduced by </w:t>
      </w:r>
      <w:r>
        <w:rPr>
          <w:rFonts w:ascii="Calibri"/>
          <w:color w:val="008356"/>
          <w:w w:val="110"/>
          <w:sz w:val="11"/>
        </w:rPr>
        <w:t>CO- AMOXICLAV</w:t>
      </w:r>
      <w:r>
        <w:rPr>
          <w:color w:val="231F1F"/>
          <w:w w:val="110"/>
          <w:sz w:val="12"/>
        </w:rPr>
        <w:t>; plasma concentration of active metabolite of mycophenolate reduced by </w:t>
      </w:r>
      <w:r>
        <w:rPr>
          <w:rFonts w:ascii="Arial"/>
          <w:color w:val="231F1F"/>
          <w:w w:val="355"/>
          <w:position w:val="1"/>
          <w:sz w:val="7"/>
        </w:rPr>
        <w:t>l </w:t>
      </w:r>
      <w:r>
        <w:rPr>
          <w:rFonts w:ascii="Calibri"/>
          <w:color w:val="008356"/>
          <w:w w:val="105"/>
          <w:sz w:val="11"/>
        </w:rPr>
        <w:t>RIFAMPICIN</w:t>
      </w:r>
    </w:p>
    <w:p>
      <w:pPr>
        <w:pStyle w:val="BodyText"/>
        <w:spacing w:line="237" w:lineRule="auto"/>
        <w:ind w:left="286" w:right="605"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mycophenolate increases plasma concentration of </w:t>
      </w:r>
      <w:r>
        <w:rPr>
          <w:rFonts w:ascii="Calibri" w:hAnsi="Calibri"/>
          <w:color w:val="008356"/>
          <w:w w:val="110"/>
          <w:sz w:val="11"/>
        </w:rPr>
        <w:t>ACICLOVIR </w:t>
      </w:r>
      <w:r>
        <w:rPr>
          <w:color w:val="231F1F"/>
          <w:w w:val="110"/>
        </w:rPr>
        <w:t>and </w:t>
      </w:r>
      <w:r>
        <w:rPr>
          <w:rFonts w:ascii="Calibri" w:hAnsi="Calibri"/>
          <w:color w:val="008356"/>
          <w:w w:val="110"/>
          <w:sz w:val="11"/>
        </w:rPr>
        <w:t>VALACICLOVIR</w:t>
      </w:r>
      <w:r>
        <w:rPr>
          <w:color w:val="231F1F"/>
          <w:w w:val="110"/>
        </w:rPr>
        <w:t>, also plasma concentration of inactive metabolite of mycophenolate increased; mycophenolate possibly increases plasma concentration of</w:t>
      </w:r>
    </w:p>
    <w:p>
      <w:pPr>
        <w:spacing w:after="0" w:line="237" w:lineRule="auto"/>
        <w:sectPr>
          <w:pgSz w:w="8390" w:h="11910"/>
          <w:pgMar w:header="0" w:footer="0" w:top="460" w:bottom="280" w:left="480" w:right="0"/>
          <w:cols w:num="2" w:equalWidth="0">
            <w:col w:w="3624" w:space="51"/>
            <w:col w:w="4235"/>
          </w:cols>
        </w:sectPr>
      </w:pPr>
    </w:p>
    <w:p>
      <w:pPr>
        <w:pStyle w:val="BodyText"/>
        <w:spacing w:before="8"/>
        <w:ind w:left="0"/>
        <w:rPr>
          <w:sz w:val="14"/>
        </w:rPr>
      </w:pPr>
    </w:p>
    <w:p>
      <w:pPr>
        <w:pStyle w:val="BodyText"/>
        <w:ind w:left="108"/>
        <w:rPr>
          <w:rFonts w:ascii="Arial"/>
        </w:rPr>
      </w:pPr>
      <w:r>
        <w:rPr>
          <w:rFonts w:ascii="Arial"/>
          <w:color w:val="008356"/>
        </w:rPr>
        <w:t>Mycophenolate</w:t>
      </w:r>
    </w:p>
    <w:p>
      <w:pPr>
        <w:pStyle w:val="BodyText"/>
        <w:spacing w:line="146" w:lineRule="exact" w:before="5"/>
        <w:rPr>
          <w:rFonts w:ascii="Calibri"/>
        </w:rPr>
      </w:pPr>
      <w:r>
        <w:rPr>
          <w:rFonts w:ascii="Calibri"/>
          <w:color w:val="231F1F"/>
        </w:rPr>
        <w:t>Antivirals (continued)</w:t>
      </w:r>
    </w:p>
    <w:p>
      <w:pPr>
        <w:spacing w:line="244" w:lineRule="auto" w:before="0"/>
        <w:ind w:left="208" w:right="71" w:firstLine="0"/>
        <w:jc w:val="left"/>
        <w:rPr>
          <w:sz w:val="12"/>
        </w:rPr>
      </w:pPr>
      <w:r>
        <w:rPr>
          <w:rFonts w:ascii="Calibri"/>
          <w:color w:val="008356"/>
          <w:w w:val="110"/>
          <w:sz w:val="11"/>
        </w:rPr>
        <w:t>GANCICLOVIR </w:t>
      </w:r>
      <w:r>
        <w:rPr>
          <w:color w:val="231F1F"/>
          <w:w w:val="110"/>
          <w:sz w:val="12"/>
        </w:rPr>
        <w:t>and </w:t>
      </w:r>
      <w:r>
        <w:rPr>
          <w:rFonts w:ascii="Calibri"/>
          <w:color w:val="008356"/>
          <w:w w:val="110"/>
          <w:sz w:val="11"/>
        </w:rPr>
        <w:t>VALGANCICLOVIR</w:t>
      </w:r>
      <w:r>
        <w:rPr>
          <w:color w:val="231F1F"/>
          <w:w w:val="110"/>
          <w:sz w:val="12"/>
        </w:rPr>
        <w:t>, also plasma concentration of inactive metabolite of mycophenolate possibly increased</w:t>
      </w:r>
    </w:p>
    <w:p>
      <w:pPr>
        <w:pStyle w:val="BodyText"/>
        <w:spacing w:line="242" w:lineRule="auto"/>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10"/>
        </w:rPr>
        <w:t>Colestilan: </w:t>
      </w:r>
      <w:r>
        <w:rPr>
          <w:color w:val="231F1F"/>
          <w:w w:val="110"/>
        </w:rPr>
        <w:t>manufacturer of colestilan advises give mycophenolate at least 1 hour before or 3 hours after </w:t>
      </w:r>
      <w:r>
        <w:rPr>
          <w:rFonts w:ascii="Calibri" w:hAnsi="Calibri"/>
          <w:color w:val="008356"/>
          <w:w w:val="110"/>
          <w:sz w:val="11"/>
        </w:rPr>
        <w:t>COLESTILAN</w:t>
      </w:r>
    </w:p>
    <w:p>
      <w:pPr>
        <w:spacing w:line="232" w:lineRule="auto" w:before="0"/>
        <w:ind w:left="208" w:right="22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absorption of mycophenolate reduced by </w:t>
      </w:r>
      <w:r>
        <w:rPr>
          <w:i/>
          <w:color w:val="231F1F"/>
          <w:w w:val="105"/>
          <w:sz w:val="12"/>
        </w:rPr>
        <w:t>oral </w:t>
      </w:r>
      <w:r>
        <w:rPr>
          <w:rFonts w:ascii="Calibri" w:hAnsi="Calibri"/>
          <w:color w:val="008356"/>
          <w:w w:val="105"/>
          <w:sz w:val="11"/>
        </w:rPr>
        <w:t>IRON SALTS</w:t>
      </w:r>
    </w:p>
    <w:p>
      <w:pPr>
        <w:pStyle w:val="BodyText"/>
        <w:spacing w:line="220" w:lineRule="auto" w:before="1"/>
        <w:ind w:right="223"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absorption of mycophenolate reduced by</w:t>
      </w:r>
      <w:r>
        <w:rPr>
          <w:color w:val="231F1F"/>
          <w:spacing w:val="-2"/>
          <w:w w:val="105"/>
        </w:rPr>
        <w:t> </w:t>
      </w:r>
      <w:r>
        <w:rPr>
          <w:rFonts w:ascii="Calibri" w:hAnsi="Calibri"/>
          <w:color w:val="008356"/>
          <w:spacing w:val="5"/>
          <w:w w:val="105"/>
          <w:sz w:val="11"/>
        </w:rPr>
        <w:t>COLESTYRAMINE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Sevelamer: </w:t>
      </w:r>
      <w:r>
        <w:rPr>
          <w:color w:val="231F1F"/>
          <w:w w:val="105"/>
        </w:rPr>
        <w:t>plasma concentration of mycophenolate possibly reduced by </w:t>
      </w:r>
      <w:r>
        <w:rPr>
          <w:rFonts w:ascii="Calibri" w:hAnsi="Calibri"/>
          <w:color w:val="008356"/>
          <w:w w:val="105"/>
          <w:sz w:val="11"/>
        </w:rPr>
        <w:t>SEVELAMER</w:t>
      </w:r>
    </w:p>
    <w:p>
      <w:pPr>
        <w:pStyle w:val="BodyText"/>
        <w:spacing w:line="256" w:lineRule="auto" w:before="9"/>
        <w:ind w:left="108" w:right="1701"/>
        <w:rPr>
          <w:rFonts w:ascii="Trebuchet MS"/>
        </w:rPr>
      </w:pPr>
      <w:r>
        <w:rPr>
          <w:rFonts w:ascii="Trebuchet MS"/>
          <w:color w:val="008356"/>
          <w:w w:val="105"/>
        </w:rPr>
        <w:t>Nabumetone </w:t>
      </w:r>
      <w:r>
        <w:rPr>
          <w:i/>
          <w:color w:val="231F1F"/>
          <w:w w:val="105"/>
        </w:rPr>
        <w:t>see </w:t>
      </w:r>
      <w:r>
        <w:rPr>
          <w:color w:val="231F1F"/>
          <w:w w:val="105"/>
        </w:rPr>
        <w:t>NSAIDs </w:t>
      </w:r>
      <w:r>
        <w:rPr>
          <w:rFonts w:ascii="Trebuchet MS"/>
          <w:color w:val="008356"/>
          <w:w w:val="105"/>
        </w:rPr>
        <w:t>Nadolol </w:t>
      </w:r>
      <w:r>
        <w:rPr>
          <w:i/>
          <w:color w:val="231F1F"/>
          <w:w w:val="105"/>
        </w:rPr>
        <w:t>see </w:t>
      </w:r>
      <w:r>
        <w:rPr>
          <w:color w:val="231F1F"/>
          <w:w w:val="105"/>
        </w:rPr>
        <w:t>Beta-blockers </w:t>
      </w:r>
      <w:r>
        <w:rPr>
          <w:rFonts w:ascii="Trebuchet MS"/>
          <w:color w:val="008356"/>
          <w:w w:val="105"/>
        </w:rPr>
        <w:t>Nalidixic Acid </w:t>
      </w:r>
      <w:r>
        <w:rPr>
          <w:i/>
          <w:color w:val="231F1F"/>
          <w:w w:val="105"/>
        </w:rPr>
        <w:t>see </w:t>
      </w:r>
      <w:r>
        <w:rPr>
          <w:color w:val="231F1F"/>
          <w:w w:val="105"/>
        </w:rPr>
        <w:t>Quinolones </w:t>
      </w:r>
      <w:r>
        <w:rPr>
          <w:rFonts w:ascii="Trebuchet MS"/>
          <w:color w:val="008356"/>
          <w:w w:val="105"/>
        </w:rPr>
        <w:t>Nalmefene</w:t>
      </w:r>
    </w:p>
    <w:p>
      <w:pPr>
        <w:pStyle w:val="BodyText"/>
        <w:spacing w:line="139" w:lineRule="exact"/>
        <w:ind w:left="108"/>
      </w:pPr>
      <w:r>
        <w:rPr>
          <w:rFonts w:ascii="Arial"/>
          <w:color w:val="231F1F"/>
          <w:w w:val="355"/>
          <w:position w:val="1"/>
          <w:sz w:val="7"/>
        </w:rPr>
        <w:t>l </w:t>
      </w:r>
      <w:r>
        <w:rPr>
          <w:rFonts w:ascii="Calibri"/>
          <w:color w:val="231F1F"/>
          <w:w w:val="115"/>
        </w:rPr>
        <w:t>Analgesics: </w:t>
      </w:r>
      <w:r>
        <w:rPr>
          <w:color w:val="231F1F"/>
          <w:w w:val="115"/>
        </w:rPr>
        <w:t>manufacturer of nalmefene advises avoid</w:t>
      </w:r>
    </w:p>
    <w:p>
      <w:pPr>
        <w:spacing w:line="254" w:lineRule="auto" w:before="0"/>
        <w:ind w:left="108" w:right="1093" w:firstLine="99"/>
        <w:jc w:val="left"/>
        <w:rPr>
          <w:sz w:val="12"/>
        </w:rPr>
      </w:pPr>
      <w:r>
        <w:rPr>
          <w:color w:val="231F1F"/>
          <w:w w:val="110"/>
          <w:sz w:val="12"/>
        </w:rPr>
        <w:t>concomitant</w:t>
      </w:r>
      <w:r>
        <w:rPr>
          <w:color w:val="231F1F"/>
          <w:spacing w:val="-11"/>
          <w:w w:val="110"/>
          <w:sz w:val="12"/>
        </w:rPr>
        <w:t> </w:t>
      </w:r>
      <w:r>
        <w:rPr>
          <w:color w:val="231F1F"/>
          <w:w w:val="110"/>
          <w:sz w:val="12"/>
        </w:rPr>
        <w:t>use</w:t>
      </w:r>
      <w:r>
        <w:rPr>
          <w:color w:val="231F1F"/>
          <w:spacing w:val="-8"/>
          <w:w w:val="110"/>
          <w:sz w:val="12"/>
        </w:rPr>
        <w:t> </w:t>
      </w:r>
      <w:r>
        <w:rPr>
          <w:color w:val="231F1F"/>
          <w:w w:val="110"/>
          <w:sz w:val="12"/>
        </w:rPr>
        <w:t>with</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OPIOID</w:t>
      </w:r>
      <w:r>
        <w:rPr>
          <w:rFonts w:ascii="Calibri"/>
          <w:color w:val="008356"/>
          <w:spacing w:val="-1"/>
          <w:w w:val="110"/>
          <w:sz w:val="11"/>
        </w:rPr>
        <w:t> </w:t>
      </w:r>
      <w:r>
        <w:rPr>
          <w:rFonts w:ascii="Calibri"/>
          <w:color w:val="008356"/>
          <w:spacing w:val="4"/>
          <w:w w:val="110"/>
          <w:sz w:val="11"/>
        </w:rPr>
        <w:t>ANALGESICS </w:t>
      </w:r>
      <w:r>
        <w:rPr>
          <w:rFonts w:ascii="Trebuchet MS"/>
          <w:color w:val="008356"/>
          <w:w w:val="110"/>
          <w:sz w:val="12"/>
        </w:rPr>
        <w:t>Nandrolone </w:t>
      </w:r>
      <w:r>
        <w:rPr>
          <w:i/>
          <w:color w:val="231F1F"/>
          <w:w w:val="110"/>
          <w:sz w:val="12"/>
        </w:rPr>
        <w:t>see </w:t>
      </w:r>
      <w:r>
        <w:rPr>
          <w:color w:val="231F1F"/>
          <w:w w:val="110"/>
          <w:sz w:val="12"/>
        </w:rPr>
        <w:t>Anabolic Steroids</w:t>
      </w:r>
      <w:r>
        <w:rPr>
          <w:color w:val="008356"/>
          <w:w w:val="110"/>
          <w:sz w:val="12"/>
        </w:rPr>
        <w:t> </w:t>
      </w:r>
      <w:r>
        <w:rPr>
          <w:rFonts w:ascii="Trebuchet MS"/>
          <w:color w:val="008356"/>
          <w:w w:val="110"/>
          <w:sz w:val="12"/>
        </w:rPr>
        <w:t>Naproxen </w:t>
      </w:r>
      <w:r>
        <w:rPr>
          <w:i/>
          <w:color w:val="231F1F"/>
          <w:w w:val="110"/>
          <w:sz w:val="12"/>
        </w:rPr>
        <w:t>see</w:t>
      </w:r>
      <w:r>
        <w:rPr>
          <w:i/>
          <w:color w:val="231F1F"/>
          <w:spacing w:val="-24"/>
          <w:w w:val="110"/>
          <w:sz w:val="12"/>
        </w:rPr>
        <w:t> </w:t>
      </w:r>
      <w:r>
        <w:rPr>
          <w:color w:val="231F1F"/>
          <w:w w:val="110"/>
          <w:sz w:val="12"/>
        </w:rPr>
        <w:t>NSAIDs</w:t>
      </w:r>
    </w:p>
    <w:p>
      <w:pPr>
        <w:pStyle w:val="BodyText"/>
        <w:spacing w:before="1"/>
        <w:ind w:left="108"/>
      </w:pPr>
      <w:r>
        <w:rPr>
          <w:rFonts w:ascii="Trebuchet MS"/>
          <w:color w:val="008356"/>
          <w:w w:val="110"/>
        </w:rPr>
        <w:t>Naratriptan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0"/>
        <w:ind w:left="108"/>
        <w:rPr>
          <w:rFonts w:ascii="Trebuchet MS"/>
        </w:rPr>
      </w:pPr>
      <w:r>
        <w:rPr>
          <w:rFonts w:ascii="Trebuchet MS"/>
          <w:color w:val="008356"/>
        </w:rPr>
        <w:t>Natalizumub</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32"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line="256" w:lineRule="auto" w:before="5"/>
        <w:ind w:left="108" w:right="1701"/>
        <w:rPr>
          <w:rFonts w:ascii="Trebuchet MS"/>
        </w:rPr>
      </w:pPr>
      <w:r>
        <w:rPr>
          <w:rFonts w:ascii="Trebuchet MS"/>
          <w:color w:val="008356"/>
          <w:w w:val="110"/>
        </w:rPr>
        <w:t>Nateglinide </w:t>
      </w:r>
      <w:r>
        <w:rPr>
          <w:i/>
          <w:color w:val="231F1F"/>
          <w:w w:val="110"/>
        </w:rPr>
        <w:t>see </w:t>
      </w:r>
      <w:r>
        <w:rPr>
          <w:color w:val="231F1F"/>
          <w:w w:val="110"/>
        </w:rPr>
        <w:t>Antidiabetics </w:t>
      </w:r>
      <w:r>
        <w:rPr>
          <w:rFonts w:ascii="Trebuchet MS"/>
          <w:color w:val="008356"/>
          <w:w w:val="110"/>
        </w:rPr>
        <w:t>Nebivolol </w:t>
      </w:r>
      <w:r>
        <w:rPr>
          <w:i/>
          <w:color w:val="231F1F"/>
          <w:w w:val="110"/>
        </w:rPr>
        <w:t>see </w:t>
      </w:r>
      <w:r>
        <w:rPr>
          <w:color w:val="231F1F"/>
          <w:w w:val="110"/>
        </w:rPr>
        <w:t>Beta-blockers </w:t>
      </w:r>
      <w:r>
        <w:rPr>
          <w:rFonts w:ascii="Trebuchet MS"/>
          <w:color w:val="008356"/>
          <w:w w:val="110"/>
        </w:rPr>
        <w:t>Nefopam</w:t>
      </w:r>
    </w:p>
    <w:p>
      <w:pPr>
        <w:pStyle w:val="BodyText"/>
        <w:spacing w:line="137" w:lineRule="exact"/>
        <w:ind w:left="108"/>
      </w:pPr>
      <w:r>
        <w:rPr>
          <w:rFonts w:ascii="Arial"/>
          <w:color w:val="231F1F"/>
          <w:w w:val="355"/>
          <w:position w:val="1"/>
          <w:sz w:val="7"/>
        </w:rPr>
        <w:t>l </w:t>
      </w:r>
      <w:r>
        <w:rPr>
          <w:rFonts w:ascii="Calibri"/>
          <w:color w:val="231F1F"/>
          <w:w w:val="110"/>
        </w:rPr>
        <w:t>Antidepressants: </w:t>
      </w:r>
      <w:r>
        <w:rPr>
          <w:color w:val="231F1F"/>
          <w:w w:val="110"/>
        </w:rPr>
        <w:t>manufacturer of nefopam advises avoid</w:t>
      </w:r>
    </w:p>
    <w:p>
      <w:pPr>
        <w:pStyle w:val="BodyText"/>
        <w:spacing w:line="244" w:lineRule="auto"/>
        <w:ind w:right="31"/>
        <w:rPr>
          <w:rFonts w:ascii="Calibri"/>
          <w:sz w:val="11"/>
        </w:rPr>
      </w:pPr>
      <w:r>
        <w:rPr>
          <w:color w:val="231F1F"/>
          <w:w w:val="115"/>
        </w:rPr>
        <w:t>concomitant</w:t>
      </w:r>
      <w:r>
        <w:rPr>
          <w:color w:val="231F1F"/>
          <w:spacing w:val="-17"/>
          <w:w w:val="115"/>
        </w:rPr>
        <w:t> </w:t>
      </w:r>
      <w:r>
        <w:rPr>
          <w:color w:val="231F1F"/>
          <w:w w:val="115"/>
        </w:rPr>
        <w:t>use</w:t>
      </w:r>
      <w:r>
        <w:rPr>
          <w:color w:val="231F1F"/>
          <w:spacing w:val="-15"/>
          <w:w w:val="115"/>
        </w:rPr>
        <w:t> </w:t>
      </w:r>
      <w:r>
        <w:rPr>
          <w:color w:val="231F1F"/>
          <w:w w:val="115"/>
        </w:rPr>
        <w:t>with</w:t>
      </w:r>
      <w:r>
        <w:rPr>
          <w:color w:val="231F1F"/>
          <w:spacing w:val="-15"/>
          <w:w w:val="115"/>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MAOIS</w:t>
      </w:r>
      <w:r>
        <w:rPr>
          <w:color w:val="231F1F"/>
          <w:spacing w:val="4"/>
          <w:w w:val="115"/>
        </w:rPr>
        <w:t>;</w:t>
      </w:r>
      <w:r>
        <w:rPr>
          <w:color w:val="231F1F"/>
          <w:spacing w:val="-16"/>
          <w:w w:val="115"/>
        </w:rPr>
        <w:t> </w:t>
      </w:r>
      <w:r>
        <w:rPr>
          <w:color w:val="231F1F"/>
          <w:w w:val="115"/>
        </w:rPr>
        <w:t>side-effects</w:t>
      </w:r>
      <w:r>
        <w:rPr>
          <w:color w:val="231F1F"/>
          <w:spacing w:val="-15"/>
          <w:w w:val="115"/>
        </w:rPr>
        <w:t> </w:t>
      </w:r>
      <w:r>
        <w:rPr>
          <w:color w:val="231F1F"/>
          <w:w w:val="115"/>
        </w:rPr>
        <w:t>possibly</w:t>
      </w:r>
      <w:r>
        <w:rPr>
          <w:color w:val="231F1F"/>
          <w:spacing w:val="-16"/>
          <w:w w:val="115"/>
        </w:rPr>
        <w:t> </w:t>
      </w:r>
      <w:r>
        <w:rPr>
          <w:color w:val="231F1F"/>
          <w:w w:val="115"/>
        </w:rPr>
        <w:t>increased when nefopam given with</w:t>
      </w:r>
      <w:r>
        <w:rPr>
          <w:color w:val="231F1F"/>
          <w:spacing w:val="-22"/>
          <w:w w:val="115"/>
        </w:rPr>
        <w:t> </w:t>
      </w:r>
      <w:r>
        <w:rPr>
          <w:rFonts w:ascii="Calibri"/>
          <w:color w:val="008356"/>
          <w:spacing w:val="4"/>
          <w:w w:val="115"/>
          <w:sz w:val="11"/>
        </w:rPr>
        <w:t>TRICYCLICS</w:t>
      </w:r>
    </w:p>
    <w:p>
      <w:pPr>
        <w:pStyle w:val="BodyText"/>
        <w:spacing w:line="220" w:lineRule="auto" w:before="3"/>
        <w:ind w:right="1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increased risk of antimuscarinic side-effects when nefopam given with </w:t>
      </w:r>
      <w:r>
        <w:rPr>
          <w:rFonts w:ascii="Calibri" w:hAnsi="Calibri"/>
          <w:color w:val="008356"/>
          <w:w w:val="110"/>
          <w:sz w:val="11"/>
        </w:rPr>
        <w:t>ANTIMUSCARINICS</w:t>
      </w:r>
    </w:p>
    <w:p>
      <w:pPr>
        <w:pStyle w:val="BodyText"/>
        <w:spacing w:line="256" w:lineRule="auto" w:before="9"/>
        <w:ind w:left="108" w:right="1262"/>
        <w:rPr>
          <w:rFonts w:ascii="Trebuchet MS"/>
        </w:rPr>
      </w:pPr>
      <w:r>
        <w:rPr>
          <w:rFonts w:ascii="Trebuchet MS"/>
          <w:color w:val="008356"/>
          <w:w w:val="110"/>
        </w:rPr>
        <w:t>Neomycin </w:t>
      </w:r>
      <w:r>
        <w:rPr>
          <w:i/>
          <w:color w:val="231F1F"/>
          <w:w w:val="110"/>
        </w:rPr>
        <w:t>see </w:t>
      </w:r>
      <w:r>
        <w:rPr>
          <w:color w:val="231F1F"/>
          <w:w w:val="110"/>
        </w:rPr>
        <w:t>Aminoglycosides </w:t>
      </w:r>
      <w:r>
        <w:rPr>
          <w:rFonts w:ascii="Trebuchet MS"/>
          <w:color w:val="008356"/>
          <w:w w:val="110"/>
        </w:rPr>
        <w:t>Neostigmine </w:t>
      </w:r>
      <w:r>
        <w:rPr>
          <w:i/>
          <w:color w:val="231F1F"/>
          <w:w w:val="110"/>
        </w:rPr>
        <w:t>see </w:t>
      </w:r>
      <w:r>
        <w:rPr>
          <w:color w:val="231F1F"/>
          <w:w w:val="110"/>
        </w:rPr>
        <w:t>Parasympathomimetics </w:t>
      </w:r>
      <w:r>
        <w:rPr>
          <w:rFonts w:ascii="Trebuchet MS"/>
          <w:color w:val="008356"/>
          <w:w w:val="110"/>
        </w:rPr>
        <w:t>Nevirapine</w:t>
      </w:r>
    </w:p>
    <w:p>
      <w:pPr>
        <w:pStyle w:val="BodyText"/>
        <w:spacing w:line="220" w:lineRule="auto"/>
        <w:ind w:right="124"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nevirapine  possibly  reduces  plasma  </w:t>
      </w:r>
      <w:r>
        <w:rPr>
          <w:color w:val="231F1F"/>
          <w:spacing w:val="-3"/>
          <w:w w:val="105"/>
        </w:rPr>
        <w:t>concentration </w:t>
      </w:r>
      <w:r>
        <w:rPr>
          <w:color w:val="231F1F"/>
          <w:w w:val="105"/>
        </w:rPr>
        <w:t>of</w:t>
      </w:r>
      <w:r>
        <w:rPr>
          <w:color w:val="231F1F"/>
          <w:spacing w:val="-2"/>
          <w:w w:val="105"/>
        </w:rPr>
        <w:t> </w:t>
      </w:r>
      <w:r>
        <w:rPr>
          <w:rFonts w:ascii="Calibri" w:hAnsi="Calibri"/>
          <w:color w:val="008356"/>
          <w:spacing w:val="5"/>
          <w:w w:val="105"/>
          <w:sz w:val="11"/>
        </w:rPr>
        <w:t>METHADONE</w:t>
      </w:r>
    </w:p>
    <w:p>
      <w:pPr>
        <w:pStyle w:val="BodyText"/>
        <w:spacing w:line="244" w:lineRule="auto"/>
        <w:ind w:right="138" w:hanging="100"/>
      </w:pPr>
      <w:r>
        <w:rPr>
          <w:rFonts w:ascii="Arial" w:hAnsi="Arial"/>
          <w:color w:val="231F1F"/>
          <w:w w:val="355"/>
          <w:position w:val="1"/>
          <w:sz w:val="7"/>
        </w:rPr>
        <w:t>l </w:t>
      </w:r>
      <w:r>
        <w:rPr>
          <w:rFonts w:ascii="Calibri" w:hAnsi="Calibri"/>
          <w:color w:val="231F1F"/>
          <w:w w:val="110"/>
        </w:rPr>
        <w:t>Antibacterials: </w:t>
      </w:r>
      <w:r>
        <w:rPr>
          <w:color w:val="231F1F"/>
          <w:w w:val="110"/>
        </w:rPr>
        <w:t>nevirapine reduces plasma concentration of </w:t>
      </w:r>
      <w:r>
        <w:rPr>
          <w:rFonts w:ascii="Calibri" w:hAnsi="Calibri"/>
          <w:color w:val="008356"/>
          <w:spacing w:val="4"/>
          <w:w w:val="110"/>
          <w:sz w:val="11"/>
        </w:rPr>
        <w:t>CLARITHROMYCIN </w:t>
      </w:r>
      <w:r>
        <w:rPr>
          <w:color w:val="231F1F"/>
          <w:w w:val="110"/>
        </w:rPr>
        <w:t>(but concentration of an active metabolite increased), also plasma concentration of nevirapine increased; nevirapine possibly increases plasma concentration of </w:t>
      </w:r>
      <w:r>
        <w:rPr>
          <w:rFonts w:ascii="Calibri" w:hAnsi="Calibri"/>
          <w:color w:val="008356"/>
          <w:spacing w:val="4"/>
          <w:w w:val="110"/>
          <w:sz w:val="11"/>
        </w:rPr>
        <w:t>RIFABUTIN</w:t>
      </w:r>
      <w:r>
        <w:rPr>
          <w:color w:val="231F1F"/>
          <w:spacing w:val="4"/>
          <w:w w:val="110"/>
        </w:rPr>
        <w:t>; </w:t>
      </w:r>
      <w:r>
        <w:rPr>
          <w:color w:val="231F1F"/>
          <w:w w:val="110"/>
        </w:rPr>
        <w:t>plasma concentration of nevirapine reduced by </w:t>
      </w: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line="140" w:lineRule="exact"/>
        <w:ind w:left="108"/>
      </w:pPr>
      <w:r>
        <w:rPr>
          <w:rFonts w:ascii="Arial"/>
          <w:color w:val="231F1F"/>
          <w:w w:val="355"/>
          <w:position w:val="1"/>
          <w:sz w:val="7"/>
        </w:rPr>
        <w:t>l </w:t>
      </w:r>
      <w:r>
        <w:rPr>
          <w:rFonts w:ascii="Calibri"/>
          <w:color w:val="231F1F"/>
          <w:w w:val="115"/>
        </w:rPr>
        <w:t>Anticoagulants: </w:t>
      </w:r>
      <w:r>
        <w:rPr>
          <w:color w:val="231F1F"/>
          <w:w w:val="115"/>
        </w:rPr>
        <w:t>nevirapine may enhance or reduce</w:t>
      </w:r>
    </w:p>
    <w:p>
      <w:pPr>
        <w:spacing w:line="140" w:lineRule="exact" w:before="0"/>
        <w:ind w:left="208" w:right="0" w:firstLine="0"/>
        <w:jc w:val="left"/>
        <w:rPr>
          <w:rFonts w:ascii="Calibri"/>
          <w:sz w:val="11"/>
        </w:rPr>
      </w:pPr>
      <w:r>
        <w:rPr>
          <w:color w:val="231F1F"/>
          <w:w w:val="115"/>
          <w:sz w:val="12"/>
        </w:rPr>
        <w:t>anticoagulant effect of </w:t>
      </w:r>
      <w:r>
        <w:rPr>
          <w:rFonts w:ascii="Arial"/>
          <w:color w:val="231F1F"/>
          <w:w w:val="355"/>
          <w:position w:val="1"/>
          <w:sz w:val="7"/>
        </w:rPr>
        <w:t>l</w:t>
      </w:r>
      <w:r>
        <w:rPr>
          <w:rFonts w:ascii="Arial"/>
          <w:color w:val="231F1F"/>
          <w:spacing w:val="-57"/>
          <w:w w:val="355"/>
          <w:position w:val="1"/>
          <w:sz w:val="7"/>
        </w:rPr>
        <w:t> </w:t>
      </w:r>
      <w:r>
        <w:rPr>
          <w:rFonts w:ascii="Calibri"/>
          <w:color w:val="008356"/>
          <w:spacing w:val="3"/>
          <w:w w:val="115"/>
          <w:sz w:val="11"/>
        </w:rPr>
        <w:t>WARFARIN</w:t>
      </w:r>
    </w:p>
    <w:p>
      <w:pPr>
        <w:pStyle w:val="BodyText"/>
        <w:ind w:right="32"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nevirapine </w:t>
      </w:r>
      <w:r>
        <w:rPr>
          <w:color w:val="231F1F"/>
          <w:spacing w:val="-3"/>
          <w:w w:val="110"/>
        </w:rPr>
        <w:t>reduced </w:t>
      </w:r>
      <w:r>
        <w:rPr>
          <w:color w:val="231F1F"/>
          <w:w w:val="110"/>
        </w:rPr>
        <w:t>by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plasma concentration of nevirapine reduced by</w:t>
      </w:r>
    </w:p>
    <w:p>
      <w:pPr>
        <w:spacing w:line="130" w:lineRule="exact" w:before="0"/>
        <w:ind w:left="208" w:right="0" w:firstLine="0"/>
        <w:jc w:val="left"/>
        <w:rPr>
          <w:rFonts w:ascii="Calibri"/>
          <w:sz w:val="11"/>
        </w:rPr>
      </w:pPr>
      <w:r>
        <w:rPr>
          <w:rFonts w:ascii="Calibri"/>
          <w:color w:val="008356"/>
          <w:sz w:val="11"/>
        </w:rPr>
        <w:t>CARBAMAZEPINE</w:t>
      </w:r>
    </w:p>
    <w:p>
      <w:pPr>
        <w:pStyle w:val="BodyText"/>
        <w:spacing w:line="242" w:lineRule="auto"/>
        <w:ind w:right="292" w:hanging="100"/>
      </w:pPr>
      <w:r>
        <w:rPr>
          <w:rFonts w:ascii="Arial" w:hAnsi="Arial"/>
          <w:color w:val="231F1F"/>
          <w:w w:val="355"/>
          <w:position w:val="1"/>
          <w:sz w:val="7"/>
        </w:rPr>
        <w:t>l </w:t>
      </w:r>
      <w:r>
        <w:rPr>
          <w:rFonts w:ascii="Calibri" w:hAnsi="Calibri"/>
          <w:color w:val="231F1F"/>
          <w:w w:val="110"/>
        </w:rPr>
        <w:t>Antifungals:  </w:t>
      </w:r>
      <w:r>
        <w:rPr>
          <w:color w:val="231F1F"/>
          <w:w w:val="110"/>
        </w:rPr>
        <w:t>nevirapine reduces plasma concentration of </w:t>
      </w:r>
      <w:r>
        <w:rPr>
          <w:rFonts w:ascii="Arial" w:hAnsi="Arial"/>
          <w:color w:val="231F1F"/>
          <w:w w:val="355"/>
          <w:position w:val="1"/>
          <w:sz w:val="7"/>
        </w:rPr>
        <w:t>l </w:t>
      </w:r>
      <w:r>
        <w:rPr>
          <w:rFonts w:ascii="Calibri" w:hAnsi="Calibri"/>
          <w:color w:val="008356"/>
          <w:spacing w:val="3"/>
          <w:w w:val="110"/>
          <w:sz w:val="11"/>
        </w:rPr>
        <w:t>KETOCONAZOLE</w:t>
      </w:r>
      <w:r>
        <w:rPr>
          <w:rFonts w:ascii="Arial" w:hAnsi="Arial"/>
          <w:color w:val="231F1F"/>
          <w:spacing w:val="3"/>
          <w:w w:val="110"/>
        </w:rPr>
        <w:t>—</w:t>
      </w:r>
      <w:r>
        <w:rPr>
          <w:color w:val="231F1F"/>
          <w:spacing w:val="3"/>
          <w:w w:val="110"/>
        </w:rPr>
        <w:t>avoid </w:t>
      </w:r>
      <w:r>
        <w:rPr>
          <w:color w:val="231F1F"/>
          <w:w w:val="110"/>
        </w:rPr>
        <w:t>concomitant use; plasma concentration of nevirapine increased by </w:t>
      </w:r>
      <w:r>
        <w:rPr>
          <w:rFonts w:ascii="Arial" w:hAnsi="Arial"/>
          <w:color w:val="231F1F"/>
          <w:w w:val="355"/>
          <w:position w:val="1"/>
          <w:sz w:val="7"/>
        </w:rPr>
        <w:t>l </w:t>
      </w:r>
      <w:r>
        <w:rPr>
          <w:rFonts w:ascii="Calibri" w:hAnsi="Calibri"/>
          <w:color w:val="008356"/>
          <w:spacing w:val="2"/>
          <w:w w:val="110"/>
          <w:sz w:val="11"/>
        </w:rPr>
        <w:t>FLUCONAZOLE</w:t>
      </w:r>
      <w:r>
        <w:rPr>
          <w:color w:val="231F1F"/>
          <w:spacing w:val="2"/>
          <w:w w:val="110"/>
        </w:rPr>
        <w:t>; </w:t>
      </w:r>
      <w:r>
        <w:rPr>
          <w:color w:val="231F1F"/>
          <w:w w:val="110"/>
        </w:rPr>
        <w:t>nevirapine possibly reduces plasma concentration</w:t>
      </w:r>
      <w:r>
        <w:rPr>
          <w:color w:val="231F1F"/>
          <w:spacing w:val="25"/>
          <w:w w:val="110"/>
        </w:rPr>
        <w:t> </w:t>
      </w:r>
      <w:r>
        <w:rPr>
          <w:color w:val="231F1F"/>
          <w:w w:val="110"/>
        </w:rPr>
        <w:t>of</w:t>
      </w:r>
    </w:p>
    <w:p>
      <w:pPr>
        <w:spacing w:line="244" w:lineRule="auto" w:before="0"/>
        <w:ind w:left="208" w:right="0" w:firstLine="0"/>
        <w:jc w:val="left"/>
        <w:rPr>
          <w:sz w:val="12"/>
        </w:rPr>
      </w:pPr>
      <w:r>
        <w:rPr>
          <w:rFonts w:ascii="Calibri" w:hAnsi="Calibri"/>
          <w:color w:val="008356"/>
          <w:w w:val="105"/>
          <w:sz w:val="11"/>
        </w:rPr>
        <w:t>CASPOFUNGIN </w:t>
      </w:r>
      <w:r>
        <w:rPr>
          <w:color w:val="231F1F"/>
          <w:w w:val="105"/>
          <w:sz w:val="12"/>
        </w:rPr>
        <w:t>and </w:t>
      </w:r>
      <w:r>
        <w:rPr>
          <w:rFonts w:ascii="Calibri" w:hAnsi="Calibri"/>
          <w:color w:val="008356"/>
          <w:w w:val="105"/>
          <w:sz w:val="11"/>
        </w:rPr>
        <w:t>ITRACONAZOLE</w:t>
      </w:r>
      <w:r>
        <w:rPr>
          <w:rFonts w:ascii="Arial" w:hAnsi="Arial"/>
          <w:color w:val="231F1F"/>
          <w:w w:val="105"/>
          <w:sz w:val="12"/>
        </w:rPr>
        <w:t>—</w:t>
      </w:r>
      <w:r>
        <w:rPr>
          <w:color w:val="231F1F"/>
          <w:w w:val="105"/>
          <w:sz w:val="12"/>
        </w:rPr>
        <w:t>consider increasing dose of </w:t>
      </w:r>
      <w:r>
        <w:rPr>
          <w:color w:val="231F1F"/>
          <w:w w:val="110"/>
          <w:sz w:val="12"/>
        </w:rPr>
        <w:t>caspofungin and itraconazole</w:t>
      </w:r>
    </w:p>
    <w:p>
      <w:pPr>
        <w:pStyle w:val="BodyText"/>
        <w:spacing w:line="244" w:lineRule="auto"/>
        <w:ind w:right="187" w:hanging="100"/>
      </w:pPr>
      <w:r>
        <w:rPr>
          <w:rFonts w:ascii="Arial" w:hAnsi="Arial"/>
          <w:color w:val="231F1F"/>
          <w:w w:val="355"/>
          <w:position w:val="1"/>
          <w:sz w:val="7"/>
        </w:rPr>
        <w:t>l </w:t>
      </w:r>
      <w:r>
        <w:rPr>
          <w:rFonts w:ascii="Calibri" w:hAnsi="Calibri"/>
          <w:color w:val="231F1F"/>
          <w:w w:val="120"/>
        </w:rPr>
        <w:t>Antipsychotics: </w:t>
      </w:r>
      <w:r>
        <w:rPr>
          <w:color w:val="231F1F"/>
          <w:w w:val="120"/>
        </w:rPr>
        <w:t>nevirapine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ARIPIPRAZOLE </w:t>
      </w:r>
      <w:r>
        <w:rPr>
          <w:color w:val="231F1F"/>
          <w:w w:val="115"/>
        </w:rPr>
        <w:t>(avoid concomitant use or </w:t>
      </w:r>
      <w:r>
        <w:rPr>
          <w:color w:val="231F1F"/>
          <w:w w:val="120"/>
        </w:rPr>
        <w:t>consider increasing the dose of aripiprazole</w:t>
      </w:r>
      <w:r>
        <w:rPr>
          <w:rFonts w:ascii="Arial" w:hAnsi="Arial"/>
          <w:color w:val="231F1F"/>
          <w:w w:val="120"/>
        </w:rPr>
        <w:t>—</w:t>
      </w:r>
      <w:r>
        <w:rPr>
          <w:color w:val="231F1F"/>
          <w:w w:val="120"/>
        </w:rPr>
        <w:t>consult aripiprazole product literature)</w:t>
      </w:r>
    </w:p>
    <w:p>
      <w:pPr>
        <w:pStyle w:val="BodyText"/>
        <w:spacing w:line="244" w:lineRule="auto"/>
        <w:ind w:right="57" w:hanging="100"/>
      </w:pPr>
      <w:r>
        <w:rPr>
          <w:rFonts w:ascii="Arial" w:hAnsi="Arial"/>
          <w:color w:val="231F1F"/>
          <w:w w:val="355"/>
          <w:position w:val="1"/>
          <w:sz w:val="7"/>
        </w:rPr>
        <w:t>l </w:t>
      </w:r>
      <w:r>
        <w:rPr>
          <w:rFonts w:ascii="Calibri" w:hAnsi="Calibri"/>
          <w:color w:val="231F1F"/>
          <w:w w:val="110"/>
        </w:rPr>
        <w:t>Antivirals: </w:t>
      </w:r>
      <w:r>
        <w:rPr>
          <w:color w:val="231F1F"/>
          <w:w w:val="110"/>
        </w:rPr>
        <w:t>nevirapine possibly reduces plasma concentration of </w:t>
      </w:r>
      <w:r>
        <w:rPr>
          <w:rFonts w:ascii="Arial" w:hAnsi="Arial"/>
          <w:color w:val="231F1F"/>
          <w:w w:val="355"/>
          <w:position w:val="1"/>
          <w:sz w:val="7"/>
        </w:rPr>
        <w:t>l </w:t>
      </w:r>
      <w:r>
        <w:rPr>
          <w:rFonts w:ascii="Calibri" w:hAnsi="Calibri"/>
          <w:color w:val="008356"/>
          <w:spacing w:val="2"/>
          <w:w w:val="110"/>
          <w:sz w:val="11"/>
        </w:rPr>
        <w:t>ATAZANAVIR </w:t>
      </w:r>
      <w:r>
        <w:rPr>
          <w:color w:val="231F1F"/>
          <w:w w:val="110"/>
        </w:rPr>
        <w:t>and </w:t>
      </w:r>
      <w:r>
        <w:rPr>
          <w:rFonts w:ascii="Arial" w:hAnsi="Arial"/>
          <w:color w:val="231F1F"/>
          <w:w w:val="355"/>
          <w:position w:val="1"/>
          <w:sz w:val="7"/>
        </w:rPr>
        <w:t>l </w:t>
      </w:r>
      <w:r>
        <w:rPr>
          <w:rFonts w:ascii="Calibri" w:hAnsi="Calibri"/>
          <w:color w:val="008356"/>
          <w:spacing w:val="2"/>
          <w:w w:val="110"/>
          <w:sz w:val="11"/>
        </w:rPr>
        <w:t>ETRAVIRINE</w:t>
      </w:r>
      <w:r>
        <w:rPr>
          <w:rFonts w:ascii="Arial" w:hAnsi="Arial"/>
          <w:color w:val="231F1F"/>
          <w:spacing w:val="2"/>
          <w:w w:val="110"/>
        </w:rPr>
        <w:t>—</w:t>
      </w:r>
      <w:r>
        <w:rPr>
          <w:color w:val="231F1F"/>
          <w:spacing w:val="2"/>
          <w:w w:val="110"/>
        </w:rPr>
        <w:t>avoid </w:t>
      </w:r>
      <w:r>
        <w:rPr>
          <w:color w:val="231F1F"/>
          <w:w w:val="110"/>
        </w:rPr>
        <w:t>concomitant use; manufacturer of nevirapine advises avoid concomitant use with </w:t>
      </w:r>
      <w:r>
        <w:rPr>
          <w:rFonts w:ascii="Calibri" w:hAnsi="Calibri"/>
          <w:color w:val="008356"/>
          <w:spacing w:val="4"/>
          <w:w w:val="110"/>
          <w:sz w:val="11"/>
        </w:rPr>
        <w:t>BOCEPREVIR </w:t>
      </w:r>
      <w:r>
        <w:rPr>
          <w:color w:val="231F1F"/>
          <w:w w:val="110"/>
        </w:rPr>
        <w:t>and </w:t>
      </w:r>
      <w:r>
        <w:rPr>
          <w:rFonts w:ascii="Calibri" w:hAnsi="Calibri"/>
          <w:color w:val="008356"/>
          <w:spacing w:val="4"/>
          <w:w w:val="110"/>
          <w:sz w:val="11"/>
        </w:rPr>
        <w:t>RILPIVIRINE</w:t>
      </w:r>
      <w:r>
        <w:rPr>
          <w:color w:val="231F1F"/>
          <w:spacing w:val="4"/>
          <w:w w:val="110"/>
        </w:rPr>
        <w:t>; </w:t>
      </w:r>
      <w:r>
        <w:rPr>
          <w:color w:val="231F1F"/>
          <w:w w:val="110"/>
        </w:rPr>
        <w:t>avoidance of nevirapine advised by manufacturer of </w:t>
      </w:r>
      <w:r>
        <w:rPr>
          <w:rFonts w:ascii="Calibri" w:hAnsi="Calibri"/>
          <w:color w:val="008356"/>
          <w:spacing w:val="3"/>
          <w:w w:val="110"/>
          <w:sz w:val="11"/>
        </w:rPr>
        <w:t>DACLATASVIR </w:t>
      </w:r>
      <w:r>
        <w:rPr>
          <w:color w:val="231F1F"/>
          <w:w w:val="110"/>
        </w:rPr>
        <w:t>(plasma concentration of daclatasvir possibly reduced); nevirapine possibly</w:t>
      </w:r>
      <w:r>
        <w:rPr>
          <w:color w:val="231F1F"/>
          <w:spacing w:val="-4"/>
          <w:w w:val="110"/>
        </w:rPr>
        <w:t> </w:t>
      </w:r>
      <w:r>
        <w:rPr>
          <w:color w:val="231F1F"/>
          <w:w w:val="110"/>
        </w:rPr>
        <w:t>reduces</w:t>
      </w:r>
      <w:r>
        <w:rPr>
          <w:color w:val="231F1F"/>
          <w:spacing w:val="-4"/>
          <w:w w:val="110"/>
        </w:rPr>
        <w:t> </w:t>
      </w:r>
      <w:r>
        <w:rPr>
          <w:color w:val="231F1F"/>
          <w:w w:val="125"/>
        </w:rPr>
        <w:t>the</w:t>
      </w:r>
      <w:r>
        <w:rPr>
          <w:color w:val="231F1F"/>
          <w:spacing w:val="-6"/>
          <w:w w:val="125"/>
        </w:rPr>
        <w:t> </w:t>
      </w:r>
      <w:r>
        <w:rPr>
          <w:color w:val="231F1F"/>
          <w:w w:val="110"/>
        </w:rPr>
        <w:t>plasma</w:t>
      </w:r>
      <w:r>
        <w:rPr>
          <w:color w:val="231F1F"/>
          <w:spacing w:val="-2"/>
          <w:w w:val="110"/>
        </w:rPr>
        <w:t> </w:t>
      </w:r>
      <w:r>
        <w:rPr>
          <w:color w:val="231F1F"/>
          <w:w w:val="110"/>
        </w:rPr>
        <w:t>concentration</w:t>
      </w:r>
      <w:r>
        <w:rPr>
          <w:color w:val="231F1F"/>
          <w:spacing w:val="-4"/>
          <w:w w:val="110"/>
        </w:rPr>
        <w:t> </w:t>
      </w:r>
      <w:r>
        <w:rPr>
          <w:color w:val="231F1F"/>
          <w:w w:val="110"/>
        </w:rPr>
        <w:t>of</w:t>
      </w:r>
      <w:r>
        <w:rPr>
          <w:color w:val="231F1F"/>
          <w:spacing w:val="-2"/>
          <w:w w:val="110"/>
        </w:rPr>
        <w:t> </w:t>
      </w: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3"/>
          <w:w w:val="110"/>
          <w:sz w:val="11"/>
        </w:rPr>
        <w:t>DOLUTEGRAVIR </w:t>
      </w:r>
      <w:r>
        <w:rPr>
          <w:color w:val="231F1F"/>
          <w:w w:val="110"/>
        </w:rPr>
        <w:t>(see under Dolutegravir, p. 557); nevirapine reduces plasma concentration of </w:t>
      </w:r>
      <w:r>
        <w:rPr>
          <w:rFonts w:ascii="Arial" w:hAnsi="Arial"/>
          <w:color w:val="231F1F"/>
          <w:w w:val="355"/>
          <w:position w:val="1"/>
          <w:sz w:val="7"/>
        </w:rPr>
        <w:t>l </w:t>
      </w:r>
      <w:r>
        <w:rPr>
          <w:rFonts w:ascii="Calibri" w:hAnsi="Calibri"/>
          <w:color w:val="008356"/>
          <w:spacing w:val="2"/>
          <w:w w:val="110"/>
          <w:sz w:val="11"/>
        </w:rPr>
        <w:t>EFAVIRENZ</w:t>
      </w:r>
      <w:r>
        <w:rPr>
          <w:rFonts w:ascii="Arial" w:hAnsi="Arial"/>
          <w:color w:val="231F1F"/>
          <w:spacing w:val="2"/>
          <w:w w:val="110"/>
        </w:rPr>
        <w:t>—</w:t>
      </w:r>
      <w:r>
        <w:rPr>
          <w:color w:val="231F1F"/>
          <w:spacing w:val="2"/>
          <w:w w:val="110"/>
        </w:rPr>
        <w:t>avoid </w:t>
      </w:r>
      <w:r>
        <w:rPr>
          <w:color w:val="231F1F"/>
          <w:w w:val="110"/>
        </w:rPr>
        <w:t>concomitant use; avoidance of nevirapine advised by manufacturer of </w:t>
      </w:r>
      <w:r>
        <w:rPr>
          <w:rFonts w:ascii="Calibri" w:hAnsi="Calibri"/>
          <w:color w:val="008356"/>
          <w:spacing w:val="3"/>
          <w:w w:val="110"/>
          <w:sz w:val="11"/>
        </w:rPr>
        <w:t>ELVITEGRAVIR</w:t>
      </w:r>
      <w:r>
        <w:rPr>
          <w:color w:val="231F1F"/>
          <w:spacing w:val="3"/>
          <w:w w:val="110"/>
        </w:rPr>
        <w:t>; </w:t>
      </w:r>
      <w:r>
        <w:rPr>
          <w:color w:val="231F1F"/>
          <w:w w:val="110"/>
        </w:rPr>
        <w:t>nevirapine possibly reduces plasma concentration of </w:t>
      </w:r>
      <w:r>
        <w:rPr>
          <w:rFonts w:ascii="Calibri" w:hAnsi="Calibri"/>
          <w:color w:val="008356"/>
          <w:spacing w:val="3"/>
          <w:w w:val="110"/>
          <w:sz w:val="11"/>
        </w:rPr>
        <w:t>FOSAMPRENAVIR</w:t>
      </w:r>
      <w:r>
        <w:rPr>
          <w:rFonts w:ascii="Arial" w:hAnsi="Arial"/>
          <w:color w:val="231F1F"/>
          <w:spacing w:val="3"/>
          <w:w w:val="110"/>
        </w:rPr>
        <w:t>—</w:t>
      </w:r>
      <w:r>
        <w:rPr>
          <w:color w:val="231F1F"/>
          <w:spacing w:val="3"/>
          <w:w w:val="110"/>
        </w:rPr>
        <w:t>avoid </w:t>
      </w:r>
      <w:r>
        <w:rPr>
          <w:color w:val="231F1F"/>
          <w:w w:val="110"/>
        </w:rPr>
        <w:t>unboosted fosamprenavir; nevirapine reduces plasma</w:t>
      </w:r>
      <w:r>
        <w:rPr>
          <w:color w:val="231F1F"/>
          <w:spacing w:val="-2"/>
          <w:w w:val="110"/>
        </w:rPr>
        <w:t> </w:t>
      </w:r>
      <w:r>
        <w:rPr>
          <w:color w:val="231F1F"/>
          <w:w w:val="110"/>
        </w:rPr>
        <w:t>concentration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Nevirapine</w:t>
      </w:r>
    </w:p>
    <w:p>
      <w:pPr>
        <w:pStyle w:val="BodyText"/>
        <w:spacing w:line="146" w:lineRule="exact" w:before="5"/>
        <w:ind w:left="108"/>
        <w:jc w:val="both"/>
        <w:rPr>
          <w:rFonts w:ascii="Calibri"/>
        </w:rPr>
      </w:pPr>
      <w:r>
        <w:rPr/>
        <w:pict>
          <v:rect style="position:absolute;margin-left:398.891296pt;margin-top:-8.380091pt;width:20.522993pt;height:149.443pt;mso-position-horizontal-relative:page;mso-position-vertical-relative:paragraph;z-index:5056" filled="true" fillcolor="#bfdbcf" stroked="false">
            <v:fill type="solid"/>
            <w10:wrap type="none"/>
          </v:rect>
        </w:pict>
      </w:r>
      <w:r>
        <w:rPr/>
        <w:pict>
          <v:shape style="position:absolute;margin-left:399.725769pt;margin-top:-3.416702pt;width:10.4pt;height:78.850pt;mso-position-horizontal-relative:page;mso-position-vertical-relative:paragraph;z-index:508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pStyle w:val="BodyText"/>
        <w:spacing w:line="244" w:lineRule="auto"/>
        <w:ind w:right="702"/>
        <w:rPr>
          <w:rFonts w:ascii="Calibri" w:hAnsi="Calibri"/>
          <w:sz w:val="11"/>
        </w:rPr>
      </w:pPr>
      <w:r>
        <w:rPr>
          <w:rFonts w:ascii="Calibri" w:hAnsi="Calibri"/>
          <w:color w:val="008356"/>
          <w:spacing w:val="4"/>
          <w:w w:val="115"/>
          <w:sz w:val="11"/>
        </w:rPr>
        <w:t>INDINAVIR</w:t>
      </w:r>
      <w:r>
        <w:rPr>
          <w:color w:val="231F1F"/>
          <w:spacing w:val="4"/>
          <w:w w:val="115"/>
        </w:rPr>
        <w:t>;</w:t>
      </w:r>
      <w:r>
        <w:rPr>
          <w:color w:val="231F1F"/>
          <w:spacing w:val="-21"/>
          <w:w w:val="115"/>
        </w:rPr>
        <w:t> </w:t>
      </w:r>
      <w:r>
        <w:rPr>
          <w:color w:val="231F1F"/>
          <w:w w:val="115"/>
        </w:rPr>
        <w:t>nevirapine</w:t>
      </w:r>
      <w:r>
        <w:rPr>
          <w:color w:val="231F1F"/>
          <w:spacing w:val="-21"/>
          <w:w w:val="115"/>
        </w:rPr>
        <w:t> </w:t>
      </w:r>
      <w:r>
        <w:rPr>
          <w:color w:val="231F1F"/>
          <w:w w:val="115"/>
        </w:rPr>
        <w:t>possibly</w:t>
      </w:r>
      <w:r>
        <w:rPr>
          <w:color w:val="231F1F"/>
          <w:spacing w:val="-22"/>
          <w:w w:val="115"/>
        </w:rPr>
        <w:t> </w:t>
      </w:r>
      <w:r>
        <w:rPr>
          <w:color w:val="231F1F"/>
          <w:w w:val="115"/>
        </w:rPr>
        <w:t>reduces</w:t>
      </w:r>
      <w:r>
        <w:rPr>
          <w:color w:val="231F1F"/>
          <w:spacing w:val="-20"/>
          <w:w w:val="115"/>
        </w:rPr>
        <w:t> </w:t>
      </w:r>
      <w:r>
        <w:rPr>
          <w:color w:val="231F1F"/>
          <w:w w:val="115"/>
        </w:rPr>
        <w:t>plasma</w:t>
      </w:r>
      <w:r>
        <w:rPr>
          <w:color w:val="231F1F"/>
          <w:spacing w:val="-21"/>
          <w:w w:val="115"/>
        </w:rPr>
        <w:t> </w:t>
      </w:r>
      <w:r>
        <w:rPr>
          <w:color w:val="231F1F"/>
          <w:w w:val="115"/>
        </w:rPr>
        <w:t>concentration 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LOPINAVIR</w:t>
      </w:r>
      <w:r>
        <w:rPr>
          <w:rFonts w:ascii="Calibri" w:hAnsi="Calibri"/>
          <w:color w:val="008356"/>
          <w:spacing w:val="-11"/>
          <w:w w:val="115"/>
          <w:sz w:val="11"/>
        </w:rPr>
        <w:t> </w:t>
      </w:r>
      <w:r>
        <w:rPr>
          <w:color w:val="231F1F"/>
          <w:w w:val="115"/>
        </w:rPr>
        <w:t>and</w:t>
      </w:r>
      <w:r>
        <w:rPr>
          <w:color w:val="231F1F"/>
          <w:spacing w:val="-19"/>
          <w:w w:val="115"/>
        </w:rPr>
        <w:t> </w:t>
      </w:r>
      <w:r>
        <w:rPr>
          <w:rFonts w:ascii="Calibri" w:hAnsi="Calibri"/>
          <w:color w:val="008356"/>
          <w:spacing w:val="2"/>
          <w:w w:val="115"/>
          <w:sz w:val="11"/>
        </w:rPr>
        <w:t>TELAPREVIR</w:t>
      </w:r>
      <w:r>
        <w:rPr>
          <w:rFonts w:ascii="Arial" w:hAnsi="Arial"/>
          <w:color w:val="231F1F"/>
          <w:spacing w:val="2"/>
          <w:w w:val="115"/>
        </w:rPr>
        <w:t>—</w:t>
      </w:r>
      <w:r>
        <w:rPr>
          <w:color w:val="231F1F"/>
          <w:spacing w:val="2"/>
          <w:w w:val="115"/>
        </w:rPr>
        <w:t>consider</w:t>
      </w:r>
      <w:r>
        <w:rPr>
          <w:color w:val="231F1F"/>
          <w:spacing w:val="-20"/>
          <w:w w:val="115"/>
        </w:rPr>
        <w:t> </w:t>
      </w:r>
      <w:r>
        <w:rPr>
          <w:color w:val="231F1F"/>
          <w:w w:val="115"/>
        </w:rPr>
        <w:t>increasing</w:t>
      </w:r>
      <w:r>
        <w:rPr>
          <w:color w:val="231F1F"/>
          <w:spacing w:val="-19"/>
          <w:w w:val="115"/>
        </w:rPr>
        <w:t> </w:t>
      </w:r>
      <w:r>
        <w:rPr>
          <w:color w:val="231F1F"/>
          <w:w w:val="115"/>
        </w:rPr>
        <w:t>dose</w:t>
      </w:r>
      <w:r>
        <w:rPr>
          <w:color w:val="231F1F"/>
          <w:spacing w:val="-20"/>
          <w:w w:val="115"/>
        </w:rPr>
        <w:t> </w:t>
      </w:r>
      <w:r>
        <w:rPr>
          <w:color w:val="231F1F"/>
          <w:w w:val="115"/>
        </w:rPr>
        <w:t>of lopinavir</w:t>
      </w:r>
      <w:r>
        <w:rPr>
          <w:color w:val="231F1F"/>
          <w:spacing w:val="-9"/>
          <w:w w:val="115"/>
        </w:rPr>
        <w:t> </w:t>
      </w:r>
      <w:r>
        <w:rPr>
          <w:color w:val="231F1F"/>
          <w:w w:val="115"/>
        </w:rPr>
        <w:t>and</w:t>
      </w:r>
      <w:r>
        <w:rPr>
          <w:color w:val="231F1F"/>
          <w:spacing w:val="-8"/>
          <w:w w:val="115"/>
        </w:rPr>
        <w:t> </w:t>
      </w:r>
      <w:r>
        <w:rPr>
          <w:color w:val="231F1F"/>
          <w:w w:val="115"/>
        </w:rPr>
        <w:t>telaprevir;</w:t>
      </w:r>
      <w:r>
        <w:rPr>
          <w:color w:val="231F1F"/>
          <w:spacing w:val="-8"/>
          <w:w w:val="115"/>
        </w:rPr>
        <w:t> </w:t>
      </w:r>
      <w:r>
        <w:rPr>
          <w:color w:val="231F1F"/>
          <w:w w:val="115"/>
        </w:rPr>
        <w:t>nevirapine</w:t>
      </w:r>
      <w:r>
        <w:rPr>
          <w:color w:val="231F1F"/>
          <w:spacing w:val="-10"/>
          <w:w w:val="115"/>
        </w:rPr>
        <w:t> </w:t>
      </w:r>
      <w:r>
        <w:rPr>
          <w:color w:val="231F1F"/>
          <w:w w:val="115"/>
        </w:rPr>
        <w:t>possibly</w:t>
      </w:r>
      <w:r>
        <w:rPr>
          <w:color w:val="231F1F"/>
          <w:spacing w:val="-7"/>
          <w:w w:val="115"/>
        </w:rPr>
        <w:t> </w:t>
      </w:r>
      <w:r>
        <w:rPr>
          <w:color w:val="231F1F"/>
          <w:w w:val="115"/>
        </w:rPr>
        <w:t>reduces</w:t>
      </w:r>
      <w:r>
        <w:rPr>
          <w:color w:val="231F1F"/>
          <w:spacing w:val="-9"/>
          <w:w w:val="115"/>
        </w:rPr>
        <w:t> </w:t>
      </w:r>
      <w:r>
        <w:rPr>
          <w:color w:val="231F1F"/>
          <w:w w:val="115"/>
        </w:rPr>
        <w:t>plasma concentration</w:t>
      </w:r>
      <w:r>
        <w:rPr>
          <w:color w:val="231F1F"/>
          <w:spacing w:val="-19"/>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SIMEPREVIR</w:t>
      </w:r>
      <w:r>
        <w:rPr>
          <w:rFonts w:ascii="Arial" w:hAnsi="Arial"/>
          <w:color w:val="231F1F"/>
          <w:spacing w:val="2"/>
          <w:w w:val="115"/>
        </w:rPr>
        <w:t>—</w:t>
      </w:r>
      <w:r>
        <w:rPr>
          <w:color w:val="231F1F"/>
          <w:spacing w:val="2"/>
          <w:w w:val="115"/>
        </w:rPr>
        <w:t>manufacturer</w:t>
      </w:r>
      <w:r>
        <w:rPr>
          <w:color w:val="231F1F"/>
          <w:spacing w:val="-18"/>
          <w:w w:val="115"/>
        </w:rPr>
        <w:t> </w:t>
      </w:r>
      <w:r>
        <w:rPr>
          <w:color w:val="231F1F"/>
          <w:w w:val="115"/>
        </w:rPr>
        <w:t>of</w:t>
      </w:r>
      <w:r>
        <w:rPr>
          <w:color w:val="231F1F"/>
          <w:spacing w:val="-16"/>
          <w:w w:val="115"/>
        </w:rPr>
        <w:t> </w:t>
      </w:r>
      <w:r>
        <w:rPr>
          <w:color w:val="231F1F"/>
          <w:w w:val="115"/>
        </w:rPr>
        <w:t>simeprevir advises avoid concomitant use; increased risk of granulocytopenia</w:t>
      </w:r>
      <w:r>
        <w:rPr>
          <w:color w:val="231F1F"/>
          <w:spacing w:val="-17"/>
          <w:w w:val="115"/>
        </w:rPr>
        <w:t> </w:t>
      </w:r>
      <w:r>
        <w:rPr>
          <w:color w:val="231F1F"/>
          <w:w w:val="115"/>
        </w:rPr>
        <w:t>when</w:t>
      </w:r>
      <w:r>
        <w:rPr>
          <w:color w:val="231F1F"/>
          <w:spacing w:val="-16"/>
          <w:w w:val="115"/>
        </w:rPr>
        <w:t> </w:t>
      </w:r>
      <w:r>
        <w:rPr>
          <w:color w:val="231F1F"/>
          <w:w w:val="115"/>
        </w:rPr>
        <w:t>nevirapine</w:t>
      </w:r>
      <w:r>
        <w:rPr>
          <w:color w:val="231F1F"/>
          <w:spacing w:val="-16"/>
          <w:w w:val="115"/>
        </w:rPr>
        <w:t> </w:t>
      </w:r>
      <w:r>
        <w:rPr>
          <w:color w:val="231F1F"/>
          <w:w w:val="115"/>
        </w:rPr>
        <w:t>given</w:t>
      </w:r>
      <w:r>
        <w:rPr>
          <w:color w:val="231F1F"/>
          <w:spacing w:val="-16"/>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5"/>
          <w:sz w:val="11"/>
        </w:rPr>
        <w:t>ZIDOVUDINE</w:t>
      </w:r>
    </w:p>
    <w:p>
      <w:pPr>
        <w:pStyle w:val="BodyText"/>
        <w:spacing w:line="220" w:lineRule="auto" w:before="5"/>
        <w:ind w:right="1220" w:hanging="100"/>
        <w:rPr>
          <w:rFonts w:ascii="Calibri" w:hAnsi="Calibri"/>
          <w:sz w:val="11"/>
        </w:rPr>
      </w:pPr>
      <w:r>
        <w:rPr>
          <w:rFonts w:ascii="Lucida Sans Unicode" w:hAnsi="Lucida Sans Unicode"/>
          <w:color w:val="A7A8AC"/>
          <w:w w:val="95"/>
          <w:sz w:val="10"/>
        </w:rPr>
        <w:t>▶ </w:t>
      </w:r>
      <w:r>
        <w:rPr>
          <w:rFonts w:ascii="Calibri" w:hAnsi="Calibri"/>
          <w:color w:val="231F1F"/>
          <w:w w:val="110"/>
        </w:rPr>
        <w:t>Cobicistat: </w:t>
      </w:r>
      <w:r>
        <w:rPr>
          <w:color w:val="231F1F"/>
          <w:w w:val="110"/>
        </w:rPr>
        <w:t>manufacturer of nevirapine advises avoid concomitant use with </w:t>
      </w:r>
      <w:r>
        <w:rPr>
          <w:rFonts w:ascii="Calibri" w:hAnsi="Calibri"/>
          <w:color w:val="008356"/>
          <w:w w:val="110"/>
          <w:sz w:val="11"/>
        </w:rPr>
        <w:t>COBICISTAT</w:t>
      </w:r>
    </w:p>
    <w:p>
      <w:pPr>
        <w:pStyle w:val="BodyText"/>
        <w:spacing w:line="146" w:lineRule="exact"/>
        <w:ind w:left="108"/>
      </w:pPr>
      <w:r>
        <w:rPr>
          <w:rFonts w:ascii="Arial"/>
          <w:color w:val="231F1F"/>
          <w:w w:val="355"/>
          <w:position w:val="1"/>
          <w:sz w:val="7"/>
        </w:rPr>
        <w:t>l </w:t>
      </w:r>
      <w:r>
        <w:rPr>
          <w:rFonts w:ascii="Calibri"/>
          <w:color w:val="231F1F"/>
          <w:w w:val="110"/>
        </w:rPr>
        <w:t>Oestrogens: </w:t>
      </w:r>
      <w:r>
        <w:rPr>
          <w:color w:val="231F1F"/>
          <w:w w:val="110"/>
        </w:rPr>
        <w:t>nevirapine accelerates metabolism of</w:t>
      </w:r>
    </w:p>
    <w:p>
      <w:pPr>
        <w:pStyle w:val="BodyText"/>
        <w:spacing w:line="244" w:lineRule="auto"/>
        <w:ind w:right="689"/>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spacing w:line="145" w:lineRule="exact"/>
        <w:ind w:left="108"/>
      </w:pPr>
      <w:r>
        <w:rPr>
          <w:rFonts w:ascii="Arial"/>
          <w:color w:val="231F1F"/>
          <w:w w:val="355"/>
          <w:position w:val="1"/>
          <w:sz w:val="7"/>
        </w:rPr>
        <w:t>l </w:t>
      </w:r>
      <w:r>
        <w:rPr>
          <w:rFonts w:ascii="Calibri"/>
          <w:color w:val="231F1F"/>
          <w:w w:val="115"/>
        </w:rPr>
        <w:t>Orlistat: </w:t>
      </w:r>
      <w:r>
        <w:rPr>
          <w:color w:val="231F1F"/>
          <w:w w:val="115"/>
        </w:rPr>
        <w:t>absorption of nevirapine possibly reduced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145" w:lineRule="exact"/>
        <w:ind w:left="108"/>
      </w:pPr>
      <w:r>
        <w:rPr>
          <w:rFonts w:ascii="Arial"/>
          <w:color w:val="231F1F"/>
          <w:w w:val="355"/>
          <w:position w:val="1"/>
          <w:sz w:val="7"/>
        </w:rPr>
        <w:t>l </w:t>
      </w:r>
      <w:r>
        <w:rPr>
          <w:rFonts w:ascii="Calibri"/>
          <w:color w:val="231F1F"/>
          <w:w w:val="115"/>
        </w:rPr>
        <w:t>Progestogens: </w:t>
      </w:r>
      <w:r>
        <w:rPr>
          <w:color w:val="231F1F"/>
          <w:w w:val="115"/>
        </w:rPr>
        <w:t>nevirapine accelerates metabolism of</w:t>
      </w:r>
    </w:p>
    <w:p>
      <w:pPr>
        <w:pStyle w:val="BodyText"/>
        <w:spacing w:line="247" w:lineRule="auto"/>
        <w:ind w:right="686" w:hanging="1"/>
      </w:pPr>
      <w:r>
        <w:rPr>
          <w:rFonts w:ascii="Arial" w:hAnsi="Arial"/>
          <w:color w:val="231F1F"/>
          <w:w w:val="225"/>
          <w:position w:val="1"/>
          <w:sz w:val="7"/>
        </w:rPr>
        <w:t>l</w:t>
      </w:r>
      <w:r>
        <w:rPr>
          <w:rFonts w:ascii="Arial" w:hAnsi="Arial"/>
          <w:color w:val="231F1F"/>
          <w:spacing w:val="-35"/>
          <w:w w:val="22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5"/>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pStyle w:val="BodyText"/>
        <w:spacing w:before="7"/>
        <w:ind w:left="108"/>
      </w:pPr>
      <w:r>
        <w:rPr>
          <w:rFonts w:ascii="Trebuchet MS"/>
          <w:color w:val="008356"/>
          <w:w w:val="110"/>
        </w:rPr>
        <w:t>Nicardipine </w:t>
      </w:r>
      <w:r>
        <w:rPr>
          <w:i/>
          <w:color w:val="231F1F"/>
          <w:w w:val="110"/>
        </w:rPr>
        <w:t>see </w:t>
      </w:r>
      <w:r>
        <w:rPr>
          <w:color w:val="231F1F"/>
          <w:w w:val="110"/>
        </w:rPr>
        <w:t>Calcium-channel Blockers</w:t>
      </w:r>
    </w:p>
    <w:p>
      <w:pPr>
        <w:pStyle w:val="BodyText"/>
        <w:spacing w:before="11"/>
        <w:ind w:left="108"/>
        <w:rPr>
          <w:rFonts w:ascii="Trebuchet MS"/>
        </w:rPr>
      </w:pPr>
      <w:r>
        <w:rPr>
          <w:rFonts w:ascii="Trebuchet MS"/>
          <w:color w:val="008356"/>
        </w:rPr>
        <w:t>Nicorandil</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Alcohol: </w:t>
      </w:r>
      <w:r>
        <w:rPr>
          <w:color w:val="231F1F"/>
          <w:w w:val="105"/>
        </w:rPr>
        <w:t>hypotensive effect of nicorandil possibly enhanced by</w:t>
      </w:r>
    </w:p>
    <w:p>
      <w:pPr>
        <w:spacing w:line="130" w:lineRule="exact" w:before="0"/>
        <w:ind w:left="208" w:right="0" w:firstLine="0"/>
        <w:jc w:val="left"/>
        <w:rPr>
          <w:rFonts w:ascii="Calibri"/>
          <w:sz w:val="11"/>
        </w:rPr>
      </w:pPr>
      <w:r>
        <w:rPr>
          <w:rFonts w:ascii="Calibri"/>
          <w:color w:val="008356"/>
          <w:sz w:val="11"/>
        </w:rPr>
        <w:t>ALCOHOL</w:t>
      </w:r>
    </w:p>
    <w:p>
      <w:pPr>
        <w:pStyle w:val="BodyText"/>
        <w:spacing w:line="230" w:lineRule="auto" w:before="3"/>
        <w:ind w:right="67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Antidepressants: </w:t>
      </w:r>
      <w:r>
        <w:rPr>
          <w:color w:val="231F1F"/>
          <w:w w:val="110"/>
        </w:rPr>
        <w:t>enhanced hypotensive effect when nicorandil given with </w:t>
      </w:r>
      <w:r>
        <w:rPr>
          <w:rFonts w:ascii="Calibri" w:hAnsi="Calibri"/>
          <w:color w:val="008356"/>
          <w:w w:val="110"/>
          <w:sz w:val="11"/>
        </w:rPr>
        <w:t>MAOI</w:t>
      </w:r>
      <w:r>
        <w:rPr>
          <w:rFonts w:ascii="Calibri" w:hAnsi="Calibri"/>
          <w:color w:val="008356"/>
          <w:w w:val="110"/>
          <w:sz w:val="9"/>
        </w:rPr>
        <w:t>S</w:t>
      </w:r>
      <w:r>
        <w:rPr>
          <w:color w:val="231F1F"/>
          <w:w w:val="110"/>
        </w:rPr>
        <w:t>; hypotensive effect of nicorandil possibly enhanced by </w:t>
      </w:r>
      <w:r>
        <w:rPr>
          <w:rFonts w:ascii="Calibri" w:hAnsi="Calibri"/>
          <w:color w:val="008356"/>
          <w:w w:val="110"/>
          <w:sz w:val="11"/>
        </w:rPr>
        <w:t>TRICYCLICS</w:t>
      </w:r>
    </w:p>
    <w:p>
      <w:pPr>
        <w:pStyle w:val="BodyText"/>
        <w:ind w:right="832" w:hanging="100"/>
      </w:pPr>
      <w:r>
        <w:rPr>
          <w:rFonts w:ascii="Arial"/>
          <w:color w:val="231F1F"/>
          <w:w w:val="115"/>
          <w:position w:val="1"/>
          <w:sz w:val="7"/>
        </w:rPr>
        <w:t>l </w:t>
      </w:r>
      <w:r>
        <w:rPr>
          <w:rFonts w:ascii="Calibri"/>
          <w:color w:val="231F1F"/>
          <w:w w:val="115"/>
        </w:rPr>
        <w:t>Avanafil: </w:t>
      </w:r>
      <w:r>
        <w:rPr>
          <w:color w:val="231F1F"/>
          <w:w w:val="115"/>
        </w:rPr>
        <w:t>hypotensive effect of nicorandil </w:t>
      </w:r>
      <w:r>
        <w:rPr>
          <w:color w:val="231F1F"/>
          <w:spacing w:val="-2"/>
          <w:w w:val="115"/>
        </w:rPr>
        <w:t>significantly </w:t>
      </w:r>
      <w:r>
        <w:rPr>
          <w:color w:val="231F1F"/>
          <w:w w:val="120"/>
        </w:rPr>
        <w:t>enhanced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20"/>
          <w:sz w:val="11"/>
        </w:rPr>
        <w:t>AVANAFIL </w:t>
      </w:r>
      <w:r>
        <w:rPr>
          <w:color w:val="231F1F"/>
          <w:w w:val="120"/>
        </w:rPr>
        <w:t>(avoid concomitant use)</w:t>
      </w:r>
    </w:p>
    <w:p>
      <w:pPr>
        <w:pStyle w:val="BodyText"/>
        <w:ind w:right="1058" w:hanging="100"/>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Sildenafil:</w:t>
      </w:r>
      <w:r>
        <w:rPr>
          <w:rFonts w:ascii="Calibri"/>
          <w:color w:val="231F1F"/>
          <w:spacing w:val="-9"/>
          <w:w w:val="115"/>
        </w:rPr>
        <w:t> </w:t>
      </w:r>
      <w:r>
        <w:rPr>
          <w:color w:val="231F1F"/>
          <w:w w:val="115"/>
        </w:rPr>
        <w:t>hypotensive</w:t>
      </w:r>
      <w:r>
        <w:rPr>
          <w:color w:val="231F1F"/>
          <w:spacing w:val="-13"/>
          <w:w w:val="115"/>
        </w:rPr>
        <w:t> </w:t>
      </w:r>
      <w:r>
        <w:rPr>
          <w:color w:val="231F1F"/>
          <w:w w:val="115"/>
        </w:rPr>
        <w:t>effect</w:t>
      </w:r>
      <w:r>
        <w:rPr>
          <w:color w:val="231F1F"/>
          <w:spacing w:val="-13"/>
          <w:w w:val="115"/>
        </w:rPr>
        <w:t> </w:t>
      </w:r>
      <w:r>
        <w:rPr>
          <w:color w:val="231F1F"/>
          <w:w w:val="115"/>
        </w:rPr>
        <w:t>of</w:t>
      </w:r>
      <w:r>
        <w:rPr>
          <w:color w:val="231F1F"/>
          <w:spacing w:val="-12"/>
          <w:w w:val="115"/>
        </w:rPr>
        <w:t> </w:t>
      </w:r>
      <w:r>
        <w:rPr>
          <w:color w:val="231F1F"/>
          <w:w w:val="115"/>
        </w:rPr>
        <w:t>nicorandil</w:t>
      </w:r>
      <w:r>
        <w:rPr>
          <w:color w:val="231F1F"/>
          <w:spacing w:val="-13"/>
          <w:w w:val="115"/>
        </w:rPr>
        <w:t> </w:t>
      </w:r>
      <w:r>
        <w:rPr>
          <w:color w:val="231F1F"/>
          <w:spacing w:val="-3"/>
          <w:w w:val="115"/>
        </w:rPr>
        <w:t>significantly </w:t>
      </w:r>
      <w:r>
        <w:rPr>
          <w:color w:val="231F1F"/>
          <w:w w:val="115"/>
        </w:rPr>
        <w:t>enhanced</w:t>
      </w:r>
      <w:r>
        <w:rPr>
          <w:color w:val="231F1F"/>
          <w:spacing w:val="-10"/>
          <w:w w:val="115"/>
        </w:rPr>
        <w:t> </w:t>
      </w:r>
      <w:r>
        <w:rPr>
          <w:color w:val="231F1F"/>
          <w:w w:val="115"/>
        </w:rPr>
        <w:t>by</w:t>
      </w:r>
      <w:r>
        <w:rPr>
          <w:color w:val="231F1F"/>
          <w:spacing w:val="-7"/>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5"/>
          <w:sz w:val="11"/>
        </w:rPr>
        <w:t>SILDENAFIL</w:t>
      </w:r>
      <w:r>
        <w:rPr>
          <w:rFonts w:ascii="Calibri"/>
          <w:color w:val="008356"/>
          <w:spacing w:val="2"/>
          <w:w w:val="115"/>
          <w:sz w:val="11"/>
        </w:rPr>
        <w:t> </w:t>
      </w:r>
      <w:r>
        <w:rPr>
          <w:color w:val="231F1F"/>
          <w:w w:val="115"/>
        </w:rPr>
        <w:t>(avoid</w:t>
      </w:r>
      <w:r>
        <w:rPr>
          <w:color w:val="231F1F"/>
          <w:spacing w:val="-8"/>
          <w:w w:val="115"/>
        </w:rPr>
        <w:t> </w:t>
      </w:r>
      <w:r>
        <w:rPr>
          <w:color w:val="231F1F"/>
          <w:w w:val="115"/>
        </w:rPr>
        <w:t>concomitant</w:t>
      </w:r>
      <w:r>
        <w:rPr>
          <w:color w:val="231F1F"/>
          <w:spacing w:val="-9"/>
          <w:w w:val="115"/>
        </w:rPr>
        <w:t> </w:t>
      </w:r>
      <w:r>
        <w:rPr>
          <w:color w:val="231F1F"/>
          <w:w w:val="115"/>
        </w:rPr>
        <w:t>use)</w:t>
      </w:r>
    </w:p>
    <w:p>
      <w:pPr>
        <w:pStyle w:val="BodyText"/>
        <w:ind w:right="1100" w:hanging="100"/>
      </w:pPr>
      <w:r>
        <w:rPr>
          <w:rFonts w:ascii="Arial"/>
          <w:color w:val="231F1F"/>
          <w:w w:val="115"/>
          <w:position w:val="1"/>
          <w:sz w:val="7"/>
        </w:rPr>
        <w:t>l</w:t>
      </w:r>
      <w:r>
        <w:rPr>
          <w:rFonts w:ascii="Arial"/>
          <w:color w:val="231F1F"/>
          <w:spacing w:val="9"/>
          <w:w w:val="115"/>
          <w:position w:val="1"/>
          <w:sz w:val="7"/>
        </w:rPr>
        <w:t> </w:t>
      </w:r>
      <w:r>
        <w:rPr>
          <w:rFonts w:ascii="Calibri"/>
          <w:color w:val="231F1F"/>
          <w:w w:val="115"/>
        </w:rPr>
        <w:t>Tadalafil:</w:t>
      </w:r>
      <w:r>
        <w:rPr>
          <w:rFonts w:ascii="Calibri"/>
          <w:color w:val="231F1F"/>
          <w:spacing w:val="-6"/>
          <w:w w:val="115"/>
        </w:rPr>
        <w:t> </w:t>
      </w:r>
      <w:r>
        <w:rPr>
          <w:color w:val="231F1F"/>
          <w:w w:val="115"/>
        </w:rPr>
        <w:t>hypotensive</w:t>
      </w:r>
      <w:r>
        <w:rPr>
          <w:color w:val="231F1F"/>
          <w:spacing w:val="-9"/>
          <w:w w:val="115"/>
        </w:rPr>
        <w:t> </w:t>
      </w:r>
      <w:r>
        <w:rPr>
          <w:color w:val="231F1F"/>
          <w:w w:val="115"/>
        </w:rPr>
        <w:t>effect</w:t>
      </w:r>
      <w:r>
        <w:rPr>
          <w:color w:val="231F1F"/>
          <w:spacing w:val="-10"/>
          <w:w w:val="115"/>
        </w:rPr>
        <w:t> </w:t>
      </w:r>
      <w:r>
        <w:rPr>
          <w:color w:val="231F1F"/>
          <w:w w:val="115"/>
        </w:rPr>
        <w:t>of</w:t>
      </w:r>
      <w:r>
        <w:rPr>
          <w:color w:val="231F1F"/>
          <w:spacing w:val="-9"/>
          <w:w w:val="115"/>
        </w:rPr>
        <w:t> </w:t>
      </w:r>
      <w:r>
        <w:rPr>
          <w:color w:val="231F1F"/>
          <w:w w:val="115"/>
        </w:rPr>
        <w:t>nicorandil</w:t>
      </w:r>
      <w:r>
        <w:rPr>
          <w:color w:val="231F1F"/>
          <w:spacing w:val="-11"/>
          <w:w w:val="115"/>
        </w:rPr>
        <w:t> </w:t>
      </w:r>
      <w:r>
        <w:rPr>
          <w:color w:val="231F1F"/>
          <w:spacing w:val="-2"/>
          <w:w w:val="115"/>
        </w:rPr>
        <w:t>significantly </w:t>
      </w:r>
      <w:r>
        <w:rPr>
          <w:color w:val="231F1F"/>
          <w:w w:val="120"/>
        </w:rPr>
        <w:t>enhanced</w:t>
      </w:r>
      <w:r>
        <w:rPr>
          <w:color w:val="231F1F"/>
          <w:spacing w:val="-19"/>
          <w:w w:val="120"/>
        </w:rPr>
        <w:t> </w:t>
      </w:r>
      <w:r>
        <w:rPr>
          <w:color w:val="231F1F"/>
          <w:w w:val="120"/>
        </w:rPr>
        <w:t>by</w:t>
      </w:r>
      <w:r>
        <w:rPr>
          <w:color w:val="231F1F"/>
          <w:spacing w:val="-17"/>
          <w:w w:val="120"/>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20"/>
          <w:sz w:val="11"/>
        </w:rPr>
        <w:t>TADALAFIL</w:t>
      </w:r>
      <w:r>
        <w:rPr>
          <w:rFonts w:ascii="Calibri"/>
          <w:color w:val="008356"/>
          <w:spacing w:val="-8"/>
          <w:w w:val="120"/>
          <w:sz w:val="11"/>
        </w:rPr>
        <w:t> </w:t>
      </w:r>
      <w:r>
        <w:rPr>
          <w:color w:val="231F1F"/>
          <w:w w:val="120"/>
        </w:rPr>
        <w:t>(avoid</w:t>
      </w:r>
      <w:r>
        <w:rPr>
          <w:color w:val="231F1F"/>
          <w:spacing w:val="-17"/>
          <w:w w:val="120"/>
        </w:rPr>
        <w:t> </w:t>
      </w:r>
      <w:r>
        <w:rPr>
          <w:color w:val="231F1F"/>
          <w:w w:val="120"/>
        </w:rPr>
        <w:t>concomitant</w:t>
      </w:r>
      <w:r>
        <w:rPr>
          <w:color w:val="231F1F"/>
          <w:spacing w:val="-19"/>
          <w:w w:val="120"/>
        </w:rPr>
        <w:t> </w:t>
      </w:r>
      <w:r>
        <w:rPr>
          <w:color w:val="231F1F"/>
          <w:w w:val="120"/>
        </w:rPr>
        <w:t>use)</w:t>
      </w:r>
    </w:p>
    <w:p>
      <w:pPr>
        <w:pStyle w:val="BodyText"/>
        <w:spacing w:line="237" w:lineRule="auto"/>
        <w:ind w:right="770" w:hanging="100"/>
      </w:pPr>
      <w:r>
        <w:rPr>
          <w:rFonts w:ascii="Arial" w:hAnsi="Arial"/>
          <w:color w:val="231F1F"/>
          <w:w w:val="355"/>
          <w:position w:val="1"/>
          <w:sz w:val="7"/>
        </w:rPr>
        <w:t>l </w:t>
      </w:r>
      <w:r>
        <w:rPr>
          <w:rFonts w:ascii="Calibri" w:hAnsi="Calibri"/>
          <w:color w:val="231F1F"/>
          <w:w w:val="115"/>
        </w:rPr>
        <w:t>Vardenafil: </w:t>
      </w:r>
      <w:r>
        <w:rPr>
          <w:color w:val="231F1F"/>
          <w:w w:val="115"/>
        </w:rPr>
        <w:t>possible increased hypotensive effect when nicorandil</w:t>
      </w:r>
      <w:r>
        <w:rPr>
          <w:color w:val="231F1F"/>
          <w:spacing w:val="-23"/>
          <w:w w:val="115"/>
        </w:rPr>
        <w:t> </w:t>
      </w:r>
      <w:r>
        <w:rPr>
          <w:color w:val="231F1F"/>
          <w:w w:val="115"/>
        </w:rPr>
        <w:t>given</w:t>
      </w:r>
      <w:r>
        <w:rPr>
          <w:color w:val="231F1F"/>
          <w:spacing w:val="-21"/>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3"/>
          <w:w w:val="115"/>
        </w:rPr>
        <w:t> </w:t>
      </w:r>
      <w:r>
        <w:rPr>
          <w:color w:val="231F1F"/>
          <w:w w:val="115"/>
        </w:rPr>
        <w:t>use</w:t>
      </w:r>
    </w:p>
    <w:p>
      <w:pPr>
        <w:spacing w:line="237" w:lineRule="auto" w:before="0"/>
        <w:ind w:left="208" w:right="74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possible enhanced hypotensive effect when nicorandil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ind w:left="108"/>
        <w:rPr>
          <w:rFonts w:ascii="Trebuchet MS"/>
        </w:rPr>
      </w:pPr>
      <w:r>
        <w:rPr>
          <w:rFonts w:ascii="Trebuchet MS"/>
          <w:color w:val="008356"/>
        </w:rPr>
        <w:t>Nicotine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Anti-arrhythmics: </w:t>
      </w:r>
      <w:r>
        <w:rPr>
          <w:color w:val="231F1F"/>
          <w:w w:val="105"/>
        </w:rPr>
        <w:t>nicotine possibly enhances effects of</w:t>
      </w:r>
    </w:p>
    <w:p>
      <w:pPr>
        <w:spacing w:line="131" w:lineRule="exact" w:before="0"/>
        <w:ind w:left="208" w:right="0" w:firstLine="0"/>
        <w:jc w:val="left"/>
        <w:rPr>
          <w:rFonts w:ascii="Calibri"/>
          <w:sz w:val="11"/>
        </w:rPr>
      </w:pPr>
      <w:r>
        <w:rPr>
          <w:rFonts w:ascii="Calibri"/>
          <w:color w:val="008356"/>
          <w:sz w:val="11"/>
        </w:rPr>
        <w:t>ADENOSINE</w:t>
      </w:r>
    </w:p>
    <w:p>
      <w:pPr>
        <w:pStyle w:val="BodyText"/>
        <w:spacing w:before="6"/>
        <w:ind w:left="108"/>
        <w:rPr>
          <w:rFonts w:ascii="Trebuchet MS"/>
        </w:rPr>
      </w:pPr>
      <w:r>
        <w:rPr>
          <w:rFonts w:ascii="Trebuchet MS"/>
          <w:color w:val="008356"/>
        </w:rPr>
        <w:t>Nicotinic Acid</w:t>
      </w:r>
    </w:p>
    <w:p>
      <w:pPr>
        <w:pStyle w:val="BodyText"/>
        <w:spacing w:before="1"/>
        <w:ind w:right="691" w:hanging="100"/>
      </w:pPr>
      <w:r>
        <w:rPr>
          <w:rFonts w:ascii="Arial"/>
          <w:color w:val="231F1F"/>
          <w:w w:val="355"/>
          <w:position w:val="1"/>
          <w:sz w:val="7"/>
        </w:rPr>
        <w:t>l </w:t>
      </w:r>
      <w:r>
        <w:rPr>
          <w:rFonts w:ascii="Calibri"/>
          <w:color w:val="231F1F"/>
          <w:w w:val="115"/>
        </w:rPr>
        <w:t>Lipid-regulating Drugs: </w:t>
      </w:r>
      <w:r>
        <w:rPr>
          <w:color w:val="231F1F"/>
          <w:w w:val="115"/>
        </w:rPr>
        <w:t>increased risk of myopathy when nicotinic</w:t>
      </w:r>
      <w:r>
        <w:rPr>
          <w:color w:val="231F1F"/>
          <w:spacing w:val="-14"/>
          <w:w w:val="115"/>
        </w:rPr>
        <w:t> </w:t>
      </w:r>
      <w:r>
        <w:rPr>
          <w:color w:val="231F1F"/>
          <w:w w:val="115"/>
        </w:rPr>
        <w:t>acid</w:t>
      </w:r>
      <w:r>
        <w:rPr>
          <w:color w:val="231F1F"/>
          <w:spacing w:val="-13"/>
          <w:w w:val="115"/>
        </w:rPr>
        <w:t> </w:t>
      </w:r>
      <w:r>
        <w:rPr>
          <w:color w:val="231F1F"/>
          <w:w w:val="115"/>
        </w:rPr>
        <w:t>given</w:t>
      </w:r>
      <w:r>
        <w:rPr>
          <w:color w:val="231F1F"/>
          <w:spacing w:val="-13"/>
          <w:w w:val="115"/>
        </w:rPr>
        <w:t> </w:t>
      </w:r>
      <w:r>
        <w:rPr>
          <w:color w:val="231F1F"/>
          <w:w w:val="115"/>
        </w:rPr>
        <w:t>with</w:t>
      </w:r>
      <w:r>
        <w:rPr>
          <w:color w:val="231F1F"/>
          <w:spacing w:val="-12"/>
          <w:w w:val="115"/>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2"/>
          <w:w w:val="115"/>
          <w:sz w:val="11"/>
        </w:rPr>
        <w:t>STATINS</w:t>
      </w:r>
      <w:r>
        <w:rPr>
          <w:rFonts w:ascii="Calibri"/>
          <w:color w:val="008356"/>
          <w:spacing w:val="-3"/>
          <w:w w:val="115"/>
          <w:sz w:val="11"/>
        </w:rPr>
        <w:t> </w:t>
      </w:r>
      <w:r>
        <w:rPr>
          <w:color w:val="231F1F"/>
          <w:w w:val="115"/>
        </w:rPr>
        <w:t>(applies</w:t>
      </w:r>
      <w:r>
        <w:rPr>
          <w:color w:val="231F1F"/>
          <w:spacing w:val="-13"/>
          <w:w w:val="115"/>
        </w:rPr>
        <w:t> </w:t>
      </w:r>
      <w:r>
        <w:rPr>
          <w:color w:val="231F1F"/>
          <w:w w:val="115"/>
        </w:rPr>
        <w:t>to</w:t>
      </w:r>
      <w:r>
        <w:rPr>
          <w:color w:val="231F1F"/>
          <w:spacing w:val="-13"/>
          <w:w w:val="115"/>
        </w:rPr>
        <w:t> </w:t>
      </w:r>
      <w:r>
        <w:rPr>
          <w:color w:val="231F1F"/>
          <w:w w:val="115"/>
        </w:rPr>
        <w:t>lipid</w:t>
      </w:r>
      <w:r>
        <w:rPr>
          <w:color w:val="231F1F"/>
          <w:spacing w:val="-12"/>
          <w:w w:val="115"/>
        </w:rPr>
        <w:t> </w:t>
      </w:r>
      <w:r>
        <w:rPr>
          <w:color w:val="231F1F"/>
          <w:w w:val="115"/>
        </w:rPr>
        <w:t>regulating doses of nicotinic</w:t>
      </w:r>
      <w:r>
        <w:rPr>
          <w:color w:val="231F1F"/>
          <w:spacing w:val="-13"/>
          <w:w w:val="115"/>
        </w:rPr>
        <w:t> </w:t>
      </w:r>
      <w:r>
        <w:rPr>
          <w:color w:val="231F1F"/>
          <w:w w:val="115"/>
        </w:rPr>
        <w:t>acid)</w:t>
      </w:r>
    </w:p>
    <w:p>
      <w:pPr>
        <w:pStyle w:val="BodyText"/>
        <w:spacing w:before="12"/>
        <w:ind w:left="108"/>
      </w:pPr>
      <w:r>
        <w:rPr>
          <w:rFonts w:ascii="Trebuchet MS"/>
          <w:color w:val="008356"/>
          <w:w w:val="110"/>
        </w:rPr>
        <w:t>Nifedipine </w:t>
      </w:r>
      <w:r>
        <w:rPr>
          <w:i/>
          <w:color w:val="231F1F"/>
          <w:w w:val="110"/>
        </w:rPr>
        <w:t>see </w:t>
      </w:r>
      <w:r>
        <w:rPr>
          <w:color w:val="231F1F"/>
          <w:w w:val="110"/>
        </w:rPr>
        <w:t>Calcium-channel Blockers</w:t>
      </w:r>
    </w:p>
    <w:p>
      <w:pPr>
        <w:pStyle w:val="BodyText"/>
        <w:spacing w:before="9"/>
        <w:ind w:left="108"/>
        <w:rPr>
          <w:rFonts w:ascii="Trebuchet MS"/>
        </w:rPr>
      </w:pPr>
      <w:r>
        <w:rPr>
          <w:rFonts w:ascii="Trebuchet MS"/>
          <w:color w:val="008356"/>
        </w:rPr>
        <w:t>Nilotinib</w:t>
      </w:r>
    </w:p>
    <w:p>
      <w:pPr>
        <w:spacing w:line="242" w:lineRule="auto" w:before="1"/>
        <w:ind w:left="208" w:right="584" w:hanging="100"/>
        <w:jc w:val="left"/>
        <w:rPr>
          <w:sz w:val="12"/>
        </w:rPr>
      </w:pPr>
      <w:r>
        <w:rPr>
          <w:rFonts w:ascii="Arial" w:hAnsi="Arial"/>
          <w:color w:val="231F1F"/>
          <w:w w:val="355"/>
          <w:position w:val="1"/>
          <w:sz w:val="7"/>
        </w:rPr>
        <w:t>l </w:t>
      </w:r>
      <w:r>
        <w:rPr>
          <w:rFonts w:ascii="Calibri" w:hAnsi="Calibri"/>
          <w:color w:val="231F1F"/>
          <w:w w:val="110"/>
          <w:sz w:val="12"/>
        </w:rPr>
        <w:t>Antibacterials: </w:t>
      </w:r>
      <w:r>
        <w:rPr>
          <w:color w:val="231F1F"/>
          <w:w w:val="110"/>
          <w:sz w:val="12"/>
        </w:rPr>
        <w:t>manufacturer of nilotinib advises avoid concomitant use with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CLARITHROMYCIN </w:t>
      </w:r>
      <w:r>
        <w:rPr>
          <w:color w:val="231F1F"/>
          <w:w w:val="110"/>
          <w:sz w:val="12"/>
        </w:rPr>
        <w:t>and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TELITHROMYCIN</w:t>
      </w:r>
      <w:r>
        <w:rPr>
          <w:color w:val="231F1F"/>
          <w:spacing w:val="4"/>
          <w:w w:val="110"/>
          <w:sz w:val="12"/>
        </w:rPr>
        <w:t>; </w:t>
      </w:r>
      <w:r>
        <w:rPr>
          <w:color w:val="231F1F"/>
          <w:w w:val="110"/>
          <w:sz w:val="12"/>
        </w:rPr>
        <w:t>plasma concentration of nilotinib reduced by </w:t>
      </w:r>
      <w:r>
        <w:rPr>
          <w:rFonts w:ascii="Arial" w:hAnsi="Arial"/>
          <w:color w:val="231F1F"/>
          <w:w w:val="355"/>
          <w:position w:val="1"/>
          <w:sz w:val="7"/>
        </w:rPr>
        <w:t>l </w:t>
      </w:r>
      <w:r>
        <w:rPr>
          <w:rFonts w:ascii="Calibri" w:hAnsi="Calibri"/>
          <w:color w:val="008356"/>
          <w:spacing w:val="4"/>
          <w:w w:val="110"/>
          <w:sz w:val="11"/>
        </w:rPr>
        <w:t>RIFAMPICIN</w:t>
      </w:r>
      <w:r>
        <w:rPr>
          <w:rFonts w:ascii="Arial" w:hAnsi="Arial"/>
          <w:color w:val="231F1F"/>
          <w:spacing w:val="4"/>
          <w:w w:val="110"/>
          <w:sz w:val="12"/>
        </w:rPr>
        <w:t>— </w:t>
      </w:r>
      <w:r>
        <w:rPr>
          <w:color w:val="231F1F"/>
          <w:w w:val="110"/>
          <w:sz w:val="12"/>
        </w:rPr>
        <w:t>avoid concomitant use</w:t>
      </w:r>
    </w:p>
    <w:p>
      <w:pPr>
        <w:pStyle w:val="BodyText"/>
        <w:spacing w:line="144"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nilotinib increased by</w:t>
      </w:r>
    </w:p>
    <w:p>
      <w:pPr>
        <w:spacing w:line="242" w:lineRule="auto" w:before="0"/>
        <w:ind w:left="208" w:right="689" w:firstLine="0"/>
        <w:jc w:val="left"/>
        <w:rPr>
          <w:rFonts w:ascii="Calibri" w:hAnsi="Calibri"/>
          <w:sz w:val="11"/>
        </w:rPr>
      </w:pP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sz w:val="12"/>
        </w:rPr>
        <w:t>—</w:t>
      </w:r>
      <w:r>
        <w:rPr>
          <w:color w:val="231F1F"/>
          <w:w w:val="110"/>
          <w:sz w:val="12"/>
        </w:rPr>
        <w:t>avoid concomitant use; manufacturer of nilotinib advises avoid concomitant use with </w:t>
      </w:r>
      <w:r>
        <w:rPr>
          <w:rFonts w:ascii="Arial" w:hAnsi="Arial"/>
          <w:color w:val="231F1F"/>
          <w:w w:val="355"/>
          <w:position w:val="1"/>
          <w:sz w:val="7"/>
        </w:rPr>
        <w:t>l </w:t>
      </w:r>
      <w:r>
        <w:rPr>
          <w:rFonts w:ascii="Calibri" w:hAnsi="Calibri"/>
          <w:color w:val="008356"/>
          <w:w w:val="110"/>
          <w:sz w:val="11"/>
        </w:rPr>
        <w:t>ITRACONAZOLE </w:t>
      </w:r>
      <w:r>
        <w:rPr>
          <w:color w:val="231F1F"/>
          <w:w w:val="110"/>
          <w:sz w:val="12"/>
        </w:rPr>
        <w:t>and </w:t>
      </w:r>
      <w:r>
        <w:rPr>
          <w:rFonts w:ascii="Arial" w:hAnsi="Arial"/>
          <w:color w:val="231F1F"/>
          <w:w w:val="355"/>
          <w:position w:val="1"/>
          <w:sz w:val="7"/>
        </w:rPr>
        <w:t>l </w:t>
      </w:r>
      <w:r>
        <w:rPr>
          <w:rFonts w:ascii="Calibri" w:hAnsi="Calibri"/>
          <w:color w:val="008356"/>
          <w:w w:val="110"/>
          <w:sz w:val="11"/>
        </w:rPr>
        <w:t>VORICONAZOLE</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42" w:lineRule="auto"/>
        <w:ind w:right="766" w:hanging="100"/>
      </w:pPr>
      <w:r>
        <w:rPr>
          <w:rFonts w:ascii="Arial" w:hAnsi="Arial"/>
          <w:color w:val="231F1F"/>
          <w:w w:val="120"/>
          <w:position w:val="1"/>
          <w:sz w:val="7"/>
        </w:rPr>
        <w:t>l</w:t>
      </w:r>
      <w:r>
        <w:rPr>
          <w:rFonts w:ascii="Arial" w:hAnsi="Arial"/>
          <w:color w:val="231F1F"/>
          <w:spacing w:val="-10"/>
          <w:w w:val="120"/>
          <w:position w:val="1"/>
          <w:sz w:val="7"/>
        </w:rPr>
        <w:t> </w:t>
      </w:r>
      <w:r>
        <w:rPr>
          <w:rFonts w:ascii="Calibri" w:hAnsi="Calibri"/>
          <w:color w:val="231F1F"/>
          <w:w w:val="120"/>
        </w:rPr>
        <w:t>Antivirals:</w:t>
      </w:r>
      <w:r>
        <w:rPr>
          <w:rFonts w:ascii="Calibri" w:hAnsi="Calibri"/>
          <w:color w:val="231F1F"/>
          <w:spacing w:val="-23"/>
          <w:w w:val="120"/>
        </w:rPr>
        <w:t> </w:t>
      </w:r>
      <w:r>
        <w:rPr>
          <w:color w:val="231F1F"/>
          <w:w w:val="120"/>
        </w:rPr>
        <w:t>avoidance</w:t>
      </w:r>
      <w:r>
        <w:rPr>
          <w:color w:val="231F1F"/>
          <w:spacing w:val="-25"/>
          <w:w w:val="120"/>
        </w:rPr>
        <w:t> </w:t>
      </w:r>
      <w:r>
        <w:rPr>
          <w:color w:val="231F1F"/>
          <w:w w:val="120"/>
        </w:rPr>
        <w:t>of</w:t>
      </w:r>
      <w:r>
        <w:rPr>
          <w:color w:val="231F1F"/>
          <w:spacing w:val="-26"/>
          <w:w w:val="120"/>
        </w:rPr>
        <w:t> </w:t>
      </w:r>
      <w:r>
        <w:rPr>
          <w:color w:val="231F1F"/>
          <w:w w:val="120"/>
        </w:rPr>
        <w:t>nilotinib</w:t>
      </w:r>
      <w:r>
        <w:rPr>
          <w:color w:val="231F1F"/>
          <w:spacing w:val="-26"/>
          <w:w w:val="120"/>
        </w:rPr>
        <w:t> </w:t>
      </w:r>
      <w:r>
        <w:rPr>
          <w:color w:val="231F1F"/>
          <w:w w:val="120"/>
        </w:rPr>
        <w:t>advised</w:t>
      </w:r>
      <w:r>
        <w:rPr>
          <w:color w:val="231F1F"/>
          <w:spacing w:val="-25"/>
          <w:w w:val="120"/>
        </w:rPr>
        <w:t> </w:t>
      </w:r>
      <w:r>
        <w:rPr>
          <w:color w:val="231F1F"/>
          <w:w w:val="120"/>
        </w:rPr>
        <w:t>by</w:t>
      </w:r>
      <w:r>
        <w:rPr>
          <w:color w:val="231F1F"/>
          <w:spacing w:val="-26"/>
          <w:w w:val="120"/>
        </w:rPr>
        <w:t> </w:t>
      </w:r>
      <w:r>
        <w:rPr>
          <w:color w:val="231F1F"/>
          <w:w w:val="120"/>
        </w:rPr>
        <w:t>manufacturer</w:t>
      </w:r>
      <w:r>
        <w:rPr>
          <w:color w:val="231F1F"/>
          <w:spacing w:val="-25"/>
          <w:w w:val="120"/>
        </w:rPr>
        <w:t> </w:t>
      </w:r>
      <w:r>
        <w:rPr>
          <w:color w:val="231F1F"/>
          <w:spacing w:val="-7"/>
          <w:w w:val="120"/>
        </w:rPr>
        <w:t>of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20"/>
          <w:sz w:val="11"/>
        </w:rPr>
        <w:t>BOCEPREVIR</w:t>
      </w:r>
      <w:r>
        <w:rPr>
          <w:color w:val="231F1F"/>
          <w:spacing w:val="4"/>
          <w:w w:val="120"/>
        </w:rPr>
        <w:t>;</w:t>
      </w:r>
      <w:r>
        <w:rPr>
          <w:color w:val="231F1F"/>
          <w:spacing w:val="-23"/>
          <w:w w:val="120"/>
        </w:rPr>
        <w:t> </w:t>
      </w:r>
      <w:r>
        <w:rPr>
          <w:color w:val="231F1F"/>
          <w:w w:val="120"/>
        </w:rPr>
        <w:t>plasma</w:t>
      </w:r>
      <w:r>
        <w:rPr>
          <w:color w:val="231F1F"/>
          <w:spacing w:val="-23"/>
          <w:w w:val="120"/>
        </w:rPr>
        <w:t> </w:t>
      </w:r>
      <w:r>
        <w:rPr>
          <w:color w:val="231F1F"/>
          <w:w w:val="120"/>
        </w:rPr>
        <w:t>concentration</w:t>
      </w:r>
      <w:r>
        <w:rPr>
          <w:color w:val="231F1F"/>
          <w:spacing w:val="-23"/>
          <w:w w:val="120"/>
        </w:rPr>
        <w:t> </w:t>
      </w:r>
      <w:r>
        <w:rPr>
          <w:color w:val="231F1F"/>
          <w:w w:val="120"/>
        </w:rPr>
        <w:t>of</w:t>
      </w:r>
      <w:r>
        <w:rPr>
          <w:color w:val="231F1F"/>
          <w:spacing w:val="-23"/>
          <w:w w:val="120"/>
        </w:rPr>
        <w:t> </w:t>
      </w:r>
      <w:r>
        <w:rPr>
          <w:color w:val="231F1F"/>
          <w:w w:val="120"/>
        </w:rPr>
        <w:t>nilotinib</w:t>
      </w:r>
      <w:r>
        <w:rPr>
          <w:color w:val="231F1F"/>
          <w:spacing w:val="-23"/>
          <w:w w:val="120"/>
        </w:rPr>
        <w:t> </w:t>
      </w:r>
      <w:r>
        <w:rPr>
          <w:color w:val="231F1F"/>
          <w:w w:val="120"/>
        </w:rPr>
        <w:t>possibly </w:t>
      </w:r>
      <w:r>
        <w:rPr>
          <w:color w:val="231F1F"/>
          <w:w w:val="115"/>
        </w:rPr>
        <w:t>increased</w:t>
      </w:r>
      <w:r>
        <w:rPr>
          <w:color w:val="231F1F"/>
          <w:spacing w:val="-17"/>
          <w:w w:val="115"/>
        </w:rPr>
        <w:t> </w:t>
      </w:r>
      <w:r>
        <w:rPr>
          <w:color w:val="231F1F"/>
          <w:w w:val="115"/>
        </w:rPr>
        <w:t>by</w:t>
      </w:r>
      <w:r>
        <w:rPr>
          <w:color w:val="231F1F"/>
          <w:spacing w:val="-15"/>
          <w:w w:val="115"/>
        </w:rPr>
        <w:t> </w:t>
      </w:r>
      <w:r>
        <w:rPr>
          <w:rFonts w:ascii="Calibri" w:hAnsi="Calibri"/>
          <w:color w:val="008356"/>
          <w:w w:val="115"/>
          <w:sz w:val="11"/>
        </w:rPr>
        <w:t>RITONAVIR</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5"/>
          <w:w w:val="115"/>
        </w:rPr>
        <w:t> </w:t>
      </w:r>
      <w:r>
        <w:rPr>
          <w:color w:val="231F1F"/>
          <w:w w:val="115"/>
        </w:rPr>
        <w:t>nilotinib</w:t>
      </w:r>
      <w:r>
        <w:rPr>
          <w:color w:val="231F1F"/>
          <w:spacing w:val="-16"/>
          <w:w w:val="115"/>
        </w:rPr>
        <w:t> </w:t>
      </w:r>
      <w:r>
        <w:rPr>
          <w:color w:val="231F1F"/>
          <w:w w:val="115"/>
        </w:rPr>
        <w:t>advises </w:t>
      </w:r>
      <w:r>
        <w:rPr>
          <w:color w:val="231F1F"/>
          <w:w w:val="120"/>
        </w:rPr>
        <w:t>avoid concomitant</w:t>
      </w:r>
      <w:r>
        <w:rPr>
          <w:color w:val="231F1F"/>
          <w:spacing w:val="-14"/>
          <w:w w:val="120"/>
        </w:rPr>
        <w:t> </w:t>
      </w:r>
      <w:r>
        <w:rPr>
          <w:color w:val="231F1F"/>
          <w:w w:val="120"/>
        </w:rPr>
        <w:t>use</w:t>
      </w:r>
    </w:p>
    <w:p>
      <w:pPr>
        <w:pStyle w:val="BodyText"/>
        <w:spacing w:line="220" w:lineRule="auto" w:before="5"/>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nilotinib increases plasma concentration of </w:t>
      </w:r>
      <w:r>
        <w:rPr>
          <w:rFonts w:ascii="Calibri" w:hAnsi="Calibri"/>
          <w:color w:val="008356"/>
          <w:w w:val="105"/>
          <w:sz w:val="11"/>
        </w:rPr>
        <w:t>MIDAZOLAM</w:t>
      </w:r>
    </w:p>
    <w:p>
      <w:pPr>
        <w:spacing w:before="1"/>
        <w:ind w:left="208" w:right="832" w:hanging="100"/>
        <w:jc w:val="left"/>
        <w:rPr>
          <w:rFonts w:ascii="Calibri"/>
          <w:sz w:val="11"/>
        </w:rPr>
      </w:pPr>
      <w:r>
        <w:rPr>
          <w:rFonts w:ascii="Arial"/>
          <w:color w:val="231F1F"/>
          <w:w w:val="355"/>
          <w:position w:val="1"/>
          <w:sz w:val="7"/>
        </w:rPr>
        <w:t>l </w:t>
      </w:r>
      <w:r>
        <w:rPr>
          <w:rFonts w:ascii="Calibri"/>
          <w:color w:val="231F1F"/>
          <w:w w:val="110"/>
          <w:sz w:val="12"/>
        </w:rPr>
        <w:t>Grapefruit Juice: </w:t>
      </w:r>
      <w:r>
        <w:rPr>
          <w:color w:val="231F1F"/>
          <w:w w:val="110"/>
          <w:sz w:val="12"/>
        </w:rPr>
        <w:t>manufacturer of nilotinib advises </w:t>
      </w:r>
      <w:r>
        <w:rPr>
          <w:color w:val="231F1F"/>
          <w:spacing w:val="-3"/>
          <w:w w:val="110"/>
          <w:sz w:val="12"/>
        </w:rPr>
        <w:t>avoid </w:t>
      </w:r>
      <w:r>
        <w:rPr>
          <w:color w:val="231F1F"/>
          <w:w w:val="110"/>
          <w:sz w:val="12"/>
        </w:rPr>
        <w:t>concomitant use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GRAPEFRUIT </w:t>
      </w:r>
      <w:r>
        <w:rPr>
          <w:rFonts w:ascii="Calibri"/>
          <w:color w:val="008356"/>
          <w:spacing w:val="5"/>
          <w:w w:val="110"/>
          <w:sz w:val="11"/>
        </w:rPr>
        <w:t>JUICE</w:t>
      </w:r>
    </w:p>
    <w:p>
      <w:pPr>
        <w:pStyle w:val="BodyText"/>
        <w:spacing w:line="220" w:lineRule="auto" w:before="5"/>
        <w:ind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nilotinib by 12 hours advised by manufacturer of</w:t>
      </w:r>
      <w:r>
        <w:rPr>
          <w:color w:val="231F1F"/>
          <w:spacing w:val="-7"/>
          <w:w w:val="105"/>
        </w:rPr>
        <w:t> </w:t>
      </w:r>
      <w:r>
        <w:rPr>
          <w:rFonts w:ascii="Calibri" w:hAnsi="Calibri"/>
          <w:color w:val="008356"/>
          <w:w w:val="105"/>
          <w:sz w:val="11"/>
        </w:rPr>
        <w:t>LOMITAPIDE</w:t>
      </w:r>
    </w:p>
    <w:p>
      <w:pPr>
        <w:pStyle w:val="BodyText"/>
        <w:spacing w:before="9"/>
        <w:ind w:left="108"/>
      </w:pPr>
      <w:r>
        <w:rPr>
          <w:rFonts w:ascii="Trebuchet MS"/>
          <w:color w:val="008356"/>
          <w:w w:val="110"/>
        </w:rPr>
        <w:t>Nimodipine </w:t>
      </w:r>
      <w:r>
        <w:rPr>
          <w:i/>
          <w:color w:val="231F1F"/>
          <w:w w:val="110"/>
        </w:rPr>
        <w:t>see </w:t>
      </w:r>
      <w:r>
        <w:rPr>
          <w:color w:val="231F1F"/>
          <w:w w:val="110"/>
        </w:rPr>
        <w:t>Calcium-channel Blockers</w:t>
      </w:r>
    </w:p>
    <w:p>
      <w:pPr>
        <w:pStyle w:val="BodyText"/>
        <w:spacing w:before="10"/>
        <w:ind w:left="108"/>
        <w:rPr>
          <w:rFonts w:ascii="Trebuchet MS"/>
        </w:rPr>
      </w:pPr>
      <w:r>
        <w:rPr>
          <w:rFonts w:ascii="Trebuchet MS"/>
          <w:color w:val="008356"/>
        </w:rPr>
        <w:t>Nintedanib</w:t>
      </w:r>
    </w:p>
    <w:p>
      <w:pPr>
        <w:pStyle w:val="BodyText"/>
        <w:spacing w:line="146" w:lineRule="exact" w:before="1"/>
        <w:ind w:left="108"/>
      </w:pPr>
      <w:r>
        <w:rPr>
          <w:rFonts w:ascii="Arial"/>
          <w:color w:val="231F1F"/>
          <w:w w:val="355"/>
          <w:position w:val="1"/>
          <w:sz w:val="7"/>
        </w:rPr>
        <w:t>l </w:t>
      </w:r>
      <w:r>
        <w:rPr>
          <w:rFonts w:ascii="Calibri"/>
          <w:color w:val="231F1F"/>
          <w:w w:val="115"/>
        </w:rPr>
        <w:t>Antibacterials: </w:t>
      </w:r>
      <w:r>
        <w:rPr>
          <w:color w:val="231F1F"/>
          <w:w w:val="115"/>
        </w:rPr>
        <w:t>plasma concentration of nintedanib reduced by</w:t>
      </w:r>
    </w:p>
    <w:p>
      <w:pPr>
        <w:spacing w:line="140"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145"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nintedanib increased by</w:t>
      </w:r>
    </w:p>
    <w:p>
      <w:pPr>
        <w:spacing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KETOCONAZOLE</w:t>
      </w:r>
    </w:p>
    <w:p>
      <w:pPr>
        <w:spacing w:after="0"/>
        <w:jc w:val="left"/>
        <w:rPr>
          <w:rFonts w:ascii="Calibri"/>
          <w:sz w:val="11"/>
        </w:rPr>
        <w:sectPr>
          <w:pgSz w:w="8390" w:h="11910"/>
          <w:pgMar w:header="0" w:footer="0" w:top="460" w:bottom="0" w:left="480" w:right="0"/>
          <w:cols w:num="2" w:equalWidth="0">
            <w:col w:w="3592" w:space="85"/>
            <w:col w:w="4233"/>
          </w:cols>
        </w:sectPr>
      </w:pPr>
    </w:p>
    <w:p>
      <w:pPr>
        <w:pStyle w:val="BodyText"/>
        <w:spacing w:before="5"/>
        <w:ind w:left="0"/>
        <w:rPr>
          <w:rFonts w:ascii="Calibri"/>
          <w:sz w:val="14"/>
        </w:rPr>
      </w:pPr>
      <w:r>
        <w:rPr/>
        <w:pict>
          <v:rect style="position:absolute;margin-left:0pt;margin-top:30.840979pt;width:20.353299pt;height:149.443pt;mso-position-horizontal-relative:page;mso-position-vertical-relative:page;z-index:5104" filled="true" fillcolor="#bfdbcf" stroked="false">
            <v:fill type="solid"/>
            <w10:wrap type="none"/>
          </v:rect>
        </w:pict>
      </w:r>
      <w:r>
        <w:rPr/>
        <w:pict>
          <v:shape style="position:absolute;margin-left:7.751256pt;margin-top:35.804367pt;width:10.4pt;height:78.850pt;mso-position-horizontal-relative:page;mso-position-vertical-relative:page;z-index:512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39" w:lineRule="exact"/>
        <w:ind w:left="186"/>
        <w:rPr>
          <w:rFonts w:ascii="Trebuchet MS"/>
        </w:rPr>
      </w:pPr>
      <w:r>
        <w:rPr>
          <w:rFonts w:ascii="Trebuchet MS"/>
          <w:color w:val="008356"/>
        </w:rPr>
        <w:t>Nitrates</w:t>
      </w:r>
    </w:p>
    <w:p>
      <w:pPr>
        <w:pStyle w:val="BodyText"/>
        <w:spacing w:line="220" w:lineRule="auto" w:before="9"/>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nitrates given with </w:t>
      </w:r>
      <w:r>
        <w:rPr>
          <w:rFonts w:ascii="Calibri" w:hAnsi="Calibri"/>
          <w:color w:val="008356"/>
          <w:w w:val="105"/>
          <w:sz w:val="11"/>
        </w:rPr>
        <w:t>ACE INHIBITORS</w:t>
      </w:r>
    </w:p>
    <w:p>
      <w:pPr>
        <w:spacing w:line="220" w:lineRule="auto" w:before="9"/>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nitrates given with </w:t>
      </w:r>
      <w:r>
        <w:rPr>
          <w:rFonts w:ascii="Calibri" w:hAnsi="Calibri"/>
          <w:color w:val="008356"/>
          <w:w w:val="105"/>
          <w:sz w:val="11"/>
        </w:rPr>
        <w:t>ADRENERGIC NEURONE BLOCKERS</w:t>
      </w:r>
    </w:p>
    <w:p>
      <w:pPr>
        <w:pStyle w:val="BodyText"/>
        <w:spacing w:line="220" w:lineRule="auto" w:before="8"/>
        <w:ind w:left="286" w:right="310"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enhanced hypotensive effect when nitrates given with </w:t>
      </w:r>
      <w:r>
        <w:rPr>
          <w:rFonts w:ascii="Calibri" w:hAnsi="Calibri"/>
          <w:color w:val="008356"/>
          <w:w w:val="105"/>
          <w:sz w:val="11"/>
        </w:rPr>
        <w:t>ALCOHOL</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nitrates given with </w:t>
      </w:r>
      <w:r>
        <w:rPr>
          <w:rFonts w:ascii="Calibri" w:hAnsi="Calibri"/>
          <w:color w:val="008356"/>
          <w:w w:val="110"/>
          <w:sz w:val="11"/>
        </w:rPr>
        <w:t>ALDESLEUKIN</w:t>
      </w:r>
    </w:p>
    <w:p>
      <w:pPr>
        <w:pStyle w:val="BodyText"/>
        <w:spacing w:line="220" w:lineRule="auto" w:before="10"/>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Alpha-blockers: </w:t>
      </w:r>
      <w:r>
        <w:rPr>
          <w:color w:val="231F1F"/>
          <w:w w:val="105"/>
        </w:rPr>
        <w:t>enhanced hypotensive effect when nitrates given with </w:t>
      </w:r>
      <w:r>
        <w:rPr>
          <w:rFonts w:ascii="Calibri" w:hAnsi="Calibri"/>
          <w:color w:val="008356"/>
          <w:w w:val="105"/>
          <w:sz w:val="11"/>
        </w:rPr>
        <w:t>ALPHA-BLOCKERS</w:t>
      </w:r>
    </w:p>
    <w:p>
      <w:pPr>
        <w:spacing w:line="220" w:lineRule="auto" w:before="8"/>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enhanced hypotensive effect when nitrates given with </w:t>
      </w:r>
      <w:r>
        <w:rPr>
          <w:rFonts w:ascii="Calibri" w:hAnsi="Calibri"/>
          <w:color w:val="008356"/>
          <w:w w:val="105"/>
          <w:sz w:val="11"/>
        </w:rPr>
        <w:t>GENERAL ANAESTHETICS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Analgesics: </w:t>
      </w:r>
      <w:r>
        <w:rPr>
          <w:color w:val="231F1F"/>
          <w:w w:val="105"/>
        </w:rPr>
        <w:t>hypotensive effect of nitrates antagonised by</w:t>
      </w:r>
    </w:p>
    <w:p>
      <w:pPr>
        <w:spacing w:line="130" w:lineRule="exact" w:before="0"/>
        <w:ind w:left="286" w:right="0" w:firstLine="0"/>
        <w:jc w:val="left"/>
        <w:rPr>
          <w:rFonts w:ascii="Calibri"/>
          <w:sz w:val="9"/>
        </w:rPr>
      </w:pPr>
      <w:r>
        <w:rPr>
          <w:rFonts w:ascii="Calibri"/>
          <w:color w:val="008356"/>
          <w:sz w:val="11"/>
        </w:rPr>
        <w:t>NSAID</w:t>
      </w:r>
      <w:r>
        <w:rPr>
          <w:rFonts w:ascii="Calibri"/>
          <w:color w:val="008356"/>
          <w:sz w:val="9"/>
        </w:rPr>
        <w:t>S</w:t>
      </w:r>
    </w:p>
    <w:p>
      <w:pPr>
        <w:spacing w:line="237" w:lineRule="auto" w:before="0"/>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nitrates given with </w:t>
      </w:r>
      <w:r>
        <w:rPr>
          <w:rFonts w:ascii="Calibri" w:hAnsi="Calibri"/>
          <w:color w:val="008356"/>
          <w:w w:val="105"/>
          <w:sz w:val="11"/>
        </w:rPr>
        <w:t>ANGIOTENSIN-II RECEPTOR ANTAGONISTS</w:t>
      </w:r>
    </w:p>
    <w:p>
      <w:pPr>
        <w:pStyle w:val="BodyText"/>
        <w:spacing w:line="230" w:lineRule="auto" w:before="1"/>
        <w:ind w:left="286"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effects of sublingual tablets of nitrates reduced by </w:t>
      </w:r>
      <w:r>
        <w:rPr>
          <w:rFonts w:ascii="Calibri" w:hAnsi="Calibri"/>
          <w:color w:val="008356"/>
          <w:w w:val="110"/>
          <w:sz w:val="11"/>
        </w:rPr>
        <w:t>DISOPYRAMIDE </w:t>
      </w:r>
      <w:r>
        <w:rPr>
          <w:color w:val="231F1F"/>
          <w:w w:val="110"/>
        </w:rPr>
        <w:t>(failure to dissolve under tongue owing to dry mouth)</w:t>
      </w:r>
    </w:p>
    <w:p>
      <w:pPr>
        <w:spacing w:before="4"/>
        <w:ind w:left="286" w:right="547" w:hanging="100"/>
        <w:jc w:val="left"/>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5"/>
          <w:sz w:val="12"/>
        </w:rPr>
        <w:t>Anticoagulants:</w:t>
      </w:r>
      <w:r>
        <w:rPr>
          <w:rFonts w:ascii="Calibri"/>
          <w:color w:val="231F1F"/>
          <w:spacing w:val="-20"/>
          <w:w w:val="115"/>
          <w:sz w:val="12"/>
        </w:rPr>
        <w:t> </w:t>
      </w:r>
      <w:r>
        <w:rPr>
          <w:i/>
          <w:color w:val="231F1F"/>
          <w:w w:val="115"/>
          <w:sz w:val="12"/>
        </w:rPr>
        <w:t>infusion</w:t>
      </w:r>
      <w:r>
        <w:rPr>
          <w:i/>
          <w:color w:val="231F1F"/>
          <w:spacing w:val="-22"/>
          <w:w w:val="115"/>
          <w:sz w:val="12"/>
        </w:rPr>
        <w:t> </w:t>
      </w:r>
      <w:r>
        <w:rPr>
          <w:color w:val="231F1F"/>
          <w:w w:val="115"/>
          <w:sz w:val="12"/>
        </w:rPr>
        <w:t>of</w:t>
      </w:r>
      <w:r>
        <w:rPr>
          <w:color w:val="231F1F"/>
          <w:spacing w:val="-23"/>
          <w:w w:val="115"/>
          <w:sz w:val="12"/>
        </w:rPr>
        <w:t> </w:t>
      </w:r>
      <w:r>
        <w:rPr>
          <w:color w:val="231F1F"/>
          <w:w w:val="115"/>
          <w:sz w:val="12"/>
        </w:rPr>
        <w:t>glyceryl</w:t>
      </w:r>
      <w:r>
        <w:rPr>
          <w:color w:val="231F1F"/>
          <w:spacing w:val="-23"/>
          <w:w w:val="115"/>
          <w:sz w:val="12"/>
        </w:rPr>
        <w:t> </w:t>
      </w:r>
      <w:r>
        <w:rPr>
          <w:color w:val="231F1F"/>
          <w:w w:val="115"/>
          <w:sz w:val="12"/>
        </w:rPr>
        <w:t>trinitrate</w:t>
      </w:r>
      <w:r>
        <w:rPr>
          <w:color w:val="231F1F"/>
          <w:spacing w:val="-23"/>
          <w:w w:val="115"/>
          <w:sz w:val="12"/>
        </w:rPr>
        <w:t> </w:t>
      </w:r>
      <w:r>
        <w:rPr>
          <w:color w:val="231F1F"/>
          <w:spacing w:val="-3"/>
          <w:w w:val="115"/>
          <w:sz w:val="12"/>
        </w:rPr>
        <w:t>reduces </w:t>
      </w:r>
      <w:r>
        <w:rPr>
          <w:color w:val="231F1F"/>
          <w:w w:val="115"/>
          <w:sz w:val="12"/>
        </w:rPr>
        <w:t>anticoagulant effect 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HEPARINS</w:t>
      </w:r>
    </w:p>
    <w:p>
      <w:pPr>
        <w:pStyle w:val="BodyText"/>
        <w:ind w:left="286" w:right="21"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enhanced hypotensive effect when nitrates given with </w:t>
      </w:r>
      <w:r>
        <w:rPr>
          <w:rFonts w:ascii="Calibri" w:hAnsi="Calibri"/>
          <w:color w:val="008356"/>
          <w:w w:val="110"/>
          <w:sz w:val="11"/>
        </w:rPr>
        <w:t>MAOI</w:t>
      </w:r>
      <w:r>
        <w:rPr>
          <w:rFonts w:ascii="Calibri" w:hAnsi="Calibri"/>
          <w:color w:val="008356"/>
          <w:w w:val="110"/>
          <w:sz w:val="9"/>
        </w:rPr>
        <w:t>S</w:t>
      </w:r>
      <w:r>
        <w:rPr>
          <w:color w:val="231F1F"/>
          <w:w w:val="110"/>
        </w:rPr>
        <w:t>; effects of sublingual tablets of nitrates possibly reduced by </w:t>
      </w:r>
      <w:r>
        <w:rPr>
          <w:rFonts w:ascii="Calibri" w:hAnsi="Calibri"/>
          <w:color w:val="008356"/>
          <w:w w:val="110"/>
          <w:sz w:val="11"/>
        </w:rPr>
        <w:t>TRICYCLIC-RELATED ANTIDEPRESSANTS </w:t>
      </w:r>
      <w:r>
        <w:rPr>
          <w:color w:val="231F1F"/>
          <w:w w:val="110"/>
        </w:rPr>
        <w:t>(failure to dissolve under tongue owing to dry mouth); effects of sublingual tablets of nitrates reduced by </w:t>
      </w:r>
      <w:r>
        <w:rPr>
          <w:rFonts w:ascii="Calibri" w:hAnsi="Calibri"/>
          <w:color w:val="008356"/>
          <w:w w:val="110"/>
          <w:sz w:val="11"/>
        </w:rPr>
        <w:t>TRICYCLICS </w:t>
      </w:r>
      <w:r>
        <w:rPr>
          <w:color w:val="231F1F"/>
          <w:w w:val="110"/>
        </w:rPr>
        <w:t>(failure to dissolve under tongue owing to dry mouth)</w:t>
      </w:r>
    </w:p>
    <w:p>
      <w:pPr>
        <w:pStyle w:val="BodyText"/>
        <w:spacing w:line="230" w:lineRule="auto" w:before="1"/>
        <w:ind w:left="286" w:right="296" w:hanging="100"/>
      </w:pPr>
      <w:r>
        <w:rPr>
          <w:rFonts w:ascii="Lucida Sans Unicode" w:hAnsi="Lucida Sans Unicode"/>
          <w:color w:val="A7A8AC"/>
          <w:w w:val="95"/>
          <w:sz w:val="10"/>
        </w:rPr>
        <w:t>▶ </w:t>
      </w:r>
      <w:r>
        <w:rPr>
          <w:rFonts w:ascii="Calibri" w:hAnsi="Calibri"/>
          <w:color w:val="231F1F"/>
          <w:w w:val="110"/>
        </w:rPr>
        <w:t>Antimuscarinics: </w:t>
      </w:r>
      <w:r>
        <w:rPr>
          <w:color w:val="231F1F"/>
          <w:w w:val="110"/>
        </w:rPr>
        <w:t>effects of sublingual tablets of nitrates possibly reduced by </w:t>
      </w:r>
      <w:r>
        <w:rPr>
          <w:rFonts w:ascii="Calibri" w:hAnsi="Calibri"/>
          <w:color w:val="008356"/>
          <w:w w:val="110"/>
          <w:sz w:val="11"/>
        </w:rPr>
        <w:t>ANTIMUSCARINICS </w:t>
      </w:r>
      <w:r>
        <w:rPr>
          <w:color w:val="231F1F"/>
          <w:w w:val="110"/>
        </w:rPr>
        <w:t>(failure to dissolve under tongue owing to dry mouth)</w:t>
      </w:r>
    </w:p>
    <w:p>
      <w:pPr>
        <w:pStyle w:val="BodyText"/>
        <w:spacing w:line="220" w:lineRule="auto" w:before="13"/>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enhanced hypotensive effect when nitrates given with </w:t>
      </w:r>
      <w:r>
        <w:rPr>
          <w:rFonts w:ascii="Calibri" w:hAnsi="Calibri"/>
          <w:color w:val="008356"/>
          <w:w w:val="105"/>
          <w:sz w:val="11"/>
        </w:rPr>
        <w:t>PHENOTHIAZINES</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enhanced hypotensive effect when nitrates given with </w:t>
      </w:r>
      <w:r>
        <w:rPr>
          <w:rFonts w:ascii="Calibri" w:hAnsi="Calibri"/>
          <w:color w:val="008356"/>
          <w:w w:val="105"/>
          <w:sz w:val="11"/>
        </w:rPr>
        <w:t>ANXIOLYTICS AND HYPNOTICS</w:t>
      </w:r>
    </w:p>
    <w:p>
      <w:pPr>
        <w:pStyle w:val="BodyText"/>
        <w:ind w:left="286" w:right="-11" w:hanging="100"/>
      </w:pPr>
      <w:r>
        <w:rPr>
          <w:rFonts w:ascii="Arial"/>
          <w:color w:val="231F1F"/>
          <w:w w:val="115"/>
          <w:position w:val="1"/>
          <w:sz w:val="7"/>
        </w:rPr>
        <w:t>l </w:t>
      </w:r>
      <w:r>
        <w:rPr>
          <w:rFonts w:ascii="Calibri"/>
          <w:color w:val="231F1F"/>
          <w:w w:val="115"/>
        </w:rPr>
        <w:t>Avanafil: </w:t>
      </w:r>
      <w:r>
        <w:rPr>
          <w:color w:val="231F1F"/>
          <w:w w:val="115"/>
        </w:rPr>
        <w:t>hypotensive effect of nitrates significantly enhanced </w:t>
      </w:r>
      <w:r>
        <w:rPr>
          <w:color w:val="231F1F"/>
          <w:w w:val="120"/>
        </w:rPr>
        <w:t>by </w:t>
      </w:r>
      <w:r>
        <w:rPr>
          <w:rFonts w:ascii="Arial"/>
          <w:color w:val="231F1F"/>
          <w:w w:val="355"/>
          <w:position w:val="1"/>
          <w:sz w:val="7"/>
        </w:rPr>
        <w:t>l </w:t>
      </w:r>
      <w:r>
        <w:rPr>
          <w:rFonts w:ascii="Calibri"/>
          <w:color w:val="008356"/>
          <w:w w:val="120"/>
          <w:sz w:val="11"/>
        </w:rPr>
        <w:t>AVANAFIL </w:t>
      </w:r>
      <w:r>
        <w:rPr>
          <w:color w:val="231F1F"/>
          <w:w w:val="120"/>
        </w:rPr>
        <w:t>(avoid concomitant use)</w:t>
      </w:r>
    </w:p>
    <w:p>
      <w:pPr>
        <w:pStyle w:val="BodyText"/>
        <w:spacing w:line="220" w:lineRule="auto" w:before="4"/>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nitrates given with </w:t>
      </w:r>
      <w:r>
        <w:rPr>
          <w:rFonts w:ascii="Calibri" w:hAnsi="Calibri"/>
          <w:color w:val="008356"/>
          <w:w w:val="110"/>
          <w:sz w:val="11"/>
        </w:rPr>
        <w:t>BETA-BLOCKERS</w:t>
      </w:r>
    </w:p>
    <w:p>
      <w:pPr>
        <w:spacing w:line="220" w:lineRule="auto" w:before="1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nitrates given with </w:t>
      </w:r>
      <w:r>
        <w:rPr>
          <w:rFonts w:ascii="Calibri" w:hAnsi="Calibri"/>
          <w:color w:val="008356"/>
          <w:w w:val="105"/>
          <w:sz w:val="11"/>
        </w:rPr>
        <w:t>CALCIUM-CHANNEL BLOCKERS</w:t>
      </w:r>
    </w:p>
    <w:p>
      <w:pPr>
        <w:pStyle w:val="BodyText"/>
        <w:spacing w:line="220" w:lineRule="auto" w:before="8"/>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nitrates given with </w:t>
      </w:r>
      <w:r>
        <w:rPr>
          <w:rFonts w:ascii="Calibri" w:hAnsi="Calibri"/>
          <w:color w:val="008356"/>
          <w:w w:val="105"/>
          <w:sz w:val="11"/>
        </w:rPr>
        <w:t>CLONIDINE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Corticosteroids: </w:t>
      </w:r>
      <w:r>
        <w:rPr>
          <w:color w:val="231F1F"/>
          <w:w w:val="105"/>
        </w:rPr>
        <w:t>hypotensive effect of nitrates antagonised by</w:t>
      </w:r>
    </w:p>
    <w:p>
      <w:pPr>
        <w:spacing w:line="131" w:lineRule="exact" w:before="0"/>
        <w:ind w:left="286" w:right="0" w:firstLine="0"/>
        <w:jc w:val="left"/>
        <w:rPr>
          <w:rFonts w:ascii="Calibri"/>
          <w:sz w:val="11"/>
        </w:rPr>
      </w:pPr>
      <w:r>
        <w:rPr>
          <w:rFonts w:ascii="Calibri"/>
          <w:color w:val="008356"/>
          <w:sz w:val="11"/>
        </w:rPr>
        <w:t>CORTICOSTEROIDS</w:t>
      </w:r>
    </w:p>
    <w:p>
      <w:pPr>
        <w:pStyle w:val="BodyText"/>
        <w:spacing w:line="220" w:lineRule="auto" w:before="7"/>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nitrates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DIAZOXIDE</w:t>
      </w:r>
    </w:p>
    <w:p>
      <w:pPr>
        <w:pStyle w:val="BodyText"/>
        <w:spacing w:line="220" w:lineRule="auto" w:before="9"/>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nitrates </w:t>
      </w:r>
      <w:r>
        <w:rPr>
          <w:color w:val="231F1F"/>
          <w:spacing w:val="-3"/>
          <w:w w:val="105"/>
        </w:rPr>
        <w:t>given </w:t>
      </w:r>
      <w:r>
        <w:rPr>
          <w:color w:val="231F1F"/>
          <w:w w:val="105"/>
        </w:rPr>
        <w:t>with</w:t>
      </w:r>
      <w:r>
        <w:rPr>
          <w:color w:val="231F1F"/>
          <w:spacing w:val="-1"/>
          <w:w w:val="105"/>
        </w:rPr>
        <w:t> </w:t>
      </w:r>
      <w:r>
        <w:rPr>
          <w:rFonts w:ascii="Calibri" w:hAnsi="Calibri"/>
          <w:color w:val="008356"/>
          <w:spacing w:val="5"/>
          <w:w w:val="105"/>
          <w:sz w:val="11"/>
        </w:rPr>
        <w:t>DIURETICS</w:t>
      </w:r>
    </w:p>
    <w:p>
      <w:pPr>
        <w:spacing w:line="220" w:lineRule="auto" w:before="8"/>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enhanced hypotensive effect when nitrates given with </w:t>
      </w:r>
      <w:r>
        <w:rPr>
          <w:rFonts w:ascii="Calibri" w:hAnsi="Calibri"/>
          <w:color w:val="008356"/>
          <w:w w:val="105"/>
          <w:sz w:val="11"/>
        </w:rPr>
        <w:t>CO-BENELDOPA</w:t>
      </w:r>
      <w:r>
        <w:rPr>
          <w:color w:val="231F1F"/>
          <w:w w:val="105"/>
          <w:sz w:val="12"/>
        </w:rPr>
        <w:t>, </w:t>
      </w:r>
      <w:r>
        <w:rPr>
          <w:rFonts w:ascii="Calibri" w:hAnsi="Calibri"/>
          <w:color w:val="008356"/>
          <w:w w:val="105"/>
          <w:sz w:val="11"/>
        </w:rPr>
        <w:t>CO-CARELDOPA </w:t>
      </w:r>
      <w:r>
        <w:rPr>
          <w:color w:val="231F1F"/>
          <w:w w:val="105"/>
          <w:sz w:val="12"/>
        </w:rPr>
        <w:t>or </w:t>
      </w:r>
      <w:r>
        <w:rPr>
          <w:rFonts w:ascii="Calibri" w:hAnsi="Calibri"/>
          <w:color w:val="008356"/>
          <w:w w:val="105"/>
          <w:sz w:val="11"/>
        </w:rPr>
        <w:t>LEVODOPA</w:t>
      </w:r>
    </w:p>
    <w:p>
      <w:pPr>
        <w:pStyle w:val="BodyText"/>
        <w:spacing w:line="220" w:lineRule="auto" w:before="8"/>
        <w:ind w:left="286" w:right="21"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nitrates given with </w:t>
      </w:r>
      <w:r>
        <w:rPr>
          <w:rFonts w:ascii="Calibri" w:hAnsi="Calibri"/>
          <w:color w:val="008356"/>
          <w:w w:val="105"/>
          <w:sz w:val="11"/>
        </w:rPr>
        <w:t>METHYLDOPA</w:t>
      </w:r>
    </w:p>
    <w:p>
      <w:pPr>
        <w:pStyle w:val="BodyText"/>
        <w:spacing w:line="220" w:lineRule="auto" w:before="9"/>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Moxisylyte: </w:t>
      </w:r>
      <w:r>
        <w:rPr>
          <w:color w:val="231F1F"/>
          <w:w w:val="105"/>
        </w:rPr>
        <w:t>enhanced hypotensive effect when nitrates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MOXISYLYTE</w:t>
      </w:r>
    </w:p>
    <w:p>
      <w:pPr>
        <w:pStyle w:val="BodyText"/>
        <w:spacing w:line="220" w:lineRule="auto" w:before="8"/>
        <w:ind w:left="286" w:right="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nitrates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MOXONIDINE</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enhanced hypotensive effect when nitrates given with </w:t>
      </w:r>
      <w:r>
        <w:rPr>
          <w:rFonts w:ascii="Calibri" w:hAnsi="Calibri"/>
          <w:color w:val="008356"/>
          <w:w w:val="105"/>
          <w:sz w:val="11"/>
        </w:rPr>
        <w:t>BACLOFEN </w:t>
      </w:r>
      <w:r>
        <w:rPr>
          <w:color w:val="231F1F"/>
          <w:w w:val="105"/>
          <w:sz w:val="12"/>
        </w:rPr>
        <w:t>or </w:t>
      </w:r>
      <w:r>
        <w:rPr>
          <w:rFonts w:ascii="Calibri" w:hAnsi="Calibri"/>
          <w:color w:val="008356"/>
          <w:w w:val="105"/>
          <w:sz w:val="11"/>
        </w:rPr>
        <w:t>TIZANIDINE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Oestrogens: </w:t>
      </w:r>
      <w:r>
        <w:rPr>
          <w:color w:val="231F1F"/>
          <w:w w:val="105"/>
        </w:rPr>
        <w:t>hypotensive effect of nitrates antagonised by</w:t>
      </w:r>
    </w:p>
    <w:p>
      <w:pPr>
        <w:spacing w:line="130" w:lineRule="exact" w:before="0"/>
        <w:ind w:left="286" w:right="0" w:firstLine="0"/>
        <w:jc w:val="left"/>
        <w:rPr>
          <w:rFonts w:ascii="Calibri"/>
          <w:sz w:val="11"/>
        </w:rPr>
      </w:pPr>
      <w:r>
        <w:rPr>
          <w:rFonts w:ascii="Calibri"/>
          <w:color w:val="008356"/>
          <w:sz w:val="11"/>
        </w:rPr>
        <w:t>OESTROGENS</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nitrates given with </w:t>
      </w:r>
      <w:r>
        <w:rPr>
          <w:rFonts w:ascii="Calibri" w:hAnsi="Calibri"/>
          <w:color w:val="008356"/>
          <w:w w:val="110"/>
          <w:sz w:val="11"/>
        </w:rPr>
        <w:t>ALPROSTADIL</w:t>
      </w:r>
    </w:p>
    <w:p>
      <w:pPr>
        <w:pStyle w:val="BodyText"/>
        <w:ind w:left="286" w:hanging="100"/>
      </w:pPr>
      <w:r>
        <w:rPr>
          <w:rFonts w:ascii="Arial" w:hAnsi="Arial"/>
          <w:color w:val="231F1F"/>
          <w:w w:val="355"/>
          <w:position w:val="1"/>
          <w:sz w:val="7"/>
        </w:rPr>
        <w:t>l </w:t>
      </w:r>
      <w:r>
        <w:rPr>
          <w:rFonts w:ascii="Calibri" w:hAnsi="Calibri"/>
          <w:color w:val="231F1F"/>
          <w:w w:val="110"/>
        </w:rPr>
        <w:t>Riociguat: </w:t>
      </w:r>
      <w:r>
        <w:rPr>
          <w:color w:val="231F1F"/>
          <w:w w:val="110"/>
        </w:rPr>
        <w:t>possible enhanced hypotensive effect when nitrates given with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37" w:lineRule="auto"/>
        <w:ind w:left="286" w:right="427" w:hanging="100"/>
      </w:pPr>
      <w:r>
        <w:rPr>
          <w:rFonts w:ascii="Arial"/>
          <w:color w:val="231F1F"/>
          <w:w w:val="355"/>
          <w:position w:val="1"/>
          <w:sz w:val="7"/>
        </w:rPr>
        <w:t>l </w:t>
      </w:r>
      <w:r>
        <w:rPr>
          <w:rFonts w:ascii="Calibri"/>
          <w:color w:val="231F1F"/>
          <w:w w:val="115"/>
        </w:rPr>
        <w:t>Sildenafil: </w:t>
      </w:r>
      <w:r>
        <w:rPr>
          <w:color w:val="231F1F"/>
          <w:w w:val="115"/>
        </w:rPr>
        <w:t>hypotensive effect of nitrates </w:t>
      </w:r>
      <w:r>
        <w:rPr>
          <w:color w:val="231F1F"/>
          <w:spacing w:val="-2"/>
          <w:w w:val="115"/>
        </w:rPr>
        <w:t>significantly </w:t>
      </w:r>
      <w:r>
        <w:rPr>
          <w:color w:val="231F1F"/>
          <w:w w:val="115"/>
        </w:rPr>
        <w:t>enhanced by </w:t>
      </w:r>
      <w:r>
        <w:rPr>
          <w:rFonts w:ascii="Arial"/>
          <w:color w:val="231F1F"/>
          <w:w w:val="355"/>
          <w:position w:val="1"/>
          <w:sz w:val="7"/>
        </w:rPr>
        <w:t>l </w:t>
      </w:r>
      <w:r>
        <w:rPr>
          <w:rFonts w:ascii="Calibri"/>
          <w:color w:val="008356"/>
          <w:spacing w:val="4"/>
          <w:w w:val="115"/>
          <w:sz w:val="11"/>
        </w:rPr>
        <w:t>SILDENAFIL </w:t>
      </w:r>
      <w:r>
        <w:rPr>
          <w:color w:val="231F1F"/>
          <w:w w:val="115"/>
        </w:rPr>
        <w:t>(avoid concomitant use)</w:t>
      </w:r>
    </w:p>
    <w:p>
      <w:pPr>
        <w:pStyle w:val="BodyText"/>
        <w:ind w:left="286" w:right="4" w:hanging="100"/>
      </w:pPr>
      <w:r>
        <w:rPr>
          <w:rFonts w:ascii="Arial"/>
          <w:color w:val="231F1F"/>
          <w:w w:val="115"/>
          <w:position w:val="1"/>
          <w:sz w:val="7"/>
        </w:rPr>
        <w:t>l</w:t>
      </w:r>
      <w:r>
        <w:rPr>
          <w:rFonts w:ascii="Arial"/>
          <w:color w:val="231F1F"/>
          <w:spacing w:val="11"/>
          <w:w w:val="115"/>
          <w:position w:val="1"/>
          <w:sz w:val="7"/>
        </w:rPr>
        <w:t> </w:t>
      </w:r>
      <w:r>
        <w:rPr>
          <w:rFonts w:ascii="Calibri"/>
          <w:color w:val="231F1F"/>
          <w:w w:val="115"/>
        </w:rPr>
        <w:t>Tadalafil:</w:t>
      </w:r>
      <w:r>
        <w:rPr>
          <w:rFonts w:ascii="Calibri"/>
          <w:color w:val="231F1F"/>
          <w:spacing w:val="-6"/>
          <w:w w:val="115"/>
        </w:rPr>
        <w:t> </w:t>
      </w:r>
      <w:r>
        <w:rPr>
          <w:color w:val="231F1F"/>
          <w:w w:val="115"/>
        </w:rPr>
        <w:t>hypotensive</w:t>
      </w:r>
      <w:r>
        <w:rPr>
          <w:color w:val="231F1F"/>
          <w:spacing w:val="-9"/>
          <w:w w:val="115"/>
        </w:rPr>
        <w:t> </w:t>
      </w:r>
      <w:r>
        <w:rPr>
          <w:color w:val="231F1F"/>
          <w:w w:val="115"/>
        </w:rPr>
        <w:t>effect</w:t>
      </w:r>
      <w:r>
        <w:rPr>
          <w:color w:val="231F1F"/>
          <w:spacing w:val="-8"/>
          <w:w w:val="115"/>
        </w:rPr>
        <w:t> </w:t>
      </w:r>
      <w:r>
        <w:rPr>
          <w:color w:val="231F1F"/>
          <w:w w:val="115"/>
        </w:rPr>
        <w:t>of</w:t>
      </w:r>
      <w:r>
        <w:rPr>
          <w:color w:val="231F1F"/>
          <w:spacing w:val="-8"/>
          <w:w w:val="115"/>
        </w:rPr>
        <w:t> </w:t>
      </w:r>
      <w:r>
        <w:rPr>
          <w:color w:val="231F1F"/>
          <w:w w:val="115"/>
        </w:rPr>
        <w:t>nitrates</w:t>
      </w:r>
      <w:r>
        <w:rPr>
          <w:color w:val="231F1F"/>
          <w:spacing w:val="-9"/>
          <w:w w:val="115"/>
        </w:rPr>
        <w:t> </w:t>
      </w:r>
      <w:r>
        <w:rPr>
          <w:color w:val="231F1F"/>
          <w:w w:val="115"/>
        </w:rPr>
        <w:t>significantly</w:t>
      </w:r>
      <w:r>
        <w:rPr>
          <w:color w:val="231F1F"/>
          <w:spacing w:val="-8"/>
          <w:w w:val="115"/>
        </w:rPr>
        <w:t> </w:t>
      </w:r>
      <w:r>
        <w:rPr>
          <w:color w:val="231F1F"/>
          <w:w w:val="115"/>
        </w:rPr>
        <w:t>enhanced </w:t>
      </w:r>
      <w:r>
        <w:rPr>
          <w:color w:val="231F1F"/>
          <w:w w:val="120"/>
        </w:rPr>
        <w:t>by</w:t>
      </w:r>
      <w:r>
        <w:rPr>
          <w:color w:val="231F1F"/>
          <w:spacing w:val="-8"/>
          <w:w w:val="12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20"/>
          <w:sz w:val="11"/>
        </w:rPr>
        <w:t>TADALAFIL</w:t>
      </w:r>
      <w:r>
        <w:rPr>
          <w:rFonts w:ascii="Calibri"/>
          <w:color w:val="008356"/>
          <w:spacing w:val="4"/>
          <w:w w:val="120"/>
          <w:sz w:val="11"/>
        </w:rPr>
        <w:t> </w:t>
      </w:r>
      <w:r>
        <w:rPr>
          <w:color w:val="231F1F"/>
          <w:w w:val="120"/>
        </w:rPr>
        <w:t>(avoid</w:t>
      </w:r>
      <w:r>
        <w:rPr>
          <w:color w:val="231F1F"/>
          <w:spacing w:val="-9"/>
          <w:w w:val="120"/>
        </w:rPr>
        <w:t> </w:t>
      </w:r>
      <w:r>
        <w:rPr>
          <w:color w:val="231F1F"/>
          <w:w w:val="120"/>
        </w:rPr>
        <w:t>concomitant</w:t>
      </w:r>
      <w:r>
        <w:rPr>
          <w:color w:val="231F1F"/>
          <w:spacing w:val="-9"/>
          <w:w w:val="120"/>
        </w:rPr>
        <w:t> </w:t>
      </w:r>
      <w:r>
        <w:rPr>
          <w:color w:val="231F1F"/>
          <w:w w:val="120"/>
        </w:rPr>
        <w:t>use)</w:t>
      </w:r>
    </w:p>
    <w:p>
      <w:pPr>
        <w:pStyle w:val="BodyText"/>
        <w:spacing w:line="237" w:lineRule="auto"/>
        <w:ind w:left="286" w:right="237" w:hanging="100"/>
      </w:pPr>
      <w:r>
        <w:rPr>
          <w:rFonts w:ascii="Arial" w:hAnsi="Arial"/>
          <w:color w:val="231F1F"/>
          <w:w w:val="355"/>
          <w:position w:val="1"/>
          <w:sz w:val="7"/>
        </w:rPr>
        <w:t>l </w:t>
      </w:r>
      <w:r>
        <w:rPr>
          <w:rFonts w:ascii="Calibri" w:hAnsi="Calibri"/>
          <w:color w:val="231F1F"/>
          <w:w w:val="115"/>
        </w:rPr>
        <w:t>Vardenafil: </w:t>
      </w:r>
      <w:r>
        <w:rPr>
          <w:color w:val="231F1F"/>
          <w:w w:val="115"/>
        </w:rPr>
        <w:t>possible increased hypotensive effect when nitrates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20"/>
          <w:w w:val="115"/>
        </w:rPr>
        <w:t> </w:t>
      </w:r>
      <w:r>
        <w:rPr>
          <w:color w:val="231F1F"/>
          <w:w w:val="115"/>
        </w:rPr>
        <w:t>use</w:t>
      </w:r>
    </w:p>
    <w:p>
      <w:pPr>
        <w:spacing w:line="237" w:lineRule="auto" w:before="0"/>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nitrates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ind w:left="186"/>
      </w:pPr>
      <w:r>
        <w:rPr>
          <w:rFonts w:ascii="Trebuchet MS"/>
          <w:color w:val="008356"/>
          <w:w w:val="110"/>
        </w:rPr>
        <w:t>Nitrazepam </w:t>
      </w:r>
      <w:r>
        <w:rPr>
          <w:i/>
          <w:color w:val="231F1F"/>
          <w:w w:val="110"/>
        </w:rPr>
        <w:t>see </w:t>
      </w:r>
      <w:r>
        <w:rPr>
          <w:color w:val="231F1F"/>
          <w:w w:val="110"/>
        </w:rPr>
        <w:t>Anxiolytics and Hypnotics</w:t>
      </w:r>
    </w:p>
    <w:p>
      <w:pPr>
        <w:pStyle w:val="BodyText"/>
        <w:spacing w:before="4"/>
        <w:ind w:left="0"/>
        <w:rPr>
          <w:sz w:val="15"/>
        </w:rPr>
      </w:pPr>
      <w:r>
        <w:rPr/>
        <w:br w:type="column"/>
      </w:r>
      <w:r>
        <w:rPr>
          <w:sz w:val="15"/>
        </w:rPr>
      </w:r>
    </w:p>
    <w:p>
      <w:pPr>
        <w:pStyle w:val="BodyText"/>
        <w:spacing w:line="139" w:lineRule="exact"/>
        <w:ind w:left="181"/>
        <w:rPr>
          <w:rFonts w:ascii="Trebuchet MS"/>
        </w:rPr>
      </w:pPr>
      <w:r>
        <w:rPr>
          <w:rFonts w:ascii="Trebuchet MS"/>
          <w:color w:val="008356"/>
        </w:rPr>
        <w:t>Nitrofurantoin</w:t>
      </w:r>
    </w:p>
    <w:p>
      <w:pPr>
        <w:spacing w:line="220" w:lineRule="auto" w:before="8"/>
        <w:ind w:left="281" w:right="695" w:hanging="100"/>
        <w:jc w:val="left"/>
        <w:rPr>
          <w:sz w:val="12"/>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absorption of nitrofurantoin reduced by </w:t>
      </w:r>
      <w:r>
        <w:rPr>
          <w:rFonts w:ascii="Calibri" w:hAnsi="Calibri"/>
          <w:color w:val="008356"/>
          <w:w w:val="105"/>
          <w:sz w:val="11"/>
        </w:rPr>
        <w:t>ORAL MAGNESIUM SALTS </w:t>
      </w:r>
      <w:r>
        <w:rPr>
          <w:color w:val="231F1F"/>
          <w:w w:val="105"/>
          <w:sz w:val="12"/>
        </w:rPr>
        <w:t>(as magnesium trisilicate)</w:t>
      </w:r>
    </w:p>
    <w:p>
      <w:pPr>
        <w:pStyle w:val="BodyText"/>
        <w:spacing w:line="155" w:lineRule="exact" w:before="1"/>
        <w:ind w:left="181"/>
        <w:jc w:val="both"/>
      </w:pPr>
      <w:r>
        <w:rPr>
          <w:rFonts w:ascii="Lucida Sans Unicode" w:hAnsi="Lucida Sans Unicode"/>
          <w:color w:val="A7A8AC"/>
          <w:w w:val="95"/>
          <w:sz w:val="10"/>
        </w:rPr>
        <w:t>▶ </w:t>
      </w:r>
      <w:r>
        <w:rPr>
          <w:rFonts w:ascii="Calibri" w:hAnsi="Calibri"/>
          <w:color w:val="231F1F"/>
          <w:w w:val="105"/>
        </w:rPr>
        <w:t>Antibacterials: </w:t>
      </w:r>
      <w:r>
        <w:rPr>
          <w:color w:val="231F1F"/>
          <w:w w:val="105"/>
        </w:rPr>
        <w:t>nitrofurantoin possibly antagonises effects of</w:t>
      </w:r>
    </w:p>
    <w:p>
      <w:pPr>
        <w:spacing w:line="130" w:lineRule="exact" w:before="0"/>
        <w:ind w:left="281" w:right="0" w:firstLine="0"/>
        <w:jc w:val="left"/>
        <w:rPr>
          <w:rFonts w:ascii="Calibri"/>
          <w:sz w:val="11"/>
        </w:rPr>
      </w:pPr>
      <w:r>
        <w:rPr>
          <w:rFonts w:ascii="Calibri"/>
          <w:color w:val="008356"/>
          <w:sz w:val="11"/>
        </w:rPr>
        <w:t>NALIDIXIC ACID</w:t>
      </w:r>
    </w:p>
    <w:p>
      <w:pPr>
        <w:pStyle w:val="BodyText"/>
        <w:spacing w:line="151" w:lineRule="exact"/>
        <w:ind w:left="181"/>
        <w:jc w:val="both"/>
      </w:pPr>
      <w:r>
        <w:rPr>
          <w:rFonts w:ascii="Lucida Sans Unicode" w:hAnsi="Lucida Sans Unicode"/>
          <w:color w:val="A7A8AC"/>
          <w:w w:val="95"/>
          <w:sz w:val="10"/>
        </w:rPr>
        <w:t>▶ </w:t>
      </w:r>
      <w:r>
        <w:rPr>
          <w:rFonts w:ascii="Calibri" w:hAnsi="Calibri"/>
          <w:color w:val="231F1F"/>
          <w:w w:val="105"/>
        </w:rPr>
        <w:t>Sulfinpyrazone: </w:t>
      </w:r>
      <w:r>
        <w:rPr>
          <w:color w:val="231F1F"/>
          <w:w w:val="105"/>
        </w:rPr>
        <w:t>excretion of nitrofurantoin reduced by</w:t>
      </w:r>
    </w:p>
    <w:p>
      <w:pPr>
        <w:spacing w:line="134" w:lineRule="exact" w:before="0"/>
        <w:ind w:left="281" w:right="0" w:firstLine="0"/>
        <w:jc w:val="left"/>
        <w:rPr>
          <w:sz w:val="12"/>
        </w:rPr>
      </w:pPr>
      <w:r>
        <w:rPr>
          <w:rFonts w:ascii="Calibri"/>
          <w:color w:val="008356"/>
          <w:w w:val="110"/>
          <w:sz w:val="11"/>
        </w:rPr>
        <w:t>SULFINPYRAZONE </w:t>
      </w:r>
      <w:r>
        <w:rPr>
          <w:color w:val="231F1F"/>
          <w:w w:val="110"/>
          <w:sz w:val="12"/>
        </w:rPr>
        <w:t>(increased risk of toxicity)</w:t>
      </w:r>
    </w:p>
    <w:p>
      <w:pPr>
        <w:spacing w:line="220" w:lineRule="auto" w:before="8"/>
        <w:ind w:left="281" w:right="695"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3"/>
        <w:ind w:left="181" w:right="1268"/>
      </w:pPr>
      <w:r>
        <w:rPr>
          <w:rFonts w:ascii="Trebuchet MS"/>
          <w:color w:val="008356"/>
          <w:w w:val="110"/>
        </w:rPr>
        <w:t>Nitroimidazoles </w:t>
      </w:r>
      <w:r>
        <w:rPr>
          <w:i/>
          <w:color w:val="231F1F"/>
          <w:w w:val="110"/>
        </w:rPr>
        <w:t>see </w:t>
      </w:r>
      <w:r>
        <w:rPr>
          <w:color w:val="231F1F"/>
          <w:w w:val="110"/>
        </w:rPr>
        <w:t>Metronidazole and Tinidazole </w:t>
      </w:r>
      <w:r>
        <w:rPr>
          <w:rFonts w:ascii="Trebuchet MS"/>
          <w:color w:val="008356"/>
          <w:w w:val="110"/>
        </w:rPr>
        <w:t>Nitrous Oxide </w:t>
      </w:r>
      <w:r>
        <w:rPr>
          <w:i/>
          <w:color w:val="231F1F"/>
          <w:w w:val="110"/>
        </w:rPr>
        <w:t>see </w:t>
      </w:r>
      <w:r>
        <w:rPr>
          <w:color w:val="231F1F"/>
          <w:w w:val="110"/>
        </w:rPr>
        <w:t>Anaesthetics, General </w:t>
      </w:r>
      <w:r>
        <w:rPr>
          <w:rFonts w:ascii="Trebuchet MS"/>
          <w:color w:val="008356"/>
          <w:w w:val="110"/>
        </w:rPr>
        <w:t>Nizatidine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 </w:t>
      </w:r>
      <w:r>
        <w:rPr>
          <w:rFonts w:ascii="Trebuchet MS"/>
          <w:color w:val="008356"/>
          <w:w w:val="110"/>
          <w:vertAlign w:val="baseline"/>
        </w:rPr>
        <w:t>Nomegestrol </w:t>
      </w:r>
      <w:r>
        <w:rPr>
          <w:i/>
          <w:color w:val="231F1F"/>
          <w:w w:val="110"/>
          <w:vertAlign w:val="baseline"/>
        </w:rPr>
        <w:t>see </w:t>
      </w:r>
      <w:r>
        <w:rPr>
          <w:color w:val="231F1F"/>
          <w:w w:val="110"/>
          <w:vertAlign w:val="baseline"/>
        </w:rPr>
        <w:t>Progestogens</w:t>
      </w:r>
    </w:p>
    <w:p>
      <w:pPr>
        <w:pStyle w:val="BodyText"/>
        <w:spacing w:before="1"/>
        <w:ind w:left="181"/>
      </w:pPr>
      <w:r>
        <w:rPr>
          <w:rFonts w:ascii="Trebuchet MS"/>
          <w:color w:val="008356"/>
          <w:w w:val="105"/>
        </w:rPr>
        <w:t>Noradrenaline (norepinephrine) </w:t>
      </w:r>
      <w:r>
        <w:rPr>
          <w:i/>
          <w:color w:val="231F1F"/>
          <w:w w:val="105"/>
        </w:rPr>
        <w:t>see </w:t>
      </w:r>
      <w:r>
        <w:rPr>
          <w:color w:val="231F1F"/>
          <w:w w:val="105"/>
        </w:rPr>
        <w:t>Sympathomimetics</w:t>
      </w:r>
    </w:p>
    <w:p>
      <w:pPr>
        <w:pStyle w:val="BodyText"/>
        <w:spacing w:before="11"/>
        <w:ind w:left="181"/>
        <w:jc w:val="both"/>
      </w:pPr>
      <w:r>
        <w:rPr>
          <w:rFonts w:ascii="Trebuchet MS"/>
          <w:color w:val="008356"/>
          <w:w w:val="105"/>
        </w:rPr>
        <w:t>Norelgestromin </w:t>
      </w:r>
      <w:r>
        <w:rPr>
          <w:i/>
          <w:color w:val="231F1F"/>
          <w:w w:val="105"/>
        </w:rPr>
        <w:t>see </w:t>
      </w:r>
      <w:r>
        <w:rPr>
          <w:color w:val="231F1F"/>
          <w:w w:val="105"/>
        </w:rPr>
        <w:t>Progestogens</w:t>
      </w:r>
    </w:p>
    <w:p>
      <w:pPr>
        <w:pStyle w:val="BodyText"/>
        <w:spacing w:before="9"/>
        <w:ind w:left="181"/>
        <w:rPr>
          <w:rFonts w:ascii="Trebuchet MS"/>
        </w:rPr>
      </w:pPr>
      <w:r>
        <w:rPr>
          <w:rFonts w:ascii="Trebuchet MS"/>
          <w:color w:val="008356"/>
        </w:rPr>
        <w:t>Norepinephrine</w:t>
      </w:r>
    </w:p>
    <w:p>
      <w:pPr>
        <w:pStyle w:val="BodyText"/>
        <w:spacing w:before="5"/>
        <w:ind w:left="281" w:right="579" w:hanging="1"/>
      </w:pPr>
      <w:r>
        <w:rPr>
          <w:rFonts w:ascii="Calibri"/>
          <w:color w:val="008356"/>
          <w:w w:val="115"/>
          <w:sz w:val="11"/>
        </w:rPr>
        <w:t>NOTE </w:t>
      </w:r>
      <w:r>
        <w:rPr>
          <w:color w:val="231F1F"/>
          <w:w w:val="115"/>
        </w:rPr>
        <w:t>Norepinephrine interactions as for noradrenaline, see under sympathomimetics</w:t>
      </w:r>
    </w:p>
    <w:p>
      <w:pPr>
        <w:pStyle w:val="BodyText"/>
        <w:spacing w:line="256" w:lineRule="auto" w:before="10"/>
        <w:ind w:left="181" w:right="2153"/>
      </w:pPr>
      <w:r>
        <w:rPr>
          <w:rFonts w:ascii="Trebuchet MS"/>
          <w:color w:val="008356"/>
          <w:w w:val="105"/>
        </w:rPr>
        <w:t>Norethisterone </w:t>
      </w:r>
      <w:r>
        <w:rPr>
          <w:i/>
          <w:color w:val="231F1F"/>
          <w:w w:val="105"/>
        </w:rPr>
        <w:t>see </w:t>
      </w:r>
      <w:r>
        <w:rPr>
          <w:color w:val="231F1F"/>
          <w:w w:val="105"/>
        </w:rPr>
        <w:t>Progestogens </w:t>
      </w:r>
      <w:r>
        <w:rPr>
          <w:rFonts w:ascii="Trebuchet MS"/>
          <w:color w:val="008356"/>
          <w:w w:val="105"/>
        </w:rPr>
        <w:t>Norfloxacin </w:t>
      </w:r>
      <w:r>
        <w:rPr>
          <w:i/>
          <w:color w:val="231F1F"/>
          <w:w w:val="105"/>
        </w:rPr>
        <w:t>see </w:t>
      </w:r>
      <w:r>
        <w:rPr>
          <w:color w:val="231F1F"/>
          <w:w w:val="105"/>
        </w:rPr>
        <w:t>Quinolones </w:t>
      </w:r>
      <w:r>
        <w:rPr>
          <w:rFonts w:ascii="Trebuchet MS"/>
          <w:color w:val="008356"/>
          <w:w w:val="105"/>
        </w:rPr>
        <w:t>Norgestimate </w:t>
      </w:r>
      <w:r>
        <w:rPr>
          <w:i/>
          <w:color w:val="231F1F"/>
          <w:w w:val="105"/>
        </w:rPr>
        <w:t>see </w:t>
      </w:r>
      <w:r>
        <w:rPr>
          <w:color w:val="231F1F"/>
          <w:w w:val="105"/>
        </w:rPr>
        <w:t>Progestogens </w:t>
      </w:r>
      <w:r>
        <w:rPr>
          <w:rFonts w:ascii="Trebuchet MS"/>
          <w:color w:val="008356"/>
          <w:w w:val="105"/>
        </w:rPr>
        <w:t>Norgestrel </w:t>
      </w:r>
      <w:r>
        <w:rPr>
          <w:i/>
          <w:color w:val="231F1F"/>
          <w:w w:val="105"/>
        </w:rPr>
        <w:t>see </w:t>
      </w:r>
      <w:r>
        <w:rPr>
          <w:color w:val="231F1F"/>
          <w:w w:val="105"/>
        </w:rPr>
        <w:t>Progestogens</w:t>
      </w:r>
    </w:p>
    <w:p>
      <w:pPr>
        <w:pStyle w:val="BodyText"/>
        <w:spacing w:line="256" w:lineRule="auto" w:before="2"/>
        <w:ind w:left="181" w:right="1410"/>
        <w:rPr>
          <w:rFonts w:ascii="Trebuchet MS"/>
        </w:rPr>
      </w:pPr>
      <w:r>
        <w:rPr>
          <w:rFonts w:ascii="Trebuchet MS"/>
          <w:color w:val="008356"/>
          <w:w w:val="105"/>
        </w:rPr>
        <w:t>Normal Immunoglobulin </w:t>
      </w:r>
      <w:r>
        <w:rPr>
          <w:i/>
          <w:color w:val="231F1F"/>
          <w:w w:val="105"/>
        </w:rPr>
        <w:t>see </w:t>
      </w:r>
      <w:r>
        <w:rPr>
          <w:color w:val="231F1F"/>
          <w:w w:val="105"/>
        </w:rPr>
        <w:t>Immunoglobulins </w:t>
      </w:r>
      <w:r>
        <w:rPr>
          <w:rFonts w:ascii="Trebuchet MS"/>
          <w:color w:val="008356"/>
          <w:w w:val="105"/>
        </w:rPr>
        <w:t>Nortriptyline </w:t>
      </w:r>
      <w:r>
        <w:rPr>
          <w:i/>
          <w:color w:val="231F1F"/>
          <w:w w:val="105"/>
        </w:rPr>
        <w:t>see </w:t>
      </w:r>
      <w:r>
        <w:rPr>
          <w:color w:val="231F1F"/>
          <w:w w:val="105"/>
        </w:rPr>
        <w:t>Antidepressants, Tricyclic </w:t>
      </w:r>
      <w:r>
        <w:rPr>
          <w:rFonts w:ascii="Trebuchet MS"/>
          <w:color w:val="008356"/>
          <w:w w:val="105"/>
        </w:rPr>
        <w:t>NSAIDs</w:t>
      </w:r>
    </w:p>
    <w:p>
      <w:pPr>
        <w:pStyle w:val="BodyText"/>
        <w:spacing w:line="237" w:lineRule="auto"/>
        <w:ind w:left="281" w:right="695" w:hanging="1"/>
      </w:pPr>
      <w:r>
        <w:rPr>
          <w:rFonts w:ascii="Calibri"/>
          <w:color w:val="008356"/>
          <w:w w:val="110"/>
          <w:sz w:val="11"/>
        </w:rPr>
        <w:t>NOTE </w:t>
      </w:r>
      <w:r>
        <w:rPr>
          <w:i/>
          <w:color w:val="231F1F"/>
          <w:w w:val="110"/>
        </w:rPr>
        <w:t>See also </w:t>
      </w:r>
      <w:r>
        <w:rPr>
          <w:color w:val="231F1F"/>
          <w:w w:val="110"/>
        </w:rPr>
        <w:t>Aspirin. Interactions do not generally apply to topical NSAIDs</w:t>
      </w:r>
    </w:p>
    <w:p>
      <w:pPr>
        <w:pStyle w:val="BodyText"/>
        <w:spacing w:line="230" w:lineRule="auto" w:before="4"/>
        <w:ind w:left="281" w:right="770" w:hanging="100"/>
      </w:pPr>
      <w:r>
        <w:rPr>
          <w:rFonts w:ascii="Lucida Sans Unicode" w:hAnsi="Lucida Sans Unicode"/>
          <w:color w:val="A7A8AC"/>
          <w:w w:val="95"/>
          <w:sz w:val="10"/>
        </w:rPr>
        <w:t>▶ </w:t>
      </w:r>
      <w:r>
        <w:rPr>
          <w:rFonts w:ascii="Calibri" w:hAnsi="Calibri"/>
          <w:color w:val="231F1F"/>
          <w:w w:val="110"/>
        </w:rPr>
        <w:t>ACE Inhibitors: </w:t>
      </w:r>
      <w:r>
        <w:rPr>
          <w:color w:val="231F1F"/>
          <w:w w:val="110"/>
        </w:rPr>
        <w:t>increased risk of renal impairment when NSAIDs given with </w:t>
      </w:r>
      <w:r>
        <w:rPr>
          <w:rFonts w:ascii="Calibri" w:hAnsi="Calibri"/>
          <w:color w:val="008356"/>
          <w:w w:val="110"/>
          <w:sz w:val="11"/>
        </w:rPr>
        <w:t>ACE INHIBITORS</w:t>
      </w:r>
      <w:r>
        <w:rPr>
          <w:color w:val="231F1F"/>
          <w:w w:val="110"/>
        </w:rPr>
        <w:t>, also hypotensive effect antagonised</w:t>
      </w:r>
    </w:p>
    <w:p>
      <w:pPr>
        <w:spacing w:line="220" w:lineRule="auto" w:before="12"/>
        <w:ind w:left="281"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NSAIDs antagonise hypotensive effect of </w:t>
      </w:r>
      <w:r>
        <w:rPr>
          <w:rFonts w:ascii="Calibri" w:hAnsi="Calibri"/>
          <w:color w:val="008356"/>
          <w:w w:val="105"/>
          <w:sz w:val="11"/>
        </w:rPr>
        <w:t>ADRENERGIC NEURONE BLOCKERS</w:t>
      </w:r>
    </w:p>
    <w:p>
      <w:pPr>
        <w:pStyle w:val="BodyText"/>
        <w:spacing w:line="155" w:lineRule="exact"/>
        <w:ind w:left="181"/>
        <w:jc w:val="both"/>
      </w:pPr>
      <w:r>
        <w:rPr>
          <w:rFonts w:ascii="Lucida Sans Unicode" w:hAnsi="Lucida Sans Unicode"/>
          <w:color w:val="A7A8AC"/>
          <w:w w:val="95"/>
          <w:sz w:val="10"/>
        </w:rPr>
        <w:t>▶ </w:t>
      </w:r>
      <w:r>
        <w:rPr>
          <w:rFonts w:ascii="Calibri" w:hAnsi="Calibri"/>
          <w:color w:val="231F1F"/>
          <w:w w:val="105"/>
        </w:rPr>
        <w:t>Aliskiren: </w:t>
      </w:r>
      <w:r>
        <w:rPr>
          <w:color w:val="231F1F"/>
          <w:w w:val="105"/>
        </w:rPr>
        <w:t>NSAIDs possibly antagonise hypotensive effect of</w:t>
      </w:r>
    </w:p>
    <w:p>
      <w:pPr>
        <w:spacing w:line="131" w:lineRule="exact" w:before="0"/>
        <w:ind w:left="281" w:right="0" w:firstLine="0"/>
        <w:jc w:val="left"/>
        <w:rPr>
          <w:rFonts w:ascii="Calibri"/>
          <w:sz w:val="11"/>
        </w:rPr>
      </w:pPr>
      <w:r>
        <w:rPr>
          <w:rFonts w:ascii="Calibri"/>
          <w:color w:val="008356"/>
          <w:w w:val="105"/>
          <w:sz w:val="11"/>
        </w:rPr>
        <w:t>ALISKIREN</w:t>
      </w:r>
    </w:p>
    <w:p>
      <w:pPr>
        <w:pStyle w:val="BodyText"/>
        <w:spacing w:line="154" w:lineRule="exact"/>
        <w:ind w:left="181"/>
        <w:jc w:val="both"/>
      </w:pPr>
      <w:r>
        <w:rPr>
          <w:rFonts w:ascii="Lucida Sans Unicode" w:hAnsi="Lucida Sans Unicode"/>
          <w:color w:val="A7A8AC"/>
          <w:w w:val="95"/>
          <w:sz w:val="10"/>
        </w:rPr>
        <w:t>▶ </w:t>
      </w:r>
      <w:r>
        <w:rPr>
          <w:rFonts w:ascii="Calibri" w:hAnsi="Calibri"/>
          <w:color w:val="231F1F"/>
          <w:w w:val="105"/>
        </w:rPr>
        <w:t>Alpha-blockers: </w:t>
      </w:r>
      <w:r>
        <w:rPr>
          <w:color w:val="231F1F"/>
          <w:w w:val="105"/>
        </w:rPr>
        <w:t>NSAIDs antagonise hypotensive effect of</w:t>
      </w:r>
    </w:p>
    <w:p>
      <w:pPr>
        <w:spacing w:line="130" w:lineRule="exact" w:before="0"/>
        <w:ind w:left="281" w:right="0" w:firstLine="0"/>
        <w:jc w:val="left"/>
        <w:rPr>
          <w:rFonts w:ascii="Calibri"/>
          <w:sz w:val="11"/>
        </w:rPr>
      </w:pPr>
      <w:r>
        <w:rPr>
          <w:rFonts w:ascii="Calibri"/>
          <w:color w:val="008356"/>
          <w:sz w:val="11"/>
        </w:rPr>
        <w:t>ALPHA-BLOCKERS</w:t>
      </w:r>
    </w:p>
    <w:p>
      <w:pPr>
        <w:pStyle w:val="BodyText"/>
        <w:spacing w:line="244" w:lineRule="auto"/>
        <w:ind w:left="281" w:right="628" w:hanging="100"/>
        <w:rPr>
          <w:rFonts w:ascii="Calibri"/>
          <w:sz w:val="11"/>
        </w:rPr>
      </w:pPr>
      <w:r>
        <w:rPr>
          <w:rFonts w:ascii="Arial"/>
          <w:color w:val="231F1F"/>
          <w:w w:val="355"/>
          <w:position w:val="1"/>
          <w:sz w:val="7"/>
        </w:rPr>
        <w:t>l</w:t>
      </w:r>
      <w:r>
        <w:rPr>
          <w:rFonts w:ascii="Arial"/>
          <w:color w:val="231F1F"/>
          <w:spacing w:val="-35"/>
          <w:w w:val="355"/>
          <w:position w:val="1"/>
          <w:sz w:val="7"/>
        </w:rPr>
        <w:t> </w:t>
      </w:r>
      <w:r>
        <w:rPr>
          <w:rFonts w:ascii="Calibri"/>
          <w:color w:val="231F1F"/>
          <w:w w:val="110"/>
        </w:rPr>
        <w:t>Analgesics:</w:t>
      </w:r>
      <w:r>
        <w:rPr>
          <w:rFonts w:ascii="Calibri"/>
          <w:color w:val="231F1F"/>
          <w:spacing w:val="-2"/>
          <w:w w:val="110"/>
        </w:rPr>
        <w:t> </w:t>
      </w:r>
      <w:r>
        <w:rPr>
          <w:color w:val="231F1F"/>
          <w:w w:val="110"/>
        </w:rPr>
        <w:t>avoid</w:t>
      </w:r>
      <w:r>
        <w:rPr>
          <w:color w:val="231F1F"/>
          <w:spacing w:val="-6"/>
          <w:w w:val="110"/>
        </w:rPr>
        <w:t> </w:t>
      </w:r>
      <w:r>
        <w:rPr>
          <w:color w:val="231F1F"/>
          <w:w w:val="110"/>
        </w:rPr>
        <w:t>concomitant</w:t>
      </w:r>
      <w:r>
        <w:rPr>
          <w:color w:val="231F1F"/>
          <w:spacing w:val="-6"/>
          <w:w w:val="110"/>
        </w:rPr>
        <w:t> </w:t>
      </w:r>
      <w:r>
        <w:rPr>
          <w:color w:val="231F1F"/>
          <w:w w:val="110"/>
        </w:rPr>
        <w:t>use</w:t>
      </w:r>
      <w:r>
        <w:rPr>
          <w:color w:val="231F1F"/>
          <w:spacing w:val="-5"/>
          <w:w w:val="110"/>
        </w:rPr>
        <w:t> </w:t>
      </w:r>
      <w:r>
        <w:rPr>
          <w:color w:val="231F1F"/>
          <w:w w:val="110"/>
        </w:rPr>
        <w:t>of</w:t>
      </w:r>
      <w:r>
        <w:rPr>
          <w:color w:val="231F1F"/>
          <w:spacing w:val="-4"/>
          <w:w w:val="110"/>
        </w:rPr>
        <w:t> </w:t>
      </w:r>
      <w:r>
        <w:rPr>
          <w:color w:val="231F1F"/>
          <w:w w:val="110"/>
        </w:rPr>
        <w:t>NSAIDs</w:t>
      </w:r>
      <w:r>
        <w:rPr>
          <w:color w:val="231F1F"/>
          <w:spacing w:val="-6"/>
          <w:w w:val="110"/>
        </w:rPr>
        <w:t> </w:t>
      </w:r>
      <w:r>
        <w:rPr>
          <w:color w:val="231F1F"/>
          <w:w w:val="110"/>
        </w:rPr>
        <w:t>with</w:t>
      </w:r>
      <w:r>
        <w:rPr>
          <w:color w:val="231F1F"/>
          <w:spacing w:val="-6"/>
          <w:w w:val="11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NSAIDS</w:t>
      </w:r>
      <w:r>
        <w:rPr>
          <w:rFonts w:ascii="Calibri"/>
          <w:color w:val="008356"/>
          <w:spacing w:val="6"/>
          <w:w w:val="110"/>
          <w:sz w:val="11"/>
        </w:rPr>
        <w:t> </w:t>
      </w:r>
      <w:r>
        <w:rPr>
          <w:color w:val="231F1F"/>
          <w:w w:val="110"/>
        </w:rPr>
        <w:t>or </w:t>
      </w:r>
      <w:r>
        <w:rPr>
          <w:rFonts w:ascii="Arial"/>
          <w:color w:val="231F1F"/>
          <w:w w:val="355"/>
          <w:position w:val="1"/>
          <w:sz w:val="7"/>
        </w:rPr>
        <w:t>l </w:t>
      </w:r>
      <w:r>
        <w:rPr>
          <w:rFonts w:ascii="Calibri"/>
          <w:color w:val="008356"/>
          <w:spacing w:val="4"/>
          <w:w w:val="110"/>
          <w:sz w:val="11"/>
        </w:rPr>
        <w:t>ASPIRIN </w:t>
      </w:r>
      <w:r>
        <w:rPr>
          <w:color w:val="231F1F"/>
          <w:w w:val="110"/>
        </w:rPr>
        <w:t>(increased side-effects); avoid concomitant use of NSAIDs with </w:t>
      </w:r>
      <w:r>
        <w:rPr>
          <w:rFonts w:ascii="Arial"/>
          <w:color w:val="231F1F"/>
          <w:w w:val="355"/>
          <w:position w:val="1"/>
          <w:sz w:val="7"/>
        </w:rPr>
        <w:t>l </w:t>
      </w:r>
      <w:r>
        <w:rPr>
          <w:rFonts w:ascii="Calibri"/>
          <w:color w:val="008356"/>
          <w:spacing w:val="4"/>
          <w:w w:val="110"/>
          <w:sz w:val="11"/>
        </w:rPr>
        <w:t>KETOROLAC </w:t>
      </w:r>
      <w:r>
        <w:rPr>
          <w:color w:val="231F1F"/>
          <w:w w:val="110"/>
        </w:rPr>
        <w:t>(increased side-effects and haemorrhage); ibuprofen possibly reduces antiplatelet effect of</w:t>
      </w:r>
      <w:r>
        <w:rPr>
          <w:color w:val="231F1F"/>
          <w:spacing w:val="-2"/>
          <w:w w:val="110"/>
        </w:rPr>
        <w:t> </w:t>
      </w:r>
      <w:r>
        <w:rPr>
          <w:rFonts w:ascii="Calibri"/>
          <w:color w:val="008356"/>
          <w:spacing w:val="5"/>
          <w:w w:val="110"/>
          <w:sz w:val="11"/>
        </w:rPr>
        <w:t>ASPIRIN</w:t>
      </w:r>
    </w:p>
    <w:p>
      <w:pPr>
        <w:spacing w:line="230" w:lineRule="auto" w:before="0"/>
        <w:ind w:left="281" w:right="702" w:hanging="100"/>
        <w:jc w:val="left"/>
        <w:rPr>
          <w:sz w:val="12"/>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increased risk of renal impairment when NSAIDs given with </w:t>
      </w:r>
      <w:r>
        <w:rPr>
          <w:rFonts w:ascii="Calibri" w:hAnsi="Calibri"/>
          <w:color w:val="008356"/>
          <w:w w:val="105"/>
          <w:sz w:val="11"/>
        </w:rPr>
        <w:t>ANGIOTENSIN-II RECEPTOR ANTAGONISTS</w:t>
      </w:r>
      <w:r>
        <w:rPr>
          <w:color w:val="231F1F"/>
          <w:w w:val="105"/>
          <w:sz w:val="12"/>
        </w:rPr>
        <w:t>, also hypotensive effect antagonised</w:t>
      </w:r>
    </w:p>
    <w:p>
      <w:pPr>
        <w:pStyle w:val="BodyText"/>
        <w:spacing w:line="155" w:lineRule="exact"/>
        <w:ind w:left="181"/>
        <w:jc w:val="both"/>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acemetacin possibly reduced by</w:t>
      </w:r>
    </w:p>
    <w:p>
      <w:pPr>
        <w:spacing w:line="130" w:lineRule="exact" w:before="0"/>
        <w:ind w:left="281" w:right="0" w:firstLine="0"/>
        <w:jc w:val="left"/>
        <w:rPr>
          <w:rFonts w:ascii="Calibri"/>
          <w:sz w:val="11"/>
        </w:rPr>
      </w:pPr>
      <w:r>
        <w:rPr>
          <w:rFonts w:ascii="Calibri"/>
          <w:color w:val="008356"/>
          <w:sz w:val="11"/>
        </w:rPr>
        <w:t>ANTACIDS</w:t>
      </w:r>
    </w:p>
    <w:p>
      <w:pPr>
        <w:pStyle w:val="BodyText"/>
        <w:spacing w:line="244" w:lineRule="auto"/>
        <w:ind w:left="281" w:right="695" w:hanging="100"/>
        <w:rPr>
          <w:rFonts w:ascii="Calibri"/>
          <w:sz w:val="11"/>
        </w:rPr>
      </w:pPr>
      <w:r>
        <w:rPr>
          <w:rFonts w:ascii="Arial"/>
          <w:color w:val="231F1F"/>
          <w:w w:val="355"/>
          <w:position w:val="1"/>
          <w:sz w:val="7"/>
        </w:rPr>
        <w:t>l </w:t>
      </w:r>
      <w:r>
        <w:rPr>
          <w:rFonts w:ascii="Calibri"/>
          <w:color w:val="231F1F"/>
          <w:w w:val="105"/>
        </w:rPr>
        <w:t>Antibacterials: </w:t>
      </w:r>
      <w:r>
        <w:rPr>
          <w:color w:val="231F1F"/>
          <w:w w:val="105"/>
        </w:rPr>
        <w:t>indometacin possibly increases plasma concentration of </w:t>
      </w:r>
      <w:r>
        <w:rPr>
          <w:rFonts w:ascii="Calibri"/>
          <w:color w:val="008356"/>
          <w:spacing w:val="4"/>
          <w:w w:val="105"/>
          <w:sz w:val="11"/>
        </w:rPr>
        <w:t>AMIKACIN </w:t>
      </w:r>
      <w:r>
        <w:rPr>
          <w:color w:val="231F1F"/>
          <w:w w:val="105"/>
        </w:rPr>
        <w:t>and </w:t>
      </w:r>
      <w:r>
        <w:rPr>
          <w:rFonts w:ascii="Calibri"/>
          <w:color w:val="008356"/>
          <w:spacing w:val="4"/>
          <w:w w:val="105"/>
          <w:sz w:val="11"/>
        </w:rPr>
        <w:t>GENTAMICIN  </w:t>
      </w:r>
      <w:r>
        <w:rPr>
          <w:color w:val="231F1F"/>
          <w:w w:val="105"/>
        </w:rPr>
        <w:t>in neonates; plasma concentration of celecoxib, diclofenac and etoricoxib reduced by </w:t>
      </w:r>
      <w:r>
        <w:rPr>
          <w:rFonts w:ascii="Calibri"/>
          <w:color w:val="008356"/>
          <w:spacing w:val="4"/>
          <w:w w:val="105"/>
          <w:sz w:val="11"/>
        </w:rPr>
        <w:t>RIFAMPICIN</w:t>
      </w:r>
      <w:r>
        <w:rPr>
          <w:color w:val="231F1F"/>
          <w:spacing w:val="4"/>
          <w:w w:val="105"/>
        </w:rPr>
        <w:t>; </w:t>
      </w:r>
      <w:r>
        <w:rPr>
          <w:color w:val="231F1F"/>
          <w:w w:val="105"/>
        </w:rPr>
        <w:t>possible increased risk of convulsions when NSAIDs given with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05"/>
          <w:sz w:val="11"/>
        </w:rPr>
        <w:t>QUINOLONES</w:t>
      </w:r>
    </w:p>
    <w:p>
      <w:pPr>
        <w:pStyle w:val="BodyText"/>
        <w:spacing w:line="138" w:lineRule="exact"/>
        <w:ind w:left="181"/>
        <w:jc w:val="both"/>
      </w:pPr>
      <w:r>
        <w:rPr>
          <w:rFonts w:ascii="Arial"/>
          <w:color w:val="231F1F"/>
          <w:w w:val="355"/>
          <w:position w:val="1"/>
          <w:sz w:val="7"/>
        </w:rPr>
        <w:t>l </w:t>
      </w:r>
      <w:r>
        <w:rPr>
          <w:rFonts w:ascii="Calibri"/>
          <w:color w:val="231F1F"/>
          <w:w w:val="115"/>
        </w:rPr>
        <w:t>Anticoagulants: </w:t>
      </w:r>
      <w:r>
        <w:rPr>
          <w:color w:val="231F1F"/>
          <w:w w:val="115"/>
        </w:rPr>
        <w:t>increased risk of haemorrhage when</w:t>
      </w:r>
    </w:p>
    <w:p>
      <w:pPr>
        <w:pStyle w:val="BodyText"/>
        <w:spacing w:line="247" w:lineRule="auto"/>
        <w:ind w:left="281" w:right="772" w:hanging="1"/>
        <w:jc w:val="both"/>
      </w:pPr>
      <w:r>
        <w:rPr>
          <w:i/>
          <w:color w:val="231F1F"/>
          <w:w w:val="105"/>
        </w:rPr>
        <w:t>intravenous </w:t>
      </w:r>
      <w:r>
        <w:rPr>
          <w:color w:val="231F1F"/>
          <w:w w:val="105"/>
        </w:rPr>
        <w:t>diclofenac given with </w:t>
      </w:r>
      <w:r>
        <w:rPr>
          <w:rFonts w:ascii="Arial"/>
          <w:color w:val="231F1F"/>
          <w:w w:val="355"/>
          <w:position w:val="1"/>
          <w:sz w:val="7"/>
        </w:rPr>
        <w:t>l </w:t>
      </w:r>
      <w:r>
        <w:rPr>
          <w:rFonts w:ascii="Calibri"/>
          <w:color w:val="008356"/>
          <w:spacing w:val="4"/>
          <w:w w:val="105"/>
          <w:sz w:val="11"/>
        </w:rPr>
        <w:t>ANTICOAGULANTS </w:t>
      </w:r>
      <w:r>
        <w:rPr>
          <w:color w:val="231F1F"/>
          <w:w w:val="105"/>
        </w:rPr>
        <w:t>(avoid concomitant use, including low-dose  heparins);  increased risk of haemorrhage when ketorolac given</w:t>
      </w:r>
      <w:r>
        <w:rPr>
          <w:color w:val="231F1F"/>
          <w:spacing w:val="4"/>
          <w:w w:val="105"/>
        </w:rPr>
        <w:t> </w:t>
      </w:r>
      <w:r>
        <w:rPr>
          <w:color w:val="231F1F"/>
          <w:w w:val="105"/>
        </w:rPr>
        <w:t>with</w:t>
      </w:r>
    </w:p>
    <w:p>
      <w:pPr>
        <w:spacing w:line="247" w:lineRule="auto" w:before="0"/>
        <w:ind w:left="281" w:right="673" w:firstLine="0"/>
        <w:jc w:val="left"/>
        <w:rPr>
          <w:rFonts w:ascii="Calibri"/>
          <w:sz w:val="11"/>
        </w:rPr>
      </w:pPr>
      <w:r>
        <w:rPr>
          <w:rFonts w:ascii="Arial"/>
          <w:color w:val="231F1F"/>
          <w:w w:val="355"/>
          <w:position w:val="1"/>
          <w:sz w:val="7"/>
        </w:rPr>
        <w:t>l </w:t>
      </w:r>
      <w:r>
        <w:rPr>
          <w:rFonts w:ascii="Calibri"/>
          <w:color w:val="008356"/>
          <w:spacing w:val="4"/>
          <w:w w:val="110"/>
          <w:sz w:val="11"/>
        </w:rPr>
        <w:t>ANTICOAGULANTS </w:t>
      </w:r>
      <w:r>
        <w:rPr>
          <w:color w:val="231F1F"/>
          <w:w w:val="110"/>
          <w:sz w:val="12"/>
        </w:rPr>
        <w:t>(avoid concomitant use, including low- dose heparins); NSAIDs possibly enhance anticoagulant effect</w:t>
      </w:r>
      <w:r>
        <w:rPr>
          <w:color w:val="231F1F"/>
          <w:spacing w:val="-13"/>
          <w:w w:val="110"/>
          <w:sz w:val="12"/>
        </w:rPr>
        <w:t> </w:t>
      </w:r>
      <w:r>
        <w:rPr>
          <w:color w:val="231F1F"/>
          <w:w w:val="110"/>
          <w:sz w:val="12"/>
        </w:rPr>
        <w:t>of</w:t>
      </w:r>
      <w:r>
        <w:rPr>
          <w:color w:val="231F1F"/>
          <w:spacing w:val="-12"/>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COUMARINS</w:t>
      </w:r>
      <w:r>
        <w:rPr>
          <w:rFonts w:ascii="Calibri"/>
          <w:color w:val="008356"/>
          <w:spacing w:val="-3"/>
          <w:w w:val="110"/>
          <w:sz w:val="11"/>
        </w:rPr>
        <w:t> </w:t>
      </w:r>
      <w:r>
        <w:rPr>
          <w:color w:val="231F1F"/>
          <w:w w:val="110"/>
          <w:sz w:val="12"/>
        </w:rPr>
        <w:t>and</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PHENINDIONE</w:t>
      </w:r>
      <w:r>
        <w:rPr>
          <w:color w:val="231F1F"/>
          <w:spacing w:val="4"/>
          <w:w w:val="110"/>
          <w:sz w:val="12"/>
        </w:rPr>
        <w:t>;</w:t>
      </w:r>
      <w:r>
        <w:rPr>
          <w:color w:val="231F1F"/>
          <w:spacing w:val="-12"/>
          <w:w w:val="110"/>
          <w:sz w:val="12"/>
        </w:rPr>
        <w:t> </w:t>
      </w:r>
      <w:r>
        <w:rPr>
          <w:color w:val="231F1F"/>
          <w:w w:val="110"/>
          <w:sz w:val="12"/>
        </w:rPr>
        <w:t>possible</w:t>
      </w:r>
      <w:r>
        <w:rPr>
          <w:color w:val="231F1F"/>
          <w:spacing w:val="-13"/>
          <w:w w:val="110"/>
          <w:sz w:val="12"/>
        </w:rPr>
        <w:t> </w:t>
      </w:r>
      <w:r>
        <w:rPr>
          <w:color w:val="231F1F"/>
          <w:w w:val="110"/>
          <w:sz w:val="12"/>
        </w:rPr>
        <w:t>increased risk of bleeding when NSAIDs given with </w:t>
      </w:r>
      <w:r>
        <w:rPr>
          <w:rFonts w:ascii="Arial"/>
          <w:color w:val="231F1F"/>
          <w:w w:val="355"/>
          <w:position w:val="1"/>
          <w:sz w:val="7"/>
        </w:rPr>
        <w:t>l </w:t>
      </w:r>
      <w:r>
        <w:rPr>
          <w:rFonts w:ascii="Calibri"/>
          <w:color w:val="008356"/>
          <w:spacing w:val="4"/>
          <w:w w:val="110"/>
          <w:sz w:val="11"/>
        </w:rPr>
        <w:t>DABIGATRAN </w:t>
      </w:r>
      <w:r>
        <w:rPr>
          <w:color w:val="231F1F"/>
          <w:w w:val="110"/>
          <w:sz w:val="12"/>
        </w:rPr>
        <w:t>or </w:t>
      </w:r>
      <w:r>
        <w:rPr>
          <w:rFonts w:ascii="Calibri"/>
          <w:color w:val="008356"/>
          <w:spacing w:val="4"/>
          <w:w w:val="110"/>
          <w:sz w:val="11"/>
        </w:rPr>
        <w:t>HEPARINS</w:t>
      </w:r>
    </w:p>
    <w:p>
      <w:pPr>
        <w:spacing w:line="237" w:lineRule="auto" w:before="0"/>
        <w:ind w:left="281" w:right="896" w:hanging="100"/>
        <w:jc w:val="left"/>
        <w:rPr>
          <w:rFonts w:ascii="Calibri"/>
          <w:sz w:val="11"/>
        </w:rPr>
      </w:pPr>
      <w:r>
        <w:rPr>
          <w:rFonts w:ascii="Arial"/>
          <w:color w:val="231F1F"/>
          <w:w w:val="240"/>
          <w:position w:val="1"/>
          <w:sz w:val="7"/>
        </w:rPr>
        <w:t>l</w:t>
      </w:r>
      <w:r>
        <w:rPr>
          <w:rFonts w:ascii="Arial"/>
          <w:color w:val="231F1F"/>
          <w:spacing w:val="-34"/>
          <w:w w:val="240"/>
          <w:position w:val="1"/>
          <w:sz w:val="7"/>
        </w:rPr>
        <w:t> </w:t>
      </w:r>
      <w:r>
        <w:rPr>
          <w:rFonts w:ascii="Calibri"/>
          <w:color w:val="231F1F"/>
          <w:w w:val="115"/>
          <w:sz w:val="12"/>
        </w:rPr>
        <w:t>Antidepressants:</w:t>
      </w:r>
      <w:r>
        <w:rPr>
          <w:rFonts w:ascii="Calibri"/>
          <w:color w:val="231F1F"/>
          <w:spacing w:val="-21"/>
          <w:w w:val="115"/>
          <w:sz w:val="12"/>
        </w:rPr>
        <w:t> </w:t>
      </w:r>
      <w:r>
        <w:rPr>
          <w:color w:val="231F1F"/>
          <w:w w:val="115"/>
          <w:sz w:val="12"/>
        </w:rPr>
        <w:t>increased</w:t>
      </w:r>
      <w:r>
        <w:rPr>
          <w:color w:val="231F1F"/>
          <w:spacing w:val="-24"/>
          <w:w w:val="115"/>
          <w:sz w:val="12"/>
        </w:rPr>
        <w:t> </w:t>
      </w:r>
      <w:r>
        <w:rPr>
          <w:color w:val="231F1F"/>
          <w:w w:val="115"/>
          <w:sz w:val="12"/>
        </w:rPr>
        <w:t>risk</w:t>
      </w:r>
      <w:r>
        <w:rPr>
          <w:color w:val="231F1F"/>
          <w:spacing w:val="-25"/>
          <w:w w:val="115"/>
          <w:sz w:val="12"/>
        </w:rPr>
        <w:t> </w:t>
      </w:r>
      <w:r>
        <w:rPr>
          <w:color w:val="231F1F"/>
          <w:w w:val="115"/>
          <w:sz w:val="12"/>
        </w:rPr>
        <w:t>of</w:t>
      </w:r>
      <w:r>
        <w:rPr>
          <w:color w:val="231F1F"/>
          <w:spacing w:val="-23"/>
          <w:w w:val="115"/>
          <w:sz w:val="12"/>
        </w:rPr>
        <w:t> </w:t>
      </w:r>
      <w:r>
        <w:rPr>
          <w:color w:val="231F1F"/>
          <w:w w:val="115"/>
          <w:sz w:val="12"/>
        </w:rPr>
        <w:t>bleeding</w:t>
      </w:r>
      <w:r>
        <w:rPr>
          <w:color w:val="231F1F"/>
          <w:spacing w:val="-25"/>
          <w:w w:val="115"/>
          <w:sz w:val="12"/>
        </w:rPr>
        <w:t> </w:t>
      </w:r>
      <w:r>
        <w:rPr>
          <w:color w:val="231F1F"/>
          <w:w w:val="115"/>
          <w:sz w:val="12"/>
        </w:rPr>
        <w:t>when</w:t>
      </w:r>
      <w:r>
        <w:rPr>
          <w:color w:val="231F1F"/>
          <w:spacing w:val="-24"/>
          <w:w w:val="115"/>
          <w:sz w:val="12"/>
        </w:rPr>
        <w:t> </w:t>
      </w:r>
      <w:r>
        <w:rPr>
          <w:color w:val="231F1F"/>
          <w:spacing w:val="-3"/>
          <w:w w:val="115"/>
          <w:sz w:val="12"/>
        </w:rPr>
        <w:t>NSAIDs </w:t>
      </w:r>
      <w:r>
        <w:rPr>
          <w:color w:val="231F1F"/>
          <w:w w:val="115"/>
          <w:sz w:val="12"/>
        </w:rPr>
        <w:t>given</w:t>
      </w:r>
      <w:r>
        <w:rPr>
          <w:color w:val="231F1F"/>
          <w:spacing w:val="-7"/>
          <w:w w:val="115"/>
          <w:sz w:val="12"/>
        </w:rPr>
        <w:t> </w:t>
      </w:r>
      <w:r>
        <w:rPr>
          <w:color w:val="231F1F"/>
          <w:w w:val="115"/>
          <w:sz w:val="12"/>
        </w:rPr>
        <w:t>with</w:t>
      </w:r>
      <w:r>
        <w:rPr>
          <w:color w:val="231F1F"/>
          <w:spacing w:val="-6"/>
          <w:w w:val="115"/>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5"/>
          <w:sz w:val="11"/>
        </w:rPr>
        <w:t>SSRIS</w:t>
      </w:r>
      <w:r>
        <w:rPr>
          <w:rFonts w:ascii="Calibri"/>
          <w:color w:val="008356"/>
          <w:spacing w:val="5"/>
          <w:w w:val="115"/>
          <w:sz w:val="11"/>
        </w:rPr>
        <w:t> </w:t>
      </w:r>
      <w:r>
        <w:rPr>
          <w:color w:val="231F1F"/>
          <w:w w:val="115"/>
          <w:sz w:val="12"/>
        </w:rPr>
        <w:t>or</w:t>
      </w:r>
      <w:r>
        <w:rPr>
          <w:color w:val="231F1F"/>
          <w:spacing w:val="-6"/>
          <w:w w:val="115"/>
          <w:sz w:val="12"/>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5"/>
          <w:sz w:val="11"/>
        </w:rPr>
        <w:t>VENLAFAXINE</w:t>
      </w:r>
    </w:p>
    <w:p>
      <w:pPr>
        <w:pStyle w:val="BodyText"/>
        <w:spacing w:line="145" w:lineRule="exact"/>
        <w:ind w:left="181"/>
        <w:jc w:val="both"/>
      </w:pPr>
      <w:r>
        <w:rPr>
          <w:rFonts w:ascii="Arial"/>
          <w:color w:val="231F1F"/>
          <w:w w:val="355"/>
          <w:position w:val="1"/>
          <w:sz w:val="7"/>
        </w:rPr>
        <w:t>l </w:t>
      </w:r>
      <w:r>
        <w:rPr>
          <w:rFonts w:ascii="Calibri"/>
          <w:color w:val="231F1F"/>
          <w:w w:val="110"/>
        </w:rPr>
        <w:t>Antidiabetics: </w:t>
      </w:r>
      <w:r>
        <w:rPr>
          <w:color w:val="231F1F"/>
          <w:w w:val="110"/>
        </w:rPr>
        <w:t>NSAIDs possibly enhance effects of</w:t>
      </w:r>
    </w:p>
    <w:p>
      <w:pPr>
        <w:spacing w:line="133" w:lineRule="exact" w:before="0"/>
        <w:ind w:left="281" w:right="0" w:firstLine="0"/>
        <w:jc w:val="left"/>
        <w:rPr>
          <w:rFonts w:ascii="Calibri"/>
          <w:sz w:val="11"/>
        </w:rPr>
      </w:pPr>
      <w:r>
        <w:rPr>
          <w:rFonts w:ascii="Arial"/>
          <w:color w:val="231F1F"/>
          <w:w w:val="355"/>
          <w:position w:val="1"/>
          <w:sz w:val="7"/>
        </w:rPr>
        <w:t>l </w:t>
      </w:r>
      <w:r>
        <w:rPr>
          <w:rFonts w:ascii="Calibri"/>
          <w:color w:val="008356"/>
          <w:w w:val="120"/>
          <w:sz w:val="11"/>
        </w:rPr>
        <w:t>SULFONYLUREAS</w:t>
      </w:r>
    </w:p>
    <w:p>
      <w:pPr>
        <w:pStyle w:val="BodyText"/>
        <w:spacing w:line="151" w:lineRule="exact"/>
        <w:ind w:left="181"/>
        <w:jc w:val="both"/>
      </w:pPr>
      <w:r>
        <w:rPr>
          <w:rFonts w:ascii="Lucida Sans Unicode" w:hAnsi="Lucida Sans Unicode"/>
          <w:color w:val="A7A8AC"/>
          <w:w w:val="95"/>
          <w:sz w:val="10"/>
        </w:rPr>
        <w:t>▶ </w:t>
      </w:r>
      <w:r>
        <w:rPr>
          <w:rFonts w:ascii="Calibri" w:hAnsi="Calibri"/>
          <w:color w:val="231F1F"/>
          <w:w w:val="105"/>
        </w:rPr>
        <w:t>Antiepileptics: </w:t>
      </w:r>
      <w:r>
        <w:rPr>
          <w:color w:val="231F1F"/>
          <w:w w:val="105"/>
        </w:rPr>
        <w:t>acemetacin possibly reduces excretion of</w:t>
      </w:r>
    </w:p>
    <w:p>
      <w:pPr>
        <w:spacing w:line="135" w:lineRule="exact" w:before="0"/>
        <w:ind w:left="281" w:right="0" w:firstLine="0"/>
        <w:jc w:val="left"/>
        <w:rPr>
          <w:sz w:val="12"/>
        </w:rPr>
      </w:pPr>
      <w:r>
        <w:rPr>
          <w:rFonts w:ascii="Calibri"/>
          <w:color w:val="008356"/>
          <w:spacing w:val="4"/>
          <w:w w:val="105"/>
          <w:sz w:val="11"/>
        </w:rPr>
        <w:t>FOSPHENYTOIN  </w:t>
      </w:r>
      <w:r>
        <w:rPr>
          <w:color w:val="231F1F"/>
          <w:w w:val="105"/>
          <w:sz w:val="12"/>
        </w:rPr>
        <w:t>and </w:t>
      </w:r>
      <w:r>
        <w:rPr>
          <w:rFonts w:ascii="Calibri"/>
          <w:color w:val="008356"/>
          <w:spacing w:val="4"/>
          <w:w w:val="105"/>
          <w:sz w:val="11"/>
        </w:rPr>
        <w:t>PHENYTOIN  </w:t>
      </w:r>
      <w:r>
        <w:rPr>
          <w:color w:val="231F1F"/>
          <w:w w:val="105"/>
          <w:sz w:val="12"/>
        </w:rPr>
        <w:t>(increased risk of</w:t>
      </w:r>
      <w:r>
        <w:rPr>
          <w:color w:val="231F1F"/>
          <w:spacing w:val="-20"/>
          <w:w w:val="105"/>
          <w:sz w:val="12"/>
        </w:rPr>
        <w:t> </w:t>
      </w:r>
      <w:r>
        <w:rPr>
          <w:color w:val="231F1F"/>
          <w:w w:val="105"/>
          <w:sz w:val="12"/>
        </w:rPr>
        <w:t>toxicity)</w:t>
      </w:r>
    </w:p>
    <w:p>
      <w:pPr>
        <w:pStyle w:val="BodyText"/>
        <w:ind w:left="281" w:right="65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parecoxib increased by </w:t>
      </w:r>
      <w:r>
        <w:rPr>
          <w:rFonts w:ascii="Calibri" w:hAnsi="Calibri"/>
          <w:color w:val="008356"/>
          <w:spacing w:val="4"/>
          <w:w w:val="110"/>
          <w:sz w:val="11"/>
        </w:rPr>
        <w:t>FLUCONAZOLE </w:t>
      </w:r>
      <w:r>
        <w:rPr>
          <w:color w:val="231F1F"/>
          <w:w w:val="110"/>
        </w:rPr>
        <w:t>(reduce dose of parecoxib); plasma concentration of celecoxib increased by </w:t>
      </w:r>
      <w:r>
        <w:rPr>
          <w:rFonts w:ascii="Calibri" w:hAnsi="Calibri"/>
          <w:color w:val="008356"/>
          <w:spacing w:val="4"/>
          <w:w w:val="110"/>
          <w:sz w:val="11"/>
        </w:rPr>
        <w:t>FLUCONAZOLE </w:t>
      </w:r>
      <w:r>
        <w:rPr>
          <w:color w:val="231F1F"/>
          <w:w w:val="110"/>
        </w:rPr>
        <w:t>(halve dose of celecoxib); plasma concentration of flurbiprofen </w:t>
      </w:r>
      <w:r>
        <w:rPr>
          <w:color w:val="231F1F"/>
          <w:spacing w:val="-5"/>
          <w:w w:val="110"/>
        </w:rPr>
        <w:t>and </w:t>
      </w:r>
      <w:r>
        <w:rPr>
          <w:color w:val="231F1F"/>
          <w:w w:val="110"/>
        </w:rPr>
        <w:t>ibuprofen increased by </w:t>
      </w:r>
      <w:r>
        <w:rPr>
          <w:rFonts w:ascii="Calibri" w:hAnsi="Calibri"/>
          <w:color w:val="008356"/>
          <w:spacing w:val="4"/>
          <w:w w:val="110"/>
          <w:sz w:val="11"/>
        </w:rPr>
        <w:t>FLUCONAZOLE</w:t>
      </w:r>
      <w:r>
        <w:rPr>
          <w:color w:val="231F1F"/>
          <w:spacing w:val="4"/>
          <w:w w:val="110"/>
        </w:rPr>
        <w:t>; </w:t>
      </w:r>
      <w:r>
        <w:rPr>
          <w:color w:val="231F1F"/>
          <w:w w:val="110"/>
        </w:rPr>
        <w:t>plasma concentration of diclofenac and ibuprofen increased by</w:t>
      </w:r>
      <w:r>
        <w:rPr>
          <w:color w:val="231F1F"/>
          <w:spacing w:val="-20"/>
          <w:w w:val="110"/>
        </w:rPr>
        <w:t> </w:t>
      </w:r>
      <w:r>
        <w:rPr>
          <w:rFonts w:ascii="Calibri" w:hAnsi="Calibri"/>
          <w:color w:val="008356"/>
          <w:spacing w:val="4"/>
          <w:w w:val="110"/>
          <w:sz w:val="11"/>
        </w:rPr>
        <w:t>VORICONAZOLE</w:t>
      </w:r>
    </w:p>
    <w:p>
      <w:pPr>
        <w:pStyle w:val="BodyText"/>
        <w:spacing w:line="220" w:lineRule="auto" w:before="2"/>
        <w:ind w:left="281" w:right="56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possible severe drowsiness when acemetacin or indometacin given with </w:t>
      </w:r>
      <w:r>
        <w:rPr>
          <w:rFonts w:ascii="Calibri" w:hAnsi="Calibri"/>
          <w:color w:val="008356"/>
          <w:w w:val="110"/>
          <w:sz w:val="11"/>
        </w:rPr>
        <w:t>HALOPERIDOL</w:t>
      </w:r>
    </w:p>
    <w:p>
      <w:pPr>
        <w:spacing w:after="0" w:line="220" w:lineRule="auto"/>
        <w:rPr>
          <w:rFonts w:ascii="Calibri" w:hAnsi="Calibri"/>
          <w:sz w:val="11"/>
        </w:rPr>
        <w:sectPr>
          <w:pgSz w:w="8390" w:h="11910"/>
          <w:pgMar w:header="0" w:footer="0" w:top="460" w:bottom="280" w:left="480" w:right="0"/>
          <w:cols w:num="2" w:equalWidth="0">
            <w:col w:w="3642" w:space="40"/>
            <w:col w:w="4228"/>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NSAIDs </w:t>
      </w:r>
      <w:r>
        <w:rPr>
          <w:rFonts w:ascii="Calibri"/>
          <w:color w:val="231F1F"/>
        </w:rPr>
        <w:t>(continued)</w:t>
      </w:r>
    </w:p>
    <w:p>
      <w:pPr>
        <w:pStyle w:val="BodyText"/>
        <w:spacing w:line="144" w:lineRule="exact"/>
        <w:ind w:left="108"/>
      </w:pPr>
      <w:r>
        <w:rPr>
          <w:rFonts w:ascii="Arial"/>
          <w:color w:val="231F1F"/>
          <w:w w:val="355"/>
          <w:position w:val="1"/>
          <w:sz w:val="7"/>
        </w:rPr>
        <w:t>l </w:t>
      </w:r>
      <w:r>
        <w:rPr>
          <w:rFonts w:ascii="Calibri"/>
          <w:color w:val="231F1F"/>
          <w:w w:val="115"/>
        </w:rPr>
        <w:t>Antivirals: </w:t>
      </w:r>
      <w:r>
        <w:rPr>
          <w:color w:val="231F1F"/>
          <w:w w:val="115"/>
        </w:rPr>
        <w:t>plasma concentration of piroxicam increased by</w:t>
      </w:r>
    </w:p>
    <w:p>
      <w:pPr>
        <w:pStyle w:val="BodyText"/>
        <w:spacing w:line="244" w:lineRule="auto"/>
        <w:ind w:right="55"/>
        <w:rPr>
          <w:rFonts w:ascii="Calibri" w:hAnsi="Calibri"/>
          <w:sz w:val="11"/>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0"/>
          <w:sz w:val="11"/>
        </w:rPr>
        <w:t>RITONAVIR </w:t>
      </w:r>
      <w:r>
        <w:rPr>
          <w:color w:val="231F1F"/>
          <w:w w:val="110"/>
        </w:rPr>
        <w:t>(risk of toxicity)</w:t>
      </w:r>
      <w:r>
        <w:rPr>
          <w:rFonts w:ascii="Arial" w:hAnsi="Arial"/>
          <w:color w:val="231F1F"/>
          <w:w w:val="110"/>
        </w:rPr>
        <w:t>—</w:t>
      </w:r>
      <w:r>
        <w:rPr>
          <w:color w:val="231F1F"/>
          <w:w w:val="110"/>
        </w:rPr>
        <w:t>avoid concomitant use; plasma concentration of NSAIDs possibly increased by </w:t>
      </w:r>
      <w:r>
        <w:rPr>
          <w:rFonts w:ascii="Calibri" w:hAnsi="Calibri"/>
          <w:color w:val="008356"/>
          <w:spacing w:val="3"/>
          <w:w w:val="110"/>
          <w:sz w:val="11"/>
        </w:rPr>
        <w:t>RITONAVIR</w:t>
      </w:r>
      <w:r>
        <w:rPr>
          <w:color w:val="231F1F"/>
          <w:spacing w:val="3"/>
          <w:w w:val="110"/>
        </w:rPr>
        <w:t>; </w:t>
      </w:r>
      <w:r>
        <w:rPr>
          <w:color w:val="231F1F"/>
          <w:w w:val="110"/>
        </w:rPr>
        <w:t>increased risk of haematological toxicity when NSAIDs given with </w:t>
      </w:r>
      <w:r>
        <w:rPr>
          <w:rFonts w:ascii="Calibri" w:hAnsi="Calibri"/>
          <w:color w:val="008356"/>
          <w:spacing w:val="4"/>
          <w:w w:val="110"/>
          <w:sz w:val="11"/>
        </w:rPr>
        <w:t>ZIDOVUDINE</w:t>
      </w:r>
    </w:p>
    <w:p>
      <w:pPr>
        <w:spacing w:line="230"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Beta-blockers: </w:t>
      </w:r>
      <w:r>
        <w:rPr>
          <w:color w:val="231F1F"/>
          <w:w w:val="105"/>
          <w:sz w:val="12"/>
        </w:rPr>
        <w:t>NSAIDs antagonise hypotensive effect of </w:t>
      </w:r>
      <w:r>
        <w:rPr>
          <w:rFonts w:ascii="Calibri" w:hAnsi="Calibri"/>
          <w:color w:val="008356"/>
          <w:w w:val="105"/>
          <w:sz w:val="11"/>
        </w:rPr>
        <w:t>BETA- BLOCKERS</w:t>
      </w:r>
    </w:p>
    <w:p>
      <w:pPr>
        <w:spacing w:line="220" w:lineRule="auto" w:before="8"/>
        <w:ind w:left="208" w:right="247"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Calcium-channel Blockers: </w:t>
      </w:r>
      <w:r>
        <w:rPr>
          <w:color w:val="231F1F"/>
          <w:sz w:val="12"/>
        </w:rPr>
        <w:t>NSAIDs antagonise hypotensive effect of </w:t>
      </w:r>
      <w:r>
        <w:rPr>
          <w:rFonts w:ascii="Calibri" w:hAnsi="Calibri"/>
          <w:color w:val="008356"/>
          <w:sz w:val="11"/>
        </w:rPr>
        <w:t>CALCIUM-CHANNEL BLOCKERS</w:t>
      </w:r>
    </w:p>
    <w:p>
      <w:pPr>
        <w:pStyle w:val="BodyText"/>
        <w:spacing w:line="230" w:lineRule="auto" w:before="4"/>
        <w:ind w:right="55" w:hanging="100"/>
      </w:pPr>
      <w:r>
        <w:rPr>
          <w:rFonts w:ascii="Lucida Sans Unicode" w:hAnsi="Lucida Sans Unicode"/>
          <w:color w:val="A7A8AC"/>
          <w:w w:val="95"/>
          <w:sz w:val="10"/>
        </w:rPr>
        <w:t>▶ </w:t>
      </w:r>
      <w:r>
        <w:rPr>
          <w:rFonts w:ascii="Calibri" w:hAnsi="Calibri"/>
          <w:color w:val="231F1F"/>
          <w:w w:val="110"/>
        </w:rPr>
        <w:t>Cardiac Glycosides: </w:t>
      </w:r>
      <w:r>
        <w:rPr>
          <w:color w:val="231F1F"/>
          <w:w w:val="110"/>
        </w:rPr>
        <w:t>NSAIDs possibly increase plasma concentration of </w:t>
      </w:r>
      <w:r>
        <w:rPr>
          <w:rFonts w:ascii="Calibri" w:hAnsi="Calibri"/>
          <w:color w:val="008356"/>
          <w:w w:val="110"/>
          <w:sz w:val="11"/>
        </w:rPr>
        <w:t>CARDIAC GLYCOSIDES</w:t>
      </w:r>
      <w:r>
        <w:rPr>
          <w:color w:val="231F1F"/>
          <w:w w:val="110"/>
        </w:rPr>
        <w:t>, also possible exacerbation of heart failure and reduction of renal function</w:t>
      </w:r>
    </w:p>
    <w:p>
      <w:pPr>
        <w:pStyle w:val="BodyText"/>
        <w:spacing w:before="3"/>
        <w:ind w:right="2" w:hanging="100"/>
      </w:pPr>
      <w:r>
        <w:rPr>
          <w:rFonts w:ascii="Arial"/>
          <w:color w:val="231F1F"/>
          <w:w w:val="355"/>
          <w:position w:val="1"/>
          <w:sz w:val="7"/>
        </w:rPr>
        <w:t>l </w:t>
      </w:r>
      <w:r>
        <w:rPr>
          <w:rFonts w:ascii="Calibri"/>
          <w:color w:val="231F1F"/>
          <w:w w:val="110"/>
        </w:rPr>
        <w:t>Ciclosporin: </w:t>
      </w:r>
      <w:r>
        <w:rPr>
          <w:color w:val="231F1F"/>
          <w:w w:val="110"/>
        </w:rPr>
        <w:t>increased risk of nephrotoxicity when NSAIDs given with </w:t>
      </w:r>
      <w:r>
        <w:rPr>
          <w:rFonts w:ascii="Arial"/>
          <w:color w:val="231F1F"/>
          <w:w w:val="355"/>
          <w:position w:val="1"/>
          <w:sz w:val="7"/>
        </w:rPr>
        <w:t>l </w:t>
      </w:r>
      <w:r>
        <w:rPr>
          <w:rFonts w:ascii="Calibri"/>
          <w:color w:val="008356"/>
          <w:spacing w:val="4"/>
          <w:w w:val="110"/>
          <w:sz w:val="11"/>
        </w:rPr>
        <w:t>CICLOSPORIN</w:t>
      </w:r>
      <w:r>
        <w:rPr>
          <w:color w:val="231F1F"/>
          <w:spacing w:val="4"/>
          <w:w w:val="110"/>
        </w:rPr>
        <w:t>; </w:t>
      </w:r>
      <w:r>
        <w:rPr>
          <w:color w:val="231F1F"/>
          <w:w w:val="110"/>
        </w:rPr>
        <w:t>plasma concentration of diclofenac increased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CICLOSPORIN </w:t>
      </w:r>
      <w:r>
        <w:rPr>
          <w:color w:val="231F1F"/>
          <w:w w:val="110"/>
        </w:rPr>
        <w:t>(halve dose of diclofenac)</w:t>
      </w:r>
    </w:p>
    <w:p>
      <w:pPr>
        <w:pStyle w:val="BodyText"/>
        <w:spacing w:line="149"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NSAIDs antagonise hypotensive effect of </w:t>
      </w:r>
      <w:r>
        <w:rPr>
          <w:rFonts w:ascii="Calibri" w:hAnsi="Calibri"/>
          <w:color w:val="008356"/>
          <w:w w:val="105"/>
          <w:sz w:val="11"/>
        </w:rPr>
        <w:t>CLONIDINE</w:t>
      </w:r>
    </w:p>
    <w:p>
      <w:pPr>
        <w:pStyle w:val="BodyText"/>
        <w:spacing w:line="220" w:lineRule="auto"/>
        <w:ind w:right="247" w:hanging="100"/>
        <w:rPr>
          <w:rFonts w:ascii="Calibri" w:hAnsi="Calibri"/>
          <w:sz w:val="11"/>
        </w:rPr>
      </w:pPr>
      <w:r>
        <w:rPr>
          <w:rFonts w:ascii="Lucida Sans Unicode" w:hAnsi="Lucida Sans Unicode"/>
          <w:color w:val="A7A8AC"/>
          <w:w w:val="95"/>
          <w:sz w:val="10"/>
        </w:rPr>
        <w:t>▶ </w:t>
      </w:r>
      <w:r>
        <w:rPr>
          <w:rFonts w:ascii="Calibri" w:hAnsi="Calibri"/>
          <w:color w:val="231F1F"/>
          <w:w w:val="105"/>
        </w:rPr>
        <w:t>Clopidogrel: </w:t>
      </w:r>
      <w:r>
        <w:rPr>
          <w:color w:val="231F1F"/>
          <w:w w:val="105"/>
        </w:rPr>
        <w:t>increased risk of bleeding when NSAIDs given with </w:t>
      </w:r>
      <w:r>
        <w:rPr>
          <w:rFonts w:ascii="Calibri" w:hAnsi="Calibri"/>
          <w:color w:val="008356"/>
          <w:w w:val="105"/>
          <w:sz w:val="11"/>
        </w:rPr>
        <w:t>CLOPIDOGREL</w:t>
      </w:r>
    </w:p>
    <w:p>
      <w:pPr>
        <w:pStyle w:val="BodyText"/>
        <w:spacing w:line="220" w:lineRule="auto" w:before="8"/>
        <w:ind w:right="247"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increased risk of gastro-intestinal bleeding and ulceration when NSAIDs given with </w:t>
      </w:r>
      <w:r>
        <w:rPr>
          <w:rFonts w:ascii="Calibri" w:hAnsi="Calibri"/>
          <w:color w:val="008356"/>
          <w:w w:val="105"/>
          <w:sz w:val="11"/>
        </w:rPr>
        <w:t>CORTICOSTEROIDS</w:t>
      </w:r>
    </w:p>
    <w:p>
      <w:pPr>
        <w:pStyle w:val="BodyText"/>
        <w:spacing w:line="146" w:lineRule="exact" w:before="1"/>
        <w:ind w:left="108"/>
      </w:pPr>
      <w:r>
        <w:rPr>
          <w:rFonts w:ascii="Arial"/>
          <w:color w:val="231F1F"/>
          <w:w w:val="355"/>
          <w:position w:val="1"/>
          <w:sz w:val="7"/>
        </w:rPr>
        <w:t>l </w:t>
      </w:r>
      <w:r>
        <w:rPr>
          <w:rFonts w:ascii="Calibri"/>
          <w:color w:val="231F1F"/>
          <w:w w:val="110"/>
        </w:rPr>
        <w:t>Cytotoxics: </w:t>
      </w:r>
      <w:r>
        <w:rPr>
          <w:color w:val="231F1F"/>
          <w:w w:val="110"/>
        </w:rPr>
        <w:t>NSAIDs probably reduce excretion of</w:t>
      </w:r>
    </w:p>
    <w:p>
      <w:pPr>
        <w:pStyle w:val="BodyText"/>
        <w:spacing w:line="244" w:lineRule="auto"/>
        <w:ind w:right="50"/>
        <w:rPr>
          <w:rFonts w:ascii="Calibri" w:hAnsi="Calibri"/>
          <w:sz w:val="11"/>
        </w:rPr>
      </w:pPr>
      <w:r>
        <w:rPr>
          <w:rFonts w:ascii="Arial" w:hAnsi="Arial"/>
          <w:color w:val="231F1F"/>
          <w:w w:val="355"/>
          <w:position w:val="1"/>
          <w:sz w:val="7"/>
        </w:rPr>
        <w:t>l </w:t>
      </w:r>
      <w:r>
        <w:rPr>
          <w:rFonts w:ascii="Calibri" w:hAnsi="Calibri"/>
          <w:color w:val="008356"/>
          <w:spacing w:val="4"/>
          <w:w w:val="115"/>
          <w:sz w:val="11"/>
        </w:rPr>
        <w:t>METHOTREXATE </w:t>
      </w:r>
      <w:r>
        <w:rPr>
          <w:color w:val="231F1F"/>
          <w:w w:val="115"/>
        </w:rPr>
        <w:t>(increased risk of toxicity); diclofenac, ibuprofen, indometacin, ketoprofen, meloxicam and naproxen</w:t>
      </w:r>
      <w:r>
        <w:rPr>
          <w:color w:val="231F1F"/>
          <w:spacing w:val="-24"/>
          <w:w w:val="115"/>
        </w:rPr>
        <w:t> </w:t>
      </w:r>
      <w:r>
        <w:rPr>
          <w:color w:val="231F1F"/>
          <w:w w:val="115"/>
        </w:rPr>
        <w:t>reduce</w:t>
      </w:r>
      <w:r>
        <w:rPr>
          <w:color w:val="231F1F"/>
          <w:spacing w:val="-23"/>
          <w:w w:val="115"/>
        </w:rPr>
        <w:t> </w:t>
      </w:r>
      <w:r>
        <w:rPr>
          <w:color w:val="231F1F"/>
          <w:w w:val="115"/>
        </w:rPr>
        <w:t>excretion</w:t>
      </w:r>
      <w:r>
        <w:rPr>
          <w:color w:val="231F1F"/>
          <w:spacing w:val="-22"/>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METHOTREXATE</w:t>
      </w:r>
      <w:r>
        <w:rPr>
          <w:rFonts w:ascii="Calibri" w:hAnsi="Calibri"/>
          <w:color w:val="008356"/>
          <w:spacing w:val="-15"/>
          <w:w w:val="115"/>
          <w:sz w:val="11"/>
        </w:rPr>
        <w:t> </w:t>
      </w:r>
      <w:r>
        <w:rPr>
          <w:color w:val="231F1F"/>
          <w:w w:val="115"/>
        </w:rPr>
        <w:t>(increased</w:t>
      </w:r>
      <w:r>
        <w:rPr>
          <w:color w:val="231F1F"/>
          <w:spacing w:val="-23"/>
          <w:w w:val="115"/>
        </w:rPr>
        <w:t> </w:t>
      </w:r>
      <w:r>
        <w:rPr>
          <w:color w:val="231F1F"/>
          <w:spacing w:val="-3"/>
          <w:w w:val="115"/>
        </w:rPr>
        <w:t>risk </w:t>
      </w:r>
      <w:r>
        <w:rPr>
          <w:color w:val="231F1F"/>
          <w:w w:val="115"/>
        </w:rPr>
        <w:t>of toxicity); NSAIDs possibly reduce renal excretion of </w:t>
      </w:r>
      <w:r>
        <w:rPr>
          <w:rFonts w:ascii="Calibri" w:hAnsi="Calibri"/>
          <w:color w:val="008356"/>
          <w:spacing w:val="2"/>
          <w:w w:val="115"/>
          <w:sz w:val="11"/>
        </w:rPr>
        <w:t>PEMETREXED</w:t>
      </w:r>
      <w:r>
        <w:rPr>
          <w:rFonts w:ascii="Arial" w:hAnsi="Arial"/>
          <w:color w:val="231F1F"/>
          <w:spacing w:val="2"/>
          <w:w w:val="115"/>
        </w:rPr>
        <w:t>—</w:t>
      </w:r>
      <w:r>
        <w:rPr>
          <w:color w:val="231F1F"/>
          <w:spacing w:val="2"/>
          <w:w w:val="115"/>
        </w:rPr>
        <w:t>consult </w:t>
      </w:r>
      <w:r>
        <w:rPr>
          <w:color w:val="231F1F"/>
          <w:w w:val="115"/>
        </w:rPr>
        <w:t>product literature; increased risk of bleeding</w:t>
      </w:r>
      <w:r>
        <w:rPr>
          <w:color w:val="231F1F"/>
          <w:spacing w:val="-20"/>
          <w:w w:val="115"/>
        </w:rPr>
        <w:t> </w:t>
      </w:r>
      <w:r>
        <w:rPr>
          <w:color w:val="231F1F"/>
          <w:w w:val="115"/>
        </w:rPr>
        <w:t>when</w:t>
      </w:r>
      <w:r>
        <w:rPr>
          <w:color w:val="231F1F"/>
          <w:spacing w:val="-19"/>
          <w:w w:val="115"/>
        </w:rPr>
        <w:t> </w:t>
      </w:r>
      <w:r>
        <w:rPr>
          <w:color w:val="231F1F"/>
          <w:w w:val="115"/>
        </w:rPr>
        <w:t>NSAIDs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ERLOTINIB</w:t>
      </w:r>
      <w:r>
        <w:rPr>
          <w:color w:val="231F1F"/>
          <w:spacing w:val="4"/>
          <w:w w:val="115"/>
        </w:rPr>
        <w:t>;</w:t>
      </w:r>
      <w:r>
        <w:rPr>
          <w:color w:val="231F1F"/>
          <w:spacing w:val="-19"/>
          <w:w w:val="115"/>
        </w:rPr>
        <w:t> </w:t>
      </w:r>
      <w:r>
        <w:rPr>
          <w:color w:val="231F1F"/>
          <w:w w:val="115"/>
        </w:rPr>
        <w:t>avoidance</w:t>
      </w:r>
      <w:r>
        <w:rPr>
          <w:color w:val="231F1F"/>
          <w:spacing w:val="-18"/>
          <w:w w:val="115"/>
        </w:rPr>
        <w:t> </w:t>
      </w:r>
      <w:r>
        <w:rPr>
          <w:color w:val="231F1F"/>
          <w:w w:val="115"/>
        </w:rPr>
        <w:t>of mefenamic</w:t>
      </w:r>
      <w:r>
        <w:rPr>
          <w:color w:val="231F1F"/>
          <w:spacing w:val="-16"/>
          <w:w w:val="115"/>
        </w:rPr>
        <w:t> </w:t>
      </w:r>
      <w:r>
        <w:rPr>
          <w:color w:val="231F1F"/>
          <w:w w:val="115"/>
        </w:rPr>
        <w:t>acid</w:t>
      </w:r>
      <w:r>
        <w:rPr>
          <w:color w:val="231F1F"/>
          <w:spacing w:val="-14"/>
          <w:w w:val="115"/>
        </w:rPr>
        <w:t> </w:t>
      </w:r>
      <w:r>
        <w:rPr>
          <w:color w:val="231F1F"/>
          <w:w w:val="115"/>
        </w:rPr>
        <w:t>advised</w:t>
      </w:r>
      <w:r>
        <w:rPr>
          <w:color w:val="231F1F"/>
          <w:spacing w:val="-15"/>
          <w:w w:val="115"/>
        </w:rPr>
        <w:t> </w:t>
      </w:r>
      <w:r>
        <w:rPr>
          <w:color w:val="231F1F"/>
          <w:w w:val="115"/>
        </w:rPr>
        <w:t>by</w:t>
      </w:r>
      <w:r>
        <w:rPr>
          <w:color w:val="231F1F"/>
          <w:spacing w:val="-14"/>
          <w:w w:val="115"/>
        </w:rPr>
        <w:t> </w:t>
      </w:r>
      <w:r>
        <w:rPr>
          <w:color w:val="231F1F"/>
          <w:w w:val="115"/>
        </w:rPr>
        <w:t>manufacturer</w:t>
      </w:r>
      <w:r>
        <w:rPr>
          <w:color w:val="231F1F"/>
          <w:spacing w:val="-14"/>
          <w:w w:val="115"/>
        </w:rPr>
        <w:t> </w:t>
      </w:r>
      <w:r>
        <w:rPr>
          <w:color w:val="231F1F"/>
          <w:w w:val="115"/>
        </w:rPr>
        <w:t>of</w:t>
      </w:r>
      <w:r>
        <w:rPr>
          <w:color w:val="231F1F"/>
          <w:spacing w:val="-14"/>
          <w:w w:val="115"/>
        </w:rPr>
        <w:t> </w:t>
      </w:r>
      <w:r>
        <w:rPr>
          <w:rFonts w:ascii="Calibri" w:hAnsi="Calibri"/>
          <w:color w:val="008356"/>
          <w:spacing w:val="5"/>
          <w:w w:val="115"/>
          <w:sz w:val="11"/>
        </w:rPr>
        <w:t>REGORAFENIB</w:t>
      </w:r>
    </w:p>
    <w:p>
      <w:pPr>
        <w:spacing w:line="146"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Desmopressin:  </w:t>
      </w:r>
      <w:r>
        <w:rPr>
          <w:color w:val="231F1F"/>
          <w:w w:val="105"/>
          <w:sz w:val="12"/>
        </w:rPr>
        <w:t>indometacin enhances effects of</w:t>
      </w:r>
      <w:r>
        <w:rPr>
          <w:color w:val="231F1F"/>
          <w:spacing w:val="6"/>
          <w:w w:val="105"/>
          <w:sz w:val="12"/>
        </w:rPr>
        <w:t> </w:t>
      </w:r>
      <w:r>
        <w:rPr>
          <w:rFonts w:ascii="Calibri" w:hAnsi="Calibri"/>
          <w:color w:val="008356"/>
          <w:spacing w:val="5"/>
          <w:w w:val="105"/>
          <w:sz w:val="11"/>
        </w:rPr>
        <w:t>DESMOPRESSIN</w:t>
      </w:r>
    </w:p>
    <w:p>
      <w:pPr>
        <w:pStyle w:val="BodyText"/>
        <w:spacing w:line="142"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NSAIDs antagonise hypotensive effect of</w:t>
      </w:r>
      <w:r>
        <w:rPr>
          <w:color w:val="231F1F"/>
          <w:spacing w:val="11"/>
          <w:w w:val="105"/>
        </w:rPr>
        <w:t> </w:t>
      </w:r>
      <w:r>
        <w:rPr>
          <w:rFonts w:ascii="Calibri" w:hAnsi="Calibri"/>
          <w:color w:val="008356"/>
          <w:spacing w:val="4"/>
          <w:w w:val="105"/>
          <w:sz w:val="11"/>
        </w:rPr>
        <w:t>DIAZOXIDE</w:t>
      </w:r>
    </w:p>
    <w:p>
      <w:pPr>
        <w:pStyle w:val="BodyText"/>
        <w:spacing w:line="138" w:lineRule="exact"/>
        <w:ind w:left="108"/>
      </w:pPr>
      <w:r>
        <w:rPr>
          <w:rFonts w:ascii="Arial"/>
          <w:color w:val="231F1F"/>
          <w:w w:val="355"/>
          <w:position w:val="1"/>
          <w:sz w:val="7"/>
        </w:rPr>
        <w:t>l </w:t>
      </w:r>
      <w:r>
        <w:rPr>
          <w:rFonts w:ascii="Calibri"/>
          <w:color w:val="231F1F"/>
          <w:w w:val="115"/>
        </w:rPr>
        <w:t>Dimethyl sulfoxide: </w:t>
      </w:r>
      <w:r>
        <w:rPr>
          <w:color w:val="231F1F"/>
          <w:w w:val="115"/>
        </w:rPr>
        <w:t>avoid concomitant use of sulindac with</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0"/>
          <w:sz w:val="11"/>
        </w:rPr>
        <w:t>DIMETHYL SULFOXIDE</w:t>
      </w:r>
    </w:p>
    <w:p>
      <w:pPr>
        <w:spacing w:line="244" w:lineRule="auto" w:before="0"/>
        <w:ind w:left="208" w:right="56"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Diuretics: </w:t>
      </w:r>
      <w:r>
        <w:rPr>
          <w:color w:val="231F1F"/>
          <w:w w:val="110"/>
          <w:sz w:val="12"/>
        </w:rPr>
        <w:t>risk of nephrotoxicity of NSAIDs increased by </w:t>
      </w:r>
      <w:r>
        <w:rPr>
          <w:rFonts w:ascii="Calibri" w:hAnsi="Calibri"/>
          <w:color w:val="008356"/>
          <w:spacing w:val="4"/>
          <w:w w:val="110"/>
          <w:sz w:val="11"/>
        </w:rPr>
        <w:t>DIURETICS</w:t>
      </w:r>
      <w:r>
        <w:rPr>
          <w:color w:val="231F1F"/>
          <w:spacing w:val="4"/>
          <w:w w:val="110"/>
          <w:sz w:val="12"/>
        </w:rPr>
        <w:t>, </w:t>
      </w:r>
      <w:r>
        <w:rPr>
          <w:color w:val="231F1F"/>
          <w:w w:val="110"/>
          <w:sz w:val="12"/>
        </w:rPr>
        <w:t>also antagonism of diuretic effect; indometacin and ketorolac antagonise effects of </w:t>
      </w:r>
      <w:r>
        <w:rPr>
          <w:rFonts w:ascii="Calibri" w:hAnsi="Calibri"/>
          <w:color w:val="008356"/>
          <w:spacing w:val="4"/>
          <w:w w:val="110"/>
          <w:sz w:val="11"/>
        </w:rPr>
        <w:t>DIURETICS</w:t>
      </w:r>
      <w:r>
        <w:rPr>
          <w:color w:val="231F1F"/>
          <w:spacing w:val="4"/>
          <w:w w:val="110"/>
          <w:sz w:val="12"/>
        </w:rPr>
        <w:t>; </w:t>
      </w:r>
      <w:r>
        <w:rPr>
          <w:color w:val="231F1F"/>
          <w:w w:val="110"/>
          <w:sz w:val="12"/>
        </w:rPr>
        <w:t>excretion of acemetacin possibly increased by </w:t>
      </w:r>
      <w:r>
        <w:rPr>
          <w:rFonts w:ascii="Calibri" w:hAnsi="Calibri"/>
          <w:color w:val="008356"/>
          <w:spacing w:val="4"/>
          <w:w w:val="110"/>
          <w:sz w:val="11"/>
        </w:rPr>
        <w:t>FUROSEMIDE</w:t>
      </w:r>
      <w:r>
        <w:rPr>
          <w:color w:val="231F1F"/>
          <w:spacing w:val="4"/>
          <w:w w:val="110"/>
          <w:sz w:val="12"/>
        </w:rPr>
        <w:t>; </w:t>
      </w:r>
      <w:r>
        <w:rPr>
          <w:color w:val="231F1F"/>
          <w:w w:val="110"/>
          <w:sz w:val="12"/>
        </w:rPr>
        <w:t>NSAIDs possibly</w:t>
      </w:r>
      <w:r>
        <w:rPr>
          <w:color w:val="231F1F"/>
          <w:spacing w:val="-16"/>
          <w:w w:val="110"/>
          <w:sz w:val="12"/>
        </w:rPr>
        <w:t> </w:t>
      </w:r>
      <w:r>
        <w:rPr>
          <w:color w:val="231F1F"/>
          <w:w w:val="110"/>
          <w:sz w:val="12"/>
        </w:rPr>
        <w:t>antagonise</w:t>
      </w:r>
      <w:r>
        <w:rPr>
          <w:color w:val="231F1F"/>
          <w:spacing w:val="-15"/>
          <w:w w:val="110"/>
          <w:sz w:val="12"/>
        </w:rPr>
        <w:t> </w:t>
      </w:r>
      <w:r>
        <w:rPr>
          <w:color w:val="231F1F"/>
          <w:w w:val="110"/>
          <w:sz w:val="12"/>
        </w:rPr>
        <w:t>diuretic</w:t>
      </w:r>
      <w:r>
        <w:rPr>
          <w:color w:val="231F1F"/>
          <w:spacing w:val="-16"/>
          <w:w w:val="110"/>
          <w:sz w:val="12"/>
        </w:rPr>
        <w:t> </w:t>
      </w:r>
      <w:r>
        <w:rPr>
          <w:color w:val="231F1F"/>
          <w:w w:val="110"/>
          <w:sz w:val="12"/>
        </w:rPr>
        <w:t>effect</w:t>
      </w:r>
      <w:r>
        <w:rPr>
          <w:color w:val="231F1F"/>
          <w:spacing w:val="-15"/>
          <w:w w:val="110"/>
          <w:sz w:val="12"/>
        </w:rPr>
        <w:t> </w:t>
      </w:r>
      <w:r>
        <w:rPr>
          <w:color w:val="231F1F"/>
          <w:w w:val="110"/>
          <w:sz w:val="12"/>
        </w:rPr>
        <w:t>of</w:t>
      </w:r>
      <w:r>
        <w:rPr>
          <w:color w:val="231F1F"/>
          <w:spacing w:val="-14"/>
          <w:w w:val="110"/>
          <w:sz w:val="12"/>
        </w:rPr>
        <w:t> </w:t>
      </w:r>
      <w:r>
        <w:rPr>
          <w:rFonts w:ascii="Calibri" w:hAnsi="Calibri"/>
          <w:color w:val="008356"/>
          <w:spacing w:val="3"/>
          <w:w w:val="110"/>
          <w:sz w:val="11"/>
        </w:rPr>
        <w:t>POTASSIUM</w:t>
      </w:r>
      <w:r>
        <w:rPr>
          <w:rFonts w:ascii="Calibri" w:hAnsi="Calibri"/>
          <w:color w:val="008356"/>
          <w:spacing w:val="-8"/>
          <w:w w:val="110"/>
          <w:sz w:val="11"/>
        </w:rPr>
        <w:t> </w:t>
      </w:r>
      <w:r>
        <w:rPr>
          <w:rFonts w:ascii="Calibri" w:hAnsi="Calibri"/>
          <w:color w:val="008356"/>
          <w:spacing w:val="4"/>
          <w:w w:val="110"/>
          <w:sz w:val="11"/>
        </w:rPr>
        <w:t>CANRENOATE</w:t>
      </w:r>
      <w:r>
        <w:rPr>
          <w:color w:val="231F1F"/>
          <w:spacing w:val="4"/>
          <w:w w:val="110"/>
          <w:sz w:val="12"/>
        </w:rPr>
        <w:t>; </w:t>
      </w:r>
      <w:r>
        <w:rPr>
          <w:color w:val="231F1F"/>
          <w:w w:val="110"/>
          <w:sz w:val="12"/>
        </w:rPr>
        <w:t>occasional reports of reduced renal function when indometacin given with </w:t>
      </w:r>
      <w:r>
        <w:rPr>
          <w:rFonts w:ascii="Arial" w:hAnsi="Arial"/>
          <w:color w:val="231F1F"/>
          <w:w w:val="355"/>
          <w:position w:val="1"/>
          <w:sz w:val="7"/>
        </w:rPr>
        <w:t>l </w:t>
      </w:r>
      <w:r>
        <w:rPr>
          <w:rFonts w:ascii="Calibri" w:hAnsi="Calibri"/>
          <w:color w:val="008356"/>
          <w:spacing w:val="3"/>
          <w:w w:val="110"/>
          <w:sz w:val="11"/>
        </w:rPr>
        <w:t>TRIAMTERENE</w:t>
      </w:r>
      <w:r>
        <w:rPr>
          <w:rFonts w:ascii="Arial" w:hAnsi="Arial"/>
          <w:color w:val="231F1F"/>
          <w:spacing w:val="3"/>
          <w:w w:val="110"/>
          <w:sz w:val="12"/>
        </w:rPr>
        <w:t>—</w:t>
      </w:r>
      <w:r>
        <w:rPr>
          <w:color w:val="231F1F"/>
          <w:spacing w:val="3"/>
          <w:w w:val="110"/>
          <w:sz w:val="12"/>
        </w:rPr>
        <w:t>avoid </w:t>
      </w:r>
      <w:r>
        <w:rPr>
          <w:color w:val="231F1F"/>
          <w:w w:val="110"/>
          <w:sz w:val="12"/>
        </w:rPr>
        <w:t>concomitant use; possible increased risk of hyperkalaemia when NSAIDs </w:t>
      </w:r>
      <w:r>
        <w:rPr>
          <w:color w:val="231F1F"/>
          <w:w w:val="105"/>
          <w:sz w:val="12"/>
        </w:rPr>
        <w:t>given</w:t>
      </w:r>
      <w:r>
        <w:rPr>
          <w:color w:val="231F1F"/>
          <w:spacing w:val="-12"/>
          <w:w w:val="105"/>
          <w:sz w:val="12"/>
        </w:rPr>
        <w:t> </w:t>
      </w:r>
      <w:r>
        <w:rPr>
          <w:color w:val="231F1F"/>
          <w:w w:val="105"/>
          <w:sz w:val="12"/>
        </w:rPr>
        <w:t>with</w:t>
      </w:r>
      <w:r>
        <w:rPr>
          <w:color w:val="231F1F"/>
          <w:spacing w:val="-10"/>
          <w:w w:val="105"/>
          <w:sz w:val="12"/>
        </w:rPr>
        <w:t> </w:t>
      </w:r>
      <w:r>
        <w:rPr>
          <w:rFonts w:ascii="Calibri" w:hAnsi="Calibri"/>
          <w:color w:val="008356"/>
          <w:spacing w:val="4"/>
          <w:w w:val="105"/>
          <w:sz w:val="11"/>
        </w:rPr>
        <w:t>POTASSIUM-SPARING</w:t>
      </w:r>
      <w:r>
        <w:rPr>
          <w:rFonts w:ascii="Calibri" w:hAnsi="Calibri"/>
          <w:color w:val="008356"/>
          <w:spacing w:val="-4"/>
          <w:w w:val="105"/>
          <w:sz w:val="11"/>
        </w:rPr>
        <w:t> </w:t>
      </w:r>
      <w:r>
        <w:rPr>
          <w:rFonts w:ascii="Calibri" w:hAnsi="Calibri"/>
          <w:color w:val="008356"/>
          <w:spacing w:val="4"/>
          <w:w w:val="105"/>
          <w:sz w:val="11"/>
        </w:rPr>
        <w:t>DIURETICS</w:t>
      </w:r>
      <w:r>
        <w:rPr>
          <w:rFonts w:ascii="Calibri" w:hAnsi="Calibri"/>
          <w:color w:val="008356"/>
          <w:spacing w:val="-4"/>
          <w:w w:val="105"/>
          <w:sz w:val="11"/>
        </w:rPr>
        <w:t> </w:t>
      </w:r>
      <w:r>
        <w:rPr>
          <w:rFonts w:ascii="Calibri" w:hAnsi="Calibri"/>
          <w:color w:val="008356"/>
          <w:spacing w:val="3"/>
          <w:w w:val="105"/>
          <w:sz w:val="11"/>
        </w:rPr>
        <w:t>AND</w:t>
      </w:r>
      <w:r>
        <w:rPr>
          <w:rFonts w:ascii="Calibri" w:hAnsi="Calibri"/>
          <w:color w:val="008356"/>
          <w:spacing w:val="-4"/>
          <w:w w:val="105"/>
          <w:sz w:val="11"/>
        </w:rPr>
        <w:t> </w:t>
      </w:r>
      <w:r>
        <w:rPr>
          <w:rFonts w:ascii="Calibri" w:hAnsi="Calibri"/>
          <w:color w:val="008356"/>
          <w:spacing w:val="4"/>
          <w:w w:val="105"/>
          <w:sz w:val="11"/>
        </w:rPr>
        <w:t>ALDOSTERONE</w:t>
      </w:r>
    </w:p>
    <w:p>
      <w:pPr>
        <w:spacing w:line="249" w:lineRule="auto" w:before="0"/>
        <w:ind w:left="208" w:right="247" w:firstLine="0"/>
        <w:jc w:val="left"/>
        <w:rPr>
          <w:rFonts w:ascii="Calibri"/>
          <w:sz w:val="11"/>
        </w:rPr>
      </w:pPr>
      <w:r>
        <w:rPr>
          <w:rFonts w:ascii="Calibri"/>
          <w:color w:val="008356"/>
          <w:w w:val="105"/>
          <w:sz w:val="11"/>
        </w:rPr>
        <w:t>ANTAGONISTS</w:t>
      </w:r>
      <w:r>
        <w:rPr>
          <w:color w:val="231F1F"/>
          <w:w w:val="105"/>
          <w:sz w:val="12"/>
        </w:rPr>
        <w:t>; increased risk of hyperkalaemia when indometacin given with </w:t>
      </w:r>
      <w:r>
        <w:rPr>
          <w:rFonts w:ascii="Calibri"/>
          <w:color w:val="008356"/>
          <w:w w:val="105"/>
          <w:sz w:val="11"/>
        </w:rPr>
        <w:t>POTASSIUM-SPARING DIURETICS AND ALDOSTERONE ANTAGONISTS</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10"/>
        </w:rPr>
        <w:t>Iloprost: </w:t>
      </w:r>
      <w:r>
        <w:rPr>
          <w:color w:val="231F1F"/>
          <w:w w:val="110"/>
        </w:rPr>
        <w:t>increased risk of bleeding when NSAIDs given with</w:t>
      </w:r>
    </w:p>
    <w:p>
      <w:pPr>
        <w:spacing w:line="131" w:lineRule="exact" w:before="0"/>
        <w:ind w:left="208" w:right="0" w:firstLine="0"/>
        <w:jc w:val="left"/>
        <w:rPr>
          <w:rFonts w:ascii="Calibri"/>
          <w:sz w:val="11"/>
        </w:rPr>
      </w:pPr>
      <w:r>
        <w:rPr>
          <w:rFonts w:ascii="Calibri"/>
          <w:color w:val="008356"/>
          <w:sz w:val="11"/>
        </w:rPr>
        <w:t>ILOPROST</w:t>
      </w:r>
    </w:p>
    <w:p>
      <w:pPr>
        <w:pStyle w:val="BodyText"/>
        <w:spacing w:line="154" w:lineRule="exact"/>
        <w:ind w:left="108"/>
      </w:pPr>
      <w:r>
        <w:rPr>
          <w:rFonts w:ascii="Lucida Sans Unicode" w:hAnsi="Lucida Sans Unicode"/>
          <w:color w:val="A7A8AC"/>
          <w:w w:val="95"/>
          <w:sz w:val="10"/>
        </w:rPr>
        <w:t>▶ </w:t>
      </w:r>
      <w:r>
        <w:rPr>
          <w:rFonts w:ascii="Calibri" w:hAnsi="Calibri"/>
          <w:color w:val="231F1F"/>
        </w:rPr>
        <w:t>Lipid-regulating Drugs: </w:t>
      </w:r>
      <w:r>
        <w:rPr>
          <w:color w:val="231F1F"/>
        </w:rPr>
        <w:t>excretion of meloxicam increased by</w:t>
      </w:r>
    </w:p>
    <w:p>
      <w:pPr>
        <w:spacing w:line="130" w:lineRule="exact" w:before="0"/>
        <w:ind w:left="208" w:right="0" w:firstLine="0"/>
        <w:jc w:val="left"/>
        <w:rPr>
          <w:rFonts w:ascii="Calibri"/>
          <w:sz w:val="11"/>
        </w:rPr>
      </w:pPr>
      <w:r>
        <w:rPr>
          <w:rFonts w:ascii="Calibri"/>
          <w:color w:val="008356"/>
          <w:sz w:val="11"/>
        </w:rPr>
        <w:t>COLESTYRAMINE</w:t>
      </w:r>
    </w:p>
    <w:p>
      <w:pPr>
        <w:pStyle w:val="BodyText"/>
        <w:ind w:right="66"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15"/>
        </w:rPr>
        <w:t>Lithium:</w:t>
      </w:r>
      <w:r>
        <w:rPr>
          <w:rFonts w:ascii="Calibri" w:hAnsi="Calibri"/>
          <w:color w:val="231F1F"/>
          <w:spacing w:val="-20"/>
          <w:w w:val="115"/>
        </w:rPr>
        <w:t> </w:t>
      </w:r>
      <w:r>
        <w:rPr>
          <w:color w:val="231F1F"/>
          <w:w w:val="115"/>
        </w:rPr>
        <w:t>NSAIDs</w:t>
      </w:r>
      <w:r>
        <w:rPr>
          <w:color w:val="231F1F"/>
          <w:spacing w:val="-23"/>
          <w:w w:val="115"/>
        </w:rPr>
        <w:t> </w:t>
      </w:r>
      <w:r>
        <w:rPr>
          <w:color w:val="231F1F"/>
          <w:w w:val="115"/>
        </w:rPr>
        <w:t>reduce</w:t>
      </w:r>
      <w:r>
        <w:rPr>
          <w:color w:val="231F1F"/>
          <w:spacing w:val="-22"/>
          <w:w w:val="115"/>
        </w:rPr>
        <w:t> </w:t>
      </w:r>
      <w:r>
        <w:rPr>
          <w:color w:val="231F1F"/>
          <w:w w:val="115"/>
        </w:rPr>
        <w:t>excretion</w:t>
      </w:r>
      <w:r>
        <w:rPr>
          <w:color w:val="231F1F"/>
          <w:spacing w:val="-23"/>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LITHIUM</w:t>
      </w:r>
      <w:r>
        <w:rPr>
          <w:rFonts w:ascii="Calibri" w:hAnsi="Calibri"/>
          <w:color w:val="008356"/>
          <w:spacing w:val="-14"/>
          <w:w w:val="115"/>
          <w:sz w:val="11"/>
        </w:rPr>
        <w:t> </w:t>
      </w:r>
      <w:r>
        <w:rPr>
          <w:color w:val="231F1F"/>
          <w:w w:val="115"/>
        </w:rPr>
        <w:t>(increased</w:t>
      </w:r>
      <w:r>
        <w:rPr>
          <w:color w:val="231F1F"/>
          <w:spacing w:val="-23"/>
          <w:w w:val="115"/>
        </w:rPr>
        <w:t> </w:t>
      </w:r>
      <w:r>
        <w:rPr>
          <w:color w:val="231F1F"/>
          <w:spacing w:val="-3"/>
          <w:w w:val="115"/>
        </w:rPr>
        <w:t>risk </w:t>
      </w:r>
      <w:r>
        <w:rPr>
          <w:color w:val="231F1F"/>
          <w:w w:val="115"/>
        </w:rPr>
        <w:t>of toxicity); ketorolac reduces excretion of </w:t>
      </w:r>
      <w:r>
        <w:rPr>
          <w:rFonts w:ascii="Arial" w:hAnsi="Arial"/>
          <w:color w:val="231F1F"/>
          <w:w w:val="355"/>
          <w:position w:val="1"/>
          <w:sz w:val="7"/>
        </w:rPr>
        <w:t>l </w:t>
      </w:r>
      <w:r>
        <w:rPr>
          <w:rFonts w:ascii="Calibri" w:hAnsi="Calibri"/>
          <w:color w:val="008356"/>
          <w:spacing w:val="5"/>
          <w:w w:val="115"/>
          <w:sz w:val="11"/>
        </w:rPr>
        <w:t>LITHIUM </w:t>
      </w:r>
      <w:r>
        <w:rPr>
          <w:color w:val="231F1F"/>
          <w:w w:val="115"/>
        </w:rPr>
        <w:t>(increased</w:t>
      </w:r>
      <w:r>
        <w:rPr>
          <w:color w:val="231F1F"/>
          <w:spacing w:val="-8"/>
          <w:w w:val="115"/>
        </w:rPr>
        <w:t> </w:t>
      </w:r>
      <w:r>
        <w:rPr>
          <w:color w:val="231F1F"/>
          <w:w w:val="115"/>
        </w:rPr>
        <w:t>risk</w:t>
      </w:r>
      <w:r>
        <w:rPr>
          <w:color w:val="231F1F"/>
          <w:spacing w:val="-6"/>
          <w:w w:val="115"/>
        </w:rPr>
        <w:t> </w:t>
      </w:r>
      <w:r>
        <w:rPr>
          <w:color w:val="231F1F"/>
          <w:w w:val="115"/>
        </w:rPr>
        <w:t>of</w:t>
      </w:r>
      <w:r>
        <w:rPr>
          <w:color w:val="231F1F"/>
          <w:spacing w:val="-6"/>
          <w:w w:val="115"/>
        </w:rPr>
        <w:t> </w:t>
      </w:r>
      <w:r>
        <w:rPr>
          <w:color w:val="231F1F"/>
          <w:w w:val="115"/>
        </w:rPr>
        <w:t>toxicity)</w:t>
      </w:r>
      <w:r>
        <w:rPr>
          <w:rFonts w:ascii="Arial" w:hAnsi="Arial"/>
          <w:color w:val="231F1F"/>
          <w:w w:val="115"/>
        </w:rPr>
        <w:t>—</w:t>
      </w:r>
      <w:r>
        <w:rPr>
          <w:color w:val="231F1F"/>
          <w:w w:val="115"/>
        </w:rPr>
        <w:t>avoid</w:t>
      </w:r>
      <w:r>
        <w:rPr>
          <w:color w:val="231F1F"/>
          <w:spacing w:val="-7"/>
          <w:w w:val="115"/>
        </w:rPr>
        <w:t> </w:t>
      </w:r>
      <w:r>
        <w:rPr>
          <w:color w:val="231F1F"/>
          <w:w w:val="115"/>
        </w:rPr>
        <w:t>concomitant</w:t>
      </w:r>
      <w:r>
        <w:rPr>
          <w:color w:val="231F1F"/>
          <w:spacing w:val="-8"/>
          <w:w w:val="115"/>
        </w:rPr>
        <w:t> </w:t>
      </w:r>
      <w:r>
        <w:rPr>
          <w:color w:val="231F1F"/>
          <w:w w:val="115"/>
        </w:rPr>
        <w:t>use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Methyldopa: </w:t>
      </w:r>
      <w:r>
        <w:rPr>
          <w:color w:val="231F1F"/>
          <w:w w:val="105"/>
        </w:rPr>
        <w:t>NSAIDs antagonise hypotensive effect of</w:t>
      </w:r>
    </w:p>
    <w:p>
      <w:pPr>
        <w:spacing w:line="130" w:lineRule="exact" w:before="0"/>
        <w:ind w:left="208" w:right="0" w:firstLine="0"/>
        <w:jc w:val="left"/>
        <w:rPr>
          <w:rFonts w:ascii="Calibri"/>
          <w:sz w:val="11"/>
        </w:rPr>
      </w:pPr>
      <w:r>
        <w:rPr>
          <w:rFonts w:ascii="Calibri"/>
          <w:color w:val="008356"/>
          <w:sz w:val="11"/>
        </w:rPr>
        <w:t>METHYLDOPA</w:t>
      </w:r>
    </w:p>
    <w:p>
      <w:pPr>
        <w:pStyle w:val="BodyText"/>
        <w:spacing w:line="220" w:lineRule="auto" w:before="4"/>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Mifamurtide: </w:t>
      </w:r>
      <w:r>
        <w:rPr>
          <w:color w:val="231F1F"/>
          <w:w w:val="105"/>
        </w:rPr>
        <w:t>avoidance of high doses of NSAIDs advised by manufacturer of </w:t>
      </w:r>
      <w:r>
        <w:rPr>
          <w:rFonts w:ascii="Calibri" w:hAnsi="Calibri"/>
          <w:color w:val="008356"/>
          <w:w w:val="105"/>
          <w:sz w:val="11"/>
        </w:rPr>
        <w:t>MIFAMURTIDE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Moxonidine: </w:t>
      </w:r>
      <w:r>
        <w:rPr>
          <w:color w:val="231F1F"/>
          <w:w w:val="105"/>
        </w:rPr>
        <w:t>NSAIDs antagonise hypotensive effect of</w:t>
      </w:r>
    </w:p>
    <w:p>
      <w:pPr>
        <w:spacing w:line="131" w:lineRule="exact" w:before="0"/>
        <w:ind w:left="208" w:right="0" w:firstLine="0"/>
        <w:jc w:val="left"/>
        <w:rPr>
          <w:rFonts w:ascii="Calibri"/>
          <w:sz w:val="11"/>
        </w:rPr>
      </w:pPr>
      <w:r>
        <w:rPr>
          <w:rFonts w:ascii="Calibri"/>
          <w:color w:val="008356"/>
          <w:sz w:val="11"/>
        </w:rPr>
        <w:t>MOXONIDINE</w:t>
      </w:r>
    </w:p>
    <w:p>
      <w:pPr>
        <w:pStyle w:val="BodyText"/>
        <w:spacing w:line="235" w:lineRule="auto" w:before="1"/>
        <w:ind w:right="53" w:hanging="100"/>
      </w:pPr>
      <w:r>
        <w:rPr>
          <w:rFonts w:ascii="Lucida Sans Unicode" w:hAnsi="Lucida Sans Unicode"/>
          <w:color w:val="A7A8AC"/>
          <w:w w:val="95"/>
          <w:sz w:val="10"/>
        </w:rPr>
        <w:t>▶ </w:t>
      </w:r>
      <w:r>
        <w:rPr>
          <w:rFonts w:ascii="Calibri" w:hAnsi="Calibri"/>
          <w:color w:val="231F1F"/>
          <w:w w:val="110"/>
        </w:rPr>
        <w:t>Muscle Relaxants: </w:t>
      </w:r>
      <w:r>
        <w:rPr>
          <w:color w:val="231F1F"/>
          <w:w w:val="110"/>
        </w:rPr>
        <w:t>ibuprofen reduces excretion of </w:t>
      </w:r>
      <w:r>
        <w:rPr>
          <w:rFonts w:ascii="Calibri" w:hAnsi="Calibri"/>
          <w:color w:val="008356"/>
          <w:w w:val="110"/>
          <w:sz w:val="11"/>
        </w:rPr>
        <w:t>BACLOFEN </w:t>
      </w:r>
      <w:r>
        <w:rPr>
          <w:color w:val="231F1F"/>
          <w:w w:val="110"/>
        </w:rPr>
        <w:t>(increased risk of toxicity); NSAIDs possibly reduce excretion of </w:t>
      </w:r>
      <w:r>
        <w:rPr>
          <w:rFonts w:ascii="Calibri" w:hAnsi="Calibri"/>
          <w:color w:val="008356"/>
          <w:w w:val="110"/>
          <w:sz w:val="11"/>
        </w:rPr>
        <w:t>BACLOFEN </w:t>
      </w:r>
      <w:r>
        <w:rPr>
          <w:color w:val="231F1F"/>
          <w:w w:val="110"/>
        </w:rPr>
        <w:t>(increased risk of toxicity)</w:t>
      </w:r>
    </w:p>
    <w:p>
      <w:pPr>
        <w:pStyle w:val="BodyText"/>
        <w:spacing w:line="146"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NSAIDs antagonise hypotensive effect of </w:t>
      </w:r>
      <w:r>
        <w:rPr>
          <w:rFonts w:ascii="Calibri" w:hAnsi="Calibri"/>
          <w:color w:val="008356"/>
          <w:w w:val="105"/>
          <w:sz w:val="11"/>
        </w:rPr>
        <w:t>NITRATES</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Oestrogens: </w:t>
      </w:r>
      <w:r>
        <w:rPr>
          <w:color w:val="231F1F"/>
          <w:w w:val="105"/>
        </w:rPr>
        <w:t>etoricoxib increases plasma concentration of</w:t>
      </w:r>
    </w:p>
    <w:p>
      <w:pPr>
        <w:spacing w:line="131" w:lineRule="exact" w:before="0"/>
        <w:ind w:left="208" w:right="0" w:firstLine="0"/>
        <w:jc w:val="left"/>
        <w:rPr>
          <w:rFonts w:ascii="Calibri"/>
          <w:sz w:val="11"/>
        </w:rPr>
      </w:pPr>
      <w:r>
        <w:rPr>
          <w:rFonts w:ascii="Calibri"/>
          <w:color w:val="008356"/>
          <w:sz w:val="11"/>
        </w:rPr>
        <w:t>ETHINYLESTRADIOL</w:t>
      </w:r>
    </w:p>
    <w:p>
      <w:pPr>
        <w:pStyle w:val="BodyText"/>
        <w:spacing w:line="220" w:lineRule="auto" w:before="8"/>
        <w:ind w:right="111" w:hanging="100"/>
        <w:rPr>
          <w:rFonts w:ascii="Calibri" w:hAnsi="Calibri"/>
          <w:sz w:val="11"/>
        </w:rPr>
      </w:pPr>
      <w:r>
        <w:rPr>
          <w:rFonts w:ascii="Lucida Sans Unicode" w:hAnsi="Lucida Sans Unicode"/>
          <w:color w:val="A7A8AC"/>
          <w:w w:val="95"/>
          <w:sz w:val="10"/>
        </w:rPr>
        <w:t>▶ </w:t>
      </w:r>
      <w:r>
        <w:rPr>
          <w:rFonts w:ascii="Calibri" w:hAnsi="Calibri"/>
          <w:color w:val="231F1F"/>
          <w:w w:val="110"/>
        </w:rPr>
        <w:t>Penicillamine: </w:t>
      </w:r>
      <w:r>
        <w:rPr>
          <w:color w:val="231F1F"/>
          <w:w w:val="110"/>
        </w:rPr>
        <w:t>possible increased risk of nephrotoxicity when NSAIDs given with </w:t>
      </w:r>
      <w:r>
        <w:rPr>
          <w:rFonts w:ascii="Calibri" w:hAnsi="Calibri"/>
          <w:color w:val="008356"/>
          <w:w w:val="110"/>
          <w:sz w:val="11"/>
        </w:rPr>
        <w:t>PENICILLAMINE</w:t>
      </w:r>
    </w:p>
    <w:p>
      <w:pPr>
        <w:pStyle w:val="BodyText"/>
        <w:spacing w:line="242" w:lineRule="auto"/>
        <w:ind w:right="28" w:hanging="100"/>
      </w:pPr>
      <w:r>
        <w:rPr>
          <w:rFonts w:ascii="Arial"/>
          <w:color w:val="231F1F"/>
          <w:w w:val="355"/>
          <w:position w:val="1"/>
          <w:sz w:val="7"/>
        </w:rPr>
        <w:t>l </w:t>
      </w:r>
      <w:r>
        <w:rPr>
          <w:rFonts w:ascii="Calibri"/>
          <w:color w:val="231F1F"/>
          <w:w w:val="115"/>
        </w:rPr>
        <w:t>Pentoxifylline: </w:t>
      </w:r>
      <w:r>
        <w:rPr>
          <w:color w:val="231F1F"/>
          <w:w w:val="115"/>
        </w:rPr>
        <w:t>possible increased risk of bleeding when </w:t>
      </w:r>
      <w:r>
        <w:rPr>
          <w:color w:val="231F1F"/>
          <w:w w:val="110"/>
        </w:rPr>
        <w:t>NSAIDs given with </w:t>
      </w:r>
      <w:r>
        <w:rPr>
          <w:rFonts w:ascii="Calibri"/>
          <w:color w:val="008356"/>
          <w:w w:val="110"/>
          <w:sz w:val="11"/>
        </w:rPr>
        <w:t>PENTOXIFYLLINE</w:t>
      </w:r>
      <w:r>
        <w:rPr>
          <w:color w:val="231F1F"/>
          <w:w w:val="110"/>
        </w:rPr>
        <w:t>; increased risk of bleeding </w:t>
      </w:r>
      <w:r>
        <w:rPr>
          <w:color w:val="231F1F"/>
          <w:w w:val="115"/>
        </w:rPr>
        <w:t>when ketorolac given with </w:t>
      </w:r>
      <w:r>
        <w:rPr>
          <w:rFonts w:ascii="Arial"/>
          <w:color w:val="231F1F"/>
          <w:w w:val="355"/>
          <w:position w:val="1"/>
          <w:sz w:val="7"/>
        </w:rPr>
        <w:t>l </w:t>
      </w:r>
      <w:r>
        <w:rPr>
          <w:rFonts w:ascii="Calibri"/>
          <w:color w:val="008356"/>
          <w:w w:val="115"/>
          <w:sz w:val="11"/>
        </w:rPr>
        <w:t>PENTOXIFYLLINE </w:t>
      </w:r>
      <w:r>
        <w:rPr>
          <w:color w:val="231F1F"/>
          <w:w w:val="115"/>
        </w:rPr>
        <w:t>(avoid concomitant use)</w:t>
      </w:r>
    </w:p>
    <w:p>
      <w:pPr>
        <w:pStyle w:val="BodyText"/>
        <w:spacing w:line="220" w:lineRule="auto" w:before="6"/>
        <w:ind w:right="247" w:hanging="100"/>
        <w:rPr>
          <w:rFonts w:ascii="Calibri" w:hAnsi="Calibri"/>
          <w:sz w:val="11"/>
        </w:rPr>
      </w:pPr>
      <w:r>
        <w:rPr>
          <w:rFonts w:ascii="Lucida Sans Unicode" w:hAnsi="Lucida Sans Unicode"/>
          <w:color w:val="A7A8AC"/>
          <w:w w:val="95"/>
          <w:sz w:val="10"/>
        </w:rPr>
        <w:t>▶ </w:t>
      </w:r>
      <w:r>
        <w:rPr>
          <w:rFonts w:ascii="Calibri" w:hAnsi="Calibri"/>
          <w:color w:val="231F1F"/>
          <w:w w:val="105"/>
        </w:rPr>
        <w:t>Prasugrel: </w:t>
      </w:r>
      <w:r>
        <w:rPr>
          <w:color w:val="231F1F"/>
          <w:w w:val="105"/>
        </w:rPr>
        <w:t>possible increased risk of bleeding when NSAIDs given with </w:t>
      </w:r>
      <w:r>
        <w:rPr>
          <w:rFonts w:ascii="Calibri" w:hAnsi="Calibri"/>
          <w:color w:val="008356"/>
          <w:w w:val="105"/>
          <w:sz w:val="11"/>
        </w:rPr>
        <w:t>PRASUGREL</w:t>
      </w:r>
    </w:p>
    <w:p>
      <w:pPr>
        <w:pStyle w:val="BodyText"/>
        <w:spacing w:line="242" w:lineRule="auto"/>
        <w:ind w:right="236"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possible increased risk of nephrotoxicity </w:t>
      </w:r>
      <w:r>
        <w:rPr>
          <w:color w:val="231F1F"/>
          <w:spacing w:val="-4"/>
          <w:w w:val="110"/>
        </w:rPr>
        <w:t>when </w:t>
      </w:r>
      <w:r>
        <w:rPr>
          <w:color w:val="231F1F"/>
          <w:w w:val="110"/>
        </w:rPr>
        <w:t>NSAIDs given with </w:t>
      </w:r>
      <w:r>
        <w:rPr>
          <w:rFonts w:ascii="Calibri"/>
          <w:color w:val="008356"/>
          <w:spacing w:val="4"/>
          <w:w w:val="110"/>
          <w:sz w:val="11"/>
        </w:rPr>
        <w:t>TACROLIMUS</w:t>
      </w:r>
      <w:r>
        <w:rPr>
          <w:color w:val="231F1F"/>
          <w:spacing w:val="4"/>
          <w:w w:val="110"/>
        </w:rPr>
        <w:t>; </w:t>
      </w:r>
      <w:r>
        <w:rPr>
          <w:color w:val="231F1F"/>
          <w:w w:val="110"/>
        </w:rPr>
        <w:t>increased risk of nephrotoxicity when ibuprofen given with </w:t>
      </w:r>
      <w:r>
        <w:rPr>
          <w:rFonts w:ascii="Arial"/>
          <w:color w:val="231F1F"/>
          <w:w w:val="355"/>
          <w:position w:val="1"/>
          <w:sz w:val="7"/>
        </w:rPr>
        <w:t>l </w:t>
      </w:r>
      <w:r>
        <w:rPr>
          <w:rFonts w:ascii="Calibri"/>
          <w:color w:val="008356"/>
          <w:spacing w:val="3"/>
          <w:w w:val="110"/>
          <w:sz w:val="11"/>
        </w:rPr>
        <w:t>TACROLIMUS</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NSAIDs </w:t>
      </w:r>
      <w:r>
        <w:rPr>
          <w:rFonts w:ascii="Calibri"/>
          <w:color w:val="231F1F"/>
        </w:rPr>
        <w:t>(continued)</w:t>
      </w:r>
    </w:p>
    <w:p>
      <w:pPr>
        <w:spacing w:line="220" w:lineRule="auto" w:before="6"/>
        <w:ind w:left="208" w:right="670" w:hanging="100"/>
        <w:jc w:val="left"/>
        <w:rPr>
          <w:rFonts w:ascii="Calibri" w:hAnsi="Calibri"/>
          <w:sz w:val="11"/>
        </w:rPr>
      </w:pPr>
      <w:r>
        <w:rPr/>
        <w:pict>
          <v:rect style="position:absolute;margin-left:398.891296pt;margin-top:-8.655787pt;width:20.522993pt;height:149.443pt;mso-position-horizontal-relative:page;mso-position-vertical-relative:paragraph;z-index:5152" filled="true" fillcolor="#bfdbcf" stroked="false">
            <v:fill type="solid"/>
            <w10:wrap type="none"/>
          </v:rect>
        </w:pict>
      </w:r>
      <w:r>
        <w:rPr/>
        <w:pict>
          <v:shape style="position:absolute;margin-left:399.725769pt;margin-top:-3.692398pt;width:10.4pt;height:78.850pt;mso-position-horizontal-relative:page;mso-position-vertical-relative:paragraph;z-index:517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NSAIDs antagonise hypotensive effect of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and </w:t>
      </w:r>
      <w:r>
        <w:rPr>
          <w:rFonts w:ascii="Calibri" w:hAnsi="Calibri"/>
          <w:color w:val="008356"/>
          <w:w w:val="105"/>
          <w:sz w:val="11"/>
        </w:rPr>
        <w:t>SODIUM NITROPRUSSIDE</w:t>
      </w:r>
    </w:p>
    <w:p>
      <w:pPr>
        <w:pStyle w:val="BodyText"/>
        <w:spacing w:before="9"/>
        <w:ind w:left="108"/>
        <w:rPr>
          <w:rFonts w:ascii="Trebuchet MS"/>
        </w:rPr>
      </w:pPr>
      <w:r>
        <w:rPr>
          <w:rFonts w:ascii="Trebuchet MS"/>
          <w:color w:val="008356"/>
        </w:rPr>
        <w:t>Obinutuzumab</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679"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spacing w:val="-4"/>
          <w:w w:val="115"/>
        </w:rPr>
        <w:t>use</w:t>
      </w:r>
    </w:p>
    <w:p>
      <w:pPr>
        <w:pStyle w:val="BodyText"/>
        <w:spacing w:before="5"/>
        <w:ind w:left="108"/>
        <w:rPr>
          <w:rFonts w:ascii="Trebuchet MS"/>
        </w:rPr>
      </w:pPr>
      <w:r>
        <w:rPr>
          <w:rFonts w:ascii="Trebuchet MS"/>
          <w:color w:val="008356"/>
        </w:rPr>
        <w:t>Octreotide</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octreotide possibly reduces requirements for</w:t>
      </w:r>
    </w:p>
    <w:p>
      <w:pPr>
        <w:spacing w:line="130" w:lineRule="exact" w:before="0"/>
        <w:ind w:left="208" w:right="0" w:firstLine="0"/>
        <w:jc w:val="left"/>
        <w:rPr>
          <w:rFonts w:ascii="Calibri"/>
          <w:sz w:val="11"/>
        </w:rPr>
      </w:pPr>
      <w:r>
        <w:rPr>
          <w:rFonts w:ascii="Calibri"/>
          <w:color w:val="008356"/>
          <w:sz w:val="11"/>
        </w:rPr>
        <w:t>ANTIDIABETICS</w:t>
      </w:r>
    </w:p>
    <w:p>
      <w:pPr>
        <w:pStyle w:val="BodyText"/>
        <w:spacing w:line="145" w:lineRule="exact"/>
        <w:ind w:left="108"/>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Ciclosporin: </w:t>
      </w:r>
      <w:r>
        <w:rPr>
          <w:color w:val="231F1F"/>
          <w:w w:val="115"/>
        </w:rPr>
        <w:t>octreotide reduces plasma concentration of</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Dopaminergics: </w:t>
      </w:r>
      <w:r>
        <w:rPr>
          <w:color w:val="231F1F"/>
          <w:w w:val="105"/>
        </w:rPr>
        <w:t>octreotide increases plasma concentration of</w:t>
      </w:r>
    </w:p>
    <w:p>
      <w:pPr>
        <w:spacing w:line="130" w:lineRule="exact" w:before="0"/>
        <w:ind w:left="208" w:right="0" w:firstLine="0"/>
        <w:jc w:val="left"/>
        <w:rPr>
          <w:rFonts w:ascii="Calibri"/>
          <w:sz w:val="11"/>
        </w:rPr>
      </w:pPr>
      <w:r>
        <w:rPr>
          <w:rFonts w:ascii="Calibri"/>
          <w:color w:val="008356"/>
          <w:sz w:val="11"/>
        </w:rPr>
        <w:t>BROMOCRIPTINE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Ulcer-healing Drugs: </w:t>
      </w:r>
      <w:r>
        <w:rPr>
          <w:color w:val="231F1F"/>
          <w:w w:val="105"/>
        </w:rPr>
        <w:t>octreotide possibly delays absorption of</w:t>
      </w:r>
    </w:p>
    <w:p>
      <w:pPr>
        <w:spacing w:line="132" w:lineRule="exact" w:before="0"/>
        <w:ind w:left="208" w:right="0" w:firstLine="0"/>
        <w:jc w:val="left"/>
        <w:rPr>
          <w:rFonts w:ascii="Calibri"/>
          <w:sz w:val="11"/>
        </w:rPr>
      </w:pPr>
      <w:r>
        <w:rPr>
          <w:rFonts w:ascii="Calibri"/>
          <w:color w:val="008356"/>
          <w:sz w:val="11"/>
        </w:rPr>
        <w:t>CIMETIDINE</w:t>
      </w:r>
    </w:p>
    <w:p>
      <w:pPr>
        <w:pStyle w:val="BodyText"/>
        <w:spacing w:before="7"/>
        <w:ind w:left="108"/>
        <w:rPr>
          <w:rFonts w:ascii="Trebuchet MS"/>
        </w:rPr>
      </w:pPr>
      <w:r>
        <w:rPr>
          <w:rFonts w:ascii="Trebuchet MS"/>
          <w:color w:val="008356"/>
        </w:rPr>
        <w:t>Oestrogens</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ACE Inhibitors: </w:t>
      </w:r>
      <w:r>
        <w:rPr>
          <w:color w:val="231F1F"/>
          <w:w w:val="105"/>
        </w:rPr>
        <w:t>oestrogens antagonise hypotensive effect of</w:t>
      </w:r>
    </w:p>
    <w:p>
      <w:pPr>
        <w:spacing w:line="130" w:lineRule="exact" w:before="0"/>
        <w:ind w:left="208" w:right="0" w:firstLine="0"/>
        <w:jc w:val="left"/>
        <w:rPr>
          <w:rFonts w:ascii="Calibri"/>
          <w:sz w:val="11"/>
        </w:rPr>
      </w:pPr>
      <w:r>
        <w:rPr>
          <w:rFonts w:ascii="Calibri"/>
          <w:color w:val="008356"/>
          <w:sz w:val="11"/>
        </w:rPr>
        <w:t>ACE INHIBITORS</w:t>
      </w:r>
    </w:p>
    <w:p>
      <w:pPr>
        <w:spacing w:line="220" w:lineRule="auto" w:before="8"/>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oestrogens antagonise hypotensive effect of </w:t>
      </w:r>
      <w:r>
        <w:rPr>
          <w:rFonts w:ascii="Calibri" w:hAnsi="Calibri"/>
          <w:color w:val="008356"/>
          <w:w w:val="105"/>
          <w:sz w:val="11"/>
        </w:rPr>
        <w:t>ADRENERGIC NEURONE BLOCKERS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Alpha-blockers: </w:t>
      </w:r>
      <w:r>
        <w:rPr>
          <w:color w:val="231F1F"/>
          <w:w w:val="105"/>
        </w:rPr>
        <w:t>oestrogens antagonise hypotensive effect of</w:t>
      </w:r>
    </w:p>
    <w:p>
      <w:pPr>
        <w:spacing w:line="130" w:lineRule="exact" w:before="0"/>
        <w:ind w:left="208" w:right="0" w:firstLine="0"/>
        <w:jc w:val="left"/>
        <w:rPr>
          <w:rFonts w:ascii="Calibri"/>
          <w:sz w:val="11"/>
        </w:rPr>
      </w:pPr>
      <w:r>
        <w:rPr>
          <w:rFonts w:ascii="Calibri"/>
          <w:color w:val="008356"/>
          <w:sz w:val="11"/>
        </w:rPr>
        <w:t>ALPHA-BLOCKERS</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Aminophylline: </w:t>
      </w:r>
      <w:r>
        <w:rPr>
          <w:color w:val="231F1F"/>
          <w:w w:val="105"/>
        </w:rPr>
        <w:t>oestrogens increase plasma concentration of</w:t>
      </w:r>
    </w:p>
    <w:p>
      <w:pPr>
        <w:spacing w:line="135" w:lineRule="exact" w:before="0"/>
        <w:ind w:left="208" w:right="0" w:firstLine="0"/>
        <w:jc w:val="left"/>
        <w:rPr>
          <w:sz w:val="12"/>
        </w:rPr>
      </w:pPr>
      <w:r>
        <w:rPr>
          <w:rFonts w:ascii="Calibri"/>
          <w:color w:val="008356"/>
          <w:w w:val="115"/>
          <w:sz w:val="11"/>
        </w:rPr>
        <w:t>AMINOPHYLLINE </w:t>
      </w:r>
      <w:r>
        <w:rPr>
          <w:color w:val="231F1F"/>
          <w:w w:val="115"/>
          <w:sz w:val="12"/>
        </w:rPr>
        <w:t>(consider reducing dose of aminophylline)</w:t>
      </w:r>
    </w:p>
    <w:p>
      <w:pPr>
        <w:pStyle w:val="BodyText"/>
        <w:spacing w:line="220" w:lineRule="auto" w:before="8"/>
        <w:ind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plasma concentration  of  ethinylestradiol  increased by</w:t>
      </w:r>
      <w:r>
        <w:rPr>
          <w:color w:val="231F1F"/>
          <w:spacing w:val="-1"/>
          <w:w w:val="105"/>
        </w:rPr>
        <w:t> </w:t>
      </w:r>
      <w:r>
        <w:rPr>
          <w:rFonts w:ascii="Calibri" w:hAnsi="Calibri"/>
          <w:color w:val="008356"/>
          <w:spacing w:val="4"/>
          <w:w w:val="105"/>
          <w:sz w:val="11"/>
        </w:rPr>
        <w:t>ETORICOXIB</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oestrogens antagonise hypotensive effect of </w:t>
      </w:r>
      <w:r>
        <w:rPr>
          <w:rFonts w:ascii="Calibri" w:hAnsi="Calibri"/>
          <w:color w:val="008356"/>
          <w:w w:val="105"/>
          <w:sz w:val="11"/>
        </w:rPr>
        <w:t>ANGIOTENSIN-II RECEPTOR ANTAGONISTS</w:t>
      </w:r>
    </w:p>
    <w:p>
      <w:pPr>
        <w:pStyle w:val="BodyText"/>
        <w:spacing w:line="146" w:lineRule="exact"/>
        <w:ind w:left="108"/>
      </w:pPr>
      <w:r>
        <w:rPr>
          <w:rFonts w:ascii="Arial"/>
          <w:color w:val="231F1F"/>
          <w:w w:val="355"/>
          <w:position w:val="1"/>
          <w:sz w:val="7"/>
        </w:rPr>
        <w:t>l </w:t>
      </w:r>
      <w:r>
        <w:rPr>
          <w:rFonts w:ascii="Calibri"/>
          <w:color w:val="231F1F"/>
          <w:w w:val="115"/>
        </w:rPr>
        <w:t>Antibacterials: </w:t>
      </w:r>
      <w:r>
        <w:rPr>
          <w:color w:val="231F1F"/>
          <w:w w:val="115"/>
        </w:rPr>
        <w:t>plasma concentration of estradiol increased by</w:t>
      </w:r>
    </w:p>
    <w:p>
      <w:pPr>
        <w:pStyle w:val="BodyText"/>
        <w:spacing w:line="244" w:lineRule="auto"/>
        <w:ind w:right="879"/>
      </w:pPr>
      <w:r>
        <w:rPr>
          <w:rFonts w:ascii="Calibri" w:hAnsi="Calibri"/>
          <w:color w:val="008356"/>
          <w:spacing w:val="4"/>
          <w:w w:val="110"/>
          <w:sz w:val="11"/>
        </w:rPr>
        <w:t>ERYTHROMYCIN</w:t>
      </w:r>
      <w:r>
        <w:rPr>
          <w:color w:val="231F1F"/>
          <w:spacing w:val="4"/>
          <w:w w:val="110"/>
        </w:rPr>
        <w:t>; </w:t>
      </w:r>
      <w:r>
        <w:rPr>
          <w:color w:val="231F1F"/>
          <w:w w:val="110"/>
        </w:rPr>
        <w:t>metabolism of oestrogens accelerated by</w:t>
      </w:r>
      <w:r>
        <w:rPr>
          <w:color w:val="231F1F"/>
          <w:w w:val="110"/>
          <w:position w:val="1"/>
        </w:rPr>
        <w:t> </w:t>
      </w:r>
      <w:r>
        <w:rPr>
          <w:rFonts w:ascii="Arial" w:hAnsi="Arial"/>
          <w:color w:val="231F1F"/>
          <w:w w:val="355"/>
          <w:position w:val="1"/>
          <w:sz w:val="7"/>
        </w:rPr>
        <w:t>l</w:t>
      </w:r>
      <w:r>
        <w:rPr>
          <w:rFonts w:ascii="Arial" w:hAnsi="Arial"/>
          <w:color w:val="231F1F"/>
          <w:spacing w:val="-34"/>
          <w:w w:val="355"/>
          <w:position w:val="1"/>
          <w:sz w:val="7"/>
        </w:rPr>
        <w:t> </w:t>
      </w:r>
      <w:r>
        <w:rPr>
          <w:rFonts w:ascii="Calibri" w:hAnsi="Calibri"/>
          <w:color w:val="008356"/>
          <w:spacing w:val="3"/>
          <w:w w:val="110"/>
          <w:sz w:val="11"/>
        </w:rPr>
        <w:t>RIFAMYCINS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w:t>
      </w:r>
      <w:r>
        <w:rPr>
          <w:color w:val="231F1F"/>
          <w:spacing w:val="-4"/>
          <w:w w:val="110"/>
        </w:rPr>
        <w:t> </w:t>
      </w:r>
      <w:r>
        <w:rPr>
          <w:color w:val="231F1F"/>
          <w:w w:val="110"/>
        </w:rPr>
        <w:t>BNF)</w:t>
      </w:r>
    </w:p>
    <w:p>
      <w:pPr>
        <w:pStyle w:val="BodyText"/>
        <w:ind w:right="670"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oestrogens may enhance or reduce anticoagulant effect of </w:t>
      </w:r>
      <w:r>
        <w:rPr>
          <w:rFonts w:ascii="Calibri"/>
          <w:color w:val="008356"/>
          <w:spacing w:val="4"/>
          <w:w w:val="110"/>
          <w:sz w:val="11"/>
        </w:rPr>
        <w:t>COUMARINS</w:t>
      </w:r>
      <w:r>
        <w:rPr>
          <w:color w:val="231F1F"/>
          <w:spacing w:val="4"/>
          <w:w w:val="110"/>
        </w:rPr>
        <w:t>; </w:t>
      </w:r>
      <w:r>
        <w:rPr>
          <w:color w:val="231F1F"/>
          <w:w w:val="110"/>
        </w:rPr>
        <w:t>oestrogens antagonise anticoagulant effect of </w:t>
      </w:r>
      <w:r>
        <w:rPr>
          <w:rFonts w:ascii="Arial"/>
          <w:color w:val="231F1F"/>
          <w:w w:val="355"/>
          <w:position w:val="1"/>
          <w:sz w:val="7"/>
        </w:rPr>
        <w:t>l </w:t>
      </w:r>
      <w:r>
        <w:rPr>
          <w:rFonts w:ascii="Calibri"/>
          <w:color w:val="008356"/>
          <w:spacing w:val="5"/>
          <w:w w:val="110"/>
          <w:sz w:val="11"/>
        </w:rPr>
        <w:t>PHENINDIONE</w:t>
      </w:r>
    </w:p>
    <w:p>
      <w:pPr>
        <w:pStyle w:val="BodyText"/>
        <w:spacing w:line="244" w:lineRule="auto"/>
        <w:ind w:right="687" w:hanging="100"/>
      </w:pPr>
      <w:r>
        <w:rPr>
          <w:rFonts w:ascii="Arial" w:hAnsi="Arial"/>
          <w:color w:val="231F1F"/>
          <w:w w:val="355"/>
          <w:position w:val="1"/>
          <w:sz w:val="7"/>
        </w:rPr>
        <w:t>l</w:t>
      </w:r>
      <w:r>
        <w:rPr>
          <w:rFonts w:ascii="Arial" w:hAnsi="Arial"/>
          <w:color w:val="231F1F"/>
          <w:spacing w:val="-25"/>
          <w:w w:val="355"/>
          <w:position w:val="1"/>
          <w:sz w:val="7"/>
        </w:rPr>
        <w:t> </w:t>
      </w:r>
      <w:r>
        <w:rPr>
          <w:rFonts w:ascii="Calibri" w:hAnsi="Calibri"/>
          <w:color w:val="231F1F"/>
          <w:w w:val="110"/>
        </w:rPr>
        <w:t>Antidepressants: </w:t>
      </w:r>
      <w:r>
        <w:rPr>
          <w:color w:val="231F1F"/>
          <w:w w:val="110"/>
        </w:rPr>
        <w:t>contraceptive effect of oestrogens reduced </w:t>
      </w:r>
      <w:r>
        <w:rPr>
          <w:color w:val="231F1F"/>
          <w:spacing w:val="-7"/>
          <w:w w:val="110"/>
        </w:rPr>
        <w:t>by </w:t>
      </w:r>
      <w:r>
        <w:rPr>
          <w:rFonts w:ascii="Arial" w:hAnsi="Arial"/>
          <w:color w:val="231F1F"/>
          <w:w w:val="355"/>
          <w:position w:val="1"/>
          <w:sz w:val="7"/>
        </w:rPr>
        <w:t>l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spacing w:val="3"/>
          <w:w w:val="110"/>
          <w:sz w:val="11"/>
        </w:rPr>
        <w:t>WORT </w:t>
      </w:r>
      <w:r>
        <w:rPr>
          <w:color w:val="231F1F"/>
          <w:w w:val="110"/>
        </w:rPr>
        <w:t>(avoid concomitant use); oestrogens antagonise antidepressant effect of </w:t>
      </w:r>
      <w:r>
        <w:rPr>
          <w:rFonts w:ascii="Calibri" w:hAnsi="Calibri"/>
          <w:color w:val="008356"/>
          <w:spacing w:val="4"/>
          <w:w w:val="110"/>
          <w:sz w:val="11"/>
        </w:rPr>
        <w:t>TRICYCLICS </w:t>
      </w:r>
      <w:r>
        <w:rPr>
          <w:color w:val="231F1F"/>
          <w:w w:val="110"/>
        </w:rPr>
        <w:t>(but side- effects of tricyclics possibly increased due to increased  plasma</w:t>
      </w:r>
      <w:r>
        <w:rPr>
          <w:color w:val="231F1F"/>
          <w:spacing w:val="-2"/>
          <w:w w:val="110"/>
        </w:rPr>
        <w:t> </w:t>
      </w:r>
      <w:r>
        <w:rPr>
          <w:color w:val="231F1F"/>
          <w:w w:val="110"/>
        </w:rPr>
        <w:t>concentration)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oestrogens antagonise hypoglycaemic effect of</w:t>
      </w:r>
    </w:p>
    <w:p>
      <w:pPr>
        <w:spacing w:line="130" w:lineRule="exact" w:before="0"/>
        <w:ind w:left="208" w:right="0" w:firstLine="0"/>
        <w:jc w:val="left"/>
        <w:rPr>
          <w:rFonts w:ascii="Calibri"/>
          <w:sz w:val="11"/>
        </w:rPr>
      </w:pPr>
      <w:r>
        <w:rPr>
          <w:rFonts w:ascii="Calibri"/>
          <w:color w:val="008356"/>
          <w:sz w:val="11"/>
        </w:rPr>
        <w:t>ANTIDIABETICS</w:t>
      </w:r>
    </w:p>
    <w:p>
      <w:pPr>
        <w:pStyle w:val="BodyText"/>
        <w:spacing w:line="145" w:lineRule="exact"/>
        <w:ind w:left="108"/>
      </w:pPr>
      <w:r>
        <w:rPr>
          <w:rFonts w:ascii="Arial"/>
          <w:color w:val="231F1F"/>
          <w:w w:val="355"/>
          <w:position w:val="1"/>
          <w:sz w:val="7"/>
        </w:rPr>
        <w:t>l </w:t>
      </w:r>
      <w:r>
        <w:rPr>
          <w:rFonts w:ascii="Calibri"/>
          <w:color w:val="231F1F"/>
          <w:w w:val="110"/>
        </w:rPr>
        <w:t>Antiepileptics: </w:t>
      </w:r>
      <w:r>
        <w:rPr>
          <w:color w:val="231F1F"/>
          <w:w w:val="110"/>
        </w:rPr>
        <w:t>metabolism of oestrogens accelerated by</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20"/>
          <w:sz w:val="11"/>
        </w:rPr>
        <w:t>ESLICARBAZEPINE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FOSPHENYTOIN</w:t>
      </w:r>
      <w:r>
        <w:rPr>
          <w:color w:val="231F1F"/>
          <w:spacing w:val="4"/>
          <w:w w:val="120"/>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20"/>
          <w:sz w:val="11"/>
        </w:rPr>
        <w:t>OXCARBAZEPINE</w:t>
      </w:r>
      <w:r>
        <w:rPr>
          <w:color w:val="231F1F"/>
          <w:spacing w:val="4"/>
          <w:w w:val="12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20"/>
          <w:sz w:val="11"/>
        </w:rPr>
        <w:t>PHENOBARBITAL</w:t>
      </w:r>
      <w:r>
        <w:rPr>
          <w:color w:val="231F1F"/>
          <w:spacing w:val="4"/>
          <w:w w:val="12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20"/>
          <w:sz w:val="11"/>
        </w:rPr>
        <w:t>PHENYTOIN</w:t>
      </w:r>
      <w:r>
        <w:rPr>
          <w:color w:val="231F1F"/>
          <w:spacing w:val="4"/>
          <w:w w:val="120"/>
          <w:sz w:val="12"/>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20"/>
          <w:sz w:val="11"/>
        </w:rPr>
        <w:t>PRIMIDONE</w:t>
      </w:r>
      <w:r>
        <w:rPr>
          <w:color w:val="231F1F"/>
          <w:spacing w:val="4"/>
          <w:w w:val="120"/>
          <w:sz w:val="12"/>
        </w:rPr>
        <w:t>,</w:t>
      </w:r>
    </w:p>
    <w:p>
      <w:pPr>
        <w:pStyle w:val="BodyText"/>
        <w:spacing w:line="244" w:lineRule="auto" w:before="1"/>
        <w:ind w:right="708"/>
        <w:rPr>
          <w:rFonts w:ascii="Calibri" w:hAnsi="Calibri"/>
          <w:sz w:val="11"/>
        </w:rPr>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0"/>
          <w:sz w:val="11"/>
        </w:rPr>
        <w:t>RUFINAMIDE</w:t>
      </w:r>
      <w:r>
        <w:rPr>
          <w:rFonts w:ascii="Calibri" w:hAnsi="Calibri"/>
          <w:color w:val="008356"/>
          <w:spacing w:val="-1"/>
          <w:w w:val="110"/>
          <w:sz w:val="11"/>
        </w:rPr>
        <w:t> </w:t>
      </w:r>
      <w:r>
        <w:rPr>
          <w:color w:val="231F1F"/>
          <w:w w:val="110"/>
        </w:rPr>
        <w:t>and</w:t>
      </w:r>
      <w:r>
        <w:rPr>
          <w:color w:val="231F1F"/>
          <w:spacing w:val="-11"/>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0"/>
          <w:sz w:val="11"/>
        </w:rPr>
        <w:t>TOPIRAMATE</w:t>
      </w:r>
      <w:r>
        <w:rPr>
          <w:rFonts w:ascii="Calibri" w:hAnsi="Calibri"/>
          <w:color w:val="008356"/>
          <w:w w:val="110"/>
          <w:sz w:val="11"/>
        </w:rPr>
        <w:t> </w:t>
      </w:r>
      <w:r>
        <w:rPr>
          <w:color w:val="231F1F"/>
          <w:w w:val="110"/>
        </w:rPr>
        <w:t>(reduced</w:t>
      </w:r>
      <w:r>
        <w:rPr>
          <w:color w:val="231F1F"/>
          <w:spacing w:val="-11"/>
          <w:w w:val="110"/>
        </w:rPr>
        <w:t> </w:t>
      </w:r>
      <w:r>
        <w:rPr>
          <w:color w:val="231F1F"/>
          <w:w w:val="110"/>
        </w:rPr>
        <w:t>contraceptive</w:t>
      </w:r>
      <w:r>
        <w:rPr>
          <w:color w:val="231F1F"/>
          <w:spacing w:val="-11"/>
          <w:w w:val="110"/>
        </w:rPr>
        <w:t> </w:t>
      </w:r>
      <w:r>
        <w:rPr>
          <w:color w:val="231F1F"/>
          <w:w w:val="110"/>
        </w:rPr>
        <w:t>effect with combined oral contraceptives,  contraceptive  patches, and vaginal rings</w:t>
      </w:r>
      <w:r>
        <w:rPr>
          <w:rFonts w:ascii="Arial" w:hAnsi="Arial"/>
          <w:color w:val="231F1F"/>
          <w:w w:val="110"/>
        </w:rPr>
        <w:t>—</w:t>
      </w:r>
      <w:r>
        <w:rPr>
          <w:color w:val="231F1F"/>
          <w:w w:val="110"/>
        </w:rPr>
        <w:t>see Contraceptive Interactions in BNF); oestrogens reduce plasma concentration of </w:t>
      </w:r>
      <w:r>
        <w:rPr>
          <w:rFonts w:ascii="Arial" w:hAnsi="Arial"/>
          <w:color w:val="231F1F"/>
          <w:w w:val="355"/>
          <w:position w:val="1"/>
          <w:sz w:val="7"/>
        </w:rPr>
        <w:t>l </w:t>
      </w:r>
      <w:r>
        <w:rPr>
          <w:rFonts w:ascii="Calibri" w:hAnsi="Calibri"/>
          <w:color w:val="008356"/>
          <w:spacing w:val="4"/>
          <w:w w:val="110"/>
          <w:sz w:val="11"/>
        </w:rPr>
        <w:t>LAMOTRIGINE</w:t>
      </w:r>
      <w:r>
        <w:rPr>
          <w:rFonts w:ascii="Arial" w:hAnsi="Arial"/>
          <w:color w:val="231F1F"/>
          <w:spacing w:val="4"/>
          <w:w w:val="110"/>
        </w:rPr>
        <w:t>— </w:t>
      </w:r>
      <w:r>
        <w:rPr>
          <w:color w:val="231F1F"/>
          <w:w w:val="110"/>
        </w:rPr>
        <w:t>consider increasing dose of lamotrigine; ethinylestradiol possibly reduces plasma concentration of </w:t>
      </w:r>
      <w:r>
        <w:rPr>
          <w:rFonts w:ascii="Calibri" w:hAnsi="Calibri"/>
          <w:color w:val="008356"/>
          <w:spacing w:val="4"/>
          <w:w w:val="110"/>
          <w:sz w:val="11"/>
        </w:rPr>
        <w:t>SODIUM </w:t>
      </w:r>
      <w:r>
        <w:rPr>
          <w:rFonts w:ascii="Calibri" w:hAnsi="Calibri"/>
          <w:color w:val="008356"/>
          <w:spacing w:val="3"/>
          <w:w w:val="110"/>
          <w:sz w:val="11"/>
        </w:rPr>
        <w:t>VALPROATE </w:t>
      </w:r>
      <w:r>
        <w:rPr>
          <w:color w:val="231F1F"/>
          <w:w w:val="110"/>
        </w:rPr>
        <w:t>and </w:t>
      </w:r>
      <w:r>
        <w:rPr>
          <w:rFonts w:ascii="Calibri" w:hAnsi="Calibri"/>
          <w:color w:val="008356"/>
          <w:spacing w:val="3"/>
          <w:w w:val="110"/>
          <w:sz w:val="11"/>
        </w:rPr>
        <w:t>VALPROIC</w:t>
      </w:r>
      <w:r>
        <w:rPr>
          <w:rFonts w:ascii="Calibri" w:hAnsi="Calibri"/>
          <w:color w:val="008356"/>
          <w:spacing w:val="2"/>
          <w:w w:val="110"/>
          <w:sz w:val="11"/>
        </w:rPr>
        <w:t> </w:t>
      </w:r>
      <w:r>
        <w:rPr>
          <w:rFonts w:ascii="Calibri" w:hAnsi="Calibri"/>
          <w:color w:val="008356"/>
          <w:spacing w:val="4"/>
          <w:w w:val="110"/>
          <w:sz w:val="11"/>
        </w:rPr>
        <w:t>ACID</w:t>
      </w:r>
    </w:p>
    <w:p>
      <w:pPr>
        <w:pStyle w:val="BodyText"/>
        <w:spacing w:line="242" w:lineRule="auto"/>
        <w:ind w:right="66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oestrogens increase plasma concentration of </w:t>
      </w:r>
      <w:r>
        <w:rPr>
          <w:rFonts w:ascii="Calibri" w:hAnsi="Calibri"/>
          <w:color w:val="008356"/>
          <w:spacing w:val="4"/>
          <w:w w:val="110"/>
          <w:sz w:val="11"/>
        </w:rPr>
        <w:t>VORICONAZOLE</w:t>
      </w:r>
      <w:r>
        <w:rPr>
          <w:color w:val="231F1F"/>
          <w:spacing w:val="4"/>
          <w:w w:val="110"/>
        </w:rPr>
        <w:t>; </w:t>
      </w:r>
      <w:r>
        <w:rPr>
          <w:color w:val="231F1F"/>
          <w:w w:val="110"/>
        </w:rPr>
        <w:t>anecdotal reports of contraceptive failure and menstrual irregularities when oestrogens given with </w:t>
      </w:r>
      <w:r>
        <w:rPr>
          <w:rFonts w:ascii="Calibri" w:hAnsi="Calibri"/>
          <w:color w:val="008356"/>
          <w:spacing w:val="4"/>
          <w:w w:val="110"/>
          <w:sz w:val="11"/>
        </w:rPr>
        <w:t>GRISEOFULVIN</w:t>
      </w:r>
      <w:r>
        <w:rPr>
          <w:color w:val="231F1F"/>
          <w:spacing w:val="4"/>
          <w:w w:val="110"/>
        </w:rPr>
        <w:t>; </w:t>
      </w:r>
      <w:r>
        <w:rPr>
          <w:color w:val="231F1F"/>
          <w:w w:val="110"/>
        </w:rPr>
        <w:t>anecdotal reports of contraceptive  failure when oestrogens given with </w:t>
      </w:r>
      <w:r>
        <w:rPr>
          <w:rFonts w:ascii="Calibri" w:hAnsi="Calibri"/>
          <w:color w:val="008356"/>
          <w:spacing w:val="4"/>
          <w:w w:val="110"/>
          <w:sz w:val="11"/>
        </w:rPr>
        <w:t>IMIDAZOLES</w:t>
      </w:r>
      <w:r>
        <w:rPr>
          <w:color w:val="231F1F"/>
          <w:spacing w:val="4"/>
          <w:w w:val="110"/>
        </w:rPr>
        <w:t>; </w:t>
      </w:r>
      <w:r>
        <w:rPr>
          <w:color w:val="231F1F"/>
          <w:w w:val="110"/>
        </w:rPr>
        <w:t>occasional reports of breakthrough bleeding when oestrogens (used for contraception) given with</w:t>
      </w:r>
      <w:r>
        <w:rPr>
          <w:color w:val="231F1F"/>
          <w:spacing w:val="-7"/>
          <w:w w:val="110"/>
        </w:rPr>
        <w:t> </w:t>
      </w:r>
      <w:r>
        <w:rPr>
          <w:rFonts w:ascii="Calibri" w:hAnsi="Calibri"/>
          <w:color w:val="008356"/>
          <w:spacing w:val="5"/>
          <w:w w:val="110"/>
          <w:sz w:val="11"/>
        </w:rPr>
        <w:t>TERBINAFINE</w:t>
      </w:r>
    </w:p>
    <w:p>
      <w:pPr>
        <w:pStyle w:val="BodyText"/>
        <w:spacing w:line="138" w:lineRule="exact"/>
        <w:ind w:left="108"/>
      </w:pPr>
      <w:r>
        <w:rPr>
          <w:rFonts w:ascii="Arial"/>
          <w:color w:val="231F1F"/>
          <w:w w:val="355"/>
          <w:position w:val="1"/>
          <w:sz w:val="7"/>
        </w:rPr>
        <w:t>l </w:t>
      </w:r>
      <w:r>
        <w:rPr>
          <w:rFonts w:ascii="Calibri"/>
          <w:color w:val="231F1F"/>
          <w:w w:val="120"/>
        </w:rPr>
        <w:t>Antivirals: </w:t>
      </w:r>
      <w:r>
        <w:rPr>
          <w:color w:val="231F1F"/>
          <w:w w:val="120"/>
        </w:rPr>
        <w:t>plasma concentration of ethinylestradiol increased</w:t>
      </w:r>
    </w:p>
    <w:p>
      <w:pPr>
        <w:pStyle w:val="BodyText"/>
        <w:spacing w:line="141" w:lineRule="exact"/>
      </w:pPr>
      <w:r>
        <w:rPr>
          <w:color w:val="231F1F"/>
          <w:w w:val="115"/>
        </w:rPr>
        <w:t>by </w:t>
      </w:r>
      <w:r>
        <w:rPr>
          <w:rFonts w:ascii="Calibri"/>
          <w:color w:val="008356"/>
          <w:w w:val="115"/>
          <w:sz w:val="11"/>
        </w:rPr>
        <w:t>ATAZANAVIR</w:t>
      </w:r>
      <w:r>
        <w:rPr>
          <w:color w:val="231F1F"/>
          <w:w w:val="115"/>
        </w:rPr>
        <w:t>; metabolism of oestrogens accelerated by</w:t>
      </w:r>
    </w:p>
    <w:p>
      <w:pPr>
        <w:pStyle w:val="BodyText"/>
        <w:spacing w:line="247" w:lineRule="auto" w:before="2"/>
        <w:ind w:right="707"/>
      </w:pPr>
      <w:r>
        <w:rPr>
          <w:rFonts w:ascii="Arial" w:hAnsi="Arial"/>
          <w:color w:val="231F1F"/>
          <w:w w:val="205"/>
          <w:position w:val="1"/>
          <w:sz w:val="7"/>
        </w:rPr>
        <w:t>l</w:t>
      </w:r>
      <w:r>
        <w:rPr>
          <w:rFonts w:ascii="Arial" w:hAnsi="Arial"/>
          <w:color w:val="231F1F"/>
          <w:spacing w:val="-31"/>
          <w:w w:val="205"/>
          <w:position w:val="1"/>
          <w:sz w:val="7"/>
        </w:rPr>
        <w:t> </w:t>
      </w:r>
      <w:r>
        <w:rPr>
          <w:rFonts w:ascii="Calibri" w:hAnsi="Calibri"/>
          <w:color w:val="008356"/>
          <w:spacing w:val="4"/>
          <w:w w:val="120"/>
          <w:sz w:val="11"/>
        </w:rPr>
        <w:t>NEVIRAPINE</w:t>
      </w:r>
      <w:r>
        <w:rPr>
          <w:rFonts w:ascii="Calibri" w:hAnsi="Calibri"/>
          <w:color w:val="008356"/>
          <w:spacing w:val="-17"/>
          <w:w w:val="120"/>
          <w:sz w:val="11"/>
        </w:rPr>
        <w:t> </w:t>
      </w:r>
      <w:r>
        <w:rPr>
          <w:color w:val="231F1F"/>
          <w:w w:val="120"/>
        </w:rPr>
        <w:t>and</w:t>
      </w:r>
      <w:r>
        <w:rPr>
          <w:color w:val="231F1F"/>
          <w:spacing w:val="-26"/>
          <w:w w:val="120"/>
        </w:rPr>
        <w:t> </w:t>
      </w:r>
      <w:r>
        <w:rPr>
          <w:rFonts w:ascii="Arial" w:hAnsi="Arial"/>
          <w:color w:val="231F1F"/>
          <w:w w:val="205"/>
          <w:position w:val="1"/>
          <w:sz w:val="7"/>
        </w:rPr>
        <w:t>l</w:t>
      </w:r>
      <w:r>
        <w:rPr>
          <w:rFonts w:ascii="Arial" w:hAnsi="Arial"/>
          <w:color w:val="231F1F"/>
          <w:spacing w:val="-30"/>
          <w:w w:val="205"/>
          <w:position w:val="1"/>
          <w:sz w:val="7"/>
        </w:rPr>
        <w:t> </w:t>
      </w:r>
      <w:r>
        <w:rPr>
          <w:rFonts w:ascii="Calibri" w:hAnsi="Calibri"/>
          <w:color w:val="008356"/>
          <w:spacing w:val="3"/>
          <w:w w:val="120"/>
          <w:sz w:val="11"/>
        </w:rPr>
        <w:t>RITONAVIR</w:t>
      </w:r>
      <w:r>
        <w:rPr>
          <w:rFonts w:ascii="Calibri" w:hAnsi="Calibri"/>
          <w:color w:val="008356"/>
          <w:spacing w:val="-18"/>
          <w:w w:val="120"/>
          <w:sz w:val="11"/>
        </w:rPr>
        <w:t> </w:t>
      </w:r>
      <w:r>
        <w:rPr>
          <w:color w:val="231F1F"/>
          <w:w w:val="120"/>
        </w:rPr>
        <w:t>(reduced</w:t>
      </w:r>
      <w:r>
        <w:rPr>
          <w:color w:val="231F1F"/>
          <w:spacing w:val="-25"/>
          <w:w w:val="120"/>
        </w:rPr>
        <w:t> </w:t>
      </w:r>
      <w:r>
        <w:rPr>
          <w:color w:val="231F1F"/>
          <w:w w:val="120"/>
        </w:rPr>
        <w:t>contraceptive</w:t>
      </w:r>
      <w:r>
        <w:rPr>
          <w:color w:val="231F1F"/>
          <w:spacing w:val="-26"/>
          <w:w w:val="120"/>
        </w:rPr>
        <w:t> </w:t>
      </w:r>
      <w:r>
        <w:rPr>
          <w:color w:val="231F1F"/>
          <w:w w:val="120"/>
        </w:rPr>
        <w:t>effect with</w:t>
      </w:r>
      <w:r>
        <w:rPr>
          <w:color w:val="231F1F"/>
          <w:spacing w:val="-20"/>
          <w:w w:val="120"/>
        </w:rPr>
        <w:t> </w:t>
      </w:r>
      <w:r>
        <w:rPr>
          <w:color w:val="231F1F"/>
          <w:w w:val="120"/>
        </w:rPr>
        <w:t>combined</w:t>
      </w:r>
      <w:r>
        <w:rPr>
          <w:color w:val="231F1F"/>
          <w:spacing w:val="-20"/>
          <w:w w:val="120"/>
        </w:rPr>
        <w:t> </w:t>
      </w:r>
      <w:r>
        <w:rPr>
          <w:color w:val="231F1F"/>
          <w:w w:val="120"/>
        </w:rPr>
        <w:t>oral</w:t>
      </w:r>
      <w:r>
        <w:rPr>
          <w:color w:val="231F1F"/>
          <w:spacing w:val="-20"/>
          <w:w w:val="120"/>
        </w:rPr>
        <w:t> </w:t>
      </w:r>
      <w:r>
        <w:rPr>
          <w:color w:val="231F1F"/>
          <w:w w:val="120"/>
        </w:rPr>
        <w:t>contraceptives,</w:t>
      </w:r>
      <w:r>
        <w:rPr>
          <w:color w:val="231F1F"/>
          <w:spacing w:val="-20"/>
          <w:w w:val="120"/>
        </w:rPr>
        <w:t> </w:t>
      </w:r>
      <w:r>
        <w:rPr>
          <w:color w:val="231F1F"/>
          <w:w w:val="120"/>
        </w:rPr>
        <w:t>contraceptive</w:t>
      </w:r>
      <w:r>
        <w:rPr>
          <w:color w:val="231F1F"/>
          <w:spacing w:val="-19"/>
          <w:w w:val="120"/>
        </w:rPr>
        <w:t> </w:t>
      </w:r>
      <w:r>
        <w:rPr>
          <w:color w:val="231F1F"/>
          <w:w w:val="120"/>
        </w:rPr>
        <w:t>patches, </w:t>
      </w:r>
      <w:r>
        <w:rPr>
          <w:color w:val="231F1F"/>
          <w:w w:val="115"/>
        </w:rPr>
        <w:t>and vaginal rings</w:t>
      </w:r>
      <w:r>
        <w:rPr>
          <w:rFonts w:ascii="Arial" w:hAnsi="Arial"/>
          <w:color w:val="231F1F"/>
          <w:w w:val="115"/>
        </w:rPr>
        <w:t>—</w:t>
      </w:r>
      <w:r>
        <w:rPr>
          <w:color w:val="231F1F"/>
          <w:w w:val="115"/>
        </w:rPr>
        <w:t>see Contraceptive Interactions in BNF); plasma</w:t>
      </w:r>
      <w:r>
        <w:rPr>
          <w:color w:val="231F1F"/>
          <w:spacing w:val="-7"/>
          <w:w w:val="115"/>
        </w:rPr>
        <w:t> </w:t>
      </w:r>
      <w:r>
        <w:rPr>
          <w:color w:val="231F1F"/>
          <w:w w:val="115"/>
        </w:rPr>
        <w:t>concentration</w:t>
      </w:r>
      <w:r>
        <w:rPr>
          <w:color w:val="231F1F"/>
          <w:spacing w:val="-8"/>
          <w:w w:val="115"/>
        </w:rPr>
        <w:t> </w:t>
      </w:r>
      <w:r>
        <w:rPr>
          <w:color w:val="231F1F"/>
          <w:w w:val="115"/>
        </w:rPr>
        <w:t>of</w:t>
      </w:r>
      <w:r>
        <w:rPr>
          <w:color w:val="231F1F"/>
          <w:spacing w:val="-5"/>
          <w:w w:val="115"/>
        </w:rPr>
        <w:t> </w:t>
      </w:r>
      <w:r>
        <w:rPr>
          <w:color w:val="231F1F"/>
          <w:w w:val="115"/>
        </w:rPr>
        <w:t>ethinylestradiol</w:t>
      </w:r>
      <w:r>
        <w:rPr>
          <w:color w:val="231F1F"/>
          <w:spacing w:val="-7"/>
          <w:w w:val="115"/>
        </w:rPr>
        <w:t> </w:t>
      </w:r>
      <w:r>
        <w:rPr>
          <w:color w:val="231F1F"/>
          <w:w w:val="115"/>
        </w:rPr>
        <w:t>possibly</w:t>
      </w:r>
      <w:r>
        <w:rPr>
          <w:color w:val="231F1F"/>
          <w:spacing w:val="-7"/>
          <w:w w:val="115"/>
        </w:rPr>
        <w:t> </w:t>
      </w:r>
      <w:r>
        <w:rPr>
          <w:color w:val="231F1F"/>
          <w:w w:val="115"/>
        </w:rPr>
        <w:t>reduced</w:t>
      </w:r>
      <w:r>
        <w:rPr>
          <w:color w:val="231F1F"/>
          <w:spacing w:val="-6"/>
          <w:w w:val="115"/>
        </w:rPr>
        <w:t> </w:t>
      </w:r>
      <w:r>
        <w:rPr>
          <w:color w:val="231F1F"/>
          <w:spacing w:val="-8"/>
          <w:w w:val="115"/>
        </w:rPr>
        <w:t>by </w:t>
      </w:r>
      <w:r>
        <w:rPr>
          <w:rFonts w:ascii="Arial" w:hAnsi="Arial"/>
          <w:color w:val="231F1F"/>
          <w:w w:val="115"/>
          <w:position w:val="1"/>
          <w:sz w:val="7"/>
        </w:rPr>
        <w:t>l</w:t>
      </w:r>
      <w:r>
        <w:rPr>
          <w:rFonts w:ascii="Arial" w:hAnsi="Arial"/>
          <w:color w:val="231F1F"/>
          <w:spacing w:val="-2"/>
          <w:w w:val="115"/>
          <w:position w:val="1"/>
          <w:sz w:val="7"/>
        </w:rPr>
        <w:t> </w:t>
      </w:r>
      <w:r>
        <w:rPr>
          <w:rFonts w:ascii="Calibri" w:hAnsi="Calibri"/>
          <w:color w:val="008356"/>
          <w:spacing w:val="2"/>
          <w:w w:val="115"/>
          <w:sz w:val="11"/>
        </w:rPr>
        <w:t>TELAPREVIR</w:t>
      </w:r>
      <w:r>
        <w:rPr>
          <w:rFonts w:ascii="Arial" w:hAnsi="Arial"/>
          <w:color w:val="231F1F"/>
          <w:spacing w:val="2"/>
          <w:w w:val="115"/>
        </w:rPr>
        <w:t>—</w:t>
      </w:r>
      <w:r>
        <w:rPr>
          <w:color w:val="231F1F"/>
          <w:spacing w:val="2"/>
          <w:w w:val="115"/>
        </w:rPr>
        <w:t>manufacturer</w:t>
      </w:r>
      <w:r>
        <w:rPr>
          <w:color w:val="231F1F"/>
          <w:spacing w:val="-13"/>
          <w:w w:val="115"/>
        </w:rPr>
        <w:t> </w:t>
      </w:r>
      <w:r>
        <w:rPr>
          <w:color w:val="231F1F"/>
          <w:w w:val="115"/>
        </w:rPr>
        <w:t>of</w:t>
      </w:r>
      <w:r>
        <w:rPr>
          <w:color w:val="231F1F"/>
          <w:spacing w:val="-12"/>
          <w:w w:val="115"/>
        </w:rPr>
        <w:t> </w:t>
      </w:r>
      <w:r>
        <w:rPr>
          <w:color w:val="231F1F"/>
          <w:w w:val="115"/>
        </w:rPr>
        <w:t>telaprevir</w:t>
      </w:r>
      <w:r>
        <w:rPr>
          <w:color w:val="231F1F"/>
          <w:spacing w:val="-13"/>
          <w:w w:val="115"/>
        </w:rPr>
        <w:t> </w:t>
      </w:r>
      <w:r>
        <w:rPr>
          <w:color w:val="231F1F"/>
          <w:w w:val="115"/>
        </w:rPr>
        <w:t>advises</w:t>
      </w:r>
      <w:r>
        <w:rPr>
          <w:color w:val="231F1F"/>
          <w:spacing w:val="-12"/>
          <w:w w:val="115"/>
        </w:rPr>
        <w:t> </w:t>
      </w:r>
      <w:r>
        <w:rPr>
          <w:color w:val="231F1F"/>
          <w:w w:val="115"/>
        </w:rPr>
        <w:t>additional </w:t>
      </w:r>
      <w:r>
        <w:rPr>
          <w:color w:val="231F1F"/>
          <w:w w:val="120"/>
        </w:rPr>
        <w:t>contraceptive</w:t>
      </w:r>
      <w:r>
        <w:rPr>
          <w:color w:val="231F1F"/>
          <w:spacing w:val="-6"/>
          <w:w w:val="120"/>
        </w:rPr>
        <w:t> </w:t>
      </w:r>
      <w:r>
        <w:rPr>
          <w:color w:val="231F1F"/>
          <w:w w:val="120"/>
        </w:rPr>
        <w:t>precautions</w:t>
      </w:r>
    </w:p>
    <w:p>
      <w:pPr>
        <w:spacing w:line="237" w:lineRule="auto" w:before="0"/>
        <w:ind w:left="208" w:right="710" w:hanging="100"/>
        <w:jc w:val="left"/>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11"/>
          <w:w w:val="95"/>
          <w:sz w:val="10"/>
        </w:rPr>
        <w:t> </w:t>
      </w:r>
      <w:r>
        <w:rPr>
          <w:rFonts w:ascii="Calibri" w:hAnsi="Calibri"/>
          <w:color w:val="231F1F"/>
          <w:w w:val="110"/>
          <w:sz w:val="12"/>
        </w:rPr>
        <w:t>Anxiolytics</w:t>
      </w:r>
      <w:r>
        <w:rPr>
          <w:rFonts w:ascii="Calibri" w:hAnsi="Calibri"/>
          <w:color w:val="231F1F"/>
          <w:spacing w:val="-6"/>
          <w:w w:val="110"/>
          <w:sz w:val="12"/>
        </w:rPr>
        <w:t> </w:t>
      </w:r>
      <w:r>
        <w:rPr>
          <w:rFonts w:ascii="Calibri" w:hAnsi="Calibri"/>
          <w:color w:val="231F1F"/>
          <w:w w:val="110"/>
          <w:sz w:val="12"/>
        </w:rPr>
        <w:t>and</w:t>
      </w:r>
      <w:r>
        <w:rPr>
          <w:rFonts w:ascii="Calibri" w:hAnsi="Calibri"/>
          <w:color w:val="231F1F"/>
          <w:spacing w:val="-6"/>
          <w:w w:val="110"/>
          <w:sz w:val="12"/>
        </w:rPr>
        <w:t> </w:t>
      </w:r>
      <w:r>
        <w:rPr>
          <w:rFonts w:ascii="Calibri" w:hAnsi="Calibri"/>
          <w:color w:val="231F1F"/>
          <w:w w:val="110"/>
          <w:sz w:val="12"/>
        </w:rPr>
        <w:t>Hypnotics:</w:t>
      </w:r>
      <w:r>
        <w:rPr>
          <w:rFonts w:ascii="Calibri" w:hAnsi="Calibri"/>
          <w:color w:val="231F1F"/>
          <w:spacing w:val="-6"/>
          <w:w w:val="110"/>
          <w:sz w:val="12"/>
        </w:rPr>
        <w:t> </w:t>
      </w:r>
      <w:r>
        <w:rPr>
          <w:color w:val="231F1F"/>
          <w:w w:val="110"/>
          <w:sz w:val="12"/>
        </w:rPr>
        <w:t>oestrogens</w:t>
      </w:r>
      <w:r>
        <w:rPr>
          <w:color w:val="231F1F"/>
          <w:spacing w:val="-10"/>
          <w:w w:val="110"/>
          <w:sz w:val="12"/>
        </w:rPr>
        <w:t> </w:t>
      </w:r>
      <w:r>
        <w:rPr>
          <w:color w:val="231F1F"/>
          <w:w w:val="110"/>
          <w:sz w:val="12"/>
        </w:rPr>
        <w:t>possibly</w:t>
      </w:r>
      <w:r>
        <w:rPr>
          <w:color w:val="231F1F"/>
          <w:spacing w:val="-10"/>
          <w:w w:val="110"/>
          <w:sz w:val="12"/>
        </w:rPr>
        <w:t> </w:t>
      </w:r>
      <w:r>
        <w:rPr>
          <w:color w:val="231F1F"/>
          <w:w w:val="110"/>
          <w:sz w:val="12"/>
        </w:rPr>
        <w:t>increase</w:t>
      </w:r>
      <w:r>
        <w:rPr>
          <w:color w:val="231F1F"/>
          <w:spacing w:val="-9"/>
          <w:w w:val="110"/>
          <w:sz w:val="12"/>
        </w:rPr>
        <w:t> </w:t>
      </w:r>
      <w:r>
        <w:rPr>
          <w:color w:val="231F1F"/>
          <w:spacing w:val="-3"/>
          <w:w w:val="110"/>
          <w:sz w:val="12"/>
        </w:rPr>
        <w:t>plasma </w:t>
      </w:r>
      <w:r>
        <w:rPr>
          <w:color w:val="231F1F"/>
          <w:w w:val="110"/>
          <w:sz w:val="12"/>
        </w:rPr>
        <w:t>concentration of </w:t>
      </w:r>
      <w:r>
        <w:rPr>
          <w:rFonts w:ascii="Calibri" w:hAnsi="Calibri"/>
          <w:color w:val="008356"/>
          <w:spacing w:val="4"/>
          <w:w w:val="110"/>
          <w:sz w:val="11"/>
        </w:rPr>
        <w:t>CHLORDIAZEPOXIDE</w:t>
      </w:r>
      <w:r>
        <w:rPr>
          <w:color w:val="231F1F"/>
          <w:spacing w:val="4"/>
          <w:w w:val="110"/>
          <w:sz w:val="12"/>
        </w:rPr>
        <w:t>, </w:t>
      </w:r>
      <w:r>
        <w:rPr>
          <w:rFonts w:ascii="Calibri" w:hAnsi="Calibri"/>
          <w:color w:val="008356"/>
          <w:spacing w:val="4"/>
          <w:w w:val="110"/>
          <w:sz w:val="11"/>
        </w:rPr>
        <w:t>DIAZEPAM </w:t>
      </w:r>
      <w:r>
        <w:rPr>
          <w:color w:val="231F1F"/>
          <w:w w:val="110"/>
          <w:sz w:val="12"/>
        </w:rPr>
        <w:t>and </w:t>
      </w:r>
      <w:r>
        <w:rPr>
          <w:rFonts w:ascii="Calibri" w:hAnsi="Calibri"/>
          <w:color w:val="008356"/>
          <w:spacing w:val="4"/>
          <w:w w:val="110"/>
          <w:sz w:val="11"/>
        </w:rPr>
        <w:t>NITRAZEPAM</w:t>
      </w:r>
      <w:r>
        <w:rPr>
          <w:color w:val="231F1F"/>
          <w:spacing w:val="4"/>
          <w:w w:val="110"/>
          <w:sz w:val="12"/>
        </w:rPr>
        <w:t>; </w:t>
      </w:r>
      <w:r>
        <w:rPr>
          <w:color w:val="231F1F"/>
          <w:w w:val="110"/>
          <w:sz w:val="12"/>
        </w:rPr>
        <w:t>oestrogens possibly reduce plasma concentration of </w:t>
      </w:r>
      <w:r>
        <w:rPr>
          <w:rFonts w:ascii="Calibri" w:hAnsi="Calibri"/>
          <w:color w:val="008356"/>
          <w:spacing w:val="4"/>
          <w:w w:val="110"/>
          <w:sz w:val="11"/>
        </w:rPr>
        <w:t>LORAZEPAM</w:t>
      </w:r>
      <w:r>
        <w:rPr>
          <w:color w:val="231F1F"/>
          <w:spacing w:val="4"/>
          <w:w w:val="110"/>
          <w:sz w:val="12"/>
        </w:rPr>
        <w:t>, </w:t>
      </w:r>
      <w:r>
        <w:rPr>
          <w:rFonts w:ascii="Calibri" w:hAnsi="Calibri"/>
          <w:color w:val="008356"/>
          <w:spacing w:val="3"/>
          <w:w w:val="110"/>
          <w:sz w:val="11"/>
        </w:rPr>
        <w:t>OXAZEPAM </w:t>
      </w:r>
      <w:r>
        <w:rPr>
          <w:color w:val="231F1F"/>
          <w:w w:val="110"/>
          <w:sz w:val="12"/>
        </w:rPr>
        <w:t>and </w:t>
      </w:r>
      <w:r>
        <w:rPr>
          <w:rFonts w:ascii="Calibri" w:hAnsi="Calibri"/>
          <w:color w:val="008356"/>
          <w:spacing w:val="4"/>
          <w:w w:val="110"/>
          <w:sz w:val="11"/>
        </w:rPr>
        <w:t>TEMAZEPAM</w:t>
      </w:r>
      <w:r>
        <w:rPr>
          <w:color w:val="231F1F"/>
          <w:spacing w:val="4"/>
          <w:w w:val="110"/>
          <w:sz w:val="12"/>
        </w:rPr>
        <w:t>; </w:t>
      </w:r>
      <w:r>
        <w:rPr>
          <w:color w:val="231F1F"/>
          <w:w w:val="110"/>
          <w:sz w:val="12"/>
        </w:rPr>
        <w:t>oestrogens increase plasma concentration of</w:t>
      </w:r>
      <w:r>
        <w:rPr>
          <w:color w:val="231F1F"/>
          <w:spacing w:val="-3"/>
          <w:w w:val="110"/>
          <w:sz w:val="12"/>
        </w:rPr>
        <w:t> </w:t>
      </w:r>
      <w:r>
        <w:rPr>
          <w:rFonts w:ascii="Calibri" w:hAnsi="Calibri"/>
          <w:color w:val="008356"/>
          <w:spacing w:val="4"/>
          <w:w w:val="110"/>
          <w:sz w:val="11"/>
        </w:rPr>
        <w:t>MELATONIN</w:t>
      </w:r>
    </w:p>
    <w:p>
      <w:pPr>
        <w:spacing w:after="0" w:line="237" w:lineRule="auto"/>
        <w:jc w:val="left"/>
        <w:rPr>
          <w:rFonts w:ascii="Calibri" w:hAnsi="Calibri"/>
          <w:sz w:val="11"/>
        </w:rPr>
        <w:sectPr>
          <w:pgSz w:w="8390" w:h="11910"/>
          <w:pgMar w:header="0" w:footer="0" w:top="460" w:bottom="0" w:left="480" w:right="0"/>
          <w:cols w:num="2" w:equalWidth="0">
            <w:col w:w="3584" w:space="92"/>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5200" filled="true" fillcolor="#bfdbcf" stroked="false">
            <v:fill type="solid"/>
            <w10:wrap type="none"/>
          </v:rect>
        </w:pict>
      </w:r>
      <w:r>
        <w:rPr/>
        <w:pict>
          <v:shape style="position:absolute;margin-left:7.751256pt;margin-top:35.804367pt;width:10.4pt;height:78.850pt;mso-position-horizontal-relative:page;mso-position-vertical-relative:page;z-index:522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Oestrogens </w:t>
      </w:r>
      <w:r>
        <w:rPr>
          <w:rFonts w:ascii="Calibri"/>
          <w:color w:val="231F1F"/>
        </w:rPr>
        <w:t>(continued)</w:t>
      </w:r>
    </w:p>
    <w:p>
      <w:pPr>
        <w:pStyle w:val="BodyText"/>
        <w:spacing w:line="244" w:lineRule="auto"/>
        <w:ind w:left="286" w:right="342" w:hanging="100"/>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Aprepitant:</w:t>
      </w:r>
      <w:r>
        <w:rPr>
          <w:rFonts w:ascii="Calibri"/>
          <w:color w:val="231F1F"/>
          <w:spacing w:val="-10"/>
          <w:w w:val="115"/>
        </w:rPr>
        <w:t> </w:t>
      </w:r>
      <w:r>
        <w:rPr>
          <w:color w:val="231F1F"/>
          <w:w w:val="115"/>
        </w:rPr>
        <w:t>possible</w:t>
      </w:r>
      <w:r>
        <w:rPr>
          <w:color w:val="231F1F"/>
          <w:spacing w:val="-13"/>
          <w:w w:val="115"/>
        </w:rPr>
        <w:t> </w:t>
      </w:r>
      <w:r>
        <w:rPr>
          <w:color w:val="231F1F"/>
          <w:w w:val="115"/>
        </w:rPr>
        <w:t>contraceptive</w:t>
      </w:r>
      <w:r>
        <w:rPr>
          <w:color w:val="231F1F"/>
          <w:spacing w:val="-13"/>
          <w:w w:val="115"/>
        </w:rPr>
        <w:t> </w:t>
      </w:r>
      <w:r>
        <w:rPr>
          <w:color w:val="231F1F"/>
          <w:w w:val="115"/>
        </w:rPr>
        <w:t>failure</w:t>
      </w:r>
      <w:r>
        <w:rPr>
          <w:color w:val="231F1F"/>
          <w:spacing w:val="-13"/>
          <w:w w:val="115"/>
        </w:rPr>
        <w:t> </w:t>
      </w:r>
      <w:r>
        <w:rPr>
          <w:color w:val="231F1F"/>
          <w:w w:val="115"/>
        </w:rPr>
        <w:t>of</w:t>
      </w:r>
      <w:r>
        <w:rPr>
          <w:color w:val="231F1F"/>
          <w:spacing w:val="-13"/>
          <w:w w:val="115"/>
        </w:rPr>
        <w:t> </w:t>
      </w:r>
      <w:r>
        <w:rPr>
          <w:color w:val="231F1F"/>
          <w:w w:val="115"/>
        </w:rPr>
        <w:t>hormonal contraceptives containing oestrogens when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APREPITANT</w:t>
      </w:r>
      <w:r>
        <w:rPr>
          <w:rFonts w:ascii="Calibri"/>
          <w:color w:val="008356"/>
          <w:spacing w:val="-15"/>
          <w:w w:val="115"/>
          <w:sz w:val="11"/>
        </w:rPr>
        <w:t> </w:t>
      </w:r>
      <w:r>
        <w:rPr>
          <w:color w:val="231F1F"/>
          <w:w w:val="115"/>
        </w:rPr>
        <w:t>(alternative</w:t>
      </w:r>
      <w:r>
        <w:rPr>
          <w:color w:val="231F1F"/>
          <w:spacing w:val="-22"/>
          <w:w w:val="115"/>
        </w:rPr>
        <w:t> </w:t>
      </w:r>
      <w:r>
        <w:rPr>
          <w:color w:val="231F1F"/>
          <w:w w:val="115"/>
        </w:rPr>
        <w:t>contraception</w:t>
      </w:r>
      <w:r>
        <w:rPr>
          <w:color w:val="231F1F"/>
          <w:spacing w:val="-22"/>
          <w:w w:val="115"/>
        </w:rPr>
        <w:t> </w:t>
      </w:r>
      <w:r>
        <w:rPr>
          <w:color w:val="231F1F"/>
          <w:w w:val="115"/>
        </w:rPr>
        <w:t>recommended)</w:t>
      </w:r>
    </w:p>
    <w:p>
      <w:pPr>
        <w:pStyle w:val="BodyText"/>
        <w:spacing w:line="149" w:lineRule="exact"/>
        <w:ind w:left="186"/>
      </w:pPr>
      <w:r>
        <w:rPr>
          <w:rFonts w:ascii="Lucida Sans Unicode" w:hAnsi="Lucida Sans Unicode"/>
          <w:color w:val="A7A8AC"/>
          <w:w w:val="95"/>
          <w:sz w:val="10"/>
        </w:rPr>
        <w:t>▶ </w:t>
      </w:r>
      <w:r>
        <w:rPr>
          <w:rFonts w:ascii="Calibri" w:hAnsi="Calibri"/>
          <w:color w:val="231F1F"/>
          <w:w w:val="105"/>
        </w:rPr>
        <w:t>Beta-blockers: </w:t>
      </w:r>
      <w:r>
        <w:rPr>
          <w:color w:val="231F1F"/>
          <w:w w:val="105"/>
        </w:rPr>
        <w:t>oestrogens antagonise hypotensive effect of</w:t>
      </w:r>
    </w:p>
    <w:p>
      <w:pPr>
        <w:spacing w:line="130" w:lineRule="exact" w:before="0"/>
        <w:ind w:left="286" w:right="0" w:firstLine="0"/>
        <w:jc w:val="left"/>
        <w:rPr>
          <w:rFonts w:ascii="Calibri"/>
          <w:sz w:val="11"/>
        </w:rPr>
      </w:pPr>
      <w:r>
        <w:rPr>
          <w:rFonts w:ascii="Calibri"/>
          <w:color w:val="008356"/>
          <w:sz w:val="11"/>
        </w:rPr>
        <w:t>BETA-BLOCKERS</w:t>
      </w:r>
    </w:p>
    <w:p>
      <w:pPr>
        <w:pStyle w:val="BodyText"/>
        <w:spacing w:line="244" w:lineRule="auto"/>
        <w:ind w:left="286" w:right="362" w:hanging="100"/>
      </w:pPr>
      <w:r>
        <w:rPr>
          <w:rFonts w:ascii="Arial"/>
          <w:color w:val="231F1F"/>
          <w:w w:val="355"/>
          <w:position w:val="1"/>
          <w:sz w:val="7"/>
        </w:rPr>
        <w:t>l </w:t>
      </w:r>
      <w:r>
        <w:rPr>
          <w:rFonts w:ascii="Calibri"/>
          <w:color w:val="231F1F"/>
          <w:w w:val="115"/>
        </w:rPr>
        <w:t>Bosentan: </w:t>
      </w:r>
      <w:r>
        <w:rPr>
          <w:color w:val="231F1F"/>
          <w:w w:val="115"/>
        </w:rPr>
        <w:t>possible contraceptive failure of hormonal contraceptives containing oestrogens when given </w:t>
      </w:r>
      <w:r>
        <w:rPr>
          <w:color w:val="231F1F"/>
          <w:spacing w:val="-4"/>
          <w:w w:val="115"/>
        </w:rPr>
        <w:t>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BOSENTAN </w:t>
      </w:r>
      <w:r>
        <w:rPr>
          <w:color w:val="231F1F"/>
          <w:w w:val="115"/>
        </w:rPr>
        <w:t>(alternative contraception recommended)</w:t>
      </w:r>
    </w:p>
    <w:p>
      <w:pPr>
        <w:spacing w:line="220" w:lineRule="auto" w:before="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oestrogens antagonise hypotensive effect of </w:t>
      </w:r>
      <w:r>
        <w:rPr>
          <w:rFonts w:ascii="Calibri" w:hAnsi="Calibri"/>
          <w:color w:val="008356"/>
          <w:w w:val="105"/>
          <w:sz w:val="11"/>
        </w:rPr>
        <w:t>CALCIUM-CHANNEL BLOCKERS</w:t>
      </w:r>
    </w:p>
    <w:p>
      <w:pPr>
        <w:pStyle w:val="BodyText"/>
        <w:spacing w:line="220" w:lineRule="auto" w:before="8"/>
        <w:ind w:left="286" w:right="335"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oestrogens possibly increase plasma concentration of </w:t>
      </w:r>
      <w:r>
        <w:rPr>
          <w:rFonts w:ascii="Calibri" w:hAnsi="Calibri"/>
          <w:color w:val="008356"/>
          <w:w w:val="105"/>
          <w:sz w:val="11"/>
        </w:rPr>
        <w:t>CICLOSPORIN</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Clonidine: </w:t>
      </w:r>
      <w:r>
        <w:rPr>
          <w:color w:val="231F1F"/>
          <w:w w:val="105"/>
        </w:rPr>
        <w:t>oestrogens antagonise hypotensive effect of</w:t>
      </w:r>
    </w:p>
    <w:p>
      <w:pPr>
        <w:spacing w:line="130" w:lineRule="exact" w:before="0"/>
        <w:ind w:left="286" w:right="0" w:firstLine="0"/>
        <w:jc w:val="left"/>
        <w:rPr>
          <w:rFonts w:ascii="Calibri"/>
          <w:sz w:val="11"/>
        </w:rPr>
      </w:pPr>
      <w:r>
        <w:rPr>
          <w:rFonts w:ascii="Calibri"/>
          <w:color w:val="008356"/>
          <w:sz w:val="11"/>
        </w:rPr>
        <w:t>CLONIDINE</w:t>
      </w:r>
    </w:p>
    <w:p>
      <w:pPr>
        <w:pStyle w:val="BodyText"/>
        <w:spacing w:line="145" w:lineRule="exact"/>
        <w:ind w:left="186"/>
        <w:jc w:val="both"/>
      </w:pPr>
      <w:r>
        <w:rPr>
          <w:rFonts w:ascii="Arial"/>
          <w:color w:val="231F1F"/>
          <w:w w:val="355"/>
          <w:position w:val="1"/>
          <w:sz w:val="7"/>
        </w:rPr>
        <w:t>l </w:t>
      </w:r>
      <w:r>
        <w:rPr>
          <w:rFonts w:ascii="Calibri"/>
          <w:color w:val="231F1F"/>
          <w:w w:val="110"/>
        </w:rPr>
        <w:t>Cobicistat: </w:t>
      </w:r>
      <w:r>
        <w:rPr>
          <w:color w:val="231F1F"/>
          <w:w w:val="110"/>
        </w:rPr>
        <w:t>metabolism of oestrogens accelerated by</w:t>
      </w:r>
    </w:p>
    <w:p>
      <w:pPr>
        <w:pStyle w:val="BodyText"/>
        <w:spacing w:line="244" w:lineRule="auto"/>
        <w:ind w:left="286" w:right="5"/>
        <w:jc w:val="both"/>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5"/>
          <w:sz w:val="11"/>
        </w:rPr>
        <w:t>COBICISTAT</w:t>
      </w:r>
      <w:r>
        <w:rPr>
          <w:rFonts w:ascii="Calibri" w:hAnsi="Calibri"/>
          <w:color w:val="008356"/>
          <w:spacing w:val="-9"/>
          <w:w w:val="115"/>
          <w:sz w:val="11"/>
        </w:rPr>
        <w:t> </w:t>
      </w:r>
      <w:r>
        <w:rPr>
          <w:color w:val="231F1F"/>
          <w:w w:val="115"/>
        </w:rPr>
        <w:t>(reduced</w:t>
      </w:r>
      <w:r>
        <w:rPr>
          <w:color w:val="231F1F"/>
          <w:spacing w:val="-17"/>
          <w:w w:val="115"/>
        </w:rPr>
        <w:t> </w:t>
      </w:r>
      <w:r>
        <w:rPr>
          <w:color w:val="231F1F"/>
          <w:w w:val="115"/>
        </w:rPr>
        <w:t>contraceptive</w:t>
      </w:r>
      <w:r>
        <w:rPr>
          <w:color w:val="231F1F"/>
          <w:spacing w:val="-18"/>
          <w:w w:val="115"/>
        </w:rPr>
        <w:t> </w:t>
      </w:r>
      <w:r>
        <w:rPr>
          <w:color w:val="231F1F"/>
          <w:w w:val="115"/>
        </w:rPr>
        <w:t>effect</w:t>
      </w:r>
      <w:r>
        <w:rPr>
          <w:color w:val="231F1F"/>
          <w:spacing w:val="-18"/>
          <w:w w:val="115"/>
        </w:rPr>
        <w:t> </w:t>
      </w:r>
      <w:r>
        <w:rPr>
          <w:color w:val="231F1F"/>
          <w:w w:val="115"/>
        </w:rPr>
        <w:t>with</w:t>
      </w:r>
      <w:r>
        <w:rPr>
          <w:color w:val="231F1F"/>
          <w:spacing w:val="-17"/>
          <w:w w:val="115"/>
        </w:rPr>
        <w:t> </w:t>
      </w:r>
      <w:r>
        <w:rPr>
          <w:color w:val="231F1F"/>
          <w:w w:val="115"/>
        </w:rPr>
        <w:t>combined</w:t>
      </w:r>
      <w:r>
        <w:rPr>
          <w:color w:val="231F1F"/>
          <w:spacing w:val="-18"/>
          <w:w w:val="115"/>
        </w:rPr>
        <w:t> </w:t>
      </w:r>
      <w:r>
        <w:rPr>
          <w:color w:val="231F1F"/>
          <w:spacing w:val="-3"/>
          <w:w w:val="115"/>
        </w:rPr>
        <w:t>oral </w:t>
      </w:r>
      <w:r>
        <w:rPr>
          <w:color w:val="231F1F"/>
          <w:w w:val="115"/>
        </w:rPr>
        <w:t>contraceptives,</w:t>
      </w:r>
      <w:r>
        <w:rPr>
          <w:color w:val="231F1F"/>
          <w:spacing w:val="-12"/>
          <w:w w:val="115"/>
        </w:rPr>
        <w:t> </w:t>
      </w:r>
      <w:r>
        <w:rPr>
          <w:color w:val="231F1F"/>
          <w:w w:val="115"/>
        </w:rPr>
        <w:t>contraceptive</w:t>
      </w:r>
      <w:r>
        <w:rPr>
          <w:color w:val="231F1F"/>
          <w:spacing w:val="-9"/>
          <w:w w:val="115"/>
        </w:rPr>
        <w:t> </w:t>
      </w:r>
      <w:r>
        <w:rPr>
          <w:color w:val="231F1F"/>
          <w:w w:val="115"/>
        </w:rPr>
        <w:t>patches,</w:t>
      </w:r>
      <w:r>
        <w:rPr>
          <w:color w:val="231F1F"/>
          <w:spacing w:val="-11"/>
          <w:w w:val="115"/>
        </w:rPr>
        <w:t> </w:t>
      </w:r>
      <w:r>
        <w:rPr>
          <w:color w:val="231F1F"/>
          <w:w w:val="115"/>
        </w:rPr>
        <w:t>and</w:t>
      </w:r>
      <w:r>
        <w:rPr>
          <w:color w:val="231F1F"/>
          <w:spacing w:val="-10"/>
          <w:w w:val="115"/>
        </w:rPr>
        <w:t> </w:t>
      </w:r>
      <w:r>
        <w:rPr>
          <w:color w:val="231F1F"/>
          <w:w w:val="115"/>
        </w:rPr>
        <w:t>vaginal</w:t>
      </w:r>
      <w:r>
        <w:rPr>
          <w:color w:val="231F1F"/>
          <w:spacing w:val="-11"/>
          <w:w w:val="115"/>
        </w:rPr>
        <w:t> </w:t>
      </w:r>
      <w:r>
        <w:rPr>
          <w:color w:val="231F1F"/>
          <w:w w:val="115"/>
        </w:rPr>
        <w:t>rings</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20" w:lineRule="auto" w:before="8"/>
        <w:ind w:left="286" w:right="25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oral contraceptives containing oestrogens increase plasma concentration of </w:t>
      </w:r>
      <w:r>
        <w:rPr>
          <w:rFonts w:ascii="Calibri" w:hAnsi="Calibri"/>
          <w:color w:val="008356"/>
          <w:w w:val="110"/>
          <w:sz w:val="11"/>
        </w:rPr>
        <w:t>CORTICOSTEROIDS</w:t>
      </w:r>
    </w:p>
    <w:p>
      <w:pPr>
        <w:pStyle w:val="BodyText"/>
        <w:spacing w:before="1"/>
        <w:ind w:left="286" w:right="313" w:hanging="100"/>
      </w:pPr>
      <w:r>
        <w:rPr>
          <w:rFonts w:ascii="Arial"/>
          <w:color w:val="231F1F"/>
          <w:w w:val="355"/>
          <w:position w:val="1"/>
          <w:sz w:val="7"/>
        </w:rPr>
        <w:t>l </w:t>
      </w:r>
      <w:r>
        <w:rPr>
          <w:rFonts w:ascii="Calibri"/>
          <w:color w:val="231F1F"/>
          <w:w w:val="110"/>
        </w:rPr>
        <w:t>Cytotoxics: </w:t>
      </w:r>
      <w:r>
        <w:rPr>
          <w:color w:val="231F1F"/>
          <w:w w:val="110"/>
        </w:rPr>
        <w:t>possible reduction in contraceptive effect of oestrogens advised by manufacturer of </w:t>
      </w:r>
      <w:r>
        <w:rPr>
          <w:rFonts w:ascii="Arial"/>
          <w:color w:val="231F1F"/>
          <w:w w:val="355"/>
          <w:position w:val="1"/>
          <w:sz w:val="7"/>
        </w:rPr>
        <w:t>l </w:t>
      </w:r>
      <w:r>
        <w:rPr>
          <w:rFonts w:ascii="Calibri"/>
          <w:color w:val="008356"/>
          <w:spacing w:val="4"/>
          <w:w w:val="110"/>
          <w:sz w:val="11"/>
        </w:rPr>
        <w:t>CRIZOTINIB </w:t>
      </w:r>
      <w:r>
        <w:rPr>
          <w:color w:val="231F1F"/>
          <w:w w:val="110"/>
        </w:rPr>
        <w:t>and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VEMURAFENIB</w:t>
      </w:r>
      <w:r>
        <w:rPr>
          <w:color w:val="231F1F"/>
          <w:spacing w:val="4"/>
          <w:w w:val="110"/>
        </w:rPr>
        <w:t>; </w:t>
      </w:r>
      <w:r>
        <w:rPr>
          <w:color w:val="231F1F"/>
          <w:w w:val="110"/>
        </w:rPr>
        <w:t>possible reduced contraceptive effect </w:t>
      </w:r>
      <w:r>
        <w:rPr>
          <w:color w:val="231F1F"/>
          <w:spacing w:val="-6"/>
          <w:w w:val="110"/>
        </w:rPr>
        <w:t>of</w:t>
      </w:r>
    </w:p>
    <w:p>
      <w:pPr>
        <w:pStyle w:val="BodyText"/>
        <w:spacing w:line="247" w:lineRule="auto" w:before="2"/>
        <w:ind w:left="286"/>
      </w:pPr>
      <w:r>
        <w:rPr>
          <w:color w:val="231F1F"/>
          <w:w w:val="115"/>
        </w:rPr>
        <w:t>hormonal contraceptives containing oestrogens advised by manufacturer of </w:t>
      </w:r>
      <w:r>
        <w:rPr>
          <w:rFonts w:ascii="Arial"/>
          <w:color w:val="231F1F"/>
          <w:w w:val="355"/>
          <w:position w:val="1"/>
          <w:sz w:val="7"/>
        </w:rPr>
        <w:t>l </w:t>
      </w:r>
      <w:r>
        <w:rPr>
          <w:rFonts w:ascii="Calibri"/>
          <w:color w:val="008356"/>
          <w:w w:val="115"/>
          <w:sz w:val="11"/>
        </w:rPr>
        <w:t>DABRAFENIB </w:t>
      </w:r>
      <w:r>
        <w:rPr>
          <w:color w:val="231F1F"/>
          <w:w w:val="115"/>
        </w:rPr>
        <w:t>(alternative contraception recommended)</w:t>
      </w:r>
    </w:p>
    <w:p>
      <w:pPr>
        <w:pStyle w:val="BodyText"/>
        <w:spacing w:line="225" w:lineRule="auto" w:before="3"/>
        <w:ind w:left="186" w:right="123" w:hanging="29"/>
        <w:jc w:val="center"/>
      </w:pPr>
      <w:r>
        <w:rPr>
          <w:rFonts w:ascii="Lucida Sans Unicode" w:hAnsi="Lucida Sans Unicode"/>
          <w:color w:val="A7A8AC"/>
          <w:w w:val="90"/>
          <w:sz w:val="10"/>
        </w:rPr>
        <w:t>▶ </w:t>
      </w:r>
      <w:r>
        <w:rPr>
          <w:rFonts w:ascii="Calibri" w:hAnsi="Calibri"/>
          <w:color w:val="231F1F"/>
          <w:w w:val="110"/>
        </w:rPr>
        <w:t>Diuretics: </w:t>
      </w:r>
      <w:r>
        <w:rPr>
          <w:color w:val="231F1F"/>
          <w:w w:val="110"/>
        </w:rPr>
        <w:t>oestrogens antagonise diuretic effect of </w:t>
      </w:r>
      <w:r>
        <w:rPr>
          <w:rFonts w:ascii="Calibri" w:hAnsi="Calibri"/>
          <w:color w:val="008356"/>
          <w:spacing w:val="5"/>
          <w:w w:val="110"/>
          <w:sz w:val="11"/>
        </w:rPr>
        <w:t>DIURETICS </w:t>
      </w:r>
      <w:r>
        <w:rPr>
          <w:rFonts w:ascii="Arial" w:hAnsi="Arial"/>
          <w:color w:val="231F1F"/>
          <w:w w:val="355"/>
          <w:position w:val="1"/>
          <w:sz w:val="7"/>
        </w:rPr>
        <w:t>l </w:t>
      </w:r>
      <w:r>
        <w:rPr>
          <w:rFonts w:ascii="Calibri" w:hAnsi="Calibri"/>
          <w:color w:val="231F1F"/>
          <w:w w:val="110"/>
        </w:rPr>
        <w:t>Dopaminergics: </w:t>
      </w:r>
      <w:r>
        <w:rPr>
          <w:color w:val="231F1F"/>
          <w:w w:val="110"/>
        </w:rPr>
        <w:t>oestrogens increase plasma concentration </w:t>
      </w:r>
      <w:r>
        <w:rPr>
          <w:color w:val="231F1F"/>
          <w:spacing w:val="-8"/>
          <w:w w:val="110"/>
        </w:rPr>
        <w:t>of </w:t>
      </w:r>
      <w:r>
        <w:rPr>
          <w:rFonts w:ascii="Calibri" w:hAnsi="Calibri"/>
          <w:color w:val="008356"/>
          <w:spacing w:val="4"/>
          <w:w w:val="110"/>
          <w:sz w:val="11"/>
        </w:rPr>
        <w:t>ROPINIROLE</w:t>
      </w:r>
      <w:r>
        <w:rPr>
          <w:color w:val="231F1F"/>
          <w:spacing w:val="4"/>
          <w:w w:val="110"/>
        </w:rPr>
        <w:t>; </w:t>
      </w:r>
      <w:r>
        <w:rPr>
          <w:color w:val="231F1F"/>
          <w:w w:val="110"/>
        </w:rPr>
        <w:t>oestrogens increase plasma concentration</w:t>
      </w:r>
      <w:r>
        <w:rPr>
          <w:color w:val="231F1F"/>
          <w:spacing w:val="17"/>
          <w:w w:val="110"/>
        </w:rPr>
        <w:t> </w:t>
      </w:r>
      <w:r>
        <w:rPr>
          <w:color w:val="231F1F"/>
          <w:w w:val="110"/>
        </w:rPr>
        <w:t>of</w:t>
      </w:r>
    </w:p>
    <w:p>
      <w:pPr>
        <w:pStyle w:val="BodyText"/>
        <w:spacing w:before="4"/>
        <w:ind w:left="286" w:hanging="1"/>
      </w:pPr>
      <w:r>
        <w:rPr>
          <w:rFonts w:ascii="Arial" w:hAnsi="Arial"/>
          <w:color w:val="231F1F"/>
          <w:w w:val="115"/>
          <w:position w:val="1"/>
          <w:sz w:val="7"/>
        </w:rPr>
        <w:t>l </w:t>
      </w:r>
      <w:r>
        <w:rPr>
          <w:rFonts w:ascii="Calibri" w:hAnsi="Calibri"/>
          <w:color w:val="008356"/>
          <w:w w:val="115"/>
          <w:sz w:val="11"/>
        </w:rPr>
        <w:t>SELEGILINE</w:t>
      </w:r>
      <w:r>
        <w:rPr>
          <w:rFonts w:ascii="Arial" w:hAnsi="Arial"/>
          <w:color w:val="231F1F"/>
          <w:w w:val="115"/>
        </w:rPr>
        <w:t>—</w:t>
      </w:r>
      <w:r>
        <w:rPr>
          <w:color w:val="231F1F"/>
          <w:w w:val="115"/>
        </w:rPr>
        <w:t>manufacturer of selegiline advises avoid </w:t>
      </w:r>
      <w:r>
        <w:rPr>
          <w:color w:val="231F1F"/>
          <w:w w:val="120"/>
        </w:rPr>
        <w:t>concomitant use</w:t>
      </w:r>
    </w:p>
    <w:p>
      <w:pPr>
        <w:pStyle w:val="BodyText"/>
        <w:spacing w:before="2"/>
        <w:ind w:left="286" w:hanging="100"/>
      </w:pPr>
      <w:r>
        <w:rPr>
          <w:rFonts w:ascii="Arial"/>
          <w:color w:val="231F1F"/>
          <w:w w:val="355"/>
          <w:position w:val="1"/>
          <w:sz w:val="7"/>
        </w:rPr>
        <w:t>l </w:t>
      </w:r>
      <w:r>
        <w:rPr>
          <w:rFonts w:ascii="Calibri"/>
          <w:color w:val="231F1F"/>
          <w:w w:val="110"/>
        </w:rPr>
        <w:t>Fosaprepitant: </w:t>
      </w:r>
      <w:r>
        <w:rPr>
          <w:color w:val="231F1F"/>
          <w:w w:val="110"/>
        </w:rPr>
        <w:t>possible contraceptive failure of hormonal contraceptives containing oestrogens when given with</w:t>
      </w:r>
    </w:p>
    <w:p>
      <w:pPr>
        <w:spacing w:line="141" w:lineRule="exact" w:before="5"/>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FOSAPREPITANT </w:t>
      </w:r>
      <w:r>
        <w:rPr>
          <w:color w:val="231F1F"/>
          <w:w w:val="110"/>
          <w:sz w:val="12"/>
        </w:rPr>
        <w:t>(alternative contraception recommended)</w:t>
      </w:r>
    </w:p>
    <w:p>
      <w:pPr>
        <w:pStyle w:val="BodyText"/>
        <w:spacing w:line="237" w:lineRule="auto"/>
        <w:ind w:left="286" w:right="85" w:hanging="100"/>
        <w:rPr>
          <w:rFonts w:ascii="Calibri" w:hAnsi="Calibri"/>
          <w:sz w:val="11"/>
        </w:rPr>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ethinylestradiol reduced by </w:t>
      </w:r>
      <w:r>
        <w:rPr>
          <w:rFonts w:ascii="Calibri" w:hAnsi="Calibri"/>
          <w:color w:val="008356"/>
          <w:w w:val="110"/>
          <w:sz w:val="11"/>
        </w:rPr>
        <w:t>COLESEVELAM</w:t>
      </w:r>
      <w:r>
        <w:rPr>
          <w:color w:val="231F1F"/>
          <w:w w:val="110"/>
        </w:rPr>
        <w:t>; plasma concentration of ethinylestradiol increased by </w:t>
      </w:r>
      <w:r>
        <w:rPr>
          <w:rFonts w:ascii="Calibri" w:hAnsi="Calibri"/>
          <w:color w:val="008356"/>
          <w:w w:val="110"/>
          <w:sz w:val="11"/>
        </w:rPr>
        <w:t>ATORVASTATIN </w:t>
      </w:r>
      <w:r>
        <w:rPr>
          <w:color w:val="231F1F"/>
          <w:w w:val="110"/>
        </w:rPr>
        <w:t>and </w:t>
      </w:r>
      <w:r>
        <w:rPr>
          <w:rFonts w:ascii="Calibri" w:hAnsi="Calibri"/>
          <w:color w:val="008356"/>
          <w:w w:val="110"/>
          <w:sz w:val="11"/>
        </w:rPr>
        <w:t>ROSUVASTATIN</w:t>
      </w:r>
      <w:r>
        <w:rPr>
          <w:color w:val="231F1F"/>
          <w:w w:val="110"/>
        </w:rPr>
        <w:t>; separating administration from oestrogens by 12 hours advised by manufacturer of </w:t>
      </w:r>
      <w:r>
        <w:rPr>
          <w:rFonts w:ascii="Calibri" w:hAnsi="Calibri"/>
          <w:color w:val="008356"/>
          <w:w w:val="110"/>
          <w:sz w:val="11"/>
        </w:rPr>
        <w:t>LOMITAPIDE</w:t>
      </w:r>
    </w:p>
    <w:p>
      <w:pPr>
        <w:pStyle w:val="BodyText"/>
        <w:spacing w:line="155" w:lineRule="exact" w:before="1"/>
        <w:ind w:left="186"/>
        <w:jc w:val="both"/>
      </w:pPr>
      <w:r>
        <w:rPr>
          <w:rFonts w:ascii="Lucida Sans Unicode" w:hAnsi="Lucida Sans Unicode"/>
          <w:color w:val="A7A8AC"/>
          <w:w w:val="95"/>
          <w:sz w:val="10"/>
        </w:rPr>
        <w:t>▶ </w:t>
      </w:r>
      <w:r>
        <w:rPr>
          <w:rFonts w:ascii="Calibri" w:hAnsi="Calibri"/>
          <w:color w:val="231F1F"/>
          <w:w w:val="105"/>
        </w:rPr>
        <w:t>Methyldopa: </w:t>
      </w:r>
      <w:r>
        <w:rPr>
          <w:color w:val="231F1F"/>
          <w:w w:val="105"/>
        </w:rPr>
        <w:t>oestrogens antagonise hypotensive effect of</w:t>
      </w:r>
    </w:p>
    <w:p>
      <w:pPr>
        <w:spacing w:line="130" w:lineRule="exact" w:before="0"/>
        <w:ind w:left="286" w:right="0" w:firstLine="0"/>
        <w:jc w:val="left"/>
        <w:rPr>
          <w:rFonts w:ascii="Calibri"/>
          <w:sz w:val="11"/>
        </w:rPr>
      </w:pPr>
      <w:r>
        <w:rPr>
          <w:rFonts w:ascii="Calibri"/>
          <w:color w:val="008356"/>
          <w:sz w:val="11"/>
        </w:rPr>
        <w:t>METHYLDOPA</w:t>
      </w:r>
    </w:p>
    <w:p>
      <w:pPr>
        <w:pStyle w:val="BodyText"/>
        <w:spacing w:line="145" w:lineRule="exact"/>
        <w:ind w:left="186"/>
        <w:jc w:val="both"/>
      </w:pPr>
      <w:r>
        <w:rPr>
          <w:rFonts w:ascii="Arial"/>
          <w:color w:val="231F1F"/>
          <w:w w:val="355"/>
          <w:position w:val="1"/>
          <w:sz w:val="7"/>
        </w:rPr>
        <w:t>l </w:t>
      </w:r>
      <w:r>
        <w:rPr>
          <w:rFonts w:ascii="Calibri"/>
          <w:color w:val="231F1F"/>
          <w:w w:val="110"/>
        </w:rPr>
        <w:t>Modafinil: </w:t>
      </w:r>
      <w:r>
        <w:rPr>
          <w:color w:val="231F1F"/>
          <w:w w:val="110"/>
        </w:rPr>
        <w:t>metabolism of oestrogens accelerated by</w:t>
      </w:r>
    </w:p>
    <w:p>
      <w:pPr>
        <w:pStyle w:val="BodyText"/>
        <w:spacing w:line="244" w:lineRule="auto"/>
        <w:ind w:left="286" w:right="12"/>
        <w:jc w:val="both"/>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MODAFINIL</w:t>
      </w:r>
      <w:r>
        <w:rPr>
          <w:rFonts w:ascii="Calibri" w:hAnsi="Calibri"/>
          <w:color w:val="008356"/>
          <w:spacing w:val="-9"/>
          <w:w w:val="115"/>
          <w:sz w:val="11"/>
        </w:rPr>
        <w:t> </w:t>
      </w:r>
      <w:r>
        <w:rPr>
          <w:color w:val="231F1F"/>
          <w:w w:val="115"/>
        </w:rPr>
        <w:t>(reduced</w:t>
      </w:r>
      <w:r>
        <w:rPr>
          <w:color w:val="231F1F"/>
          <w:spacing w:val="-19"/>
          <w:w w:val="115"/>
        </w:rPr>
        <w:t> </w:t>
      </w:r>
      <w:r>
        <w:rPr>
          <w:color w:val="231F1F"/>
          <w:w w:val="115"/>
        </w:rPr>
        <w:t>contraceptive</w:t>
      </w:r>
      <w:r>
        <w:rPr>
          <w:color w:val="231F1F"/>
          <w:spacing w:val="-18"/>
          <w:w w:val="115"/>
        </w:rPr>
        <w:t> </w:t>
      </w:r>
      <w:r>
        <w:rPr>
          <w:color w:val="231F1F"/>
          <w:w w:val="115"/>
        </w:rPr>
        <w:t>effect</w:t>
      </w:r>
      <w:r>
        <w:rPr>
          <w:color w:val="231F1F"/>
          <w:spacing w:val="-19"/>
          <w:w w:val="115"/>
        </w:rPr>
        <w:t> </w:t>
      </w:r>
      <w:r>
        <w:rPr>
          <w:color w:val="231F1F"/>
          <w:w w:val="115"/>
        </w:rPr>
        <w:t>with</w:t>
      </w:r>
      <w:r>
        <w:rPr>
          <w:color w:val="231F1F"/>
          <w:spacing w:val="-18"/>
          <w:w w:val="115"/>
        </w:rPr>
        <w:t> </w:t>
      </w:r>
      <w:r>
        <w:rPr>
          <w:color w:val="231F1F"/>
          <w:w w:val="115"/>
        </w:rPr>
        <w:t>combined</w:t>
      </w:r>
      <w:r>
        <w:rPr>
          <w:color w:val="231F1F"/>
          <w:spacing w:val="-19"/>
          <w:w w:val="115"/>
        </w:rPr>
        <w:t> </w:t>
      </w:r>
      <w:r>
        <w:rPr>
          <w:color w:val="231F1F"/>
          <w:spacing w:val="-3"/>
          <w:w w:val="115"/>
        </w:rPr>
        <w:t>oral </w:t>
      </w:r>
      <w:r>
        <w:rPr>
          <w:color w:val="231F1F"/>
          <w:w w:val="115"/>
        </w:rPr>
        <w:t>contraceptives,</w:t>
      </w:r>
      <w:r>
        <w:rPr>
          <w:color w:val="231F1F"/>
          <w:spacing w:val="-12"/>
          <w:w w:val="115"/>
        </w:rPr>
        <w:t> </w:t>
      </w:r>
      <w:r>
        <w:rPr>
          <w:color w:val="231F1F"/>
          <w:w w:val="115"/>
        </w:rPr>
        <w:t>contraceptive</w:t>
      </w:r>
      <w:r>
        <w:rPr>
          <w:color w:val="231F1F"/>
          <w:spacing w:val="-10"/>
          <w:w w:val="115"/>
        </w:rPr>
        <w:t> </w:t>
      </w:r>
      <w:r>
        <w:rPr>
          <w:color w:val="231F1F"/>
          <w:w w:val="115"/>
        </w:rPr>
        <w:t>patches,</w:t>
      </w:r>
      <w:r>
        <w:rPr>
          <w:color w:val="231F1F"/>
          <w:spacing w:val="-11"/>
          <w:w w:val="115"/>
        </w:rPr>
        <w:t> </w:t>
      </w:r>
      <w:r>
        <w:rPr>
          <w:color w:val="231F1F"/>
          <w:w w:val="115"/>
        </w:rPr>
        <w:t>and</w:t>
      </w:r>
      <w:r>
        <w:rPr>
          <w:color w:val="231F1F"/>
          <w:spacing w:val="-11"/>
          <w:w w:val="115"/>
        </w:rPr>
        <w:t> </w:t>
      </w:r>
      <w:r>
        <w:rPr>
          <w:color w:val="231F1F"/>
          <w:w w:val="115"/>
        </w:rPr>
        <w:t>vaginal</w:t>
      </w:r>
      <w:r>
        <w:rPr>
          <w:color w:val="231F1F"/>
          <w:spacing w:val="-10"/>
          <w:w w:val="115"/>
        </w:rPr>
        <w:t> </w:t>
      </w:r>
      <w:r>
        <w:rPr>
          <w:color w:val="231F1F"/>
          <w:w w:val="115"/>
        </w:rPr>
        <w:t>rings</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155" w:lineRule="exact"/>
        <w:ind w:left="186"/>
        <w:jc w:val="both"/>
      </w:pPr>
      <w:r>
        <w:rPr>
          <w:rFonts w:ascii="Lucida Sans Unicode" w:hAnsi="Lucida Sans Unicode"/>
          <w:color w:val="A7A8AC"/>
          <w:w w:val="95"/>
          <w:sz w:val="10"/>
        </w:rPr>
        <w:t>▶ </w:t>
      </w:r>
      <w:r>
        <w:rPr>
          <w:rFonts w:ascii="Calibri" w:hAnsi="Calibri"/>
          <w:color w:val="231F1F"/>
          <w:w w:val="105"/>
        </w:rPr>
        <w:t>Moxonidine: </w:t>
      </w:r>
      <w:r>
        <w:rPr>
          <w:color w:val="231F1F"/>
          <w:w w:val="105"/>
        </w:rPr>
        <w:t>oestrogens antagonise hypotensive effect of</w:t>
      </w:r>
    </w:p>
    <w:p>
      <w:pPr>
        <w:spacing w:line="131" w:lineRule="exact" w:before="0"/>
        <w:ind w:left="286" w:right="0" w:firstLine="0"/>
        <w:jc w:val="left"/>
        <w:rPr>
          <w:rFonts w:ascii="Calibri"/>
          <w:sz w:val="11"/>
        </w:rPr>
      </w:pPr>
      <w:r>
        <w:rPr>
          <w:rFonts w:ascii="Calibri"/>
          <w:color w:val="008356"/>
          <w:sz w:val="11"/>
        </w:rPr>
        <w:t>MOXONIDINE</w:t>
      </w:r>
    </w:p>
    <w:p>
      <w:pPr>
        <w:pStyle w:val="BodyText"/>
        <w:spacing w:line="220" w:lineRule="auto" w:before="7"/>
        <w:ind w:left="286" w:hanging="100"/>
      </w:pPr>
      <w:r>
        <w:rPr>
          <w:rFonts w:ascii="Lucida Sans Unicode" w:hAnsi="Lucida Sans Unicode"/>
          <w:color w:val="A7A8AC"/>
          <w:w w:val="95"/>
          <w:sz w:val="10"/>
        </w:rPr>
        <w:t>▶ </w:t>
      </w:r>
      <w:r>
        <w:rPr>
          <w:rFonts w:ascii="Calibri" w:hAnsi="Calibri"/>
          <w:color w:val="231F1F"/>
          <w:w w:val="105"/>
        </w:rPr>
        <w:t>Muscle Relaxants: </w:t>
      </w:r>
      <w:r>
        <w:rPr>
          <w:color w:val="231F1F"/>
          <w:w w:val="105"/>
        </w:rPr>
        <w:t>oestrogens possibly increase plasma concentration of </w:t>
      </w:r>
      <w:r>
        <w:rPr>
          <w:rFonts w:ascii="Calibri" w:hAnsi="Calibri"/>
          <w:color w:val="008356"/>
          <w:w w:val="105"/>
          <w:sz w:val="11"/>
        </w:rPr>
        <w:t>TIZANIDINE </w:t>
      </w:r>
      <w:r>
        <w:rPr>
          <w:color w:val="231F1F"/>
          <w:w w:val="105"/>
        </w:rPr>
        <w:t>(increased risk of toxicity)</w:t>
      </w:r>
    </w:p>
    <w:p>
      <w:pPr>
        <w:pStyle w:val="BodyText"/>
        <w:spacing w:line="149"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oestrogens antagonise hypotensive effect of </w:t>
      </w:r>
      <w:r>
        <w:rPr>
          <w:rFonts w:ascii="Calibri" w:hAnsi="Calibri"/>
          <w:color w:val="008356"/>
          <w:w w:val="105"/>
          <w:sz w:val="11"/>
        </w:rPr>
        <w:t>NITRATES</w:t>
      </w:r>
    </w:p>
    <w:p>
      <w:pPr>
        <w:pStyle w:val="BodyText"/>
        <w:spacing w:line="220" w:lineRule="auto" w:before="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Somatropin: </w:t>
      </w:r>
      <w:r>
        <w:rPr>
          <w:color w:val="231F1F"/>
          <w:w w:val="110"/>
        </w:rPr>
        <w:t>oestrogens (when used as oral replacement therapy) may increase dose requirements of </w:t>
      </w:r>
      <w:r>
        <w:rPr>
          <w:rFonts w:ascii="Calibri" w:hAnsi="Calibri"/>
          <w:color w:val="008356"/>
          <w:w w:val="110"/>
          <w:sz w:val="11"/>
        </w:rPr>
        <w:t>SOMATROPIN</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ethinylestradiol possibly increases plasma concentration of </w:t>
      </w:r>
      <w:r>
        <w:rPr>
          <w:rFonts w:ascii="Calibri" w:hAnsi="Calibri"/>
          <w:color w:val="008356"/>
          <w:w w:val="105"/>
          <w:sz w:val="11"/>
        </w:rPr>
        <w:t>TACROLIMUS</w:t>
      </w:r>
    </w:p>
    <w:p>
      <w:pPr>
        <w:pStyle w:val="BodyText"/>
        <w:spacing w:line="220" w:lineRule="auto" w:before="8"/>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Teriflunomide: </w:t>
      </w:r>
      <w:r>
        <w:rPr>
          <w:color w:val="231F1F"/>
          <w:w w:val="105"/>
        </w:rPr>
        <w:t>plasma concentration of ethinylestradiol increased by </w:t>
      </w:r>
      <w:r>
        <w:rPr>
          <w:rFonts w:ascii="Calibri" w:hAnsi="Calibri"/>
          <w:color w:val="008356"/>
          <w:w w:val="105"/>
          <w:sz w:val="11"/>
        </w:rPr>
        <w:t>TERIFLUNOMIDE</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Theophylline: </w:t>
      </w:r>
      <w:r>
        <w:rPr>
          <w:color w:val="231F1F"/>
          <w:w w:val="105"/>
        </w:rPr>
        <w:t>oestrogens increase plasma concentration of</w:t>
      </w:r>
    </w:p>
    <w:p>
      <w:pPr>
        <w:spacing w:line="134" w:lineRule="exact" w:before="0"/>
        <w:ind w:left="286" w:right="0" w:firstLine="0"/>
        <w:jc w:val="left"/>
        <w:rPr>
          <w:sz w:val="12"/>
        </w:rPr>
      </w:pPr>
      <w:r>
        <w:rPr>
          <w:rFonts w:ascii="Calibri"/>
          <w:color w:val="008356"/>
          <w:w w:val="115"/>
          <w:sz w:val="11"/>
        </w:rPr>
        <w:t>THEOPHYLLINE </w:t>
      </w:r>
      <w:r>
        <w:rPr>
          <w:color w:val="231F1F"/>
          <w:w w:val="115"/>
          <w:sz w:val="12"/>
        </w:rPr>
        <w:t>(consider reducing dose of theophylline)</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Thyroid Hormones: </w:t>
      </w:r>
      <w:r>
        <w:rPr>
          <w:color w:val="231F1F"/>
          <w:w w:val="105"/>
        </w:rPr>
        <w:t>oestrogens may increase requirements for</w:t>
      </w:r>
    </w:p>
    <w:p>
      <w:pPr>
        <w:spacing w:line="134" w:lineRule="exact" w:before="0"/>
        <w:ind w:left="286" w:right="0" w:firstLine="0"/>
        <w:jc w:val="both"/>
        <w:rPr>
          <w:sz w:val="12"/>
        </w:rPr>
      </w:pPr>
      <w:r>
        <w:rPr>
          <w:rFonts w:ascii="Calibri"/>
          <w:color w:val="008356"/>
          <w:w w:val="105"/>
          <w:sz w:val="11"/>
        </w:rPr>
        <w:t>THYROID HORMONES </w:t>
      </w:r>
      <w:r>
        <w:rPr>
          <w:color w:val="231F1F"/>
          <w:w w:val="105"/>
          <w:sz w:val="12"/>
        </w:rPr>
        <w:t>in hypothyroidism</w:t>
      </w:r>
    </w:p>
    <w:p>
      <w:pPr>
        <w:spacing w:line="237" w:lineRule="auto" w:before="1"/>
        <w:ind w:left="286" w:right="10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oestrogens antagonise hypotensive effect of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and </w:t>
      </w:r>
      <w:r>
        <w:rPr>
          <w:rFonts w:ascii="Calibri" w:hAnsi="Calibri"/>
          <w:color w:val="008356"/>
          <w:w w:val="105"/>
          <w:sz w:val="11"/>
        </w:rPr>
        <w:t>SODIUM NITROPRUSSIDE</w:t>
      </w:r>
    </w:p>
    <w:p>
      <w:pPr>
        <w:pStyle w:val="BodyText"/>
        <w:spacing w:before="7"/>
        <w:ind w:left="186"/>
      </w:pPr>
      <w:r>
        <w:rPr>
          <w:rFonts w:ascii="Trebuchet MS"/>
          <w:color w:val="008356"/>
          <w:w w:val="105"/>
        </w:rPr>
        <w:t>Oestrogens, conjugated </w:t>
      </w:r>
      <w:r>
        <w:rPr>
          <w:i/>
          <w:color w:val="231F1F"/>
          <w:w w:val="105"/>
        </w:rPr>
        <w:t>see </w:t>
      </w:r>
      <w:r>
        <w:rPr>
          <w:color w:val="231F1F"/>
          <w:w w:val="105"/>
        </w:rPr>
        <w:t>Oestrogens</w:t>
      </w:r>
    </w:p>
    <w:p>
      <w:pPr>
        <w:pStyle w:val="BodyText"/>
        <w:spacing w:before="10"/>
        <w:ind w:left="186"/>
        <w:rPr>
          <w:rFonts w:ascii="Trebuchet MS"/>
        </w:rPr>
      </w:pPr>
      <w:r>
        <w:rPr>
          <w:rFonts w:ascii="Trebuchet MS"/>
          <w:color w:val="008356"/>
        </w:rPr>
        <w:t>Ofatumumab</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6"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4"/>
        <w:ind w:left="186"/>
      </w:pPr>
      <w:r>
        <w:rPr>
          <w:rFonts w:ascii="Trebuchet MS"/>
          <w:color w:val="008356"/>
          <w:w w:val="110"/>
        </w:rPr>
        <w:t>Ofloxacin </w:t>
      </w:r>
      <w:r>
        <w:rPr>
          <w:i/>
          <w:color w:val="231F1F"/>
          <w:w w:val="110"/>
        </w:rPr>
        <w:t>see </w:t>
      </w:r>
      <w:r>
        <w:rPr>
          <w:color w:val="231F1F"/>
          <w:w w:val="110"/>
        </w:rPr>
        <w:t>Quinolones</w:t>
      </w:r>
    </w:p>
    <w:p>
      <w:pPr>
        <w:pStyle w:val="BodyText"/>
        <w:spacing w:before="11"/>
        <w:ind w:left="186"/>
      </w:pPr>
      <w:r>
        <w:rPr>
          <w:rFonts w:ascii="Trebuchet MS"/>
          <w:color w:val="008356"/>
          <w:w w:val="110"/>
        </w:rPr>
        <w:t>Olanzapine </w:t>
      </w:r>
      <w:r>
        <w:rPr>
          <w:i/>
          <w:color w:val="231F1F"/>
          <w:w w:val="110"/>
        </w:rPr>
        <w:t>see </w:t>
      </w:r>
      <w:r>
        <w:rPr>
          <w:color w:val="231F1F"/>
          <w:w w:val="110"/>
        </w:rPr>
        <w:t>Antipsychotics</w:t>
      </w:r>
    </w:p>
    <w:p>
      <w:pPr>
        <w:pStyle w:val="BodyText"/>
        <w:spacing w:before="10"/>
        <w:ind w:left="186"/>
      </w:pPr>
      <w:r>
        <w:rPr>
          <w:rFonts w:ascii="Trebuchet MS"/>
          <w:color w:val="008356"/>
          <w:w w:val="110"/>
        </w:rPr>
        <w:t>Olmesartan </w:t>
      </w:r>
      <w:r>
        <w:rPr>
          <w:i/>
          <w:color w:val="231F1F"/>
          <w:w w:val="110"/>
        </w:rPr>
        <w:t>see </w:t>
      </w:r>
      <w:r>
        <w:rPr>
          <w:color w:val="231F1F"/>
          <w:w w:val="110"/>
        </w:rPr>
        <w:t>Angiotensin-II Receptor Antagonists</w:t>
      </w:r>
    </w:p>
    <w:p>
      <w:pPr>
        <w:pStyle w:val="BodyText"/>
        <w:spacing w:before="10"/>
        <w:ind w:left="186"/>
      </w:pPr>
      <w:r>
        <w:rPr>
          <w:rFonts w:ascii="Trebuchet MS"/>
          <w:color w:val="008356"/>
          <w:w w:val="110"/>
        </w:rPr>
        <w:t>Olodaterol </w:t>
      </w:r>
      <w:r>
        <w:rPr>
          <w:i/>
          <w:color w:val="231F1F"/>
          <w:w w:val="110"/>
        </w:rPr>
        <w:t>see </w:t>
      </w:r>
      <w:r>
        <w:rPr>
          <w:color w:val="231F1F"/>
          <w:w w:val="110"/>
        </w:rPr>
        <w:t>Sympathomimetics,</w:t>
      </w:r>
      <w:r>
        <w:rPr>
          <w:color w:val="231F1F"/>
          <w:spacing w:val="-19"/>
          <w:w w:val="110"/>
        </w:rPr>
        <w:t> </w:t>
      </w:r>
      <w:r>
        <w:rPr>
          <w:color w:val="231F1F"/>
          <w:w w:val="110"/>
        </w:rPr>
        <w:t>Beta</w:t>
      </w:r>
      <w:r>
        <w:rPr>
          <w:color w:val="231F1F"/>
          <w:w w:val="110"/>
          <w:vertAlign w:val="subscript"/>
        </w:rPr>
        <w:t>2</w:t>
      </w:r>
    </w:p>
    <w:p>
      <w:pPr>
        <w:pStyle w:val="BodyText"/>
        <w:spacing w:before="10"/>
        <w:ind w:left="186"/>
      </w:pPr>
      <w:r>
        <w:rPr>
          <w:rFonts w:ascii="Trebuchet MS"/>
          <w:color w:val="008356"/>
          <w:w w:val="110"/>
        </w:rPr>
        <w:t>Omeprazole </w:t>
      </w:r>
      <w:r>
        <w:rPr>
          <w:i/>
          <w:color w:val="231F1F"/>
          <w:w w:val="110"/>
        </w:rPr>
        <w:t>see </w:t>
      </w:r>
      <w:r>
        <w:rPr>
          <w:color w:val="231F1F"/>
          <w:w w:val="110"/>
        </w:rPr>
        <w:t>Proton Pump</w:t>
      </w:r>
      <w:r>
        <w:rPr>
          <w:color w:val="231F1F"/>
          <w:spacing w:val="1"/>
          <w:w w:val="110"/>
        </w:rPr>
        <w:t> </w:t>
      </w:r>
      <w:r>
        <w:rPr>
          <w:color w:val="231F1F"/>
          <w:w w:val="110"/>
        </w:rPr>
        <w:t>Inhibitors</w:t>
      </w:r>
    </w:p>
    <w:p>
      <w:pPr>
        <w:pStyle w:val="BodyText"/>
        <w:spacing w:before="3"/>
        <w:ind w:left="0"/>
        <w:rPr>
          <w:sz w:val="15"/>
        </w:rPr>
      </w:pPr>
      <w:r>
        <w:rPr/>
        <w:br w:type="column"/>
      </w:r>
      <w:r>
        <w:rPr>
          <w:sz w:val="15"/>
        </w:rPr>
      </w:r>
    </w:p>
    <w:p>
      <w:pPr>
        <w:pStyle w:val="BodyText"/>
        <w:spacing w:before="1"/>
        <w:ind w:left="177"/>
      </w:pPr>
      <w:r>
        <w:rPr>
          <w:rFonts w:ascii="Trebuchet MS"/>
          <w:color w:val="008356"/>
          <w:w w:val="110"/>
        </w:rPr>
        <w:t>Ondansetron </w:t>
      </w:r>
      <w:r>
        <w:rPr>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9"/>
        <w:ind w:left="177"/>
        <w:rPr>
          <w:rFonts w:ascii="Trebuchet MS"/>
        </w:rPr>
      </w:pPr>
      <w:r>
        <w:rPr>
          <w:rFonts w:ascii="Trebuchet MS"/>
          <w:color w:val="008356"/>
        </w:rPr>
        <w:t>Opioid Analgesics</w:t>
      </w:r>
    </w:p>
    <w:p>
      <w:pPr>
        <w:pStyle w:val="BodyText"/>
        <w:spacing w:line="220" w:lineRule="auto" w:before="9"/>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and sedative effects when opioid analgesics given with </w:t>
      </w:r>
      <w:r>
        <w:rPr>
          <w:rFonts w:ascii="Calibri" w:hAnsi="Calibri"/>
          <w:color w:val="008356"/>
          <w:w w:val="110"/>
          <w:sz w:val="11"/>
        </w:rPr>
        <w:t>ALCOHOL</w:t>
      </w:r>
    </w:p>
    <w:p>
      <w:pPr>
        <w:spacing w:line="235" w:lineRule="auto" w:before="2"/>
        <w:ind w:left="277" w:right="76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fentanyl inhibits metabolism of </w:t>
      </w:r>
      <w:r>
        <w:rPr>
          <w:rFonts w:ascii="Calibri" w:hAnsi="Calibri"/>
          <w:color w:val="008356"/>
          <w:w w:val="105"/>
          <w:sz w:val="11"/>
        </w:rPr>
        <w:t>ETOMIDATE </w:t>
      </w:r>
      <w:r>
        <w:rPr>
          <w:color w:val="231F1F"/>
          <w:w w:val="105"/>
          <w:sz w:val="12"/>
        </w:rPr>
        <w:t>(consider reducing dose of etomidate); opioid analgesics possibly enhance effects of </w:t>
      </w:r>
      <w:r>
        <w:rPr>
          <w:rFonts w:ascii="Calibri" w:hAnsi="Calibri"/>
          <w:color w:val="008356"/>
          <w:w w:val="105"/>
          <w:sz w:val="11"/>
        </w:rPr>
        <w:t>INTRAVENOUS GENERAL ANAESTHETICS </w:t>
      </w:r>
      <w:r>
        <w:rPr>
          <w:color w:val="231F1F"/>
          <w:w w:val="105"/>
          <w:sz w:val="12"/>
        </w:rPr>
        <w:t>and </w:t>
      </w:r>
      <w:r>
        <w:rPr>
          <w:rFonts w:ascii="Calibri" w:hAnsi="Calibri"/>
          <w:color w:val="008356"/>
          <w:w w:val="105"/>
          <w:sz w:val="11"/>
        </w:rPr>
        <w:t>VOLATILE LIQUID GENERAL ANAESTHETICS</w:t>
      </w:r>
    </w:p>
    <w:p>
      <w:pPr>
        <w:pStyle w:val="BodyText"/>
        <w:spacing w:line="230" w:lineRule="auto" w:before="3"/>
        <w:ind w:left="277"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avoidance of buprenorphine advised by manufacturer of </w:t>
      </w:r>
      <w:r>
        <w:rPr>
          <w:rFonts w:ascii="Calibri" w:hAnsi="Calibri"/>
          <w:color w:val="008356"/>
          <w:spacing w:val="4"/>
          <w:w w:val="105"/>
          <w:sz w:val="11"/>
        </w:rPr>
        <w:t>FENTANYL</w:t>
      </w:r>
      <w:r>
        <w:rPr>
          <w:color w:val="231F1F"/>
          <w:spacing w:val="4"/>
          <w:w w:val="105"/>
        </w:rPr>
        <w:t>; </w:t>
      </w:r>
      <w:r>
        <w:rPr>
          <w:color w:val="231F1F"/>
          <w:w w:val="105"/>
        </w:rPr>
        <w:t>manufacturer of fentanyl advises avoid concomitant use with</w:t>
      </w:r>
      <w:r>
        <w:rPr>
          <w:color w:val="231F1F"/>
          <w:spacing w:val="4"/>
          <w:w w:val="105"/>
        </w:rPr>
        <w:t> </w:t>
      </w:r>
      <w:r>
        <w:rPr>
          <w:rFonts w:ascii="Calibri" w:hAnsi="Calibri"/>
          <w:color w:val="008356"/>
          <w:spacing w:val="4"/>
          <w:w w:val="105"/>
          <w:sz w:val="11"/>
        </w:rPr>
        <w:t>PENTAZOCINE</w:t>
      </w:r>
    </w:p>
    <w:p>
      <w:pPr>
        <w:pStyle w:val="BodyText"/>
        <w:spacing w:line="242" w:lineRule="auto"/>
        <w:ind w:left="277" w:right="609" w:hanging="100"/>
      </w:pPr>
      <w:r>
        <w:rPr>
          <w:rFonts w:ascii="Arial"/>
          <w:color w:val="231F1F"/>
          <w:w w:val="355"/>
          <w:position w:val="1"/>
          <w:sz w:val="7"/>
        </w:rPr>
        <w:t>l </w:t>
      </w:r>
      <w:r>
        <w:rPr>
          <w:rFonts w:ascii="Calibri"/>
          <w:color w:val="231F1F"/>
          <w:w w:val="110"/>
        </w:rPr>
        <w:t>Antibacterials: </w:t>
      </w:r>
      <w:r>
        <w:rPr>
          <w:color w:val="231F1F"/>
          <w:w w:val="110"/>
        </w:rPr>
        <w:t>plasma concentration of fentanyl possibly increased by </w:t>
      </w:r>
      <w:r>
        <w:rPr>
          <w:rFonts w:ascii="Calibri"/>
          <w:color w:val="008356"/>
          <w:w w:val="110"/>
          <w:sz w:val="11"/>
        </w:rPr>
        <w:t>CLARITHROMYCIN</w:t>
      </w:r>
      <w:r>
        <w:rPr>
          <w:color w:val="231F1F"/>
          <w:w w:val="110"/>
        </w:rPr>
        <w:t>; plasma concentration of alfentanil increased by </w:t>
      </w:r>
      <w:r>
        <w:rPr>
          <w:rFonts w:ascii="Calibri"/>
          <w:color w:val="008356"/>
          <w:w w:val="110"/>
          <w:sz w:val="11"/>
        </w:rPr>
        <w:t>ERYTHROMYCIN</w:t>
      </w:r>
      <w:r>
        <w:rPr>
          <w:color w:val="231F1F"/>
          <w:w w:val="110"/>
        </w:rPr>
        <w:t>; metabolism of alfentanil, codeine, fentanyl, methadone and morphine accelerated by </w:t>
      </w:r>
      <w:r>
        <w:rPr>
          <w:rFonts w:ascii="Calibri"/>
          <w:color w:val="008356"/>
          <w:w w:val="110"/>
          <w:sz w:val="11"/>
        </w:rPr>
        <w:t>RIFAMPICIN </w:t>
      </w:r>
      <w:r>
        <w:rPr>
          <w:color w:val="231F1F"/>
          <w:w w:val="110"/>
        </w:rPr>
        <w:t>(reduced effect); metabolism of oxycodone possibly accelerated by </w:t>
      </w:r>
      <w:r>
        <w:rPr>
          <w:rFonts w:ascii="Calibri"/>
          <w:color w:val="008356"/>
          <w:w w:val="110"/>
          <w:sz w:val="11"/>
        </w:rPr>
        <w:t>RIFAMPICIN</w:t>
      </w:r>
      <w:r>
        <w:rPr>
          <w:color w:val="231F1F"/>
          <w:w w:val="110"/>
        </w:rPr>
        <w:t>; increased risk of ventricular arrhythmias when methadone given with</w:t>
      </w:r>
    </w:p>
    <w:p>
      <w:pPr>
        <w:pStyle w:val="BodyText"/>
        <w:spacing w:line="242" w:lineRule="auto" w:before="7"/>
        <w:ind w:left="277" w:right="765"/>
      </w:pPr>
      <w:r>
        <w:rPr>
          <w:rFonts w:ascii="Arial"/>
          <w:color w:val="231F1F"/>
          <w:w w:val="355"/>
          <w:position w:val="1"/>
          <w:sz w:val="7"/>
        </w:rPr>
        <w:t>l </w:t>
      </w:r>
      <w:r>
        <w:rPr>
          <w:rFonts w:ascii="Calibri"/>
          <w:color w:val="008356"/>
          <w:w w:val="110"/>
          <w:sz w:val="11"/>
        </w:rPr>
        <w:t>DELAMANID</w:t>
      </w:r>
      <w:r>
        <w:rPr>
          <w:color w:val="231F1F"/>
          <w:w w:val="110"/>
        </w:rPr>
        <w:t>; manufacturer of pethidine advises avoid concomitant use with </w:t>
      </w:r>
      <w:r>
        <w:rPr>
          <w:rFonts w:ascii="Calibri"/>
          <w:color w:val="008356"/>
          <w:w w:val="110"/>
          <w:sz w:val="11"/>
        </w:rPr>
        <w:t>ISONIAZID</w:t>
      </w:r>
      <w:r>
        <w:rPr>
          <w:color w:val="231F1F"/>
          <w:w w:val="110"/>
        </w:rPr>
        <w:t>; metabolism of oxycodone inhibited by </w:t>
      </w:r>
      <w:r>
        <w:rPr>
          <w:rFonts w:ascii="Calibri"/>
          <w:color w:val="008356"/>
          <w:w w:val="110"/>
          <w:sz w:val="11"/>
        </w:rPr>
        <w:t>TELITHROMYCIN</w:t>
      </w:r>
      <w:r>
        <w:rPr>
          <w:color w:val="231F1F"/>
          <w:w w:val="110"/>
        </w:rPr>
        <w:t>; possible increased risk of ventricular arrhythmias when methadone given with</w:t>
      </w:r>
    </w:p>
    <w:p>
      <w:pPr>
        <w:spacing w:line="133" w:lineRule="exact" w:before="13"/>
        <w:ind w:left="277" w:right="0" w:firstLine="0"/>
        <w:jc w:val="left"/>
        <w:rPr>
          <w:rFonts w:ascii="Calibri"/>
          <w:sz w:val="11"/>
        </w:rPr>
      </w:pPr>
      <w:r>
        <w:rPr>
          <w:rFonts w:ascii="Arial"/>
          <w:color w:val="231F1F"/>
          <w:w w:val="355"/>
          <w:position w:val="1"/>
          <w:sz w:val="7"/>
        </w:rPr>
        <w:t>l </w:t>
      </w:r>
      <w:r>
        <w:rPr>
          <w:rFonts w:ascii="Calibri"/>
          <w:color w:val="008356"/>
          <w:w w:val="115"/>
          <w:sz w:val="11"/>
        </w:rPr>
        <w:t>TELITHROMYCIN</w:t>
      </w:r>
    </w:p>
    <w:p>
      <w:pPr>
        <w:pStyle w:val="BodyText"/>
        <w:spacing w:line="145" w:lineRule="exact"/>
        <w:ind w:left="177"/>
      </w:pPr>
      <w:r>
        <w:rPr>
          <w:rFonts w:ascii="Arial"/>
          <w:color w:val="231F1F"/>
          <w:w w:val="355"/>
          <w:position w:val="1"/>
          <w:sz w:val="7"/>
        </w:rPr>
        <w:t>l </w:t>
      </w:r>
      <w:r>
        <w:rPr>
          <w:rFonts w:ascii="Calibri"/>
          <w:color w:val="231F1F"/>
          <w:w w:val="115"/>
        </w:rPr>
        <w:t>Anticoagulants: </w:t>
      </w:r>
      <w:r>
        <w:rPr>
          <w:color w:val="231F1F"/>
          <w:w w:val="115"/>
        </w:rPr>
        <w:t>tramadol enhances anticoagulant effect of</w:t>
      </w:r>
    </w:p>
    <w:p>
      <w:pPr>
        <w:spacing w:line="133" w:lineRule="exact" w:before="7"/>
        <w:ind w:left="277"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spacing w:before="0"/>
        <w:ind w:left="277" w:right="617"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plasma concentration of methadone possibly increased by </w:t>
      </w:r>
      <w:r>
        <w:rPr>
          <w:rFonts w:ascii="Calibri"/>
          <w:color w:val="008356"/>
          <w:w w:val="110"/>
          <w:sz w:val="11"/>
        </w:rPr>
        <w:t>FLUOXETINE</w:t>
      </w:r>
      <w:r>
        <w:rPr>
          <w:color w:val="231F1F"/>
          <w:w w:val="110"/>
          <w:sz w:val="12"/>
        </w:rPr>
        <w:t>, </w:t>
      </w:r>
      <w:r>
        <w:rPr>
          <w:rFonts w:ascii="Calibri"/>
          <w:color w:val="008356"/>
          <w:w w:val="110"/>
          <w:sz w:val="11"/>
        </w:rPr>
        <w:t>FLUVOXAMINE</w:t>
      </w:r>
      <w:r>
        <w:rPr>
          <w:color w:val="231F1F"/>
          <w:w w:val="110"/>
          <w:sz w:val="12"/>
        </w:rPr>
        <w:t>, </w:t>
      </w:r>
      <w:r>
        <w:rPr>
          <w:rFonts w:ascii="Calibri"/>
          <w:color w:val="008356"/>
          <w:w w:val="110"/>
          <w:sz w:val="11"/>
        </w:rPr>
        <w:t>PAROXETINE </w:t>
      </w:r>
      <w:r>
        <w:rPr>
          <w:color w:val="231F1F"/>
          <w:w w:val="110"/>
          <w:sz w:val="12"/>
        </w:rPr>
        <w:t>and</w:t>
      </w:r>
    </w:p>
    <w:p>
      <w:pPr>
        <w:pStyle w:val="BodyText"/>
        <w:spacing w:line="247" w:lineRule="auto"/>
        <w:ind w:left="277" w:right="585"/>
      </w:pPr>
      <w:r>
        <w:rPr>
          <w:rFonts w:ascii="Calibri" w:hAnsi="Calibri"/>
          <w:color w:val="008356"/>
          <w:w w:val="110"/>
          <w:sz w:val="11"/>
        </w:rPr>
        <w:t>SERTRALINE</w:t>
      </w:r>
      <w:r>
        <w:rPr>
          <w:color w:val="231F1F"/>
          <w:w w:val="110"/>
        </w:rPr>
        <w:t>; possible increased serotonergic effects when pethidine or tramadol given with </w:t>
      </w:r>
      <w:r>
        <w:rPr>
          <w:rFonts w:ascii="Calibri" w:hAnsi="Calibri"/>
          <w:color w:val="008356"/>
          <w:w w:val="110"/>
          <w:sz w:val="11"/>
        </w:rPr>
        <w:t>DULOXETINE</w:t>
      </w:r>
      <w:r>
        <w:rPr>
          <w:color w:val="231F1F"/>
          <w:w w:val="110"/>
        </w:rPr>
        <w:t>; possible increased serotonergic effects when tramadol given with </w:t>
      </w:r>
      <w:r>
        <w:rPr>
          <w:rFonts w:ascii="Calibri" w:hAnsi="Calibri"/>
          <w:color w:val="008356"/>
          <w:w w:val="110"/>
          <w:sz w:val="11"/>
        </w:rPr>
        <w:t>MIRTAZAPINE </w:t>
      </w:r>
      <w:r>
        <w:rPr>
          <w:color w:val="231F1F"/>
          <w:w w:val="110"/>
        </w:rPr>
        <w:t>or </w:t>
      </w:r>
      <w:r>
        <w:rPr>
          <w:rFonts w:ascii="Calibri" w:hAnsi="Calibri"/>
          <w:color w:val="008356"/>
          <w:w w:val="110"/>
          <w:sz w:val="11"/>
        </w:rPr>
        <w:t>VENLAFAXINE</w:t>
      </w:r>
      <w:r>
        <w:rPr>
          <w:color w:val="231F1F"/>
          <w:w w:val="110"/>
        </w:rPr>
        <w:t>; possible CNS excitation or depression (hypertension or hypotension) when opioid analgesics given with </w:t>
      </w:r>
      <w:r>
        <w:rPr>
          <w:rFonts w:ascii="Arial" w:hAnsi="Arial"/>
          <w:color w:val="231F1F"/>
          <w:w w:val="355"/>
          <w:position w:val="1"/>
          <w:sz w:val="7"/>
        </w:rPr>
        <w:t>l </w:t>
      </w:r>
      <w:r>
        <w:rPr>
          <w:rFonts w:ascii="Calibri" w:hAnsi="Calibri"/>
          <w:color w:val="008356"/>
          <w:w w:val="110"/>
          <w:sz w:val="11"/>
        </w:rPr>
        <w:t>MAOIS</w:t>
      </w:r>
      <w:r>
        <w:rPr>
          <w:rFonts w:ascii="Arial" w:hAnsi="Arial"/>
          <w:color w:val="231F1F"/>
          <w:w w:val="110"/>
        </w:rPr>
        <w:t>—</w:t>
      </w:r>
      <w:r>
        <w:rPr>
          <w:color w:val="231F1F"/>
          <w:w w:val="110"/>
        </w:rPr>
        <w:t>some manufacturers advise avoid concomitant use and for 2 weeks after stopping MAOIs; possible increased serotonergic effects and increased risk of convulsions when tramadol given with </w:t>
      </w:r>
      <w:r>
        <w:rPr>
          <w:rFonts w:ascii="Arial" w:hAnsi="Arial"/>
          <w:color w:val="231F1F"/>
          <w:w w:val="355"/>
          <w:position w:val="1"/>
          <w:sz w:val="7"/>
        </w:rPr>
        <w:t>l </w:t>
      </w:r>
      <w:r>
        <w:rPr>
          <w:rFonts w:ascii="Calibri" w:hAnsi="Calibri"/>
          <w:color w:val="008356"/>
          <w:w w:val="110"/>
          <w:sz w:val="11"/>
        </w:rPr>
        <w:t>MAOIS</w:t>
      </w:r>
      <w:r>
        <w:rPr>
          <w:rFonts w:ascii="Arial" w:hAnsi="Arial"/>
          <w:color w:val="231F1F"/>
          <w:w w:val="110"/>
        </w:rPr>
        <w:t>—</w:t>
      </w:r>
      <w:r>
        <w:rPr>
          <w:color w:val="231F1F"/>
          <w:w w:val="110"/>
        </w:rPr>
        <w:t>some manufacturers advise avoid concomitant use and for 2 weeks after stopping MAOIs; CNS excitation or depression (hypertension or hypotension) when pethidine given with</w:t>
      </w:r>
    </w:p>
    <w:p>
      <w:pPr>
        <w:pStyle w:val="BodyText"/>
        <w:spacing w:line="247" w:lineRule="auto"/>
        <w:ind w:left="277" w:right="597"/>
      </w:pPr>
      <w:r>
        <w:rPr>
          <w:rFonts w:ascii="Arial" w:hAnsi="Arial"/>
          <w:color w:val="231F1F"/>
          <w:w w:val="355"/>
          <w:position w:val="1"/>
          <w:sz w:val="7"/>
        </w:rPr>
        <w:t>l </w:t>
      </w:r>
      <w:r>
        <w:rPr>
          <w:rFonts w:ascii="Calibri" w:hAnsi="Calibri"/>
          <w:color w:val="008356"/>
          <w:spacing w:val="2"/>
          <w:w w:val="110"/>
          <w:sz w:val="11"/>
        </w:rPr>
        <w:t>MAOIS</w:t>
      </w:r>
      <w:r>
        <w:rPr>
          <w:rFonts w:ascii="Arial" w:hAnsi="Arial"/>
          <w:color w:val="231F1F"/>
          <w:spacing w:val="2"/>
          <w:w w:val="110"/>
        </w:rPr>
        <w:t>—</w:t>
      </w:r>
      <w:r>
        <w:rPr>
          <w:color w:val="231F1F"/>
          <w:spacing w:val="2"/>
          <w:w w:val="110"/>
        </w:rPr>
        <w:t>avoid </w:t>
      </w:r>
      <w:r>
        <w:rPr>
          <w:color w:val="231F1F"/>
          <w:w w:val="110"/>
        </w:rPr>
        <w:t>concomitant use and for 2 weeks after stopping MAOIs; possible increased  serotonergic  effects when fentanyl given with </w:t>
      </w:r>
      <w:r>
        <w:rPr>
          <w:rFonts w:ascii="Calibri" w:hAnsi="Calibri"/>
          <w:color w:val="008356"/>
          <w:spacing w:val="3"/>
          <w:w w:val="110"/>
          <w:sz w:val="11"/>
        </w:rPr>
        <w:t>MAOI</w:t>
      </w:r>
      <w:r>
        <w:rPr>
          <w:rFonts w:ascii="Calibri" w:hAnsi="Calibri"/>
          <w:color w:val="008356"/>
          <w:spacing w:val="3"/>
          <w:w w:val="110"/>
          <w:sz w:val="9"/>
        </w:rPr>
        <w:t>S</w:t>
      </w:r>
      <w:r>
        <w:rPr>
          <w:color w:val="231F1F"/>
          <w:spacing w:val="3"/>
          <w:w w:val="110"/>
        </w:rPr>
        <w:t>, </w:t>
      </w:r>
      <w:r>
        <w:rPr>
          <w:rFonts w:ascii="Calibri" w:hAnsi="Calibri"/>
          <w:color w:val="008356"/>
          <w:spacing w:val="4"/>
          <w:w w:val="110"/>
          <w:sz w:val="11"/>
        </w:rPr>
        <w:t>SSRI-RELATED ANTIDEPRESSANTS </w:t>
      </w:r>
      <w:r>
        <w:rPr>
          <w:color w:val="231F1F"/>
          <w:w w:val="110"/>
        </w:rPr>
        <w:t>or </w:t>
      </w:r>
      <w:r>
        <w:rPr>
          <w:rFonts w:ascii="Calibri" w:hAnsi="Calibri"/>
          <w:color w:val="008356"/>
          <w:spacing w:val="4"/>
          <w:w w:val="110"/>
          <w:sz w:val="11"/>
        </w:rPr>
        <w:t>SSRI</w:t>
      </w:r>
      <w:r>
        <w:rPr>
          <w:rFonts w:ascii="Calibri" w:hAnsi="Calibri"/>
          <w:color w:val="008356"/>
          <w:spacing w:val="4"/>
          <w:w w:val="110"/>
          <w:sz w:val="9"/>
        </w:rPr>
        <w:t>S</w:t>
      </w:r>
      <w:r>
        <w:rPr>
          <w:color w:val="231F1F"/>
          <w:spacing w:val="4"/>
          <w:w w:val="110"/>
        </w:rPr>
        <w:t>; </w:t>
      </w:r>
      <w:r>
        <w:rPr>
          <w:color w:val="231F1F"/>
          <w:w w:val="110"/>
        </w:rPr>
        <w:t>possible CNS excitation or depression (hypertension or hypotension) when opioid analgesics given with </w:t>
      </w:r>
      <w:r>
        <w:rPr>
          <w:rFonts w:ascii="Arial" w:hAnsi="Arial"/>
          <w:color w:val="231F1F"/>
          <w:w w:val="355"/>
          <w:position w:val="1"/>
          <w:sz w:val="7"/>
        </w:rPr>
        <w:t>l </w:t>
      </w:r>
      <w:r>
        <w:rPr>
          <w:rFonts w:ascii="Calibri" w:hAnsi="Calibri"/>
          <w:color w:val="008356"/>
          <w:spacing w:val="2"/>
          <w:w w:val="110"/>
          <w:sz w:val="11"/>
        </w:rPr>
        <w:t>MOCLOBEMIDE</w:t>
      </w:r>
      <w:r>
        <w:rPr>
          <w:rFonts w:ascii="Arial" w:hAnsi="Arial"/>
          <w:color w:val="231F1F"/>
          <w:spacing w:val="2"/>
          <w:w w:val="110"/>
        </w:rPr>
        <w:t>—</w:t>
      </w:r>
      <w:r>
        <w:rPr>
          <w:color w:val="231F1F"/>
          <w:spacing w:val="2"/>
          <w:w w:val="110"/>
        </w:rPr>
        <w:t>manufacturer </w:t>
      </w:r>
      <w:r>
        <w:rPr>
          <w:color w:val="231F1F"/>
          <w:w w:val="110"/>
        </w:rPr>
        <w:t>of moclobemide advises consider reducing dose of opioid analgesics; possible CNS excitation or depression (hypertension or hypotension) when dextromethorphan or pethidine</w:t>
      </w:r>
      <w:r>
        <w:rPr>
          <w:color w:val="231F1F"/>
          <w:spacing w:val="-7"/>
          <w:w w:val="110"/>
        </w:rPr>
        <w:t> </w:t>
      </w:r>
      <w:r>
        <w:rPr>
          <w:color w:val="231F1F"/>
          <w:w w:val="110"/>
        </w:rPr>
        <w:t>given</w:t>
      </w:r>
      <w:r>
        <w:rPr>
          <w:color w:val="231F1F"/>
          <w:spacing w:val="-6"/>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MOCLOBEMIDE</w:t>
      </w:r>
      <w:r>
        <w:rPr>
          <w:rFonts w:ascii="Arial" w:hAnsi="Arial"/>
          <w:color w:val="231F1F"/>
          <w:spacing w:val="3"/>
          <w:w w:val="110"/>
        </w:rPr>
        <w:t>—</w:t>
      </w:r>
      <w:r>
        <w:rPr>
          <w:color w:val="231F1F"/>
          <w:spacing w:val="3"/>
          <w:w w:val="110"/>
        </w:rPr>
        <w:t>avoid</w:t>
      </w:r>
      <w:r>
        <w:rPr>
          <w:color w:val="231F1F"/>
          <w:spacing w:val="-7"/>
          <w:w w:val="110"/>
        </w:rPr>
        <w:t> </w:t>
      </w:r>
      <w:r>
        <w:rPr>
          <w:color w:val="231F1F"/>
          <w:w w:val="110"/>
        </w:rPr>
        <w:t>concomitant</w:t>
      </w:r>
      <w:r>
        <w:rPr>
          <w:color w:val="231F1F"/>
          <w:spacing w:val="-7"/>
          <w:w w:val="110"/>
        </w:rPr>
        <w:t> </w:t>
      </w:r>
      <w:r>
        <w:rPr>
          <w:color w:val="231F1F"/>
          <w:spacing w:val="-3"/>
          <w:w w:val="110"/>
        </w:rPr>
        <w:t>use; </w:t>
      </w:r>
      <w:r>
        <w:rPr>
          <w:color w:val="231F1F"/>
          <w:w w:val="110"/>
        </w:rPr>
        <w:t>increased risk of CNS toxicity when tramadol given</w:t>
      </w:r>
      <w:r>
        <w:rPr>
          <w:color w:val="231F1F"/>
          <w:spacing w:val="5"/>
          <w:w w:val="110"/>
        </w:rPr>
        <w:t> </w:t>
      </w:r>
      <w:r>
        <w:rPr>
          <w:color w:val="231F1F"/>
          <w:w w:val="110"/>
        </w:rPr>
        <w:t>with</w:t>
      </w:r>
    </w:p>
    <w:p>
      <w:pPr>
        <w:spacing w:line="242" w:lineRule="auto" w:before="0"/>
        <w:ind w:left="277" w:right="585" w:firstLine="0"/>
        <w:jc w:val="left"/>
        <w:rPr>
          <w:rFonts w:ascii="Calibri" w:hAnsi="Calibri"/>
          <w:sz w:val="11"/>
        </w:rPr>
      </w:pPr>
      <w:r>
        <w:rPr>
          <w:rFonts w:ascii="Arial" w:hAnsi="Arial"/>
          <w:color w:val="231F1F"/>
          <w:w w:val="355"/>
          <w:position w:val="1"/>
          <w:sz w:val="7"/>
        </w:rPr>
        <w:t>l </w:t>
      </w:r>
      <w:r>
        <w:rPr>
          <w:rFonts w:ascii="Calibri" w:hAnsi="Calibri"/>
          <w:color w:val="008356"/>
          <w:w w:val="115"/>
          <w:sz w:val="11"/>
        </w:rPr>
        <w:t>SSRIS </w:t>
      </w:r>
      <w:r>
        <w:rPr>
          <w:color w:val="231F1F"/>
          <w:w w:val="115"/>
          <w:sz w:val="12"/>
        </w:rPr>
        <w:t>or </w:t>
      </w:r>
      <w:r>
        <w:rPr>
          <w:rFonts w:ascii="Arial" w:hAnsi="Arial"/>
          <w:color w:val="231F1F"/>
          <w:w w:val="355"/>
          <w:position w:val="1"/>
          <w:sz w:val="7"/>
        </w:rPr>
        <w:t>l </w:t>
      </w:r>
      <w:r>
        <w:rPr>
          <w:rFonts w:ascii="Calibri" w:hAnsi="Calibri"/>
          <w:color w:val="008356"/>
          <w:w w:val="115"/>
          <w:sz w:val="11"/>
        </w:rPr>
        <w:t>TRICYCLICS</w:t>
      </w:r>
      <w:r>
        <w:rPr>
          <w:color w:val="231F1F"/>
          <w:w w:val="115"/>
          <w:sz w:val="12"/>
        </w:rPr>
        <w:t>; plasma concentration of methadone </w:t>
      </w:r>
      <w:r>
        <w:rPr>
          <w:color w:val="231F1F"/>
          <w:w w:val="110"/>
          <w:sz w:val="12"/>
        </w:rPr>
        <w:t>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color w:val="231F1F"/>
          <w:w w:val="110"/>
          <w:sz w:val="12"/>
        </w:rPr>
        <w:t>; sedative effects possibly </w:t>
      </w:r>
      <w:r>
        <w:rPr>
          <w:color w:val="231F1F"/>
          <w:w w:val="115"/>
          <w:sz w:val="12"/>
        </w:rPr>
        <w:t>increased when opioid analgesics given with </w:t>
      </w:r>
      <w:r>
        <w:rPr>
          <w:rFonts w:ascii="Calibri" w:hAnsi="Calibri"/>
          <w:color w:val="008356"/>
          <w:w w:val="115"/>
          <w:sz w:val="11"/>
        </w:rPr>
        <w:t>TRICYCLICS</w:t>
      </w:r>
    </w:p>
    <w:p>
      <w:pPr>
        <w:spacing w:line="244" w:lineRule="auto" w:before="0"/>
        <w:ind w:left="277" w:right="577"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effects of tramadol reduced by </w:t>
      </w:r>
      <w:r>
        <w:rPr>
          <w:rFonts w:ascii="Calibri"/>
          <w:color w:val="008356"/>
          <w:w w:val="110"/>
          <w:sz w:val="11"/>
        </w:rPr>
        <w:t>CARBAMAZEPINE</w:t>
      </w:r>
      <w:r>
        <w:rPr>
          <w:color w:val="231F1F"/>
          <w:w w:val="110"/>
          <w:sz w:val="12"/>
        </w:rPr>
        <w:t>; plasma concentration of methadone reduced by </w:t>
      </w:r>
      <w:r>
        <w:rPr>
          <w:rFonts w:ascii="Calibri"/>
          <w:color w:val="008356"/>
          <w:w w:val="105"/>
          <w:sz w:val="11"/>
        </w:rPr>
        <w:t>CARBAMAZEPINE</w:t>
      </w:r>
      <w:r>
        <w:rPr>
          <w:color w:val="231F1F"/>
          <w:w w:val="105"/>
          <w:sz w:val="12"/>
        </w:rPr>
        <w:t>, </w:t>
      </w:r>
      <w:r>
        <w:rPr>
          <w:rFonts w:ascii="Calibri"/>
          <w:color w:val="008356"/>
          <w:w w:val="105"/>
          <w:sz w:val="11"/>
        </w:rPr>
        <w:t>PHENOBARBITAL </w:t>
      </w:r>
      <w:r>
        <w:rPr>
          <w:color w:val="231F1F"/>
          <w:w w:val="105"/>
          <w:sz w:val="12"/>
        </w:rPr>
        <w:t>and </w:t>
      </w:r>
      <w:r>
        <w:rPr>
          <w:rFonts w:ascii="Calibri"/>
          <w:color w:val="008356"/>
          <w:w w:val="105"/>
          <w:sz w:val="11"/>
        </w:rPr>
        <w:t>PRIMIDONE</w:t>
      </w:r>
      <w:r>
        <w:rPr>
          <w:color w:val="231F1F"/>
          <w:w w:val="105"/>
          <w:sz w:val="12"/>
        </w:rPr>
        <w:t>; metabolism</w:t>
      </w:r>
    </w:p>
    <w:p>
      <w:pPr>
        <w:spacing w:line="244" w:lineRule="auto" w:before="0"/>
        <w:ind w:left="277" w:right="677" w:firstLine="0"/>
        <w:jc w:val="left"/>
        <w:rPr>
          <w:rFonts w:ascii="Calibri"/>
          <w:sz w:val="11"/>
        </w:rPr>
      </w:pPr>
      <w:r>
        <w:rPr>
          <w:color w:val="231F1F"/>
          <w:w w:val="110"/>
          <w:sz w:val="12"/>
        </w:rPr>
        <w:t>of fentanyl possibly accelerated by </w:t>
      </w:r>
      <w:r>
        <w:rPr>
          <w:rFonts w:ascii="Calibri"/>
          <w:color w:val="008356"/>
          <w:spacing w:val="4"/>
          <w:w w:val="110"/>
          <w:sz w:val="11"/>
        </w:rPr>
        <w:t>CARBAMAZEPINE</w:t>
      </w:r>
      <w:r>
        <w:rPr>
          <w:color w:val="231F1F"/>
          <w:spacing w:val="4"/>
          <w:w w:val="110"/>
          <w:sz w:val="12"/>
        </w:rPr>
        <w:t>,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 </w:t>
      </w:r>
      <w:r>
        <w:rPr>
          <w:color w:val="231F1F"/>
          <w:w w:val="110"/>
          <w:sz w:val="12"/>
        </w:rPr>
        <w:t>(reduced effect); dextropropoxyphene enhances effects of </w:t>
      </w:r>
      <w:r>
        <w:rPr>
          <w:rFonts w:ascii="Arial"/>
          <w:color w:val="231F1F"/>
          <w:w w:val="355"/>
          <w:position w:val="1"/>
          <w:sz w:val="7"/>
        </w:rPr>
        <w:t>l </w:t>
      </w:r>
      <w:r>
        <w:rPr>
          <w:rFonts w:ascii="Calibri"/>
          <w:color w:val="008356"/>
          <w:spacing w:val="4"/>
          <w:w w:val="110"/>
          <w:sz w:val="11"/>
        </w:rPr>
        <w:t>CARBAMAZEPINE</w:t>
      </w:r>
      <w:r>
        <w:rPr>
          <w:color w:val="231F1F"/>
          <w:spacing w:val="4"/>
          <w:w w:val="110"/>
          <w:sz w:val="12"/>
        </w:rPr>
        <w:t>; </w:t>
      </w:r>
      <w:r>
        <w:rPr>
          <w:color w:val="231F1F"/>
          <w:w w:val="110"/>
          <w:sz w:val="12"/>
        </w:rPr>
        <w:t>metabolism of methadone accelerated by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 </w:t>
      </w:r>
      <w:r>
        <w:rPr>
          <w:color w:val="231F1F"/>
          <w:w w:val="110"/>
          <w:sz w:val="12"/>
        </w:rPr>
        <w:t>(reduced effect and risk of withdrawal effects); possible increased risk of pethidine toxicity when given </w:t>
      </w:r>
      <w:r>
        <w:rPr>
          <w:color w:val="231F1F"/>
          <w:spacing w:val="-4"/>
          <w:w w:val="110"/>
          <w:sz w:val="12"/>
        </w:rPr>
        <w:t>with  </w:t>
      </w:r>
      <w:r>
        <w:rPr>
          <w:rFonts w:ascii="Arial"/>
          <w:color w:val="231F1F"/>
          <w:w w:val="355"/>
          <w:position w:val="1"/>
          <w:sz w:val="7"/>
        </w:rPr>
        <w:t>l </w:t>
      </w:r>
      <w:r>
        <w:rPr>
          <w:rFonts w:ascii="Calibri"/>
          <w:color w:val="008356"/>
          <w:spacing w:val="4"/>
          <w:w w:val="110"/>
          <w:sz w:val="11"/>
        </w:rPr>
        <w:t>FOSPHENYTOIN </w:t>
      </w:r>
      <w:r>
        <w:rPr>
          <w:color w:val="231F1F"/>
          <w:w w:val="110"/>
          <w:sz w:val="12"/>
        </w:rPr>
        <w:t>and </w:t>
      </w:r>
      <w:r>
        <w:rPr>
          <w:rFonts w:ascii="Arial"/>
          <w:color w:val="231F1F"/>
          <w:w w:val="355"/>
          <w:position w:val="1"/>
          <w:sz w:val="7"/>
        </w:rPr>
        <w:t>l </w:t>
      </w:r>
      <w:r>
        <w:rPr>
          <w:rFonts w:ascii="Calibri"/>
          <w:color w:val="008356"/>
          <w:spacing w:val="4"/>
          <w:w w:val="110"/>
          <w:sz w:val="11"/>
        </w:rPr>
        <w:t>PHENYTOIN</w:t>
      </w:r>
      <w:r>
        <w:rPr>
          <w:color w:val="231F1F"/>
          <w:spacing w:val="4"/>
          <w:w w:val="110"/>
          <w:sz w:val="12"/>
        </w:rPr>
        <w:t>; </w:t>
      </w:r>
      <w:r>
        <w:rPr>
          <w:color w:val="231F1F"/>
          <w:w w:val="110"/>
          <w:sz w:val="12"/>
        </w:rPr>
        <w:t>morphine increases bioavailability of</w:t>
      </w:r>
      <w:r>
        <w:rPr>
          <w:color w:val="231F1F"/>
          <w:spacing w:val="-7"/>
          <w:w w:val="110"/>
          <w:sz w:val="12"/>
        </w:rPr>
        <w:t> </w:t>
      </w:r>
      <w:r>
        <w:rPr>
          <w:rFonts w:ascii="Calibri"/>
          <w:color w:val="008356"/>
          <w:spacing w:val="5"/>
          <w:w w:val="110"/>
          <w:sz w:val="11"/>
        </w:rPr>
        <w:t>GABAPENTIN</w:t>
      </w:r>
    </w:p>
    <w:p>
      <w:pPr>
        <w:pStyle w:val="BodyText"/>
        <w:spacing w:line="138" w:lineRule="exact"/>
        <w:ind w:left="177"/>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Antifungals: </w:t>
      </w:r>
      <w:r>
        <w:rPr>
          <w:color w:val="231F1F"/>
          <w:w w:val="115"/>
        </w:rPr>
        <w:t>metabolism of buprenorphine inhibited by</w:t>
      </w:r>
    </w:p>
    <w:p>
      <w:pPr>
        <w:pStyle w:val="BodyText"/>
        <w:spacing w:line="244" w:lineRule="auto"/>
        <w:ind w:left="277" w:right="716"/>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KETOCONAZOLE</w:t>
      </w:r>
      <w:r>
        <w:rPr>
          <w:rFonts w:ascii="Calibri" w:hAnsi="Calibri"/>
          <w:color w:val="008356"/>
          <w:spacing w:val="-8"/>
          <w:w w:val="115"/>
          <w:sz w:val="11"/>
        </w:rPr>
        <w:t> </w:t>
      </w:r>
      <w:r>
        <w:rPr>
          <w:color w:val="231F1F"/>
          <w:w w:val="115"/>
        </w:rPr>
        <w:t>(reduce</w:t>
      </w:r>
      <w:r>
        <w:rPr>
          <w:color w:val="231F1F"/>
          <w:spacing w:val="-18"/>
          <w:w w:val="115"/>
        </w:rPr>
        <w:t> </w:t>
      </w:r>
      <w:r>
        <w:rPr>
          <w:color w:val="231F1F"/>
          <w:w w:val="115"/>
        </w:rPr>
        <w:t>dose</w:t>
      </w:r>
      <w:r>
        <w:rPr>
          <w:color w:val="231F1F"/>
          <w:spacing w:val="-17"/>
          <w:w w:val="115"/>
        </w:rPr>
        <w:t> </w:t>
      </w:r>
      <w:r>
        <w:rPr>
          <w:color w:val="231F1F"/>
          <w:w w:val="115"/>
        </w:rPr>
        <w:t>of</w:t>
      </w:r>
      <w:r>
        <w:rPr>
          <w:color w:val="231F1F"/>
          <w:spacing w:val="-17"/>
          <w:w w:val="115"/>
        </w:rPr>
        <w:t> </w:t>
      </w:r>
      <w:r>
        <w:rPr>
          <w:color w:val="231F1F"/>
          <w:w w:val="115"/>
        </w:rPr>
        <w:t>buprenorphine);</w:t>
      </w:r>
      <w:r>
        <w:rPr>
          <w:color w:val="231F1F"/>
          <w:spacing w:val="-17"/>
          <w:w w:val="115"/>
        </w:rPr>
        <w:t> </w:t>
      </w:r>
      <w:r>
        <w:rPr>
          <w:color w:val="231F1F"/>
          <w:w w:val="115"/>
        </w:rPr>
        <w:t>possible increased risk of ventricular arrhythmias when methadone </w:t>
      </w:r>
      <w:r>
        <w:rPr>
          <w:color w:val="231F1F"/>
          <w:w w:val="110"/>
        </w:rPr>
        <w:t>given with </w:t>
      </w:r>
      <w:r>
        <w:rPr>
          <w:rFonts w:ascii="Arial" w:hAnsi="Arial"/>
          <w:color w:val="231F1F"/>
          <w:w w:val="110"/>
          <w:position w:val="1"/>
          <w:sz w:val="7"/>
        </w:rPr>
        <w:t>l </w:t>
      </w:r>
      <w:r>
        <w:rPr>
          <w:rFonts w:ascii="Calibri" w:hAnsi="Calibri"/>
          <w:color w:val="008356"/>
          <w:spacing w:val="2"/>
          <w:w w:val="110"/>
          <w:sz w:val="11"/>
        </w:rPr>
        <w:t>KETOCONAZOLE</w:t>
      </w:r>
      <w:r>
        <w:rPr>
          <w:rFonts w:ascii="Arial" w:hAnsi="Arial"/>
          <w:color w:val="231F1F"/>
          <w:spacing w:val="2"/>
          <w:w w:val="110"/>
        </w:rPr>
        <w:t>—</w:t>
      </w:r>
      <w:r>
        <w:rPr>
          <w:color w:val="231F1F"/>
          <w:spacing w:val="2"/>
          <w:w w:val="110"/>
        </w:rPr>
        <w:t>manufacturer </w:t>
      </w:r>
      <w:r>
        <w:rPr>
          <w:color w:val="231F1F"/>
          <w:w w:val="110"/>
        </w:rPr>
        <w:t>of ketoconazole </w:t>
      </w:r>
      <w:r>
        <w:rPr>
          <w:color w:val="231F1F"/>
          <w:w w:val="115"/>
        </w:rPr>
        <w:t>advises avoid concomitant use; plasma concentration of </w:t>
      </w:r>
      <w:r>
        <w:rPr>
          <w:color w:val="231F1F"/>
          <w:w w:val="110"/>
        </w:rPr>
        <w:t>oxycodone</w:t>
      </w:r>
      <w:r>
        <w:rPr>
          <w:color w:val="231F1F"/>
          <w:spacing w:val="-17"/>
          <w:w w:val="110"/>
        </w:rPr>
        <w:t> </w:t>
      </w:r>
      <w:r>
        <w:rPr>
          <w:color w:val="231F1F"/>
          <w:w w:val="110"/>
        </w:rPr>
        <w:t>increased</w:t>
      </w:r>
      <w:r>
        <w:rPr>
          <w:color w:val="231F1F"/>
          <w:spacing w:val="-18"/>
          <w:w w:val="110"/>
        </w:rPr>
        <w:t> </w:t>
      </w:r>
      <w:r>
        <w:rPr>
          <w:color w:val="231F1F"/>
          <w:w w:val="110"/>
        </w:rPr>
        <w:t>by</w:t>
      </w:r>
      <w:r>
        <w:rPr>
          <w:color w:val="231F1F"/>
          <w:spacing w:val="-16"/>
          <w:w w:val="110"/>
        </w:rPr>
        <w:t> </w:t>
      </w:r>
      <w:r>
        <w:rPr>
          <w:rFonts w:ascii="Calibri" w:hAnsi="Calibri"/>
          <w:color w:val="008356"/>
          <w:spacing w:val="4"/>
          <w:w w:val="110"/>
          <w:sz w:val="11"/>
        </w:rPr>
        <w:t>ITRACONAZOLE</w:t>
      </w:r>
      <w:r>
        <w:rPr>
          <w:color w:val="231F1F"/>
          <w:spacing w:val="4"/>
          <w:w w:val="110"/>
        </w:rPr>
        <w:t>,</w:t>
      </w:r>
      <w:r>
        <w:rPr>
          <w:color w:val="231F1F"/>
          <w:spacing w:val="-17"/>
          <w:w w:val="110"/>
        </w:rPr>
        <w:t> </w:t>
      </w:r>
      <w:r>
        <w:rPr>
          <w:rFonts w:ascii="Calibri" w:hAnsi="Calibri"/>
          <w:color w:val="008356"/>
          <w:spacing w:val="4"/>
          <w:w w:val="110"/>
          <w:sz w:val="11"/>
        </w:rPr>
        <w:t>KETOCONAZOLE</w:t>
      </w:r>
      <w:r>
        <w:rPr>
          <w:rFonts w:ascii="Calibri" w:hAnsi="Calibri"/>
          <w:color w:val="008356"/>
          <w:spacing w:val="-7"/>
          <w:w w:val="110"/>
          <w:sz w:val="11"/>
        </w:rPr>
        <w:t> </w:t>
      </w:r>
      <w:r>
        <w:rPr>
          <w:color w:val="231F1F"/>
          <w:w w:val="110"/>
        </w:rPr>
        <w:t>and</w:t>
      </w:r>
      <w:r>
        <w:rPr>
          <w:color w:val="231F1F"/>
          <w:w w:val="110"/>
          <w:position w:val="1"/>
        </w:rPr>
        <w:t> </w:t>
      </w:r>
      <w:r>
        <w:rPr>
          <w:rFonts w:ascii="Arial" w:hAnsi="Arial"/>
          <w:color w:val="231F1F"/>
          <w:w w:val="355"/>
          <w:position w:val="1"/>
          <w:sz w:val="7"/>
        </w:rPr>
        <w:t>l </w:t>
      </w:r>
      <w:r>
        <w:rPr>
          <w:rFonts w:ascii="Calibri" w:hAnsi="Calibri"/>
          <w:color w:val="008356"/>
          <w:spacing w:val="4"/>
          <w:w w:val="115"/>
          <w:sz w:val="11"/>
        </w:rPr>
        <w:t>VORICONAZOLE</w:t>
      </w:r>
      <w:r>
        <w:rPr>
          <w:color w:val="231F1F"/>
          <w:spacing w:val="4"/>
          <w:w w:val="115"/>
        </w:rPr>
        <w:t>; </w:t>
      </w:r>
      <w:r>
        <w:rPr>
          <w:color w:val="231F1F"/>
          <w:w w:val="115"/>
        </w:rPr>
        <w:t>metabolism of alfentanil inhibited by </w:t>
      </w:r>
      <w:r>
        <w:rPr>
          <w:rFonts w:ascii="Calibri" w:hAnsi="Calibri"/>
          <w:color w:val="008356"/>
          <w:spacing w:val="4"/>
          <w:w w:val="115"/>
          <w:sz w:val="11"/>
        </w:rPr>
        <w:t>FLUCONAZOLE </w:t>
      </w:r>
      <w:r>
        <w:rPr>
          <w:color w:val="231F1F"/>
          <w:w w:val="115"/>
        </w:rPr>
        <w:t>(risk of prolonged or delayed respiratory depression); plasma concentration of methadone</w:t>
      </w:r>
      <w:r>
        <w:rPr>
          <w:color w:val="231F1F"/>
          <w:spacing w:val="-24"/>
          <w:w w:val="115"/>
        </w:rPr>
        <w:t> </w:t>
      </w:r>
      <w:r>
        <w:rPr>
          <w:color w:val="231F1F"/>
          <w:w w:val="115"/>
        </w:rPr>
        <w:t>increased</w:t>
      </w:r>
    </w:p>
    <w:p>
      <w:pPr>
        <w:spacing w:line="244" w:lineRule="auto" w:before="0"/>
        <w:ind w:left="277" w:right="649" w:hanging="1"/>
        <w:jc w:val="left"/>
        <w:rPr>
          <w:sz w:val="12"/>
        </w:rPr>
      </w:pPr>
      <w:r>
        <w:rPr>
          <w:color w:val="231F1F"/>
          <w:w w:val="110"/>
          <w:sz w:val="12"/>
        </w:rPr>
        <w:t>by </w:t>
      </w:r>
      <w:r>
        <w:rPr>
          <w:rFonts w:ascii="Calibri"/>
          <w:color w:val="008356"/>
          <w:w w:val="110"/>
          <w:sz w:val="11"/>
        </w:rPr>
        <w:t>FLUCONAZOLE</w:t>
      </w:r>
      <w:r>
        <w:rPr>
          <w:color w:val="231F1F"/>
          <w:w w:val="110"/>
          <w:sz w:val="12"/>
        </w:rPr>
        <w:t>; metabolism of alfentanil possibly inhibited by </w:t>
      </w:r>
      <w:r>
        <w:rPr>
          <w:rFonts w:ascii="Calibri"/>
          <w:color w:val="008356"/>
          <w:w w:val="110"/>
          <w:sz w:val="11"/>
        </w:rPr>
        <w:t>ITRACONAZOLE</w:t>
      </w:r>
      <w:r>
        <w:rPr>
          <w:color w:val="231F1F"/>
          <w:w w:val="110"/>
          <w:sz w:val="12"/>
        </w:rPr>
        <w:t>; plasma concentration of methadone</w:t>
      </w:r>
    </w:p>
    <w:p>
      <w:pPr>
        <w:spacing w:after="0" w:line="244" w:lineRule="auto"/>
        <w:jc w:val="left"/>
        <w:rPr>
          <w:sz w:val="12"/>
        </w:rPr>
        <w:sectPr>
          <w:headerReference w:type="even" r:id="rId40"/>
          <w:headerReference w:type="default" r:id="rId41"/>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Opioid Analgesics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0"/>
        </w:rPr>
        <w:t>Antifungals (continued)</w:t>
      </w:r>
    </w:p>
    <w:p>
      <w:pPr>
        <w:pStyle w:val="BodyText"/>
        <w:spacing w:line="247" w:lineRule="auto"/>
        <w:ind w:right="164"/>
        <w:rPr>
          <w:rFonts w:ascii="Calibri"/>
          <w:sz w:val="11"/>
        </w:rPr>
      </w:pPr>
      <w:r>
        <w:rPr>
          <w:color w:val="231F1F"/>
          <w:w w:val="110"/>
        </w:rPr>
        <w:t>possibly increased by </w:t>
      </w:r>
      <w:r>
        <w:rPr>
          <w:rFonts w:ascii="Arial"/>
          <w:color w:val="231F1F"/>
          <w:w w:val="355"/>
          <w:position w:val="1"/>
          <w:sz w:val="7"/>
        </w:rPr>
        <w:t>l </w:t>
      </w:r>
      <w:r>
        <w:rPr>
          <w:rFonts w:ascii="Calibri"/>
          <w:color w:val="008356"/>
          <w:w w:val="110"/>
          <w:sz w:val="11"/>
        </w:rPr>
        <w:t>ITRACONAZOLE </w:t>
      </w:r>
      <w:r>
        <w:rPr>
          <w:color w:val="231F1F"/>
          <w:w w:val="110"/>
        </w:rPr>
        <w:t>(increased risk of ventricular arrhythmias); plasma concentration of alfentanil and methadone increased by </w:t>
      </w:r>
      <w:r>
        <w:rPr>
          <w:rFonts w:ascii="Arial"/>
          <w:color w:val="231F1F"/>
          <w:w w:val="355"/>
          <w:position w:val="1"/>
          <w:sz w:val="7"/>
        </w:rPr>
        <w:t>l </w:t>
      </w:r>
      <w:r>
        <w:rPr>
          <w:rFonts w:ascii="Calibri"/>
          <w:color w:val="008356"/>
          <w:w w:val="110"/>
          <w:sz w:val="11"/>
        </w:rPr>
        <w:t>VORICONAZOLE </w:t>
      </w:r>
      <w:r>
        <w:rPr>
          <w:color w:val="231F1F"/>
          <w:w w:val="110"/>
        </w:rPr>
        <w:t>(consider reducing dose of alfentanil and methadone); plasma concentration of fentanyl possibly increased by </w:t>
      </w:r>
      <w:r>
        <w:rPr>
          <w:rFonts w:ascii="Arial"/>
          <w:color w:val="231F1F"/>
          <w:w w:val="355"/>
          <w:position w:val="1"/>
          <w:sz w:val="7"/>
        </w:rPr>
        <w:t>l </w:t>
      </w:r>
      <w:r>
        <w:rPr>
          <w:rFonts w:ascii="Calibri"/>
          <w:color w:val="008356"/>
          <w:w w:val="110"/>
          <w:sz w:val="11"/>
        </w:rPr>
        <w:t>TRIAZOLES</w:t>
      </w:r>
    </w:p>
    <w:p>
      <w:pPr>
        <w:pStyle w:val="BodyText"/>
        <w:spacing w:line="138" w:lineRule="exact"/>
        <w:ind w:left="108"/>
      </w:pPr>
      <w:r>
        <w:rPr>
          <w:rFonts w:ascii="Arial"/>
          <w:color w:val="231F1F"/>
          <w:w w:val="355"/>
          <w:position w:val="1"/>
          <w:sz w:val="7"/>
        </w:rPr>
        <w:t>l</w:t>
      </w:r>
      <w:r>
        <w:rPr>
          <w:rFonts w:ascii="Arial"/>
          <w:color w:val="231F1F"/>
          <w:spacing w:val="-40"/>
          <w:w w:val="355"/>
          <w:position w:val="1"/>
          <w:sz w:val="7"/>
        </w:rPr>
        <w:t> </w:t>
      </w:r>
      <w:r>
        <w:rPr>
          <w:rFonts w:ascii="Calibri"/>
          <w:color w:val="231F1F"/>
          <w:w w:val="110"/>
        </w:rPr>
        <w:t>Antihistamines: </w:t>
      </w:r>
      <w:r>
        <w:rPr>
          <w:color w:val="231F1F"/>
          <w:w w:val="110"/>
        </w:rPr>
        <w:t>sedative effects possibly increased when</w:t>
      </w:r>
    </w:p>
    <w:p>
      <w:pPr>
        <w:spacing w:line="140" w:lineRule="exact" w:before="0"/>
        <w:ind w:left="208" w:right="0" w:firstLine="0"/>
        <w:jc w:val="left"/>
        <w:rPr>
          <w:rFonts w:ascii="Calibri"/>
          <w:sz w:val="11"/>
        </w:rPr>
      </w:pPr>
      <w:r>
        <w:rPr>
          <w:color w:val="231F1F"/>
          <w:w w:val="110"/>
          <w:sz w:val="12"/>
        </w:rPr>
        <w:t>opioid</w:t>
      </w:r>
      <w:r>
        <w:rPr>
          <w:color w:val="231F1F"/>
          <w:spacing w:val="-20"/>
          <w:w w:val="110"/>
          <w:sz w:val="12"/>
        </w:rPr>
        <w:t> </w:t>
      </w:r>
      <w:r>
        <w:rPr>
          <w:color w:val="231F1F"/>
          <w:w w:val="110"/>
          <w:sz w:val="12"/>
        </w:rPr>
        <w:t>analgesics</w:t>
      </w:r>
      <w:r>
        <w:rPr>
          <w:color w:val="231F1F"/>
          <w:spacing w:val="-18"/>
          <w:w w:val="110"/>
          <w:sz w:val="12"/>
        </w:rPr>
        <w:t> </w:t>
      </w:r>
      <w:r>
        <w:rPr>
          <w:color w:val="231F1F"/>
          <w:w w:val="110"/>
          <w:sz w:val="12"/>
        </w:rPr>
        <w:t>given</w:t>
      </w:r>
      <w:r>
        <w:rPr>
          <w:color w:val="231F1F"/>
          <w:spacing w:val="-20"/>
          <w:w w:val="110"/>
          <w:sz w:val="12"/>
        </w:rPr>
        <w:t> </w:t>
      </w:r>
      <w:r>
        <w:rPr>
          <w:color w:val="231F1F"/>
          <w:w w:val="110"/>
          <w:sz w:val="12"/>
        </w:rPr>
        <w:t>with</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10"/>
          <w:sz w:val="11"/>
        </w:rPr>
        <w:t>SEDATING</w:t>
      </w:r>
      <w:r>
        <w:rPr>
          <w:rFonts w:ascii="Calibri"/>
          <w:color w:val="008356"/>
          <w:spacing w:val="-12"/>
          <w:w w:val="110"/>
          <w:sz w:val="11"/>
        </w:rPr>
        <w:t> </w:t>
      </w:r>
      <w:r>
        <w:rPr>
          <w:rFonts w:ascii="Calibri"/>
          <w:color w:val="008356"/>
          <w:spacing w:val="4"/>
          <w:w w:val="110"/>
          <w:sz w:val="11"/>
        </w:rPr>
        <w:t>ANTIHISTAMINES</w:t>
      </w:r>
    </w:p>
    <w:p>
      <w:pPr>
        <w:spacing w:line="240" w:lineRule="auto" w:before="0"/>
        <w:ind w:left="208" w:right="90"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methadone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ARTENIMOL</w:t>
      </w:r>
      <w:r>
        <w:rPr>
          <w:rFonts w:ascii="Calibri"/>
          <w:color w:val="008356"/>
          <w:spacing w:val="-15"/>
          <w:w w:val="110"/>
          <w:sz w:val="11"/>
        </w:rPr>
        <w:t> </w:t>
      </w:r>
      <w:r>
        <w:rPr>
          <w:rFonts w:ascii="Calibri"/>
          <w:color w:val="008356"/>
          <w:spacing w:val="4"/>
          <w:w w:val="110"/>
          <w:sz w:val="11"/>
        </w:rPr>
        <w:t>WITH</w:t>
      </w:r>
      <w:r>
        <w:rPr>
          <w:rFonts w:ascii="Calibri"/>
          <w:color w:val="008356"/>
          <w:spacing w:val="-12"/>
          <w:w w:val="110"/>
          <w:sz w:val="11"/>
        </w:rPr>
        <w:t> </w:t>
      </w:r>
      <w:r>
        <w:rPr>
          <w:rFonts w:ascii="Calibri"/>
          <w:color w:val="008356"/>
          <w:spacing w:val="4"/>
          <w:w w:val="110"/>
          <w:sz w:val="11"/>
        </w:rPr>
        <w:t>PIPERAQUINE</w:t>
      </w:r>
      <w:r>
        <w:rPr>
          <w:rFonts w:ascii="Calibri"/>
          <w:color w:val="008356"/>
          <w:spacing w:val="-11"/>
          <w:w w:val="110"/>
          <w:sz w:val="11"/>
        </w:rPr>
        <w:t> </w:t>
      </w:r>
      <w:r>
        <w:rPr>
          <w:color w:val="231F1F"/>
          <w:w w:val="110"/>
          <w:sz w:val="12"/>
        </w:rPr>
        <w:t>(possible</w:t>
      </w:r>
      <w:r>
        <w:rPr>
          <w:color w:val="231F1F"/>
          <w:spacing w:val="-18"/>
          <w:w w:val="110"/>
          <w:sz w:val="12"/>
        </w:rPr>
        <w:t> </w:t>
      </w:r>
      <w:r>
        <w:rPr>
          <w:color w:val="231F1F"/>
          <w:w w:val="110"/>
          <w:sz w:val="12"/>
        </w:rPr>
        <w:t>risk of ventricular</w:t>
      </w:r>
      <w:r>
        <w:rPr>
          <w:color w:val="231F1F"/>
          <w:spacing w:val="-4"/>
          <w:w w:val="110"/>
          <w:sz w:val="12"/>
        </w:rPr>
        <w:t> </w:t>
      </w:r>
      <w:r>
        <w:rPr>
          <w:color w:val="231F1F"/>
          <w:w w:val="110"/>
          <w:sz w:val="12"/>
        </w:rPr>
        <w:t>arrhythmias)</w:t>
      </w:r>
    </w:p>
    <w:p>
      <w:pPr>
        <w:pStyle w:val="BodyText"/>
        <w:spacing w:line="220" w:lineRule="auto" w:before="8"/>
        <w:ind w:right="29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Antimuscarinics: </w:t>
      </w:r>
      <w:r>
        <w:rPr>
          <w:color w:val="231F1F"/>
          <w:w w:val="110"/>
        </w:rPr>
        <w:t>possible increased risk of antimuscarinic side-effects when codeine given with </w:t>
      </w:r>
      <w:r>
        <w:rPr>
          <w:rFonts w:ascii="Calibri" w:hAnsi="Calibri"/>
          <w:color w:val="008356"/>
          <w:w w:val="110"/>
          <w:sz w:val="11"/>
        </w:rPr>
        <w:t>ANTIMUSCARINICS</w:t>
      </w:r>
    </w:p>
    <w:p>
      <w:pPr>
        <w:pStyle w:val="BodyText"/>
        <w:spacing w:line="244" w:lineRule="auto" w:before="1"/>
        <w:ind w:right="80" w:hanging="100"/>
      </w:pPr>
      <w:r>
        <w:rPr>
          <w:rFonts w:ascii="Arial" w:hAnsi="Arial"/>
          <w:color w:val="231F1F"/>
          <w:w w:val="355"/>
          <w:position w:val="1"/>
          <w:sz w:val="7"/>
        </w:rPr>
        <w:t>l </w:t>
      </w:r>
      <w:r>
        <w:rPr>
          <w:rFonts w:ascii="Calibri" w:hAnsi="Calibri"/>
          <w:color w:val="231F1F"/>
          <w:w w:val="110"/>
        </w:rPr>
        <w:t>Antipsychotics: </w:t>
      </w:r>
      <w:r>
        <w:rPr>
          <w:color w:val="231F1F"/>
          <w:w w:val="110"/>
        </w:rPr>
        <w:t>enhanced hypotensive and sedative effects when</w:t>
      </w:r>
      <w:r>
        <w:rPr>
          <w:color w:val="231F1F"/>
          <w:spacing w:val="-5"/>
          <w:w w:val="110"/>
        </w:rPr>
        <w:t> </w:t>
      </w:r>
      <w:r>
        <w:rPr>
          <w:color w:val="231F1F"/>
          <w:w w:val="110"/>
        </w:rPr>
        <w:t>opioid</w:t>
      </w:r>
      <w:r>
        <w:rPr>
          <w:color w:val="231F1F"/>
          <w:spacing w:val="-5"/>
          <w:w w:val="110"/>
        </w:rPr>
        <w:t> </w:t>
      </w:r>
      <w:r>
        <w:rPr>
          <w:color w:val="231F1F"/>
          <w:w w:val="110"/>
        </w:rPr>
        <w:t>analgesics</w:t>
      </w:r>
      <w:r>
        <w:rPr>
          <w:color w:val="231F1F"/>
          <w:spacing w:val="-5"/>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Calibri" w:hAnsi="Calibri"/>
          <w:color w:val="008356"/>
          <w:spacing w:val="4"/>
          <w:w w:val="110"/>
          <w:sz w:val="11"/>
        </w:rPr>
        <w:t>ANTIPSYCHOTICS</w:t>
      </w:r>
      <w:r>
        <w:rPr>
          <w:color w:val="231F1F"/>
          <w:spacing w:val="4"/>
          <w:w w:val="110"/>
        </w:rPr>
        <w:t>;</w:t>
      </w:r>
      <w:r>
        <w:rPr>
          <w:color w:val="231F1F"/>
          <w:spacing w:val="-3"/>
          <w:w w:val="110"/>
        </w:rPr>
        <w:t> </w:t>
      </w:r>
      <w:r>
        <w:rPr>
          <w:color w:val="231F1F"/>
          <w:w w:val="110"/>
        </w:rPr>
        <w:t>increased risk of  ventricular arrhythmias when methadone given with </w:t>
      </w:r>
      <w:r>
        <w:rPr>
          <w:color w:val="231F1F"/>
          <w:w w:val="110"/>
          <w:position w:val="1"/>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ANTIPSYCHOTICS</w:t>
      </w:r>
      <w:r>
        <w:rPr>
          <w:rFonts w:ascii="Calibri" w:hAnsi="Calibri"/>
          <w:color w:val="008356"/>
          <w:spacing w:val="2"/>
          <w:w w:val="110"/>
          <w:sz w:val="11"/>
        </w:rPr>
        <w:t> </w:t>
      </w:r>
      <w:r>
        <w:rPr>
          <w:color w:val="231F1F"/>
          <w:w w:val="130"/>
        </w:rPr>
        <w:t>that</w:t>
      </w:r>
      <w:r>
        <w:rPr>
          <w:color w:val="231F1F"/>
          <w:spacing w:val="-14"/>
          <w:w w:val="130"/>
        </w:rPr>
        <w:t> </w:t>
      </w:r>
      <w:r>
        <w:rPr>
          <w:color w:val="231F1F"/>
          <w:w w:val="110"/>
        </w:rPr>
        <w:t>prolong</w:t>
      </w:r>
      <w:r>
        <w:rPr>
          <w:color w:val="231F1F"/>
          <w:spacing w:val="-7"/>
          <w:w w:val="110"/>
        </w:rPr>
        <w:t> </w:t>
      </w:r>
      <w:r>
        <w:rPr>
          <w:color w:val="231F1F"/>
          <w:w w:val="130"/>
        </w:rPr>
        <w:t>the</w:t>
      </w:r>
      <w:r>
        <w:rPr>
          <w:color w:val="231F1F"/>
          <w:spacing w:val="-13"/>
          <w:w w:val="130"/>
        </w:rPr>
        <w:t> </w:t>
      </w:r>
      <w:r>
        <w:rPr>
          <w:color w:val="231F1F"/>
          <w:w w:val="110"/>
        </w:rPr>
        <w:t>QT</w:t>
      </w:r>
      <w:r>
        <w:rPr>
          <w:color w:val="231F1F"/>
          <w:spacing w:val="-8"/>
          <w:w w:val="110"/>
        </w:rPr>
        <w:t> </w:t>
      </w:r>
      <w:r>
        <w:rPr>
          <w:color w:val="231F1F"/>
          <w:w w:val="110"/>
        </w:rPr>
        <w:t>interval;</w:t>
      </w:r>
      <w:r>
        <w:rPr>
          <w:color w:val="231F1F"/>
          <w:spacing w:val="-8"/>
          <w:w w:val="110"/>
        </w:rPr>
        <w:t> </w:t>
      </w:r>
      <w:r>
        <w:rPr>
          <w:color w:val="231F1F"/>
          <w:w w:val="110"/>
        </w:rPr>
        <w:t>increased</w:t>
      </w:r>
      <w:r>
        <w:rPr>
          <w:color w:val="231F1F"/>
          <w:spacing w:val="-8"/>
          <w:w w:val="110"/>
        </w:rPr>
        <w:t> </w:t>
      </w:r>
      <w:r>
        <w:rPr>
          <w:color w:val="231F1F"/>
          <w:w w:val="110"/>
        </w:rPr>
        <w:t>risk of convulsions when tramadol given with </w:t>
      </w:r>
      <w:r>
        <w:rPr>
          <w:rFonts w:ascii="Calibri" w:hAnsi="Calibri"/>
          <w:color w:val="008356"/>
          <w:spacing w:val="4"/>
          <w:w w:val="110"/>
          <w:sz w:val="11"/>
        </w:rPr>
        <w:t>ANTIPSYCHOTICS</w:t>
      </w:r>
      <w:r>
        <w:rPr>
          <w:color w:val="231F1F"/>
          <w:spacing w:val="4"/>
          <w:w w:val="110"/>
        </w:rPr>
        <w:t>; </w:t>
      </w:r>
      <w:r>
        <w:rPr>
          <w:color w:val="231F1F"/>
          <w:w w:val="110"/>
        </w:rPr>
        <w:t>increased risk of ventricular arrhythmias when methadone given with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0"/>
          <w:sz w:val="11"/>
        </w:rPr>
        <w:t>AMISULPRIDE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139" w:lineRule="exact"/>
        <w:ind w:left="108"/>
      </w:pPr>
      <w:r>
        <w:rPr>
          <w:rFonts w:ascii="Arial"/>
          <w:color w:val="231F1F"/>
          <w:w w:val="355"/>
          <w:position w:val="1"/>
          <w:sz w:val="7"/>
        </w:rPr>
        <w:t>l </w:t>
      </w:r>
      <w:r>
        <w:rPr>
          <w:rFonts w:ascii="Calibri"/>
          <w:color w:val="231F1F"/>
          <w:w w:val="115"/>
        </w:rPr>
        <w:t>Antivirals: </w:t>
      </w:r>
      <w:r>
        <w:rPr>
          <w:color w:val="231F1F"/>
          <w:w w:val="115"/>
        </w:rPr>
        <w:t>plasma concentration of methadone possibly</w:t>
      </w:r>
    </w:p>
    <w:p>
      <w:pPr>
        <w:spacing w:line="244" w:lineRule="auto" w:before="0"/>
        <w:ind w:left="208" w:right="0" w:firstLine="0"/>
        <w:jc w:val="left"/>
        <w:rPr>
          <w:sz w:val="12"/>
        </w:rPr>
      </w:pPr>
      <w:r>
        <w:rPr>
          <w:color w:val="231F1F"/>
          <w:w w:val="110"/>
          <w:sz w:val="12"/>
        </w:rPr>
        <w:t>reduced by </w:t>
      </w:r>
      <w:r>
        <w:rPr>
          <w:rFonts w:ascii="Calibri"/>
          <w:color w:val="008356"/>
          <w:w w:val="110"/>
          <w:sz w:val="11"/>
        </w:rPr>
        <w:t>ABACAVIR</w:t>
      </w:r>
      <w:r>
        <w:rPr>
          <w:color w:val="231F1F"/>
          <w:w w:val="110"/>
          <w:sz w:val="12"/>
        </w:rPr>
        <w:t>, </w:t>
      </w:r>
      <w:r>
        <w:rPr>
          <w:rFonts w:ascii="Calibri"/>
          <w:color w:val="008356"/>
          <w:w w:val="110"/>
          <w:sz w:val="11"/>
        </w:rPr>
        <w:t>NEVIRAPINE </w:t>
      </w:r>
      <w:r>
        <w:rPr>
          <w:color w:val="231F1F"/>
          <w:w w:val="110"/>
          <w:sz w:val="12"/>
        </w:rPr>
        <w:t>and </w:t>
      </w:r>
      <w:r>
        <w:rPr>
          <w:rFonts w:ascii="Calibri"/>
          <w:color w:val="008356"/>
          <w:w w:val="110"/>
          <w:sz w:val="11"/>
        </w:rPr>
        <w:t>RILPIVIRINE</w:t>
      </w:r>
      <w:r>
        <w:rPr>
          <w:color w:val="231F1F"/>
          <w:w w:val="110"/>
          <w:sz w:val="12"/>
        </w:rPr>
        <w:t>; plasma concentration of methadone possibly affected by </w:t>
      </w:r>
      <w:r>
        <w:rPr>
          <w:rFonts w:ascii="Calibri"/>
          <w:color w:val="008356"/>
          <w:w w:val="110"/>
          <w:sz w:val="11"/>
        </w:rPr>
        <w:t>BOCEPREVIR</w:t>
      </w:r>
      <w:r>
        <w:rPr>
          <w:color w:val="231F1F"/>
          <w:w w:val="110"/>
          <w:sz w:val="12"/>
        </w:rPr>
        <w:t>; possible increased risk of prolonged sedation and respiratory depression when buprenorphine given with </w:t>
      </w:r>
      <w:r>
        <w:rPr>
          <w:rFonts w:ascii="Calibri"/>
          <w:color w:val="008356"/>
          <w:w w:val="110"/>
          <w:sz w:val="11"/>
        </w:rPr>
        <w:t>BOCEPREVIR</w:t>
      </w:r>
      <w:r>
        <w:rPr>
          <w:color w:val="231F1F"/>
          <w:w w:val="110"/>
          <w:sz w:val="12"/>
        </w:rPr>
        <w:t>; methadone possibly reduces plasma concentration of </w:t>
      </w:r>
      <w:r>
        <w:rPr>
          <w:rFonts w:ascii="Calibri"/>
          <w:color w:val="008356"/>
          <w:w w:val="110"/>
          <w:sz w:val="11"/>
        </w:rPr>
        <w:t>DIDANOSINE</w:t>
      </w:r>
      <w:r>
        <w:rPr>
          <w:color w:val="231F1F"/>
          <w:w w:val="110"/>
          <w:sz w:val="12"/>
        </w:rPr>
        <w:t>; plasma concentration of methadone reduced by </w:t>
      </w:r>
      <w:r>
        <w:rPr>
          <w:rFonts w:ascii="Calibri"/>
          <w:color w:val="008356"/>
          <w:w w:val="110"/>
          <w:sz w:val="11"/>
        </w:rPr>
        <w:t>EFAVIRENZ</w:t>
      </w:r>
      <w:r>
        <w:rPr>
          <w:color w:val="231F1F"/>
          <w:w w:val="110"/>
          <w:sz w:val="12"/>
        </w:rPr>
        <w:t>, </w:t>
      </w:r>
      <w:r>
        <w:rPr>
          <w:rFonts w:ascii="Calibri"/>
          <w:color w:val="008356"/>
          <w:w w:val="110"/>
          <w:sz w:val="11"/>
        </w:rPr>
        <w:t>FOSAMPRENAVIR </w:t>
      </w:r>
      <w:r>
        <w:rPr>
          <w:color w:val="231F1F"/>
          <w:w w:val="110"/>
          <w:sz w:val="12"/>
        </w:rPr>
        <w:t>and </w:t>
      </w:r>
      <w:r>
        <w:rPr>
          <w:rFonts w:ascii="Calibri"/>
          <w:color w:val="008356"/>
          <w:w w:val="110"/>
          <w:sz w:val="11"/>
        </w:rPr>
        <w:t>RITONAVIR</w:t>
      </w:r>
      <w:r>
        <w:rPr>
          <w:color w:val="231F1F"/>
          <w:w w:val="110"/>
          <w:sz w:val="12"/>
        </w:rPr>
        <w:t>; plasma</w:t>
      </w:r>
    </w:p>
    <w:p>
      <w:pPr>
        <w:pStyle w:val="BodyText"/>
        <w:spacing w:line="244" w:lineRule="auto"/>
        <w:ind w:right="30"/>
        <w:rPr>
          <w:rFonts w:ascii="Calibri" w:hAnsi="Calibri"/>
          <w:sz w:val="11"/>
        </w:rPr>
      </w:pPr>
      <w:r>
        <w:rPr>
          <w:color w:val="231F1F"/>
          <w:w w:val="115"/>
        </w:rPr>
        <w:t>concentration of buprenorphine possibly increased by </w:t>
      </w:r>
      <w:r>
        <w:rPr>
          <w:rFonts w:ascii="Calibri" w:hAnsi="Calibri"/>
          <w:color w:val="008356"/>
          <w:spacing w:val="3"/>
          <w:w w:val="115"/>
          <w:sz w:val="11"/>
        </w:rPr>
        <w:t>RITONAVIR</w:t>
      </w:r>
      <w:r>
        <w:rPr>
          <w:color w:val="231F1F"/>
          <w:spacing w:val="3"/>
          <w:w w:val="115"/>
        </w:rPr>
        <w:t>; </w:t>
      </w:r>
      <w:r>
        <w:rPr>
          <w:color w:val="231F1F"/>
          <w:w w:val="115"/>
        </w:rPr>
        <w:t>plasma concentration of alfentanil and fentanyl increased</w:t>
      </w:r>
      <w:r>
        <w:rPr>
          <w:color w:val="231F1F"/>
          <w:spacing w:val="-12"/>
          <w:w w:val="115"/>
        </w:rPr>
        <w:t> </w:t>
      </w:r>
      <w:r>
        <w:rPr>
          <w:color w:val="231F1F"/>
          <w:w w:val="115"/>
        </w:rPr>
        <w:t>by</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5"/>
          <w:sz w:val="11"/>
        </w:rPr>
        <w:t>RITONAVIR</w:t>
      </w:r>
      <w:r>
        <w:rPr>
          <w:color w:val="231F1F"/>
          <w:spacing w:val="3"/>
          <w:w w:val="115"/>
        </w:rPr>
        <w:t>;</w:t>
      </w:r>
      <w:r>
        <w:rPr>
          <w:color w:val="231F1F"/>
          <w:spacing w:val="-9"/>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10"/>
          <w:w w:val="115"/>
        </w:rPr>
        <w:t> </w:t>
      </w:r>
      <w:r>
        <w:rPr>
          <w:color w:val="231F1F"/>
          <w:w w:val="115"/>
        </w:rPr>
        <w:t>pethidine reduced by </w:t>
      </w:r>
      <w:r>
        <w:rPr>
          <w:rFonts w:ascii="Arial" w:hAnsi="Arial"/>
          <w:color w:val="231F1F"/>
          <w:w w:val="355"/>
          <w:position w:val="1"/>
          <w:sz w:val="7"/>
        </w:rPr>
        <w:t>l </w:t>
      </w:r>
      <w:r>
        <w:rPr>
          <w:rFonts w:ascii="Calibri" w:hAnsi="Calibri"/>
          <w:color w:val="008356"/>
          <w:spacing w:val="3"/>
          <w:w w:val="115"/>
          <w:sz w:val="11"/>
        </w:rPr>
        <w:t>RITONAVIR</w:t>
      </w:r>
      <w:r>
        <w:rPr>
          <w:color w:val="231F1F"/>
          <w:spacing w:val="3"/>
          <w:w w:val="115"/>
        </w:rPr>
        <w:t>, </w:t>
      </w:r>
      <w:r>
        <w:rPr>
          <w:color w:val="231F1F"/>
          <w:w w:val="115"/>
        </w:rPr>
        <w:t>but plasma concentration of toxic pethidine metabolite increased (avoid concomitant use); plasma concentration of morphine possibly reduced by </w:t>
      </w:r>
      <w:r>
        <w:rPr>
          <w:rFonts w:ascii="Calibri" w:hAnsi="Calibri"/>
          <w:color w:val="008356"/>
          <w:spacing w:val="3"/>
          <w:w w:val="115"/>
          <w:sz w:val="11"/>
        </w:rPr>
        <w:t>RITONAVIR</w:t>
      </w:r>
      <w:r>
        <w:rPr>
          <w:color w:val="231F1F"/>
          <w:spacing w:val="3"/>
          <w:w w:val="115"/>
        </w:rPr>
        <w:t>; </w:t>
      </w:r>
      <w:r>
        <w:rPr>
          <w:color w:val="231F1F"/>
          <w:w w:val="115"/>
        </w:rPr>
        <w:t>plasma concentration of dextropropoxyphene increased</w:t>
      </w:r>
      <w:r>
        <w:rPr>
          <w:color w:val="231F1F"/>
          <w:spacing w:val="-25"/>
          <w:w w:val="115"/>
        </w:rPr>
        <w:t> </w:t>
      </w:r>
      <w:r>
        <w:rPr>
          <w:color w:val="231F1F"/>
          <w:w w:val="115"/>
        </w:rPr>
        <w:t>by</w:t>
      </w:r>
      <w:r>
        <w:rPr>
          <w:color w:val="231F1F"/>
          <w:spacing w:val="-24"/>
          <w:w w:val="115"/>
        </w:rPr>
        <w:t> </w:t>
      </w:r>
      <w:r>
        <w:rPr>
          <w:rFonts w:ascii="Arial" w:hAnsi="Arial"/>
          <w:color w:val="231F1F"/>
          <w:w w:val="335"/>
          <w:position w:val="1"/>
          <w:sz w:val="7"/>
        </w:rPr>
        <w:t>l</w:t>
      </w:r>
      <w:r>
        <w:rPr>
          <w:rFonts w:ascii="Arial" w:hAnsi="Arial"/>
          <w:color w:val="231F1F"/>
          <w:spacing w:val="-55"/>
          <w:w w:val="335"/>
          <w:position w:val="1"/>
          <w:sz w:val="7"/>
        </w:rPr>
        <w:t> </w:t>
      </w:r>
      <w:r>
        <w:rPr>
          <w:rFonts w:ascii="Calibri" w:hAnsi="Calibri"/>
          <w:color w:val="008356"/>
          <w:spacing w:val="3"/>
          <w:w w:val="115"/>
          <w:sz w:val="11"/>
        </w:rPr>
        <w:t>RITONAVIR</w:t>
      </w:r>
      <w:r>
        <w:rPr>
          <w:rFonts w:ascii="Calibri" w:hAnsi="Calibri"/>
          <w:color w:val="008356"/>
          <w:spacing w:val="-16"/>
          <w:w w:val="115"/>
          <w:sz w:val="11"/>
        </w:rPr>
        <w:t> </w:t>
      </w:r>
      <w:r>
        <w:rPr>
          <w:color w:val="231F1F"/>
          <w:w w:val="115"/>
        </w:rPr>
        <w:t>(risk</w:t>
      </w:r>
      <w:r>
        <w:rPr>
          <w:color w:val="231F1F"/>
          <w:spacing w:val="-25"/>
          <w:w w:val="115"/>
        </w:rPr>
        <w:t> </w:t>
      </w:r>
      <w:r>
        <w:rPr>
          <w:color w:val="231F1F"/>
          <w:w w:val="115"/>
        </w:rPr>
        <w:t>of</w:t>
      </w:r>
      <w:r>
        <w:rPr>
          <w:color w:val="231F1F"/>
          <w:spacing w:val="-24"/>
          <w:w w:val="115"/>
        </w:rPr>
        <w:t> </w:t>
      </w:r>
      <w:r>
        <w:rPr>
          <w:color w:val="231F1F"/>
          <w:w w:val="115"/>
        </w:rPr>
        <w:t>toxicity)</w:t>
      </w:r>
      <w:r>
        <w:rPr>
          <w:rFonts w:ascii="Arial" w:hAnsi="Arial"/>
          <w:color w:val="231F1F"/>
          <w:w w:val="115"/>
        </w:rPr>
        <w:t>—</w:t>
      </w:r>
      <w:r>
        <w:rPr>
          <w:color w:val="231F1F"/>
          <w:w w:val="115"/>
        </w:rPr>
        <w:t>avoid</w:t>
      </w:r>
      <w:r>
        <w:rPr>
          <w:color w:val="231F1F"/>
          <w:spacing w:val="-24"/>
          <w:w w:val="115"/>
        </w:rPr>
        <w:t> </w:t>
      </w:r>
      <w:r>
        <w:rPr>
          <w:color w:val="231F1F"/>
          <w:w w:val="115"/>
        </w:rPr>
        <w:t>concomitant use; increased risk of ventricular arrhythmias when alfentanil,</w:t>
      </w:r>
      <w:r>
        <w:rPr>
          <w:color w:val="231F1F"/>
          <w:spacing w:val="-16"/>
          <w:w w:val="115"/>
        </w:rPr>
        <w:t> </w:t>
      </w:r>
      <w:r>
        <w:rPr>
          <w:color w:val="231F1F"/>
          <w:w w:val="115"/>
        </w:rPr>
        <w:t>fentanyl</w:t>
      </w:r>
      <w:r>
        <w:rPr>
          <w:color w:val="231F1F"/>
          <w:spacing w:val="-15"/>
          <w:w w:val="115"/>
        </w:rPr>
        <w:t> </w:t>
      </w:r>
      <w:r>
        <w:rPr>
          <w:color w:val="231F1F"/>
          <w:w w:val="115"/>
        </w:rPr>
        <w:t>or</w:t>
      </w:r>
      <w:r>
        <w:rPr>
          <w:color w:val="231F1F"/>
          <w:spacing w:val="-16"/>
          <w:w w:val="115"/>
        </w:rPr>
        <w:t> </w:t>
      </w:r>
      <w:r>
        <w:rPr>
          <w:color w:val="231F1F"/>
          <w:w w:val="115"/>
        </w:rPr>
        <w:t>methadone</w:t>
      </w:r>
      <w:r>
        <w:rPr>
          <w:color w:val="231F1F"/>
          <w:spacing w:val="-16"/>
          <w:w w:val="115"/>
        </w:rPr>
        <w:t> </w:t>
      </w:r>
      <w:r>
        <w:rPr>
          <w:color w:val="231F1F"/>
          <w:w w:val="115"/>
        </w:rPr>
        <w:t>given</w:t>
      </w:r>
      <w:r>
        <w:rPr>
          <w:color w:val="231F1F"/>
          <w:spacing w:val="-16"/>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SAQUINAVIR</w:t>
      </w:r>
      <w:r>
        <w:rPr>
          <w:rFonts w:ascii="Arial" w:hAnsi="Arial"/>
          <w:color w:val="231F1F"/>
          <w:spacing w:val="4"/>
          <w:w w:val="115"/>
        </w:rPr>
        <w:t>— </w:t>
      </w:r>
      <w:r>
        <w:rPr>
          <w:color w:val="231F1F"/>
          <w:w w:val="115"/>
        </w:rPr>
        <w:t>avoid concomitant use; caution with methadone advised by manufacturer of </w:t>
      </w:r>
      <w:r>
        <w:rPr>
          <w:rFonts w:ascii="Arial" w:hAnsi="Arial"/>
          <w:color w:val="231F1F"/>
          <w:w w:val="355"/>
          <w:position w:val="1"/>
          <w:sz w:val="7"/>
        </w:rPr>
        <w:t>l </w:t>
      </w:r>
      <w:r>
        <w:rPr>
          <w:rFonts w:ascii="Calibri" w:hAnsi="Calibri"/>
          <w:color w:val="008356"/>
          <w:spacing w:val="4"/>
          <w:w w:val="115"/>
          <w:sz w:val="11"/>
        </w:rPr>
        <w:t>TELAPREVIR </w:t>
      </w:r>
      <w:r>
        <w:rPr>
          <w:color w:val="231F1F"/>
          <w:w w:val="115"/>
        </w:rPr>
        <w:t>(risk of ventricular arrhythmias); buprenorphine possibly reduces plasma concentration of </w:t>
      </w:r>
      <w:r>
        <w:rPr>
          <w:rFonts w:ascii="Calibri" w:hAnsi="Calibri"/>
          <w:color w:val="008356"/>
          <w:spacing w:val="4"/>
          <w:w w:val="115"/>
          <w:sz w:val="11"/>
        </w:rPr>
        <w:t>TIPRANAVIR</w:t>
      </w:r>
      <w:r>
        <w:rPr>
          <w:color w:val="231F1F"/>
          <w:spacing w:val="4"/>
          <w:w w:val="115"/>
        </w:rPr>
        <w:t>; </w:t>
      </w:r>
      <w:r>
        <w:rPr>
          <w:color w:val="231F1F"/>
          <w:w w:val="115"/>
        </w:rPr>
        <w:t>methadone possibly increases plasma concentration of</w:t>
      </w:r>
      <w:r>
        <w:rPr>
          <w:color w:val="231F1F"/>
          <w:spacing w:val="-18"/>
          <w:w w:val="115"/>
        </w:rPr>
        <w:t> </w:t>
      </w:r>
      <w:r>
        <w:rPr>
          <w:rFonts w:ascii="Calibri" w:hAnsi="Calibri"/>
          <w:color w:val="008356"/>
          <w:spacing w:val="4"/>
          <w:w w:val="115"/>
          <w:sz w:val="11"/>
        </w:rPr>
        <w:t>ZIDOVUDINE</w:t>
      </w:r>
    </w:p>
    <w:p>
      <w:pPr>
        <w:spacing w:line="230" w:lineRule="auto" w:before="8"/>
        <w:ind w:left="208" w:right="40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opioid analgesics given with </w:t>
      </w:r>
      <w:r>
        <w:rPr>
          <w:rFonts w:ascii="Calibri" w:hAnsi="Calibri"/>
          <w:color w:val="008356"/>
          <w:w w:val="105"/>
          <w:sz w:val="11"/>
        </w:rPr>
        <w:t>ANXIOLYTICS AND HYPNOTICS</w:t>
      </w:r>
      <w:r>
        <w:rPr>
          <w:color w:val="231F1F"/>
          <w:w w:val="105"/>
          <w:sz w:val="12"/>
        </w:rPr>
        <w:t>; fentanyl possibly inhibits metabolism of </w:t>
      </w:r>
      <w:r>
        <w:rPr>
          <w:rFonts w:ascii="Calibri" w:hAnsi="Calibri"/>
          <w:color w:val="008356"/>
          <w:w w:val="105"/>
          <w:sz w:val="11"/>
        </w:rPr>
        <w:t>MIDAZOLAM</w:t>
      </w:r>
    </w:p>
    <w:p>
      <w:pPr>
        <w:pStyle w:val="BodyText"/>
        <w:ind w:right="50" w:hanging="100"/>
        <w:rPr>
          <w:rFonts w:ascii="Calibri"/>
          <w:sz w:val="11"/>
        </w:rPr>
      </w:pPr>
      <w:r>
        <w:rPr>
          <w:rFonts w:ascii="Arial"/>
          <w:color w:val="231F1F"/>
          <w:w w:val="355"/>
          <w:position w:val="1"/>
          <w:sz w:val="7"/>
        </w:rPr>
        <w:t>l </w:t>
      </w:r>
      <w:r>
        <w:rPr>
          <w:rFonts w:ascii="Calibri"/>
          <w:color w:val="231F1F"/>
          <w:w w:val="105"/>
        </w:rPr>
        <w:t>Atomoxetine: </w:t>
      </w:r>
      <w:r>
        <w:rPr>
          <w:color w:val="231F1F"/>
          <w:w w:val="105"/>
        </w:rPr>
        <w:t>increased risk of ventricular arrhythmias when methadone given with </w:t>
      </w:r>
      <w:r>
        <w:rPr>
          <w:rFonts w:ascii="Arial"/>
          <w:color w:val="231F1F"/>
          <w:w w:val="355"/>
          <w:position w:val="1"/>
          <w:sz w:val="7"/>
        </w:rPr>
        <w:t>l </w:t>
      </w:r>
      <w:r>
        <w:rPr>
          <w:rFonts w:ascii="Calibri"/>
          <w:color w:val="008356"/>
          <w:w w:val="105"/>
          <w:sz w:val="11"/>
        </w:rPr>
        <w:t>ATOMOXETINE</w:t>
      </w:r>
      <w:r>
        <w:rPr>
          <w:color w:val="231F1F"/>
          <w:w w:val="105"/>
        </w:rPr>
        <w:t>; possible increased risk of convulsions when tramadol given with </w:t>
      </w:r>
      <w:r>
        <w:rPr>
          <w:rFonts w:ascii="Calibri"/>
          <w:color w:val="008356"/>
          <w:w w:val="105"/>
          <w:sz w:val="11"/>
        </w:rPr>
        <w:t>ATOMOXETINE</w:t>
      </w:r>
    </w:p>
    <w:p>
      <w:pPr>
        <w:pStyle w:val="BodyText"/>
        <w:spacing w:line="220" w:lineRule="auto" w:before="8"/>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morphine possibly increases plasma concentration of </w:t>
      </w:r>
      <w:r>
        <w:rPr>
          <w:rFonts w:ascii="Calibri" w:hAnsi="Calibri"/>
          <w:color w:val="008356"/>
          <w:w w:val="105"/>
          <w:sz w:val="11"/>
        </w:rPr>
        <w:t>ESMOLOL</w:t>
      </w:r>
    </w:p>
    <w:p>
      <w:pPr>
        <w:pStyle w:val="BodyText"/>
        <w:spacing w:line="230" w:lineRule="auto" w:before="3"/>
        <w:ind w:right="55" w:hanging="100"/>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metabolism of alfentanil inhibited by </w:t>
      </w:r>
      <w:r>
        <w:rPr>
          <w:rFonts w:ascii="Calibri" w:hAnsi="Calibri"/>
          <w:color w:val="008356"/>
          <w:w w:val="110"/>
          <w:sz w:val="11"/>
        </w:rPr>
        <w:t>DILTIAZEM </w:t>
      </w:r>
      <w:r>
        <w:rPr>
          <w:color w:val="231F1F"/>
          <w:w w:val="110"/>
        </w:rPr>
        <w:t>(risk of prolonged or delayed respiratory depression)</w:t>
      </w:r>
    </w:p>
    <w:p>
      <w:pPr>
        <w:pStyle w:val="BodyText"/>
        <w:spacing w:before="4"/>
        <w:ind w:right="128" w:hanging="100"/>
      </w:pPr>
      <w:r>
        <w:rPr>
          <w:rFonts w:ascii="Arial"/>
          <w:color w:val="231F1F"/>
          <w:w w:val="355"/>
          <w:position w:val="1"/>
          <w:sz w:val="7"/>
        </w:rPr>
        <w:t>l </w:t>
      </w:r>
      <w:r>
        <w:rPr>
          <w:rFonts w:ascii="Calibri"/>
          <w:color w:val="231F1F"/>
          <w:w w:val="110"/>
        </w:rPr>
        <w:t>Cytotoxics: </w:t>
      </w:r>
      <w:r>
        <w:rPr>
          <w:color w:val="231F1F"/>
          <w:w w:val="110"/>
        </w:rPr>
        <w:t>possible increased risk of ventricular arrhythmias when methadone given with </w:t>
      </w:r>
      <w:r>
        <w:rPr>
          <w:rFonts w:ascii="Arial"/>
          <w:color w:val="231F1F"/>
          <w:w w:val="355"/>
          <w:position w:val="1"/>
          <w:sz w:val="7"/>
        </w:rPr>
        <w:t>l </w:t>
      </w:r>
      <w:r>
        <w:rPr>
          <w:rFonts w:ascii="Calibri"/>
          <w:color w:val="008356"/>
          <w:w w:val="110"/>
          <w:sz w:val="11"/>
        </w:rPr>
        <w:t>BOSUTINIB</w:t>
      </w:r>
      <w:r>
        <w:rPr>
          <w:color w:val="231F1F"/>
          <w:w w:val="110"/>
        </w:rPr>
        <w:t>; caution with alfentanil and fentanyl advised by manufacturer of</w:t>
      </w:r>
    </w:p>
    <w:p>
      <w:pPr>
        <w:pStyle w:val="BodyText"/>
        <w:spacing w:before="6"/>
        <w:ind w:right="164"/>
      </w:pPr>
      <w:r>
        <w:rPr>
          <w:rFonts w:ascii="Arial" w:hAnsi="Arial"/>
          <w:color w:val="231F1F"/>
          <w:w w:val="355"/>
          <w:position w:val="1"/>
          <w:sz w:val="7"/>
        </w:rPr>
        <w:t>l </w:t>
      </w:r>
      <w:r>
        <w:rPr>
          <w:rFonts w:ascii="Calibri" w:hAnsi="Calibri"/>
          <w:color w:val="008356"/>
          <w:w w:val="110"/>
          <w:sz w:val="11"/>
        </w:rPr>
        <w:t>CRIZOTINIB</w:t>
      </w:r>
      <w:r>
        <w:rPr>
          <w:color w:val="231F1F"/>
          <w:w w:val="110"/>
        </w:rPr>
        <w:t>; possible increased risk of ventricular arrhythmias when methadone given with </w:t>
      </w:r>
      <w:r>
        <w:rPr>
          <w:rFonts w:ascii="Arial" w:hAnsi="Arial"/>
          <w:color w:val="231F1F"/>
          <w:w w:val="355"/>
          <w:position w:val="1"/>
          <w:sz w:val="7"/>
        </w:rPr>
        <w:t>l </w:t>
      </w:r>
      <w:r>
        <w:rPr>
          <w:rFonts w:ascii="Calibri" w:hAnsi="Calibri"/>
          <w:color w:val="008356"/>
          <w:w w:val="110"/>
          <w:sz w:val="11"/>
        </w:rPr>
        <w:t>VANDETANIB</w:t>
      </w:r>
      <w:r>
        <w:rPr>
          <w:rFonts w:ascii="Arial" w:hAnsi="Arial"/>
          <w:color w:val="231F1F"/>
          <w:w w:val="110"/>
        </w:rPr>
        <w:t>— </w:t>
      </w:r>
      <w:r>
        <w:rPr>
          <w:color w:val="231F1F"/>
          <w:w w:val="110"/>
        </w:rPr>
        <w:t>avoid concomitant use</w:t>
      </w:r>
    </w:p>
    <w:p>
      <w:pPr>
        <w:pStyle w:val="BodyText"/>
        <w:spacing w:line="244" w:lineRule="auto" w:before="5"/>
        <w:ind w:right="94"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tramadol given with </w:t>
      </w:r>
      <w:r>
        <w:rPr>
          <w:rFonts w:ascii="Arial"/>
          <w:color w:val="231F1F"/>
          <w:w w:val="355"/>
          <w:position w:val="1"/>
          <w:sz w:val="7"/>
        </w:rPr>
        <w:t>l </w:t>
      </w:r>
      <w:r>
        <w:rPr>
          <w:rFonts w:ascii="Calibri"/>
          <w:color w:val="008356"/>
          <w:spacing w:val="4"/>
          <w:w w:val="110"/>
          <w:sz w:val="11"/>
        </w:rPr>
        <w:t>DAPOXETINE </w:t>
      </w:r>
      <w:r>
        <w:rPr>
          <w:color w:val="231F1F"/>
          <w:w w:val="110"/>
        </w:rPr>
        <w:t>(manufacturer of dapoxetine advises tramadol should not be  started until 1  week after stopping dapoxetine, avoid dapoxetine for 2 </w:t>
      </w:r>
      <w:r>
        <w:rPr>
          <w:color w:val="231F1F"/>
          <w:spacing w:val="-3"/>
          <w:w w:val="110"/>
        </w:rPr>
        <w:t>weeks </w:t>
      </w:r>
      <w:r>
        <w:rPr>
          <w:color w:val="231F1F"/>
          <w:w w:val="110"/>
        </w:rPr>
        <w:t>after stopping</w:t>
      </w:r>
      <w:r>
        <w:rPr>
          <w:color w:val="231F1F"/>
          <w:spacing w:val="-5"/>
          <w:w w:val="110"/>
        </w:rPr>
        <w:t> </w:t>
      </w:r>
      <w:r>
        <w:rPr>
          <w:color w:val="231F1F"/>
          <w:w w:val="110"/>
        </w:rPr>
        <w:t>tramadol)</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Domperidone: </w:t>
      </w:r>
      <w:r>
        <w:rPr>
          <w:color w:val="231F1F"/>
          <w:w w:val="105"/>
        </w:rPr>
        <w:t>opioid analgesics antagonise effects of</w:t>
      </w:r>
    </w:p>
    <w:p>
      <w:pPr>
        <w:spacing w:line="134" w:lineRule="exact" w:before="0"/>
        <w:ind w:left="208" w:right="0" w:firstLine="0"/>
        <w:jc w:val="left"/>
        <w:rPr>
          <w:sz w:val="12"/>
        </w:rPr>
      </w:pPr>
      <w:r>
        <w:rPr>
          <w:rFonts w:ascii="Calibri"/>
          <w:color w:val="008356"/>
          <w:w w:val="110"/>
          <w:sz w:val="11"/>
        </w:rPr>
        <w:t>DOMPERIDONE </w:t>
      </w:r>
      <w:r>
        <w:rPr>
          <w:color w:val="231F1F"/>
          <w:w w:val="110"/>
          <w:sz w:val="12"/>
        </w:rPr>
        <w:t>on gastro-intestinal activity</w:t>
      </w:r>
    </w:p>
    <w:p>
      <w:pPr>
        <w:pStyle w:val="BodyText"/>
        <w:spacing w:line="242" w:lineRule="auto"/>
        <w:ind w:right="102" w:hanging="100"/>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Dopaminergics:</w:t>
      </w:r>
      <w:r>
        <w:rPr>
          <w:rFonts w:ascii="Calibri"/>
          <w:color w:val="231F1F"/>
          <w:spacing w:val="-12"/>
          <w:w w:val="115"/>
        </w:rPr>
        <w:t> </w:t>
      </w:r>
      <w:r>
        <w:rPr>
          <w:color w:val="231F1F"/>
          <w:w w:val="115"/>
        </w:rPr>
        <w:t>avoid</w:t>
      </w:r>
      <w:r>
        <w:rPr>
          <w:color w:val="231F1F"/>
          <w:spacing w:val="-15"/>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of</w:t>
      </w:r>
      <w:r>
        <w:rPr>
          <w:color w:val="231F1F"/>
          <w:spacing w:val="-15"/>
          <w:w w:val="115"/>
        </w:rPr>
        <w:t> </w:t>
      </w:r>
      <w:r>
        <w:rPr>
          <w:color w:val="231F1F"/>
          <w:w w:val="115"/>
        </w:rPr>
        <w:t>dextromethorphan with</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RASAGILINE</w:t>
      </w:r>
      <w:r>
        <w:rPr>
          <w:color w:val="231F1F"/>
          <w:spacing w:val="4"/>
          <w:w w:val="115"/>
        </w:rPr>
        <w:t>;</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8"/>
          <w:w w:val="115"/>
        </w:rPr>
        <w:t> </w:t>
      </w:r>
      <w:r>
        <w:rPr>
          <w:color w:val="231F1F"/>
          <w:w w:val="115"/>
        </w:rPr>
        <w:t>CNS</w:t>
      </w:r>
      <w:r>
        <w:rPr>
          <w:color w:val="231F1F"/>
          <w:spacing w:val="-18"/>
          <w:w w:val="115"/>
        </w:rPr>
        <w:t> </w:t>
      </w:r>
      <w:r>
        <w:rPr>
          <w:color w:val="231F1F"/>
          <w:w w:val="115"/>
        </w:rPr>
        <w:t>toxicity</w:t>
      </w:r>
      <w:r>
        <w:rPr>
          <w:color w:val="231F1F"/>
          <w:spacing w:val="-18"/>
          <w:w w:val="115"/>
        </w:rPr>
        <w:t> </w:t>
      </w:r>
      <w:r>
        <w:rPr>
          <w:color w:val="231F1F"/>
          <w:w w:val="115"/>
        </w:rPr>
        <w:t>when</w:t>
      </w:r>
      <w:r>
        <w:rPr>
          <w:color w:val="231F1F"/>
          <w:spacing w:val="-18"/>
          <w:w w:val="115"/>
        </w:rPr>
        <w:t> </w:t>
      </w:r>
      <w:r>
        <w:rPr>
          <w:color w:val="231F1F"/>
          <w:w w:val="115"/>
        </w:rPr>
        <w:t>pethidine</w:t>
      </w:r>
      <w:r>
        <w:rPr>
          <w:color w:val="231F1F"/>
          <w:spacing w:val="-19"/>
          <w:w w:val="115"/>
        </w:rPr>
        <w:t> </w:t>
      </w:r>
      <w:r>
        <w:rPr>
          <w:color w:val="231F1F"/>
          <w:w w:val="115"/>
        </w:rPr>
        <w:t>given with </w:t>
      </w:r>
      <w:r>
        <w:rPr>
          <w:rFonts w:ascii="Arial"/>
          <w:color w:val="231F1F"/>
          <w:w w:val="355"/>
          <w:position w:val="1"/>
          <w:sz w:val="7"/>
        </w:rPr>
        <w:t>l </w:t>
      </w:r>
      <w:r>
        <w:rPr>
          <w:rFonts w:ascii="Calibri"/>
          <w:color w:val="008356"/>
          <w:spacing w:val="4"/>
          <w:w w:val="115"/>
          <w:sz w:val="11"/>
        </w:rPr>
        <w:t>RASAGILINE </w:t>
      </w:r>
      <w:r>
        <w:rPr>
          <w:color w:val="231F1F"/>
          <w:w w:val="115"/>
        </w:rPr>
        <w:t>(avoid pethidine for 2 weeks after rasagiline); avoidance of opioid analgesics advised by manufacturer</w:t>
      </w:r>
      <w:r>
        <w:rPr>
          <w:color w:val="231F1F"/>
          <w:spacing w:val="-17"/>
          <w:w w:val="115"/>
        </w:rPr>
        <w:t> </w:t>
      </w:r>
      <w:r>
        <w:rPr>
          <w:color w:val="231F1F"/>
          <w:w w:val="115"/>
        </w:rPr>
        <w:t>of</w:t>
      </w:r>
      <w:r>
        <w:rPr>
          <w:color w:val="231F1F"/>
          <w:spacing w:val="-17"/>
          <w:w w:val="115"/>
        </w:rPr>
        <w:t> </w:t>
      </w:r>
      <w:r>
        <w:rPr>
          <w:rFonts w:ascii="Calibri"/>
          <w:color w:val="008356"/>
          <w:spacing w:val="4"/>
          <w:w w:val="115"/>
          <w:sz w:val="11"/>
        </w:rPr>
        <w:t>SELEGILINE</w:t>
      </w:r>
      <w:r>
        <w:rPr>
          <w:color w:val="231F1F"/>
          <w:spacing w:val="4"/>
          <w:w w:val="115"/>
        </w:rPr>
        <w:t>;</w:t>
      </w:r>
      <w:r>
        <w:rPr>
          <w:color w:val="231F1F"/>
          <w:spacing w:val="-17"/>
          <w:w w:val="115"/>
        </w:rPr>
        <w:t> </w:t>
      </w:r>
      <w:r>
        <w:rPr>
          <w:color w:val="231F1F"/>
          <w:w w:val="115"/>
        </w:rPr>
        <w:t>hyperpyrexia</w:t>
      </w:r>
      <w:r>
        <w:rPr>
          <w:color w:val="231F1F"/>
          <w:spacing w:val="-17"/>
          <w:w w:val="115"/>
        </w:rPr>
        <w:t> </w:t>
      </w:r>
      <w:r>
        <w:rPr>
          <w:color w:val="231F1F"/>
          <w:w w:val="115"/>
        </w:rPr>
        <w:t>and</w:t>
      </w:r>
      <w:r>
        <w:rPr>
          <w:color w:val="231F1F"/>
          <w:spacing w:val="-17"/>
          <w:w w:val="115"/>
        </w:rPr>
        <w:t> </w:t>
      </w:r>
      <w:r>
        <w:rPr>
          <w:color w:val="231F1F"/>
          <w:w w:val="115"/>
        </w:rPr>
        <w:t>CNS</w:t>
      </w:r>
      <w:r>
        <w:rPr>
          <w:color w:val="231F1F"/>
          <w:spacing w:val="-17"/>
          <w:w w:val="115"/>
        </w:rPr>
        <w:t> </w:t>
      </w:r>
      <w:r>
        <w:rPr>
          <w:color w:val="231F1F"/>
          <w:w w:val="115"/>
        </w:rPr>
        <w:t>toxicity reported when pethidine given with </w:t>
      </w:r>
      <w:r>
        <w:rPr>
          <w:rFonts w:ascii="Arial"/>
          <w:color w:val="231F1F"/>
          <w:w w:val="355"/>
          <w:position w:val="1"/>
          <w:sz w:val="7"/>
        </w:rPr>
        <w:t>l </w:t>
      </w:r>
      <w:r>
        <w:rPr>
          <w:rFonts w:ascii="Calibri"/>
          <w:color w:val="008356"/>
          <w:spacing w:val="4"/>
          <w:w w:val="115"/>
          <w:sz w:val="11"/>
        </w:rPr>
        <w:t>SELEGILINE </w:t>
      </w:r>
      <w:r>
        <w:rPr>
          <w:color w:val="231F1F"/>
          <w:w w:val="115"/>
        </w:rPr>
        <w:t>(avoid concomitant</w:t>
      </w:r>
      <w:r>
        <w:rPr>
          <w:color w:val="231F1F"/>
          <w:spacing w:val="-6"/>
          <w:w w:val="115"/>
        </w:rPr>
        <w:t> </w:t>
      </w:r>
      <w:r>
        <w:rPr>
          <w:color w:val="231F1F"/>
          <w:w w:val="115"/>
        </w:rPr>
        <w:t>use)</w:t>
      </w:r>
    </w:p>
    <w:p>
      <w:pPr>
        <w:pStyle w:val="BodyText"/>
        <w:spacing w:before="7"/>
        <w:ind w:left="0"/>
        <w:rPr>
          <w:sz w:val="14"/>
        </w:rPr>
      </w:pPr>
      <w:r>
        <w:rPr/>
        <w:br w:type="column"/>
      </w:r>
      <w:r>
        <w:rPr>
          <w:sz w:val="14"/>
        </w:rPr>
      </w:r>
    </w:p>
    <w:p>
      <w:pPr>
        <w:pStyle w:val="BodyText"/>
        <w:spacing w:line="144" w:lineRule="exact"/>
        <w:ind w:left="109"/>
        <w:rPr>
          <w:rFonts w:ascii="Calibri"/>
        </w:rPr>
      </w:pPr>
      <w:r>
        <w:rPr>
          <w:rFonts w:ascii="Arial"/>
          <w:color w:val="008356"/>
        </w:rPr>
        <w:t>Opioid Analgesics </w:t>
      </w:r>
      <w:r>
        <w:rPr>
          <w:rFonts w:ascii="Calibri"/>
          <w:color w:val="231F1F"/>
        </w:rPr>
        <w:t>(continued)</w:t>
      </w:r>
    </w:p>
    <w:p>
      <w:pPr>
        <w:pStyle w:val="BodyText"/>
        <w:spacing w:line="220" w:lineRule="auto" w:before="6"/>
        <w:ind w:right="997" w:hanging="100"/>
        <w:rPr>
          <w:rFonts w:ascii="Calibri" w:hAnsi="Calibri"/>
          <w:sz w:val="11"/>
        </w:rPr>
      </w:pPr>
      <w:r>
        <w:rPr/>
        <w:pict>
          <v:rect style="position:absolute;margin-left:398.891296pt;margin-top:-8.655787pt;width:20.522993pt;height:149.443pt;mso-position-horizontal-relative:page;mso-position-vertical-relative:paragraph;z-index:5248" filled="true" fillcolor="#bfdbcf" stroked="false">
            <v:fill type="solid"/>
            <w10:wrap type="none"/>
          </v:rect>
        </w:pict>
      </w:r>
      <w:r>
        <w:rPr/>
        <w:pict>
          <v:shape style="position:absolute;margin-left:399.725769pt;margin-top:-3.692398pt;width:10.4pt;height:78.850pt;mso-position-horizontal-relative:page;mso-position-vertical-relative:paragraph;z-index:527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Hormone Antagonists: </w:t>
      </w:r>
      <w:r>
        <w:rPr>
          <w:color w:val="231F1F"/>
          <w:w w:val="105"/>
        </w:rPr>
        <w:t>plasma concentration of dextromethorphan increased by </w:t>
      </w:r>
      <w:r>
        <w:rPr>
          <w:rFonts w:ascii="Calibri" w:hAnsi="Calibri"/>
          <w:color w:val="008356"/>
          <w:w w:val="105"/>
          <w:sz w:val="11"/>
        </w:rPr>
        <w:t>ABIRATERONE</w:t>
      </w:r>
    </w:p>
    <w:p>
      <w:pPr>
        <w:pStyle w:val="BodyText"/>
        <w:spacing w:line="220" w:lineRule="auto" w:before="8"/>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effects of tramadol possibly antagonised by </w:t>
      </w:r>
      <w:r>
        <w:rPr>
          <w:rFonts w:ascii="Calibri" w:hAnsi="Calibri"/>
          <w:color w:val="008356"/>
          <w:w w:val="105"/>
          <w:sz w:val="11"/>
          <w:vertAlign w:val="baseline"/>
        </w:rPr>
        <w:t>ONDANSETRON</w:t>
      </w:r>
    </w:p>
    <w:p>
      <w:pPr>
        <w:pStyle w:val="BodyText"/>
        <w:spacing w:before="1"/>
        <w:ind w:right="715" w:hanging="100"/>
      </w:pPr>
      <w:r>
        <w:rPr>
          <w:rFonts w:ascii="Arial"/>
          <w:color w:val="231F1F"/>
          <w:w w:val="355"/>
          <w:position w:val="1"/>
          <w:sz w:val="7"/>
        </w:rPr>
        <w:t>l </w:t>
      </w:r>
      <w:r>
        <w:rPr>
          <w:rFonts w:ascii="Calibri"/>
          <w:color w:val="231F1F"/>
          <w:w w:val="115"/>
        </w:rPr>
        <w:t>Memantine: </w:t>
      </w:r>
      <w:r>
        <w:rPr>
          <w:color w:val="231F1F"/>
          <w:w w:val="115"/>
        </w:rPr>
        <w:t>increased risk of CNS toxicity when dextromethorphan</w:t>
      </w:r>
      <w:r>
        <w:rPr>
          <w:color w:val="231F1F"/>
          <w:spacing w:val="-21"/>
          <w:w w:val="115"/>
        </w:rPr>
        <w:t> </w:t>
      </w:r>
      <w:r>
        <w:rPr>
          <w:color w:val="231F1F"/>
          <w:w w:val="115"/>
        </w:rPr>
        <w:t>given</w:t>
      </w:r>
      <w:r>
        <w:rPr>
          <w:color w:val="231F1F"/>
          <w:spacing w:val="-21"/>
          <w:w w:val="115"/>
        </w:rPr>
        <w:t> </w:t>
      </w:r>
      <w:r>
        <w:rPr>
          <w:color w:val="231F1F"/>
          <w:w w:val="115"/>
        </w:rPr>
        <w:t>with</w:t>
      </w:r>
      <w:r>
        <w:rPr>
          <w:color w:val="231F1F"/>
          <w:spacing w:val="-21"/>
          <w:w w:val="115"/>
        </w:rPr>
        <w:t>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5"/>
          <w:sz w:val="11"/>
        </w:rPr>
        <w:t>MEMANTINE</w:t>
      </w:r>
      <w:r>
        <w:rPr>
          <w:rFonts w:ascii="Calibri"/>
          <w:color w:val="008356"/>
          <w:spacing w:val="-12"/>
          <w:w w:val="115"/>
          <w:sz w:val="11"/>
        </w:rPr>
        <w:t> </w:t>
      </w:r>
      <w:r>
        <w:rPr>
          <w:color w:val="231F1F"/>
          <w:w w:val="115"/>
        </w:rPr>
        <w:t>(manufacturer</w:t>
      </w:r>
      <w:r>
        <w:rPr>
          <w:color w:val="231F1F"/>
          <w:spacing w:val="-21"/>
          <w:w w:val="115"/>
        </w:rPr>
        <w:t> </w:t>
      </w:r>
      <w:r>
        <w:rPr>
          <w:color w:val="231F1F"/>
          <w:spacing w:val="-6"/>
          <w:w w:val="115"/>
        </w:rPr>
        <w:t>of </w:t>
      </w:r>
      <w:r>
        <w:rPr>
          <w:color w:val="231F1F"/>
          <w:w w:val="115"/>
        </w:rPr>
        <w:t>memantine advises avoid concomitant</w:t>
      </w:r>
      <w:r>
        <w:rPr>
          <w:color w:val="231F1F"/>
          <w:spacing w:val="-18"/>
          <w:w w:val="115"/>
        </w:rPr>
        <w:t> </w:t>
      </w:r>
      <w:r>
        <w:rPr>
          <w:color w:val="231F1F"/>
          <w:w w:val="115"/>
        </w:rPr>
        <w:t>use)</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Metoclopramide: </w:t>
      </w:r>
      <w:r>
        <w:rPr>
          <w:color w:val="231F1F"/>
          <w:w w:val="105"/>
        </w:rPr>
        <w:t>opioid analgesics antagonise effects of</w:t>
      </w:r>
    </w:p>
    <w:p>
      <w:pPr>
        <w:spacing w:line="135" w:lineRule="exact" w:before="0"/>
        <w:ind w:left="208" w:right="0" w:firstLine="0"/>
        <w:jc w:val="left"/>
        <w:rPr>
          <w:sz w:val="12"/>
        </w:rPr>
      </w:pPr>
      <w:r>
        <w:rPr>
          <w:rFonts w:ascii="Calibri"/>
          <w:color w:val="008356"/>
          <w:w w:val="110"/>
          <w:sz w:val="11"/>
        </w:rPr>
        <w:t>METOCLOPRAMIDE </w:t>
      </w:r>
      <w:r>
        <w:rPr>
          <w:color w:val="231F1F"/>
          <w:w w:val="110"/>
          <w:sz w:val="12"/>
        </w:rPr>
        <w:t>on gastro-intestinal activity</w:t>
      </w:r>
    </w:p>
    <w:p>
      <w:pPr>
        <w:pStyle w:val="BodyText"/>
        <w:spacing w:line="220" w:lineRule="auto" w:before="8"/>
        <w:ind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increased sedative effect when fentanyl or morphine given with </w:t>
      </w:r>
      <w:r>
        <w:rPr>
          <w:rFonts w:ascii="Calibri" w:hAnsi="Calibri"/>
          <w:color w:val="008356"/>
          <w:w w:val="110"/>
          <w:sz w:val="11"/>
        </w:rPr>
        <w:t>BACLOFEN</w:t>
      </w:r>
    </w:p>
    <w:p>
      <w:pPr>
        <w:pStyle w:val="BodyText"/>
        <w:ind w:right="605" w:hanging="100"/>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0"/>
        </w:rPr>
        <w:t>Nalmefene: </w:t>
      </w:r>
      <w:r>
        <w:rPr>
          <w:color w:val="231F1F"/>
          <w:w w:val="110"/>
        </w:rPr>
        <w:t>avoidance of opioid analgesics advised </w:t>
      </w:r>
      <w:r>
        <w:rPr>
          <w:color w:val="231F1F"/>
          <w:spacing w:val="-7"/>
          <w:w w:val="110"/>
        </w:rPr>
        <w:t>by </w:t>
      </w:r>
      <w:r>
        <w:rPr>
          <w:color w:val="231F1F"/>
          <w:w w:val="110"/>
        </w:rPr>
        <w:t>manufacturer of </w:t>
      </w:r>
      <w:r>
        <w:rPr>
          <w:rFonts w:ascii="Arial"/>
          <w:color w:val="231F1F"/>
          <w:w w:val="355"/>
          <w:position w:val="1"/>
          <w:sz w:val="7"/>
        </w:rPr>
        <w:t>l </w:t>
      </w:r>
      <w:r>
        <w:rPr>
          <w:rFonts w:ascii="Calibri"/>
          <w:color w:val="008356"/>
          <w:spacing w:val="4"/>
          <w:w w:val="110"/>
          <w:sz w:val="11"/>
        </w:rPr>
        <w:t>NALMEFENE</w:t>
      </w:r>
    </w:p>
    <w:p>
      <w:pPr>
        <w:pStyle w:val="BodyText"/>
        <w:ind w:right="673" w:hanging="100"/>
      </w:pPr>
      <w:r>
        <w:rPr>
          <w:rFonts w:ascii="Arial"/>
          <w:color w:val="231F1F"/>
          <w:w w:val="355"/>
          <w:position w:val="1"/>
          <w:sz w:val="7"/>
        </w:rPr>
        <w:t>l</w:t>
      </w:r>
      <w:r>
        <w:rPr>
          <w:rFonts w:ascii="Arial"/>
          <w:color w:val="231F1F"/>
          <w:spacing w:val="-38"/>
          <w:w w:val="355"/>
          <w:position w:val="1"/>
          <w:sz w:val="7"/>
        </w:rPr>
        <w:t> </w:t>
      </w:r>
      <w:r>
        <w:rPr>
          <w:rFonts w:ascii="Calibri"/>
          <w:color w:val="231F1F"/>
          <w:w w:val="110"/>
        </w:rPr>
        <w:t>Sodium</w:t>
      </w:r>
      <w:r>
        <w:rPr>
          <w:rFonts w:ascii="Calibri"/>
          <w:color w:val="231F1F"/>
          <w:spacing w:val="-6"/>
          <w:w w:val="110"/>
        </w:rPr>
        <w:t> </w:t>
      </w:r>
      <w:r>
        <w:rPr>
          <w:rFonts w:ascii="Calibri"/>
          <w:color w:val="231F1F"/>
          <w:w w:val="110"/>
        </w:rPr>
        <w:t>Oxybate:</w:t>
      </w:r>
      <w:r>
        <w:rPr>
          <w:rFonts w:ascii="Calibri"/>
          <w:color w:val="231F1F"/>
          <w:spacing w:val="-6"/>
          <w:w w:val="110"/>
        </w:rPr>
        <w:t> </w:t>
      </w:r>
      <w:r>
        <w:rPr>
          <w:color w:val="231F1F"/>
          <w:w w:val="110"/>
        </w:rPr>
        <w:t>opioid</w:t>
      </w:r>
      <w:r>
        <w:rPr>
          <w:color w:val="231F1F"/>
          <w:spacing w:val="-9"/>
          <w:w w:val="110"/>
        </w:rPr>
        <w:t> </w:t>
      </w:r>
      <w:r>
        <w:rPr>
          <w:color w:val="231F1F"/>
          <w:w w:val="110"/>
        </w:rPr>
        <w:t>analgesics</w:t>
      </w:r>
      <w:r>
        <w:rPr>
          <w:color w:val="231F1F"/>
          <w:spacing w:val="-9"/>
          <w:w w:val="110"/>
        </w:rPr>
        <w:t> </w:t>
      </w:r>
      <w:r>
        <w:rPr>
          <w:color w:val="231F1F"/>
          <w:w w:val="110"/>
        </w:rPr>
        <w:t>enhance</w:t>
      </w:r>
      <w:r>
        <w:rPr>
          <w:color w:val="231F1F"/>
          <w:spacing w:val="-9"/>
          <w:w w:val="110"/>
        </w:rPr>
        <w:t> </w:t>
      </w:r>
      <w:r>
        <w:rPr>
          <w:color w:val="231F1F"/>
          <w:w w:val="110"/>
        </w:rPr>
        <w:t>effects</w:t>
      </w:r>
      <w:r>
        <w:rPr>
          <w:color w:val="231F1F"/>
          <w:spacing w:val="-8"/>
          <w:w w:val="110"/>
        </w:rPr>
        <w:t> </w:t>
      </w:r>
      <w:r>
        <w:rPr>
          <w:color w:val="231F1F"/>
          <w:w w:val="110"/>
        </w:rPr>
        <w:t>of</w:t>
      </w:r>
      <w:r>
        <w:rPr>
          <w:color w:val="231F1F"/>
          <w:spacing w:val="-9"/>
          <w:w w:val="110"/>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3"/>
          <w:w w:val="110"/>
          <w:sz w:val="11"/>
        </w:rPr>
        <w:t>SODIUM OXYBATE </w:t>
      </w:r>
      <w:r>
        <w:rPr>
          <w:color w:val="231F1F"/>
          <w:w w:val="110"/>
        </w:rPr>
        <w:t>(avoid concomitant</w:t>
      </w:r>
      <w:r>
        <w:rPr>
          <w:color w:val="231F1F"/>
          <w:spacing w:val="2"/>
          <w:w w:val="110"/>
        </w:rPr>
        <w:t> </w:t>
      </w:r>
      <w:r>
        <w:rPr>
          <w:color w:val="231F1F"/>
          <w:w w:val="110"/>
        </w:rPr>
        <w:t>use)</w:t>
      </w:r>
    </w:p>
    <w:p>
      <w:pPr>
        <w:pStyle w:val="BodyText"/>
        <w:spacing w:line="220" w:lineRule="auto" w:before="2"/>
        <w:ind w:right="767" w:hanging="100"/>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opioid analgesics inhibited by </w:t>
      </w:r>
      <w:r>
        <w:rPr>
          <w:rFonts w:ascii="Calibri" w:hAnsi="Calibri"/>
          <w:color w:val="008356"/>
          <w:spacing w:val="4"/>
          <w:w w:val="105"/>
          <w:sz w:val="11"/>
        </w:rPr>
        <w:t>CIMETIDINE </w:t>
      </w:r>
      <w:r>
        <w:rPr>
          <w:color w:val="231F1F"/>
          <w:w w:val="105"/>
        </w:rPr>
        <w:t>(increased plasma</w:t>
      </w:r>
      <w:r>
        <w:rPr>
          <w:color w:val="231F1F"/>
          <w:spacing w:val="-9"/>
          <w:w w:val="105"/>
        </w:rPr>
        <w:t> </w:t>
      </w:r>
      <w:r>
        <w:rPr>
          <w:color w:val="231F1F"/>
          <w:w w:val="105"/>
        </w:rPr>
        <w:t>concentration)</w:t>
      </w:r>
    </w:p>
    <w:p>
      <w:pPr>
        <w:pStyle w:val="BodyText"/>
        <w:spacing w:before="9"/>
        <w:ind w:left="109"/>
        <w:rPr>
          <w:rFonts w:ascii="Trebuchet MS"/>
        </w:rPr>
      </w:pPr>
      <w:r>
        <w:rPr>
          <w:rFonts w:ascii="Trebuchet MS"/>
          <w:color w:val="008356"/>
        </w:rPr>
        <w:t>Oritavancin</w:t>
      </w:r>
    </w:p>
    <w:p>
      <w:pPr>
        <w:pStyle w:val="BodyText"/>
        <w:spacing w:line="220" w:lineRule="auto" w:before="10"/>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oritavancin possibly increases plasma concentration of </w:t>
      </w:r>
      <w:r>
        <w:rPr>
          <w:rFonts w:ascii="Calibri" w:hAnsi="Calibri"/>
          <w:color w:val="008356"/>
          <w:w w:val="105"/>
          <w:sz w:val="11"/>
        </w:rPr>
        <w:t>WARFARIN</w:t>
      </w:r>
    </w:p>
    <w:p>
      <w:pPr>
        <w:spacing w:line="220" w:lineRule="auto" w:before="8"/>
        <w:ind w:left="208" w:right="605"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08"/>
        <w:rPr>
          <w:rFonts w:ascii="Trebuchet MS"/>
        </w:rPr>
      </w:pPr>
      <w:r>
        <w:rPr>
          <w:rFonts w:ascii="Trebuchet MS"/>
          <w:color w:val="008356"/>
        </w:rPr>
        <w:t>Orlistat</w:t>
      </w:r>
    </w:p>
    <w:p>
      <w:pPr>
        <w:pStyle w:val="BodyText"/>
        <w:spacing w:line="220" w:lineRule="auto" w:before="10"/>
        <w:ind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orlistat possibly reduces plasma concentration of </w:t>
      </w:r>
      <w:r>
        <w:rPr>
          <w:rFonts w:ascii="Calibri" w:hAnsi="Calibri"/>
          <w:color w:val="008356"/>
          <w:w w:val="105"/>
          <w:sz w:val="11"/>
        </w:rPr>
        <w:t>AMIODARONE</w:t>
      </w:r>
    </w:p>
    <w:p>
      <w:pPr>
        <w:pStyle w:val="BodyText"/>
        <w:spacing w:line="220" w:lineRule="auto" w:before="8"/>
        <w:ind w:right="118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manufacturer of orlistat recommends monitoring anticoagulant effect of </w:t>
      </w:r>
      <w:r>
        <w:rPr>
          <w:rFonts w:ascii="Calibri" w:hAnsi="Calibri"/>
          <w:color w:val="008356"/>
          <w:w w:val="110"/>
          <w:sz w:val="11"/>
        </w:rPr>
        <w:t>COUMARINS</w:t>
      </w:r>
    </w:p>
    <w:p>
      <w:pPr>
        <w:pStyle w:val="BodyText"/>
        <w:spacing w:line="220" w:lineRule="auto" w:before="9"/>
        <w:ind w:right="124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manufacturer of orlistat advises avoid concomitant use with </w:t>
      </w:r>
      <w:r>
        <w:rPr>
          <w:rFonts w:ascii="Calibri" w:hAnsi="Calibri"/>
          <w:color w:val="008356"/>
          <w:w w:val="110"/>
          <w:sz w:val="11"/>
        </w:rPr>
        <w:t>ACARBOSE</w:t>
      </w:r>
    </w:p>
    <w:p>
      <w:pPr>
        <w:pStyle w:val="BodyText"/>
        <w:ind w:right="605" w:hanging="100"/>
        <w:rPr>
          <w:rFonts w:ascii="Calibri"/>
          <w:sz w:val="11"/>
        </w:rPr>
      </w:pPr>
      <w:r>
        <w:rPr>
          <w:rFonts w:ascii="Arial"/>
          <w:color w:val="231F1F"/>
          <w:w w:val="355"/>
          <w:position w:val="1"/>
          <w:sz w:val="7"/>
        </w:rPr>
        <w:t>l </w:t>
      </w:r>
      <w:r>
        <w:rPr>
          <w:rFonts w:ascii="Calibri"/>
          <w:color w:val="231F1F"/>
          <w:w w:val="110"/>
        </w:rPr>
        <w:t>Antiepileptics: </w:t>
      </w:r>
      <w:r>
        <w:rPr>
          <w:color w:val="231F1F"/>
          <w:w w:val="110"/>
        </w:rPr>
        <w:t>possible increased risk of convulsions </w:t>
      </w:r>
      <w:r>
        <w:rPr>
          <w:color w:val="231F1F"/>
          <w:spacing w:val="-4"/>
          <w:w w:val="110"/>
        </w:rPr>
        <w:t>when </w:t>
      </w:r>
      <w:r>
        <w:rPr>
          <w:color w:val="231F1F"/>
          <w:w w:val="110"/>
        </w:rPr>
        <w:t>orlistat given with </w:t>
      </w:r>
      <w:r>
        <w:rPr>
          <w:rFonts w:ascii="Arial"/>
          <w:color w:val="231F1F"/>
          <w:w w:val="355"/>
          <w:position w:val="1"/>
          <w:sz w:val="7"/>
        </w:rPr>
        <w:t>l </w:t>
      </w:r>
      <w:r>
        <w:rPr>
          <w:rFonts w:ascii="Calibri"/>
          <w:color w:val="008356"/>
          <w:spacing w:val="5"/>
          <w:w w:val="110"/>
          <w:sz w:val="11"/>
        </w:rPr>
        <w:t>ANTIEPILEPTICS</w:t>
      </w:r>
    </w:p>
    <w:p>
      <w:pPr>
        <w:pStyle w:val="BodyText"/>
        <w:spacing w:line="143" w:lineRule="exact"/>
        <w:ind w:left="108"/>
      </w:pPr>
      <w:r>
        <w:rPr>
          <w:rFonts w:ascii="Arial"/>
          <w:color w:val="231F1F"/>
          <w:w w:val="355"/>
          <w:position w:val="1"/>
          <w:sz w:val="7"/>
        </w:rPr>
        <w:t>l </w:t>
      </w:r>
      <w:r>
        <w:rPr>
          <w:rFonts w:ascii="Calibri"/>
          <w:color w:val="231F1F"/>
          <w:w w:val="115"/>
        </w:rPr>
        <w:t>Antivirals: </w:t>
      </w:r>
      <w:r>
        <w:rPr>
          <w:color w:val="231F1F"/>
          <w:w w:val="115"/>
        </w:rPr>
        <w:t>orlistat possibly reduces absorption of </w:t>
      </w:r>
      <w:r>
        <w:rPr>
          <w:rFonts w:ascii="Arial"/>
          <w:color w:val="231F1F"/>
          <w:w w:val="355"/>
          <w:position w:val="1"/>
          <w:sz w:val="7"/>
        </w:rPr>
        <w:t>l </w:t>
      </w:r>
      <w:r>
        <w:rPr>
          <w:rFonts w:ascii="Calibri"/>
          <w:color w:val="008356"/>
          <w:w w:val="115"/>
          <w:sz w:val="11"/>
        </w:rPr>
        <w:t>ABACAVIR</w:t>
      </w:r>
      <w:r>
        <w:rPr>
          <w:color w:val="231F1F"/>
          <w:w w:val="115"/>
        </w:rPr>
        <w:t>,</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20"/>
          <w:sz w:val="11"/>
        </w:rPr>
        <w:t>ATAZANAVIR</w:t>
      </w:r>
      <w:r>
        <w:rPr>
          <w:color w:val="231F1F"/>
          <w:spacing w:val="3"/>
          <w:w w:val="120"/>
          <w:sz w:val="12"/>
        </w:rPr>
        <w:t>, </w:t>
      </w:r>
      <w:r>
        <w:rPr>
          <w:rFonts w:ascii="Arial"/>
          <w:color w:val="231F1F"/>
          <w:w w:val="355"/>
          <w:position w:val="1"/>
          <w:sz w:val="7"/>
        </w:rPr>
        <w:t>l </w:t>
      </w:r>
      <w:r>
        <w:rPr>
          <w:rFonts w:ascii="Calibri"/>
          <w:color w:val="008356"/>
          <w:spacing w:val="4"/>
          <w:w w:val="120"/>
          <w:sz w:val="11"/>
        </w:rPr>
        <w:t>DARUNAVIR</w:t>
      </w:r>
      <w:r>
        <w:rPr>
          <w:color w:val="231F1F"/>
          <w:spacing w:val="4"/>
          <w:w w:val="120"/>
          <w:sz w:val="12"/>
        </w:rPr>
        <w:t>, </w:t>
      </w:r>
      <w:r>
        <w:rPr>
          <w:rFonts w:ascii="Arial"/>
          <w:color w:val="231F1F"/>
          <w:w w:val="355"/>
          <w:position w:val="1"/>
          <w:sz w:val="7"/>
        </w:rPr>
        <w:t>l </w:t>
      </w:r>
      <w:r>
        <w:rPr>
          <w:rFonts w:ascii="Calibri"/>
          <w:color w:val="008356"/>
          <w:spacing w:val="4"/>
          <w:w w:val="120"/>
          <w:sz w:val="11"/>
        </w:rPr>
        <w:t>DIDANOSINE</w:t>
      </w:r>
      <w:r>
        <w:rPr>
          <w:color w:val="231F1F"/>
          <w:spacing w:val="4"/>
          <w:w w:val="120"/>
          <w:sz w:val="12"/>
        </w:rPr>
        <w:t>, </w:t>
      </w:r>
      <w:r>
        <w:rPr>
          <w:rFonts w:ascii="Arial"/>
          <w:color w:val="231F1F"/>
          <w:w w:val="355"/>
          <w:position w:val="1"/>
          <w:sz w:val="7"/>
        </w:rPr>
        <w:t>l </w:t>
      </w:r>
      <w:r>
        <w:rPr>
          <w:rFonts w:ascii="Calibri"/>
          <w:color w:val="008356"/>
          <w:spacing w:val="3"/>
          <w:w w:val="120"/>
          <w:sz w:val="11"/>
        </w:rPr>
        <w:t>EFAVIRENZ</w:t>
      </w:r>
      <w:r>
        <w:rPr>
          <w:color w:val="231F1F"/>
          <w:spacing w:val="3"/>
          <w:w w:val="120"/>
          <w:sz w:val="12"/>
        </w:rPr>
        <w:t>,</w:t>
      </w:r>
    </w:p>
    <w:p>
      <w:pPr>
        <w:spacing w:before="1"/>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5"/>
          <w:sz w:val="11"/>
        </w:rPr>
        <w:t>ELVITEGRAVIR</w:t>
      </w:r>
      <w:r>
        <w:rPr>
          <w:color w:val="231F1F"/>
          <w:spacing w:val="3"/>
          <w:w w:val="115"/>
          <w:sz w:val="12"/>
        </w:rPr>
        <w:t>, </w:t>
      </w:r>
      <w:r>
        <w:rPr>
          <w:rFonts w:ascii="Arial"/>
          <w:color w:val="231F1F"/>
          <w:w w:val="355"/>
          <w:position w:val="1"/>
          <w:sz w:val="7"/>
        </w:rPr>
        <w:t>l </w:t>
      </w:r>
      <w:r>
        <w:rPr>
          <w:rFonts w:ascii="Calibri"/>
          <w:color w:val="008356"/>
          <w:spacing w:val="4"/>
          <w:w w:val="115"/>
          <w:sz w:val="11"/>
        </w:rPr>
        <w:t>EMTRICITABINE</w:t>
      </w:r>
      <w:r>
        <w:rPr>
          <w:color w:val="231F1F"/>
          <w:spacing w:val="4"/>
          <w:w w:val="115"/>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ENFUVIRTIDE</w:t>
      </w:r>
      <w:r>
        <w:rPr>
          <w:color w:val="231F1F"/>
          <w:spacing w:val="4"/>
          <w:w w:val="115"/>
          <w:sz w:val="12"/>
        </w:rPr>
        <w:t>, </w:t>
      </w:r>
      <w:r>
        <w:rPr>
          <w:rFonts w:ascii="Arial"/>
          <w:color w:val="231F1F"/>
          <w:w w:val="355"/>
          <w:position w:val="1"/>
          <w:sz w:val="7"/>
        </w:rPr>
        <w:t>l </w:t>
      </w:r>
      <w:r>
        <w:rPr>
          <w:rFonts w:ascii="Calibri"/>
          <w:color w:val="008356"/>
          <w:spacing w:val="4"/>
          <w:w w:val="115"/>
          <w:sz w:val="11"/>
        </w:rPr>
        <w:t>ETRAVIRINE</w:t>
      </w:r>
      <w:r>
        <w:rPr>
          <w:color w:val="231F1F"/>
          <w:spacing w:val="4"/>
          <w:w w:val="115"/>
          <w:sz w:val="12"/>
        </w:rPr>
        <w:t>,</w:t>
      </w:r>
    </w:p>
    <w:p>
      <w:pPr>
        <w:spacing w:line="242" w:lineRule="auto" w:before="2"/>
        <w:ind w:left="208" w:right="929" w:firstLine="0"/>
        <w:jc w:val="left"/>
        <w:rPr>
          <w:sz w:val="12"/>
        </w:rPr>
      </w:pPr>
      <w:r>
        <w:rPr>
          <w:rFonts w:ascii="Arial"/>
          <w:color w:val="231F1F"/>
          <w:w w:val="110"/>
          <w:position w:val="1"/>
          <w:sz w:val="7"/>
        </w:rPr>
        <w:t>l</w:t>
      </w:r>
      <w:r>
        <w:rPr>
          <w:rFonts w:ascii="Arial"/>
          <w:color w:val="231F1F"/>
          <w:spacing w:val="-3"/>
          <w:w w:val="110"/>
          <w:position w:val="1"/>
          <w:sz w:val="7"/>
        </w:rPr>
        <w:t> </w:t>
      </w:r>
      <w:r>
        <w:rPr>
          <w:rFonts w:ascii="Calibri"/>
          <w:color w:val="008356"/>
          <w:spacing w:val="4"/>
          <w:w w:val="110"/>
          <w:sz w:val="11"/>
        </w:rPr>
        <w:t>FOSAMPRENAVIR</w:t>
      </w:r>
      <w:r>
        <w:rPr>
          <w:color w:val="231F1F"/>
          <w:spacing w:val="4"/>
          <w:w w:val="110"/>
          <w:sz w:val="12"/>
        </w:rPr>
        <w:t>,</w:t>
      </w:r>
      <w:r>
        <w:rPr>
          <w:color w:val="231F1F"/>
          <w:spacing w:val="-11"/>
          <w:w w:val="110"/>
          <w:sz w:val="12"/>
        </w:rPr>
        <w:t> </w:t>
      </w:r>
      <w:r>
        <w:rPr>
          <w:rFonts w:ascii="Arial"/>
          <w:color w:val="231F1F"/>
          <w:w w:val="110"/>
          <w:position w:val="1"/>
          <w:sz w:val="7"/>
        </w:rPr>
        <w:t>l</w:t>
      </w:r>
      <w:r>
        <w:rPr>
          <w:rFonts w:ascii="Arial"/>
          <w:color w:val="231F1F"/>
          <w:spacing w:val="-2"/>
          <w:w w:val="110"/>
          <w:position w:val="1"/>
          <w:sz w:val="7"/>
        </w:rPr>
        <w:t> </w:t>
      </w:r>
      <w:r>
        <w:rPr>
          <w:rFonts w:ascii="Calibri"/>
          <w:color w:val="008356"/>
          <w:spacing w:val="4"/>
          <w:w w:val="110"/>
          <w:sz w:val="11"/>
        </w:rPr>
        <w:t>INDINAVIR</w:t>
      </w:r>
      <w:r>
        <w:rPr>
          <w:color w:val="231F1F"/>
          <w:spacing w:val="4"/>
          <w:w w:val="110"/>
          <w:sz w:val="12"/>
        </w:rPr>
        <w:t>,</w:t>
      </w:r>
      <w:r>
        <w:rPr>
          <w:color w:val="231F1F"/>
          <w:spacing w:val="-11"/>
          <w:w w:val="110"/>
          <w:sz w:val="12"/>
        </w:rPr>
        <w:t> </w:t>
      </w:r>
      <w:r>
        <w:rPr>
          <w:rFonts w:ascii="Arial"/>
          <w:color w:val="231F1F"/>
          <w:w w:val="110"/>
          <w:position w:val="1"/>
          <w:sz w:val="7"/>
        </w:rPr>
        <w:t>l</w:t>
      </w:r>
      <w:r>
        <w:rPr>
          <w:rFonts w:ascii="Arial"/>
          <w:color w:val="231F1F"/>
          <w:spacing w:val="-2"/>
          <w:w w:val="110"/>
          <w:position w:val="1"/>
          <w:sz w:val="7"/>
        </w:rPr>
        <w:t> </w:t>
      </w:r>
      <w:r>
        <w:rPr>
          <w:rFonts w:ascii="Calibri"/>
          <w:color w:val="008356"/>
          <w:spacing w:val="4"/>
          <w:w w:val="110"/>
          <w:sz w:val="11"/>
        </w:rPr>
        <w:t>LAMIVUDINE</w:t>
      </w:r>
      <w:r>
        <w:rPr>
          <w:color w:val="231F1F"/>
          <w:spacing w:val="4"/>
          <w:w w:val="110"/>
          <w:sz w:val="12"/>
        </w:rPr>
        <w:t>,</w:t>
      </w:r>
      <w:r>
        <w:rPr>
          <w:color w:val="231F1F"/>
          <w:spacing w:val="-12"/>
          <w:w w:val="110"/>
          <w:sz w:val="12"/>
        </w:rPr>
        <w:t> </w:t>
      </w:r>
      <w:r>
        <w:rPr>
          <w:rFonts w:ascii="Arial"/>
          <w:color w:val="231F1F"/>
          <w:w w:val="110"/>
          <w:position w:val="1"/>
          <w:sz w:val="7"/>
        </w:rPr>
        <w:t>l</w:t>
      </w:r>
      <w:r>
        <w:rPr>
          <w:rFonts w:ascii="Arial"/>
          <w:color w:val="231F1F"/>
          <w:spacing w:val="-2"/>
          <w:w w:val="110"/>
          <w:position w:val="1"/>
          <w:sz w:val="7"/>
        </w:rPr>
        <w:t> </w:t>
      </w:r>
      <w:r>
        <w:rPr>
          <w:rFonts w:ascii="Calibri"/>
          <w:color w:val="008356"/>
          <w:spacing w:val="3"/>
          <w:w w:val="110"/>
          <w:sz w:val="11"/>
        </w:rPr>
        <w:t>LOPINAVIR</w:t>
      </w:r>
      <w:r>
        <w:rPr>
          <w:color w:val="231F1F"/>
          <w:spacing w:val="3"/>
          <w:w w:val="110"/>
          <w:sz w:val="12"/>
        </w:rPr>
        <w:t>, </w:t>
      </w:r>
      <w:r>
        <w:rPr>
          <w:rFonts w:ascii="Arial"/>
          <w:color w:val="231F1F"/>
          <w:w w:val="115"/>
          <w:position w:val="1"/>
          <w:sz w:val="7"/>
        </w:rPr>
        <w:t>l</w:t>
      </w:r>
      <w:r>
        <w:rPr>
          <w:rFonts w:ascii="Arial"/>
          <w:color w:val="231F1F"/>
          <w:spacing w:val="-8"/>
          <w:w w:val="115"/>
          <w:position w:val="1"/>
          <w:sz w:val="7"/>
        </w:rPr>
        <w:t> </w:t>
      </w:r>
      <w:r>
        <w:rPr>
          <w:rFonts w:ascii="Calibri"/>
          <w:color w:val="008356"/>
          <w:spacing w:val="4"/>
          <w:w w:val="115"/>
          <w:sz w:val="11"/>
        </w:rPr>
        <w:t>MARAVIROC</w:t>
      </w:r>
      <w:r>
        <w:rPr>
          <w:color w:val="231F1F"/>
          <w:spacing w:val="4"/>
          <w:w w:val="115"/>
          <w:sz w:val="12"/>
        </w:rPr>
        <w:t>,</w:t>
      </w:r>
      <w:r>
        <w:rPr>
          <w:color w:val="231F1F"/>
          <w:spacing w:val="-19"/>
          <w:w w:val="115"/>
          <w:sz w:val="12"/>
        </w:rPr>
        <w:t> </w:t>
      </w:r>
      <w:r>
        <w:rPr>
          <w:rFonts w:ascii="Arial"/>
          <w:color w:val="231F1F"/>
          <w:w w:val="115"/>
          <w:position w:val="1"/>
          <w:sz w:val="7"/>
        </w:rPr>
        <w:t>l</w:t>
      </w:r>
      <w:r>
        <w:rPr>
          <w:rFonts w:ascii="Arial"/>
          <w:color w:val="231F1F"/>
          <w:spacing w:val="-8"/>
          <w:w w:val="115"/>
          <w:position w:val="1"/>
          <w:sz w:val="7"/>
        </w:rPr>
        <w:t> </w:t>
      </w:r>
      <w:r>
        <w:rPr>
          <w:rFonts w:ascii="Calibri"/>
          <w:color w:val="008356"/>
          <w:spacing w:val="4"/>
          <w:w w:val="115"/>
          <w:sz w:val="11"/>
        </w:rPr>
        <w:t>NEVIRAPINE</w:t>
      </w:r>
      <w:r>
        <w:rPr>
          <w:color w:val="231F1F"/>
          <w:spacing w:val="4"/>
          <w:w w:val="115"/>
          <w:sz w:val="12"/>
        </w:rPr>
        <w:t>,</w:t>
      </w:r>
      <w:r>
        <w:rPr>
          <w:color w:val="231F1F"/>
          <w:spacing w:val="-18"/>
          <w:w w:val="115"/>
          <w:sz w:val="12"/>
        </w:rPr>
        <w:t> </w:t>
      </w:r>
      <w:r>
        <w:rPr>
          <w:rFonts w:ascii="Arial"/>
          <w:color w:val="231F1F"/>
          <w:w w:val="115"/>
          <w:position w:val="1"/>
          <w:sz w:val="7"/>
        </w:rPr>
        <w:t>l</w:t>
      </w:r>
      <w:r>
        <w:rPr>
          <w:rFonts w:ascii="Arial"/>
          <w:color w:val="231F1F"/>
          <w:spacing w:val="-8"/>
          <w:w w:val="115"/>
          <w:position w:val="1"/>
          <w:sz w:val="7"/>
        </w:rPr>
        <w:t> </w:t>
      </w:r>
      <w:r>
        <w:rPr>
          <w:rFonts w:ascii="Calibri"/>
          <w:color w:val="008356"/>
          <w:spacing w:val="3"/>
          <w:w w:val="115"/>
          <w:sz w:val="11"/>
        </w:rPr>
        <w:t>RALTEGRAVIR</w:t>
      </w:r>
      <w:r>
        <w:rPr>
          <w:color w:val="231F1F"/>
          <w:spacing w:val="3"/>
          <w:w w:val="115"/>
          <w:sz w:val="12"/>
        </w:rPr>
        <w:t>,</w:t>
      </w:r>
      <w:r>
        <w:rPr>
          <w:color w:val="231F1F"/>
          <w:spacing w:val="-19"/>
          <w:w w:val="115"/>
          <w:sz w:val="12"/>
        </w:rPr>
        <w:t> </w:t>
      </w:r>
      <w:r>
        <w:rPr>
          <w:rFonts w:ascii="Arial"/>
          <w:color w:val="231F1F"/>
          <w:w w:val="115"/>
          <w:position w:val="1"/>
          <w:sz w:val="7"/>
        </w:rPr>
        <w:t>l</w:t>
      </w:r>
      <w:r>
        <w:rPr>
          <w:rFonts w:ascii="Arial"/>
          <w:color w:val="231F1F"/>
          <w:spacing w:val="-8"/>
          <w:w w:val="115"/>
          <w:position w:val="1"/>
          <w:sz w:val="7"/>
        </w:rPr>
        <w:t> </w:t>
      </w:r>
      <w:r>
        <w:rPr>
          <w:rFonts w:ascii="Calibri"/>
          <w:color w:val="008356"/>
          <w:spacing w:val="4"/>
          <w:w w:val="115"/>
          <w:sz w:val="11"/>
        </w:rPr>
        <w:t>RILPIVIRINE</w:t>
      </w:r>
      <w:r>
        <w:rPr>
          <w:color w:val="231F1F"/>
          <w:spacing w:val="4"/>
          <w:w w:val="115"/>
          <w:sz w:val="12"/>
        </w:rPr>
        <w:t>, </w:t>
      </w:r>
      <w:r>
        <w:rPr>
          <w:rFonts w:ascii="Arial"/>
          <w:color w:val="231F1F"/>
          <w:w w:val="175"/>
          <w:position w:val="1"/>
          <w:sz w:val="7"/>
        </w:rPr>
        <w:t>l</w:t>
      </w:r>
      <w:r>
        <w:rPr>
          <w:rFonts w:ascii="Arial"/>
          <w:color w:val="231F1F"/>
          <w:spacing w:val="-25"/>
          <w:w w:val="175"/>
          <w:position w:val="1"/>
          <w:sz w:val="7"/>
        </w:rPr>
        <w:t> </w:t>
      </w:r>
      <w:r>
        <w:rPr>
          <w:rFonts w:ascii="Calibri"/>
          <w:color w:val="008356"/>
          <w:spacing w:val="3"/>
          <w:w w:val="120"/>
          <w:sz w:val="11"/>
        </w:rPr>
        <w:t>RITONAVIR</w:t>
      </w:r>
      <w:r>
        <w:rPr>
          <w:color w:val="231F1F"/>
          <w:spacing w:val="3"/>
          <w:w w:val="120"/>
          <w:sz w:val="12"/>
        </w:rPr>
        <w:t>,</w:t>
      </w:r>
      <w:r>
        <w:rPr>
          <w:color w:val="231F1F"/>
          <w:spacing w:val="-26"/>
          <w:w w:val="120"/>
          <w:sz w:val="12"/>
        </w:rPr>
        <w:t> </w:t>
      </w:r>
      <w:r>
        <w:rPr>
          <w:rFonts w:ascii="Arial"/>
          <w:color w:val="231F1F"/>
          <w:w w:val="175"/>
          <w:position w:val="1"/>
          <w:sz w:val="7"/>
        </w:rPr>
        <w:t>l</w:t>
      </w:r>
      <w:r>
        <w:rPr>
          <w:rFonts w:ascii="Arial"/>
          <w:color w:val="231F1F"/>
          <w:spacing w:val="-24"/>
          <w:w w:val="175"/>
          <w:position w:val="1"/>
          <w:sz w:val="7"/>
        </w:rPr>
        <w:t> </w:t>
      </w:r>
      <w:r>
        <w:rPr>
          <w:rFonts w:ascii="Calibri"/>
          <w:color w:val="008356"/>
          <w:spacing w:val="4"/>
          <w:w w:val="120"/>
          <w:sz w:val="11"/>
        </w:rPr>
        <w:t>SAQUINAVIR</w:t>
      </w:r>
      <w:r>
        <w:rPr>
          <w:color w:val="231F1F"/>
          <w:spacing w:val="4"/>
          <w:w w:val="120"/>
          <w:sz w:val="12"/>
        </w:rPr>
        <w:t>,</w:t>
      </w:r>
      <w:r>
        <w:rPr>
          <w:color w:val="231F1F"/>
          <w:spacing w:val="-25"/>
          <w:w w:val="120"/>
          <w:sz w:val="12"/>
        </w:rPr>
        <w:t> </w:t>
      </w:r>
      <w:r>
        <w:rPr>
          <w:rFonts w:ascii="Arial"/>
          <w:color w:val="231F1F"/>
          <w:w w:val="175"/>
          <w:position w:val="1"/>
          <w:sz w:val="7"/>
        </w:rPr>
        <w:t>l</w:t>
      </w:r>
      <w:r>
        <w:rPr>
          <w:rFonts w:ascii="Arial"/>
          <w:color w:val="231F1F"/>
          <w:spacing w:val="-25"/>
          <w:w w:val="175"/>
          <w:position w:val="1"/>
          <w:sz w:val="7"/>
        </w:rPr>
        <w:t> </w:t>
      </w:r>
      <w:r>
        <w:rPr>
          <w:rFonts w:ascii="Calibri"/>
          <w:color w:val="008356"/>
          <w:spacing w:val="3"/>
          <w:w w:val="120"/>
          <w:sz w:val="11"/>
        </w:rPr>
        <w:t>STAVUDINE</w:t>
      </w:r>
      <w:r>
        <w:rPr>
          <w:color w:val="231F1F"/>
          <w:spacing w:val="3"/>
          <w:w w:val="120"/>
          <w:sz w:val="12"/>
        </w:rPr>
        <w:t>,</w:t>
      </w:r>
      <w:r>
        <w:rPr>
          <w:color w:val="231F1F"/>
          <w:spacing w:val="-25"/>
          <w:w w:val="120"/>
          <w:sz w:val="12"/>
        </w:rPr>
        <w:t> </w:t>
      </w:r>
      <w:r>
        <w:rPr>
          <w:rFonts w:ascii="Arial"/>
          <w:color w:val="231F1F"/>
          <w:w w:val="175"/>
          <w:position w:val="1"/>
          <w:sz w:val="7"/>
        </w:rPr>
        <w:t>l</w:t>
      </w:r>
      <w:r>
        <w:rPr>
          <w:rFonts w:ascii="Arial"/>
          <w:color w:val="231F1F"/>
          <w:spacing w:val="-27"/>
          <w:w w:val="175"/>
          <w:position w:val="1"/>
          <w:sz w:val="7"/>
        </w:rPr>
        <w:t> </w:t>
      </w:r>
      <w:r>
        <w:rPr>
          <w:rFonts w:ascii="Calibri"/>
          <w:color w:val="008356"/>
          <w:spacing w:val="4"/>
          <w:w w:val="120"/>
          <w:sz w:val="11"/>
        </w:rPr>
        <w:t>TENOFOVIR</w:t>
      </w:r>
      <w:r>
        <w:rPr>
          <w:color w:val="231F1F"/>
          <w:spacing w:val="4"/>
          <w:w w:val="120"/>
          <w:sz w:val="12"/>
        </w:rPr>
        <w:t>,</w:t>
      </w:r>
    </w:p>
    <w:p>
      <w:pPr>
        <w:spacing w:line="141" w:lineRule="exact" w:before="1"/>
        <w:ind w:left="208" w:right="0" w:firstLine="0"/>
        <w:jc w:val="left"/>
        <w:rPr>
          <w:rFonts w:ascii="Calibri"/>
          <w:sz w:val="11"/>
        </w:rPr>
      </w:pPr>
      <w:r>
        <w:rPr>
          <w:rFonts w:ascii="Arial"/>
          <w:color w:val="231F1F"/>
          <w:w w:val="355"/>
          <w:position w:val="1"/>
          <w:sz w:val="7"/>
        </w:rPr>
        <w:t>l </w:t>
      </w:r>
      <w:r>
        <w:rPr>
          <w:rFonts w:ascii="Calibri"/>
          <w:color w:val="008356"/>
          <w:w w:val="110"/>
          <w:sz w:val="11"/>
        </w:rPr>
        <w:t>TIPRANAVIR </w:t>
      </w:r>
      <w:r>
        <w:rPr>
          <w:color w:val="231F1F"/>
          <w:w w:val="110"/>
          <w:sz w:val="12"/>
        </w:rPr>
        <w:t>and </w:t>
      </w:r>
      <w:r>
        <w:rPr>
          <w:rFonts w:ascii="Arial"/>
          <w:color w:val="231F1F"/>
          <w:w w:val="355"/>
          <w:position w:val="1"/>
          <w:sz w:val="7"/>
        </w:rPr>
        <w:t>l </w:t>
      </w:r>
      <w:r>
        <w:rPr>
          <w:rFonts w:ascii="Calibri"/>
          <w:color w:val="008356"/>
          <w:w w:val="110"/>
          <w:sz w:val="11"/>
        </w:rPr>
        <w:t>ZIDOVUDINE</w:t>
      </w:r>
    </w:p>
    <w:p>
      <w:pPr>
        <w:pStyle w:val="BodyText"/>
        <w:spacing w:line="145" w:lineRule="exact"/>
        <w:ind w:left="108"/>
      </w:pPr>
      <w:r>
        <w:rPr>
          <w:rFonts w:ascii="Arial"/>
          <w:color w:val="231F1F"/>
          <w:w w:val="355"/>
          <w:position w:val="1"/>
          <w:sz w:val="7"/>
        </w:rPr>
        <w:t>l </w:t>
      </w:r>
      <w:r>
        <w:rPr>
          <w:rFonts w:ascii="Calibri"/>
          <w:color w:val="231F1F"/>
          <w:w w:val="110"/>
        </w:rPr>
        <w:t>Ciclosporin: </w:t>
      </w:r>
      <w:r>
        <w:rPr>
          <w:color w:val="231F1F"/>
          <w:w w:val="110"/>
        </w:rPr>
        <w:t>orlistat possibly reduces absorption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220" w:lineRule="auto" w:before="8"/>
        <w:ind w:right="605" w:hanging="100"/>
        <w:rPr>
          <w:rFonts w:ascii="Calibri" w:hAnsi="Calibri"/>
          <w:sz w:val="11"/>
        </w:rPr>
      </w:pPr>
      <w:r>
        <w:rPr>
          <w:rFonts w:ascii="Lucida Sans Unicode" w:hAnsi="Lucida Sans Unicode"/>
          <w:color w:val="A7A8AC"/>
          <w:w w:val="95"/>
          <w:sz w:val="10"/>
        </w:rPr>
        <w:t>▶ </w:t>
      </w:r>
      <w:r>
        <w:rPr>
          <w:rFonts w:ascii="Calibri" w:hAnsi="Calibri"/>
          <w:color w:val="231F1F"/>
          <w:w w:val="110"/>
        </w:rPr>
        <w:t>Thyroid Hormones: </w:t>
      </w:r>
      <w:r>
        <w:rPr>
          <w:color w:val="231F1F"/>
          <w:w w:val="110"/>
        </w:rPr>
        <w:t>possible increased risk of hypothyroidism when orlistat given with </w:t>
      </w:r>
      <w:r>
        <w:rPr>
          <w:rFonts w:ascii="Calibri" w:hAnsi="Calibri"/>
          <w:color w:val="008356"/>
          <w:w w:val="110"/>
          <w:sz w:val="11"/>
        </w:rPr>
        <w:t>LEVOTHYROXINE</w:t>
      </w:r>
    </w:p>
    <w:p>
      <w:pPr>
        <w:pStyle w:val="BodyText"/>
        <w:spacing w:line="256" w:lineRule="auto" w:before="9"/>
        <w:ind w:left="108" w:right="1598"/>
        <w:rPr>
          <w:rFonts w:ascii="Trebuchet MS"/>
        </w:rPr>
      </w:pPr>
      <w:r>
        <w:rPr>
          <w:rFonts w:ascii="Trebuchet MS"/>
          <w:color w:val="008356"/>
          <w:w w:val="110"/>
        </w:rPr>
        <w:t>Orphenadrine </w:t>
      </w:r>
      <w:r>
        <w:rPr>
          <w:i/>
          <w:color w:val="231F1F"/>
          <w:w w:val="110"/>
        </w:rPr>
        <w:t>see </w:t>
      </w:r>
      <w:r>
        <w:rPr>
          <w:color w:val="231F1F"/>
          <w:w w:val="110"/>
        </w:rPr>
        <w:t>Antimuscarinics </w:t>
      </w:r>
      <w:r>
        <w:rPr>
          <w:rFonts w:ascii="Trebuchet MS"/>
          <w:color w:val="008356"/>
          <w:w w:val="110"/>
        </w:rPr>
        <w:t>Oxaliplatin </w:t>
      </w:r>
      <w:r>
        <w:rPr>
          <w:i/>
          <w:color w:val="231F1F"/>
          <w:w w:val="110"/>
        </w:rPr>
        <w:t>see </w:t>
      </w:r>
      <w:r>
        <w:rPr>
          <w:color w:val="231F1F"/>
          <w:w w:val="110"/>
        </w:rPr>
        <w:t>Platinum Compounds </w:t>
      </w:r>
      <w:r>
        <w:rPr>
          <w:rFonts w:ascii="Trebuchet MS"/>
          <w:color w:val="008356"/>
          <w:w w:val="110"/>
        </w:rPr>
        <w:t>Oxandrolone </w:t>
      </w:r>
      <w:r>
        <w:rPr>
          <w:i/>
          <w:color w:val="231F1F"/>
          <w:w w:val="110"/>
        </w:rPr>
        <w:t>see </w:t>
      </w:r>
      <w:r>
        <w:rPr>
          <w:color w:val="231F1F"/>
          <w:w w:val="110"/>
        </w:rPr>
        <w:t>Anabolic Steroids </w:t>
      </w:r>
      <w:r>
        <w:rPr>
          <w:rFonts w:ascii="Trebuchet MS"/>
          <w:color w:val="008356"/>
          <w:w w:val="110"/>
        </w:rPr>
        <w:t>Oxazepam </w:t>
      </w:r>
      <w:r>
        <w:rPr>
          <w:i/>
          <w:color w:val="231F1F"/>
          <w:w w:val="110"/>
        </w:rPr>
        <w:t>see </w:t>
      </w:r>
      <w:r>
        <w:rPr>
          <w:color w:val="231F1F"/>
          <w:w w:val="110"/>
        </w:rPr>
        <w:t>Anxiolytics and Hypnotics </w:t>
      </w:r>
      <w:r>
        <w:rPr>
          <w:rFonts w:ascii="Trebuchet MS"/>
          <w:color w:val="008356"/>
          <w:w w:val="110"/>
        </w:rPr>
        <w:t>Oxcarbazepine</w:t>
      </w:r>
    </w:p>
    <w:p>
      <w:pPr>
        <w:pStyle w:val="BodyText"/>
        <w:spacing w:line="138"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Antidepressants: </w:t>
      </w:r>
      <w:r>
        <w:rPr>
          <w:color w:val="231F1F"/>
          <w:w w:val="115"/>
        </w:rPr>
        <w:t>anticonvulsant effect of antiepileptics</w:t>
      </w:r>
    </w:p>
    <w:p>
      <w:pPr>
        <w:spacing w:line="242" w:lineRule="auto" w:before="0"/>
        <w:ind w:left="208" w:right="700" w:firstLine="0"/>
        <w:jc w:val="left"/>
        <w:rPr>
          <w:sz w:val="12"/>
        </w:rPr>
      </w:pPr>
      <w:r>
        <w:rPr>
          <w:color w:val="231F1F"/>
          <w:w w:val="110"/>
          <w:sz w:val="12"/>
        </w:rPr>
        <w:t>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44" w:lineRule="auto"/>
        <w:ind w:right="757" w:hanging="100"/>
      </w:pPr>
      <w:r>
        <w:rPr>
          <w:rFonts w:ascii="Arial"/>
          <w:color w:val="231F1F"/>
          <w:w w:val="355"/>
          <w:position w:val="1"/>
          <w:sz w:val="7"/>
        </w:rPr>
        <w:t>l </w:t>
      </w:r>
      <w:r>
        <w:rPr>
          <w:rFonts w:ascii="Calibri"/>
          <w:color w:val="231F1F"/>
          <w:w w:val="110"/>
        </w:rPr>
        <w:t>Antiepileptics: </w:t>
      </w:r>
      <w:r>
        <w:rPr>
          <w:color w:val="231F1F"/>
          <w:w w:val="110"/>
        </w:rPr>
        <w:t>oxcarbazepine sometimes reduces plasma concentration of </w:t>
      </w:r>
      <w:r>
        <w:rPr>
          <w:rFonts w:ascii="Calibri"/>
          <w:color w:val="008356"/>
          <w:spacing w:val="4"/>
          <w:w w:val="110"/>
          <w:sz w:val="11"/>
        </w:rPr>
        <w:t>CARBAMAZEPINE </w:t>
      </w:r>
      <w:r>
        <w:rPr>
          <w:color w:val="231F1F"/>
          <w:w w:val="110"/>
        </w:rPr>
        <w:t>(but concentration of an active metabolite of carbamazepine may be increased), also plasma concentration of an active metabolite of oxcarbazepine often reduced; avoidance of oxcarbazepine advised by manufacturer of </w:t>
      </w:r>
      <w:r>
        <w:rPr>
          <w:rFonts w:ascii="Calibri"/>
          <w:color w:val="008356"/>
          <w:spacing w:val="4"/>
          <w:w w:val="110"/>
          <w:sz w:val="11"/>
        </w:rPr>
        <w:t>ESLICARBAZEPINE</w:t>
      </w:r>
      <w:r>
        <w:rPr>
          <w:color w:val="231F1F"/>
          <w:spacing w:val="4"/>
          <w:w w:val="110"/>
        </w:rPr>
        <w:t>; </w:t>
      </w:r>
      <w:r>
        <w:rPr>
          <w:color w:val="231F1F"/>
          <w:w w:val="110"/>
        </w:rPr>
        <w:t>oxcarbazepine increases plasma concentration of </w:t>
      </w:r>
      <w:r>
        <w:rPr>
          <w:rFonts w:ascii="Calibri"/>
          <w:color w:val="008356"/>
          <w:spacing w:val="4"/>
          <w:w w:val="110"/>
          <w:sz w:val="11"/>
        </w:rPr>
        <w:t>FOSPHENYTOIN</w:t>
      </w:r>
      <w:r>
        <w:rPr>
          <w:color w:val="231F1F"/>
          <w:spacing w:val="4"/>
          <w:w w:val="110"/>
        </w:rPr>
        <w:t>, </w:t>
      </w:r>
      <w:r>
        <w:rPr>
          <w:rFonts w:ascii="Calibri"/>
          <w:color w:val="008356"/>
          <w:spacing w:val="4"/>
          <w:w w:val="110"/>
          <w:sz w:val="11"/>
        </w:rPr>
        <w:t>PHENOBARBITAL</w:t>
      </w:r>
      <w:r>
        <w:rPr>
          <w:color w:val="231F1F"/>
          <w:spacing w:val="4"/>
          <w:w w:val="110"/>
        </w:rPr>
        <w:t>,</w:t>
      </w:r>
      <w:r>
        <w:rPr>
          <w:color w:val="231F1F"/>
          <w:spacing w:val="-13"/>
          <w:w w:val="110"/>
        </w:rPr>
        <w:t> </w:t>
      </w:r>
      <w:r>
        <w:rPr>
          <w:rFonts w:ascii="Calibri"/>
          <w:color w:val="008356"/>
          <w:spacing w:val="4"/>
          <w:w w:val="110"/>
          <w:sz w:val="11"/>
        </w:rPr>
        <w:t>PHENYTOIN</w:t>
      </w:r>
      <w:r>
        <w:rPr>
          <w:rFonts w:ascii="Calibri"/>
          <w:color w:val="008356"/>
          <w:spacing w:val="-4"/>
          <w:w w:val="110"/>
          <w:sz w:val="11"/>
        </w:rPr>
        <w:t> </w:t>
      </w:r>
      <w:r>
        <w:rPr>
          <w:color w:val="231F1F"/>
          <w:w w:val="110"/>
        </w:rPr>
        <w:t>and</w:t>
      </w:r>
      <w:r>
        <w:rPr>
          <w:color w:val="231F1F"/>
          <w:spacing w:val="-13"/>
          <w:w w:val="110"/>
        </w:rPr>
        <w:t> </w:t>
      </w:r>
      <w:r>
        <w:rPr>
          <w:rFonts w:ascii="Calibri"/>
          <w:color w:val="008356"/>
          <w:spacing w:val="4"/>
          <w:w w:val="110"/>
          <w:sz w:val="11"/>
        </w:rPr>
        <w:t>PRIMIDONE</w:t>
      </w:r>
      <w:r>
        <w:rPr>
          <w:color w:val="231F1F"/>
          <w:spacing w:val="4"/>
          <w:w w:val="110"/>
        </w:rPr>
        <w:t>,</w:t>
      </w:r>
      <w:r>
        <w:rPr>
          <w:color w:val="231F1F"/>
          <w:spacing w:val="-12"/>
          <w:w w:val="110"/>
        </w:rPr>
        <w:t> </w:t>
      </w:r>
      <w:r>
        <w:rPr>
          <w:color w:val="231F1F"/>
          <w:w w:val="110"/>
        </w:rPr>
        <w:t>also</w:t>
      </w:r>
      <w:r>
        <w:rPr>
          <w:color w:val="231F1F"/>
          <w:spacing w:val="-14"/>
          <w:w w:val="110"/>
        </w:rPr>
        <w:t> </w:t>
      </w:r>
      <w:r>
        <w:rPr>
          <w:color w:val="231F1F"/>
          <w:w w:val="110"/>
        </w:rPr>
        <w:t>plasma</w:t>
      </w:r>
    </w:p>
    <w:p>
      <w:pPr>
        <w:pStyle w:val="BodyText"/>
        <w:spacing w:line="247" w:lineRule="auto"/>
        <w:ind w:right="998"/>
      </w:pPr>
      <w:r>
        <w:rPr>
          <w:color w:val="231F1F"/>
          <w:w w:val="110"/>
        </w:rPr>
        <w:t>concentration of an active metabolite of oxcarbazepine reduced; oxcarbazepine reduces plasma concentration </w:t>
      </w:r>
      <w:r>
        <w:rPr>
          <w:color w:val="231F1F"/>
          <w:spacing w:val="-7"/>
          <w:w w:val="110"/>
        </w:rPr>
        <w:t>of   </w:t>
      </w:r>
      <w:r>
        <w:rPr>
          <w:rFonts w:ascii="Arial"/>
          <w:color w:val="231F1F"/>
          <w:w w:val="355"/>
          <w:position w:val="1"/>
          <w:sz w:val="7"/>
        </w:rPr>
        <w:t>l </w:t>
      </w:r>
      <w:r>
        <w:rPr>
          <w:rFonts w:ascii="Calibri"/>
          <w:color w:val="008356"/>
          <w:spacing w:val="4"/>
          <w:w w:val="110"/>
          <w:sz w:val="11"/>
        </w:rPr>
        <w:t>PERAMPANEL </w:t>
      </w:r>
      <w:r>
        <w:rPr>
          <w:color w:val="231F1F"/>
          <w:w w:val="110"/>
        </w:rPr>
        <w:t>(see under Perampanel, p. 398); plasma concentration</w:t>
      </w:r>
      <w:r>
        <w:rPr>
          <w:color w:val="231F1F"/>
          <w:spacing w:val="7"/>
          <w:w w:val="110"/>
        </w:rPr>
        <w:t> </w:t>
      </w:r>
      <w:r>
        <w:rPr>
          <w:color w:val="231F1F"/>
          <w:w w:val="110"/>
        </w:rPr>
        <w:t>of</w:t>
      </w:r>
      <w:r>
        <w:rPr>
          <w:color w:val="231F1F"/>
          <w:spacing w:val="11"/>
          <w:w w:val="110"/>
        </w:rPr>
        <w:t> </w:t>
      </w:r>
      <w:r>
        <w:rPr>
          <w:color w:val="231F1F"/>
          <w:w w:val="110"/>
        </w:rPr>
        <w:t>an</w:t>
      </w:r>
      <w:r>
        <w:rPr>
          <w:color w:val="231F1F"/>
          <w:spacing w:val="10"/>
          <w:w w:val="110"/>
        </w:rPr>
        <w:t> </w:t>
      </w:r>
      <w:r>
        <w:rPr>
          <w:color w:val="231F1F"/>
          <w:w w:val="110"/>
        </w:rPr>
        <w:t>active</w:t>
      </w:r>
      <w:r>
        <w:rPr>
          <w:color w:val="231F1F"/>
          <w:spacing w:val="12"/>
          <w:w w:val="110"/>
        </w:rPr>
        <w:t> </w:t>
      </w:r>
      <w:r>
        <w:rPr>
          <w:color w:val="231F1F"/>
          <w:w w:val="110"/>
        </w:rPr>
        <w:t>metabolite</w:t>
      </w:r>
      <w:r>
        <w:rPr>
          <w:color w:val="231F1F"/>
          <w:spacing w:val="11"/>
          <w:w w:val="110"/>
        </w:rPr>
        <w:t> </w:t>
      </w:r>
      <w:r>
        <w:rPr>
          <w:color w:val="231F1F"/>
          <w:w w:val="110"/>
        </w:rPr>
        <w:t>of</w:t>
      </w:r>
      <w:r>
        <w:rPr>
          <w:color w:val="231F1F"/>
          <w:spacing w:val="11"/>
          <w:w w:val="110"/>
        </w:rPr>
        <w:t> </w:t>
      </w:r>
      <w:r>
        <w:rPr>
          <w:color w:val="231F1F"/>
          <w:w w:val="110"/>
        </w:rPr>
        <w:t>oxcarbazepine</w:t>
      </w:r>
    </w:p>
    <w:p>
      <w:pPr>
        <w:spacing w:line="141" w:lineRule="exact" w:before="0"/>
        <w:ind w:left="208" w:right="0" w:firstLine="0"/>
        <w:jc w:val="left"/>
        <w:rPr>
          <w:rFonts w:ascii="Calibri"/>
          <w:sz w:val="11"/>
        </w:rPr>
      </w:pPr>
      <w:r>
        <w:rPr>
          <w:color w:val="231F1F"/>
          <w:w w:val="105"/>
          <w:sz w:val="12"/>
        </w:rPr>
        <w:t>sometimes reduced by </w:t>
      </w:r>
      <w:r>
        <w:rPr>
          <w:rFonts w:ascii="Calibri"/>
          <w:color w:val="008356"/>
          <w:w w:val="105"/>
          <w:sz w:val="11"/>
        </w:rPr>
        <w:t>SODIUM VALPROATE </w:t>
      </w:r>
      <w:r>
        <w:rPr>
          <w:color w:val="231F1F"/>
          <w:w w:val="105"/>
          <w:sz w:val="12"/>
        </w:rPr>
        <w:t>and </w:t>
      </w:r>
      <w:r>
        <w:rPr>
          <w:rFonts w:ascii="Calibri"/>
          <w:color w:val="008356"/>
          <w:w w:val="105"/>
          <w:sz w:val="11"/>
        </w:rPr>
        <w:t>VALPROIC ACID</w:t>
      </w:r>
    </w:p>
    <w:p>
      <w:pPr>
        <w:pStyle w:val="BodyText"/>
        <w:ind w:right="1223"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right="70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242" w:lineRule="auto"/>
        <w:ind w:right="700" w:hanging="100"/>
      </w:pPr>
      <w:r>
        <w:rPr>
          <w:rFonts w:ascii="Arial" w:hAnsi="Arial"/>
          <w:color w:val="231F1F"/>
          <w:w w:val="355"/>
          <w:position w:val="1"/>
          <w:sz w:val="7"/>
        </w:rPr>
        <w:t>l </w:t>
      </w:r>
      <w:r>
        <w:rPr>
          <w:rFonts w:ascii="Calibri" w:hAnsi="Calibri"/>
          <w:color w:val="231F1F"/>
          <w:w w:val="110"/>
        </w:rPr>
        <w:t>Antivirals: </w:t>
      </w:r>
      <w:r>
        <w:rPr>
          <w:color w:val="231F1F"/>
          <w:w w:val="110"/>
        </w:rPr>
        <w:t>oxcarbazepine possibly reduces plasma concentration of </w:t>
      </w:r>
      <w:r>
        <w:rPr>
          <w:rFonts w:ascii="Arial" w:hAnsi="Arial"/>
          <w:color w:val="231F1F"/>
          <w:w w:val="355"/>
          <w:position w:val="1"/>
          <w:sz w:val="7"/>
        </w:rPr>
        <w:t>l </w:t>
      </w:r>
      <w:r>
        <w:rPr>
          <w:rFonts w:ascii="Calibri" w:hAnsi="Calibri"/>
          <w:color w:val="008356"/>
          <w:w w:val="110"/>
          <w:sz w:val="11"/>
        </w:rPr>
        <w:t>DACLATASVIR </w:t>
      </w:r>
      <w:r>
        <w:rPr>
          <w:color w:val="231F1F"/>
          <w:w w:val="110"/>
        </w:rPr>
        <w:t>and </w:t>
      </w:r>
      <w:r>
        <w:rPr>
          <w:rFonts w:ascii="Arial" w:hAnsi="Arial"/>
          <w:color w:val="231F1F"/>
          <w:w w:val="355"/>
          <w:position w:val="1"/>
          <w:sz w:val="7"/>
        </w:rPr>
        <w:t>l </w:t>
      </w:r>
      <w:r>
        <w:rPr>
          <w:rFonts w:ascii="Calibri" w:hAnsi="Calibri"/>
          <w:color w:val="008356"/>
          <w:w w:val="110"/>
          <w:sz w:val="11"/>
        </w:rPr>
        <w:t>SIMEPREVIR</w:t>
      </w:r>
      <w:r>
        <w:rPr>
          <w:rFonts w:ascii="Arial" w:hAnsi="Arial"/>
          <w:color w:val="231F1F"/>
          <w:w w:val="110"/>
        </w:rPr>
        <w:t>— </w:t>
      </w:r>
      <w:r>
        <w:rPr>
          <w:color w:val="231F1F"/>
          <w:w w:val="110"/>
        </w:rPr>
        <w:t>manufacturer of daclatasvir and simeprevir advises avoid concomitant use; avoidance of oxcarbazepine advised by</w:t>
      </w:r>
    </w:p>
    <w:p>
      <w:pPr>
        <w:spacing w:after="0" w:line="242" w:lineRule="auto"/>
        <w:sectPr>
          <w:pgSz w:w="8390" w:h="11910"/>
          <w:pgMar w:header="0" w:footer="0" w:top="460" w:bottom="0" w:left="480" w:right="0"/>
          <w:cols w:num="2" w:equalWidth="0">
            <w:col w:w="3605" w:space="70"/>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296" filled="true" fillcolor="#bfdbcf" stroked="false">
            <v:fill type="solid"/>
            <w10:wrap type="none"/>
          </v:rect>
        </w:pict>
      </w:r>
      <w:r>
        <w:rPr/>
        <w:pict>
          <v:shape style="position:absolute;margin-left:7.751256pt;margin-top:35.804367pt;width:10.4pt;height:78.850pt;mso-position-horizontal-relative:page;mso-position-vertical-relative:page;z-index:532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Oxcarbazepine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Antivirals (continued)</w:t>
      </w:r>
    </w:p>
    <w:p>
      <w:pPr>
        <w:spacing w:line="242" w:lineRule="auto" w:before="0"/>
        <w:ind w:left="286" w:right="0" w:firstLine="0"/>
        <w:jc w:val="left"/>
        <w:rPr>
          <w:sz w:val="12"/>
        </w:rPr>
      </w:pPr>
      <w:r>
        <w:rPr>
          <w:color w:val="231F1F"/>
          <w:w w:val="110"/>
          <w:sz w:val="12"/>
        </w:rPr>
        <w:t>manufacturer of </w:t>
      </w:r>
      <w:r>
        <w:rPr>
          <w:rFonts w:ascii="Calibri"/>
          <w:color w:val="008356"/>
          <w:w w:val="110"/>
          <w:sz w:val="11"/>
        </w:rPr>
        <w:t>DOLUTEGRAVIR </w:t>
      </w:r>
      <w:r>
        <w:rPr>
          <w:color w:val="231F1F"/>
          <w:w w:val="110"/>
          <w:sz w:val="12"/>
        </w:rPr>
        <w:t>and </w:t>
      </w:r>
      <w:r>
        <w:rPr>
          <w:rFonts w:ascii="Calibri"/>
          <w:color w:val="008356"/>
          <w:w w:val="110"/>
          <w:sz w:val="11"/>
        </w:rPr>
        <w:t>SOFOSBUVIR</w:t>
      </w:r>
      <w:r>
        <w:rPr>
          <w:color w:val="231F1F"/>
          <w:w w:val="110"/>
          <w:sz w:val="12"/>
        </w:rPr>
        <w:t>; avoidance of oxcarbazepine advised by manufacturer of </w:t>
      </w:r>
      <w:r>
        <w:rPr>
          <w:rFonts w:ascii="Arial"/>
          <w:color w:val="231F1F"/>
          <w:w w:val="355"/>
          <w:position w:val="1"/>
          <w:sz w:val="7"/>
        </w:rPr>
        <w:t>l </w:t>
      </w:r>
      <w:r>
        <w:rPr>
          <w:rFonts w:ascii="Calibri"/>
          <w:color w:val="008356"/>
          <w:w w:val="110"/>
          <w:sz w:val="11"/>
        </w:rPr>
        <w:t>RILPIVIRINE </w:t>
      </w:r>
      <w:r>
        <w:rPr>
          <w:color w:val="231F1F"/>
          <w:w w:val="110"/>
          <w:sz w:val="12"/>
        </w:rPr>
        <w:t>(plasma concentration of rilpivirine possibly reduced)</w:t>
      </w:r>
    </w:p>
    <w:p>
      <w:pPr>
        <w:pStyle w:val="BodyText"/>
        <w:spacing w:line="220" w:lineRule="auto" w:before="9"/>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oxcarbazepine possibly reduces plasma concentration of </w:t>
      </w:r>
      <w:r>
        <w:rPr>
          <w:rFonts w:ascii="Calibri" w:hAnsi="Calibri"/>
          <w:color w:val="008356"/>
          <w:w w:val="105"/>
          <w:sz w:val="11"/>
        </w:rPr>
        <w:t>CICLOSPORIN</w:t>
      </w:r>
    </w:p>
    <w:p>
      <w:pPr>
        <w:pStyle w:val="BodyText"/>
        <w:ind w:left="286" w:right="3"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oxcarbazepine possibly reduces antiplatelet effect of </w:t>
      </w:r>
      <w:r>
        <w:rPr>
          <w:rFonts w:ascii="Arial"/>
          <w:color w:val="231F1F"/>
          <w:w w:val="355"/>
          <w:position w:val="1"/>
          <w:sz w:val="7"/>
        </w:rPr>
        <w:t>l </w:t>
      </w:r>
      <w:r>
        <w:rPr>
          <w:rFonts w:ascii="Calibri"/>
          <w:color w:val="008356"/>
          <w:w w:val="110"/>
          <w:sz w:val="11"/>
        </w:rPr>
        <w:t>CLOPIDOGREL</w:t>
      </w:r>
    </w:p>
    <w:p>
      <w:pPr>
        <w:pStyle w:val="BodyText"/>
        <w:spacing w:line="143" w:lineRule="exact"/>
        <w:ind w:left="186"/>
      </w:pPr>
      <w:r>
        <w:rPr>
          <w:rFonts w:ascii="Arial"/>
          <w:color w:val="231F1F"/>
          <w:w w:val="355"/>
          <w:position w:val="1"/>
          <w:sz w:val="7"/>
        </w:rPr>
        <w:t>l </w:t>
      </w:r>
      <w:r>
        <w:rPr>
          <w:rFonts w:ascii="Calibri"/>
          <w:color w:val="231F1F"/>
          <w:w w:val="115"/>
        </w:rPr>
        <w:t>Cytotoxics: </w:t>
      </w:r>
      <w:r>
        <w:rPr>
          <w:color w:val="231F1F"/>
          <w:w w:val="115"/>
        </w:rPr>
        <w:t>oxcarbazepine reduces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IMATINIB</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145" w:lineRule="exact"/>
        <w:ind w:left="186"/>
      </w:pPr>
      <w:r>
        <w:rPr>
          <w:rFonts w:ascii="Arial"/>
          <w:color w:val="231F1F"/>
          <w:w w:val="355"/>
          <w:position w:val="1"/>
          <w:sz w:val="7"/>
        </w:rPr>
        <w:t>l </w:t>
      </w:r>
      <w:r>
        <w:rPr>
          <w:rFonts w:ascii="Calibri"/>
          <w:color w:val="231F1F"/>
          <w:w w:val="115"/>
        </w:rPr>
        <w:t>Oestrogens: </w:t>
      </w:r>
      <w:r>
        <w:rPr>
          <w:color w:val="231F1F"/>
          <w:w w:val="115"/>
        </w:rPr>
        <w:t>oxcarbazepine accelerates metabolism of</w:t>
      </w:r>
    </w:p>
    <w:p>
      <w:pPr>
        <w:pStyle w:val="BodyText"/>
        <w:spacing w:line="244" w:lineRule="auto"/>
        <w:ind w:left="286" w:hanging="1"/>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left="286" w:right="480"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86"/>
      </w:pPr>
      <w:r>
        <w:rPr>
          <w:rFonts w:ascii="Arial"/>
          <w:color w:val="231F1F"/>
          <w:w w:val="355"/>
          <w:position w:val="1"/>
          <w:sz w:val="7"/>
        </w:rPr>
        <w:t>l </w:t>
      </w:r>
      <w:r>
        <w:rPr>
          <w:rFonts w:ascii="Calibri"/>
          <w:color w:val="231F1F"/>
          <w:w w:val="115"/>
        </w:rPr>
        <w:t>Progestogens: </w:t>
      </w:r>
      <w:r>
        <w:rPr>
          <w:color w:val="231F1F"/>
          <w:w w:val="115"/>
        </w:rPr>
        <w:t>oxcarbazepine accelerates metabolism of</w:t>
      </w:r>
    </w:p>
    <w:p>
      <w:pPr>
        <w:pStyle w:val="BodyText"/>
        <w:spacing w:line="247" w:lineRule="auto"/>
        <w:ind w:left="286" w:right="7" w:hanging="1"/>
      </w:pPr>
      <w:r>
        <w:rPr>
          <w:rFonts w:ascii="Arial" w:hAnsi="Arial"/>
          <w:color w:val="231F1F"/>
          <w:w w:val="245"/>
          <w:position w:val="1"/>
          <w:sz w:val="7"/>
        </w:rPr>
        <w:t>l</w:t>
      </w:r>
      <w:r>
        <w:rPr>
          <w:rFonts w:ascii="Arial" w:hAnsi="Arial"/>
          <w:color w:val="231F1F"/>
          <w:spacing w:val="-39"/>
          <w:w w:val="24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56" w:lineRule="auto" w:before="5"/>
        <w:ind w:left="186" w:right="1186"/>
        <w:rPr>
          <w:rFonts w:ascii="Trebuchet MS"/>
        </w:rPr>
      </w:pPr>
      <w:r>
        <w:rPr>
          <w:rFonts w:ascii="Trebuchet MS"/>
          <w:color w:val="008356"/>
          <w:w w:val="110"/>
        </w:rPr>
        <w:t>Oxprenolol </w:t>
      </w:r>
      <w:r>
        <w:rPr>
          <w:i/>
          <w:color w:val="231F1F"/>
          <w:w w:val="110"/>
        </w:rPr>
        <w:t>see </w:t>
      </w:r>
      <w:r>
        <w:rPr>
          <w:color w:val="231F1F"/>
          <w:w w:val="110"/>
        </w:rPr>
        <w:t>Beta-blockers </w:t>
      </w:r>
      <w:r>
        <w:rPr>
          <w:rFonts w:ascii="Trebuchet MS"/>
          <w:color w:val="008356"/>
          <w:w w:val="110"/>
        </w:rPr>
        <w:t>Oxybutynin </w:t>
      </w:r>
      <w:r>
        <w:rPr>
          <w:i/>
          <w:color w:val="231F1F"/>
          <w:w w:val="110"/>
        </w:rPr>
        <w:t>see </w:t>
      </w:r>
      <w:r>
        <w:rPr>
          <w:color w:val="231F1F"/>
          <w:w w:val="110"/>
        </w:rPr>
        <w:t>Antimuscarinics </w:t>
      </w:r>
      <w:r>
        <w:rPr>
          <w:rFonts w:ascii="Trebuchet MS"/>
          <w:color w:val="008356"/>
          <w:w w:val="110"/>
        </w:rPr>
        <w:t>Oxycodone </w:t>
      </w:r>
      <w:r>
        <w:rPr>
          <w:i/>
          <w:color w:val="231F1F"/>
          <w:w w:val="110"/>
        </w:rPr>
        <w:t>see </w:t>
      </w:r>
      <w:r>
        <w:rPr>
          <w:color w:val="231F1F"/>
          <w:w w:val="110"/>
        </w:rPr>
        <w:t>Opioid Analgesics </w:t>
      </w:r>
      <w:r>
        <w:rPr>
          <w:rFonts w:ascii="Trebuchet MS"/>
          <w:color w:val="008356"/>
          <w:w w:val="105"/>
        </w:rPr>
        <w:t>Oxymetazoline </w:t>
      </w:r>
      <w:r>
        <w:rPr>
          <w:i/>
          <w:color w:val="231F1F"/>
          <w:w w:val="105"/>
        </w:rPr>
        <w:t>see </w:t>
      </w:r>
      <w:r>
        <w:rPr>
          <w:color w:val="231F1F"/>
          <w:w w:val="105"/>
        </w:rPr>
        <w:t>Sympathomimetics </w:t>
      </w:r>
      <w:r>
        <w:rPr>
          <w:rFonts w:ascii="Trebuchet MS"/>
          <w:color w:val="008356"/>
          <w:w w:val="110"/>
        </w:rPr>
        <w:t>Oxytetracycline </w:t>
      </w:r>
      <w:r>
        <w:rPr>
          <w:i/>
          <w:color w:val="231F1F"/>
          <w:w w:val="110"/>
        </w:rPr>
        <w:t>see </w:t>
      </w:r>
      <w:r>
        <w:rPr>
          <w:color w:val="231F1F"/>
          <w:w w:val="110"/>
        </w:rPr>
        <w:t>Tetracyclines </w:t>
      </w:r>
      <w:r>
        <w:rPr>
          <w:rFonts w:ascii="Trebuchet MS"/>
          <w:color w:val="008356"/>
          <w:w w:val="110"/>
        </w:rPr>
        <w:t>Oxytocin</w:t>
      </w:r>
    </w:p>
    <w:p>
      <w:pPr>
        <w:spacing w:line="235" w:lineRule="auto" w:before="0"/>
        <w:ind w:left="286" w:right="160" w:hanging="100"/>
        <w:jc w:val="both"/>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5"/>
          <w:w w:val="95"/>
          <w:sz w:val="10"/>
        </w:rPr>
        <w:t> </w:t>
      </w:r>
      <w:r>
        <w:rPr>
          <w:rFonts w:ascii="Calibri" w:hAnsi="Calibri"/>
          <w:color w:val="231F1F"/>
          <w:w w:val="110"/>
          <w:sz w:val="12"/>
        </w:rPr>
        <w:t>Anaesthetics,</w:t>
      </w:r>
      <w:r>
        <w:rPr>
          <w:rFonts w:ascii="Calibri" w:hAnsi="Calibri"/>
          <w:color w:val="231F1F"/>
          <w:spacing w:val="-12"/>
          <w:w w:val="110"/>
          <w:sz w:val="12"/>
        </w:rPr>
        <w:t> </w:t>
      </w:r>
      <w:r>
        <w:rPr>
          <w:rFonts w:ascii="Calibri" w:hAnsi="Calibri"/>
          <w:color w:val="231F1F"/>
          <w:w w:val="110"/>
          <w:sz w:val="12"/>
        </w:rPr>
        <w:t>General:</w:t>
      </w:r>
      <w:r>
        <w:rPr>
          <w:rFonts w:ascii="Calibri" w:hAnsi="Calibri"/>
          <w:color w:val="231F1F"/>
          <w:spacing w:val="-9"/>
          <w:w w:val="110"/>
          <w:sz w:val="12"/>
        </w:rPr>
        <w:t> </w:t>
      </w:r>
      <w:r>
        <w:rPr>
          <w:color w:val="231F1F"/>
          <w:w w:val="110"/>
          <w:sz w:val="12"/>
        </w:rPr>
        <w:t>oxytocic</w:t>
      </w:r>
      <w:r>
        <w:rPr>
          <w:color w:val="231F1F"/>
          <w:spacing w:val="-13"/>
          <w:w w:val="110"/>
          <w:sz w:val="12"/>
        </w:rPr>
        <w:t> </w:t>
      </w:r>
      <w:r>
        <w:rPr>
          <w:color w:val="231F1F"/>
          <w:w w:val="110"/>
          <w:sz w:val="12"/>
        </w:rPr>
        <w:t>effect</w:t>
      </w:r>
      <w:r>
        <w:rPr>
          <w:color w:val="231F1F"/>
          <w:spacing w:val="-13"/>
          <w:w w:val="110"/>
          <w:sz w:val="12"/>
        </w:rPr>
        <w:t> </w:t>
      </w:r>
      <w:r>
        <w:rPr>
          <w:color w:val="231F1F"/>
          <w:w w:val="110"/>
          <w:sz w:val="12"/>
        </w:rPr>
        <w:t>possibly</w:t>
      </w:r>
      <w:r>
        <w:rPr>
          <w:color w:val="231F1F"/>
          <w:spacing w:val="-12"/>
          <w:w w:val="110"/>
          <w:sz w:val="12"/>
        </w:rPr>
        <w:t> </w:t>
      </w:r>
      <w:r>
        <w:rPr>
          <w:color w:val="231F1F"/>
          <w:w w:val="110"/>
          <w:sz w:val="12"/>
        </w:rPr>
        <w:t>reduced,</w:t>
      </w:r>
      <w:r>
        <w:rPr>
          <w:color w:val="231F1F"/>
          <w:spacing w:val="-14"/>
          <w:w w:val="110"/>
          <w:sz w:val="12"/>
        </w:rPr>
        <w:t> </w:t>
      </w:r>
      <w:r>
        <w:rPr>
          <w:color w:val="231F1F"/>
          <w:w w:val="110"/>
          <w:sz w:val="12"/>
        </w:rPr>
        <w:t>also enhanced hypotensive effect and risk of arrhythmias </w:t>
      </w:r>
      <w:r>
        <w:rPr>
          <w:color w:val="231F1F"/>
          <w:spacing w:val="-4"/>
          <w:w w:val="110"/>
          <w:sz w:val="12"/>
        </w:rPr>
        <w:t>when </w:t>
      </w:r>
      <w:r>
        <w:rPr>
          <w:color w:val="231F1F"/>
          <w:w w:val="105"/>
          <w:sz w:val="12"/>
        </w:rPr>
        <w:t>oxytocin given with</w:t>
      </w:r>
      <w:r>
        <w:rPr>
          <w:color w:val="231F1F"/>
          <w:spacing w:val="-23"/>
          <w:w w:val="105"/>
          <w:sz w:val="12"/>
        </w:rPr>
        <w:t> </w:t>
      </w:r>
      <w:r>
        <w:rPr>
          <w:rFonts w:ascii="Calibri" w:hAnsi="Calibri"/>
          <w:color w:val="008356"/>
          <w:spacing w:val="3"/>
          <w:w w:val="105"/>
          <w:sz w:val="11"/>
        </w:rPr>
        <w:t>VOLATILE </w:t>
      </w:r>
      <w:r>
        <w:rPr>
          <w:rFonts w:ascii="Calibri" w:hAnsi="Calibri"/>
          <w:color w:val="008356"/>
          <w:spacing w:val="4"/>
          <w:w w:val="105"/>
          <w:sz w:val="11"/>
        </w:rPr>
        <w:t>LIQUID GENERAL </w:t>
      </w:r>
      <w:r>
        <w:rPr>
          <w:rFonts w:ascii="Calibri" w:hAnsi="Calibri"/>
          <w:color w:val="008356"/>
          <w:spacing w:val="5"/>
          <w:w w:val="105"/>
          <w:sz w:val="11"/>
        </w:rPr>
        <w:t>ANAESTHETICS</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Prostaglandins:  </w:t>
      </w:r>
      <w:r>
        <w:rPr>
          <w:color w:val="231F1F"/>
          <w:w w:val="105"/>
        </w:rPr>
        <w:t>uterotonic effect  of  oxytocin potentiated</w:t>
      </w:r>
      <w:r>
        <w:rPr>
          <w:color w:val="231F1F"/>
          <w:spacing w:val="21"/>
          <w:w w:val="105"/>
        </w:rPr>
        <w:t> </w:t>
      </w:r>
      <w:r>
        <w:rPr>
          <w:color w:val="231F1F"/>
          <w:w w:val="105"/>
        </w:rPr>
        <w:t>by</w:t>
      </w:r>
    </w:p>
    <w:p>
      <w:pPr>
        <w:spacing w:line="130" w:lineRule="exact" w:before="0"/>
        <w:ind w:left="286" w:right="0" w:firstLine="0"/>
        <w:jc w:val="left"/>
        <w:rPr>
          <w:rFonts w:ascii="Calibri"/>
          <w:sz w:val="11"/>
        </w:rPr>
      </w:pPr>
      <w:r>
        <w:rPr>
          <w:rFonts w:ascii="Calibri"/>
          <w:color w:val="008356"/>
          <w:sz w:val="11"/>
        </w:rPr>
        <w:t>PROSTAGLANDINS</w:t>
      </w:r>
    </w:p>
    <w:p>
      <w:pPr>
        <w:pStyle w:val="BodyText"/>
        <w:spacing w:line="230" w:lineRule="auto"/>
        <w:ind w:left="286" w:hanging="100"/>
      </w:pPr>
      <w:r>
        <w:rPr>
          <w:rFonts w:ascii="Lucida Sans Unicode" w:hAnsi="Lucida Sans Unicode"/>
          <w:color w:val="A7A8AC"/>
          <w:w w:val="95"/>
          <w:sz w:val="10"/>
        </w:rPr>
        <w:t>▶ </w:t>
      </w:r>
      <w:r>
        <w:rPr>
          <w:rFonts w:ascii="Calibri" w:hAnsi="Calibri"/>
          <w:color w:val="231F1F"/>
          <w:w w:val="105"/>
        </w:rPr>
        <w:t>Sympathomimetics: </w:t>
      </w:r>
      <w:r>
        <w:rPr>
          <w:color w:val="231F1F"/>
          <w:w w:val="105"/>
        </w:rPr>
        <w:t>risk of hypertension when oxytocin given with vasoconstrictor </w:t>
      </w:r>
      <w:r>
        <w:rPr>
          <w:rFonts w:ascii="Calibri" w:hAnsi="Calibri"/>
          <w:color w:val="008356"/>
          <w:w w:val="105"/>
          <w:sz w:val="11"/>
        </w:rPr>
        <w:t>SYMPATHOMIMETICS </w:t>
      </w:r>
      <w:r>
        <w:rPr>
          <w:color w:val="231F1F"/>
          <w:w w:val="105"/>
        </w:rPr>
        <w:t>(due to enhanced vasopressor effect)</w:t>
      </w:r>
    </w:p>
    <w:p>
      <w:pPr>
        <w:pStyle w:val="BodyText"/>
        <w:spacing w:before="12"/>
        <w:ind w:left="186"/>
        <w:rPr>
          <w:rFonts w:ascii="Trebuchet MS"/>
        </w:rPr>
      </w:pPr>
      <w:r>
        <w:rPr>
          <w:rFonts w:ascii="Trebuchet MS"/>
          <w:color w:val="008356"/>
        </w:rPr>
        <w:t>Paclitaxel</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paclitaxel increased by</w:t>
      </w:r>
    </w:p>
    <w:p>
      <w:pPr>
        <w:spacing w:line="130" w:lineRule="exact" w:before="0"/>
        <w:ind w:left="286" w:right="0" w:firstLine="0"/>
        <w:jc w:val="left"/>
        <w:rPr>
          <w:rFonts w:ascii="Calibri"/>
          <w:sz w:val="11"/>
        </w:rPr>
      </w:pPr>
      <w:r>
        <w:rPr>
          <w:rFonts w:ascii="Calibri"/>
          <w:color w:val="008356"/>
          <w:sz w:val="11"/>
        </w:rPr>
        <w:t>RITONAVIR</w:t>
      </w:r>
    </w:p>
    <w:p>
      <w:pPr>
        <w:pStyle w:val="BodyText"/>
        <w:ind w:left="286" w:right="294"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increased risk of neutropenia when paclitaxel given with </w:t>
      </w:r>
      <w:r>
        <w:rPr>
          <w:rFonts w:ascii="Arial"/>
          <w:color w:val="231F1F"/>
          <w:w w:val="355"/>
          <w:position w:val="1"/>
          <w:sz w:val="7"/>
        </w:rPr>
        <w:t>l </w:t>
      </w:r>
      <w:r>
        <w:rPr>
          <w:rFonts w:ascii="Calibri"/>
          <w:color w:val="008356"/>
          <w:w w:val="110"/>
          <w:sz w:val="11"/>
        </w:rPr>
        <w:t>LAPATINIB</w:t>
      </w:r>
    </w:p>
    <w:p>
      <w:pPr>
        <w:pStyle w:val="BodyText"/>
        <w:spacing w:line="256" w:lineRule="auto" w:before="5"/>
        <w:ind w:left="186" w:right="1037"/>
        <w:rPr>
          <w:rFonts w:ascii="Trebuchet MS"/>
        </w:rPr>
      </w:pPr>
      <w:r>
        <w:rPr>
          <w:rFonts w:ascii="Trebuchet MS"/>
          <w:color w:val="008356"/>
          <w:w w:val="105"/>
        </w:rPr>
        <w:t>Paliperidone </w:t>
      </w:r>
      <w:r>
        <w:rPr>
          <w:i/>
          <w:color w:val="231F1F"/>
          <w:w w:val="105"/>
        </w:rPr>
        <w:t>see </w:t>
      </w:r>
      <w:r>
        <w:rPr>
          <w:color w:val="231F1F"/>
          <w:w w:val="105"/>
        </w:rPr>
        <w:t>Antipsychotics </w:t>
      </w:r>
      <w:r>
        <w:rPr>
          <w:rFonts w:ascii="Trebuchet MS"/>
          <w:color w:val="008356"/>
          <w:w w:val="105"/>
        </w:rPr>
        <w:t>Pamidronate Disodium </w:t>
      </w:r>
      <w:r>
        <w:rPr>
          <w:i/>
          <w:color w:val="231F1F"/>
          <w:w w:val="105"/>
        </w:rPr>
        <w:t>see </w:t>
      </w:r>
      <w:r>
        <w:rPr>
          <w:color w:val="231F1F"/>
          <w:w w:val="105"/>
        </w:rPr>
        <w:t>Bisphosphonates </w:t>
      </w:r>
      <w:r>
        <w:rPr>
          <w:rFonts w:ascii="Trebuchet MS"/>
          <w:color w:val="008356"/>
          <w:w w:val="105"/>
        </w:rPr>
        <w:t>Pancreatin</w:t>
      </w:r>
    </w:p>
    <w:p>
      <w:pPr>
        <w:pStyle w:val="BodyText"/>
        <w:spacing w:line="148" w:lineRule="exact"/>
        <w:ind w:left="186"/>
      </w:pPr>
      <w:r>
        <w:rPr>
          <w:rFonts w:ascii="Lucida Sans Unicode" w:hAnsi="Lucida Sans Unicode"/>
          <w:color w:val="A7A8AC"/>
          <w:w w:val="95"/>
          <w:sz w:val="10"/>
        </w:rPr>
        <w:t>▶ </w:t>
      </w:r>
      <w:r>
        <w:rPr>
          <w:rFonts w:ascii="Calibri" w:hAnsi="Calibri"/>
          <w:color w:val="231F1F"/>
          <w:w w:val="105"/>
        </w:rPr>
        <w:t>Antidiabetics: </w:t>
      </w:r>
      <w:r>
        <w:rPr>
          <w:color w:val="231F1F"/>
          <w:w w:val="105"/>
        </w:rPr>
        <w:t>pancreatin antagonises hypoglycaemic effect of</w:t>
      </w:r>
    </w:p>
    <w:p>
      <w:pPr>
        <w:spacing w:line="131" w:lineRule="exact" w:before="0"/>
        <w:ind w:left="286" w:right="0" w:firstLine="0"/>
        <w:jc w:val="left"/>
        <w:rPr>
          <w:rFonts w:ascii="Calibri"/>
          <w:sz w:val="11"/>
        </w:rPr>
      </w:pPr>
      <w:r>
        <w:rPr>
          <w:rFonts w:ascii="Calibri"/>
          <w:color w:val="008356"/>
          <w:sz w:val="11"/>
        </w:rPr>
        <w:t>ACARBOSE</w:t>
      </w:r>
    </w:p>
    <w:p>
      <w:pPr>
        <w:pStyle w:val="BodyText"/>
        <w:spacing w:before="7"/>
        <w:ind w:left="186"/>
      </w:pPr>
      <w:r>
        <w:rPr>
          <w:rFonts w:ascii="Trebuchet MS"/>
          <w:color w:val="008356"/>
          <w:w w:val="105"/>
        </w:rPr>
        <w:t>Pancuronium </w:t>
      </w:r>
      <w:r>
        <w:rPr>
          <w:i/>
          <w:color w:val="231F1F"/>
          <w:w w:val="105"/>
        </w:rPr>
        <w:t>see </w:t>
      </w:r>
      <w:r>
        <w:rPr>
          <w:color w:val="231F1F"/>
          <w:w w:val="105"/>
        </w:rPr>
        <w:t>Muscle Relaxants</w:t>
      </w:r>
    </w:p>
    <w:p>
      <w:pPr>
        <w:pStyle w:val="BodyText"/>
        <w:spacing w:before="10"/>
        <w:ind w:left="186"/>
        <w:rPr>
          <w:rFonts w:ascii="Trebuchet MS"/>
        </w:rPr>
      </w:pPr>
      <w:r>
        <w:rPr>
          <w:rFonts w:ascii="Trebuchet MS"/>
          <w:color w:val="008356"/>
          <w:w w:val="105"/>
        </w:rPr>
        <w:t>Panitumumab</w:t>
      </w:r>
    </w:p>
    <w:p>
      <w:pPr>
        <w:pStyle w:val="BodyText"/>
        <w:spacing w:line="146" w:lineRule="exact" w:before="1"/>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w w:val="115"/>
        </w:rPr>
        <w:t>use</w:t>
      </w:r>
    </w:p>
    <w:p>
      <w:pPr>
        <w:pStyle w:val="BodyText"/>
        <w:spacing w:line="256" w:lineRule="auto" w:before="5"/>
        <w:ind w:left="186" w:right="1172"/>
        <w:rPr>
          <w:rFonts w:ascii="Trebuchet MS"/>
        </w:rPr>
      </w:pPr>
      <w:r>
        <w:rPr>
          <w:rFonts w:ascii="Trebuchet MS"/>
          <w:color w:val="008356"/>
          <w:w w:val="110"/>
        </w:rPr>
        <w:t>Pantoprazole </w:t>
      </w:r>
      <w:r>
        <w:rPr>
          <w:i/>
          <w:color w:val="231F1F"/>
          <w:w w:val="110"/>
        </w:rPr>
        <w:t>see </w:t>
      </w:r>
      <w:r>
        <w:rPr>
          <w:color w:val="231F1F"/>
          <w:w w:val="110"/>
        </w:rPr>
        <w:t>Proton Pump Inhibitors </w:t>
      </w:r>
      <w:r>
        <w:rPr>
          <w:rFonts w:ascii="Trebuchet MS"/>
          <w:color w:val="008356"/>
          <w:w w:val="110"/>
        </w:rPr>
        <w:t>Papaveretum </w:t>
      </w:r>
      <w:r>
        <w:rPr>
          <w:i/>
          <w:color w:val="231F1F"/>
          <w:w w:val="110"/>
        </w:rPr>
        <w:t>see </w:t>
      </w:r>
      <w:r>
        <w:rPr>
          <w:color w:val="231F1F"/>
          <w:w w:val="110"/>
        </w:rPr>
        <w:t>Opioid Analgesics </w:t>
      </w:r>
      <w:r>
        <w:rPr>
          <w:rFonts w:ascii="Trebuchet MS"/>
          <w:color w:val="008356"/>
          <w:w w:val="110"/>
        </w:rPr>
        <w:t>Paracetamol</w:t>
      </w:r>
    </w:p>
    <w:p>
      <w:pPr>
        <w:pStyle w:val="BodyText"/>
        <w:spacing w:line="220" w:lineRule="auto" w:before="1"/>
        <w:ind w:left="286" w:right="1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prolonged regular use of paracetamol possibly enhances anticoagulant effect of </w:t>
      </w:r>
      <w:r>
        <w:rPr>
          <w:rFonts w:ascii="Calibri" w:hAnsi="Calibri"/>
          <w:color w:val="008356"/>
          <w:w w:val="110"/>
          <w:sz w:val="11"/>
        </w:rPr>
        <w:t>COUMARINS</w:t>
      </w:r>
    </w:p>
    <w:p>
      <w:pPr>
        <w:pStyle w:val="BodyText"/>
        <w:spacing w:line="220" w:lineRule="auto" w:before="8"/>
        <w:ind w:left="286" w:right="257"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absorption of paracetamol possibly reduced when given 1 to 4 hours after </w:t>
      </w:r>
      <w:r>
        <w:rPr>
          <w:rFonts w:ascii="Calibri" w:hAnsi="Calibri"/>
          <w:color w:val="008356"/>
          <w:w w:val="110"/>
          <w:sz w:val="11"/>
        </w:rPr>
        <w:t>LIXISENATIDE</w:t>
      </w:r>
    </w:p>
    <w:p>
      <w:pPr>
        <w:spacing w:line="220" w:lineRule="auto" w:before="8"/>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Antiepileptics:  </w:t>
      </w:r>
      <w:r>
        <w:rPr>
          <w:color w:val="231F1F"/>
          <w:sz w:val="12"/>
        </w:rPr>
        <w:t>metabolism  of  paracetamol  possibly  accelerated by </w:t>
      </w:r>
      <w:r>
        <w:rPr>
          <w:rFonts w:ascii="Calibri" w:hAnsi="Calibri"/>
          <w:color w:val="008356"/>
          <w:spacing w:val="4"/>
          <w:sz w:val="11"/>
        </w:rPr>
        <w:t>CARBAMAZEPINE</w:t>
      </w:r>
      <w:r>
        <w:rPr>
          <w:color w:val="231F1F"/>
          <w:spacing w:val="4"/>
          <w:sz w:val="12"/>
        </w:rPr>
        <w:t>, </w:t>
      </w:r>
      <w:r>
        <w:rPr>
          <w:rFonts w:ascii="Calibri" w:hAnsi="Calibri"/>
          <w:color w:val="008356"/>
          <w:spacing w:val="4"/>
          <w:sz w:val="11"/>
        </w:rPr>
        <w:t>FOSPHENYTOIN</w:t>
      </w:r>
      <w:r>
        <w:rPr>
          <w:color w:val="231F1F"/>
          <w:spacing w:val="4"/>
          <w:sz w:val="12"/>
        </w:rPr>
        <w:t>, </w:t>
      </w:r>
      <w:r>
        <w:rPr>
          <w:rFonts w:ascii="Calibri" w:hAnsi="Calibri"/>
          <w:color w:val="008356"/>
          <w:spacing w:val="4"/>
          <w:sz w:val="11"/>
        </w:rPr>
        <w:t>PHENOBARBITAL</w:t>
      </w:r>
      <w:r>
        <w:rPr>
          <w:color w:val="231F1F"/>
          <w:spacing w:val="4"/>
          <w:sz w:val="12"/>
        </w:rPr>
        <w:t>,</w:t>
      </w:r>
      <w:r>
        <w:rPr>
          <w:color w:val="231F1F"/>
          <w:spacing w:val="9"/>
          <w:sz w:val="12"/>
        </w:rPr>
        <w:t> </w:t>
      </w:r>
      <w:r>
        <w:rPr>
          <w:rFonts w:ascii="Calibri" w:hAnsi="Calibri"/>
          <w:color w:val="008356"/>
          <w:spacing w:val="4"/>
          <w:sz w:val="11"/>
        </w:rPr>
        <w:t>PHENYTOIN</w:t>
      </w:r>
    </w:p>
    <w:p>
      <w:pPr>
        <w:pStyle w:val="BodyText"/>
        <w:spacing w:line="141" w:lineRule="exact" w:before="4"/>
        <w:ind w:left="286"/>
      </w:pPr>
      <w:r>
        <w:rPr>
          <w:color w:val="231F1F"/>
          <w:w w:val="115"/>
        </w:rPr>
        <w:t>and </w:t>
      </w:r>
      <w:r>
        <w:rPr>
          <w:rFonts w:ascii="Calibri"/>
          <w:color w:val="008356"/>
          <w:w w:val="115"/>
          <w:sz w:val="11"/>
        </w:rPr>
        <w:t>PRIMIDONE </w:t>
      </w:r>
      <w:r>
        <w:rPr>
          <w:color w:val="231F1F"/>
          <w:w w:val="115"/>
        </w:rPr>
        <w:t>(also isolated reports of hepatotoxicity)</w:t>
      </w:r>
    </w:p>
    <w:p>
      <w:pPr>
        <w:pStyle w:val="BodyText"/>
        <w:spacing w:line="220" w:lineRule="auto" w:before="8"/>
        <w:ind w:left="286" w:right="49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avoidance of paracetamol advised by manufacturer of </w:t>
      </w:r>
      <w:r>
        <w:rPr>
          <w:rFonts w:ascii="Calibri" w:hAnsi="Calibri"/>
          <w:color w:val="008356"/>
          <w:w w:val="105"/>
          <w:sz w:val="11"/>
        </w:rPr>
        <w:t>KETOCONAZOLE</w:t>
      </w:r>
    </w:p>
    <w:p>
      <w:pPr>
        <w:pStyle w:val="BodyText"/>
        <w:spacing w:line="237" w:lineRule="auto"/>
        <w:ind w:left="286" w:right="91"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paracetamol possibly inhibits metabolism of </w:t>
      </w:r>
      <w:r>
        <w:rPr>
          <w:i/>
          <w:color w:val="231F1F"/>
          <w:w w:val="110"/>
        </w:rPr>
        <w:t>intravenous</w:t>
      </w:r>
      <w:r>
        <w:rPr>
          <w:i/>
          <w:color w:val="231F1F"/>
          <w:spacing w:val="-9"/>
          <w:w w:val="110"/>
        </w:rPr>
        <w:t> </w:t>
      </w:r>
      <w:r>
        <w:rPr>
          <w:rFonts w:ascii="Calibri" w:hAnsi="Calibri"/>
          <w:color w:val="008356"/>
          <w:spacing w:val="3"/>
          <w:w w:val="110"/>
          <w:sz w:val="11"/>
        </w:rPr>
        <w:t>BUSULFAN</w:t>
      </w:r>
      <w:r>
        <w:rPr>
          <w:rFonts w:ascii="Calibri" w:hAnsi="Calibri"/>
          <w:color w:val="008356"/>
          <w:spacing w:val="2"/>
          <w:w w:val="110"/>
          <w:sz w:val="11"/>
        </w:rPr>
        <w:t> </w:t>
      </w:r>
      <w:r>
        <w:rPr>
          <w:color w:val="231F1F"/>
          <w:w w:val="110"/>
        </w:rPr>
        <w:t>(manufacturer</w:t>
      </w:r>
      <w:r>
        <w:rPr>
          <w:color w:val="231F1F"/>
          <w:spacing w:val="-7"/>
          <w:w w:val="110"/>
        </w:rPr>
        <w:t> </w:t>
      </w:r>
      <w:r>
        <w:rPr>
          <w:color w:val="231F1F"/>
          <w:w w:val="110"/>
        </w:rPr>
        <w:t>of</w:t>
      </w:r>
      <w:r>
        <w:rPr>
          <w:color w:val="231F1F"/>
          <w:spacing w:val="-9"/>
          <w:w w:val="110"/>
        </w:rPr>
        <w:t> </w:t>
      </w:r>
      <w:r>
        <w:rPr>
          <w:i/>
          <w:color w:val="231F1F"/>
          <w:w w:val="110"/>
        </w:rPr>
        <w:t>intravenous</w:t>
      </w:r>
      <w:r>
        <w:rPr>
          <w:i/>
          <w:color w:val="231F1F"/>
          <w:spacing w:val="-8"/>
          <w:w w:val="110"/>
        </w:rPr>
        <w:t> </w:t>
      </w:r>
      <w:r>
        <w:rPr>
          <w:color w:val="231F1F"/>
          <w:w w:val="110"/>
        </w:rPr>
        <w:t>busulfan advises caution within 72 hours of paracetamol); caution with paracetamol advised by manufacturer of</w:t>
      </w:r>
      <w:r>
        <w:rPr>
          <w:color w:val="231F1F"/>
          <w:spacing w:val="-5"/>
          <w:w w:val="110"/>
        </w:rPr>
        <w:t> </w:t>
      </w:r>
      <w:r>
        <w:rPr>
          <w:rFonts w:ascii="Calibri" w:hAnsi="Calibri"/>
          <w:color w:val="008356"/>
          <w:spacing w:val="4"/>
          <w:w w:val="110"/>
          <w:sz w:val="11"/>
        </w:rPr>
        <w:t>IMATINIB</w:t>
      </w:r>
    </w:p>
    <w:p>
      <w:pPr>
        <w:pStyle w:val="BodyText"/>
        <w:spacing w:line="153" w:lineRule="exact"/>
        <w:ind w:left="186"/>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absorption of paracetamol reduced by</w:t>
      </w:r>
    </w:p>
    <w:p>
      <w:pPr>
        <w:spacing w:line="130" w:lineRule="exact" w:before="0"/>
        <w:ind w:left="286" w:right="0" w:firstLine="0"/>
        <w:jc w:val="left"/>
        <w:rPr>
          <w:rFonts w:ascii="Calibri"/>
          <w:sz w:val="11"/>
        </w:rPr>
      </w:pPr>
      <w:r>
        <w:rPr>
          <w:rFonts w:ascii="Calibri"/>
          <w:color w:val="008356"/>
          <w:sz w:val="11"/>
        </w:rPr>
        <w:t>COLESTYRAMINE</w:t>
      </w:r>
    </w:p>
    <w:p>
      <w:pPr>
        <w:spacing w:line="220" w:lineRule="auto" w:before="8"/>
        <w:ind w:left="286" w:right="19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Metoclopramide: </w:t>
      </w:r>
      <w:r>
        <w:rPr>
          <w:color w:val="231F1F"/>
          <w:w w:val="105"/>
          <w:sz w:val="12"/>
        </w:rPr>
        <w:t>rate of absorption of paracetamol increased by</w:t>
      </w:r>
      <w:r>
        <w:rPr>
          <w:color w:val="231F1F"/>
          <w:spacing w:val="-1"/>
          <w:w w:val="105"/>
          <w:sz w:val="12"/>
        </w:rPr>
        <w:t> </w:t>
      </w:r>
      <w:r>
        <w:rPr>
          <w:rFonts w:ascii="Calibri" w:hAnsi="Calibri"/>
          <w:color w:val="008356"/>
          <w:spacing w:val="4"/>
          <w:w w:val="105"/>
          <w:sz w:val="11"/>
        </w:rPr>
        <w:t>METOCLOPRAMIDE</w:t>
      </w:r>
    </w:p>
    <w:p>
      <w:pPr>
        <w:pStyle w:val="BodyText"/>
        <w:spacing w:before="5"/>
        <w:ind w:left="0"/>
        <w:rPr>
          <w:rFonts w:ascii="Calibri"/>
          <w:sz w:val="14"/>
        </w:rPr>
      </w:pPr>
      <w:r>
        <w:rPr/>
        <w:br w:type="column"/>
      </w:r>
      <w:r>
        <w:rPr>
          <w:rFonts w:ascii="Calibri"/>
          <w:sz w:val="14"/>
        </w:rPr>
      </w:r>
    </w:p>
    <w:p>
      <w:pPr>
        <w:pStyle w:val="BodyText"/>
        <w:spacing w:line="139" w:lineRule="exact"/>
        <w:ind w:left="186"/>
        <w:rPr>
          <w:rFonts w:ascii="Trebuchet MS"/>
        </w:rPr>
      </w:pPr>
      <w:r>
        <w:rPr>
          <w:rFonts w:ascii="Trebuchet MS"/>
          <w:color w:val="008356"/>
        </w:rPr>
        <w:t>Paraldehyde</w:t>
      </w:r>
    </w:p>
    <w:p>
      <w:pPr>
        <w:pStyle w:val="BodyText"/>
        <w:ind w:left="286" w:right="814" w:hanging="100"/>
        <w:rPr>
          <w:rFonts w:ascii="Calibri"/>
          <w:sz w:val="11"/>
        </w:rPr>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Alcohol:</w:t>
      </w:r>
      <w:r>
        <w:rPr>
          <w:rFonts w:ascii="Calibri"/>
          <w:color w:val="231F1F"/>
          <w:spacing w:val="-10"/>
          <w:w w:val="115"/>
        </w:rPr>
        <w:t> </w:t>
      </w:r>
      <w:r>
        <w:rPr>
          <w:color w:val="231F1F"/>
          <w:w w:val="115"/>
        </w:rPr>
        <w:t>increased</w:t>
      </w:r>
      <w:r>
        <w:rPr>
          <w:color w:val="231F1F"/>
          <w:spacing w:val="-14"/>
          <w:w w:val="115"/>
        </w:rPr>
        <w:t> </w:t>
      </w:r>
      <w:r>
        <w:rPr>
          <w:color w:val="231F1F"/>
          <w:w w:val="115"/>
        </w:rPr>
        <w:t>sedative</w:t>
      </w:r>
      <w:r>
        <w:rPr>
          <w:color w:val="231F1F"/>
          <w:spacing w:val="-15"/>
          <w:w w:val="115"/>
        </w:rPr>
        <w:t> </w:t>
      </w:r>
      <w:r>
        <w:rPr>
          <w:color w:val="231F1F"/>
          <w:w w:val="115"/>
        </w:rPr>
        <w:t>effect</w:t>
      </w:r>
      <w:r>
        <w:rPr>
          <w:color w:val="231F1F"/>
          <w:spacing w:val="-13"/>
          <w:w w:val="115"/>
        </w:rPr>
        <w:t> </w:t>
      </w:r>
      <w:r>
        <w:rPr>
          <w:color w:val="231F1F"/>
          <w:w w:val="115"/>
        </w:rPr>
        <w:t>when</w:t>
      </w:r>
      <w:r>
        <w:rPr>
          <w:color w:val="231F1F"/>
          <w:spacing w:val="-14"/>
          <w:w w:val="115"/>
        </w:rPr>
        <w:t> </w:t>
      </w:r>
      <w:r>
        <w:rPr>
          <w:color w:val="231F1F"/>
          <w:w w:val="115"/>
        </w:rPr>
        <w:t>paraldehyde</w:t>
      </w:r>
      <w:r>
        <w:rPr>
          <w:color w:val="231F1F"/>
          <w:spacing w:val="-14"/>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ALCOHOL</w:t>
      </w:r>
    </w:p>
    <w:p>
      <w:pPr>
        <w:pStyle w:val="BodyText"/>
        <w:spacing w:line="144" w:lineRule="exact"/>
        <w:ind w:left="186"/>
      </w:pPr>
      <w:r>
        <w:rPr>
          <w:rFonts w:ascii="Arial"/>
          <w:color w:val="231F1F"/>
          <w:w w:val="355"/>
          <w:position w:val="1"/>
          <w:sz w:val="7"/>
        </w:rPr>
        <w:t>l </w:t>
      </w:r>
      <w:r>
        <w:rPr>
          <w:rFonts w:ascii="Calibri"/>
          <w:color w:val="231F1F"/>
          <w:w w:val="115"/>
        </w:rPr>
        <w:t>Disulfiram: </w:t>
      </w:r>
      <w:r>
        <w:rPr>
          <w:color w:val="231F1F"/>
          <w:w w:val="115"/>
        </w:rPr>
        <w:t>risk of toxicity when paraldehyde given with</w:t>
      </w:r>
    </w:p>
    <w:p>
      <w:pPr>
        <w:spacing w:before="6"/>
        <w:ind w:left="286" w:right="0" w:firstLine="0"/>
        <w:jc w:val="left"/>
        <w:rPr>
          <w:rFonts w:ascii="Calibri"/>
          <w:sz w:val="11"/>
        </w:rPr>
      </w:pPr>
      <w:r>
        <w:rPr>
          <w:rFonts w:ascii="Arial"/>
          <w:color w:val="231F1F"/>
          <w:w w:val="355"/>
          <w:position w:val="1"/>
          <w:sz w:val="7"/>
        </w:rPr>
        <w:t>l </w:t>
      </w:r>
      <w:r>
        <w:rPr>
          <w:rFonts w:ascii="Calibri"/>
          <w:color w:val="008356"/>
          <w:w w:val="120"/>
          <w:sz w:val="11"/>
        </w:rPr>
        <w:t>DISULFIRAM</w:t>
      </w:r>
    </w:p>
    <w:p>
      <w:pPr>
        <w:pStyle w:val="BodyText"/>
        <w:spacing w:before="7"/>
        <w:ind w:left="186"/>
        <w:rPr>
          <w:rFonts w:ascii="Trebuchet MS"/>
        </w:rPr>
      </w:pPr>
      <w:r>
        <w:rPr>
          <w:rFonts w:ascii="Trebuchet MS"/>
          <w:color w:val="008356"/>
        </w:rPr>
        <w:t>Parasympathomimetics</w:t>
      </w:r>
    </w:p>
    <w:p>
      <w:pPr>
        <w:pStyle w:val="BodyText"/>
        <w:spacing w:line="220" w:lineRule="auto" w:before="10"/>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effects of neostigmine and pyridostigmine possibly antagonised by </w:t>
      </w:r>
      <w:r>
        <w:rPr>
          <w:rFonts w:ascii="Calibri" w:hAnsi="Calibri"/>
          <w:color w:val="008356"/>
          <w:w w:val="105"/>
          <w:sz w:val="11"/>
        </w:rPr>
        <w:t>PROPAFENONE</w:t>
      </w:r>
    </w:p>
    <w:p>
      <w:pPr>
        <w:pStyle w:val="BodyText"/>
        <w:spacing w:line="242" w:lineRule="auto"/>
        <w:ind w:left="286" w:right="606" w:hanging="100"/>
      </w:pPr>
      <w:r>
        <w:rPr>
          <w:rFonts w:ascii="Arial"/>
          <w:color w:val="231F1F"/>
          <w:w w:val="355"/>
          <w:position w:val="1"/>
          <w:sz w:val="7"/>
        </w:rPr>
        <w:t>l </w:t>
      </w:r>
      <w:r>
        <w:rPr>
          <w:rFonts w:ascii="Calibri"/>
          <w:color w:val="231F1F"/>
          <w:w w:val="110"/>
        </w:rPr>
        <w:t>Antibacterials: </w:t>
      </w:r>
      <w:r>
        <w:rPr>
          <w:color w:val="231F1F"/>
          <w:w w:val="110"/>
        </w:rPr>
        <w:t>plasma concentration of galantamine increased by </w:t>
      </w:r>
      <w:r>
        <w:rPr>
          <w:rFonts w:ascii="Calibri"/>
          <w:color w:val="008356"/>
          <w:w w:val="110"/>
          <w:sz w:val="11"/>
        </w:rPr>
        <w:t>ERYTHROMYCIN</w:t>
      </w:r>
      <w:r>
        <w:rPr>
          <w:color w:val="231F1F"/>
          <w:w w:val="110"/>
        </w:rPr>
        <w:t>; effects of neostigmine and pyridostigmine antagonised by </w:t>
      </w:r>
      <w:r>
        <w:rPr>
          <w:rFonts w:ascii="Arial"/>
          <w:color w:val="231F1F"/>
          <w:w w:val="355"/>
          <w:position w:val="1"/>
          <w:sz w:val="7"/>
        </w:rPr>
        <w:t>l </w:t>
      </w:r>
      <w:r>
        <w:rPr>
          <w:rFonts w:ascii="Calibri"/>
          <w:color w:val="008356"/>
          <w:w w:val="110"/>
          <w:sz w:val="11"/>
        </w:rPr>
        <w:t>AMINOGLYCOSIDES</w:t>
      </w:r>
      <w:r>
        <w:rPr>
          <w:color w:val="231F1F"/>
          <w:w w:val="110"/>
        </w:rPr>
        <w:t>; effects of neostigmine and pyridostigmine antagonised by </w:t>
      </w:r>
      <w:r>
        <w:rPr>
          <w:rFonts w:ascii="Calibri"/>
          <w:color w:val="008356"/>
          <w:w w:val="110"/>
          <w:sz w:val="11"/>
        </w:rPr>
        <w:t>CLINDAMYCIN</w:t>
      </w:r>
      <w:r>
        <w:rPr>
          <w:color w:val="231F1F"/>
          <w:w w:val="110"/>
        </w:rPr>
        <w:t>; effects of neostigmine and pyridostigmine antagonised by</w:t>
      </w:r>
    </w:p>
    <w:p>
      <w:pPr>
        <w:spacing w:line="133" w:lineRule="exact" w:before="10"/>
        <w:ind w:left="286" w:right="0" w:firstLine="0"/>
        <w:jc w:val="left"/>
        <w:rPr>
          <w:rFonts w:ascii="Calibri"/>
          <w:sz w:val="11"/>
        </w:rPr>
      </w:pPr>
      <w:r>
        <w:rPr>
          <w:rFonts w:ascii="Arial"/>
          <w:color w:val="231F1F"/>
          <w:w w:val="355"/>
          <w:position w:val="1"/>
          <w:sz w:val="7"/>
        </w:rPr>
        <w:t>l </w:t>
      </w:r>
      <w:r>
        <w:rPr>
          <w:rFonts w:ascii="Calibri"/>
          <w:color w:val="008356"/>
          <w:w w:val="120"/>
          <w:sz w:val="11"/>
        </w:rPr>
        <w:t>POLYMYXINS</w:t>
      </w:r>
    </w:p>
    <w:p>
      <w:pPr>
        <w:pStyle w:val="BodyText"/>
        <w:spacing w:line="220" w:lineRule="auto" w:before="8"/>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galantamine increased by </w:t>
      </w:r>
      <w:r>
        <w:rPr>
          <w:rFonts w:ascii="Calibri" w:hAnsi="Calibri"/>
          <w:color w:val="008356"/>
          <w:w w:val="105"/>
          <w:sz w:val="11"/>
        </w:rPr>
        <w:t>PAROXETINE</w:t>
      </w:r>
    </w:p>
    <w:p>
      <w:pPr>
        <w:pStyle w:val="BodyText"/>
        <w:spacing w:line="220" w:lineRule="auto" w:before="9"/>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galantamine increased by</w:t>
      </w:r>
      <w:r>
        <w:rPr>
          <w:color w:val="231F1F"/>
          <w:spacing w:val="-1"/>
          <w:w w:val="105"/>
        </w:rPr>
        <w:t> </w:t>
      </w:r>
      <w:r>
        <w:rPr>
          <w:rFonts w:ascii="Calibri" w:hAnsi="Calibri"/>
          <w:color w:val="008356"/>
          <w:spacing w:val="4"/>
          <w:w w:val="105"/>
          <w:sz w:val="11"/>
        </w:rPr>
        <w:t>KETOCONAZOLE</w:t>
      </w:r>
    </w:p>
    <w:p>
      <w:pPr>
        <w:pStyle w:val="BodyText"/>
        <w:spacing w:line="242" w:lineRule="auto"/>
        <w:ind w:left="286" w:right="652" w:hanging="100"/>
      </w:pPr>
      <w:r>
        <w:rPr>
          <w:rFonts w:ascii="Lucida Sans Unicode" w:hAnsi="Lucida Sans Unicode"/>
          <w:color w:val="A7A8AC"/>
          <w:w w:val="95"/>
          <w:sz w:val="10"/>
        </w:rPr>
        <w:t>▶ </w:t>
      </w:r>
      <w:r>
        <w:rPr>
          <w:rFonts w:ascii="Calibri" w:hAnsi="Calibri"/>
          <w:color w:val="231F1F"/>
          <w:w w:val="110"/>
        </w:rPr>
        <w:t>Antimalarials: </w:t>
      </w:r>
      <w:r>
        <w:rPr>
          <w:color w:val="231F1F"/>
          <w:w w:val="110"/>
        </w:rPr>
        <w:t>effects of neostigmine and pyridostigmine may be diminished because of potential for </w:t>
      </w:r>
      <w:r>
        <w:rPr>
          <w:rFonts w:ascii="Calibri" w:hAnsi="Calibri"/>
          <w:color w:val="008356"/>
          <w:spacing w:val="4"/>
          <w:w w:val="110"/>
          <w:sz w:val="11"/>
        </w:rPr>
        <w:t>CHLOROQUINE </w:t>
      </w:r>
      <w:r>
        <w:rPr>
          <w:color w:val="231F1F"/>
          <w:w w:val="110"/>
        </w:rPr>
        <w:t>to increase symptoms of myasthenia gravis; effects of neostigmine and pyridostigmine may be diminished </w:t>
      </w:r>
      <w:r>
        <w:rPr>
          <w:color w:val="231F1F"/>
          <w:spacing w:val="-3"/>
          <w:w w:val="110"/>
        </w:rPr>
        <w:t>because </w:t>
      </w:r>
      <w:r>
        <w:rPr>
          <w:color w:val="231F1F"/>
          <w:w w:val="110"/>
        </w:rPr>
        <w:t>of potential for </w:t>
      </w:r>
      <w:r>
        <w:rPr>
          <w:rFonts w:ascii="Calibri" w:hAnsi="Calibri"/>
          <w:color w:val="008356"/>
          <w:spacing w:val="4"/>
          <w:w w:val="110"/>
          <w:sz w:val="11"/>
        </w:rPr>
        <w:t>HYDROXYCHLOROQUINE </w:t>
      </w:r>
      <w:r>
        <w:rPr>
          <w:color w:val="231F1F"/>
          <w:w w:val="110"/>
        </w:rPr>
        <w:t>to increase symptoms of myasthenia</w:t>
      </w:r>
      <w:r>
        <w:rPr>
          <w:color w:val="231F1F"/>
          <w:spacing w:val="-4"/>
          <w:w w:val="110"/>
        </w:rPr>
        <w:t> </w:t>
      </w:r>
      <w:r>
        <w:rPr>
          <w:color w:val="231F1F"/>
          <w:w w:val="110"/>
        </w:rPr>
        <w:t>gravis</w:t>
      </w:r>
    </w:p>
    <w:p>
      <w:pPr>
        <w:spacing w:line="220" w:lineRule="auto" w:before="3"/>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Antimuscarinics: </w:t>
      </w:r>
      <w:r>
        <w:rPr>
          <w:color w:val="231F1F"/>
          <w:w w:val="105"/>
          <w:sz w:val="12"/>
        </w:rPr>
        <w:t>effects of  parasympathomimetics antagonised by</w:t>
      </w:r>
      <w:r>
        <w:rPr>
          <w:color w:val="231F1F"/>
          <w:spacing w:val="-1"/>
          <w:w w:val="105"/>
          <w:sz w:val="12"/>
        </w:rPr>
        <w:t> </w:t>
      </w:r>
      <w:r>
        <w:rPr>
          <w:rFonts w:ascii="Calibri" w:hAnsi="Calibri"/>
          <w:color w:val="008356"/>
          <w:spacing w:val="5"/>
          <w:w w:val="105"/>
          <w:sz w:val="11"/>
        </w:rPr>
        <w:t>ANTIMUSCARINICS</w:t>
      </w:r>
    </w:p>
    <w:p>
      <w:pPr>
        <w:pStyle w:val="BodyText"/>
        <w:spacing w:line="230" w:lineRule="auto" w:before="4"/>
        <w:ind w:left="286" w:right="642"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increased risk of arrhythmias when pilocarpine given with </w:t>
      </w:r>
      <w:r>
        <w:rPr>
          <w:rFonts w:ascii="Calibri" w:hAnsi="Calibri"/>
          <w:color w:val="008356"/>
          <w:w w:val="110"/>
          <w:sz w:val="11"/>
        </w:rPr>
        <w:t>BETA-BLOCKERS</w:t>
      </w:r>
      <w:r>
        <w:rPr>
          <w:color w:val="231F1F"/>
          <w:w w:val="110"/>
        </w:rPr>
        <w:t>; effects of neostigmine and pyridostigmine antagonised by </w:t>
      </w:r>
      <w:r>
        <w:rPr>
          <w:rFonts w:ascii="Calibri" w:hAnsi="Calibri"/>
          <w:color w:val="008356"/>
          <w:w w:val="110"/>
          <w:sz w:val="11"/>
        </w:rPr>
        <w:t>PROPRANOLOL</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possible increased risk of bradycardia when pilocarpine given with </w:t>
      </w:r>
      <w:r>
        <w:rPr>
          <w:rFonts w:ascii="Calibri" w:hAnsi="Calibri"/>
          <w:color w:val="008356"/>
          <w:w w:val="110"/>
          <w:sz w:val="11"/>
        </w:rPr>
        <w:t>CRIZOTINIB</w:t>
      </w:r>
    </w:p>
    <w:p>
      <w:pPr>
        <w:pStyle w:val="BodyText"/>
        <w:spacing w:line="149"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Lithium: </w:t>
      </w:r>
      <w:r>
        <w:rPr>
          <w:color w:val="231F1F"/>
          <w:w w:val="105"/>
        </w:rPr>
        <w:t>effects of neostigmine antagonised by </w:t>
      </w:r>
      <w:r>
        <w:rPr>
          <w:rFonts w:ascii="Calibri" w:hAnsi="Calibri"/>
          <w:color w:val="008356"/>
          <w:w w:val="105"/>
          <w:sz w:val="11"/>
        </w:rPr>
        <w:t>LITHIUM</w:t>
      </w:r>
    </w:p>
    <w:p>
      <w:pPr>
        <w:pStyle w:val="BodyText"/>
        <w:spacing w:line="235" w:lineRule="auto"/>
        <w:ind w:left="286" w:right="762" w:hanging="100"/>
      </w:pPr>
      <w:r>
        <w:rPr>
          <w:rFonts w:ascii="Lucida Sans Unicode" w:hAnsi="Lucida Sans Unicode"/>
          <w:color w:val="A7A8AC"/>
          <w:w w:val="95"/>
          <w:sz w:val="10"/>
        </w:rPr>
        <w:t>▶ </w:t>
      </w:r>
      <w:r>
        <w:rPr>
          <w:rFonts w:ascii="Calibri" w:hAnsi="Calibri"/>
          <w:color w:val="231F1F"/>
          <w:w w:val="105"/>
        </w:rPr>
        <w:t>Muscle Relaxants: </w:t>
      </w:r>
      <w:r>
        <w:rPr>
          <w:color w:val="231F1F"/>
          <w:w w:val="105"/>
        </w:rPr>
        <w:t>donepezil possibly enhances effects of </w:t>
      </w:r>
      <w:r>
        <w:rPr>
          <w:rFonts w:ascii="Calibri" w:hAnsi="Calibri"/>
          <w:color w:val="008356"/>
          <w:w w:val="105"/>
          <w:sz w:val="11"/>
        </w:rPr>
        <w:t>SUXAMETHONIUM</w:t>
      </w:r>
      <w:r>
        <w:rPr>
          <w:color w:val="231F1F"/>
          <w:w w:val="105"/>
        </w:rPr>
        <w:t>; galantamine, neostigmine, pyridostigmine and rivastigmine enhance effects of </w:t>
      </w:r>
      <w:r>
        <w:rPr>
          <w:rFonts w:ascii="Calibri" w:hAnsi="Calibri"/>
          <w:color w:val="008356"/>
          <w:w w:val="105"/>
          <w:sz w:val="11"/>
        </w:rPr>
        <w:t>SUXAMETHONIUM</w:t>
      </w:r>
      <w:r>
        <w:rPr>
          <w:color w:val="231F1F"/>
          <w:w w:val="105"/>
        </w:rPr>
        <w:t>; neostigmine, pyridostigmine and rivastigmine antagonise</w:t>
      </w:r>
    </w:p>
    <w:p>
      <w:pPr>
        <w:spacing w:line="249" w:lineRule="auto" w:before="0"/>
        <w:ind w:left="286" w:right="670" w:firstLine="0"/>
        <w:jc w:val="left"/>
        <w:rPr>
          <w:rFonts w:ascii="Calibri"/>
          <w:sz w:val="11"/>
        </w:rPr>
      </w:pPr>
      <w:r>
        <w:rPr>
          <w:color w:val="231F1F"/>
          <w:w w:val="105"/>
          <w:sz w:val="12"/>
        </w:rPr>
        <w:t>effects of </w:t>
      </w:r>
      <w:r>
        <w:rPr>
          <w:rFonts w:ascii="Calibri"/>
          <w:color w:val="008356"/>
          <w:w w:val="105"/>
          <w:sz w:val="11"/>
        </w:rPr>
        <w:t>NON-DEPOLARISING MUSCLE RELAXANTS</w:t>
      </w:r>
      <w:r>
        <w:rPr>
          <w:color w:val="231F1F"/>
          <w:w w:val="105"/>
          <w:sz w:val="12"/>
        </w:rPr>
        <w:t>; donepezil possibly antagonises effects of </w:t>
      </w:r>
      <w:r>
        <w:rPr>
          <w:rFonts w:ascii="Calibri"/>
          <w:color w:val="008356"/>
          <w:w w:val="105"/>
          <w:sz w:val="11"/>
        </w:rPr>
        <w:t>NON-DEPOLARISING MUSCLE RELAXANTS</w:t>
      </w:r>
    </w:p>
    <w:p>
      <w:pPr>
        <w:pStyle w:val="BodyText"/>
        <w:spacing w:before="2"/>
        <w:ind w:left="186"/>
      </w:pPr>
      <w:r>
        <w:rPr>
          <w:rFonts w:ascii="Trebuchet MS"/>
          <w:color w:val="008356"/>
          <w:w w:val="105"/>
        </w:rPr>
        <w:t>Parecoxib </w:t>
      </w:r>
      <w:r>
        <w:rPr>
          <w:i/>
          <w:color w:val="231F1F"/>
          <w:w w:val="105"/>
        </w:rPr>
        <w:t>see </w:t>
      </w:r>
      <w:r>
        <w:rPr>
          <w:color w:val="231F1F"/>
          <w:w w:val="105"/>
        </w:rPr>
        <w:t>NSAIDs</w:t>
      </w:r>
    </w:p>
    <w:p>
      <w:pPr>
        <w:pStyle w:val="BodyText"/>
        <w:spacing w:before="9"/>
        <w:ind w:left="186"/>
      </w:pPr>
      <w:r>
        <w:rPr>
          <w:rFonts w:ascii="Trebuchet MS"/>
          <w:color w:val="008356"/>
          <w:w w:val="105"/>
        </w:rPr>
        <w:t>Paricalcitol </w:t>
      </w:r>
      <w:r>
        <w:rPr>
          <w:i/>
          <w:color w:val="231F1F"/>
          <w:w w:val="105"/>
        </w:rPr>
        <w:t>see </w:t>
      </w:r>
      <w:r>
        <w:rPr>
          <w:color w:val="231F1F"/>
          <w:w w:val="105"/>
        </w:rPr>
        <w:t>Vitamins</w:t>
      </w:r>
    </w:p>
    <w:p>
      <w:pPr>
        <w:pStyle w:val="BodyText"/>
        <w:spacing w:before="10"/>
        <w:ind w:left="186"/>
      </w:pPr>
      <w:r>
        <w:rPr>
          <w:rFonts w:ascii="Trebuchet MS"/>
          <w:color w:val="008356"/>
          <w:w w:val="105"/>
        </w:rPr>
        <w:t>Paroxetine </w:t>
      </w:r>
      <w:r>
        <w:rPr>
          <w:i/>
          <w:color w:val="231F1F"/>
          <w:w w:val="105"/>
        </w:rPr>
        <w:t>see </w:t>
      </w:r>
      <w:r>
        <w:rPr>
          <w:color w:val="231F1F"/>
          <w:w w:val="105"/>
        </w:rPr>
        <w:t>Antidepressants, SSRI</w:t>
      </w:r>
    </w:p>
    <w:p>
      <w:pPr>
        <w:pStyle w:val="BodyText"/>
        <w:spacing w:before="11"/>
        <w:ind w:left="186"/>
        <w:rPr>
          <w:rFonts w:ascii="Trebuchet MS"/>
        </w:rPr>
      </w:pPr>
      <w:r>
        <w:rPr>
          <w:rFonts w:ascii="Trebuchet MS"/>
          <w:color w:val="008356"/>
        </w:rPr>
        <w:t>Pasireotide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Antidiabetics: </w:t>
      </w:r>
      <w:r>
        <w:rPr>
          <w:color w:val="231F1F"/>
          <w:w w:val="105"/>
        </w:rPr>
        <w:t>pasireotide possibly reduces requirements for</w:t>
      </w:r>
    </w:p>
    <w:p>
      <w:pPr>
        <w:spacing w:line="130" w:lineRule="exact" w:before="0"/>
        <w:ind w:left="286" w:right="0" w:firstLine="0"/>
        <w:jc w:val="left"/>
        <w:rPr>
          <w:rFonts w:ascii="Calibri"/>
          <w:sz w:val="11"/>
        </w:rPr>
      </w:pPr>
      <w:r>
        <w:rPr>
          <w:rFonts w:ascii="Calibri"/>
          <w:color w:val="008356"/>
          <w:sz w:val="11"/>
        </w:rPr>
        <w:t>ANTIDIABETICS</w:t>
      </w:r>
    </w:p>
    <w:p>
      <w:pPr>
        <w:pStyle w:val="BodyText"/>
        <w:spacing w:line="220" w:lineRule="auto" w:before="7"/>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avoidance of  pasireotide  advised by  </w:t>
      </w:r>
      <w:r>
        <w:rPr>
          <w:color w:val="231F1F"/>
          <w:spacing w:val="-2"/>
          <w:w w:val="105"/>
        </w:rPr>
        <w:t>manufacturer </w:t>
      </w:r>
      <w:r>
        <w:rPr>
          <w:color w:val="231F1F"/>
          <w:w w:val="105"/>
        </w:rPr>
        <w:t>of</w:t>
      </w:r>
      <w:r>
        <w:rPr>
          <w:color w:val="231F1F"/>
          <w:spacing w:val="-1"/>
          <w:w w:val="105"/>
        </w:rPr>
        <w:t> </w:t>
      </w:r>
      <w:r>
        <w:rPr>
          <w:rFonts w:ascii="Calibri" w:hAnsi="Calibri"/>
          <w:color w:val="008356"/>
          <w:spacing w:val="4"/>
          <w:w w:val="105"/>
          <w:sz w:val="11"/>
        </w:rPr>
        <w:t>KETOCONAZOLE</w:t>
      </w:r>
    </w:p>
    <w:p>
      <w:pPr>
        <w:spacing w:line="220" w:lineRule="auto" w:before="8"/>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Antimuscarinics: </w:t>
      </w:r>
      <w:r>
        <w:rPr>
          <w:color w:val="231F1F"/>
          <w:w w:val="110"/>
          <w:sz w:val="12"/>
        </w:rPr>
        <w:t>possible increased risk of bradycardia when pasireotide given with </w:t>
      </w:r>
      <w:r>
        <w:rPr>
          <w:rFonts w:ascii="Calibri" w:hAnsi="Calibri"/>
          <w:color w:val="008356"/>
          <w:w w:val="110"/>
          <w:sz w:val="11"/>
        </w:rPr>
        <w:t>IPRATROPIUM </w:t>
      </w:r>
      <w:r>
        <w:rPr>
          <w:color w:val="231F1F"/>
          <w:w w:val="110"/>
          <w:sz w:val="12"/>
        </w:rPr>
        <w:t>or </w:t>
      </w:r>
      <w:r>
        <w:rPr>
          <w:rFonts w:ascii="Calibri" w:hAnsi="Calibri"/>
          <w:color w:val="008356"/>
          <w:w w:val="110"/>
          <w:sz w:val="11"/>
        </w:rPr>
        <w:t>OXYBUTYNIN</w:t>
      </w:r>
    </w:p>
    <w:p>
      <w:pPr>
        <w:spacing w:line="230" w:lineRule="auto" w:before="5"/>
        <w:ind w:left="286" w:right="60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Beta-blockers: </w:t>
      </w:r>
      <w:r>
        <w:rPr>
          <w:color w:val="231F1F"/>
          <w:w w:val="105"/>
          <w:sz w:val="12"/>
        </w:rPr>
        <w:t>possible increased risk of bradycardia when pasireotide given with </w:t>
      </w:r>
      <w:r>
        <w:rPr>
          <w:rFonts w:ascii="Calibri" w:hAnsi="Calibri"/>
          <w:color w:val="008356"/>
          <w:spacing w:val="4"/>
          <w:w w:val="105"/>
          <w:sz w:val="11"/>
        </w:rPr>
        <w:t>CARTEOLOL</w:t>
      </w:r>
      <w:r>
        <w:rPr>
          <w:color w:val="231F1F"/>
          <w:spacing w:val="4"/>
          <w:w w:val="105"/>
          <w:sz w:val="12"/>
        </w:rPr>
        <w:t>, </w:t>
      </w:r>
      <w:r>
        <w:rPr>
          <w:rFonts w:ascii="Calibri" w:hAnsi="Calibri"/>
          <w:color w:val="008356"/>
          <w:spacing w:val="4"/>
          <w:w w:val="105"/>
          <w:sz w:val="11"/>
        </w:rPr>
        <w:t>METOPROLOL</w:t>
      </w:r>
      <w:r>
        <w:rPr>
          <w:color w:val="231F1F"/>
          <w:spacing w:val="4"/>
          <w:w w:val="105"/>
          <w:sz w:val="12"/>
        </w:rPr>
        <w:t>,</w:t>
      </w:r>
      <w:r>
        <w:rPr>
          <w:color w:val="231F1F"/>
          <w:spacing w:val="-17"/>
          <w:w w:val="105"/>
          <w:sz w:val="12"/>
        </w:rPr>
        <w:t> </w:t>
      </w:r>
      <w:r>
        <w:rPr>
          <w:rFonts w:ascii="Calibri" w:hAnsi="Calibri"/>
          <w:color w:val="008356"/>
          <w:spacing w:val="4"/>
          <w:w w:val="105"/>
          <w:sz w:val="11"/>
        </w:rPr>
        <w:t>PROPRANOLOL </w:t>
      </w:r>
      <w:r>
        <w:rPr>
          <w:color w:val="231F1F"/>
          <w:w w:val="105"/>
          <w:sz w:val="12"/>
        </w:rPr>
        <w:t>or</w:t>
      </w:r>
      <w:r>
        <w:rPr>
          <w:color w:val="231F1F"/>
          <w:spacing w:val="-1"/>
          <w:w w:val="105"/>
          <w:sz w:val="12"/>
        </w:rPr>
        <w:t> </w:t>
      </w:r>
      <w:r>
        <w:rPr>
          <w:rFonts w:ascii="Calibri" w:hAnsi="Calibri"/>
          <w:color w:val="008356"/>
          <w:spacing w:val="3"/>
          <w:w w:val="105"/>
          <w:sz w:val="11"/>
        </w:rPr>
        <w:t>SOTALOL</w:t>
      </w:r>
    </w:p>
    <w:p>
      <w:pPr>
        <w:pStyle w:val="BodyText"/>
        <w:spacing w:line="237" w:lineRule="auto"/>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Calcium-channel Blockers: </w:t>
      </w:r>
      <w:r>
        <w:rPr>
          <w:color w:val="231F1F"/>
          <w:w w:val="110"/>
        </w:rPr>
        <w:t>possible increased risk of bradycardia when pasireotide given with </w:t>
      </w:r>
      <w:r>
        <w:rPr>
          <w:rFonts w:ascii="Calibri" w:hAnsi="Calibri"/>
          <w:color w:val="008356"/>
          <w:spacing w:val="3"/>
          <w:w w:val="110"/>
          <w:sz w:val="11"/>
        </w:rPr>
        <w:t>DILTIAZEM </w:t>
      </w:r>
      <w:r>
        <w:rPr>
          <w:color w:val="231F1F"/>
          <w:spacing w:val="-6"/>
          <w:w w:val="110"/>
        </w:rPr>
        <w:t>or </w:t>
      </w:r>
      <w:r>
        <w:rPr>
          <w:rFonts w:ascii="Calibri" w:hAnsi="Calibri"/>
          <w:color w:val="008356"/>
          <w:spacing w:val="4"/>
          <w:w w:val="110"/>
          <w:sz w:val="11"/>
        </w:rPr>
        <w:t>VERAPAMIL</w:t>
      </w:r>
    </w:p>
    <w:p>
      <w:pPr>
        <w:pStyle w:val="BodyText"/>
        <w:ind w:left="286" w:right="570"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pasireotide possibly reduces plasma concentration of </w:t>
      </w:r>
      <w:r>
        <w:rPr>
          <w:rFonts w:ascii="Arial"/>
          <w:color w:val="231F1F"/>
          <w:w w:val="355"/>
          <w:position w:val="1"/>
          <w:sz w:val="7"/>
        </w:rPr>
        <w:t>l </w:t>
      </w:r>
      <w:r>
        <w:rPr>
          <w:rFonts w:ascii="Calibri"/>
          <w:color w:val="008356"/>
          <w:w w:val="110"/>
          <w:sz w:val="11"/>
        </w:rPr>
        <w:t>CICLOSPORIN</w:t>
      </w:r>
    </w:p>
    <w:p>
      <w:pPr>
        <w:pStyle w:val="BodyText"/>
        <w:spacing w:line="139" w:lineRule="exact" w:before="5"/>
        <w:ind w:left="186"/>
        <w:rPr>
          <w:rFonts w:ascii="Trebuchet MS"/>
        </w:rPr>
      </w:pPr>
      <w:r>
        <w:rPr>
          <w:rFonts w:ascii="Trebuchet MS"/>
          <w:color w:val="008356"/>
        </w:rPr>
        <w:t>Pazopanib</w:t>
      </w:r>
    </w:p>
    <w:p>
      <w:pPr>
        <w:spacing w:line="244" w:lineRule="auto" w:before="0"/>
        <w:ind w:left="286" w:right="593"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pazopanib possibly increased by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CLARITHROMYCIN </w:t>
      </w:r>
      <w:r>
        <w:rPr>
          <w:color w:val="231F1F"/>
          <w:w w:val="110"/>
          <w:sz w:val="12"/>
        </w:rPr>
        <w:t>and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TELITHROMYCIN </w:t>
      </w:r>
      <w:r>
        <w:rPr>
          <w:color w:val="231F1F"/>
          <w:w w:val="110"/>
          <w:sz w:val="12"/>
        </w:rPr>
        <w:t>(reduce dose of pazopanib); plasma concentration of pazopanib possibly reduced by </w:t>
      </w:r>
      <w:r>
        <w:rPr>
          <w:rFonts w:ascii="Arial"/>
          <w:color w:val="231F1F"/>
          <w:w w:val="355"/>
          <w:position w:val="1"/>
          <w:sz w:val="7"/>
        </w:rPr>
        <w:t>l </w:t>
      </w:r>
      <w:r>
        <w:rPr>
          <w:rFonts w:ascii="Calibri"/>
          <w:color w:val="008356"/>
          <w:spacing w:val="4"/>
          <w:w w:val="110"/>
          <w:sz w:val="11"/>
        </w:rPr>
        <w:t>RIFAMPICIN</w:t>
      </w:r>
    </w:p>
    <w:p>
      <w:pPr>
        <w:pStyle w:val="BodyText"/>
        <w:spacing w:line="140" w:lineRule="exact"/>
        <w:ind w:left="186"/>
      </w:pPr>
      <w:r>
        <w:rPr>
          <w:rFonts w:ascii="Arial"/>
          <w:color w:val="231F1F"/>
          <w:w w:val="355"/>
          <w:position w:val="1"/>
          <w:sz w:val="7"/>
        </w:rPr>
        <w:t>l </w:t>
      </w:r>
      <w:r>
        <w:rPr>
          <w:rFonts w:ascii="Calibri"/>
          <w:color w:val="231F1F"/>
          <w:w w:val="115"/>
        </w:rPr>
        <w:t>Antifungals: </w:t>
      </w:r>
      <w:r>
        <w:rPr>
          <w:color w:val="231F1F"/>
          <w:w w:val="115"/>
        </w:rPr>
        <w:t>plasma concentration of pazopanib increased by</w:t>
      </w:r>
    </w:p>
    <w:p>
      <w:pPr>
        <w:pStyle w:val="BodyText"/>
        <w:spacing w:line="244" w:lineRule="auto"/>
        <w:ind w:left="286" w:right="670" w:hanging="1"/>
      </w:pPr>
      <w:r>
        <w:rPr>
          <w:rFonts w:ascii="Arial"/>
          <w:color w:val="231F1F"/>
          <w:w w:val="355"/>
          <w:position w:val="1"/>
          <w:sz w:val="7"/>
        </w:rPr>
        <w:t>l </w:t>
      </w:r>
      <w:r>
        <w:rPr>
          <w:rFonts w:ascii="Calibri"/>
          <w:color w:val="008356"/>
          <w:w w:val="110"/>
          <w:sz w:val="11"/>
        </w:rPr>
        <w:t>KETOCONAZOLE </w:t>
      </w:r>
      <w:r>
        <w:rPr>
          <w:color w:val="231F1F"/>
          <w:w w:val="110"/>
        </w:rPr>
        <w:t>(reduce dose of pazopanib); plasma concentration of pazopanib possibly increased by</w:t>
      </w:r>
    </w:p>
    <w:p>
      <w:pPr>
        <w:spacing w:line="244" w:lineRule="auto" w:before="1"/>
        <w:ind w:left="286" w:right="1044"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ITRACONAZOLE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VORICONAZOLE </w:t>
      </w:r>
      <w:r>
        <w:rPr>
          <w:color w:val="231F1F"/>
          <w:w w:val="110"/>
          <w:sz w:val="12"/>
        </w:rPr>
        <w:t>(reduce dose of pazopanib)</w:t>
      </w:r>
    </w:p>
    <w:p>
      <w:pPr>
        <w:pStyle w:val="BodyText"/>
        <w:spacing w:line="144"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44" w:lineRule="auto"/>
        <w:ind w:left="286" w:right="670" w:hanging="100"/>
      </w:pPr>
      <w:r>
        <w:rPr>
          <w:rFonts w:ascii="Arial"/>
          <w:color w:val="231F1F"/>
          <w:w w:val="355"/>
          <w:position w:val="1"/>
          <w:sz w:val="7"/>
        </w:rPr>
        <w:t>l </w:t>
      </w:r>
      <w:r>
        <w:rPr>
          <w:rFonts w:ascii="Calibri"/>
          <w:color w:val="231F1F"/>
          <w:w w:val="110"/>
        </w:rPr>
        <w:t>Antivirals: </w:t>
      </w:r>
      <w:r>
        <w:rPr>
          <w:color w:val="231F1F"/>
          <w:w w:val="110"/>
        </w:rPr>
        <w:t>plasma concentration of pazopanib possibly increased by </w:t>
      </w:r>
      <w:r>
        <w:rPr>
          <w:rFonts w:ascii="Arial"/>
          <w:color w:val="231F1F"/>
          <w:w w:val="355"/>
          <w:position w:val="1"/>
          <w:sz w:val="7"/>
        </w:rPr>
        <w:t>l </w:t>
      </w:r>
      <w:r>
        <w:rPr>
          <w:rFonts w:ascii="Calibri"/>
          <w:color w:val="008356"/>
          <w:w w:val="110"/>
          <w:sz w:val="11"/>
        </w:rPr>
        <w:t>ATAZANAVIR</w:t>
      </w:r>
      <w:r>
        <w:rPr>
          <w:color w:val="231F1F"/>
          <w:w w:val="110"/>
        </w:rPr>
        <w:t>, </w:t>
      </w:r>
      <w:r>
        <w:rPr>
          <w:rFonts w:ascii="Arial"/>
          <w:color w:val="231F1F"/>
          <w:w w:val="355"/>
          <w:position w:val="1"/>
          <w:sz w:val="7"/>
        </w:rPr>
        <w:t>l </w:t>
      </w:r>
      <w:r>
        <w:rPr>
          <w:rFonts w:ascii="Calibri"/>
          <w:color w:val="008356"/>
          <w:w w:val="110"/>
          <w:sz w:val="11"/>
        </w:rPr>
        <w:t>INDINAVIR </w:t>
      </w:r>
      <w:r>
        <w:rPr>
          <w:color w:val="231F1F"/>
          <w:w w:val="110"/>
        </w:rPr>
        <w:t>and </w:t>
      </w:r>
      <w:r>
        <w:rPr>
          <w:rFonts w:ascii="Arial"/>
          <w:color w:val="231F1F"/>
          <w:w w:val="355"/>
          <w:position w:val="1"/>
          <w:sz w:val="7"/>
        </w:rPr>
        <w:t>l </w:t>
      </w:r>
      <w:r>
        <w:rPr>
          <w:rFonts w:ascii="Calibri"/>
          <w:color w:val="008356"/>
          <w:w w:val="110"/>
          <w:sz w:val="11"/>
        </w:rPr>
        <w:t>RITONAVIR </w:t>
      </w:r>
      <w:r>
        <w:rPr>
          <w:color w:val="231F1F"/>
          <w:w w:val="110"/>
        </w:rPr>
        <w:t>(reduce dose of pazopanib); avoidance of pazopanib advised by manufacturer of </w:t>
      </w:r>
      <w:r>
        <w:rPr>
          <w:rFonts w:ascii="Arial"/>
          <w:color w:val="231F1F"/>
          <w:w w:val="355"/>
          <w:position w:val="1"/>
          <w:sz w:val="7"/>
        </w:rPr>
        <w:t>l </w:t>
      </w:r>
      <w:r>
        <w:rPr>
          <w:rFonts w:ascii="Calibri"/>
          <w:color w:val="008356"/>
          <w:w w:val="110"/>
          <w:sz w:val="11"/>
        </w:rPr>
        <w:t>BOCEPREVIR</w:t>
      </w:r>
      <w:r>
        <w:rPr>
          <w:color w:val="231F1F"/>
          <w:w w:val="110"/>
        </w:rPr>
        <w:t>; increased risk of ventricular arrhythmias when pazopanib given with</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SAQUINAVIR</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spacing w:after="0" w:line="141" w:lineRule="exact"/>
        <w:jc w:val="left"/>
        <w:rPr>
          <w:sz w:val="12"/>
        </w:rPr>
        <w:sectPr>
          <w:headerReference w:type="even" r:id="rId42"/>
          <w:headerReference w:type="default" r:id="rId43"/>
          <w:pgSz w:w="8390" w:h="11910"/>
          <w:pgMar w:header="0" w:footer="0" w:top="460" w:bottom="280" w:left="480" w:right="0"/>
          <w:pgNumType w:start="1222"/>
          <w:cols w:num="2" w:equalWidth="0">
            <w:col w:w="3636" w:space="40"/>
            <w:col w:w="4234"/>
          </w:cols>
        </w:sectPr>
      </w:pPr>
    </w:p>
    <w:p>
      <w:pPr>
        <w:pStyle w:val="BodyText"/>
        <w:spacing w:before="7"/>
        <w:ind w:left="0"/>
        <w:rPr>
          <w:sz w:val="14"/>
        </w:rPr>
      </w:pPr>
    </w:p>
    <w:p>
      <w:pPr>
        <w:pStyle w:val="BodyText"/>
        <w:spacing w:line="144" w:lineRule="exact"/>
        <w:ind w:left="108"/>
        <w:rPr>
          <w:rFonts w:ascii="Calibri"/>
        </w:rPr>
      </w:pPr>
      <w:r>
        <w:rPr>
          <w:rFonts w:ascii="Arial"/>
          <w:color w:val="008356"/>
        </w:rPr>
        <w:t>Pazopanib </w:t>
      </w:r>
      <w:r>
        <w:rPr>
          <w:rFonts w:ascii="Calibri"/>
          <w:color w:val="231F1F"/>
        </w:rPr>
        <w:t>(continued)</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pazopanib increased by</w:t>
      </w:r>
    </w:p>
    <w:p>
      <w:pPr>
        <w:spacing w:line="130" w:lineRule="exact" w:before="0"/>
        <w:ind w:left="208" w:right="0" w:firstLine="0"/>
        <w:jc w:val="left"/>
        <w:rPr>
          <w:rFonts w:ascii="Calibri"/>
          <w:sz w:val="11"/>
        </w:rPr>
      </w:pPr>
      <w:r>
        <w:rPr>
          <w:rFonts w:ascii="Calibri"/>
          <w:color w:val="008356"/>
          <w:sz w:val="11"/>
        </w:rPr>
        <w:t>LAPATINIB</w:t>
      </w:r>
    </w:p>
    <w:p>
      <w:pPr>
        <w:spacing w:before="0"/>
        <w:ind w:left="208" w:right="0" w:hanging="100"/>
        <w:jc w:val="left"/>
        <w:rPr>
          <w:rFonts w:ascii="Calibri"/>
          <w:sz w:val="11"/>
        </w:rPr>
      </w:pPr>
      <w:r>
        <w:rPr>
          <w:rFonts w:ascii="Arial"/>
          <w:color w:val="231F1F"/>
          <w:w w:val="355"/>
          <w:position w:val="1"/>
          <w:sz w:val="7"/>
        </w:rPr>
        <w:t>l </w:t>
      </w:r>
      <w:r>
        <w:rPr>
          <w:rFonts w:ascii="Calibri"/>
          <w:color w:val="231F1F"/>
          <w:w w:val="110"/>
          <w:sz w:val="12"/>
        </w:rPr>
        <w:t>Grapefruit Juice: </w:t>
      </w:r>
      <w:r>
        <w:rPr>
          <w:color w:val="231F1F"/>
          <w:w w:val="110"/>
          <w:sz w:val="12"/>
        </w:rPr>
        <w:t>manufacturer of pazopanib advises </w:t>
      </w:r>
      <w:r>
        <w:rPr>
          <w:color w:val="231F1F"/>
          <w:spacing w:val="-3"/>
          <w:w w:val="110"/>
          <w:sz w:val="12"/>
        </w:rPr>
        <w:t>avoid </w:t>
      </w:r>
      <w:r>
        <w:rPr>
          <w:color w:val="231F1F"/>
          <w:w w:val="110"/>
          <w:sz w:val="12"/>
        </w:rPr>
        <w:t>concomitant use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GRAPEFRUIT </w:t>
      </w:r>
      <w:r>
        <w:rPr>
          <w:rFonts w:ascii="Calibri"/>
          <w:color w:val="008356"/>
          <w:spacing w:val="5"/>
          <w:w w:val="110"/>
          <w:sz w:val="11"/>
        </w:rPr>
        <w:t>JUICE</w:t>
      </w:r>
    </w:p>
    <w:p>
      <w:pPr>
        <w:pStyle w:val="BodyText"/>
        <w:spacing w:line="242" w:lineRule="auto"/>
        <w:ind w:right="304"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pazopanib by 12 hours advised by manufacturer of </w:t>
      </w:r>
      <w:r>
        <w:rPr>
          <w:rFonts w:ascii="Calibri" w:hAnsi="Calibri"/>
          <w:color w:val="008356"/>
          <w:w w:val="105"/>
          <w:sz w:val="11"/>
        </w:rPr>
        <w:t>LOMITAPIDE</w:t>
      </w:r>
    </w:p>
    <w:p>
      <w:pPr>
        <w:pStyle w:val="BodyText"/>
        <w:spacing w:line="232" w:lineRule="auto"/>
        <w:ind w:right="70" w:hanging="100"/>
      </w:pPr>
      <w:r>
        <w:rPr>
          <w:rFonts w:ascii="Lucida Sans Unicode" w:hAnsi="Lucida Sans Unicode"/>
          <w:color w:val="A7A8AC"/>
          <w:w w:val="95"/>
          <w:sz w:val="10"/>
        </w:rPr>
        <w:t>▶</w:t>
      </w:r>
      <w:r>
        <w:rPr>
          <w:rFonts w:ascii="Lucida Sans Unicode" w:hAnsi="Lucida Sans Unicode"/>
          <w:color w:val="A7A8AC"/>
          <w:spacing w:val="14"/>
          <w:w w:val="95"/>
          <w:sz w:val="10"/>
        </w:rPr>
        <w:t> </w:t>
      </w:r>
      <w:r>
        <w:rPr>
          <w:rFonts w:ascii="Calibri" w:hAnsi="Calibri"/>
          <w:color w:val="231F1F"/>
          <w:w w:val="110"/>
        </w:rPr>
        <w:t>Ulcer-healing</w:t>
      </w:r>
      <w:r>
        <w:rPr>
          <w:rFonts w:ascii="Calibri" w:hAnsi="Calibri"/>
          <w:color w:val="231F1F"/>
          <w:spacing w:val="-4"/>
          <w:w w:val="110"/>
        </w:rPr>
        <w:t> </w:t>
      </w:r>
      <w:r>
        <w:rPr>
          <w:rFonts w:ascii="Calibri" w:hAnsi="Calibri"/>
          <w:color w:val="231F1F"/>
          <w:w w:val="110"/>
        </w:rPr>
        <w:t>Drugs:</w:t>
      </w:r>
      <w:r>
        <w:rPr>
          <w:rFonts w:ascii="Calibri" w:hAnsi="Calibri"/>
          <w:color w:val="231F1F"/>
          <w:spacing w:val="-6"/>
          <w:w w:val="110"/>
        </w:rPr>
        <w:t> </w:t>
      </w:r>
      <w:r>
        <w:rPr>
          <w:color w:val="231F1F"/>
          <w:w w:val="110"/>
        </w:rPr>
        <w:t>absorption</w:t>
      </w:r>
      <w:r>
        <w:rPr>
          <w:color w:val="231F1F"/>
          <w:spacing w:val="-7"/>
          <w:w w:val="110"/>
        </w:rPr>
        <w:t> </w:t>
      </w:r>
      <w:r>
        <w:rPr>
          <w:color w:val="231F1F"/>
          <w:w w:val="110"/>
        </w:rPr>
        <w:t>of</w:t>
      </w:r>
      <w:r>
        <w:rPr>
          <w:color w:val="231F1F"/>
          <w:spacing w:val="-8"/>
          <w:w w:val="110"/>
        </w:rPr>
        <w:t> </w:t>
      </w:r>
      <w:r>
        <w:rPr>
          <w:color w:val="231F1F"/>
          <w:w w:val="110"/>
        </w:rPr>
        <w:t>pazopanib</w:t>
      </w:r>
      <w:r>
        <w:rPr>
          <w:color w:val="231F1F"/>
          <w:spacing w:val="-8"/>
          <w:w w:val="110"/>
        </w:rPr>
        <w:t> </w:t>
      </w:r>
      <w:r>
        <w:rPr>
          <w:color w:val="231F1F"/>
          <w:w w:val="110"/>
        </w:rPr>
        <w:t>possibly</w:t>
      </w:r>
      <w:r>
        <w:rPr>
          <w:color w:val="231F1F"/>
          <w:spacing w:val="-8"/>
          <w:w w:val="110"/>
        </w:rPr>
        <w:t> </w:t>
      </w:r>
      <w:r>
        <w:rPr>
          <w:color w:val="231F1F"/>
          <w:w w:val="110"/>
        </w:rPr>
        <w:t>reduced </w:t>
      </w:r>
      <w:r>
        <w:rPr>
          <w:color w:val="231F1F"/>
          <w:w w:val="110"/>
          <w:position w:val="2"/>
        </w:rPr>
        <w:t>by </w:t>
      </w:r>
      <w:r>
        <w:rPr>
          <w:rFonts w:ascii="Calibri" w:hAnsi="Calibri"/>
          <w:color w:val="008356"/>
          <w:spacing w:val="3"/>
          <w:w w:val="110"/>
          <w:position w:val="2"/>
          <w:sz w:val="11"/>
        </w:rPr>
        <w:t>HISTAMINE </w:t>
      </w:r>
      <w:r>
        <w:rPr>
          <w:rFonts w:ascii="Calibri" w:hAnsi="Calibri"/>
          <w:color w:val="008356"/>
          <w:spacing w:val="2"/>
          <w:w w:val="110"/>
          <w:position w:val="2"/>
          <w:sz w:val="11"/>
        </w:rPr>
        <w:t>H</w:t>
      </w:r>
      <w:r>
        <w:rPr>
          <w:rFonts w:ascii="Calibri" w:hAnsi="Calibri"/>
          <w:color w:val="008356"/>
          <w:spacing w:val="2"/>
          <w:w w:val="110"/>
          <w:position w:val="2"/>
          <w:sz w:val="11"/>
          <w:vertAlign w:val="subscript"/>
        </w:rPr>
        <w:t>2</w:t>
      </w:r>
      <w:r>
        <w:rPr>
          <w:rFonts w:ascii="Calibri" w:hAnsi="Calibri"/>
          <w:color w:val="008356"/>
          <w:spacing w:val="2"/>
          <w:w w:val="110"/>
          <w:position w:val="2"/>
          <w:sz w:val="11"/>
          <w:vertAlign w:val="baseline"/>
        </w:rPr>
        <w:t>-ANTAGONISTS</w:t>
      </w:r>
      <w:r>
        <w:rPr>
          <w:rFonts w:ascii="Arial" w:hAnsi="Arial"/>
          <w:color w:val="231F1F"/>
          <w:spacing w:val="2"/>
          <w:w w:val="110"/>
          <w:position w:val="2"/>
          <w:vertAlign w:val="baseline"/>
        </w:rPr>
        <w:t>—</w:t>
      </w:r>
      <w:r>
        <w:rPr>
          <w:color w:val="231F1F"/>
          <w:spacing w:val="2"/>
          <w:w w:val="110"/>
          <w:position w:val="2"/>
          <w:vertAlign w:val="baseline"/>
        </w:rPr>
        <w:t>manufacturer </w:t>
      </w:r>
      <w:r>
        <w:rPr>
          <w:color w:val="231F1F"/>
          <w:w w:val="110"/>
          <w:position w:val="2"/>
          <w:vertAlign w:val="baseline"/>
        </w:rPr>
        <w:t>of pazopanib </w:t>
      </w:r>
      <w:r>
        <w:rPr>
          <w:color w:val="231F1F"/>
          <w:w w:val="110"/>
          <w:vertAlign w:val="baseline"/>
        </w:rPr>
        <w:t>advises give at least 2 hours before or 10 hours after  histamine H</w:t>
      </w:r>
      <w:r>
        <w:rPr>
          <w:color w:val="231F1F"/>
          <w:w w:val="110"/>
          <w:vertAlign w:val="subscript"/>
        </w:rPr>
        <w:t>2</w:t>
      </w:r>
      <w:r>
        <w:rPr>
          <w:color w:val="231F1F"/>
          <w:w w:val="110"/>
          <w:vertAlign w:val="baseline"/>
        </w:rPr>
        <w:t>-antagonists; absorption of pazopanib possibly reduced</w:t>
      </w:r>
      <w:r>
        <w:rPr>
          <w:color w:val="231F1F"/>
          <w:spacing w:val="-10"/>
          <w:w w:val="110"/>
          <w:vertAlign w:val="baseline"/>
        </w:rPr>
        <w:t> </w:t>
      </w:r>
      <w:r>
        <w:rPr>
          <w:color w:val="231F1F"/>
          <w:w w:val="110"/>
          <w:vertAlign w:val="baseline"/>
        </w:rPr>
        <w:t>by</w:t>
      </w:r>
      <w:r>
        <w:rPr>
          <w:color w:val="231F1F"/>
          <w:spacing w:val="-8"/>
          <w:w w:val="110"/>
          <w:vertAlign w:val="baseline"/>
        </w:rPr>
        <w:t> </w:t>
      </w:r>
      <w:r>
        <w:rPr>
          <w:rFonts w:ascii="Calibri" w:hAnsi="Calibri"/>
          <w:color w:val="008356"/>
          <w:spacing w:val="3"/>
          <w:w w:val="110"/>
          <w:sz w:val="11"/>
          <w:vertAlign w:val="baseline"/>
        </w:rPr>
        <w:t>PROTON</w:t>
      </w:r>
      <w:r>
        <w:rPr>
          <w:rFonts w:ascii="Calibri" w:hAnsi="Calibri"/>
          <w:color w:val="008356"/>
          <w:w w:val="110"/>
          <w:sz w:val="11"/>
          <w:vertAlign w:val="baseline"/>
        </w:rPr>
        <w:t> </w:t>
      </w:r>
      <w:r>
        <w:rPr>
          <w:rFonts w:ascii="Calibri" w:hAnsi="Calibri"/>
          <w:color w:val="008356"/>
          <w:spacing w:val="3"/>
          <w:w w:val="110"/>
          <w:sz w:val="11"/>
          <w:vertAlign w:val="baseline"/>
        </w:rPr>
        <w:t>PUMP</w:t>
      </w:r>
      <w:r>
        <w:rPr>
          <w:rFonts w:ascii="Calibri" w:hAnsi="Calibri"/>
          <w:color w:val="008356"/>
          <w:spacing w:val="-2"/>
          <w:w w:val="110"/>
          <w:sz w:val="11"/>
          <w:vertAlign w:val="baseline"/>
        </w:rPr>
        <w:t> </w:t>
      </w:r>
      <w:r>
        <w:rPr>
          <w:rFonts w:ascii="Calibri" w:hAnsi="Calibri"/>
          <w:color w:val="008356"/>
          <w:spacing w:val="2"/>
          <w:w w:val="110"/>
          <w:sz w:val="11"/>
          <w:vertAlign w:val="baseline"/>
        </w:rPr>
        <w:t>INHIBITORS</w:t>
      </w:r>
      <w:r>
        <w:rPr>
          <w:rFonts w:ascii="Arial" w:hAnsi="Arial"/>
          <w:color w:val="231F1F"/>
          <w:spacing w:val="2"/>
          <w:w w:val="110"/>
          <w:vertAlign w:val="baseline"/>
        </w:rPr>
        <w:t>—</w:t>
      </w:r>
      <w:r>
        <w:rPr>
          <w:color w:val="231F1F"/>
          <w:spacing w:val="2"/>
          <w:w w:val="110"/>
          <w:vertAlign w:val="baseline"/>
        </w:rPr>
        <w:t>manufacturer</w:t>
      </w:r>
      <w:r>
        <w:rPr>
          <w:color w:val="231F1F"/>
          <w:spacing w:val="-9"/>
          <w:w w:val="110"/>
          <w:vertAlign w:val="baseline"/>
        </w:rPr>
        <w:t> </w:t>
      </w:r>
      <w:r>
        <w:rPr>
          <w:color w:val="231F1F"/>
          <w:w w:val="110"/>
          <w:vertAlign w:val="baseline"/>
        </w:rPr>
        <w:t>of</w:t>
      </w:r>
    </w:p>
    <w:p>
      <w:pPr>
        <w:pStyle w:val="BodyText"/>
        <w:spacing w:line="249" w:lineRule="auto"/>
      </w:pPr>
      <w:r>
        <w:rPr>
          <w:color w:val="231F1F"/>
          <w:w w:val="115"/>
        </w:rPr>
        <w:t>pazopanib advises give at the same time as proton pump inhibitors</w:t>
      </w:r>
    </w:p>
    <w:p>
      <w:pPr>
        <w:pStyle w:val="BodyText"/>
        <w:ind w:left="108"/>
        <w:rPr>
          <w:rFonts w:ascii="Trebuchet MS"/>
        </w:rPr>
      </w:pPr>
      <w:r>
        <w:rPr>
          <w:rFonts w:ascii="Trebuchet MS"/>
          <w:color w:val="008356"/>
        </w:rPr>
        <w:t>Pegfilgrastim</w:t>
      </w:r>
    </w:p>
    <w:p>
      <w:pPr>
        <w:spacing w:line="237" w:lineRule="auto" w:before="0"/>
        <w:ind w:left="208" w:right="30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neutropenia possibly exacerbated when pegfilgrastim given with </w:t>
      </w:r>
      <w:r>
        <w:rPr>
          <w:rFonts w:ascii="Calibri" w:hAnsi="Calibri"/>
          <w:color w:val="008356"/>
          <w:w w:val="105"/>
          <w:sz w:val="11"/>
        </w:rPr>
        <w:t>CAPECITABINE</w:t>
      </w:r>
      <w:r>
        <w:rPr>
          <w:color w:val="231F1F"/>
          <w:w w:val="105"/>
          <w:sz w:val="12"/>
        </w:rPr>
        <w:t>, </w:t>
      </w:r>
      <w:r>
        <w:rPr>
          <w:rFonts w:ascii="Calibri" w:hAnsi="Calibri"/>
          <w:color w:val="008356"/>
          <w:w w:val="105"/>
          <w:sz w:val="11"/>
        </w:rPr>
        <w:t>FLUOROURACIL </w:t>
      </w:r>
      <w:r>
        <w:rPr>
          <w:color w:val="231F1F"/>
          <w:w w:val="105"/>
          <w:sz w:val="12"/>
        </w:rPr>
        <w:t>or </w:t>
      </w:r>
      <w:r>
        <w:rPr>
          <w:rFonts w:ascii="Calibri" w:hAnsi="Calibri"/>
          <w:color w:val="008356"/>
          <w:w w:val="105"/>
          <w:sz w:val="11"/>
        </w:rPr>
        <w:t>TEGAFUR</w:t>
      </w:r>
    </w:p>
    <w:p>
      <w:pPr>
        <w:pStyle w:val="BodyText"/>
        <w:spacing w:before="5"/>
        <w:ind w:left="108"/>
      </w:pPr>
      <w:r>
        <w:rPr>
          <w:rFonts w:ascii="Trebuchet MS"/>
          <w:color w:val="008356"/>
          <w:w w:val="105"/>
        </w:rPr>
        <w:t>Peginterferon Alfa </w:t>
      </w:r>
      <w:r>
        <w:rPr>
          <w:i/>
          <w:color w:val="231F1F"/>
          <w:w w:val="105"/>
        </w:rPr>
        <w:t>see </w:t>
      </w:r>
      <w:r>
        <w:rPr>
          <w:color w:val="231F1F"/>
          <w:w w:val="105"/>
        </w:rPr>
        <w:t>Interferons</w:t>
      </w:r>
    </w:p>
    <w:p>
      <w:pPr>
        <w:pStyle w:val="BodyText"/>
        <w:spacing w:before="11"/>
        <w:ind w:left="108"/>
        <w:rPr>
          <w:rFonts w:ascii="Trebuchet MS"/>
        </w:rPr>
      </w:pPr>
      <w:r>
        <w:rPr>
          <w:rFonts w:ascii="Trebuchet MS"/>
          <w:color w:val="008356"/>
        </w:rPr>
        <w:t>Pemetrexed</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Analgesics: </w:t>
      </w:r>
      <w:r>
        <w:rPr>
          <w:color w:val="231F1F"/>
          <w:w w:val="105"/>
        </w:rPr>
        <w:t>renal excretion of pemetrexed possibly reduced by</w:t>
      </w:r>
    </w:p>
    <w:p>
      <w:pPr>
        <w:spacing w:line="134" w:lineRule="exact" w:before="0"/>
        <w:ind w:left="208" w:right="0" w:firstLine="0"/>
        <w:jc w:val="left"/>
        <w:rPr>
          <w:sz w:val="12"/>
        </w:rPr>
      </w:pPr>
      <w:r>
        <w:rPr>
          <w:rFonts w:ascii="Calibri" w:hAnsi="Calibri"/>
          <w:color w:val="008356"/>
          <w:w w:val="110"/>
          <w:sz w:val="11"/>
        </w:rPr>
        <w:t>NSAID</w:t>
      </w:r>
      <w:r>
        <w:rPr>
          <w:rFonts w:ascii="Calibri" w:hAnsi="Calibri"/>
          <w:color w:val="008356"/>
          <w:w w:val="110"/>
          <w:sz w:val="9"/>
        </w:rPr>
        <w:t>S </w:t>
      </w:r>
      <w:r>
        <w:rPr>
          <w:color w:val="231F1F"/>
          <w:w w:val="110"/>
          <w:sz w:val="12"/>
        </w:rPr>
        <w:t>and </w:t>
      </w:r>
      <w:r>
        <w:rPr>
          <w:rFonts w:ascii="Calibri" w:hAnsi="Calibri"/>
          <w:color w:val="008356"/>
          <w:w w:val="110"/>
          <w:sz w:val="11"/>
        </w:rPr>
        <w:t>ASPIRIN</w:t>
      </w:r>
      <w:r>
        <w:rPr>
          <w:rFonts w:ascii="Arial" w:hAnsi="Arial"/>
          <w:color w:val="231F1F"/>
          <w:w w:val="110"/>
          <w:sz w:val="12"/>
        </w:rPr>
        <w:t>—</w:t>
      </w:r>
      <w:r>
        <w:rPr>
          <w:color w:val="231F1F"/>
          <w:w w:val="110"/>
          <w:sz w:val="12"/>
        </w:rPr>
        <w:t>consult product literature</w:t>
      </w:r>
    </w:p>
    <w:p>
      <w:pPr>
        <w:pStyle w:val="BodyText"/>
        <w:spacing w:line="145" w:lineRule="exact"/>
        <w:ind w:left="108"/>
      </w:pPr>
      <w:r>
        <w:rPr>
          <w:rFonts w:ascii="Arial"/>
          <w:color w:val="231F1F"/>
          <w:w w:val="355"/>
          <w:position w:val="1"/>
          <w:sz w:val="7"/>
        </w:rPr>
        <w:t>l </w:t>
      </w:r>
      <w:r>
        <w:rPr>
          <w:rFonts w:ascii="Calibri"/>
          <w:color w:val="231F1F"/>
          <w:w w:val="115"/>
        </w:rPr>
        <w:t>Antimalarials: </w:t>
      </w:r>
      <w:r>
        <w:rPr>
          <w:color w:val="231F1F"/>
          <w:w w:val="115"/>
        </w:rPr>
        <w:t>antifolate effect of pemetrexed increased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PYRIMETHAMINE</w:t>
      </w:r>
    </w:p>
    <w:p>
      <w:pPr>
        <w:pStyle w:val="BodyText"/>
        <w:spacing w:line="145"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139" w:lineRule="exact" w:before="8"/>
        <w:ind w:left="108"/>
        <w:rPr>
          <w:rFonts w:ascii="Trebuchet MS"/>
        </w:rPr>
      </w:pPr>
      <w:r>
        <w:rPr>
          <w:rFonts w:ascii="Trebuchet MS"/>
          <w:color w:val="008356"/>
        </w:rPr>
        <w:t>Penicillamine</w:t>
      </w:r>
    </w:p>
    <w:p>
      <w:pPr>
        <w:pStyle w:val="BodyText"/>
        <w:spacing w:line="220" w:lineRule="auto" w:before="8"/>
        <w:ind w:hanging="100"/>
        <w:rPr>
          <w:rFonts w:ascii="Calibri" w:hAnsi="Calibri"/>
          <w:sz w:val="9"/>
        </w:rPr>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risk of nephrotoxicity when penicillamine given with </w:t>
      </w:r>
      <w:r>
        <w:rPr>
          <w:rFonts w:ascii="Calibri" w:hAnsi="Calibri"/>
          <w:color w:val="008356"/>
          <w:w w:val="110"/>
          <w:sz w:val="11"/>
        </w:rPr>
        <w:t>NSAID</w:t>
      </w:r>
      <w:r>
        <w:rPr>
          <w:rFonts w:ascii="Calibri" w:hAnsi="Calibri"/>
          <w:color w:val="008356"/>
          <w:w w:val="110"/>
          <w:sz w:val="9"/>
        </w:rPr>
        <w:t>S</w:t>
      </w:r>
    </w:p>
    <w:p>
      <w:pPr>
        <w:pStyle w:val="BodyText"/>
        <w:spacing w:line="149" w:lineRule="exact" w:before="1"/>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penicillamine reduced by </w:t>
      </w:r>
      <w:r>
        <w:rPr>
          <w:rFonts w:ascii="Calibri" w:hAnsi="Calibri"/>
          <w:color w:val="008356"/>
          <w:w w:val="105"/>
          <w:sz w:val="11"/>
        </w:rPr>
        <w:t>ANTACIDS</w:t>
      </w:r>
    </w:p>
    <w:p>
      <w:pPr>
        <w:pStyle w:val="BodyText"/>
        <w:spacing w:line="138"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penicillamine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7"/>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penicillamine possibly reduces plasma concentration of </w:t>
      </w:r>
      <w:r>
        <w:rPr>
          <w:rFonts w:ascii="Calibri" w:hAnsi="Calibri"/>
          <w:color w:val="008356"/>
          <w:w w:val="105"/>
          <w:sz w:val="11"/>
        </w:rPr>
        <w:t>DIGOXIN</w:t>
      </w:r>
    </w:p>
    <w:p>
      <w:pPr>
        <w:spacing w:line="230" w:lineRule="auto" w:before="4"/>
        <w:ind w:left="208" w:right="304"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absorption of penicillamine reduced by </w:t>
      </w:r>
      <w:r>
        <w:rPr>
          <w:i/>
          <w:color w:val="231F1F"/>
          <w:w w:val="105"/>
          <w:sz w:val="12"/>
        </w:rPr>
        <w:t>oral </w:t>
      </w:r>
      <w:r>
        <w:rPr>
          <w:rFonts w:ascii="Calibri" w:hAnsi="Calibri"/>
          <w:color w:val="008356"/>
          <w:w w:val="105"/>
          <w:sz w:val="11"/>
        </w:rPr>
        <w:t>IRON SALTS</w:t>
      </w:r>
    </w:p>
    <w:p>
      <w:pPr>
        <w:pStyle w:val="BodyText"/>
        <w:spacing w:line="230" w:lineRule="auto" w:before="4"/>
        <w:ind w:right="-8" w:hanging="100"/>
      </w:pPr>
      <w:r>
        <w:rPr>
          <w:rFonts w:ascii="Lucida Sans Unicode" w:hAnsi="Lucida Sans Unicode"/>
          <w:color w:val="A7A8AC"/>
          <w:w w:val="95"/>
          <w:sz w:val="10"/>
        </w:rPr>
        <w:t>▶ </w:t>
      </w:r>
      <w:r>
        <w:rPr>
          <w:rFonts w:ascii="Calibri" w:hAnsi="Calibri"/>
          <w:color w:val="231F1F"/>
          <w:w w:val="110"/>
        </w:rPr>
        <w:t>Sodium Aurothiomalate: </w:t>
      </w:r>
      <w:r>
        <w:rPr>
          <w:color w:val="231F1F"/>
          <w:w w:val="110"/>
        </w:rPr>
        <w:t>manufacturer of penicillamine advises avoid concomitant use with </w:t>
      </w:r>
      <w:r>
        <w:rPr>
          <w:rFonts w:ascii="Calibri" w:hAnsi="Calibri"/>
          <w:color w:val="008356"/>
          <w:w w:val="110"/>
          <w:sz w:val="11"/>
        </w:rPr>
        <w:t>SODIUM AUROTHIOMALATE </w:t>
      </w:r>
      <w:r>
        <w:rPr>
          <w:color w:val="231F1F"/>
          <w:w w:val="110"/>
        </w:rPr>
        <w:t>(increased risk of toxicity)</w:t>
      </w:r>
    </w:p>
    <w:p>
      <w:pPr>
        <w:pStyle w:val="BodyText"/>
        <w:spacing w:line="220" w:lineRule="auto" w:before="12"/>
        <w:ind w:right="304" w:hanging="100"/>
      </w:pPr>
      <w:r>
        <w:rPr>
          <w:rFonts w:ascii="Lucida Sans Unicode" w:hAnsi="Lucida Sans Unicode"/>
          <w:color w:val="A7A8AC"/>
          <w:w w:val="95"/>
          <w:sz w:val="10"/>
        </w:rPr>
        <w:t>▶ </w:t>
      </w:r>
      <w:r>
        <w:rPr>
          <w:rFonts w:ascii="Calibri" w:hAnsi="Calibri"/>
          <w:color w:val="231F1F"/>
          <w:w w:val="110"/>
        </w:rPr>
        <w:t>Zinc: </w:t>
      </w:r>
      <w:r>
        <w:rPr>
          <w:color w:val="231F1F"/>
          <w:w w:val="110"/>
        </w:rPr>
        <w:t>penicillamine reduces absorption of </w:t>
      </w:r>
      <w:r>
        <w:rPr>
          <w:rFonts w:ascii="Calibri" w:hAnsi="Calibri"/>
          <w:color w:val="008356"/>
          <w:w w:val="110"/>
          <w:sz w:val="11"/>
        </w:rPr>
        <w:t>ZINC</w:t>
      </w:r>
      <w:r>
        <w:rPr>
          <w:color w:val="231F1F"/>
          <w:w w:val="110"/>
        </w:rPr>
        <w:t>, also absorption of penicillamine reduced by zinc</w:t>
      </w:r>
    </w:p>
    <w:p>
      <w:pPr>
        <w:pStyle w:val="BodyText"/>
        <w:spacing w:before="13"/>
        <w:ind w:left="108"/>
        <w:rPr>
          <w:rFonts w:ascii="Trebuchet MS"/>
        </w:rPr>
      </w:pPr>
      <w:r>
        <w:rPr>
          <w:rFonts w:ascii="Trebuchet MS"/>
          <w:color w:val="008356"/>
        </w:rPr>
        <w:t>Penicillins</w:t>
      </w:r>
    </w:p>
    <w:p>
      <w:pPr>
        <w:pStyle w:val="BodyText"/>
        <w:spacing w:line="220" w:lineRule="auto" w:before="9"/>
        <w:ind w:right="71" w:hanging="100"/>
        <w:rPr>
          <w:rFonts w:ascii="Calibri" w:hAnsi="Calibri"/>
          <w:sz w:val="11"/>
        </w:rPr>
      </w:pPr>
      <w:r>
        <w:rPr>
          <w:rFonts w:ascii="Lucida Sans Unicode" w:hAnsi="Lucida Sans Unicode"/>
          <w:color w:val="A7A8AC"/>
          <w:w w:val="95"/>
          <w:sz w:val="10"/>
        </w:rPr>
        <w:t>▶ </w:t>
      </w:r>
      <w:r>
        <w:rPr>
          <w:rFonts w:ascii="Calibri" w:hAnsi="Calibri"/>
          <w:color w:val="231F1F"/>
          <w:w w:val="105"/>
        </w:rPr>
        <w:t>Allopurinol: </w:t>
      </w:r>
      <w:r>
        <w:rPr>
          <w:color w:val="231F1F"/>
          <w:w w:val="105"/>
        </w:rPr>
        <w:t>increased risk of  rash when amoxicillin, ampicillin or co-amoxiclav given with</w:t>
      </w:r>
      <w:r>
        <w:rPr>
          <w:color w:val="231F1F"/>
          <w:spacing w:val="3"/>
          <w:w w:val="105"/>
        </w:rPr>
        <w:t> </w:t>
      </w:r>
      <w:r>
        <w:rPr>
          <w:rFonts w:ascii="Calibri" w:hAnsi="Calibri"/>
          <w:color w:val="008356"/>
          <w:spacing w:val="4"/>
          <w:w w:val="105"/>
          <w:sz w:val="11"/>
        </w:rPr>
        <w:t>ALLOPURINOL</w:t>
      </w:r>
    </w:p>
    <w:p>
      <w:pPr>
        <w:pStyle w:val="BodyText"/>
        <w:spacing w:line="237" w:lineRule="auto" w:before="1"/>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absorption of phenoxymethylpenicillin reduced by </w:t>
      </w:r>
      <w:r>
        <w:rPr>
          <w:rFonts w:ascii="Calibri" w:hAnsi="Calibri"/>
          <w:color w:val="008356"/>
          <w:w w:val="110"/>
          <w:sz w:val="11"/>
        </w:rPr>
        <w:t>NEOMYCIN</w:t>
      </w:r>
      <w:r>
        <w:rPr>
          <w:color w:val="231F1F"/>
          <w:w w:val="110"/>
        </w:rPr>
        <w:t>; effects of penicillins possibly antagonised by </w:t>
      </w:r>
      <w:r>
        <w:rPr>
          <w:rFonts w:ascii="Calibri" w:hAnsi="Calibri"/>
          <w:color w:val="008356"/>
          <w:w w:val="110"/>
          <w:sz w:val="11"/>
        </w:rPr>
        <w:t>TETRACYCLINES</w:t>
      </w:r>
    </w:p>
    <w:p>
      <w:pPr>
        <w:pStyle w:val="BodyText"/>
        <w:spacing w:line="237" w:lineRule="auto"/>
        <w:ind w:hanging="100"/>
      </w:pPr>
      <w:r>
        <w:rPr>
          <w:rFonts w:ascii="Lucida Sans Unicode" w:hAnsi="Lucida Sans Unicode"/>
          <w:color w:val="A7A8AC"/>
          <w:w w:val="95"/>
          <w:sz w:val="10"/>
        </w:rPr>
        <w:t>▶ </w:t>
      </w:r>
      <w:r>
        <w:rPr>
          <w:rFonts w:ascii="Calibri" w:hAnsi="Calibri"/>
          <w:color w:val="231F1F"/>
          <w:w w:val="110"/>
        </w:rPr>
        <w:t>Anticoagulants: </w:t>
      </w:r>
      <w:r>
        <w:rPr>
          <w:color w:val="231F1F"/>
          <w:w w:val="110"/>
        </w:rPr>
        <w:t>an interaction between broad-spectrum penicillins and </w:t>
      </w:r>
      <w:r>
        <w:rPr>
          <w:rFonts w:ascii="Calibri" w:hAnsi="Calibri"/>
          <w:color w:val="008356"/>
          <w:w w:val="110"/>
          <w:sz w:val="11"/>
        </w:rPr>
        <w:t>COUMARINS </w:t>
      </w:r>
      <w:r>
        <w:rPr>
          <w:color w:val="231F1F"/>
          <w:w w:val="110"/>
        </w:rPr>
        <w:t>and </w:t>
      </w:r>
      <w:r>
        <w:rPr>
          <w:rFonts w:ascii="Calibri" w:hAnsi="Calibri"/>
          <w:color w:val="008356"/>
          <w:w w:val="110"/>
          <w:sz w:val="11"/>
        </w:rPr>
        <w:t>PHENINDIONE </w:t>
      </w:r>
      <w:r>
        <w:rPr>
          <w:color w:val="231F1F"/>
          <w:w w:val="110"/>
        </w:rPr>
        <w:t>has not been demonstrated in studies, but common experience in anticoagulant clinics is that INR can be altered</w:t>
      </w:r>
    </w:p>
    <w:p>
      <w:pPr>
        <w:spacing w:line="247" w:lineRule="auto" w:before="0"/>
        <w:ind w:left="208" w:right="189" w:hanging="100"/>
        <w:jc w:val="left"/>
        <w:rPr>
          <w:rFonts w:ascii="Calibri"/>
          <w:sz w:val="11"/>
        </w:rPr>
      </w:pPr>
      <w:r>
        <w:rPr>
          <w:rFonts w:ascii="Arial"/>
          <w:color w:val="231F1F"/>
          <w:w w:val="355"/>
          <w:position w:val="1"/>
          <w:sz w:val="7"/>
        </w:rPr>
        <w:t>l</w:t>
      </w:r>
      <w:r>
        <w:rPr>
          <w:rFonts w:ascii="Arial"/>
          <w:color w:val="231F1F"/>
          <w:spacing w:val="-55"/>
          <w:w w:val="355"/>
          <w:position w:val="1"/>
          <w:sz w:val="7"/>
        </w:rPr>
        <w:t> </w:t>
      </w:r>
      <w:r>
        <w:rPr>
          <w:rFonts w:ascii="Calibri"/>
          <w:color w:val="231F1F"/>
          <w:w w:val="115"/>
          <w:sz w:val="12"/>
        </w:rPr>
        <w:t>Antiepileptics:</w:t>
      </w:r>
      <w:r>
        <w:rPr>
          <w:rFonts w:ascii="Calibri"/>
          <w:color w:val="231F1F"/>
          <w:spacing w:val="-19"/>
          <w:w w:val="115"/>
          <w:sz w:val="12"/>
        </w:rPr>
        <w:t> </w:t>
      </w:r>
      <w:r>
        <w:rPr>
          <w:color w:val="231F1F"/>
          <w:w w:val="115"/>
          <w:sz w:val="12"/>
        </w:rPr>
        <w:t>manufacturer</w:t>
      </w:r>
      <w:r>
        <w:rPr>
          <w:color w:val="231F1F"/>
          <w:spacing w:val="-23"/>
          <w:w w:val="115"/>
          <w:sz w:val="12"/>
        </w:rPr>
        <w:t> </w:t>
      </w:r>
      <w:r>
        <w:rPr>
          <w:color w:val="231F1F"/>
          <w:w w:val="115"/>
          <w:sz w:val="12"/>
        </w:rPr>
        <w:t>of</w:t>
      </w:r>
      <w:r>
        <w:rPr>
          <w:color w:val="231F1F"/>
          <w:spacing w:val="-23"/>
          <w:w w:val="115"/>
          <w:sz w:val="12"/>
        </w:rPr>
        <w:t> </w:t>
      </w:r>
      <w:r>
        <w:rPr>
          <w:color w:val="231F1F"/>
          <w:w w:val="115"/>
          <w:sz w:val="12"/>
        </w:rPr>
        <w:t>pivmecillinam</w:t>
      </w:r>
      <w:r>
        <w:rPr>
          <w:color w:val="231F1F"/>
          <w:spacing w:val="-24"/>
          <w:w w:val="115"/>
          <w:sz w:val="12"/>
        </w:rPr>
        <w:t> </w:t>
      </w:r>
      <w:r>
        <w:rPr>
          <w:color w:val="231F1F"/>
          <w:w w:val="115"/>
          <w:sz w:val="12"/>
        </w:rPr>
        <w:t>advises</w:t>
      </w:r>
      <w:r>
        <w:rPr>
          <w:color w:val="231F1F"/>
          <w:spacing w:val="-23"/>
          <w:w w:val="115"/>
          <w:sz w:val="12"/>
        </w:rPr>
        <w:t> </w:t>
      </w:r>
      <w:r>
        <w:rPr>
          <w:color w:val="231F1F"/>
          <w:spacing w:val="-3"/>
          <w:w w:val="115"/>
          <w:sz w:val="12"/>
        </w:rPr>
        <w:t>avoid </w:t>
      </w:r>
      <w:r>
        <w:rPr>
          <w:color w:val="231F1F"/>
          <w:w w:val="115"/>
          <w:sz w:val="12"/>
        </w:rPr>
        <w:t>concomitant</w:t>
      </w:r>
      <w:r>
        <w:rPr>
          <w:color w:val="231F1F"/>
          <w:spacing w:val="-24"/>
          <w:w w:val="115"/>
          <w:sz w:val="12"/>
        </w:rPr>
        <w:t> </w:t>
      </w:r>
      <w:r>
        <w:rPr>
          <w:color w:val="231F1F"/>
          <w:w w:val="115"/>
          <w:sz w:val="12"/>
        </w:rPr>
        <w:t>use</w:t>
      </w:r>
      <w:r>
        <w:rPr>
          <w:color w:val="231F1F"/>
          <w:spacing w:val="-23"/>
          <w:w w:val="115"/>
          <w:sz w:val="12"/>
        </w:rPr>
        <w:t> </w:t>
      </w:r>
      <w:r>
        <w:rPr>
          <w:color w:val="231F1F"/>
          <w:w w:val="115"/>
          <w:sz w:val="12"/>
        </w:rPr>
        <w:t>with</w:t>
      </w:r>
      <w:r>
        <w:rPr>
          <w:color w:val="231F1F"/>
          <w:spacing w:val="-23"/>
          <w:w w:val="115"/>
          <w:sz w:val="12"/>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SODIUM</w:t>
      </w:r>
      <w:r>
        <w:rPr>
          <w:rFonts w:ascii="Calibri"/>
          <w:color w:val="008356"/>
          <w:spacing w:val="-16"/>
          <w:w w:val="115"/>
          <w:sz w:val="11"/>
        </w:rPr>
        <w:t> </w:t>
      </w:r>
      <w:r>
        <w:rPr>
          <w:rFonts w:ascii="Calibri"/>
          <w:color w:val="008356"/>
          <w:spacing w:val="3"/>
          <w:w w:val="115"/>
          <w:sz w:val="11"/>
        </w:rPr>
        <w:t>VALPROATE</w:t>
      </w:r>
      <w:r>
        <w:rPr>
          <w:rFonts w:ascii="Calibri"/>
          <w:color w:val="008356"/>
          <w:spacing w:val="-15"/>
          <w:w w:val="115"/>
          <w:sz w:val="11"/>
        </w:rPr>
        <w:t> </w:t>
      </w:r>
      <w:r>
        <w:rPr>
          <w:color w:val="231F1F"/>
          <w:w w:val="115"/>
          <w:sz w:val="12"/>
        </w:rPr>
        <w:t>and</w:t>
      </w:r>
      <w:r>
        <w:rPr>
          <w:color w:val="231F1F"/>
          <w:spacing w:val="-23"/>
          <w:w w:val="115"/>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3"/>
          <w:w w:val="115"/>
          <w:sz w:val="11"/>
        </w:rPr>
        <w:t>VALPROIC ACID</w:t>
      </w:r>
    </w:p>
    <w:p>
      <w:pPr>
        <w:spacing w:line="145" w:lineRule="exact" w:before="0"/>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sz w:val="12"/>
        </w:rPr>
        <w:t>Cytotoxics: </w:t>
      </w:r>
      <w:r>
        <w:rPr>
          <w:color w:val="231F1F"/>
          <w:sz w:val="12"/>
        </w:rPr>
        <w:t>penicillins reduce excretion of </w:t>
      </w:r>
      <w:r>
        <w:rPr>
          <w:rFonts w:ascii="Calibri" w:hAnsi="Calibri"/>
          <w:color w:val="008356"/>
          <w:sz w:val="11"/>
        </w:rPr>
        <w:t>METHOTREXATE</w:t>
      </w:r>
    </w:p>
    <w:p>
      <w:pPr>
        <w:pStyle w:val="BodyText"/>
        <w:spacing w:line="132" w:lineRule="exact"/>
      </w:pPr>
      <w:r>
        <w:rPr>
          <w:color w:val="231F1F"/>
          <w:w w:val="110"/>
        </w:rPr>
        <w:t>(increased risk of toxicity)</w:t>
      </w:r>
    </w:p>
    <w:p>
      <w:pPr>
        <w:spacing w:line="220" w:lineRule="auto" w:before="1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Muscle Relaxants: </w:t>
      </w:r>
      <w:r>
        <w:rPr>
          <w:color w:val="231F1F"/>
          <w:w w:val="105"/>
          <w:sz w:val="12"/>
        </w:rPr>
        <w:t>piperacillin enhances effects of </w:t>
      </w:r>
      <w:r>
        <w:rPr>
          <w:rFonts w:ascii="Calibri" w:hAnsi="Calibri"/>
          <w:color w:val="008356"/>
          <w:w w:val="105"/>
          <w:sz w:val="11"/>
        </w:rPr>
        <w:t>NON- </w:t>
      </w:r>
      <w:r>
        <w:rPr>
          <w:rFonts w:ascii="Calibri" w:hAnsi="Calibri"/>
          <w:color w:val="008356"/>
          <w:sz w:val="11"/>
        </w:rPr>
        <w:t>DEPOLARISING MUSCLE RELAXANTS </w:t>
      </w:r>
      <w:r>
        <w:rPr>
          <w:color w:val="231F1F"/>
          <w:sz w:val="12"/>
        </w:rPr>
        <w:t>and </w:t>
      </w:r>
      <w:r>
        <w:rPr>
          <w:rFonts w:ascii="Calibri" w:hAnsi="Calibri"/>
          <w:color w:val="008356"/>
          <w:sz w:val="11"/>
        </w:rPr>
        <w:t>SUXAMETHONIUM</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Mycophenolate: </w:t>
      </w:r>
      <w:r>
        <w:rPr>
          <w:color w:val="231F1F"/>
          <w:w w:val="105"/>
        </w:rPr>
        <w:t>co-amoxiclav possibly reduces plasma concentration of </w:t>
      </w:r>
      <w:r>
        <w:rPr>
          <w:rFonts w:ascii="Calibri" w:hAnsi="Calibri"/>
          <w:color w:val="008356"/>
          <w:w w:val="105"/>
          <w:sz w:val="11"/>
        </w:rPr>
        <w:t>MYCOPHENOLATE</w:t>
      </w:r>
    </w:p>
    <w:p>
      <w:pPr>
        <w:pStyle w:val="BodyText"/>
        <w:spacing w:line="155" w:lineRule="exact"/>
        <w:ind w:left="108"/>
      </w:pPr>
      <w:r>
        <w:rPr>
          <w:rFonts w:ascii="Lucida Sans Unicode" w:hAnsi="Lucida Sans Unicode"/>
          <w:color w:val="A7A8AC"/>
          <w:w w:val="95"/>
          <w:sz w:val="10"/>
        </w:rPr>
        <w:t>▶ </w:t>
      </w:r>
      <w:r>
        <w:rPr>
          <w:rFonts w:ascii="Calibri" w:hAnsi="Calibri"/>
          <w:color w:val="231F1F"/>
        </w:rPr>
        <w:t>Sulfinpyrazone: </w:t>
      </w:r>
      <w:r>
        <w:rPr>
          <w:color w:val="231F1F"/>
        </w:rPr>
        <w:t>excretion of penicillins reduced by</w:t>
      </w:r>
    </w:p>
    <w:p>
      <w:pPr>
        <w:spacing w:line="131" w:lineRule="exact" w:before="0"/>
        <w:ind w:left="208" w:right="0" w:firstLine="0"/>
        <w:jc w:val="left"/>
        <w:rPr>
          <w:rFonts w:ascii="Calibri"/>
          <w:sz w:val="11"/>
        </w:rPr>
      </w:pPr>
      <w:r>
        <w:rPr>
          <w:rFonts w:ascii="Calibri"/>
          <w:color w:val="008356"/>
          <w:sz w:val="11"/>
        </w:rPr>
        <w:t>SULFINPYRAZONE</w:t>
      </w:r>
    </w:p>
    <w:p>
      <w:pPr>
        <w:spacing w:line="220" w:lineRule="auto" w:before="8"/>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08"/>
        <w:rPr>
          <w:rFonts w:ascii="Trebuchet MS"/>
        </w:rPr>
      </w:pPr>
      <w:r>
        <w:rPr>
          <w:rFonts w:ascii="Trebuchet MS"/>
          <w:color w:val="008356"/>
        </w:rPr>
        <w:t>Pentamidine Isetionate</w:t>
      </w:r>
    </w:p>
    <w:p>
      <w:pPr>
        <w:pStyle w:val="BodyText"/>
        <w:spacing w:line="242" w:lineRule="auto" w:before="1"/>
        <w:ind w:right="223" w:hanging="100"/>
      </w:pPr>
      <w:r>
        <w:rPr>
          <w:rFonts w:ascii="Arial" w:hAnsi="Arial"/>
          <w:color w:val="231F1F"/>
          <w:w w:val="355"/>
          <w:position w:val="1"/>
          <w:sz w:val="7"/>
        </w:rPr>
        <w:t>l </w:t>
      </w:r>
      <w:r>
        <w:rPr>
          <w:rFonts w:ascii="Calibri" w:hAnsi="Calibri"/>
          <w:color w:val="231F1F"/>
          <w:w w:val="105"/>
        </w:rPr>
        <w:t>Anti-arrhythmics: </w:t>
      </w:r>
      <w:r>
        <w:rPr>
          <w:color w:val="231F1F"/>
          <w:w w:val="105"/>
        </w:rPr>
        <w:t>increased risk of ventricular  arrhythmias when pentamidine isetionate given with </w:t>
      </w:r>
      <w:r>
        <w:rPr>
          <w:rFonts w:ascii="Arial" w:hAnsi="Arial"/>
          <w:color w:val="231F1F"/>
          <w:w w:val="355"/>
          <w:position w:val="1"/>
          <w:sz w:val="7"/>
        </w:rPr>
        <w:t>l </w:t>
      </w:r>
      <w:r>
        <w:rPr>
          <w:rFonts w:ascii="Calibri" w:hAnsi="Calibri"/>
          <w:color w:val="008356"/>
          <w:spacing w:val="4"/>
          <w:w w:val="105"/>
          <w:sz w:val="11"/>
        </w:rPr>
        <w:t>AMIODARONE</w:t>
      </w:r>
      <w:r>
        <w:rPr>
          <w:rFonts w:ascii="Arial" w:hAnsi="Arial"/>
          <w:color w:val="231F1F"/>
          <w:spacing w:val="4"/>
          <w:w w:val="105"/>
        </w:rPr>
        <w:t>— </w:t>
      </w:r>
      <w:r>
        <w:rPr>
          <w:color w:val="231F1F"/>
          <w:w w:val="105"/>
        </w:rPr>
        <w:t>avoid concomitant use; possible increased risk of ventricular arrhythmias when pentamidine isetionate given</w:t>
      </w:r>
      <w:r>
        <w:rPr>
          <w:color w:val="231F1F"/>
          <w:spacing w:val="28"/>
          <w:w w:val="105"/>
        </w:rPr>
        <w:t> </w:t>
      </w:r>
      <w:r>
        <w:rPr>
          <w:color w:val="231F1F"/>
          <w:w w:val="105"/>
        </w:rPr>
        <w:t>with</w:t>
      </w:r>
    </w:p>
    <w:p>
      <w:pPr>
        <w:spacing w:line="133" w:lineRule="exact" w:before="13"/>
        <w:ind w:left="208" w:right="0" w:firstLine="0"/>
        <w:jc w:val="left"/>
        <w:rPr>
          <w:rFonts w:ascii="Calibri"/>
          <w:sz w:val="11"/>
        </w:rPr>
      </w:pPr>
      <w:r>
        <w:rPr>
          <w:rFonts w:ascii="Arial"/>
          <w:color w:val="231F1F"/>
          <w:w w:val="355"/>
          <w:position w:val="1"/>
          <w:sz w:val="7"/>
        </w:rPr>
        <w:t>l </w:t>
      </w:r>
      <w:r>
        <w:rPr>
          <w:rFonts w:ascii="Calibri"/>
          <w:color w:val="008356"/>
          <w:w w:val="115"/>
          <w:sz w:val="11"/>
        </w:rPr>
        <w:t>DISOPYRAMIDE</w:t>
      </w:r>
    </w:p>
    <w:p>
      <w:pPr>
        <w:pStyle w:val="BodyText"/>
        <w:ind w:right="86" w:hanging="100"/>
        <w:rPr>
          <w:i/>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Antibacterials:</w:t>
      </w:r>
      <w:r>
        <w:rPr>
          <w:rFonts w:asci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ventricular</w:t>
      </w:r>
      <w:r>
        <w:rPr>
          <w:color w:val="231F1F"/>
          <w:spacing w:val="-17"/>
          <w:w w:val="115"/>
        </w:rPr>
        <w:t> </w:t>
      </w:r>
      <w:r>
        <w:rPr>
          <w:color w:val="231F1F"/>
          <w:w w:val="115"/>
        </w:rPr>
        <w:t>arrhythmias</w:t>
      </w:r>
      <w:r>
        <w:rPr>
          <w:color w:val="231F1F"/>
          <w:spacing w:val="-17"/>
          <w:w w:val="115"/>
        </w:rPr>
        <w:t> </w:t>
      </w:r>
      <w:r>
        <w:rPr>
          <w:color w:val="231F1F"/>
          <w:spacing w:val="-4"/>
          <w:w w:val="115"/>
        </w:rPr>
        <w:t>when </w:t>
      </w:r>
      <w:r>
        <w:rPr>
          <w:color w:val="231F1F"/>
          <w:w w:val="115"/>
        </w:rPr>
        <w:t>pentamidine isetionate given with</w:t>
      </w:r>
      <w:r>
        <w:rPr>
          <w:color w:val="231F1F"/>
          <w:spacing w:val="-19"/>
          <w:w w:val="115"/>
        </w:rPr>
        <w:t> </w:t>
      </w:r>
      <w:r>
        <w:rPr>
          <w:i/>
          <w:color w:val="231F1F"/>
          <w:w w:val="115"/>
        </w:rPr>
        <w:t>parenteral</w:t>
      </w:r>
    </w:p>
    <w:p>
      <w:pPr>
        <w:spacing w:before="4"/>
        <w:ind w:left="208" w:right="149" w:firstLine="0"/>
        <w:jc w:val="left"/>
        <w:rPr>
          <w:rFonts w:ascii="Arial" w:hAnsi="Arial"/>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0"/>
          <w:sz w:val="11"/>
        </w:rPr>
        <w:t>ERYTHROMYCIN</w:t>
      </w:r>
      <w:r>
        <w:rPr>
          <w:color w:val="231F1F"/>
          <w:spacing w:val="4"/>
          <w:w w:val="110"/>
          <w:sz w:val="12"/>
        </w:rPr>
        <w:t>; </w:t>
      </w:r>
      <w:r>
        <w:rPr>
          <w:color w:val="231F1F"/>
          <w:w w:val="110"/>
          <w:sz w:val="12"/>
        </w:rPr>
        <w:t>increased risk of ventricular arrhythmias when pentamidine isetionate given with </w:t>
      </w:r>
      <w:r>
        <w:rPr>
          <w:rFonts w:ascii="Arial" w:hAnsi="Arial"/>
          <w:color w:val="231F1F"/>
          <w:w w:val="355"/>
          <w:position w:val="1"/>
          <w:sz w:val="7"/>
        </w:rPr>
        <w:t>l </w:t>
      </w:r>
      <w:r>
        <w:rPr>
          <w:rFonts w:ascii="Calibri" w:hAnsi="Calibri"/>
          <w:color w:val="008356"/>
          <w:spacing w:val="4"/>
          <w:w w:val="110"/>
          <w:sz w:val="11"/>
        </w:rPr>
        <w:t>MOXIFLOXACIN</w:t>
      </w:r>
      <w:r>
        <w:rPr>
          <w:rFonts w:ascii="Arial" w:hAnsi="Arial"/>
          <w:color w:val="231F1F"/>
          <w:spacing w:val="4"/>
          <w:w w:val="110"/>
          <w:sz w:val="12"/>
        </w:rPr>
        <w:t>—</w:t>
      </w:r>
    </w:p>
    <w:p>
      <w:pPr>
        <w:pStyle w:val="BodyText"/>
        <w:spacing w:before="8"/>
        <w:ind w:left="0"/>
        <w:rPr>
          <w:rFonts w:ascii="Arial"/>
          <w:sz w:val="14"/>
        </w:rPr>
      </w:pPr>
      <w:r>
        <w:rPr/>
        <w:br w:type="column"/>
      </w:r>
      <w:r>
        <w:rPr>
          <w:rFonts w:ascii="Arial"/>
          <w:sz w:val="14"/>
        </w:rPr>
      </w:r>
    </w:p>
    <w:p>
      <w:pPr>
        <w:pStyle w:val="BodyText"/>
        <w:ind w:left="108"/>
        <w:rPr>
          <w:rFonts w:ascii="Arial"/>
        </w:rPr>
      </w:pPr>
      <w:r>
        <w:rPr>
          <w:rFonts w:ascii="Arial"/>
          <w:color w:val="008356"/>
        </w:rPr>
        <w:t>Pentamidine Isetionate</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5344" filled="true" fillcolor="#bfdbcf" stroked="false">
            <v:fill type="solid"/>
            <w10:wrap type="none"/>
          </v:rect>
        </w:pict>
      </w:r>
      <w:r>
        <w:rPr/>
        <w:pict>
          <v:shape style="position:absolute;margin-left:399.725769pt;margin-top:-3.416702pt;width:10.4pt;height:78.850pt;mso-position-horizontal-relative:page;mso-position-vertical-relative:paragraph;z-index:536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Antibacterials (continued)</w:t>
      </w:r>
    </w:p>
    <w:p>
      <w:pPr>
        <w:pStyle w:val="BodyText"/>
        <w:spacing w:line="249" w:lineRule="auto"/>
        <w:ind w:right="1190"/>
      </w:pPr>
      <w:r>
        <w:rPr>
          <w:color w:val="231F1F"/>
          <w:w w:val="110"/>
        </w:rPr>
        <w:t>avoid concomitant use; increased risk of ventricular arrhythmias when pentamidine isetionate given  </w:t>
      </w:r>
      <w:r>
        <w:rPr>
          <w:color w:val="231F1F"/>
          <w:spacing w:val="-4"/>
          <w:w w:val="110"/>
        </w:rPr>
        <w:t>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DELAMANID</w:t>
      </w:r>
      <w:r>
        <w:rPr>
          <w:color w:val="231F1F"/>
          <w:spacing w:val="4"/>
          <w:w w:val="110"/>
        </w:rPr>
        <w:t>; </w:t>
      </w:r>
      <w:r>
        <w:rPr>
          <w:color w:val="231F1F"/>
          <w:w w:val="110"/>
        </w:rPr>
        <w:t>possible increased risk of ventricular</w:t>
      </w:r>
    </w:p>
    <w:p>
      <w:pPr>
        <w:spacing w:line="247" w:lineRule="auto" w:before="0"/>
        <w:ind w:left="208" w:right="762" w:firstLine="0"/>
        <w:jc w:val="left"/>
        <w:rPr>
          <w:rFonts w:ascii="Calibri"/>
          <w:sz w:val="11"/>
        </w:rPr>
      </w:pPr>
      <w:r>
        <w:rPr>
          <w:color w:val="231F1F"/>
          <w:w w:val="110"/>
          <w:sz w:val="12"/>
        </w:rPr>
        <w:t>arrhythmias when </w:t>
      </w:r>
      <w:r>
        <w:rPr>
          <w:i/>
          <w:color w:val="231F1F"/>
          <w:w w:val="110"/>
          <w:sz w:val="12"/>
        </w:rPr>
        <w:t>parenteral </w:t>
      </w:r>
      <w:r>
        <w:rPr>
          <w:color w:val="231F1F"/>
          <w:w w:val="110"/>
          <w:sz w:val="12"/>
        </w:rPr>
        <w:t>pentamidine isetionate given with </w:t>
      </w:r>
      <w:r>
        <w:rPr>
          <w:rFonts w:ascii="Arial"/>
          <w:color w:val="231F1F"/>
          <w:w w:val="355"/>
          <w:position w:val="1"/>
          <w:sz w:val="7"/>
        </w:rPr>
        <w:t>l </w:t>
      </w:r>
      <w:r>
        <w:rPr>
          <w:rFonts w:ascii="Calibri"/>
          <w:color w:val="008356"/>
          <w:w w:val="110"/>
          <w:sz w:val="11"/>
        </w:rPr>
        <w:t>TELITHROMYCIN</w:t>
      </w:r>
    </w:p>
    <w:p>
      <w:pPr>
        <w:pStyle w:val="BodyText"/>
        <w:spacing w:line="141" w:lineRule="exact"/>
        <w:ind w:left="108"/>
      </w:pPr>
      <w:r>
        <w:rPr>
          <w:rFonts w:ascii="Arial"/>
          <w:color w:val="231F1F"/>
          <w:w w:val="355"/>
          <w:position w:val="1"/>
          <w:sz w:val="7"/>
        </w:rPr>
        <w:t>l </w:t>
      </w:r>
      <w:r>
        <w:rPr>
          <w:rFonts w:ascii="Calibri"/>
          <w:color w:val="231F1F"/>
          <w:w w:val="110"/>
        </w:rPr>
        <w:t>Antidepressants: </w:t>
      </w:r>
      <w:r>
        <w:rPr>
          <w:color w:val="231F1F"/>
          <w:w w:val="110"/>
        </w:rPr>
        <w:t>avoidance of pentamidine isetionate advised</w:t>
      </w:r>
    </w:p>
    <w:p>
      <w:pPr>
        <w:pStyle w:val="BodyText"/>
        <w:spacing w:line="247" w:lineRule="auto"/>
        <w:ind w:right="707"/>
      </w:pPr>
      <w:r>
        <w:rPr>
          <w:color w:val="231F1F"/>
          <w:w w:val="110"/>
        </w:rPr>
        <w:t>by</w:t>
      </w:r>
      <w:r>
        <w:rPr>
          <w:color w:val="231F1F"/>
          <w:spacing w:val="-13"/>
          <w:w w:val="110"/>
        </w:rPr>
        <w:t> </w:t>
      </w:r>
      <w:r>
        <w:rPr>
          <w:color w:val="231F1F"/>
          <w:w w:val="110"/>
        </w:rPr>
        <w:t>manufacturer</w:t>
      </w:r>
      <w:r>
        <w:rPr>
          <w:color w:val="231F1F"/>
          <w:spacing w:val="-12"/>
          <w:w w:val="110"/>
        </w:rPr>
        <w:t> </w:t>
      </w:r>
      <w:r>
        <w:rPr>
          <w:color w:val="231F1F"/>
          <w:w w:val="110"/>
        </w:rPr>
        <w:t>of</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3"/>
          <w:w w:val="110"/>
          <w:sz w:val="11"/>
        </w:rPr>
        <w:t>CITALOPRAM</w:t>
      </w:r>
      <w:r>
        <w:rPr>
          <w:rFonts w:ascii="Calibri"/>
          <w:color w:val="008356"/>
          <w:spacing w:val="-3"/>
          <w:w w:val="110"/>
          <w:sz w:val="11"/>
        </w:rPr>
        <w:t> </w:t>
      </w:r>
      <w:r>
        <w:rPr>
          <w:color w:val="231F1F"/>
          <w:w w:val="110"/>
        </w:rPr>
        <w:t>and</w:t>
      </w:r>
      <w:r>
        <w:rPr>
          <w:color w:val="231F1F"/>
          <w:spacing w:val="-11"/>
          <w:w w:val="110"/>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ESCITALOPRAM</w:t>
      </w:r>
      <w:r>
        <w:rPr>
          <w:rFonts w:ascii="Calibri"/>
          <w:color w:val="008356"/>
          <w:spacing w:val="-2"/>
          <w:w w:val="110"/>
          <w:sz w:val="11"/>
        </w:rPr>
        <w:t> </w:t>
      </w:r>
      <w:r>
        <w:rPr>
          <w:color w:val="231F1F"/>
          <w:w w:val="110"/>
        </w:rPr>
        <w:t>(risk</w:t>
      </w:r>
      <w:r>
        <w:rPr>
          <w:color w:val="231F1F"/>
          <w:spacing w:val="-12"/>
          <w:w w:val="110"/>
        </w:rPr>
        <w:t> </w:t>
      </w:r>
      <w:r>
        <w:rPr>
          <w:color w:val="231F1F"/>
          <w:w w:val="110"/>
        </w:rPr>
        <w:t>of ventricular arrhythmias); increased risk of ventricular arrhythmias when pentamidine isetionate given</w:t>
      </w:r>
      <w:r>
        <w:rPr>
          <w:color w:val="231F1F"/>
          <w:spacing w:val="20"/>
          <w:w w:val="110"/>
        </w:rPr>
        <w:t> </w:t>
      </w:r>
      <w:r>
        <w:rPr>
          <w:color w:val="231F1F"/>
          <w:w w:val="110"/>
        </w:rPr>
        <w:t>with</w:t>
      </w:r>
    </w:p>
    <w:p>
      <w:pPr>
        <w:spacing w:line="133" w:lineRule="exact" w:before="3"/>
        <w:ind w:left="208" w:right="0" w:firstLine="0"/>
        <w:jc w:val="left"/>
        <w:rPr>
          <w:rFonts w:ascii="Calibri"/>
          <w:sz w:val="11"/>
        </w:rPr>
      </w:pPr>
      <w:r>
        <w:rPr>
          <w:rFonts w:ascii="Arial"/>
          <w:color w:val="231F1F"/>
          <w:w w:val="355"/>
          <w:position w:val="1"/>
          <w:sz w:val="7"/>
        </w:rPr>
        <w:t>l </w:t>
      </w:r>
      <w:r>
        <w:rPr>
          <w:rFonts w:ascii="Calibri"/>
          <w:color w:val="008356"/>
          <w:w w:val="120"/>
          <w:sz w:val="11"/>
        </w:rPr>
        <w:t>TRICYCLICS</w:t>
      </w:r>
    </w:p>
    <w:p>
      <w:pPr>
        <w:pStyle w:val="BodyText"/>
        <w:spacing w:line="220" w:lineRule="auto" w:before="8"/>
        <w:ind w:right="87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possible increased risk of nephrotoxicity when pentamidine isetionate given with </w:t>
      </w:r>
      <w:r>
        <w:rPr>
          <w:rFonts w:ascii="Calibri" w:hAnsi="Calibri"/>
          <w:color w:val="008356"/>
          <w:w w:val="110"/>
          <w:sz w:val="11"/>
        </w:rPr>
        <w:t>AMPHOTERICIN</w:t>
      </w:r>
    </w:p>
    <w:p>
      <w:pPr>
        <w:spacing w:before="0"/>
        <w:ind w:left="208" w:right="710" w:hanging="100"/>
        <w:jc w:val="both"/>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pentamidine isetionate advised </w:t>
      </w:r>
      <w:r>
        <w:rPr>
          <w:color w:val="231F1F"/>
          <w:spacing w:val="-7"/>
          <w:w w:val="110"/>
          <w:sz w:val="12"/>
        </w:rPr>
        <w:t>by </w:t>
      </w:r>
      <w:r>
        <w:rPr>
          <w:color w:val="231F1F"/>
          <w:w w:val="110"/>
          <w:sz w:val="12"/>
        </w:rPr>
        <w:t>manufacturer</w:t>
      </w:r>
      <w:r>
        <w:rPr>
          <w:color w:val="231F1F"/>
          <w:spacing w:val="-18"/>
          <w:w w:val="110"/>
          <w:sz w:val="12"/>
        </w:rPr>
        <w:t> </w:t>
      </w:r>
      <w:r>
        <w:rPr>
          <w:color w:val="231F1F"/>
          <w:w w:val="110"/>
          <w:sz w:val="12"/>
        </w:rPr>
        <w:t>of</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w:t>
      </w:r>
      <w:r>
        <w:rPr>
          <w:rFonts w:ascii="Calibri"/>
          <w:color w:val="008356"/>
          <w:spacing w:val="-13"/>
          <w:w w:val="110"/>
          <w:sz w:val="11"/>
        </w:rPr>
        <w:t> </w:t>
      </w:r>
      <w:r>
        <w:rPr>
          <w:rFonts w:ascii="Calibri"/>
          <w:color w:val="008356"/>
          <w:spacing w:val="3"/>
          <w:w w:val="110"/>
          <w:sz w:val="11"/>
        </w:rPr>
        <w:t>WITH</w:t>
      </w:r>
      <w:r>
        <w:rPr>
          <w:rFonts w:ascii="Calibri"/>
          <w:color w:val="008356"/>
          <w:spacing w:val="-10"/>
          <w:w w:val="110"/>
          <w:sz w:val="11"/>
        </w:rPr>
        <w:t> </w:t>
      </w:r>
      <w:r>
        <w:rPr>
          <w:rFonts w:ascii="Calibri"/>
          <w:color w:val="008356"/>
          <w:spacing w:val="4"/>
          <w:w w:val="110"/>
          <w:sz w:val="11"/>
        </w:rPr>
        <w:t>PIPERAQUINE</w:t>
      </w:r>
      <w:r>
        <w:rPr>
          <w:rFonts w:ascii="Calibri"/>
          <w:color w:val="008356"/>
          <w:spacing w:val="-7"/>
          <w:w w:val="110"/>
          <w:sz w:val="11"/>
        </w:rPr>
        <w:t> </w:t>
      </w:r>
      <w:r>
        <w:rPr>
          <w:color w:val="231F1F"/>
          <w:w w:val="110"/>
          <w:sz w:val="12"/>
        </w:rPr>
        <w:t>(possible</w:t>
      </w:r>
      <w:r>
        <w:rPr>
          <w:color w:val="231F1F"/>
          <w:spacing w:val="-17"/>
          <w:w w:val="110"/>
          <w:sz w:val="12"/>
        </w:rPr>
        <w:t> </w:t>
      </w:r>
      <w:r>
        <w:rPr>
          <w:color w:val="231F1F"/>
          <w:w w:val="110"/>
          <w:sz w:val="12"/>
        </w:rPr>
        <w:t>risk of ventricular</w:t>
      </w:r>
      <w:r>
        <w:rPr>
          <w:color w:val="231F1F"/>
          <w:spacing w:val="-3"/>
          <w:w w:val="110"/>
          <w:sz w:val="12"/>
        </w:rPr>
        <w:t> </w:t>
      </w:r>
      <w:r>
        <w:rPr>
          <w:color w:val="231F1F"/>
          <w:w w:val="110"/>
          <w:sz w:val="12"/>
        </w:rPr>
        <w:t>arrhythmias)</w:t>
      </w:r>
    </w:p>
    <w:p>
      <w:pPr>
        <w:pStyle w:val="BodyText"/>
        <w:spacing w:before="1"/>
        <w:ind w:right="706" w:hanging="100"/>
        <w:jc w:val="both"/>
      </w:pPr>
      <w:r>
        <w:rPr>
          <w:rFonts w:ascii="Arial"/>
          <w:color w:val="231F1F"/>
          <w:w w:val="355"/>
          <w:position w:val="1"/>
          <w:sz w:val="7"/>
        </w:rPr>
        <w:t>l </w:t>
      </w:r>
      <w:r>
        <w:rPr>
          <w:rFonts w:ascii="Calibri"/>
          <w:color w:val="231F1F"/>
          <w:w w:val="110"/>
        </w:rPr>
        <w:t>Antipsychotics: </w:t>
      </w:r>
      <w:r>
        <w:rPr>
          <w:color w:val="231F1F"/>
          <w:w w:val="110"/>
        </w:rPr>
        <w:t>increased risk of ventricular arrhythmias </w:t>
      </w:r>
      <w:r>
        <w:rPr>
          <w:color w:val="231F1F"/>
          <w:spacing w:val="-4"/>
          <w:w w:val="110"/>
        </w:rPr>
        <w:t>when </w:t>
      </w:r>
      <w:r>
        <w:rPr>
          <w:color w:val="231F1F"/>
          <w:w w:val="110"/>
        </w:rPr>
        <w:t>pentamidine isetionate given with </w:t>
      </w:r>
      <w:r>
        <w:rPr>
          <w:rFonts w:ascii="Arial"/>
          <w:color w:val="231F1F"/>
          <w:w w:val="355"/>
          <w:position w:val="1"/>
          <w:sz w:val="7"/>
        </w:rPr>
        <w:t>l </w:t>
      </w:r>
      <w:r>
        <w:rPr>
          <w:rFonts w:ascii="Calibri"/>
          <w:color w:val="008356"/>
          <w:spacing w:val="4"/>
          <w:w w:val="110"/>
          <w:sz w:val="11"/>
        </w:rPr>
        <w:t>AMISULPRIDE </w:t>
      </w:r>
      <w:r>
        <w:rPr>
          <w:color w:val="231F1F"/>
          <w:w w:val="110"/>
        </w:rPr>
        <w:t>or</w:t>
      </w:r>
    </w:p>
    <w:p>
      <w:pPr>
        <w:spacing w:line="247" w:lineRule="auto" w:before="1"/>
        <w:ind w:left="208" w:right="762" w:firstLine="0"/>
        <w:jc w:val="left"/>
        <w:rPr>
          <w:rFonts w:ascii="Calibri" w:hAnsi="Calibri"/>
          <w:sz w:val="11"/>
        </w:rPr>
      </w:pPr>
      <w:r>
        <w:rPr>
          <w:rFonts w:ascii="Arial" w:hAnsi="Arial"/>
          <w:color w:val="231F1F"/>
          <w:w w:val="355"/>
          <w:position w:val="1"/>
          <w:sz w:val="7"/>
        </w:rPr>
        <w:t>l </w:t>
      </w:r>
      <w:r>
        <w:rPr>
          <w:rFonts w:ascii="Calibri" w:hAnsi="Calibri"/>
          <w:color w:val="008356"/>
          <w:w w:val="110"/>
          <w:sz w:val="11"/>
        </w:rPr>
        <w:t>DROPERIDOL</w:t>
      </w:r>
      <w:r>
        <w:rPr>
          <w:rFonts w:ascii="Arial" w:hAnsi="Arial"/>
          <w:color w:val="231F1F"/>
          <w:w w:val="110"/>
          <w:sz w:val="12"/>
        </w:rPr>
        <w:t>—</w:t>
      </w:r>
      <w:r>
        <w:rPr>
          <w:color w:val="231F1F"/>
          <w:w w:val="110"/>
          <w:sz w:val="12"/>
        </w:rPr>
        <w:t>avoid concomitant use; increased risk of ventricular arrhythmias when pentamidine isetionate given with </w:t>
      </w:r>
      <w:r>
        <w:rPr>
          <w:rFonts w:ascii="Arial" w:hAnsi="Arial"/>
          <w:color w:val="231F1F"/>
          <w:w w:val="355"/>
          <w:position w:val="1"/>
          <w:sz w:val="7"/>
        </w:rPr>
        <w:t>l </w:t>
      </w:r>
      <w:r>
        <w:rPr>
          <w:rFonts w:ascii="Calibri" w:hAnsi="Calibri"/>
          <w:color w:val="008356"/>
          <w:w w:val="110"/>
          <w:sz w:val="11"/>
        </w:rPr>
        <w:t>PHENOTHIAZINES</w:t>
      </w:r>
    </w:p>
    <w:p>
      <w:pPr>
        <w:pStyle w:val="BodyText"/>
        <w:spacing w:line="139" w:lineRule="exact"/>
        <w:ind w:left="108"/>
        <w:rPr>
          <w:i/>
        </w:rPr>
      </w:pPr>
      <w:r>
        <w:rPr>
          <w:rFonts w:ascii="Arial"/>
          <w:color w:val="231F1F"/>
          <w:w w:val="355"/>
          <w:position w:val="1"/>
          <w:sz w:val="7"/>
        </w:rPr>
        <w:t>l </w:t>
      </w:r>
      <w:r>
        <w:rPr>
          <w:rFonts w:ascii="Calibri"/>
          <w:color w:val="231F1F"/>
          <w:w w:val="115"/>
        </w:rPr>
        <w:t>Antivirals: </w:t>
      </w:r>
      <w:r>
        <w:rPr>
          <w:color w:val="231F1F"/>
          <w:w w:val="115"/>
        </w:rPr>
        <w:t>increased risk of hypocalcaemia when </w:t>
      </w:r>
      <w:r>
        <w:rPr>
          <w:i/>
          <w:color w:val="231F1F"/>
          <w:w w:val="115"/>
        </w:rPr>
        <w:t>parenteral</w:t>
      </w:r>
    </w:p>
    <w:p>
      <w:pPr>
        <w:pStyle w:val="BodyText"/>
        <w:spacing w:line="244" w:lineRule="auto"/>
        <w:ind w:right="762"/>
      </w:pPr>
      <w:r>
        <w:rPr>
          <w:color w:val="231F1F"/>
          <w:w w:val="110"/>
        </w:rPr>
        <w:t>pentamidine isetionate given with </w:t>
      </w:r>
      <w:r>
        <w:rPr>
          <w:rFonts w:ascii="Arial" w:hAnsi="Arial"/>
          <w:color w:val="231F1F"/>
          <w:w w:val="355"/>
          <w:position w:val="1"/>
          <w:sz w:val="7"/>
        </w:rPr>
        <w:t>l </w:t>
      </w:r>
      <w:r>
        <w:rPr>
          <w:rFonts w:ascii="Calibri" w:hAnsi="Calibri"/>
          <w:color w:val="008356"/>
          <w:spacing w:val="4"/>
          <w:w w:val="110"/>
          <w:sz w:val="11"/>
        </w:rPr>
        <w:t>FOSCARNET</w:t>
      </w:r>
      <w:r>
        <w:rPr>
          <w:color w:val="231F1F"/>
          <w:spacing w:val="4"/>
          <w:w w:val="110"/>
        </w:rPr>
        <w:t>; </w:t>
      </w:r>
      <w:r>
        <w:rPr>
          <w:color w:val="231F1F"/>
          <w:w w:val="110"/>
        </w:rPr>
        <w:t>increased risk of ventricular arrhythmias when pentamidine isetionate given with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141" w:lineRule="exact"/>
        <w:ind w:left="108"/>
      </w:pPr>
      <w:r>
        <w:rPr>
          <w:rFonts w:ascii="Arial"/>
          <w:color w:val="231F1F"/>
          <w:w w:val="355"/>
          <w:position w:val="1"/>
          <w:sz w:val="7"/>
        </w:rPr>
        <w:t>l </w:t>
      </w:r>
      <w:r>
        <w:rPr>
          <w:rFonts w:ascii="Calibri"/>
          <w:color w:val="231F1F"/>
          <w:w w:val="110"/>
        </w:rPr>
        <w:t>Cytotoxics: </w:t>
      </w:r>
      <w:r>
        <w:rPr>
          <w:color w:val="231F1F"/>
          <w:w w:val="110"/>
        </w:rPr>
        <w:t>possible increased risk of ventricular arrhythmias</w:t>
      </w:r>
    </w:p>
    <w:p>
      <w:pPr>
        <w:pStyle w:val="BodyText"/>
        <w:ind w:right="670"/>
      </w:pPr>
      <w:r>
        <w:rPr>
          <w:color w:val="231F1F"/>
          <w:w w:val="115"/>
        </w:rPr>
        <w:t>when</w:t>
      </w:r>
      <w:r>
        <w:rPr>
          <w:color w:val="231F1F"/>
          <w:spacing w:val="-20"/>
          <w:w w:val="115"/>
        </w:rPr>
        <w:t> </w:t>
      </w:r>
      <w:r>
        <w:rPr>
          <w:color w:val="231F1F"/>
          <w:w w:val="115"/>
        </w:rPr>
        <w:t>pentamidine</w:t>
      </w:r>
      <w:r>
        <w:rPr>
          <w:color w:val="231F1F"/>
          <w:spacing w:val="-19"/>
          <w:w w:val="115"/>
        </w:rPr>
        <w:t> </w:t>
      </w:r>
      <w:r>
        <w:rPr>
          <w:color w:val="231F1F"/>
          <w:w w:val="115"/>
        </w:rPr>
        <w:t>isetionate</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15"/>
          <w:sz w:val="11"/>
        </w:rPr>
        <w:t>VANDETANIB</w:t>
      </w:r>
      <w:r>
        <w:rPr>
          <w:rFonts w:ascii="Arial" w:hAnsi="Arial"/>
          <w:color w:val="231F1F"/>
          <w:w w:val="115"/>
        </w:rPr>
        <w:t>—</w:t>
      </w:r>
      <w:r>
        <w:rPr>
          <w:color w:val="231F1F"/>
          <w:w w:val="115"/>
        </w:rPr>
        <w:t>avoid concomitant</w:t>
      </w:r>
      <w:r>
        <w:rPr>
          <w:color w:val="231F1F"/>
          <w:spacing w:val="-5"/>
          <w:w w:val="115"/>
        </w:rPr>
        <w:t> </w:t>
      </w:r>
      <w:r>
        <w:rPr>
          <w:color w:val="231F1F"/>
          <w:w w:val="115"/>
        </w:rPr>
        <w:t>use</w:t>
      </w:r>
    </w:p>
    <w:p>
      <w:pPr>
        <w:pStyle w:val="BodyText"/>
        <w:spacing w:before="2"/>
        <w:ind w:right="887" w:hanging="100"/>
        <w:rPr>
          <w:rFonts w:ascii="Calibri"/>
          <w:sz w:val="11"/>
        </w:rPr>
      </w:pPr>
      <w:r>
        <w:rPr>
          <w:rFonts w:ascii="Arial"/>
          <w:color w:val="231F1F"/>
          <w:w w:val="355"/>
          <w:position w:val="1"/>
          <w:sz w:val="7"/>
        </w:rPr>
        <w:t>l </w:t>
      </w:r>
      <w:r>
        <w:rPr>
          <w:rFonts w:ascii="Calibri"/>
          <w:color w:val="231F1F"/>
          <w:w w:val="110"/>
        </w:rPr>
        <w:t>Ivabradine: </w:t>
      </w:r>
      <w:r>
        <w:rPr>
          <w:color w:val="231F1F"/>
          <w:w w:val="110"/>
        </w:rPr>
        <w:t>increased risk of ventricular arrhythmias when pentamidine isetionate given with </w:t>
      </w:r>
      <w:r>
        <w:rPr>
          <w:rFonts w:ascii="Arial"/>
          <w:color w:val="231F1F"/>
          <w:w w:val="355"/>
          <w:position w:val="1"/>
          <w:sz w:val="7"/>
        </w:rPr>
        <w:t>l </w:t>
      </w:r>
      <w:r>
        <w:rPr>
          <w:rFonts w:ascii="Calibri"/>
          <w:color w:val="008356"/>
          <w:w w:val="110"/>
          <w:sz w:val="11"/>
        </w:rPr>
        <w:t>IVABRADINE</w:t>
      </w:r>
    </w:p>
    <w:p>
      <w:pPr>
        <w:pStyle w:val="BodyText"/>
        <w:spacing w:before="7"/>
        <w:ind w:left="108"/>
      </w:pPr>
      <w:r>
        <w:rPr>
          <w:rFonts w:ascii="Trebuchet MS"/>
          <w:color w:val="008356"/>
          <w:w w:val="110"/>
        </w:rPr>
        <w:t>Pentazocine </w:t>
      </w:r>
      <w:r>
        <w:rPr>
          <w:i/>
          <w:color w:val="231F1F"/>
          <w:w w:val="110"/>
        </w:rPr>
        <w:t>see </w:t>
      </w:r>
      <w:r>
        <w:rPr>
          <w:color w:val="231F1F"/>
          <w:w w:val="110"/>
        </w:rPr>
        <w:t>Opioid Analgesics</w:t>
      </w:r>
    </w:p>
    <w:p>
      <w:pPr>
        <w:pStyle w:val="BodyText"/>
        <w:spacing w:before="10"/>
        <w:ind w:left="108"/>
        <w:rPr>
          <w:rFonts w:ascii="Trebuchet MS"/>
        </w:rPr>
      </w:pPr>
      <w:r>
        <w:rPr>
          <w:rFonts w:ascii="Trebuchet MS"/>
          <w:color w:val="008356"/>
        </w:rPr>
        <w:t>Pentostatin</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44" w:lineRule="auto"/>
        <w:ind w:right="847" w:hanging="100"/>
      </w:pPr>
      <w:r>
        <w:rPr>
          <w:rFonts w:ascii="Arial" w:hAnsi="Arial"/>
          <w:color w:val="231F1F"/>
          <w:w w:val="355"/>
          <w:position w:val="1"/>
          <w:sz w:val="7"/>
        </w:rPr>
        <w:t>l </w:t>
      </w:r>
      <w:r>
        <w:rPr>
          <w:rFonts w:ascii="Calibri" w:hAnsi="Calibri"/>
          <w:color w:val="231F1F"/>
          <w:w w:val="110"/>
        </w:rPr>
        <w:t>Cytotoxics: </w:t>
      </w:r>
      <w:r>
        <w:rPr>
          <w:color w:val="231F1F"/>
          <w:w w:val="110"/>
        </w:rPr>
        <w:t>increased toxicity when pentostatin given with high-dose </w:t>
      </w:r>
      <w:r>
        <w:rPr>
          <w:rFonts w:ascii="Arial" w:hAnsi="Arial"/>
          <w:color w:val="231F1F"/>
          <w:w w:val="355"/>
          <w:position w:val="1"/>
          <w:sz w:val="7"/>
        </w:rPr>
        <w:t>l </w:t>
      </w:r>
      <w:r>
        <w:rPr>
          <w:rFonts w:ascii="Calibri" w:hAnsi="Calibri"/>
          <w:color w:val="008356"/>
          <w:spacing w:val="3"/>
          <w:w w:val="110"/>
          <w:sz w:val="11"/>
        </w:rPr>
        <w:t>CYCLOPHOSPHAMIDE</w:t>
      </w:r>
      <w:r>
        <w:rPr>
          <w:rFonts w:ascii="Arial" w:hAnsi="Arial"/>
          <w:color w:val="231F1F"/>
          <w:spacing w:val="3"/>
          <w:w w:val="110"/>
        </w:rPr>
        <w:t>—</w:t>
      </w:r>
      <w:r>
        <w:rPr>
          <w:color w:val="231F1F"/>
          <w:spacing w:val="3"/>
          <w:w w:val="110"/>
        </w:rPr>
        <w:t>avoid </w:t>
      </w:r>
      <w:r>
        <w:rPr>
          <w:color w:val="231F1F"/>
          <w:w w:val="110"/>
        </w:rPr>
        <w:t>concomitant use; increased pulmonary toxicity when pentostatin given  </w:t>
      </w:r>
      <w:r>
        <w:rPr>
          <w:color w:val="231F1F"/>
          <w:spacing w:val="-4"/>
          <w:w w:val="110"/>
        </w:rPr>
        <w:t>with  </w:t>
      </w:r>
      <w:r>
        <w:rPr>
          <w:rFonts w:ascii="Arial" w:hAnsi="Arial"/>
          <w:color w:val="231F1F"/>
          <w:w w:val="355"/>
          <w:position w:val="1"/>
          <w:sz w:val="7"/>
        </w:rPr>
        <w:t>l</w:t>
      </w:r>
      <w:r>
        <w:rPr>
          <w:rFonts w:ascii="Arial" w:hAnsi="Arial"/>
          <w:color w:val="231F1F"/>
          <w:spacing w:val="-36"/>
          <w:w w:val="355"/>
          <w:position w:val="1"/>
          <w:sz w:val="7"/>
        </w:rPr>
        <w:t> </w:t>
      </w:r>
      <w:r>
        <w:rPr>
          <w:rFonts w:ascii="Calibri" w:hAnsi="Calibri"/>
          <w:color w:val="008356"/>
          <w:spacing w:val="4"/>
          <w:w w:val="110"/>
          <w:sz w:val="11"/>
        </w:rPr>
        <w:t>FLUDARABINE </w:t>
      </w:r>
      <w:r>
        <w:rPr>
          <w:color w:val="231F1F"/>
          <w:w w:val="110"/>
        </w:rPr>
        <w:t>(unacceptably high incidence of fatalities)</w:t>
      </w:r>
    </w:p>
    <w:p>
      <w:pPr>
        <w:pStyle w:val="BodyText"/>
        <w:spacing w:before="2"/>
        <w:ind w:left="108"/>
        <w:rPr>
          <w:rFonts w:ascii="Trebuchet MS"/>
        </w:rPr>
      </w:pPr>
      <w:r>
        <w:rPr>
          <w:rFonts w:ascii="Trebuchet MS"/>
          <w:color w:val="008356"/>
        </w:rPr>
        <w:t>Pentoxifylline</w:t>
      </w:r>
    </w:p>
    <w:p>
      <w:pPr>
        <w:pStyle w:val="BodyText"/>
        <w:spacing w:line="220" w:lineRule="auto" w:before="9"/>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pentoxifylline  increases  plasma  </w:t>
      </w:r>
      <w:r>
        <w:rPr>
          <w:color w:val="231F1F"/>
          <w:spacing w:val="-2"/>
          <w:w w:val="105"/>
        </w:rPr>
        <w:t>concentration </w:t>
      </w:r>
      <w:r>
        <w:rPr>
          <w:color w:val="231F1F"/>
          <w:w w:val="105"/>
        </w:rPr>
        <w:t>of</w:t>
      </w:r>
      <w:r>
        <w:rPr>
          <w:color w:val="231F1F"/>
          <w:spacing w:val="-2"/>
          <w:w w:val="105"/>
        </w:rPr>
        <w:t> </w:t>
      </w:r>
      <w:r>
        <w:rPr>
          <w:rFonts w:ascii="Calibri" w:hAnsi="Calibri"/>
          <w:color w:val="008356"/>
          <w:spacing w:val="5"/>
          <w:w w:val="105"/>
          <w:sz w:val="11"/>
        </w:rPr>
        <w:t>AMINOPHYLLINE</w:t>
      </w:r>
    </w:p>
    <w:p>
      <w:pPr>
        <w:pStyle w:val="BodyText"/>
        <w:spacing w:line="242" w:lineRule="auto"/>
        <w:ind w:right="670" w:hanging="100"/>
      </w:pPr>
      <w:r>
        <w:rPr>
          <w:rFonts w:ascii="Arial"/>
          <w:color w:val="231F1F"/>
          <w:w w:val="355"/>
          <w:position w:val="1"/>
          <w:sz w:val="7"/>
        </w:rPr>
        <w:t>l </w:t>
      </w:r>
      <w:r>
        <w:rPr>
          <w:rFonts w:ascii="Calibri"/>
          <w:color w:val="231F1F"/>
          <w:w w:val="110"/>
        </w:rPr>
        <w:t>Analgesics: </w:t>
      </w:r>
      <w:r>
        <w:rPr>
          <w:color w:val="231F1F"/>
          <w:w w:val="110"/>
        </w:rPr>
        <w:t>possible increased risk of bleeding when pentoxifylline given with </w:t>
      </w:r>
      <w:r>
        <w:rPr>
          <w:rFonts w:ascii="Calibri"/>
          <w:color w:val="008356"/>
          <w:spacing w:val="4"/>
          <w:w w:val="110"/>
          <w:sz w:val="11"/>
        </w:rPr>
        <w:t>NSAID</w:t>
      </w:r>
      <w:r>
        <w:rPr>
          <w:rFonts w:ascii="Calibri"/>
          <w:color w:val="008356"/>
          <w:spacing w:val="4"/>
          <w:w w:val="110"/>
          <w:sz w:val="9"/>
        </w:rPr>
        <w:t>S</w:t>
      </w:r>
      <w:r>
        <w:rPr>
          <w:color w:val="231F1F"/>
          <w:spacing w:val="4"/>
          <w:w w:val="110"/>
        </w:rPr>
        <w:t>; </w:t>
      </w:r>
      <w:r>
        <w:rPr>
          <w:color w:val="231F1F"/>
          <w:w w:val="110"/>
        </w:rPr>
        <w:t>increased risk of bleeding when pentoxifylline given with </w:t>
      </w:r>
      <w:r>
        <w:rPr>
          <w:rFonts w:ascii="Arial"/>
          <w:color w:val="231F1F"/>
          <w:w w:val="355"/>
          <w:position w:val="1"/>
          <w:sz w:val="7"/>
        </w:rPr>
        <w:t>l </w:t>
      </w:r>
      <w:r>
        <w:rPr>
          <w:rFonts w:ascii="Calibri"/>
          <w:color w:val="008356"/>
          <w:spacing w:val="4"/>
          <w:w w:val="110"/>
          <w:sz w:val="11"/>
        </w:rPr>
        <w:t>KETOROLAC </w:t>
      </w:r>
      <w:r>
        <w:rPr>
          <w:color w:val="231F1F"/>
          <w:w w:val="110"/>
        </w:rPr>
        <w:t>(avoid concomitant</w:t>
      </w:r>
      <w:r>
        <w:rPr>
          <w:color w:val="231F1F"/>
          <w:spacing w:val="-3"/>
          <w:w w:val="110"/>
        </w:rPr>
        <w:t> </w:t>
      </w:r>
      <w:r>
        <w:rPr>
          <w:color w:val="231F1F"/>
          <w:w w:val="110"/>
        </w:rPr>
        <w:t>use)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Theophylline: </w:t>
      </w:r>
      <w:r>
        <w:rPr>
          <w:color w:val="231F1F"/>
          <w:w w:val="105"/>
        </w:rPr>
        <w:t>pentoxifylline increases plasma concentration of</w:t>
      </w:r>
    </w:p>
    <w:p>
      <w:pPr>
        <w:spacing w:line="132" w:lineRule="exact" w:before="0"/>
        <w:ind w:left="208" w:right="0" w:firstLine="0"/>
        <w:jc w:val="left"/>
        <w:rPr>
          <w:rFonts w:ascii="Calibri"/>
          <w:sz w:val="11"/>
        </w:rPr>
      </w:pPr>
      <w:r>
        <w:rPr>
          <w:rFonts w:ascii="Calibri"/>
          <w:color w:val="008356"/>
          <w:sz w:val="11"/>
        </w:rPr>
        <w:t>THEOPHYLLINE</w:t>
      </w:r>
    </w:p>
    <w:p>
      <w:pPr>
        <w:pStyle w:val="BodyText"/>
        <w:spacing w:line="139" w:lineRule="exact" w:before="7"/>
        <w:ind w:left="108"/>
        <w:rPr>
          <w:rFonts w:ascii="Trebuchet MS"/>
        </w:rPr>
      </w:pPr>
      <w:r>
        <w:rPr>
          <w:rFonts w:ascii="Trebuchet MS"/>
          <w:color w:val="008356"/>
        </w:rPr>
        <w:t>Perampanel</w:t>
      </w:r>
    </w:p>
    <w:p>
      <w:pPr>
        <w:spacing w:line="242" w:lineRule="auto" w:before="0"/>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spacing w:line="240" w:lineRule="auto" w:before="0"/>
        <w:ind w:left="208" w:right="745"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perampanel reduced by </w:t>
      </w:r>
      <w:r>
        <w:rPr>
          <w:rFonts w:ascii="Arial"/>
          <w:color w:val="231F1F"/>
          <w:w w:val="270"/>
          <w:position w:val="1"/>
          <w:sz w:val="7"/>
        </w:rPr>
        <w:t>l </w:t>
      </w:r>
      <w:r>
        <w:rPr>
          <w:rFonts w:ascii="Calibri"/>
          <w:color w:val="008356"/>
          <w:w w:val="110"/>
          <w:sz w:val="11"/>
        </w:rPr>
        <w:t>CARBAMAZEPINE</w:t>
      </w:r>
      <w:r>
        <w:rPr>
          <w:color w:val="231F1F"/>
          <w:w w:val="110"/>
          <w:sz w:val="12"/>
        </w:rPr>
        <w:t>, </w:t>
      </w:r>
      <w:r>
        <w:rPr>
          <w:rFonts w:ascii="Arial"/>
          <w:color w:val="231F1F"/>
          <w:w w:val="270"/>
          <w:position w:val="1"/>
          <w:sz w:val="7"/>
        </w:rPr>
        <w:t>l </w:t>
      </w:r>
      <w:r>
        <w:rPr>
          <w:rFonts w:ascii="Calibri"/>
          <w:color w:val="008356"/>
          <w:w w:val="110"/>
          <w:sz w:val="11"/>
        </w:rPr>
        <w:t>FOSPHENYTOIN</w:t>
      </w:r>
      <w:r>
        <w:rPr>
          <w:color w:val="231F1F"/>
          <w:w w:val="110"/>
          <w:sz w:val="12"/>
        </w:rPr>
        <w:t>, </w:t>
      </w:r>
      <w:r>
        <w:rPr>
          <w:rFonts w:ascii="Arial"/>
          <w:color w:val="231F1F"/>
          <w:w w:val="270"/>
          <w:position w:val="1"/>
          <w:sz w:val="7"/>
        </w:rPr>
        <w:t>l </w:t>
      </w:r>
      <w:r>
        <w:rPr>
          <w:rFonts w:ascii="Calibri"/>
          <w:color w:val="008356"/>
          <w:w w:val="110"/>
          <w:sz w:val="11"/>
        </w:rPr>
        <w:t>OXCARBAZEPINE </w:t>
      </w:r>
      <w:r>
        <w:rPr>
          <w:color w:val="231F1F"/>
          <w:w w:val="110"/>
          <w:sz w:val="12"/>
        </w:rPr>
        <w:t>and</w:t>
      </w:r>
    </w:p>
    <w:p>
      <w:pPr>
        <w:spacing w:line="244" w:lineRule="auto" w:before="0"/>
        <w:ind w:left="208" w:right="670" w:firstLine="0"/>
        <w:jc w:val="left"/>
        <w:rPr>
          <w:rFonts w:ascii="Calibri"/>
          <w:sz w:val="11"/>
        </w:rPr>
      </w:pPr>
      <w:r>
        <w:rPr>
          <w:rFonts w:ascii="Arial"/>
          <w:color w:val="231F1F"/>
          <w:w w:val="355"/>
          <w:position w:val="1"/>
          <w:sz w:val="7"/>
        </w:rPr>
        <w:t>l </w:t>
      </w:r>
      <w:r>
        <w:rPr>
          <w:rFonts w:ascii="Calibri"/>
          <w:color w:val="008356"/>
          <w:w w:val="110"/>
          <w:sz w:val="11"/>
        </w:rPr>
        <w:t>PHENYTOIN </w:t>
      </w:r>
      <w:r>
        <w:rPr>
          <w:color w:val="231F1F"/>
          <w:w w:val="110"/>
          <w:sz w:val="12"/>
        </w:rPr>
        <w:t>(see under Perampanel, p. 398); plasma concentration of perampanel reduced by </w:t>
      </w:r>
      <w:r>
        <w:rPr>
          <w:rFonts w:ascii="Calibri"/>
          <w:color w:val="008356"/>
          <w:w w:val="110"/>
          <w:sz w:val="11"/>
        </w:rPr>
        <w:t>TOPIRAMATE</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perampanel increased by</w:t>
      </w:r>
    </w:p>
    <w:p>
      <w:pPr>
        <w:spacing w:line="131" w:lineRule="exact" w:before="0"/>
        <w:ind w:left="208" w:right="0" w:firstLine="0"/>
        <w:jc w:val="left"/>
        <w:rPr>
          <w:rFonts w:ascii="Calibri"/>
          <w:sz w:val="11"/>
        </w:rPr>
      </w:pPr>
      <w:r>
        <w:rPr>
          <w:rFonts w:ascii="Calibri"/>
          <w:color w:val="008356"/>
          <w:sz w:val="11"/>
        </w:rPr>
        <w:t>KETOCONAZOLE</w:t>
      </w:r>
    </w:p>
    <w:p>
      <w:pPr>
        <w:pStyle w:val="BodyText"/>
        <w:ind w:right="122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right="104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220" w:lineRule="auto" w:before="3"/>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perampanel reduces plasma concentration of </w:t>
      </w:r>
      <w:r>
        <w:rPr>
          <w:rFonts w:ascii="Calibri" w:hAnsi="Calibri"/>
          <w:color w:val="008356"/>
          <w:w w:val="105"/>
          <w:sz w:val="11"/>
        </w:rPr>
        <w:t>MIDAZOLAM</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Progestogens: </w:t>
      </w:r>
      <w:r>
        <w:rPr>
          <w:color w:val="231F1F"/>
          <w:w w:val="115"/>
        </w:rPr>
        <w:t>perampanel accelerates metabolism of</w:t>
      </w:r>
    </w:p>
    <w:p>
      <w:pPr>
        <w:pStyle w:val="BodyText"/>
        <w:spacing w:line="247" w:lineRule="auto"/>
        <w:ind w:right="683" w:hanging="1"/>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5"/>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spacing w:after="0" w:line="247" w:lineRule="auto"/>
        <w:sectPr>
          <w:pgSz w:w="8390" w:h="11910"/>
          <w:pgMar w:header="0" w:footer="0" w:top="460" w:bottom="0" w:left="480" w:right="0"/>
          <w:cols w:num="2" w:equalWidth="0">
            <w:col w:w="3592" w:space="84"/>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5392" filled="true" fillcolor="#bfdbcf" stroked="false">
            <v:fill type="solid"/>
            <w10:wrap type="none"/>
          </v:rect>
        </w:pict>
      </w:r>
      <w:r>
        <w:rPr/>
        <w:pict>
          <v:shape style="position:absolute;margin-left:7.751256pt;margin-top:35.804367pt;width:10.4pt;height:78.850pt;mso-position-horizontal-relative:page;mso-position-vertical-relative:page;z-index:541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39" w:lineRule="exact" w:before="1"/>
        <w:ind w:left="186"/>
        <w:rPr>
          <w:rFonts w:ascii="Trebuchet MS"/>
        </w:rPr>
      </w:pPr>
      <w:r>
        <w:rPr>
          <w:rFonts w:ascii="Trebuchet MS"/>
          <w:color w:val="008356"/>
        </w:rPr>
        <w:t>Pergolide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pergolide antagonised by</w:t>
      </w:r>
    </w:p>
    <w:p>
      <w:pPr>
        <w:spacing w:line="131" w:lineRule="exact" w:before="0"/>
        <w:ind w:left="286" w:right="0" w:firstLine="0"/>
        <w:jc w:val="left"/>
        <w:rPr>
          <w:rFonts w:ascii="Calibri"/>
          <w:sz w:val="11"/>
        </w:rPr>
      </w:pPr>
      <w:r>
        <w:rPr>
          <w:rFonts w:ascii="Calibri"/>
          <w:color w:val="008356"/>
          <w:sz w:val="11"/>
        </w:rPr>
        <w:t>ANTIPSYCHOTICS</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20" w:lineRule="auto" w:before="7"/>
        <w:ind w:left="286" w:right="21"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20" w:lineRule="auto" w:before="9"/>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Metoclopramide: </w:t>
      </w:r>
      <w:r>
        <w:rPr>
          <w:color w:val="231F1F"/>
          <w:w w:val="105"/>
        </w:rPr>
        <w:t>antiparkinsonian effect of pergolide antagonised by </w:t>
      </w:r>
      <w:r>
        <w:rPr>
          <w:rFonts w:ascii="Calibri" w:hAnsi="Calibri"/>
          <w:color w:val="008356"/>
          <w:w w:val="105"/>
          <w:sz w:val="11"/>
        </w:rPr>
        <w:t>METOCLOPRAMIDE</w:t>
      </w:r>
    </w:p>
    <w:p>
      <w:pPr>
        <w:pStyle w:val="BodyText"/>
        <w:spacing w:line="256" w:lineRule="auto" w:before="10"/>
        <w:ind w:left="186" w:right="1555"/>
        <w:rPr>
          <w:rFonts w:ascii="Trebuchet MS"/>
        </w:rPr>
      </w:pPr>
      <w:r>
        <w:rPr>
          <w:rFonts w:ascii="Trebuchet MS"/>
          <w:color w:val="008356"/>
          <w:w w:val="105"/>
        </w:rPr>
        <w:t>Pericyazine </w:t>
      </w:r>
      <w:r>
        <w:rPr>
          <w:i/>
          <w:color w:val="231F1F"/>
          <w:w w:val="105"/>
        </w:rPr>
        <w:t>see </w:t>
      </w:r>
      <w:r>
        <w:rPr>
          <w:color w:val="231F1F"/>
          <w:w w:val="105"/>
        </w:rPr>
        <w:t>Antipsychotics </w:t>
      </w:r>
      <w:r>
        <w:rPr>
          <w:rFonts w:ascii="Trebuchet MS"/>
          <w:color w:val="008356"/>
          <w:w w:val="105"/>
        </w:rPr>
        <w:t>Perindopril </w:t>
      </w:r>
      <w:r>
        <w:rPr>
          <w:i/>
          <w:color w:val="231F1F"/>
          <w:w w:val="105"/>
        </w:rPr>
        <w:t>see </w:t>
      </w:r>
      <w:r>
        <w:rPr>
          <w:color w:val="231F1F"/>
          <w:w w:val="105"/>
        </w:rPr>
        <w:t>ACE Inhibitors </w:t>
      </w:r>
      <w:r>
        <w:rPr>
          <w:rFonts w:ascii="Trebuchet MS"/>
          <w:color w:val="008356"/>
          <w:w w:val="105"/>
        </w:rPr>
        <w:t>Perphenazine </w:t>
      </w:r>
      <w:r>
        <w:rPr>
          <w:i/>
          <w:color w:val="231F1F"/>
          <w:w w:val="105"/>
        </w:rPr>
        <w:t>see </w:t>
      </w:r>
      <w:r>
        <w:rPr>
          <w:color w:val="231F1F"/>
          <w:w w:val="105"/>
        </w:rPr>
        <w:t>Antipsychotics </w:t>
      </w:r>
      <w:r>
        <w:rPr>
          <w:rFonts w:ascii="Trebuchet MS"/>
          <w:color w:val="008356"/>
          <w:w w:val="105"/>
        </w:rPr>
        <w:t>Pertuzumab</w:t>
      </w:r>
    </w:p>
    <w:p>
      <w:pPr>
        <w:pStyle w:val="BodyText"/>
        <w:spacing w:line="137"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5"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w w:val="115"/>
        </w:rPr>
        <w:t>use</w:t>
      </w:r>
    </w:p>
    <w:p>
      <w:pPr>
        <w:pStyle w:val="BodyText"/>
        <w:spacing w:line="256" w:lineRule="auto" w:before="4"/>
        <w:ind w:left="186" w:right="1555"/>
        <w:rPr>
          <w:rFonts w:ascii="Trebuchet MS"/>
        </w:rPr>
      </w:pPr>
      <w:r>
        <w:rPr>
          <w:rFonts w:ascii="Trebuchet MS"/>
          <w:color w:val="008356"/>
          <w:w w:val="105"/>
        </w:rPr>
        <w:t>Pethidine </w:t>
      </w:r>
      <w:r>
        <w:rPr>
          <w:i/>
          <w:color w:val="231F1F"/>
          <w:w w:val="105"/>
        </w:rPr>
        <w:t>see </w:t>
      </w:r>
      <w:r>
        <w:rPr>
          <w:color w:val="231F1F"/>
          <w:w w:val="105"/>
        </w:rPr>
        <w:t>Opioid Analgesics </w:t>
      </w:r>
      <w:r>
        <w:rPr>
          <w:rFonts w:ascii="Trebuchet MS"/>
          <w:color w:val="008356"/>
          <w:w w:val="105"/>
        </w:rPr>
        <w:t>Phenelzine </w:t>
      </w:r>
      <w:r>
        <w:rPr>
          <w:i/>
          <w:color w:val="231F1F"/>
          <w:w w:val="105"/>
        </w:rPr>
        <w:t>see </w:t>
      </w:r>
      <w:r>
        <w:rPr>
          <w:color w:val="231F1F"/>
          <w:w w:val="105"/>
        </w:rPr>
        <w:t>MAOIs </w:t>
      </w:r>
      <w:r>
        <w:rPr>
          <w:rFonts w:ascii="Trebuchet MS"/>
          <w:color w:val="008356"/>
          <w:w w:val="105"/>
        </w:rPr>
        <w:t>Phenindione</w:t>
      </w:r>
    </w:p>
    <w:p>
      <w:pPr>
        <w:pStyle w:val="BodyText"/>
        <w:spacing w:line="244" w:lineRule="auto"/>
        <w:ind w:left="286" w:right="47" w:hanging="1"/>
      </w:pPr>
      <w:r>
        <w:rPr>
          <w:rFonts w:ascii="Calibri" w:hAnsi="Calibri"/>
          <w:color w:val="008356"/>
          <w:w w:val="115"/>
          <w:sz w:val="11"/>
        </w:rPr>
        <w:t>NOTE </w:t>
      </w:r>
      <w:r>
        <w:rPr>
          <w:color w:val="231F1F"/>
          <w:w w:val="115"/>
        </w:rPr>
        <w:t>Change in patient</w:t>
      </w:r>
      <w:r>
        <w:rPr>
          <w:rFonts w:ascii="Arial" w:hAnsi="Arial"/>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ind w:left="286" w:right="316" w:hanging="100"/>
        <w:rPr>
          <w:rFonts w:ascii="Calibri"/>
          <w:sz w:val="11"/>
        </w:rPr>
      </w:pPr>
      <w:r>
        <w:rPr>
          <w:rFonts w:ascii="Arial"/>
          <w:color w:val="231F1F"/>
          <w:w w:val="355"/>
          <w:position w:val="1"/>
          <w:sz w:val="7"/>
        </w:rPr>
        <w:t>l</w:t>
      </w:r>
      <w:r>
        <w:rPr>
          <w:rFonts w:ascii="Arial"/>
          <w:color w:val="231F1F"/>
          <w:spacing w:val="-36"/>
          <w:w w:val="355"/>
          <w:position w:val="1"/>
          <w:sz w:val="7"/>
        </w:rPr>
        <w:t> </w:t>
      </w:r>
      <w:r>
        <w:rPr>
          <w:rFonts w:ascii="Calibri"/>
          <w:color w:val="231F1F"/>
          <w:w w:val="115"/>
        </w:rPr>
        <w:t>Alcohol:</w:t>
      </w:r>
      <w:r>
        <w:rPr>
          <w:rFonts w:ascii="Calibri"/>
          <w:color w:val="231F1F"/>
          <w:spacing w:val="-6"/>
          <w:w w:val="115"/>
        </w:rPr>
        <w:t> </w:t>
      </w:r>
      <w:r>
        <w:rPr>
          <w:color w:val="231F1F"/>
          <w:w w:val="115"/>
        </w:rPr>
        <w:t>anticoagulant</w:t>
      </w:r>
      <w:r>
        <w:rPr>
          <w:color w:val="231F1F"/>
          <w:spacing w:val="-8"/>
          <w:w w:val="115"/>
        </w:rPr>
        <w:t> </w:t>
      </w:r>
      <w:r>
        <w:rPr>
          <w:color w:val="231F1F"/>
          <w:w w:val="115"/>
        </w:rPr>
        <w:t>control</w:t>
      </w:r>
      <w:r>
        <w:rPr>
          <w:color w:val="231F1F"/>
          <w:spacing w:val="-9"/>
          <w:w w:val="115"/>
        </w:rPr>
        <w:t> </w:t>
      </w:r>
      <w:r>
        <w:rPr>
          <w:color w:val="231F1F"/>
          <w:w w:val="115"/>
        </w:rPr>
        <w:t>with</w:t>
      </w:r>
      <w:r>
        <w:rPr>
          <w:color w:val="231F1F"/>
          <w:spacing w:val="-8"/>
          <w:w w:val="115"/>
        </w:rPr>
        <w:t> </w:t>
      </w:r>
      <w:r>
        <w:rPr>
          <w:color w:val="231F1F"/>
          <w:w w:val="115"/>
        </w:rPr>
        <w:t>phenindione</w:t>
      </w:r>
      <w:r>
        <w:rPr>
          <w:color w:val="231F1F"/>
          <w:spacing w:val="-10"/>
          <w:w w:val="115"/>
        </w:rPr>
        <w:t> </w:t>
      </w:r>
      <w:r>
        <w:rPr>
          <w:color w:val="231F1F"/>
          <w:w w:val="115"/>
        </w:rPr>
        <w:t>may</w:t>
      </w:r>
      <w:r>
        <w:rPr>
          <w:color w:val="231F1F"/>
          <w:spacing w:val="-9"/>
          <w:w w:val="115"/>
        </w:rPr>
        <w:t> </w:t>
      </w:r>
      <w:r>
        <w:rPr>
          <w:color w:val="231F1F"/>
          <w:spacing w:val="-7"/>
          <w:w w:val="115"/>
        </w:rPr>
        <w:t>be </w:t>
      </w:r>
      <w:r>
        <w:rPr>
          <w:color w:val="231F1F"/>
          <w:w w:val="115"/>
        </w:rPr>
        <w:t>affected</w:t>
      </w:r>
      <w:r>
        <w:rPr>
          <w:color w:val="231F1F"/>
          <w:spacing w:val="-15"/>
          <w:w w:val="115"/>
        </w:rPr>
        <w:t> </w:t>
      </w:r>
      <w:r>
        <w:rPr>
          <w:color w:val="231F1F"/>
          <w:w w:val="115"/>
        </w:rPr>
        <w:t>by</w:t>
      </w:r>
      <w:r>
        <w:rPr>
          <w:color w:val="231F1F"/>
          <w:spacing w:val="-13"/>
          <w:w w:val="115"/>
        </w:rPr>
        <w:t> </w:t>
      </w:r>
      <w:r>
        <w:rPr>
          <w:color w:val="231F1F"/>
          <w:w w:val="115"/>
        </w:rPr>
        <w:t>major</w:t>
      </w:r>
      <w:r>
        <w:rPr>
          <w:color w:val="231F1F"/>
          <w:spacing w:val="-15"/>
          <w:w w:val="115"/>
        </w:rPr>
        <w:t> </w:t>
      </w:r>
      <w:r>
        <w:rPr>
          <w:color w:val="231F1F"/>
          <w:w w:val="115"/>
        </w:rPr>
        <w:t>changes</w:t>
      </w:r>
      <w:r>
        <w:rPr>
          <w:color w:val="231F1F"/>
          <w:spacing w:val="-13"/>
          <w:w w:val="115"/>
        </w:rPr>
        <w:t> </w:t>
      </w:r>
      <w:r>
        <w:rPr>
          <w:color w:val="231F1F"/>
          <w:w w:val="115"/>
        </w:rPr>
        <w:t>in</w:t>
      </w:r>
      <w:r>
        <w:rPr>
          <w:color w:val="231F1F"/>
          <w:spacing w:val="-14"/>
          <w:w w:val="115"/>
        </w:rPr>
        <w:t> </w:t>
      </w:r>
      <w:r>
        <w:rPr>
          <w:color w:val="231F1F"/>
          <w:w w:val="115"/>
        </w:rPr>
        <w:t>consumption</w:t>
      </w:r>
      <w:r>
        <w:rPr>
          <w:color w:val="231F1F"/>
          <w:spacing w:val="-14"/>
          <w:w w:val="115"/>
        </w:rPr>
        <w:t> </w:t>
      </w:r>
      <w:r>
        <w:rPr>
          <w:color w:val="231F1F"/>
          <w:w w:val="115"/>
        </w:rPr>
        <w:t>of</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ALCOHOL</w:t>
      </w:r>
    </w:p>
    <w:p>
      <w:pPr>
        <w:spacing w:line="240" w:lineRule="auto" w:before="0"/>
        <w:ind w:left="286" w:right="461" w:hanging="100"/>
        <w:jc w:val="left"/>
        <w:rPr>
          <w:rFonts w:ascii="Calibri"/>
          <w:sz w:val="11"/>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sz w:val="12"/>
        </w:rPr>
        <w:t>Anabolic</w:t>
      </w:r>
      <w:r>
        <w:rPr>
          <w:rFonts w:ascii="Calibri"/>
          <w:color w:val="231F1F"/>
          <w:spacing w:val="-12"/>
          <w:w w:val="115"/>
          <w:sz w:val="12"/>
        </w:rPr>
        <w:t> </w:t>
      </w:r>
      <w:r>
        <w:rPr>
          <w:rFonts w:ascii="Calibri"/>
          <w:color w:val="231F1F"/>
          <w:w w:val="115"/>
          <w:sz w:val="12"/>
        </w:rPr>
        <w:t>Steroids:</w:t>
      </w:r>
      <w:r>
        <w:rPr>
          <w:rFonts w:ascii="Calibri"/>
          <w:color w:val="231F1F"/>
          <w:spacing w:val="-12"/>
          <w:w w:val="115"/>
          <w:sz w:val="12"/>
        </w:rPr>
        <w:t> </w:t>
      </w:r>
      <w:r>
        <w:rPr>
          <w:color w:val="231F1F"/>
          <w:w w:val="115"/>
          <w:sz w:val="12"/>
        </w:rPr>
        <w:t>anticoagulant</w:t>
      </w:r>
      <w:r>
        <w:rPr>
          <w:color w:val="231F1F"/>
          <w:spacing w:val="-15"/>
          <w:w w:val="115"/>
          <w:sz w:val="12"/>
        </w:rPr>
        <w:t> </w:t>
      </w:r>
      <w:r>
        <w:rPr>
          <w:color w:val="231F1F"/>
          <w:w w:val="115"/>
          <w:sz w:val="12"/>
        </w:rPr>
        <w:t>effect</w:t>
      </w:r>
      <w:r>
        <w:rPr>
          <w:color w:val="231F1F"/>
          <w:spacing w:val="-15"/>
          <w:w w:val="115"/>
          <w:sz w:val="12"/>
        </w:rPr>
        <w:t> </w:t>
      </w:r>
      <w:r>
        <w:rPr>
          <w:color w:val="231F1F"/>
          <w:w w:val="115"/>
          <w:sz w:val="12"/>
        </w:rPr>
        <w:t>of</w:t>
      </w:r>
      <w:r>
        <w:rPr>
          <w:color w:val="231F1F"/>
          <w:spacing w:val="-15"/>
          <w:w w:val="115"/>
          <w:sz w:val="12"/>
        </w:rPr>
        <w:t> </w:t>
      </w:r>
      <w:r>
        <w:rPr>
          <w:color w:val="231F1F"/>
          <w:spacing w:val="-3"/>
          <w:w w:val="115"/>
          <w:sz w:val="12"/>
        </w:rPr>
        <w:t>phenindione </w:t>
      </w:r>
      <w:r>
        <w:rPr>
          <w:color w:val="231F1F"/>
          <w:w w:val="115"/>
          <w:sz w:val="12"/>
        </w:rPr>
        <w:t>enhanced by </w:t>
      </w:r>
      <w:r>
        <w:rPr>
          <w:rFonts w:ascii="Arial"/>
          <w:color w:val="231F1F"/>
          <w:w w:val="355"/>
          <w:position w:val="1"/>
          <w:sz w:val="7"/>
        </w:rPr>
        <w:t>l</w:t>
      </w:r>
      <w:r>
        <w:rPr>
          <w:rFonts w:ascii="Arial"/>
          <w:color w:val="231F1F"/>
          <w:spacing w:val="-62"/>
          <w:w w:val="355"/>
          <w:position w:val="1"/>
          <w:sz w:val="7"/>
        </w:rPr>
        <w:t> </w:t>
      </w:r>
      <w:r>
        <w:rPr>
          <w:rFonts w:ascii="Calibri"/>
          <w:color w:val="008356"/>
          <w:spacing w:val="4"/>
          <w:w w:val="115"/>
          <w:sz w:val="11"/>
        </w:rPr>
        <w:t>ANABOLIC </w:t>
      </w:r>
      <w:r>
        <w:rPr>
          <w:rFonts w:ascii="Calibri"/>
          <w:color w:val="008356"/>
          <w:spacing w:val="5"/>
          <w:w w:val="115"/>
          <w:sz w:val="11"/>
        </w:rPr>
        <w:t>STEROIDS</w:t>
      </w:r>
    </w:p>
    <w:p>
      <w:pPr>
        <w:pStyle w:val="BodyText"/>
        <w:spacing w:line="244" w:lineRule="auto"/>
        <w:ind w:left="286" w:right="145" w:hanging="100"/>
      </w:pPr>
      <w:r>
        <w:rPr>
          <w:rFonts w:ascii="Arial"/>
          <w:color w:val="231F1F"/>
          <w:w w:val="355"/>
          <w:position w:val="1"/>
          <w:sz w:val="7"/>
        </w:rPr>
        <w:t>l </w:t>
      </w:r>
      <w:r>
        <w:rPr>
          <w:rFonts w:ascii="Calibri"/>
          <w:color w:val="231F1F"/>
          <w:w w:val="110"/>
        </w:rPr>
        <w:t>Analgesics: </w:t>
      </w:r>
      <w:r>
        <w:rPr>
          <w:color w:val="231F1F"/>
          <w:w w:val="110"/>
        </w:rPr>
        <w:t>anticoagulant effect of phenindione possibly enhanced by </w:t>
      </w:r>
      <w:r>
        <w:rPr>
          <w:rFonts w:ascii="Arial"/>
          <w:color w:val="231F1F"/>
          <w:w w:val="355"/>
          <w:position w:val="1"/>
          <w:sz w:val="7"/>
        </w:rPr>
        <w:t>l </w:t>
      </w:r>
      <w:r>
        <w:rPr>
          <w:rFonts w:ascii="Calibri"/>
          <w:color w:val="008356"/>
          <w:w w:val="110"/>
          <w:sz w:val="11"/>
        </w:rPr>
        <w:t>NSAIDS</w:t>
      </w:r>
      <w:r>
        <w:rPr>
          <w:color w:val="231F1F"/>
          <w:w w:val="110"/>
        </w:rPr>
        <w:t>; 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line="247" w:lineRule="auto"/>
        <w:ind w:left="286"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 increased risk of bleeding when phenindione given with </w:t>
      </w:r>
      <w:r>
        <w:rPr>
          <w:rFonts w:ascii="Arial"/>
          <w:color w:val="231F1F"/>
          <w:w w:val="355"/>
          <w:position w:val="1"/>
          <w:sz w:val="7"/>
        </w:rPr>
        <w:t>l </w:t>
      </w:r>
      <w:r>
        <w:rPr>
          <w:rFonts w:ascii="Calibri"/>
          <w:color w:val="008356"/>
          <w:w w:val="110"/>
          <w:sz w:val="11"/>
        </w:rPr>
        <w:t>ASPIRIN </w:t>
      </w:r>
      <w:r>
        <w:rPr>
          <w:color w:val="231F1F"/>
          <w:w w:val="110"/>
        </w:rPr>
        <w:t>(due to antiplatelet effect)</w:t>
      </w:r>
    </w:p>
    <w:p>
      <w:pPr>
        <w:pStyle w:val="BodyText"/>
        <w:spacing w:line="139" w:lineRule="exact"/>
        <w:ind w:left="186"/>
      </w:pPr>
      <w:r>
        <w:rPr>
          <w:rFonts w:ascii="Arial"/>
          <w:color w:val="231F1F"/>
          <w:w w:val="355"/>
          <w:position w:val="1"/>
          <w:sz w:val="7"/>
        </w:rPr>
        <w:t>l </w:t>
      </w:r>
      <w:r>
        <w:rPr>
          <w:rFonts w:ascii="Calibri"/>
          <w:color w:val="231F1F"/>
          <w:w w:val="115"/>
        </w:rPr>
        <w:t>Anti-arrhythmics: </w:t>
      </w:r>
      <w:r>
        <w:rPr>
          <w:color w:val="231F1F"/>
          <w:w w:val="115"/>
        </w:rPr>
        <w:t>metabolism of phenindione inhibited by</w:t>
      </w:r>
    </w:p>
    <w:p>
      <w:pPr>
        <w:spacing w:before="0"/>
        <w:ind w:left="286" w:right="0" w:firstLine="0"/>
        <w:jc w:val="left"/>
        <w:rPr>
          <w:rFonts w:ascii="Calibri"/>
          <w:sz w:val="11"/>
        </w:rPr>
      </w:pPr>
      <w:r>
        <w:rPr>
          <w:rFonts w:ascii="Arial"/>
          <w:color w:val="231F1F"/>
          <w:w w:val="355"/>
          <w:position w:val="1"/>
          <w:sz w:val="7"/>
        </w:rPr>
        <w:t>l </w:t>
      </w:r>
      <w:r>
        <w:rPr>
          <w:rFonts w:ascii="Calibri"/>
          <w:color w:val="008356"/>
          <w:w w:val="105"/>
          <w:sz w:val="11"/>
        </w:rPr>
        <w:t>AMIODARONE </w:t>
      </w:r>
      <w:r>
        <w:rPr>
          <w:color w:val="231F1F"/>
          <w:w w:val="105"/>
          <w:sz w:val="12"/>
        </w:rPr>
        <w:t>(enhanced anticoagulant effect); anticoagulant effect of phenindione possibly enhanced by </w:t>
      </w:r>
      <w:r>
        <w:rPr>
          <w:rFonts w:ascii="Arial"/>
          <w:color w:val="231F1F"/>
          <w:w w:val="355"/>
          <w:position w:val="1"/>
          <w:sz w:val="7"/>
        </w:rPr>
        <w:t>l </w:t>
      </w:r>
      <w:r>
        <w:rPr>
          <w:rFonts w:ascii="Calibri"/>
          <w:color w:val="008356"/>
          <w:w w:val="105"/>
          <w:sz w:val="11"/>
        </w:rPr>
        <w:t>DRONEDARONE</w:t>
      </w:r>
    </w:p>
    <w:p>
      <w:pPr>
        <w:pStyle w:val="BodyText"/>
        <w:spacing w:line="244" w:lineRule="auto"/>
        <w:ind w:left="286" w:right="204" w:hanging="100"/>
      </w:pPr>
      <w:r>
        <w:rPr>
          <w:rFonts w:ascii="Arial"/>
          <w:color w:val="231F1F"/>
          <w:w w:val="355"/>
          <w:position w:val="1"/>
          <w:sz w:val="7"/>
        </w:rPr>
        <w:t>l </w:t>
      </w:r>
      <w:r>
        <w:rPr>
          <w:rFonts w:ascii="Calibri"/>
          <w:color w:val="231F1F"/>
          <w:w w:val="110"/>
        </w:rPr>
        <w:t>Antibacterials: </w:t>
      </w:r>
      <w:r>
        <w:rPr>
          <w:color w:val="231F1F"/>
          <w:w w:val="110"/>
        </w:rPr>
        <w:t>experience in anticoagulant clinics suggests </w:t>
      </w:r>
      <w:r>
        <w:rPr>
          <w:color w:val="231F1F"/>
          <w:w w:val="135"/>
        </w:rPr>
        <w:t>that </w:t>
      </w:r>
      <w:r>
        <w:rPr>
          <w:color w:val="231F1F"/>
          <w:w w:val="110"/>
        </w:rPr>
        <w:t>INR possibly altered when phenindione is given with </w:t>
      </w:r>
      <w:r>
        <w:rPr>
          <w:rFonts w:ascii="Arial"/>
          <w:color w:val="231F1F"/>
          <w:w w:val="355"/>
          <w:position w:val="1"/>
          <w:sz w:val="7"/>
        </w:rPr>
        <w:t>l </w:t>
      </w:r>
      <w:r>
        <w:rPr>
          <w:rFonts w:ascii="Calibri"/>
          <w:color w:val="008356"/>
          <w:spacing w:val="4"/>
          <w:w w:val="110"/>
          <w:sz w:val="11"/>
        </w:rPr>
        <w:t>NEOMYCIN </w:t>
      </w:r>
      <w:r>
        <w:rPr>
          <w:color w:val="231F1F"/>
          <w:w w:val="110"/>
        </w:rPr>
        <w:t>(given for local action on gut); anticoagulant effect of phenindione possibly enhanced by </w:t>
      </w:r>
      <w:r>
        <w:rPr>
          <w:rFonts w:ascii="Calibri"/>
          <w:color w:val="008356"/>
          <w:spacing w:val="4"/>
          <w:w w:val="110"/>
          <w:sz w:val="11"/>
        </w:rPr>
        <w:t>LEVOFLOXACIN </w:t>
      </w:r>
      <w:r>
        <w:rPr>
          <w:color w:val="231F1F"/>
          <w:w w:val="110"/>
        </w:rPr>
        <w:t>and </w:t>
      </w:r>
      <w:r>
        <w:rPr>
          <w:rFonts w:ascii="Arial"/>
          <w:color w:val="231F1F"/>
          <w:w w:val="355"/>
          <w:position w:val="1"/>
          <w:sz w:val="7"/>
        </w:rPr>
        <w:t>l </w:t>
      </w:r>
      <w:r>
        <w:rPr>
          <w:rFonts w:ascii="Calibri"/>
          <w:color w:val="008356"/>
          <w:spacing w:val="4"/>
          <w:w w:val="110"/>
          <w:sz w:val="11"/>
        </w:rPr>
        <w:t>TETRACYCLINES</w:t>
      </w:r>
      <w:r>
        <w:rPr>
          <w:color w:val="231F1F"/>
          <w:spacing w:val="4"/>
          <w:w w:val="110"/>
        </w:rPr>
        <w:t>; </w:t>
      </w:r>
      <w:r>
        <w:rPr>
          <w:color w:val="231F1F"/>
          <w:w w:val="110"/>
        </w:rPr>
        <w:t>an interaction between</w:t>
      </w:r>
      <w:r>
        <w:rPr>
          <w:color w:val="231F1F"/>
          <w:spacing w:val="7"/>
          <w:w w:val="110"/>
        </w:rPr>
        <w:t> </w:t>
      </w:r>
      <w:r>
        <w:rPr>
          <w:color w:val="231F1F"/>
          <w:w w:val="110"/>
        </w:rPr>
        <w:t>phenindione</w:t>
      </w:r>
    </w:p>
    <w:p>
      <w:pPr>
        <w:pStyle w:val="BodyText"/>
        <w:spacing w:line="247" w:lineRule="auto"/>
        <w:ind w:left="286" w:right="-19"/>
        <w:rPr>
          <w:rFonts w:ascii="Calibri"/>
          <w:sz w:val="11"/>
        </w:rPr>
      </w:pPr>
      <w:r>
        <w:rPr>
          <w:color w:val="231F1F"/>
          <w:w w:val="115"/>
        </w:rPr>
        <w:t>and broad-spectrum </w:t>
      </w:r>
      <w:r>
        <w:rPr>
          <w:rFonts w:ascii="Calibri"/>
          <w:color w:val="008356"/>
          <w:spacing w:val="4"/>
          <w:w w:val="115"/>
          <w:sz w:val="11"/>
        </w:rPr>
        <w:t>PENICILLINS </w:t>
      </w:r>
      <w:r>
        <w:rPr>
          <w:color w:val="231F1F"/>
          <w:w w:val="115"/>
        </w:rPr>
        <w:t>has not been demonstrated in studies, but common experience in anticoagulant clinics </w:t>
      </w:r>
      <w:r>
        <w:rPr>
          <w:color w:val="231F1F"/>
          <w:spacing w:val="-7"/>
          <w:w w:val="115"/>
        </w:rPr>
        <w:t>is </w:t>
      </w:r>
      <w:r>
        <w:rPr>
          <w:color w:val="231F1F"/>
          <w:w w:val="115"/>
        </w:rPr>
        <w:t>that INR can be altered; metabolism of phenindione possibly inhibited by </w:t>
      </w:r>
      <w:r>
        <w:rPr>
          <w:rFonts w:ascii="Calibri"/>
          <w:color w:val="008356"/>
          <w:spacing w:val="5"/>
          <w:w w:val="115"/>
          <w:sz w:val="11"/>
        </w:rPr>
        <w:t>SULFONAMIDES</w:t>
      </w:r>
    </w:p>
    <w:p>
      <w:pPr>
        <w:pStyle w:val="BodyText"/>
        <w:spacing w:line="139" w:lineRule="exact"/>
        <w:ind w:left="186"/>
      </w:pPr>
      <w:r>
        <w:rPr>
          <w:rFonts w:ascii="Arial"/>
          <w:color w:val="231F1F"/>
          <w:w w:val="355"/>
          <w:position w:val="1"/>
          <w:sz w:val="7"/>
        </w:rPr>
        <w:t>l </w:t>
      </w:r>
      <w:r>
        <w:rPr>
          <w:rFonts w:ascii="Calibri"/>
          <w:color w:val="231F1F"/>
          <w:w w:val="110"/>
        </w:rPr>
        <w:t>Anticoagulants: </w:t>
      </w:r>
      <w:r>
        <w:rPr>
          <w:color w:val="231F1F"/>
          <w:w w:val="110"/>
        </w:rPr>
        <w:t>increased risk of haemorrhage when other</w:t>
      </w:r>
    </w:p>
    <w:p>
      <w:pPr>
        <w:pStyle w:val="BodyText"/>
        <w:spacing w:line="244" w:lineRule="auto"/>
        <w:ind w:left="286" w:right="247"/>
      </w:pPr>
      <w:r>
        <w:rPr>
          <w:color w:val="231F1F"/>
          <w:w w:val="110"/>
        </w:rPr>
        <w:t>anticoagulants given with </w:t>
      </w:r>
      <w:r>
        <w:rPr>
          <w:rFonts w:ascii="Arial"/>
          <w:color w:val="231F1F"/>
          <w:w w:val="355"/>
          <w:position w:val="1"/>
          <w:sz w:val="7"/>
        </w:rPr>
        <w:t>l </w:t>
      </w:r>
      <w:r>
        <w:rPr>
          <w:rFonts w:ascii="Calibri"/>
          <w:color w:val="008356"/>
          <w:w w:val="110"/>
          <w:sz w:val="11"/>
        </w:rPr>
        <w:t>APIXABAN</w:t>
      </w:r>
      <w:r>
        <w:rPr>
          <w:color w:val="231F1F"/>
          <w:w w:val="110"/>
        </w:rPr>
        <w:t>, </w:t>
      </w:r>
      <w:r>
        <w:rPr>
          <w:rFonts w:ascii="Arial"/>
          <w:color w:val="231F1F"/>
          <w:w w:val="355"/>
          <w:position w:val="1"/>
          <w:sz w:val="7"/>
        </w:rPr>
        <w:t>l </w:t>
      </w:r>
      <w:r>
        <w:rPr>
          <w:rFonts w:ascii="Calibri"/>
          <w:color w:val="008356"/>
          <w:w w:val="110"/>
          <w:sz w:val="11"/>
        </w:rPr>
        <w:t>DABIGATRAN </w:t>
      </w:r>
      <w:r>
        <w:rPr>
          <w:color w:val="231F1F"/>
          <w:w w:val="110"/>
        </w:rPr>
        <w:t>and </w:t>
      </w:r>
      <w:r>
        <w:rPr>
          <w:rFonts w:ascii="Arial"/>
          <w:color w:val="231F1F"/>
          <w:w w:val="355"/>
          <w:position w:val="1"/>
          <w:sz w:val="7"/>
        </w:rPr>
        <w:t>l </w:t>
      </w:r>
      <w:r>
        <w:rPr>
          <w:rFonts w:ascii="Calibri"/>
          <w:color w:val="008356"/>
          <w:w w:val="110"/>
          <w:sz w:val="11"/>
        </w:rPr>
        <w:t>RIVAROXABAN </w:t>
      </w:r>
      <w:r>
        <w:rPr>
          <w:color w:val="231F1F"/>
          <w:w w:val="110"/>
        </w:rPr>
        <w:t>(avoid concomitant use except when switching with other anticoagulants or using heparin to maintain catheter patency)</w:t>
      </w:r>
    </w:p>
    <w:p>
      <w:pPr>
        <w:pStyle w:val="BodyText"/>
        <w:ind w:left="286"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anticoagulant effect of phenindione possibly enhanced by </w:t>
      </w:r>
      <w:r>
        <w:rPr>
          <w:rFonts w:ascii="Arial"/>
          <w:color w:val="231F1F"/>
          <w:w w:val="355"/>
          <w:position w:val="1"/>
          <w:sz w:val="7"/>
        </w:rPr>
        <w:t>l </w:t>
      </w:r>
      <w:r>
        <w:rPr>
          <w:rFonts w:ascii="Calibri"/>
          <w:color w:val="008356"/>
          <w:w w:val="110"/>
          <w:sz w:val="11"/>
        </w:rPr>
        <w:t>RITONAVIR</w:t>
      </w:r>
    </w:p>
    <w:p>
      <w:pPr>
        <w:pStyle w:val="BodyText"/>
        <w:ind w:left="286" w:right="107"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anticoagulant effect of phenindione enhanced due to antiplatelet action of </w:t>
      </w:r>
      <w:r>
        <w:rPr>
          <w:rFonts w:ascii="Arial"/>
          <w:color w:val="231F1F"/>
          <w:w w:val="355"/>
          <w:position w:val="1"/>
          <w:sz w:val="7"/>
        </w:rPr>
        <w:t>l </w:t>
      </w:r>
      <w:r>
        <w:rPr>
          <w:rFonts w:ascii="Calibri"/>
          <w:color w:val="008356"/>
          <w:w w:val="110"/>
          <w:sz w:val="11"/>
        </w:rPr>
        <w:t>CLOPIDOGREL</w:t>
      </w:r>
    </w:p>
    <w:p>
      <w:pPr>
        <w:pStyle w:val="BodyText"/>
        <w:spacing w:line="220" w:lineRule="auto"/>
        <w:ind w:left="286" w:right="163"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anticoagulant effect of phenindione may be enhanced or reduced by </w:t>
      </w:r>
      <w:r>
        <w:rPr>
          <w:rFonts w:ascii="Calibri" w:hAnsi="Calibri"/>
          <w:color w:val="008356"/>
          <w:w w:val="110"/>
          <w:sz w:val="11"/>
        </w:rPr>
        <w:t>CORTICOSTEROIDS</w:t>
      </w:r>
    </w:p>
    <w:p>
      <w:pPr>
        <w:pStyle w:val="BodyText"/>
        <w:spacing w:line="220" w:lineRule="auto"/>
        <w:ind w:left="286" w:right="21"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avoidance of  phenindione  advised by  </w:t>
      </w:r>
      <w:r>
        <w:rPr>
          <w:color w:val="231F1F"/>
          <w:spacing w:val="-2"/>
          <w:w w:val="105"/>
        </w:rPr>
        <w:t>manufacturer </w:t>
      </w:r>
      <w:r>
        <w:rPr>
          <w:color w:val="231F1F"/>
          <w:w w:val="105"/>
        </w:rPr>
        <w:t>of </w:t>
      </w:r>
      <w:r>
        <w:rPr>
          <w:rFonts w:ascii="Calibri" w:hAnsi="Calibri"/>
          <w:color w:val="008356"/>
          <w:spacing w:val="5"/>
          <w:w w:val="105"/>
          <w:sz w:val="11"/>
        </w:rPr>
        <w:t>IBRUTINIB</w:t>
      </w:r>
    </w:p>
    <w:p>
      <w:pPr>
        <w:pStyle w:val="BodyText"/>
        <w:ind w:left="286" w:hanging="100"/>
        <w:rPr>
          <w:rFonts w:ascii="Calibri"/>
          <w:sz w:val="11"/>
        </w:rPr>
      </w:pPr>
      <w:r>
        <w:rPr>
          <w:rFonts w:ascii="Arial"/>
          <w:color w:val="231F1F"/>
          <w:w w:val="355"/>
          <w:position w:val="1"/>
          <w:sz w:val="7"/>
        </w:rPr>
        <w:t>l </w:t>
      </w:r>
      <w:r>
        <w:rPr>
          <w:rFonts w:ascii="Calibri"/>
          <w:color w:val="231F1F"/>
          <w:w w:val="110"/>
        </w:rPr>
        <w:t>Dipyridamole: </w:t>
      </w:r>
      <w:r>
        <w:rPr>
          <w:color w:val="231F1F"/>
          <w:w w:val="110"/>
        </w:rPr>
        <w:t>anticoagulant effect of phenindione enhanced due to antiplatelet action of </w:t>
      </w:r>
      <w:r>
        <w:rPr>
          <w:rFonts w:ascii="Arial"/>
          <w:color w:val="231F1F"/>
          <w:w w:val="355"/>
          <w:position w:val="1"/>
          <w:sz w:val="7"/>
        </w:rPr>
        <w:t>l </w:t>
      </w:r>
      <w:r>
        <w:rPr>
          <w:rFonts w:ascii="Calibri"/>
          <w:color w:val="008356"/>
          <w:spacing w:val="5"/>
          <w:w w:val="110"/>
          <w:sz w:val="11"/>
        </w:rPr>
        <w:t>DIPYRIDAMOLE</w:t>
      </w:r>
    </w:p>
    <w:p>
      <w:pPr>
        <w:pStyle w:val="BodyText"/>
        <w:ind w:left="286" w:right="39" w:hanging="100"/>
      </w:pPr>
      <w:r>
        <w:rPr>
          <w:rFonts w:ascii="Arial"/>
          <w:color w:val="231F1F"/>
          <w:w w:val="355"/>
          <w:position w:val="1"/>
          <w:sz w:val="7"/>
        </w:rPr>
        <w:t>l </w:t>
      </w:r>
      <w:r>
        <w:rPr>
          <w:rFonts w:ascii="Calibri"/>
          <w:color w:val="231F1F"/>
          <w:w w:val="115"/>
        </w:rPr>
        <w:t>Enteral Foods: </w:t>
      </w:r>
      <w:r>
        <w:rPr>
          <w:color w:val="231F1F"/>
          <w:w w:val="115"/>
        </w:rPr>
        <w:t>anticoagulant effect of phenindione antagonised</w:t>
      </w:r>
      <w:r>
        <w:rPr>
          <w:color w:val="231F1F"/>
          <w:spacing w:val="-14"/>
          <w:w w:val="115"/>
        </w:rPr>
        <w:t> </w:t>
      </w:r>
      <w:r>
        <w:rPr>
          <w:color w:val="231F1F"/>
          <w:w w:val="115"/>
        </w:rPr>
        <w:t>by</w:t>
      </w:r>
      <w:r>
        <w:rPr>
          <w:color w:val="231F1F"/>
          <w:spacing w:val="-14"/>
          <w:w w:val="115"/>
        </w:rPr>
        <w:t> </w:t>
      </w:r>
      <w:r>
        <w:rPr>
          <w:color w:val="231F1F"/>
          <w:w w:val="115"/>
        </w:rPr>
        <w:t>vitamin</w:t>
      </w:r>
      <w:r>
        <w:rPr>
          <w:color w:val="231F1F"/>
          <w:spacing w:val="-15"/>
          <w:w w:val="115"/>
        </w:rPr>
        <w:t> </w:t>
      </w:r>
      <w:r>
        <w:rPr>
          <w:color w:val="231F1F"/>
          <w:w w:val="115"/>
        </w:rPr>
        <w:t>K</w:t>
      </w:r>
      <w:r>
        <w:rPr>
          <w:color w:val="231F1F"/>
          <w:spacing w:val="-13"/>
          <w:w w:val="115"/>
        </w:rPr>
        <w:t> </w:t>
      </w:r>
      <w:r>
        <w:rPr>
          <w:color w:val="231F1F"/>
          <w:w w:val="115"/>
        </w:rPr>
        <w:t>(present</w:t>
      </w:r>
      <w:r>
        <w:rPr>
          <w:color w:val="231F1F"/>
          <w:spacing w:val="-14"/>
          <w:w w:val="115"/>
        </w:rPr>
        <w:t> </w:t>
      </w:r>
      <w:r>
        <w:rPr>
          <w:color w:val="231F1F"/>
          <w:w w:val="115"/>
        </w:rPr>
        <w:t>in</w:t>
      </w:r>
      <w:r>
        <w:rPr>
          <w:color w:val="231F1F"/>
          <w:spacing w:val="-14"/>
          <w:w w:val="115"/>
        </w:rPr>
        <w:t> </w:t>
      </w:r>
      <w:r>
        <w:rPr>
          <w:color w:val="231F1F"/>
          <w:w w:val="115"/>
        </w:rPr>
        <w:t>some</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ENTERAL</w:t>
      </w:r>
      <w:r>
        <w:rPr>
          <w:rFonts w:ascii="Calibri"/>
          <w:color w:val="008356"/>
          <w:spacing w:val="-7"/>
          <w:w w:val="115"/>
          <w:sz w:val="11"/>
        </w:rPr>
        <w:t> </w:t>
      </w:r>
      <w:r>
        <w:rPr>
          <w:rFonts w:ascii="Calibri"/>
          <w:color w:val="008356"/>
          <w:spacing w:val="4"/>
          <w:w w:val="115"/>
          <w:sz w:val="11"/>
        </w:rPr>
        <w:t>FEEDS</w:t>
      </w:r>
      <w:r>
        <w:rPr>
          <w:rFonts w:ascii="Calibri"/>
          <w:color w:val="008356"/>
          <w:spacing w:val="-3"/>
          <w:w w:val="115"/>
          <w:sz w:val="11"/>
        </w:rPr>
        <w:t> </w:t>
      </w:r>
      <w:r>
        <w:rPr>
          <w:color w:val="231F1F"/>
          <w:w w:val="115"/>
        </w:rPr>
        <w:t>)</w:t>
      </w:r>
    </w:p>
    <w:p>
      <w:pPr>
        <w:pStyle w:val="BodyText"/>
        <w:spacing w:line="220" w:lineRule="auto"/>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Iloprost: </w:t>
      </w:r>
      <w:r>
        <w:rPr>
          <w:color w:val="231F1F"/>
          <w:w w:val="105"/>
        </w:rPr>
        <w:t>increased risk of bleeding when phenindione given with </w:t>
      </w:r>
      <w:r>
        <w:rPr>
          <w:rFonts w:ascii="Calibri" w:hAnsi="Calibri"/>
          <w:color w:val="008356"/>
          <w:w w:val="105"/>
          <w:sz w:val="11"/>
        </w:rPr>
        <w:t>ILOPROST</w:t>
      </w:r>
    </w:p>
    <w:p>
      <w:pPr>
        <w:pStyle w:val="BodyText"/>
        <w:spacing w:line="244" w:lineRule="auto"/>
        <w:ind w:left="286" w:right="204" w:hanging="100"/>
        <w:rPr>
          <w:rFonts w:ascii="Calibri"/>
          <w:sz w:val="11"/>
        </w:rPr>
      </w:pPr>
      <w:r>
        <w:rPr>
          <w:rFonts w:ascii="Arial"/>
          <w:color w:val="231F1F"/>
          <w:w w:val="355"/>
          <w:position w:val="1"/>
          <w:sz w:val="7"/>
        </w:rPr>
        <w:t>l </w:t>
      </w:r>
      <w:r>
        <w:rPr>
          <w:rFonts w:ascii="Calibri"/>
          <w:color w:val="231F1F"/>
          <w:w w:val="110"/>
        </w:rPr>
        <w:t>Lipid-regulating Drugs: </w:t>
      </w:r>
      <w:r>
        <w:rPr>
          <w:color w:val="231F1F"/>
          <w:w w:val="110"/>
        </w:rPr>
        <w:t>anticoagulant effect of phenindione may be enhanced or reduced by </w:t>
      </w:r>
      <w:r>
        <w:rPr>
          <w:rFonts w:ascii="Arial"/>
          <w:color w:val="231F1F"/>
          <w:w w:val="355"/>
          <w:position w:val="1"/>
          <w:sz w:val="7"/>
        </w:rPr>
        <w:t>l </w:t>
      </w:r>
      <w:r>
        <w:rPr>
          <w:rFonts w:ascii="Calibri"/>
          <w:color w:val="008356"/>
          <w:spacing w:val="4"/>
          <w:w w:val="110"/>
          <w:sz w:val="11"/>
        </w:rPr>
        <w:t>COLESTYRAMINE</w:t>
      </w:r>
      <w:r>
        <w:rPr>
          <w:color w:val="231F1F"/>
          <w:spacing w:val="4"/>
          <w:w w:val="110"/>
        </w:rPr>
        <w:t>; </w:t>
      </w:r>
      <w:r>
        <w:rPr>
          <w:color w:val="231F1F"/>
          <w:w w:val="110"/>
        </w:rPr>
        <w:t>anticoagulant effect of  phenindione possibly enhanced </w:t>
      </w:r>
      <w:r>
        <w:rPr>
          <w:color w:val="231F1F"/>
          <w:spacing w:val="-8"/>
          <w:w w:val="110"/>
        </w:rPr>
        <w:t>by  </w:t>
      </w:r>
      <w:r>
        <w:rPr>
          <w:rFonts w:ascii="Arial"/>
          <w:color w:val="231F1F"/>
          <w:w w:val="355"/>
          <w:position w:val="1"/>
          <w:sz w:val="7"/>
        </w:rPr>
        <w:t>l </w:t>
      </w:r>
      <w:r>
        <w:rPr>
          <w:rFonts w:ascii="Calibri"/>
          <w:color w:val="008356"/>
          <w:spacing w:val="3"/>
          <w:w w:val="110"/>
          <w:sz w:val="11"/>
        </w:rPr>
        <w:t>ROSUVASTATIN</w:t>
      </w:r>
      <w:r>
        <w:rPr>
          <w:color w:val="231F1F"/>
          <w:spacing w:val="3"/>
          <w:w w:val="110"/>
        </w:rPr>
        <w:t>; </w:t>
      </w:r>
      <w:r>
        <w:rPr>
          <w:color w:val="231F1F"/>
          <w:w w:val="110"/>
        </w:rPr>
        <w:t>anticoagulant effect of phenindione enhanced by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FIBRATES</w:t>
      </w:r>
    </w:p>
    <w:p>
      <w:pPr>
        <w:pStyle w:val="BodyText"/>
        <w:spacing w:before="9"/>
        <w:ind w:left="0"/>
        <w:rPr>
          <w:rFonts w:ascii="Calibri"/>
          <w:sz w:val="13"/>
        </w:rPr>
      </w:pPr>
      <w:r>
        <w:rPr/>
        <w:br w:type="column"/>
      </w:r>
      <w:r>
        <w:rPr>
          <w:rFonts w:ascii="Calibri"/>
          <w:sz w:val="13"/>
        </w:rPr>
      </w:r>
    </w:p>
    <w:p>
      <w:pPr>
        <w:pStyle w:val="BodyText"/>
        <w:spacing w:line="144" w:lineRule="exact"/>
        <w:ind w:left="178"/>
        <w:rPr>
          <w:rFonts w:ascii="Calibri"/>
        </w:rPr>
      </w:pPr>
      <w:r>
        <w:rPr>
          <w:rFonts w:ascii="Arial"/>
          <w:color w:val="008356"/>
        </w:rPr>
        <w:t>Phenindione </w:t>
      </w:r>
      <w:r>
        <w:rPr>
          <w:rFonts w:ascii="Calibri"/>
          <w:color w:val="231F1F"/>
        </w:rPr>
        <w:t>(continued)</w:t>
      </w:r>
    </w:p>
    <w:p>
      <w:pPr>
        <w:pStyle w:val="BodyText"/>
        <w:ind w:left="278" w:right="649" w:hanging="100"/>
        <w:rPr>
          <w:rFonts w:ascii="Calibri"/>
          <w:sz w:val="11"/>
        </w:rPr>
      </w:pPr>
      <w:r>
        <w:rPr>
          <w:rFonts w:ascii="Arial"/>
          <w:color w:val="231F1F"/>
          <w:w w:val="355"/>
          <w:position w:val="1"/>
          <w:sz w:val="7"/>
        </w:rPr>
        <w:t>l </w:t>
      </w:r>
      <w:r>
        <w:rPr>
          <w:rFonts w:ascii="Calibri"/>
          <w:color w:val="231F1F"/>
          <w:w w:val="110"/>
        </w:rPr>
        <w:t>Oestrogens: </w:t>
      </w:r>
      <w:r>
        <w:rPr>
          <w:color w:val="231F1F"/>
          <w:w w:val="110"/>
        </w:rPr>
        <w:t>anticoagulant effect of phenindione antagonised by </w:t>
      </w:r>
      <w:r>
        <w:rPr>
          <w:rFonts w:ascii="Arial"/>
          <w:color w:val="231F1F"/>
          <w:w w:val="355"/>
          <w:position w:val="1"/>
          <w:sz w:val="7"/>
        </w:rPr>
        <w:t>l </w:t>
      </w:r>
      <w:r>
        <w:rPr>
          <w:rFonts w:ascii="Calibri"/>
          <w:color w:val="008356"/>
          <w:w w:val="110"/>
          <w:sz w:val="11"/>
        </w:rPr>
        <w:t>OESTROGENS</w:t>
      </w:r>
    </w:p>
    <w:p>
      <w:pPr>
        <w:pStyle w:val="BodyText"/>
        <w:spacing w:line="220" w:lineRule="auto" w:before="3"/>
        <w:ind w:left="278"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Prasugrel: </w:t>
      </w:r>
      <w:r>
        <w:rPr>
          <w:color w:val="231F1F"/>
          <w:w w:val="105"/>
        </w:rPr>
        <w:t>possible increased risk of bleeding when phenindione given with </w:t>
      </w:r>
      <w:r>
        <w:rPr>
          <w:rFonts w:ascii="Calibri" w:hAnsi="Calibri"/>
          <w:color w:val="008356"/>
          <w:w w:val="105"/>
          <w:sz w:val="11"/>
        </w:rPr>
        <w:t>PRASUGREL</w:t>
      </w:r>
    </w:p>
    <w:p>
      <w:pPr>
        <w:pStyle w:val="BodyText"/>
        <w:ind w:left="278" w:right="1238" w:hanging="100"/>
        <w:rPr>
          <w:rFonts w:ascii="Calibri"/>
          <w:sz w:val="11"/>
        </w:rPr>
      </w:pPr>
      <w:r>
        <w:rPr>
          <w:rFonts w:ascii="Arial"/>
          <w:color w:val="231F1F"/>
          <w:w w:val="355"/>
          <w:position w:val="1"/>
          <w:sz w:val="7"/>
        </w:rPr>
        <w:t>l </w:t>
      </w:r>
      <w:r>
        <w:rPr>
          <w:rFonts w:ascii="Calibri"/>
          <w:color w:val="231F1F"/>
          <w:w w:val="110"/>
        </w:rPr>
        <w:t>Progestogens: </w:t>
      </w:r>
      <w:r>
        <w:rPr>
          <w:color w:val="231F1F"/>
          <w:w w:val="110"/>
        </w:rPr>
        <w:t>anticoagulant effect of phenindione antagonised by </w:t>
      </w:r>
      <w:r>
        <w:rPr>
          <w:rFonts w:ascii="Arial"/>
          <w:color w:val="231F1F"/>
          <w:w w:val="355"/>
          <w:position w:val="1"/>
          <w:sz w:val="7"/>
        </w:rPr>
        <w:t>l </w:t>
      </w:r>
      <w:r>
        <w:rPr>
          <w:rFonts w:ascii="Calibri"/>
          <w:color w:val="008356"/>
          <w:spacing w:val="4"/>
          <w:w w:val="110"/>
          <w:sz w:val="11"/>
        </w:rPr>
        <w:t>PROGESTOGENS</w:t>
      </w:r>
    </w:p>
    <w:p>
      <w:pPr>
        <w:spacing w:line="237" w:lineRule="auto" w:before="0"/>
        <w:ind w:left="278" w:right="649" w:hanging="100"/>
        <w:jc w:val="left"/>
        <w:rPr>
          <w:rFonts w:ascii="Calibri"/>
          <w:sz w:val="11"/>
        </w:rPr>
      </w:pPr>
      <w:r>
        <w:rPr>
          <w:rFonts w:ascii="Arial"/>
          <w:color w:val="231F1F"/>
          <w:w w:val="355"/>
          <w:position w:val="1"/>
          <w:sz w:val="7"/>
        </w:rPr>
        <w:t>l </w:t>
      </w:r>
      <w:r>
        <w:rPr>
          <w:rFonts w:ascii="Calibri"/>
          <w:color w:val="231F1F"/>
          <w:w w:val="110"/>
          <w:sz w:val="12"/>
        </w:rPr>
        <w:t>Testolactone: </w:t>
      </w:r>
      <w:r>
        <w:rPr>
          <w:color w:val="231F1F"/>
          <w:w w:val="110"/>
          <w:sz w:val="12"/>
        </w:rPr>
        <w:t>anticoagulant effect of phenindione enhanced by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TESTOLACTONE</w:t>
      </w:r>
    </w:p>
    <w:p>
      <w:pPr>
        <w:spacing w:before="0"/>
        <w:ind w:left="278" w:right="649" w:hanging="100"/>
        <w:jc w:val="left"/>
        <w:rPr>
          <w:rFonts w:ascii="Calibri"/>
          <w:sz w:val="11"/>
        </w:rPr>
      </w:pPr>
      <w:r>
        <w:rPr>
          <w:rFonts w:ascii="Arial"/>
          <w:color w:val="231F1F"/>
          <w:w w:val="355"/>
          <w:position w:val="1"/>
          <w:sz w:val="7"/>
        </w:rPr>
        <w:t>l </w:t>
      </w:r>
      <w:r>
        <w:rPr>
          <w:rFonts w:ascii="Calibri"/>
          <w:color w:val="231F1F"/>
          <w:w w:val="110"/>
          <w:sz w:val="12"/>
        </w:rPr>
        <w:t>Testosterone: </w:t>
      </w:r>
      <w:r>
        <w:rPr>
          <w:color w:val="231F1F"/>
          <w:w w:val="110"/>
          <w:sz w:val="12"/>
        </w:rPr>
        <w:t>anticoagulant effect of phenindione enhanced by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TESTOSTERONE</w:t>
      </w:r>
    </w:p>
    <w:p>
      <w:pPr>
        <w:spacing w:line="237" w:lineRule="auto" w:before="0"/>
        <w:ind w:left="278" w:right="992" w:hanging="100"/>
        <w:jc w:val="left"/>
        <w:rPr>
          <w:rFonts w:ascii="Calibri"/>
          <w:sz w:val="11"/>
        </w:rPr>
      </w:pPr>
      <w:r>
        <w:rPr>
          <w:rFonts w:ascii="Arial"/>
          <w:color w:val="231F1F"/>
          <w:w w:val="355"/>
          <w:position w:val="1"/>
          <w:sz w:val="7"/>
        </w:rPr>
        <w:t>l</w:t>
      </w:r>
      <w:r>
        <w:rPr>
          <w:rFonts w:ascii="Arial"/>
          <w:color w:val="231F1F"/>
          <w:spacing w:val="-54"/>
          <w:w w:val="355"/>
          <w:position w:val="1"/>
          <w:sz w:val="7"/>
        </w:rPr>
        <w:t> </w:t>
      </w:r>
      <w:r>
        <w:rPr>
          <w:rFonts w:ascii="Calibri"/>
          <w:color w:val="231F1F"/>
          <w:w w:val="115"/>
          <w:sz w:val="12"/>
        </w:rPr>
        <w:t>Thyroid</w:t>
      </w:r>
      <w:r>
        <w:rPr>
          <w:rFonts w:ascii="Calibri"/>
          <w:color w:val="231F1F"/>
          <w:spacing w:val="-19"/>
          <w:w w:val="115"/>
          <w:sz w:val="12"/>
        </w:rPr>
        <w:t> </w:t>
      </w:r>
      <w:r>
        <w:rPr>
          <w:rFonts w:ascii="Calibri"/>
          <w:color w:val="231F1F"/>
          <w:w w:val="115"/>
          <w:sz w:val="12"/>
        </w:rPr>
        <w:t>Hormones:</w:t>
      </w:r>
      <w:r>
        <w:rPr>
          <w:rFonts w:ascii="Calibri"/>
          <w:color w:val="231F1F"/>
          <w:spacing w:val="-19"/>
          <w:w w:val="115"/>
          <w:sz w:val="12"/>
        </w:rPr>
        <w:t> </w:t>
      </w:r>
      <w:r>
        <w:rPr>
          <w:color w:val="231F1F"/>
          <w:w w:val="115"/>
          <w:sz w:val="12"/>
        </w:rPr>
        <w:t>anticoagulant</w:t>
      </w:r>
      <w:r>
        <w:rPr>
          <w:color w:val="231F1F"/>
          <w:spacing w:val="-22"/>
          <w:w w:val="115"/>
          <w:sz w:val="12"/>
        </w:rPr>
        <w:t> </w:t>
      </w:r>
      <w:r>
        <w:rPr>
          <w:color w:val="231F1F"/>
          <w:w w:val="115"/>
          <w:sz w:val="12"/>
        </w:rPr>
        <w:t>effect</w:t>
      </w:r>
      <w:r>
        <w:rPr>
          <w:color w:val="231F1F"/>
          <w:spacing w:val="-22"/>
          <w:w w:val="115"/>
          <w:sz w:val="12"/>
        </w:rPr>
        <w:t> </w:t>
      </w:r>
      <w:r>
        <w:rPr>
          <w:color w:val="231F1F"/>
          <w:w w:val="115"/>
          <w:sz w:val="12"/>
        </w:rPr>
        <w:t>of</w:t>
      </w:r>
      <w:r>
        <w:rPr>
          <w:color w:val="231F1F"/>
          <w:spacing w:val="-23"/>
          <w:w w:val="115"/>
          <w:sz w:val="12"/>
        </w:rPr>
        <w:t> </w:t>
      </w:r>
      <w:r>
        <w:rPr>
          <w:color w:val="231F1F"/>
          <w:w w:val="115"/>
          <w:sz w:val="12"/>
        </w:rPr>
        <w:t>phenindione enhanced</w:t>
      </w:r>
      <w:r>
        <w:rPr>
          <w:color w:val="231F1F"/>
          <w:spacing w:val="-8"/>
          <w:w w:val="115"/>
          <w:sz w:val="12"/>
        </w:rPr>
        <w:t> </w:t>
      </w:r>
      <w:r>
        <w:rPr>
          <w:color w:val="231F1F"/>
          <w:w w:val="115"/>
          <w:sz w:val="12"/>
        </w:rPr>
        <w:t>by</w:t>
      </w:r>
      <w:r>
        <w:rPr>
          <w:color w:val="231F1F"/>
          <w:spacing w:val="-8"/>
          <w:w w:val="115"/>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5"/>
          <w:sz w:val="11"/>
        </w:rPr>
        <w:t>THYROID</w:t>
      </w:r>
      <w:r>
        <w:rPr>
          <w:rFonts w:ascii="Calibri"/>
          <w:color w:val="008356"/>
          <w:spacing w:val="-1"/>
          <w:w w:val="115"/>
          <w:sz w:val="11"/>
        </w:rPr>
        <w:t> </w:t>
      </w:r>
      <w:r>
        <w:rPr>
          <w:rFonts w:ascii="Calibri"/>
          <w:color w:val="008356"/>
          <w:spacing w:val="5"/>
          <w:w w:val="115"/>
          <w:sz w:val="11"/>
        </w:rPr>
        <w:t>HORMONES</w:t>
      </w:r>
    </w:p>
    <w:p>
      <w:pPr>
        <w:pStyle w:val="BodyText"/>
        <w:spacing w:line="145" w:lineRule="exact"/>
        <w:ind w:left="178"/>
      </w:pPr>
      <w:r>
        <w:rPr>
          <w:rFonts w:ascii="Arial"/>
          <w:color w:val="231F1F"/>
          <w:w w:val="355"/>
          <w:position w:val="1"/>
          <w:sz w:val="7"/>
        </w:rPr>
        <w:t>l </w:t>
      </w:r>
      <w:r>
        <w:rPr>
          <w:rFonts w:ascii="Calibri"/>
          <w:color w:val="231F1F"/>
          <w:w w:val="120"/>
        </w:rPr>
        <w:t>Vitamins: </w:t>
      </w:r>
      <w:r>
        <w:rPr>
          <w:color w:val="231F1F"/>
          <w:w w:val="120"/>
        </w:rPr>
        <w:t>anticoagulant effect of phenindione antagonised by</w:t>
      </w:r>
    </w:p>
    <w:p>
      <w:pPr>
        <w:spacing w:before="1"/>
        <w:ind w:left="278" w:right="0" w:firstLine="0"/>
        <w:jc w:val="left"/>
        <w:rPr>
          <w:rFonts w:ascii="Calibri"/>
          <w:sz w:val="11"/>
        </w:rPr>
      </w:pPr>
      <w:r>
        <w:rPr>
          <w:rFonts w:ascii="Arial"/>
          <w:color w:val="231F1F"/>
          <w:w w:val="355"/>
          <w:position w:val="1"/>
          <w:sz w:val="7"/>
        </w:rPr>
        <w:t>l </w:t>
      </w:r>
      <w:r>
        <w:rPr>
          <w:rFonts w:ascii="Calibri"/>
          <w:color w:val="008356"/>
          <w:w w:val="110"/>
          <w:sz w:val="11"/>
        </w:rPr>
        <w:t>VITAMIN K</w:t>
      </w:r>
    </w:p>
    <w:p>
      <w:pPr>
        <w:pStyle w:val="BodyText"/>
        <w:spacing w:before="8"/>
        <w:ind w:left="178"/>
        <w:rPr>
          <w:rFonts w:ascii="Trebuchet MS"/>
        </w:rPr>
      </w:pPr>
      <w:r>
        <w:rPr>
          <w:rFonts w:ascii="Trebuchet MS"/>
          <w:color w:val="008356"/>
        </w:rPr>
        <w:t>Phenobarbital</w:t>
      </w:r>
    </w:p>
    <w:p>
      <w:pPr>
        <w:pStyle w:val="BodyText"/>
        <w:spacing w:line="220" w:lineRule="auto" w:before="9"/>
        <w:ind w:left="278"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increased sedative effect when phenobarbital </w:t>
      </w:r>
      <w:r>
        <w:rPr>
          <w:color w:val="231F1F"/>
          <w:spacing w:val="-3"/>
          <w:w w:val="105"/>
        </w:rPr>
        <w:t>given </w:t>
      </w:r>
      <w:r>
        <w:rPr>
          <w:color w:val="231F1F"/>
          <w:w w:val="105"/>
        </w:rPr>
        <w:t>with</w:t>
      </w:r>
      <w:r>
        <w:rPr>
          <w:color w:val="231F1F"/>
          <w:spacing w:val="-1"/>
          <w:w w:val="105"/>
        </w:rPr>
        <w:t> </w:t>
      </w:r>
      <w:r>
        <w:rPr>
          <w:rFonts w:ascii="Calibri" w:hAnsi="Calibri"/>
          <w:color w:val="008356"/>
          <w:spacing w:val="4"/>
          <w:w w:val="105"/>
          <w:sz w:val="11"/>
        </w:rPr>
        <w:t>ALCOHOL</w:t>
      </w:r>
    </w:p>
    <w:p>
      <w:pPr>
        <w:pStyle w:val="BodyText"/>
        <w:spacing w:line="146" w:lineRule="exact"/>
        <w:ind w:left="178"/>
      </w:pPr>
      <w:r>
        <w:rPr>
          <w:rFonts w:ascii="Arial"/>
          <w:color w:val="231F1F"/>
          <w:w w:val="355"/>
          <w:position w:val="1"/>
          <w:sz w:val="7"/>
        </w:rPr>
        <w:t>l </w:t>
      </w:r>
      <w:r>
        <w:rPr>
          <w:rFonts w:ascii="Calibri"/>
          <w:color w:val="231F1F"/>
          <w:w w:val="110"/>
        </w:rPr>
        <w:t>Aminophylline: </w:t>
      </w:r>
      <w:r>
        <w:rPr>
          <w:color w:val="231F1F"/>
          <w:w w:val="110"/>
        </w:rPr>
        <w:t>phenobarbital accelerates metabolism of</w:t>
      </w:r>
    </w:p>
    <w:p>
      <w:pPr>
        <w:spacing w:line="140" w:lineRule="exact" w:before="0"/>
        <w:ind w:left="278" w:right="0" w:firstLine="0"/>
        <w:jc w:val="left"/>
        <w:rPr>
          <w:sz w:val="12"/>
        </w:rPr>
      </w:pPr>
      <w:r>
        <w:rPr>
          <w:rFonts w:ascii="Arial"/>
          <w:color w:val="231F1F"/>
          <w:w w:val="355"/>
          <w:position w:val="1"/>
          <w:sz w:val="7"/>
        </w:rPr>
        <w:t>l </w:t>
      </w:r>
      <w:r>
        <w:rPr>
          <w:rFonts w:ascii="Calibri"/>
          <w:color w:val="008356"/>
          <w:w w:val="110"/>
          <w:sz w:val="11"/>
        </w:rPr>
        <w:t>AMINOPHYLLINE </w:t>
      </w:r>
      <w:r>
        <w:rPr>
          <w:color w:val="231F1F"/>
          <w:w w:val="110"/>
          <w:sz w:val="12"/>
        </w:rPr>
        <w:t>(reduced effect)</w:t>
      </w:r>
    </w:p>
    <w:p>
      <w:pPr>
        <w:pStyle w:val="BodyText"/>
        <w:spacing w:line="230" w:lineRule="auto" w:before="4"/>
        <w:ind w:left="278" w:right="701"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phenobarbital reduces plasma concentration of </w:t>
      </w:r>
      <w:r>
        <w:rPr>
          <w:rFonts w:ascii="Calibri" w:hAnsi="Calibri"/>
          <w:color w:val="008356"/>
          <w:w w:val="110"/>
          <w:sz w:val="11"/>
        </w:rPr>
        <w:t>METHADONE</w:t>
      </w:r>
      <w:r>
        <w:rPr>
          <w:color w:val="231F1F"/>
          <w:w w:val="110"/>
        </w:rPr>
        <w:t>; phenobarbital possibly accelerates metabolism of </w:t>
      </w:r>
      <w:r>
        <w:rPr>
          <w:rFonts w:ascii="Calibri" w:hAnsi="Calibri"/>
          <w:color w:val="008356"/>
          <w:w w:val="110"/>
          <w:sz w:val="11"/>
        </w:rPr>
        <w:t>PARACETAMOL </w:t>
      </w:r>
      <w:r>
        <w:rPr>
          <w:color w:val="231F1F"/>
          <w:w w:val="110"/>
        </w:rPr>
        <w:t>(also isolated reports of hepatotoxicity)</w:t>
      </w:r>
    </w:p>
    <w:p>
      <w:pPr>
        <w:pStyle w:val="BodyText"/>
        <w:spacing w:line="244" w:lineRule="auto"/>
        <w:ind w:left="278" w:right="619"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Anthelmintics:</w:t>
      </w:r>
      <w:r>
        <w:rPr>
          <w:rFonts w:ascii="Calibri" w:hAnsi="Calibri"/>
          <w:color w:val="231F1F"/>
          <w:spacing w:val="-12"/>
          <w:w w:val="115"/>
        </w:rPr>
        <w:t> </w:t>
      </w:r>
      <w:r>
        <w:rPr>
          <w:color w:val="231F1F"/>
          <w:w w:val="115"/>
        </w:rPr>
        <w:t>phenobarbital</w:t>
      </w:r>
      <w:r>
        <w:rPr>
          <w:color w:val="231F1F"/>
          <w:spacing w:val="-16"/>
          <w:w w:val="115"/>
        </w:rPr>
        <w:t> </w:t>
      </w:r>
      <w:r>
        <w:rPr>
          <w:color w:val="231F1F"/>
          <w:w w:val="115"/>
        </w:rPr>
        <w:t>reduces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spacing w:val="-7"/>
          <w:w w:val="115"/>
        </w:rPr>
        <w:t>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ALBENDAZOLE</w:t>
      </w:r>
      <w:r>
        <w:rPr>
          <w:rFonts w:ascii="Calibri" w:hAnsi="Calibri"/>
          <w:color w:val="008356"/>
          <w:spacing w:val="-10"/>
          <w:w w:val="115"/>
          <w:sz w:val="11"/>
        </w:rPr>
        <w:t> </w:t>
      </w:r>
      <w:r>
        <w:rPr>
          <w:color w:val="231F1F"/>
          <w:w w:val="115"/>
        </w:rPr>
        <w:t>and</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PRAZIQUANTEL</w:t>
      </w:r>
      <w:r>
        <w:rPr>
          <w:rFonts w:ascii="Arial" w:hAnsi="Arial"/>
          <w:color w:val="231F1F"/>
          <w:spacing w:val="2"/>
          <w:w w:val="115"/>
        </w:rPr>
        <w:t>—</w:t>
      </w:r>
      <w:r>
        <w:rPr>
          <w:color w:val="231F1F"/>
          <w:spacing w:val="2"/>
          <w:w w:val="115"/>
        </w:rPr>
        <w:t>consider</w:t>
      </w:r>
      <w:r>
        <w:rPr>
          <w:color w:val="231F1F"/>
          <w:spacing w:val="-20"/>
          <w:w w:val="115"/>
        </w:rPr>
        <w:t> </w:t>
      </w:r>
      <w:r>
        <w:rPr>
          <w:color w:val="231F1F"/>
          <w:w w:val="115"/>
        </w:rPr>
        <w:t>increasing albendazole and praziquantel dose when given for systemic infections</w:t>
      </w:r>
    </w:p>
    <w:p>
      <w:pPr>
        <w:pStyle w:val="BodyText"/>
        <w:spacing w:line="242" w:lineRule="auto"/>
        <w:ind w:left="278" w:right="585" w:hanging="100"/>
        <w:rPr>
          <w:rFonts w:ascii="Calibri" w:hAnsi="Calibri"/>
          <w:sz w:val="11"/>
        </w:rPr>
      </w:pPr>
      <w:r>
        <w:rPr>
          <w:rFonts w:ascii="Arial" w:hAnsi="Arial"/>
          <w:color w:val="231F1F"/>
          <w:w w:val="355"/>
          <w:position w:val="1"/>
          <w:sz w:val="7"/>
        </w:rPr>
        <w:t>l </w:t>
      </w:r>
      <w:r>
        <w:rPr>
          <w:rFonts w:ascii="Calibri" w:hAnsi="Calibri"/>
          <w:color w:val="231F1F"/>
          <w:w w:val="110"/>
        </w:rPr>
        <w:t>Anti-arrhythmics: </w:t>
      </w:r>
      <w:r>
        <w:rPr>
          <w:color w:val="231F1F"/>
          <w:w w:val="110"/>
        </w:rPr>
        <w:t>phenobarbital accelerates metabolism of </w:t>
      </w:r>
      <w:r>
        <w:rPr>
          <w:rFonts w:ascii="Calibri" w:hAnsi="Calibri"/>
          <w:color w:val="008356"/>
          <w:w w:val="110"/>
          <w:sz w:val="11"/>
        </w:rPr>
        <w:t>DISOPYRAMIDE </w:t>
      </w:r>
      <w:r>
        <w:rPr>
          <w:color w:val="231F1F"/>
          <w:w w:val="110"/>
        </w:rPr>
        <w:t>(reduced plasma concentration); phenobarbital possibly reduces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 </w:t>
      </w:r>
      <w:r>
        <w:rPr>
          <w:color w:val="231F1F"/>
          <w:w w:val="110"/>
        </w:rPr>
        <w:t>avoid concomitant use; phenobarbital possibly accelerates metabolism of </w:t>
      </w:r>
      <w:r>
        <w:rPr>
          <w:rFonts w:ascii="Calibri" w:hAnsi="Calibri"/>
          <w:color w:val="008356"/>
          <w:w w:val="110"/>
          <w:sz w:val="11"/>
        </w:rPr>
        <w:t>PROPAFENONE</w:t>
      </w:r>
    </w:p>
    <w:p>
      <w:pPr>
        <w:pStyle w:val="BodyText"/>
        <w:spacing w:line="244" w:lineRule="auto"/>
        <w:ind w:left="278" w:right="701" w:hanging="100"/>
      </w:pPr>
      <w:r>
        <w:rPr>
          <w:rFonts w:ascii="Arial"/>
          <w:color w:val="231F1F"/>
          <w:w w:val="355"/>
          <w:position w:val="1"/>
          <w:sz w:val="7"/>
        </w:rPr>
        <w:t>l </w:t>
      </w:r>
      <w:r>
        <w:rPr>
          <w:rFonts w:ascii="Calibri"/>
          <w:color w:val="231F1F"/>
          <w:w w:val="110"/>
        </w:rPr>
        <w:t>Antibacterials: </w:t>
      </w:r>
      <w:r>
        <w:rPr>
          <w:color w:val="231F1F"/>
          <w:w w:val="110"/>
        </w:rPr>
        <w:t>phenobarbital accelerates metabolism of </w:t>
      </w:r>
      <w:r>
        <w:rPr>
          <w:rFonts w:ascii="Calibri"/>
          <w:color w:val="008356"/>
          <w:spacing w:val="4"/>
          <w:w w:val="110"/>
          <w:sz w:val="11"/>
        </w:rPr>
        <w:t>METRONIDAZOLE </w:t>
      </w:r>
      <w:r>
        <w:rPr>
          <w:color w:val="231F1F"/>
          <w:w w:val="110"/>
        </w:rPr>
        <w:t>(reduced effect); phenobarbital possibly reduces plasma concentration of </w:t>
      </w:r>
      <w:r>
        <w:rPr>
          <w:rFonts w:ascii="Calibri"/>
          <w:color w:val="008356"/>
          <w:spacing w:val="4"/>
          <w:w w:val="110"/>
          <w:sz w:val="11"/>
        </w:rPr>
        <w:t>RIFAMPICIN</w:t>
      </w:r>
      <w:r>
        <w:rPr>
          <w:color w:val="231F1F"/>
          <w:spacing w:val="4"/>
          <w:w w:val="110"/>
        </w:rPr>
        <w:t>; </w:t>
      </w:r>
      <w:r>
        <w:rPr>
          <w:color w:val="231F1F"/>
          <w:w w:val="110"/>
        </w:rPr>
        <w:t>phenobarbital accelerates metabolism of </w:t>
      </w:r>
      <w:r>
        <w:rPr>
          <w:rFonts w:ascii="Calibri"/>
          <w:color w:val="008356"/>
          <w:spacing w:val="4"/>
          <w:w w:val="110"/>
          <w:sz w:val="11"/>
        </w:rPr>
        <w:t>DOXYCYCLINE </w:t>
      </w:r>
      <w:r>
        <w:rPr>
          <w:color w:val="231F1F"/>
          <w:w w:val="110"/>
        </w:rPr>
        <w:t>(reduced plasma concentration); phenobarbital possibly  accelerates metabolism of </w:t>
      </w:r>
      <w:r>
        <w:rPr>
          <w:rFonts w:ascii="Arial"/>
          <w:color w:val="231F1F"/>
          <w:w w:val="355"/>
          <w:position w:val="1"/>
          <w:sz w:val="7"/>
        </w:rPr>
        <w:t>l </w:t>
      </w:r>
      <w:r>
        <w:rPr>
          <w:rFonts w:ascii="Calibri"/>
          <w:color w:val="008356"/>
          <w:spacing w:val="4"/>
          <w:w w:val="110"/>
          <w:sz w:val="11"/>
        </w:rPr>
        <w:t>CHLORAMPHENICOL </w:t>
      </w:r>
      <w:r>
        <w:rPr>
          <w:color w:val="231F1F"/>
          <w:w w:val="110"/>
        </w:rPr>
        <w:t>(reduced plasma concentration); phenobarbital reduces  plasma  </w:t>
      </w:r>
      <w:r>
        <w:rPr>
          <w:color w:val="231F1F"/>
          <w:spacing w:val="-2"/>
          <w:w w:val="110"/>
        </w:rPr>
        <w:t>concentration </w:t>
      </w:r>
      <w:r>
        <w:rPr>
          <w:color w:val="231F1F"/>
          <w:w w:val="110"/>
        </w:rPr>
        <w:t>of </w:t>
      </w:r>
      <w:r>
        <w:rPr>
          <w:rFonts w:ascii="Arial"/>
          <w:color w:val="231F1F"/>
          <w:w w:val="355"/>
          <w:position w:val="1"/>
          <w:sz w:val="7"/>
        </w:rPr>
        <w:t>l </w:t>
      </w:r>
      <w:r>
        <w:rPr>
          <w:rFonts w:ascii="Calibri"/>
          <w:color w:val="008356"/>
          <w:spacing w:val="4"/>
          <w:w w:val="110"/>
          <w:sz w:val="11"/>
        </w:rPr>
        <w:t>TELITHROMYCIN </w:t>
      </w:r>
      <w:r>
        <w:rPr>
          <w:color w:val="231F1F"/>
          <w:w w:val="110"/>
        </w:rPr>
        <w:t>(avoid during and for 2 weeks after phenobarbital)</w:t>
      </w:r>
    </w:p>
    <w:p>
      <w:pPr>
        <w:pStyle w:val="BodyText"/>
        <w:spacing w:line="242" w:lineRule="auto"/>
        <w:ind w:left="278" w:right="585" w:hanging="100"/>
      </w:pPr>
      <w:r>
        <w:rPr>
          <w:rFonts w:ascii="Arial"/>
          <w:color w:val="231F1F"/>
          <w:w w:val="355"/>
          <w:position w:val="1"/>
          <w:sz w:val="7"/>
        </w:rPr>
        <w:t>l </w:t>
      </w:r>
      <w:r>
        <w:rPr>
          <w:rFonts w:ascii="Calibri"/>
          <w:color w:val="231F1F"/>
          <w:w w:val="110"/>
        </w:rPr>
        <w:t>Anticoagulants: </w:t>
      </w:r>
      <w:r>
        <w:rPr>
          <w:color w:val="231F1F"/>
          <w:w w:val="110"/>
        </w:rPr>
        <w:t>phenobarbital possibly reduces plasma concentration of </w:t>
      </w:r>
      <w:r>
        <w:rPr>
          <w:rFonts w:ascii="Arial"/>
          <w:color w:val="231F1F"/>
          <w:w w:val="355"/>
          <w:position w:val="1"/>
          <w:sz w:val="7"/>
        </w:rPr>
        <w:t>l </w:t>
      </w:r>
      <w:r>
        <w:rPr>
          <w:rFonts w:ascii="Calibri"/>
          <w:color w:val="008356"/>
          <w:spacing w:val="4"/>
          <w:w w:val="110"/>
          <w:sz w:val="11"/>
        </w:rPr>
        <w:t>APIXABAN</w:t>
      </w:r>
      <w:r>
        <w:rPr>
          <w:color w:val="231F1F"/>
          <w:spacing w:val="4"/>
          <w:w w:val="110"/>
        </w:rPr>
        <w:t>; </w:t>
      </w:r>
      <w:r>
        <w:rPr>
          <w:color w:val="231F1F"/>
          <w:w w:val="110"/>
        </w:rPr>
        <w:t>phenobarbital accelerates metabolism of </w:t>
      </w:r>
      <w:r>
        <w:rPr>
          <w:rFonts w:ascii="Arial"/>
          <w:color w:val="231F1F"/>
          <w:w w:val="355"/>
          <w:position w:val="1"/>
          <w:sz w:val="7"/>
        </w:rPr>
        <w:t>l </w:t>
      </w:r>
      <w:r>
        <w:rPr>
          <w:rFonts w:ascii="Calibri"/>
          <w:color w:val="008356"/>
          <w:spacing w:val="4"/>
          <w:w w:val="110"/>
          <w:sz w:val="11"/>
        </w:rPr>
        <w:t>COUMARINS </w:t>
      </w:r>
      <w:r>
        <w:rPr>
          <w:color w:val="231F1F"/>
          <w:w w:val="110"/>
        </w:rPr>
        <w:t>(reduced anticoagulant effect); phenobarbital possibly reduces plasma concentration of</w:t>
      </w:r>
    </w:p>
    <w:p>
      <w:pPr>
        <w:pStyle w:val="BodyText"/>
        <w:ind w:left="278" w:right="969"/>
      </w:pPr>
      <w:r>
        <w:rPr>
          <w:rFonts w:ascii="Arial" w:hAnsi="Arial"/>
          <w:color w:val="231F1F"/>
          <w:w w:val="115"/>
          <w:position w:val="1"/>
          <w:sz w:val="7"/>
        </w:rPr>
        <w:t>l </w:t>
      </w:r>
      <w:r>
        <w:rPr>
          <w:rFonts w:ascii="Calibri" w:hAnsi="Calibri"/>
          <w:color w:val="008356"/>
          <w:w w:val="115"/>
          <w:sz w:val="11"/>
        </w:rPr>
        <w:t>RIVAROXABAN</w:t>
      </w:r>
      <w:r>
        <w:rPr>
          <w:rFonts w:ascii="Arial" w:hAnsi="Arial"/>
          <w:color w:val="231F1F"/>
          <w:w w:val="115"/>
        </w:rPr>
        <w:t>—</w:t>
      </w:r>
      <w:r>
        <w:rPr>
          <w:color w:val="231F1F"/>
          <w:w w:val="115"/>
        </w:rPr>
        <w:t>manufacturer of rivaroxaban advises </w:t>
      </w:r>
      <w:r>
        <w:rPr>
          <w:color w:val="231F1F"/>
          <w:w w:val="120"/>
        </w:rPr>
        <w:t>monitor for signs of thrombosis</w:t>
      </w:r>
    </w:p>
    <w:p>
      <w:pPr>
        <w:spacing w:line="244" w:lineRule="auto" w:before="0"/>
        <w:ind w:left="278" w:right="690"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phenobarbital possibly reduces plasma concentration of </w:t>
      </w:r>
      <w:r>
        <w:rPr>
          <w:rFonts w:ascii="Calibri"/>
          <w:color w:val="008356"/>
          <w:spacing w:val="4"/>
          <w:w w:val="110"/>
          <w:sz w:val="11"/>
        </w:rPr>
        <w:t>REBOXETINE</w:t>
      </w:r>
      <w:r>
        <w:rPr>
          <w:color w:val="231F1F"/>
          <w:spacing w:val="4"/>
          <w:w w:val="110"/>
          <w:sz w:val="12"/>
        </w:rPr>
        <w:t>; </w:t>
      </w:r>
      <w:r>
        <w:rPr>
          <w:color w:val="231F1F"/>
          <w:w w:val="110"/>
          <w:sz w:val="12"/>
        </w:rPr>
        <w:t>phenobarbital reduces plasma concentration of </w:t>
      </w:r>
      <w:r>
        <w:rPr>
          <w:rFonts w:ascii="Calibri"/>
          <w:color w:val="008356"/>
          <w:spacing w:val="4"/>
          <w:w w:val="110"/>
          <w:sz w:val="11"/>
        </w:rPr>
        <w:t>PAROXETINE</w:t>
      </w:r>
      <w:r>
        <w:rPr>
          <w:color w:val="231F1F"/>
          <w:spacing w:val="4"/>
          <w:w w:val="110"/>
          <w:sz w:val="12"/>
        </w:rPr>
        <w:t>; </w:t>
      </w:r>
      <w:r>
        <w:rPr>
          <w:color w:val="231F1F"/>
          <w:w w:val="110"/>
          <w:sz w:val="12"/>
        </w:rPr>
        <w:t>phenobarbital accelerates metabolism of </w:t>
      </w:r>
      <w:r>
        <w:rPr>
          <w:rFonts w:ascii="Arial"/>
          <w:color w:val="231F1F"/>
          <w:w w:val="355"/>
          <w:position w:val="1"/>
          <w:sz w:val="7"/>
        </w:rPr>
        <w:t>l </w:t>
      </w:r>
      <w:r>
        <w:rPr>
          <w:rFonts w:ascii="Calibri"/>
          <w:color w:val="008356"/>
          <w:spacing w:val="4"/>
          <w:w w:val="110"/>
          <w:sz w:val="11"/>
        </w:rPr>
        <w:t>MIANSERIN </w:t>
      </w:r>
      <w:r>
        <w:rPr>
          <w:color w:val="231F1F"/>
          <w:w w:val="110"/>
          <w:sz w:val="12"/>
        </w:rPr>
        <w:t>(reduced plasma</w:t>
      </w:r>
      <w:r>
        <w:rPr>
          <w:color w:val="231F1F"/>
          <w:spacing w:val="-22"/>
          <w:w w:val="110"/>
          <w:sz w:val="12"/>
        </w:rPr>
        <w:t> </w:t>
      </w:r>
      <w:r>
        <w:rPr>
          <w:color w:val="231F1F"/>
          <w:w w:val="110"/>
          <w:sz w:val="12"/>
        </w:rPr>
        <w:t>concentration); anticonvulsant effect of antiepileptics possibly antagonised by</w:t>
      </w:r>
      <w:r>
        <w:rPr>
          <w:color w:val="231F1F"/>
          <w:spacing w:val="-10"/>
          <w:w w:val="110"/>
          <w:sz w:val="12"/>
        </w:rPr>
        <w:t> </w:t>
      </w:r>
      <w:r>
        <w:rPr>
          <w:rFonts w:ascii="Calibri"/>
          <w:color w:val="008356"/>
          <w:spacing w:val="3"/>
          <w:w w:val="110"/>
          <w:sz w:val="11"/>
        </w:rPr>
        <w:t>MAOI</w:t>
      </w:r>
      <w:r>
        <w:rPr>
          <w:rFonts w:ascii="Calibri"/>
          <w:color w:val="008356"/>
          <w:spacing w:val="3"/>
          <w:w w:val="110"/>
          <w:sz w:val="9"/>
        </w:rPr>
        <w:t>S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TRICYCLIC-RELATED</w:t>
      </w:r>
      <w:r>
        <w:rPr>
          <w:rFonts w:ascii="Calibri"/>
          <w:color w:val="008356"/>
          <w:spacing w:val="-4"/>
          <w:w w:val="110"/>
          <w:sz w:val="11"/>
        </w:rPr>
        <w:t> </w:t>
      </w:r>
      <w:r>
        <w:rPr>
          <w:rFonts w:ascii="Calibri"/>
          <w:color w:val="008356"/>
          <w:spacing w:val="5"/>
          <w:w w:val="110"/>
          <w:sz w:val="11"/>
        </w:rPr>
        <w:t>ANTIDEPRESSANTS</w:t>
      </w:r>
    </w:p>
    <w:p>
      <w:pPr>
        <w:pStyle w:val="BodyText"/>
        <w:spacing w:line="247" w:lineRule="auto"/>
        <w:ind w:left="278" w:right="723"/>
      </w:pPr>
      <w:r>
        <w:rPr>
          <w:color w:val="231F1F"/>
          <w:w w:val="115"/>
        </w:rPr>
        <w:t>(convulsive threshold lowered); anticonvulsant effect of antiepileptics antagonised by </w:t>
      </w:r>
      <w:r>
        <w:rPr>
          <w:rFonts w:ascii="Arial" w:hAnsi="Arial"/>
          <w:color w:val="231F1F"/>
          <w:w w:val="355"/>
          <w:position w:val="1"/>
          <w:sz w:val="7"/>
        </w:rPr>
        <w:t>l </w:t>
      </w:r>
      <w:r>
        <w:rPr>
          <w:rFonts w:ascii="Calibri" w:hAnsi="Calibri"/>
          <w:color w:val="008356"/>
          <w:spacing w:val="4"/>
          <w:w w:val="115"/>
          <w:sz w:val="11"/>
        </w:rPr>
        <w:t>SSRIS </w:t>
      </w:r>
      <w:r>
        <w:rPr>
          <w:color w:val="231F1F"/>
          <w:w w:val="115"/>
        </w:rPr>
        <w:t>and </w:t>
      </w:r>
      <w:r>
        <w:rPr>
          <w:rFonts w:ascii="Arial" w:hAnsi="Arial"/>
          <w:color w:val="231F1F"/>
          <w:w w:val="355"/>
          <w:position w:val="1"/>
          <w:sz w:val="7"/>
        </w:rPr>
        <w:t>l </w:t>
      </w:r>
      <w:r>
        <w:rPr>
          <w:rFonts w:ascii="Calibri" w:hAnsi="Calibri"/>
          <w:color w:val="008356"/>
          <w:spacing w:val="4"/>
          <w:w w:val="115"/>
          <w:sz w:val="11"/>
        </w:rPr>
        <w:t>TRICYCLICS </w:t>
      </w:r>
      <w:r>
        <w:rPr>
          <w:color w:val="231F1F"/>
          <w:w w:val="115"/>
        </w:rPr>
        <w:t>(convulsive threshold lowered); plasma concentration of phenobarbital</w:t>
      </w:r>
      <w:r>
        <w:rPr>
          <w:color w:val="231F1F"/>
          <w:spacing w:val="-25"/>
          <w:w w:val="115"/>
        </w:rPr>
        <w:t> </w:t>
      </w:r>
      <w:r>
        <w:rPr>
          <w:color w:val="231F1F"/>
          <w:w w:val="115"/>
        </w:rPr>
        <w:t>possibly</w:t>
      </w:r>
      <w:r>
        <w:rPr>
          <w:color w:val="231F1F"/>
          <w:spacing w:val="-24"/>
          <w:w w:val="115"/>
        </w:rPr>
        <w:t> </w:t>
      </w:r>
      <w:r>
        <w:rPr>
          <w:color w:val="231F1F"/>
          <w:w w:val="115"/>
        </w:rPr>
        <w:t>reduced</w:t>
      </w:r>
      <w:r>
        <w:rPr>
          <w:color w:val="231F1F"/>
          <w:spacing w:val="-24"/>
          <w:w w:val="115"/>
        </w:rPr>
        <w:t> </w:t>
      </w:r>
      <w:r>
        <w:rPr>
          <w:color w:val="231F1F"/>
          <w:w w:val="115"/>
        </w:rPr>
        <w:t>by</w:t>
      </w:r>
      <w:r>
        <w:rPr>
          <w:color w:val="231F1F"/>
          <w:spacing w:val="-24"/>
          <w:w w:val="115"/>
        </w:rPr>
        <w:t> </w:t>
      </w:r>
      <w:r>
        <w:rPr>
          <w:rFonts w:ascii="Arial" w:hAnsi="Arial"/>
          <w:color w:val="231F1F"/>
          <w:w w:val="350"/>
          <w:position w:val="1"/>
          <w:sz w:val="7"/>
        </w:rPr>
        <w:t>l</w:t>
      </w:r>
      <w:r>
        <w:rPr>
          <w:rFonts w:ascii="Arial" w:hAnsi="Arial"/>
          <w:color w:val="231F1F"/>
          <w:spacing w:val="-59"/>
          <w:w w:val="350"/>
          <w:position w:val="1"/>
          <w:sz w:val="7"/>
        </w:rPr>
        <w:t> </w:t>
      </w:r>
      <w:r>
        <w:rPr>
          <w:rFonts w:ascii="Calibri" w:hAnsi="Calibri"/>
          <w:color w:val="008356"/>
          <w:w w:val="115"/>
          <w:sz w:val="11"/>
        </w:rPr>
        <w:t>ST</w:t>
      </w:r>
      <w:r>
        <w:rPr>
          <w:rFonts w:ascii="Calibri" w:hAnsi="Calibri"/>
          <w:color w:val="008356"/>
          <w:spacing w:val="-19"/>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8"/>
          <w:w w:val="115"/>
          <w:sz w:val="11"/>
        </w:rPr>
        <w:t> </w:t>
      </w:r>
      <w:r>
        <w:rPr>
          <w:rFonts w:ascii="Calibri" w:hAnsi="Calibri"/>
          <w:color w:val="008356"/>
          <w:w w:val="115"/>
          <w:sz w:val="11"/>
        </w:rPr>
        <w:t>WORT</w:t>
      </w:r>
      <w:r>
        <w:rPr>
          <w:rFonts w:ascii="Arial" w:hAnsi="Arial"/>
          <w:color w:val="231F1F"/>
          <w:w w:val="115"/>
        </w:rPr>
        <w:t>—</w:t>
      </w:r>
      <w:r>
        <w:rPr>
          <w:color w:val="231F1F"/>
          <w:w w:val="115"/>
        </w:rPr>
        <w:t>avoid concomitant use; phenobarbital possibly accelerates metabolism</w:t>
      </w:r>
      <w:r>
        <w:rPr>
          <w:color w:val="231F1F"/>
          <w:spacing w:val="-18"/>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TRICYCLICS</w:t>
      </w:r>
      <w:r>
        <w:rPr>
          <w:rFonts w:ascii="Calibri" w:hAnsi="Calibri"/>
          <w:color w:val="008356"/>
          <w:spacing w:val="-7"/>
          <w:w w:val="115"/>
          <w:sz w:val="11"/>
        </w:rPr>
        <w:t> </w:t>
      </w:r>
      <w:r>
        <w:rPr>
          <w:color w:val="231F1F"/>
          <w:w w:val="115"/>
        </w:rPr>
        <w:t>(reduced</w:t>
      </w:r>
      <w:r>
        <w:rPr>
          <w:color w:val="231F1F"/>
          <w:spacing w:val="-17"/>
          <w:w w:val="115"/>
        </w:rPr>
        <w:t> </w:t>
      </w:r>
      <w:r>
        <w:rPr>
          <w:color w:val="231F1F"/>
          <w:w w:val="115"/>
        </w:rPr>
        <w:t>plasma</w:t>
      </w:r>
      <w:r>
        <w:rPr>
          <w:color w:val="231F1F"/>
          <w:spacing w:val="-16"/>
          <w:w w:val="115"/>
        </w:rPr>
        <w:t> </w:t>
      </w:r>
      <w:r>
        <w:rPr>
          <w:color w:val="231F1F"/>
          <w:w w:val="115"/>
        </w:rPr>
        <w:t>concentration)</w:t>
      </w:r>
    </w:p>
    <w:p>
      <w:pPr>
        <w:pStyle w:val="BodyText"/>
        <w:spacing w:line="138" w:lineRule="exact"/>
        <w:ind w:left="178"/>
      </w:pPr>
      <w:r>
        <w:rPr>
          <w:rFonts w:ascii="Arial"/>
          <w:color w:val="231F1F"/>
          <w:w w:val="355"/>
          <w:position w:val="1"/>
          <w:sz w:val="7"/>
        </w:rPr>
        <w:t>l </w:t>
      </w:r>
      <w:r>
        <w:rPr>
          <w:rFonts w:ascii="Calibri"/>
          <w:color w:val="231F1F"/>
          <w:w w:val="115"/>
        </w:rPr>
        <w:t>Antiepileptics: </w:t>
      </w:r>
      <w:r>
        <w:rPr>
          <w:color w:val="231F1F"/>
          <w:w w:val="115"/>
        </w:rPr>
        <w:t>plasma concentration of phenobarbital possibly</w:t>
      </w:r>
    </w:p>
    <w:p>
      <w:pPr>
        <w:spacing w:line="244" w:lineRule="auto" w:before="0"/>
        <w:ind w:left="278" w:right="638" w:firstLine="0"/>
        <w:jc w:val="left"/>
        <w:rPr>
          <w:rFonts w:ascii="Calibri"/>
          <w:sz w:val="11"/>
        </w:rPr>
      </w:pPr>
      <w:r>
        <w:rPr>
          <w:color w:val="231F1F"/>
          <w:w w:val="110"/>
          <w:sz w:val="12"/>
        </w:rPr>
        <w:t>increased by </w:t>
      </w:r>
      <w:r>
        <w:rPr>
          <w:rFonts w:ascii="Calibri"/>
          <w:color w:val="008356"/>
          <w:spacing w:val="4"/>
          <w:w w:val="110"/>
          <w:sz w:val="11"/>
        </w:rPr>
        <w:t>CARBAMAZEPINE</w:t>
      </w:r>
      <w:r>
        <w:rPr>
          <w:color w:val="231F1F"/>
          <w:spacing w:val="4"/>
          <w:w w:val="110"/>
          <w:sz w:val="12"/>
        </w:rPr>
        <w:t>; </w:t>
      </w:r>
      <w:r>
        <w:rPr>
          <w:color w:val="231F1F"/>
          <w:w w:val="110"/>
          <w:sz w:val="12"/>
        </w:rPr>
        <w:t>phenobarbital possibly</w:t>
      </w:r>
      <w:r>
        <w:rPr>
          <w:color w:val="231F1F"/>
          <w:spacing w:val="-19"/>
          <w:w w:val="110"/>
          <w:sz w:val="12"/>
        </w:rPr>
        <w:t> </w:t>
      </w:r>
      <w:r>
        <w:rPr>
          <w:color w:val="231F1F"/>
          <w:w w:val="110"/>
          <w:sz w:val="12"/>
        </w:rPr>
        <w:t>reduces plasma concentration of </w:t>
      </w:r>
      <w:r>
        <w:rPr>
          <w:rFonts w:ascii="Calibri"/>
          <w:color w:val="008356"/>
          <w:spacing w:val="4"/>
          <w:w w:val="110"/>
          <w:sz w:val="11"/>
        </w:rPr>
        <w:t>ETHOSUXIMIDE</w:t>
      </w:r>
      <w:r>
        <w:rPr>
          <w:color w:val="231F1F"/>
          <w:spacing w:val="4"/>
          <w:w w:val="110"/>
          <w:sz w:val="12"/>
        </w:rPr>
        <w:t>, </w:t>
      </w:r>
      <w:r>
        <w:rPr>
          <w:rFonts w:ascii="Calibri"/>
          <w:color w:val="008356"/>
          <w:spacing w:val="4"/>
          <w:w w:val="110"/>
          <w:sz w:val="11"/>
        </w:rPr>
        <w:t>RUFINAMIDE </w:t>
      </w:r>
      <w:r>
        <w:rPr>
          <w:color w:val="231F1F"/>
          <w:w w:val="110"/>
          <w:sz w:val="12"/>
        </w:rPr>
        <w:t>and </w:t>
      </w:r>
      <w:r>
        <w:rPr>
          <w:rFonts w:ascii="Calibri"/>
          <w:color w:val="008356"/>
          <w:spacing w:val="4"/>
          <w:w w:val="110"/>
          <w:sz w:val="11"/>
        </w:rPr>
        <w:t>TOPIRAMATE</w:t>
      </w:r>
      <w:r>
        <w:rPr>
          <w:color w:val="231F1F"/>
          <w:spacing w:val="4"/>
          <w:w w:val="110"/>
          <w:sz w:val="12"/>
        </w:rPr>
        <w:t>; </w:t>
      </w:r>
      <w:r>
        <w:rPr>
          <w:color w:val="231F1F"/>
          <w:w w:val="110"/>
          <w:sz w:val="12"/>
        </w:rPr>
        <w:t>plasma concentration of phenobarbital often increased by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plasma concentration of fosphenytoin and phenytoin often reduced but may be increased; phenobarbital reduces plasma concentration of </w:t>
      </w:r>
      <w:r>
        <w:rPr>
          <w:rFonts w:ascii="Calibri"/>
          <w:color w:val="008356"/>
          <w:spacing w:val="4"/>
          <w:w w:val="110"/>
          <w:sz w:val="11"/>
        </w:rPr>
        <w:t>LAMOTRIGINE</w:t>
      </w:r>
      <w:r>
        <w:rPr>
          <w:color w:val="231F1F"/>
          <w:spacing w:val="4"/>
          <w:w w:val="110"/>
          <w:sz w:val="12"/>
        </w:rPr>
        <w:t>, </w:t>
      </w:r>
      <w:r>
        <w:rPr>
          <w:rFonts w:ascii="Calibri"/>
          <w:color w:val="008356"/>
          <w:spacing w:val="4"/>
          <w:w w:val="110"/>
          <w:sz w:val="11"/>
        </w:rPr>
        <w:t>TIAGABINE </w:t>
      </w:r>
      <w:r>
        <w:rPr>
          <w:color w:val="231F1F"/>
          <w:w w:val="110"/>
          <w:sz w:val="12"/>
        </w:rPr>
        <w:t>and </w:t>
      </w:r>
      <w:r>
        <w:rPr>
          <w:rFonts w:ascii="Calibri"/>
          <w:color w:val="008356"/>
          <w:spacing w:val="4"/>
          <w:w w:val="110"/>
          <w:sz w:val="11"/>
        </w:rPr>
        <w:t>ZONISAMIDE</w:t>
      </w:r>
      <w:r>
        <w:rPr>
          <w:color w:val="231F1F"/>
          <w:spacing w:val="4"/>
          <w:w w:val="110"/>
          <w:sz w:val="12"/>
        </w:rPr>
        <w:t>; </w:t>
      </w:r>
      <w:r>
        <w:rPr>
          <w:color w:val="231F1F"/>
          <w:w w:val="110"/>
          <w:sz w:val="12"/>
        </w:rPr>
        <w:t>plasma concentration of phenobarbital increased by </w:t>
      </w:r>
      <w:r>
        <w:rPr>
          <w:rFonts w:ascii="Calibri"/>
          <w:color w:val="008356"/>
          <w:spacing w:val="4"/>
          <w:w w:val="110"/>
          <w:sz w:val="11"/>
        </w:rPr>
        <w:t>OXCARBAZEPINE</w:t>
      </w:r>
      <w:r>
        <w:rPr>
          <w:color w:val="231F1F"/>
          <w:spacing w:val="4"/>
          <w:w w:val="110"/>
          <w:sz w:val="12"/>
        </w:rPr>
        <w:t>, </w:t>
      </w:r>
      <w:r>
        <w:rPr>
          <w:color w:val="231F1F"/>
          <w:w w:val="110"/>
          <w:sz w:val="12"/>
        </w:rPr>
        <w:t>also plasma concentration of an active metabolite of oxcarbazepine reduced; plasma  concentration of phenobarbital increased by </w:t>
      </w:r>
      <w:r>
        <w:rPr>
          <w:rFonts w:ascii="Calibri"/>
          <w:color w:val="008356"/>
          <w:spacing w:val="4"/>
          <w:w w:val="110"/>
          <w:sz w:val="11"/>
        </w:rPr>
        <w:t>SODIUM </w:t>
      </w:r>
      <w:r>
        <w:rPr>
          <w:rFonts w:ascii="Calibri"/>
          <w:color w:val="008356"/>
          <w:spacing w:val="3"/>
          <w:w w:val="110"/>
          <w:sz w:val="11"/>
        </w:rPr>
        <w:t>VALPROATE </w:t>
      </w:r>
      <w:r>
        <w:rPr>
          <w:color w:val="231F1F"/>
          <w:w w:val="110"/>
          <w:sz w:val="12"/>
        </w:rPr>
        <w:t>and </w:t>
      </w:r>
      <w:r>
        <w:rPr>
          <w:rFonts w:ascii="Calibri"/>
          <w:color w:val="008356"/>
          <w:spacing w:val="3"/>
          <w:w w:val="110"/>
          <w:sz w:val="11"/>
        </w:rPr>
        <w:t>VALPROIC ACID </w:t>
      </w:r>
      <w:r>
        <w:rPr>
          <w:color w:val="231F1F"/>
          <w:w w:val="110"/>
          <w:sz w:val="12"/>
        </w:rPr>
        <w:t>(also plasma concentration of sodium valproate and valproic acid  reduced); plasma  concentration of phenobarbital increased by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STIRIPENTOL</w:t>
      </w:r>
    </w:p>
    <w:p>
      <w:pPr>
        <w:spacing w:before="0"/>
        <w:ind w:left="278" w:right="1000" w:hanging="100"/>
        <w:jc w:val="left"/>
        <w:rPr>
          <w:sz w:val="12"/>
        </w:rPr>
      </w:pPr>
      <w:r>
        <w:rPr>
          <w:rFonts w:ascii="Arial"/>
          <w:color w:val="231F1F"/>
          <w:w w:val="355"/>
          <w:position w:val="1"/>
          <w:sz w:val="7"/>
        </w:rPr>
        <w:t>l </w:t>
      </w:r>
      <w:r>
        <w:rPr>
          <w:rFonts w:ascii="Calibri"/>
          <w:color w:val="231F1F"/>
          <w:w w:val="110"/>
          <w:sz w:val="12"/>
        </w:rPr>
        <w:t>Antifungals: </w:t>
      </w:r>
      <w:r>
        <w:rPr>
          <w:color w:val="231F1F"/>
          <w:w w:val="110"/>
          <w:sz w:val="12"/>
        </w:rPr>
        <w:t>phenobarbital possibly reduces plasma concentration of </w:t>
      </w:r>
      <w:r>
        <w:rPr>
          <w:rFonts w:ascii="Calibri"/>
          <w:color w:val="008356"/>
          <w:spacing w:val="4"/>
          <w:w w:val="110"/>
          <w:sz w:val="11"/>
        </w:rPr>
        <w:t>ITRACONAZOLE </w:t>
      </w:r>
      <w:r>
        <w:rPr>
          <w:color w:val="231F1F"/>
          <w:w w:val="110"/>
          <w:sz w:val="12"/>
        </w:rPr>
        <w:t>and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POSACONAZOLE</w:t>
      </w:r>
      <w:r>
        <w:rPr>
          <w:color w:val="231F1F"/>
          <w:spacing w:val="4"/>
          <w:w w:val="110"/>
          <w:sz w:val="12"/>
        </w:rPr>
        <w:t>;</w:t>
      </w:r>
    </w:p>
    <w:p>
      <w:pPr>
        <w:spacing w:after="0"/>
        <w:jc w:val="left"/>
        <w:rPr>
          <w:sz w:val="12"/>
        </w:rPr>
        <w:sectPr>
          <w:pgSz w:w="8390" w:h="11910"/>
          <w:pgMar w:header="0" w:footer="0" w:top="460" w:bottom="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Phenobarbital</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0"/>
        </w:rPr>
        <w:t>Antifungals (continued)</w:t>
      </w:r>
    </w:p>
    <w:p>
      <w:pPr>
        <w:pStyle w:val="BodyText"/>
        <w:spacing w:line="244" w:lineRule="auto"/>
        <w:ind w:right="337"/>
        <w:jc w:val="both"/>
      </w:pPr>
      <w:r>
        <w:rPr>
          <w:color w:val="231F1F"/>
          <w:w w:val="110"/>
        </w:rPr>
        <w:t>phenobarbital possibly reduces plasma concentration </w:t>
      </w:r>
      <w:r>
        <w:rPr>
          <w:color w:val="231F1F"/>
          <w:spacing w:val="-7"/>
          <w:w w:val="110"/>
        </w:rPr>
        <w:t>of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VORICONAZOLE</w:t>
      </w:r>
      <w:r>
        <w:rPr>
          <w:rFonts w:ascii="Arial" w:hAnsi="Arial"/>
          <w:color w:val="231F1F"/>
          <w:spacing w:val="3"/>
          <w:w w:val="110"/>
        </w:rPr>
        <w:t>—</w:t>
      </w:r>
      <w:r>
        <w:rPr>
          <w:color w:val="231F1F"/>
          <w:spacing w:val="3"/>
          <w:w w:val="110"/>
        </w:rPr>
        <w:t>avoid</w:t>
      </w:r>
      <w:r>
        <w:rPr>
          <w:color w:val="231F1F"/>
          <w:spacing w:val="-5"/>
          <w:w w:val="110"/>
        </w:rPr>
        <w:t> </w:t>
      </w:r>
      <w:r>
        <w:rPr>
          <w:color w:val="231F1F"/>
          <w:w w:val="110"/>
        </w:rPr>
        <w:t>concomitant</w:t>
      </w:r>
      <w:r>
        <w:rPr>
          <w:color w:val="231F1F"/>
          <w:spacing w:val="-6"/>
          <w:w w:val="110"/>
        </w:rPr>
        <w:t> </w:t>
      </w:r>
      <w:r>
        <w:rPr>
          <w:color w:val="231F1F"/>
          <w:w w:val="110"/>
        </w:rPr>
        <w:t>use;</w:t>
      </w:r>
      <w:r>
        <w:rPr>
          <w:color w:val="231F1F"/>
          <w:spacing w:val="-6"/>
          <w:w w:val="110"/>
        </w:rPr>
        <w:t> </w:t>
      </w:r>
      <w:r>
        <w:rPr>
          <w:color w:val="231F1F"/>
          <w:w w:val="110"/>
        </w:rPr>
        <w:t>phenobarbital reduces absorption of </w:t>
      </w:r>
      <w:r>
        <w:rPr>
          <w:rFonts w:ascii="Calibri" w:hAnsi="Calibri"/>
          <w:color w:val="008356"/>
          <w:spacing w:val="3"/>
          <w:w w:val="110"/>
          <w:sz w:val="11"/>
        </w:rPr>
        <w:t>GRISEOFULVIN </w:t>
      </w:r>
      <w:r>
        <w:rPr>
          <w:color w:val="231F1F"/>
          <w:w w:val="110"/>
        </w:rPr>
        <w:t>(reduced</w:t>
      </w:r>
      <w:r>
        <w:rPr>
          <w:color w:val="231F1F"/>
          <w:spacing w:val="-3"/>
          <w:w w:val="110"/>
        </w:rPr>
        <w:t> </w:t>
      </w:r>
      <w:r>
        <w:rPr>
          <w:color w:val="231F1F"/>
          <w:w w:val="110"/>
        </w:rPr>
        <w:t>effect)</w:t>
      </w:r>
    </w:p>
    <w:p>
      <w:pPr>
        <w:spacing w:line="240" w:lineRule="auto" w:before="0"/>
        <w:ind w:left="208" w:right="24"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phenobarbital advised by manufacturer</w:t>
      </w:r>
      <w:r>
        <w:rPr>
          <w:color w:val="231F1F"/>
          <w:spacing w:val="-18"/>
          <w:w w:val="110"/>
          <w:sz w:val="12"/>
        </w:rPr>
        <w:t> </w:t>
      </w:r>
      <w:r>
        <w:rPr>
          <w:color w:val="231F1F"/>
          <w:w w:val="110"/>
          <w:sz w:val="12"/>
        </w:rPr>
        <w:t>of</w:t>
      </w:r>
      <w:r>
        <w:rPr>
          <w:color w:val="231F1F"/>
          <w:spacing w:val="-19"/>
          <w:w w:val="110"/>
          <w:sz w:val="12"/>
        </w:rPr>
        <w:t> </w:t>
      </w:r>
      <w:r>
        <w:rPr>
          <w:rFonts w:ascii="Calibri"/>
          <w:color w:val="008356"/>
          <w:spacing w:val="4"/>
          <w:w w:val="110"/>
          <w:sz w:val="11"/>
        </w:rPr>
        <w:t>ARTENIMOL</w:t>
      </w:r>
      <w:r>
        <w:rPr>
          <w:rFonts w:ascii="Calibri"/>
          <w:color w:val="008356"/>
          <w:spacing w:val="-14"/>
          <w:w w:val="110"/>
          <w:sz w:val="11"/>
        </w:rPr>
        <w:t> </w:t>
      </w:r>
      <w:r>
        <w:rPr>
          <w:rFonts w:ascii="Calibri"/>
          <w:color w:val="008356"/>
          <w:spacing w:val="4"/>
          <w:w w:val="110"/>
          <w:sz w:val="11"/>
        </w:rPr>
        <w:t>WITH</w:t>
      </w:r>
      <w:r>
        <w:rPr>
          <w:rFonts w:ascii="Calibri"/>
          <w:color w:val="008356"/>
          <w:spacing w:val="-12"/>
          <w:w w:val="110"/>
          <w:sz w:val="11"/>
        </w:rPr>
        <w:t> </w:t>
      </w:r>
      <w:r>
        <w:rPr>
          <w:rFonts w:ascii="Calibri"/>
          <w:color w:val="008356"/>
          <w:spacing w:val="4"/>
          <w:w w:val="110"/>
          <w:sz w:val="11"/>
        </w:rPr>
        <w:t>PIPERAQUINE</w:t>
      </w:r>
      <w:r>
        <w:rPr>
          <w:color w:val="231F1F"/>
          <w:spacing w:val="4"/>
          <w:w w:val="110"/>
          <w:sz w:val="12"/>
        </w:rPr>
        <w:t>;</w:t>
      </w:r>
      <w:r>
        <w:rPr>
          <w:color w:val="231F1F"/>
          <w:spacing w:val="-19"/>
          <w:w w:val="110"/>
          <w:sz w:val="12"/>
        </w:rPr>
        <w:t> </w:t>
      </w:r>
      <w:r>
        <w:rPr>
          <w:color w:val="231F1F"/>
          <w:w w:val="110"/>
          <w:sz w:val="12"/>
        </w:rPr>
        <w:t>anticonvulsant effect of antiepileptics antagonised by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MEFLOQUINE</w:t>
      </w:r>
    </w:p>
    <w:p>
      <w:pPr>
        <w:pStyle w:val="BodyText"/>
        <w:spacing w:line="244" w:lineRule="auto"/>
        <w:ind w:right="110" w:hanging="100"/>
      </w:pPr>
      <w:r>
        <w:rPr>
          <w:rFonts w:ascii="Arial" w:hAnsi="Arial"/>
          <w:color w:val="231F1F"/>
          <w:w w:val="355"/>
          <w:position w:val="1"/>
          <w:sz w:val="7"/>
        </w:rPr>
        <w:t>l </w:t>
      </w:r>
      <w:r>
        <w:rPr>
          <w:rFonts w:ascii="Calibri" w:hAnsi="Calibri"/>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Calibri" w:hAnsi="Calibri"/>
          <w:color w:val="008356"/>
          <w:w w:val="110"/>
          <w:sz w:val="11"/>
        </w:rPr>
        <w:t>ANTIPSYCHOTICS </w:t>
      </w:r>
      <w:r>
        <w:rPr>
          <w:color w:val="231F1F"/>
          <w:w w:val="110"/>
        </w:rPr>
        <w:t>(convulsive threshold lowered); phenobarbital accelerates metabolism of </w:t>
      </w:r>
      <w:r>
        <w:rPr>
          <w:rFonts w:ascii="Calibri" w:hAnsi="Calibri"/>
          <w:color w:val="008356"/>
          <w:w w:val="110"/>
          <w:sz w:val="11"/>
        </w:rPr>
        <w:t>HALOPERIDOL </w:t>
      </w:r>
      <w:r>
        <w:rPr>
          <w:color w:val="231F1F"/>
          <w:w w:val="110"/>
        </w:rPr>
        <w:t>(reduced plasma concentration); plasma concentration of both drugs reduced when phenobarbital given with </w:t>
      </w:r>
      <w:r>
        <w:rPr>
          <w:rFonts w:ascii="Calibri" w:hAnsi="Calibri"/>
          <w:color w:val="008356"/>
          <w:w w:val="110"/>
          <w:sz w:val="11"/>
        </w:rPr>
        <w:t>CHLORPROMAZINE</w:t>
      </w:r>
      <w:r>
        <w:rPr>
          <w:color w:val="231F1F"/>
          <w:w w:val="110"/>
        </w:rPr>
        <w:t>; phenobarbital possibly reduces plasma concentration of </w:t>
      </w:r>
      <w:r>
        <w:rPr>
          <w:rFonts w:ascii="Arial" w:hAnsi="Arial"/>
          <w:color w:val="231F1F"/>
          <w:w w:val="355"/>
          <w:position w:val="1"/>
          <w:sz w:val="7"/>
        </w:rPr>
        <w:t>l </w:t>
      </w:r>
      <w:r>
        <w:rPr>
          <w:rFonts w:ascii="Calibri" w:hAnsi="Calibri"/>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phenobarbital possibly reduces plasma concentration of </w:t>
      </w:r>
      <w:r>
        <w:rPr>
          <w:rFonts w:ascii="Calibri" w:hAnsi="Calibri"/>
          <w:color w:val="008356"/>
          <w:w w:val="110"/>
          <w:sz w:val="11"/>
        </w:rPr>
        <w:t>CLOZAPINE</w:t>
      </w:r>
      <w:r>
        <w:rPr>
          <w:color w:val="231F1F"/>
          <w:w w:val="110"/>
        </w:rPr>
        <w:t>; phenobarbital possibly reduces plasma concentration of </w:t>
      </w:r>
      <w:r>
        <w:rPr>
          <w:rFonts w:ascii="Arial" w:hAnsi="Arial"/>
          <w:color w:val="231F1F"/>
          <w:w w:val="355"/>
          <w:position w:val="1"/>
          <w:sz w:val="7"/>
        </w:rPr>
        <w:t>l </w:t>
      </w:r>
      <w:r>
        <w:rPr>
          <w:rFonts w:ascii="Calibri" w:hAnsi="Calibri"/>
          <w:color w:val="008356"/>
          <w:w w:val="110"/>
          <w:sz w:val="11"/>
        </w:rPr>
        <w:t>LURASIDONE</w:t>
      </w:r>
      <w:r>
        <w:rPr>
          <w:rFonts w:ascii="Arial" w:hAnsi="Arial"/>
          <w:color w:val="231F1F"/>
          <w:w w:val="110"/>
        </w:rPr>
        <w:t>— </w:t>
      </w:r>
      <w:r>
        <w:rPr>
          <w:color w:val="231F1F"/>
          <w:w w:val="110"/>
        </w:rPr>
        <w:t>avoid concomitant use</w:t>
      </w:r>
    </w:p>
    <w:p>
      <w:pPr>
        <w:spacing w:line="240" w:lineRule="auto" w:before="0"/>
        <w:ind w:left="208" w:right="356"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phenobarbital possibly reduces plasma </w:t>
      </w:r>
      <w:r>
        <w:rPr>
          <w:color w:val="231F1F"/>
          <w:w w:val="105"/>
          <w:sz w:val="12"/>
        </w:rPr>
        <w:t>concentration of </w:t>
      </w:r>
      <w:r>
        <w:rPr>
          <w:rFonts w:ascii="Calibri"/>
          <w:color w:val="008356"/>
          <w:spacing w:val="3"/>
          <w:w w:val="105"/>
          <w:sz w:val="11"/>
        </w:rPr>
        <w:t>ABACAVIR</w:t>
      </w:r>
      <w:r>
        <w:rPr>
          <w:color w:val="231F1F"/>
          <w:spacing w:val="3"/>
          <w:w w:val="105"/>
          <w:sz w:val="12"/>
        </w:rPr>
        <w:t>, </w:t>
      </w:r>
      <w:r>
        <w:rPr>
          <w:rFonts w:ascii="Calibri"/>
          <w:color w:val="008356"/>
          <w:spacing w:val="4"/>
          <w:w w:val="105"/>
          <w:sz w:val="11"/>
        </w:rPr>
        <w:t>DARUNAVIR</w:t>
      </w:r>
      <w:r>
        <w:rPr>
          <w:color w:val="231F1F"/>
          <w:spacing w:val="4"/>
          <w:w w:val="105"/>
          <w:sz w:val="12"/>
        </w:rPr>
        <w:t>,</w:t>
      </w:r>
      <w:r>
        <w:rPr>
          <w:color w:val="231F1F"/>
          <w:spacing w:val="-13"/>
          <w:w w:val="105"/>
          <w:sz w:val="12"/>
        </w:rPr>
        <w:t> </w:t>
      </w:r>
      <w:r>
        <w:rPr>
          <w:rFonts w:ascii="Calibri"/>
          <w:color w:val="008356"/>
          <w:spacing w:val="4"/>
          <w:w w:val="105"/>
          <w:sz w:val="11"/>
        </w:rPr>
        <w:t>FOSAMPRENAVIR</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INDINAVIR</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0"/>
          <w:sz w:val="11"/>
        </w:rPr>
        <w:t>LOPINAVIR</w:t>
      </w:r>
      <w:r>
        <w:rPr>
          <w:rFonts w:ascii="Calibri"/>
          <w:color w:val="008356"/>
          <w:spacing w:val="-8"/>
          <w:w w:val="110"/>
          <w:sz w:val="11"/>
        </w:rPr>
        <w:t> </w:t>
      </w:r>
      <w:r>
        <w:rPr>
          <w:color w:val="231F1F"/>
          <w:w w:val="110"/>
          <w:sz w:val="12"/>
        </w:rPr>
        <w:t>and</w:t>
      </w:r>
      <w:r>
        <w:rPr>
          <w:color w:val="231F1F"/>
          <w:spacing w:val="-15"/>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SAQUINAVIR</w:t>
      </w:r>
      <w:r>
        <w:rPr>
          <w:color w:val="231F1F"/>
          <w:spacing w:val="4"/>
          <w:w w:val="110"/>
          <w:sz w:val="12"/>
        </w:rPr>
        <w:t>;</w:t>
      </w:r>
      <w:r>
        <w:rPr>
          <w:color w:val="231F1F"/>
          <w:spacing w:val="-16"/>
          <w:w w:val="110"/>
          <w:sz w:val="12"/>
        </w:rPr>
        <w:t> </w:t>
      </w:r>
      <w:r>
        <w:rPr>
          <w:color w:val="231F1F"/>
          <w:w w:val="110"/>
          <w:sz w:val="12"/>
        </w:rPr>
        <w:t>avoidance</w:t>
      </w:r>
      <w:r>
        <w:rPr>
          <w:color w:val="231F1F"/>
          <w:spacing w:val="-17"/>
          <w:w w:val="110"/>
          <w:sz w:val="12"/>
        </w:rPr>
        <w:t> </w:t>
      </w:r>
      <w:r>
        <w:rPr>
          <w:color w:val="231F1F"/>
          <w:w w:val="110"/>
          <w:sz w:val="12"/>
        </w:rPr>
        <w:t>of</w:t>
      </w:r>
    </w:p>
    <w:p>
      <w:pPr>
        <w:spacing w:line="244" w:lineRule="auto" w:before="0"/>
        <w:ind w:left="208" w:right="101" w:hanging="1"/>
        <w:jc w:val="left"/>
        <w:rPr>
          <w:rFonts w:ascii="Calibri" w:hAnsi="Calibri"/>
          <w:sz w:val="11"/>
        </w:rPr>
      </w:pPr>
      <w:r>
        <w:rPr>
          <w:color w:val="231F1F"/>
          <w:w w:val="110"/>
          <w:sz w:val="12"/>
        </w:rPr>
        <w:t>phenobarbital advised by manufacturer of </w:t>
      </w:r>
      <w:r>
        <w:rPr>
          <w:rFonts w:ascii="Arial" w:hAnsi="Arial"/>
          <w:color w:val="231F1F"/>
          <w:w w:val="355"/>
          <w:position w:val="1"/>
          <w:sz w:val="7"/>
        </w:rPr>
        <w:t>l </w:t>
      </w:r>
      <w:r>
        <w:rPr>
          <w:rFonts w:ascii="Calibri" w:hAnsi="Calibri"/>
          <w:color w:val="008356"/>
          <w:spacing w:val="4"/>
          <w:w w:val="110"/>
          <w:sz w:val="11"/>
        </w:rPr>
        <w:t>BOCEPREVIR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RILPIVIRINE </w:t>
      </w:r>
      <w:r>
        <w:rPr>
          <w:color w:val="231F1F"/>
          <w:w w:val="110"/>
          <w:sz w:val="12"/>
        </w:rPr>
        <w:t>(plasma concentration of boceprevir and rilpivirine possibly reduced); phenobarbital possibly reduces plasma</w:t>
      </w:r>
      <w:r>
        <w:rPr>
          <w:color w:val="231F1F"/>
          <w:spacing w:val="-8"/>
          <w:w w:val="110"/>
          <w:sz w:val="12"/>
        </w:rPr>
        <w:t> </w:t>
      </w:r>
      <w:r>
        <w:rPr>
          <w:color w:val="231F1F"/>
          <w:w w:val="110"/>
          <w:sz w:val="12"/>
        </w:rPr>
        <w:t>concentration</w:t>
      </w:r>
      <w:r>
        <w:rPr>
          <w:color w:val="231F1F"/>
          <w:spacing w:val="-7"/>
          <w:w w:val="110"/>
          <w:sz w:val="12"/>
        </w:rPr>
        <w:t> </w:t>
      </w:r>
      <w:r>
        <w:rPr>
          <w:color w:val="231F1F"/>
          <w:w w:val="110"/>
          <w:sz w:val="12"/>
        </w:rPr>
        <w:t>of</w:t>
      </w:r>
      <w:r>
        <w:rPr>
          <w:color w:val="231F1F"/>
          <w:spacing w:val="-5"/>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3"/>
          <w:w w:val="110"/>
          <w:sz w:val="11"/>
        </w:rPr>
        <w:t>DACLATASVIR</w:t>
      </w:r>
      <w:r>
        <w:rPr>
          <w:rFonts w:ascii="Calibri" w:hAnsi="Calibri"/>
          <w:color w:val="008356"/>
          <w:spacing w:val="5"/>
          <w:w w:val="110"/>
          <w:sz w:val="11"/>
        </w:rPr>
        <w:t> </w:t>
      </w:r>
      <w:r>
        <w:rPr>
          <w:color w:val="231F1F"/>
          <w:w w:val="110"/>
          <w:sz w:val="12"/>
        </w:rPr>
        <w:t>and</w:t>
      </w:r>
      <w:r>
        <w:rPr>
          <w:color w:val="231F1F"/>
          <w:spacing w:val="-6"/>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SIMEPREVIR</w:t>
      </w:r>
      <w:r>
        <w:rPr>
          <w:rFonts w:ascii="Arial" w:hAnsi="Arial"/>
          <w:color w:val="231F1F"/>
          <w:spacing w:val="4"/>
          <w:w w:val="110"/>
          <w:sz w:val="12"/>
        </w:rPr>
        <w:t>— </w:t>
      </w:r>
      <w:r>
        <w:rPr>
          <w:color w:val="231F1F"/>
          <w:w w:val="110"/>
          <w:sz w:val="12"/>
        </w:rPr>
        <w:t>manufacturer of daclatasvir and simeprevir advises avoid concomitant use; avoidance of phenobarbital advised by manufacturer</w:t>
      </w:r>
      <w:r>
        <w:rPr>
          <w:color w:val="231F1F"/>
          <w:spacing w:val="-19"/>
          <w:w w:val="110"/>
          <w:sz w:val="12"/>
        </w:rPr>
        <w:t> </w:t>
      </w:r>
      <w:r>
        <w:rPr>
          <w:color w:val="231F1F"/>
          <w:w w:val="110"/>
          <w:sz w:val="12"/>
        </w:rPr>
        <w:t>of</w:t>
      </w:r>
      <w:r>
        <w:rPr>
          <w:color w:val="231F1F"/>
          <w:spacing w:val="-20"/>
          <w:w w:val="110"/>
          <w:sz w:val="12"/>
        </w:rPr>
        <w:t> </w:t>
      </w:r>
      <w:r>
        <w:rPr>
          <w:rFonts w:ascii="Calibri" w:hAnsi="Calibri"/>
          <w:color w:val="008356"/>
          <w:spacing w:val="4"/>
          <w:w w:val="110"/>
          <w:sz w:val="11"/>
        </w:rPr>
        <w:t>DOLUTEGRAVIR</w:t>
      </w:r>
      <w:r>
        <w:rPr>
          <w:color w:val="231F1F"/>
          <w:spacing w:val="4"/>
          <w:w w:val="110"/>
          <w:sz w:val="12"/>
        </w:rPr>
        <w:t>,</w:t>
      </w:r>
      <w:r>
        <w:rPr>
          <w:color w:val="231F1F"/>
          <w:spacing w:val="-19"/>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0"/>
          <w:sz w:val="11"/>
        </w:rPr>
        <w:t>ELVITEGRAVIR</w:t>
      </w:r>
      <w:r>
        <w:rPr>
          <w:color w:val="231F1F"/>
          <w:spacing w:val="3"/>
          <w:w w:val="110"/>
          <w:sz w:val="12"/>
        </w:rPr>
        <w:t>,</w:t>
      </w:r>
      <w:r>
        <w:rPr>
          <w:color w:val="231F1F"/>
          <w:spacing w:val="-19"/>
          <w:w w:val="110"/>
          <w:sz w:val="12"/>
        </w:rPr>
        <w:t> </w:t>
      </w:r>
      <w:r>
        <w:rPr>
          <w:rFonts w:ascii="Calibri" w:hAnsi="Calibri"/>
          <w:color w:val="008356"/>
          <w:spacing w:val="4"/>
          <w:w w:val="110"/>
          <w:sz w:val="11"/>
        </w:rPr>
        <w:t>ETRAVIRINE</w:t>
      </w:r>
      <w:r>
        <w:rPr>
          <w:color w:val="231F1F"/>
          <w:spacing w:val="4"/>
          <w:w w:val="110"/>
          <w:sz w:val="12"/>
        </w:rPr>
        <w:t>, </w:t>
      </w:r>
      <w:r>
        <w:rPr>
          <w:rFonts w:ascii="Calibri" w:hAnsi="Calibri"/>
          <w:color w:val="008356"/>
          <w:spacing w:val="4"/>
          <w:w w:val="110"/>
          <w:sz w:val="11"/>
        </w:rPr>
        <w:t>SOFOSBUVIR </w:t>
      </w:r>
      <w:r>
        <w:rPr>
          <w:color w:val="231F1F"/>
          <w:w w:val="110"/>
          <w:sz w:val="12"/>
        </w:rPr>
        <w:t>and </w:t>
      </w: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5"/>
          <w:w w:val="110"/>
          <w:sz w:val="11"/>
        </w:rPr>
        <w:t>TELAPREVIR</w:t>
      </w:r>
    </w:p>
    <w:p>
      <w:pPr>
        <w:spacing w:line="242" w:lineRule="auto" w:before="0"/>
        <w:ind w:left="208" w:right="12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phenobarbital given with </w:t>
      </w:r>
      <w:r>
        <w:rPr>
          <w:rFonts w:ascii="Calibri" w:hAnsi="Calibri"/>
          <w:color w:val="008356"/>
          <w:w w:val="105"/>
          <w:sz w:val="11"/>
        </w:rPr>
        <w:t>ANXIOLYTICS AND HYPNOTICS</w:t>
      </w:r>
      <w:r>
        <w:rPr>
          <w:color w:val="231F1F"/>
          <w:w w:val="105"/>
          <w:sz w:val="12"/>
        </w:rPr>
        <w:t>; phenobarbital often reduces plasma concentration of </w:t>
      </w:r>
      <w:r>
        <w:rPr>
          <w:rFonts w:ascii="Calibri" w:hAnsi="Calibri"/>
          <w:color w:val="008356"/>
          <w:w w:val="105"/>
          <w:sz w:val="11"/>
        </w:rPr>
        <w:t>CLONAZEPAM</w:t>
      </w:r>
    </w:p>
    <w:p>
      <w:pPr>
        <w:pStyle w:val="BodyText"/>
        <w:spacing w:line="220" w:lineRule="auto"/>
        <w:ind w:right="234"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phenobarbital possibly reduces plasma concentration of </w:t>
      </w:r>
      <w:r>
        <w:rPr>
          <w:rFonts w:ascii="Calibri" w:hAnsi="Calibri"/>
          <w:color w:val="008356"/>
          <w:w w:val="105"/>
          <w:sz w:val="11"/>
        </w:rPr>
        <w:t>APREPITANT</w:t>
      </w:r>
    </w:p>
    <w:p>
      <w:pPr>
        <w:pStyle w:val="BodyText"/>
        <w:spacing w:line="230" w:lineRule="auto" w:before="3"/>
        <w:ind w:right="90" w:hanging="100"/>
      </w:pPr>
      <w:r>
        <w:rPr>
          <w:rFonts w:ascii="Lucida Sans Unicode" w:hAnsi="Lucida Sans Unicode"/>
          <w:color w:val="A7A8AC"/>
          <w:w w:val="95"/>
          <w:sz w:val="10"/>
        </w:rPr>
        <w:t>▶  </w:t>
      </w:r>
      <w:r>
        <w:rPr>
          <w:rFonts w:ascii="Calibri" w:hAnsi="Calibri"/>
          <w:color w:val="231F1F"/>
          <w:w w:val="110"/>
        </w:rPr>
        <w:t>Avanafil: </w:t>
      </w:r>
      <w:r>
        <w:rPr>
          <w:color w:val="231F1F"/>
          <w:w w:val="110"/>
        </w:rPr>
        <w:t>phenobarbital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w:t>
      </w:r>
      <w:r>
        <w:rPr>
          <w:color w:val="231F1F"/>
          <w:spacing w:val="-5"/>
          <w:w w:val="110"/>
        </w:rPr>
        <w:t> </w:t>
      </w:r>
      <w:r>
        <w:rPr>
          <w:color w:val="231F1F"/>
          <w:w w:val="110"/>
        </w:rPr>
        <w:t>use</w:t>
      </w:r>
    </w:p>
    <w:p>
      <w:pPr>
        <w:pStyle w:val="BodyText"/>
        <w:spacing w:line="220" w:lineRule="auto" w:before="11"/>
        <w:ind w:right="4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phenobarbital possibly reduces plasma concentration of </w:t>
      </w:r>
      <w:r>
        <w:rPr>
          <w:rFonts w:ascii="Calibri" w:hAnsi="Calibri"/>
          <w:color w:val="008356"/>
          <w:w w:val="105"/>
          <w:sz w:val="11"/>
        </w:rPr>
        <w:t>PROPRANOLOL</w:t>
      </w:r>
    </w:p>
    <w:p>
      <w:pPr>
        <w:spacing w:line="220" w:lineRule="auto" w:before="9"/>
        <w:ind w:left="208" w:right="12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Caffeine citrate: </w:t>
      </w:r>
      <w:r>
        <w:rPr>
          <w:color w:val="231F1F"/>
          <w:w w:val="105"/>
          <w:sz w:val="12"/>
        </w:rPr>
        <w:t>effects of phenobarbital possibly antagonised  by </w:t>
      </w:r>
      <w:r>
        <w:rPr>
          <w:rFonts w:ascii="Calibri" w:hAnsi="Calibri"/>
          <w:color w:val="008356"/>
          <w:spacing w:val="4"/>
          <w:w w:val="105"/>
          <w:sz w:val="11"/>
        </w:rPr>
        <w:t>CAFFEINE</w:t>
      </w:r>
      <w:r>
        <w:rPr>
          <w:rFonts w:ascii="Calibri" w:hAnsi="Calibri"/>
          <w:color w:val="008356"/>
          <w:spacing w:val="5"/>
          <w:w w:val="105"/>
          <w:sz w:val="11"/>
        </w:rPr>
        <w:t> </w:t>
      </w:r>
      <w:r>
        <w:rPr>
          <w:rFonts w:ascii="Calibri" w:hAnsi="Calibri"/>
          <w:color w:val="008356"/>
          <w:spacing w:val="4"/>
          <w:w w:val="105"/>
          <w:sz w:val="11"/>
        </w:rPr>
        <w:t>CITRATE</w:t>
      </w:r>
    </w:p>
    <w:p>
      <w:pPr>
        <w:pStyle w:val="BodyText"/>
        <w:spacing w:line="242" w:lineRule="auto"/>
        <w:ind w:right="234" w:hanging="100"/>
      </w:pPr>
      <w:r>
        <w:rPr>
          <w:rFonts w:ascii="Arial"/>
          <w:color w:val="231F1F"/>
          <w:w w:val="355"/>
          <w:position w:val="1"/>
          <w:sz w:val="7"/>
        </w:rPr>
        <w:t>l </w:t>
      </w:r>
      <w:r>
        <w:rPr>
          <w:rFonts w:ascii="Calibri"/>
          <w:color w:val="231F1F"/>
          <w:w w:val="105"/>
        </w:rPr>
        <w:t>Calcium-channel Blockers: </w:t>
      </w:r>
      <w:r>
        <w:rPr>
          <w:color w:val="231F1F"/>
          <w:w w:val="105"/>
        </w:rPr>
        <w:t>phenobarbital probably reduces effects of </w:t>
      </w:r>
      <w:r>
        <w:rPr>
          <w:rFonts w:ascii="Arial"/>
          <w:color w:val="231F1F"/>
          <w:w w:val="355"/>
          <w:position w:val="1"/>
          <w:sz w:val="7"/>
        </w:rPr>
        <w:t>l </w:t>
      </w:r>
      <w:r>
        <w:rPr>
          <w:rFonts w:ascii="Calibri"/>
          <w:color w:val="008356"/>
          <w:w w:val="105"/>
          <w:sz w:val="11"/>
        </w:rPr>
        <w:t>CALCIUM-CHANNEL BLOCKERS</w:t>
      </w:r>
      <w:r>
        <w:rPr>
          <w:color w:val="231F1F"/>
          <w:w w:val="105"/>
        </w:rPr>
        <w:t>; avoidance of phenobarbital advised by manufacturer of </w:t>
      </w:r>
      <w:r>
        <w:rPr>
          <w:rFonts w:ascii="Calibri"/>
          <w:color w:val="008356"/>
          <w:w w:val="105"/>
          <w:sz w:val="11"/>
        </w:rPr>
        <w:t>ISRADIPINE</w:t>
      </w:r>
      <w:r>
        <w:rPr>
          <w:color w:val="231F1F"/>
          <w:w w:val="105"/>
        </w:rPr>
        <w:t>; avoidance of phenobarbital advised by manufacturer of</w:t>
      </w:r>
    </w:p>
    <w:p>
      <w:pPr>
        <w:spacing w:line="140" w:lineRule="exact" w:before="3"/>
        <w:ind w:left="208" w:right="0" w:firstLine="0"/>
        <w:jc w:val="left"/>
        <w:rPr>
          <w:sz w:val="12"/>
        </w:rPr>
      </w:pPr>
      <w:r>
        <w:rPr>
          <w:rFonts w:ascii="Arial"/>
          <w:color w:val="231F1F"/>
          <w:w w:val="355"/>
          <w:position w:val="1"/>
          <w:sz w:val="7"/>
        </w:rPr>
        <w:t>l </w:t>
      </w:r>
      <w:r>
        <w:rPr>
          <w:rFonts w:ascii="Calibri"/>
          <w:color w:val="008356"/>
          <w:w w:val="110"/>
          <w:sz w:val="11"/>
        </w:rPr>
        <w:t>NIMODIPINE </w:t>
      </w:r>
      <w:r>
        <w:rPr>
          <w:color w:val="231F1F"/>
          <w:w w:val="110"/>
          <w:sz w:val="12"/>
        </w:rPr>
        <w:t>(plasma concentration of nimodipine reduced)</w:t>
      </w:r>
    </w:p>
    <w:p>
      <w:pPr>
        <w:pStyle w:val="BodyText"/>
        <w:spacing w:line="242" w:lineRule="auto"/>
        <w:ind w:right="379" w:hanging="100"/>
        <w:jc w:val="both"/>
      </w:pPr>
      <w:r>
        <w:rPr>
          <w:rFonts w:ascii="Arial" w:hAnsi="Arial"/>
          <w:color w:val="231F1F"/>
          <w:w w:val="115"/>
          <w:position w:val="1"/>
          <w:sz w:val="7"/>
        </w:rPr>
        <w:t>l</w:t>
      </w:r>
      <w:r>
        <w:rPr>
          <w:rFonts w:ascii="Arial" w:hAnsi="Arial"/>
          <w:color w:val="231F1F"/>
          <w:spacing w:val="3"/>
          <w:w w:val="115"/>
          <w:position w:val="1"/>
          <w:sz w:val="7"/>
        </w:rPr>
        <w:t> </w:t>
      </w:r>
      <w:r>
        <w:rPr>
          <w:rFonts w:ascii="Calibri" w:hAnsi="Calibri"/>
          <w:color w:val="231F1F"/>
          <w:w w:val="115"/>
        </w:rPr>
        <w:t>Cannabis</w:t>
      </w:r>
      <w:r>
        <w:rPr>
          <w:rFonts w:ascii="Calibri" w:hAnsi="Calibri"/>
          <w:color w:val="231F1F"/>
          <w:spacing w:val="-12"/>
          <w:w w:val="115"/>
        </w:rPr>
        <w:t> </w:t>
      </w:r>
      <w:r>
        <w:rPr>
          <w:rFonts w:ascii="Calibri" w:hAnsi="Calibri"/>
          <w:color w:val="231F1F"/>
          <w:w w:val="115"/>
        </w:rPr>
        <w:t>Extract:</w:t>
      </w:r>
      <w:r>
        <w:rPr>
          <w:rFonts w:ascii="Calibri" w:hAnsi="Calibri"/>
          <w:color w:val="231F1F"/>
          <w:spacing w:val="-12"/>
          <w:w w:val="115"/>
        </w:rPr>
        <w:t> </w:t>
      </w:r>
      <w:r>
        <w:rPr>
          <w:color w:val="231F1F"/>
          <w:w w:val="115"/>
        </w:rPr>
        <w:t>phenobarbital</w:t>
      </w:r>
      <w:r>
        <w:rPr>
          <w:color w:val="231F1F"/>
          <w:spacing w:val="-16"/>
          <w:w w:val="115"/>
        </w:rPr>
        <w:t> </w:t>
      </w:r>
      <w:r>
        <w:rPr>
          <w:color w:val="231F1F"/>
          <w:w w:val="115"/>
        </w:rPr>
        <w:t>possibly</w:t>
      </w:r>
      <w:r>
        <w:rPr>
          <w:color w:val="231F1F"/>
          <w:spacing w:val="-14"/>
          <w:w w:val="115"/>
        </w:rPr>
        <w:t> </w:t>
      </w:r>
      <w:r>
        <w:rPr>
          <w:color w:val="231F1F"/>
          <w:w w:val="115"/>
        </w:rPr>
        <w:t>reduces</w:t>
      </w:r>
      <w:r>
        <w:rPr>
          <w:color w:val="231F1F"/>
          <w:spacing w:val="-16"/>
          <w:w w:val="115"/>
        </w:rPr>
        <w:t> </w:t>
      </w:r>
      <w:r>
        <w:rPr>
          <w:color w:val="231F1F"/>
          <w:spacing w:val="-3"/>
          <w:w w:val="115"/>
        </w:rPr>
        <w:t>plasma </w:t>
      </w:r>
      <w:r>
        <w:rPr>
          <w:color w:val="231F1F"/>
          <w:w w:val="115"/>
        </w:rPr>
        <w:t>concentration</w:t>
      </w:r>
      <w:r>
        <w:rPr>
          <w:color w:val="231F1F"/>
          <w:spacing w:val="-18"/>
          <w:w w:val="115"/>
        </w:rPr>
        <w:t> </w:t>
      </w:r>
      <w:r>
        <w:rPr>
          <w:color w:val="231F1F"/>
          <w:w w:val="115"/>
        </w:rPr>
        <w:t>of</w:t>
      </w:r>
      <w:r>
        <w:rPr>
          <w:color w:val="231F1F"/>
          <w:spacing w:val="-17"/>
          <w:w w:val="115"/>
        </w:rPr>
        <w:t> </w:t>
      </w: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spacing w:val="4"/>
          <w:w w:val="115"/>
          <w:sz w:val="11"/>
        </w:rPr>
        <w:t>CANNABIS</w:t>
      </w:r>
      <w:r>
        <w:rPr>
          <w:rFonts w:ascii="Calibri" w:hAnsi="Calibri"/>
          <w:color w:val="008356"/>
          <w:spacing w:val="-11"/>
          <w:w w:val="115"/>
          <w:sz w:val="11"/>
        </w:rPr>
        <w:t> </w:t>
      </w:r>
      <w:r>
        <w:rPr>
          <w:rFonts w:ascii="Calibri" w:hAnsi="Calibri"/>
          <w:color w:val="008356"/>
          <w:w w:val="115"/>
          <w:sz w:val="11"/>
        </w:rPr>
        <w:t>EXTRACT</w:t>
      </w:r>
      <w:r>
        <w:rPr>
          <w:rFonts w:ascii="Arial" w:hAnsi="Arial"/>
          <w:color w:val="231F1F"/>
          <w:w w:val="115"/>
        </w:rPr>
        <w:t>—</w:t>
      </w:r>
      <w:r>
        <w:rPr>
          <w:color w:val="231F1F"/>
          <w:w w:val="115"/>
        </w:rPr>
        <w:t>manufacturer</w:t>
      </w:r>
      <w:r>
        <w:rPr>
          <w:color w:val="231F1F"/>
          <w:spacing w:val="-18"/>
          <w:w w:val="115"/>
        </w:rPr>
        <w:t> </w:t>
      </w:r>
      <w:r>
        <w:rPr>
          <w:color w:val="231F1F"/>
          <w:w w:val="115"/>
        </w:rPr>
        <w:t>of </w:t>
      </w:r>
      <w:r>
        <w:rPr>
          <w:color w:val="231F1F"/>
          <w:w w:val="120"/>
        </w:rPr>
        <w:t>cannabis</w:t>
      </w:r>
      <w:r>
        <w:rPr>
          <w:color w:val="231F1F"/>
          <w:spacing w:val="-13"/>
          <w:w w:val="120"/>
        </w:rPr>
        <w:t> </w:t>
      </w:r>
      <w:r>
        <w:rPr>
          <w:color w:val="231F1F"/>
          <w:w w:val="120"/>
        </w:rPr>
        <w:t>extract</w:t>
      </w:r>
      <w:r>
        <w:rPr>
          <w:color w:val="231F1F"/>
          <w:spacing w:val="-11"/>
          <w:w w:val="120"/>
        </w:rPr>
        <w:t> </w:t>
      </w:r>
      <w:r>
        <w:rPr>
          <w:color w:val="231F1F"/>
          <w:w w:val="120"/>
        </w:rPr>
        <w:t>advises</w:t>
      </w:r>
      <w:r>
        <w:rPr>
          <w:color w:val="231F1F"/>
          <w:spacing w:val="-11"/>
          <w:w w:val="120"/>
        </w:rPr>
        <w:t> </w:t>
      </w:r>
      <w:r>
        <w:rPr>
          <w:color w:val="231F1F"/>
          <w:w w:val="120"/>
        </w:rPr>
        <w:t>avoid</w:t>
      </w:r>
      <w:r>
        <w:rPr>
          <w:color w:val="231F1F"/>
          <w:spacing w:val="-11"/>
          <w:w w:val="120"/>
        </w:rPr>
        <w:t> </w:t>
      </w:r>
      <w:r>
        <w:rPr>
          <w:color w:val="231F1F"/>
          <w:w w:val="120"/>
        </w:rPr>
        <w:t>concomitant</w:t>
      </w:r>
      <w:r>
        <w:rPr>
          <w:color w:val="231F1F"/>
          <w:spacing w:val="-12"/>
          <w:w w:val="120"/>
        </w:rPr>
        <w:t> </w:t>
      </w:r>
      <w:r>
        <w:rPr>
          <w:color w:val="231F1F"/>
          <w:w w:val="120"/>
        </w:rPr>
        <w:t>use</w:t>
      </w:r>
    </w:p>
    <w:p>
      <w:pPr>
        <w:pStyle w:val="BodyText"/>
        <w:spacing w:line="144" w:lineRule="exact"/>
        <w:ind w:left="108"/>
        <w:jc w:val="both"/>
      </w:pPr>
      <w:r>
        <w:rPr>
          <w:rFonts w:ascii="Arial"/>
          <w:color w:val="231F1F"/>
          <w:w w:val="355"/>
          <w:position w:val="1"/>
          <w:sz w:val="7"/>
        </w:rPr>
        <w:t>l </w:t>
      </w:r>
      <w:r>
        <w:rPr>
          <w:rFonts w:ascii="Calibri"/>
          <w:color w:val="231F1F"/>
          <w:w w:val="115"/>
        </w:rPr>
        <w:t>Ciclosporin: </w:t>
      </w:r>
      <w:r>
        <w:rPr>
          <w:color w:val="231F1F"/>
          <w:w w:val="115"/>
        </w:rPr>
        <w:t>phenobarbital accelerates metabolism of</w:t>
      </w:r>
    </w:p>
    <w:p>
      <w:pPr>
        <w:spacing w:line="140" w:lineRule="exact" w:before="0"/>
        <w:ind w:left="208" w:right="0" w:firstLine="0"/>
        <w:jc w:val="both"/>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ind w:right="40" w:hanging="100"/>
      </w:pPr>
      <w:r>
        <w:rPr>
          <w:rFonts w:ascii="Arial" w:hAnsi="Arial"/>
          <w:color w:val="231F1F"/>
          <w:w w:val="355"/>
          <w:position w:val="1"/>
          <w:sz w:val="7"/>
        </w:rPr>
        <w:t>l </w:t>
      </w:r>
      <w:r>
        <w:rPr>
          <w:rFonts w:ascii="Calibri" w:hAnsi="Calibri"/>
          <w:color w:val="231F1F"/>
          <w:w w:val="120"/>
        </w:rPr>
        <w:t>Cobicistat: </w:t>
      </w:r>
      <w:r>
        <w:rPr>
          <w:color w:val="231F1F"/>
          <w:w w:val="120"/>
        </w:rPr>
        <w:t>phenobarbital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w:t>
      </w:r>
      <w:r>
        <w:rPr>
          <w:color w:val="231F1F"/>
          <w:w w:val="120"/>
        </w:rPr>
        <w:t>advises avoid concomitant use</w:t>
      </w:r>
    </w:p>
    <w:p>
      <w:pPr>
        <w:pStyle w:val="BodyText"/>
        <w:spacing w:line="146" w:lineRule="exact"/>
        <w:ind w:left="108"/>
      </w:pPr>
      <w:r>
        <w:rPr>
          <w:rFonts w:ascii="Arial"/>
          <w:color w:val="231F1F"/>
          <w:w w:val="355"/>
          <w:position w:val="1"/>
          <w:sz w:val="7"/>
        </w:rPr>
        <w:t>l </w:t>
      </w:r>
      <w:r>
        <w:rPr>
          <w:rFonts w:ascii="Calibri"/>
          <w:color w:val="231F1F"/>
          <w:w w:val="110"/>
        </w:rPr>
        <w:t>Corticosteroids: </w:t>
      </w:r>
      <w:r>
        <w:rPr>
          <w:color w:val="231F1F"/>
          <w:w w:val="110"/>
        </w:rPr>
        <w:t>phenobarbital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pStyle w:val="BodyText"/>
        <w:spacing w:line="244" w:lineRule="auto"/>
        <w:ind w:hanging="100"/>
      </w:pPr>
      <w:r>
        <w:rPr>
          <w:rFonts w:ascii="Arial" w:hAnsi="Arial"/>
          <w:color w:val="231F1F"/>
          <w:w w:val="355"/>
          <w:position w:val="1"/>
          <w:sz w:val="7"/>
        </w:rPr>
        <w:t>l </w:t>
      </w:r>
      <w:r>
        <w:rPr>
          <w:rFonts w:ascii="Calibri" w:hAnsi="Calibri"/>
          <w:color w:val="231F1F"/>
          <w:w w:val="115"/>
        </w:rPr>
        <w:t>Cytotoxics: </w:t>
      </w:r>
      <w:r>
        <w:rPr>
          <w:color w:val="231F1F"/>
          <w:w w:val="115"/>
        </w:rPr>
        <w:t>phenobarbital possibly decreases plasma concentration of </w:t>
      </w:r>
      <w:r>
        <w:rPr>
          <w:rFonts w:ascii="Calibri" w:hAnsi="Calibri"/>
          <w:color w:val="008356"/>
          <w:w w:val="115"/>
          <w:sz w:val="11"/>
        </w:rPr>
        <w:t>AXITINIB </w:t>
      </w:r>
      <w:r>
        <w:rPr>
          <w:color w:val="231F1F"/>
          <w:w w:val="115"/>
        </w:rPr>
        <w:t>(increase dose of axitinib</w:t>
      </w:r>
      <w:r>
        <w:rPr>
          <w:rFonts w:ascii="Arial" w:hAnsi="Arial"/>
          <w:color w:val="231F1F"/>
          <w:w w:val="115"/>
        </w:rPr>
        <w:t>—</w:t>
      </w:r>
      <w:r>
        <w:rPr>
          <w:color w:val="231F1F"/>
          <w:w w:val="115"/>
        </w:rPr>
        <w:t>consult axitinib product literature); phenobarbital possibly reduces </w:t>
      </w:r>
      <w:r>
        <w:rPr>
          <w:color w:val="231F1F"/>
          <w:w w:val="110"/>
        </w:rPr>
        <w:t>plasma concentration of </w:t>
      </w:r>
      <w:r>
        <w:rPr>
          <w:rFonts w:ascii="Calibri" w:hAnsi="Calibri"/>
          <w:color w:val="008356"/>
          <w:w w:val="110"/>
          <w:sz w:val="11"/>
        </w:rPr>
        <w:t>BORTEZOMIB</w:t>
      </w:r>
      <w:r>
        <w:rPr>
          <w:color w:val="231F1F"/>
          <w:w w:val="110"/>
        </w:rPr>
        <w:t>, </w:t>
      </w:r>
      <w:r>
        <w:rPr>
          <w:rFonts w:ascii="Arial" w:hAnsi="Arial"/>
          <w:color w:val="231F1F"/>
          <w:w w:val="110"/>
          <w:position w:val="1"/>
          <w:sz w:val="7"/>
        </w:rPr>
        <w:t>l </w:t>
      </w:r>
      <w:r>
        <w:rPr>
          <w:rFonts w:ascii="Calibri" w:hAnsi="Calibri"/>
          <w:color w:val="008356"/>
          <w:w w:val="110"/>
          <w:sz w:val="11"/>
        </w:rPr>
        <w:t>BOSUTINIB</w:t>
      </w:r>
      <w:r>
        <w:rPr>
          <w:color w:val="231F1F"/>
          <w:w w:val="110"/>
        </w:rPr>
        <w:t>, </w:t>
      </w:r>
      <w:r>
        <w:rPr>
          <w:rFonts w:ascii="Calibri" w:hAnsi="Calibri"/>
          <w:color w:val="008356"/>
          <w:w w:val="110"/>
          <w:sz w:val="11"/>
        </w:rPr>
        <w:t>CRIZOTINIB </w:t>
      </w:r>
      <w:r>
        <w:rPr>
          <w:color w:val="231F1F"/>
          <w:w w:val="115"/>
        </w:rPr>
        <w:t>and </w:t>
      </w:r>
      <w:r>
        <w:rPr>
          <w:rFonts w:ascii="Calibri" w:hAnsi="Calibri"/>
          <w:color w:val="008356"/>
          <w:w w:val="115"/>
          <w:sz w:val="11"/>
        </w:rPr>
        <w:t>PONATINIB</w:t>
      </w:r>
      <w:r>
        <w:rPr>
          <w:rFonts w:ascii="Arial" w:hAnsi="Arial"/>
          <w:color w:val="231F1F"/>
          <w:w w:val="115"/>
        </w:rPr>
        <w:t>—</w:t>
      </w:r>
      <w:r>
        <w:rPr>
          <w:color w:val="231F1F"/>
          <w:w w:val="115"/>
        </w:rPr>
        <w:t>manufacturer of bortezomib, bosutinib, crizotinib and ponatinib advises avoid concomitant use; phenobarbital possibly reduces plasma concentration of</w:t>
      </w:r>
    </w:p>
    <w:p>
      <w:pPr>
        <w:pStyle w:val="BodyText"/>
        <w:spacing w:line="244" w:lineRule="auto"/>
        <w:ind w:right="82"/>
      </w:pPr>
      <w:r>
        <w:rPr>
          <w:rFonts w:ascii="Arial" w:hAnsi="Arial"/>
          <w:color w:val="231F1F"/>
          <w:w w:val="355"/>
          <w:position w:val="1"/>
          <w:sz w:val="7"/>
        </w:rPr>
        <w:t>l </w:t>
      </w:r>
      <w:r>
        <w:rPr>
          <w:rFonts w:ascii="Calibri" w:hAnsi="Calibri"/>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phenobarbital advised by manufacturer of </w:t>
      </w:r>
      <w:r>
        <w:rPr>
          <w:rFonts w:ascii="Arial" w:hAnsi="Arial"/>
          <w:color w:val="231F1F"/>
          <w:w w:val="355"/>
          <w:position w:val="1"/>
          <w:sz w:val="7"/>
        </w:rPr>
        <w:t>l </w:t>
      </w:r>
      <w:r>
        <w:rPr>
          <w:rFonts w:ascii="Calibri" w:hAnsi="Calibri"/>
          <w:color w:val="008356"/>
          <w:spacing w:val="4"/>
          <w:w w:val="110"/>
          <w:sz w:val="11"/>
        </w:rPr>
        <w:t>CABAZITAXEL</w:t>
      </w:r>
      <w:r>
        <w:rPr>
          <w:color w:val="231F1F"/>
          <w:spacing w:val="4"/>
          <w:w w:val="110"/>
        </w:rPr>
        <w:t>, </w:t>
      </w:r>
      <w:r>
        <w:rPr>
          <w:rFonts w:ascii="Calibri" w:hAnsi="Calibri"/>
          <w:color w:val="008356"/>
          <w:spacing w:val="4"/>
          <w:w w:val="110"/>
          <w:sz w:val="11"/>
        </w:rPr>
        <w:t>DABRAFENIB </w:t>
      </w:r>
      <w:r>
        <w:rPr>
          <w:color w:val="231F1F"/>
          <w:w w:val="110"/>
        </w:rPr>
        <w:t>and </w:t>
      </w:r>
      <w:r>
        <w:rPr>
          <w:rFonts w:ascii="Calibri" w:hAnsi="Calibri"/>
          <w:color w:val="008356"/>
          <w:spacing w:val="4"/>
          <w:w w:val="110"/>
          <w:sz w:val="11"/>
        </w:rPr>
        <w:t>GEFITINIB</w:t>
      </w:r>
      <w:r>
        <w:rPr>
          <w:color w:val="231F1F"/>
          <w:spacing w:val="4"/>
          <w:w w:val="110"/>
        </w:rPr>
        <w:t>; </w:t>
      </w:r>
      <w:r>
        <w:rPr>
          <w:color w:val="231F1F"/>
          <w:w w:val="110"/>
        </w:rPr>
        <w:t>avoidance of phenobarbital advised by manufacturer of </w:t>
      </w:r>
      <w:r>
        <w:rPr>
          <w:rFonts w:ascii="Calibri" w:hAnsi="Calibri"/>
          <w:color w:val="008356"/>
          <w:spacing w:val="3"/>
          <w:w w:val="110"/>
          <w:sz w:val="11"/>
        </w:rPr>
        <w:t>DASATINIB </w:t>
      </w:r>
      <w:r>
        <w:rPr>
          <w:color w:val="231F1F"/>
          <w:w w:val="110"/>
        </w:rPr>
        <w:t>and </w:t>
      </w:r>
      <w:r>
        <w:rPr>
          <w:rFonts w:ascii="Calibri" w:hAnsi="Calibri"/>
          <w:color w:val="008356"/>
          <w:spacing w:val="3"/>
          <w:w w:val="110"/>
          <w:sz w:val="11"/>
        </w:rPr>
        <w:t>VANDETANIB </w:t>
      </w:r>
      <w:r>
        <w:rPr>
          <w:color w:val="231F1F"/>
          <w:w w:val="110"/>
        </w:rPr>
        <w:t>(plasma concentration of dasatinib and vandetanib possibly reduced); phenobarbital possibly reduces plasma concentration of </w:t>
      </w:r>
      <w:r>
        <w:rPr>
          <w:rFonts w:ascii="Calibri" w:hAnsi="Calibri"/>
          <w:color w:val="008356"/>
          <w:spacing w:val="4"/>
          <w:w w:val="110"/>
          <w:sz w:val="11"/>
        </w:rPr>
        <w:t>ETOPOSIDE</w:t>
      </w:r>
      <w:r>
        <w:rPr>
          <w:color w:val="231F1F"/>
          <w:spacing w:val="4"/>
          <w:w w:val="110"/>
        </w:rPr>
        <w:t>; </w:t>
      </w:r>
      <w:r>
        <w:rPr>
          <w:color w:val="231F1F"/>
          <w:w w:val="110"/>
        </w:rPr>
        <w:t>phenobarbital reduces plasma concentration of </w:t>
      </w:r>
      <w:r>
        <w:rPr>
          <w:rFonts w:ascii="Calibri" w:hAnsi="Calibri"/>
          <w:color w:val="008356"/>
          <w:spacing w:val="4"/>
          <w:w w:val="110"/>
          <w:sz w:val="11"/>
        </w:rPr>
        <w:t>IRINOTECAN </w:t>
      </w:r>
      <w:r>
        <w:rPr>
          <w:color w:val="231F1F"/>
          <w:w w:val="110"/>
        </w:rPr>
        <w:t>and its active metabolite; manufacturer</w:t>
      </w:r>
      <w:r>
        <w:rPr>
          <w:color w:val="231F1F"/>
          <w:spacing w:val="14"/>
          <w:w w:val="110"/>
        </w:rPr>
        <w:t> </w:t>
      </w:r>
      <w:r>
        <w:rPr>
          <w:color w:val="231F1F"/>
          <w:w w:val="110"/>
        </w:rPr>
        <w:t>of</w:t>
      </w:r>
      <w:r>
        <w:rPr>
          <w:color w:val="231F1F"/>
          <w:spacing w:val="13"/>
          <w:w w:val="110"/>
        </w:rPr>
        <w:t> </w:t>
      </w:r>
      <w:r>
        <w:rPr>
          <w:color w:val="231F1F"/>
          <w:w w:val="110"/>
        </w:rPr>
        <w:t>procarbazine</w:t>
      </w:r>
      <w:r>
        <w:rPr>
          <w:color w:val="231F1F"/>
          <w:spacing w:val="11"/>
          <w:w w:val="110"/>
        </w:rPr>
        <w:t> </w:t>
      </w:r>
      <w:r>
        <w:rPr>
          <w:color w:val="231F1F"/>
          <w:w w:val="110"/>
        </w:rPr>
        <w:t>advises</w:t>
      </w:r>
      <w:r>
        <w:rPr>
          <w:color w:val="231F1F"/>
          <w:spacing w:val="13"/>
          <w:w w:val="110"/>
        </w:rPr>
        <w:t> </w:t>
      </w:r>
      <w:r>
        <w:rPr>
          <w:color w:val="231F1F"/>
          <w:w w:val="110"/>
        </w:rPr>
        <w:t>possible</w:t>
      </w:r>
      <w:r>
        <w:rPr>
          <w:color w:val="231F1F"/>
          <w:spacing w:val="13"/>
          <w:w w:val="110"/>
        </w:rPr>
        <w:t> </w:t>
      </w:r>
      <w:r>
        <w:rPr>
          <w:color w:val="231F1F"/>
          <w:w w:val="110"/>
        </w:rPr>
        <w:t>increased</w:t>
      </w:r>
      <w:r>
        <w:rPr>
          <w:color w:val="231F1F"/>
          <w:spacing w:val="12"/>
          <w:w w:val="110"/>
        </w:rPr>
        <w:t> </w:t>
      </w:r>
      <w:r>
        <w:rPr>
          <w:color w:val="231F1F"/>
          <w:spacing w:val="-4"/>
          <w:w w:val="110"/>
        </w:rPr>
        <w:t>risk</w:t>
      </w:r>
    </w:p>
    <w:p>
      <w:pPr>
        <w:pStyle w:val="BodyText"/>
        <w:spacing w:before="8"/>
        <w:ind w:left="0"/>
        <w:rPr>
          <w:sz w:val="14"/>
        </w:rPr>
      </w:pPr>
      <w:r>
        <w:rPr/>
        <w:br w:type="column"/>
      </w:r>
      <w:r>
        <w:rPr>
          <w:sz w:val="14"/>
        </w:rPr>
      </w:r>
    </w:p>
    <w:p>
      <w:pPr>
        <w:pStyle w:val="BodyText"/>
        <w:spacing w:before="1"/>
        <w:ind w:left="109"/>
        <w:rPr>
          <w:rFonts w:ascii="Arial"/>
        </w:rPr>
      </w:pPr>
      <w:r>
        <w:rPr>
          <w:rFonts w:ascii="Arial"/>
          <w:color w:val="008356"/>
        </w:rPr>
        <w:t>Phenobarbital</w:t>
      </w:r>
    </w:p>
    <w:p>
      <w:pPr>
        <w:pStyle w:val="BodyText"/>
        <w:spacing w:line="146" w:lineRule="exact" w:before="4"/>
        <w:ind w:left="109"/>
        <w:rPr>
          <w:rFonts w:ascii="Calibri"/>
        </w:rPr>
      </w:pPr>
      <w:r>
        <w:rPr/>
        <w:pict>
          <v:rect style="position:absolute;margin-left:398.891296pt;margin-top:-8.430091pt;width:20.522993pt;height:149.443pt;mso-position-horizontal-relative:page;mso-position-vertical-relative:paragraph;z-index:5440" filled="true" fillcolor="#bfdbcf" stroked="false">
            <v:fill type="solid"/>
            <w10:wrap type="none"/>
          </v:rect>
        </w:pict>
      </w:r>
      <w:r>
        <w:rPr/>
        <w:pict>
          <v:shape style="position:absolute;margin-left:399.725769pt;margin-top:-3.466702pt;width:10.4pt;height:78.850pt;mso-position-horizontal-relative:page;mso-position-vertical-relative:paragraph;z-index:546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Cytotoxics (continued)</w:t>
      </w:r>
    </w:p>
    <w:p>
      <w:pPr>
        <w:pStyle w:val="BodyText"/>
        <w:spacing w:line="137" w:lineRule="exact"/>
      </w:pPr>
      <w:r>
        <w:rPr>
          <w:color w:val="231F1F"/>
          <w:w w:val="115"/>
        </w:rPr>
        <w:t>of hypersensitivity reactions when phenobarbital given with</w:t>
      </w:r>
    </w:p>
    <w:p>
      <w:pPr>
        <w:spacing w:line="133" w:lineRule="exact" w:before="13"/>
        <w:ind w:left="208" w:right="0" w:firstLine="0"/>
        <w:jc w:val="left"/>
        <w:rPr>
          <w:rFonts w:ascii="Calibri"/>
          <w:sz w:val="11"/>
        </w:rPr>
      </w:pPr>
      <w:r>
        <w:rPr>
          <w:rFonts w:ascii="Calibri"/>
          <w:color w:val="008356"/>
          <w:sz w:val="11"/>
        </w:rPr>
        <w:t>PROCARBAZINE</w:t>
      </w:r>
    </w:p>
    <w:p>
      <w:pPr>
        <w:spacing w:line="244" w:lineRule="auto" w:before="0"/>
        <w:ind w:left="208" w:right="948" w:hanging="100"/>
        <w:jc w:val="left"/>
        <w:rPr>
          <w:rFonts w:ascii="Calibri" w:hAnsi="Calibri"/>
          <w:sz w:val="11"/>
        </w:rPr>
      </w:pPr>
      <w:r>
        <w:rPr>
          <w:rFonts w:ascii="Arial" w:hAnsi="Arial"/>
          <w:color w:val="231F1F"/>
          <w:w w:val="355"/>
          <w:position w:val="1"/>
          <w:sz w:val="7"/>
        </w:rPr>
        <w:t>l</w:t>
      </w:r>
      <w:r>
        <w:rPr>
          <w:rFonts w:ascii="Arial" w:hAnsi="Arial"/>
          <w:color w:val="231F1F"/>
          <w:spacing w:val="-39"/>
          <w:w w:val="355"/>
          <w:position w:val="1"/>
          <w:sz w:val="7"/>
        </w:rPr>
        <w:t> </w:t>
      </w:r>
      <w:r>
        <w:rPr>
          <w:rFonts w:ascii="Calibri" w:hAnsi="Calibri"/>
          <w:color w:val="231F1F"/>
          <w:w w:val="115"/>
          <w:sz w:val="12"/>
        </w:rPr>
        <w:t>Diuretics:</w:t>
      </w:r>
      <w:r>
        <w:rPr>
          <w:rFonts w:ascii="Calibri" w:hAnsi="Calibri"/>
          <w:color w:val="231F1F"/>
          <w:spacing w:val="-8"/>
          <w:w w:val="115"/>
          <w:sz w:val="12"/>
        </w:rPr>
        <w:t> </w:t>
      </w:r>
      <w:r>
        <w:rPr>
          <w:color w:val="231F1F"/>
          <w:w w:val="115"/>
          <w:sz w:val="12"/>
        </w:rPr>
        <w:t>phenobarbital</w:t>
      </w:r>
      <w:r>
        <w:rPr>
          <w:color w:val="231F1F"/>
          <w:spacing w:val="-11"/>
          <w:w w:val="115"/>
          <w:sz w:val="12"/>
        </w:rPr>
        <w:t> </w:t>
      </w:r>
      <w:r>
        <w:rPr>
          <w:color w:val="231F1F"/>
          <w:w w:val="115"/>
          <w:sz w:val="12"/>
        </w:rPr>
        <w:t>reduces</w:t>
      </w:r>
      <w:r>
        <w:rPr>
          <w:color w:val="231F1F"/>
          <w:spacing w:val="-11"/>
          <w:w w:val="115"/>
          <w:sz w:val="12"/>
        </w:rPr>
        <w:t> </w:t>
      </w:r>
      <w:r>
        <w:rPr>
          <w:color w:val="231F1F"/>
          <w:w w:val="115"/>
          <w:sz w:val="12"/>
        </w:rPr>
        <w:t>plasma</w:t>
      </w:r>
      <w:r>
        <w:rPr>
          <w:color w:val="231F1F"/>
          <w:spacing w:val="-11"/>
          <w:w w:val="115"/>
          <w:sz w:val="12"/>
        </w:rPr>
        <w:t> </w:t>
      </w:r>
      <w:r>
        <w:rPr>
          <w:color w:val="231F1F"/>
          <w:w w:val="115"/>
          <w:sz w:val="12"/>
        </w:rPr>
        <w:t>concentration</w:t>
      </w:r>
      <w:r>
        <w:rPr>
          <w:color w:val="231F1F"/>
          <w:spacing w:val="-11"/>
          <w:w w:val="115"/>
          <w:sz w:val="12"/>
        </w:rPr>
        <w:t> </w:t>
      </w:r>
      <w:r>
        <w:rPr>
          <w:color w:val="231F1F"/>
          <w:spacing w:val="-7"/>
          <w:w w:val="115"/>
          <w:sz w:val="12"/>
        </w:rPr>
        <w:t>of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w:t>
      </w:r>
      <w:r>
        <w:rPr>
          <w:color w:val="231F1F"/>
          <w:spacing w:val="-21"/>
          <w:w w:val="115"/>
          <w:sz w:val="12"/>
        </w:rPr>
        <w:t> </w:t>
      </w:r>
      <w:r>
        <w:rPr>
          <w:color w:val="231F1F"/>
          <w:w w:val="115"/>
          <w:sz w:val="12"/>
        </w:rPr>
        <w:t>concomitant</w:t>
      </w:r>
      <w:r>
        <w:rPr>
          <w:color w:val="231F1F"/>
          <w:spacing w:val="-22"/>
          <w:w w:val="115"/>
          <w:sz w:val="12"/>
        </w:rPr>
        <w:t> </w:t>
      </w:r>
      <w:r>
        <w:rPr>
          <w:color w:val="231F1F"/>
          <w:w w:val="115"/>
          <w:sz w:val="12"/>
        </w:rPr>
        <w:t>use;</w:t>
      </w:r>
      <w:r>
        <w:rPr>
          <w:color w:val="231F1F"/>
          <w:spacing w:val="-21"/>
          <w:w w:val="115"/>
          <w:sz w:val="12"/>
        </w:rPr>
        <w:t> </w:t>
      </w:r>
      <w:r>
        <w:rPr>
          <w:color w:val="231F1F"/>
          <w:w w:val="115"/>
          <w:sz w:val="12"/>
        </w:rPr>
        <w:t>increased</w:t>
      </w:r>
      <w:r>
        <w:rPr>
          <w:color w:val="231F1F"/>
          <w:spacing w:val="-21"/>
          <w:w w:val="115"/>
          <w:sz w:val="12"/>
        </w:rPr>
        <w:t> </w:t>
      </w:r>
      <w:r>
        <w:rPr>
          <w:color w:val="231F1F"/>
          <w:w w:val="115"/>
          <w:sz w:val="12"/>
        </w:rPr>
        <w:t>risk</w:t>
      </w:r>
      <w:r>
        <w:rPr>
          <w:color w:val="231F1F"/>
          <w:spacing w:val="-21"/>
          <w:w w:val="115"/>
          <w:sz w:val="12"/>
        </w:rPr>
        <w:t> </w:t>
      </w:r>
      <w:r>
        <w:rPr>
          <w:color w:val="231F1F"/>
          <w:w w:val="115"/>
          <w:sz w:val="12"/>
        </w:rPr>
        <w:t>of osteomalacia</w:t>
      </w:r>
      <w:r>
        <w:rPr>
          <w:color w:val="231F1F"/>
          <w:spacing w:val="-17"/>
          <w:w w:val="115"/>
          <w:sz w:val="12"/>
        </w:rPr>
        <w:t> </w:t>
      </w:r>
      <w:r>
        <w:rPr>
          <w:color w:val="231F1F"/>
          <w:w w:val="115"/>
          <w:sz w:val="12"/>
        </w:rPr>
        <w:t>when</w:t>
      </w:r>
      <w:r>
        <w:rPr>
          <w:color w:val="231F1F"/>
          <w:spacing w:val="-16"/>
          <w:w w:val="115"/>
          <w:sz w:val="12"/>
        </w:rPr>
        <w:t> </w:t>
      </w:r>
      <w:r>
        <w:rPr>
          <w:color w:val="231F1F"/>
          <w:w w:val="115"/>
          <w:sz w:val="12"/>
        </w:rPr>
        <w:t>phenobarbital</w:t>
      </w:r>
      <w:r>
        <w:rPr>
          <w:color w:val="231F1F"/>
          <w:spacing w:val="-15"/>
          <w:w w:val="115"/>
          <w:sz w:val="12"/>
        </w:rPr>
        <w:t> </w:t>
      </w:r>
      <w:r>
        <w:rPr>
          <w:color w:val="231F1F"/>
          <w:w w:val="115"/>
          <w:sz w:val="12"/>
        </w:rPr>
        <w:t>given</w:t>
      </w:r>
      <w:r>
        <w:rPr>
          <w:color w:val="231F1F"/>
          <w:spacing w:val="-16"/>
          <w:w w:val="115"/>
          <w:sz w:val="12"/>
        </w:rPr>
        <w:t> </w:t>
      </w:r>
      <w:r>
        <w:rPr>
          <w:color w:val="231F1F"/>
          <w:w w:val="115"/>
          <w:sz w:val="12"/>
        </w:rPr>
        <w:t>with</w:t>
      </w:r>
      <w:r>
        <w:rPr>
          <w:color w:val="231F1F"/>
          <w:spacing w:val="-15"/>
          <w:w w:val="115"/>
          <w:sz w:val="12"/>
        </w:rPr>
        <w:t> </w:t>
      </w:r>
      <w:r>
        <w:rPr>
          <w:rFonts w:ascii="Calibri" w:hAnsi="Calibri"/>
          <w:color w:val="008356"/>
          <w:spacing w:val="5"/>
          <w:w w:val="115"/>
          <w:sz w:val="11"/>
        </w:rPr>
        <w:t>CARBONIC </w:t>
      </w:r>
      <w:r>
        <w:rPr>
          <w:rFonts w:ascii="Calibri" w:hAnsi="Calibri"/>
          <w:color w:val="008356"/>
          <w:spacing w:val="4"/>
          <w:w w:val="115"/>
          <w:sz w:val="11"/>
        </w:rPr>
        <w:t>ANHYDRASE</w:t>
      </w:r>
      <w:r>
        <w:rPr>
          <w:rFonts w:ascii="Calibri" w:hAnsi="Calibri"/>
          <w:color w:val="008356"/>
          <w:spacing w:val="1"/>
          <w:w w:val="115"/>
          <w:sz w:val="11"/>
        </w:rPr>
        <w:t> </w:t>
      </w:r>
      <w:r>
        <w:rPr>
          <w:rFonts w:ascii="Calibri" w:hAnsi="Calibri"/>
          <w:color w:val="008356"/>
          <w:spacing w:val="4"/>
          <w:w w:val="115"/>
          <w:sz w:val="11"/>
        </w:rPr>
        <w:t>INHIBITORS</w:t>
      </w:r>
    </w:p>
    <w:p>
      <w:pPr>
        <w:pStyle w:val="BodyText"/>
        <w:spacing w:line="220" w:lineRule="auto" w:before="4"/>
        <w:ind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plasma concentration of phenobarbital possibly reduced by </w:t>
      </w:r>
      <w:r>
        <w:rPr>
          <w:rFonts w:ascii="Calibri" w:hAnsi="Calibri"/>
          <w:color w:val="008356"/>
          <w:w w:val="105"/>
          <w:sz w:val="11"/>
        </w:rPr>
        <w:t>FOLATES</w:t>
      </w:r>
    </w:p>
    <w:p>
      <w:pPr>
        <w:pStyle w:val="BodyText"/>
        <w:spacing w:line="220" w:lineRule="auto" w:before="8"/>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phenobarbital possibly reduces plasma concentration of </w:t>
      </w:r>
      <w:r>
        <w:rPr>
          <w:rFonts w:ascii="Calibri" w:hAnsi="Calibri"/>
          <w:color w:val="008356"/>
          <w:w w:val="105"/>
          <w:sz w:val="11"/>
        </w:rPr>
        <w:t>FOSAPREPITANT</w:t>
      </w:r>
    </w:p>
    <w:p>
      <w:pPr>
        <w:pStyle w:val="BodyText"/>
        <w:spacing w:line="242" w:lineRule="auto"/>
        <w:ind w:right="761" w:hanging="100"/>
      </w:pPr>
      <w:r>
        <w:rPr>
          <w:rFonts w:ascii="Arial" w:hAnsi="Arial"/>
          <w:color w:val="231F1F"/>
          <w:w w:val="255"/>
          <w:position w:val="1"/>
          <w:sz w:val="7"/>
        </w:rPr>
        <w:t>l</w:t>
      </w:r>
      <w:r>
        <w:rPr>
          <w:rFonts w:ascii="Arial" w:hAnsi="Arial"/>
          <w:color w:val="231F1F"/>
          <w:spacing w:val="-37"/>
          <w:w w:val="255"/>
          <w:position w:val="1"/>
          <w:sz w:val="7"/>
        </w:rPr>
        <w:t> </w:t>
      </w:r>
      <w:r>
        <w:rPr>
          <w:rFonts w:ascii="Calibri" w:hAnsi="Calibri"/>
          <w:color w:val="231F1F"/>
          <w:w w:val="115"/>
        </w:rPr>
        <w:t>Hormone</w:t>
      </w:r>
      <w:r>
        <w:rPr>
          <w:rFonts w:ascii="Calibri" w:hAnsi="Calibri"/>
          <w:color w:val="231F1F"/>
          <w:spacing w:val="-21"/>
          <w:w w:val="115"/>
        </w:rPr>
        <w:t> </w:t>
      </w:r>
      <w:r>
        <w:rPr>
          <w:rFonts w:ascii="Calibri" w:hAnsi="Calibri"/>
          <w:color w:val="231F1F"/>
          <w:w w:val="115"/>
        </w:rPr>
        <w:t>Antagonists:</w:t>
      </w:r>
      <w:r>
        <w:rPr>
          <w:rFonts w:ascii="Calibri" w:hAnsi="Calibri"/>
          <w:color w:val="231F1F"/>
          <w:spacing w:val="-21"/>
          <w:w w:val="115"/>
        </w:rPr>
        <w:t> </w:t>
      </w:r>
      <w:r>
        <w:rPr>
          <w:color w:val="231F1F"/>
          <w:w w:val="115"/>
        </w:rPr>
        <w:t>phenobarbital</w:t>
      </w:r>
      <w:r>
        <w:rPr>
          <w:color w:val="231F1F"/>
          <w:spacing w:val="-23"/>
          <w:w w:val="115"/>
        </w:rPr>
        <w:t> </w:t>
      </w:r>
      <w:r>
        <w:rPr>
          <w:color w:val="231F1F"/>
          <w:w w:val="115"/>
        </w:rPr>
        <w:t>possibly</w:t>
      </w:r>
      <w:r>
        <w:rPr>
          <w:color w:val="231F1F"/>
          <w:spacing w:val="-24"/>
          <w:w w:val="115"/>
        </w:rPr>
        <w:t> </w:t>
      </w:r>
      <w:r>
        <w:rPr>
          <w:color w:val="231F1F"/>
          <w:w w:val="115"/>
        </w:rPr>
        <w:t>reduces</w:t>
      </w:r>
      <w:r>
        <w:rPr>
          <w:color w:val="231F1F"/>
          <w:spacing w:val="-25"/>
          <w:w w:val="115"/>
        </w:rPr>
        <w:t> </w:t>
      </w:r>
      <w:r>
        <w:rPr>
          <w:color w:val="231F1F"/>
          <w:spacing w:val="-3"/>
          <w:w w:val="115"/>
        </w:rPr>
        <w:t>plasma </w:t>
      </w:r>
      <w:r>
        <w:rPr>
          <w:color w:val="231F1F"/>
          <w:w w:val="115"/>
        </w:rPr>
        <w:t>concentration of </w:t>
      </w:r>
      <w:r>
        <w:rPr>
          <w:rFonts w:ascii="Arial" w:hAnsi="Arial"/>
          <w:color w:val="231F1F"/>
          <w:w w:val="355"/>
          <w:position w:val="1"/>
          <w:sz w:val="7"/>
        </w:rPr>
        <w:t>l </w:t>
      </w:r>
      <w:r>
        <w:rPr>
          <w:rFonts w:ascii="Calibri" w:hAnsi="Calibri"/>
          <w:color w:val="008356"/>
          <w:spacing w:val="2"/>
          <w:w w:val="115"/>
          <w:sz w:val="11"/>
        </w:rPr>
        <w:t>ABIRATERONE</w:t>
      </w:r>
      <w:r>
        <w:rPr>
          <w:rFonts w:ascii="Arial" w:hAnsi="Arial"/>
          <w:color w:val="231F1F"/>
          <w:spacing w:val="2"/>
          <w:w w:val="115"/>
        </w:rPr>
        <w:t>—</w:t>
      </w:r>
      <w:r>
        <w:rPr>
          <w:color w:val="231F1F"/>
          <w:spacing w:val="2"/>
          <w:w w:val="115"/>
        </w:rPr>
        <w:t>manufacturer </w:t>
      </w:r>
      <w:r>
        <w:rPr>
          <w:color w:val="231F1F"/>
          <w:w w:val="115"/>
        </w:rPr>
        <w:t>of abiraterone advises avoid concomitant use; phenobarbital accelerates metabolism of </w:t>
      </w:r>
      <w:r>
        <w:rPr>
          <w:rFonts w:ascii="Calibri" w:hAnsi="Calibri"/>
          <w:color w:val="008356"/>
          <w:spacing w:val="4"/>
          <w:w w:val="115"/>
          <w:sz w:val="11"/>
        </w:rPr>
        <w:t>TOREMIFENE </w:t>
      </w:r>
      <w:r>
        <w:rPr>
          <w:color w:val="231F1F"/>
          <w:w w:val="115"/>
        </w:rPr>
        <w:t>(reduced plasma concentration)</w:t>
      </w:r>
    </w:p>
    <w:p>
      <w:pPr>
        <w:pStyle w:val="BodyText"/>
        <w:spacing w:before="2"/>
        <w:ind w:right="605" w:hanging="100"/>
      </w:pPr>
      <w:r>
        <w:rPr>
          <w:rFonts w:ascii="Arial" w:hAnsi="Arial"/>
          <w:color w:val="231F1F"/>
          <w:w w:val="355"/>
          <w:position w:val="1"/>
          <w:sz w:val="7"/>
        </w:rPr>
        <w:t>l </w:t>
      </w:r>
      <w:r>
        <w:rPr>
          <w:rFonts w:ascii="Calibri" w:hAnsi="Calibri"/>
          <w:color w:val="231F1F"/>
          <w:w w:val="120"/>
        </w:rPr>
        <w:t>Ivacaftor: </w:t>
      </w:r>
      <w:r>
        <w:rPr>
          <w:color w:val="231F1F"/>
          <w:w w:val="120"/>
        </w:rPr>
        <w:t>phenobarbital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IVACAFTOR</w:t>
      </w:r>
      <w:r>
        <w:rPr>
          <w:rFonts w:ascii="Arial" w:hAnsi="Arial"/>
          <w:color w:val="231F1F"/>
          <w:w w:val="115"/>
        </w:rPr>
        <w:t>—</w:t>
      </w:r>
      <w:r>
        <w:rPr>
          <w:color w:val="231F1F"/>
          <w:w w:val="115"/>
        </w:rPr>
        <w:t>manufacturer of ivacaftor </w:t>
      </w:r>
      <w:r>
        <w:rPr>
          <w:color w:val="231F1F"/>
          <w:w w:val="120"/>
        </w:rPr>
        <w:t>advises avoid concomitant use</w:t>
      </w:r>
    </w:p>
    <w:p>
      <w:pPr>
        <w:pStyle w:val="BodyText"/>
        <w:spacing w:line="220" w:lineRule="auto" w:before="10"/>
        <w:ind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phenobarbital reduces plasma concentration of </w:t>
      </w:r>
      <w:r>
        <w:rPr>
          <w:rFonts w:ascii="Calibri" w:hAnsi="Calibri"/>
          <w:color w:val="008356"/>
          <w:w w:val="105"/>
          <w:sz w:val="11"/>
        </w:rPr>
        <w:t>MONTELUKAST</w:t>
      </w:r>
    </w:p>
    <w:p>
      <w:pPr>
        <w:pStyle w:val="BodyText"/>
        <w:spacing w:line="146" w:lineRule="exact" w:before="1"/>
        <w:ind w:left="109"/>
      </w:pPr>
      <w:r>
        <w:rPr>
          <w:rFonts w:ascii="Arial"/>
          <w:color w:val="231F1F"/>
          <w:w w:val="355"/>
          <w:position w:val="1"/>
          <w:sz w:val="7"/>
        </w:rPr>
        <w:t>l </w:t>
      </w:r>
      <w:r>
        <w:rPr>
          <w:rFonts w:ascii="Calibri"/>
          <w:color w:val="231F1F"/>
          <w:w w:val="115"/>
        </w:rPr>
        <w:t>Oestrogens: </w:t>
      </w:r>
      <w:r>
        <w:rPr>
          <w:color w:val="231F1F"/>
          <w:w w:val="115"/>
        </w:rPr>
        <w:t>phenobarbital accelerates metabolism of</w:t>
      </w:r>
    </w:p>
    <w:p>
      <w:pPr>
        <w:pStyle w:val="BodyText"/>
        <w:spacing w:line="244" w:lineRule="auto"/>
        <w:ind w:right="700"/>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right="115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09"/>
      </w:pPr>
      <w:r>
        <w:rPr>
          <w:rFonts w:ascii="Arial"/>
          <w:color w:val="231F1F"/>
          <w:w w:val="355"/>
          <w:position w:val="1"/>
          <w:sz w:val="7"/>
        </w:rPr>
        <w:t>l</w:t>
      </w:r>
      <w:r>
        <w:rPr>
          <w:rFonts w:ascii="Arial"/>
          <w:color w:val="231F1F"/>
          <w:spacing w:val="-54"/>
          <w:w w:val="355"/>
          <w:position w:val="1"/>
          <w:sz w:val="7"/>
        </w:rPr>
        <w:t> </w:t>
      </w:r>
      <w:r>
        <w:rPr>
          <w:rFonts w:ascii="Calibri"/>
          <w:color w:val="231F1F"/>
          <w:w w:val="115"/>
        </w:rPr>
        <w:t>Progestogens: </w:t>
      </w:r>
      <w:r>
        <w:rPr>
          <w:color w:val="231F1F"/>
          <w:w w:val="115"/>
        </w:rPr>
        <w:t>phenobarbital accelerates metabolism of</w:t>
      </w:r>
    </w:p>
    <w:p>
      <w:pPr>
        <w:pStyle w:val="BodyText"/>
        <w:spacing w:line="247" w:lineRule="auto"/>
        <w:ind w:right="683" w:hanging="1"/>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spacing w:val="4"/>
          <w:w w:val="115"/>
          <w:sz w:val="11"/>
        </w:rPr>
        <w:t>PROGESTOGENS</w:t>
      </w:r>
      <w:r>
        <w:rPr>
          <w:rFonts w:ascii="Calibri" w:hAnsi="Calibri"/>
          <w:color w:val="008356"/>
          <w:spacing w:val="-15"/>
          <w:w w:val="115"/>
          <w:sz w:val="11"/>
        </w:rPr>
        <w:t> </w:t>
      </w:r>
      <w:r>
        <w:rPr>
          <w:color w:val="231F1F"/>
          <w:w w:val="115"/>
        </w:rPr>
        <w:t>(reduced</w:t>
      </w:r>
      <w:r>
        <w:rPr>
          <w:color w:val="231F1F"/>
          <w:spacing w:val="-25"/>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pStyle w:val="BodyText"/>
        <w:spacing w:line="230" w:lineRule="auto" w:before="2"/>
        <w:ind w:right="605" w:hanging="100"/>
      </w:pPr>
      <w:r>
        <w:rPr>
          <w:rFonts w:ascii="Lucida Sans Unicode" w:hAnsi="Lucida Sans Unicode"/>
          <w:color w:val="A7A8AC"/>
          <w:w w:val="95"/>
          <w:sz w:val="10"/>
        </w:rPr>
        <w:t>▶ </w:t>
      </w:r>
      <w:r>
        <w:rPr>
          <w:rFonts w:ascii="Calibri" w:hAnsi="Calibri"/>
          <w:color w:val="231F1F"/>
          <w:w w:val="110"/>
        </w:rPr>
        <w:t>Roflumilast: </w:t>
      </w:r>
      <w:r>
        <w:rPr>
          <w:color w:val="231F1F"/>
          <w:w w:val="110"/>
        </w:rPr>
        <w:t>phenobarbital possibly inhibits effects of </w:t>
      </w:r>
      <w:r>
        <w:rPr>
          <w:rFonts w:ascii="Calibri" w:hAnsi="Calibri"/>
          <w:color w:val="008356"/>
          <w:w w:val="110"/>
          <w:sz w:val="11"/>
        </w:rPr>
        <w:t>ROFLUMILAST </w:t>
      </w:r>
      <w:r>
        <w:rPr>
          <w:color w:val="231F1F"/>
          <w:w w:val="110"/>
        </w:rPr>
        <w:t>(manufacturer of roflumilast advises avoid concomitant use)</w:t>
      </w:r>
    </w:p>
    <w:p>
      <w:pPr>
        <w:pStyle w:val="BodyText"/>
        <w:spacing w:line="220" w:lineRule="auto" w:before="11"/>
        <w:ind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Sodium Oxybate: </w:t>
      </w:r>
      <w:r>
        <w:rPr>
          <w:color w:val="231F1F"/>
          <w:w w:val="105"/>
        </w:rPr>
        <w:t>avoidance of phenobarbital advised by manufacturer of </w:t>
      </w:r>
      <w:r>
        <w:rPr>
          <w:rFonts w:ascii="Calibri" w:hAnsi="Calibri"/>
          <w:color w:val="008356"/>
          <w:w w:val="105"/>
          <w:sz w:val="11"/>
        </w:rPr>
        <w:t>SODIUM OXYBATE</w:t>
      </w:r>
    </w:p>
    <w:p>
      <w:pPr>
        <w:pStyle w:val="BodyText"/>
        <w:spacing w:line="220" w:lineRule="auto" w:before="9"/>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plasma concentration of phenobarbital possibly increased by </w:t>
      </w:r>
      <w:r>
        <w:rPr>
          <w:rFonts w:ascii="Calibri" w:hAnsi="Calibri"/>
          <w:color w:val="008356"/>
          <w:w w:val="105"/>
          <w:sz w:val="11"/>
        </w:rPr>
        <w:t>METHYLPHENIDATE</w:t>
      </w:r>
    </w:p>
    <w:p>
      <w:pPr>
        <w:pStyle w:val="BodyText"/>
        <w:spacing w:line="146" w:lineRule="exact"/>
        <w:ind w:left="109"/>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Tacrolimus: </w:t>
      </w:r>
      <w:r>
        <w:rPr>
          <w:color w:val="231F1F"/>
          <w:w w:val="115"/>
        </w:rPr>
        <w:t>phenobarbital reduces plasma concentration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145" w:lineRule="exact"/>
        <w:ind w:left="109"/>
      </w:pPr>
      <w:r>
        <w:rPr>
          <w:rFonts w:ascii="Arial"/>
          <w:color w:val="231F1F"/>
          <w:w w:val="355"/>
          <w:position w:val="1"/>
          <w:sz w:val="7"/>
        </w:rPr>
        <w:t>l </w:t>
      </w:r>
      <w:r>
        <w:rPr>
          <w:rFonts w:ascii="Calibri"/>
          <w:color w:val="231F1F"/>
          <w:w w:val="110"/>
        </w:rPr>
        <w:t>Theophylline: </w:t>
      </w:r>
      <w:r>
        <w:rPr>
          <w:color w:val="231F1F"/>
          <w:w w:val="110"/>
        </w:rPr>
        <w:t>phenobarbital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THEOPHYLLINE </w:t>
      </w:r>
      <w:r>
        <w:rPr>
          <w:color w:val="231F1F"/>
          <w:w w:val="110"/>
          <w:sz w:val="12"/>
        </w:rPr>
        <w:t>(reduced effect)</w:t>
      </w:r>
    </w:p>
    <w:p>
      <w:pPr>
        <w:pStyle w:val="BodyText"/>
        <w:spacing w:line="230" w:lineRule="auto" w:before="4"/>
        <w:ind w:right="832" w:hanging="100"/>
        <w:jc w:val="both"/>
      </w:pPr>
      <w:r>
        <w:rPr>
          <w:rFonts w:ascii="Lucida Sans Unicode" w:hAnsi="Lucida Sans Unicode"/>
          <w:color w:val="A7A8AC"/>
          <w:w w:val="95"/>
          <w:sz w:val="10"/>
        </w:rPr>
        <w:t>▶ </w:t>
      </w:r>
      <w:r>
        <w:rPr>
          <w:rFonts w:ascii="Calibri" w:hAnsi="Calibri"/>
          <w:color w:val="231F1F"/>
          <w:w w:val="110"/>
        </w:rPr>
        <w:t>Thyroid Hormones: </w:t>
      </w:r>
      <w:r>
        <w:rPr>
          <w:color w:val="231F1F"/>
          <w:w w:val="110"/>
        </w:rPr>
        <w:t>phenobarbital accelerates metabolism </w:t>
      </w:r>
      <w:r>
        <w:rPr>
          <w:color w:val="231F1F"/>
          <w:spacing w:val="-6"/>
          <w:w w:val="110"/>
        </w:rPr>
        <w:t>of </w:t>
      </w:r>
      <w:r>
        <w:rPr>
          <w:rFonts w:ascii="Calibri" w:hAnsi="Calibri"/>
          <w:color w:val="008356"/>
          <w:spacing w:val="4"/>
          <w:w w:val="110"/>
          <w:sz w:val="11"/>
        </w:rPr>
        <w:t>THYROID</w:t>
      </w:r>
      <w:r>
        <w:rPr>
          <w:rFonts w:ascii="Calibri" w:hAnsi="Calibri"/>
          <w:color w:val="008356"/>
          <w:spacing w:val="-2"/>
          <w:w w:val="110"/>
          <w:sz w:val="11"/>
        </w:rPr>
        <w:t> </w:t>
      </w:r>
      <w:r>
        <w:rPr>
          <w:rFonts w:ascii="Calibri" w:hAnsi="Calibri"/>
          <w:color w:val="008356"/>
          <w:spacing w:val="4"/>
          <w:w w:val="110"/>
          <w:sz w:val="11"/>
        </w:rPr>
        <w:t>HORMONES</w:t>
      </w:r>
      <w:r>
        <w:rPr>
          <w:rFonts w:ascii="Calibri" w:hAnsi="Calibri"/>
          <w:color w:val="008356"/>
          <w:spacing w:val="1"/>
          <w:w w:val="110"/>
          <w:sz w:val="11"/>
        </w:rPr>
        <w:t> </w:t>
      </w:r>
      <w:r>
        <w:rPr>
          <w:color w:val="231F1F"/>
          <w:w w:val="110"/>
        </w:rPr>
        <w:t>(may</w:t>
      </w:r>
      <w:r>
        <w:rPr>
          <w:color w:val="231F1F"/>
          <w:spacing w:val="-9"/>
          <w:w w:val="110"/>
        </w:rPr>
        <w:t> </w:t>
      </w:r>
      <w:r>
        <w:rPr>
          <w:color w:val="231F1F"/>
          <w:w w:val="110"/>
        </w:rPr>
        <w:t>increase</w:t>
      </w:r>
      <w:r>
        <w:rPr>
          <w:color w:val="231F1F"/>
          <w:spacing w:val="-10"/>
          <w:w w:val="110"/>
        </w:rPr>
        <w:t> </w:t>
      </w:r>
      <w:r>
        <w:rPr>
          <w:color w:val="231F1F"/>
          <w:w w:val="110"/>
        </w:rPr>
        <w:t>requirements</w:t>
      </w:r>
      <w:r>
        <w:rPr>
          <w:color w:val="231F1F"/>
          <w:spacing w:val="-10"/>
          <w:w w:val="110"/>
        </w:rPr>
        <w:t> </w:t>
      </w:r>
      <w:r>
        <w:rPr>
          <w:color w:val="231F1F"/>
          <w:w w:val="110"/>
        </w:rPr>
        <w:t>for</w:t>
      </w:r>
      <w:r>
        <w:rPr>
          <w:color w:val="231F1F"/>
          <w:spacing w:val="-8"/>
          <w:w w:val="110"/>
        </w:rPr>
        <w:t> </w:t>
      </w:r>
      <w:r>
        <w:rPr>
          <w:color w:val="231F1F"/>
          <w:w w:val="110"/>
        </w:rPr>
        <w:t>thyroid hormones in</w:t>
      </w:r>
      <w:r>
        <w:rPr>
          <w:color w:val="231F1F"/>
          <w:spacing w:val="-2"/>
          <w:w w:val="110"/>
        </w:rPr>
        <w:t> </w:t>
      </w:r>
      <w:r>
        <w:rPr>
          <w:color w:val="231F1F"/>
          <w:w w:val="110"/>
        </w:rPr>
        <w:t>hypothyroidism)</w:t>
      </w:r>
    </w:p>
    <w:p>
      <w:pPr>
        <w:pStyle w:val="BodyText"/>
        <w:spacing w:line="220" w:lineRule="auto" w:before="11"/>
        <w:ind w:right="1353"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Ticagrelor: </w:t>
      </w:r>
      <w:r>
        <w:rPr>
          <w:color w:val="231F1F"/>
          <w:w w:val="105"/>
        </w:rPr>
        <w:t>phenobarbital possibly reduces plasma concentration of </w:t>
      </w:r>
      <w:r>
        <w:rPr>
          <w:rFonts w:ascii="Calibri" w:hAnsi="Calibri"/>
          <w:color w:val="008356"/>
          <w:w w:val="105"/>
          <w:sz w:val="11"/>
        </w:rPr>
        <w:t>TICAGRELOR</w:t>
      </w:r>
    </w:p>
    <w:p>
      <w:pPr>
        <w:pStyle w:val="BodyText"/>
        <w:ind w:right="1153" w:hanging="100"/>
      </w:pPr>
      <w:r>
        <w:rPr>
          <w:rFonts w:ascii="Arial"/>
          <w:color w:val="231F1F"/>
          <w:w w:val="355"/>
          <w:position w:val="1"/>
          <w:sz w:val="7"/>
        </w:rPr>
        <w:t>l </w:t>
      </w:r>
      <w:r>
        <w:rPr>
          <w:rFonts w:ascii="Calibri"/>
          <w:color w:val="231F1F"/>
          <w:w w:val="120"/>
        </w:rPr>
        <w:t>Ulipristal: </w:t>
      </w:r>
      <w:r>
        <w:rPr>
          <w:color w:val="231F1F"/>
          <w:w w:val="120"/>
        </w:rPr>
        <w:t>avoidance of phenobarbital advised by </w:t>
      </w:r>
      <w:r>
        <w:rPr>
          <w:color w:val="231F1F"/>
          <w:w w:val="115"/>
        </w:rPr>
        <w:t>manufacturer of </w:t>
      </w:r>
      <w:r>
        <w:rPr>
          <w:rFonts w:ascii="Arial"/>
          <w:color w:val="231F1F"/>
          <w:w w:val="115"/>
          <w:position w:val="1"/>
          <w:sz w:val="7"/>
        </w:rPr>
        <w:t>l </w:t>
      </w:r>
      <w:r>
        <w:rPr>
          <w:rFonts w:ascii="Calibri"/>
          <w:color w:val="008356"/>
          <w:w w:val="115"/>
          <w:sz w:val="11"/>
        </w:rPr>
        <w:t>ULIPRISTAL </w:t>
      </w:r>
      <w:r>
        <w:rPr>
          <w:color w:val="231F1F"/>
          <w:w w:val="115"/>
        </w:rPr>
        <w:t>(contraceptive effect of </w:t>
      </w:r>
      <w:r>
        <w:rPr>
          <w:color w:val="231F1F"/>
          <w:w w:val="120"/>
        </w:rPr>
        <w:t>ulipristal possibly reduced)</w:t>
      </w:r>
    </w:p>
    <w:p>
      <w:pPr>
        <w:spacing w:line="240" w:lineRule="auto" w:before="3"/>
        <w:ind w:left="208" w:right="76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phenobarbital possibly increases requirements for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 </w:t>
      </w:r>
      <w:r>
        <w:rPr>
          <w:rFonts w:ascii="Calibri" w:hAnsi="Calibri"/>
          <w:color w:val="008356"/>
          <w:w w:val="105"/>
          <w:sz w:val="11"/>
        </w:rPr>
        <w:t>VITAMIN D</w:t>
      </w:r>
    </w:p>
    <w:p>
      <w:pPr>
        <w:pStyle w:val="BodyText"/>
        <w:spacing w:line="256" w:lineRule="auto" w:before="5"/>
        <w:ind w:left="108" w:right="1962"/>
        <w:rPr>
          <w:rFonts w:ascii="Trebuchet MS"/>
        </w:rPr>
      </w:pPr>
      <w:r>
        <w:rPr>
          <w:rFonts w:ascii="Trebuchet MS"/>
          <w:color w:val="008356"/>
          <w:w w:val="105"/>
        </w:rPr>
        <w:t>Phenothiazines </w:t>
      </w:r>
      <w:r>
        <w:rPr>
          <w:i/>
          <w:color w:val="231F1F"/>
          <w:w w:val="105"/>
        </w:rPr>
        <w:t>see </w:t>
      </w:r>
      <w:r>
        <w:rPr>
          <w:color w:val="231F1F"/>
          <w:w w:val="105"/>
        </w:rPr>
        <w:t>Antipsychotics </w:t>
      </w:r>
      <w:r>
        <w:rPr>
          <w:rFonts w:ascii="Trebuchet MS"/>
          <w:color w:val="008356"/>
          <w:w w:val="105"/>
        </w:rPr>
        <w:t>Phenoxybenzamine </w:t>
      </w:r>
      <w:r>
        <w:rPr>
          <w:i/>
          <w:color w:val="231F1F"/>
          <w:w w:val="105"/>
        </w:rPr>
        <w:t>see </w:t>
      </w:r>
      <w:r>
        <w:rPr>
          <w:color w:val="231F1F"/>
          <w:w w:val="105"/>
        </w:rPr>
        <w:t>Alpha-blockers </w:t>
      </w:r>
      <w:r>
        <w:rPr>
          <w:rFonts w:ascii="Trebuchet MS"/>
          <w:color w:val="008356"/>
          <w:w w:val="105"/>
        </w:rPr>
        <w:t>Phenoxymethylpenicillin </w:t>
      </w:r>
      <w:r>
        <w:rPr>
          <w:i/>
          <w:color w:val="231F1F"/>
          <w:w w:val="105"/>
        </w:rPr>
        <w:t>see </w:t>
      </w:r>
      <w:r>
        <w:rPr>
          <w:color w:val="231F1F"/>
          <w:w w:val="105"/>
        </w:rPr>
        <w:t>Penicillins </w:t>
      </w:r>
      <w:r>
        <w:rPr>
          <w:rFonts w:ascii="Trebuchet MS"/>
          <w:color w:val="008356"/>
          <w:w w:val="105"/>
        </w:rPr>
        <w:t>Phentolamine </w:t>
      </w:r>
      <w:r>
        <w:rPr>
          <w:i/>
          <w:color w:val="231F1F"/>
          <w:w w:val="105"/>
        </w:rPr>
        <w:t>see </w:t>
      </w:r>
      <w:r>
        <w:rPr>
          <w:color w:val="231F1F"/>
          <w:w w:val="105"/>
        </w:rPr>
        <w:t>Alpha-blockers </w:t>
      </w:r>
      <w:r>
        <w:rPr>
          <w:rFonts w:ascii="Trebuchet MS"/>
          <w:color w:val="008356"/>
          <w:w w:val="105"/>
        </w:rPr>
        <w:t>Phenylephrine </w:t>
      </w:r>
      <w:r>
        <w:rPr>
          <w:i/>
          <w:color w:val="231F1F"/>
          <w:w w:val="105"/>
        </w:rPr>
        <w:t>see </w:t>
      </w:r>
      <w:r>
        <w:rPr>
          <w:color w:val="231F1F"/>
          <w:w w:val="105"/>
        </w:rPr>
        <w:t>Sympathomimetics </w:t>
      </w:r>
      <w:r>
        <w:rPr>
          <w:rFonts w:ascii="Trebuchet MS"/>
          <w:color w:val="008356"/>
          <w:w w:val="105"/>
        </w:rPr>
        <w:t>Phenytoin</w:t>
      </w:r>
    </w:p>
    <w:p>
      <w:pPr>
        <w:pStyle w:val="BodyText"/>
        <w:spacing w:line="220" w:lineRule="auto" w:before="2"/>
        <w:ind w:right="700"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plasma concentration of phenytoin possibly reduced by chronic heavy consumption of </w:t>
      </w:r>
      <w:r>
        <w:rPr>
          <w:rFonts w:ascii="Calibri" w:hAnsi="Calibri"/>
          <w:color w:val="008356"/>
          <w:w w:val="110"/>
          <w:sz w:val="11"/>
        </w:rPr>
        <w:t>ALCOHOL</w:t>
      </w:r>
    </w:p>
    <w:p>
      <w:pPr>
        <w:pStyle w:val="BodyText"/>
        <w:ind w:right="829" w:hanging="100"/>
        <w:rPr>
          <w:rFonts w:ascii="Calibri"/>
          <w:sz w:val="11"/>
        </w:rPr>
      </w:pPr>
      <w:r>
        <w:rPr>
          <w:rFonts w:ascii="Arial"/>
          <w:color w:val="231F1F"/>
          <w:w w:val="355"/>
          <w:position w:val="1"/>
          <w:sz w:val="7"/>
        </w:rPr>
        <w:t>l </w:t>
      </w:r>
      <w:r>
        <w:rPr>
          <w:rFonts w:ascii="Calibri"/>
          <w:color w:val="231F1F"/>
          <w:w w:val="110"/>
        </w:rPr>
        <w:t>Aminophylline: </w:t>
      </w:r>
      <w:r>
        <w:rPr>
          <w:color w:val="231F1F"/>
          <w:w w:val="110"/>
        </w:rPr>
        <w:t>plasma concentration of both drugs reduced when phenytoin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5"/>
          <w:w w:val="110"/>
          <w:sz w:val="11"/>
        </w:rPr>
        <w:t>AMINOPHYLLINE</w:t>
      </w:r>
    </w:p>
    <w:p>
      <w:pPr>
        <w:pStyle w:val="BodyText"/>
        <w:spacing w:line="242" w:lineRule="auto"/>
        <w:ind w:right="767" w:hanging="100"/>
      </w:pPr>
      <w:r>
        <w:rPr>
          <w:rFonts w:ascii="Arial"/>
          <w:color w:val="231F1F"/>
          <w:w w:val="355"/>
          <w:position w:val="1"/>
          <w:sz w:val="7"/>
        </w:rPr>
        <w:t>l </w:t>
      </w:r>
      <w:r>
        <w:rPr>
          <w:rFonts w:ascii="Calibri"/>
          <w:color w:val="231F1F"/>
          <w:w w:val="105"/>
        </w:rPr>
        <w:t>Analgesics: </w:t>
      </w:r>
      <w:r>
        <w:rPr>
          <w:color w:val="231F1F"/>
          <w:w w:val="105"/>
        </w:rPr>
        <w:t>excretion of </w:t>
      </w:r>
      <w:r>
        <w:rPr>
          <w:color w:val="231F1F"/>
          <w:w w:val="125"/>
        </w:rPr>
        <w:t>phenytoin </w:t>
      </w:r>
      <w:r>
        <w:rPr>
          <w:color w:val="231F1F"/>
          <w:w w:val="105"/>
        </w:rPr>
        <w:t>possibly reduced by </w:t>
      </w:r>
      <w:r>
        <w:rPr>
          <w:rFonts w:ascii="Calibri"/>
          <w:color w:val="008356"/>
          <w:w w:val="105"/>
          <w:sz w:val="11"/>
        </w:rPr>
        <w:t>ACEMETACIN </w:t>
      </w:r>
      <w:r>
        <w:rPr>
          <w:color w:val="231F1F"/>
          <w:w w:val="105"/>
        </w:rPr>
        <w:t>(increased risk of toxicity); </w:t>
      </w:r>
      <w:r>
        <w:rPr>
          <w:color w:val="231F1F"/>
          <w:w w:val="125"/>
        </w:rPr>
        <w:t>phenytoin </w:t>
      </w:r>
      <w:r>
        <w:rPr>
          <w:color w:val="231F1F"/>
          <w:w w:val="105"/>
        </w:rPr>
        <w:t>possibly accelerates metabolism of </w:t>
      </w:r>
      <w:r>
        <w:rPr>
          <w:rFonts w:ascii="Calibri"/>
          <w:color w:val="008356"/>
          <w:w w:val="105"/>
          <w:sz w:val="11"/>
        </w:rPr>
        <w:t>FENTANYL </w:t>
      </w:r>
      <w:r>
        <w:rPr>
          <w:color w:val="231F1F"/>
          <w:w w:val="105"/>
        </w:rPr>
        <w:t>(reduced effect); </w:t>
      </w:r>
      <w:r>
        <w:rPr>
          <w:color w:val="231F1F"/>
          <w:w w:val="125"/>
        </w:rPr>
        <w:t>phenytoin </w:t>
      </w:r>
      <w:r>
        <w:rPr>
          <w:color w:val="231F1F"/>
          <w:w w:val="105"/>
        </w:rPr>
        <w:t>accelerates metabolism of </w:t>
      </w:r>
      <w:r>
        <w:rPr>
          <w:rFonts w:ascii="Calibri"/>
          <w:color w:val="008356"/>
          <w:w w:val="105"/>
          <w:sz w:val="11"/>
        </w:rPr>
        <w:t>METHADONE </w:t>
      </w:r>
      <w:r>
        <w:rPr>
          <w:color w:val="231F1F"/>
          <w:w w:val="105"/>
        </w:rPr>
        <w:t>(reduced effect and risk of withdrawal effects); </w:t>
      </w:r>
      <w:r>
        <w:rPr>
          <w:color w:val="231F1F"/>
          <w:w w:val="125"/>
        </w:rPr>
        <w:t>phenytoin </w:t>
      </w:r>
      <w:r>
        <w:rPr>
          <w:color w:val="231F1F"/>
          <w:w w:val="105"/>
        </w:rPr>
        <w:t>possibly increases risk of </w:t>
      </w:r>
      <w:r>
        <w:rPr>
          <w:rFonts w:ascii="Arial"/>
          <w:color w:val="231F1F"/>
          <w:w w:val="355"/>
          <w:position w:val="1"/>
          <w:sz w:val="7"/>
        </w:rPr>
        <w:t>l </w:t>
      </w:r>
      <w:r>
        <w:rPr>
          <w:rFonts w:ascii="Calibri"/>
          <w:color w:val="008356"/>
          <w:w w:val="105"/>
          <w:sz w:val="11"/>
        </w:rPr>
        <w:t>PETHIDINE </w:t>
      </w:r>
      <w:r>
        <w:rPr>
          <w:color w:val="231F1F"/>
          <w:w w:val="105"/>
        </w:rPr>
        <w:t>toxicity; effects of </w:t>
      </w:r>
      <w:r>
        <w:rPr>
          <w:color w:val="231F1F"/>
          <w:w w:val="125"/>
        </w:rPr>
        <w:t>phenytoin enhanced </w:t>
      </w:r>
      <w:r>
        <w:rPr>
          <w:color w:val="231F1F"/>
          <w:w w:val="105"/>
        </w:rPr>
        <w:t>by </w:t>
      </w:r>
      <w:r>
        <w:rPr>
          <w:rFonts w:ascii="Calibri"/>
          <w:color w:val="008356"/>
          <w:w w:val="105"/>
          <w:sz w:val="11"/>
        </w:rPr>
        <w:t>ASPIRIN</w:t>
      </w:r>
      <w:r>
        <w:rPr>
          <w:color w:val="231F1F"/>
          <w:w w:val="105"/>
        </w:rPr>
        <w:t>; </w:t>
      </w:r>
      <w:r>
        <w:rPr>
          <w:color w:val="231F1F"/>
          <w:w w:val="125"/>
        </w:rPr>
        <w:t>phenytoin </w:t>
      </w:r>
      <w:r>
        <w:rPr>
          <w:color w:val="231F1F"/>
          <w:w w:val="105"/>
        </w:rPr>
        <w:t>possibly accelerates</w:t>
      </w:r>
    </w:p>
    <w:p>
      <w:pPr>
        <w:spacing w:after="0" w:line="242" w:lineRule="auto"/>
        <w:sectPr>
          <w:pgSz w:w="8390" w:h="11910"/>
          <w:pgMar w:header="0" w:footer="0" w:top="460" w:bottom="0" w:left="480" w:right="0"/>
          <w:cols w:num="2" w:equalWidth="0">
            <w:col w:w="3591" w:space="84"/>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488" filled="true" fillcolor="#bfdbcf" stroked="false">
            <v:fill type="solid"/>
            <w10:wrap type="none"/>
          </v:rect>
        </w:pict>
      </w:r>
      <w:r>
        <w:rPr/>
        <w:pict>
          <v:shape style="position:absolute;margin-left:7.751256pt;margin-top:35.804367pt;width:10.4pt;height:78.850pt;mso-position-horizontal-relative:page;mso-position-vertical-relative:page;z-index:551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Phenytoin</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Analgesics (continued)</w:t>
      </w:r>
    </w:p>
    <w:p>
      <w:pPr>
        <w:pStyle w:val="BodyText"/>
        <w:spacing w:line="244" w:lineRule="auto"/>
        <w:ind w:left="286" w:right="498" w:hanging="1"/>
      </w:pPr>
      <w:r>
        <w:rPr>
          <w:color w:val="231F1F"/>
          <w:w w:val="115"/>
        </w:rPr>
        <w:t>metabolism</w:t>
      </w:r>
      <w:r>
        <w:rPr>
          <w:color w:val="231F1F"/>
          <w:spacing w:val="-23"/>
          <w:w w:val="115"/>
        </w:rPr>
        <w:t> </w:t>
      </w:r>
      <w:r>
        <w:rPr>
          <w:color w:val="231F1F"/>
          <w:w w:val="115"/>
        </w:rPr>
        <w:t>of</w:t>
      </w:r>
      <w:r>
        <w:rPr>
          <w:color w:val="231F1F"/>
          <w:spacing w:val="-23"/>
          <w:w w:val="115"/>
        </w:rPr>
        <w:t> </w:t>
      </w:r>
      <w:r>
        <w:rPr>
          <w:rFonts w:ascii="Calibri"/>
          <w:color w:val="008356"/>
          <w:spacing w:val="3"/>
          <w:w w:val="115"/>
          <w:sz w:val="11"/>
        </w:rPr>
        <w:t>PARACETAMOL</w:t>
      </w:r>
      <w:r>
        <w:rPr>
          <w:rFonts w:ascii="Calibri"/>
          <w:color w:val="008356"/>
          <w:spacing w:val="-14"/>
          <w:w w:val="115"/>
          <w:sz w:val="11"/>
        </w:rPr>
        <w:t> </w:t>
      </w:r>
      <w:r>
        <w:rPr>
          <w:color w:val="231F1F"/>
          <w:w w:val="115"/>
        </w:rPr>
        <w:t>(also</w:t>
      </w:r>
      <w:r>
        <w:rPr>
          <w:color w:val="231F1F"/>
          <w:spacing w:val="-22"/>
          <w:w w:val="115"/>
        </w:rPr>
        <w:t> </w:t>
      </w:r>
      <w:r>
        <w:rPr>
          <w:color w:val="231F1F"/>
          <w:w w:val="115"/>
        </w:rPr>
        <w:t>isolated</w:t>
      </w:r>
      <w:r>
        <w:rPr>
          <w:color w:val="231F1F"/>
          <w:spacing w:val="-23"/>
          <w:w w:val="115"/>
        </w:rPr>
        <w:t> </w:t>
      </w:r>
      <w:r>
        <w:rPr>
          <w:color w:val="231F1F"/>
          <w:w w:val="115"/>
        </w:rPr>
        <w:t>reports</w:t>
      </w:r>
      <w:r>
        <w:rPr>
          <w:color w:val="231F1F"/>
          <w:spacing w:val="-22"/>
          <w:w w:val="115"/>
        </w:rPr>
        <w:t> </w:t>
      </w:r>
      <w:r>
        <w:rPr>
          <w:color w:val="231F1F"/>
          <w:spacing w:val="-6"/>
          <w:w w:val="115"/>
        </w:rPr>
        <w:t>of </w:t>
      </w:r>
      <w:r>
        <w:rPr>
          <w:color w:val="231F1F"/>
          <w:w w:val="115"/>
        </w:rPr>
        <w:t>hepatotoxicity)</w:t>
      </w:r>
    </w:p>
    <w:p>
      <w:pPr>
        <w:pStyle w:val="BodyText"/>
        <w:spacing w:line="148"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phenytoin reduced by </w:t>
      </w:r>
      <w:r>
        <w:rPr>
          <w:rFonts w:ascii="Calibri" w:hAnsi="Calibri"/>
          <w:color w:val="008356"/>
          <w:w w:val="105"/>
          <w:sz w:val="11"/>
        </w:rPr>
        <w:t>ANTACIDS</w:t>
      </w:r>
    </w:p>
    <w:p>
      <w:pPr>
        <w:pStyle w:val="BodyText"/>
        <w:spacing w:line="137" w:lineRule="exact"/>
        <w:ind w:left="186"/>
      </w:pPr>
      <w:r>
        <w:rPr>
          <w:rFonts w:ascii="Arial"/>
          <w:color w:val="231F1F"/>
          <w:w w:val="355"/>
          <w:position w:val="1"/>
          <w:sz w:val="7"/>
        </w:rPr>
        <w:t>l </w:t>
      </w:r>
      <w:r>
        <w:rPr>
          <w:rFonts w:ascii="Calibri"/>
          <w:color w:val="231F1F"/>
          <w:w w:val="110"/>
        </w:rPr>
        <w:t>Anthelmintics: </w:t>
      </w:r>
      <w:r>
        <w:rPr>
          <w:color w:val="231F1F"/>
          <w:w w:val="110"/>
        </w:rPr>
        <w:t>phenytoin reduces plasma concentration of</w:t>
      </w:r>
    </w:p>
    <w:p>
      <w:pPr>
        <w:spacing w:line="247" w:lineRule="auto" w:before="0"/>
        <w:ind w:left="286" w:right="53" w:firstLine="0"/>
        <w:jc w:val="left"/>
        <w:rPr>
          <w:rFonts w:ascii="Calibri" w:hAnsi="Calibri"/>
          <w:sz w:val="11"/>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ALBENDAZOLE </w:t>
      </w:r>
      <w:r>
        <w:rPr>
          <w:color w:val="231F1F"/>
          <w:w w:val="115"/>
          <w:sz w:val="12"/>
        </w:rPr>
        <w:t>and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PRAZIQUANTEL</w:t>
      </w:r>
      <w:r>
        <w:rPr>
          <w:rFonts w:ascii="Arial" w:hAnsi="Arial"/>
          <w:color w:val="231F1F"/>
          <w:spacing w:val="2"/>
          <w:w w:val="115"/>
          <w:sz w:val="12"/>
        </w:rPr>
        <w:t>—</w:t>
      </w:r>
      <w:r>
        <w:rPr>
          <w:color w:val="231F1F"/>
          <w:spacing w:val="2"/>
          <w:w w:val="115"/>
          <w:sz w:val="12"/>
        </w:rPr>
        <w:t>consider </w:t>
      </w:r>
      <w:r>
        <w:rPr>
          <w:color w:val="231F1F"/>
          <w:w w:val="115"/>
          <w:sz w:val="12"/>
        </w:rPr>
        <w:t>increasing albendazole and praziquantel dose when given for systemic infections; plasma concentration of phenytoin possibly increased by </w:t>
      </w:r>
      <w:r>
        <w:rPr>
          <w:rFonts w:ascii="Calibri" w:hAnsi="Calibri"/>
          <w:color w:val="008356"/>
          <w:spacing w:val="4"/>
          <w:w w:val="115"/>
          <w:sz w:val="11"/>
        </w:rPr>
        <w:t>LEVAMISOLE</w:t>
      </w:r>
    </w:p>
    <w:p>
      <w:pPr>
        <w:pStyle w:val="BodyText"/>
        <w:spacing w:line="140" w:lineRule="exact"/>
        <w:ind w:left="186"/>
      </w:pPr>
      <w:r>
        <w:rPr>
          <w:rFonts w:ascii="Arial"/>
          <w:color w:val="231F1F"/>
          <w:w w:val="355"/>
          <w:position w:val="1"/>
          <w:sz w:val="7"/>
        </w:rPr>
        <w:t>l </w:t>
      </w:r>
      <w:r>
        <w:rPr>
          <w:rFonts w:ascii="Calibri"/>
          <w:color w:val="231F1F"/>
          <w:w w:val="115"/>
        </w:rPr>
        <w:t>Anti-arrhythmics: </w:t>
      </w:r>
      <w:r>
        <w:rPr>
          <w:color w:val="231F1F"/>
          <w:w w:val="115"/>
        </w:rPr>
        <w:t>metabolism of phenytoin inhibited by</w:t>
      </w:r>
    </w:p>
    <w:p>
      <w:pPr>
        <w:pStyle w:val="BodyText"/>
        <w:ind w:left="286"/>
      </w:pPr>
      <w:r>
        <w:rPr>
          <w:rFonts w:ascii="Arial" w:hAnsi="Arial"/>
          <w:color w:val="231F1F"/>
          <w:w w:val="355"/>
          <w:position w:val="1"/>
          <w:sz w:val="7"/>
        </w:rPr>
        <w:t>l </w:t>
      </w:r>
      <w:r>
        <w:rPr>
          <w:rFonts w:ascii="Calibri" w:hAnsi="Calibri"/>
          <w:color w:val="008356"/>
          <w:w w:val="105"/>
          <w:sz w:val="11"/>
        </w:rPr>
        <w:t>AMIODARONE </w:t>
      </w:r>
      <w:r>
        <w:rPr>
          <w:color w:val="231F1F"/>
          <w:w w:val="105"/>
        </w:rPr>
        <w:t>(increased plasma concentration); phenytoin reduces plasma concentration of </w:t>
      </w:r>
      <w:r>
        <w:rPr>
          <w:rFonts w:ascii="Calibri" w:hAnsi="Calibri"/>
          <w:color w:val="008356"/>
          <w:w w:val="105"/>
          <w:sz w:val="11"/>
        </w:rPr>
        <w:t>DISOPYRAMIDE</w:t>
      </w:r>
      <w:r>
        <w:rPr>
          <w:color w:val="231F1F"/>
          <w:w w:val="105"/>
        </w:rPr>
        <w:t>; phenytoin possibly reduces plasma concentration of </w:t>
      </w:r>
      <w:r>
        <w:rPr>
          <w:rFonts w:ascii="Arial" w:hAnsi="Arial"/>
          <w:color w:val="231F1F"/>
          <w:w w:val="355"/>
          <w:position w:val="1"/>
          <w:sz w:val="7"/>
        </w:rPr>
        <w:t>l </w:t>
      </w:r>
      <w:r>
        <w:rPr>
          <w:rFonts w:ascii="Calibri" w:hAnsi="Calibri"/>
          <w:color w:val="008356"/>
          <w:w w:val="105"/>
          <w:sz w:val="11"/>
        </w:rPr>
        <w:t>DRONEDARONE</w:t>
      </w:r>
      <w:r>
        <w:rPr>
          <w:rFonts w:ascii="Arial" w:hAnsi="Arial"/>
          <w:color w:val="231F1F"/>
          <w:w w:val="105"/>
        </w:rPr>
        <w:t>— </w:t>
      </w:r>
      <w:r>
        <w:rPr>
          <w:color w:val="231F1F"/>
          <w:w w:val="105"/>
        </w:rPr>
        <w:t>avoid concomitant use</w:t>
      </w:r>
    </w:p>
    <w:p>
      <w:pPr>
        <w:pStyle w:val="BodyText"/>
        <w:spacing w:line="244" w:lineRule="auto" w:before="5"/>
        <w:ind w:left="286" w:right="104" w:hanging="100"/>
      </w:pPr>
      <w:r>
        <w:rPr>
          <w:rFonts w:ascii="Arial" w:hAnsi="Arial"/>
          <w:color w:val="231F1F"/>
          <w:w w:val="355"/>
          <w:position w:val="1"/>
          <w:sz w:val="7"/>
        </w:rPr>
        <w:t>l </w:t>
      </w:r>
      <w:r>
        <w:rPr>
          <w:rFonts w:ascii="Calibri" w:hAnsi="Calibri"/>
          <w:color w:val="231F1F"/>
          <w:w w:val="110"/>
        </w:rPr>
        <w:t>Antibacterials: </w:t>
      </w:r>
      <w:r>
        <w:rPr>
          <w:color w:val="231F1F"/>
          <w:w w:val="110"/>
        </w:rPr>
        <w:t>metabolism of phenytoin inhibited by </w:t>
      </w:r>
      <w:r>
        <w:rPr>
          <w:rFonts w:ascii="Calibri" w:hAnsi="Calibri"/>
          <w:color w:val="008356"/>
          <w:w w:val="110"/>
          <w:sz w:val="11"/>
        </w:rPr>
        <w:t>CLARITHROMYCIN </w:t>
      </w:r>
      <w:r>
        <w:rPr>
          <w:color w:val="231F1F"/>
          <w:w w:val="110"/>
        </w:rPr>
        <w:t>(increased plasma concentration); metabolism of phenytoin possibly inhibited by </w:t>
      </w:r>
      <w:r>
        <w:rPr>
          <w:rFonts w:ascii="Calibri" w:hAnsi="Calibri"/>
          <w:color w:val="008356"/>
          <w:w w:val="110"/>
          <w:sz w:val="11"/>
        </w:rPr>
        <w:t>METRONIDAZOLE </w:t>
      </w:r>
      <w:r>
        <w:rPr>
          <w:color w:val="231F1F"/>
          <w:w w:val="110"/>
        </w:rPr>
        <w:t>(increased plasma concentration); plasma concentration of phenytoin increased or decreased by </w:t>
      </w:r>
      <w:r>
        <w:rPr>
          <w:rFonts w:ascii="Calibri" w:hAnsi="Calibri"/>
          <w:color w:val="008356"/>
          <w:w w:val="110"/>
          <w:sz w:val="11"/>
        </w:rPr>
        <w:t>CIPROFLOXACIN</w:t>
      </w:r>
      <w:r>
        <w:rPr>
          <w:color w:val="231F1F"/>
          <w:w w:val="110"/>
        </w:rPr>
        <w:t>; phenytoin accelerates metabolism of </w:t>
      </w:r>
      <w:r>
        <w:rPr>
          <w:rFonts w:ascii="Calibri" w:hAnsi="Calibri"/>
          <w:color w:val="008356"/>
          <w:w w:val="110"/>
          <w:sz w:val="11"/>
        </w:rPr>
        <w:t>DOXYCYCLINE </w:t>
      </w:r>
      <w:r>
        <w:rPr>
          <w:color w:val="231F1F"/>
          <w:w w:val="110"/>
        </w:rPr>
        <w:t>(reduced plasma concentration); phenytoin possibly reduces plasma concentration of </w:t>
      </w:r>
      <w:r>
        <w:rPr>
          <w:rFonts w:ascii="Arial" w:hAnsi="Arial"/>
          <w:color w:val="231F1F"/>
          <w:w w:val="355"/>
          <w:position w:val="1"/>
          <w:sz w:val="7"/>
        </w:rPr>
        <w:t>l </w:t>
      </w:r>
      <w:r>
        <w:rPr>
          <w:rFonts w:ascii="Calibri" w:hAnsi="Calibri"/>
          <w:color w:val="008356"/>
          <w:w w:val="110"/>
          <w:sz w:val="11"/>
        </w:rPr>
        <w:t>BEDAQUILINE</w:t>
      </w:r>
      <w:r>
        <w:rPr>
          <w:rFonts w:ascii="Arial" w:hAnsi="Arial"/>
          <w:color w:val="231F1F"/>
          <w:w w:val="110"/>
        </w:rPr>
        <w:t>— </w:t>
      </w:r>
      <w:r>
        <w:rPr>
          <w:color w:val="231F1F"/>
          <w:w w:val="110"/>
        </w:rPr>
        <w:t>manufacturer of bedaquiline advises avoid concomitant use; plasma concentration of phenytoin increased by</w:t>
      </w:r>
    </w:p>
    <w:p>
      <w:pPr>
        <w:pStyle w:val="BodyText"/>
        <w:spacing w:line="242" w:lineRule="auto" w:before="2"/>
        <w:ind w:left="286"/>
      </w:pPr>
      <w:r>
        <w:rPr>
          <w:rFonts w:ascii="Arial"/>
          <w:color w:val="231F1F"/>
          <w:w w:val="355"/>
          <w:position w:val="1"/>
          <w:sz w:val="7"/>
        </w:rPr>
        <w:t>l </w:t>
      </w:r>
      <w:r>
        <w:rPr>
          <w:rFonts w:ascii="Calibri"/>
          <w:color w:val="008356"/>
          <w:w w:val="105"/>
          <w:sz w:val="11"/>
        </w:rPr>
        <w:t>CHLORAMPHENICOL </w:t>
      </w:r>
      <w:r>
        <w:rPr>
          <w:color w:val="231F1F"/>
          <w:w w:val="105"/>
        </w:rPr>
        <w:t>(increased risk of toxicity); metabolism of phenytoin possibly inhibited by </w:t>
      </w:r>
      <w:r>
        <w:rPr>
          <w:rFonts w:ascii="Calibri"/>
          <w:color w:val="008356"/>
          <w:w w:val="105"/>
          <w:sz w:val="11"/>
        </w:rPr>
        <w:t>ISONIAZID </w:t>
      </w:r>
      <w:r>
        <w:rPr>
          <w:color w:val="231F1F"/>
          <w:w w:val="105"/>
        </w:rPr>
        <w:t>(increased risk of toxicity); metabolism of phenytoin accelerated by</w:t>
      </w:r>
    </w:p>
    <w:p>
      <w:pPr>
        <w:pStyle w:val="BodyText"/>
        <w:spacing w:line="244" w:lineRule="auto" w:before="5"/>
        <w:ind w:left="286" w:right="175"/>
      </w:pPr>
      <w:r>
        <w:rPr>
          <w:rFonts w:ascii="Arial"/>
          <w:color w:val="231F1F"/>
          <w:w w:val="355"/>
          <w:position w:val="1"/>
          <w:sz w:val="7"/>
        </w:rPr>
        <w:t>l </w:t>
      </w:r>
      <w:r>
        <w:rPr>
          <w:rFonts w:ascii="Calibri"/>
          <w:color w:val="008356"/>
          <w:w w:val="110"/>
          <w:sz w:val="11"/>
        </w:rPr>
        <w:t>RIFAMYCINS </w:t>
      </w:r>
      <w:r>
        <w:rPr>
          <w:color w:val="231F1F"/>
          <w:w w:val="110"/>
        </w:rPr>
        <w:t>(reduced plasma concentration); plasma concentration of phenytoin possibly increased by </w:t>
      </w:r>
      <w:r>
        <w:rPr>
          <w:rFonts w:ascii="Calibri"/>
          <w:color w:val="008356"/>
          <w:w w:val="110"/>
          <w:sz w:val="11"/>
        </w:rPr>
        <w:t>SULFONAMIDES</w:t>
      </w:r>
      <w:r>
        <w:rPr>
          <w:color w:val="231F1F"/>
          <w:w w:val="110"/>
        </w:rPr>
        <w:t>; phenytoin reduces plasma concentration of </w:t>
      </w:r>
      <w:r>
        <w:rPr>
          <w:rFonts w:ascii="Arial"/>
          <w:color w:val="231F1F"/>
          <w:w w:val="355"/>
          <w:position w:val="1"/>
          <w:sz w:val="7"/>
        </w:rPr>
        <w:t>l </w:t>
      </w:r>
      <w:r>
        <w:rPr>
          <w:rFonts w:ascii="Calibri"/>
          <w:color w:val="008356"/>
          <w:w w:val="110"/>
          <w:sz w:val="11"/>
        </w:rPr>
        <w:t>TELITHROMYCIN </w:t>
      </w:r>
      <w:r>
        <w:rPr>
          <w:color w:val="231F1F"/>
          <w:w w:val="110"/>
        </w:rPr>
        <w:t>(avoid during and for 2 weeks after</w:t>
      </w:r>
    </w:p>
    <w:p>
      <w:pPr>
        <w:pStyle w:val="BodyText"/>
        <w:ind w:left="286"/>
      </w:pPr>
      <w:r>
        <w:rPr>
          <w:color w:val="231F1F"/>
          <w:w w:val="115"/>
        </w:rPr>
        <w:t>phenytoin); plasma concentration of phenytoin increased by</w:t>
      </w:r>
    </w:p>
    <w:p>
      <w:pPr>
        <w:spacing w:line="140" w:lineRule="exact" w:before="6"/>
        <w:ind w:left="286" w:right="0" w:firstLine="0"/>
        <w:jc w:val="left"/>
        <w:rPr>
          <w:sz w:val="12"/>
        </w:rPr>
      </w:pPr>
      <w:r>
        <w:rPr>
          <w:rFonts w:ascii="Arial"/>
          <w:color w:val="231F1F"/>
          <w:w w:val="355"/>
          <w:position w:val="1"/>
          <w:sz w:val="7"/>
        </w:rPr>
        <w:t>l </w:t>
      </w:r>
      <w:r>
        <w:rPr>
          <w:rFonts w:ascii="Calibri"/>
          <w:color w:val="008356"/>
          <w:w w:val="105"/>
          <w:sz w:val="11"/>
        </w:rPr>
        <w:t>TRIMETHOPRIM </w:t>
      </w:r>
      <w:r>
        <w:rPr>
          <w:color w:val="231F1F"/>
          <w:w w:val="105"/>
          <w:sz w:val="12"/>
        </w:rPr>
        <w:t>(also increased antifolate effect)</w:t>
      </w:r>
    </w:p>
    <w:p>
      <w:pPr>
        <w:pStyle w:val="BodyText"/>
        <w:spacing w:line="244" w:lineRule="auto"/>
        <w:ind w:left="286" w:right="360" w:hanging="100"/>
      </w:pPr>
      <w:r>
        <w:rPr>
          <w:rFonts w:ascii="Arial" w:hAnsi="Arial"/>
          <w:color w:val="231F1F"/>
          <w:w w:val="355"/>
          <w:position w:val="1"/>
          <w:sz w:val="7"/>
        </w:rPr>
        <w:t>l </w:t>
      </w:r>
      <w:r>
        <w:rPr>
          <w:rFonts w:ascii="Calibri" w:hAnsi="Calibri"/>
          <w:color w:val="231F1F"/>
          <w:w w:val="115"/>
        </w:rPr>
        <w:t>Anticoagulants: </w:t>
      </w:r>
      <w:r>
        <w:rPr>
          <w:color w:val="231F1F"/>
          <w:w w:val="115"/>
        </w:rPr>
        <w:t>phenytoin possibly reduces plasma concentration of </w:t>
      </w:r>
      <w:r>
        <w:rPr>
          <w:rFonts w:ascii="Arial" w:hAnsi="Arial"/>
          <w:color w:val="231F1F"/>
          <w:w w:val="355"/>
          <w:position w:val="1"/>
          <w:sz w:val="7"/>
        </w:rPr>
        <w:t>l </w:t>
      </w:r>
      <w:r>
        <w:rPr>
          <w:rFonts w:ascii="Calibri" w:hAnsi="Calibri"/>
          <w:color w:val="008356"/>
          <w:w w:val="115"/>
          <w:sz w:val="11"/>
        </w:rPr>
        <w:t>APIXABAN</w:t>
      </w:r>
      <w:r>
        <w:rPr>
          <w:color w:val="231F1F"/>
          <w:w w:val="115"/>
        </w:rPr>
        <w:t>; phenytoin accelerates metabolism of </w:t>
      </w:r>
      <w:r>
        <w:rPr>
          <w:rFonts w:ascii="Arial" w:hAnsi="Arial"/>
          <w:color w:val="231F1F"/>
          <w:w w:val="355"/>
          <w:position w:val="1"/>
          <w:sz w:val="7"/>
        </w:rPr>
        <w:t>l </w:t>
      </w:r>
      <w:r>
        <w:rPr>
          <w:rFonts w:ascii="Calibri" w:hAnsi="Calibri"/>
          <w:color w:val="008356"/>
          <w:w w:val="115"/>
          <w:sz w:val="11"/>
        </w:rPr>
        <w:t>COUMARINS </w:t>
      </w:r>
      <w:r>
        <w:rPr>
          <w:color w:val="231F1F"/>
          <w:w w:val="115"/>
        </w:rPr>
        <w:t>(possibility of reduced anticoagulant effect, but enhancement also reported); phenytoin possibly reduces plasma concentration of </w:t>
      </w:r>
      <w:r>
        <w:rPr>
          <w:rFonts w:ascii="Calibri" w:hAnsi="Calibri"/>
          <w:color w:val="008356"/>
          <w:w w:val="110"/>
          <w:sz w:val="11"/>
        </w:rPr>
        <w:t>DABIGATRAN</w:t>
      </w:r>
      <w:r>
        <w:rPr>
          <w:rFonts w:ascii="Arial" w:hAnsi="Arial"/>
          <w:color w:val="231F1F"/>
          <w:w w:val="110"/>
        </w:rPr>
        <w:t>—</w:t>
      </w:r>
      <w:r>
        <w:rPr>
          <w:color w:val="231F1F"/>
          <w:w w:val="110"/>
        </w:rPr>
        <w:t>manufacturer of dabigatran advises avoid </w:t>
      </w:r>
      <w:r>
        <w:rPr>
          <w:color w:val="231F1F"/>
          <w:w w:val="115"/>
        </w:rPr>
        <w:t>concomitant use; phenytoin possibly reduces plasma concentration of </w:t>
      </w:r>
      <w:r>
        <w:rPr>
          <w:rFonts w:ascii="Arial" w:hAnsi="Arial"/>
          <w:color w:val="231F1F"/>
          <w:w w:val="355"/>
          <w:position w:val="1"/>
          <w:sz w:val="7"/>
        </w:rPr>
        <w:t>l </w:t>
      </w:r>
      <w:r>
        <w:rPr>
          <w:rFonts w:ascii="Calibri" w:hAnsi="Calibri"/>
          <w:color w:val="008356"/>
          <w:w w:val="115"/>
          <w:sz w:val="11"/>
        </w:rPr>
        <w:t>RIVAROXABAN</w:t>
      </w:r>
      <w:r>
        <w:rPr>
          <w:rFonts w:ascii="Arial" w:hAnsi="Arial"/>
          <w:color w:val="231F1F"/>
          <w:w w:val="115"/>
        </w:rPr>
        <w:t>—</w:t>
      </w:r>
      <w:r>
        <w:rPr>
          <w:color w:val="231F1F"/>
          <w:w w:val="115"/>
        </w:rPr>
        <w:t>manufacturer of rivaroxaban advises monitor for signs of thrombosis</w:t>
      </w:r>
    </w:p>
    <w:p>
      <w:pPr>
        <w:spacing w:line="242" w:lineRule="auto" w:before="0"/>
        <w:ind w:left="286" w:right="19"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Antidepressants: </w:t>
      </w:r>
      <w:r>
        <w:rPr>
          <w:color w:val="231F1F"/>
          <w:w w:val="110"/>
          <w:sz w:val="12"/>
        </w:rPr>
        <w:t>plasma concentration of phenytoin increased by </w:t>
      </w:r>
      <w:r>
        <w:rPr>
          <w:rFonts w:ascii="Arial" w:hAnsi="Arial"/>
          <w:color w:val="231F1F"/>
          <w:w w:val="355"/>
          <w:position w:val="1"/>
          <w:sz w:val="7"/>
        </w:rPr>
        <w:t>l </w:t>
      </w:r>
      <w:r>
        <w:rPr>
          <w:rFonts w:ascii="Calibri" w:hAnsi="Calibri"/>
          <w:color w:val="008356"/>
          <w:w w:val="110"/>
          <w:sz w:val="11"/>
        </w:rPr>
        <w:t>FLUOXETINE </w:t>
      </w:r>
      <w:r>
        <w:rPr>
          <w:color w:val="231F1F"/>
          <w:w w:val="110"/>
          <w:sz w:val="12"/>
        </w:rPr>
        <w:t>and </w:t>
      </w:r>
      <w:r>
        <w:rPr>
          <w:rFonts w:ascii="Arial" w:hAnsi="Arial"/>
          <w:color w:val="231F1F"/>
          <w:w w:val="355"/>
          <w:position w:val="1"/>
          <w:sz w:val="7"/>
        </w:rPr>
        <w:t>l </w:t>
      </w:r>
      <w:r>
        <w:rPr>
          <w:rFonts w:ascii="Calibri" w:hAnsi="Calibri"/>
          <w:color w:val="008356"/>
          <w:w w:val="110"/>
          <w:sz w:val="11"/>
        </w:rPr>
        <w:t>FLUVOXAMINE</w:t>
      </w:r>
      <w:r>
        <w:rPr>
          <w:color w:val="231F1F"/>
          <w:w w:val="110"/>
          <w:sz w:val="12"/>
        </w:rPr>
        <w:t>; phenytoin reduces plasma concentration of </w:t>
      </w:r>
      <w:r>
        <w:rPr>
          <w:rFonts w:ascii="Arial" w:hAnsi="Arial"/>
          <w:color w:val="231F1F"/>
          <w:w w:val="355"/>
          <w:position w:val="1"/>
          <w:sz w:val="7"/>
        </w:rPr>
        <w:t>l </w:t>
      </w:r>
      <w:r>
        <w:rPr>
          <w:rFonts w:ascii="Calibri" w:hAnsi="Calibri"/>
          <w:color w:val="008356"/>
          <w:w w:val="110"/>
          <w:sz w:val="11"/>
        </w:rPr>
        <w:t>MIANSERIN</w:t>
      </w:r>
      <w:r>
        <w:rPr>
          <w:color w:val="231F1F"/>
          <w:w w:val="110"/>
          <w:sz w:val="12"/>
        </w:rPr>
        <w:t>, </w:t>
      </w:r>
      <w:r>
        <w:rPr>
          <w:rFonts w:ascii="Calibri" w:hAnsi="Calibri"/>
          <w:color w:val="008356"/>
          <w:w w:val="110"/>
          <w:sz w:val="11"/>
        </w:rPr>
        <w:t>MIRTAZAPINE </w:t>
      </w:r>
      <w:r>
        <w:rPr>
          <w:color w:val="231F1F"/>
          <w:w w:val="110"/>
          <w:sz w:val="12"/>
        </w:rPr>
        <w:t>and </w:t>
      </w:r>
      <w:r>
        <w:rPr>
          <w:rFonts w:ascii="Calibri" w:hAnsi="Calibri"/>
          <w:color w:val="008356"/>
          <w:w w:val="110"/>
          <w:sz w:val="11"/>
        </w:rPr>
        <w:t>PAROXETINE</w:t>
      </w:r>
      <w:r>
        <w:rPr>
          <w:color w:val="231F1F"/>
          <w:w w:val="110"/>
          <w:sz w:val="12"/>
        </w:rPr>
        <w:t>; plasma concentration of phenytoin possibly increased by </w:t>
      </w:r>
      <w:r>
        <w:rPr>
          <w:rFonts w:ascii="Calibri" w:hAnsi="Calibri"/>
          <w:color w:val="008356"/>
          <w:w w:val="110"/>
          <w:sz w:val="11"/>
        </w:rPr>
        <w:t>SERTRALINE</w:t>
      </w:r>
      <w:r>
        <w:rPr>
          <w:color w:val="231F1F"/>
          <w:w w:val="110"/>
          <w:sz w:val="12"/>
        </w:rPr>
        <w:t>, also plasma concentration of sertraline possibly reduced; anticonvulsant effect of antiepileptics possibly antagonised by </w:t>
      </w:r>
      <w:r>
        <w:rPr>
          <w:rFonts w:ascii="Calibri" w:hAnsi="Calibri"/>
          <w:color w:val="008356"/>
          <w:w w:val="110"/>
          <w:sz w:val="11"/>
        </w:rPr>
        <w:t>MAOI</w:t>
      </w:r>
      <w:r>
        <w:rPr>
          <w:rFonts w:ascii="Calibri" w:hAnsi="Calibri"/>
          <w:color w:val="008356"/>
          <w:w w:val="110"/>
          <w:sz w:val="9"/>
        </w:rPr>
        <w:t>S </w:t>
      </w:r>
      <w:r>
        <w:rPr>
          <w:color w:val="231F1F"/>
          <w:w w:val="110"/>
          <w:sz w:val="12"/>
        </w:rPr>
        <w:t>and </w:t>
      </w:r>
      <w:r>
        <w:rPr>
          <w:rFonts w:ascii="Arial" w:hAnsi="Arial"/>
          <w:color w:val="231F1F"/>
          <w:w w:val="355"/>
          <w:position w:val="1"/>
          <w:sz w:val="7"/>
        </w:rPr>
        <w:t>l </w:t>
      </w:r>
      <w:r>
        <w:rPr>
          <w:rFonts w:ascii="Calibri" w:hAnsi="Calibri"/>
          <w:color w:val="008356"/>
          <w:w w:val="110"/>
          <w:sz w:val="11"/>
        </w:rPr>
        <w:t>TRICYCLIC- RELATED ANTIDEPRESSANTS </w:t>
      </w:r>
      <w:r>
        <w:rPr>
          <w:color w:val="231F1F"/>
          <w:w w:val="110"/>
          <w:sz w:val="12"/>
        </w:rPr>
        <w:t>(convulsive threshold lowered); anticonvulsant effect of antiepileptics antagonised by </w:t>
      </w:r>
      <w:r>
        <w:rPr>
          <w:rFonts w:ascii="Arial" w:hAnsi="Arial"/>
          <w:color w:val="231F1F"/>
          <w:w w:val="355"/>
          <w:position w:val="1"/>
          <w:sz w:val="7"/>
        </w:rPr>
        <w:t>l </w:t>
      </w:r>
      <w:r>
        <w:rPr>
          <w:rFonts w:ascii="Calibri" w:hAnsi="Calibri"/>
          <w:color w:val="008356"/>
          <w:w w:val="110"/>
          <w:sz w:val="11"/>
        </w:rPr>
        <w:t>SSRIS </w:t>
      </w:r>
      <w:r>
        <w:rPr>
          <w:color w:val="231F1F"/>
          <w:w w:val="110"/>
          <w:sz w:val="12"/>
        </w:rPr>
        <w:t>and </w:t>
      </w:r>
      <w:r>
        <w:rPr>
          <w:rFonts w:ascii="Arial" w:hAnsi="Arial"/>
          <w:color w:val="231F1F"/>
          <w:w w:val="355"/>
          <w:position w:val="1"/>
          <w:sz w:val="7"/>
        </w:rPr>
        <w:t>l </w:t>
      </w:r>
      <w:r>
        <w:rPr>
          <w:rFonts w:ascii="Calibri" w:hAnsi="Calibri"/>
          <w:color w:val="008356"/>
          <w:w w:val="110"/>
          <w:sz w:val="11"/>
        </w:rPr>
        <w:t>TRICYCLICS </w:t>
      </w:r>
      <w:r>
        <w:rPr>
          <w:color w:val="231F1F"/>
          <w:w w:val="110"/>
          <w:sz w:val="12"/>
        </w:rPr>
        <w:t>(convulsive threshold lowered); plasma concentration of phenytoin possibly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sz w:val="12"/>
        </w:rPr>
        <w:t>—</w:t>
      </w:r>
      <w:r>
        <w:rPr>
          <w:color w:val="231F1F"/>
          <w:w w:val="110"/>
          <w:sz w:val="12"/>
        </w:rPr>
        <w:t>avoid concomitant use; phenytoin possibly reduces plasma concentration of </w:t>
      </w:r>
      <w:r>
        <w:rPr>
          <w:rFonts w:ascii="Arial" w:hAnsi="Arial"/>
          <w:color w:val="231F1F"/>
          <w:w w:val="355"/>
          <w:position w:val="1"/>
          <w:sz w:val="7"/>
        </w:rPr>
        <w:t>l </w:t>
      </w:r>
      <w:r>
        <w:rPr>
          <w:rFonts w:ascii="Calibri" w:hAnsi="Calibri"/>
          <w:color w:val="008356"/>
          <w:w w:val="110"/>
          <w:sz w:val="11"/>
        </w:rPr>
        <w:t>TRICYCLICS</w:t>
      </w:r>
    </w:p>
    <w:p>
      <w:pPr>
        <w:pStyle w:val="BodyText"/>
        <w:spacing w:line="220" w:lineRule="auto" w:before="8"/>
        <w:ind w:left="286" w:hanging="100"/>
      </w:pPr>
      <w:r>
        <w:rPr>
          <w:rFonts w:ascii="Lucida Sans Unicode" w:hAnsi="Lucida Sans Unicode"/>
          <w:color w:val="A7A8AC"/>
          <w:w w:val="95"/>
          <w:sz w:val="10"/>
        </w:rPr>
        <w:t>▶ </w:t>
      </w:r>
      <w:r>
        <w:rPr>
          <w:rFonts w:ascii="Calibri" w:hAnsi="Calibri"/>
          <w:color w:val="231F1F"/>
          <w:w w:val="105"/>
        </w:rPr>
        <w:t>Antidiabetics: </w:t>
      </w:r>
      <w:r>
        <w:rPr>
          <w:color w:val="231F1F"/>
          <w:w w:val="105"/>
        </w:rPr>
        <w:t>plasma concentration of phenytoin transiently increased by </w:t>
      </w:r>
      <w:r>
        <w:rPr>
          <w:rFonts w:ascii="Calibri" w:hAnsi="Calibri"/>
          <w:color w:val="008356"/>
          <w:spacing w:val="4"/>
          <w:w w:val="105"/>
          <w:sz w:val="11"/>
        </w:rPr>
        <w:t>TOLBUTAMIDE </w:t>
      </w:r>
      <w:r>
        <w:rPr>
          <w:color w:val="231F1F"/>
          <w:w w:val="105"/>
        </w:rPr>
        <w:t>(possibility of</w:t>
      </w:r>
      <w:r>
        <w:rPr>
          <w:color w:val="231F1F"/>
          <w:spacing w:val="-15"/>
          <w:w w:val="105"/>
        </w:rPr>
        <w:t> </w:t>
      </w:r>
      <w:r>
        <w:rPr>
          <w:color w:val="231F1F"/>
          <w:w w:val="105"/>
        </w:rPr>
        <w:t>toxicity)</w:t>
      </w:r>
    </w:p>
    <w:p>
      <w:pPr>
        <w:pStyle w:val="BodyText"/>
        <w:spacing w:line="244" w:lineRule="auto" w:before="1"/>
        <w:ind w:left="286" w:right="37" w:hanging="100"/>
      </w:pPr>
      <w:r>
        <w:rPr>
          <w:rFonts w:ascii="Arial"/>
          <w:color w:val="231F1F"/>
          <w:w w:val="355"/>
          <w:position w:val="1"/>
          <w:sz w:val="7"/>
        </w:rPr>
        <w:t>l </w:t>
      </w:r>
      <w:r>
        <w:rPr>
          <w:rFonts w:ascii="Calibri"/>
          <w:color w:val="231F1F"/>
          <w:w w:val="110"/>
        </w:rPr>
        <w:t>Antiepileptics: </w:t>
      </w:r>
      <w:r>
        <w:rPr>
          <w:color w:val="231F1F"/>
          <w:w w:val="110"/>
        </w:rPr>
        <w:t>plasma concentration of both drugs often reduced when phenytoin given with </w:t>
      </w:r>
      <w:r>
        <w:rPr>
          <w:rFonts w:ascii="Calibri"/>
          <w:color w:val="008356"/>
          <w:spacing w:val="4"/>
          <w:w w:val="110"/>
          <w:sz w:val="11"/>
        </w:rPr>
        <w:t>CARBAMAZEPINE</w:t>
      </w:r>
      <w:r>
        <w:rPr>
          <w:color w:val="231F1F"/>
          <w:spacing w:val="4"/>
          <w:w w:val="110"/>
        </w:rPr>
        <w:t>, </w:t>
      </w:r>
      <w:r>
        <w:rPr>
          <w:color w:val="231F1F"/>
          <w:w w:val="110"/>
        </w:rPr>
        <w:t>also plasma concentration of phenytoin may be increased; phenytoin reduces plasma concentration of </w:t>
      </w:r>
      <w:r>
        <w:rPr>
          <w:rFonts w:ascii="Calibri"/>
          <w:color w:val="008356"/>
          <w:spacing w:val="4"/>
          <w:w w:val="110"/>
          <w:sz w:val="11"/>
        </w:rPr>
        <w:t>ESLICARBAZEPINE</w:t>
      </w:r>
      <w:r>
        <w:rPr>
          <w:color w:val="231F1F"/>
          <w:spacing w:val="4"/>
          <w:w w:val="110"/>
        </w:rPr>
        <w:t>, </w:t>
      </w:r>
      <w:r>
        <w:rPr>
          <w:color w:val="231F1F"/>
          <w:w w:val="110"/>
        </w:rPr>
        <w:t>also plasma concentration of phenytoin increased; plasma concentration of phenytoin possibly increased</w:t>
      </w:r>
      <w:r>
        <w:rPr>
          <w:color w:val="231F1F"/>
          <w:spacing w:val="6"/>
          <w:w w:val="110"/>
        </w:rPr>
        <w:t> </w:t>
      </w:r>
      <w:r>
        <w:rPr>
          <w:color w:val="231F1F"/>
          <w:w w:val="110"/>
        </w:rPr>
        <w:t>by</w:t>
      </w:r>
    </w:p>
    <w:p>
      <w:pPr>
        <w:spacing w:line="247" w:lineRule="auto" w:before="2"/>
        <w:ind w:left="286" w:right="0" w:firstLine="0"/>
        <w:jc w:val="left"/>
        <w:rPr>
          <w:sz w:val="12"/>
        </w:rPr>
      </w:pPr>
      <w:r>
        <w:rPr>
          <w:rFonts w:ascii="Arial"/>
          <w:color w:val="231F1F"/>
          <w:w w:val="355"/>
          <w:position w:val="1"/>
          <w:sz w:val="7"/>
        </w:rPr>
        <w:t>l </w:t>
      </w:r>
      <w:r>
        <w:rPr>
          <w:rFonts w:ascii="Calibri"/>
          <w:color w:val="008356"/>
          <w:w w:val="110"/>
          <w:sz w:val="11"/>
        </w:rPr>
        <w:t>ETHOSUXIMIDE</w:t>
      </w:r>
      <w:r>
        <w:rPr>
          <w:color w:val="231F1F"/>
          <w:w w:val="110"/>
          <w:sz w:val="12"/>
        </w:rPr>
        <w:t>, also plasma concentration of ethosuximide possibly reduced; phenytoin reduces plasma concentration of </w:t>
      </w:r>
      <w:r>
        <w:rPr>
          <w:rFonts w:ascii="Calibri"/>
          <w:color w:val="008356"/>
          <w:w w:val="110"/>
          <w:sz w:val="11"/>
        </w:rPr>
        <w:t>LAMOTRIGINE</w:t>
      </w:r>
      <w:r>
        <w:rPr>
          <w:color w:val="231F1F"/>
          <w:w w:val="110"/>
          <w:sz w:val="12"/>
        </w:rPr>
        <w:t>, </w:t>
      </w:r>
      <w:r>
        <w:rPr>
          <w:rFonts w:ascii="Calibri"/>
          <w:color w:val="008356"/>
          <w:w w:val="110"/>
          <w:sz w:val="11"/>
        </w:rPr>
        <w:t>TIAGABINE </w:t>
      </w:r>
      <w:r>
        <w:rPr>
          <w:color w:val="231F1F"/>
          <w:w w:val="110"/>
          <w:sz w:val="12"/>
        </w:rPr>
        <w:t>and </w:t>
      </w:r>
      <w:r>
        <w:rPr>
          <w:rFonts w:ascii="Calibri"/>
          <w:color w:val="008356"/>
          <w:w w:val="110"/>
          <w:sz w:val="11"/>
        </w:rPr>
        <w:t>ZONISAMIDE</w:t>
      </w:r>
      <w:r>
        <w:rPr>
          <w:color w:val="231F1F"/>
          <w:w w:val="110"/>
          <w:sz w:val="12"/>
        </w:rPr>
        <w:t>; plasma</w:t>
      </w:r>
    </w:p>
    <w:p>
      <w:pPr>
        <w:pStyle w:val="BodyText"/>
        <w:spacing w:line="247" w:lineRule="auto"/>
        <w:ind w:left="286" w:right="19"/>
      </w:pPr>
      <w:r>
        <w:rPr>
          <w:color w:val="231F1F"/>
          <w:w w:val="110"/>
        </w:rPr>
        <w:t>concentration of phenytoin increased by </w:t>
      </w:r>
      <w:r>
        <w:rPr>
          <w:rFonts w:ascii="Calibri"/>
          <w:color w:val="008356"/>
          <w:spacing w:val="4"/>
          <w:w w:val="110"/>
          <w:sz w:val="11"/>
        </w:rPr>
        <w:t>OXCARBAZEPINE</w:t>
      </w:r>
      <w:r>
        <w:rPr>
          <w:color w:val="231F1F"/>
          <w:spacing w:val="4"/>
          <w:w w:val="110"/>
        </w:rPr>
        <w:t>, </w:t>
      </w:r>
      <w:r>
        <w:rPr>
          <w:color w:val="231F1F"/>
          <w:spacing w:val="-3"/>
          <w:w w:val="110"/>
        </w:rPr>
        <w:t>also </w:t>
      </w:r>
      <w:r>
        <w:rPr>
          <w:color w:val="231F1F"/>
          <w:w w:val="110"/>
        </w:rPr>
        <w:t>plasma concentration of an active  metabolite  of oxcarbazepine reduced; phenytoin reduces plasma concentration of </w:t>
      </w:r>
      <w:r>
        <w:rPr>
          <w:rFonts w:ascii="Arial"/>
          <w:color w:val="231F1F"/>
          <w:w w:val="355"/>
          <w:position w:val="1"/>
          <w:sz w:val="7"/>
        </w:rPr>
        <w:t>l</w:t>
      </w:r>
      <w:r>
        <w:rPr>
          <w:rFonts w:ascii="Arial"/>
          <w:color w:val="231F1F"/>
          <w:spacing w:val="-31"/>
          <w:w w:val="355"/>
          <w:position w:val="1"/>
          <w:sz w:val="7"/>
        </w:rPr>
        <w:t> </w:t>
      </w:r>
      <w:r>
        <w:rPr>
          <w:rFonts w:ascii="Calibri"/>
          <w:color w:val="008356"/>
          <w:spacing w:val="4"/>
          <w:w w:val="110"/>
          <w:sz w:val="11"/>
        </w:rPr>
        <w:t>PERAMPANEL </w:t>
      </w:r>
      <w:r>
        <w:rPr>
          <w:color w:val="231F1F"/>
          <w:w w:val="110"/>
        </w:rPr>
        <w:t>(see under Perampanel,</w:t>
      </w:r>
    </w:p>
    <w:p>
      <w:pPr>
        <w:pStyle w:val="BodyText"/>
        <w:spacing w:line="247" w:lineRule="auto"/>
        <w:ind w:left="286"/>
      </w:pPr>
      <w:r>
        <w:rPr>
          <w:color w:val="231F1F"/>
          <w:w w:val="115"/>
        </w:rPr>
        <w:t>p. 398); phenytoin often increases plasma concentration of</w:t>
      </w:r>
      <w:r>
        <w:rPr>
          <w:color w:val="008356"/>
          <w:w w:val="115"/>
        </w:rPr>
        <w:t> </w:t>
      </w:r>
      <w:r>
        <w:rPr>
          <w:rFonts w:ascii="Calibri"/>
          <w:color w:val="008356"/>
          <w:w w:val="115"/>
          <w:sz w:val="11"/>
        </w:rPr>
        <w:t>PHENOBARBITAL </w:t>
      </w:r>
      <w:r>
        <w:rPr>
          <w:color w:val="231F1F"/>
          <w:w w:val="115"/>
        </w:rPr>
        <w:t>and </w:t>
      </w:r>
      <w:r>
        <w:rPr>
          <w:rFonts w:ascii="Calibri"/>
          <w:color w:val="008356"/>
          <w:w w:val="115"/>
          <w:sz w:val="11"/>
        </w:rPr>
        <w:t>PRIMIDONE</w:t>
      </w:r>
      <w:r>
        <w:rPr>
          <w:color w:val="231F1F"/>
          <w:w w:val="115"/>
        </w:rPr>
        <w:t>, plasma concentration of phenytoin often reduced but may be increased; phenytoin possibly reduces plasma concentration of </w:t>
      </w:r>
      <w:r>
        <w:rPr>
          <w:rFonts w:ascii="Calibri"/>
          <w:color w:val="008356"/>
          <w:w w:val="115"/>
          <w:sz w:val="11"/>
        </w:rPr>
        <w:t>RETIGABINE</w:t>
      </w:r>
      <w:r>
        <w:rPr>
          <w:color w:val="231F1F"/>
          <w:w w:val="115"/>
        </w:rPr>
        <w:t>;</w:t>
      </w:r>
    </w:p>
    <w:p>
      <w:pPr>
        <w:pStyle w:val="BodyText"/>
        <w:spacing w:before="8"/>
        <w:ind w:left="0"/>
        <w:rPr>
          <w:sz w:val="14"/>
        </w:rPr>
      </w:pPr>
      <w:r>
        <w:rPr/>
        <w:br w:type="column"/>
      </w:r>
      <w:r>
        <w:rPr>
          <w:sz w:val="14"/>
        </w:rPr>
      </w:r>
    </w:p>
    <w:p>
      <w:pPr>
        <w:pStyle w:val="BodyText"/>
        <w:ind w:left="180"/>
        <w:rPr>
          <w:rFonts w:ascii="Arial"/>
        </w:rPr>
      </w:pPr>
      <w:r>
        <w:rPr>
          <w:rFonts w:ascii="Arial"/>
          <w:color w:val="008356"/>
        </w:rPr>
        <w:t>Phenytoin</w:t>
      </w:r>
    </w:p>
    <w:p>
      <w:pPr>
        <w:pStyle w:val="BodyText"/>
        <w:spacing w:line="146" w:lineRule="exact" w:before="5"/>
        <w:ind w:left="180"/>
        <w:rPr>
          <w:rFonts w:ascii="Calibri"/>
        </w:rPr>
      </w:pPr>
      <w:r>
        <w:rPr>
          <w:rFonts w:ascii="Arial"/>
          <w:color w:val="231F1F"/>
          <w:w w:val="355"/>
          <w:position w:val="1"/>
          <w:sz w:val="7"/>
        </w:rPr>
        <w:t>l </w:t>
      </w:r>
      <w:r>
        <w:rPr>
          <w:rFonts w:ascii="Calibri"/>
          <w:color w:val="231F1F"/>
          <w:w w:val="115"/>
        </w:rPr>
        <w:t>Antiepileptics (continued)</w:t>
      </w:r>
    </w:p>
    <w:p>
      <w:pPr>
        <w:pStyle w:val="BodyText"/>
        <w:spacing w:line="247" w:lineRule="auto"/>
        <w:ind w:left="280" w:right="620"/>
        <w:rPr>
          <w:rFonts w:ascii="Calibri"/>
          <w:sz w:val="11"/>
        </w:rPr>
      </w:pPr>
      <w:r>
        <w:rPr>
          <w:color w:val="231F1F"/>
          <w:w w:val="110"/>
        </w:rPr>
        <w:t>phenytoin possibly reduces plasma concentration of </w:t>
      </w:r>
      <w:r>
        <w:rPr>
          <w:rFonts w:ascii="Calibri"/>
          <w:color w:val="008356"/>
          <w:spacing w:val="4"/>
          <w:w w:val="110"/>
          <w:sz w:val="11"/>
        </w:rPr>
        <w:t>RUFINAMIDE</w:t>
      </w:r>
      <w:r>
        <w:rPr>
          <w:color w:val="231F1F"/>
          <w:spacing w:val="4"/>
          <w:w w:val="110"/>
        </w:rPr>
        <w:t>, </w:t>
      </w:r>
      <w:r>
        <w:rPr>
          <w:color w:val="231F1F"/>
          <w:w w:val="110"/>
        </w:rPr>
        <w:t>also plasma concentration of phenytoin possibly increased; plasma concentration of phenytoin increased or possibly reduced when given with </w:t>
      </w:r>
      <w:r>
        <w:rPr>
          <w:rFonts w:ascii="Calibri"/>
          <w:color w:val="008356"/>
          <w:spacing w:val="4"/>
          <w:w w:val="110"/>
          <w:sz w:val="11"/>
        </w:rPr>
        <w:t>SODIUM </w:t>
      </w:r>
      <w:r>
        <w:rPr>
          <w:rFonts w:ascii="Calibri"/>
          <w:color w:val="008356"/>
          <w:spacing w:val="3"/>
          <w:w w:val="110"/>
          <w:sz w:val="11"/>
        </w:rPr>
        <w:t>VALPROATE </w:t>
      </w:r>
      <w:r>
        <w:rPr>
          <w:color w:val="231F1F"/>
          <w:w w:val="110"/>
        </w:rPr>
        <w:t>and </w:t>
      </w:r>
      <w:r>
        <w:rPr>
          <w:rFonts w:ascii="Calibri"/>
          <w:color w:val="008356"/>
          <w:spacing w:val="3"/>
          <w:w w:val="110"/>
          <w:sz w:val="11"/>
        </w:rPr>
        <w:t>VALPROIC </w:t>
      </w:r>
      <w:r>
        <w:rPr>
          <w:rFonts w:ascii="Calibri"/>
          <w:color w:val="008356"/>
          <w:spacing w:val="4"/>
          <w:w w:val="110"/>
          <w:sz w:val="11"/>
        </w:rPr>
        <w:t>ACID</w:t>
      </w:r>
      <w:r>
        <w:rPr>
          <w:color w:val="231F1F"/>
          <w:spacing w:val="4"/>
          <w:w w:val="110"/>
        </w:rPr>
        <w:t>, </w:t>
      </w:r>
      <w:r>
        <w:rPr>
          <w:color w:val="231F1F"/>
          <w:w w:val="110"/>
        </w:rPr>
        <w:t>also plasma concentration of sodium valproate and valproic acid reduced; plasma concentration </w:t>
      </w:r>
      <w:r>
        <w:rPr>
          <w:color w:val="231F1F"/>
          <w:spacing w:val="-6"/>
          <w:w w:val="110"/>
        </w:rPr>
        <w:t>of </w:t>
      </w:r>
      <w:r>
        <w:rPr>
          <w:color w:val="231F1F"/>
          <w:w w:val="110"/>
        </w:rPr>
        <w:t>phenytoin increased by </w:t>
      </w:r>
      <w:r>
        <w:rPr>
          <w:rFonts w:ascii="Arial"/>
          <w:color w:val="231F1F"/>
          <w:w w:val="355"/>
          <w:position w:val="1"/>
          <w:sz w:val="7"/>
        </w:rPr>
        <w:t>l </w:t>
      </w:r>
      <w:r>
        <w:rPr>
          <w:rFonts w:ascii="Calibri"/>
          <w:color w:val="008356"/>
          <w:spacing w:val="4"/>
          <w:w w:val="110"/>
          <w:sz w:val="11"/>
        </w:rPr>
        <w:t>STIRIPENTOL</w:t>
      </w:r>
      <w:r>
        <w:rPr>
          <w:color w:val="231F1F"/>
          <w:spacing w:val="4"/>
          <w:w w:val="110"/>
        </w:rPr>
        <w:t>; </w:t>
      </w:r>
      <w:r>
        <w:rPr>
          <w:color w:val="231F1F"/>
          <w:w w:val="110"/>
        </w:rPr>
        <w:t>plasma concentration of phenytoin increased by </w:t>
      </w:r>
      <w:r>
        <w:rPr>
          <w:rFonts w:ascii="Arial"/>
          <w:color w:val="231F1F"/>
          <w:w w:val="355"/>
          <w:position w:val="1"/>
          <w:sz w:val="7"/>
        </w:rPr>
        <w:t>l </w:t>
      </w:r>
      <w:r>
        <w:rPr>
          <w:rFonts w:ascii="Calibri"/>
          <w:color w:val="008356"/>
          <w:spacing w:val="3"/>
          <w:w w:val="110"/>
          <w:sz w:val="11"/>
        </w:rPr>
        <w:t>TOPIRAMATE </w:t>
      </w:r>
      <w:r>
        <w:rPr>
          <w:color w:val="231F1F"/>
          <w:w w:val="110"/>
        </w:rPr>
        <w:t>(also plasma concentration of topiramate reduced);  plasma  concentration of phenytoin reduced by</w:t>
      </w:r>
      <w:r>
        <w:rPr>
          <w:color w:val="231F1F"/>
          <w:spacing w:val="-9"/>
          <w:w w:val="110"/>
        </w:rPr>
        <w:t> </w:t>
      </w:r>
      <w:r>
        <w:rPr>
          <w:rFonts w:ascii="Calibri"/>
          <w:color w:val="008356"/>
          <w:spacing w:val="4"/>
          <w:w w:val="110"/>
          <w:sz w:val="11"/>
        </w:rPr>
        <w:t>VIGABATRIN</w:t>
      </w:r>
    </w:p>
    <w:p>
      <w:pPr>
        <w:pStyle w:val="BodyText"/>
        <w:spacing w:line="134" w:lineRule="exact"/>
        <w:ind w:left="180"/>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Antifungals: </w:t>
      </w:r>
      <w:r>
        <w:rPr>
          <w:color w:val="231F1F"/>
          <w:w w:val="115"/>
        </w:rPr>
        <w:t>phenytoin reduces plasma concentration of</w:t>
      </w:r>
    </w:p>
    <w:p>
      <w:pPr>
        <w:pStyle w:val="BodyText"/>
        <w:spacing w:line="244" w:lineRule="auto"/>
        <w:ind w:left="280" w:right="602"/>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0"/>
          <w:sz w:val="11"/>
        </w:rPr>
        <w:t>KETOCONAZOLE</w:t>
      </w:r>
      <w:r>
        <w:rPr>
          <w:rFonts w:ascii="Calibri" w:hAnsi="Calibri"/>
          <w:color w:val="008356"/>
          <w:spacing w:val="-1"/>
          <w:w w:val="110"/>
          <w:sz w:val="11"/>
        </w:rPr>
        <w:t> </w:t>
      </w:r>
      <w:r>
        <w:rPr>
          <w:color w:val="231F1F"/>
          <w:w w:val="110"/>
        </w:rPr>
        <w:t>and</w:t>
      </w:r>
      <w:r>
        <w:rPr>
          <w:color w:val="231F1F"/>
          <w:spacing w:val="-11"/>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POSACONAZOLE</w:t>
      </w:r>
      <w:r>
        <w:rPr>
          <w:color w:val="231F1F"/>
          <w:spacing w:val="4"/>
          <w:w w:val="110"/>
        </w:rPr>
        <w:t>;</w:t>
      </w:r>
      <w:r>
        <w:rPr>
          <w:color w:val="231F1F"/>
          <w:spacing w:val="-11"/>
          <w:w w:val="110"/>
        </w:rPr>
        <w:t> </w:t>
      </w:r>
      <w:r>
        <w:rPr>
          <w:color w:val="231F1F"/>
          <w:w w:val="110"/>
        </w:rPr>
        <w:t>anticonvulsant</w:t>
      </w:r>
      <w:r>
        <w:rPr>
          <w:color w:val="231F1F"/>
          <w:spacing w:val="-11"/>
          <w:w w:val="110"/>
        </w:rPr>
        <w:t> </w:t>
      </w:r>
      <w:r>
        <w:rPr>
          <w:color w:val="231F1F"/>
          <w:w w:val="110"/>
        </w:rPr>
        <w:t>effect of phenytoin enhanced by </w:t>
      </w:r>
      <w:r>
        <w:rPr>
          <w:rFonts w:ascii="Arial" w:hAnsi="Arial"/>
          <w:color w:val="231F1F"/>
          <w:w w:val="355"/>
          <w:position w:val="1"/>
          <w:sz w:val="7"/>
        </w:rPr>
        <w:t>l </w:t>
      </w:r>
      <w:r>
        <w:rPr>
          <w:rFonts w:ascii="Calibri" w:hAnsi="Calibri"/>
          <w:color w:val="008356"/>
          <w:spacing w:val="4"/>
          <w:w w:val="110"/>
          <w:sz w:val="11"/>
        </w:rPr>
        <w:t>MICONAZOLE </w:t>
      </w:r>
      <w:r>
        <w:rPr>
          <w:color w:val="231F1F"/>
          <w:w w:val="110"/>
        </w:rPr>
        <w:t>(plasma concentration of phenytoin increased);  plasma  </w:t>
      </w:r>
      <w:r>
        <w:rPr>
          <w:color w:val="231F1F"/>
          <w:spacing w:val="-2"/>
          <w:w w:val="110"/>
        </w:rPr>
        <w:t>concentration </w:t>
      </w:r>
      <w:r>
        <w:rPr>
          <w:color w:val="231F1F"/>
          <w:w w:val="110"/>
        </w:rPr>
        <w:t>of phenytoin increased by </w:t>
      </w:r>
      <w:r>
        <w:rPr>
          <w:rFonts w:ascii="Arial" w:hAnsi="Arial"/>
          <w:color w:val="231F1F"/>
          <w:w w:val="355"/>
          <w:position w:val="1"/>
          <w:sz w:val="7"/>
        </w:rPr>
        <w:t>l </w:t>
      </w:r>
      <w:r>
        <w:rPr>
          <w:rFonts w:ascii="Calibri" w:hAnsi="Calibri"/>
          <w:color w:val="008356"/>
          <w:spacing w:val="4"/>
          <w:w w:val="110"/>
          <w:sz w:val="11"/>
        </w:rPr>
        <w:t>FLUCONAZOLE </w:t>
      </w:r>
      <w:r>
        <w:rPr>
          <w:color w:val="231F1F"/>
          <w:w w:val="110"/>
        </w:rPr>
        <w:t>(consider reducing dose of phenytoin); phenytoin reduces plasma  concentration of </w:t>
      </w:r>
      <w:r>
        <w:rPr>
          <w:rFonts w:ascii="Arial" w:hAnsi="Arial"/>
          <w:color w:val="231F1F"/>
          <w:w w:val="355"/>
          <w:position w:val="1"/>
          <w:sz w:val="7"/>
        </w:rPr>
        <w:t>l </w:t>
      </w:r>
      <w:r>
        <w:rPr>
          <w:rFonts w:ascii="Calibri" w:hAnsi="Calibri"/>
          <w:color w:val="008356"/>
          <w:spacing w:val="3"/>
          <w:w w:val="110"/>
          <w:sz w:val="11"/>
        </w:rPr>
        <w:t>ITRACONAZOLE</w:t>
      </w:r>
      <w:r>
        <w:rPr>
          <w:rFonts w:ascii="Arial" w:hAnsi="Arial"/>
          <w:color w:val="231F1F"/>
          <w:spacing w:val="3"/>
          <w:w w:val="110"/>
        </w:rPr>
        <w:t>—</w:t>
      </w:r>
      <w:r>
        <w:rPr>
          <w:color w:val="231F1F"/>
          <w:spacing w:val="3"/>
          <w:w w:val="110"/>
        </w:rPr>
        <w:t>avoid </w:t>
      </w:r>
      <w:r>
        <w:rPr>
          <w:color w:val="231F1F"/>
          <w:w w:val="110"/>
        </w:rPr>
        <w:t>concomitant use; plasma concentration of phenytoin increased by </w:t>
      </w:r>
      <w:r>
        <w:rPr>
          <w:rFonts w:ascii="Arial" w:hAnsi="Arial"/>
          <w:color w:val="231F1F"/>
          <w:w w:val="355"/>
          <w:position w:val="1"/>
          <w:sz w:val="7"/>
        </w:rPr>
        <w:t>l </w:t>
      </w:r>
      <w:r>
        <w:rPr>
          <w:rFonts w:ascii="Calibri" w:hAnsi="Calibri"/>
          <w:color w:val="008356"/>
          <w:spacing w:val="4"/>
          <w:w w:val="110"/>
          <w:sz w:val="11"/>
        </w:rPr>
        <w:t>VORICONAZOLE</w:t>
      </w:r>
      <w:r>
        <w:rPr>
          <w:color w:val="231F1F"/>
          <w:spacing w:val="4"/>
          <w:w w:val="110"/>
        </w:rPr>
        <w:t>, </w:t>
      </w:r>
      <w:r>
        <w:rPr>
          <w:color w:val="231F1F"/>
          <w:w w:val="110"/>
        </w:rPr>
        <w:t>also phenytoin reduces plasma concentration of </w:t>
      </w:r>
      <w:r>
        <w:rPr>
          <w:color w:val="231F1F"/>
          <w:spacing w:val="-2"/>
          <w:w w:val="110"/>
        </w:rPr>
        <w:t>voriconazole </w:t>
      </w:r>
      <w:r>
        <w:rPr>
          <w:color w:val="231F1F"/>
          <w:w w:val="110"/>
        </w:rPr>
        <w:t>(increase dose of voriconazole and  also  monitor  for phenytoin toxicity); phenytoin possibly reduces plasma concentration of </w:t>
      </w:r>
      <w:r>
        <w:rPr>
          <w:rFonts w:ascii="Calibri" w:hAnsi="Calibri"/>
          <w:color w:val="008356"/>
          <w:spacing w:val="2"/>
          <w:w w:val="110"/>
          <w:sz w:val="11"/>
        </w:rPr>
        <w:t>CASPOFUNGIN</w:t>
      </w:r>
      <w:r>
        <w:rPr>
          <w:rFonts w:ascii="Arial" w:hAnsi="Arial"/>
          <w:color w:val="231F1F"/>
          <w:spacing w:val="2"/>
          <w:w w:val="110"/>
        </w:rPr>
        <w:t>—</w:t>
      </w:r>
      <w:r>
        <w:rPr>
          <w:color w:val="231F1F"/>
          <w:spacing w:val="2"/>
          <w:w w:val="110"/>
        </w:rPr>
        <w:t>consider </w:t>
      </w:r>
      <w:r>
        <w:rPr>
          <w:color w:val="231F1F"/>
          <w:w w:val="110"/>
        </w:rPr>
        <w:t>increasing dose of caspofungin</w:t>
      </w:r>
    </w:p>
    <w:p>
      <w:pPr>
        <w:pStyle w:val="BodyText"/>
        <w:spacing w:line="242" w:lineRule="auto" w:before="5"/>
        <w:ind w:left="280" w:right="600" w:hanging="100"/>
      </w:pPr>
      <w:r>
        <w:rPr>
          <w:rFonts w:ascii="Arial"/>
          <w:color w:val="231F1F"/>
          <w:w w:val="355"/>
          <w:position w:val="1"/>
          <w:sz w:val="7"/>
        </w:rPr>
        <w:t>l </w:t>
      </w:r>
      <w:r>
        <w:rPr>
          <w:rFonts w:ascii="Calibri"/>
          <w:color w:val="231F1F"/>
          <w:w w:val="110"/>
        </w:rPr>
        <w:t>Antimalarials: </w:t>
      </w:r>
      <w:r>
        <w:rPr>
          <w:color w:val="231F1F"/>
          <w:w w:val="110"/>
        </w:rPr>
        <w:t>avoidance of phenytoin advised by manufacturer</w:t>
      </w:r>
      <w:r>
        <w:rPr>
          <w:color w:val="231F1F"/>
          <w:spacing w:val="-18"/>
          <w:w w:val="110"/>
        </w:rPr>
        <w:t> </w:t>
      </w:r>
      <w:r>
        <w:rPr>
          <w:color w:val="231F1F"/>
          <w:w w:val="110"/>
        </w:rPr>
        <w:t>of</w:t>
      </w:r>
      <w:r>
        <w:rPr>
          <w:color w:val="231F1F"/>
          <w:spacing w:val="-17"/>
          <w:w w:val="110"/>
        </w:rPr>
        <w:t> </w:t>
      </w:r>
      <w:r>
        <w:rPr>
          <w:rFonts w:ascii="Calibri"/>
          <w:color w:val="008356"/>
          <w:spacing w:val="4"/>
          <w:w w:val="110"/>
          <w:sz w:val="11"/>
        </w:rPr>
        <w:t>ARTENIMOL</w:t>
      </w:r>
      <w:r>
        <w:rPr>
          <w:rFonts w:ascii="Calibri"/>
          <w:color w:val="008356"/>
          <w:spacing w:val="-14"/>
          <w:w w:val="110"/>
          <w:sz w:val="11"/>
        </w:rPr>
        <w:t> </w:t>
      </w:r>
      <w:r>
        <w:rPr>
          <w:rFonts w:ascii="Calibri"/>
          <w:color w:val="008356"/>
          <w:spacing w:val="3"/>
          <w:w w:val="110"/>
          <w:sz w:val="11"/>
        </w:rPr>
        <w:t>WITH</w:t>
      </w:r>
      <w:r>
        <w:rPr>
          <w:rFonts w:ascii="Calibri"/>
          <w:color w:val="008356"/>
          <w:spacing w:val="-10"/>
          <w:w w:val="110"/>
          <w:sz w:val="11"/>
        </w:rPr>
        <w:t> </w:t>
      </w:r>
      <w:r>
        <w:rPr>
          <w:rFonts w:ascii="Calibri"/>
          <w:color w:val="008356"/>
          <w:spacing w:val="4"/>
          <w:w w:val="110"/>
          <w:sz w:val="11"/>
        </w:rPr>
        <w:t>PIPERAQUINE</w:t>
      </w:r>
      <w:r>
        <w:rPr>
          <w:color w:val="231F1F"/>
          <w:spacing w:val="4"/>
          <w:w w:val="110"/>
        </w:rPr>
        <w:t>;</w:t>
      </w:r>
      <w:r>
        <w:rPr>
          <w:color w:val="231F1F"/>
          <w:spacing w:val="-17"/>
          <w:w w:val="110"/>
        </w:rPr>
        <w:t> </w:t>
      </w:r>
      <w:r>
        <w:rPr>
          <w:color w:val="231F1F"/>
          <w:w w:val="110"/>
        </w:rPr>
        <w:t>anticonvulsant effect of antiepileptics antagonised by </w:t>
      </w:r>
      <w:r>
        <w:rPr>
          <w:rFonts w:ascii="Arial"/>
          <w:color w:val="231F1F"/>
          <w:w w:val="355"/>
          <w:position w:val="1"/>
          <w:sz w:val="7"/>
        </w:rPr>
        <w:t>l </w:t>
      </w:r>
      <w:r>
        <w:rPr>
          <w:rFonts w:ascii="Calibri"/>
          <w:color w:val="008356"/>
          <w:spacing w:val="4"/>
          <w:w w:val="110"/>
          <w:sz w:val="11"/>
        </w:rPr>
        <w:t>MEFLOQUINE</w:t>
      </w:r>
      <w:r>
        <w:rPr>
          <w:color w:val="231F1F"/>
          <w:spacing w:val="4"/>
          <w:w w:val="110"/>
        </w:rPr>
        <w:t>; </w:t>
      </w:r>
      <w:r>
        <w:rPr>
          <w:color w:val="231F1F"/>
          <w:w w:val="110"/>
        </w:rPr>
        <w:t>anticonvulsant effect of phenytoin antagonised</w:t>
      </w:r>
      <w:r>
        <w:rPr>
          <w:color w:val="231F1F"/>
          <w:spacing w:val="14"/>
          <w:w w:val="110"/>
        </w:rPr>
        <w:t> </w:t>
      </w:r>
      <w:r>
        <w:rPr>
          <w:color w:val="231F1F"/>
          <w:w w:val="110"/>
        </w:rPr>
        <w:t>by</w:t>
      </w:r>
    </w:p>
    <w:p>
      <w:pPr>
        <w:spacing w:line="141" w:lineRule="exact" w:before="2"/>
        <w:ind w:left="280"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PYRIMETHAMINE</w:t>
      </w:r>
      <w:r>
        <w:rPr>
          <w:color w:val="231F1F"/>
          <w:spacing w:val="4"/>
          <w:w w:val="110"/>
          <w:sz w:val="12"/>
        </w:rPr>
        <w:t>, </w:t>
      </w:r>
      <w:r>
        <w:rPr>
          <w:color w:val="231F1F"/>
          <w:w w:val="110"/>
          <w:sz w:val="12"/>
        </w:rPr>
        <w:t>also increased antifolate effect</w:t>
      </w:r>
    </w:p>
    <w:p>
      <w:pPr>
        <w:pStyle w:val="BodyText"/>
        <w:spacing w:line="244" w:lineRule="auto"/>
        <w:ind w:left="280" w:right="641" w:hanging="100"/>
      </w:pPr>
      <w:r>
        <w:rPr>
          <w:rFonts w:ascii="Arial" w:hAnsi="Arial"/>
          <w:color w:val="231F1F"/>
          <w:w w:val="355"/>
          <w:position w:val="1"/>
          <w:sz w:val="7"/>
        </w:rPr>
        <w:t>l </w:t>
      </w:r>
      <w:r>
        <w:rPr>
          <w:rFonts w:ascii="Calibri" w:hAnsi="Calibri"/>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Calibri" w:hAnsi="Calibri"/>
          <w:color w:val="008356"/>
          <w:w w:val="110"/>
          <w:sz w:val="11"/>
        </w:rPr>
        <w:t>ANTIPSYCHOTICS </w:t>
      </w:r>
      <w:r>
        <w:rPr>
          <w:color w:val="231F1F"/>
          <w:w w:val="110"/>
        </w:rPr>
        <w:t>(convulsive threshold lowered); phenytoin reduces plasma concentration of </w:t>
      </w:r>
      <w:r>
        <w:rPr>
          <w:rFonts w:ascii="Calibri" w:hAnsi="Calibri"/>
          <w:color w:val="008356"/>
          <w:w w:val="110"/>
          <w:sz w:val="11"/>
        </w:rPr>
        <w:t>HALOPERIDOL</w:t>
      </w:r>
      <w:r>
        <w:rPr>
          <w:color w:val="231F1F"/>
          <w:w w:val="110"/>
        </w:rPr>
        <w:t>; plasma concentration of phenytoin possibly increased or decreased by </w:t>
      </w:r>
      <w:r>
        <w:rPr>
          <w:rFonts w:ascii="Calibri" w:hAnsi="Calibri"/>
          <w:color w:val="008356"/>
          <w:w w:val="110"/>
          <w:sz w:val="11"/>
        </w:rPr>
        <w:t>CHLORPROMAZINE</w:t>
      </w:r>
      <w:r>
        <w:rPr>
          <w:color w:val="231F1F"/>
          <w:w w:val="110"/>
        </w:rPr>
        <w:t>; phenytoin possibly reduces plasma concentration of </w:t>
      </w:r>
      <w:r>
        <w:rPr>
          <w:rFonts w:ascii="Arial" w:hAnsi="Arial"/>
          <w:color w:val="231F1F"/>
          <w:w w:val="355"/>
          <w:position w:val="1"/>
          <w:sz w:val="7"/>
        </w:rPr>
        <w:t>l </w:t>
      </w:r>
      <w:r>
        <w:rPr>
          <w:rFonts w:ascii="Calibri" w:hAnsi="Calibri"/>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phenytoin accelerates metabolism of </w:t>
      </w:r>
      <w:r>
        <w:rPr>
          <w:rFonts w:ascii="Calibri" w:hAnsi="Calibri"/>
          <w:color w:val="008356"/>
          <w:w w:val="110"/>
          <w:sz w:val="11"/>
        </w:rPr>
        <w:t>CLOZAPINE </w:t>
      </w:r>
      <w:r>
        <w:rPr>
          <w:color w:val="231F1F"/>
          <w:w w:val="110"/>
        </w:rPr>
        <w:t>and </w:t>
      </w:r>
      <w:r>
        <w:rPr>
          <w:rFonts w:ascii="Calibri" w:hAnsi="Calibri"/>
          <w:color w:val="008356"/>
          <w:w w:val="110"/>
          <w:sz w:val="11"/>
        </w:rPr>
        <w:t>QUETIAPINE </w:t>
      </w:r>
      <w:r>
        <w:rPr>
          <w:color w:val="231F1F"/>
          <w:w w:val="110"/>
        </w:rPr>
        <w:t>(reduced plasma concentration); phenytoin possibly reduces plasma concentration of </w:t>
      </w:r>
      <w:r>
        <w:rPr>
          <w:rFonts w:ascii="Arial" w:hAnsi="Arial"/>
          <w:color w:val="231F1F"/>
          <w:w w:val="355"/>
          <w:position w:val="1"/>
          <w:sz w:val="7"/>
        </w:rPr>
        <w:t>l </w:t>
      </w:r>
      <w:r>
        <w:rPr>
          <w:rFonts w:ascii="Calibri" w:hAnsi="Calibri"/>
          <w:color w:val="008356"/>
          <w:w w:val="110"/>
          <w:sz w:val="11"/>
        </w:rPr>
        <w:t>LURASIDONE</w:t>
      </w:r>
      <w:r>
        <w:rPr>
          <w:rFonts w:ascii="Arial" w:hAnsi="Arial"/>
          <w:color w:val="231F1F"/>
          <w:w w:val="110"/>
        </w:rPr>
        <w:t>— </w:t>
      </w:r>
      <w:r>
        <w:rPr>
          <w:color w:val="231F1F"/>
          <w:w w:val="110"/>
        </w:rPr>
        <w:t>avoid concomitant use</w:t>
      </w:r>
    </w:p>
    <w:p>
      <w:pPr>
        <w:pStyle w:val="BodyText"/>
        <w:spacing w:line="141" w:lineRule="exact"/>
        <w:ind w:left="180"/>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Antivirals: </w:t>
      </w:r>
      <w:r>
        <w:rPr>
          <w:color w:val="231F1F"/>
          <w:w w:val="115"/>
        </w:rPr>
        <w:t>phenytoin possibly reduces plasma concentration</w:t>
      </w:r>
    </w:p>
    <w:p>
      <w:pPr>
        <w:spacing w:before="0"/>
        <w:ind w:left="280" w:right="0" w:firstLine="0"/>
        <w:jc w:val="left"/>
        <w:rPr>
          <w:sz w:val="12"/>
        </w:rPr>
      </w:pPr>
      <w:r>
        <w:rPr>
          <w:color w:val="231F1F"/>
          <w:w w:val="105"/>
          <w:sz w:val="12"/>
        </w:rPr>
        <w:t>of</w:t>
      </w:r>
      <w:r>
        <w:rPr>
          <w:color w:val="231F1F"/>
          <w:spacing w:val="-15"/>
          <w:w w:val="105"/>
          <w:sz w:val="12"/>
        </w:rPr>
        <w:t> </w:t>
      </w:r>
      <w:r>
        <w:rPr>
          <w:rFonts w:ascii="Calibri"/>
          <w:color w:val="008356"/>
          <w:spacing w:val="3"/>
          <w:w w:val="105"/>
          <w:sz w:val="11"/>
        </w:rPr>
        <w:t>ABACAVIR</w:t>
      </w:r>
      <w:r>
        <w:rPr>
          <w:color w:val="231F1F"/>
          <w:spacing w:val="3"/>
          <w:w w:val="105"/>
          <w:sz w:val="12"/>
        </w:rPr>
        <w:t>,</w:t>
      </w:r>
      <w:r>
        <w:rPr>
          <w:color w:val="231F1F"/>
          <w:spacing w:val="-15"/>
          <w:w w:val="105"/>
          <w:sz w:val="12"/>
        </w:rPr>
        <w:t> </w:t>
      </w:r>
      <w:r>
        <w:rPr>
          <w:rFonts w:ascii="Calibri"/>
          <w:color w:val="008356"/>
          <w:spacing w:val="4"/>
          <w:w w:val="105"/>
          <w:sz w:val="11"/>
        </w:rPr>
        <w:t>DARUNAVIR</w:t>
      </w:r>
      <w:r>
        <w:rPr>
          <w:color w:val="231F1F"/>
          <w:spacing w:val="4"/>
          <w:w w:val="105"/>
          <w:sz w:val="12"/>
        </w:rPr>
        <w:t>,</w:t>
      </w:r>
      <w:r>
        <w:rPr>
          <w:color w:val="231F1F"/>
          <w:spacing w:val="-15"/>
          <w:w w:val="105"/>
          <w:sz w:val="12"/>
        </w:rPr>
        <w:t> </w:t>
      </w:r>
      <w:r>
        <w:rPr>
          <w:rFonts w:ascii="Calibri"/>
          <w:color w:val="008356"/>
          <w:spacing w:val="3"/>
          <w:w w:val="105"/>
          <w:sz w:val="11"/>
        </w:rPr>
        <w:t>LOPINAVIR</w:t>
      </w:r>
      <w:r>
        <w:rPr>
          <w:rFonts w:ascii="Calibri"/>
          <w:color w:val="008356"/>
          <w:spacing w:val="-6"/>
          <w:w w:val="105"/>
          <w:sz w:val="11"/>
        </w:rPr>
        <w:t> </w:t>
      </w:r>
      <w:r>
        <w:rPr>
          <w:color w:val="231F1F"/>
          <w:w w:val="105"/>
          <w:sz w:val="12"/>
        </w:rPr>
        <w:t>and</w:t>
      </w:r>
      <w:r>
        <w:rPr>
          <w:color w:val="231F1F"/>
          <w:spacing w:val="-15"/>
          <w:w w:val="105"/>
          <w:sz w:val="12"/>
        </w:rPr>
        <w:t> </w:t>
      </w:r>
      <w:r>
        <w:rPr>
          <w:rFonts w:ascii="Calibri"/>
          <w:color w:val="008356"/>
          <w:spacing w:val="4"/>
          <w:w w:val="105"/>
          <w:sz w:val="11"/>
        </w:rPr>
        <w:t>SAQUINAVIR</w:t>
      </w:r>
      <w:r>
        <w:rPr>
          <w:color w:val="231F1F"/>
          <w:spacing w:val="4"/>
          <w:w w:val="105"/>
          <w:sz w:val="12"/>
        </w:rPr>
        <w:t>;</w:t>
      </w:r>
    </w:p>
    <w:p>
      <w:pPr>
        <w:pStyle w:val="BodyText"/>
        <w:spacing w:before="1"/>
        <w:ind w:left="280"/>
      </w:pPr>
      <w:r>
        <w:rPr>
          <w:color w:val="231F1F"/>
          <w:w w:val="115"/>
        </w:rPr>
        <w:t>avoidance</w:t>
      </w:r>
      <w:r>
        <w:rPr>
          <w:color w:val="231F1F"/>
          <w:spacing w:val="-9"/>
          <w:w w:val="115"/>
        </w:rPr>
        <w:t> </w:t>
      </w:r>
      <w:r>
        <w:rPr>
          <w:color w:val="231F1F"/>
          <w:w w:val="115"/>
        </w:rPr>
        <w:t>of</w:t>
      </w:r>
      <w:r>
        <w:rPr>
          <w:color w:val="231F1F"/>
          <w:spacing w:val="-8"/>
          <w:w w:val="115"/>
        </w:rPr>
        <w:t> </w:t>
      </w:r>
      <w:r>
        <w:rPr>
          <w:color w:val="231F1F"/>
          <w:w w:val="115"/>
        </w:rPr>
        <w:t>phenytoin</w:t>
      </w:r>
      <w:r>
        <w:rPr>
          <w:color w:val="231F1F"/>
          <w:spacing w:val="-8"/>
          <w:w w:val="115"/>
        </w:rPr>
        <w:t> </w:t>
      </w:r>
      <w:r>
        <w:rPr>
          <w:color w:val="231F1F"/>
          <w:w w:val="115"/>
        </w:rPr>
        <w:t>advised</w:t>
      </w:r>
      <w:r>
        <w:rPr>
          <w:color w:val="231F1F"/>
          <w:spacing w:val="-8"/>
          <w:w w:val="115"/>
        </w:rPr>
        <w:t> </w:t>
      </w:r>
      <w:r>
        <w:rPr>
          <w:color w:val="231F1F"/>
          <w:w w:val="115"/>
        </w:rPr>
        <w:t>by</w:t>
      </w:r>
      <w:r>
        <w:rPr>
          <w:color w:val="231F1F"/>
          <w:spacing w:val="-8"/>
          <w:w w:val="115"/>
        </w:rPr>
        <w:t> </w:t>
      </w:r>
      <w:r>
        <w:rPr>
          <w:color w:val="231F1F"/>
          <w:w w:val="115"/>
        </w:rPr>
        <w:t>manufacturer</w:t>
      </w:r>
      <w:r>
        <w:rPr>
          <w:color w:val="231F1F"/>
          <w:spacing w:val="-9"/>
          <w:w w:val="115"/>
        </w:rPr>
        <w:t> </w:t>
      </w:r>
      <w:r>
        <w:rPr>
          <w:color w:val="231F1F"/>
          <w:w w:val="115"/>
        </w:rPr>
        <w:t>of</w:t>
      </w:r>
    </w:p>
    <w:p>
      <w:pPr>
        <w:spacing w:line="247" w:lineRule="auto" w:before="6"/>
        <w:ind w:left="280" w:right="599" w:firstLine="0"/>
        <w:jc w:val="left"/>
        <w:rPr>
          <w:rFonts w:ascii="Calibri" w:hAnsi="Calibri"/>
          <w:sz w:val="11"/>
        </w:rPr>
      </w:pPr>
      <w:r>
        <w:rPr>
          <w:rFonts w:ascii="Arial" w:hAnsi="Arial"/>
          <w:color w:val="231F1F"/>
          <w:w w:val="355"/>
          <w:position w:val="1"/>
          <w:sz w:val="7"/>
        </w:rPr>
        <w:t>l </w:t>
      </w:r>
      <w:r>
        <w:rPr>
          <w:rFonts w:ascii="Calibri" w:hAnsi="Calibri"/>
          <w:color w:val="008356"/>
          <w:spacing w:val="4"/>
          <w:w w:val="115"/>
          <w:sz w:val="11"/>
        </w:rPr>
        <w:t>BOCEPREVIR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RILPIVIRINE </w:t>
      </w:r>
      <w:r>
        <w:rPr>
          <w:color w:val="231F1F"/>
          <w:w w:val="115"/>
          <w:sz w:val="12"/>
        </w:rPr>
        <w:t>(plasma concentration of boceprevir and rilpivirine possibly reduced); phenytoin possibly</w:t>
      </w:r>
      <w:r>
        <w:rPr>
          <w:color w:val="231F1F"/>
          <w:spacing w:val="-13"/>
          <w:w w:val="115"/>
          <w:sz w:val="12"/>
        </w:rPr>
        <w:t> </w:t>
      </w:r>
      <w:r>
        <w:rPr>
          <w:color w:val="231F1F"/>
          <w:w w:val="115"/>
          <w:sz w:val="12"/>
        </w:rPr>
        <w:t>reduces</w:t>
      </w:r>
      <w:r>
        <w:rPr>
          <w:color w:val="231F1F"/>
          <w:spacing w:val="-13"/>
          <w:w w:val="115"/>
          <w:sz w:val="12"/>
        </w:rPr>
        <w:t> </w:t>
      </w:r>
      <w:r>
        <w:rPr>
          <w:color w:val="231F1F"/>
          <w:w w:val="115"/>
          <w:sz w:val="12"/>
        </w:rPr>
        <w:t>plasma</w:t>
      </w:r>
      <w:r>
        <w:rPr>
          <w:color w:val="231F1F"/>
          <w:spacing w:val="-12"/>
          <w:w w:val="115"/>
          <w:sz w:val="12"/>
        </w:rPr>
        <w:t> </w:t>
      </w:r>
      <w:r>
        <w:rPr>
          <w:color w:val="231F1F"/>
          <w:w w:val="115"/>
          <w:sz w:val="12"/>
        </w:rPr>
        <w:t>concentration</w:t>
      </w:r>
      <w:r>
        <w:rPr>
          <w:color w:val="231F1F"/>
          <w:spacing w:val="-13"/>
          <w:w w:val="115"/>
          <w:sz w:val="12"/>
        </w:rPr>
        <w:t> </w:t>
      </w:r>
      <w:r>
        <w:rPr>
          <w:color w:val="231F1F"/>
          <w:w w:val="115"/>
          <w:sz w:val="12"/>
        </w:rPr>
        <w:t>of</w:t>
      </w:r>
      <w:r>
        <w:rPr>
          <w:color w:val="231F1F"/>
          <w:spacing w:val="-12"/>
          <w:w w:val="115"/>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5"/>
          <w:sz w:val="11"/>
        </w:rPr>
        <w:t>DACLATASVIR</w:t>
      </w:r>
      <w:r>
        <w:rPr>
          <w:rFonts w:ascii="Calibri" w:hAnsi="Calibri"/>
          <w:color w:val="008356"/>
          <w:spacing w:val="-3"/>
          <w:w w:val="115"/>
          <w:sz w:val="11"/>
        </w:rPr>
        <w:t> </w:t>
      </w:r>
      <w:r>
        <w:rPr>
          <w:color w:val="231F1F"/>
          <w:w w:val="115"/>
          <w:sz w:val="12"/>
        </w:rPr>
        <w:t>and</w:t>
      </w:r>
      <w:r>
        <w:rPr>
          <w:color w:val="231F1F"/>
          <w:w w:val="115"/>
          <w:position w:val="1"/>
          <w:sz w:val="12"/>
        </w:rPr>
        <w:t> </w:t>
      </w:r>
      <w:r>
        <w:rPr>
          <w:rFonts w:ascii="Arial" w:hAnsi="Arial"/>
          <w:color w:val="231F1F"/>
          <w:w w:val="355"/>
          <w:position w:val="1"/>
          <w:sz w:val="7"/>
        </w:rPr>
        <w:t>l </w:t>
      </w:r>
      <w:r>
        <w:rPr>
          <w:rFonts w:ascii="Calibri" w:hAnsi="Calibri"/>
          <w:color w:val="008356"/>
          <w:spacing w:val="2"/>
          <w:w w:val="115"/>
          <w:sz w:val="11"/>
        </w:rPr>
        <w:t>SIMEPREVIR</w:t>
      </w:r>
      <w:r>
        <w:rPr>
          <w:rFonts w:ascii="Arial" w:hAnsi="Arial"/>
          <w:color w:val="231F1F"/>
          <w:spacing w:val="2"/>
          <w:w w:val="115"/>
          <w:sz w:val="12"/>
        </w:rPr>
        <w:t>—</w:t>
      </w:r>
      <w:r>
        <w:rPr>
          <w:color w:val="231F1F"/>
          <w:spacing w:val="2"/>
          <w:w w:val="115"/>
          <w:sz w:val="12"/>
        </w:rPr>
        <w:t>manufacturer </w:t>
      </w:r>
      <w:r>
        <w:rPr>
          <w:color w:val="231F1F"/>
          <w:w w:val="115"/>
          <w:sz w:val="12"/>
        </w:rPr>
        <w:t>of daclatasvir and simeprevir advises avoid concomitant use; avoidance of phenytoin advised</w:t>
      </w:r>
      <w:r>
        <w:rPr>
          <w:color w:val="231F1F"/>
          <w:spacing w:val="-21"/>
          <w:w w:val="115"/>
          <w:sz w:val="12"/>
        </w:rPr>
        <w:t> </w:t>
      </w:r>
      <w:r>
        <w:rPr>
          <w:color w:val="231F1F"/>
          <w:w w:val="115"/>
          <w:sz w:val="12"/>
        </w:rPr>
        <w:t>by</w:t>
      </w:r>
      <w:r>
        <w:rPr>
          <w:color w:val="231F1F"/>
          <w:spacing w:val="-21"/>
          <w:w w:val="115"/>
          <w:sz w:val="12"/>
        </w:rPr>
        <w:t> </w:t>
      </w:r>
      <w:r>
        <w:rPr>
          <w:color w:val="231F1F"/>
          <w:w w:val="115"/>
          <w:sz w:val="12"/>
        </w:rPr>
        <w:t>manufacturer</w:t>
      </w:r>
      <w:r>
        <w:rPr>
          <w:color w:val="231F1F"/>
          <w:spacing w:val="-21"/>
          <w:w w:val="115"/>
          <w:sz w:val="12"/>
        </w:rPr>
        <w:t> </w:t>
      </w:r>
      <w:r>
        <w:rPr>
          <w:color w:val="231F1F"/>
          <w:w w:val="115"/>
          <w:sz w:val="12"/>
        </w:rPr>
        <w:t>of</w:t>
      </w:r>
      <w:r>
        <w:rPr>
          <w:color w:val="231F1F"/>
          <w:spacing w:val="-21"/>
          <w:w w:val="115"/>
          <w:sz w:val="12"/>
        </w:rPr>
        <w:t> </w:t>
      </w:r>
      <w:r>
        <w:rPr>
          <w:rFonts w:ascii="Calibri" w:hAnsi="Calibri"/>
          <w:color w:val="008356"/>
          <w:spacing w:val="4"/>
          <w:w w:val="115"/>
          <w:sz w:val="11"/>
        </w:rPr>
        <w:t>DOLUTEGRAVIR</w:t>
      </w:r>
      <w:r>
        <w:rPr>
          <w:color w:val="231F1F"/>
          <w:spacing w:val="4"/>
          <w:w w:val="115"/>
          <w:sz w:val="12"/>
        </w:rPr>
        <w:t>,</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ELVITEGRAVIR</w:t>
      </w:r>
      <w:r>
        <w:rPr>
          <w:color w:val="231F1F"/>
          <w:spacing w:val="3"/>
          <w:w w:val="115"/>
          <w:sz w:val="12"/>
        </w:rPr>
        <w:t>, </w:t>
      </w:r>
      <w:r>
        <w:rPr>
          <w:rFonts w:ascii="Calibri" w:hAnsi="Calibri"/>
          <w:color w:val="008356"/>
          <w:spacing w:val="4"/>
          <w:w w:val="110"/>
          <w:sz w:val="11"/>
        </w:rPr>
        <w:t>ETRAVIRINE</w:t>
      </w:r>
      <w:r>
        <w:rPr>
          <w:color w:val="231F1F"/>
          <w:spacing w:val="4"/>
          <w:w w:val="110"/>
          <w:sz w:val="12"/>
        </w:rPr>
        <w:t>,</w:t>
      </w:r>
      <w:r>
        <w:rPr>
          <w:color w:val="231F1F"/>
          <w:spacing w:val="-8"/>
          <w:w w:val="110"/>
          <w:sz w:val="12"/>
        </w:rPr>
        <w:t> </w:t>
      </w:r>
      <w:r>
        <w:rPr>
          <w:rFonts w:ascii="Calibri" w:hAnsi="Calibri"/>
          <w:color w:val="008356"/>
          <w:spacing w:val="4"/>
          <w:w w:val="110"/>
          <w:sz w:val="11"/>
        </w:rPr>
        <w:t>SOFOSBUVIR</w:t>
      </w:r>
      <w:r>
        <w:rPr>
          <w:rFonts w:ascii="Calibri" w:hAnsi="Calibri"/>
          <w:color w:val="008356"/>
          <w:spacing w:val="1"/>
          <w:w w:val="110"/>
          <w:sz w:val="11"/>
        </w:rPr>
        <w:t> </w:t>
      </w:r>
      <w:r>
        <w:rPr>
          <w:color w:val="231F1F"/>
          <w:w w:val="110"/>
          <w:sz w:val="12"/>
        </w:rPr>
        <w:t>and</w:t>
      </w:r>
      <w:r>
        <w:rPr>
          <w:color w:val="231F1F"/>
          <w:spacing w:val="-8"/>
          <w:w w:val="110"/>
          <w:sz w:val="12"/>
        </w:rPr>
        <w:t> </w:t>
      </w:r>
      <w:r>
        <w:rPr>
          <w:rFonts w:ascii="Arial" w:hAnsi="Arial"/>
          <w:color w:val="231F1F"/>
          <w:w w:val="110"/>
          <w:position w:val="1"/>
          <w:sz w:val="7"/>
        </w:rPr>
        <w:t>l</w:t>
      </w:r>
      <w:r>
        <w:rPr>
          <w:rFonts w:ascii="Arial" w:hAnsi="Arial"/>
          <w:color w:val="231F1F"/>
          <w:spacing w:val="1"/>
          <w:w w:val="110"/>
          <w:position w:val="1"/>
          <w:sz w:val="7"/>
        </w:rPr>
        <w:t> </w:t>
      </w:r>
      <w:r>
        <w:rPr>
          <w:rFonts w:ascii="Calibri" w:hAnsi="Calibri"/>
          <w:color w:val="008356"/>
          <w:spacing w:val="4"/>
          <w:w w:val="110"/>
          <w:sz w:val="11"/>
        </w:rPr>
        <w:t>TELAPREVIR</w:t>
      </w:r>
      <w:r>
        <w:rPr>
          <w:color w:val="231F1F"/>
          <w:spacing w:val="4"/>
          <w:w w:val="110"/>
          <w:sz w:val="12"/>
        </w:rPr>
        <w:t>;</w:t>
      </w:r>
      <w:r>
        <w:rPr>
          <w:color w:val="231F1F"/>
          <w:spacing w:val="-9"/>
          <w:w w:val="110"/>
          <w:sz w:val="12"/>
        </w:rPr>
        <w:t> </w:t>
      </w:r>
      <w:r>
        <w:rPr>
          <w:color w:val="231F1F"/>
          <w:w w:val="110"/>
          <w:sz w:val="12"/>
        </w:rPr>
        <w:t>phenytoin</w:t>
      </w:r>
      <w:r>
        <w:rPr>
          <w:color w:val="231F1F"/>
          <w:spacing w:val="-9"/>
          <w:w w:val="110"/>
          <w:sz w:val="12"/>
        </w:rPr>
        <w:t> </w:t>
      </w:r>
      <w:r>
        <w:rPr>
          <w:color w:val="231F1F"/>
          <w:w w:val="110"/>
          <w:sz w:val="12"/>
        </w:rPr>
        <w:t>possibly </w:t>
      </w:r>
      <w:r>
        <w:rPr>
          <w:color w:val="231F1F"/>
          <w:w w:val="115"/>
          <w:sz w:val="12"/>
        </w:rPr>
        <w:t>reduces plasma concentration of </w:t>
      </w:r>
      <w:r>
        <w:rPr>
          <w:rFonts w:ascii="Arial" w:hAnsi="Arial"/>
          <w:color w:val="231F1F"/>
          <w:w w:val="355"/>
          <w:position w:val="1"/>
          <w:sz w:val="7"/>
        </w:rPr>
        <w:t>l </w:t>
      </w:r>
      <w:r>
        <w:rPr>
          <w:rFonts w:ascii="Calibri" w:hAnsi="Calibri"/>
          <w:color w:val="008356"/>
          <w:spacing w:val="4"/>
          <w:w w:val="115"/>
          <w:sz w:val="11"/>
        </w:rPr>
        <w:t>INDINAVIR</w:t>
      </w:r>
      <w:r>
        <w:rPr>
          <w:color w:val="231F1F"/>
          <w:spacing w:val="4"/>
          <w:w w:val="115"/>
          <w:sz w:val="12"/>
        </w:rPr>
        <w:t>, </w:t>
      </w:r>
      <w:r>
        <w:rPr>
          <w:color w:val="231F1F"/>
          <w:w w:val="115"/>
          <w:sz w:val="12"/>
        </w:rPr>
        <w:t>also plasma concentration of phenytoin possibly increased; phenytoin possibly reduces plasma concentration of </w:t>
      </w:r>
      <w:r>
        <w:rPr>
          <w:rFonts w:ascii="Calibri" w:hAnsi="Calibri"/>
          <w:color w:val="008356"/>
          <w:spacing w:val="3"/>
          <w:w w:val="115"/>
          <w:sz w:val="11"/>
        </w:rPr>
        <w:t>RITONAVIR</w:t>
      </w:r>
      <w:r>
        <w:rPr>
          <w:color w:val="231F1F"/>
          <w:spacing w:val="3"/>
          <w:w w:val="115"/>
          <w:sz w:val="12"/>
        </w:rPr>
        <w:t>, </w:t>
      </w:r>
      <w:r>
        <w:rPr>
          <w:color w:val="231F1F"/>
          <w:w w:val="115"/>
          <w:sz w:val="12"/>
        </w:rPr>
        <w:t>also plasma</w:t>
      </w:r>
      <w:r>
        <w:rPr>
          <w:color w:val="231F1F"/>
          <w:spacing w:val="-6"/>
          <w:w w:val="115"/>
          <w:sz w:val="12"/>
        </w:rPr>
        <w:t> </w:t>
      </w:r>
      <w:r>
        <w:rPr>
          <w:color w:val="231F1F"/>
          <w:w w:val="115"/>
          <w:sz w:val="12"/>
        </w:rPr>
        <w:t>concentration</w:t>
      </w:r>
      <w:r>
        <w:rPr>
          <w:color w:val="231F1F"/>
          <w:spacing w:val="-7"/>
          <w:w w:val="115"/>
          <w:sz w:val="12"/>
        </w:rPr>
        <w:t> </w:t>
      </w:r>
      <w:r>
        <w:rPr>
          <w:color w:val="231F1F"/>
          <w:w w:val="115"/>
          <w:sz w:val="12"/>
        </w:rPr>
        <w:t>of</w:t>
      </w:r>
      <w:r>
        <w:rPr>
          <w:color w:val="231F1F"/>
          <w:spacing w:val="-4"/>
          <w:w w:val="115"/>
          <w:sz w:val="12"/>
        </w:rPr>
        <w:t> </w:t>
      </w:r>
      <w:r>
        <w:rPr>
          <w:color w:val="231F1F"/>
          <w:w w:val="115"/>
          <w:sz w:val="12"/>
        </w:rPr>
        <w:t>phenytoin</w:t>
      </w:r>
      <w:r>
        <w:rPr>
          <w:color w:val="231F1F"/>
          <w:spacing w:val="-5"/>
          <w:w w:val="115"/>
          <w:sz w:val="12"/>
        </w:rPr>
        <w:t> </w:t>
      </w:r>
      <w:r>
        <w:rPr>
          <w:color w:val="231F1F"/>
          <w:w w:val="115"/>
          <w:sz w:val="12"/>
        </w:rPr>
        <w:t>possibly</w:t>
      </w:r>
      <w:r>
        <w:rPr>
          <w:color w:val="231F1F"/>
          <w:spacing w:val="-6"/>
          <w:w w:val="115"/>
          <w:sz w:val="12"/>
        </w:rPr>
        <w:t> </w:t>
      </w:r>
      <w:r>
        <w:rPr>
          <w:color w:val="231F1F"/>
          <w:w w:val="115"/>
          <w:sz w:val="12"/>
        </w:rPr>
        <w:t>affected;</w:t>
      </w:r>
      <w:r>
        <w:rPr>
          <w:color w:val="231F1F"/>
          <w:spacing w:val="-6"/>
          <w:w w:val="115"/>
          <w:sz w:val="12"/>
        </w:rPr>
        <w:t> </w:t>
      </w:r>
      <w:r>
        <w:rPr>
          <w:color w:val="231F1F"/>
          <w:w w:val="115"/>
          <w:sz w:val="12"/>
        </w:rPr>
        <w:t>plasma concentration of phenytoin increased or decreased by </w:t>
      </w:r>
      <w:r>
        <w:rPr>
          <w:rFonts w:ascii="Calibri" w:hAnsi="Calibri"/>
          <w:color w:val="008356"/>
          <w:spacing w:val="4"/>
          <w:w w:val="115"/>
          <w:sz w:val="11"/>
        </w:rPr>
        <w:t>ZIDOVUDINE</w:t>
      </w:r>
    </w:p>
    <w:p>
      <w:pPr>
        <w:pStyle w:val="BodyText"/>
        <w:spacing w:line="230" w:lineRule="auto"/>
        <w:ind w:left="280" w:right="641" w:hanging="100"/>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phenytoin often reduces plasma concentration of </w:t>
      </w:r>
      <w:r>
        <w:rPr>
          <w:rFonts w:ascii="Calibri" w:hAnsi="Calibri"/>
          <w:color w:val="008356"/>
          <w:w w:val="110"/>
          <w:sz w:val="11"/>
        </w:rPr>
        <w:t>CLONAZEPAM</w:t>
      </w:r>
      <w:r>
        <w:rPr>
          <w:color w:val="231F1F"/>
          <w:w w:val="110"/>
        </w:rPr>
        <w:t>; plasma concentration of phenytoin increased or decreased by </w:t>
      </w:r>
      <w:r>
        <w:rPr>
          <w:rFonts w:ascii="Calibri" w:hAnsi="Calibri"/>
          <w:color w:val="008356"/>
          <w:w w:val="110"/>
          <w:sz w:val="11"/>
        </w:rPr>
        <w:t>DIAZEPAM</w:t>
      </w:r>
      <w:r>
        <w:rPr>
          <w:color w:val="231F1F"/>
          <w:w w:val="110"/>
        </w:rPr>
        <w:t>; plasma</w:t>
      </w:r>
    </w:p>
    <w:p>
      <w:pPr>
        <w:pStyle w:val="BodyText"/>
        <w:spacing w:line="247" w:lineRule="auto"/>
        <w:ind w:left="280" w:right="747"/>
        <w:rPr>
          <w:rFonts w:ascii="Calibri"/>
          <w:sz w:val="11"/>
        </w:rPr>
      </w:pPr>
      <w:r>
        <w:rPr>
          <w:color w:val="231F1F"/>
          <w:w w:val="110"/>
        </w:rPr>
        <w:t>concentration of phenytoin possibly increased or decreased by </w:t>
      </w:r>
      <w:r>
        <w:rPr>
          <w:rFonts w:ascii="Calibri"/>
          <w:color w:val="008356"/>
          <w:w w:val="110"/>
          <w:sz w:val="11"/>
        </w:rPr>
        <w:t>BENZODIAZEPINES</w:t>
      </w:r>
    </w:p>
    <w:p>
      <w:pPr>
        <w:pStyle w:val="BodyText"/>
        <w:spacing w:line="220" w:lineRule="auto" w:before="3"/>
        <w:ind w:left="280" w:right="725"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phenytoin possibly  reduces  plasma  </w:t>
      </w:r>
      <w:r>
        <w:rPr>
          <w:color w:val="231F1F"/>
          <w:spacing w:val="-2"/>
          <w:w w:val="105"/>
        </w:rPr>
        <w:t>concentration </w:t>
      </w:r>
      <w:r>
        <w:rPr>
          <w:color w:val="231F1F"/>
          <w:w w:val="105"/>
        </w:rPr>
        <w:t>of </w:t>
      </w:r>
      <w:r>
        <w:rPr>
          <w:rFonts w:ascii="Calibri" w:hAnsi="Calibri"/>
          <w:color w:val="008356"/>
          <w:spacing w:val="4"/>
          <w:w w:val="105"/>
          <w:sz w:val="11"/>
        </w:rPr>
        <w:t>APREPITANT</w:t>
      </w:r>
    </w:p>
    <w:p>
      <w:pPr>
        <w:pStyle w:val="BodyText"/>
        <w:spacing w:line="155" w:lineRule="exact"/>
        <w:ind w:left="180"/>
      </w:pPr>
      <w:r>
        <w:rPr>
          <w:rFonts w:ascii="Lucida Sans Unicode" w:hAnsi="Lucida Sans Unicode"/>
          <w:color w:val="A7A8AC"/>
          <w:w w:val="95"/>
          <w:sz w:val="10"/>
        </w:rPr>
        <w:t>▶ </w:t>
      </w:r>
      <w:r>
        <w:rPr>
          <w:rFonts w:ascii="Calibri" w:hAnsi="Calibri"/>
          <w:color w:val="231F1F"/>
          <w:w w:val="105"/>
        </w:rPr>
        <w:t>Bupropion: </w:t>
      </w:r>
      <w:r>
        <w:rPr>
          <w:color w:val="231F1F"/>
          <w:w w:val="105"/>
        </w:rPr>
        <w:t>phenytoin reduces plasma concentration of</w:t>
      </w:r>
    </w:p>
    <w:p>
      <w:pPr>
        <w:spacing w:line="130" w:lineRule="exact" w:before="0"/>
        <w:ind w:left="280" w:right="0" w:firstLine="0"/>
        <w:jc w:val="left"/>
        <w:rPr>
          <w:rFonts w:ascii="Calibri"/>
          <w:sz w:val="11"/>
        </w:rPr>
      </w:pPr>
      <w:r>
        <w:rPr>
          <w:rFonts w:ascii="Calibri"/>
          <w:color w:val="008356"/>
          <w:sz w:val="11"/>
        </w:rPr>
        <w:t>BUPROPION</w:t>
      </w:r>
    </w:p>
    <w:p>
      <w:pPr>
        <w:pStyle w:val="BodyText"/>
        <w:spacing w:line="154" w:lineRule="exact"/>
        <w:ind w:left="180"/>
      </w:pPr>
      <w:r>
        <w:rPr>
          <w:rFonts w:ascii="Lucida Sans Unicode" w:hAnsi="Lucida Sans Unicode"/>
          <w:color w:val="A7A8AC"/>
          <w:w w:val="95"/>
          <w:sz w:val="10"/>
        </w:rPr>
        <w:t>▶ </w:t>
      </w:r>
      <w:r>
        <w:rPr>
          <w:rFonts w:ascii="Calibri" w:hAnsi="Calibri"/>
          <w:color w:val="231F1F"/>
          <w:w w:val="105"/>
        </w:rPr>
        <w:t>Caffeine citrate: </w:t>
      </w:r>
      <w:r>
        <w:rPr>
          <w:color w:val="231F1F"/>
          <w:w w:val="105"/>
        </w:rPr>
        <w:t>phenytoin reduces plasma concentration of</w:t>
      </w:r>
    </w:p>
    <w:p>
      <w:pPr>
        <w:spacing w:line="131" w:lineRule="exact" w:before="0"/>
        <w:ind w:left="280" w:right="0" w:firstLine="0"/>
        <w:jc w:val="left"/>
        <w:rPr>
          <w:rFonts w:ascii="Calibri"/>
          <w:sz w:val="11"/>
        </w:rPr>
      </w:pPr>
      <w:r>
        <w:rPr>
          <w:rFonts w:ascii="Calibri"/>
          <w:color w:val="008356"/>
          <w:sz w:val="11"/>
        </w:rPr>
        <w:t>CAFFEINE CITRATE</w:t>
      </w:r>
    </w:p>
    <w:p>
      <w:pPr>
        <w:pStyle w:val="BodyText"/>
        <w:spacing w:line="242" w:lineRule="auto"/>
        <w:ind w:left="280" w:right="747" w:hanging="100"/>
      </w:pPr>
      <w:r>
        <w:rPr>
          <w:rFonts w:ascii="Arial"/>
          <w:color w:val="231F1F"/>
          <w:w w:val="355"/>
          <w:position w:val="1"/>
          <w:sz w:val="7"/>
        </w:rPr>
        <w:t>l </w:t>
      </w:r>
      <w:r>
        <w:rPr>
          <w:rFonts w:ascii="Calibri"/>
          <w:color w:val="231F1F"/>
          <w:w w:val="110"/>
        </w:rPr>
        <w:t>Calcium-channel Blockers: </w:t>
      </w:r>
      <w:r>
        <w:rPr>
          <w:color w:val="231F1F"/>
          <w:w w:val="110"/>
        </w:rPr>
        <w:t>phenytoin reduces effects of </w:t>
      </w:r>
      <w:r>
        <w:rPr>
          <w:rFonts w:ascii="Calibri"/>
          <w:color w:val="008356"/>
          <w:w w:val="110"/>
          <w:sz w:val="11"/>
        </w:rPr>
        <w:t>FELODIPINE </w:t>
      </w:r>
      <w:r>
        <w:rPr>
          <w:color w:val="231F1F"/>
          <w:w w:val="110"/>
        </w:rPr>
        <w:t>and </w:t>
      </w:r>
      <w:r>
        <w:rPr>
          <w:rFonts w:ascii="Calibri"/>
          <w:color w:val="008356"/>
          <w:w w:val="110"/>
          <w:sz w:val="11"/>
        </w:rPr>
        <w:t>VERAPAMIL</w:t>
      </w:r>
      <w:r>
        <w:rPr>
          <w:color w:val="231F1F"/>
          <w:w w:val="110"/>
        </w:rPr>
        <w:t>; avoidance of phenytoin advised by manufacturer of </w:t>
      </w:r>
      <w:r>
        <w:rPr>
          <w:rFonts w:ascii="Calibri"/>
          <w:color w:val="008356"/>
          <w:w w:val="110"/>
          <w:sz w:val="11"/>
        </w:rPr>
        <w:t>ISRADIPINE</w:t>
      </w:r>
      <w:r>
        <w:rPr>
          <w:color w:val="231F1F"/>
          <w:w w:val="110"/>
        </w:rPr>
        <w:t>; avoidance of phenytoin advised by manufacturer of </w:t>
      </w:r>
      <w:r>
        <w:rPr>
          <w:rFonts w:ascii="Calibri"/>
          <w:color w:val="008356"/>
          <w:w w:val="110"/>
          <w:sz w:val="11"/>
        </w:rPr>
        <w:t>NIMODIPINE </w:t>
      </w:r>
      <w:r>
        <w:rPr>
          <w:color w:val="231F1F"/>
          <w:w w:val="110"/>
        </w:rPr>
        <w:t>(plasma concentration of nimodipine possibly reduced); plasma</w:t>
      </w:r>
    </w:p>
    <w:p>
      <w:pPr>
        <w:spacing w:after="0" w:line="242"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rPr>
        <w:t>Phenytoin</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Calcium-channel Blockers (continued)</w:t>
      </w:r>
    </w:p>
    <w:p>
      <w:pPr>
        <w:pStyle w:val="BodyText"/>
        <w:spacing w:line="244" w:lineRule="auto"/>
        <w:ind w:right="58" w:hanging="1"/>
      </w:pPr>
      <w:r>
        <w:rPr>
          <w:color w:val="231F1F"/>
          <w:w w:val="115"/>
        </w:rPr>
        <w:t>concentration</w:t>
      </w:r>
      <w:r>
        <w:rPr>
          <w:color w:val="231F1F"/>
          <w:spacing w:val="-11"/>
          <w:w w:val="115"/>
        </w:rPr>
        <w:t> </w:t>
      </w:r>
      <w:r>
        <w:rPr>
          <w:color w:val="231F1F"/>
          <w:w w:val="115"/>
        </w:rPr>
        <w:t>of</w:t>
      </w:r>
      <w:r>
        <w:rPr>
          <w:color w:val="231F1F"/>
          <w:spacing w:val="-10"/>
          <w:w w:val="115"/>
        </w:rPr>
        <w:t> </w:t>
      </w:r>
      <w:r>
        <w:rPr>
          <w:color w:val="231F1F"/>
          <w:w w:val="115"/>
        </w:rPr>
        <w:t>phenytoin</w:t>
      </w:r>
      <w:r>
        <w:rPr>
          <w:color w:val="231F1F"/>
          <w:spacing w:val="-11"/>
          <w:w w:val="115"/>
        </w:rPr>
        <w:t> </w:t>
      </w:r>
      <w:r>
        <w:rPr>
          <w:color w:val="231F1F"/>
          <w:w w:val="115"/>
        </w:rPr>
        <w:t>increased</w:t>
      </w:r>
      <w:r>
        <w:rPr>
          <w:color w:val="231F1F"/>
          <w:spacing w:val="-12"/>
          <w:w w:val="115"/>
        </w:rPr>
        <w:t> </w:t>
      </w:r>
      <w:r>
        <w:rPr>
          <w:color w:val="231F1F"/>
          <w:w w:val="115"/>
        </w:rPr>
        <w:t>by</w:t>
      </w:r>
      <w:r>
        <w:rPr>
          <w:color w:val="231F1F"/>
          <w:spacing w:val="-12"/>
          <w:w w:val="115"/>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3"/>
          <w:w w:val="115"/>
          <w:sz w:val="11"/>
        </w:rPr>
        <w:t>DILTIAZEM</w:t>
      </w:r>
      <w:r>
        <w:rPr>
          <w:rFonts w:ascii="Calibri"/>
          <w:color w:val="008356"/>
          <w:w w:val="115"/>
          <w:sz w:val="11"/>
        </w:rPr>
        <w:t> </w:t>
      </w:r>
      <w:r>
        <w:rPr>
          <w:color w:val="231F1F"/>
          <w:w w:val="115"/>
        </w:rPr>
        <w:t>but</w:t>
      </w:r>
      <w:r>
        <w:rPr>
          <w:color w:val="231F1F"/>
          <w:spacing w:val="-11"/>
          <w:w w:val="115"/>
        </w:rPr>
        <w:t> </w:t>
      </w:r>
      <w:r>
        <w:rPr>
          <w:color w:val="231F1F"/>
          <w:w w:val="115"/>
        </w:rPr>
        <w:t>also effect of diltiazem</w:t>
      </w:r>
      <w:r>
        <w:rPr>
          <w:color w:val="231F1F"/>
          <w:spacing w:val="-13"/>
          <w:w w:val="115"/>
        </w:rPr>
        <w:t> </w:t>
      </w:r>
      <w:r>
        <w:rPr>
          <w:color w:val="231F1F"/>
          <w:w w:val="115"/>
        </w:rPr>
        <w:t>reduced</w:t>
      </w:r>
    </w:p>
    <w:p>
      <w:pPr>
        <w:pStyle w:val="BodyText"/>
        <w:ind w:right="306" w:hanging="100"/>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231F1F"/>
          <w:w w:val="120"/>
        </w:rPr>
        <w:t>Cannabis Extract: </w:t>
      </w:r>
      <w:r>
        <w:rPr>
          <w:color w:val="231F1F"/>
          <w:w w:val="120"/>
        </w:rPr>
        <w:t>phenytoin possibly reduces plasma </w:t>
      </w:r>
      <w:r>
        <w:rPr>
          <w:color w:val="231F1F"/>
          <w:w w:val="115"/>
        </w:rPr>
        <w:t>concentration of </w:t>
      </w:r>
      <w:r>
        <w:rPr>
          <w:rFonts w:ascii="Arial" w:hAnsi="Arial"/>
          <w:color w:val="231F1F"/>
          <w:w w:val="115"/>
          <w:position w:val="1"/>
          <w:sz w:val="7"/>
        </w:rPr>
        <w:t>l </w:t>
      </w:r>
      <w:r>
        <w:rPr>
          <w:rFonts w:ascii="Calibri" w:hAnsi="Calibri"/>
          <w:color w:val="008356"/>
          <w:spacing w:val="4"/>
          <w:w w:val="115"/>
          <w:sz w:val="11"/>
        </w:rPr>
        <w:t>CANNABIS </w:t>
      </w:r>
      <w:r>
        <w:rPr>
          <w:rFonts w:ascii="Calibri" w:hAnsi="Calibri"/>
          <w:color w:val="008356"/>
          <w:w w:val="115"/>
          <w:sz w:val="11"/>
        </w:rPr>
        <w:t>EXTRACT</w:t>
      </w:r>
      <w:r>
        <w:rPr>
          <w:rFonts w:ascii="Arial" w:hAnsi="Arial"/>
          <w:color w:val="231F1F"/>
          <w:w w:val="115"/>
        </w:rPr>
        <w:t>—</w:t>
      </w:r>
      <w:r>
        <w:rPr>
          <w:color w:val="231F1F"/>
          <w:w w:val="115"/>
        </w:rPr>
        <w:t>manufacturer of </w:t>
      </w:r>
      <w:r>
        <w:rPr>
          <w:color w:val="231F1F"/>
          <w:w w:val="120"/>
        </w:rPr>
        <w:t>cannabis extract advises avoid concomitant use</w:t>
      </w:r>
    </w:p>
    <w:p>
      <w:pPr>
        <w:pStyle w:val="BodyText"/>
        <w:spacing w:line="220" w:lineRule="auto" w:before="7"/>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phenytoin possibly reduces plasma concentration of </w:t>
      </w:r>
      <w:r>
        <w:rPr>
          <w:rFonts w:ascii="Calibri" w:hAnsi="Calibri"/>
          <w:color w:val="008356"/>
          <w:w w:val="105"/>
          <w:sz w:val="11"/>
        </w:rPr>
        <w:t>DIGOXIN</w:t>
      </w:r>
    </w:p>
    <w:p>
      <w:pPr>
        <w:pStyle w:val="BodyText"/>
        <w:spacing w:line="146" w:lineRule="exact" w:before="1"/>
        <w:ind w:left="108"/>
      </w:pPr>
      <w:r>
        <w:rPr>
          <w:rFonts w:ascii="Arial"/>
          <w:color w:val="231F1F"/>
          <w:w w:val="355"/>
          <w:position w:val="1"/>
          <w:sz w:val="7"/>
        </w:rPr>
        <w:t>l </w:t>
      </w:r>
      <w:r>
        <w:rPr>
          <w:rFonts w:ascii="Calibri"/>
          <w:color w:val="231F1F"/>
          <w:w w:val="110"/>
        </w:rPr>
        <w:t>Ciclosporin: </w:t>
      </w:r>
      <w:r>
        <w:rPr>
          <w:color w:val="231F1F"/>
          <w:w w:val="110"/>
        </w:rPr>
        <w:t>phenytoin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ind w:right="44" w:hanging="100"/>
      </w:pPr>
      <w:r>
        <w:rPr>
          <w:rFonts w:ascii="Arial" w:hAnsi="Arial"/>
          <w:color w:val="231F1F"/>
          <w:w w:val="115"/>
          <w:position w:val="1"/>
          <w:sz w:val="7"/>
        </w:rPr>
        <w:t>l </w:t>
      </w:r>
      <w:r>
        <w:rPr>
          <w:rFonts w:ascii="Calibri" w:hAnsi="Calibri"/>
          <w:color w:val="231F1F"/>
          <w:w w:val="115"/>
        </w:rPr>
        <w:t>Cobicistat: </w:t>
      </w:r>
      <w:r>
        <w:rPr>
          <w:color w:val="231F1F"/>
          <w:w w:val="115"/>
        </w:rPr>
        <w:t>phenytoin possibly reduces plasma </w:t>
      </w:r>
      <w:r>
        <w:rPr>
          <w:color w:val="231F1F"/>
          <w:spacing w:val="-3"/>
          <w:w w:val="115"/>
        </w:rPr>
        <w:t>concentration </w:t>
      </w:r>
      <w:r>
        <w:rPr>
          <w:color w:val="231F1F"/>
          <w:w w:val="120"/>
        </w:rPr>
        <w:t>of </w:t>
      </w:r>
      <w:r>
        <w:rPr>
          <w:rFonts w:ascii="Arial" w:hAnsi="Arial"/>
          <w:color w:val="231F1F"/>
          <w:w w:val="335"/>
          <w:position w:val="1"/>
          <w:sz w:val="7"/>
        </w:rPr>
        <w:t>l</w:t>
      </w:r>
      <w:r>
        <w:rPr>
          <w:rFonts w:ascii="Arial" w:hAnsi="Arial"/>
          <w:color w:val="231F1F"/>
          <w:spacing w:val="-56"/>
          <w:w w:val="335"/>
          <w:position w:val="1"/>
          <w:sz w:val="7"/>
        </w:rPr>
        <w:t> </w:t>
      </w:r>
      <w:r>
        <w:rPr>
          <w:rFonts w:ascii="Calibri" w:hAnsi="Calibri"/>
          <w:color w:val="008356"/>
          <w:w w:val="120"/>
          <w:sz w:val="11"/>
        </w:rPr>
        <w:t>COBICISTAT</w:t>
      </w:r>
      <w:r>
        <w:rPr>
          <w:rFonts w:ascii="Arial" w:hAnsi="Arial"/>
          <w:color w:val="231F1F"/>
          <w:w w:val="120"/>
        </w:rPr>
        <w:t>—</w:t>
      </w:r>
      <w:r>
        <w:rPr>
          <w:color w:val="231F1F"/>
          <w:w w:val="120"/>
        </w:rPr>
        <w:t>manufacturer of cobicistat advises avoid concomitant use</w:t>
      </w:r>
    </w:p>
    <w:p>
      <w:pPr>
        <w:pStyle w:val="BodyText"/>
        <w:spacing w:line="146" w:lineRule="exact" w:before="1"/>
        <w:ind w:left="108"/>
      </w:pPr>
      <w:r>
        <w:rPr>
          <w:rFonts w:ascii="Arial"/>
          <w:color w:val="231F1F"/>
          <w:w w:val="355"/>
          <w:position w:val="1"/>
          <w:sz w:val="7"/>
        </w:rPr>
        <w:t>l </w:t>
      </w:r>
      <w:r>
        <w:rPr>
          <w:rFonts w:ascii="Calibri"/>
          <w:color w:val="231F1F"/>
          <w:w w:val="110"/>
        </w:rPr>
        <w:t>Corticosteroids: </w:t>
      </w:r>
      <w:r>
        <w:rPr>
          <w:color w:val="231F1F"/>
          <w:w w:val="110"/>
        </w:rPr>
        <w:t>phenytoin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pStyle w:val="BodyText"/>
        <w:spacing w:line="242" w:lineRule="auto"/>
        <w:ind w:right="64" w:hanging="100"/>
      </w:pPr>
      <w:r>
        <w:rPr>
          <w:rFonts w:ascii="Arial" w:hAnsi="Arial"/>
          <w:color w:val="231F1F"/>
          <w:w w:val="355"/>
          <w:position w:val="1"/>
          <w:sz w:val="7"/>
        </w:rPr>
        <w:t>l </w:t>
      </w:r>
      <w:r>
        <w:rPr>
          <w:rFonts w:ascii="Calibri" w:hAnsi="Calibri"/>
          <w:color w:val="231F1F"/>
          <w:w w:val="110"/>
        </w:rPr>
        <w:t>Cytotoxics: </w:t>
      </w:r>
      <w:r>
        <w:rPr>
          <w:color w:val="231F1F"/>
          <w:w w:val="110"/>
        </w:rPr>
        <w:t>phenytoin possibly reduces plasma concentration of </w:t>
      </w:r>
      <w:r>
        <w:rPr>
          <w:rFonts w:ascii="Calibri" w:hAnsi="Calibri"/>
          <w:color w:val="008356"/>
          <w:w w:val="110"/>
          <w:sz w:val="11"/>
        </w:rPr>
        <w:t>BUSULFAN</w:t>
      </w:r>
      <w:r>
        <w:rPr>
          <w:color w:val="231F1F"/>
          <w:w w:val="110"/>
        </w:rPr>
        <w:t>, </w:t>
      </w:r>
      <w:r>
        <w:rPr>
          <w:rFonts w:ascii="Calibri" w:hAnsi="Calibri"/>
          <w:color w:val="008356"/>
          <w:w w:val="110"/>
          <w:sz w:val="11"/>
        </w:rPr>
        <w:t>ERIBULIN </w:t>
      </w:r>
      <w:r>
        <w:rPr>
          <w:color w:val="231F1F"/>
          <w:w w:val="110"/>
        </w:rPr>
        <w:t>and </w:t>
      </w:r>
      <w:r>
        <w:rPr>
          <w:rFonts w:ascii="Calibri" w:hAnsi="Calibri"/>
          <w:color w:val="008356"/>
          <w:w w:val="110"/>
          <w:sz w:val="11"/>
        </w:rPr>
        <w:t>ETOPOSIDE</w:t>
      </w:r>
      <w:r>
        <w:rPr>
          <w:color w:val="231F1F"/>
          <w:w w:val="110"/>
        </w:rPr>
        <w:t>; metabolism of phenytoin possibly inhibited by </w:t>
      </w:r>
      <w:r>
        <w:rPr>
          <w:rFonts w:ascii="Calibri" w:hAnsi="Calibri"/>
          <w:color w:val="008356"/>
          <w:w w:val="110"/>
          <w:sz w:val="11"/>
        </w:rPr>
        <w:t>CAPECITABINE</w:t>
      </w:r>
      <w:r>
        <w:rPr>
          <w:color w:val="231F1F"/>
          <w:w w:val="110"/>
        </w:rPr>
        <w:t>, </w:t>
      </w:r>
      <w:r>
        <w:rPr>
          <w:rFonts w:ascii="Calibri" w:hAnsi="Calibri"/>
          <w:color w:val="008356"/>
          <w:w w:val="110"/>
          <w:sz w:val="11"/>
        </w:rPr>
        <w:t>FLUOROURACIL </w:t>
      </w:r>
      <w:r>
        <w:rPr>
          <w:color w:val="231F1F"/>
          <w:w w:val="110"/>
        </w:rPr>
        <w:t>and </w:t>
      </w:r>
      <w:r>
        <w:rPr>
          <w:rFonts w:ascii="Calibri" w:hAnsi="Calibri"/>
          <w:color w:val="008356"/>
          <w:w w:val="110"/>
          <w:sz w:val="11"/>
        </w:rPr>
        <w:t>TEGAFUR </w:t>
      </w:r>
      <w:r>
        <w:rPr>
          <w:color w:val="231F1F"/>
          <w:w w:val="110"/>
        </w:rPr>
        <w:t>(increased risk of toxicity); phenytoin increases antifolate effect of </w:t>
      </w:r>
      <w:r>
        <w:rPr>
          <w:rFonts w:ascii="Calibri" w:hAnsi="Calibri"/>
          <w:color w:val="008356"/>
          <w:w w:val="110"/>
          <w:sz w:val="11"/>
        </w:rPr>
        <w:t>METHOTREXATE</w:t>
      </w:r>
      <w:r>
        <w:rPr>
          <w:color w:val="231F1F"/>
          <w:w w:val="110"/>
        </w:rPr>
        <w:t>; plasma concentration of phenytoin possibly reduced by </w:t>
      </w:r>
      <w:r>
        <w:rPr>
          <w:rFonts w:ascii="Calibri" w:hAnsi="Calibri"/>
          <w:color w:val="008356"/>
          <w:w w:val="110"/>
          <w:sz w:val="11"/>
        </w:rPr>
        <w:t>CISPLATIN</w:t>
      </w:r>
      <w:r>
        <w:rPr>
          <w:color w:val="231F1F"/>
          <w:w w:val="110"/>
        </w:rPr>
        <w:t>; phenytoin possibly decreases plasma concentration of </w:t>
      </w:r>
      <w:r>
        <w:rPr>
          <w:rFonts w:ascii="Calibri" w:hAnsi="Calibri"/>
          <w:color w:val="008356"/>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phenytoin possibly reduces plasma concentration of </w:t>
      </w:r>
      <w:r>
        <w:rPr>
          <w:rFonts w:ascii="Calibri" w:hAnsi="Calibri"/>
          <w:color w:val="008356"/>
          <w:w w:val="110"/>
          <w:sz w:val="11"/>
        </w:rPr>
        <w:t>BORTEZOMIB</w:t>
      </w:r>
      <w:r>
        <w:rPr>
          <w:color w:val="231F1F"/>
          <w:w w:val="110"/>
        </w:rPr>
        <w:t>,</w:t>
      </w:r>
    </w:p>
    <w:p>
      <w:pPr>
        <w:spacing w:before="4"/>
        <w:ind w:left="208" w:right="0" w:firstLine="0"/>
        <w:jc w:val="left"/>
        <w:rPr>
          <w:sz w:val="12"/>
        </w:rPr>
      </w:pPr>
      <w:r>
        <w:rPr>
          <w:rFonts w:ascii="Arial"/>
          <w:color w:val="231F1F"/>
          <w:w w:val="350"/>
          <w:position w:val="1"/>
          <w:sz w:val="7"/>
        </w:rPr>
        <w:t>l</w:t>
      </w:r>
      <w:r>
        <w:rPr>
          <w:rFonts w:ascii="Arial"/>
          <w:color w:val="231F1F"/>
          <w:spacing w:val="-59"/>
          <w:w w:val="350"/>
          <w:position w:val="1"/>
          <w:sz w:val="7"/>
        </w:rPr>
        <w:t> </w:t>
      </w:r>
      <w:r>
        <w:rPr>
          <w:rFonts w:ascii="Calibri"/>
          <w:color w:val="008356"/>
          <w:spacing w:val="4"/>
          <w:w w:val="110"/>
          <w:sz w:val="11"/>
        </w:rPr>
        <w:t>BOSUTINIB</w:t>
      </w:r>
      <w:r>
        <w:rPr>
          <w:color w:val="231F1F"/>
          <w:spacing w:val="4"/>
          <w:w w:val="110"/>
          <w:sz w:val="12"/>
        </w:rPr>
        <w:t>,</w:t>
      </w:r>
      <w:r>
        <w:rPr>
          <w:color w:val="231F1F"/>
          <w:spacing w:val="-24"/>
          <w:w w:val="110"/>
          <w:sz w:val="12"/>
        </w:rPr>
        <w:t> </w:t>
      </w:r>
      <w:r>
        <w:rPr>
          <w:rFonts w:ascii="Calibri"/>
          <w:color w:val="008356"/>
          <w:spacing w:val="4"/>
          <w:w w:val="110"/>
          <w:sz w:val="11"/>
        </w:rPr>
        <w:t>CRIZOTINIB</w:t>
      </w:r>
      <w:r>
        <w:rPr>
          <w:color w:val="231F1F"/>
          <w:spacing w:val="4"/>
          <w:w w:val="110"/>
          <w:sz w:val="12"/>
        </w:rPr>
        <w:t>,</w:t>
      </w:r>
      <w:r>
        <w:rPr>
          <w:color w:val="231F1F"/>
          <w:spacing w:val="-22"/>
          <w:w w:val="110"/>
          <w:sz w:val="12"/>
        </w:rPr>
        <w:t> </w:t>
      </w:r>
      <w:r>
        <w:rPr>
          <w:rFonts w:ascii="Arial"/>
          <w:color w:val="231F1F"/>
          <w:w w:val="350"/>
          <w:position w:val="1"/>
          <w:sz w:val="7"/>
        </w:rPr>
        <w:t>l</w:t>
      </w:r>
      <w:r>
        <w:rPr>
          <w:rFonts w:ascii="Arial"/>
          <w:color w:val="231F1F"/>
          <w:spacing w:val="-58"/>
          <w:w w:val="350"/>
          <w:position w:val="1"/>
          <w:sz w:val="7"/>
        </w:rPr>
        <w:t> </w:t>
      </w:r>
      <w:r>
        <w:rPr>
          <w:rFonts w:ascii="Calibri"/>
          <w:color w:val="008356"/>
          <w:spacing w:val="4"/>
          <w:w w:val="110"/>
          <w:sz w:val="11"/>
        </w:rPr>
        <w:t>IBRUTINIB</w:t>
      </w:r>
      <w:r>
        <w:rPr>
          <w:color w:val="231F1F"/>
          <w:spacing w:val="4"/>
          <w:w w:val="110"/>
          <w:sz w:val="12"/>
        </w:rPr>
        <w:t>,</w:t>
      </w:r>
      <w:r>
        <w:rPr>
          <w:color w:val="231F1F"/>
          <w:spacing w:val="-23"/>
          <w:w w:val="110"/>
          <w:sz w:val="12"/>
        </w:rPr>
        <w:t> </w:t>
      </w:r>
      <w:r>
        <w:rPr>
          <w:rFonts w:ascii="Arial"/>
          <w:color w:val="231F1F"/>
          <w:w w:val="350"/>
          <w:position w:val="1"/>
          <w:sz w:val="7"/>
        </w:rPr>
        <w:t>l</w:t>
      </w:r>
      <w:r>
        <w:rPr>
          <w:rFonts w:ascii="Arial"/>
          <w:color w:val="231F1F"/>
          <w:spacing w:val="-58"/>
          <w:w w:val="350"/>
          <w:position w:val="1"/>
          <w:sz w:val="7"/>
        </w:rPr>
        <w:t> </w:t>
      </w:r>
      <w:r>
        <w:rPr>
          <w:rFonts w:ascii="Calibri"/>
          <w:color w:val="008356"/>
          <w:spacing w:val="4"/>
          <w:w w:val="110"/>
          <w:sz w:val="11"/>
        </w:rPr>
        <w:t>IDELALISIB</w:t>
      </w:r>
      <w:r>
        <w:rPr>
          <w:rFonts w:ascii="Calibri"/>
          <w:color w:val="008356"/>
          <w:spacing w:val="-15"/>
          <w:w w:val="110"/>
          <w:sz w:val="11"/>
        </w:rPr>
        <w:t> </w:t>
      </w:r>
      <w:r>
        <w:rPr>
          <w:color w:val="231F1F"/>
          <w:w w:val="110"/>
          <w:sz w:val="12"/>
        </w:rPr>
        <w:t>and</w:t>
      </w:r>
    </w:p>
    <w:p>
      <w:pPr>
        <w:pStyle w:val="BodyText"/>
        <w:spacing w:line="247" w:lineRule="auto" w:before="1"/>
        <w:ind w:right="190"/>
      </w:pPr>
      <w:r>
        <w:rPr>
          <w:rFonts w:ascii="Calibri" w:hAnsi="Calibri"/>
          <w:color w:val="008356"/>
          <w:w w:val="110"/>
          <w:sz w:val="11"/>
        </w:rPr>
        <w:t>PONATINIB</w:t>
      </w:r>
      <w:r>
        <w:rPr>
          <w:rFonts w:ascii="Arial" w:hAnsi="Arial"/>
          <w:color w:val="231F1F"/>
          <w:w w:val="110"/>
        </w:rPr>
        <w:t>—</w:t>
      </w:r>
      <w:r>
        <w:rPr>
          <w:color w:val="231F1F"/>
          <w:w w:val="110"/>
        </w:rPr>
        <w:t>manufacturer of bortezomib, bosutinib, crizotinib, ibrutinib, idelalisib and ponatinib advises </w:t>
      </w:r>
      <w:r>
        <w:rPr>
          <w:color w:val="231F1F"/>
          <w:spacing w:val="-3"/>
          <w:w w:val="110"/>
        </w:rPr>
        <w:t>avoid </w:t>
      </w:r>
      <w:r>
        <w:rPr>
          <w:color w:val="231F1F"/>
          <w:w w:val="110"/>
        </w:rPr>
        <w:t>concomitant use; phenytoin 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phenytoin advised by manufacturer</w:t>
      </w:r>
      <w:r>
        <w:rPr>
          <w:color w:val="231F1F"/>
          <w:spacing w:val="15"/>
          <w:w w:val="110"/>
        </w:rPr>
        <w:t> </w:t>
      </w:r>
      <w:r>
        <w:rPr>
          <w:color w:val="231F1F"/>
          <w:w w:val="110"/>
        </w:rPr>
        <w:t>of</w:t>
      </w:r>
    </w:p>
    <w:p>
      <w:pPr>
        <w:spacing w:line="141" w:lineRule="exact"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CABAZITAXEL</w:t>
      </w:r>
      <w:r>
        <w:rPr>
          <w:color w:val="231F1F"/>
          <w:spacing w:val="4"/>
          <w:w w:val="115"/>
          <w:sz w:val="12"/>
        </w:rPr>
        <w:t>, </w:t>
      </w:r>
      <w:r>
        <w:rPr>
          <w:rFonts w:ascii="Calibri"/>
          <w:color w:val="008356"/>
          <w:spacing w:val="4"/>
          <w:w w:val="115"/>
          <w:sz w:val="11"/>
        </w:rPr>
        <w:t>DABRAFENIB</w:t>
      </w:r>
      <w:r>
        <w:rPr>
          <w:color w:val="231F1F"/>
          <w:spacing w:val="4"/>
          <w:w w:val="115"/>
          <w:sz w:val="12"/>
        </w:rPr>
        <w:t>, </w:t>
      </w:r>
      <w:r>
        <w:rPr>
          <w:rFonts w:ascii="Calibri"/>
          <w:color w:val="008356"/>
          <w:spacing w:val="4"/>
          <w:w w:val="115"/>
          <w:sz w:val="11"/>
        </w:rPr>
        <w:t>GEFITINIB</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LAPATINIB </w:t>
      </w:r>
      <w:r>
        <w:rPr>
          <w:color w:val="231F1F"/>
          <w:w w:val="115"/>
          <w:sz w:val="12"/>
        </w:rPr>
        <w:t>and</w:t>
      </w:r>
    </w:p>
    <w:p>
      <w:pPr>
        <w:pStyle w:val="BodyText"/>
        <w:spacing w:line="247" w:lineRule="auto" w:before="2"/>
        <w:ind w:right="38"/>
        <w:rPr>
          <w:rFonts w:ascii="Calibri" w:hAnsi="Calibri"/>
          <w:sz w:val="11"/>
        </w:rPr>
      </w:pPr>
      <w:r>
        <w:rPr>
          <w:rFonts w:ascii="Calibri" w:hAnsi="Calibri"/>
          <w:color w:val="008356"/>
          <w:spacing w:val="4"/>
          <w:w w:val="110"/>
          <w:sz w:val="11"/>
        </w:rPr>
        <w:t>VEMURAFENIB</w:t>
      </w:r>
      <w:r>
        <w:rPr>
          <w:color w:val="231F1F"/>
          <w:spacing w:val="4"/>
          <w:w w:val="110"/>
        </w:rPr>
        <w:t>; </w:t>
      </w:r>
      <w:r>
        <w:rPr>
          <w:color w:val="231F1F"/>
          <w:w w:val="110"/>
        </w:rPr>
        <w:t>avoidance of phenytoin advised by manufacturer of </w:t>
      </w:r>
      <w:r>
        <w:rPr>
          <w:rFonts w:ascii="Calibri" w:hAnsi="Calibri"/>
          <w:color w:val="008356"/>
          <w:spacing w:val="3"/>
          <w:w w:val="110"/>
          <w:sz w:val="11"/>
        </w:rPr>
        <w:t>DASATINIB </w:t>
      </w:r>
      <w:r>
        <w:rPr>
          <w:color w:val="231F1F"/>
          <w:w w:val="110"/>
        </w:rPr>
        <w:t>and </w:t>
      </w:r>
      <w:r>
        <w:rPr>
          <w:rFonts w:ascii="Arial" w:hAnsi="Arial"/>
          <w:color w:val="231F1F"/>
          <w:w w:val="355"/>
          <w:position w:val="1"/>
          <w:sz w:val="7"/>
        </w:rPr>
        <w:t>l </w:t>
      </w:r>
      <w:r>
        <w:rPr>
          <w:rFonts w:ascii="Calibri" w:hAnsi="Calibri"/>
          <w:color w:val="008356"/>
          <w:spacing w:val="4"/>
          <w:w w:val="110"/>
          <w:sz w:val="11"/>
        </w:rPr>
        <w:t>VISMODEGIB </w:t>
      </w:r>
      <w:r>
        <w:rPr>
          <w:color w:val="231F1F"/>
          <w:w w:val="110"/>
        </w:rPr>
        <w:t>(plasma concentration of dasatinib and vismodegib possibly reduced); phenytoin reduces plasma concentration of </w:t>
      </w:r>
      <w:r>
        <w:rPr>
          <w:rFonts w:ascii="Arial" w:hAnsi="Arial"/>
          <w:color w:val="231F1F"/>
          <w:w w:val="355"/>
          <w:position w:val="1"/>
          <w:sz w:val="7"/>
        </w:rPr>
        <w:t>l </w:t>
      </w:r>
      <w:r>
        <w:rPr>
          <w:rFonts w:ascii="Calibri" w:hAnsi="Calibri"/>
          <w:color w:val="008356"/>
          <w:spacing w:val="2"/>
          <w:w w:val="110"/>
          <w:sz w:val="11"/>
        </w:rPr>
        <w:t>IMATINIB</w:t>
      </w:r>
      <w:r>
        <w:rPr>
          <w:rFonts w:ascii="Arial" w:hAnsi="Arial"/>
          <w:color w:val="231F1F"/>
          <w:spacing w:val="2"/>
          <w:w w:val="110"/>
        </w:rPr>
        <w:t>—</w:t>
      </w:r>
      <w:r>
        <w:rPr>
          <w:color w:val="231F1F"/>
          <w:spacing w:val="2"/>
          <w:w w:val="110"/>
        </w:rPr>
        <w:t>avoid </w:t>
      </w:r>
      <w:r>
        <w:rPr>
          <w:color w:val="231F1F"/>
          <w:w w:val="110"/>
        </w:rPr>
        <w:t>concomitant use; phenytoin reduces plasma concentration of </w:t>
      </w:r>
      <w:r>
        <w:rPr>
          <w:rFonts w:ascii="Calibri" w:hAnsi="Calibri"/>
          <w:color w:val="008356"/>
          <w:spacing w:val="4"/>
          <w:w w:val="110"/>
          <w:sz w:val="11"/>
        </w:rPr>
        <w:t>IRINOTECAN </w:t>
      </w:r>
      <w:r>
        <w:rPr>
          <w:color w:val="231F1F"/>
          <w:w w:val="110"/>
        </w:rPr>
        <w:t>and its active metabolite; manufacturer of procarbazine advises possible increased risk of hypersensitivity reactions when phenytoin given with </w:t>
      </w:r>
      <w:r>
        <w:rPr>
          <w:rFonts w:ascii="Calibri" w:hAnsi="Calibri"/>
          <w:color w:val="008356"/>
          <w:spacing w:val="5"/>
          <w:w w:val="110"/>
          <w:sz w:val="11"/>
        </w:rPr>
        <w:t>PROCARBAZINE</w:t>
      </w:r>
    </w:p>
    <w:p>
      <w:pPr>
        <w:pStyle w:val="BodyText"/>
        <w:spacing w:line="143" w:lineRule="exact"/>
        <w:ind w:left="108"/>
      </w:pPr>
      <w:r>
        <w:rPr>
          <w:rFonts w:ascii="Arial"/>
          <w:color w:val="231F1F"/>
          <w:w w:val="355"/>
          <w:position w:val="1"/>
          <w:sz w:val="7"/>
        </w:rPr>
        <w:t>l </w:t>
      </w:r>
      <w:r>
        <w:rPr>
          <w:rFonts w:ascii="Calibri"/>
          <w:color w:val="231F1F"/>
          <w:w w:val="110"/>
        </w:rPr>
        <w:t>Dexrazoxane: </w:t>
      </w:r>
      <w:r>
        <w:rPr>
          <w:color w:val="231F1F"/>
          <w:w w:val="110"/>
        </w:rPr>
        <w:t>absorption of phenytoin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15"/>
          <w:sz w:val="11"/>
        </w:rPr>
        <w:t>DEXRAZOXANE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Diazoxide: </w:t>
      </w:r>
      <w:r>
        <w:rPr>
          <w:color w:val="231F1F"/>
          <w:w w:val="105"/>
        </w:rPr>
        <w:t>plasma concentration of phenytoin reduced by</w:t>
      </w:r>
    </w:p>
    <w:p>
      <w:pPr>
        <w:pStyle w:val="BodyText"/>
        <w:spacing w:line="134" w:lineRule="exact"/>
      </w:pPr>
      <w:r>
        <w:rPr>
          <w:rFonts w:ascii="Calibri"/>
          <w:color w:val="008356"/>
          <w:w w:val="110"/>
          <w:sz w:val="11"/>
        </w:rPr>
        <w:t>DIAZOXIDE</w:t>
      </w:r>
      <w:r>
        <w:rPr>
          <w:color w:val="231F1F"/>
          <w:w w:val="110"/>
        </w:rPr>
        <w:t>, also effect of diazoxide may be reduced</w:t>
      </w:r>
    </w:p>
    <w:p>
      <w:pPr>
        <w:pStyle w:val="BodyText"/>
        <w:spacing w:line="145" w:lineRule="exact"/>
        <w:ind w:left="108"/>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Disulfiram: </w:t>
      </w:r>
      <w:r>
        <w:rPr>
          <w:color w:val="231F1F"/>
          <w:w w:val="115"/>
        </w:rPr>
        <w:t>metabolism of phenytoin inhibited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DISULFIRAM </w:t>
      </w:r>
      <w:r>
        <w:rPr>
          <w:color w:val="231F1F"/>
          <w:w w:val="110"/>
          <w:sz w:val="12"/>
        </w:rPr>
        <w:t>(increased risk of toxicity)</w:t>
      </w:r>
    </w:p>
    <w:p>
      <w:pPr>
        <w:pStyle w:val="BodyText"/>
        <w:ind w:right="64" w:hanging="100"/>
      </w:pPr>
      <w:r>
        <w:rPr>
          <w:rFonts w:ascii="Arial"/>
          <w:color w:val="231F1F"/>
          <w:w w:val="355"/>
          <w:position w:val="1"/>
          <w:sz w:val="7"/>
        </w:rPr>
        <w:t>l </w:t>
      </w:r>
      <w:r>
        <w:rPr>
          <w:rFonts w:ascii="Calibri"/>
          <w:color w:val="231F1F"/>
          <w:w w:val="110"/>
        </w:rPr>
        <w:t>Diuretics: </w:t>
      </w:r>
      <w:r>
        <w:rPr>
          <w:color w:val="231F1F"/>
          <w:w w:val="110"/>
        </w:rPr>
        <w:t>plasma concentration of phenytoin possibly increased by </w:t>
      </w:r>
      <w:r>
        <w:rPr>
          <w:rFonts w:ascii="Arial"/>
          <w:color w:val="231F1F"/>
          <w:w w:val="355"/>
          <w:position w:val="1"/>
          <w:sz w:val="7"/>
        </w:rPr>
        <w:t>l</w:t>
      </w:r>
      <w:r>
        <w:rPr>
          <w:rFonts w:ascii="Arial"/>
          <w:color w:val="231F1F"/>
          <w:spacing w:val="-61"/>
          <w:w w:val="355"/>
          <w:position w:val="1"/>
          <w:sz w:val="7"/>
        </w:rPr>
        <w:t> </w:t>
      </w:r>
      <w:r>
        <w:rPr>
          <w:rFonts w:ascii="Calibri"/>
          <w:color w:val="008356"/>
          <w:spacing w:val="4"/>
          <w:w w:val="110"/>
          <w:sz w:val="11"/>
        </w:rPr>
        <w:t>ACETAZOLAMIDE</w:t>
      </w:r>
      <w:r>
        <w:rPr>
          <w:color w:val="231F1F"/>
          <w:spacing w:val="4"/>
          <w:w w:val="110"/>
        </w:rPr>
        <w:t>; </w:t>
      </w:r>
      <w:r>
        <w:rPr>
          <w:color w:val="231F1F"/>
          <w:w w:val="110"/>
        </w:rPr>
        <w:t>phenytoin antagonises effects of </w:t>
      </w:r>
      <w:r>
        <w:rPr>
          <w:rFonts w:ascii="Calibri"/>
          <w:color w:val="008356"/>
          <w:spacing w:val="4"/>
          <w:w w:val="110"/>
          <w:sz w:val="11"/>
        </w:rPr>
        <w:t>FUROSEMIDE</w:t>
      </w:r>
      <w:r>
        <w:rPr>
          <w:color w:val="231F1F"/>
          <w:spacing w:val="4"/>
          <w:w w:val="110"/>
        </w:rPr>
        <w:t>; </w:t>
      </w:r>
      <w:r>
        <w:rPr>
          <w:color w:val="231F1F"/>
          <w:w w:val="110"/>
        </w:rPr>
        <w:t>phenytoin reduces plasma concentration of</w:t>
      </w:r>
    </w:p>
    <w:p>
      <w:pPr>
        <w:spacing w:line="249" w:lineRule="auto" w:before="1"/>
        <w:ind w:left="208" w:right="190" w:firstLine="0"/>
        <w:jc w:val="left"/>
        <w:rPr>
          <w:rFonts w:ascii="Calibri" w:hAnsi="Calibri"/>
          <w:sz w:val="11"/>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w:t>
      </w:r>
      <w:r>
        <w:rPr>
          <w:color w:val="231F1F"/>
          <w:spacing w:val="-6"/>
          <w:w w:val="110"/>
          <w:sz w:val="12"/>
        </w:rPr>
        <w:t>of </w:t>
      </w:r>
      <w:r>
        <w:rPr>
          <w:color w:val="231F1F"/>
          <w:w w:val="110"/>
          <w:sz w:val="12"/>
        </w:rPr>
        <w:t>osteomalacia when phenytoin given with </w:t>
      </w:r>
      <w:r>
        <w:rPr>
          <w:rFonts w:ascii="Calibri" w:hAnsi="Calibri"/>
          <w:color w:val="008356"/>
          <w:spacing w:val="5"/>
          <w:w w:val="110"/>
          <w:sz w:val="11"/>
        </w:rPr>
        <w:t>CARBONIC </w:t>
      </w:r>
      <w:r>
        <w:rPr>
          <w:rFonts w:ascii="Calibri" w:hAnsi="Calibri"/>
          <w:color w:val="008356"/>
          <w:spacing w:val="4"/>
          <w:w w:val="110"/>
          <w:sz w:val="11"/>
        </w:rPr>
        <w:t>ANHYDRASE INHIBITORS</w:t>
      </w:r>
    </w:p>
    <w:p>
      <w:pPr>
        <w:spacing w:line="220" w:lineRule="auto" w:before="2"/>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Dopaminergics: </w:t>
      </w:r>
      <w:r>
        <w:rPr>
          <w:color w:val="231F1F"/>
          <w:w w:val="105"/>
          <w:sz w:val="12"/>
        </w:rPr>
        <w:t>phenytoin possibly reduces effects of </w:t>
      </w:r>
      <w:r>
        <w:rPr>
          <w:rFonts w:ascii="Calibri" w:hAnsi="Calibri"/>
          <w:color w:val="008356"/>
          <w:w w:val="105"/>
          <w:sz w:val="11"/>
        </w:rPr>
        <w:t>CO- BENELDOPA</w:t>
      </w:r>
      <w:r>
        <w:rPr>
          <w:color w:val="231F1F"/>
          <w:w w:val="105"/>
          <w:sz w:val="12"/>
        </w:rPr>
        <w:t>, </w:t>
      </w:r>
      <w:r>
        <w:rPr>
          <w:rFonts w:ascii="Calibri" w:hAnsi="Calibri"/>
          <w:color w:val="008356"/>
          <w:w w:val="105"/>
          <w:sz w:val="11"/>
        </w:rPr>
        <w:t>CO-CARELDOPA </w:t>
      </w:r>
      <w:r>
        <w:rPr>
          <w:color w:val="231F1F"/>
          <w:w w:val="105"/>
          <w:sz w:val="12"/>
        </w:rPr>
        <w:t>and </w:t>
      </w:r>
      <w:r>
        <w:rPr>
          <w:rFonts w:ascii="Calibri" w:hAnsi="Calibri"/>
          <w:color w:val="008356"/>
          <w:w w:val="105"/>
          <w:sz w:val="11"/>
        </w:rPr>
        <w:t>LEVODOPA</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Enteral Foods: </w:t>
      </w:r>
      <w:r>
        <w:rPr>
          <w:color w:val="231F1F"/>
          <w:w w:val="105"/>
        </w:rPr>
        <w:t>absorption of phenytoin possibly reduced by</w:t>
      </w:r>
    </w:p>
    <w:p>
      <w:pPr>
        <w:spacing w:line="130" w:lineRule="exact" w:before="0"/>
        <w:ind w:left="208" w:right="0" w:firstLine="0"/>
        <w:jc w:val="left"/>
        <w:rPr>
          <w:rFonts w:ascii="Calibri"/>
          <w:sz w:val="11"/>
        </w:rPr>
      </w:pPr>
      <w:r>
        <w:rPr>
          <w:rFonts w:ascii="Calibri"/>
          <w:color w:val="008356"/>
          <w:sz w:val="11"/>
        </w:rPr>
        <w:t>ENTERAL FEEDS</w:t>
      </w:r>
    </w:p>
    <w:p>
      <w:pPr>
        <w:pStyle w:val="BodyText"/>
        <w:spacing w:line="220" w:lineRule="auto" w:before="7"/>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plasma concentration of phenytoin possibly reduced  by</w:t>
      </w:r>
      <w:r>
        <w:rPr>
          <w:color w:val="231F1F"/>
          <w:spacing w:val="-1"/>
          <w:w w:val="105"/>
        </w:rPr>
        <w:t> </w:t>
      </w:r>
      <w:r>
        <w:rPr>
          <w:rFonts w:ascii="Calibri" w:hAnsi="Calibri"/>
          <w:color w:val="008356"/>
          <w:spacing w:val="3"/>
          <w:w w:val="105"/>
          <w:sz w:val="11"/>
        </w:rPr>
        <w:t>FOLATES</w:t>
      </w:r>
    </w:p>
    <w:p>
      <w:pPr>
        <w:pStyle w:val="BodyText"/>
        <w:spacing w:line="220" w:lineRule="auto" w:before="9"/>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phenytoin possibly reduces plasma concentration of </w:t>
      </w:r>
      <w:r>
        <w:rPr>
          <w:rFonts w:ascii="Calibri" w:hAnsi="Calibri"/>
          <w:color w:val="008356"/>
          <w:w w:val="105"/>
          <w:sz w:val="11"/>
        </w:rPr>
        <w:t>FOSAPREPITANT</w:t>
      </w:r>
    </w:p>
    <w:p>
      <w:pPr>
        <w:pStyle w:val="BodyText"/>
        <w:spacing w:line="244" w:lineRule="auto"/>
        <w:ind w:right="326" w:hanging="100"/>
        <w:rPr>
          <w:rFonts w:ascii="Calibri" w:hAnsi="Calibri"/>
          <w:sz w:val="11"/>
        </w:rPr>
      </w:pP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231F1F"/>
          <w:w w:val="115"/>
        </w:rPr>
        <w:t>Hormone</w:t>
      </w:r>
      <w:r>
        <w:rPr>
          <w:rFonts w:ascii="Calibri" w:hAnsi="Calibri"/>
          <w:color w:val="231F1F"/>
          <w:spacing w:val="-18"/>
          <w:w w:val="115"/>
        </w:rPr>
        <w:t> </w:t>
      </w:r>
      <w:r>
        <w:rPr>
          <w:rFonts w:ascii="Calibri" w:hAnsi="Calibri"/>
          <w:color w:val="231F1F"/>
          <w:w w:val="115"/>
        </w:rPr>
        <w:t>Antagonists:</w:t>
      </w:r>
      <w:r>
        <w:rPr>
          <w:rFonts w:ascii="Calibri" w:hAnsi="Calibri"/>
          <w:color w:val="231F1F"/>
          <w:spacing w:val="-17"/>
          <w:w w:val="115"/>
        </w:rPr>
        <w:t> </w:t>
      </w:r>
      <w:r>
        <w:rPr>
          <w:color w:val="231F1F"/>
          <w:w w:val="115"/>
        </w:rPr>
        <w:t>phenytoin</w:t>
      </w:r>
      <w:r>
        <w:rPr>
          <w:color w:val="231F1F"/>
          <w:spacing w:val="-21"/>
          <w:w w:val="115"/>
        </w:rPr>
        <w:t> </w:t>
      </w:r>
      <w:r>
        <w:rPr>
          <w:color w:val="231F1F"/>
          <w:w w:val="115"/>
        </w:rPr>
        <w:t>possibly</w:t>
      </w:r>
      <w:r>
        <w:rPr>
          <w:color w:val="231F1F"/>
          <w:spacing w:val="-21"/>
          <w:w w:val="115"/>
        </w:rPr>
        <w:t> </w:t>
      </w:r>
      <w:r>
        <w:rPr>
          <w:color w:val="231F1F"/>
          <w:w w:val="115"/>
        </w:rPr>
        <w:t>reduces</w:t>
      </w:r>
      <w:r>
        <w:rPr>
          <w:color w:val="231F1F"/>
          <w:spacing w:val="-21"/>
          <w:w w:val="115"/>
        </w:rPr>
        <w:t> </w:t>
      </w:r>
      <w:r>
        <w:rPr>
          <w:color w:val="231F1F"/>
          <w:spacing w:val="-3"/>
          <w:w w:val="115"/>
        </w:rPr>
        <w:t>plasma </w:t>
      </w:r>
      <w:r>
        <w:rPr>
          <w:color w:val="231F1F"/>
          <w:w w:val="120"/>
        </w:rPr>
        <w:t>concentration of </w:t>
      </w:r>
      <w:r>
        <w:rPr>
          <w:rFonts w:ascii="Arial" w:hAnsi="Arial"/>
          <w:color w:val="231F1F"/>
          <w:w w:val="355"/>
          <w:position w:val="1"/>
          <w:sz w:val="7"/>
        </w:rPr>
        <w:t>l </w:t>
      </w:r>
      <w:r>
        <w:rPr>
          <w:rFonts w:ascii="Calibri" w:hAnsi="Calibri"/>
          <w:color w:val="008356"/>
          <w:spacing w:val="2"/>
          <w:w w:val="120"/>
          <w:sz w:val="11"/>
        </w:rPr>
        <w:t>ABIRATERONE</w:t>
      </w:r>
      <w:r>
        <w:rPr>
          <w:rFonts w:ascii="Arial" w:hAnsi="Arial"/>
          <w:color w:val="231F1F"/>
          <w:spacing w:val="2"/>
          <w:w w:val="120"/>
        </w:rPr>
        <w:t>—</w:t>
      </w:r>
      <w:r>
        <w:rPr>
          <w:color w:val="231F1F"/>
          <w:spacing w:val="2"/>
          <w:w w:val="120"/>
        </w:rPr>
        <w:t>manufacturer </w:t>
      </w:r>
      <w:r>
        <w:rPr>
          <w:color w:val="231F1F"/>
          <w:w w:val="120"/>
        </w:rPr>
        <w:t>of abiraterone</w:t>
      </w:r>
      <w:r>
        <w:rPr>
          <w:color w:val="231F1F"/>
          <w:spacing w:val="-21"/>
          <w:w w:val="120"/>
        </w:rPr>
        <w:t> </w:t>
      </w:r>
      <w:r>
        <w:rPr>
          <w:color w:val="231F1F"/>
          <w:w w:val="120"/>
        </w:rPr>
        <w:t>advises</w:t>
      </w:r>
      <w:r>
        <w:rPr>
          <w:color w:val="231F1F"/>
          <w:spacing w:val="-19"/>
          <w:w w:val="120"/>
        </w:rPr>
        <w:t> </w:t>
      </w:r>
      <w:r>
        <w:rPr>
          <w:color w:val="231F1F"/>
          <w:w w:val="120"/>
        </w:rPr>
        <w:t>avoid</w:t>
      </w:r>
      <w:r>
        <w:rPr>
          <w:color w:val="231F1F"/>
          <w:spacing w:val="-19"/>
          <w:w w:val="120"/>
        </w:rPr>
        <w:t> </w:t>
      </w:r>
      <w:r>
        <w:rPr>
          <w:color w:val="231F1F"/>
          <w:w w:val="120"/>
        </w:rPr>
        <w:t>concomitant</w:t>
      </w:r>
      <w:r>
        <w:rPr>
          <w:color w:val="231F1F"/>
          <w:spacing w:val="-20"/>
          <w:w w:val="120"/>
        </w:rPr>
        <w:t> </w:t>
      </w:r>
      <w:r>
        <w:rPr>
          <w:color w:val="231F1F"/>
          <w:w w:val="120"/>
        </w:rPr>
        <w:t>use;</w:t>
      </w:r>
      <w:r>
        <w:rPr>
          <w:color w:val="231F1F"/>
          <w:spacing w:val="-19"/>
          <w:w w:val="120"/>
        </w:rPr>
        <w:t> </w:t>
      </w:r>
      <w:r>
        <w:rPr>
          <w:color w:val="231F1F"/>
          <w:w w:val="120"/>
        </w:rPr>
        <w:t>phenytoin possibly</w:t>
      </w:r>
      <w:r>
        <w:rPr>
          <w:color w:val="231F1F"/>
          <w:spacing w:val="-18"/>
          <w:w w:val="120"/>
        </w:rPr>
        <w:t> </w:t>
      </w:r>
      <w:r>
        <w:rPr>
          <w:color w:val="231F1F"/>
          <w:w w:val="120"/>
        </w:rPr>
        <w:t>accelerates</w:t>
      </w:r>
      <w:r>
        <w:rPr>
          <w:color w:val="231F1F"/>
          <w:spacing w:val="-17"/>
          <w:w w:val="120"/>
        </w:rPr>
        <w:t> </w:t>
      </w:r>
      <w:r>
        <w:rPr>
          <w:color w:val="231F1F"/>
          <w:w w:val="120"/>
        </w:rPr>
        <w:t>metabolism</w:t>
      </w:r>
      <w:r>
        <w:rPr>
          <w:color w:val="231F1F"/>
          <w:spacing w:val="-17"/>
          <w:w w:val="120"/>
        </w:rPr>
        <w:t> </w:t>
      </w:r>
      <w:r>
        <w:rPr>
          <w:color w:val="231F1F"/>
          <w:w w:val="120"/>
        </w:rPr>
        <w:t>of</w:t>
      </w:r>
      <w:r>
        <w:rPr>
          <w:color w:val="231F1F"/>
          <w:spacing w:val="-17"/>
          <w:w w:val="120"/>
        </w:rPr>
        <w:t> </w:t>
      </w:r>
      <w:r>
        <w:rPr>
          <w:rFonts w:ascii="Calibri" w:hAnsi="Calibri"/>
          <w:color w:val="008356"/>
          <w:spacing w:val="4"/>
          <w:w w:val="120"/>
          <w:sz w:val="11"/>
        </w:rPr>
        <w:t>TOREMIFENE</w:t>
      </w:r>
    </w:p>
    <w:p>
      <w:pPr>
        <w:pStyle w:val="BodyText"/>
        <w:spacing w:line="220" w:lineRule="auto"/>
        <w:ind w:right="190" w:hanging="100"/>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phenytoin accelerates metabolism of </w:t>
      </w:r>
      <w:r>
        <w:rPr>
          <w:rFonts w:ascii="Calibri" w:hAnsi="Calibri"/>
          <w:color w:val="008356"/>
          <w:spacing w:val="4"/>
          <w:w w:val="105"/>
          <w:sz w:val="11"/>
          <w:vertAlign w:val="baseline"/>
        </w:rPr>
        <w:t>ONDANSETRON </w:t>
      </w:r>
      <w:r>
        <w:rPr>
          <w:color w:val="231F1F"/>
          <w:w w:val="105"/>
          <w:vertAlign w:val="baseline"/>
        </w:rPr>
        <w:t>(reduced</w:t>
      </w:r>
      <w:r>
        <w:rPr>
          <w:color w:val="231F1F"/>
          <w:spacing w:val="6"/>
          <w:w w:val="105"/>
          <w:vertAlign w:val="baseline"/>
        </w:rPr>
        <w:t> </w:t>
      </w:r>
      <w:r>
        <w:rPr>
          <w:color w:val="231F1F"/>
          <w:w w:val="105"/>
          <w:vertAlign w:val="baseline"/>
        </w:rPr>
        <w:t>effect)</w:t>
      </w:r>
    </w:p>
    <w:p>
      <w:pPr>
        <w:pStyle w:val="BodyText"/>
        <w:spacing w:before="1"/>
        <w:ind w:right="-4" w:hanging="100"/>
      </w:pPr>
      <w:r>
        <w:rPr>
          <w:rFonts w:ascii="Arial" w:hAnsi="Arial"/>
          <w:color w:val="231F1F"/>
          <w:w w:val="115"/>
          <w:position w:val="1"/>
          <w:sz w:val="7"/>
        </w:rPr>
        <w:t>l </w:t>
      </w:r>
      <w:r>
        <w:rPr>
          <w:rFonts w:ascii="Calibri" w:hAnsi="Calibri"/>
          <w:color w:val="231F1F"/>
          <w:w w:val="115"/>
        </w:rPr>
        <w:t>Ivacaftor: </w:t>
      </w:r>
      <w:r>
        <w:rPr>
          <w:color w:val="231F1F"/>
          <w:w w:val="115"/>
        </w:rPr>
        <w:t>phenytoin possibly reduces plasma concentration of </w:t>
      </w:r>
      <w:r>
        <w:rPr>
          <w:rFonts w:ascii="Arial" w:hAnsi="Arial"/>
          <w:color w:val="231F1F"/>
          <w:w w:val="355"/>
          <w:position w:val="1"/>
          <w:sz w:val="7"/>
        </w:rPr>
        <w:t>l </w:t>
      </w:r>
      <w:r>
        <w:rPr>
          <w:rFonts w:ascii="Calibri" w:hAnsi="Calibri"/>
          <w:color w:val="008356"/>
          <w:w w:val="120"/>
          <w:sz w:val="11"/>
        </w:rPr>
        <w:t>IVACAFTOR</w:t>
      </w:r>
      <w:r>
        <w:rPr>
          <w:rFonts w:ascii="Arial" w:hAnsi="Arial"/>
          <w:color w:val="231F1F"/>
          <w:w w:val="120"/>
        </w:rPr>
        <w:t>—</w:t>
      </w:r>
      <w:r>
        <w:rPr>
          <w:color w:val="231F1F"/>
          <w:w w:val="120"/>
        </w:rPr>
        <w:t>manufacturer of ivacaftor advises avoid concomitant use</w:t>
      </w:r>
    </w:p>
    <w:p>
      <w:pPr>
        <w:pStyle w:val="BodyText"/>
        <w:spacing w:line="220" w:lineRule="auto" w:before="9"/>
        <w:ind w:right="190" w:hanging="100"/>
        <w:rPr>
          <w:rFonts w:ascii="Calibri" w:hAnsi="Calibri"/>
          <w:sz w:val="11"/>
        </w:rPr>
      </w:pPr>
      <w:r>
        <w:rPr>
          <w:rFonts w:ascii="Lucida Sans Unicode" w:hAnsi="Lucida Sans Unicode"/>
          <w:color w:val="A7A8AC"/>
          <w:w w:val="95"/>
          <w:sz w:val="10"/>
        </w:rPr>
        <w:t>▶ </w:t>
      </w:r>
      <w:r>
        <w:rPr>
          <w:rFonts w:ascii="Calibri" w:hAnsi="Calibri"/>
          <w:color w:val="231F1F"/>
          <w:w w:val="105"/>
        </w:rPr>
        <w:t>Leflunomide: </w:t>
      </w:r>
      <w:r>
        <w:rPr>
          <w:color w:val="231F1F"/>
          <w:w w:val="105"/>
        </w:rPr>
        <w:t>plasma concentration of phenytoin possibly increased by </w:t>
      </w:r>
      <w:r>
        <w:rPr>
          <w:rFonts w:ascii="Calibri" w:hAnsi="Calibri"/>
          <w:color w:val="008356"/>
          <w:w w:val="105"/>
          <w:sz w:val="11"/>
        </w:rPr>
        <w:t>LEFLUNOMIDE</w:t>
      </w:r>
    </w:p>
    <w:p>
      <w:pPr>
        <w:pStyle w:val="BodyText"/>
        <w:spacing w:line="235" w:lineRule="auto" w:before="3"/>
        <w:ind w:right="190"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phenytoin possibly reduced by </w:t>
      </w:r>
      <w:r>
        <w:rPr>
          <w:rFonts w:ascii="Calibri" w:hAnsi="Calibri"/>
          <w:color w:val="008356"/>
          <w:w w:val="110"/>
          <w:sz w:val="11"/>
        </w:rPr>
        <w:t>COLESEVELAM</w:t>
      </w:r>
      <w:r>
        <w:rPr>
          <w:color w:val="231F1F"/>
          <w:w w:val="110"/>
        </w:rPr>
        <w:t>; combination of phenytoin with </w:t>
      </w:r>
      <w:r>
        <w:rPr>
          <w:rFonts w:ascii="Calibri" w:hAnsi="Calibri"/>
          <w:color w:val="008356"/>
          <w:w w:val="110"/>
          <w:sz w:val="11"/>
        </w:rPr>
        <w:t>FLUVASTATIN </w:t>
      </w:r>
      <w:r>
        <w:rPr>
          <w:color w:val="231F1F"/>
          <w:w w:val="110"/>
        </w:rPr>
        <w:t>may increase plasma concentration of either drug (or both)</w:t>
      </w:r>
    </w:p>
    <w:p>
      <w:pPr>
        <w:pStyle w:val="BodyText"/>
        <w:spacing w:before="7"/>
        <w:ind w:left="0"/>
        <w:rPr>
          <w:sz w:val="14"/>
        </w:rPr>
      </w:pPr>
      <w:r>
        <w:rPr/>
        <w:br w:type="column"/>
      </w:r>
      <w:r>
        <w:rPr>
          <w:sz w:val="14"/>
        </w:rPr>
      </w:r>
    </w:p>
    <w:p>
      <w:pPr>
        <w:pStyle w:val="BodyText"/>
        <w:spacing w:line="144" w:lineRule="exact"/>
        <w:ind w:left="109"/>
        <w:rPr>
          <w:rFonts w:ascii="Calibri"/>
        </w:rPr>
      </w:pPr>
      <w:r>
        <w:rPr>
          <w:rFonts w:ascii="Arial"/>
          <w:color w:val="008356"/>
        </w:rPr>
        <w:t>Phenytoin </w:t>
      </w:r>
      <w:r>
        <w:rPr>
          <w:rFonts w:ascii="Calibri"/>
          <w:color w:val="231F1F"/>
        </w:rPr>
        <w:t>(continued)</w:t>
      </w:r>
    </w:p>
    <w:p>
      <w:pPr>
        <w:pStyle w:val="BodyText"/>
        <w:spacing w:line="150" w:lineRule="exact"/>
        <w:ind w:left="109"/>
      </w:pPr>
      <w:r>
        <w:rPr/>
        <w:pict>
          <v:rect style="position:absolute;margin-left:398.891296pt;margin-top:-8.633783pt;width:20.522993pt;height:149.443pt;mso-position-horizontal-relative:page;mso-position-vertical-relative:paragraph;z-index:5536" filled="true" fillcolor="#bfdbcf" stroked="false">
            <v:fill type="solid"/>
            <w10:wrap type="none"/>
          </v:rect>
        </w:pict>
      </w:r>
      <w:r>
        <w:rPr/>
        <w:pict>
          <v:shape style="position:absolute;margin-left:399.725769pt;margin-top:-3.670395pt;width:10.4pt;height:78.850pt;mso-position-horizontal-relative:page;mso-position-vertical-relative:paragraph;z-index:556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Lithium: </w:t>
      </w:r>
      <w:r>
        <w:rPr>
          <w:color w:val="231F1F"/>
          <w:w w:val="110"/>
        </w:rPr>
        <w:t>neurotoxicity may occur when phenytoin given with</w:t>
      </w:r>
    </w:p>
    <w:p>
      <w:pPr>
        <w:pStyle w:val="BodyText"/>
        <w:spacing w:line="134" w:lineRule="exact"/>
      </w:pPr>
      <w:r>
        <w:rPr>
          <w:rFonts w:ascii="Calibri"/>
          <w:color w:val="008356"/>
          <w:w w:val="115"/>
          <w:sz w:val="11"/>
        </w:rPr>
        <w:t>LITHIUM </w:t>
      </w:r>
      <w:r>
        <w:rPr>
          <w:color w:val="231F1F"/>
          <w:w w:val="115"/>
        </w:rPr>
        <w:t>without increased plasma concentration of lithium</w:t>
      </w:r>
    </w:p>
    <w:p>
      <w:pPr>
        <w:pStyle w:val="BodyText"/>
        <w:spacing w:line="220" w:lineRule="auto" w:before="7"/>
        <w:ind w:right="829" w:hanging="100"/>
        <w:rPr>
          <w:rFonts w:ascii="Calibri" w:hAnsi="Calibri"/>
          <w:sz w:val="11"/>
        </w:rPr>
      </w:pPr>
      <w:r>
        <w:rPr>
          <w:rFonts w:ascii="Lucida Sans Unicode" w:hAnsi="Lucida Sans Unicode"/>
          <w:color w:val="A7A8AC"/>
          <w:w w:val="95"/>
          <w:sz w:val="10"/>
        </w:rPr>
        <w:t>▶ </w:t>
      </w:r>
      <w:r>
        <w:rPr>
          <w:rFonts w:ascii="Calibri" w:hAnsi="Calibri"/>
          <w:color w:val="231F1F"/>
          <w:w w:val="105"/>
        </w:rPr>
        <w:t>Macitentan: </w:t>
      </w:r>
      <w:r>
        <w:rPr>
          <w:color w:val="231F1F"/>
          <w:w w:val="105"/>
        </w:rPr>
        <w:t>avoidance of phenytoin advised by  </w:t>
      </w:r>
      <w:r>
        <w:rPr>
          <w:color w:val="231F1F"/>
          <w:spacing w:val="-2"/>
          <w:w w:val="105"/>
        </w:rPr>
        <w:t>manufacturer  </w:t>
      </w:r>
      <w:r>
        <w:rPr>
          <w:color w:val="231F1F"/>
          <w:w w:val="105"/>
        </w:rPr>
        <w:t>of</w:t>
      </w:r>
      <w:r>
        <w:rPr>
          <w:color w:val="231F1F"/>
          <w:spacing w:val="-2"/>
          <w:w w:val="105"/>
        </w:rPr>
        <w:t> </w:t>
      </w:r>
      <w:r>
        <w:rPr>
          <w:rFonts w:ascii="Calibri" w:hAnsi="Calibri"/>
          <w:color w:val="008356"/>
          <w:spacing w:val="4"/>
          <w:w w:val="105"/>
          <w:sz w:val="11"/>
        </w:rPr>
        <w:t>MACITENTAN</w:t>
      </w:r>
    </w:p>
    <w:p>
      <w:pPr>
        <w:pStyle w:val="BodyText"/>
        <w:spacing w:line="220" w:lineRule="auto" w:before="9"/>
        <w:ind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Modafinil: </w:t>
      </w:r>
      <w:r>
        <w:rPr>
          <w:color w:val="231F1F"/>
          <w:w w:val="105"/>
        </w:rPr>
        <w:t>plasma concentration of phenytoin possibly increased by </w:t>
      </w:r>
      <w:r>
        <w:rPr>
          <w:rFonts w:ascii="Calibri" w:hAnsi="Calibri"/>
          <w:color w:val="008356"/>
          <w:w w:val="105"/>
          <w:sz w:val="11"/>
        </w:rPr>
        <w:t>MODAFINIL</w:t>
      </w:r>
    </w:p>
    <w:p>
      <w:pPr>
        <w:spacing w:line="244" w:lineRule="auto" w:before="0"/>
        <w:ind w:left="208" w:right="656" w:hanging="100"/>
        <w:jc w:val="left"/>
        <w:rPr>
          <w:sz w:val="12"/>
        </w:rPr>
      </w:pPr>
      <w:r>
        <w:rPr>
          <w:rFonts w:ascii="Arial"/>
          <w:color w:val="231F1F"/>
          <w:w w:val="355"/>
          <w:position w:val="1"/>
          <w:sz w:val="7"/>
        </w:rPr>
        <w:t>l</w:t>
      </w:r>
      <w:r>
        <w:rPr>
          <w:rFonts w:ascii="Arial"/>
          <w:color w:val="231F1F"/>
          <w:spacing w:val="-33"/>
          <w:w w:val="355"/>
          <w:position w:val="1"/>
          <w:sz w:val="7"/>
        </w:rPr>
        <w:t> </w:t>
      </w:r>
      <w:r>
        <w:rPr>
          <w:rFonts w:ascii="Calibri"/>
          <w:color w:val="231F1F"/>
          <w:w w:val="110"/>
          <w:sz w:val="12"/>
        </w:rPr>
        <w:t>Muscle</w:t>
      </w:r>
      <w:r>
        <w:rPr>
          <w:rFonts w:ascii="Calibri"/>
          <w:color w:val="231F1F"/>
          <w:spacing w:val="-2"/>
          <w:w w:val="110"/>
          <w:sz w:val="12"/>
        </w:rPr>
        <w:t> </w:t>
      </w:r>
      <w:r>
        <w:rPr>
          <w:rFonts w:ascii="Calibri"/>
          <w:color w:val="231F1F"/>
          <w:w w:val="110"/>
          <w:sz w:val="12"/>
        </w:rPr>
        <w:t>Relaxants:</w:t>
      </w:r>
      <w:r>
        <w:rPr>
          <w:rFonts w:ascii="Calibri"/>
          <w:color w:val="231F1F"/>
          <w:spacing w:val="-1"/>
          <w:w w:val="110"/>
          <w:sz w:val="12"/>
        </w:rPr>
        <w:t> </w:t>
      </w:r>
      <w:r>
        <w:rPr>
          <w:i/>
          <w:color w:val="231F1F"/>
          <w:w w:val="110"/>
          <w:sz w:val="12"/>
        </w:rPr>
        <w:t>long-term</w:t>
      </w:r>
      <w:r>
        <w:rPr>
          <w:i/>
          <w:color w:val="231F1F"/>
          <w:spacing w:val="-5"/>
          <w:w w:val="110"/>
          <w:sz w:val="12"/>
        </w:rPr>
        <w:t> </w:t>
      </w:r>
      <w:r>
        <w:rPr>
          <w:i/>
          <w:color w:val="231F1F"/>
          <w:w w:val="110"/>
          <w:sz w:val="12"/>
        </w:rPr>
        <w:t>use</w:t>
      </w:r>
      <w:r>
        <w:rPr>
          <w:i/>
          <w:color w:val="231F1F"/>
          <w:spacing w:val="-4"/>
          <w:w w:val="110"/>
          <w:sz w:val="12"/>
        </w:rPr>
        <w:t> </w:t>
      </w:r>
      <w:r>
        <w:rPr>
          <w:color w:val="231F1F"/>
          <w:w w:val="110"/>
          <w:sz w:val="12"/>
        </w:rPr>
        <w:t>of</w:t>
      </w:r>
      <w:r>
        <w:rPr>
          <w:color w:val="231F1F"/>
          <w:spacing w:val="-5"/>
          <w:w w:val="110"/>
          <w:sz w:val="12"/>
        </w:rPr>
        <w:t> </w:t>
      </w:r>
      <w:r>
        <w:rPr>
          <w:color w:val="231F1F"/>
          <w:w w:val="110"/>
          <w:sz w:val="12"/>
        </w:rPr>
        <w:t>phenytoin</w:t>
      </w:r>
      <w:r>
        <w:rPr>
          <w:color w:val="231F1F"/>
          <w:spacing w:val="-4"/>
          <w:w w:val="110"/>
          <w:sz w:val="12"/>
        </w:rPr>
        <w:t> </w:t>
      </w:r>
      <w:r>
        <w:rPr>
          <w:color w:val="231F1F"/>
          <w:w w:val="110"/>
          <w:sz w:val="12"/>
        </w:rPr>
        <w:t>reduces</w:t>
      </w:r>
      <w:r>
        <w:rPr>
          <w:color w:val="231F1F"/>
          <w:spacing w:val="-6"/>
          <w:w w:val="110"/>
          <w:sz w:val="12"/>
        </w:rPr>
        <w:t> </w:t>
      </w:r>
      <w:r>
        <w:rPr>
          <w:color w:val="231F1F"/>
          <w:w w:val="110"/>
          <w:sz w:val="12"/>
        </w:rPr>
        <w:t>effects</w:t>
      </w:r>
      <w:r>
        <w:rPr>
          <w:color w:val="231F1F"/>
          <w:spacing w:val="-4"/>
          <w:w w:val="110"/>
          <w:sz w:val="12"/>
        </w:rPr>
        <w:t> </w:t>
      </w:r>
      <w:r>
        <w:rPr>
          <w:color w:val="231F1F"/>
          <w:spacing w:val="-7"/>
          <w:w w:val="110"/>
          <w:sz w:val="12"/>
        </w:rPr>
        <w:t>of </w:t>
      </w:r>
      <w:r>
        <w:rPr>
          <w:rFonts w:ascii="Arial"/>
          <w:color w:val="231F1F"/>
          <w:w w:val="355"/>
          <w:position w:val="1"/>
          <w:sz w:val="7"/>
        </w:rPr>
        <w:t>l </w:t>
      </w:r>
      <w:r>
        <w:rPr>
          <w:rFonts w:ascii="Calibri"/>
          <w:color w:val="008356"/>
          <w:spacing w:val="4"/>
          <w:w w:val="110"/>
          <w:sz w:val="11"/>
        </w:rPr>
        <w:t>NON-DEPOLARISING MUSCLE RELAXANTS </w:t>
      </w:r>
      <w:r>
        <w:rPr>
          <w:color w:val="231F1F"/>
          <w:w w:val="110"/>
          <w:sz w:val="12"/>
        </w:rPr>
        <w:t>(but </w:t>
      </w:r>
      <w:r>
        <w:rPr>
          <w:i/>
          <w:color w:val="231F1F"/>
          <w:w w:val="110"/>
          <w:sz w:val="12"/>
        </w:rPr>
        <w:t>acute use </w:t>
      </w:r>
      <w:r>
        <w:rPr>
          <w:color w:val="231F1F"/>
          <w:w w:val="110"/>
          <w:sz w:val="12"/>
        </w:rPr>
        <w:t>of phenytoin might increase effects of non-depolarising muscle relaxants)</w:t>
      </w:r>
    </w:p>
    <w:p>
      <w:pPr>
        <w:pStyle w:val="BodyText"/>
        <w:spacing w:line="143" w:lineRule="exact"/>
        <w:ind w:left="109"/>
      </w:pPr>
      <w:r>
        <w:rPr>
          <w:rFonts w:ascii="Arial"/>
          <w:color w:val="231F1F"/>
          <w:w w:val="355"/>
          <w:position w:val="1"/>
          <w:sz w:val="7"/>
        </w:rPr>
        <w:t>l </w:t>
      </w:r>
      <w:r>
        <w:rPr>
          <w:rFonts w:ascii="Calibri"/>
          <w:color w:val="231F1F"/>
          <w:w w:val="110"/>
        </w:rPr>
        <w:t>Oestrogens: </w:t>
      </w:r>
      <w:r>
        <w:rPr>
          <w:color w:val="231F1F"/>
          <w:w w:val="110"/>
        </w:rPr>
        <w:t>phenytoin accelerates metabolism of</w:t>
      </w:r>
    </w:p>
    <w:p>
      <w:pPr>
        <w:pStyle w:val="BodyText"/>
        <w:spacing w:line="244" w:lineRule="auto"/>
        <w:ind w:right="700"/>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right="115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2" w:lineRule="exact"/>
        <w:ind w:left="109"/>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Progestogens: </w:t>
      </w:r>
      <w:r>
        <w:rPr>
          <w:color w:val="231F1F"/>
          <w:w w:val="115"/>
        </w:rPr>
        <w:t>phenytoin accelerates metabolism of</w:t>
      </w:r>
    </w:p>
    <w:p>
      <w:pPr>
        <w:pStyle w:val="BodyText"/>
        <w:spacing w:line="247" w:lineRule="auto"/>
        <w:ind w:right="683" w:hanging="1"/>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spacing w:val="4"/>
          <w:w w:val="115"/>
          <w:sz w:val="11"/>
        </w:rPr>
        <w:t>PROGESTOGENS</w:t>
      </w:r>
      <w:r>
        <w:rPr>
          <w:rFonts w:ascii="Calibri" w:hAnsi="Calibri"/>
          <w:color w:val="008356"/>
          <w:spacing w:val="-15"/>
          <w:w w:val="115"/>
          <w:sz w:val="11"/>
        </w:rPr>
        <w:t> </w:t>
      </w:r>
      <w:r>
        <w:rPr>
          <w:color w:val="231F1F"/>
          <w:w w:val="115"/>
        </w:rPr>
        <w:t>(reduced</w:t>
      </w:r>
      <w:r>
        <w:rPr>
          <w:color w:val="231F1F"/>
          <w:spacing w:val="-25"/>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pStyle w:val="BodyText"/>
        <w:spacing w:line="151" w:lineRule="exact"/>
        <w:ind w:left="109"/>
        <w:rPr>
          <w:rFonts w:ascii="Calibri" w:hAnsi="Calibri"/>
          <w:sz w:val="11"/>
        </w:rPr>
      </w:pPr>
      <w:r>
        <w:rPr>
          <w:rFonts w:ascii="Lucida Sans Unicode" w:hAnsi="Lucida Sans Unicode"/>
          <w:color w:val="A7A8AC"/>
          <w:w w:val="95"/>
          <w:sz w:val="10"/>
        </w:rPr>
        <w:t>▶ </w:t>
      </w:r>
      <w:r>
        <w:rPr>
          <w:rFonts w:ascii="Calibri" w:hAnsi="Calibri"/>
          <w:color w:val="231F1F"/>
          <w:w w:val="105"/>
        </w:rPr>
        <w:t>Roflumilast: </w:t>
      </w:r>
      <w:r>
        <w:rPr>
          <w:color w:val="231F1F"/>
          <w:w w:val="105"/>
        </w:rPr>
        <w:t>phenytoin possibly inhibits effects of </w:t>
      </w:r>
      <w:r>
        <w:rPr>
          <w:rFonts w:ascii="Calibri" w:hAnsi="Calibri"/>
          <w:color w:val="008356"/>
          <w:w w:val="105"/>
          <w:sz w:val="11"/>
        </w:rPr>
        <w:t>ROFLUMILAST</w:t>
      </w:r>
    </w:p>
    <w:p>
      <w:pPr>
        <w:pStyle w:val="BodyText"/>
        <w:spacing w:line="132" w:lineRule="exact"/>
      </w:pPr>
      <w:r>
        <w:rPr>
          <w:color w:val="231F1F"/>
          <w:w w:val="115"/>
        </w:rPr>
        <w:t>(manufacturer of roflumilast advises avoid concomitant use)</w:t>
      </w:r>
    </w:p>
    <w:p>
      <w:pPr>
        <w:spacing w:before="0"/>
        <w:ind w:left="208" w:right="700" w:hanging="100"/>
        <w:jc w:val="left"/>
        <w:rPr>
          <w:rFonts w:ascii="Calibri"/>
          <w:sz w:val="11"/>
        </w:rPr>
      </w:pPr>
      <w:r>
        <w:rPr>
          <w:rFonts w:ascii="Arial"/>
          <w:color w:val="231F1F"/>
          <w:w w:val="355"/>
          <w:position w:val="1"/>
          <w:sz w:val="7"/>
        </w:rPr>
        <w:t>l </w:t>
      </w:r>
      <w:r>
        <w:rPr>
          <w:rFonts w:ascii="Calibri"/>
          <w:color w:val="231F1F"/>
          <w:w w:val="110"/>
          <w:sz w:val="12"/>
        </w:rPr>
        <w:t>Sulfinpyrazone: </w:t>
      </w:r>
      <w:r>
        <w:rPr>
          <w:color w:val="231F1F"/>
          <w:w w:val="110"/>
          <w:sz w:val="12"/>
        </w:rPr>
        <w:t>plasma concentration of phenytoin increased by </w:t>
      </w:r>
      <w:r>
        <w:rPr>
          <w:rFonts w:ascii="Arial"/>
          <w:color w:val="231F1F"/>
          <w:w w:val="355"/>
          <w:position w:val="1"/>
          <w:sz w:val="7"/>
        </w:rPr>
        <w:t>l </w:t>
      </w:r>
      <w:r>
        <w:rPr>
          <w:rFonts w:ascii="Calibri"/>
          <w:color w:val="008356"/>
          <w:w w:val="110"/>
          <w:sz w:val="11"/>
        </w:rPr>
        <w:t>SULFINPYRAZONE</w:t>
      </w:r>
    </w:p>
    <w:p>
      <w:pPr>
        <w:spacing w:line="220" w:lineRule="auto" w:before="5"/>
        <w:ind w:left="208" w:right="99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Sympathomimetics: </w:t>
      </w:r>
      <w:r>
        <w:rPr>
          <w:color w:val="231F1F"/>
          <w:w w:val="105"/>
          <w:sz w:val="12"/>
        </w:rPr>
        <w:t>plasma concentration of phenytoin increased by </w:t>
      </w:r>
      <w:r>
        <w:rPr>
          <w:rFonts w:ascii="Calibri" w:hAnsi="Calibri"/>
          <w:color w:val="008356"/>
          <w:w w:val="105"/>
          <w:sz w:val="11"/>
        </w:rPr>
        <w:t>METHYLPHENIDATE</w:t>
      </w:r>
    </w:p>
    <w:p>
      <w:pPr>
        <w:pStyle w:val="BodyText"/>
        <w:spacing w:line="230" w:lineRule="auto" w:before="4"/>
        <w:ind w:right="605" w:hanging="100"/>
      </w:pPr>
      <w:r>
        <w:rPr>
          <w:rFonts w:ascii="Lucida Sans Unicode" w:hAnsi="Lucida Sans Unicode"/>
          <w:color w:val="A7A8AC"/>
          <w:w w:val="95"/>
          <w:sz w:val="10"/>
        </w:rPr>
        <w:t>▶ </w:t>
      </w:r>
      <w:r>
        <w:rPr>
          <w:rFonts w:ascii="Calibri" w:hAnsi="Calibri"/>
          <w:color w:val="231F1F"/>
          <w:w w:val="110"/>
        </w:rPr>
        <w:t>Tacrolimus: </w:t>
      </w:r>
      <w:r>
        <w:rPr>
          <w:color w:val="231F1F"/>
          <w:w w:val="110"/>
        </w:rPr>
        <w:t>phenytoin reduces plasma concentration of </w:t>
      </w:r>
      <w:r>
        <w:rPr>
          <w:rFonts w:ascii="Calibri" w:hAnsi="Calibri"/>
          <w:color w:val="008356"/>
          <w:w w:val="110"/>
          <w:sz w:val="11"/>
        </w:rPr>
        <w:t>TACROLIMUS</w:t>
      </w:r>
      <w:r>
        <w:rPr>
          <w:color w:val="231F1F"/>
          <w:w w:val="110"/>
        </w:rPr>
        <w:t>, also plasma concentration of phenytoin possibly increased</w:t>
      </w:r>
    </w:p>
    <w:p>
      <w:pPr>
        <w:pStyle w:val="BodyText"/>
        <w:spacing w:before="4"/>
        <w:ind w:right="700" w:hanging="100"/>
        <w:rPr>
          <w:rFonts w:ascii="Calibri"/>
          <w:sz w:val="11"/>
        </w:rPr>
      </w:pPr>
      <w:r>
        <w:rPr>
          <w:rFonts w:ascii="Arial"/>
          <w:color w:val="231F1F"/>
          <w:w w:val="355"/>
          <w:position w:val="1"/>
          <w:sz w:val="7"/>
        </w:rPr>
        <w:t>l </w:t>
      </w:r>
      <w:r>
        <w:rPr>
          <w:rFonts w:ascii="Calibri"/>
          <w:color w:val="231F1F"/>
          <w:w w:val="110"/>
        </w:rPr>
        <w:t>Theophylline: </w:t>
      </w:r>
      <w:r>
        <w:rPr>
          <w:color w:val="231F1F"/>
          <w:w w:val="110"/>
        </w:rPr>
        <w:t>plasma concentration of both drugs </w:t>
      </w:r>
      <w:r>
        <w:rPr>
          <w:color w:val="231F1F"/>
          <w:spacing w:val="-3"/>
          <w:w w:val="110"/>
        </w:rPr>
        <w:t>reduced </w:t>
      </w:r>
      <w:r>
        <w:rPr>
          <w:color w:val="231F1F"/>
          <w:w w:val="110"/>
        </w:rPr>
        <w:t>when phenytoin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5"/>
          <w:w w:val="110"/>
          <w:sz w:val="11"/>
        </w:rPr>
        <w:t>THEOPHYLLINE</w:t>
      </w:r>
    </w:p>
    <w:p>
      <w:pPr>
        <w:pStyle w:val="BodyText"/>
        <w:spacing w:line="237" w:lineRule="auto"/>
        <w:ind w:right="605" w:hanging="100"/>
      </w:pPr>
      <w:r>
        <w:rPr>
          <w:rFonts w:ascii="Lucida Sans Unicode" w:hAnsi="Lucida Sans Unicode"/>
          <w:color w:val="A7A8AC"/>
          <w:w w:val="95"/>
          <w:sz w:val="10"/>
        </w:rPr>
        <w:t>▶ </w:t>
      </w:r>
      <w:r>
        <w:rPr>
          <w:rFonts w:ascii="Calibri" w:hAnsi="Calibri"/>
          <w:color w:val="231F1F"/>
          <w:w w:val="110"/>
        </w:rPr>
        <w:t>Thyroid Hormones: </w:t>
      </w:r>
      <w:r>
        <w:rPr>
          <w:color w:val="231F1F"/>
          <w:w w:val="110"/>
        </w:rPr>
        <w:t>phenytoin accelerates metabolism of </w:t>
      </w:r>
      <w:r>
        <w:rPr>
          <w:rFonts w:ascii="Calibri" w:hAnsi="Calibri"/>
          <w:color w:val="008356"/>
          <w:w w:val="110"/>
          <w:sz w:val="11"/>
        </w:rPr>
        <w:t>THYROID HORMONES </w:t>
      </w:r>
      <w:r>
        <w:rPr>
          <w:color w:val="231F1F"/>
          <w:w w:val="110"/>
        </w:rPr>
        <w:t>(may increase requirements in hypothyroidism), also plasma concentration of phenytoin possibly increased</w:t>
      </w:r>
    </w:p>
    <w:p>
      <w:pPr>
        <w:pStyle w:val="BodyText"/>
        <w:spacing w:line="149" w:lineRule="exact"/>
        <w:ind w:left="109"/>
        <w:rPr>
          <w:rFonts w:ascii="Calibri" w:hAnsi="Calibri"/>
          <w:sz w:val="11"/>
        </w:rPr>
      </w:pPr>
      <w:r>
        <w:rPr>
          <w:rFonts w:ascii="Lucida Sans Unicode" w:hAnsi="Lucida Sans Unicode"/>
          <w:color w:val="A7A8AC"/>
          <w:w w:val="95"/>
          <w:sz w:val="10"/>
        </w:rPr>
        <w:t>▶ </w:t>
      </w:r>
      <w:r>
        <w:rPr>
          <w:rFonts w:ascii="Calibri" w:hAnsi="Calibri"/>
          <w:color w:val="231F1F"/>
          <w:w w:val="105"/>
        </w:rPr>
        <w:t>Tibolone: </w:t>
      </w:r>
      <w:r>
        <w:rPr>
          <w:color w:val="231F1F"/>
          <w:w w:val="105"/>
        </w:rPr>
        <w:t>phenytoin accelerates metabolism of </w:t>
      </w:r>
      <w:r>
        <w:rPr>
          <w:rFonts w:ascii="Calibri" w:hAnsi="Calibri"/>
          <w:color w:val="008356"/>
          <w:w w:val="105"/>
          <w:sz w:val="11"/>
        </w:rPr>
        <w:t>TIBOLONE</w:t>
      </w:r>
    </w:p>
    <w:p>
      <w:pPr>
        <w:pStyle w:val="BodyText"/>
        <w:spacing w:line="220" w:lineRule="auto"/>
        <w:ind w:right="767" w:hanging="100"/>
        <w:rPr>
          <w:rFonts w:ascii="Calibri" w:hAnsi="Calibri"/>
          <w:sz w:val="11"/>
        </w:rPr>
      </w:pPr>
      <w:r>
        <w:rPr>
          <w:rFonts w:ascii="Lucida Sans Unicode" w:hAnsi="Lucida Sans Unicode"/>
          <w:color w:val="A7A8AC"/>
          <w:w w:val="95"/>
          <w:sz w:val="10"/>
        </w:rPr>
        <w:t>▶ </w:t>
      </w:r>
      <w:r>
        <w:rPr>
          <w:rFonts w:ascii="Calibri" w:hAnsi="Calibri"/>
          <w:color w:val="231F1F"/>
          <w:w w:val="105"/>
        </w:rPr>
        <w:t>Ticagrelor: </w:t>
      </w:r>
      <w:r>
        <w:rPr>
          <w:color w:val="231F1F"/>
          <w:w w:val="105"/>
        </w:rPr>
        <w:t>phenytoin  possibly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TICAGRELOR</w:t>
      </w:r>
    </w:p>
    <w:p>
      <w:pPr>
        <w:pStyle w:val="BodyText"/>
        <w:spacing w:line="146" w:lineRule="exact"/>
        <w:ind w:left="109"/>
      </w:pPr>
      <w:r>
        <w:rPr>
          <w:rFonts w:ascii="Arial"/>
          <w:color w:val="231F1F"/>
          <w:w w:val="355"/>
          <w:position w:val="1"/>
          <w:sz w:val="7"/>
        </w:rPr>
        <w:t>l </w:t>
      </w:r>
      <w:r>
        <w:rPr>
          <w:rFonts w:ascii="Calibri"/>
          <w:color w:val="231F1F"/>
          <w:w w:val="115"/>
        </w:rPr>
        <w:t>Ulcer-healing Drugs: </w:t>
      </w:r>
      <w:r>
        <w:rPr>
          <w:color w:val="231F1F"/>
          <w:w w:val="115"/>
        </w:rPr>
        <w:t>metabolism of phenytoin inhibited by</w:t>
      </w:r>
    </w:p>
    <w:p>
      <w:pPr>
        <w:spacing w:line="242" w:lineRule="auto" w:before="0"/>
        <w:ind w:left="208" w:right="605" w:firstLine="0"/>
        <w:jc w:val="left"/>
        <w:rPr>
          <w:rFonts w:ascii="Calibri"/>
          <w:sz w:val="11"/>
        </w:rPr>
      </w:pPr>
      <w:r>
        <w:rPr>
          <w:rFonts w:ascii="Arial"/>
          <w:color w:val="231F1F"/>
          <w:w w:val="355"/>
          <w:position w:val="1"/>
          <w:sz w:val="7"/>
        </w:rPr>
        <w:t>l </w:t>
      </w:r>
      <w:r>
        <w:rPr>
          <w:rFonts w:ascii="Calibri"/>
          <w:color w:val="008356"/>
          <w:w w:val="110"/>
          <w:sz w:val="11"/>
        </w:rPr>
        <w:t>CIMETIDINE </w:t>
      </w:r>
      <w:r>
        <w:rPr>
          <w:color w:val="231F1F"/>
          <w:w w:val="110"/>
          <w:sz w:val="12"/>
        </w:rPr>
        <w:t>(increased plasma concentration); effects of phenytoin enhanced by </w:t>
      </w:r>
      <w:r>
        <w:rPr>
          <w:rFonts w:ascii="Arial"/>
          <w:color w:val="231F1F"/>
          <w:w w:val="355"/>
          <w:position w:val="1"/>
          <w:sz w:val="7"/>
        </w:rPr>
        <w:t>l </w:t>
      </w:r>
      <w:r>
        <w:rPr>
          <w:rFonts w:ascii="Calibri"/>
          <w:color w:val="008356"/>
          <w:w w:val="110"/>
          <w:sz w:val="11"/>
        </w:rPr>
        <w:t>ESOMEPRAZOLE</w:t>
      </w:r>
      <w:r>
        <w:rPr>
          <w:color w:val="231F1F"/>
          <w:w w:val="110"/>
          <w:sz w:val="12"/>
        </w:rPr>
        <w:t>; effects of phenytoin possibly enhanced by </w:t>
      </w:r>
      <w:r>
        <w:rPr>
          <w:rFonts w:ascii="Calibri"/>
          <w:color w:val="008356"/>
          <w:w w:val="110"/>
          <w:sz w:val="11"/>
        </w:rPr>
        <w:t>OMEPRAZOLE</w:t>
      </w:r>
      <w:r>
        <w:rPr>
          <w:color w:val="231F1F"/>
          <w:w w:val="110"/>
          <w:sz w:val="12"/>
        </w:rPr>
        <w:t>; absorption of phenytoin reduced by </w:t>
      </w:r>
      <w:r>
        <w:rPr>
          <w:rFonts w:ascii="Arial"/>
          <w:color w:val="231F1F"/>
          <w:w w:val="355"/>
          <w:position w:val="1"/>
          <w:sz w:val="7"/>
        </w:rPr>
        <w:t>l </w:t>
      </w:r>
      <w:r>
        <w:rPr>
          <w:rFonts w:ascii="Calibri"/>
          <w:color w:val="008356"/>
          <w:w w:val="110"/>
          <w:sz w:val="11"/>
        </w:rPr>
        <w:t>SUCRALFATE</w:t>
      </w:r>
    </w:p>
    <w:p>
      <w:pPr>
        <w:pStyle w:val="BodyText"/>
        <w:ind w:right="702" w:hanging="100"/>
      </w:pPr>
      <w:r>
        <w:rPr>
          <w:rFonts w:ascii="Arial"/>
          <w:color w:val="231F1F"/>
          <w:w w:val="145"/>
          <w:position w:val="1"/>
          <w:sz w:val="7"/>
        </w:rPr>
        <w:t>l</w:t>
      </w:r>
      <w:r>
        <w:rPr>
          <w:rFonts w:ascii="Arial"/>
          <w:color w:val="231F1F"/>
          <w:spacing w:val="-15"/>
          <w:w w:val="145"/>
          <w:position w:val="1"/>
          <w:sz w:val="7"/>
        </w:rPr>
        <w:t> </w:t>
      </w:r>
      <w:r>
        <w:rPr>
          <w:rFonts w:ascii="Calibri"/>
          <w:color w:val="231F1F"/>
          <w:w w:val="120"/>
        </w:rPr>
        <w:t>Ulipristal:</w:t>
      </w:r>
      <w:r>
        <w:rPr>
          <w:rFonts w:ascii="Calibri"/>
          <w:color w:val="231F1F"/>
          <w:spacing w:val="-23"/>
          <w:w w:val="120"/>
        </w:rPr>
        <w:t> </w:t>
      </w:r>
      <w:r>
        <w:rPr>
          <w:color w:val="231F1F"/>
          <w:w w:val="120"/>
        </w:rPr>
        <w:t>avoidance</w:t>
      </w:r>
      <w:r>
        <w:rPr>
          <w:color w:val="231F1F"/>
          <w:spacing w:val="-25"/>
          <w:w w:val="120"/>
        </w:rPr>
        <w:t> </w:t>
      </w:r>
      <w:r>
        <w:rPr>
          <w:color w:val="231F1F"/>
          <w:w w:val="120"/>
        </w:rPr>
        <w:t>of</w:t>
      </w:r>
      <w:r>
        <w:rPr>
          <w:color w:val="231F1F"/>
          <w:spacing w:val="-26"/>
          <w:w w:val="120"/>
        </w:rPr>
        <w:t> </w:t>
      </w:r>
      <w:r>
        <w:rPr>
          <w:color w:val="231F1F"/>
          <w:w w:val="120"/>
        </w:rPr>
        <w:t>phenytoin</w:t>
      </w:r>
      <w:r>
        <w:rPr>
          <w:color w:val="231F1F"/>
          <w:spacing w:val="-26"/>
          <w:w w:val="120"/>
        </w:rPr>
        <w:t> </w:t>
      </w:r>
      <w:r>
        <w:rPr>
          <w:color w:val="231F1F"/>
          <w:w w:val="120"/>
        </w:rPr>
        <w:t>advised</w:t>
      </w:r>
      <w:r>
        <w:rPr>
          <w:color w:val="231F1F"/>
          <w:spacing w:val="-25"/>
          <w:w w:val="120"/>
        </w:rPr>
        <w:t> </w:t>
      </w:r>
      <w:r>
        <w:rPr>
          <w:color w:val="231F1F"/>
          <w:w w:val="120"/>
        </w:rPr>
        <w:t>by</w:t>
      </w:r>
      <w:r>
        <w:rPr>
          <w:color w:val="231F1F"/>
          <w:spacing w:val="-26"/>
          <w:w w:val="120"/>
        </w:rPr>
        <w:t> </w:t>
      </w:r>
      <w:r>
        <w:rPr>
          <w:color w:val="231F1F"/>
          <w:w w:val="120"/>
        </w:rPr>
        <w:t>manufacturer</w:t>
      </w:r>
      <w:r>
        <w:rPr>
          <w:color w:val="231F1F"/>
          <w:spacing w:val="-26"/>
          <w:w w:val="120"/>
        </w:rPr>
        <w:t> </w:t>
      </w:r>
      <w:r>
        <w:rPr>
          <w:color w:val="231F1F"/>
          <w:spacing w:val="-8"/>
          <w:w w:val="120"/>
        </w:rPr>
        <w:t>of </w:t>
      </w:r>
      <w:r>
        <w:rPr>
          <w:rFonts w:ascii="Arial"/>
          <w:color w:val="231F1F"/>
          <w:w w:val="355"/>
          <w:position w:val="1"/>
          <w:sz w:val="7"/>
        </w:rPr>
        <w:t>l </w:t>
      </w:r>
      <w:r>
        <w:rPr>
          <w:rFonts w:ascii="Calibri"/>
          <w:color w:val="008356"/>
          <w:spacing w:val="3"/>
          <w:w w:val="120"/>
          <w:sz w:val="11"/>
        </w:rPr>
        <w:t>ULIPRISTAL </w:t>
      </w:r>
      <w:r>
        <w:rPr>
          <w:color w:val="231F1F"/>
          <w:w w:val="120"/>
        </w:rPr>
        <w:t>(contraceptive effect of ulipristal possibly reduced)</w:t>
      </w:r>
    </w:p>
    <w:p>
      <w:pPr>
        <w:spacing w:line="150" w:lineRule="exact" w:before="0"/>
        <w:ind w:left="109"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effects of phenytoin enhanced by </w:t>
      </w:r>
      <w:r>
        <w:rPr>
          <w:rFonts w:ascii="Calibri" w:hAnsi="Calibri"/>
          <w:color w:val="008356"/>
          <w:w w:val="105"/>
          <w:sz w:val="11"/>
        </w:rPr>
        <w:t>INFLUENZA VACCINE</w:t>
      </w:r>
    </w:p>
    <w:p>
      <w:pPr>
        <w:spacing w:line="230" w:lineRule="auto" w:before="0"/>
        <w:ind w:left="208" w:right="997" w:hanging="100"/>
        <w:jc w:val="left"/>
        <w:rPr>
          <w:sz w:val="12"/>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phenytoin possibly increases requirements for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w:t>
      </w:r>
    </w:p>
    <w:p>
      <w:pPr>
        <w:spacing w:before="6"/>
        <w:ind w:left="208" w:right="0" w:firstLine="0"/>
        <w:jc w:val="left"/>
        <w:rPr>
          <w:rFonts w:ascii="Calibri"/>
          <w:sz w:val="11"/>
        </w:rPr>
      </w:pPr>
      <w:r>
        <w:rPr>
          <w:rFonts w:ascii="Calibri"/>
          <w:color w:val="008356"/>
          <w:spacing w:val="3"/>
          <w:sz w:val="11"/>
        </w:rPr>
        <w:t>VITAMIN</w:t>
      </w:r>
      <w:r>
        <w:rPr>
          <w:rFonts w:ascii="Calibri"/>
          <w:color w:val="008356"/>
          <w:spacing w:val="-9"/>
          <w:sz w:val="11"/>
        </w:rPr>
        <w:t> </w:t>
      </w:r>
      <w:r>
        <w:rPr>
          <w:rFonts w:ascii="Calibri"/>
          <w:color w:val="008356"/>
          <w:sz w:val="11"/>
        </w:rPr>
        <w:t>D</w:t>
      </w:r>
    </w:p>
    <w:p>
      <w:pPr>
        <w:pStyle w:val="BodyText"/>
        <w:spacing w:line="139" w:lineRule="exact" w:before="8"/>
        <w:ind w:left="109"/>
        <w:rPr>
          <w:rFonts w:ascii="Trebuchet MS"/>
        </w:rPr>
      </w:pPr>
      <w:r>
        <w:rPr>
          <w:rFonts w:ascii="Trebuchet MS"/>
          <w:color w:val="008356"/>
        </w:rPr>
        <w:t>Pholcodine</w:t>
      </w:r>
    </w:p>
    <w:p>
      <w:pPr>
        <w:pStyle w:val="BodyText"/>
        <w:spacing w:line="220" w:lineRule="auto" w:before="8"/>
        <w:ind w:right="656" w:hanging="100"/>
        <w:rPr>
          <w:rFonts w:ascii="Calibri" w:hAnsi="Calibri"/>
          <w:sz w:val="9"/>
        </w:rPr>
      </w:pPr>
      <w:r>
        <w:rPr>
          <w:rFonts w:ascii="Lucida Sans Unicode" w:hAnsi="Lucida Sans Unicode"/>
          <w:color w:val="A7A8AC"/>
          <w:w w:val="95"/>
          <w:sz w:val="10"/>
        </w:rPr>
        <w:t>▶ </w:t>
      </w:r>
      <w:r>
        <w:rPr>
          <w:rFonts w:ascii="Calibri" w:hAnsi="Calibri"/>
          <w:color w:val="231F1F"/>
          <w:w w:val="110"/>
        </w:rPr>
        <w:t>Antidepressants: </w:t>
      </w:r>
      <w:r>
        <w:rPr>
          <w:color w:val="231F1F"/>
          <w:w w:val="110"/>
        </w:rPr>
        <w:t>manufacturer of pholcodine advises avoid for 2 weeks after stopping </w:t>
      </w:r>
      <w:r>
        <w:rPr>
          <w:rFonts w:ascii="Calibri" w:hAnsi="Calibri"/>
          <w:color w:val="008356"/>
          <w:w w:val="110"/>
          <w:sz w:val="11"/>
        </w:rPr>
        <w:t>MAOI</w:t>
      </w:r>
      <w:r>
        <w:rPr>
          <w:rFonts w:ascii="Calibri" w:hAnsi="Calibri"/>
          <w:color w:val="008356"/>
          <w:w w:val="110"/>
          <w:sz w:val="9"/>
        </w:rPr>
        <w:t>S</w:t>
      </w:r>
    </w:p>
    <w:p>
      <w:pPr>
        <w:pStyle w:val="BodyText"/>
        <w:spacing w:line="139" w:lineRule="exact" w:before="10"/>
        <w:ind w:left="109"/>
        <w:rPr>
          <w:rFonts w:ascii="Trebuchet MS"/>
        </w:rPr>
      </w:pPr>
      <w:r>
        <w:rPr>
          <w:rFonts w:ascii="Trebuchet MS"/>
          <w:color w:val="008356"/>
        </w:rPr>
        <w:t>Phosphodiesterase Type-3 Inhibitors</w:t>
      </w:r>
    </w:p>
    <w:p>
      <w:pPr>
        <w:pStyle w:val="BodyText"/>
        <w:ind w:right="682" w:hanging="100"/>
        <w:rPr>
          <w:rFonts w:ascii="Calibri"/>
          <w:sz w:val="11"/>
        </w:rPr>
      </w:pPr>
      <w:r>
        <w:rPr>
          <w:rFonts w:ascii="Arial"/>
          <w:color w:val="231F1F"/>
          <w:w w:val="355"/>
          <w:position w:val="1"/>
          <w:sz w:val="7"/>
        </w:rPr>
        <w:t>l </w:t>
      </w:r>
      <w:r>
        <w:rPr>
          <w:rFonts w:ascii="Calibri"/>
          <w:color w:val="231F1F"/>
          <w:w w:val="110"/>
        </w:rPr>
        <w:t>Anagrelide: </w:t>
      </w:r>
      <w:r>
        <w:rPr>
          <w:color w:val="231F1F"/>
          <w:w w:val="110"/>
        </w:rPr>
        <w:t>avoidance of enoximone and milrinone advised </w:t>
      </w:r>
      <w:r>
        <w:rPr>
          <w:color w:val="231F1F"/>
          <w:spacing w:val="-6"/>
          <w:w w:val="110"/>
        </w:rPr>
        <w:t>by </w:t>
      </w:r>
      <w:r>
        <w:rPr>
          <w:color w:val="231F1F"/>
          <w:w w:val="110"/>
        </w:rPr>
        <w:t>manufacturer of </w:t>
      </w:r>
      <w:r>
        <w:rPr>
          <w:rFonts w:ascii="Arial"/>
          <w:color w:val="231F1F"/>
          <w:w w:val="355"/>
          <w:position w:val="1"/>
          <w:sz w:val="7"/>
        </w:rPr>
        <w:t>l </w:t>
      </w:r>
      <w:r>
        <w:rPr>
          <w:rFonts w:ascii="Calibri"/>
          <w:color w:val="008356"/>
          <w:spacing w:val="4"/>
          <w:w w:val="110"/>
          <w:sz w:val="11"/>
        </w:rPr>
        <w:t>ANAGRELIDE</w:t>
      </w:r>
    </w:p>
    <w:p>
      <w:pPr>
        <w:pStyle w:val="BodyText"/>
        <w:spacing w:before="7"/>
        <w:ind w:left="109"/>
      </w:pPr>
      <w:r>
        <w:rPr>
          <w:rFonts w:ascii="Trebuchet MS"/>
          <w:color w:val="008356"/>
          <w:w w:val="110"/>
        </w:rPr>
        <w:t>Pilocarpine </w:t>
      </w:r>
      <w:r>
        <w:rPr>
          <w:i/>
          <w:color w:val="231F1F"/>
          <w:w w:val="110"/>
        </w:rPr>
        <w:t>see </w:t>
      </w:r>
      <w:r>
        <w:rPr>
          <w:color w:val="231F1F"/>
          <w:w w:val="110"/>
        </w:rPr>
        <w:t>Parasympathomimetics</w:t>
      </w:r>
    </w:p>
    <w:p>
      <w:pPr>
        <w:pStyle w:val="BodyText"/>
        <w:spacing w:line="256" w:lineRule="auto" w:before="11"/>
        <w:ind w:left="108" w:right="2334"/>
      </w:pPr>
      <w:r>
        <w:rPr>
          <w:rFonts w:ascii="Trebuchet MS"/>
          <w:color w:val="008356"/>
          <w:w w:val="110"/>
        </w:rPr>
        <w:t>Pimozide </w:t>
      </w:r>
      <w:r>
        <w:rPr>
          <w:i/>
          <w:color w:val="231F1F"/>
          <w:w w:val="110"/>
        </w:rPr>
        <w:t>see </w:t>
      </w:r>
      <w:r>
        <w:rPr>
          <w:color w:val="231F1F"/>
          <w:w w:val="110"/>
        </w:rPr>
        <w:t>Antipsychotics </w:t>
      </w:r>
      <w:r>
        <w:rPr>
          <w:rFonts w:ascii="Trebuchet MS"/>
          <w:color w:val="008356"/>
          <w:w w:val="110"/>
        </w:rPr>
        <w:t>Pindolol </w:t>
      </w:r>
      <w:r>
        <w:rPr>
          <w:i/>
          <w:color w:val="231F1F"/>
          <w:w w:val="110"/>
        </w:rPr>
        <w:t>see </w:t>
      </w:r>
      <w:r>
        <w:rPr>
          <w:color w:val="231F1F"/>
          <w:w w:val="110"/>
        </w:rPr>
        <w:t>Beta-blockers </w:t>
      </w:r>
      <w:r>
        <w:rPr>
          <w:rFonts w:ascii="Trebuchet MS"/>
          <w:color w:val="008356"/>
          <w:w w:val="110"/>
        </w:rPr>
        <w:t>Pioglitazone </w:t>
      </w:r>
      <w:r>
        <w:rPr>
          <w:i/>
          <w:color w:val="231F1F"/>
          <w:w w:val="110"/>
        </w:rPr>
        <w:t>see </w:t>
      </w:r>
      <w:r>
        <w:rPr>
          <w:color w:val="231F1F"/>
          <w:w w:val="110"/>
        </w:rPr>
        <w:t>Antidiabetics </w:t>
      </w:r>
      <w:r>
        <w:rPr>
          <w:rFonts w:ascii="Trebuchet MS"/>
          <w:color w:val="008356"/>
          <w:w w:val="110"/>
        </w:rPr>
        <w:t>Piperacillin </w:t>
      </w:r>
      <w:r>
        <w:rPr>
          <w:i/>
          <w:color w:val="231F1F"/>
          <w:w w:val="110"/>
        </w:rPr>
        <w:t>see </w:t>
      </w:r>
      <w:r>
        <w:rPr>
          <w:color w:val="231F1F"/>
          <w:w w:val="110"/>
        </w:rPr>
        <w:t>Penicillins</w:t>
      </w:r>
    </w:p>
    <w:p>
      <w:pPr>
        <w:pStyle w:val="BodyText"/>
        <w:spacing w:before="1"/>
        <w:ind w:left="108"/>
      </w:pPr>
      <w:r>
        <w:rPr>
          <w:rFonts w:ascii="Trebuchet MS"/>
          <w:color w:val="008356"/>
          <w:w w:val="110"/>
        </w:rPr>
        <w:t>Piperaquine </w:t>
      </w:r>
      <w:r>
        <w:rPr>
          <w:i/>
          <w:color w:val="231F1F"/>
          <w:w w:val="110"/>
        </w:rPr>
        <w:t>see </w:t>
      </w:r>
      <w:r>
        <w:rPr>
          <w:color w:val="231F1F"/>
          <w:w w:val="110"/>
        </w:rPr>
        <w:t>Artenimol with Piperaquine</w:t>
      </w:r>
    </w:p>
    <w:p>
      <w:pPr>
        <w:pStyle w:val="BodyText"/>
        <w:spacing w:before="10"/>
        <w:ind w:left="108"/>
      </w:pPr>
      <w:r>
        <w:rPr>
          <w:rFonts w:ascii="Trebuchet MS"/>
          <w:color w:val="008356"/>
          <w:w w:val="110"/>
        </w:rPr>
        <w:t>Pipotiazine </w:t>
      </w:r>
      <w:r>
        <w:rPr>
          <w:i/>
          <w:color w:val="231F1F"/>
          <w:w w:val="110"/>
        </w:rPr>
        <w:t>see </w:t>
      </w:r>
      <w:r>
        <w:rPr>
          <w:color w:val="231F1F"/>
          <w:w w:val="110"/>
        </w:rPr>
        <w:t>Antipsychotics</w:t>
      </w:r>
    </w:p>
    <w:p>
      <w:pPr>
        <w:pStyle w:val="BodyText"/>
        <w:spacing w:before="9"/>
        <w:ind w:left="108"/>
        <w:rPr>
          <w:rFonts w:ascii="Trebuchet MS"/>
        </w:rPr>
      </w:pPr>
      <w:r>
        <w:rPr>
          <w:rFonts w:ascii="Trebuchet MS"/>
          <w:color w:val="008356"/>
        </w:rPr>
        <w:t>Pirfenidone</w:t>
      </w:r>
    </w:p>
    <w:p>
      <w:pPr>
        <w:pStyle w:val="BodyText"/>
        <w:spacing w:before="1"/>
        <w:ind w:right="700"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pirfenidone increased by </w:t>
      </w:r>
      <w:r>
        <w:rPr>
          <w:rFonts w:ascii="Arial" w:hAnsi="Arial"/>
          <w:color w:val="231F1F"/>
          <w:w w:val="355"/>
          <w:position w:val="1"/>
          <w:sz w:val="7"/>
        </w:rPr>
        <w:t>l </w:t>
      </w:r>
      <w:r>
        <w:rPr>
          <w:rFonts w:ascii="Calibri" w:hAnsi="Calibri"/>
          <w:color w:val="008356"/>
          <w:w w:val="110"/>
          <w:sz w:val="11"/>
        </w:rPr>
        <w:t>CIPROFLOXACIN</w:t>
      </w:r>
      <w:r>
        <w:rPr>
          <w:rFonts w:ascii="Arial" w:hAnsi="Arial"/>
          <w:color w:val="231F1F"/>
          <w:w w:val="110"/>
        </w:rPr>
        <w:t>—</w:t>
      </w:r>
      <w:r>
        <w:rPr>
          <w:color w:val="231F1F"/>
          <w:w w:val="110"/>
        </w:rPr>
        <w:t>see under Pirfenidone, p. 260</w:t>
      </w:r>
    </w:p>
    <w:p>
      <w:pPr>
        <w:pStyle w:val="BodyText"/>
        <w:ind w:right="605" w:hanging="100"/>
      </w:pPr>
      <w:r>
        <w:rPr>
          <w:rFonts w:ascii="Arial" w:hAnsi="Arial"/>
          <w:color w:val="231F1F"/>
          <w:w w:val="355"/>
          <w:position w:val="1"/>
          <w:sz w:val="7"/>
        </w:rPr>
        <w:t>l </w:t>
      </w:r>
      <w:r>
        <w:rPr>
          <w:rFonts w:ascii="Calibri" w:hAnsi="Calibri"/>
          <w:color w:val="231F1F"/>
          <w:w w:val="115"/>
        </w:rPr>
        <w:t>Antidepressants: </w:t>
      </w:r>
      <w:r>
        <w:rPr>
          <w:color w:val="231F1F"/>
          <w:w w:val="115"/>
        </w:rPr>
        <w:t>plasma concentration of pirfenidone </w:t>
      </w:r>
      <w:r>
        <w:rPr>
          <w:color w:val="231F1F"/>
          <w:w w:val="110"/>
        </w:rPr>
        <w:t>increased by </w:t>
      </w:r>
      <w:r>
        <w:rPr>
          <w:rFonts w:ascii="Arial" w:hAnsi="Arial"/>
          <w:color w:val="231F1F"/>
          <w:w w:val="110"/>
          <w:position w:val="1"/>
          <w:sz w:val="7"/>
        </w:rPr>
        <w:t>l </w:t>
      </w:r>
      <w:r>
        <w:rPr>
          <w:rFonts w:ascii="Calibri" w:hAnsi="Calibri"/>
          <w:color w:val="008356"/>
          <w:w w:val="110"/>
          <w:sz w:val="11"/>
        </w:rPr>
        <w:t>FLUVOXAMINE</w:t>
      </w:r>
      <w:r>
        <w:rPr>
          <w:rFonts w:ascii="Arial" w:hAnsi="Arial"/>
          <w:color w:val="231F1F"/>
          <w:w w:val="110"/>
        </w:rPr>
        <w:t>—</w:t>
      </w:r>
      <w:r>
        <w:rPr>
          <w:color w:val="231F1F"/>
          <w:w w:val="110"/>
        </w:rPr>
        <w:t>manufacturer of pirfenidone </w:t>
      </w:r>
      <w:r>
        <w:rPr>
          <w:color w:val="231F1F"/>
          <w:w w:val="115"/>
        </w:rPr>
        <w:t>advises avoid concomitant use</w:t>
      </w:r>
    </w:p>
    <w:p>
      <w:pPr>
        <w:pStyle w:val="BodyText"/>
        <w:spacing w:line="220" w:lineRule="auto" w:before="7"/>
        <w:ind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manufacturer of pirfenidone advises avoid concomitant use with </w:t>
      </w:r>
      <w:r>
        <w:rPr>
          <w:rFonts w:ascii="Calibri" w:hAnsi="Calibri"/>
          <w:color w:val="008356"/>
          <w:w w:val="105"/>
          <w:sz w:val="11"/>
        </w:rPr>
        <w:t>GRAPEFRUIT JUICE</w:t>
      </w:r>
    </w:p>
    <w:p>
      <w:pPr>
        <w:spacing w:after="0" w:line="220" w:lineRule="auto"/>
        <w:rPr>
          <w:rFonts w:ascii="Calibri" w:hAnsi="Calibri"/>
          <w:sz w:val="11"/>
        </w:rPr>
        <w:sectPr>
          <w:pgSz w:w="8390" w:h="11910"/>
          <w:pgMar w:header="0" w:footer="0" w:top="460" w:bottom="0" w:left="480" w:right="0"/>
          <w:cols w:num="2" w:equalWidth="0">
            <w:col w:w="3593" w:space="82"/>
            <w:col w:w="4235"/>
          </w:cols>
        </w:sectPr>
      </w:pPr>
    </w:p>
    <w:p>
      <w:pPr>
        <w:pStyle w:val="BodyText"/>
        <w:spacing w:before="5"/>
        <w:ind w:left="0"/>
        <w:rPr>
          <w:rFonts w:ascii="Calibri"/>
          <w:sz w:val="14"/>
        </w:rPr>
      </w:pPr>
      <w:r>
        <w:rPr/>
        <w:pict>
          <v:rect style="position:absolute;margin-left:0pt;margin-top:30.840979pt;width:20.353299pt;height:149.443pt;mso-position-horizontal-relative:page;mso-position-vertical-relative:page;z-index:5584" filled="true" fillcolor="#bfdbcf" stroked="false">
            <v:fill type="solid"/>
            <w10:wrap type="none"/>
          </v:rect>
        </w:pict>
      </w:r>
      <w:r>
        <w:rPr/>
        <w:pict>
          <v:shape style="position:absolute;margin-left:7.751256pt;margin-top:35.804367pt;width:10.4pt;height:78.850pt;mso-position-horizontal-relative:page;mso-position-vertical-relative:page;z-index:560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256" w:lineRule="auto"/>
        <w:ind w:left="186" w:right="1559"/>
        <w:rPr>
          <w:rFonts w:ascii="Trebuchet MS"/>
        </w:rPr>
      </w:pPr>
      <w:r>
        <w:rPr>
          <w:rFonts w:ascii="Trebuchet MS"/>
          <w:color w:val="008356"/>
        </w:rPr>
        <w:t>Piroxicam </w:t>
      </w:r>
      <w:r>
        <w:rPr>
          <w:i/>
          <w:color w:val="231F1F"/>
        </w:rPr>
        <w:t>see </w:t>
      </w:r>
      <w:r>
        <w:rPr>
          <w:color w:val="231F1F"/>
        </w:rPr>
        <w:t>NSAIDs </w:t>
      </w:r>
      <w:r>
        <w:rPr>
          <w:rFonts w:ascii="Trebuchet MS"/>
          <w:color w:val="008356"/>
        </w:rPr>
        <w:t>Pivmecillinam </w:t>
      </w:r>
      <w:r>
        <w:rPr>
          <w:i/>
          <w:color w:val="231F1F"/>
        </w:rPr>
        <w:t>see </w:t>
      </w:r>
      <w:r>
        <w:rPr>
          <w:color w:val="231F1F"/>
        </w:rPr>
        <w:t>Penicillins </w:t>
      </w:r>
      <w:r>
        <w:rPr>
          <w:rFonts w:ascii="Trebuchet MS"/>
          <w:color w:val="008356"/>
        </w:rPr>
        <w:t>Pixantrone</w:t>
      </w:r>
    </w:p>
    <w:p>
      <w:pPr>
        <w:pStyle w:val="BodyText"/>
        <w:spacing w:line="137"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1"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Vaccines:</w:t>
      </w:r>
      <w:r>
        <w:rPr>
          <w:rFonts w:ascii="Calibri" w:hAnsi="Calibri"/>
          <w:color w:val="231F1F"/>
          <w:spacing w:val="-9"/>
          <w:w w:val="115"/>
        </w:rPr>
        <w:t> </w:t>
      </w:r>
      <w:r>
        <w:rPr>
          <w:color w:val="231F1F"/>
          <w:w w:val="115"/>
        </w:rPr>
        <w:t>risk</w:t>
      </w:r>
      <w:r>
        <w:rPr>
          <w:color w:val="231F1F"/>
          <w:spacing w:val="-13"/>
          <w:w w:val="115"/>
        </w:rPr>
        <w:t> </w:t>
      </w:r>
      <w:r>
        <w:rPr>
          <w:color w:val="231F1F"/>
          <w:w w:val="115"/>
        </w:rPr>
        <w:t>of</w:t>
      </w:r>
      <w:r>
        <w:rPr>
          <w:color w:val="231F1F"/>
          <w:spacing w:val="-12"/>
          <w:w w:val="115"/>
        </w:rPr>
        <w:t> </w:t>
      </w:r>
      <w:r>
        <w:rPr>
          <w:color w:val="231F1F"/>
          <w:w w:val="115"/>
        </w:rPr>
        <w:t>generalised</w:t>
      </w:r>
      <w:r>
        <w:rPr>
          <w:color w:val="231F1F"/>
          <w:spacing w:val="-14"/>
          <w:w w:val="115"/>
        </w:rPr>
        <w:t> </w:t>
      </w:r>
      <w:r>
        <w:rPr>
          <w:color w:val="231F1F"/>
          <w:w w:val="115"/>
        </w:rPr>
        <w:t>infections</w:t>
      </w:r>
      <w:r>
        <w:rPr>
          <w:color w:val="231F1F"/>
          <w:spacing w:val="-13"/>
          <w:w w:val="115"/>
        </w:rPr>
        <w:t> </w:t>
      </w:r>
      <w:r>
        <w:rPr>
          <w:color w:val="231F1F"/>
          <w:w w:val="115"/>
        </w:rPr>
        <w:t>when</w:t>
      </w:r>
      <w:r>
        <w:rPr>
          <w:color w:val="231F1F"/>
          <w:spacing w:val="-12"/>
          <w:w w:val="115"/>
        </w:rPr>
        <w:t> </w:t>
      </w:r>
      <w:r>
        <w:rPr>
          <w:color w:val="231F1F"/>
          <w:w w:val="115"/>
        </w:rPr>
        <w:t>pixantrone</w:t>
      </w:r>
      <w:r>
        <w:rPr>
          <w:color w:val="231F1F"/>
          <w:spacing w:val="-14"/>
          <w:w w:val="115"/>
        </w:rPr>
        <w:t> </w:t>
      </w:r>
      <w:r>
        <w:rPr>
          <w:color w:val="231F1F"/>
          <w:spacing w:val="-3"/>
          <w:w w:val="115"/>
        </w:rPr>
        <w:t>given </w:t>
      </w:r>
      <w:r>
        <w:rPr>
          <w:color w:val="231F1F"/>
          <w:w w:val="115"/>
        </w:rPr>
        <w:t>with</w:t>
      </w:r>
      <w:r>
        <w:rPr>
          <w:color w:val="231F1F"/>
          <w:spacing w:val="-7"/>
          <w:w w:val="115"/>
        </w:rPr>
        <w:t> </w:t>
      </w:r>
      <w:r>
        <w:rPr>
          <w:color w:val="231F1F"/>
          <w:w w:val="115"/>
        </w:rPr>
        <w:t>live</w:t>
      </w:r>
      <w:r>
        <w:rPr>
          <w:color w:val="231F1F"/>
          <w:spacing w:val="-6"/>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7"/>
          <w:w w:val="115"/>
        </w:rPr>
        <w:t> </w:t>
      </w:r>
      <w:r>
        <w:rPr>
          <w:color w:val="231F1F"/>
          <w:w w:val="115"/>
        </w:rPr>
        <w:t>use</w:t>
      </w:r>
    </w:p>
    <w:p>
      <w:pPr>
        <w:pStyle w:val="BodyText"/>
        <w:spacing w:line="139" w:lineRule="exact" w:before="6"/>
        <w:ind w:left="186"/>
        <w:rPr>
          <w:rFonts w:ascii="Trebuchet MS"/>
        </w:rPr>
      </w:pPr>
      <w:r>
        <w:rPr>
          <w:rFonts w:ascii="Trebuchet MS"/>
          <w:color w:val="008356"/>
        </w:rPr>
        <w:t>Pizotifen</w:t>
      </w:r>
    </w:p>
    <w:p>
      <w:pPr>
        <w:spacing w:line="220" w:lineRule="auto" w:before="9"/>
        <w:ind w:left="286" w:right="2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pizotifen antagonises hypotensive effect of </w:t>
      </w:r>
      <w:r>
        <w:rPr>
          <w:rFonts w:ascii="Calibri" w:hAnsi="Calibri"/>
          <w:color w:val="008356"/>
          <w:w w:val="105"/>
          <w:sz w:val="11"/>
        </w:rPr>
        <w:t>ADRENERGIC NEURONE BLOCKERS</w:t>
      </w:r>
    </w:p>
    <w:p>
      <w:pPr>
        <w:pStyle w:val="BodyText"/>
        <w:spacing w:line="139" w:lineRule="exact" w:before="10"/>
        <w:ind w:left="186"/>
        <w:rPr>
          <w:rFonts w:ascii="Trebuchet MS"/>
        </w:rPr>
      </w:pPr>
      <w:r>
        <w:rPr>
          <w:rFonts w:ascii="Trebuchet MS"/>
          <w:color w:val="008356"/>
        </w:rPr>
        <w:t>Platinum Compounds</w:t>
      </w:r>
    </w:p>
    <w:p>
      <w:pPr>
        <w:pStyle w:val="BodyText"/>
        <w:ind w:left="186"/>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Aldesleukin:</w:t>
      </w:r>
      <w:r>
        <w:rPr>
          <w:rFonts w:ascii="Calibri"/>
          <w:color w:val="231F1F"/>
          <w:spacing w:val="-12"/>
          <w:w w:val="115"/>
        </w:rPr>
        <w:t> </w:t>
      </w:r>
      <w:r>
        <w:rPr>
          <w:color w:val="231F1F"/>
          <w:w w:val="115"/>
        </w:rPr>
        <w:t>avoidance</w:t>
      </w:r>
      <w:r>
        <w:rPr>
          <w:color w:val="231F1F"/>
          <w:spacing w:val="-17"/>
          <w:w w:val="115"/>
        </w:rPr>
        <w:t> </w:t>
      </w:r>
      <w:r>
        <w:rPr>
          <w:color w:val="231F1F"/>
          <w:w w:val="115"/>
        </w:rPr>
        <w:t>of</w:t>
      </w:r>
      <w:r>
        <w:rPr>
          <w:color w:val="231F1F"/>
          <w:spacing w:val="-15"/>
          <w:w w:val="115"/>
        </w:rPr>
        <w:t> </w:t>
      </w:r>
      <w:r>
        <w:rPr>
          <w:color w:val="231F1F"/>
          <w:w w:val="115"/>
        </w:rPr>
        <w:t>cisplatin</w:t>
      </w:r>
      <w:r>
        <w:rPr>
          <w:color w:val="231F1F"/>
          <w:spacing w:val="-16"/>
          <w:w w:val="115"/>
        </w:rPr>
        <w:t> </w:t>
      </w:r>
      <w:r>
        <w:rPr>
          <w:color w:val="231F1F"/>
          <w:w w:val="115"/>
        </w:rPr>
        <w:t>advised</w:t>
      </w:r>
      <w:r>
        <w:rPr>
          <w:color w:val="231F1F"/>
          <w:spacing w:val="-16"/>
          <w:w w:val="115"/>
        </w:rPr>
        <w:t> </w:t>
      </w:r>
      <w:r>
        <w:rPr>
          <w:color w:val="231F1F"/>
          <w:w w:val="115"/>
        </w:rPr>
        <w:t>by</w:t>
      </w:r>
      <w:r>
        <w:rPr>
          <w:color w:val="231F1F"/>
          <w:spacing w:val="-15"/>
          <w:w w:val="115"/>
        </w:rPr>
        <w:t> </w:t>
      </w:r>
      <w:r>
        <w:rPr>
          <w:color w:val="231F1F"/>
          <w:w w:val="115"/>
        </w:rPr>
        <w:t>manufacturer</w:t>
      </w:r>
      <w:r>
        <w:rPr>
          <w:color w:val="231F1F"/>
          <w:spacing w:val="-17"/>
          <w:w w:val="115"/>
        </w:rPr>
        <w:t> </w:t>
      </w:r>
      <w:r>
        <w:rPr>
          <w:color w:val="231F1F"/>
          <w:w w:val="115"/>
        </w:rPr>
        <w:t>of</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20"/>
          <w:sz w:val="11"/>
        </w:rPr>
        <w:t>ALDESLEUKIN</w:t>
      </w:r>
    </w:p>
    <w:p>
      <w:pPr>
        <w:pStyle w:val="BodyText"/>
        <w:ind w:left="286" w:right="17" w:hanging="100"/>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Antibacterials:</w:t>
      </w:r>
      <w:r>
        <w:rPr>
          <w:rFonts w:ascii="Calibri"/>
          <w:color w:val="231F1F"/>
          <w:spacing w:val="-15"/>
          <w:w w:val="115"/>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nephrotoxicity</w:t>
      </w:r>
      <w:r>
        <w:rPr>
          <w:color w:val="231F1F"/>
          <w:spacing w:val="-17"/>
          <w:w w:val="115"/>
        </w:rPr>
        <w:t> </w:t>
      </w:r>
      <w:r>
        <w:rPr>
          <w:color w:val="231F1F"/>
          <w:w w:val="115"/>
        </w:rPr>
        <w:t>and</w:t>
      </w:r>
      <w:r>
        <w:rPr>
          <w:color w:val="231F1F"/>
          <w:spacing w:val="-17"/>
          <w:w w:val="115"/>
        </w:rPr>
        <w:t> </w:t>
      </w:r>
      <w:r>
        <w:rPr>
          <w:color w:val="231F1F"/>
          <w:w w:val="115"/>
        </w:rPr>
        <w:t>possibly</w:t>
      </w:r>
      <w:r>
        <w:rPr>
          <w:color w:val="231F1F"/>
          <w:spacing w:val="-18"/>
          <w:w w:val="115"/>
        </w:rPr>
        <w:t> </w:t>
      </w:r>
      <w:r>
        <w:rPr>
          <w:color w:val="231F1F"/>
          <w:spacing w:val="-7"/>
          <w:w w:val="115"/>
        </w:rPr>
        <w:t>of </w:t>
      </w:r>
      <w:r>
        <w:rPr>
          <w:color w:val="231F1F"/>
          <w:w w:val="115"/>
        </w:rPr>
        <w:t>ototoxicity when platinum compounds given</w:t>
      </w:r>
      <w:r>
        <w:rPr>
          <w:color w:val="231F1F"/>
          <w:spacing w:val="-25"/>
          <w:w w:val="115"/>
        </w:rPr>
        <w:t> </w:t>
      </w:r>
      <w:r>
        <w:rPr>
          <w:color w:val="231F1F"/>
          <w:w w:val="115"/>
        </w:rPr>
        <w:t>with</w:t>
      </w:r>
    </w:p>
    <w:p>
      <w:pPr>
        <w:spacing w:line="244" w:lineRule="auto" w:before="4"/>
        <w:ind w:left="286" w:right="23" w:firstLine="0"/>
        <w:jc w:val="left"/>
        <w:rPr>
          <w:rFonts w:ascii="Calibri"/>
          <w:sz w:val="11"/>
        </w:rPr>
      </w:pPr>
      <w:r>
        <w:rPr>
          <w:rFonts w:ascii="Arial"/>
          <w:color w:val="231F1F"/>
          <w:w w:val="355"/>
          <w:position w:val="1"/>
          <w:sz w:val="7"/>
        </w:rPr>
        <w:t>l </w:t>
      </w:r>
      <w:r>
        <w:rPr>
          <w:rFonts w:ascii="Calibri"/>
          <w:color w:val="008356"/>
          <w:spacing w:val="4"/>
          <w:w w:val="105"/>
          <w:sz w:val="11"/>
        </w:rPr>
        <w:t>AMINOGLYCOSIDES </w:t>
      </w:r>
      <w:r>
        <w:rPr>
          <w:color w:val="231F1F"/>
          <w:w w:val="105"/>
          <w:sz w:val="12"/>
        </w:rPr>
        <w:t>or </w:t>
      </w:r>
      <w:r>
        <w:rPr>
          <w:rFonts w:ascii="Arial"/>
          <w:color w:val="231F1F"/>
          <w:w w:val="355"/>
          <w:position w:val="1"/>
          <w:sz w:val="7"/>
        </w:rPr>
        <w:t>l </w:t>
      </w:r>
      <w:r>
        <w:rPr>
          <w:rFonts w:ascii="Calibri"/>
          <w:color w:val="008356"/>
          <w:spacing w:val="3"/>
          <w:w w:val="105"/>
          <w:sz w:val="11"/>
        </w:rPr>
        <w:t>POLYMYXINS</w:t>
      </w:r>
      <w:r>
        <w:rPr>
          <w:color w:val="231F1F"/>
          <w:spacing w:val="3"/>
          <w:w w:val="105"/>
          <w:sz w:val="12"/>
        </w:rPr>
        <w:t>; </w:t>
      </w:r>
      <w:r>
        <w:rPr>
          <w:color w:val="231F1F"/>
          <w:w w:val="105"/>
          <w:sz w:val="12"/>
        </w:rPr>
        <w:t>increased risk of nephrotoxicity and  ototoxicity  when  platinum  compounds given with </w:t>
      </w:r>
      <w:r>
        <w:rPr>
          <w:rFonts w:ascii="Calibri"/>
          <w:color w:val="008356"/>
          <w:spacing w:val="4"/>
          <w:w w:val="105"/>
          <w:sz w:val="11"/>
        </w:rPr>
        <w:t>CAPREOMYCIN</w:t>
      </w:r>
      <w:r>
        <w:rPr>
          <w:color w:val="231F1F"/>
          <w:spacing w:val="4"/>
          <w:w w:val="105"/>
          <w:sz w:val="12"/>
        </w:rPr>
        <w:t>; </w:t>
      </w:r>
      <w:r>
        <w:rPr>
          <w:color w:val="231F1F"/>
          <w:w w:val="105"/>
          <w:sz w:val="12"/>
        </w:rPr>
        <w:t>increased risk of nephrotoxicity and possibly</w:t>
      </w:r>
      <w:r>
        <w:rPr>
          <w:color w:val="231F1F"/>
          <w:spacing w:val="13"/>
          <w:w w:val="105"/>
          <w:sz w:val="12"/>
        </w:rPr>
        <w:t> </w:t>
      </w:r>
      <w:r>
        <w:rPr>
          <w:color w:val="231F1F"/>
          <w:w w:val="105"/>
          <w:sz w:val="12"/>
        </w:rPr>
        <w:t>of</w:t>
      </w:r>
      <w:r>
        <w:rPr>
          <w:color w:val="231F1F"/>
          <w:spacing w:val="13"/>
          <w:w w:val="105"/>
          <w:sz w:val="12"/>
        </w:rPr>
        <w:t> </w:t>
      </w:r>
      <w:r>
        <w:rPr>
          <w:color w:val="231F1F"/>
          <w:w w:val="105"/>
          <w:sz w:val="12"/>
        </w:rPr>
        <w:t>ototoxicity</w:t>
      </w:r>
      <w:r>
        <w:rPr>
          <w:color w:val="231F1F"/>
          <w:spacing w:val="11"/>
          <w:w w:val="105"/>
          <w:sz w:val="12"/>
        </w:rPr>
        <w:t> </w:t>
      </w:r>
      <w:r>
        <w:rPr>
          <w:color w:val="231F1F"/>
          <w:w w:val="105"/>
          <w:sz w:val="12"/>
        </w:rPr>
        <w:t>when</w:t>
      </w:r>
      <w:r>
        <w:rPr>
          <w:color w:val="231F1F"/>
          <w:spacing w:val="13"/>
          <w:w w:val="105"/>
          <w:sz w:val="12"/>
        </w:rPr>
        <w:t> </w:t>
      </w:r>
      <w:r>
        <w:rPr>
          <w:color w:val="231F1F"/>
          <w:w w:val="105"/>
          <w:sz w:val="12"/>
        </w:rPr>
        <w:t>cisplatin</w:t>
      </w:r>
      <w:r>
        <w:rPr>
          <w:color w:val="231F1F"/>
          <w:spacing w:val="13"/>
          <w:w w:val="105"/>
          <w:sz w:val="12"/>
        </w:rPr>
        <w:t> </w:t>
      </w:r>
      <w:r>
        <w:rPr>
          <w:color w:val="231F1F"/>
          <w:w w:val="105"/>
          <w:sz w:val="12"/>
        </w:rPr>
        <w:t>given</w:t>
      </w:r>
      <w:r>
        <w:rPr>
          <w:color w:val="231F1F"/>
          <w:spacing w:val="13"/>
          <w:w w:val="105"/>
          <w:sz w:val="12"/>
        </w:rPr>
        <w:t> </w:t>
      </w:r>
      <w:r>
        <w:rPr>
          <w:color w:val="231F1F"/>
          <w:w w:val="105"/>
          <w:sz w:val="12"/>
        </w:rPr>
        <w:t>with</w:t>
      </w:r>
      <w:r>
        <w:rPr>
          <w:color w:val="231F1F"/>
          <w:spacing w:val="13"/>
          <w:w w:val="105"/>
          <w:sz w:val="12"/>
        </w:rPr>
        <w:t> </w:t>
      </w:r>
      <w:r>
        <w:rPr>
          <w:rFonts w:ascii="Calibri"/>
          <w:color w:val="008356"/>
          <w:spacing w:val="4"/>
          <w:w w:val="105"/>
          <w:sz w:val="11"/>
        </w:rPr>
        <w:t>VANCOMYCIN</w:t>
      </w:r>
    </w:p>
    <w:p>
      <w:pPr>
        <w:spacing w:line="220" w:lineRule="auto" w:before="4"/>
        <w:ind w:left="286" w:right="1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cisplatin  possibly  reduces plasma  </w:t>
      </w:r>
      <w:r>
        <w:rPr>
          <w:color w:val="231F1F"/>
          <w:spacing w:val="-2"/>
          <w:w w:val="105"/>
          <w:sz w:val="12"/>
        </w:rPr>
        <w:t>concentration </w:t>
      </w:r>
      <w:r>
        <w:rPr>
          <w:color w:val="231F1F"/>
          <w:w w:val="105"/>
          <w:sz w:val="12"/>
        </w:rPr>
        <w:t>of </w:t>
      </w:r>
      <w:r>
        <w:rPr>
          <w:rFonts w:ascii="Calibri" w:hAnsi="Calibri"/>
          <w:color w:val="008356"/>
          <w:spacing w:val="4"/>
          <w:w w:val="105"/>
          <w:sz w:val="11"/>
        </w:rPr>
        <w:t>FOSPHENYTOIN </w:t>
      </w:r>
      <w:r>
        <w:rPr>
          <w:color w:val="231F1F"/>
          <w:w w:val="105"/>
          <w:sz w:val="12"/>
        </w:rPr>
        <w:t>and</w:t>
      </w:r>
      <w:r>
        <w:rPr>
          <w:color w:val="231F1F"/>
          <w:spacing w:val="4"/>
          <w:w w:val="105"/>
          <w:sz w:val="12"/>
        </w:rPr>
        <w:t> </w:t>
      </w:r>
      <w:r>
        <w:rPr>
          <w:rFonts w:ascii="Calibri" w:hAnsi="Calibri"/>
          <w:color w:val="008356"/>
          <w:spacing w:val="4"/>
          <w:w w:val="105"/>
          <w:sz w:val="11"/>
        </w:rPr>
        <w:t>PHENYTOIN</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240" w:lineRule="auto"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Cytotoxics: </w:t>
      </w:r>
      <w:r>
        <w:rPr>
          <w:color w:val="231F1F"/>
          <w:w w:val="110"/>
          <w:sz w:val="12"/>
        </w:rPr>
        <w:t>increased risk of otoxicity when cisplatin given with </w:t>
      </w:r>
      <w:r>
        <w:rPr>
          <w:rFonts w:ascii="Calibri"/>
          <w:color w:val="008356"/>
          <w:w w:val="110"/>
          <w:sz w:val="11"/>
        </w:rPr>
        <w:t>IFOSFAMIDE</w:t>
      </w:r>
      <w:r>
        <w:rPr>
          <w:color w:val="231F1F"/>
          <w:w w:val="110"/>
          <w:sz w:val="12"/>
        </w:rPr>
        <w:t>; increased pulmonary toxicity when cisplatin given with </w:t>
      </w:r>
      <w:r>
        <w:rPr>
          <w:rFonts w:ascii="Arial"/>
          <w:color w:val="231F1F"/>
          <w:w w:val="355"/>
          <w:position w:val="1"/>
          <w:sz w:val="7"/>
        </w:rPr>
        <w:t>l </w:t>
      </w:r>
      <w:r>
        <w:rPr>
          <w:rFonts w:ascii="Calibri"/>
          <w:color w:val="008356"/>
          <w:w w:val="110"/>
          <w:sz w:val="11"/>
        </w:rPr>
        <w:t>BLEOMYCIN </w:t>
      </w:r>
      <w:r>
        <w:rPr>
          <w:color w:val="231F1F"/>
          <w:w w:val="110"/>
          <w:sz w:val="12"/>
        </w:rPr>
        <w:t>and </w:t>
      </w:r>
      <w:r>
        <w:rPr>
          <w:rFonts w:ascii="Arial"/>
          <w:color w:val="231F1F"/>
          <w:w w:val="355"/>
          <w:position w:val="1"/>
          <w:sz w:val="7"/>
        </w:rPr>
        <w:t>l </w:t>
      </w:r>
      <w:r>
        <w:rPr>
          <w:rFonts w:ascii="Calibri"/>
          <w:color w:val="008356"/>
          <w:w w:val="110"/>
          <w:sz w:val="11"/>
        </w:rPr>
        <w:t>METHOTREXATE</w:t>
      </w:r>
    </w:p>
    <w:p>
      <w:pPr>
        <w:pStyle w:val="BodyText"/>
        <w:spacing w:line="220" w:lineRule="auto" w:before="6"/>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increased risk of nephrotoxicity and ototoxicity when platinum compounds given with </w:t>
      </w:r>
      <w:r>
        <w:rPr>
          <w:rFonts w:ascii="Calibri" w:hAnsi="Calibri"/>
          <w:color w:val="008356"/>
          <w:w w:val="110"/>
          <w:sz w:val="11"/>
        </w:rPr>
        <w:t>DIURETICS</w:t>
      </w:r>
    </w:p>
    <w:p>
      <w:pPr>
        <w:pStyle w:val="BodyText"/>
        <w:spacing w:line="256" w:lineRule="auto" w:before="10"/>
        <w:ind w:left="186" w:right="1294"/>
        <w:rPr>
          <w:rFonts w:ascii="Trebuchet MS"/>
        </w:rPr>
      </w:pPr>
      <w:r>
        <w:rPr>
          <w:rFonts w:ascii="Trebuchet MS"/>
          <w:color w:val="008356"/>
          <w:w w:val="105"/>
        </w:rPr>
        <w:t>Pneumococcal Vaccine </w:t>
      </w:r>
      <w:r>
        <w:rPr>
          <w:i/>
          <w:color w:val="231F1F"/>
          <w:w w:val="105"/>
        </w:rPr>
        <w:t>see </w:t>
      </w:r>
      <w:r>
        <w:rPr>
          <w:color w:val="231F1F"/>
          <w:w w:val="105"/>
        </w:rPr>
        <w:t>Vaccines </w:t>
      </w:r>
      <w:r>
        <w:rPr>
          <w:rFonts w:ascii="Trebuchet MS"/>
          <w:color w:val="008356"/>
          <w:w w:val="105"/>
        </w:rPr>
        <w:t>Poliomyelitis Vaccine </w:t>
      </w:r>
      <w:r>
        <w:rPr>
          <w:i/>
          <w:color w:val="231F1F"/>
          <w:w w:val="105"/>
        </w:rPr>
        <w:t>see </w:t>
      </w:r>
      <w:r>
        <w:rPr>
          <w:color w:val="231F1F"/>
          <w:w w:val="105"/>
        </w:rPr>
        <w:t>Vaccines </w:t>
      </w:r>
      <w:r>
        <w:rPr>
          <w:rFonts w:ascii="Trebuchet MS"/>
          <w:color w:val="008356"/>
          <w:w w:val="105"/>
        </w:rPr>
        <w:t>Polymyxins</w:t>
      </w:r>
    </w:p>
    <w:p>
      <w:pPr>
        <w:pStyle w:val="BodyText"/>
        <w:spacing w:line="220" w:lineRule="auto"/>
        <w:ind w:left="286"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increased risk of nephrotoxicity when colistimethate sodium or polymyxins given with</w:t>
      </w:r>
    </w:p>
    <w:p>
      <w:pPr>
        <w:pStyle w:val="BodyText"/>
        <w:spacing w:line="244" w:lineRule="auto" w:before="7"/>
        <w:ind w:left="286"/>
        <w:rPr>
          <w:rFonts w:ascii="Calibri"/>
          <w:sz w:val="11"/>
        </w:rPr>
      </w:pPr>
      <w:r>
        <w:rPr>
          <w:rFonts w:ascii="Calibri"/>
          <w:color w:val="008356"/>
          <w:w w:val="115"/>
          <w:sz w:val="11"/>
        </w:rPr>
        <w:t>AMINOGLYCOSIDES</w:t>
      </w:r>
      <w:r>
        <w:rPr>
          <w:color w:val="231F1F"/>
          <w:w w:val="115"/>
        </w:rPr>
        <w:t>; increased risk of nephrotoxicity when colistimethate sodium or polymyxins given with </w:t>
      </w:r>
      <w:r>
        <w:rPr>
          <w:rFonts w:ascii="Calibri"/>
          <w:color w:val="008356"/>
          <w:w w:val="115"/>
          <w:sz w:val="11"/>
        </w:rPr>
        <w:t>CAPREOMYCIN</w:t>
      </w:r>
      <w:r>
        <w:rPr>
          <w:color w:val="231F1F"/>
          <w:w w:val="115"/>
        </w:rPr>
        <w:t>; increased risk of nephrotoxicity when polymyxins given with </w:t>
      </w:r>
      <w:r>
        <w:rPr>
          <w:rFonts w:ascii="Calibri"/>
          <w:color w:val="008356"/>
          <w:w w:val="115"/>
          <w:sz w:val="11"/>
        </w:rPr>
        <w:t>VANCOMYCIN</w:t>
      </w:r>
      <w:r>
        <w:rPr>
          <w:color w:val="231F1F"/>
          <w:w w:val="115"/>
        </w:rPr>
        <w:t>; increased risk of nephrotoxicity and ototoxicity when colistimethate sodium given with </w:t>
      </w:r>
      <w:r>
        <w:rPr>
          <w:rFonts w:ascii="Calibri"/>
          <w:color w:val="008356"/>
          <w:w w:val="115"/>
          <w:sz w:val="11"/>
        </w:rPr>
        <w:t>VANCOMYCIN</w:t>
      </w:r>
    </w:p>
    <w:p>
      <w:pPr>
        <w:pStyle w:val="BodyText"/>
        <w:spacing w:line="220" w:lineRule="auto" w:before="7"/>
        <w:ind w:left="286" w:right="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increased risk of nephrotoxicity when polymyxins given with</w:t>
      </w:r>
      <w:r>
        <w:rPr>
          <w:color w:val="231F1F"/>
          <w:spacing w:val="-7"/>
          <w:w w:val="110"/>
        </w:rPr>
        <w:t> </w:t>
      </w:r>
      <w:r>
        <w:rPr>
          <w:rFonts w:ascii="Calibri" w:hAnsi="Calibri"/>
          <w:color w:val="008356"/>
          <w:spacing w:val="4"/>
          <w:w w:val="110"/>
          <w:sz w:val="11"/>
        </w:rPr>
        <w:t>AMPHOTERICIN</w:t>
      </w:r>
    </w:p>
    <w:p>
      <w:pPr>
        <w:pStyle w:val="BodyText"/>
        <w:ind w:left="286" w:hanging="100"/>
        <w:rPr>
          <w:rFonts w:ascii="Calibri"/>
          <w:sz w:val="11"/>
        </w:rPr>
      </w:pPr>
      <w:r>
        <w:rPr>
          <w:rFonts w:ascii="Arial"/>
          <w:color w:val="231F1F"/>
          <w:w w:val="355"/>
          <w:position w:val="1"/>
          <w:sz w:val="7"/>
        </w:rPr>
        <w:t>l</w:t>
      </w:r>
      <w:r>
        <w:rPr>
          <w:rFonts w:ascii="Arial"/>
          <w:color w:val="231F1F"/>
          <w:spacing w:val="-34"/>
          <w:w w:val="355"/>
          <w:position w:val="1"/>
          <w:sz w:val="7"/>
        </w:rPr>
        <w:t> </w:t>
      </w:r>
      <w:r>
        <w:rPr>
          <w:rFonts w:ascii="Calibri"/>
          <w:color w:val="231F1F"/>
          <w:w w:val="110"/>
        </w:rPr>
        <w:t>Ciclosporin: </w:t>
      </w:r>
      <w:r>
        <w:rPr>
          <w:color w:val="231F1F"/>
          <w:w w:val="110"/>
        </w:rPr>
        <w:t>increased risk of nephrotoxicity when polymyxins given with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CICLOSPORIN</w:t>
      </w:r>
    </w:p>
    <w:p>
      <w:pPr>
        <w:pStyle w:val="BodyText"/>
        <w:spacing w:line="247" w:lineRule="auto"/>
        <w:ind w:left="286" w:hanging="100"/>
        <w:rPr>
          <w:rFonts w:ascii="Calibri"/>
          <w:sz w:val="11"/>
        </w:rPr>
      </w:pPr>
      <w:r>
        <w:rPr>
          <w:rFonts w:ascii="Arial"/>
          <w:color w:val="231F1F"/>
          <w:w w:val="355"/>
          <w:position w:val="1"/>
          <w:sz w:val="7"/>
        </w:rPr>
        <w:t>l </w:t>
      </w:r>
      <w:r>
        <w:rPr>
          <w:rFonts w:ascii="Calibri"/>
          <w:color w:val="231F1F"/>
          <w:w w:val="110"/>
        </w:rPr>
        <w:t>Cytotoxics: </w:t>
      </w:r>
      <w:r>
        <w:rPr>
          <w:color w:val="231F1F"/>
          <w:w w:val="110"/>
        </w:rPr>
        <w:t>increased risk of nephrotoxicity and possibly of ototoxicity when polymyxins given with </w:t>
      </w:r>
      <w:r>
        <w:rPr>
          <w:rFonts w:ascii="Arial"/>
          <w:color w:val="231F1F"/>
          <w:w w:val="355"/>
          <w:position w:val="1"/>
          <w:sz w:val="7"/>
        </w:rPr>
        <w:t>l </w:t>
      </w:r>
      <w:r>
        <w:rPr>
          <w:rFonts w:ascii="Calibri"/>
          <w:color w:val="008356"/>
          <w:w w:val="110"/>
          <w:sz w:val="11"/>
        </w:rPr>
        <w:t>PLATINUM COMPOUNDS</w:t>
      </w:r>
    </w:p>
    <w:p>
      <w:pPr>
        <w:pStyle w:val="BodyText"/>
        <w:spacing w:line="140" w:lineRule="exact"/>
        <w:ind w:left="186"/>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Diuretics:</w:t>
      </w:r>
      <w:r>
        <w:rPr>
          <w:rFonts w:ascii="Calibri"/>
          <w:color w:val="231F1F"/>
          <w:spacing w:val="-10"/>
          <w:w w:val="115"/>
        </w:rPr>
        <w:t> </w:t>
      </w:r>
      <w:r>
        <w:rPr>
          <w:color w:val="231F1F"/>
          <w:w w:val="115"/>
        </w:rPr>
        <w:t>increased</w:t>
      </w:r>
      <w:r>
        <w:rPr>
          <w:color w:val="231F1F"/>
          <w:spacing w:val="-13"/>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otoxicity</w:t>
      </w:r>
      <w:r>
        <w:rPr>
          <w:color w:val="231F1F"/>
          <w:spacing w:val="-13"/>
          <w:w w:val="115"/>
        </w:rPr>
        <w:t> </w:t>
      </w:r>
      <w:r>
        <w:rPr>
          <w:color w:val="231F1F"/>
          <w:w w:val="115"/>
        </w:rPr>
        <w:t>when</w:t>
      </w:r>
      <w:r>
        <w:rPr>
          <w:color w:val="231F1F"/>
          <w:spacing w:val="-13"/>
          <w:w w:val="115"/>
        </w:rPr>
        <w:t> </w:t>
      </w:r>
      <w:r>
        <w:rPr>
          <w:color w:val="231F1F"/>
          <w:w w:val="115"/>
        </w:rPr>
        <w:t>polymyxins</w:t>
      </w:r>
      <w:r>
        <w:rPr>
          <w:color w:val="231F1F"/>
          <w:spacing w:val="-13"/>
          <w:w w:val="115"/>
        </w:rPr>
        <w:t> </w:t>
      </w:r>
      <w:r>
        <w:rPr>
          <w:color w:val="231F1F"/>
          <w:w w:val="115"/>
        </w:rPr>
        <w:t>given</w:t>
      </w:r>
    </w:p>
    <w:p>
      <w:pPr>
        <w:spacing w:line="140" w:lineRule="exact" w:before="0"/>
        <w:ind w:left="286" w:right="0" w:firstLine="0"/>
        <w:jc w:val="left"/>
        <w:rPr>
          <w:rFonts w:ascii="Calibri"/>
          <w:sz w:val="11"/>
        </w:rPr>
      </w:pPr>
      <w:r>
        <w:rPr>
          <w:color w:val="231F1F"/>
          <w:w w:val="110"/>
          <w:sz w:val="12"/>
        </w:rPr>
        <w:t>with </w:t>
      </w:r>
      <w:r>
        <w:rPr>
          <w:rFonts w:ascii="Arial"/>
          <w:color w:val="231F1F"/>
          <w:w w:val="355"/>
          <w:position w:val="1"/>
          <w:sz w:val="7"/>
        </w:rPr>
        <w:t>l </w:t>
      </w:r>
      <w:r>
        <w:rPr>
          <w:rFonts w:ascii="Calibri"/>
          <w:color w:val="008356"/>
          <w:w w:val="110"/>
          <w:sz w:val="11"/>
        </w:rPr>
        <w:t>LOOP DIURETICS</w:t>
      </w:r>
    </w:p>
    <w:p>
      <w:pPr>
        <w:pStyle w:val="BodyText"/>
        <w:spacing w:line="145" w:lineRule="exact"/>
        <w:ind w:left="286" w:hanging="100"/>
        <w:rPr>
          <w:rFonts w:ascii="Calibri"/>
          <w:sz w:val="11"/>
        </w:rPr>
      </w:pPr>
      <w:r>
        <w:rPr>
          <w:rFonts w:ascii="Arial"/>
          <w:color w:val="231F1F"/>
          <w:w w:val="355"/>
          <w:position w:val="1"/>
          <w:sz w:val="7"/>
        </w:rPr>
        <w:t>l</w:t>
      </w:r>
      <w:r>
        <w:rPr>
          <w:rFonts w:ascii="Arial"/>
          <w:color w:val="231F1F"/>
          <w:spacing w:val="-40"/>
          <w:w w:val="355"/>
          <w:position w:val="1"/>
          <w:sz w:val="7"/>
        </w:rPr>
        <w:t> </w:t>
      </w:r>
      <w:r>
        <w:rPr>
          <w:rFonts w:ascii="Calibri"/>
          <w:color w:val="231F1F"/>
          <w:w w:val="110"/>
        </w:rPr>
        <w:t>Muscle</w:t>
      </w:r>
      <w:r>
        <w:rPr>
          <w:rFonts w:ascii="Calibri"/>
          <w:color w:val="231F1F"/>
          <w:spacing w:val="-7"/>
          <w:w w:val="110"/>
        </w:rPr>
        <w:t> </w:t>
      </w:r>
      <w:r>
        <w:rPr>
          <w:rFonts w:ascii="Calibri"/>
          <w:color w:val="231F1F"/>
          <w:w w:val="110"/>
        </w:rPr>
        <w:t>Relaxants:</w:t>
      </w:r>
      <w:r>
        <w:rPr>
          <w:rFonts w:ascii="Calibri"/>
          <w:color w:val="231F1F"/>
          <w:spacing w:val="-8"/>
          <w:w w:val="110"/>
        </w:rPr>
        <w:t> </w:t>
      </w:r>
      <w:r>
        <w:rPr>
          <w:color w:val="231F1F"/>
          <w:w w:val="110"/>
        </w:rPr>
        <w:t>polymyxins</w:t>
      </w:r>
      <w:r>
        <w:rPr>
          <w:color w:val="231F1F"/>
          <w:spacing w:val="-10"/>
          <w:w w:val="110"/>
        </w:rPr>
        <w:t> </w:t>
      </w:r>
      <w:r>
        <w:rPr>
          <w:color w:val="231F1F"/>
          <w:w w:val="110"/>
        </w:rPr>
        <w:t>enhance</w:t>
      </w:r>
      <w:r>
        <w:rPr>
          <w:color w:val="231F1F"/>
          <w:spacing w:val="-11"/>
          <w:w w:val="110"/>
        </w:rPr>
        <w:t> </w:t>
      </w:r>
      <w:r>
        <w:rPr>
          <w:color w:val="231F1F"/>
          <w:w w:val="110"/>
        </w:rPr>
        <w:t>effects</w:t>
      </w:r>
      <w:r>
        <w:rPr>
          <w:color w:val="231F1F"/>
          <w:spacing w:val="-10"/>
          <w:w w:val="110"/>
        </w:rPr>
        <w:t> </w:t>
      </w:r>
      <w:r>
        <w:rPr>
          <w:color w:val="231F1F"/>
          <w:w w:val="110"/>
        </w:rPr>
        <w:t>of</w:t>
      </w:r>
      <w:r>
        <w:rPr>
          <w:color w:val="231F1F"/>
          <w:spacing w:val="-10"/>
          <w:w w:val="110"/>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5"/>
          <w:w w:val="110"/>
          <w:sz w:val="11"/>
        </w:rPr>
        <w:t>NON-</w:t>
      </w:r>
    </w:p>
    <w:p>
      <w:pPr>
        <w:spacing w:line="140" w:lineRule="exact" w:before="0"/>
        <w:ind w:left="286" w:right="0" w:firstLine="0"/>
        <w:jc w:val="left"/>
        <w:rPr>
          <w:rFonts w:ascii="Calibri"/>
          <w:sz w:val="11"/>
        </w:rPr>
      </w:pPr>
      <w:r>
        <w:rPr>
          <w:rFonts w:ascii="Calibri"/>
          <w:color w:val="008356"/>
          <w:spacing w:val="4"/>
          <w:w w:val="105"/>
          <w:sz w:val="11"/>
        </w:rPr>
        <w:t>DEPOLARISING</w:t>
      </w:r>
      <w:r>
        <w:rPr>
          <w:rFonts w:ascii="Calibri"/>
          <w:color w:val="008356"/>
          <w:spacing w:val="-15"/>
          <w:w w:val="105"/>
          <w:sz w:val="11"/>
        </w:rPr>
        <w:t> </w:t>
      </w:r>
      <w:r>
        <w:rPr>
          <w:rFonts w:ascii="Calibri"/>
          <w:color w:val="008356"/>
          <w:spacing w:val="4"/>
          <w:w w:val="105"/>
          <w:sz w:val="11"/>
        </w:rPr>
        <w:t>MUSCLE</w:t>
      </w:r>
      <w:r>
        <w:rPr>
          <w:rFonts w:ascii="Calibri"/>
          <w:color w:val="008356"/>
          <w:spacing w:val="-14"/>
          <w:w w:val="105"/>
          <w:sz w:val="11"/>
        </w:rPr>
        <w:t> </w:t>
      </w:r>
      <w:r>
        <w:rPr>
          <w:rFonts w:ascii="Calibri"/>
          <w:color w:val="008356"/>
          <w:spacing w:val="4"/>
          <w:w w:val="105"/>
          <w:sz w:val="11"/>
        </w:rPr>
        <w:t>RELAXANTS</w:t>
      </w:r>
      <w:r>
        <w:rPr>
          <w:rFonts w:ascii="Calibri"/>
          <w:color w:val="008356"/>
          <w:spacing w:val="-12"/>
          <w:w w:val="105"/>
          <w:sz w:val="11"/>
        </w:rPr>
        <w:t> </w:t>
      </w:r>
      <w:r>
        <w:rPr>
          <w:color w:val="231F1F"/>
          <w:w w:val="105"/>
          <w:sz w:val="12"/>
        </w:rPr>
        <w:t>and</w:t>
      </w:r>
      <w:r>
        <w:rPr>
          <w:color w:val="231F1F"/>
          <w:spacing w:val="-20"/>
          <w:w w:val="105"/>
          <w:sz w:val="12"/>
        </w:rPr>
        <w:t> </w:t>
      </w:r>
      <w:r>
        <w:rPr>
          <w:rFonts w:ascii="Arial"/>
          <w:color w:val="231F1F"/>
          <w:w w:val="105"/>
          <w:position w:val="1"/>
          <w:sz w:val="7"/>
        </w:rPr>
        <w:t>l</w:t>
      </w:r>
      <w:r>
        <w:rPr>
          <w:rFonts w:ascii="Arial"/>
          <w:color w:val="231F1F"/>
          <w:spacing w:val="-10"/>
          <w:w w:val="105"/>
          <w:position w:val="1"/>
          <w:sz w:val="7"/>
        </w:rPr>
        <w:t> </w:t>
      </w:r>
      <w:r>
        <w:rPr>
          <w:rFonts w:ascii="Calibri"/>
          <w:color w:val="008356"/>
          <w:spacing w:val="5"/>
          <w:w w:val="105"/>
          <w:sz w:val="11"/>
        </w:rPr>
        <w:t>SUXAMETHONIUM</w:t>
      </w:r>
    </w:p>
    <w:p>
      <w:pPr>
        <w:pStyle w:val="BodyText"/>
        <w:spacing w:line="145" w:lineRule="exact"/>
        <w:ind w:left="186"/>
      </w:pPr>
      <w:r>
        <w:rPr>
          <w:rFonts w:ascii="Arial"/>
          <w:color w:val="231F1F"/>
          <w:w w:val="355"/>
          <w:position w:val="1"/>
          <w:sz w:val="7"/>
        </w:rPr>
        <w:t>l </w:t>
      </w:r>
      <w:r>
        <w:rPr>
          <w:rFonts w:ascii="Calibri"/>
          <w:color w:val="231F1F"/>
          <w:w w:val="115"/>
        </w:rPr>
        <w:t>Parasympathomimetics: </w:t>
      </w:r>
      <w:r>
        <w:rPr>
          <w:color w:val="231F1F"/>
          <w:w w:val="115"/>
        </w:rPr>
        <w:t>polymyxins antagonise effects of</w:t>
      </w:r>
    </w:p>
    <w:p>
      <w:pPr>
        <w:spacing w:line="140" w:lineRule="exact"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NEOSTIGMINE </w:t>
      </w:r>
      <w:r>
        <w:rPr>
          <w:color w:val="231F1F"/>
          <w:w w:val="110"/>
          <w:sz w:val="12"/>
        </w:rPr>
        <w:t>and </w:t>
      </w:r>
      <w:r>
        <w:rPr>
          <w:rFonts w:ascii="Arial"/>
          <w:color w:val="231F1F"/>
          <w:w w:val="355"/>
          <w:position w:val="1"/>
          <w:sz w:val="7"/>
        </w:rPr>
        <w:t>l </w:t>
      </w:r>
      <w:r>
        <w:rPr>
          <w:rFonts w:ascii="Calibri"/>
          <w:color w:val="008356"/>
          <w:w w:val="110"/>
          <w:sz w:val="11"/>
        </w:rPr>
        <w:t>PYRIDOSTIGMINE</w:t>
      </w:r>
    </w:p>
    <w:p>
      <w:pPr>
        <w:spacing w:line="220" w:lineRule="auto" w:before="4"/>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86"/>
      </w:pPr>
      <w:r>
        <w:rPr>
          <w:rFonts w:ascii="Trebuchet MS"/>
          <w:color w:val="008356"/>
          <w:w w:val="105"/>
        </w:rPr>
        <w:t>Polysaccharide-iron Complex </w:t>
      </w:r>
      <w:r>
        <w:rPr>
          <w:i/>
          <w:color w:val="231F1F"/>
          <w:w w:val="105"/>
        </w:rPr>
        <w:t>see </w:t>
      </w:r>
      <w:r>
        <w:rPr>
          <w:color w:val="231F1F"/>
          <w:w w:val="105"/>
        </w:rPr>
        <w:t>Iron salts</w:t>
      </w:r>
    </w:p>
    <w:p>
      <w:pPr>
        <w:pStyle w:val="BodyText"/>
        <w:spacing w:before="11"/>
        <w:ind w:left="186"/>
        <w:rPr>
          <w:rFonts w:ascii="Trebuchet MS"/>
        </w:rPr>
      </w:pPr>
      <w:r>
        <w:rPr>
          <w:rFonts w:ascii="Trebuchet MS"/>
          <w:color w:val="008356"/>
        </w:rPr>
        <w:t>Polystyrene Sulfonate</w:t>
      </w:r>
      <w:r>
        <w:rPr>
          <w:rFonts w:ascii="Trebuchet MS"/>
          <w:color w:val="008356"/>
          <w:spacing w:val="20"/>
        </w:rPr>
        <w:t> </w:t>
      </w:r>
      <w:r>
        <w:rPr>
          <w:rFonts w:ascii="Trebuchet MS"/>
          <w:color w:val="008356"/>
        </w:rPr>
        <w:t>Resins</w:t>
      </w:r>
    </w:p>
    <w:p>
      <w:pPr>
        <w:spacing w:line="237" w:lineRule="auto" w:before="2"/>
        <w:ind w:left="286" w:right="2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risk of intestinal obstruction when polystyrene sulfonate resins given with </w:t>
      </w:r>
      <w:r>
        <w:rPr>
          <w:rFonts w:ascii="Calibri" w:hAnsi="Calibri"/>
          <w:color w:val="008356"/>
          <w:spacing w:val="4"/>
          <w:w w:val="105"/>
          <w:sz w:val="11"/>
        </w:rPr>
        <w:t>ALUMINIUM HYDROXIDE</w:t>
      </w:r>
      <w:r>
        <w:rPr>
          <w:color w:val="231F1F"/>
          <w:spacing w:val="4"/>
          <w:w w:val="105"/>
          <w:sz w:val="12"/>
        </w:rPr>
        <w:t>; </w:t>
      </w:r>
      <w:r>
        <w:rPr>
          <w:color w:val="231F1F"/>
          <w:w w:val="105"/>
          <w:sz w:val="12"/>
        </w:rPr>
        <w:t>risk of metabolic alkalosis when polystyrene sulfonate resins </w:t>
      </w:r>
      <w:r>
        <w:rPr>
          <w:color w:val="231F1F"/>
          <w:spacing w:val="-3"/>
          <w:w w:val="105"/>
          <w:sz w:val="12"/>
        </w:rPr>
        <w:t>given </w:t>
      </w:r>
      <w:r>
        <w:rPr>
          <w:color w:val="231F1F"/>
          <w:w w:val="105"/>
          <w:sz w:val="12"/>
        </w:rPr>
        <w:t>with </w:t>
      </w:r>
      <w:r>
        <w:rPr>
          <w:rFonts w:ascii="Calibri" w:hAnsi="Calibri"/>
          <w:color w:val="008356"/>
          <w:spacing w:val="4"/>
          <w:w w:val="105"/>
          <w:sz w:val="11"/>
        </w:rPr>
        <w:t>ORAL MAGNESIUM</w:t>
      </w:r>
      <w:r>
        <w:rPr>
          <w:rFonts w:ascii="Calibri" w:hAnsi="Calibri"/>
          <w:color w:val="008356"/>
          <w:spacing w:val="5"/>
          <w:w w:val="105"/>
          <w:sz w:val="11"/>
        </w:rPr>
        <w:t> </w:t>
      </w:r>
      <w:r>
        <w:rPr>
          <w:rFonts w:ascii="Calibri" w:hAnsi="Calibri"/>
          <w:color w:val="008356"/>
          <w:spacing w:val="3"/>
          <w:w w:val="105"/>
          <w:sz w:val="11"/>
        </w:rPr>
        <w:t>SALTS</w:t>
      </w:r>
    </w:p>
    <w:p>
      <w:pPr>
        <w:pStyle w:val="BodyText"/>
        <w:spacing w:line="220" w:lineRule="auto" w:before="5"/>
        <w:ind w:left="286" w:right="213" w:hanging="100"/>
        <w:rPr>
          <w:rFonts w:ascii="Calibri" w:hAnsi="Calibri"/>
          <w:sz w:val="11"/>
        </w:rPr>
      </w:pPr>
      <w:r>
        <w:rPr>
          <w:rFonts w:ascii="Lucida Sans Unicode" w:hAnsi="Lucida Sans Unicode"/>
          <w:color w:val="A7A8AC"/>
          <w:w w:val="95"/>
          <w:sz w:val="10"/>
        </w:rPr>
        <w:t>▶ </w:t>
      </w:r>
      <w:r>
        <w:rPr>
          <w:rFonts w:ascii="Calibri" w:hAnsi="Calibri"/>
          <w:color w:val="231F1F"/>
          <w:w w:val="105"/>
        </w:rPr>
        <w:t>Thyroid Hormones: </w:t>
      </w:r>
      <w:r>
        <w:rPr>
          <w:color w:val="231F1F"/>
          <w:w w:val="105"/>
        </w:rPr>
        <w:t>polystyrene sulfonate resins reduce absorption of </w:t>
      </w:r>
      <w:r>
        <w:rPr>
          <w:rFonts w:ascii="Calibri" w:hAnsi="Calibri"/>
          <w:color w:val="008356"/>
          <w:w w:val="105"/>
          <w:sz w:val="11"/>
        </w:rPr>
        <w:t>LEVOTHYROXINE</w:t>
      </w:r>
    </w:p>
    <w:p>
      <w:pPr>
        <w:pStyle w:val="BodyText"/>
        <w:spacing w:before="9"/>
        <w:ind w:left="186"/>
        <w:rPr>
          <w:rFonts w:ascii="Trebuchet MS"/>
        </w:rPr>
      </w:pPr>
      <w:r>
        <w:rPr>
          <w:rFonts w:ascii="Trebuchet MS"/>
          <w:color w:val="008356"/>
        </w:rPr>
        <w:t>Pomalidomide</w:t>
      </w:r>
    </w:p>
    <w:p>
      <w:pPr>
        <w:pStyle w:val="BodyText"/>
        <w:spacing w:before="1"/>
        <w:ind w:left="286" w:right="251"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Antidepressants: </w:t>
      </w:r>
      <w:r>
        <w:rPr>
          <w:color w:val="231F1F"/>
          <w:w w:val="115"/>
        </w:rPr>
        <w:t>plasma concentration of </w:t>
      </w:r>
      <w:r>
        <w:rPr>
          <w:color w:val="231F1F"/>
          <w:spacing w:val="-2"/>
          <w:w w:val="115"/>
        </w:rPr>
        <w:t>pomalidomide </w:t>
      </w:r>
      <w:r>
        <w:rPr>
          <w:color w:val="231F1F"/>
          <w:w w:val="115"/>
        </w:rPr>
        <w:t>increased by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FLUVOXAMINE</w:t>
      </w:r>
    </w:p>
    <w:p>
      <w:pPr>
        <w:pStyle w:val="BodyText"/>
        <w:spacing w:line="139" w:lineRule="exact" w:before="7"/>
        <w:ind w:left="186"/>
        <w:rPr>
          <w:rFonts w:ascii="Trebuchet MS"/>
        </w:rPr>
      </w:pPr>
      <w:r>
        <w:rPr>
          <w:rFonts w:ascii="Trebuchet MS"/>
          <w:color w:val="008356"/>
          <w:w w:val="105"/>
        </w:rPr>
        <w:t>Ponatinib</w:t>
      </w:r>
    </w:p>
    <w:p>
      <w:pPr>
        <w:pStyle w:val="BodyText"/>
        <w:ind w:left="286" w:hanging="100"/>
      </w:pPr>
      <w:r>
        <w:rPr>
          <w:rFonts w:ascii="Arial" w:hAnsi="Arial"/>
          <w:color w:val="231F1F"/>
          <w:w w:val="355"/>
          <w:position w:val="1"/>
          <w:sz w:val="7"/>
        </w:rPr>
        <w:t>l </w:t>
      </w:r>
      <w:r>
        <w:rPr>
          <w:rFonts w:ascii="Calibri" w:hAnsi="Calibri"/>
          <w:color w:val="231F1F"/>
          <w:w w:val="115"/>
        </w:rPr>
        <w:t>Antibacterials: </w:t>
      </w:r>
      <w:r>
        <w:rPr>
          <w:color w:val="231F1F"/>
          <w:w w:val="115"/>
        </w:rPr>
        <w:t>plasma concentration of ponatinib possibly </w:t>
      </w:r>
      <w:r>
        <w:rPr>
          <w:color w:val="231F1F"/>
          <w:w w:val="105"/>
        </w:rPr>
        <w:t>increased by </w:t>
      </w:r>
      <w:r>
        <w:rPr>
          <w:rFonts w:ascii="Calibri" w:hAnsi="Calibri"/>
          <w:color w:val="008356"/>
          <w:w w:val="105"/>
          <w:sz w:val="11"/>
        </w:rPr>
        <w:t>CLARITHROMYCIN </w:t>
      </w:r>
      <w:r>
        <w:rPr>
          <w:color w:val="231F1F"/>
          <w:w w:val="105"/>
        </w:rPr>
        <w:t>and </w:t>
      </w:r>
      <w:r>
        <w:rPr>
          <w:rFonts w:ascii="Calibri" w:hAnsi="Calibri"/>
          <w:color w:val="008356"/>
          <w:w w:val="105"/>
          <w:sz w:val="11"/>
        </w:rPr>
        <w:t>TELITHROMYCIN</w:t>
      </w:r>
      <w:r>
        <w:rPr>
          <w:rFonts w:ascii="Arial" w:hAnsi="Arial"/>
          <w:color w:val="231F1F"/>
          <w:w w:val="105"/>
        </w:rPr>
        <w:t>—</w:t>
      </w:r>
      <w:r>
        <w:rPr>
          <w:color w:val="231F1F"/>
          <w:w w:val="105"/>
        </w:rPr>
        <w:t>consider </w:t>
      </w:r>
      <w:r>
        <w:rPr>
          <w:color w:val="231F1F"/>
          <w:w w:val="115"/>
        </w:rPr>
        <w:t>reducing initial dose of ponatinib (see under Ponatinib,</w:t>
      </w:r>
    </w:p>
    <w:p>
      <w:pPr>
        <w:pStyle w:val="BodyText"/>
        <w:spacing w:line="244" w:lineRule="auto" w:before="6"/>
        <w:ind w:left="286" w:right="6"/>
      </w:pPr>
      <w:r>
        <w:rPr>
          <w:color w:val="231F1F"/>
          <w:w w:val="115"/>
        </w:rPr>
        <w:t>p. 814); plasma concentration of ponatinib possibly reduced by </w:t>
      </w:r>
      <w:r>
        <w:rPr>
          <w:rFonts w:ascii="Calibri" w:hAnsi="Calibri"/>
          <w:color w:val="008356"/>
          <w:w w:val="115"/>
          <w:sz w:val="11"/>
        </w:rPr>
        <w:t>RIFABUTIN</w:t>
      </w:r>
      <w:r>
        <w:rPr>
          <w:rFonts w:ascii="Arial" w:hAnsi="Arial"/>
          <w:color w:val="231F1F"/>
          <w:w w:val="115"/>
        </w:rPr>
        <w:t>—</w:t>
      </w:r>
      <w:r>
        <w:rPr>
          <w:color w:val="231F1F"/>
          <w:w w:val="115"/>
        </w:rPr>
        <w:t>manufacturer of ponatinib advises avoid concomitant use; plasma concentration of ponatinib reduced by </w:t>
      </w:r>
      <w:r>
        <w:rPr>
          <w:rFonts w:ascii="Arial" w:hAnsi="Arial"/>
          <w:color w:val="231F1F"/>
          <w:w w:val="35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ponatinib advises avoid concomitant use</w:t>
      </w:r>
    </w:p>
    <w:p>
      <w:pPr>
        <w:pStyle w:val="BodyText"/>
        <w:spacing w:before="7"/>
        <w:ind w:left="0"/>
        <w:rPr>
          <w:sz w:val="14"/>
        </w:rPr>
      </w:pPr>
      <w:r>
        <w:rPr/>
        <w:br w:type="column"/>
      </w:r>
      <w:r>
        <w:rPr>
          <w:sz w:val="14"/>
        </w:rPr>
      </w:r>
    </w:p>
    <w:p>
      <w:pPr>
        <w:pStyle w:val="BodyText"/>
        <w:spacing w:line="144" w:lineRule="exact"/>
        <w:ind w:left="183"/>
        <w:rPr>
          <w:rFonts w:ascii="Calibri"/>
        </w:rPr>
      </w:pPr>
      <w:r>
        <w:rPr>
          <w:rFonts w:ascii="Arial"/>
          <w:color w:val="008356"/>
        </w:rPr>
        <w:t>Ponatinib </w:t>
      </w:r>
      <w:r>
        <w:rPr>
          <w:rFonts w:ascii="Calibri"/>
          <w:color w:val="231F1F"/>
        </w:rPr>
        <w:t>(continued)</w:t>
      </w:r>
    </w:p>
    <w:p>
      <w:pPr>
        <w:pStyle w:val="BodyText"/>
        <w:spacing w:line="230" w:lineRule="auto" w:before="2"/>
        <w:ind w:left="283" w:right="716"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plasma concentration of ponatinib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rFonts w:ascii="Arial" w:hAnsi="Arial"/>
          <w:color w:val="231F1F"/>
          <w:w w:val="110"/>
        </w:rPr>
        <w:t>—</w:t>
      </w:r>
      <w:r>
        <w:rPr>
          <w:color w:val="231F1F"/>
          <w:w w:val="110"/>
        </w:rPr>
        <w:t>manufacturer of ponatinib advises avoid concomitant use</w:t>
      </w:r>
    </w:p>
    <w:p>
      <w:pPr>
        <w:spacing w:line="220" w:lineRule="auto" w:before="12"/>
        <w:ind w:left="283" w:right="673"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ponatinib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w:t>
      </w:r>
    </w:p>
    <w:p>
      <w:pPr>
        <w:spacing w:before="3"/>
        <w:ind w:left="283" w:right="673" w:firstLine="0"/>
        <w:jc w:val="left"/>
        <w:rPr>
          <w:sz w:val="12"/>
        </w:rPr>
      </w:pPr>
      <w:r>
        <w:rPr>
          <w:rFonts w:ascii="Calibri" w:hAnsi="Calibri"/>
          <w:color w:val="008356"/>
          <w:w w:val="110"/>
          <w:sz w:val="11"/>
        </w:rPr>
        <w:t>PHENYTOIN </w:t>
      </w:r>
      <w:r>
        <w:rPr>
          <w:color w:val="231F1F"/>
          <w:w w:val="110"/>
          <w:sz w:val="12"/>
        </w:rPr>
        <w:t>and </w:t>
      </w:r>
      <w:r>
        <w:rPr>
          <w:rFonts w:ascii="Calibri" w:hAnsi="Calibri"/>
          <w:color w:val="008356"/>
          <w:w w:val="110"/>
          <w:sz w:val="11"/>
        </w:rPr>
        <w:t>PRIMIDONE</w:t>
      </w:r>
      <w:r>
        <w:rPr>
          <w:rFonts w:ascii="Arial" w:hAnsi="Arial"/>
          <w:color w:val="231F1F"/>
          <w:w w:val="110"/>
          <w:sz w:val="12"/>
        </w:rPr>
        <w:t>—</w:t>
      </w:r>
      <w:r>
        <w:rPr>
          <w:color w:val="231F1F"/>
          <w:w w:val="110"/>
          <w:sz w:val="12"/>
        </w:rPr>
        <w:t>manufacturer of ponatinib advises avoid concomitant use</w:t>
      </w:r>
    </w:p>
    <w:p>
      <w:pPr>
        <w:pStyle w:val="BodyText"/>
        <w:spacing w:line="235" w:lineRule="auto" w:before="5"/>
        <w:ind w:left="283" w:right="673"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ponatinib increased by </w:t>
      </w:r>
      <w:r>
        <w:rPr>
          <w:rFonts w:ascii="Calibri" w:hAnsi="Calibri"/>
          <w:color w:val="008356"/>
          <w:w w:val="110"/>
          <w:sz w:val="11"/>
        </w:rPr>
        <w:t>KETOCONAZOLE</w:t>
      </w:r>
      <w:r>
        <w:rPr>
          <w:color w:val="231F1F"/>
          <w:w w:val="110"/>
        </w:rPr>
        <w:t>; plasma concentration of ponatinib possibly increased by </w:t>
      </w:r>
      <w:r>
        <w:rPr>
          <w:rFonts w:ascii="Calibri" w:hAnsi="Calibri"/>
          <w:color w:val="008356"/>
          <w:w w:val="110"/>
          <w:sz w:val="11"/>
        </w:rPr>
        <w:t>ITRACONAZOLE </w:t>
      </w:r>
      <w:r>
        <w:rPr>
          <w:color w:val="231F1F"/>
          <w:w w:val="110"/>
        </w:rPr>
        <w:t>and </w:t>
      </w:r>
      <w:r>
        <w:rPr>
          <w:rFonts w:ascii="Calibri" w:hAnsi="Calibri"/>
          <w:color w:val="008356"/>
          <w:w w:val="110"/>
          <w:sz w:val="11"/>
        </w:rPr>
        <w:t>VORICONAZOLE</w:t>
      </w:r>
      <w:r>
        <w:rPr>
          <w:rFonts w:ascii="Arial" w:hAnsi="Arial"/>
          <w:color w:val="231F1F"/>
          <w:w w:val="110"/>
        </w:rPr>
        <w:t>—</w:t>
      </w:r>
      <w:r>
        <w:rPr>
          <w:color w:val="231F1F"/>
          <w:w w:val="110"/>
        </w:rPr>
        <w:t>consider reducing initial dose of ponatinib (see under Ponatinib,</w:t>
      </w:r>
    </w:p>
    <w:p>
      <w:pPr>
        <w:pStyle w:val="BodyText"/>
        <w:spacing w:before="5"/>
        <w:ind w:left="283"/>
      </w:pPr>
      <w:r>
        <w:rPr>
          <w:color w:val="231F1F"/>
          <w:w w:val="110"/>
        </w:rPr>
        <w:t>p. 814)</w:t>
      </w:r>
    </w:p>
    <w:p>
      <w:pPr>
        <w:pStyle w:val="BodyText"/>
        <w:spacing w:line="146" w:lineRule="exact" w:before="2"/>
        <w:ind w:left="183"/>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3"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30" w:lineRule="auto" w:before="2"/>
        <w:ind w:left="283" w:right="673"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ponatinib possibly </w:t>
      </w:r>
      <w:r>
        <w:rPr>
          <w:color w:val="231F1F"/>
          <w:w w:val="105"/>
        </w:rPr>
        <w:t>increased by </w:t>
      </w:r>
      <w:r>
        <w:rPr>
          <w:rFonts w:ascii="Calibri" w:hAnsi="Calibri"/>
          <w:color w:val="008356"/>
          <w:w w:val="105"/>
          <w:sz w:val="11"/>
        </w:rPr>
        <w:t>INDINAVIR</w:t>
      </w:r>
      <w:r>
        <w:rPr>
          <w:color w:val="231F1F"/>
          <w:w w:val="105"/>
        </w:rPr>
        <w:t>, </w:t>
      </w:r>
      <w:r>
        <w:rPr>
          <w:rFonts w:ascii="Calibri" w:hAnsi="Calibri"/>
          <w:color w:val="008356"/>
          <w:w w:val="105"/>
          <w:sz w:val="11"/>
        </w:rPr>
        <w:t>RITONAVIR </w:t>
      </w:r>
      <w:r>
        <w:rPr>
          <w:color w:val="231F1F"/>
          <w:w w:val="105"/>
        </w:rPr>
        <w:t>and </w:t>
      </w:r>
      <w:r>
        <w:rPr>
          <w:rFonts w:ascii="Calibri" w:hAnsi="Calibri"/>
          <w:color w:val="008356"/>
          <w:w w:val="105"/>
          <w:sz w:val="11"/>
        </w:rPr>
        <w:t>SAQUINAVIR</w:t>
      </w:r>
      <w:r>
        <w:rPr>
          <w:rFonts w:ascii="Arial" w:hAnsi="Arial"/>
          <w:color w:val="231F1F"/>
          <w:w w:val="105"/>
        </w:rPr>
        <w:t>—</w:t>
      </w:r>
      <w:r>
        <w:rPr>
          <w:color w:val="231F1F"/>
          <w:w w:val="105"/>
        </w:rPr>
        <w:t>consider </w:t>
      </w:r>
      <w:r>
        <w:rPr>
          <w:color w:val="231F1F"/>
          <w:w w:val="110"/>
        </w:rPr>
        <w:t>reducing initial dose of ponatinib (see under Ponatinib,</w:t>
      </w:r>
    </w:p>
    <w:p>
      <w:pPr>
        <w:pStyle w:val="BodyText"/>
        <w:spacing w:before="8"/>
        <w:ind w:left="283"/>
      </w:pPr>
      <w:r>
        <w:rPr>
          <w:color w:val="231F1F"/>
          <w:w w:val="110"/>
        </w:rPr>
        <w:t>p. 814)</w:t>
      </w:r>
    </w:p>
    <w:p>
      <w:pPr>
        <w:pStyle w:val="BodyText"/>
        <w:spacing w:line="220" w:lineRule="auto" w:before="10"/>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ponatinib possibly increased by </w:t>
      </w:r>
      <w:r>
        <w:rPr>
          <w:rFonts w:ascii="Calibri" w:hAnsi="Calibri"/>
          <w:color w:val="008356"/>
          <w:w w:val="105"/>
          <w:sz w:val="11"/>
        </w:rPr>
        <w:t>GRAPEFRUIT JUICE</w:t>
      </w:r>
    </w:p>
    <w:p>
      <w:pPr>
        <w:pStyle w:val="BodyText"/>
        <w:spacing w:line="256" w:lineRule="auto" w:before="9"/>
        <w:ind w:left="183" w:right="1561"/>
        <w:rPr>
          <w:rFonts w:ascii="Trebuchet MS"/>
        </w:rPr>
      </w:pPr>
      <w:r>
        <w:rPr>
          <w:rFonts w:ascii="Trebuchet MS"/>
          <w:color w:val="008356"/>
          <w:w w:val="105"/>
        </w:rPr>
        <w:t>Posaconazole </w:t>
      </w:r>
      <w:r>
        <w:rPr>
          <w:i/>
          <w:color w:val="231F1F"/>
          <w:w w:val="105"/>
        </w:rPr>
        <w:t>see </w:t>
      </w:r>
      <w:r>
        <w:rPr>
          <w:color w:val="231F1F"/>
          <w:w w:val="105"/>
        </w:rPr>
        <w:t>Antifungals, Triazole </w:t>
      </w:r>
      <w:r>
        <w:rPr>
          <w:rFonts w:ascii="Trebuchet MS"/>
          <w:color w:val="008356"/>
          <w:w w:val="105"/>
        </w:rPr>
        <w:t>Potassium Canrenoate </w:t>
      </w:r>
      <w:r>
        <w:rPr>
          <w:i/>
          <w:color w:val="231F1F"/>
          <w:w w:val="105"/>
        </w:rPr>
        <w:t>see </w:t>
      </w:r>
      <w:r>
        <w:rPr>
          <w:color w:val="231F1F"/>
          <w:w w:val="105"/>
        </w:rPr>
        <w:t>Diuretics </w:t>
      </w:r>
      <w:r>
        <w:rPr>
          <w:rFonts w:ascii="Trebuchet MS"/>
          <w:color w:val="008356"/>
          <w:w w:val="105"/>
        </w:rPr>
        <w:t>Potassium Aminobenzoate</w:t>
      </w:r>
    </w:p>
    <w:p>
      <w:pPr>
        <w:pStyle w:val="BodyText"/>
        <w:spacing w:line="147" w:lineRule="exact"/>
        <w:ind w:left="183"/>
      </w:pPr>
      <w:r>
        <w:rPr>
          <w:rFonts w:ascii="Lucida Sans Unicode" w:hAnsi="Lucida Sans Unicode"/>
          <w:color w:val="A7A8AC"/>
          <w:w w:val="95"/>
          <w:sz w:val="10"/>
        </w:rPr>
        <w:t>▶ </w:t>
      </w:r>
      <w:r>
        <w:rPr>
          <w:rFonts w:ascii="Calibri" w:hAnsi="Calibri"/>
          <w:color w:val="231F1F"/>
          <w:w w:val="105"/>
        </w:rPr>
        <w:t>Antibacterials: </w:t>
      </w:r>
      <w:r>
        <w:rPr>
          <w:color w:val="231F1F"/>
          <w:w w:val="105"/>
        </w:rPr>
        <w:t>potassium aminobenzoate inhibits effects of</w:t>
      </w:r>
    </w:p>
    <w:p>
      <w:pPr>
        <w:spacing w:line="132" w:lineRule="exact" w:before="0"/>
        <w:ind w:left="283" w:right="0" w:firstLine="0"/>
        <w:jc w:val="left"/>
        <w:rPr>
          <w:rFonts w:ascii="Calibri"/>
          <w:sz w:val="11"/>
        </w:rPr>
      </w:pPr>
      <w:r>
        <w:rPr>
          <w:rFonts w:ascii="Calibri"/>
          <w:color w:val="008356"/>
          <w:spacing w:val="4"/>
          <w:sz w:val="11"/>
        </w:rPr>
        <w:t>SULFONAMIDES</w:t>
      </w:r>
    </w:p>
    <w:p>
      <w:pPr>
        <w:pStyle w:val="BodyText"/>
        <w:spacing w:line="256" w:lineRule="auto" w:before="8"/>
        <w:ind w:left="183" w:right="1479"/>
        <w:rPr>
          <w:rFonts w:ascii="Trebuchet MS"/>
        </w:rPr>
      </w:pPr>
      <w:r>
        <w:rPr>
          <w:rFonts w:ascii="Trebuchet MS"/>
          <w:color w:val="008356"/>
          <w:w w:val="105"/>
        </w:rPr>
        <w:t>Potassium Bicarbonate </w:t>
      </w:r>
      <w:r>
        <w:rPr>
          <w:i/>
          <w:color w:val="231F1F"/>
          <w:w w:val="105"/>
        </w:rPr>
        <w:t>see </w:t>
      </w:r>
      <w:r>
        <w:rPr>
          <w:color w:val="231F1F"/>
          <w:w w:val="105"/>
        </w:rPr>
        <w:t>Potassium </w:t>
      </w:r>
      <w:r>
        <w:rPr>
          <w:color w:val="231F1F"/>
          <w:spacing w:val="-3"/>
          <w:w w:val="105"/>
        </w:rPr>
        <w:t>Salts </w:t>
      </w:r>
      <w:r>
        <w:rPr>
          <w:rFonts w:ascii="Trebuchet MS"/>
          <w:color w:val="008356"/>
          <w:w w:val="105"/>
        </w:rPr>
        <w:t>Potassium Chloride </w:t>
      </w:r>
      <w:r>
        <w:rPr>
          <w:i/>
          <w:color w:val="231F1F"/>
          <w:w w:val="105"/>
        </w:rPr>
        <w:t>see </w:t>
      </w:r>
      <w:r>
        <w:rPr>
          <w:color w:val="231F1F"/>
          <w:w w:val="105"/>
        </w:rPr>
        <w:t>Potassium Salts </w:t>
      </w:r>
      <w:r>
        <w:rPr>
          <w:rFonts w:ascii="Trebuchet MS"/>
          <w:color w:val="008356"/>
          <w:w w:val="105"/>
        </w:rPr>
        <w:t>Potassium Citrate </w:t>
      </w:r>
      <w:r>
        <w:rPr>
          <w:i/>
          <w:color w:val="231F1F"/>
          <w:w w:val="105"/>
        </w:rPr>
        <w:t>see </w:t>
      </w:r>
      <w:r>
        <w:rPr>
          <w:color w:val="231F1F"/>
          <w:w w:val="105"/>
        </w:rPr>
        <w:t>Potassium Salts </w:t>
      </w:r>
      <w:r>
        <w:rPr>
          <w:rFonts w:ascii="Trebuchet MS"/>
          <w:color w:val="008356"/>
          <w:w w:val="105"/>
        </w:rPr>
        <w:t>Potassium</w:t>
      </w:r>
      <w:r>
        <w:rPr>
          <w:rFonts w:ascii="Trebuchet MS"/>
          <w:color w:val="008356"/>
          <w:spacing w:val="-7"/>
          <w:w w:val="105"/>
        </w:rPr>
        <w:t> </w:t>
      </w:r>
      <w:r>
        <w:rPr>
          <w:rFonts w:ascii="Trebuchet MS"/>
          <w:color w:val="008356"/>
          <w:w w:val="105"/>
        </w:rPr>
        <w:t>Salts</w:t>
      </w:r>
    </w:p>
    <w:p>
      <w:pPr>
        <w:pStyle w:val="BodyText"/>
        <w:spacing w:line="136" w:lineRule="exact"/>
        <w:ind w:left="283"/>
      </w:pPr>
      <w:r>
        <w:rPr>
          <w:rFonts w:ascii="Calibri"/>
          <w:color w:val="008356"/>
          <w:w w:val="110"/>
          <w:sz w:val="11"/>
        </w:rPr>
        <w:t>NOTE </w:t>
      </w:r>
      <w:r>
        <w:rPr>
          <w:color w:val="231F1F"/>
          <w:w w:val="110"/>
        </w:rPr>
        <w:t>Includes salt substitutes</w:t>
      </w:r>
    </w:p>
    <w:p>
      <w:pPr>
        <w:pStyle w:val="BodyText"/>
        <w:ind w:left="283" w:right="747"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ACE</w:t>
      </w:r>
      <w:r>
        <w:rPr>
          <w:rFonts w:ascii="Calibri"/>
          <w:color w:val="231F1F"/>
          <w:spacing w:val="-15"/>
          <w:w w:val="115"/>
        </w:rPr>
        <w:t> </w:t>
      </w:r>
      <w:r>
        <w:rPr>
          <w:rFonts w:ascii="Calibri"/>
          <w:color w:val="231F1F"/>
          <w:w w:val="115"/>
        </w:rPr>
        <w:t>Inhibitors:</w:t>
      </w:r>
      <w:r>
        <w:rPr>
          <w:rFonts w:ascii="Calibri"/>
          <w:color w:val="231F1F"/>
          <w:spacing w:val="-14"/>
          <w:w w:val="115"/>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7"/>
          <w:w w:val="115"/>
        </w:rPr>
        <w:t> </w:t>
      </w:r>
      <w:r>
        <w:rPr>
          <w:color w:val="231F1F"/>
          <w:w w:val="115"/>
        </w:rPr>
        <w:t>severe</w:t>
      </w:r>
      <w:r>
        <w:rPr>
          <w:color w:val="231F1F"/>
          <w:spacing w:val="-17"/>
          <w:w w:val="115"/>
        </w:rPr>
        <w:t> </w:t>
      </w:r>
      <w:r>
        <w:rPr>
          <w:color w:val="231F1F"/>
          <w:w w:val="115"/>
        </w:rPr>
        <w:t>hyperkalaemia</w:t>
      </w:r>
      <w:r>
        <w:rPr>
          <w:color w:val="231F1F"/>
          <w:spacing w:val="-18"/>
          <w:w w:val="115"/>
        </w:rPr>
        <w:t> </w:t>
      </w:r>
      <w:r>
        <w:rPr>
          <w:color w:val="231F1F"/>
          <w:spacing w:val="-4"/>
          <w:w w:val="115"/>
        </w:rPr>
        <w:t>when </w:t>
      </w:r>
      <w:r>
        <w:rPr>
          <w:color w:val="231F1F"/>
          <w:w w:val="115"/>
        </w:rPr>
        <w:t>potassium</w:t>
      </w:r>
      <w:r>
        <w:rPr>
          <w:color w:val="231F1F"/>
          <w:spacing w:val="-7"/>
          <w:w w:val="115"/>
        </w:rPr>
        <w:t> </w:t>
      </w:r>
      <w:r>
        <w:rPr>
          <w:color w:val="231F1F"/>
          <w:w w:val="115"/>
        </w:rPr>
        <w:t>salts</w:t>
      </w:r>
      <w:r>
        <w:rPr>
          <w:color w:val="231F1F"/>
          <w:spacing w:val="-7"/>
          <w:w w:val="115"/>
        </w:rPr>
        <w:t> </w:t>
      </w:r>
      <w:r>
        <w:rPr>
          <w:color w:val="231F1F"/>
          <w:w w:val="115"/>
        </w:rPr>
        <w:t>given</w:t>
      </w:r>
      <w:r>
        <w:rPr>
          <w:color w:val="231F1F"/>
          <w:spacing w:val="-7"/>
          <w:w w:val="115"/>
        </w:rPr>
        <w:t> </w:t>
      </w:r>
      <w:r>
        <w:rPr>
          <w:color w:val="231F1F"/>
          <w:w w:val="115"/>
        </w:rPr>
        <w:t>with</w:t>
      </w:r>
      <w:r>
        <w:rPr>
          <w:color w:val="231F1F"/>
          <w:spacing w:val="-6"/>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15"/>
          <w:sz w:val="11"/>
        </w:rPr>
        <w:t>ACE</w:t>
      </w:r>
      <w:r>
        <w:rPr>
          <w:rFonts w:ascii="Calibri"/>
          <w:color w:val="008356"/>
          <w:spacing w:val="1"/>
          <w:w w:val="115"/>
          <w:sz w:val="11"/>
        </w:rPr>
        <w:t> </w:t>
      </w:r>
      <w:r>
        <w:rPr>
          <w:rFonts w:ascii="Calibri"/>
          <w:color w:val="008356"/>
          <w:spacing w:val="4"/>
          <w:w w:val="115"/>
          <w:sz w:val="11"/>
        </w:rPr>
        <w:t>INHIBITORS</w:t>
      </w:r>
    </w:p>
    <w:p>
      <w:pPr>
        <w:pStyle w:val="BodyText"/>
        <w:spacing w:line="220" w:lineRule="auto" w:before="4"/>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10"/>
        </w:rPr>
        <w:t>Aliskiren: </w:t>
      </w:r>
      <w:r>
        <w:rPr>
          <w:color w:val="231F1F"/>
          <w:w w:val="110"/>
        </w:rPr>
        <w:t>increased risk of hyperkalaemia when potassium salts given with </w:t>
      </w:r>
      <w:r>
        <w:rPr>
          <w:rFonts w:ascii="Calibri" w:hAnsi="Calibri"/>
          <w:color w:val="008356"/>
          <w:w w:val="110"/>
          <w:sz w:val="11"/>
        </w:rPr>
        <w:t>ALISKIREN</w:t>
      </w:r>
    </w:p>
    <w:p>
      <w:pPr>
        <w:pStyle w:val="BodyText"/>
        <w:ind w:left="283" w:right="1127" w:hanging="100"/>
      </w:pPr>
      <w:r>
        <w:rPr>
          <w:rFonts w:ascii="Arial"/>
          <w:color w:val="231F1F"/>
          <w:w w:val="110"/>
          <w:position w:val="1"/>
          <w:sz w:val="7"/>
        </w:rPr>
        <w:t>l </w:t>
      </w:r>
      <w:r>
        <w:rPr>
          <w:rFonts w:ascii="Calibri"/>
          <w:color w:val="231F1F"/>
          <w:w w:val="110"/>
        </w:rPr>
        <w:t>Angiotensin-II Receptor Antagonists: </w:t>
      </w:r>
      <w:r>
        <w:rPr>
          <w:color w:val="231F1F"/>
          <w:w w:val="110"/>
        </w:rPr>
        <w:t>increased risk of </w:t>
      </w:r>
      <w:r>
        <w:rPr>
          <w:color w:val="231F1F"/>
          <w:w w:val="115"/>
        </w:rPr>
        <w:t>hyperkalaemia when potassium salts given with</w:t>
      </w:r>
    </w:p>
    <w:p>
      <w:pPr>
        <w:spacing w:line="133" w:lineRule="exact" w:before="12"/>
        <w:ind w:left="283" w:right="0" w:firstLine="0"/>
        <w:jc w:val="left"/>
        <w:rPr>
          <w:rFonts w:ascii="Calibri"/>
          <w:sz w:val="11"/>
        </w:rPr>
      </w:pPr>
      <w:r>
        <w:rPr>
          <w:rFonts w:ascii="Arial"/>
          <w:color w:val="231F1F"/>
          <w:w w:val="355"/>
          <w:position w:val="1"/>
          <w:sz w:val="7"/>
        </w:rPr>
        <w:t>l </w:t>
      </w:r>
      <w:r>
        <w:rPr>
          <w:rFonts w:ascii="Calibri"/>
          <w:color w:val="008356"/>
          <w:w w:val="110"/>
          <w:sz w:val="11"/>
        </w:rPr>
        <w:t>ANGIOTENSIN-II RECEPTOR ANTAGONISTS</w:t>
      </w:r>
    </w:p>
    <w:p>
      <w:pPr>
        <w:pStyle w:val="BodyText"/>
        <w:spacing w:line="220" w:lineRule="auto" w:before="7"/>
        <w:ind w:left="283"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avoid concomitant use of potassium citrate with </w:t>
      </w:r>
      <w:r>
        <w:rPr>
          <w:rFonts w:ascii="Calibri" w:hAnsi="Calibri"/>
          <w:color w:val="008356"/>
          <w:w w:val="105"/>
          <w:sz w:val="11"/>
        </w:rPr>
        <w:t>METHENAMINE</w:t>
      </w:r>
    </w:p>
    <w:p>
      <w:pPr>
        <w:pStyle w:val="BodyText"/>
        <w:ind w:left="283" w:right="676"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hyperkalaemia when potassium salts given with </w:t>
      </w:r>
      <w:r>
        <w:rPr>
          <w:rFonts w:ascii="Arial"/>
          <w:color w:val="231F1F"/>
          <w:w w:val="355"/>
          <w:position w:val="1"/>
          <w:sz w:val="7"/>
        </w:rPr>
        <w:t>l </w:t>
      </w:r>
      <w:r>
        <w:rPr>
          <w:rFonts w:ascii="Calibri"/>
          <w:color w:val="008356"/>
          <w:spacing w:val="4"/>
          <w:w w:val="110"/>
          <w:sz w:val="11"/>
        </w:rPr>
        <w:t>CICLOSPORIN</w:t>
      </w:r>
    </w:p>
    <w:p>
      <w:pPr>
        <w:spacing w:line="247" w:lineRule="auto" w:before="0"/>
        <w:ind w:left="283" w:right="794"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increased risk of hyperkalaemia when potassium salts given with </w:t>
      </w:r>
      <w:r>
        <w:rPr>
          <w:rFonts w:ascii="Arial"/>
          <w:color w:val="231F1F"/>
          <w:w w:val="355"/>
          <w:position w:val="1"/>
          <w:sz w:val="7"/>
        </w:rPr>
        <w:t>l </w:t>
      </w:r>
      <w:r>
        <w:rPr>
          <w:rFonts w:ascii="Calibri"/>
          <w:color w:val="008356"/>
          <w:w w:val="110"/>
          <w:sz w:val="11"/>
        </w:rPr>
        <w:t>POTASSIUM-SPARING DIURETICS AND ALDOSTERONE ANTAGONISTS</w:t>
      </w:r>
    </w:p>
    <w:p>
      <w:pPr>
        <w:pStyle w:val="BodyText"/>
        <w:spacing w:line="140" w:lineRule="exact"/>
        <w:ind w:left="183"/>
      </w:pPr>
      <w:r>
        <w:rPr>
          <w:rFonts w:ascii="Arial"/>
          <w:color w:val="231F1F"/>
          <w:w w:val="355"/>
          <w:position w:val="1"/>
          <w:sz w:val="7"/>
        </w:rPr>
        <w:t>l </w:t>
      </w:r>
      <w:r>
        <w:rPr>
          <w:rFonts w:ascii="Calibri"/>
          <w:color w:val="231F1F"/>
          <w:w w:val="115"/>
        </w:rPr>
        <w:t>Tacrolimus: </w:t>
      </w:r>
      <w:r>
        <w:rPr>
          <w:color w:val="231F1F"/>
          <w:w w:val="115"/>
        </w:rPr>
        <w:t>increased risk of hyperkalaemia when potassium</w:t>
      </w:r>
    </w:p>
    <w:p>
      <w:pPr>
        <w:spacing w:line="140" w:lineRule="exact" w:before="0"/>
        <w:ind w:left="283" w:right="0" w:firstLine="0"/>
        <w:jc w:val="left"/>
        <w:rPr>
          <w:rFonts w:ascii="Calibri"/>
          <w:sz w:val="11"/>
        </w:rPr>
      </w:pPr>
      <w:r>
        <w:rPr>
          <w:color w:val="231F1F"/>
          <w:w w:val="110"/>
          <w:sz w:val="12"/>
        </w:rPr>
        <w:t>salts given with </w:t>
      </w:r>
      <w:r>
        <w:rPr>
          <w:rFonts w:ascii="Arial"/>
          <w:color w:val="231F1F"/>
          <w:w w:val="355"/>
          <w:position w:val="1"/>
          <w:sz w:val="7"/>
        </w:rPr>
        <w:t>l </w:t>
      </w:r>
      <w:r>
        <w:rPr>
          <w:rFonts w:ascii="Calibri"/>
          <w:color w:val="008356"/>
          <w:spacing w:val="3"/>
          <w:w w:val="110"/>
          <w:sz w:val="11"/>
        </w:rPr>
        <w:t>TACROLIMUS</w:t>
      </w:r>
    </w:p>
    <w:p>
      <w:pPr>
        <w:pStyle w:val="BodyText"/>
        <w:spacing w:line="220" w:lineRule="auto" w:before="4"/>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avoidance of potassium citrate advised by manufacturer of </w:t>
      </w:r>
      <w:r>
        <w:rPr>
          <w:rFonts w:ascii="Calibri" w:hAnsi="Calibri"/>
          <w:color w:val="008356"/>
          <w:w w:val="105"/>
          <w:sz w:val="11"/>
        </w:rPr>
        <w:t>SUCRALFATE</w:t>
      </w:r>
    </w:p>
    <w:p>
      <w:pPr>
        <w:pStyle w:val="BodyText"/>
        <w:spacing w:before="9"/>
        <w:ind w:left="183"/>
        <w:rPr>
          <w:rFonts w:ascii="Trebuchet MS"/>
        </w:rPr>
      </w:pPr>
      <w:r>
        <w:rPr>
          <w:rFonts w:ascii="Trebuchet MS"/>
          <w:color w:val="008356"/>
        </w:rPr>
        <w:t>Pramipexole</w:t>
      </w:r>
    </w:p>
    <w:p>
      <w:pPr>
        <w:pStyle w:val="BodyText"/>
        <w:spacing w:line="220" w:lineRule="auto" w:before="9"/>
        <w:ind w:left="283" w:right="792"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manufacturer of pramipexole advises avoid concomitant use of </w:t>
      </w:r>
      <w:r>
        <w:rPr>
          <w:rFonts w:ascii="Calibri" w:hAnsi="Calibri"/>
          <w:color w:val="008356"/>
          <w:spacing w:val="4"/>
          <w:w w:val="110"/>
          <w:sz w:val="11"/>
        </w:rPr>
        <w:t>ANTIPSYCHOTICS </w:t>
      </w:r>
      <w:r>
        <w:rPr>
          <w:color w:val="231F1F"/>
          <w:w w:val="110"/>
        </w:rPr>
        <w:t>(antagonism of</w:t>
      </w:r>
      <w:r>
        <w:rPr>
          <w:color w:val="231F1F"/>
          <w:spacing w:val="-7"/>
          <w:w w:val="110"/>
        </w:rPr>
        <w:t> </w:t>
      </w:r>
      <w:r>
        <w:rPr>
          <w:color w:val="231F1F"/>
          <w:w w:val="110"/>
        </w:rPr>
        <w:t>effect)</w:t>
      </w:r>
    </w:p>
    <w:p>
      <w:pPr>
        <w:pStyle w:val="BodyText"/>
        <w:spacing w:line="155" w:lineRule="exact"/>
        <w:ind w:left="183"/>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w:t>
      </w:r>
      <w:r>
        <w:rPr>
          <w:color w:val="231F1F"/>
          <w:spacing w:val="27"/>
          <w:w w:val="105"/>
        </w:rPr>
        <w:t> </w:t>
      </w:r>
      <w:r>
        <w:rPr>
          <w:color w:val="231F1F"/>
          <w:w w:val="105"/>
        </w:rPr>
        <w:t>by</w:t>
      </w:r>
    </w:p>
    <w:p>
      <w:pPr>
        <w:spacing w:line="130" w:lineRule="exact" w:before="0"/>
        <w:ind w:left="283" w:right="0" w:firstLine="0"/>
        <w:jc w:val="left"/>
        <w:rPr>
          <w:rFonts w:ascii="Calibri"/>
          <w:sz w:val="11"/>
        </w:rPr>
      </w:pPr>
      <w:r>
        <w:rPr>
          <w:rFonts w:ascii="Calibri"/>
          <w:color w:val="008356"/>
          <w:sz w:val="11"/>
        </w:rPr>
        <w:t>MEMANTINE</w:t>
      </w:r>
    </w:p>
    <w:p>
      <w:pPr>
        <w:pStyle w:val="BodyText"/>
        <w:spacing w:line="220" w:lineRule="auto" w:before="8"/>
        <w:ind w:left="283" w:right="673"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152" w:lineRule="exact" w:before="1"/>
        <w:ind w:left="183"/>
      </w:pPr>
      <w:r>
        <w:rPr>
          <w:rFonts w:ascii="Lucida Sans Unicode" w:hAnsi="Lucida Sans Unicode"/>
          <w:color w:val="A7A8AC"/>
          <w:w w:val="95"/>
          <w:sz w:val="10"/>
        </w:rPr>
        <w:t>▶ </w:t>
      </w:r>
      <w:r>
        <w:rPr>
          <w:rFonts w:ascii="Calibri" w:hAnsi="Calibri"/>
          <w:color w:val="231F1F"/>
        </w:rPr>
        <w:t>Ulcer-healing Drugs: </w:t>
      </w:r>
      <w:r>
        <w:rPr>
          <w:color w:val="231F1F"/>
        </w:rPr>
        <w:t>excretion of pramipexole reduced by</w:t>
      </w:r>
    </w:p>
    <w:p>
      <w:pPr>
        <w:spacing w:line="135" w:lineRule="exact" w:before="0"/>
        <w:ind w:left="283" w:right="0" w:firstLine="0"/>
        <w:jc w:val="left"/>
        <w:rPr>
          <w:sz w:val="12"/>
        </w:rPr>
      </w:pPr>
      <w:r>
        <w:rPr>
          <w:rFonts w:ascii="Calibri"/>
          <w:color w:val="008356"/>
          <w:w w:val="110"/>
          <w:sz w:val="11"/>
        </w:rPr>
        <w:t>CIMETIDINE </w:t>
      </w:r>
      <w:r>
        <w:rPr>
          <w:color w:val="231F1F"/>
          <w:w w:val="110"/>
          <w:sz w:val="12"/>
        </w:rPr>
        <w:t>(increased plasma concentration)</w:t>
      </w:r>
    </w:p>
    <w:p>
      <w:pPr>
        <w:pStyle w:val="BodyText"/>
        <w:spacing w:before="7"/>
        <w:ind w:left="183"/>
        <w:rPr>
          <w:rFonts w:ascii="Trebuchet MS"/>
        </w:rPr>
      </w:pPr>
      <w:r>
        <w:rPr>
          <w:rFonts w:ascii="Trebuchet MS"/>
          <w:color w:val="008356"/>
          <w:w w:val="105"/>
        </w:rPr>
        <w:t>Prasugrel</w:t>
      </w:r>
    </w:p>
    <w:p>
      <w:pPr>
        <w:pStyle w:val="BodyText"/>
        <w:spacing w:line="220" w:lineRule="auto" w:before="10"/>
        <w:ind w:left="283" w:right="619" w:hanging="100"/>
        <w:rPr>
          <w:rFonts w:ascii="Calibri" w:hAnsi="Calibri"/>
          <w:sz w:val="9"/>
        </w:rPr>
      </w:pPr>
      <w:r>
        <w:rPr>
          <w:rFonts w:ascii="Lucida Sans Unicode" w:hAnsi="Lucida Sans Unicode"/>
          <w:color w:val="A7A8AC"/>
          <w:w w:val="95"/>
          <w:sz w:val="10"/>
        </w:rPr>
        <w:t>▶ </w:t>
      </w:r>
      <w:r>
        <w:rPr>
          <w:rFonts w:ascii="Calibri" w:hAnsi="Calibri"/>
          <w:color w:val="231F1F"/>
          <w:w w:val="110"/>
        </w:rPr>
        <w:t>Analgesics: </w:t>
      </w:r>
      <w:r>
        <w:rPr>
          <w:color w:val="231F1F"/>
          <w:w w:val="110"/>
        </w:rPr>
        <w:t>possible increased risk of bleeding when prasugrel given with </w:t>
      </w:r>
      <w:r>
        <w:rPr>
          <w:rFonts w:ascii="Calibri" w:hAnsi="Calibri"/>
          <w:color w:val="008356"/>
          <w:w w:val="110"/>
          <w:sz w:val="11"/>
        </w:rPr>
        <w:t>NSAID</w:t>
      </w:r>
      <w:r>
        <w:rPr>
          <w:rFonts w:ascii="Calibri" w:hAnsi="Calibri"/>
          <w:color w:val="008356"/>
          <w:w w:val="110"/>
          <w:sz w:val="9"/>
        </w:rPr>
        <w:t>S</w:t>
      </w:r>
    </w:p>
    <w:p>
      <w:pPr>
        <w:spacing w:line="220" w:lineRule="auto" w:before="8"/>
        <w:ind w:left="283" w:right="67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Anticoagulants: </w:t>
      </w:r>
      <w:r>
        <w:rPr>
          <w:color w:val="231F1F"/>
          <w:w w:val="105"/>
          <w:sz w:val="12"/>
        </w:rPr>
        <w:t>possible increased risk of bleeding when prasugrel given with </w:t>
      </w:r>
      <w:r>
        <w:rPr>
          <w:rFonts w:ascii="Calibri" w:hAnsi="Calibri"/>
          <w:color w:val="008356"/>
          <w:w w:val="105"/>
          <w:sz w:val="11"/>
        </w:rPr>
        <w:t>COUMARINS </w:t>
      </w:r>
      <w:r>
        <w:rPr>
          <w:color w:val="231F1F"/>
          <w:w w:val="105"/>
          <w:sz w:val="12"/>
        </w:rPr>
        <w:t>or </w:t>
      </w:r>
      <w:r>
        <w:rPr>
          <w:rFonts w:ascii="Calibri" w:hAnsi="Calibri"/>
          <w:color w:val="008356"/>
          <w:w w:val="105"/>
          <w:sz w:val="11"/>
        </w:rPr>
        <w:t>PHENINDIONE</w:t>
      </w:r>
    </w:p>
    <w:p>
      <w:pPr>
        <w:pStyle w:val="BodyText"/>
        <w:spacing w:line="220" w:lineRule="auto" w:before="8"/>
        <w:ind w:left="283"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Clopidogrel: </w:t>
      </w:r>
      <w:r>
        <w:rPr>
          <w:color w:val="231F1F"/>
          <w:w w:val="105"/>
        </w:rPr>
        <w:t>possible increased risk of bleeding when prasugrel given with </w:t>
      </w:r>
      <w:r>
        <w:rPr>
          <w:rFonts w:ascii="Calibri" w:hAnsi="Calibri"/>
          <w:color w:val="008356"/>
          <w:w w:val="105"/>
          <w:sz w:val="11"/>
        </w:rPr>
        <w:t>CLOPIDOGREL</w:t>
      </w:r>
    </w:p>
    <w:p>
      <w:pPr>
        <w:pStyle w:val="BodyText"/>
        <w:spacing w:before="10"/>
        <w:ind w:left="183"/>
      </w:pPr>
      <w:r>
        <w:rPr>
          <w:rFonts w:ascii="Trebuchet MS"/>
          <w:color w:val="008356"/>
          <w:w w:val="105"/>
        </w:rPr>
        <w:t>Pravastatin </w:t>
      </w:r>
      <w:r>
        <w:rPr>
          <w:i/>
          <w:color w:val="231F1F"/>
          <w:w w:val="105"/>
        </w:rPr>
        <w:t>see </w:t>
      </w:r>
      <w:r>
        <w:rPr>
          <w:color w:val="231F1F"/>
          <w:w w:val="105"/>
        </w:rPr>
        <w:t>Statins</w:t>
      </w:r>
    </w:p>
    <w:p>
      <w:pPr>
        <w:pStyle w:val="BodyText"/>
        <w:spacing w:before="9"/>
        <w:ind w:left="183"/>
        <w:rPr>
          <w:rFonts w:ascii="Trebuchet MS"/>
        </w:rPr>
      </w:pPr>
      <w:r>
        <w:rPr>
          <w:rFonts w:ascii="Trebuchet MS"/>
          <w:color w:val="008356"/>
        </w:rPr>
        <w:t>Praziquantel</w:t>
      </w:r>
    </w:p>
    <w:p>
      <w:pPr>
        <w:pStyle w:val="BodyText"/>
        <w:spacing w:before="1"/>
        <w:ind w:left="283" w:right="675"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Antibacterials:</w:t>
      </w:r>
      <w:r>
        <w:rPr>
          <w:rFonts w:ascii="Calibri" w:hAnsi="Calibri"/>
          <w:color w:val="231F1F"/>
          <w:spacing w:val="-14"/>
          <w:w w:val="115"/>
        </w:rPr>
        <w:t> </w:t>
      </w:r>
      <w:r>
        <w:rPr>
          <w:color w:val="231F1F"/>
          <w:w w:val="115"/>
        </w:rPr>
        <w:t>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w w:val="115"/>
        </w:rPr>
        <w:t>praziquantel</w:t>
      </w:r>
      <w:r>
        <w:rPr>
          <w:color w:val="231F1F"/>
          <w:spacing w:val="-17"/>
          <w:w w:val="115"/>
        </w:rPr>
        <w:t> </w:t>
      </w:r>
      <w:r>
        <w:rPr>
          <w:color w:val="231F1F"/>
          <w:w w:val="115"/>
        </w:rPr>
        <w:t>reduced by</w:t>
      </w:r>
      <w:r>
        <w:rPr>
          <w:color w:val="231F1F"/>
          <w:spacing w:val="-6"/>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RIFAMPICIN</w:t>
      </w:r>
      <w:r>
        <w:rPr>
          <w:rFonts w:ascii="Arial" w:hAnsi="Arial"/>
          <w:color w:val="231F1F"/>
          <w:spacing w:val="2"/>
          <w:w w:val="115"/>
        </w:rPr>
        <w:t>—</w:t>
      </w:r>
      <w:r>
        <w:rPr>
          <w:color w:val="231F1F"/>
          <w:spacing w:val="2"/>
          <w:w w:val="115"/>
        </w:rPr>
        <w:t>avoid</w:t>
      </w:r>
      <w:r>
        <w:rPr>
          <w:color w:val="231F1F"/>
          <w:spacing w:val="-7"/>
          <w:w w:val="115"/>
        </w:rPr>
        <w:t> </w:t>
      </w:r>
      <w:r>
        <w:rPr>
          <w:color w:val="231F1F"/>
          <w:w w:val="115"/>
        </w:rPr>
        <w:t>concomitant</w:t>
      </w:r>
      <w:r>
        <w:rPr>
          <w:color w:val="231F1F"/>
          <w:spacing w:val="-7"/>
          <w:w w:val="115"/>
        </w:rPr>
        <w:t> </w:t>
      </w:r>
      <w:r>
        <w:rPr>
          <w:color w:val="231F1F"/>
          <w:w w:val="115"/>
        </w:rPr>
        <w:t>use</w:t>
      </w:r>
    </w:p>
    <w:p>
      <w:pPr>
        <w:spacing w:line="240" w:lineRule="auto" w:before="0"/>
        <w:ind w:left="283" w:right="673"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praziquantel reduced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PHENOBARBITAL</w:t>
      </w:r>
      <w:r>
        <w:rPr>
          <w:color w:val="231F1F"/>
          <w:spacing w:val="4"/>
          <w:w w:val="110"/>
          <w:sz w:val="12"/>
        </w:rPr>
        <w:t>,</w:t>
      </w:r>
    </w:p>
    <w:p>
      <w:pPr>
        <w:spacing w:line="244" w:lineRule="auto" w:before="0"/>
        <w:ind w:left="283" w:right="992"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PRIMIDONE</w:t>
      </w:r>
      <w:r>
        <w:rPr>
          <w:rFonts w:ascii="Arial" w:hAnsi="Arial"/>
          <w:color w:val="231F1F"/>
          <w:spacing w:val="2"/>
          <w:w w:val="115"/>
          <w:sz w:val="12"/>
        </w:rPr>
        <w:t>—</w:t>
      </w:r>
      <w:r>
        <w:rPr>
          <w:color w:val="231F1F"/>
          <w:spacing w:val="2"/>
          <w:w w:val="115"/>
          <w:sz w:val="12"/>
        </w:rPr>
        <w:t>consider </w:t>
      </w:r>
      <w:r>
        <w:rPr>
          <w:color w:val="231F1F"/>
          <w:w w:val="115"/>
          <w:sz w:val="12"/>
        </w:rPr>
        <w:t>increasing praziquantel dose when given for systemic infections</w:t>
      </w:r>
    </w:p>
    <w:p>
      <w:pPr>
        <w:pStyle w:val="BodyText"/>
        <w:spacing w:line="220" w:lineRule="auto" w:before="4"/>
        <w:ind w:left="283" w:right="75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praziquantel increased by</w:t>
      </w:r>
      <w:r>
        <w:rPr>
          <w:color w:val="231F1F"/>
          <w:spacing w:val="-1"/>
          <w:w w:val="105"/>
        </w:rPr>
        <w:t> </w:t>
      </w:r>
      <w:r>
        <w:rPr>
          <w:rFonts w:ascii="Calibri" w:hAnsi="Calibri"/>
          <w:color w:val="008356"/>
          <w:spacing w:val="4"/>
          <w:w w:val="105"/>
          <w:sz w:val="11"/>
        </w:rPr>
        <w:t>KETOCONAZOLE</w:t>
      </w:r>
    </w:p>
    <w:p>
      <w:pPr>
        <w:spacing w:after="0" w:line="220" w:lineRule="auto"/>
        <w:rPr>
          <w:rFonts w:ascii="Calibri" w:hAnsi="Calibri"/>
          <w:sz w:val="11"/>
        </w:rPr>
        <w:sectPr>
          <w:pgSz w:w="8390" w:h="11910"/>
          <w:pgMar w:header="0" w:footer="0" w:top="460" w:bottom="280" w:left="480" w:right="0"/>
          <w:cols w:num="2" w:equalWidth="0">
            <w:col w:w="3639" w:space="40"/>
            <w:col w:w="4231"/>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Praziquantel </w:t>
      </w:r>
      <w:r>
        <w:rPr>
          <w:rFonts w:ascii="Calibri"/>
          <w:color w:val="231F1F"/>
        </w:rPr>
        <w:t>(continued)</w:t>
      </w:r>
    </w:p>
    <w:p>
      <w:pPr>
        <w:pStyle w:val="BodyText"/>
        <w:ind w:right="131"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Antimalarials:</w:t>
      </w:r>
      <w:r>
        <w:rPr>
          <w:rFonts w:ascii="Calibri" w:hAnsi="Calibri"/>
          <w:color w:val="231F1F"/>
          <w:spacing w:val="-8"/>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3"/>
          <w:w w:val="115"/>
        </w:rPr>
        <w:t> </w:t>
      </w:r>
      <w:r>
        <w:rPr>
          <w:color w:val="231F1F"/>
          <w:w w:val="115"/>
        </w:rPr>
        <w:t>praziquantel</w:t>
      </w:r>
      <w:r>
        <w:rPr>
          <w:color w:val="231F1F"/>
          <w:spacing w:val="-13"/>
          <w:w w:val="115"/>
        </w:rPr>
        <w:t> </w:t>
      </w:r>
      <w:r>
        <w:rPr>
          <w:color w:val="231F1F"/>
          <w:spacing w:val="-3"/>
          <w:w w:val="115"/>
        </w:rPr>
        <w:t>reduced </w:t>
      </w:r>
      <w:r>
        <w:rPr>
          <w:color w:val="231F1F"/>
          <w:w w:val="115"/>
        </w:rPr>
        <w:t>by</w:t>
      </w:r>
      <w:r>
        <w:rPr>
          <w:color w:val="231F1F"/>
          <w:spacing w:val="-22"/>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CHLOROQUINE</w:t>
      </w:r>
      <w:r>
        <w:rPr>
          <w:rFonts w:ascii="Arial" w:hAnsi="Arial"/>
          <w:color w:val="231F1F"/>
          <w:spacing w:val="2"/>
          <w:w w:val="115"/>
        </w:rPr>
        <w:t>—</w:t>
      </w:r>
      <w:r>
        <w:rPr>
          <w:color w:val="231F1F"/>
          <w:spacing w:val="2"/>
          <w:w w:val="115"/>
        </w:rPr>
        <w:t>consider</w:t>
      </w:r>
      <w:r>
        <w:rPr>
          <w:color w:val="231F1F"/>
          <w:spacing w:val="-22"/>
          <w:w w:val="115"/>
        </w:rPr>
        <w:t> </w:t>
      </w:r>
      <w:r>
        <w:rPr>
          <w:color w:val="231F1F"/>
          <w:w w:val="115"/>
        </w:rPr>
        <w:t>increasing</w:t>
      </w:r>
      <w:r>
        <w:rPr>
          <w:color w:val="231F1F"/>
          <w:spacing w:val="-21"/>
          <w:w w:val="115"/>
        </w:rPr>
        <w:t> </w:t>
      </w:r>
      <w:r>
        <w:rPr>
          <w:color w:val="231F1F"/>
          <w:w w:val="115"/>
        </w:rPr>
        <w:t>praziquantel</w:t>
      </w:r>
      <w:r>
        <w:rPr>
          <w:color w:val="231F1F"/>
          <w:spacing w:val="-22"/>
          <w:w w:val="115"/>
        </w:rPr>
        <w:t> </w:t>
      </w:r>
      <w:r>
        <w:rPr>
          <w:color w:val="231F1F"/>
          <w:w w:val="115"/>
        </w:rPr>
        <w:t>dose when given for systemic</w:t>
      </w:r>
      <w:r>
        <w:rPr>
          <w:color w:val="231F1F"/>
          <w:spacing w:val="-18"/>
          <w:w w:val="115"/>
        </w:rPr>
        <w:t> </w:t>
      </w:r>
      <w:r>
        <w:rPr>
          <w:color w:val="231F1F"/>
          <w:w w:val="115"/>
        </w:rPr>
        <w:t>infections</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praziquantel possibly reduced by continuous use of </w:t>
      </w:r>
      <w:r>
        <w:rPr>
          <w:rFonts w:ascii="Calibri" w:hAnsi="Calibri"/>
          <w:color w:val="008356"/>
          <w:w w:val="105"/>
          <w:sz w:val="11"/>
        </w:rPr>
        <w:t>DEXAMETHASONE</w:t>
      </w:r>
    </w:p>
    <w:p>
      <w:pPr>
        <w:spacing w:line="220" w:lineRule="auto" w:before="9"/>
        <w:ind w:left="208" w:right="56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Grapefruit Juice: </w:t>
      </w:r>
      <w:r>
        <w:rPr>
          <w:color w:val="231F1F"/>
          <w:w w:val="105"/>
          <w:sz w:val="12"/>
        </w:rPr>
        <w:t>plasma concentration of praziquantel increased by </w:t>
      </w:r>
      <w:r>
        <w:rPr>
          <w:rFonts w:ascii="Calibri" w:hAnsi="Calibri"/>
          <w:color w:val="008356"/>
          <w:w w:val="105"/>
          <w:sz w:val="11"/>
        </w:rPr>
        <w:t>GRAPEFRUIT JUICE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praziquantel increased by </w:t>
      </w:r>
      <w:r>
        <w:rPr>
          <w:rFonts w:ascii="Calibri" w:hAnsi="Calibri"/>
          <w:color w:val="008356"/>
          <w:w w:val="105"/>
          <w:sz w:val="11"/>
        </w:rPr>
        <w:t>CIMETIDINE</w:t>
      </w:r>
    </w:p>
    <w:p>
      <w:pPr>
        <w:pStyle w:val="BodyText"/>
        <w:spacing w:line="256" w:lineRule="auto" w:before="10"/>
        <w:ind w:left="108" w:right="1186"/>
        <w:rPr>
          <w:rFonts w:ascii="Trebuchet MS"/>
        </w:rPr>
      </w:pPr>
      <w:r>
        <w:rPr>
          <w:rFonts w:ascii="Trebuchet MS"/>
          <w:color w:val="008356"/>
          <w:w w:val="110"/>
        </w:rPr>
        <w:t>Prazosin </w:t>
      </w:r>
      <w:r>
        <w:rPr>
          <w:i/>
          <w:color w:val="231F1F"/>
          <w:w w:val="110"/>
        </w:rPr>
        <w:t>see </w:t>
      </w:r>
      <w:r>
        <w:rPr>
          <w:color w:val="231F1F"/>
          <w:w w:val="110"/>
        </w:rPr>
        <w:t>Alpha-blockers </w:t>
      </w:r>
      <w:r>
        <w:rPr>
          <w:rFonts w:ascii="Trebuchet MS"/>
          <w:color w:val="008356"/>
          <w:w w:val="110"/>
        </w:rPr>
        <w:t>Prednisolone </w:t>
      </w:r>
      <w:r>
        <w:rPr>
          <w:i/>
          <w:color w:val="231F1F"/>
          <w:w w:val="110"/>
        </w:rPr>
        <w:t>see </w:t>
      </w:r>
      <w:r>
        <w:rPr>
          <w:color w:val="231F1F"/>
          <w:w w:val="110"/>
        </w:rPr>
        <w:t>Corticosteroids </w:t>
      </w:r>
      <w:r>
        <w:rPr>
          <w:rFonts w:ascii="Trebuchet MS"/>
          <w:color w:val="008356"/>
          <w:w w:val="110"/>
        </w:rPr>
        <w:t>Prednisone </w:t>
      </w:r>
      <w:r>
        <w:rPr>
          <w:i/>
          <w:color w:val="231F1F"/>
          <w:w w:val="110"/>
        </w:rPr>
        <w:t>see </w:t>
      </w:r>
      <w:r>
        <w:rPr>
          <w:color w:val="231F1F"/>
          <w:w w:val="110"/>
        </w:rPr>
        <w:t>Corticosteroids </w:t>
      </w:r>
      <w:r>
        <w:rPr>
          <w:rFonts w:ascii="Trebuchet MS"/>
          <w:color w:val="008356"/>
          <w:w w:val="110"/>
        </w:rPr>
        <w:t>Pregabalin</w:t>
      </w:r>
    </w:p>
    <w:p>
      <w:pPr>
        <w:pStyle w:val="BodyText"/>
        <w:spacing w:line="137" w:lineRule="exact"/>
        <w:ind w:left="108"/>
      </w:pPr>
      <w:r>
        <w:rPr>
          <w:rFonts w:ascii="Arial"/>
          <w:color w:val="231F1F"/>
          <w:w w:val="355"/>
          <w:position w:val="1"/>
          <w:sz w:val="7"/>
        </w:rPr>
        <w:t>l </w:t>
      </w:r>
      <w:r>
        <w:rPr>
          <w:rFonts w:ascii="Calibri"/>
          <w:color w:val="231F1F"/>
          <w:w w:val="115"/>
        </w:rPr>
        <w:t>Antidepressants: </w:t>
      </w:r>
      <w:r>
        <w:rPr>
          <w:color w:val="231F1F"/>
          <w:w w:val="115"/>
        </w:rPr>
        <w:t>anticonvulsant effect of antiepileptics</w:t>
      </w:r>
    </w:p>
    <w:p>
      <w:pPr>
        <w:spacing w:line="242" w:lineRule="auto" w:before="0"/>
        <w:ind w:left="208" w:right="0" w:firstLine="0"/>
        <w:jc w:val="left"/>
        <w:rPr>
          <w:sz w:val="12"/>
        </w:rPr>
      </w:pPr>
      <w:r>
        <w:rPr>
          <w:color w:val="231F1F"/>
          <w:w w:val="110"/>
          <w:sz w:val="12"/>
        </w:rPr>
        <w:t>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ind w:right="567"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4"/>
          <w:w w:val="115"/>
        </w:rPr>
        <w:t> </w:t>
      </w:r>
      <w:r>
        <w:rPr>
          <w:color w:val="231F1F"/>
          <w:w w:val="115"/>
        </w:rPr>
        <w:t>anticonvulsant</w:t>
      </w:r>
      <w:r>
        <w:rPr>
          <w:color w:val="231F1F"/>
          <w:spacing w:val="-18"/>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MEFLOQUINE</w:t>
      </w:r>
    </w:p>
    <w:p>
      <w:pPr>
        <w:pStyle w:val="BodyText"/>
        <w:ind w:right="386"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right="501"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3"/>
        <w:ind w:left="108"/>
        <w:rPr>
          <w:rFonts w:ascii="Trebuchet MS"/>
        </w:rPr>
      </w:pPr>
      <w:r>
        <w:rPr>
          <w:rFonts w:ascii="Trebuchet MS"/>
          <w:color w:val="008356"/>
        </w:rPr>
        <w:t>Prilocaine</w:t>
      </w:r>
    </w:p>
    <w:p>
      <w:pPr>
        <w:pStyle w:val="BodyText"/>
        <w:spacing w:line="220" w:lineRule="auto" w:before="9"/>
        <w:ind w:right="13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increased myocardial depression when prilocaine given with </w:t>
      </w:r>
      <w:r>
        <w:rPr>
          <w:rFonts w:ascii="Calibri" w:hAnsi="Calibri"/>
          <w:color w:val="008356"/>
          <w:w w:val="105"/>
          <w:sz w:val="11"/>
        </w:rPr>
        <w:t>ANTI-ARRHYTHMICS</w:t>
      </w:r>
    </w:p>
    <w:p>
      <w:pPr>
        <w:pStyle w:val="BodyText"/>
        <w:spacing w:line="220" w:lineRule="auto" w:before="8"/>
        <w:ind w:right="11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increased risk of methaemoglobinaemia when prilocaine given with </w:t>
      </w:r>
      <w:r>
        <w:rPr>
          <w:rFonts w:ascii="Calibri" w:hAnsi="Calibri"/>
          <w:color w:val="008356"/>
          <w:w w:val="110"/>
          <w:sz w:val="11"/>
        </w:rPr>
        <w:t>SULFONAMIDES</w:t>
      </w:r>
    </w:p>
    <w:p>
      <w:pPr>
        <w:pStyle w:val="BodyText"/>
        <w:spacing w:line="139" w:lineRule="exact" w:before="10"/>
        <w:ind w:left="108"/>
        <w:rPr>
          <w:rFonts w:ascii="Trebuchet MS"/>
        </w:rPr>
      </w:pPr>
      <w:r>
        <w:rPr>
          <w:rFonts w:ascii="Trebuchet MS"/>
          <w:color w:val="008356"/>
          <w:w w:val="105"/>
        </w:rPr>
        <w:t>Primaquine</w:t>
      </w:r>
    </w:p>
    <w:p>
      <w:pPr>
        <w:spacing w:before="0"/>
        <w:ind w:left="208" w:right="0"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antimalarials advised by manufacturer of </w:t>
      </w:r>
      <w:r>
        <w:rPr>
          <w:rFonts w:ascii="Arial"/>
          <w:color w:val="231F1F"/>
          <w:w w:val="280"/>
          <w:position w:val="1"/>
          <w:sz w:val="7"/>
        </w:rPr>
        <w:t>l </w:t>
      </w:r>
      <w:r>
        <w:rPr>
          <w:rFonts w:ascii="Calibri"/>
          <w:color w:val="008356"/>
          <w:w w:val="110"/>
          <w:sz w:val="11"/>
        </w:rPr>
        <w:t>ARTEMETHER WITH LUMEFANTRINE</w:t>
      </w:r>
    </w:p>
    <w:p>
      <w:pPr>
        <w:pStyle w:val="BodyText"/>
        <w:spacing w:line="220" w:lineRule="auto" w:before="7"/>
        <w:ind w:right="567"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Mepacrine: </w:t>
      </w:r>
      <w:r>
        <w:rPr>
          <w:color w:val="231F1F"/>
          <w:w w:val="105"/>
        </w:rPr>
        <w:t>plasma concentration of primaquine increased by</w:t>
      </w:r>
    </w:p>
    <w:p>
      <w:pPr>
        <w:spacing w:line="134" w:lineRule="exact" w:before="0"/>
        <w:ind w:left="208" w:right="0" w:firstLine="0"/>
        <w:jc w:val="left"/>
        <w:rPr>
          <w:sz w:val="12"/>
        </w:rPr>
      </w:pPr>
      <w:r>
        <w:rPr>
          <w:rFonts w:ascii="Calibri"/>
          <w:color w:val="008356"/>
          <w:w w:val="110"/>
          <w:sz w:val="11"/>
        </w:rPr>
        <w:t>MEPACRINE </w:t>
      </w:r>
      <w:r>
        <w:rPr>
          <w:color w:val="231F1F"/>
          <w:w w:val="110"/>
          <w:sz w:val="12"/>
        </w:rPr>
        <w:t>(increased risk of toxicity)</w:t>
      </w:r>
    </w:p>
    <w:p>
      <w:pPr>
        <w:spacing w:line="220" w:lineRule="auto" w:before="7"/>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139" w:lineRule="exact" w:before="13"/>
        <w:ind w:left="108"/>
        <w:rPr>
          <w:rFonts w:ascii="Trebuchet MS"/>
        </w:rPr>
      </w:pPr>
      <w:r>
        <w:rPr>
          <w:rFonts w:ascii="Trebuchet MS"/>
          <w:color w:val="008356"/>
        </w:rPr>
        <w:t>Primidone</w:t>
      </w:r>
    </w:p>
    <w:p>
      <w:pPr>
        <w:pStyle w:val="BodyText"/>
        <w:spacing w:line="156" w:lineRule="exact"/>
        <w:ind w:left="108"/>
      </w:pPr>
      <w:r>
        <w:rPr>
          <w:rFonts w:ascii="Lucida Sans Unicode" w:hAnsi="Lucida Sans Unicode"/>
          <w:color w:val="A7A8AC"/>
          <w:w w:val="95"/>
          <w:sz w:val="10"/>
        </w:rPr>
        <w:t>▶ </w:t>
      </w:r>
      <w:r>
        <w:rPr>
          <w:rFonts w:ascii="Calibri" w:hAnsi="Calibri"/>
          <w:color w:val="231F1F"/>
          <w:w w:val="110"/>
        </w:rPr>
        <w:t>Alcohol: </w:t>
      </w:r>
      <w:r>
        <w:rPr>
          <w:color w:val="231F1F"/>
          <w:w w:val="110"/>
        </w:rPr>
        <w:t>increased sedative effect when primidone given with</w:t>
      </w:r>
    </w:p>
    <w:p>
      <w:pPr>
        <w:spacing w:line="131" w:lineRule="exact" w:before="0"/>
        <w:ind w:left="208" w:right="0" w:firstLine="0"/>
        <w:jc w:val="left"/>
        <w:rPr>
          <w:rFonts w:ascii="Calibri"/>
          <w:sz w:val="11"/>
        </w:rPr>
      </w:pPr>
      <w:r>
        <w:rPr>
          <w:rFonts w:ascii="Calibri"/>
          <w:color w:val="008356"/>
          <w:sz w:val="11"/>
        </w:rPr>
        <w:t>ALCOHOL</w:t>
      </w:r>
    </w:p>
    <w:p>
      <w:pPr>
        <w:pStyle w:val="BodyText"/>
        <w:spacing w:line="145" w:lineRule="exact"/>
        <w:ind w:left="108"/>
      </w:pPr>
      <w:r>
        <w:rPr>
          <w:rFonts w:ascii="Arial"/>
          <w:color w:val="231F1F"/>
          <w:w w:val="355"/>
          <w:position w:val="1"/>
          <w:sz w:val="7"/>
        </w:rPr>
        <w:t>l </w:t>
      </w:r>
      <w:r>
        <w:rPr>
          <w:rFonts w:ascii="Calibri"/>
          <w:color w:val="231F1F"/>
          <w:w w:val="110"/>
        </w:rPr>
        <w:t>Aminophylline: </w:t>
      </w:r>
      <w:r>
        <w:rPr>
          <w:color w:val="231F1F"/>
          <w:w w:val="110"/>
        </w:rPr>
        <w:t>primidone accelerates metabolism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AMINOPHYLLINE </w:t>
      </w:r>
      <w:r>
        <w:rPr>
          <w:color w:val="231F1F"/>
          <w:w w:val="110"/>
          <w:sz w:val="12"/>
        </w:rPr>
        <w:t>(reduced effect)</w:t>
      </w:r>
    </w:p>
    <w:p>
      <w:pPr>
        <w:pStyle w:val="BodyText"/>
        <w:spacing w:line="230" w:lineRule="auto" w:before="4"/>
        <w:ind w:hanging="100"/>
      </w:pPr>
      <w:r>
        <w:rPr>
          <w:rFonts w:ascii="Lucida Sans Unicode" w:hAnsi="Lucida Sans Unicode"/>
          <w:color w:val="A7A8AC"/>
          <w:w w:val="95"/>
          <w:sz w:val="10"/>
        </w:rPr>
        <w:t>▶ </w:t>
      </w:r>
      <w:r>
        <w:rPr>
          <w:rFonts w:ascii="Calibri" w:hAnsi="Calibri"/>
          <w:color w:val="231F1F"/>
          <w:w w:val="110"/>
        </w:rPr>
        <w:t>Analgesics: </w:t>
      </w:r>
      <w:r>
        <w:rPr>
          <w:color w:val="231F1F"/>
          <w:w w:val="110"/>
        </w:rPr>
        <w:t>primidone reduces plasma concentration of </w:t>
      </w:r>
      <w:r>
        <w:rPr>
          <w:rFonts w:ascii="Calibri" w:hAnsi="Calibri"/>
          <w:color w:val="008356"/>
          <w:w w:val="110"/>
          <w:sz w:val="11"/>
        </w:rPr>
        <w:t>METHADONE</w:t>
      </w:r>
      <w:r>
        <w:rPr>
          <w:color w:val="231F1F"/>
          <w:w w:val="110"/>
        </w:rPr>
        <w:t>; primidone possibly accelerates metabolism of </w:t>
      </w:r>
      <w:r>
        <w:rPr>
          <w:rFonts w:ascii="Calibri" w:hAnsi="Calibri"/>
          <w:color w:val="008356"/>
          <w:w w:val="110"/>
          <w:sz w:val="11"/>
        </w:rPr>
        <w:t>PARACETAMOL </w:t>
      </w:r>
      <w:r>
        <w:rPr>
          <w:color w:val="231F1F"/>
          <w:w w:val="110"/>
        </w:rPr>
        <w:t>(also isolated reports of hepatotoxicity)</w:t>
      </w:r>
    </w:p>
    <w:p>
      <w:pPr>
        <w:pStyle w:val="BodyText"/>
        <w:spacing w:line="146" w:lineRule="exact"/>
        <w:ind w:left="108"/>
      </w:pPr>
      <w:r>
        <w:rPr>
          <w:rFonts w:ascii="Arial"/>
          <w:color w:val="231F1F"/>
          <w:w w:val="355"/>
          <w:position w:val="1"/>
          <w:sz w:val="7"/>
        </w:rPr>
        <w:t>l </w:t>
      </w:r>
      <w:r>
        <w:rPr>
          <w:rFonts w:ascii="Calibri"/>
          <w:color w:val="231F1F"/>
          <w:w w:val="110"/>
        </w:rPr>
        <w:t>Anthelmintics: </w:t>
      </w:r>
      <w:r>
        <w:rPr>
          <w:color w:val="231F1F"/>
          <w:w w:val="110"/>
        </w:rPr>
        <w:t>primidone reduces plasma concentration of</w:t>
      </w:r>
    </w:p>
    <w:p>
      <w:pPr>
        <w:spacing w:line="247" w:lineRule="auto" w:before="0"/>
        <w:ind w:left="208" w:right="67"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ALBENDAZOLE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PRAZIQUANTEL</w:t>
      </w:r>
      <w:r>
        <w:rPr>
          <w:rFonts w:ascii="Arial" w:hAnsi="Arial"/>
          <w:color w:val="231F1F"/>
          <w:spacing w:val="2"/>
          <w:w w:val="115"/>
          <w:sz w:val="12"/>
        </w:rPr>
        <w:t>—</w:t>
      </w:r>
      <w:r>
        <w:rPr>
          <w:color w:val="231F1F"/>
          <w:spacing w:val="2"/>
          <w:w w:val="115"/>
          <w:sz w:val="12"/>
        </w:rPr>
        <w:t>consider </w:t>
      </w:r>
      <w:r>
        <w:rPr>
          <w:color w:val="231F1F"/>
          <w:w w:val="115"/>
          <w:sz w:val="12"/>
        </w:rPr>
        <w:t>increasing albendazole and praziquantel dose when given for systemic infections</w:t>
      </w:r>
    </w:p>
    <w:p>
      <w:pPr>
        <w:pStyle w:val="BodyText"/>
        <w:spacing w:line="242" w:lineRule="auto"/>
        <w:ind w:hanging="100"/>
        <w:rPr>
          <w:rFonts w:ascii="Calibri" w:hAnsi="Calibri"/>
          <w:sz w:val="11"/>
        </w:rPr>
      </w:pPr>
      <w:r>
        <w:rPr>
          <w:rFonts w:ascii="Arial" w:hAnsi="Arial"/>
          <w:color w:val="231F1F"/>
          <w:w w:val="355"/>
          <w:position w:val="1"/>
          <w:sz w:val="7"/>
        </w:rPr>
        <w:t>l </w:t>
      </w:r>
      <w:r>
        <w:rPr>
          <w:rFonts w:ascii="Calibri" w:hAnsi="Calibri"/>
          <w:color w:val="231F1F"/>
          <w:w w:val="110"/>
        </w:rPr>
        <w:t>Anti-arrhythmics: </w:t>
      </w:r>
      <w:r>
        <w:rPr>
          <w:color w:val="231F1F"/>
          <w:w w:val="110"/>
        </w:rPr>
        <w:t>primidone accelerates metabolism of </w:t>
      </w:r>
      <w:r>
        <w:rPr>
          <w:rFonts w:ascii="Calibri" w:hAnsi="Calibri"/>
          <w:color w:val="008356"/>
          <w:w w:val="110"/>
          <w:sz w:val="11"/>
        </w:rPr>
        <w:t>DISOPYRAMIDE </w:t>
      </w:r>
      <w:r>
        <w:rPr>
          <w:color w:val="231F1F"/>
          <w:w w:val="110"/>
        </w:rPr>
        <w:t>(reduced plasma concentration); primidone possibly reduces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 </w:t>
      </w:r>
      <w:r>
        <w:rPr>
          <w:color w:val="231F1F"/>
          <w:w w:val="110"/>
        </w:rPr>
        <w:t>avoid concomitant use; primidone possibly accelerates metabolism of </w:t>
      </w:r>
      <w:r>
        <w:rPr>
          <w:rFonts w:ascii="Calibri" w:hAnsi="Calibri"/>
          <w:color w:val="008356"/>
          <w:w w:val="110"/>
          <w:sz w:val="11"/>
        </w:rPr>
        <w:t>PROPAFENONE</w:t>
      </w:r>
    </w:p>
    <w:p>
      <w:pPr>
        <w:pStyle w:val="BodyText"/>
        <w:spacing w:line="242" w:lineRule="auto"/>
        <w:ind w:hanging="100"/>
      </w:pPr>
      <w:r>
        <w:rPr>
          <w:rFonts w:ascii="Arial"/>
          <w:color w:val="231F1F"/>
          <w:w w:val="355"/>
          <w:position w:val="1"/>
          <w:sz w:val="7"/>
        </w:rPr>
        <w:t>l </w:t>
      </w:r>
      <w:r>
        <w:rPr>
          <w:rFonts w:ascii="Calibri"/>
          <w:color w:val="231F1F"/>
          <w:w w:val="110"/>
        </w:rPr>
        <w:t>Antibacterials: </w:t>
      </w:r>
      <w:r>
        <w:rPr>
          <w:color w:val="231F1F"/>
          <w:w w:val="110"/>
        </w:rPr>
        <w:t>primidone accelerates metabolism of </w:t>
      </w:r>
      <w:r>
        <w:rPr>
          <w:rFonts w:ascii="Calibri"/>
          <w:color w:val="008356"/>
          <w:w w:val="110"/>
          <w:sz w:val="11"/>
        </w:rPr>
        <w:t>METRONIDAZOLE </w:t>
      </w:r>
      <w:r>
        <w:rPr>
          <w:color w:val="231F1F"/>
          <w:w w:val="110"/>
        </w:rPr>
        <w:t>(reduced effect); primidone possibly reduces plasma concentration of </w:t>
      </w:r>
      <w:r>
        <w:rPr>
          <w:rFonts w:ascii="Calibri"/>
          <w:color w:val="008356"/>
          <w:w w:val="110"/>
          <w:sz w:val="11"/>
        </w:rPr>
        <w:t>RIFAMPICIN</w:t>
      </w:r>
      <w:r>
        <w:rPr>
          <w:color w:val="231F1F"/>
          <w:w w:val="110"/>
        </w:rPr>
        <w:t>; primidone accelerates metabolism of </w:t>
      </w:r>
      <w:r>
        <w:rPr>
          <w:rFonts w:ascii="Calibri"/>
          <w:color w:val="008356"/>
          <w:w w:val="110"/>
          <w:sz w:val="11"/>
        </w:rPr>
        <w:t>DOXYCYCLINE </w:t>
      </w:r>
      <w:r>
        <w:rPr>
          <w:color w:val="231F1F"/>
          <w:w w:val="110"/>
        </w:rPr>
        <w:t>(reduced plasma concentration); primidone possibly accelerates metabolism of</w:t>
      </w:r>
    </w:p>
    <w:p>
      <w:pPr>
        <w:spacing w:line="242" w:lineRule="auto" w:before="0"/>
        <w:ind w:left="208" w:right="0" w:firstLine="0"/>
        <w:jc w:val="left"/>
        <w:rPr>
          <w:sz w:val="12"/>
        </w:rPr>
      </w:pPr>
      <w:r>
        <w:rPr>
          <w:rFonts w:ascii="Arial"/>
          <w:color w:val="231F1F"/>
          <w:w w:val="355"/>
          <w:position w:val="1"/>
          <w:sz w:val="7"/>
        </w:rPr>
        <w:t>l </w:t>
      </w:r>
      <w:r>
        <w:rPr>
          <w:rFonts w:ascii="Calibri"/>
          <w:color w:val="008356"/>
          <w:w w:val="110"/>
          <w:sz w:val="11"/>
        </w:rPr>
        <w:t>CHLORAMPHENICOL </w:t>
      </w:r>
      <w:r>
        <w:rPr>
          <w:color w:val="231F1F"/>
          <w:w w:val="110"/>
          <w:sz w:val="12"/>
        </w:rPr>
        <w:t>(reduced plasma concentration); primidone reduces plasma concentration of </w:t>
      </w:r>
      <w:r>
        <w:rPr>
          <w:rFonts w:ascii="Arial"/>
          <w:color w:val="231F1F"/>
          <w:w w:val="355"/>
          <w:position w:val="1"/>
          <w:sz w:val="7"/>
        </w:rPr>
        <w:t>l </w:t>
      </w:r>
      <w:r>
        <w:rPr>
          <w:rFonts w:ascii="Calibri"/>
          <w:color w:val="008356"/>
          <w:w w:val="110"/>
          <w:sz w:val="11"/>
        </w:rPr>
        <w:t>TELITHROMYCIN </w:t>
      </w:r>
      <w:r>
        <w:rPr>
          <w:color w:val="231F1F"/>
          <w:w w:val="110"/>
          <w:sz w:val="12"/>
        </w:rPr>
        <w:t>(avoid during and for 2 weeks after primidone)</w:t>
      </w:r>
    </w:p>
    <w:p>
      <w:pPr>
        <w:pStyle w:val="BodyText"/>
        <w:spacing w:line="242" w:lineRule="auto"/>
        <w:ind w:hanging="100"/>
      </w:pPr>
      <w:r>
        <w:rPr>
          <w:rFonts w:ascii="Arial"/>
          <w:color w:val="231F1F"/>
          <w:w w:val="355"/>
          <w:position w:val="1"/>
          <w:sz w:val="7"/>
        </w:rPr>
        <w:t>l </w:t>
      </w:r>
      <w:r>
        <w:rPr>
          <w:rFonts w:ascii="Calibri"/>
          <w:color w:val="231F1F"/>
          <w:w w:val="110"/>
        </w:rPr>
        <w:t>Anticoagulants: </w:t>
      </w:r>
      <w:r>
        <w:rPr>
          <w:color w:val="231F1F"/>
          <w:w w:val="110"/>
        </w:rPr>
        <w:t>primidone possibly reduces plasma concentration of </w:t>
      </w:r>
      <w:r>
        <w:rPr>
          <w:rFonts w:ascii="Arial"/>
          <w:color w:val="231F1F"/>
          <w:w w:val="355"/>
          <w:position w:val="1"/>
          <w:sz w:val="7"/>
        </w:rPr>
        <w:t>l </w:t>
      </w:r>
      <w:r>
        <w:rPr>
          <w:rFonts w:ascii="Calibri"/>
          <w:color w:val="008356"/>
          <w:spacing w:val="4"/>
          <w:w w:val="110"/>
          <w:sz w:val="11"/>
        </w:rPr>
        <w:t>APIXABAN</w:t>
      </w:r>
      <w:r>
        <w:rPr>
          <w:color w:val="231F1F"/>
          <w:spacing w:val="4"/>
          <w:w w:val="110"/>
        </w:rPr>
        <w:t>; </w:t>
      </w:r>
      <w:r>
        <w:rPr>
          <w:color w:val="231F1F"/>
          <w:w w:val="110"/>
        </w:rPr>
        <w:t>primidone accelerates metabolism of </w:t>
      </w:r>
      <w:r>
        <w:rPr>
          <w:rFonts w:ascii="Arial"/>
          <w:color w:val="231F1F"/>
          <w:w w:val="355"/>
          <w:position w:val="1"/>
          <w:sz w:val="7"/>
        </w:rPr>
        <w:t>l </w:t>
      </w:r>
      <w:r>
        <w:rPr>
          <w:rFonts w:ascii="Calibri"/>
          <w:color w:val="008356"/>
          <w:spacing w:val="4"/>
          <w:w w:val="110"/>
          <w:sz w:val="11"/>
        </w:rPr>
        <w:t>COUMARINS </w:t>
      </w:r>
      <w:r>
        <w:rPr>
          <w:color w:val="231F1F"/>
          <w:w w:val="110"/>
        </w:rPr>
        <w:t>(reduced anticoagulant effect); primidone possibly reduces plasma concentration of</w:t>
      </w:r>
    </w:p>
    <w:p>
      <w:pPr>
        <w:pStyle w:val="BodyText"/>
        <w:spacing w:before="1"/>
        <w:ind w:right="393"/>
      </w:pPr>
      <w:r>
        <w:rPr>
          <w:rFonts w:ascii="Arial" w:hAnsi="Arial"/>
          <w:color w:val="231F1F"/>
          <w:w w:val="115"/>
          <w:position w:val="1"/>
          <w:sz w:val="7"/>
        </w:rPr>
        <w:t>l </w:t>
      </w:r>
      <w:r>
        <w:rPr>
          <w:rFonts w:ascii="Calibri" w:hAnsi="Calibri"/>
          <w:color w:val="008356"/>
          <w:w w:val="115"/>
          <w:sz w:val="11"/>
        </w:rPr>
        <w:t>RIVAROXABAN</w:t>
      </w:r>
      <w:r>
        <w:rPr>
          <w:rFonts w:ascii="Arial" w:hAnsi="Arial"/>
          <w:color w:val="231F1F"/>
          <w:w w:val="115"/>
        </w:rPr>
        <w:t>—</w:t>
      </w:r>
      <w:r>
        <w:rPr>
          <w:color w:val="231F1F"/>
          <w:w w:val="115"/>
        </w:rPr>
        <w:t>manufacturer of rivaroxaban advises </w:t>
      </w:r>
      <w:r>
        <w:rPr>
          <w:color w:val="231F1F"/>
          <w:w w:val="120"/>
        </w:rPr>
        <w:t>monitor for signs of thrombosis</w:t>
      </w:r>
    </w:p>
    <w:p>
      <w:pPr>
        <w:pStyle w:val="BodyText"/>
        <w:spacing w:line="242" w:lineRule="auto" w:before="3"/>
        <w:ind w:right="113" w:hanging="100"/>
      </w:pPr>
      <w:r>
        <w:rPr>
          <w:rFonts w:ascii="Arial"/>
          <w:color w:val="231F1F"/>
          <w:w w:val="355"/>
          <w:position w:val="1"/>
          <w:sz w:val="7"/>
        </w:rPr>
        <w:t>l </w:t>
      </w:r>
      <w:r>
        <w:rPr>
          <w:rFonts w:ascii="Calibri"/>
          <w:color w:val="231F1F"/>
          <w:w w:val="110"/>
        </w:rPr>
        <w:t>Antidepressants: </w:t>
      </w:r>
      <w:r>
        <w:rPr>
          <w:color w:val="231F1F"/>
          <w:w w:val="110"/>
        </w:rPr>
        <w:t>primidone possibly reduces plasma concentration of </w:t>
      </w:r>
      <w:r>
        <w:rPr>
          <w:rFonts w:ascii="Calibri"/>
          <w:color w:val="008356"/>
          <w:w w:val="110"/>
          <w:sz w:val="11"/>
        </w:rPr>
        <w:t>REBOXETINE</w:t>
      </w:r>
      <w:r>
        <w:rPr>
          <w:color w:val="231F1F"/>
          <w:w w:val="110"/>
        </w:rPr>
        <w:t>; primidone reduces plasma concentration of </w:t>
      </w:r>
      <w:r>
        <w:rPr>
          <w:rFonts w:ascii="Calibri"/>
          <w:color w:val="008356"/>
          <w:w w:val="110"/>
          <w:sz w:val="11"/>
        </w:rPr>
        <w:t>PAROXETINE</w:t>
      </w:r>
      <w:r>
        <w:rPr>
          <w:color w:val="231F1F"/>
          <w:w w:val="110"/>
        </w:rPr>
        <w:t>; primidone accelerates metabolism of </w:t>
      </w:r>
      <w:r>
        <w:rPr>
          <w:rFonts w:ascii="Arial"/>
          <w:color w:val="231F1F"/>
          <w:w w:val="355"/>
          <w:position w:val="1"/>
          <w:sz w:val="7"/>
        </w:rPr>
        <w:t>l </w:t>
      </w:r>
      <w:r>
        <w:rPr>
          <w:rFonts w:ascii="Calibri"/>
          <w:color w:val="008356"/>
          <w:w w:val="110"/>
          <w:sz w:val="11"/>
        </w:rPr>
        <w:t>MIANSERIN </w:t>
      </w:r>
      <w:r>
        <w:rPr>
          <w:color w:val="231F1F"/>
          <w:w w:val="110"/>
        </w:rPr>
        <w:t>(reduced plasma concentration);</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Primidone</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5632" filled="true" fillcolor="#bfdbcf" stroked="false">
            <v:fill type="solid"/>
            <w10:wrap type="none"/>
          </v:rect>
        </w:pict>
      </w:r>
      <w:r>
        <w:rPr/>
        <w:pict>
          <v:shape style="position:absolute;margin-left:399.725769pt;margin-top:-3.416702pt;width:10.4pt;height:78.850pt;mso-position-horizontal-relative:page;mso-position-vertical-relative:paragraph;z-index:565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Antidepressants (continued)</w:t>
      </w:r>
    </w:p>
    <w:p>
      <w:pPr>
        <w:spacing w:line="249" w:lineRule="auto" w:before="0"/>
        <w:ind w:left="208" w:right="820" w:firstLine="0"/>
        <w:jc w:val="left"/>
        <w:rPr>
          <w:rFonts w:ascii="Calibri"/>
          <w:sz w:val="11"/>
        </w:rPr>
      </w:pPr>
      <w:r>
        <w:rPr>
          <w:color w:val="231F1F"/>
          <w:w w:val="110"/>
          <w:sz w:val="12"/>
        </w:rPr>
        <w:t>anticonvulsant effect of antiepileptics possibly antagonised by </w:t>
      </w:r>
      <w:r>
        <w:rPr>
          <w:rFonts w:ascii="Calibri"/>
          <w:color w:val="008356"/>
          <w:spacing w:val="4"/>
          <w:w w:val="110"/>
          <w:sz w:val="11"/>
        </w:rPr>
        <w:t>MAOI</w:t>
      </w:r>
      <w:r>
        <w:rPr>
          <w:rFonts w:ascii="Calibri"/>
          <w:color w:val="008356"/>
          <w:spacing w:val="4"/>
          <w:w w:val="110"/>
          <w:sz w:val="9"/>
        </w:rPr>
        <w:t>S </w:t>
      </w:r>
      <w:r>
        <w:rPr>
          <w:color w:val="231F1F"/>
          <w:w w:val="110"/>
          <w:sz w:val="12"/>
        </w:rPr>
        <w:t>and </w:t>
      </w:r>
      <w:r>
        <w:rPr>
          <w:rFonts w:ascii="Arial"/>
          <w:color w:val="231F1F"/>
          <w:w w:val="355"/>
          <w:position w:val="1"/>
          <w:sz w:val="7"/>
        </w:rPr>
        <w:t>l </w:t>
      </w:r>
      <w:r>
        <w:rPr>
          <w:rFonts w:ascii="Calibri"/>
          <w:color w:val="008356"/>
          <w:spacing w:val="4"/>
          <w:w w:val="110"/>
          <w:sz w:val="11"/>
        </w:rPr>
        <w:t>TRICYCLIC-RELATED </w:t>
      </w:r>
      <w:r>
        <w:rPr>
          <w:rFonts w:ascii="Calibri"/>
          <w:color w:val="008356"/>
          <w:spacing w:val="5"/>
          <w:w w:val="110"/>
          <w:sz w:val="11"/>
        </w:rPr>
        <w:t>ANTIDEPRESSANTS</w:t>
      </w:r>
    </w:p>
    <w:p>
      <w:pPr>
        <w:pStyle w:val="BodyText"/>
        <w:spacing w:line="247" w:lineRule="auto"/>
        <w:ind w:right="625"/>
      </w:pPr>
      <w:r>
        <w:rPr>
          <w:color w:val="231F1F"/>
          <w:w w:val="115"/>
        </w:rPr>
        <w:t>(convulsive threshold lowered); anticonvulsant effect of antiepileptics antagonised by </w:t>
      </w:r>
      <w:r>
        <w:rPr>
          <w:rFonts w:ascii="Arial" w:hAnsi="Arial"/>
          <w:color w:val="231F1F"/>
          <w:w w:val="355"/>
          <w:position w:val="1"/>
          <w:sz w:val="7"/>
        </w:rPr>
        <w:t>l </w:t>
      </w:r>
      <w:r>
        <w:rPr>
          <w:rFonts w:ascii="Calibri" w:hAnsi="Calibri"/>
          <w:color w:val="008356"/>
          <w:spacing w:val="4"/>
          <w:w w:val="115"/>
          <w:sz w:val="11"/>
        </w:rPr>
        <w:t>SSRIS </w:t>
      </w:r>
      <w:r>
        <w:rPr>
          <w:color w:val="231F1F"/>
          <w:w w:val="115"/>
        </w:rPr>
        <w:t>and </w:t>
      </w:r>
      <w:r>
        <w:rPr>
          <w:rFonts w:ascii="Arial" w:hAnsi="Arial"/>
          <w:color w:val="231F1F"/>
          <w:w w:val="355"/>
          <w:position w:val="1"/>
          <w:sz w:val="7"/>
        </w:rPr>
        <w:t>l </w:t>
      </w:r>
      <w:r>
        <w:rPr>
          <w:rFonts w:ascii="Calibri" w:hAnsi="Calibri"/>
          <w:color w:val="008356"/>
          <w:spacing w:val="4"/>
          <w:w w:val="115"/>
          <w:sz w:val="11"/>
        </w:rPr>
        <w:t>TRICYCLICS </w:t>
      </w:r>
      <w:r>
        <w:rPr>
          <w:color w:val="231F1F"/>
          <w:w w:val="115"/>
        </w:rPr>
        <w:t>(convulsive threshold lowered); plasma concentration of primidone possibly reduced by </w:t>
      </w:r>
      <w:r>
        <w:rPr>
          <w:rFonts w:ascii="Arial" w:hAnsi="Arial"/>
          <w:color w:val="231F1F"/>
          <w:w w:val="355"/>
          <w:position w:val="1"/>
          <w:sz w:val="7"/>
        </w:rPr>
        <w:t>l </w:t>
      </w:r>
      <w:r>
        <w:rPr>
          <w:rFonts w:ascii="Calibri" w:hAnsi="Calibri"/>
          <w:color w:val="008356"/>
          <w:w w:val="115"/>
          <w:sz w:val="11"/>
        </w:rPr>
        <w:t>ST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 </w:t>
      </w:r>
      <w:r>
        <w:rPr>
          <w:rFonts w:ascii="Calibri" w:hAnsi="Calibri"/>
          <w:color w:val="008356"/>
          <w:w w:val="115"/>
          <w:sz w:val="11"/>
        </w:rPr>
        <w:t>WORT</w:t>
      </w:r>
      <w:r>
        <w:rPr>
          <w:rFonts w:ascii="Arial" w:hAnsi="Arial"/>
          <w:color w:val="231F1F"/>
          <w:w w:val="115"/>
        </w:rPr>
        <w:t>—</w:t>
      </w:r>
      <w:r>
        <w:rPr>
          <w:color w:val="231F1F"/>
          <w:w w:val="115"/>
        </w:rPr>
        <w:t>avoid concomitant use; primidone possibly accelerates metabolism of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TRICYCLICS </w:t>
      </w:r>
      <w:r>
        <w:rPr>
          <w:color w:val="231F1F"/>
          <w:w w:val="115"/>
        </w:rPr>
        <w:t>(reduced plasma concentration)</w:t>
      </w:r>
    </w:p>
    <w:p>
      <w:pPr>
        <w:pStyle w:val="BodyText"/>
        <w:spacing w:line="139" w:lineRule="exact"/>
        <w:ind w:left="108"/>
      </w:pPr>
      <w:r>
        <w:rPr>
          <w:rFonts w:ascii="Arial"/>
          <w:color w:val="231F1F"/>
          <w:w w:val="355"/>
          <w:position w:val="1"/>
          <w:sz w:val="7"/>
        </w:rPr>
        <w:t>l </w:t>
      </w:r>
      <w:r>
        <w:rPr>
          <w:rFonts w:ascii="Calibri"/>
          <w:color w:val="231F1F"/>
          <w:w w:val="110"/>
        </w:rPr>
        <w:t>Antiepileptics: </w:t>
      </w:r>
      <w:r>
        <w:rPr>
          <w:color w:val="231F1F"/>
          <w:w w:val="110"/>
        </w:rPr>
        <w:t>plasma concentration of primidone possibly</w:t>
      </w:r>
    </w:p>
    <w:p>
      <w:pPr>
        <w:spacing w:line="244" w:lineRule="auto" w:before="0"/>
        <w:ind w:left="208" w:right="751" w:firstLine="0"/>
        <w:jc w:val="left"/>
        <w:rPr>
          <w:rFonts w:ascii="Calibri"/>
          <w:sz w:val="11"/>
        </w:rPr>
      </w:pPr>
      <w:r>
        <w:rPr>
          <w:color w:val="231F1F"/>
          <w:w w:val="110"/>
          <w:sz w:val="12"/>
        </w:rPr>
        <w:t>increased by </w:t>
      </w:r>
      <w:r>
        <w:rPr>
          <w:rFonts w:ascii="Calibri"/>
          <w:color w:val="008356"/>
          <w:spacing w:val="4"/>
          <w:w w:val="110"/>
          <w:sz w:val="11"/>
        </w:rPr>
        <w:t>CARBAMAZEPINE</w:t>
      </w:r>
      <w:r>
        <w:rPr>
          <w:color w:val="231F1F"/>
          <w:spacing w:val="4"/>
          <w:w w:val="110"/>
          <w:sz w:val="12"/>
        </w:rPr>
        <w:t>; </w:t>
      </w:r>
      <w:r>
        <w:rPr>
          <w:color w:val="231F1F"/>
          <w:w w:val="110"/>
          <w:sz w:val="12"/>
        </w:rPr>
        <w:t>primidone possibly reduces plasma concentration of </w:t>
      </w:r>
      <w:r>
        <w:rPr>
          <w:rFonts w:ascii="Calibri"/>
          <w:color w:val="008356"/>
          <w:spacing w:val="4"/>
          <w:w w:val="110"/>
          <w:sz w:val="11"/>
        </w:rPr>
        <w:t>ETHOSUXIMIDE</w:t>
      </w:r>
      <w:r>
        <w:rPr>
          <w:color w:val="231F1F"/>
          <w:spacing w:val="4"/>
          <w:w w:val="110"/>
          <w:sz w:val="12"/>
        </w:rPr>
        <w:t>, </w:t>
      </w:r>
      <w:r>
        <w:rPr>
          <w:rFonts w:ascii="Calibri"/>
          <w:color w:val="008356"/>
          <w:spacing w:val="4"/>
          <w:w w:val="110"/>
          <w:sz w:val="11"/>
        </w:rPr>
        <w:t>RUFINAMIDE </w:t>
      </w:r>
      <w:r>
        <w:rPr>
          <w:color w:val="231F1F"/>
          <w:w w:val="110"/>
          <w:sz w:val="12"/>
        </w:rPr>
        <w:t>and </w:t>
      </w:r>
      <w:r>
        <w:rPr>
          <w:rFonts w:ascii="Calibri"/>
          <w:color w:val="008356"/>
          <w:spacing w:val="4"/>
          <w:w w:val="110"/>
          <w:sz w:val="11"/>
        </w:rPr>
        <w:t>TOPIRAMATE</w:t>
      </w:r>
      <w:r>
        <w:rPr>
          <w:color w:val="231F1F"/>
          <w:spacing w:val="4"/>
          <w:w w:val="110"/>
          <w:sz w:val="12"/>
        </w:rPr>
        <w:t>; </w:t>
      </w:r>
      <w:r>
        <w:rPr>
          <w:color w:val="231F1F"/>
          <w:w w:val="110"/>
          <w:sz w:val="12"/>
        </w:rPr>
        <w:t>plasma concentration of primidone often increased by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plasma concentration of fosphenytoin and phenytoin often </w:t>
      </w:r>
      <w:r>
        <w:rPr>
          <w:color w:val="231F1F"/>
          <w:spacing w:val="-3"/>
          <w:w w:val="110"/>
          <w:sz w:val="12"/>
        </w:rPr>
        <w:t>reduced </w:t>
      </w:r>
      <w:r>
        <w:rPr>
          <w:color w:val="231F1F"/>
          <w:w w:val="110"/>
          <w:sz w:val="12"/>
        </w:rPr>
        <w:t>but may be increased; primidone reduces plasma concentration of </w:t>
      </w:r>
      <w:r>
        <w:rPr>
          <w:rFonts w:ascii="Calibri"/>
          <w:color w:val="008356"/>
          <w:spacing w:val="4"/>
          <w:w w:val="110"/>
          <w:sz w:val="11"/>
        </w:rPr>
        <w:t>LAMOTRIGINE</w:t>
      </w:r>
      <w:r>
        <w:rPr>
          <w:color w:val="231F1F"/>
          <w:spacing w:val="4"/>
          <w:w w:val="110"/>
          <w:sz w:val="12"/>
        </w:rPr>
        <w:t>, </w:t>
      </w:r>
      <w:r>
        <w:rPr>
          <w:rFonts w:ascii="Calibri"/>
          <w:color w:val="008356"/>
          <w:spacing w:val="4"/>
          <w:w w:val="110"/>
          <w:sz w:val="11"/>
        </w:rPr>
        <w:t>TIAGABINE </w:t>
      </w:r>
      <w:r>
        <w:rPr>
          <w:color w:val="231F1F"/>
          <w:w w:val="110"/>
          <w:sz w:val="12"/>
        </w:rPr>
        <w:t>and </w:t>
      </w:r>
      <w:r>
        <w:rPr>
          <w:rFonts w:ascii="Calibri"/>
          <w:color w:val="008356"/>
          <w:spacing w:val="4"/>
          <w:w w:val="110"/>
          <w:sz w:val="11"/>
        </w:rPr>
        <w:t>ZONISAMIDE</w:t>
      </w:r>
      <w:r>
        <w:rPr>
          <w:color w:val="231F1F"/>
          <w:spacing w:val="4"/>
          <w:w w:val="110"/>
          <w:sz w:val="12"/>
        </w:rPr>
        <w:t>; </w:t>
      </w:r>
      <w:r>
        <w:rPr>
          <w:color w:val="231F1F"/>
          <w:w w:val="110"/>
          <w:sz w:val="12"/>
        </w:rPr>
        <w:t>plasma concentration of primidone increased by </w:t>
      </w:r>
      <w:r>
        <w:rPr>
          <w:rFonts w:ascii="Calibri"/>
          <w:color w:val="008356"/>
          <w:spacing w:val="4"/>
          <w:w w:val="110"/>
          <w:sz w:val="11"/>
        </w:rPr>
        <w:t>OXCARBAZEPINE</w:t>
      </w:r>
      <w:r>
        <w:rPr>
          <w:color w:val="231F1F"/>
          <w:spacing w:val="4"/>
          <w:w w:val="110"/>
          <w:sz w:val="12"/>
        </w:rPr>
        <w:t>, </w:t>
      </w:r>
      <w:r>
        <w:rPr>
          <w:color w:val="231F1F"/>
          <w:w w:val="110"/>
          <w:sz w:val="12"/>
        </w:rPr>
        <w:t>also plasma concentration of an active metabolite of oxcarbazepine reduced; plasma concentration of</w:t>
      </w:r>
      <w:r>
        <w:rPr>
          <w:color w:val="231F1F"/>
          <w:spacing w:val="-12"/>
          <w:w w:val="110"/>
          <w:sz w:val="12"/>
        </w:rPr>
        <w:t> </w:t>
      </w:r>
      <w:r>
        <w:rPr>
          <w:color w:val="231F1F"/>
          <w:w w:val="110"/>
          <w:sz w:val="12"/>
        </w:rPr>
        <w:t>primidone</w:t>
      </w:r>
      <w:r>
        <w:rPr>
          <w:color w:val="231F1F"/>
          <w:spacing w:val="-12"/>
          <w:w w:val="110"/>
          <w:sz w:val="12"/>
        </w:rPr>
        <w:t> </w:t>
      </w:r>
      <w:r>
        <w:rPr>
          <w:color w:val="231F1F"/>
          <w:w w:val="110"/>
          <w:sz w:val="12"/>
        </w:rPr>
        <w:t>increased</w:t>
      </w:r>
      <w:r>
        <w:rPr>
          <w:color w:val="231F1F"/>
          <w:spacing w:val="-12"/>
          <w:w w:val="110"/>
          <w:sz w:val="12"/>
        </w:rPr>
        <w:t> </w:t>
      </w:r>
      <w:r>
        <w:rPr>
          <w:color w:val="231F1F"/>
          <w:w w:val="110"/>
          <w:sz w:val="12"/>
        </w:rPr>
        <w:t>by</w:t>
      </w:r>
      <w:r>
        <w:rPr>
          <w:color w:val="231F1F"/>
          <w:spacing w:val="-12"/>
          <w:w w:val="110"/>
          <w:sz w:val="12"/>
        </w:rPr>
        <w:t> </w:t>
      </w:r>
      <w:r>
        <w:rPr>
          <w:rFonts w:ascii="Calibri"/>
          <w:color w:val="008356"/>
          <w:spacing w:val="4"/>
          <w:w w:val="110"/>
          <w:sz w:val="11"/>
        </w:rPr>
        <w:t>SODIUM</w:t>
      </w:r>
      <w:r>
        <w:rPr>
          <w:rFonts w:ascii="Calibri"/>
          <w:color w:val="008356"/>
          <w:spacing w:val="-4"/>
          <w:w w:val="110"/>
          <w:sz w:val="11"/>
        </w:rPr>
        <w:t> </w:t>
      </w:r>
      <w:r>
        <w:rPr>
          <w:rFonts w:ascii="Calibri"/>
          <w:color w:val="008356"/>
          <w:spacing w:val="3"/>
          <w:w w:val="110"/>
          <w:sz w:val="11"/>
        </w:rPr>
        <w:t>VALPROATE</w:t>
      </w:r>
      <w:r>
        <w:rPr>
          <w:rFonts w:ascii="Calibri"/>
          <w:color w:val="008356"/>
          <w:spacing w:val="-2"/>
          <w:w w:val="110"/>
          <w:sz w:val="11"/>
        </w:rPr>
        <w:t> </w:t>
      </w:r>
      <w:r>
        <w:rPr>
          <w:color w:val="231F1F"/>
          <w:w w:val="110"/>
          <w:sz w:val="12"/>
        </w:rPr>
        <w:t>and</w:t>
      </w:r>
      <w:r>
        <w:rPr>
          <w:color w:val="231F1F"/>
          <w:spacing w:val="-11"/>
          <w:w w:val="110"/>
          <w:sz w:val="12"/>
        </w:rPr>
        <w:t> </w:t>
      </w:r>
      <w:r>
        <w:rPr>
          <w:rFonts w:ascii="Calibri"/>
          <w:color w:val="008356"/>
          <w:spacing w:val="3"/>
          <w:w w:val="110"/>
          <w:sz w:val="11"/>
        </w:rPr>
        <w:t>VALPROIC ACID </w:t>
      </w:r>
      <w:r>
        <w:rPr>
          <w:color w:val="231F1F"/>
          <w:w w:val="110"/>
          <w:sz w:val="12"/>
        </w:rPr>
        <w:t>(also plasma concentration of sodium valproate and valproic acid reduced); plasma concentration of primidone increased by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STIRIPENTOL</w:t>
      </w:r>
    </w:p>
    <w:p>
      <w:pPr>
        <w:spacing w:line="242" w:lineRule="auto" w:before="0"/>
        <w:ind w:left="208" w:right="675" w:hanging="100"/>
        <w:jc w:val="left"/>
        <w:rPr>
          <w:sz w:val="12"/>
        </w:rPr>
      </w:pPr>
      <w:r>
        <w:rPr>
          <w:rFonts w:ascii="Arial" w:hAnsi="Arial"/>
          <w:color w:val="231F1F"/>
          <w:w w:val="355"/>
          <w:position w:val="1"/>
          <w:sz w:val="7"/>
        </w:rPr>
        <w:t>l </w:t>
      </w:r>
      <w:r>
        <w:rPr>
          <w:rFonts w:ascii="Calibri" w:hAnsi="Calibri"/>
          <w:color w:val="231F1F"/>
          <w:w w:val="110"/>
          <w:sz w:val="12"/>
        </w:rPr>
        <w:t>Antifungals: </w:t>
      </w:r>
      <w:r>
        <w:rPr>
          <w:color w:val="231F1F"/>
          <w:w w:val="110"/>
          <w:sz w:val="12"/>
        </w:rPr>
        <w:t>primidone possibly reduces plasma concentration of </w:t>
      </w:r>
      <w:r>
        <w:rPr>
          <w:rFonts w:ascii="Calibri" w:hAnsi="Calibri"/>
          <w:color w:val="008356"/>
          <w:w w:val="110"/>
          <w:sz w:val="11"/>
        </w:rPr>
        <w:t>ITRACONAZOLE </w:t>
      </w:r>
      <w:r>
        <w:rPr>
          <w:color w:val="231F1F"/>
          <w:w w:val="110"/>
          <w:sz w:val="12"/>
        </w:rPr>
        <w:t>and </w:t>
      </w:r>
      <w:r>
        <w:rPr>
          <w:rFonts w:ascii="Arial" w:hAnsi="Arial"/>
          <w:color w:val="231F1F"/>
          <w:w w:val="355"/>
          <w:position w:val="1"/>
          <w:sz w:val="7"/>
        </w:rPr>
        <w:t>l </w:t>
      </w:r>
      <w:r>
        <w:rPr>
          <w:rFonts w:ascii="Calibri" w:hAnsi="Calibri"/>
          <w:color w:val="008356"/>
          <w:w w:val="110"/>
          <w:sz w:val="11"/>
        </w:rPr>
        <w:t>POSACONAZOLE</w:t>
      </w:r>
      <w:r>
        <w:rPr>
          <w:color w:val="231F1F"/>
          <w:w w:val="110"/>
          <w:sz w:val="12"/>
        </w:rPr>
        <w:t>; primidone possibly reduces plasma concentration of </w:t>
      </w:r>
      <w:r>
        <w:rPr>
          <w:rFonts w:ascii="Arial" w:hAnsi="Arial"/>
          <w:color w:val="231F1F"/>
          <w:w w:val="355"/>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avoid concomitant use; primidone reduces absorption of </w:t>
      </w:r>
      <w:r>
        <w:rPr>
          <w:rFonts w:ascii="Calibri" w:hAnsi="Calibri"/>
          <w:color w:val="008356"/>
          <w:w w:val="110"/>
          <w:sz w:val="11"/>
        </w:rPr>
        <w:t>GRISEOFULVIN </w:t>
      </w:r>
      <w:r>
        <w:rPr>
          <w:color w:val="231F1F"/>
          <w:w w:val="110"/>
          <w:sz w:val="12"/>
        </w:rPr>
        <w:t>(reduced effect)</w:t>
      </w:r>
    </w:p>
    <w:p>
      <w:pPr>
        <w:spacing w:line="240" w:lineRule="auto" w:before="0"/>
        <w:ind w:left="208" w:right="674"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primidone advised by manufacturer</w:t>
      </w:r>
      <w:r>
        <w:rPr>
          <w:color w:val="231F1F"/>
          <w:spacing w:val="-19"/>
          <w:w w:val="110"/>
          <w:sz w:val="12"/>
        </w:rPr>
        <w:t> </w:t>
      </w:r>
      <w:r>
        <w:rPr>
          <w:color w:val="231F1F"/>
          <w:w w:val="110"/>
          <w:sz w:val="12"/>
        </w:rPr>
        <w:t>of</w:t>
      </w:r>
      <w:r>
        <w:rPr>
          <w:color w:val="231F1F"/>
          <w:spacing w:val="-17"/>
          <w:w w:val="110"/>
          <w:sz w:val="12"/>
        </w:rPr>
        <w:t> </w:t>
      </w:r>
      <w:r>
        <w:rPr>
          <w:rFonts w:ascii="Calibri"/>
          <w:color w:val="008356"/>
          <w:spacing w:val="4"/>
          <w:w w:val="110"/>
          <w:sz w:val="11"/>
        </w:rPr>
        <w:t>ARTENIMOL</w:t>
      </w:r>
      <w:r>
        <w:rPr>
          <w:rFonts w:ascii="Calibri"/>
          <w:color w:val="008356"/>
          <w:spacing w:val="-14"/>
          <w:w w:val="110"/>
          <w:sz w:val="11"/>
        </w:rPr>
        <w:t> </w:t>
      </w:r>
      <w:r>
        <w:rPr>
          <w:rFonts w:ascii="Calibri"/>
          <w:color w:val="008356"/>
          <w:spacing w:val="3"/>
          <w:w w:val="110"/>
          <w:sz w:val="11"/>
        </w:rPr>
        <w:t>WITH</w:t>
      </w:r>
      <w:r>
        <w:rPr>
          <w:rFonts w:ascii="Calibri"/>
          <w:color w:val="008356"/>
          <w:spacing w:val="-10"/>
          <w:w w:val="110"/>
          <w:sz w:val="11"/>
        </w:rPr>
        <w:t> </w:t>
      </w:r>
      <w:r>
        <w:rPr>
          <w:rFonts w:ascii="Calibri"/>
          <w:color w:val="008356"/>
          <w:spacing w:val="4"/>
          <w:w w:val="110"/>
          <w:sz w:val="11"/>
        </w:rPr>
        <w:t>PIPERAQUINE</w:t>
      </w:r>
      <w:r>
        <w:rPr>
          <w:color w:val="231F1F"/>
          <w:spacing w:val="4"/>
          <w:w w:val="110"/>
          <w:sz w:val="12"/>
        </w:rPr>
        <w:t>;</w:t>
      </w:r>
      <w:r>
        <w:rPr>
          <w:color w:val="231F1F"/>
          <w:spacing w:val="-18"/>
          <w:w w:val="110"/>
          <w:sz w:val="12"/>
        </w:rPr>
        <w:t> </w:t>
      </w:r>
      <w:r>
        <w:rPr>
          <w:color w:val="231F1F"/>
          <w:w w:val="110"/>
          <w:sz w:val="12"/>
        </w:rPr>
        <w:t>anticonvulsant effect of antiepileptics antagonised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MEFLOQUINE</w:t>
      </w:r>
    </w:p>
    <w:p>
      <w:pPr>
        <w:pStyle w:val="BodyText"/>
        <w:spacing w:line="244" w:lineRule="auto"/>
        <w:ind w:right="820" w:hanging="100"/>
      </w:pPr>
      <w:r>
        <w:rPr>
          <w:rFonts w:ascii="Arial" w:hAnsi="Arial"/>
          <w:color w:val="231F1F"/>
          <w:w w:val="355"/>
          <w:position w:val="1"/>
          <w:sz w:val="7"/>
        </w:rPr>
        <w:t>l </w:t>
      </w:r>
      <w:r>
        <w:rPr>
          <w:rFonts w:ascii="Calibri" w:hAnsi="Calibri"/>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Calibri" w:hAnsi="Calibri"/>
          <w:color w:val="008356"/>
          <w:w w:val="110"/>
          <w:sz w:val="11"/>
        </w:rPr>
        <w:t>ANTIPSYCHOTICS </w:t>
      </w:r>
      <w:r>
        <w:rPr>
          <w:color w:val="231F1F"/>
          <w:w w:val="110"/>
        </w:rPr>
        <w:t>(convulsive threshold lowered); primidone accelerates  metabolism  of </w:t>
      </w:r>
      <w:r>
        <w:rPr>
          <w:rFonts w:ascii="Calibri" w:hAnsi="Calibri"/>
          <w:color w:val="008356"/>
          <w:w w:val="110"/>
          <w:sz w:val="11"/>
        </w:rPr>
        <w:t>HALOPERIDOL </w:t>
      </w:r>
      <w:r>
        <w:rPr>
          <w:color w:val="231F1F"/>
          <w:w w:val="110"/>
        </w:rPr>
        <w:t>(reduced plasma concentration); plasma concentration of both drugs reduced when primidone given with </w:t>
      </w:r>
      <w:r>
        <w:rPr>
          <w:rFonts w:ascii="Calibri" w:hAnsi="Calibri"/>
          <w:color w:val="008356"/>
          <w:w w:val="110"/>
          <w:sz w:val="11"/>
        </w:rPr>
        <w:t>CHLORPROMAZINE</w:t>
      </w:r>
      <w:r>
        <w:rPr>
          <w:color w:val="231F1F"/>
          <w:w w:val="110"/>
        </w:rPr>
        <w:t>; primidone possibly reduces plasma concentration of </w:t>
      </w:r>
      <w:r>
        <w:rPr>
          <w:rFonts w:ascii="Arial" w:hAnsi="Arial"/>
          <w:color w:val="231F1F"/>
          <w:w w:val="355"/>
          <w:position w:val="1"/>
          <w:sz w:val="7"/>
        </w:rPr>
        <w:t>l </w:t>
      </w:r>
      <w:r>
        <w:rPr>
          <w:rFonts w:ascii="Calibri" w:hAnsi="Calibri"/>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primidone possibly reduces plasma concentration of </w:t>
      </w:r>
      <w:r>
        <w:rPr>
          <w:rFonts w:ascii="Calibri" w:hAnsi="Calibri"/>
          <w:color w:val="008356"/>
          <w:w w:val="110"/>
          <w:sz w:val="11"/>
        </w:rPr>
        <w:t>CLOZAPINE</w:t>
      </w:r>
      <w:r>
        <w:rPr>
          <w:color w:val="231F1F"/>
          <w:w w:val="110"/>
        </w:rPr>
        <w:t>; primidone possibly reduces plasma concentration of </w:t>
      </w:r>
      <w:r>
        <w:rPr>
          <w:rFonts w:ascii="Arial" w:hAnsi="Arial"/>
          <w:color w:val="231F1F"/>
          <w:w w:val="355"/>
          <w:position w:val="1"/>
          <w:sz w:val="7"/>
        </w:rPr>
        <w:t>l </w:t>
      </w:r>
      <w:r>
        <w:rPr>
          <w:rFonts w:ascii="Calibri" w:hAnsi="Calibri"/>
          <w:color w:val="008356"/>
          <w:w w:val="110"/>
          <w:sz w:val="11"/>
        </w:rPr>
        <w:t>LURASIDONE</w:t>
      </w:r>
      <w:r>
        <w:rPr>
          <w:rFonts w:ascii="Arial" w:hAnsi="Arial"/>
          <w:color w:val="231F1F"/>
          <w:w w:val="110"/>
        </w:rPr>
        <w:t>—</w:t>
      </w:r>
      <w:r>
        <w:rPr>
          <w:color w:val="231F1F"/>
          <w:w w:val="110"/>
        </w:rPr>
        <w:t>avoid concomitant use</w:t>
      </w:r>
    </w:p>
    <w:p>
      <w:pPr>
        <w:spacing w:before="0"/>
        <w:ind w:left="208" w:right="762"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primidone possibly reduces plasma </w:t>
      </w:r>
      <w:r>
        <w:rPr>
          <w:color w:val="231F1F"/>
          <w:spacing w:val="-2"/>
          <w:w w:val="110"/>
          <w:sz w:val="12"/>
        </w:rPr>
        <w:t>concentration </w:t>
      </w:r>
      <w:r>
        <w:rPr>
          <w:color w:val="231F1F"/>
          <w:w w:val="110"/>
          <w:sz w:val="12"/>
        </w:rPr>
        <w:t>of </w:t>
      </w:r>
      <w:r>
        <w:rPr>
          <w:rFonts w:ascii="Calibri"/>
          <w:color w:val="008356"/>
          <w:spacing w:val="3"/>
          <w:w w:val="110"/>
          <w:sz w:val="11"/>
        </w:rPr>
        <w:t>ABACAVIR</w:t>
      </w:r>
      <w:r>
        <w:rPr>
          <w:color w:val="231F1F"/>
          <w:spacing w:val="3"/>
          <w:w w:val="110"/>
          <w:sz w:val="12"/>
        </w:rPr>
        <w:t>, </w:t>
      </w:r>
      <w:r>
        <w:rPr>
          <w:rFonts w:ascii="Calibri"/>
          <w:color w:val="008356"/>
          <w:spacing w:val="3"/>
          <w:w w:val="110"/>
          <w:sz w:val="11"/>
        </w:rPr>
        <w:t>DARUNAVIR</w:t>
      </w:r>
      <w:r>
        <w:rPr>
          <w:color w:val="231F1F"/>
          <w:spacing w:val="3"/>
          <w:w w:val="110"/>
          <w:sz w:val="12"/>
        </w:rPr>
        <w:t>, </w:t>
      </w:r>
      <w:r>
        <w:rPr>
          <w:rFonts w:ascii="Calibri"/>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INDINAVIR</w:t>
      </w:r>
      <w:r>
        <w:rPr>
          <w:color w:val="231F1F"/>
          <w:spacing w:val="4"/>
          <w:w w:val="110"/>
          <w:sz w:val="12"/>
        </w:rPr>
        <w:t>,</w:t>
      </w:r>
    </w:p>
    <w:p>
      <w:pPr>
        <w:spacing w:line="247" w:lineRule="auto" w:before="0"/>
        <w:ind w:left="208" w:right="768" w:firstLine="0"/>
        <w:jc w:val="left"/>
        <w:rPr>
          <w:rFonts w:ascii="Calibri" w:hAnsi="Calibri"/>
          <w:sz w:val="11"/>
        </w:rPr>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20"/>
          <w:sz w:val="11"/>
        </w:rPr>
        <w:t>LOPINAVIR</w:t>
      </w:r>
      <w:r>
        <w:rPr>
          <w:rFonts w:ascii="Calibri" w:hAnsi="Calibri"/>
          <w:color w:val="008356"/>
          <w:spacing w:val="-12"/>
          <w:w w:val="120"/>
          <w:sz w:val="11"/>
        </w:rPr>
        <w:t> </w:t>
      </w:r>
      <w:r>
        <w:rPr>
          <w:color w:val="231F1F"/>
          <w:w w:val="120"/>
          <w:sz w:val="12"/>
        </w:rPr>
        <w:t>and</w:t>
      </w:r>
      <w:r>
        <w:rPr>
          <w:color w:val="231F1F"/>
          <w:spacing w:val="-21"/>
          <w:w w:val="12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20"/>
          <w:sz w:val="11"/>
        </w:rPr>
        <w:t>SAQUINAVIR</w:t>
      </w:r>
      <w:r>
        <w:rPr>
          <w:color w:val="231F1F"/>
          <w:spacing w:val="4"/>
          <w:w w:val="120"/>
          <w:sz w:val="12"/>
        </w:rPr>
        <w:t>;</w:t>
      </w:r>
      <w:r>
        <w:rPr>
          <w:color w:val="231F1F"/>
          <w:spacing w:val="-21"/>
          <w:w w:val="120"/>
          <w:sz w:val="12"/>
        </w:rPr>
        <w:t> </w:t>
      </w:r>
      <w:r>
        <w:rPr>
          <w:color w:val="231F1F"/>
          <w:w w:val="120"/>
          <w:sz w:val="12"/>
        </w:rPr>
        <w:t>avoidance</w:t>
      </w:r>
      <w:r>
        <w:rPr>
          <w:color w:val="231F1F"/>
          <w:spacing w:val="-21"/>
          <w:w w:val="120"/>
          <w:sz w:val="12"/>
        </w:rPr>
        <w:t> </w:t>
      </w:r>
      <w:r>
        <w:rPr>
          <w:color w:val="231F1F"/>
          <w:w w:val="120"/>
          <w:sz w:val="12"/>
        </w:rPr>
        <w:t>of</w:t>
      </w:r>
      <w:r>
        <w:rPr>
          <w:color w:val="231F1F"/>
          <w:spacing w:val="-21"/>
          <w:w w:val="120"/>
          <w:sz w:val="12"/>
        </w:rPr>
        <w:t> </w:t>
      </w:r>
      <w:r>
        <w:rPr>
          <w:color w:val="231F1F"/>
          <w:w w:val="120"/>
          <w:sz w:val="12"/>
        </w:rPr>
        <w:t>primidone advised</w:t>
      </w:r>
      <w:r>
        <w:rPr>
          <w:color w:val="231F1F"/>
          <w:spacing w:val="-26"/>
          <w:w w:val="120"/>
          <w:sz w:val="12"/>
        </w:rPr>
        <w:t> </w:t>
      </w:r>
      <w:r>
        <w:rPr>
          <w:color w:val="231F1F"/>
          <w:w w:val="120"/>
          <w:sz w:val="12"/>
        </w:rPr>
        <w:t>by</w:t>
      </w:r>
      <w:r>
        <w:rPr>
          <w:color w:val="231F1F"/>
          <w:spacing w:val="-26"/>
          <w:w w:val="120"/>
          <w:sz w:val="12"/>
        </w:rPr>
        <w:t> </w:t>
      </w:r>
      <w:r>
        <w:rPr>
          <w:color w:val="231F1F"/>
          <w:w w:val="120"/>
          <w:sz w:val="12"/>
        </w:rPr>
        <w:t>manufacturer</w:t>
      </w:r>
      <w:r>
        <w:rPr>
          <w:color w:val="231F1F"/>
          <w:spacing w:val="-25"/>
          <w:w w:val="120"/>
          <w:sz w:val="12"/>
        </w:rPr>
        <w:t> </w:t>
      </w:r>
      <w:r>
        <w:rPr>
          <w:color w:val="231F1F"/>
          <w:w w:val="120"/>
          <w:sz w:val="12"/>
        </w:rPr>
        <w:t>of</w:t>
      </w:r>
      <w:r>
        <w:rPr>
          <w:color w:val="231F1F"/>
          <w:spacing w:val="-26"/>
          <w:w w:val="120"/>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4"/>
          <w:w w:val="120"/>
          <w:sz w:val="11"/>
        </w:rPr>
        <w:t>BOCEPREVIR</w:t>
      </w:r>
      <w:r>
        <w:rPr>
          <w:rFonts w:ascii="Calibri" w:hAnsi="Calibri"/>
          <w:color w:val="008356"/>
          <w:spacing w:val="-17"/>
          <w:w w:val="120"/>
          <w:sz w:val="11"/>
        </w:rPr>
        <w:t> </w:t>
      </w:r>
      <w:r>
        <w:rPr>
          <w:color w:val="231F1F"/>
          <w:w w:val="120"/>
          <w:sz w:val="12"/>
        </w:rPr>
        <w:t>and</w:t>
      </w:r>
      <w:r>
        <w:rPr>
          <w:color w:val="231F1F"/>
          <w:spacing w:val="-26"/>
          <w:w w:val="120"/>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4"/>
          <w:w w:val="120"/>
          <w:sz w:val="11"/>
        </w:rPr>
        <w:t>RILPIVIRINE </w:t>
      </w:r>
      <w:r>
        <w:rPr>
          <w:color w:val="231F1F"/>
          <w:w w:val="115"/>
          <w:sz w:val="12"/>
        </w:rPr>
        <w:t>(plasma</w:t>
      </w:r>
      <w:r>
        <w:rPr>
          <w:color w:val="231F1F"/>
          <w:spacing w:val="-13"/>
          <w:w w:val="115"/>
          <w:sz w:val="12"/>
        </w:rPr>
        <w:t> </w:t>
      </w:r>
      <w:r>
        <w:rPr>
          <w:color w:val="231F1F"/>
          <w:w w:val="115"/>
          <w:sz w:val="12"/>
        </w:rPr>
        <w:t>concentration</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boceprevir</w:t>
      </w:r>
      <w:r>
        <w:rPr>
          <w:color w:val="231F1F"/>
          <w:spacing w:val="-13"/>
          <w:w w:val="115"/>
          <w:sz w:val="12"/>
        </w:rPr>
        <w:t> </w:t>
      </w:r>
      <w:r>
        <w:rPr>
          <w:color w:val="231F1F"/>
          <w:w w:val="115"/>
          <w:sz w:val="12"/>
        </w:rPr>
        <w:t>and</w:t>
      </w:r>
      <w:r>
        <w:rPr>
          <w:color w:val="231F1F"/>
          <w:spacing w:val="-11"/>
          <w:w w:val="115"/>
          <w:sz w:val="12"/>
        </w:rPr>
        <w:t> </w:t>
      </w:r>
      <w:r>
        <w:rPr>
          <w:color w:val="231F1F"/>
          <w:w w:val="115"/>
          <w:sz w:val="12"/>
        </w:rPr>
        <w:t>rilpivirine</w:t>
      </w:r>
      <w:r>
        <w:rPr>
          <w:color w:val="231F1F"/>
          <w:spacing w:val="-11"/>
          <w:w w:val="115"/>
          <w:sz w:val="12"/>
        </w:rPr>
        <w:t> </w:t>
      </w:r>
      <w:r>
        <w:rPr>
          <w:color w:val="231F1F"/>
          <w:w w:val="115"/>
          <w:sz w:val="12"/>
        </w:rPr>
        <w:t>possibly reduced);</w:t>
      </w:r>
      <w:r>
        <w:rPr>
          <w:color w:val="231F1F"/>
          <w:spacing w:val="-10"/>
          <w:w w:val="115"/>
          <w:sz w:val="12"/>
        </w:rPr>
        <w:t> </w:t>
      </w:r>
      <w:r>
        <w:rPr>
          <w:color w:val="231F1F"/>
          <w:w w:val="115"/>
          <w:sz w:val="12"/>
        </w:rPr>
        <w:t>primidone</w:t>
      </w:r>
      <w:r>
        <w:rPr>
          <w:color w:val="231F1F"/>
          <w:spacing w:val="-10"/>
          <w:w w:val="115"/>
          <w:sz w:val="12"/>
        </w:rPr>
        <w:t> </w:t>
      </w:r>
      <w:r>
        <w:rPr>
          <w:color w:val="231F1F"/>
          <w:w w:val="115"/>
          <w:sz w:val="12"/>
        </w:rPr>
        <w:t>possibly</w:t>
      </w:r>
      <w:r>
        <w:rPr>
          <w:color w:val="231F1F"/>
          <w:spacing w:val="-9"/>
          <w:w w:val="115"/>
          <w:sz w:val="12"/>
        </w:rPr>
        <w:t> </w:t>
      </w:r>
      <w:r>
        <w:rPr>
          <w:color w:val="231F1F"/>
          <w:w w:val="115"/>
          <w:sz w:val="12"/>
        </w:rPr>
        <w:t>reduces</w:t>
      </w:r>
      <w:r>
        <w:rPr>
          <w:color w:val="231F1F"/>
          <w:spacing w:val="-10"/>
          <w:w w:val="115"/>
          <w:sz w:val="12"/>
        </w:rPr>
        <w:t> </w:t>
      </w:r>
      <w:r>
        <w:rPr>
          <w:color w:val="231F1F"/>
          <w:w w:val="115"/>
          <w:sz w:val="12"/>
        </w:rPr>
        <w:t>plasma</w:t>
      </w:r>
      <w:r>
        <w:rPr>
          <w:color w:val="231F1F"/>
          <w:spacing w:val="-9"/>
          <w:w w:val="115"/>
          <w:sz w:val="12"/>
        </w:rPr>
        <w:t> </w:t>
      </w:r>
      <w:r>
        <w:rPr>
          <w:color w:val="231F1F"/>
          <w:w w:val="115"/>
          <w:sz w:val="12"/>
        </w:rPr>
        <w:t>concentration </w:t>
      </w:r>
      <w:r>
        <w:rPr>
          <w:color w:val="231F1F"/>
          <w:w w:val="120"/>
          <w:sz w:val="12"/>
        </w:rPr>
        <w:t>of </w:t>
      </w:r>
      <w:r>
        <w:rPr>
          <w:rFonts w:ascii="Arial" w:hAnsi="Arial"/>
          <w:color w:val="231F1F"/>
          <w:w w:val="355"/>
          <w:position w:val="1"/>
          <w:sz w:val="7"/>
        </w:rPr>
        <w:t>l </w:t>
      </w:r>
      <w:r>
        <w:rPr>
          <w:rFonts w:ascii="Calibri" w:hAnsi="Calibri"/>
          <w:color w:val="008356"/>
          <w:spacing w:val="3"/>
          <w:w w:val="120"/>
          <w:sz w:val="11"/>
        </w:rPr>
        <w:t>DACLATASVIR </w:t>
      </w:r>
      <w:r>
        <w:rPr>
          <w:color w:val="231F1F"/>
          <w:w w:val="120"/>
          <w:sz w:val="12"/>
        </w:rPr>
        <w:t>and </w:t>
      </w:r>
      <w:r>
        <w:rPr>
          <w:rFonts w:ascii="Arial" w:hAnsi="Arial"/>
          <w:color w:val="231F1F"/>
          <w:w w:val="355"/>
          <w:position w:val="1"/>
          <w:sz w:val="7"/>
        </w:rPr>
        <w:t>l </w:t>
      </w:r>
      <w:r>
        <w:rPr>
          <w:rFonts w:ascii="Calibri" w:hAnsi="Calibri"/>
          <w:color w:val="008356"/>
          <w:spacing w:val="2"/>
          <w:w w:val="120"/>
          <w:sz w:val="11"/>
        </w:rPr>
        <w:t>SIMEPREVIR</w:t>
      </w:r>
      <w:r>
        <w:rPr>
          <w:rFonts w:ascii="Arial" w:hAnsi="Arial"/>
          <w:color w:val="231F1F"/>
          <w:spacing w:val="2"/>
          <w:w w:val="120"/>
          <w:sz w:val="12"/>
        </w:rPr>
        <w:t>—</w:t>
      </w:r>
      <w:r>
        <w:rPr>
          <w:color w:val="231F1F"/>
          <w:spacing w:val="2"/>
          <w:w w:val="120"/>
          <w:sz w:val="12"/>
        </w:rPr>
        <w:t>manufacturer </w:t>
      </w:r>
      <w:r>
        <w:rPr>
          <w:color w:val="231F1F"/>
          <w:w w:val="120"/>
          <w:sz w:val="12"/>
        </w:rPr>
        <w:t>of daclatasvir</w:t>
      </w:r>
      <w:r>
        <w:rPr>
          <w:color w:val="231F1F"/>
          <w:spacing w:val="-24"/>
          <w:w w:val="120"/>
          <w:sz w:val="12"/>
        </w:rPr>
        <w:t> </w:t>
      </w:r>
      <w:r>
        <w:rPr>
          <w:color w:val="231F1F"/>
          <w:w w:val="120"/>
          <w:sz w:val="12"/>
        </w:rPr>
        <w:t>and</w:t>
      </w:r>
      <w:r>
        <w:rPr>
          <w:color w:val="231F1F"/>
          <w:spacing w:val="-23"/>
          <w:w w:val="120"/>
          <w:sz w:val="12"/>
        </w:rPr>
        <w:t> </w:t>
      </w:r>
      <w:r>
        <w:rPr>
          <w:color w:val="231F1F"/>
          <w:w w:val="120"/>
          <w:sz w:val="12"/>
        </w:rPr>
        <w:t>simeprevir</w:t>
      </w:r>
      <w:r>
        <w:rPr>
          <w:color w:val="231F1F"/>
          <w:spacing w:val="-22"/>
          <w:w w:val="120"/>
          <w:sz w:val="12"/>
        </w:rPr>
        <w:t> </w:t>
      </w:r>
      <w:r>
        <w:rPr>
          <w:color w:val="231F1F"/>
          <w:w w:val="120"/>
          <w:sz w:val="12"/>
        </w:rPr>
        <w:t>advises</w:t>
      </w:r>
      <w:r>
        <w:rPr>
          <w:color w:val="231F1F"/>
          <w:spacing w:val="-23"/>
          <w:w w:val="120"/>
          <w:sz w:val="12"/>
        </w:rPr>
        <w:t> </w:t>
      </w:r>
      <w:r>
        <w:rPr>
          <w:color w:val="231F1F"/>
          <w:w w:val="120"/>
          <w:sz w:val="12"/>
        </w:rPr>
        <w:t>avoid</w:t>
      </w:r>
      <w:r>
        <w:rPr>
          <w:color w:val="231F1F"/>
          <w:spacing w:val="-24"/>
          <w:w w:val="120"/>
          <w:sz w:val="12"/>
        </w:rPr>
        <w:t> </w:t>
      </w:r>
      <w:r>
        <w:rPr>
          <w:color w:val="231F1F"/>
          <w:w w:val="120"/>
          <w:sz w:val="12"/>
        </w:rPr>
        <w:t>concomitant</w:t>
      </w:r>
      <w:r>
        <w:rPr>
          <w:color w:val="231F1F"/>
          <w:spacing w:val="-23"/>
          <w:w w:val="120"/>
          <w:sz w:val="12"/>
        </w:rPr>
        <w:t> </w:t>
      </w:r>
      <w:r>
        <w:rPr>
          <w:color w:val="231F1F"/>
          <w:w w:val="120"/>
          <w:sz w:val="12"/>
        </w:rPr>
        <w:t>use; avoidance of primidone advised by manufacturer of </w:t>
      </w:r>
      <w:r>
        <w:rPr>
          <w:rFonts w:ascii="Calibri" w:hAnsi="Calibri"/>
          <w:color w:val="008356"/>
          <w:spacing w:val="4"/>
          <w:w w:val="105"/>
          <w:sz w:val="11"/>
        </w:rPr>
        <w:t>DOLUTEGRAVIR</w:t>
      </w:r>
      <w:r>
        <w:rPr>
          <w:color w:val="231F1F"/>
          <w:spacing w:val="4"/>
          <w:w w:val="105"/>
          <w:sz w:val="12"/>
        </w:rPr>
        <w:t>, </w:t>
      </w:r>
      <w:r>
        <w:rPr>
          <w:rFonts w:ascii="Arial" w:hAnsi="Arial"/>
          <w:color w:val="231F1F"/>
          <w:w w:val="105"/>
          <w:position w:val="1"/>
          <w:sz w:val="7"/>
        </w:rPr>
        <w:t>l </w:t>
      </w:r>
      <w:r>
        <w:rPr>
          <w:rFonts w:ascii="Calibri" w:hAnsi="Calibri"/>
          <w:color w:val="008356"/>
          <w:spacing w:val="3"/>
          <w:w w:val="105"/>
          <w:sz w:val="11"/>
        </w:rPr>
        <w:t>ELVITEGRAVIR</w:t>
      </w:r>
      <w:r>
        <w:rPr>
          <w:color w:val="231F1F"/>
          <w:spacing w:val="3"/>
          <w:w w:val="105"/>
          <w:sz w:val="12"/>
        </w:rPr>
        <w:t>, </w:t>
      </w:r>
      <w:r>
        <w:rPr>
          <w:rFonts w:ascii="Calibri" w:hAnsi="Calibri"/>
          <w:color w:val="008356"/>
          <w:spacing w:val="4"/>
          <w:w w:val="105"/>
          <w:sz w:val="11"/>
        </w:rPr>
        <w:t>ETRAVIRINE</w:t>
      </w:r>
      <w:r>
        <w:rPr>
          <w:color w:val="231F1F"/>
          <w:spacing w:val="4"/>
          <w:w w:val="105"/>
          <w:sz w:val="12"/>
        </w:rPr>
        <w:t>, </w:t>
      </w:r>
      <w:r>
        <w:rPr>
          <w:rFonts w:ascii="Calibri" w:hAnsi="Calibri"/>
          <w:color w:val="008356"/>
          <w:spacing w:val="4"/>
          <w:w w:val="105"/>
          <w:sz w:val="11"/>
        </w:rPr>
        <w:t>SOFOSBUVIR </w:t>
      </w:r>
      <w:r>
        <w:rPr>
          <w:color w:val="231F1F"/>
          <w:w w:val="105"/>
          <w:sz w:val="12"/>
        </w:rPr>
        <w:t>and</w:t>
      </w:r>
      <w:r>
        <w:rPr>
          <w:color w:val="231F1F"/>
          <w:w w:val="105"/>
          <w:position w:val="1"/>
          <w:sz w:val="12"/>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5"/>
          <w:w w:val="120"/>
          <w:sz w:val="11"/>
        </w:rPr>
        <w:t>TELAPREVIR</w:t>
      </w:r>
    </w:p>
    <w:p>
      <w:pPr>
        <w:spacing w:line="230" w:lineRule="auto" w:before="0"/>
        <w:ind w:left="208" w:right="67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increased sedative effect when primidone given with </w:t>
      </w:r>
      <w:r>
        <w:rPr>
          <w:rFonts w:ascii="Calibri" w:hAnsi="Calibri"/>
          <w:color w:val="008356"/>
          <w:w w:val="105"/>
          <w:sz w:val="11"/>
        </w:rPr>
        <w:t>ANXIOLYTICS AND HYPNOTICS</w:t>
      </w:r>
      <w:r>
        <w:rPr>
          <w:color w:val="231F1F"/>
          <w:w w:val="105"/>
          <w:sz w:val="12"/>
        </w:rPr>
        <w:t>; primidone often reduces plasma concentration of </w:t>
      </w:r>
      <w:r>
        <w:rPr>
          <w:rFonts w:ascii="Calibri" w:hAnsi="Calibri"/>
          <w:color w:val="008356"/>
          <w:w w:val="105"/>
          <w:sz w:val="11"/>
        </w:rPr>
        <w:t>CLONAZEPAM</w:t>
      </w:r>
    </w:p>
    <w:p>
      <w:pPr>
        <w:pStyle w:val="BodyText"/>
        <w:spacing w:line="220" w:lineRule="auto" w:before="4"/>
        <w:ind w:right="820"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primidone possibly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APREPITANT</w:t>
      </w:r>
    </w:p>
    <w:p>
      <w:pPr>
        <w:pStyle w:val="BodyText"/>
        <w:spacing w:line="230" w:lineRule="auto" w:before="4"/>
        <w:ind w:right="717" w:hanging="100"/>
      </w:pPr>
      <w:r>
        <w:rPr>
          <w:rFonts w:ascii="Lucida Sans Unicode" w:hAnsi="Lucida Sans Unicode"/>
          <w:color w:val="A7A8AC"/>
          <w:w w:val="95"/>
          <w:sz w:val="10"/>
        </w:rPr>
        <w:t>▶ </w:t>
      </w:r>
      <w:r>
        <w:rPr>
          <w:rFonts w:ascii="Calibri" w:hAnsi="Calibri"/>
          <w:color w:val="231F1F"/>
          <w:w w:val="110"/>
        </w:rPr>
        <w:t>Avanafil: </w:t>
      </w:r>
      <w:r>
        <w:rPr>
          <w:color w:val="231F1F"/>
          <w:w w:val="110"/>
        </w:rPr>
        <w:t>primidone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220" w:lineRule="auto" w:before="12"/>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Beta-blockers: </w:t>
      </w:r>
      <w:r>
        <w:rPr>
          <w:color w:val="231F1F"/>
          <w:w w:val="105"/>
        </w:rPr>
        <w:t>primidone possibly reduces plasma concentration of </w:t>
      </w:r>
      <w:r>
        <w:rPr>
          <w:rFonts w:ascii="Calibri" w:hAnsi="Calibri"/>
          <w:color w:val="008356"/>
          <w:w w:val="105"/>
          <w:sz w:val="11"/>
        </w:rPr>
        <w:t>PROPRANOLOL</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Caffeine citrate: </w:t>
      </w:r>
      <w:r>
        <w:rPr>
          <w:color w:val="231F1F"/>
          <w:w w:val="105"/>
        </w:rPr>
        <w:t>effects of primidone possibly antagonised by</w:t>
      </w:r>
    </w:p>
    <w:p>
      <w:pPr>
        <w:spacing w:line="131" w:lineRule="exact" w:before="0"/>
        <w:ind w:left="208" w:right="0" w:firstLine="0"/>
        <w:jc w:val="left"/>
        <w:rPr>
          <w:rFonts w:ascii="Calibri"/>
          <w:sz w:val="11"/>
        </w:rPr>
      </w:pPr>
      <w:r>
        <w:rPr>
          <w:rFonts w:ascii="Calibri"/>
          <w:color w:val="008356"/>
          <w:sz w:val="11"/>
        </w:rPr>
        <w:t>CAFFEINE CITRATE</w:t>
      </w:r>
    </w:p>
    <w:p>
      <w:pPr>
        <w:pStyle w:val="BodyText"/>
        <w:spacing w:line="242" w:lineRule="auto"/>
        <w:ind w:right="809" w:hanging="100"/>
      </w:pPr>
      <w:r>
        <w:rPr>
          <w:rFonts w:ascii="Arial"/>
          <w:color w:val="231F1F"/>
          <w:w w:val="355"/>
          <w:position w:val="1"/>
          <w:sz w:val="7"/>
        </w:rPr>
        <w:t>l </w:t>
      </w:r>
      <w:r>
        <w:rPr>
          <w:rFonts w:ascii="Calibri"/>
          <w:color w:val="231F1F"/>
          <w:w w:val="105"/>
        </w:rPr>
        <w:t>Calcium-channel Blockers: </w:t>
      </w:r>
      <w:r>
        <w:rPr>
          <w:color w:val="231F1F"/>
          <w:w w:val="105"/>
        </w:rPr>
        <w:t>primidone probably reduces effects of </w:t>
      </w:r>
      <w:r>
        <w:rPr>
          <w:rFonts w:ascii="Arial"/>
          <w:color w:val="231F1F"/>
          <w:w w:val="355"/>
          <w:position w:val="1"/>
          <w:sz w:val="7"/>
        </w:rPr>
        <w:t>l </w:t>
      </w:r>
      <w:r>
        <w:rPr>
          <w:rFonts w:ascii="Calibri"/>
          <w:color w:val="008356"/>
          <w:spacing w:val="4"/>
          <w:w w:val="105"/>
          <w:sz w:val="11"/>
        </w:rPr>
        <w:t>CALCIUM-CHANNEL BLOCKERS</w:t>
      </w:r>
      <w:r>
        <w:rPr>
          <w:color w:val="231F1F"/>
          <w:spacing w:val="4"/>
          <w:w w:val="105"/>
        </w:rPr>
        <w:t>; </w:t>
      </w:r>
      <w:r>
        <w:rPr>
          <w:color w:val="231F1F"/>
          <w:w w:val="105"/>
        </w:rPr>
        <w:t>avoidance of primidone advised by manufacturer of </w:t>
      </w:r>
      <w:r>
        <w:rPr>
          <w:rFonts w:ascii="Calibri"/>
          <w:color w:val="008356"/>
          <w:spacing w:val="4"/>
          <w:w w:val="105"/>
          <w:sz w:val="11"/>
        </w:rPr>
        <w:t>ISRADIPINE</w:t>
      </w:r>
      <w:r>
        <w:rPr>
          <w:color w:val="231F1F"/>
          <w:spacing w:val="4"/>
          <w:w w:val="105"/>
        </w:rPr>
        <w:t>; </w:t>
      </w:r>
      <w:r>
        <w:rPr>
          <w:color w:val="231F1F"/>
          <w:w w:val="105"/>
        </w:rPr>
        <w:t>avoidance of  primidone advised by manufacturer of </w:t>
      </w:r>
      <w:r>
        <w:rPr>
          <w:rFonts w:ascii="Arial"/>
          <w:color w:val="231F1F"/>
          <w:w w:val="355"/>
          <w:position w:val="1"/>
          <w:sz w:val="7"/>
        </w:rPr>
        <w:t>l </w:t>
      </w:r>
      <w:r>
        <w:rPr>
          <w:rFonts w:ascii="Calibri"/>
          <w:color w:val="008356"/>
          <w:spacing w:val="4"/>
          <w:w w:val="105"/>
          <w:sz w:val="11"/>
        </w:rPr>
        <w:t>NIMODIPINE </w:t>
      </w:r>
      <w:r>
        <w:rPr>
          <w:color w:val="231F1F"/>
          <w:w w:val="105"/>
        </w:rPr>
        <w:t>(plasma concentration of nimodipine</w:t>
      </w:r>
      <w:r>
        <w:rPr>
          <w:color w:val="231F1F"/>
          <w:spacing w:val="9"/>
          <w:w w:val="105"/>
        </w:rPr>
        <w:t> </w:t>
      </w:r>
      <w:r>
        <w:rPr>
          <w:color w:val="231F1F"/>
          <w:w w:val="105"/>
        </w:rPr>
        <w:t>reduced)</w:t>
      </w:r>
    </w:p>
    <w:p>
      <w:pPr>
        <w:pStyle w:val="BodyText"/>
        <w:ind w:right="959"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20"/>
        </w:rPr>
        <w:t>Cannabis Extract: </w:t>
      </w:r>
      <w:r>
        <w:rPr>
          <w:color w:val="231F1F"/>
          <w:w w:val="120"/>
        </w:rPr>
        <w:t>primidone possibly reduces plasma </w:t>
      </w:r>
      <w:r>
        <w:rPr>
          <w:color w:val="231F1F"/>
          <w:w w:val="115"/>
        </w:rPr>
        <w:t>concentration of </w:t>
      </w:r>
      <w:r>
        <w:rPr>
          <w:rFonts w:ascii="Arial" w:hAnsi="Arial"/>
          <w:color w:val="231F1F"/>
          <w:w w:val="115"/>
          <w:position w:val="1"/>
          <w:sz w:val="7"/>
        </w:rPr>
        <w:t>l </w:t>
      </w:r>
      <w:r>
        <w:rPr>
          <w:rFonts w:ascii="Calibri" w:hAnsi="Calibri"/>
          <w:color w:val="008356"/>
          <w:spacing w:val="4"/>
          <w:w w:val="115"/>
          <w:sz w:val="11"/>
        </w:rPr>
        <w:t>CANNABIS </w:t>
      </w:r>
      <w:r>
        <w:rPr>
          <w:rFonts w:ascii="Calibri" w:hAnsi="Calibri"/>
          <w:color w:val="008356"/>
          <w:w w:val="115"/>
          <w:sz w:val="11"/>
        </w:rPr>
        <w:t>EXTRACT</w:t>
      </w:r>
      <w:r>
        <w:rPr>
          <w:rFonts w:ascii="Arial" w:hAnsi="Arial"/>
          <w:color w:val="231F1F"/>
          <w:w w:val="115"/>
        </w:rPr>
        <w:t>—</w:t>
      </w:r>
      <w:r>
        <w:rPr>
          <w:color w:val="231F1F"/>
          <w:w w:val="115"/>
        </w:rPr>
        <w:t>manufacturer </w:t>
      </w:r>
      <w:r>
        <w:rPr>
          <w:color w:val="231F1F"/>
          <w:spacing w:val="-6"/>
          <w:w w:val="115"/>
        </w:rPr>
        <w:t>of </w:t>
      </w:r>
      <w:r>
        <w:rPr>
          <w:color w:val="231F1F"/>
          <w:w w:val="120"/>
        </w:rPr>
        <w:t>cannabis extract advises avoid concomitant use</w:t>
      </w:r>
    </w:p>
    <w:p>
      <w:pPr>
        <w:spacing w:after="0"/>
        <w:sectPr>
          <w:pgSz w:w="8390" w:h="11910"/>
          <w:pgMar w:header="0" w:footer="0" w:top="460" w:bottom="0" w:left="480" w:right="0"/>
          <w:cols w:num="2" w:equalWidth="0">
            <w:col w:w="3579" w:space="97"/>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5680" filled="true" fillcolor="#bfdbcf" stroked="false">
            <v:fill type="solid"/>
            <w10:wrap type="none"/>
          </v:rect>
        </w:pict>
      </w:r>
      <w:r>
        <w:rPr/>
        <w:pict>
          <v:shape style="position:absolute;margin-left:7.751256pt;margin-top:35.804367pt;width:10.4pt;height:78.850pt;mso-position-horizontal-relative:page;mso-position-vertical-relative:page;z-index:570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Primidone </w:t>
      </w:r>
      <w:r>
        <w:rPr>
          <w:rFonts w:ascii="Calibri"/>
          <w:color w:val="231F1F"/>
        </w:rPr>
        <w:t>(continued)</w:t>
      </w:r>
    </w:p>
    <w:p>
      <w:pPr>
        <w:pStyle w:val="BodyText"/>
        <w:spacing w:line="144" w:lineRule="exact"/>
        <w:ind w:left="186"/>
      </w:pPr>
      <w:r>
        <w:rPr>
          <w:rFonts w:ascii="Arial"/>
          <w:color w:val="231F1F"/>
          <w:w w:val="355"/>
          <w:position w:val="1"/>
          <w:sz w:val="7"/>
        </w:rPr>
        <w:t>l </w:t>
      </w:r>
      <w:r>
        <w:rPr>
          <w:rFonts w:ascii="Calibri"/>
          <w:color w:val="231F1F"/>
          <w:w w:val="110"/>
        </w:rPr>
        <w:t>Ciclosporin: </w:t>
      </w:r>
      <w:r>
        <w:rPr>
          <w:color w:val="231F1F"/>
          <w:w w:val="110"/>
        </w:rPr>
        <w:t>primidone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ind w:left="286" w:right="4" w:hanging="100"/>
      </w:pPr>
      <w:r>
        <w:rPr>
          <w:rFonts w:ascii="Arial" w:hAnsi="Arial"/>
          <w:color w:val="231F1F"/>
          <w:w w:val="115"/>
          <w:position w:val="1"/>
          <w:sz w:val="7"/>
        </w:rPr>
        <w:t>l </w:t>
      </w:r>
      <w:r>
        <w:rPr>
          <w:rFonts w:ascii="Calibri" w:hAnsi="Calibri"/>
          <w:color w:val="231F1F"/>
          <w:w w:val="115"/>
        </w:rPr>
        <w:t>Cobicistat: </w:t>
      </w:r>
      <w:r>
        <w:rPr>
          <w:color w:val="231F1F"/>
          <w:w w:val="115"/>
        </w:rPr>
        <w:t>primidone possibly reduces plasma </w:t>
      </w:r>
      <w:r>
        <w:rPr>
          <w:color w:val="231F1F"/>
          <w:spacing w:val="-2"/>
          <w:w w:val="115"/>
        </w:rPr>
        <w:t>concentration </w:t>
      </w:r>
      <w:r>
        <w:rPr>
          <w:color w:val="231F1F"/>
          <w:w w:val="120"/>
        </w:rPr>
        <w:t>of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20"/>
          <w:sz w:val="11"/>
        </w:rPr>
        <w:t>COBICISTAT</w:t>
      </w:r>
      <w:r>
        <w:rPr>
          <w:rFonts w:ascii="Arial" w:hAnsi="Arial"/>
          <w:color w:val="231F1F"/>
          <w:w w:val="120"/>
        </w:rPr>
        <w:t>—</w:t>
      </w:r>
      <w:r>
        <w:rPr>
          <w:color w:val="231F1F"/>
          <w:w w:val="120"/>
        </w:rPr>
        <w:t>manufacturer of cobicistat advises avoid concomitant use</w:t>
      </w:r>
    </w:p>
    <w:p>
      <w:pPr>
        <w:pStyle w:val="BodyText"/>
        <w:spacing w:line="146" w:lineRule="exact"/>
        <w:ind w:left="186"/>
      </w:pPr>
      <w:r>
        <w:rPr>
          <w:rFonts w:ascii="Arial"/>
          <w:color w:val="231F1F"/>
          <w:w w:val="355"/>
          <w:position w:val="1"/>
          <w:sz w:val="7"/>
        </w:rPr>
        <w:t>l </w:t>
      </w:r>
      <w:r>
        <w:rPr>
          <w:rFonts w:ascii="Calibri"/>
          <w:color w:val="231F1F"/>
          <w:w w:val="110"/>
        </w:rPr>
        <w:t>Corticosteroids: </w:t>
      </w:r>
      <w:r>
        <w:rPr>
          <w:color w:val="231F1F"/>
          <w:w w:val="110"/>
        </w:rPr>
        <w:t>primidone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pStyle w:val="BodyText"/>
        <w:spacing w:line="244" w:lineRule="auto"/>
        <w:ind w:left="286" w:right="-9" w:hanging="100"/>
      </w:pPr>
      <w:r>
        <w:rPr>
          <w:rFonts w:ascii="Arial" w:hAnsi="Arial"/>
          <w:color w:val="231F1F"/>
          <w:w w:val="355"/>
          <w:position w:val="1"/>
          <w:sz w:val="7"/>
        </w:rPr>
        <w:t>l </w:t>
      </w:r>
      <w:r>
        <w:rPr>
          <w:rFonts w:ascii="Calibri" w:hAnsi="Calibri"/>
          <w:color w:val="231F1F"/>
          <w:w w:val="115"/>
        </w:rPr>
        <w:t>Cytotoxics: </w:t>
      </w:r>
      <w:r>
        <w:rPr>
          <w:color w:val="231F1F"/>
          <w:w w:val="115"/>
        </w:rPr>
        <w:t>primidone possibly decreases plasma concentration of </w:t>
      </w:r>
      <w:r>
        <w:rPr>
          <w:rFonts w:ascii="Calibri" w:hAnsi="Calibri"/>
          <w:color w:val="008356"/>
          <w:w w:val="115"/>
          <w:sz w:val="11"/>
        </w:rPr>
        <w:t>AXITINIB </w:t>
      </w:r>
      <w:r>
        <w:rPr>
          <w:color w:val="231F1F"/>
          <w:w w:val="115"/>
        </w:rPr>
        <w:t>(increase dose of axitinib</w:t>
      </w:r>
      <w:r>
        <w:rPr>
          <w:rFonts w:ascii="Arial" w:hAnsi="Arial"/>
          <w:color w:val="231F1F"/>
          <w:w w:val="115"/>
        </w:rPr>
        <w:t>—</w:t>
      </w:r>
      <w:r>
        <w:rPr>
          <w:color w:val="231F1F"/>
          <w:w w:val="115"/>
        </w:rPr>
        <w:t>consult axitinib product literature); primidone possibly reduces </w:t>
      </w:r>
      <w:r>
        <w:rPr>
          <w:color w:val="231F1F"/>
          <w:w w:val="110"/>
        </w:rPr>
        <w:t>plasma concentration of </w:t>
      </w:r>
      <w:r>
        <w:rPr>
          <w:rFonts w:ascii="Calibri" w:hAnsi="Calibri"/>
          <w:color w:val="008356"/>
          <w:w w:val="110"/>
          <w:sz w:val="11"/>
        </w:rPr>
        <w:t>BORTEZOMIB</w:t>
      </w:r>
      <w:r>
        <w:rPr>
          <w:color w:val="231F1F"/>
          <w:w w:val="110"/>
        </w:rPr>
        <w:t>, </w:t>
      </w:r>
      <w:r>
        <w:rPr>
          <w:rFonts w:ascii="Arial" w:hAnsi="Arial"/>
          <w:color w:val="231F1F"/>
          <w:w w:val="110"/>
          <w:position w:val="1"/>
          <w:sz w:val="7"/>
        </w:rPr>
        <w:t>l </w:t>
      </w:r>
      <w:r>
        <w:rPr>
          <w:rFonts w:ascii="Calibri" w:hAnsi="Calibri"/>
          <w:color w:val="008356"/>
          <w:w w:val="110"/>
          <w:sz w:val="11"/>
        </w:rPr>
        <w:t>BOSUTINIB</w:t>
      </w:r>
      <w:r>
        <w:rPr>
          <w:color w:val="231F1F"/>
          <w:w w:val="110"/>
        </w:rPr>
        <w:t>, </w:t>
      </w:r>
      <w:r>
        <w:rPr>
          <w:rFonts w:ascii="Calibri" w:hAnsi="Calibri"/>
          <w:color w:val="008356"/>
          <w:w w:val="110"/>
          <w:sz w:val="11"/>
        </w:rPr>
        <w:t>CRIZOTINIB </w:t>
      </w:r>
      <w:r>
        <w:rPr>
          <w:color w:val="231F1F"/>
          <w:w w:val="115"/>
        </w:rPr>
        <w:t>and </w:t>
      </w:r>
      <w:r>
        <w:rPr>
          <w:rFonts w:ascii="Calibri" w:hAnsi="Calibri"/>
          <w:color w:val="008356"/>
          <w:w w:val="115"/>
          <w:sz w:val="11"/>
        </w:rPr>
        <w:t>PONATINIB</w:t>
      </w:r>
      <w:r>
        <w:rPr>
          <w:rFonts w:ascii="Arial" w:hAnsi="Arial"/>
          <w:color w:val="231F1F"/>
          <w:w w:val="115"/>
        </w:rPr>
        <w:t>—</w:t>
      </w:r>
      <w:r>
        <w:rPr>
          <w:color w:val="231F1F"/>
          <w:w w:val="115"/>
        </w:rPr>
        <w:t>manufacturer of bortezomib, bosutinib, crizotinib and ponatinib advises avoid concomitant use; primidone possibly reduces plasma concentration of</w:t>
      </w:r>
    </w:p>
    <w:p>
      <w:pPr>
        <w:pStyle w:val="BodyText"/>
        <w:spacing w:line="247" w:lineRule="auto"/>
        <w:ind w:left="286" w:right="2"/>
        <w:rPr>
          <w:rFonts w:ascii="Calibri" w:hAnsi="Calibri"/>
          <w:sz w:val="11"/>
        </w:rPr>
      </w:pPr>
      <w:r>
        <w:rPr>
          <w:rFonts w:ascii="Arial" w:hAnsi="Arial"/>
          <w:color w:val="231F1F"/>
          <w:w w:val="355"/>
          <w:position w:val="1"/>
          <w:sz w:val="7"/>
        </w:rPr>
        <w:t>l </w:t>
      </w:r>
      <w:r>
        <w:rPr>
          <w:rFonts w:ascii="Calibri" w:hAnsi="Calibri"/>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primidone advised by manufacturer of </w:t>
      </w:r>
      <w:r>
        <w:rPr>
          <w:rFonts w:ascii="Arial" w:hAnsi="Arial"/>
          <w:color w:val="231F1F"/>
          <w:w w:val="355"/>
          <w:position w:val="1"/>
          <w:sz w:val="7"/>
        </w:rPr>
        <w:t>l </w:t>
      </w:r>
      <w:r>
        <w:rPr>
          <w:rFonts w:ascii="Calibri" w:hAnsi="Calibri"/>
          <w:color w:val="008356"/>
          <w:spacing w:val="4"/>
          <w:w w:val="110"/>
          <w:sz w:val="11"/>
        </w:rPr>
        <w:t>CABAZITAXEL</w:t>
      </w:r>
      <w:r>
        <w:rPr>
          <w:color w:val="231F1F"/>
          <w:spacing w:val="4"/>
          <w:w w:val="110"/>
        </w:rPr>
        <w:t>, </w:t>
      </w:r>
      <w:r>
        <w:rPr>
          <w:rFonts w:ascii="Calibri" w:hAnsi="Calibri"/>
          <w:color w:val="008356"/>
          <w:spacing w:val="4"/>
          <w:w w:val="110"/>
          <w:sz w:val="11"/>
        </w:rPr>
        <w:t>DABRAFENIB</w:t>
      </w:r>
      <w:r>
        <w:rPr>
          <w:rFonts w:ascii="Calibri" w:hAnsi="Calibri"/>
          <w:color w:val="008356"/>
          <w:spacing w:val="3"/>
          <w:w w:val="110"/>
          <w:sz w:val="11"/>
        </w:rPr>
        <w:t> </w:t>
      </w:r>
      <w:r>
        <w:rPr>
          <w:color w:val="231F1F"/>
          <w:w w:val="110"/>
        </w:rPr>
        <w:t>and</w:t>
      </w:r>
      <w:r>
        <w:rPr>
          <w:color w:val="231F1F"/>
          <w:spacing w:val="-7"/>
          <w:w w:val="110"/>
        </w:rPr>
        <w:t> </w:t>
      </w:r>
      <w:r>
        <w:rPr>
          <w:rFonts w:ascii="Calibri" w:hAnsi="Calibri"/>
          <w:color w:val="008356"/>
          <w:spacing w:val="4"/>
          <w:w w:val="110"/>
          <w:sz w:val="11"/>
        </w:rPr>
        <w:t>GEFITINIB</w:t>
      </w:r>
      <w:r>
        <w:rPr>
          <w:color w:val="231F1F"/>
          <w:spacing w:val="4"/>
          <w:w w:val="110"/>
        </w:rPr>
        <w:t>;</w:t>
      </w:r>
      <w:r>
        <w:rPr>
          <w:color w:val="231F1F"/>
          <w:spacing w:val="-6"/>
          <w:w w:val="110"/>
        </w:rPr>
        <w:t> </w:t>
      </w:r>
      <w:r>
        <w:rPr>
          <w:color w:val="231F1F"/>
          <w:w w:val="110"/>
        </w:rPr>
        <w:t>avoidance</w:t>
      </w:r>
      <w:r>
        <w:rPr>
          <w:color w:val="231F1F"/>
          <w:spacing w:val="-8"/>
          <w:w w:val="110"/>
        </w:rPr>
        <w:t> </w:t>
      </w:r>
      <w:r>
        <w:rPr>
          <w:color w:val="231F1F"/>
          <w:w w:val="110"/>
        </w:rPr>
        <w:t>of</w:t>
      </w:r>
      <w:r>
        <w:rPr>
          <w:color w:val="231F1F"/>
          <w:spacing w:val="-7"/>
          <w:w w:val="110"/>
        </w:rPr>
        <w:t> </w:t>
      </w:r>
      <w:r>
        <w:rPr>
          <w:color w:val="231F1F"/>
          <w:w w:val="110"/>
        </w:rPr>
        <w:t>primidone</w:t>
      </w:r>
      <w:r>
        <w:rPr>
          <w:color w:val="231F1F"/>
          <w:spacing w:val="-8"/>
          <w:w w:val="110"/>
        </w:rPr>
        <w:t> </w:t>
      </w:r>
      <w:r>
        <w:rPr>
          <w:color w:val="231F1F"/>
          <w:w w:val="110"/>
        </w:rPr>
        <w:t>advised</w:t>
      </w:r>
      <w:r>
        <w:rPr>
          <w:color w:val="231F1F"/>
          <w:spacing w:val="-8"/>
          <w:w w:val="110"/>
        </w:rPr>
        <w:t> </w:t>
      </w:r>
      <w:r>
        <w:rPr>
          <w:color w:val="231F1F"/>
          <w:w w:val="110"/>
        </w:rPr>
        <w:t>by manufacturer of </w:t>
      </w:r>
      <w:r>
        <w:rPr>
          <w:rFonts w:ascii="Calibri" w:hAnsi="Calibri"/>
          <w:color w:val="008356"/>
          <w:spacing w:val="3"/>
          <w:w w:val="110"/>
          <w:sz w:val="11"/>
        </w:rPr>
        <w:t>DASATINIB </w:t>
      </w:r>
      <w:r>
        <w:rPr>
          <w:color w:val="231F1F"/>
          <w:w w:val="110"/>
        </w:rPr>
        <w:t>and </w:t>
      </w:r>
      <w:r>
        <w:rPr>
          <w:rFonts w:ascii="Calibri" w:hAnsi="Calibri"/>
          <w:color w:val="008356"/>
          <w:spacing w:val="3"/>
          <w:w w:val="110"/>
          <w:sz w:val="11"/>
        </w:rPr>
        <w:t>VANDETANIB </w:t>
      </w:r>
      <w:r>
        <w:rPr>
          <w:color w:val="231F1F"/>
          <w:w w:val="110"/>
        </w:rPr>
        <w:t>(plasma concentration of dasatinib and vandetanib possibly reduced); primidone possibly reduces plasma concentration of </w:t>
      </w:r>
      <w:r>
        <w:rPr>
          <w:rFonts w:ascii="Calibri" w:hAnsi="Calibri"/>
          <w:color w:val="008356"/>
          <w:spacing w:val="4"/>
          <w:w w:val="110"/>
          <w:sz w:val="11"/>
        </w:rPr>
        <w:t>ETOPOSIDE</w:t>
      </w:r>
      <w:r>
        <w:rPr>
          <w:color w:val="231F1F"/>
          <w:spacing w:val="4"/>
          <w:w w:val="110"/>
        </w:rPr>
        <w:t>; </w:t>
      </w:r>
      <w:r>
        <w:rPr>
          <w:color w:val="231F1F"/>
          <w:w w:val="110"/>
        </w:rPr>
        <w:t>primidone reduces plasma concentration of </w:t>
      </w:r>
      <w:r>
        <w:rPr>
          <w:rFonts w:ascii="Calibri" w:hAnsi="Calibri"/>
          <w:color w:val="008356"/>
          <w:spacing w:val="4"/>
          <w:w w:val="110"/>
          <w:sz w:val="11"/>
        </w:rPr>
        <w:t>IRINOTECAN </w:t>
      </w:r>
      <w:r>
        <w:rPr>
          <w:color w:val="231F1F"/>
          <w:w w:val="110"/>
        </w:rPr>
        <w:t>and its active metabolite; manufacturer of procarbazine advises possible increased risk of hypersensitivity reactions when primidone given with </w:t>
      </w:r>
      <w:r>
        <w:rPr>
          <w:rFonts w:ascii="Calibri" w:hAnsi="Calibri"/>
          <w:color w:val="008356"/>
          <w:spacing w:val="5"/>
          <w:w w:val="110"/>
          <w:sz w:val="11"/>
        </w:rPr>
        <w:t>PROCARBAZINE</w:t>
      </w:r>
    </w:p>
    <w:p>
      <w:pPr>
        <w:pStyle w:val="BodyText"/>
        <w:spacing w:line="139" w:lineRule="exact"/>
        <w:ind w:left="186"/>
      </w:pPr>
      <w:r>
        <w:rPr>
          <w:rFonts w:ascii="Arial"/>
          <w:color w:val="231F1F"/>
          <w:w w:val="355"/>
          <w:position w:val="1"/>
          <w:sz w:val="7"/>
        </w:rPr>
        <w:t>l </w:t>
      </w:r>
      <w:r>
        <w:rPr>
          <w:rFonts w:ascii="Calibri"/>
          <w:color w:val="231F1F"/>
          <w:w w:val="120"/>
        </w:rPr>
        <w:t>Diuretics: </w:t>
      </w:r>
      <w:r>
        <w:rPr>
          <w:color w:val="231F1F"/>
          <w:w w:val="120"/>
        </w:rPr>
        <w:t>primidone reduces plasma concentration of</w:t>
      </w:r>
    </w:p>
    <w:p>
      <w:pPr>
        <w:spacing w:line="249" w:lineRule="auto" w:before="0"/>
        <w:ind w:left="286" w:right="297" w:firstLine="0"/>
        <w:jc w:val="left"/>
        <w:rPr>
          <w:rFonts w:ascii="Calibri" w:hAnsi="Calibri"/>
          <w:sz w:val="11"/>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w:t>
      </w:r>
      <w:r>
        <w:rPr>
          <w:color w:val="231F1F"/>
          <w:spacing w:val="-24"/>
          <w:w w:val="115"/>
          <w:sz w:val="12"/>
        </w:rPr>
        <w:t> </w:t>
      </w:r>
      <w:r>
        <w:rPr>
          <w:color w:val="231F1F"/>
          <w:w w:val="115"/>
          <w:sz w:val="12"/>
        </w:rPr>
        <w:t>concomitant</w:t>
      </w:r>
      <w:r>
        <w:rPr>
          <w:color w:val="231F1F"/>
          <w:spacing w:val="-23"/>
          <w:w w:val="115"/>
          <w:sz w:val="12"/>
        </w:rPr>
        <w:t> </w:t>
      </w:r>
      <w:r>
        <w:rPr>
          <w:color w:val="231F1F"/>
          <w:w w:val="115"/>
          <w:sz w:val="12"/>
        </w:rPr>
        <w:t>use;</w:t>
      </w:r>
      <w:r>
        <w:rPr>
          <w:color w:val="231F1F"/>
          <w:spacing w:val="-23"/>
          <w:w w:val="115"/>
          <w:sz w:val="12"/>
        </w:rPr>
        <w:t> </w:t>
      </w:r>
      <w:r>
        <w:rPr>
          <w:color w:val="231F1F"/>
          <w:w w:val="115"/>
          <w:sz w:val="12"/>
        </w:rPr>
        <w:t>increased</w:t>
      </w:r>
      <w:r>
        <w:rPr>
          <w:color w:val="231F1F"/>
          <w:spacing w:val="-23"/>
          <w:w w:val="115"/>
          <w:sz w:val="12"/>
        </w:rPr>
        <w:t> </w:t>
      </w:r>
      <w:r>
        <w:rPr>
          <w:color w:val="231F1F"/>
          <w:w w:val="115"/>
          <w:sz w:val="12"/>
        </w:rPr>
        <w:t>risk</w:t>
      </w:r>
      <w:r>
        <w:rPr>
          <w:color w:val="231F1F"/>
          <w:spacing w:val="-23"/>
          <w:w w:val="115"/>
          <w:sz w:val="12"/>
        </w:rPr>
        <w:t> </w:t>
      </w:r>
      <w:r>
        <w:rPr>
          <w:color w:val="231F1F"/>
          <w:spacing w:val="-6"/>
          <w:w w:val="115"/>
          <w:sz w:val="12"/>
        </w:rPr>
        <w:t>of </w:t>
      </w:r>
      <w:r>
        <w:rPr>
          <w:color w:val="231F1F"/>
          <w:w w:val="115"/>
          <w:sz w:val="12"/>
        </w:rPr>
        <w:t>osteomalacia when primidone given with </w:t>
      </w:r>
      <w:r>
        <w:rPr>
          <w:rFonts w:ascii="Calibri" w:hAnsi="Calibri"/>
          <w:color w:val="008356"/>
          <w:spacing w:val="5"/>
          <w:w w:val="115"/>
          <w:sz w:val="11"/>
        </w:rPr>
        <w:t>CARBONIC </w:t>
      </w:r>
      <w:r>
        <w:rPr>
          <w:rFonts w:ascii="Calibri" w:hAnsi="Calibri"/>
          <w:color w:val="008356"/>
          <w:spacing w:val="4"/>
          <w:w w:val="115"/>
          <w:sz w:val="11"/>
        </w:rPr>
        <w:t>ANHYDRASE</w:t>
      </w:r>
      <w:r>
        <w:rPr>
          <w:rFonts w:ascii="Calibri" w:hAnsi="Calibri"/>
          <w:color w:val="008356"/>
          <w:spacing w:val="1"/>
          <w:w w:val="115"/>
          <w:sz w:val="11"/>
        </w:rPr>
        <w:t> </w:t>
      </w:r>
      <w:r>
        <w:rPr>
          <w:rFonts w:ascii="Calibri" w:hAnsi="Calibri"/>
          <w:color w:val="008356"/>
          <w:spacing w:val="4"/>
          <w:w w:val="115"/>
          <w:sz w:val="11"/>
        </w:rPr>
        <w:t>INHIBITORS</w:t>
      </w:r>
    </w:p>
    <w:p>
      <w:pPr>
        <w:pStyle w:val="BodyText"/>
        <w:spacing w:line="220" w:lineRule="auto"/>
        <w:ind w:left="286" w:right="113" w:hanging="100"/>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plasma concentration of  primidone possibly  reduced by </w:t>
      </w:r>
      <w:r>
        <w:rPr>
          <w:rFonts w:ascii="Calibri" w:hAnsi="Calibri"/>
          <w:color w:val="008356"/>
          <w:spacing w:val="4"/>
          <w:w w:val="105"/>
          <w:sz w:val="11"/>
        </w:rPr>
        <w:t>FOLATES</w:t>
      </w:r>
    </w:p>
    <w:p>
      <w:pPr>
        <w:pStyle w:val="BodyText"/>
        <w:spacing w:line="220" w:lineRule="auto" w:before="8"/>
        <w:ind w:left="286" w:right="297"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primidone possibly reduces plasma concentration of </w:t>
      </w:r>
      <w:r>
        <w:rPr>
          <w:rFonts w:ascii="Calibri" w:hAnsi="Calibri"/>
          <w:color w:val="008356"/>
          <w:w w:val="105"/>
          <w:sz w:val="11"/>
        </w:rPr>
        <w:t>FOSAPREPITANT</w:t>
      </w:r>
    </w:p>
    <w:p>
      <w:pPr>
        <w:pStyle w:val="BodyText"/>
        <w:spacing w:line="242" w:lineRule="auto"/>
        <w:ind w:left="286" w:right="283" w:hanging="100"/>
      </w:pPr>
      <w:r>
        <w:rPr>
          <w:rFonts w:ascii="Arial" w:hAnsi="Arial"/>
          <w:color w:val="231F1F"/>
          <w:w w:val="195"/>
          <w:position w:val="1"/>
          <w:sz w:val="7"/>
        </w:rPr>
        <w:t>l</w:t>
      </w:r>
      <w:r>
        <w:rPr>
          <w:rFonts w:ascii="Arial" w:hAnsi="Arial"/>
          <w:color w:val="231F1F"/>
          <w:spacing w:val="-25"/>
          <w:w w:val="195"/>
          <w:position w:val="1"/>
          <w:sz w:val="7"/>
        </w:rPr>
        <w:t> </w:t>
      </w:r>
      <w:r>
        <w:rPr>
          <w:rFonts w:ascii="Calibri" w:hAnsi="Calibri"/>
          <w:color w:val="231F1F"/>
          <w:w w:val="115"/>
        </w:rPr>
        <w:t>Hormone</w:t>
      </w:r>
      <w:r>
        <w:rPr>
          <w:rFonts w:ascii="Calibri" w:hAnsi="Calibri"/>
          <w:color w:val="231F1F"/>
          <w:spacing w:val="-21"/>
          <w:w w:val="115"/>
        </w:rPr>
        <w:t> </w:t>
      </w:r>
      <w:r>
        <w:rPr>
          <w:rFonts w:ascii="Calibri" w:hAnsi="Calibri"/>
          <w:color w:val="231F1F"/>
          <w:w w:val="115"/>
        </w:rPr>
        <w:t>Antagonists:</w:t>
      </w:r>
      <w:r>
        <w:rPr>
          <w:rFonts w:ascii="Calibri" w:hAnsi="Calibri"/>
          <w:color w:val="231F1F"/>
          <w:spacing w:val="-21"/>
          <w:w w:val="115"/>
        </w:rPr>
        <w:t> </w:t>
      </w:r>
      <w:r>
        <w:rPr>
          <w:color w:val="231F1F"/>
          <w:w w:val="115"/>
        </w:rPr>
        <w:t>primidone</w:t>
      </w:r>
      <w:r>
        <w:rPr>
          <w:color w:val="231F1F"/>
          <w:spacing w:val="-24"/>
          <w:w w:val="115"/>
        </w:rPr>
        <w:t> </w:t>
      </w:r>
      <w:r>
        <w:rPr>
          <w:color w:val="231F1F"/>
          <w:w w:val="115"/>
        </w:rPr>
        <w:t>possibly</w:t>
      </w:r>
      <w:r>
        <w:rPr>
          <w:color w:val="231F1F"/>
          <w:spacing w:val="-24"/>
          <w:w w:val="115"/>
        </w:rPr>
        <w:t> </w:t>
      </w:r>
      <w:r>
        <w:rPr>
          <w:color w:val="231F1F"/>
          <w:w w:val="115"/>
        </w:rPr>
        <w:t>reduces</w:t>
      </w:r>
      <w:r>
        <w:rPr>
          <w:color w:val="231F1F"/>
          <w:spacing w:val="-24"/>
          <w:w w:val="115"/>
        </w:rPr>
        <w:t> </w:t>
      </w:r>
      <w:r>
        <w:rPr>
          <w:color w:val="231F1F"/>
          <w:spacing w:val="-3"/>
          <w:w w:val="115"/>
        </w:rPr>
        <w:t>plasma </w:t>
      </w:r>
      <w:r>
        <w:rPr>
          <w:color w:val="231F1F"/>
          <w:w w:val="115"/>
        </w:rPr>
        <w:t>concentration of </w:t>
      </w:r>
      <w:r>
        <w:rPr>
          <w:rFonts w:ascii="Arial" w:hAnsi="Arial"/>
          <w:color w:val="231F1F"/>
          <w:w w:val="355"/>
          <w:position w:val="1"/>
          <w:sz w:val="7"/>
        </w:rPr>
        <w:t>l </w:t>
      </w:r>
      <w:r>
        <w:rPr>
          <w:rFonts w:ascii="Calibri" w:hAnsi="Calibri"/>
          <w:color w:val="008356"/>
          <w:spacing w:val="2"/>
          <w:w w:val="115"/>
          <w:sz w:val="11"/>
        </w:rPr>
        <w:t>ABIRATERONE</w:t>
      </w:r>
      <w:r>
        <w:rPr>
          <w:rFonts w:ascii="Arial" w:hAnsi="Arial"/>
          <w:color w:val="231F1F"/>
          <w:spacing w:val="2"/>
          <w:w w:val="115"/>
        </w:rPr>
        <w:t>—</w:t>
      </w:r>
      <w:r>
        <w:rPr>
          <w:color w:val="231F1F"/>
          <w:spacing w:val="2"/>
          <w:w w:val="115"/>
        </w:rPr>
        <w:t>manufacturer </w:t>
      </w:r>
      <w:r>
        <w:rPr>
          <w:color w:val="231F1F"/>
          <w:w w:val="115"/>
        </w:rPr>
        <w:t>of abiraterone advises avoid concomitant use; primidone accelerates</w:t>
      </w:r>
      <w:r>
        <w:rPr>
          <w:color w:val="231F1F"/>
          <w:spacing w:val="-22"/>
          <w:w w:val="115"/>
        </w:rPr>
        <w:t> </w:t>
      </w:r>
      <w:r>
        <w:rPr>
          <w:color w:val="231F1F"/>
          <w:w w:val="115"/>
        </w:rPr>
        <w:t>metabolism</w:t>
      </w:r>
      <w:r>
        <w:rPr>
          <w:color w:val="231F1F"/>
          <w:spacing w:val="-22"/>
          <w:w w:val="115"/>
        </w:rPr>
        <w:t> </w:t>
      </w:r>
      <w:r>
        <w:rPr>
          <w:color w:val="231F1F"/>
          <w:w w:val="115"/>
        </w:rPr>
        <w:t>of</w:t>
      </w:r>
      <w:r>
        <w:rPr>
          <w:color w:val="231F1F"/>
          <w:spacing w:val="-21"/>
          <w:w w:val="115"/>
        </w:rPr>
        <w:t> </w:t>
      </w:r>
      <w:r>
        <w:rPr>
          <w:rFonts w:ascii="Calibri" w:hAnsi="Calibri"/>
          <w:color w:val="008356"/>
          <w:spacing w:val="4"/>
          <w:w w:val="115"/>
          <w:sz w:val="11"/>
        </w:rPr>
        <w:t>TOREMIFENE</w:t>
      </w:r>
      <w:r>
        <w:rPr>
          <w:rFonts w:ascii="Calibri" w:hAnsi="Calibri"/>
          <w:color w:val="008356"/>
          <w:spacing w:val="-12"/>
          <w:w w:val="115"/>
          <w:sz w:val="11"/>
        </w:rPr>
        <w:t> </w:t>
      </w:r>
      <w:r>
        <w:rPr>
          <w:color w:val="231F1F"/>
          <w:w w:val="115"/>
        </w:rPr>
        <w:t>(reduced</w:t>
      </w:r>
      <w:r>
        <w:rPr>
          <w:color w:val="231F1F"/>
          <w:spacing w:val="-21"/>
          <w:w w:val="115"/>
        </w:rPr>
        <w:t> </w:t>
      </w:r>
      <w:r>
        <w:rPr>
          <w:color w:val="231F1F"/>
          <w:w w:val="115"/>
        </w:rPr>
        <w:t>plasma concentration)</w:t>
      </w:r>
    </w:p>
    <w:p>
      <w:pPr>
        <w:pStyle w:val="BodyText"/>
        <w:spacing w:before="2"/>
        <w:ind w:left="286" w:right="-2" w:hanging="100"/>
      </w:pPr>
      <w:r>
        <w:rPr>
          <w:rFonts w:ascii="Arial" w:hAnsi="Arial"/>
          <w:color w:val="231F1F"/>
          <w:w w:val="115"/>
          <w:position w:val="1"/>
          <w:sz w:val="7"/>
        </w:rPr>
        <w:t>l</w:t>
      </w:r>
      <w:r>
        <w:rPr>
          <w:rFonts w:ascii="Arial" w:hAnsi="Arial"/>
          <w:color w:val="231F1F"/>
          <w:spacing w:val="11"/>
          <w:w w:val="115"/>
          <w:position w:val="1"/>
          <w:sz w:val="7"/>
        </w:rPr>
        <w:t> </w:t>
      </w:r>
      <w:r>
        <w:rPr>
          <w:rFonts w:ascii="Calibri" w:hAnsi="Calibri"/>
          <w:color w:val="231F1F"/>
          <w:w w:val="115"/>
        </w:rPr>
        <w:t>Ivacaftor:</w:t>
      </w:r>
      <w:r>
        <w:rPr>
          <w:rFonts w:ascii="Calibri" w:hAnsi="Calibri"/>
          <w:color w:val="231F1F"/>
          <w:spacing w:val="-4"/>
          <w:w w:val="115"/>
        </w:rPr>
        <w:t> </w:t>
      </w:r>
      <w:r>
        <w:rPr>
          <w:color w:val="231F1F"/>
          <w:w w:val="115"/>
        </w:rPr>
        <w:t>primidone</w:t>
      </w:r>
      <w:r>
        <w:rPr>
          <w:color w:val="231F1F"/>
          <w:spacing w:val="-9"/>
          <w:w w:val="115"/>
        </w:rPr>
        <w:t> </w:t>
      </w:r>
      <w:r>
        <w:rPr>
          <w:color w:val="231F1F"/>
          <w:w w:val="115"/>
        </w:rPr>
        <w:t>possibly</w:t>
      </w:r>
      <w:r>
        <w:rPr>
          <w:color w:val="231F1F"/>
          <w:spacing w:val="-8"/>
          <w:w w:val="115"/>
        </w:rPr>
        <w:t> </w:t>
      </w:r>
      <w:r>
        <w:rPr>
          <w:color w:val="231F1F"/>
          <w:w w:val="115"/>
        </w:rPr>
        <w:t>reduces</w:t>
      </w:r>
      <w:r>
        <w:rPr>
          <w:color w:val="231F1F"/>
          <w:spacing w:val="-9"/>
          <w:w w:val="115"/>
        </w:rPr>
        <w:t> </w:t>
      </w:r>
      <w:r>
        <w:rPr>
          <w:color w:val="231F1F"/>
          <w:w w:val="115"/>
        </w:rPr>
        <w:t>plasma</w:t>
      </w:r>
      <w:r>
        <w:rPr>
          <w:color w:val="231F1F"/>
          <w:spacing w:val="-9"/>
          <w:w w:val="115"/>
        </w:rPr>
        <w:t> </w:t>
      </w:r>
      <w:r>
        <w:rPr>
          <w:color w:val="231F1F"/>
          <w:w w:val="115"/>
        </w:rPr>
        <w:t>concentration</w:t>
      </w:r>
      <w:r>
        <w:rPr>
          <w:color w:val="231F1F"/>
          <w:spacing w:val="-9"/>
          <w:w w:val="115"/>
        </w:rPr>
        <w:t> </w:t>
      </w:r>
      <w:r>
        <w:rPr>
          <w:color w:val="231F1F"/>
          <w:spacing w:val="-8"/>
          <w:w w:val="115"/>
        </w:rPr>
        <w:t>of </w:t>
      </w:r>
      <w:r>
        <w:rPr>
          <w:rFonts w:ascii="Arial" w:hAnsi="Arial"/>
          <w:color w:val="231F1F"/>
          <w:w w:val="355"/>
          <w:position w:val="1"/>
          <w:sz w:val="7"/>
        </w:rPr>
        <w:t>l </w:t>
      </w:r>
      <w:r>
        <w:rPr>
          <w:rFonts w:ascii="Calibri" w:hAnsi="Calibri"/>
          <w:color w:val="008356"/>
          <w:w w:val="120"/>
          <w:sz w:val="11"/>
        </w:rPr>
        <w:t>IVACAFTOR</w:t>
      </w:r>
      <w:r>
        <w:rPr>
          <w:rFonts w:ascii="Arial" w:hAnsi="Arial"/>
          <w:color w:val="231F1F"/>
          <w:w w:val="120"/>
        </w:rPr>
        <w:t>—</w:t>
      </w:r>
      <w:r>
        <w:rPr>
          <w:color w:val="231F1F"/>
          <w:w w:val="120"/>
        </w:rPr>
        <w:t>manufacturer of ivacaftor advises avoid concomitant</w:t>
      </w:r>
      <w:r>
        <w:rPr>
          <w:color w:val="231F1F"/>
          <w:spacing w:val="-7"/>
          <w:w w:val="120"/>
        </w:rPr>
        <w:t> </w:t>
      </w:r>
      <w:r>
        <w:rPr>
          <w:color w:val="231F1F"/>
          <w:w w:val="120"/>
        </w:rPr>
        <w:t>use</w:t>
      </w:r>
    </w:p>
    <w:p>
      <w:pPr>
        <w:pStyle w:val="BodyText"/>
        <w:spacing w:line="220" w:lineRule="auto" w:before="1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Leukotriene Receptor Antagonists: </w:t>
      </w:r>
      <w:r>
        <w:rPr>
          <w:color w:val="231F1F"/>
          <w:w w:val="105"/>
        </w:rPr>
        <w:t>primidone reduces plasma concentration of </w:t>
      </w:r>
      <w:r>
        <w:rPr>
          <w:rFonts w:ascii="Calibri" w:hAnsi="Calibri"/>
          <w:color w:val="008356"/>
          <w:w w:val="105"/>
          <w:sz w:val="11"/>
        </w:rPr>
        <w:t>MONTELUKAST</w:t>
      </w:r>
    </w:p>
    <w:p>
      <w:pPr>
        <w:pStyle w:val="BodyText"/>
        <w:spacing w:line="146" w:lineRule="exact"/>
        <w:ind w:left="186"/>
      </w:pPr>
      <w:r>
        <w:rPr>
          <w:rFonts w:ascii="Arial"/>
          <w:color w:val="231F1F"/>
          <w:w w:val="355"/>
          <w:position w:val="1"/>
          <w:sz w:val="7"/>
        </w:rPr>
        <w:t>l </w:t>
      </w:r>
      <w:r>
        <w:rPr>
          <w:rFonts w:ascii="Calibri"/>
          <w:color w:val="231F1F"/>
          <w:w w:val="110"/>
        </w:rPr>
        <w:t>Oestrogens: </w:t>
      </w:r>
      <w:r>
        <w:rPr>
          <w:color w:val="231F1F"/>
          <w:w w:val="110"/>
        </w:rPr>
        <w:t>primidone accelerates metabolism of</w:t>
      </w:r>
    </w:p>
    <w:p>
      <w:pPr>
        <w:pStyle w:val="BodyText"/>
        <w:spacing w:line="244" w:lineRule="auto"/>
        <w:ind w:left="286" w:hanging="1"/>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left="286" w:right="479"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86"/>
      </w:pPr>
      <w:r>
        <w:rPr>
          <w:rFonts w:ascii="Arial"/>
          <w:color w:val="231F1F"/>
          <w:w w:val="355"/>
          <w:position w:val="1"/>
          <w:sz w:val="7"/>
        </w:rPr>
        <w:t>l </w:t>
      </w:r>
      <w:r>
        <w:rPr>
          <w:rFonts w:ascii="Calibri"/>
          <w:color w:val="231F1F"/>
          <w:w w:val="115"/>
        </w:rPr>
        <w:t>Progestogens: </w:t>
      </w:r>
      <w:r>
        <w:rPr>
          <w:color w:val="231F1F"/>
          <w:w w:val="115"/>
        </w:rPr>
        <w:t>primidone accelerates metabolism of</w:t>
      </w:r>
    </w:p>
    <w:p>
      <w:pPr>
        <w:pStyle w:val="BodyText"/>
        <w:spacing w:line="247" w:lineRule="auto"/>
        <w:ind w:left="286" w:right="10" w:hanging="1"/>
      </w:pPr>
      <w:r>
        <w:rPr>
          <w:rFonts w:ascii="Arial" w:hAnsi="Arial"/>
          <w:color w:val="231F1F"/>
          <w:w w:val="220"/>
          <w:position w:val="1"/>
          <w:sz w:val="7"/>
        </w:rPr>
        <w:t>l</w:t>
      </w:r>
      <w:r>
        <w:rPr>
          <w:rFonts w:ascii="Arial" w:hAnsi="Arial"/>
          <w:color w:val="231F1F"/>
          <w:spacing w:val="-34"/>
          <w:w w:val="220"/>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30" w:lineRule="auto" w:before="1"/>
        <w:ind w:left="286" w:right="297" w:hanging="100"/>
      </w:pPr>
      <w:r>
        <w:rPr>
          <w:rFonts w:ascii="Lucida Sans Unicode" w:hAnsi="Lucida Sans Unicode"/>
          <w:color w:val="A7A8AC"/>
          <w:w w:val="95"/>
          <w:sz w:val="10"/>
        </w:rPr>
        <w:t>▶ </w:t>
      </w:r>
      <w:r>
        <w:rPr>
          <w:rFonts w:ascii="Calibri" w:hAnsi="Calibri"/>
          <w:color w:val="231F1F"/>
          <w:w w:val="110"/>
        </w:rPr>
        <w:t>Roflumilast: </w:t>
      </w:r>
      <w:r>
        <w:rPr>
          <w:color w:val="231F1F"/>
          <w:w w:val="110"/>
        </w:rPr>
        <w:t>primidone possibly inhibits effects of </w:t>
      </w:r>
      <w:r>
        <w:rPr>
          <w:rFonts w:ascii="Calibri" w:hAnsi="Calibri"/>
          <w:color w:val="008356"/>
          <w:w w:val="110"/>
          <w:sz w:val="11"/>
        </w:rPr>
        <w:t>ROFLUMILAST </w:t>
      </w:r>
      <w:r>
        <w:rPr>
          <w:color w:val="231F1F"/>
          <w:w w:val="110"/>
        </w:rPr>
        <w:t>(manufacturer of roflumilast advises avoid concomitant use)</w:t>
      </w:r>
    </w:p>
    <w:p>
      <w:pPr>
        <w:pStyle w:val="BodyText"/>
        <w:spacing w:line="220" w:lineRule="auto" w:before="12"/>
        <w:ind w:left="286" w:right="297" w:hanging="100"/>
        <w:rPr>
          <w:rFonts w:ascii="Calibri" w:hAnsi="Calibri"/>
          <w:sz w:val="11"/>
        </w:rPr>
      </w:pPr>
      <w:r>
        <w:rPr>
          <w:rFonts w:ascii="Lucida Sans Unicode" w:hAnsi="Lucida Sans Unicode"/>
          <w:color w:val="A7A8AC"/>
          <w:w w:val="95"/>
          <w:sz w:val="10"/>
        </w:rPr>
        <w:t>▶ </w:t>
      </w:r>
      <w:r>
        <w:rPr>
          <w:rFonts w:ascii="Calibri" w:hAnsi="Calibri"/>
          <w:color w:val="231F1F"/>
          <w:w w:val="105"/>
        </w:rPr>
        <w:t>Sodium Oxybate: </w:t>
      </w:r>
      <w:r>
        <w:rPr>
          <w:color w:val="231F1F"/>
          <w:w w:val="105"/>
        </w:rPr>
        <w:t>avoidance of primidone advised by manufacturer of </w:t>
      </w:r>
      <w:r>
        <w:rPr>
          <w:rFonts w:ascii="Calibri" w:hAnsi="Calibri"/>
          <w:color w:val="008356"/>
          <w:w w:val="105"/>
          <w:sz w:val="11"/>
        </w:rPr>
        <w:t>SODIUM OXYBATE</w:t>
      </w:r>
    </w:p>
    <w:p>
      <w:pPr>
        <w:pStyle w:val="BodyText"/>
        <w:spacing w:line="220" w:lineRule="auto" w:before="8"/>
        <w:ind w:left="286" w:right="297"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plasma concentration of primidone possibly increased by </w:t>
      </w:r>
      <w:r>
        <w:rPr>
          <w:rFonts w:ascii="Calibri" w:hAnsi="Calibri"/>
          <w:color w:val="008356"/>
          <w:w w:val="105"/>
          <w:sz w:val="11"/>
        </w:rPr>
        <w:t>METHYLPHENIDATE</w:t>
      </w:r>
    </w:p>
    <w:p>
      <w:pPr>
        <w:pStyle w:val="BodyText"/>
        <w:spacing w:before="1"/>
        <w:ind w:left="186"/>
      </w:pPr>
      <w:r>
        <w:rPr>
          <w:rFonts w:ascii="Arial"/>
          <w:color w:val="231F1F"/>
          <w:w w:val="355"/>
          <w:position w:val="1"/>
          <w:sz w:val="7"/>
        </w:rPr>
        <w:t>l </w:t>
      </w:r>
      <w:r>
        <w:rPr>
          <w:rFonts w:ascii="Calibri"/>
          <w:color w:val="231F1F"/>
          <w:w w:val="115"/>
        </w:rPr>
        <w:t>Tacrolimus: </w:t>
      </w:r>
      <w:r>
        <w:rPr>
          <w:color w:val="231F1F"/>
          <w:w w:val="115"/>
        </w:rPr>
        <w:t>primidone reduces plasma concentration of</w:t>
      </w:r>
    </w:p>
    <w:p>
      <w:pPr>
        <w:spacing w:line="133"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line="145" w:lineRule="exact"/>
        <w:ind w:left="186"/>
      </w:pPr>
      <w:r>
        <w:rPr>
          <w:rFonts w:ascii="Arial"/>
          <w:color w:val="231F1F"/>
          <w:w w:val="355"/>
          <w:position w:val="1"/>
          <w:sz w:val="7"/>
        </w:rPr>
        <w:t>l </w:t>
      </w:r>
      <w:r>
        <w:rPr>
          <w:rFonts w:ascii="Calibri"/>
          <w:color w:val="231F1F"/>
          <w:w w:val="110"/>
        </w:rPr>
        <w:t>Theophylline: </w:t>
      </w:r>
      <w:r>
        <w:rPr>
          <w:color w:val="231F1F"/>
          <w:w w:val="110"/>
        </w:rPr>
        <w:t>primidone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THEOPHYLLINE </w:t>
      </w:r>
      <w:r>
        <w:rPr>
          <w:color w:val="231F1F"/>
          <w:w w:val="110"/>
          <w:sz w:val="12"/>
        </w:rPr>
        <w:t>(reduced effect)</w:t>
      </w:r>
    </w:p>
    <w:p>
      <w:pPr>
        <w:pStyle w:val="BodyText"/>
        <w:spacing w:line="230" w:lineRule="auto" w:before="4"/>
        <w:ind w:left="286" w:hanging="100"/>
      </w:pPr>
      <w:r>
        <w:rPr>
          <w:rFonts w:ascii="Lucida Sans Unicode" w:hAnsi="Lucida Sans Unicode"/>
          <w:color w:val="A7A8AC"/>
          <w:w w:val="95"/>
          <w:sz w:val="10"/>
        </w:rPr>
        <w:t>▶ </w:t>
      </w:r>
      <w:r>
        <w:rPr>
          <w:rFonts w:ascii="Calibri" w:hAnsi="Calibri"/>
          <w:color w:val="231F1F"/>
          <w:w w:val="110"/>
        </w:rPr>
        <w:t>Thyroid Hormones: </w:t>
      </w:r>
      <w:r>
        <w:rPr>
          <w:color w:val="231F1F"/>
          <w:w w:val="110"/>
        </w:rPr>
        <w:t>primidone accelerates metabolism of </w:t>
      </w:r>
      <w:r>
        <w:rPr>
          <w:rFonts w:ascii="Calibri" w:hAnsi="Calibri"/>
          <w:color w:val="008356"/>
          <w:w w:val="110"/>
          <w:sz w:val="11"/>
        </w:rPr>
        <w:t>THYROID HORMONES </w:t>
      </w:r>
      <w:r>
        <w:rPr>
          <w:color w:val="231F1F"/>
          <w:w w:val="110"/>
        </w:rPr>
        <w:t>(may increase requirements for thyroid hormones in hypothyroidism)</w:t>
      </w:r>
    </w:p>
    <w:p>
      <w:pPr>
        <w:pStyle w:val="BodyText"/>
        <w:spacing w:line="220" w:lineRule="auto" w:before="12"/>
        <w:ind w:left="286" w:right="113" w:hanging="100"/>
        <w:rPr>
          <w:rFonts w:ascii="Calibri" w:hAnsi="Calibri"/>
          <w:sz w:val="11"/>
        </w:rPr>
      </w:pPr>
      <w:r>
        <w:rPr>
          <w:rFonts w:ascii="Lucida Sans Unicode" w:hAnsi="Lucida Sans Unicode"/>
          <w:color w:val="A7A8AC"/>
          <w:w w:val="95"/>
          <w:sz w:val="10"/>
        </w:rPr>
        <w:t>▶ </w:t>
      </w:r>
      <w:r>
        <w:rPr>
          <w:rFonts w:ascii="Calibri" w:hAnsi="Calibri"/>
          <w:color w:val="231F1F"/>
          <w:w w:val="105"/>
        </w:rPr>
        <w:t>Ticagrelor:  </w:t>
      </w:r>
      <w:r>
        <w:rPr>
          <w:color w:val="231F1F"/>
          <w:w w:val="105"/>
        </w:rPr>
        <w:t>primidone possibly  reduces plasma  concentration of </w:t>
      </w:r>
      <w:r>
        <w:rPr>
          <w:rFonts w:ascii="Calibri" w:hAnsi="Calibri"/>
          <w:color w:val="008356"/>
          <w:spacing w:val="4"/>
          <w:w w:val="105"/>
          <w:sz w:val="11"/>
        </w:rPr>
        <w:t>TICAGRELOR</w:t>
      </w:r>
    </w:p>
    <w:p>
      <w:pPr>
        <w:pStyle w:val="BodyText"/>
        <w:ind w:left="286" w:right="27" w:hanging="100"/>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Ulipristal:</w:t>
      </w:r>
      <w:r>
        <w:rPr>
          <w:rFonts w:ascii="Calibri"/>
          <w:color w:val="231F1F"/>
          <w:spacing w:val="-10"/>
          <w:w w:val="115"/>
        </w:rPr>
        <w:t> </w:t>
      </w:r>
      <w:r>
        <w:rPr>
          <w:color w:val="231F1F"/>
          <w:w w:val="115"/>
        </w:rPr>
        <w:t>avoidance</w:t>
      </w:r>
      <w:r>
        <w:rPr>
          <w:color w:val="231F1F"/>
          <w:spacing w:val="-14"/>
          <w:w w:val="115"/>
        </w:rPr>
        <w:t> </w:t>
      </w:r>
      <w:r>
        <w:rPr>
          <w:color w:val="231F1F"/>
          <w:w w:val="115"/>
        </w:rPr>
        <w:t>of</w:t>
      </w:r>
      <w:r>
        <w:rPr>
          <w:color w:val="231F1F"/>
          <w:spacing w:val="-13"/>
          <w:w w:val="115"/>
        </w:rPr>
        <w:t> </w:t>
      </w:r>
      <w:r>
        <w:rPr>
          <w:color w:val="231F1F"/>
          <w:w w:val="115"/>
        </w:rPr>
        <w:t>primidone</w:t>
      </w:r>
      <w:r>
        <w:rPr>
          <w:color w:val="231F1F"/>
          <w:spacing w:val="-14"/>
          <w:w w:val="115"/>
        </w:rPr>
        <w:t> </w:t>
      </w:r>
      <w:r>
        <w:rPr>
          <w:color w:val="231F1F"/>
          <w:w w:val="115"/>
        </w:rPr>
        <w:t>advised</w:t>
      </w:r>
      <w:r>
        <w:rPr>
          <w:color w:val="231F1F"/>
          <w:spacing w:val="-15"/>
          <w:w w:val="115"/>
        </w:rPr>
        <w:t> </w:t>
      </w:r>
      <w:r>
        <w:rPr>
          <w:color w:val="231F1F"/>
          <w:w w:val="115"/>
        </w:rPr>
        <w:t>by</w:t>
      </w:r>
      <w:r>
        <w:rPr>
          <w:color w:val="231F1F"/>
          <w:spacing w:val="-12"/>
          <w:w w:val="115"/>
        </w:rPr>
        <w:t> </w:t>
      </w:r>
      <w:r>
        <w:rPr>
          <w:color w:val="231F1F"/>
          <w:w w:val="115"/>
        </w:rPr>
        <w:t>manufacturer</w:t>
      </w:r>
      <w:r>
        <w:rPr>
          <w:color w:val="231F1F"/>
          <w:spacing w:val="-15"/>
          <w:w w:val="115"/>
        </w:rPr>
        <w:t> </w:t>
      </w:r>
      <w:r>
        <w:rPr>
          <w:color w:val="231F1F"/>
          <w:spacing w:val="-8"/>
          <w:w w:val="115"/>
        </w:rPr>
        <w:t>of </w:t>
      </w:r>
      <w:r>
        <w:rPr>
          <w:rFonts w:ascii="Arial"/>
          <w:color w:val="231F1F"/>
          <w:w w:val="355"/>
          <w:position w:val="1"/>
          <w:sz w:val="7"/>
        </w:rPr>
        <w:t>l </w:t>
      </w:r>
      <w:r>
        <w:rPr>
          <w:rFonts w:ascii="Calibri"/>
          <w:color w:val="008356"/>
          <w:spacing w:val="4"/>
          <w:w w:val="115"/>
          <w:sz w:val="11"/>
        </w:rPr>
        <w:t>ULIPRISTAL </w:t>
      </w:r>
      <w:r>
        <w:rPr>
          <w:color w:val="231F1F"/>
          <w:w w:val="115"/>
        </w:rPr>
        <w:t>(contraceptive effect of ulipristal possibly reduced)</w:t>
      </w:r>
    </w:p>
    <w:p>
      <w:pPr>
        <w:pStyle w:val="BodyText"/>
        <w:spacing w:before="6"/>
        <w:ind w:left="0"/>
        <w:rPr>
          <w:sz w:val="14"/>
        </w:rPr>
      </w:pPr>
      <w:r>
        <w:rPr/>
        <w:br w:type="column"/>
      </w:r>
      <w:r>
        <w:rPr>
          <w:sz w:val="14"/>
        </w:rPr>
      </w:r>
    </w:p>
    <w:p>
      <w:pPr>
        <w:pStyle w:val="BodyText"/>
        <w:spacing w:line="144" w:lineRule="exact" w:before="1"/>
        <w:ind w:left="186"/>
        <w:rPr>
          <w:rFonts w:ascii="Calibri"/>
        </w:rPr>
      </w:pPr>
      <w:r>
        <w:rPr>
          <w:rFonts w:ascii="Arial"/>
          <w:color w:val="008356"/>
        </w:rPr>
        <w:t>Primidone </w:t>
      </w:r>
      <w:r>
        <w:rPr>
          <w:rFonts w:ascii="Calibri"/>
          <w:color w:val="231F1F"/>
        </w:rPr>
        <w:t>(continued)</w:t>
      </w:r>
    </w:p>
    <w:p>
      <w:pPr>
        <w:spacing w:line="240" w:lineRule="auto" w:before="0"/>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Vitamins: </w:t>
      </w:r>
      <w:r>
        <w:rPr>
          <w:color w:val="231F1F"/>
          <w:w w:val="105"/>
          <w:sz w:val="12"/>
        </w:rPr>
        <w:t>primidone possibly increases requirements for </w:t>
      </w:r>
      <w:r>
        <w:rPr>
          <w:rFonts w:ascii="Calibri" w:hAnsi="Calibri"/>
          <w:color w:val="008356"/>
          <w:w w:val="105"/>
          <w:sz w:val="11"/>
        </w:rPr>
        <w:t>ALFACALCIDOL</w:t>
      </w:r>
      <w:r>
        <w:rPr>
          <w:color w:val="231F1F"/>
          <w:w w:val="105"/>
          <w:sz w:val="12"/>
        </w:rPr>
        <w:t>, </w:t>
      </w:r>
      <w:r>
        <w:rPr>
          <w:rFonts w:ascii="Calibri" w:hAnsi="Calibri"/>
          <w:color w:val="008356"/>
          <w:w w:val="105"/>
          <w:sz w:val="11"/>
        </w:rPr>
        <w:t>CALCITRIOL</w:t>
      </w:r>
      <w:r>
        <w:rPr>
          <w:color w:val="231F1F"/>
          <w:w w:val="105"/>
          <w:sz w:val="12"/>
        </w:rPr>
        <w:t>, </w:t>
      </w:r>
      <w:r>
        <w:rPr>
          <w:rFonts w:ascii="Calibri" w:hAnsi="Calibri"/>
          <w:color w:val="008356"/>
          <w:w w:val="105"/>
          <w:sz w:val="11"/>
        </w:rPr>
        <w:t>COLECALCIFEROL</w:t>
      </w:r>
      <w:r>
        <w:rPr>
          <w:color w:val="231F1F"/>
          <w:w w:val="105"/>
          <w:sz w:val="12"/>
        </w:rPr>
        <w:t>, </w:t>
      </w:r>
      <w:r>
        <w:rPr>
          <w:rFonts w:ascii="Calibri" w:hAnsi="Calibri"/>
          <w:color w:val="008356"/>
          <w:w w:val="105"/>
          <w:sz w:val="11"/>
        </w:rPr>
        <w:t>DIHYDROTACHYSTEROL</w:t>
      </w:r>
      <w:r>
        <w:rPr>
          <w:color w:val="231F1F"/>
          <w:w w:val="105"/>
          <w:sz w:val="12"/>
        </w:rPr>
        <w:t>, </w:t>
      </w:r>
      <w:r>
        <w:rPr>
          <w:rFonts w:ascii="Calibri" w:hAnsi="Calibri"/>
          <w:color w:val="008356"/>
          <w:w w:val="105"/>
          <w:sz w:val="11"/>
        </w:rPr>
        <w:t>ERGOCALCIFEROL</w:t>
      </w:r>
      <w:r>
        <w:rPr>
          <w:color w:val="231F1F"/>
          <w:w w:val="105"/>
          <w:sz w:val="12"/>
        </w:rPr>
        <w:t>, </w:t>
      </w:r>
      <w:r>
        <w:rPr>
          <w:rFonts w:ascii="Calibri" w:hAnsi="Calibri"/>
          <w:color w:val="008356"/>
          <w:w w:val="105"/>
          <w:sz w:val="11"/>
        </w:rPr>
        <w:t>PARICALCITOL </w:t>
      </w:r>
      <w:r>
        <w:rPr>
          <w:color w:val="231F1F"/>
          <w:w w:val="105"/>
          <w:sz w:val="12"/>
        </w:rPr>
        <w:t>or </w:t>
      </w:r>
      <w:r>
        <w:rPr>
          <w:rFonts w:ascii="Calibri" w:hAnsi="Calibri"/>
          <w:color w:val="008356"/>
          <w:w w:val="105"/>
          <w:sz w:val="11"/>
        </w:rPr>
        <w:t>VITAMIN D</w:t>
      </w:r>
    </w:p>
    <w:p>
      <w:pPr>
        <w:pStyle w:val="BodyText"/>
        <w:spacing w:before="3"/>
        <w:ind w:left="186"/>
        <w:rPr>
          <w:rFonts w:ascii="Trebuchet MS"/>
        </w:rPr>
      </w:pPr>
      <w:r>
        <w:rPr>
          <w:rFonts w:ascii="Trebuchet MS"/>
          <w:color w:val="008356"/>
        </w:rPr>
        <w:t>Procarbazine</w:t>
      </w:r>
    </w:p>
    <w:p>
      <w:pPr>
        <w:pStyle w:val="BodyText"/>
        <w:spacing w:line="220" w:lineRule="auto" w:before="9"/>
        <w:ind w:left="286"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disulfiram-like reaction when procarbazine given with </w:t>
      </w:r>
      <w:r>
        <w:rPr>
          <w:rFonts w:ascii="Calibri" w:hAnsi="Calibri"/>
          <w:color w:val="008356"/>
          <w:w w:val="105"/>
          <w:sz w:val="11"/>
        </w:rPr>
        <w:t>ALCOHOL</w:t>
      </w:r>
    </w:p>
    <w:p>
      <w:pPr>
        <w:spacing w:line="237" w:lineRule="auto" w:before="1"/>
        <w:ind w:left="286" w:right="67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manufacturer of procarbazine advises possible increased risk of hypersensitivity reactions when given with </w:t>
      </w:r>
      <w:r>
        <w:rPr>
          <w:rFonts w:ascii="Calibri" w:hAnsi="Calibri"/>
          <w:color w:val="008356"/>
          <w:sz w:val="11"/>
        </w:rPr>
        <w:t>CARBAMAZEPINE</w:t>
      </w:r>
      <w:r>
        <w:rPr>
          <w:color w:val="231F1F"/>
          <w:sz w:val="12"/>
        </w:rPr>
        <w:t>, </w:t>
      </w:r>
      <w:r>
        <w:rPr>
          <w:rFonts w:ascii="Calibri" w:hAnsi="Calibri"/>
          <w:color w:val="008356"/>
          <w:sz w:val="11"/>
        </w:rPr>
        <w:t>FOSPHENYTOIN</w:t>
      </w:r>
      <w:r>
        <w:rPr>
          <w:color w:val="231F1F"/>
          <w:sz w:val="12"/>
        </w:rPr>
        <w:t>, </w:t>
      </w:r>
      <w:r>
        <w:rPr>
          <w:rFonts w:ascii="Calibri" w:hAnsi="Calibri"/>
          <w:color w:val="008356"/>
          <w:sz w:val="11"/>
        </w:rPr>
        <w:t>PHENOBARBITAL</w:t>
      </w:r>
      <w:r>
        <w:rPr>
          <w:color w:val="231F1F"/>
          <w:sz w:val="12"/>
        </w:rPr>
        <w:t>, </w:t>
      </w:r>
      <w:r>
        <w:rPr>
          <w:rFonts w:ascii="Calibri" w:hAnsi="Calibri"/>
          <w:color w:val="008356"/>
          <w:sz w:val="11"/>
        </w:rPr>
        <w:t>PHENYTOIN </w:t>
      </w:r>
      <w:r>
        <w:rPr>
          <w:color w:val="231F1F"/>
          <w:w w:val="110"/>
          <w:sz w:val="12"/>
        </w:rPr>
        <w:t>and </w:t>
      </w:r>
      <w:r>
        <w:rPr>
          <w:rFonts w:ascii="Calibri" w:hAnsi="Calibri"/>
          <w:color w:val="008356"/>
          <w:w w:val="110"/>
          <w:sz w:val="11"/>
        </w:rPr>
        <w:t>PRIMIDONE</w:t>
      </w:r>
    </w:p>
    <w:p>
      <w:pPr>
        <w:pStyle w:val="BodyText"/>
        <w:spacing w:line="144"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spacing w:line="220" w:lineRule="auto" w:before="7"/>
        <w:ind w:left="286" w:right="762" w:hanging="100"/>
        <w:jc w:val="left"/>
        <w:rPr>
          <w:i/>
          <w:sz w:val="12"/>
        </w:rPr>
      </w:pPr>
      <w:r>
        <w:rPr>
          <w:rFonts w:ascii="Lucida Sans Unicode" w:hAnsi="Lucida Sans Unicode"/>
          <w:color w:val="A7A8AC"/>
          <w:w w:val="95"/>
          <w:sz w:val="10"/>
        </w:rPr>
        <w:t>▶ </w:t>
      </w:r>
      <w:r>
        <w:rPr>
          <w:rFonts w:ascii="Calibri" w:hAnsi="Calibri"/>
          <w:color w:val="231F1F"/>
          <w:w w:val="105"/>
          <w:sz w:val="12"/>
        </w:rPr>
        <w:t>Cardiac Glycosides:  </w:t>
      </w:r>
      <w:r>
        <w:rPr>
          <w:color w:val="231F1F"/>
          <w:w w:val="105"/>
          <w:sz w:val="12"/>
        </w:rPr>
        <w:t>procarbazine possibly reduces absorption of </w:t>
      </w:r>
      <w:r>
        <w:rPr>
          <w:rFonts w:ascii="Calibri" w:hAnsi="Calibri"/>
          <w:color w:val="008356"/>
          <w:spacing w:val="3"/>
          <w:w w:val="105"/>
          <w:sz w:val="11"/>
        </w:rPr>
        <w:t>DIGOXIN</w:t>
      </w:r>
      <w:r>
        <w:rPr>
          <w:rFonts w:ascii="Calibri" w:hAnsi="Calibri"/>
          <w:color w:val="008356"/>
          <w:spacing w:val="11"/>
          <w:w w:val="105"/>
          <w:sz w:val="11"/>
        </w:rPr>
        <w:t> </w:t>
      </w:r>
      <w:r>
        <w:rPr>
          <w:i/>
          <w:color w:val="231F1F"/>
          <w:w w:val="105"/>
          <w:sz w:val="12"/>
        </w:rPr>
        <w:t>tablets</w:t>
      </w:r>
    </w:p>
    <w:p>
      <w:pPr>
        <w:pStyle w:val="BodyText"/>
        <w:spacing w:line="256" w:lineRule="auto" w:before="9"/>
        <w:ind w:left="186" w:right="1885"/>
        <w:rPr>
          <w:rFonts w:ascii="Trebuchet MS"/>
        </w:rPr>
      </w:pPr>
      <w:r>
        <w:rPr>
          <w:rFonts w:ascii="Trebuchet MS"/>
          <w:color w:val="008356"/>
          <w:w w:val="105"/>
        </w:rPr>
        <w:t>Prochlorperazine </w:t>
      </w:r>
      <w:r>
        <w:rPr>
          <w:i/>
          <w:color w:val="231F1F"/>
          <w:w w:val="105"/>
        </w:rPr>
        <w:t>see </w:t>
      </w:r>
      <w:r>
        <w:rPr>
          <w:color w:val="231F1F"/>
          <w:w w:val="105"/>
        </w:rPr>
        <w:t>Antipsychotics </w:t>
      </w:r>
      <w:r>
        <w:rPr>
          <w:rFonts w:ascii="Trebuchet MS"/>
          <w:color w:val="008356"/>
          <w:w w:val="105"/>
        </w:rPr>
        <w:t>Procyclidine </w:t>
      </w:r>
      <w:r>
        <w:rPr>
          <w:i/>
          <w:color w:val="231F1F"/>
          <w:w w:val="105"/>
        </w:rPr>
        <w:t>see </w:t>
      </w:r>
      <w:r>
        <w:rPr>
          <w:color w:val="231F1F"/>
          <w:w w:val="105"/>
        </w:rPr>
        <w:t>Antimuscarinics </w:t>
      </w:r>
      <w:r>
        <w:rPr>
          <w:rFonts w:ascii="Trebuchet MS"/>
          <w:color w:val="008356"/>
          <w:w w:val="105"/>
        </w:rPr>
        <w:t>Progesterone </w:t>
      </w:r>
      <w:r>
        <w:rPr>
          <w:i/>
          <w:color w:val="231F1F"/>
          <w:w w:val="105"/>
        </w:rPr>
        <w:t>see </w:t>
      </w:r>
      <w:r>
        <w:rPr>
          <w:color w:val="231F1F"/>
          <w:w w:val="105"/>
        </w:rPr>
        <w:t>Progestogens </w:t>
      </w:r>
      <w:r>
        <w:rPr>
          <w:rFonts w:ascii="Trebuchet MS"/>
          <w:color w:val="008356"/>
          <w:w w:val="105"/>
        </w:rPr>
        <w:t>Progestogens</w:t>
      </w:r>
    </w:p>
    <w:p>
      <w:pPr>
        <w:pStyle w:val="BodyText"/>
        <w:spacing w:line="139" w:lineRule="exact"/>
        <w:ind w:left="186"/>
      </w:pPr>
      <w:r>
        <w:rPr>
          <w:rFonts w:ascii="Arial"/>
          <w:color w:val="231F1F"/>
          <w:w w:val="355"/>
          <w:position w:val="1"/>
          <w:sz w:val="7"/>
        </w:rPr>
        <w:t>l </w:t>
      </w:r>
      <w:r>
        <w:rPr>
          <w:rFonts w:ascii="Calibri"/>
          <w:color w:val="231F1F"/>
          <w:w w:val="115"/>
        </w:rPr>
        <w:t>Antibacterials: </w:t>
      </w:r>
      <w:r>
        <w:rPr>
          <w:color w:val="231F1F"/>
          <w:w w:val="115"/>
        </w:rPr>
        <w:t>plasma concentration of dienogest increased by</w:t>
      </w:r>
    </w:p>
    <w:p>
      <w:pPr>
        <w:pStyle w:val="BodyText"/>
        <w:spacing w:line="247" w:lineRule="auto"/>
        <w:ind w:left="286" w:right="691"/>
      </w:pPr>
      <w:r>
        <w:rPr>
          <w:rFonts w:ascii="Calibri" w:hAnsi="Calibri"/>
          <w:color w:val="008356"/>
          <w:spacing w:val="4"/>
          <w:w w:val="115"/>
          <w:sz w:val="11"/>
        </w:rPr>
        <w:t>ERYTHROMYCIN</w:t>
      </w:r>
      <w:r>
        <w:rPr>
          <w:color w:val="231F1F"/>
          <w:spacing w:val="4"/>
          <w:w w:val="115"/>
        </w:rPr>
        <w:t>;</w:t>
      </w:r>
      <w:r>
        <w:rPr>
          <w:color w:val="231F1F"/>
          <w:spacing w:val="-23"/>
          <w:w w:val="115"/>
        </w:rPr>
        <w:t> </w:t>
      </w:r>
      <w:r>
        <w:rPr>
          <w:color w:val="231F1F"/>
          <w:w w:val="115"/>
        </w:rPr>
        <w:t>metabolism</w:t>
      </w:r>
      <w:r>
        <w:rPr>
          <w:color w:val="231F1F"/>
          <w:spacing w:val="-24"/>
          <w:w w:val="115"/>
        </w:rPr>
        <w:t> </w:t>
      </w:r>
      <w:r>
        <w:rPr>
          <w:color w:val="231F1F"/>
          <w:w w:val="115"/>
        </w:rPr>
        <w:t>of</w:t>
      </w:r>
      <w:r>
        <w:rPr>
          <w:color w:val="231F1F"/>
          <w:spacing w:val="-23"/>
          <w:w w:val="115"/>
        </w:rPr>
        <w:t> </w:t>
      </w:r>
      <w:r>
        <w:rPr>
          <w:color w:val="231F1F"/>
          <w:w w:val="115"/>
        </w:rPr>
        <w:t>progestogens</w:t>
      </w:r>
      <w:r>
        <w:rPr>
          <w:color w:val="231F1F"/>
          <w:spacing w:val="-23"/>
          <w:w w:val="115"/>
        </w:rPr>
        <w:t> </w:t>
      </w:r>
      <w:r>
        <w:rPr>
          <w:color w:val="231F1F"/>
          <w:w w:val="115"/>
        </w:rPr>
        <w:t>accelerated</w:t>
      </w:r>
      <w:r>
        <w:rPr>
          <w:color w:val="231F1F"/>
          <w:spacing w:val="-23"/>
          <w:w w:val="115"/>
        </w:rPr>
        <w:t> </w:t>
      </w:r>
      <w:r>
        <w:rPr>
          <w:color w:val="231F1F"/>
          <w:w w:val="115"/>
        </w:rPr>
        <w:t>by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5"/>
          <w:sz w:val="11"/>
        </w:rPr>
        <w:t>RIFAMYCINS</w:t>
      </w:r>
      <w:r>
        <w:rPr>
          <w:rFonts w:ascii="Calibri" w:hAnsi="Calibri"/>
          <w:color w:val="008356"/>
          <w:spacing w:val="-4"/>
          <w:w w:val="115"/>
          <w:sz w:val="11"/>
        </w:rPr>
        <w:t> </w:t>
      </w:r>
      <w:r>
        <w:rPr>
          <w:color w:val="231F1F"/>
          <w:w w:val="115"/>
        </w:rPr>
        <w:t>(reduced</w:t>
      </w:r>
      <w:r>
        <w:rPr>
          <w:color w:val="231F1F"/>
          <w:spacing w:val="-14"/>
          <w:w w:val="115"/>
        </w:rPr>
        <w:t> </w:t>
      </w:r>
      <w:r>
        <w:rPr>
          <w:color w:val="231F1F"/>
          <w:w w:val="115"/>
        </w:rPr>
        <w:t>contraceptive</w:t>
      </w:r>
      <w:r>
        <w:rPr>
          <w:color w:val="231F1F"/>
          <w:spacing w:val="-14"/>
          <w:w w:val="115"/>
        </w:rPr>
        <w:t> </w:t>
      </w:r>
      <w:r>
        <w:rPr>
          <w:color w:val="231F1F"/>
          <w:w w:val="115"/>
        </w:rPr>
        <w:t>effect</w:t>
      </w:r>
      <w:r>
        <w:rPr>
          <w:color w:val="231F1F"/>
          <w:spacing w:val="-14"/>
          <w:w w:val="115"/>
        </w:rPr>
        <w:t> </w:t>
      </w:r>
      <w:r>
        <w:rPr>
          <w:color w:val="231F1F"/>
          <w:w w:val="115"/>
        </w:rPr>
        <w:t>with</w:t>
      </w:r>
      <w:r>
        <w:rPr>
          <w:color w:val="231F1F"/>
          <w:spacing w:val="-15"/>
          <w:w w:val="115"/>
        </w:rPr>
        <w:t> </w:t>
      </w:r>
      <w:r>
        <w:rPr>
          <w:color w:val="231F1F"/>
          <w:w w:val="115"/>
        </w:rPr>
        <w:t>combined oral contraceptives, progestogen-only oral contraceptives, contraceptive</w:t>
      </w:r>
      <w:r>
        <w:rPr>
          <w:color w:val="231F1F"/>
          <w:spacing w:val="-7"/>
          <w:w w:val="115"/>
        </w:rPr>
        <w:t> </w:t>
      </w:r>
      <w:r>
        <w:rPr>
          <w:color w:val="231F1F"/>
          <w:w w:val="115"/>
        </w:rPr>
        <w:t>patches,</w:t>
      </w:r>
      <w:r>
        <w:rPr>
          <w:color w:val="231F1F"/>
          <w:spacing w:val="-7"/>
          <w:w w:val="115"/>
        </w:rPr>
        <w:t> </w:t>
      </w:r>
      <w:r>
        <w:rPr>
          <w:color w:val="231F1F"/>
          <w:w w:val="115"/>
        </w:rPr>
        <w:t>vaginal</w:t>
      </w:r>
      <w:r>
        <w:rPr>
          <w:color w:val="231F1F"/>
          <w:spacing w:val="-8"/>
          <w:w w:val="115"/>
        </w:rPr>
        <w:t> </w:t>
      </w:r>
      <w:r>
        <w:rPr>
          <w:color w:val="231F1F"/>
          <w:w w:val="115"/>
        </w:rPr>
        <w:t>rings,</w:t>
      </w:r>
      <w:r>
        <w:rPr>
          <w:color w:val="231F1F"/>
          <w:spacing w:val="-6"/>
          <w:w w:val="115"/>
        </w:rPr>
        <w:t> </w:t>
      </w:r>
      <w:r>
        <w:rPr>
          <w:color w:val="231F1F"/>
          <w:w w:val="115"/>
        </w:rPr>
        <w:t>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ind w:left="286" w:right="625"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progestogens may enhance or reduce anticoagulant effect of </w:t>
      </w:r>
      <w:r>
        <w:rPr>
          <w:rFonts w:ascii="Calibri"/>
          <w:color w:val="008356"/>
          <w:spacing w:val="4"/>
          <w:w w:val="110"/>
          <w:sz w:val="11"/>
        </w:rPr>
        <w:t>COUMARINS</w:t>
      </w:r>
      <w:r>
        <w:rPr>
          <w:color w:val="231F1F"/>
          <w:spacing w:val="4"/>
          <w:w w:val="110"/>
        </w:rPr>
        <w:t>; </w:t>
      </w:r>
      <w:r>
        <w:rPr>
          <w:color w:val="231F1F"/>
          <w:w w:val="110"/>
        </w:rPr>
        <w:t>progestogens antagonise anticoagulant effect of </w:t>
      </w:r>
      <w:r>
        <w:rPr>
          <w:rFonts w:ascii="Arial"/>
          <w:color w:val="231F1F"/>
          <w:w w:val="355"/>
          <w:position w:val="1"/>
          <w:sz w:val="7"/>
        </w:rPr>
        <w:t>l </w:t>
      </w:r>
      <w:r>
        <w:rPr>
          <w:rFonts w:ascii="Calibri"/>
          <w:color w:val="008356"/>
          <w:spacing w:val="5"/>
          <w:w w:val="110"/>
          <w:sz w:val="11"/>
        </w:rPr>
        <w:t>PHENINDIONE</w:t>
      </w:r>
    </w:p>
    <w:p>
      <w:pPr>
        <w:pStyle w:val="BodyText"/>
        <w:ind w:left="286" w:right="570" w:hanging="100"/>
      </w:pPr>
      <w:r>
        <w:rPr>
          <w:rFonts w:ascii="Arial" w:hAnsi="Arial"/>
          <w:color w:val="231F1F"/>
          <w:w w:val="355"/>
          <w:position w:val="1"/>
          <w:sz w:val="7"/>
        </w:rPr>
        <w:t>l </w:t>
      </w:r>
      <w:r>
        <w:rPr>
          <w:rFonts w:ascii="Calibri" w:hAnsi="Calibri"/>
          <w:color w:val="231F1F"/>
          <w:w w:val="110"/>
        </w:rPr>
        <w:t>Antidepressants: </w:t>
      </w:r>
      <w:r>
        <w:rPr>
          <w:color w:val="231F1F"/>
          <w:w w:val="110"/>
        </w:rPr>
        <w:t>contraceptive effect of progestogens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(avoid concomitant use)</w:t>
      </w:r>
    </w:p>
    <w:p>
      <w:pPr>
        <w:pStyle w:val="BodyText"/>
        <w:spacing w:line="220" w:lineRule="auto" w:before="1"/>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progestogens antagonise  hypoglycaemic  </w:t>
      </w:r>
      <w:r>
        <w:rPr>
          <w:color w:val="231F1F"/>
          <w:spacing w:val="-3"/>
          <w:w w:val="105"/>
        </w:rPr>
        <w:t>effect </w:t>
      </w:r>
      <w:r>
        <w:rPr>
          <w:color w:val="231F1F"/>
          <w:w w:val="105"/>
        </w:rPr>
        <w:t>of </w:t>
      </w:r>
      <w:r>
        <w:rPr>
          <w:rFonts w:ascii="Calibri" w:hAnsi="Calibri"/>
          <w:color w:val="008356"/>
          <w:spacing w:val="5"/>
          <w:w w:val="105"/>
          <w:sz w:val="11"/>
        </w:rPr>
        <w:t>ANTIDIABETICS</w:t>
      </w:r>
    </w:p>
    <w:p>
      <w:pPr>
        <w:pStyle w:val="BodyText"/>
        <w:spacing w:line="145" w:lineRule="exact"/>
        <w:ind w:left="186"/>
      </w:pPr>
      <w:r>
        <w:rPr>
          <w:rFonts w:ascii="Arial"/>
          <w:color w:val="231F1F"/>
          <w:w w:val="355"/>
          <w:position w:val="1"/>
          <w:sz w:val="7"/>
        </w:rPr>
        <w:t>l </w:t>
      </w:r>
      <w:r>
        <w:rPr>
          <w:rFonts w:ascii="Calibri"/>
          <w:color w:val="231F1F"/>
          <w:w w:val="110"/>
        </w:rPr>
        <w:t>Antiepileptics: </w:t>
      </w:r>
      <w:r>
        <w:rPr>
          <w:color w:val="231F1F"/>
          <w:w w:val="110"/>
        </w:rPr>
        <w:t>metabolism of progestogens accelerated by</w:t>
      </w:r>
    </w:p>
    <w:p>
      <w:pPr>
        <w:spacing w:line="141" w:lineRule="exact"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20"/>
          <w:sz w:val="11"/>
        </w:rPr>
        <w:t>ESLICARBAZEPINE</w:t>
      </w:r>
      <w:r>
        <w:rPr>
          <w:color w:val="231F1F"/>
          <w:spacing w:val="4"/>
          <w:w w:val="12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20"/>
          <w:sz w:val="11"/>
        </w:rPr>
        <w:t>FOSPHENYTOIN</w:t>
      </w:r>
      <w:r>
        <w:rPr>
          <w:color w:val="231F1F"/>
          <w:spacing w:val="4"/>
          <w:w w:val="120"/>
          <w:sz w:val="12"/>
        </w:rPr>
        <w:t>,</w:t>
      </w:r>
    </w:p>
    <w:p>
      <w:pPr>
        <w:spacing w:before="2"/>
        <w:ind w:left="286" w:right="0" w:firstLine="0"/>
        <w:jc w:val="left"/>
        <w:rPr>
          <w:sz w:val="12"/>
        </w:rPr>
      </w:pPr>
      <w:r>
        <w:rPr>
          <w:rFonts w:ascii="Arial"/>
          <w:color w:val="231F1F"/>
          <w:w w:val="355"/>
          <w:position w:val="1"/>
          <w:sz w:val="7"/>
        </w:rPr>
        <w:t>l </w:t>
      </w:r>
      <w:r>
        <w:rPr>
          <w:rFonts w:ascii="Calibri"/>
          <w:color w:val="008356"/>
          <w:spacing w:val="4"/>
          <w:w w:val="120"/>
          <w:sz w:val="11"/>
        </w:rPr>
        <w:t>OXCARBAZEPINE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PERAMPANEL</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w:t>
      </w:r>
    </w:p>
    <w:p>
      <w:pPr>
        <w:spacing w:before="2"/>
        <w:ind w:left="286" w:right="0" w:firstLine="0"/>
        <w:jc w:val="left"/>
        <w:rPr>
          <w:rFonts w:ascii="Calibri"/>
          <w:sz w:val="11"/>
        </w:rPr>
      </w:pPr>
      <w:r>
        <w:rPr>
          <w:rFonts w:ascii="Arial"/>
          <w:color w:val="231F1F"/>
          <w:w w:val="355"/>
          <w:position w:val="1"/>
          <w:sz w:val="7"/>
        </w:rPr>
        <w:t>l </w:t>
      </w:r>
      <w:r>
        <w:rPr>
          <w:rFonts w:ascii="Calibri"/>
          <w:color w:val="008356"/>
          <w:spacing w:val="4"/>
          <w:w w:val="115"/>
          <w:sz w:val="11"/>
        </w:rPr>
        <w:t>PHENYTOIN</w:t>
      </w:r>
      <w:r>
        <w:rPr>
          <w:color w:val="231F1F"/>
          <w:spacing w:val="4"/>
          <w:w w:val="115"/>
          <w:sz w:val="12"/>
        </w:rPr>
        <w:t>, </w:t>
      </w:r>
      <w:r>
        <w:rPr>
          <w:rFonts w:ascii="Arial"/>
          <w:color w:val="231F1F"/>
          <w:w w:val="355"/>
          <w:position w:val="1"/>
          <w:sz w:val="7"/>
        </w:rPr>
        <w:t>l </w:t>
      </w:r>
      <w:r>
        <w:rPr>
          <w:rFonts w:ascii="Calibri"/>
          <w:color w:val="008356"/>
          <w:spacing w:val="4"/>
          <w:w w:val="115"/>
          <w:sz w:val="11"/>
        </w:rPr>
        <w:t>PRIMIDONE</w:t>
      </w:r>
      <w:r>
        <w:rPr>
          <w:color w:val="231F1F"/>
          <w:spacing w:val="4"/>
          <w:w w:val="115"/>
          <w:sz w:val="12"/>
        </w:rPr>
        <w:t>, </w:t>
      </w:r>
      <w:r>
        <w:rPr>
          <w:rFonts w:ascii="Arial"/>
          <w:color w:val="231F1F"/>
          <w:w w:val="355"/>
          <w:position w:val="1"/>
          <w:sz w:val="7"/>
        </w:rPr>
        <w:t>l </w:t>
      </w:r>
      <w:r>
        <w:rPr>
          <w:rFonts w:ascii="Calibri"/>
          <w:color w:val="008356"/>
          <w:spacing w:val="4"/>
          <w:w w:val="115"/>
          <w:sz w:val="11"/>
        </w:rPr>
        <w:t>RUFINAMIDE </w:t>
      </w:r>
      <w:r>
        <w:rPr>
          <w:color w:val="231F1F"/>
          <w:w w:val="115"/>
          <w:sz w:val="12"/>
        </w:rPr>
        <w:t>and </w:t>
      </w:r>
      <w:r>
        <w:rPr>
          <w:rFonts w:ascii="Arial"/>
          <w:color w:val="231F1F"/>
          <w:w w:val="355"/>
          <w:position w:val="1"/>
          <w:sz w:val="7"/>
        </w:rPr>
        <w:t>l </w:t>
      </w:r>
      <w:r>
        <w:rPr>
          <w:rFonts w:ascii="Calibri"/>
          <w:color w:val="008356"/>
          <w:spacing w:val="3"/>
          <w:w w:val="115"/>
          <w:sz w:val="11"/>
        </w:rPr>
        <w:t>TOPIRAMATE</w:t>
      </w:r>
    </w:p>
    <w:p>
      <w:pPr>
        <w:pStyle w:val="BodyText"/>
        <w:spacing w:line="249" w:lineRule="auto" w:before="2"/>
        <w:ind w:left="286" w:right="625"/>
        <w:rPr>
          <w:rFonts w:ascii="Calibri" w:hAnsi="Calibri"/>
          <w:sz w:val="11"/>
        </w:rPr>
      </w:pPr>
      <w:r>
        <w:rPr>
          <w:color w:val="231F1F"/>
          <w:w w:val="115"/>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 BNF); desogestrel possibly increases plasma concentration of </w:t>
      </w:r>
      <w:r>
        <w:rPr>
          <w:rFonts w:ascii="Calibri" w:hAnsi="Calibri"/>
          <w:color w:val="008356"/>
          <w:w w:val="115"/>
          <w:sz w:val="11"/>
        </w:rPr>
        <w:t>LAMOTRIGINE</w:t>
      </w:r>
    </w:p>
    <w:p>
      <w:pPr>
        <w:pStyle w:val="BodyText"/>
        <w:spacing w:line="220" w:lineRule="auto"/>
        <w:ind w:left="286" w:right="670"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progestogens possibly increase plasma concentration of </w:t>
      </w:r>
      <w:r>
        <w:rPr>
          <w:rFonts w:ascii="Calibri" w:hAnsi="Calibri"/>
          <w:color w:val="008356"/>
          <w:w w:val="110"/>
          <w:sz w:val="11"/>
        </w:rPr>
        <w:t>VORICONAZOLE</w:t>
      </w:r>
      <w:r>
        <w:rPr>
          <w:color w:val="231F1F"/>
          <w:w w:val="110"/>
        </w:rPr>
        <w:t>; anecdotal reports of</w:t>
      </w:r>
    </w:p>
    <w:p>
      <w:pPr>
        <w:pStyle w:val="BodyText"/>
        <w:spacing w:line="247" w:lineRule="auto" w:before="3"/>
        <w:ind w:left="286" w:right="652"/>
        <w:rPr>
          <w:rFonts w:ascii="Calibri"/>
          <w:sz w:val="11"/>
        </w:rPr>
      </w:pPr>
      <w:r>
        <w:rPr>
          <w:color w:val="231F1F"/>
          <w:w w:val="115"/>
        </w:rPr>
        <w:t>contraceptive failure and menstrual irregularities when progestogens</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Calibri"/>
          <w:color w:val="008356"/>
          <w:spacing w:val="4"/>
          <w:w w:val="115"/>
          <w:sz w:val="11"/>
        </w:rPr>
        <w:t>GRISEOFULVIN</w:t>
      </w:r>
      <w:r>
        <w:rPr>
          <w:color w:val="231F1F"/>
          <w:spacing w:val="4"/>
          <w:w w:val="115"/>
        </w:rPr>
        <w:t>;</w:t>
      </w:r>
      <w:r>
        <w:rPr>
          <w:color w:val="231F1F"/>
          <w:spacing w:val="-23"/>
          <w:w w:val="115"/>
        </w:rPr>
        <w:t> </w:t>
      </w:r>
      <w:r>
        <w:rPr>
          <w:color w:val="231F1F"/>
          <w:w w:val="115"/>
        </w:rPr>
        <w:t>occasional</w:t>
      </w:r>
      <w:r>
        <w:rPr>
          <w:color w:val="231F1F"/>
          <w:spacing w:val="-24"/>
          <w:w w:val="115"/>
        </w:rPr>
        <w:t> </w:t>
      </w:r>
      <w:r>
        <w:rPr>
          <w:color w:val="231F1F"/>
          <w:w w:val="115"/>
        </w:rPr>
        <w:t>reports</w:t>
      </w:r>
      <w:r>
        <w:rPr>
          <w:color w:val="231F1F"/>
          <w:spacing w:val="-24"/>
          <w:w w:val="115"/>
        </w:rPr>
        <w:t> </w:t>
      </w:r>
      <w:r>
        <w:rPr>
          <w:color w:val="231F1F"/>
          <w:w w:val="115"/>
        </w:rPr>
        <w:t>of breakthrough bleeding when progestogens (used for contraception) given with</w:t>
      </w:r>
      <w:r>
        <w:rPr>
          <w:color w:val="231F1F"/>
          <w:spacing w:val="-18"/>
          <w:w w:val="115"/>
        </w:rPr>
        <w:t> </w:t>
      </w:r>
      <w:r>
        <w:rPr>
          <w:rFonts w:ascii="Calibri"/>
          <w:color w:val="008356"/>
          <w:spacing w:val="4"/>
          <w:w w:val="115"/>
          <w:sz w:val="11"/>
        </w:rPr>
        <w:t>TERBINAFINE</w:t>
      </w:r>
    </w:p>
    <w:p>
      <w:pPr>
        <w:pStyle w:val="BodyText"/>
        <w:spacing w:line="237" w:lineRule="auto"/>
        <w:ind w:left="286" w:right="606" w:hanging="100"/>
      </w:pPr>
      <w:r>
        <w:rPr>
          <w:rFonts w:ascii="Arial"/>
          <w:color w:val="231F1F"/>
          <w:w w:val="355"/>
          <w:position w:val="1"/>
          <w:sz w:val="7"/>
        </w:rPr>
        <w:t>l </w:t>
      </w:r>
      <w:r>
        <w:rPr>
          <w:rFonts w:ascii="Calibri"/>
          <w:color w:val="231F1F"/>
          <w:w w:val="115"/>
        </w:rPr>
        <w:t>Antivirals: </w:t>
      </w:r>
      <w:r>
        <w:rPr>
          <w:color w:val="231F1F"/>
          <w:w w:val="115"/>
        </w:rPr>
        <w:t>plasma concentration of norethisterone increased by </w:t>
      </w:r>
      <w:r>
        <w:rPr>
          <w:rFonts w:ascii="Calibri"/>
          <w:color w:val="008356"/>
          <w:w w:val="115"/>
          <w:sz w:val="11"/>
        </w:rPr>
        <w:t>ATAZANAVIR</w:t>
      </w:r>
      <w:r>
        <w:rPr>
          <w:color w:val="231F1F"/>
          <w:w w:val="115"/>
        </w:rPr>
        <w:t>; plasma concentration of drospirenone</w:t>
      </w:r>
    </w:p>
    <w:p>
      <w:pPr>
        <w:pStyle w:val="BodyText"/>
        <w:ind w:left="286" w:right="785" w:hanging="1"/>
      </w:pPr>
      <w:r>
        <w:rPr>
          <w:color w:val="231F1F"/>
          <w:w w:val="115"/>
        </w:rPr>
        <w:t>increased by </w:t>
      </w:r>
      <w:r>
        <w:rPr>
          <w:rFonts w:ascii="Calibri"/>
          <w:color w:val="008356"/>
          <w:w w:val="115"/>
          <w:sz w:val="11"/>
        </w:rPr>
        <w:t>BOCEPREVIR </w:t>
      </w:r>
      <w:r>
        <w:rPr>
          <w:color w:val="231F1F"/>
          <w:w w:val="115"/>
        </w:rPr>
        <w:t>(increased risk of toxicity); contraceptive effect of progestogens possibly reduced by</w:t>
      </w:r>
    </w:p>
    <w:p>
      <w:pPr>
        <w:pStyle w:val="BodyText"/>
        <w:spacing w:line="247" w:lineRule="auto" w:before="6"/>
        <w:ind w:left="286" w:right="620"/>
      </w:pPr>
      <w:r>
        <w:rPr>
          <w:rFonts w:ascii="Arial" w:hAnsi="Arial"/>
          <w:color w:val="231F1F"/>
          <w:w w:val="115"/>
          <w:position w:val="1"/>
          <w:sz w:val="7"/>
        </w:rPr>
        <w:t>l</w:t>
      </w:r>
      <w:r>
        <w:rPr>
          <w:rFonts w:ascii="Arial" w:hAnsi="Arial"/>
          <w:color w:val="231F1F"/>
          <w:spacing w:val="2"/>
          <w:w w:val="115"/>
          <w:position w:val="1"/>
          <w:sz w:val="7"/>
        </w:rPr>
        <w:t> </w:t>
      </w:r>
      <w:r>
        <w:rPr>
          <w:rFonts w:ascii="Calibri" w:hAnsi="Calibri"/>
          <w:color w:val="008356"/>
          <w:spacing w:val="3"/>
          <w:w w:val="115"/>
          <w:sz w:val="11"/>
        </w:rPr>
        <w:t>EFAVIRENZ</w:t>
      </w:r>
      <w:r>
        <w:rPr>
          <w:color w:val="231F1F"/>
          <w:spacing w:val="3"/>
          <w:w w:val="115"/>
        </w:rPr>
        <w:t>;</w:t>
      </w:r>
      <w:r>
        <w:rPr>
          <w:color w:val="231F1F"/>
          <w:spacing w:val="-6"/>
          <w:w w:val="115"/>
        </w:rPr>
        <w:t> </w:t>
      </w:r>
      <w:r>
        <w:rPr>
          <w:color w:val="231F1F"/>
          <w:w w:val="115"/>
        </w:rPr>
        <w:t>plasma</w:t>
      </w:r>
      <w:r>
        <w:rPr>
          <w:color w:val="231F1F"/>
          <w:spacing w:val="-7"/>
          <w:w w:val="115"/>
        </w:rPr>
        <w:t> </w:t>
      </w:r>
      <w:r>
        <w:rPr>
          <w:color w:val="231F1F"/>
          <w:w w:val="115"/>
        </w:rPr>
        <w:t>concentration</w:t>
      </w:r>
      <w:r>
        <w:rPr>
          <w:color w:val="231F1F"/>
          <w:spacing w:val="-9"/>
          <w:w w:val="115"/>
        </w:rPr>
        <w:t> </w:t>
      </w:r>
      <w:r>
        <w:rPr>
          <w:color w:val="231F1F"/>
          <w:w w:val="115"/>
        </w:rPr>
        <w:t>of</w:t>
      </w:r>
      <w:r>
        <w:rPr>
          <w:color w:val="231F1F"/>
          <w:spacing w:val="-6"/>
          <w:w w:val="115"/>
        </w:rPr>
        <w:t> </w:t>
      </w:r>
      <w:r>
        <w:rPr>
          <w:color w:val="231F1F"/>
          <w:w w:val="115"/>
        </w:rPr>
        <w:t>norgestimate</w:t>
      </w:r>
      <w:r>
        <w:rPr>
          <w:color w:val="231F1F"/>
          <w:spacing w:val="-6"/>
          <w:w w:val="115"/>
        </w:rPr>
        <w:t> </w:t>
      </w:r>
      <w:r>
        <w:rPr>
          <w:color w:val="231F1F"/>
          <w:w w:val="115"/>
        </w:rPr>
        <w:t>increased by</w:t>
      </w:r>
      <w:r>
        <w:rPr>
          <w:color w:val="231F1F"/>
          <w:spacing w:val="-18"/>
          <w:w w:val="115"/>
        </w:rPr>
        <w:t> </w:t>
      </w:r>
      <w:r>
        <w:rPr>
          <w:rFonts w:ascii="Calibri" w:hAnsi="Calibri"/>
          <w:color w:val="008356"/>
          <w:spacing w:val="3"/>
          <w:w w:val="115"/>
          <w:sz w:val="11"/>
        </w:rPr>
        <w:t>ELVITEGRAVIR</w:t>
      </w:r>
      <w:r>
        <w:rPr>
          <w:color w:val="231F1F"/>
          <w:spacing w:val="3"/>
          <w:w w:val="115"/>
        </w:rPr>
        <w:t>;</w:t>
      </w:r>
      <w:r>
        <w:rPr>
          <w:color w:val="231F1F"/>
          <w:spacing w:val="-19"/>
          <w:w w:val="115"/>
        </w:rPr>
        <w:t> </w:t>
      </w:r>
      <w:r>
        <w:rPr>
          <w:color w:val="231F1F"/>
          <w:w w:val="115"/>
        </w:rPr>
        <w:t>metabolism</w:t>
      </w:r>
      <w:r>
        <w:rPr>
          <w:color w:val="231F1F"/>
          <w:spacing w:val="-18"/>
          <w:w w:val="115"/>
        </w:rPr>
        <w:t> </w:t>
      </w:r>
      <w:r>
        <w:rPr>
          <w:color w:val="231F1F"/>
          <w:w w:val="115"/>
        </w:rPr>
        <w:t>of</w:t>
      </w:r>
      <w:r>
        <w:rPr>
          <w:color w:val="231F1F"/>
          <w:spacing w:val="-18"/>
          <w:w w:val="115"/>
        </w:rPr>
        <w:t> </w:t>
      </w:r>
      <w:r>
        <w:rPr>
          <w:color w:val="231F1F"/>
          <w:w w:val="115"/>
        </w:rPr>
        <w:t>progestogens</w:t>
      </w:r>
      <w:r>
        <w:rPr>
          <w:color w:val="231F1F"/>
          <w:spacing w:val="-18"/>
          <w:w w:val="115"/>
        </w:rPr>
        <w:t> </w:t>
      </w:r>
      <w:r>
        <w:rPr>
          <w:color w:val="231F1F"/>
          <w:w w:val="115"/>
        </w:rPr>
        <w:t>accelerated</w:t>
      </w:r>
      <w:r>
        <w:rPr>
          <w:color w:val="231F1F"/>
          <w:spacing w:val="-19"/>
          <w:w w:val="115"/>
        </w:rPr>
        <w:t> </w:t>
      </w:r>
      <w:r>
        <w:rPr>
          <w:color w:val="231F1F"/>
          <w:w w:val="115"/>
        </w:rPr>
        <w:t>by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20"/>
          <w:sz w:val="11"/>
        </w:rPr>
        <w:t>NEVIRAPINE</w:t>
      </w:r>
      <w:r>
        <w:rPr>
          <w:rFonts w:ascii="Calibri" w:hAnsi="Calibri"/>
          <w:color w:val="008356"/>
          <w:spacing w:val="-15"/>
          <w:w w:val="120"/>
          <w:sz w:val="11"/>
        </w:rPr>
        <w:t> </w:t>
      </w:r>
      <w:r>
        <w:rPr>
          <w:color w:val="231F1F"/>
          <w:w w:val="120"/>
        </w:rPr>
        <w:t>(reduced</w:t>
      </w:r>
      <w:r>
        <w:rPr>
          <w:color w:val="231F1F"/>
          <w:spacing w:val="-24"/>
          <w:w w:val="120"/>
        </w:rPr>
        <w:t> </w:t>
      </w:r>
      <w:r>
        <w:rPr>
          <w:color w:val="231F1F"/>
          <w:w w:val="120"/>
        </w:rPr>
        <w:t>contraceptive</w:t>
      </w:r>
      <w:r>
        <w:rPr>
          <w:color w:val="231F1F"/>
          <w:spacing w:val="-24"/>
          <w:w w:val="120"/>
        </w:rPr>
        <w:t> </w:t>
      </w:r>
      <w:r>
        <w:rPr>
          <w:color w:val="231F1F"/>
          <w:w w:val="120"/>
        </w:rPr>
        <w:t>effect</w:t>
      </w:r>
      <w:r>
        <w:rPr>
          <w:color w:val="231F1F"/>
          <w:spacing w:val="-24"/>
          <w:w w:val="120"/>
        </w:rPr>
        <w:t> </w:t>
      </w:r>
      <w:r>
        <w:rPr>
          <w:color w:val="231F1F"/>
          <w:w w:val="120"/>
        </w:rPr>
        <w:t>with</w:t>
      </w:r>
      <w:r>
        <w:rPr>
          <w:color w:val="231F1F"/>
          <w:spacing w:val="-24"/>
          <w:w w:val="120"/>
        </w:rPr>
        <w:t> </w:t>
      </w:r>
      <w:r>
        <w:rPr>
          <w:color w:val="231F1F"/>
          <w:w w:val="120"/>
        </w:rPr>
        <w:t>combined oral</w:t>
      </w:r>
      <w:r>
        <w:rPr>
          <w:color w:val="231F1F"/>
          <w:spacing w:val="-21"/>
          <w:w w:val="120"/>
        </w:rPr>
        <w:t> </w:t>
      </w:r>
      <w:r>
        <w:rPr>
          <w:color w:val="231F1F"/>
          <w:w w:val="120"/>
        </w:rPr>
        <w:t>contraceptives,</w:t>
      </w:r>
      <w:r>
        <w:rPr>
          <w:color w:val="231F1F"/>
          <w:spacing w:val="-22"/>
          <w:w w:val="120"/>
        </w:rPr>
        <w:t> </w:t>
      </w:r>
      <w:r>
        <w:rPr>
          <w:color w:val="231F1F"/>
          <w:w w:val="120"/>
        </w:rPr>
        <w:t>progestogen-only</w:t>
      </w:r>
      <w:r>
        <w:rPr>
          <w:color w:val="231F1F"/>
          <w:spacing w:val="-20"/>
          <w:w w:val="120"/>
        </w:rPr>
        <w:t> </w:t>
      </w:r>
      <w:r>
        <w:rPr>
          <w:color w:val="231F1F"/>
          <w:w w:val="120"/>
        </w:rPr>
        <w:t>oral</w:t>
      </w:r>
      <w:r>
        <w:rPr>
          <w:color w:val="231F1F"/>
          <w:spacing w:val="-21"/>
          <w:w w:val="120"/>
        </w:rPr>
        <w:t> </w:t>
      </w:r>
      <w:r>
        <w:rPr>
          <w:color w:val="231F1F"/>
          <w:w w:val="120"/>
        </w:rPr>
        <w:t>contraceptives, </w:t>
      </w:r>
      <w:r>
        <w:rPr>
          <w:color w:val="231F1F"/>
          <w:w w:val="115"/>
        </w:rPr>
        <w:t>contraceptive patches, vaginal rings, etonogestrel-releasing </w:t>
      </w:r>
      <w:r>
        <w:rPr>
          <w:color w:val="231F1F"/>
          <w:w w:val="120"/>
        </w:rPr>
        <w:t>implant, and emergency hormonal contraception</w:t>
      </w:r>
      <w:r>
        <w:rPr>
          <w:rFonts w:ascii="Arial" w:hAnsi="Arial"/>
          <w:color w:val="231F1F"/>
          <w:w w:val="120"/>
        </w:rPr>
        <w:t>—</w:t>
      </w:r>
      <w:r>
        <w:rPr>
          <w:color w:val="231F1F"/>
          <w:w w:val="120"/>
        </w:rPr>
        <w:t>see Contraceptive Interactions in</w:t>
      </w:r>
      <w:r>
        <w:rPr>
          <w:color w:val="231F1F"/>
          <w:spacing w:val="-24"/>
          <w:w w:val="120"/>
        </w:rPr>
        <w:t> </w:t>
      </w:r>
      <w:r>
        <w:rPr>
          <w:color w:val="231F1F"/>
          <w:w w:val="120"/>
        </w:rPr>
        <w:t>BNF)</w:t>
      </w:r>
    </w:p>
    <w:p>
      <w:pPr>
        <w:spacing w:line="235" w:lineRule="auto" w:before="0"/>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Anxiolytics and Hypnotics: </w:t>
      </w:r>
      <w:r>
        <w:rPr>
          <w:color w:val="231F1F"/>
          <w:w w:val="105"/>
          <w:sz w:val="12"/>
        </w:rPr>
        <w:t>progestogens possibly increase plasma concentration of </w:t>
      </w:r>
      <w:r>
        <w:rPr>
          <w:rFonts w:ascii="Calibri" w:hAnsi="Calibri"/>
          <w:color w:val="008356"/>
          <w:spacing w:val="4"/>
          <w:w w:val="105"/>
          <w:sz w:val="11"/>
        </w:rPr>
        <w:t>CHLORDIAZEPOXIDE</w:t>
      </w:r>
      <w:r>
        <w:rPr>
          <w:color w:val="231F1F"/>
          <w:spacing w:val="4"/>
          <w:w w:val="105"/>
          <w:sz w:val="12"/>
        </w:rPr>
        <w:t>, </w:t>
      </w:r>
      <w:r>
        <w:rPr>
          <w:rFonts w:ascii="Calibri" w:hAnsi="Calibri"/>
          <w:color w:val="008356"/>
          <w:spacing w:val="3"/>
          <w:w w:val="105"/>
          <w:sz w:val="11"/>
        </w:rPr>
        <w:t>DIAZEPAM </w:t>
      </w:r>
      <w:r>
        <w:rPr>
          <w:color w:val="231F1F"/>
          <w:w w:val="105"/>
          <w:sz w:val="12"/>
        </w:rPr>
        <w:t>and </w:t>
      </w:r>
      <w:r>
        <w:rPr>
          <w:rFonts w:ascii="Calibri" w:hAnsi="Calibri"/>
          <w:color w:val="008356"/>
          <w:spacing w:val="4"/>
          <w:w w:val="105"/>
          <w:sz w:val="11"/>
        </w:rPr>
        <w:t>NITRAZEPAM</w:t>
      </w:r>
      <w:r>
        <w:rPr>
          <w:color w:val="231F1F"/>
          <w:spacing w:val="4"/>
          <w:w w:val="105"/>
          <w:sz w:val="12"/>
        </w:rPr>
        <w:t>; </w:t>
      </w:r>
      <w:r>
        <w:rPr>
          <w:color w:val="231F1F"/>
          <w:w w:val="105"/>
          <w:sz w:val="12"/>
        </w:rPr>
        <w:t>progestogens possibly reduce plasma concentration of </w:t>
      </w:r>
      <w:r>
        <w:rPr>
          <w:rFonts w:ascii="Calibri" w:hAnsi="Calibri"/>
          <w:color w:val="008356"/>
          <w:spacing w:val="4"/>
          <w:w w:val="105"/>
          <w:sz w:val="11"/>
        </w:rPr>
        <w:t>LORAZEPAM</w:t>
      </w:r>
      <w:r>
        <w:rPr>
          <w:color w:val="231F1F"/>
          <w:spacing w:val="4"/>
          <w:w w:val="105"/>
          <w:sz w:val="12"/>
        </w:rPr>
        <w:t>, </w:t>
      </w:r>
      <w:r>
        <w:rPr>
          <w:rFonts w:ascii="Calibri" w:hAnsi="Calibri"/>
          <w:color w:val="008356"/>
          <w:spacing w:val="3"/>
          <w:w w:val="105"/>
          <w:sz w:val="11"/>
        </w:rPr>
        <w:t>OXAZEPAM </w:t>
      </w:r>
      <w:r>
        <w:rPr>
          <w:color w:val="231F1F"/>
          <w:w w:val="105"/>
          <w:sz w:val="12"/>
        </w:rPr>
        <w:t>and</w:t>
      </w:r>
      <w:r>
        <w:rPr>
          <w:color w:val="231F1F"/>
          <w:spacing w:val="-10"/>
          <w:w w:val="105"/>
          <w:sz w:val="12"/>
        </w:rPr>
        <w:t> </w:t>
      </w:r>
      <w:r>
        <w:rPr>
          <w:rFonts w:ascii="Calibri" w:hAnsi="Calibri"/>
          <w:color w:val="008356"/>
          <w:spacing w:val="4"/>
          <w:w w:val="105"/>
          <w:sz w:val="11"/>
        </w:rPr>
        <w:t>TEMAZEPAM</w:t>
      </w:r>
    </w:p>
    <w:p>
      <w:pPr>
        <w:pStyle w:val="BodyText"/>
        <w:spacing w:line="244" w:lineRule="auto"/>
        <w:ind w:left="286" w:right="842" w:hanging="100"/>
      </w:pPr>
      <w:r>
        <w:rPr>
          <w:rFonts w:ascii="Arial"/>
          <w:color w:val="231F1F"/>
          <w:w w:val="355"/>
          <w:position w:val="1"/>
          <w:sz w:val="7"/>
        </w:rPr>
        <w:t>l </w:t>
      </w:r>
      <w:r>
        <w:rPr>
          <w:rFonts w:ascii="Calibri"/>
          <w:color w:val="231F1F"/>
          <w:w w:val="115"/>
        </w:rPr>
        <w:t>Aprepitant: </w:t>
      </w:r>
      <w:r>
        <w:rPr>
          <w:color w:val="231F1F"/>
          <w:w w:val="115"/>
        </w:rPr>
        <w:t>possible contraceptive failure of hormonal contraceptives</w:t>
      </w:r>
      <w:r>
        <w:rPr>
          <w:color w:val="231F1F"/>
          <w:spacing w:val="-7"/>
          <w:w w:val="115"/>
        </w:rPr>
        <w:t> </w:t>
      </w:r>
      <w:r>
        <w:rPr>
          <w:color w:val="231F1F"/>
          <w:w w:val="115"/>
        </w:rPr>
        <w:t>containing</w:t>
      </w:r>
      <w:r>
        <w:rPr>
          <w:color w:val="231F1F"/>
          <w:spacing w:val="-6"/>
          <w:w w:val="115"/>
        </w:rPr>
        <w:t> </w:t>
      </w:r>
      <w:r>
        <w:rPr>
          <w:color w:val="231F1F"/>
          <w:w w:val="115"/>
        </w:rPr>
        <w:t>progestogens</w:t>
      </w:r>
      <w:r>
        <w:rPr>
          <w:color w:val="231F1F"/>
          <w:spacing w:val="-4"/>
          <w:w w:val="115"/>
        </w:rPr>
        <w:t> </w:t>
      </w:r>
      <w:r>
        <w:rPr>
          <w:color w:val="231F1F"/>
          <w:w w:val="115"/>
        </w:rPr>
        <w:t>when</w:t>
      </w:r>
      <w:r>
        <w:rPr>
          <w:color w:val="231F1F"/>
          <w:spacing w:val="-7"/>
          <w:w w:val="115"/>
        </w:rPr>
        <w:t> </w:t>
      </w:r>
      <w:r>
        <w:rPr>
          <w:color w:val="231F1F"/>
          <w:w w:val="115"/>
        </w:rPr>
        <w:t>given</w:t>
      </w:r>
      <w:r>
        <w:rPr>
          <w:color w:val="231F1F"/>
          <w:spacing w:val="-5"/>
          <w:w w:val="115"/>
        </w:rPr>
        <w:t> </w:t>
      </w:r>
      <w:r>
        <w:rPr>
          <w:color w:val="231F1F"/>
          <w:spacing w:val="-4"/>
          <w:w w:val="115"/>
        </w:rPr>
        <w:t>with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APREPITANT</w:t>
      </w:r>
      <w:r>
        <w:rPr>
          <w:rFonts w:ascii="Calibri"/>
          <w:color w:val="008356"/>
          <w:spacing w:val="-3"/>
          <w:w w:val="115"/>
          <w:sz w:val="11"/>
        </w:rPr>
        <w:t> </w:t>
      </w:r>
      <w:r>
        <w:rPr>
          <w:color w:val="231F1F"/>
          <w:w w:val="115"/>
        </w:rPr>
        <w:t>(alternative</w:t>
      </w:r>
      <w:r>
        <w:rPr>
          <w:color w:val="231F1F"/>
          <w:spacing w:val="-14"/>
          <w:w w:val="115"/>
        </w:rPr>
        <w:t> </w:t>
      </w:r>
      <w:r>
        <w:rPr>
          <w:color w:val="231F1F"/>
          <w:w w:val="115"/>
        </w:rPr>
        <w:t>contraception</w:t>
      </w:r>
      <w:r>
        <w:rPr>
          <w:color w:val="231F1F"/>
          <w:spacing w:val="-13"/>
          <w:w w:val="115"/>
        </w:rPr>
        <w:t> </w:t>
      </w:r>
      <w:r>
        <w:rPr>
          <w:color w:val="231F1F"/>
          <w:w w:val="115"/>
        </w:rPr>
        <w:t>recommended)</w:t>
      </w:r>
    </w:p>
    <w:p>
      <w:pPr>
        <w:pStyle w:val="BodyText"/>
        <w:spacing w:line="140" w:lineRule="exact"/>
        <w:ind w:left="186"/>
      </w:pPr>
      <w:r>
        <w:rPr>
          <w:rFonts w:ascii="Arial"/>
          <w:color w:val="231F1F"/>
          <w:w w:val="355"/>
          <w:position w:val="1"/>
          <w:sz w:val="7"/>
        </w:rPr>
        <w:t>l </w:t>
      </w:r>
      <w:r>
        <w:rPr>
          <w:rFonts w:ascii="Calibri"/>
          <w:color w:val="231F1F"/>
          <w:w w:val="120"/>
        </w:rPr>
        <w:t>Bosentan: </w:t>
      </w:r>
      <w:r>
        <w:rPr>
          <w:color w:val="231F1F"/>
          <w:w w:val="120"/>
        </w:rPr>
        <w:t>possible contraceptive failure of hormonal</w:t>
      </w:r>
    </w:p>
    <w:p>
      <w:pPr>
        <w:pStyle w:val="BodyText"/>
        <w:ind w:left="286"/>
      </w:pPr>
      <w:r>
        <w:rPr>
          <w:color w:val="231F1F"/>
          <w:w w:val="115"/>
        </w:rPr>
        <w:t>contraceptives containing progestogens when given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spacing w:val="3"/>
          <w:w w:val="115"/>
          <w:sz w:val="11"/>
        </w:rPr>
        <w:t>BOSENTAN </w:t>
      </w:r>
      <w:r>
        <w:rPr>
          <w:color w:val="231F1F"/>
          <w:w w:val="115"/>
          <w:sz w:val="12"/>
        </w:rPr>
        <w:t>(alternative contraception recommended)</w:t>
      </w:r>
    </w:p>
    <w:p>
      <w:pPr>
        <w:pStyle w:val="BodyText"/>
        <w:spacing w:line="220" w:lineRule="auto" w:before="6"/>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progestogens possibly increase plasma concentration of </w:t>
      </w:r>
      <w:r>
        <w:rPr>
          <w:rFonts w:ascii="Calibri" w:hAnsi="Calibri"/>
          <w:color w:val="008356"/>
          <w:w w:val="105"/>
          <w:sz w:val="11"/>
        </w:rPr>
        <w:t>CICLOSPORIN</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Cobicistat: </w:t>
      </w:r>
      <w:r>
        <w:rPr>
          <w:color w:val="231F1F"/>
          <w:w w:val="105"/>
        </w:rPr>
        <w:t>plasma concentration of norgestimate increased by</w:t>
      </w:r>
    </w:p>
    <w:p>
      <w:pPr>
        <w:spacing w:line="132" w:lineRule="exact" w:before="0"/>
        <w:ind w:left="286" w:right="0" w:firstLine="0"/>
        <w:jc w:val="left"/>
        <w:rPr>
          <w:rFonts w:ascii="Calibri"/>
          <w:sz w:val="11"/>
        </w:rPr>
      </w:pPr>
      <w:r>
        <w:rPr>
          <w:rFonts w:ascii="Calibri"/>
          <w:color w:val="008356"/>
          <w:sz w:val="11"/>
        </w:rPr>
        <w:t>COBICISTAT</w:t>
      </w:r>
    </w:p>
    <w:p>
      <w:pPr>
        <w:spacing w:after="0" w:line="132" w:lineRule="exact"/>
        <w:jc w:val="left"/>
        <w:rPr>
          <w:rFonts w:ascii="Calibri"/>
          <w:sz w:val="11"/>
        </w:rPr>
        <w:sectPr>
          <w:headerReference w:type="even" r:id="rId44"/>
          <w:headerReference w:type="default" r:id="rId45"/>
          <w:pgSz w:w="8390" w:h="11910"/>
          <w:pgMar w:header="0" w:footer="0" w:top="460" w:bottom="280" w:left="480" w:right="0"/>
          <w:cols w:num="2" w:equalWidth="0">
            <w:col w:w="3635" w:space="41"/>
            <w:col w:w="4234"/>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Progestogens </w:t>
      </w:r>
      <w:r>
        <w:rPr>
          <w:rFonts w:ascii="Calibri"/>
          <w:color w:val="231F1F"/>
        </w:rPr>
        <w:t>(continued)</w:t>
      </w:r>
    </w:p>
    <w:p>
      <w:pPr>
        <w:pStyle w:val="BodyText"/>
        <w:ind w:right="231" w:hanging="100"/>
      </w:pPr>
      <w:r>
        <w:rPr>
          <w:rFonts w:ascii="Arial"/>
          <w:color w:val="231F1F"/>
          <w:w w:val="355"/>
          <w:position w:val="1"/>
          <w:sz w:val="7"/>
        </w:rPr>
        <w:t>l </w:t>
      </w:r>
      <w:r>
        <w:rPr>
          <w:rFonts w:ascii="Calibri"/>
          <w:color w:val="231F1F"/>
          <w:w w:val="110"/>
        </w:rPr>
        <w:t>Cytotoxics: </w:t>
      </w:r>
      <w:r>
        <w:rPr>
          <w:color w:val="231F1F"/>
          <w:w w:val="110"/>
        </w:rPr>
        <w:t>possible reduction in contraceptive effect of progestogens advised by manufacturer of </w:t>
      </w:r>
      <w:r>
        <w:rPr>
          <w:rFonts w:ascii="Arial"/>
          <w:color w:val="231F1F"/>
          <w:w w:val="355"/>
          <w:position w:val="1"/>
          <w:sz w:val="7"/>
        </w:rPr>
        <w:t>l </w:t>
      </w:r>
      <w:r>
        <w:rPr>
          <w:rFonts w:ascii="Calibri"/>
          <w:color w:val="008356"/>
          <w:spacing w:val="4"/>
          <w:w w:val="110"/>
          <w:sz w:val="11"/>
        </w:rPr>
        <w:t>CRIZOTINIB </w:t>
      </w:r>
      <w:r>
        <w:rPr>
          <w:color w:val="231F1F"/>
          <w:spacing w:val="-4"/>
          <w:w w:val="110"/>
        </w:rPr>
        <w:t>and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VEMURAFENIB</w:t>
      </w:r>
      <w:r>
        <w:rPr>
          <w:color w:val="231F1F"/>
          <w:spacing w:val="4"/>
          <w:w w:val="110"/>
        </w:rPr>
        <w:t>; </w:t>
      </w:r>
      <w:r>
        <w:rPr>
          <w:color w:val="231F1F"/>
          <w:w w:val="110"/>
        </w:rPr>
        <w:t>possible reduced contraceptive effect of</w:t>
      </w:r>
    </w:p>
    <w:p>
      <w:pPr>
        <w:pStyle w:val="BodyText"/>
        <w:spacing w:line="247" w:lineRule="auto" w:before="1"/>
        <w:ind w:right="8"/>
      </w:pPr>
      <w:r>
        <w:rPr>
          <w:color w:val="231F1F"/>
          <w:w w:val="115"/>
        </w:rPr>
        <w:t>hormonal contraceptives containing progestogens advised by manufacturer of </w:t>
      </w:r>
      <w:r>
        <w:rPr>
          <w:rFonts w:ascii="Arial"/>
          <w:color w:val="231F1F"/>
          <w:w w:val="355"/>
          <w:position w:val="1"/>
          <w:sz w:val="7"/>
        </w:rPr>
        <w:t>l </w:t>
      </w:r>
      <w:r>
        <w:rPr>
          <w:rFonts w:ascii="Calibri"/>
          <w:color w:val="008356"/>
          <w:w w:val="115"/>
          <w:sz w:val="11"/>
        </w:rPr>
        <w:t>DABRAFENIB </w:t>
      </w:r>
      <w:r>
        <w:rPr>
          <w:color w:val="231F1F"/>
          <w:w w:val="115"/>
        </w:rPr>
        <w:t>(alternative contraception recommended)</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10"/>
        </w:rPr>
        <w:t>Diuretics: </w:t>
      </w:r>
      <w:r>
        <w:rPr>
          <w:color w:val="231F1F"/>
          <w:w w:val="110"/>
        </w:rPr>
        <w:t>risk of hyperkalaemia when drospirenone given with</w:t>
      </w:r>
    </w:p>
    <w:p>
      <w:pPr>
        <w:spacing w:line="132" w:lineRule="exact" w:before="0"/>
        <w:ind w:left="208" w:right="0" w:firstLine="0"/>
        <w:jc w:val="left"/>
        <w:rPr>
          <w:rFonts w:ascii="Calibri"/>
          <w:sz w:val="11"/>
        </w:rPr>
      </w:pPr>
      <w:r>
        <w:rPr>
          <w:rFonts w:ascii="Calibri"/>
          <w:color w:val="008356"/>
          <w:sz w:val="11"/>
        </w:rPr>
        <w:t>POTASSIUM-SPARING DIURETICS AND ALDOSTERONE ANTAGONISTS</w:t>
      </w:r>
    </w:p>
    <w:p>
      <w:pPr>
        <w:pStyle w:val="BodyText"/>
        <w:spacing w:before="3"/>
      </w:pPr>
      <w:r>
        <w:rPr>
          <w:color w:val="231F1F"/>
          <w:w w:val="115"/>
        </w:rPr>
        <w:t>(monitor serum potassium during first cycle)</w:t>
      </w:r>
    </w:p>
    <w:p>
      <w:pPr>
        <w:pStyle w:val="BodyText"/>
        <w:ind w:right="93" w:hanging="100"/>
      </w:pPr>
      <w:r>
        <w:rPr>
          <w:rFonts w:ascii="Arial" w:hAnsi="Arial"/>
          <w:color w:val="231F1F"/>
          <w:w w:val="115"/>
          <w:position w:val="1"/>
          <w:sz w:val="7"/>
        </w:rPr>
        <w:t>l </w:t>
      </w:r>
      <w:r>
        <w:rPr>
          <w:rFonts w:ascii="Calibri" w:hAnsi="Calibri"/>
          <w:color w:val="231F1F"/>
          <w:w w:val="115"/>
        </w:rPr>
        <w:t>Dopaminergics: </w:t>
      </w:r>
      <w:r>
        <w:rPr>
          <w:color w:val="231F1F"/>
          <w:w w:val="115"/>
        </w:rPr>
        <w:t>progestogens increase plasma concentration </w:t>
      </w:r>
      <w:r>
        <w:rPr>
          <w:color w:val="231F1F"/>
          <w:w w:val="120"/>
        </w:rPr>
        <w:t>of </w:t>
      </w:r>
      <w:r>
        <w:rPr>
          <w:rFonts w:ascii="Arial" w:hAnsi="Arial"/>
          <w:color w:val="231F1F"/>
          <w:w w:val="160"/>
          <w:position w:val="1"/>
          <w:sz w:val="7"/>
        </w:rPr>
        <w:t>l </w:t>
      </w:r>
      <w:r>
        <w:rPr>
          <w:rFonts w:ascii="Calibri" w:hAnsi="Calibri"/>
          <w:color w:val="008356"/>
          <w:w w:val="120"/>
          <w:sz w:val="11"/>
        </w:rPr>
        <w:t>SELEGILINE</w:t>
      </w:r>
      <w:r>
        <w:rPr>
          <w:rFonts w:ascii="Arial" w:hAnsi="Arial"/>
          <w:color w:val="231F1F"/>
          <w:w w:val="120"/>
        </w:rPr>
        <w:t>—</w:t>
      </w:r>
      <w:r>
        <w:rPr>
          <w:color w:val="231F1F"/>
          <w:w w:val="120"/>
        </w:rPr>
        <w:t>manufacturer of selegiline advises avoid concomitant use</w:t>
      </w:r>
    </w:p>
    <w:p>
      <w:pPr>
        <w:pStyle w:val="BodyText"/>
        <w:spacing w:line="244" w:lineRule="auto" w:before="2"/>
        <w:ind w:right="204" w:hanging="100"/>
      </w:pPr>
      <w:r>
        <w:rPr>
          <w:rFonts w:ascii="Arial"/>
          <w:color w:val="231F1F"/>
          <w:w w:val="355"/>
          <w:position w:val="1"/>
          <w:sz w:val="7"/>
        </w:rPr>
        <w:t>l </w:t>
      </w:r>
      <w:r>
        <w:rPr>
          <w:rFonts w:ascii="Calibri"/>
          <w:color w:val="231F1F"/>
          <w:w w:val="110"/>
        </w:rPr>
        <w:t>Fosaprepitant: </w:t>
      </w:r>
      <w:r>
        <w:rPr>
          <w:color w:val="231F1F"/>
          <w:w w:val="110"/>
        </w:rPr>
        <w:t>possible contraceptive failure of hormonal contraceptives containing  progestogens  when  given  with</w:t>
      </w:r>
      <w:r>
        <w:rPr>
          <w:color w:val="231F1F"/>
          <w:w w:val="110"/>
          <w:position w:val="1"/>
        </w:rPr>
        <w:t> </w:t>
      </w:r>
      <w:r>
        <w:rPr>
          <w:rFonts w:ascii="Arial"/>
          <w:color w:val="231F1F"/>
          <w:w w:val="355"/>
          <w:position w:val="1"/>
          <w:sz w:val="7"/>
        </w:rPr>
        <w:t>l </w:t>
      </w:r>
      <w:r>
        <w:rPr>
          <w:rFonts w:ascii="Calibri"/>
          <w:color w:val="008356"/>
          <w:spacing w:val="4"/>
          <w:w w:val="110"/>
          <w:sz w:val="11"/>
        </w:rPr>
        <w:t>FOSAPREPITANT </w:t>
      </w:r>
      <w:r>
        <w:rPr>
          <w:color w:val="231F1F"/>
          <w:w w:val="110"/>
        </w:rPr>
        <w:t>(alternative</w:t>
      </w:r>
      <w:r>
        <w:rPr>
          <w:color w:val="231F1F"/>
          <w:spacing w:val="-23"/>
          <w:w w:val="110"/>
        </w:rPr>
        <w:t> </w:t>
      </w:r>
      <w:r>
        <w:rPr>
          <w:color w:val="231F1F"/>
          <w:w w:val="110"/>
        </w:rPr>
        <w:t>contraception recommended)</w:t>
      </w:r>
    </w:p>
    <w:p>
      <w:pPr>
        <w:pStyle w:val="BodyText"/>
        <w:spacing w:line="242" w:lineRule="auto"/>
        <w:ind w:right="53" w:hanging="100"/>
        <w:rPr>
          <w:rFonts w:ascii="Calibri" w:hAnsi="Calibri"/>
          <w:sz w:val="11"/>
        </w:rPr>
      </w:pPr>
      <w:r>
        <w:rPr>
          <w:rFonts w:ascii="Lucida Sans Unicode" w:hAnsi="Lucida Sans Unicode"/>
          <w:color w:val="A7A8AC"/>
          <w:w w:val="95"/>
          <w:sz w:val="10"/>
        </w:rPr>
        <w:t>▶ </w:t>
      </w:r>
      <w:r>
        <w:rPr>
          <w:rFonts w:ascii="Calibri" w:hAnsi="Calibri"/>
          <w:color w:val="231F1F"/>
          <w:w w:val="110"/>
        </w:rPr>
        <w:t>Lipid-regulating Drugs: </w:t>
      </w:r>
      <w:r>
        <w:rPr>
          <w:color w:val="231F1F"/>
          <w:w w:val="110"/>
        </w:rPr>
        <w:t>plasma concentration of norethisterone increased by </w:t>
      </w:r>
      <w:r>
        <w:rPr>
          <w:rFonts w:ascii="Calibri" w:hAnsi="Calibri"/>
          <w:color w:val="008356"/>
          <w:w w:val="110"/>
          <w:sz w:val="11"/>
        </w:rPr>
        <w:t>ATORVASTATIN</w:t>
      </w:r>
      <w:r>
        <w:rPr>
          <w:color w:val="231F1F"/>
          <w:w w:val="110"/>
        </w:rPr>
        <w:t>; plasma concentration of active metabolite of norgestimate increased by </w:t>
      </w:r>
      <w:r>
        <w:rPr>
          <w:rFonts w:ascii="Calibri" w:hAnsi="Calibri"/>
          <w:color w:val="008356"/>
          <w:w w:val="110"/>
          <w:sz w:val="11"/>
        </w:rPr>
        <w:t>ROSUVASTATIN</w:t>
      </w:r>
      <w:r>
        <w:rPr>
          <w:color w:val="231F1F"/>
          <w:w w:val="110"/>
        </w:rPr>
        <w:t>; plasma concentration of norgestrel  increased  by </w:t>
      </w:r>
      <w:r>
        <w:rPr>
          <w:rFonts w:ascii="Calibri" w:hAnsi="Calibri"/>
          <w:color w:val="008356"/>
          <w:w w:val="110"/>
          <w:sz w:val="11"/>
        </w:rPr>
        <w:t>ROSUVASTATIN</w:t>
      </w:r>
    </w:p>
    <w:p>
      <w:pPr>
        <w:pStyle w:val="BodyText"/>
        <w:spacing w:line="220" w:lineRule="auto"/>
        <w:ind w:hanging="100"/>
      </w:pPr>
      <w:r>
        <w:rPr>
          <w:rFonts w:ascii="Lucida Sans Unicode" w:hAnsi="Lucida Sans Unicode"/>
          <w:color w:val="A7A8AC"/>
          <w:w w:val="95"/>
          <w:sz w:val="10"/>
        </w:rPr>
        <w:t>▶ </w:t>
      </w:r>
      <w:r>
        <w:rPr>
          <w:rFonts w:ascii="Calibri" w:hAnsi="Calibri"/>
          <w:color w:val="231F1F"/>
          <w:w w:val="110"/>
        </w:rPr>
        <w:t>Muscle Relaxants: </w:t>
      </w:r>
      <w:r>
        <w:rPr>
          <w:color w:val="231F1F"/>
          <w:w w:val="110"/>
        </w:rPr>
        <w:t>progestogens possibly increase plasma concentration of </w:t>
      </w:r>
      <w:r>
        <w:rPr>
          <w:rFonts w:ascii="Calibri" w:hAnsi="Calibri"/>
          <w:color w:val="008356"/>
          <w:w w:val="110"/>
          <w:sz w:val="11"/>
        </w:rPr>
        <w:t>TIZANIDINE </w:t>
      </w:r>
      <w:r>
        <w:rPr>
          <w:color w:val="231F1F"/>
          <w:w w:val="110"/>
        </w:rPr>
        <w:t>(increased risk of toxicity)</w:t>
      </w:r>
    </w:p>
    <w:p>
      <w:pPr>
        <w:pStyle w:val="BodyText"/>
        <w:spacing w:line="230" w:lineRule="auto" w:before="1"/>
        <w:ind w:hanging="100"/>
      </w:pPr>
      <w:r>
        <w:rPr>
          <w:rFonts w:ascii="Lucida Sans Unicode" w:hAnsi="Lucida Sans Unicode"/>
          <w:color w:val="A7A8AC"/>
          <w:w w:val="95"/>
          <w:sz w:val="10"/>
        </w:rPr>
        <w:t>▶ </w:t>
      </w:r>
      <w:r>
        <w:rPr>
          <w:rFonts w:ascii="Calibri" w:hAnsi="Calibri"/>
          <w:color w:val="231F1F"/>
          <w:w w:val="110"/>
        </w:rPr>
        <w:t>Sugammadex: </w:t>
      </w:r>
      <w:r>
        <w:rPr>
          <w:color w:val="231F1F"/>
          <w:w w:val="110"/>
        </w:rPr>
        <w:t>plasma concentration of progestogens possibly reduced by </w:t>
      </w:r>
      <w:r>
        <w:rPr>
          <w:rFonts w:ascii="Calibri" w:hAnsi="Calibri"/>
          <w:color w:val="008356"/>
          <w:w w:val="110"/>
          <w:sz w:val="11"/>
        </w:rPr>
        <w:t>SUGAMMADEX</w:t>
      </w:r>
      <w:r>
        <w:rPr>
          <w:rFonts w:ascii="Arial" w:hAnsi="Arial"/>
          <w:color w:val="231F1F"/>
          <w:w w:val="110"/>
        </w:rPr>
        <w:t>—</w:t>
      </w:r>
      <w:r>
        <w:rPr>
          <w:color w:val="231F1F"/>
          <w:w w:val="110"/>
        </w:rPr>
        <w:t>manufacturer of sugammadex advises additional contraceptive precautions</w:t>
      </w:r>
    </w:p>
    <w:p>
      <w:pPr>
        <w:pStyle w:val="BodyText"/>
        <w:spacing w:line="220" w:lineRule="auto" w:before="12"/>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Teriflunomide: </w:t>
      </w:r>
      <w:r>
        <w:rPr>
          <w:color w:val="231F1F"/>
          <w:w w:val="105"/>
        </w:rPr>
        <w:t>plasma concentration of levonorgestrel increased by </w:t>
      </w:r>
      <w:r>
        <w:rPr>
          <w:rFonts w:ascii="Calibri" w:hAnsi="Calibri"/>
          <w:color w:val="008356"/>
          <w:w w:val="105"/>
          <w:sz w:val="11"/>
        </w:rPr>
        <w:t>TERIFLUNOMIDE</w:t>
      </w:r>
    </w:p>
    <w:p>
      <w:pPr>
        <w:pStyle w:val="BodyText"/>
        <w:ind w:right="417"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Ulipristal:</w:t>
      </w:r>
      <w:r>
        <w:rPr>
          <w:rFonts w:ascii="Calibri"/>
          <w:color w:val="231F1F"/>
          <w:spacing w:val="-14"/>
          <w:w w:val="115"/>
        </w:rPr>
        <w:t> </w:t>
      </w:r>
      <w:r>
        <w:rPr>
          <w:color w:val="231F1F"/>
          <w:w w:val="115"/>
        </w:rPr>
        <w:t>contraceptive</w:t>
      </w:r>
      <w:r>
        <w:rPr>
          <w:color w:val="231F1F"/>
          <w:spacing w:val="-18"/>
          <w:w w:val="115"/>
        </w:rPr>
        <w:t> </w:t>
      </w:r>
      <w:r>
        <w:rPr>
          <w:color w:val="231F1F"/>
          <w:w w:val="115"/>
        </w:rPr>
        <w:t>effect</w:t>
      </w:r>
      <w:r>
        <w:rPr>
          <w:color w:val="231F1F"/>
          <w:spacing w:val="-17"/>
          <w:w w:val="115"/>
        </w:rPr>
        <w:t> </w:t>
      </w:r>
      <w:r>
        <w:rPr>
          <w:color w:val="231F1F"/>
          <w:w w:val="115"/>
        </w:rPr>
        <w:t>of</w:t>
      </w:r>
      <w:r>
        <w:rPr>
          <w:color w:val="231F1F"/>
          <w:spacing w:val="-18"/>
          <w:w w:val="115"/>
        </w:rPr>
        <w:t> </w:t>
      </w:r>
      <w:r>
        <w:rPr>
          <w:color w:val="231F1F"/>
          <w:w w:val="115"/>
        </w:rPr>
        <w:t>progestogens</w:t>
      </w:r>
      <w:r>
        <w:rPr>
          <w:color w:val="231F1F"/>
          <w:spacing w:val="-18"/>
          <w:w w:val="115"/>
        </w:rPr>
        <w:t> </w:t>
      </w:r>
      <w:r>
        <w:rPr>
          <w:color w:val="231F1F"/>
          <w:w w:val="115"/>
        </w:rPr>
        <w:t>possibly reduced by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ULIPRISTAL</w:t>
      </w:r>
    </w:p>
    <w:p>
      <w:pPr>
        <w:pStyle w:val="BodyText"/>
        <w:spacing w:line="139" w:lineRule="exact" w:before="7"/>
        <w:ind w:left="108"/>
        <w:rPr>
          <w:rFonts w:ascii="Trebuchet MS"/>
        </w:rPr>
      </w:pPr>
      <w:r>
        <w:rPr>
          <w:rFonts w:ascii="Trebuchet MS"/>
          <w:color w:val="008356"/>
          <w:w w:val="105"/>
        </w:rPr>
        <w:t>Proguanil</w:t>
      </w:r>
    </w:p>
    <w:p>
      <w:pPr>
        <w:spacing w:line="220" w:lineRule="auto" w:before="8"/>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absorption of proguanil reduced by </w:t>
      </w:r>
      <w:r>
        <w:rPr>
          <w:rFonts w:ascii="Calibri" w:hAnsi="Calibri"/>
          <w:color w:val="008356"/>
          <w:w w:val="105"/>
          <w:sz w:val="11"/>
        </w:rPr>
        <w:t>ORAL MAGNESIUM SALTS </w:t>
      </w:r>
      <w:r>
        <w:rPr>
          <w:color w:val="231F1F"/>
          <w:w w:val="105"/>
          <w:sz w:val="12"/>
        </w:rPr>
        <w:t>(as magnesium trisilicate)</w:t>
      </w:r>
    </w:p>
    <w:p>
      <w:pPr>
        <w:pStyle w:val="BodyText"/>
        <w:spacing w:line="220" w:lineRule="auto" w:before="10"/>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isolated reports that proguanil may enhance anticoagulant effect of </w:t>
      </w:r>
      <w:r>
        <w:rPr>
          <w:rFonts w:ascii="Calibri" w:hAnsi="Calibri"/>
          <w:color w:val="008356"/>
          <w:w w:val="110"/>
          <w:sz w:val="11"/>
        </w:rPr>
        <w:t>WARFARIN</w:t>
      </w:r>
    </w:p>
    <w:p>
      <w:pPr>
        <w:spacing w:line="240" w:lineRule="auto" w:before="0"/>
        <w:ind w:left="208" w:right="68"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antimalarials advised by manufacturer</w:t>
      </w:r>
      <w:r>
        <w:rPr>
          <w:color w:val="231F1F"/>
          <w:spacing w:val="-22"/>
          <w:w w:val="110"/>
          <w:sz w:val="12"/>
        </w:rPr>
        <w:t> </w:t>
      </w:r>
      <w:r>
        <w:rPr>
          <w:color w:val="231F1F"/>
          <w:w w:val="110"/>
          <w:sz w:val="12"/>
        </w:rPr>
        <w:t>of</w:t>
      </w:r>
      <w:r>
        <w:rPr>
          <w:color w:val="231F1F"/>
          <w:spacing w:val="-22"/>
          <w:w w:val="110"/>
          <w:sz w:val="12"/>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ARTEMETHER</w:t>
      </w:r>
      <w:r>
        <w:rPr>
          <w:rFonts w:ascii="Calibri"/>
          <w:color w:val="008356"/>
          <w:spacing w:val="-15"/>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increased antifolate</w:t>
      </w:r>
      <w:r>
        <w:rPr>
          <w:color w:val="231F1F"/>
          <w:spacing w:val="-4"/>
          <w:w w:val="110"/>
          <w:sz w:val="12"/>
        </w:rPr>
        <w:t> </w:t>
      </w:r>
      <w:r>
        <w:rPr>
          <w:color w:val="231F1F"/>
          <w:w w:val="110"/>
          <w:sz w:val="12"/>
        </w:rPr>
        <w:t>effect</w:t>
      </w:r>
      <w:r>
        <w:rPr>
          <w:color w:val="231F1F"/>
          <w:spacing w:val="-5"/>
          <w:w w:val="110"/>
          <w:sz w:val="12"/>
        </w:rPr>
        <w:t> </w:t>
      </w:r>
      <w:r>
        <w:rPr>
          <w:color w:val="231F1F"/>
          <w:w w:val="110"/>
          <w:sz w:val="12"/>
        </w:rPr>
        <w:t>when</w:t>
      </w:r>
      <w:r>
        <w:rPr>
          <w:color w:val="231F1F"/>
          <w:spacing w:val="-4"/>
          <w:w w:val="110"/>
          <w:sz w:val="12"/>
        </w:rPr>
        <w:t> </w:t>
      </w:r>
      <w:r>
        <w:rPr>
          <w:color w:val="231F1F"/>
          <w:w w:val="110"/>
          <w:sz w:val="12"/>
        </w:rPr>
        <w:t>proguanil</w:t>
      </w:r>
      <w:r>
        <w:rPr>
          <w:color w:val="231F1F"/>
          <w:spacing w:val="-5"/>
          <w:w w:val="110"/>
          <w:sz w:val="12"/>
        </w:rPr>
        <w:t> </w:t>
      </w:r>
      <w:r>
        <w:rPr>
          <w:color w:val="231F1F"/>
          <w:w w:val="110"/>
          <w:sz w:val="12"/>
        </w:rPr>
        <w:t>given</w:t>
      </w:r>
      <w:r>
        <w:rPr>
          <w:color w:val="231F1F"/>
          <w:spacing w:val="-5"/>
          <w:w w:val="110"/>
          <w:sz w:val="12"/>
        </w:rPr>
        <w:t> </w:t>
      </w:r>
      <w:r>
        <w:rPr>
          <w:color w:val="231F1F"/>
          <w:w w:val="110"/>
          <w:sz w:val="12"/>
        </w:rPr>
        <w:t>with</w:t>
      </w:r>
      <w:r>
        <w:rPr>
          <w:color w:val="231F1F"/>
          <w:spacing w:val="-4"/>
          <w:w w:val="110"/>
          <w:sz w:val="12"/>
        </w:rPr>
        <w:t> </w:t>
      </w:r>
      <w:r>
        <w:rPr>
          <w:rFonts w:ascii="Calibri"/>
          <w:color w:val="008356"/>
          <w:spacing w:val="5"/>
          <w:w w:val="110"/>
          <w:sz w:val="11"/>
        </w:rPr>
        <w:t>PYRIMETHAMINE</w:t>
      </w:r>
    </w:p>
    <w:p>
      <w:pPr>
        <w:pStyle w:val="BodyText"/>
        <w:spacing w:line="220" w:lineRule="auto" w:before="7"/>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proguanil possibly affected by </w:t>
      </w:r>
      <w:r>
        <w:rPr>
          <w:rFonts w:ascii="Calibri" w:hAnsi="Calibri"/>
          <w:color w:val="008356"/>
          <w:w w:val="105"/>
          <w:sz w:val="11"/>
        </w:rPr>
        <w:t>EFAVIRENZ</w:t>
      </w:r>
    </w:p>
    <w:p>
      <w:pPr>
        <w:pStyle w:val="BodyText"/>
        <w:spacing w:line="220" w:lineRule="auto" w:before="8"/>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spacing w:line="220" w:lineRule="auto" w:before="8"/>
        <w:ind w:left="208"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3"/>
        <w:ind w:left="108" w:right="1161"/>
        <w:rPr>
          <w:rFonts w:ascii="Trebuchet MS"/>
        </w:rPr>
      </w:pPr>
      <w:r>
        <w:rPr>
          <w:rFonts w:ascii="Trebuchet MS"/>
          <w:color w:val="008356"/>
          <w:w w:val="105"/>
        </w:rPr>
        <w:t>Promazine </w:t>
      </w:r>
      <w:r>
        <w:rPr>
          <w:i/>
          <w:color w:val="231F1F"/>
          <w:w w:val="105"/>
        </w:rPr>
        <w:t>see </w:t>
      </w:r>
      <w:r>
        <w:rPr>
          <w:color w:val="231F1F"/>
          <w:w w:val="105"/>
        </w:rPr>
        <w:t>Antipsychotics </w:t>
      </w:r>
      <w:r>
        <w:rPr>
          <w:rFonts w:ascii="Trebuchet MS"/>
          <w:color w:val="008356"/>
          <w:w w:val="105"/>
        </w:rPr>
        <w:t>Promethazine </w:t>
      </w:r>
      <w:r>
        <w:rPr>
          <w:i/>
          <w:color w:val="231F1F"/>
          <w:w w:val="105"/>
        </w:rPr>
        <w:t>see </w:t>
      </w:r>
      <w:r>
        <w:rPr>
          <w:color w:val="231F1F"/>
          <w:w w:val="105"/>
        </w:rPr>
        <w:t>Antihistamines </w:t>
      </w:r>
      <w:r>
        <w:rPr>
          <w:rFonts w:ascii="Trebuchet MS"/>
          <w:color w:val="008356"/>
          <w:w w:val="105"/>
        </w:rPr>
        <w:t>Propafenone</w:t>
      </w:r>
    </w:p>
    <w:p>
      <w:pPr>
        <w:pStyle w:val="BodyText"/>
        <w:spacing w:line="220" w:lineRule="auto"/>
        <w:ind w:right="235"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propafenone  increases  plasma  </w:t>
      </w:r>
      <w:r>
        <w:rPr>
          <w:color w:val="231F1F"/>
          <w:spacing w:val="-2"/>
          <w:w w:val="105"/>
        </w:rPr>
        <w:t>concentration </w:t>
      </w:r>
      <w:r>
        <w:rPr>
          <w:color w:val="231F1F"/>
          <w:w w:val="105"/>
        </w:rPr>
        <w:t>of</w:t>
      </w:r>
      <w:r>
        <w:rPr>
          <w:color w:val="231F1F"/>
          <w:spacing w:val="-2"/>
          <w:w w:val="105"/>
        </w:rPr>
        <w:t> </w:t>
      </w:r>
      <w:r>
        <w:rPr>
          <w:rFonts w:ascii="Calibri" w:hAnsi="Calibri"/>
          <w:color w:val="008356"/>
          <w:spacing w:val="5"/>
          <w:w w:val="105"/>
          <w:sz w:val="11"/>
        </w:rPr>
        <w:t>AMINOPHYLLINE</w:t>
      </w:r>
    </w:p>
    <w:p>
      <w:pPr>
        <w:spacing w:line="220" w:lineRule="auto" w:before="8"/>
        <w:ind w:left="208" w:right="164" w:hanging="100"/>
        <w:jc w:val="left"/>
        <w:rPr>
          <w:sz w:val="12"/>
        </w:rPr>
      </w:pPr>
      <w:r>
        <w:rPr>
          <w:rFonts w:ascii="Lucida Sans Unicode" w:hAnsi="Lucida Sans Unicode"/>
          <w:color w:val="A7A8AC"/>
          <w:w w:val="95"/>
          <w:sz w:val="10"/>
        </w:rPr>
        <w:t>▶ </w:t>
      </w:r>
      <w:r>
        <w:rPr>
          <w:rFonts w:ascii="Calibri" w:hAnsi="Calibri"/>
          <w:color w:val="231F1F"/>
          <w:w w:val="105"/>
          <w:sz w:val="12"/>
        </w:rPr>
        <w:t>Anaesthetics, Local: </w:t>
      </w:r>
      <w:r>
        <w:rPr>
          <w:color w:val="231F1F"/>
          <w:w w:val="105"/>
          <w:sz w:val="12"/>
        </w:rPr>
        <w:t>increased myocardial depression when anti-arrhythmics given with </w:t>
      </w:r>
      <w:r>
        <w:rPr>
          <w:rFonts w:ascii="Calibri" w:hAnsi="Calibri"/>
          <w:color w:val="008356"/>
          <w:w w:val="105"/>
          <w:sz w:val="11"/>
        </w:rPr>
        <w:t>BUPIVACAINE</w:t>
      </w:r>
      <w:r>
        <w:rPr>
          <w:color w:val="231F1F"/>
          <w:w w:val="105"/>
          <w:sz w:val="12"/>
        </w:rPr>
        <w:t>, </w:t>
      </w:r>
      <w:r>
        <w:rPr>
          <w:rFonts w:ascii="Calibri" w:hAnsi="Calibri"/>
          <w:color w:val="008356"/>
          <w:w w:val="105"/>
          <w:sz w:val="11"/>
        </w:rPr>
        <w:t>LEVOBUPIVACAINE</w:t>
      </w:r>
      <w:r>
        <w:rPr>
          <w:color w:val="231F1F"/>
          <w:w w:val="105"/>
          <w:sz w:val="12"/>
        </w:rPr>
        <w:t>,</w:t>
      </w:r>
    </w:p>
    <w:p>
      <w:pPr>
        <w:spacing w:line="141" w:lineRule="exact" w:before="4"/>
        <w:ind w:left="208" w:right="0" w:firstLine="0"/>
        <w:jc w:val="left"/>
        <w:rPr>
          <w:rFonts w:ascii="Calibri"/>
          <w:sz w:val="11"/>
        </w:rPr>
      </w:pPr>
      <w:r>
        <w:rPr>
          <w:rFonts w:ascii="Calibri"/>
          <w:color w:val="008356"/>
          <w:sz w:val="11"/>
        </w:rPr>
        <w:t>PRILOCAINE </w:t>
      </w:r>
      <w:r>
        <w:rPr>
          <w:color w:val="231F1F"/>
          <w:sz w:val="12"/>
        </w:rPr>
        <w:t>or </w:t>
      </w:r>
      <w:r>
        <w:rPr>
          <w:rFonts w:ascii="Calibri"/>
          <w:color w:val="008356"/>
          <w:sz w:val="11"/>
        </w:rPr>
        <w:t>ROPIVACAINE</w:t>
      </w:r>
    </w:p>
    <w:p>
      <w:pPr>
        <w:pStyle w:val="BodyText"/>
        <w:ind w:right="84" w:hanging="100"/>
        <w:rPr>
          <w:rFonts w:ascii="Calibri"/>
          <w:sz w:val="11"/>
        </w:rPr>
      </w:pPr>
      <w:r>
        <w:rPr>
          <w:rFonts w:ascii="Arial"/>
          <w:color w:val="231F1F"/>
          <w:w w:val="355"/>
          <w:position w:val="1"/>
          <w:sz w:val="7"/>
        </w:rPr>
        <w:t>l </w:t>
      </w:r>
      <w:r>
        <w:rPr>
          <w:rFonts w:ascii="Calibri"/>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0"/>
          <w:sz w:val="11"/>
        </w:rPr>
        <w:t>ANTI-ARRHYTHMICS</w:t>
      </w:r>
    </w:p>
    <w:p>
      <w:pPr>
        <w:pStyle w:val="BodyText"/>
        <w:spacing w:line="143" w:lineRule="exact"/>
        <w:ind w:left="108"/>
      </w:pPr>
      <w:r>
        <w:rPr>
          <w:rFonts w:ascii="Arial"/>
          <w:color w:val="231F1F"/>
          <w:w w:val="355"/>
          <w:position w:val="1"/>
          <w:sz w:val="7"/>
        </w:rPr>
        <w:t>l </w:t>
      </w:r>
      <w:r>
        <w:rPr>
          <w:rFonts w:ascii="Calibri"/>
          <w:color w:val="231F1F"/>
          <w:w w:val="115"/>
        </w:rPr>
        <w:t>Antibacterials: </w:t>
      </w:r>
      <w:r>
        <w:rPr>
          <w:color w:val="231F1F"/>
          <w:w w:val="115"/>
        </w:rPr>
        <w:t>metabolism of propafenone accelerated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RIFAMPICIN </w:t>
      </w:r>
      <w:r>
        <w:rPr>
          <w:color w:val="231F1F"/>
          <w:w w:val="110"/>
          <w:sz w:val="12"/>
        </w:rPr>
        <w:t>(reduced effect)</w:t>
      </w:r>
    </w:p>
    <w:p>
      <w:pPr>
        <w:pStyle w:val="BodyText"/>
        <w:spacing w:line="145" w:lineRule="exact"/>
        <w:ind w:left="108"/>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Anticoagulants:</w:t>
      </w:r>
      <w:r>
        <w:rPr>
          <w:rFonts w:ascii="Calibri"/>
          <w:color w:val="231F1F"/>
          <w:spacing w:val="-9"/>
          <w:w w:val="115"/>
        </w:rPr>
        <w:t> </w:t>
      </w:r>
      <w:r>
        <w:rPr>
          <w:color w:val="231F1F"/>
          <w:w w:val="115"/>
        </w:rPr>
        <w:t>propafenone</w:t>
      </w:r>
      <w:r>
        <w:rPr>
          <w:color w:val="231F1F"/>
          <w:spacing w:val="-14"/>
          <w:w w:val="115"/>
        </w:rPr>
        <w:t> </w:t>
      </w:r>
      <w:r>
        <w:rPr>
          <w:color w:val="231F1F"/>
          <w:w w:val="115"/>
        </w:rPr>
        <w:t>enhances</w:t>
      </w:r>
      <w:r>
        <w:rPr>
          <w:color w:val="231F1F"/>
          <w:spacing w:val="-13"/>
          <w:w w:val="115"/>
        </w:rPr>
        <w:t> </w:t>
      </w:r>
      <w:r>
        <w:rPr>
          <w:color w:val="231F1F"/>
          <w:w w:val="115"/>
        </w:rPr>
        <w:t>anticoagulant</w:t>
      </w:r>
      <w:r>
        <w:rPr>
          <w:color w:val="231F1F"/>
          <w:spacing w:val="-13"/>
          <w:w w:val="115"/>
        </w:rPr>
        <w:t> </w:t>
      </w:r>
      <w:r>
        <w:rPr>
          <w:color w:val="231F1F"/>
          <w:w w:val="115"/>
        </w:rPr>
        <w:t>effect</w:t>
      </w:r>
      <w:r>
        <w:rPr>
          <w:color w:val="231F1F"/>
          <w:spacing w:val="-13"/>
          <w:w w:val="115"/>
        </w:rPr>
        <w:t> </w:t>
      </w:r>
      <w:r>
        <w:rPr>
          <w:color w:val="231F1F"/>
          <w:w w:val="115"/>
        </w:rPr>
        <w:t>of</w:t>
      </w:r>
    </w:p>
    <w:p>
      <w:pPr>
        <w:spacing w:line="133" w:lineRule="exact" w:before="5"/>
        <w:ind w:left="208"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spacing w:line="240" w:lineRule="auto" w:before="0"/>
        <w:ind w:left="208" w:right="164"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metabolism of propafenone possibly inhibited by </w:t>
      </w:r>
      <w:r>
        <w:rPr>
          <w:rFonts w:ascii="Calibri"/>
          <w:color w:val="008356"/>
          <w:w w:val="110"/>
          <w:sz w:val="11"/>
        </w:rPr>
        <w:t>FLUOXETINE </w:t>
      </w:r>
      <w:r>
        <w:rPr>
          <w:color w:val="231F1F"/>
          <w:w w:val="110"/>
          <w:sz w:val="12"/>
        </w:rPr>
        <w:t>and </w:t>
      </w:r>
      <w:r>
        <w:rPr>
          <w:rFonts w:ascii="Calibri"/>
          <w:color w:val="008356"/>
          <w:w w:val="110"/>
          <w:sz w:val="11"/>
        </w:rPr>
        <w:t>PAROXETINE</w:t>
      </w:r>
      <w:r>
        <w:rPr>
          <w:color w:val="231F1F"/>
          <w:w w:val="110"/>
          <w:sz w:val="12"/>
        </w:rPr>
        <w:t>; increased risk of arrhythmias when propafenone given with </w:t>
      </w:r>
      <w:r>
        <w:rPr>
          <w:rFonts w:ascii="Arial"/>
          <w:color w:val="231F1F"/>
          <w:w w:val="355"/>
          <w:position w:val="1"/>
          <w:sz w:val="7"/>
        </w:rPr>
        <w:t>l </w:t>
      </w:r>
      <w:r>
        <w:rPr>
          <w:rFonts w:ascii="Calibri"/>
          <w:color w:val="008356"/>
          <w:w w:val="110"/>
          <w:sz w:val="11"/>
        </w:rPr>
        <w:t>TRICYCLICS</w:t>
      </w:r>
    </w:p>
    <w:p>
      <w:pPr>
        <w:spacing w:line="220" w:lineRule="auto" w:before="7"/>
        <w:ind w:left="208" w:right="409"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metabolism of propafenone possibly accelerated by </w:t>
      </w:r>
      <w:r>
        <w:rPr>
          <w:rFonts w:ascii="Calibri" w:hAnsi="Calibri"/>
          <w:color w:val="008356"/>
          <w:w w:val="105"/>
          <w:sz w:val="11"/>
        </w:rPr>
        <w:t>PHENOBARBITAL </w:t>
      </w:r>
      <w:r>
        <w:rPr>
          <w:color w:val="231F1F"/>
          <w:w w:val="105"/>
          <w:sz w:val="12"/>
        </w:rPr>
        <w:t>and </w:t>
      </w:r>
      <w:r>
        <w:rPr>
          <w:rFonts w:ascii="Calibri" w:hAnsi="Calibri"/>
          <w:color w:val="008356"/>
          <w:w w:val="105"/>
          <w:sz w:val="11"/>
        </w:rPr>
        <w:t>PRIMIDONE</w:t>
      </w:r>
    </w:p>
    <w:p>
      <w:pPr>
        <w:pStyle w:val="BodyText"/>
        <w:spacing w:line="230" w:lineRule="auto" w:before="4"/>
        <w:ind w:hanging="100"/>
      </w:pPr>
      <w:r>
        <w:rPr>
          <w:rFonts w:ascii="Lucida Sans Unicode" w:hAnsi="Lucida Sans Unicode"/>
          <w:color w:val="A7A8AC"/>
          <w:w w:val="95"/>
          <w:sz w:val="10"/>
        </w:rPr>
        <w:t>▶ </w:t>
      </w:r>
      <w:r>
        <w:rPr>
          <w:rFonts w:ascii="Calibri" w:hAnsi="Calibri"/>
          <w:color w:val="231F1F"/>
          <w:w w:val="110"/>
        </w:rPr>
        <w:t>Antihistamines: </w:t>
      </w:r>
      <w:r>
        <w:rPr>
          <w:color w:val="231F1F"/>
          <w:w w:val="110"/>
        </w:rPr>
        <w:t>avoidance of propafenone advised by manufacturer of </w:t>
      </w:r>
      <w:r>
        <w:rPr>
          <w:rFonts w:ascii="Calibri" w:hAnsi="Calibri"/>
          <w:color w:val="008356"/>
          <w:w w:val="110"/>
          <w:sz w:val="11"/>
        </w:rPr>
        <w:t>MIZOLASTINE </w:t>
      </w:r>
      <w:r>
        <w:rPr>
          <w:color w:val="231F1F"/>
          <w:w w:val="110"/>
        </w:rPr>
        <w:t>(possible risk of ventricular arrhythmias)</w:t>
      </w:r>
    </w:p>
    <w:p>
      <w:pPr>
        <w:pStyle w:val="BodyText"/>
        <w:spacing w:before="3"/>
        <w:ind w:right="79"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Antipsychotics: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ventricular</w:t>
      </w:r>
      <w:r>
        <w:rPr>
          <w:color w:val="231F1F"/>
          <w:spacing w:val="-18"/>
          <w:w w:val="115"/>
        </w:rPr>
        <w:t> </w:t>
      </w:r>
      <w:r>
        <w:rPr>
          <w:color w:val="231F1F"/>
          <w:w w:val="115"/>
        </w:rPr>
        <w:t>arrhythmias</w:t>
      </w:r>
      <w:r>
        <w:rPr>
          <w:color w:val="231F1F"/>
          <w:spacing w:val="-19"/>
          <w:w w:val="115"/>
        </w:rPr>
        <w:t> </w:t>
      </w:r>
      <w:r>
        <w:rPr>
          <w:color w:val="231F1F"/>
          <w:spacing w:val="-4"/>
          <w:w w:val="115"/>
        </w:rPr>
        <w:t>when </w:t>
      </w:r>
      <w:r>
        <w:rPr>
          <w:color w:val="231F1F"/>
          <w:w w:val="115"/>
        </w:rPr>
        <w:t>anti-arrhythmics that prolong the QT interval given</w:t>
      </w:r>
      <w:r>
        <w:rPr>
          <w:color w:val="231F1F"/>
          <w:spacing w:val="-23"/>
          <w:w w:val="115"/>
        </w:rPr>
        <w:t> </w:t>
      </w:r>
      <w:r>
        <w:rPr>
          <w:color w:val="231F1F"/>
          <w:w w:val="115"/>
        </w:rPr>
        <w:t>with</w:t>
      </w:r>
    </w:p>
    <w:p>
      <w:pPr>
        <w:spacing w:line="141" w:lineRule="exact" w:before="5"/>
        <w:ind w:left="208" w:right="0" w:firstLine="0"/>
        <w:jc w:val="left"/>
        <w:rPr>
          <w:sz w:val="12"/>
        </w:rPr>
      </w:pPr>
      <w:r>
        <w:rPr>
          <w:rFonts w:ascii="Arial"/>
          <w:color w:val="231F1F"/>
          <w:w w:val="355"/>
          <w:position w:val="1"/>
          <w:sz w:val="7"/>
        </w:rPr>
        <w:t>l </w:t>
      </w:r>
      <w:r>
        <w:rPr>
          <w:rFonts w:ascii="Calibri"/>
          <w:color w:val="008356"/>
          <w:w w:val="110"/>
          <w:sz w:val="11"/>
        </w:rPr>
        <w:t>ANTIPSYCHOTICS </w:t>
      </w:r>
      <w:r>
        <w:rPr>
          <w:color w:val="231F1F"/>
          <w:w w:val="145"/>
          <w:sz w:val="12"/>
        </w:rPr>
        <w:t>that </w:t>
      </w:r>
      <w:r>
        <w:rPr>
          <w:color w:val="231F1F"/>
          <w:w w:val="110"/>
          <w:sz w:val="12"/>
        </w:rPr>
        <w:t>prolong the QT interval</w:t>
      </w:r>
    </w:p>
    <w:p>
      <w:pPr>
        <w:pStyle w:val="BodyText"/>
        <w:spacing w:line="244" w:lineRule="auto"/>
        <w:ind w:right="87"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propafenone possibly increased by </w:t>
      </w:r>
      <w:r>
        <w:rPr>
          <w:rFonts w:ascii="Arial" w:hAnsi="Arial"/>
          <w:color w:val="231F1F"/>
          <w:w w:val="355"/>
          <w:position w:val="1"/>
          <w:sz w:val="7"/>
        </w:rPr>
        <w:t>l </w:t>
      </w:r>
      <w:r>
        <w:rPr>
          <w:rFonts w:ascii="Calibri" w:hAnsi="Calibri"/>
          <w:color w:val="008356"/>
          <w:spacing w:val="4"/>
          <w:w w:val="110"/>
          <w:sz w:val="11"/>
        </w:rPr>
        <w:t>FOSAMPRENAVIR </w:t>
      </w:r>
      <w:r>
        <w:rPr>
          <w:color w:val="231F1F"/>
          <w:w w:val="110"/>
        </w:rPr>
        <w:t>(increased risk of ventricular arrhythmias</w:t>
      </w:r>
      <w:r>
        <w:rPr>
          <w:rFonts w:ascii="Arial" w:hAnsi="Arial"/>
          <w:color w:val="231F1F"/>
          <w:w w:val="110"/>
        </w:rPr>
        <w:t>—</w:t>
      </w:r>
      <w:r>
        <w:rPr>
          <w:color w:val="231F1F"/>
          <w:w w:val="110"/>
        </w:rPr>
        <w:t>avoid concomitant use); plasma concentration of propafenone increased by </w:t>
      </w:r>
      <w:r>
        <w:rPr>
          <w:rFonts w:ascii="Arial" w:hAnsi="Arial"/>
          <w:color w:val="231F1F"/>
          <w:w w:val="355"/>
          <w:position w:val="1"/>
          <w:sz w:val="7"/>
        </w:rPr>
        <w:t>l </w:t>
      </w:r>
      <w:r>
        <w:rPr>
          <w:rFonts w:ascii="Calibri" w:hAnsi="Calibri"/>
          <w:color w:val="008356"/>
          <w:spacing w:val="3"/>
          <w:w w:val="110"/>
          <w:sz w:val="11"/>
        </w:rPr>
        <w:t>RITONAVIR </w:t>
      </w:r>
      <w:r>
        <w:rPr>
          <w:color w:val="231F1F"/>
          <w:w w:val="110"/>
        </w:rPr>
        <w:t>(increased risk of ventricular arrhythmias</w:t>
      </w:r>
      <w:r>
        <w:rPr>
          <w:rFonts w:ascii="Arial" w:hAnsi="Arial"/>
          <w:color w:val="231F1F"/>
          <w:w w:val="110"/>
        </w:rPr>
        <w:t>—</w:t>
      </w:r>
      <w:r>
        <w:rPr>
          <w:color w:val="231F1F"/>
          <w:w w:val="110"/>
        </w:rPr>
        <w:t>avoid concomitant use); increased risk of ventricular arrhythmias when propafenone given </w:t>
      </w:r>
      <w:r>
        <w:rPr>
          <w:color w:val="231F1F"/>
          <w:spacing w:val="-4"/>
          <w:w w:val="110"/>
        </w:rPr>
        <w:t>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caution with</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Propafenone</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5728" filled="true" fillcolor="#bfdbcf" stroked="false">
            <v:fill type="solid"/>
            <w10:wrap type="none"/>
          </v:rect>
        </w:pict>
      </w:r>
      <w:r>
        <w:rPr/>
        <w:pict>
          <v:shape style="position:absolute;margin-left:399.725769pt;margin-top:-3.416702pt;width:10.4pt;height:78.850pt;mso-position-horizontal-relative:page;mso-position-vertical-relative:paragraph;z-index:575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pStyle w:val="BodyText"/>
        <w:spacing w:line="244" w:lineRule="auto"/>
        <w:ind w:right="665"/>
      </w:pPr>
      <w:r>
        <w:rPr>
          <w:color w:val="231F1F"/>
          <w:w w:val="115"/>
        </w:rPr>
        <w:t>propafenone</w:t>
      </w:r>
      <w:r>
        <w:rPr>
          <w:color w:val="231F1F"/>
          <w:spacing w:val="-16"/>
          <w:w w:val="115"/>
        </w:rPr>
        <w:t> </w:t>
      </w:r>
      <w:r>
        <w:rPr>
          <w:color w:val="231F1F"/>
          <w:w w:val="115"/>
        </w:rPr>
        <w:t>advised</w:t>
      </w:r>
      <w:r>
        <w:rPr>
          <w:color w:val="231F1F"/>
          <w:spacing w:val="-15"/>
          <w:w w:val="115"/>
        </w:rPr>
        <w:t> </w:t>
      </w:r>
      <w:r>
        <w:rPr>
          <w:color w:val="231F1F"/>
          <w:w w:val="115"/>
        </w:rPr>
        <w:t>by</w:t>
      </w:r>
      <w:r>
        <w:rPr>
          <w:color w:val="231F1F"/>
          <w:spacing w:val="-14"/>
          <w:w w:val="115"/>
        </w:rPr>
        <w:t> </w:t>
      </w:r>
      <w:r>
        <w:rPr>
          <w:color w:val="231F1F"/>
          <w:w w:val="115"/>
        </w:rPr>
        <w:t>manufacturer</w:t>
      </w:r>
      <w:r>
        <w:rPr>
          <w:color w:val="231F1F"/>
          <w:spacing w:val="-16"/>
          <w:w w:val="115"/>
        </w:rPr>
        <w:t> </w:t>
      </w:r>
      <w:r>
        <w:rPr>
          <w:color w:val="231F1F"/>
          <w:w w:val="115"/>
        </w:rPr>
        <w:t>of</w:t>
      </w:r>
      <w:r>
        <w:rPr>
          <w:color w:val="231F1F"/>
          <w:spacing w:val="-13"/>
          <w:w w:val="115"/>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TELAPREVIR</w:t>
      </w:r>
      <w:r>
        <w:rPr>
          <w:rFonts w:ascii="Calibri"/>
          <w:color w:val="008356"/>
          <w:spacing w:val="-5"/>
          <w:w w:val="115"/>
          <w:sz w:val="11"/>
        </w:rPr>
        <w:t> </w:t>
      </w:r>
      <w:r>
        <w:rPr>
          <w:color w:val="231F1F"/>
          <w:w w:val="115"/>
        </w:rPr>
        <w:t>(risk</w:t>
      </w:r>
      <w:r>
        <w:rPr>
          <w:color w:val="231F1F"/>
          <w:spacing w:val="-15"/>
          <w:w w:val="115"/>
        </w:rPr>
        <w:t> </w:t>
      </w:r>
      <w:r>
        <w:rPr>
          <w:color w:val="231F1F"/>
          <w:w w:val="115"/>
        </w:rPr>
        <w:t>of ventricular</w:t>
      </w:r>
      <w:r>
        <w:rPr>
          <w:color w:val="231F1F"/>
          <w:spacing w:val="-5"/>
          <w:w w:val="115"/>
        </w:rPr>
        <w:t> </w:t>
      </w:r>
      <w:r>
        <w:rPr>
          <w:color w:val="231F1F"/>
          <w:w w:val="115"/>
        </w:rPr>
        <w:t>arrhythmias)</w:t>
      </w:r>
    </w:p>
    <w:p>
      <w:pPr>
        <w:spacing w:line="244" w:lineRule="auto" w:before="0"/>
        <w:ind w:left="208" w:right="866" w:hanging="100"/>
        <w:jc w:val="left"/>
        <w:rPr>
          <w:rFonts w:ascii="Calibri"/>
          <w:sz w:val="11"/>
        </w:rPr>
      </w:pPr>
      <w:r>
        <w:rPr>
          <w:rFonts w:ascii="Arial"/>
          <w:color w:val="231F1F"/>
          <w:w w:val="355"/>
          <w:position w:val="1"/>
          <w:sz w:val="7"/>
        </w:rPr>
        <w:t>l </w:t>
      </w:r>
      <w:r>
        <w:rPr>
          <w:rFonts w:ascii="Calibri"/>
          <w:color w:val="231F1F"/>
          <w:w w:val="110"/>
          <w:sz w:val="12"/>
        </w:rPr>
        <w:t>Beta-blockers: </w:t>
      </w:r>
      <w:r>
        <w:rPr>
          <w:color w:val="231F1F"/>
          <w:w w:val="110"/>
          <w:sz w:val="12"/>
        </w:rPr>
        <w:t>increased myocardial depression when anti- arrhythmics given with </w:t>
      </w:r>
      <w:r>
        <w:rPr>
          <w:rFonts w:ascii="Arial"/>
          <w:color w:val="231F1F"/>
          <w:w w:val="355"/>
          <w:position w:val="1"/>
          <w:sz w:val="7"/>
        </w:rPr>
        <w:t>l </w:t>
      </w:r>
      <w:r>
        <w:rPr>
          <w:rFonts w:ascii="Calibri"/>
          <w:color w:val="008356"/>
          <w:w w:val="110"/>
          <w:sz w:val="11"/>
        </w:rPr>
        <w:t>BETA-BLOCKERS</w:t>
      </w:r>
      <w:r>
        <w:rPr>
          <w:color w:val="231F1F"/>
          <w:w w:val="110"/>
          <w:sz w:val="12"/>
        </w:rPr>
        <w:t>; propafenone increases plasma concentration of </w:t>
      </w:r>
      <w:r>
        <w:rPr>
          <w:rFonts w:ascii="Calibri"/>
          <w:color w:val="008356"/>
          <w:w w:val="110"/>
          <w:sz w:val="11"/>
        </w:rPr>
        <w:t>METOPROLOL </w:t>
      </w:r>
      <w:r>
        <w:rPr>
          <w:color w:val="231F1F"/>
          <w:w w:val="110"/>
          <w:sz w:val="12"/>
        </w:rPr>
        <w:t>and </w:t>
      </w:r>
      <w:r>
        <w:rPr>
          <w:rFonts w:ascii="Calibri"/>
          <w:color w:val="008356"/>
          <w:w w:val="110"/>
          <w:sz w:val="11"/>
        </w:rPr>
        <w:t>PROPRANOLOL</w:t>
      </w:r>
    </w:p>
    <w:p>
      <w:pPr>
        <w:pStyle w:val="BodyText"/>
        <w:ind w:right="670" w:hanging="100"/>
      </w:pPr>
      <w:r>
        <w:rPr>
          <w:rFonts w:ascii="Arial"/>
          <w:color w:val="231F1F"/>
          <w:w w:val="355"/>
          <w:position w:val="1"/>
          <w:sz w:val="7"/>
        </w:rPr>
        <w:t>l </w:t>
      </w:r>
      <w:r>
        <w:rPr>
          <w:rFonts w:ascii="Calibri"/>
          <w:color w:val="231F1F"/>
          <w:w w:val="110"/>
        </w:rPr>
        <w:t>Cardiac Glycosides: </w:t>
      </w:r>
      <w:r>
        <w:rPr>
          <w:color w:val="231F1F"/>
          <w:w w:val="110"/>
        </w:rPr>
        <w:t>propafenone increases plasma concentration of </w:t>
      </w:r>
      <w:r>
        <w:rPr>
          <w:rFonts w:ascii="Arial"/>
          <w:color w:val="231F1F"/>
          <w:w w:val="355"/>
          <w:position w:val="1"/>
          <w:sz w:val="7"/>
        </w:rPr>
        <w:t>l </w:t>
      </w:r>
      <w:r>
        <w:rPr>
          <w:rFonts w:ascii="Calibri"/>
          <w:color w:val="008356"/>
          <w:spacing w:val="4"/>
          <w:w w:val="110"/>
          <w:sz w:val="11"/>
        </w:rPr>
        <w:t>DIGOXIN </w:t>
      </w:r>
      <w:r>
        <w:rPr>
          <w:color w:val="231F1F"/>
          <w:w w:val="110"/>
        </w:rPr>
        <w:t>(halve dose of digoxin)</w:t>
      </w:r>
    </w:p>
    <w:p>
      <w:pPr>
        <w:pStyle w:val="BodyText"/>
        <w:spacing w:line="220" w:lineRule="auto"/>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propafenone possibly increases plasma concentration of </w:t>
      </w:r>
      <w:r>
        <w:rPr>
          <w:rFonts w:ascii="Calibri" w:hAnsi="Calibri"/>
          <w:color w:val="008356"/>
          <w:w w:val="105"/>
          <w:sz w:val="11"/>
        </w:rPr>
        <w:t>CICLOSPORIN</w:t>
      </w:r>
    </w:p>
    <w:p>
      <w:pPr>
        <w:spacing w:line="220" w:lineRule="auto" w:before="9"/>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Parasympathomimetics: </w:t>
      </w:r>
      <w:r>
        <w:rPr>
          <w:color w:val="231F1F"/>
          <w:w w:val="105"/>
          <w:sz w:val="12"/>
        </w:rPr>
        <w:t>propafenone possibly antagonises effects of </w:t>
      </w:r>
      <w:r>
        <w:rPr>
          <w:rFonts w:ascii="Calibri" w:hAnsi="Calibri"/>
          <w:color w:val="008356"/>
          <w:w w:val="105"/>
          <w:sz w:val="11"/>
        </w:rPr>
        <w:t>NEOSTIGMINE </w:t>
      </w:r>
      <w:r>
        <w:rPr>
          <w:color w:val="231F1F"/>
          <w:w w:val="105"/>
          <w:sz w:val="12"/>
        </w:rPr>
        <w:t>and </w:t>
      </w:r>
      <w:r>
        <w:rPr>
          <w:rFonts w:ascii="Calibri" w:hAnsi="Calibri"/>
          <w:color w:val="008356"/>
          <w:w w:val="105"/>
          <w:sz w:val="11"/>
        </w:rPr>
        <w:t>PYRIDOSTIGMINE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Theophylline: </w:t>
      </w:r>
      <w:r>
        <w:rPr>
          <w:color w:val="231F1F"/>
          <w:w w:val="105"/>
        </w:rPr>
        <w:t>propafenone increases plasma concentration of</w:t>
      </w:r>
    </w:p>
    <w:p>
      <w:pPr>
        <w:spacing w:line="130" w:lineRule="exact" w:before="0"/>
        <w:ind w:left="208" w:right="0" w:firstLine="0"/>
        <w:jc w:val="left"/>
        <w:rPr>
          <w:rFonts w:ascii="Calibri"/>
          <w:sz w:val="11"/>
        </w:rPr>
      </w:pPr>
      <w:r>
        <w:rPr>
          <w:rFonts w:ascii="Calibri"/>
          <w:color w:val="008356"/>
          <w:sz w:val="11"/>
        </w:rPr>
        <w:t>THEOPHYLLINE</w:t>
      </w:r>
    </w:p>
    <w:p>
      <w:pPr>
        <w:pStyle w:val="BodyText"/>
        <w:ind w:right="919"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Ulcer-healing</w:t>
      </w:r>
      <w:r>
        <w:rPr>
          <w:rFonts w:ascii="Calibri"/>
          <w:color w:val="231F1F"/>
          <w:spacing w:val="-13"/>
          <w:w w:val="115"/>
        </w:rPr>
        <w:t> </w:t>
      </w:r>
      <w:r>
        <w:rPr>
          <w:rFonts w:ascii="Calibri"/>
          <w:color w:val="231F1F"/>
          <w:w w:val="115"/>
        </w:rPr>
        <w:t>Drugs:</w:t>
      </w:r>
      <w:r>
        <w:rPr>
          <w:rFonts w:ascii="Calibri"/>
          <w:color w:val="231F1F"/>
          <w:spacing w:val="-14"/>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spacing w:val="-3"/>
          <w:w w:val="115"/>
        </w:rPr>
        <w:t>propafenone </w:t>
      </w:r>
      <w:r>
        <w:rPr>
          <w:color w:val="231F1F"/>
          <w:w w:val="115"/>
        </w:rPr>
        <w:t>increased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5"/>
          <w:w w:val="115"/>
          <w:sz w:val="11"/>
        </w:rPr>
        <w:t>CIMETIDINE</w:t>
      </w:r>
    </w:p>
    <w:p>
      <w:pPr>
        <w:pStyle w:val="BodyText"/>
        <w:spacing w:line="256" w:lineRule="auto" w:before="5"/>
        <w:ind w:left="108" w:right="2217"/>
        <w:rPr>
          <w:rFonts w:ascii="Trebuchet MS"/>
        </w:rPr>
      </w:pPr>
      <w:r>
        <w:rPr>
          <w:rFonts w:ascii="Trebuchet MS"/>
          <w:color w:val="008356"/>
          <w:w w:val="105"/>
        </w:rPr>
        <w:t>Propantheline </w:t>
      </w:r>
      <w:r>
        <w:rPr>
          <w:i/>
          <w:color w:val="231F1F"/>
          <w:w w:val="105"/>
        </w:rPr>
        <w:t>see </w:t>
      </w:r>
      <w:r>
        <w:rPr>
          <w:color w:val="231F1F"/>
          <w:w w:val="105"/>
        </w:rPr>
        <w:t>Antimuscarinics </w:t>
      </w:r>
      <w:r>
        <w:rPr>
          <w:rFonts w:ascii="Trebuchet MS"/>
          <w:color w:val="008356"/>
          <w:w w:val="105"/>
        </w:rPr>
        <w:t>Propiverine </w:t>
      </w:r>
      <w:r>
        <w:rPr>
          <w:i/>
          <w:color w:val="231F1F"/>
          <w:w w:val="105"/>
        </w:rPr>
        <w:t>see </w:t>
      </w:r>
      <w:r>
        <w:rPr>
          <w:color w:val="231F1F"/>
          <w:w w:val="105"/>
        </w:rPr>
        <w:t>Antimuscarinics </w:t>
      </w:r>
      <w:r>
        <w:rPr>
          <w:rFonts w:ascii="Trebuchet MS"/>
          <w:color w:val="008356"/>
          <w:w w:val="105"/>
        </w:rPr>
        <w:t>Propofol </w:t>
      </w:r>
      <w:r>
        <w:rPr>
          <w:i/>
          <w:color w:val="231F1F"/>
          <w:w w:val="105"/>
        </w:rPr>
        <w:t>see </w:t>
      </w:r>
      <w:r>
        <w:rPr>
          <w:color w:val="231F1F"/>
          <w:w w:val="105"/>
        </w:rPr>
        <w:t>Anaesthetics, General </w:t>
      </w:r>
      <w:r>
        <w:rPr>
          <w:rFonts w:ascii="Trebuchet MS"/>
          <w:color w:val="008356"/>
          <w:w w:val="105"/>
        </w:rPr>
        <w:t>Propranolol </w:t>
      </w:r>
      <w:r>
        <w:rPr>
          <w:i/>
          <w:color w:val="231F1F"/>
          <w:w w:val="105"/>
        </w:rPr>
        <w:t>see </w:t>
      </w:r>
      <w:r>
        <w:rPr>
          <w:color w:val="231F1F"/>
          <w:w w:val="105"/>
        </w:rPr>
        <w:t>Beta-blockers </w:t>
      </w:r>
      <w:r>
        <w:rPr>
          <w:rFonts w:ascii="Trebuchet MS"/>
          <w:color w:val="008356"/>
          <w:w w:val="105"/>
        </w:rPr>
        <w:t>Prostaglandins</w:t>
      </w:r>
    </w:p>
    <w:p>
      <w:pPr>
        <w:pStyle w:val="BodyText"/>
        <w:spacing w:line="220" w:lineRule="auto" w:before="1"/>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enhanced hypotensive effect when alprostadil given with </w:t>
      </w:r>
      <w:r>
        <w:rPr>
          <w:rFonts w:ascii="Calibri" w:hAnsi="Calibri"/>
          <w:color w:val="008356"/>
          <w:w w:val="105"/>
          <w:sz w:val="11"/>
        </w:rPr>
        <w:t>ACE INHIBITORS</w:t>
      </w:r>
    </w:p>
    <w:p>
      <w:pPr>
        <w:spacing w:line="220" w:lineRule="auto" w:before="9"/>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Adrenergic Neurone Blockers: </w:t>
      </w:r>
      <w:r>
        <w:rPr>
          <w:color w:val="231F1F"/>
          <w:w w:val="105"/>
          <w:sz w:val="12"/>
        </w:rPr>
        <w:t>enhanced hypotensive effect when alprostadil given with </w:t>
      </w:r>
      <w:r>
        <w:rPr>
          <w:rFonts w:ascii="Calibri" w:hAnsi="Calibri"/>
          <w:color w:val="008356"/>
          <w:w w:val="105"/>
          <w:sz w:val="11"/>
        </w:rPr>
        <w:t>ADRENERGIC NEURONE BLOCKERS</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alprostadil given with </w:t>
      </w:r>
      <w:r>
        <w:rPr>
          <w:rFonts w:ascii="Calibri" w:hAnsi="Calibri"/>
          <w:color w:val="008356"/>
          <w:w w:val="110"/>
          <w:sz w:val="11"/>
        </w:rPr>
        <w:t>ALPHA-BLOCKERS</w:t>
      </w:r>
    </w:p>
    <w:p>
      <w:pPr>
        <w:spacing w:line="237" w:lineRule="auto" w:before="0"/>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alprostadil given with </w:t>
      </w:r>
      <w:r>
        <w:rPr>
          <w:rFonts w:ascii="Calibri" w:hAnsi="Calibri"/>
          <w:color w:val="008356"/>
          <w:w w:val="105"/>
          <w:sz w:val="11"/>
        </w:rPr>
        <w:t>ANGIOTENSIN-II RECEPTOR ANTAGONISTS</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alprostadil given with </w:t>
      </w:r>
      <w:r>
        <w:rPr>
          <w:rFonts w:ascii="Calibri" w:hAnsi="Calibri"/>
          <w:color w:val="008356"/>
          <w:w w:val="110"/>
          <w:sz w:val="11"/>
        </w:rPr>
        <w:t>BETA-BLOCKERS</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Calcium-channel Blockers: </w:t>
      </w:r>
      <w:r>
        <w:rPr>
          <w:color w:val="231F1F"/>
          <w:w w:val="105"/>
          <w:sz w:val="12"/>
        </w:rPr>
        <w:t>enhanced hypotensive effect when alprostadil given with </w:t>
      </w:r>
      <w:r>
        <w:rPr>
          <w:rFonts w:ascii="Calibri" w:hAnsi="Calibri"/>
          <w:color w:val="008356"/>
          <w:w w:val="105"/>
          <w:sz w:val="11"/>
        </w:rPr>
        <w:t>CALCIUM-CHANNEL BLOCKERS</w:t>
      </w:r>
    </w:p>
    <w:p>
      <w:pPr>
        <w:pStyle w:val="BodyText"/>
        <w:spacing w:line="220" w:lineRule="auto" w:before="9"/>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Clonidine: </w:t>
      </w:r>
      <w:r>
        <w:rPr>
          <w:color w:val="231F1F"/>
          <w:w w:val="105"/>
        </w:rPr>
        <w:t>enhanced hypotensive effect when alprostadil given with </w:t>
      </w:r>
      <w:r>
        <w:rPr>
          <w:rFonts w:ascii="Calibri" w:hAnsi="Calibri"/>
          <w:color w:val="008356"/>
          <w:w w:val="105"/>
          <w:sz w:val="11"/>
        </w:rPr>
        <w:t>CLONIDINE</w:t>
      </w:r>
    </w:p>
    <w:p>
      <w:pPr>
        <w:pStyle w:val="BodyText"/>
        <w:spacing w:line="220" w:lineRule="auto" w:before="8"/>
        <w:ind w:right="991" w:hanging="100"/>
        <w:rPr>
          <w:rFonts w:ascii="Calibri" w:hAnsi="Calibri"/>
          <w:sz w:val="11"/>
        </w:rPr>
      </w:pPr>
      <w:r>
        <w:rPr>
          <w:rFonts w:ascii="Lucida Sans Unicode" w:hAnsi="Lucida Sans Unicode"/>
          <w:color w:val="A7A8AC"/>
          <w:w w:val="95"/>
          <w:sz w:val="10"/>
        </w:rPr>
        <w:t>▶ </w:t>
      </w:r>
      <w:r>
        <w:rPr>
          <w:rFonts w:ascii="Calibri" w:hAnsi="Calibri"/>
          <w:color w:val="231F1F"/>
          <w:w w:val="105"/>
        </w:rPr>
        <w:t>Diazoxide: </w:t>
      </w:r>
      <w:r>
        <w:rPr>
          <w:color w:val="231F1F"/>
          <w:w w:val="105"/>
        </w:rPr>
        <w:t>enhanced hypotensive effect when alprostadil given with </w:t>
      </w:r>
      <w:r>
        <w:rPr>
          <w:rFonts w:ascii="Calibri" w:hAnsi="Calibri"/>
          <w:color w:val="008356"/>
          <w:w w:val="105"/>
          <w:sz w:val="11"/>
        </w:rPr>
        <w:t>DIAZOXIDE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enhanced hypotensive effect when alprostadil given with </w:t>
      </w:r>
      <w:r>
        <w:rPr>
          <w:rFonts w:ascii="Calibri" w:hAnsi="Calibri"/>
          <w:color w:val="008356"/>
          <w:w w:val="105"/>
          <w:sz w:val="11"/>
        </w:rPr>
        <w:t>DIURETICS</w:t>
      </w:r>
    </w:p>
    <w:p>
      <w:pPr>
        <w:pStyle w:val="BodyText"/>
        <w:spacing w:line="220" w:lineRule="auto" w:before="10"/>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enhanced hypotensive effect when </w:t>
      </w:r>
      <w:r>
        <w:rPr>
          <w:color w:val="231F1F"/>
          <w:spacing w:val="-3"/>
          <w:w w:val="105"/>
        </w:rPr>
        <w:t>alprostadil </w:t>
      </w:r>
      <w:r>
        <w:rPr>
          <w:color w:val="231F1F"/>
          <w:w w:val="105"/>
        </w:rPr>
        <w:t>given with</w:t>
      </w:r>
      <w:r>
        <w:rPr>
          <w:color w:val="231F1F"/>
          <w:spacing w:val="-2"/>
          <w:w w:val="105"/>
        </w:rPr>
        <w:t> </w:t>
      </w:r>
      <w:r>
        <w:rPr>
          <w:rFonts w:ascii="Calibri" w:hAnsi="Calibri"/>
          <w:color w:val="008356"/>
          <w:spacing w:val="4"/>
          <w:w w:val="105"/>
          <w:sz w:val="11"/>
        </w:rPr>
        <w:t>METHYLDOPA</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alprostadil given with</w:t>
      </w:r>
      <w:r>
        <w:rPr>
          <w:color w:val="231F1F"/>
          <w:spacing w:val="-2"/>
          <w:w w:val="105"/>
        </w:rPr>
        <w:t> </w:t>
      </w:r>
      <w:r>
        <w:rPr>
          <w:rFonts w:ascii="Calibri" w:hAnsi="Calibri"/>
          <w:color w:val="008356"/>
          <w:spacing w:val="4"/>
          <w:w w:val="105"/>
          <w:sz w:val="11"/>
        </w:rPr>
        <w:t>MOXONIDINE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Nitrates: </w:t>
      </w:r>
      <w:r>
        <w:rPr>
          <w:color w:val="231F1F"/>
          <w:w w:val="105"/>
        </w:rPr>
        <w:t>enhanced hypotensive effect when alprostadil given with </w:t>
      </w:r>
      <w:r>
        <w:rPr>
          <w:rFonts w:ascii="Calibri" w:hAnsi="Calibri"/>
          <w:color w:val="008356"/>
          <w:w w:val="105"/>
          <w:sz w:val="11"/>
        </w:rPr>
        <w:t>NITRATES</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Oxytocin: </w:t>
      </w:r>
      <w:r>
        <w:rPr>
          <w:color w:val="231F1F"/>
          <w:w w:val="105"/>
        </w:rPr>
        <w:t>prostaglandins potentiate uterotonic effect of</w:t>
      </w:r>
    </w:p>
    <w:p>
      <w:pPr>
        <w:spacing w:line="131" w:lineRule="exact" w:before="0"/>
        <w:ind w:left="208" w:right="0" w:firstLine="0"/>
        <w:jc w:val="left"/>
        <w:rPr>
          <w:rFonts w:ascii="Calibri"/>
          <w:sz w:val="11"/>
        </w:rPr>
      </w:pPr>
      <w:r>
        <w:rPr>
          <w:rFonts w:ascii="Calibri"/>
          <w:color w:val="008356"/>
          <w:sz w:val="11"/>
        </w:rPr>
        <w:t>OXYTOCIN</w:t>
      </w:r>
    </w:p>
    <w:p>
      <w:pPr>
        <w:spacing w:line="237" w:lineRule="auto" w:before="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Vasodilator Antihypertensives: </w:t>
      </w:r>
      <w:r>
        <w:rPr>
          <w:color w:val="231F1F"/>
          <w:w w:val="105"/>
          <w:sz w:val="12"/>
        </w:rPr>
        <w:t>enhanced hypotensive effect when alprostadil given with </w:t>
      </w:r>
      <w:r>
        <w:rPr>
          <w:rFonts w:ascii="Calibri" w:hAnsi="Calibri"/>
          <w:color w:val="008356"/>
          <w:w w:val="105"/>
          <w:sz w:val="11"/>
        </w:rPr>
        <w:t>HYDRALAZINE</w:t>
      </w:r>
      <w:r>
        <w:rPr>
          <w:color w:val="231F1F"/>
          <w:w w:val="105"/>
          <w:sz w:val="12"/>
        </w:rPr>
        <w:t>, </w:t>
      </w:r>
      <w:r>
        <w:rPr>
          <w:rFonts w:ascii="Calibri" w:hAnsi="Calibri"/>
          <w:color w:val="008356"/>
          <w:w w:val="105"/>
          <w:sz w:val="11"/>
        </w:rPr>
        <w:t>MINOXIDIL </w:t>
      </w:r>
      <w:r>
        <w:rPr>
          <w:color w:val="231F1F"/>
          <w:w w:val="105"/>
          <w:sz w:val="12"/>
        </w:rPr>
        <w:t>or </w:t>
      </w:r>
      <w:r>
        <w:rPr>
          <w:rFonts w:ascii="Calibri" w:hAnsi="Calibri"/>
          <w:color w:val="008356"/>
          <w:w w:val="105"/>
          <w:sz w:val="11"/>
        </w:rPr>
        <w:t>SODIUM NITROPRUSSIDE</w:t>
      </w:r>
    </w:p>
    <w:p>
      <w:pPr>
        <w:pStyle w:val="BodyText"/>
        <w:spacing w:before="7"/>
        <w:ind w:left="108"/>
      </w:pPr>
      <w:r>
        <w:rPr>
          <w:rFonts w:ascii="Trebuchet MS"/>
          <w:color w:val="008356"/>
          <w:w w:val="105"/>
        </w:rPr>
        <w:t>Protein Kinase Inhibitors </w:t>
      </w:r>
      <w:r>
        <w:rPr>
          <w:i/>
          <w:color w:val="231F1F"/>
          <w:w w:val="105"/>
        </w:rPr>
        <w:t>see </w:t>
      </w:r>
      <w:r>
        <w:rPr>
          <w:color w:val="231F1F"/>
          <w:w w:val="105"/>
        </w:rPr>
        <w:t>individual drugs</w:t>
      </w:r>
    </w:p>
    <w:p>
      <w:pPr>
        <w:pStyle w:val="BodyText"/>
        <w:spacing w:before="9"/>
        <w:ind w:left="108"/>
        <w:rPr>
          <w:rFonts w:ascii="Trebuchet MS"/>
        </w:rPr>
      </w:pPr>
      <w:r>
        <w:rPr>
          <w:rFonts w:ascii="Trebuchet MS"/>
          <w:color w:val="008356"/>
          <w:w w:val="105"/>
        </w:rPr>
        <w:t>Proton Pump Inhibitors</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lansoprazole possibly reduced by</w:t>
      </w:r>
    </w:p>
    <w:p>
      <w:pPr>
        <w:spacing w:line="130" w:lineRule="exact" w:before="0"/>
        <w:ind w:left="208" w:right="0" w:firstLine="0"/>
        <w:jc w:val="left"/>
        <w:rPr>
          <w:rFonts w:ascii="Calibri"/>
          <w:sz w:val="11"/>
        </w:rPr>
      </w:pPr>
      <w:r>
        <w:rPr>
          <w:rFonts w:ascii="Calibri"/>
          <w:color w:val="008356"/>
          <w:sz w:val="11"/>
        </w:rPr>
        <w:t>ANTACIDS</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both drugs increased when omeprazole given with </w:t>
      </w:r>
      <w:r>
        <w:rPr>
          <w:rFonts w:ascii="Calibri" w:hAnsi="Calibri"/>
          <w:color w:val="008356"/>
          <w:w w:val="110"/>
          <w:sz w:val="11"/>
        </w:rPr>
        <w:t>CLARITHROMYCIN</w:t>
      </w:r>
    </w:p>
    <w:p>
      <w:pPr>
        <w:pStyle w:val="BodyText"/>
        <w:spacing w:line="247" w:lineRule="auto" w:before="1"/>
        <w:ind w:right="1112"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pantoprazole might enhance the anticoagulant effect of </w:t>
      </w:r>
      <w:r>
        <w:rPr>
          <w:rFonts w:ascii="Calibri"/>
          <w:color w:val="008356"/>
          <w:spacing w:val="4"/>
          <w:w w:val="110"/>
          <w:sz w:val="11"/>
        </w:rPr>
        <w:t>COUMARINS</w:t>
      </w:r>
      <w:r>
        <w:rPr>
          <w:color w:val="231F1F"/>
          <w:spacing w:val="4"/>
          <w:w w:val="110"/>
        </w:rPr>
        <w:t>; </w:t>
      </w:r>
      <w:r>
        <w:rPr>
          <w:color w:val="231F1F"/>
          <w:w w:val="110"/>
        </w:rPr>
        <w:t>esomeprazole </w:t>
      </w:r>
      <w:r>
        <w:rPr>
          <w:color w:val="231F1F"/>
          <w:spacing w:val="-4"/>
          <w:w w:val="110"/>
        </w:rPr>
        <w:t>and </w:t>
      </w:r>
      <w:r>
        <w:rPr>
          <w:color w:val="231F1F"/>
          <w:w w:val="110"/>
        </w:rPr>
        <w:t>omeprazole possibly enhance anticoagulant  effect  of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0"/>
          <w:sz w:val="11"/>
        </w:rPr>
        <w:t>COUMARINS</w:t>
      </w:r>
    </w:p>
    <w:p>
      <w:pPr>
        <w:pStyle w:val="BodyText"/>
        <w:spacing w:line="235" w:lineRule="auto"/>
        <w:ind w:right="733"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Antidepressants: </w:t>
      </w:r>
      <w:r>
        <w:rPr>
          <w:color w:val="231F1F"/>
          <w:w w:val="110"/>
        </w:rPr>
        <w:t>omeprazole increases plasma concentration of </w:t>
      </w:r>
      <w:r>
        <w:rPr>
          <w:rFonts w:ascii="Calibri" w:hAnsi="Calibri"/>
          <w:color w:val="008356"/>
          <w:w w:val="110"/>
          <w:sz w:val="11"/>
        </w:rPr>
        <w:t>ESCITALOPRAM</w:t>
      </w:r>
      <w:r>
        <w:rPr>
          <w:color w:val="231F1F"/>
          <w:w w:val="110"/>
        </w:rPr>
        <w:t>; plasma concentration of lansoprazole possibly increased by </w:t>
      </w:r>
      <w:r>
        <w:rPr>
          <w:rFonts w:ascii="Calibri" w:hAnsi="Calibri"/>
          <w:color w:val="008356"/>
          <w:w w:val="110"/>
          <w:sz w:val="11"/>
        </w:rPr>
        <w:t>FLUVOXAMINE</w:t>
      </w:r>
      <w:r>
        <w:rPr>
          <w:color w:val="231F1F"/>
          <w:w w:val="110"/>
        </w:rPr>
        <w:t>; plasma concentration of omeprazole possibly reduced by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spacing w:line="242" w:lineRule="auto" w:before="0"/>
        <w:ind w:left="208" w:right="670"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omeprazole possibly enhances effects of </w:t>
      </w:r>
      <w:r>
        <w:rPr>
          <w:rFonts w:ascii="Calibri"/>
          <w:color w:val="008356"/>
          <w:w w:val="110"/>
          <w:sz w:val="11"/>
        </w:rPr>
        <w:t>FOSPHENYTOIN </w:t>
      </w:r>
      <w:r>
        <w:rPr>
          <w:color w:val="231F1F"/>
          <w:w w:val="110"/>
          <w:sz w:val="12"/>
        </w:rPr>
        <w:t>and </w:t>
      </w:r>
      <w:r>
        <w:rPr>
          <w:rFonts w:ascii="Calibri"/>
          <w:color w:val="008356"/>
          <w:w w:val="110"/>
          <w:sz w:val="11"/>
        </w:rPr>
        <w:t>PHENYTOIN</w:t>
      </w:r>
      <w:r>
        <w:rPr>
          <w:color w:val="231F1F"/>
          <w:w w:val="110"/>
          <w:sz w:val="12"/>
        </w:rPr>
        <w:t>; esomeprazole enhances effects of </w:t>
      </w: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w:t>
      </w:r>
    </w:p>
    <w:p>
      <w:pPr>
        <w:pStyle w:val="BodyText"/>
        <w:spacing w:line="141" w:lineRule="exact"/>
        <w:ind w:left="108"/>
      </w:pPr>
      <w:r>
        <w:rPr>
          <w:rFonts w:ascii="Arial"/>
          <w:color w:val="231F1F"/>
          <w:w w:val="355"/>
          <w:position w:val="1"/>
          <w:sz w:val="7"/>
        </w:rPr>
        <w:t>l</w:t>
      </w:r>
      <w:r>
        <w:rPr>
          <w:rFonts w:ascii="Arial"/>
          <w:color w:val="231F1F"/>
          <w:spacing w:val="-40"/>
          <w:w w:val="355"/>
          <w:position w:val="1"/>
          <w:sz w:val="7"/>
        </w:rPr>
        <w:t> </w:t>
      </w:r>
      <w:r>
        <w:rPr>
          <w:rFonts w:ascii="Calibri"/>
          <w:color w:val="231F1F"/>
          <w:w w:val="115"/>
        </w:rPr>
        <w:t>Antifungals:</w:t>
      </w:r>
      <w:r>
        <w:rPr>
          <w:rFonts w:ascii="Calibri"/>
          <w:color w:val="231F1F"/>
          <w:spacing w:val="-9"/>
          <w:w w:val="115"/>
        </w:rPr>
        <w:t> </w:t>
      </w:r>
      <w:r>
        <w:rPr>
          <w:color w:val="231F1F"/>
          <w:w w:val="115"/>
        </w:rPr>
        <w:t>proton</w:t>
      </w:r>
      <w:r>
        <w:rPr>
          <w:color w:val="231F1F"/>
          <w:spacing w:val="-10"/>
          <w:w w:val="115"/>
        </w:rPr>
        <w:t> </w:t>
      </w:r>
      <w:r>
        <w:rPr>
          <w:color w:val="231F1F"/>
          <w:w w:val="115"/>
        </w:rPr>
        <w:t>pump</w:t>
      </w:r>
      <w:r>
        <w:rPr>
          <w:color w:val="231F1F"/>
          <w:spacing w:val="-13"/>
          <w:w w:val="115"/>
        </w:rPr>
        <w:t> </w:t>
      </w:r>
      <w:r>
        <w:rPr>
          <w:color w:val="231F1F"/>
          <w:w w:val="115"/>
        </w:rPr>
        <w:t>inhibitors</w:t>
      </w:r>
      <w:r>
        <w:rPr>
          <w:color w:val="231F1F"/>
          <w:spacing w:val="-11"/>
          <w:w w:val="115"/>
        </w:rPr>
        <w:t> </w:t>
      </w:r>
      <w:r>
        <w:rPr>
          <w:color w:val="231F1F"/>
          <w:w w:val="115"/>
        </w:rPr>
        <w:t>reduce</w:t>
      </w:r>
      <w:r>
        <w:rPr>
          <w:color w:val="231F1F"/>
          <w:spacing w:val="-11"/>
          <w:w w:val="115"/>
        </w:rPr>
        <w:t> </w:t>
      </w:r>
      <w:r>
        <w:rPr>
          <w:color w:val="231F1F"/>
          <w:w w:val="115"/>
        </w:rPr>
        <w:t>absorption</w:t>
      </w:r>
      <w:r>
        <w:rPr>
          <w:color w:val="231F1F"/>
          <w:spacing w:val="-13"/>
          <w:w w:val="115"/>
        </w:rPr>
        <w:t> </w:t>
      </w:r>
      <w:r>
        <w:rPr>
          <w:color w:val="231F1F"/>
          <w:w w:val="115"/>
        </w:rPr>
        <w:t>of</w:t>
      </w:r>
    </w:p>
    <w:p>
      <w:pPr>
        <w:spacing w:line="244" w:lineRule="auto" w:before="0"/>
        <w:ind w:left="208" w:right="795" w:firstLine="0"/>
        <w:jc w:val="left"/>
        <w:rPr>
          <w:sz w:val="12"/>
        </w:rPr>
      </w:pPr>
      <w:r>
        <w:rPr>
          <w:rFonts w:ascii="Calibri" w:hAnsi="Calibri"/>
          <w:color w:val="008356"/>
          <w:spacing w:val="4"/>
          <w:w w:val="110"/>
          <w:sz w:val="11"/>
        </w:rPr>
        <w:t>ITRACONAZOLE </w:t>
      </w:r>
      <w:r>
        <w:rPr>
          <w:color w:val="231F1F"/>
          <w:w w:val="110"/>
          <w:sz w:val="12"/>
        </w:rPr>
        <w:t>and </w:t>
      </w:r>
      <w:r>
        <w:rPr>
          <w:rFonts w:ascii="Calibri" w:hAnsi="Calibri"/>
          <w:color w:val="008356"/>
          <w:spacing w:val="4"/>
          <w:w w:val="110"/>
          <w:sz w:val="11"/>
        </w:rPr>
        <w:t>KETOCONAZOLE</w:t>
      </w:r>
      <w:r>
        <w:rPr>
          <w:color w:val="231F1F"/>
          <w:spacing w:val="4"/>
          <w:w w:val="110"/>
          <w:sz w:val="12"/>
        </w:rPr>
        <w:t>; </w:t>
      </w:r>
      <w:r>
        <w:rPr>
          <w:color w:val="231F1F"/>
          <w:w w:val="110"/>
          <w:sz w:val="12"/>
        </w:rPr>
        <w:t>esomeprazole reduces </w:t>
      </w:r>
      <w:r>
        <w:rPr>
          <w:color w:val="231F1F"/>
          <w:w w:val="115"/>
          <w:sz w:val="12"/>
        </w:rPr>
        <w:t>plasma</w:t>
      </w:r>
      <w:r>
        <w:rPr>
          <w:color w:val="231F1F"/>
          <w:spacing w:val="-25"/>
          <w:w w:val="115"/>
          <w:sz w:val="12"/>
        </w:rPr>
        <w:t> </w:t>
      </w:r>
      <w:r>
        <w:rPr>
          <w:color w:val="231F1F"/>
          <w:w w:val="115"/>
          <w:sz w:val="12"/>
        </w:rPr>
        <w:t>concentration</w:t>
      </w:r>
      <w:r>
        <w:rPr>
          <w:color w:val="231F1F"/>
          <w:spacing w:val="-24"/>
          <w:w w:val="115"/>
          <w:sz w:val="12"/>
        </w:rPr>
        <w:t> </w:t>
      </w:r>
      <w:r>
        <w:rPr>
          <w:color w:val="231F1F"/>
          <w:w w:val="115"/>
          <w:sz w:val="12"/>
        </w:rPr>
        <w:t>of</w:t>
      </w:r>
      <w:r>
        <w:rPr>
          <w:color w:val="231F1F"/>
          <w:spacing w:val="-24"/>
          <w:w w:val="115"/>
          <w:sz w:val="12"/>
        </w:rPr>
        <w:t> </w:t>
      </w:r>
      <w:r>
        <w:rPr>
          <w:rFonts w:ascii="Arial" w:hAnsi="Arial"/>
          <w:color w:val="231F1F"/>
          <w:w w:val="205"/>
          <w:position w:val="1"/>
          <w:sz w:val="7"/>
        </w:rPr>
        <w:t>l</w:t>
      </w:r>
      <w:r>
        <w:rPr>
          <w:rFonts w:ascii="Arial" w:hAnsi="Arial"/>
          <w:color w:val="231F1F"/>
          <w:spacing w:val="-30"/>
          <w:w w:val="205"/>
          <w:position w:val="1"/>
          <w:sz w:val="7"/>
        </w:rPr>
        <w:t> </w:t>
      </w:r>
      <w:r>
        <w:rPr>
          <w:rFonts w:ascii="Calibri" w:hAnsi="Calibri"/>
          <w:color w:val="008356"/>
          <w:spacing w:val="2"/>
          <w:w w:val="115"/>
          <w:sz w:val="11"/>
        </w:rPr>
        <w:t>POSACONAZOLE</w:t>
      </w:r>
      <w:r>
        <w:rPr>
          <w:rFonts w:ascii="Arial" w:hAnsi="Arial"/>
          <w:color w:val="231F1F"/>
          <w:spacing w:val="2"/>
          <w:w w:val="115"/>
          <w:sz w:val="12"/>
        </w:rPr>
        <w:t>—</w:t>
      </w:r>
      <w:r>
        <w:rPr>
          <w:color w:val="231F1F"/>
          <w:spacing w:val="2"/>
          <w:w w:val="115"/>
          <w:sz w:val="12"/>
        </w:rPr>
        <w:t>manufacturer</w:t>
      </w:r>
      <w:r>
        <w:rPr>
          <w:color w:val="231F1F"/>
          <w:spacing w:val="-24"/>
          <w:w w:val="115"/>
          <w:sz w:val="12"/>
        </w:rPr>
        <w:t> </w:t>
      </w:r>
      <w:r>
        <w:rPr>
          <w:color w:val="231F1F"/>
          <w:spacing w:val="-6"/>
          <w:w w:val="115"/>
          <w:sz w:val="12"/>
        </w:rPr>
        <w:t>of </w:t>
      </w:r>
      <w:r>
        <w:rPr>
          <w:color w:val="231F1F"/>
          <w:w w:val="115"/>
          <w:sz w:val="12"/>
        </w:rPr>
        <w:t>posaconazole </w:t>
      </w:r>
      <w:r>
        <w:rPr>
          <w:i/>
          <w:color w:val="231F1F"/>
          <w:w w:val="115"/>
          <w:sz w:val="12"/>
        </w:rPr>
        <w:t>suspension </w:t>
      </w:r>
      <w:r>
        <w:rPr>
          <w:color w:val="231F1F"/>
          <w:w w:val="115"/>
          <w:sz w:val="12"/>
        </w:rPr>
        <w:t>advises avoid concomitant use; lansoprazole, omeprazole, pantoprazole and</w:t>
      </w:r>
      <w:r>
        <w:rPr>
          <w:color w:val="231F1F"/>
          <w:spacing w:val="-17"/>
          <w:w w:val="115"/>
          <w:sz w:val="12"/>
        </w:rPr>
        <w:t> </w:t>
      </w:r>
      <w:r>
        <w:rPr>
          <w:color w:val="231F1F"/>
          <w:w w:val="115"/>
          <w:sz w:val="12"/>
        </w:rPr>
        <w:t>rabeprazole</w:t>
      </w:r>
    </w:p>
    <w:p>
      <w:pPr>
        <w:spacing w:after="0" w:line="244" w:lineRule="auto"/>
        <w:jc w:val="left"/>
        <w:rPr>
          <w:sz w:val="12"/>
        </w:rPr>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776" filled="true" fillcolor="#bfdbcf" stroked="false">
            <v:fill type="solid"/>
            <w10:wrap type="none"/>
          </v:rect>
        </w:pict>
      </w:r>
      <w:r>
        <w:rPr/>
        <w:pict>
          <v:shape style="position:absolute;margin-left:7.751256pt;margin-top:35.804367pt;width:10.4pt;height:78.850pt;mso-position-horizontal-relative:page;mso-position-vertical-relative:page;z-index:580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Proton Pump</w:t>
      </w:r>
      <w:r>
        <w:rPr>
          <w:rFonts w:ascii="Arial"/>
          <w:color w:val="008356"/>
          <w:spacing w:val="-11"/>
        </w:rPr>
        <w:t> </w:t>
      </w:r>
      <w:r>
        <w:rPr>
          <w:rFonts w:ascii="Arial"/>
          <w:color w:val="008356"/>
        </w:rPr>
        <w:t>Inhibitors</w:t>
      </w:r>
    </w:p>
    <w:p>
      <w:pPr>
        <w:pStyle w:val="BodyText"/>
        <w:spacing w:line="145" w:lineRule="exact" w:before="5"/>
        <w:ind w:left="186"/>
        <w:rPr>
          <w:rFonts w:ascii="Calibri"/>
        </w:rPr>
      </w:pPr>
      <w:r>
        <w:rPr>
          <w:rFonts w:ascii="Arial"/>
          <w:color w:val="231F1F"/>
          <w:w w:val="105"/>
          <w:position w:val="1"/>
          <w:sz w:val="7"/>
        </w:rPr>
        <w:t>l  </w:t>
      </w:r>
      <w:r>
        <w:rPr>
          <w:rFonts w:ascii="Calibri"/>
          <w:color w:val="231F1F"/>
          <w:w w:val="105"/>
        </w:rPr>
        <w:t>Antifungals</w:t>
      </w:r>
      <w:r>
        <w:rPr>
          <w:rFonts w:ascii="Calibri"/>
          <w:color w:val="231F1F"/>
          <w:spacing w:val="-16"/>
          <w:w w:val="105"/>
        </w:rPr>
        <w:t> </w:t>
      </w:r>
      <w:r>
        <w:rPr>
          <w:rFonts w:ascii="Calibri"/>
          <w:color w:val="231F1F"/>
          <w:w w:val="105"/>
        </w:rPr>
        <w:t>(continued)</w:t>
      </w:r>
    </w:p>
    <w:p>
      <w:pPr>
        <w:pStyle w:val="BodyText"/>
        <w:spacing w:line="244" w:lineRule="auto"/>
        <w:ind w:left="286"/>
      </w:pPr>
      <w:r>
        <w:rPr>
          <w:color w:val="231F1F"/>
          <w:w w:val="110"/>
        </w:rPr>
        <w:t>possibly reduce plasma concentration of </w:t>
      </w:r>
      <w:r>
        <w:rPr>
          <w:rFonts w:ascii="Arial" w:hAnsi="Arial"/>
          <w:color w:val="231F1F"/>
          <w:w w:val="355"/>
          <w:position w:val="1"/>
          <w:sz w:val="7"/>
        </w:rPr>
        <w:t>l </w:t>
      </w:r>
      <w:r>
        <w:rPr>
          <w:rFonts w:ascii="Calibri" w:hAnsi="Calibri"/>
          <w:color w:val="008356"/>
          <w:w w:val="110"/>
          <w:sz w:val="11"/>
        </w:rPr>
        <w:t>POSACONAZOLE</w:t>
      </w:r>
      <w:r>
        <w:rPr>
          <w:rFonts w:ascii="Arial" w:hAnsi="Arial"/>
          <w:color w:val="231F1F"/>
          <w:w w:val="110"/>
        </w:rPr>
        <w:t>— </w:t>
      </w:r>
      <w:r>
        <w:rPr>
          <w:color w:val="231F1F"/>
          <w:w w:val="110"/>
        </w:rPr>
        <w:t>manufacturer of posaconazole </w:t>
      </w:r>
      <w:r>
        <w:rPr>
          <w:i/>
          <w:color w:val="231F1F"/>
          <w:w w:val="110"/>
        </w:rPr>
        <w:t>suspension </w:t>
      </w:r>
      <w:r>
        <w:rPr>
          <w:color w:val="231F1F"/>
          <w:w w:val="110"/>
        </w:rPr>
        <w:t>advises avoid concomitant use; plasma concentration of esomeprazole possibly increased by </w:t>
      </w:r>
      <w:r>
        <w:rPr>
          <w:rFonts w:ascii="Calibri" w:hAnsi="Calibri"/>
          <w:color w:val="008356"/>
          <w:w w:val="110"/>
          <w:sz w:val="11"/>
        </w:rPr>
        <w:t>VORICONAZOLE</w:t>
      </w:r>
      <w:r>
        <w:rPr>
          <w:color w:val="231F1F"/>
          <w:w w:val="110"/>
        </w:rPr>
        <w:t>; plasma concentration of omeprazole increased by </w:t>
      </w:r>
      <w:r>
        <w:rPr>
          <w:rFonts w:ascii="Calibri" w:hAnsi="Calibri"/>
          <w:color w:val="008356"/>
          <w:w w:val="110"/>
          <w:sz w:val="11"/>
        </w:rPr>
        <w:t>VORICONAZOLE </w:t>
      </w:r>
      <w:r>
        <w:rPr>
          <w:color w:val="231F1F"/>
          <w:w w:val="110"/>
        </w:rPr>
        <w:t>(consider reducing dose of omeprazole)</w:t>
      </w:r>
    </w:p>
    <w:p>
      <w:pPr>
        <w:pStyle w:val="BodyText"/>
        <w:spacing w:line="220" w:lineRule="auto" w:before="10"/>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omeprazole possibly reduces plasma concentration of </w:t>
      </w:r>
      <w:r>
        <w:rPr>
          <w:rFonts w:ascii="Calibri" w:hAnsi="Calibri"/>
          <w:color w:val="008356"/>
          <w:w w:val="105"/>
          <w:sz w:val="11"/>
        </w:rPr>
        <w:t>CLOZAPINE</w:t>
      </w:r>
    </w:p>
    <w:p>
      <w:pPr>
        <w:pStyle w:val="BodyText"/>
        <w:spacing w:line="244" w:lineRule="auto"/>
        <w:ind w:left="286" w:right="74" w:hanging="100"/>
        <w:rPr>
          <w:rFonts w:ascii="Calibri" w:hAnsi="Calibri"/>
          <w:sz w:val="11"/>
        </w:rPr>
      </w:pPr>
      <w:r>
        <w:rPr>
          <w:rFonts w:ascii="Arial" w:hAnsi="Arial"/>
          <w:color w:val="231F1F"/>
          <w:w w:val="355"/>
          <w:position w:val="1"/>
          <w:sz w:val="7"/>
        </w:rPr>
        <w:t>l </w:t>
      </w:r>
      <w:r>
        <w:rPr>
          <w:rFonts w:ascii="Calibri" w:hAnsi="Calibri"/>
          <w:color w:val="231F1F"/>
          <w:w w:val="115"/>
        </w:rPr>
        <w:t>Antivirals: </w:t>
      </w:r>
      <w:r>
        <w:rPr>
          <w:color w:val="231F1F"/>
          <w:w w:val="115"/>
        </w:rPr>
        <w:t>proton pump inhibitors reduce plasma concentration</w:t>
      </w:r>
      <w:r>
        <w:rPr>
          <w:color w:val="231F1F"/>
          <w:spacing w:val="-18"/>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ATAZANAVIR</w:t>
      </w:r>
      <w:r>
        <w:rPr>
          <w:rFonts w:ascii="Arial" w:hAnsi="Arial"/>
          <w:color w:val="231F1F"/>
          <w:spacing w:val="2"/>
          <w:w w:val="115"/>
        </w:rPr>
        <w:t>—</w:t>
      </w:r>
      <w:r>
        <w:rPr>
          <w:color w:val="231F1F"/>
          <w:spacing w:val="2"/>
          <w:w w:val="115"/>
        </w:rPr>
        <w:t>avoid</w:t>
      </w:r>
      <w:r>
        <w:rPr>
          <w:color w:val="231F1F"/>
          <w:spacing w:val="-17"/>
          <w:w w:val="115"/>
        </w:rPr>
        <w:t> </w:t>
      </w:r>
      <w:r>
        <w:rPr>
          <w:color w:val="231F1F"/>
          <w:w w:val="115"/>
        </w:rPr>
        <w:t>or</w:t>
      </w:r>
      <w:r>
        <w:rPr>
          <w:color w:val="231F1F"/>
          <w:spacing w:val="-17"/>
          <w:w w:val="115"/>
        </w:rPr>
        <w:t> </w:t>
      </w:r>
      <w:r>
        <w:rPr>
          <w:color w:val="231F1F"/>
          <w:w w:val="115"/>
        </w:rPr>
        <w:t>adjust</w:t>
      </w:r>
      <w:r>
        <w:rPr>
          <w:color w:val="231F1F"/>
          <w:spacing w:val="-16"/>
          <w:w w:val="115"/>
        </w:rPr>
        <w:t> </w:t>
      </w:r>
      <w:r>
        <w:rPr>
          <w:color w:val="231F1F"/>
          <w:w w:val="115"/>
        </w:rPr>
        <w:t>dose</w:t>
      </w:r>
      <w:r>
        <w:rPr>
          <w:color w:val="231F1F"/>
          <w:spacing w:val="-17"/>
          <w:w w:val="115"/>
        </w:rPr>
        <w:t> </w:t>
      </w:r>
      <w:r>
        <w:rPr>
          <w:color w:val="231F1F"/>
          <w:w w:val="115"/>
        </w:rPr>
        <w:t>of</w:t>
      </w:r>
      <w:r>
        <w:rPr>
          <w:color w:val="231F1F"/>
          <w:spacing w:val="-17"/>
          <w:w w:val="115"/>
        </w:rPr>
        <w:t> </w:t>
      </w:r>
      <w:r>
        <w:rPr>
          <w:color w:val="231F1F"/>
          <w:w w:val="115"/>
        </w:rPr>
        <w:t>both drugs (consult product literature); omeprazole increases plasma concentration of </w:t>
      </w:r>
      <w:r>
        <w:rPr>
          <w:rFonts w:ascii="Calibri" w:hAnsi="Calibri"/>
          <w:color w:val="008356"/>
          <w:spacing w:val="3"/>
          <w:w w:val="115"/>
          <w:sz w:val="11"/>
        </w:rPr>
        <w:t>RALTEGRAVIR</w:t>
      </w:r>
      <w:r>
        <w:rPr>
          <w:color w:val="231F1F"/>
          <w:spacing w:val="3"/>
          <w:w w:val="115"/>
        </w:rPr>
        <w:t>; </w:t>
      </w:r>
      <w:r>
        <w:rPr>
          <w:color w:val="231F1F"/>
          <w:w w:val="115"/>
        </w:rPr>
        <w:t>avoidance of esomeprazole, lansoprazole, pantoprazole and rabeprazole advised by manufacturer of </w:t>
      </w:r>
      <w:r>
        <w:rPr>
          <w:rFonts w:ascii="Calibri" w:hAnsi="Calibri"/>
          <w:color w:val="008356"/>
          <w:spacing w:val="4"/>
          <w:w w:val="115"/>
          <w:sz w:val="11"/>
        </w:rPr>
        <w:t>RILPIVIRINE </w:t>
      </w:r>
      <w:r>
        <w:rPr>
          <w:color w:val="231F1F"/>
          <w:w w:val="115"/>
        </w:rPr>
        <w:t>(plasma concentration of rilpivirine possibly reduced); omeprazole reduces plasma concentration of </w:t>
      </w:r>
      <w:r>
        <w:rPr>
          <w:rFonts w:ascii="Arial" w:hAnsi="Arial"/>
          <w:color w:val="231F1F"/>
          <w:w w:val="355"/>
          <w:position w:val="1"/>
          <w:sz w:val="7"/>
        </w:rPr>
        <w:t>l </w:t>
      </w:r>
      <w:r>
        <w:rPr>
          <w:rFonts w:ascii="Calibri" w:hAnsi="Calibri"/>
          <w:color w:val="008356"/>
          <w:spacing w:val="3"/>
          <w:w w:val="115"/>
          <w:sz w:val="11"/>
        </w:rPr>
        <w:t>RILPIVIRINE</w:t>
      </w:r>
      <w:r>
        <w:rPr>
          <w:rFonts w:ascii="Arial" w:hAnsi="Arial"/>
          <w:color w:val="231F1F"/>
          <w:spacing w:val="3"/>
          <w:w w:val="115"/>
        </w:rPr>
        <w:t>—</w:t>
      </w:r>
      <w:r>
        <w:rPr>
          <w:color w:val="231F1F"/>
          <w:spacing w:val="3"/>
          <w:w w:val="115"/>
        </w:rPr>
        <w:t>avoid </w:t>
      </w:r>
      <w:r>
        <w:rPr>
          <w:color w:val="231F1F"/>
          <w:w w:val="115"/>
        </w:rPr>
        <w:t>concomitant use; esomeprazole, lansoprazole, </w:t>
      </w:r>
      <w:r>
        <w:rPr>
          <w:color w:val="231F1F"/>
          <w:spacing w:val="-2"/>
          <w:w w:val="115"/>
        </w:rPr>
        <w:t>pantoprazole </w:t>
      </w:r>
      <w:r>
        <w:rPr>
          <w:color w:val="231F1F"/>
          <w:w w:val="115"/>
        </w:rPr>
        <w:t>and rabeprazole possibly increase plasma concentration of</w:t>
      </w:r>
      <w:r>
        <w:rPr>
          <w:color w:val="231F1F"/>
          <w:w w:val="115"/>
          <w:position w:val="1"/>
        </w:rPr>
        <w:t> </w:t>
      </w:r>
      <w:r>
        <w:rPr>
          <w:rFonts w:ascii="Arial" w:hAnsi="Arial"/>
          <w:color w:val="231F1F"/>
          <w:w w:val="355"/>
          <w:position w:val="1"/>
          <w:sz w:val="7"/>
        </w:rPr>
        <w:t>l </w:t>
      </w:r>
      <w:r>
        <w:rPr>
          <w:rFonts w:ascii="Calibri" w:hAnsi="Calibri"/>
          <w:color w:val="008356"/>
          <w:w w:val="115"/>
          <w:sz w:val="11"/>
        </w:rPr>
        <w:t>SAQUINAVIR</w:t>
      </w:r>
      <w:r>
        <w:rPr>
          <w:rFonts w:ascii="Arial" w:hAnsi="Arial"/>
          <w:color w:val="231F1F"/>
          <w:w w:val="115"/>
        </w:rPr>
        <w:t>—</w:t>
      </w:r>
      <w:r>
        <w:rPr>
          <w:color w:val="231F1F"/>
          <w:w w:val="115"/>
        </w:rPr>
        <w:t>manufacturer of saquinavir advises avoid concomitant use; omeprazole increases plasma concentration</w:t>
      </w:r>
      <w:r>
        <w:rPr>
          <w:color w:val="231F1F"/>
          <w:spacing w:val="-16"/>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SAQUINAVIR</w:t>
      </w:r>
      <w:r>
        <w:rPr>
          <w:rFonts w:ascii="Arial" w:hAnsi="Arial"/>
          <w:color w:val="231F1F"/>
          <w:w w:val="115"/>
        </w:rPr>
        <w:t>—</w:t>
      </w:r>
      <w:r>
        <w:rPr>
          <w:color w:val="231F1F"/>
          <w:w w:val="115"/>
        </w:rPr>
        <w:t>manufacturer</w:t>
      </w:r>
      <w:r>
        <w:rPr>
          <w:color w:val="231F1F"/>
          <w:spacing w:val="-14"/>
          <w:w w:val="115"/>
        </w:rPr>
        <w:t> </w:t>
      </w:r>
      <w:r>
        <w:rPr>
          <w:color w:val="231F1F"/>
          <w:w w:val="115"/>
        </w:rPr>
        <w:t>of</w:t>
      </w:r>
      <w:r>
        <w:rPr>
          <w:color w:val="231F1F"/>
          <w:spacing w:val="-15"/>
          <w:w w:val="115"/>
        </w:rPr>
        <w:t> </w:t>
      </w:r>
      <w:r>
        <w:rPr>
          <w:color w:val="231F1F"/>
          <w:w w:val="115"/>
        </w:rPr>
        <w:t>saquinavir advises avoid concomitant use; plasma concentration of esomeprazole</w:t>
      </w:r>
      <w:r>
        <w:rPr>
          <w:color w:val="231F1F"/>
          <w:spacing w:val="-11"/>
          <w:w w:val="115"/>
        </w:rPr>
        <w:t> </w:t>
      </w:r>
      <w:r>
        <w:rPr>
          <w:color w:val="231F1F"/>
          <w:w w:val="115"/>
        </w:rPr>
        <w:t>and</w:t>
      </w:r>
      <w:r>
        <w:rPr>
          <w:color w:val="231F1F"/>
          <w:spacing w:val="-9"/>
          <w:w w:val="115"/>
        </w:rPr>
        <w:t> </w:t>
      </w:r>
      <w:r>
        <w:rPr>
          <w:color w:val="231F1F"/>
          <w:w w:val="115"/>
        </w:rPr>
        <w:t>omeprazole</w:t>
      </w:r>
      <w:r>
        <w:rPr>
          <w:color w:val="231F1F"/>
          <w:spacing w:val="-11"/>
          <w:w w:val="115"/>
        </w:rPr>
        <w:t> </w:t>
      </w:r>
      <w:r>
        <w:rPr>
          <w:color w:val="231F1F"/>
          <w:w w:val="115"/>
        </w:rPr>
        <w:t>reduced</w:t>
      </w:r>
      <w:r>
        <w:rPr>
          <w:color w:val="231F1F"/>
          <w:spacing w:val="-10"/>
          <w:w w:val="115"/>
        </w:rPr>
        <w:t> </w:t>
      </w:r>
      <w:r>
        <w:rPr>
          <w:color w:val="231F1F"/>
          <w:w w:val="115"/>
        </w:rPr>
        <w:t>by</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5"/>
          <w:sz w:val="11"/>
        </w:rPr>
        <w:t>TIPRANAVIR</w:t>
      </w:r>
    </w:p>
    <w:p>
      <w:pPr>
        <w:pStyle w:val="BodyText"/>
        <w:spacing w:line="230" w:lineRule="auto" w:before="6"/>
        <w:ind w:left="286" w:hanging="100"/>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esomeprazole and omeprazole possibly inhibit metabolism of </w:t>
      </w:r>
      <w:r>
        <w:rPr>
          <w:rFonts w:ascii="Calibri" w:hAnsi="Calibri"/>
          <w:color w:val="008356"/>
          <w:w w:val="110"/>
          <w:sz w:val="11"/>
        </w:rPr>
        <w:t>DIAZEPAM </w:t>
      </w:r>
      <w:r>
        <w:rPr>
          <w:color w:val="231F1F"/>
          <w:w w:val="110"/>
        </w:rPr>
        <w:t>(increased plasma concentration)</w:t>
      </w:r>
    </w:p>
    <w:p>
      <w:pPr>
        <w:pStyle w:val="BodyText"/>
        <w:spacing w:line="220" w:lineRule="auto" w:before="12"/>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proton pump inhibitors possibly slightly increase plasma concentration of </w:t>
      </w:r>
      <w:r>
        <w:rPr>
          <w:rFonts w:ascii="Calibri" w:hAnsi="Calibri"/>
          <w:color w:val="008356"/>
          <w:w w:val="105"/>
          <w:sz w:val="11"/>
        </w:rPr>
        <w:t>DIGOXIN</w:t>
      </w:r>
    </w:p>
    <w:p>
      <w:pPr>
        <w:pStyle w:val="BodyText"/>
        <w:spacing w:line="220" w:lineRule="auto" w:before="9"/>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omeprazole possibly  affects  plasma  </w:t>
      </w:r>
      <w:r>
        <w:rPr>
          <w:color w:val="231F1F"/>
          <w:spacing w:val="-2"/>
          <w:w w:val="105"/>
        </w:rPr>
        <w:t>concentration </w:t>
      </w:r>
      <w:r>
        <w:rPr>
          <w:color w:val="231F1F"/>
          <w:w w:val="105"/>
        </w:rPr>
        <w:t>of </w:t>
      </w:r>
      <w:r>
        <w:rPr>
          <w:rFonts w:ascii="Calibri" w:hAnsi="Calibri"/>
          <w:color w:val="008356"/>
          <w:spacing w:val="4"/>
          <w:w w:val="105"/>
          <w:sz w:val="11"/>
        </w:rPr>
        <w:t>CICLOSPORIN</w:t>
      </w:r>
    </w:p>
    <w:p>
      <w:pPr>
        <w:pStyle w:val="BodyText"/>
        <w:spacing w:line="146" w:lineRule="exact"/>
        <w:ind w:left="186"/>
      </w:pPr>
      <w:r>
        <w:rPr>
          <w:rFonts w:ascii="Arial"/>
          <w:color w:val="231F1F"/>
          <w:w w:val="355"/>
          <w:position w:val="1"/>
          <w:sz w:val="7"/>
        </w:rPr>
        <w:t>l </w:t>
      </w:r>
      <w:r>
        <w:rPr>
          <w:rFonts w:ascii="Calibri"/>
          <w:color w:val="231F1F"/>
          <w:w w:val="115"/>
        </w:rPr>
        <w:t>Cilostazol: </w:t>
      </w:r>
      <w:r>
        <w:rPr>
          <w:color w:val="231F1F"/>
          <w:w w:val="115"/>
        </w:rPr>
        <w:t>omeprazole increases plasma concentration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CILOSTAZOL </w:t>
      </w:r>
      <w:r>
        <w:rPr>
          <w:color w:val="231F1F"/>
          <w:w w:val="110"/>
          <w:sz w:val="12"/>
        </w:rPr>
        <w:t>(see under Cilostazol, p. 206)</w:t>
      </w:r>
    </w:p>
    <w:p>
      <w:pPr>
        <w:pStyle w:val="BodyText"/>
        <w:spacing w:line="247" w:lineRule="auto"/>
        <w:ind w:left="286" w:right="3" w:hanging="100"/>
        <w:rPr>
          <w:rFonts w:ascii="Calibri"/>
          <w:sz w:val="11"/>
        </w:rPr>
      </w:pPr>
      <w:r>
        <w:rPr>
          <w:rFonts w:ascii="Arial"/>
          <w:color w:val="231F1F"/>
          <w:w w:val="355"/>
          <w:position w:val="1"/>
          <w:sz w:val="7"/>
        </w:rPr>
        <w:t>l </w:t>
      </w:r>
      <w:r>
        <w:rPr>
          <w:rFonts w:ascii="Calibri"/>
          <w:color w:val="231F1F"/>
          <w:w w:val="110"/>
        </w:rPr>
        <w:t>Clopidogrel: </w:t>
      </w:r>
      <w:r>
        <w:rPr>
          <w:color w:val="231F1F"/>
          <w:w w:val="110"/>
        </w:rPr>
        <w:t>esomeprazole and omeprazole reduce antiplatelet effect of </w:t>
      </w:r>
      <w:r>
        <w:rPr>
          <w:rFonts w:ascii="Arial"/>
          <w:color w:val="231F1F"/>
          <w:w w:val="355"/>
          <w:position w:val="1"/>
          <w:sz w:val="7"/>
        </w:rPr>
        <w:t>l </w:t>
      </w:r>
      <w:r>
        <w:rPr>
          <w:rFonts w:ascii="Calibri"/>
          <w:color w:val="008356"/>
          <w:w w:val="110"/>
          <w:sz w:val="11"/>
        </w:rPr>
        <w:t>CLOPIDOGREL</w:t>
      </w:r>
      <w:r>
        <w:rPr>
          <w:color w:val="231F1F"/>
          <w:w w:val="110"/>
        </w:rPr>
        <w:t>; lansoprazole, pantoprazole and rabeprazole possibly reduce  antiplatelet  effect  of </w:t>
      </w:r>
      <w:r>
        <w:rPr>
          <w:rFonts w:ascii="Calibri"/>
          <w:color w:val="008356"/>
          <w:w w:val="110"/>
          <w:sz w:val="11"/>
        </w:rPr>
        <w:t>CLOPIDOGREL</w:t>
      </w:r>
    </w:p>
    <w:p>
      <w:pPr>
        <w:pStyle w:val="BodyText"/>
        <w:spacing w:line="141" w:lineRule="exact"/>
        <w:ind w:left="186"/>
      </w:pPr>
      <w:r>
        <w:rPr>
          <w:rFonts w:ascii="Arial"/>
          <w:color w:val="231F1F"/>
          <w:w w:val="355"/>
          <w:position w:val="1"/>
          <w:sz w:val="7"/>
        </w:rPr>
        <w:t>l </w:t>
      </w:r>
      <w:r>
        <w:rPr>
          <w:rFonts w:ascii="Calibri"/>
          <w:color w:val="231F1F"/>
          <w:w w:val="110"/>
        </w:rPr>
        <w:t>Cytotoxics: </w:t>
      </w:r>
      <w:r>
        <w:rPr>
          <w:color w:val="231F1F"/>
          <w:w w:val="110"/>
        </w:rPr>
        <w:t>proton pump inhibitors possibly reduce excretion</w:t>
      </w:r>
    </w:p>
    <w:p>
      <w:pPr>
        <w:pStyle w:val="BodyText"/>
        <w:spacing w:line="244" w:lineRule="auto"/>
        <w:ind w:left="286" w:right="203"/>
      </w:pPr>
      <w:r>
        <w:rPr>
          <w:color w:val="231F1F"/>
          <w:w w:val="110"/>
        </w:rPr>
        <w:t>of</w:t>
      </w:r>
      <w:r>
        <w:rPr>
          <w:color w:val="231F1F"/>
          <w:spacing w:val="-8"/>
          <w:w w:val="110"/>
        </w:rPr>
        <w:t> </w:t>
      </w:r>
      <w:r>
        <w:rPr>
          <w:rFonts w:ascii="Calibri" w:hAnsi="Calibri"/>
          <w:color w:val="008356"/>
          <w:spacing w:val="4"/>
          <w:w w:val="110"/>
          <w:sz w:val="11"/>
        </w:rPr>
        <w:t>METHOTREXATE</w:t>
      </w:r>
      <w:r>
        <w:rPr>
          <w:rFonts w:ascii="Calibri" w:hAnsi="Calibri"/>
          <w:color w:val="008356"/>
          <w:spacing w:val="2"/>
          <w:w w:val="110"/>
          <w:sz w:val="11"/>
        </w:rPr>
        <w:t> </w:t>
      </w:r>
      <w:r>
        <w:rPr>
          <w:color w:val="231F1F"/>
          <w:w w:val="110"/>
        </w:rPr>
        <w:t>(increased</w:t>
      </w:r>
      <w:r>
        <w:rPr>
          <w:color w:val="231F1F"/>
          <w:spacing w:val="-8"/>
          <w:w w:val="110"/>
        </w:rPr>
        <w:t> </w:t>
      </w:r>
      <w:r>
        <w:rPr>
          <w:color w:val="231F1F"/>
          <w:w w:val="110"/>
        </w:rPr>
        <w:t>risk</w:t>
      </w:r>
      <w:r>
        <w:rPr>
          <w:color w:val="231F1F"/>
          <w:spacing w:val="-8"/>
          <w:w w:val="110"/>
        </w:rPr>
        <w:t> </w:t>
      </w:r>
      <w:r>
        <w:rPr>
          <w:color w:val="231F1F"/>
          <w:w w:val="110"/>
        </w:rPr>
        <w:t>of</w:t>
      </w:r>
      <w:r>
        <w:rPr>
          <w:color w:val="231F1F"/>
          <w:spacing w:val="-8"/>
          <w:w w:val="110"/>
        </w:rPr>
        <w:t> </w:t>
      </w:r>
      <w:r>
        <w:rPr>
          <w:color w:val="231F1F"/>
          <w:w w:val="110"/>
        </w:rPr>
        <w:t>toxicity);</w:t>
      </w:r>
      <w:r>
        <w:rPr>
          <w:color w:val="231F1F"/>
          <w:spacing w:val="-8"/>
          <w:w w:val="110"/>
        </w:rPr>
        <w:t> </w:t>
      </w:r>
      <w:r>
        <w:rPr>
          <w:color w:val="231F1F"/>
          <w:w w:val="110"/>
        </w:rPr>
        <w:t>lansoprazole </w:t>
      </w:r>
      <w:r>
        <w:rPr>
          <w:color w:val="231F1F"/>
          <w:w w:val="115"/>
        </w:rPr>
        <w:t>reduces</w:t>
      </w:r>
      <w:r>
        <w:rPr>
          <w:color w:val="231F1F"/>
          <w:spacing w:val="-17"/>
          <w:w w:val="115"/>
        </w:rPr>
        <w:t> </w:t>
      </w:r>
      <w:r>
        <w:rPr>
          <w:color w:val="231F1F"/>
          <w:w w:val="115"/>
        </w:rPr>
        <w:t>plasma</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rFonts w:ascii="Calibri" w:hAnsi="Calibri"/>
          <w:color w:val="008356"/>
          <w:spacing w:val="4"/>
          <w:w w:val="115"/>
          <w:sz w:val="11"/>
        </w:rPr>
        <w:t>BOSUTINIB</w:t>
      </w:r>
      <w:r>
        <w:rPr>
          <w:color w:val="231F1F"/>
          <w:spacing w:val="4"/>
          <w:w w:val="115"/>
        </w:rPr>
        <w:t>;</w:t>
      </w:r>
      <w:r>
        <w:rPr>
          <w:color w:val="231F1F"/>
          <w:spacing w:val="-15"/>
          <w:w w:val="115"/>
        </w:rPr>
        <w:t> </w:t>
      </w:r>
      <w:r>
        <w:rPr>
          <w:color w:val="231F1F"/>
          <w:w w:val="115"/>
        </w:rPr>
        <w:t>avoidance</w:t>
      </w:r>
      <w:r>
        <w:rPr>
          <w:color w:val="231F1F"/>
          <w:spacing w:val="-16"/>
          <w:w w:val="115"/>
        </w:rPr>
        <w:t> </w:t>
      </w:r>
      <w:r>
        <w:rPr>
          <w:color w:val="231F1F"/>
          <w:w w:val="115"/>
        </w:rPr>
        <w:t>of proton pump inhibitors advised by manufacturer of </w:t>
      </w:r>
      <w:r>
        <w:rPr>
          <w:rFonts w:ascii="Calibri" w:hAnsi="Calibri"/>
          <w:color w:val="008356"/>
          <w:spacing w:val="4"/>
          <w:w w:val="115"/>
          <w:sz w:val="11"/>
        </w:rPr>
        <w:t>DABRAFENIB</w:t>
      </w:r>
      <w:r>
        <w:rPr>
          <w:rFonts w:ascii="Calibri" w:hAnsi="Calibri"/>
          <w:color w:val="008356"/>
          <w:spacing w:val="-13"/>
          <w:w w:val="115"/>
          <w:sz w:val="11"/>
        </w:rPr>
        <w:t>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21"/>
          <w:w w:val="115"/>
        </w:rPr>
        <w:t> </w:t>
      </w:r>
      <w:r>
        <w:rPr>
          <w:color w:val="231F1F"/>
          <w:w w:val="115"/>
        </w:rPr>
        <w:t>dabrafenib</w:t>
      </w:r>
      <w:r>
        <w:rPr>
          <w:color w:val="231F1F"/>
          <w:spacing w:val="-21"/>
          <w:w w:val="115"/>
        </w:rPr>
        <w:t> </w:t>
      </w:r>
      <w:r>
        <w:rPr>
          <w:color w:val="231F1F"/>
          <w:w w:val="115"/>
        </w:rPr>
        <w:t>possibly reduced); avoidance of esomeprazole, lansoprazole, pantoprazole</w:t>
      </w:r>
      <w:r>
        <w:rPr>
          <w:color w:val="231F1F"/>
          <w:spacing w:val="-7"/>
          <w:w w:val="115"/>
        </w:rPr>
        <w:t> </w:t>
      </w:r>
      <w:r>
        <w:rPr>
          <w:color w:val="231F1F"/>
          <w:w w:val="115"/>
        </w:rPr>
        <w:t>and</w:t>
      </w:r>
      <w:r>
        <w:rPr>
          <w:color w:val="231F1F"/>
          <w:spacing w:val="-5"/>
          <w:w w:val="115"/>
        </w:rPr>
        <w:t> </w:t>
      </w:r>
      <w:r>
        <w:rPr>
          <w:color w:val="231F1F"/>
          <w:w w:val="115"/>
        </w:rPr>
        <w:t>rabeprazole</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6"/>
          <w:w w:val="115"/>
        </w:rPr>
        <w:t> </w:t>
      </w:r>
      <w:r>
        <w:rPr>
          <w:color w:val="231F1F"/>
          <w:spacing w:val="-8"/>
          <w:w w:val="115"/>
        </w:rPr>
        <w:t>of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ERLOTINIB</w:t>
      </w:r>
      <w:r>
        <w:rPr>
          <w:color w:val="231F1F"/>
          <w:spacing w:val="4"/>
          <w:w w:val="115"/>
        </w:rPr>
        <w:t>;</w:t>
      </w:r>
      <w:r>
        <w:rPr>
          <w:color w:val="231F1F"/>
          <w:spacing w:val="-14"/>
          <w:w w:val="115"/>
        </w:rPr>
        <w:t> </w:t>
      </w:r>
      <w:r>
        <w:rPr>
          <w:color w:val="231F1F"/>
          <w:w w:val="115"/>
        </w:rPr>
        <w:t>omeprazole</w:t>
      </w:r>
      <w:r>
        <w:rPr>
          <w:color w:val="231F1F"/>
          <w:spacing w:val="-14"/>
          <w:w w:val="115"/>
        </w:rPr>
        <w:t> </w:t>
      </w:r>
      <w:r>
        <w:rPr>
          <w:color w:val="231F1F"/>
          <w:w w:val="115"/>
        </w:rPr>
        <w:t>reduces</w:t>
      </w:r>
      <w:r>
        <w:rPr>
          <w:color w:val="231F1F"/>
          <w:spacing w:val="-14"/>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 </w:t>
      </w:r>
      <w:r>
        <w:rPr>
          <w:rFonts w:ascii="Arial" w:hAnsi="Arial"/>
          <w:color w:val="231F1F"/>
          <w:w w:val="355"/>
          <w:position w:val="1"/>
          <w:sz w:val="7"/>
        </w:rPr>
        <w:t>l </w:t>
      </w:r>
      <w:r>
        <w:rPr>
          <w:rFonts w:ascii="Calibri" w:hAnsi="Calibri"/>
          <w:color w:val="008356"/>
          <w:w w:val="115"/>
          <w:sz w:val="11"/>
        </w:rPr>
        <w:t>ERLOTINIB</w:t>
      </w:r>
      <w:r>
        <w:rPr>
          <w:rFonts w:ascii="Arial" w:hAnsi="Arial"/>
          <w:color w:val="231F1F"/>
          <w:w w:val="115"/>
        </w:rPr>
        <w:t>—</w:t>
      </w:r>
      <w:r>
        <w:rPr>
          <w:color w:val="231F1F"/>
          <w:w w:val="115"/>
        </w:rPr>
        <w:t>manufacturer of erlotinib advises avoid concomitant use; proton pump inhibitors possibly</w:t>
      </w:r>
      <w:r>
        <w:rPr>
          <w:color w:val="231F1F"/>
          <w:spacing w:val="-18"/>
          <w:w w:val="115"/>
        </w:rPr>
        <w:t> </w:t>
      </w:r>
      <w:r>
        <w:rPr>
          <w:color w:val="231F1F"/>
          <w:w w:val="115"/>
        </w:rPr>
        <w:t>reduce absorption</w:t>
      </w:r>
      <w:r>
        <w:rPr>
          <w:color w:val="231F1F"/>
          <w:spacing w:val="-12"/>
          <w:w w:val="115"/>
        </w:rPr>
        <w:t> </w:t>
      </w:r>
      <w:r>
        <w:rPr>
          <w:color w:val="231F1F"/>
          <w:w w:val="115"/>
        </w:rPr>
        <w:t>of</w:t>
      </w:r>
      <w:r>
        <w:rPr>
          <w:color w:val="231F1F"/>
          <w:spacing w:val="-12"/>
          <w:w w:val="115"/>
        </w:rPr>
        <w:t> </w:t>
      </w:r>
      <w:r>
        <w:rPr>
          <w:rFonts w:ascii="Calibri" w:hAnsi="Calibri"/>
          <w:color w:val="008356"/>
          <w:spacing w:val="3"/>
          <w:w w:val="115"/>
          <w:sz w:val="11"/>
        </w:rPr>
        <w:t>LAPATINIB</w:t>
      </w:r>
      <w:r>
        <w:rPr>
          <w:color w:val="231F1F"/>
          <w:spacing w:val="3"/>
          <w:w w:val="115"/>
        </w:rPr>
        <w:t>;</w:t>
      </w:r>
      <w:r>
        <w:rPr>
          <w:color w:val="231F1F"/>
          <w:spacing w:val="-12"/>
          <w:w w:val="115"/>
        </w:rPr>
        <w:t> </w:t>
      </w:r>
      <w:r>
        <w:rPr>
          <w:color w:val="231F1F"/>
          <w:w w:val="115"/>
        </w:rPr>
        <w:t>proton</w:t>
      </w:r>
      <w:r>
        <w:rPr>
          <w:color w:val="231F1F"/>
          <w:spacing w:val="-11"/>
          <w:w w:val="115"/>
        </w:rPr>
        <w:t> </w:t>
      </w:r>
      <w:r>
        <w:rPr>
          <w:color w:val="231F1F"/>
          <w:w w:val="115"/>
        </w:rPr>
        <w:t>pump</w:t>
      </w:r>
      <w:r>
        <w:rPr>
          <w:color w:val="231F1F"/>
          <w:spacing w:val="-12"/>
          <w:w w:val="115"/>
        </w:rPr>
        <w:t> </w:t>
      </w:r>
      <w:r>
        <w:rPr>
          <w:color w:val="231F1F"/>
          <w:w w:val="115"/>
        </w:rPr>
        <w:t>inhibitors</w:t>
      </w:r>
      <w:r>
        <w:rPr>
          <w:color w:val="231F1F"/>
          <w:spacing w:val="-12"/>
          <w:w w:val="115"/>
        </w:rPr>
        <w:t> </w:t>
      </w:r>
      <w:r>
        <w:rPr>
          <w:color w:val="231F1F"/>
          <w:w w:val="115"/>
        </w:rPr>
        <w:t>possibly</w:t>
      </w:r>
    </w:p>
    <w:p>
      <w:pPr>
        <w:pStyle w:val="BodyText"/>
        <w:spacing w:line="244" w:lineRule="auto" w:before="3"/>
        <w:ind w:left="286"/>
      </w:pPr>
      <w:r>
        <w:rPr>
          <w:color w:val="231F1F"/>
          <w:w w:val="110"/>
        </w:rPr>
        <w:t>reduce absorption of </w:t>
      </w:r>
      <w:r>
        <w:rPr>
          <w:rFonts w:ascii="Calibri" w:hAnsi="Calibri"/>
          <w:color w:val="008356"/>
          <w:w w:val="110"/>
          <w:sz w:val="11"/>
        </w:rPr>
        <w:t>PAZOPANIB</w:t>
      </w:r>
      <w:r>
        <w:rPr>
          <w:rFonts w:ascii="Arial" w:hAnsi="Arial"/>
          <w:color w:val="231F1F"/>
          <w:w w:val="110"/>
        </w:rPr>
        <w:t>—</w:t>
      </w:r>
      <w:r>
        <w:rPr>
          <w:color w:val="231F1F"/>
          <w:w w:val="110"/>
        </w:rPr>
        <w:t>manufacturer of pazopanib advises give at the same time as proton pump inhibitors</w:t>
      </w:r>
    </w:p>
    <w:p>
      <w:pPr>
        <w:pStyle w:val="BodyText"/>
        <w:spacing w:line="220" w:lineRule="auto" w:before="6"/>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omeprazole possibly increases plasma concentration of </w:t>
      </w:r>
      <w:r>
        <w:rPr>
          <w:rFonts w:ascii="Calibri" w:hAnsi="Calibri"/>
          <w:color w:val="008356"/>
          <w:w w:val="105"/>
          <w:sz w:val="11"/>
        </w:rPr>
        <w:t>TACROLIMUS</w:t>
      </w:r>
    </w:p>
    <w:p>
      <w:pPr>
        <w:pStyle w:val="BodyText"/>
        <w:spacing w:line="220" w:lineRule="auto" w:before="9"/>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absorption of lansoprazole possibly reduced by </w:t>
      </w:r>
      <w:r>
        <w:rPr>
          <w:rFonts w:ascii="Calibri" w:hAnsi="Calibri"/>
          <w:color w:val="008356"/>
          <w:w w:val="105"/>
          <w:sz w:val="11"/>
        </w:rPr>
        <w:t>SUCRALFATE</w:t>
      </w:r>
    </w:p>
    <w:p>
      <w:pPr>
        <w:pStyle w:val="BodyText"/>
        <w:spacing w:before="9"/>
        <w:ind w:left="186"/>
      </w:pPr>
      <w:r>
        <w:rPr>
          <w:rFonts w:ascii="Trebuchet MS"/>
          <w:color w:val="008356"/>
          <w:w w:val="105"/>
        </w:rPr>
        <w:t>Pseudoephedrine </w:t>
      </w:r>
      <w:r>
        <w:rPr>
          <w:i/>
          <w:color w:val="231F1F"/>
          <w:w w:val="105"/>
        </w:rPr>
        <w:t>see </w:t>
      </w:r>
      <w:r>
        <w:rPr>
          <w:color w:val="231F1F"/>
          <w:w w:val="105"/>
        </w:rPr>
        <w:t>Sympathomimetics</w:t>
      </w:r>
    </w:p>
    <w:p>
      <w:pPr>
        <w:pStyle w:val="BodyText"/>
        <w:spacing w:line="139" w:lineRule="exact" w:before="11"/>
        <w:ind w:left="186"/>
        <w:rPr>
          <w:rFonts w:ascii="Trebuchet MS"/>
        </w:rPr>
      </w:pPr>
      <w:r>
        <w:rPr>
          <w:rFonts w:ascii="Trebuchet MS"/>
          <w:color w:val="008356"/>
        </w:rPr>
        <w:t>Pyrazinamide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Sulfinpyrazone: </w:t>
      </w:r>
      <w:r>
        <w:rPr>
          <w:color w:val="231F1F"/>
          <w:w w:val="105"/>
        </w:rPr>
        <w:t>pyrazinamide antagonises effects of</w:t>
      </w:r>
    </w:p>
    <w:p>
      <w:pPr>
        <w:spacing w:line="131" w:lineRule="exact" w:before="0"/>
        <w:ind w:left="286" w:right="0" w:firstLine="0"/>
        <w:jc w:val="left"/>
        <w:rPr>
          <w:rFonts w:ascii="Calibri"/>
          <w:sz w:val="11"/>
        </w:rPr>
      </w:pPr>
      <w:r>
        <w:rPr>
          <w:rFonts w:ascii="Calibri"/>
          <w:color w:val="008356"/>
          <w:sz w:val="11"/>
        </w:rPr>
        <w:t>SULFINPYRAZONE</w:t>
      </w:r>
    </w:p>
    <w:p>
      <w:pPr>
        <w:spacing w:line="220" w:lineRule="auto" w:before="7"/>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pPr>
      <w:r>
        <w:rPr>
          <w:rFonts w:ascii="Trebuchet MS"/>
          <w:color w:val="008356"/>
          <w:w w:val="110"/>
        </w:rPr>
        <w:t>Pyridostigmine </w:t>
      </w:r>
      <w:r>
        <w:rPr>
          <w:i/>
          <w:color w:val="231F1F"/>
          <w:w w:val="110"/>
        </w:rPr>
        <w:t>see </w:t>
      </w:r>
      <w:r>
        <w:rPr>
          <w:color w:val="231F1F"/>
          <w:w w:val="110"/>
        </w:rPr>
        <w:t>Parasympathomimetics</w:t>
      </w:r>
    </w:p>
    <w:p>
      <w:pPr>
        <w:pStyle w:val="BodyText"/>
        <w:spacing w:before="10"/>
        <w:ind w:left="186"/>
      </w:pPr>
      <w:r>
        <w:rPr>
          <w:rFonts w:ascii="Trebuchet MS"/>
          <w:color w:val="008356"/>
          <w:w w:val="105"/>
        </w:rPr>
        <w:t>Pyridoxine </w:t>
      </w:r>
      <w:r>
        <w:rPr>
          <w:i/>
          <w:color w:val="231F1F"/>
          <w:w w:val="105"/>
        </w:rPr>
        <w:t>see </w:t>
      </w:r>
      <w:r>
        <w:rPr>
          <w:color w:val="231F1F"/>
          <w:w w:val="105"/>
        </w:rPr>
        <w:t>Vitamins</w:t>
      </w:r>
    </w:p>
    <w:p>
      <w:pPr>
        <w:pStyle w:val="BodyText"/>
        <w:spacing w:line="139" w:lineRule="exact" w:before="10"/>
        <w:ind w:left="186"/>
        <w:rPr>
          <w:rFonts w:ascii="Trebuchet MS"/>
        </w:rPr>
      </w:pPr>
      <w:r>
        <w:rPr>
          <w:rFonts w:ascii="Trebuchet MS"/>
          <w:color w:val="008356"/>
        </w:rPr>
        <w:t>Pyrimethamine</w:t>
      </w:r>
    </w:p>
    <w:p>
      <w:pPr>
        <w:spacing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increased antifolate effect  when pyrimethamine</w:t>
      </w:r>
      <w:r>
        <w:rPr>
          <w:color w:val="231F1F"/>
          <w:spacing w:val="-18"/>
          <w:w w:val="110"/>
          <w:sz w:val="12"/>
        </w:rPr>
        <w:t> </w:t>
      </w:r>
      <w:r>
        <w:rPr>
          <w:color w:val="231F1F"/>
          <w:w w:val="110"/>
          <w:sz w:val="12"/>
        </w:rPr>
        <w:t>given</w:t>
      </w:r>
      <w:r>
        <w:rPr>
          <w:color w:val="231F1F"/>
          <w:spacing w:val="-19"/>
          <w:w w:val="110"/>
          <w:sz w:val="12"/>
        </w:rPr>
        <w:t> </w:t>
      </w:r>
      <w:r>
        <w:rPr>
          <w:color w:val="231F1F"/>
          <w:w w:val="110"/>
          <w:sz w:val="12"/>
        </w:rPr>
        <w:t>with</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SULFONAMIDES</w:t>
      </w:r>
      <w:r>
        <w:rPr>
          <w:rFonts w:ascii="Calibri"/>
          <w:color w:val="008356"/>
          <w:spacing w:val="-9"/>
          <w:w w:val="110"/>
          <w:sz w:val="11"/>
        </w:rPr>
        <w:t> </w:t>
      </w:r>
      <w:r>
        <w:rPr>
          <w:color w:val="231F1F"/>
          <w:w w:val="110"/>
          <w:sz w:val="12"/>
        </w:rPr>
        <w:t>or</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5"/>
          <w:w w:val="110"/>
          <w:sz w:val="11"/>
        </w:rPr>
        <w:t>TRIMETHOPRIM</w:t>
      </w:r>
    </w:p>
    <w:p>
      <w:pPr>
        <w:spacing w:line="240" w:lineRule="auto" w:before="0"/>
        <w:ind w:left="286" w:right="244" w:hanging="100"/>
        <w:jc w:val="both"/>
        <w:rPr>
          <w:sz w:val="12"/>
        </w:rPr>
      </w:pPr>
      <w:r>
        <w:rPr>
          <w:rFonts w:ascii="Arial"/>
          <w:color w:val="231F1F"/>
          <w:w w:val="355"/>
          <w:position w:val="1"/>
          <w:sz w:val="7"/>
        </w:rPr>
        <w:t>l </w:t>
      </w:r>
      <w:r>
        <w:rPr>
          <w:rFonts w:ascii="Calibri"/>
          <w:color w:val="231F1F"/>
          <w:w w:val="110"/>
          <w:sz w:val="12"/>
        </w:rPr>
        <w:t>Antiepileptics: </w:t>
      </w:r>
      <w:r>
        <w:rPr>
          <w:color w:val="231F1F"/>
          <w:w w:val="110"/>
          <w:sz w:val="12"/>
        </w:rPr>
        <w:t>pyrimethamine antagonises anticonvulsant effect</w:t>
      </w:r>
      <w:r>
        <w:rPr>
          <w:color w:val="231F1F"/>
          <w:spacing w:val="-11"/>
          <w:w w:val="110"/>
          <w:sz w:val="12"/>
        </w:rPr>
        <w:t> </w:t>
      </w:r>
      <w:r>
        <w:rPr>
          <w:color w:val="231F1F"/>
          <w:w w:val="110"/>
          <w:sz w:val="12"/>
        </w:rPr>
        <w:t>of</w:t>
      </w:r>
      <w:r>
        <w:rPr>
          <w:color w:val="231F1F"/>
          <w:spacing w:val="-11"/>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FOSPHENYTOIN</w:t>
      </w:r>
      <w:r>
        <w:rPr>
          <w:rFonts w:ascii="Calibri"/>
          <w:color w:val="008356"/>
          <w:spacing w:val="-1"/>
          <w:w w:val="110"/>
          <w:sz w:val="11"/>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PHENYTOIN</w:t>
      </w:r>
      <w:r>
        <w:rPr>
          <w:color w:val="231F1F"/>
          <w:spacing w:val="4"/>
          <w:w w:val="110"/>
          <w:sz w:val="12"/>
        </w:rPr>
        <w:t>,</w:t>
      </w:r>
      <w:r>
        <w:rPr>
          <w:color w:val="231F1F"/>
          <w:spacing w:val="-10"/>
          <w:w w:val="110"/>
          <w:sz w:val="12"/>
        </w:rPr>
        <w:t> </w:t>
      </w:r>
      <w:r>
        <w:rPr>
          <w:color w:val="231F1F"/>
          <w:w w:val="110"/>
          <w:sz w:val="12"/>
        </w:rPr>
        <w:t>also</w:t>
      </w:r>
      <w:r>
        <w:rPr>
          <w:color w:val="231F1F"/>
          <w:spacing w:val="-10"/>
          <w:w w:val="110"/>
          <w:sz w:val="12"/>
        </w:rPr>
        <w:t> </w:t>
      </w:r>
      <w:r>
        <w:rPr>
          <w:color w:val="231F1F"/>
          <w:w w:val="110"/>
          <w:sz w:val="12"/>
        </w:rPr>
        <w:t>increased antifolate</w:t>
      </w:r>
      <w:r>
        <w:rPr>
          <w:color w:val="231F1F"/>
          <w:spacing w:val="-2"/>
          <w:w w:val="110"/>
          <w:sz w:val="12"/>
        </w:rPr>
        <w:t> </w:t>
      </w:r>
      <w:r>
        <w:rPr>
          <w:color w:val="231F1F"/>
          <w:w w:val="110"/>
          <w:sz w:val="12"/>
        </w:rPr>
        <w:t>effect</w:t>
      </w:r>
    </w:p>
    <w:p>
      <w:pPr>
        <w:spacing w:line="240" w:lineRule="auto" w:before="0"/>
        <w:ind w:left="286" w:right="2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antimalarials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3"/>
          <w:w w:val="110"/>
          <w:sz w:val="12"/>
        </w:rPr>
        <w:t> </w:t>
      </w:r>
      <w:r>
        <w:rPr>
          <w:color w:val="231F1F"/>
          <w:w w:val="110"/>
          <w:sz w:val="12"/>
        </w:rPr>
        <w:t>increased antifolate effect when pyrimethamine given with</w:t>
      </w:r>
      <w:r>
        <w:rPr>
          <w:color w:val="231F1F"/>
          <w:spacing w:val="7"/>
          <w:w w:val="110"/>
          <w:sz w:val="12"/>
        </w:rPr>
        <w:t> </w:t>
      </w:r>
      <w:r>
        <w:rPr>
          <w:rFonts w:ascii="Calibri"/>
          <w:color w:val="008356"/>
          <w:spacing w:val="5"/>
          <w:w w:val="110"/>
          <w:sz w:val="11"/>
        </w:rPr>
        <w:t>PROGUANIL</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increased antifolate effect when pyrimethamine given with </w:t>
      </w:r>
      <w:r>
        <w:rPr>
          <w:rFonts w:ascii="Calibri" w:hAnsi="Calibri"/>
          <w:color w:val="008356"/>
          <w:w w:val="110"/>
          <w:sz w:val="11"/>
        </w:rPr>
        <w:t>ZIDOVUDINE</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Pyrimethamine </w:t>
      </w:r>
      <w:r>
        <w:rPr>
          <w:rFonts w:ascii="Calibri"/>
          <w:color w:val="231F1F"/>
        </w:rPr>
        <w:t>(continued)</w:t>
      </w:r>
    </w:p>
    <w:p>
      <w:pPr>
        <w:pStyle w:val="BodyText"/>
        <w:spacing w:line="144" w:lineRule="exact"/>
        <w:ind w:left="186"/>
      </w:pPr>
      <w:r>
        <w:rPr>
          <w:rFonts w:ascii="Arial"/>
          <w:color w:val="231F1F"/>
          <w:w w:val="355"/>
          <w:position w:val="1"/>
          <w:sz w:val="7"/>
        </w:rPr>
        <w:t>l</w:t>
      </w:r>
      <w:r>
        <w:rPr>
          <w:rFonts w:ascii="Arial"/>
          <w:color w:val="231F1F"/>
          <w:spacing w:val="-57"/>
          <w:w w:val="355"/>
          <w:position w:val="1"/>
          <w:sz w:val="7"/>
        </w:rPr>
        <w:t> </w:t>
      </w:r>
      <w:r>
        <w:rPr>
          <w:rFonts w:ascii="Calibri"/>
          <w:color w:val="231F1F"/>
          <w:w w:val="115"/>
        </w:rPr>
        <w:t>Cytotoxics: </w:t>
      </w:r>
      <w:r>
        <w:rPr>
          <w:color w:val="231F1F"/>
          <w:w w:val="115"/>
        </w:rPr>
        <w:t>pyrimethamine increases antifolate effect of</w:t>
      </w:r>
    </w:p>
    <w:p>
      <w:pPr>
        <w:spacing w:line="140" w:lineRule="exact" w:before="0"/>
        <w:ind w:left="286" w:right="0" w:firstLine="0"/>
        <w:jc w:val="left"/>
        <w:rPr>
          <w:rFonts w:ascii="Calibri"/>
          <w:sz w:val="11"/>
        </w:rPr>
      </w:pPr>
      <w:r>
        <w:rPr>
          <w:rFonts w:ascii="Arial"/>
          <w:color w:val="231F1F"/>
          <w:w w:val="355"/>
          <w:position w:val="1"/>
          <w:sz w:val="7"/>
        </w:rPr>
        <w:t>l </w:t>
      </w:r>
      <w:r>
        <w:rPr>
          <w:rFonts w:ascii="Calibri"/>
          <w:color w:val="008356"/>
          <w:w w:val="110"/>
          <w:sz w:val="11"/>
        </w:rPr>
        <w:t>METHOTREXATE </w:t>
      </w:r>
      <w:r>
        <w:rPr>
          <w:color w:val="231F1F"/>
          <w:w w:val="110"/>
          <w:sz w:val="12"/>
        </w:rPr>
        <w:t>and </w:t>
      </w:r>
      <w:r>
        <w:rPr>
          <w:rFonts w:ascii="Arial"/>
          <w:color w:val="231F1F"/>
          <w:w w:val="355"/>
          <w:position w:val="1"/>
          <w:sz w:val="7"/>
        </w:rPr>
        <w:t>l </w:t>
      </w:r>
      <w:r>
        <w:rPr>
          <w:rFonts w:ascii="Calibri"/>
          <w:color w:val="008356"/>
          <w:w w:val="110"/>
          <w:sz w:val="11"/>
        </w:rPr>
        <w:t>PEMETREXED</w:t>
      </w:r>
    </w:p>
    <w:p>
      <w:pPr>
        <w:pStyle w:val="BodyText"/>
        <w:spacing w:line="220" w:lineRule="auto" w:before="7"/>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spacing w:line="220" w:lineRule="auto" w:before="9"/>
        <w:ind w:left="286" w:right="689"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pPr>
      <w:r>
        <w:rPr>
          <w:rFonts w:ascii="Trebuchet MS"/>
          <w:color w:val="008356"/>
          <w:w w:val="110"/>
        </w:rPr>
        <w:t>Quetiapine </w:t>
      </w:r>
      <w:r>
        <w:rPr>
          <w:i/>
          <w:color w:val="231F1F"/>
          <w:w w:val="110"/>
        </w:rPr>
        <w:t>see </w:t>
      </w:r>
      <w:r>
        <w:rPr>
          <w:color w:val="231F1F"/>
          <w:w w:val="110"/>
        </w:rPr>
        <w:t>Antipsychotics</w:t>
      </w:r>
    </w:p>
    <w:p>
      <w:pPr>
        <w:pStyle w:val="BodyText"/>
        <w:spacing w:before="10"/>
        <w:ind w:left="186"/>
        <w:rPr>
          <w:rFonts w:ascii="Trebuchet MS"/>
        </w:rPr>
      </w:pPr>
      <w:r>
        <w:rPr>
          <w:rFonts w:ascii="Trebuchet MS"/>
          <w:color w:val="008356"/>
        </w:rPr>
        <w:t>Quinagolide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86" w:right="0" w:firstLine="0"/>
        <w:jc w:val="left"/>
        <w:rPr>
          <w:rFonts w:ascii="Calibri"/>
          <w:sz w:val="11"/>
        </w:rPr>
      </w:pPr>
      <w:r>
        <w:rPr>
          <w:rFonts w:ascii="Calibri"/>
          <w:color w:val="008356"/>
          <w:sz w:val="11"/>
        </w:rPr>
        <w:t>MEMANTINE</w:t>
      </w:r>
    </w:p>
    <w:p>
      <w:pPr>
        <w:pStyle w:val="BodyText"/>
        <w:spacing w:line="220" w:lineRule="auto" w:before="8"/>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before="9"/>
        <w:ind w:left="186"/>
      </w:pPr>
      <w:r>
        <w:rPr>
          <w:rFonts w:ascii="Trebuchet MS"/>
          <w:color w:val="008356"/>
          <w:w w:val="105"/>
        </w:rPr>
        <w:t>Quinapril </w:t>
      </w:r>
      <w:r>
        <w:rPr>
          <w:i/>
          <w:color w:val="231F1F"/>
          <w:w w:val="105"/>
        </w:rPr>
        <w:t>see </w:t>
      </w:r>
      <w:r>
        <w:rPr>
          <w:color w:val="231F1F"/>
          <w:w w:val="105"/>
        </w:rPr>
        <w:t>ACE Inhibitors</w:t>
      </w:r>
    </w:p>
    <w:p>
      <w:pPr>
        <w:pStyle w:val="BodyText"/>
        <w:spacing w:before="10"/>
        <w:ind w:left="186"/>
        <w:rPr>
          <w:rFonts w:ascii="Trebuchet MS"/>
        </w:rPr>
      </w:pPr>
      <w:r>
        <w:rPr>
          <w:rFonts w:ascii="Trebuchet MS"/>
          <w:color w:val="008356"/>
        </w:rPr>
        <w:t>Quinine</w:t>
      </w:r>
    </w:p>
    <w:p>
      <w:pPr>
        <w:pStyle w:val="BodyText"/>
        <w:spacing w:before="1"/>
        <w:ind w:left="286" w:right="584" w:hanging="100"/>
        <w:rPr>
          <w:rFonts w:ascii="Calibri" w:hAnsi="Calibri"/>
          <w:sz w:val="11"/>
        </w:rPr>
      </w:pPr>
      <w:r>
        <w:rPr>
          <w:rFonts w:ascii="Arial" w:hAnsi="Arial"/>
          <w:color w:val="231F1F"/>
          <w:w w:val="355"/>
          <w:position w:val="1"/>
          <w:sz w:val="7"/>
        </w:rPr>
        <w:t>l </w:t>
      </w:r>
      <w:r>
        <w:rPr>
          <w:rFonts w:ascii="Calibri" w:hAnsi="Calibri"/>
          <w:color w:val="231F1F"/>
          <w:w w:val="110"/>
        </w:rPr>
        <w:t>Anti-arrhythmics: </w:t>
      </w:r>
      <w:r>
        <w:rPr>
          <w:color w:val="231F1F"/>
          <w:w w:val="110"/>
        </w:rPr>
        <w:t>increased risk of ventricular arrhythmias when quinine given with </w:t>
      </w:r>
      <w:r>
        <w:rPr>
          <w:rFonts w:ascii="Arial" w:hAnsi="Arial"/>
          <w:color w:val="231F1F"/>
          <w:w w:val="355"/>
          <w:position w:val="1"/>
          <w:sz w:val="7"/>
        </w:rPr>
        <w:t>l </w:t>
      </w:r>
      <w:r>
        <w:rPr>
          <w:rFonts w:ascii="Calibri" w:hAnsi="Calibri"/>
          <w:color w:val="008356"/>
          <w:w w:val="110"/>
          <w:sz w:val="11"/>
        </w:rPr>
        <w:t>AMIODARONE</w:t>
      </w:r>
      <w:r>
        <w:rPr>
          <w:rFonts w:ascii="Arial" w:hAnsi="Arial"/>
          <w:color w:val="231F1F"/>
          <w:w w:val="110"/>
        </w:rPr>
        <w:t>—</w:t>
      </w:r>
      <w:r>
        <w:rPr>
          <w:color w:val="231F1F"/>
          <w:w w:val="110"/>
        </w:rPr>
        <w:t>avoid concomitant use; quinine increases plasma concentration of </w:t>
      </w:r>
      <w:r>
        <w:rPr>
          <w:rFonts w:ascii="Arial" w:hAnsi="Arial"/>
          <w:color w:val="231F1F"/>
          <w:w w:val="355"/>
          <w:position w:val="1"/>
          <w:sz w:val="7"/>
        </w:rPr>
        <w:t>l </w:t>
      </w:r>
      <w:r>
        <w:rPr>
          <w:rFonts w:ascii="Calibri" w:hAnsi="Calibri"/>
          <w:color w:val="008356"/>
          <w:w w:val="110"/>
          <w:sz w:val="11"/>
        </w:rPr>
        <w:t>FLECAINIDE</w:t>
      </w:r>
    </w:p>
    <w:p>
      <w:pPr>
        <w:pStyle w:val="BodyText"/>
        <w:ind w:left="286" w:right="657" w:hanging="100"/>
        <w:jc w:val="both"/>
        <w:rPr>
          <w:rFonts w:ascii="Calibri" w:hAnsi="Calibri"/>
          <w:sz w:val="11"/>
        </w:rPr>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when quinine given with </w:t>
      </w:r>
      <w:r>
        <w:rPr>
          <w:rFonts w:ascii="Arial" w:hAnsi="Arial"/>
          <w:color w:val="231F1F"/>
          <w:w w:val="355"/>
          <w:position w:val="1"/>
          <w:sz w:val="7"/>
        </w:rPr>
        <w:t>l </w:t>
      </w:r>
      <w:r>
        <w:rPr>
          <w:rFonts w:ascii="Calibri" w:hAnsi="Calibri"/>
          <w:color w:val="008356"/>
          <w:w w:val="110"/>
          <w:sz w:val="11"/>
        </w:rPr>
        <w:t>MOXIFLOXACIN</w:t>
      </w:r>
      <w:r>
        <w:rPr>
          <w:rFonts w:ascii="Arial" w:hAnsi="Arial"/>
          <w:color w:val="231F1F"/>
          <w:w w:val="110"/>
        </w:rPr>
        <w:t>—</w:t>
      </w:r>
      <w:r>
        <w:rPr>
          <w:color w:val="231F1F"/>
          <w:w w:val="110"/>
        </w:rPr>
        <w:t>avoid concomitant use; plasma concentration of quinine reduced by </w:t>
      </w:r>
      <w:r>
        <w:rPr>
          <w:rFonts w:ascii="Arial" w:hAnsi="Arial"/>
          <w:color w:val="231F1F"/>
          <w:w w:val="355"/>
          <w:position w:val="1"/>
          <w:sz w:val="7"/>
        </w:rPr>
        <w:t>l </w:t>
      </w:r>
      <w:r>
        <w:rPr>
          <w:rFonts w:ascii="Calibri" w:hAnsi="Calibri"/>
          <w:color w:val="008356"/>
          <w:w w:val="110"/>
          <w:sz w:val="11"/>
        </w:rPr>
        <w:t>RIFAMPICIN</w:t>
      </w:r>
    </w:p>
    <w:p>
      <w:pPr>
        <w:pStyle w:val="BodyText"/>
        <w:spacing w:line="220" w:lineRule="auto" w:before="4"/>
        <w:ind w:left="286" w:right="64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plasma concentration of both drugs increased when quinine given with </w:t>
      </w:r>
      <w:r>
        <w:rPr>
          <w:rFonts w:ascii="Calibri" w:hAnsi="Calibri"/>
          <w:color w:val="008356"/>
          <w:w w:val="110"/>
          <w:sz w:val="11"/>
        </w:rPr>
        <w:t>WARFARIN</w:t>
      </w:r>
    </w:p>
    <w:p>
      <w:pPr>
        <w:pStyle w:val="BodyText"/>
        <w:spacing w:before="1"/>
        <w:ind w:left="286" w:right="982" w:hanging="100"/>
      </w:pPr>
      <w:r>
        <w:rPr>
          <w:rFonts w:ascii="Arial" w:hAnsi="Arial"/>
          <w:color w:val="231F1F"/>
          <w:w w:val="355"/>
          <w:position w:val="1"/>
          <w:sz w:val="7"/>
        </w:rPr>
        <w:t>l </w:t>
      </w:r>
      <w:r>
        <w:rPr>
          <w:rFonts w:ascii="Calibri" w:hAnsi="Calibri"/>
          <w:color w:val="231F1F"/>
          <w:w w:val="110"/>
        </w:rPr>
        <w:t>Antidepressants: </w:t>
      </w:r>
      <w:r>
        <w:rPr>
          <w:color w:val="231F1F"/>
          <w:w w:val="110"/>
        </w:rPr>
        <w:t>possible increased risk of ventricular arrhythmias when quinine given with </w:t>
      </w:r>
      <w:r>
        <w:rPr>
          <w:rFonts w:ascii="Arial" w:hAnsi="Arial"/>
          <w:color w:val="231F1F"/>
          <w:w w:val="355"/>
          <w:position w:val="1"/>
          <w:sz w:val="7"/>
        </w:rPr>
        <w:t>l </w:t>
      </w:r>
      <w:r>
        <w:rPr>
          <w:rFonts w:ascii="Calibri" w:hAnsi="Calibri"/>
          <w:color w:val="008356"/>
          <w:spacing w:val="3"/>
          <w:w w:val="110"/>
          <w:sz w:val="11"/>
        </w:rPr>
        <w:t>CITALOPRAM </w:t>
      </w:r>
      <w:r>
        <w:rPr>
          <w:color w:val="231F1F"/>
          <w:spacing w:val="-6"/>
          <w:w w:val="110"/>
        </w:rPr>
        <w:t>or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0"/>
          <w:sz w:val="11"/>
        </w:rPr>
        <w:t>ESCITALOPRAM</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2" w:lineRule="auto"/>
        <w:ind w:left="286" w:right="616" w:hanging="100"/>
      </w:pPr>
      <w:r>
        <w:rPr>
          <w:rFonts w:ascii="Arial"/>
          <w:color w:val="231F1F"/>
          <w:w w:val="355"/>
          <w:position w:val="1"/>
          <w:sz w:val="7"/>
        </w:rPr>
        <w:t>l </w:t>
      </w:r>
      <w:r>
        <w:rPr>
          <w:rFonts w:ascii="Calibri"/>
          <w:color w:val="231F1F"/>
          <w:w w:val="110"/>
        </w:rPr>
        <w:t>Antimalarials: </w:t>
      </w:r>
      <w:r>
        <w:rPr>
          <w:color w:val="231F1F"/>
          <w:w w:val="110"/>
        </w:rPr>
        <w:t>avoidance of antimalarials advised by manufacturer</w:t>
      </w:r>
      <w:r>
        <w:rPr>
          <w:color w:val="231F1F"/>
          <w:spacing w:val="-23"/>
          <w:w w:val="110"/>
        </w:rPr>
        <w:t> </w:t>
      </w:r>
      <w:r>
        <w:rPr>
          <w:color w:val="231F1F"/>
          <w:w w:val="110"/>
        </w:rPr>
        <w:t>of</w:t>
      </w:r>
      <w:r>
        <w:rPr>
          <w:color w:val="231F1F"/>
          <w:spacing w:val="-22"/>
          <w:w w:val="110"/>
        </w:rPr>
        <w:t>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rPr>
        <w:t>;</w:t>
      </w:r>
      <w:r>
        <w:rPr>
          <w:color w:val="231F1F"/>
          <w:spacing w:val="-22"/>
          <w:w w:val="110"/>
        </w:rPr>
        <w:t> </w:t>
      </w:r>
      <w:r>
        <w:rPr>
          <w:color w:val="231F1F"/>
          <w:w w:val="110"/>
        </w:rPr>
        <w:t>increased risk of ventricular arrhythmias when quinine given</w:t>
      </w:r>
      <w:r>
        <w:rPr>
          <w:color w:val="231F1F"/>
          <w:spacing w:val="26"/>
          <w:w w:val="110"/>
        </w:rPr>
        <w:t> </w:t>
      </w:r>
      <w:r>
        <w:rPr>
          <w:color w:val="231F1F"/>
          <w:w w:val="110"/>
        </w:rPr>
        <w:t>with</w:t>
      </w:r>
    </w:p>
    <w:p>
      <w:pPr>
        <w:spacing w:line="244" w:lineRule="auto" w:before="0"/>
        <w:ind w:left="286" w:right="689" w:firstLine="0"/>
        <w:jc w:val="left"/>
        <w:rPr>
          <w:sz w:val="12"/>
        </w:rPr>
      </w:pPr>
      <w:r>
        <w:rPr>
          <w:rFonts w:ascii="Arial"/>
          <w:color w:val="231F1F"/>
          <w:w w:val="355"/>
          <w:position w:val="1"/>
          <w:sz w:val="7"/>
        </w:rPr>
        <w:t>l </w:t>
      </w:r>
      <w:r>
        <w:rPr>
          <w:rFonts w:ascii="Calibri"/>
          <w:color w:val="008356"/>
          <w:w w:val="110"/>
          <w:sz w:val="11"/>
        </w:rPr>
        <w:t>ARTEMETHER WITH LUMEFANTRINE</w:t>
      </w:r>
      <w:r>
        <w:rPr>
          <w:color w:val="231F1F"/>
          <w:w w:val="110"/>
          <w:sz w:val="12"/>
        </w:rPr>
        <w:t>; increased risk of convulsions when quinine given with </w:t>
      </w:r>
      <w:r>
        <w:rPr>
          <w:rFonts w:ascii="Arial"/>
          <w:color w:val="231F1F"/>
          <w:w w:val="355"/>
          <w:position w:val="1"/>
          <w:sz w:val="7"/>
        </w:rPr>
        <w:t>l </w:t>
      </w:r>
      <w:r>
        <w:rPr>
          <w:rFonts w:ascii="Calibri"/>
          <w:color w:val="008356"/>
          <w:w w:val="110"/>
          <w:sz w:val="11"/>
        </w:rPr>
        <w:t>MEFLOQUINE </w:t>
      </w:r>
      <w:r>
        <w:rPr>
          <w:color w:val="231F1F"/>
          <w:w w:val="110"/>
          <w:sz w:val="12"/>
        </w:rPr>
        <w:t>(but should not prevent the use of </w:t>
      </w:r>
      <w:r>
        <w:rPr>
          <w:i/>
          <w:color w:val="231F1F"/>
          <w:w w:val="110"/>
          <w:sz w:val="12"/>
        </w:rPr>
        <w:t>intravenous </w:t>
      </w:r>
      <w:r>
        <w:rPr>
          <w:color w:val="231F1F"/>
          <w:w w:val="110"/>
          <w:sz w:val="12"/>
        </w:rPr>
        <w:t>quinine in severe cases)</w:t>
      </w:r>
    </w:p>
    <w:p>
      <w:pPr>
        <w:pStyle w:val="BodyText"/>
        <w:spacing w:line="244" w:lineRule="auto"/>
        <w:ind w:left="286" w:right="618" w:hanging="100"/>
        <w:rPr>
          <w:rFonts w:ascii="Calibri" w:hAnsi="Calibri"/>
          <w:sz w:val="11"/>
        </w:rPr>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Antipsychotics:</w:t>
      </w:r>
      <w:r>
        <w:rPr>
          <w:rFonts w:ascii="Calibri" w:hAnsi="Calibri"/>
          <w:color w:val="231F1F"/>
          <w:spacing w:val="-14"/>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9"/>
          <w:w w:val="115"/>
        </w:rPr>
        <w:t> </w:t>
      </w:r>
      <w:r>
        <w:rPr>
          <w:color w:val="231F1F"/>
          <w:w w:val="115"/>
        </w:rPr>
        <w:t>arrhythmias</w:t>
      </w:r>
      <w:r>
        <w:rPr>
          <w:color w:val="231F1F"/>
          <w:spacing w:val="-17"/>
          <w:w w:val="115"/>
        </w:rPr>
        <w:t> </w:t>
      </w:r>
      <w:r>
        <w:rPr>
          <w:color w:val="231F1F"/>
          <w:spacing w:val="-4"/>
          <w:w w:val="115"/>
        </w:rPr>
        <w:t>when </w:t>
      </w:r>
      <w:r>
        <w:rPr>
          <w:color w:val="231F1F"/>
          <w:w w:val="115"/>
        </w:rPr>
        <w:t>quinine given with </w:t>
      </w:r>
      <w:r>
        <w:rPr>
          <w:rFonts w:ascii="Arial" w:hAnsi="Arial"/>
          <w:color w:val="231F1F"/>
          <w:w w:val="355"/>
          <w:position w:val="1"/>
          <w:sz w:val="7"/>
        </w:rPr>
        <w:t>l </w:t>
      </w:r>
      <w:r>
        <w:rPr>
          <w:rFonts w:ascii="Calibri" w:hAnsi="Calibri"/>
          <w:color w:val="008356"/>
          <w:spacing w:val="4"/>
          <w:w w:val="115"/>
          <w:sz w:val="11"/>
        </w:rPr>
        <w:t>DROPERIDOL </w:t>
      </w:r>
      <w:r>
        <w:rPr>
          <w:color w:val="231F1F"/>
          <w:w w:val="115"/>
        </w:rPr>
        <w:t>or </w:t>
      </w:r>
      <w:r>
        <w:rPr>
          <w:rFonts w:ascii="Arial" w:hAnsi="Arial"/>
          <w:color w:val="231F1F"/>
          <w:w w:val="355"/>
          <w:position w:val="1"/>
          <w:sz w:val="7"/>
        </w:rPr>
        <w:t>l </w:t>
      </w:r>
      <w:r>
        <w:rPr>
          <w:rFonts w:ascii="Calibri" w:hAnsi="Calibri"/>
          <w:color w:val="008356"/>
          <w:spacing w:val="2"/>
          <w:w w:val="115"/>
          <w:sz w:val="11"/>
        </w:rPr>
        <w:t>PIMOZIDE</w:t>
      </w:r>
      <w:r>
        <w:rPr>
          <w:rFonts w:ascii="Arial" w:hAnsi="Arial"/>
          <w:color w:val="231F1F"/>
          <w:spacing w:val="2"/>
          <w:w w:val="115"/>
        </w:rPr>
        <w:t>—</w:t>
      </w:r>
      <w:r>
        <w:rPr>
          <w:color w:val="231F1F"/>
          <w:spacing w:val="2"/>
          <w:w w:val="115"/>
        </w:rPr>
        <w:t>avoid </w:t>
      </w:r>
      <w:r>
        <w:rPr>
          <w:color w:val="231F1F"/>
          <w:w w:val="115"/>
        </w:rPr>
        <w:t>concomitant use; possible increased risk of ventricular arrhythmias</w:t>
      </w:r>
      <w:r>
        <w:rPr>
          <w:color w:val="231F1F"/>
          <w:spacing w:val="-22"/>
          <w:w w:val="115"/>
        </w:rPr>
        <w:t> </w:t>
      </w:r>
      <w:r>
        <w:rPr>
          <w:color w:val="231F1F"/>
          <w:w w:val="115"/>
        </w:rPr>
        <w:t>when</w:t>
      </w:r>
      <w:r>
        <w:rPr>
          <w:color w:val="231F1F"/>
          <w:spacing w:val="-20"/>
          <w:w w:val="115"/>
        </w:rPr>
        <w:t> </w:t>
      </w:r>
      <w:r>
        <w:rPr>
          <w:color w:val="231F1F"/>
          <w:w w:val="115"/>
        </w:rPr>
        <w:t>quinine</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3"/>
          <w:w w:val="115"/>
          <w:sz w:val="11"/>
        </w:rPr>
        <w:t>HALOPERIDOL</w:t>
      </w:r>
      <w:r>
        <w:rPr>
          <w:rFonts w:ascii="Arial" w:hAnsi="Arial"/>
          <w:color w:val="231F1F"/>
          <w:spacing w:val="3"/>
          <w:w w:val="115"/>
        </w:rPr>
        <w:t>—</w:t>
      </w:r>
      <w:r>
        <w:rPr>
          <w:color w:val="231F1F"/>
          <w:spacing w:val="3"/>
          <w:w w:val="115"/>
        </w:rPr>
        <w:t>avoid </w:t>
      </w:r>
      <w:r>
        <w:rPr>
          <w:color w:val="231F1F"/>
          <w:w w:val="115"/>
        </w:rPr>
        <w:t>concomitant use; possible increased risk of ventricular arrhythmias</w:t>
      </w:r>
      <w:r>
        <w:rPr>
          <w:color w:val="231F1F"/>
          <w:spacing w:val="-9"/>
          <w:w w:val="115"/>
        </w:rPr>
        <w:t> </w:t>
      </w:r>
      <w:r>
        <w:rPr>
          <w:color w:val="231F1F"/>
          <w:w w:val="115"/>
        </w:rPr>
        <w:t>when</w:t>
      </w:r>
      <w:r>
        <w:rPr>
          <w:color w:val="231F1F"/>
          <w:spacing w:val="-8"/>
          <w:w w:val="115"/>
        </w:rPr>
        <w:t> </w:t>
      </w:r>
      <w:r>
        <w:rPr>
          <w:color w:val="231F1F"/>
          <w:w w:val="115"/>
        </w:rPr>
        <w:t>quinine</w:t>
      </w:r>
      <w:r>
        <w:rPr>
          <w:color w:val="231F1F"/>
          <w:spacing w:val="-8"/>
          <w:w w:val="115"/>
        </w:rPr>
        <w:t> </w:t>
      </w:r>
      <w:r>
        <w:rPr>
          <w:color w:val="231F1F"/>
          <w:w w:val="115"/>
        </w:rPr>
        <w:t>given</w:t>
      </w:r>
      <w:r>
        <w:rPr>
          <w:color w:val="231F1F"/>
          <w:spacing w:val="-7"/>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5"/>
          <w:w w:val="115"/>
          <w:sz w:val="11"/>
        </w:rPr>
        <w:t>RISPERIDONE</w:t>
      </w:r>
    </w:p>
    <w:p>
      <w:pPr>
        <w:spacing w:line="237" w:lineRule="auto" w:before="0"/>
        <w:ind w:left="286" w:right="522" w:hanging="100"/>
        <w:jc w:val="left"/>
        <w:rPr>
          <w:rFonts w:ascii="Calibri"/>
          <w:sz w:val="11"/>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quinine possibly increased by </w:t>
      </w:r>
      <w:r>
        <w:rPr>
          <w:rFonts w:ascii="Arial"/>
          <w:color w:val="231F1F"/>
          <w:w w:val="335"/>
          <w:position w:val="1"/>
          <w:sz w:val="7"/>
        </w:rPr>
        <w:t>l</w:t>
      </w:r>
      <w:r>
        <w:rPr>
          <w:rFonts w:ascii="Arial"/>
          <w:color w:val="231F1F"/>
          <w:spacing w:val="-55"/>
          <w:w w:val="335"/>
          <w:position w:val="1"/>
          <w:sz w:val="7"/>
        </w:rPr>
        <w:t> </w:t>
      </w:r>
      <w:r>
        <w:rPr>
          <w:rFonts w:ascii="Calibri"/>
          <w:color w:val="008356"/>
          <w:spacing w:val="3"/>
          <w:w w:val="110"/>
          <w:sz w:val="11"/>
        </w:rPr>
        <w:t>ATAZANAVIR</w:t>
      </w:r>
      <w:r>
        <w:rPr>
          <w:color w:val="231F1F"/>
          <w:spacing w:val="3"/>
          <w:w w:val="110"/>
          <w:sz w:val="12"/>
        </w:rPr>
        <w:t>, </w:t>
      </w:r>
      <w:r>
        <w:rPr>
          <w:rFonts w:ascii="Arial"/>
          <w:color w:val="231F1F"/>
          <w:w w:val="335"/>
          <w:position w:val="1"/>
          <w:sz w:val="7"/>
        </w:rPr>
        <w:t>l</w:t>
      </w:r>
      <w:r>
        <w:rPr>
          <w:rFonts w:ascii="Arial"/>
          <w:color w:val="231F1F"/>
          <w:spacing w:val="-55"/>
          <w:w w:val="335"/>
          <w:position w:val="1"/>
          <w:sz w:val="7"/>
        </w:rPr>
        <w:t> </w:t>
      </w:r>
      <w:r>
        <w:rPr>
          <w:rFonts w:ascii="Calibri"/>
          <w:color w:val="008356"/>
          <w:spacing w:val="3"/>
          <w:w w:val="110"/>
          <w:sz w:val="11"/>
        </w:rPr>
        <w:t>DARUNAVIR</w:t>
      </w:r>
      <w:r>
        <w:rPr>
          <w:color w:val="231F1F"/>
          <w:spacing w:val="3"/>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FOSAMPRENAVIR</w:t>
      </w:r>
      <w:r>
        <w:rPr>
          <w:color w:val="231F1F"/>
          <w:spacing w:val="4"/>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INDINAVIR</w:t>
      </w:r>
    </w:p>
    <w:p>
      <w:pPr>
        <w:pStyle w:val="BodyText"/>
        <w:spacing w:line="244" w:lineRule="auto"/>
        <w:ind w:left="286" w:right="641"/>
      </w:pPr>
      <w:r>
        <w:rPr>
          <w:color w:val="231F1F"/>
          <w:w w:val="110"/>
        </w:rPr>
        <w:t>and </w:t>
      </w:r>
      <w:r>
        <w:rPr>
          <w:rFonts w:ascii="Arial" w:hAnsi="Arial"/>
          <w:color w:val="231F1F"/>
          <w:w w:val="355"/>
          <w:position w:val="1"/>
          <w:sz w:val="7"/>
        </w:rPr>
        <w:t>l </w:t>
      </w:r>
      <w:r>
        <w:rPr>
          <w:rFonts w:ascii="Calibri" w:hAnsi="Calibri"/>
          <w:color w:val="008356"/>
          <w:w w:val="110"/>
          <w:sz w:val="11"/>
        </w:rPr>
        <w:t>TIPRANAVIR </w:t>
      </w:r>
      <w:r>
        <w:rPr>
          <w:color w:val="231F1F"/>
          <w:w w:val="110"/>
        </w:rPr>
        <w:t>(increased risk of toxicity); plasma concentration of quinine increased by </w:t>
      </w:r>
      <w:r>
        <w:rPr>
          <w:rFonts w:ascii="Arial" w:hAnsi="Arial"/>
          <w:color w:val="231F1F"/>
          <w:w w:val="355"/>
          <w:position w:val="1"/>
          <w:sz w:val="7"/>
        </w:rPr>
        <w:t>l </w:t>
      </w:r>
      <w:r>
        <w:rPr>
          <w:rFonts w:ascii="Calibri" w:hAnsi="Calibri"/>
          <w:color w:val="008356"/>
          <w:w w:val="110"/>
          <w:sz w:val="11"/>
        </w:rPr>
        <w:t>RITONAVIR </w:t>
      </w:r>
      <w:r>
        <w:rPr>
          <w:color w:val="231F1F"/>
          <w:w w:val="110"/>
        </w:rPr>
        <w:t>(increased risk of toxicity); increased risk of ventricular arrhythmias when quinine given with </w:t>
      </w: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w:t>
      </w:r>
    </w:p>
    <w:p>
      <w:pPr>
        <w:pStyle w:val="BodyText"/>
        <w:spacing w:line="145" w:lineRule="exact"/>
        <w:ind w:left="186"/>
      </w:pPr>
      <w:r>
        <w:rPr>
          <w:rFonts w:ascii="Arial"/>
          <w:color w:val="231F1F"/>
          <w:w w:val="355"/>
          <w:position w:val="1"/>
          <w:sz w:val="7"/>
        </w:rPr>
        <w:t>l </w:t>
      </w:r>
      <w:r>
        <w:rPr>
          <w:rFonts w:ascii="Calibri"/>
          <w:color w:val="231F1F"/>
          <w:w w:val="115"/>
        </w:rPr>
        <w:t>Cardiac Glycosides: </w:t>
      </w:r>
      <w:r>
        <w:rPr>
          <w:color w:val="231F1F"/>
          <w:w w:val="115"/>
        </w:rPr>
        <w:t>quinine increases plasma concentration of</w:t>
      </w:r>
    </w:p>
    <w:p>
      <w:pPr>
        <w:spacing w:line="133" w:lineRule="exact" w:before="3"/>
        <w:ind w:left="286" w:right="0" w:firstLine="0"/>
        <w:jc w:val="left"/>
        <w:rPr>
          <w:rFonts w:ascii="Calibri"/>
          <w:sz w:val="11"/>
        </w:rPr>
      </w:pPr>
      <w:r>
        <w:rPr>
          <w:rFonts w:ascii="Arial"/>
          <w:color w:val="231F1F"/>
          <w:w w:val="355"/>
          <w:position w:val="1"/>
          <w:sz w:val="7"/>
        </w:rPr>
        <w:t>l </w:t>
      </w:r>
      <w:r>
        <w:rPr>
          <w:rFonts w:ascii="Calibri"/>
          <w:color w:val="008356"/>
          <w:w w:val="115"/>
          <w:sz w:val="11"/>
        </w:rPr>
        <w:t>DIGOXIN</w:t>
      </w:r>
    </w:p>
    <w:p>
      <w:pPr>
        <w:pStyle w:val="BodyText"/>
        <w:spacing w:line="220" w:lineRule="auto" w:before="8"/>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Dopaminergics: </w:t>
      </w:r>
      <w:r>
        <w:rPr>
          <w:color w:val="231F1F"/>
          <w:w w:val="105"/>
        </w:rPr>
        <w:t>quinine possibly increases plasma concentration of </w:t>
      </w:r>
      <w:r>
        <w:rPr>
          <w:rFonts w:ascii="Calibri" w:hAnsi="Calibri"/>
          <w:color w:val="008356"/>
          <w:w w:val="105"/>
          <w:sz w:val="11"/>
        </w:rPr>
        <w:t>AMANTADINE</w:t>
      </w:r>
    </w:p>
    <w:p>
      <w:pPr>
        <w:pStyle w:val="BodyText"/>
        <w:spacing w:line="220" w:lineRule="auto" w:before="8"/>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Histamine: </w:t>
      </w:r>
      <w:r>
        <w:rPr>
          <w:color w:val="231F1F"/>
          <w:w w:val="105"/>
        </w:rPr>
        <w:t>avoidance of antimalarials advised by manufacturer of </w:t>
      </w:r>
      <w:r>
        <w:rPr>
          <w:rFonts w:ascii="Calibri" w:hAnsi="Calibri"/>
          <w:color w:val="008356"/>
          <w:w w:val="105"/>
          <w:sz w:val="11"/>
        </w:rPr>
        <w:t>HISTAMINE</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Muscle Relaxants: </w:t>
      </w:r>
      <w:r>
        <w:rPr>
          <w:color w:val="231F1F"/>
          <w:w w:val="105"/>
        </w:rPr>
        <w:t>quinine possibly enhances effects of</w:t>
      </w:r>
    </w:p>
    <w:p>
      <w:pPr>
        <w:spacing w:line="130" w:lineRule="exact" w:before="0"/>
        <w:ind w:left="286" w:right="0" w:firstLine="0"/>
        <w:jc w:val="left"/>
        <w:rPr>
          <w:rFonts w:ascii="Calibri"/>
          <w:sz w:val="11"/>
        </w:rPr>
      </w:pPr>
      <w:r>
        <w:rPr>
          <w:rFonts w:ascii="Calibri"/>
          <w:color w:val="008356"/>
          <w:sz w:val="11"/>
        </w:rPr>
        <w:t>SUXAMETHONIUM</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quinine inhibited by</w:t>
      </w:r>
    </w:p>
    <w:p>
      <w:pPr>
        <w:spacing w:line="134" w:lineRule="exact" w:before="0"/>
        <w:ind w:left="286" w:right="0" w:firstLine="0"/>
        <w:jc w:val="left"/>
        <w:rPr>
          <w:sz w:val="12"/>
        </w:rPr>
      </w:pPr>
      <w:r>
        <w:rPr>
          <w:rFonts w:ascii="Calibri"/>
          <w:color w:val="008356"/>
          <w:w w:val="110"/>
          <w:sz w:val="11"/>
        </w:rPr>
        <w:t>CIMETIDINE </w:t>
      </w:r>
      <w:r>
        <w:rPr>
          <w:color w:val="231F1F"/>
          <w:w w:val="110"/>
          <w:sz w:val="12"/>
        </w:rPr>
        <w:t>(increased plasma concentration)</w:t>
      </w:r>
    </w:p>
    <w:p>
      <w:pPr>
        <w:spacing w:line="220" w:lineRule="auto" w:before="7"/>
        <w:ind w:left="286" w:right="689"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antimalarials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139" w:lineRule="exact" w:before="14"/>
        <w:ind w:left="186"/>
        <w:rPr>
          <w:rFonts w:ascii="Trebuchet MS"/>
        </w:rPr>
      </w:pPr>
      <w:r>
        <w:rPr>
          <w:rFonts w:ascii="Trebuchet MS"/>
          <w:color w:val="008356"/>
        </w:rPr>
        <w:t>Quinolones</w:t>
      </w:r>
    </w:p>
    <w:p>
      <w:pPr>
        <w:pStyle w:val="BodyText"/>
        <w:ind w:left="286" w:right="785" w:hanging="100"/>
        <w:jc w:val="both"/>
      </w:pPr>
      <w:r>
        <w:rPr>
          <w:rFonts w:ascii="Arial"/>
          <w:color w:val="231F1F"/>
          <w:w w:val="355"/>
          <w:position w:val="1"/>
          <w:sz w:val="7"/>
        </w:rPr>
        <w:t>l</w:t>
      </w:r>
      <w:r>
        <w:rPr>
          <w:rFonts w:ascii="Arial"/>
          <w:color w:val="231F1F"/>
          <w:spacing w:val="-39"/>
          <w:w w:val="355"/>
          <w:position w:val="1"/>
          <w:sz w:val="7"/>
        </w:rPr>
        <w:t> </w:t>
      </w:r>
      <w:r>
        <w:rPr>
          <w:rFonts w:ascii="Calibri"/>
          <w:color w:val="231F1F"/>
          <w:w w:val="110"/>
        </w:rPr>
        <w:t>Aminophylline: </w:t>
      </w:r>
      <w:r>
        <w:rPr>
          <w:color w:val="231F1F"/>
          <w:w w:val="110"/>
        </w:rPr>
        <w:t>possible increased risk of convulsions when quinolones</w:t>
      </w:r>
      <w:r>
        <w:rPr>
          <w:color w:val="231F1F"/>
          <w:spacing w:val="-5"/>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AMINOPHYLLINE</w:t>
      </w:r>
      <w:r>
        <w:rPr>
          <w:color w:val="231F1F"/>
          <w:spacing w:val="4"/>
          <w:w w:val="110"/>
        </w:rPr>
        <w:t>;</w:t>
      </w:r>
      <w:r>
        <w:rPr>
          <w:color w:val="231F1F"/>
          <w:spacing w:val="-3"/>
          <w:w w:val="110"/>
        </w:rPr>
        <w:t> </w:t>
      </w:r>
      <w:r>
        <w:rPr>
          <w:color w:val="231F1F"/>
          <w:w w:val="110"/>
        </w:rPr>
        <w:t>ciprofloxacin</w:t>
      </w:r>
      <w:r>
        <w:rPr>
          <w:color w:val="231F1F"/>
          <w:spacing w:val="-3"/>
          <w:w w:val="110"/>
        </w:rPr>
        <w:t> </w:t>
      </w:r>
      <w:r>
        <w:rPr>
          <w:color w:val="231F1F"/>
          <w:w w:val="110"/>
        </w:rPr>
        <w:t>and norfloxacin increase plasma concentration</w:t>
      </w:r>
      <w:r>
        <w:rPr>
          <w:color w:val="231F1F"/>
          <w:spacing w:val="3"/>
          <w:w w:val="110"/>
        </w:rPr>
        <w:t> </w:t>
      </w:r>
      <w:r>
        <w:rPr>
          <w:color w:val="231F1F"/>
          <w:w w:val="110"/>
        </w:rPr>
        <w:t>of</w:t>
      </w:r>
    </w:p>
    <w:p>
      <w:pPr>
        <w:spacing w:line="133" w:lineRule="exact" w:before="14"/>
        <w:ind w:left="286" w:right="0" w:firstLine="0"/>
        <w:jc w:val="left"/>
        <w:rPr>
          <w:rFonts w:ascii="Calibri"/>
          <w:sz w:val="11"/>
        </w:rPr>
      </w:pPr>
      <w:r>
        <w:rPr>
          <w:rFonts w:ascii="Arial"/>
          <w:color w:val="231F1F"/>
          <w:w w:val="355"/>
          <w:position w:val="1"/>
          <w:sz w:val="7"/>
        </w:rPr>
        <w:t>l </w:t>
      </w:r>
      <w:r>
        <w:rPr>
          <w:rFonts w:ascii="Calibri"/>
          <w:color w:val="008356"/>
          <w:w w:val="115"/>
          <w:sz w:val="11"/>
        </w:rPr>
        <w:t>AMINOPHYLLINE</w:t>
      </w:r>
    </w:p>
    <w:p>
      <w:pPr>
        <w:pStyle w:val="BodyText"/>
        <w:ind w:left="286" w:right="978" w:hanging="100"/>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rPr>
        <w:t>Analgesics:</w:t>
      </w:r>
      <w:r>
        <w:rPr>
          <w:rFonts w:ascii="Calibri"/>
          <w:color w:val="231F1F"/>
          <w:spacing w:val="-12"/>
          <w:w w:val="115"/>
        </w:rPr>
        <w:t> </w:t>
      </w:r>
      <w:r>
        <w:rPr>
          <w:color w:val="231F1F"/>
          <w:w w:val="115"/>
        </w:rPr>
        <w:t>possible</w:t>
      </w:r>
      <w:r>
        <w:rPr>
          <w:color w:val="231F1F"/>
          <w:spacing w:val="-16"/>
          <w:w w:val="115"/>
        </w:rPr>
        <w:t> </w:t>
      </w:r>
      <w:r>
        <w:rPr>
          <w:color w:val="231F1F"/>
          <w:w w:val="115"/>
        </w:rPr>
        <w:t>increased</w:t>
      </w:r>
      <w:r>
        <w:rPr>
          <w:color w:val="231F1F"/>
          <w:spacing w:val="-15"/>
          <w:w w:val="115"/>
        </w:rPr>
        <w:t> </w:t>
      </w:r>
      <w:r>
        <w:rPr>
          <w:color w:val="231F1F"/>
          <w:w w:val="115"/>
        </w:rPr>
        <w:t>risk</w:t>
      </w:r>
      <w:r>
        <w:rPr>
          <w:color w:val="231F1F"/>
          <w:spacing w:val="-16"/>
          <w:w w:val="115"/>
        </w:rPr>
        <w:t> </w:t>
      </w:r>
      <w:r>
        <w:rPr>
          <w:color w:val="231F1F"/>
          <w:w w:val="115"/>
        </w:rPr>
        <w:t>of</w:t>
      </w:r>
      <w:r>
        <w:rPr>
          <w:color w:val="231F1F"/>
          <w:spacing w:val="-15"/>
          <w:w w:val="115"/>
        </w:rPr>
        <w:t> </w:t>
      </w:r>
      <w:r>
        <w:rPr>
          <w:color w:val="231F1F"/>
          <w:w w:val="115"/>
        </w:rPr>
        <w:t>convulsions</w:t>
      </w:r>
      <w:r>
        <w:rPr>
          <w:color w:val="231F1F"/>
          <w:spacing w:val="-16"/>
          <w:w w:val="115"/>
        </w:rPr>
        <w:t> </w:t>
      </w:r>
      <w:r>
        <w:rPr>
          <w:color w:val="231F1F"/>
          <w:spacing w:val="-4"/>
          <w:w w:val="115"/>
        </w:rPr>
        <w:t>when </w:t>
      </w:r>
      <w:r>
        <w:rPr>
          <w:color w:val="231F1F"/>
          <w:w w:val="115"/>
        </w:rPr>
        <w:t>quinolones given with </w:t>
      </w:r>
      <w:r>
        <w:rPr>
          <w:rFonts w:ascii="Arial"/>
          <w:color w:val="231F1F"/>
          <w:w w:val="355"/>
          <w:position w:val="1"/>
          <w:sz w:val="7"/>
        </w:rPr>
        <w:t>l</w:t>
      </w:r>
      <w:r>
        <w:rPr>
          <w:rFonts w:ascii="Arial"/>
          <w:color w:val="231F1F"/>
          <w:spacing w:val="-57"/>
          <w:w w:val="355"/>
          <w:position w:val="1"/>
          <w:sz w:val="7"/>
        </w:rPr>
        <w:t> </w:t>
      </w:r>
      <w:r>
        <w:rPr>
          <w:rFonts w:ascii="Calibri"/>
          <w:color w:val="008356"/>
          <w:spacing w:val="5"/>
          <w:w w:val="115"/>
          <w:sz w:val="11"/>
        </w:rPr>
        <w:t>NSAIDS</w:t>
      </w:r>
    </w:p>
    <w:p>
      <w:pPr>
        <w:pStyle w:val="BodyText"/>
        <w:spacing w:line="220" w:lineRule="auto" w:before="4"/>
        <w:ind w:left="286" w:right="68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ciprofloxacin, levofloxacin, moxifloxacin, norfloxacin and ofloxacin reduced by </w:t>
      </w:r>
      <w:r>
        <w:rPr>
          <w:rFonts w:ascii="Calibri" w:hAnsi="Calibri"/>
          <w:color w:val="008356"/>
          <w:w w:val="105"/>
          <w:sz w:val="11"/>
        </w:rPr>
        <w:t>ANTACIDS</w:t>
      </w:r>
    </w:p>
    <w:p>
      <w:pPr>
        <w:pStyle w:val="BodyText"/>
        <w:ind w:left="286" w:right="820" w:hanging="100"/>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Anti-arrhythmics:</w:t>
      </w:r>
      <w:r>
        <w:rPr>
          <w:rFonts w:ascii="Calibri"/>
          <w:color w:val="231F1F"/>
          <w:spacing w:val="-19"/>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ventricular</w:t>
      </w:r>
      <w:r>
        <w:rPr>
          <w:color w:val="231F1F"/>
          <w:spacing w:val="-23"/>
          <w:w w:val="115"/>
        </w:rPr>
        <w:t> </w:t>
      </w:r>
      <w:r>
        <w:rPr>
          <w:color w:val="231F1F"/>
          <w:w w:val="115"/>
        </w:rPr>
        <w:t>arrhythmias when</w:t>
      </w:r>
      <w:r>
        <w:rPr>
          <w:color w:val="231F1F"/>
          <w:spacing w:val="-7"/>
          <w:w w:val="115"/>
        </w:rPr>
        <w:t> </w:t>
      </w:r>
      <w:r>
        <w:rPr>
          <w:color w:val="231F1F"/>
          <w:w w:val="115"/>
        </w:rPr>
        <w:t>levofloxacin</w:t>
      </w:r>
      <w:r>
        <w:rPr>
          <w:color w:val="231F1F"/>
          <w:spacing w:val="-7"/>
          <w:w w:val="115"/>
        </w:rPr>
        <w:t> </w:t>
      </w:r>
      <w:r>
        <w:rPr>
          <w:color w:val="231F1F"/>
          <w:w w:val="115"/>
        </w:rPr>
        <w:t>or</w:t>
      </w:r>
      <w:r>
        <w:rPr>
          <w:color w:val="231F1F"/>
          <w:spacing w:val="-6"/>
          <w:w w:val="115"/>
        </w:rPr>
        <w:t> </w:t>
      </w:r>
      <w:r>
        <w:rPr>
          <w:color w:val="231F1F"/>
          <w:w w:val="115"/>
        </w:rPr>
        <w:t>moxifloxacin</w:t>
      </w:r>
      <w:r>
        <w:rPr>
          <w:color w:val="231F1F"/>
          <w:spacing w:val="-7"/>
          <w:w w:val="115"/>
        </w:rPr>
        <w:t> </w:t>
      </w:r>
      <w:r>
        <w:rPr>
          <w:color w:val="231F1F"/>
          <w:w w:val="115"/>
        </w:rPr>
        <w:t>given</w:t>
      </w:r>
      <w:r>
        <w:rPr>
          <w:color w:val="231F1F"/>
          <w:spacing w:val="-7"/>
          <w:w w:val="115"/>
        </w:rPr>
        <w:t> </w:t>
      </w:r>
      <w:r>
        <w:rPr>
          <w:color w:val="231F1F"/>
          <w:w w:val="115"/>
        </w:rPr>
        <w:t>with</w:t>
      </w:r>
    </w:p>
    <w:p>
      <w:pPr>
        <w:pStyle w:val="BodyText"/>
        <w:spacing w:line="244" w:lineRule="auto" w:before="4"/>
        <w:ind w:left="286" w:right="689"/>
      </w:pPr>
      <w:r>
        <w:rPr>
          <w:rFonts w:ascii="Arial" w:hAnsi="Arial"/>
          <w:color w:val="231F1F"/>
          <w:w w:val="355"/>
          <w:position w:val="1"/>
          <w:sz w:val="7"/>
        </w:rPr>
        <w:t>l </w:t>
      </w:r>
      <w:r>
        <w:rPr>
          <w:rFonts w:ascii="Calibri" w:hAnsi="Calibri"/>
          <w:color w:val="008356"/>
          <w:w w:val="110"/>
          <w:sz w:val="11"/>
        </w:rPr>
        <w:t>AMIODARONE</w:t>
      </w:r>
      <w:r>
        <w:rPr>
          <w:rFonts w:ascii="Arial" w:hAnsi="Arial"/>
          <w:color w:val="231F1F"/>
          <w:w w:val="110"/>
        </w:rPr>
        <w:t>—</w:t>
      </w:r>
      <w:r>
        <w:rPr>
          <w:color w:val="231F1F"/>
          <w:w w:val="110"/>
        </w:rPr>
        <w:t>avoid concomitant use; increased risk of ventricular arrhythmias when moxifloxacin given with</w:t>
      </w:r>
    </w:p>
    <w:p>
      <w:pPr>
        <w:spacing w:line="141" w:lineRule="exact" w:before="1"/>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5"/>
          <w:sz w:val="11"/>
        </w:rPr>
        <w:t>DISOPYRAMIDE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654" w:hanging="100"/>
      </w:pPr>
      <w:r>
        <w:rPr>
          <w:rFonts w:ascii="Arial" w:hAnsi="Arial"/>
          <w:color w:val="231F1F"/>
          <w:w w:val="355"/>
          <w:position w:val="1"/>
          <w:sz w:val="7"/>
        </w:rPr>
        <w:t>l </w:t>
      </w:r>
      <w:r>
        <w:rPr>
          <w:rFonts w:ascii="Calibri" w:hAnsi="Calibri"/>
          <w:color w:val="231F1F"/>
          <w:w w:val="110"/>
        </w:rPr>
        <w:t>Antibacterials: </w:t>
      </w:r>
      <w:r>
        <w:rPr>
          <w:color w:val="231F1F"/>
          <w:w w:val="110"/>
        </w:rPr>
        <w:t>increased risk of ventricular arrhythmias </w:t>
      </w:r>
      <w:r>
        <w:rPr>
          <w:color w:val="231F1F"/>
          <w:spacing w:val="-4"/>
          <w:w w:val="110"/>
        </w:rPr>
        <w:t>when </w:t>
      </w:r>
      <w:r>
        <w:rPr>
          <w:color w:val="231F1F"/>
          <w:w w:val="110"/>
        </w:rPr>
        <w:t>moxifloxacin given with </w:t>
      </w:r>
      <w:r>
        <w:rPr>
          <w:i/>
          <w:color w:val="231F1F"/>
          <w:w w:val="110"/>
        </w:rPr>
        <w:t>parenteral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0"/>
        </w:rPr>
        <w:t>concomitant use; ciprofloxacin possibly increases plasma</w:t>
      </w:r>
    </w:p>
    <w:p>
      <w:pPr>
        <w:spacing w:after="0"/>
        <w:sectPr>
          <w:headerReference w:type="even" r:id="rId46"/>
          <w:headerReference w:type="default" r:id="rId47"/>
          <w:pgSz w:w="8390" w:h="11910"/>
          <w:pgMar w:header="0" w:footer="0" w:top="460" w:bottom="280" w:left="480" w:right="0"/>
          <w:pgNumType w:start="1232"/>
          <w:cols w:num="2" w:equalWidth="0">
            <w:col w:w="3637" w:space="40"/>
            <w:col w:w="4233"/>
          </w:cols>
        </w:sectPr>
      </w:pPr>
    </w:p>
    <w:p>
      <w:pPr>
        <w:pStyle w:val="BodyText"/>
        <w:spacing w:before="8"/>
        <w:ind w:left="0"/>
        <w:rPr>
          <w:sz w:val="14"/>
        </w:rPr>
      </w:pPr>
    </w:p>
    <w:p>
      <w:pPr>
        <w:pStyle w:val="BodyText"/>
        <w:ind w:left="108"/>
        <w:rPr>
          <w:rFonts w:ascii="Arial"/>
        </w:rPr>
      </w:pPr>
      <w:r>
        <w:rPr>
          <w:rFonts w:ascii="Arial"/>
          <w:color w:val="008356"/>
        </w:rPr>
        <w:t>Quinolones</w:t>
      </w:r>
    </w:p>
    <w:p>
      <w:pPr>
        <w:pStyle w:val="BodyText"/>
        <w:spacing w:line="145" w:lineRule="exact" w:before="5"/>
        <w:ind w:left="108"/>
        <w:rPr>
          <w:rFonts w:ascii="Calibri"/>
        </w:rPr>
      </w:pPr>
      <w:r>
        <w:rPr>
          <w:rFonts w:ascii="Arial"/>
          <w:color w:val="231F1F"/>
          <w:w w:val="355"/>
          <w:position w:val="1"/>
          <w:sz w:val="7"/>
        </w:rPr>
        <w:t>l </w:t>
      </w:r>
      <w:r>
        <w:rPr>
          <w:rFonts w:ascii="Calibri"/>
          <w:color w:val="231F1F"/>
          <w:w w:val="115"/>
        </w:rPr>
        <w:t>Antibacterials (continued)</w:t>
      </w:r>
    </w:p>
    <w:p>
      <w:pPr>
        <w:pStyle w:val="BodyText"/>
        <w:spacing w:line="244" w:lineRule="auto"/>
        <w:ind w:right="40"/>
      </w:pPr>
      <w:r>
        <w:rPr>
          <w:color w:val="231F1F"/>
          <w:w w:val="110"/>
        </w:rPr>
        <w:t>concentration of </w:t>
      </w:r>
      <w:r>
        <w:rPr>
          <w:rFonts w:ascii="Calibri" w:hAnsi="Calibri"/>
          <w:color w:val="008356"/>
          <w:w w:val="110"/>
          <w:sz w:val="11"/>
        </w:rPr>
        <w:t>BEDAQUILINE</w:t>
      </w:r>
      <w:r>
        <w:rPr>
          <w:rFonts w:ascii="Arial" w:hAnsi="Arial"/>
          <w:color w:val="231F1F"/>
          <w:w w:val="110"/>
        </w:rPr>
        <w:t>—</w:t>
      </w:r>
      <w:r>
        <w:rPr>
          <w:color w:val="231F1F"/>
          <w:w w:val="110"/>
        </w:rPr>
        <w:t>avoid concomitant use if ciprofloxacin given for more than 14 days; avoidance of moxifloxacin advised by manufacturer of </w:t>
      </w:r>
      <w:r>
        <w:rPr>
          <w:rFonts w:ascii="Calibri" w:hAnsi="Calibri"/>
          <w:color w:val="008356"/>
          <w:w w:val="110"/>
          <w:sz w:val="11"/>
        </w:rPr>
        <w:t>BEDAQUILINE</w:t>
      </w:r>
      <w:r>
        <w:rPr>
          <w:color w:val="231F1F"/>
          <w:w w:val="110"/>
        </w:rPr>
        <w:t>; increased risk of ventricular arrhythmias when moxifloxacin given with </w:t>
      </w:r>
      <w:r>
        <w:rPr>
          <w:rFonts w:ascii="Arial" w:hAnsi="Arial"/>
          <w:color w:val="231F1F"/>
          <w:w w:val="355"/>
          <w:position w:val="1"/>
          <w:sz w:val="7"/>
        </w:rPr>
        <w:t>l </w:t>
      </w:r>
      <w:r>
        <w:rPr>
          <w:rFonts w:ascii="Calibri" w:hAnsi="Calibri"/>
          <w:color w:val="008356"/>
          <w:w w:val="110"/>
          <w:sz w:val="11"/>
        </w:rPr>
        <w:t>DELAMANID</w:t>
      </w:r>
      <w:r>
        <w:rPr>
          <w:color w:val="231F1F"/>
          <w:w w:val="110"/>
        </w:rPr>
        <w:t>; effects of nalidixic acid possibly antagonised by </w:t>
      </w:r>
      <w:r>
        <w:rPr>
          <w:rFonts w:ascii="Calibri" w:hAnsi="Calibri"/>
          <w:color w:val="008356"/>
          <w:w w:val="110"/>
          <w:sz w:val="11"/>
        </w:rPr>
        <w:t>NITROFURANTOIN</w:t>
      </w:r>
      <w:r>
        <w:rPr>
          <w:color w:val="231F1F"/>
          <w:w w:val="110"/>
        </w:rPr>
        <w:t>; possible increased risk of ventricular arrhythmias when moxifloxacin given with</w:t>
      </w:r>
    </w:p>
    <w:p>
      <w:pPr>
        <w:spacing w:line="133" w:lineRule="exact" w:before="11"/>
        <w:ind w:left="208" w:right="0" w:firstLine="0"/>
        <w:jc w:val="left"/>
        <w:rPr>
          <w:rFonts w:ascii="Calibri"/>
          <w:sz w:val="11"/>
        </w:rPr>
      </w:pPr>
      <w:r>
        <w:rPr>
          <w:rFonts w:ascii="Arial"/>
          <w:color w:val="231F1F"/>
          <w:w w:val="355"/>
          <w:position w:val="1"/>
          <w:sz w:val="7"/>
        </w:rPr>
        <w:t>l </w:t>
      </w:r>
      <w:r>
        <w:rPr>
          <w:rFonts w:ascii="Calibri"/>
          <w:color w:val="008356"/>
          <w:w w:val="115"/>
          <w:sz w:val="11"/>
        </w:rPr>
        <w:t>TELITHROMYCIN</w:t>
      </w:r>
    </w:p>
    <w:p>
      <w:pPr>
        <w:pStyle w:val="BodyText"/>
        <w:spacing w:line="244" w:lineRule="auto"/>
        <w:ind w:right="40"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nalidixic acid, norfloxacin and ofloxacin enhance anticoagulant effect of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COUMARINS</w:t>
      </w:r>
      <w:r>
        <w:rPr>
          <w:color w:val="231F1F"/>
          <w:spacing w:val="4"/>
          <w:w w:val="110"/>
        </w:rPr>
        <w:t>; </w:t>
      </w:r>
      <w:r>
        <w:rPr>
          <w:color w:val="231F1F"/>
          <w:w w:val="110"/>
        </w:rPr>
        <w:t>ciprofloxacin and levofloxacin possibly enhance anticoagulant effect of </w:t>
      </w:r>
      <w:r>
        <w:rPr>
          <w:rFonts w:ascii="Calibri"/>
          <w:color w:val="008356"/>
          <w:spacing w:val="4"/>
          <w:w w:val="110"/>
          <w:sz w:val="11"/>
        </w:rPr>
        <w:t>COUMARINS</w:t>
      </w:r>
      <w:r>
        <w:rPr>
          <w:color w:val="231F1F"/>
          <w:spacing w:val="4"/>
          <w:w w:val="110"/>
        </w:rPr>
        <w:t>; </w:t>
      </w:r>
      <w:r>
        <w:rPr>
          <w:color w:val="231F1F"/>
          <w:w w:val="110"/>
        </w:rPr>
        <w:t>levofloxacin possibly enhances anticoagulant effect of </w:t>
      </w:r>
      <w:r>
        <w:rPr>
          <w:rFonts w:ascii="Calibri"/>
          <w:color w:val="008356"/>
          <w:spacing w:val="5"/>
          <w:w w:val="110"/>
          <w:sz w:val="11"/>
        </w:rPr>
        <w:t>PHENINDIONE</w:t>
      </w:r>
    </w:p>
    <w:p>
      <w:pPr>
        <w:pStyle w:val="BodyText"/>
        <w:spacing w:line="138" w:lineRule="exact"/>
        <w:ind w:left="108"/>
      </w:pPr>
      <w:r>
        <w:rPr>
          <w:rFonts w:ascii="Arial"/>
          <w:color w:val="231F1F"/>
          <w:w w:val="355"/>
          <w:position w:val="1"/>
          <w:sz w:val="7"/>
        </w:rPr>
        <w:t>l </w:t>
      </w:r>
      <w:r>
        <w:rPr>
          <w:rFonts w:ascii="Calibri"/>
          <w:color w:val="231F1F"/>
          <w:w w:val="110"/>
        </w:rPr>
        <w:t>Antidepressants: </w:t>
      </w:r>
      <w:r>
        <w:rPr>
          <w:color w:val="231F1F"/>
          <w:w w:val="110"/>
        </w:rPr>
        <w:t>avoidance of moxifloxacin advised by</w:t>
      </w:r>
    </w:p>
    <w:p>
      <w:pPr>
        <w:pStyle w:val="BodyText"/>
        <w:spacing w:line="244" w:lineRule="auto"/>
        <w:ind w:right="123"/>
      </w:pPr>
      <w:r>
        <w:rPr>
          <w:color w:val="231F1F"/>
          <w:w w:val="110"/>
        </w:rPr>
        <w:t>manufacturer</w:t>
      </w:r>
      <w:r>
        <w:rPr>
          <w:color w:val="231F1F"/>
          <w:spacing w:val="-9"/>
          <w:w w:val="110"/>
        </w:rPr>
        <w:t> </w:t>
      </w:r>
      <w:r>
        <w:rPr>
          <w:color w:val="231F1F"/>
          <w:w w:val="110"/>
        </w:rPr>
        <w:t>of</w:t>
      </w:r>
      <w:r>
        <w:rPr>
          <w:color w:val="231F1F"/>
          <w:spacing w:val="-10"/>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CITALOPRAM</w:t>
      </w:r>
      <w:r>
        <w:rPr>
          <w:rFonts w:ascii="Calibri" w:hAnsi="Calibri"/>
          <w:color w:val="008356"/>
          <w:spacing w:val="1"/>
          <w:w w:val="110"/>
          <w:sz w:val="11"/>
        </w:rPr>
        <w:t> </w:t>
      </w:r>
      <w:r>
        <w:rPr>
          <w:color w:val="231F1F"/>
          <w:w w:val="110"/>
        </w:rPr>
        <w:t>and</w:t>
      </w:r>
      <w:r>
        <w:rPr>
          <w:color w:val="231F1F"/>
          <w:spacing w:val="-9"/>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ESCITALOPRAM</w:t>
      </w:r>
      <w:r>
        <w:rPr>
          <w:rFonts w:ascii="Calibri" w:hAnsi="Calibri"/>
          <w:color w:val="008356"/>
          <w:spacing w:val="2"/>
          <w:w w:val="110"/>
          <w:sz w:val="11"/>
        </w:rPr>
        <w:t> </w:t>
      </w:r>
      <w:r>
        <w:rPr>
          <w:color w:val="231F1F"/>
          <w:w w:val="110"/>
        </w:rPr>
        <w:t>(risk</w:t>
      </w:r>
      <w:r>
        <w:rPr>
          <w:color w:val="231F1F"/>
          <w:spacing w:val="-11"/>
          <w:w w:val="110"/>
        </w:rPr>
        <w:t> </w:t>
      </w:r>
      <w:r>
        <w:rPr>
          <w:color w:val="231F1F"/>
          <w:w w:val="110"/>
        </w:rPr>
        <w:t>of ventricular arrhythmias); ciprofloxacin inhibits  metabolism of </w:t>
      </w:r>
      <w:r>
        <w:rPr>
          <w:rFonts w:ascii="Arial" w:hAnsi="Arial"/>
          <w:color w:val="231F1F"/>
          <w:w w:val="355"/>
          <w:position w:val="1"/>
          <w:sz w:val="7"/>
        </w:rPr>
        <w:t>l </w:t>
      </w:r>
      <w:r>
        <w:rPr>
          <w:rFonts w:ascii="Calibri" w:hAnsi="Calibri"/>
          <w:color w:val="008356"/>
          <w:spacing w:val="2"/>
          <w:w w:val="110"/>
          <w:sz w:val="11"/>
        </w:rPr>
        <w:t>DULOXETINE</w:t>
      </w:r>
      <w:r>
        <w:rPr>
          <w:rFonts w:ascii="Arial" w:hAnsi="Arial"/>
          <w:color w:val="231F1F"/>
          <w:spacing w:val="2"/>
          <w:w w:val="110"/>
        </w:rPr>
        <w:t>—</w:t>
      </w:r>
      <w:r>
        <w:rPr>
          <w:color w:val="231F1F"/>
          <w:spacing w:val="2"/>
          <w:w w:val="110"/>
        </w:rPr>
        <w:t>avoid </w:t>
      </w:r>
      <w:r>
        <w:rPr>
          <w:color w:val="231F1F"/>
          <w:w w:val="110"/>
        </w:rPr>
        <w:t>concomitant use; avoidance of ciprofloxacin advised by manufacturer of </w:t>
      </w:r>
      <w:r>
        <w:rPr>
          <w:rFonts w:ascii="Arial" w:hAnsi="Arial"/>
          <w:color w:val="231F1F"/>
          <w:w w:val="355"/>
          <w:position w:val="1"/>
          <w:sz w:val="7"/>
        </w:rPr>
        <w:t>l </w:t>
      </w:r>
      <w:r>
        <w:rPr>
          <w:rFonts w:ascii="Calibri" w:hAnsi="Calibri"/>
          <w:color w:val="008356"/>
          <w:spacing w:val="4"/>
          <w:w w:val="110"/>
          <w:sz w:val="11"/>
        </w:rPr>
        <w:t>AGOMELATINE</w:t>
      </w:r>
      <w:r>
        <w:rPr>
          <w:color w:val="231F1F"/>
          <w:spacing w:val="4"/>
          <w:w w:val="110"/>
        </w:rPr>
        <w:t>; </w:t>
      </w:r>
      <w:r>
        <w:rPr>
          <w:color w:val="231F1F"/>
          <w:w w:val="110"/>
        </w:rPr>
        <w:t>increased risk of ventricular arrhythmias when </w:t>
      </w:r>
      <w:r>
        <w:rPr>
          <w:color w:val="231F1F"/>
          <w:spacing w:val="-2"/>
          <w:w w:val="110"/>
        </w:rPr>
        <w:t>moxifloxacin </w:t>
      </w:r>
      <w:r>
        <w:rPr>
          <w:color w:val="231F1F"/>
          <w:w w:val="110"/>
        </w:rPr>
        <w:t>given with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0"/>
          <w:sz w:val="11"/>
        </w:rPr>
        <w:t>TRICYCLICS</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norfloxacin possibly enhances effects of</w:t>
      </w:r>
    </w:p>
    <w:p>
      <w:pPr>
        <w:spacing w:line="130" w:lineRule="exact" w:before="0"/>
        <w:ind w:left="208" w:right="0" w:firstLine="0"/>
        <w:jc w:val="left"/>
        <w:rPr>
          <w:rFonts w:ascii="Calibri"/>
          <w:sz w:val="11"/>
        </w:rPr>
      </w:pPr>
      <w:r>
        <w:rPr>
          <w:rFonts w:ascii="Calibri"/>
          <w:color w:val="008356"/>
          <w:sz w:val="11"/>
        </w:rPr>
        <w:t>GLIBENCLAMIDE</w:t>
      </w:r>
    </w:p>
    <w:p>
      <w:pPr>
        <w:spacing w:line="220" w:lineRule="auto" w:before="6"/>
        <w:ind w:left="208" w:right="4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ciprofloxacin increases or decreases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ind w:right="33" w:hanging="100"/>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Antihistamines:</w:t>
      </w:r>
      <w:r>
        <w:rPr>
          <w:rFonts w:ascii="Calibri" w:hAns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ventricular</w:t>
      </w:r>
      <w:r>
        <w:rPr>
          <w:color w:val="231F1F"/>
          <w:spacing w:val="-19"/>
          <w:w w:val="115"/>
        </w:rPr>
        <w:t> </w:t>
      </w:r>
      <w:r>
        <w:rPr>
          <w:color w:val="231F1F"/>
          <w:w w:val="115"/>
        </w:rPr>
        <w:t>arrhythmias</w:t>
      </w:r>
      <w:r>
        <w:rPr>
          <w:color w:val="231F1F"/>
          <w:spacing w:val="-19"/>
          <w:w w:val="115"/>
        </w:rPr>
        <w:t> </w:t>
      </w:r>
      <w:r>
        <w:rPr>
          <w:color w:val="231F1F"/>
          <w:spacing w:val="-4"/>
          <w:w w:val="115"/>
        </w:rPr>
        <w:t>when </w:t>
      </w:r>
      <w:r>
        <w:rPr>
          <w:color w:val="231F1F"/>
          <w:w w:val="115"/>
        </w:rPr>
        <w:t>moxifloxacin</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MIZOLASTINE</w:t>
      </w:r>
      <w:r>
        <w:rPr>
          <w:rFonts w:ascii="Arial" w:hAnsi="Arial"/>
          <w:color w:val="231F1F"/>
          <w:spacing w:val="3"/>
          <w:w w:val="115"/>
        </w:rPr>
        <w:t>—</w:t>
      </w:r>
      <w:r>
        <w:rPr>
          <w:color w:val="231F1F"/>
          <w:spacing w:val="3"/>
          <w:w w:val="115"/>
        </w:rPr>
        <w:t>avoid</w:t>
      </w:r>
      <w:r>
        <w:rPr>
          <w:color w:val="231F1F"/>
          <w:spacing w:val="-22"/>
          <w:w w:val="115"/>
        </w:rPr>
        <w:t> </w:t>
      </w:r>
      <w:r>
        <w:rPr>
          <w:color w:val="231F1F"/>
          <w:w w:val="115"/>
        </w:rPr>
        <w:t>concomitant use</w:t>
      </w:r>
    </w:p>
    <w:p>
      <w:pPr>
        <w:spacing w:line="244" w:lineRule="auto" w:before="2"/>
        <w:ind w:left="208" w:right="22"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avoidance of quinolones advised by manufacturer</w:t>
      </w:r>
      <w:r>
        <w:rPr>
          <w:color w:val="231F1F"/>
          <w:spacing w:val="-23"/>
          <w:w w:val="110"/>
          <w:sz w:val="12"/>
        </w:rPr>
        <w:t> </w:t>
      </w:r>
      <w:r>
        <w:rPr>
          <w:color w:val="231F1F"/>
          <w:w w:val="110"/>
          <w:sz w:val="12"/>
        </w:rPr>
        <w:t>of</w:t>
      </w:r>
      <w:r>
        <w:rPr>
          <w:color w:val="231F1F"/>
          <w:spacing w:val="-22"/>
          <w:w w:val="110"/>
          <w:sz w:val="12"/>
        </w:rPr>
        <w:t> </w:t>
      </w:r>
      <w:r>
        <w:rPr>
          <w:rFonts w:ascii="Arial"/>
          <w:color w:val="231F1F"/>
          <w:w w:val="335"/>
          <w:position w:val="1"/>
          <w:sz w:val="7"/>
        </w:rPr>
        <w:t>l</w:t>
      </w:r>
      <w:r>
        <w:rPr>
          <w:rFonts w:ascii="Arial"/>
          <w:color w:val="231F1F"/>
          <w:spacing w:val="-56"/>
          <w:w w:val="335"/>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avoidance of</w:t>
      </w:r>
      <w:r>
        <w:rPr>
          <w:color w:val="231F1F"/>
          <w:spacing w:val="-10"/>
          <w:w w:val="110"/>
          <w:sz w:val="12"/>
        </w:rPr>
        <w:t> </w:t>
      </w:r>
      <w:r>
        <w:rPr>
          <w:color w:val="231F1F"/>
          <w:w w:val="110"/>
          <w:sz w:val="12"/>
        </w:rPr>
        <w:t>moxifloxacin</w:t>
      </w:r>
      <w:r>
        <w:rPr>
          <w:color w:val="231F1F"/>
          <w:spacing w:val="-9"/>
          <w:w w:val="110"/>
          <w:sz w:val="12"/>
        </w:rPr>
        <w:t> </w:t>
      </w:r>
      <w:r>
        <w:rPr>
          <w:color w:val="231F1F"/>
          <w:w w:val="110"/>
          <w:sz w:val="12"/>
        </w:rPr>
        <w:t>advised</w:t>
      </w:r>
      <w:r>
        <w:rPr>
          <w:color w:val="231F1F"/>
          <w:spacing w:val="-10"/>
          <w:w w:val="110"/>
          <w:sz w:val="12"/>
        </w:rPr>
        <w:t> </w:t>
      </w:r>
      <w:r>
        <w:rPr>
          <w:color w:val="231F1F"/>
          <w:w w:val="110"/>
          <w:sz w:val="12"/>
        </w:rPr>
        <w:t>by</w:t>
      </w:r>
      <w:r>
        <w:rPr>
          <w:color w:val="231F1F"/>
          <w:spacing w:val="-9"/>
          <w:w w:val="110"/>
          <w:sz w:val="12"/>
        </w:rPr>
        <w:t> </w:t>
      </w:r>
      <w:r>
        <w:rPr>
          <w:color w:val="231F1F"/>
          <w:w w:val="110"/>
          <w:sz w:val="12"/>
        </w:rPr>
        <w:t>manufacturer</w:t>
      </w:r>
      <w:r>
        <w:rPr>
          <w:color w:val="231F1F"/>
          <w:spacing w:val="-10"/>
          <w:w w:val="110"/>
          <w:sz w:val="12"/>
        </w:rPr>
        <w:t> </w:t>
      </w:r>
      <w:r>
        <w:rPr>
          <w:color w:val="231F1F"/>
          <w:w w:val="110"/>
          <w:sz w:val="12"/>
        </w:rPr>
        <w:t>of</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ARTENIMOL</w:t>
      </w:r>
      <w:r>
        <w:rPr>
          <w:rFonts w:ascii="Calibri"/>
          <w:color w:val="008356"/>
          <w:spacing w:val="-7"/>
          <w:w w:val="110"/>
          <w:sz w:val="11"/>
        </w:rPr>
        <w:t> </w:t>
      </w:r>
      <w:r>
        <w:rPr>
          <w:rFonts w:ascii="Calibri"/>
          <w:color w:val="008356"/>
          <w:spacing w:val="5"/>
          <w:w w:val="110"/>
          <w:sz w:val="11"/>
        </w:rPr>
        <w:t>WITH </w:t>
      </w:r>
      <w:r>
        <w:rPr>
          <w:rFonts w:ascii="Calibri"/>
          <w:color w:val="008356"/>
          <w:spacing w:val="4"/>
          <w:w w:val="110"/>
          <w:sz w:val="11"/>
        </w:rPr>
        <w:t>PIPERAQUINE </w:t>
      </w:r>
      <w:r>
        <w:rPr>
          <w:color w:val="231F1F"/>
          <w:w w:val="110"/>
          <w:sz w:val="12"/>
        </w:rPr>
        <w:t>(possible risk of ventricular arrhythmias); increased risk of ventricular arrhythmias when moxifloxacin given</w:t>
      </w:r>
      <w:r>
        <w:rPr>
          <w:color w:val="231F1F"/>
          <w:spacing w:val="-11"/>
          <w:w w:val="110"/>
          <w:sz w:val="12"/>
        </w:rPr>
        <w:t> </w:t>
      </w:r>
      <w:r>
        <w:rPr>
          <w:color w:val="231F1F"/>
          <w:w w:val="110"/>
          <w:sz w:val="12"/>
        </w:rPr>
        <w:t>with</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CHLOROQUINE</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HYDROXYCHLOROQUINE</w:t>
      </w:r>
      <w:r>
        <w:rPr>
          <w:color w:val="231F1F"/>
          <w:spacing w:val="4"/>
          <w:w w:val="110"/>
          <w:sz w:val="12"/>
        </w:rPr>
        <w:t>,</w:t>
      </w:r>
    </w:p>
    <w:p>
      <w:pPr>
        <w:spacing w:line="136" w:lineRule="exact" w:before="0"/>
        <w:ind w:left="208" w:right="0" w:firstLine="0"/>
        <w:jc w:val="left"/>
        <w:rPr>
          <w:sz w:val="12"/>
        </w:rPr>
      </w:pPr>
      <w:r>
        <w:rPr>
          <w:rFonts w:ascii="Arial" w:hAnsi="Arial"/>
          <w:color w:val="231F1F"/>
          <w:w w:val="110"/>
          <w:position w:val="1"/>
          <w:sz w:val="7"/>
        </w:rPr>
        <w:t>l </w:t>
      </w:r>
      <w:r>
        <w:rPr>
          <w:rFonts w:ascii="Calibri" w:hAnsi="Calibri"/>
          <w:color w:val="008356"/>
          <w:spacing w:val="4"/>
          <w:w w:val="110"/>
          <w:sz w:val="11"/>
        </w:rPr>
        <w:t>MEFLOQUINE </w:t>
      </w:r>
      <w:r>
        <w:rPr>
          <w:color w:val="231F1F"/>
          <w:w w:val="110"/>
          <w:sz w:val="12"/>
        </w:rPr>
        <w:t>or </w:t>
      </w:r>
      <w:r>
        <w:rPr>
          <w:rFonts w:ascii="Arial" w:hAnsi="Arial"/>
          <w:color w:val="231F1F"/>
          <w:w w:val="110"/>
          <w:position w:val="1"/>
          <w:sz w:val="7"/>
        </w:rPr>
        <w:t>l </w:t>
      </w:r>
      <w:r>
        <w:rPr>
          <w:rFonts w:ascii="Calibri" w:hAnsi="Calibri"/>
          <w:color w:val="008356"/>
          <w:spacing w:val="2"/>
          <w:w w:val="110"/>
          <w:sz w:val="11"/>
        </w:rPr>
        <w:t>QUININE</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7"/>
          <w:w w:val="110"/>
          <w:sz w:val="12"/>
        </w:rPr>
        <w:t> </w:t>
      </w:r>
      <w:r>
        <w:rPr>
          <w:color w:val="231F1F"/>
          <w:w w:val="110"/>
          <w:sz w:val="12"/>
        </w:rPr>
        <w:t>use</w:t>
      </w:r>
    </w:p>
    <w:p>
      <w:pPr>
        <w:pStyle w:val="BodyText"/>
        <w:spacing w:line="242" w:lineRule="auto"/>
        <w:ind w:right="58" w:hanging="100"/>
      </w:pP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231F1F"/>
          <w:w w:val="115"/>
        </w:rPr>
        <w:t>Antipsychotics:</w:t>
      </w:r>
      <w:r>
        <w:rPr>
          <w:rFonts w:ascii="Calibri" w:hAnsi="Calibri"/>
          <w:color w:val="231F1F"/>
          <w:spacing w:val="-9"/>
          <w:w w:val="115"/>
        </w:rPr>
        <w:t> </w:t>
      </w:r>
      <w:r>
        <w:rPr>
          <w:color w:val="231F1F"/>
          <w:w w:val="115"/>
        </w:rPr>
        <w:t>increased</w:t>
      </w:r>
      <w:r>
        <w:rPr>
          <w:color w:val="231F1F"/>
          <w:spacing w:val="-14"/>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ventricular</w:t>
      </w:r>
      <w:r>
        <w:rPr>
          <w:color w:val="231F1F"/>
          <w:spacing w:val="-13"/>
          <w:w w:val="115"/>
        </w:rPr>
        <w:t> </w:t>
      </w:r>
      <w:r>
        <w:rPr>
          <w:color w:val="231F1F"/>
          <w:w w:val="115"/>
        </w:rPr>
        <w:t>arrhythmias</w:t>
      </w:r>
      <w:r>
        <w:rPr>
          <w:color w:val="231F1F"/>
          <w:spacing w:val="-14"/>
          <w:w w:val="115"/>
        </w:rPr>
        <w:t> </w:t>
      </w:r>
      <w:r>
        <w:rPr>
          <w:color w:val="231F1F"/>
          <w:spacing w:val="-4"/>
          <w:w w:val="115"/>
        </w:rPr>
        <w:t>when </w:t>
      </w:r>
      <w:r>
        <w:rPr>
          <w:color w:val="231F1F"/>
          <w:w w:val="120"/>
        </w:rPr>
        <w:t>moxifloxacin</w:t>
      </w:r>
      <w:r>
        <w:rPr>
          <w:color w:val="231F1F"/>
          <w:spacing w:val="-26"/>
          <w:w w:val="120"/>
        </w:rPr>
        <w:t> </w:t>
      </w:r>
      <w:r>
        <w:rPr>
          <w:color w:val="231F1F"/>
          <w:w w:val="120"/>
        </w:rPr>
        <w:t>given</w:t>
      </w:r>
      <w:r>
        <w:rPr>
          <w:color w:val="231F1F"/>
          <w:spacing w:val="-25"/>
          <w:w w:val="120"/>
        </w:rPr>
        <w:t> </w:t>
      </w:r>
      <w:r>
        <w:rPr>
          <w:color w:val="231F1F"/>
          <w:w w:val="120"/>
        </w:rPr>
        <w:t>with</w:t>
      </w:r>
      <w:r>
        <w:rPr>
          <w:color w:val="231F1F"/>
          <w:spacing w:val="-24"/>
          <w:w w:val="120"/>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20"/>
          <w:sz w:val="11"/>
        </w:rPr>
        <w:t>BENPERIDOL</w:t>
      </w:r>
      <w:r>
        <w:rPr>
          <w:rFonts w:ascii="Arial" w:hAnsi="Arial"/>
          <w:color w:val="231F1F"/>
          <w:spacing w:val="2"/>
          <w:w w:val="120"/>
        </w:rPr>
        <w:t>—</w:t>
      </w:r>
      <w:r>
        <w:rPr>
          <w:color w:val="231F1F"/>
          <w:spacing w:val="2"/>
          <w:w w:val="120"/>
        </w:rPr>
        <w:t>manufacturer</w:t>
      </w:r>
      <w:r>
        <w:rPr>
          <w:color w:val="231F1F"/>
          <w:spacing w:val="-24"/>
          <w:w w:val="120"/>
        </w:rPr>
        <w:t> </w:t>
      </w:r>
      <w:r>
        <w:rPr>
          <w:color w:val="231F1F"/>
          <w:w w:val="120"/>
        </w:rPr>
        <w:t>of benperidol</w:t>
      </w:r>
      <w:r>
        <w:rPr>
          <w:color w:val="231F1F"/>
          <w:spacing w:val="-23"/>
          <w:w w:val="120"/>
        </w:rPr>
        <w:t> </w:t>
      </w:r>
      <w:r>
        <w:rPr>
          <w:color w:val="231F1F"/>
          <w:w w:val="120"/>
        </w:rPr>
        <w:t>advises</w:t>
      </w:r>
      <w:r>
        <w:rPr>
          <w:color w:val="231F1F"/>
          <w:spacing w:val="-22"/>
          <w:w w:val="120"/>
        </w:rPr>
        <w:t> </w:t>
      </w:r>
      <w:r>
        <w:rPr>
          <w:color w:val="231F1F"/>
          <w:w w:val="120"/>
        </w:rPr>
        <w:t>avoid</w:t>
      </w:r>
      <w:r>
        <w:rPr>
          <w:color w:val="231F1F"/>
          <w:spacing w:val="-22"/>
          <w:w w:val="120"/>
        </w:rPr>
        <w:t> </w:t>
      </w:r>
      <w:r>
        <w:rPr>
          <w:color w:val="231F1F"/>
          <w:w w:val="120"/>
        </w:rPr>
        <w:t>concomitant</w:t>
      </w:r>
      <w:r>
        <w:rPr>
          <w:color w:val="231F1F"/>
          <w:spacing w:val="-23"/>
          <w:w w:val="120"/>
        </w:rPr>
        <w:t> </w:t>
      </w:r>
      <w:r>
        <w:rPr>
          <w:color w:val="231F1F"/>
          <w:w w:val="120"/>
        </w:rPr>
        <w:t>use;</w:t>
      </w:r>
      <w:r>
        <w:rPr>
          <w:color w:val="231F1F"/>
          <w:spacing w:val="-21"/>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 ventricular</w:t>
      </w:r>
      <w:r>
        <w:rPr>
          <w:color w:val="231F1F"/>
          <w:spacing w:val="-15"/>
          <w:w w:val="120"/>
        </w:rPr>
        <w:t> </w:t>
      </w:r>
      <w:r>
        <w:rPr>
          <w:color w:val="231F1F"/>
          <w:w w:val="120"/>
        </w:rPr>
        <w:t>arrhythmias</w:t>
      </w:r>
      <w:r>
        <w:rPr>
          <w:color w:val="231F1F"/>
          <w:spacing w:val="-16"/>
          <w:w w:val="120"/>
        </w:rPr>
        <w:t> </w:t>
      </w:r>
      <w:r>
        <w:rPr>
          <w:color w:val="231F1F"/>
          <w:w w:val="120"/>
        </w:rPr>
        <w:t>when</w:t>
      </w:r>
      <w:r>
        <w:rPr>
          <w:color w:val="231F1F"/>
          <w:spacing w:val="-15"/>
          <w:w w:val="120"/>
        </w:rPr>
        <w:t> </w:t>
      </w:r>
      <w:r>
        <w:rPr>
          <w:color w:val="231F1F"/>
          <w:w w:val="120"/>
        </w:rPr>
        <w:t>moxifloxacin</w:t>
      </w:r>
      <w:r>
        <w:rPr>
          <w:color w:val="231F1F"/>
          <w:spacing w:val="-16"/>
          <w:w w:val="120"/>
        </w:rPr>
        <w:t> </w:t>
      </w:r>
      <w:r>
        <w:rPr>
          <w:color w:val="231F1F"/>
          <w:w w:val="120"/>
        </w:rPr>
        <w:t>given</w:t>
      </w:r>
      <w:r>
        <w:rPr>
          <w:color w:val="231F1F"/>
          <w:spacing w:val="-15"/>
          <w:w w:val="120"/>
        </w:rPr>
        <w:t> </w:t>
      </w:r>
      <w:r>
        <w:rPr>
          <w:color w:val="231F1F"/>
          <w:w w:val="120"/>
        </w:rPr>
        <w:t>with</w:t>
      </w:r>
    </w:p>
    <w:p>
      <w:pPr>
        <w:spacing w:before="4"/>
        <w:ind w:left="208" w:right="0" w:firstLine="0"/>
        <w:jc w:val="left"/>
        <w:rPr>
          <w:rFonts w:ascii="Calibri"/>
          <w:sz w:val="11"/>
        </w:rPr>
      </w:pPr>
      <w:r>
        <w:rPr>
          <w:rFonts w:ascii="Arial"/>
          <w:color w:val="231F1F"/>
          <w:w w:val="115"/>
          <w:position w:val="1"/>
          <w:sz w:val="7"/>
        </w:rPr>
        <w:t>l </w:t>
      </w:r>
      <w:r>
        <w:rPr>
          <w:rFonts w:ascii="Calibri"/>
          <w:color w:val="008356"/>
          <w:w w:val="115"/>
          <w:sz w:val="11"/>
        </w:rPr>
        <w:t>DROPERIDOL</w:t>
      </w:r>
      <w:r>
        <w:rPr>
          <w:color w:val="231F1F"/>
          <w:w w:val="115"/>
          <w:sz w:val="12"/>
        </w:rPr>
        <w:t>, </w:t>
      </w:r>
      <w:r>
        <w:rPr>
          <w:rFonts w:ascii="Arial"/>
          <w:color w:val="231F1F"/>
          <w:w w:val="115"/>
          <w:position w:val="1"/>
          <w:sz w:val="7"/>
        </w:rPr>
        <w:t>l </w:t>
      </w:r>
      <w:r>
        <w:rPr>
          <w:rFonts w:ascii="Calibri"/>
          <w:color w:val="008356"/>
          <w:w w:val="115"/>
          <w:sz w:val="11"/>
        </w:rPr>
        <w:t>HALOPERIDOL</w:t>
      </w:r>
      <w:r>
        <w:rPr>
          <w:color w:val="231F1F"/>
          <w:w w:val="115"/>
          <w:sz w:val="12"/>
        </w:rPr>
        <w:t>, </w:t>
      </w:r>
      <w:r>
        <w:rPr>
          <w:rFonts w:ascii="Arial"/>
          <w:color w:val="231F1F"/>
          <w:w w:val="115"/>
          <w:position w:val="1"/>
          <w:sz w:val="7"/>
        </w:rPr>
        <w:t>l </w:t>
      </w:r>
      <w:r>
        <w:rPr>
          <w:rFonts w:ascii="Calibri"/>
          <w:color w:val="008356"/>
          <w:w w:val="115"/>
          <w:sz w:val="11"/>
        </w:rPr>
        <w:t>PHENOTHIAZINES</w:t>
      </w:r>
      <w:r>
        <w:rPr>
          <w:color w:val="231F1F"/>
          <w:w w:val="115"/>
          <w:sz w:val="12"/>
        </w:rPr>
        <w:t>, </w:t>
      </w:r>
      <w:r>
        <w:rPr>
          <w:rFonts w:ascii="Arial"/>
          <w:color w:val="231F1F"/>
          <w:w w:val="115"/>
          <w:position w:val="1"/>
          <w:sz w:val="7"/>
        </w:rPr>
        <w:t>l </w:t>
      </w:r>
      <w:r>
        <w:rPr>
          <w:rFonts w:ascii="Calibri"/>
          <w:color w:val="008356"/>
          <w:w w:val="115"/>
          <w:sz w:val="11"/>
        </w:rPr>
        <w:t>PIMOZIDE</w:t>
      </w:r>
    </w:p>
    <w:p>
      <w:pPr>
        <w:spacing w:line="242" w:lineRule="auto" w:before="2"/>
        <w:ind w:left="208" w:right="153" w:firstLine="0"/>
        <w:jc w:val="both"/>
        <w:rPr>
          <w:rFonts w:ascii="Calibri" w:hAnsi="Calibri"/>
          <w:sz w:val="11"/>
        </w:rPr>
      </w:pPr>
      <w:r>
        <w:rPr>
          <w:color w:val="231F1F"/>
          <w:w w:val="110"/>
          <w:sz w:val="12"/>
        </w:rPr>
        <w:t>or</w:t>
      </w:r>
      <w:r>
        <w:rPr>
          <w:color w:val="231F1F"/>
          <w:spacing w:val="-10"/>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ZUCLOPENTHIXOL</w:t>
      </w:r>
      <w:r>
        <w:rPr>
          <w:rFonts w:ascii="Arial" w:hAnsi="Arial"/>
          <w:color w:val="231F1F"/>
          <w:spacing w:val="3"/>
          <w:w w:val="110"/>
          <w:sz w:val="12"/>
        </w:rPr>
        <w:t>—</w:t>
      </w:r>
      <w:r>
        <w:rPr>
          <w:color w:val="231F1F"/>
          <w:spacing w:val="3"/>
          <w:w w:val="110"/>
          <w:sz w:val="12"/>
        </w:rPr>
        <w:t>avoid</w:t>
      </w:r>
      <w:r>
        <w:rPr>
          <w:color w:val="231F1F"/>
          <w:spacing w:val="-9"/>
          <w:w w:val="110"/>
          <w:sz w:val="12"/>
        </w:rPr>
        <w:t> </w:t>
      </w:r>
      <w:r>
        <w:rPr>
          <w:color w:val="231F1F"/>
          <w:w w:val="110"/>
          <w:sz w:val="12"/>
        </w:rPr>
        <w:t>concomitant</w:t>
      </w:r>
      <w:r>
        <w:rPr>
          <w:color w:val="231F1F"/>
          <w:spacing w:val="-11"/>
          <w:w w:val="110"/>
          <w:sz w:val="12"/>
        </w:rPr>
        <w:t> </w:t>
      </w:r>
      <w:r>
        <w:rPr>
          <w:color w:val="231F1F"/>
          <w:w w:val="110"/>
          <w:sz w:val="12"/>
        </w:rPr>
        <w:t>use;</w:t>
      </w:r>
      <w:r>
        <w:rPr>
          <w:color w:val="231F1F"/>
          <w:spacing w:val="-9"/>
          <w:w w:val="110"/>
          <w:sz w:val="12"/>
        </w:rPr>
        <w:t> </w:t>
      </w:r>
      <w:r>
        <w:rPr>
          <w:color w:val="231F1F"/>
          <w:w w:val="110"/>
          <w:sz w:val="12"/>
        </w:rPr>
        <w:t>ciprofloxacin increases plasma concentration of </w:t>
      </w:r>
      <w:r>
        <w:rPr>
          <w:rFonts w:ascii="Calibri" w:hAnsi="Calibri"/>
          <w:color w:val="008356"/>
          <w:spacing w:val="4"/>
          <w:w w:val="110"/>
          <w:sz w:val="11"/>
        </w:rPr>
        <w:t>CLOZAPINE</w:t>
      </w:r>
      <w:r>
        <w:rPr>
          <w:color w:val="231F1F"/>
          <w:spacing w:val="4"/>
          <w:w w:val="110"/>
          <w:sz w:val="12"/>
        </w:rPr>
        <w:t>; </w:t>
      </w:r>
      <w:r>
        <w:rPr>
          <w:color w:val="231F1F"/>
          <w:w w:val="110"/>
          <w:sz w:val="12"/>
        </w:rPr>
        <w:t>ciprofloxacin possibly increases plasma concentration of</w:t>
      </w:r>
      <w:r>
        <w:rPr>
          <w:color w:val="231F1F"/>
          <w:spacing w:val="-5"/>
          <w:w w:val="110"/>
          <w:sz w:val="12"/>
        </w:rPr>
        <w:t> </w:t>
      </w:r>
      <w:r>
        <w:rPr>
          <w:rFonts w:ascii="Calibri" w:hAnsi="Calibri"/>
          <w:color w:val="008356"/>
          <w:spacing w:val="5"/>
          <w:w w:val="110"/>
          <w:sz w:val="11"/>
        </w:rPr>
        <w:t>OLANZAPINE</w:t>
      </w:r>
    </w:p>
    <w:p>
      <w:pPr>
        <w:pStyle w:val="BodyText"/>
        <w:spacing w:line="244" w:lineRule="auto"/>
        <w:ind w:right="40" w:hanging="100"/>
      </w:pPr>
      <w:r>
        <w:rPr>
          <w:rFonts w:ascii="Arial" w:hAnsi="Arial"/>
          <w:color w:val="231F1F"/>
          <w:w w:val="355"/>
          <w:position w:val="1"/>
          <w:sz w:val="7"/>
        </w:rPr>
        <w:t>l </w:t>
      </w:r>
      <w:r>
        <w:rPr>
          <w:rFonts w:ascii="Calibri" w:hAnsi="Calibri"/>
          <w:color w:val="231F1F"/>
          <w:w w:val="110"/>
        </w:rPr>
        <w:t>Antivirals: </w:t>
      </w:r>
      <w:r>
        <w:rPr>
          <w:color w:val="231F1F"/>
          <w:w w:val="110"/>
        </w:rPr>
        <w:t>manufacturer of norfloxacin advises give </w:t>
      </w:r>
      <w:r>
        <w:rPr>
          <w:rFonts w:ascii="Calibri" w:hAnsi="Calibri"/>
          <w:color w:val="008356"/>
          <w:spacing w:val="4"/>
          <w:w w:val="110"/>
          <w:sz w:val="11"/>
        </w:rPr>
        <w:t>DIDANOSINE </w:t>
      </w:r>
      <w:r>
        <w:rPr>
          <w:color w:val="231F1F"/>
          <w:w w:val="130"/>
        </w:rPr>
        <w:t>at </w:t>
      </w:r>
      <w:r>
        <w:rPr>
          <w:color w:val="231F1F"/>
          <w:w w:val="110"/>
        </w:rPr>
        <w:t>least 2 hours before or after norfloxacin; increased risk of ventricular arrhythmias when </w:t>
      </w:r>
      <w:r>
        <w:rPr>
          <w:color w:val="231F1F"/>
          <w:spacing w:val="-2"/>
          <w:w w:val="110"/>
        </w:rPr>
        <w:t>moxifloxacin </w:t>
      </w:r>
      <w:r>
        <w:rPr>
          <w:color w:val="231F1F"/>
          <w:w w:val="110"/>
        </w:rPr>
        <w:t>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20" w:lineRule="auto"/>
        <w:ind w:right="169"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avoidance of ciprofloxacin advised by manufacturer of </w:t>
      </w:r>
      <w:r>
        <w:rPr>
          <w:rFonts w:ascii="Calibri" w:hAnsi="Calibri"/>
          <w:color w:val="008356"/>
          <w:w w:val="105"/>
          <w:sz w:val="11"/>
        </w:rPr>
        <w:t>ZOLPIDEM</w:t>
      </w:r>
    </w:p>
    <w:p>
      <w:pPr>
        <w:pStyle w:val="BodyText"/>
        <w:ind w:right="132" w:hanging="100"/>
        <w:rPr>
          <w:rFonts w:ascii="Calibri"/>
          <w:sz w:val="11"/>
        </w:rPr>
      </w:pPr>
      <w:r>
        <w:rPr>
          <w:rFonts w:ascii="Arial"/>
          <w:color w:val="231F1F"/>
          <w:w w:val="355"/>
          <w:position w:val="1"/>
          <w:sz w:val="7"/>
        </w:rPr>
        <w:t>l </w:t>
      </w:r>
      <w:r>
        <w:rPr>
          <w:rFonts w:ascii="Calibri"/>
          <w:color w:val="231F1F"/>
          <w:w w:val="110"/>
        </w:rPr>
        <w:t>Atomoxetine: </w:t>
      </w:r>
      <w:r>
        <w:rPr>
          <w:color w:val="231F1F"/>
          <w:w w:val="110"/>
        </w:rPr>
        <w:t>increased risk of ventricular arrhythmias </w:t>
      </w:r>
      <w:r>
        <w:rPr>
          <w:color w:val="231F1F"/>
          <w:spacing w:val="-4"/>
          <w:w w:val="110"/>
        </w:rPr>
        <w:t>when </w:t>
      </w:r>
      <w:r>
        <w:rPr>
          <w:color w:val="231F1F"/>
          <w:w w:val="110"/>
        </w:rPr>
        <w:t>moxifloxacin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ATOMOXETINE</w:t>
      </w:r>
    </w:p>
    <w:p>
      <w:pPr>
        <w:pStyle w:val="BodyText"/>
        <w:spacing w:line="237" w:lineRule="auto"/>
        <w:ind w:right="101" w:hanging="100"/>
        <w:jc w:val="both"/>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Beta-blockers:</w:t>
      </w:r>
      <w:r>
        <w:rPr>
          <w:rFonts w:ascii="Calibri" w:hAnsi="Calibri"/>
          <w:color w:val="231F1F"/>
          <w:spacing w:val="-13"/>
          <w:w w:val="115"/>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moxifloxacin</w:t>
      </w:r>
      <w:r>
        <w:rPr>
          <w:color w:val="231F1F"/>
          <w:spacing w:val="-17"/>
          <w:w w:val="115"/>
        </w:rPr>
        <w:t> </w:t>
      </w:r>
      <w:r>
        <w:rPr>
          <w:color w:val="231F1F"/>
          <w:w w:val="115"/>
        </w:rPr>
        <w:t>given</w:t>
      </w:r>
      <w:r>
        <w:rPr>
          <w:color w:val="231F1F"/>
          <w:spacing w:val="-16"/>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SOTALOL</w:t>
      </w:r>
      <w:r>
        <w:rPr>
          <w:rFonts w:ascii="Arial" w:hAnsi="Arial"/>
          <w:color w:val="231F1F"/>
          <w:w w:val="115"/>
        </w:rPr>
        <w:t>—</w:t>
      </w:r>
      <w:r>
        <w:rPr>
          <w:color w:val="231F1F"/>
          <w:w w:val="115"/>
        </w:rPr>
        <w:t>avoid</w:t>
      </w:r>
      <w:r>
        <w:rPr>
          <w:color w:val="231F1F"/>
          <w:spacing w:val="-16"/>
          <w:w w:val="115"/>
        </w:rPr>
        <w:t> </w:t>
      </w:r>
      <w:r>
        <w:rPr>
          <w:color w:val="231F1F"/>
          <w:w w:val="115"/>
        </w:rPr>
        <w:t>concomitant</w:t>
      </w:r>
      <w:r>
        <w:rPr>
          <w:color w:val="231F1F"/>
          <w:spacing w:val="-16"/>
          <w:w w:val="115"/>
        </w:rPr>
        <w:t> </w:t>
      </w:r>
      <w:r>
        <w:rPr>
          <w:color w:val="231F1F"/>
          <w:w w:val="115"/>
        </w:rPr>
        <w:t>use</w:t>
      </w:r>
    </w:p>
    <w:p>
      <w:pPr>
        <w:spacing w:line="230" w:lineRule="auto" w:before="0"/>
        <w:ind w:left="208" w:right="92"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ciprofloxacin reduced by </w:t>
      </w:r>
      <w:r>
        <w:rPr>
          <w:rFonts w:ascii="Calibri" w:hAnsi="Calibri"/>
          <w:color w:val="008356"/>
          <w:w w:val="105"/>
          <w:sz w:val="11"/>
        </w:rPr>
        <w:t>CALCIUM SALTS</w:t>
      </w:r>
    </w:p>
    <w:p>
      <w:pPr>
        <w:pStyle w:val="BodyText"/>
        <w:ind w:right="83" w:hanging="100"/>
        <w:jc w:val="both"/>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nephrotoxicity when quinolones given with </w:t>
      </w:r>
      <w:r>
        <w:rPr>
          <w:rFonts w:ascii="Arial"/>
          <w:color w:val="231F1F"/>
          <w:w w:val="355"/>
          <w:position w:val="1"/>
          <w:sz w:val="7"/>
        </w:rPr>
        <w:t>l </w:t>
      </w:r>
      <w:r>
        <w:rPr>
          <w:rFonts w:ascii="Calibri"/>
          <w:color w:val="008356"/>
          <w:spacing w:val="4"/>
          <w:w w:val="110"/>
          <w:sz w:val="11"/>
        </w:rPr>
        <w:t>CICLOSPORIN</w:t>
      </w:r>
    </w:p>
    <w:p>
      <w:pPr>
        <w:pStyle w:val="BodyText"/>
        <w:ind w:right="113" w:hanging="100"/>
        <w:jc w:val="both"/>
        <w:rPr>
          <w:rFonts w:ascii="Calibri"/>
          <w:sz w:val="11"/>
        </w:rPr>
      </w:pPr>
      <w:r>
        <w:rPr>
          <w:rFonts w:ascii="Arial"/>
          <w:color w:val="231F1F"/>
          <w:w w:val="355"/>
          <w:position w:val="1"/>
          <w:sz w:val="7"/>
        </w:rPr>
        <w:t>l </w:t>
      </w:r>
      <w:r>
        <w:rPr>
          <w:rFonts w:ascii="Calibri"/>
          <w:color w:val="231F1F"/>
          <w:w w:val="110"/>
        </w:rPr>
        <w:t>Clopidogrel: </w:t>
      </w:r>
      <w:r>
        <w:rPr>
          <w:color w:val="231F1F"/>
          <w:w w:val="110"/>
        </w:rPr>
        <w:t>ciprofloxacin possibly reduces antiplatelet effect of </w:t>
      </w:r>
      <w:r>
        <w:rPr>
          <w:rFonts w:ascii="Arial"/>
          <w:color w:val="231F1F"/>
          <w:w w:val="355"/>
          <w:position w:val="1"/>
          <w:sz w:val="7"/>
        </w:rPr>
        <w:t>l </w:t>
      </w:r>
      <w:r>
        <w:rPr>
          <w:rFonts w:ascii="Calibri"/>
          <w:color w:val="008356"/>
          <w:w w:val="110"/>
          <w:sz w:val="11"/>
        </w:rPr>
        <w:t>CLOPIDOGREL</w:t>
      </w:r>
    </w:p>
    <w:p>
      <w:pPr>
        <w:pStyle w:val="BodyText"/>
        <w:spacing w:line="244" w:lineRule="auto"/>
        <w:ind w:right="7" w:hanging="100"/>
      </w:pPr>
      <w:r>
        <w:rPr>
          <w:rFonts w:ascii="Arial"/>
          <w:color w:val="231F1F"/>
          <w:w w:val="355"/>
          <w:position w:val="1"/>
          <w:sz w:val="7"/>
        </w:rPr>
        <w:t>l </w:t>
      </w:r>
      <w:r>
        <w:rPr>
          <w:rFonts w:ascii="Calibri"/>
          <w:color w:val="231F1F"/>
          <w:w w:val="110"/>
        </w:rPr>
        <w:t>Cytotoxics: </w:t>
      </w:r>
      <w:r>
        <w:rPr>
          <w:color w:val="231F1F"/>
          <w:w w:val="110"/>
        </w:rPr>
        <w:t>nalidixic acid increases risk of </w:t>
      </w:r>
      <w:r>
        <w:rPr>
          <w:rFonts w:ascii="Calibri"/>
          <w:color w:val="008356"/>
          <w:w w:val="110"/>
          <w:sz w:val="11"/>
        </w:rPr>
        <w:t>MELPHALAN </w:t>
      </w:r>
      <w:r>
        <w:rPr>
          <w:color w:val="231F1F"/>
          <w:w w:val="110"/>
        </w:rPr>
        <w:t>toxicity; ciprofloxacin possibly reduces excretion of </w:t>
      </w:r>
      <w:r>
        <w:rPr>
          <w:rFonts w:ascii="Calibri"/>
          <w:color w:val="008356"/>
          <w:w w:val="110"/>
          <w:sz w:val="11"/>
        </w:rPr>
        <w:t>METHOTREXATE </w:t>
      </w:r>
      <w:r>
        <w:rPr>
          <w:color w:val="231F1F"/>
          <w:w w:val="110"/>
        </w:rPr>
        <w:t>(increased risk of toxicity); possible increased risk of ventricular arrhythmias when moxifloxacin given with</w:t>
      </w:r>
    </w:p>
    <w:p>
      <w:pPr>
        <w:pStyle w:val="BodyText"/>
        <w:spacing w:line="244" w:lineRule="auto"/>
        <w:ind w:right="43"/>
      </w:pPr>
      <w:r>
        <w:rPr>
          <w:rFonts w:ascii="Arial" w:hAnsi="Arial"/>
          <w:color w:val="231F1F"/>
          <w:w w:val="355"/>
          <w:position w:val="1"/>
          <w:sz w:val="7"/>
        </w:rPr>
        <w:t>l </w:t>
      </w:r>
      <w:r>
        <w:rPr>
          <w:rFonts w:ascii="Calibri" w:hAnsi="Calibri"/>
          <w:color w:val="008356"/>
          <w:spacing w:val="4"/>
          <w:w w:val="115"/>
          <w:sz w:val="11"/>
        </w:rPr>
        <w:t>BOSUTINIB</w:t>
      </w:r>
      <w:r>
        <w:rPr>
          <w:color w:val="231F1F"/>
          <w:spacing w:val="4"/>
          <w:w w:val="115"/>
        </w:rPr>
        <w:t>; </w:t>
      </w:r>
      <w:r>
        <w:rPr>
          <w:color w:val="231F1F"/>
          <w:w w:val="115"/>
        </w:rPr>
        <w:t>ciprofloxacin possibly increases the plasma concentration of </w:t>
      </w:r>
      <w:r>
        <w:rPr>
          <w:rFonts w:ascii="Arial" w:hAnsi="Arial"/>
          <w:color w:val="231F1F"/>
          <w:w w:val="355"/>
          <w:position w:val="1"/>
          <w:sz w:val="7"/>
        </w:rPr>
        <w:t>l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ciprofloxacin increases plasma concentration of </w:t>
      </w:r>
      <w:r>
        <w:rPr>
          <w:rFonts w:ascii="Calibri" w:hAnsi="Calibri"/>
          <w:color w:val="008356"/>
          <w:spacing w:val="4"/>
          <w:w w:val="115"/>
          <w:sz w:val="11"/>
        </w:rPr>
        <w:t>ERLOTINIB</w:t>
      </w:r>
      <w:r>
        <w:rPr>
          <w:color w:val="231F1F"/>
          <w:spacing w:val="4"/>
          <w:w w:val="115"/>
        </w:rPr>
        <w:t>; </w:t>
      </w:r>
      <w:r>
        <w:rPr>
          <w:color w:val="231F1F"/>
          <w:w w:val="115"/>
        </w:rPr>
        <w:t>ciprofloxacin possibly increases the plasma concentration </w:t>
      </w:r>
      <w:r>
        <w:rPr>
          <w:color w:val="231F1F"/>
          <w:spacing w:val="-7"/>
          <w:w w:val="115"/>
        </w:rPr>
        <w:t>of </w:t>
      </w:r>
      <w:r>
        <w:rPr>
          <w:rFonts w:ascii="Arial" w:hAnsi="Arial"/>
          <w:color w:val="231F1F"/>
          <w:w w:val="355"/>
          <w:position w:val="1"/>
          <w:sz w:val="7"/>
        </w:rPr>
        <w:t>l </w:t>
      </w:r>
      <w:r>
        <w:rPr>
          <w:rFonts w:ascii="Calibri" w:hAnsi="Calibri"/>
          <w:color w:val="008356"/>
          <w:spacing w:val="2"/>
          <w:w w:val="115"/>
          <w:sz w:val="11"/>
        </w:rPr>
        <w:t>IBRUTINIB</w:t>
      </w:r>
      <w:r>
        <w:rPr>
          <w:rFonts w:ascii="Arial" w:hAnsi="Arial"/>
          <w:color w:val="231F1F"/>
          <w:spacing w:val="2"/>
          <w:w w:val="115"/>
        </w:rPr>
        <w:t>—</w:t>
      </w:r>
      <w:r>
        <w:rPr>
          <w:color w:val="231F1F"/>
          <w:spacing w:val="2"/>
          <w:w w:val="115"/>
        </w:rPr>
        <w:t>reduce </w:t>
      </w:r>
      <w:r>
        <w:rPr>
          <w:color w:val="231F1F"/>
          <w:w w:val="115"/>
        </w:rPr>
        <w:t>dose of ibrutinib (see under Ibrutinib,</w:t>
      </w:r>
    </w:p>
    <w:p>
      <w:pPr>
        <w:pStyle w:val="BodyText"/>
        <w:spacing w:line="249" w:lineRule="auto"/>
        <w:ind w:right="75"/>
        <w:rPr>
          <w:rFonts w:ascii="Calibri" w:hAnsi="Calibri"/>
          <w:sz w:val="11"/>
        </w:rPr>
      </w:pPr>
      <w:r>
        <w:rPr>
          <w:color w:val="231F1F"/>
          <w:w w:val="110"/>
        </w:rPr>
        <w:t>p. 809); possible increased risk of ventricular arrhythmias when moxifloxacin given with </w:t>
      </w:r>
      <w:r>
        <w:rPr>
          <w:rFonts w:ascii="Arial" w:hAnsi="Arial"/>
          <w:color w:val="231F1F"/>
          <w:w w:val="355"/>
          <w:position w:val="1"/>
          <w:sz w:val="7"/>
        </w:rPr>
        <w:t>l </w:t>
      </w:r>
      <w:r>
        <w:rPr>
          <w:rFonts w:ascii="Calibri" w:hAnsi="Calibri"/>
          <w:color w:val="008356"/>
          <w:w w:val="110"/>
          <w:sz w:val="11"/>
        </w:rPr>
        <w:t>VANDETANIB</w:t>
      </w:r>
      <w:r>
        <w:rPr>
          <w:rFonts w:ascii="Arial" w:hAnsi="Arial"/>
          <w:color w:val="231F1F"/>
          <w:w w:val="110"/>
        </w:rPr>
        <w:t>—</w:t>
      </w:r>
      <w:r>
        <w:rPr>
          <w:color w:val="231F1F"/>
          <w:w w:val="110"/>
        </w:rPr>
        <w:t>avoid concomitant use; increased risk of ventricular arrhythmias when levofloxacin or moxifloxacin given with </w:t>
      </w:r>
      <w:r>
        <w:rPr>
          <w:rFonts w:ascii="Arial" w:hAnsi="Arial"/>
          <w:color w:val="231F1F"/>
          <w:w w:val="355"/>
          <w:position w:val="1"/>
          <w:sz w:val="7"/>
        </w:rPr>
        <w:t>l </w:t>
      </w:r>
      <w:r>
        <w:rPr>
          <w:rFonts w:ascii="Calibri" w:hAnsi="Calibri"/>
          <w:color w:val="008356"/>
          <w:w w:val="110"/>
          <w:sz w:val="11"/>
        </w:rPr>
        <w:t>ARSENIC TRIOXIDE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Quinolones </w:t>
      </w:r>
      <w:r>
        <w:rPr>
          <w:rFonts w:ascii="Calibri"/>
          <w:color w:val="231F1F"/>
        </w:rPr>
        <w:t>(continued)</w:t>
      </w:r>
    </w:p>
    <w:p>
      <w:pPr>
        <w:pStyle w:val="BodyText"/>
        <w:spacing w:line="220" w:lineRule="auto" w:before="6"/>
        <w:ind w:right="670" w:hanging="100"/>
        <w:rPr>
          <w:rFonts w:ascii="Calibri" w:hAnsi="Calibri"/>
          <w:sz w:val="11"/>
        </w:rPr>
      </w:pPr>
      <w:r>
        <w:rPr/>
        <w:pict>
          <v:rect style="position:absolute;margin-left:398.891296pt;margin-top:-8.655787pt;width:20.522993pt;height:149.443pt;mso-position-horizontal-relative:page;mso-position-vertical-relative:paragraph;z-index:5824" filled="true" fillcolor="#bfdbcf" stroked="false">
            <v:fill type="solid"/>
            <w10:wrap type="none"/>
          </v:rect>
        </w:pict>
      </w:r>
      <w:r>
        <w:rPr/>
        <w:pict>
          <v:shape style="position:absolute;margin-left:399.725769pt;margin-top:-3.692398pt;width:10.4pt;height:78.850pt;mso-position-horizontal-relative:page;mso-position-vertical-relative:paragraph;z-index:584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Dairy Products: </w:t>
      </w:r>
      <w:r>
        <w:rPr>
          <w:color w:val="231F1F"/>
          <w:w w:val="105"/>
        </w:rPr>
        <w:t>absorption of ciprofloxacin and norfloxacin reduced by </w:t>
      </w:r>
      <w:r>
        <w:rPr>
          <w:rFonts w:ascii="Calibri" w:hAnsi="Calibri"/>
          <w:color w:val="008356"/>
          <w:w w:val="105"/>
          <w:sz w:val="11"/>
        </w:rPr>
        <w:t>DAIRY PRODUCTS</w:t>
      </w:r>
    </w:p>
    <w:p>
      <w:pPr>
        <w:pStyle w:val="BodyText"/>
        <w:spacing w:line="230" w:lineRule="auto" w:before="4"/>
        <w:ind w:right="762"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ciprofloxacin increases plasma </w:t>
      </w:r>
      <w:r>
        <w:rPr>
          <w:color w:val="231F1F"/>
          <w:spacing w:val="-2"/>
          <w:w w:val="110"/>
        </w:rPr>
        <w:t>concentration </w:t>
      </w:r>
      <w:r>
        <w:rPr>
          <w:color w:val="231F1F"/>
          <w:w w:val="110"/>
        </w:rPr>
        <w:t>of </w:t>
      </w:r>
      <w:r>
        <w:rPr>
          <w:rFonts w:ascii="Calibri" w:hAnsi="Calibri"/>
          <w:color w:val="008356"/>
          <w:spacing w:val="4"/>
          <w:w w:val="110"/>
          <w:sz w:val="11"/>
        </w:rPr>
        <w:t>RASAGILINE</w:t>
      </w:r>
      <w:r>
        <w:rPr>
          <w:color w:val="231F1F"/>
          <w:spacing w:val="4"/>
          <w:w w:val="110"/>
        </w:rPr>
        <w:t>; </w:t>
      </w:r>
      <w:r>
        <w:rPr>
          <w:color w:val="231F1F"/>
          <w:w w:val="110"/>
        </w:rPr>
        <w:t>ciprofloxacin inhibits metabolism of </w:t>
      </w:r>
      <w:r>
        <w:rPr>
          <w:rFonts w:ascii="Calibri" w:hAnsi="Calibri"/>
          <w:color w:val="008356"/>
          <w:spacing w:val="4"/>
          <w:w w:val="110"/>
          <w:sz w:val="11"/>
        </w:rPr>
        <w:t>ROPINIROLE </w:t>
      </w:r>
      <w:r>
        <w:rPr>
          <w:color w:val="231F1F"/>
          <w:w w:val="110"/>
        </w:rPr>
        <w:t>(increased plasma</w:t>
      </w:r>
      <w:r>
        <w:rPr>
          <w:color w:val="231F1F"/>
          <w:spacing w:val="3"/>
          <w:w w:val="110"/>
        </w:rPr>
        <w:t> </w:t>
      </w:r>
      <w:r>
        <w:rPr>
          <w:color w:val="231F1F"/>
          <w:w w:val="110"/>
        </w:rPr>
        <w:t>concentration)</w:t>
      </w:r>
    </w:p>
    <w:p>
      <w:pPr>
        <w:pStyle w:val="BodyText"/>
        <w:spacing w:line="220" w:lineRule="auto" w:before="9"/>
        <w:ind w:right="668" w:hanging="100"/>
      </w:pPr>
      <w:r>
        <w:rPr>
          <w:rFonts w:ascii="Lucida Sans Unicode" w:hAnsi="Lucida Sans Unicode"/>
          <w:color w:val="A7A8AC"/>
          <w:w w:val="95"/>
          <w:sz w:val="10"/>
        </w:rPr>
        <w:t>▶</w:t>
      </w:r>
      <w:r>
        <w:rPr>
          <w:rFonts w:ascii="Lucida Sans Unicode" w:hAnsi="Lucida Sans Unicode"/>
          <w:color w:val="A7A8AC"/>
          <w:spacing w:val="4"/>
          <w:w w:val="95"/>
          <w:sz w:val="10"/>
        </w:rPr>
        <w:t>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w:t>
      </w:r>
      <w:r>
        <w:rPr>
          <w:rFonts w:ascii="Calibri" w:hAnsi="Calibri"/>
          <w:color w:val="231F1F"/>
          <w:spacing w:val="-10"/>
          <w:w w:val="110"/>
          <w:vertAlign w:val="baseline"/>
        </w:rPr>
        <w:t> </w:t>
      </w:r>
      <w:r>
        <w:rPr>
          <w:rFonts w:ascii="Calibri" w:hAnsi="Calibri"/>
          <w:color w:val="231F1F"/>
          <w:w w:val="110"/>
          <w:vertAlign w:val="baseline"/>
        </w:rPr>
        <w:t>Agonists:</w:t>
      </w:r>
      <w:r>
        <w:rPr>
          <w:rFonts w:ascii="Calibri" w:hAnsi="Calibri"/>
          <w:color w:val="231F1F"/>
          <w:spacing w:val="-10"/>
          <w:w w:val="110"/>
          <w:vertAlign w:val="baseline"/>
        </w:rPr>
        <w:t> </w:t>
      </w:r>
      <w:r>
        <w:rPr>
          <w:color w:val="231F1F"/>
          <w:w w:val="110"/>
          <w:vertAlign w:val="baseline"/>
        </w:rPr>
        <w:t>quinolones</w:t>
      </w:r>
      <w:r>
        <w:rPr>
          <w:color w:val="231F1F"/>
          <w:spacing w:val="-14"/>
          <w:w w:val="110"/>
          <w:vertAlign w:val="baseline"/>
        </w:rPr>
        <w:t> </w:t>
      </w:r>
      <w:r>
        <w:rPr>
          <w:color w:val="231F1F"/>
          <w:w w:val="110"/>
          <w:vertAlign w:val="baseline"/>
        </w:rPr>
        <w:t>possibly</w:t>
      </w:r>
      <w:r>
        <w:rPr>
          <w:color w:val="231F1F"/>
          <w:spacing w:val="-13"/>
          <w:w w:val="110"/>
          <w:vertAlign w:val="baseline"/>
        </w:rPr>
        <w:t> </w:t>
      </w:r>
      <w:r>
        <w:rPr>
          <w:color w:val="231F1F"/>
          <w:w w:val="110"/>
          <w:vertAlign w:val="baseline"/>
        </w:rPr>
        <w:t>inhibit</w:t>
      </w:r>
      <w:r>
        <w:rPr>
          <w:color w:val="231F1F"/>
          <w:spacing w:val="-14"/>
          <w:w w:val="110"/>
          <w:vertAlign w:val="baseline"/>
        </w:rPr>
        <w:t> </w:t>
      </w:r>
      <w:r>
        <w:rPr>
          <w:color w:val="231F1F"/>
          <w:w w:val="110"/>
          <w:vertAlign w:val="baseline"/>
        </w:rPr>
        <w:t>metabolism of </w:t>
      </w:r>
      <w:r>
        <w:rPr>
          <w:rFonts w:ascii="Calibri" w:hAnsi="Calibri"/>
          <w:color w:val="008356"/>
          <w:spacing w:val="4"/>
          <w:w w:val="110"/>
          <w:sz w:val="11"/>
          <w:vertAlign w:val="baseline"/>
        </w:rPr>
        <w:t>ZOLMITRIPTAN </w:t>
      </w:r>
      <w:r>
        <w:rPr>
          <w:color w:val="231F1F"/>
          <w:w w:val="110"/>
          <w:vertAlign w:val="baseline"/>
        </w:rPr>
        <w:t>(reduce dose of</w:t>
      </w:r>
      <w:r>
        <w:rPr>
          <w:color w:val="231F1F"/>
          <w:spacing w:val="-6"/>
          <w:w w:val="110"/>
          <w:vertAlign w:val="baseline"/>
        </w:rPr>
        <w:t> </w:t>
      </w:r>
      <w:r>
        <w:rPr>
          <w:color w:val="231F1F"/>
          <w:w w:val="110"/>
          <w:vertAlign w:val="baseline"/>
        </w:rPr>
        <w:t>zolmitriptan)</w:t>
      </w:r>
    </w:p>
    <w:p>
      <w:pPr>
        <w:pStyle w:val="BodyText"/>
        <w:spacing w:line="235" w:lineRule="auto" w:before="1"/>
        <w:ind w:right="670" w:hanging="100"/>
      </w:pPr>
      <w:r>
        <w:rPr>
          <w:rFonts w:ascii="Lucida Sans Unicode" w:hAnsi="Lucida Sans Unicode"/>
          <w:color w:val="A7A8AC"/>
          <w:w w:val="95"/>
          <w:sz w:val="10"/>
        </w:rPr>
        <w:t>▶ </w:t>
      </w:r>
      <w:r>
        <w:rPr>
          <w:rFonts w:ascii="Calibri" w:hAnsi="Calibri"/>
          <w:color w:val="231F1F"/>
          <w:w w:val="110"/>
        </w:rPr>
        <w:t>Iron Salts: </w:t>
      </w:r>
      <w:r>
        <w:rPr>
          <w:color w:val="231F1F"/>
          <w:w w:val="110"/>
        </w:rPr>
        <w:t>absorption of ciprofloxacin, levofloxacin, moxifloxacin and ofloxacin reduced by </w:t>
      </w:r>
      <w:r>
        <w:rPr>
          <w:i/>
          <w:color w:val="231F1F"/>
          <w:w w:val="110"/>
        </w:rPr>
        <w:t>oral </w:t>
      </w:r>
      <w:r>
        <w:rPr>
          <w:rFonts w:ascii="Calibri" w:hAnsi="Calibri"/>
          <w:color w:val="008356"/>
          <w:w w:val="110"/>
          <w:sz w:val="11"/>
        </w:rPr>
        <w:t>IRON SALTS</w:t>
      </w:r>
      <w:r>
        <w:rPr>
          <w:color w:val="231F1F"/>
          <w:w w:val="110"/>
        </w:rPr>
        <w:t>; absorption of norfloxacin reduced by </w:t>
      </w:r>
      <w:r>
        <w:rPr>
          <w:i/>
          <w:color w:val="231F1F"/>
          <w:w w:val="110"/>
        </w:rPr>
        <w:t>oral </w:t>
      </w:r>
      <w:r>
        <w:rPr>
          <w:rFonts w:ascii="Calibri" w:hAnsi="Calibri"/>
          <w:color w:val="008356"/>
          <w:w w:val="110"/>
          <w:sz w:val="11"/>
        </w:rPr>
        <w:t>IRON SALTS </w:t>
      </w:r>
      <w:r>
        <w:rPr>
          <w:color w:val="231F1F"/>
          <w:w w:val="110"/>
        </w:rPr>
        <w:t>(give at least 2 hours apart)</w:t>
      </w:r>
    </w:p>
    <w:p>
      <w:pPr>
        <w:pStyle w:val="BodyText"/>
        <w:spacing w:line="230" w:lineRule="auto" w:before="7"/>
        <w:ind w:right="670" w:hanging="100"/>
      </w:pPr>
      <w:r>
        <w:rPr>
          <w:rFonts w:ascii="Lucida Sans Unicode" w:hAnsi="Lucida Sans Unicode"/>
          <w:color w:val="A7A8AC"/>
          <w:w w:val="95"/>
          <w:sz w:val="10"/>
        </w:rPr>
        <w:t>▶ </w:t>
      </w:r>
      <w:r>
        <w:rPr>
          <w:rFonts w:ascii="Calibri" w:hAnsi="Calibri"/>
          <w:color w:val="231F1F"/>
          <w:w w:val="105"/>
        </w:rPr>
        <w:t>Lanthanum: </w:t>
      </w:r>
      <w:r>
        <w:rPr>
          <w:color w:val="231F1F"/>
          <w:w w:val="105"/>
        </w:rPr>
        <w:t>absorption of quinolones possibly reduced by </w:t>
      </w:r>
      <w:r>
        <w:rPr>
          <w:rFonts w:ascii="Calibri" w:hAnsi="Calibri"/>
          <w:color w:val="008356"/>
          <w:w w:val="105"/>
          <w:sz w:val="11"/>
        </w:rPr>
        <w:t>LANTHANUM </w:t>
      </w:r>
      <w:r>
        <w:rPr>
          <w:color w:val="231F1F"/>
          <w:w w:val="105"/>
        </w:rPr>
        <w:t>(give at least 2 hours before or 4 hours after lanthanum)</w:t>
      </w:r>
    </w:p>
    <w:p>
      <w:pPr>
        <w:pStyle w:val="BodyText"/>
        <w:spacing w:line="242" w:lineRule="auto" w:before="4"/>
        <w:ind w:right="670" w:hanging="100"/>
      </w:pPr>
      <w:r>
        <w:rPr>
          <w:rFonts w:ascii="Arial" w:hAnsi="Arial"/>
          <w:color w:val="231F1F"/>
          <w:w w:val="355"/>
          <w:position w:val="1"/>
          <w:sz w:val="7"/>
        </w:rPr>
        <w:t>l </w:t>
      </w:r>
      <w:r>
        <w:rPr>
          <w:rFonts w:ascii="Calibri" w:hAnsi="Calibri"/>
          <w:color w:val="231F1F"/>
          <w:w w:val="110"/>
        </w:rPr>
        <w:t>Muscle Relaxants: </w:t>
      </w:r>
      <w:r>
        <w:rPr>
          <w:color w:val="231F1F"/>
          <w:w w:val="110"/>
        </w:rPr>
        <w:t>ciprofloxacin increases plasma concentration of </w:t>
      </w:r>
      <w:r>
        <w:rPr>
          <w:rFonts w:ascii="Arial" w:hAnsi="Arial"/>
          <w:color w:val="231F1F"/>
          <w:w w:val="355"/>
          <w:position w:val="1"/>
          <w:sz w:val="7"/>
        </w:rPr>
        <w:t>l </w:t>
      </w:r>
      <w:r>
        <w:rPr>
          <w:rFonts w:ascii="Calibri" w:hAnsi="Calibri"/>
          <w:color w:val="008356"/>
          <w:w w:val="110"/>
          <w:sz w:val="11"/>
        </w:rPr>
        <w:t>TIZANIDINE </w:t>
      </w:r>
      <w:r>
        <w:rPr>
          <w:color w:val="231F1F"/>
          <w:w w:val="110"/>
        </w:rPr>
        <w:t>(increased risk of toxicity)</w:t>
      </w:r>
      <w:r>
        <w:rPr>
          <w:rFonts w:ascii="Arial" w:hAnsi="Arial"/>
          <w:color w:val="231F1F"/>
          <w:w w:val="110"/>
        </w:rPr>
        <w:t>— </w:t>
      </w:r>
      <w:r>
        <w:rPr>
          <w:color w:val="231F1F"/>
          <w:w w:val="110"/>
        </w:rPr>
        <w:t>avoid concomitant use; norfloxacin possibly increases plasma concentration of </w:t>
      </w:r>
      <w:r>
        <w:rPr>
          <w:rFonts w:ascii="Calibri" w:hAnsi="Calibri"/>
          <w:color w:val="008356"/>
          <w:w w:val="110"/>
          <w:sz w:val="11"/>
        </w:rPr>
        <w:t>TIZANIDINE </w:t>
      </w:r>
      <w:r>
        <w:rPr>
          <w:color w:val="231F1F"/>
          <w:w w:val="110"/>
        </w:rPr>
        <w:t>(increased risk of toxicity)</w:t>
      </w:r>
    </w:p>
    <w:p>
      <w:pPr>
        <w:pStyle w:val="BodyText"/>
        <w:spacing w:line="154" w:lineRule="exact"/>
        <w:ind w:left="108"/>
      </w:pPr>
      <w:r>
        <w:rPr>
          <w:rFonts w:ascii="Lucida Sans Unicode" w:hAnsi="Lucida Sans Unicode"/>
          <w:color w:val="A7A8AC"/>
          <w:w w:val="95"/>
          <w:sz w:val="10"/>
        </w:rPr>
        <w:t>▶ </w:t>
      </w:r>
      <w:r>
        <w:rPr>
          <w:rFonts w:ascii="Calibri" w:hAnsi="Calibri"/>
          <w:color w:val="231F1F"/>
        </w:rPr>
        <w:t>Mycophenolate: </w:t>
      </w:r>
      <w:r>
        <w:rPr>
          <w:color w:val="231F1F"/>
        </w:rPr>
        <w:t>norfloxacin possibly reduces bioavailability of</w:t>
      </w:r>
    </w:p>
    <w:p>
      <w:pPr>
        <w:spacing w:line="130" w:lineRule="exact" w:before="0"/>
        <w:ind w:left="208" w:right="0" w:firstLine="0"/>
        <w:jc w:val="left"/>
        <w:rPr>
          <w:rFonts w:ascii="Calibri"/>
          <w:sz w:val="11"/>
        </w:rPr>
      </w:pPr>
      <w:r>
        <w:rPr>
          <w:rFonts w:ascii="Calibri"/>
          <w:color w:val="008356"/>
          <w:sz w:val="11"/>
        </w:rPr>
        <w:t>MYCOPHENOLATE</w:t>
      </w:r>
    </w:p>
    <w:p>
      <w:pPr>
        <w:pStyle w:val="BodyText"/>
        <w:ind w:right="886" w:hanging="100"/>
      </w:pPr>
      <w:r>
        <w:rPr>
          <w:rFonts w:ascii="Arial" w:hAnsi="Arial"/>
          <w:color w:val="231F1F"/>
          <w:w w:val="355"/>
          <w:position w:val="1"/>
          <w:sz w:val="7"/>
        </w:rPr>
        <w:t>l </w:t>
      </w:r>
      <w:r>
        <w:rPr>
          <w:rFonts w:ascii="Calibri" w:hAnsi="Calibri"/>
          <w:color w:val="231F1F"/>
          <w:w w:val="115"/>
        </w:rPr>
        <w:t>Pentamidine Isetionate: </w:t>
      </w:r>
      <w:r>
        <w:rPr>
          <w:color w:val="231F1F"/>
          <w:w w:val="115"/>
        </w:rPr>
        <w:t>increased risk of ventricular arrhythmias</w:t>
      </w:r>
      <w:r>
        <w:rPr>
          <w:color w:val="231F1F"/>
          <w:spacing w:val="-25"/>
          <w:w w:val="115"/>
        </w:rPr>
        <w:t> </w:t>
      </w:r>
      <w:r>
        <w:rPr>
          <w:color w:val="231F1F"/>
          <w:w w:val="115"/>
        </w:rPr>
        <w:t>when</w:t>
      </w:r>
      <w:r>
        <w:rPr>
          <w:color w:val="231F1F"/>
          <w:spacing w:val="-24"/>
          <w:w w:val="115"/>
        </w:rPr>
        <w:t> </w:t>
      </w:r>
      <w:r>
        <w:rPr>
          <w:color w:val="231F1F"/>
          <w:w w:val="115"/>
        </w:rPr>
        <w:t>moxifloxacin</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80"/>
          <w:position w:val="1"/>
          <w:sz w:val="7"/>
        </w:rPr>
        <w:t>l</w:t>
      </w:r>
      <w:r>
        <w:rPr>
          <w:rFonts w:ascii="Arial" w:hAnsi="Arial"/>
          <w:color w:val="231F1F"/>
          <w:spacing w:val="-45"/>
          <w:w w:val="280"/>
          <w:position w:val="1"/>
          <w:sz w:val="7"/>
        </w:rPr>
        <w:t> </w:t>
      </w:r>
      <w:r>
        <w:rPr>
          <w:rFonts w:ascii="Calibri" w:hAnsi="Calibri"/>
          <w:color w:val="008356"/>
          <w:spacing w:val="3"/>
          <w:w w:val="115"/>
          <w:sz w:val="11"/>
        </w:rPr>
        <w:t>PENTAMIDINE </w:t>
      </w:r>
      <w:r>
        <w:rPr>
          <w:rFonts w:ascii="Calibri" w:hAnsi="Calibri"/>
          <w:color w:val="008356"/>
          <w:spacing w:val="2"/>
          <w:w w:val="115"/>
          <w:sz w:val="11"/>
        </w:rPr>
        <w:t>ISETIONATE</w:t>
      </w:r>
      <w:r>
        <w:rPr>
          <w:rFonts w:ascii="Arial" w:hAnsi="Arial"/>
          <w:color w:val="231F1F"/>
          <w:spacing w:val="2"/>
          <w:w w:val="115"/>
        </w:rPr>
        <w:t>—</w:t>
      </w:r>
      <w:r>
        <w:rPr>
          <w:color w:val="231F1F"/>
          <w:spacing w:val="2"/>
          <w:w w:val="115"/>
        </w:rPr>
        <w:t>avoid </w:t>
      </w:r>
      <w:r>
        <w:rPr>
          <w:color w:val="231F1F"/>
          <w:w w:val="115"/>
        </w:rPr>
        <w:t>concomitant</w:t>
      </w:r>
      <w:r>
        <w:rPr>
          <w:color w:val="231F1F"/>
          <w:spacing w:val="-16"/>
          <w:w w:val="115"/>
        </w:rPr>
        <w:t> </w:t>
      </w:r>
      <w:r>
        <w:rPr>
          <w:color w:val="231F1F"/>
          <w:w w:val="115"/>
        </w:rPr>
        <w:t>use</w:t>
      </w:r>
    </w:p>
    <w:p>
      <w:pPr>
        <w:pStyle w:val="BodyText"/>
        <w:spacing w:line="145" w:lineRule="exact"/>
        <w:ind w:left="108"/>
      </w:pPr>
      <w:r>
        <w:rPr>
          <w:rFonts w:ascii="Arial"/>
          <w:color w:val="231F1F"/>
          <w:w w:val="355"/>
          <w:position w:val="1"/>
          <w:sz w:val="7"/>
        </w:rPr>
        <w:t>l </w:t>
      </w:r>
      <w:r>
        <w:rPr>
          <w:rFonts w:ascii="Calibri"/>
          <w:color w:val="231F1F"/>
          <w:w w:val="115"/>
        </w:rPr>
        <w:t>Pirfenidone: </w:t>
      </w:r>
      <w:r>
        <w:rPr>
          <w:color w:val="231F1F"/>
          <w:w w:val="115"/>
        </w:rPr>
        <w:t>ciprofloxacin increases plasma concentration of</w:t>
      </w:r>
    </w:p>
    <w:p>
      <w:pPr>
        <w:spacing w:line="140"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PIRFENIDONE</w:t>
      </w:r>
      <w:r>
        <w:rPr>
          <w:rFonts w:ascii="Arial" w:hAnsi="Arial"/>
          <w:color w:val="231F1F"/>
          <w:w w:val="115"/>
          <w:sz w:val="12"/>
        </w:rPr>
        <w:t>—</w:t>
      </w:r>
      <w:r>
        <w:rPr>
          <w:color w:val="231F1F"/>
          <w:w w:val="115"/>
          <w:sz w:val="12"/>
        </w:rPr>
        <w:t>see under Pirfenidone, p. 260</w:t>
      </w:r>
    </w:p>
    <w:p>
      <w:pPr>
        <w:pStyle w:val="BodyText"/>
        <w:spacing w:line="154" w:lineRule="exact"/>
        <w:ind w:left="108"/>
      </w:pPr>
      <w:r>
        <w:rPr>
          <w:rFonts w:ascii="Lucida Sans Unicode" w:hAnsi="Lucida Sans Unicode"/>
          <w:color w:val="A7A8AC"/>
          <w:w w:val="95"/>
          <w:sz w:val="10"/>
        </w:rPr>
        <w:t>▶ </w:t>
      </w:r>
      <w:r>
        <w:rPr>
          <w:rFonts w:ascii="Calibri" w:hAnsi="Calibri"/>
          <w:color w:val="231F1F"/>
        </w:rPr>
        <w:t>Sevelamer: </w:t>
      </w:r>
      <w:r>
        <w:rPr>
          <w:color w:val="231F1F"/>
        </w:rPr>
        <w:t>bioavailability of ciprofloxacin reduced by</w:t>
      </w:r>
    </w:p>
    <w:p>
      <w:pPr>
        <w:spacing w:line="131" w:lineRule="exact" w:before="0"/>
        <w:ind w:left="208" w:right="0" w:firstLine="0"/>
        <w:jc w:val="left"/>
        <w:rPr>
          <w:rFonts w:ascii="Calibri"/>
          <w:sz w:val="11"/>
        </w:rPr>
      </w:pPr>
      <w:r>
        <w:rPr>
          <w:rFonts w:ascii="Calibri"/>
          <w:color w:val="008356"/>
          <w:sz w:val="11"/>
        </w:rPr>
        <w:t>SEVELAMER</w:t>
      </w:r>
    </w:p>
    <w:p>
      <w:pPr>
        <w:pStyle w:val="BodyText"/>
        <w:spacing w:line="230" w:lineRule="auto" w:before="2"/>
        <w:ind w:right="670" w:hanging="100"/>
      </w:pPr>
      <w:r>
        <w:rPr>
          <w:rFonts w:ascii="Lucida Sans Unicode" w:hAnsi="Lucida Sans Unicode"/>
          <w:color w:val="A7A8AC"/>
          <w:w w:val="95"/>
          <w:sz w:val="10"/>
        </w:rPr>
        <w:t>▶ </w:t>
      </w:r>
      <w:r>
        <w:rPr>
          <w:rFonts w:ascii="Calibri" w:hAnsi="Calibri"/>
          <w:color w:val="231F1F"/>
          <w:w w:val="110"/>
        </w:rPr>
        <w:t>Strontium Ranelate: </w:t>
      </w:r>
      <w:r>
        <w:rPr>
          <w:color w:val="231F1F"/>
          <w:w w:val="110"/>
        </w:rPr>
        <w:t>absorption of quinolones reduced by </w:t>
      </w:r>
      <w:r>
        <w:rPr>
          <w:rFonts w:ascii="Calibri" w:hAnsi="Calibri"/>
          <w:color w:val="008356"/>
          <w:w w:val="110"/>
          <w:sz w:val="11"/>
        </w:rPr>
        <w:t>STRONTIUM RANELATE </w:t>
      </w:r>
      <w:r>
        <w:rPr>
          <w:color w:val="231F1F"/>
          <w:w w:val="110"/>
        </w:rPr>
        <w:t>(manufacturer of strontium ranelate advises avoid concomitant use)</w:t>
      </w:r>
    </w:p>
    <w:p>
      <w:pPr>
        <w:pStyle w:val="BodyText"/>
        <w:spacing w:before="3"/>
        <w:ind w:right="670" w:hanging="100"/>
        <w:rPr>
          <w:rFonts w:ascii="Calibri"/>
          <w:sz w:val="11"/>
        </w:rPr>
      </w:pPr>
      <w:r>
        <w:rPr>
          <w:rFonts w:ascii="Arial"/>
          <w:color w:val="231F1F"/>
          <w:w w:val="355"/>
          <w:position w:val="1"/>
          <w:sz w:val="7"/>
        </w:rPr>
        <w:t>l </w:t>
      </w:r>
      <w:r>
        <w:rPr>
          <w:rFonts w:ascii="Calibri"/>
          <w:color w:val="231F1F"/>
          <w:w w:val="110"/>
        </w:rPr>
        <w:t>Theophylline: </w:t>
      </w:r>
      <w:r>
        <w:rPr>
          <w:color w:val="231F1F"/>
          <w:w w:val="110"/>
        </w:rPr>
        <w:t>possible increased risk of convulsions when quinolones given with </w:t>
      </w:r>
      <w:r>
        <w:rPr>
          <w:rFonts w:ascii="Arial"/>
          <w:color w:val="231F1F"/>
          <w:w w:val="355"/>
          <w:position w:val="1"/>
          <w:sz w:val="7"/>
        </w:rPr>
        <w:t>l </w:t>
      </w:r>
      <w:r>
        <w:rPr>
          <w:rFonts w:ascii="Calibri"/>
          <w:color w:val="008356"/>
          <w:w w:val="110"/>
          <w:sz w:val="11"/>
        </w:rPr>
        <w:t>THEOPHYLLINE</w:t>
      </w:r>
      <w:r>
        <w:rPr>
          <w:color w:val="231F1F"/>
          <w:w w:val="110"/>
        </w:rPr>
        <w:t>; ciprofloxacin and norfloxacin increase plasma concentration of </w:t>
      </w:r>
      <w:r>
        <w:rPr>
          <w:rFonts w:ascii="Arial"/>
          <w:color w:val="231F1F"/>
          <w:w w:val="355"/>
          <w:position w:val="1"/>
          <w:sz w:val="7"/>
        </w:rPr>
        <w:t>l </w:t>
      </w:r>
      <w:r>
        <w:rPr>
          <w:rFonts w:ascii="Calibri"/>
          <w:color w:val="008356"/>
          <w:w w:val="110"/>
          <w:sz w:val="11"/>
        </w:rPr>
        <w:t>THEOPHYLLINE</w:t>
      </w:r>
    </w:p>
    <w:p>
      <w:pPr>
        <w:pStyle w:val="BodyText"/>
        <w:spacing w:line="235" w:lineRule="auto"/>
        <w:ind w:right="696" w:hanging="100"/>
      </w:pPr>
      <w:r>
        <w:rPr>
          <w:rFonts w:ascii="Lucida Sans Unicode" w:hAnsi="Lucida Sans Unicode"/>
          <w:color w:val="A7A8AC"/>
          <w:w w:val="95"/>
          <w:sz w:val="10"/>
        </w:rPr>
        <w:t>▶ </w:t>
      </w:r>
      <w:r>
        <w:rPr>
          <w:rFonts w:ascii="Calibri" w:hAnsi="Calibri"/>
          <w:color w:val="231F1F"/>
          <w:w w:val="110"/>
        </w:rPr>
        <w:t>Ulcer-healing Drugs: </w:t>
      </w:r>
      <w:r>
        <w:rPr>
          <w:color w:val="231F1F"/>
          <w:w w:val="110"/>
        </w:rPr>
        <w:t>absorption of ciprofloxacin, levofloxacin, moxifloxacin and ofloxacin reduced by </w:t>
      </w:r>
      <w:r>
        <w:rPr>
          <w:rFonts w:ascii="Calibri" w:hAnsi="Calibri"/>
          <w:color w:val="008356"/>
          <w:w w:val="110"/>
          <w:sz w:val="11"/>
        </w:rPr>
        <w:t>SUCRALFATE</w:t>
      </w:r>
      <w:r>
        <w:rPr>
          <w:color w:val="231F1F"/>
          <w:w w:val="110"/>
        </w:rPr>
        <w:t>; absorption of norfloxacin reduced by </w:t>
      </w:r>
      <w:r>
        <w:rPr>
          <w:rFonts w:ascii="Calibri" w:hAnsi="Calibri"/>
          <w:color w:val="008356"/>
          <w:w w:val="110"/>
          <w:sz w:val="11"/>
        </w:rPr>
        <w:t>SUCRALFATE </w:t>
      </w:r>
      <w:r>
        <w:rPr>
          <w:color w:val="231F1F"/>
          <w:w w:val="110"/>
        </w:rPr>
        <w:t>(give at least 2 hours apart)</w:t>
      </w:r>
    </w:p>
    <w:p>
      <w:pPr>
        <w:spacing w:line="220" w:lineRule="auto" w:before="11"/>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30" w:lineRule="auto" w:before="8"/>
        <w:ind w:right="670" w:hanging="100"/>
      </w:pPr>
      <w:r>
        <w:rPr>
          <w:rFonts w:ascii="Lucida Sans Unicode" w:hAnsi="Lucida Sans Unicode"/>
          <w:color w:val="A7A8AC"/>
          <w:w w:val="95"/>
          <w:sz w:val="10"/>
        </w:rPr>
        <w:t>▶ </w:t>
      </w:r>
      <w:r>
        <w:rPr>
          <w:rFonts w:ascii="Calibri" w:hAnsi="Calibri"/>
          <w:color w:val="231F1F"/>
          <w:w w:val="110"/>
        </w:rPr>
        <w:t>Zinc: </w:t>
      </w:r>
      <w:r>
        <w:rPr>
          <w:color w:val="231F1F"/>
          <w:w w:val="110"/>
        </w:rPr>
        <w:t>absorption of ciprofloxacin, levofloxacin, moxifloxacin and ofloxacin reduced by </w:t>
      </w:r>
      <w:r>
        <w:rPr>
          <w:rFonts w:ascii="Calibri" w:hAnsi="Calibri"/>
          <w:color w:val="008356"/>
          <w:w w:val="110"/>
          <w:sz w:val="11"/>
        </w:rPr>
        <w:t>ZINC</w:t>
      </w:r>
      <w:r>
        <w:rPr>
          <w:color w:val="231F1F"/>
          <w:w w:val="110"/>
        </w:rPr>
        <w:t>; absorption of norfloxacin reduced by </w:t>
      </w:r>
      <w:r>
        <w:rPr>
          <w:rFonts w:ascii="Calibri" w:hAnsi="Calibri"/>
          <w:color w:val="008356"/>
          <w:w w:val="110"/>
          <w:sz w:val="11"/>
        </w:rPr>
        <w:t>ZINC </w:t>
      </w:r>
      <w:r>
        <w:rPr>
          <w:color w:val="231F1F"/>
          <w:w w:val="110"/>
        </w:rPr>
        <w:t>(give at least 2 hours apart)</w:t>
      </w:r>
    </w:p>
    <w:p>
      <w:pPr>
        <w:pStyle w:val="BodyText"/>
        <w:spacing w:before="9"/>
        <w:ind w:left="108"/>
      </w:pPr>
      <w:r>
        <w:rPr>
          <w:rFonts w:ascii="Trebuchet MS"/>
          <w:color w:val="008356"/>
          <w:w w:val="110"/>
        </w:rPr>
        <w:t>Rabeprazole </w:t>
      </w:r>
      <w:r>
        <w:rPr>
          <w:i/>
          <w:color w:val="231F1F"/>
          <w:w w:val="110"/>
        </w:rPr>
        <w:t>see </w:t>
      </w:r>
      <w:r>
        <w:rPr>
          <w:color w:val="231F1F"/>
          <w:w w:val="110"/>
        </w:rPr>
        <w:t>Proton Pump Inhibitors</w:t>
      </w:r>
    </w:p>
    <w:p>
      <w:pPr>
        <w:pStyle w:val="BodyText"/>
        <w:spacing w:before="11"/>
        <w:ind w:left="108"/>
      </w:pPr>
      <w:r>
        <w:rPr>
          <w:rFonts w:ascii="Trebuchet MS"/>
          <w:color w:val="008356"/>
        </w:rPr>
        <w:t>Rabies Vaccine </w:t>
      </w:r>
      <w:r>
        <w:rPr>
          <w:i/>
          <w:color w:val="231F1F"/>
        </w:rPr>
        <w:t>see </w:t>
      </w:r>
      <w:r>
        <w:rPr>
          <w:color w:val="231F1F"/>
        </w:rPr>
        <w:t>Vaccines</w:t>
      </w:r>
    </w:p>
    <w:p>
      <w:pPr>
        <w:pStyle w:val="BodyText"/>
        <w:spacing w:before="9"/>
        <w:ind w:left="108"/>
        <w:rPr>
          <w:rFonts w:ascii="Trebuchet MS"/>
        </w:rPr>
      </w:pPr>
      <w:r>
        <w:rPr>
          <w:rFonts w:ascii="Trebuchet MS"/>
          <w:color w:val="008356"/>
        </w:rPr>
        <w:t>Raloxifene</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05"/>
        </w:rPr>
        <w:t>Anticoagulants: </w:t>
      </w:r>
      <w:r>
        <w:rPr>
          <w:color w:val="231F1F"/>
          <w:w w:val="105"/>
        </w:rPr>
        <w:t>raloxifene antagonises anticoagulant effect of</w:t>
      </w:r>
    </w:p>
    <w:p>
      <w:pPr>
        <w:spacing w:line="130" w:lineRule="exact" w:before="0"/>
        <w:ind w:left="208" w:right="0" w:firstLine="0"/>
        <w:jc w:val="left"/>
        <w:rPr>
          <w:rFonts w:ascii="Calibri"/>
          <w:sz w:val="11"/>
        </w:rPr>
      </w:pPr>
      <w:r>
        <w:rPr>
          <w:rFonts w:ascii="Calibri"/>
          <w:color w:val="008356"/>
          <w:sz w:val="11"/>
        </w:rPr>
        <w:t>COUMARINS</w:t>
      </w:r>
    </w:p>
    <w:p>
      <w:pPr>
        <w:pStyle w:val="BodyText"/>
        <w:spacing w:line="232" w:lineRule="auto" w:before="1"/>
        <w:ind w:right="912" w:hanging="100"/>
        <w:jc w:val="both"/>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raloxifene reduced</w:t>
      </w:r>
      <w:r>
        <w:rPr>
          <w:color w:val="231F1F"/>
          <w:spacing w:val="-23"/>
          <w:w w:val="110"/>
        </w:rPr>
        <w:t> </w:t>
      </w:r>
      <w:r>
        <w:rPr>
          <w:color w:val="231F1F"/>
          <w:spacing w:val="-7"/>
          <w:w w:val="110"/>
        </w:rPr>
        <w:t>by </w:t>
      </w:r>
      <w:r>
        <w:rPr>
          <w:rFonts w:ascii="Calibri" w:hAnsi="Calibri"/>
          <w:color w:val="008356"/>
          <w:spacing w:val="4"/>
          <w:w w:val="110"/>
          <w:sz w:val="11"/>
        </w:rPr>
        <w:t>COLESTYRAMINE </w:t>
      </w:r>
      <w:r>
        <w:rPr>
          <w:color w:val="231F1F"/>
          <w:w w:val="110"/>
        </w:rPr>
        <w:t>(manufacturer</w:t>
      </w:r>
      <w:r>
        <w:rPr>
          <w:color w:val="231F1F"/>
          <w:spacing w:val="-7"/>
          <w:w w:val="110"/>
        </w:rPr>
        <w:t> </w:t>
      </w:r>
      <w:r>
        <w:rPr>
          <w:color w:val="231F1F"/>
          <w:w w:val="110"/>
        </w:rPr>
        <w:t>of</w:t>
      </w:r>
      <w:r>
        <w:rPr>
          <w:color w:val="231F1F"/>
          <w:spacing w:val="-6"/>
          <w:w w:val="110"/>
        </w:rPr>
        <w:t> </w:t>
      </w:r>
      <w:r>
        <w:rPr>
          <w:color w:val="231F1F"/>
          <w:w w:val="110"/>
        </w:rPr>
        <w:t>raloxifene</w:t>
      </w:r>
      <w:r>
        <w:rPr>
          <w:color w:val="231F1F"/>
          <w:spacing w:val="-6"/>
          <w:w w:val="110"/>
        </w:rPr>
        <w:t> </w:t>
      </w:r>
      <w:r>
        <w:rPr>
          <w:color w:val="231F1F"/>
          <w:w w:val="110"/>
        </w:rPr>
        <w:t>advises</w:t>
      </w:r>
      <w:r>
        <w:rPr>
          <w:color w:val="231F1F"/>
          <w:spacing w:val="-7"/>
          <w:w w:val="110"/>
        </w:rPr>
        <w:t> </w:t>
      </w:r>
      <w:r>
        <w:rPr>
          <w:color w:val="231F1F"/>
          <w:w w:val="110"/>
        </w:rPr>
        <w:t>avoid concomitant</w:t>
      </w:r>
      <w:r>
        <w:rPr>
          <w:color w:val="231F1F"/>
          <w:spacing w:val="-2"/>
          <w:w w:val="110"/>
        </w:rPr>
        <w:t> </w:t>
      </w:r>
      <w:r>
        <w:rPr>
          <w:color w:val="231F1F"/>
          <w:w w:val="110"/>
        </w:rPr>
        <w:t>administration)</w:t>
      </w:r>
    </w:p>
    <w:p>
      <w:pPr>
        <w:pStyle w:val="BodyText"/>
        <w:spacing w:before="10"/>
        <w:ind w:left="108"/>
        <w:rPr>
          <w:rFonts w:ascii="Trebuchet MS"/>
        </w:rPr>
      </w:pPr>
      <w:r>
        <w:rPr>
          <w:rFonts w:ascii="Trebuchet MS"/>
          <w:color w:val="008356"/>
        </w:rPr>
        <w:t>Raltegravir</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Antacids: </w:t>
      </w:r>
      <w:r>
        <w:rPr>
          <w:color w:val="231F1F"/>
          <w:w w:val="105"/>
        </w:rPr>
        <w:t>plasma concentration of raltegravir reduced by</w:t>
      </w:r>
    </w:p>
    <w:p>
      <w:pPr>
        <w:spacing w:line="136" w:lineRule="exact" w:before="0"/>
        <w:ind w:left="208" w:right="0" w:firstLine="0"/>
        <w:jc w:val="left"/>
        <w:rPr>
          <w:rFonts w:ascii="Arial" w:hAnsi="Arial"/>
          <w:sz w:val="12"/>
        </w:rPr>
      </w:pPr>
      <w:r>
        <w:rPr>
          <w:rFonts w:ascii="Calibri" w:hAnsi="Calibri"/>
          <w:color w:val="008356"/>
          <w:sz w:val="11"/>
        </w:rPr>
        <w:t>ALUMINIUM HYDROXIDE </w:t>
      </w:r>
      <w:r>
        <w:rPr>
          <w:color w:val="231F1F"/>
          <w:sz w:val="12"/>
        </w:rPr>
        <w:t>and </w:t>
      </w:r>
      <w:r>
        <w:rPr>
          <w:rFonts w:ascii="Calibri" w:hAnsi="Calibri"/>
          <w:color w:val="008356"/>
          <w:sz w:val="11"/>
        </w:rPr>
        <w:t>ORAL MAGNESIUM SALTS</w:t>
      </w:r>
      <w:r>
        <w:rPr>
          <w:rFonts w:ascii="Arial" w:hAnsi="Arial"/>
          <w:color w:val="231F1F"/>
          <w:sz w:val="12"/>
        </w:rPr>
        <w:t>—</w:t>
      </w:r>
    </w:p>
    <w:p>
      <w:pPr>
        <w:pStyle w:val="BodyText"/>
        <w:spacing w:before="1"/>
      </w:pPr>
      <w:r>
        <w:rPr>
          <w:color w:val="231F1F"/>
          <w:w w:val="115"/>
        </w:rPr>
        <w:t>manufacturer of raltegravir advises avoid concomitant use</w:t>
      </w:r>
    </w:p>
    <w:p>
      <w:pPr>
        <w:pStyle w:val="BodyText"/>
        <w:spacing w:line="146" w:lineRule="exact" w:before="2"/>
        <w:ind w:left="108"/>
      </w:pPr>
      <w:r>
        <w:rPr>
          <w:rFonts w:ascii="Arial"/>
          <w:color w:val="231F1F"/>
          <w:w w:val="355"/>
          <w:position w:val="1"/>
          <w:sz w:val="7"/>
        </w:rPr>
        <w:t>l </w:t>
      </w:r>
      <w:r>
        <w:rPr>
          <w:rFonts w:ascii="Calibri"/>
          <w:color w:val="231F1F"/>
          <w:w w:val="115"/>
        </w:rPr>
        <w:t>Antibacterials: </w:t>
      </w:r>
      <w:r>
        <w:rPr>
          <w:color w:val="231F1F"/>
          <w:w w:val="115"/>
        </w:rPr>
        <w:t>plasma concentration of raltegravir reduced by</w:t>
      </w:r>
    </w:p>
    <w:p>
      <w:pPr>
        <w:spacing w:line="140" w:lineRule="exact" w:before="0"/>
        <w:ind w:left="208" w:right="0" w:firstLine="0"/>
        <w:jc w:val="left"/>
        <w:rPr>
          <w:sz w:val="12"/>
        </w:rPr>
      </w:pPr>
      <w:r>
        <w:rPr>
          <w:rFonts w:ascii="Arial" w:hAnsi="Arial"/>
          <w:color w:val="231F1F"/>
          <w:w w:val="355"/>
          <w:position w:val="1"/>
          <w:sz w:val="7"/>
        </w:rPr>
        <w:t>l </w:t>
      </w:r>
      <w:r>
        <w:rPr>
          <w:rFonts w:ascii="Calibri" w:hAnsi="Calibri"/>
          <w:color w:val="008356"/>
          <w:w w:val="115"/>
          <w:sz w:val="11"/>
        </w:rPr>
        <w:t>RIFAMPICIN</w:t>
      </w:r>
      <w:r>
        <w:rPr>
          <w:rFonts w:ascii="Arial" w:hAnsi="Arial"/>
          <w:color w:val="231F1F"/>
          <w:w w:val="115"/>
          <w:sz w:val="12"/>
        </w:rPr>
        <w:t>—</w:t>
      </w:r>
      <w:r>
        <w:rPr>
          <w:color w:val="231F1F"/>
          <w:w w:val="115"/>
          <w:sz w:val="12"/>
        </w:rPr>
        <w:t>consider increasing dose of raltegravir</w:t>
      </w:r>
    </w:p>
    <w:p>
      <w:pPr>
        <w:pStyle w:val="BodyText"/>
        <w:ind w:right="670" w:hanging="100"/>
        <w:rPr>
          <w:rFonts w:ascii="Calibri"/>
          <w:sz w:val="11"/>
        </w:rPr>
      </w:pPr>
      <w:r>
        <w:rPr>
          <w:rFonts w:ascii="Arial"/>
          <w:color w:val="231F1F"/>
          <w:w w:val="355"/>
          <w:position w:val="1"/>
          <w:sz w:val="7"/>
        </w:rPr>
        <w:t>l </w:t>
      </w:r>
      <w:r>
        <w:rPr>
          <w:rFonts w:ascii="Calibri"/>
          <w:color w:val="231F1F"/>
          <w:w w:val="110"/>
        </w:rPr>
        <w:t>Antivirals: </w:t>
      </w:r>
      <w:r>
        <w:rPr>
          <w:color w:val="231F1F"/>
          <w:w w:val="110"/>
        </w:rPr>
        <w:t>increased risk of rash when raltegravir given with </w:t>
      </w:r>
      <w:r>
        <w:rPr>
          <w:rFonts w:ascii="Calibri"/>
          <w:color w:val="008356"/>
          <w:w w:val="110"/>
          <w:sz w:val="11"/>
        </w:rPr>
        <w:t>DARUNAVIR</w:t>
      </w:r>
      <w:r>
        <w:rPr>
          <w:color w:val="231F1F"/>
          <w:w w:val="110"/>
        </w:rPr>
        <w:t>; avoidance of raltegravir advised by manufacturer of </w:t>
      </w:r>
      <w:r>
        <w:rPr>
          <w:rFonts w:ascii="Arial"/>
          <w:color w:val="231F1F"/>
          <w:w w:val="355"/>
          <w:position w:val="1"/>
          <w:sz w:val="7"/>
        </w:rPr>
        <w:t>l </w:t>
      </w:r>
      <w:r>
        <w:rPr>
          <w:rFonts w:ascii="Calibri"/>
          <w:color w:val="008356"/>
          <w:w w:val="110"/>
          <w:sz w:val="11"/>
        </w:rPr>
        <w:t>FOSAMPRENAVIR</w:t>
      </w:r>
    </w:p>
    <w:p>
      <w:pPr>
        <w:pStyle w:val="BodyText"/>
        <w:spacing w:line="145" w:lineRule="exact"/>
        <w:ind w:left="108"/>
      </w:pPr>
      <w:r>
        <w:rPr>
          <w:rFonts w:ascii="Arial"/>
          <w:color w:val="231F1F"/>
          <w:w w:val="355"/>
          <w:position w:val="1"/>
          <w:sz w:val="7"/>
        </w:rPr>
        <w:t>l </w:t>
      </w:r>
      <w:r>
        <w:rPr>
          <w:rFonts w:ascii="Calibri"/>
          <w:color w:val="231F1F"/>
          <w:w w:val="115"/>
        </w:rPr>
        <w:t>Orlistat: </w:t>
      </w:r>
      <w:r>
        <w:rPr>
          <w:color w:val="231F1F"/>
          <w:w w:val="115"/>
        </w:rPr>
        <w:t>absorption of raltegravir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spacing w:line="220" w:lineRule="auto" w:before="7"/>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Ulcer-healing Drugs: </w:t>
      </w:r>
      <w:r>
        <w:rPr>
          <w:color w:val="231F1F"/>
          <w:w w:val="105"/>
          <w:sz w:val="12"/>
        </w:rPr>
        <w:t>plasma concentration of raltegravir increased by </w:t>
      </w:r>
      <w:r>
        <w:rPr>
          <w:rFonts w:ascii="Calibri" w:hAnsi="Calibri"/>
          <w:color w:val="008356"/>
          <w:w w:val="105"/>
          <w:sz w:val="11"/>
        </w:rPr>
        <w:t>FAMOTIDINE </w:t>
      </w:r>
      <w:r>
        <w:rPr>
          <w:color w:val="231F1F"/>
          <w:w w:val="105"/>
          <w:sz w:val="12"/>
        </w:rPr>
        <w:t>and </w:t>
      </w:r>
      <w:r>
        <w:rPr>
          <w:rFonts w:ascii="Calibri" w:hAnsi="Calibri"/>
          <w:color w:val="008356"/>
          <w:w w:val="105"/>
          <w:sz w:val="11"/>
        </w:rPr>
        <w:t>OMEPRAZOLE</w:t>
      </w:r>
    </w:p>
    <w:p>
      <w:pPr>
        <w:pStyle w:val="BodyText"/>
        <w:spacing w:line="139" w:lineRule="exact" w:before="10"/>
        <w:ind w:left="108"/>
        <w:rPr>
          <w:rFonts w:ascii="Trebuchet MS"/>
        </w:rPr>
      </w:pPr>
      <w:r>
        <w:rPr>
          <w:rFonts w:ascii="Trebuchet MS"/>
          <w:color w:val="008356"/>
        </w:rPr>
        <w:t>Raltitrexed</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1351" w:hanging="100"/>
        <w:rPr>
          <w:rFonts w:ascii="Calibri"/>
          <w:sz w:val="11"/>
        </w:rPr>
      </w:pPr>
      <w:r>
        <w:rPr>
          <w:rFonts w:ascii="Arial"/>
          <w:color w:val="231F1F"/>
          <w:w w:val="145"/>
          <w:position w:val="1"/>
          <w:sz w:val="7"/>
        </w:rPr>
        <w:t>l</w:t>
      </w:r>
      <w:r>
        <w:rPr>
          <w:rFonts w:ascii="Arial"/>
          <w:color w:val="231F1F"/>
          <w:spacing w:val="-15"/>
          <w:w w:val="145"/>
          <w:position w:val="1"/>
          <w:sz w:val="7"/>
        </w:rPr>
        <w:t> </w:t>
      </w:r>
      <w:r>
        <w:rPr>
          <w:rFonts w:ascii="Calibri"/>
          <w:color w:val="231F1F"/>
          <w:w w:val="120"/>
        </w:rPr>
        <w:t>Folates:</w:t>
      </w:r>
      <w:r>
        <w:rPr>
          <w:rFonts w:ascii="Calibri"/>
          <w:color w:val="231F1F"/>
          <w:spacing w:val="-22"/>
          <w:w w:val="120"/>
        </w:rPr>
        <w:t> </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raltitrexed</w:t>
      </w:r>
      <w:r>
        <w:rPr>
          <w:color w:val="231F1F"/>
          <w:spacing w:val="-26"/>
          <w:w w:val="120"/>
        </w:rPr>
        <w:t> </w:t>
      </w:r>
      <w:r>
        <w:rPr>
          <w:color w:val="231F1F"/>
          <w:w w:val="120"/>
        </w:rPr>
        <w:t>advises</w:t>
      </w:r>
      <w:r>
        <w:rPr>
          <w:color w:val="231F1F"/>
          <w:spacing w:val="-26"/>
          <w:w w:val="120"/>
        </w:rPr>
        <w:t> </w:t>
      </w:r>
      <w:r>
        <w:rPr>
          <w:color w:val="231F1F"/>
          <w:spacing w:val="-3"/>
          <w:w w:val="120"/>
        </w:rPr>
        <w:t>avoid </w:t>
      </w:r>
      <w:r>
        <w:rPr>
          <w:color w:val="231F1F"/>
          <w:w w:val="120"/>
        </w:rPr>
        <w:t>concomitant</w:t>
      </w:r>
      <w:r>
        <w:rPr>
          <w:color w:val="231F1F"/>
          <w:spacing w:val="-10"/>
          <w:w w:val="120"/>
        </w:rPr>
        <w:t> </w:t>
      </w:r>
      <w:r>
        <w:rPr>
          <w:color w:val="231F1F"/>
          <w:w w:val="120"/>
        </w:rPr>
        <w:t>use</w:t>
      </w:r>
      <w:r>
        <w:rPr>
          <w:color w:val="231F1F"/>
          <w:spacing w:val="-8"/>
          <w:w w:val="120"/>
        </w:rPr>
        <w:t> </w:t>
      </w:r>
      <w:r>
        <w:rPr>
          <w:color w:val="231F1F"/>
          <w:w w:val="120"/>
        </w:rPr>
        <w:t>with</w:t>
      </w:r>
      <w:r>
        <w:rPr>
          <w:color w:val="231F1F"/>
          <w:spacing w:val="-8"/>
          <w:w w:val="12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3"/>
          <w:w w:val="120"/>
          <w:sz w:val="11"/>
        </w:rPr>
        <w:t>FOLATES</w:t>
      </w:r>
    </w:p>
    <w:p>
      <w:pPr>
        <w:pStyle w:val="BodyText"/>
        <w:spacing w:before="5"/>
        <w:ind w:left="108"/>
      </w:pPr>
      <w:r>
        <w:rPr>
          <w:rFonts w:ascii="Trebuchet MS"/>
          <w:color w:val="008356"/>
          <w:w w:val="105"/>
        </w:rPr>
        <w:t>Ramipril </w:t>
      </w:r>
      <w:r>
        <w:rPr>
          <w:i/>
          <w:color w:val="231F1F"/>
          <w:w w:val="105"/>
        </w:rPr>
        <w:t>see </w:t>
      </w:r>
      <w:r>
        <w:rPr>
          <w:color w:val="231F1F"/>
          <w:w w:val="105"/>
        </w:rPr>
        <w:t>ACE Inhibitors</w:t>
      </w:r>
    </w:p>
    <w:p>
      <w:pPr>
        <w:pStyle w:val="BodyText"/>
        <w:spacing w:before="10"/>
        <w:ind w:left="108"/>
      </w:pPr>
      <w:r>
        <w:rPr>
          <w:rFonts w:ascii="Trebuchet MS"/>
          <w:color w:val="008356"/>
          <w:w w:val="110"/>
        </w:rPr>
        <w:t>Ranitidine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w:t>
      </w:r>
    </w:p>
    <w:p>
      <w:pPr>
        <w:pStyle w:val="BodyText"/>
        <w:spacing w:line="139" w:lineRule="exact" w:before="11"/>
        <w:ind w:left="108"/>
        <w:rPr>
          <w:rFonts w:ascii="Trebuchet MS"/>
        </w:rPr>
      </w:pPr>
      <w:r>
        <w:rPr>
          <w:rFonts w:ascii="Trebuchet MS"/>
          <w:color w:val="008356"/>
        </w:rPr>
        <w:t>Ranolazine</w:t>
      </w:r>
    </w:p>
    <w:p>
      <w:pPr>
        <w:pStyle w:val="BodyText"/>
        <w:ind w:right="670" w:hanging="100"/>
        <w:rPr>
          <w:rFonts w:ascii="Calibri"/>
          <w:sz w:val="11"/>
        </w:rPr>
      </w:pPr>
      <w:r>
        <w:rPr>
          <w:rFonts w:ascii="Arial"/>
          <w:color w:val="231F1F"/>
          <w:w w:val="355"/>
          <w:position w:val="1"/>
          <w:sz w:val="7"/>
        </w:rPr>
        <w:t>l </w:t>
      </w:r>
      <w:r>
        <w:rPr>
          <w:rFonts w:ascii="Calibri"/>
          <w:color w:val="231F1F"/>
          <w:w w:val="110"/>
        </w:rPr>
        <w:t>Anti-arrhythmics: </w:t>
      </w:r>
      <w:r>
        <w:rPr>
          <w:color w:val="231F1F"/>
          <w:w w:val="110"/>
        </w:rPr>
        <w:t>manufacturer of ranolazine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5"/>
          <w:w w:val="110"/>
          <w:sz w:val="11"/>
        </w:rPr>
        <w:t>DISOPYRAMIDE</w:t>
      </w:r>
    </w:p>
    <w:p>
      <w:pPr>
        <w:spacing w:after="0"/>
        <w:rPr>
          <w:rFonts w:ascii="Calibri"/>
          <w:sz w:val="11"/>
        </w:rPr>
        <w:sectPr>
          <w:pgSz w:w="8390" w:h="11910"/>
          <w:pgMar w:header="0" w:footer="0" w:top="460" w:bottom="0" w:left="480" w:right="0"/>
          <w:cols w:num="2" w:equalWidth="0">
            <w:col w:w="3591" w:space="85"/>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5872" filled="true" fillcolor="#bfdbcf" stroked="false">
            <v:fill type="solid"/>
            <w10:wrap type="none"/>
          </v:rect>
        </w:pict>
      </w:r>
      <w:r>
        <w:rPr/>
        <w:pict>
          <v:shape style="position:absolute;margin-left:7.751256pt;margin-top:35.804367pt;width:10.4pt;height:78.850pt;mso-position-horizontal-relative:page;mso-position-vertical-relative:page;z-index:589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Ranolazine </w:t>
      </w:r>
      <w:r>
        <w:rPr>
          <w:rFonts w:ascii="Calibri"/>
          <w:color w:val="231F1F"/>
        </w:rPr>
        <w:t>(continued)</w:t>
      </w:r>
    </w:p>
    <w:p>
      <w:pPr>
        <w:pStyle w:val="BodyText"/>
        <w:spacing w:line="244" w:lineRule="auto"/>
        <w:ind w:left="286"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ranolazine possibly increased by </w:t>
      </w:r>
      <w:r>
        <w:rPr>
          <w:rFonts w:ascii="Arial" w:hAnsi="Arial"/>
          <w:color w:val="231F1F"/>
          <w:w w:val="355"/>
          <w:position w:val="1"/>
          <w:sz w:val="7"/>
        </w:rPr>
        <w:t>l </w:t>
      </w:r>
      <w:r>
        <w:rPr>
          <w:rFonts w:ascii="Calibri" w:hAnsi="Calibri"/>
          <w:color w:val="008356"/>
          <w:w w:val="110"/>
          <w:sz w:val="11"/>
        </w:rPr>
        <w:t>CLARITHROMYCIN </w:t>
      </w:r>
      <w:r>
        <w:rPr>
          <w:color w:val="231F1F"/>
          <w:w w:val="110"/>
        </w:rPr>
        <w:t>and </w:t>
      </w:r>
      <w:r>
        <w:rPr>
          <w:rFonts w:ascii="Arial" w:hAnsi="Arial"/>
          <w:color w:val="231F1F"/>
          <w:w w:val="355"/>
          <w:position w:val="1"/>
          <w:sz w:val="7"/>
        </w:rPr>
        <w:t>l </w:t>
      </w:r>
      <w:r>
        <w:rPr>
          <w:rFonts w:ascii="Calibri" w:hAnsi="Calibri"/>
          <w:color w:val="008356"/>
          <w:w w:val="110"/>
          <w:sz w:val="11"/>
        </w:rPr>
        <w:t>TELITHROMYCIN</w:t>
      </w:r>
      <w:r>
        <w:rPr>
          <w:rFonts w:ascii="Arial" w:hAnsi="Arial"/>
          <w:color w:val="231F1F"/>
          <w:w w:val="110"/>
        </w:rPr>
        <w:t>— </w:t>
      </w:r>
      <w:r>
        <w:rPr>
          <w:color w:val="231F1F"/>
          <w:w w:val="110"/>
        </w:rPr>
        <w:t>manufacturer of ranolazine advises avoid concomitant use; plasma concentration of ranolazine reduced by</w:t>
      </w:r>
    </w:p>
    <w:p>
      <w:pPr>
        <w:pStyle w:val="BodyText"/>
        <w:spacing w:line="244" w:lineRule="auto"/>
        <w:ind w:left="286" w:right="257" w:hanging="1"/>
      </w:pPr>
      <w:r>
        <w:rPr>
          <w:rFonts w:ascii="Arial" w:hAnsi="Arial"/>
          <w:color w:val="231F1F"/>
          <w:w w:val="11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ranolazine advises avoid </w:t>
      </w:r>
      <w:r>
        <w:rPr>
          <w:color w:val="231F1F"/>
          <w:w w:val="120"/>
        </w:rPr>
        <w:t>concomitant use</w:t>
      </w:r>
    </w:p>
    <w:p>
      <w:pPr>
        <w:pStyle w:val="BodyText"/>
        <w:spacing w:line="220" w:lineRule="auto" w:before="3"/>
        <w:ind w:left="286" w:right="113"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ranolazine increased  by </w:t>
      </w:r>
      <w:r>
        <w:rPr>
          <w:rFonts w:ascii="Calibri" w:hAnsi="Calibri"/>
          <w:color w:val="008356"/>
          <w:spacing w:val="4"/>
          <w:w w:val="105"/>
          <w:sz w:val="11"/>
        </w:rPr>
        <w:t>PAROXETINE</w:t>
      </w:r>
    </w:p>
    <w:p>
      <w:pPr>
        <w:pStyle w:val="BodyText"/>
        <w:spacing w:before="1"/>
        <w:ind w:left="286" w:right="70"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ranolazine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plasma concentration of ranolazine possibly increased by</w:t>
      </w:r>
    </w:p>
    <w:p>
      <w:pPr>
        <w:spacing w:before="5"/>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ITRACONAZOLE</w:t>
      </w:r>
      <w:r>
        <w:rPr>
          <w:color w:val="231F1F"/>
          <w:spacing w:val="4"/>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POSACONAZOLE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VORICONAZOLE</w:t>
      </w:r>
      <w:r>
        <w:rPr>
          <w:rFonts w:ascii="Arial" w:hAnsi="Arial"/>
          <w:color w:val="231F1F"/>
          <w:spacing w:val="4"/>
          <w:w w:val="115"/>
          <w:sz w:val="12"/>
        </w:rPr>
        <w:t>—</w:t>
      </w:r>
    </w:p>
    <w:p>
      <w:pPr>
        <w:pStyle w:val="BodyText"/>
        <w:spacing w:before="2"/>
        <w:ind w:left="286"/>
      </w:pPr>
      <w:r>
        <w:rPr>
          <w:color w:val="231F1F"/>
          <w:w w:val="115"/>
        </w:rPr>
        <w:t>manufacturer of ranolazine advises avoid concomitant use</w:t>
      </w:r>
    </w:p>
    <w:p>
      <w:pPr>
        <w:spacing w:line="240" w:lineRule="auto" w:before="2"/>
        <w:ind w:left="286" w:right="157"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plasma concentration of ranolazine possibly increased</w:t>
      </w:r>
      <w:r>
        <w:rPr>
          <w:color w:val="231F1F"/>
          <w:spacing w:val="-23"/>
          <w:w w:val="110"/>
          <w:sz w:val="12"/>
        </w:rPr>
        <w:t> </w:t>
      </w:r>
      <w:r>
        <w:rPr>
          <w:color w:val="231F1F"/>
          <w:w w:val="110"/>
          <w:sz w:val="12"/>
        </w:rPr>
        <w:t>by</w:t>
      </w:r>
      <w:r>
        <w:rPr>
          <w:color w:val="231F1F"/>
          <w:spacing w:val="-22"/>
          <w:w w:val="110"/>
          <w:sz w:val="12"/>
        </w:rPr>
        <w:t> </w:t>
      </w:r>
      <w:r>
        <w:rPr>
          <w:rFonts w:ascii="Arial"/>
          <w:color w:val="231F1F"/>
          <w:w w:val="315"/>
          <w:position w:val="1"/>
          <w:sz w:val="7"/>
        </w:rPr>
        <w:t>l</w:t>
      </w:r>
      <w:r>
        <w:rPr>
          <w:rFonts w:ascii="Arial"/>
          <w:color w:val="231F1F"/>
          <w:spacing w:val="-52"/>
          <w:w w:val="315"/>
          <w:position w:val="1"/>
          <w:sz w:val="7"/>
        </w:rPr>
        <w:t> </w:t>
      </w:r>
      <w:r>
        <w:rPr>
          <w:rFonts w:ascii="Calibri"/>
          <w:color w:val="008356"/>
          <w:spacing w:val="3"/>
          <w:w w:val="110"/>
          <w:sz w:val="11"/>
        </w:rPr>
        <w:t>ATAZANAVIR</w:t>
      </w:r>
      <w:r>
        <w:rPr>
          <w:color w:val="231F1F"/>
          <w:spacing w:val="3"/>
          <w:w w:val="110"/>
          <w:sz w:val="12"/>
        </w:rPr>
        <w:t>,</w:t>
      </w:r>
      <w:r>
        <w:rPr>
          <w:color w:val="231F1F"/>
          <w:spacing w:val="-22"/>
          <w:w w:val="110"/>
          <w:sz w:val="12"/>
        </w:rPr>
        <w:t> </w:t>
      </w:r>
      <w:r>
        <w:rPr>
          <w:rFonts w:ascii="Arial"/>
          <w:color w:val="231F1F"/>
          <w:w w:val="315"/>
          <w:position w:val="1"/>
          <w:sz w:val="7"/>
        </w:rPr>
        <w:t>l</w:t>
      </w:r>
      <w:r>
        <w:rPr>
          <w:rFonts w:ascii="Arial"/>
          <w:color w:val="231F1F"/>
          <w:spacing w:val="-51"/>
          <w:w w:val="315"/>
          <w:position w:val="1"/>
          <w:sz w:val="7"/>
        </w:rPr>
        <w:t> </w:t>
      </w:r>
      <w:r>
        <w:rPr>
          <w:rFonts w:ascii="Calibri"/>
          <w:color w:val="008356"/>
          <w:spacing w:val="3"/>
          <w:w w:val="110"/>
          <w:sz w:val="11"/>
        </w:rPr>
        <w:t>DARUNAVIR</w:t>
      </w:r>
      <w:r>
        <w:rPr>
          <w:color w:val="231F1F"/>
          <w:spacing w:val="3"/>
          <w:w w:val="110"/>
          <w:sz w:val="12"/>
        </w:rPr>
        <w:t>,</w:t>
      </w:r>
      <w:r>
        <w:rPr>
          <w:color w:val="231F1F"/>
          <w:spacing w:val="-23"/>
          <w:w w:val="110"/>
          <w:sz w:val="12"/>
        </w:rPr>
        <w:t> </w:t>
      </w:r>
      <w:r>
        <w:rPr>
          <w:rFonts w:ascii="Arial"/>
          <w:color w:val="231F1F"/>
          <w:w w:val="315"/>
          <w:position w:val="1"/>
          <w:sz w:val="7"/>
        </w:rPr>
        <w:t>l</w:t>
      </w:r>
      <w:r>
        <w:rPr>
          <w:rFonts w:ascii="Arial"/>
          <w:color w:val="231F1F"/>
          <w:spacing w:val="-51"/>
          <w:w w:val="315"/>
          <w:position w:val="1"/>
          <w:sz w:val="7"/>
        </w:rPr>
        <w:t> </w:t>
      </w:r>
      <w:r>
        <w:rPr>
          <w:rFonts w:ascii="Calibri"/>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INDINAVIR</w:t>
      </w:r>
      <w:r>
        <w:rPr>
          <w:color w:val="231F1F"/>
          <w:spacing w:val="4"/>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LOPINAVIR</w:t>
      </w:r>
      <w:r>
        <w:rPr>
          <w:color w:val="231F1F"/>
          <w:spacing w:val="3"/>
          <w:w w:val="110"/>
          <w:sz w:val="12"/>
        </w:rPr>
        <w:t>,</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0"/>
          <w:sz w:val="11"/>
        </w:rPr>
        <w:t>RITONAVIR</w:t>
      </w:r>
      <w:r>
        <w:rPr>
          <w:color w:val="231F1F"/>
          <w:spacing w:val="3"/>
          <w:w w:val="110"/>
          <w:sz w:val="12"/>
        </w:rPr>
        <w:t>,</w:t>
      </w:r>
      <w:r>
        <w:rPr>
          <w:color w:val="231F1F"/>
          <w:spacing w:val="-13"/>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SAQUINAVIR</w:t>
      </w:r>
      <w:r>
        <w:rPr>
          <w:rFonts w:ascii="Calibri"/>
          <w:color w:val="008356"/>
          <w:spacing w:val="-4"/>
          <w:w w:val="110"/>
          <w:sz w:val="11"/>
        </w:rPr>
        <w:t> </w:t>
      </w:r>
      <w:r>
        <w:rPr>
          <w:color w:val="231F1F"/>
          <w:w w:val="110"/>
          <w:sz w:val="12"/>
        </w:rPr>
        <w:t>and</w:t>
      </w:r>
    </w:p>
    <w:p>
      <w:pPr>
        <w:pStyle w:val="BodyText"/>
        <w:spacing w:line="244" w:lineRule="auto" w:before="1"/>
        <w:ind w:left="286" w:right="246"/>
      </w:pPr>
      <w:r>
        <w:rPr>
          <w:rFonts w:ascii="Arial" w:hAnsi="Arial"/>
          <w:color w:val="231F1F"/>
          <w:w w:val="115"/>
          <w:position w:val="1"/>
          <w:sz w:val="7"/>
        </w:rPr>
        <w:t>l </w:t>
      </w:r>
      <w:r>
        <w:rPr>
          <w:rFonts w:ascii="Calibri" w:hAnsi="Calibri"/>
          <w:color w:val="008356"/>
          <w:w w:val="115"/>
          <w:sz w:val="11"/>
        </w:rPr>
        <w:t>TIPRANAVIR</w:t>
      </w:r>
      <w:r>
        <w:rPr>
          <w:rFonts w:ascii="Arial" w:hAnsi="Arial"/>
          <w:color w:val="231F1F"/>
          <w:w w:val="115"/>
        </w:rPr>
        <w:t>—</w:t>
      </w:r>
      <w:r>
        <w:rPr>
          <w:color w:val="231F1F"/>
          <w:w w:val="115"/>
        </w:rPr>
        <w:t>manufacturer of ranolazine advises avoid </w:t>
      </w:r>
      <w:r>
        <w:rPr>
          <w:color w:val="231F1F"/>
          <w:w w:val="120"/>
        </w:rPr>
        <w:t>concomitant use</w:t>
      </w:r>
    </w:p>
    <w:p>
      <w:pPr>
        <w:pStyle w:val="BodyText"/>
        <w:ind w:left="286" w:right="348"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Beta-blockers:</w:t>
      </w:r>
      <w:r>
        <w:rPr>
          <w:rFonts w:ascii="Calibri"/>
          <w:color w:val="231F1F"/>
          <w:spacing w:val="-15"/>
          <w:w w:val="115"/>
        </w:rPr>
        <w:t> </w:t>
      </w:r>
      <w:r>
        <w:rPr>
          <w:color w:val="231F1F"/>
          <w:w w:val="115"/>
        </w:rPr>
        <w:t>manufacturer</w:t>
      </w:r>
      <w:r>
        <w:rPr>
          <w:color w:val="231F1F"/>
          <w:spacing w:val="-18"/>
          <w:w w:val="115"/>
        </w:rPr>
        <w:t> </w:t>
      </w:r>
      <w:r>
        <w:rPr>
          <w:color w:val="231F1F"/>
          <w:w w:val="115"/>
        </w:rPr>
        <w:t>of</w:t>
      </w:r>
      <w:r>
        <w:rPr>
          <w:color w:val="231F1F"/>
          <w:spacing w:val="-18"/>
          <w:w w:val="115"/>
        </w:rPr>
        <w:t> </w:t>
      </w:r>
      <w:r>
        <w:rPr>
          <w:color w:val="231F1F"/>
          <w:w w:val="115"/>
        </w:rPr>
        <w:t>ranolazine</w:t>
      </w:r>
      <w:r>
        <w:rPr>
          <w:color w:val="231F1F"/>
          <w:spacing w:val="-18"/>
          <w:w w:val="115"/>
        </w:rPr>
        <w:t> </w:t>
      </w:r>
      <w:r>
        <w:rPr>
          <w:color w:val="231F1F"/>
          <w:w w:val="115"/>
        </w:rPr>
        <w:t>advises</w:t>
      </w:r>
      <w:r>
        <w:rPr>
          <w:color w:val="231F1F"/>
          <w:spacing w:val="-18"/>
          <w:w w:val="115"/>
        </w:rPr>
        <w:t> </w:t>
      </w:r>
      <w:r>
        <w:rPr>
          <w:color w:val="231F1F"/>
          <w:spacing w:val="-4"/>
          <w:w w:val="115"/>
        </w:rPr>
        <w:t>avoid </w:t>
      </w:r>
      <w:r>
        <w:rPr>
          <w:color w:val="231F1F"/>
          <w:w w:val="115"/>
        </w:rPr>
        <w:t>concomitant use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2"/>
          <w:w w:val="115"/>
          <w:sz w:val="11"/>
        </w:rPr>
        <w:t>SOTALOL</w:t>
      </w:r>
    </w:p>
    <w:p>
      <w:pPr>
        <w:pStyle w:val="BodyText"/>
        <w:spacing w:line="230" w:lineRule="auto"/>
        <w:ind w:left="286" w:right="113" w:hanging="100"/>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ranolazine increased by </w:t>
      </w:r>
      <w:r>
        <w:rPr>
          <w:rFonts w:ascii="Calibri" w:hAnsi="Calibri"/>
          <w:color w:val="008356"/>
          <w:spacing w:val="3"/>
          <w:w w:val="105"/>
          <w:sz w:val="11"/>
        </w:rPr>
        <w:t>DILTIAZEM </w:t>
      </w:r>
      <w:r>
        <w:rPr>
          <w:color w:val="231F1F"/>
          <w:w w:val="105"/>
        </w:rPr>
        <w:t>and </w:t>
      </w:r>
      <w:r>
        <w:rPr>
          <w:rFonts w:ascii="Calibri" w:hAnsi="Calibri"/>
          <w:color w:val="008356"/>
          <w:spacing w:val="4"/>
          <w:w w:val="105"/>
          <w:sz w:val="11"/>
        </w:rPr>
        <w:t>VERAPAMIL  </w:t>
      </w:r>
      <w:r>
        <w:rPr>
          <w:color w:val="231F1F"/>
          <w:w w:val="105"/>
        </w:rPr>
        <w:t>(consider reducing dose of</w:t>
      </w:r>
      <w:r>
        <w:rPr>
          <w:color w:val="231F1F"/>
          <w:spacing w:val="2"/>
          <w:w w:val="105"/>
        </w:rPr>
        <w:t> </w:t>
      </w:r>
      <w:r>
        <w:rPr>
          <w:color w:val="231F1F"/>
          <w:w w:val="105"/>
        </w:rPr>
        <w:t>ranolazine)</w:t>
      </w:r>
    </w:p>
    <w:p>
      <w:pPr>
        <w:pStyle w:val="BodyText"/>
        <w:spacing w:line="220" w:lineRule="auto" w:before="12"/>
        <w:ind w:left="286" w:right="113"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ranolazine increases plasma </w:t>
      </w:r>
      <w:r>
        <w:rPr>
          <w:color w:val="231F1F"/>
          <w:spacing w:val="-3"/>
          <w:w w:val="105"/>
        </w:rPr>
        <w:t>concentration </w:t>
      </w:r>
      <w:r>
        <w:rPr>
          <w:color w:val="231F1F"/>
          <w:spacing w:val="25"/>
          <w:w w:val="105"/>
        </w:rPr>
        <w:t> </w:t>
      </w:r>
      <w:r>
        <w:rPr>
          <w:color w:val="231F1F"/>
          <w:w w:val="105"/>
        </w:rPr>
        <w:t>of </w:t>
      </w:r>
      <w:r>
        <w:rPr>
          <w:rFonts w:ascii="Calibri" w:hAnsi="Calibri"/>
          <w:color w:val="008356"/>
          <w:spacing w:val="4"/>
          <w:w w:val="105"/>
          <w:sz w:val="11"/>
        </w:rPr>
        <w:t>DIGOXIN</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Ciclosporin: </w:t>
      </w:r>
      <w:r>
        <w:rPr>
          <w:color w:val="231F1F"/>
          <w:w w:val="110"/>
        </w:rPr>
        <w:t>plasma concentration of both drugs may increase when ranolazine given with </w:t>
      </w:r>
      <w:r>
        <w:rPr>
          <w:rFonts w:ascii="Calibri" w:hAnsi="Calibri"/>
          <w:color w:val="008356"/>
          <w:w w:val="110"/>
          <w:sz w:val="11"/>
        </w:rPr>
        <w:t>CICLOSPORIN</w:t>
      </w:r>
    </w:p>
    <w:p>
      <w:pPr>
        <w:pStyle w:val="BodyText"/>
        <w:ind w:left="286" w:right="25" w:hanging="100"/>
      </w:pP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231F1F"/>
          <w:w w:val="115"/>
        </w:rPr>
        <w:t>Grapefruit</w:t>
      </w:r>
      <w:r>
        <w:rPr>
          <w:rFonts w:ascii="Calibri" w:hAnsi="Calibri"/>
          <w:color w:val="231F1F"/>
          <w:spacing w:val="-8"/>
          <w:w w:val="115"/>
        </w:rPr>
        <w:t> </w:t>
      </w:r>
      <w:r>
        <w:rPr>
          <w:rFonts w:ascii="Calibri" w:hAnsi="Calibri"/>
          <w:color w:val="231F1F"/>
          <w:w w:val="115"/>
        </w:rPr>
        <w:t>Juice:</w:t>
      </w:r>
      <w:r>
        <w:rPr>
          <w:rFonts w:ascii="Calibri" w:hAnsi="Calibri"/>
          <w:color w:val="231F1F"/>
          <w:spacing w:val="-9"/>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ranolazine</w:t>
      </w:r>
      <w:r>
        <w:rPr>
          <w:color w:val="231F1F"/>
          <w:spacing w:val="-12"/>
          <w:w w:val="115"/>
        </w:rPr>
        <w:t> </w:t>
      </w:r>
      <w:r>
        <w:rPr>
          <w:color w:val="231F1F"/>
          <w:w w:val="115"/>
        </w:rPr>
        <w:t>possibly increased</w:t>
      </w:r>
      <w:r>
        <w:rPr>
          <w:color w:val="231F1F"/>
          <w:spacing w:val="-19"/>
          <w:w w:val="115"/>
        </w:rPr>
        <w:t> </w:t>
      </w:r>
      <w:r>
        <w:rPr>
          <w:color w:val="231F1F"/>
          <w:w w:val="115"/>
        </w:rPr>
        <w:t>by</w:t>
      </w:r>
      <w:r>
        <w:rPr>
          <w:color w:val="231F1F"/>
          <w:spacing w:val="-19"/>
          <w:w w:val="115"/>
        </w:rPr>
        <w:t>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GRAPEFRUIT</w:t>
      </w:r>
      <w:r>
        <w:rPr>
          <w:rFonts w:ascii="Calibri" w:hAnsi="Calibri"/>
          <w:color w:val="008356"/>
          <w:spacing w:val="-14"/>
          <w:w w:val="115"/>
          <w:sz w:val="11"/>
        </w:rPr>
        <w:t> </w:t>
      </w:r>
      <w:r>
        <w:rPr>
          <w:rFonts w:ascii="Calibri" w:hAnsi="Calibri"/>
          <w:color w:val="008356"/>
          <w:w w:val="115"/>
          <w:sz w:val="11"/>
        </w:rPr>
        <w:t>JUICE</w:t>
      </w:r>
      <w:r>
        <w:rPr>
          <w:rFonts w:ascii="Arial" w:hAnsi="Arial"/>
          <w:color w:val="231F1F"/>
          <w:w w:val="115"/>
        </w:rPr>
        <w:t>—</w:t>
      </w:r>
      <w:r>
        <w:rPr>
          <w:color w:val="231F1F"/>
          <w:w w:val="115"/>
        </w:rPr>
        <w:t>manufacturer</w:t>
      </w:r>
      <w:r>
        <w:rPr>
          <w:color w:val="231F1F"/>
          <w:spacing w:val="-19"/>
          <w:w w:val="115"/>
        </w:rPr>
        <w:t> </w:t>
      </w:r>
      <w:r>
        <w:rPr>
          <w:color w:val="231F1F"/>
          <w:w w:val="115"/>
        </w:rPr>
        <w:t>of</w:t>
      </w:r>
      <w:r>
        <w:rPr>
          <w:color w:val="231F1F"/>
          <w:spacing w:val="-19"/>
          <w:w w:val="115"/>
        </w:rPr>
        <w:t> </w:t>
      </w:r>
      <w:r>
        <w:rPr>
          <w:color w:val="231F1F"/>
          <w:w w:val="115"/>
        </w:rPr>
        <w:t>ranolazine </w:t>
      </w:r>
      <w:r>
        <w:rPr>
          <w:color w:val="231F1F"/>
          <w:w w:val="120"/>
        </w:rPr>
        <w:t>advises avoid concomitant</w:t>
      </w:r>
      <w:r>
        <w:rPr>
          <w:color w:val="231F1F"/>
          <w:spacing w:val="-22"/>
          <w:w w:val="120"/>
        </w:rPr>
        <w:t> </w:t>
      </w:r>
      <w:r>
        <w:rPr>
          <w:color w:val="231F1F"/>
          <w:w w:val="120"/>
        </w:rPr>
        <w:t>use</w:t>
      </w:r>
    </w:p>
    <w:p>
      <w:pPr>
        <w:pStyle w:val="BodyText"/>
        <w:spacing w:before="2"/>
        <w:ind w:left="286" w:hanging="100"/>
      </w:pPr>
      <w:r>
        <w:rPr>
          <w:rFonts w:ascii="Arial"/>
          <w:color w:val="231F1F"/>
          <w:w w:val="355"/>
          <w:position w:val="1"/>
          <w:sz w:val="7"/>
        </w:rPr>
        <w:t>l </w:t>
      </w:r>
      <w:r>
        <w:rPr>
          <w:rFonts w:ascii="Calibri"/>
          <w:color w:val="231F1F"/>
          <w:w w:val="110"/>
        </w:rPr>
        <w:t>Lipid-regulating Drugs: </w:t>
      </w:r>
      <w:r>
        <w:rPr>
          <w:color w:val="231F1F"/>
          <w:w w:val="110"/>
        </w:rPr>
        <w:t>ranolazine increases plasma concentration of </w:t>
      </w:r>
      <w:r>
        <w:rPr>
          <w:rFonts w:ascii="Arial"/>
          <w:color w:val="231F1F"/>
          <w:w w:val="355"/>
          <w:position w:val="1"/>
          <w:sz w:val="7"/>
        </w:rPr>
        <w:t>l </w:t>
      </w:r>
      <w:r>
        <w:rPr>
          <w:rFonts w:ascii="Calibri"/>
          <w:color w:val="008356"/>
          <w:w w:val="110"/>
          <w:sz w:val="11"/>
        </w:rPr>
        <w:t>SIMVASTATIN </w:t>
      </w:r>
      <w:r>
        <w:rPr>
          <w:color w:val="231F1F"/>
          <w:w w:val="110"/>
        </w:rPr>
        <w:t>(see under Simvastatin,</w:t>
      </w:r>
    </w:p>
    <w:p>
      <w:pPr>
        <w:pStyle w:val="BodyText"/>
        <w:spacing w:line="249" w:lineRule="auto" w:before="1"/>
        <w:ind w:left="286"/>
        <w:rPr>
          <w:rFonts w:ascii="Calibri"/>
          <w:sz w:val="11"/>
        </w:rPr>
      </w:pPr>
      <w:r>
        <w:rPr>
          <w:color w:val="231F1F"/>
          <w:w w:val="115"/>
        </w:rPr>
        <w:t>p. 181); separating administration from ranolazine by 12 hours advised by manufacturer of </w:t>
      </w:r>
      <w:r>
        <w:rPr>
          <w:rFonts w:ascii="Calibri"/>
          <w:color w:val="008356"/>
          <w:w w:val="115"/>
          <w:sz w:val="11"/>
        </w:rPr>
        <w:t>LOMITAPIDE</w:t>
      </w:r>
    </w:p>
    <w:p>
      <w:pPr>
        <w:pStyle w:val="BodyText"/>
        <w:spacing w:line="138" w:lineRule="exact"/>
        <w:ind w:left="186"/>
      </w:pPr>
      <w:r>
        <w:rPr>
          <w:rFonts w:ascii="Arial"/>
          <w:color w:val="231F1F"/>
          <w:w w:val="355"/>
          <w:position w:val="1"/>
          <w:sz w:val="7"/>
        </w:rPr>
        <w:t>l </w:t>
      </w:r>
      <w:r>
        <w:rPr>
          <w:rFonts w:ascii="Calibri"/>
          <w:color w:val="231F1F"/>
          <w:w w:val="115"/>
        </w:rPr>
        <w:t>Tacrolimus: </w:t>
      </w:r>
      <w:r>
        <w:rPr>
          <w:color w:val="231F1F"/>
          <w:w w:val="115"/>
        </w:rPr>
        <w:t>ranolazine increases plasma concentration of</w:t>
      </w:r>
    </w:p>
    <w:p>
      <w:pPr>
        <w:spacing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TACROLIMUS</w:t>
      </w:r>
    </w:p>
    <w:p>
      <w:pPr>
        <w:pStyle w:val="BodyText"/>
        <w:spacing w:before="7"/>
        <w:ind w:left="186"/>
        <w:rPr>
          <w:rFonts w:ascii="Trebuchet MS"/>
        </w:rPr>
      </w:pPr>
      <w:r>
        <w:rPr>
          <w:rFonts w:ascii="Trebuchet MS"/>
          <w:color w:val="008356"/>
        </w:rPr>
        <w:t>Rasagiline</w:t>
      </w:r>
    </w:p>
    <w:p>
      <w:pPr>
        <w:pStyle w:val="BodyText"/>
        <w:spacing w:line="141" w:lineRule="exact" w:before="4"/>
        <w:ind w:left="286"/>
      </w:pPr>
      <w:r>
        <w:rPr>
          <w:rFonts w:ascii="Calibri"/>
          <w:color w:val="008356"/>
          <w:w w:val="110"/>
          <w:sz w:val="11"/>
        </w:rPr>
        <w:t>NOTE </w:t>
      </w:r>
      <w:r>
        <w:rPr>
          <w:color w:val="231F1F"/>
          <w:w w:val="110"/>
        </w:rPr>
        <w:t>Rasagiline is a MAO-B inhibitor</w:t>
      </w:r>
    </w:p>
    <w:p>
      <w:pPr>
        <w:pStyle w:val="BodyText"/>
        <w:spacing w:line="145" w:lineRule="exact"/>
        <w:ind w:left="186"/>
      </w:pPr>
      <w:r>
        <w:rPr>
          <w:rFonts w:ascii="Arial"/>
          <w:color w:val="231F1F"/>
          <w:w w:val="355"/>
          <w:position w:val="1"/>
          <w:sz w:val="7"/>
        </w:rPr>
        <w:t>l </w:t>
      </w:r>
      <w:r>
        <w:rPr>
          <w:rFonts w:ascii="Calibri"/>
          <w:color w:val="231F1F"/>
          <w:w w:val="115"/>
        </w:rPr>
        <w:t>Analgesics: </w:t>
      </w:r>
      <w:r>
        <w:rPr>
          <w:color w:val="231F1F"/>
          <w:w w:val="115"/>
        </w:rPr>
        <w:t>avoid concomitant use of rasagiline with</w:t>
      </w:r>
    </w:p>
    <w:p>
      <w:pPr>
        <w:spacing w:line="242" w:lineRule="auto" w:before="0"/>
        <w:ind w:left="286" w:right="155"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DEXTROMETHORPHAN</w:t>
      </w:r>
      <w:r>
        <w:rPr>
          <w:color w:val="231F1F"/>
          <w:spacing w:val="4"/>
          <w:w w:val="110"/>
          <w:sz w:val="12"/>
        </w:rPr>
        <w:t>;</w:t>
      </w:r>
      <w:r>
        <w:rPr>
          <w:color w:val="231F1F"/>
          <w:spacing w:val="-16"/>
          <w:w w:val="110"/>
          <w:sz w:val="12"/>
        </w:rPr>
        <w:t> </w:t>
      </w:r>
      <w:r>
        <w:rPr>
          <w:color w:val="231F1F"/>
          <w:w w:val="110"/>
          <w:sz w:val="12"/>
        </w:rPr>
        <w:t>risk</w:t>
      </w:r>
      <w:r>
        <w:rPr>
          <w:color w:val="231F1F"/>
          <w:spacing w:val="-16"/>
          <w:w w:val="110"/>
          <w:sz w:val="12"/>
        </w:rPr>
        <w:t> </w:t>
      </w:r>
      <w:r>
        <w:rPr>
          <w:color w:val="231F1F"/>
          <w:w w:val="110"/>
          <w:sz w:val="12"/>
        </w:rPr>
        <w:t>of</w:t>
      </w:r>
      <w:r>
        <w:rPr>
          <w:color w:val="231F1F"/>
          <w:spacing w:val="-15"/>
          <w:w w:val="110"/>
          <w:sz w:val="12"/>
        </w:rPr>
        <w:t> </w:t>
      </w:r>
      <w:r>
        <w:rPr>
          <w:color w:val="231F1F"/>
          <w:w w:val="110"/>
          <w:sz w:val="12"/>
        </w:rPr>
        <w:t>CNS</w:t>
      </w:r>
      <w:r>
        <w:rPr>
          <w:color w:val="231F1F"/>
          <w:spacing w:val="-16"/>
          <w:w w:val="110"/>
          <w:sz w:val="12"/>
        </w:rPr>
        <w:t> </w:t>
      </w:r>
      <w:r>
        <w:rPr>
          <w:color w:val="231F1F"/>
          <w:w w:val="110"/>
          <w:sz w:val="12"/>
        </w:rPr>
        <w:t>toxicity</w:t>
      </w:r>
      <w:r>
        <w:rPr>
          <w:color w:val="231F1F"/>
          <w:spacing w:val="-17"/>
          <w:w w:val="110"/>
          <w:sz w:val="12"/>
        </w:rPr>
        <w:t> </w:t>
      </w:r>
      <w:r>
        <w:rPr>
          <w:color w:val="231F1F"/>
          <w:w w:val="110"/>
          <w:sz w:val="12"/>
        </w:rPr>
        <w:t>when</w:t>
      </w:r>
      <w:r>
        <w:rPr>
          <w:color w:val="231F1F"/>
          <w:spacing w:val="-16"/>
          <w:w w:val="110"/>
          <w:sz w:val="12"/>
        </w:rPr>
        <w:t> </w:t>
      </w:r>
      <w:r>
        <w:rPr>
          <w:color w:val="231F1F"/>
          <w:w w:val="110"/>
          <w:sz w:val="12"/>
        </w:rPr>
        <w:t>rasagiline given with </w:t>
      </w:r>
      <w:r>
        <w:rPr>
          <w:rFonts w:ascii="Arial"/>
          <w:color w:val="231F1F"/>
          <w:w w:val="355"/>
          <w:position w:val="1"/>
          <w:sz w:val="7"/>
        </w:rPr>
        <w:t>l </w:t>
      </w:r>
      <w:r>
        <w:rPr>
          <w:rFonts w:ascii="Calibri"/>
          <w:color w:val="008356"/>
          <w:spacing w:val="4"/>
          <w:w w:val="110"/>
          <w:sz w:val="11"/>
        </w:rPr>
        <w:t>PETHIDINE </w:t>
      </w:r>
      <w:r>
        <w:rPr>
          <w:color w:val="231F1F"/>
          <w:w w:val="110"/>
          <w:sz w:val="12"/>
        </w:rPr>
        <w:t>(avoid pethidine for 2 weeks after rasagiline)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rasagiline increased by</w:t>
      </w:r>
    </w:p>
    <w:p>
      <w:pPr>
        <w:spacing w:line="131" w:lineRule="exact" w:before="0"/>
        <w:ind w:left="286" w:right="0" w:firstLine="0"/>
        <w:jc w:val="left"/>
        <w:rPr>
          <w:rFonts w:ascii="Calibri"/>
          <w:sz w:val="11"/>
        </w:rPr>
      </w:pPr>
      <w:r>
        <w:rPr>
          <w:rFonts w:ascii="Calibri"/>
          <w:color w:val="008356"/>
          <w:sz w:val="11"/>
        </w:rPr>
        <w:t>CIPROFLOXACIN</w:t>
      </w:r>
    </w:p>
    <w:p>
      <w:pPr>
        <w:pStyle w:val="BodyText"/>
        <w:spacing w:line="145" w:lineRule="exact"/>
        <w:ind w:left="186"/>
      </w:pPr>
      <w:r>
        <w:rPr>
          <w:rFonts w:ascii="Arial"/>
          <w:color w:val="231F1F"/>
          <w:w w:val="355"/>
          <w:position w:val="1"/>
          <w:sz w:val="7"/>
        </w:rPr>
        <w:t>l </w:t>
      </w:r>
      <w:r>
        <w:rPr>
          <w:rFonts w:ascii="Calibri"/>
          <w:color w:val="231F1F"/>
          <w:w w:val="110"/>
        </w:rPr>
        <w:t>Antidepressants: </w:t>
      </w:r>
      <w:r>
        <w:rPr>
          <w:color w:val="231F1F"/>
          <w:w w:val="110"/>
        </w:rPr>
        <w:t>after stopping rasagiline do not start</w:t>
      </w:r>
    </w:p>
    <w:p>
      <w:pPr>
        <w:pStyle w:val="BodyText"/>
        <w:spacing w:line="244" w:lineRule="auto"/>
        <w:ind w:left="286" w:hanging="1"/>
      </w:pPr>
      <w:r>
        <w:rPr>
          <w:rFonts w:ascii="Arial"/>
          <w:color w:val="231F1F"/>
          <w:w w:val="355"/>
          <w:position w:val="1"/>
          <w:sz w:val="7"/>
        </w:rPr>
        <w:t>l </w:t>
      </w:r>
      <w:r>
        <w:rPr>
          <w:rFonts w:ascii="Calibri"/>
          <w:color w:val="008356"/>
          <w:spacing w:val="4"/>
          <w:w w:val="110"/>
          <w:sz w:val="11"/>
        </w:rPr>
        <w:t>FLUOXETINE </w:t>
      </w:r>
      <w:r>
        <w:rPr>
          <w:color w:val="231F1F"/>
          <w:w w:val="110"/>
        </w:rPr>
        <w:t>for 2 weeks, also rasagiline should not be started until at least 5 weeks after stopping fluoxetine; after stopping rasagiline do not start </w:t>
      </w:r>
      <w:r>
        <w:rPr>
          <w:rFonts w:ascii="Arial"/>
          <w:color w:val="231F1F"/>
          <w:w w:val="355"/>
          <w:position w:val="1"/>
          <w:sz w:val="7"/>
        </w:rPr>
        <w:t>l </w:t>
      </w:r>
      <w:r>
        <w:rPr>
          <w:rFonts w:ascii="Calibri"/>
          <w:color w:val="008356"/>
          <w:spacing w:val="4"/>
          <w:w w:val="110"/>
          <w:sz w:val="11"/>
        </w:rPr>
        <w:t>FLUVOXAMINE </w:t>
      </w:r>
      <w:r>
        <w:rPr>
          <w:color w:val="231F1F"/>
          <w:w w:val="110"/>
        </w:rPr>
        <w:t>for 2 weeks; risk of hypertensive crisis when rasagiline given with </w:t>
      </w:r>
      <w:r>
        <w:rPr>
          <w:rFonts w:ascii="Arial"/>
          <w:color w:val="231F1F"/>
          <w:w w:val="355"/>
          <w:position w:val="1"/>
          <w:sz w:val="7"/>
        </w:rPr>
        <w:t>l</w:t>
      </w:r>
      <w:r>
        <w:rPr>
          <w:rFonts w:ascii="Arial"/>
          <w:color w:val="231F1F"/>
          <w:spacing w:val="-23"/>
          <w:w w:val="355"/>
          <w:position w:val="1"/>
          <w:sz w:val="7"/>
        </w:rPr>
        <w:t> </w:t>
      </w:r>
      <w:r>
        <w:rPr>
          <w:rFonts w:ascii="Calibri"/>
          <w:color w:val="008356"/>
          <w:w w:val="110"/>
          <w:sz w:val="11"/>
        </w:rPr>
        <w:t>MAOIS</w:t>
      </w:r>
      <w:r>
        <w:rPr>
          <w:color w:val="231F1F"/>
          <w:w w:val="110"/>
        </w:rPr>
        <w:t>, avoid MAOIs for at least 2 weeks after stopping rasagiline; increased risk of CNS toxicity when rasagiline given</w:t>
      </w:r>
      <w:r>
        <w:rPr>
          <w:color w:val="231F1F"/>
          <w:spacing w:val="3"/>
          <w:w w:val="110"/>
        </w:rPr>
        <w:t> </w:t>
      </w:r>
      <w:r>
        <w:rPr>
          <w:color w:val="231F1F"/>
          <w:w w:val="110"/>
        </w:rPr>
        <w:t>with</w:t>
      </w:r>
    </w:p>
    <w:p>
      <w:pPr>
        <w:spacing w:line="141" w:lineRule="exact" w:before="5"/>
        <w:ind w:left="286" w:right="0" w:firstLine="0"/>
        <w:jc w:val="left"/>
        <w:rPr>
          <w:rFonts w:ascii="Calibri"/>
          <w:sz w:val="11"/>
        </w:rPr>
      </w:pPr>
      <w:r>
        <w:rPr>
          <w:rFonts w:ascii="Arial"/>
          <w:color w:val="231F1F"/>
          <w:w w:val="355"/>
          <w:position w:val="1"/>
          <w:sz w:val="7"/>
        </w:rPr>
        <w:t>l </w:t>
      </w:r>
      <w:r>
        <w:rPr>
          <w:rFonts w:ascii="Calibri"/>
          <w:color w:val="008356"/>
          <w:w w:val="115"/>
          <w:sz w:val="11"/>
        </w:rPr>
        <w:t>SSRIS </w:t>
      </w:r>
      <w:r>
        <w:rPr>
          <w:color w:val="231F1F"/>
          <w:w w:val="115"/>
          <w:sz w:val="12"/>
        </w:rPr>
        <w:t>or </w:t>
      </w:r>
      <w:r>
        <w:rPr>
          <w:rFonts w:ascii="Arial"/>
          <w:color w:val="231F1F"/>
          <w:w w:val="355"/>
          <w:position w:val="1"/>
          <w:sz w:val="7"/>
        </w:rPr>
        <w:t>l </w:t>
      </w:r>
      <w:r>
        <w:rPr>
          <w:rFonts w:ascii="Calibri"/>
          <w:color w:val="008356"/>
          <w:w w:val="115"/>
          <w:sz w:val="11"/>
        </w:rPr>
        <w:t>TRICYCLICS</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Dopaminergics: </w:t>
      </w:r>
      <w:r>
        <w:rPr>
          <w:color w:val="231F1F"/>
          <w:w w:val="105"/>
        </w:rPr>
        <w:t>plasma concentration of rasagiline possibly reduced by </w:t>
      </w:r>
      <w:r>
        <w:rPr>
          <w:rFonts w:ascii="Calibri" w:hAnsi="Calibri"/>
          <w:color w:val="008356"/>
          <w:w w:val="105"/>
          <w:sz w:val="11"/>
        </w:rPr>
        <w:t>ENTACAPONE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1" w:lineRule="exact" w:before="0"/>
        <w:ind w:left="286" w:right="0" w:firstLine="0"/>
        <w:jc w:val="left"/>
        <w:rPr>
          <w:rFonts w:ascii="Calibri"/>
          <w:sz w:val="11"/>
        </w:rPr>
      </w:pPr>
      <w:r>
        <w:rPr>
          <w:rFonts w:ascii="Calibri"/>
          <w:color w:val="008356"/>
          <w:sz w:val="11"/>
        </w:rPr>
        <w:t>MEMANTINE</w:t>
      </w:r>
    </w:p>
    <w:p>
      <w:pPr>
        <w:pStyle w:val="BodyText"/>
        <w:spacing w:line="220" w:lineRule="auto" w:before="7"/>
        <w:ind w:left="286" w:right="297"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146" w:lineRule="exact"/>
        <w:ind w:left="186"/>
      </w:pPr>
      <w:r>
        <w:rPr>
          <w:rFonts w:ascii="Arial"/>
          <w:color w:val="231F1F"/>
          <w:w w:val="355"/>
          <w:position w:val="1"/>
          <w:sz w:val="7"/>
        </w:rPr>
        <w:t>l </w:t>
      </w:r>
      <w:r>
        <w:rPr>
          <w:rFonts w:ascii="Calibri"/>
          <w:color w:val="231F1F"/>
          <w:w w:val="110"/>
        </w:rPr>
        <w:t>Sympathomimetics: </w:t>
      </w:r>
      <w:r>
        <w:rPr>
          <w:color w:val="231F1F"/>
          <w:w w:val="110"/>
        </w:rPr>
        <w:t>avoid concomitant use of rasagiline with</w:t>
      </w:r>
    </w:p>
    <w:p>
      <w:pPr>
        <w:spacing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SYMPATHOMIMETICS</w:t>
      </w:r>
    </w:p>
    <w:p>
      <w:pPr>
        <w:pStyle w:val="BodyText"/>
        <w:spacing w:before="8"/>
        <w:ind w:left="186"/>
        <w:rPr>
          <w:rFonts w:ascii="Trebuchet MS"/>
        </w:rPr>
      </w:pPr>
      <w:r>
        <w:rPr>
          <w:rFonts w:ascii="Trebuchet MS"/>
          <w:color w:val="008356"/>
        </w:rPr>
        <w:t>Reboxetine</w:t>
      </w:r>
    </w:p>
    <w:p>
      <w:pPr>
        <w:pStyle w:val="BodyText"/>
        <w:ind w:left="286" w:right="330"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manufacturer of reboxetine advises </w:t>
      </w:r>
      <w:r>
        <w:rPr>
          <w:color w:val="231F1F"/>
          <w:spacing w:val="-3"/>
          <w:w w:val="110"/>
        </w:rPr>
        <w:t>avoid </w:t>
      </w:r>
      <w:r>
        <w:rPr>
          <w:color w:val="231F1F"/>
          <w:w w:val="110"/>
        </w:rPr>
        <w:t>concomitant use with </w:t>
      </w:r>
      <w:r>
        <w:rPr>
          <w:rFonts w:ascii="Arial"/>
          <w:color w:val="231F1F"/>
          <w:w w:val="355"/>
          <w:position w:val="1"/>
          <w:sz w:val="7"/>
        </w:rPr>
        <w:t>l </w:t>
      </w:r>
      <w:r>
        <w:rPr>
          <w:rFonts w:ascii="Calibri"/>
          <w:color w:val="008356"/>
          <w:spacing w:val="4"/>
          <w:w w:val="110"/>
          <w:sz w:val="11"/>
        </w:rPr>
        <w:t>MACROLIDES</w:t>
      </w:r>
    </w:p>
    <w:p>
      <w:pPr>
        <w:pStyle w:val="BodyText"/>
        <w:spacing w:line="244" w:lineRule="auto"/>
        <w:ind w:left="286" w:right="70" w:hanging="100"/>
      </w:pPr>
      <w:r>
        <w:rPr>
          <w:rFonts w:ascii="Arial"/>
          <w:color w:val="231F1F"/>
          <w:w w:val="355"/>
          <w:position w:val="1"/>
          <w:sz w:val="7"/>
        </w:rPr>
        <w:t>l </w:t>
      </w:r>
      <w:r>
        <w:rPr>
          <w:rFonts w:ascii="Calibri"/>
          <w:color w:val="231F1F"/>
          <w:w w:val="110"/>
        </w:rPr>
        <w:t>Antidepressants: </w:t>
      </w:r>
      <w:r>
        <w:rPr>
          <w:color w:val="231F1F"/>
          <w:w w:val="110"/>
        </w:rPr>
        <w:t>manufacturer of reboxetine advises avoid concomitant use with </w:t>
      </w:r>
      <w:r>
        <w:rPr>
          <w:rFonts w:ascii="Arial"/>
          <w:color w:val="231F1F"/>
          <w:w w:val="355"/>
          <w:position w:val="1"/>
          <w:sz w:val="7"/>
        </w:rPr>
        <w:t>l </w:t>
      </w:r>
      <w:r>
        <w:rPr>
          <w:rFonts w:ascii="Calibri"/>
          <w:color w:val="008356"/>
          <w:spacing w:val="4"/>
          <w:w w:val="110"/>
          <w:sz w:val="11"/>
        </w:rPr>
        <w:t>FLUVOXAMINE</w:t>
      </w:r>
      <w:r>
        <w:rPr>
          <w:color w:val="231F1F"/>
          <w:spacing w:val="4"/>
          <w:w w:val="110"/>
        </w:rPr>
        <w:t>; </w:t>
      </w:r>
      <w:r>
        <w:rPr>
          <w:color w:val="231F1F"/>
          <w:w w:val="110"/>
        </w:rPr>
        <w:t>increased risk of hypertension and CNS excitation when reboxetine given </w:t>
      </w:r>
      <w:r>
        <w:rPr>
          <w:color w:val="231F1F"/>
          <w:spacing w:val="-4"/>
          <w:w w:val="110"/>
        </w:rPr>
        <w:t>with  </w:t>
      </w:r>
      <w:r>
        <w:rPr>
          <w:rFonts w:ascii="Arial"/>
          <w:color w:val="231F1F"/>
          <w:w w:val="355"/>
          <w:position w:val="1"/>
          <w:sz w:val="7"/>
        </w:rPr>
        <w:t>l </w:t>
      </w:r>
      <w:r>
        <w:rPr>
          <w:rFonts w:ascii="Calibri"/>
          <w:color w:val="008356"/>
          <w:spacing w:val="4"/>
          <w:w w:val="110"/>
          <w:sz w:val="11"/>
        </w:rPr>
        <w:t>MAOIS </w:t>
      </w:r>
      <w:r>
        <w:rPr>
          <w:color w:val="231F1F"/>
          <w:w w:val="110"/>
        </w:rPr>
        <w:t>(MAOIs should not be started until 1 week after stopping reboxetine, avoid reboxetine for 2 weeks after stopping</w:t>
      </w:r>
      <w:r>
        <w:rPr>
          <w:color w:val="231F1F"/>
          <w:spacing w:val="-4"/>
          <w:w w:val="110"/>
        </w:rPr>
        <w:t> </w:t>
      </w:r>
      <w:r>
        <w:rPr>
          <w:color w:val="231F1F"/>
          <w:w w:val="110"/>
        </w:rPr>
        <w:t>MAOIs)</w:t>
      </w:r>
    </w:p>
    <w:p>
      <w:pPr>
        <w:spacing w:line="220" w:lineRule="auto" w:before="5"/>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reboxetine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PHENOBARBITAL </w:t>
      </w:r>
      <w:r>
        <w:rPr>
          <w:color w:val="231F1F"/>
          <w:w w:val="105"/>
          <w:sz w:val="12"/>
        </w:rPr>
        <w:t>and </w:t>
      </w:r>
      <w:r>
        <w:rPr>
          <w:rFonts w:ascii="Calibri" w:hAnsi="Calibri"/>
          <w:color w:val="008356"/>
          <w:w w:val="105"/>
          <w:sz w:val="11"/>
        </w:rPr>
        <w:t>PRIMIDONE</w:t>
      </w:r>
    </w:p>
    <w:p>
      <w:pPr>
        <w:spacing w:before="0"/>
        <w:ind w:left="286" w:right="448" w:hanging="100"/>
        <w:jc w:val="left"/>
        <w:rPr>
          <w:rFonts w:ascii="Calibri"/>
          <w:sz w:val="11"/>
        </w:rPr>
      </w:pPr>
      <w:r>
        <w:rPr>
          <w:rFonts w:ascii="Arial"/>
          <w:color w:val="231F1F"/>
          <w:w w:val="355"/>
          <w:position w:val="1"/>
          <w:sz w:val="7"/>
        </w:rPr>
        <w:t>l </w:t>
      </w:r>
      <w:r>
        <w:rPr>
          <w:rFonts w:ascii="Calibri"/>
          <w:color w:val="231F1F"/>
          <w:w w:val="110"/>
          <w:sz w:val="12"/>
        </w:rPr>
        <w:t>Antifungals: </w:t>
      </w:r>
      <w:r>
        <w:rPr>
          <w:color w:val="231F1F"/>
          <w:w w:val="110"/>
          <w:sz w:val="12"/>
        </w:rPr>
        <w:t>manufacturer of reboxetine advises avoid concomitant use with </w:t>
      </w:r>
      <w:r>
        <w:rPr>
          <w:rFonts w:ascii="Arial"/>
          <w:color w:val="231F1F"/>
          <w:w w:val="355"/>
          <w:position w:val="1"/>
          <w:sz w:val="7"/>
        </w:rPr>
        <w:t>l </w:t>
      </w:r>
      <w:r>
        <w:rPr>
          <w:rFonts w:ascii="Calibri"/>
          <w:color w:val="008356"/>
          <w:w w:val="110"/>
          <w:sz w:val="11"/>
        </w:rPr>
        <w:t>IMIDAZOLES </w:t>
      </w:r>
      <w:r>
        <w:rPr>
          <w:color w:val="231F1F"/>
          <w:w w:val="110"/>
          <w:sz w:val="12"/>
        </w:rPr>
        <w:t>and </w:t>
      </w:r>
      <w:r>
        <w:rPr>
          <w:rFonts w:ascii="Arial"/>
          <w:color w:val="231F1F"/>
          <w:w w:val="355"/>
          <w:position w:val="1"/>
          <w:sz w:val="7"/>
        </w:rPr>
        <w:t>l </w:t>
      </w:r>
      <w:r>
        <w:rPr>
          <w:rFonts w:ascii="Calibri"/>
          <w:color w:val="008356"/>
          <w:w w:val="110"/>
          <w:sz w:val="11"/>
        </w:rPr>
        <w:t>TRIAZOLES</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Reboxetine </w:t>
      </w:r>
      <w:r>
        <w:rPr>
          <w:rFonts w:ascii="Calibri"/>
          <w:color w:val="231F1F"/>
        </w:rPr>
        <w:t>(continued)</w:t>
      </w:r>
    </w:p>
    <w:p>
      <w:pPr>
        <w:spacing w:line="247" w:lineRule="auto" w:before="0"/>
        <w:ind w:left="286" w:right="971"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20"/>
          <w:position w:val="1"/>
          <w:sz w:val="7"/>
        </w:rPr>
        <w:t>l</w:t>
      </w:r>
      <w:r>
        <w:rPr>
          <w:rFonts w:ascii="Arial"/>
          <w:color w:val="231F1F"/>
          <w:spacing w:val="-52"/>
          <w:w w:val="320"/>
          <w:position w:val="1"/>
          <w:sz w:val="7"/>
        </w:rPr>
        <w:t> </w:t>
      </w:r>
      <w:r>
        <w:rPr>
          <w:rFonts w:ascii="Calibri"/>
          <w:color w:val="008356"/>
          <w:spacing w:val="4"/>
          <w:w w:val="110"/>
          <w:sz w:val="11"/>
        </w:rPr>
        <w:t>ARTEMETHER</w:t>
      </w:r>
      <w:r>
        <w:rPr>
          <w:rFonts w:ascii="Calibri"/>
          <w:color w:val="008356"/>
          <w:spacing w:val="-17"/>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WITH </w:t>
      </w:r>
      <w:r>
        <w:rPr>
          <w:rFonts w:ascii="Calibri"/>
          <w:color w:val="008356"/>
          <w:spacing w:val="5"/>
          <w:w w:val="110"/>
          <w:sz w:val="11"/>
        </w:rPr>
        <w:t>PIPERAQUINE</w:t>
      </w:r>
    </w:p>
    <w:p>
      <w:pPr>
        <w:pStyle w:val="BodyText"/>
        <w:spacing w:line="220" w:lineRule="auto"/>
        <w:ind w:left="286" w:right="87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spacing w:line="237" w:lineRule="auto" w:before="1"/>
        <w:ind w:left="286" w:right="96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possible increased risk of hypokalaemia when reboxetine given with </w:t>
      </w:r>
      <w:r>
        <w:rPr>
          <w:rFonts w:ascii="Calibri" w:hAnsi="Calibri"/>
          <w:color w:val="008356"/>
          <w:w w:val="105"/>
          <w:sz w:val="11"/>
        </w:rPr>
        <w:t>LOOP DIURETICS </w:t>
      </w:r>
      <w:r>
        <w:rPr>
          <w:color w:val="231F1F"/>
          <w:w w:val="105"/>
          <w:sz w:val="12"/>
        </w:rPr>
        <w:t>or </w:t>
      </w:r>
      <w:r>
        <w:rPr>
          <w:rFonts w:ascii="Calibri" w:hAnsi="Calibri"/>
          <w:color w:val="008356"/>
          <w:w w:val="105"/>
          <w:sz w:val="11"/>
        </w:rPr>
        <w:t>THIAZIDES AND RELATED DIURETICS</w:t>
      </w:r>
    </w:p>
    <w:p>
      <w:pPr>
        <w:pStyle w:val="BodyText"/>
        <w:spacing w:line="220" w:lineRule="auto" w:before="6"/>
        <w:ind w:left="286" w:right="605" w:hanging="100"/>
        <w:rPr>
          <w:rFonts w:ascii="Calibri" w:hAnsi="Calibri"/>
          <w:sz w:val="11"/>
        </w:rPr>
      </w:pPr>
      <w:r>
        <w:rPr>
          <w:rFonts w:ascii="Lucida Sans Unicode" w:hAnsi="Lucida Sans Unicode"/>
          <w:color w:val="A7A8AC"/>
          <w:w w:val="95"/>
          <w:sz w:val="10"/>
        </w:rPr>
        <w:t>▶ </w:t>
      </w:r>
      <w:r>
        <w:rPr>
          <w:rFonts w:ascii="Calibri" w:hAnsi="Calibri"/>
          <w:color w:val="231F1F"/>
          <w:w w:val="105"/>
        </w:rPr>
        <w:t>Ergot Alkaloids: </w:t>
      </w:r>
      <w:r>
        <w:rPr>
          <w:color w:val="231F1F"/>
          <w:w w:val="105"/>
        </w:rPr>
        <w:t>possible risk of hypertension when reboxetine given with </w:t>
      </w:r>
      <w:r>
        <w:rPr>
          <w:rFonts w:ascii="Calibri" w:hAnsi="Calibri"/>
          <w:color w:val="008356"/>
          <w:w w:val="105"/>
          <w:sz w:val="11"/>
        </w:rPr>
        <w:t>ERGOTAMINE</w:t>
      </w:r>
    </w:p>
    <w:p>
      <w:pPr>
        <w:pStyle w:val="BodyText"/>
        <w:spacing w:before="9"/>
        <w:ind w:left="186"/>
        <w:rPr>
          <w:rFonts w:ascii="Trebuchet MS"/>
        </w:rPr>
      </w:pPr>
      <w:r>
        <w:rPr>
          <w:rFonts w:ascii="Trebuchet MS"/>
          <w:color w:val="008356"/>
        </w:rPr>
        <w:t>Regorafenib</w:t>
      </w:r>
    </w:p>
    <w:p>
      <w:pPr>
        <w:pStyle w:val="BodyText"/>
        <w:spacing w:line="220" w:lineRule="auto" w:before="9"/>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manufacturer of regorafenib advises avoid concomitant use with </w:t>
      </w:r>
      <w:r>
        <w:rPr>
          <w:rFonts w:ascii="Calibri" w:hAnsi="Calibri"/>
          <w:color w:val="008356"/>
          <w:w w:val="105"/>
          <w:sz w:val="11"/>
        </w:rPr>
        <w:t>MEFENAMIC ACID</w:t>
      </w:r>
    </w:p>
    <w:p>
      <w:pPr>
        <w:pStyle w:val="BodyText"/>
        <w:ind w:left="286" w:right="716" w:hanging="100"/>
        <w:jc w:val="both"/>
      </w:pP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231F1F"/>
          <w:w w:val="115"/>
        </w:rPr>
        <w:t>Antibacterials:</w:t>
      </w:r>
      <w:r>
        <w:rPr>
          <w:rFonts w:ascii="Calibri" w:hAnsi="Calibri"/>
          <w:color w:val="231F1F"/>
          <w:spacing w:val="-7"/>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10"/>
          <w:w w:val="115"/>
        </w:rPr>
        <w:t> </w:t>
      </w:r>
      <w:r>
        <w:rPr>
          <w:color w:val="231F1F"/>
          <w:w w:val="115"/>
        </w:rPr>
        <w:t>regorafenib</w:t>
      </w:r>
      <w:r>
        <w:rPr>
          <w:color w:val="231F1F"/>
          <w:spacing w:val="-12"/>
          <w:w w:val="115"/>
        </w:rPr>
        <w:t> </w:t>
      </w:r>
      <w:r>
        <w:rPr>
          <w:color w:val="231F1F"/>
          <w:w w:val="115"/>
        </w:rPr>
        <w:t>reduced by</w:t>
      </w:r>
      <w:r>
        <w:rPr>
          <w:color w:val="231F1F"/>
          <w:spacing w:val="-14"/>
          <w:w w:val="115"/>
        </w:rPr>
        <w:t> </w:t>
      </w: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w w:val="115"/>
          <w:sz w:val="11"/>
        </w:rPr>
        <w:t>RIFAMPICIN</w:t>
      </w:r>
      <w:r>
        <w:rPr>
          <w:rFonts w:ascii="Arial" w:hAnsi="Arial"/>
          <w:color w:val="231F1F"/>
          <w:w w:val="115"/>
        </w:rPr>
        <w:t>—</w:t>
      </w:r>
      <w:r>
        <w:rPr>
          <w:color w:val="231F1F"/>
          <w:w w:val="115"/>
        </w:rPr>
        <w:t>manufacturer</w:t>
      </w:r>
      <w:r>
        <w:rPr>
          <w:color w:val="231F1F"/>
          <w:spacing w:val="-14"/>
          <w:w w:val="115"/>
        </w:rPr>
        <w:t> </w:t>
      </w:r>
      <w:r>
        <w:rPr>
          <w:color w:val="231F1F"/>
          <w:w w:val="115"/>
        </w:rPr>
        <w:t>of</w:t>
      </w:r>
      <w:r>
        <w:rPr>
          <w:color w:val="231F1F"/>
          <w:spacing w:val="-14"/>
          <w:w w:val="115"/>
        </w:rPr>
        <w:t> </w:t>
      </w:r>
      <w:r>
        <w:rPr>
          <w:color w:val="231F1F"/>
          <w:w w:val="115"/>
        </w:rPr>
        <w:t>regorafenib</w:t>
      </w:r>
      <w:r>
        <w:rPr>
          <w:color w:val="231F1F"/>
          <w:spacing w:val="-13"/>
          <w:w w:val="115"/>
        </w:rPr>
        <w:t> </w:t>
      </w:r>
      <w:r>
        <w:rPr>
          <w:color w:val="231F1F"/>
          <w:w w:val="115"/>
        </w:rPr>
        <w:t>advises</w:t>
      </w:r>
      <w:r>
        <w:rPr>
          <w:color w:val="231F1F"/>
          <w:spacing w:val="-15"/>
          <w:w w:val="115"/>
        </w:rPr>
        <w:t> </w:t>
      </w:r>
      <w:r>
        <w:rPr>
          <w:color w:val="231F1F"/>
          <w:spacing w:val="-3"/>
          <w:w w:val="115"/>
        </w:rPr>
        <w:t>avoid </w:t>
      </w:r>
      <w:r>
        <w:rPr>
          <w:color w:val="231F1F"/>
          <w:w w:val="120"/>
        </w:rPr>
        <w:t>concomitant</w:t>
      </w:r>
      <w:r>
        <w:rPr>
          <w:color w:val="231F1F"/>
          <w:spacing w:val="-7"/>
          <w:w w:val="120"/>
        </w:rPr>
        <w:t> </w:t>
      </w:r>
      <w:r>
        <w:rPr>
          <w:color w:val="231F1F"/>
          <w:w w:val="120"/>
        </w:rPr>
        <w:t>use</w:t>
      </w:r>
    </w:p>
    <w:p>
      <w:pPr>
        <w:pStyle w:val="BodyText"/>
        <w:spacing w:before="2"/>
        <w:ind w:left="286" w:right="766" w:hanging="100"/>
        <w:jc w:val="both"/>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0"/>
        </w:rPr>
        <w:t>Anticoagulants: </w:t>
      </w:r>
      <w:r>
        <w:rPr>
          <w:color w:val="231F1F"/>
          <w:w w:val="110"/>
        </w:rPr>
        <w:t>increased risk of bleeding when regorafenib given with </w:t>
      </w:r>
      <w:r>
        <w:rPr>
          <w:rFonts w:ascii="Arial"/>
          <w:color w:val="231F1F"/>
          <w:w w:val="355"/>
          <w:position w:val="1"/>
          <w:sz w:val="7"/>
        </w:rPr>
        <w:t>l</w:t>
      </w:r>
      <w:r>
        <w:rPr>
          <w:rFonts w:ascii="Arial"/>
          <w:color w:val="231F1F"/>
          <w:spacing w:val="-47"/>
          <w:w w:val="355"/>
          <w:position w:val="1"/>
          <w:sz w:val="7"/>
        </w:rPr>
        <w:t> </w:t>
      </w:r>
      <w:r>
        <w:rPr>
          <w:rFonts w:ascii="Calibri"/>
          <w:color w:val="008356"/>
          <w:spacing w:val="3"/>
          <w:w w:val="110"/>
          <w:sz w:val="11"/>
        </w:rPr>
        <w:t>WARFARIN</w:t>
      </w:r>
    </w:p>
    <w:p>
      <w:pPr>
        <w:pStyle w:val="BodyText"/>
        <w:spacing w:line="143" w:lineRule="exact"/>
        <w:ind w:left="186"/>
      </w:pPr>
      <w:r>
        <w:rPr>
          <w:rFonts w:ascii="Arial"/>
          <w:color w:val="231F1F"/>
          <w:w w:val="355"/>
          <w:position w:val="1"/>
          <w:sz w:val="7"/>
        </w:rPr>
        <w:t>l </w:t>
      </w:r>
      <w:r>
        <w:rPr>
          <w:rFonts w:ascii="Calibri"/>
          <w:color w:val="231F1F"/>
          <w:w w:val="115"/>
        </w:rPr>
        <w:t>Antifungals: </w:t>
      </w:r>
      <w:r>
        <w:rPr>
          <w:color w:val="231F1F"/>
          <w:w w:val="115"/>
        </w:rPr>
        <w:t>plasma concentration of regorafenib increased by</w:t>
      </w:r>
    </w:p>
    <w:p>
      <w:pPr>
        <w:spacing w:line="141" w:lineRule="exact" w:before="0"/>
        <w:ind w:left="286" w:right="0" w:firstLine="0"/>
        <w:jc w:val="both"/>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KETOCONAZOLE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Cytotoxics: </w:t>
      </w:r>
      <w:r>
        <w:rPr>
          <w:color w:val="231F1F"/>
          <w:w w:val="105"/>
        </w:rPr>
        <w:t>regorafenib increases plasma concentration of</w:t>
      </w:r>
    </w:p>
    <w:p>
      <w:pPr>
        <w:spacing w:line="132" w:lineRule="exact" w:before="0"/>
        <w:ind w:left="286" w:right="0" w:firstLine="0"/>
        <w:jc w:val="left"/>
        <w:rPr>
          <w:rFonts w:ascii="Calibri"/>
          <w:sz w:val="11"/>
        </w:rPr>
      </w:pPr>
      <w:r>
        <w:rPr>
          <w:rFonts w:ascii="Calibri"/>
          <w:color w:val="008356"/>
          <w:sz w:val="11"/>
        </w:rPr>
        <w:t>IRINOTECAN</w:t>
      </w:r>
    </w:p>
    <w:p>
      <w:pPr>
        <w:pStyle w:val="BodyText"/>
        <w:spacing w:line="256" w:lineRule="auto" w:before="6"/>
        <w:ind w:left="186" w:right="1962"/>
        <w:rPr>
          <w:rFonts w:ascii="Trebuchet MS"/>
        </w:rPr>
      </w:pPr>
      <w:r>
        <w:rPr>
          <w:rFonts w:ascii="Trebuchet MS"/>
          <w:color w:val="008356"/>
          <w:w w:val="105"/>
        </w:rPr>
        <w:t>Remifentanil </w:t>
      </w:r>
      <w:r>
        <w:rPr>
          <w:i/>
          <w:color w:val="231F1F"/>
          <w:w w:val="105"/>
        </w:rPr>
        <w:t>see </w:t>
      </w:r>
      <w:r>
        <w:rPr>
          <w:color w:val="231F1F"/>
          <w:w w:val="105"/>
        </w:rPr>
        <w:t>Opioid Analgesics </w:t>
      </w:r>
      <w:r>
        <w:rPr>
          <w:rFonts w:ascii="Trebuchet MS"/>
          <w:color w:val="008356"/>
          <w:w w:val="105"/>
        </w:rPr>
        <w:t>Repaglinide </w:t>
      </w:r>
      <w:r>
        <w:rPr>
          <w:i/>
          <w:color w:val="231F1F"/>
          <w:w w:val="105"/>
        </w:rPr>
        <w:t>see </w:t>
      </w:r>
      <w:r>
        <w:rPr>
          <w:color w:val="231F1F"/>
          <w:w w:val="105"/>
        </w:rPr>
        <w:t>Antidiabetics </w:t>
      </w:r>
      <w:r>
        <w:rPr>
          <w:rFonts w:ascii="Trebuchet MS"/>
          <w:color w:val="008356"/>
          <w:w w:val="105"/>
        </w:rPr>
        <w:t>Retigabine</w:t>
      </w:r>
    </w:p>
    <w:p>
      <w:pPr>
        <w:pStyle w:val="BodyText"/>
        <w:spacing w:line="220" w:lineRule="auto" w:before="1"/>
        <w:ind w:left="286" w:right="482"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increased risk of blurred vision when retigabine given with </w:t>
      </w:r>
      <w:r>
        <w:rPr>
          <w:rFonts w:ascii="Calibri" w:hAnsi="Calibri"/>
          <w:color w:val="008356"/>
          <w:w w:val="110"/>
          <w:sz w:val="11"/>
        </w:rPr>
        <w:t>ALCOHOL</w:t>
      </w:r>
    </w:p>
    <w:p>
      <w:pPr>
        <w:spacing w:line="242" w:lineRule="auto" w:before="0"/>
        <w:ind w:left="286" w:right="605"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spacing w:line="220" w:lineRule="auto" w:before="4"/>
        <w:ind w:left="286" w:right="60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retigabine possibly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ind w:left="286" w:right="1145"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7"/>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MEFLOQUINE</w:t>
      </w:r>
    </w:p>
    <w:p>
      <w:pPr>
        <w:pStyle w:val="BodyText"/>
        <w:ind w:left="286" w:right="605"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left="286" w:right="1079"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39" w:lineRule="exact" w:before="6"/>
        <w:ind w:left="186"/>
        <w:rPr>
          <w:rFonts w:ascii="Trebuchet MS"/>
        </w:rPr>
      </w:pPr>
      <w:r>
        <w:rPr>
          <w:rFonts w:ascii="Trebuchet MS"/>
          <w:color w:val="008356"/>
        </w:rPr>
        <w:t>Retinoids</w:t>
      </w:r>
    </w:p>
    <w:p>
      <w:pPr>
        <w:pStyle w:val="BodyText"/>
        <w:ind w:left="286" w:right="935" w:hanging="100"/>
        <w:jc w:val="both"/>
      </w:pPr>
      <w:r>
        <w:rPr>
          <w:rFonts w:ascii="Arial"/>
          <w:color w:val="231F1F"/>
          <w:w w:val="355"/>
          <w:position w:val="1"/>
          <w:sz w:val="7"/>
        </w:rPr>
        <w:t>l</w:t>
      </w:r>
      <w:r>
        <w:rPr>
          <w:rFonts w:ascii="Arial"/>
          <w:color w:val="231F1F"/>
          <w:spacing w:val="-35"/>
          <w:w w:val="355"/>
          <w:position w:val="1"/>
          <w:sz w:val="7"/>
        </w:rPr>
        <w:t> </w:t>
      </w:r>
      <w:r>
        <w:rPr>
          <w:rFonts w:ascii="Calibri"/>
          <w:color w:val="231F1F"/>
          <w:w w:val="115"/>
        </w:rPr>
        <w:t>Alcohol:</w:t>
      </w:r>
      <w:r>
        <w:rPr>
          <w:rFonts w:ascii="Calibri"/>
          <w:color w:val="231F1F"/>
          <w:spacing w:val="-4"/>
          <w:w w:val="115"/>
        </w:rPr>
        <w:t> </w:t>
      </w:r>
      <w:r>
        <w:rPr>
          <w:color w:val="231F1F"/>
          <w:w w:val="115"/>
        </w:rPr>
        <w:t>etretinate</w:t>
      </w:r>
      <w:r>
        <w:rPr>
          <w:color w:val="231F1F"/>
          <w:spacing w:val="-8"/>
          <w:w w:val="115"/>
        </w:rPr>
        <w:t> </w:t>
      </w:r>
      <w:r>
        <w:rPr>
          <w:color w:val="231F1F"/>
          <w:w w:val="115"/>
        </w:rPr>
        <w:t>formed</w:t>
      </w:r>
      <w:r>
        <w:rPr>
          <w:color w:val="231F1F"/>
          <w:spacing w:val="-7"/>
          <w:w w:val="115"/>
        </w:rPr>
        <w:t> </w:t>
      </w:r>
      <w:r>
        <w:rPr>
          <w:color w:val="231F1F"/>
          <w:w w:val="115"/>
        </w:rPr>
        <w:t>from</w:t>
      </w:r>
      <w:r>
        <w:rPr>
          <w:color w:val="231F1F"/>
          <w:spacing w:val="-7"/>
          <w:w w:val="115"/>
        </w:rPr>
        <w:t> </w:t>
      </w:r>
      <w:r>
        <w:rPr>
          <w:color w:val="231F1F"/>
          <w:w w:val="115"/>
        </w:rPr>
        <w:t>acitretin</w:t>
      </w:r>
      <w:r>
        <w:rPr>
          <w:color w:val="231F1F"/>
          <w:spacing w:val="-8"/>
          <w:w w:val="115"/>
        </w:rPr>
        <w:t> </w:t>
      </w:r>
      <w:r>
        <w:rPr>
          <w:color w:val="231F1F"/>
          <w:w w:val="115"/>
        </w:rPr>
        <w:t>in</w:t>
      </w:r>
      <w:r>
        <w:rPr>
          <w:color w:val="231F1F"/>
          <w:spacing w:val="-6"/>
          <w:w w:val="115"/>
        </w:rPr>
        <w:t> </w:t>
      </w:r>
      <w:r>
        <w:rPr>
          <w:color w:val="231F1F"/>
          <w:w w:val="115"/>
        </w:rPr>
        <w:t>presence</w:t>
      </w:r>
      <w:r>
        <w:rPr>
          <w:color w:val="231F1F"/>
          <w:spacing w:val="-7"/>
          <w:w w:val="115"/>
        </w:rPr>
        <w:t> </w:t>
      </w:r>
      <w:r>
        <w:rPr>
          <w:color w:val="231F1F"/>
          <w:w w:val="115"/>
        </w:rPr>
        <w:t>of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ALCOHOL</w:t>
      </w:r>
      <w:r>
        <w:rPr>
          <w:rFonts w:ascii="Calibri"/>
          <w:color w:val="008356"/>
          <w:spacing w:val="-5"/>
          <w:w w:val="115"/>
          <w:sz w:val="11"/>
        </w:rPr>
        <w:t> </w:t>
      </w:r>
      <w:r>
        <w:rPr>
          <w:color w:val="231F1F"/>
          <w:w w:val="115"/>
        </w:rPr>
        <w:t>(increased</w:t>
      </w:r>
      <w:r>
        <w:rPr>
          <w:color w:val="231F1F"/>
          <w:spacing w:val="-15"/>
          <w:w w:val="115"/>
        </w:rPr>
        <w:t> </w:t>
      </w:r>
      <w:r>
        <w:rPr>
          <w:color w:val="231F1F"/>
          <w:w w:val="115"/>
        </w:rPr>
        <w:t>risk</w:t>
      </w:r>
      <w:r>
        <w:rPr>
          <w:color w:val="231F1F"/>
          <w:spacing w:val="-14"/>
          <w:w w:val="115"/>
        </w:rPr>
        <w:t> </w:t>
      </w:r>
      <w:r>
        <w:rPr>
          <w:color w:val="231F1F"/>
          <w:w w:val="115"/>
        </w:rPr>
        <w:t>of</w:t>
      </w:r>
      <w:r>
        <w:rPr>
          <w:color w:val="231F1F"/>
          <w:spacing w:val="-15"/>
          <w:w w:val="115"/>
        </w:rPr>
        <w:t> </w:t>
      </w:r>
      <w:r>
        <w:rPr>
          <w:color w:val="231F1F"/>
          <w:w w:val="115"/>
        </w:rPr>
        <w:t>teratogenicity</w:t>
      </w:r>
      <w:r>
        <w:rPr>
          <w:color w:val="231F1F"/>
          <w:spacing w:val="-15"/>
          <w:w w:val="115"/>
        </w:rPr>
        <w:t> </w:t>
      </w:r>
      <w:r>
        <w:rPr>
          <w:color w:val="231F1F"/>
          <w:w w:val="115"/>
        </w:rPr>
        <w:t>in</w:t>
      </w:r>
      <w:r>
        <w:rPr>
          <w:color w:val="231F1F"/>
          <w:spacing w:val="-14"/>
          <w:w w:val="115"/>
        </w:rPr>
        <w:t> </w:t>
      </w:r>
      <w:r>
        <w:rPr>
          <w:color w:val="231F1F"/>
          <w:w w:val="115"/>
        </w:rPr>
        <w:t>women</w:t>
      </w:r>
      <w:r>
        <w:rPr>
          <w:color w:val="231F1F"/>
          <w:spacing w:val="-15"/>
          <w:w w:val="115"/>
        </w:rPr>
        <w:t> </w:t>
      </w:r>
      <w:r>
        <w:rPr>
          <w:color w:val="231F1F"/>
          <w:spacing w:val="-7"/>
          <w:w w:val="115"/>
        </w:rPr>
        <w:t>of </w:t>
      </w:r>
      <w:r>
        <w:rPr>
          <w:color w:val="231F1F"/>
          <w:w w:val="115"/>
        </w:rPr>
        <w:t>child-bearing</w:t>
      </w:r>
      <w:r>
        <w:rPr>
          <w:color w:val="231F1F"/>
          <w:spacing w:val="-5"/>
          <w:w w:val="115"/>
        </w:rPr>
        <w:t> </w:t>
      </w:r>
      <w:r>
        <w:rPr>
          <w:color w:val="231F1F"/>
          <w:w w:val="115"/>
        </w:rPr>
        <w:t>potential)</w:t>
      </w:r>
    </w:p>
    <w:p>
      <w:pPr>
        <w:pStyle w:val="BodyText"/>
        <w:spacing w:before="2"/>
        <w:ind w:left="286" w:right="605" w:hanging="100"/>
      </w:pPr>
      <w:r>
        <w:rPr>
          <w:rFonts w:ascii="Arial"/>
          <w:color w:val="231F1F"/>
          <w:w w:val="355"/>
          <w:position w:val="1"/>
          <w:sz w:val="7"/>
        </w:rPr>
        <w:t>l </w:t>
      </w:r>
      <w:r>
        <w:rPr>
          <w:rFonts w:ascii="Calibri"/>
          <w:color w:val="231F1F"/>
          <w:w w:val="110"/>
        </w:rPr>
        <w:t>Antibacterials: </w:t>
      </w:r>
      <w:r>
        <w:rPr>
          <w:color w:val="231F1F"/>
          <w:w w:val="110"/>
        </w:rPr>
        <w:t>possible increased risk of benign </w:t>
      </w:r>
      <w:r>
        <w:rPr>
          <w:color w:val="231F1F"/>
          <w:spacing w:val="-2"/>
          <w:w w:val="110"/>
        </w:rPr>
        <w:t>intracranial </w:t>
      </w:r>
      <w:r>
        <w:rPr>
          <w:color w:val="231F1F"/>
          <w:w w:val="110"/>
        </w:rPr>
        <w:t>hypertension when retinoids given with </w:t>
      </w:r>
      <w:r>
        <w:rPr>
          <w:rFonts w:ascii="Arial"/>
          <w:color w:val="231F1F"/>
          <w:w w:val="355"/>
          <w:position w:val="1"/>
          <w:sz w:val="7"/>
        </w:rPr>
        <w:t>l </w:t>
      </w:r>
      <w:r>
        <w:rPr>
          <w:rFonts w:ascii="Calibri"/>
          <w:color w:val="008356"/>
          <w:spacing w:val="5"/>
          <w:w w:val="110"/>
          <w:sz w:val="11"/>
        </w:rPr>
        <w:t>TETRACYCLINES </w:t>
      </w:r>
      <w:r>
        <w:rPr>
          <w:color w:val="231F1F"/>
          <w:w w:val="110"/>
        </w:rPr>
        <w:t>(avoid concomitant</w:t>
      </w:r>
      <w:r>
        <w:rPr>
          <w:color w:val="231F1F"/>
          <w:spacing w:val="-4"/>
          <w:w w:val="110"/>
        </w:rPr>
        <w:t> </w:t>
      </w:r>
      <w:r>
        <w:rPr>
          <w:color w:val="231F1F"/>
          <w:w w:val="110"/>
        </w:rPr>
        <w:t>use)</w:t>
      </w:r>
    </w:p>
    <w:p>
      <w:pPr>
        <w:pStyle w:val="BodyText"/>
        <w:spacing w:before="3"/>
        <w:ind w:left="286" w:right="624"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Anticoagulants:</w:t>
      </w:r>
      <w:r>
        <w:rPr>
          <w:rFonts w:ascii="Calibri"/>
          <w:color w:val="231F1F"/>
          <w:spacing w:val="-14"/>
          <w:w w:val="115"/>
        </w:rPr>
        <w:t> </w:t>
      </w:r>
      <w:r>
        <w:rPr>
          <w:color w:val="231F1F"/>
          <w:w w:val="115"/>
        </w:rPr>
        <w:t>acitretin</w:t>
      </w:r>
      <w:r>
        <w:rPr>
          <w:color w:val="231F1F"/>
          <w:spacing w:val="-18"/>
          <w:w w:val="115"/>
        </w:rPr>
        <w:t> </w:t>
      </w:r>
      <w:r>
        <w:rPr>
          <w:color w:val="231F1F"/>
          <w:w w:val="115"/>
        </w:rPr>
        <w:t>possibly</w:t>
      </w:r>
      <w:r>
        <w:rPr>
          <w:color w:val="231F1F"/>
          <w:spacing w:val="-18"/>
          <w:w w:val="115"/>
        </w:rPr>
        <w:t> </w:t>
      </w:r>
      <w:r>
        <w:rPr>
          <w:color w:val="231F1F"/>
          <w:w w:val="115"/>
        </w:rPr>
        <w:t>reduces</w:t>
      </w:r>
      <w:r>
        <w:rPr>
          <w:color w:val="231F1F"/>
          <w:spacing w:val="-18"/>
          <w:w w:val="115"/>
        </w:rPr>
        <w:t> </w:t>
      </w:r>
      <w:r>
        <w:rPr>
          <w:color w:val="231F1F"/>
          <w:w w:val="115"/>
        </w:rPr>
        <w:t>anticoagulant</w:t>
      </w:r>
      <w:r>
        <w:rPr>
          <w:color w:val="231F1F"/>
          <w:spacing w:val="-18"/>
          <w:w w:val="115"/>
        </w:rPr>
        <w:t> </w:t>
      </w:r>
      <w:r>
        <w:rPr>
          <w:color w:val="231F1F"/>
          <w:spacing w:val="-3"/>
          <w:w w:val="115"/>
        </w:rPr>
        <w:t>effect </w:t>
      </w:r>
      <w:r>
        <w:rPr>
          <w:color w:val="231F1F"/>
          <w:w w:val="115"/>
        </w:rPr>
        <w:t>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5"/>
          <w:w w:val="115"/>
          <w:sz w:val="11"/>
        </w:rPr>
        <w:t>COUMARINS</w:t>
      </w:r>
    </w:p>
    <w:p>
      <w:pPr>
        <w:pStyle w:val="BodyText"/>
        <w:spacing w:line="220" w:lineRule="auto" w:before="5"/>
        <w:ind w:left="286" w:right="70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Antiepileptics: </w:t>
      </w:r>
      <w:r>
        <w:rPr>
          <w:color w:val="231F1F"/>
          <w:w w:val="105"/>
        </w:rPr>
        <w:t>isotretinoin possibly reduces plasma concentration of </w:t>
      </w:r>
      <w:r>
        <w:rPr>
          <w:rFonts w:ascii="Calibri" w:hAnsi="Calibri"/>
          <w:color w:val="008356"/>
          <w:w w:val="105"/>
          <w:sz w:val="11"/>
        </w:rPr>
        <w:t>CARBAMAZEPINE</w:t>
      </w:r>
    </w:p>
    <w:p>
      <w:pPr>
        <w:spacing w:line="240" w:lineRule="auto" w:before="0"/>
        <w:ind w:left="286" w:right="605" w:hanging="100"/>
        <w:jc w:val="left"/>
        <w:rPr>
          <w:sz w:val="12"/>
        </w:rPr>
      </w:pPr>
      <w:r>
        <w:rPr>
          <w:rFonts w:ascii="Arial"/>
          <w:color w:val="231F1F"/>
          <w:w w:val="355"/>
          <w:position w:val="1"/>
          <w:sz w:val="7"/>
        </w:rPr>
        <w:t>l </w:t>
      </w:r>
      <w:r>
        <w:rPr>
          <w:rFonts w:ascii="Calibri"/>
          <w:color w:val="231F1F"/>
          <w:w w:val="110"/>
          <w:sz w:val="12"/>
        </w:rPr>
        <w:t>Antifungals: </w:t>
      </w:r>
      <w:r>
        <w:rPr>
          <w:color w:val="231F1F"/>
          <w:w w:val="110"/>
          <w:sz w:val="12"/>
        </w:rPr>
        <w:t>plasma concentration of alitretinoin increased by </w:t>
      </w:r>
      <w:r>
        <w:rPr>
          <w:rFonts w:ascii="Calibri"/>
          <w:color w:val="008356"/>
          <w:w w:val="110"/>
          <w:sz w:val="11"/>
        </w:rPr>
        <w:t>KETOCONAZOLE</w:t>
      </w:r>
      <w:r>
        <w:rPr>
          <w:color w:val="231F1F"/>
          <w:w w:val="110"/>
          <w:sz w:val="12"/>
        </w:rPr>
        <w:t>; possible increased risk of tretinoin toxicity when given with </w:t>
      </w:r>
      <w:r>
        <w:rPr>
          <w:rFonts w:ascii="Arial"/>
          <w:color w:val="231F1F"/>
          <w:w w:val="355"/>
          <w:position w:val="1"/>
          <w:sz w:val="7"/>
        </w:rPr>
        <w:t>l </w:t>
      </w:r>
      <w:r>
        <w:rPr>
          <w:rFonts w:ascii="Calibri"/>
          <w:color w:val="008356"/>
          <w:w w:val="110"/>
          <w:sz w:val="11"/>
        </w:rPr>
        <w:t>FLUCONAZOLE</w:t>
      </w:r>
      <w:r>
        <w:rPr>
          <w:color w:val="231F1F"/>
          <w:w w:val="110"/>
          <w:sz w:val="12"/>
        </w:rPr>
        <w:t>, </w:t>
      </w:r>
      <w:r>
        <w:rPr>
          <w:rFonts w:ascii="Arial"/>
          <w:color w:val="231F1F"/>
          <w:w w:val="355"/>
          <w:position w:val="1"/>
          <w:sz w:val="7"/>
        </w:rPr>
        <w:t>l </w:t>
      </w:r>
      <w:r>
        <w:rPr>
          <w:rFonts w:ascii="Calibri"/>
          <w:color w:val="008356"/>
          <w:w w:val="110"/>
          <w:sz w:val="11"/>
        </w:rPr>
        <w:t>KETOCONAZOLE </w:t>
      </w:r>
      <w:r>
        <w:rPr>
          <w:color w:val="231F1F"/>
          <w:w w:val="110"/>
          <w:sz w:val="12"/>
        </w:rPr>
        <w:t>and</w:t>
      </w:r>
    </w:p>
    <w:p>
      <w:pPr>
        <w:spacing w:line="133" w:lineRule="exact" w:before="10"/>
        <w:ind w:left="286" w:right="0" w:firstLine="0"/>
        <w:jc w:val="left"/>
        <w:rPr>
          <w:rFonts w:ascii="Calibri"/>
          <w:sz w:val="11"/>
        </w:rPr>
      </w:pPr>
      <w:r>
        <w:rPr>
          <w:rFonts w:ascii="Arial"/>
          <w:color w:val="231F1F"/>
          <w:w w:val="355"/>
          <w:position w:val="1"/>
          <w:sz w:val="7"/>
        </w:rPr>
        <w:t>l </w:t>
      </w:r>
      <w:r>
        <w:rPr>
          <w:rFonts w:ascii="Calibri"/>
          <w:color w:val="008356"/>
          <w:w w:val="115"/>
          <w:sz w:val="11"/>
        </w:rPr>
        <w:t>VORICONAZOLE</w:t>
      </w:r>
    </w:p>
    <w:p>
      <w:pPr>
        <w:pStyle w:val="BodyText"/>
        <w:spacing w:line="145" w:lineRule="exact"/>
        <w:ind w:left="186"/>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Cytotoxics: </w:t>
      </w:r>
      <w:r>
        <w:rPr>
          <w:color w:val="231F1F"/>
          <w:w w:val="115"/>
        </w:rPr>
        <w:t>acitretin increases plasma concentration of</w:t>
      </w:r>
    </w:p>
    <w:p>
      <w:pPr>
        <w:pStyle w:val="BodyText"/>
        <w:ind w:left="286" w:hanging="1"/>
      </w:pPr>
      <w:r>
        <w:rPr>
          <w:rFonts w:ascii="Arial" w:hAnsi="Arial"/>
          <w:color w:val="231F1F"/>
          <w:w w:val="110"/>
          <w:position w:val="1"/>
          <w:sz w:val="7"/>
        </w:rPr>
        <w:t>l </w:t>
      </w:r>
      <w:r>
        <w:rPr>
          <w:rFonts w:ascii="Calibri" w:hAnsi="Calibri"/>
          <w:color w:val="008356"/>
          <w:w w:val="110"/>
          <w:sz w:val="11"/>
        </w:rPr>
        <w:t>METHOTREXATE </w:t>
      </w:r>
      <w:r>
        <w:rPr>
          <w:color w:val="231F1F"/>
          <w:w w:val="110"/>
        </w:rPr>
        <w:t>(also increased risk of hepatotoxicity)</w:t>
      </w:r>
      <w:r>
        <w:rPr>
          <w:rFonts w:ascii="Arial" w:hAnsi="Arial"/>
          <w:color w:val="231F1F"/>
          <w:w w:val="110"/>
        </w:rPr>
        <w:t>—</w:t>
      </w:r>
      <w:r>
        <w:rPr>
          <w:color w:val="231F1F"/>
          <w:w w:val="110"/>
        </w:rPr>
        <w:t>avoid </w:t>
      </w:r>
      <w:r>
        <w:rPr>
          <w:color w:val="231F1F"/>
          <w:w w:val="115"/>
        </w:rPr>
        <w:t>concomitant use</w:t>
      </w:r>
    </w:p>
    <w:p>
      <w:pPr>
        <w:pStyle w:val="BodyText"/>
        <w:spacing w:line="220" w:lineRule="auto" w:before="11"/>
        <w:ind w:left="286"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alitretinoin reduces plasma concentration of </w:t>
      </w:r>
      <w:r>
        <w:rPr>
          <w:rFonts w:ascii="Calibri" w:hAnsi="Calibri"/>
          <w:color w:val="008356"/>
          <w:w w:val="105"/>
          <w:sz w:val="11"/>
        </w:rPr>
        <w:t>SIMVASTATIN</w:t>
      </w:r>
    </w:p>
    <w:p>
      <w:pPr>
        <w:pStyle w:val="BodyText"/>
        <w:ind w:left="286" w:right="840"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Vitamins:</w:t>
      </w:r>
      <w:r>
        <w:rPr>
          <w:rFonts w:ascii="Calibri" w:hAnsi="Calibri"/>
          <w:color w:val="231F1F"/>
          <w:spacing w:val="-12"/>
          <w:w w:val="115"/>
        </w:rPr>
        <w:t> </w:t>
      </w:r>
      <w:r>
        <w:rPr>
          <w:color w:val="231F1F"/>
          <w:w w:val="115"/>
        </w:rPr>
        <w:t>risk</w:t>
      </w:r>
      <w:r>
        <w:rPr>
          <w:color w:val="231F1F"/>
          <w:spacing w:val="-15"/>
          <w:w w:val="115"/>
        </w:rPr>
        <w:t> </w:t>
      </w:r>
      <w:r>
        <w:rPr>
          <w:color w:val="231F1F"/>
          <w:w w:val="115"/>
        </w:rPr>
        <w:t>of</w:t>
      </w:r>
      <w:r>
        <w:rPr>
          <w:color w:val="231F1F"/>
          <w:spacing w:val="-14"/>
          <w:w w:val="115"/>
        </w:rPr>
        <w:t> </w:t>
      </w:r>
      <w:r>
        <w:rPr>
          <w:color w:val="231F1F"/>
          <w:w w:val="115"/>
        </w:rPr>
        <w:t>hypervitaminosis</w:t>
      </w:r>
      <w:r>
        <w:rPr>
          <w:color w:val="231F1F"/>
          <w:spacing w:val="-16"/>
          <w:w w:val="115"/>
        </w:rPr>
        <w:t> </w:t>
      </w:r>
      <w:r>
        <w:rPr>
          <w:color w:val="231F1F"/>
          <w:w w:val="115"/>
        </w:rPr>
        <w:t>A</w:t>
      </w:r>
      <w:r>
        <w:rPr>
          <w:color w:val="231F1F"/>
          <w:spacing w:val="-14"/>
          <w:w w:val="115"/>
        </w:rPr>
        <w:t> </w:t>
      </w:r>
      <w:r>
        <w:rPr>
          <w:color w:val="231F1F"/>
          <w:w w:val="115"/>
        </w:rPr>
        <w:t>when</w:t>
      </w:r>
      <w:r>
        <w:rPr>
          <w:color w:val="231F1F"/>
          <w:spacing w:val="-15"/>
          <w:w w:val="115"/>
        </w:rPr>
        <w:t> </w:t>
      </w:r>
      <w:r>
        <w:rPr>
          <w:color w:val="231F1F"/>
          <w:w w:val="115"/>
        </w:rPr>
        <w:t>retinoids</w:t>
      </w:r>
      <w:r>
        <w:rPr>
          <w:color w:val="231F1F"/>
          <w:spacing w:val="-16"/>
          <w:w w:val="115"/>
        </w:rPr>
        <w:t> </w:t>
      </w:r>
      <w:r>
        <w:rPr>
          <w:color w:val="231F1F"/>
          <w:spacing w:val="-3"/>
          <w:w w:val="115"/>
        </w:rPr>
        <w:t>given </w:t>
      </w:r>
      <w:r>
        <w:rPr>
          <w:color w:val="231F1F"/>
          <w:w w:val="115"/>
        </w:rPr>
        <w:t>with</w:t>
      </w:r>
      <w:r>
        <w:rPr>
          <w:color w:val="231F1F"/>
          <w:spacing w:val="-7"/>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3"/>
          <w:w w:val="115"/>
          <w:sz w:val="11"/>
        </w:rPr>
        <w:t>VITAMIN</w:t>
      </w:r>
      <w:r>
        <w:rPr>
          <w:rFonts w:ascii="Calibri" w:hAnsi="Calibri"/>
          <w:color w:val="008356"/>
          <w:w w:val="115"/>
          <w:sz w:val="11"/>
        </w:rPr>
        <w:t> A</w:t>
      </w:r>
      <w:r>
        <w:rPr>
          <w:rFonts w:ascii="Arial" w:hAnsi="Arial"/>
          <w:color w:val="231F1F"/>
          <w:w w:val="115"/>
        </w:rPr>
        <w:t>—</w:t>
      </w:r>
      <w:r>
        <w:rPr>
          <w:color w:val="231F1F"/>
          <w:w w:val="115"/>
        </w:rPr>
        <w:t>avoid</w:t>
      </w:r>
      <w:r>
        <w:rPr>
          <w:color w:val="231F1F"/>
          <w:spacing w:val="-7"/>
          <w:w w:val="115"/>
        </w:rPr>
        <w:t> </w:t>
      </w:r>
      <w:r>
        <w:rPr>
          <w:color w:val="231F1F"/>
          <w:w w:val="115"/>
        </w:rPr>
        <w:t>concomitant</w:t>
      </w:r>
      <w:r>
        <w:rPr>
          <w:color w:val="231F1F"/>
          <w:spacing w:val="-8"/>
          <w:w w:val="115"/>
        </w:rPr>
        <w:t> </w:t>
      </w:r>
      <w:r>
        <w:rPr>
          <w:color w:val="231F1F"/>
          <w:w w:val="115"/>
        </w:rPr>
        <w:t>use</w:t>
      </w:r>
    </w:p>
    <w:p>
      <w:pPr>
        <w:pStyle w:val="BodyText"/>
        <w:spacing w:before="5"/>
        <w:ind w:left="186"/>
        <w:rPr>
          <w:rFonts w:ascii="Trebuchet MS"/>
        </w:rPr>
      </w:pPr>
      <w:r>
        <w:rPr>
          <w:rFonts w:ascii="Trebuchet MS"/>
          <w:color w:val="008356"/>
          <w:w w:val="105"/>
        </w:rPr>
        <w:t>Ribavirin</w:t>
      </w:r>
    </w:p>
    <w:p>
      <w:pPr>
        <w:pStyle w:val="BodyText"/>
        <w:spacing w:before="1"/>
        <w:ind w:left="286" w:right="649" w:hanging="100"/>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Antivirals:</w:t>
      </w:r>
      <w:r>
        <w:rPr>
          <w:rFonts w:ascii="Calibri"/>
          <w:color w:val="231F1F"/>
          <w:spacing w:val="-15"/>
          <w:w w:val="115"/>
        </w:rPr>
        <w:t> </w:t>
      </w:r>
      <w:r>
        <w:rPr>
          <w:color w:val="231F1F"/>
          <w:w w:val="115"/>
        </w:rPr>
        <w:t>effects</w:t>
      </w:r>
      <w:r>
        <w:rPr>
          <w:color w:val="231F1F"/>
          <w:spacing w:val="-18"/>
          <w:w w:val="115"/>
        </w:rPr>
        <w:t> </w:t>
      </w:r>
      <w:r>
        <w:rPr>
          <w:color w:val="231F1F"/>
          <w:w w:val="115"/>
        </w:rPr>
        <w:t>of</w:t>
      </w:r>
      <w:r>
        <w:rPr>
          <w:color w:val="231F1F"/>
          <w:spacing w:val="-18"/>
          <w:w w:val="115"/>
        </w:rPr>
        <w:t> </w:t>
      </w:r>
      <w:r>
        <w:rPr>
          <w:color w:val="231F1F"/>
          <w:w w:val="115"/>
        </w:rPr>
        <w:t>ribavirin</w:t>
      </w:r>
      <w:r>
        <w:rPr>
          <w:color w:val="231F1F"/>
          <w:spacing w:val="-18"/>
          <w:w w:val="115"/>
        </w:rPr>
        <w:t> </w:t>
      </w:r>
      <w:r>
        <w:rPr>
          <w:color w:val="231F1F"/>
          <w:w w:val="115"/>
        </w:rPr>
        <w:t>possibly</w:t>
      </w:r>
      <w:r>
        <w:rPr>
          <w:color w:val="231F1F"/>
          <w:spacing w:val="-19"/>
          <w:w w:val="115"/>
        </w:rPr>
        <w:t> </w:t>
      </w:r>
      <w:r>
        <w:rPr>
          <w:color w:val="231F1F"/>
          <w:w w:val="115"/>
        </w:rPr>
        <w:t>reduced</w:t>
      </w:r>
      <w:r>
        <w:rPr>
          <w:color w:val="231F1F"/>
          <w:spacing w:val="-18"/>
          <w:w w:val="115"/>
        </w:rPr>
        <w:t> </w:t>
      </w:r>
      <w:r>
        <w:rPr>
          <w:color w:val="231F1F"/>
          <w:w w:val="115"/>
        </w:rPr>
        <w:t>by</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Calibri"/>
          <w:color w:val="008356"/>
          <w:w w:val="115"/>
          <w:sz w:val="11"/>
        </w:rPr>
        <w:t>ABACAVIR</w:t>
      </w:r>
      <w:r>
        <w:rPr>
          <w:color w:val="231F1F"/>
          <w:w w:val="115"/>
        </w:rPr>
        <w:t>; increased</w:t>
      </w:r>
      <w:r>
        <w:rPr>
          <w:color w:val="231F1F"/>
          <w:spacing w:val="-7"/>
          <w:w w:val="115"/>
        </w:rPr>
        <w:t> </w:t>
      </w:r>
      <w:r>
        <w:rPr>
          <w:color w:val="231F1F"/>
          <w:w w:val="115"/>
        </w:rPr>
        <w:t>risk</w:t>
      </w:r>
      <w:r>
        <w:rPr>
          <w:color w:val="231F1F"/>
          <w:spacing w:val="-6"/>
          <w:w w:val="115"/>
        </w:rPr>
        <w:t> </w:t>
      </w:r>
      <w:r>
        <w:rPr>
          <w:color w:val="231F1F"/>
          <w:w w:val="115"/>
        </w:rPr>
        <w:t>of</w:t>
      </w:r>
      <w:r>
        <w:rPr>
          <w:color w:val="231F1F"/>
          <w:spacing w:val="-6"/>
          <w:w w:val="115"/>
        </w:rPr>
        <w:t> </w:t>
      </w:r>
      <w:r>
        <w:rPr>
          <w:color w:val="231F1F"/>
          <w:w w:val="115"/>
        </w:rPr>
        <w:t>side-effects</w:t>
      </w:r>
      <w:r>
        <w:rPr>
          <w:color w:val="231F1F"/>
          <w:spacing w:val="-7"/>
          <w:w w:val="115"/>
        </w:rPr>
        <w:t> </w:t>
      </w:r>
      <w:r>
        <w:rPr>
          <w:color w:val="231F1F"/>
          <w:w w:val="115"/>
        </w:rPr>
        <w:t>when</w:t>
      </w:r>
      <w:r>
        <w:rPr>
          <w:color w:val="231F1F"/>
          <w:spacing w:val="-7"/>
          <w:w w:val="115"/>
        </w:rPr>
        <w:t> </w:t>
      </w:r>
      <w:r>
        <w:rPr>
          <w:color w:val="231F1F"/>
          <w:w w:val="115"/>
        </w:rPr>
        <w:t>ribavirin</w:t>
      </w:r>
      <w:r>
        <w:rPr>
          <w:color w:val="231F1F"/>
          <w:spacing w:val="-7"/>
          <w:w w:val="115"/>
        </w:rPr>
        <w:t> </w:t>
      </w:r>
      <w:r>
        <w:rPr>
          <w:color w:val="231F1F"/>
          <w:w w:val="115"/>
        </w:rPr>
        <w:t>given</w:t>
      </w:r>
      <w:r>
        <w:rPr>
          <w:color w:val="231F1F"/>
          <w:spacing w:val="-6"/>
          <w:w w:val="115"/>
        </w:rPr>
        <w:t> </w:t>
      </w:r>
      <w:r>
        <w:rPr>
          <w:color w:val="231F1F"/>
          <w:w w:val="115"/>
        </w:rPr>
        <w:t>with</w:t>
      </w:r>
    </w:p>
    <w:p>
      <w:pPr>
        <w:pStyle w:val="BodyText"/>
        <w:spacing w:line="242" w:lineRule="auto" w:before="4"/>
        <w:ind w:left="286" w:right="614"/>
      </w:pPr>
      <w:r>
        <w:rPr>
          <w:rFonts w:ascii="Arial" w:hAnsi="Arial"/>
          <w:color w:val="231F1F"/>
          <w:w w:val="355"/>
          <w:position w:val="1"/>
          <w:sz w:val="7"/>
        </w:rPr>
        <w:t>l </w:t>
      </w:r>
      <w:r>
        <w:rPr>
          <w:rFonts w:ascii="Calibri" w:hAnsi="Calibri"/>
          <w:color w:val="008356"/>
          <w:spacing w:val="3"/>
          <w:w w:val="110"/>
          <w:sz w:val="11"/>
        </w:rPr>
        <w:t>DIDANOSINE</w:t>
      </w:r>
      <w:r>
        <w:rPr>
          <w:rFonts w:ascii="Arial" w:hAnsi="Arial"/>
          <w:color w:val="231F1F"/>
          <w:spacing w:val="3"/>
          <w:w w:val="110"/>
        </w:rPr>
        <w:t>—</w:t>
      </w:r>
      <w:r>
        <w:rPr>
          <w:color w:val="231F1F"/>
          <w:spacing w:val="3"/>
          <w:w w:val="110"/>
        </w:rPr>
        <w:t>avoid </w:t>
      </w:r>
      <w:r>
        <w:rPr>
          <w:color w:val="231F1F"/>
          <w:w w:val="110"/>
        </w:rPr>
        <w:t>concomitant use; increased risk of toxicity when ribavirin given 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0"/>
          <w:sz w:val="11"/>
        </w:rPr>
        <w:t>STAVUDINE</w:t>
      </w:r>
      <w:r>
        <w:rPr>
          <w:color w:val="231F1F"/>
          <w:spacing w:val="3"/>
          <w:w w:val="110"/>
        </w:rPr>
        <w:t>; </w:t>
      </w:r>
      <w:r>
        <w:rPr>
          <w:color w:val="231F1F"/>
          <w:w w:val="110"/>
        </w:rPr>
        <w:t>increased risk of anaemia when ribavirin given with </w:t>
      </w:r>
      <w:r>
        <w:rPr>
          <w:rFonts w:ascii="Arial" w:hAnsi="Arial"/>
          <w:color w:val="231F1F"/>
          <w:w w:val="355"/>
          <w:position w:val="1"/>
          <w:sz w:val="7"/>
        </w:rPr>
        <w:t>l </w:t>
      </w:r>
      <w:r>
        <w:rPr>
          <w:rFonts w:ascii="Calibri" w:hAnsi="Calibri"/>
          <w:color w:val="008356"/>
          <w:spacing w:val="2"/>
          <w:w w:val="110"/>
          <w:sz w:val="11"/>
        </w:rPr>
        <w:t>ZIDOVUDINE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2"/>
        <w:ind w:left="286" w:right="754" w:hanging="100"/>
        <w:rPr>
          <w:rFonts w:ascii="Calibri"/>
          <w:sz w:val="11"/>
        </w:rPr>
      </w:pPr>
      <w:r>
        <w:rPr>
          <w:rFonts w:ascii="Arial"/>
          <w:color w:val="231F1F"/>
          <w:w w:val="240"/>
          <w:position w:val="1"/>
          <w:sz w:val="7"/>
        </w:rPr>
        <w:t>l</w:t>
      </w:r>
      <w:r>
        <w:rPr>
          <w:rFonts w:ascii="Arial"/>
          <w:color w:val="231F1F"/>
          <w:spacing w:val="-34"/>
          <w:w w:val="240"/>
          <w:position w:val="1"/>
          <w:sz w:val="7"/>
        </w:rPr>
        <w:t> </w:t>
      </w:r>
      <w:r>
        <w:rPr>
          <w:rFonts w:ascii="Calibri"/>
          <w:color w:val="231F1F"/>
          <w:w w:val="115"/>
        </w:rPr>
        <w:t>Azathioprine:</w:t>
      </w:r>
      <w:r>
        <w:rPr>
          <w:rFonts w:ascii="Calibri"/>
          <w:color w:val="231F1F"/>
          <w:spacing w:val="-21"/>
          <w:w w:val="115"/>
        </w:rPr>
        <w:t> </w:t>
      </w:r>
      <w:r>
        <w:rPr>
          <w:color w:val="231F1F"/>
          <w:w w:val="115"/>
        </w:rPr>
        <w:t>ribavirin</w:t>
      </w:r>
      <w:r>
        <w:rPr>
          <w:color w:val="231F1F"/>
          <w:spacing w:val="-24"/>
          <w:w w:val="115"/>
        </w:rPr>
        <w:t> </w:t>
      </w:r>
      <w:r>
        <w:rPr>
          <w:color w:val="231F1F"/>
          <w:w w:val="115"/>
        </w:rPr>
        <w:t>possibly</w:t>
      </w:r>
      <w:r>
        <w:rPr>
          <w:color w:val="231F1F"/>
          <w:spacing w:val="-24"/>
          <w:w w:val="115"/>
        </w:rPr>
        <w:t> </w:t>
      </w:r>
      <w:r>
        <w:rPr>
          <w:color w:val="231F1F"/>
          <w:w w:val="115"/>
        </w:rPr>
        <w:t>enhances</w:t>
      </w:r>
      <w:r>
        <w:rPr>
          <w:color w:val="231F1F"/>
          <w:spacing w:val="-25"/>
          <w:w w:val="115"/>
        </w:rPr>
        <w:t> </w:t>
      </w:r>
      <w:r>
        <w:rPr>
          <w:color w:val="231F1F"/>
          <w:w w:val="115"/>
        </w:rPr>
        <w:t>myelosuppressive effects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AZATHIOPRINE</w:t>
      </w:r>
    </w:p>
    <w:p>
      <w:pPr>
        <w:spacing w:after="0"/>
        <w:rPr>
          <w:rFonts w:ascii="Calibri"/>
          <w:sz w:val="11"/>
        </w:rPr>
        <w:sectPr>
          <w:pgSz w:w="8390" w:h="11910"/>
          <w:pgMar w:header="0" w:footer="0" w:top="460" w:bottom="280" w:left="480" w:right="0"/>
          <w:cols w:num="2" w:equalWidth="0">
            <w:col w:w="3635" w:space="40"/>
            <w:col w:w="4235"/>
          </w:cols>
        </w:sectPr>
      </w:pPr>
    </w:p>
    <w:p>
      <w:pPr>
        <w:pStyle w:val="BodyText"/>
        <w:spacing w:before="5"/>
        <w:ind w:left="0"/>
        <w:rPr>
          <w:rFonts w:ascii="Calibri"/>
          <w:sz w:val="14"/>
        </w:rPr>
      </w:pPr>
    </w:p>
    <w:p>
      <w:pPr>
        <w:pStyle w:val="BodyText"/>
        <w:spacing w:line="256" w:lineRule="auto"/>
        <w:ind w:left="108" w:right="1584"/>
        <w:rPr>
          <w:rFonts w:ascii="Trebuchet MS"/>
        </w:rPr>
      </w:pPr>
      <w:r>
        <w:rPr>
          <w:rFonts w:ascii="Trebuchet MS"/>
          <w:color w:val="008356"/>
          <w:w w:val="105"/>
        </w:rPr>
        <w:t>Rifabutin </w:t>
      </w:r>
      <w:r>
        <w:rPr>
          <w:i/>
          <w:color w:val="231F1F"/>
          <w:w w:val="105"/>
        </w:rPr>
        <w:t>see </w:t>
      </w:r>
      <w:r>
        <w:rPr>
          <w:color w:val="231F1F"/>
          <w:w w:val="105"/>
        </w:rPr>
        <w:t>Rifamycins </w:t>
      </w:r>
      <w:r>
        <w:rPr>
          <w:rFonts w:ascii="Trebuchet MS"/>
          <w:color w:val="008356"/>
          <w:w w:val="105"/>
        </w:rPr>
        <w:t>Rifampicin </w:t>
      </w:r>
      <w:r>
        <w:rPr>
          <w:i/>
          <w:color w:val="231F1F"/>
          <w:w w:val="105"/>
        </w:rPr>
        <w:t>see </w:t>
      </w:r>
      <w:r>
        <w:rPr>
          <w:color w:val="231F1F"/>
          <w:w w:val="105"/>
        </w:rPr>
        <w:t>Rifamycins </w:t>
      </w:r>
      <w:r>
        <w:rPr>
          <w:rFonts w:ascii="Trebuchet MS"/>
          <w:color w:val="008356"/>
          <w:w w:val="105"/>
        </w:rPr>
        <w:t>Rifamycins</w:t>
      </w:r>
    </w:p>
    <w:p>
      <w:pPr>
        <w:pStyle w:val="BodyText"/>
        <w:spacing w:line="136" w:lineRule="exact"/>
      </w:pPr>
      <w:r>
        <w:rPr>
          <w:rFonts w:ascii="Calibri"/>
          <w:color w:val="008356"/>
          <w:w w:val="115"/>
          <w:sz w:val="11"/>
        </w:rPr>
        <w:t>NOTE </w:t>
      </w:r>
      <w:r>
        <w:rPr>
          <w:color w:val="231F1F"/>
          <w:w w:val="115"/>
        </w:rPr>
        <w:t>Interactions do not apply to rifaximin</w:t>
      </w:r>
    </w:p>
    <w:p>
      <w:pPr>
        <w:pStyle w:val="BodyText"/>
        <w:spacing w:line="230" w:lineRule="auto" w:before="3"/>
        <w:ind w:right="202" w:hanging="100"/>
      </w:pPr>
      <w:r>
        <w:rPr>
          <w:rFonts w:ascii="Lucida Sans Unicode" w:hAnsi="Lucida Sans Unicode"/>
          <w:color w:val="A7A8AC"/>
          <w:w w:val="95"/>
          <w:sz w:val="10"/>
        </w:rPr>
        <w:t>▶ </w:t>
      </w:r>
      <w:r>
        <w:rPr>
          <w:rFonts w:ascii="Calibri" w:hAnsi="Calibri"/>
          <w:color w:val="231F1F"/>
          <w:w w:val="110"/>
        </w:rPr>
        <w:t>ACE Inhibitors: </w:t>
      </w:r>
      <w:r>
        <w:rPr>
          <w:color w:val="231F1F"/>
          <w:w w:val="110"/>
        </w:rPr>
        <w:t>rifampicin reduces plasma concentration of active metabolite of </w:t>
      </w:r>
      <w:r>
        <w:rPr>
          <w:rFonts w:ascii="Calibri" w:hAnsi="Calibri"/>
          <w:color w:val="008356"/>
          <w:w w:val="110"/>
          <w:sz w:val="11"/>
        </w:rPr>
        <w:t>IMIDAPRIL </w:t>
      </w:r>
      <w:r>
        <w:rPr>
          <w:color w:val="231F1F"/>
          <w:w w:val="110"/>
        </w:rPr>
        <w:t>(reduced antihypertensive effect)</w:t>
      </w:r>
    </w:p>
    <w:p>
      <w:pPr>
        <w:pStyle w:val="BodyText"/>
        <w:spacing w:line="156" w:lineRule="exact" w:before="4"/>
        <w:ind w:left="108"/>
      </w:pPr>
      <w:r>
        <w:rPr>
          <w:rFonts w:ascii="Lucida Sans Unicode" w:hAnsi="Lucida Sans Unicode"/>
          <w:color w:val="A7A8AC"/>
          <w:w w:val="95"/>
          <w:sz w:val="10"/>
        </w:rPr>
        <w:t>▶ </w:t>
      </w:r>
      <w:r>
        <w:rPr>
          <w:rFonts w:ascii="Calibri" w:hAnsi="Calibri"/>
          <w:color w:val="231F1F"/>
          <w:w w:val="105"/>
        </w:rPr>
        <w:t>Aliskiren: </w:t>
      </w:r>
      <w:r>
        <w:rPr>
          <w:color w:val="231F1F"/>
          <w:w w:val="105"/>
        </w:rPr>
        <w:t>rifampicin reduces plasma concentration of</w:t>
      </w:r>
    </w:p>
    <w:p>
      <w:pPr>
        <w:spacing w:line="131" w:lineRule="exact" w:before="0"/>
        <w:ind w:left="208" w:right="0" w:firstLine="0"/>
        <w:jc w:val="left"/>
        <w:rPr>
          <w:rFonts w:ascii="Calibri"/>
          <w:sz w:val="11"/>
        </w:rPr>
      </w:pPr>
      <w:r>
        <w:rPr>
          <w:rFonts w:ascii="Calibri"/>
          <w:color w:val="008356"/>
          <w:w w:val="105"/>
          <w:sz w:val="11"/>
        </w:rPr>
        <w:t>ALISKIREN</w:t>
      </w:r>
    </w:p>
    <w:p>
      <w:pPr>
        <w:pStyle w:val="BodyText"/>
        <w:spacing w:line="220" w:lineRule="auto" w:before="7"/>
        <w:ind w:right="202" w:hanging="100"/>
        <w:rPr>
          <w:rFonts w:ascii="Calibri" w:hAnsi="Calibri"/>
          <w:sz w:val="11"/>
        </w:rPr>
      </w:pPr>
      <w:r>
        <w:rPr>
          <w:rFonts w:ascii="Lucida Sans Unicode" w:hAnsi="Lucida Sans Unicode"/>
          <w:color w:val="A7A8AC"/>
          <w:w w:val="95"/>
          <w:sz w:val="10"/>
        </w:rPr>
        <w:t>▶ </w:t>
      </w:r>
      <w:r>
        <w:rPr>
          <w:rFonts w:ascii="Calibri" w:hAnsi="Calibri"/>
          <w:color w:val="231F1F"/>
          <w:w w:val="105"/>
        </w:rPr>
        <w:t>Ambrisentan: </w:t>
      </w:r>
      <w:r>
        <w:rPr>
          <w:color w:val="231F1F"/>
          <w:w w:val="105"/>
        </w:rPr>
        <w:t>rifampicin possibly increases plasma concentration of </w:t>
      </w:r>
      <w:r>
        <w:rPr>
          <w:rFonts w:ascii="Calibri" w:hAnsi="Calibri"/>
          <w:color w:val="008356"/>
          <w:w w:val="105"/>
          <w:sz w:val="11"/>
        </w:rPr>
        <w:t>AMBRISENTAN</w:t>
      </w:r>
    </w:p>
    <w:p>
      <w:pPr>
        <w:pStyle w:val="BodyText"/>
        <w:spacing w:line="151" w:lineRule="exact"/>
        <w:ind w:left="108"/>
      </w:pPr>
      <w:r>
        <w:rPr>
          <w:rFonts w:ascii="Lucida Sans Unicode" w:hAnsi="Lucida Sans Unicode"/>
          <w:color w:val="A7A8AC"/>
          <w:w w:val="95"/>
          <w:sz w:val="10"/>
        </w:rPr>
        <w:t>▶ </w:t>
      </w:r>
      <w:r>
        <w:rPr>
          <w:rFonts w:ascii="Calibri" w:hAnsi="Calibri"/>
          <w:color w:val="231F1F"/>
        </w:rPr>
        <w:t>Aminophylline: </w:t>
      </w:r>
      <w:r>
        <w:rPr>
          <w:color w:val="231F1F"/>
        </w:rPr>
        <w:t>rifampicin accelerates metabolism of</w:t>
      </w:r>
    </w:p>
    <w:p>
      <w:pPr>
        <w:spacing w:line="134" w:lineRule="exact" w:before="0"/>
        <w:ind w:left="208" w:right="0" w:firstLine="0"/>
        <w:jc w:val="left"/>
        <w:rPr>
          <w:sz w:val="12"/>
        </w:rPr>
      </w:pPr>
      <w:r>
        <w:rPr>
          <w:rFonts w:ascii="Calibri"/>
          <w:color w:val="008356"/>
          <w:w w:val="110"/>
          <w:sz w:val="11"/>
        </w:rPr>
        <w:t>AMINOPHYLLINE </w:t>
      </w:r>
      <w:r>
        <w:rPr>
          <w:color w:val="231F1F"/>
          <w:w w:val="110"/>
          <w:sz w:val="12"/>
        </w:rPr>
        <w:t>(reduced plasma concentration)</w:t>
      </w:r>
    </w:p>
    <w:p>
      <w:pPr>
        <w:spacing w:line="230" w:lineRule="auto" w:before="4"/>
        <w:ind w:left="208" w:right="68"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Analgesics: </w:t>
      </w:r>
      <w:r>
        <w:rPr>
          <w:color w:val="231F1F"/>
          <w:w w:val="105"/>
          <w:sz w:val="12"/>
        </w:rPr>
        <w:t>rifampicin reduces plasma concentration of </w:t>
      </w:r>
      <w:r>
        <w:rPr>
          <w:rFonts w:ascii="Calibri" w:hAnsi="Calibri"/>
          <w:color w:val="008356"/>
          <w:w w:val="105"/>
          <w:sz w:val="11"/>
        </w:rPr>
        <w:t>CELECOXIB</w:t>
      </w:r>
      <w:r>
        <w:rPr>
          <w:color w:val="231F1F"/>
          <w:w w:val="105"/>
          <w:sz w:val="12"/>
        </w:rPr>
        <w:t>, </w:t>
      </w:r>
      <w:r>
        <w:rPr>
          <w:rFonts w:ascii="Calibri" w:hAnsi="Calibri"/>
          <w:color w:val="008356"/>
          <w:w w:val="105"/>
          <w:sz w:val="11"/>
        </w:rPr>
        <w:t>DICLOFENAC </w:t>
      </w:r>
      <w:r>
        <w:rPr>
          <w:color w:val="231F1F"/>
          <w:w w:val="105"/>
          <w:sz w:val="12"/>
        </w:rPr>
        <w:t>and </w:t>
      </w:r>
      <w:r>
        <w:rPr>
          <w:rFonts w:ascii="Calibri" w:hAnsi="Calibri"/>
          <w:color w:val="008356"/>
          <w:w w:val="105"/>
          <w:sz w:val="11"/>
        </w:rPr>
        <w:t>ETORICOXIB</w:t>
      </w:r>
      <w:r>
        <w:rPr>
          <w:color w:val="231F1F"/>
          <w:w w:val="105"/>
          <w:sz w:val="12"/>
        </w:rPr>
        <w:t>; rifampicin accelerates metabolism of </w:t>
      </w:r>
      <w:r>
        <w:rPr>
          <w:rFonts w:ascii="Calibri" w:hAnsi="Calibri"/>
          <w:color w:val="008356"/>
          <w:w w:val="105"/>
          <w:sz w:val="11"/>
        </w:rPr>
        <w:t>ALFENTANIL</w:t>
      </w:r>
      <w:r>
        <w:rPr>
          <w:color w:val="231F1F"/>
          <w:w w:val="105"/>
          <w:sz w:val="12"/>
        </w:rPr>
        <w:t>, </w:t>
      </w:r>
      <w:r>
        <w:rPr>
          <w:rFonts w:ascii="Calibri" w:hAnsi="Calibri"/>
          <w:color w:val="008356"/>
          <w:w w:val="105"/>
          <w:sz w:val="11"/>
        </w:rPr>
        <w:t>CODEINE</w:t>
      </w:r>
      <w:r>
        <w:rPr>
          <w:color w:val="231F1F"/>
          <w:w w:val="105"/>
          <w:sz w:val="12"/>
        </w:rPr>
        <w:t>, </w:t>
      </w:r>
      <w:r>
        <w:rPr>
          <w:rFonts w:ascii="Calibri" w:hAnsi="Calibri"/>
          <w:color w:val="008356"/>
          <w:w w:val="105"/>
          <w:sz w:val="11"/>
        </w:rPr>
        <w:t>FENTANYL</w:t>
      </w:r>
      <w:r>
        <w:rPr>
          <w:color w:val="231F1F"/>
          <w:w w:val="105"/>
          <w:sz w:val="12"/>
        </w:rPr>
        <w:t>, </w:t>
      </w:r>
      <w:r>
        <w:rPr>
          <w:rFonts w:ascii="Calibri" w:hAnsi="Calibri"/>
          <w:color w:val="008356"/>
          <w:w w:val="105"/>
          <w:sz w:val="11"/>
        </w:rPr>
        <w:t>METHADONE</w:t>
      </w:r>
    </w:p>
    <w:p>
      <w:pPr>
        <w:spacing w:before="4"/>
        <w:ind w:left="208" w:right="202" w:firstLine="0"/>
        <w:jc w:val="left"/>
        <w:rPr>
          <w:rFonts w:ascii="Calibri"/>
          <w:sz w:val="11"/>
        </w:rPr>
      </w:pPr>
      <w:r>
        <w:rPr>
          <w:color w:val="231F1F"/>
          <w:w w:val="110"/>
          <w:sz w:val="12"/>
        </w:rPr>
        <w:t>and </w:t>
      </w:r>
      <w:r>
        <w:rPr>
          <w:rFonts w:ascii="Calibri"/>
          <w:color w:val="008356"/>
          <w:w w:val="110"/>
          <w:sz w:val="11"/>
        </w:rPr>
        <w:t>MORPHINE </w:t>
      </w:r>
      <w:r>
        <w:rPr>
          <w:color w:val="231F1F"/>
          <w:w w:val="110"/>
          <w:sz w:val="12"/>
        </w:rPr>
        <w:t>(reduced effect); rifampicin possibly accelerates metabolism of </w:t>
      </w:r>
      <w:r>
        <w:rPr>
          <w:rFonts w:ascii="Calibri"/>
          <w:color w:val="008356"/>
          <w:w w:val="110"/>
          <w:sz w:val="11"/>
        </w:rPr>
        <w:t>OXYCODONE</w:t>
      </w:r>
    </w:p>
    <w:p>
      <w:pPr>
        <w:pStyle w:val="BodyText"/>
        <w:spacing w:line="220" w:lineRule="auto" w:before="8"/>
        <w:ind w:right="92" w:hanging="100"/>
      </w:pPr>
      <w:r>
        <w:rPr>
          <w:rFonts w:ascii="Lucida Sans Unicode" w:hAnsi="Lucida Sans Unicode"/>
          <w:color w:val="A7A8AC"/>
          <w:w w:val="95"/>
          <w:sz w:val="10"/>
        </w:rPr>
        <w:t>▶</w:t>
      </w:r>
      <w:r>
        <w:rPr>
          <w:rFonts w:ascii="Lucida Sans Unicode" w:hAnsi="Lucida Sans Unicode"/>
          <w:color w:val="A7A8AC"/>
          <w:spacing w:val="-6"/>
          <w:w w:val="95"/>
          <w:sz w:val="10"/>
        </w:rPr>
        <w:t> </w:t>
      </w:r>
      <w:r>
        <w:rPr>
          <w:rFonts w:ascii="Calibri" w:hAnsi="Calibri"/>
          <w:color w:val="231F1F"/>
          <w:w w:val="110"/>
        </w:rPr>
        <w:t>Angiotensin-II</w:t>
      </w:r>
      <w:r>
        <w:rPr>
          <w:rFonts w:ascii="Calibri" w:hAnsi="Calibri"/>
          <w:color w:val="231F1F"/>
          <w:spacing w:val="-16"/>
          <w:w w:val="110"/>
        </w:rPr>
        <w:t> </w:t>
      </w:r>
      <w:r>
        <w:rPr>
          <w:rFonts w:ascii="Calibri" w:hAnsi="Calibri"/>
          <w:color w:val="231F1F"/>
          <w:w w:val="110"/>
        </w:rPr>
        <w:t>Receptor</w:t>
      </w:r>
      <w:r>
        <w:rPr>
          <w:rFonts w:ascii="Calibri" w:hAnsi="Calibri"/>
          <w:color w:val="231F1F"/>
          <w:spacing w:val="-16"/>
          <w:w w:val="110"/>
        </w:rPr>
        <w:t> </w:t>
      </w:r>
      <w:r>
        <w:rPr>
          <w:rFonts w:ascii="Calibri" w:hAnsi="Calibri"/>
          <w:color w:val="231F1F"/>
          <w:w w:val="110"/>
        </w:rPr>
        <w:t>Antagonists:</w:t>
      </w:r>
      <w:r>
        <w:rPr>
          <w:rFonts w:ascii="Calibri" w:hAnsi="Calibri"/>
          <w:color w:val="231F1F"/>
          <w:spacing w:val="-16"/>
          <w:w w:val="110"/>
        </w:rPr>
        <w:t> </w:t>
      </w:r>
      <w:r>
        <w:rPr>
          <w:color w:val="231F1F"/>
          <w:w w:val="110"/>
        </w:rPr>
        <w:t>rifampicin</w:t>
      </w:r>
      <w:r>
        <w:rPr>
          <w:color w:val="231F1F"/>
          <w:spacing w:val="-19"/>
          <w:w w:val="110"/>
        </w:rPr>
        <w:t> </w:t>
      </w:r>
      <w:r>
        <w:rPr>
          <w:color w:val="231F1F"/>
          <w:w w:val="110"/>
        </w:rPr>
        <w:t>reduces</w:t>
      </w:r>
      <w:r>
        <w:rPr>
          <w:color w:val="231F1F"/>
          <w:spacing w:val="-19"/>
          <w:w w:val="110"/>
        </w:rPr>
        <w:t> </w:t>
      </w:r>
      <w:r>
        <w:rPr>
          <w:color w:val="231F1F"/>
          <w:spacing w:val="-3"/>
          <w:w w:val="110"/>
        </w:rPr>
        <w:t>plasma </w:t>
      </w:r>
      <w:r>
        <w:rPr>
          <w:color w:val="231F1F"/>
          <w:w w:val="110"/>
        </w:rPr>
        <w:t>concentration of </w:t>
      </w:r>
      <w:r>
        <w:rPr>
          <w:rFonts w:ascii="Calibri" w:hAnsi="Calibri"/>
          <w:color w:val="008356"/>
          <w:spacing w:val="3"/>
          <w:w w:val="110"/>
          <w:sz w:val="11"/>
        </w:rPr>
        <w:t>LOSARTAN </w:t>
      </w:r>
      <w:r>
        <w:rPr>
          <w:color w:val="231F1F"/>
          <w:w w:val="110"/>
        </w:rPr>
        <w:t>and its active</w:t>
      </w:r>
      <w:r>
        <w:rPr>
          <w:color w:val="231F1F"/>
          <w:spacing w:val="-16"/>
          <w:w w:val="110"/>
        </w:rPr>
        <w:t> </w:t>
      </w:r>
      <w:r>
        <w:rPr>
          <w:color w:val="231F1F"/>
          <w:w w:val="110"/>
        </w:rPr>
        <w:t>metabolite</w:t>
      </w:r>
    </w:p>
    <w:p>
      <w:pPr>
        <w:pStyle w:val="BodyText"/>
        <w:spacing w:line="149"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rifampicin reduced by </w:t>
      </w:r>
      <w:r>
        <w:rPr>
          <w:rFonts w:ascii="Calibri" w:hAnsi="Calibri"/>
          <w:color w:val="008356"/>
          <w:w w:val="105"/>
          <w:sz w:val="11"/>
        </w:rPr>
        <w:t>ANTACIDS</w:t>
      </w:r>
    </w:p>
    <w:p>
      <w:pPr>
        <w:pStyle w:val="BodyText"/>
        <w:spacing w:line="138" w:lineRule="exact"/>
        <w:ind w:left="108"/>
      </w:pPr>
      <w:r>
        <w:rPr>
          <w:rFonts w:ascii="Arial"/>
          <w:color w:val="231F1F"/>
          <w:w w:val="355"/>
          <w:position w:val="1"/>
          <w:sz w:val="7"/>
        </w:rPr>
        <w:t>l </w:t>
      </w:r>
      <w:r>
        <w:rPr>
          <w:rFonts w:ascii="Calibri"/>
          <w:color w:val="231F1F"/>
          <w:w w:val="110"/>
        </w:rPr>
        <w:t>Anthelmintics: </w:t>
      </w:r>
      <w:r>
        <w:rPr>
          <w:color w:val="231F1F"/>
          <w:w w:val="110"/>
        </w:rPr>
        <w:t>rifampicin reduces plasma concentration of</w:t>
      </w:r>
    </w:p>
    <w:p>
      <w:pPr>
        <w:spacing w:line="140" w:lineRule="exact" w:before="0"/>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PRAZIQUANTEL</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45" w:lineRule="exact"/>
        <w:ind w:left="108"/>
      </w:pPr>
      <w:r>
        <w:rPr>
          <w:rFonts w:ascii="Arial"/>
          <w:color w:val="231F1F"/>
          <w:w w:val="355"/>
          <w:position w:val="1"/>
          <w:sz w:val="7"/>
        </w:rPr>
        <w:t>l </w:t>
      </w:r>
      <w:r>
        <w:rPr>
          <w:rFonts w:ascii="Calibri"/>
          <w:color w:val="231F1F"/>
          <w:w w:val="115"/>
        </w:rPr>
        <w:t>Anti-arrhythmics: </w:t>
      </w:r>
      <w:r>
        <w:rPr>
          <w:color w:val="231F1F"/>
          <w:w w:val="115"/>
        </w:rPr>
        <w:t>rifamycins accelerate metabolism of</w:t>
      </w:r>
    </w:p>
    <w:p>
      <w:pPr>
        <w:pStyle w:val="BodyText"/>
        <w:spacing w:line="242" w:lineRule="auto"/>
      </w:pPr>
      <w:r>
        <w:rPr>
          <w:rFonts w:ascii="Arial" w:hAnsi="Arial"/>
          <w:color w:val="231F1F"/>
          <w:w w:val="355"/>
          <w:position w:val="1"/>
          <w:sz w:val="7"/>
        </w:rPr>
        <w:t>l </w:t>
      </w:r>
      <w:r>
        <w:rPr>
          <w:rFonts w:ascii="Calibri" w:hAnsi="Calibri"/>
          <w:color w:val="008356"/>
          <w:w w:val="110"/>
          <w:sz w:val="11"/>
        </w:rPr>
        <w:t>DISOPYRAMIDE </w:t>
      </w:r>
      <w:r>
        <w:rPr>
          <w:color w:val="231F1F"/>
          <w:w w:val="110"/>
        </w:rPr>
        <w:t>(reduced plasma concentration); rifampicin reduces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 rifampicin accelerates metabolism of</w:t>
      </w:r>
    </w:p>
    <w:p>
      <w:pPr>
        <w:spacing w:line="141" w:lineRule="exact" w:before="4"/>
        <w:ind w:left="208" w:right="0" w:firstLine="0"/>
        <w:jc w:val="left"/>
        <w:rPr>
          <w:sz w:val="12"/>
        </w:rPr>
      </w:pPr>
      <w:r>
        <w:rPr>
          <w:rFonts w:ascii="Arial"/>
          <w:color w:val="231F1F"/>
          <w:w w:val="355"/>
          <w:position w:val="1"/>
          <w:sz w:val="7"/>
        </w:rPr>
        <w:t>l </w:t>
      </w:r>
      <w:r>
        <w:rPr>
          <w:rFonts w:ascii="Calibri"/>
          <w:color w:val="008356"/>
          <w:w w:val="110"/>
          <w:sz w:val="11"/>
        </w:rPr>
        <w:t>PROPAFENONE </w:t>
      </w:r>
      <w:r>
        <w:rPr>
          <w:color w:val="231F1F"/>
          <w:w w:val="110"/>
          <w:sz w:val="12"/>
        </w:rPr>
        <w:t>(reduced effect)</w:t>
      </w:r>
    </w:p>
    <w:p>
      <w:pPr>
        <w:pStyle w:val="BodyText"/>
        <w:spacing w:line="244" w:lineRule="auto"/>
        <w:ind w:right="45" w:hanging="100"/>
      </w:pPr>
      <w:r>
        <w:rPr>
          <w:rFonts w:ascii="Arial" w:hAnsi="Arial"/>
          <w:color w:val="231F1F"/>
          <w:w w:val="355"/>
          <w:position w:val="1"/>
          <w:sz w:val="7"/>
        </w:rPr>
        <w:t>l </w:t>
      </w:r>
      <w:r>
        <w:rPr>
          <w:rFonts w:ascii="Calibri" w:hAnsi="Calibri"/>
          <w:color w:val="231F1F"/>
          <w:w w:val="115"/>
        </w:rPr>
        <w:t>Antibacterials: </w:t>
      </w:r>
      <w:r>
        <w:rPr>
          <w:color w:val="231F1F"/>
          <w:w w:val="115"/>
        </w:rPr>
        <w:t>increased risk of side-effects including neutropenia when rifabutin given with </w:t>
      </w:r>
      <w:r>
        <w:rPr>
          <w:rFonts w:ascii="Arial" w:hAnsi="Arial"/>
          <w:color w:val="231F1F"/>
          <w:w w:val="355"/>
          <w:position w:val="1"/>
          <w:sz w:val="7"/>
        </w:rPr>
        <w:t>l </w:t>
      </w:r>
      <w:r>
        <w:rPr>
          <w:rFonts w:ascii="Calibri" w:hAnsi="Calibri"/>
          <w:color w:val="008356"/>
          <w:spacing w:val="4"/>
          <w:w w:val="115"/>
          <w:sz w:val="11"/>
        </w:rPr>
        <w:t>AZITHROMYCIN</w:t>
      </w:r>
      <w:r>
        <w:rPr>
          <w:color w:val="231F1F"/>
          <w:spacing w:val="4"/>
          <w:w w:val="115"/>
        </w:rPr>
        <w:t>; </w:t>
      </w:r>
      <w:r>
        <w:rPr>
          <w:color w:val="231F1F"/>
          <w:w w:val="115"/>
        </w:rPr>
        <w:t>rifamycins</w:t>
      </w:r>
      <w:r>
        <w:rPr>
          <w:color w:val="231F1F"/>
          <w:spacing w:val="-22"/>
          <w:w w:val="115"/>
        </w:rPr>
        <w:t> </w:t>
      </w:r>
      <w:r>
        <w:rPr>
          <w:color w:val="231F1F"/>
          <w:w w:val="115"/>
        </w:rPr>
        <w:t>reduce</w:t>
      </w:r>
      <w:r>
        <w:rPr>
          <w:color w:val="231F1F"/>
          <w:spacing w:val="-21"/>
          <w:w w:val="115"/>
        </w:rPr>
        <w:t> </w:t>
      </w:r>
      <w:r>
        <w:rPr>
          <w:color w:val="231F1F"/>
          <w:w w:val="115"/>
        </w:rPr>
        <w:t>plasma</w:t>
      </w:r>
      <w:r>
        <w:rPr>
          <w:color w:val="231F1F"/>
          <w:spacing w:val="-22"/>
          <w:w w:val="115"/>
        </w:rPr>
        <w:t> </w:t>
      </w:r>
      <w:r>
        <w:rPr>
          <w:color w:val="231F1F"/>
          <w:w w:val="115"/>
        </w:rPr>
        <w:t>concentration</w:t>
      </w:r>
      <w:r>
        <w:rPr>
          <w:color w:val="231F1F"/>
          <w:spacing w:val="-21"/>
          <w:w w:val="115"/>
        </w:rPr>
        <w:t> </w:t>
      </w:r>
      <w:r>
        <w:rPr>
          <w:color w:val="231F1F"/>
          <w:w w:val="115"/>
        </w:rPr>
        <w:t>of</w:t>
      </w:r>
      <w:r>
        <w:rPr>
          <w:color w:val="231F1F"/>
          <w:spacing w:val="-21"/>
          <w:w w:val="115"/>
        </w:rPr>
        <w:t> </w:t>
      </w:r>
      <w:r>
        <w:rPr>
          <w:rFonts w:ascii="Calibri" w:hAnsi="Calibri"/>
          <w:color w:val="008356"/>
          <w:spacing w:val="5"/>
          <w:w w:val="115"/>
          <w:sz w:val="11"/>
        </w:rPr>
        <w:t>CLARITHROMYCIN </w:t>
      </w:r>
      <w:r>
        <w:rPr>
          <w:color w:val="231F1F"/>
          <w:w w:val="115"/>
        </w:rPr>
        <w:t>and</w:t>
      </w:r>
      <w:r>
        <w:rPr>
          <w:color w:val="231F1F"/>
          <w:spacing w:val="-11"/>
          <w:w w:val="115"/>
        </w:rPr>
        <w:t> </w:t>
      </w:r>
      <w:r>
        <w:rPr>
          <w:rFonts w:ascii="Calibri" w:hAnsi="Calibri"/>
          <w:color w:val="008356"/>
          <w:spacing w:val="4"/>
          <w:w w:val="115"/>
          <w:sz w:val="11"/>
        </w:rPr>
        <w:t>DAPSONE</w:t>
      </w:r>
      <w:r>
        <w:rPr>
          <w:color w:val="231F1F"/>
          <w:spacing w:val="4"/>
          <w:w w:val="115"/>
        </w:rPr>
        <w:t>;</w:t>
      </w:r>
      <w:r>
        <w:rPr>
          <w:color w:val="231F1F"/>
          <w:spacing w:val="-10"/>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11"/>
          <w:w w:val="115"/>
        </w:rPr>
        <w:t> </w:t>
      </w:r>
      <w:r>
        <w:rPr>
          <w:color w:val="231F1F"/>
          <w:w w:val="115"/>
        </w:rPr>
        <w:t>rifabutin</w:t>
      </w:r>
      <w:r>
        <w:rPr>
          <w:color w:val="231F1F"/>
          <w:spacing w:val="-11"/>
          <w:w w:val="115"/>
        </w:rPr>
        <w:t> </w:t>
      </w:r>
      <w:r>
        <w:rPr>
          <w:color w:val="231F1F"/>
          <w:w w:val="115"/>
        </w:rPr>
        <w:t>increased</w:t>
      </w:r>
      <w:r>
        <w:rPr>
          <w:color w:val="231F1F"/>
          <w:spacing w:val="-10"/>
          <w:w w:val="115"/>
        </w:rPr>
        <w:t> </w:t>
      </w:r>
      <w:r>
        <w:rPr>
          <w:color w:val="231F1F"/>
          <w:w w:val="115"/>
        </w:rPr>
        <w:t>by </w:t>
      </w:r>
      <w:r>
        <w:rPr>
          <w:rFonts w:ascii="Arial" w:hAnsi="Arial"/>
          <w:color w:val="231F1F"/>
          <w:w w:val="110"/>
          <w:position w:val="1"/>
          <w:sz w:val="7"/>
        </w:rPr>
        <w:t>l </w:t>
      </w:r>
      <w:r>
        <w:rPr>
          <w:rFonts w:ascii="Calibri" w:hAnsi="Calibri"/>
          <w:color w:val="008356"/>
          <w:spacing w:val="4"/>
          <w:w w:val="110"/>
          <w:sz w:val="11"/>
        </w:rPr>
        <w:t>CLARITHROMYCIN </w:t>
      </w:r>
      <w:r>
        <w:rPr>
          <w:color w:val="231F1F"/>
          <w:w w:val="110"/>
        </w:rPr>
        <w:t>(increased risk of toxicity</w:t>
      </w:r>
      <w:r>
        <w:rPr>
          <w:rFonts w:ascii="Arial" w:hAnsi="Arial"/>
          <w:color w:val="231F1F"/>
          <w:w w:val="110"/>
        </w:rPr>
        <w:t>—</w:t>
      </w:r>
      <w:r>
        <w:rPr>
          <w:color w:val="231F1F"/>
          <w:w w:val="110"/>
        </w:rPr>
        <w:t>reduce</w:t>
      </w:r>
      <w:r>
        <w:rPr>
          <w:color w:val="231F1F"/>
          <w:spacing w:val="-20"/>
          <w:w w:val="110"/>
        </w:rPr>
        <w:t> </w:t>
      </w:r>
      <w:r>
        <w:rPr>
          <w:color w:val="231F1F"/>
          <w:w w:val="110"/>
        </w:rPr>
        <w:t>rifabutin </w:t>
      </w:r>
      <w:r>
        <w:rPr>
          <w:color w:val="231F1F"/>
          <w:w w:val="115"/>
        </w:rPr>
        <w:t>dose); plasma concentration of rifabutin possibly increased by </w:t>
      </w:r>
      <w:r>
        <w:rPr>
          <w:rFonts w:ascii="Arial" w:hAnsi="Arial"/>
          <w:color w:val="231F1F"/>
          <w:w w:val="355"/>
          <w:position w:val="1"/>
          <w:sz w:val="7"/>
        </w:rPr>
        <w:t>l </w:t>
      </w:r>
      <w:r>
        <w:rPr>
          <w:rFonts w:ascii="Calibri" w:hAnsi="Calibri"/>
          <w:color w:val="008356"/>
          <w:spacing w:val="4"/>
          <w:w w:val="115"/>
          <w:sz w:val="11"/>
        </w:rPr>
        <w:t>ERYTHROMYCIN </w:t>
      </w:r>
      <w:r>
        <w:rPr>
          <w:color w:val="231F1F"/>
          <w:w w:val="115"/>
        </w:rPr>
        <w:t>(increased risk of toxicity</w:t>
      </w:r>
      <w:r>
        <w:rPr>
          <w:rFonts w:ascii="Arial" w:hAnsi="Arial"/>
          <w:color w:val="231F1F"/>
          <w:w w:val="115"/>
        </w:rPr>
        <w:t>—</w:t>
      </w:r>
      <w:r>
        <w:rPr>
          <w:color w:val="231F1F"/>
          <w:w w:val="115"/>
        </w:rPr>
        <w:t>reduce rifabutin dose); rifampicin possibly reduces plasma concentration</w:t>
      </w:r>
      <w:r>
        <w:rPr>
          <w:color w:val="231F1F"/>
          <w:spacing w:val="-23"/>
          <w:w w:val="115"/>
        </w:rPr>
        <w:t> </w:t>
      </w:r>
      <w:r>
        <w:rPr>
          <w:color w:val="231F1F"/>
          <w:w w:val="115"/>
        </w:rPr>
        <w:t>of</w:t>
      </w:r>
      <w:r>
        <w:rPr>
          <w:color w:val="231F1F"/>
          <w:spacing w:val="-22"/>
          <w:w w:val="115"/>
        </w:rPr>
        <w:t> </w:t>
      </w:r>
      <w:r>
        <w:rPr>
          <w:rFonts w:ascii="Calibri" w:hAnsi="Calibri"/>
          <w:color w:val="008356"/>
          <w:spacing w:val="4"/>
          <w:w w:val="115"/>
          <w:sz w:val="11"/>
        </w:rPr>
        <w:t>TINIDAZOLE</w:t>
      </w:r>
      <w:r>
        <w:rPr>
          <w:rFonts w:ascii="Calibri" w:hAnsi="Calibri"/>
          <w:color w:val="008356"/>
          <w:spacing w:val="-14"/>
          <w:w w:val="115"/>
          <w:sz w:val="11"/>
        </w:rPr>
        <w:t> </w:t>
      </w:r>
      <w:r>
        <w:rPr>
          <w:color w:val="231F1F"/>
          <w:w w:val="115"/>
        </w:rPr>
        <w:t>and</w:t>
      </w:r>
      <w:r>
        <w:rPr>
          <w:color w:val="231F1F"/>
          <w:spacing w:val="-23"/>
          <w:w w:val="115"/>
        </w:rPr>
        <w:t> </w:t>
      </w:r>
      <w:r>
        <w:rPr>
          <w:rFonts w:ascii="Calibri" w:hAnsi="Calibri"/>
          <w:color w:val="008356"/>
          <w:spacing w:val="4"/>
          <w:w w:val="115"/>
          <w:sz w:val="11"/>
        </w:rPr>
        <w:t>TRIMETHOPRIM</w:t>
      </w:r>
      <w:r>
        <w:rPr>
          <w:color w:val="231F1F"/>
          <w:spacing w:val="4"/>
          <w:w w:val="115"/>
        </w:rPr>
        <w:t>;</w:t>
      </w:r>
      <w:r>
        <w:rPr>
          <w:color w:val="231F1F"/>
          <w:spacing w:val="-23"/>
          <w:w w:val="115"/>
        </w:rPr>
        <w:t> </w:t>
      </w:r>
      <w:r>
        <w:rPr>
          <w:color w:val="231F1F"/>
          <w:w w:val="115"/>
        </w:rPr>
        <w:t>rifampicin reduces plasma concentration of </w:t>
      </w:r>
      <w:r>
        <w:rPr>
          <w:rFonts w:ascii="Calibri" w:hAnsi="Calibri"/>
          <w:color w:val="008356"/>
          <w:spacing w:val="2"/>
          <w:w w:val="115"/>
          <w:sz w:val="11"/>
        </w:rPr>
        <w:t>DOXYCYCLINE</w:t>
      </w:r>
      <w:r>
        <w:rPr>
          <w:rFonts w:ascii="Arial" w:hAnsi="Arial"/>
          <w:color w:val="231F1F"/>
          <w:spacing w:val="2"/>
          <w:w w:val="115"/>
        </w:rPr>
        <w:t>—</w:t>
      </w:r>
      <w:r>
        <w:rPr>
          <w:color w:val="231F1F"/>
          <w:spacing w:val="2"/>
          <w:w w:val="115"/>
        </w:rPr>
        <w:t>consider </w:t>
      </w:r>
      <w:r>
        <w:rPr>
          <w:color w:val="231F1F"/>
          <w:w w:val="115"/>
        </w:rPr>
        <w:t>increasing dose of doxycycline; rifabutin possibly reduces plasma concentration of </w:t>
      </w:r>
      <w:r>
        <w:rPr>
          <w:rFonts w:ascii="Calibri" w:hAnsi="Calibri"/>
          <w:color w:val="008356"/>
          <w:spacing w:val="2"/>
          <w:w w:val="115"/>
          <w:sz w:val="11"/>
        </w:rPr>
        <w:t>BEDAQUILINE</w:t>
      </w:r>
      <w:r>
        <w:rPr>
          <w:rFonts w:ascii="Arial" w:hAnsi="Arial"/>
          <w:color w:val="231F1F"/>
          <w:spacing w:val="2"/>
          <w:w w:val="115"/>
        </w:rPr>
        <w:t>—</w:t>
      </w:r>
      <w:r>
        <w:rPr>
          <w:color w:val="231F1F"/>
          <w:spacing w:val="2"/>
          <w:w w:val="115"/>
        </w:rPr>
        <w:t>manufacturer </w:t>
      </w:r>
      <w:r>
        <w:rPr>
          <w:color w:val="231F1F"/>
          <w:w w:val="115"/>
        </w:rPr>
        <w:t>of bedaquiline advises avoid concomitant use; rifampicin reduces plasma concentration of </w:t>
      </w:r>
      <w:r>
        <w:rPr>
          <w:rFonts w:ascii="Arial" w:hAnsi="Arial"/>
          <w:color w:val="231F1F"/>
          <w:w w:val="355"/>
          <w:position w:val="1"/>
          <w:sz w:val="7"/>
        </w:rPr>
        <w:t>l </w:t>
      </w:r>
      <w:r>
        <w:rPr>
          <w:rFonts w:ascii="Calibri" w:hAnsi="Calibri"/>
          <w:color w:val="008356"/>
          <w:spacing w:val="4"/>
          <w:w w:val="115"/>
          <w:sz w:val="11"/>
        </w:rPr>
        <w:t>BEDAQUILINE</w:t>
      </w:r>
      <w:r>
        <w:rPr>
          <w:rFonts w:ascii="Arial" w:hAnsi="Arial"/>
          <w:color w:val="231F1F"/>
          <w:spacing w:val="4"/>
          <w:w w:val="115"/>
        </w:rPr>
        <w:t>— </w:t>
      </w:r>
      <w:r>
        <w:rPr>
          <w:color w:val="231F1F"/>
          <w:w w:val="115"/>
        </w:rPr>
        <w:t>manufacturer of bedaquiline advises avoid concomitant use; rifampicin accelerates metabolism of </w:t>
      </w:r>
      <w:r>
        <w:rPr>
          <w:rFonts w:ascii="Calibri" w:hAnsi="Calibri"/>
          <w:color w:val="008356"/>
          <w:spacing w:val="4"/>
          <w:w w:val="115"/>
          <w:sz w:val="11"/>
        </w:rPr>
        <w:t>CHLORAMPHENICOL </w:t>
      </w:r>
      <w:r>
        <w:rPr>
          <w:color w:val="231F1F"/>
          <w:w w:val="115"/>
        </w:rPr>
        <w:t>(reduced plasma concentration); rifampicin reduces plasma concentration of </w:t>
      </w:r>
      <w:r>
        <w:rPr>
          <w:rFonts w:ascii="Arial" w:hAnsi="Arial"/>
          <w:color w:val="231F1F"/>
          <w:w w:val="355"/>
          <w:position w:val="1"/>
          <w:sz w:val="7"/>
        </w:rPr>
        <w:t>l </w:t>
      </w:r>
      <w:r>
        <w:rPr>
          <w:rFonts w:ascii="Calibri" w:hAnsi="Calibri"/>
          <w:color w:val="008356"/>
          <w:spacing w:val="4"/>
          <w:w w:val="115"/>
          <w:sz w:val="11"/>
        </w:rPr>
        <w:t>DELAMANID</w:t>
      </w:r>
      <w:r>
        <w:rPr>
          <w:color w:val="231F1F"/>
          <w:spacing w:val="4"/>
          <w:w w:val="115"/>
        </w:rPr>
        <w:t>; </w:t>
      </w:r>
      <w:r>
        <w:rPr>
          <w:color w:val="231F1F"/>
          <w:w w:val="115"/>
        </w:rPr>
        <w:t>increased risk of hepatotoxicity when rifampicin given with </w:t>
      </w:r>
      <w:r>
        <w:rPr>
          <w:rFonts w:ascii="Arial" w:hAnsi="Arial"/>
          <w:color w:val="231F1F"/>
          <w:w w:val="355"/>
          <w:position w:val="1"/>
          <w:sz w:val="7"/>
        </w:rPr>
        <w:t>l </w:t>
      </w:r>
      <w:r>
        <w:rPr>
          <w:rFonts w:ascii="Calibri" w:hAnsi="Calibri"/>
          <w:color w:val="008356"/>
          <w:spacing w:val="4"/>
          <w:w w:val="115"/>
          <w:sz w:val="11"/>
        </w:rPr>
        <w:t>ISONIAZID</w:t>
      </w:r>
      <w:r>
        <w:rPr>
          <w:color w:val="231F1F"/>
          <w:spacing w:val="4"/>
          <w:w w:val="115"/>
        </w:rPr>
        <w:t>; </w:t>
      </w:r>
      <w:r>
        <w:rPr>
          <w:color w:val="231F1F"/>
          <w:w w:val="115"/>
        </w:rPr>
        <w:t>rifampicin reduces plasma concentration of </w:t>
      </w:r>
      <w:r>
        <w:rPr>
          <w:rFonts w:ascii="Calibri" w:hAnsi="Calibri"/>
          <w:color w:val="008356"/>
          <w:spacing w:val="4"/>
          <w:w w:val="115"/>
          <w:sz w:val="11"/>
        </w:rPr>
        <w:t>LINEZOLID </w:t>
      </w:r>
      <w:r>
        <w:rPr>
          <w:color w:val="231F1F"/>
          <w:w w:val="115"/>
        </w:rPr>
        <w:t>(possible</w:t>
      </w:r>
      <w:r>
        <w:rPr>
          <w:color w:val="231F1F"/>
          <w:spacing w:val="-10"/>
          <w:w w:val="115"/>
        </w:rPr>
        <w:t> </w:t>
      </w:r>
      <w:r>
        <w:rPr>
          <w:color w:val="231F1F"/>
          <w:w w:val="115"/>
        </w:rPr>
        <w:t>therapeutic</w:t>
      </w:r>
      <w:r>
        <w:rPr>
          <w:color w:val="231F1F"/>
          <w:spacing w:val="-8"/>
          <w:w w:val="115"/>
        </w:rPr>
        <w:t> </w:t>
      </w:r>
      <w:r>
        <w:rPr>
          <w:color w:val="231F1F"/>
          <w:w w:val="115"/>
        </w:rPr>
        <w:t>failure</w:t>
      </w:r>
      <w:r>
        <w:rPr>
          <w:color w:val="231F1F"/>
          <w:spacing w:val="-9"/>
          <w:w w:val="115"/>
        </w:rPr>
        <w:t> </w:t>
      </w:r>
      <w:r>
        <w:rPr>
          <w:color w:val="231F1F"/>
          <w:w w:val="115"/>
        </w:rPr>
        <w:t>of</w:t>
      </w:r>
      <w:r>
        <w:rPr>
          <w:color w:val="231F1F"/>
          <w:spacing w:val="-9"/>
          <w:w w:val="115"/>
        </w:rPr>
        <w:t> </w:t>
      </w:r>
      <w:r>
        <w:rPr>
          <w:color w:val="231F1F"/>
          <w:w w:val="115"/>
        </w:rPr>
        <w:t>linezolid);</w:t>
      </w:r>
      <w:r>
        <w:rPr>
          <w:color w:val="231F1F"/>
          <w:spacing w:val="-10"/>
          <w:w w:val="115"/>
        </w:rPr>
        <w:t> </w:t>
      </w:r>
      <w:r>
        <w:rPr>
          <w:color w:val="231F1F"/>
          <w:w w:val="115"/>
        </w:rPr>
        <w:t>rifampicin</w:t>
      </w:r>
      <w:r>
        <w:rPr>
          <w:color w:val="231F1F"/>
          <w:spacing w:val="-9"/>
          <w:w w:val="115"/>
        </w:rPr>
        <w:t> </w:t>
      </w:r>
      <w:r>
        <w:rPr>
          <w:color w:val="231F1F"/>
          <w:w w:val="115"/>
        </w:rPr>
        <w:t>reduces 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TELITHROMYCIN</w:t>
      </w:r>
      <w:r>
        <w:rPr>
          <w:rFonts w:ascii="Calibri" w:hAnsi="Calibri"/>
          <w:color w:val="008356"/>
          <w:spacing w:val="-5"/>
          <w:w w:val="115"/>
          <w:sz w:val="11"/>
        </w:rPr>
        <w:t> </w:t>
      </w:r>
      <w:r>
        <w:rPr>
          <w:color w:val="231F1F"/>
          <w:w w:val="115"/>
        </w:rPr>
        <w:t>(avoid</w:t>
      </w:r>
      <w:r>
        <w:rPr>
          <w:color w:val="231F1F"/>
          <w:spacing w:val="-15"/>
          <w:w w:val="115"/>
        </w:rPr>
        <w:t> </w:t>
      </w:r>
      <w:r>
        <w:rPr>
          <w:color w:val="231F1F"/>
          <w:w w:val="115"/>
        </w:rPr>
        <w:t>during</w:t>
      </w:r>
      <w:r>
        <w:rPr>
          <w:color w:val="231F1F"/>
          <w:spacing w:val="-15"/>
          <w:w w:val="115"/>
        </w:rPr>
        <w:t> </w:t>
      </w:r>
      <w:r>
        <w:rPr>
          <w:color w:val="231F1F"/>
          <w:w w:val="115"/>
        </w:rPr>
        <w:t>and for 2 weeks after</w:t>
      </w:r>
      <w:r>
        <w:rPr>
          <w:color w:val="231F1F"/>
          <w:spacing w:val="-18"/>
          <w:w w:val="115"/>
        </w:rPr>
        <w:t> </w:t>
      </w:r>
      <w:r>
        <w:rPr>
          <w:color w:val="231F1F"/>
          <w:w w:val="115"/>
        </w:rPr>
        <w:t>rifampicin)</w:t>
      </w:r>
    </w:p>
    <w:p>
      <w:pPr>
        <w:pStyle w:val="BodyText"/>
        <w:spacing w:line="244" w:lineRule="auto"/>
        <w:ind w:right="50" w:hanging="100"/>
      </w:pPr>
      <w:r>
        <w:rPr>
          <w:rFonts w:ascii="Arial" w:hAnsi="Arial"/>
          <w:color w:val="231F1F"/>
          <w:w w:val="355"/>
          <w:position w:val="1"/>
          <w:sz w:val="7"/>
        </w:rPr>
        <w:t>l </w:t>
      </w:r>
      <w:r>
        <w:rPr>
          <w:rFonts w:ascii="Calibri" w:hAnsi="Calibri"/>
          <w:color w:val="231F1F"/>
          <w:w w:val="115"/>
        </w:rPr>
        <w:t>Anticoagulants: </w:t>
      </w:r>
      <w:r>
        <w:rPr>
          <w:color w:val="231F1F"/>
          <w:w w:val="115"/>
        </w:rPr>
        <w:t>rifampicin possibly reduces plasma concentration of </w:t>
      </w:r>
      <w:r>
        <w:rPr>
          <w:rFonts w:ascii="Arial" w:hAnsi="Arial"/>
          <w:color w:val="231F1F"/>
          <w:w w:val="355"/>
          <w:position w:val="1"/>
          <w:sz w:val="7"/>
        </w:rPr>
        <w:t>l </w:t>
      </w:r>
      <w:r>
        <w:rPr>
          <w:rFonts w:ascii="Calibri" w:hAnsi="Calibri"/>
          <w:color w:val="008356"/>
          <w:w w:val="115"/>
          <w:sz w:val="11"/>
        </w:rPr>
        <w:t>APIXABAN</w:t>
      </w:r>
      <w:r>
        <w:rPr>
          <w:rFonts w:ascii="Arial" w:hAnsi="Arial"/>
          <w:color w:val="231F1F"/>
          <w:w w:val="115"/>
        </w:rPr>
        <w:t>—</w:t>
      </w:r>
      <w:r>
        <w:rPr>
          <w:color w:val="231F1F"/>
          <w:w w:val="115"/>
        </w:rPr>
        <w:t>manufacturer of apixaban advises avoid concomitant use when given for treatment of deep-vein thrombosis or pulmonary embolism; rifamycins accelerate metabolism of </w:t>
      </w:r>
      <w:r>
        <w:rPr>
          <w:rFonts w:ascii="Arial" w:hAnsi="Arial"/>
          <w:color w:val="231F1F"/>
          <w:w w:val="355"/>
          <w:position w:val="1"/>
          <w:sz w:val="7"/>
        </w:rPr>
        <w:t>l </w:t>
      </w:r>
      <w:r>
        <w:rPr>
          <w:rFonts w:ascii="Calibri" w:hAnsi="Calibri"/>
          <w:color w:val="008356"/>
          <w:spacing w:val="4"/>
          <w:w w:val="115"/>
          <w:sz w:val="11"/>
        </w:rPr>
        <w:t>COUMARINS </w:t>
      </w:r>
      <w:r>
        <w:rPr>
          <w:color w:val="231F1F"/>
          <w:w w:val="115"/>
        </w:rPr>
        <w:t>(reduced anticoagulant effect); rifampicin reduces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w w:val="115"/>
          <w:sz w:val="11"/>
        </w:rPr>
        <w:t>DABIGATRAN</w:t>
      </w:r>
      <w:r>
        <w:rPr>
          <w:rFonts w:ascii="Arial" w:hAnsi="Arial"/>
          <w:color w:val="231F1F"/>
          <w:w w:val="115"/>
        </w:rPr>
        <w:t>—</w:t>
      </w:r>
      <w:r>
        <w:rPr>
          <w:color w:val="231F1F"/>
          <w:w w:val="115"/>
        </w:rPr>
        <w:t>manufacturer of dabigatran advises avoid concomitant use; rifampicin reduces plasma concentration of </w:t>
      </w:r>
      <w:r>
        <w:rPr>
          <w:rFonts w:ascii="Arial" w:hAnsi="Arial"/>
          <w:color w:val="231F1F"/>
          <w:w w:val="355"/>
          <w:position w:val="1"/>
          <w:sz w:val="7"/>
        </w:rPr>
        <w:t>l </w:t>
      </w:r>
      <w:r>
        <w:rPr>
          <w:rFonts w:ascii="Calibri" w:hAnsi="Calibri"/>
          <w:color w:val="008356"/>
          <w:w w:val="115"/>
          <w:sz w:val="11"/>
        </w:rPr>
        <w:t>RIVAROXABAN</w:t>
      </w:r>
      <w:r>
        <w:rPr>
          <w:rFonts w:ascii="Arial" w:hAnsi="Arial"/>
          <w:color w:val="231F1F"/>
          <w:w w:val="115"/>
        </w:rPr>
        <w:t>—</w:t>
      </w:r>
      <w:r>
        <w:rPr>
          <w:color w:val="231F1F"/>
          <w:w w:val="115"/>
        </w:rPr>
        <w:t>manufacturer of rivaroxaban advises monitor for signs of thrombosis</w:t>
      </w:r>
    </w:p>
    <w:p>
      <w:pPr>
        <w:pStyle w:val="BodyText"/>
        <w:spacing w:line="146" w:lineRule="exact"/>
        <w:ind w:left="108"/>
      </w:pPr>
      <w:r>
        <w:rPr>
          <w:rFonts w:ascii="Arial"/>
          <w:color w:val="231F1F"/>
          <w:w w:val="355"/>
          <w:position w:val="1"/>
          <w:sz w:val="7"/>
        </w:rPr>
        <w:t>l </w:t>
      </w:r>
      <w:r>
        <w:rPr>
          <w:rFonts w:ascii="Calibri"/>
          <w:color w:val="231F1F"/>
          <w:w w:val="110"/>
        </w:rPr>
        <w:t>Antidiabetics: </w:t>
      </w:r>
      <w:r>
        <w:rPr>
          <w:color w:val="231F1F"/>
          <w:w w:val="110"/>
        </w:rPr>
        <w:t>rifamycins accelerate metabolism of</w:t>
      </w:r>
    </w:p>
    <w:p>
      <w:pPr>
        <w:spacing w:line="242" w:lineRule="auto" w:before="0"/>
        <w:ind w:left="208" w:right="26" w:firstLine="0"/>
        <w:jc w:val="left"/>
        <w:rPr>
          <w:sz w:val="12"/>
        </w:rPr>
      </w:pPr>
      <w:r>
        <w:rPr>
          <w:rFonts w:ascii="Arial"/>
          <w:color w:val="231F1F"/>
          <w:w w:val="355"/>
          <w:position w:val="1"/>
          <w:sz w:val="7"/>
        </w:rPr>
        <w:t>l </w:t>
      </w:r>
      <w:r>
        <w:rPr>
          <w:rFonts w:ascii="Calibri"/>
          <w:color w:val="008356"/>
          <w:spacing w:val="4"/>
          <w:w w:val="110"/>
          <w:sz w:val="11"/>
        </w:rPr>
        <w:t>TOLBUTAMIDE </w:t>
      </w:r>
      <w:r>
        <w:rPr>
          <w:color w:val="231F1F"/>
          <w:w w:val="110"/>
          <w:sz w:val="12"/>
        </w:rPr>
        <w:t>(reduced effect); rifampicin reduces plasma concentration</w:t>
      </w:r>
      <w:r>
        <w:rPr>
          <w:color w:val="231F1F"/>
          <w:spacing w:val="-13"/>
          <w:w w:val="110"/>
          <w:sz w:val="12"/>
        </w:rPr>
        <w:t> </w:t>
      </w:r>
      <w:r>
        <w:rPr>
          <w:color w:val="231F1F"/>
          <w:w w:val="110"/>
          <w:sz w:val="12"/>
        </w:rPr>
        <w:t>of</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CANAGLIFLOZIN</w:t>
      </w:r>
      <w:r>
        <w:rPr>
          <w:rFonts w:ascii="Calibri"/>
          <w:color w:val="008356"/>
          <w:spacing w:val="-3"/>
          <w:w w:val="110"/>
          <w:sz w:val="11"/>
        </w:rPr>
        <w:t> </w:t>
      </w:r>
      <w:r>
        <w:rPr>
          <w:color w:val="231F1F"/>
          <w:w w:val="110"/>
          <w:sz w:val="12"/>
        </w:rPr>
        <w:t>and</w:t>
      </w:r>
      <w:r>
        <w:rPr>
          <w:color w:val="231F1F"/>
          <w:spacing w:val="-13"/>
          <w:w w:val="110"/>
          <w:sz w:val="12"/>
        </w:rPr>
        <w:t> </w:t>
      </w:r>
      <w:r>
        <w:rPr>
          <w:rFonts w:ascii="Calibri"/>
          <w:color w:val="008356"/>
          <w:spacing w:val="4"/>
          <w:w w:val="110"/>
          <w:sz w:val="11"/>
        </w:rPr>
        <w:t>NATEGLINIDE</w:t>
      </w:r>
      <w:r>
        <w:rPr>
          <w:color w:val="231F1F"/>
          <w:spacing w:val="4"/>
          <w:w w:val="110"/>
          <w:sz w:val="12"/>
        </w:rPr>
        <w:t>;</w:t>
      </w:r>
      <w:r>
        <w:rPr>
          <w:color w:val="231F1F"/>
          <w:spacing w:val="-12"/>
          <w:w w:val="110"/>
          <w:sz w:val="12"/>
        </w:rPr>
        <w:t> </w:t>
      </w:r>
      <w:r>
        <w:rPr>
          <w:color w:val="231F1F"/>
          <w:w w:val="110"/>
          <w:sz w:val="12"/>
        </w:rPr>
        <w:t>rifampicin possibly reduces effects of </w:t>
      </w:r>
      <w:r>
        <w:rPr>
          <w:rFonts w:ascii="Calibri"/>
          <w:color w:val="008356"/>
          <w:spacing w:val="4"/>
          <w:w w:val="110"/>
          <w:sz w:val="11"/>
        </w:rPr>
        <w:t>LINAGLIPTIN</w:t>
      </w:r>
      <w:r>
        <w:rPr>
          <w:color w:val="231F1F"/>
          <w:spacing w:val="4"/>
          <w:w w:val="110"/>
          <w:sz w:val="12"/>
        </w:rPr>
        <w:t>; </w:t>
      </w:r>
      <w:r>
        <w:rPr>
          <w:color w:val="231F1F"/>
          <w:w w:val="110"/>
          <w:sz w:val="12"/>
        </w:rPr>
        <w:t>rifampicin possibly antagonises hypoglycaemic effect of </w:t>
      </w:r>
      <w:r>
        <w:rPr>
          <w:rFonts w:ascii="Calibri"/>
          <w:color w:val="008356"/>
          <w:spacing w:val="4"/>
          <w:w w:val="110"/>
          <w:sz w:val="11"/>
        </w:rPr>
        <w:t>REPAGLINIDE</w:t>
      </w:r>
      <w:r>
        <w:rPr>
          <w:color w:val="231F1F"/>
          <w:spacing w:val="4"/>
          <w:w w:val="110"/>
          <w:sz w:val="12"/>
        </w:rPr>
        <w:t>; </w:t>
      </w:r>
      <w:r>
        <w:rPr>
          <w:color w:val="231F1F"/>
          <w:w w:val="110"/>
          <w:sz w:val="12"/>
        </w:rPr>
        <w:t>rifamycins possibly accelerate metabolism of </w:t>
      </w:r>
      <w:r>
        <w:rPr>
          <w:rFonts w:ascii="Arial"/>
          <w:color w:val="231F1F"/>
          <w:w w:val="355"/>
          <w:position w:val="1"/>
          <w:sz w:val="7"/>
        </w:rPr>
        <w:t>l </w:t>
      </w:r>
      <w:r>
        <w:rPr>
          <w:rFonts w:ascii="Calibri"/>
          <w:color w:val="008356"/>
          <w:spacing w:val="4"/>
          <w:w w:val="110"/>
          <w:sz w:val="11"/>
        </w:rPr>
        <w:t>SULFONYLUREAS </w:t>
      </w:r>
      <w:r>
        <w:rPr>
          <w:color w:val="231F1F"/>
          <w:w w:val="110"/>
          <w:sz w:val="12"/>
        </w:rPr>
        <w:t>(reduced effect)</w:t>
      </w:r>
    </w:p>
    <w:p>
      <w:pPr>
        <w:spacing w:before="1"/>
        <w:ind w:left="208" w:right="366"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rifabutin reduces plasma concentration </w:t>
      </w:r>
      <w:r>
        <w:rPr>
          <w:color w:val="231F1F"/>
          <w:spacing w:val="-7"/>
          <w:w w:val="110"/>
          <w:sz w:val="12"/>
        </w:rPr>
        <w:t>of </w:t>
      </w:r>
      <w:r>
        <w:rPr>
          <w:rFonts w:ascii="Arial"/>
          <w:color w:val="231F1F"/>
          <w:w w:val="355"/>
          <w:position w:val="1"/>
          <w:sz w:val="7"/>
        </w:rPr>
        <w:t>l</w:t>
      </w:r>
      <w:r>
        <w:rPr>
          <w:rFonts w:ascii="Arial"/>
          <w:color w:val="231F1F"/>
          <w:spacing w:val="-57"/>
          <w:w w:val="355"/>
          <w:position w:val="1"/>
          <w:sz w:val="7"/>
        </w:rPr>
        <w:t> </w:t>
      </w:r>
      <w:r>
        <w:rPr>
          <w:rFonts w:ascii="Calibri"/>
          <w:color w:val="008356"/>
          <w:spacing w:val="4"/>
          <w:w w:val="110"/>
          <w:sz w:val="11"/>
        </w:rPr>
        <w:t>CARBAMAZEPINE</w:t>
      </w:r>
      <w:r>
        <w:rPr>
          <w:color w:val="231F1F"/>
          <w:spacing w:val="4"/>
          <w:w w:val="110"/>
          <w:sz w:val="12"/>
        </w:rPr>
        <w:t>; </w:t>
      </w:r>
      <w:r>
        <w:rPr>
          <w:color w:val="231F1F"/>
          <w:w w:val="110"/>
          <w:sz w:val="12"/>
        </w:rPr>
        <w:t>rifamycins accelerate metabolism of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FOSPHENYTOIN </w:t>
      </w:r>
      <w:r>
        <w:rPr>
          <w:color w:val="231F1F"/>
          <w:w w:val="110"/>
          <w:sz w:val="12"/>
        </w:rPr>
        <w:t>and</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PHENYTOIN</w:t>
      </w:r>
      <w:r>
        <w:rPr>
          <w:rFonts w:ascii="Calibri"/>
          <w:color w:val="008356"/>
          <w:spacing w:val="5"/>
          <w:w w:val="110"/>
          <w:sz w:val="11"/>
        </w:rPr>
        <w:t> </w:t>
      </w:r>
      <w:r>
        <w:rPr>
          <w:color w:val="231F1F"/>
          <w:w w:val="110"/>
          <w:sz w:val="12"/>
        </w:rPr>
        <w:t>(reduced</w:t>
      </w:r>
      <w:r>
        <w:rPr>
          <w:color w:val="231F1F"/>
          <w:spacing w:val="-8"/>
          <w:w w:val="110"/>
          <w:sz w:val="12"/>
        </w:rPr>
        <w:t> </w:t>
      </w:r>
      <w:r>
        <w:rPr>
          <w:color w:val="231F1F"/>
          <w:w w:val="110"/>
          <w:sz w:val="12"/>
        </w:rPr>
        <w:t>plasma</w:t>
      </w:r>
    </w:p>
    <w:p>
      <w:pPr>
        <w:spacing w:line="247" w:lineRule="auto" w:before="3"/>
        <w:ind w:left="208" w:right="147" w:firstLine="0"/>
        <w:jc w:val="both"/>
        <w:rPr>
          <w:rFonts w:ascii="Calibri"/>
          <w:sz w:val="11"/>
        </w:rPr>
      </w:pPr>
      <w:r>
        <w:rPr>
          <w:color w:val="231F1F"/>
          <w:w w:val="110"/>
          <w:sz w:val="12"/>
        </w:rPr>
        <w:t>concentration); rifampicin reduces plasma  concentration  </w:t>
      </w:r>
      <w:r>
        <w:rPr>
          <w:color w:val="231F1F"/>
          <w:spacing w:val="-8"/>
          <w:w w:val="110"/>
          <w:sz w:val="12"/>
        </w:rPr>
        <w:t>of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LAMOTRIGINE</w:t>
      </w:r>
      <w:r>
        <w:rPr>
          <w:color w:val="231F1F"/>
          <w:spacing w:val="4"/>
          <w:w w:val="110"/>
          <w:sz w:val="12"/>
        </w:rPr>
        <w:t>; </w:t>
      </w:r>
      <w:r>
        <w:rPr>
          <w:color w:val="231F1F"/>
          <w:w w:val="110"/>
          <w:sz w:val="12"/>
        </w:rPr>
        <w:t>plasma concentration of rifampicin possibly reduced by </w:t>
      </w:r>
      <w:r>
        <w:rPr>
          <w:rFonts w:ascii="Calibri"/>
          <w:color w:val="008356"/>
          <w:spacing w:val="4"/>
          <w:w w:val="110"/>
          <w:sz w:val="11"/>
        </w:rPr>
        <w:t>PHENOBARBITAL </w:t>
      </w:r>
      <w:r>
        <w:rPr>
          <w:color w:val="231F1F"/>
          <w:w w:val="110"/>
          <w:sz w:val="12"/>
        </w:rPr>
        <w:t>and</w:t>
      </w:r>
      <w:r>
        <w:rPr>
          <w:color w:val="231F1F"/>
          <w:spacing w:val="-14"/>
          <w:w w:val="110"/>
          <w:sz w:val="12"/>
        </w:rPr>
        <w:t> </w:t>
      </w:r>
      <w:r>
        <w:rPr>
          <w:rFonts w:ascii="Calibri"/>
          <w:color w:val="008356"/>
          <w:spacing w:val="5"/>
          <w:w w:val="110"/>
          <w:sz w:val="11"/>
        </w:rPr>
        <w:t>PRIMIDONE</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Rifamycins </w:t>
      </w:r>
      <w:r>
        <w:rPr>
          <w:rFonts w:ascii="Calibri"/>
          <w:color w:val="231F1F"/>
        </w:rPr>
        <w:t>(continued)</w:t>
      </w:r>
    </w:p>
    <w:p>
      <w:pPr>
        <w:pStyle w:val="BodyText"/>
        <w:spacing w:line="144" w:lineRule="exact"/>
        <w:ind w:left="108"/>
        <w:jc w:val="both"/>
      </w:pPr>
      <w:r>
        <w:rPr/>
        <w:pict>
          <v:rect style="position:absolute;margin-left:398.891296pt;margin-top:-8.635736pt;width:20.522993pt;height:149.443pt;mso-position-horizontal-relative:page;mso-position-vertical-relative:paragraph;z-index:5920" filled="true" fillcolor="#bfdbcf" stroked="false">
            <v:fill type="solid"/>
            <w10:wrap type="none"/>
          </v:rect>
        </w:pict>
      </w:r>
      <w:r>
        <w:rPr/>
        <w:pict>
          <v:shape style="position:absolute;margin-left:399.725769pt;margin-top:-3.672348pt;width:10.4pt;height:78.850pt;mso-position-horizontal-relative:page;mso-position-vertical-relative:paragraph;z-index:594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w:t>
      </w:r>
      <w:r>
        <w:rPr>
          <w:rFonts w:ascii="Arial"/>
          <w:color w:val="231F1F"/>
          <w:spacing w:val="-53"/>
          <w:w w:val="355"/>
          <w:position w:val="1"/>
          <w:sz w:val="7"/>
        </w:rPr>
        <w:t> </w:t>
      </w:r>
      <w:r>
        <w:rPr>
          <w:rFonts w:ascii="Calibri"/>
          <w:color w:val="231F1F"/>
          <w:w w:val="115"/>
        </w:rPr>
        <w:t>Antifungals: </w:t>
      </w:r>
      <w:r>
        <w:rPr>
          <w:color w:val="231F1F"/>
          <w:w w:val="115"/>
        </w:rPr>
        <w:t>rifampicin accelerates metabolism of</w:t>
      </w:r>
    </w:p>
    <w:p>
      <w:pPr>
        <w:pStyle w:val="BodyText"/>
        <w:spacing w:line="247" w:lineRule="auto"/>
        <w:ind w:right="684"/>
        <w:jc w:val="both"/>
      </w:pPr>
      <w:r>
        <w:rPr>
          <w:rFonts w:ascii="Arial"/>
          <w:color w:val="231F1F"/>
          <w:w w:val="355"/>
          <w:position w:val="1"/>
          <w:sz w:val="7"/>
        </w:rPr>
        <w:t>l</w:t>
      </w:r>
      <w:r>
        <w:rPr>
          <w:rFonts w:ascii="Arial"/>
          <w:color w:val="231F1F"/>
          <w:spacing w:val="-35"/>
          <w:w w:val="355"/>
          <w:position w:val="1"/>
          <w:sz w:val="7"/>
        </w:rPr>
        <w:t> </w:t>
      </w:r>
      <w:r>
        <w:rPr>
          <w:rFonts w:ascii="Calibri"/>
          <w:color w:val="008356"/>
          <w:spacing w:val="4"/>
          <w:w w:val="110"/>
          <w:sz w:val="11"/>
        </w:rPr>
        <w:t>KETOCONAZOLE </w:t>
      </w:r>
      <w:r>
        <w:rPr>
          <w:color w:val="231F1F"/>
          <w:w w:val="110"/>
        </w:rPr>
        <w:t>(reduced plasma concentration), also plasma concentration of rifampicin may be reduced by </w:t>
      </w:r>
      <w:r>
        <w:rPr>
          <w:color w:val="231F1F"/>
          <w:spacing w:val="-2"/>
          <w:w w:val="110"/>
        </w:rPr>
        <w:t>ketoconazole; </w:t>
      </w:r>
      <w:r>
        <w:rPr>
          <w:color w:val="231F1F"/>
          <w:w w:val="110"/>
        </w:rPr>
        <w:t>plasma concentration of rifabutin increased</w:t>
      </w:r>
      <w:r>
        <w:rPr>
          <w:color w:val="231F1F"/>
          <w:spacing w:val="4"/>
          <w:w w:val="110"/>
        </w:rPr>
        <w:t> </w:t>
      </w:r>
      <w:r>
        <w:rPr>
          <w:color w:val="231F1F"/>
          <w:w w:val="110"/>
        </w:rPr>
        <w:t>by</w:t>
      </w:r>
    </w:p>
    <w:p>
      <w:pPr>
        <w:pStyle w:val="BodyText"/>
        <w:spacing w:line="244" w:lineRule="auto"/>
        <w:ind w:right="745"/>
      </w:pPr>
      <w:r>
        <w:rPr>
          <w:rFonts w:ascii="Arial" w:hAnsi="Arial"/>
          <w:color w:val="231F1F"/>
          <w:w w:val="355"/>
          <w:position w:val="1"/>
          <w:sz w:val="7"/>
        </w:rPr>
        <w:t>l </w:t>
      </w:r>
      <w:r>
        <w:rPr>
          <w:rFonts w:ascii="Calibri" w:hAnsi="Calibri"/>
          <w:color w:val="008356"/>
          <w:spacing w:val="4"/>
          <w:w w:val="110"/>
          <w:sz w:val="11"/>
        </w:rPr>
        <w:t>FLUCONAZOLE </w:t>
      </w:r>
      <w:r>
        <w:rPr>
          <w:color w:val="231F1F"/>
          <w:w w:val="110"/>
        </w:rPr>
        <w:t>(increased risk of uveitis</w:t>
      </w:r>
      <w:r>
        <w:rPr>
          <w:rFonts w:ascii="Arial" w:hAnsi="Arial"/>
          <w:color w:val="231F1F"/>
          <w:w w:val="110"/>
        </w:rPr>
        <w:t>—</w:t>
      </w:r>
      <w:r>
        <w:rPr>
          <w:color w:val="231F1F"/>
          <w:w w:val="110"/>
        </w:rPr>
        <w:t>reduce rifabutin dose); rifampicin accelerates metabolism of </w:t>
      </w:r>
      <w:r>
        <w:rPr>
          <w:rFonts w:ascii="Arial" w:hAnsi="Arial"/>
          <w:color w:val="231F1F"/>
          <w:w w:val="355"/>
          <w:position w:val="1"/>
          <w:sz w:val="7"/>
        </w:rPr>
        <w:t>l </w:t>
      </w:r>
      <w:r>
        <w:rPr>
          <w:rFonts w:ascii="Calibri" w:hAnsi="Calibri"/>
          <w:color w:val="008356"/>
          <w:spacing w:val="4"/>
          <w:w w:val="110"/>
          <w:sz w:val="11"/>
        </w:rPr>
        <w:t>FLUCONAZOLE </w:t>
      </w:r>
      <w:r>
        <w:rPr>
          <w:color w:val="231F1F"/>
          <w:w w:val="110"/>
        </w:rPr>
        <w:t>(reduced plasma concentration); rifabutin and rifampicin reduce plasma concentration of </w:t>
      </w:r>
      <w:r>
        <w:rPr>
          <w:rFonts w:ascii="Arial" w:hAnsi="Arial"/>
          <w:color w:val="231F1F"/>
          <w:w w:val="355"/>
          <w:position w:val="1"/>
          <w:sz w:val="7"/>
        </w:rPr>
        <w:t>l </w:t>
      </w:r>
      <w:r>
        <w:rPr>
          <w:rFonts w:ascii="Calibri" w:hAnsi="Calibri"/>
          <w:color w:val="008356"/>
          <w:spacing w:val="4"/>
          <w:w w:val="110"/>
          <w:sz w:val="11"/>
        </w:rPr>
        <w:t>ITRACONAZOLE</w:t>
      </w:r>
      <w:r>
        <w:rPr>
          <w:rFonts w:ascii="Arial" w:hAnsi="Arial"/>
          <w:color w:val="231F1F"/>
          <w:spacing w:val="4"/>
          <w:w w:val="110"/>
        </w:rPr>
        <w:t>— </w:t>
      </w:r>
      <w:r>
        <w:rPr>
          <w:color w:val="231F1F"/>
          <w:w w:val="110"/>
        </w:rPr>
        <w:t>manufacturer of itraconazole advises avoid concomitant </w:t>
      </w:r>
      <w:r>
        <w:rPr>
          <w:color w:val="231F1F"/>
          <w:spacing w:val="-4"/>
          <w:w w:val="110"/>
        </w:rPr>
        <w:t>use; </w:t>
      </w:r>
      <w:r>
        <w:rPr>
          <w:color w:val="231F1F"/>
          <w:w w:val="110"/>
        </w:rPr>
        <w:t>plasma concentration of rifabutin increased</w:t>
      </w:r>
      <w:r>
        <w:rPr>
          <w:color w:val="231F1F"/>
          <w:spacing w:val="5"/>
          <w:w w:val="110"/>
        </w:rPr>
        <w:t> </w:t>
      </w:r>
      <w:r>
        <w:rPr>
          <w:color w:val="231F1F"/>
          <w:w w:val="110"/>
        </w:rPr>
        <w:t>by</w:t>
      </w:r>
    </w:p>
    <w:p>
      <w:pPr>
        <w:pStyle w:val="BodyText"/>
        <w:spacing w:line="244" w:lineRule="auto" w:before="4"/>
        <w:ind w:right="670"/>
      </w:pPr>
      <w:r>
        <w:rPr>
          <w:rFonts w:ascii="Arial"/>
          <w:color w:val="231F1F"/>
          <w:w w:val="355"/>
          <w:position w:val="1"/>
          <w:sz w:val="7"/>
        </w:rPr>
        <w:t>l </w:t>
      </w:r>
      <w:r>
        <w:rPr>
          <w:rFonts w:ascii="Calibri"/>
          <w:color w:val="008356"/>
          <w:spacing w:val="4"/>
          <w:w w:val="110"/>
          <w:sz w:val="11"/>
        </w:rPr>
        <w:t>POSACONAZOLE </w:t>
      </w:r>
      <w:r>
        <w:rPr>
          <w:color w:val="231F1F"/>
          <w:w w:val="110"/>
        </w:rPr>
        <w:t>(also plasma concentration of posaconazole reduced); rifampicin reduces plasma concentration of</w:t>
      </w:r>
    </w:p>
    <w:p>
      <w:pPr>
        <w:pStyle w:val="BodyText"/>
        <w:spacing w:line="244" w:lineRule="auto" w:before="2"/>
        <w:ind w:right="671"/>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POSACONAZOLE </w:t>
      </w:r>
      <w:r>
        <w:rPr>
          <w:color w:val="231F1F"/>
          <w:w w:val="110"/>
        </w:rPr>
        <w:t>and</w:t>
      </w:r>
      <w:r>
        <w:rPr>
          <w:color w:val="231F1F"/>
          <w:spacing w:val="-7"/>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TERBINAFINE</w:t>
      </w:r>
      <w:r>
        <w:rPr>
          <w:color w:val="231F1F"/>
          <w:spacing w:val="4"/>
          <w:w w:val="110"/>
        </w:rPr>
        <w:t>;</w:t>
      </w:r>
      <w:r>
        <w:rPr>
          <w:color w:val="231F1F"/>
          <w:spacing w:val="-7"/>
          <w:w w:val="110"/>
        </w:rPr>
        <w:t> </w:t>
      </w:r>
      <w:r>
        <w:rPr>
          <w:color w:val="231F1F"/>
          <w:w w:val="110"/>
        </w:rPr>
        <w:t>plasma</w:t>
      </w:r>
      <w:r>
        <w:rPr>
          <w:color w:val="231F1F"/>
          <w:spacing w:val="-7"/>
          <w:w w:val="110"/>
        </w:rPr>
        <w:t> </w:t>
      </w:r>
      <w:r>
        <w:rPr>
          <w:color w:val="231F1F"/>
          <w:w w:val="110"/>
        </w:rPr>
        <w:t>concentration</w:t>
      </w:r>
      <w:r>
        <w:rPr>
          <w:color w:val="231F1F"/>
          <w:spacing w:val="-8"/>
          <w:w w:val="110"/>
        </w:rPr>
        <w:t> </w:t>
      </w:r>
      <w:r>
        <w:rPr>
          <w:color w:val="231F1F"/>
          <w:w w:val="110"/>
        </w:rPr>
        <w:t>of rifabutin increased by </w:t>
      </w:r>
      <w:r>
        <w:rPr>
          <w:rFonts w:ascii="Arial" w:hAnsi="Arial"/>
          <w:color w:val="231F1F"/>
          <w:w w:val="355"/>
          <w:position w:val="1"/>
          <w:sz w:val="7"/>
        </w:rPr>
        <w:t>l </w:t>
      </w:r>
      <w:r>
        <w:rPr>
          <w:rFonts w:ascii="Calibri" w:hAnsi="Calibri"/>
          <w:color w:val="008356"/>
          <w:spacing w:val="4"/>
          <w:w w:val="110"/>
          <w:sz w:val="11"/>
        </w:rPr>
        <w:t>VORICONAZOLE</w:t>
      </w:r>
      <w:r>
        <w:rPr>
          <w:color w:val="231F1F"/>
          <w:spacing w:val="4"/>
          <w:w w:val="110"/>
        </w:rPr>
        <w:t>, </w:t>
      </w:r>
      <w:r>
        <w:rPr>
          <w:color w:val="231F1F"/>
          <w:w w:val="110"/>
        </w:rPr>
        <w:t>also rifabutin reduces plasma concentration of voriconazole (increase dose of voriconazole and also monitor for rifabutin toxicity); rifampicin</w:t>
      </w:r>
      <w:r>
        <w:rPr>
          <w:color w:val="231F1F"/>
          <w:spacing w:val="-5"/>
          <w:w w:val="110"/>
        </w:rPr>
        <w:t> </w:t>
      </w:r>
      <w:r>
        <w:rPr>
          <w:color w:val="231F1F"/>
          <w:w w:val="110"/>
        </w:rPr>
        <w:t>reduces</w:t>
      </w:r>
      <w:r>
        <w:rPr>
          <w:color w:val="231F1F"/>
          <w:spacing w:val="-5"/>
          <w:w w:val="110"/>
        </w:rPr>
        <w:t> </w:t>
      </w:r>
      <w:r>
        <w:rPr>
          <w:color w:val="231F1F"/>
          <w:w w:val="110"/>
        </w:rPr>
        <w:t>plasma</w:t>
      </w:r>
      <w:r>
        <w:rPr>
          <w:color w:val="231F1F"/>
          <w:spacing w:val="-4"/>
          <w:w w:val="110"/>
        </w:rPr>
        <w:t> </w:t>
      </w:r>
      <w:r>
        <w:rPr>
          <w:color w:val="231F1F"/>
          <w:w w:val="110"/>
        </w:rPr>
        <w:t>concentration</w:t>
      </w:r>
      <w:r>
        <w:rPr>
          <w:color w:val="231F1F"/>
          <w:spacing w:val="-5"/>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3"/>
          <w:w w:val="110"/>
          <w:sz w:val="11"/>
        </w:rPr>
        <w:t>VORICONAZOLE</w:t>
      </w:r>
      <w:r>
        <w:rPr>
          <w:rFonts w:ascii="Arial" w:hAnsi="Arial"/>
          <w:color w:val="231F1F"/>
          <w:spacing w:val="3"/>
          <w:w w:val="110"/>
        </w:rPr>
        <w:t>— </w:t>
      </w:r>
      <w:r>
        <w:rPr>
          <w:color w:val="231F1F"/>
          <w:w w:val="110"/>
        </w:rPr>
        <w:t>avoid concomitant use;  rifampicin  initially  increases  and then reduces plasma concentration of </w:t>
      </w:r>
      <w:r>
        <w:rPr>
          <w:rFonts w:ascii="Calibri" w:hAnsi="Calibri"/>
          <w:color w:val="008356"/>
          <w:spacing w:val="4"/>
          <w:w w:val="110"/>
          <w:sz w:val="11"/>
        </w:rPr>
        <w:t>CASPOFUNGIN </w:t>
      </w:r>
      <w:r>
        <w:rPr>
          <w:color w:val="231F1F"/>
          <w:w w:val="110"/>
        </w:rPr>
        <w:t>(consider increasing dose of caspofungin); plasma concentration of rifabutin possibly increased by </w:t>
      </w:r>
      <w:r>
        <w:rPr>
          <w:rFonts w:ascii="Arial" w:hAnsi="Arial"/>
          <w:color w:val="231F1F"/>
          <w:w w:val="355"/>
          <w:position w:val="1"/>
          <w:sz w:val="7"/>
        </w:rPr>
        <w:t>l </w:t>
      </w:r>
      <w:r>
        <w:rPr>
          <w:rFonts w:ascii="Calibri" w:hAnsi="Calibri"/>
          <w:color w:val="008356"/>
          <w:spacing w:val="4"/>
          <w:w w:val="110"/>
          <w:sz w:val="11"/>
        </w:rPr>
        <w:t>TRIAZOLES </w:t>
      </w:r>
      <w:r>
        <w:rPr>
          <w:color w:val="231F1F"/>
          <w:w w:val="110"/>
        </w:rPr>
        <w:t>(increased risk of uveitis</w:t>
      </w:r>
      <w:r>
        <w:rPr>
          <w:rFonts w:ascii="Arial" w:hAnsi="Arial"/>
          <w:color w:val="231F1F"/>
          <w:w w:val="110"/>
        </w:rPr>
        <w:t>—</w:t>
      </w:r>
      <w:r>
        <w:rPr>
          <w:color w:val="231F1F"/>
          <w:w w:val="110"/>
        </w:rPr>
        <w:t>reduce rifabutin</w:t>
      </w:r>
      <w:r>
        <w:rPr>
          <w:color w:val="231F1F"/>
          <w:spacing w:val="-3"/>
          <w:w w:val="110"/>
        </w:rPr>
        <w:t> </w:t>
      </w:r>
      <w:r>
        <w:rPr>
          <w:color w:val="231F1F"/>
          <w:w w:val="110"/>
        </w:rPr>
        <w:t>dose)</w:t>
      </w:r>
    </w:p>
    <w:p>
      <w:pPr>
        <w:pStyle w:val="BodyText"/>
        <w:spacing w:line="155" w:lineRule="exact" w:before="4"/>
        <w:ind w:left="108"/>
      </w:pPr>
      <w:r>
        <w:rPr>
          <w:rFonts w:ascii="Lucida Sans Unicode" w:hAnsi="Lucida Sans Unicode"/>
          <w:color w:val="A7A8AC"/>
          <w:w w:val="95"/>
          <w:sz w:val="10"/>
        </w:rPr>
        <w:t>▶ </w:t>
      </w:r>
      <w:r>
        <w:rPr>
          <w:rFonts w:ascii="Calibri" w:hAnsi="Calibri"/>
          <w:color w:val="231F1F"/>
        </w:rPr>
        <w:t>Antihistamines: </w:t>
      </w:r>
      <w:r>
        <w:rPr>
          <w:color w:val="231F1F"/>
        </w:rPr>
        <w:t>rifampicin possibly reduces effects of</w:t>
      </w:r>
    </w:p>
    <w:p>
      <w:pPr>
        <w:spacing w:line="130" w:lineRule="exact" w:before="0"/>
        <w:ind w:left="208" w:right="0" w:firstLine="0"/>
        <w:jc w:val="left"/>
        <w:rPr>
          <w:rFonts w:ascii="Calibri"/>
          <w:sz w:val="11"/>
        </w:rPr>
      </w:pPr>
      <w:r>
        <w:rPr>
          <w:rFonts w:ascii="Calibri"/>
          <w:color w:val="008356"/>
          <w:sz w:val="11"/>
        </w:rPr>
        <w:t>FEXOFENADINE</w:t>
      </w:r>
    </w:p>
    <w:p>
      <w:pPr>
        <w:spacing w:line="247" w:lineRule="auto" w:before="0"/>
        <w:ind w:left="208" w:right="775"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Antimalarials: </w:t>
      </w:r>
      <w:r>
        <w:rPr>
          <w:color w:val="231F1F"/>
          <w:w w:val="110"/>
          <w:sz w:val="12"/>
        </w:rPr>
        <w:t>avoidance of rifampicin advised by manufacturer of </w:t>
      </w:r>
      <w:r>
        <w:rPr>
          <w:rFonts w:ascii="Calibri" w:hAnsi="Calibri"/>
          <w:color w:val="008356"/>
          <w:spacing w:val="4"/>
          <w:w w:val="110"/>
          <w:sz w:val="11"/>
        </w:rPr>
        <w:t>ARTENIMOL </w:t>
      </w:r>
      <w:r>
        <w:rPr>
          <w:rFonts w:ascii="Calibri" w:hAnsi="Calibri"/>
          <w:color w:val="008356"/>
          <w:spacing w:val="3"/>
          <w:w w:val="110"/>
          <w:sz w:val="11"/>
        </w:rPr>
        <w:t>WITH </w:t>
      </w:r>
      <w:r>
        <w:rPr>
          <w:rFonts w:ascii="Calibri" w:hAnsi="Calibri"/>
          <w:color w:val="008356"/>
          <w:spacing w:val="4"/>
          <w:w w:val="110"/>
          <w:sz w:val="11"/>
        </w:rPr>
        <w:t>PIPERAQUINE</w:t>
      </w:r>
      <w:r>
        <w:rPr>
          <w:color w:val="231F1F"/>
          <w:spacing w:val="4"/>
          <w:w w:val="110"/>
          <w:sz w:val="12"/>
        </w:rPr>
        <w:t>; </w:t>
      </w:r>
      <w:r>
        <w:rPr>
          <w:color w:val="231F1F"/>
          <w:w w:val="110"/>
          <w:sz w:val="12"/>
        </w:rPr>
        <w:t>rifampicin reduces plasma concentration of </w:t>
      </w:r>
      <w:r>
        <w:rPr>
          <w:rFonts w:ascii="Arial" w:hAnsi="Arial"/>
          <w:color w:val="231F1F"/>
          <w:w w:val="355"/>
          <w:position w:val="1"/>
          <w:sz w:val="7"/>
        </w:rPr>
        <w:t>l </w:t>
      </w:r>
      <w:r>
        <w:rPr>
          <w:rFonts w:ascii="Calibri" w:hAnsi="Calibri"/>
          <w:color w:val="008356"/>
          <w:spacing w:val="3"/>
          <w:w w:val="110"/>
          <w:sz w:val="11"/>
        </w:rPr>
        <w:t>MEFLOQUINE</w:t>
      </w:r>
      <w:r>
        <w:rPr>
          <w:rFonts w:ascii="Arial" w:hAnsi="Arial"/>
          <w:color w:val="231F1F"/>
          <w:spacing w:val="3"/>
          <w:w w:val="110"/>
          <w:sz w:val="12"/>
        </w:rPr>
        <w:t>—</w:t>
      </w:r>
      <w:r>
        <w:rPr>
          <w:color w:val="231F1F"/>
          <w:spacing w:val="3"/>
          <w:w w:val="110"/>
          <w:sz w:val="12"/>
        </w:rPr>
        <w:t>avoid </w:t>
      </w:r>
      <w:r>
        <w:rPr>
          <w:color w:val="231F1F"/>
          <w:w w:val="110"/>
          <w:sz w:val="12"/>
        </w:rPr>
        <w:t>concomitant use; rifampicin reduces plasma concentration </w:t>
      </w:r>
      <w:r>
        <w:rPr>
          <w:color w:val="231F1F"/>
          <w:spacing w:val="-8"/>
          <w:w w:val="110"/>
          <w:sz w:val="12"/>
        </w:rPr>
        <w:t>of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5"/>
          <w:w w:val="110"/>
          <w:sz w:val="11"/>
        </w:rPr>
        <w:t>QUININE</w:t>
      </w:r>
    </w:p>
    <w:p>
      <w:pPr>
        <w:pStyle w:val="BodyText"/>
        <w:spacing w:line="220" w:lineRule="auto"/>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rifampicin reduces plasma concentration of active metabolite of </w:t>
      </w:r>
      <w:r>
        <w:rPr>
          <w:rFonts w:ascii="Calibri" w:hAnsi="Calibri"/>
          <w:color w:val="008356"/>
          <w:w w:val="105"/>
          <w:sz w:val="11"/>
        </w:rPr>
        <w:t>FESOTERODINE</w:t>
      </w:r>
    </w:p>
    <w:p>
      <w:pPr>
        <w:pStyle w:val="BodyText"/>
        <w:spacing w:line="146" w:lineRule="exact"/>
        <w:ind w:left="108"/>
      </w:pPr>
      <w:r>
        <w:rPr>
          <w:rFonts w:ascii="Arial"/>
          <w:color w:val="231F1F"/>
          <w:w w:val="355"/>
          <w:position w:val="1"/>
          <w:sz w:val="7"/>
        </w:rPr>
        <w:t>l</w:t>
      </w:r>
      <w:r>
        <w:rPr>
          <w:rFonts w:ascii="Arial"/>
          <w:color w:val="231F1F"/>
          <w:spacing w:val="-37"/>
          <w:w w:val="355"/>
          <w:position w:val="1"/>
          <w:sz w:val="7"/>
        </w:rPr>
        <w:t> </w:t>
      </w:r>
      <w:r>
        <w:rPr>
          <w:rFonts w:ascii="Calibri"/>
          <w:color w:val="231F1F"/>
          <w:w w:val="110"/>
        </w:rPr>
        <w:t>Antipsychotics: </w:t>
      </w:r>
      <w:r>
        <w:rPr>
          <w:color w:val="231F1F"/>
          <w:w w:val="110"/>
        </w:rPr>
        <w:t>rifampicin accelerates metabolism of</w:t>
      </w:r>
    </w:p>
    <w:p>
      <w:pPr>
        <w:pStyle w:val="BodyText"/>
        <w:ind w:right="670"/>
      </w:pPr>
      <w:r>
        <w:rPr>
          <w:rFonts w:ascii="Arial"/>
          <w:color w:val="231F1F"/>
          <w:w w:val="355"/>
          <w:position w:val="1"/>
          <w:sz w:val="7"/>
        </w:rPr>
        <w:t>l </w:t>
      </w:r>
      <w:r>
        <w:rPr>
          <w:rFonts w:ascii="Calibri"/>
          <w:color w:val="008356"/>
          <w:spacing w:val="4"/>
          <w:w w:val="110"/>
          <w:sz w:val="11"/>
        </w:rPr>
        <w:t>HALOPERIDOL </w:t>
      </w:r>
      <w:r>
        <w:rPr>
          <w:color w:val="231F1F"/>
          <w:w w:val="110"/>
        </w:rPr>
        <w:t>(reduced plasma concentration); rifabutin </w:t>
      </w:r>
      <w:r>
        <w:rPr>
          <w:color w:val="231F1F"/>
          <w:spacing w:val="-5"/>
          <w:w w:val="110"/>
        </w:rPr>
        <w:t>and </w:t>
      </w:r>
      <w:r>
        <w:rPr>
          <w:color w:val="231F1F"/>
          <w:w w:val="110"/>
        </w:rPr>
        <w:t>rifampicin possibly reduce plasma concentration</w:t>
      </w:r>
      <w:r>
        <w:rPr>
          <w:color w:val="231F1F"/>
          <w:spacing w:val="7"/>
          <w:w w:val="110"/>
        </w:rPr>
        <w:t> </w:t>
      </w:r>
      <w:r>
        <w:rPr>
          <w:color w:val="231F1F"/>
          <w:w w:val="110"/>
        </w:rPr>
        <w:t>of</w:t>
      </w:r>
    </w:p>
    <w:p>
      <w:pPr>
        <w:pStyle w:val="BodyText"/>
        <w:spacing w:line="247" w:lineRule="auto" w:before="7"/>
        <w:ind w:right="625" w:hanging="1"/>
      </w:pPr>
      <w:r>
        <w:rPr>
          <w:rFonts w:ascii="Arial" w:hAnsi="Arial"/>
          <w:color w:val="231F1F"/>
          <w:w w:val="115"/>
          <w:position w:val="1"/>
          <w:sz w:val="7"/>
        </w:rPr>
        <w:t>l </w:t>
      </w:r>
      <w:r>
        <w:rPr>
          <w:rFonts w:ascii="Calibri" w:hAnsi="Calibri"/>
          <w:color w:val="008356"/>
          <w:w w:val="115"/>
          <w:sz w:val="11"/>
        </w:rPr>
        <w:t>ARIPIPRAZOLE </w:t>
      </w:r>
      <w:r>
        <w:rPr>
          <w:color w:val="231F1F"/>
          <w:w w:val="115"/>
        </w:rPr>
        <w:t>(avoid concomitant use or consider increasing </w:t>
      </w:r>
      <w:r>
        <w:rPr>
          <w:color w:val="231F1F"/>
          <w:w w:val="120"/>
        </w:rPr>
        <w:t>the dose of aripiprazole</w:t>
      </w:r>
      <w:r>
        <w:rPr>
          <w:rFonts w:ascii="Arial" w:hAnsi="Arial"/>
          <w:color w:val="231F1F"/>
          <w:w w:val="120"/>
        </w:rPr>
        <w:t>—</w:t>
      </w:r>
      <w:r>
        <w:rPr>
          <w:color w:val="231F1F"/>
          <w:w w:val="120"/>
        </w:rPr>
        <w:t>consult aripiprazole product </w:t>
      </w:r>
      <w:r>
        <w:rPr>
          <w:color w:val="231F1F"/>
          <w:w w:val="115"/>
        </w:rPr>
        <w:t>literature); rifampicin possibly reduces plasma concentration </w:t>
      </w:r>
      <w:r>
        <w:rPr>
          <w:color w:val="231F1F"/>
          <w:w w:val="120"/>
        </w:rPr>
        <w:t>of </w:t>
      </w:r>
      <w:r>
        <w:rPr>
          <w:rFonts w:ascii="Calibri" w:hAnsi="Calibri"/>
          <w:color w:val="008356"/>
          <w:w w:val="120"/>
          <w:sz w:val="11"/>
        </w:rPr>
        <w:t>CLOZAPINE</w:t>
      </w:r>
      <w:r>
        <w:rPr>
          <w:color w:val="231F1F"/>
          <w:w w:val="120"/>
        </w:rPr>
        <w:t>; rifampicin reduces plasma concentration of</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LURASIDONE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spacing w:line="240" w:lineRule="auto" w:before="0"/>
        <w:ind w:left="208" w:right="775" w:hanging="100"/>
        <w:jc w:val="both"/>
        <w:rPr>
          <w:sz w:val="12"/>
        </w:rPr>
      </w:pPr>
      <w:r>
        <w:rPr>
          <w:rFonts w:ascii="Arial"/>
          <w:color w:val="231F1F"/>
          <w:w w:val="355"/>
          <w:position w:val="1"/>
          <w:sz w:val="7"/>
        </w:rPr>
        <w:t>l </w:t>
      </w:r>
      <w:r>
        <w:rPr>
          <w:rFonts w:ascii="Calibri"/>
          <w:color w:val="231F1F"/>
          <w:w w:val="110"/>
          <w:sz w:val="12"/>
        </w:rPr>
        <w:t>Antivirals: </w:t>
      </w:r>
      <w:r>
        <w:rPr>
          <w:color w:val="231F1F"/>
          <w:w w:val="110"/>
          <w:sz w:val="12"/>
        </w:rPr>
        <w:t>rifampicin possibly reduces plasma concentration of </w:t>
      </w:r>
      <w:r>
        <w:rPr>
          <w:rFonts w:ascii="Calibri"/>
          <w:color w:val="008356"/>
          <w:spacing w:val="3"/>
          <w:w w:val="110"/>
          <w:sz w:val="11"/>
        </w:rPr>
        <w:t>ABACAVIR</w:t>
      </w:r>
      <w:r>
        <w:rPr>
          <w:color w:val="231F1F"/>
          <w:spacing w:val="3"/>
          <w:w w:val="110"/>
          <w:sz w:val="12"/>
        </w:rPr>
        <w:t>; </w:t>
      </w:r>
      <w:r>
        <w:rPr>
          <w:color w:val="231F1F"/>
          <w:w w:val="110"/>
          <w:sz w:val="12"/>
        </w:rPr>
        <w:t>plasma concentration of rifabutin increased </w:t>
      </w:r>
      <w:r>
        <w:rPr>
          <w:color w:val="231F1F"/>
          <w:spacing w:val="-7"/>
          <w:w w:val="110"/>
          <w:sz w:val="12"/>
        </w:rPr>
        <w:t>by </w:t>
      </w:r>
      <w:r>
        <w:rPr>
          <w:rFonts w:ascii="Arial"/>
          <w:color w:val="231F1F"/>
          <w:w w:val="355"/>
          <w:position w:val="1"/>
          <w:sz w:val="7"/>
        </w:rPr>
        <w:t>l</w:t>
      </w:r>
      <w:r>
        <w:rPr>
          <w:rFonts w:ascii="Arial"/>
          <w:color w:val="231F1F"/>
          <w:spacing w:val="-48"/>
          <w:w w:val="355"/>
          <w:position w:val="1"/>
          <w:sz w:val="7"/>
        </w:rPr>
        <w:t> </w:t>
      </w:r>
      <w:r>
        <w:rPr>
          <w:rFonts w:ascii="Calibri"/>
          <w:color w:val="008356"/>
          <w:spacing w:val="3"/>
          <w:w w:val="110"/>
          <w:sz w:val="11"/>
        </w:rPr>
        <w:t>ATAZANAVIR</w:t>
      </w:r>
      <w:r>
        <w:rPr>
          <w:color w:val="231F1F"/>
          <w:spacing w:val="3"/>
          <w:w w:val="110"/>
          <w:sz w:val="12"/>
        </w:rPr>
        <w:t>,</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DARUNAVIR</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FOSAMPRENAVIR</w:t>
      </w:r>
      <w:r>
        <w:rPr>
          <w:rFonts w:ascii="Calibri"/>
          <w:color w:val="008356"/>
          <w:spacing w:val="1"/>
          <w:w w:val="110"/>
          <w:sz w:val="11"/>
        </w:rPr>
        <w:t> </w:t>
      </w:r>
      <w:r>
        <w:rPr>
          <w:color w:val="231F1F"/>
          <w:w w:val="110"/>
          <w:sz w:val="12"/>
        </w:rPr>
        <w:t>and</w:t>
      </w:r>
    </w:p>
    <w:p>
      <w:pPr>
        <w:spacing w:line="244" w:lineRule="auto" w:before="2"/>
        <w:ind w:left="208" w:right="835"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TIPRANAVIR</w:t>
      </w:r>
      <w:r>
        <w:rPr>
          <w:rFonts w:ascii="Calibri"/>
          <w:color w:val="008356"/>
          <w:spacing w:val="-11"/>
          <w:w w:val="115"/>
          <w:sz w:val="11"/>
        </w:rPr>
        <w:t> </w:t>
      </w:r>
      <w:r>
        <w:rPr>
          <w:color w:val="231F1F"/>
          <w:w w:val="115"/>
          <w:sz w:val="12"/>
        </w:rPr>
        <w:t>(reduce</w:t>
      </w:r>
      <w:r>
        <w:rPr>
          <w:color w:val="231F1F"/>
          <w:spacing w:val="-19"/>
          <w:w w:val="115"/>
          <w:sz w:val="12"/>
        </w:rPr>
        <w:t> </w:t>
      </w:r>
      <w:r>
        <w:rPr>
          <w:color w:val="231F1F"/>
          <w:w w:val="115"/>
          <w:sz w:val="12"/>
        </w:rPr>
        <w:t>dose</w:t>
      </w:r>
      <w:r>
        <w:rPr>
          <w:color w:val="231F1F"/>
          <w:spacing w:val="-19"/>
          <w:w w:val="115"/>
          <w:sz w:val="12"/>
        </w:rPr>
        <w:t> </w:t>
      </w:r>
      <w:r>
        <w:rPr>
          <w:color w:val="231F1F"/>
          <w:w w:val="115"/>
          <w:sz w:val="12"/>
        </w:rPr>
        <w:t>of</w:t>
      </w:r>
      <w:r>
        <w:rPr>
          <w:color w:val="231F1F"/>
          <w:spacing w:val="-18"/>
          <w:w w:val="115"/>
          <w:sz w:val="12"/>
        </w:rPr>
        <w:t> </w:t>
      </w:r>
      <w:r>
        <w:rPr>
          <w:color w:val="231F1F"/>
          <w:w w:val="115"/>
          <w:sz w:val="12"/>
        </w:rPr>
        <w:t>rifabutin);</w:t>
      </w:r>
      <w:r>
        <w:rPr>
          <w:color w:val="231F1F"/>
          <w:spacing w:val="-19"/>
          <w:w w:val="115"/>
          <w:sz w:val="12"/>
        </w:rPr>
        <w:t> </w:t>
      </w:r>
      <w:r>
        <w:rPr>
          <w:color w:val="231F1F"/>
          <w:w w:val="115"/>
          <w:sz w:val="12"/>
        </w:rPr>
        <w:t>rifampicin</w:t>
      </w:r>
      <w:r>
        <w:rPr>
          <w:color w:val="231F1F"/>
          <w:spacing w:val="-19"/>
          <w:w w:val="115"/>
          <w:sz w:val="12"/>
        </w:rPr>
        <w:t> </w:t>
      </w:r>
      <w:r>
        <w:rPr>
          <w:color w:val="231F1F"/>
          <w:w w:val="115"/>
          <w:sz w:val="12"/>
        </w:rPr>
        <w:t>reduces plasma</w:t>
      </w:r>
      <w:r>
        <w:rPr>
          <w:color w:val="231F1F"/>
          <w:spacing w:val="-15"/>
          <w:w w:val="115"/>
          <w:sz w:val="12"/>
        </w:rPr>
        <w:t> </w:t>
      </w:r>
      <w:r>
        <w:rPr>
          <w:color w:val="231F1F"/>
          <w:w w:val="115"/>
          <w:sz w:val="12"/>
        </w:rPr>
        <w:t>concentration</w:t>
      </w:r>
      <w:r>
        <w:rPr>
          <w:color w:val="231F1F"/>
          <w:spacing w:val="-16"/>
          <w:w w:val="115"/>
          <w:sz w:val="12"/>
        </w:rPr>
        <w:t> </w:t>
      </w:r>
      <w:r>
        <w:rPr>
          <w:color w:val="231F1F"/>
          <w:w w:val="115"/>
          <w:sz w:val="12"/>
        </w:rPr>
        <w:t>of</w:t>
      </w:r>
      <w:r>
        <w:rPr>
          <w:color w:val="231F1F"/>
          <w:spacing w:val="-13"/>
          <w:w w:val="115"/>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3"/>
          <w:w w:val="115"/>
          <w:sz w:val="11"/>
        </w:rPr>
        <w:t>ATAZANAVIR</w:t>
      </w:r>
      <w:r>
        <w:rPr>
          <w:color w:val="231F1F"/>
          <w:spacing w:val="3"/>
          <w:w w:val="115"/>
          <w:sz w:val="12"/>
        </w:rPr>
        <w:t>,</w:t>
      </w:r>
      <w:r>
        <w:rPr>
          <w:color w:val="231F1F"/>
          <w:spacing w:val="-14"/>
          <w:w w:val="115"/>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5"/>
          <w:sz w:val="11"/>
        </w:rPr>
        <w:t>DACLATASVIR</w:t>
      </w:r>
      <w:r>
        <w:rPr>
          <w:color w:val="231F1F"/>
          <w:spacing w:val="3"/>
          <w:w w:val="115"/>
          <w:sz w:val="12"/>
        </w:rPr>
        <w:t>,</w:t>
      </w:r>
    </w:p>
    <w:p>
      <w:pPr>
        <w:spacing w:line="140" w:lineRule="exact" w:before="0"/>
        <w:ind w:left="208" w:right="0" w:firstLine="0"/>
        <w:jc w:val="left"/>
        <w:rPr>
          <w:sz w:val="12"/>
        </w:rPr>
      </w:pPr>
      <w:r>
        <w:rPr>
          <w:rFonts w:ascii="Arial" w:hAnsi="Arial"/>
          <w:color w:val="231F1F"/>
          <w:w w:val="355"/>
          <w:position w:val="1"/>
          <w:sz w:val="7"/>
        </w:rPr>
        <w:t>l </w:t>
      </w:r>
      <w:r>
        <w:rPr>
          <w:rFonts w:ascii="Calibri" w:hAnsi="Calibri"/>
          <w:color w:val="008356"/>
          <w:spacing w:val="3"/>
          <w:w w:val="120"/>
          <w:sz w:val="11"/>
        </w:rPr>
        <w:t>LOPINAVIR</w:t>
      </w:r>
      <w:r>
        <w:rPr>
          <w:color w:val="231F1F"/>
          <w:spacing w:val="3"/>
          <w:w w:val="120"/>
          <w:sz w:val="12"/>
        </w:rPr>
        <w:t>, </w:t>
      </w:r>
      <w:r>
        <w:rPr>
          <w:rFonts w:ascii="Arial" w:hAnsi="Arial"/>
          <w:color w:val="231F1F"/>
          <w:w w:val="355"/>
          <w:position w:val="1"/>
          <w:sz w:val="7"/>
        </w:rPr>
        <w:t>l </w:t>
      </w:r>
      <w:r>
        <w:rPr>
          <w:rFonts w:ascii="Calibri" w:hAnsi="Calibri"/>
          <w:color w:val="008356"/>
          <w:spacing w:val="4"/>
          <w:w w:val="120"/>
          <w:sz w:val="11"/>
        </w:rPr>
        <w:t>NEVIRAPINE </w:t>
      </w:r>
      <w:r>
        <w:rPr>
          <w:color w:val="231F1F"/>
          <w:w w:val="120"/>
          <w:sz w:val="12"/>
        </w:rPr>
        <w:t>and </w:t>
      </w:r>
      <w:r>
        <w:rPr>
          <w:rFonts w:ascii="Arial" w:hAnsi="Arial"/>
          <w:color w:val="231F1F"/>
          <w:w w:val="355"/>
          <w:position w:val="1"/>
          <w:sz w:val="7"/>
        </w:rPr>
        <w:t>l </w:t>
      </w:r>
      <w:r>
        <w:rPr>
          <w:rFonts w:ascii="Calibri" w:hAnsi="Calibri"/>
          <w:color w:val="008356"/>
          <w:spacing w:val="3"/>
          <w:w w:val="120"/>
          <w:sz w:val="11"/>
        </w:rPr>
        <w:t>RILPIVIRINE</w:t>
      </w:r>
      <w:r>
        <w:rPr>
          <w:rFonts w:ascii="Arial" w:hAnsi="Arial"/>
          <w:color w:val="231F1F"/>
          <w:spacing w:val="3"/>
          <w:w w:val="120"/>
          <w:sz w:val="12"/>
        </w:rPr>
        <w:t>—</w:t>
      </w:r>
      <w:r>
        <w:rPr>
          <w:color w:val="231F1F"/>
          <w:spacing w:val="3"/>
          <w:w w:val="120"/>
          <w:sz w:val="12"/>
        </w:rPr>
        <w:t>avoid</w:t>
      </w:r>
    </w:p>
    <w:p>
      <w:pPr>
        <w:pStyle w:val="BodyText"/>
        <w:spacing w:line="247" w:lineRule="auto" w:before="2"/>
        <w:ind w:right="762"/>
      </w:pPr>
      <w:r>
        <w:rPr>
          <w:color w:val="231F1F"/>
          <w:w w:val="110"/>
        </w:rPr>
        <w:t>concomitant use; avoidance of rifampicin advised by manufacturer of </w:t>
      </w:r>
      <w:r>
        <w:rPr>
          <w:rFonts w:ascii="Arial" w:hAnsi="Arial"/>
          <w:color w:val="231F1F"/>
          <w:w w:val="355"/>
          <w:position w:val="1"/>
          <w:sz w:val="7"/>
        </w:rPr>
        <w:t>l </w:t>
      </w:r>
      <w:r>
        <w:rPr>
          <w:rFonts w:ascii="Calibri" w:hAnsi="Calibri"/>
          <w:color w:val="008356"/>
          <w:w w:val="110"/>
          <w:sz w:val="11"/>
        </w:rPr>
        <w:t>BOCEPREVIR </w:t>
      </w:r>
      <w:r>
        <w:rPr>
          <w:color w:val="231F1F"/>
          <w:w w:val="110"/>
        </w:rPr>
        <w:t>(plasma concentration of boceprevir possibly reduced); rifabutin possibly reduces plasma concentration of </w:t>
      </w:r>
      <w:r>
        <w:rPr>
          <w:rFonts w:ascii="Arial" w:hAnsi="Arial"/>
          <w:color w:val="231F1F"/>
          <w:w w:val="355"/>
          <w:position w:val="1"/>
          <w:sz w:val="7"/>
        </w:rPr>
        <w:t>l </w:t>
      </w:r>
      <w:r>
        <w:rPr>
          <w:rFonts w:ascii="Calibri" w:hAnsi="Calibri"/>
          <w:color w:val="008356"/>
          <w:w w:val="110"/>
          <w:sz w:val="11"/>
        </w:rPr>
        <w:t>DACLATASVIR </w:t>
      </w:r>
      <w:r>
        <w:rPr>
          <w:color w:val="231F1F"/>
          <w:w w:val="110"/>
        </w:rPr>
        <w:t>and </w:t>
      </w:r>
      <w:r>
        <w:rPr>
          <w:rFonts w:ascii="Calibri" w:hAnsi="Calibri"/>
          <w:color w:val="008356"/>
          <w:w w:val="110"/>
          <w:sz w:val="11"/>
        </w:rPr>
        <w:t>SIMEPREVIR</w:t>
      </w:r>
      <w:r>
        <w:rPr>
          <w:rFonts w:ascii="Arial" w:hAnsi="Arial"/>
          <w:color w:val="231F1F"/>
          <w:w w:val="110"/>
        </w:rPr>
        <w:t>— </w:t>
      </w:r>
      <w:r>
        <w:rPr>
          <w:color w:val="231F1F"/>
          <w:w w:val="110"/>
        </w:rPr>
        <w:t>manufacturer of daclatasvir and simeprevir advises avoid concomitant use; rifampicin significantly reduces plasma concentration of </w:t>
      </w:r>
      <w:r>
        <w:rPr>
          <w:rFonts w:ascii="Arial" w:hAnsi="Arial"/>
          <w:color w:val="231F1F"/>
          <w:w w:val="355"/>
          <w:position w:val="1"/>
          <w:sz w:val="7"/>
        </w:rPr>
        <w:t>l </w:t>
      </w:r>
      <w:r>
        <w:rPr>
          <w:rFonts w:ascii="Calibri" w:hAnsi="Calibri"/>
          <w:color w:val="008356"/>
          <w:w w:val="110"/>
          <w:sz w:val="11"/>
        </w:rPr>
        <w:t>DARUNAVIR</w:t>
      </w:r>
      <w:r>
        <w:rPr>
          <w:color w:val="231F1F"/>
          <w:w w:val="110"/>
        </w:rPr>
        <w:t>, </w:t>
      </w:r>
      <w:r>
        <w:rPr>
          <w:rFonts w:ascii="Arial" w:hAnsi="Arial"/>
          <w:color w:val="231F1F"/>
          <w:w w:val="355"/>
          <w:position w:val="1"/>
          <w:sz w:val="7"/>
        </w:rPr>
        <w:t>l </w:t>
      </w:r>
      <w:r>
        <w:rPr>
          <w:rFonts w:ascii="Calibri" w:hAnsi="Calibri"/>
          <w:color w:val="008356"/>
          <w:w w:val="110"/>
          <w:sz w:val="11"/>
        </w:rPr>
        <w:t>FOSAMPRENAVIR </w:t>
      </w:r>
      <w:r>
        <w:rPr>
          <w:color w:val="231F1F"/>
          <w:w w:val="110"/>
        </w:rPr>
        <w:t>and</w:t>
      </w:r>
    </w:p>
    <w:p>
      <w:pPr>
        <w:spacing w:line="244" w:lineRule="auto" w:before="0"/>
        <w:ind w:left="208" w:right="676"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TELAPREVIR</w:t>
      </w:r>
      <w:r>
        <w:rPr>
          <w:rFonts w:ascii="Arial" w:hAnsi="Arial"/>
          <w:color w:val="231F1F"/>
          <w:spacing w:val="3"/>
          <w:w w:val="115"/>
          <w:sz w:val="12"/>
        </w:rPr>
        <w:t>—</w:t>
      </w:r>
      <w:r>
        <w:rPr>
          <w:color w:val="231F1F"/>
          <w:spacing w:val="3"/>
          <w:w w:val="115"/>
          <w:sz w:val="12"/>
        </w:rPr>
        <w:t>avoid</w:t>
      </w:r>
      <w:r>
        <w:rPr>
          <w:color w:val="231F1F"/>
          <w:spacing w:val="-18"/>
          <w:w w:val="115"/>
          <w:sz w:val="12"/>
        </w:rPr>
        <w:t> </w:t>
      </w:r>
      <w:r>
        <w:rPr>
          <w:color w:val="231F1F"/>
          <w:w w:val="115"/>
          <w:sz w:val="12"/>
        </w:rPr>
        <w:t>concomitant</w:t>
      </w:r>
      <w:r>
        <w:rPr>
          <w:color w:val="231F1F"/>
          <w:spacing w:val="-19"/>
          <w:w w:val="115"/>
          <w:sz w:val="12"/>
        </w:rPr>
        <w:t> </w:t>
      </w:r>
      <w:r>
        <w:rPr>
          <w:color w:val="231F1F"/>
          <w:w w:val="115"/>
          <w:sz w:val="12"/>
        </w:rPr>
        <w:t>use;</w:t>
      </w:r>
      <w:r>
        <w:rPr>
          <w:color w:val="231F1F"/>
          <w:spacing w:val="-18"/>
          <w:w w:val="115"/>
          <w:sz w:val="12"/>
        </w:rPr>
        <w:t> </w:t>
      </w:r>
      <w:r>
        <w:rPr>
          <w:color w:val="231F1F"/>
          <w:w w:val="115"/>
          <w:sz w:val="12"/>
        </w:rPr>
        <w:t>rifampicin</w:t>
      </w:r>
      <w:r>
        <w:rPr>
          <w:color w:val="231F1F"/>
          <w:spacing w:val="-19"/>
          <w:w w:val="115"/>
          <w:sz w:val="12"/>
        </w:rPr>
        <w:t> </w:t>
      </w:r>
      <w:r>
        <w:rPr>
          <w:color w:val="231F1F"/>
          <w:w w:val="115"/>
          <w:sz w:val="12"/>
        </w:rPr>
        <w:t>reduces</w:t>
      </w:r>
      <w:r>
        <w:rPr>
          <w:color w:val="231F1F"/>
          <w:spacing w:val="-18"/>
          <w:w w:val="115"/>
          <w:sz w:val="12"/>
        </w:rPr>
        <w:t> </w:t>
      </w:r>
      <w:r>
        <w:rPr>
          <w:color w:val="231F1F"/>
          <w:w w:val="115"/>
          <w:sz w:val="12"/>
        </w:rPr>
        <w:t>the plasma concentration of </w:t>
      </w:r>
      <w:r>
        <w:rPr>
          <w:rFonts w:ascii="Arial" w:hAnsi="Arial"/>
          <w:color w:val="231F1F"/>
          <w:w w:val="355"/>
          <w:position w:val="1"/>
          <w:sz w:val="7"/>
        </w:rPr>
        <w:t>l </w:t>
      </w:r>
      <w:r>
        <w:rPr>
          <w:rFonts w:ascii="Calibri" w:hAnsi="Calibri"/>
          <w:color w:val="008356"/>
          <w:spacing w:val="4"/>
          <w:w w:val="115"/>
          <w:sz w:val="11"/>
        </w:rPr>
        <w:t>DOLUTEGRAVIR </w:t>
      </w:r>
      <w:r>
        <w:rPr>
          <w:color w:val="231F1F"/>
          <w:w w:val="115"/>
          <w:sz w:val="12"/>
        </w:rPr>
        <w:t>(see under Dolutegravir, p. 557); rifampicin reduces plasma concentration of </w:t>
      </w:r>
      <w:r>
        <w:rPr>
          <w:rFonts w:ascii="Calibri" w:hAnsi="Calibri"/>
          <w:color w:val="008356"/>
          <w:w w:val="115"/>
          <w:sz w:val="11"/>
        </w:rPr>
        <w:t>EFAVIRENZ</w:t>
      </w:r>
      <w:r>
        <w:rPr>
          <w:rFonts w:ascii="Arial" w:hAnsi="Arial"/>
          <w:color w:val="231F1F"/>
          <w:w w:val="115"/>
          <w:sz w:val="12"/>
        </w:rPr>
        <w:t>—</w:t>
      </w:r>
      <w:r>
        <w:rPr>
          <w:color w:val="231F1F"/>
          <w:w w:val="115"/>
          <w:sz w:val="12"/>
        </w:rPr>
        <w:t>increase dose of efavirenz; plasma concentration of rifabutin reduced by </w:t>
      </w:r>
      <w:r>
        <w:rPr>
          <w:rFonts w:ascii="Calibri" w:hAnsi="Calibri"/>
          <w:color w:val="008356"/>
          <w:spacing w:val="3"/>
          <w:w w:val="115"/>
          <w:sz w:val="11"/>
        </w:rPr>
        <w:t>EFAVIRENZ</w:t>
      </w:r>
      <w:r>
        <w:rPr>
          <w:rFonts w:ascii="Arial" w:hAnsi="Arial"/>
          <w:color w:val="231F1F"/>
          <w:spacing w:val="3"/>
          <w:w w:val="115"/>
          <w:sz w:val="12"/>
        </w:rPr>
        <w:t>— </w:t>
      </w:r>
      <w:r>
        <w:rPr>
          <w:color w:val="231F1F"/>
          <w:w w:val="115"/>
          <w:sz w:val="12"/>
        </w:rPr>
        <w:t>increase</w:t>
      </w:r>
      <w:r>
        <w:rPr>
          <w:color w:val="231F1F"/>
          <w:spacing w:val="-11"/>
          <w:w w:val="115"/>
          <w:sz w:val="12"/>
        </w:rPr>
        <w:t> </w:t>
      </w:r>
      <w:r>
        <w:rPr>
          <w:color w:val="231F1F"/>
          <w:w w:val="115"/>
          <w:sz w:val="12"/>
        </w:rPr>
        <w:t>dose</w:t>
      </w:r>
      <w:r>
        <w:rPr>
          <w:color w:val="231F1F"/>
          <w:spacing w:val="-10"/>
          <w:w w:val="115"/>
          <w:sz w:val="12"/>
        </w:rPr>
        <w:t> </w:t>
      </w:r>
      <w:r>
        <w:rPr>
          <w:color w:val="231F1F"/>
          <w:w w:val="115"/>
          <w:sz w:val="12"/>
        </w:rPr>
        <w:t>of</w:t>
      </w:r>
      <w:r>
        <w:rPr>
          <w:color w:val="231F1F"/>
          <w:spacing w:val="-9"/>
          <w:w w:val="115"/>
          <w:sz w:val="12"/>
        </w:rPr>
        <w:t> </w:t>
      </w:r>
      <w:r>
        <w:rPr>
          <w:color w:val="231F1F"/>
          <w:w w:val="115"/>
          <w:sz w:val="12"/>
        </w:rPr>
        <w:t>rifabutin;</w:t>
      </w:r>
      <w:r>
        <w:rPr>
          <w:color w:val="231F1F"/>
          <w:spacing w:val="-9"/>
          <w:w w:val="115"/>
          <w:sz w:val="12"/>
        </w:rPr>
        <w:t> </w:t>
      </w:r>
      <w:r>
        <w:rPr>
          <w:color w:val="231F1F"/>
          <w:w w:val="115"/>
          <w:sz w:val="12"/>
        </w:rPr>
        <w:t>avoidance</w:t>
      </w:r>
      <w:r>
        <w:rPr>
          <w:color w:val="231F1F"/>
          <w:spacing w:val="-10"/>
          <w:w w:val="115"/>
          <w:sz w:val="12"/>
        </w:rPr>
        <w:t> </w:t>
      </w:r>
      <w:r>
        <w:rPr>
          <w:color w:val="231F1F"/>
          <w:w w:val="115"/>
          <w:sz w:val="12"/>
        </w:rPr>
        <w:t>of</w:t>
      </w:r>
      <w:r>
        <w:rPr>
          <w:color w:val="231F1F"/>
          <w:spacing w:val="-10"/>
          <w:w w:val="115"/>
          <w:sz w:val="12"/>
        </w:rPr>
        <w:t> </w:t>
      </w:r>
      <w:r>
        <w:rPr>
          <w:color w:val="231F1F"/>
          <w:w w:val="115"/>
          <w:sz w:val="12"/>
        </w:rPr>
        <w:t>rifampicin</w:t>
      </w:r>
      <w:r>
        <w:rPr>
          <w:color w:val="231F1F"/>
          <w:spacing w:val="-9"/>
          <w:w w:val="115"/>
          <w:sz w:val="12"/>
        </w:rPr>
        <w:t> </w:t>
      </w:r>
      <w:r>
        <w:rPr>
          <w:color w:val="231F1F"/>
          <w:w w:val="115"/>
          <w:sz w:val="12"/>
        </w:rPr>
        <w:t>advised</w:t>
      </w:r>
      <w:r>
        <w:rPr>
          <w:color w:val="231F1F"/>
          <w:spacing w:val="-11"/>
          <w:w w:val="115"/>
          <w:sz w:val="12"/>
        </w:rPr>
        <w:t> </w:t>
      </w:r>
      <w:r>
        <w:rPr>
          <w:color w:val="231F1F"/>
          <w:spacing w:val="-8"/>
          <w:w w:val="115"/>
          <w:sz w:val="12"/>
        </w:rPr>
        <w:t>by </w:t>
      </w:r>
      <w:r>
        <w:rPr>
          <w:color w:val="231F1F"/>
          <w:w w:val="110"/>
          <w:sz w:val="12"/>
        </w:rPr>
        <w:t>manufacturer of </w:t>
      </w:r>
      <w:r>
        <w:rPr>
          <w:rFonts w:ascii="Arial" w:hAnsi="Arial"/>
          <w:color w:val="231F1F"/>
          <w:w w:val="110"/>
          <w:position w:val="1"/>
          <w:sz w:val="7"/>
        </w:rPr>
        <w:t>l </w:t>
      </w:r>
      <w:r>
        <w:rPr>
          <w:rFonts w:ascii="Calibri" w:hAnsi="Calibri"/>
          <w:color w:val="008356"/>
          <w:spacing w:val="3"/>
          <w:w w:val="110"/>
          <w:sz w:val="11"/>
        </w:rPr>
        <w:t>ELVITEGRAVIR</w:t>
      </w:r>
      <w:r>
        <w:rPr>
          <w:color w:val="231F1F"/>
          <w:spacing w:val="3"/>
          <w:w w:val="110"/>
          <w:sz w:val="12"/>
        </w:rPr>
        <w:t>, </w:t>
      </w:r>
      <w:r>
        <w:rPr>
          <w:rFonts w:ascii="Calibri" w:hAnsi="Calibri"/>
          <w:color w:val="008356"/>
          <w:spacing w:val="4"/>
          <w:w w:val="110"/>
          <w:sz w:val="11"/>
        </w:rPr>
        <w:t>ETRAVIRINE</w:t>
      </w:r>
      <w:r>
        <w:rPr>
          <w:color w:val="231F1F"/>
          <w:spacing w:val="4"/>
          <w:w w:val="110"/>
          <w:sz w:val="12"/>
        </w:rPr>
        <w:t>, </w:t>
      </w:r>
      <w:r>
        <w:rPr>
          <w:rFonts w:ascii="Calibri" w:hAnsi="Calibri"/>
          <w:color w:val="008356"/>
          <w:spacing w:val="4"/>
          <w:w w:val="110"/>
          <w:sz w:val="11"/>
        </w:rPr>
        <w:t>SOFOSBUVIR </w:t>
      </w:r>
      <w:r>
        <w:rPr>
          <w:color w:val="231F1F"/>
          <w:w w:val="110"/>
          <w:sz w:val="12"/>
        </w:rPr>
        <w:t>and </w:t>
      </w:r>
      <w:r>
        <w:rPr>
          <w:rFonts w:ascii="Calibri" w:hAnsi="Calibri"/>
          <w:color w:val="008356"/>
          <w:spacing w:val="4"/>
          <w:w w:val="115"/>
          <w:sz w:val="11"/>
        </w:rPr>
        <w:t>ZIDOVUDINE</w:t>
      </w:r>
      <w:r>
        <w:rPr>
          <w:color w:val="231F1F"/>
          <w:spacing w:val="4"/>
          <w:w w:val="115"/>
          <w:sz w:val="12"/>
        </w:rPr>
        <w:t>;</w:t>
      </w:r>
      <w:r>
        <w:rPr>
          <w:color w:val="231F1F"/>
          <w:spacing w:val="-9"/>
          <w:w w:val="115"/>
          <w:sz w:val="12"/>
        </w:rPr>
        <w:t> </w:t>
      </w:r>
      <w:r>
        <w:rPr>
          <w:color w:val="231F1F"/>
          <w:w w:val="115"/>
          <w:sz w:val="12"/>
        </w:rPr>
        <w:t>rifabutin</w:t>
      </w:r>
      <w:r>
        <w:rPr>
          <w:color w:val="231F1F"/>
          <w:spacing w:val="-9"/>
          <w:w w:val="115"/>
          <w:sz w:val="12"/>
        </w:rPr>
        <w:t> </w:t>
      </w:r>
      <w:r>
        <w:rPr>
          <w:color w:val="231F1F"/>
          <w:w w:val="115"/>
          <w:sz w:val="12"/>
        </w:rPr>
        <w:t>reduces</w:t>
      </w:r>
      <w:r>
        <w:rPr>
          <w:color w:val="231F1F"/>
          <w:spacing w:val="-10"/>
          <w:w w:val="115"/>
          <w:sz w:val="12"/>
        </w:rPr>
        <w:t> </w:t>
      </w:r>
      <w:r>
        <w:rPr>
          <w:color w:val="231F1F"/>
          <w:w w:val="115"/>
          <w:sz w:val="12"/>
        </w:rPr>
        <w:t>plasma</w:t>
      </w:r>
      <w:r>
        <w:rPr>
          <w:color w:val="231F1F"/>
          <w:spacing w:val="-9"/>
          <w:w w:val="115"/>
          <w:sz w:val="12"/>
        </w:rPr>
        <w:t> </w:t>
      </w:r>
      <w:r>
        <w:rPr>
          <w:color w:val="231F1F"/>
          <w:w w:val="115"/>
          <w:sz w:val="12"/>
        </w:rPr>
        <w:t>concentration</w:t>
      </w:r>
      <w:r>
        <w:rPr>
          <w:color w:val="231F1F"/>
          <w:spacing w:val="-10"/>
          <w:w w:val="115"/>
          <w:sz w:val="12"/>
        </w:rPr>
        <w:t> </w:t>
      </w:r>
      <w:r>
        <w:rPr>
          <w:color w:val="231F1F"/>
          <w:w w:val="115"/>
          <w:sz w:val="12"/>
        </w:rPr>
        <w:t>of</w:t>
      </w:r>
    </w:p>
    <w:p>
      <w:pPr>
        <w:pStyle w:val="BodyText"/>
        <w:spacing w:line="244" w:lineRule="auto"/>
        <w:ind w:right="662"/>
      </w:pPr>
      <w:r>
        <w:rPr>
          <w:rFonts w:ascii="Arial" w:hAnsi="Arial"/>
          <w:color w:val="231F1F"/>
          <w:w w:val="355"/>
          <w:position w:val="1"/>
          <w:sz w:val="7"/>
        </w:rPr>
        <w:t>l </w:t>
      </w:r>
      <w:r>
        <w:rPr>
          <w:rFonts w:ascii="Calibri" w:hAnsi="Calibri"/>
          <w:color w:val="008356"/>
          <w:spacing w:val="3"/>
          <w:w w:val="115"/>
          <w:sz w:val="11"/>
        </w:rPr>
        <w:t>ELVITEGRAVIR </w:t>
      </w:r>
      <w:r>
        <w:rPr>
          <w:color w:val="231F1F"/>
          <w:w w:val="115"/>
        </w:rPr>
        <w:t>also plasma concentration of active metabolite of rifabutin increased</w:t>
      </w:r>
      <w:r>
        <w:rPr>
          <w:rFonts w:ascii="Arial" w:hAnsi="Arial"/>
          <w:color w:val="231F1F"/>
          <w:w w:val="115"/>
        </w:rPr>
        <w:t>—</w:t>
      </w:r>
      <w:r>
        <w:rPr>
          <w:color w:val="231F1F"/>
          <w:w w:val="115"/>
        </w:rPr>
        <w:t>reduce dose of rifabutin; plasma concentration of both drugs reduced when rifabutin given</w:t>
      </w:r>
      <w:r>
        <w:rPr>
          <w:color w:val="231F1F"/>
          <w:spacing w:val="-19"/>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ETRAVIRINE</w:t>
      </w:r>
      <w:r>
        <w:rPr>
          <w:color w:val="231F1F"/>
          <w:spacing w:val="4"/>
          <w:w w:val="115"/>
        </w:rPr>
        <w:t>;</w:t>
      </w:r>
      <w:r>
        <w:rPr>
          <w:color w:val="231F1F"/>
          <w:spacing w:val="-18"/>
          <w:w w:val="115"/>
        </w:rPr>
        <w:t> </w:t>
      </w:r>
      <w:r>
        <w:rPr>
          <w:color w:val="231F1F"/>
          <w:w w:val="115"/>
        </w:rPr>
        <w:t>rifampicin</w:t>
      </w:r>
      <w:r>
        <w:rPr>
          <w:color w:val="231F1F"/>
          <w:spacing w:val="-18"/>
          <w:w w:val="115"/>
        </w:rPr>
        <w:t> </w:t>
      </w:r>
      <w:r>
        <w:rPr>
          <w:color w:val="231F1F"/>
          <w:w w:val="115"/>
        </w:rPr>
        <w:t>accelerates</w:t>
      </w:r>
      <w:r>
        <w:rPr>
          <w:color w:val="231F1F"/>
          <w:spacing w:val="-18"/>
          <w:w w:val="115"/>
        </w:rPr>
        <w:t> </w:t>
      </w:r>
      <w:r>
        <w:rPr>
          <w:color w:val="231F1F"/>
          <w:w w:val="115"/>
        </w:rPr>
        <w:t>metabolism</w:t>
      </w:r>
      <w:r>
        <w:rPr>
          <w:color w:val="231F1F"/>
          <w:spacing w:val="-18"/>
          <w:w w:val="115"/>
        </w:rPr>
        <w:t> </w:t>
      </w:r>
      <w:r>
        <w:rPr>
          <w:color w:val="231F1F"/>
          <w:spacing w:val="-6"/>
          <w:w w:val="115"/>
        </w:rPr>
        <w:t>of </w:t>
      </w:r>
      <w:r>
        <w:rPr>
          <w:rFonts w:ascii="Arial" w:hAnsi="Arial"/>
          <w:color w:val="231F1F"/>
          <w:w w:val="355"/>
          <w:position w:val="1"/>
          <w:sz w:val="7"/>
        </w:rPr>
        <w:t>l </w:t>
      </w:r>
      <w:r>
        <w:rPr>
          <w:rFonts w:ascii="Calibri" w:hAnsi="Calibri"/>
          <w:color w:val="008356"/>
          <w:spacing w:val="3"/>
          <w:w w:val="115"/>
          <w:sz w:val="11"/>
        </w:rPr>
        <w:t>INDINAVIR </w:t>
      </w:r>
      <w:r>
        <w:rPr>
          <w:color w:val="231F1F"/>
          <w:w w:val="115"/>
        </w:rPr>
        <w:t>(reduced plasma concentration</w:t>
      </w:r>
      <w:r>
        <w:rPr>
          <w:rFonts w:ascii="Arial" w:hAnsi="Arial"/>
          <w:color w:val="231F1F"/>
          <w:w w:val="115"/>
        </w:rPr>
        <w:t>—</w:t>
      </w:r>
      <w:r>
        <w:rPr>
          <w:color w:val="231F1F"/>
          <w:w w:val="115"/>
        </w:rPr>
        <w:t>avoid concomitant use); plasma concentration of rifabutin increased by </w:t>
      </w:r>
      <w:r>
        <w:rPr>
          <w:rFonts w:ascii="Arial" w:hAnsi="Arial"/>
          <w:color w:val="231F1F"/>
          <w:w w:val="355"/>
          <w:position w:val="1"/>
          <w:sz w:val="7"/>
        </w:rPr>
        <w:t>l </w:t>
      </w:r>
      <w:r>
        <w:rPr>
          <w:rFonts w:ascii="Calibri" w:hAnsi="Calibri"/>
          <w:color w:val="008356"/>
          <w:spacing w:val="4"/>
          <w:w w:val="115"/>
          <w:sz w:val="11"/>
        </w:rPr>
        <w:t>INDINAVIR</w:t>
      </w:r>
      <w:r>
        <w:rPr>
          <w:color w:val="231F1F"/>
          <w:spacing w:val="4"/>
          <w:w w:val="115"/>
        </w:rPr>
        <w:t>, </w:t>
      </w:r>
      <w:r>
        <w:rPr>
          <w:color w:val="231F1F"/>
          <w:w w:val="115"/>
        </w:rPr>
        <w:t>also plasma concentration of indinavir decreased (reduce dose of rifabutin and increase dose of indinavir); rifampicin reduces plasma concentration of</w:t>
      </w:r>
      <w:r>
        <w:rPr>
          <w:color w:val="231F1F"/>
          <w:spacing w:val="-25"/>
          <w:w w:val="115"/>
        </w:rPr>
        <w:t> </w:t>
      </w:r>
      <w:r>
        <w:rPr>
          <w:rFonts w:ascii="Arial" w:hAnsi="Arial"/>
          <w:color w:val="231F1F"/>
          <w:w w:val="285"/>
          <w:position w:val="1"/>
          <w:sz w:val="7"/>
        </w:rPr>
        <w:t>l</w:t>
      </w:r>
      <w:r>
        <w:rPr>
          <w:rFonts w:ascii="Arial" w:hAnsi="Arial"/>
          <w:color w:val="231F1F"/>
          <w:spacing w:val="-45"/>
          <w:w w:val="285"/>
          <w:position w:val="1"/>
          <w:sz w:val="7"/>
        </w:rPr>
        <w:t> </w:t>
      </w:r>
      <w:r>
        <w:rPr>
          <w:rFonts w:ascii="Calibri" w:hAnsi="Calibri"/>
          <w:color w:val="008356"/>
          <w:spacing w:val="3"/>
          <w:w w:val="115"/>
          <w:sz w:val="11"/>
        </w:rPr>
        <w:t>MARAVIROC</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285"/>
          <w:position w:val="1"/>
          <w:sz w:val="7"/>
        </w:rPr>
        <w:t>l</w:t>
      </w:r>
      <w:r>
        <w:rPr>
          <w:rFonts w:ascii="Arial" w:hAnsi="Arial"/>
          <w:color w:val="231F1F"/>
          <w:spacing w:val="-46"/>
          <w:w w:val="285"/>
          <w:position w:val="1"/>
          <w:sz w:val="7"/>
        </w:rPr>
        <w:t> </w:t>
      </w:r>
      <w:r>
        <w:rPr>
          <w:rFonts w:ascii="Calibri" w:hAnsi="Calibri"/>
          <w:color w:val="008356"/>
          <w:spacing w:val="2"/>
          <w:w w:val="115"/>
          <w:sz w:val="11"/>
        </w:rPr>
        <w:t>RALTEGRAVIR</w:t>
      </w:r>
      <w:r>
        <w:rPr>
          <w:rFonts w:ascii="Arial" w:hAnsi="Arial"/>
          <w:color w:val="231F1F"/>
          <w:spacing w:val="2"/>
          <w:w w:val="115"/>
        </w:rPr>
        <w:t>—</w:t>
      </w:r>
      <w:r>
        <w:rPr>
          <w:color w:val="231F1F"/>
          <w:spacing w:val="2"/>
          <w:w w:val="115"/>
        </w:rPr>
        <w:t>consider</w:t>
      </w:r>
      <w:r>
        <w:rPr>
          <w:color w:val="231F1F"/>
          <w:spacing w:val="-24"/>
          <w:w w:val="115"/>
        </w:rPr>
        <w:t> </w:t>
      </w:r>
      <w:r>
        <w:rPr>
          <w:color w:val="231F1F"/>
          <w:w w:val="115"/>
        </w:rPr>
        <w:t>increasing</w:t>
      </w:r>
      <w:r>
        <w:rPr>
          <w:color w:val="231F1F"/>
          <w:spacing w:val="-24"/>
          <w:w w:val="115"/>
        </w:rPr>
        <w:t> </w:t>
      </w:r>
      <w:r>
        <w:rPr>
          <w:color w:val="231F1F"/>
          <w:w w:val="115"/>
        </w:rPr>
        <w:t>dose of maraviroc and raltegravir; plasma concentration of rifabutin possibly increased by </w:t>
      </w:r>
      <w:r>
        <w:rPr>
          <w:rFonts w:ascii="Calibri" w:hAnsi="Calibri"/>
          <w:color w:val="008356"/>
          <w:spacing w:val="4"/>
          <w:w w:val="115"/>
          <w:sz w:val="11"/>
        </w:rPr>
        <w:t>NEVIRAPINE</w:t>
      </w:r>
      <w:r>
        <w:rPr>
          <w:color w:val="231F1F"/>
          <w:spacing w:val="4"/>
          <w:w w:val="115"/>
        </w:rPr>
        <w:t>; </w:t>
      </w:r>
      <w:r>
        <w:rPr>
          <w:color w:val="231F1F"/>
          <w:w w:val="115"/>
        </w:rPr>
        <w:t>rifabutin decreases plasma concentration of </w:t>
      </w:r>
      <w:r>
        <w:rPr>
          <w:rFonts w:ascii="Arial" w:hAnsi="Arial"/>
          <w:color w:val="231F1F"/>
          <w:w w:val="355"/>
          <w:position w:val="1"/>
          <w:sz w:val="7"/>
        </w:rPr>
        <w:t>l </w:t>
      </w:r>
      <w:r>
        <w:rPr>
          <w:rFonts w:ascii="Calibri" w:hAnsi="Calibri"/>
          <w:color w:val="008356"/>
          <w:spacing w:val="4"/>
          <w:w w:val="115"/>
          <w:sz w:val="11"/>
        </w:rPr>
        <w:t>RILPIVIRINE </w:t>
      </w:r>
      <w:r>
        <w:rPr>
          <w:color w:val="231F1F"/>
          <w:w w:val="115"/>
        </w:rPr>
        <w:t>(increase dose</w:t>
      </w:r>
      <w:r>
        <w:rPr>
          <w:color w:val="231F1F"/>
          <w:spacing w:val="-8"/>
          <w:w w:val="115"/>
        </w:rPr>
        <w:t> </w:t>
      </w:r>
      <w:r>
        <w:rPr>
          <w:color w:val="231F1F"/>
          <w:w w:val="115"/>
        </w:rPr>
        <w:t>of</w:t>
      </w:r>
      <w:r>
        <w:rPr>
          <w:color w:val="231F1F"/>
          <w:spacing w:val="-7"/>
          <w:w w:val="115"/>
        </w:rPr>
        <w:t> </w:t>
      </w:r>
      <w:r>
        <w:rPr>
          <w:color w:val="231F1F"/>
          <w:w w:val="115"/>
        </w:rPr>
        <w:t>rilpivirine</w:t>
      </w:r>
      <w:r>
        <w:rPr>
          <w:rFonts w:ascii="Arial" w:hAnsi="Arial"/>
          <w:color w:val="231F1F"/>
          <w:w w:val="115"/>
        </w:rPr>
        <w:t>—</w:t>
      </w:r>
      <w:r>
        <w:rPr>
          <w:color w:val="231F1F"/>
          <w:w w:val="115"/>
        </w:rPr>
        <w:t>consult</w:t>
      </w:r>
      <w:r>
        <w:rPr>
          <w:color w:val="231F1F"/>
          <w:spacing w:val="-9"/>
          <w:w w:val="115"/>
        </w:rPr>
        <w:t> </w:t>
      </w:r>
      <w:r>
        <w:rPr>
          <w:color w:val="231F1F"/>
          <w:w w:val="115"/>
        </w:rPr>
        <w:t>rilpivirine</w:t>
      </w:r>
      <w:r>
        <w:rPr>
          <w:color w:val="231F1F"/>
          <w:spacing w:val="-7"/>
          <w:w w:val="115"/>
        </w:rPr>
        <w:t> </w:t>
      </w:r>
      <w:r>
        <w:rPr>
          <w:color w:val="231F1F"/>
          <w:w w:val="115"/>
        </w:rPr>
        <w:t>product</w:t>
      </w:r>
      <w:r>
        <w:rPr>
          <w:color w:val="231F1F"/>
          <w:spacing w:val="-7"/>
          <w:w w:val="115"/>
        </w:rPr>
        <w:t> </w:t>
      </w:r>
      <w:r>
        <w:rPr>
          <w:color w:val="231F1F"/>
          <w:w w:val="115"/>
        </w:rPr>
        <w:t>literature);</w:t>
      </w:r>
    </w:p>
    <w:p>
      <w:pPr>
        <w:spacing w:after="0" w:line="244" w:lineRule="auto"/>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968" filled="true" fillcolor="#bfdbcf" stroked="false">
            <v:fill type="solid"/>
            <w10:wrap type="none"/>
          </v:rect>
        </w:pict>
      </w:r>
      <w:r>
        <w:rPr/>
        <w:pict>
          <v:shape style="position:absolute;margin-left:7.751256pt;margin-top:35.804367pt;width:10.4pt;height:78.850pt;mso-position-horizontal-relative:page;mso-position-vertical-relative:page;z-index:599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Rifamycins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Antivirals (continued)</w:t>
      </w:r>
    </w:p>
    <w:p>
      <w:pPr>
        <w:pStyle w:val="BodyText"/>
        <w:spacing w:line="244" w:lineRule="auto"/>
        <w:ind w:left="286" w:right="25"/>
      </w:pP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rifabutin</w:t>
      </w:r>
      <w:r>
        <w:rPr>
          <w:color w:val="231F1F"/>
          <w:spacing w:val="-10"/>
          <w:w w:val="115"/>
        </w:rPr>
        <w:t> </w:t>
      </w:r>
      <w:r>
        <w:rPr>
          <w:color w:val="231F1F"/>
          <w:w w:val="115"/>
        </w:rPr>
        <w:t>increased</w:t>
      </w:r>
      <w:r>
        <w:rPr>
          <w:color w:val="231F1F"/>
          <w:spacing w:val="-11"/>
          <w:w w:val="115"/>
        </w:rPr>
        <w:t> </w:t>
      </w:r>
      <w:r>
        <w:rPr>
          <w:color w:val="231F1F"/>
          <w:w w:val="115"/>
        </w:rPr>
        <w:t>by</w:t>
      </w:r>
      <w:r>
        <w:rPr>
          <w:color w:val="231F1F"/>
          <w:spacing w:val="-11"/>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5"/>
          <w:sz w:val="11"/>
        </w:rPr>
        <w:t>RITONAVIR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toxicity</w:t>
      </w:r>
      <w:r>
        <w:rPr>
          <w:rFonts w:ascii="Arial" w:hAnsi="Arial"/>
          <w:color w:val="231F1F"/>
          <w:w w:val="115"/>
        </w:rPr>
        <w:t>—</w:t>
      </w:r>
      <w:r>
        <w:rPr>
          <w:color w:val="231F1F"/>
          <w:w w:val="115"/>
        </w:rPr>
        <w:t>reduce</w:t>
      </w:r>
      <w:r>
        <w:rPr>
          <w:color w:val="231F1F"/>
          <w:spacing w:val="-18"/>
          <w:w w:val="115"/>
        </w:rPr>
        <w:t> </w:t>
      </w:r>
      <w:r>
        <w:rPr>
          <w:color w:val="231F1F"/>
          <w:w w:val="115"/>
        </w:rPr>
        <w:t>rifabutin</w:t>
      </w:r>
      <w:r>
        <w:rPr>
          <w:color w:val="231F1F"/>
          <w:spacing w:val="-18"/>
          <w:w w:val="115"/>
        </w:rPr>
        <w:t> </w:t>
      </w:r>
      <w:r>
        <w:rPr>
          <w:color w:val="231F1F"/>
          <w:w w:val="115"/>
        </w:rPr>
        <w:t>dose);</w:t>
      </w:r>
      <w:r>
        <w:rPr>
          <w:color w:val="231F1F"/>
          <w:spacing w:val="-17"/>
          <w:w w:val="115"/>
        </w:rPr>
        <w:t> </w:t>
      </w:r>
      <w:r>
        <w:rPr>
          <w:color w:val="231F1F"/>
          <w:w w:val="115"/>
        </w:rPr>
        <w:t>rifampicin reduces plasma concentration of </w:t>
      </w:r>
      <w:r>
        <w:rPr>
          <w:rFonts w:ascii="Calibri" w:hAnsi="Calibri"/>
          <w:color w:val="008356"/>
          <w:spacing w:val="3"/>
          <w:w w:val="115"/>
          <w:sz w:val="11"/>
        </w:rPr>
        <w:t>RITONAVIR</w:t>
      </w:r>
      <w:r>
        <w:rPr>
          <w:color w:val="231F1F"/>
          <w:spacing w:val="3"/>
          <w:w w:val="115"/>
        </w:rPr>
        <w:t>; </w:t>
      </w:r>
      <w:r>
        <w:rPr>
          <w:color w:val="231F1F"/>
          <w:w w:val="115"/>
        </w:rPr>
        <w:t>rifampicin significantly</w:t>
      </w:r>
      <w:r>
        <w:rPr>
          <w:color w:val="231F1F"/>
          <w:spacing w:val="-17"/>
          <w:w w:val="115"/>
        </w:rPr>
        <w:t> </w:t>
      </w:r>
      <w:r>
        <w:rPr>
          <w:color w:val="231F1F"/>
          <w:w w:val="115"/>
        </w:rPr>
        <w:t>reduces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SAQUINAVIR</w:t>
      </w:r>
      <w:r>
        <w:rPr>
          <w:color w:val="231F1F"/>
          <w:spacing w:val="4"/>
          <w:w w:val="115"/>
        </w:rPr>
        <w:t>, </w:t>
      </w:r>
      <w:r>
        <w:rPr>
          <w:color w:val="231F1F"/>
          <w:w w:val="115"/>
        </w:rPr>
        <w:t>also risk of hepatotoxicity</w:t>
      </w:r>
      <w:r>
        <w:rPr>
          <w:rFonts w:ascii="Arial" w:hAnsi="Arial"/>
          <w:color w:val="231F1F"/>
          <w:w w:val="115"/>
        </w:rPr>
        <w:t>—</w:t>
      </w:r>
      <w:r>
        <w:rPr>
          <w:color w:val="231F1F"/>
          <w:w w:val="115"/>
        </w:rPr>
        <w:t>avoid concomitant use; plasma concentration of rifabutin increased by </w:t>
      </w:r>
      <w:r>
        <w:rPr>
          <w:rFonts w:ascii="Arial" w:hAnsi="Arial"/>
          <w:color w:val="231F1F"/>
          <w:w w:val="355"/>
          <w:position w:val="1"/>
          <w:sz w:val="7"/>
        </w:rPr>
        <w:t>l </w:t>
      </w:r>
      <w:r>
        <w:rPr>
          <w:rFonts w:ascii="Calibri" w:hAnsi="Calibri"/>
          <w:color w:val="008356"/>
          <w:spacing w:val="3"/>
          <w:w w:val="115"/>
          <w:sz w:val="11"/>
        </w:rPr>
        <w:t>SAQUINAVIR </w:t>
      </w:r>
      <w:r>
        <w:rPr>
          <w:color w:val="231F1F"/>
          <w:w w:val="115"/>
        </w:rPr>
        <w:t>(also plasma concentration of saquinavir reduced)</w:t>
      </w:r>
      <w:r>
        <w:rPr>
          <w:rFonts w:ascii="Arial" w:hAnsi="Arial"/>
          <w:color w:val="231F1F"/>
          <w:w w:val="115"/>
        </w:rPr>
        <w:t>—</w:t>
      </w:r>
      <w:r>
        <w:rPr>
          <w:color w:val="231F1F"/>
          <w:w w:val="115"/>
        </w:rPr>
        <w:t>reduce rifabutin</w:t>
      </w:r>
      <w:r>
        <w:rPr>
          <w:color w:val="231F1F"/>
          <w:spacing w:val="-5"/>
          <w:w w:val="115"/>
        </w:rPr>
        <w:t> </w:t>
      </w:r>
      <w:r>
        <w:rPr>
          <w:color w:val="231F1F"/>
          <w:w w:val="115"/>
        </w:rPr>
        <w:t>dose;</w:t>
      </w:r>
      <w:r>
        <w:rPr>
          <w:color w:val="231F1F"/>
          <w:spacing w:val="-5"/>
          <w:w w:val="115"/>
        </w:rPr>
        <w:t> </w:t>
      </w:r>
      <w:r>
        <w:rPr>
          <w:color w:val="231F1F"/>
          <w:w w:val="115"/>
        </w:rPr>
        <w:t>rifampicin</w:t>
      </w:r>
      <w:r>
        <w:rPr>
          <w:color w:val="231F1F"/>
          <w:spacing w:val="-4"/>
          <w:w w:val="115"/>
        </w:rPr>
        <w:t> </w:t>
      </w:r>
      <w:r>
        <w:rPr>
          <w:color w:val="231F1F"/>
          <w:w w:val="115"/>
        </w:rPr>
        <w:t>reduces</w:t>
      </w:r>
      <w:r>
        <w:rPr>
          <w:color w:val="231F1F"/>
          <w:spacing w:val="-6"/>
          <w:w w:val="115"/>
        </w:rPr>
        <w:t> </w:t>
      </w:r>
      <w:r>
        <w:rPr>
          <w:color w:val="231F1F"/>
          <w:w w:val="115"/>
        </w:rPr>
        <w:t>plasma</w:t>
      </w:r>
      <w:r>
        <w:rPr>
          <w:color w:val="231F1F"/>
          <w:spacing w:val="-4"/>
          <w:w w:val="115"/>
        </w:rPr>
        <w:t> </w:t>
      </w:r>
      <w:r>
        <w:rPr>
          <w:color w:val="231F1F"/>
          <w:w w:val="115"/>
        </w:rPr>
        <w:t>concentration</w:t>
      </w:r>
      <w:r>
        <w:rPr>
          <w:color w:val="231F1F"/>
          <w:spacing w:val="-6"/>
          <w:w w:val="115"/>
        </w:rPr>
        <w:t> </w:t>
      </w:r>
      <w:r>
        <w:rPr>
          <w:color w:val="231F1F"/>
          <w:w w:val="115"/>
        </w:rPr>
        <w:t>of</w:t>
      </w:r>
    </w:p>
    <w:p>
      <w:pPr>
        <w:pStyle w:val="BodyText"/>
        <w:spacing w:line="244" w:lineRule="auto" w:before="5"/>
        <w:ind w:left="286" w:hanging="1"/>
      </w:pPr>
      <w:r>
        <w:rPr>
          <w:rFonts w:ascii="Arial" w:hAnsi="Arial"/>
          <w:color w:val="231F1F"/>
          <w:w w:val="115"/>
          <w:position w:val="1"/>
          <w:sz w:val="7"/>
        </w:rPr>
        <w:t>l </w:t>
      </w:r>
      <w:r>
        <w:rPr>
          <w:rFonts w:ascii="Calibri" w:hAnsi="Calibri"/>
          <w:color w:val="008356"/>
          <w:w w:val="115"/>
          <w:sz w:val="11"/>
        </w:rPr>
        <w:t>SIMEPREVIR</w:t>
      </w:r>
      <w:r>
        <w:rPr>
          <w:rFonts w:ascii="Arial" w:hAnsi="Arial"/>
          <w:color w:val="231F1F"/>
          <w:w w:val="115"/>
        </w:rPr>
        <w:t>—</w:t>
      </w:r>
      <w:r>
        <w:rPr>
          <w:color w:val="231F1F"/>
          <w:w w:val="115"/>
        </w:rPr>
        <w:t>manufacturer of simeprevir advises avoid </w:t>
      </w:r>
      <w:r>
        <w:rPr>
          <w:color w:val="231F1F"/>
          <w:w w:val="120"/>
        </w:rPr>
        <w:t>concomitant use; avoidance of rifabutin advised by </w:t>
      </w:r>
      <w:r>
        <w:rPr>
          <w:color w:val="231F1F"/>
          <w:w w:val="115"/>
        </w:rPr>
        <w:t>manufacturer of </w:t>
      </w:r>
      <w:r>
        <w:rPr>
          <w:rFonts w:ascii="Calibri" w:hAnsi="Calibri"/>
          <w:color w:val="008356"/>
          <w:w w:val="115"/>
          <w:sz w:val="11"/>
        </w:rPr>
        <w:t>SOFOSBUVIR </w:t>
      </w:r>
      <w:r>
        <w:rPr>
          <w:color w:val="231F1F"/>
          <w:w w:val="115"/>
        </w:rPr>
        <w:t>and </w:t>
      </w:r>
      <w:r>
        <w:rPr>
          <w:rFonts w:ascii="Arial" w:hAnsi="Arial"/>
          <w:color w:val="231F1F"/>
          <w:w w:val="115"/>
          <w:position w:val="1"/>
          <w:sz w:val="7"/>
        </w:rPr>
        <w:t>l </w:t>
      </w:r>
      <w:r>
        <w:rPr>
          <w:rFonts w:ascii="Calibri" w:hAnsi="Calibri"/>
          <w:color w:val="008356"/>
          <w:w w:val="115"/>
          <w:sz w:val="11"/>
        </w:rPr>
        <w:t>TELAPREVIR</w:t>
      </w:r>
      <w:r>
        <w:rPr>
          <w:color w:val="231F1F"/>
          <w:w w:val="115"/>
        </w:rPr>
        <w:t>; rifampicin possibly reduces plasma concentration of </w:t>
      </w:r>
      <w:r>
        <w:rPr>
          <w:rFonts w:ascii="Arial" w:hAnsi="Arial"/>
          <w:color w:val="231F1F"/>
          <w:w w:val="115"/>
          <w:position w:val="1"/>
          <w:sz w:val="7"/>
        </w:rPr>
        <w:t>l </w:t>
      </w:r>
      <w:r>
        <w:rPr>
          <w:rFonts w:ascii="Calibri" w:hAnsi="Calibri"/>
          <w:color w:val="008356"/>
          <w:w w:val="115"/>
          <w:sz w:val="11"/>
        </w:rPr>
        <w:t>TIPRANAVIR</w:t>
      </w:r>
      <w:r>
        <w:rPr>
          <w:rFonts w:ascii="Arial" w:hAnsi="Arial"/>
          <w:color w:val="231F1F"/>
          <w:w w:val="115"/>
        </w:rPr>
        <w:t>— </w:t>
      </w:r>
      <w:r>
        <w:rPr>
          <w:color w:val="231F1F"/>
          <w:w w:val="120"/>
        </w:rPr>
        <w:t>avoid concomitant use</w:t>
      </w:r>
    </w:p>
    <w:p>
      <w:pPr>
        <w:pStyle w:val="BodyText"/>
        <w:spacing w:line="242" w:lineRule="auto"/>
        <w:ind w:left="286" w:right="-4" w:hanging="100"/>
        <w:rPr>
          <w:rFonts w:ascii="Calibri" w:hAnsi="Calibri"/>
          <w:sz w:val="11"/>
        </w:rPr>
      </w:pPr>
      <w:r>
        <w:rPr>
          <w:rFonts w:ascii="Lucida Sans Unicode" w:hAnsi="Lucida Sans Unicode"/>
          <w:color w:val="A7A8AC"/>
          <w:w w:val="95"/>
          <w:sz w:val="10"/>
        </w:rPr>
        <w:t>▶</w:t>
      </w:r>
      <w:r>
        <w:rPr>
          <w:rFonts w:ascii="Lucida Sans Unicode" w:hAnsi="Lucida Sans Unicode"/>
          <w:color w:val="A7A8AC"/>
          <w:spacing w:val="8"/>
          <w:w w:val="95"/>
          <w:sz w:val="10"/>
        </w:rPr>
        <w:t> </w:t>
      </w:r>
      <w:r>
        <w:rPr>
          <w:rFonts w:ascii="Calibri" w:hAnsi="Calibri"/>
          <w:color w:val="231F1F"/>
          <w:w w:val="110"/>
        </w:rPr>
        <w:t>Anxiolytics</w:t>
      </w:r>
      <w:r>
        <w:rPr>
          <w:rFonts w:ascii="Calibri" w:hAnsi="Calibri"/>
          <w:color w:val="231F1F"/>
          <w:spacing w:val="-6"/>
          <w:w w:val="110"/>
        </w:rPr>
        <w:t> </w:t>
      </w:r>
      <w:r>
        <w:rPr>
          <w:rFonts w:ascii="Calibri" w:hAnsi="Calibri"/>
          <w:color w:val="231F1F"/>
          <w:w w:val="110"/>
        </w:rPr>
        <w:t>and</w:t>
      </w:r>
      <w:r>
        <w:rPr>
          <w:rFonts w:ascii="Calibri" w:hAnsi="Calibri"/>
          <w:color w:val="231F1F"/>
          <w:spacing w:val="-8"/>
          <w:w w:val="110"/>
        </w:rPr>
        <w:t> </w:t>
      </w:r>
      <w:r>
        <w:rPr>
          <w:rFonts w:ascii="Calibri" w:hAnsi="Calibri"/>
          <w:color w:val="231F1F"/>
          <w:w w:val="110"/>
        </w:rPr>
        <w:t>Hypnotics:</w:t>
      </w:r>
      <w:r>
        <w:rPr>
          <w:rFonts w:ascii="Calibri" w:hAnsi="Calibri"/>
          <w:color w:val="231F1F"/>
          <w:spacing w:val="-7"/>
          <w:w w:val="110"/>
        </w:rPr>
        <w:t> </w:t>
      </w:r>
      <w:r>
        <w:rPr>
          <w:color w:val="231F1F"/>
          <w:w w:val="110"/>
        </w:rPr>
        <w:t>rifampicin</w:t>
      </w:r>
      <w:r>
        <w:rPr>
          <w:color w:val="231F1F"/>
          <w:spacing w:val="-11"/>
          <w:w w:val="110"/>
        </w:rPr>
        <w:t> </w:t>
      </w:r>
      <w:r>
        <w:rPr>
          <w:color w:val="231F1F"/>
          <w:w w:val="110"/>
        </w:rPr>
        <w:t>accelerates</w:t>
      </w:r>
      <w:r>
        <w:rPr>
          <w:color w:val="231F1F"/>
          <w:spacing w:val="-11"/>
          <w:w w:val="110"/>
        </w:rPr>
        <w:t> </w:t>
      </w:r>
      <w:r>
        <w:rPr>
          <w:color w:val="231F1F"/>
          <w:w w:val="110"/>
        </w:rPr>
        <w:t>metabolism</w:t>
      </w:r>
      <w:r>
        <w:rPr>
          <w:color w:val="231F1F"/>
          <w:spacing w:val="-11"/>
          <w:w w:val="110"/>
        </w:rPr>
        <w:t> </w:t>
      </w:r>
      <w:r>
        <w:rPr>
          <w:color w:val="231F1F"/>
          <w:spacing w:val="-7"/>
          <w:w w:val="110"/>
        </w:rPr>
        <w:t>of </w:t>
      </w:r>
      <w:r>
        <w:rPr>
          <w:rFonts w:ascii="Calibri" w:hAnsi="Calibri"/>
          <w:color w:val="008356"/>
          <w:spacing w:val="4"/>
          <w:w w:val="110"/>
          <w:sz w:val="11"/>
        </w:rPr>
        <w:t>DIAZEPAM </w:t>
      </w:r>
      <w:r>
        <w:rPr>
          <w:color w:val="231F1F"/>
          <w:w w:val="110"/>
        </w:rPr>
        <w:t>and </w:t>
      </w:r>
      <w:r>
        <w:rPr>
          <w:rFonts w:ascii="Calibri" w:hAnsi="Calibri"/>
          <w:color w:val="008356"/>
          <w:spacing w:val="4"/>
          <w:w w:val="110"/>
          <w:sz w:val="11"/>
        </w:rPr>
        <w:t>ZALEPLON </w:t>
      </w:r>
      <w:r>
        <w:rPr>
          <w:color w:val="231F1F"/>
          <w:w w:val="110"/>
        </w:rPr>
        <w:t>(reduced plasma concentration); rifampicin possibly accelerates metabolism of </w:t>
      </w:r>
      <w:r>
        <w:rPr>
          <w:rFonts w:ascii="Calibri" w:hAnsi="Calibri"/>
          <w:color w:val="008356"/>
          <w:spacing w:val="4"/>
          <w:w w:val="110"/>
          <w:sz w:val="11"/>
        </w:rPr>
        <w:t>BENZODIAZEPINES </w:t>
      </w:r>
      <w:r>
        <w:rPr>
          <w:color w:val="231F1F"/>
          <w:w w:val="110"/>
        </w:rPr>
        <w:t>(reduced plasma concentration); rifampicin possibly accelerates metabolism of </w:t>
      </w:r>
      <w:r>
        <w:rPr>
          <w:rFonts w:ascii="Calibri" w:hAnsi="Calibri"/>
          <w:color w:val="008356"/>
          <w:spacing w:val="4"/>
          <w:w w:val="110"/>
          <w:sz w:val="11"/>
        </w:rPr>
        <w:t>BUSPIRONE</w:t>
      </w:r>
      <w:r>
        <w:rPr>
          <w:color w:val="231F1F"/>
          <w:spacing w:val="4"/>
          <w:w w:val="110"/>
        </w:rPr>
        <w:t>; </w:t>
      </w:r>
      <w:r>
        <w:rPr>
          <w:color w:val="231F1F"/>
          <w:w w:val="110"/>
        </w:rPr>
        <w:t>rifampicin accelerates metabolism of </w:t>
      </w:r>
      <w:r>
        <w:rPr>
          <w:rFonts w:ascii="Calibri" w:hAnsi="Calibri"/>
          <w:color w:val="008356"/>
          <w:spacing w:val="4"/>
          <w:w w:val="110"/>
          <w:sz w:val="11"/>
        </w:rPr>
        <w:t>ZOLPIDEM </w:t>
      </w:r>
      <w:r>
        <w:rPr>
          <w:color w:val="231F1F"/>
          <w:w w:val="110"/>
        </w:rPr>
        <w:t>(reduced plasma concentration and reduced effect); rifampicin significantly reduces plasma concentration of</w:t>
      </w:r>
      <w:r>
        <w:rPr>
          <w:color w:val="231F1F"/>
          <w:spacing w:val="-8"/>
          <w:w w:val="110"/>
        </w:rPr>
        <w:t> </w:t>
      </w:r>
      <w:r>
        <w:rPr>
          <w:rFonts w:ascii="Calibri" w:hAnsi="Calibri"/>
          <w:color w:val="008356"/>
          <w:spacing w:val="4"/>
          <w:w w:val="110"/>
          <w:sz w:val="11"/>
        </w:rPr>
        <w:t>ZOPICLONE</w:t>
      </w:r>
    </w:p>
    <w:p>
      <w:pPr>
        <w:pStyle w:val="BodyText"/>
        <w:spacing w:line="148" w:lineRule="exact"/>
        <w:ind w:left="186"/>
      </w:pPr>
      <w:r>
        <w:rPr>
          <w:rFonts w:ascii="Lucida Sans Unicode" w:hAnsi="Lucida Sans Unicode"/>
          <w:color w:val="A7A8AC"/>
          <w:w w:val="95"/>
          <w:sz w:val="10"/>
        </w:rPr>
        <w:t>▶ </w:t>
      </w:r>
      <w:r>
        <w:rPr>
          <w:rFonts w:ascii="Calibri" w:hAnsi="Calibri"/>
          <w:color w:val="231F1F"/>
          <w:w w:val="105"/>
        </w:rPr>
        <w:t>Aprepitant: </w:t>
      </w:r>
      <w:r>
        <w:rPr>
          <w:color w:val="231F1F"/>
          <w:w w:val="105"/>
        </w:rPr>
        <w:t>rifampicin reduces plasma concentration of</w:t>
      </w:r>
    </w:p>
    <w:p>
      <w:pPr>
        <w:spacing w:line="130" w:lineRule="exact" w:before="0"/>
        <w:ind w:left="286" w:right="0" w:firstLine="0"/>
        <w:jc w:val="left"/>
        <w:rPr>
          <w:rFonts w:ascii="Calibri"/>
          <w:sz w:val="11"/>
        </w:rPr>
      </w:pPr>
      <w:r>
        <w:rPr>
          <w:rFonts w:ascii="Calibri"/>
          <w:color w:val="008356"/>
          <w:sz w:val="11"/>
        </w:rPr>
        <w:t>APREPITANT</w:t>
      </w:r>
    </w:p>
    <w:p>
      <w:pPr>
        <w:pStyle w:val="BodyText"/>
        <w:spacing w:line="242" w:lineRule="auto"/>
        <w:ind w:left="286" w:right="113" w:hanging="100"/>
      </w:pPr>
      <w:r>
        <w:rPr>
          <w:rFonts w:ascii="Arial" w:hAnsi="Arial"/>
          <w:color w:val="231F1F"/>
          <w:w w:val="355"/>
          <w:position w:val="1"/>
          <w:sz w:val="7"/>
        </w:rPr>
        <w:t>l </w:t>
      </w:r>
      <w:r>
        <w:rPr>
          <w:rFonts w:ascii="Calibri" w:hAnsi="Calibri"/>
          <w:color w:val="231F1F"/>
          <w:w w:val="105"/>
        </w:rPr>
        <w:t>Atovaquone: </w:t>
      </w:r>
      <w:r>
        <w:rPr>
          <w:color w:val="231F1F"/>
          <w:w w:val="105"/>
        </w:rPr>
        <w:t>avoidance of concomitant rifabutin advised by manufacturer of </w:t>
      </w:r>
      <w:r>
        <w:rPr>
          <w:rFonts w:ascii="Calibri" w:hAnsi="Calibri"/>
          <w:color w:val="008356"/>
          <w:spacing w:val="2"/>
          <w:w w:val="105"/>
          <w:sz w:val="11"/>
        </w:rPr>
        <w:t>ATOVAQUONE </w:t>
      </w:r>
      <w:r>
        <w:rPr>
          <w:color w:val="231F1F"/>
          <w:w w:val="105"/>
        </w:rPr>
        <w:t>(plasma concentration of </w:t>
      </w:r>
      <w:r>
        <w:rPr>
          <w:color w:val="231F1F"/>
          <w:spacing w:val="-3"/>
          <w:w w:val="105"/>
        </w:rPr>
        <w:t>both </w:t>
      </w:r>
      <w:r>
        <w:rPr>
          <w:color w:val="231F1F"/>
          <w:w w:val="105"/>
        </w:rPr>
        <w:t>drugs  reduced);  rifampicin  reduces  plasma  concentration  of </w:t>
      </w:r>
      <w:r>
        <w:rPr>
          <w:rFonts w:ascii="Arial" w:hAnsi="Arial"/>
          <w:color w:val="231F1F"/>
          <w:w w:val="355"/>
          <w:position w:val="1"/>
          <w:sz w:val="7"/>
        </w:rPr>
        <w:t>l </w:t>
      </w:r>
      <w:r>
        <w:rPr>
          <w:rFonts w:ascii="Calibri" w:hAnsi="Calibri"/>
          <w:color w:val="008356"/>
          <w:spacing w:val="2"/>
          <w:w w:val="105"/>
          <w:sz w:val="11"/>
        </w:rPr>
        <w:t>ATOVAQUONE </w:t>
      </w:r>
      <w:r>
        <w:rPr>
          <w:color w:val="231F1F"/>
          <w:w w:val="105"/>
        </w:rPr>
        <w:t>(and concentration of rifampicin </w:t>
      </w:r>
      <w:r>
        <w:rPr>
          <w:color w:val="231F1F"/>
          <w:spacing w:val="-3"/>
          <w:w w:val="105"/>
        </w:rPr>
        <w:t>increased)</w:t>
      </w:r>
      <w:r>
        <w:rPr>
          <w:rFonts w:ascii="Arial" w:hAnsi="Arial"/>
          <w:color w:val="231F1F"/>
          <w:spacing w:val="-3"/>
          <w:w w:val="105"/>
        </w:rPr>
        <w:t>— </w:t>
      </w:r>
      <w:r>
        <w:rPr>
          <w:color w:val="231F1F"/>
          <w:w w:val="105"/>
        </w:rPr>
        <w:t>avoid concomitant use</w:t>
      </w:r>
    </w:p>
    <w:p>
      <w:pPr>
        <w:pStyle w:val="BodyText"/>
        <w:spacing w:line="230" w:lineRule="auto" w:before="3"/>
        <w:ind w:left="286" w:right="38" w:hanging="100"/>
      </w:pPr>
      <w:r>
        <w:rPr>
          <w:rFonts w:ascii="Lucida Sans Unicode" w:hAnsi="Lucida Sans Unicode"/>
          <w:color w:val="A7A8AC"/>
          <w:w w:val="95"/>
          <w:sz w:val="10"/>
        </w:rPr>
        <w:t>▶ </w:t>
      </w:r>
      <w:r>
        <w:rPr>
          <w:rFonts w:ascii="Calibri" w:hAnsi="Calibri"/>
          <w:color w:val="231F1F"/>
          <w:w w:val="110"/>
        </w:rPr>
        <w:t>Avanafil: </w:t>
      </w:r>
      <w:r>
        <w:rPr>
          <w:color w:val="231F1F"/>
          <w:w w:val="110"/>
        </w:rPr>
        <w:t>rifampicin possibly reduces plasma concentration of </w:t>
      </w:r>
      <w:r>
        <w:rPr>
          <w:rFonts w:ascii="Calibri" w:hAnsi="Calibri"/>
          <w:color w:val="008356"/>
          <w:w w:val="110"/>
          <w:sz w:val="11"/>
        </w:rPr>
        <w:t>AVANAFIL</w:t>
      </w:r>
      <w:r>
        <w:rPr>
          <w:rFonts w:ascii="Arial" w:hAnsi="Arial"/>
          <w:color w:val="231F1F"/>
          <w:w w:val="110"/>
        </w:rPr>
        <w:t>—</w:t>
      </w:r>
      <w:r>
        <w:rPr>
          <w:color w:val="231F1F"/>
          <w:w w:val="110"/>
        </w:rPr>
        <w:t>manufacturer of avanafil advises avoid concomitant use</w:t>
      </w:r>
    </w:p>
    <w:p>
      <w:pPr>
        <w:spacing w:line="242" w:lineRule="auto" w:before="3"/>
        <w:ind w:left="286" w:right="113"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Beta-blockers: </w:t>
      </w:r>
      <w:r>
        <w:rPr>
          <w:color w:val="231F1F"/>
          <w:w w:val="110"/>
          <w:sz w:val="12"/>
        </w:rPr>
        <w:t>rifampicin accelerates metabolism of </w:t>
      </w:r>
      <w:r>
        <w:rPr>
          <w:rFonts w:ascii="Calibri" w:hAnsi="Calibri"/>
          <w:color w:val="008356"/>
          <w:w w:val="110"/>
          <w:sz w:val="11"/>
        </w:rPr>
        <w:t>BISOPROLOL </w:t>
      </w:r>
      <w:r>
        <w:rPr>
          <w:color w:val="231F1F"/>
          <w:w w:val="110"/>
          <w:sz w:val="12"/>
        </w:rPr>
        <w:t>and </w:t>
      </w:r>
      <w:r>
        <w:rPr>
          <w:rFonts w:ascii="Calibri" w:hAnsi="Calibri"/>
          <w:color w:val="008356"/>
          <w:w w:val="110"/>
          <w:sz w:val="11"/>
        </w:rPr>
        <w:t>PROPRANOLOL </w:t>
      </w:r>
      <w:r>
        <w:rPr>
          <w:color w:val="231F1F"/>
          <w:w w:val="110"/>
          <w:sz w:val="12"/>
        </w:rPr>
        <w:t>(plasma concentration significantly reduced); rifampicin reduces plasma concentration of </w:t>
      </w:r>
      <w:r>
        <w:rPr>
          <w:rFonts w:ascii="Calibri" w:hAnsi="Calibri"/>
          <w:color w:val="008356"/>
          <w:w w:val="110"/>
          <w:sz w:val="11"/>
        </w:rPr>
        <w:t>CARVEDILOL</w:t>
      </w:r>
      <w:r>
        <w:rPr>
          <w:color w:val="231F1F"/>
          <w:w w:val="110"/>
          <w:sz w:val="12"/>
        </w:rPr>
        <w:t>, </w:t>
      </w:r>
      <w:r>
        <w:rPr>
          <w:rFonts w:ascii="Calibri" w:hAnsi="Calibri"/>
          <w:color w:val="008356"/>
          <w:w w:val="110"/>
          <w:sz w:val="11"/>
        </w:rPr>
        <w:t>CELIPROLOL </w:t>
      </w:r>
      <w:r>
        <w:rPr>
          <w:color w:val="231F1F"/>
          <w:w w:val="110"/>
          <w:sz w:val="12"/>
        </w:rPr>
        <w:t>and </w:t>
      </w:r>
      <w:r>
        <w:rPr>
          <w:rFonts w:ascii="Calibri" w:hAnsi="Calibri"/>
          <w:color w:val="008356"/>
          <w:w w:val="110"/>
          <w:sz w:val="11"/>
        </w:rPr>
        <w:t>METOPROLOL</w:t>
      </w:r>
      <w:r>
        <w:rPr>
          <w:color w:val="231F1F"/>
          <w:w w:val="110"/>
          <w:sz w:val="12"/>
        </w:rPr>
        <w:t>; rifampicin possibly reduces plasma concentration of </w:t>
      </w:r>
      <w:r>
        <w:rPr>
          <w:i/>
          <w:color w:val="231F1F"/>
          <w:w w:val="110"/>
          <w:sz w:val="12"/>
        </w:rPr>
        <w:t>oral </w:t>
      </w:r>
      <w:r>
        <w:rPr>
          <w:rFonts w:ascii="Calibri" w:hAnsi="Calibri"/>
          <w:color w:val="008356"/>
          <w:w w:val="110"/>
          <w:sz w:val="11"/>
        </w:rPr>
        <w:t>TIMOLOL</w:t>
      </w:r>
    </w:p>
    <w:p>
      <w:pPr>
        <w:pStyle w:val="BodyText"/>
        <w:spacing w:line="144" w:lineRule="exact"/>
        <w:ind w:left="186"/>
      </w:pPr>
      <w:r>
        <w:rPr>
          <w:rFonts w:ascii="Arial"/>
          <w:color w:val="231F1F"/>
          <w:w w:val="355"/>
          <w:position w:val="1"/>
          <w:sz w:val="7"/>
        </w:rPr>
        <w:t>l </w:t>
      </w:r>
      <w:r>
        <w:rPr>
          <w:rFonts w:ascii="Calibri"/>
          <w:color w:val="231F1F"/>
          <w:w w:val="120"/>
        </w:rPr>
        <w:t>Bosentan: </w:t>
      </w:r>
      <w:r>
        <w:rPr>
          <w:color w:val="231F1F"/>
          <w:w w:val="120"/>
        </w:rPr>
        <w:t>rifampicin reduces plasma concentration of</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BOSENTAN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spacing w:line="244" w:lineRule="auto" w:before="0"/>
        <w:ind w:left="286" w:right="4" w:hanging="100"/>
        <w:jc w:val="left"/>
        <w:rPr>
          <w:sz w:val="12"/>
        </w:rPr>
      </w:pPr>
      <w:r>
        <w:rPr>
          <w:rFonts w:ascii="Arial"/>
          <w:color w:val="231F1F"/>
          <w:w w:val="355"/>
          <w:position w:val="1"/>
          <w:sz w:val="7"/>
        </w:rPr>
        <w:t>l </w:t>
      </w:r>
      <w:r>
        <w:rPr>
          <w:rFonts w:ascii="Calibri"/>
          <w:color w:val="231F1F"/>
          <w:w w:val="110"/>
          <w:sz w:val="12"/>
        </w:rPr>
        <w:t>Calcium-channel Blockers: </w:t>
      </w:r>
      <w:r>
        <w:rPr>
          <w:color w:val="231F1F"/>
          <w:w w:val="110"/>
          <w:sz w:val="12"/>
        </w:rPr>
        <w:t>rifampicin possibly reduces plasma concentration of </w:t>
      </w:r>
      <w:r>
        <w:rPr>
          <w:rFonts w:ascii="Calibri"/>
          <w:color w:val="008356"/>
          <w:w w:val="110"/>
          <w:sz w:val="11"/>
        </w:rPr>
        <w:t>FELODIPINE</w:t>
      </w:r>
      <w:r>
        <w:rPr>
          <w:color w:val="231F1F"/>
          <w:w w:val="110"/>
          <w:sz w:val="12"/>
        </w:rPr>
        <w:t>; rifampicin possibly accelerates metabolism of </w:t>
      </w:r>
      <w:r>
        <w:rPr>
          <w:rFonts w:ascii="Arial"/>
          <w:color w:val="231F1F"/>
          <w:w w:val="355"/>
          <w:position w:val="1"/>
          <w:sz w:val="7"/>
        </w:rPr>
        <w:t>l </w:t>
      </w:r>
      <w:r>
        <w:rPr>
          <w:rFonts w:ascii="Calibri"/>
          <w:color w:val="008356"/>
          <w:w w:val="110"/>
          <w:sz w:val="11"/>
        </w:rPr>
        <w:t>ISRADIPINE </w:t>
      </w:r>
      <w:r>
        <w:rPr>
          <w:color w:val="231F1F"/>
          <w:w w:val="110"/>
          <w:sz w:val="12"/>
        </w:rPr>
        <w:t>and </w:t>
      </w:r>
      <w:r>
        <w:rPr>
          <w:rFonts w:ascii="Arial"/>
          <w:color w:val="231F1F"/>
          <w:w w:val="355"/>
          <w:position w:val="1"/>
          <w:sz w:val="7"/>
        </w:rPr>
        <w:t>l </w:t>
      </w:r>
      <w:r>
        <w:rPr>
          <w:rFonts w:ascii="Calibri"/>
          <w:color w:val="008356"/>
          <w:w w:val="110"/>
          <w:sz w:val="11"/>
        </w:rPr>
        <w:t>NICARDIPINE </w:t>
      </w:r>
      <w:r>
        <w:rPr>
          <w:color w:val="231F1F"/>
          <w:w w:val="110"/>
          <w:sz w:val="12"/>
        </w:rPr>
        <w:t>(possible significantly reduced plasma concentration); rifampicin accelerates metabolism of </w:t>
      </w:r>
      <w:r>
        <w:rPr>
          <w:rFonts w:ascii="Arial"/>
          <w:color w:val="231F1F"/>
          <w:w w:val="355"/>
          <w:position w:val="1"/>
          <w:sz w:val="7"/>
        </w:rPr>
        <w:t>l </w:t>
      </w:r>
      <w:r>
        <w:rPr>
          <w:rFonts w:ascii="Calibri"/>
          <w:color w:val="008356"/>
          <w:w w:val="110"/>
          <w:sz w:val="11"/>
        </w:rPr>
        <w:t>DILTIAZEM</w:t>
      </w:r>
      <w:r>
        <w:rPr>
          <w:color w:val="231F1F"/>
          <w:w w:val="110"/>
          <w:sz w:val="12"/>
        </w:rPr>
        <w:t>, </w:t>
      </w:r>
      <w:r>
        <w:rPr>
          <w:rFonts w:ascii="Arial"/>
          <w:color w:val="231F1F"/>
          <w:w w:val="355"/>
          <w:position w:val="1"/>
          <w:sz w:val="7"/>
        </w:rPr>
        <w:t>l </w:t>
      </w:r>
      <w:r>
        <w:rPr>
          <w:rFonts w:ascii="Calibri"/>
          <w:color w:val="008356"/>
          <w:w w:val="110"/>
          <w:sz w:val="11"/>
        </w:rPr>
        <w:t>NIFEDIPINE</w:t>
      </w:r>
      <w:r>
        <w:rPr>
          <w:color w:val="231F1F"/>
          <w:w w:val="110"/>
          <w:sz w:val="12"/>
        </w:rPr>
        <w:t>,</w:t>
      </w:r>
    </w:p>
    <w:p>
      <w:pPr>
        <w:spacing w:line="244" w:lineRule="auto" w:before="0"/>
        <w:ind w:left="286" w:right="377" w:firstLine="0"/>
        <w:jc w:val="left"/>
        <w:rPr>
          <w:sz w:val="12"/>
        </w:rPr>
      </w:pPr>
      <w:r>
        <w:rPr>
          <w:rFonts w:ascii="Arial"/>
          <w:color w:val="231F1F"/>
          <w:w w:val="250"/>
          <w:position w:val="1"/>
          <w:sz w:val="7"/>
        </w:rPr>
        <w:t>l </w:t>
      </w:r>
      <w:r>
        <w:rPr>
          <w:rFonts w:ascii="Calibri"/>
          <w:color w:val="008356"/>
          <w:w w:val="115"/>
          <w:sz w:val="11"/>
        </w:rPr>
        <w:t>NIMODIPINE </w:t>
      </w:r>
      <w:r>
        <w:rPr>
          <w:color w:val="231F1F"/>
          <w:w w:val="115"/>
          <w:sz w:val="12"/>
        </w:rPr>
        <w:t>and </w:t>
      </w:r>
      <w:r>
        <w:rPr>
          <w:rFonts w:ascii="Arial"/>
          <w:color w:val="231F1F"/>
          <w:w w:val="250"/>
          <w:position w:val="1"/>
          <w:sz w:val="7"/>
        </w:rPr>
        <w:t>l </w:t>
      </w:r>
      <w:r>
        <w:rPr>
          <w:rFonts w:ascii="Calibri"/>
          <w:color w:val="008356"/>
          <w:w w:val="115"/>
          <w:sz w:val="11"/>
        </w:rPr>
        <w:t>VERAPAMIL </w:t>
      </w:r>
      <w:r>
        <w:rPr>
          <w:color w:val="231F1F"/>
          <w:w w:val="115"/>
          <w:sz w:val="12"/>
        </w:rPr>
        <w:t>(plasma concentration significantly reduced)</w:t>
      </w:r>
    </w:p>
    <w:p>
      <w:pPr>
        <w:pStyle w:val="BodyText"/>
        <w:spacing w:line="242" w:lineRule="auto"/>
        <w:ind w:left="286" w:right="80" w:hanging="100"/>
      </w:pPr>
      <w:r>
        <w:rPr>
          <w:rFonts w:ascii="Arial" w:hAnsi="Arial"/>
          <w:color w:val="231F1F"/>
          <w:w w:val="115"/>
          <w:position w:val="1"/>
          <w:sz w:val="7"/>
        </w:rPr>
        <w:t>l</w:t>
      </w:r>
      <w:r>
        <w:rPr>
          <w:rFonts w:ascii="Arial" w:hAnsi="Arial"/>
          <w:color w:val="231F1F"/>
          <w:spacing w:val="5"/>
          <w:w w:val="115"/>
          <w:position w:val="1"/>
          <w:sz w:val="7"/>
        </w:rPr>
        <w:t> </w:t>
      </w:r>
      <w:r>
        <w:rPr>
          <w:rFonts w:ascii="Calibri" w:hAnsi="Calibri"/>
          <w:color w:val="231F1F"/>
          <w:w w:val="115"/>
        </w:rPr>
        <w:t>Cannabis</w:t>
      </w:r>
      <w:r>
        <w:rPr>
          <w:rFonts w:ascii="Calibri" w:hAnsi="Calibri"/>
          <w:color w:val="231F1F"/>
          <w:spacing w:val="-11"/>
          <w:w w:val="115"/>
        </w:rPr>
        <w:t> </w:t>
      </w:r>
      <w:r>
        <w:rPr>
          <w:rFonts w:ascii="Calibri" w:hAnsi="Calibri"/>
          <w:color w:val="231F1F"/>
          <w:w w:val="115"/>
        </w:rPr>
        <w:t>Extract:</w:t>
      </w:r>
      <w:r>
        <w:rPr>
          <w:rFonts w:ascii="Calibri" w:hAnsi="Calibri"/>
          <w:color w:val="231F1F"/>
          <w:spacing w:val="-9"/>
          <w:w w:val="115"/>
        </w:rPr>
        <w:t> </w:t>
      </w:r>
      <w:r>
        <w:rPr>
          <w:color w:val="231F1F"/>
          <w:w w:val="115"/>
        </w:rPr>
        <w:t>rifampicin</w:t>
      </w:r>
      <w:r>
        <w:rPr>
          <w:color w:val="231F1F"/>
          <w:spacing w:val="-13"/>
          <w:w w:val="115"/>
        </w:rPr>
        <w:t> </w:t>
      </w:r>
      <w:r>
        <w:rPr>
          <w:color w:val="231F1F"/>
          <w:w w:val="115"/>
        </w:rPr>
        <w:t>reduces</w:t>
      </w:r>
      <w:r>
        <w:rPr>
          <w:color w:val="231F1F"/>
          <w:spacing w:val="-14"/>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spacing w:val="-7"/>
          <w:w w:val="115"/>
        </w:rPr>
        <w:t>of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20"/>
          <w:sz w:val="11"/>
        </w:rPr>
        <w:t>CANNABIS</w:t>
      </w:r>
      <w:r>
        <w:rPr>
          <w:rFonts w:ascii="Calibri" w:hAnsi="Calibri"/>
          <w:color w:val="008356"/>
          <w:spacing w:val="-14"/>
          <w:w w:val="120"/>
          <w:sz w:val="11"/>
        </w:rPr>
        <w:t> </w:t>
      </w:r>
      <w:r>
        <w:rPr>
          <w:rFonts w:ascii="Calibri" w:hAnsi="Calibri"/>
          <w:color w:val="008356"/>
          <w:w w:val="120"/>
          <w:sz w:val="11"/>
        </w:rPr>
        <w:t>EXTRACT</w:t>
      </w:r>
      <w:r>
        <w:rPr>
          <w:rFonts w:ascii="Arial" w:hAnsi="Arial"/>
          <w:color w:val="231F1F"/>
          <w:w w:val="120"/>
        </w:rPr>
        <w:t>—</w:t>
      </w:r>
      <w:r>
        <w:rPr>
          <w:color w:val="231F1F"/>
          <w:w w:val="120"/>
        </w:rPr>
        <w:t>manufacturer</w:t>
      </w:r>
      <w:r>
        <w:rPr>
          <w:color w:val="231F1F"/>
          <w:spacing w:val="-23"/>
          <w:w w:val="120"/>
        </w:rPr>
        <w:t> </w:t>
      </w:r>
      <w:r>
        <w:rPr>
          <w:color w:val="231F1F"/>
          <w:w w:val="120"/>
        </w:rPr>
        <w:t>of</w:t>
      </w:r>
      <w:r>
        <w:rPr>
          <w:color w:val="231F1F"/>
          <w:spacing w:val="-21"/>
          <w:w w:val="120"/>
        </w:rPr>
        <w:t> </w:t>
      </w:r>
      <w:r>
        <w:rPr>
          <w:color w:val="231F1F"/>
          <w:w w:val="120"/>
        </w:rPr>
        <w:t>cannabis</w:t>
      </w:r>
      <w:r>
        <w:rPr>
          <w:color w:val="231F1F"/>
          <w:spacing w:val="-22"/>
          <w:w w:val="120"/>
        </w:rPr>
        <w:t> </w:t>
      </w:r>
      <w:r>
        <w:rPr>
          <w:color w:val="231F1F"/>
          <w:w w:val="120"/>
        </w:rPr>
        <w:t>extract advises avoid concomitant</w:t>
      </w:r>
      <w:r>
        <w:rPr>
          <w:color w:val="231F1F"/>
          <w:spacing w:val="-22"/>
          <w:w w:val="120"/>
        </w:rPr>
        <w:t> </w:t>
      </w:r>
      <w:r>
        <w:rPr>
          <w:color w:val="231F1F"/>
          <w:w w:val="120"/>
        </w:rPr>
        <w:t>use</w:t>
      </w:r>
    </w:p>
    <w:p>
      <w:pPr>
        <w:pStyle w:val="BodyText"/>
        <w:spacing w:line="22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rifampicin possibly reduces plasma concentration of </w:t>
      </w:r>
      <w:r>
        <w:rPr>
          <w:rFonts w:ascii="Calibri" w:hAnsi="Calibri"/>
          <w:color w:val="008356"/>
          <w:w w:val="105"/>
          <w:sz w:val="11"/>
        </w:rPr>
        <w:t>DIGOXIN</w:t>
      </w:r>
    </w:p>
    <w:p>
      <w:pPr>
        <w:pStyle w:val="BodyText"/>
        <w:spacing w:line="146" w:lineRule="exact"/>
        <w:ind w:left="186"/>
      </w:pPr>
      <w:r>
        <w:rPr>
          <w:rFonts w:ascii="Arial"/>
          <w:color w:val="231F1F"/>
          <w:w w:val="355"/>
          <w:position w:val="1"/>
          <w:sz w:val="7"/>
        </w:rPr>
        <w:t>l </w:t>
      </w:r>
      <w:r>
        <w:rPr>
          <w:rFonts w:ascii="Calibri"/>
          <w:color w:val="231F1F"/>
          <w:w w:val="110"/>
        </w:rPr>
        <w:t>Ciclosporin: </w:t>
      </w:r>
      <w:r>
        <w:rPr>
          <w:color w:val="231F1F"/>
          <w:w w:val="110"/>
        </w:rPr>
        <w:t>rifampicin accelerates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CICLOSPORIN </w:t>
      </w:r>
      <w:r>
        <w:rPr>
          <w:color w:val="231F1F"/>
          <w:w w:val="110"/>
          <w:sz w:val="12"/>
        </w:rPr>
        <w:t>(reduced plasma concentration)</w:t>
      </w:r>
    </w:p>
    <w:p>
      <w:pPr>
        <w:pStyle w:val="BodyText"/>
        <w:spacing w:line="144" w:lineRule="exact"/>
        <w:ind w:left="186"/>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Cobicistat:</w:t>
      </w:r>
      <w:r>
        <w:rPr>
          <w:rFonts w:ascii="Calibri"/>
          <w:color w:val="231F1F"/>
          <w:spacing w:val="-12"/>
          <w:w w:val="115"/>
        </w:rPr>
        <w:t> </w:t>
      </w:r>
      <w:r>
        <w:rPr>
          <w:color w:val="231F1F"/>
          <w:w w:val="115"/>
        </w:rPr>
        <w:t>rifabutin</w:t>
      </w:r>
      <w:r>
        <w:rPr>
          <w:color w:val="231F1F"/>
          <w:spacing w:val="-13"/>
          <w:w w:val="115"/>
        </w:rPr>
        <w:t> </w:t>
      </w:r>
      <w:r>
        <w:rPr>
          <w:color w:val="231F1F"/>
          <w:w w:val="115"/>
        </w:rPr>
        <w:t>reduces</w:t>
      </w:r>
      <w:r>
        <w:rPr>
          <w:color w:val="231F1F"/>
          <w:spacing w:val="-15"/>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p>
    <w:p>
      <w:pPr>
        <w:pStyle w:val="BodyText"/>
        <w:spacing w:line="244" w:lineRule="auto"/>
        <w:ind w:left="286"/>
      </w:pPr>
      <w:r>
        <w:rPr>
          <w:rFonts w:ascii="Arial" w:hAnsi="Arial"/>
          <w:color w:val="231F1F"/>
          <w:w w:val="355"/>
          <w:position w:val="1"/>
          <w:sz w:val="7"/>
        </w:rPr>
        <w:t>l</w:t>
      </w:r>
      <w:r>
        <w:rPr>
          <w:rFonts w:ascii="Arial" w:hAnsi="Arial"/>
          <w:color w:val="231F1F"/>
          <w:spacing w:val="-31"/>
          <w:w w:val="355"/>
          <w:position w:val="1"/>
          <w:sz w:val="7"/>
        </w:rPr>
        <w:t> </w:t>
      </w:r>
      <w:r>
        <w:rPr>
          <w:rFonts w:ascii="Calibri" w:hAnsi="Calibri"/>
          <w:color w:val="008356"/>
          <w:spacing w:val="3"/>
          <w:w w:val="110"/>
          <w:sz w:val="11"/>
        </w:rPr>
        <w:t>COBICISTAT </w:t>
      </w:r>
      <w:r>
        <w:rPr>
          <w:color w:val="231F1F"/>
          <w:w w:val="110"/>
        </w:rPr>
        <w:t>(adjust dose</w:t>
      </w:r>
      <w:r>
        <w:rPr>
          <w:rFonts w:ascii="Arial" w:hAnsi="Arial"/>
          <w:color w:val="231F1F"/>
          <w:w w:val="110"/>
        </w:rPr>
        <w:t>—</w:t>
      </w:r>
      <w:r>
        <w:rPr>
          <w:color w:val="231F1F"/>
          <w:w w:val="110"/>
        </w:rPr>
        <w:t>consult product literature); rifampicin possibly reduces plasma concentration</w:t>
      </w:r>
      <w:r>
        <w:rPr>
          <w:color w:val="231F1F"/>
          <w:spacing w:val="11"/>
          <w:w w:val="110"/>
        </w:rPr>
        <w:t> </w:t>
      </w:r>
      <w:r>
        <w:rPr>
          <w:color w:val="231F1F"/>
          <w:w w:val="110"/>
        </w:rPr>
        <w:t>of</w:t>
      </w:r>
    </w:p>
    <w:p>
      <w:pPr>
        <w:pStyle w:val="BodyText"/>
        <w:spacing w:line="244" w:lineRule="auto"/>
        <w:ind w:left="286" w:right="314"/>
      </w:pP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advises avoid </w:t>
      </w:r>
      <w:r>
        <w:rPr>
          <w:color w:val="231F1F"/>
          <w:w w:val="120"/>
        </w:rPr>
        <w:t>concomitant use</w:t>
      </w:r>
    </w:p>
    <w:p>
      <w:pPr>
        <w:pStyle w:val="BodyText"/>
        <w:spacing w:line="144" w:lineRule="exact"/>
        <w:ind w:left="186"/>
      </w:pPr>
      <w:r>
        <w:rPr>
          <w:rFonts w:ascii="Arial"/>
          <w:color w:val="231F1F"/>
          <w:w w:val="355"/>
          <w:position w:val="1"/>
          <w:sz w:val="7"/>
        </w:rPr>
        <w:t>l </w:t>
      </w:r>
      <w:r>
        <w:rPr>
          <w:rFonts w:ascii="Calibri"/>
          <w:color w:val="231F1F"/>
          <w:w w:val="110"/>
        </w:rPr>
        <w:t>Corticosteroids: </w:t>
      </w:r>
      <w:r>
        <w:rPr>
          <w:color w:val="231F1F"/>
          <w:w w:val="110"/>
        </w:rPr>
        <w:t>rifamycins accelerate metabolism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CORTICOSTEROIDS </w:t>
      </w:r>
      <w:r>
        <w:rPr>
          <w:color w:val="231F1F"/>
          <w:w w:val="110"/>
          <w:sz w:val="12"/>
        </w:rPr>
        <w:t>(reduced effect)</w:t>
      </w:r>
    </w:p>
    <w:p>
      <w:pPr>
        <w:spacing w:before="0"/>
        <w:ind w:left="286" w:right="-14" w:hanging="100"/>
        <w:jc w:val="left"/>
        <w:rPr>
          <w:sz w:val="12"/>
        </w:rPr>
      </w:pPr>
      <w:r>
        <w:rPr>
          <w:rFonts w:ascii="Arial"/>
          <w:color w:val="231F1F"/>
          <w:w w:val="355"/>
          <w:position w:val="1"/>
          <w:sz w:val="7"/>
        </w:rPr>
        <w:t>l</w:t>
      </w:r>
      <w:r>
        <w:rPr>
          <w:rFonts w:ascii="Arial"/>
          <w:color w:val="231F1F"/>
          <w:spacing w:val="-44"/>
          <w:w w:val="355"/>
          <w:position w:val="1"/>
          <w:sz w:val="7"/>
        </w:rPr>
        <w:t> </w:t>
      </w:r>
      <w:r>
        <w:rPr>
          <w:rFonts w:ascii="Calibri"/>
          <w:color w:val="231F1F"/>
          <w:w w:val="110"/>
          <w:sz w:val="12"/>
        </w:rPr>
        <w:t>Cytotoxics:</w:t>
      </w:r>
      <w:r>
        <w:rPr>
          <w:rFonts w:ascii="Calibri"/>
          <w:color w:val="231F1F"/>
          <w:spacing w:val="-10"/>
          <w:w w:val="110"/>
          <w:sz w:val="12"/>
        </w:rPr>
        <w:t> </w:t>
      </w:r>
      <w:r>
        <w:rPr>
          <w:color w:val="231F1F"/>
          <w:w w:val="110"/>
          <w:sz w:val="12"/>
        </w:rPr>
        <w:t>rifampicin</w:t>
      </w:r>
      <w:r>
        <w:rPr>
          <w:color w:val="231F1F"/>
          <w:spacing w:val="-14"/>
          <w:w w:val="110"/>
          <w:sz w:val="12"/>
        </w:rPr>
        <w:t> </w:t>
      </w:r>
      <w:r>
        <w:rPr>
          <w:color w:val="231F1F"/>
          <w:w w:val="110"/>
          <w:sz w:val="12"/>
        </w:rPr>
        <w:t>possibly</w:t>
      </w:r>
      <w:r>
        <w:rPr>
          <w:color w:val="231F1F"/>
          <w:spacing w:val="-14"/>
          <w:w w:val="110"/>
          <w:sz w:val="12"/>
        </w:rPr>
        <w:t> </w:t>
      </w:r>
      <w:r>
        <w:rPr>
          <w:color w:val="231F1F"/>
          <w:w w:val="110"/>
          <w:sz w:val="12"/>
        </w:rPr>
        <w:t>reduces</w:t>
      </w:r>
      <w:r>
        <w:rPr>
          <w:color w:val="231F1F"/>
          <w:spacing w:val="-14"/>
          <w:w w:val="110"/>
          <w:sz w:val="12"/>
        </w:rPr>
        <w:t> </w:t>
      </w:r>
      <w:r>
        <w:rPr>
          <w:color w:val="231F1F"/>
          <w:w w:val="110"/>
          <w:sz w:val="12"/>
        </w:rPr>
        <w:t>effects</w:t>
      </w:r>
      <w:r>
        <w:rPr>
          <w:color w:val="231F1F"/>
          <w:spacing w:val="-13"/>
          <w:w w:val="110"/>
          <w:sz w:val="12"/>
        </w:rPr>
        <w:t> </w:t>
      </w:r>
      <w:r>
        <w:rPr>
          <w:color w:val="231F1F"/>
          <w:w w:val="110"/>
          <w:sz w:val="12"/>
        </w:rPr>
        <w:t>of</w:t>
      </w:r>
      <w:r>
        <w:rPr>
          <w:color w:val="231F1F"/>
          <w:spacing w:val="-13"/>
          <w:w w:val="110"/>
          <w:sz w:val="12"/>
        </w:rPr>
        <w:t> </w:t>
      </w:r>
      <w:r>
        <w:rPr>
          <w:rFonts w:ascii="Calibri"/>
          <w:color w:val="008356"/>
          <w:spacing w:val="5"/>
          <w:w w:val="110"/>
          <w:sz w:val="11"/>
        </w:rPr>
        <w:t>BRENTUXIMAB </w:t>
      </w:r>
      <w:r>
        <w:rPr>
          <w:rFonts w:ascii="Calibri"/>
          <w:color w:val="008356"/>
          <w:spacing w:val="4"/>
          <w:w w:val="110"/>
          <w:sz w:val="11"/>
        </w:rPr>
        <w:t>VEDOTIN</w:t>
      </w:r>
      <w:r>
        <w:rPr>
          <w:color w:val="231F1F"/>
          <w:spacing w:val="4"/>
          <w:w w:val="110"/>
          <w:sz w:val="12"/>
        </w:rPr>
        <w:t>; </w:t>
      </w:r>
      <w:r>
        <w:rPr>
          <w:color w:val="231F1F"/>
          <w:w w:val="110"/>
          <w:sz w:val="12"/>
        </w:rPr>
        <w:t>rifampicin reduces plasma concentration of </w:t>
      </w:r>
      <w:r>
        <w:rPr>
          <w:rFonts w:ascii="Calibri"/>
          <w:color w:val="008356"/>
          <w:spacing w:val="3"/>
          <w:w w:val="110"/>
          <w:sz w:val="11"/>
        </w:rPr>
        <w:t>AFATINIB</w:t>
      </w:r>
      <w:r>
        <w:rPr>
          <w:color w:val="231F1F"/>
          <w:spacing w:val="3"/>
          <w:w w:val="110"/>
          <w:sz w:val="12"/>
        </w:rPr>
        <w:t>,</w:t>
      </w:r>
      <w:r>
        <w:rPr>
          <w:color w:val="231F1F"/>
          <w:spacing w:val="-23"/>
          <w:w w:val="110"/>
          <w:sz w:val="12"/>
        </w:rPr>
        <w:t> </w:t>
      </w:r>
      <w:r>
        <w:rPr>
          <w:rFonts w:ascii="Calibri"/>
          <w:color w:val="008356"/>
          <w:spacing w:val="4"/>
          <w:w w:val="110"/>
          <w:sz w:val="11"/>
        </w:rPr>
        <w:t>RUXOLITINIB</w:t>
      </w:r>
      <w:r>
        <w:rPr>
          <w:color w:val="231F1F"/>
          <w:spacing w:val="4"/>
          <w:w w:val="110"/>
          <w:sz w:val="12"/>
        </w:rPr>
        <w:t>,</w:t>
      </w:r>
      <w:r>
        <w:rPr>
          <w:color w:val="231F1F"/>
          <w:spacing w:val="-22"/>
          <w:w w:val="110"/>
          <w:sz w:val="12"/>
        </w:rPr>
        <w:t> </w:t>
      </w:r>
      <w:r>
        <w:rPr>
          <w:rFonts w:ascii="Calibri"/>
          <w:color w:val="008356"/>
          <w:spacing w:val="4"/>
          <w:w w:val="110"/>
          <w:sz w:val="11"/>
        </w:rPr>
        <w:t>SORAFENIB</w:t>
      </w:r>
      <w:r>
        <w:rPr>
          <w:rFonts w:ascii="Calibri"/>
          <w:color w:val="008356"/>
          <w:spacing w:val="-15"/>
          <w:w w:val="110"/>
          <w:sz w:val="11"/>
        </w:rPr>
        <w:t> </w:t>
      </w:r>
      <w:r>
        <w:rPr>
          <w:color w:val="231F1F"/>
          <w:w w:val="110"/>
          <w:sz w:val="12"/>
        </w:rPr>
        <w:t>and</w:t>
      </w:r>
      <w:r>
        <w:rPr>
          <w:color w:val="231F1F"/>
          <w:spacing w:val="-22"/>
          <w:w w:val="110"/>
          <w:sz w:val="12"/>
        </w:rPr>
        <w:t> </w:t>
      </w:r>
      <w:r>
        <w:rPr>
          <w:rFonts w:ascii="Arial"/>
          <w:color w:val="231F1F"/>
          <w:w w:val="225"/>
          <w:position w:val="1"/>
          <w:sz w:val="7"/>
        </w:rPr>
        <w:t>l</w:t>
      </w:r>
      <w:r>
        <w:rPr>
          <w:rFonts w:ascii="Arial"/>
          <w:color w:val="231F1F"/>
          <w:spacing w:val="-34"/>
          <w:w w:val="225"/>
          <w:position w:val="1"/>
          <w:sz w:val="7"/>
        </w:rPr>
        <w:t> </w:t>
      </w:r>
      <w:r>
        <w:rPr>
          <w:rFonts w:ascii="Calibri"/>
          <w:color w:val="008356"/>
          <w:spacing w:val="4"/>
          <w:w w:val="110"/>
          <w:sz w:val="11"/>
        </w:rPr>
        <w:t>TRABECTEDIN</w:t>
      </w:r>
      <w:r>
        <w:rPr>
          <w:color w:val="231F1F"/>
          <w:spacing w:val="4"/>
          <w:w w:val="110"/>
          <w:sz w:val="12"/>
        </w:rPr>
        <w:t>;</w:t>
      </w:r>
      <w:r>
        <w:rPr>
          <w:color w:val="231F1F"/>
          <w:spacing w:val="-23"/>
          <w:w w:val="110"/>
          <w:sz w:val="12"/>
        </w:rPr>
        <w:t> </w:t>
      </w:r>
      <w:r>
        <w:rPr>
          <w:color w:val="231F1F"/>
          <w:w w:val="110"/>
          <w:sz w:val="12"/>
        </w:rPr>
        <w:t>rifabutin</w:t>
      </w:r>
    </w:p>
    <w:p>
      <w:pPr>
        <w:pStyle w:val="BodyText"/>
        <w:spacing w:line="247" w:lineRule="auto" w:before="2"/>
        <w:ind w:left="286" w:right="-10" w:hanging="1"/>
      </w:pPr>
      <w:r>
        <w:rPr>
          <w:color w:val="231F1F"/>
          <w:w w:val="115"/>
        </w:rPr>
        <w:t>possibly</w:t>
      </w:r>
      <w:r>
        <w:rPr>
          <w:color w:val="231F1F"/>
          <w:spacing w:val="-16"/>
          <w:w w:val="115"/>
        </w:rPr>
        <w:t> </w:t>
      </w:r>
      <w:r>
        <w:rPr>
          <w:color w:val="231F1F"/>
          <w:w w:val="115"/>
        </w:rPr>
        <w:t>decreases</w:t>
      </w:r>
      <w:r>
        <w:rPr>
          <w:color w:val="231F1F"/>
          <w:spacing w:val="-16"/>
          <w:w w:val="115"/>
        </w:rPr>
        <w:t> </w:t>
      </w:r>
      <w:r>
        <w:rPr>
          <w:color w:val="231F1F"/>
          <w:w w:val="115"/>
        </w:rPr>
        <w:t>plasma</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rFonts w:ascii="Calibri" w:hAnsi="Calibri"/>
          <w:color w:val="008356"/>
          <w:spacing w:val="4"/>
          <w:w w:val="115"/>
          <w:sz w:val="11"/>
        </w:rPr>
        <w:t>AXITINIB</w:t>
      </w:r>
      <w:r>
        <w:rPr>
          <w:rFonts w:ascii="Calibri" w:hAnsi="Calibri"/>
          <w:color w:val="008356"/>
          <w:spacing w:val="-5"/>
          <w:w w:val="115"/>
          <w:sz w:val="11"/>
        </w:rPr>
        <w:t> </w:t>
      </w:r>
      <w:r>
        <w:rPr>
          <w:color w:val="231F1F"/>
          <w:w w:val="115"/>
        </w:rPr>
        <w:t>(increase dose of axitinib</w:t>
      </w:r>
      <w:r>
        <w:rPr>
          <w:rFonts w:ascii="Arial" w:hAnsi="Arial"/>
          <w:color w:val="231F1F"/>
          <w:w w:val="115"/>
        </w:rPr>
        <w:t>—</w:t>
      </w:r>
      <w:r>
        <w:rPr>
          <w:color w:val="231F1F"/>
          <w:w w:val="115"/>
        </w:rPr>
        <w:t>consult axitinib product literature); rifampicin decreases plasma concentration of </w:t>
      </w:r>
      <w:r>
        <w:rPr>
          <w:rFonts w:ascii="Calibri" w:hAnsi="Calibri"/>
          <w:color w:val="008356"/>
          <w:spacing w:val="5"/>
          <w:w w:val="115"/>
          <w:sz w:val="11"/>
        </w:rPr>
        <w:t>AXITINIB </w:t>
      </w:r>
      <w:r>
        <w:rPr>
          <w:color w:val="231F1F"/>
          <w:w w:val="115"/>
        </w:rPr>
        <w:t>(increase dose of axitinib</w:t>
      </w:r>
      <w:r>
        <w:rPr>
          <w:rFonts w:ascii="Arial" w:hAnsi="Arial"/>
          <w:color w:val="231F1F"/>
          <w:w w:val="115"/>
        </w:rPr>
        <w:t>—</w:t>
      </w:r>
      <w:r>
        <w:rPr>
          <w:color w:val="231F1F"/>
          <w:w w:val="115"/>
        </w:rPr>
        <w:t>consult axitinib product literature); rifabutin possibly reduces plasma concentration 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BOSUTINIB</w:t>
      </w:r>
      <w:r>
        <w:rPr>
          <w:color w:val="231F1F"/>
          <w:spacing w:val="4"/>
          <w:w w:val="115"/>
        </w:rPr>
        <w:t>,</w:t>
      </w:r>
      <w:r>
        <w:rPr>
          <w:color w:val="231F1F"/>
          <w:spacing w:val="-24"/>
          <w:w w:val="115"/>
        </w:rPr>
        <w:t> </w:t>
      </w:r>
      <w:r>
        <w:rPr>
          <w:rFonts w:ascii="Calibri" w:hAnsi="Calibri"/>
          <w:color w:val="008356"/>
          <w:spacing w:val="4"/>
          <w:w w:val="115"/>
          <w:sz w:val="11"/>
        </w:rPr>
        <w:t>CRIZOTINIB</w:t>
      </w:r>
      <w:r>
        <w:rPr>
          <w:rFonts w:ascii="Calibri" w:hAnsi="Calibri"/>
          <w:color w:val="008356"/>
          <w:spacing w:val="-15"/>
          <w:w w:val="115"/>
          <w:sz w:val="11"/>
        </w:rPr>
        <w:t> </w:t>
      </w:r>
      <w:r>
        <w:rPr>
          <w:color w:val="231F1F"/>
          <w:w w:val="115"/>
        </w:rPr>
        <w:t>and</w:t>
      </w:r>
      <w:r>
        <w:rPr>
          <w:color w:val="231F1F"/>
          <w:spacing w:val="-22"/>
          <w:w w:val="115"/>
        </w:rPr>
        <w:t> </w:t>
      </w:r>
      <w:r>
        <w:rPr>
          <w:rFonts w:ascii="Calibri" w:hAnsi="Calibri"/>
          <w:color w:val="008356"/>
          <w:w w:val="115"/>
          <w:sz w:val="11"/>
        </w:rPr>
        <w:t>PONATINIB</w:t>
      </w:r>
      <w:r>
        <w:rPr>
          <w:rFonts w:ascii="Arial" w:hAnsi="Arial"/>
          <w:color w:val="231F1F"/>
          <w:w w:val="115"/>
        </w:rPr>
        <w:t>—</w:t>
      </w:r>
      <w:r>
        <w:rPr>
          <w:color w:val="231F1F"/>
          <w:w w:val="115"/>
        </w:rPr>
        <w:t>manufacturer</w:t>
      </w:r>
      <w:r>
        <w:rPr>
          <w:color w:val="231F1F"/>
          <w:spacing w:val="-23"/>
          <w:w w:val="115"/>
        </w:rPr>
        <w:t> </w:t>
      </w:r>
      <w:r>
        <w:rPr>
          <w:color w:val="231F1F"/>
          <w:w w:val="115"/>
        </w:rPr>
        <w:t>of bosutinib, crizotinib and ponatinib advises avoid concomitant use; rifampicin reduces plasma concentration</w:t>
      </w:r>
      <w:r>
        <w:rPr>
          <w:color w:val="231F1F"/>
          <w:spacing w:val="-26"/>
          <w:w w:val="115"/>
        </w:rPr>
        <w:t> </w:t>
      </w:r>
      <w:r>
        <w:rPr>
          <w:color w:val="231F1F"/>
          <w:spacing w:val="-7"/>
          <w:w w:val="115"/>
        </w:rPr>
        <w:t>of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BORTEZOMIB</w:t>
      </w:r>
      <w:r>
        <w:rPr>
          <w:color w:val="231F1F"/>
          <w:spacing w:val="4"/>
          <w:w w:val="115"/>
        </w:rPr>
        <w:t>,</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BOSUTINIB</w:t>
      </w:r>
      <w:r>
        <w:rPr>
          <w:color w:val="231F1F"/>
          <w:spacing w:val="4"/>
          <w:w w:val="115"/>
        </w:rPr>
        <w:t>,</w:t>
      </w:r>
      <w:r>
        <w:rPr>
          <w:color w:val="231F1F"/>
          <w:spacing w:val="-20"/>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CABAZITAXEL</w:t>
      </w:r>
      <w:r>
        <w:rPr>
          <w:color w:val="231F1F"/>
          <w:spacing w:val="4"/>
          <w:w w:val="115"/>
        </w:rPr>
        <w:t>,</w:t>
      </w:r>
      <w:r>
        <w:rPr>
          <w:color w:val="231F1F"/>
          <w:spacing w:val="-20"/>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CRIZOTINIB</w:t>
      </w:r>
      <w:r>
        <w:rPr>
          <w:color w:val="231F1F"/>
          <w:spacing w:val="4"/>
          <w:w w:val="115"/>
        </w:rPr>
        <w:t>,</w:t>
      </w:r>
    </w:p>
    <w:p>
      <w:pPr>
        <w:spacing w:line="137" w:lineRule="exact" w:before="0"/>
        <w:ind w:left="286" w:right="0" w:firstLine="0"/>
        <w:jc w:val="left"/>
        <w:rPr>
          <w:sz w:val="12"/>
        </w:rPr>
      </w:pPr>
      <w:r>
        <w:rPr>
          <w:rFonts w:ascii="Arial" w:hAnsi="Arial"/>
          <w:color w:val="231F1F"/>
          <w:w w:val="160"/>
          <w:position w:val="1"/>
          <w:sz w:val="7"/>
        </w:rPr>
        <w:t>l</w:t>
      </w:r>
      <w:r>
        <w:rPr>
          <w:rFonts w:ascii="Arial" w:hAnsi="Arial"/>
          <w:color w:val="231F1F"/>
          <w:spacing w:val="-22"/>
          <w:w w:val="160"/>
          <w:position w:val="1"/>
          <w:sz w:val="7"/>
        </w:rPr>
        <w:t> </w:t>
      </w:r>
      <w:r>
        <w:rPr>
          <w:rFonts w:ascii="Calibri" w:hAnsi="Calibri"/>
          <w:color w:val="008356"/>
          <w:spacing w:val="4"/>
          <w:w w:val="115"/>
          <w:sz w:val="11"/>
        </w:rPr>
        <w:t>PONATINIB</w:t>
      </w:r>
      <w:r>
        <w:rPr>
          <w:color w:val="231F1F"/>
          <w:spacing w:val="4"/>
          <w:w w:val="115"/>
          <w:sz w:val="12"/>
        </w:rPr>
        <w:t>,</w:t>
      </w:r>
      <w:r>
        <w:rPr>
          <w:color w:val="231F1F"/>
          <w:spacing w:val="-24"/>
          <w:w w:val="115"/>
          <w:sz w:val="12"/>
        </w:rPr>
        <w:t> </w:t>
      </w:r>
      <w:r>
        <w:rPr>
          <w:rFonts w:ascii="Arial" w:hAnsi="Arial"/>
          <w:color w:val="231F1F"/>
          <w:w w:val="160"/>
          <w:position w:val="1"/>
          <w:sz w:val="7"/>
        </w:rPr>
        <w:t>l</w:t>
      </w:r>
      <w:r>
        <w:rPr>
          <w:rFonts w:ascii="Arial" w:hAnsi="Arial"/>
          <w:color w:val="231F1F"/>
          <w:spacing w:val="-21"/>
          <w:w w:val="160"/>
          <w:position w:val="1"/>
          <w:sz w:val="7"/>
        </w:rPr>
        <w:t> </w:t>
      </w:r>
      <w:r>
        <w:rPr>
          <w:rFonts w:ascii="Calibri" w:hAnsi="Calibri"/>
          <w:color w:val="008356"/>
          <w:spacing w:val="4"/>
          <w:w w:val="115"/>
          <w:sz w:val="11"/>
        </w:rPr>
        <w:t>REGORAFENIB</w:t>
      </w:r>
      <w:r>
        <w:rPr>
          <w:rFonts w:ascii="Calibri" w:hAnsi="Calibri"/>
          <w:color w:val="008356"/>
          <w:spacing w:val="-16"/>
          <w:w w:val="115"/>
          <w:sz w:val="11"/>
        </w:rPr>
        <w:t> </w:t>
      </w:r>
      <w:r>
        <w:rPr>
          <w:color w:val="231F1F"/>
          <w:w w:val="115"/>
          <w:sz w:val="12"/>
        </w:rPr>
        <w:t>and</w:t>
      </w:r>
      <w:r>
        <w:rPr>
          <w:color w:val="231F1F"/>
          <w:spacing w:val="-24"/>
          <w:w w:val="115"/>
          <w:sz w:val="12"/>
        </w:rPr>
        <w:t> </w:t>
      </w:r>
      <w:r>
        <w:rPr>
          <w:rFonts w:ascii="Arial" w:hAnsi="Arial"/>
          <w:color w:val="231F1F"/>
          <w:w w:val="160"/>
          <w:position w:val="1"/>
          <w:sz w:val="7"/>
        </w:rPr>
        <w:t>l</w:t>
      </w:r>
      <w:r>
        <w:rPr>
          <w:rFonts w:ascii="Arial" w:hAnsi="Arial"/>
          <w:color w:val="231F1F"/>
          <w:spacing w:val="-22"/>
          <w:w w:val="160"/>
          <w:position w:val="1"/>
          <w:sz w:val="7"/>
        </w:rPr>
        <w:t> </w:t>
      </w:r>
      <w:r>
        <w:rPr>
          <w:rFonts w:ascii="Calibri" w:hAnsi="Calibri"/>
          <w:color w:val="008356"/>
          <w:w w:val="115"/>
          <w:sz w:val="11"/>
        </w:rPr>
        <w:t>VANDETANIB</w:t>
      </w:r>
      <w:r>
        <w:rPr>
          <w:rFonts w:ascii="Arial" w:hAnsi="Arial"/>
          <w:color w:val="231F1F"/>
          <w:w w:val="115"/>
          <w:sz w:val="12"/>
        </w:rPr>
        <w:t>—</w:t>
      </w:r>
      <w:r>
        <w:rPr>
          <w:color w:val="231F1F"/>
          <w:w w:val="115"/>
          <w:sz w:val="12"/>
        </w:rPr>
        <w:t>manufacturer</w:t>
      </w:r>
    </w:p>
    <w:p>
      <w:pPr>
        <w:pStyle w:val="BodyText"/>
        <w:spacing w:before="2"/>
        <w:ind w:left="286"/>
      </w:pPr>
      <w:r>
        <w:rPr>
          <w:color w:val="231F1F"/>
          <w:w w:val="115"/>
        </w:rPr>
        <w:t>of bortezomib, bosutinib, cabazitaxel, crizotinib, ponatinib,</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Rifamycins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Cytotoxics (continued)</w:t>
      </w:r>
    </w:p>
    <w:p>
      <w:pPr>
        <w:spacing w:line="247" w:lineRule="auto" w:before="0"/>
        <w:ind w:left="286" w:right="693" w:firstLine="0"/>
        <w:jc w:val="both"/>
        <w:rPr>
          <w:sz w:val="12"/>
        </w:rPr>
      </w:pPr>
      <w:r>
        <w:rPr>
          <w:color w:val="231F1F"/>
          <w:w w:val="110"/>
          <w:sz w:val="12"/>
        </w:rPr>
        <w:t>regorafenib and vandetanib advises avoid concomitant use; rifampicin reduces plasma concentration of </w:t>
      </w:r>
      <w:r>
        <w:rPr>
          <w:rFonts w:ascii="Arial"/>
          <w:color w:val="231F1F"/>
          <w:w w:val="355"/>
          <w:position w:val="1"/>
          <w:sz w:val="7"/>
        </w:rPr>
        <w:t>l</w:t>
      </w:r>
      <w:r>
        <w:rPr>
          <w:rFonts w:ascii="Arial"/>
          <w:color w:val="231F1F"/>
          <w:spacing w:val="-35"/>
          <w:w w:val="355"/>
          <w:position w:val="1"/>
          <w:sz w:val="7"/>
        </w:rPr>
        <w:t> </w:t>
      </w:r>
      <w:r>
        <w:rPr>
          <w:rFonts w:ascii="Calibri"/>
          <w:color w:val="008356"/>
          <w:spacing w:val="3"/>
          <w:w w:val="110"/>
          <w:sz w:val="11"/>
        </w:rPr>
        <w:t>CABOZANTINIB</w:t>
      </w:r>
      <w:r>
        <w:rPr>
          <w:color w:val="231F1F"/>
          <w:spacing w:val="3"/>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GEFITINIB</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IBRUTINIB</w:t>
      </w:r>
      <w:r>
        <w:rPr>
          <w:color w:val="231F1F"/>
          <w:spacing w:val="4"/>
          <w:w w:val="110"/>
          <w:sz w:val="12"/>
        </w:rPr>
        <w:t>,</w:t>
      </w:r>
      <w:r>
        <w:rPr>
          <w:color w:val="231F1F"/>
          <w:spacing w:val="-7"/>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IDELALISIB</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0"/>
          <w:sz w:val="11"/>
        </w:rPr>
        <w:t>IMATINIB </w:t>
      </w:r>
      <w:r>
        <w:rPr>
          <w:color w:val="231F1F"/>
          <w:w w:val="110"/>
          <w:sz w:val="12"/>
        </w:rPr>
        <w:t>and</w:t>
      </w:r>
    </w:p>
    <w:p>
      <w:pPr>
        <w:spacing w:line="242" w:lineRule="auto" w:before="0"/>
        <w:ind w:left="286" w:right="625" w:firstLine="0"/>
        <w:jc w:val="left"/>
        <w:rPr>
          <w:sz w:val="12"/>
        </w:rPr>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0"/>
          <w:sz w:val="11"/>
        </w:rPr>
        <w:t>NILOTINIB</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rifampicin advised by manufacturer of </w:t>
      </w:r>
      <w:r>
        <w:rPr>
          <w:rFonts w:ascii="Calibri" w:hAnsi="Calibri"/>
          <w:color w:val="008356"/>
          <w:spacing w:val="4"/>
          <w:w w:val="110"/>
          <w:sz w:val="11"/>
        </w:rPr>
        <w:t>DABRAFENIB</w:t>
      </w:r>
      <w:r>
        <w:rPr>
          <w:color w:val="231F1F"/>
          <w:spacing w:val="4"/>
          <w:w w:val="110"/>
          <w:sz w:val="12"/>
        </w:rPr>
        <w:t>, </w:t>
      </w:r>
      <w:r>
        <w:rPr>
          <w:rFonts w:ascii="Arial" w:hAnsi="Arial"/>
          <w:color w:val="231F1F"/>
          <w:w w:val="355"/>
          <w:position w:val="1"/>
          <w:sz w:val="7"/>
        </w:rPr>
        <w:t>l </w:t>
      </w:r>
      <w:r>
        <w:rPr>
          <w:rFonts w:ascii="Calibri" w:hAnsi="Calibri"/>
          <w:color w:val="008356"/>
          <w:spacing w:val="3"/>
          <w:w w:val="110"/>
          <w:sz w:val="11"/>
        </w:rPr>
        <w:t>LAPATINIB </w:t>
      </w:r>
      <w:r>
        <w:rPr>
          <w:color w:val="231F1F"/>
          <w:w w:val="110"/>
          <w:sz w:val="12"/>
        </w:rPr>
        <w:t>and </w:t>
      </w:r>
      <w:r>
        <w:rPr>
          <w:rFonts w:ascii="Calibri" w:hAnsi="Calibri"/>
          <w:color w:val="008356"/>
          <w:spacing w:val="4"/>
          <w:w w:val="110"/>
          <w:sz w:val="11"/>
        </w:rPr>
        <w:t>VEMURAFENIB</w:t>
      </w:r>
      <w:r>
        <w:rPr>
          <w:color w:val="231F1F"/>
          <w:spacing w:val="4"/>
          <w:w w:val="110"/>
          <w:sz w:val="12"/>
        </w:rPr>
        <w:t>; </w:t>
      </w:r>
      <w:r>
        <w:rPr>
          <w:color w:val="231F1F"/>
          <w:w w:val="110"/>
          <w:sz w:val="12"/>
        </w:rPr>
        <w:t>rifampicin accelerates metabolism</w:t>
      </w:r>
      <w:r>
        <w:rPr>
          <w:color w:val="231F1F"/>
          <w:spacing w:val="-17"/>
          <w:w w:val="110"/>
          <w:sz w:val="12"/>
        </w:rPr>
        <w:t> </w:t>
      </w:r>
      <w:r>
        <w:rPr>
          <w:color w:val="231F1F"/>
          <w:w w:val="110"/>
          <w:sz w:val="12"/>
        </w:rPr>
        <w:t>of</w:t>
      </w:r>
    </w:p>
    <w:p>
      <w:pPr>
        <w:pStyle w:val="BodyText"/>
        <w:spacing w:line="247" w:lineRule="auto"/>
        <w:ind w:left="286" w:right="703"/>
      </w:pPr>
      <w:r>
        <w:rPr>
          <w:rFonts w:ascii="Arial" w:hAnsi="Arial"/>
          <w:color w:val="231F1F"/>
          <w:w w:val="355"/>
          <w:position w:val="1"/>
          <w:sz w:val="7"/>
        </w:rPr>
        <w:t>l </w:t>
      </w:r>
      <w:r>
        <w:rPr>
          <w:rFonts w:ascii="Calibri" w:hAnsi="Calibri"/>
          <w:color w:val="008356"/>
          <w:spacing w:val="3"/>
          <w:w w:val="115"/>
          <w:sz w:val="11"/>
        </w:rPr>
        <w:t>DASATINIB </w:t>
      </w:r>
      <w:r>
        <w:rPr>
          <w:color w:val="231F1F"/>
          <w:w w:val="115"/>
        </w:rPr>
        <w:t>(reduced plasma concentration</w:t>
      </w:r>
      <w:r>
        <w:rPr>
          <w:rFonts w:ascii="Arial" w:hAnsi="Arial"/>
          <w:color w:val="231F1F"/>
          <w:w w:val="115"/>
        </w:rPr>
        <w:t>—</w:t>
      </w:r>
      <w:r>
        <w:rPr>
          <w:color w:val="231F1F"/>
          <w:w w:val="115"/>
        </w:rPr>
        <w:t>avoid concomitant use); rifampicin accelerates metabolism of </w:t>
      </w:r>
      <w:r>
        <w:rPr>
          <w:rFonts w:ascii="Calibri" w:hAnsi="Calibri"/>
          <w:color w:val="008356"/>
          <w:spacing w:val="4"/>
          <w:w w:val="115"/>
          <w:sz w:val="11"/>
        </w:rPr>
        <w:t>ERLOTINIB </w:t>
      </w:r>
      <w:r>
        <w:rPr>
          <w:color w:val="231F1F"/>
          <w:w w:val="115"/>
        </w:rPr>
        <w:t>and </w:t>
      </w:r>
      <w:r>
        <w:rPr>
          <w:rFonts w:ascii="Calibri" w:hAnsi="Calibri"/>
          <w:color w:val="008356"/>
          <w:spacing w:val="4"/>
          <w:w w:val="115"/>
          <w:sz w:val="11"/>
        </w:rPr>
        <w:t>SUNITINIB </w:t>
      </w:r>
      <w:r>
        <w:rPr>
          <w:color w:val="231F1F"/>
          <w:w w:val="115"/>
        </w:rPr>
        <w:t>(reduced plasma concentration); rifampicin reduces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5"/>
          <w:w w:val="115"/>
          <w:sz w:val="11"/>
        </w:rPr>
        <w:t>EVEROLIMUS </w:t>
      </w:r>
      <w:r>
        <w:rPr>
          <w:color w:val="231F1F"/>
          <w:w w:val="115"/>
        </w:rPr>
        <w:t>(avoid concomitant use or consider increasing the dose </w:t>
      </w:r>
      <w:r>
        <w:rPr>
          <w:color w:val="231F1F"/>
          <w:spacing w:val="-7"/>
          <w:w w:val="115"/>
        </w:rPr>
        <w:t>of </w:t>
      </w:r>
      <w:r>
        <w:rPr>
          <w:color w:val="231F1F"/>
          <w:w w:val="115"/>
        </w:rPr>
        <w:t>everolimus </w:t>
      </w:r>
      <w:r>
        <w:rPr>
          <w:rFonts w:ascii="Arial" w:hAnsi="Arial"/>
          <w:color w:val="231F1F"/>
          <w:w w:val="115"/>
        </w:rPr>
        <w:t>—</w:t>
      </w:r>
      <w:r>
        <w:rPr>
          <w:color w:val="231F1F"/>
          <w:w w:val="115"/>
        </w:rPr>
        <w:t>consult everolimus product literature); avoidance of rifabutin advised by manufacturer of</w:t>
      </w:r>
    </w:p>
    <w:p>
      <w:pPr>
        <w:spacing w:line="244" w:lineRule="auto" w:before="0"/>
        <w:ind w:left="286" w:right="904"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CABAZITAXEL</w:t>
      </w:r>
      <w:r>
        <w:rPr>
          <w:color w:val="231F1F"/>
          <w:spacing w:val="4"/>
          <w:w w:val="110"/>
          <w:sz w:val="12"/>
        </w:rPr>
        <w:t>,</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Calibri"/>
          <w:color w:val="008356"/>
          <w:spacing w:val="3"/>
          <w:w w:val="110"/>
          <w:sz w:val="11"/>
        </w:rPr>
        <w:t>LAPATINIB</w:t>
      </w:r>
      <w:r>
        <w:rPr>
          <w:rFonts w:ascii="Calibri"/>
          <w:color w:val="008356"/>
          <w:spacing w:val="-14"/>
          <w:w w:val="110"/>
          <w:sz w:val="11"/>
        </w:rPr>
        <w:t> </w:t>
      </w:r>
      <w:r>
        <w:rPr>
          <w:color w:val="231F1F"/>
          <w:w w:val="110"/>
          <w:sz w:val="12"/>
        </w:rPr>
        <w:t>and</w:t>
      </w:r>
      <w:r>
        <w:rPr>
          <w:color w:val="231F1F"/>
          <w:spacing w:val="-21"/>
          <w:w w:val="110"/>
          <w:sz w:val="12"/>
        </w:rPr>
        <w:t> </w:t>
      </w:r>
      <w:r>
        <w:rPr>
          <w:rFonts w:ascii="Calibri"/>
          <w:color w:val="008356"/>
          <w:spacing w:val="4"/>
          <w:w w:val="110"/>
          <w:sz w:val="11"/>
        </w:rPr>
        <w:t>VEMURAFENIB</w:t>
      </w:r>
      <w:r>
        <w:rPr>
          <w:color w:val="231F1F"/>
          <w:spacing w:val="4"/>
          <w:w w:val="110"/>
          <w:sz w:val="12"/>
        </w:rPr>
        <w:t>;</w:t>
      </w:r>
      <w:r>
        <w:rPr>
          <w:color w:val="231F1F"/>
          <w:spacing w:val="-22"/>
          <w:w w:val="110"/>
          <w:sz w:val="12"/>
        </w:rPr>
        <w:t> </w:t>
      </w:r>
      <w:r>
        <w:rPr>
          <w:color w:val="231F1F"/>
          <w:w w:val="110"/>
          <w:sz w:val="12"/>
        </w:rPr>
        <w:t>rifampicin possibly reduces plasma concentration of </w:t>
      </w:r>
      <w:r>
        <w:rPr>
          <w:rFonts w:ascii="Calibri"/>
          <w:color w:val="008356"/>
          <w:spacing w:val="4"/>
          <w:w w:val="110"/>
          <w:sz w:val="11"/>
        </w:rPr>
        <w:t>ERIBULIN</w:t>
      </w:r>
      <w:r>
        <w:rPr>
          <w:rFonts w:ascii="Calibri"/>
          <w:color w:val="008356"/>
          <w:spacing w:val="8"/>
          <w:w w:val="110"/>
          <w:sz w:val="11"/>
        </w:rPr>
        <w:t> </w:t>
      </w:r>
      <w:r>
        <w:rPr>
          <w:color w:val="231F1F"/>
          <w:w w:val="110"/>
          <w:sz w:val="12"/>
        </w:rPr>
        <w:t>and</w:t>
      </w:r>
    </w:p>
    <w:p>
      <w:pPr>
        <w:pStyle w:val="BodyText"/>
        <w:ind w:left="286" w:right="578"/>
      </w:pPr>
      <w:r>
        <w:rPr>
          <w:rFonts w:ascii="Arial" w:hAnsi="Arial"/>
          <w:color w:val="231F1F"/>
          <w:w w:val="355"/>
          <w:position w:val="1"/>
          <w:sz w:val="7"/>
        </w:rPr>
        <w:t>l </w:t>
      </w:r>
      <w:r>
        <w:rPr>
          <w:rFonts w:ascii="Calibri" w:hAnsi="Calibri"/>
          <w:color w:val="008356"/>
          <w:w w:val="110"/>
          <w:sz w:val="11"/>
        </w:rPr>
        <w:t>PAZOPANIB</w:t>
      </w:r>
      <w:r>
        <w:rPr>
          <w:color w:val="231F1F"/>
          <w:w w:val="110"/>
        </w:rPr>
        <w:t>; rifampicin reduces plasma concentration of active metabolite of </w:t>
      </w:r>
      <w:r>
        <w:rPr>
          <w:rFonts w:ascii="Arial" w:hAnsi="Arial"/>
          <w:color w:val="231F1F"/>
          <w:w w:val="355"/>
          <w:position w:val="1"/>
          <w:sz w:val="7"/>
        </w:rPr>
        <w:t>l </w:t>
      </w:r>
      <w:r>
        <w:rPr>
          <w:rFonts w:ascii="Calibri" w:hAnsi="Calibri"/>
          <w:color w:val="008356"/>
          <w:w w:val="110"/>
          <w:sz w:val="11"/>
        </w:rPr>
        <w:t>TEMSIROLIMUS</w:t>
      </w:r>
      <w:r>
        <w:rPr>
          <w:rFonts w:ascii="Arial" w:hAnsi="Arial"/>
          <w:color w:val="231F1F"/>
          <w:w w:val="110"/>
        </w:rPr>
        <w:t>—</w:t>
      </w:r>
      <w:r>
        <w:rPr>
          <w:color w:val="231F1F"/>
          <w:w w:val="110"/>
        </w:rPr>
        <w:t>avoid concomitant use; rifampicin possibly reduces plasma concentration of</w:t>
      </w:r>
    </w:p>
    <w:p>
      <w:pPr>
        <w:pStyle w:val="BodyText"/>
        <w:spacing w:line="244" w:lineRule="auto" w:before="2"/>
        <w:ind w:left="286" w:right="821"/>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15"/>
          <w:sz w:val="11"/>
        </w:rPr>
        <w:t>VINFLUNINE</w:t>
      </w:r>
      <w:r>
        <w:rPr>
          <w:rFonts w:ascii="Arial" w:hAnsi="Arial"/>
          <w:color w:val="231F1F"/>
          <w:w w:val="115"/>
        </w:rPr>
        <w:t>—</w:t>
      </w:r>
      <w:r>
        <w:rPr>
          <w:color w:val="231F1F"/>
          <w:w w:val="115"/>
        </w:rPr>
        <w:t>manufacturer of vinflunine advises </w:t>
      </w:r>
      <w:r>
        <w:rPr>
          <w:color w:val="231F1F"/>
          <w:spacing w:val="-3"/>
          <w:w w:val="115"/>
        </w:rPr>
        <w:t>avoid </w:t>
      </w:r>
      <w:r>
        <w:rPr>
          <w:color w:val="231F1F"/>
          <w:w w:val="115"/>
        </w:rPr>
        <w:t>concomitant use; avoidance of rifampicin advised by manufacturer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VISMODEGIB </w:t>
      </w:r>
      <w:r>
        <w:rPr>
          <w:color w:val="231F1F"/>
          <w:w w:val="115"/>
        </w:rPr>
        <w:t>(plasma concentration of vismodegib possibly reduced)</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Deferasirox: </w:t>
      </w:r>
      <w:r>
        <w:rPr>
          <w:color w:val="231F1F"/>
          <w:w w:val="105"/>
        </w:rPr>
        <w:t>rifampicin reduces plasma concentration of</w:t>
      </w:r>
    </w:p>
    <w:p>
      <w:pPr>
        <w:spacing w:line="130" w:lineRule="exact" w:before="0"/>
        <w:ind w:left="286" w:right="0" w:firstLine="0"/>
        <w:jc w:val="left"/>
        <w:rPr>
          <w:rFonts w:ascii="Calibri"/>
          <w:sz w:val="11"/>
        </w:rPr>
      </w:pPr>
      <w:r>
        <w:rPr>
          <w:rFonts w:ascii="Calibri"/>
          <w:color w:val="008356"/>
          <w:sz w:val="11"/>
        </w:rPr>
        <w:t>DEFERASIROX</w:t>
      </w:r>
    </w:p>
    <w:p>
      <w:pPr>
        <w:pStyle w:val="BodyText"/>
        <w:spacing w:line="144" w:lineRule="exact"/>
        <w:ind w:left="186"/>
      </w:pPr>
      <w:r>
        <w:rPr>
          <w:rFonts w:ascii="Arial"/>
          <w:color w:val="231F1F"/>
          <w:w w:val="355"/>
          <w:position w:val="1"/>
          <w:sz w:val="7"/>
        </w:rPr>
        <w:t>l </w:t>
      </w:r>
      <w:r>
        <w:rPr>
          <w:rFonts w:ascii="Calibri"/>
          <w:color w:val="231F1F"/>
          <w:w w:val="120"/>
        </w:rPr>
        <w:t>Diuretics: </w:t>
      </w:r>
      <w:r>
        <w:rPr>
          <w:color w:val="231F1F"/>
          <w:w w:val="120"/>
        </w:rPr>
        <w:t>rifampicin reduces plasma concentration of</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Fosaprepitant: </w:t>
      </w:r>
      <w:r>
        <w:rPr>
          <w:color w:val="231F1F"/>
          <w:w w:val="105"/>
        </w:rPr>
        <w:t>rifampicin reduces plasma concentration of</w:t>
      </w:r>
    </w:p>
    <w:p>
      <w:pPr>
        <w:spacing w:line="130" w:lineRule="exact" w:before="0"/>
        <w:ind w:left="286" w:right="0" w:firstLine="0"/>
        <w:jc w:val="left"/>
        <w:rPr>
          <w:rFonts w:ascii="Calibri"/>
          <w:sz w:val="11"/>
        </w:rPr>
      </w:pPr>
      <w:r>
        <w:rPr>
          <w:rFonts w:ascii="Calibri"/>
          <w:color w:val="008356"/>
          <w:sz w:val="11"/>
        </w:rPr>
        <w:t>FOSAPREPITANT</w:t>
      </w:r>
    </w:p>
    <w:p>
      <w:pPr>
        <w:pStyle w:val="BodyText"/>
        <w:spacing w:line="244" w:lineRule="auto"/>
        <w:ind w:left="286" w:right="597" w:hanging="100"/>
      </w:pPr>
      <w:r>
        <w:rPr>
          <w:rFonts w:ascii="Arial" w:hAnsi="Arial"/>
          <w:color w:val="231F1F"/>
          <w:w w:val="355"/>
          <w:position w:val="1"/>
          <w:sz w:val="7"/>
        </w:rPr>
        <w:t>l </w:t>
      </w:r>
      <w:r>
        <w:rPr>
          <w:rFonts w:ascii="Calibri" w:hAnsi="Calibri"/>
          <w:color w:val="231F1F"/>
          <w:w w:val="115"/>
        </w:rPr>
        <w:t>Hormone Antagonists: </w:t>
      </w:r>
      <w:r>
        <w:rPr>
          <w:color w:val="231F1F"/>
          <w:w w:val="115"/>
        </w:rPr>
        <w:t>rifabutin possibly reduces plasma concentration of </w:t>
      </w:r>
      <w:r>
        <w:rPr>
          <w:rFonts w:ascii="Arial" w:hAnsi="Arial"/>
          <w:color w:val="231F1F"/>
          <w:w w:val="355"/>
          <w:position w:val="1"/>
          <w:sz w:val="7"/>
        </w:rPr>
        <w:t>l </w:t>
      </w:r>
      <w:r>
        <w:rPr>
          <w:rFonts w:ascii="Calibri" w:hAnsi="Calibri"/>
          <w:color w:val="008356"/>
          <w:w w:val="115"/>
          <w:sz w:val="11"/>
        </w:rPr>
        <w:t>ABIRATERONE</w:t>
      </w:r>
      <w:r>
        <w:rPr>
          <w:rFonts w:ascii="Arial" w:hAnsi="Arial"/>
          <w:color w:val="231F1F"/>
          <w:w w:val="115"/>
        </w:rPr>
        <w:t>—</w:t>
      </w:r>
      <w:r>
        <w:rPr>
          <w:color w:val="231F1F"/>
          <w:w w:val="115"/>
        </w:rPr>
        <w:t>manufacturer of abiraterone advises avoid concomitant use; rifampicin reduces plasma concentration of </w:t>
      </w:r>
      <w:r>
        <w:rPr>
          <w:rFonts w:ascii="Arial" w:hAnsi="Arial"/>
          <w:color w:val="231F1F"/>
          <w:w w:val="355"/>
          <w:position w:val="1"/>
          <w:sz w:val="7"/>
        </w:rPr>
        <w:t>l </w:t>
      </w:r>
      <w:r>
        <w:rPr>
          <w:rFonts w:ascii="Calibri" w:hAnsi="Calibri"/>
          <w:color w:val="008356"/>
          <w:w w:val="115"/>
          <w:sz w:val="11"/>
        </w:rPr>
        <w:t>ABIRATERONE</w:t>
      </w:r>
      <w:r>
        <w:rPr>
          <w:rFonts w:ascii="Arial" w:hAnsi="Arial"/>
          <w:color w:val="231F1F"/>
          <w:w w:val="115"/>
        </w:rPr>
        <w:t>— </w:t>
      </w:r>
      <w:r>
        <w:rPr>
          <w:color w:val="231F1F"/>
          <w:w w:val="115"/>
        </w:rPr>
        <w:t>manufacturer of abiraterone advises avoid concomitant use; avoidance of rifampicin advised by manufacturer of </w:t>
      </w:r>
      <w:r>
        <w:rPr>
          <w:rFonts w:ascii="Calibri" w:hAnsi="Calibri"/>
          <w:color w:val="008356"/>
          <w:w w:val="115"/>
          <w:sz w:val="11"/>
        </w:rPr>
        <w:t>ENZALUTAMIDE</w:t>
      </w:r>
      <w:r>
        <w:rPr>
          <w:color w:val="231F1F"/>
          <w:w w:val="115"/>
        </w:rPr>
        <w:t>; rifampicin possibly reduces plasma concentration of </w:t>
      </w:r>
      <w:r>
        <w:rPr>
          <w:rFonts w:ascii="Calibri" w:hAnsi="Calibri"/>
          <w:color w:val="008356"/>
          <w:w w:val="115"/>
          <w:sz w:val="11"/>
        </w:rPr>
        <w:t>EXEMESTANE</w:t>
      </w:r>
      <w:r>
        <w:rPr>
          <w:color w:val="231F1F"/>
          <w:w w:val="115"/>
        </w:rPr>
        <w:t>; rifampicin accelerates metabolism of </w:t>
      </w:r>
      <w:r>
        <w:rPr>
          <w:rFonts w:ascii="Calibri" w:hAnsi="Calibri"/>
          <w:color w:val="008356"/>
          <w:w w:val="115"/>
          <w:sz w:val="11"/>
        </w:rPr>
        <w:t>TAMOXIFEN </w:t>
      </w:r>
      <w:r>
        <w:rPr>
          <w:color w:val="231F1F"/>
          <w:w w:val="115"/>
        </w:rPr>
        <w:t>(reduced plasma concentration)</w:t>
      </w:r>
    </w:p>
    <w:p>
      <w:pPr>
        <w:pStyle w:val="BodyText"/>
        <w:spacing w:line="220" w:lineRule="auto" w:before="2"/>
        <w:ind w:left="286" w:right="754" w:hanging="100"/>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rifampicin accelerates metabolism of </w:t>
      </w:r>
      <w:r>
        <w:rPr>
          <w:rFonts w:ascii="Calibri" w:hAnsi="Calibri"/>
          <w:color w:val="008356"/>
          <w:w w:val="105"/>
          <w:sz w:val="11"/>
          <w:vertAlign w:val="baseline"/>
        </w:rPr>
        <w:t>ONDANSETRON </w:t>
      </w:r>
      <w:r>
        <w:rPr>
          <w:color w:val="231F1F"/>
          <w:w w:val="105"/>
          <w:vertAlign w:val="baseline"/>
        </w:rPr>
        <w:t>(reduced effect)</w:t>
      </w:r>
    </w:p>
    <w:p>
      <w:pPr>
        <w:pStyle w:val="BodyText"/>
        <w:spacing w:line="242" w:lineRule="auto"/>
        <w:ind w:left="286" w:right="599"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20"/>
        </w:rPr>
        <w:t>Ivacaftor:</w:t>
      </w:r>
      <w:r>
        <w:rPr>
          <w:rFonts w:ascii="Calibri" w:hAnsi="Calibri"/>
          <w:color w:val="231F1F"/>
          <w:spacing w:val="-22"/>
          <w:w w:val="120"/>
        </w:rPr>
        <w:t> </w:t>
      </w:r>
      <w:r>
        <w:rPr>
          <w:color w:val="231F1F"/>
          <w:w w:val="120"/>
        </w:rPr>
        <w:t>rifabutin</w:t>
      </w:r>
      <w:r>
        <w:rPr>
          <w:color w:val="231F1F"/>
          <w:spacing w:val="-26"/>
          <w:w w:val="120"/>
        </w:rPr>
        <w:t> </w:t>
      </w:r>
      <w:r>
        <w:rPr>
          <w:color w:val="231F1F"/>
          <w:w w:val="120"/>
        </w:rPr>
        <w:t>possibly</w:t>
      </w:r>
      <w:r>
        <w:rPr>
          <w:color w:val="231F1F"/>
          <w:spacing w:val="-25"/>
          <w:w w:val="120"/>
        </w:rPr>
        <w:t> </w:t>
      </w:r>
      <w:r>
        <w:rPr>
          <w:color w:val="231F1F"/>
          <w:w w:val="120"/>
        </w:rPr>
        <w:t>reduces</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w w:val="120"/>
          <w:position w:val="1"/>
        </w:rPr>
        <w:t> </w:t>
      </w:r>
      <w:r>
        <w:rPr>
          <w:rFonts w:ascii="Arial" w:hAnsi="Arial"/>
          <w:color w:val="231F1F"/>
          <w:w w:val="355"/>
          <w:position w:val="1"/>
          <w:sz w:val="7"/>
        </w:rPr>
        <w:t>l </w:t>
      </w:r>
      <w:r>
        <w:rPr>
          <w:rFonts w:ascii="Calibri" w:hAnsi="Calibri"/>
          <w:color w:val="008356"/>
          <w:w w:val="120"/>
          <w:sz w:val="11"/>
        </w:rPr>
        <w:t>IVACAFTOR</w:t>
      </w:r>
      <w:r>
        <w:rPr>
          <w:rFonts w:ascii="Arial" w:hAnsi="Arial"/>
          <w:color w:val="231F1F"/>
          <w:w w:val="120"/>
        </w:rPr>
        <w:t>—</w:t>
      </w:r>
      <w:r>
        <w:rPr>
          <w:color w:val="231F1F"/>
          <w:w w:val="120"/>
        </w:rPr>
        <w:t>manufacturer of ivacaftor advises avoid </w:t>
      </w:r>
      <w:r>
        <w:rPr>
          <w:color w:val="231F1F"/>
          <w:w w:val="115"/>
        </w:rPr>
        <w:t>concomitant use; rifampicin reduces plasma concentration</w:t>
      </w:r>
      <w:r>
        <w:rPr>
          <w:color w:val="231F1F"/>
          <w:spacing w:val="-25"/>
          <w:w w:val="115"/>
        </w:rPr>
        <w:t> </w:t>
      </w:r>
      <w:r>
        <w:rPr>
          <w:color w:val="231F1F"/>
          <w:spacing w:val="-7"/>
          <w:w w:val="115"/>
        </w:rPr>
        <w:t>of </w:t>
      </w:r>
      <w:r>
        <w:rPr>
          <w:rFonts w:ascii="Arial" w:hAnsi="Arial"/>
          <w:color w:val="231F1F"/>
          <w:w w:val="355"/>
          <w:position w:val="1"/>
          <w:sz w:val="7"/>
        </w:rPr>
        <w:t>l </w:t>
      </w:r>
      <w:r>
        <w:rPr>
          <w:rFonts w:ascii="Calibri" w:hAnsi="Calibri"/>
          <w:color w:val="008356"/>
          <w:w w:val="120"/>
          <w:sz w:val="11"/>
        </w:rPr>
        <w:t>IVACAFTOR</w:t>
      </w:r>
      <w:r>
        <w:rPr>
          <w:rFonts w:ascii="Arial" w:hAnsi="Arial"/>
          <w:color w:val="231F1F"/>
          <w:w w:val="120"/>
        </w:rPr>
        <w:t>—</w:t>
      </w:r>
      <w:r>
        <w:rPr>
          <w:color w:val="231F1F"/>
          <w:w w:val="120"/>
        </w:rPr>
        <w:t>manufacturer of ivacaftor advises avoid concomitant</w:t>
      </w:r>
      <w:r>
        <w:rPr>
          <w:color w:val="231F1F"/>
          <w:spacing w:val="-7"/>
          <w:w w:val="120"/>
        </w:rPr>
        <w:t> </w:t>
      </w:r>
      <w:r>
        <w:rPr>
          <w:color w:val="231F1F"/>
          <w:w w:val="120"/>
        </w:rPr>
        <w:t>use</w:t>
      </w:r>
    </w:p>
    <w:p>
      <w:pPr>
        <w:pStyle w:val="BodyText"/>
        <w:spacing w:line="220" w:lineRule="auto" w:before="10"/>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Leflunomide: </w:t>
      </w:r>
      <w:r>
        <w:rPr>
          <w:color w:val="231F1F"/>
          <w:w w:val="105"/>
        </w:rPr>
        <w:t>rifampicin possibly increases plasma concentration of active metabolite of </w:t>
      </w:r>
      <w:r>
        <w:rPr>
          <w:rFonts w:ascii="Calibri" w:hAnsi="Calibri"/>
          <w:color w:val="008356"/>
          <w:w w:val="105"/>
          <w:sz w:val="11"/>
        </w:rPr>
        <w:t>LEFLUNOMIDE</w:t>
      </w:r>
    </w:p>
    <w:p>
      <w:pPr>
        <w:spacing w:line="232" w:lineRule="auto" w:before="3"/>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rifampicin possibly reduces plasma concentration of </w:t>
      </w:r>
      <w:r>
        <w:rPr>
          <w:rFonts w:ascii="Calibri" w:hAnsi="Calibri"/>
          <w:color w:val="008356"/>
          <w:spacing w:val="2"/>
          <w:w w:val="105"/>
          <w:sz w:val="11"/>
        </w:rPr>
        <w:t>ATORVASTATIN </w:t>
      </w:r>
      <w:r>
        <w:rPr>
          <w:color w:val="231F1F"/>
          <w:w w:val="105"/>
          <w:sz w:val="12"/>
        </w:rPr>
        <w:t>and </w:t>
      </w:r>
      <w:r>
        <w:rPr>
          <w:rFonts w:ascii="Calibri" w:hAnsi="Calibri"/>
          <w:color w:val="008356"/>
          <w:spacing w:val="3"/>
          <w:w w:val="105"/>
          <w:sz w:val="11"/>
        </w:rPr>
        <w:t>SIMVASTATIN</w:t>
      </w:r>
      <w:r>
        <w:rPr>
          <w:color w:val="231F1F"/>
          <w:spacing w:val="3"/>
          <w:w w:val="105"/>
          <w:sz w:val="12"/>
        </w:rPr>
        <w:t>; </w:t>
      </w:r>
      <w:r>
        <w:rPr>
          <w:color w:val="231F1F"/>
          <w:w w:val="105"/>
          <w:sz w:val="12"/>
        </w:rPr>
        <w:t>rifampicin accelerates metabolism of </w:t>
      </w:r>
      <w:r>
        <w:rPr>
          <w:rFonts w:ascii="Calibri" w:hAnsi="Calibri"/>
          <w:color w:val="008356"/>
          <w:spacing w:val="2"/>
          <w:w w:val="105"/>
          <w:sz w:val="11"/>
        </w:rPr>
        <w:t>FLUVASTATIN </w:t>
      </w:r>
      <w:r>
        <w:rPr>
          <w:color w:val="231F1F"/>
          <w:w w:val="105"/>
          <w:sz w:val="12"/>
        </w:rPr>
        <w:t>(reduced</w:t>
      </w:r>
      <w:r>
        <w:rPr>
          <w:color w:val="231F1F"/>
          <w:spacing w:val="1"/>
          <w:w w:val="105"/>
          <w:sz w:val="12"/>
        </w:rPr>
        <w:t> </w:t>
      </w:r>
      <w:r>
        <w:rPr>
          <w:color w:val="231F1F"/>
          <w:w w:val="105"/>
          <w:sz w:val="12"/>
        </w:rPr>
        <w:t>effect)</w:t>
      </w:r>
    </w:p>
    <w:p>
      <w:pPr>
        <w:pStyle w:val="BodyText"/>
        <w:spacing w:line="143" w:lineRule="exact"/>
        <w:ind w:left="186"/>
      </w:pPr>
      <w:r>
        <w:rPr>
          <w:rFonts w:ascii="Arial"/>
          <w:color w:val="231F1F"/>
          <w:w w:val="355"/>
          <w:position w:val="1"/>
          <w:sz w:val="7"/>
        </w:rPr>
        <w:t>l </w:t>
      </w:r>
      <w:r>
        <w:rPr>
          <w:rFonts w:ascii="Calibri"/>
          <w:color w:val="231F1F"/>
          <w:w w:val="110"/>
        </w:rPr>
        <w:t>Macitentan: </w:t>
      </w:r>
      <w:r>
        <w:rPr>
          <w:color w:val="231F1F"/>
          <w:w w:val="110"/>
        </w:rPr>
        <w:t>rifampicin reduces plasma concentration</w:t>
      </w:r>
      <w:r>
        <w:rPr>
          <w:color w:val="231F1F"/>
          <w:spacing w:val="-17"/>
          <w:w w:val="110"/>
        </w:rPr>
        <w:t> </w:t>
      </w:r>
      <w:r>
        <w:rPr>
          <w:color w:val="231F1F"/>
          <w:w w:val="110"/>
        </w:rPr>
        <w:t>of</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0"/>
          <w:sz w:val="11"/>
        </w:rPr>
        <w:t>MACITENTAN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20" w:lineRule="auto" w:before="7"/>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Muscle Relaxants: </w:t>
      </w:r>
      <w:r>
        <w:rPr>
          <w:color w:val="231F1F"/>
          <w:w w:val="105"/>
        </w:rPr>
        <w:t>rifampicin possibly reduces plasma concentration of </w:t>
      </w:r>
      <w:r>
        <w:rPr>
          <w:rFonts w:ascii="Calibri" w:hAnsi="Calibri"/>
          <w:color w:val="008356"/>
          <w:w w:val="105"/>
          <w:sz w:val="11"/>
        </w:rPr>
        <w:t>TIZANIDINE</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Mycophenolate: </w:t>
      </w:r>
      <w:r>
        <w:rPr>
          <w:color w:val="231F1F"/>
          <w:w w:val="110"/>
        </w:rPr>
        <w:t>rifampicin reduces plasma concentration </w:t>
      </w:r>
      <w:r>
        <w:rPr>
          <w:color w:val="231F1F"/>
          <w:spacing w:val="-8"/>
          <w:w w:val="110"/>
        </w:rPr>
        <w:t>of </w:t>
      </w:r>
      <w:r>
        <w:rPr>
          <w:color w:val="231F1F"/>
          <w:w w:val="110"/>
        </w:rPr>
        <w:t>active metabolite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MYCOPHENOLATE</w:t>
      </w:r>
    </w:p>
    <w:p>
      <w:pPr>
        <w:pStyle w:val="BodyText"/>
        <w:spacing w:line="143" w:lineRule="exact"/>
        <w:ind w:left="186"/>
      </w:pPr>
      <w:r>
        <w:rPr>
          <w:rFonts w:ascii="Arial"/>
          <w:color w:val="231F1F"/>
          <w:w w:val="355"/>
          <w:position w:val="1"/>
          <w:sz w:val="7"/>
        </w:rPr>
        <w:t>l </w:t>
      </w:r>
      <w:r>
        <w:rPr>
          <w:rFonts w:ascii="Calibri"/>
          <w:color w:val="231F1F"/>
          <w:w w:val="110"/>
        </w:rPr>
        <w:t>Nintedanib: </w:t>
      </w:r>
      <w:r>
        <w:rPr>
          <w:color w:val="231F1F"/>
          <w:w w:val="110"/>
        </w:rPr>
        <w:t>rifampicin reduces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NINTEDANIB</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44" w:lineRule="auto"/>
        <w:ind w:left="286" w:right="581" w:hanging="100"/>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231F1F"/>
          <w:w w:val="110"/>
        </w:rPr>
        <w:t>Oestrogens:</w:t>
      </w:r>
      <w:r>
        <w:rPr>
          <w:rFonts w:ascii="Calibri" w:hAnsi="Calibri"/>
          <w:color w:val="231F1F"/>
          <w:spacing w:val="-8"/>
          <w:w w:val="110"/>
        </w:rPr>
        <w:t> </w:t>
      </w:r>
      <w:r>
        <w:rPr>
          <w:color w:val="231F1F"/>
          <w:w w:val="110"/>
        </w:rPr>
        <w:t>rifamycins</w:t>
      </w:r>
      <w:r>
        <w:rPr>
          <w:color w:val="231F1F"/>
          <w:spacing w:val="-13"/>
          <w:w w:val="110"/>
        </w:rPr>
        <w:t> </w:t>
      </w:r>
      <w:r>
        <w:rPr>
          <w:color w:val="231F1F"/>
          <w:w w:val="110"/>
        </w:rPr>
        <w:t>accelerate</w:t>
      </w:r>
      <w:r>
        <w:rPr>
          <w:color w:val="231F1F"/>
          <w:spacing w:val="-12"/>
          <w:w w:val="110"/>
        </w:rPr>
        <w:t> </w:t>
      </w:r>
      <w:r>
        <w:rPr>
          <w:color w:val="231F1F"/>
          <w:w w:val="110"/>
        </w:rPr>
        <w:t>metabolism</w:t>
      </w:r>
      <w:r>
        <w:rPr>
          <w:color w:val="231F1F"/>
          <w:spacing w:val="-12"/>
          <w:w w:val="110"/>
        </w:rPr>
        <w:t> </w:t>
      </w:r>
      <w:r>
        <w:rPr>
          <w:color w:val="231F1F"/>
          <w:w w:val="110"/>
        </w:rPr>
        <w:t>of</w:t>
      </w:r>
      <w:r>
        <w:rPr>
          <w:color w:val="231F1F"/>
          <w:spacing w:val="-12"/>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5"/>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146" w:lineRule="exact"/>
        <w:ind w:left="186"/>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Progestogens: </w:t>
      </w:r>
      <w:r>
        <w:rPr>
          <w:color w:val="231F1F"/>
          <w:w w:val="115"/>
        </w:rPr>
        <w:t>rifamycins accelerate metabolism of</w:t>
      </w:r>
    </w:p>
    <w:p>
      <w:pPr>
        <w:pStyle w:val="BodyText"/>
        <w:spacing w:line="247" w:lineRule="auto"/>
        <w:ind w:left="286" w:right="609" w:hanging="1"/>
      </w:pPr>
      <w:r>
        <w:rPr>
          <w:rFonts w:ascii="Arial" w:hAnsi="Arial"/>
          <w:color w:val="231F1F"/>
          <w:w w:val="230"/>
          <w:position w:val="1"/>
          <w:sz w:val="7"/>
        </w:rPr>
        <w:t>l</w:t>
      </w:r>
      <w:r>
        <w:rPr>
          <w:rFonts w:ascii="Arial" w:hAnsi="Arial"/>
          <w:color w:val="231F1F"/>
          <w:spacing w:val="-36"/>
          <w:w w:val="230"/>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4"/>
          <w:w w:val="115"/>
        </w:rPr>
        <w:t> </w:t>
      </w:r>
      <w:r>
        <w:rPr>
          <w:color w:val="231F1F"/>
          <w:w w:val="115"/>
        </w:rPr>
        <w:t>effect</w:t>
      </w:r>
      <w:r>
        <w:rPr>
          <w:color w:val="231F1F"/>
          <w:spacing w:val="-24"/>
          <w:w w:val="115"/>
        </w:rPr>
        <w:t> </w:t>
      </w:r>
      <w:r>
        <w:rPr>
          <w:color w:val="231F1F"/>
          <w:w w:val="115"/>
        </w:rPr>
        <w:t>with</w:t>
      </w:r>
      <w:r>
        <w:rPr>
          <w:color w:val="231F1F"/>
          <w:spacing w:val="-25"/>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145" w:lineRule="exact"/>
        <w:ind w:left="186"/>
      </w:pPr>
      <w:r>
        <w:rPr>
          <w:rFonts w:ascii="Arial"/>
          <w:color w:val="231F1F"/>
          <w:w w:val="355"/>
          <w:position w:val="1"/>
          <w:sz w:val="7"/>
        </w:rPr>
        <w:t>l </w:t>
      </w:r>
      <w:r>
        <w:rPr>
          <w:rFonts w:ascii="Calibri"/>
          <w:color w:val="231F1F"/>
          <w:w w:val="115"/>
        </w:rPr>
        <w:t>Ranolazine: </w:t>
      </w:r>
      <w:r>
        <w:rPr>
          <w:color w:val="231F1F"/>
          <w:w w:val="115"/>
        </w:rPr>
        <w:t>rifampicin reduces plasma concentration of</w:t>
      </w:r>
    </w:p>
    <w:p>
      <w:pPr>
        <w:pStyle w:val="BodyText"/>
        <w:ind w:left="286" w:right="805"/>
      </w:pP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advises avoid </w:t>
      </w:r>
      <w:r>
        <w:rPr>
          <w:color w:val="231F1F"/>
          <w:w w:val="120"/>
        </w:rPr>
        <w:t>concomitant use</w:t>
      </w:r>
    </w:p>
    <w:p>
      <w:pPr>
        <w:spacing w:line="146" w:lineRule="exact" w:before="0"/>
        <w:ind w:left="186" w:right="0" w:firstLine="0"/>
        <w:jc w:val="left"/>
        <w:rPr>
          <w:rFonts w:ascii="Calibri"/>
          <w:sz w:val="11"/>
        </w:rPr>
      </w:pPr>
      <w:r>
        <w:rPr>
          <w:rFonts w:ascii="Arial"/>
          <w:color w:val="231F1F"/>
          <w:w w:val="355"/>
          <w:position w:val="1"/>
          <w:sz w:val="7"/>
        </w:rPr>
        <w:t>l </w:t>
      </w:r>
      <w:r>
        <w:rPr>
          <w:rFonts w:ascii="Calibri"/>
          <w:color w:val="231F1F"/>
          <w:w w:val="110"/>
          <w:sz w:val="12"/>
        </w:rPr>
        <w:t>Roflumilast: </w:t>
      </w:r>
      <w:r>
        <w:rPr>
          <w:color w:val="231F1F"/>
          <w:w w:val="110"/>
          <w:sz w:val="12"/>
        </w:rPr>
        <w:t>rifampicin inhibits effects of </w:t>
      </w:r>
      <w:r>
        <w:rPr>
          <w:rFonts w:ascii="Arial"/>
          <w:color w:val="231F1F"/>
          <w:w w:val="355"/>
          <w:position w:val="1"/>
          <w:sz w:val="7"/>
        </w:rPr>
        <w:t>l </w:t>
      </w:r>
      <w:r>
        <w:rPr>
          <w:rFonts w:ascii="Calibri"/>
          <w:color w:val="008356"/>
          <w:w w:val="110"/>
          <w:sz w:val="11"/>
        </w:rPr>
        <w:t>ROFLUMILAST</w:t>
      </w:r>
    </w:p>
    <w:p>
      <w:pPr>
        <w:pStyle w:val="BodyText"/>
        <w:ind w:left="286"/>
      </w:pPr>
      <w:r>
        <w:rPr>
          <w:color w:val="231F1F"/>
          <w:w w:val="115"/>
        </w:rPr>
        <w:t>(manufacturer of roflumilast advises avoid concomitant use)</w:t>
      </w:r>
    </w:p>
    <w:p>
      <w:pPr>
        <w:pStyle w:val="BodyText"/>
        <w:spacing w:before="1"/>
        <w:ind w:left="286" w:right="1026" w:hanging="100"/>
      </w:pPr>
      <w:r>
        <w:rPr>
          <w:rFonts w:ascii="Arial" w:hAnsi="Arial"/>
          <w:color w:val="231F1F"/>
          <w:w w:val="355"/>
          <w:position w:val="1"/>
          <w:sz w:val="7"/>
        </w:rPr>
        <w:t>l </w:t>
      </w:r>
      <w:r>
        <w:rPr>
          <w:rFonts w:ascii="Calibri" w:hAnsi="Calibri"/>
          <w:color w:val="231F1F"/>
          <w:w w:val="115"/>
        </w:rPr>
        <w:t>Sirolimus: </w:t>
      </w:r>
      <w:r>
        <w:rPr>
          <w:color w:val="231F1F"/>
          <w:w w:val="115"/>
        </w:rPr>
        <w:t>rifabutin and rifampicin reduce plasma concentration</w:t>
      </w:r>
      <w:r>
        <w:rPr>
          <w:color w:val="231F1F"/>
          <w:spacing w:val="-23"/>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SIROLIMUS</w:t>
      </w:r>
      <w:r>
        <w:rPr>
          <w:rFonts w:ascii="Arial" w:hAnsi="Arial"/>
          <w:color w:val="231F1F"/>
          <w:spacing w:val="3"/>
          <w:w w:val="115"/>
        </w:rPr>
        <w:t>—</w:t>
      </w:r>
      <w:r>
        <w:rPr>
          <w:color w:val="231F1F"/>
          <w:spacing w:val="3"/>
          <w:w w:val="115"/>
        </w:rPr>
        <w:t>avoid</w:t>
      </w:r>
      <w:r>
        <w:rPr>
          <w:color w:val="231F1F"/>
          <w:spacing w:val="-22"/>
          <w:w w:val="115"/>
        </w:rPr>
        <w:t> </w:t>
      </w:r>
      <w:r>
        <w:rPr>
          <w:color w:val="231F1F"/>
          <w:w w:val="115"/>
        </w:rPr>
        <w:t>concomitant</w:t>
      </w:r>
      <w:r>
        <w:rPr>
          <w:color w:val="231F1F"/>
          <w:spacing w:val="-22"/>
          <w:w w:val="115"/>
        </w:rPr>
        <w:t> </w:t>
      </w:r>
      <w:r>
        <w:rPr>
          <w:color w:val="231F1F"/>
          <w:spacing w:val="-4"/>
          <w:w w:val="115"/>
        </w:rPr>
        <w:t>use</w:t>
      </w:r>
    </w:p>
    <w:p>
      <w:pPr>
        <w:spacing w:after="0"/>
        <w:sectPr>
          <w:pgSz w:w="8390" w:h="11910"/>
          <w:pgMar w:header="0" w:footer="0" w:top="460" w:bottom="0" w:left="480" w:right="0"/>
          <w:cols w:num="2" w:equalWidth="0">
            <w:col w:w="3635" w:space="41"/>
            <w:col w:w="4234"/>
          </w:cols>
        </w:sectPr>
      </w:pPr>
    </w:p>
    <w:p>
      <w:pPr>
        <w:pStyle w:val="BodyText"/>
        <w:spacing w:before="7"/>
        <w:ind w:left="0"/>
        <w:rPr>
          <w:sz w:val="14"/>
        </w:rPr>
      </w:pPr>
    </w:p>
    <w:p>
      <w:pPr>
        <w:pStyle w:val="BodyText"/>
        <w:spacing w:line="144" w:lineRule="exact"/>
        <w:ind w:left="108"/>
        <w:rPr>
          <w:rFonts w:ascii="Calibri"/>
        </w:rPr>
      </w:pPr>
      <w:r>
        <w:rPr>
          <w:rFonts w:ascii="Arial"/>
          <w:color w:val="008356"/>
        </w:rPr>
        <w:t>Rifamycins </w:t>
      </w:r>
      <w:r>
        <w:rPr>
          <w:rFonts w:ascii="Calibri"/>
          <w:color w:val="231F1F"/>
        </w:rPr>
        <w:t>(continued)</w:t>
      </w:r>
    </w:p>
    <w:p>
      <w:pPr>
        <w:pStyle w:val="BodyText"/>
        <w:spacing w:line="247" w:lineRule="auto"/>
        <w:ind w:right="172" w:hanging="100"/>
        <w:jc w:val="both"/>
        <w:rPr>
          <w:rFonts w:ascii="Calibri"/>
          <w:sz w:val="11"/>
        </w:rPr>
      </w:pPr>
      <w:r>
        <w:rPr>
          <w:rFonts w:ascii="Arial"/>
          <w:color w:val="231F1F"/>
          <w:w w:val="355"/>
          <w:position w:val="1"/>
          <w:sz w:val="7"/>
        </w:rPr>
        <w:t>l </w:t>
      </w:r>
      <w:r>
        <w:rPr>
          <w:rFonts w:ascii="Calibri"/>
          <w:color w:val="231F1F"/>
          <w:w w:val="110"/>
        </w:rPr>
        <w:t>Tacrolimus: </w:t>
      </w:r>
      <w:r>
        <w:rPr>
          <w:color w:val="231F1F"/>
          <w:w w:val="110"/>
        </w:rPr>
        <w:t>rifabutin possibly reduces plasma concentration of </w:t>
      </w:r>
      <w:r>
        <w:rPr>
          <w:rFonts w:ascii="Calibri"/>
          <w:color w:val="008356"/>
          <w:w w:val="110"/>
          <w:sz w:val="11"/>
        </w:rPr>
        <w:t>TACROLIMUS</w:t>
      </w:r>
      <w:r>
        <w:rPr>
          <w:color w:val="231F1F"/>
          <w:w w:val="110"/>
        </w:rPr>
        <w:t>; rifampicin reduces plasma concentration of </w:t>
      </w:r>
      <w:r>
        <w:rPr>
          <w:rFonts w:ascii="Arial"/>
          <w:color w:val="231F1F"/>
          <w:w w:val="355"/>
          <w:position w:val="1"/>
          <w:sz w:val="7"/>
        </w:rPr>
        <w:t>l </w:t>
      </w:r>
      <w:r>
        <w:rPr>
          <w:rFonts w:ascii="Calibri"/>
          <w:color w:val="008356"/>
          <w:w w:val="110"/>
          <w:sz w:val="11"/>
        </w:rPr>
        <w:t>TACROLIMUS</w:t>
      </w:r>
    </w:p>
    <w:p>
      <w:pPr>
        <w:pStyle w:val="BodyText"/>
        <w:spacing w:line="139" w:lineRule="exact"/>
        <w:ind w:left="108"/>
      </w:pPr>
      <w:r>
        <w:rPr>
          <w:rFonts w:ascii="Arial"/>
          <w:color w:val="231F1F"/>
          <w:w w:val="355"/>
          <w:position w:val="1"/>
          <w:sz w:val="7"/>
        </w:rPr>
        <w:t>l </w:t>
      </w:r>
      <w:r>
        <w:rPr>
          <w:rFonts w:ascii="Calibri"/>
          <w:color w:val="231F1F"/>
          <w:w w:val="120"/>
        </w:rPr>
        <w:t>Tadalafil: </w:t>
      </w:r>
      <w:r>
        <w:rPr>
          <w:color w:val="231F1F"/>
          <w:w w:val="120"/>
        </w:rPr>
        <w:t>rifampicin reduces plasma concentration of</w:t>
      </w:r>
    </w:p>
    <w:p>
      <w:pPr>
        <w:pStyle w:val="BodyText"/>
        <w:spacing w:line="244" w:lineRule="auto"/>
        <w:ind w:right="486"/>
      </w:pPr>
      <w:r>
        <w:rPr>
          <w:rFonts w:ascii="Arial" w:hAnsi="Arial"/>
          <w:color w:val="231F1F"/>
          <w:w w:val="115"/>
          <w:position w:val="1"/>
          <w:sz w:val="7"/>
        </w:rPr>
        <w:t>l </w:t>
      </w:r>
      <w:r>
        <w:rPr>
          <w:rFonts w:ascii="Calibri" w:hAnsi="Calibri"/>
          <w:color w:val="008356"/>
          <w:w w:val="115"/>
          <w:sz w:val="11"/>
        </w:rPr>
        <w:t>TADALAFIL</w:t>
      </w:r>
      <w:r>
        <w:rPr>
          <w:rFonts w:ascii="Arial" w:hAnsi="Arial"/>
          <w:color w:val="231F1F"/>
          <w:w w:val="115"/>
        </w:rPr>
        <w:t>—</w:t>
      </w:r>
      <w:r>
        <w:rPr>
          <w:color w:val="231F1F"/>
          <w:w w:val="115"/>
        </w:rPr>
        <w:t>manufacturer of tadalafil advises avoid </w:t>
      </w:r>
      <w:r>
        <w:rPr>
          <w:color w:val="231F1F"/>
          <w:w w:val="120"/>
        </w:rPr>
        <w:t>concomitant use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Teriflunomide: </w:t>
      </w:r>
      <w:r>
        <w:rPr>
          <w:color w:val="231F1F"/>
          <w:w w:val="105"/>
        </w:rPr>
        <w:t>rifampicin reduces plasma concentration of</w:t>
      </w:r>
    </w:p>
    <w:p>
      <w:pPr>
        <w:spacing w:line="130" w:lineRule="exact" w:before="0"/>
        <w:ind w:left="208" w:right="0" w:firstLine="0"/>
        <w:jc w:val="left"/>
        <w:rPr>
          <w:rFonts w:ascii="Calibri"/>
          <w:sz w:val="11"/>
        </w:rPr>
      </w:pPr>
      <w:r>
        <w:rPr>
          <w:rFonts w:ascii="Calibri"/>
          <w:color w:val="008356"/>
          <w:sz w:val="11"/>
        </w:rPr>
        <w:t>TERIFLUNOMIDE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Theophylline: </w:t>
      </w:r>
      <w:r>
        <w:rPr>
          <w:color w:val="231F1F"/>
          <w:w w:val="105"/>
        </w:rPr>
        <w:t>rifampicin accelerates metabolism of</w:t>
      </w:r>
    </w:p>
    <w:p>
      <w:pPr>
        <w:spacing w:line="134" w:lineRule="exact" w:before="0"/>
        <w:ind w:left="208" w:right="0" w:firstLine="0"/>
        <w:jc w:val="left"/>
        <w:rPr>
          <w:sz w:val="12"/>
        </w:rPr>
      </w:pPr>
      <w:r>
        <w:rPr>
          <w:rFonts w:ascii="Calibri"/>
          <w:color w:val="008356"/>
          <w:w w:val="115"/>
          <w:sz w:val="11"/>
        </w:rPr>
        <w:t>THEOPHYLLINE </w:t>
      </w:r>
      <w:r>
        <w:rPr>
          <w:color w:val="231F1F"/>
          <w:w w:val="115"/>
          <w:sz w:val="12"/>
        </w:rPr>
        <w:t>(reduced plasma concentration)</w:t>
      </w:r>
    </w:p>
    <w:p>
      <w:pPr>
        <w:pStyle w:val="BodyText"/>
        <w:spacing w:line="230" w:lineRule="auto"/>
        <w:ind w:right="121" w:hanging="100"/>
      </w:pPr>
      <w:r>
        <w:rPr>
          <w:rFonts w:ascii="Lucida Sans Unicode" w:hAnsi="Lucida Sans Unicode"/>
          <w:color w:val="A7A8AC"/>
          <w:w w:val="95"/>
          <w:sz w:val="10"/>
        </w:rPr>
        <w:t>▶ </w:t>
      </w:r>
      <w:r>
        <w:rPr>
          <w:rFonts w:ascii="Calibri" w:hAnsi="Calibri"/>
          <w:color w:val="231F1F"/>
          <w:w w:val="105"/>
        </w:rPr>
        <w:t>Thyroid Hormones: </w:t>
      </w:r>
      <w:r>
        <w:rPr>
          <w:color w:val="231F1F"/>
          <w:w w:val="105"/>
        </w:rPr>
        <w:t>rifampicin accelerates metabolism of </w:t>
      </w:r>
      <w:r>
        <w:rPr>
          <w:rFonts w:ascii="Calibri" w:hAnsi="Calibri"/>
          <w:color w:val="008356"/>
          <w:spacing w:val="4"/>
          <w:w w:val="105"/>
          <w:sz w:val="11"/>
        </w:rPr>
        <w:t>LEVOTHYROXINE </w:t>
      </w:r>
      <w:r>
        <w:rPr>
          <w:color w:val="231F1F"/>
          <w:w w:val="105"/>
        </w:rPr>
        <w:t>(may increase requirements for levothyroxine  in hypothyroidism)</w:t>
      </w:r>
    </w:p>
    <w:p>
      <w:pPr>
        <w:pStyle w:val="BodyText"/>
        <w:spacing w:line="152" w:lineRule="exact" w:before="3"/>
        <w:ind w:left="108"/>
        <w:rPr>
          <w:rFonts w:ascii="Calibri" w:hAnsi="Calibri"/>
          <w:sz w:val="11"/>
        </w:rPr>
      </w:pPr>
      <w:r>
        <w:rPr>
          <w:rFonts w:ascii="Lucida Sans Unicode" w:hAnsi="Lucida Sans Unicode"/>
          <w:color w:val="A7A8AC"/>
          <w:w w:val="95"/>
          <w:sz w:val="10"/>
        </w:rPr>
        <w:t>▶ </w:t>
      </w:r>
      <w:r>
        <w:rPr>
          <w:rFonts w:ascii="Calibri" w:hAnsi="Calibri"/>
          <w:color w:val="231F1F"/>
          <w:w w:val="105"/>
        </w:rPr>
        <w:t>Tibolone: </w:t>
      </w:r>
      <w:r>
        <w:rPr>
          <w:color w:val="231F1F"/>
          <w:w w:val="105"/>
        </w:rPr>
        <w:t>rifampicin accelerates metabolism of </w:t>
      </w:r>
      <w:r>
        <w:rPr>
          <w:rFonts w:ascii="Calibri" w:hAnsi="Calibri"/>
          <w:color w:val="008356"/>
          <w:w w:val="105"/>
          <w:sz w:val="11"/>
        </w:rPr>
        <w:t>TIBOLONE</w:t>
      </w:r>
    </w:p>
    <w:p>
      <w:pPr>
        <w:pStyle w:val="BodyText"/>
        <w:spacing w:line="132" w:lineRule="exact"/>
      </w:pPr>
      <w:r>
        <w:rPr>
          <w:color w:val="231F1F"/>
          <w:w w:val="115"/>
        </w:rPr>
        <w:t>(reduced plasma concentration)</w:t>
      </w:r>
    </w:p>
    <w:p>
      <w:pPr>
        <w:pStyle w:val="BodyText"/>
        <w:ind w:left="108"/>
      </w:pPr>
      <w:r>
        <w:rPr>
          <w:rFonts w:ascii="Arial"/>
          <w:color w:val="231F1F"/>
          <w:w w:val="355"/>
          <w:position w:val="1"/>
          <w:sz w:val="7"/>
        </w:rPr>
        <w:t>l </w:t>
      </w:r>
      <w:r>
        <w:rPr>
          <w:rFonts w:ascii="Calibri"/>
          <w:color w:val="231F1F"/>
          <w:w w:val="115"/>
        </w:rPr>
        <w:t>Ticagrelor: </w:t>
      </w:r>
      <w:r>
        <w:rPr>
          <w:color w:val="231F1F"/>
          <w:w w:val="115"/>
        </w:rPr>
        <w:t>rifampicin reduces plasma concentration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15"/>
          <w:sz w:val="11"/>
        </w:rPr>
        <w:t>TICAGRELOR</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Tolvaptan: </w:t>
      </w:r>
      <w:r>
        <w:rPr>
          <w:color w:val="231F1F"/>
          <w:w w:val="105"/>
        </w:rPr>
        <w:t>rifampicin reduces plasma concentration of</w:t>
      </w:r>
    </w:p>
    <w:p>
      <w:pPr>
        <w:spacing w:line="130" w:lineRule="exact" w:before="0"/>
        <w:ind w:left="208" w:right="0" w:firstLine="0"/>
        <w:jc w:val="left"/>
        <w:rPr>
          <w:rFonts w:ascii="Calibri"/>
          <w:sz w:val="11"/>
        </w:rPr>
      </w:pPr>
      <w:r>
        <w:rPr>
          <w:rFonts w:ascii="Calibri"/>
          <w:color w:val="008356"/>
          <w:sz w:val="11"/>
        </w:rPr>
        <w:t>TOLVAPTAN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Ulcer-healing Drugs: </w:t>
      </w:r>
      <w:r>
        <w:rPr>
          <w:color w:val="231F1F"/>
          <w:w w:val="105"/>
        </w:rPr>
        <w:t>rifampicin accelerates metabolism of</w:t>
      </w:r>
    </w:p>
    <w:p>
      <w:pPr>
        <w:spacing w:line="134" w:lineRule="exact" w:before="0"/>
        <w:ind w:left="208" w:right="0" w:firstLine="0"/>
        <w:jc w:val="left"/>
        <w:rPr>
          <w:sz w:val="12"/>
        </w:rPr>
      </w:pPr>
      <w:r>
        <w:rPr>
          <w:rFonts w:ascii="Calibri"/>
          <w:color w:val="008356"/>
          <w:w w:val="110"/>
          <w:sz w:val="11"/>
        </w:rPr>
        <w:t>CIMETIDINE </w:t>
      </w:r>
      <w:r>
        <w:rPr>
          <w:color w:val="231F1F"/>
          <w:w w:val="110"/>
          <w:sz w:val="12"/>
        </w:rPr>
        <w:t>(reduced plasma concentration)</w:t>
      </w:r>
    </w:p>
    <w:p>
      <w:pPr>
        <w:pStyle w:val="BodyText"/>
        <w:ind w:right="78" w:hanging="100"/>
      </w:pPr>
      <w:r>
        <w:rPr>
          <w:rFonts w:ascii="Arial"/>
          <w:color w:val="231F1F"/>
          <w:w w:val="115"/>
          <w:position w:val="1"/>
          <w:sz w:val="7"/>
        </w:rPr>
        <w:t>l</w:t>
      </w:r>
      <w:r>
        <w:rPr>
          <w:rFonts w:ascii="Arial"/>
          <w:color w:val="231F1F"/>
          <w:spacing w:val="8"/>
          <w:w w:val="115"/>
          <w:position w:val="1"/>
          <w:sz w:val="7"/>
        </w:rPr>
        <w:t> </w:t>
      </w:r>
      <w:r>
        <w:rPr>
          <w:rFonts w:ascii="Calibri"/>
          <w:color w:val="231F1F"/>
          <w:w w:val="115"/>
        </w:rPr>
        <w:t>Ulipristal:</w:t>
      </w:r>
      <w:r>
        <w:rPr>
          <w:rFonts w:ascii="Calibri"/>
          <w:color w:val="231F1F"/>
          <w:spacing w:val="-8"/>
          <w:w w:val="115"/>
        </w:rPr>
        <w:t> </w:t>
      </w:r>
      <w:r>
        <w:rPr>
          <w:color w:val="231F1F"/>
          <w:w w:val="115"/>
        </w:rPr>
        <w:t>avoidance</w:t>
      </w:r>
      <w:r>
        <w:rPr>
          <w:color w:val="231F1F"/>
          <w:spacing w:val="-11"/>
          <w:w w:val="115"/>
        </w:rPr>
        <w:t> </w:t>
      </w:r>
      <w:r>
        <w:rPr>
          <w:color w:val="231F1F"/>
          <w:w w:val="115"/>
        </w:rPr>
        <w:t>of</w:t>
      </w:r>
      <w:r>
        <w:rPr>
          <w:color w:val="231F1F"/>
          <w:spacing w:val="-10"/>
          <w:w w:val="115"/>
        </w:rPr>
        <w:t> </w:t>
      </w:r>
      <w:r>
        <w:rPr>
          <w:color w:val="231F1F"/>
          <w:w w:val="115"/>
        </w:rPr>
        <w:t>rifampicin</w:t>
      </w:r>
      <w:r>
        <w:rPr>
          <w:color w:val="231F1F"/>
          <w:spacing w:val="-11"/>
          <w:w w:val="115"/>
        </w:rPr>
        <w:t> </w:t>
      </w:r>
      <w:r>
        <w:rPr>
          <w:color w:val="231F1F"/>
          <w:w w:val="115"/>
        </w:rPr>
        <w:t>advised</w:t>
      </w:r>
      <w:r>
        <w:rPr>
          <w:color w:val="231F1F"/>
          <w:spacing w:val="-11"/>
          <w:w w:val="115"/>
        </w:rPr>
        <w:t> </w:t>
      </w:r>
      <w:r>
        <w:rPr>
          <w:color w:val="231F1F"/>
          <w:w w:val="115"/>
        </w:rPr>
        <w:t>by</w:t>
      </w:r>
      <w:r>
        <w:rPr>
          <w:color w:val="231F1F"/>
          <w:spacing w:val="-10"/>
          <w:w w:val="115"/>
        </w:rPr>
        <w:t> </w:t>
      </w:r>
      <w:r>
        <w:rPr>
          <w:color w:val="231F1F"/>
          <w:w w:val="115"/>
        </w:rPr>
        <w:t>manufacturer</w:t>
      </w:r>
      <w:r>
        <w:rPr>
          <w:color w:val="231F1F"/>
          <w:spacing w:val="-12"/>
          <w:w w:val="115"/>
        </w:rPr>
        <w:t> </w:t>
      </w:r>
      <w:r>
        <w:rPr>
          <w:color w:val="231F1F"/>
          <w:spacing w:val="-8"/>
          <w:w w:val="115"/>
        </w:rPr>
        <w:t>of </w:t>
      </w:r>
      <w:r>
        <w:rPr>
          <w:rFonts w:ascii="Arial"/>
          <w:color w:val="231F1F"/>
          <w:w w:val="355"/>
          <w:position w:val="1"/>
          <w:sz w:val="7"/>
        </w:rPr>
        <w:t>l </w:t>
      </w:r>
      <w:r>
        <w:rPr>
          <w:rFonts w:ascii="Calibri"/>
          <w:color w:val="008356"/>
          <w:spacing w:val="3"/>
          <w:w w:val="120"/>
          <w:sz w:val="11"/>
        </w:rPr>
        <w:t>ULIPRISTAL </w:t>
      </w:r>
      <w:r>
        <w:rPr>
          <w:color w:val="231F1F"/>
          <w:w w:val="120"/>
        </w:rPr>
        <w:t>(contraceptive effect of ulipristal possibly reduced)</w:t>
      </w:r>
    </w:p>
    <w:p>
      <w:pPr>
        <w:spacing w:line="220" w:lineRule="auto" w:before="10"/>
        <w:ind w:left="208" w:right="113" w:hanging="100"/>
        <w:jc w:val="both"/>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08"/>
        <w:rPr>
          <w:rFonts w:ascii="Trebuchet MS"/>
        </w:rPr>
      </w:pPr>
      <w:r>
        <w:rPr>
          <w:rFonts w:ascii="Trebuchet MS"/>
          <w:color w:val="008356"/>
          <w:w w:val="105"/>
        </w:rPr>
        <w:t>Rilpivirine</w:t>
      </w:r>
    </w:p>
    <w:p>
      <w:pPr>
        <w:pStyle w:val="BodyText"/>
        <w:spacing w:line="220" w:lineRule="auto" w:before="10"/>
        <w:ind w:right="175"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rilpivirine possibly  reduces plasma  </w:t>
      </w:r>
      <w:r>
        <w:rPr>
          <w:color w:val="231F1F"/>
          <w:spacing w:val="-2"/>
          <w:w w:val="105"/>
        </w:rPr>
        <w:t>concentration  </w:t>
      </w:r>
      <w:r>
        <w:rPr>
          <w:color w:val="231F1F"/>
          <w:w w:val="105"/>
        </w:rPr>
        <w:t>of</w:t>
      </w:r>
      <w:r>
        <w:rPr>
          <w:color w:val="231F1F"/>
          <w:spacing w:val="-2"/>
          <w:w w:val="105"/>
        </w:rPr>
        <w:t> </w:t>
      </w:r>
      <w:r>
        <w:rPr>
          <w:rFonts w:ascii="Calibri" w:hAnsi="Calibri"/>
          <w:color w:val="008356"/>
          <w:spacing w:val="5"/>
          <w:w w:val="105"/>
          <w:sz w:val="11"/>
        </w:rPr>
        <w:t>METHADONE</w:t>
      </w:r>
    </w:p>
    <w:p>
      <w:pPr>
        <w:pStyle w:val="BodyText"/>
        <w:spacing w:line="220" w:lineRule="auto" w:before="8"/>
        <w:ind w:hanging="100"/>
      </w:pPr>
      <w:r>
        <w:rPr>
          <w:rFonts w:ascii="Lucida Sans Unicode" w:hAnsi="Lucida Sans Unicode"/>
          <w:color w:val="A7A8AC"/>
          <w:w w:val="95"/>
          <w:sz w:val="10"/>
        </w:rPr>
        <w:t>▶ </w:t>
      </w:r>
      <w:r>
        <w:rPr>
          <w:rFonts w:ascii="Calibri" w:hAnsi="Calibri"/>
          <w:color w:val="231F1F"/>
          <w:w w:val="110"/>
        </w:rPr>
        <w:t>Antacids: </w:t>
      </w:r>
      <w:r>
        <w:rPr>
          <w:color w:val="231F1F"/>
          <w:w w:val="110"/>
        </w:rPr>
        <w:t>manufacturer of rilpivirine advises give </w:t>
      </w:r>
      <w:r>
        <w:rPr>
          <w:rFonts w:ascii="Calibri" w:hAnsi="Calibri"/>
          <w:color w:val="008356"/>
          <w:w w:val="110"/>
          <w:sz w:val="11"/>
        </w:rPr>
        <w:t>ANTACIDS </w:t>
      </w:r>
      <w:r>
        <w:rPr>
          <w:color w:val="231F1F"/>
          <w:w w:val="110"/>
        </w:rPr>
        <w:t>2 hours before or 4 hours after rilpivirine</w:t>
      </w:r>
    </w:p>
    <w:p>
      <w:pPr>
        <w:pStyle w:val="BodyText"/>
        <w:spacing w:line="244" w:lineRule="auto" w:before="4"/>
        <w:ind w:right="88" w:hanging="100"/>
      </w:pPr>
      <w:r>
        <w:rPr>
          <w:rFonts w:ascii="Arial" w:hAnsi="Arial"/>
          <w:color w:val="231F1F"/>
          <w:w w:val="355"/>
          <w:position w:val="1"/>
          <w:sz w:val="7"/>
        </w:rPr>
        <w:t>l </w:t>
      </w:r>
      <w:r>
        <w:rPr>
          <w:rFonts w:ascii="Calibri" w:hAnsi="Calibri"/>
          <w:color w:val="231F1F"/>
          <w:w w:val="110"/>
        </w:rPr>
        <w:t>Antibacterials: </w:t>
      </w:r>
      <w:r>
        <w:rPr>
          <w:color w:val="231F1F"/>
          <w:w w:val="110"/>
        </w:rPr>
        <w:t>manufacturer of rilpivirine advises avoid concomitant</w:t>
      </w:r>
      <w:r>
        <w:rPr>
          <w:color w:val="231F1F"/>
          <w:spacing w:val="-17"/>
          <w:w w:val="110"/>
        </w:rPr>
        <w:t> </w:t>
      </w:r>
      <w:r>
        <w:rPr>
          <w:color w:val="231F1F"/>
          <w:w w:val="110"/>
        </w:rPr>
        <w:t>use</w:t>
      </w:r>
      <w:r>
        <w:rPr>
          <w:color w:val="231F1F"/>
          <w:spacing w:val="-15"/>
          <w:w w:val="110"/>
        </w:rPr>
        <w:t> </w:t>
      </w:r>
      <w:r>
        <w:rPr>
          <w:color w:val="231F1F"/>
          <w:w w:val="110"/>
        </w:rPr>
        <w:t>with</w:t>
      </w:r>
      <w:r>
        <w:rPr>
          <w:color w:val="231F1F"/>
          <w:spacing w:val="-16"/>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CLARITHROMYCIN</w:t>
      </w:r>
      <w:r>
        <w:rPr>
          <w:rFonts w:ascii="Calibri" w:hAnsi="Calibri"/>
          <w:color w:val="008356"/>
          <w:spacing w:val="-7"/>
          <w:w w:val="110"/>
          <w:sz w:val="11"/>
        </w:rPr>
        <w:t> </w:t>
      </w:r>
      <w:r>
        <w:rPr>
          <w:color w:val="231F1F"/>
          <w:w w:val="110"/>
        </w:rPr>
        <w:t>and</w:t>
      </w:r>
      <w:r>
        <w:rPr>
          <w:color w:val="231F1F"/>
          <w:spacing w:val="-15"/>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0"/>
          <w:sz w:val="11"/>
        </w:rPr>
        <w:t>ERYTHROMYCIN </w:t>
      </w:r>
      <w:r>
        <w:rPr>
          <w:color w:val="231F1F"/>
          <w:w w:val="110"/>
        </w:rPr>
        <w:t>(plasma concentration of rilpivirine possibly increased); plasma concentration of rilpivirine decreased by </w:t>
      </w:r>
      <w:r>
        <w:rPr>
          <w:rFonts w:ascii="Arial" w:hAnsi="Arial"/>
          <w:color w:val="231F1F"/>
          <w:w w:val="355"/>
          <w:position w:val="1"/>
          <w:sz w:val="7"/>
        </w:rPr>
        <w:t>l </w:t>
      </w:r>
      <w:r>
        <w:rPr>
          <w:rFonts w:ascii="Calibri" w:hAnsi="Calibri"/>
          <w:color w:val="008356"/>
          <w:spacing w:val="4"/>
          <w:w w:val="110"/>
          <w:sz w:val="11"/>
        </w:rPr>
        <w:t>RIFABUTIN </w:t>
      </w:r>
      <w:r>
        <w:rPr>
          <w:color w:val="231F1F"/>
          <w:w w:val="110"/>
        </w:rPr>
        <w:t>(increase dose of rilpivirine</w:t>
      </w:r>
      <w:r>
        <w:rPr>
          <w:rFonts w:ascii="Arial" w:hAnsi="Arial"/>
          <w:color w:val="231F1F"/>
          <w:w w:val="110"/>
        </w:rPr>
        <w:t>—</w:t>
      </w:r>
      <w:r>
        <w:rPr>
          <w:color w:val="231F1F"/>
          <w:w w:val="110"/>
        </w:rPr>
        <w:t>consult rilpivirine product literature); plasma concentration of rilpivirine reduced</w:t>
      </w:r>
      <w:r>
        <w:rPr>
          <w:color w:val="231F1F"/>
          <w:spacing w:val="16"/>
          <w:w w:val="110"/>
        </w:rPr>
        <w:t> </w:t>
      </w:r>
      <w:r>
        <w:rPr>
          <w:color w:val="231F1F"/>
          <w:w w:val="110"/>
        </w:rPr>
        <w:t>by</w:t>
      </w:r>
    </w:p>
    <w:p>
      <w:pPr>
        <w:spacing w:line="141" w:lineRule="exact" w:before="2"/>
        <w:ind w:left="208"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RIFAMPICIN</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7"/>
        <w:ind w:right="12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rilpivirine possibly increases plasma concentration of </w:t>
      </w:r>
      <w:r>
        <w:rPr>
          <w:rFonts w:ascii="Calibri" w:hAnsi="Calibri"/>
          <w:color w:val="008356"/>
          <w:w w:val="105"/>
          <w:sz w:val="11"/>
        </w:rPr>
        <w:t>DABIGATRAN</w:t>
      </w:r>
    </w:p>
    <w:p>
      <w:pPr>
        <w:pStyle w:val="BodyText"/>
        <w:ind w:hanging="100"/>
      </w:pPr>
      <w:r>
        <w:rPr>
          <w:rFonts w:ascii="Arial" w:hAnsi="Arial"/>
          <w:color w:val="231F1F"/>
          <w:w w:val="355"/>
          <w:position w:val="1"/>
          <w:sz w:val="7"/>
        </w:rPr>
        <w:t>l </w:t>
      </w:r>
      <w:r>
        <w:rPr>
          <w:rFonts w:ascii="Calibri" w:hAnsi="Calibri"/>
          <w:color w:val="231F1F"/>
          <w:w w:val="110"/>
        </w:rPr>
        <w:t>Antidepressants: </w:t>
      </w:r>
      <w:r>
        <w:rPr>
          <w:color w:val="231F1F"/>
          <w:w w:val="110"/>
        </w:rPr>
        <w:t>manufacturer of rilpivirine advises avoid concomitant use with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spacing w:val="3"/>
          <w:w w:val="110"/>
          <w:sz w:val="11"/>
        </w:rPr>
        <w:t>WORT </w:t>
      </w:r>
      <w:r>
        <w:rPr>
          <w:color w:val="231F1F"/>
          <w:w w:val="110"/>
        </w:rPr>
        <w:t>(plasma concentration of rilpivirine possibly reduced)</w:t>
      </w:r>
    </w:p>
    <w:p>
      <w:pPr>
        <w:spacing w:line="240" w:lineRule="auto" w:before="2"/>
        <w:ind w:left="208" w:right="301"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manufacturer of rilpivirine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OXCARBAZEPINE</w:t>
      </w:r>
      <w:r>
        <w:rPr>
          <w:color w:val="231F1F"/>
          <w:spacing w:val="4"/>
          <w:w w:val="110"/>
          <w:sz w:val="12"/>
        </w:rPr>
        <w:t>,</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PHENOBARBITAL</w:t>
      </w:r>
      <w:r>
        <w:rPr>
          <w:color w:val="231F1F"/>
          <w:spacing w:val="4"/>
          <w:w w:val="110"/>
          <w:sz w:val="12"/>
        </w:rPr>
        <w:t>,</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PHENYTOIN</w:t>
      </w:r>
      <w:r>
        <w:rPr>
          <w:rFonts w:ascii="Calibri"/>
          <w:color w:val="008356"/>
          <w:spacing w:val="-5"/>
          <w:w w:val="110"/>
          <w:sz w:val="11"/>
        </w:rPr>
        <w:t> </w:t>
      </w:r>
      <w:r>
        <w:rPr>
          <w:color w:val="231F1F"/>
          <w:w w:val="110"/>
          <w:sz w:val="12"/>
        </w:rPr>
        <w:t>and</w:t>
      </w:r>
    </w:p>
    <w:p>
      <w:pPr>
        <w:pStyle w:val="BodyText"/>
        <w:spacing w:line="244" w:lineRule="auto" w:before="3"/>
        <w:ind w:right="287"/>
      </w:pP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PRIMIDONE</w:t>
      </w:r>
      <w:r>
        <w:rPr>
          <w:rFonts w:ascii="Calibri"/>
          <w:color w:val="008356"/>
          <w:spacing w:val="-15"/>
          <w:w w:val="115"/>
          <w:sz w:val="11"/>
        </w:rPr>
        <w:t> </w:t>
      </w:r>
      <w:r>
        <w:rPr>
          <w:color w:val="231F1F"/>
          <w:w w:val="115"/>
        </w:rPr>
        <w:t>(plasma</w:t>
      </w:r>
      <w:r>
        <w:rPr>
          <w:color w:val="231F1F"/>
          <w:spacing w:val="-23"/>
          <w:w w:val="115"/>
        </w:rPr>
        <w:t> </w:t>
      </w:r>
      <w:r>
        <w:rPr>
          <w:color w:val="231F1F"/>
          <w:w w:val="115"/>
        </w:rPr>
        <w:t>concentration</w:t>
      </w:r>
      <w:r>
        <w:rPr>
          <w:color w:val="231F1F"/>
          <w:spacing w:val="-23"/>
          <w:w w:val="115"/>
        </w:rPr>
        <w:t> </w:t>
      </w:r>
      <w:r>
        <w:rPr>
          <w:color w:val="231F1F"/>
          <w:w w:val="115"/>
        </w:rPr>
        <w:t>of</w:t>
      </w:r>
      <w:r>
        <w:rPr>
          <w:color w:val="231F1F"/>
          <w:spacing w:val="-23"/>
          <w:w w:val="115"/>
        </w:rPr>
        <w:t> </w:t>
      </w:r>
      <w:r>
        <w:rPr>
          <w:color w:val="231F1F"/>
          <w:w w:val="115"/>
        </w:rPr>
        <w:t>rilpivirine</w:t>
      </w:r>
      <w:r>
        <w:rPr>
          <w:color w:val="231F1F"/>
          <w:spacing w:val="-23"/>
          <w:w w:val="115"/>
        </w:rPr>
        <w:t> </w:t>
      </w:r>
      <w:r>
        <w:rPr>
          <w:color w:val="231F1F"/>
          <w:w w:val="115"/>
        </w:rPr>
        <w:t>possibly reduced)</w:t>
      </w:r>
    </w:p>
    <w:p>
      <w:pPr>
        <w:pStyle w:val="BodyText"/>
        <w:spacing w:line="235" w:lineRule="auto"/>
        <w:ind w:right="3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manufacturer of rilpivirine advises give </w:t>
      </w:r>
      <w:r>
        <w:rPr>
          <w:rFonts w:ascii="Calibri" w:hAnsi="Calibri"/>
          <w:color w:val="008356"/>
          <w:w w:val="110"/>
          <w:sz w:val="11"/>
        </w:rPr>
        <w:t>DIDANOSINE </w:t>
      </w:r>
      <w:r>
        <w:rPr>
          <w:color w:val="231F1F"/>
          <w:w w:val="110"/>
        </w:rPr>
        <w:t>2 hours before or 4 hours after rilpivirine; avoidance of rilpivirine advised by manufacturer of </w:t>
      </w:r>
      <w:r>
        <w:rPr>
          <w:rFonts w:ascii="Calibri" w:hAnsi="Calibri"/>
          <w:color w:val="008356"/>
          <w:w w:val="110"/>
          <w:sz w:val="11"/>
        </w:rPr>
        <w:t>NEVIRAPINE</w:t>
      </w:r>
    </w:p>
    <w:p>
      <w:pPr>
        <w:pStyle w:val="BodyText"/>
        <w:spacing w:line="220" w:lineRule="auto" w:before="6"/>
        <w:ind w:right="14" w:hanging="100"/>
      </w:pPr>
      <w:r>
        <w:rPr>
          <w:rFonts w:ascii="Lucida Sans Unicode" w:hAnsi="Lucida Sans Unicode"/>
          <w:color w:val="A7A8AC"/>
          <w:w w:val="95"/>
          <w:sz w:val="10"/>
        </w:rPr>
        <w:t>▶ </w:t>
      </w:r>
      <w:r>
        <w:rPr>
          <w:rFonts w:ascii="Calibri" w:hAnsi="Calibri"/>
          <w:color w:val="231F1F"/>
          <w:w w:val="110"/>
        </w:rPr>
        <w:t>Calcium Salts: </w:t>
      </w:r>
      <w:r>
        <w:rPr>
          <w:color w:val="231F1F"/>
          <w:w w:val="110"/>
        </w:rPr>
        <w:t>manufacturer of rilpivirine advises give </w:t>
      </w:r>
      <w:r>
        <w:rPr>
          <w:rFonts w:ascii="Calibri" w:hAnsi="Calibri"/>
          <w:color w:val="008356"/>
          <w:w w:val="110"/>
          <w:sz w:val="11"/>
        </w:rPr>
        <w:t>CALCIUM SALTS </w:t>
      </w:r>
      <w:r>
        <w:rPr>
          <w:color w:val="231F1F"/>
          <w:w w:val="110"/>
        </w:rPr>
        <w:t>2 hours before or 4 hours after rilpivirine</w:t>
      </w:r>
    </w:p>
    <w:p>
      <w:pPr>
        <w:pStyle w:val="BodyText"/>
        <w:ind w:right="137" w:hanging="100"/>
      </w:pPr>
      <w:r>
        <w:rPr>
          <w:rFonts w:ascii="Arial"/>
          <w:color w:val="231F1F"/>
          <w:w w:val="355"/>
          <w:position w:val="1"/>
          <w:sz w:val="7"/>
        </w:rPr>
        <w:t>l </w:t>
      </w:r>
      <w:r>
        <w:rPr>
          <w:rFonts w:ascii="Calibri"/>
          <w:color w:val="231F1F"/>
          <w:w w:val="110"/>
        </w:rPr>
        <w:t>Corticosteroids: </w:t>
      </w:r>
      <w:r>
        <w:rPr>
          <w:color w:val="231F1F"/>
          <w:w w:val="110"/>
        </w:rPr>
        <w:t>manufacturer of rilpivirine advises avoid concomitant use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DEXAMETHASONE </w:t>
      </w:r>
      <w:r>
        <w:rPr>
          <w:color w:val="231F1F"/>
          <w:w w:val="110"/>
        </w:rPr>
        <w:t>(except when </w:t>
      </w:r>
      <w:r>
        <w:rPr>
          <w:color w:val="231F1F"/>
          <w:spacing w:val="-3"/>
          <w:w w:val="110"/>
        </w:rPr>
        <w:t>given </w:t>
      </w:r>
      <w:r>
        <w:rPr>
          <w:color w:val="231F1F"/>
          <w:w w:val="110"/>
        </w:rPr>
        <w:t>as a single dose)</w:t>
      </w:r>
    </w:p>
    <w:p>
      <w:pPr>
        <w:pStyle w:val="BodyText"/>
        <w:spacing w:before="2"/>
        <w:ind w:left="108"/>
      </w:pPr>
      <w:r>
        <w:rPr>
          <w:rFonts w:ascii="Arial"/>
          <w:color w:val="231F1F"/>
          <w:w w:val="355"/>
          <w:position w:val="1"/>
          <w:sz w:val="7"/>
        </w:rPr>
        <w:t>l </w:t>
      </w:r>
      <w:r>
        <w:rPr>
          <w:rFonts w:ascii="Calibri"/>
          <w:color w:val="231F1F"/>
          <w:w w:val="115"/>
        </w:rPr>
        <w:t>Orlistat: </w:t>
      </w:r>
      <w:r>
        <w:rPr>
          <w:color w:val="231F1F"/>
          <w:w w:val="115"/>
        </w:rPr>
        <w:t>absorption of rilpivirine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spacing w:line="242" w:lineRule="auto" w:before="0"/>
        <w:ind w:left="208" w:right="32" w:hanging="100"/>
        <w:jc w:val="left"/>
        <w:rPr>
          <w:sz w:val="12"/>
        </w:rPr>
      </w:pPr>
      <w:r>
        <w:rPr>
          <w:rFonts w:ascii="Arial" w:hAnsi="Arial"/>
          <w:color w:val="231F1F"/>
          <w:w w:val="355"/>
          <w:position w:val="1"/>
          <w:sz w:val="7"/>
        </w:rPr>
        <w:t>l </w:t>
      </w:r>
      <w:r>
        <w:rPr>
          <w:rFonts w:ascii="Calibri" w:hAnsi="Calibri"/>
          <w:color w:val="231F1F"/>
          <w:w w:val="110"/>
          <w:sz w:val="12"/>
        </w:rPr>
        <w:t>Ulcer-healing Drugs: </w:t>
      </w:r>
      <w:r>
        <w:rPr>
          <w:color w:val="231F1F"/>
          <w:w w:val="110"/>
          <w:sz w:val="12"/>
        </w:rPr>
        <w:t>manufacturer of rilpivirine advises avoid concomitant use with </w:t>
      </w:r>
      <w:r>
        <w:rPr>
          <w:rFonts w:ascii="Calibri" w:hAnsi="Calibri"/>
          <w:color w:val="008356"/>
          <w:w w:val="110"/>
          <w:sz w:val="11"/>
        </w:rPr>
        <w:t>ESOMEPRAZOLE</w:t>
      </w:r>
      <w:r>
        <w:rPr>
          <w:color w:val="231F1F"/>
          <w:w w:val="110"/>
          <w:sz w:val="12"/>
        </w:rPr>
        <w:t>, </w:t>
      </w:r>
      <w:r>
        <w:rPr>
          <w:rFonts w:ascii="Calibri" w:hAnsi="Calibri"/>
          <w:color w:val="008356"/>
          <w:w w:val="110"/>
          <w:sz w:val="11"/>
        </w:rPr>
        <w:t>LANSOPRAZOLE</w:t>
      </w:r>
      <w:r>
        <w:rPr>
          <w:color w:val="231F1F"/>
          <w:w w:val="110"/>
          <w:sz w:val="12"/>
        </w:rPr>
        <w:t>, </w:t>
      </w:r>
      <w:r>
        <w:rPr>
          <w:rFonts w:ascii="Calibri" w:hAnsi="Calibri"/>
          <w:color w:val="008356"/>
          <w:w w:val="110"/>
          <w:sz w:val="11"/>
        </w:rPr>
        <w:t>PANTOPRAZOLE </w:t>
      </w:r>
      <w:r>
        <w:rPr>
          <w:color w:val="231F1F"/>
          <w:w w:val="110"/>
          <w:sz w:val="12"/>
        </w:rPr>
        <w:t>and </w:t>
      </w:r>
      <w:r>
        <w:rPr>
          <w:rFonts w:ascii="Calibri" w:hAnsi="Calibri"/>
          <w:color w:val="008356"/>
          <w:w w:val="110"/>
          <w:sz w:val="11"/>
        </w:rPr>
        <w:t>RABEPRAZOLE </w:t>
      </w:r>
      <w:r>
        <w:rPr>
          <w:color w:val="231F1F"/>
          <w:w w:val="110"/>
          <w:sz w:val="12"/>
        </w:rPr>
        <w:t>(plasma concentration of rilpivirine possibly reduced); plasma concentration of rilpivirine reduced by </w:t>
      </w:r>
      <w:r>
        <w:rPr>
          <w:rFonts w:ascii="Arial" w:hAnsi="Arial"/>
          <w:color w:val="231F1F"/>
          <w:w w:val="355"/>
          <w:position w:val="1"/>
          <w:sz w:val="7"/>
        </w:rPr>
        <w:t>l </w:t>
      </w:r>
      <w:r>
        <w:rPr>
          <w:rFonts w:ascii="Calibri" w:hAnsi="Calibri"/>
          <w:color w:val="008356"/>
          <w:w w:val="110"/>
          <w:sz w:val="11"/>
        </w:rPr>
        <w:t>OMEPRAZOLE</w:t>
      </w:r>
      <w:r>
        <w:rPr>
          <w:rFonts w:ascii="Arial" w:hAnsi="Arial"/>
          <w:color w:val="231F1F"/>
          <w:w w:val="110"/>
          <w:sz w:val="12"/>
        </w:rPr>
        <w:t>—</w:t>
      </w:r>
      <w:r>
        <w:rPr>
          <w:color w:val="231F1F"/>
          <w:w w:val="110"/>
          <w:sz w:val="12"/>
        </w:rPr>
        <w:t>avoid concomitant use;</w:t>
      </w:r>
    </w:p>
    <w:p>
      <w:pPr>
        <w:pStyle w:val="BodyText"/>
        <w:spacing w:line="228" w:lineRule="auto" w:before="6"/>
        <w:ind w:right="83" w:hanging="1"/>
      </w:pPr>
      <w:r>
        <w:rPr>
          <w:color w:val="231F1F"/>
          <w:w w:val="110"/>
          <w:position w:val="2"/>
        </w:rPr>
        <w:t>manufacturer of rilpivirine advises avoid </w:t>
      </w:r>
      <w:r>
        <w:rPr>
          <w:rFonts w:ascii="Calibri" w:hAnsi="Calibri"/>
          <w:color w:val="008356"/>
          <w:w w:val="110"/>
          <w:position w:val="2"/>
          <w:sz w:val="11"/>
        </w:rPr>
        <w:t>HISTAMINE H</w:t>
      </w:r>
      <w:r>
        <w:rPr>
          <w:rFonts w:ascii="Calibri" w:hAnsi="Calibri"/>
          <w:color w:val="008356"/>
          <w:w w:val="110"/>
          <w:position w:val="2"/>
          <w:sz w:val="11"/>
          <w:vertAlign w:val="subscript"/>
        </w:rPr>
        <w:t>2</w:t>
      </w:r>
      <w:r>
        <w:rPr>
          <w:rFonts w:ascii="Calibri" w:hAnsi="Calibri"/>
          <w:color w:val="008356"/>
          <w:w w:val="110"/>
          <w:position w:val="2"/>
          <w:sz w:val="11"/>
          <w:vertAlign w:val="baseline"/>
        </w:rPr>
        <w:t>- </w:t>
      </w:r>
      <w:r>
        <w:rPr>
          <w:rFonts w:ascii="Calibri" w:hAnsi="Calibri"/>
          <w:color w:val="008356"/>
          <w:w w:val="110"/>
          <w:sz w:val="11"/>
          <w:vertAlign w:val="baseline"/>
        </w:rPr>
        <w:t>ANTAGONISTS </w:t>
      </w:r>
      <w:r>
        <w:rPr>
          <w:color w:val="231F1F"/>
          <w:w w:val="110"/>
          <w:vertAlign w:val="baseline"/>
        </w:rPr>
        <w:t>for 12 hours before or 4 hours after rilpivirine</w:t>
      </w:r>
      <w:r>
        <w:rPr>
          <w:rFonts w:ascii="Arial" w:hAnsi="Arial"/>
          <w:color w:val="231F1F"/>
          <w:w w:val="110"/>
          <w:vertAlign w:val="baseline"/>
        </w:rPr>
        <w:t>— </w:t>
      </w:r>
      <w:r>
        <w:rPr>
          <w:color w:val="231F1F"/>
          <w:w w:val="110"/>
          <w:vertAlign w:val="baseline"/>
        </w:rPr>
        <w:t>consult product literature</w:t>
      </w:r>
    </w:p>
    <w:p>
      <w:pPr>
        <w:pStyle w:val="BodyText"/>
        <w:spacing w:before="10"/>
        <w:ind w:left="108"/>
        <w:rPr>
          <w:rFonts w:ascii="Trebuchet MS"/>
        </w:rPr>
      </w:pPr>
      <w:r>
        <w:rPr>
          <w:rFonts w:ascii="Trebuchet MS"/>
          <w:color w:val="008356"/>
        </w:rPr>
        <w:t>Riociguat</w:t>
      </w:r>
    </w:p>
    <w:p>
      <w:pPr>
        <w:pStyle w:val="BodyText"/>
        <w:spacing w:line="220" w:lineRule="auto" w:before="9"/>
        <w:ind w:right="62" w:hanging="100"/>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riociguat reduced by </w:t>
      </w:r>
      <w:r>
        <w:rPr>
          <w:rFonts w:ascii="Calibri" w:hAnsi="Calibri"/>
          <w:color w:val="008356"/>
          <w:w w:val="110"/>
          <w:sz w:val="11"/>
        </w:rPr>
        <w:t>ANTACIDS </w:t>
      </w:r>
      <w:r>
        <w:rPr>
          <w:color w:val="231F1F"/>
          <w:w w:val="110"/>
        </w:rPr>
        <w:t>(give at least 2 hours before or 1 hour after riociguat)</w:t>
      </w:r>
    </w:p>
    <w:p>
      <w:pPr>
        <w:spacing w:line="237" w:lineRule="auto" w:before="5"/>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Antifungals: </w:t>
      </w:r>
      <w:r>
        <w:rPr>
          <w:color w:val="231F1F"/>
          <w:w w:val="110"/>
          <w:sz w:val="12"/>
        </w:rPr>
        <w:t>manufacturer of riociguat advises avoid concomitant use with </w:t>
      </w:r>
      <w:r>
        <w:rPr>
          <w:rFonts w:ascii="Calibri" w:hAnsi="Calibri"/>
          <w:color w:val="008356"/>
          <w:w w:val="110"/>
          <w:sz w:val="11"/>
        </w:rPr>
        <w:t>ITRACONAZOLE</w:t>
      </w:r>
      <w:r>
        <w:rPr>
          <w:color w:val="231F1F"/>
          <w:w w:val="110"/>
          <w:sz w:val="12"/>
        </w:rPr>
        <w:t>, </w:t>
      </w:r>
      <w:r>
        <w:rPr>
          <w:rFonts w:ascii="Calibri" w:hAnsi="Calibri"/>
          <w:color w:val="008356"/>
          <w:w w:val="110"/>
          <w:sz w:val="11"/>
        </w:rPr>
        <w:t>KETOCONAZOLE </w:t>
      </w:r>
      <w:r>
        <w:rPr>
          <w:color w:val="231F1F"/>
          <w:w w:val="110"/>
          <w:sz w:val="12"/>
        </w:rPr>
        <w:t>and </w:t>
      </w:r>
      <w:r>
        <w:rPr>
          <w:rFonts w:ascii="Calibri" w:hAnsi="Calibri"/>
          <w:color w:val="008356"/>
          <w:w w:val="110"/>
          <w:sz w:val="11"/>
        </w:rPr>
        <w:t>VORICONAZOLE</w:t>
      </w:r>
    </w:p>
    <w:p>
      <w:pPr>
        <w:pStyle w:val="BodyText"/>
        <w:spacing w:line="220" w:lineRule="auto" w:before="6"/>
        <w:ind w:right="121"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manufacturer of riociguat advises avoid concomitant use with </w:t>
      </w:r>
      <w:r>
        <w:rPr>
          <w:rFonts w:ascii="Calibri" w:hAnsi="Calibri"/>
          <w:color w:val="008356"/>
          <w:w w:val="110"/>
          <w:sz w:val="11"/>
        </w:rPr>
        <w:t>RITONAVIR</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Riociguat </w:t>
      </w:r>
      <w:r>
        <w:rPr>
          <w:rFonts w:ascii="Calibri"/>
          <w:color w:val="231F1F"/>
        </w:rPr>
        <w:t>(continued)</w:t>
      </w:r>
    </w:p>
    <w:p>
      <w:pPr>
        <w:pStyle w:val="BodyText"/>
        <w:spacing w:line="237" w:lineRule="auto"/>
        <w:ind w:right="673" w:hanging="100"/>
      </w:pPr>
      <w:r>
        <w:rPr/>
        <w:pict>
          <v:rect style="position:absolute;margin-left:398.891296pt;margin-top:-8.574244pt;width:20.522993pt;height:149.443pt;mso-position-horizontal-relative:page;mso-position-vertical-relative:paragraph;z-index:6016" filled="true" fillcolor="#bfdbcf" stroked="false">
            <v:fill type="solid"/>
            <w10:wrap type="none"/>
          </v:rect>
        </w:pict>
      </w:r>
      <w:r>
        <w:rPr/>
        <w:pict>
          <v:shape style="position:absolute;margin-left:399.725769pt;margin-top:-3.610855pt;width:10.4pt;height:78.850pt;mso-position-horizontal-relative:page;mso-position-vertical-relative:paragraph;z-index:604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Avanafil:</w:t>
      </w:r>
      <w:r>
        <w:rPr>
          <w:rFonts w:ascii="Calibri" w:hAnsi="Calibri"/>
          <w:color w:val="231F1F"/>
          <w:spacing w:val="-11"/>
          <w:w w:val="115"/>
        </w:rPr>
        <w:t> </w:t>
      </w:r>
      <w:r>
        <w:rPr>
          <w:color w:val="231F1F"/>
          <w:w w:val="115"/>
        </w:rPr>
        <w:t>possible</w:t>
      </w:r>
      <w:r>
        <w:rPr>
          <w:color w:val="231F1F"/>
          <w:spacing w:val="-15"/>
          <w:w w:val="115"/>
        </w:rPr>
        <w:t> </w:t>
      </w:r>
      <w:r>
        <w:rPr>
          <w:color w:val="231F1F"/>
          <w:w w:val="115"/>
        </w:rPr>
        <w:t>enhanced</w:t>
      </w:r>
      <w:r>
        <w:rPr>
          <w:color w:val="231F1F"/>
          <w:spacing w:val="-14"/>
          <w:w w:val="115"/>
        </w:rPr>
        <w:t> </w:t>
      </w:r>
      <w:r>
        <w:rPr>
          <w:color w:val="231F1F"/>
          <w:w w:val="115"/>
        </w:rPr>
        <w:t>hypotensive</w:t>
      </w:r>
      <w:r>
        <w:rPr>
          <w:color w:val="231F1F"/>
          <w:spacing w:val="-14"/>
          <w:w w:val="115"/>
        </w:rPr>
        <w:t> </w:t>
      </w:r>
      <w:r>
        <w:rPr>
          <w:color w:val="231F1F"/>
          <w:w w:val="115"/>
        </w:rPr>
        <w:t>effect</w:t>
      </w:r>
      <w:r>
        <w:rPr>
          <w:color w:val="231F1F"/>
          <w:spacing w:val="-14"/>
          <w:w w:val="115"/>
        </w:rPr>
        <w:t> </w:t>
      </w:r>
      <w:r>
        <w:rPr>
          <w:color w:val="231F1F"/>
          <w:w w:val="115"/>
        </w:rPr>
        <w:t>when</w:t>
      </w:r>
      <w:r>
        <w:rPr>
          <w:color w:val="231F1F"/>
          <w:spacing w:val="-15"/>
          <w:w w:val="115"/>
        </w:rPr>
        <w:t> </w:t>
      </w:r>
      <w:r>
        <w:rPr>
          <w:color w:val="231F1F"/>
          <w:w w:val="115"/>
        </w:rPr>
        <w:t>riociguat given</w:t>
      </w:r>
      <w:r>
        <w:rPr>
          <w:color w:val="231F1F"/>
          <w:spacing w:val="-8"/>
          <w:w w:val="115"/>
        </w:rPr>
        <w:t> </w:t>
      </w:r>
      <w:r>
        <w:rPr>
          <w:color w:val="231F1F"/>
          <w:w w:val="115"/>
        </w:rPr>
        <w:t>with</w:t>
      </w:r>
      <w:r>
        <w:rPr>
          <w:color w:val="231F1F"/>
          <w:spacing w:val="-6"/>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avoid</w:t>
      </w:r>
      <w:r>
        <w:rPr>
          <w:color w:val="231F1F"/>
          <w:spacing w:val="-7"/>
          <w:w w:val="115"/>
        </w:rPr>
        <w:t> </w:t>
      </w:r>
      <w:r>
        <w:rPr>
          <w:color w:val="231F1F"/>
          <w:w w:val="115"/>
        </w:rPr>
        <w:t>concomitant</w:t>
      </w:r>
      <w:r>
        <w:rPr>
          <w:color w:val="231F1F"/>
          <w:spacing w:val="-8"/>
          <w:w w:val="115"/>
        </w:rPr>
        <w:t> </w:t>
      </w:r>
      <w:r>
        <w:rPr>
          <w:color w:val="231F1F"/>
          <w:w w:val="115"/>
        </w:rPr>
        <w:t>use</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Bosentan: </w:t>
      </w:r>
      <w:r>
        <w:rPr>
          <w:color w:val="231F1F"/>
          <w:w w:val="105"/>
        </w:rPr>
        <w:t>plasma concentration of riociguat reduced by</w:t>
      </w:r>
    </w:p>
    <w:p>
      <w:pPr>
        <w:spacing w:line="131" w:lineRule="exact" w:before="0"/>
        <w:ind w:left="208" w:right="0" w:firstLine="0"/>
        <w:jc w:val="left"/>
        <w:rPr>
          <w:rFonts w:ascii="Calibri"/>
          <w:sz w:val="11"/>
        </w:rPr>
      </w:pPr>
      <w:r>
        <w:rPr>
          <w:rFonts w:ascii="Calibri"/>
          <w:color w:val="008356"/>
          <w:sz w:val="11"/>
        </w:rPr>
        <w:t>BOSENTAN</w:t>
      </w:r>
    </w:p>
    <w:p>
      <w:pPr>
        <w:pStyle w:val="BodyText"/>
        <w:ind w:right="678"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Nitrates:</w:t>
      </w:r>
      <w:r>
        <w:rPr>
          <w:rFonts w:ascii="Calibri" w:hAnsi="Calibri"/>
          <w:color w:val="231F1F"/>
          <w:spacing w:val="-11"/>
          <w:w w:val="115"/>
        </w:rPr>
        <w:t> </w:t>
      </w:r>
      <w:r>
        <w:rPr>
          <w:color w:val="231F1F"/>
          <w:w w:val="115"/>
        </w:rPr>
        <w:t>possible</w:t>
      </w:r>
      <w:r>
        <w:rPr>
          <w:color w:val="231F1F"/>
          <w:spacing w:val="-15"/>
          <w:w w:val="115"/>
        </w:rPr>
        <w:t> </w:t>
      </w:r>
      <w:r>
        <w:rPr>
          <w:color w:val="231F1F"/>
          <w:w w:val="115"/>
        </w:rPr>
        <w:t>enhanced</w:t>
      </w:r>
      <w:r>
        <w:rPr>
          <w:color w:val="231F1F"/>
          <w:spacing w:val="-15"/>
          <w:w w:val="115"/>
        </w:rPr>
        <w:t> </w:t>
      </w:r>
      <w:r>
        <w:rPr>
          <w:color w:val="231F1F"/>
          <w:w w:val="115"/>
        </w:rPr>
        <w:t>hypotensive</w:t>
      </w:r>
      <w:r>
        <w:rPr>
          <w:color w:val="231F1F"/>
          <w:spacing w:val="-15"/>
          <w:w w:val="115"/>
        </w:rPr>
        <w:t> </w:t>
      </w:r>
      <w:r>
        <w:rPr>
          <w:color w:val="231F1F"/>
          <w:w w:val="115"/>
        </w:rPr>
        <w:t>effect</w:t>
      </w:r>
      <w:r>
        <w:rPr>
          <w:color w:val="231F1F"/>
          <w:spacing w:val="-15"/>
          <w:w w:val="115"/>
        </w:rPr>
        <w:t> </w:t>
      </w:r>
      <w:r>
        <w:rPr>
          <w:color w:val="231F1F"/>
          <w:w w:val="115"/>
        </w:rPr>
        <w:t>when</w:t>
      </w:r>
      <w:r>
        <w:rPr>
          <w:color w:val="231F1F"/>
          <w:spacing w:val="-15"/>
          <w:w w:val="115"/>
        </w:rPr>
        <w:t> </w:t>
      </w:r>
      <w:r>
        <w:rPr>
          <w:color w:val="231F1F"/>
          <w:w w:val="115"/>
        </w:rPr>
        <w:t>riociguat given</w:t>
      </w:r>
      <w:r>
        <w:rPr>
          <w:color w:val="231F1F"/>
          <w:spacing w:val="-8"/>
          <w:w w:val="115"/>
        </w:rPr>
        <w:t> </w:t>
      </w:r>
      <w:r>
        <w:rPr>
          <w:color w:val="231F1F"/>
          <w:w w:val="115"/>
        </w:rPr>
        <w:t>with</w:t>
      </w:r>
      <w:r>
        <w:rPr>
          <w:color w:val="231F1F"/>
          <w:spacing w:val="-6"/>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NITRATES</w:t>
      </w:r>
      <w:r>
        <w:rPr>
          <w:rFonts w:ascii="Arial" w:hAnsi="Arial"/>
          <w:color w:val="231F1F"/>
          <w:spacing w:val="2"/>
          <w:w w:val="115"/>
        </w:rPr>
        <w:t>—</w:t>
      </w:r>
      <w:r>
        <w:rPr>
          <w:color w:val="231F1F"/>
          <w:spacing w:val="2"/>
          <w:w w:val="115"/>
        </w:rPr>
        <w:t>avoid</w:t>
      </w:r>
      <w:r>
        <w:rPr>
          <w:color w:val="231F1F"/>
          <w:spacing w:val="-7"/>
          <w:w w:val="115"/>
        </w:rPr>
        <w:t> </w:t>
      </w:r>
      <w:r>
        <w:rPr>
          <w:color w:val="231F1F"/>
          <w:w w:val="115"/>
        </w:rPr>
        <w:t>concomitant</w:t>
      </w:r>
      <w:r>
        <w:rPr>
          <w:color w:val="231F1F"/>
          <w:spacing w:val="-8"/>
          <w:w w:val="115"/>
        </w:rPr>
        <w:t> </w:t>
      </w:r>
      <w:r>
        <w:rPr>
          <w:color w:val="231F1F"/>
          <w:w w:val="115"/>
        </w:rPr>
        <w:t>use</w:t>
      </w:r>
    </w:p>
    <w:p>
      <w:pPr>
        <w:pStyle w:val="BodyText"/>
        <w:spacing w:line="237" w:lineRule="auto"/>
        <w:ind w:right="760"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Sildenafil:</w:t>
      </w:r>
      <w:r>
        <w:rPr>
          <w:rFonts w:ascii="Calibri" w:hAnsi="Calibri"/>
          <w:color w:val="231F1F"/>
          <w:spacing w:val="-9"/>
          <w:w w:val="115"/>
        </w:rPr>
        <w:t> </w:t>
      </w:r>
      <w:r>
        <w:rPr>
          <w:color w:val="231F1F"/>
          <w:w w:val="115"/>
        </w:rPr>
        <w:t>enhanced</w:t>
      </w:r>
      <w:r>
        <w:rPr>
          <w:color w:val="231F1F"/>
          <w:spacing w:val="-13"/>
          <w:w w:val="115"/>
        </w:rPr>
        <w:t> </w:t>
      </w:r>
      <w:r>
        <w:rPr>
          <w:color w:val="231F1F"/>
          <w:w w:val="115"/>
        </w:rPr>
        <w:t>hypotensive</w:t>
      </w:r>
      <w:r>
        <w:rPr>
          <w:color w:val="231F1F"/>
          <w:spacing w:val="-13"/>
          <w:w w:val="115"/>
        </w:rPr>
        <w:t> </w:t>
      </w:r>
      <w:r>
        <w:rPr>
          <w:color w:val="231F1F"/>
          <w:w w:val="115"/>
        </w:rPr>
        <w:t>effect</w:t>
      </w:r>
      <w:r>
        <w:rPr>
          <w:color w:val="231F1F"/>
          <w:spacing w:val="-13"/>
          <w:w w:val="115"/>
        </w:rPr>
        <w:t> </w:t>
      </w:r>
      <w:r>
        <w:rPr>
          <w:color w:val="231F1F"/>
          <w:w w:val="115"/>
        </w:rPr>
        <w:t>when</w:t>
      </w:r>
      <w:r>
        <w:rPr>
          <w:color w:val="231F1F"/>
          <w:spacing w:val="-12"/>
          <w:w w:val="115"/>
        </w:rPr>
        <w:t> </w:t>
      </w:r>
      <w:r>
        <w:rPr>
          <w:color w:val="231F1F"/>
          <w:w w:val="115"/>
        </w:rPr>
        <w:t>riociguat</w:t>
      </w:r>
      <w:r>
        <w:rPr>
          <w:color w:val="231F1F"/>
          <w:spacing w:val="-12"/>
          <w:w w:val="115"/>
        </w:rPr>
        <w:t> </w:t>
      </w:r>
      <w:r>
        <w:rPr>
          <w:color w:val="231F1F"/>
          <w:spacing w:val="-3"/>
          <w:w w:val="115"/>
        </w:rPr>
        <w:t>given </w:t>
      </w:r>
      <w:r>
        <w:rPr>
          <w:color w:val="231F1F"/>
          <w:w w:val="115"/>
        </w:rPr>
        <w:t>with</w:t>
      </w:r>
      <w:r>
        <w:rPr>
          <w:color w:val="231F1F"/>
          <w:spacing w:val="-7"/>
          <w:w w:val="115"/>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3"/>
          <w:w w:val="115"/>
          <w:sz w:val="11"/>
        </w:rPr>
        <w:t>SILDENAFIL</w:t>
      </w:r>
      <w:r>
        <w:rPr>
          <w:rFonts w:ascii="Arial" w:hAnsi="Arial"/>
          <w:color w:val="231F1F"/>
          <w:spacing w:val="3"/>
          <w:w w:val="115"/>
        </w:rPr>
        <w:t>—</w:t>
      </w:r>
      <w:r>
        <w:rPr>
          <w:color w:val="231F1F"/>
          <w:spacing w:val="3"/>
          <w:w w:val="115"/>
        </w:rPr>
        <w:t>avoid</w:t>
      </w:r>
      <w:r>
        <w:rPr>
          <w:color w:val="231F1F"/>
          <w:spacing w:val="-6"/>
          <w:w w:val="115"/>
        </w:rPr>
        <w:t> </w:t>
      </w:r>
      <w:r>
        <w:rPr>
          <w:color w:val="231F1F"/>
          <w:w w:val="115"/>
        </w:rPr>
        <w:t>concomitant</w:t>
      </w:r>
      <w:r>
        <w:rPr>
          <w:color w:val="231F1F"/>
          <w:spacing w:val="-8"/>
          <w:w w:val="115"/>
        </w:rPr>
        <w:t> </w:t>
      </w:r>
      <w:r>
        <w:rPr>
          <w:color w:val="231F1F"/>
          <w:w w:val="115"/>
        </w:rPr>
        <w:t>use</w:t>
      </w:r>
    </w:p>
    <w:p>
      <w:pPr>
        <w:pStyle w:val="BodyText"/>
        <w:spacing w:line="237" w:lineRule="auto"/>
        <w:ind w:right="932" w:hanging="100"/>
      </w:pPr>
      <w:r>
        <w:rPr>
          <w:rFonts w:ascii="Arial" w:hAnsi="Arial"/>
          <w:color w:val="231F1F"/>
          <w:w w:val="355"/>
          <w:position w:val="1"/>
          <w:sz w:val="7"/>
        </w:rPr>
        <w:t>l </w:t>
      </w:r>
      <w:r>
        <w:rPr>
          <w:rFonts w:ascii="Calibri" w:hAnsi="Calibri"/>
          <w:color w:val="231F1F"/>
          <w:w w:val="115"/>
        </w:rPr>
        <w:t>Tadalafil: </w:t>
      </w:r>
      <w:r>
        <w:rPr>
          <w:color w:val="231F1F"/>
          <w:w w:val="115"/>
        </w:rPr>
        <w:t>possible enhanced hypotensive effect when riociguat</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TADALAFIL</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4"/>
          <w:w w:val="115"/>
        </w:rPr>
        <w:t>use</w:t>
      </w:r>
    </w:p>
    <w:p>
      <w:pPr>
        <w:pStyle w:val="BodyText"/>
        <w:ind w:right="842" w:hanging="100"/>
      </w:pPr>
      <w:r>
        <w:rPr>
          <w:rFonts w:ascii="Arial" w:hAnsi="Arial"/>
          <w:color w:val="231F1F"/>
          <w:w w:val="355"/>
          <w:position w:val="1"/>
          <w:sz w:val="7"/>
        </w:rPr>
        <w:t>l </w:t>
      </w:r>
      <w:r>
        <w:rPr>
          <w:rFonts w:ascii="Calibri" w:hAnsi="Calibri"/>
          <w:color w:val="231F1F"/>
          <w:w w:val="115"/>
        </w:rPr>
        <w:t>Vardenafil: </w:t>
      </w:r>
      <w:r>
        <w:rPr>
          <w:color w:val="231F1F"/>
          <w:w w:val="115"/>
        </w:rPr>
        <w:t>possible enhanced hypotensive effect when riociguat</w:t>
      </w:r>
      <w:r>
        <w:rPr>
          <w:color w:val="231F1F"/>
          <w:spacing w:val="-22"/>
          <w:w w:val="115"/>
        </w:rPr>
        <w:t> </w:t>
      </w:r>
      <w:r>
        <w:rPr>
          <w:color w:val="231F1F"/>
          <w:w w:val="115"/>
        </w:rPr>
        <w:t>given</w:t>
      </w:r>
      <w:r>
        <w:rPr>
          <w:color w:val="231F1F"/>
          <w:spacing w:val="-23"/>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w w:val="115"/>
        </w:rPr>
        <w:t>use</w:t>
      </w:r>
    </w:p>
    <w:p>
      <w:pPr>
        <w:pStyle w:val="BodyText"/>
        <w:ind w:left="108"/>
      </w:pPr>
      <w:r>
        <w:rPr>
          <w:rFonts w:ascii="Trebuchet MS"/>
          <w:color w:val="008356"/>
          <w:w w:val="110"/>
        </w:rPr>
        <w:t>Risedronate Sodium </w:t>
      </w:r>
      <w:r>
        <w:rPr>
          <w:i/>
          <w:color w:val="231F1F"/>
          <w:w w:val="110"/>
        </w:rPr>
        <w:t>see </w:t>
      </w:r>
      <w:r>
        <w:rPr>
          <w:color w:val="231F1F"/>
          <w:w w:val="110"/>
        </w:rPr>
        <w:t>Bisphosphonates</w:t>
      </w:r>
    </w:p>
    <w:p>
      <w:pPr>
        <w:pStyle w:val="BodyText"/>
        <w:spacing w:before="9"/>
        <w:ind w:left="108"/>
      </w:pPr>
      <w:r>
        <w:rPr>
          <w:rFonts w:ascii="Trebuchet MS"/>
          <w:color w:val="008356"/>
          <w:w w:val="110"/>
        </w:rPr>
        <w:t>Risperidone </w:t>
      </w:r>
      <w:r>
        <w:rPr>
          <w:i/>
          <w:color w:val="231F1F"/>
          <w:w w:val="110"/>
        </w:rPr>
        <w:t>see </w:t>
      </w:r>
      <w:r>
        <w:rPr>
          <w:color w:val="231F1F"/>
          <w:w w:val="110"/>
        </w:rPr>
        <w:t>Antipsychotics</w:t>
      </w:r>
    </w:p>
    <w:p>
      <w:pPr>
        <w:pStyle w:val="BodyText"/>
        <w:spacing w:before="9"/>
        <w:ind w:left="108"/>
        <w:rPr>
          <w:rFonts w:ascii="Trebuchet MS"/>
        </w:rPr>
      </w:pPr>
      <w:r>
        <w:rPr>
          <w:rFonts w:ascii="Trebuchet MS"/>
          <w:color w:val="008356"/>
          <w:w w:val="105"/>
        </w:rPr>
        <w:t>Ritonavir</w:t>
      </w:r>
    </w:p>
    <w:p>
      <w:pPr>
        <w:pStyle w:val="BodyText"/>
        <w:spacing w:before="1"/>
        <w:ind w:right="1021" w:hanging="100"/>
      </w:pPr>
      <w:r>
        <w:rPr>
          <w:rFonts w:ascii="Arial" w:hAnsi="Arial"/>
          <w:color w:val="231F1F"/>
          <w:w w:val="355"/>
          <w:position w:val="1"/>
          <w:sz w:val="7"/>
        </w:rPr>
        <w:t>l </w:t>
      </w:r>
      <w:r>
        <w:rPr>
          <w:rFonts w:ascii="Calibri" w:hAnsi="Calibri"/>
          <w:color w:val="231F1F"/>
          <w:w w:val="115"/>
        </w:rPr>
        <w:t>Alpha-blockers: </w:t>
      </w:r>
      <w:r>
        <w:rPr>
          <w:color w:val="231F1F"/>
          <w:w w:val="115"/>
        </w:rPr>
        <w:t>ritonavir possibly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ALFUZOSIN</w:t>
      </w:r>
      <w:r>
        <w:rPr>
          <w:rFonts w:ascii="Arial" w:hAnsi="Arial"/>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line="143" w:lineRule="exact"/>
        <w:ind w:left="108"/>
      </w:pPr>
      <w:r>
        <w:rPr>
          <w:rFonts w:ascii="Arial"/>
          <w:color w:val="231F1F"/>
          <w:w w:val="355"/>
          <w:position w:val="1"/>
          <w:sz w:val="7"/>
        </w:rPr>
        <w:t>l</w:t>
      </w:r>
      <w:r>
        <w:rPr>
          <w:rFonts w:ascii="Arial"/>
          <w:color w:val="231F1F"/>
          <w:spacing w:val="-30"/>
          <w:w w:val="355"/>
          <w:position w:val="1"/>
          <w:sz w:val="7"/>
        </w:rPr>
        <w:t> </w:t>
      </w:r>
      <w:r>
        <w:rPr>
          <w:rFonts w:ascii="Calibri"/>
          <w:color w:val="231F1F"/>
          <w:w w:val="110"/>
        </w:rPr>
        <w:t>Aminophylline: </w:t>
      </w:r>
      <w:r>
        <w:rPr>
          <w:color w:val="231F1F"/>
          <w:w w:val="110"/>
        </w:rPr>
        <w:t>ritonavir accelerates metabolism of</w:t>
      </w:r>
    </w:p>
    <w:p>
      <w:pPr>
        <w:spacing w:line="140" w:lineRule="exact" w:before="0"/>
        <w:ind w:left="208" w:right="0" w:firstLine="0"/>
        <w:jc w:val="left"/>
        <w:rPr>
          <w:sz w:val="12"/>
        </w:rPr>
      </w:pP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AMINOPHYLLINE </w:t>
      </w:r>
      <w:r>
        <w:rPr>
          <w:color w:val="231F1F"/>
          <w:w w:val="110"/>
          <w:sz w:val="12"/>
        </w:rPr>
        <w:t>(reduced plasma concentration)</w:t>
      </w:r>
    </w:p>
    <w:p>
      <w:pPr>
        <w:pStyle w:val="BodyText"/>
        <w:spacing w:line="244" w:lineRule="auto"/>
        <w:ind w:right="699" w:hanging="100"/>
      </w:pPr>
      <w:r>
        <w:rPr>
          <w:rFonts w:ascii="Arial" w:hAnsi="Arial"/>
          <w:color w:val="231F1F"/>
          <w:w w:val="355"/>
          <w:position w:val="1"/>
          <w:sz w:val="7"/>
        </w:rPr>
        <w:t>l </w:t>
      </w:r>
      <w:r>
        <w:rPr>
          <w:rFonts w:ascii="Calibri" w:hAnsi="Calibri"/>
          <w:color w:val="231F1F"/>
          <w:w w:val="110"/>
        </w:rPr>
        <w:t>Analgesics: </w:t>
      </w:r>
      <w:r>
        <w:rPr>
          <w:color w:val="231F1F"/>
          <w:w w:val="110"/>
        </w:rPr>
        <w:t>ritonavir possibly increases plasma concentration of </w:t>
      </w:r>
      <w:r>
        <w:rPr>
          <w:rFonts w:ascii="Calibri" w:hAnsi="Calibri"/>
          <w:color w:val="008356"/>
          <w:spacing w:val="4"/>
          <w:w w:val="110"/>
          <w:sz w:val="11"/>
        </w:rPr>
        <w:t>NSAID</w:t>
      </w:r>
      <w:r>
        <w:rPr>
          <w:rFonts w:ascii="Calibri" w:hAnsi="Calibri"/>
          <w:color w:val="008356"/>
          <w:spacing w:val="4"/>
          <w:w w:val="110"/>
          <w:sz w:val="9"/>
        </w:rPr>
        <w:t>S </w:t>
      </w:r>
      <w:r>
        <w:rPr>
          <w:color w:val="231F1F"/>
          <w:w w:val="110"/>
        </w:rPr>
        <w:t>and </w:t>
      </w:r>
      <w:r>
        <w:rPr>
          <w:rFonts w:ascii="Calibri" w:hAnsi="Calibri"/>
          <w:color w:val="008356"/>
          <w:spacing w:val="4"/>
          <w:w w:val="110"/>
          <w:sz w:val="11"/>
        </w:rPr>
        <w:t>BUPRENORPHINE</w:t>
      </w:r>
      <w:r>
        <w:rPr>
          <w:color w:val="231F1F"/>
          <w:spacing w:val="4"/>
          <w:w w:val="110"/>
        </w:rPr>
        <w:t>; </w:t>
      </w:r>
      <w:r>
        <w:rPr>
          <w:color w:val="231F1F"/>
          <w:w w:val="110"/>
        </w:rPr>
        <w:t>ritonavir increases plasma concentration of </w:t>
      </w:r>
      <w:r>
        <w:rPr>
          <w:rFonts w:ascii="Arial" w:hAnsi="Arial"/>
          <w:color w:val="231F1F"/>
          <w:w w:val="355"/>
          <w:position w:val="1"/>
          <w:sz w:val="7"/>
        </w:rPr>
        <w:t>l </w:t>
      </w:r>
      <w:r>
        <w:rPr>
          <w:rFonts w:ascii="Calibri" w:hAnsi="Calibri"/>
          <w:color w:val="008356"/>
          <w:spacing w:val="4"/>
          <w:w w:val="110"/>
          <w:sz w:val="11"/>
        </w:rPr>
        <w:t>DEXTROPROPOXYPHENE </w:t>
      </w:r>
      <w:r>
        <w:rPr>
          <w:color w:val="231F1F"/>
          <w:w w:val="110"/>
        </w:rPr>
        <w:t>and </w:t>
      </w:r>
      <w:r>
        <w:rPr>
          <w:rFonts w:ascii="Arial" w:hAnsi="Arial"/>
          <w:color w:val="231F1F"/>
          <w:w w:val="355"/>
          <w:position w:val="1"/>
          <w:sz w:val="7"/>
        </w:rPr>
        <w:t>l </w:t>
      </w:r>
      <w:r>
        <w:rPr>
          <w:rFonts w:ascii="Calibri" w:hAnsi="Calibri"/>
          <w:color w:val="008356"/>
          <w:spacing w:val="4"/>
          <w:w w:val="110"/>
          <w:sz w:val="11"/>
        </w:rPr>
        <w:t>PIROXICAM </w:t>
      </w:r>
      <w:r>
        <w:rPr>
          <w:color w:val="231F1F"/>
          <w:w w:val="110"/>
        </w:rPr>
        <w:t>(risk of toxicity)</w:t>
      </w:r>
      <w:r>
        <w:rPr>
          <w:rFonts w:ascii="Arial" w:hAnsi="Arial"/>
          <w:color w:val="231F1F"/>
          <w:w w:val="110"/>
        </w:rPr>
        <w:t>—</w:t>
      </w:r>
      <w:r>
        <w:rPr>
          <w:color w:val="231F1F"/>
          <w:w w:val="110"/>
        </w:rPr>
        <w:t>avoid concomitant use; ritonavir increases plasma concentration of </w:t>
      </w:r>
      <w:r>
        <w:rPr>
          <w:rFonts w:ascii="Arial" w:hAnsi="Arial"/>
          <w:color w:val="231F1F"/>
          <w:w w:val="355"/>
          <w:position w:val="1"/>
          <w:sz w:val="7"/>
        </w:rPr>
        <w:t>l </w:t>
      </w:r>
      <w:r>
        <w:rPr>
          <w:rFonts w:ascii="Calibri" w:hAnsi="Calibri"/>
          <w:color w:val="008356"/>
          <w:spacing w:val="4"/>
          <w:w w:val="110"/>
          <w:sz w:val="11"/>
        </w:rPr>
        <w:t>ALFENTANIL </w:t>
      </w:r>
      <w:r>
        <w:rPr>
          <w:color w:val="231F1F"/>
          <w:w w:val="110"/>
        </w:rPr>
        <w:t>and </w:t>
      </w:r>
      <w:r>
        <w:rPr>
          <w:rFonts w:ascii="Arial" w:hAnsi="Arial"/>
          <w:color w:val="231F1F"/>
          <w:w w:val="355"/>
          <w:position w:val="1"/>
          <w:sz w:val="7"/>
        </w:rPr>
        <w:t>l </w:t>
      </w:r>
      <w:r>
        <w:rPr>
          <w:rFonts w:ascii="Calibri" w:hAnsi="Calibri"/>
          <w:color w:val="008356"/>
          <w:spacing w:val="3"/>
          <w:w w:val="110"/>
          <w:sz w:val="11"/>
        </w:rPr>
        <w:t>FENTANYL</w:t>
      </w:r>
      <w:r>
        <w:rPr>
          <w:color w:val="231F1F"/>
          <w:spacing w:val="3"/>
          <w:w w:val="110"/>
        </w:rPr>
        <w:t>; </w:t>
      </w:r>
      <w:r>
        <w:rPr>
          <w:color w:val="231F1F"/>
          <w:w w:val="110"/>
        </w:rPr>
        <w:t>ritonavir reduces plasma concentration of </w:t>
      </w:r>
      <w:r>
        <w:rPr>
          <w:rFonts w:ascii="Calibri" w:hAnsi="Calibri"/>
          <w:color w:val="008356"/>
          <w:spacing w:val="4"/>
          <w:w w:val="110"/>
          <w:sz w:val="11"/>
        </w:rPr>
        <w:t>METHADONE</w:t>
      </w:r>
      <w:r>
        <w:rPr>
          <w:color w:val="231F1F"/>
          <w:spacing w:val="4"/>
          <w:w w:val="110"/>
        </w:rPr>
        <w:t>; </w:t>
      </w:r>
      <w:r>
        <w:rPr>
          <w:color w:val="231F1F"/>
          <w:w w:val="110"/>
        </w:rPr>
        <w:t>ritonavir possibly reduces plasma concentration of </w:t>
      </w:r>
      <w:r>
        <w:rPr>
          <w:rFonts w:ascii="Calibri" w:hAnsi="Calibri"/>
          <w:color w:val="008356"/>
          <w:spacing w:val="2"/>
          <w:w w:val="110"/>
          <w:sz w:val="11"/>
        </w:rPr>
        <w:t>MORPHINE</w:t>
      </w:r>
      <w:r>
        <w:rPr>
          <w:color w:val="231F1F"/>
          <w:spacing w:val="2"/>
          <w:w w:val="110"/>
        </w:rPr>
        <w:t>; </w:t>
      </w:r>
      <w:r>
        <w:rPr>
          <w:color w:val="231F1F"/>
          <w:w w:val="110"/>
        </w:rPr>
        <w:t>ritonavir reduces plasma concentration of </w:t>
      </w:r>
      <w:r>
        <w:rPr>
          <w:rFonts w:ascii="Arial" w:hAnsi="Arial"/>
          <w:color w:val="231F1F"/>
          <w:w w:val="355"/>
          <w:position w:val="1"/>
          <w:sz w:val="7"/>
        </w:rPr>
        <w:t>l </w:t>
      </w:r>
      <w:r>
        <w:rPr>
          <w:rFonts w:ascii="Calibri" w:hAnsi="Calibri"/>
          <w:color w:val="008356"/>
          <w:spacing w:val="4"/>
          <w:w w:val="110"/>
          <w:sz w:val="11"/>
        </w:rPr>
        <w:t>PETHIDINE</w:t>
      </w:r>
      <w:r>
        <w:rPr>
          <w:color w:val="231F1F"/>
          <w:spacing w:val="4"/>
          <w:w w:val="110"/>
        </w:rPr>
        <w:t>, </w:t>
      </w:r>
      <w:r>
        <w:rPr>
          <w:color w:val="231F1F"/>
          <w:w w:val="110"/>
        </w:rPr>
        <w:t>but increases plasma concentration of toxic metabolite of  pethidine (avoid concomitant</w:t>
      </w:r>
      <w:r>
        <w:rPr>
          <w:color w:val="231F1F"/>
          <w:spacing w:val="-4"/>
          <w:w w:val="110"/>
        </w:rPr>
        <w:t> </w:t>
      </w:r>
      <w:r>
        <w:rPr>
          <w:color w:val="231F1F"/>
          <w:w w:val="110"/>
        </w:rPr>
        <w:t>use)</w:t>
      </w:r>
    </w:p>
    <w:p>
      <w:pPr>
        <w:pStyle w:val="BodyText"/>
        <w:spacing w:line="140" w:lineRule="exact"/>
        <w:ind w:left="108"/>
      </w:pPr>
      <w:r>
        <w:rPr>
          <w:rFonts w:ascii="Arial"/>
          <w:color w:val="231F1F"/>
          <w:w w:val="355"/>
          <w:position w:val="1"/>
          <w:sz w:val="7"/>
        </w:rPr>
        <w:t>l </w:t>
      </w:r>
      <w:r>
        <w:rPr>
          <w:rFonts w:ascii="Calibri"/>
          <w:color w:val="231F1F"/>
          <w:w w:val="110"/>
        </w:rPr>
        <w:t>Anthelmintics: </w:t>
      </w:r>
      <w:r>
        <w:rPr>
          <w:color w:val="231F1F"/>
          <w:w w:val="110"/>
        </w:rPr>
        <w:t>ritonavir possibly reduces plasma</w:t>
      </w:r>
    </w:p>
    <w:p>
      <w:pPr>
        <w:pStyle w:val="BodyText"/>
        <w:spacing w:line="247" w:lineRule="auto"/>
        <w:ind w:right="997"/>
      </w:pPr>
      <w:r>
        <w:rPr>
          <w:color w:val="231F1F"/>
          <w:w w:val="110"/>
        </w:rPr>
        <w:t>concentration of active metabolite of </w:t>
      </w:r>
      <w:r>
        <w:rPr>
          <w:rFonts w:ascii="Arial" w:hAnsi="Arial"/>
          <w:color w:val="231F1F"/>
          <w:w w:val="355"/>
          <w:position w:val="1"/>
          <w:sz w:val="7"/>
        </w:rPr>
        <w:t>l </w:t>
      </w:r>
      <w:r>
        <w:rPr>
          <w:rFonts w:ascii="Calibri" w:hAnsi="Calibri"/>
          <w:color w:val="008356"/>
          <w:spacing w:val="4"/>
          <w:w w:val="110"/>
          <w:sz w:val="11"/>
        </w:rPr>
        <w:t>ALBENDAZOLE</w:t>
      </w:r>
      <w:r>
        <w:rPr>
          <w:rFonts w:ascii="Arial" w:hAnsi="Arial"/>
          <w:color w:val="231F1F"/>
          <w:spacing w:val="4"/>
          <w:w w:val="110"/>
        </w:rPr>
        <w:t>— </w:t>
      </w:r>
      <w:r>
        <w:rPr>
          <w:color w:val="231F1F"/>
          <w:w w:val="110"/>
        </w:rPr>
        <w:t>consider increasing albendazole dose when given for systemic infections</w:t>
      </w:r>
    </w:p>
    <w:p>
      <w:pPr>
        <w:pStyle w:val="BodyText"/>
        <w:spacing w:line="244" w:lineRule="auto"/>
        <w:ind w:right="717" w:hanging="100"/>
      </w:pPr>
      <w:r>
        <w:rPr>
          <w:rFonts w:ascii="Arial" w:hAnsi="Arial"/>
          <w:color w:val="231F1F"/>
          <w:w w:val="355"/>
          <w:position w:val="1"/>
          <w:sz w:val="7"/>
        </w:rPr>
        <w:t>l </w:t>
      </w:r>
      <w:r>
        <w:rPr>
          <w:rFonts w:ascii="Calibri" w:hAnsi="Calibri"/>
          <w:color w:val="231F1F"/>
          <w:w w:val="110"/>
        </w:rPr>
        <w:t>Anti-arrhythmics: </w:t>
      </w:r>
      <w:r>
        <w:rPr>
          <w:color w:val="231F1F"/>
          <w:w w:val="110"/>
        </w:rPr>
        <w:t>ritonavir increases plasma concentration of </w:t>
      </w:r>
      <w:r>
        <w:rPr>
          <w:rFonts w:ascii="Arial" w:hAnsi="Arial"/>
          <w:color w:val="231F1F"/>
          <w:w w:val="355"/>
          <w:position w:val="1"/>
          <w:sz w:val="7"/>
        </w:rPr>
        <w:t>l </w:t>
      </w:r>
      <w:r>
        <w:rPr>
          <w:rFonts w:ascii="Calibri" w:hAnsi="Calibri"/>
          <w:color w:val="008356"/>
          <w:spacing w:val="4"/>
          <w:w w:val="110"/>
          <w:sz w:val="11"/>
        </w:rPr>
        <w:t>AMIODARONE </w:t>
      </w:r>
      <w:r>
        <w:rPr>
          <w:color w:val="231F1F"/>
          <w:w w:val="110"/>
        </w:rPr>
        <w:t>and </w:t>
      </w:r>
      <w:r>
        <w:rPr>
          <w:rFonts w:ascii="Arial" w:hAnsi="Arial"/>
          <w:color w:val="231F1F"/>
          <w:w w:val="355"/>
          <w:position w:val="1"/>
          <w:sz w:val="7"/>
        </w:rPr>
        <w:t>l </w:t>
      </w:r>
      <w:r>
        <w:rPr>
          <w:rFonts w:ascii="Calibri" w:hAnsi="Calibri"/>
          <w:color w:val="008356"/>
          <w:spacing w:val="4"/>
          <w:w w:val="110"/>
          <w:sz w:val="11"/>
        </w:rPr>
        <w:t>PROPAFENONE </w:t>
      </w:r>
      <w:r>
        <w:rPr>
          <w:color w:val="231F1F"/>
          <w:w w:val="110"/>
        </w:rPr>
        <w:t>(increased risk of ventricular arrhythmias</w:t>
      </w:r>
      <w:r>
        <w:rPr>
          <w:rFonts w:ascii="Arial" w:hAnsi="Arial"/>
          <w:color w:val="231F1F"/>
          <w:w w:val="110"/>
        </w:rPr>
        <w:t>—</w:t>
      </w:r>
      <w:r>
        <w:rPr>
          <w:color w:val="231F1F"/>
          <w:w w:val="110"/>
        </w:rPr>
        <w:t>avoid concomitant use); ritonavir possibly increases plasma concentration of </w:t>
      </w:r>
      <w:r>
        <w:rPr>
          <w:rFonts w:ascii="Arial" w:hAnsi="Arial"/>
          <w:color w:val="231F1F"/>
          <w:w w:val="355"/>
          <w:position w:val="1"/>
          <w:sz w:val="7"/>
        </w:rPr>
        <w:t>l </w:t>
      </w:r>
      <w:r>
        <w:rPr>
          <w:rFonts w:ascii="Calibri" w:hAnsi="Calibri"/>
          <w:color w:val="008356"/>
          <w:spacing w:val="5"/>
          <w:w w:val="110"/>
          <w:sz w:val="11"/>
        </w:rPr>
        <w:t>DISOPYRAMIDE </w:t>
      </w:r>
      <w:r>
        <w:rPr>
          <w:color w:val="231F1F"/>
          <w:w w:val="110"/>
        </w:rPr>
        <w:t>(increased risk of toxicity); avoidance of ritonavir advised by manufacturer</w:t>
      </w:r>
      <w:r>
        <w:rPr>
          <w:color w:val="231F1F"/>
          <w:spacing w:val="-5"/>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DRONEDARONE</w:t>
      </w:r>
      <w:r>
        <w:rPr>
          <w:color w:val="231F1F"/>
          <w:spacing w:val="4"/>
          <w:w w:val="110"/>
        </w:rPr>
        <w:t>;</w:t>
      </w:r>
      <w:r>
        <w:rPr>
          <w:color w:val="231F1F"/>
          <w:spacing w:val="-4"/>
          <w:w w:val="110"/>
        </w:rPr>
        <w:t> </w:t>
      </w:r>
      <w:r>
        <w:rPr>
          <w:color w:val="231F1F"/>
          <w:w w:val="110"/>
        </w:rPr>
        <w:t>ritonavir</w:t>
      </w:r>
      <w:r>
        <w:rPr>
          <w:color w:val="231F1F"/>
          <w:spacing w:val="-3"/>
          <w:w w:val="110"/>
        </w:rPr>
        <w:t> </w:t>
      </w:r>
      <w:r>
        <w:rPr>
          <w:color w:val="231F1F"/>
          <w:w w:val="110"/>
        </w:rPr>
        <w:t>possibly</w:t>
      </w:r>
      <w:r>
        <w:rPr>
          <w:color w:val="231F1F"/>
          <w:spacing w:val="-4"/>
          <w:w w:val="110"/>
        </w:rPr>
        <w:t> </w:t>
      </w:r>
      <w:r>
        <w:rPr>
          <w:color w:val="231F1F"/>
          <w:w w:val="110"/>
        </w:rPr>
        <w:t>increases plasma concentration of </w:t>
      </w:r>
      <w:r>
        <w:rPr>
          <w:rFonts w:ascii="Arial" w:hAnsi="Arial"/>
          <w:color w:val="231F1F"/>
          <w:w w:val="355"/>
          <w:position w:val="1"/>
          <w:sz w:val="7"/>
        </w:rPr>
        <w:t>l </w:t>
      </w:r>
      <w:r>
        <w:rPr>
          <w:rFonts w:ascii="Calibri" w:hAnsi="Calibri"/>
          <w:color w:val="008356"/>
          <w:spacing w:val="4"/>
          <w:w w:val="110"/>
          <w:sz w:val="11"/>
        </w:rPr>
        <w:t>FLECAINIDE </w:t>
      </w:r>
      <w:r>
        <w:rPr>
          <w:color w:val="231F1F"/>
          <w:w w:val="110"/>
        </w:rPr>
        <w:t>(increased risk of ventricular arrhythmias</w:t>
      </w:r>
      <w:r>
        <w:rPr>
          <w:rFonts w:ascii="Arial" w:hAnsi="Arial"/>
          <w:color w:val="231F1F"/>
          <w:w w:val="110"/>
        </w:rPr>
        <w:t>—</w:t>
      </w:r>
      <w:r>
        <w:rPr>
          <w:color w:val="231F1F"/>
          <w:w w:val="110"/>
        </w:rPr>
        <w:t>avoid concomitant</w:t>
      </w:r>
      <w:r>
        <w:rPr>
          <w:color w:val="231F1F"/>
          <w:spacing w:val="1"/>
          <w:w w:val="110"/>
        </w:rPr>
        <w:t> </w:t>
      </w:r>
      <w:r>
        <w:rPr>
          <w:color w:val="231F1F"/>
          <w:w w:val="110"/>
        </w:rPr>
        <w:t>use)</w:t>
      </w:r>
    </w:p>
    <w:p>
      <w:pPr>
        <w:pStyle w:val="BodyText"/>
        <w:spacing w:line="142" w:lineRule="exact"/>
        <w:ind w:left="108"/>
      </w:pPr>
      <w:r>
        <w:rPr>
          <w:rFonts w:ascii="Arial"/>
          <w:color w:val="231F1F"/>
          <w:w w:val="350"/>
          <w:position w:val="1"/>
          <w:sz w:val="7"/>
        </w:rPr>
        <w:t>l</w:t>
      </w:r>
      <w:r>
        <w:rPr>
          <w:rFonts w:ascii="Arial"/>
          <w:color w:val="231F1F"/>
          <w:spacing w:val="-55"/>
          <w:w w:val="350"/>
          <w:position w:val="1"/>
          <w:sz w:val="7"/>
        </w:rPr>
        <w:t> </w:t>
      </w:r>
      <w:r>
        <w:rPr>
          <w:rFonts w:ascii="Calibri"/>
          <w:color w:val="231F1F"/>
          <w:w w:val="115"/>
        </w:rPr>
        <w:t>Antibacterials:</w:t>
      </w:r>
      <w:r>
        <w:rPr>
          <w:rFonts w:ascii="Calibri"/>
          <w:color w:val="231F1F"/>
          <w:spacing w:val="-21"/>
          <w:w w:val="115"/>
        </w:rPr>
        <w:t> </w:t>
      </w:r>
      <w:r>
        <w:rPr>
          <w:color w:val="231F1F"/>
          <w:w w:val="115"/>
        </w:rPr>
        <w:t>ritonavir</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plasma</w:t>
      </w:r>
    </w:p>
    <w:p>
      <w:pPr>
        <w:pStyle w:val="BodyText"/>
        <w:spacing w:line="244" w:lineRule="auto"/>
        <w:ind w:right="699"/>
        <w:rPr>
          <w:rFonts w:ascii="Calibri" w:hAnsi="Calibri"/>
          <w:sz w:val="11"/>
        </w:rPr>
      </w:pPr>
      <w:r>
        <w:rPr>
          <w:color w:val="231F1F"/>
          <w:w w:val="110"/>
        </w:rPr>
        <w:t>concentration</w:t>
      </w:r>
      <w:r>
        <w:rPr>
          <w:color w:val="231F1F"/>
          <w:spacing w:val="-16"/>
          <w:w w:val="110"/>
        </w:rPr>
        <w:t> </w:t>
      </w:r>
      <w:r>
        <w:rPr>
          <w:color w:val="231F1F"/>
          <w:w w:val="110"/>
        </w:rPr>
        <w:t>of</w:t>
      </w:r>
      <w:r>
        <w:rPr>
          <w:color w:val="231F1F"/>
          <w:spacing w:val="-13"/>
          <w:w w:val="110"/>
        </w:rPr>
        <w:t> </w:t>
      </w:r>
      <w:r>
        <w:rPr>
          <w:rFonts w:ascii="Calibri" w:hAnsi="Calibri"/>
          <w:color w:val="008356"/>
          <w:spacing w:val="4"/>
          <w:w w:val="110"/>
          <w:sz w:val="11"/>
        </w:rPr>
        <w:t>AZITHROMYCIN</w:t>
      </w:r>
      <w:r>
        <w:rPr>
          <w:rFonts w:ascii="Calibri" w:hAnsi="Calibri"/>
          <w:color w:val="008356"/>
          <w:spacing w:val="-5"/>
          <w:w w:val="110"/>
          <w:sz w:val="11"/>
        </w:rPr>
        <w:t> </w:t>
      </w:r>
      <w:r>
        <w:rPr>
          <w:color w:val="231F1F"/>
          <w:w w:val="110"/>
        </w:rPr>
        <w:t>and</w:t>
      </w:r>
      <w:r>
        <w:rPr>
          <w:color w:val="231F1F"/>
          <w:spacing w:val="-13"/>
          <w:w w:val="110"/>
        </w:rPr>
        <w:t> </w:t>
      </w:r>
      <w:r>
        <w:rPr>
          <w:rFonts w:ascii="Calibri" w:hAnsi="Calibri"/>
          <w:color w:val="008356"/>
          <w:spacing w:val="4"/>
          <w:w w:val="110"/>
          <w:sz w:val="11"/>
        </w:rPr>
        <w:t>ERYTHROMYCIN</w:t>
      </w:r>
      <w:r>
        <w:rPr>
          <w:color w:val="231F1F"/>
          <w:spacing w:val="4"/>
          <w:w w:val="110"/>
        </w:rPr>
        <w:t>;</w:t>
      </w:r>
      <w:r>
        <w:rPr>
          <w:color w:val="231F1F"/>
          <w:spacing w:val="-14"/>
          <w:w w:val="110"/>
        </w:rPr>
        <w:t> </w:t>
      </w:r>
      <w:r>
        <w:rPr>
          <w:color w:val="231F1F"/>
          <w:w w:val="110"/>
        </w:rPr>
        <w:t>ritonavir increases plasma concentration of </w:t>
      </w:r>
      <w:r>
        <w:rPr>
          <w:rFonts w:ascii="Arial" w:hAnsi="Arial"/>
          <w:color w:val="231F1F"/>
          <w:w w:val="355"/>
          <w:position w:val="1"/>
          <w:sz w:val="7"/>
        </w:rPr>
        <w:t>l </w:t>
      </w:r>
      <w:r>
        <w:rPr>
          <w:rFonts w:ascii="Calibri" w:hAnsi="Calibri"/>
          <w:color w:val="008356"/>
          <w:spacing w:val="4"/>
          <w:w w:val="110"/>
          <w:sz w:val="11"/>
        </w:rPr>
        <w:t>CLARITHROMYCIN </w:t>
      </w:r>
      <w:r>
        <w:rPr>
          <w:color w:val="231F1F"/>
          <w:w w:val="110"/>
        </w:rPr>
        <w:t>(reduce dose of clarithromycin in renal impairment); ritonavir increases plasma concentration of </w:t>
      </w:r>
      <w:r>
        <w:rPr>
          <w:rFonts w:ascii="Arial" w:hAnsi="Arial"/>
          <w:color w:val="231F1F"/>
          <w:w w:val="355"/>
          <w:position w:val="1"/>
          <w:sz w:val="7"/>
        </w:rPr>
        <w:t>l </w:t>
      </w:r>
      <w:r>
        <w:rPr>
          <w:rFonts w:ascii="Calibri" w:hAnsi="Calibri"/>
          <w:color w:val="008356"/>
          <w:spacing w:val="4"/>
          <w:w w:val="110"/>
          <w:sz w:val="11"/>
        </w:rPr>
        <w:t>RIFABUTIN </w:t>
      </w:r>
      <w:r>
        <w:rPr>
          <w:color w:val="231F1F"/>
          <w:w w:val="110"/>
        </w:rPr>
        <w:t>(increased </w:t>
      </w:r>
      <w:r>
        <w:rPr>
          <w:color w:val="231F1F"/>
          <w:spacing w:val="-4"/>
          <w:w w:val="110"/>
        </w:rPr>
        <w:t>risk </w:t>
      </w:r>
      <w:r>
        <w:rPr>
          <w:color w:val="231F1F"/>
          <w:w w:val="110"/>
        </w:rPr>
        <w:t>of toxicity</w:t>
      </w:r>
      <w:r>
        <w:rPr>
          <w:rFonts w:ascii="Arial" w:hAnsi="Arial"/>
          <w:color w:val="231F1F"/>
          <w:w w:val="110"/>
        </w:rPr>
        <w:t>—</w:t>
      </w:r>
      <w:r>
        <w:rPr>
          <w:color w:val="231F1F"/>
          <w:w w:val="110"/>
        </w:rPr>
        <w:t>reduce rifabutin dose); plasma concentration of ritonavir reduced by </w:t>
      </w:r>
      <w:r>
        <w:rPr>
          <w:rFonts w:ascii="Calibri" w:hAnsi="Calibri"/>
          <w:color w:val="008356"/>
          <w:spacing w:val="4"/>
          <w:w w:val="110"/>
          <w:sz w:val="11"/>
        </w:rPr>
        <w:t>RIFAMPICIN</w:t>
      </w:r>
      <w:r>
        <w:rPr>
          <w:color w:val="231F1F"/>
          <w:spacing w:val="4"/>
          <w:w w:val="110"/>
        </w:rPr>
        <w:t>; </w:t>
      </w:r>
      <w:r>
        <w:rPr>
          <w:color w:val="231F1F"/>
          <w:w w:val="110"/>
        </w:rPr>
        <w:t>ritonavir possibly increases plasma concentration of </w:t>
      </w:r>
      <w:r>
        <w:rPr>
          <w:rFonts w:ascii="Calibri" w:hAnsi="Calibri"/>
          <w:color w:val="008356"/>
          <w:spacing w:val="3"/>
          <w:w w:val="110"/>
          <w:sz w:val="11"/>
        </w:rPr>
        <w:t>BEDAQUILINE</w:t>
      </w:r>
      <w:r>
        <w:rPr>
          <w:rFonts w:ascii="Arial" w:hAnsi="Arial"/>
          <w:color w:val="231F1F"/>
          <w:spacing w:val="3"/>
          <w:w w:val="110"/>
        </w:rPr>
        <w:t>—</w:t>
      </w:r>
      <w:r>
        <w:rPr>
          <w:color w:val="231F1F"/>
          <w:spacing w:val="3"/>
          <w:w w:val="110"/>
        </w:rPr>
        <w:t>avoid </w:t>
      </w:r>
      <w:r>
        <w:rPr>
          <w:color w:val="231F1F"/>
          <w:w w:val="110"/>
        </w:rPr>
        <w:t>concomitant use if ritonavir given for more than 14 days; ritonavir increases plasma concentration of </w:t>
      </w:r>
      <w:r>
        <w:rPr>
          <w:rFonts w:ascii="Calibri" w:hAnsi="Calibri"/>
          <w:color w:val="008356"/>
          <w:spacing w:val="4"/>
          <w:w w:val="110"/>
          <w:sz w:val="11"/>
        </w:rPr>
        <w:t>DELAMANID</w:t>
      </w:r>
      <w:r>
        <w:rPr>
          <w:color w:val="231F1F"/>
          <w:spacing w:val="4"/>
          <w:w w:val="110"/>
        </w:rPr>
        <w:t>; </w:t>
      </w:r>
      <w:r>
        <w:rPr>
          <w:color w:val="231F1F"/>
          <w:w w:val="110"/>
        </w:rPr>
        <w:t>plasma concentration of both drugs increased when ritonavir given with </w:t>
      </w:r>
      <w:r>
        <w:rPr>
          <w:rFonts w:ascii="Arial" w:hAnsi="Arial"/>
          <w:color w:val="231F1F"/>
          <w:w w:val="355"/>
          <w:position w:val="1"/>
          <w:sz w:val="7"/>
        </w:rPr>
        <w:t>l </w:t>
      </w:r>
      <w:r>
        <w:rPr>
          <w:rFonts w:ascii="Calibri" w:hAnsi="Calibri"/>
          <w:color w:val="008356"/>
          <w:spacing w:val="4"/>
          <w:w w:val="110"/>
          <w:sz w:val="11"/>
        </w:rPr>
        <w:t>FUSIDIC </w:t>
      </w:r>
      <w:r>
        <w:rPr>
          <w:rFonts w:ascii="Calibri" w:hAnsi="Calibri"/>
          <w:color w:val="008356"/>
          <w:w w:val="110"/>
          <w:sz w:val="11"/>
        </w:rPr>
        <w:t>ACID</w:t>
      </w:r>
      <w:r>
        <w:rPr>
          <w:rFonts w:ascii="Arial" w:hAnsi="Arial"/>
          <w:color w:val="231F1F"/>
          <w:w w:val="110"/>
        </w:rPr>
        <w:t>—</w:t>
      </w:r>
      <w:r>
        <w:rPr>
          <w:color w:val="231F1F"/>
          <w:w w:val="110"/>
        </w:rPr>
        <w:t>avoid concomitant use; avoidance of concomitant ritonavir in  severe  renal  and  hepatic impairment advised by manufacturer of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TELITHROMYCIN</w:t>
      </w:r>
    </w:p>
    <w:p>
      <w:pPr>
        <w:pStyle w:val="BodyText"/>
        <w:spacing w:line="242" w:lineRule="auto"/>
        <w:ind w:right="605" w:hanging="100"/>
      </w:pPr>
      <w:r>
        <w:rPr>
          <w:rFonts w:ascii="Arial" w:hAnsi="Arial"/>
          <w:color w:val="231F1F"/>
          <w:w w:val="355"/>
          <w:position w:val="1"/>
          <w:sz w:val="7"/>
        </w:rPr>
        <w:t>l </w:t>
      </w:r>
      <w:r>
        <w:rPr>
          <w:rFonts w:ascii="Calibri" w:hAnsi="Calibri"/>
          <w:color w:val="231F1F"/>
          <w:w w:val="110"/>
        </w:rPr>
        <w:t>Anticoagulants: </w:t>
      </w:r>
      <w:r>
        <w:rPr>
          <w:color w:val="231F1F"/>
          <w:w w:val="110"/>
        </w:rPr>
        <w:t>ritonavir may enhance or reduce anticoagulant effect of </w:t>
      </w:r>
      <w:r>
        <w:rPr>
          <w:rFonts w:ascii="Arial" w:hAnsi="Arial"/>
          <w:color w:val="231F1F"/>
          <w:w w:val="355"/>
          <w:position w:val="1"/>
          <w:sz w:val="7"/>
        </w:rPr>
        <w:t>l </w:t>
      </w:r>
      <w:r>
        <w:rPr>
          <w:rFonts w:ascii="Calibri" w:hAnsi="Calibri"/>
          <w:color w:val="008356"/>
          <w:w w:val="110"/>
          <w:sz w:val="11"/>
        </w:rPr>
        <w:t>WARFARIN</w:t>
      </w:r>
      <w:r>
        <w:rPr>
          <w:color w:val="231F1F"/>
          <w:w w:val="110"/>
        </w:rPr>
        <w:t>; avoidance of ritonavir advised by manufacturer of </w:t>
      </w:r>
      <w:r>
        <w:rPr>
          <w:rFonts w:ascii="Calibri" w:hAnsi="Calibri"/>
          <w:color w:val="008356"/>
          <w:w w:val="110"/>
          <w:sz w:val="11"/>
        </w:rPr>
        <w:t>APIXABAN</w:t>
      </w:r>
      <w:r>
        <w:rPr>
          <w:color w:val="231F1F"/>
          <w:w w:val="110"/>
        </w:rPr>
        <w:t>; ritonavir possibly enhances anticoagulant effect of </w:t>
      </w:r>
      <w:r>
        <w:rPr>
          <w:rFonts w:ascii="Arial" w:hAnsi="Arial"/>
          <w:color w:val="231F1F"/>
          <w:w w:val="355"/>
          <w:position w:val="1"/>
          <w:sz w:val="7"/>
        </w:rPr>
        <w:t>l </w:t>
      </w:r>
      <w:r>
        <w:rPr>
          <w:rFonts w:ascii="Calibri" w:hAnsi="Calibri"/>
          <w:color w:val="008356"/>
          <w:w w:val="110"/>
          <w:sz w:val="11"/>
        </w:rPr>
        <w:t>COUMARINS </w:t>
      </w:r>
      <w:r>
        <w:rPr>
          <w:color w:val="231F1F"/>
          <w:w w:val="110"/>
        </w:rPr>
        <w:t>and </w:t>
      </w:r>
      <w:r>
        <w:rPr>
          <w:rFonts w:ascii="Arial" w:hAnsi="Arial"/>
          <w:color w:val="231F1F"/>
          <w:w w:val="355"/>
          <w:position w:val="1"/>
          <w:sz w:val="7"/>
        </w:rPr>
        <w:t>l </w:t>
      </w:r>
      <w:r>
        <w:rPr>
          <w:rFonts w:ascii="Calibri" w:hAnsi="Calibri"/>
          <w:color w:val="008356"/>
          <w:w w:val="110"/>
          <w:sz w:val="11"/>
        </w:rPr>
        <w:t>PHENINDIONE</w:t>
      </w:r>
      <w:r>
        <w:rPr>
          <w:color w:val="231F1F"/>
          <w:w w:val="110"/>
        </w:rPr>
        <w:t>; ritonavir increases plasma concentration of </w:t>
      </w:r>
      <w:r>
        <w:rPr>
          <w:rFonts w:ascii="Arial" w:hAnsi="Arial"/>
          <w:color w:val="231F1F"/>
          <w:w w:val="355"/>
          <w:position w:val="1"/>
          <w:sz w:val="7"/>
        </w:rPr>
        <w:t>l </w:t>
      </w:r>
      <w:r>
        <w:rPr>
          <w:rFonts w:ascii="Calibri" w:hAnsi="Calibri"/>
          <w:color w:val="008356"/>
          <w:w w:val="110"/>
          <w:sz w:val="11"/>
        </w:rPr>
        <w:t>RIVAROXABAN</w:t>
      </w:r>
      <w:r>
        <w:rPr>
          <w:rFonts w:ascii="Arial" w:hAnsi="Arial"/>
          <w:color w:val="231F1F"/>
          <w:w w:val="110"/>
        </w:rPr>
        <w:t>— </w:t>
      </w:r>
      <w:r>
        <w:rPr>
          <w:color w:val="231F1F"/>
          <w:w w:val="110"/>
        </w:rPr>
        <w:t>avoid concomitant use</w:t>
      </w:r>
    </w:p>
    <w:p>
      <w:pPr>
        <w:pStyle w:val="BodyText"/>
        <w:spacing w:line="242" w:lineRule="auto"/>
        <w:ind w:right="700" w:hanging="100"/>
      </w:pPr>
      <w:r>
        <w:rPr>
          <w:rFonts w:ascii="Arial" w:hAnsi="Arial"/>
          <w:color w:val="231F1F"/>
          <w:w w:val="355"/>
          <w:position w:val="1"/>
          <w:sz w:val="7"/>
        </w:rPr>
        <w:t>l </w:t>
      </w:r>
      <w:r>
        <w:rPr>
          <w:rFonts w:ascii="Calibri" w:hAnsi="Calibri"/>
          <w:color w:val="231F1F"/>
          <w:w w:val="110"/>
        </w:rPr>
        <w:t>Antidepressants: </w:t>
      </w:r>
      <w:r>
        <w:rPr>
          <w:color w:val="231F1F"/>
          <w:w w:val="110"/>
        </w:rPr>
        <w:t>ritonavir possibly reduces plasma concentration of </w:t>
      </w:r>
      <w:r>
        <w:rPr>
          <w:rFonts w:ascii="Calibri" w:hAnsi="Calibri"/>
          <w:color w:val="008356"/>
          <w:spacing w:val="4"/>
          <w:w w:val="110"/>
          <w:sz w:val="11"/>
        </w:rPr>
        <w:t>PAROXETINE</w:t>
      </w:r>
      <w:r>
        <w:rPr>
          <w:color w:val="231F1F"/>
          <w:spacing w:val="4"/>
          <w:w w:val="110"/>
        </w:rPr>
        <w:t>; </w:t>
      </w:r>
      <w:r>
        <w:rPr>
          <w:color w:val="231F1F"/>
          <w:w w:val="110"/>
        </w:rPr>
        <w:t>ritonavir increases plasma concentration of </w:t>
      </w:r>
      <w:r>
        <w:rPr>
          <w:rFonts w:ascii="Arial" w:hAnsi="Arial"/>
          <w:color w:val="231F1F"/>
          <w:w w:val="355"/>
          <w:position w:val="1"/>
          <w:sz w:val="7"/>
        </w:rPr>
        <w:t>l </w:t>
      </w:r>
      <w:r>
        <w:rPr>
          <w:rFonts w:ascii="Calibri" w:hAnsi="Calibri"/>
          <w:color w:val="008356"/>
          <w:spacing w:val="4"/>
          <w:w w:val="110"/>
          <w:sz w:val="11"/>
        </w:rPr>
        <w:t>TRAZODONE </w:t>
      </w:r>
      <w:r>
        <w:rPr>
          <w:color w:val="231F1F"/>
          <w:w w:val="110"/>
        </w:rPr>
        <w:t>(increased risk of toxicity); ritonavir possibly increases plasma concentration of </w:t>
      </w:r>
      <w:r>
        <w:rPr>
          <w:rFonts w:ascii="Arial" w:hAnsi="Arial"/>
          <w:color w:val="231F1F"/>
          <w:w w:val="355"/>
          <w:position w:val="1"/>
          <w:sz w:val="7"/>
        </w:rPr>
        <w:t>l </w:t>
      </w:r>
      <w:r>
        <w:rPr>
          <w:rFonts w:ascii="Calibri" w:hAnsi="Calibri"/>
          <w:color w:val="008356"/>
          <w:spacing w:val="5"/>
          <w:w w:val="110"/>
          <w:sz w:val="11"/>
        </w:rPr>
        <w:t>SSRIS </w:t>
      </w:r>
      <w:r>
        <w:rPr>
          <w:color w:val="231F1F"/>
          <w:w w:val="110"/>
        </w:rPr>
        <w:t>and </w:t>
      </w:r>
      <w:r>
        <w:rPr>
          <w:rFonts w:ascii="Arial" w:hAnsi="Arial"/>
          <w:color w:val="231F1F"/>
          <w:w w:val="355"/>
          <w:position w:val="1"/>
          <w:sz w:val="7"/>
        </w:rPr>
        <w:t>l </w:t>
      </w:r>
      <w:r>
        <w:rPr>
          <w:rFonts w:ascii="Calibri" w:hAnsi="Calibri"/>
          <w:color w:val="008356"/>
          <w:spacing w:val="4"/>
          <w:w w:val="110"/>
          <w:sz w:val="11"/>
        </w:rPr>
        <w:t>TRICYCLICS</w:t>
      </w:r>
      <w:r>
        <w:rPr>
          <w:color w:val="231F1F"/>
          <w:spacing w:val="4"/>
          <w:w w:val="110"/>
        </w:rPr>
        <w:t>; </w:t>
      </w:r>
      <w:r>
        <w:rPr>
          <w:color w:val="231F1F"/>
          <w:w w:val="110"/>
        </w:rPr>
        <w:t>plasma concentration of ritonavir reduced by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pStyle w:val="BodyText"/>
        <w:spacing w:line="220" w:lineRule="auto"/>
        <w:ind w:right="99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ritonavir possibly increases plasma concentration of </w:t>
      </w:r>
      <w:r>
        <w:rPr>
          <w:rFonts w:ascii="Calibri" w:hAnsi="Calibri"/>
          <w:color w:val="008356"/>
          <w:w w:val="105"/>
          <w:sz w:val="11"/>
        </w:rPr>
        <w:t>TOLBUTAMIDE</w:t>
      </w:r>
    </w:p>
    <w:p>
      <w:pPr>
        <w:pStyle w:val="BodyText"/>
        <w:spacing w:line="244" w:lineRule="auto"/>
        <w:ind w:right="700" w:hanging="100"/>
      </w:pPr>
      <w:r>
        <w:rPr>
          <w:rFonts w:ascii="Arial"/>
          <w:color w:val="231F1F"/>
          <w:w w:val="355"/>
          <w:position w:val="1"/>
          <w:sz w:val="7"/>
        </w:rPr>
        <w:t>l </w:t>
      </w:r>
      <w:r>
        <w:rPr>
          <w:rFonts w:ascii="Calibri"/>
          <w:color w:val="231F1F"/>
          <w:w w:val="110"/>
        </w:rPr>
        <w:t>Antiepileptics: </w:t>
      </w:r>
      <w:r>
        <w:rPr>
          <w:color w:val="231F1F"/>
          <w:w w:val="110"/>
        </w:rPr>
        <w:t>ritonavir possibly increases plasma concentration of </w:t>
      </w:r>
      <w:r>
        <w:rPr>
          <w:rFonts w:ascii="Arial"/>
          <w:color w:val="231F1F"/>
          <w:w w:val="355"/>
          <w:position w:val="1"/>
          <w:sz w:val="7"/>
        </w:rPr>
        <w:t>l </w:t>
      </w:r>
      <w:r>
        <w:rPr>
          <w:rFonts w:ascii="Calibri"/>
          <w:color w:val="008356"/>
          <w:w w:val="110"/>
          <w:sz w:val="11"/>
        </w:rPr>
        <w:t>CARBAMAZEPINE</w:t>
      </w:r>
      <w:r>
        <w:rPr>
          <w:color w:val="231F1F"/>
          <w:w w:val="110"/>
        </w:rPr>
        <w:t>; plasma concentration of ritonavir possibly reduced by </w:t>
      </w:r>
      <w:r>
        <w:rPr>
          <w:rFonts w:ascii="Calibri"/>
          <w:color w:val="008356"/>
          <w:w w:val="110"/>
          <w:sz w:val="11"/>
        </w:rPr>
        <w:t>FOSPHENYTOIN </w:t>
      </w:r>
      <w:r>
        <w:rPr>
          <w:color w:val="231F1F"/>
          <w:w w:val="110"/>
        </w:rPr>
        <w:t>and </w:t>
      </w:r>
      <w:r>
        <w:rPr>
          <w:rFonts w:ascii="Calibri"/>
          <w:color w:val="008356"/>
          <w:w w:val="110"/>
          <w:sz w:val="11"/>
        </w:rPr>
        <w:t>PHENYTOIN</w:t>
      </w:r>
      <w:r>
        <w:rPr>
          <w:color w:val="231F1F"/>
          <w:w w:val="110"/>
        </w:rPr>
        <w:t>, also plasma concentration of fosphenytoin and phenytoin possibly affected; ritonavir possibly reduces plasma</w:t>
      </w:r>
    </w:p>
    <w:p>
      <w:pPr>
        <w:spacing w:after="0" w:line="244" w:lineRule="auto"/>
        <w:sectPr>
          <w:pgSz w:w="8390" w:h="11910"/>
          <w:pgMar w:header="0" w:footer="0" w:top="460" w:bottom="0" w:left="480" w:right="0"/>
          <w:cols w:num="2" w:equalWidth="0">
            <w:col w:w="3602" w:space="73"/>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064" filled="true" fillcolor="#bfdbcf" stroked="false">
            <v:fill type="solid"/>
            <w10:wrap type="none"/>
          </v:rect>
        </w:pict>
      </w:r>
      <w:r>
        <w:rPr/>
        <w:pict>
          <v:shape style="position:absolute;margin-left:7.751256pt;margin-top:35.804367pt;width:10.4pt;height:78.850pt;mso-position-horizontal-relative:page;mso-position-vertical-relative:page;z-index:608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Ritonavir</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Antiepileptics (continued)</w:t>
      </w:r>
    </w:p>
    <w:p>
      <w:pPr>
        <w:spacing w:line="141" w:lineRule="exact" w:before="0"/>
        <w:ind w:left="286" w:right="0" w:firstLine="0"/>
        <w:jc w:val="left"/>
        <w:rPr>
          <w:sz w:val="12"/>
        </w:rPr>
      </w:pPr>
      <w:r>
        <w:rPr>
          <w:color w:val="231F1F"/>
          <w:w w:val="110"/>
          <w:sz w:val="12"/>
        </w:rPr>
        <w:t>concentration of </w:t>
      </w:r>
      <w:r>
        <w:rPr>
          <w:rFonts w:ascii="Calibri"/>
          <w:color w:val="008356"/>
          <w:w w:val="110"/>
          <w:sz w:val="11"/>
        </w:rPr>
        <w:t>LAMOTRIGINE</w:t>
      </w:r>
      <w:r>
        <w:rPr>
          <w:color w:val="231F1F"/>
          <w:w w:val="110"/>
          <w:sz w:val="12"/>
        </w:rPr>
        <w:t>, </w:t>
      </w:r>
      <w:r>
        <w:rPr>
          <w:rFonts w:ascii="Calibri"/>
          <w:color w:val="008356"/>
          <w:w w:val="110"/>
          <w:sz w:val="11"/>
        </w:rPr>
        <w:t>SODIUM VALPROATE </w:t>
      </w:r>
      <w:r>
        <w:rPr>
          <w:color w:val="231F1F"/>
          <w:w w:val="110"/>
          <w:sz w:val="12"/>
        </w:rPr>
        <w:t>and</w:t>
      </w:r>
    </w:p>
    <w:p>
      <w:pPr>
        <w:spacing w:line="133" w:lineRule="exact" w:before="10"/>
        <w:ind w:left="286" w:right="0" w:firstLine="0"/>
        <w:jc w:val="left"/>
        <w:rPr>
          <w:rFonts w:ascii="Calibri"/>
          <w:sz w:val="11"/>
        </w:rPr>
      </w:pPr>
      <w:r>
        <w:rPr>
          <w:rFonts w:ascii="Calibri"/>
          <w:color w:val="008356"/>
          <w:sz w:val="11"/>
        </w:rPr>
        <w:t>VALPROIC ACID</w:t>
      </w:r>
    </w:p>
    <w:p>
      <w:pPr>
        <w:pStyle w:val="BodyText"/>
        <w:ind w:left="286" w:right="355" w:hanging="100"/>
        <w:jc w:val="both"/>
      </w:pPr>
      <w:r>
        <w:rPr>
          <w:rFonts w:ascii="Arial"/>
          <w:color w:val="231F1F"/>
          <w:w w:val="355"/>
          <w:position w:val="1"/>
          <w:sz w:val="7"/>
        </w:rPr>
        <w:t>l </w:t>
      </w:r>
      <w:r>
        <w:rPr>
          <w:rFonts w:ascii="Calibri"/>
          <w:color w:val="231F1F"/>
          <w:w w:val="110"/>
        </w:rPr>
        <w:t>Antifungals: </w:t>
      </w:r>
      <w:r>
        <w:rPr>
          <w:color w:val="231F1F"/>
          <w:w w:val="110"/>
        </w:rPr>
        <w:t>ritonavir increases plasma concentration of </w:t>
      </w:r>
      <w:r>
        <w:rPr>
          <w:rFonts w:ascii="Arial"/>
          <w:color w:val="231F1F"/>
          <w:w w:val="355"/>
          <w:position w:val="1"/>
          <w:sz w:val="7"/>
        </w:rPr>
        <w:t>l </w:t>
      </w:r>
      <w:r>
        <w:rPr>
          <w:rFonts w:ascii="Calibri"/>
          <w:color w:val="008356"/>
          <w:w w:val="110"/>
          <w:sz w:val="11"/>
        </w:rPr>
        <w:t>KETOCONAZOLE </w:t>
      </w:r>
      <w:r>
        <w:rPr>
          <w:color w:val="231F1F"/>
          <w:w w:val="110"/>
        </w:rPr>
        <w:t>(reduce dose of ketoconazole); plasma concentration of ritonavir increased by </w:t>
      </w:r>
      <w:r>
        <w:rPr>
          <w:rFonts w:ascii="Calibri"/>
          <w:color w:val="008356"/>
          <w:w w:val="110"/>
          <w:sz w:val="11"/>
        </w:rPr>
        <w:t>FLUCONAZOLE</w:t>
      </w:r>
      <w:r>
        <w:rPr>
          <w:color w:val="231F1F"/>
          <w:w w:val="110"/>
        </w:rPr>
        <w:t>;</w:t>
      </w:r>
    </w:p>
    <w:p>
      <w:pPr>
        <w:pStyle w:val="BodyText"/>
        <w:spacing w:line="244" w:lineRule="auto" w:before="1"/>
        <w:ind w:left="286" w:right="95"/>
      </w:pPr>
      <w:r>
        <w:rPr>
          <w:color w:val="231F1F"/>
          <w:w w:val="110"/>
        </w:rPr>
        <w:t>combination of ritonavir with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ITRACONAZOLE </w:t>
      </w:r>
      <w:r>
        <w:rPr>
          <w:color w:val="231F1F"/>
          <w:w w:val="110"/>
        </w:rPr>
        <w:t>may increase plasma concentration of either drug (or both); ritonavir reduces plasma concentration of </w:t>
      </w:r>
      <w:r>
        <w:rPr>
          <w:rFonts w:ascii="Arial" w:hAnsi="Arial"/>
          <w:color w:val="231F1F"/>
          <w:w w:val="355"/>
          <w:position w:val="1"/>
          <w:sz w:val="7"/>
        </w:rPr>
        <w:t>l </w:t>
      </w:r>
      <w:r>
        <w:rPr>
          <w:rFonts w:ascii="Calibri" w:hAnsi="Calibri"/>
          <w:color w:val="008356"/>
          <w:spacing w:val="3"/>
          <w:w w:val="110"/>
          <w:sz w:val="11"/>
        </w:rPr>
        <w:t>VORICONAZOLE</w:t>
      </w:r>
      <w:r>
        <w:rPr>
          <w:rFonts w:ascii="Arial" w:hAnsi="Arial"/>
          <w:color w:val="231F1F"/>
          <w:spacing w:val="3"/>
          <w:w w:val="110"/>
        </w:rPr>
        <w:t>—</w:t>
      </w:r>
      <w:r>
        <w:rPr>
          <w:color w:val="231F1F"/>
          <w:spacing w:val="3"/>
          <w:w w:val="110"/>
        </w:rPr>
        <w:t>avoid </w:t>
      </w:r>
      <w:r>
        <w:rPr>
          <w:color w:val="231F1F"/>
          <w:w w:val="110"/>
        </w:rPr>
        <w:t>concomitant use</w:t>
      </w:r>
    </w:p>
    <w:p>
      <w:pPr>
        <w:spacing w:line="220" w:lineRule="auto" w:before="8"/>
        <w:ind w:left="286" w:right="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Antihistamines: </w:t>
      </w:r>
      <w:r>
        <w:rPr>
          <w:color w:val="231F1F"/>
          <w:w w:val="105"/>
          <w:sz w:val="12"/>
        </w:rPr>
        <w:t>ritonavir possibly increases plasma concentration of </w:t>
      </w:r>
      <w:r>
        <w:rPr>
          <w:rFonts w:ascii="Calibri" w:hAnsi="Calibri"/>
          <w:color w:val="008356"/>
          <w:w w:val="105"/>
          <w:sz w:val="11"/>
        </w:rPr>
        <w:t>NON-SEDATING ANTIHISTAMINES</w:t>
      </w:r>
    </w:p>
    <w:p>
      <w:pPr>
        <w:spacing w:line="242" w:lineRule="auto" w:before="0"/>
        <w:ind w:left="286" w:right="0"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caution with ritonavir advised by manufacturer of </w:t>
      </w:r>
      <w:r>
        <w:rPr>
          <w:rFonts w:ascii="Calibri"/>
          <w:color w:val="008356"/>
          <w:w w:val="110"/>
          <w:sz w:val="11"/>
        </w:rPr>
        <w:t>ARTEMETHER WITH LUMEFANTRINE</w:t>
      </w:r>
      <w:r>
        <w:rPr>
          <w:color w:val="231F1F"/>
          <w:w w:val="110"/>
          <w:sz w:val="12"/>
        </w:rPr>
        <w:t>; plasma concentration of ritonavir possibly reduced by </w:t>
      </w:r>
      <w:r>
        <w:rPr>
          <w:rFonts w:ascii="Calibri"/>
          <w:color w:val="008356"/>
          <w:w w:val="110"/>
          <w:sz w:val="11"/>
        </w:rPr>
        <w:t>MEFLOQUINE</w:t>
      </w:r>
      <w:r>
        <w:rPr>
          <w:color w:val="231F1F"/>
          <w:w w:val="110"/>
          <w:sz w:val="12"/>
        </w:rPr>
        <w:t>; ritonavir increases plasma concentration of </w:t>
      </w:r>
      <w:r>
        <w:rPr>
          <w:rFonts w:ascii="Arial"/>
          <w:color w:val="231F1F"/>
          <w:w w:val="355"/>
          <w:position w:val="1"/>
          <w:sz w:val="7"/>
        </w:rPr>
        <w:t>l </w:t>
      </w:r>
      <w:r>
        <w:rPr>
          <w:rFonts w:ascii="Calibri"/>
          <w:color w:val="008356"/>
          <w:w w:val="110"/>
          <w:sz w:val="11"/>
        </w:rPr>
        <w:t>QUININE </w:t>
      </w:r>
      <w:r>
        <w:rPr>
          <w:color w:val="231F1F"/>
          <w:w w:val="110"/>
          <w:sz w:val="12"/>
        </w:rPr>
        <w:t>(increased risk of toxicity)</w:t>
      </w:r>
    </w:p>
    <w:p>
      <w:pPr>
        <w:pStyle w:val="BodyText"/>
        <w:spacing w:line="141" w:lineRule="exact"/>
        <w:ind w:left="186"/>
      </w:pPr>
      <w:r>
        <w:rPr>
          <w:rFonts w:ascii="Arial"/>
          <w:color w:val="231F1F"/>
          <w:w w:val="355"/>
          <w:position w:val="1"/>
          <w:sz w:val="7"/>
        </w:rPr>
        <w:t>l </w:t>
      </w:r>
      <w:r>
        <w:rPr>
          <w:rFonts w:ascii="Calibri"/>
          <w:color w:val="231F1F"/>
          <w:w w:val="115"/>
        </w:rPr>
        <w:t>Antimuscarinics: </w:t>
      </w:r>
      <w:r>
        <w:rPr>
          <w:color w:val="231F1F"/>
          <w:w w:val="115"/>
        </w:rPr>
        <w:t>avoidance of ritonavir advised by</w:t>
      </w:r>
    </w:p>
    <w:p>
      <w:pPr>
        <w:pStyle w:val="BodyText"/>
        <w:spacing w:line="244" w:lineRule="auto"/>
        <w:ind w:left="286"/>
      </w:pPr>
      <w:r>
        <w:rPr>
          <w:color w:val="231F1F"/>
          <w:w w:val="110"/>
        </w:rPr>
        <w:t>manufacturer of </w:t>
      </w:r>
      <w:r>
        <w:rPr>
          <w:rFonts w:ascii="Calibri" w:hAnsi="Calibri"/>
          <w:color w:val="008356"/>
          <w:w w:val="110"/>
          <w:sz w:val="11"/>
        </w:rPr>
        <w:t>DARIFENACIN </w:t>
      </w:r>
      <w:r>
        <w:rPr>
          <w:color w:val="231F1F"/>
          <w:w w:val="110"/>
        </w:rPr>
        <w:t>and </w:t>
      </w:r>
      <w:r>
        <w:rPr>
          <w:rFonts w:ascii="Calibri" w:hAnsi="Calibri"/>
          <w:color w:val="008356"/>
          <w:w w:val="110"/>
          <w:sz w:val="11"/>
        </w:rPr>
        <w:t>TOLTERODINE</w:t>
      </w:r>
      <w:r>
        <w:rPr>
          <w:color w:val="231F1F"/>
          <w:w w:val="110"/>
        </w:rPr>
        <w:t>; manufacturer of fesoterodine advises dose reduction when ritonavir given with </w:t>
      </w:r>
      <w:r>
        <w:rPr>
          <w:rFonts w:ascii="Calibri" w:hAnsi="Calibri"/>
          <w:color w:val="008356"/>
          <w:w w:val="110"/>
          <w:sz w:val="11"/>
        </w:rPr>
        <w:t>FESOTERODINE</w:t>
      </w:r>
      <w:r>
        <w:rPr>
          <w:rFonts w:ascii="Arial" w:hAnsi="Arial"/>
          <w:color w:val="231F1F"/>
          <w:w w:val="110"/>
        </w:rPr>
        <w:t>—</w:t>
      </w:r>
      <w:r>
        <w:rPr>
          <w:color w:val="231F1F"/>
          <w:w w:val="110"/>
        </w:rPr>
        <w:t>consult fesoterodine product literature; ritonavir possibly increases plasma concentration of</w:t>
      </w:r>
    </w:p>
    <w:p>
      <w:pPr>
        <w:spacing w:line="141" w:lineRule="exact" w:before="2"/>
        <w:ind w:left="286" w:right="0" w:firstLine="0"/>
        <w:jc w:val="left"/>
        <w:rPr>
          <w:sz w:val="12"/>
        </w:rPr>
      </w:pPr>
      <w:r>
        <w:rPr>
          <w:rFonts w:ascii="Arial" w:hAnsi="Arial"/>
          <w:color w:val="231F1F"/>
          <w:w w:val="355"/>
          <w:position w:val="1"/>
          <w:sz w:val="7"/>
        </w:rPr>
        <w:t>l </w:t>
      </w:r>
      <w:r>
        <w:rPr>
          <w:rFonts w:ascii="Calibri" w:hAnsi="Calibri"/>
          <w:color w:val="008356"/>
          <w:w w:val="115"/>
          <w:sz w:val="11"/>
        </w:rPr>
        <w:t>SOLIFENACIN</w:t>
      </w:r>
      <w:r>
        <w:rPr>
          <w:rFonts w:ascii="Arial" w:hAnsi="Arial"/>
          <w:color w:val="231F1F"/>
          <w:w w:val="115"/>
          <w:sz w:val="12"/>
        </w:rPr>
        <w:t>—</w:t>
      </w:r>
      <w:r>
        <w:rPr>
          <w:color w:val="231F1F"/>
          <w:w w:val="115"/>
          <w:sz w:val="12"/>
        </w:rPr>
        <w:t>see under Solifenacin, p. 670</w:t>
      </w:r>
    </w:p>
    <w:p>
      <w:pPr>
        <w:pStyle w:val="BodyText"/>
        <w:spacing w:line="244" w:lineRule="auto"/>
        <w:ind w:left="286" w:right="-2" w:hanging="100"/>
      </w:pPr>
      <w:r>
        <w:rPr>
          <w:rFonts w:ascii="Arial" w:hAnsi="Arial"/>
          <w:color w:val="231F1F"/>
          <w:w w:val="355"/>
          <w:position w:val="1"/>
          <w:sz w:val="7"/>
        </w:rPr>
        <w:t>l </w:t>
      </w:r>
      <w:r>
        <w:rPr>
          <w:rFonts w:ascii="Calibri" w:hAnsi="Calibri"/>
          <w:color w:val="231F1F"/>
          <w:w w:val="115"/>
        </w:rPr>
        <w:t>Antipsychotics: </w:t>
      </w:r>
      <w:r>
        <w:rPr>
          <w:color w:val="231F1F"/>
          <w:w w:val="115"/>
        </w:rPr>
        <w:t>ritonavir possibly increases plasma concentration of </w:t>
      </w:r>
      <w:r>
        <w:rPr>
          <w:rFonts w:ascii="Arial" w:hAnsi="Arial"/>
          <w:color w:val="231F1F"/>
          <w:w w:val="355"/>
          <w:position w:val="1"/>
          <w:sz w:val="7"/>
        </w:rPr>
        <w:t>l </w:t>
      </w:r>
      <w:r>
        <w:rPr>
          <w:rFonts w:ascii="Calibri" w:hAnsi="Calibri"/>
          <w:color w:val="008356"/>
          <w:spacing w:val="4"/>
          <w:w w:val="115"/>
          <w:sz w:val="11"/>
        </w:rPr>
        <w:t>ANTIPSYCHOTICS</w:t>
      </w:r>
      <w:r>
        <w:rPr>
          <w:color w:val="231F1F"/>
          <w:spacing w:val="4"/>
          <w:w w:val="115"/>
        </w:rPr>
        <w:t>; </w:t>
      </w:r>
      <w:r>
        <w:rPr>
          <w:color w:val="231F1F"/>
          <w:w w:val="115"/>
        </w:rPr>
        <w:t>ritonavir possibly increases plasma concentration of </w:t>
      </w:r>
      <w:r>
        <w:rPr>
          <w:rFonts w:ascii="Arial" w:hAnsi="Arial"/>
          <w:color w:val="231F1F"/>
          <w:w w:val="355"/>
          <w:position w:val="1"/>
          <w:sz w:val="7"/>
        </w:rPr>
        <w:t>l </w:t>
      </w:r>
      <w:r>
        <w:rPr>
          <w:rFonts w:ascii="Calibri" w:hAnsi="Calibri"/>
          <w:color w:val="008356"/>
          <w:spacing w:val="4"/>
          <w:w w:val="115"/>
          <w:sz w:val="11"/>
        </w:rPr>
        <w:t>ARIPIPRAZOLE </w:t>
      </w:r>
      <w:r>
        <w:rPr>
          <w:color w:val="231F1F"/>
          <w:w w:val="115"/>
        </w:rPr>
        <w:t>(reduce dose</w:t>
      </w:r>
      <w:r>
        <w:rPr>
          <w:color w:val="231F1F"/>
          <w:spacing w:val="-9"/>
          <w:w w:val="115"/>
        </w:rPr>
        <w:t> </w:t>
      </w:r>
      <w:r>
        <w:rPr>
          <w:color w:val="231F1F"/>
          <w:w w:val="115"/>
        </w:rPr>
        <w:t>of</w:t>
      </w:r>
      <w:r>
        <w:rPr>
          <w:color w:val="231F1F"/>
          <w:spacing w:val="-7"/>
          <w:w w:val="115"/>
        </w:rPr>
        <w:t> </w:t>
      </w:r>
      <w:r>
        <w:rPr>
          <w:color w:val="231F1F"/>
          <w:w w:val="115"/>
        </w:rPr>
        <w:t>aripiprazole</w:t>
      </w:r>
      <w:r>
        <w:rPr>
          <w:rFonts w:ascii="Arial" w:hAnsi="Arial"/>
          <w:color w:val="231F1F"/>
          <w:w w:val="115"/>
        </w:rPr>
        <w:t>—</w:t>
      </w:r>
      <w:r>
        <w:rPr>
          <w:color w:val="231F1F"/>
          <w:w w:val="115"/>
        </w:rPr>
        <w:t>consult</w:t>
      </w:r>
      <w:r>
        <w:rPr>
          <w:color w:val="231F1F"/>
          <w:spacing w:val="-9"/>
          <w:w w:val="115"/>
        </w:rPr>
        <w:t> </w:t>
      </w:r>
      <w:r>
        <w:rPr>
          <w:color w:val="231F1F"/>
          <w:w w:val="115"/>
        </w:rPr>
        <w:t>aripiprazole</w:t>
      </w:r>
      <w:r>
        <w:rPr>
          <w:color w:val="231F1F"/>
          <w:spacing w:val="-9"/>
          <w:w w:val="115"/>
        </w:rPr>
        <w:t> </w:t>
      </w:r>
      <w:r>
        <w:rPr>
          <w:color w:val="231F1F"/>
          <w:w w:val="115"/>
        </w:rPr>
        <w:t>product</w:t>
      </w:r>
      <w:r>
        <w:rPr>
          <w:color w:val="231F1F"/>
          <w:spacing w:val="-8"/>
          <w:w w:val="115"/>
        </w:rPr>
        <w:t> </w:t>
      </w:r>
      <w:r>
        <w:rPr>
          <w:color w:val="231F1F"/>
          <w:spacing w:val="-2"/>
          <w:w w:val="115"/>
        </w:rPr>
        <w:t>literature); </w:t>
      </w:r>
      <w:r>
        <w:rPr>
          <w:color w:val="231F1F"/>
          <w:w w:val="115"/>
        </w:rPr>
        <w:t>manufacturer</w:t>
      </w:r>
      <w:r>
        <w:rPr>
          <w:color w:val="231F1F"/>
          <w:spacing w:val="-7"/>
          <w:w w:val="115"/>
        </w:rPr>
        <w:t> </w:t>
      </w:r>
      <w:r>
        <w:rPr>
          <w:color w:val="231F1F"/>
          <w:w w:val="115"/>
        </w:rPr>
        <w:t>of</w:t>
      </w:r>
      <w:r>
        <w:rPr>
          <w:color w:val="231F1F"/>
          <w:spacing w:val="-4"/>
          <w:w w:val="115"/>
        </w:rPr>
        <w:t> </w:t>
      </w:r>
      <w:r>
        <w:rPr>
          <w:color w:val="231F1F"/>
          <w:w w:val="115"/>
        </w:rPr>
        <w:t>ritonavir</w:t>
      </w:r>
      <w:r>
        <w:rPr>
          <w:color w:val="231F1F"/>
          <w:spacing w:val="-6"/>
          <w:w w:val="115"/>
        </w:rPr>
        <w:t> </w:t>
      </w:r>
      <w:r>
        <w:rPr>
          <w:color w:val="231F1F"/>
          <w:w w:val="115"/>
        </w:rPr>
        <w:t>advises</w:t>
      </w:r>
      <w:r>
        <w:rPr>
          <w:color w:val="231F1F"/>
          <w:spacing w:val="-5"/>
          <w:w w:val="115"/>
        </w:rPr>
        <w:t> </w:t>
      </w:r>
      <w:r>
        <w:rPr>
          <w:color w:val="231F1F"/>
          <w:w w:val="115"/>
        </w:rPr>
        <w:t>avoid</w:t>
      </w:r>
      <w:r>
        <w:rPr>
          <w:color w:val="231F1F"/>
          <w:spacing w:val="-7"/>
          <w:w w:val="115"/>
        </w:rPr>
        <w:t> </w:t>
      </w:r>
      <w:r>
        <w:rPr>
          <w:color w:val="231F1F"/>
          <w:w w:val="115"/>
        </w:rPr>
        <w:t>concomitant</w:t>
      </w:r>
      <w:r>
        <w:rPr>
          <w:color w:val="231F1F"/>
          <w:spacing w:val="-6"/>
          <w:w w:val="115"/>
        </w:rPr>
        <w:t> </w:t>
      </w:r>
      <w:r>
        <w:rPr>
          <w:color w:val="231F1F"/>
          <w:w w:val="115"/>
        </w:rPr>
        <w:t>use</w:t>
      </w:r>
      <w:r>
        <w:rPr>
          <w:color w:val="231F1F"/>
          <w:spacing w:val="-6"/>
          <w:w w:val="115"/>
        </w:rPr>
        <w:t> </w:t>
      </w:r>
      <w:r>
        <w:rPr>
          <w:color w:val="231F1F"/>
          <w:spacing w:val="-5"/>
          <w:w w:val="115"/>
        </w:rPr>
        <w:t>with </w:t>
      </w:r>
      <w:r>
        <w:rPr>
          <w:rFonts w:ascii="Arial" w:hAnsi="Arial"/>
          <w:color w:val="231F1F"/>
          <w:w w:val="355"/>
          <w:position w:val="1"/>
          <w:sz w:val="7"/>
        </w:rPr>
        <w:t>l </w:t>
      </w:r>
      <w:r>
        <w:rPr>
          <w:rFonts w:ascii="Calibri" w:hAnsi="Calibri"/>
          <w:color w:val="008356"/>
          <w:spacing w:val="4"/>
          <w:w w:val="115"/>
          <w:sz w:val="11"/>
        </w:rPr>
        <w:t>CLOZAPINE </w:t>
      </w:r>
      <w:r>
        <w:rPr>
          <w:color w:val="231F1F"/>
          <w:w w:val="115"/>
        </w:rPr>
        <w:t>(increased risk of toxicity); ritonavir possibly increases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 use; ritonavir reduces plasma concentration of </w:t>
      </w:r>
      <w:r>
        <w:rPr>
          <w:rFonts w:ascii="Calibri" w:hAnsi="Calibri"/>
          <w:color w:val="008356"/>
          <w:spacing w:val="2"/>
          <w:w w:val="115"/>
          <w:sz w:val="11"/>
        </w:rPr>
        <w:t>OLANZAPINE</w:t>
      </w:r>
      <w:r>
        <w:rPr>
          <w:rFonts w:ascii="Arial" w:hAnsi="Arial"/>
          <w:color w:val="231F1F"/>
          <w:spacing w:val="2"/>
          <w:w w:val="115"/>
        </w:rPr>
        <w:t>—</w:t>
      </w:r>
      <w:r>
        <w:rPr>
          <w:color w:val="231F1F"/>
          <w:spacing w:val="2"/>
          <w:w w:val="115"/>
        </w:rPr>
        <w:t>consider </w:t>
      </w:r>
      <w:r>
        <w:rPr>
          <w:color w:val="231F1F"/>
          <w:w w:val="115"/>
        </w:rPr>
        <w:t>increasing dose of olanzapine; ritonavir increases plasma concentration of </w:t>
      </w:r>
      <w:r>
        <w:rPr>
          <w:rFonts w:ascii="Arial" w:hAnsi="Arial"/>
          <w:color w:val="231F1F"/>
          <w:w w:val="355"/>
          <w:position w:val="1"/>
          <w:sz w:val="7"/>
        </w:rPr>
        <w:t>l </w:t>
      </w:r>
      <w:r>
        <w:rPr>
          <w:rFonts w:ascii="Calibri" w:hAnsi="Calibri"/>
          <w:color w:val="008356"/>
          <w:spacing w:val="5"/>
          <w:w w:val="115"/>
          <w:sz w:val="11"/>
        </w:rPr>
        <w:t>PIMOZIDE </w:t>
      </w:r>
      <w:r>
        <w:rPr>
          <w:color w:val="231F1F"/>
          <w:w w:val="115"/>
        </w:rPr>
        <w:t>(increased risk of ventricular arrhythmias</w:t>
      </w:r>
      <w:r>
        <w:rPr>
          <w:rFonts w:ascii="Arial" w:hAnsi="Arial"/>
          <w:color w:val="231F1F"/>
          <w:w w:val="115"/>
        </w:rPr>
        <w:t>—</w:t>
      </w:r>
      <w:r>
        <w:rPr>
          <w:color w:val="231F1F"/>
          <w:w w:val="115"/>
        </w:rPr>
        <w:t>avoid concomitant use); ritonavir possibly increases plasma concentration</w:t>
      </w:r>
      <w:r>
        <w:rPr>
          <w:color w:val="231F1F"/>
          <w:spacing w:val="-16"/>
          <w:w w:val="115"/>
        </w:rPr>
        <w:t> </w:t>
      </w:r>
      <w:r>
        <w:rPr>
          <w:color w:val="231F1F"/>
          <w:w w:val="115"/>
        </w:rPr>
        <w:t>of</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13"/>
          <w:w w:val="115"/>
        </w:rPr>
        <w:t> </w:t>
      </w:r>
      <w:r>
        <w:rPr>
          <w:color w:val="231F1F"/>
          <w:w w:val="115"/>
        </w:rPr>
        <w:t>of</w:t>
      </w:r>
      <w:r>
        <w:rPr>
          <w:color w:val="231F1F"/>
          <w:spacing w:val="-15"/>
          <w:w w:val="115"/>
        </w:rPr>
        <w:t> </w:t>
      </w:r>
      <w:r>
        <w:rPr>
          <w:color w:val="231F1F"/>
          <w:w w:val="115"/>
        </w:rPr>
        <w:t>quetiapine advises avoid concomitant</w:t>
      </w:r>
      <w:r>
        <w:rPr>
          <w:color w:val="231F1F"/>
          <w:spacing w:val="-14"/>
          <w:w w:val="115"/>
        </w:rPr>
        <w:t> </w:t>
      </w:r>
      <w:r>
        <w:rPr>
          <w:color w:val="231F1F"/>
          <w:w w:val="115"/>
        </w:rPr>
        <w:t>use</w:t>
      </w:r>
    </w:p>
    <w:p>
      <w:pPr>
        <w:pStyle w:val="BodyText"/>
        <w:spacing w:line="244" w:lineRule="auto"/>
        <w:ind w:left="286"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both drugs reduced when ritonavir given with </w:t>
      </w:r>
      <w:r>
        <w:rPr>
          <w:rFonts w:ascii="Arial" w:hAnsi="Arial"/>
          <w:color w:val="231F1F"/>
          <w:w w:val="355"/>
          <w:position w:val="1"/>
          <w:sz w:val="7"/>
        </w:rPr>
        <w:t>l </w:t>
      </w:r>
      <w:r>
        <w:rPr>
          <w:rFonts w:ascii="Calibri" w:hAnsi="Calibri"/>
          <w:color w:val="008356"/>
          <w:w w:val="110"/>
          <w:sz w:val="11"/>
        </w:rPr>
        <w:t>BOCEPREVIR</w:t>
      </w:r>
      <w:r>
        <w:rPr>
          <w:color w:val="231F1F"/>
          <w:w w:val="110"/>
        </w:rPr>
        <w:t>; manufacturer of ritonavir advises ritonavir and </w:t>
      </w:r>
      <w:r>
        <w:rPr>
          <w:rFonts w:ascii="Calibri" w:hAnsi="Calibri"/>
          <w:color w:val="008356"/>
          <w:w w:val="110"/>
          <w:sz w:val="11"/>
        </w:rPr>
        <w:t>DIDANOSINE </w:t>
      </w:r>
      <w:r>
        <w:rPr>
          <w:color w:val="231F1F"/>
          <w:w w:val="110"/>
        </w:rPr>
        <w:t>should be taken 2.5 hours apart; ritonavir increases the toxicity of </w:t>
      </w:r>
      <w:r>
        <w:rPr>
          <w:rFonts w:ascii="Arial" w:hAnsi="Arial"/>
          <w:color w:val="231F1F"/>
          <w:w w:val="355"/>
          <w:position w:val="1"/>
          <w:sz w:val="7"/>
        </w:rPr>
        <w:t>l </w:t>
      </w:r>
      <w:r>
        <w:rPr>
          <w:rFonts w:ascii="Calibri" w:hAnsi="Calibri"/>
          <w:color w:val="008356"/>
          <w:w w:val="110"/>
          <w:sz w:val="11"/>
        </w:rPr>
        <w:t>EFAVIRENZ</w:t>
      </w:r>
      <w:r>
        <w:rPr>
          <w:color w:val="231F1F"/>
          <w:w w:val="110"/>
        </w:rPr>
        <w:t>, monitor liver function tests </w:t>
      </w:r>
      <w:r>
        <w:rPr>
          <w:rFonts w:ascii="Arial" w:hAnsi="Arial"/>
          <w:color w:val="231F1F"/>
          <w:w w:val="110"/>
        </w:rPr>
        <w:t>—</w:t>
      </w:r>
      <w:r>
        <w:rPr>
          <w:color w:val="231F1F"/>
          <w:w w:val="110"/>
        </w:rPr>
        <w:t>manufacturer of </w:t>
      </w:r>
      <w:r>
        <w:rPr>
          <w:i/>
          <w:color w:val="231F1F"/>
          <w:w w:val="110"/>
        </w:rPr>
        <w:t>Atripla </w:t>
      </w:r>
      <w:r>
        <w:rPr>
          <w:rFonts w:ascii="Arial" w:hAnsi="Arial"/>
          <w:color w:val="231F1F"/>
          <w:w w:val="110"/>
          <w:vertAlign w:val="superscript"/>
        </w:rPr>
        <w:t>®</w:t>
      </w:r>
      <w:r>
        <w:rPr>
          <w:rFonts w:ascii="Arial" w:hAnsi="Arial"/>
          <w:color w:val="231F1F"/>
          <w:w w:val="110"/>
          <w:vertAlign w:val="baseline"/>
        </w:rPr>
        <w:t> </w:t>
      </w:r>
      <w:r>
        <w:rPr>
          <w:color w:val="231F1F"/>
          <w:w w:val="110"/>
          <w:vertAlign w:val="baseline"/>
        </w:rPr>
        <w:t>advises avoid concomitant use with </w:t>
      </w:r>
      <w:r>
        <w:rPr>
          <w:i/>
          <w:color w:val="231F1F"/>
          <w:w w:val="110"/>
          <w:vertAlign w:val="baseline"/>
        </w:rPr>
        <w:t>high-dose </w:t>
      </w:r>
      <w:r>
        <w:rPr>
          <w:color w:val="231F1F"/>
          <w:w w:val="110"/>
          <w:vertAlign w:val="baseline"/>
        </w:rPr>
        <w:t>ritonavir; ritonavir increases plasma concentration of </w:t>
      </w:r>
      <w:r>
        <w:rPr>
          <w:rFonts w:ascii="Calibri" w:hAnsi="Calibri"/>
          <w:color w:val="008356"/>
          <w:w w:val="110"/>
          <w:sz w:val="11"/>
          <w:vertAlign w:val="baseline"/>
        </w:rPr>
        <w:t>INDINAVIR</w:t>
      </w:r>
      <w:r>
        <w:rPr>
          <w:color w:val="231F1F"/>
          <w:w w:val="110"/>
          <w:vertAlign w:val="baseline"/>
        </w:rPr>
        <w:t>, </w:t>
      </w:r>
      <w:r>
        <w:rPr>
          <w:rFonts w:ascii="Calibri" w:hAnsi="Calibri"/>
          <w:color w:val="008356"/>
          <w:w w:val="110"/>
          <w:sz w:val="11"/>
          <w:vertAlign w:val="baseline"/>
        </w:rPr>
        <w:t>MARAVIROC </w:t>
      </w:r>
      <w:r>
        <w:rPr>
          <w:color w:val="231F1F"/>
          <w:w w:val="110"/>
          <w:vertAlign w:val="baseline"/>
        </w:rPr>
        <w:t>and</w:t>
      </w:r>
    </w:p>
    <w:p>
      <w:pPr>
        <w:pStyle w:val="BodyText"/>
        <w:spacing w:line="244" w:lineRule="auto"/>
        <w:ind w:left="286" w:right="215"/>
        <w:rPr>
          <w:rFonts w:ascii="Calibri" w:hAnsi="Calibri"/>
          <w:sz w:val="11"/>
        </w:rPr>
      </w:pPr>
      <w:r>
        <w:rPr>
          <w:rFonts w:ascii="Arial" w:hAnsi="Arial"/>
          <w:color w:val="231F1F"/>
          <w:w w:val="115"/>
          <w:position w:val="1"/>
          <w:sz w:val="7"/>
        </w:rPr>
        <w:t>l</w:t>
      </w:r>
      <w:r>
        <w:rPr>
          <w:rFonts w:ascii="Arial" w:hAnsi="Arial"/>
          <w:color w:val="231F1F"/>
          <w:spacing w:val="-2"/>
          <w:w w:val="115"/>
          <w:position w:val="1"/>
          <w:sz w:val="7"/>
        </w:rPr>
        <w:t> </w:t>
      </w:r>
      <w:r>
        <w:rPr>
          <w:rFonts w:ascii="Calibri" w:hAnsi="Calibri"/>
          <w:color w:val="008356"/>
          <w:spacing w:val="4"/>
          <w:w w:val="115"/>
          <w:sz w:val="11"/>
        </w:rPr>
        <w:t>SAQUINAVIR</w:t>
      </w:r>
      <w:r>
        <w:rPr>
          <w:color w:val="231F1F"/>
          <w:spacing w:val="4"/>
          <w:w w:val="115"/>
        </w:rPr>
        <w:t>;</w:t>
      </w:r>
      <w:r>
        <w:rPr>
          <w:color w:val="231F1F"/>
          <w:spacing w:val="-10"/>
          <w:w w:val="115"/>
        </w:rPr>
        <w:t> </w:t>
      </w:r>
      <w:r>
        <w:rPr>
          <w:color w:val="231F1F"/>
          <w:w w:val="115"/>
        </w:rPr>
        <w:t>ritonavir</w:t>
      </w:r>
      <w:r>
        <w:rPr>
          <w:color w:val="231F1F"/>
          <w:spacing w:val="-13"/>
          <w:w w:val="115"/>
        </w:rPr>
        <w:t> </w:t>
      </w:r>
      <w:r>
        <w:rPr>
          <w:color w:val="231F1F"/>
          <w:w w:val="115"/>
        </w:rPr>
        <w:t>increases</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3"/>
          <w:w w:val="115"/>
        </w:rPr>
        <w:t> </w:t>
      </w:r>
      <w:r>
        <w:rPr>
          <w:color w:val="231F1F"/>
          <w:spacing w:val="-6"/>
          <w:w w:val="115"/>
        </w:rPr>
        <w:t>of </w:t>
      </w: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spacing w:val="2"/>
          <w:w w:val="115"/>
          <w:sz w:val="11"/>
        </w:rPr>
        <w:t>SIMEPREVIR</w:t>
      </w:r>
      <w:r>
        <w:rPr>
          <w:rFonts w:ascii="Arial" w:hAnsi="Arial"/>
          <w:color w:val="231F1F"/>
          <w:spacing w:val="2"/>
          <w:w w:val="115"/>
        </w:rPr>
        <w:t>—</w:t>
      </w:r>
      <w:r>
        <w:rPr>
          <w:color w:val="231F1F"/>
          <w:spacing w:val="2"/>
          <w:w w:val="115"/>
        </w:rPr>
        <w:t>manufacturer</w:t>
      </w:r>
      <w:r>
        <w:rPr>
          <w:color w:val="231F1F"/>
          <w:spacing w:val="-16"/>
          <w:w w:val="115"/>
        </w:rPr>
        <w:t> </w:t>
      </w:r>
      <w:r>
        <w:rPr>
          <w:color w:val="231F1F"/>
          <w:w w:val="115"/>
        </w:rPr>
        <w:t>of</w:t>
      </w:r>
      <w:r>
        <w:rPr>
          <w:color w:val="231F1F"/>
          <w:spacing w:val="-15"/>
          <w:w w:val="115"/>
        </w:rPr>
        <w:t> </w:t>
      </w:r>
      <w:r>
        <w:rPr>
          <w:color w:val="231F1F"/>
          <w:w w:val="115"/>
        </w:rPr>
        <w:t>simeprevir</w:t>
      </w:r>
      <w:r>
        <w:rPr>
          <w:color w:val="231F1F"/>
          <w:spacing w:val="-16"/>
          <w:w w:val="115"/>
        </w:rPr>
        <w:t> </w:t>
      </w:r>
      <w:r>
        <w:rPr>
          <w:color w:val="231F1F"/>
          <w:w w:val="115"/>
        </w:rPr>
        <w:t>advises</w:t>
      </w:r>
      <w:r>
        <w:rPr>
          <w:color w:val="231F1F"/>
          <w:spacing w:val="-17"/>
          <w:w w:val="115"/>
        </w:rPr>
        <w:t> </w:t>
      </w:r>
      <w:r>
        <w:rPr>
          <w:color w:val="231F1F"/>
          <w:w w:val="115"/>
        </w:rPr>
        <w:t>avoid </w:t>
      </w:r>
      <w:r>
        <w:rPr>
          <w:color w:val="231F1F"/>
          <w:w w:val="120"/>
        </w:rPr>
        <w:t>concomitant use; ritonavir possibly reduces plasma concentration of</w:t>
      </w:r>
      <w:r>
        <w:rPr>
          <w:color w:val="231F1F"/>
          <w:spacing w:val="-16"/>
          <w:w w:val="120"/>
        </w:rPr>
        <w:t> </w:t>
      </w:r>
      <w:r>
        <w:rPr>
          <w:rFonts w:ascii="Calibri" w:hAnsi="Calibri"/>
          <w:color w:val="008356"/>
          <w:spacing w:val="5"/>
          <w:w w:val="120"/>
          <w:sz w:val="11"/>
        </w:rPr>
        <w:t>TELAPREVIR</w:t>
      </w:r>
    </w:p>
    <w:p>
      <w:pPr>
        <w:pStyle w:val="BodyText"/>
        <w:spacing w:line="141" w:lineRule="exact"/>
        <w:ind w:left="186"/>
      </w:pPr>
      <w:r>
        <w:rPr>
          <w:rFonts w:ascii="Arial"/>
          <w:color w:val="231F1F"/>
          <w:w w:val="355"/>
          <w:position w:val="1"/>
          <w:sz w:val="7"/>
        </w:rPr>
        <w:t>l</w:t>
      </w:r>
      <w:r>
        <w:rPr>
          <w:rFonts w:ascii="Arial"/>
          <w:color w:val="231F1F"/>
          <w:spacing w:val="-58"/>
          <w:w w:val="355"/>
          <w:position w:val="1"/>
          <w:sz w:val="7"/>
        </w:rPr>
        <w:t> </w:t>
      </w:r>
      <w:r>
        <w:rPr>
          <w:rFonts w:ascii="Calibri"/>
          <w:color w:val="231F1F"/>
          <w:w w:val="110"/>
        </w:rPr>
        <w:t>Anxiolytics and Hypnotics: </w:t>
      </w:r>
      <w:r>
        <w:rPr>
          <w:color w:val="231F1F"/>
          <w:w w:val="110"/>
        </w:rPr>
        <w:t>ritonavir possibly increases plasma</w:t>
      </w:r>
    </w:p>
    <w:p>
      <w:pPr>
        <w:spacing w:line="244" w:lineRule="auto" w:before="0"/>
        <w:ind w:left="286" w:right="181" w:firstLine="0"/>
        <w:jc w:val="left"/>
        <w:rPr>
          <w:sz w:val="12"/>
        </w:rPr>
      </w:pPr>
      <w:r>
        <w:rPr>
          <w:color w:val="231F1F"/>
          <w:w w:val="115"/>
          <w:sz w:val="12"/>
        </w:rPr>
        <w:t>concentration</w:t>
      </w:r>
      <w:r>
        <w:rPr>
          <w:color w:val="231F1F"/>
          <w:spacing w:val="-22"/>
          <w:w w:val="115"/>
          <w:sz w:val="12"/>
        </w:rPr>
        <w:t> </w:t>
      </w:r>
      <w:r>
        <w:rPr>
          <w:color w:val="231F1F"/>
          <w:w w:val="115"/>
          <w:sz w:val="12"/>
        </w:rPr>
        <w:t>of</w:t>
      </w:r>
      <w:r>
        <w:rPr>
          <w:color w:val="231F1F"/>
          <w:spacing w:val="-20"/>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ANXIOLYTICS</w:t>
      </w:r>
      <w:r>
        <w:rPr>
          <w:rFonts w:ascii="Calibri" w:hAnsi="Calibri"/>
          <w:color w:val="008356"/>
          <w:spacing w:val="-14"/>
          <w:w w:val="115"/>
          <w:sz w:val="11"/>
        </w:rPr>
        <w:t> </w:t>
      </w:r>
      <w:r>
        <w:rPr>
          <w:rFonts w:ascii="Calibri" w:hAnsi="Calibri"/>
          <w:color w:val="008356"/>
          <w:spacing w:val="3"/>
          <w:w w:val="115"/>
          <w:sz w:val="11"/>
        </w:rPr>
        <w:t>AND</w:t>
      </w:r>
      <w:r>
        <w:rPr>
          <w:rFonts w:ascii="Calibri" w:hAnsi="Calibri"/>
          <w:color w:val="008356"/>
          <w:spacing w:val="-14"/>
          <w:w w:val="115"/>
          <w:sz w:val="11"/>
        </w:rPr>
        <w:t> </w:t>
      </w:r>
      <w:r>
        <w:rPr>
          <w:rFonts w:ascii="Calibri" w:hAnsi="Calibri"/>
          <w:color w:val="008356"/>
          <w:spacing w:val="4"/>
          <w:w w:val="115"/>
          <w:sz w:val="11"/>
        </w:rPr>
        <w:t>HYPNOTICS</w:t>
      </w:r>
      <w:r>
        <w:rPr>
          <w:color w:val="231F1F"/>
          <w:spacing w:val="4"/>
          <w:w w:val="115"/>
          <w:sz w:val="12"/>
        </w:rPr>
        <w:t>;</w:t>
      </w:r>
      <w:r>
        <w:rPr>
          <w:color w:val="231F1F"/>
          <w:spacing w:val="-21"/>
          <w:w w:val="115"/>
          <w:sz w:val="12"/>
        </w:rPr>
        <w:t> </w:t>
      </w:r>
      <w:r>
        <w:rPr>
          <w:color w:val="231F1F"/>
          <w:w w:val="115"/>
          <w:sz w:val="12"/>
        </w:rPr>
        <w:t>ritonavir possibly</w:t>
      </w:r>
      <w:r>
        <w:rPr>
          <w:color w:val="231F1F"/>
          <w:spacing w:val="-18"/>
          <w:w w:val="115"/>
          <w:sz w:val="12"/>
        </w:rPr>
        <w:t> </w:t>
      </w:r>
      <w:r>
        <w:rPr>
          <w:color w:val="231F1F"/>
          <w:w w:val="115"/>
          <w:sz w:val="12"/>
        </w:rPr>
        <w:t>increases</w:t>
      </w:r>
      <w:r>
        <w:rPr>
          <w:color w:val="231F1F"/>
          <w:spacing w:val="-18"/>
          <w:w w:val="115"/>
          <w:sz w:val="12"/>
        </w:rPr>
        <w:t> </w:t>
      </w:r>
      <w:r>
        <w:rPr>
          <w:color w:val="231F1F"/>
          <w:w w:val="115"/>
          <w:sz w:val="12"/>
        </w:rPr>
        <w:t>plasma</w:t>
      </w:r>
      <w:r>
        <w:rPr>
          <w:color w:val="231F1F"/>
          <w:spacing w:val="-17"/>
          <w:w w:val="115"/>
          <w:sz w:val="12"/>
        </w:rPr>
        <w:t> </w:t>
      </w:r>
      <w:r>
        <w:rPr>
          <w:color w:val="231F1F"/>
          <w:w w:val="115"/>
          <w:sz w:val="12"/>
        </w:rPr>
        <w:t>concentration</w:t>
      </w:r>
      <w:r>
        <w:rPr>
          <w:color w:val="231F1F"/>
          <w:spacing w:val="-19"/>
          <w:w w:val="115"/>
          <w:sz w:val="12"/>
        </w:rPr>
        <w:t> </w:t>
      </w:r>
      <w:r>
        <w:rPr>
          <w:color w:val="231F1F"/>
          <w:w w:val="115"/>
          <w:sz w:val="12"/>
        </w:rPr>
        <w:t>of</w:t>
      </w:r>
      <w:r>
        <w:rPr>
          <w:color w:val="231F1F"/>
          <w:spacing w:val="-17"/>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ALPRAZOLAM</w:t>
      </w:r>
      <w:r>
        <w:rPr>
          <w:color w:val="231F1F"/>
          <w:spacing w:val="2"/>
          <w:w w:val="115"/>
          <w:sz w:val="12"/>
        </w:rPr>
        <w:t>, </w:t>
      </w:r>
      <w:r>
        <w:rPr>
          <w:rFonts w:ascii="Arial" w:hAnsi="Arial"/>
          <w:color w:val="231F1F"/>
          <w:w w:val="230"/>
          <w:position w:val="1"/>
          <w:sz w:val="7"/>
        </w:rPr>
        <w:t>l</w:t>
      </w:r>
      <w:r>
        <w:rPr>
          <w:rFonts w:ascii="Arial" w:hAnsi="Arial"/>
          <w:color w:val="231F1F"/>
          <w:spacing w:val="-36"/>
          <w:w w:val="230"/>
          <w:position w:val="1"/>
          <w:sz w:val="7"/>
        </w:rPr>
        <w:t> </w:t>
      </w:r>
      <w:r>
        <w:rPr>
          <w:rFonts w:ascii="Calibri" w:hAnsi="Calibri"/>
          <w:color w:val="008356"/>
          <w:spacing w:val="4"/>
          <w:w w:val="115"/>
          <w:sz w:val="11"/>
        </w:rPr>
        <w:t>DIAZEPAM</w:t>
      </w:r>
      <w:r>
        <w:rPr>
          <w:color w:val="231F1F"/>
          <w:spacing w:val="4"/>
          <w:w w:val="115"/>
          <w:sz w:val="12"/>
        </w:rPr>
        <w:t>,</w:t>
      </w:r>
      <w:r>
        <w:rPr>
          <w:color w:val="231F1F"/>
          <w:spacing w:val="-24"/>
          <w:w w:val="115"/>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4"/>
          <w:w w:val="115"/>
          <w:sz w:val="11"/>
        </w:rPr>
        <w:t>FLURAZEPAM</w:t>
      </w:r>
      <w:r>
        <w:rPr>
          <w:rFonts w:ascii="Calibri" w:hAnsi="Calibri"/>
          <w:color w:val="008356"/>
          <w:spacing w:val="-16"/>
          <w:w w:val="115"/>
          <w:sz w:val="11"/>
        </w:rPr>
        <w:t> </w:t>
      </w:r>
      <w:r>
        <w:rPr>
          <w:color w:val="231F1F"/>
          <w:w w:val="115"/>
          <w:sz w:val="12"/>
        </w:rPr>
        <w:t>and</w:t>
      </w:r>
      <w:r>
        <w:rPr>
          <w:color w:val="231F1F"/>
          <w:spacing w:val="-24"/>
          <w:w w:val="115"/>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Calibri" w:hAnsi="Calibri"/>
          <w:color w:val="008356"/>
          <w:spacing w:val="4"/>
          <w:w w:val="115"/>
          <w:sz w:val="11"/>
        </w:rPr>
        <w:t>ZOLPIDEM</w:t>
      </w:r>
      <w:r>
        <w:rPr>
          <w:rFonts w:ascii="Calibri" w:hAnsi="Calibri"/>
          <w:color w:val="008356"/>
          <w:spacing w:val="-16"/>
          <w:w w:val="115"/>
          <w:sz w:val="11"/>
        </w:rPr>
        <w:t> </w:t>
      </w:r>
      <w:r>
        <w:rPr>
          <w:color w:val="231F1F"/>
          <w:w w:val="115"/>
          <w:sz w:val="12"/>
        </w:rPr>
        <w:t>(risk</w:t>
      </w:r>
      <w:r>
        <w:rPr>
          <w:color w:val="231F1F"/>
          <w:spacing w:val="-24"/>
          <w:w w:val="115"/>
          <w:sz w:val="12"/>
        </w:rPr>
        <w:t> </w:t>
      </w:r>
      <w:r>
        <w:rPr>
          <w:color w:val="231F1F"/>
          <w:w w:val="115"/>
          <w:sz w:val="12"/>
        </w:rPr>
        <w:t>of</w:t>
      </w:r>
      <w:r>
        <w:rPr>
          <w:color w:val="231F1F"/>
          <w:spacing w:val="-25"/>
          <w:w w:val="115"/>
          <w:sz w:val="12"/>
        </w:rPr>
        <w:t> </w:t>
      </w:r>
      <w:r>
        <w:rPr>
          <w:color w:val="231F1F"/>
          <w:w w:val="115"/>
          <w:sz w:val="12"/>
        </w:rPr>
        <w:t>extreme sedation and respiratory depression</w:t>
      </w:r>
      <w:r>
        <w:rPr>
          <w:rFonts w:ascii="Arial" w:hAnsi="Arial"/>
          <w:color w:val="231F1F"/>
          <w:w w:val="115"/>
          <w:sz w:val="12"/>
        </w:rPr>
        <w:t>—</w:t>
      </w:r>
      <w:r>
        <w:rPr>
          <w:color w:val="231F1F"/>
          <w:w w:val="115"/>
          <w:sz w:val="12"/>
        </w:rPr>
        <w:t>avoid concomitant use);</w:t>
      </w:r>
      <w:r>
        <w:rPr>
          <w:color w:val="231F1F"/>
          <w:spacing w:val="-6"/>
          <w:w w:val="115"/>
          <w:sz w:val="12"/>
        </w:rPr>
        <w:t> </w:t>
      </w:r>
      <w:r>
        <w:rPr>
          <w:color w:val="231F1F"/>
          <w:w w:val="115"/>
          <w:sz w:val="12"/>
        </w:rPr>
        <w:t>ritonavir</w:t>
      </w:r>
      <w:r>
        <w:rPr>
          <w:color w:val="231F1F"/>
          <w:spacing w:val="-6"/>
          <w:w w:val="115"/>
          <w:sz w:val="12"/>
        </w:rPr>
        <w:t> </w:t>
      </w:r>
      <w:r>
        <w:rPr>
          <w:color w:val="231F1F"/>
          <w:w w:val="115"/>
          <w:sz w:val="12"/>
        </w:rPr>
        <w:t>possibly</w:t>
      </w:r>
      <w:r>
        <w:rPr>
          <w:color w:val="231F1F"/>
          <w:spacing w:val="-7"/>
          <w:w w:val="115"/>
          <w:sz w:val="12"/>
        </w:rPr>
        <w:t> </w:t>
      </w:r>
      <w:r>
        <w:rPr>
          <w:color w:val="231F1F"/>
          <w:w w:val="115"/>
          <w:sz w:val="12"/>
        </w:rPr>
        <w:t>increases</w:t>
      </w:r>
      <w:r>
        <w:rPr>
          <w:color w:val="231F1F"/>
          <w:spacing w:val="-6"/>
          <w:w w:val="115"/>
          <w:sz w:val="12"/>
        </w:rPr>
        <w:t> </w:t>
      </w:r>
      <w:r>
        <w:rPr>
          <w:color w:val="231F1F"/>
          <w:w w:val="115"/>
          <w:sz w:val="12"/>
        </w:rPr>
        <w:t>plasma</w:t>
      </w:r>
      <w:r>
        <w:rPr>
          <w:color w:val="231F1F"/>
          <w:spacing w:val="-6"/>
          <w:w w:val="115"/>
          <w:sz w:val="12"/>
        </w:rPr>
        <w:t> </w:t>
      </w:r>
      <w:r>
        <w:rPr>
          <w:color w:val="231F1F"/>
          <w:w w:val="115"/>
          <w:sz w:val="12"/>
        </w:rPr>
        <w:t>concentration</w:t>
      </w:r>
      <w:r>
        <w:rPr>
          <w:color w:val="231F1F"/>
          <w:spacing w:val="-7"/>
          <w:w w:val="115"/>
          <w:sz w:val="12"/>
        </w:rPr>
        <w:t> </w:t>
      </w:r>
      <w:r>
        <w:rPr>
          <w:color w:val="231F1F"/>
          <w:w w:val="115"/>
          <w:sz w:val="12"/>
        </w:rPr>
        <w:t>of</w:t>
      </w:r>
    </w:p>
    <w:p>
      <w:pPr>
        <w:pStyle w:val="BodyText"/>
        <w:spacing w:line="247" w:lineRule="auto"/>
        <w:ind w:left="286" w:right="29"/>
      </w:pPr>
      <w:r>
        <w:rPr>
          <w:rFonts w:ascii="Arial" w:hAnsi="Arial"/>
          <w:color w:val="231F1F"/>
          <w:w w:val="115"/>
          <w:position w:val="1"/>
          <w:sz w:val="7"/>
        </w:rPr>
        <w:t>l</w:t>
      </w:r>
      <w:r>
        <w:rPr>
          <w:rFonts w:ascii="Arial" w:hAnsi="Arial"/>
          <w:color w:val="231F1F"/>
          <w:spacing w:val="-9"/>
          <w:w w:val="115"/>
          <w:position w:val="1"/>
          <w:sz w:val="7"/>
        </w:rPr>
        <w:t> </w:t>
      </w:r>
      <w:r>
        <w:rPr>
          <w:rFonts w:ascii="Calibri" w:hAnsi="Calibri"/>
          <w:color w:val="008356"/>
          <w:spacing w:val="4"/>
          <w:w w:val="110"/>
          <w:sz w:val="11"/>
        </w:rPr>
        <w:t>MIDAZOLAM</w:t>
      </w:r>
      <w:r>
        <w:rPr>
          <w:rFonts w:ascii="Calibri" w:hAnsi="Calibri"/>
          <w:color w:val="008356"/>
          <w:spacing w:val="-8"/>
          <w:w w:val="110"/>
          <w:sz w:val="11"/>
        </w:rPr>
        <w:t> </w:t>
      </w:r>
      <w:r>
        <w:rPr>
          <w:color w:val="231F1F"/>
          <w:w w:val="115"/>
        </w:rPr>
        <w:t>(risk</w:t>
      </w:r>
      <w:r>
        <w:rPr>
          <w:color w:val="231F1F"/>
          <w:spacing w:val="-20"/>
          <w:w w:val="115"/>
        </w:rPr>
        <w:t> </w:t>
      </w:r>
      <w:r>
        <w:rPr>
          <w:color w:val="231F1F"/>
          <w:w w:val="115"/>
        </w:rPr>
        <w:t>of</w:t>
      </w:r>
      <w:r>
        <w:rPr>
          <w:color w:val="231F1F"/>
          <w:spacing w:val="-18"/>
          <w:w w:val="115"/>
        </w:rPr>
        <w:t> </w:t>
      </w:r>
      <w:r>
        <w:rPr>
          <w:color w:val="231F1F"/>
          <w:w w:val="115"/>
        </w:rPr>
        <w:t>prolonged</w:t>
      </w:r>
      <w:r>
        <w:rPr>
          <w:color w:val="231F1F"/>
          <w:spacing w:val="-20"/>
          <w:w w:val="115"/>
        </w:rPr>
        <w:t> </w:t>
      </w:r>
      <w:r>
        <w:rPr>
          <w:color w:val="231F1F"/>
          <w:w w:val="115"/>
        </w:rPr>
        <w:t>sedation</w:t>
      </w:r>
      <w:r>
        <w:rPr>
          <w:rFonts w:ascii="Arial" w:hAnsi="Arial"/>
          <w:color w:val="231F1F"/>
          <w:w w:val="115"/>
        </w:rPr>
        <w:t>—</w:t>
      </w:r>
      <w:r>
        <w:rPr>
          <w:color w:val="231F1F"/>
          <w:w w:val="115"/>
        </w:rPr>
        <w:t>avoid</w:t>
      </w:r>
      <w:r>
        <w:rPr>
          <w:color w:val="231F1F"/>
          <w:spacing w:val="-19"/>
          <w:w w:val="115"/>
        </w:rPr>
        <w:t> </w:t>
      </w:r>
      <w:r>
        <w:rPr>
          <w:color w:val="231F1F"/>
          <w:w w:val="115"/>
        </w:rPr>
        <w:t>concomitant </w:t>
      </w:r>
      <w:r>
        <w:rPr>
          <w:color w:val="231F1F"/>
          <w:w w:val="125"/>
        </w:rPr>
        <w:t>use of </w:t>
      </w:r>
      <w:r>
        <w:rPr>
          <w:i/>
          <w:color w:val="231F1F"/>
          <w:w w:val="125"/>
        </w:rPr>
        <w:t>oral </w:t>
      </w:r>
      <w:r>
        <w:rPr>
          <w:color w:val="231F1F"/>
          <w:w w:val="125"/>
        </w:rPr>
        <w:t>midazolam); ritonavir increases plasma concentration</w:t>
      </w:r>
      <w:r>
        <w:rPr>
          <w:color w:val="231F1F"/>
          <w:spacing w:val="-23"/>
          <w:w w:val="125"/>
        </w:rPr>
        <w:t> </w:t>
      </w:r>
      <w:r>
        <w:rPr>
          <w:color w:val="231F1F"/>
          <w:w w:val="125"/>
        </w:rPr>
        <w:t>of</w:t>
      </w:r>
      <w:r>
        <w:rPr>
          <w:color w:val="231F1F"/>
          <w:spacing w:val="-21"/>
          <w:w w:val="125"/>
        </w:rPr>
        <w:t> </w:t>
      </w:r>
      <w:r>
        <w:rPr>
          <w:rFonts w:ascii="Calibri" w:hAnsi="Calibri"/>
          <w:color w:val="008356"/>
          <w:spacing w:val="4"/>
          <w:w w:val="110"/>
          <w:sz w:val="11"/>
        </w:rPr>
        <w:t>BUSPIRONE</w:t>
      </w:r>
      <w:r>
        <w:rPr>
          <w:rFonts w:ascii="Calibri" w:hAnsi="Calibri"/>
          <w:color w:val="008356"/>
          <w:spacing w:val="-9"/>
          <w:w w:val="110"/>
          <w:sz w:val="11"/>
        </w:rPr>
        <w:t> </w:t>
      </w:r>
      <w:r>
        <w:rPr>
          <w:color w:val="231F1F"/>
          <w:w w:val="125"/>
        </w:rPr>
        <w:t>(increased</w:t>
      </w:r>
      <w:r>
        <w:rPr>
          <w:color w:val="231F1F"/>
          <w:spacing w:val="-22"/>
          <w:w w:val="125"/>
        </w:rPr>
        <w:t> </w:t>
      </w:r>
      <w:r>
        <w:rPr>
          <w:color w:val="231F1F"/>
          <w:w w:val="125"/>
        </w:rPr>
        <w:t>risk</w:t>
      </w:r>
      <w:r>
        <w:rPr>
          <w:color w:val="231F1F"/>
          <w:spacing w:val="-21"/>
          <w:w w:val="125"/>
        </w:rPr>
        <w:t> </w:t>
      </w:r>
      <w:r>
        <w:rPr>
          <w:color w:val="231F1F"/>
          <w:w w:val="125"/>
        </w:rPr>
        <w:t>of</w:t>
      </w:r>
      <w:r>
        <w:rPr>
          <w:color w:val="231F1F"/>
          <w:spacing w:val="-22"/>
          <w:w w:val="125"/>
        </w:rPr>
        <w:t> </w:t>
      </w:r>
      <w:r>
        <w:rPr>
          <w:color w:val="231F1F"/>
          <w:w w:val="125"/>
        </w:rPr>
        <w:t>toxicity)</w:t>
      </w:r>
    </w:p>
    <w:p>
      <w:pPr>
        <w:pStyle w:val="BodyText"/>
        <w:spacing w:line="220" w:lineRule="auto"/>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ritonavir possibly  increases  plasma  </w:t>
      </w:r>
      <w:r>
        <w:rPr>
          <w:color w:val="231F1F"/>
          <w:spacing w:val="-2"/>
          <w:w w:val="105"/>
        </w:rPr>
        <w:t>concentration </w:t>
      </w:r>
      <w:r>
        <w:rPr>
          <w:color w:val="231F1F"/>
          <w:w w:val="105"/>
        </w:rPr>
        <w:t>of </w:t>
      </w:r>
      <w:r>
        <w:rPr>
          <w:rFonts w:ascii="Calibri" w:hAnsi="Calibri"/>
          <w:color w:val="008356"/>
          <w:spacing w:val="4"/>
          <w:w w:val="105"/>
          <w:sz w:val="11"/>
        </w:rPr>
        <w:t>APREPITANT</w:t>
      </w:r>
    </w:p>
    <w:p>
      <w:pPr>
        <w:pStyle w:val="BodyText"/>
        <w:spacing w:line="232" w:lineRule="auto" w:before="1"/>
        <w:ind w:left="286" w:right="21" w:hanging="100"/>
      </w:pPr>
      <w:r>
        <w:rPr>
          <w:rFonts w:ascii="Lucida Sans Unicode" w:hAnsi="Lucida Sans Unicode"/>
          <w:color w:val="A7A8AC"/>
          <w:w w:val="95"/>
          <w:sz w:val="10"/>
        </w:rPr>
        <w:t>▶ </w:t>
      </w:r>
      <w:r>
        <w:rPr>
          <w:rFonts w:ascii="Calibri" w:hAnsi="Calibri"/>
          <w:color w:val="231F1F"/>
          <w:w w:val="110"/>
        </w:rPr>
        <w:t>Atovaquone: </w:t>
      </w:r>
      <w:r>
        <w:rPr>
          <w:color w:val="231F1F"/>
          <w:w w:val="110"/>
        </w:rPr>
        <w:t>ritonavir possibly reduces plasma concentration of </w:t>
      </w:r>
      <w:r>
        <w:rPr>
          <w:rFonts w:ascii="Calibri" w:hAnsi="Calibri"/>
          <w:color w:val="008356"/>
          <w:w w:val="110"/>
          <w:sz w:val="11"/>
        </w:rPr>
        <w:t>ATOVAQUONE</w:t>
      </w:r>
      <w:r>
        <w:rPr>
          <w:rFonts w:ascii="Arial" w:hAnsi="Arial"/>
          <w:color w:val="231F1F"/>
          <w:w w:val="110"/>
        </w:rPr>
        <w:t>—</w:t>
      </w:r>
      <w:r>
        <w:rPr>
          <w:color w:val="231F1F"/>
          <w:w w:val="110"/>
        </w:rPr>
        <w:t>manufacturer of atovaquone advises avoid concomitant use</w:t>
      </w:r>
    </w:p>
    <w:p>
      <w:pPr>
        <w:pStyle w:val="BodyText"/>
        <w:ind w:left="286" w:hanging="100"/>
      </w:pPr>
      <w:r>
        <w:rPr>
          <w:rFonts w:ascii="Arial" w:hAnsi="Arial"/>
          <w:color w:val="231F1F"/>
          <w:w w:val="355"/>
          <w:position w:val="1"/>
          <w:sz w:val="7"/>
        </w:rPr>
        <w:t>l </w:t>
      </w:r>
      <w:r>
        <w:rPr>
          <w:rFonts w:ascii="Calibri" w:hAnsi="Calibri"/>
          <w:color w:val="231F1F"/>
          <w:w w:val="115"/>
        </w:rPr>
        <w:t>Avanafil: </w:t>
      </w:r>
      <w:r>
        <w:rPr>
          <w:color w:val="231F1F"/>
          <w:w w:val="115"/>
        </w:rPr>
        <w:t>ritonavir significantly increases plasma concentration</w:t>
      </w:r>
      <w:r>
        <w:rPr>
          <w:color w:val="231F1F"/>
          <w:spacing w:val="-21"/>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AVANAFIL</w:t>
      </w:r>
      <w:r>
        <w:rPr>
          <w:rFonts w:ascii="Arial" w:hAnsi="Arial"/>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0"/>
          <w:w w:val="115"/>
        </w:rPr>
        <w:t> </w:t>
      </w:r>
      <w:r>
        <w:rPr>
          <w:color w:val="231F1F"/>
          <w:spacing w:val="-4"/>
          <w:w w:val="115"/>
        </w:rPr>
        <w:t>use</w:t>
      </w:r>
    </w:p>
    <w:p>
      <w:pPr>
        <w:pStyle w:val="BodyText"/>
        <w:spacing w:line="143" w:lineRule="exact"/>
        <w:ind w:left="186"/>
      </w:pPr>
      <w:r>
        <w:rPr>
          <w:rFonts w:ascii="Arial"/>
          <w:color w:val="231F1F"/>
          <w:w w:val="115"/>
          <w:position w:val="1"/>
          <w:sz w:val="7"/>
        </w:rPr>
        <w:t>l </w:t>
      </w:r>
      <w:r>
        <w:rPr>
          <w:rFonts w:ascii="Calibri"/>
          <w:color w:val="231F1F"/>
          <w:w w:val="115"/>
        </w:rPr>
        <w:t>Bosentan: </w:t>
      </w:r>
      <w:r>
        <w:rPr>
          <w:color w:val="231F1F"/>
          <w:w w:val="115"/>
        </w:rPr>
        <w:t>ritonavir increases plasma concentration</w:t>
      </w:r>
      <w:r>
        <w:rPr>
          <w:color w:val="231F1F"/>
          <w:spacing w:val="-25"/>
          <w:w w:val="115"/>
        </w:rPr>
        <w:t> </w:t>
      </w:r>
      <w:r>
        <w:rPr>
          <w:color w:val="231F1F"/>
          <w:w w:val="115"/>
        </w:rPr>
        <w:t>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BOSENTAN </w:t>
      </w:r>
      <w:r>
        <w:rPr>
          <w:color w:val="231F1F"/>
          <w:w w:val="110"/>
          <w:sz w:val="12"/>
        </w:rPr>
        <w:t>(consider reducing dose of bosentan)</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Bupropion: </w:t>
      </w:r>
      <w:r>
        <w:rPr>
          <w:color w:val="231F1F"/>
          <w:w w:val="105"/>
        </w:rPr>
        <w:t>ritonavir reduces plasma concentration of</w:t>
      </w:r>
    </w:p>
    <w:p>
      <w:pPr>
        <w:spacing w:line="130" w:lineRule="exact" w:before="0"/>
        <w:ind w:left="286" w:right="0" w:firstLine="0"/>
        <w:jc w:val="left"/>
        <w:rPr>
          <w:rFonts w:ascii="Calibri"/>
          <w:sz w:val="11"/>
        </w:rPr>
      </w:pPr>
      <w:r>
        <w:rPr>
          <w:rFonts w:ascii="Calibri"/>
          <w:color w:val="008356"/>
          <w:sz w:val="11"/>
        </w:rPr>
        <w:t>BUPROPION</w:t>
      </w:r>
    </w:p>
    <w:p>
      <w:pPr>
        <w:spacing w:before="0"/>
        <w:ind w:left="286" w:right="94" w:hanging="100"/>
        <w:jc w:val="both"/>
        <w:rPr>
          <w:rFonts w:ascii="Calibri"/>
          <w:sz w:val="11"/>
        </w:rPr>
      </w:pPr>
      <w:r>
        <w:rPr>
          <w:rFonts w:ascii="Arial"/>
          <w:color w:val="231F1F"/>
          <w:w w:val="355"/>
          <w:position w:val="1"/>
          <w:sz w:val="7"/>
        </w:rPr>
        <w:t>l</w:t>
      </w:r>
      <w:r>
        <w:rPr>
          <w:rFonts w:ascii="Arial"/>
          <w:color w:val="231F1F"/>
          <w:spacing w:val="-37"/>
          <w:w w:val="355"/>
          <w:position w:val="1"/>
          <w:sz w:val="7"/>
        </w:rPr>
        <w:t> </w:t>
      </w:r>
      <w:r>
        <w:rPr>
          <w:rFonts w:ascii="Calibri"/>
          <w:color w:val="231F1F"/>
          <w:w w:val="110"/>
          <w:sz w:val="12"/>
        </w:rPr>
        <w:t>Calcium-channel</w:t>
      </w:r>
      <w:r>
        <w:rPr>
          <w:rFonts w:ascii="Calibri"/>
          <w:color w:val="231F1F"/>
          <w:spacing w:val="-5"/>
          <w:w w:val="110"/>
          <w:sz w:val="12"/>
        </w:rPr>
        <w:t> </w:t>
      </w:r>
      <w:r>
        <w:rPr>
          <w:rFonts w:ascii="Calibri"/>
          <w:color w:val="231F1F"/>
          <w:w w:val="110"/>
          <w:sz w:val="12"/>
        </w:rPr>
        <w:t>Blockers:</w:t>
      </w:r>
      <w:r>
        <w:rPr>
          <w:rFonts w:ascii="Calibri"/>
          <w:color w:val="231F1F"/>
          <w:spacing w:val="-4"/>
          <w:w w:val="110"/>
          <w:sz w:val="12"/>
        </w:rPr>
        <w:t> </w:t>
      </w:r>
      <w:r>
        <w:rPr>
          <w:color w:val="231F1F"/>
          <w:w w:val="110"/>
          <w:sz w:val="12"/>
        </w:rPr>
        <w:t>ritonavir</w:t>
      </w:r>
      <w:r>
        <w:rPr>
          <w:color w:val="231F1F"/>
          <w:spacing w:val="-8"/>
          <w:w w:val="110"/>
          <w:sz w:val="12"/>
        </w:rPr>
        <w:t> </w:t>
      </w:r>
      <w:r>
        <w:rPr>
          <w:color w:val="231F1F"/>
          <w:w w:val="110"/>
          <w:sz w:val="12"/>
        </w:rPr>
        <w:t>possibly</w:t>
      </w:r>
      <w:r>
        <w:rPr>
          <w:color w:val="231F1F"/>
          <w:spacing w:val="-8"/>
          <w:w w:val="110"/>
          <w:sz w:val="12"/>
        </w:rPr>
        <w:t> </w:t>
      </w:r>
      <w:r>
        <w:rPr>
          <w:color w:val="231F1F"/>
          <w:w w:val="110"/>
          <w:sz w:val="12"/>
        </w:rPr>
        <w:t>increases</w:t>
      </w:r>
      <w:r>
        <w:rPr>
          <w:color w:val="231F1F"/>
          <w:spacing w:val="-7"/>
          <w:w w:val="110"/>
          <w:sz w:val="12"/>
        </w:rPr>
        <w:t> </w:t>
      </w:r>
      <w:r>
        <w:rPr>
          <w:color w:val="231F1F"/>
          <w:w w:val="110"/>
          <w:sz w:val="12"/>
        </w:rPr>
        <w:t>plasma concentration</w:t>
      </w:r>
      <w:r>
        <w:rPr>
          <w:color w:val="231F1F"/>
          <w:spacing w:val="-16"/>
          <w:w w:val="110"/>
          <w:sz w:val="12"/>
        </w:rPr>
        <w:t> </w:t>
      </w:r>
      <w:r>
        <w:rPr>
          <w:color w:val="231F1F"/>
          <w:w w:val="110"/>
          <w:sz w:val="12"/>
        </w:rPr>
        <w:t>of</w:t>
      </w:r>
      <w:r>
        <w:rPr>
          <w:color w:val="231F1F"/>
          <w:spacing w:val="-15"/>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CALCIUM-CHANNEL</w:t>
      </w:r>
      <w:r>
        <w:rPr>
          <w:rFonts w:ascii="Calibri"/>
          <w:color w:val="008356"/>
          <w:spacing w:val="-8"/>
          <w:w w:val="110"/>
          <w:sz w:val="11"/>
        </w:rPr>
        <w:t> </w:t>
      </w:r>
      <w:r>
        <w:rPr>
          <w:rFonts w:ascii="Calibri"/>
          <w:color w:val="008356"/>
          <w:spacing w:val="4"/>
          <w:w w:val="110"/>
          <w:sz w:val="11"/>
        </w:rPr>
        <w:t>BLOCKERS</w:t>
      </w:r>
      <w:r>
        <w:rPr>
          <w:color w:val="231F1F"/>
          <w:spacing w:val="4"/>
          <w:w w:val="110"/>
          <w:sz w:val="12"/>
        </w:rPr>
        <w:t>;</w:t>
      </w:r>
      <w:r>
        <w:rPr>
          <w:color w:val="231F1F"/>
          <w:spacing w:val="-14"/>
          <w:w w:val="110"/>
          <w:sz w:val="12"/>
        </w:rPr>
        <w:t> </w:t>
      </w:r>
      <w:r>
        <w:rPr>
          <w:color w:val="231F1F"/>
          <w:w w:val="110"/>
          <w:sz w:val="12"/>
        </w:rPr>
        <w:t>avoidance</w:t>
      </w:r>
      <w:r>
        <w:rPr>
          <w:color w:val="231F1F"/>
          <w:spacing w:val="-15"/>
          <w:w w:val="110"/>
          <w:sz w:val="12"/>
        </w:rPr>
        <w:t> </w:t>
      </w:r>
      <w:r>
        <w:rPr>
          <w:color w:val="231F1F"/>
          <w:w w:val="110"/>
          <w:sz w:val="12"/>
        </w:rPr>
        <w:t>of ritonavir advised by manufacturer of</w:t>
      </w:r>
      <w:r>
        <w:rPr>
          <w:color w:val="231F1F"/>
          <w:spacing w:val="-10"/>
          <w:w w:val="110"/>
          <w:sz w:val="12"/>
        </w:rPr>
        <w:t> </w:t>
      </w:r>
      <w:r>
        <w:rPr>
          <w:rFonts w:ascii="Calibri"/>
          <w:color w:val="008356"/>
          <w:spacing w:val="4"/>
          <w:w w:val="110"/>
          <w:sz w:val="11"/>
        </w:rPr>
        <w:t>LERCANIDIPINE</w:t>
      </w:r>
    </w:p>
    <w:p>
      <w:pPr>
        <w:pStyle w:val="BodyText"/>
        <w:spacing w:line="220" w:lineRule="auto" w:before="7"/>
        <w:ind w:left="286" w:right="46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ritonavir possibly increases plasma concentration of </w:t>
      </w:r>
      <w:r>
        <w:rPr>
          <w:rFonts w:ascii="Calibri" w:hAnsi="Calibri"/>
          <w:color w:val="008356"/>
          <w:w w:val="105"/>
          <w:sz w:val="11"/>
        </w:rPr>
        <w:t>DIGOXIN</w:t>
      </w:r>
    </w:p>
    <w:p>
      <w:pPr>
        <w:pStyle w:val="BodyText"/>
        <w:ind w:left="286" w:right="40" w:hanging="100"/>
        <w:jc w:val="both"/>
        <w:rPr>
          <w:rFonts w:ascii="Calibri"/>
          <w:sz w:val="11"/>
        </w:rPr>
      </w:pPr>
      <w:r>
        <w:rPr>
          <w:rFonts w:ascii="Arial"/>
          <w:color w:val="231F1F"/>
          <w:w w:val="355"/>
          <w:position w:val="1"/>
          <w:sz w:val="7"/>
        </w:rPr>
        <w:t>l </w:t>
      </w:r>
      <w:r>
        <w:rPr>
          <w:rFonts w:ascii="Calibri"/>
          <w:color w:val="231F1F"/>
          <w:w w:val="110"/>
        </w:rPr>
        <w:t>Ciclosporin: </w:t>
      </w:r>
      <w:r>
        <w:rPr>
          <w:color w:val="231F1F"/>
          <w:w w:val="110"/>
        </w:rPr>
        <w:t>ritonavir possibly increases plasma concentration of </w:t>
      </w:r>
      <w:r>
        <w:rPr>
          <w:rFonts w:ascii="Arial"/>
          <w:color w:val="231F1F"/>
          <w:w w:val="355"/>
          <w:position w:val="1"/>
          <w:sz w:val="7"/>
        </w:rPr>
        <w:t>l </w:t>
      </w:r>
      <w:r>
        <w:rPr>
          <w:rFonts w:ascii="Calibri"/>
          <w:color w:val="008356"/>
          <w:w w:val="110"/>
          <w:sz w:val="11"/>
        </w:rPr>
        <w:t>CICLOSPORIN</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Ritonavir </w:t>
      </w:r>
      <w:r>
        <w:rPr>
          <w:rFonts w:ascii="Calibri"/>
          <w:color w:val="231F1F"/>
        </w:rPr>
        <w:t>(continued)</w:t>
      </w:r>
    </w:p>
    <w:p>
      <w:pPr>
        <w:pStyle w:val="BodyText"/>
        <w:ind w:left="286" w:right="689" w:hanging="100"/>
      </w:pPr>
      <w:r>
        <w:rPr>
          <w:rFonts w:ascii="Arial"/>
          <w:color w:val="231F1F"/>
          <w:w w:val="355"/>
          <w:position w:val="1"/>
          <w:sz w:val="7"/>
        </w:rPr>
        <w:t>l </w:t>
      </w:r>
      <w:r>
        <w:rPr>
          <w:rFonts w:ascii="Calibri"/>
          <w:color w:val="231F1F"/>
          <w:w w:val="110"/>
        </w:rPr>
        <w:t>Cilostazol: </w:t>
      </w:r>
      <w:r>
        <w:rPr>
          <w:color w:val="231F1F"/>
          <w:w w:val="110"/>
        </w:rPr>
        <w:t>ritonavir possibly increases plasma 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w:t>
      </w:r>
    </w:p>
    <w:p>
      <w:pPr>
        <w:pStyle w:val="BodyText"/>
        <w:spacing w:line="242" w:lineRule="auto"/>
        <w:ind w:left="286" w:right="812" w:hanging="100"/>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231F1F"/>
          <w:w w:val="115"/>
        </w:rPr>
        <w:t>Colchicine:</w:t>
      </w:r>
      <w:r>
        <w:rPr>
          <w:rFonts w:ascii="Calibri" w:hAnsi="Calibri"/>
          <w:color w:val="231F1F"/>
          <w:spacing w:val="-21"/>
          <w:w w:val="115"/>
        </w:rPr>
        <w:t> </w:t>
      </w:r>
      <w:r>
        <w:rPr>
          <w:color w:val="231F1F"/>
          <w:w w:val="115"/>
        </w:rPr>
        <w:t>ritonavir</w:t>
      </w:r>
      <w:r>
        <w:rPr>
          <w:color w:val="231F1F"/>
          <w:spacing w:val="-23"/>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hepatic or renal</w:t>
      </w:r>
      <w:r>
        <w:rPr>
          <w:color w:val="231F1F"/>
          <w:spacing w:val="-18"/>
          <w:w w:val="115"/>
        </w:rPr>
        <w:t> </w:t>
      </w:r>
      <w:r>
        <w:rPr>
          <w:color w:val="231F1F"/>
          <w:w w:val="115"/>
        </w:rPr>
        <w:t>impairment)</w:t>
      </w:r>
    </w:p>
    <w:p>
      <w:pPr>
        <w:spacing w:line="244" w:lineRule="auto" w:before="0"/>
        <w:ind w:left="286" w:right="599" w:hanging="100"/>
        <w:jc w:val="left"/>
        <w:rPr>
          <w:sz w:val="12"/>
        </w:rPr>
      </w:pPr>
      <w:r>
        <w:rPr>
          <w:rFonts w:ascii="Arial" w:hAnsi="Arial"/>
          <w:color w:val="231F1F"/>
          <w:w w:val="355"/>
          <w:position w:val="1"/>
          <w:sz w:val="7"/>
        </w:rPr>
        <w:t>l </w:t>
      </w:r>
      <w:r>
        <w:rPr>
          <w:rFonts w:ascii="Calibri" w:hAnsi="Calibri"/>
          <w:color w:val="231F1F"/>
          <w:w w:val="115"/>
          <w:sz w:val="12"/>
        </w:rPr>
        <w:t>Corticosteroids: </w:t>
      </w:r>
      <w:r>
        <w:rPr>
          <w:color w:val="231F1F"/>
          <w:w w:val="115"/>
          <w:sz w:val="12"/>
        </w:rPr>
        <w:t>ritonavir possibly increases plasma concentration of </w:t>
      </w:r>
      <w:r>
        <w:rPr>
          <w:rFonts w:ascii="Arial" w:hAnsi="Arial"/>
          <w:color w:val="231F1F"/>
          <w:w w:val="355"/>
          <w:position w:val="1"/>
          <w:sz w:val="7"/>
        </w:rPr>
        <w:t>l </w:t>
      </w:r>
      <w:r>
        <w:rPr>
          <w:rFonts w:ascii="Calibri" w:hAnsi="Calibri"/>
          <w:color w:val="008356"/>
          <w:spacing w:val="2"/>
          <w:w w:val="115"/>
          <w:sz w:val="11"/>
        </w:rPr>
        <w:t>CORTICOSTEROIDS</w:t>
      </w:r>
      <w:r>
        <w:rPr>
          <w:rFonts w:ascii="Arial" w:hAnsi="Arial"/>
          <w:color w:val="231F1F"/>
          <w:spacing w:val="2"/>
          <w:w w:val="115"/>
          <w:sz w:val="12"/>
        </w:rPr>
        <w:t>—</w:t>
      </w:r>
      <w:r>
        <w:rPr>
          <w:color w:val="231F1F"/>
          <w:spacing w:val="2"/>
          <w:w w:val="115"/>
          <w:sz w:val="12"/>
        </w:rPr>
        <w:t>increased </w:t>
      </w:r>
      <w:r>
        <w:rPr>
          <w:color w:val="231F1F"/>
          <w:w w:val="115"/>
          <w:sz w:val="12"/>
        </w:rPr>
        <w:t>risk of adrenal supression; ritonavir possibly increases plasma concentration</w:t>
      </w:r>
      <w:r>
        <w:rPr>
          <w:color w:val="231F1F"/>
          <w:spacing w:val="-25"/>
          <w:w w:val="115"/>
          <w:sz w:val="12"/>
        </w:rPr>
        <w:t> </w:t>
      </w:r>
      <w:r>
        <w:rPr>
          <w:color w:val="231F1F"/>
          <w:w w:val="115"/>
          <w:sz w:val="12"/>
        </w:rPr>
        <w:t>of</w:t>
      </w:r>
      <w:r>
        <w:rPr>
          <w:color w:val="231F1F"/>
          <w:spacing w:val="-24"/>
          <w:w w:val="115"/>
          <w:sz w:val="12"/>
        </w:rPr>
        <w:t> </w:t>
      </w:r>
      <w:r>
        <w:rPr>
          <w:rFonts w:ascii="Arial" w:hAnsi="Arial"/>
          <w:color w:val="231F1F"/>
          <w:w w:val="350"/>
          <w:position w:val="1"/>
          <w:sz w:val="7"/>
        </w:rPr>
        <w:t>l</w:t>
      </w:r>
      <w:r>
        <w:rPr>
          <w:rFonts w:ascii="Arial" w:hAnsi="Arial"/>
          <w:color w:val="231F1F"/>
          <w:spacing w:val="-58"/>
          <w:w w:val="350"/>
          <w:position w:val="1"/>
          <w:sz w:val="7"/>
        </w:rPr>
        <w:t> </w:t>
      </w:r>
      <w:r>
        <w:rPr>
          <w:rFonts w:ascii="Calibri" w:hAnsi="Calibri"/>
          <w:color w:val="008356"/>
          <w:spacing w:val="4"/>
          <w:w w:val="115"/>
          <w:sz w:val="11"/>
        </w:rPr>
        <w:t>BUDESONIDE</w:t>
      </w:r>
      <w:r>
        <w:rPr>
          <w:rFonts w:ascii="Calibri" w:hAnsi="Calibri"/>
          <w:color w:val="008356"/>
          <w:spacing w:val="-17"/>
          <w:w w:val="115"/>
          <w:sz w:val="11"/>
        </w:rPr>
        <w:t> </w:t>
      </w:r>
      <w:r>
        <w:rPr>
          <w:color w:val="231F1F"/>
          <w:w w:val="115"/>
          <w:sz w:val="12"/>
        </w:rPr>
        <w:t>(including</w:t>
      </w:r>
      <w:r>
        <w:rPr>
          <w:color w:val="231F1F"/>
          <w:spacing w:val="-24"/>
          <w:w w:val="115"/>
          <w:sz w:val="12"/>
        </w:rPr>
        <w:t> </w:t>
      </w:r>
      <w:r>
        <w:rPr>
          <w:i/>
          <w:color w:val="231F1F"/>
          <w:w w:val="115"/>
          <w:sz w:val="12"/>
        </w:rPr>
        <w:t>inhaled</w:t>
      </w:r>
      <w:r>
        <w:rPr>
          <w:color w:val="231F1F"/>
          <w:w w:val="115"/>
          <w:sz w:val="12"/>
        </w:rPr>
        <w:t>,</w:t>
      </w:r>
      <w:r>
        <w:rPr>
          <w:color w:val="231F1F"/>
          <w:spacing w:val="-24"/>
          <w:w w:val="115"/>
          <w:sz w:val="12"/>
        </w:rPr>
        <w:t> </w:t>
      </w:r>
      <w:r>
        <w:rPr>
          <w:i/>
          <w:color w:val="231F1F"/>
          <w:w w:val="115"/>
          <w:sz w:val="12"/>
        </w:rPr>
        <w:t>intranasal</w:t>
      </w:r>
      <w:r>
        <w:rPr>
          <w:color w:val="231F1F"/>
          <w:w w:val="115"/>
          <w:sz w:val="12"/>
        </w:rPr>
        <w:t>, and</w:t>
      </w:r>
      <w:r>
        <w:rPr>
          <w:color w:val="231F1F"/>
          <w:spacing w:val="-17"/>
          <w:w w:val="115"/>
          <w:sz w:val="12"/>
        </w:rPr>
        <w:t> </w:t>
      </w:r>
      <w:r>
        <w:rPr>
          <w:i/>
          <w:color w:val="231F1F"/>
          <w:w w:val="115"/>
          <w:sz w:val="12"/>
        </w:rPr>
        <w:t>rectal</w:t>
      </w:r>
      <w:r>
        <w:rPr>
          <w:i/>
          <w:color w:val="231F1F"/>
          <w:spacing w:val="-15"/>
          <w:w w:val="115"/>
          <w:sz w:val="12"/>
        </w:rPr>
        <w:t> </w:t>
      </w:r>
      <w:r>
        <w:rPr>
          <w:color w:val="231F1F"/>
          <w:w w:val="115"/>
          <w:sz w:val="12"/>
        </w:rPr>
        <w:t>budesonide)</w:t>
      </w:r>
      <w:r>
        <w:rPr>
          <w:rFonts w:ascii="Arial" w:hAnsi="Arial"/>
          <w:color w:val="231F1F"/>
          <w:w w:val="115"/>
          <w:sz w:val="12"/>
        </w:rPr>
        <w:t>—</w:t>
      </w:r>
      <w:r>
        <w:rPr>
          <w:color w:val="231F1F"/>
          <w:w w:val="115"/>
          <w:sz w:val="12"/>
        </w:rPr>
        <w:t>increased</w:t>
      </w:r>
      <w:r>
        <w:rPr>
          <w:color w:val="231F1F"/>
          <w:spacing w:val="-17"/>
          <w:w w:val="115"/>
          <w:sz w:val="12"/>
        </w:rPr>
        <w:t> </w:t>
      </w:r>
      <w:r>
        <w:rPr>
          <w:color w:val="231F1F"/>
          <w:w w:val="115"/>
          <w:sz w:val="12"/>
        </w:rPr>
        <w:t>risk</w:t>
      </w:r>
      <w:r>
        <w:rPr>
          <w:color w:val="231F1F"/>
          <w:spacing w:val="-16"/>
          <w:w w:val="115"/>
          <w:sz w:val="12"/>
        </w:rPr>
        <w:t> </w:t>
      </w:r>
      <w:r>
        <w:rPr>
          <w:color w:val="231F1F"/>
          <w:w w:val="115"/>
          <w:sz w:val="12"/>
        </w:rPr>
        <w:t>of</w:t>
      </w:r>
      <w:r>
        <w:rPr>
          <w:color w:val="231F1F"/>
          <w:spacing w:val="-16"/>
          <w:w w:val="115"/>
          <w:sz w:val="12"/>
        </w:rPr>
        <w:t> </w:t>
      </w:r>
      <w:r>
        <w:rPr>
          <w:color w:val="231F1F"/>
          <w:w w:val="115"/>
          <w:sz w:val="12"/>
        </w:rPr>
        <w:t>adrenal</w:t>
      </w:r>
      <w:r>
        <w:rPr>
          <w:color w:val="231F1F"/>
          <w:spacing w:val="-17"/>
          <w:w w:val="115"/>
          <w:sz w:val="12"/>
        </w:rPr>
        <w:t> </w:t>
      </w:r>
      <w:r>
        <w:rPr>
          <w:color w:val="231F1F"/>
          <w:w w:val="115"/>
          <w:sz w:val="12"/>
        </w:rPr>
        <w:t>suppresion; ritonavir increases plasma concentration of </w:t>
      </w:r>
      <w:r>
        <w:rPr>
          <w:i/>
          <w:color w:val="231F1F"/>
          <w:w w:val="115"/>
          <w:sz w:val="12"/>
        </w:rPr>
        <w:t>inhaled </w:t>
      </w:r>
      <w:r>
        <w:rPr>
          <w:color w:val="231F1F"/>
          <w:w w:val="115"/>
          <w:sz w:val="12"/>
        </w:rPr>
        <w:t>and </w:t>
      </w:r>
      <w:r>
        <w:rPr>
          <w:i/>
          <w:color w:val="231F1F"/>
          <w:w w:val="115"/>
          <w:sz w:val="12"/>
        </w:rPr>
        <w:t>intranasal </w:t>
      </w:r>
      <w:r>
        <w:rPr>
          <w:rFonts w:ascii="Arial" w:hAnsi="Arial"/>
          <w:color w:val="231F1F"/>
          <w:w w:val="355"/>
          <w:position w:val="1"/>
          <w:sz w:val="7"/>
        </w:rPr>
        <w:t>l </w:t>
      </w:r>
      <w:r>
        <w:rPr>
          <w:rFonts w:ascii="Calibri" w:hAnsi="Calibri"/>
          <w:color w:val="008356"/>
          <w:spacing w:val="2"/>
          <w:w w:val="115"/>
          <w:sz w:val="11"/>
        </w:rPr>
        <w:t>FLUTICASONE</w:t>
      </w:r>
      <w:r>
        <w:rPr>
          <w:rFonts w:ascii="Arial" w:hAnsi="Arial"/>
          <w:color w:val="231F1F"/>
          <w:spacing w:val="2"/>
          <w:w w:val="115"/>
          <w:sz w:val="12"/>
        </w:rPr>
        <w:t>—</w:t>
      </w:r>
      <w:r>
        <w:rPr>
          <w:color w:val="231F1F"/>
          <w:spacing w:val="2"/>
          <w:w w:val="115"/>
          <w:sz w:val="12"/>
        </w:rPr>
        <w:t>increased </w:t>
      </w:r>
      <w:r>
        <w:rPr>
          <w:color w:val="231F1F"/>
          <w:w w:val="115"/>
          <w:sz w:val="12"/>
        </w:rPr>
        <w:t>risk of adrenal suppression</w:t>
      </w:r>
    </w:p>
    <w:p>
      <w:pPr>
        <w:pStyle w:val="BodyText"/>
        <w:spacing w:line="244" w:lineRule="auto"/>
        <w:ind w:left="286" w:right="701" w:hanging="100"/>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231F1F"/>
          <w:w w:val="120"/>
        </w:rPr>
        <w:t>Cytotoxics:</w:t>
      </w:r>
      <w:r>
        <w:rPr>
          <w:rFonts w:ascii="Calibri" w:hAnsi="Calibri"/>
          <w:color w:val="231F1F"/>
          <w:spacing w:val="-19"/>
          <w:w w:val="120"/>
        </w:rPr>
        <w:t> </w:t>
      </w:r>
      <w:r>
        <w:rPr>
          <w:color w:val="231F1F"/>
          <w:w w:val="120"/>
        </w:rPr>
        <w:t>ritonavir</w:t>
      </w:r>
      <w:r>
        <w:rPr>
          <w:color w:val="231F1F"/>
          <w:spacing w:val="-24"/>
          <w:w w:val="120"/>
        </w:rPr>
        <w:t> </w:t>
      </w:r>
      <w:r>
        <w:rPr>
          <w:color w:val="231F1F"/>
          <w:w w:val="120"/>
        </w:rPr>
        <w:t>increases</w:t>
      </w:r>
      <w:r>
        <w:rPr>
          <w:color w:val="231F1F"/>
          <w:spacing w:val="-23"/>
          <w:w w:val="120"/>
        </w:rPr>
        <w:t> </w:t>
      </w:r>
      <w:r>
        <w:rPr>
          <w:color w:val="231F1F"/>
          <w:w w:val="120"/>
        </w:rPr>
        <w:t>the</w:t>
      </w:r>
      <w:r>
        <w:rPr>
          <w:color w:val="231F1F"/>
          <w:spacing w:val="-24"/>
          <w:w w:val="120"/>
        </w:rPr>
        <w:t> </w:t>
      </w:r>
      <w:r>
        <w:rPr>
          <w:color w:val="231F1F"/>
          <w:w w:val="120"/>
        </w:rPr>
        <w:t>plasma</w:t>
      </w:r>
      <w:r>
        <w:rPr>
          <w:color w:val="231F1F"/>
          <w:spacing w:val="-23"/>
          <w:w w:val="120"/>
        </w:rPr>
        <w:t> </w:t>
      </w:r>
      <w:r>
        <w:rPr>
          <w:color w:val="231F1F"/>
          <w:w w:val="120"/>
        </w:rPr>
        <w:t>concentration</w:t>
      </w:r>
      <w:r>
        <w:rPr>
          <w:color w:val="231F1F"/>
          <w:spacing w:val="-24"/>
          <w:w w:val="120"/>
        </w:rPr>
        <w:t> </w:t>
      </w:r>
      <w:r>
        <w:rPr>
          <w:color w:val="231F1F"/>
          <w:w w:val="120"/>
        </w:rPr>
        <w:t>of </w:t>
      </w:r>
      <w:r>
        <w:rPr>
          <w:rFonts w:ascii="Calibri" w:hAnsi="Calibri"/>
          <w:color w:val="008356"/>
          <w:w w:val="120"/>
          <w:sz w:val="11"/>
        </w:rPr>
        <w:t>AFATINIB</w:t>
      </w:r>
      <w:r>
        <w:rPr>
          <w:rFonts w:ascii="Arial" w:hAnsi="Arial"/>
          <w:color w:val="231F1F"/>
          <w:w w:val="120"/>
        </w:rPr>
        <w:t>—</w:t>
      </w:r>
      <w:r>
        <w:rPr>
          <w:color w:val="231F1F"/>
          <w:w w:val="120"/>
        </w:rPr>
        <w:t>manufacturer of afatinib advises separating administration of ritonavir by 6 to 12 hours; ritonavir </w:t>
      </w:r>
      <w:r>
        <w:rPr>
          <w:color w:val="231F1F"/>
          <w:w w:val="115"/>
        </w:rPr>
        <w:t>possibly</w:t>
      </w:r>
      <w:r>
        <w:rPr>
          <w:color w:val="231F1F"/>
          <w:spacing w:val="-17"/>
          <w:w w:val="115"/>
        </w:rPr>
        <w:t> </w:t>
      </w:r>
      <w:r>
        <w:rPr>
          <w:color w:val="231F1F"/>
          <w:w w:val="115"/>
        </w:rPr>
        <w:t>increases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rFonts w:ascii="Calibri" w:hAnsi="Calibri"/>
          <w:color w:val="008356"/>
          <w:spacing w:val="4"/>
          <w:w w:val="115"/>
          <w:sz w:val="11"/>
        </w:rPr>
        <w:t>AXITINIB</w:t>
      </w:r>
      <w:r>
        <w:rPr>
          <w:rFonts w:ascii="Calibri" w:hAnsi="Calibri"/>
          <w:color w:val="008356"/>
          <w:spacing w:val="-8"/>
          <w:w w:val="115"/>
          <w:sz w:val="11"/>
        </w:rPr>
        <w:t> </w:t>
      </w:r>
      <w:r>
        <w:rPr>
          <w:color w:val="231F1F"/>
          <w:w w:val="115"/>
        </w:rPr>
        <w:t>(reduce </w:t>
      </w:r>
      <w:r>
        <w:rPr>
          <w:color w:val="231F1F"/>
          <w:w w:val="120"/>
        </w:rPr>
        <w:t>dose of axitinib</w:t>
      </w:r>
      <w:r>
        <w:rPr>
          <w:rFonts w:ascii="Arial" w:hAnsi="Arial"/>
          <w:color w:val="231F1F"/>
          <w:w w:val="120"/>
        </w:rPr>
        <w:t>—</w:t>
      </w:r>
      <w:r>
        <w:rPr>
          <w:color w:val="231F1F"/>
          <w:w w:val="120"/>
        </w:rPr>
        <w:t>consult axitinib product literature); ritonavir</w:t>
      </w:r>
      <w:r>
        <w:rPr>
          <w:color w:val="231F1F"/>
          <w:spacing w:val="-16"/>
          <w:w w:val="120"/>
        </w:rPr>
        <w:t> </w:t>
      </w:r>
      <w:r>
        <w:rPr>
          <w:color w:val="231F1F"/>
          <w:w w:val="120"/>
        </w:rPr>
        <w:t>possibly</w:t>
      </w:r>
      <w:r>
        <w:rPr>
          <w:color w:val="231F1F"/>
          <w:spacing w:val="-16"/>
          <w:w w:val="120"/>
        </w:rPr>
        <w:t> </w:t>
      </w:r>
      <w:r>
        <w:rPr>
          <w:color w:val="231F1F"/>
          <w:w w:val="120"/>
        </w:rPr>
        <w:t>increases</w:t>
      </w:r>
      <w:r>
        <w:rPr>
          <w:color w:val="231F1F"/>
          <w:spacing w:val="-16"/>
          <w:w w:val="120"/>
        </w:rPr>
        <w:t> </w:t>
      </w:r>
      <w:r>
        <w:rPr>
          <w:color w:val="231F1F"/>
          <w:w w:val="120"/>
        </w:rPr>
        <w:t>the</w:t>
      </w:r>
      <w:r>
        <w:rPr>
          <w:color w:val="231F1F"/>
          <w:spacing w:val="-15"/>
          <w:w w:val="120"/>
        </w:rPr>
        <w:t> </w:t>
      </w:r>
      <w:r>
        <w:rPr>
          <w:color w:val="231F1F"/>
          <w:w w:val="120"/>
        </w:rPr>
        <w:t>plasma</w:t>
      </w:r>
      <w:r>
        <w:rPr>
          <w:color w:val="231F1F"/>
          <w:spacing w:val="-16"/>
          <w:w w:val="120"/>
        </w:rPr>
        <w:t> </w:t>
      </w:r>
      <w:r>
        <w:rPr>
          <w:color w:val="231F1F"/>
          <w:w w:val="120"/>
        </w:rPr>
        <w:t>concentration</w:t>
      </w:r>
      <w:r>
        <w:rPr>
          <w:color w:val="231F1F"/>
          <w:spacing w:val="-15"/>
          <w:w w:val="120"/>
        </w:rPr>
        <w:t> </w:t>
      </w:r>
      <w:r>
        <w:rPr>
          <w:color w:val="231F1F"/>
          <w:w w:val="120"/>
        </w:rPr>
        <w:t>of</w:t>
      </w:r>
    </w:p>
    <w:p>
      <w:pPr>
        <w:pStyle w:val="BodyText"/>
        <w:spacing w:line="247" w:lineRule="auto"/>
        <w:ind w:left="286" w:right="685"/>
      </w:pPr>
      <w:r>
        <w:rPr>
          <w:rFonts w:ascii="Arial" w:hAnsi="Arial"/>
          <w:color w:val="231F1F"/>
          <w:w w:val="210"/>
          <w:position w:val="1"/>
          <w:sz w:val="7"/>
        </w:rPr>
        <w:t>l </w:t>
      </w:r>
      <w:r>
        <w:rPr>
          <w:rFonts w:ascii="Calibri" w:hAnsi="Calibri"/>
          <w:color w:val="008356"/>
          <w:w w:val="115"/>
          <w:sz w:val="11"/>
        </w:rPr>
        <w:t>BOSUTINIB </w:t>
      </w:r>
      <w:r>
        <w:rPr>
          <w:color w:val="231F1F"/>
          <w:w w:val="115"/>
        </w:rPr>
        <w:t>and </w:t>
      </w:r>
      <w:r>
        <w:rPr>
          <w:rFonts w:ascii="Arial" w:hAnsi="Arial"/>
          <w:color w:val="231F1F"/>
          <w:w w:val="210"/>
          <w:position w:val="1"/>
          <w:sz w:val="7"/>
        </w:rPr>
        <w:t>l </w:t>
      </w:r>
      <w:r>
        <w:rPr>
          <w:rFonts w:ascii="Calibri" w:hAnsi="Calibri"/>
          <w:color w:val="008356"/>
          <w:w w:val="115"/>
          <w:sz w:val="11"/>
        </w:rPr>
        <w:t>CABAZITAXEL</w:t>
      </w:r>
      <w:r>
        <w:rPr>
          <w:rFonts w:ascii="Arial" w:hAnsi="Arial"/>
          <w:color w:val="231F1F"/>
          <w:w w:val="115"/>
        </w:rPr>
        <w:t>—</w:t>
      </w:r>
      <w:r>
        <w:rPr>
          <w:color w:val="231F1F"/>
          <w:w w:val="115"/>
        </w:rPr>
        <w:t>manufacturer of bosutinib and cabazitaxel advises avoid or consider reducing dose of bosutinib and cabazitaxel; ritonavir possibly increases plasma concentration of </w:t>
      </w:r>
      <w:r>
        <w:rPr>
          <w:rFonts w:ascii="Calibri" w:hAnsi="Calibri"/>
          <w:color w:val="008356"/>
          <w:w w:val="115"/>
          <w:sz w:val="11"/>
        </w:rPr>
        <w:t>CABOZANTINIB </w:t>
      </w:r>
      <w:r>
        <w:rPr>
          <w:color w:val="231F1F"/>
          <w:w w:val="115"/>
        </w:rPr>
        <w:t>and </w:t>
      </w:r>
      <w:r>
        <w:rPr>
          <w:rFonts w:ascii="Calibri" w:hAnsi="Calibri"/>
          <w:color w:val="008356"/>
          <w:w w:val="115"/>
          <w:sz w:val="11"/>
        </w:rPr>
        <w:t>VINBLASTINE</w:t>
      </w:r>
      <w:r>
        <w:rPr>
          <w:color w:val="231F1F"/>
          <w:w w:val="115"/>
        </w:rPr>
        <w:t>; ritonavir possibly increases plasma concentration of</w:t>
      </w:r>
    </w:p>
    <w:p>
      <w:pPr>
        <w:spacing w:line="140" w:lineRule="exact" w:before="0"/>
        <w:ind w:left="286" w:right="0" w:firstLine="0"/>
        <w:jc w:val="left"/>
        <w:rPr>
          <w:rFonts w:ascii="Arial" w:hAnsi="Arial"/>
          <w:sz w:val="12"/>
        </w:rPr>
      </w:pPr>
      <w:r>
        <w:rPr>
          <w:rFonts w:ascii="Arial" w:hAnsi="Arial"/>
          <w:color w:val="231F1F"/>
          <w:w w:val="355"/>
          <w:position w:val="1"/>
          <w:sz w:val="7"/>
        </w:rPr>
        <w:t>l </w:t>
      </w:r>
      <w:r>
        <w:rPr>
          <w:rFonts w:ascii="Calibri" w:hAnsi="Calibri"/>
          <w:color w:val="008356"/>
          <w:spacing w:val="4"/>
          <w:w w:val="110"/>
          <w:sz w:val="11"/>
        </w:rPr>
        <w:t>CRIZOTINIB</w:t>
      </w:r>
      <w:r>
        <w:rPr>
          <w:color w:val="231F1F"/>
          <w:spacing w:val="4"/>
          <w:w w:val="110"/>
          <w:sz w:val="12"/>
        </w:rPr>
        <w:t>, </w:t>
      </w:r>
      <w:r>
        <w:rPr>
          <w:rFonts w:ascii="Arial" w:hAnsi="Arial"/>
          <w:color w:val="231F1F"/>
          <w:w w:val="355"/>
          <w:position w:val="1"/>
          <w:sz w:val="7"/>
        </w:rPr>
        <w:t>l </w:t>
      </w:r>
      <w:r>
        <w:rPr>
          <w:rFonts w:ascii="Calibri" w:hAnsi="Calibri"/>
          <w:color w:val="008356"/>
          <w:spacing w:val="4"/>
          <w:w w:val="110"/>
          <w:sz w:val="11"/>
        </w:rPr>
        <w:t>EVEROLIMUS</w:t>
      </w:r>
      <w:r>
        <w:rPr>
          <w:color w:val="231F1F"/>
          <w:spacing w:val="4"/>
          <w:w w:val="110"/>
          <w:sz w:val="12"/>
        </w:rPr>
        <w:t>, </w:t>
      </w:r>
      <w:r>
        <w:rPr>
          <w:rFonts w:ascii="Calibri" w:hAnsi="Calibri"/>
          <w:color w:val="008356"/>
          <w:spacing w:val="4"/>
          <w:w w:val="110"/>
          <w:sz w:val="11"/>
        </w:rPr>
        <w:t>NILOTINIB </w:t>
      </w:r>
      <w:r>
        <w:rPr>
          <w:color w:val="231F1F"/>
          <w:w w:val="110"/>
          <w:sz w:val="12"/>
        </w:rPr>
        <w:t>and </w:t>
      </w:r>
      <w:r>
        <w:rPr>
          <w:rFonts w:ascii="Arial" w:hAnsi="Arial"/>
          <w:color w:val="231F1F"/>
          <w:w w:val="355"/>
          <w:position w:val="1"/>
          <w:sz w:val="7"/>
        </w:rPr>
        <w:t>l </w:t>
      </w:r>
      <w:r>
        <w:rPr>
          <w:rFonts w:ascii="Calibri" w:hAnsi="Calibri"/>
          <w:color w:val="008356"/>
          <w:spacing w:val="4"/>
          <w:w w:val="110"/>
          <w:sz w:val="11"/>
        </w:rPr>
        <w:t>VINFLUNINE</w:t>
      </w:r>
      <w:r>
        <w:rPr>
          <w:rFonts w:ascii="Arial" w:hAnsi="Arial"/>
          <w:color w:val="231F1F"/>
          <w:spacing w:val="4"/>
          <w:w w:val="110"/>
          <w:sz w:val="12"/>
        </w:rPr>
        <w:t>—</w:t>
      </w:r>
    </w:p>
    <w:p>
      <w:pPr>
        <w:pStyle w:val="BodyText"/>
        <w:spacing w:line="247" w:lineRule="auto"/>
        <w:ind w:left="286" w:right="654"/>
      </w:pPr>
      <w:r>
        <w:rPr>
          <w:color w:val="231F1F"/>
          <w:w w:val="110"/>
        </w:rPr>
        <w:t>manufacturer of crizotinib, everolimus, nilotinib and vinflunine advises avoid concomitant use; avoidance of ritonavir advised by manufacturer of </w:t>
      </w:r>
      <w:r>
        <w:rPr>
          <w:rFonts w:ascii="Calibri" w:hAnsi="Calibri"/>
          <w:color w:val="008356"/>
          <w:w w:val="110"/>
          <w:sz w:val="11"/>
        </w:rPr>
        <w:t>DASATINIB </w:t>
      </w:r>
      <w:r>
        <w:rPr>
          <w:color w:val="231F1F"/>
          <w:w w:val="110"/>
        </w:rPr>
        <w:t>(plasma concentration of dasatinib possibly increased); ritonavir possibly increases the plasma concentration of </w:t>
      </w:r>
      <w:r>
        <w:rPr>
          <w:rFonts w:ascii="Arial" w:hAnsi="Arial"/>
          <w:color w:val="231F1F"/>
          <w:w w:val="355"/>
          <w:position w:val="1"/>
          <w:sz w:val="7"/>
        </w:rPr>
        <w:t>l </w:t>
      </w:r>
      <w:r>
        <w:rPr>
          <w:rFonts w:ascii="Calibri" w:hAnsi="Calibri"/>
          <w:color w:val="008356"/>
          <w:w w:val="110"/>
          <w:sz w:val="11"/>
        </w:rPr>
        <w:t>IBRUTINIB</w:t>
      </w:r>
      <w:r>
        <w:rPr>
          <w:rFonts w:ascii="Arial" w:hAnsi="Arial"/>
          <w:color w:val="231F1F"/>
          <w:w w:val="110"/>
        </w:rPr>
        <w:t>— </w:t>
      </w:r>
      <w:r>
        <w:rPr>
          <w:color w:val="231F1F"/>
          <w:w w:val="110"/>
        </w:rPr>
        <w:t>reduce dose of ibrutinib (see under Ibrutinib, p. 809); avoidance of ritonavir advised by manufacturer of</w:t>
      </w:r>
    </w:p>
    <w:p>
      <w:pPr>
        <w:pStyle w:val="BodyText"/>
        <w:spacing w:line="247" w:lineRule="auto"/>
        <w:ind w:left="286" w:right="545"/>
        <w:rPr>
          <w:rFonts w:ascii="Calibri" w:hAnsi="Calibri"/>
          <w:sz w:val="11"/>
        </w:rPr>
      </w:pPr>
      <w:r>
        <w:rPr>
          <w:rFonts w:ascii="Arial" w:hAnsi="Arial"/>
          <w:color w:val="231F1F"/>
          <w:w w:val="355"/>
          <w:position w:val="1"/>
          <w:sz w:val="7"/>
        </w:rPr>
        <w:t>l </w:t>
      </w:r>
      <w:r>
        <w:rPr>
          <w:rFonts w:ascii="Calibri" w:hAnsi="Calibri"/>
          <w:color w:val="008356"/>
          <w:w w:val="115"/>
          <w:sz w:val="11"/>
        </w:rPr>
        <w:t>LAPATINIB</w:t>
      </w:r>
      <w:r>
        <w:rPr>
          <w:color w:val="231F1F"/>
          <w:w w:val="115"/>
        </w:rPr>
        <w:t>; ritonavir possibly increases plasma concentration of </w:t>
      </w:r>
      <w:r>
        <w:rPr>
          <w:rFonts w:ascii="Arial" w:hAnsi="Arial"/>
          <w:color w:val="231F1F"/>
          <w:w w:val="355"/>
          <w:position w:val="1"/>
          <w:sz w:val="7"/>
        </w:rPr>
        <w:t>l </w:t>
      </w:r>
      <w:r>
        <w:rPr>
          <w:rFonts w:ascii="Calibri" w:hAnsi="Calibri"/>
          <w:color w:val="008356"/>
          <w:w w:val="115"/>
          <w:sz w:val="11"/>
        </w:rPr>
        <w:t>PAZOPANIB </w:t>
      </w:r>
      <w:r>
        <w:rPr>
          <w:color w:val="231F1F"/>
          <w:w w:val="115"/>
        </w:rPr>
        <w:t>(reduce dose of pazopanib); ritonavir possibly increases plasma concentration of </w:t>
      </w:r>
      <w:r>
        <w:rPr>
          <w:rFonts w:ascii="Calibri" w:hAnsi="Calibri"/>
          <w:color w:val="008356"/>
          <w:w w:val="115"/>
          <w:sz w:val="11"/>
        </w:rPr>
        <w:t>PONATINIB</w:t>
      </w:r>
      <w:r>
        <w:rPr>
          <w:rFonts w:ascii="Arial" w:hAnsi="Arial"/>
          <w:color w:val="231F1F"/>
          <w:w w:val="115"/>
        </w:rPr>
        <w:t>—</w:t>
      </w:r>
      <w:r>
        <w:rPr>
          <w:color w:val="231F1F"/>
          <w:w w:val="115"/>
        </w:rPr>
        <w:t>consider reducing initial dose of ponatinib (see under Ponatinib, p. 814); manufacturer of ruxolitinib advises dose reduction when ritonavir given with </w:t>
      </w:r>
      <w:r>
        <w:rPr>
          <w:rFonts w:ascii="Arial" w:hAnsi="Arial"/>
          <w:color w:val="231F1F"/>
          <w:w w:val="355"/>
          <w:position w:val="1"/>
          <w:sz w:val="7"/>
        </w:rPr>
        <w:t>l </w:t>
      </w:r>
      <w:r>
        <w:rPr>
          <w:rFonts w:ascii="Calibri" w:hAnsi="Calibri"/>
          <w:color w:val="008356"/>
          <w:w w:val="115"/>
          <w:sz w:val="11"/>
        </w:rPr>
        <w:t>RUXOLITINIB</w:t>
      </w:r>
      <w:r>
        <w:rPr>
          <w:rFonts w:ascii="Arial" w:hAnsi="Arial"/>
          <w:color w:val="231F1F"/>
          <w:w w:val="115"/>
        </w:rPr>
        <w:t>— </w:t>
      </w:r>
      <w:r>
        <w:rPr>
          <w:color w:val="231F1F"/>
          <w:w w:val="115"/>
        </w:rPr>
        <w:t>consult ruxolitinib product literature; ritonavir possibly increases plasma concentration of </w:t>
      </w:r>
      <w:r>
        <w:rPr>
          <w:rFonts w:ascii="Arial" w:hAnsi="Arial"/>
          <w:color w:val="231F1F"/>
          <w:w w:val="355"/>
          <w:position w:val="1"/>
          <w:sz w:val="7"/>
        </w:rPr>
        <w:t>l </w:t>
      </w:r>
      <w:r>
        <w:rPr>
          <w:rFonts w:ascii="Calibri" w:hAnsi="Calibri"/>
          <w:color w:val="008356"/>
          <w:w w:val="115"/>
          <w:sz w:val="11"/>
        </w:rPr>
        <w:t>DOCETAXEL</w:t>
      </w:r>
      <w:r>
        <w:rPr>
          <w:rFonts w:ascii="Arial" w:hAnsi="Arial"/>
          <w:color w:val="231F1F"/>
          <w:w w:val="115"/>
        </w:rPr>
        <w:t>— </w:t>
      </w:r>
      <w:r>
        <w:rPr>
          <w:color w:val="231F1F"/>
          <w:w w:val="115"/>
        </w:rPr>
        <w:t>manufacturer of docetaxel advises avoid concomitant use or consider reducing docetaxel dose; ritonavir increases plasma concentration of </w:t>
      </w:r>
      <w:r>
        <w:rPr>
          <w:rFonts w:ascii="Calibri" w:hAnsi="Calibri"/>
          <w:color w:val="008356"/>
          <w:w w:val="115"/>
          <w:sz w:val="11"/>
        </w:rPr>
        <w:t>PACLITAXEL</w:t>
      </w:r>
    </w:p>
    <w:p>
      <w:pPr>
        <w:pStyle w:val="BodyText"/>
        <w:spacing w:line="133" w:lineRule="exact"/>
        <w:ind w:left="186"/>
      </w:pPr>
      <w:r>
        <w:rPr>
          <w:rFonts w:ascii="Arial"/>
          <w:color w:val="231F1F"/>
          <w:w w:val="355"/>
          <w:position w:val="1"/>
          <w:sz w:val="7"/>
        </w:rPr>
        <w:t>l </w:t>
      </w:r>
      <w:r>
        <w:rPr>
          <w:rFonts w:ascii="Calibri"/>
          <w:color w:val="231F1F"/>
          <w:w w:val="110"/>
        </w:rPr>
        <w:t>Dapoxetine: </w:t>
      </w:r>
      <w:r>
        <w:rPr>
          <w:color w:val="231F1F"/>
          <w:w w:val="110"/>
        </w:rPr>
        <w:t>avoidance of ritonavir advised by manufacturer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DAPOXETINE </w:t>
      </w:r>
      <w:r>
        <w:rPr>
          <w:color w:val="231F1F"/>
          <w:w w:val="110"/>
          <w:sz w:val="12"/>
        </w:rPr>
        <w:t>(increased risk of toxicity)</w:t>
      </w:r>
    </w:p>
    <w:p>
      <w:pPr>
        <w:pStyle w:val="BodyText"/>
        <w:spacing w:line="144" w:lineRule="exact"/>
        <w:ind w:left="186"/>
      </w:pPr>
      <w:r>
        <w:rPr>
          <w:rFonts w:ascii="Arial"/>
          <w:color w:val="231F1F"/>
          <w:w w:val="355"/>
          <w:position w:val="1"/>
          <w:sz w:val="7"/>
        </w:rPr>
        <w:t>l </w:t>
      </w:r>
      <w:r>
        <w:rPr>
          <w:rFonts w:ascii="Calibri"/>
          <w:color w:val="231F1F"/>
          <w:w w:val="120"/>
        </w:rPr>
        <w:t>Diuretics: </w:t>
      </w:r>
      <w:r>
        <w:rPr>
          <w:color w:val="231F1F"/>
          <w:w w:val="120"/>
        </w:rPr>
        <w:t>ritonavir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584" w:hanging="100"/>
      </w:pPr>
      <w:r>
        <w:rPr>
          <w:rFonts w:ascii="Arial" w:hAnsi="Arial"/>
          <w:color w:val="231F1F"/>
          <w:w w:val="355"/>
          <w:position w:val="1"/>
          <w:sz w:val="7"/>
        </w:rPr>
        <w:t>l </w:t>
      </w:r>
      <w:r>
        <w:rPr>
          <w:rFonts w:ascii="Calibri" w:hAnsi="Calibri"/>
          <w:color w:val="231F1F"/>
          <w:w w:val="110"/>
        </w:rPr>
        <w:t>Domperidone: </w:t>
      </w:r>
      <w:r>
        <w:rPr>
          <w:color w:val="231F1F"/>
          <w:w w:val="110"/>
        </w:rPr>
        <w:t>possible increased risk of ventricular arrhythmias</w:t>
      </w:r>
      <w:r>
        <w:rPr>
          <w:color w:val="231F1F"/>
          <w:spacing w:val="-10"/>
          <w:w w:val="110"/>
        </w:rPr>
        <w:t> </w:t>
      </w:r>
      <w:r>
        <w:rPr>
          <w:color w:val="231F1F"/>
          <w:w w:val="110"/>
        </w:rPr>
        <w:t>when</w:t>
      </w:r>
      <w:r>
        <w:rPr>
          <w:color w:val="231F1F"/>
          <w:spacing w:val="-8"/>
          <w:w w:val="110"/>
        </w:rPr>
        <w:t> </w:t>
      </w:r>
      <w:r>
        <w:rPr>
          <w:color w:val="231F1F"/>
          <w:w w:val="110"/>
        </w:rPr>
        <w:t>ritonavir</w:t>
      </w:r>
      <w:r>
        <w:rPr>
          <w:color w:val="231F1F"/>
          <w:spacing w:val="-8"/>
          <w:w w:val="110"/>
        </w:rPr>
        <w:t> </w:t>
      </w:r>
      <w:r>
        <w:rPr>
          <w:color w:val="231F1F"/>
          <w:w w:val="110"/>
        </w:rPr>
        <w:t>given</w:t>
      </w:r>
      <w:r>
        <w:rPr>
          <w:color w:val="231F1F"/>
          <w:spacing w:val="-8"/>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0"/>
          <w:sz w:val="11"/>
        </w:rPr>
        <w:t>DOMPERIDONE</w:t>
      </w:r>
      <w:r>
        <w:rPr>
          <w:rFonts w:ascii="Arial" w:hAnsi="Arial"/>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spacing w:before="1"/>
        <w:ind w:left="286" w:right="832" w:hanging="100"/>
        <w:jc w:val="left"/>
        <w:rPr>
          <w:sz w:val="12"/>
        </w:rPr>
      </w:pPr>
      <w:r>
        <w:rPr>
          <w:rFonts w:ascii="Arial" w:hAnsi="Arial"/>
          <w:color w:val="231F1F"/>
          <w:w w:val="355"/>
          <w:position w:val="1"/>
          <w:sz w:val="7"/>
        </w:rPr>
        <w:t>l</w:t>
      </w:r>
      <w:r>
        <w:rPr>
          <w:rFonts w:ascii="Arial" w:hAnsi="Arial"/>
          <w:color w:val="231F1F"/>
          <w:spacing w:val="-30"/>
          <w:w w:val="355"/>
          <w:position w:val="1"/>
          <w:sz w:val="7"/>
        </w:rPr>
        <w:t> </w:t>
      </w:r>
      <w:r>
        <w:rPr>
          <w:rFonts w:ascii="Calibri" w:hAnsi="Calibri"/>
          <w:color w:val="231F1F"/>
          <w:w w:val="110"/>
          <w:sz w:val="12"/>
        </w:rPr>
        <w:t>Ergot Alkaloids: </w:t>
      </w:r>
      <w:r>
        <w:rPr>
          <w:color w:val="231F1F"/>
          <w:w w:val="110"/>
          <w:sz w:val="12"/>
        </w:rPr>
        <w:t>increased risk of ergotism when ritonavir given with </w:t>
      </w:r>
      <w:r>
        <w:rPr>
          <w:rFonts w:ascii="Arial" w:hAnsi="Arial"/>
          <w:color w:val="231F1F"/>
          <w:w w:val="355"/>
          <w:position w:val="1"/>
          <w:sz w:val="7"/>
        </w:rPr>
        <w:t>l </w:t>
      </w:r>
      <w:r>
        <w:rPr>
          <w:rFonts w:ascii="Calibri" w:hAnsi="Calibri"/>
          <w:color w:val="008356"/>
          <w:spacing w:val="4"/>
          <w:w w:val="110"/>
          <w:sz w:val="11"/>
        </w:rPr>
        <w:t>ERGOMETRINE </w:t>
      </w:r>
      <w:r>
        <w:rPr>
          <w:color w:val="231F1F"/>
          <w:w w:val="110"/>
          <w:sz w:val="12"/>
        </w:rPr>
        <w:t>or </w:t>
      </w:r>
      <w:r>
        <w:rPr>
          <w:rFonts w:ascii="Arial" w:hAnsi="Arial"/>
          <w:color w:val="231F1F"/>
          <w:w w:val="355"/>
          <w:position w:val="1"/>
          <w:sz w:val="7"/>
        </w:rPr>
        <w:t>l </w:t>
      </w:r>
      <w:r>
        <w:rPr>
          <w:rFonts w:ascii="Calibri" w:hAnsi="Calibri"/>
          <w:color w:val="008356"/>
          <w:spacing w:val="2"/>
          <w:w w:val="110"/>
          <w:sz w:val="11"/>
        </w:rPr>
        <w:t>ERGOTAMINE</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3"/>
          <w:w w:val="110"/>
          <w:sz w:val="12"/>
        </w:rPr>
        <w:t> </w:t>
      </w:r>
      <w:r>
        <w:rPr>
          <w:color w:val="231F1F"/>
          <w:w w:val="110"/>
          <w:sz w:val="12"/>
        </w:rPr>
        <w:t>use</w:t>
      </w:r>
    </w:p>
    <w:p>
      <w:pPr>
        <w:pStyle w:val="BodyText"/>
        <w:spacing w:line="220" w:lineRule="auto" w:before="11"/>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ritonavir possibly increases plasma concentration of </w:t>
      </w:r>
      <w:r>
        <w:rPr>
          <w:rFonts w:ascii="Calibri" w:hAnsi="Calibri"/>
          <w:color w:val="008356"/>
          <w:w w:val="105"/>
          <w:sz w:val="11"/>
        </w:rPr>
        <w:t>FOSAPREPITANT</w:t>
      </w:r>
    </w:p>
    <w:p>
      <w:pPr>
        <w:pStyle w:val="BodyText"/>
        <w:ind w:left="286" w:right="832"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ritonavir increases plasma concentration of </w:t>
      </w:r>
      <w:r>
        <w:rPr>
          <w:rFonts w:ascii="Arial" w:hAnsi="Arial"/>
          <w:color w:val="231F1F"/>
          <w:w w:val="355"/>
          <w:position w:val="1"/>
          <w:sz w:val="7"/>
          <w:vertAlign w:val="baseline"/>
        </w:rPr>
        <w:t>l </w:t>
      </w:r>
      <w:r>
        <w:rPr>
          <w:rFonts w:ascii="Calibri" w:hAnsi="Calibri"/>
          <w:color w:val="008356"/>
          <w:w w:val="110"/>
          <w:sz w:val="11"/>
          <w:vertAlign w:val="baseline"/>
        </w:rPr>
        <w:t>ELETRIPTAN </w:t>
      </w:r>
      <w:r>
        <w:rPr>
          <w:color w:val="231F1F"/>
          <w:w w:val="110"/>
          <w:vertAlign w:val="baseline"/>
        </w:rPr>
        <w:t>(risk of toxicity)</w:t>
      </w:r>
      <w:r>
        <w:rPr>
          <w:rFonts w:ascii="Arial" w:hAnsi="Arial"/>
          <w:color w:val="231F1F"/>
          <w:w w:val="110"/>
          <w:vertAlign w:val="baseline"/>
        </w:rPr>
        <w:t>—</w:t>
      </w:r>
      <w:r>
        <w:rPr>
          <w:color w:val="231F1F"/>
          <w:w w:val="110"/>
          <w:vertAlign w:val="baseline"/>
        </w:rPr>
        <w:t>avoid concomitant use</w:t>
      </w:r>
    </w:p>
    <w:p>
      <w:pPr>
        <w:pStyle w:val="BodyText"/>
        <w:spacing w:before="1"/>
        <w:ind w:left="286" w:right="647"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Ivabradine:</w:t>
      </w:r>
      <w:r>
        <w:rPr>
          <w:rFonts w:ascii="Calibri" w:hAnsi="Calibri"/>
          <w:color w:val="231F1F"/>
          <w:spacing w:val="-10"/>
          <w:w w:val="115"/>
        </w:rPr>
        <w:t> </w:t>
      </w:r>
      <w:r>
        <w:rPr>
          <w:color w:val="231F1F"/>
          <w:w w:val="115"/>
        </w:rPr>
        <w:t>ritonavir</w:t>
      </w:r>
      <w:r>
        <w:rPr>
          <w:color w:val="231F1F"/>
          <w:spacing w:val="-12"/>
          <w:w w:val="115"/>
        </w:rPr>
        <w:t> </w:t>
      </w:r>
      <w:r>
        <w:rPr>
          <w:color w:val="231F1F"/>
          <w:w w:val="115"/>
        </w:rPr>
        <w:t>possibly</w:t>
      </w:r>
      <w:r>
        <w:rPr>
          <w:color w:val="231F1F"/>
          <w:spacing w:val="-13"/>
          <w:w w:val="115"/>
        </w:rPr>
        <w:t> </w:t>
      </w:r>
      <w:r>
        <w:rPr>
          <w:color w:val="231F1F"/>
          <w:w w:val="115"/>
        </w:rPr>
        <w:t>increases</w:t>
      </w:r>
      <w:r>
        <w:rPr>
          <w:color w:val="231F1F"/>
          <w:spacing w:val="-13"/>
          <w:w w:val="115"/>
        </w:rPr>
        <w:t> </w:t>
      </w:r>
      <w:r>
        <w:rPr>
          <w:color w:val="231F1F"/>
          <w:w w:val="115"/>
        </w:rPr>
        <w:t>plasma</w:t>
      </w:r>
      <w:r>
        <w:rPr>
          <w:color w:val="231F1F"/>
          <w:spacing w:val="-13"/>
          <w:w w:val="115"/>
        </w:rPr>
        <w:t> </w:t>
      </w:r>
      <w:r>
        <w:rPr>
          <w:color w:val="231F1F"/>
          <w:spacing w:val="-2"/>
          <w:w w:val="115"/>
        </w:rPr>
        <w:t>concentration </w:t>
      </w:r>
      <w:r>
        <w:rPr>
          <w:color w:val="231F1F"/>
          <w:w w:val="115"/>
        </w:rPr>
        <w:t>of</w:t>
      </w:r>
      <w:r>
        <w:rPr>
          <w:color w:val="231F1F"/>
          <w:spacing w:val="-6"/>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5"/>
          <w:sz w:val="11"/>
        </w:rPr>
        <w:t>IVABRADINE</w:t>
      </w:r>
      <w:r>
        <w:rPr>
          <w:rFonts w:ascii="Arial" w:hAnsi="Arial"/>
          <w:color w:val="231F1F"/>
          <w:spacing w:val="2"/>
          <w:w w:val="115"/>
        </w:rPr>
        <w:t>—</w:t>
      </w:r>
      <w:r>
        <w:rPr>
          <w:color w:val="231F1F"/>
          <w:spacing w:val="2"/>
          <w:w w:val="115"/>
        </w:rPr>
        <w:t>avoid</w:t>
      </w:r>
      <w:r>
        <w:rPr>
          <w:color w:val="231F1F"/>
          <w:spacing w:val="-6"/>
          <w:w w:val="115"/>
        </w:rPr>
        <w:t> </w:t>
      </w:r>
      <w:r>
        <w:rPr>
          <w:color w:val="231F1F"/>
          <w:w w:val="115"/>
        </w:rPr>
        <w:t>concomitant</w:t>
      </w:r>
      <w:r>
        <w:rPr>
          <w:color w:val="231F1F"/>
          <w:spacing w:val="-7"/>
          <w:w w:val="115"/>
        </w:rPr>
        <w:t> </w:t>
      </w:r>
      <w:r>
        <w:rPr>
          <w:color w:val="231F1F"/>
          <w:w w:val="115"/>
        </w:rPr>
        <w:t>use</w:t>
      </w:r>
    </w:p>
    <w:p>
      <w:pPr>
        <w:pStyle w:val="BodyText"/>
        <w:spacing w:line="242" w:lineRule="auto"/>
        <w:ind w:left="286" w:right="565" w:hanging="100"/>
      </w:pPr>
      <w:r>
        <w:rPr>
          <w:rFonts w:ascii="Arial" w:hAnsi="Arial"/>
          <w:color w:val="231F1F"/>
          <w:w w:val="355"/>
          <w:position w:val="1"/>
          <w:sz w:val="7"/>
        </w:rPr>
        <w:t>l </w:t>
      </w:r>
      <w:r>
        <w:rPr>
          <w:rFonts w:ascii="Calibri" w:hAnsi="Calibri"/>
          <w:color w:val="231F1F"/>
          <w:w w:val="110"/>
        </w:rPr>
        <w:t>Lipid-regulating Drugs: </w:t>
      </w:r>
      <w:r>
        <w:rPr>
          <w:color w:val="231F1F"/>
          <w:w w:val="110"/>
        </w:rPr>
        <w:t>possible increased risk of myopathy when ritonavir given with </w:t>
      </w:r>
      <w:r>
        <w:rPr>
          <w:rFonts w:ascii="Calibri" w:hAnsi="Calibri"/>
          <w:color w:val="008356"/>
          <w:w w:val="110"/>
          <w:sz w:val="11"/>
        </w:rPr>
        <w:t>ATORVASTATIN</w:t>
      </w:r>
      <w:r>
        <w:rPr>
          <w:color w:val="231F1F"/>
          <w:w w:val="110"/>
        </w:rPr>
        <w:t>; possible increased risk of myopathy when ritonavir given with </w:t>
      </w:r>
      <w:r>
        <w:rPr>
          <w:rFonts w:ascii="Arial" w:hAnsi="Arial"/>
          <w:color w:val="231F1F"/>
          <w:w w:val="355"/>
          <w:position w:val="1"/>
          <w:sz w:val="7"/>
        </w:rPr>
        <w:t>l </w:t>
      </w:r>
      <w:r>
        <w:rPr>
          <w:rFonts w:ascii="Calibri" w:hAnsi="Calibri"/>
          <w:color w:val="008356"/>
          <w:w w:val="110"/>
          <w:sz w:val="11"/>
        </w:rPr>
        <w:t>ROSUVASTATIN</w:t>
      </w:r>
      <w:r>
        <w:rPr>
          <w:rFonts w:ascii="Arial" w:hAnsi="Arial"/>
          <w:color w:val="231F1F"/>
          <w:w w:val="110"/>
        </w:rPr>
        <w:t>— </w:t>
      </w:r>
      <w:r>
        <w:rPr>
          <w:color w:val="231F1F"/>
          <w:w w:val="110"/>
        </w:rPr>
        <w:t>manufacturer of rosuvastatin advises avoid concomitant use; increased risk of myopathy when ritonavir given with</w:t>
      </w:r>
    </w:p>
    <w:p>
      <w:pPr>
        <w:pStyle w:val="BodyText"/>
        <w:spacing w:line="242" w:lineRule="auto" w:before="3"/>
        <w:ind w:left="286" w:right="545"/>
      </w:pPr>
      <w:r>
        <w:rPr>
          <w:rFonts w:ascii="Arial"/>
          <w:color w:val="231F1F"/>
          <w:w w:val="355"/>
          <w:position w:val="1"/>
          <w:sz w:val="7"/>
        </w:rPr>
        <w:t>l </w:t>
      </w:r>
      <w:r>
        <w:rPr>
          <w:rFonts w:ascii="Calibri"/>
          <w:color w:val="008356"/>
          <w:spacing w:val="3"/>
          <w:w w:val="110"/>
          <w:sz w:val="11"/>
        </w:rPr>
        <w:t>SIMVASTATIN </w:t>
      </w:r>
      <w:r>
        <w:rPr>
          <w:color w:val="231F1F"/>
          <w:w w:val="110"/>
        </w:rPr>
        <w:t>(avoid concomitant use); avoidance of ritonavir advised by manufacturer of </w:t>
      </w:r>
      <w:r>
        <w:rPr>
          <w:rFonts w:ascii="Arial"/>
          <w:color w:val="231F1F"/>
          <w:w w:val="355"/>
          <w:position w:val="1"/>
          <w:sz w:val="7"/>
        </w:rPr>
        <w:t>l </w:t>
      </w:r>
      <w:r>
        <w:rPr>
          <w:rFonts w:ascii="Calibri"/>
          <w:color w:val="008356"/>
          <w:spacing w:val="3"/>
          <w:w w:val="110"/>
          <w:sz w:val="11"/>
        </w:rPr>
        <w:t>LOMITAPIDE </w:t>
      </w:r>
      <w:r>
        <w:rPr>
          <w:color w:val="231F1F"/>
          <w:w w:val="110"/>
        </w:rPr>
        <w:t>(plasma concentration of lomitapide possibly increased)</w:t>
      </w:r>
    </w:p>
    <w:p>
      <w:pPr>
        <w:pStyle w:val="BodyText"/>
        <w:spacing w:line="230" w:lineRule="auto" w:before="6"/>
        <w:ind w:left="286" w:right="598" w:hanging="100"/>
        <w:jc w:val="both"/>
      </w:pPr>
      <w:r>
        <w:rPr>
          <w:rFonts w:ascii="Lucida Sans Unicode" w:hAnsi="Lucida Sans Unicode"/>
          <w:color w:val="A7A8AC"/>
          <w:w w:val="95"/>
          <w:sz w:val="10"/>
        </w:rPr>
        <w:t>▶ </w:t>
      </w:r>
      <w:r>
        <w:rPr>
          <w:rFonts w:ascii="Calibri" w:hAnsi="Calibri"/>
          <w:color w:val="231F1F"/>
          <w:w w:val="110"/>
        </w:rPr>
        <w:t>Mirabegron: </w:t>
      </w:r>
      <w:r>
        <w:rPr>
          <w:color w:val="231F1F"/>
          <w:w w:val="110"/>
        </w:rPr>
        <w:t>when given with ritonavir avoid or reduce dose of </w:t>
      </w:r>
      <w:r>
        <w:rPr>
          <w:rFonts w:ascii="Calibri" w:hAnsi="Calibri"/>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244" w:lineRule="auto" w:before="3"/>
        <w:ind w:left="286" w:right="584" w:hanging="100"/>
      </w:pPr>
      <w:r>
        <w:rPr>
          <w:rFonts w:ascii="Arial" w:hAnsi="Arial"/>
          <w:color w:val="231F1F"/>
          <w:w w:val="355"/>
          <w:position w:val="1"/>
          <w:sz w:val="7"/>
        </w:rPr>
        <w:t>l</w:t>
      </w:r>
      <w:r>
        <w:rPr>
          <w:rFonts w:ascii="Arial" w:hAnsi="Arial"/>
          <w:color w:val="231F1F"/>
          <w:spacing w:val="-39"/>
          <w:w w:val="355"/>
          <w:position w:val="1"/>
          <w:sz w:val="7"/>
        </w:rPr>
        <w:t> </w:t>
      </w:r>
      <w:r>
        <w:rPr>
          <w:rFonts w:ascii="Calibri" w:hAnsi="Calibri"/>
          <w:color w:val="231F1F"/>
          <w:w w:val="110"/>
        </w:rPr>
        <w:t>Oestrogens:</w:t>
      </w:r>
      <w:r>
        <w:rPr>
          <w:rFonts w:ascii="Calibri" w:hAnsi="Calibri"/>
          <w:color w:val="231F1F"/>
          <w:spacing w:val="-6"/>
          <w:w w:val="110"/>
        </w:rPr>
        <w:t> </w:t>
      </w:r>
      <w:r>
        <w:rPr>
          <w:color w:val="231F1F"/>
          <w:w w:val="110"/>
        </w:rPr>
        <w:t>ritonavir</w:t>
      </w:r>
      <w:r>
        <w:rPr>
          <w:color w:val="231F1F"/>
          <w:spacing w:val="-9"/>
          <w:w w:val="110"/>
        </w:rPr>
        <w:t> </w:t>
      </w:r>
      <w:r>
        <w:rPr>
          <w:color w:val="231F1F"/>
          <w:w w:val="110"/>
        </w:rPr>
        <w:t>accelerates</w:t>
      </w:r>
      <w:r>
        <w:rPr>
          <w:color w:val="231F1F"/>
          <w:spacing w:val="-10"/>
          <w:w w:val="110"/>
        </w:rPr>
        <w:t> </w:t>
      </w:r>
      <w:r>
        <w:rPr>
          <w:color w:val="231F1F"/>
          <w:w w:val="110"/>
        </w:rPr>
        <w:t>metabolism</w:t>
      </w:r>
      <w:r>
        <w:rPr>
          <w:color w:val="231F1F"/>
          <w:spacing w:val="-9"/>
          <w:w w:val="110"/>
        </w:rPr>
        <w:t> </w:t>
      </w:r>
      <w:r>
        <w:rPr>
          <w:color w:val="231F1F"/>
          <w:w w:val="110"/>
        </w:rPr>
        <w:t>of</w:t>
      </w:r>
      <w:r>
        <w:rPr>
          <w:color w:val="231F1F"/>
          <w:spacing w:val="-8"/>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5"/>
          <w:w w:val="110"/>
          <w:sz w:val="11"/>
        </w:rPr>
        <w:t>OESTROGENS </w:t>
      </w:r>
      <w:r>
        <w:rPr>
          <w:color w:val="231F1F"/>
          <w:w w:val="110"/>
        </w:rPr>
        <w:t>(reduced contraceptive effect with combined oral contraceptives, contraceptive patches, and vaginal </w:t>
      </w:r>
      <w:r>
        <w:rPr>
          <w:color w:val="231F1F"/>
          <w:spacing w:val="-3"/>
          <w:w w:val="110"/>
        </w:rPr>
        <w:t>rings</w:t>
      </w:r>
      <w:r>
        <w:rPr>
          <w:rFonts w:ascii="Arial" w:hAnsi="Arial"/>
          <w:color w:val="231F1F"/>
          <w:spacing w:val="-3"/>
          <w:w w:val="110"/>
        </w:rPr>
        <w:t>—</w:t>
      </w:r>
      <w:r>
        <w:rPr>
          <w:color w:val="231F1F"/>
          <w:spacing w:val="-3"/>
          <w:w w:val="110"/>
        </w:rPr>
        <w:t>see </w:t>
      </w:r>
      <w:r>
        <w:rPr>
          <w:color w:val="231F1F"/>
          <w:w w:val="110"/>
        </w:rPr>
        <w:t>Contraceptive Interactions in</w:t>
      </w:r>
      <w:r>
        <w:rPr>
          <w:color w:val="231F1F"/>
          <w:spacing w:val="-5"/>
          <w:w w:val="110"/>
        </w:rPr>
        <w:t> </w:t>
      </w:r>
      <w:r>
        <w:rPr>
          <w:color w:val="231F1F"/>
          <w:w w:val="110"/>
        </w:rPr>
        <w:t>BNF)</w:t>
      </w:r>
    </w:p>
    <w:p>
      <w:pPr>
        <w:spacing w:after="0" w:line="244" w:lineRule="auto"/>
        <w:sectPr>
          <w:pgSz w:w="8390" w:h="11910"/>
          <w:pgMar w:header="0" w:footer="0" w:top="460" w:bottom="0" w:left="480" w:right="0"/>
          <w:cols w:num="2" w:equalWidth="0">
            <w:col w:w="3637" w:space="40"/>
            <w:col w:w="4233"/>
          </w:cols>
        </w:sectPr>
      </w:pPr>
    </w:p>
    <w:p>
      <w:pPr>
        <w:pStyle w:val="BodyText"/>
        <w:spacing w:before="7"/>
        <w:ind w:left="0"/>
        <w:rPr>
          <w:sz w:val="14"/>
        </w:rPr>
      </w:pPr>
    </w:p>
    <w:p>
      <w:pPr>
        <w:pStyle w:val="BodyText"/>
        <w:spacing w:line="144" w:lineRule="exact"/>
        <w:ind w:left="108"/>
        <w:rPr>
          <w:rFonts w:ascii="Calibri"/>
        </w:rPr>
      </w:pPr>
      <w:r>
        <w:rPr>
          <w:rFonts w:ascii="Arial"/>
          <w:color w:val="008356"/>
        </w:rPr>
        <w:t>Ritonavir </w:t>
      </w:r>
      <w:r>
        <w:rPr>
          <w:rFonts w:ascii="Calibri"/>
          <w:color w:val="231F1F"/>
        </w:rPr>
        <w:t>(continued)</w:t>
      </w:r>
    </w:p>
    <w:p>
      <w:pPr>
        <w:pStyle w:val="BodyText"/>
        <w:spacing w:line="235" w:lineRule="auto"/>
        <w:ind w:left="108" w:right="39"/>
        <w:jc w:val="center"/>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Orlistat:</w:t>
      </w:r>
      <w:r>
        <w:rPr>
          <w:rFonts w:ascii="Calibri" w:hAnsi="Calibri"/>
          <w:color w:val="231F1F"/>
          <w:spacing w:val="-14"/>
          <w:w w:val="115"/>
        </w:rPr>
        <w:t> </w:t>
      </w:r>
      <w:r>
        <w:rPr>
          <w:color w:val="231F1F"/>
          <w:w w:val="115"/>
        </w:rPr>
        <w:t>absorption</w:t>
      </w:r>
      <w:r>
        <w:rPr>
          <w:color w:val="231F1F"/>
          <w:spacing w:val="-17"/>
          <w:w w:val="115"/>
        </w:rPr>
        <w:t> </w:t>
      </w:r>
      <w:r>
        <w:rPr>
          <w:color w:val="231F1F"/>
          <w:w w:val="115"/>
        </w:rPr>
        <w:t>of</w:t>
      </w:r>
      <w:r>
        <w:rPr>
          <w:color w:val="231F1F"/>
          <w:spacing w:val="-16"/>
          <w:w w:val="115"/>
        </w:rPr>
        <w:t> </w:t>
      </w:r>
      <w:r>
        <w:rPr>
          <w:color w:val="231F1F"/>
          <w:w w:val="115"/>
        </w:rPr>
        <w:t>ritonavir</w:t>
      </w:r>
      <w:r>
        <w:rPr>
          <w:color w:val="231F1F"/>
          <w:spacing w:val="-16"/>
          <w:w w:val="115"/>
        </w:rPr>
        <w:t> </w:t>
      </w:r>
      <w:r>
        <w:rPr>
          <w:color w:val="231F1F"/>
          <w:w w:val="115"/>
        </w:rPr>
        <w:t>possibly</w:t>
      </w:r>
      <w:r>
        <w:rPr>
          <w:color w:val="231F1F"/>
          <w:spacing w:val="-17"/>
          <w:w w:val="115"/>
        </w:rPr>
        <w:t> </w:t>
      </w:r>
      <w:r>
        <w:rPr>
          <w:color w:val="231F1F"/>
          <w:w w:val="115"/>
        </w:rPr>
        <w:t>reduced</w:t>
      </w:r>
      <w:r>
        <w:rPr>
          <w:color w:val="231F1F"/>
          <w:spacing w:val="-17"/>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5"/>
          <w:sz w:val="11"/>
        </w:rPr>
        <w:t>ORLISTAT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Ranolazine:</w:t>
      </w:r>
      <w:r>
        <w:rPr>
          <w:rFonts w:ascii="Calibri" w:hAnsi="Calibri"/>
          <w:color w:val="231F1F"/>
          <w:spacing w:val="-11"/>
          <w:w w:val="115"/>
        </w:rPr>
        <w:t> </w:t>
      </w:r>
      <w:r>
        <w:rPr>
          <w:color w:val="231F1F"/>
          <w:w w:val="115"/>
        </w:rPr>
        <w:t>ritonavir</w:t>
      </w:r>
      <w:r>
        <w:rPr>
          <w:color w:val="231F1F"/>
          <w:spacing w:val="-15"/>
          <w:w w:val="115"/>
        </w:rPr>
        <w:t> </w:t>
      </w:r>
      <w:r>
        <w:rPr>
          <w:color w:val="231F1F"/>
          <w:w w:val="115"/>
        </w:rPr>
        <w:t>possibly</w:t>
      </w:r>
      <w:r>
        <w:rPr>
          <w:color w:val="231F1F"/>
          <w:spacing w:val="-15"/>
          <w:w w:val="115"/>
        </w:rPr>
        <w:t> </w:t>
      </w:r>
      <w:r>
        <w:rPr>
          <w:color w:val="231F1F"/>
          <w:w w:val="115"/>
        </w:rPr>
        <w:t>increases</w:t>
      </w:r>
      <w:r>
        <w:rPr>
          <w:color w:val="231F1F"/>
          <w:spacing w:val="-15"/>
          <w:w w:val="115"/>
        </w:rPr>
        <w:t> </w:t>
      </w:r>
      <w:r>
        <w:rPr>
          <w:color w:val="231F1F"/>
          <w:w w:val="115"/>
        </w:rPr>
        <w:t>plasma</w:t>
      </w:r>
      <w:r>
        <w:rPr>
          <w:color w:val="231F1F"/>
          <w:spacing w:val="-15"/>
          <w:w w:val="115"/>
        </w:rPr>
        <w:t> </w:t>
      </w:r>
      <w:r>
        <w:rPr>
          <w:color w:val="231F1F"/>
          <w:w w:val="115"/>
        </w:rPr>
        <w:t>concentration of</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RANOLAZINE</w:t>
      </w:r>
      <w:r>
        <w:rPr>
          <w:rFonts w:ascii="Arial" w:hAnsi="Arial"/>
          <w:color w:val="231F1F"/>
          <w:spacing w:val="2"/>
          <w:w w:val="115"/>
        </w:rPr>
        <w:t>—</w:t>
      </w:r>
      <w:r>
        <w:rPr>
          <w:color w:val="231F1F"/>
          <w:spacing w:val="2"/>
          <w:w w:val="115"/>
        </w:rPr>
        <w:t>manufacturer</w:t>
      </w:r>
      <w:r>
        <w:rPr>
          <w:color w:val="231F1F"/>
          <w:spacing w:val="-18"/>
          <w:w w:val="115"/>
        </w:rPr>
        <w:t> </w:t>
      </w:r>
      <w:r>
        <w:rPr>
          <w:color w:val="231F1F"/>
          <w:w w:val="115"/>
        </w:rPr>
        <w:t>of</w:t>
      </w:r>
      <w:r>
        <w:rPr>
          <w:color w:val="231F1F"/>
          <w:spacing w:val="-17"/>
          <w:w w:val="115"/>
        </w:rPr>
        <w:t> </w:t>
      </w:r>
      <w:r>
        <w:rPr>
          <w:color w:val="231F1F"/>
          <w:w w:val="115"/>
        </w:rPr>
        <w:t>ranolazine</w:t>
      </w:r>
      <w:r>
        <w:rPr>
          <w:color w:val="231F1F"/>
          <w:spacing w:val="-18"/>
          <w:w w:val="115"/>
        </w:rPr>
        <w:t> </w:t>
      </w:r>
      <w:r>
        <w:rPr>
          <w:color w:val="231F1F"/>
          <w:w w:val="115"/>
        </w:rPr>
        <w:t>advises</w:t>
      </w:r>
      <w:r>
        <w:rPr>
          <w:color w:val="231F1F"/>
          <w:spacing w:val="-18"/>
          <w:w w:val="115"/>
        </w:rPr>
        <w:t> </w:t>
      </w:r>
      <w:r>
        <w:rPr>
          <w:color w:val="231F1F"/>
          <w:w w:val="115"/>
        </w:rPr>
        <w:t>avoid</w:t>
      </w:r>
    </w:p>
    <w:p>
      <w:pPr>
        <w:pStyle w:val="BodyText"/>
        <w:spacing w:before="2"/>
      </w:pPr>
      <w:r>
        <w:rPr>
          <w:color w:val="231F1F"/>
          <w:w w:val="115"/>
        </w:rPr>
        <w:t>concomitant use</w:t>
      </w:r>
    </w:p>
    <w:p>
      <w:pPr>
        <w:pStyle w:val="BodyText"/>
        <w:spacing w:line="155" w:lineRule="exact" w:before="1"/>
        <w:ind w:left="108"/>
        <w:jc w:val="both"/>
      </w:pPr>
      <w:r>
        <w:rPr>
          <w:rFonts w:ascii="Lucida Sans Unicode" w:hAnsi="Lucida Sans Unicode"/>
          <w:color w:val="A7A8AC"/>
          <w:w w:val="95"/>
          <w:sz w:val="10"/>
        </w:rPr>
        <w:t>▶ </w:t>
      </w:r>
      <w:r>
        <w:rPr>
          <w:rFonts w:ascii="Calibri" w:hAnsi="Calibri"/>
          <w:color w:val="231F1F"/>
          <w:w w:val="105"/>
        </w:rPr>
        <w:t>Riociguat: </w:t>
      </w:r>
      <w:r>
        <w:rPr>
          <w:color w:val="231F1F"/>
          <w:w w:val="105"/>
        </w:rPr>
        <w:t>avoidance of ritonavir advised by manufacturer of</w:t>
      </w:r>
    </w:p>
    <w:p>
      <w:pPr>
        <w:spacing w:line="130" w:lineRule="exact" w:before="0"/>
        <w:ind w:left="208" w:right="0" w:firstLine="0"/>
        <w:jc w:val="left"/>
        <w:rPr>
          <w:rFonts w:ascii="Calibri"/>
          <w:sz w:val="11"/>
        </w:rPr>
      </w:pPr>
      <w:r>
        <w:rPr>
          <w:rFonts w:ascii="Calibri"/>
          <w:color w:val="008356"/>
          <w:sz w:val="11"/>
        </w:rPr>
        <w:t>RIOCIGUAT</w:t>
      </w:r>
    </w:p>
    <w:p>
      <w:pPr>
        <w:pStyle w:val="BodyText"/>
        <w:ind w:right="347" w:hanging="100"/>
      </w:pPr>
      <w:r>
        <w:rPr>
          <w:rFonts w:ascii="Arial" w:hAnsi="Arial"/>
          <w:color w:val="231F1F"/>
          <w:w w:val="355"/>
          <w:position w:val="1"/>
          <w:sz w:val="7"/>
        </w:rPr>
        <w:t>l </w:t>
      </w:r>
      <w:r>
        <w:rPr>
          <w:rFonts w:ascii="Calibri" w:hAnsi="Calibri"/>
          <w:color w:val="231F1F"/>
          <w:w w:val="115"/>
        </w:rPr>
        <w:t>Sildenafil: </w:t>
      </w:r>
      <w:r>
        <w:rPr>
          <w:color w:val="231F1F"/>
          <w:w w:val="115"/>
        </w:rPr>
        <w:t>ritonavir significantly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SILDENAFIL</w:t>
      </w:r>
      <w:r>
        <w:rPr>
          <w:rFonts w:ascii="Arial" w:hAnsi="Arial"/>
          <w:color w:val="231F1F"/>
          <w:spacing w:val="3"/>
          <w:w w:val="115"/>
        </w:rPr>
        <w:t>—</w:t>
      </w:r>
      <w:r>
        <w:rPr>
          <w:color w:val="231F1F"/>
          <w:spacing w:val="3"/>
          <w:w w:val="115"/>
        </w:rPr>
        <w:t>avoid </w:t>
      </w:r>
      <w:r>
        <w:rPr>
          <w:color w:val="231F1F"/>
          <w:w w:val="115"/>
        </w:rPr>
        <w:t>concomitant use</w:t>
      </w:r>
    </w:p>
    <w:p>
      <w:pPr>
        <w:pStyle w:val="BodyText"/>
        <w:spacing w:line="220" w:lineRule="auto" w:before="4"/>
        <w:ind w:right="40"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w:t>
      </w:r>
      <w:r>
        <w:rPr>
          <w:color w:val="231F1F"/>
          <w:w w:val="105"/>
        </w:rPr>
        <w:t>ritonavir possibly increases plasma concentration of </w:t>
      </w:r>
      <w:r>
        <w:rPr>
          <w:rFonts w:ascii="Calibri" w:hAnsi="Calibri"/>
          <w:color w:val="008356"/>
          <w:w w:val="105"/>
          <w:sz w:val="11"/>
        </w:rPr>
        <w:t>DEXAMFETAMINE</w:t>
      </w:r>
    </w:p>
    <w:p>
      <w:pPr>
        <w:pStyle w:val="BodyText"/>
        <w:spacing w:line="220" w:lineRule="auto" w:before="9"/>
        <w:ind w:right="227"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manufacturer of ritonavir advises avoid concomitant use with </w:t>
      </w:r>
      <w:r>
        <w:rPr>
          <w:rFonts w:ascii="Calibri" w:hAnsi="Calibri"/>
          <w:color w:val="008356"/>
          <w:w w:val="105"/>
          <w:sz w:val="11"/>
          <w:vertAlign w:val="baseline"/>
        </w:rPr>
        <w:t>SALMETEROL</w:t>
      </w:r>
    </w:p>
    <w:p>
      <w:pPr>
        <w:pStyle w:val="BodyText"/>
        <w:ind w:right="40"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ritonavir possibly increases plasma concentration of </w:t>
      </w:r>
      <w:r>
        <w:rPr>
          <w:rFonts w:ascii="Arial"/>
          <w:color w:val="231F1F"/>
          <w:w w:val="355"/>
          <w:position w:val="1"/>
          <w:sz w:val="7"/>
        </w:rPr>
        <w:t>l </w:t>
      </w:r>
      <w:r>
        <w:rPr>
          <w:rFonts w:ascii="Calibri"/>
          <w:color w:val="008356"/>
          <w:w w:val="110"/>
          <w:sz w:val="11"/>
        </w:rPr>
        <w:t>TACROLIMUS</w:t>
      </w:r>
    </w:p>
    <w:p>
      <w:pPr>
        <w:pStyle w:val="BodyText"/>
        <w:ind w:right="532" w:hanging="100"/>
        <w:jc w:val="both"/>
      </w:pPr>
      <w:r>
        <w:rPr>
          <w:rFonts w:ascii="Arial" w:hAnsi="Arial"/>
          <w:color w:val="231F1F"/>
          <w:w w:val="165"/>
          <w:position w:val="1"/>
          <w:sz w:val="7"/>
        </w:rPr>
        <w:t>l</w:t>
      </w:r>
      <w:r>
        <w:rPr>
          <w:rFonts w:ascii="Arial" w:hAnsi="Arial"/>
          <w:color w:val="231F1F"/>
          <w:spacing w:val="-19"/>
          <w:w w:val="165"/>
          <w:position w:val="1"/>
          <w:sz w:val="7"/>
        </w:rPr>
        <w:t> </w:t>
      </w:r>
      <w:r>
        <w:rPr>
          <w:rFonts w:ascii="Calibri" w:hAnsi="Calibri"/>
          <w:color w:val="231F1F"/>
          <w:w w:val="120"/>
        </w:rPr>
        <w:t>Tadalafil:</w:t>
      </w:r>
      <w:r>
        <w:rPr>
          <w:rFonts w:ascii="Calibri" w:hAnsi="Calibri"/>
          <w:color w:val="231F1F"/>
          <w:spacing w:val="-23"/>
          <w:w w:val="120"/>
        </w:rPr>
        <w:t> </w:t>
      </w:r>
      <w:r>
        <w:rPr>
          <w:color w:val="231F1F"/>
          <w:w w:val="120"/>
        </w:rPr>
        <w:t>ritonavir</w:t>
      </w:r>
      <w:r>
        <w:rPr>
          <w:color w:val="231F1F"/>
          <w:spacing w:val="-25"/>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spacing w:val="-8"/>
          <w:w w:val="120"/>
        </w:rPr>
        <w:t>of </w:t>
      </w:r>
      <w:r>
        <w:rPr>
          <w:rFonts w:ascii="Arial" w:hAnsi="Arial"/>
          <w:color w:val="231F1F"/>
          <w:w w:val="115"/>
          <w:position w:val="1"/>
          <w:sz w:val="7"/>
        </w:rPr>
        <w:t>l</w:t>
      </w:r>
      <w:r>
        <w:rPr>
          <w:rFonts w:ascii="Arial" w:hAnsi="Arial"/>
          <w:color w:val="231F1F"/>
          <w:spacing w:val="-2"/>
          <w:w w:val="115"/>
          <w:position w:val="1"/>
          <w:sz w:val="7"/>
        </w:rPr>
        <w:t> </w:t>
      </w:r>
      <w:r>
        <w:rPr>
          <w:rFonts w:ascii="Calibri" w:hAnsi="Calibri"/>
          <w:color w:val="008356"/>
          <w:w w:val="115"/>
          <w:sz w:val="11"/>
        </w:rPr>
        <w:t>TADALAFIL</w:t>
      </w:r>
      <w:r>
        <w:rPr>
          <w:rFonts w:ascii="Arial" w:hAnsi="Arial"/>
          <w:color w:val="231F1F"/>
          <w:w w:val="115"/>
        </w:rPr>
        <w:t>—</w:t>
      </w:r>
      <w:r>
        <w:rPr>
          <w:color w:val="231F1F"/>
          <w:w w:val="115"/>
        </w:rPr>
        <w:t>manufacturer</w:t>
      </w:r>
      <w:r>
        <w:rPr>
          <w:color w:val="231F1F"/>
          <w:spacing w:val="-10"/>
          <w:w w:val="115"/>
        </w:rPr>
        <w:t> </w:t>
      </w:r>
      <w:r>
        <w:rPr>
          <w:color w:val="231F1F"/>
          <w:w w:val="115"/>
        </w:rPr>
        <w:t>of</w:t>
      </w:r>
      <w:r>
        <w:rPr>
          <w:color w:val="231F1F"/>
          <w:spacing w:val="-11"/>
          <w:w w:val="115"/>
        </w:rPr>
        <w:t> </w:t>
      </w:r>
      <w:r>
        <w:rPr>
          <w:color w:val="231F1F"/>
          <w:w w:val="115"/>
        </w:rPr>
        <w:t>tadalafil</w:t>
      </w:r>
      <w:r>
        <w:rPr>
          <w:color w:val="231F1F"/>
          <w:spacing w:val="-11"/>
          <w:w w:val="115"/>
        </w:rPr>
        <w:t> </w:t>
      </w:r>
      <w:r>
        <w:rPr>
          <w:color w:val="231F1F"/>
          <w:w w:val="115"/>
        </w:rPr>
        <w:t>advises</w:t>
      </w:r>
      <w:r>
        <w:rPr>
          <w:color w:val="231F1F"/>
          <w:spacing w:val="-12"/>
          <w:w w:val="115"/>
        </w:rPr>
        <w:t> </w:t>
      </w:r>
      <w:r>
        <w:rPr>
          <w:color w:val="231F1F"/>
          <w:w w:val="115"/>
        </w:rPr>
        <w:t>avoid </w:t>
      </w:r>
      <w:r>
        <w:rPr>
          <w:color w:val="231F1F"/>
          <w:w w:val="120"/>
        </w:rPr>
        <w:t>concomitant</w:t>
      </w:r>
      <w:r>
        <w:rPr>
          <w:color w:val="231F1F"/>
          <w:spacing w:val="-8"/>
          <w:w w:val="120"/>
        </w:rPr>
        <w:t> </w:t>
      </w:r>
      <w:r>
        <w:rPr>
          <w:color w:val="231F1F"/>
          <w:w w:val="120"/>
        </w:rPr>
        <w:t>use</w:t>
      </w:r>
    </w:p>
    <w:p>
      <w:pPr>
        <w:pStyle w:val="BodyText"/>
        <w:spacing w:line="146" w:lineRule="exact"/>
        <w:ind w:left="108"/>
        <w:jc w:val="both"/>
      </w:pPr>
      <w:r>
        <w:rPr>
          <w:rFonts w:ascii="Arial"/>
          <w:color w:val="231F1F"/>
          <w:w w:val="355"/>
          <w:position w:val="1"/>
          <w:sz w:val="7"/>
        </w:rPr>
        <w:t>l</w:t>
      </w:r>
      <w:r>
        <w:rPr>
          <w:rFonts w:ascii="Arial"/>
          <w:color w:val="231F1F"/>
          <w:spacing w:val="-27"/>
          <w:w w:val="355"/>
          <w:position w:val="1"/>
          <w:sz w:val="7"/>
        </w:rPr>
        <w:t> </w:t>
      </w:r>
      <w:r>
        <w:rPr>
          <w:rFonts w:ascii="Calibri"/>
          <w:color w:val="231F1F"/>
          <w:w w:val="110"/>
        </w:rPr>
        <w:t>Theophylline: </w:t>
      </w:r>
      <w:r>
        <w:rPr>
          <w:color w:val="231F1F"/>
          <w:w w:val="110"/>
        </w:rPr>
        <w:t>ritonavir accelerates metabolism of</w:t>
      </w:r>
    </w:p>
    <w:p>
      <w:pPr>
        <w:spacing w:line="140" w:lineRule="exact" w:before="0"/>
        <w:ind w:left="208" w:right="0" w:firstLine="0"/>
        <w:jc w:val="both"/>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THEOPHYLLINE  </w:t>
      </w:r>
      <w:r>
        <w:rPr>
          <w:color w:val="231F1F"/>
          <w:w w:val="110"/>
          <w:sz w:val="12"/>
        </w:rPr>
        <w:t>(reduced plasma concentration)</w:t>
      </w:r>
    </w:p>
    <w:p>
      <w:pPr>
        <w:pStyle w:val="BodyText"/>
        <w:ind w:right="116" w:hanging="100"/>
      </w:pP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231F1F"/>
          <w:w w:val="115"/>
        </w:rPr>
        <w:t>Ticagrelor:</w:t>
      </w:r>
      <w:r>
        <w:rPr>
          <w:rFonts w:ascii="Calibri" w:hAnsi="Calibri"/>
          <w:color w:val="231F1F"/>
          <w:spacing w:val="-8"/>
          <w:w w:val="115"/>
        </w:rPr>
        <w:t> </w:t>
      </w:r>
      <w:r>
        <w:rPr>
          <w:color w:val="231F1F"/>
          <w:w w:val="115"/>
        </w:rPr>
        <w:t>ritonavir</w:t>
      </w:r>
      <w:r>
        <w:rPr>
          <w:color w:val="231F1F"/>
          <w:spacing w:val="-12"/>
          <w:w w:val="115"/>
        </w:rPr>
        <w:t> </w:t>
      </w:r>
      <w:r>
        <w:rPr>
          <w:color w:val="231F1F"/>
          <w:w w:val="115"/>
        </w:rPr>
        <w:t>possibly</w:t>
      </w:r>
      <w:r>
        <w:rPr>
          <w:color w:val="231F1F"/>
          <w:spacing w:val="-12"/>
          <w:w w:val="115"/>
        </w:rPr>
        <w:t> </w:t>
      </w:r>
      <w:r>
        <w:rPr>
          <w:color w:val="231F1F"/>
          <w:w w:val="115"/>
        </w:rPr>
        <w:t>increases</w:t>
      </w:r>
      <w:r>
        <w:rPr>
          <w:color w:val="231F1F"/>
          <w:spacing w:val="-13"/>
          <w:w w:val="115"/>
        </w:rPr>
        <w:t> </w:t>
      </w:r>
      <w:r>
        <w:rPr>
          <w:color w:val="231F1F"/>
          <w:w w:val="115"/>
        </w:rPr>
        <w:t>plasma</w:t>
      </w:r>
      <w:r>
        <w:rPr>
          <w:color w:val="231F1F"/>
          <w:spacing w:val="-12"/>
          <w:w w:val="115"/>
        </w:rPr>
        <w:t> </w:t>
      </w:r>
      <w:r>
        <w:rPr>
          <w:color w:val="231F1F"/>
          <w:spacing w:val="-2"/>
          <w:w w:val="115"/>
        </w:rPr>
        <w:t>concentration </w:t>
      </w:r>
      <w:r>
        <w:rPr>
          <w:color w:val="231F1F"/>
          <w:w w:val="115"/>
        </w:rPr>
        <w:t>of</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TICAGRELOR</w:t>
      </w:r>
      <w:r>
        <w:rPr>
          <w:rFonts w:ascii="Arial" w:hAnsi="Arial"/>
          <w:color w:val="231F1F"/>
          <w:spacing w:val="2"/>
          <w:w w:val="115"/>
        </w:rPr>
        <w:t>—</w:t>
      </w:r>
      <w:r>
        <w:rPr>
          <w:color w:val="231F1F"/>
          <w:spacing w:val="2"/>
          <w:w w:val="115"/>
        </w:rPr>
        <w:t>manufacturer</w:t>
      </w:r>
      <w:r>
        <w:rPr>
          <w:color w:val="231F1F"/>
          <w:spacing w:val="-18"/>
          <w:w w:val="115"/>
        </w:rPr>
        <w:t> </w:t>
      </w:r>
      <w:r>
        <w:rPr>
          <w:color w:val="231F1F"/>
          <w:w w:val="115"/>
        </w:rPr>
        <w:t>of</w:t>
      </w:r>
      <w:r>
        <w:rPr>
          <w:color w:val="231F1F"/>
          <w:spacing w:val="-18"/>
          <w:w w:val="115"/>
        </w:rPr>
        <w:t> </w:t>
      </w:r>
      <w:r>
        <w:rPr>
          <w:color w:val="231F1F"/>
          <w:w w:val="115"/>
        </w:rPr>
        <w:t>ticagrelor</w:t>
      </w:r>
      <w:r>
        <w:rPr>
          <w:color w:val="231F1F"/>
          <w:spacing w:val="-19"/>
          <w:w w:val="115"/>
        </w:rPr>
        <w:t> </w:t>
      </w:r>
      <w:r>
        <w:rPr>
          <w:color w:val="231F1F"/>
          <w:w w:val="115"/>
        </w:rPr>
        <w:t>advises</w:t>
      </w:r>
      <w:r>
        <w:rPr>
          <w:color w:val="231F1F"/>
          <w:spacing w:val="-18"/>
          <w:w w:val="115"/>
        </w:rPr>
        <w:t> </w:t>
      </w:r>
      <w:r>
        <w:rPr>
          <w:color w:val="231F1F"/>
          <w:w w:val="115"/>
        </w:rPr>
        <w:t>avoid concomitant</w:t>
      </w:r>
      <w:r>
        <w:rPr>
          <w:color w:val="231F1F"/>
          <w:spacing w:val="-6"/>
          <w:w w:val="115"/>
        </w:rPr>
        <w:t> </w:t>
      </w:r>
      <w:r>
        <w:rPr>
          <w:color w:val="231F1F"/>
          <w:w w:val="115"/>
        </w:rPr>
        <w:t>use</w:t>
      </w:r>
    </w:p>
    <w:p>
      <w:pPr>
        <w:pStyle w:val="BodyText"/>
        <w:ind w:right="101" w:hanging="100"/>
      </w:pPr>
      <w:r>
        <w:rPr>
          <w:rFonts w:ascii="Arial"/>
          <w:color w:val="231F1F"/>
          <w:w w:val="115"/>
          <w:position w:val="1"/>
          <w:sz w:val="7"/>
        </w:rPr>
        <w:t>l </w:t>
      </w:r>
      <w:r>
        <w:rPr>
          <w:rFonts w:ascii="Calibri"/>
          <w:color w:val="231F1F"/>
          <w:w w:val="115"/>
        </w:rPr>
        <w:t>Ulipristal: </w:t>
      </w:r>
      <w:r>
        <w:rPr>
          <w:color w:val="231F1F"/>
          <w:w w:val="115"/>
        </w:rPr>
        <w:t>avoidance of ritonavir advised by manufacturer </w:t>
      </w:r>
      <w:r>
        <w:rPr>
          <w:color w:val="231F1F"/>
          <w:spacing w:val="-8"/>
          <w:w w:val="115"/>
        </w:rPr>
        <w:t>of </w:t>
      </w:r>
      <w:r>
        <w:rPr>
          <w:rFonts w:ascii="Arial"/>
          <w:color w:val="231F1F"/>
          <w:w w:val="355"/>
          <w:position w:val="1"/>
          <w:sz w:val="7"/>
        </w:rPr>
        <w:t>l </w:t>
      </w:r>
      <w:r>
        <w:rPr>
          <w:rFonts w:ascii="Calibri"/>
          <w:color w:val="008356"/>
          <w:spacing w:val="3"/>
          <w:w w:val="120"/>
          <w:sz w:val="11"/>
        </w:rPr>
        <w:t>ULIPRISTAL </w:t>
      </w:r>
      <w:r>
        <w:rPr>
          <w:color w:val="231F1F"/>
          <w:w w:val="120"/>
        </w:rPr>
        <w:t>(contraceptive effect of ulipristal possibly reduced)</w:t>
      </w:r>
    </w:p>
    <w:p>
      <w:pPr>
        <w:pStyle w:val="BodyText"/>
        <w:spacing w:line="146" w:lineRule="exact" w:before="2"/>
        <w:ind w:left="108"/>
      </w:pPr>
      <w:r>
        <w:rPr>
          <w:rFonts w:ascii="Arial"/>
          <w:color w:val="231F1F"/>
          <w:w w:val="355"/>
          <w:position w:val="1"/>
          <w:sz w:val="7"/>
        </w:rPr>
        <w:t>l </w:t>
      </w:r>
      <w:r>
        <w:rPr>
          <w:rFonts w:ascii="Calibri"/>
          <w:color w:val="231F1F"/>
          <w:w w:val="115"/>
        </w:rPr>
        <w:t>Vardenafil: </w:t>
      </w:r>
      <w:r>
        <w:rPr>
          <w:color w:val="231F1F"/>
          <w:w w:val="115"/>
        </w:rPr>
        <w:t>ritonavir increases plasma concentration of</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VARDENAFIL</w:t>
      </w:r>
      <w:r>
        <w:rPr>
          <w:rFonts w:ascii="Arial" w:hAnsi="Arial"/>
          <w:color w:val="231F1F"/>
          <w:spacing w:val="2"/>
          <w:w w:val="115"/>
          <w:sz w:val="12"/>
        </w:rPr>
        <w:t>—</w:t>
      </w:r>
      <w:r>
        <w:rPr>
          <w:color w:val="231F1F"/>
          <w:spacing w:val="2"/>
          <w:w w:val="115"/>
          <w:sz w:val="12"/>
        </w:rPr>
        <w:t>avoid </w:t>
      </w:r>
      <w:r>
        <w:rPr>
          <w:color w:val="231F1F"/>
          <w:w w:val="115"/>
          <w:sz w:val="12"/>
        </w:rPr>
        <w:t>concomitant use</w:t>
      </w:r>
    </w:p>
    <w:p>
      <w:pPr>
        <w:pStyle w:val="BodyText"/>
        <w:spacing w:before="7"/>
        <w:ind w:left="108"/>
        <w:rPr>
          <w:rFonts w:ascii="Trebuchet MS"/>
        </w:rPr>
      </w:pPr>
      <w:r>
        <w:rPr>
          <w:rFonts w:ascii="Trebuchet MS"/>
          <w:color w:val="008356"/>
          <w:w w:val="105"/>
        </w:rPr>
        <w:t>Rituximab</w:t>
      </w:r>
    </w:p>
    <w:p>
      <w:pPr>
        <w:pStyle w:val="BodyText"/>
        <w:spacing w:line="146" w:lineRule="exact" w:before="1"/>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31"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line="139" w:lineRule="exact" w:before="6"/>
        <w:ind w:left="108"/>
        <w:rPr>
          <w:rFonts w:ascii="Trebuchet MS"/>
        </w:rPr>
      </w:pPr>
      <w:r>
        <w:rPr>
          <w:rFonts w:ascii="Trebuchet MS"/>
          <w:color w:val="008356"/>
          <w:w w:val="105"/>
        </w:rPr>
        <w:t>Rivaroxaban</w:t>
      </w:r>
    </w:p>
    <w:p>
      <w:pPr>
        <w:pStyle w:val="BodyText"/>
        <w:spacing w:line="244" w:lineRule="auto"/>
        <w:ind w:right="169" w:hanging="100"/>
      </w:pPr>
      <w:r>
        <w:rPr>
          <w:rFonts w:ascii="Arial"/>
          <w:color w:val="231F1F"/>
          <w:w w:val="355"/>
          <w:position w:val="1"/>
          <w:sz w:val="7"/>
        </w:rPr>
        <w:t>l </w:t>
      </w:r>
      <w:r>
        <w:rPr>
          <w:rFonts w:ascii="Calibri"/>
          <w:color w:val="231F1F"/>
          <w:w w:val="110"/>
        </w:rPr>
        <w:t>Analgesics: </w:t>
      </w:r>
      <w:r>
        <w:rPr>
          <w:color w:val="231F1F"/>
          <w:w w:val="110"/>
        </w:rPr>
        <w:t>increased risk of haemorrhage when anticoagulants given with </w:t>
      </w:r>
      <w:r>
        <w:rPr>
          <w:i/>
          <w:color w:val="231F1F"/>
          <w:w w:val="110"/>
        </w:rPr>
        <w:t>intravenous </w:t>
      </w:r>
      <w:r>
        <w:rPr>
          <w:rFonts w:ascii="Arial"/>
          <w:color w:val="231F1F"/>
          <w:w w:val="355"/>
          <w:position w:val="1"/>
          <w:sz w:val="7"/>
        </w:rPr>
        <w:t>l </w:t>
      </w:r>
      <w:r>
        <w:rPr>
          <w:rFonts w:ascii="Calibri"/>
          <w:color w:val="008356"/>
          <w:w w:val="110"/>
          <w:sz w:val="11"/>
        </w:rPr>
        <w:t>DICLOFENAC </w:t>
      </w:r>
      <w:r>
        <w:rPr>
          <w:color w:val="231F1F"/>
          <w:w w:val="110"/>
        </w:rPr>
        <w:t>(avoid concomitant use, including low-dose heparins); increased risk of haemorrhage when anticoagulants given with</w:t>
      </w:r>
    </w:p>
    <w:p>
      <w:pPr>
        <w:pStyle w:val="BodyText"/>
        <w:spacing w:line="244" w:lineRule="auto"/>
        <w:ind w:right="40" w:hanging="1"/>
      </w:pPr>
      <w:r>
        <w:rPr>
          <w:rFonts w:ascii="Arial"/>
          <w:color w:val="231F1F"/>
          <w:w w:val="355"/>
          <w:position w:val="1"/>
          <w:sz w:val="7"/>
        </w:rPr>
        <w:t>l </w:t>
      </w:r>
      <w:r>
        <w:rPr>
          <w:rFonts w:ascii="Calibri"/>
          <w:color w:val="008356"/>
          <w:w w:val="110"/>
          <w:sz w:val="11"/>
        </w:rPr>
        <w:t>KETOROLAC </w:t>
      </w:r>
      <w:r>
        <w:rPr>
          <w:color w:val="231F1F"/>
          <w:w w:val="110"/>
        </w:rPr>
        <w:t>(avoid concomitant use, including low-dose heparins)</w:t>
      </w:r>
    </w:p>
    <w:p>
      <w:pPr>
        <w:pStyle w:val="BodyText"/>
        <w:spacing w:line="220" w:lineRule="auto" w:before="7"/>
        <w:ind w:right="4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Anti-arrhythmics: </w:t>
      </w:r>
      <w:r>
        <w:rPr>
          <w:color w:val="231F1F"/>
          <w:w w:val="110"/>
        </w:rPr>
        <w:t>manufacturer of rivaroxaban advises avoid concomitant use with </w:t>
      </w:r>
      <w:r>
        <w:rPr>
          <w:rFonts w:ascii="Calibri" w:hAnsi="Calibri"/>
          <w:color w:val="008356"/>
          <w:w w:val="110"/>
          <w:sz w:val="11"/>
        </w:rPr>
        <w:t>DRONEDARONE</w:t>
      </w:r>
    </w:p>
    <w:p>
      <w:pPr>
        <w:pStyle w:val="BodyText"/>
        <w:ind w:right="90" w:hanging="100"/>
      </w:pPr>
      <w:r>
        <w:rPr>
          <w:rFonts w:ascii="Arial" w:hAnsi="Arial"/>
          <w:color w:val="231F1F"/>
          <w:w w:val="115"/>
          <w:position w:val="1"/>
          <w:sz w:val="7"/>
        </w:rPr>
        <w:t>l </w:t>
      </w:r>
      <w:r>
        <w:rPr>
          <w:rFonts w:ascii="Calibri" w:hAnsi="Calibri"/>
          <w:color w:val="231F1F"/>
          <w:w w:val="115"/>
        </w:rPr>
        <w:t>Antibacterials: </w:t>
      </w:r>
      <w:r>
        <w:rPr>
          <w:color w:val="231F1F"/>
          <w:w w:val="115"/>
        </w:rPr>
        <w:t>plasma concentration of rivaroxaban reduced </w:t>
      </w:r>
      <w:r>
        <w:rPr>
          <w:color w:val="231F1F"/>
          <w:w w:val="120"/>
        </w:rPr>
        <w:t>by </w:t>
      </w:r>
      <w:r>
        <w:rPr>
          <w:rFonts w:ascii="Arial" w:hAnsi="Arial"/>
          <w:color w:val="231F1F"/>
          <w:w w:val="355"/>
          <w:position w:val="1"/>
          <w:sz w:val="7"/>
        </w:rPr>
        <w:t>l </w:t>
      </w:r>
      <w:r>
        <w:rPr>
          <w:rFonts w:ascii="Calibri" w:hAnsi="Calibri"/>
          <w:color w:val="008356"/>
          <w:w w:val="120"/>
          <w:sz w:val="11"/>
        </w:rPr>
        <w:t>RIFAMPICIN</w:t>
      </w:r>
      <w:r>
        <w:rPr>
          <w:rFonts w:ascii="Arial" w:hAnsi="Arial"/>
          <w:color w:val="231F1F"/>
          <w:w w:val="120"/>
        </w:rPr>
        <w:t>—</w:t>
      </w:r>
      <w:r>
        <w:rPr>
          <w:color w:val="231F1F"/>
          <w:w w:val="120"/>
        </w:rPr>
        <w:t>manufacturer of rivaroxaban advises monitor for signs of thrombosis</w:t>
      </w:r>
    </w:p>
    <w:p>
      <w:pPr>
        <w:pStyle w:val="BodyText"/>
        <w:spacing w:line="247" w:lineRule="auto" w:before="2"/>
        <w:ind w:right="234" w:hanging="100"/>
      </w:pPr>
      <w:r>
        <w:rPr>
          <w:rFonts w:ascii="Arial"/>
          <w:color w:val="231F1F"/>
          <w:w w:val="355"/>
          <w:position w:val="1"/>
          <w:sz w:val="7"/>
        </w:rPr>
        <w:t>l </w:t>
      </w:r>
      <w:r>
        <w:rPr>
          <w:rFonts w:ascii="Calibri"/>
          <w:color w:val="231F1F"/>
          <w:w w:val="110"/>
        </w:rPr>
        <w:t>Anticoagulants: </w:t>
      </w:r>
      <w:r>
        <w:rPr>
          <w:color w:val="231F1F"/>
          <w:w w:val="110"/>
        </w:rPr>
        <w:t>increased risk of haemorrhage when rivaroxaban given with other </w:t>
      </w:r>
      <w:r>
        <w:rPr>
          <w:rFonts w:ascii="Arial"/>
          <w:color w:val="231F1F"/>
          <w:w w:val="355"/>
          <w:position w:val="1"/>
          <w:sz w:val="7"/>
        </w:rPr>
        <w:t>l </w:t>
      </w:r>
      <w:r>
        <w:rPr>
          <w:rFonts w:ascii="Calibri"/>
          <w:color w:val="008356"/>
          <w:w w:val="110"/>
          <w:sz w:val="11"/>
        </w:rPr>
        <w:t>ANTICOAGULANTS </w:t>
      </w:r>
      <w:r>
        <w:rPr>
          <w:color w:val="231F1F"/>
          <w:w w:val="110"/>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 </w:t>
      </w:r>
      <w:r>
        <w:rPr>
          <w:rFonts w:ascii="Calibri"/>
          <w:color w:val="008356"/>
          <w:w w:val="110"/>
          <w:sz w:val="11"/>
        </w:rPr>
        <w:t>APIXABAN </w:t>
      </w:r>
      <w:r>
        <w:rPr>
          <w:color w:val="231F1F"/>
          <w:w w:val="110"/>
        </w:rPr>
        <w:t>and </w:t>
      </w:r>
      <w:r>
        <w:rPr>
          <w:rFonts w:ascii="Arial"/>
          <w:color w:val="231F1F"/>
          <w:w w:val="355"/>
          <w:position w:val="1"/>
          <w:sz w:val="7"/>
        </w:rPr>
        <w:t>l </w:t>
      </w:r>
      <w:r>
        <w:rPr>
          <w:rFonts w:ascii="Calibri"/>
          <w:color w:val="008356"/>
          <w:w w:val="110"/>
          <w:sz w:val="11"/>
        </w:rPr>
        <w:t>DABIGATRAN </w:t>
      </w:r>
      <w:r>
        <w:rPr>
          <w:color w:val="231F1F"/>
          <w:w w:val="110"/>
        </w:rPr>
        <w:t>(avoid concomitant use except when switching with other anticoagulants or using heparin to maintain catheter patency)</w:t>
      </w:r>
    </w:p>
    <w:p>
      <w:pPr>
        <w:pStyle w:val="BodyText"/>
        <w:spacing w:line="140" w:lineRule="exact"/>
        <w:ind w:left="108"/>
      </w:pPr>
      <w:r>
        <w:rPr>
          <w:rFonts w:ascii="Arial"/>
          <w:color w:val="231F1F"/>
          <w:w w:val="355"/>
          <w:position w:val="1"/>
          <w:sz w:val="7"/>
        </w:rPr>
        <w:t>l </w:t>
      </w:r>
      <w:r>
        <w:rPr>
          <w:rFonts w:ascii="Calibri"/>
          <w:color w:val="231F1F"/>
          <w:w w:val="110"/>
        </w:rPr>
        <w:t>Antidepressants: </w:t>
      </w:r>
      <w:r>
        <w:rPr>
          <w:color w:val="231F1F"/>
          <w:w w:val="110"/>
        </w:rPr>
        <w:t>plasma concentration of rivaroxaban possibly</w:t>
      </w:r>
    </w:p>
    <w:p>
      <w:pPr>
        <w:pStyle w:val="BodyText"/>
        <w:spacing w:line="244" w:lineRule="auto"/>
        <w:ind w:right="188"/>
      </w:pPr>
      <w:r>
        <w:rPr>
          <w:color w:val="231F1F"/>
          <w:w w:val="115"/>
        </w:rPr>
        <w:t>reduced</w:t>
      </w:r>
      <w:r>
        <w:rPr>
          <w:color w:val="231F1F"/>
          <w:spacing w:val="-22"/>
          <w:w w:val="115"/>
        </w:rPr>
        <w:t> </w:t>
      </w:r>
      <w:r>
        <w:rPr>
          <w:color w:val="231F1F"/>
          <w:w w:val="115"/>
        </w:rPr>
        <w:t>by</w:t>
      </w:r>
      <w:r>
        <w:rPr>
          <w:color w:val="231F1F"/>
          <w:spacing w:val="-20"/>
          <w:w w:val="115"/>
        </w:rPr>
        <w:t> </w:t>
      </w:r>
      <w:r>
        <w:rPr>
          <w:rFonts w:ascii="Arial" w:hAnsi="Arial"/>
          <w:color w:val="231F1F"/>
          <w:w w:val="115"/>
          <w:position w:val="1"/>
          <w:sz w:val="7"/>
        </w:rPr>
        <w:t>l</w:t>
      </w:r>
      <w:r>
        <w:rPr>
          <w:rFonts w:ascii="Arial" w:hAnsi="Arial"/>
          <w:color w:val="231F1F"/>
          <w:spacing w:val="-10"/>
          <w:w w:val="115"/>
          <w:position w:val="1"/>
          <w:sz w:val="7"/>
        </w:rPr>
        <w:t> </w:t>
      </w:r>
      <w:r>
        <w:rPr>
          <w:rFonts w:ascii="Calibri" w:hAnsi="Calibri"/>
          <w:color w:val="008356"/>
          <w:w w:val="115"/>
          <w:sz w:val="11"/>
        </w:rPr>
        <w:t>ST</w:t>
      </w:r>
      <w:r>
        <w:rPr>
          <w:rFonts w:ascii="Calibri" w:hAnsi="Calibri"/>
          <w:color w:val="008356"/>
          <w:spacing w:val="-17"/>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4"/>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21"/>
          <w:w w:val="115"/>
        </w:rPr>
        <w:t> </w:t>
      </w:r>
      <w:r>
        <w:rPr>
          <w:color w:val="231F1F"/>
          <w:w w:val="115"/>
        </w:rPr>
        <w:t>of</w:t>
      </w:r>
      <w:r>
        <w:rPr>
          <w:color w:val="231F1F"/>
          <w:spacing w:val="-20"/>
          <w:w w:val="115"/>
        </w:rPr>
        <w:t> </w:t>
      </w:r>
      <w:r>
        <w:rPr>
          <w:color w:val="231F1F"/>
          <w:w w:val="115"/>
        </w:rPr>
        <w:t>rivaroxaban </w:t>
      </w:r>
      <w:r>
        <w:rPr>
          <w:color w:val="231F1F"/>
          <w:w w:val="120"/>
        </w:rPr>
        <w:t>advises</w:t>
      </w:r>
      <w:r>
        <w:rPr>
          <w:color w:val="231F1F"/>
          <w:spacing w:val="-9"/>
          <w:w w:val="120"/>
        </w:rPr>
        <w:t> </w:t>
      </w:r>
      <w:r>
        <w:rPr>
          <w:color w:val="231F1F"/>
          <w:w w:val="120"/>
        </w:rPr>
        <w:t>monitor</w:t>
      </w:r>
      <w:r>
        <w:rPr>
          <w:color w:val="231F1F"/>
          <w:spacing w:val="-8"/>
          <w:w w:val="120"/>
        </w:rPr>
        <w:t> </w:t>
      </w:r>
      <w:r>
        <w:rPr>
          <w:color w:val="231F1F"/>
          <w:w w:val="120"/>
        </w:rPr>
        <w:t>for</w:t>
      </w:r>
      <w:r>
        <w:rPr>
          <w:color w:val="231F1F"/>
          <w:spacing w:val="-8"/>
          <w:w w:val="120"/>
        </w:rPr>
        <w:t> </w:t>
      </w:r>
      <w:r>
        <w:rPr>
          <w:color w:val="231F1F"/>
          <w:w w:val="120"/>
        </w:rPr>
        <w:t>signs</w:t>
      </w:r>
      <w:r>
        <w:rPr>
          <w:color w:val="231F1F"/>
          <w:spacing w:val="-8"/>
          <w:w w:val="120"/>
        </w:rPr>
        <w:t> </w:t>
      </w:r>
      <w:r>
        <w:rPr>
          <w:color w:val="231F1F"/>
          <w:w w:val="120"/>
        </w:rPr>
        <w:t>of</w:t>
      </w:r>
      <w:r>
        <w:rPr>
          <w:color w:val="231F1F"/>
          <w:spacing w:val="-7"/>
          <w:w w:val="120"/>
        </w:rPr>
        <w:t> </w:t>
      </w:r>
      <w:r>
        <w:rPr>
          <w:color w:val="231F1F"/>
          <w:w w:val="120"/>
        </w:rPr>
        <w:t>thrombosis</w:t>
      </w:r>
    </w:p>
    <w:p>
      <w:pPr>
        <w:spacing w:before="0"/>
        <w:ind w:left="208" w:right="4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rivaroxaban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08" w:right="0" w:firstLine="0"/>
        <w:jc w:val="left"/>
        <w:rPr>
          <w:rFonts w:ascii="Arial" w:hAnsi="Arial"/>
          <w:sz w:val="12"/>
        </w:rPr>
      </w:pPr>
      <w:r>
        <w:rPr>
          <w:rFonts w:ascii="Arial" w:hAnsi="Arial"/>
          <w:color w:val="231F1F"/>
          <w:w w:val="355"/>
          <w:position w:val="1"/>
          <w:sz w:val="7"/>
        </w:rPr>
        <w:t>l </w:t>
      </w:r>
      <w:r>
        <w:rPr>
          <w:rFonts w:ascii="Calibri" w:hAnsi="Calibri"/>
          <w:color w:val="008356"/>
          <w:spacing w:val="4"/>
          <w:w w:val="115"/>
          <w:sz w:val="11"/>
        </w:rPr>
        <w:t>PHENOBARBITAL</w:t>
      </w:r>
      <w:r>
        <w:rPr>
          <w:color w:val="231F1F"/>
          <w:spacing w:val="4"/>
          <w:w w:val="115"/>
          <w:sz w:val="12"/>
        </w:rPr>
        <w:t>, </w:t>
      </w:r>
      <w:r>
        <w:rPr>
          <w:rFonts w:ascii="Arial" w:hAnsi="Arial"/>
          <w:color w:val="231F1F"/>
          <w:w w:val="355"/>
          <w:position w:val="1"/>
          <w:sz w:val="7"/>
        </w:rPr>
        <w:t>l </w:t>
      </w:r>
      <w:r>
        <w:rPr>
          <w:rFonts w:ascii="Calibri" w:hAnsi="Calibri"/>
          <w:color w:val="008356"/>
          <w:spacing w:val="4"/>
          <w:w w:val="115"/>
          <w:sz w:val="11"/>
        </w:rPr>
        <w:t>PHENYTOIN </w:t>
      </w:r>
      <w:r>
        <w:rPr>
          <w:color w:val="231F1F"/>
          <w:w w:val="115"/>
          <w:sz w:val="12"/>
        </w:rPr>
        <w:t>and </w:t>
      </w:r>
      <w:r>
        <w:rPr>
          <w:rFonts w:ascii="Arial" w:hAnsi="Arial"/>
          <w:color w:val="231F1F"/>
          <w:w w:val="355"/>
          <w:position w:val="1"/>
          <w:sz w:val="7"/>
        </w:rPr>
        <w:t>l </w:t>
      </w:r>
      <w:r>
        <w:rPr>
          <w:rFonts w:ascii="Calibri" w:hAnsi="Calibri"/>
          <w:color w:val="008356"/>
          <w:spacing w:val="4"/>
          <w:w w:val="115"/>
          <w:sz w:val="11"/>
        </w:rPr>
        <w:t>PRIMIDONE</w:t>
      </w:r>
      <w:r>
        <w:rPr>
          <w:rFonts w:ascii="Arial" w:hAnsi="Arial"/>
          <w:color w:val="231F1F"/>
          <w:spacing w:val="4"/>
          <w:w w:val="115"/>
          <w:sz w:val="12"/>
        </w:rPr>
        <w:t>—</w:t>
      </w:r>
    </w:p>
    <w:p>
      <w:pPr>
        <w:pStyle w:val="BodyText"/>
        <w:spacing w:line="249" w:lineRule="auto"/>
        <w:ind w:right="209"/>
      </w:pPr>
      <w:r>
        <w:rPr>
          <w:color w:val="231F1F"/>
          <w:w w:val="115"/>
        </w:rPr>
        <w:t>manufacturer of rivaroxaban advises monitor for signs of thrombosis</w:t>
      </w:r>
    </w:p>
    <w:p>
      <w:pPr>
        <w:spacing w:line="242" w:lineRule="auto" w:before="0"/>
        <w:ind w:left="208" w:right="41"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Antifungals: </w:t>
      </w:r>
      <w:r>
        <w:rPr>
          <w:color w:val="231F1F"/>
          <w:w w:val="110"/>
          <w:sz w:val="12"/>
        </w:rPr>
        <w:t>plasma concentration of rivaroxaban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sz w:val="12"/>
        </w:rPr>
        <w:t>—</w:t>
      </w:r>
      <w:r>
        <w:rPr>
          <w:color w:val="231F1F"/>
          <w:w w:val="110"/>
          <w:sz w:val="12"/>
        </w:rPr>
        <w:t>avoid concomitant use; manufacturer of rivaroxaban advises avoid concomitant use with </w:t>
      </w:r>
      <w:r>
        <w:rPr>
          <w:rFonts w:ascii="Calibri" w:hAnsi="Calibri"/>
          <w:color w:val="008356"/>
          <w:w w:val="110"/>
          <w:sz w:val="11"/>
        </w:rPr>
        <w:t>ITRACONAZOLE</w:t>
      </w:r>
      <w:r>
        <w:rPr>
          <w:color w:val="231F1F"/>
          <w:w w:val="110"/>
          <w:sz w:val="12"/>
        </w:rPr>
        <w:t>, </w:t>
      </w:r>
      <w:r>
        <w:rPr>
          <w:rFonts w:ascii="Calibri" w:hAnsi="Calibri"/>
          <w:color w:val="008356"/>
          <w:w w:val="110"/>
          <w:sz w:val="11"/>
        </w:rPr>
        <w:t>POSACONAZOLE </w:t>
      </w:r>
      <w:r>
        <w:rPr>
          <w:color w:val="231F1F"/>
          <w:w w:val="110"/>
          <w:sz w:val="12"/>
        </w:rPr>
        <w:t>and </w:t>
      </w:r>
      <w:r>
        <w:rPr>
          <w:rFonts w:ascii="Calibri" w:hAnsi="Calibri"/>
          <w:color w:val="008356"/>
          <w:w w:val="110"/>
          <w:sz w:val="11"/>
        </w:rPr>
        <w:t>VORICONAZOLE</w:t>
      </w:r>
    </w:p>
    <w:p>
      <w:pPr>
        <w:spacing w:line="240" w:lineRule="auto" w:before="0"/>
        <w:ind w:left="208" w:right="123"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manufacturer of rivaroxaban advises avoid concomitant use with </w:t>
      </w:r>
      <w:r>
        <w:rPr>
          <w:rFonts w:ascii="Calibri"/>
          <w:color w:val="008356"/>
          <w:w w:val="110"/>
          <w:sz w:val="11"/>
        </w:rPr>
        <w:t>ATAZANAVIR</w:t>
      </w:r>
      <w:r>
        <w:rPr>
          <w:color w:val="231F1F"/>
          <w:w w:val="110"/>
          <w:sz w:val="12"/>
        </w:rPr>
        <w:t>, </w:t>
      </w:r>
      <w:r>
        <w:rPr>
          <w:rFonts w:ascii="Calibri"/>
          <w:color w:val="008356"/>
          <w:w w:val="110"/>
          <w:sz w:val="11"/>
        </w:rPr>
        <w:t>DARUNAVIR</w:t>
      </w:r>
      <w:r>
        <w:rPr>
          <w:color w:val="231F1F"/>
          <w:w w:val="110"/>
          <w:sz w:val="12"/>
        </w:rPr>
        <w:t>, </w:t>
      </w:r>
      <w:r>
        <w:rPr>
          <w:rFonts w:ascii="Calibri"/>
          <w:color w:val="008356"/>
          <w:sz w:val="11"/>
        </w:rPr>
        <w:t>FOSAMPRENAVIR</w:t>
      </w:r>
      <w:r>
        <w:rPr>
          <w:color w:val="231F1F"/>
          <w:sz w:val="12"/>
        </w:rPr>
        <w:t>, </w:t>
      </w:r>
      <w:r>
        <w:rPr>
          <w:rFonts w:ascii="Calibri"/>
          <w:color w:val="008356"/>
          <w:sz w:val="11"/>
        </w:rPr>
        <w:t>INDINAVIR</w:t>
      </w:r>
      <w:r>
        <w:rPr>
          <w:color w:val="231F1F"/>
          <w:sz w:val="12"/>
        </w:rPr>
        <w:t>, </w:t>
      </w:r>
      <w:r>
        <w:rPr>
          <w:rFonts w:ascii="Calibri"/>
          <w:color w:val="008356"/>
          <w:sz w:val="11"/>
        </w:rPr>
        <w:t>SAQUINAVIR </w:t>
      </w:r>
      <w:r>
        <w:rPr>
          <w:color w:val="231F1F"/>
          <w:sz w:val="12"/>
        </w:rPr>
        <w:t>and </w:t>
      </w:r>
      <w:r>
        <w:rPr>
          <w:rFonts w:ascii="Calibri"/>
          <w:color w:val="008356"/>
          <w:sz w:val="11"/>
        </w:rPr>
        <w:t>TIPRANAVIR</w:t>
      </w:r>
      <w:r>
        <w:rPr>
          <w:color w:val="231F1F"/>
          <w:sz w:val="12"/>
        </w:rPr>
        <w:t>;</w:t>
      </w:r>
    </w:p>
    <w:p>
      <w:pPr>
        <w:pStyle w:val="BodyText"/>
        <w:spacing w:line="244" w:lineRule="auto"/>
        <w:ind w:right="127"/>
      </w:pPr>
      <w:r>
        <w:rPr>
          <w:color w:val="231F1F"/>
          <w:w w:val="115"/>
        </w:rPr>
        <w:t>manufacturers</w:t>
      </w:r>
      <w:r>
        <w:rPr>
          <w:color w:val="231F1F"/>
          <w:spacing w:val="-10"/>
          <w:w w:val="115"/>
        </w:rPr>
        <w:t> </w:t>
      </w:r>
      <w:r>
        <w:rPr>
          <w:color w:val="231F1F"/>
          <w:w w:val="115"/>
        </w:rPr>
        <w:t>advise</w:t>
      </w:r>
      <w:r>
        <w:rPr>
          <w:color w:val="231F1F"/>
          <w:spacing w:val="-10"/>
          <w:w w:val="115"/>
        </w:rPr>
        <w:t> </w:t>
      </w:r>
      <w:r>
        <w:rPr>
          <w:color w:val="231F1F"/>
          <w:w w:val="115"/>
        </w:rPr>
        <w:t>avoid</w:t>
      </w:r>
      <w:r>
        <w:rPr>
          <w:color w:val="231F1F"/>
          <w:spacing w:val="-10"/>
          <w:w w:val="115"/>
        </w:rPr>
        <w:t> </w:t>
      </w:r>
      <w:r>
        <w:rPr>
          <w:color w:val="231F1F"/>
          <w:w w:val="115"/>
        </w:rPr>
        <w:t>concomitant</w:t>
      </w:r>
      <w:r>
        <w:rPr>
          <w:color w:val="231F1F"/>
          <w:spacing w:val="-11"/>
          <w:w w:val="115"/>
        </w:rPr>
        <w:t> </w:t>
      </w:r>
      <w:r>
        <w:rPr>
          <w:color w:val="231F1F"/>
          <w:w w:val="115"/>
        </w:rPr>
        <w:t>use</w:t>
      </w:r>
      <w:r>
        <w:rPr>
          <w:color w:val="231F1F"/>
          <w:spacing w:val="-10"/>
          <w:w w:val="115"/>
        </w:rPr>
        <w:t> </w:t>
      </w:r>
      <w:r>
        <w:rPr>
          <w:color w:val="231F1F"/>
          <w:w w:val="115"/>
        </w:rPr>
        <w:t>of</w:t>
      </w:r>
      <w:r>
        <w:rPr>
          <w:color w:val="231F1F"/>
          <w:spacing w:val="-9"/>
          <w:w w:val="115"/>
        </w:rPr>
        <w:t> </w:t>
      </w:r>
      <w:r>
        <w:rPr>
          <w:color w:val="231F1F"/>
          <w:w w:val="115"/>
        </w:rPr>
        <w:t>rivaroxaban with </w:t>
      </w:r>
      <w:r>
        <w:rPr>
          <w:rFonts w:ascii="Calibri" w:hAnsi="Calibri"/>
          <w:color w:val="008356"/>
          <w:spacing w:val="3"/>
          <w:w w:val="115"/>
          <w:sz w:val="11"/>
        </w:rPr>
        <w:t>LOPINAVIR</w:t>
      </w:r>
      <w:r>
        <w:rPr>
          <w:color w:val="231F1F"/>
          <w:spacing w:val="3"/>
          <w:w w:val="115"/>
        </w:rPr>
        <w:t>; </w:t>
      </w:r>
      <w:r>
        <w:rPr>
          <w:color w:val="231F1F"/>
          <w:w w:val="115"/>
        </w:rPr>
        <w:t>plasma concentration of rivaroxaban increased</w:t>
      </w:r>
      <w:r>
        <w:rPr>
          <w:color w:val="231F1F"/>
          <w:spacing w:val="-10"/>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2"/>
          <w:w w:val="115"/>
          <w:sz w:val="11"/>
        </w:rPr>
        <w:t>RITONAVIR</w:t>
      </w:r>
      <w:r>
        <w:rPr>
          <w:rFonts w:ascii="Arial" w:hAnsi="Arial"/>
          <w:color w:val="231F1F"/>
          <w:spacing w:val="2"/>
          <w:w w:val="115"/>
        </w:rPr>
        <w:t>—</w:t>
      </w:r>
      <w:r>
        <w:rPr>
          <w:color w:val="231F1F"/>
          <w:spacing w:val="2"/>
          <w:w w:val="115"/>
        </w:rPr>
        <w:t>avoid</w:t>
      </w:r>
      <w:r>
        <w:rPr>
          <w:color w:val="231F1F"/>
          <w:spacing w:val="-9"/>
          <w:w w:val="115"/>
        </w:rPr>
        <w:t> </w:t>
      </w:r>
      <w:r>
        <w:rPr>
          <w:color w:val="231F1F"/>
          <w:w w:val="115"/>
        </w:rPr>
        <w:t>concomitant</w:t>
      </w:r>
      <w:r>
        <w:rPr>
          <w:color w:val="231F1F"/>
          <w:spacing w:val="-9"/>
          <w:w w:val="115"/>
        </w:rPr>
        <w:t> </w:t>
      </w:r>
      <w:r>
        <w:rPr>
          <w:color w:val="231F1F"/>
          <w:w w:val="115"/>
        </w:rPr>
        <w:t>use</w:t>
      </w:r>
    </w:p>
    <w:p>
      <w:pPr>
        <w:pStyle w:val="BodyText"/>
        <w:spacing w:line="237" w:lineRule="auto"/>
        <w:ind w:right="40" w:hanging="100"/>
      </w:pPr>
      <w:r>
        <w:rPr>
          <w:rFonts w:ascii="Arial" w:hAnsi="Arial"/>
          <w:color w:val="231F1F"/>
          <w:w w:val="355"/>
          <w:position w:val="1"/>
          <w:sz w:val="7"/>
        </w:rPr>
        <w:t>l</w:t>
      </w:r>
      <w:r>
        <w:rPr>
          <w:rFonts w:ascii="Arial" w:hAnsi="Arial"/>
          <w:color w:val="231F1F"/>
          <w:spacing w:val="-28"/>
          <w:w w:val="355"/>
          <w:position w:val="1"/>
          <w:sz w:val="7"/>
        </w:rPr>
        <w:t> </w:t>
      </w:r>
      <w:r>
        <w:rPr>
          <w:rFonts w:ascii="Calibri" w:hAnsi="Calibri"/>
          <w:color w:val="231F1F"/>
          <w:w w:val="110"/>
        </w:rPr>
        <w:t>Cobicistat: </w:t>
      </w:r>
      <w:r>
        <w:rPr>
          <w:color w:val="231F1F"/>
          <w:w w:val="110"/>
        </w:rPr>
        <w:t>anticoagulant effect of rivaroxaban possibly enhanced by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0"/>
          <w:sz w:val="11"/>
        </w:rPr>
        <w:t>COBICISTAT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1"/>
        <w:ind w:left="108"/>
      </w:pPr>
      <w:r>
        <w:rPr>
          <w:rFonts w:ascii="Trebuchet MS"/>
          <w:color w:val="008356"/>
          <w:w w:val="110"/>
        </w:rPr>
        <w:t>Rivastigmine </w:t>
      </w:r>
      <w:r>
        <w:rPr>
          <w:i/>
          <w:color w:val="231F1F"/>
          <w:w w:val="110"/>
        </w:rPr>
        <w:t>see </w:t>
      </w:r>
      <w:r>
        <w:rPr>
          <w:color w:val="231F1F"/>
          <w:w w:val="110"/>
        </w:rPr>
        <w:t>Parasympathomimetics</w:t>
      </w:r>
    </w:p>
    <w:p>
      <w:pPr>
        <w:pStyle w:val="BodyText"/>
        <w:spacing w:before="3"/>
        <w:ind w:left="0"/>
        <w:rPr>
          <w:sz w:val="15"/>
        </w:rPr>
      </w:pPr>
      <w:r>
        <w:rPr/>
        <w:br w:type="column"/>
      </w:r>
      <w:r>
        <w:rPr>
          <w:sz w:val="15"/>
        </w:rPr>
      </w:r>
    </w:p>
    <w:p>
      <w:pPr>
        <w:pStyle w:val="BodyText"/>
        <w:spacing w:before="1"/>
        <w:ind w:left="108"/>
      </w:pPr>
      <w:r>
        <w:rPr>
          <w:rFonts w:ascii="Trebuchet MS"/>
          <w:color w:val="008356"/>
          <w:w w:val="110"/>
        </w:rPr>
        <w:t>Rizatriptan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08"/>
      </w:pPr>
      <w:r>
        <w:rPr/>
        <w:pict>
          <v:rect style="position:absolute;margin-left:398.891296pt;margin-top:-8.824988pt;width:20.522993pt;height:149.443pt;mso-position-horizontal-relative:page;mso-position-vertical-relative:paragraph;z-index:6112" filled="true" fillcolor="#bfdbcf" stroked="false">
            <v:fill type="solid"/>
            <w10:wrap type="none"/>
          </v:rect>
        </w:pict>
      </w:r>
      <w:r>
        <w:rPr/>
        <w:pict>
          <v:shape style="position:absolute;margin-left:399.725769pt;margin-top:-3.861599pt;width:10.4pt;height:78.850pt;mso-position-horizontal-relative:page;mso-position-vertical-relative:paragraph;z-index:613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Trebuchet MS"/>
          <w:color w:val="008356"/>
          <w:w w:val="105"/>
        </w:rPr>
        <w:t>Rocuronium </w:t>
      </w:r>
      <w:r>
        <w:rPr>
          <w:i/>
          <w:color w:val="231F1F"/>
          <w:w w:val="105"/>
        </w:rPr>
        <w:t>see </w:t>
      </w:r>
      <w:r>
        <w:rPr>
          <w:color w:val="231F1F"/>
          <w:w w:val="105"/>
        </w:rPr>
        <w:t>Muscle Relaxants</w:t>
      </w:r>
    </w:p>
    <w:p>
      <w:pPr>
        <w:pStyle w:val="BodyText"/>
        <w:spacing w:before="10"/>
        <w:ind w:left="108"/>
        <w:rPr>
          <w:rFonts w:ascii="Trebuchet MS"/>
        </w:rPr>
      </w:pPr>
      <w:r>
        <w:rPr>
          <w:rFonts w:ascii="Trebuchet MS"/>
          <w:color w:val="008356"/>
        </w:rPr>
        <w:t>Roflumilast</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Aminophylline: </w:t>
      </w:r>
      <w:r>
        <w:rPr>
          <w:color w:val="231F1F"/>
          <w:w w:val="110"/>
        </w:rPr>
        <w:t>manufacturer of roflumilast advises avoid concomitant use with </w:t>
      </w:r>
      <w:r>
        <w:rPr>
          <w:rFonts w:ascii="Calibri" w:hAnsi="Calibri"/>
          <w:color w:val="008356"/>
          <w:w w:val="110"/>
          <w:sz w:val="11"/>
        </w:rPr>
        <w:t>AMINOPHYLLINE</w:t>
      </w:r>
    </w:p>
    <w:p>
      <w:pPr>
        <w:spacing w:line="146" w:lineRule="exact" w:before="0"/>
        <w:ind w:left="108" w:right="0" w:firstLine="0"/>
        <w:jc w:val="left"/>
        <w:rPr>
          <w:rFonts w:ascii="Calibri"/>
          <w:sz w:val="11"/>
        </w:rPr>
      </w:pPr>
      <w:r>
        <w:rPr>
          <w:rFonts w:ascii="Arial"/>
          <w:color w:val="231F1F"/>
          <w:w w:val="355"/>
          <w:position w:val="1"/>
          <w:sz w:val="7"/>
        </w:rPr>
        <w:t>l</w:t>
      </w:r>
      <w:r>
        <w:rPr>
          <w:rFonts w:ascii="Arial"/>
          <w:color w:val="231F1F"/>
          <w:spacing w:val="-39"/>
          <w:w w:val="355"/>
          <w:position w:val="1"/>
          <w:sz w:val="7"/>
        </w:rPr>
        <w:t> </w:t>
      </w:r>
      <w:r>
        <w:rPr>
          <w:rFonts w:ascii="Calibri"/>
          <w:color w:val="231F1F"/>
          <w:w w:val="110"/>
          <w:sz w:val="12"/>
        </w:rPr>
        <w:t>Antibacterials:</w:t>
      </w:r>
      <w:r>
        <w:rPr>
          <w:rFonts w:ascii="Calibri"/>
          <w:color w:val="231F1F"/>
          <w:spacing w:val="-5"/>
          <w:w w:val="110"/>
          <w:sz w:val="12"/>
        </w:rPr>
        <w:t> </w:t>
      </w:r>
      <w:r>
        <w:rPr>
          <w:color w:val="231F1F"/>
          <w:w w:val="110"/>
          <w:sz w:val="12"/>
        </w:rPr>
        <w:t>effects</w:t>
      </w:r>
      <w:r>
        <w:rPr>
          <w:color w:val="231F1F"/>
          <w:spacing w:val="-9"/>
          <w:w w:val="110"/>
          <w:sz w:val="12"/>
        </w:rPr>
        <w:t> </w:t>
      </w:r>
      <w:r>
        <w:rPr>
          <w:color w:val="231F1F"/>
          <w:w w:val="110"/>
          <w:sz w:val="12"/>
        </w:rPr>
        <w:t>of</w:t>
      </w:r>
      <w:r>
        <w:rPr>
          <w:color w:val="231F1F"/>
          <w:spacing w:val="-8"/>
          <w:w w:val="110"/>
          <w:sz w:val="12"/>
        </w:rPr>
        <w:t> </w:t>
      </w:r>
      <w:r>
        <w:rPr>
          <w:color w:val="231F1F"/>
          <w:w w:val="110"/>
          <w:sz w:val="12"/>
        </w:rPr>
        <w:t>roflumilast</w:t>
      </w:r>
      <w:r>
        <w:rPr>
          <w:color w:val="231F1F"/>
          <w:spacing w:val="-8"/>
          <w:w w:val="110"/>
          <w:sz w:val="12"/>
        </w:rPr>
        <w:t> </w:t>
      </w:r>
      <w:r>
        <w:rPr>
          <w:color w:val="231F1F"/>
          <w:w w:val="110"/>
          <w:sz w:val="12"/>
        </w:rPr>
        <w:t>inhibited</w:t>
      </w:r>
      <w:r>
        <w:rPr>
          <w:color w:val="231F1F"/>
          <w:spacing w:val="-9"/>
          <w:w w:val="110"/>
          <w:sz w:val="12"/>
        </w:rPr>
        <w:t> </w:t>
      </w:r>
      <w:r>
        <w:rPr>
          <w:color w:val="231F1F"/>
          <w:w w:val="110"/>
          <w:sz w:val="12"/>
        </w:rPr>
        <w:t>by</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RIFAMPICIN</w:t>
      </w:r>
    </w:p>
    <w:p>
      <w:pPr>
        <w:pStyle w:val="BodyText"/>
      </w:pPr>
      <w:r>
        <w:rPr>
          <w:color w:val="231F1F"/>
          <w:w w:val="115"/>
        </w:rPr>
        <w:t>(manufacturer</w:t>
      </w:r>
      <w:r>
        <w:rPr>
          <w:color w:val="231F1F"/>
          <w:spacing w:val="-10"/>
          <w:w w:val="115"/>
        </w:rPr>
        <w:t> </w:t>
      </w:r>
      <w:r>
        <w:rPr>
          <w:color w:val="231F1F"/>
          <w:w w:val="115"/>
        </w:rPr>
        <w:t>of</w:t>
      </w:r>
      <w:r>
        <w:rPr>
          <w:color w:val="231F1F"/>
          <w:spacing w:val="-8"/>
          <w:w w:val="115"/>
        </w:rPr>
        <w:t> </w:t>
      </w:r>
      <w:r>
        <w:rPr>
          <w:color w:val="231F1F"/>
          <w:w w:val="115"/>
        </w:rPr>
        <w:t>roflumilast</w:t>
      </w:r>
      <w:r>
        <w:rPr>
          <w:color w:val="231F1F"/>
          <w:spacing w:val="-9"/>
          <w:w w:val="115"/>
        </w:rPr>
        <w:t> </w:t>
      </w:r>
      <w:r>
        <w:rPr>
          <w:color w:val="231F1F"/>
          <w:w w:val="115"/>
        </w:rPr>
        <w:t>advises</w:t>
      </w:r>
      <w:r>
        <w:rPr>
          <w:color w:val="231F1F"/>
          <w:spacing w:val="-9"/>
          <w:w w:val="115"/>
        </w:rPr>
        <w:t> </w:t>
      </w:r>
      <w:r>
        <w:rPr>
          <w:color w:val="231F1F"/>
          <w:w w:val="115"/>
        </w:rPr>
        <w:t>avoid</w:t>
      </w:r>
      <w:r>
        <w:rPr>
          <w:color w:val="231F1F"/>
          <w:spacing w:val="-9"/>
          <w:w w:val="115"/>
        </w:rPr>
        <w:t> </w:t>
      </w:r>
      <w:r>
        <w:rPr>
          <w:color w:val="231F1F"/>
          <w:w w:val="115"/>
        </w:rPr>
        <w:t>concomitant</w:t>
      </w:r>
      <w:r>
        <w:rPr>
          <w:color w:val="231F1F"/>
          <w:spacing w:val="-11"/>
          <w:w w:val="115"/>
        </w:rPr>
        <w:t> </w:t>
      </w:r>
      <w:r>
        <w:rPr>
          <w:color w:val="231F1F"/>
          <w:w w:val="115"/>
        </w:rPr>
        <w:t>use)</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rPr>
        <w:t>Antidepressants: </w:t>
      </w:r>
      <w:r>
        <w:rPr>
          <w:color w:val="231F1F"/>
        </w:rPr>
        <w:t>metabolism of roflumilast inhibited by</w:t>
      </w:r>
    </w:p>
    <w:p>
      <w:pPr>
        <w:spacing w:line="130" w:lineRule="exact" w:before="0"/>
        <w:ind w:left="208" w:right="0" w:firstLine="0"/>
        <w:jc w:val="left"/>
        <w:rPr>
          <w:rFonts w:ascii="Calibri"/>
          <w:sz w:val="11"/>
        </w:rPr>
      </w:pPr>
      <w:r>
        <w:rPr>
          <w:rFonts w:ascii="Calibri"/>
          <w:color w:val="008356"/>
          <w:sz w:val="11"/>
        </w:rPr>
        <w:t>FLUVOXAMINE</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effects of roflumilast possibly inhibited by</w:t>
      </w:r>
    </w:p>
    <w:p>
      <w:pPr>
        <w:spacing w:line="135" w:lineRule="exact" w:before="0"/>
        <w:ind w:left="208" w:right="0" w:firstLine="0"/>
        <w:jc w:val="left"/>
        <w:rPr>
          <w:rFonts w:ascii="Calibri"/>
          <w:sz w:val="11"/>
        </w:rPr>
      </w:pPr>
      <w:r>
        <w:rPr>
          <w:rFonts w:ascii="Calibri"/>
          <w:color w:val="008356"/>
          <w:sz w:val="11"/>
        </w:rPr>
        <w:t>CARBAMAZEPINE</w:t>
      </w:r>
      <w:r>
        <w:rPr>
          <w:color w:val="231F1F"/>
          <w:sz w:val="12"/>
        </w:rPr>
        <w:t>, </w:t>
      </w:r>
      <w:r>
        <w:rPr>
          <w:rFonts w:ascii="Calibri"/>
          <w:color w:val="008356"/>
          <w:sz w:val="11"/>
        </w:rPr>
        <w:t>FOSPHENYTOIN</w:t>
      </w:r>
      <w:r>
        <w:rPr>
          <w:color w:val="231F1F"/>
          <w:sz w:val="12"/>
        </w:rPr>
        <w:t>, </w:t>
      </w:r>
      <w:r>
        <w:rPr>
          <w:rFonts w:ascii="Calibri"/>
          <w:color w:val="008356"/>
          <w:sz w:val="11"/>
        </w:rPr>
        <w:t>PHENOBARBITAL</w:t>
      </w:r>
      <w:r>
        <w:rPr>
          <w:color w:val="231F1F"/>
          <w:sz w:val="12"/>
        </w:rPr>
        <w:t>, </w:t>
      </w:r>
      <w:r>
        <w:rPr>
          <w:rFonts w:ascii="Calibri"/>
          <w:color w:val="008356"/>
          <w:sz w:val="11"/>
        </w:rPr>
        <w:t>PHENYTOIN</w:t>
      </w:r>
    </w:p>
    <w:p>
      <w:pPr>
        <w:pStyle w:val="BodyText"/>
        <w:spacing w:before="3"/>
        <w:ind w:right="877"/>
      </w:pPr>
      <w:r>
        <w:rPr>
          <w:color w:val="231F1F"/>
          <w:w w:val="115"/>
        </w:rPr>
        <w:t>and</w:t>
      </w:r>
      <w:r>
        <w:rPr>
          <w:color w:val="231F1F"/>
          <w:spacing w:val="-22"/>
          <w:w w:val="115"/>
        </w:rPr>
        <w:t> </w:t>
      </w:r>
      <w:r>
        <w:rPr>
          <w:rFonts w:ascii="Calibri"/>
          <w:color w:val="008356"/>
          <w:spacing w:val="4"/>
          <w:w w:val="115"/>
          <w:sz w:val="11"/>
        </w:rPr>
        <w:t>PRIMIDONE</w:t>
      </w:r>
      <w:r>
        <w:rPr>
          <w:rFonts w:ascii="Calibri"/>
          <w:color w:val="008356"/>
          <w:spacing w:val="-13"/>
          <w:w w:val="115"/>
          <w:sz w:val="11"/>
        </w:rPr>
        <w:t> </w:t>
      </w:r>
      <w:r>
        <w:rPr>
          <w:color w:val="231F1F"/>
          <w:w w:val="115"/>
        </w:rPr>
        <w:t>(manufacturer</w:t>
      </w:r>
      <w:r>
        <w:rPr>
          <w:color w:val="231F1F"/>
          <w:spacing w:val="-20"/>
          <w:w w:val="115"/>
        </w:rPr>
        <w:t> </w:t>
      </w:r>
      <w:r>
        <w:rPr>
          <w:color w:val="231F1F"/>
          <w:w w:val="115"/>
        </w:rPr>
        <w:t>of</w:t>
      </w:r>
      <w:r>
        <w:rPr>
          <w:color w:val="231F1F"/>
          <w:spacing w:val="-21"/>
          <w:w w:val="115"/>
        </w:rPr>
        <w:t> </w:t>
      </w:r>
      <w:r>
        <w:rPr>
          <w:color w:val="231F1F"/>
          <w:w w:val="115"/>
        </w:rPr>
        <w:t>roflumilast</w:t>
      </w:r>
      <w:r>
        <w:rPr>
          <w:color w:val="231F1F"/>
          <w:spacing w:val="-22"/>
          <w:w w:val="115"/>
        </w:rPr>
        <w:t> </w:t>
      </w:r>
      <w:r>
        <w:rPr>
          <w:color w:val="231F1F"/>
          <w:w w:val="115"/>
        </w:rPr>
        <w:t>advises</w:t>
      </w:r>
      <w:r>
        <w:rPr>
          <w:color w:val="231F1F"/>
          <w:spacing w:val="-21"/>
          <w:w w:val="115"/>
        </w:rPr>
        <w:t> </w:t>
      </w:r>
      <w:r>
        <w:rPr>
          <w:color w:val="231F1F"/>
          <w:spacing w:val="-3"/>
          <w:w w:val="115"/>
        </w:rPr>
        <w:t>avoid </w:t>
      </w:r>
      <w:r>
        <w:rPr>
          <w:color w:val="231F1F"/>
          <w:w w:val="115"/>
        </w:rPr>
        <w:t>concomitant</w:t>
      </w:r>
      <w:r>
        <w:rPr>
          <w:color w:val="231F1F"/>
          <w:spacing w:val="-5"/>
          <w:w w:val="115"/>
        </w:rPr>
        <w:t> </w:t>
      </w:r>
      <w:r>
        <w:rPr>
          <w:color w:val="231F1F"/>
          <w:w w:val="115"/>
        </w:rPr>
        <w:t>use)</w:t>
      </w:r>
    </w:p>
    <w:p>
      <w:pPr>
        <w:pStyle w:val="BodyText"/>
        <w:spacing w:line="220" w:lineRule="auto" w:before="11"/>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manufacturer of roflumilast advises avoid concomitant use with </w:t>
      </w:r>
      <w:r>
        <w:rPr>
          <w:rFonts w:ascii="Calibri" w:hAnsi="Calibri"/>
          <w:color w:val="008356"/>
          <w:w w:val="110"/>
          <w:sz w:val="11"/>
        </w:rPr>
        <w:t>THEOPHYLLINE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roflumilast inhibited by</w:t>
      </w:r>
    </w:p>
    <w:p>
      <w:pPr>
        <w:spacing w:line="132" w:lineRule="exact" w:before="0"/>
        <w:ind w:left="208" w:right="0" w:firstLine="0"/>
        <w:jc w:val="left"/>
        <w:rPr>
          <w:rFonts w:ascii="Calibri"/>
          <w:sz w:val="11"/>
        </w:rPr>
      </w:pPr>
      <w:r>
        <w:rPr>
          <w:rFonts w:ascii="Calibri"/>
          <w:color w:val="008356"/>
          <w:sz w:val="11"/>
        </w:rPr>
        <w:t>CIMETIDINE</w:t>
      </w:r>
    </w:p>
    <w:p>
      <w:pPr>
        <w:pStyle w:val="BodyText"/>
        <w:spacing w:before="8"/>
        <w:ind w:left="108"/>
        <w:rPr>
          <w:rFonts w:ascii="Trebuchet MS"/>
        </w:rPr>
      </w:pPr>
      <w:r>
        <w:rPr>
          <w:rFonts w:ascii="Trebuchet MS"/>
          <w:color w:val="008356"/>
        </w:rPr>
        <w:t>Ropinirole</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ropinirole inhibited by</w:t>
      </w:r>
    </w:p>
    <w:p>
      <w:pPr>
        <w:spacing w:line="134" w:lineRule="exact" w:before="0"/>
        <w:ind w:left="208" w:right="0" w:firstLine="0"/>
        <w:jc w:val="left"/>
        <w:rPr>
          <w:sz w:val="12"/>
        </w:rPr>
      </w:pPr>
      <w:r>
        <w:rPr>
          <w:rFonts w:ascii="Calibri"/>
          <w:color w:val="008356"/>
          <w:w w:val="115"/>
          <w:sz w:val="11"/>
        </w:rPr>
        <w:t>CIPROFLOXACIN </w:t>
      </w:r>
      <w:r>
        <w:rPr>
          <w:color w:val="231F1F"/>
          <w:w w:val="115"/>
          <w:sz w:val="12"/>
        </w:rPr>
        <w:t>(increased plasma concentration)</w:t>
      </w:r>
    </w:p>
    <w:p>
      <w:pPr>
        <w:pStyle w:val="BodyText"/>
        <w:spacing w:line="220" w:lineRule="auto" w:before="8"/>
        <w:ind w:right="871"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manufacturer of ropinirole advises avoid concomitant use of </w:t>
      </w:r>
      <w:r>
        <w:rPr>
          <w:rFonts w:ascii="Calibri" w:hAnsi="Calibri"/>
          <w:color w:val="008356"/>
          <w:spacing w:val="4"/>
          <w:w w:val="110"/>
          <w:sz w:val="11"/>
        </w:rPr>
        <w:t>ANTIPSYCHOTICS </w:t>
      </w:r>
      <w:r>
        <w:rPr>
          <w:color w:val="231F1F"/>
          <w:w w:val="110"/>
        </w:rPr>
        <w:t>(antagonism of</w:t>
      </w:r>
      <w:r>
        <w:rPr>
          <w:color w:val="231F1F"/>
          <w:spacing w:val="-7"/>
          <w:w w:val="110"/>
        </w:rPr>
        <w:t> </w:t>
      </w:r>
      <w:r>
        <w:rPr>
          <w:color w:val="231F1F"/>
          <w:w w:val="110"/>
        </w:rPr>
        <w:t>effect)</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w:t>
      </w:r>
      <w:r>
        <w:rPr>
          <w:color w:val="231F1F"/>
          <w:spacing w:val="28"/>
          <w:w w:val="105"/>
        </w:rPr>
        <w:t> </w:t>
      </w:r>
      <w:r>
        <w:rPr>
          <w:color w:val="231F1F"/>
          <w:w w:val="105"/>
        </w:rPr>
        <w:t>by</w:t>
      </w:r>
    </w:p>
    <w:p>
      <w:pPr>
        <w:spacing w:line="130" w:lineRule="exact" w:before="0"/>
        <w:ind w:left="208" w:right="0" w:firstLine="0"/>
        <w:jc w:val="left"/>
        <w:rPr>
          <w:rFonts w:ascii="Calibri"/>
          <w:sz w:val="11"/>
        </w:rPr>
      </w:pPr>
      <w:r>
        <w:rPr>
          <w:rFonts w:ascii="Calibri"/>
          <w:color w:val="008356"/>
          <w:sz w:val="11"/>
        </w:rPr>
        <w:t>MEMANTINE</w:t>
      </w:r>
    </w:p>
    <w:p>
      <w:pPr>
        <w:pStyle w:val="BodyText"/>
        <w:spacing w:line="220" w:lineRule="auto" w:before="7"/>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20" w:lineRule="auto" w:before="10"/>
        <w:ind w:right="670" w:hanging="100"/>
      </w:pPr>
      <w:r>
        <w:rPr>
          <w:rFonts w:ascii="Lucida Sans Unicode" w:hAnsi="Lucida Sans Unicode"/>
          <w:color w:val="A7A8AC"/>
          <w:w w:val="95"/>
          <w:sz w:val="10"/>
        </w:rPr>
        <w:t>▶ </w:t>
      </w:r>
      <w:r>
        <w:rPr>
          <w:rFonts w:ascii="Calibri" w:hAnsi="Calibri"/>
          <w:color w:val="231F1F"/>
          <w:w w:val="110"/>
        </w:rPr>
        <w:t>Metoclopramide: </w:t>
      </w:r>
      <w:r>
        <w:rPr>
          <w:color w:val="231F1F"/>
          <w:w w:val="110"/>
        </w:rPr>
        <w:t>manufacturer of ropinirole advises avoid concomitant</w:t>
      </w:r>
      <w:r>
        <w:rPr>
          <w:color w:val="231F1F"/>
          <w:spacing w:val="-11"/>
          <w:w w:val="110"/>
        </w:rPr>
        <w:t> </w:t>
      </w:r>
      <w:r>
        <w:rPr>
          <w:color w:val="231F1F"/>
          <w:w w:val="110"/>
        </w:rPr>
        <w:t>use</w:t>
      </w:r>
      <w:r>
        <w:rPr>
          <w:color w:val="231F1F"/>
          <w:spacing w:val="-10"/>
          <w:w w:val="110"/>
        </w:rPr>
        <w:t> </w:t>
      </w:r>
      <w:r>
        <w:rPr>
          <w:color w:val="231F1F"/>
          <w:w w:val="110"/>
        </w:rPr>
        <w:t>of</w:t>
      </w:r>
      <w:r>
        <w:rPr>
          <w:color w:val="231F1F"/>
          <w:spacing w:val="-10"/>
          <w:w w:val="110"/>
        </w:rPr>
        <w:t> </w:t>
      </w:r>
      <w:r>
        <w:rPr>
          <w:rFonts w:ascii="Calibri" w:hAnsi="Calibri"/>
          <w:color w:val="008356"/>
          <w:spacing w:val="4"/>
          <w:w w:val="110"/>
          <w:sz w:val="11"/>
        </w:rPr>
        <w:t>METOCLOPRAMIDE</w:t>
      </w:r>
      <w:r>
        <w:rPr>
          <w:rFonts w:ascii="Calibri" w:hAnsi="Calibri"/>
          <w:color w:val="008356"/>
          <w:w w:val="110"/>
          <w:sz w:val="11"/>
        </w:rPr>
        <w:t> </w:t>
      </w:r>
      <w:r>
        <w:rPr>
          <w:color w:val="231F1F"/>
          <w:w w:val="110"/>
        </w:rPr>
        <w:t>(antagonism</w:t>
      </w:r>
      <w:r>
        <w:rPr>
          <w:color w:val="231F1F"/>
          <w:spacing w:val="-10"/>
          <w:w w:val="110"/>
        </w:rPr>
        <w:t> </w:t>
      </w:r>
      <w:r>
        <w:rPr>
          <w:color w:val="231F1F"/>
          <w:w w:val="110"/>
        </w:rPr>
        <w:t>of</w:t>
      </w:r>
      <w:r>
        <w:rPr>
          <w:color w:val="231F1F"/>
          <w:spacing w:val="-10"/>
          <w:w w:val="110"/>
        </w:rPr>
        <w:t> </w:t>
      </w:r>
      <w:r>
        <w:rPr>
          <w:color w:val="231F1F"/>
          <w:w w:val="110"/>
        </w:rPr>
        <w:t>effect)</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Oestrogens:  </w:t>
      </w:r>
      <w:r>
        <w:rPr>
          <w:color w:val="231F1F"/>
          <w:w w:val="105"/>
        </w:rPr>
        <w:t>plasma  concentration of  ropinirole  increased</w:t>
      </w:r>
      <w:r>
        <w:rPr>
          <w:color w:val="231F1F"/>
          <w:spacing w:val="-14"/>
          <w:w w:val="105"/>
        </w:rPr>
        <w:t> </w:t>
      </w:r>
      <w:r>
        <w:rPr>
          <w:color w:val="231F1F"/>
          <w:w w:val="105"/>
        </w:rPr>
        <w:t>by</w:t>
      </w:r>
    </w:p>
    <w:p>
      <w:pPr>
        <w:spacing w:line="132" w:lineRule="exact" w:before="0"/>
        <w:ind w:left="208" w:right="0" w:firstLine="0"/>
        <w:jc w:val="left"/>
        <w:rPr>
          <w:rFonts w:ascii="Calibri"/>
          <w:sz w:val="11"/>
        </w:rPr>
      </w:pPr>
      <w:r>
        <w:rPr>
          <w:rFonts w:ascii="Calibri"/>
          <w:color w:val="008356"/>
          <w:sz w:val="11"/>
        </w:rPr>
        <w:t>OESTROGENS</w:t>
      </w:r>
    </w:p>
    <w:p>
      <w:pPr>
        <w:pStyle w:val="BodyText"/>
        <w:spacing w:before="6"/>
        <w:ind w:left="108"/>
        <w:rPr>
          <w:rFonts w:ascii="Trebuchet MS"/>
        </w:rPr>
      </w:pPr>
      <w:r>
        <w:rPr>
          <w:rFonts w:ascii="Trebuchet MS"/>
          <w:color w:val="008356"/>
        </w:rPr>
        <w:t>Ropivacaine</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increased myocardial depression when ropivacaine given with </w:t>
      </w:r>
      <w:r>
        <w:rPr>
          <w:rFonts w:ascii="Calibri" w:hAnsi="Calibri"/>
          <w:color w:val="008356"/>
          <w:w w:val="105"/>
          <w:sz w:val="11"/>
        </w:rPr>
        <w:t>ANTI-ARRHYTHMICS</w:t>
      </w:r>
    </w:p>
    <w:p>
      <w:pPr>
        <w:pStyle w:val="BodyText"/>
        <w:spacing w:line="151" w:lineRule="exact"/>
        <w:ind w:left="108"/>
      </w:pPr>
      <w:r>
        <w:rPr>
          <w:rFonts w:ascii="Lucida Sans Unicode" w:hAnsi="Lucida Sans Unicode"/>
          <w:color w:val="A7A8AC"/>
          <w:w w:val="95"/>
          <w:sz w:val="10"/>
        </w:rPr>
        <w:t>▶ </w:t>
      </w:r>
      <w:r>
        <w:rPr>
          <w:rFonts w:ascii="Calibri" w:hAnsi="Calibri"/>
          <w:color w:val="231F1F"/>
        </w:rPr>
        <w:t>Antidepressants: </w:t>
      </w:r>
      <w:r>
        <w:rPr>
          <w:color w:val="231F1F"/>
        </w:rPr>
        <w:t>metabolism of ropivacaine inhibited by</w:t>
      </w:r>
    </w:p>
    <w:p>
      <w:pPr>
        <w:pStyle w:val="BodyText"/>
        <w:spacing w:line="136" w:lineRule="exact"/>
      </w:pPr>
      <w:r>
        <w:rPr>
          <w:rFonts w:ascii="Calibri" w:hAnsi="Calibri"/>
          <w:color w:val="008356"/>
          <w:w w:val="110"/>
          <w:sz w:val="11"/>
        </w:rPr>
        <w:t>FLUVOXAMINE</w:t>
      </w:r>
      <w:r>
        <w:rPr>
          <w:rFonts w:ascii="Arial" w:hAnsi="Arial"/>
          <w:color w:val="231F1F"/>
          <w:w w:val="110"/>
        </w:rPr>
        <w:t>—</w:t>
      </w:r>
      <w:r>
        <w:rPr>
          <w:color w:val="231F1F"/>
          <w:w w:val="110"/>
        </w:rPr>
        <w:t>avoid prolonged administration of ropivacaine</w:t>
      </w:r>
    </w:p>
    <w:p>
      <w:pPr>
        <w:pStyle w:val="BodyText"/>
        <w:spacing w:line="256" w:lineRule="auto" w:before="7"/>
        <w:ind w:left="108" w:right="2413"/>
        <w:rPr>
          <w:rFonts w:ascii="Trebuchet MS"/>
        </w:rPr>
      </w:pPr>
      <w:r>
        <w:rPr>
          <w:rFonts w:ascii="Trebuchet MS"/>
          <w:color w:val="008356"/>
          <w:w w:val="105"/>
        </w:rPr>
        <w:t>Rosuvastatin </w:t>
      </w:r>
      <w:r>
        <w:rPr>
          <w:i/>
          <w:color w:val="231F1F"/>
          <w:w w:val="105"/>
        </w:rPr>
        <w:t>see </w:t>
      </w:r>
      <w:r>
        <w:rPr>
          <w:color w:val="231F1F"/>
          <w:w w:val="105"/>
        </w:rPr>
        <w:t>Statins </w:t>
      </w:r>
      <w:r>
        <w:rPr>
          <w:rFonts w:ascii="Trebuchet MS"/>
          <w:color w:val="008356"/>
          <w:w w:val="105"/>
        </w:rPr>
        <w:t>Rotavirus Vaccine </w:t>
      </w:r>
      <w:r>
        <w:rPr>
          <w:i/>
          <w:color w:val="231F1F"/>
          <w:w w:val="105"/>
        </w:rPr>
        <w:t>see </w:t>
      </w:r>
      <w:r>
        <w:rPr>
          <w:color w:val="231F1F"/>
          <w:w w:val="105"/>
        </w:rPr>
        <w:t>Vaccines </w:t>
      </w:r>
      <w:r>
        <w:rPr>
          <w:rFonts w:ascii="Trebuchet MS"/>
          <w:color w:val="008356"/>
          <w:w w:val="105"/>
        </w:rPr>
        <w:t>Rotigotine</w:t>
      </w:r>
    </w:p>
    <w:p>
      <w:pPr>
        <w:pStyle w:val="BodyText"/>
        <w:spacing w:line="220" w:lineRule="auto"/>
        <w:ind w:right="871" w:hanging="100"/>
      </w:pPr>
      <w:r>
        <w:rPr>
          <w:rFonts w:ascii="Lucida Sans Unicode" w:hAnsi="Lucida Sans Unicode"/>
          <w:color w:val="A7A8AC"/>
          <w:w w:val="95"/>
          <w:sz w:val="10"/>
        </w:rPr>
        <w:t>▶ </w:t>
      </w:r>
      <w:r>
        <w:rPr>
          <w:rFonts w:ascii="Calibri" w:hAnsi="Calibri"/>
          <w:color w:val="231F1F"/>
          <w:w w:val="110"/>
        </w:rPr>
        <w:t>Antipsychotics: </w:t>
      </w:r>
      <w:r>
        <w:rPr>
          <w:color w:val="231F1F"/>
          <w:w w:val="110"/>
        </w:rPr>
        <w:t>manufacturer of rotigotine advises avoid concomitant use of </w:t>
      </w:r>
      <w:r>
        <w:rPr>
          <w:rFonts w:ascii="Calibri" w:hAnsi="Calibri"/>
          <w:color w:val="008356"/>
          <w:spacing w:val="4"/>
          <w:w w:val="110"/>
          <w:sz w:val="11"/>
        </w:rPr>
        <w:t>ANTIPSYCHOTICS </w:t>
      </w:r>
      <w:r>
        <w:rPr>
          <w:color w:val="231F1F"/>
          <w:w w:val="110"/>
        </w:rPr>
        <w:t>(antagonism of</w:t>
      </w:r>
      <w:r>
        <w:rPr>
          <w:color w:val="231F1F"/>
          <w:spacing w:val="-7"/>
          <w:w w:val="110"/>
        </w:rPr>
        <w:t> </w:t>
      </w:r>
      <w:r>
        <w:rPr>
          <w:color w:val="231F1F"/>
          <w:w w:val="110"/>
        </w:rPr>
        <w:t>effect)</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w:t>
      </w:r>
      <w:r>
        <w:rPr>
          <w:color w:val="231F1F"/>
          <w:spacing w:val="28"/>
          <w:w w:val="105"/>
        </w:rPr>
        <w:t> </w:t>
      </w:r>
      <w:r>
        <w:rPr>
          <w:color w:val="231F1F"/>
          <w:w w:val="105"/>
        </w:rPr>
        <w:t>by</w:t>
      </w:r>
    </w:p>
    <w:p>
      <w:pPr>
        <w:spacing w:line="131" w:lineRule="exact" w:before="0"/>
        <w:ind w:left="208" w:right="0" w:firstLine="0"/>
        <w:jc w:val="left"/>
        <w:rPr>
          <w:rFonts w:ascii="Calibri"/>
          <w:sz w:val="11"/>
        </w:rPr>
      </w:pPr>
      <w:r>
        <w:rPr>
          <w:rFonts w:ascii="Calibri"/>
          <w:color w:val="008356"/>
          <w:sz w:val="11"/>
        </w:rPr>
        <w:t>MEMANTINE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20" w:lineRule="auto" w:before="8"/>
        <w:ind w:right="670" w:hanging="100"/>
      </w:pPr>
      <w:r>
        <w:rPr>
          <w:rFonts w:ascii="Lucida Sans Unicode" w:hAnsi="Lucida Sans Unicode"/>
          <w:color w:val="A7A8AC"/>
          <w:w w:val="95"/>
          <w:sz w:val="10"/>
        </w:rPr>
        <w:t>▶ </w:t>
      </w:r>
      <w:r>
        <w:rPr>
          <w:rFonts w:ascii="Calibri" w:hAnsi="Calibri"/>
          <w:color w:val="231F1F"/>
          <w:w w:val="110"/>
        </w:rPr>
        <w:t>Metoclopramide: </w:t>
      </w:r>
      <w:r>
        <w:rPr>
          <w:color w:val="231F1F"/>
          <w:w w:val="110"/>
        </w:rPr>
        <w:t>manufacturer of rotigotine advises avoid concomitant use of </w:t>
      </w:r>
      <w:r>
        <w:rPr>
          <w:rFonts w:ascii="Calibri" w:hAnsi="Calibri"/>
          <w:color w:val="008356"/>
          <w:w w:val="110"/>
          <w:sz w:val="11"/>
        </w:rPr>
        <w:t>METOCLOPRAMIDE </w:t>
      </w:r>
      <w:r>
        <w:rPr>
          <w:color w:val="231F1F"/>
          <w:w w:val="110"/>
        </w:rPr>
        <w:t>(antagonism of effect)</w:t>
      </w:r>
    </w:p>
    <w:p>
      <w:pPr>
        <w:pStyle w:val="BodyText"/>
        <w:spacing w:before="8"/>
        <w:ind w:left="108"/>
        <w:rPr>
          <w:rFonts w:ascii="Trebuchet MS"/>
        </w:rPr>
      </w:pPr>
      <w:r>
        <w:rPr>
          <w:rFonts w:ascii="Trebuchet MS"/>
          <w:color w:val="008356"/>
        </w:rPr>
        <w:t>Rufinamide</w:t>
      </w:r>
    </w:p>
    <w:p>
      <w:pPr>
        <w:spacing w:line="242" w:lineRule="auto" w:before="1"/>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42" w:lineRule="auto"/>
        <w:ind w:right="706" w:hanging="100"/>
      </w:pPr>
      <w:r>
        <w:rPr>
          <w:rFonts w:ascii="Lucida Sans Unicode" w:hAnsi="Lucida Sans Unicode"/>
          <w:color w:val="A7A8AC"/>
          <w:w w:val="95"/>
          <w:sz w:val="10"/>
        </w:rPr>
        <w:t>▶ </w:t>
      </w:r>
      <w:r>
        <w:rPr>
          <w:rFonts w:ascii="Calibri" w:hAnsi="Calibri"/>
          <w:color w:val="231F1F"/>
          <w:w w:val="110"/>
        </w:rPr>
        <w:t>Antiepileptics: </w:t>
      </w:r>
      <w:r>
        <w:rPr>
          <w:color w:val="231F1F"/>
          <w:w w:val="110"/>
        </w:rPr>
        <w:t>plasma concentration of both drugs possibly reduced when rufinamide given with </w:t>
      </w:r>
      <w:r>
        <w:rPr>
          <w:rFonts w:ascii="Calibri" w:hAnsi="Calibri"/>
          <w:color w:val="008356"/>
          <w:w w:val="110"/>
          <w:sz w:val="11"/>
        </w:rPr>
        <w:t>CARBAMAZEPINE</w:t>
      </w:r>
      <w:r>
        <w:rPr>
          <w:color w:val="231F1F"/>
          <w:w w:val="110"/>
        </w:rPr>
        <w:t>; plasma concentration of rufinamide possibly reduced by </w:t>
      </w:r>
      <w:r>
        <w:rPr>
          <w:rFonts w:ascii="Calibri" w:hAnsi="Calibri"/>
          <w:color w:val="008356"/>
          <w:w w:val="110"/>
          <w:sz w:val="11"/>
        </w:rPr>
        <w:t>FOSPHENYTOIN </w:t>
      </w:r>
      <w:r>
        <w:rPr>
          <w:color w:val="231F1F"/>
          <w:w w:val="110"/>
        </w:rPr>
        <w:t>and </w:t>
      </w:r>
      <w:r>
        <w:rPr>
          <w:rFonts w:ascii="Calibri" w:hAnsi="Calibri"/>
          <w:color w:val="008356"/>
          <w:w w:val="110"/>
          <w:sz w:val="11"/>
        </w:rPr>
        <w:t>PHENYTOIN</w:t>
      </w:r>
      <w:r>
        <w:rPr>
          <w:color w:val="231F1F"/>
          <w:w w:val="110"/>
        </w:rPr>
        <w:t>, also plasma concentration of fosphenytoin and phenytoin possibly increased; plasma concentration of rufinamide possibly reduced by </w:t>
      </w:r>
      <w:r>
        <w:rPr>
          <w:rFonts w:ascii="Calibri" w:hAnsi="Calibri"/>
          <w:color w:val="008356"/>
          <w:w w:val="110"/>
          <w:sz w:val="11"/>
        </w:rPr>
        <w:t>PHENOBARBITAL </w:t>
      </w:r>
      <w:r>
        <w:rPr>
          <w:color w:val="231F1F"/>
          <w:w w:val="110"/>
        </w:rPr>
        <w:t>and </w:t>
      </w:r>
      <w:r>
        <w:rPr>
          <w:rFonts w:ascii="Calibri" w:hAnsi="Calibri"/>
          <w:color w:val="008356"/>
          <w:w w:val="110"/>
          <w:sz w:val="11"/>
        </w:rPr>
        <w:t>PRIMIDONE</w:t>
      </w:r>
      <w:r>
        <w:rPr>
          <w:color w:val="231F1F"/>
          <w:w w:val="110"/>
        </w:rPr>
        <w:t>; plasma concentration of rufinamide possibly increased by </w:t>
      </w:r>
      <w:r>
        <w:rPr>
          <w:rFonts w:ascii="Calibri" w:hAnsi="Calibri"/>
          <w:color w:val="008356"/>
          <w:w w:val="110"/>
          <w:sz w:val="11"/>
        </w:rPr>
        <w:t>SODIUM VALPROATE </w:t>
      </w:r>
      <w:r>
        <w:rPr>
          <w:color w:val="231F1F"/>
          <w:w w:val="110"/>
        </w:rPr>
        <w:t>and </w:t>
      </w:r>
      <w:r>
        <w:rPr>
          <w:rFonts w:ascii="Calibri" w:hAnsi="Calibri"/>
          <w:color w:val="008356"/>
          <w:w w:val="110"/>
          <w:sz w:val="11"/>
        </w:rPr>
        <w:t>VALPROIC ACID </w:t>
      </w:r>
      <w:r>
        <w:rPr>
          <w:color w:val="231F1F"/>
          <w:w w:val="110"/>
        </w:rPr>
        <w:t>(reduce dose of rufinamide)</w:t>
      </w:r>
    </w:p>
    <w:p>
      <w:pPr>
        <w:pStyle w:val="BodyText"/>
        <w:spacing w:line="237" w:lineRule="auto"/>
        <w:ind w:right="122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right="104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146" w:lineRule="exact"/>
        <w:ind w:left="108"/>
      </w:pPr>
      <w:r>
        <w:rPr>
          <w:rFonts w:ascii="Arial"/>
          <w:color w:val="231F1F"/>
          <w:w w:val="355"/>
          <w:position w:val="1"/>
          <w:sz w:val="7"/>
        </w:rPr>
        <w:t>l </w:t>
      </w:r>
      <w:r>
        <w:rPr>
          <w:rFonts w:ascii="Calibri"/>
          <w:color w:val="231F1F"/>
          <w:w w:val="110"/>
        </w:rPr>
        <w:t>Oestrogens: </w:t>
      </w:r>
      <w:r>
        <w:rPr>
          <w:color w:val="231F1F"/>
          <w:w w:val="110"/>
        </w:rPr>
        <w:t>rufinamide accelerates metabolism of</w:t>
      </w:r>
    </w:p>
    <w:p>
      <w:pPr>
        <w:pStyle w:val="BodyText"/>
        <w:spacing w:line="244" w:lineRule="auto"/>
        <w:ind w:right="670"/>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3" w:lineRule="exact"/>
        <w:ind w:left="108"/>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Progestogens: </w:t>
      </w:r>
      <w:r>
        <w:rPr>
          <w:color w:val="231F1F"/>
          <w:w w:val="115"/>
        </w:rPr>
        <w:t>rufinamide accelerates metabolism of</w:t>
      </w:r>
    </w:p>
    <w:p>
      <w:pPr>
        <w:pStyle w:val="BodyText"/>
        <w:spacing w:line="244" w:lineRule="auto"/>
        <w:ind w:right="690" w:hanging="1"/>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PROGESTOGENS </w:t>
      </w:r>
      <w:r>
        <w:rPr>
          <w:color w:val="231F1F"/>
          <w:w w:val="110"/>
        </w:rPr>
        <w:t>(reduced contraceptive effect with combined oral contraceptives, progestogen-only oral contraceptives,</w:t>
      </w:r>
    </w:p>
    <w:p>
      <w:pPr>
        <w:spacing w:after="0" w:line="244" w:lineRule="auto"/>
        <w:sectPr>
          <w:pgSz w:w="8390" w:h="11910"/>
          <w:pgMar w:header="0" w:footer="0" w:top="460" w:bottom="0" w:left="480" w:right="0"/>
          <w:cols w:num="2" w:equalWidth="0">
            <w:col w:w="3591" w:space="8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160" filled="true" fillcolor="#bfdbcf" stroked="false">
            <v:fill type="solid"/>
            <w10:wrap type="none"/>
          </v:rect>
        </w:pict>
      </w:r>
      <w:r>
        <w:rPr/>
        <w:pict>
          <v:shape style="position:absolute;margin-left:7.751256pt;margin-top:35.804367pt;width:10.4pt;height:78.850pt;mso-position-horizontal-relative:page;mso-position-vertical-relative:page;z-index:618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Rufinamide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Progestogens (continued)</w:t>
      </w:r>
    </w:p>
    <w:p>
      <w:pPr>
        <w:pStyle w:val="BodyText"/>
        <w:spacing w:line="249" w:lineRule="auto"/>
        <w:ind w:left="286"/>
      </w:pPr>
      <w:r>
        <w:rPr>
          <w:color w:val="231F1F"/>
          <w:w w:val="115"/>
        </w:rPr>
        <w:t>contraceptive patches, vaginal rings, etonogestrel-releasing implant, and emergency hormonal contraception</w:t>
      </w:r>
      <w:r>
        <w:rPr>
          <w:rFonts w:ascii="Arial" w:hAnsi="Arial"/>
          <w:color w:val="231F1F"/>
          <w:w w:val="115"/>
        </w:rPr>
        <w:t>—</w:t>
      </w:r>
      <w:r>
        <w:rPr>
          <w:color w:val="231F1F"/>
          <w:w w:val="115"/>
        </w:rPr>
        <w:t>see Contraceptive Interactions in BNF)</w:t>
      </w:r>
    </w:p>
    <w:p>
      <w:pPr>
        <w:pStyle w:val="BodyText"/>
        <w:spacing w:before="4"/>
        <w:ind w:left="186"/>
        <w:rPr>
          <w:rFonts w:ascii="Trebuchet MS"/>
        </w:rPr>
      </w:pPr>
      <w:r>
        <w:rPr>
          <w:rFonts w:ascii="Trebuchet MS"/>
          <w:color w:val="008356"/>
        </w:rPr>
        <w:t>Ruxolitinib</w:t>
      </w:r>
    </w:p>
    <w:p>
      <w:pPr>
        <w:pStyle w:val="BodyText"/>
        <w:spacing w:line="242" w:lineRule="auto" w:before="1"/>
        <w:ind w:left="286" w:right="44" w:hanging="100"/>
        <w:rPr>
          <w:rFonts w:ascii="Calibri" w:hAnsi="Calibri"/>
          <w:sz w:val="11"/>
        </w:rPr>
      </w:pPr>
      <w:r>
        <w:rPr>
          <w:rFonts w:ascii="Arial" w:hAnsi="Arial"/>
          <w:color w:val="231F1F"/>
          <w:w w:val="355"/>
          <w:position w:val="1"/>
          <w:sz w:val="7"/>
        </w:rPr>
        <w:t>l </w:t>
      </w:r>
      <w:r>
        <w:rPr>
          <w:rFonts w:ascii="Calibri" w:hAnsi="Calibri"/>
          <w:color w:val="231F1F"/>
          <w:w w:val="115"/>
        </w:rPr>
        <w:t>Antibacterials: </w:t>
      </w:r>
      <w:r>
        <w:rPr>
          <w:color w:val="231F1F"/>
          <w:w w:val="115"/>
        </w:rPr>
        <w:t>manufacturer of ruxolitinib advises dose reduction</w:t>
      </w:r>
      <w:r>
        <w:rPr>
          <w:color w:val="231F1F"/>
          <w:spacing w:val="-24"/>
          <w:w w:val="115"/>
        </w:rPr>
        <w:t> </w:t>
      </w:r>
      <w:r>
        <w:rPr>
          <w:color w:val="231F1F"/>
          <w:w w:val="115"/>
        </w:rPr>
        <w:t>when</w:t>
      </w:r>
      <w:r>
        <w:rPr>
          <w:color w:val="231F1F"/>
          <w:spacing w:val="-23"/>
          <w:w w:val="115"/>
        </w:rPr>
        <w:t> </w:t>
      </w:r>
      <w:r>
        <w:rPr>
          <w:color w:val="231F1F"/>
          <w:w w:val="115"/>
        </w:rPr>
        <w:t>ruxolitinib</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CLARITHROMYCIN</w:t>
      </w:r>
      <w:r>
        <w:rPr>
          <w:rFonts w:ascii="Calibri" w:hAnsi="Calibri"/>
          <w:color w:val="008356"/>
          <w:spacing w:val="-14"/>
          <w:w w:val="115"/>
          <w:sz w:val="11"/>
        </w:rPr>
        <w:t> </w:t>
      </w:r>
      <w:r>
        <w:rPr>
          <w:color w:val="231F1F"/>
          <w:w w:val="115"/>
        </w:rPr>
        <w:t>and </w:t>
      </w:r>
      <w:r>
        <w:rPr>
          <w:rFonts w:ascii="Arial" w:hAnsi="Arial"/>
          <w:color w:val="231F1F"/>
          <w:w w:val="355"/>
          <w:position w:val="1"/>
          <w:sz w:val="7"/>
        </w:rPr>
        <w:t>l </w:t>
      </w:r>
      <w:r>
        <w:rPr>
          <w:rFonts w:ascii="Calibri" w:hAnsi="Calibri"/>
          <w:color w:val="008356"/>
          <w:spacing w:val="3"/>
          <w:w w:val="115"/>
          <w:sz w:val="11"/>
        </w:rPr>
        <w:t>TELITHROMYCIN</w:t>
      </w:r>
      <w:r>
        <w:rPr>
          <w:rFonts w:ascii="Arial" w:hAnsi="Arial"/>
          <w:color w:val="231F1F"/>
          <w:spacing w:val="3"/>
          <w:w w:val="115"/>
        </w:rPr>
        <w:t>—</w:t>
      </w:r>
      <w:r>
        <w:rPr>
          <w:color w:val="231F1F"/>
          <w:spacing w:val="3"/>
          <w:w w:val="115"/>
        </w:rPr>
        <w:t>consult </w:t>
      </w:r>
      <w:r>
        <w:rPr>
          <w:color w:val="231F1F"/>
          <w:w w:val="115"/>
        </w:rPr>
        <w:t>ruxolitinib product literature; plasma</w:t>
      </w:r>
      <w:r>
        <w:rPr>
          <w:color w:val="231F1F"/>
          <w:spacing w:val="-14"/>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color w:val="231F1F"/>
          <w:w w:val="115"/>
        </w:rPr>
        <w:t>ruxolitinib</w:t>
      </w:r>
      <w:r>
        <w:rPr>
          <w:color w:val="231F1F"/>
          <w:spacing w:val="-13"/>
          <w:w w:val="115"/>
        </w:rPr>
        <w:t> </w:t>
      </w:r>
      <w:r>
        <w:rPr>
          <w:color w:val="231F1F"/>
          <w:w w:val="115"/>
        </w:rPr>
        <w:t>reduced</w:t>
      </w:r>
      <w:r>
        <w:rPr>
          <w:color w:val="231F1F"/>
          <w:spacing w:val="-13"/>
          <w:w w:val="115"/>
        </w:rPr>
        <w:t> </w:t>
      </w:r>
      <w:r>
        <w:rPr>
          <w:color w:val="231F1F"/>
          <w:w w:val="115"/>
        </w:rPr>
        <w:t>by</w:t>
      </w:r>
      <w:r>
        <w:rPr>
          <w:color w:val="231F1F"/>
          <w:spacing w:val="-13"/>
          <w:w w:val="115"/>
        </w:rPr>
        <w:t> </w:t>
      </w:r>
      <w:r>
        <w:rPr>
          <w:rFonts w:ascii="Calibri" w:hAnsi="Calibri"/>
          <w:color w:val="008356"/>
          <w:spacing w:val="4"/>
          <w:w w:val="115"/>
          <w:sz w:val="11"/>
        </w:rPr>
        <w:t>RIFAMPICIN</w:t>
      </w:r>
    </w:p>
    <w:p>
      <w:pPr>
        <w:pStyle w:val="BodyText"/>
        <w:spacing w:line="141" w:lineRule="exact"/>
        <w:ind w:left="186"/>
      </w:pPr>
      <w:r>
        <w:rPr>
          <w:rFonts w:ascii="Arial"/>
          <w:color w:val="231F1F"/>
          <w:w w:val="355"/>
          <w:position w:val="1"/>
          <w:sz w:val="7"/>
        </w:rPr>
        <w:t>l </w:t>
      </w:r>
      <w:r>
        <w:rPr>
          <w:rFonts w:ascii="Calibri"/>
          <w:color w:val="231F1F"/>
          <w:w w:val="115"/>
        </w:rPr>
        <w:t>Antifungals: </w:t>
      </w:r>
      <w:r>
        <w:rPr>
          <w:color w:val="231F1F"/>
          <w:w w:val="115"/>
        </w:rPr>
        <w:t>manufacturer of ruxolitinib advises dose</w:t>
      </w:r>
    </w:p>
    <w:p>
      <w:pPr>
        <w:spacing w:before="0"/>
        <w:ind w:left="286" w:right="0" w:firstLine="0"/>
        <w:jc w:val="left"/>
        <w:rPr>
          <w:sz w:val="12"/>
        </w:rPr>
      </w:pPr>
      <w:r>
        <w:rPr>
          <w:color w:val="231F1F"/>
          <w:w w:val="110"/>
          <w:sz w:val="12"/>
        </w:rPr>
        <w:t>reduction when ruxolitinib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FLUCONAZOLE</w:t>
      </w:r>
      <w:r>
        <w:rPr>
          <w:color w:val="231F1F"/>
          <w:spacing w:val="4"/>
          <w:w w:val="110"/>
          <w:sz w:val="12"/>
        </w:rPr>
        <w:t>,</w:t>
      </w:r>
    </w:p>
    <w:p>
      <w:pPr>
        <w:spacing w:before="1"/>
        <w:ind w:left="286" w:right="0" w:firstLine="0"/>
        <w:jc w:val="left"/>
        <w:rPr>
          <w:sz w:val="12"/>
        </w:rPr>
      </w:pPr>
      <w:r>
        <w:rPr>
          <w:rFonts w:ascii="Arial"/>
          <w:color w:val="231F1F"/>
          <w:w w:val="110"/>
          <w:position w:val="1"/>
          <w:sz w:val="7"/>
        </w:rPr>
        <w:t>l</w:t>
      </w:r>
      <w:r>
        <w:rPr>
          <w:rFonts w:ascii="Arial"/>
          <w:color w:val="231F1F"/>
          <w:spacing w:val="-9"/>
          <w:w w:val="110"/>
          <w:position w:val="1"/>
          <w:sz w:val="7"/>
        </w:rPr>
        <w:t> </w:t>
      </w:r>
      <w:r>
        <w:rPr>
          <w:rFonts w:ascii="Calibri"/>
          <w:color w:val="008356"/>
          <w:spacing w:val="4"/>
          <w:w w:val="110"/>
          <w:sz w:val="11"/>
        </w:rPr>
        <w:t>ITRACONAZOLE</w:t>
      </w:r>
      <w:r>
        <w:rPr>
          <w:color w:val="231F1F"/>
          <w:spacing w:val="4"/>
          <w:w w:val="110"/>
          <w:sz w:val="12"/>
        </w:rPr>
        <w:t>,</w:t>
      </w:r>
      <w:r>
        <w:rPr>
          <w:color w:val="231F1F"/>
          <w:spacing w:val="-18"/>
          <w:w w:val="110"/>
          <w:sz w:val="12"/>
        </w:rPr>
        <w:t> </w:t>
      </w:r>
      <w:r>
        <w:rPr>
          <w:rFonts w:ascii="Arial"/>
          <w:color w:val="231F1F"/>
          <w:w w:val="110"/>
          <w:position w:val="1"/>
          <w:sz w:val="7"/>
        </w:rPr>
        <w:t>l</w:t>
      </w:r>
      <w:r>
        <w:rPr>
          <w:rFonts w:ascii="Arial"/>
          <w:color w:val="231F1F"/>
          <w:spacing w:val="-8"/>
          <w:w w:val="110"/>
          <w:position w:val="1"/>
          <w:sz w:val="7"/>
        </w:rPr>
        <w:t> </w:t>
      </w:r>
      <w:r>
        <w:rPr>
          <w:rFonts w:ascii="Calibri"/>
          <w:color w:val="008356"/>
          <w:spacing w:val="4"/>
          <w:w w:val="110"/>
          <w:sz w:val="11"/>
        </w:rPr>
        <w:t>KETOCONAZOLE</w:t>
      </w:r>
      <w:r>
        <w:rPr>
          <w:color w:val="231F1F"/>
          <w:spacing w:val="4"/>
          <w:w w:val="110"/>
          <w:sz w:val="12"/>
        </w:rPr>
        <w:t>,</w:t>
      </w:r>
      <w:r>
        <w:rPr>
          <w:color w:val="231F1F"/>
          <w:spacing w:val="-18"/>
          <w:w w:val="110"/>
          <w:sz w:val="12"/>
        </w:rPr>
        <w:t> </w:t>
      </w:r>
      <w:r>
        <w:rPr>
          <w:rFonts w:ascii="Arial"/>
          <w:color w:val="231F1F"/>
          <w:w w:val="110"/>
          <w:position w:val="1"/>
          <w:sz w:val="7"/>
        </w:rPr>
        <w:t>l</w:t>
      </w:r>
      <w:r>
        <w:rPr>
          <w:rFonts w:ascii="Arial"/>
          <w:color w:val="231F1F"/>
          <w:spacing w:val="-8"/>
          <w:w w:val="110"/>
          <w:position w:val="1"/>
          <w:sz w:val="7"/>
        </w:rPr>
        <w:t> </w:t>
      </w:r>
      <w:r>
        <w:rPr>
          <w:rFonts w:ascii="Calibri"/>
          <w:color w:val="008356"/>
          <w:spacing w:val="4"/>
          <w:w w:val="110"/>
          <w:sz w:val="11"/>
        </w:rPr>
        <w:t>POSACONAZOLE</w:t>
      </w:r>
      <w:r>
        <w:rPr>
          <w:rFonts w:ascii="Calibri"/>
          <w:color w:val="008356"/>
          <w:spacing w:val="-10"/>
          <w:w w:val="110"/>
          <w:sz w:val="11"/>
        </w:rPr>
        <w:t> </w:t>
      </w:r>
      <w:r>
        <w:rPr>
          <w:color w:val="231F1F"/>
          <w:w w:val="110"/>
          <w:sz w:val="12"/>
        </w:rPr>
        <w:t>and</w:t>
      </w:r>
    </w:p>
    <w:p>
      <w:pPr>
        <w:spacing w:line="141" w:lineRule="exact" w:before="2"/>
        <w:ind w:left="286" w:right="0" w:firstLine="0"/>
        <w:jc w:val="left"/>
        <w:rPr>
          <w:sz w:val="12"/>
        </w:rPr>
      </w:pPr>
      <w:r>
        <w:rPr>
          <w:rFonts w:ascii="Arial" w:hAnsi="Arial"/>
          <w:color w:val="231F1F"/>
          <w:w w:val="110"/>
          <w:position w:val="1"/>
          <w:sz w:val="7"/>
        </w:rPr>
        <w:t>l  </w:t>
      </w:r>
      <w:r>
        <w:rPr>
          <w:rFonts w:ascii="Calibri" w:hAnsi="Calibri"/>
          <w:color w:val="008356"/>
          <w:spacing w:val="2"/>
          <w:w w:val="110"/>
          <w:sz w:val="11"/>
        </w:rPr>
        <w:t>VORICONAZOLE</w:t>
      </w:r>
      <w:r>
        <w:rPr>
          <w:rFonts w:ascii="Arial" w:hAnsi="Arial"/>
          <w:color w:val="231F1F"/>
          <w:spacing w:val="2"/>
          <w:w w:val="110"/>
          <w:sz w:val="12"/>
        </w:rPr>
        <w:t>—</w:t>
      </w:r>
      <w:r>
        <w:rPr>
          <w:color w:val="231F1F"/>
          <w:spacing w:val="2"/>
          <w:w w:val="110"/>
          <w:sz w:val="12"/>
        </w:rPr>
        <w:t>consult </w:t>
      </w:r>
      <w:r>
        <w:rPr>
          <w:color w:val="231F1F"/>
          <w:w w:val="110"/>
          <w:sz w:val="12"/>
        </w:rPr>
        <w:t>ruxolitinib product</w:t>
      </w:r>
      <w:r>
        <w:rPr>
          <w:color w:val="231F1F"/>
          <w:spacing w:val="21"/>
          <w:w w:val="110"/>
          <w:sz w:val="12"/>
        </w:rPr>
        <w:t> </w:t>
      </w:r>
      <w:r>
        <w:rPr>
          <w:color w:val="231F1F"/>
          <w:w w:val="110"/>
          <w:sz w:val="12"/>
        </w:rPr>
        <w:t>literature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before="0"/>
        <w:ind w:left="286" w:right="49" w:hanging="100"/>
        <w:jc w:val="left"/>
        <w:rPr>
          <w:sz w:val="12"/>
        </w:rPr>
      </w:pPr>
      <w:r>
        <w:rPr>
          <w:rFonts w:ascii="Arial"/>
          <w:color w:val="231F1F"/>
          <w:w w:val="355"/>
          <w:position w:val="1"/>
          <w:sz w:val="7"/>
        </w:rPr>
        <w:t>l</w:t>
      </w:r>
      <w:r>
        <w:rPr>
          <w:rFonts w:ascii="Arial"/>
          <w:color w:val="231F1F"/>
          <w:spacing w:val="-43"/>
          <w:w w:val="355"/>
          <w:position w:val="1"/>
          <w:sz w:val="7"/>
        </w:rPr>
        <w:t> </w:t>
      </w:r>
      <w:r>
        <w:rPr>
          <w:rFonts w:ascii="Calibri"/>
          <w:color w:val="231F1F"/>
          <w:w w:val="115"/>
          <w:sz w:val="12"/>
        </w:rPr>
        <w:t>Antivirals:</w:t>
      </w:r>
      <w:r>
        <w:rPr>
          <w:rFonts w:ascii="Calibri"/>
          <w:color w:val="231F1F"/>
          <w:spacing w:val="-10"/>
          <w:w w:val="115"/>
          <w:sz w:val="12"/>
        </w:rPr>
        <w:t> </w:t>
      </w:r>
      <w:r>
        <w:rPr>
          <w:color w:val="231F1F"/>
          <w:w w:val="115"/>
          <w:sz w:val="12"/>
        </w:rPr>
        <w:t>manufacturer</w:t>
      </w:r>
      <w:r>
        <w:rPr>
          <w:color w:val="231F1F"/>
          <w:spacing w:val="-14"/>
          <w:w w:val="115"/>
          <w:sz w:val="12"/>
        </w:rPr>
        <w:t> </w:t>
      </w:r>
      <w:r>
        <w:rPr>
          <w:color w:val="231F1F"/>
          <w:w w:val="115"/>
          <w:sz w:val="12"/>
        </w:rPr>
        <w:t>of</w:t>
      </w:r>
      <w:r>
        <w:rPr>
          <w:color w:val="231F1F"/>
          <w:spacing w:val="-13"/>
          <w:w w:val="115"/>
          <w:sz w:val="12"/>
        </w:rPr>
        <w:t> </w:t>
      </w:r>
      <w:r>
        <w:rPr>
          <w:color w:val="231F1F"/>
          <w:w w:val="115"/>
          <w:sz w:val="12"/>
        </w:rPr>
        <w:t>ruxolitinib</w:t>
      </w:r>
      <w:r>
        <w:rPr>
          <w:color w:val="231F1F"/>
          <w:spacing w:val="-15"/>
          <w:w w:val="115"/>
          <w:sz w:val="12"/>
        </w:rPr>
        <w:t> </w:t>
      </w:r>
      <w:r>
        <w:rPr>
          <w:color w:val="231F1F"/>
          <w:w w:val="115"/>
          <w:sz w:val="12"/>
        </w:rPr>
        <w:t>advises</w:t>
      </w:r>
      <w:r>
        <w:rPr>
          <w:color w:val="231F1F"/>
          <w:spacing w:val="-13"/>
          <w:w w:val="115"/>
          <w:sz w:val="12"/>
        </w:rPr>
        <w:t> </w:t>
      </w:r>
      <w:r>
        <w:rPr>
          <w:color w:val="231F1F"/>
          <w:w w:val="115"/>
          <w:sz w:val="12"/>
        </w:rPr>
        <w:t>dose</w:t>
      </w:r>
      <w:r>
        <w:rPr>
          <w:color w:val="231F1F"/>
          <w:spacing w:val="-14"/>
          <w:w w:val="115"/>
          <w:sz w:val="12"/>
        </w:rPr>
        <w:t> </w:t>
      </w:r>
      <w:r>
        <w:rPr>
          <w:color w:val="231F1F"/>
          <w:w w:val="115"/>
          <w:sz w:val="12"/>
        </w:rPr>
        <w:t>reduction when</w:t>
      </w:r>
      <w:r>
        <w:rPr>
          <w:color w:val="231F1F"/>
          <w:spacing w:val="-13"/>
          <w:w w:val="115"/>
          <w:sz w:val="12"/>
        </w:rPr>
        <w:t> </w:t>
      </w:r>
      <w:r>
        <w:rPr>
          <w:color w:val="231F1F"/>
          <w:w w:val="115"/>
          <w:sz w:val="12"/>
        </w:rPr>
        <w:t>ruxolitinib</w:t>
      </w:r>
      <w:r>
        <w:rPr>
          <w:color w:val="231F1F"/>
          <w:spacing w:val="-14"/>
          <w:w w:val="115"/>
          <w:sz w:val="12"/>
        </w:rPr>
        <w:t> </w:t>
      </w:r>
      <w:r>
        <w:rPr>
          <w:color w:val="231F1F"/>
          <w:w w:val="115"/>
          <w:sz w:val="12"/>
        </w:rPr>
        <w:t>given</w:t>
      </w:r>
      <w:r>
        <w:rPr>
          <w:color w:val="231F1F"/>
          <w:spacing w:val="-12"/>
          <w:w w:val="115"/>
          <w:sz w:val="12"/>
        </w:rPr>
        <w:t> </w:t>
      </w:r>
      <w:r>
        <w:rPr>
          <w:color w:val="231F1F"/>
          <w:w w:val="115"/>
          <w:sz w:val="12"/>
        </w:rPr>
        <w:t>with</w:t>
      </w:r>
      <w:r>
        <w:rPr>
          <w:color w:val="231F1F"/>
          <w:spacing w:val="-13"/>
          <w:w w:val="115"/>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5"/>
          <w:sz w:val="11"/>
        </w:rPr>
        <w:t>BOCEPREVIR</w:t>
      </w:r>
      <w:r>
        <w:rPr>
          <w:color w:val="231F1F"/>
          <w:spacing w:val="4"/>
          <w:w w:val="115"/>
          <w:sz w:val="12"/>
        </w:rPr>
        <w:t>,</w:t>
      </w:r>
      <w:r>
        <w:rPr>
          <w:color w:val="231F1F"/>
          <w:spacing w:val="-12"/>
          <w:w w:val="115"/>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5"/>
          <w:sz w:val="11"/>
        </w:rPr>
        <w:t>INDINAVIR</w:t>
      </w:r>
      <w:r>
        <w:rPr>
          <w:color w:val="231F1F"/>
          <w:spacing w:val="4"/>
          <w:w w:val="115"/>
          <w:sz w:val="12"/>
        </w:rPr>
        <w:t>,</w:t>
      </w:r>
    </w:p>
    <w:p>
      <w:pPr>
        <w:spacing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LOPINAVIR</w:t>
      </w:r>
      <w:r>
        <w:rPr>
          <w:color w:val="231F1F"/>
          <w:spacing w:val="3"/>
          <w:w w:val="115"/>
          <w:sz w:val="12"/>
        </w:rPr>
        <w:t>,</w:t>
      </w:r>
      <w:r>
        <w:rPr>
          <w:color w:val="231F1F"/>
          <w:spacing w:val="-23"/>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RITONAVIR</w:t>
      </w:r>
      <w:r>
        <w:rPr>
          <w:color w:val="231F1F"/>
          <w:spacing w:val="3"/>
          <w:w w:val="115"/>
          <w:sz w:val="12"/>
        </w:rPr>
        <w:t>,</w:t>
      </w:r>
      <w:r>
        <w:rPr>
          <w:color w:val="231F1F"/>
          <w:spacing w:val="-23"/>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4"/>
          <w:w w:val="115"/>
          <w:sz w:val="11"/>
        </w:rPr>
        <w:t>SAQUINAVIR</w:t>
      </w:r>
      <w:r>
        <w:rPr>
          <w:rFonts w:ascii="Calibri" w:hAnsi="Calibri"/>
          <w:color w:val="008356"/>
          <w:spacing w:val="-15"/>
          <w:w w:val="115"/>
          <w:sz w:val="11"/>
        </w:rPr>
        <w:t> </w:t>
      </w:r>
      <w:r>
        <w:rPr>
          <w:color w:val="231F1F"/>
          <w:w w:val="115"/>
          <w:sz w:val="12"/>
        </w:rPr>
        <w:t>and</w:t>
      </w:r>
      <w:r>
        <w:rPr>
          <w:color w:val="231F1F"/>
          <w:spacing w:val="-24"/>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TELAPREVIR</w:t>
      </w:r>
      <w:r>
        <w:rPr>
          <w:rFonts w:ascii="Arial" w:hAnsi="Arial"/>
          <w:color w:val="231F1F"/>
          <w:spacing w:val="4"/>
          <w:w w:val="115"/>
          <w:sz w:val="12"/>
        </w:rPr>
        <w:t>—</w:t>
      </w:r>
    </w:p>
    <w:p>
      <w:pPr>
        <w:pStyle w:val="BodyText"/>
        <w:spacing w:before="2"/>
        <w:ind w:left="286"/>
      </w:pPr>
      <w:r>
        <w:rPr>
          <w:color w:val="231F1F"/>
          <w:w w:val="115"/>
        </w:rPr>
        <w:t>consult ruxolitinib product literature</w:t>
      </w:r>
    </w:p>
    <w:p>
      <w:pPr>
        <w:pStyle w:val="BodyText"/>
        <w:spacing w:before="10"/>
        <w:ind w:left="186"/>
        <w:rPr>
          <w:rFonts w:ascii="Trebuchet MS" w:hAnsi="Trebuchet MS"/>
        </w:rPr>
      </w:pPr>
      <w:r>
        <w:rPr>
          <w:rFonts w:ascii="Trebuchet MS" w:hAnsi="Trebuchet MS"/>
          <w:color w:val="008356"/>
          <w:w w:val="105"/>
        </w:rPr>
        <w:t>St John</w:t>
      </w:r>
      <w:r>
        <w:rPr>
          <w:rFonts w:ascii="Arial" w:hAnsi="Arial"/>
          <w:color w:val="008356"/>
          <w:w w:val="105"/>
        </w:rPr>
        <w:t>’</w:t>
      </w:r>
      <w:r>
        <w:rPr>
          <w:rFonts w:ascii="Trebuchet MS" w:hAnsi="Trebuchet MS"/>
          <w:color w:val="008356"/>
          <w:w w:val="105"/>
        </w:rPr>
        <w:t>s Wort</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St John</w:t>
      </w:r>
      <w:r>
        <w:rPr>
          <w:rFonts w:ascii="Arial" w:hAnsi="Arial"/>
          <w:color w:val="231F1F"/>
          <w:w w:val="105"/>
        </w:rPr>
        <w:t>’</w:t>
      </w:r>
      <w:r>
        <w:rPr>
          <w:color w:val="231F1F"/>
          <w:w w:val="105"/>
        </w:rPr>
        <w:t>s wort possibly reduces plasma concentration of </w:t>
      </w:r>
      <w:r>
        <w:rPr>
          <w:rFonts w:ascii="Calibri" w:hAnsi="Calibri"/>
          <w:color w:val="008356"/>
          <w:w w:val="105"/>
          <w:sz w:val="11"/>
        </w:rPr>
        <w:t>AMINOPHYLLINE</w:t>
      </w:r>
    </w:p>
    <w:p>
      <w:pPr>
        <w:pStyle w:val="BodyText"/>
        <w:spacing w:line="220" w:lineRule="auto" w:before="8"/>
        <w:ind w:left="286" w:right="490"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St John</w:t>
      </w:r>
      <w:r>
        <w:rPr>
          <w:rFonts w:ascii="Arial" w:hAnsi="Arial"/>
          <w:color w:val="231F1F"/>
          <w:w w:val="105"/>
        </w:rPr>
        <w:t>’</w:t>
      </w:r>
      <w:r>
        <w:rPr>
          <w:color w:val="231F1F"/>
          <w:w w:val="105"/>
        </w:rPr>
        <w:t>s wort possibly reduces plasma concentration of </w:t>
      </w:r>
      <w:r>
        <w:rPr>
          <w:rFonts w:ascii="Calibri" w:hAnsi="Calibri"/>
          <w:color w:val="008356"/>
          <w:w w:val="105"/>
          <w:sz w:val="11"/>
        </w:rPr>
        <w:t>METHADONE</w:t>
      </w:r>
    </w:p>
    <w:p>
      <w:pPr>
        <w:pStyle w:val="BodyText"/>
        <w:spacing w:before="1"/>
        <w:ind w:left="286" w:hanging="100"/>
      </w:pPr>
      <w:r>
        <w:rPr>
          <w:rFonts w:ascii="Arial" w:hAnsi="Arial"/>
          <w:color w:val="231F1F"/>
          <w:w w:val="355"/>
          <w:position w:val="1"/>
          <w:sz w:val="7"/>
        </w:rPr>
        <w:t>l </w:t>
      </w:r>
      <w:r>
        <w:rPr>
          <w:rFonts w:ascii="Calibri" w:hAnsi="Calibri"/>
          <w:color w:val="231F1F"/>
          <w:w w:val="110"/>
        </w:rPr>
        <w:t>Anti-arrhythmics: </w:t>
      </w:r>
      <w:r>
        <w:rPr>
          <w:color w:val="231F1F"/>
          <w:w w:val="110"/>
        </w:rPr>
        <w:t>St John</w:t>
      </w:r>
      <w:r>
        <w:rPr>
          <w:rFonts w:ascii="Arial" w:hAnsi="Arial"/>
          <w:color w:val="231F1F"/>
          <w:w w:val="110"/>
        </w:rPr>
        <w:t>’</w:t>
      </w:r>
      <w:r>
        <w:rPr>
          <w:color w:val="231F1F"/>
          <w:w w:val="110"/>
        </w:rPr>
        <w:t>s wort possibly reduces plasma concentration of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w:t>
      </w:r>
    </w:p>
    <w:p>
      <w:pPr>
        <w:pStyle w:val="BodyText"/>
        <w:spacing w:line="242" w:lineRule="auto"/>
        <w:ind w:left="286" w:right="80" w:hanging="100"/>
      </w:pPr>
      <w:r>
        <w:rPr>
          <w:rFonts w:ascii="Arial" w:hAnsi="Arial"/>
          <w:color w:val="231F1F"/>
          <w:w w:val="355"/>
          <w:position w:val="1"/>
          <w:sz w:val="7"/>
        </w:rPr>
        <w:t>l </w:t>
      </w:r>
      <w:r>
        <w:rPr>
          <w:rFonts w:ascii="Calibri" w:hAnsi="Calibri"/>
          <w:color w:val="231F1F"/>
          <w:w w:val="115"/>
        </w:rPr>
        <w:t>Antibacterials: </w:t>
      </w:r>
      <w:r>
        <w:rPr>
          <w:color w:val="231F1F"/>
          <w:w w:val="115"/>
        </w:rPr>
        <w:t>St John</w:t>
      </w:r>
      <w:r>
        <w:rPr>
          <w:rFonts w:ascii="Arial" w:hAnsi="Arial"/>
          <w:color w:val="231F1F"/>
          <w:w w:val="115"/>
        </w:rPr>
        <w:t>’</w:t>
      </w:r>
      <w:r>
        <w:rPr>
          <w:color w:val="231F1F"/>
          <w:w w:val="115"/>
        </w:rPr>
        <w:t>s wort possibly reduces plasma </w:t>
      </w:r>
      <w:r>
        <w:rPr>
          <w:color w:val="231F1F"/>
          <w:w w:val="110"/>
        </w:rPr>
        <w:t>concentration of </w:t>
      </w:r>
      <w:r>
        <w:rPr>
          <w:rFonts w:ascii="Calibri" w:hAnsi="Calibri"/>
          <w:color w:val="008356"/>
          <w:spacing w:val="2"/>
          <w:w w:val="110"/>
          <w:sz w:val="11"/>
        </w:rPr>
        <w:t>BEDAQUILINE</w:t>
      </w:r>
      <w:r>
        <w:rPr>
          <w:rFonts w:ascii="Arial" w:hAnsi="Arial"/>
          <w:color w:val="231F1F"/>
          <w:spacing w:val="2"/>
          <w:w w:val="110"/>
        </w:rPr>
        <w:t>—</w:t>
      </w:r>
      <w:r>
        <w:rPr>
          <w:color w:val="231F1F"/>
          <w:spacing w:val="2"/>
          <w:w w:val="110"/>
        </w:rPr>
        <w:t>manufacturer </w:t>
      </w:r>
      <w:r>
        <w:rPr>
          <w:color w:val="231F1F"/>
          <w:w w:val="110"/>
        </w:rPr>
        <w:t>of bedaquiline </w:t>
      </w:r>
      <w:r>
        <w:rPr>
          <w:color w:val="231F1F"/>
          <w:w w:val="115"/>
        </w:rPr>
        <w:t>advises avoid concomitant use; St John</w:t>
      </w:r>
      <w:r>
        <w:rPr>
          <w:rFonts w:ascii="Arial" w:hAnsi="Arial"/>
          <w:color w:val="231F1F"/>
          <w:w w:val="115"/>
        </w:rPr>
        <w:t>’</w:t>
      </w:r>
      <w:r>
        <w:rPr>
          <w:color w:val="231F1F"/>
          <w:w w:val="115"/>
        </w:rPr>
        <w:t>s wort reduces plasma</w:t>
      </w:r>
      <w:r>
        <w:rPr>
          <w:color w:val="231F1F"/>
          <w:spacing w:val="-19"/>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TELITHROMYCIN</w:t>
      </w:r>
      <w:r>
        <w:rPr>
          <w:rFonts w:ascii="Calibri" w:hAnsi="Calibri"/>
          <w:color w:val="008356"/>
          <w:spacing w:val="-9"/>
          <w:w w:val="115"/>
          <w:sz w:val="11"/>
        </w:rPr>
        <w:t> </w:t>
      </w:r>
      <w:r>
        <w:rPr>
          <w:color w:val="231F1F"/>
          <w:w w:val="115"/>
        </w:rPr>
        <w:t>(avoid</w:t>
      </w:r>
      <w:r>
        <w:rPr>
          <w:color w:val="231F1F"/>
          <w:spacing w:val="-18"/>
          <w:w w:val="115"/>
        </w:rPr>
        <w:t> </w:t>
      </w:r>
      <w:r>
        <w:rPr>
          <w:color w:val="231F1F"/>
          <w:w w:val="115"/>
        </w:rPr>
        <w:t>during</w:t>
      </w:r>
      <w:r>
        <w:rPr>
          <w:color w:val="231F1F"/>
          <w:spacing w:val="-19"/>
          <w:w w:val="115"/>
        </w:rPr>
        <w:t> </w:t>
      </w:r>
      <w:r>
        <w:rPr>
          <w:color w:val="231F1F"/>
          <w:w w:val="115"/>
        </w:rPr>
        <w:t>and for 2 weeks after St John</w:t>
      </w:r>
      <w:r>
        <w:rPr>
          <w:rFonts w:ascii="Arial" w:hAnsi="Arial"/>
          <w:color w:val="231F1F"/>
          <w:w w:val="115"/>
        </w:rPr>
        <w:t>’</w:t>
      </w:r>
      <w:r>
        <w:rPr>
          <w:color w:val="231F1F"/>
          <w:w w:val="115"/>
        </w:rPr>
        <w:t>s</w:t>
      </w:r>
      <w:r>
        <w:rPr>
          <w:color w:val="231F1F"/>
          <w:spacing w:val="-23"/>
          <w:w w:val="115"/>
        </w:rPr>
        <w:t> </w:t>
      </w:r>
      <w:r>
        <w:rPr>
          <w:color w:val="231F1F"/>
          <w:w w:val="115"/>
        </w:rPr>
        <w:t>wort)</w:t>
      </w:r>
    </w:p>
    <w:p>
      <w:pPr>
        <w:pStyle w:val="BodyText"/>
        <w:spacing w:line="244" w:lineRule="auto"/>
        <w:ind w:left="286" w:right="66" w:hanging="100"/>
      </w:pPr>
      <w:r>
        <w:rPr>
          <w:rFonts w:ascii="Arial" w:hAnsi="Arial"/>
          <w:color w:val="231F1F"/>
          <w:w w:val="355"/>
          <w:position w:val="1"/>
          <w:sz w:val="7"/>
        </w:rPr>
        <w:t>l </w:t>
      </w:r>
      <w:r>
        <w:rPr>
          <w:rFonts w:ascii="Calibri" w:hAnsi="Calibri"/>
          <w:color w:val="231F1F"/>
          <w:w w:val="115"/>
        </w:rPr>
        <w:t>Anticoagulants: </w:t>
      </w:r>
      <w:r>
        <w:rPr>
          <w:color w:val="231F1F"/>
          <w:w w:val="115"/>
        </w:rPr>
        <w:t>St John</w:t>
      </w:r>
      <w:r>
        <w:rPr>
          <w:rFonts w:ascii="Arial" w:hAnsi="Arial"/>
          <w:color w:val="231F1F"/>
          <w:w w:val="115"/>
        </w:rPr>
        <w:t>’</w:t>
      </w:r>
      <w:r>
        <w:rPr>
          <w:color w:val="231F1F"/>
          <w:w w:val="115"/>
        </w:rPr>
        <w:t>s wort possibly reduces plasma concentration of </w:t>
      </w:r>
      <w:r>
        <w:rPr>
          <w:rFonts w:ascii="Arial" w:hAnsi="Arial"/>
          <w:color w:val="231F1F"/>
          <w:w w:val="355"/>
          <w:position w:val="1"/>
          <w:sz w:val="7"/>
        </w:rPr>
        <w:t>l </w:t>
      </w:r>
      <w:r>
        <w:rPr>
          <w:rFonts w:ascii="Calibri" w:hAnsi="Calibri"/>
          <w:color w:val="008356"/>
          <w:w w:val="115"/>
          <w:sz w:val="11"/>
        </w:rPr>
        <w:t>APIXABAN</w:t>
      </w:r>
      <w:r>
        <w:rPr>
          <w:rFonts w:ascii="Arial" w:hAnsi="Arial"/>
          <w:color w:val="231F1F"/>
          <w:w w:val="115"/>
        </w:rPr>
        <w:t>—</w:t>
      </w:r>
      <w:r>
        <w:rPr>
          <w:color w:val="231F1F"/>
          <w:w w:val="115"/>
        </w:rPr>
        <w:t>manufacturer of apixaban advises avoid concomitant use when given for treatment of deep-vein thrombosis or pulmonary embolism; St John</w:t>
      </w:r>
      <w:r>
        <w:rPr>
          <w:rFonts w:ascii="Arial" w:hAnsi="Arial"/>
          <w:color w:val="231F1F"/>
          <w:w w:val="115"/>
        </w:rPr>
        <w:t>’</w:t>
      </w:r>
      <w:r>
        <w:rPr>
          <w:color w:val="231F1F"/>
          <w:w w:val="115"/>
        </w:rPr>
        <w:t>s wort reduces anticoagulant effect of </w:t>
      </w:r>
      <w:r>
        <w:rPr>
          <w:rFonts w:ascii="Arial" w:hAnsi="Arial"/>
          <w:color w:val="231F1F"/>
          <w:w w:val="355"/>
          <w:position w:val="1"/>
          <w:sz w:val="7"/>
        </w:rPr>
        <w:t>l </w:t>
      </w:r>
      <w:r>
        <w:rPr>
          <w:rFonts w:ascii="Calibri" w:hAnsi="Calibri"/>
          <w:color w:val="008356"/>
          <w:w w:val="115"/>
          <w:sz w:val="11"/>
        </w:rPr>
        <w:t>COUMARINS </w:t>
      </w:r>
      <w:r>
        <w:rPr>
          <w:color w:val="231F1F"/>
          <w:w w:val="115"/>
        </w:rPr>
        <w:t>(avoid concomitant use); St John</w:t>
      </w:r>
      <w:r>
        <w:rPr>
          <w:rFonts w:ascii="Arial" w:hAnsi="Arial"/>
          <w:color w:val="231F1F"/>
          <w:w w:val="115"/>
        </w:rPr>
        <w:t>’</w:t>
      </w:r>
      <w:r>
        <w:rPr>
          <w:color w:val="231F1F"/>
          <w:w w:val="115"/>
        </w:rPr>
        <w:t>s wort possibly reduces plasma concentration of </w:t>
      </w:r>
      <w:r>
        <w:rPr>
          <w:rFonts w:ascii="Calibri" w:hAnsi="Calibri"/>
          <w:color w:val="008356"/>
          <w:w w:val="115"/>
          <w:sz w:val="11"/>
        </w:rPr>
        <w:t>DABIGATRAN</w:t>
      </w:r>
      <w:r>
        <w:rPr>
          <w:rFonts w:ascii="Arial" w:hAnsi="Arial"/>
          <w:color w:val="231F1F"/>
          <w:w w:val="115"/>
        </w:rPr>
        <w:t>—</w:t>
      </w:r>
      <w:r>
        <w:rPr>
          <w:color w:val="231F1F"/>
          <w:w w:val="115"/>
        </w:rPr>
        <w:t>manufacturer of dabigatran advises avoid concomitant use; St John</w:t>
      </w:r>
      <w:r>
        <w:rPr>
          <w:rFonts w:ascii="Arial" w:hAnsi="Arial"/>
          <w:color w:val="231F1F"/>
          <w:w w:val="115"/>
        </w:rPr>
        <w:t>’</w:t>
      </w:r>
      <w:r>
        <w:rPr>
          <w:color w:val="231F1F"/>
          <w:w w:val="115"/>
        </w:rPr>
        <w:t>s wort possibly reduces plasma concentration of </w:t>
      </w:r>
      <w:r>
        <w:rPr>
          <w:rFonts w:ascii="Arial" w:hAnsi="Arial"/>
          <w:color w:val="231F1F"/>
          <w:w w:val="355"/>
          <w:position w:val="1"/>
          <w:sz w:val="7"/>
        </w:rPr>
        <w:t>l </w:t>
      </w:r>
      <w:r>
        <w:rPr>
          <w:rFonts w:ascii="Calibri" w:hAnsi="Calibri"/>
          <w:color w:val="008356"/>
          <w:w w:val="115"/>
          <w:sz w:val="11"/>
        </w:rPr>
        <w:t>RIVAROXABAN</w:t>
      </w:r>
      <w:r>
        <w:rPr>
          <w:rFonts w:ascii="Arial" w:hAnsi="Arial"/>
          <w:color w:val="231F1F"/>
          <w:w w:val="115"/>
        </w:rPr>
        <w:t>— </w:t>
      </w:r>
      <w:r>
        <w:rPr>
          <w:color w:val="231F1F"/>
          <w:w w:val="115"/>
        </w:rPr>
        <w:t>manufacturer of rivaroxaban advises monitor for signs of thrombosis</w:t>
      </w:r>
    </w:p>
    <w:p>
      <w:pPr>
        <w:pStyle w:val="BodyText"/>
        <w:spacing w:line="242" w:lineRule="auto"/>
        <w:ind w:left="286" w:right="19" w:hanging="100"/>
      </w:pPr>
      <w:r>
        <w:rPr>
          <w:rFonts w:ascii="Arial" w:hAnsi="Arial"/>
          <w:color w:val="231F1F"/>
          <w:w w:val="355"/>
          <w:position w:val="1"/>
          <w:sz w:val="7"/>
        </w:rPr>
        <w:t>l </w:t>
      </w:r>
      <w:r>
        <w:rPr>
          <w:rFonts w:ascii="Calibri" w:hAnsi="Calibri"/>
          <w:color w:val="231F1F"/>
          <w:w w:val="110"/>
        </w:rPr>
        <w:t>Antidepressants: </w:t>
      </w:r>
      <w:r>
        <w:rPr>
          <w:color w:val="231F1F"/>
          <w:w w:val="110"/>
        </w:rPr>
        <w:t>possible increased serotonergic effects when St John</w:t>
      </w:r>
      <w:r>
        <w:rPr>
          <w:rFonts w:ascii="Arial" w:hAnsi="Arial"/>
          <w:color w:val="231F1F"/>
          <w:w w:val="110"/>
        </w:rPr>
        <w:t>’</w:t>
      </w:r>
      <w:r>
        <w:rPr>
          <w:color w:val="231F1F"/>
          <w:w w:val="110"/>
        </w:rPr>
        <w:t>s wort given with </w:t>
      </w:r>
      <w:r>
        <w:rPr>
          <w:rFonts w:ascii="Calibri" w:hAnsi="Calibri"/>
          <w:color w:val="008356"/>
          <w:spacing w:val="4"/>
          <w:w w:val="110"/>
          <w:sz w:val="11"/>
        </w:rPr>
        <w:t>DULOXETINE </w:t>
      </w:r>
      <w:r>
        <w:rPr>
          <w:color w:val="231F1F"/>
          <w:w w:val="110"/>
        </w:rPr>
        <w:t>or </w:t>
      </w:r>
      <w:r>
        <w:rPr>
          <w:rFonts w:ascii="Calibri" w:hAnsi="Calibri"/>
          <w:color w:val="008356"/>
          <w:spacing w:val="4"/>
          <w:w w:val="110"/>
          <w:sz w:val="11"/>
        </w:rPr>
        <w:t>VENLAFAXINE</w:t>
      </w:r>
      <w:r>
        <w:rPr>
          <w:color w:val="231F1F"/>
          <w:spacing w:val="4"/>
          <w:w w:val="110"/>
        </w:rPr>
        <w:t>; </w:t>
      </w:r>
      <w:r>
        <w:rPr>
          <w:color w:val="231F1F"/>
          <w:w w:val="110"/>
        </w:rPr>
        <w:t>St John</w:t>
      </w:r>
      <w:r>
        <w:rPr>
          <w:rFonts w:ascii="Arial" w:hAnsi="Arial"/>
          <w:color w:val="231F1F"/>
          <w:w w:val="110"/>
        </w:rPr>
        <w:t>’</w:t>
      </w:r>
      <w:r>
        <w:rPr>
          <w:color w:val="231F1F"/>
          <w:w w:val="110"/>
        </w:rPr>
        <w:t>s wort reduces plasma concentration of </w:t>
      </w:r>
      <w:r>
        <w:rPr>
          <w:rFonts w:ascii="Calibri" w:hAnsi="Calibri"/>
          <w:color w:val="008356"/>
          <w:spacing w:val="4"/>
          <w:w w:val="110"/>
          <w:sz w:val="11"/>
        </w:rPr>
        <w:t>AMITRIPTYLINE</w:t>
      </w:r>
      <w:r>
        <w:rPr>
          <w:color w:val="231F1F"/>
          <w:spacing w:val="4"/>
          <w:w w:val="110"/>
        </w:rPr>
        <w:t>; </w:t>
      </w:r>
      <w:r>
        <w:rPr>
          <w:color w:val="231F1F"/>
          <w:w w:val="110"/>
        </w:rPr>
        <w:t>increased serotonergic effects when St John</w:t>
      </w:r>
      <w:r>
        <w:rPr>
          <w:rFonts w:ascii="Arial" w:hAnsi="Arial"/>
          <w:color w:val="231F1F"/>
          <w:w w:val="110"/>
        </w:rPr>
        <w:t>’</w:t>
      </w:r>
      <w:r>
        <w:rPr>
          <w:color w:val="231F1F"/>
          <w:w w:val="110"/>
        </w:rPr>
        <w:t>s wort given </w:t>
      </w:r>
      <w:r>
        <w:rPr>
          <w:color w:val="231F1F"/>
          <w:spacing w:val="-3"/>
          <w:w w:val="110"/>
        </w:rPr>
        <w:t>with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0"/>
          <w:sz w:val="11"/>
        </w:rPr>
        <w:t>SSRIS</w:t>
      </w:r>
      <w:r>
        <w:rPr>
          <w:rFonts w:ascii="Arial" w:hAnsi="Arial"/>
          <w:color w:val="231F1F"/>
          <w:spacing w:val="2"/>
          <w:w w:val="110"/>
        </w:rPr>
        <w:t>—</w:t>
      </w:r>
      <w:r>
        <w:rPr>
          <w:color w:val="231F1F"/>
          <w:spacing w:val="2"/>
          <w:w w:val="110"/>
        </w:rPr>
        <w:t>avoid </w:t>
      </w:r>
      <w:r>
        <w:rPr>
          <w:color w:val="231F1F"/>
          <w:w w:val="110"/>
        </w:rPr>
        <w:t>concomitant use</w:t>
      </w:r>
    </w:p>
    <w:p>
      <w:pPr>
        <w:pStyle w:val="BodyText"/>
        <w:ind w:left="286" w:hanging="100"/>
      </w:pPr>
      <w:r>
        <w:rPr>
          <w:rFonts w:ascii="Arial" w:hAnsi="Arial"/>
          <w:color w:val="231F1F"/>
          <w:w w:val="355"/>
          <w:position w:val="1"/>
          <w:sz w:val="7"/>
        </w:rPr>
        <w:t>l </w:t>
      </w:r>
      <w:r>
        <w:rPr>
          <w:rFonts w:ascii="Calibri" w:hAnsi="Calibri"/>
          <w:color w:val="231F1F"/>
          <w:w w:val="110"/>
        </w:rPr>
        <w:t>Antiepileptics: </w:t>
      </w:r>
      <w:r>
        <w:rPr>
          <w:color w:val="231F1F"/>
          <w:w w:val="110"/>
        </w:rPr>
        <w:t>St John</w:t>
      </w:r>
      <w:r>
        <w:rPr>
          <w:rFonts w:ascii="Arial" w:hAnsi="Arial"/>
          <w:color w:val="231F1F"/>
          <w:w w:val="110"/>
        </w:rPr>
        <w:t>’</w:t>
      </w:r>
      <w:r>
        <w:rPr>
          <w:color w:val="231F1F"/>
          <w:w w:val="110"/>
        </w:rPr>
        <w:t>s wort possibly reduces plasma concentration of </w:t>
      </w:r>
      <w:r>
        <w:rPr>
          <w:rFonts w:ascii="Calibri" w:hAnsi="Calibri"/>
          <w:color w:val="008356"/>
          <w:spacing w:val="4"/>
          <w:w w:val="110"/>
          <w:sz w:val="11"/>
        </w:rPr>
        <w:t>CARBAMAZEPINE</w:t>
      </w:r>
      <w:r>
        <w:rPr>
          <w:color w:val="231F1F"/>
          <w:spacing w:val="4"/>
          <w:w w:val="110"/>
        </w:rPr>
        <w:t>; </w:t>
      </w:r>
      <w:r>
        <w:rPr>
          <w:color w:val="231F1F"/>
          <w:w w:val="110"/>
        </w:rPr>
        <w:t>St John</w:t>
      </w:r>
      <w:r>
        <w:rPr>
          <w:rFonts w:ascii="Arial" w:hAnsi="Arial"/>
          <w:color w:val="231F1F"/>
          <w:w w:val="110"/>
        </w:rPr>
        <w:t>’</w:t>
      </w:r>
      <w:r>
        <w:rPr>
          <w:color w:val="231F1F"/>
          <w:w w:val="110"/>
        </w:rPr>
        <w:t>s wort possibly reduces plasma concentration of </w:t>
      </w:r>
      <w:r>
        <w:rPr>
          <w:rFonts w:ascii="Arial" w:hAnsi="Arial"/>
          <w:color w:val="231F1F"/>
          <w:w w:val="355"/>
          <w:position w:val="1"/>
          <w:sz w:val="7"/>
        </w:rPr>
        <w:t>l </w:t>
      </w:r>
      <w:r>
        <w:rPr>
          <w:rFonts w:ascii="Calibri" w:hAnsi="Calibri"/>
          <w:color w:val="008356"/>
          <w:spacing w:val="4"/>
          <w:w w:val="110"/>
          <w:sz w:val="11"/>
        </w:rPr>
        <w:t>FOSPHENYTOIN</w:t>
      </w:r>
      <w:r>
        <w:rPr>
          <w:color w:val="231F1F"/>
          <w:spacing w:val="4"/>
          <w:w w:val="110"/>
        </w:rPr>
        <w:t>,</w:t>
      </w:r>
    </w:p>
    <w:p>
      <w:pPr>
        <w:spacing w:before="0"/>
        <w:ind w:left="286" w:right="0" w:firstLine="0"/>
        <w:jc w:val="left"/>
        <w:rPr>
          <w:sz w:val="12"/>
        </w:rPr>
      </w:pPr>
      <w:r>
        <w:rPr>
          <w:rFonts w:ascii="Arial" w:hAnsi="Arial"/>
          <w:color w:val="231F1F"/>
          <w:w w:val="265"/>
          <w:position w:val="1"/>
          <w:sz w:val="7"/>
        </w:rPr>
        <w:t>l </w:t>
      </w:r>
      <w:r>
        <w:rPr>
          <w:rFonts w:ascii="Calibri" w:hAnsi="Calibri"/>
          <w:color w:val="008356"/>
          <w:w w:val="120"/>
          <w:sz w:val="11"/>
        </w:rPr>
        <w:t>PHENOBARBITAL</w:t>
      </w:r>
      <w:r>
        <w:rPr>
          <w:color w:val="231F1F"/>
          <w:w w:val="120"/>
          <w:sz w:val="12"/>
        </w:rPr>
        <w:t>, </w:t>
      </w:r>
      <w:r>
        <w:rPr>
          <w:rFonts w:ascii="Arial" w:hAnsi="Arial"/>
          <w:color w:val="231F1F"/>
          <w:w w:val="265"/>
          <w:position w:val="1"/>
          <w:sz w:val="7"/>
        </w:rPr>
        <w:t>l </w:t>
      </w:r>
      <w:r>
        <w:rPr>
          <w:rFonts w:ascii="Calibri" w:hAnsi="Calibri"/>
          <w:color w:val="008356"/>
          <w:w w:val="120"/>
          <w:sz w:val="11"/>
        </w:rPr>
        <w:t>PHENYTOIN </w:t>
      </w:r>
      <w:r>
        <w:rPr>
          <w:color w:val="231F1F"/>
          <w:w w:val="120"/>
          <w:sz w:val="12"/>
        </w:rPr>
        <w:t>and </w:t>
      </w:r>
      <w:r>
        <w:rPr>
          <w:rFonts w:ascii="Arial" w:hAnsi="Arial"/>
          <w:color w:val="231F1F"/>
          <w:w w:val="265"/>
          <w:position w:val="1"/>
          <w:sz w:val="7"/>
        </w:rPr>
        <w:t>l </w:t>
      </w:r>
      <w:r>
        <w:rPr>
          <w:rFonts w:ascii="Calibri" w:hAnsi="Calibri"/>
          <w:color w:val="008356"/>
          <w:w w:val="120"/>
          <w:sz w:val="11"/>
        </w:rPr>
        <w:t>PRIMIDONE</w:t>
      </w:r>
      <w:r>
        <w:rPr>
          <w:rFonts w:ascii="Arial" w:hAnsi="Arial"/>
          <w:color w:val="231F1F"/>
          <w:w w:val="120"/>
          <w:sz w:val="12"/>
        </w:rPr>
        <w:t>—</w:t>
      </w:r>
      <w:r>
        <w:rPr>
          <w:color w:val="231F1F"/>
          <w:w w:val="120"/>
          <w:sz w:val="12"/>
        </w:rPr>
        <w:t>avoid</w:t>
      </w:r>
    </w:p>
    <w:p>
      <w:pPr>
        <w:pStyle w:val="BodyText"/>
        <w:ind w:left="286"/>
      </w:pPr>
      <w:r>
        <w:rPr>
          <w:color w:val="231F1F"/>
          <w:w w:val="115"/>
        </w:rPr>
        <w:t>concomitant use</w:t>
      </w:r>
    </w:p>
    <w:p>
      <w:pPr>
        <w:pStyle w:val="BodyText"/>
        <w:spacing w:line="146" w:lineRule="exact" w:before="1"/>
        <w:ind w:left="186"/>
      </w:pPr>
      <w:r>
        <w:rPr>
          <w:rFonts w:ascii="Arial" w:hAnsi="Arial"/>
          <w:color w:val="231F1F"/>
          <w:w w:val="355"/>
          <w:position w:val="1"/>
          <w:sz w:val="7"/>
        </w:rPr>
        <w:t>l </w:t>
      </w:r>
      <w:r>
        <w:rPr>
          <w:rFonts w:ascii="Calibri" w:hAnsi="Calibri"/>
          <w:color w:val="231F1F"/>
          <w:w w:val="115"/>
        </w:rPr>
        <w:t>Antifungals: </w:t>
      </w:r>
      <w:r>
        <w:rPr>
          <w:color w:val="231F1F"/>
          <w:w w:val="115"/>
        </w:rPr>
        <w:t>St John</w:t>
      </w:r>
      <w:r>
        <w:rPr>
          <w:rFonts w:ascii="Arial" w:hAnsi="Arial"/>
          <w:color w:val="231F1F"/>
          <w:w w:val="115"/>
        </w:rPr>
        <w:t>’</w:t>
      </w:r>
      <w:r>
        <w:rPr>
          <w:color w:val="231F1F"/>
          <w:w w:val="115"/>
        </w:rPr>
        <w:t>s wort reduces plasma concentration of</w:t>
      </w:r>
    </w:p>
    <w:p>
      <w:pPr>
        <w:spacing w:line="140" w:lineRule="exact" w:before="0"/>
        <w:ind w:left="286" w:right="0" w:firstLine="0"/>
        <w:jc w:val="left"/>
        <w:rPr>
          <w:sz w:val="12"/>
        </w:rPr>
      </w:pPr>
      <w:r>
        <w:rPr>
          <w:rFonts w:ascii="Arial" w:hAnsi="Arial"/>
          <w:color w:val="231F1F"/>
          <w:w w:val="355"/>
          <w:position w:val="1"/>
          <w:sz w:val="7"/>
        </w:rPr>
        <w:t>l </w:t>
      </w:r>
      <w:r>
        <w:rPr>
          <w:rFonts w:ascii="Calibri" w:hAnsi="Calibri"/>
          <w:color w:val="008356"/>
          <w:w w:val="115"/>
          <w:sz w:val="11"/>
        </w:rPr>
        <w:t>VORICONAZOLE</w:t>
      </w:r>
      <w:r>
        <w:rPr>
          <w:rFonts w:ascii="Arial" w:hAnsi="Arial"/>
          <w:color w:val="231F1F"/>
          <w:w w:val="115"/>
          <w:sz w:val="12"/>
        </w:rPr>
        <w:t>—</w:t>
      </w:r>
      <w:r>
        <w:rPr>
          <w:color w:val="231F1F"/>
          <w:w w:val="115"/>
          <w:sz w:val="12"/>
        </w:rPr>
        <w:t>avoid concomitant use</w:t>
      </w:r>
    </w:p>
    <w:p>
      <w:pPr>
        <w:spacing w:line="247" w:lineRule="auto" w:before="0"/>
        <w:ind w:left="286" w:right="374"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10"/>
          <w:position w:val="1"/>
          <w:sz w:val="7"/>
        </w:rPr>
        <w:t>l</w:t>
      </w:r>
      <w:r>
        <w:rPr>
          <w:rFonts w:ascii="Arial"/>
          <w:color w:val="231F1F"/>
          <w:spacing w:val="-51"/>
          <w:w w:val="310"/>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4"/>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WITH </w:t>
      </w:r>
      <w:r>
        <w:rPr>
          <w:rFonts w:ascii="Calibri"/>
          <w:color w:val="008356"/>
          <w:spacing w:val="5"/>
          <w:w w:val="110"/>
          <w:sz w:val="11"/>
        </w:rPr>
        <w:t>PIPERAQUINE</w:t>
      </w:r>
    </w:p>
    <w:p>
      <w:pPr>
        <w:pStyle w:val="BodyText"/>
        <w:spacing w:line="139" w:lineRule="exact"/>
        <w:ind w:left="186"/>
      </w:pPr>
      <w:r>
        <w:rPr>
          <w:rFonts w:ascii="Arial" w:hAnsi="Arial"/>
          <w:color w:val="231F1F"/>
          <w:w w:val="355"/>
          <w:position w:val="1"/>
          <w:sz w:val="7"/>
        </w:rPr>
        <w:t>l </w:t>
      </w:r>
      <w:r>
        <w:rPr>
          <w:rFonts w:ascii="Calibri" w:hAnsi="Calibri"/>
          <w:color w:val="231F1F"/>
          <w:w w:val="110"/>
        </w:rPr>
        <w:t>Antipsychotics: </w:t>
      </w:r>
      <w:r>
        <w:rPr>
          <w:color w:val="231F1F"/>
          <w:w w:val="110"/>
        </w:rPr>
        <w:t>St John</w:t>
      </w:r>
      <w:r>
        <w:rPr>
          <w:rFonts w:ascii="Arial" w:hAnsi="Arial"/>
          <w:color w:val="231F1F"/>
          <w:w w:val="110"/>
        </w:rPr>
        <w:t>’</w:t>
      </w:r>
      <w:r>
        <w:rPr>
          <w:color w:val="231F1F"/>
          <w:w w:val="110"/>
        </w:rPr>
        <w:t>s wort possibly reduces plasma</w:t>
      </w:r>
    </w:p>
    <w:p>
      <w:pPr>
        <w:pStyle w:val="BodyText"/>
        <w:spacing w:line="244" w:lineRule="auto"/>
        <w:ind w:left="286" w:right="140"/>
      </w:pPr>
      <w:r>
        <w:rPr>
          <w:color w:val="231F1F"/>
          <w:w w:val="115"/>
        </w:rPr>
        <w:t>concentration</w:t>
      </w:r>
      <w:r>
        <w:rPr>
          <w:color w:val="231F1F"/>
          <w:spacing w:val="-14"/>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ARIPIPRAZOLE</w:t>
      </w:r>
      <w:r>
        <w:rPr>
          <w:rFonts w:ascii="Calibri" w:hAnsi="Calibri"/>
          <w:color w:val="008356"/>
          <w:spacing w:val="-2"/>
          <w:w w:val="115"/>
          <w:sz w:val="11"/>
        </w:rPr>
        <w:t> </w:t>
      </w:r>
      <w:r>
        <w:rPr>
          <w:color w:val="231F1F"/>
          <w:w w:val="115"/>
        </w:rPr>
        <w:t>(avoid</w:t>
      </w:r>
      <w:r>
        <w:rPr>
          <w:color w:val="231F1F"/>
          <w:spacing w:val="-13"/>
          <w:w w:val="115"/>
        </w:rPr>
        <w:t> </w:t>
      </w:r>
      <w:r>
        <w:rPr>
          <w:color w:val="231F1F"/>
          <w:w w:val="115"/>
        </w:rPr>
        <w:t>concomitant</w:t>
      </w:r>
      <w:r>
        <w:rPr>
          <w:color w:val="231F1F"/>
          <w:spacing w:val="-14"/>
          <w:w w:val="115"/>
        </w:rPr>
        <w:t> </w:t>
      </w:r>
      <w:r>
        <w:rPr>
          <w:color w:val="231F1F"/>
          <w:w w:val="115"/>
        </w:rPr>
        <w:t>use</w:t>
      </w:r>
      <w:r>
        <w:rPr>
          <w:color w:val="231F1F"/>
          <w:spacing w:val="-13"/>
          <w:w w:val="115"/>
        </w:rPr>
        <w:t> </w:t>
      </w:r>
      <w:r>
        <w:rPr>
          <w:color w:val="231F1F"/>
          <w:w w:val="115"/>
        </w:rPr>
        <w:t>or consider increasing the dose of aripiprazole</w:t>
      </w:r>
      <w:r>
        <w:rPr>
          <w:rFonts w:ascii="Arial" w:hAnsi="Arial"/>
          <w:color w:val="231F1F"/>
          <w:w w:val="115"/>
        </w:rPr>
        <w:t>—</w:t>
      </w:r>
      <w:r>
        <w:rPr>
          <w:color w:val="231F1F"/>
          <w:w w:val="115"/>
        </w:rPr>
        <w:t>consult aripiprazole product literature); St John</w:t>
      </w:r>
      <w:r>
        <w:rPr>
          <w:rFonts w:ascii="Arial" w:hAnsi="Arial"/>
          <w:color w:val="231F1F"/>
          <w:w w:val="115"/>
        </w:rPr>
        <w:t>’</w:t>
      </w:r>
      <w:r>
        <w:rPr>
          <w:color w:val="231F1F"/>
          <w:w w:val="115"/>
        </w:rPr>
        <w:t>s wort possibly reduces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w:t>
      </w:r>
      <w:r>
        <w:rPr>
          <w:color w:val="231F1F"/>
          <w:spacing w:val="-5"/>
          <w:w w:val="115"/>
        </w:rPr>
        <w:t> </w:t>
      </w:r>
      <w:r>
        <w:rPr>
          <w:color w:val="231F1F"/>
          <w:w w:val="115"/>
        </w:rPr>
        <w:t>use</w:t>
      </w:r>
    </w:p>
    <w:p>
      <w:pPr>
        <w:spacing w:before="0"/>
        <w:ind w:left="286" w:right="191" w:hanging="100"/>
        <w:jc w:val="left"/>
        <w:rPr>
          <w:sz w:val="12"/>
        </w:rPr>
      </w:pPr>
      <w:r>
        <w:rPr>
          <w:rFonts w:ascii="Arial" w:hAnsi="Arial"/>
          <w:color w:val="231F1F"/>
          <w:w w:val="355"/>
          <w:position w:val="1"/>
          <w:sz w:val="7"/>
        </w:rPr>
        <w:t>l </w:t>
      </w:r>
      <w:r>
        <w:rPr>
          <w:rFonts w:ascii="Calibri" w:hAnsi="Calibri"/>
          <w:color w:val="231F1F"/>
          <w:w w:val="110"/>
          <w:sz w:val="12"/>
        </w:rPr>
        <w:t>Antivirals:  </w:t>
      </w:r>
      <w:r>
        <w:rPr>
          <w:color w:val="231F1F"/>
          <w:w w:val="110"/>
          <w:sz w:val="12"/>
        </w:rPr>
        <w:t>St John</w:t>
      </w:r>
      <w:r>
        <w:rPr>
          <w:rFonts w:ascii="Arial" w:hAnsi="Arial"/>
          <w:color w:val="231F1F"/>
          <w:w w:val="110"/>
          <w:sz w:val="12"/>
        </w:rPr>
        <w:t>’</w:t>
      </w:r>
      <w:r>
        <w:rPr>
          <w:color w:val="231F1F"/>
          <w:w w:val="110"/>
          <w:sz w:val="12"/>
        </w:rPr>
        <w:t>s wort reduces plasma concentration of </w:t>
      </w:r>
      <w:r>
        <w:rPr>
          <w:rFonts w:ascii="Arial" w:hAnsi="Arial"/>
          <w:color w:val="231F1F"/>
          <w:w w:val="245"/>
          <w:position w:val="1"/>
          <w:sz w:val="7"/>
        </w:rPr>
        <w:t>l</w:t>
      </w:r>
      <w:r>
        <w:rPr>
          <w:rFonts w:ascii="Arial" w:hAnsi="Arial"/>
          <w:color w:val="231F1F"/>
          <w:spacing w:val="-38"/>
          <w:w w:val="245"/>
          <w:position w:val="1"/>
          <w:sz w:val="7"/>
        </w:rPr>
        <w:t> </w:t>
      </w:r>
      <w:r>
        <w:rPr>
          <w:rFonts w:ascii="Calibri" w:hAnsi="Calibri"/>
          <w:color w:val="008356"/>
          <w:spacing w:val="3"/>
          <w:w w:val="110"/>
          <w:sz w:val="11"/>
        </w:rPr>
        <w:t>ATAZANAVIR</w:t>
      </w:r>
      <w:r>
        <w:rPr>
          <w:color w:val="231F1F"/>
          <w:spacing w:val="3"/>
          <w:w w:val="110"/>
          <w:sz w:val="12"/>
        </w:rPr>
        <w:t>,</w:t>
      </w:r>
      <w:r>
        <w:rPr>
          <w:color w:val="231F1F"/>
          <w:spacing w:val="-23"/>
          <w:w w:val="110"/>
          <w:sz w:val="12"/>
        </w:rPr>
        <w:t> </w:t>
      </w:r>
      <w:r>
        <w:rPr>
          <w:rFonts w:ascii="Arial" w:hAnsi="Arial"/>
          <w:color w:val="231F1F"/>
          <w:w w:val="245"/>
          <w:position w:val="1"/>
          <w:sz w:val="7"/>
        </w:rPr>
        <w:t>l</w:t>
      </w:r>
      <w:r>
        <w:rPr>
          <w:rFonts w:ascii="Arial" w:hAnsi="Arial"/>
          <w:color w:val="231F1F"/>
          <w:spacing w:val="-37"/>
          <w:w w:val="245"/>
          <w:position w:val="1"/>
          <w:sz w:val="7"/>
        </w:rPr>
        <w:t> </w:t>
      </w:r>
      <w:r>
        <w:rPr>
          <w:rFonts w:ascii="Calibri" w:hAnsi="Calibri"/>
          <w:color w:val="008356"/>
          <w:spacing w:val="3"/>
          <w:w w:val="110"/>
          <w:sz w:val="11"/>
        </w:rPr>
        <w:t>DARUNAVIR</w:t>
      </w:r>
      <w:r>
        <w:rPr>
          <w:color w:val="231F1F"/>
          <w:spacing w:val="3"/>
          <w:w w:val="110"/>
          <w:sz w:val="12"/>
        </w:rPr>
        <w:t>,</w:t>
      </w:r>
      <w:r>
        <w:rPr>
          <w:color w:val="231F1F"/>
          <w:spacing w:val="-23"/>
          <w:w w:val="110"/>
          <w:sz w:val="12"/>
        </w:rPr>
        <w:t> </w:t>
      </w:r>
      <w:r>
        <w:rPr>
          <w:rFonts w:ascii="Arial" w:hAnsi="Arial"/>
          <w:color w:val="231F1F"/>
          <w:w w:val="245"/>
          <w:position w:val="1"/>
          <w:sz w:val="7"/>
        </w:rPr>
        <w:t>l</w:t>
      </w:r>
      <w:r>
        <w:rPr>
          <w:rFonts w:ascii="Arial" w:hAnsi="Arial"/>
          <w:color w:val="231F1F"/>
          <w:spacing w:val="-38"/>
          <w:w w:val="245"/>
          <w:position w:val="1"/>
          <w:sz w:val="7"/>
        </w:rPr>
        <w:t> </w:t>
      </w:r>
      <w:r>
        <w:rPr>
          <w:rFonts w:ascii="Calibri" w:hAnsi="Calibri"/>
          <w:color w:val="008356"/>
          <w:spacing w:val="3"/>
          <w:w w:val="110"/>
          <w:sz w:val="11"/>
        </w:rPr>
        <w:t>EFAVIRENZ</w:t>
      </w:r>
      <w:r>
        <w:rPr>
          <w:color w:val="231F1F"/>
          <w:spacing w:val="3"/>
          <w:w w:val="110"/>
          <w:sz w:val="12"/>
        </w:rPr>
        <w:t>,</w:t>
      </w:r>
      <w:r>
        <w:rPr>
          <w:color w:val="231F1F"/>
          <w:spacing w:val="-22"/>
          <w:w w:val="110"/>
          <w:sz w:val="12"/>
        </w:rPr>
        <w:t> </w:t>
      </w:r>
      <w:r>
        <w:rPr>
          <w:rFonts w:ascii="Arial" w:hAnsi="Arial"/>
          <w:color w:val="231F1F"/>
          <w:w w:val="245"/>
          <w:position w:val="1"/>
          <w:sz w:val="7"/>
        </w:rPr>
        <w:t>l</w:t>
      </w:r>
      <w:r>
        <w:rPr>
          <w:rFonts w:ascii="Arial" w:hAnsi="Arial"/>
          <w:color w:val="231F1F"/>
          <w:spacing w:val="-38"/>
          <w:w w:val="245"/>
          <w:position w:val="1"/>
          <w:sz w:val="7"/>
        </w:rPr>
        <w:t> </w:t>
      </w:r>
      <w:r>
        <w:rPr>
          <w:rFonts w:ascii="Calibri" w:hAnsi="Calibri"/>
          <w:color w:val="008356"/>
          <w:spacing w:val="4"/>
          <w:w w:val="110"/>
          <w:sz w:val="11"/>
        </w:rPr>
        <w:t>FOSAMPRENAVIR</w:t>
      </w:r>
      <w:r>
        <w:rPr>
          <w:color w:val="231F1F"/>
          <w:spacing w:val="4"/>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INDINAVIR</w:t>
      </w:r>
      <w:r>
        <w:rPr>
          <w:color w:val="231F1F"/>
          <w:spacing w:val="4"/>
          <w:w w:val="110"/>
          <w:sz w:val="12"/>
        </w:rPr>
        <w:t>,</w:t>
      </w:r>
      <w:r>
        <w:rPr>
          <w:color w:val="231F1F"/>
          <w:spacing w:val="-12"/>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0"/>
          <w:sz w:val="11"/>
        </w:rPr>
        <w:t>LOPINAVIR</w:t>
      </w:r>
      <w:r>
        <w:rPr>
          <w:color w:val="231F1F"/>
          <w:spacing w:val="3"/>
          <w:w w:val="110"/>
          <w:sz w:val="12"/>
        </w:rPr>
        <w:t>,</w:t>
      </w:r>
      <w:r>
        <w:rPr>
          <w:color w:val="231F1F"/>
          <w:spacing w:val="-12"/>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0"/>
          <w:sz w:val="11"/>
        </w:rPr>
        <w:t>NEVIRAPINE</w:t>
      </w:r>
      <w:r>
        <w:rPr>
          <w:color w:val="231F1F"/>
          <w:spacing w:val="4"/>
          <w:w w:val="110"/>
          <w:sz w:val="12"/>
        </w:rPr>
        <w:t>,</w:t>
      </w:r>
      <w:r>
        <w:rPr>
          <w:color w:val="231F1F"/>
          <w:spacing w:val="-13"/>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3"/>
          <w:w w:val="110"/>
          <w:sz w:val="11"/>
        </w:rPr>
        <w:t>RITONAVIR</w:t>
      </w:r>
      <w:r>
        <w:rPr>
          <w:rFonts w:ascii="Calibri" w:hAnsi="Calibri"/>
          <w:color w:val="008356"/>
          <w:spacing w:val="-3"/>
          <w:w w:val="110"/>
          <w:sz w:val="11"/>
        </w:rPr>
        <w:t> </w:t>
      </w:r>
      <w:r>
        <w:rPr>
          <w:color w:val="231F1F"/>
          <w:w w:val="110"/>
          <w:sz w:val="12"/>
        </w:rPr>
        <w:t>and</w:t>
      </w:r>
    </w:p>
    <w:p>
      <w:pPr>
        <w:spacing w:before="2"/>
        <w:ind w:left="286" w:right="0" w:hanging="1"/>
        <w:jc w:val="left"/>
        <w:rPr>
          <w:sz w:val="12"/>
        </w:rPr>
      </w:pPr>
      <w:r>
        <w:rPr>
          <w:rFonts w:ascii="Arial" w:hAnsi="Arial"/>
          <w:color w:val="231F1F"/>
          <w:w w:val="355"/>
          <w:position w:val="1"/>
          <w:sz w:val="7"/>
        </w:rPr>
        <w:t>l</w:t>
      </w:r>
      <w:r>
        <w:rPr>
          <w:rFonts w:ascii="Arial" w:hAnsi="Arial"/>
          <w:color w:val="231F1F"/>
          <w:spacing w:val="-43"/>
          <w:w w:val="355"/>
          <w:position w:val="1"/>
          <w:sz w:val="7"/>
        </w:rPr>
        <w:t> </w:t>
      </w:r>
      <w:r>
        <w:rPr>
          <w:rFonts w:ascii="Calibri" w:hAnsi="Calibri"/>
          <w:color w:val="008356"/>
          <w:spacing w:val="2"/>
          <w:w w:val="110"/>
          <w:sz w:val="11"/>
        </w:rPr>
        <w:t>SAQUINAVIR</w:t>
      </w:r>
      <w:r>
        <w:rPr>
          <w:rFonts w:ascii="Arial" w:hAnsi="Arial"/>
          <w:color w:val="231F1F"/>
          <w:spacing w:val="2"/>
          <w:w w:val="110"/>
          <w:sz w:val="12"/>
        </w:rPr>
        <w:t>—</w:t>
      </w:r>
      <w:r>
        <w:rPr>
          <w:color w:val="231F1F"/>
          <w:spacing w:val="2"/>
          <w:w w:val="110"/>
          <w:sz w:val="12"/>
        </w:rPr>
        <w:t>avoid</w:t>
      </w:r>
      <w:r>
        <w:rPr>
          <w:color w:val="231F1F"/>
          <w:spacing w:val="-3"/>
          <w:w w:val="110"/>
          <w:sz w:val="12"/>
        </w:rPr>
        <w:t> </w:t>
      </w:r>
      <w:r>
        <w:rPr>
          <w:color w:val="231F1F"/>
          <w:w w:val="110"/>
          <w:sz w:val="12"/>
        </w:rPr>
        <w:t>concomitant</w:t>
      </w:r>
      <w:r>
        <w:rPr>
          <w:color w:val="231F1F"/>
          <w:spacing w:val="-5"/>
          <w:w w:val="110"/>
          <w:sz w:val="12"/>
        </w:rPr>
        <w:t> </w:t>
      </w:r>
      <w:r>
        <w:rPr>
          <w:color w:val="231F1F"/>
          <w:w w:val="110"/>
          <w:sz w:val="12"/>
        </w:rPr>
        <w:t>use;</w:t>
      </w:r>
      <w:r>
        <w:rPr>
          <w:color w:val="231F1F"/>
          <w:spacing w:val="-3"/>
          <w:w w:val="110"/>
          <w:sz w:val="12"/>
        </w:rPr>
        <w:t> </w:t>
      </w:r>
      <w:r>
        <w:rPr>
          <w:color w:val="231F1F"/>
          <w:w w:val="110"/>
          <w:sz w:val="12"/>
        </w:rPr>
        <w:t>St</w:t>
      </w:r>
      <w:r>
        <w:rPr>
          <w:color w:val="231F1F"/>
          <w:spacing w:val="-3"/>
          <w:w w:val="110"/>
          <w:sz w:val="12"/>
        </w:rPr>
        <w:t> </w:t>
      </w:r>
      <w:r>
        <w:rPr>
          <w:color w:val="231F1F"/>
          <w:w w:val="110"/>
          <w:sz w:val="12"/>
        </w:rPr>
        <w:t>John</w:t>
      </w:r>
      <w:r>
        <w:rPr>
          <w:rFonts w:ascii="Arial" w:hAnsi="Arial"/>
          <w:color w:val="231F1F"/>
          <w:w w:val="110"/>
          <w:sz w:val="12"/>
        </w:rPr>
        <w:t>’</w:t>
      </w:r>
      <w:r>
        <w:rPr>
          <w:color w:val="231F1F"/>
          <w:w w:val="110"/>
          <w:sz w:val="12"/>
        </w:rPr>
        <w:t>s</w:t>
      </w:r>
      <w:r>
        <w:rPr>
          <w:color w:val="231F1F"/>
          <w:spacing w:val="-4"/>
          <w:w w:val="110"/>
          <w:sz w:val="12"/>
        </w:rPr>
        <w:t> </w:t>
      </w:r>
      <w:r>
        <w:rPr>
          <w:color w:val="231F1F"/>
          <w:w w:val="110"/>
          <w:sz w:val="12"/>
        </w:rPr>
        <w:t>wort</w:t>
      </w:r>
      <w:r>
        <w:rPr>
          <w:color w:val="231F1F"/>
          <w:spacing w:val="-3"/>
          <w:w w:val="110"/>
          <w:sz w:val="12"/>
        </w:rPr>
        <w:t> </w:t>
      </w:r>
      <w:r>
        <w:rPr>
          <w:color w:val="231F1F"/>
          <w:w w:val="110"/>
          <w:sz w:val="12"/>
        </w:rPr>
        <w:t>possibly reduces plasma concentration of </w:t>
      </w:r>
      <w:r>
        <w:rPr>
          <w:rFonts w:ascii="Calibri" w:hAnsi="Calibri"/>
          <w:color w:val="008356"/>
          <w:spacing w:val="3"/>
          <w:w w:val="110"/>
          <w:sz w:val="11"/>
        </w:rPr>
        <w:t>DACLATASVIR</w:t>
      </w:r>
      <w:r>
        <w:rPr>
          <w:rFonts w:ascii="Calibri" w:hAnsi="Calibri"/>
          <w:color w:val="008356"/>
          <w:spacing w:val="6"/>
          <w:w w:val="110"/>
          <w:sz w:val="11"/>
        </w:rPr>
        <w:t> </w:t>
      </w:r>
      <w:r>
        <w:rPr>
          <w:color w:val="231F1F"/>
          <w:w w:val="110"/>
          <w:sz w:val="12"/>
        </w:rPr>
        <w:t>and</w:t>
      </w:r>
    </w:p>
    <w:p>
      <w:pPr>
        <w:spacing w:line="244" w:lineRule="auto" w:before="3"/>
        <w:ind w:left="286" w:right="118" w:firstLine="0"/>
        <w:jc w:val="left"/>
        <w:rPr>
          <w:sz w:val="12"/>
        </w:rPr>
      </w:pP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spacing w:val="2"/>
          <w:w w:val="115"/>
          <w:sz w:val="11"/>
        </w:rPr>
        <w:t>SIMEPREVIR</w:t>
      </w:r>
      <w:r>
        <w:rPr>
          <w:rFonts w:ascii="Arial" w:hAnsi="Arial"/>
          <w:color w:val="231F1F"/>
          <w:spacing w:val="2"/>
          <w:w w:val="115"/>
          <w:sz w:val="12"/>
        </w:rPr>
        <w:t>—</w:t>
      </w:r>
      <w:r>
        <w:rPr>
          <w:color w:val="231F1F"/>
          <w:spacing w:val="2"/>
          <w:w w:val="115"/>
          <w:sz w:val="12"/>
        </w:rPr>
        <w:t>manufacturer</w:t>
      </w:r>
      <w:r>
        <w:rPr>
          <w:color w:val="231F1F"/>
          <w:spacing w:val="-15"/>
          <w:w w:val="115"/>
          <w:sz w:val="12"/>
        </w:rPr>
        <w:t> </w:t>
      </w:r>
      <w:r>
        <w:rPr>
          <w:color w:val="231F1F"/>
          <w:w w:val="115"/>
          <w:sz w:val="12"/>
        </w:rPr>
        <w:t>of</w:t>
      </w:r>
      <w:r>
        <w:rPr>
          <w:color w:val="231F1F"/>
          <w:spacing w:val="-14"/>
          <w:w w:val="115"/>
          <w:sz w:val="12"/>
        </w:rPr>
        <w:t> </w:t>
      </w:r>
      <w:r>
        <w:rPr>
          <w:color w:val="231F1F"/>
          <w:w w:val="115"/>
          <w:sz w:val="12"/>
        </w:rPr>
        <w:t>daclatasvir</w:t>
      </w:r>
      <w:r>
        <w:rPr>
          <w:color w:val="231F1F"/>
          <w:spacing w:val="-15"/>
          <w:w w:val="115"/>
          <w:sz w:val="12"/>
        </w:rPr>
        <w:t> </w:t>
      </w:r>
      <w:r>
        <w:rPr>
          <w:color w:val="231F1F"/>
          <w:w w:val="115"/>
          <w:sz w:val="12"/>
        </w:rPr>
        <w:t>and</w:t>
      </w:r>
      <w:r>
        <w:rPr>
          <w:color w:val="231F1F"/>
          <w:spacing w:val="-14"/>
          <w:w w:val="115"/>
          <w:sz w:val="12"/>
        </w:rPr>
        <w:t> </w:t>
      </w:r>
      <w:r>
        <w:rPr>
          <w:color w:val="231F1F"/>
          <w:w w:val="115"/>
          <w:sz w:val="12"/>
        </w:rPr>
        <w:t>simeprevir </w:t>
      </w:r>
      <w:r>
        <w:rPr>
          <w:color w:val="231F1F"/>
          <w:w w:val="120"/>
          <w:sz w:val="12"/>
        </w:rPr>
        <w:t>advises</w:t>
      </w:r>
      <w:r>
        <w:rPr>
          <w:color w:val="231F1F"/>
          <w:spacing w:val="-25"/>
          <w:w w:val="120"/>
          <w:sz w:val="12"/>
        </w:rPr>
        <w:t> </w:t>
      </w:r>
      <w:r>
        <w:rPr>
          <w:color w:val="231F1F"/>
          <w:w w:val="120"/>
          <w:sz w:val="12"/>
        </w:rPr>
        <w:t>avoid</w:t>
      </w:r>
      <w:r>
        <w:rPr>
          <w:color w:val="231F1F"/>
          <w:spacing w:val="-24"/>
          <w:w w:val="120"/>
          <w:sz w:val="12"/>
        </w:rPr>
        <w:t> </w:t>
      </w:r>
      <w:r>
        <w:rPr>
          <w:color w:val="231F1F"/>
          <w:w w:val="120"/>
          <w:sz w:val="12"/>
        </w:rPr>
        <w:t>concomitant</w:t>
      </w:r>
      <w:r>
        <w:rPr>
          <w:color w:val="231F1F"/>
          <w:spacing w:val="-26"/>
          <w:w w:val="120"/>
          <w:sz w:val="12"/>
        </w:rPr>
        <w:t> </w:t>
      </w:r>
      <w:r>
        <w:rPr>
          <w:color w:val="231F1F"/>
          <w:w w:val="120"/>
          <w:sz w:val="12"/>
        </w:rPr>
        <w:t>use;</w:t>
      </w:r>
      <w:r>
        <w:rPr>
          <w:color w:val="231F1F"/>
          <w:spacing w:val="-24"/>
          <w:w w:val="120"/>
          <w:sz w:val="12"/>
        </w:rPr>
        <w:t> </w:t>
      </w:r>
      <w:r>
        <w:rPr>
          <w:color w:val="231F1F"/>
          <w:w w:val="120"/>
          <w:sz w:val="12"/>
        </w:rPr>
        <w:t>avoidance</w:t>
      </w:r>
      <w:r>
        <w:rPr>
          <w:color w:val="231F1F"/>
          <w:spacing w:val="-24"/>
          <w:w w:val="120"/>
          <w:sz w:val="12"/>
        </w:rPr>
        <w:t> </w:t>
      </w:r>
      <w:r>
        <w:rPr>
          <w:color w:val="231F1F"/>
          <w:w w:val="120"/>
          <w:sz w:val="12"/>
        </w:rPr>
        <w:t>of</w:t>
      </w:r>
      <w:r>
        <w:rPr>
          <w:color w:val="231F1F"/>
          <w:spacing w:val="-24"/>
          <w:w w:val="120"/>
          <w:sz w:val="12"/>
        </w:rPr>
        <w:t> </w:t>
      </w:r>
      <w:r>
        <w:rPr>
          <w:color w:val="231F1F"/>
          <w:w w:val="120"/>
          <w:sz w:val="12"/>
        </w:rPr>
        <w:t>St</w:t>
      </w:r>
      <w:r>
        <w:rPr>
          <w:color w:val="231F1F"/>
          <w:spacing w:val="-25"/>
          <w:w w:val="120"/>
          <w:sz w:val="12"/>
        </w:rPr>
        <w:t> </w:t>
      </w:r>
      <w:r>
        <w:rPr>
          <w:color w:val="231F1F"/>
          <w:w w:val="120"/>
          <w:sz w:val="12"/>
        </w:rPr>
        <w:t>John</w:t>
      </w:r>
      <w:r>
        <w:rPr>
          <w:rFonts w:ascii="Arial" w:hAnsi="Arial"/>
          <w:color w:val="231F1F"/>
          <w:w w:val="120"/>
          <w:sz w:val="12"/>
        </w:rPr>
        <w:t>’</w:t>
      </w:r>
      <w:r>
        <w:rPr>
          <w:color w:val="231F1F"/>
          <w:w w:val="120"/>
          <w:sz w:val="12"/>
        </w:rPr>
        <w:t>s</w:t>
      </w:r>
      <w:r>
        <w:rPr>
          <w:color w:val="231F1F"/>
          <w:spacing w:val="-24"/>
          <w:w w:val="120"/>
          <w:sz w:val="12"/>
        </w:rPr>
        <w:t> </w:t>
      </w:r>
      <w:r>
        <w:rPr>
          <w:color w:val="231F1F"/>
          <w:spacing w:val="-4"/>
          <w:w w:val="120"/>
          <w:sz w:val="12"/>
        </w:rPr>
        <w:t>wort </w:t>
      </w:r>
      <w:r>
        <w:rPr>
          <w:color w:val="231F1F"/>
          <w:w w:val="110"/>
          <w:sz w:val="12"/>
        </w:rPr>
        <w:t>advised by manufacturer of </w:t>
      </w:r>
      <w:r>
        <w:rPr>
          <w:rFonts w:ascii="Calibri" w:hAnsi="Calibri"/>
          <w:color w:val="008356"/>
          <w:spacing w:val="4"/>
          <w:w w:val="110"/>
          <w:sz w:val="11"/>
        </w:rPr>
        <w:t>DOLUTEGRAVIR</w:t>
      </w:r>
      <w:r>
        <w:rPr>
          <w:color w:val="231F1F"/>
          <w:spacing w:val="4"/>
          <w:w w:val="110"/>
          <w:sz w:val="12"/>
        </w:rPr>
        <w:t>, </w:t>
      </w:r>
      <w:r>
        <w:rPr>
          <w:rFonts w:ascii="Arial" w:hAnsi="Arial"/>
          <w:color w:val="231F1F"/>
          <w:w w:val="110"/>
          <w:position w:val="1"/>
          <w:sz w:val="7"/>
        </w:rPr>
        <w:t>l </w:t>
      </w:r>
      <w:r>
        <w:rPr>
          <w:rFonts w:ascii="Calibri" w:hAnsi="Calibri"/>
          <w:color w:val="008356"/>
          <w:spacing w:val="3"/>
          <w:w w:val="110"/>
          <w:sz w:val="11"/>
        </w:rPr>
        <w:t>ELVITEGRAVIR</w:t>
      </w:r>
      <w:r>
        <w:rPr>
          <w:color w:val="231F1F"/>
          <w:spacing w:val="3"/>
          <w:w w:val="110"/>
          <w:sz w:val="12"/>
        </w:rPr>
        <w:t>, </w:t>
      </w:r>
      <w:r>
        <w:rPr>
          <w:rFonts w:ascii="Calibri" w:hAnsi="Calibri"/>
          <w:color w:val="008356"/>
          <w:spacing w:val="4"/>
          <w:w w:val="115"/>
          <w:sz w:val="11"/>
        </w:rPr>
        <w:t>ETRAVIRINE</w:t>
      </w:r>
      <w:r>
        <w:rPr>
          <w:color w:val="231F1F"/>
          <w:spacing w:val="4"/>
          <w:w w:val="115"/>
          <w:sz w:val="12"/>
        </w:rPr>
        <w:t>,</w:t>
      </w:r>
      <w:r>
        <w:rPr>
          <w:color w:val="231F1F"/>
          <w:spacing w:val="-19"/>
          <w:w w:val="115"/>
          <w:sz w:val="12"/>
        </w:rPr>
        <w:t> </w:t>
      </w:r>
      <w:r>
        <w:rPr>
          <w:rFonts w:ascii="Calibri" w:hAnsi="Calibri"/>
          <w:color w:val="008356"/>
          <w:spacing w:val="4"/>
          <w:w w:val="115"/>
          <w:sz w:val="11"/>
        </w:rPr>
        <w:t>SOFOSBUVIR</w:t>
      </w:r>
      <w:r>
        <w:rPr>
          <w:rFonts w:ascii="Calibri" w:hAnsi="Calibri"/>
          <w:color w:val="008356"/>
          <w:spacing w:val="-10"/>
          <w:w w:val="115"/>
          <w:sz w:val="11"/>
        </w:rPr>
        <w:t> </w:t>
      </w:r>
      <w:r>
        <w:rPr>
          <w:color w:val="231F1F"/>
          <w:w w:val="115"/>
          <w:sz w:val="12"/>
        </w:rPr>
        <w:t>and</w:t>
      </w:r>
      <w:r>
        <w:rPr>
          <w:color w:val="231F1F"/>
          <w:spacing w:val="-18"/>
          <w:w w:val="115"/>
          <w:sz w:val="12"/>
        </w:rPr>
        <w:t>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TELAPREVIR</w:t>
      </w:r>
      <w:r>
        <w:rPr>
          <w:color w:val="231F1F"/>
          <w:spacing w:val="4"/>
          <w:w w:val="115"/>
          <w:sz w:val="12"/>
        </w:rPr>
        <w:t>;</w:t>
      </w:r>
      <w:r>
        <w:rPr>
          <w:color w:val="231F1F"/>
          <w:spacing w:val="-19"/>
          <w:w w:val="115"/>
          <w:sz w:val="12"/>
        </w:rPr>
        <w:t> </w:t>
      </w:r>
      <w:r>
        <w:rPr>
          <w:color w:val="231F1F"/>
          <w:w w:val="115"/>
          <w:sz w:val="12"/>
        </w:rPr>
        <w:t>St</w:t>
      </w:r>
      <w:r>
        <w:rPr>
          <w:color w:val="231F1F"/>
          <w:spacing w:val="-18"/>
          <w:w w:val="115"/>
          <w:sz w:val="12"/>
        </w:rPr>
        <w:t> </w:t>
      </w:r>
      <w:r>
        <w:rPr>
          <w:color w:val="231F1F"/>
          <w:w w:val="115"/>
          <w:sz w:val="12"/>
        </w:rPr>
        <w:t>John</w:t>
      </w:r>
      <w:r>
        <w:rPr>
          <w:rFonts w:ascii="Arial" w:hAnsi="Arial"/>
          <w:color w:val="231F1F"/>
          <w:w w:val="115"/>
          <w:sz w:val="12"/>
        </w:rPr>
        <w:t>’</w:t>
      </w:r>
      <w:r>
        <w:rPr>
          <w:color w:val="231F1F"/>
          <w:w w:val="115"/>
          <w:sz w:val="12"/>
        </w:rPr>
        <w:t>s</w:t>
      </w:r>
      <w:r>
        <w:rPr>
          <w:color w:val="231F1F"/>
          <w:spacing w:val="-19"/>
          <w:w w:val="115"/>
          <w:sz w:val="12"/>
        </w:rPr>
        <w:t> </w:t>
      </w:r>
      <w:r>
        <w:rPr>
          <w:color w:val="231F1F"/>
          <w:w w:val="115"/>
          <w:sz w:val="12"/>
        </w:rPr>
        <w:t>wort</w:t>
      </w:r>
    </w:p>
    <w:p>
      <w:pPr>
        <w:spacing w:line="140" w:lineRule="exact" w:before="0"/>
        <w:ind w:left="286" w:right="0" w:firstLine="0"/>
        <w:jc w:val="left"/>
        <w:rPr>
          <w:sz w:val="12"/>
        </w:rPr>
      </w:pPr>
      <w:r>
        <w:rPr>
          <w:color w:val="231F1F"/>
          <w:w w:val="115"/>
          <w:sz w:val="12"/>
        </w:rPr>
        <w:t>possibly reduces plasma concentration of </w:t>
      </w:r>
      <w:r>
        <w:rPr>
          <w:rFonts w:ascii="Arial"/>
          <w:color w:val="231F1F"/>
          <w:w w:val="355"/>
          <w:position w:val="1"/>
          <w:sz w:val="7"/>
        </w:rPr>
        <w:t>l </w:t>
      </w:r>
      <w:r>
        <w:rPr>
          <w:rFonts w:ascii="Calibri"/>
          <w:color w:val="008356"/>
          <w:spacing w:val="3"/>
          <w:w w:val="115"/>
          <w:sz w:val="11"/>
        </w:rPr>
        <w:t>MARAVIROC </w:t>
      </w:r>
      <w:r>
        <w:rPr>
          <w:color w:val="231F1F"/>
          <w:w w:val="115"/>
          <w:sz w:val="12"/>
        </w:rPr>
        <w:t>and</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TIPRANAVIR</w:t>
      </w:r>
      <w:r>
        <w:rPr>
          <w:rFonts w:ascii="Arial" w:hAnsi="Arial"/>
          <w:color w:val="231F1F"/>
          <w:spacing w:val="2"/>
          <w:w w:val="115"/>
          <w:sz w:val="12"/>
        </w:rPr>
        <w:t>—</w:t>
      </w:r>
      <w:r>
        <w:rPr>
          <w:color w:val="231F1F"/>
          <w:spacing w:val="2"/>
          <w:w w:val="115"/>
          <w:sz w:val="12"/>
        </w:rPr>
        <w:t>avoid</w:t>
      </w:r>
      <w:r>
        <w:rPr>
          <w:color w:val="231F1F"/>
          <w:spacing w:val="-17"/>
          <w:w w:val="115"/>
          <w:sz w:val="12"/>
        </w:rPr>
        <w:t> </w:t>
      </w:r>
      <w:r>
        <w:rPr>
          <w:color w:val="231F1F"/>
          <w:w w:val="115"/>
          <w:sz w:val="12"/>
        </w:rPr>
        <w:t>concomitant</w:t>
      </w:r>
      <w:r>
        <w:rPr>
          <w:color w:val="231F1F"/>
          <w:spacing w:val="-18"/>
          <w:w w:val="115"/>
          <w:sz w:val="12"/>
        </w:rPr>
        <w:t> </w:t>
      </w:r>
      <w:r>
        <w:rPr>
          <w:color w:val="231F1F"/>
          <w:w w:val="115"/>
          <w:sz w:val="12"/>
        </w:rPr>
        <w:t>use;</w:t>
      </w:r>
      <w:r>
        <w:rPr>
          <w:color w:val="231F1F"/>
          <w:spacing w:val="-17"/>
          <w:w w:val="115"/>
          <w:sz w:val="12"/>
        </w:rPr>
        <w:t> </w:t>
      </w:r>
      <w:r>
        <w:rPr>
          <w:color w:val="231F1F"/>
          <w:w w:val="115"/>
          <w:sz w:val="12"/>
        </w:rPr>
        <w:t>avoidance</w:t>
      </w:r>
      <w:r>
        <w:rPr>
          <w:color w:val="231F1F"/>
          <w:spacing w:val="-17"/>
          <w:w w:val="115"/>
          <w:sz w:val="12"/>
        </w:rPr>
        <w:t> </w:t>
      </w:r>
      <w:r>
        <w:rPr>
          <w:color w:val="231F1F"/>
          <w:w w:val="115"/>
          <w:sz w:val="12"/>
        </w:rPr>
        <w:t>of</w:t>
      </w:r>
      <w:r>
        <w:rPr>
          <w:color w:val="231F1F"/>
          <w:spacing w:val="-17"/>
          <w:w w:val="115"/>
          <w:sz w:val="12"/>
        </w:rPr>
        <w:t> </w:t>
      </w:r>
      <w:r>
        <w:rPr>
          <w:color w:val="231F1F"/>
          <w:w w:val="115"/>
          <w:sz w:val="12"/>
        </w:rPr>
        <w:t>St</w:t>
      </w:r>
      <w:r>
        <w:rPr>
          <w:color w:val="231F1F"/>
          <w:spacing w:val="-16"/>
          <w:w w:val="115"/>
          <w:sz w:val="12"/>
        </w:rPr>
        <w:t> </w:t>
      </w:r>
      <w:r>
        <w:rPr>
          <w:color w:val="231F1F"/>
          <w:w w:val="115"/>
          <w:sz w:val="12"/>
        </w:rPr>
        <w:t>John</w:t>
      </w:r>
      <w:r>
        <w:rPr>
          <w:rFonts w:ascii="Arial" w:hAnsi="Arial"/>
          <w:color w:val="231F1F"/>
          <w:w w:val="115"/>
          <w:sz w:val="12"/>
        </w:rPr>
        <w:t>’</w:t>
      </w:r>
      <w:r>
        <w:rPr>
          <w:color w:val="231F1F"/>
          <w:w w:val="115"/>
          <w:sz w:val="12"/>
        </w:rPr>
        <w:t>s</w:t>
      </w:r>
    </w:p>
    <w:p>
      <w:pPr>
        <w:pStyle w:val="BodyText"/>
        <w:spacing w:before="8"/>
        <w:ind w:left="0"/>
        <w:rPr>
          <w:sz w:val="14"/>
        </w:rPr>
      </w:pPr>
      <w:r>
        <w:rPr/>
        <w:br w:type="column"/>
      </w:r>
      <w:r>
        <w:rPr>
          <w:sz w:val="14"/>
        </w:rPr>
      </w:r>
    </w:p>
    <w:p>
      <w:pPr>
        <w:pStyle w:val="BodyText"/>
        <w:spacing w:before="1"/>
        <w:ind w:left="186"/>
        <w:rPr>
          <w:rFonts w:ascii="Arial" w:hAnsi="Arial"/>
        </w:rPr>
      </w:pPr>
      <w:r>
        <w:rPr>
          <w:rFonts w:ascii="Arial" w:hAnsi="Arial"/>
          <w:color w:val="008356"/>
        </w:rPr>
        <w:t>St John’s Wort</w:t>
      </w:r>
    </w:p>
    <w:p>
      <w:pPr>
        <w:pStyle w:val="BodyText"/>
        <w:spacing w:line="146" w:lineRule="exact" w:before="4"/>
        <w:ind w:left="186"/>
        <w:rPr>
          <w:rFonts w:ascii="Calibri"/>
        </w:rPr>
      </w:pPr>
      <w:r>
        <w:rPr>
          <w:rFonts w:ascii="Arial"/>
          <w:color w:val="231F1F"/>
          <w:w w:val="355"/>
          <w:position w:val="1"/>
          <w:sz w:val="7"/>
        </w:rPr>
        <w:t>l </w:t>
      </w:r>
      <w:r>
        <w:rPr>
          <w:rFonts w:ascii="Calibri"/>
          <w:color w:val="231F1F"/>
          <w:w w:val="110"/>
        </w:rPr>
        <w:t>Antivirals (continued)</w:t>
      </w:r>
    </w:p>
    <w:p>
      <w:pPr>
        <w:pStyle w:val="BodyText"/>
        <w:spacing w:line="244" w:lineRule="auto"/>
        <w:ind w:left="286" w:right="908" w:hanging="1"/>
      </w:pPr>
      <w:r>
        <w:rPr>
          <w:color w:val="231F1F"/>
          <w:w w:val="115"/>
        </w:rPr>
        <w:t>wort advised by manufacturer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5"/>
          <w:sz w:val="11"/>
        </w:rPr>
        <w:t>RILPIVIRINE </w:t>
      </w:r>
      <w:r>
        <w:rPr>
          <w:color w:val="231F1F"/>
          <w:w w:val="115"/>
        </w:rPr>
        <w:t>(plasma concentration of rilpivirine possibly reduced)</w:t>
      </w:r>
    </w:p>
    <w:p>
      <w:pPr>
        <w:pStyle w:val="BodyText"/>
        <w:spacing w:line="220" w:lineRule="auto" w:before="6"/>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St John</w:t>
      </w:r>
      <w:r>
        <w:rPr>
          <w:rFonts w:ascii="Arial" w:hAnsi="Arial"/>
          <w:color w:val="231F1F"/>
          <w:w w:val="105"/>
        </w:rPr>
        <w:t>’</w:t>
      </w:r>
      <w:r>
        <w:rPr>
          <w:color w:val="231F1F"/>
          <w:w w:val="105"/>
        </w:rPr>
        <w:t>s wort possibly reduces plasma concentration of </w:t>
      </w:r>
      <w:r>
        <w:rPr>
          <w:i/>
          <w:color w:val="231F1F"/>
          <w:w w:val="105"/>
        </w:rPr>
        <w:t>oral </w:t>
      </w:r>
      <w:r>
        <w:rPr>
          <w:rFonts w:ascii="Calibri" w:hAnsi="Calibri"/>
          <w:color w:val="008356"/>
          <w:w w:val="105"/>
          <w:sz w:val="11"/>
        </w:rPr>
        <w:t>MIDAZOLAM</w:t>
      </w:r>
    </w:p>
    <w:p>
      <w:pPr>
        <w:pStyle w:val="BodyText"/>
        <w:ind w:left="286" w:right="832" w:hanging="100"/>
        <w:rPr>
          <w:rFonts w:ascii="Calibri" w:hAnsi="Calibri"/>
          <w:sz w:val="11"/>
        </w:rPr>
      </w:pPr>
      <w:r>
        <w:rPr>
          <w:rFonts w:ascii="Arial" w:hAnsi="Arial"/>
          <w:color w:val="231F1F"/>
          <w:w w:val="355"/>
          <w:position w:val="1"/>
          <w:sz w:val="7"/>
        </w:rPr>
        <w:t>l </w:t>
      </w:r>
      <w:r>
        <w:rPr>
          <w:rFonts w:ascii="Calibri" w:hAnsi="Calibri"/>
          <w:color w:val="231F1F"/>
          <w:w w:val="110"/>
        </w:rPr>
        <w:t>Aprepitant: </w:t>
      </w:r>
      <w:r>
        <w:rPr>
          <w:color w:val="231F1F"/>
          <w:w w:val="110"/>
        </w:rPr>
        <w:t>avoidance of St John</w:t>
      </w:r>
      <w:r>
        <w:rPr>
          <w:rFonts w:ascii="Arial" w:hAnsi="Arial"/>
          <w:color w:val="231F1F"/>
          <w:w w:val="110"/>
        </w:rPr>
        <w:t>’</w:t>
      </w:r>
      <w:r>
        <w:rPr>
          <w:color w:val="231F1F"/>
          <w:w w:val="110"/>
        </w:rPr>
        <w:t>s wort advised by manufacturer of </w:t>
      </w:r>
      <w:r>
        <w:rPr>
          <w:rFonts w:ascii="Arial" w:hAnsi="Arial"/>
          <w:color w:val="231F1F"/>
          <w:w w:val="355"/>
          <w:position w:val="1"/>
          <w:sz w:val="7"/>
        </w:rPr>
        <w:t>l </w:t>
      </w:r>
      <w:r>
        <w:rPr>
          <w:rFonts w:ascii="Calibri" w:hAnsi="Calibri"/>
          <w:color w:val="008356"/>
          <w:w w:val="110"/>
          <w:sz w:val="11"/>
        </w:rPr>
        <w:t>APREPITANT</w:t>
      </w:r>
    </w:p>
    <w:p>
      <w:pPr>
        <w:pStyle w:val="BodyText"/>
        <w:spacing w:line="220" w:lineRule="auto" w:before="5"/>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line="247" w:lineRule="auto"/>
        <w:ind w:left="286" w:right="745" w:hanging="100"/>
        <w:rPr>
          <w:rFonts w:ascii="Calibri" w:hAnsi="Calibri"/>
          <w:sz w:val="11"/>
        </w:rPr>
      </w:pPr>
      <w:r>
        <w:rPr>
          <w:rFonts w:ascii="Arial" w:hAnsi="Arial"/>
          <w:color w:val="231F1F"/>
          <w:w w:val="355"/>
          <w:position w:val="1"/>
          <w:sz w:val="7"/>
        </w:rPr>
        <w:t>l </w:t>
      </w:r>
      <w:r>
        <w:rPr>
          <w:rFonts w:ascii="Calibri" w:hAnsi="Calibri"/>
          <w:color w:val="231F1F"/>
          <w:w w:val="110"/>
        </w:rPr>
        <w:t>Calcium-channel Blockers: </w:t>
      </w:r>
      <w:r>
        <w:rPr>
          <w:color w:val="231F1F"/>
          <w:w w:val="110"/>
        </w:rPr>
        <w:t>St John</w:t>
      </w:r>
      <w:r>
        <w:rPr>
          <w:rFonts w:ascii="Arial" w:hAnsi="Arial"/>
          <w:color w:val="231F1F"/>
          <w:w w:val="110"/>
        </w:rPr>
        <w:t>’</w:t>
      </w:r>
      <w:r>
        <w:rPr>
          <w:color w:val="231F1F"/>
          <w:w w:val="110"/>
        </w:rPr>
        <w:t>s wort possibly reduces plasma concentration of </w:t>
      </w:r>
      <w:r>
        <w:rPr>
          <w:rFonts w:ascii="Calibri" w:hAnsi="Calibri"/>
          <w:color w:val="008356"/>
          <w:spacing w:val="4"/>
          <w:w w:val="110"/>
          <w:sz w:val="11"/>
        </w:rPr>
        <w:t>AMLODIPINE </w:t>
      </w:r>
      <w:r>
        <w:rPr>
          <w:color w:val="231F1F"/>
          <w:w w:val="110"/>
        </w:rPr>
        <w:t>and </w:t>
      </w:r>
      <w:r>
        <w:rPr>
          <w:rFonts w:ascii="Calibri" w:hAnsi="Calibri"/>
          <w:color w:val="008356"/>
          <w:spacing w:val="4"/>
          <w:w w:val="110"/>
          <w:sz w:val="11"/>
        </w:rPr>
        <w:t>FELODIPINE</w:t>
      </w:r>
      <w:r>
        <w:rPr>
          <w:color w:val="231F1F"/>
          <w:spacing w:val="4"/>
          <w:w w:val="110"/>
        </w:rPr>
        <w:t>; </w:t>
      </w:r>
      <w:r>
        <w:rPr>
          <w:color w:val="231F1F"/>
          <w:w w:val="110"/>
        </w:rPr>
        <w:t>St John</w:t>
      </w:r>
      <w:r>
        <w:rPr>
          <w:rFonts w:ascii="Arial" w:hAnsi="Arial"/>
          <w:color w:val="231F1F"/>
          <w:w w:val="110"/>
        </w:rPr>
        <w:t>’</w:t>
      </w:r>
      <w:r>
        <w:rPr>
          <w:color w:val="231F1F"/>
          <w:w w:val="110"/>
        </w:rPr>
        <w:t>s wort reduces plasma concentration of </w:t>
      </w:r>
      <w:r>
        <w:rPr>
          <w:rFonts w:ascii="Calibri" w:hAnsi="Calibri"/>
          <w:color w:val="008356"/>
          <w:spacing w:val="4"/>
          <w:w w:val="110"/>
          <w:sz w:val="11"/>
        </w:rPr>
        <w:t>NIFEDIPINE</w:t>
      </w:r>
      <w:r>
        <w:rPr>
          <w:color w:val="231F1F"/>
          <w:spacing w:val="4"/>
          <w:w w:val="110"/>
        </w:rPr>
        <w:t>; </w:t>
      </w:r>
      <w:r>
        <w:rPr>
          <w:color w:val="231F1F"/>
          <w:w w:val="110"/>
        </w:rPr>
        <w:t>St John</w:t>
      </w:r>
      <w:r>
        <w:rPr>
          <w:rFonts w:ascii="Arial" w:hAnsi="Arial"/>
          <w:color w:val="231F1F"/>
          <w:w w:val="110"/>
        </w:rPr>
        <w:t>’</w:t>
      </w:r>
      <w:r>
        <w:rPr>
          <w:color w:val="231F1F"/>
          <w:w w:val="110"/>
        </w:rPr>
        <w:t>s wort  significantly  reduces plasma  concentration of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VERAPAMIL</w:t>
      </w:r>
    </w:p>
    <w:p>
      <w:pPr>
        <w:pStyle w:val="BodyText"/>
        <w:spacing w:line="137" w:lineRule="exact"/>
        <w:ind w:left="186"/>
      </w:pPr>
      <w:r>
        <w:rPr>
          <w:rFonts w:ascii="Arial" w:hAnsi="Arial"/>
          <w:color w:val="231F1F"/>
          <w:w w:val="355"/>
          <w:position w:val="1"/>
          <w:sz w:val="7"/>
        </w:rPr>
        <w:t>l </w:t>
      </w:r>
      <w:r>
        <w:rPr>
          <w:rFonts w:ascii="Calibri" w:hAnsi="Calibri"/>
          <w:color w:val="231F1F"/>
          <w:w w:val="110"/>
        </w:rPr>
        <w:t>Cannabis Extract: </w:t>
      </w:r>
      <w:r>
        <w:rPr>
          <w:color w:val="231F1F"/>
          <w:w w:val="110"/>
        </w:rPr>
        <w:t>St John</w:t>
      </w:r>
      <w:r>
        <w:rPr>
          <w:rFonts w:ascii="Arial" w:hAnsi="Arial"/>
          <w:color w:val="231F1F"/>
          <w:w w:val="110"/>
        </w:rPr>
        <w:t>’</w:t>
      </w:r>
      <w:r>
        <w:rPr>
          <w:color w:val="231F1F"/>
          <w:w w:val="110"/>
        </w:rPr>
        <w:t>s wort possibly reduces plasma</w:t>
      </w:r>
    </w:p>
    <w:p>
      <w:pPr>
        <w:pStyle w:val="BodyText"/>
        <w:ind w:left="286" w:right="950" w:hanging="1"/>
      </w:pPr>
      <w:r>
        <w:rPr>
          <w:color w:val="231F1F"/>
          <w:w w:val="115"/>
        </w:rPr>
        <w:t>concentration</w:t>
      </w:r>
      <w:r>
        <w:rPr>
          <w:color w:val="231F1F"/>
          <w:spacing w:val="-25"/>
          <w:w w:val="115"/>
        </w:rPr>
        <w:t> </w:t>
      </w:r>
      <w:r>
        <w:rPr>
          <w:color w:val="231F1F"/>
          <w:w w:val="115"/>
        </w:rPr>
        <w:t>of</w:t>
      </w:r>
      <w:r>
        <w:rPr>
          <w:color w:val="231F1F"/>
          <w:spacing w:val="-24"/>
          <w:w w:val="115"/>
        </w:rPr>
        <w:t> </w:t>
      </w:r>
      <w:r>
        <w:rPr>
          <w:rFonts w:ascii="Arial" w:hAnsi="Arial"/>
          <w:color w:val="231F1F"/>
          <w:w w:val="280"/>
          <w:position w:val="1"/>
          <w:sz w:val="7"/>
        </w:rPr>
        <w:t>l</w:t>
      </w:r>
      <w:r>
        <w:rPr>
          <w:rFonts w:ascii="Arial" w:hAnsi="Arial"/>
          <w:color w:val="231F1F"/>
          <w:spacing w:val="-45"/>
          <w:w w:val="280"/>
          <w:position w:val="1"/>
          <w:sz w:val="7"/>
        </w:rPr>
        <w:t> </w:t>
      </w:r>
      <w:r>
        <w:rPr>
          <w:rFonts w:ascii="Calibri" w:hAnsi="Calibri"/>
          <w:color w:val="008356"/>
          <w:spacing w:val="4"/>
          <w:w w:val="115"/>
          <w:sz w:val="11"/>
        </w:rPr>
        <w:t>CANNABIS</w:t>
      </w:r>
      <w:r>
        <w:rPr>
          <w:rFonts w:ascii="Calibri" w:hAnsi="Calibri"/>
          <w:color w:val="008356"/>
          <w:spacing w:val="-17"/>
          <w:w w:val="115"/>
          <w:sz w:val="11"/>
        </w:rPr>
        <w:t> </w:t>
      </w:r>
      <w:r>
        <w:rPr>
          <w:rFonts w:ascii="Calibri" w:hAnsi="Calibri"/>
          <w:color w:val="008356"/>
          <w:w w:val="115"/>
          <w:sz w:val="11"/>
        </w:rPr>
        <w:t>EXTRACT</w:t>
      </w:r>
      <w:r>
        <w:rPr>
          <w:rFonts w:ascii="Arial" w:hAnsi="Arial"/>
          <w:color w:val="231F1F"/>
          <w:w w:val="115"/>
        </w:rPr>
        <w:t>—</w:t>
      </w:r>
      <w:r>
        <w:rPr>
          <w:color w:val="231F1F"/>
          <w:w w:val="115"/>
        </w:rPr>
        <w:t>manufacturer</w:t>
      </w:r>
      <w:r>
        <w:rPr>
          <w:color w:val="231F1F"/>
          <w:spacing w:val="-24"/>
          <w:w w:val="115"/>
        </w:rPr>
        <w:t> </w:t>
      </w:r>
      <w:r>
        <w:rPr>
          <w:color w:val="231F1F"/>
          <w:w w:val="115"/>
        </w:rPr>
        <w:t>of cannabis extract advises avoid concomitant</w:t>
      </w:r>
      <w:r>
        <w:rPr>
          <w:color w:val="231F1F"/>
          <w:spacing w:val="-22"/>
          <w:w w:val="115"/>
        </w:rPr>
        <w:t> </w:t>
      </w:r>
      <w:r>
        <w:rPr>
          <w:color w:val="231F1F"/>
          <w:w w:val="115"/>
        </w:rPr>
        <w:t>use</w:t>
      </w:r>
    </w:p>
    <w:p>
      <w:pPr>
        <w:pStyle w:val="BodyText"/>
        <w:spacing w:before="3"/>
        <w:ind w:left="286" w:right="1156" w:hanging="100"/>
      </w:pPr>
      <w:r>
        <w:rPr>
          <w:rFonts w:ascii="Arial" w:hAnsi="Arial"/>
          <w:color w:val="231F1F"/>
          <w:w w:val="355"/>
          <w:position w:val="1"/>
          <w:sz w:val="7"/>
        </w:rPr>
        <w:t>l </w:t>
      </w:r>
      <w:r>
        <w:rPr>
          <w:rFonts w:ascii="Calibri" w:hAnsi="Calibri"/>
          <w:color w:val="231F1F"/>
          <w:w w:val="110"/>
        </w:rPr>
        <w:t>Cardiac Glycosides: </w:t>
      </w:r>
      <w:r>
        <w:rPr>
          <w:color w:val="231F1F"/>
          <w:w w:val="110"/>
        </w:rPr>
        <w:t>St John</w:t>
      </w:r>
      <w:r>
        <w:rPr>
          <w:rFonts w:ascii="Arial" w:hAnsi="Arial"/>
          <w:color w:val="231F1F"/>
          <w:w w:val="110"/>
        </w:rPr>
        <w:t>’</w:t>
      </w:r>
      <w:r>
        <w:rPr>
          <w:color w:val="231F1F"/>
          <w:w w:val="110"/>
        </w:rPr>
        <w:t>s wort reduces plasma concentration of </w:t>
      </w:r>
      <w:r>
        <w:rPr>
          <w:rFonts w:ascii="Arial" w:hAnsi="Arial"/>
          <w:color w:val="231F1F"/>
          <w:w w:val="355"/>
          <w:position w:val="1"/>
          <w:sz w:val="7"/>
        </w:rPr>
        <w:t>l </w:t>
      </w:r>
      <w:r>
        <w:rPr>
          <w:rFonts w:ascii="Calibri" w:hAnsi="Calibri"/>
          <w:color w:val="008356"/>
          <w:w w:val="110"/>
          <w:sz w:val="11"/>
        </w:rPr>
        <w:t>DIGOXIN</w:t>
      </w:r>
      <w:r>
        <w:rPr>
          <w:rFonts w:ascii="Arial" w:hAnsi="Arial"/>
          <w:color w:val="231F1F"/>
          <w:w w:val="110"/>
        </w:rPr>
        <w:t>—</w:t>
      </w:r>
      <w:r>
        <w:rPr>
          <w:color w:val="231F1F"/>
          <w:w w:val="110"/>
        </w:rPr>
        <w:t>avoid concomitant use</w:t>
      </w:r>
    </w:p>
    <w:p>
      <w:pPr>
        <w:pStyle w:val="BodyText"/>
        <w:spacing w:line="143" w:lineRule="exact"/>
        <w:ind w:left="186"/>
      </w:pPr>
      <w:r>
        <w:rPr>
          <w:rFonts w:ascii="Arial" w:hAnsi="Arial"/>
          <w:color w:val="231F1F"/>
          <w:w w:val="355"/>
          <w:position w:val="1"/>
          <w:sz w:val="7"/>
        </w:rPr>
        <w:t>l </w:t>
      </w:r>
      <w:r>
        <w:rPr>
          <w:rFonts w:ascii="Calibri" w:hAnsi="Calibri"/>
          <w:color w:val="231F1F"/>
          <w:w w:val="115"/>
        </w:rPr>
        <w:t>Ciclosporin: </w:t>
      </w:r>
      <w:r>
        <w:rPr>
          <w:color w:val="231F1F"/>
          <w:w w:val="115"/>
        </w:rPr>
        <w:t>St John</w:t>
      </w:r>
      <w:r>
        <w:rPr>
          <w:rFonts w:ascii="Arial" w:hAnsi="Arial"/>
          <w:color w:val="231F1F"/>
          <w:w w:val="115"/>
        </w:rPr>
        <w:t>’</w:t>
      </w:r>
      <w:r>
        <w:rPr>
          <w:color w:val="231F1F"/>
          <w:w w:val="115"/>
        </w:rPr>
        <w:t>s wort reduces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3"/>
          <w:w w:val="115"/>
          <w:sz w:val="11"/>
        </w:rPr>
        <w:t>CICLOSPORIN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689" w:hanging="100"/>
      </w:pPr>
      <w:r>
        <w:rPr>
          <w:rFonts w:ascii="Arial" w:hAnsi="Arial"/>
          <w:color w:val="231F1F"/>
          <w:w w:val="355"/>
          <w:position w:val="1"/>
          <w:sz w:val="7"/>
        </w:rPr>
        <w:t>l </w:t>
      </w:r>
      <w:r>
        <w:rPr>
          <w:rFonts w:ascii="Calibri" w:hAnsi="Calibri"/>
          <w:color w:val="231F1F"/>
          <w:w w:val="120"/>
        </w:rPr>
        <w:t>Cobicistat: </w:t>
      </w:r>
      <w:r>
        <w:rPr>
          <w:color w:val="231F1F"/>
          <w:w w:val="120"/>
        </w:rPr>
        <w:t>St John</w:t>
      </w:r>
      <w:r>
        <w:rPr>
          <w:rFonts w:ascii="Arial" w:hAnsi="Arial"/>
          <w:color w:val="231F1F"/>
          <w:w w:val="120"/>
        </w:rPr>
        <w:t>’</w:t>
      </w:r>
      <w:r>
        <w:rPr>
          <w:color w:val="231F1F"/>
          <w:w w:val="120"/>
        </w:rPr>
        <w:t>s wort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w:t>
      </w:r>
      <w:r>
        <w:rPr>
          <w:color w:val="231F1F"/>
          <w:w w:val="120"/>
        </w:rPr>
        <w:t>advises avoid concomitant use</w:t>
      </w:r>
    </w:p>
    <w:p>
      <w:pPr>
        <w:spacing w:line="242" w:lineRule="auto" w:before="1"/>
        <w:ind w:left="286" w:right="696" w:hanging="100"/>
        <w:jc w:val="left"/>
        <w:rPr>
          <w:rFonts w:ascii="Calibri" w:hAnsi="Calibri"/>
          <w:sz w:val="11"/>
        </w:rPr>
      </w:pPr>
      <w:r>
        <w:rPr>
          <w:rFonts w:ascii="Arial" w:hAnsi="Arial"/>
          <w:color w:val="231F1F"/>
          <w:w w:val="355"/>
          <w:position w:val="1"/>
          <w:sz w:val="7"/>
        </w:rPr>
        <w:t>l </w:t>
      </w:r>
      <w:r>
        <w:rPr>
          <w:rFonts w:ascii="Calibri" w:hAnsi="Calibri"/>
          <w:color w:val="231F1F"/>
          <w:w w:val="110"/>
          <w:sz w:val="12"/>
        </w:rPr>
        <w:t>Cytotoxics: </w:t>
      </w:r>
      <w:r>
        <w:rPr>
          <w:color w:val="231F1F"/>
          <w:w w:val="110"/>
          <w:sz w:val="12"/>
        </w:rPr>
        <w:t>St John</w:t>
      </w:r>
      <w:r>
        <w:rPr>
          <w:rFonts w:ascii="Arial" w:hAnsi="Arial"/>
          <w:color w:val="231F1F"/>
          <w:w w:val="110"/>
          <w:sz w:val="12"/>
        </w:rPr>
        <w:t>’</w:t>
      </w:r>
      <w:r>
        <w:rPr>
          <w:color w:val="231F1F"/>
          <w:w w:val="110"/>
          <w:sz w:val="12"/>
        </w:rPr>
        <w:t>s wort possibly reduces plasma concentration of </w:t>
      </w:r>
      <w:r>
        <w:rPr>
          <w:rFonts w:ascii="Calibri" w:hAnsi="Calibri"/>
          <w:color w:val="008356"/>
          <w:spacing w:val="2"/>
          <w:w w:val="110"/>
          <w:sz w:val="11"/>
        </w:rPr>
        <w:t>AXITINIB</w:t>
      </w:r>
      <w:r>
        <w:rPr>
          <w:rFonts w:ascii="Arial" w:hAnsi="Arial"/>
          <w:color w:val="231F1F"/>
          <w:spacing w:val="2"/>
          <w:w w:val="110"/>
          <w:sz w:val="12"/>
        </w:rPr>
        <w:t>—</w:t>
      </w:r>
      <w:r>
        <w:rPr>
          <w:color w:val="231F1F"/>
          <w:spacing w:val="2"/>
          <w:w w:val="110"/>
          <w:sz w:val="12"/>
        </w:rPr>
        <w:t>consider </w:t>
      </w:r>
      <w:r>
        <w:rPr>
          <w:color w:val="231F1F"/>
          <w:w w:val="110"/>
          <w:sz w:val="12"/>
        </w:rPr>
        <w:t>increasing dose of axitinib; St John</w:t>
      </w:r>
      <w:r>
        <w:rPr>
          <w:rFonts w:ascii="Arial" w:hAnsi="Arial"/>
          <w:color w:val="231F1F"/>
          <w:w w:val="110"/>
          <w:sz w:val="12"/>
        </w:rPr>
        <w:t>’</w:t>
      </w:r>
      <w:r>
        <w:rPr>
          <w:color w:val="231F1F"/>
          <w:w w:val="110"/>
          <w:sz w:val="12"/>
        </w:rPr>
        <w:t>s wort possibly reduces plasma concentration of </w:t>
      </w:r>
      <w:r>
        <w:rPr>
          <w:rFonts w:ascii="Calibri" w:hAnsi="Calibri"/>
          <w:color w:val="008356"/>
          <w:spacing w:val="4"/>
          <w:w w:val="110"/>
          <w:sz w:val="11"/>
        </w:rPr>
        <w:t>BORTEZOMIB</w:t>
      </w:r>
      <w:r>
        <w:rPr>
          <w:color w:val="231F1F"/>
          <w:spacing w:val="4"/>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0"/>
          <w:sz w:val="11"/>
        </w:rPr>
        <w:t>BOSUTINIB</w:t>
      </w:r>
      <w:r>
        <w:rPr>
          <w:color w:val="231F1F"/>
          <w:spacing w:val="4"/>
          <w:w w:val="110"/>
          <w:sz w:val="12"/>
        </w:rPr>
        <w:t>, </w:t>
      </w:r>
      <w:r>
        <w:rPr>
          <w:rFonts w:ascii="Calibri" w:hAnsi="Calibri"/>
          <w:color w:val="008356"/>
          <w:spacing w:val="4"/>
          <w:w w:val="110"/>
          <w:sz w:val="11"/>
        </w:rPr>
        <w:t>CABOZANTINIB</w:t>
      </w:r>
      <w:r>
        <w:rPr>
          <w:color w:val="231F1F"/>
          <w:spacing w:val="4"/>
          <w:w w:val="110"/>
          <w:sz w:val="12"/>
        </w:rPr>
        <w:t>, </w:t>
      </w:r>
      <w:r>
        <w:rPr>
          <w:rFonts w:ascii="Calibri" w:hAnsi="Calibri"/>
          <w:color w:val="008356"/>
          <w:spacing w:val="4"/>
          <w:w w:val="105"/>
          <w:sz w:val="11"/>
        </w:rPr>
        <w:t>CRIZOTINIB</w:t>
      </w:r>
      <w:r>
        <w:rPr>
          <w:color w:val="231F1F"/>
          <w:spacing w:val="4"/>
          <w:w w:val="105"/>
          <w:sz w:val="12"/>
        </w:rPr>
        <w:t>, </w:t>
      </w:r>
      <w:r>
        <w:rPr>
          <w:rFonts w:ascii="Calibri" w:hAnsi="Calibri"/>
          <w:color w:val="008356"/>
          <w:spacing w:val="4"/>
          <w:w w:val="105"/>
          <w:sz w:val="11"/>
        </w:rPr>
        <w:t>EVEROLIMUS</w:t>
      </w:r>
      <w:r>
        <w:rPr>
          <w:color w:val="231F1F"/>
          <w:spacing w:val="4"/>
          <w:w w:val="105"/>
          <w:sz w:val="12"/>
        </w:rPr>
        <w:t>, </w:t>
      </w:r>
      <w:r>
        <w:rPr>
          <w:rFonts w:ascii="Arial" w:hAnsi="Arial"/>
          <w:color w:val="231F1F"/>
          <w:w w:val="105"/>
          <w:position w:val="1"/>
          <w:sz w:val="7"/>
        </w:rPr>
        <w:t>l </w:t>
      </w:r>
      <w:r>
        <w:rPr>
          <w:rFonts w:ascii="Calibri" w:hAnsi="Calibri"/>
          <w:color w:val="008356"/>
          <w:spacing w:val="4"/>
          <w:w w:val="105"/>
          <w:sz w:val="11"/>
        </w:rPr>
        <w:t>IBRUTINIB</w:t>
      </w:r>
      <w:r>
        <w:rPr>
          <w:color w:val="231F1F"/>
          <w:spacing w:val="4"/>
          <w:w w:val="105"/>
          <w:sz w:val="12"/>
        </w:rPr>
        <w:t>, </w:t>
      </w:r>
      <w:r>
        <w:rPr>
          <w:rFonts w:ascii="Arial" w:hAnsi="Arial"/>
          <w:color w:val="231F1F"/>
          <w:w w:val="105"/>
          <w:position w:val="1"/>
          <w:sz w:val="7"/>
        </w:rPr>
        <w:t>l </w:t>
      </w:r>
      <w:r>
        <w:rPr>
          <w:rFonts w:ascii="Calibri" w:hAnsi="Calibri"/>
          <w:color w:val="008356"/>
          <w:spacing w:val="4"/>
          <w:w w:val="105"/>
          <w:sz w:val="11"/>
        </w:rPr>
        <w:t>IDELALISIB</w:t>
      </w:r>
      <w:r>
        <w:rPr>
          <w:color w:val="231F1F"/>
          <w:spacing w:val="4"/>
          <w:w w:val="105"/>
          <w:sz w:val="12"/>
        </w:rPr>
        <w:t>, </w:t>
      </w:r>
      <w:r>
        <w:rPr>
          <w:rFonts w:ascii="Calibri" w:hAnsi="Calibri"/>
          <w:color w:val="008356"/>
          <w:spacing w:val="4"/>
          <w:w w:val="105"/>
          <w:sz w:val="11"/>
        </w:rPr>
        <w:t>PONATINIB</w:t>
      </w:r>
    </w:p>
    <w:p>
      <w:pPr>
        <w:pStyle w:val="BodyText"/>
        <w:spacing w:line="247" w:lineRule="auto" w:before="1"/>
        <w:ind w:left="286" w:right="679"/>
      </w:pPr>
      <w:r>
        <w:rPr>
          <w:color w:val="231F1F"/>
          <w:w w:val="115"/>
        </w:rPr>
        <w:t>and </w:t>
      </w:r>
      <w:r>
        <w:rPr>
          <w:rFonts w:ascii="Arial" w:hAnsi="Arial"/>
          <w:color w:val="231F1F"/>
          <w:w w:val="115"/>
          <w:position w:val="1"/>
          <w:sz w:val="7"/>
        </w:rPr>
        <w:t>l </w:t>
      </w:r>
      <w:r>
        <w:rPr>
          <w:rFonts w:ascii="Calibri" w:hAnsi="Calibri"/>
          <w:color w:val="008356"/>
          <w:w w:val="115"/>
          <w:sz w:val="11"/>
        </w:rPr>
        <w:t>VINFLUNINE</w:t>
      </w:r>
      <w:r>
        <w:rPr>
          <w:rFonts w:ascii="Arial" w:hAnsi="Arial"/>
          <w:color w:val="231F1F"/>
          <w:w w:val="115"/>
        </w:rPr>
        <w:t>—</w:t>
      </w:r>
      <w:r>
        <w:rPr>
          <w:color w:val="231F1F"/>
          <w:w w:val="115"/>
        </w:rPr>
        <w:t>manufacturer of bortezomib, bosutinib, cabozantinib, crizotinib, everolimus, ibrutinib, idelalisib, </w:t>
      </w:r>
      <w:r>
        <w:rPr>
          <w:color w:val="231F1F"/>
          <w:w w:val="120"/>
        </w:rPr>
        <w:t>ponatinib and vinflunine advises avoid concomitant use; avoidance of St John</w:t>
      </w:r>
      <w:r>
        <w:rPr>
          <w:rFonts w:ascii="Arial" w:hAnsi="Arial"/>
          <w:color w:val="231F1F"/>
          <w:w w:val="120"/>
        </w:rPr>
        <w:t>’</w:t>
      </w:r>
      <w:r>
        <w:rPr>
          <w:color w:val="231F1F"/>
          <w:w w:val="120"/>
        </w:rPr>
        <w:t>s wort advised by manufacturer of</w:t>
      </w:r>
    </w:p>
    <w:p>
      <w:pPr>
        <w:spacing w:before="1"/>
        <w:ind w:left="286" w:right="0" w:firstLine="0"/>
        <w:jc w:val="left"/>
        <w:rPr>
          <w:sz w:val="12"/>
        </w:rPr>
      </w:pPr>
      <w:r>
        <w:rPr>
          <w:rFonts w:ascii="Arial"/>
          <w:color w:val="231F1F"/>
          <w:w w:val="355"/>
          <w:position w:val="1"/>
          <w:sz w:val="7"/>
        </w:rPr>
        <w:t>l </w:t>
      </w:r>
      <w:r>
        <w:rPr>
          <w:rFonts w:ascii="Calibri"/>
          <w:color w:val="008356"/>
          <w:spacing w:val="4"/>
          <w:w w:val="115"/>
          <w:sz w:val="11"/>
        </w:rPr>
        <w:t>CABAZITAXEL</w:t>
      </w:r>
      <w:r>
        <w:rPr>
          <w:color w:val="231F1F"/>
          <w:spacing w:val="4"/>
          <w:w w:val="115"/>
          <w:sz w:val="12"/>
        </w:rPr>
        <w:t>, </w:t>
      </w:r>
      <w:r>
        <w:rPr>
          <w:rFonts w:ascii="Calibri"/>
          <w:color w:val="008356"/>
          <w:spacing w:val="4"/>
          <w:w w:val="115"/>
          <w:sz w:val="11"/>
        </w:rPr>
        <w:t>DABRAFENIB</w:t>
      </w:r>
      <w:r>
        <w:rPr>
          <w:color w:val="231F1F"/>
          <w:spacing w:val="4"/>
          <w:w w:val="115"/>
          <w:sz w:val="12"/>
        </w:rPr>
        <w:t>, </w:t>
      </w:r>
      <w:r>
        <w:rPr>
          <w:rFonts w:ascii="Calibri"/>
          <w:color w:val="008356"/>
          <w:spacing w:val="4"/>
          <w:w w:val="115"/>
          <w:sz w:val="11"/>
        </w:rPr>
        <w:t>GEFITINIB</w:t>
      </w:r>
      <w:r>
        <w:rPr>
          <w:color w:val="231F1F"/>
          <w:spacing w:val="4"/>
          <w:w w:val="115"/>
          <w:sz w:val="12"/>
        </w:rPr>
        <w:t>, </w:t>
      </w:r>
      <w:r>
        <w:rPr>
          <w:rFonts w:ascii="Arial"/>
          <w:color w:val="231F1F"/>
          <w:w w:val="355"/>
          <w:position w:val="1"/>
          <w:sz w:val="7"/>
        </w:rPr>
        <w:t>l </w:t>
      </w:r>
      <w:r>
        <w:rPr>
          <w:rFonts w:ascii="Calibri"/>
          <w:color w:val="008356"/>
          <w:spacing w:val="3"/>
          <w:w w:val="115"/>
          <w:sz w:val="11"/>
        </w:rPr>
        <w:t>LAPATINIB </w:t>
      </w:r>
      <w:r>
        <w:rPr>
          <w:color w:val="231F1F"/>
          <w:w w:val="115"/>
          <w:sz w:val="12"/>
        </w:rPr>
        <w:t>and</w:t>
      </w:r>
    </w:p>
    <w:p>
      <w:pPr>
        <w:pStyle w:val="BodyText"/>
        <w:spacing w:line="242" w:lineRule="auto" w:before="2"/>
        <w:ind w:left="286" w:right="616"/>
      </w:pPr>
      <w:r>
        <w:rPr>
          <w:rFonts w:ascii="Calibri" w:hAnsi="Calibri"/>
          <w:color w:val="008356"/>
          <w:w w:val="110"/>
          <w:sz w:val="11"/>
        </w:rPr>
        <w:t>VEMURAFENIB</w:t>
      </w:r>
      <w:r>
        <w:rPr>
          <w:color w:val="231F1F"/>
          <w:w w:val="110"/>
        </w:rPr>
        <w:t>; St John</w:t>
      </w:r>
      <w:r>
        <w:rPr>
          <w:rFonts w:ascii="Arial" w:hAnsi="Arial"/>
          <w:color w:val="231F1F"/>
          <w:w w:val="110"/>
        </w:rPr>
        <w:t>’</w:t>
      </w:r>
      <w:r>
        <w:rPr>
          <w:color w:val="231F1F"/>
          <w:w w:val="110"/>
        </w:rPr>
        <w:t>s wort reduces plasma concentration of </w:t>
      </w:r>
      <w:r>
        <w:rPr>
          <w:rFonts w:ascii="Arial" w:hAnsi="Arial"/>
          <w:color w:val="231F1F"/>
          <w:w w:val="355"/>
          <w:position w:val="1"/>
          <w:sz w:val="7"/>
        </w:rPr>
        <w:t>l </w:t>
      </w:r>
      <w:r>
        <w:rPr>
          <w:rFonts w:ascii="Calibri" w:hAnsi="Calibri"/>
          <w:color w:val="008356"/>
          <w:w w:val="110"/>
          <w:sz w:val="11"/>
        </w:rPr>
        <w:t>IMATINIB</w:t>
      </w:r>
      <w:r>
        <w:rPr>
          <w:rFonts w:ascii="Arial" w:hAnsi="Arial"/>
          <w:color w:val="231F1F"/>
          <w:w w:val="110"/>
        </w:rPr>
        <w:t>—</w:t>
      </w:r>
      <w:r>
        <w:rPr>
          <w:color w:val="231F1F"/>
          <w:w w:val="110"/>
        </w:rPr>
        <w:t>avoid concomitant use; avoidance of St John</w:t>
      </w:r>
      <w:r>
        <w:rPr>
          <w:rFonts w:ascii="Arial" w:hAnsi="Arial"/>
          <w:color w:val="231F1F"/>
          <w:w w:val="110"/>
        </w:rPr>
        <w:t>’</w:t>
      </w:r>
      <w:r>
        <w:rPr>
          <w:color w:val="231F1F"/>
          <w:w w:val="110"/>
        </w:rPr>
        <w:t>s wort advised by manufacturer of </w:t>
      </w:r>
      <w:r>
        <w:rPr>
          <w:rFonts w:ascii="Calibri" w:hAnsi="Calibri"/>
          <w:color w:val="008356"/>
          <w:w w:val="110"/>
          <w:sz w:val="11"/>
        </w:rPr>
        <w:t>VANDETANIB </w:t>
      </w:r>
      <w:r>
        <w:rPr>
          <w:color w:val="231F1F"/>
          <w:w w:val="110"/>
        </w:rPr>
        <w:t>and</w:t>
      </w:r>
    </w:p>
    <w:p>
      <w:pPr>
        <w:pStyle w:val="BodyText"/>
        <w:spacing w:line="244" w:lineRule="auto"/>
        <w:ind w:left="286" w:right="827"/>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4"/>
          <w:w w:val="115"/>
          <w:sz w:val="11"/>
        </w:rPr>
        <w:t>VISMODEGIB</w:t>
      </w:r>
      <w:r>
        <w:rPr>
          <w:rFonts w:ascii="Calibri" w:hAnsi="Calibri"/>
          <w:color w:val="008356"/>
          <w:spacing w:val="-2"/>
          <w:w w:val="115"/>
          <w:sz w:val="11"/>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vandetanib</w:t>
      </w:r>
      <w:r>
        <w:rPr>
          <w:color w:val="231F1F"/>
          <w:spacing w:val="-13"/>
          <w:w w:val="115"/>
        </w:rPr>
        <w:t> </w:t>
      </w:r>
      <w:r>
        <w:rPr>
          <w:color w:val="231F1F"/>
          <w:w w:val="115"/>
        </w:rPr>
        <w:t>and vismodegib possibly reduced); St John</w:t>
      </w:r>
      <w:r>
        <w:rPr>
          <w:rFonts w:ascii="Arial" w:hAnsi="Arial"/>
          <w:color w:val="231F1F"/>
          <w:w w:val="115"/>
        </w:rPr>
        <w:t>’</w:t>
      </w:r>
      <w:r>
        <w:rPr>
          <w:color w:val="231F1F"/>
          <w:w w:val="115"/>
        </w:rPr>
        <w:t>s wort possibly reduces</w:t>
      </w:r>
      <w:r>
        <w:rPr>
          <w:color w:val="231F1F"/>
          <w:spacing w:val="-14"/>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rFonts w:ascii="Calibri" w:hAnsi="Calibri"/>
          <w:color w:val="008356"/>
          <w:spacing w:val="4"/>
          <w:w w:val="115"/>
          <w:sz w:val="11"/>
        </w:rPr>
        <w:t>ERIBULIN</w:t>
      </w:r>
      <w:r>
        <w:rPr>
          <w:color w:val="231F1F"/>
          <w:spacing w:val="4"/>
          <w:w w:val="115"/>
        </w:rPr>
        <w:t>;</w:t>
      </w:r>
      <w:r>
        <w:rPr>
          <w:color w:val="231F1F"/>
          <w:spacing w:val="-11"/>
          <w:w w:val="115"/>
        </w:rPr>
        <w:t> </w:t>
      </w:r>
      <w:r>
        <w:rPr>
          <w:color w:val="231F1F"/>
          <w:w w:val="115"/>
        </w:rPr>
        <w:t>St</w:t>
      </w:r>
      <w:r>
        <w:rPr>
          <w:color w:val="231F1F"/>
          <w:spacing w:val="-13"/>
          <w:w w:val="115"/>
        </w:rPr>
        <w:t> </w:t>
      </w:r>
      <w:r>
        <w:rPr>
          <w:color w:val="231F1F"/>
          <w:w w:val="115"/>
        </w:rPr>
        <w:t>John</w:t>
      </w:r>
      <w:r>
        <w:rPr>
          <w:rFonts w:ascii="Arial" w:hAnsi="Arial"/>
          <w:color w:val="231F1F"/>
          <w:w w:val="115"/>
        </w:rPr>
        <w:t>’</w:t>
      </w:r>
      <w:r>
        <w:rPr>
          <w:color w:val="231F1F"/>
          <w:w w:val="115"/>
        </w:rPr>
        <w:t>s</w:t>
      </w:r>
      <w:r>
        <w:rPr>
          <w:color w:val="231F1F"/>
          <w:spacing w:val="-12"/>
          <w:w w:val="115"/>
        </w:rPr>
        <w:t> </w:t>
      </w:r>
      <w:r>
        <w:rPr>
          <w:color w:val="231F1F"/>
          <w:w w:val="115"/>
        </w:rPr>
        <w:t>wort accelerates</w:t>
      </w:r>
      <w:r>
        <w:rPr>
          <w:color w:val="231F1F"/>
          <w:spacing w:val="-19"/>
          <w:w w:val="115"/>
        </w:rPr>
        <w:t> </w:t>
      </w:r>
      <w:r>
        <w:rPr>
          <w:color w:val="231F1F"/>
          <w:w w:val="115"/>
        </w:rPr>
        <w:t>metabolism</w:t>
      </w:r>
      <w:r>
        <w:rPr>
          <w:color w:val="231F1F"/>
          <w:spacing w:val="-19"/>
          <w:w w:val="115"/>
        </w:rPr>
        <w:t> </w:t>
      </w:r>
      <w:r>
        <w:rPr>
          <w:color w:val="231F1F"/>
          <w:w w:val="115"/>
        </w:rPr>
        <w:t>of</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IRINOTECAN</w:t>
      </w:r>
      <w:r>
        <w:rPr>
          <w:rFonts w:ascii="Calibri" w:hAnsi="Calibri"/>
          <w:color w:val="008356"/>
          <w:spacing w:val="-9"/>
          <w:w w:val="115"/>
          <w:sz w:val="11"/>
        </w:rPr>
        <w:t> </w:t>
      </w:r>
      <w:r>
        <w:rPr>
          <w:color w:val="231F1F"/>
          <w:w w:val="115"/>
        </w:rPr>
        <w:t>(reduced</w:t>
      </w:r>
      <w:r>
        <w:rPr>
          <w:color w:val="231F1F"/>
          <w:spacing w:val="-18"/>
          <w:w w:val="115"/>
        </w:rPr>
        <w:t> </w:t>
      </w:r>
      <w:r>
        <w:rPr>
          <w:color w:val="231F1F"/>
          <w:w w:val="115"/>
        </w:rPr>
        <w:t>plasma concentration</w:t>
      </w:r>
      <w:r>
        <w:rPr>
          <w:rFonts w:ascii="Arial" w:hAnsi="Arial"/>
          <w:color w:val="231F1F"/>
          <w:w w:val="115"/>
        </w:rPr>
        <w:t>—</w:t>
      </w:r>
      <w:r>
        <w:rPr>
          <w:color w:val="231F1F"/>
          <w:w w:val="115"/>
        </w:rPr>
        <w:t>avoid concomitant</w:t>
      </w:r>
      <w:r>
        <w:rPr>
          <w:color w:val="231F1F"/>
          <w:spacing w:val="-11"/>
          <w:w w:val="115"/>
        </w:rPr>
        <w:t> </w:t>
      </w:r>
      <w:r>
        <w:rPr>
          <w:color w:val="231F1F"/>
          <w:w w:val="115"/>
        </w:rPr>
        <w:t>use)</w:t>
      </w:r>
    </w:p>
    <w:p>
      <w:pPr>
        <w:pStyle w:val="BodyText"/>
        <w:spacing w:line="244" w:lineRule="auto"/>
        <w:ind w:left="286" w:right="654" w:hanging="100"/>
      </w:pPr>
      <w:r>
        <w:rPr>
          <w:rFonts w:ascii="Arial" w:hAnsi="Arial"/>
          <w:color w:val="231F1F"/>
          <w:w w:val="355"/>
          <w:position w:val="1"/>
          <w:sz w:val="7"/>
        </w:rPr>
        <w:t>l </w:t>
      </w:r>
      <w:r>
        <w:rPr>
          <w:rFonts w:ascii="Calibri" w:hAnsi="Calibri"/>
          <w:color w:val="231F1F"/>
          <w:w w:val="110"/>
        </w:rPr>
        <w:t>Dapoxetine: </w:t>
      </w:r>
      <w:r>
        <w:rPr>
          <w:color w:val="231F1F"/>
          <w:w w:val="110"/>
        </w:rPr>
        <w:t>possible increased risk of serotonergic effects when St John</w:t>
      </w:r>
      <w:r>
        <w:rPr>
          <w:rFonts w:ascii="Arial" w:hAnsi="Arial"/>
          <w:color w:val="231F1F"/>
          <w:w w:val="110"/>
        </w:rPr>
        <w:t>’</w:t>
      </w:r>
      <w:r>
        <w:rPr>
          <w:color w:val="231F1F"/>
          <w:w w:val="110"/>
        </w:rPr>
        <w:t>s wort given with </w:t>
      </w:r>
      <w:r>
        <w:rPr>
          <w:rFonts w:ascii="Arial" w:hAnsi="Arial"/>
          <w:color w:val="231F1F"/>
          <w:w w:val="355"/>
          <w:position w:val="1"/>
          <w:sz w:val="7"/>
        </w:rPr>
        <w:t>l </w:t>
      </w:r>
      <w:r>
        <w:rPr>
          <w:rFonts w:ascii="Calibri" w:hAnsi="Calibri"/>
          <w:color w:val="008356"/>
          <w:spacing w:val="4"/>
          <w:w w:val="110"/>
          <w:sz w:val="11"/>
        </w:rPr>
        <w:t>DAPOXETINE </w:t>
      </w:r>
      <w:r>
        <w:rPr>
          <w:color w:val="231F1F"/>
          <w:w w:val="110"/>
        </w:rPr>
        <w:t>(manufacturer of dapoxetine advises St John</w:t>
      </w:r>
      <w:r>
        <w:rPr>
          <w:rFonts w:ascii="Arial" w:hAnsi="Arial"/>
          <w:color w:val="231F1F"/>
          <w:w w:val="110"/>
        </w:rPr>
        <w:t>’</w:t>
      </w:r>
      <w:r>
        <w:rPr>
          <w:color w:val="231F1F"/>
          <w:w w:val="110"/>
        </w:rPr>
        <w:t>s wort should not be started until 1 week after stopping  dapoxetine, avoid dapoxetine </w:t>
      </w:r>
      <w:r>
        <w:rPr>
          <w:color w:val="231F1F"/>
          <w:spacing w:val="-5"/>
          <w:w w:val="110"/>
        </w:rPr>
        <w:t>for  </w:t>
      </w:r>
      <w:r>
        <w:rPr>
          <w:color w:val="231F1F"/>
          <w:w w:val="110"/>
        </w:rPr>
        <w:t>2 weeks after stopping St John</w:t>
      </w:r>
      <w:r>
        <w:rPr>
          <w:rFonts w:ascii="Arial" w:hAnsi="Arial"/>
          <w:color w:val="231F1F"/>
          <w:w w:val="110"/>
        </w:rPr>
        <w:t>’</w:t>
      </w:r>
      <w:r>
        <w:rPr>
          <w:color w:val="231F1F"/>
          <w:w w:val="110"/>
        </w:rPr>
        <w:t>s</w:t>
      </w:r>
      <w:r>
        <w:rPr>
          <w:color w:val="231F1F"/>
          <w:spacing w:val="-5"/>
          <w:w w:val="110"/>
        </w:rPr>
        <w:t> </w:t>
      </w:r>
      <w:r>
        <w:rPr>
          <w:color w:val="231F1F"/>
          <w:w w:val="110"/>
        </w:rPr>
        <w:t>wort)</w:t>
      </w:r>
    </w:p>
    <w:p>
      <w:pPr>
        <w:pStyle w:val="BodyText"/>
        <w:spacing w:line="144" w:lineRule="exact"/>
        <w:ind w:left="186"/>
      </w:pPr>
      <w:r>
        <w:rPr>
          <w:rFonts w:ascii="Arial" w:hAnsi="Arial"/>
          <w:color w:val="231F1F"/>
          <w:w w:val="355"/>
          <w:position w:val="1"/>
          <w:sz w:val="7"/>
        </w:rPr>
        <w:t>l </w:t>
      </w:r>
      <w:r>
        <w:rPr>
          <w:rFonts w:ascii="Calibri" w:hAnsi="Calibri"/>
          <w:color w:val="231F1F"/>
          <w:w w:val="120"/>
        </w:rPr>
        <w:t>Diuretics: </w:t>
      </w:r>
      <w:r>
        <w:rPr>
          <w:color w:val="231F1F"/>
          <w:w w:val="120"/>
        </w:rPr>
        <w:t>St John</w:t>
      </w:r>
      <w:r>
        <w:rPr>
          <w:rFonts w:ascii="Arial" w:hAnsi="Arial"/>
          <w:color w:val="231F1F"/>
          <w:w w:val="120"/>
        </w:rPr>
        <w:t>’</w:t>
      </w:r>
      <w:r>
        <w:rPr>
          <w:color w:val="231F1F"/>
          <w:w w:val="120"/>
        </w:rPr>
        <w:t>s wort reduces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32" w:lineRule="auto"/>
        <w:ind w:left="286" w:right="689" w:hanging="100"/>
      </w:pPr>
      <w:r>
        <w:rPr>
          <w:rFonts w:ascii="Lucida Sans Unicode" w:hAnsi="Lucida Sans Unicode"/>
          <w:color w:val="A7A8AC"/>
          <w:w w:val="95"/>
          <w:sz w:val="10"/>
        </w:rPr>
        <w:t>▶ </w:t>
      </w:r>
      <w:r>
        <w:rPr>
          <w:rFonts w:ascii="Calibri" w:hAnsi="Calibri"/>
          <w:color w:val="231F1F"/>
          <w:w w:val="110"/>
        </w:rPr>
        <w:t>Fingolimod: </w:t>
      </w:r>
      <w:r>
        <w:rPr>
          <w:color w:val="231F1F"/>
          <w:w w:val="110"/>
        </w:rPr>
        <w:t>St John</w:t>
      </w:r>
      <w:r>
        <w:rPr>
          <w:rFonts w:ascii="Arial" w:hAnsi="Arial"/>
          <w:color w:val="231F1F"/>
          <w:w w:val="110"/>
        </w:rPr>
        <w:t>’</w:t>
      </w:r>
      <w:r>
        <w:rPr>
          <w:color w:val="231F1F"/>
          <w:w w:val="110"/>
        </w:rPr>
        <w:t>s wort possibly reduces plasma concentration of </w:t>
      </w:r>
      <w:r>
        <w:rPr>
          <w:rFonts w:ascii="Calibri" w:hAnsi="Calibri"/>
          <w:color w:val="008356"/>
          <w:w w:val="110"/>
          <w:sz w:val="11"/>
        </w:rPr>
        <w:t>FINGOLIMOD</w:t>
      </w:r>
      <w:r>
        <w:rPr>
          <w:rFonts w:ascii="Arial" w:hAnsi="Arial"/>
          <w:color w:val="231F1F"/>
          <w:w w:val="110"/>
        </w:rPr>
        <w:t>—</w:t>
      </w:r>
      <w:r>
        <w:rPr>
          <w:color w:val="231F1F"/>
          <w:w w:val="110"/>
        </w:rPr>
        <w:t>manufacturer of fingolimod advises avoid concomitant use</w:t>
      </w:r>
    </w:p>
    <w:p>
      <w:pPr>
        <w:pStyle w:val="BodyText"/>
        <w:ind w:left="286" w:right="1100" w:hanging="100"/>
        <w:rPr>
          <w:rFonts w:ascii="Calibri" w:hAnsi="Calibri"/>
          <w:sz w:val="11"/>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231F1F"/>
          <w:w w:val="110"/>
        </w:rPr>
        <w:t>Fosaprepitant: </w:t>
      </w:r>
      <w:r>
        <w:rPr>
          <w:color w:val="231F1F"/>
          <w:w w:val="110"/>
        </w:rPr>
        <w:t>avoidance of St John</w:t>
      </w:r>
      <w:r>
        <w:rPr>
          <w:rFonts w:ascii="Arial" w:hAnsi="Arial"/>
          <w:color w:val="231F1F"/>
          <w:w w:val="110"/>
        </w:rPr>
        <w:t>’</w:t>
      </w:r>
      <w:r>
        <w:rPr>
          <w:color w:val="231F1F"/>
          <w:w w:val="110"/>
        </w:rPr>
        <w:t>s wort advised </w:t>
      </w:r>
      <w:r>
        <w:rPr>
          <w:color w:val="231F1F"/>
          <w:spacing w:val="-6"/>
          <w:w w:val="110"/>
        </w:rPr>
        <w:t>by </w:t>
      </w:r>
      <w:r>
        <w:rPr>
          <w:color w:val="231F1F"/>
          <w:w w:val="110"/>
        </w:rPr>
        <w:t>manufacturer of </w:t>
      </w:r>
      <w:r>
        <w:rPr>
          <w:rFonts w:ascii="Arial" w:hAnsi="Arial"/>
          <w:color w:val="231F1F"/>
          <w:w w:val="355"/>
          <w:position w:val="1"/>
          <w:sz w:val="7"/>
        </w:rPr>
        <w:t>l </w:t>
      </w:r>
      <w:r>
        <w:rPr>
          <w:rFonts w:ascii="Calibri" w:hAnsi="Calibri"/>
          <w:color w:val="008356"/>
          <w:spacing w:val="4"/>
          <w:w w:val="110"/>
          <w:sz w:val="11"/>
        </w:rPr>
        <w:t>FOSAPREPITANT</w:t>
      </w:r>
    </w:p>
    <w:p>
      <w:pPr>
        <w:pStyle w:val="BodyText"/>
        <w:ind w:left="286" w:right="682" w:hanging="100"/>
      </w:pPr>
      <w:r>
        <w:rPr>
          <w:rFonts w:ascii="Arial" w:hAnsi="Arial"/>
          <w:color w:val="231F1F"/>
          <w:w w:val="115"/>
          <w:position w:val="1"/>
          <w:sz w:val="7"/>
        </w:rPr>
        <w:t>l</w:t>
      </w:r>
      <w:r>
        <w:rPr>
          <w:rFonts w:ascii="Arial" w:hAnsi="Arial"/>
          <w:color w:val="231F1F"/>
          <w:spacing w:val="-3"/>
          <w:w w:val="115"/>
          <w:position w:val="1"/>
          <w:sz w:val="7"/>
        </w:rPr>
        <w:t> </w:t>
      </w:r>
      <w:r>
        <w:rPr>
          <w:rFonts w:ascii="Calibri" w:hAnsi="Calibri"/>
          <w:color w:val="231F1F"/>
          <w:w w:val="115"/>
        </w:rPr>
        <w:t>Hormone</w:t>
      </w:r>
      <w:r>
        <w:rPr>
          <w:rFonts w:ascii="Calibri" w:hAnsi="Calibri"/>
          <w:color w:val="231F1F"/>
          <w:spacing w:val="-16"/>
          <w:w w:val="115"/>
        </w:rPr>
        <w:t> </w:t>
      </w:r>
      <w:r>
        <w:rPr>
          <w:rFonts w:ascii="Calibri" w:hAnsi="Calibri"/>
          <w:color w:val="231F1F"/>
          <w:w w:val="115"/>
        </w:rPr>
        <w:t>Antagonists:</w:t>
      </w:r>
      <w:r>
        <w:rPr>
          <w:rFonts w:ascii="Calibri" w:hAnsi="Calibri"/>
          <w:color w:val="231F1F"/>
          <w:spacing w:val="-15"/>
          <w:w w:val="115"/>
        </w:rPr>
        <w:t> </w:t>
      </w:r>
      <w:r>
        <w:rPr>
          <w:color w:val="231F1F"/>
          <w:w w:val="115"/>
        </w:rPr>
        <w:t>St</w:t>
      </w:r>
      <w:r>
        <w:rPr>
          <w:color w:val="231F1F"/>
          <w:spacing w:val="-19"/>
          <w:w w:val="115"/>
        </w:rPr>
        <w:t> </w:t>
      </w:r>
      <w:r>
        <w:rPr>
          <w:color w:val="231F1F"/>
          <w:w w:val="115"/>
        </w:rPr>
        <w:t>John</w:t>
      </w:r>
      <w:r>
        <w:rPr>
          <w:rFonts w:ascii="Arial" w:hAnsi="Arial"/>
          <w:color w:val="231F1F"/>
          <w:w w:val="115"/>
        </w:rPr>
        <w:t>’</w:t>
      </w:r>
      <w:r>
        <w:rPr>
          <w:color w:val="231F1F"/>
          <w:w w:val="115"/>
        </w:rPr>
        <w:t>s</w:t>
      </w:r>
      <w:r>
        <w:rPr>
          <w:color w:val="231F1F"/>
          <w:spacing w:val="-18"/>
          <w:w w:val="115"/>
        </w:rPr>
        <w:t> </w:t>
      </w:r>
      <w:r>
        <w:rPr>
          <w:color w:val="231F1F"/>
          <w:w w:val="115"/>
        </w:rPr>
        <w:t>wort</w:t>
      </w:r>
      <w:r>
        <w:rPr>
          <w:color w:val="231F1F"/>
          <w:spacing w:val="-19"/>
          <w:w w:val="115"/>
        </w:rPr>
        <w:t> </w:t>
      </w:r>
      <w:r>
        <w:rPr>
          <w:color w:val="231F1F"/>
          <w:w w:val="115"/>
        </w:rPr>
        <w:t>possibly</w:t>
      </w:r>
      <w:r>
        <w:rPr>
          <w:color w:val="231F1F"/>
          <w:spacing w:val="-19"/>
          <w:w w:val="115"/>
        </w:rPr>
        <w:t> </w:t>
      </w:r>
      <w:r>
        <w:rPr>
          <w:color w:val="231F1F"/>
          <w:w w:val="115"/>
        </w:rPr>
        <w:t>reduces</w:t>
      </w:r>
      <w:r>
        <w:rPr>
          <w:color w:val="231F1F"/>
          <w:spacing w:val="-18"/>
          <w:w w:val="115"/>
        </w:rPr>
        <w:t> </w:t>
      </w:r>
      <w:r>
        <w:rPr>
          <w:color w:val="231F1F"/>
          <w:spacing w:val="-3"/>
          <w:w w:val="115"/>
        </w:rPr>
        <w:t>plasma </w:t>
      </w:r>
      <w:r>
        <w:rPr>
          <w:color w:val="231F1F"/>
          <w:w w:val="120"/>
        </w:rPr>
        <w:t>concentration of </w:t>
      </w:r>
      <w:r>
        <w:rPr>
          <w:rFonts w:ascii="Arial" w:hAnsi="Arial"/>
          <w:color w:val="231F1F"/>
          <w:w w:val="355"/>
          <w:position w:val="1"/>
          <w:sz w:val="7"/>
        </w:rPr>
        <w:t>l </w:t>
      </w:r>
      <w:r>
        <w:rPr>
          <w:rFonts w:ascii="Calibri" w:hAnsi="Calibri"/>
          <w:color w:val="008356"/>
          <w:spacing w:val="2"/>
          <w:w w:val="120"/>
          <w:sz w:val="11"/>
        </w:rPr>
        <w:t>ABIRATERONE</w:t>
      </w:r>
      <w:r>
        <w:rPr>
          <w:rFonts w:ascii="Arial" w:hAnsi="Arial"/>
          <w:color w:val="231F1F"/>
          <w:spacing w:val="2"/>
          <w:w w:val="120"/>
        </w:rPr>
        <w:t>—</w:t>
      </w:r>
      <w:r>
        <w:rPr>
          <w:color w:val="231F1F"/>
          <w:spacing w:val="2"/>
          <w:w w:val="120"/>
        </w:rPr>
        <w:t>manufacturer </w:t>
      </w:r>
      <w:r>
        <w:rPr>
          <w:color w:val="231F1F"/>
          <w:w w:val="120"/>
        </w:rPr>
        <w:t>of abiraterone</w:t>
      </w:r>
      <w:r>
        <w:rPr>
          <w:color w:val="231F1F"/>
          <w:spacing w:val="-9"/>
          <w:w w:val="120"/>
        </w:rPr>
        <w:t> </w:t>
      </w:r>
      <w:r>
        <w:rPr>
          <w:color w:val="231F1F"/>
          <w:w w:val="120"/>
        </w:rPr>
        <w:t>advises</w:t>
      </w:r>
      <w:r>
        <w:rPr>
          <w:color w:val="231F1F"/>
          <w:spacing w:val="-8"/>
          <w:w w:val="120"/>
        </w:rPr>
        <w:t> </w:t>
      </w:r>
      <w:r>
        <w:rPr>
          <w:color w:val="231F1F"/>
          <w:w w:val="120"/>
        </w:rPr>
        <w:t>avoid</w:t>
      </w:r>
      <w:r>
        <w:rPr>
          <w:color w:val="231F1F"/>
          <w:spacing w:val="-9"/>
          <w:w w:val="120"/>
        </w:rPr>
        <w:t> </w:t>
      </w:r>
      <w:r>
        <w:rPr>
          <w:color w:val="231F1F"/>
          <w:w w:val="120"/>
        </w:rPr>
        <w:t>concomitant</w:t>
      </w:r>
      <w:r>
        <w:rPr>
          <w:color w:val="231F1F"/>
          <w:spacing w:val="-9"/>
          <w:w w:val="120"/>
        </w:rPr>
        <w:t> </w:t>
      </w:r>
      <w:r>
        <w:rPr>
          <w:color w:val="231F1F"/>
          <w:w w:val="120"/>
        </w:rPr>
        <w:t>use</w:t>
      </w:r>
    </w:p>
    <w:p>
      <w:pPr>
        <w:pStyle w:val="BodyText"/>
        <w:spacing w:line="225" w:lineRule="auto" w:before="4"/>
        <w:ind w:left="286" w:right="562" w:hanging="100"/>
      </w:pPr>
      <w:r>
        <w:rPr>
          <w:rFonts w:ascii="Arial" w:hAnsi="Arial"/>
          <w:color w:val="231F1F"/>
          <w:w w:val="355"/>
          <w:position w:val="1"/>
          <w:sz w:val="7"/>
        </w:rPr>
        <w:t>l </w:t>
      </w:r>
      <w:r>
        <w:rPr>
          <w:rFonts w:ascii="Calibri" w:hAnsi="Calibri"/>
          <w:color w:val="231F1F"/>
          <w:w w:val="110"/>
        </w:rPr>
        <w:t>5HT</w:t>
      </w:r>
      <w:r>
        <w:rPr>
          <w:rFonts w:ascii="Calibri" w:hAnsi="Calibri"/>
          <w:color w:val="231F1F"/>
          <w:w w:val="110"/>
          <w:vertAlign w:val="subscript"/>
        </w:rPr>
        <w:t>1</w:t>
      </w:r>
      <w:r>
        <w:rPr>
          <w:rFonts w:ascii="Calibri" w:hAnsi="Calibri"/>
          <w:color w:val="231F1F"/>
          <w:w w:val="110"/>
          <w:vertAlign w:val="baseline"/>
        </w:rPr>
        <w:t>-receptor Agonists: </w:t>
      </w:r>
      <w:r>
        <w:rPr>
          <w:color w:val="231F1F"/>
          <w:w w:val="110"/>
          <w:vertAlign w:val="baseline"/>
        </w:rPr>
        <w:t>increased serotonergic effects when St </w:t>
      </w:r>
      <w:r>
        <w:rPr>
          <w:color w:val="231F1F"/>
          <w:w w:val="110"/>
          <w:position w:val="2"/>
          <w:vertAlign w:val="baseline"/>
        </w:rPr>
        <w:t>John</w:t>
      </w:r>
      <w:r>
        <w:rPr>
          <w:rFonts w:ascii="Arial" w:hAnsi="Arial"/>
          <w:color w:val="231F1F"/>
          <w:w w:val="110"/>
          <w:position w:val="2"/>
          <w:vertAlign w:val="baseline"/>
        </w:rPr>
        <w:t>’</w:t>
      </w:r>
      <w:r>
        <w:rPr>
          <w:color w:val="231F1F"/>
          <w:w w:val="110"/>
          <w:position w:val="2"/>
          <w:vertAlign w:val="baseline"/>
        </w:rPr>
        <w:t>s wort given with </w:t>
      </w:r>
      <w:r>
        <w:rPr>
          <w:rFonts w:ascii="Arial" w:hAnsi="Arial"/>
          <w:color w:val="231F1F"/>
          <w:w w:val="355"/>
          <w:position w:val="2"/>
          <w:sz w:val="7"/>
          <w:vertAlign w:val="baseline"/>
        </w:rPr>
        <w:t>l </w:t>
      </w:r>
      <w:r>
        <w:rPr>
          <w:rFonts w:ascii="Calibri" w:hAnsi="Calibri"/>
          <w:color w:val="008356"/>
          <w:w w:val="110"/>
          <w:position w:val="2"/>
          <w:sz w:val="11"/>
          <w:vertAlign w:val="baseline"/>
        </w:rPr>
        <w:t>5HT</w:t>
      </w:r>
      <w:r>
        <w:rPr>
          <w:rFonts w:ascii="Calibri" w:hAnsi="Calibri"/>
          <w:color w:val="008356"/>
          <w:w w:val="110"/>
          <w:position w:val="2"/>
          <w:sz w:val="11"/>
          <w:vertAlign w:val="subscript"/>
        </w:rPr>
        <w:t>1</w:t>
      </w:r>
      <w:r>
        <w:rPr>
          <w:rFonts w:ascii="Calibri" w:hAnsi="Calibri"/>
          <w:color w:val="008356"/>
          <w:w w:val="110"/>
          <w:position w:val="2"/>
          <w:sz w:val="11"/>
          <w:vertAlign w:val="baseline"/>
        </w:rPr>
        <w:t> AGONISTS</w:t>
      </w:r>
      <w:r>
        <w:rPr>
          <w:rFonts w:ascii="Arial" w:hAnsi="Arial"/>
          <w:color w:val="231F1F"/>
          <w:w w:val="110"/>
          <w:position w:val="2"/>
          <w:vertAlign w:val="baseline"/>
        </w:rPr>
        <w:t>—</w:t>
      </w:r>
      <w:r>
        <w:rPr>
          <w:color w:val="231F1F"/>
          <w:w w:val="110"/>
          <w:position w:val="2"/>
          <w:vertAlign w:val="baseline"/>
        </w:rPr>
        <w:t>avoid concomitant </w:t>
      </w:r>
      <w:r>
        <w:rPr>
          <w:color w:val="231F1F"/>
          <w:w w:val="110"/>
          <w:vertAlign w:val="baseline"/>
        </w:rPr>
        <w:t>use</w:t>
      </w:r>
    </w:p>
    <w:p>
      <w:pPr>
        <w:pStyle w:val="BodyText"/>
        <w:spacing w:line="152" w:lineRule="exact" w:before="1"/>
        <w:ind w:left="186"/>
      </w:pPr>
      <w:r>
        <w:rPr>
          <w:rFonts w:ascii="Lucida Sans Unicode" w:hAnsi="Lucida Sans Unicode"/>
          <w:color w:val="A7A8AC"/>
          <w:w w:val="95"/>
          <w:sz w:val="10"/>
        </w:rPr>
        <w:t>▶ </w:t>
      </w:r>
      <w:r>
        <w:rPr>
          <w:rFonts w:ascii="Calibri" w:hAnsi="Calibri"/>
          <w:color w:val="231F1F"/>
          <w:w w:val="105"/>
        </w:rPr>
        <w:t>Ivabradine: </w:t>
      </w:r>
      <w:r>
        <w:rPr>
          <w:color w:val="231F1F"/>
          <w:w w:val="105"/>
        </w:rPr>
        <w:t>St John</w:t>
      </w:r>
      <w:r>
        <w:rPr>
          <w:rFonts w:ascii="Arial" w:hAnsi="Arial"/>
          <w:color w:val="231F1F"/>
          <w:w w:val="105"/>
        </w:rPr>
        <w:t>’</w:t>
      </w:r>
      <w:r>
        <w:rPr>
          <w:color w:val="231F1F"/>
          <w:w w:val="105"/>
        </w:rPr>
        <w:t>s wort reduces plasma concentration of</w:t>
      </w:r>
    </w:p>
    <w:p>
      <w:pPr>
        <w:spacing w:line="135" w:lineRule="exact" w:before="0"/>
        <w:ind w:left="286" w:right="0" w:firstLine="0"/>
        <w:jc w:val="left"/>
        <w:rPr>
          <w:sz w:val="12"/>
        </w:rPr>
      </w:pPr>
      <w:r>
        <w:rPr>
          <w:rFonts w:ascii="Calibri" w:hAnsi="Calibri"/>
          <w:color w:val="008356"/>
          <w:w w:val="110"/>
          <w:sz w:val="11"/>
        </w:rPr>
        <w:t>IVABRADINE</w:t>
      </w:r>
      <w:r>
        <w:rPr>
          <w:rFonts w:ascii="Arial" w:hAnsi="Arial"/>
          <w:color w:val="231F1F"/>
          <w:w w:val="110"/>
          <w:sz w:val="12"/>
        </w:rPr>
        <w:t>—</w:t>
      </w:r>
      <w:r>
        <w:rPr>
          <w:color w:val="231F1F"/>
          <w:w w:val="110"/>
          <w:sz w:val="12"/>
        </w:rPr>
        <w:t>avoid concomitant use</w:t>
      </w:r>
    </w:p>
    <w:p>
      <w:pPr>
        <w:pStyle w:val="BodyText"/>
        <w:ind w:left="286" w:right="689" w:hanging="100"/>
      </w:pPr>
      <w:r>
        <w:rPr>
          <w:rFonts w:ascii="Arial" w:hAnsi="Arial"/>
          <w:color w:val="231F1F"/>
          <w:w w:val="355"/>
          <w:position w:val="1"/>
          <w:sz w:val="7"/>
        </w:rPr>
        <w:t>l </w:t>
      </w:r>
      <w:r>
        <w:rPr>
          <w:rFonts w:ascii="Calibri" w:hAnsi="Calibri"/>
          <w:color w:val="231F1F"/>
          <w:w w:val="120"/>
        </w:rPr>
        <w:t>Ivacaftor: </w:t>
      </w:r>
      <w:r>
        <w:rPr>
          <w:color w:val="231F1F"/>
          <w:w w:val="120"/>
        </w:rPr>
        <w:t>St John</w:t>
      </w:r>
      <w:r>
        <w:rPr>
          <w:rFonts w:ascii="Arial" w:hAnsi="Arial"/>
          <w:color w:val="231F1F"/>
          <w:w w:val="120"/>
        </w:rPr>
        <w:t>’</w:t>
      </w:r>
      <w:r>
        <w:rPr>
          <w:color w:val="231F1F"/>
          <w:w w:val="120"/>
        </w:rPr>
        <w:t>s wort possibly reduces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IVACAFTOR</w:t>
      </w:r>
      <w:r>
        <w:rPr>
          <w:rFonts w:ascii="Arial" w:hAnsi="Arial"/>
          <w:color w:val="231F1F"/>
          <w:w w:val="115"/>
        </w:rPr>
        <w:t>—</w:t>
      </w:r>
      <w:r>
        <w:rPr>
          <w:color w:val="231F1F"/>
          <w:w w:val="115"/>
        </w:rPr>
        <w:t>manufacturer of ivacaftor </w:t>
      </w:r>
      <w:r>
        <w:rPr>
          <w:color w:val="231F1F"/>
          <w:w w:val="120"/>
        </w:rPr>
        <w:t>advises avoid concomitant use</w:t>
      </w:r>
    </w:p>
    <w:p>
      <w:pPr>
        <w:pStyle w:val="BodyText"/>
        <w:spacing w:line="220" w:lineRule="auto" w:before="9"/>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St John</w:t>
      </w:r>
      <w:r>
        <w:rPr>
          <w:rFonts w:ascii="Arial" w:hAnsi="Arial"/>
          <w:color w:val="231F1F"/>
          <w:w w:val="105"/>
        </w:rPr>
        <w:t>’</w:t>
      </w:r>
      <w:r>
        <w:rPr>
          <w:color w:val="231F1F"/>
          <w:w w:val="105"/>
        </w:rPr>
        <w:t>s wort reduces plasma concentration of</w:t>
      </w:r>
      <w:r>
        <w:rPr>
          <w:color w:val="231F1F"/>
          <w:spacing w:val="1"/>
          <w:w w:val="105"/>
        </w:rPr>
        <w:t> </w:t>
      </w:r>
      <w:r>
        <w:rPr>
          <w:rFonts w:ascii="Calibri" w:hAnsi="Calibri"/>
          <w:color w:val="008356"/>
          <w:spacing w:val="2"/>
          <w:w w:val="105"/>
          <w:sz w:val="11"/>
        </w:rPr>
        <w:t>SIMVASTATIN</w:t>
      </w:r>
    </w:p>
    <w:p>
      <w:pPr>
        <w:pStyle w:val="BodyText"/>
        <w:spacing w:line="220" w:lineRule="auto" w:before="9"/>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Macitentan: </w:t>
      </w:r>
      <w:r>
        <w:rPr>
          <w:color w:val="231F1F"/>
          <w:w w:val="105"/>
        </w:rPr>
        <w:t>avoidance of St John</w:t>
      </w:r>
      <w:r>
        <w:rPr>
          <w:rFonts w:ascii="Arial" w:hAnsi="Arial"/>
          <w:color w:val="231F1F"/>
          <w:w w:val="105"/>
        </w:rPr>
        <w:t>’</w:t>
      </w:r>
      <w:r>
        <w:rPr>
          <w:color w:val="231F1F"/>
          <w:w w:val="105"/>
        </w:rPr>
        <w:t>s wort advised </w:t>
      </w:r>
      <w:r>
        <w:rPr>
          <w:color w:val="231F1F"/>
          <w:spacing w:val="-7"/>
          <w:w w:val="105"/>
        </w:rPr>
        <w:t>by </w:t>
      </w:r>
      <w:r>
        <w:rPr>
          <w:color w:val="231F1F"/>
          <w:w w:val="105"/>
        </w:rPr>
        <w:t>manufacturer of</w:t>
      </w:r>
      <w:r>
        <w:rPr>
          <w:color w:val="231F1F"/>
          <w:spacing w:val="-1"/>
          <w:w w:val="105"/>
        </w:rPr>
        <w:t> </w:t>
      </w:r>
      <w:r>
        <w:rPr>
          <w:rFonts w:ascii="Calibri" w:hAnsi="Calibri"/>
          <w:color w:val="008356"/>
          <w:spacing w:val="4"/>
          <w:w w:val="105"/>
          <w:sz w:val="11"/>
        </w:rPr>
        <w:t>MACITENTAN</w:t>
      </w:r>
    </w:p>
    <w:p>
      <w:pPr>
        <w:pStyle w:val="BodyText"/>
        <w:spacing w:line="145" w:lineRule="exact"/>
        <w:ind w:left="186"/>
      </w:pPr>
      <w:r>
        <w:rPr>
          <w:rFonts w:ascii="Arial" w:hAnsi="Arial"/>
          <w:color w:val="231F1F"/>
          <w:w w:val="355"/>
          <w:position w:val="1"/>
          <w:sz w:val="7"/>
        </w:rPr>
        <w:t>l </w:t>
      </w:r>
      <w:r>
        <w:rPr>
          <w:rFonts w:ascii="Calibri" w:hAnsi="Calibri"/>
          <w:color w:val="231F1F"/>
          <w:w w:val="110"/>
        </w:rPr>
        <w:t>Oestrogens: </w:t>
      </w:r>
      <w:r>
        <w:rPr>
          <w:color w:val="231F1F"/>
          <w:w w:val="110"/>
        </w:rPr>
        <w:t>St John</w:t>
      </w:r>
      <w:r>
        <w:rPr>
          <w:rFonts w:ascii="Arial" w:hAnsi="Arial"/>
          <w:color w:val="231F1F"/>
          <w:w w:val="110"/>
        </w:rPr>
        <w:t>’</w:t>
      </w:r>
      <w:r>
        <w:rPr>
          <w:color w:val="231F1F"/>
          <w:w w:val="110"/>
        </w:rPr>
        <w:t>s wort reduces contraceptive effect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OESTROGENS </w:t>
      </w:r>
      <w:r>
        <w:rPr>
          <w:color w:val="231F1F"/>
          <w:w w:val="110"/>
          <w:sz w:val="12"/>
        </w:rPr>
        <w:t>(avoid concomitant use)</w:t>
      </w:r>
    </w:p>
    <w:p>
      <w:pPr>
        <w:pStyle w:val="BodyText"/>
        <w:spacing w:line="145" w:lineRule="exact"/>
        <w:ind w:left="186"/>
      </w:pPr>
      <w:r>
        <w:rPr>
          <w:rFonts w:ascii="Arial" w:hAnsi="Arial"/>
          <w:color w:val="231F1F"/>
          <w:w w:val="355"/>
          <w:position w:val="1"/>
          <w:sz w:val="7"/>
        </w:rPr>
        <w:t>l </w:t>
      </w:r>
      <w:r>
        <w:rPr>
          <w:rFonts w:ascii="Calibri" w:hAnsi="Calibri"/>
          <w:color w:val="231F1F"/>
          <w:w w:val="115"/>
        </w:rPr>
        <w:t>Progestogens: </w:t>
      </w:r>
      <w:r>
        <w:rPr>
          <w:color w:val="231F1F"/>
          <w:w w:val="115"/>
        </w:rPr>
        <w:t>St John</w:t>
      </w:r>
      <w:r>
        <w:rPr>
          <w:rFonts w:ascii="Arial" w:hAnsi="Arial"/>
          <w:color w:val="231F1F"/>
          <w:w w:val="115"/>
        </w:rPr>
        <w:t>’</w:t>
      </w:r>
      <w:r>
        <w:rPr>
          <w:color w:val="231F1F"/>
          <w:w w:val="115"/>
        </w:rPr>
        <w:t>s wort reduces contraceptive effect of</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10"/>
          <w:sz w:val="11"/>
        </w:rPr>
        <w:t>PROGESTOGENS </w:t>
      </w:r>
      <w:r>
        <w:rPr>
          <w:color w:val="231F1F"/>
          <w:w w:val="110"/>
          <w:sz w:val="12"/>
        </w:rPr>
        <w:t>(avoid concomitant use)</w:t>
      </w:r>
    </w:p>
    <w:p>
      <w:pPr>
        <w:pStyle w:val="BodyText"/>
        <w:spacing w:line="144" w:lineRule="exact"/>
        <w:ind w:left="186"/>
      </w:pPr>
      <w:r>
        <w:rPr>
          <w:rFonts w:ascii="Arial" w:hAnsi="Arial"/>
          <w:color w:val="231F1F"/>
          <w:w w:val="355"/>
          <w:position w:val="1"/>
          <w:sz w:val="7"/>
        </w:rPr>
        <w:t>l </w:t>
      </w:r>
      <w:r>
        <w:rPr>
          <w:rFonts w:ascii="Calibri" w:hAnsi="Calibri"/>
          <w:color w:val="231F1F"/>
          <w:w w:val="115"/>
        </w:rPr>
        <w:t>Tacrolimus: </w:t>
      </w:r>
      <w:r>
        <w:rPr>
          <w:color w:val="231F1F"/>
          <w:w w:val="115"/>
        </w:rPr>
        <w:t>St John</w:t>
      </w:r>
      <w:r>
        <w:rPr>
          <w:rFonts w:ascii="Arial" w:hAnsi="Arial"/>
          <w:color w:val="231F1F"/>
          <w:w w:val="115"/>
        </w:rPr>
        <w:t>’</w:t>
      </w:r>
      <w:r>
        <w:rPr>
          <w:color w:val="231F1F"/>
          <w:w w:val="115"/>
        </w:rPr>
        <w:t>s wort reduces plasma concentration of</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2"/>
          <w:w w:val="110"/>
          <w:sz w:val="11"/>
        </w:rPr>
        <w:t>TACROLIMUS</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after="0" w:line="141" w:lineRule="exact"/>
        <w:jc w:val="left"/>
        <w:rPr>
          <w:sz w:val="12"/>
        </w:rPr>
        <w:sectPr>
          <w:headerReference w:type="even" r:id="rId48"/>
          <w:headerReference w:type="default" r:id="rId49"/>
          <w:pgSz w:w="8390" w:h="11910"/>
          <w:pgMar w:header="0" w:footer="0" w:top="460" w:bottom="280" w:left="480" w:right="0"/>
          <w:cols w:num="2" w:equalWidth="0">
            <w:col w:w="3636" w:space="41"/>
            <w:col w:w="4233"/>
          </w:cols>
        </w:sectPr>
      </w:pPr>
    </w:p>
    <w:p>
      <w:pPr>
        <w:pStyle w:val="BodyText"/>
        <w:spacing w:before="7"/>
        <w:ind w:left="0"/>
        <w:rPr>
          <w:sz w:val="14"/>
        </w:rPr>
      </w:pPr>
    </w:p>
    <w:p>
      <w:pPr>
        <w:pStyle w:val="BodyText"/>
        <w:spacing w:line="144" w:lineRule="exact"/>
        <w:ind w:left="108"/>
        <w:rPr>
          <w:rFonts w:ascii="Calibri" w:hAnsi="Calibri"/>
        </w:rPr>
      </w:pPr>
      <w:r>
        <w:rPr>
          <w:rFonts w:ascii="Arial" w:hAnsi="Arial"/>
          <w:color w:val="008356"/>
        </w:rPr>
        <w:t>St John’s Wort </w:t>
      </w:r>
      <w:r>
        <w:rPr>
          <w:rFonts w:ascii="Calibri" w:hAnsi="Calibri"/>
          <w:color w:val="231F1F"/>
        </w:rPr>
        <w:t>(continued)</w:t>
      </w:r>
    </w:p>
    <w:p>
      <w:pPr>
        <w:pStyle w:val="BodyText"/>
        <w:spacing w:line="220" w:lineRule="auto" w:before="6"/>
        <w:ind w:right="43"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St John</w:t>
      </w:r>
      <w:r>
        <w:rPr>
          <w:rFonts w:ascii="Arial" w:hAnsi="Arial"/>
          <w:color w:val="231F1F"/>
          <w:w w:val="105"/>
        </w:rPr>
        <w:t>’</w:t>
      </w:r>
      <w:r>
        <w:rPr>
          <w:color w:val="231F1F"/>
          <w:w w:val="105"/>
        </w:rPr>
        <w:t>s wort possibly reduces plasma concentration of </w:t>
      </w:r>
      <w:r>
        <w:rPr>
          <w:rFonts w:ascii="Calibri" w:hAnsi="Calibri"/>
          <w:color w:val="008356"/>
          <w:w w:val="105"/>
          <w:sz w:val="11"/>
        </w:rPr>
        <w:t>THEOPHYLLINE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St John</w:t>
      </w:r>
      <w:r>
        <w:rPr>
          <w:rFonts w:ascii="Arial" w:hAnsi="Arial"/>
          <w:color w:val="231F1F"/>
          <w:w w:val="105"/>
        </w:rPr>
        <w:t>’</w:t>
      </w:r>
      <w:r>
        <w:rPr>
          <w:color w:val="231F1F"/>
          <w:w w:val="105"/>
        </w:rPr>
        <w:t>s wort possibly reduces plasma concentration of </w:t>
      </w:r>
      <w:r>
        <w:rPr>
          <w:rFonts w:ascii="Calibri" w:hAnsi="Calibri"/>
          <w:color w:val="008356"/>
          <w:w w:val="105"/>
          <w:sz w:val="11"/>
        </w:rPr>
        <w:t>OMEPRAZOLE</w:t>
      </w:r>
    </w:p>
    <w:p>
      <w:pPr>
        <w:pStyle w:val="BodyText"/>
        <w:spacing w:before="1"/>
        <w:ind w:right="458" w:hanging="100"/>
      </w:pPr>
      <w:r>
        <w:rPr>
          <w:rFonts w:ascii="Arial" w:hAnsi="Arial"/>
          <w:color w:val="231F1F"/>
          <w:w w:val="355"/>
          <w:position w:val="1"/>
          <w:sz w:val="7"/>
        </w:rPr>
        <w:t>l </w:t>
      </w:r>
      <w:r>
        <w:rPr>
          <w:rFonts w:ascii="Calibri" w:hAnsi="Calibri"/>
          <w:color w:val="231F1F"/>
          <w:w w:val="115"/>
        </w:rPr>
        <w:t>Ulipristal: </w:t>
      </w:r>
      <w:r>
        <w:rPr>
          <w:color w:val="231F1F"/>
          <w:w w:val="115"/>
        </w:rPr>
        <w:t>avoidance of St John</w:t>
      </w:r>
      <w:r>
        <w:rPr>
          <w:rFonts w:ascii="Arial" w:hAnsi="Arial"/>
          <w:color w:val="231F1F"/>
          <w:w w:val="115"/>
        </w:rPr>
        <w:t>’</w:t>
      </w:r>
      <w:r>
        <w:rPr>
          <w:color w:val="231F1F"/>
          <w:w w:val="115"/>
        </w:rPr>
        <w:t>s wort advised by manufacturer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ULIPRISTAL </w:t>
      </w:r>
      <w:r>
        <w:rPr>
          <w:color w:val="231F1F"/>
          <w:w w:val="115"/>
        </w:rPr>
        <w:t>(contraceptive effect </w:t>
      </w:r>
      <w:r>
        <w:rPr>
          <w:color w:val="231F1F"/>
          <w:spacing w:val="-6"/>
          <w:w w:val="115"/>
        </w:rPr>
        <w:t>of </w:t>
      </w:r>
      <w:r>
        <w:rPr>
          <w:color w:val="231F1F"/>
          <w:w w:val="115"/>
        </w:rPr>
        <w:t>ulipristal possibly reduced)</w:t>
      </w:r>
    </w:p>
    <w:p>
      <w:pPr>
        <w:pStyle w:val="BodyText"/>
        <w:spacing w:line="256" w:lineRule="auto" w:before="11"/>
        <w:ind w:left="108" w:right="1227" w:hanging="1"/>
        <w:jc w:val="both"/>
        <w:rPr>
          <w:rFonts w:ascii="Trebuchet MS"/>
        </w:rPr>
      </w:pPr>
      <w:r>
        <w:rPr>
          <w:rFonts w:ascii="Trebuchet MS"/>
          <w:color w:val="008356"/>
          <w:w w:val="110"/>
        </w:rPr>
        <w:t>Salbutamol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Salmeterol </w:t>
      </w:r>
      <w:r>
        <w:rPr>
          <w:i/>
          <w:color w:val="231F1F"/>
          <w:w w:val="110"/>
          <w:vertAlign w:val="baseline"/>
        </w:rPr>
        <w:t>see </w:t>
      </w:r>
      <w:r>
        <w:rPr>
          <w:color w:val="231F1F"/>
          <w:w w:val="110"/>
          <w:vertAlign w:val="baseline"/>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Saquinavir</w:t>
      </w:r>
    </w:p>
    <w:p>
      <w:pPr>
        <w:pStyle w:val="BodyText"/>
        <w:spacing w:line="138" w:lineRule="exact"/>
        <w:ind w:left="108"/>
        <w:jc w:val="both"/>
      </w:pPr>
      <w:r>
        <w:rPr>
          <w:rFonts w:ascii="Arial"/>
          <w:color w:val="231F1F"/>
          <w:w w:val="355"/>
          <w:position w:val="1"/>
          <w:sz w:val="7"/>
        </w:rPr>
        <w:t>l </w:t>
      </w:r>
      <w:r>
        <w:rPr>
          <w:rFonts w:ascii="Calibri"/>
          <w:color w:val="231F1F"/>
          <w:w w:val="115"/>
        </w:rPr>
        <w:t>Analgesics: </w:t>
      </w:r>
      <w:r>
        <w:rPr>
          <w:color w:val="231F1F"/>
          <w:w w:val="115"/>
        </w:rPr>
        <w:t>increased risk of ventricular arrhythmias when</w:t>
      </w:r>
    </w:p>
    <w:p>
      <w:pPr>
        <w:spacing w:line="141" w:lineRule="exact" w:before="0"/>
        <w:ind w:left="208" w:right="0" w:firstLine="0"/>
        <w:jc w:val="left"/>
        <w:rPr>
          <w:sz w:val="12"/>
        </w:rPr>
      </w:pPr>
      <w:r>
        <w:rPr>
          <w:color w:val="231F1F"/>
          <w:w w:val="115"/>
          <w:sz w:val="12"/>
        </w:rPr>
        <w:t>saquinavir given with </w:t>
      </w:r>
      <w:r>
        <w:rPr>
          <w:rFonts w:ascii="Arial"/>
          <w:color w:val="231F1F"/>
          <w:w w:val="355"/>
          <w:position w:val="1"/>
          <w:sz w:val="7"/>
        </w:rPr>
        <w:t>l </w:t>
      </w:r>
      <w:r>
        <w:rPr>
          <w:rFonts w:ascii="Calibri"/>
          <w:color w:val="008356"/>
          <w:w w:val="115"/>
          <w:sz w:val="11"/>
        </w:rPr>
        <w:t>ALFENTANIL</w:t>
      </w:r>
      <w:r>
        <w:rPr>
          <w:color w:val="231F1F"/>
          <w:w w:val="115"/>
          <w:sz w:val="12"/>
        </w:rPr>
        <w:t>, </w:t>
      </w:r>
      <w:r>
        <w:rPr>
          <w:rFonts w:ascii="Arial"/>
          <w:color w:val="231F1F"/>
          <w:w w:val="355"/>
          <w:position w:val="1"/>
          <w:sz w:val="7"/>
        </w:rPr>
        <w:t>l </w:t>
      </w:r>
      <w:r>
        <w:rPr>
          <w:rFonts w:ascii="Calibri"/>
          <w:color w:val="008356"/>
          <w:w w:val="115"/>
          <w:sz w:val="11"/>
        </w:rPr>
        <w:t>FENTANYL </w:t>
      </w:r>
      <w:r>
        <w:rPr>
          <w:color w:val="231F1F"/>
          <w:w w:val="115"/>
          <w:sz w:val="12"/>
        </w:rPr>
        <w:t>or</w:t>
      </w:r>
    </w:p>
    <w:p>
      <w:pPr>
        <w:spacing w:line="141" w:lineRule="exact" w:before="2"/>
        <w:ind w:left="208" w:right="0" w:firstLine="0"/>
        <w:jc w:val="both"/>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3"/>
          <w:w w:val="110"/>
          <w:sz w:val="11"/>
        </w:rPr>
        <w:t>METHADONE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40" w:lineRule="auto" w:before="0"/>
        <w:ind w:left="208" w:right="158" w:hanging="100"/>
        <w:jc w:val="left"/>
        <w:rPr>
          <w:sz w:val="12"/>
        </w:rPr>
      </w:pPr>
      <w:r>
        <w:rPr>
          <w:rFonts w:ascii="Arial"/>
          <w:color w:val="231F1F"/>
          <w:w w:val="355"/>
          <w:position w:val="1"/>
          <w:sz w:val="7"/>
        </w:rPr>
        <w:t>l </w:t>
      </w:r>
      <w:r>
        <w:rPr>
          <w:rFonts w:ascii="Calibri"/>
          <w:color w:val="231F1F"/>
          <w:w w:val="110"/>
          <w:sz w:val="12"/>
        </w:rPr>
        <w:t>Anti-arrhythmics: </w:t>
      </w:r>
      <w:r>
        <w:rPr>
          <w:color w:val="231F1F"/>
          <w:w w:val="110"/>
          <w:sz w:val="12"/>
        </w:rPr>
        <w:t>increased risk of ventricular arrhythmias when</w:t>
      </w:r>
      <w:r>
        <w:rPr>
          <w:color w:val="231F1F"/>
          <w:spacing w:val="-18"/>
          <w:w w:val="110"/>
          <w:sz w:val="12"/>
        </w:rPr>
        <w:t> </w:t>
      </w:r>
      <w:r>
        <w:rPr>
          <w:color w:val="231F1F"/>
          <w:w w:val="110"/>
          <w:sz w:val="12"/>
        </w:rPr>
        <w:t>saquinavir</w:t>
      </w:r>
      <w:r>
        <w:rPr>
          <w:color w:val="231F1F"/>
          <w:spacing w:val="-18"/>
          <w:w w:val="110"/>
          <w:sz w:val="12"/>
        </w:rPr>
        <w:t> </w:t>
      </w:r>
      <w:r>
        <w:rPr>
          <w:color w:val="231F1F"/>
          <w:w w:val="110"/>
          <w:sz w:val="12"/>
        </w:rPr>
        <w:t>given</w:t>
      </w:r>
      <w:r>
        <w:rPr>
          <w:color w:val="231F1F"/>
          <w:spacing w:val="-18"/>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AMIODARONE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DISOPYRAMIDE</w:t>
      </w:r>
      <w:r>
        <w:rPr>
          <w:color w:val="231F1F"/>
          <w:spacing w:val="4"/>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DRONEDARONE</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FLECAINIDE</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0"/>
          <w:sz w:val="11"/>
        </w:rPr>
        <w:t>LIDOCAINE </w:t>
      </w:r>
      <w:r>
        <w:rPr>
          <w:color w:val="231F1F"/>
          <w:w w:val="110"/>
          <w:sz w:val="12"/>
        </w:rPr>
        <w:t>or</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Calibri" w:hAnsi="Calibri"/>
          <w:color w:val="008356"/>
          <w:spacing w:val="3"/>
          <w:w w:val="115"/>
          <w:sz w:val="11"/>
        </w:rPr>
        <w:t>PROPAFENONE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44" w:lineRule="auto"/>
        <w:ind w:hanging="100"/>
      </w:pPr>
      <w:r>
        <w:rPr>
          <w:rFonts w:ascii="Arial"/>
          <w:color w:val="231F1F"/>
          <w:w w:val="355"/>
          <w:position w:val="1"/>
          <w:sz w:val="7"/>
        </w:rPr>
        <w:t>l </w:t>
      </w:r>
      <w:r>
        <w:rPr>
          <w:rFonts w:ascii="Calibri"/>
          <w:color w:val="231F1F"/>
          <w:w w:val="110"/>
        </w:rPr>
        <w:t>Antibacterials: </w:t>
      </w:r>
      <w:r>
        <w:rPr>
          <w:color w:val="231F1F"/>
          <w:w w:val="110"/>
        </w:rPr>
        <w:t>plasma concentration of both drugs possibly increased when saquinavir given with </w:t>
      </w:r>
      <w:r>
        <w:rPr>
          <w:rFonts w:ascii="Arial"/>
          <w:color w:val="231F1F"/>
          <w:w w:val="355"/>
          <w:position w:val="1"/>
          <w:sz w:val="7"/>
        </w:rPr>
        <w:t>l </w:t>
      </w:r>
      <w:r>
        <w:rPr>
          <w:rFonts w:ascii="Calibri"/>
          <w:color w:val="008356"/>
          <w:w w:val="110"/>
          <w:sz w:val="11"/>
        </w:rPr>
        <w:t>CLARITHROMYCIN </w:t>
      </w:r>
      <w:r>
        <w:rPr>
          <w:color w:val="231F1F"/>
          <w:w w:val="110"/>
        </w:rPr>
        <w:t>(increased risk of ventricular arrhythmias); increased risk of ventricular arrhythmias when saquinavir given with</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DAPSONE</w:t>
      </w:r>
      <w:r>
        <w:rPr>
          <w:color w:val="231F1F"/>
          <w:spacing w:val="4"/>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ERYTHROMYCIN </w:t>
      </w:r>
      <w:r>
        <w:rPr>
          <w:color w:val="231F1F"/>
          <w:w w:val="115"/>
          <w:sz w:val="12"/>
        </w:rPr>
        <w:t>or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MOXIFLOXACIN</w:t>
      </w:r>
      <w:r>
        <w:rPr>
          <w:rFonts w:ascii="Arial" w:hAnsi="Arial"/>
          <w:color w:val="231F1F"/>
          <w:spacing w:val="2"/>
          <w:w w:val="115"/>
          <w:sz w:val="12"/>
        </w:rPr>
        <w:t>—</w:t>
      </w:r>
      <w:r>
        <w:rPr>
          <w:color w:val="231F1F"/>
          <w:spacing w:val="2"/>
          <w:w w:val="115"/>
          <w:sz w:val="12"/>
        </w:rPr>
        <w:t>avoid</w:t>
      </w:r>
    </w:p>
    <w:p>
      <w:pPr>
        <w:pStyle w:val="BodyText"/>
        <w:spacing w:line="247" w:lineRule="auto" w:before="2"/>
        <w:ind w:right="85"/>
      </w:pPr>
      <w:r>
        <w:rPr>
          <w:color w:val="231F1F"/>
          <w:w w:val="120"/>
        </w:rPr>
        <w:t>concomitant</w:t>
      </w:r>
      <w:r>
        <w:rPr>
          <w:color w:val="231F1F"/>
          <w:spacing w:val="-27"/>
          <w:w w:val="120"/>
        </w:rPr>
        <w:t> </w:t>
      </w:r>
      <w:r>
        <w:rPr>
          <w:color w:val="231F1F"/>
          <w:w w:val="120"/>
        </w:rPr>
        <w:t>use;</w:t>
      </w:r>
      <w:r>
        <w:rPr>
          <w:color w:val="231F1F"/>
          <w:spacing w:val="-25"/>
          <w:w w:val="120"/>
        </w:rPr>
        <w:t> </w:t>
      </w:r>
      <w:r>
        <w:rPr>
          <w:color w:val="231F1F"/>
          <w:w w:val="120"/>
        </w:rPr>
        <w:t>saquinavir</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20"/>
        </w:rPr>
        <w:t>of </w:t>
      </w:r>
      <w:r>
        <w:rPr>
          <w:rFonts w:ascii="Arial" w:hAnsi="Arial"/>
          <w:color w:val="231F1F"/>
          <w:w w:val="355"/>
          <w:position w:val="1"/>
          <w:sz w:val="7"/>
        </w:rPr>
        <w:t>l </w:t>
      </w:r>
      <w:r>
        <w:rPr>
          <w:rFonts w:ascii="Calibri" w:hAnsi="Calibri"/>
          <w:color w:val="008356"/>
          <w:spacing w:val="4"/>
          <w:w w:val="120"/>
          <w:sz w:val="11"/>
        </w:rPr>
        <w:t>RIFABUTIN </w:t>
      </w:r>
      <w:r>
        <w:rPr>
          <w:color w:val="231F1F"/>
          <w:w w:val="120"/>
        </w:rPr>
        <w:t>(also plasma concentration of saquinavir reduced)</w:t>
      </w:r>
      <w:r>
        <w:rPr>
          <w:rFonts w:ascii="Arial" w:hAnsi="Arial"/>
          <w:color w:val="231F1F"/>
          <w:w w:val="120"/>
        </w:rPr>
        <w:t>—</w:t>
      </w:r>
      <w:r>
        <w:rPr>
          <w:color w:val="231F1F"/>
          <w:w w:val="120"/>
        </w:rPr>
        <w:t>reduce</w:t>
      </w:r>
      <w:r>
        <w:rPr>
          <w:color w:val="231F1F"/>
          <w:spacing w:val="-22"/>
          <w:w w:val="120"/>
        </w:rPr>
        <w:t> </w:t>
      </w:r>
      <w:r>
        <w:rPr>
          <w:color w:val="231F1F"/>
          <w:w w:val="120"/>
        </w:rPr>
        <w:t>rifabutin</w:t>
      </w:r>
      <w:r>
        <w:rPr>
          <w:color w:val="231F1F"/>
          <w:spacing w:val="-21"/>
          <w:w w:val="120"/>
        </w:rPr>
        <w:t> </w:t>
      </w:r>
      <w:r>
        <w:rPr>
          <w:color w:val="231F1F"/>
          <w:w w:val="120"/>
        </w:rPr>
        <w:t>dose;</w:t>
      </w:r>
      <w:r>
        <w:rPr>
          <w:color w:val="231F1F"/>
          <w:spacing w:val="-21"/>
          <w:w w:val="120"/>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 </w:t>
      </w:r>
      <w:r>
        <w:rPr>
          <w:color w:val="231F1F"/>
          <w:w w:val="115"/>
        </w:rPr>
        <w:t>saquinavir</w:t>
      </w:r>
      <w:r>
        <w:rPr>
          <w:color w:val="231F1F"/>
          <w:spacing w:val="-15"/>
          <w:w w:val="115"/>
        </w:rPr>
        <w:t> </w:t>
      </w:r>
      <w:r>
        <w:rPr>
          <w:color w:val="231F1F"/>
          <w:w w:val="115"/>
        </w:rPr>
        <w:t>significantly</w:t>
      </w:r>
      <w:r>
        <w:rPr>
          <w:color w:val="231F1F"/>
          <w:spacing w:val="-15"/>
          <w:w w:val="115"/>
        </w:rPr>
        <w:t> </w:t>
      </w:r>
      <w:r>
        <w:rPr>
          <w:color w:val="231F1F"/>
          <w:w w:val="115"/>
        </w:rPr>
        <w:t>reduced</w:t>
      </w:r>
      <w:r>
        <w:rPr>
          <w:color w:val="231F1F"/>
          <w:spacing w:val="-14"/>
          <w:w w:val="115"/>
        </w:rPr>
        <w:t> </w:t>
      </w:r>
      <w:r>
        <w:rPr>
          <w:color w:val="231F1F"/>
          <w:w w:val="115"/>
        </w:rPr>
        <w:t>by</w:t>
      </w:r>
      <w:r>
        <w:rPr>
          <w:color w:val="231F1F"/>
          <w:spacing w:val="-14"/>
          <w:w w:val="115"/>
        </w:rPr>
        <w:t> </w:t>
      </w: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spacing w:val="4"/>
          <w:w w:val="115"/>
          <w:sz w:val="11"/>
        </w:rPr>
        <w:t>RIFAMPICIN</w:t>
      </w:r>
      <w:r>
        <w:rPr>
          <w:color w:val="231F1F"/>
          <w:spacing w:val="4"/>
          <w:w w:val="115"/>
        </w:rPr>
        <w:t>,</w:t>
      </w:r>
      <w:r>
        <w:rPr>
          <w:color w:val="231F1F"/>
          <w:spacing w:val="-13"/>
          <w:w w:val="115"/>
        </w:rPr>
        <w:t> </w:t>
      </w:r>
      <w:r>
        <w:rPr>
          <w:color w:val="231F1F"/>
          <w:w w:val="115"/>
        </w:rPr>
        <w:t>also</w:t>
      </w:r>
      <w:r>
        <w:rPr>
          <w:color w:val="231F1F"/>
          <w:spacing w:val="-14"/>
          <w:w w:val="115"/>
        </w:rPr>
        <w:t> </w:t>
      </w:r>
      <w:r>
        <w:rPr>
          <w:color w:val="231F1F"/>
          <w:w w:val="115"/>
        </w:rPr>
        <w:t>risk</w:t>
      </w:r>
      <w:r>
        <w:rPr>
          <w:color w:val="231F1F"/>
          <w:spacing w:val="-14"/>
          <w:w w:val="115"/>
        </w:rPr>
        <w:t> </w:t>
      </w:r>
      <w:r>
        <w:rPr>
          <w:color w:val="231F1F"/>
          <w:w w:val="115"/>
        </w:rPr>
        <w:t>of </w:t>
      </w:r>
      <w:r>
        <w:rPr>
          <w:color w:val="231F1F"/>
          <w:w w:val="120"/>
        </w:rPr>
        <w:t>hepatotoxicity</w:t>
      </w:r>
      <w:r>
        <w:rPr>
          <w:rFonts w:ascii="Arial" w:hAnsi="Arial"/>
          <w:color w:val="231F1F"/>
          <w:w w:val="120"/>
        </w:rPr>
        <w:t>—</w:t>
      </w:r>
      <w:r>
        <w:rPr>
          <w:color w:val="231F1F"/>
          <w:w w:val="120"/>
        </w:rPr>
        <w:t>avoid concomitant use; increased risk of ventricular</w:t>
      </w:r>
      <w:r>
        <w:rPr>
          <w:color w:val="231F1F"/>
          <w:spacing w:val="-12"/>
          <w:w w:val="120"/>
        </w:rPr>
        <w:t> </w:t>
      </w:r>
      <w:r>
        <w:rPr>
          <w:color w:val="231F1F"/>
          <w:w w:val="120"/>
        </w:rPr>
        <w:t>arrhythmias</w:t>
      </w:r>
      <w:r>
        <w:rPr>
          <w:color w:val="231F1F"/>
          <w:spacing w:val="-12"/>
          <w:w w:val="120"/>
        </w:rPr>
        <w:t> </w:t>
      </w:r>
      <w:r>
        <w:rPr>
          <w:color w:val="231F1F"/>
          <w:w w:val="120"/>
        </w:rPr>
        <w:t>when</w:t>
      </w:r>
      <w:r>
        <w:rPr>
          <w:color w:val="231F1F"/>
          <w:spacing w:val="-12"/>
          <w:w w:val="120"/>
        </w:rPr>
        <w:t> </w:t>
      </w:r>
      <w:r>
        <w:rPr>
          <w:color w:val="231F1F"/>
          <w:w w:val="120"/>
        </w:rPr>
        <w:t>saquinavir</w:t>
      </w:r>
      <w:r>
        <w:rPr>
          <w:color w:val="231F1F"/>
          <w:spacing w:val="-13"/>
          <w:w w:val="120"/>
        </w:rPr>
        <w:t> </w:t>
      </w:r>
      <w:r>
        <w:rPr>
          <w:color w:val="231F1F"/>
          <w:w w:val="120"/>
        </w:rPr>
        <w:t>given</w:t>
      </w:r>
      <w:r>
        <w:rPr>
          <w:color w:val="231F1F"/>
          <w:spacing w:val="-12"/>
          <w:w w:val="120"/>
        </w:rPr>
        <w:t> </w:t>
      </w:r>
      <w:r>
        <w:rPr>
          <w:color w:val="231F1F"/>
          <w:w w:val="120"/>
        </w:rPr>
        <w:t>with</w:t>
      </w:r>
    </w:p>
    <w:p>
      <w:pPr>
        <w:pStyle w:val="BodyText"/>
        <w:spacing w:line="242" w:lineRule="auto"/>
        <w:ind w:right="113"/>
      </w:pPr>
      <w:r>
        <w:rPr>
          <w:rFonts w:ascii="Arial"/>
          <w:color w:val="231F1F"/>
          <w:w w:val="355"/>
          <w:position w:val="1"/>
          <w:sz w:val="7"/>
        </w:rPr>
        <w:t>l </w:t>
      </w:r>
      <w:r>
        <w:rPr>
          <w:rFonts w:ascii="Calibri"/>
          <w:color w:val="008356"/>
          <w:w w:val="110"/>
          <w:sz w:val="11"/>
        </w:rPr>
        <w:t>DELAMANID</w:t>
      </w:r>
      <w:r>
        <w:rPr>
          <w:color w:val="231F1F"/>
          <w:w w:val="110"/>
        </w:rPr>
        <w:t>; plasma concentration of both drugs may increase when saquinavir given with </w:t>
      </w:r>
      <w:r>
        <w:rPr>
          <w:rFonts w:ascii="Calibri"/>
          <w:color w:val="008356"/>
          <w:w w:val="110"/>
          <w:sz w:val="11"/>
        </w:rPr>
        <w:t>FUSIDIC ACID</w:t>
      </w:r>
      <w:r>
        <w:rPr>
          <w:color w:val="231F1F"/>
          <w:w w:val="110"/>
        </w:rPr>
        <w:t>; avoidance of saquinavir advised by manufacturer of </w:t>
      </w:r>
      <w:r>
        <w:rPr>
          <w:rFonts w:ascii="Arial"/>
          <w:color w:val="231F1F"/>
          <w:w w:val="355"/>
          <w:position w:val="1"/>
          <w:sz w:val="7"/>
        </w:rPr>
        <w:t>l </w:t>
      </w:r>
      <w:r>
        <w:rPr>
          <w:rFonts w:ascii="Calibri"/>
          <w:color w:val="008356"/>
          <w:w w:val="110"/>
          <w:sz w:val="11"/>
        </w:rPr>
        <w:t>TELITHROMYCIN </w:t>
      </w:r>
      <w:r>
        <w:rPr>
          <w:color w:val="231F1F"/>
          <w:w w:val="110"/>
        </w:rPr>
        <w:t>(risk of ventricular arrhythmias)</w:t>
      </w:r>
    </w:p>
    <w:p>
      <w:pPr>
        <w:pStyle w:val="BodyText"/>
        <w:spacing w:line="230" w:lineRule="auto" w:before="5"/>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saquinavir possibly enhances anticoagulant effect of </w:t>
      </w:r>
      <w:r>
        <w:rPr>
          <w:rFonts w:ascii="Calibri" w:hAnsi="Calibri"/>
          <w:color w:val="008356"/>
          <w:w w:val="105"/>
          <w:sz w:val="11"/>
        </w:rPr>
        <w:t>WARFARIN</w:t>
      </w:r>
      <w:r>
        <w:rPr>
          <w:color w:val="231F1F"/>
          <w:w w:val="105"/>
        </w:rPr>
        <w:t>; avoidance of saquinavir advised by manufacturer of </w:t>
      </w:r>
      <w:r>
        <w:rPr>
          <w:rFonts w:ascii="Calibri" w:hAnsi="Calibri"/>
          <w:color w:val="008356"/>
          <w:w w:val="105"/>
          <w:sz w:val="11"/>
        </w:rPr>
        <w:t>APIXABAN </w:t>
      </w:r>
      <w:r>
        <w:rPr>
          <w:color w:val="231F1F"/>
          <w:w w:val="105"/>
        </w:rPr>
        <w:t>and </w:t>
      </w:r>
      <w:r>
        <w:rPr>
          <w:rFonts w:ascii="Calibri" w:hAnsi="Calibri"/>
          <w:color w:val="008356"/>
          <w:w w:val="105"/>
          <w:sz w:val="11"/>
        </w:rPr>
        <w:t>RIVAROXABAN</w:t>
      </w:r>
    </w:p>
    <w:p>
      <w:pPr>
        <w:pStyle w:val="BodyText"/>
        <w:spacing w:line="242" w:lineRule="auto"/>
        <w:ind w:right="78" w:hanging="100"/>
      </w:pPr>
      <w:r>
        <w:rPr>
          <w:rFonts w:ascii="Arial" w:hAnsi="Arial"/>
          <w:color w:val="231F1F"/>
          <w:w w:val="355"/>
          <w:position w:val="1"/>
          <w:sz w:val="7"/>
        </w:rPr>
        <w:t>l </w:t>
      </w:r>
      <w:r>
        <w:rPr>
          <w:rFonts w:ascii="Calibri" w:hAnsi="Calibri"/>
          <w:color w:val="231F1F"/>
          <w:w w:val="110"/>
        </w:rPr>
        <w:t>Antidepressants: </w:t>
      </w:r>
      <w:r>
        <w:rPr>
          <w:color w:val="231F1F"/>
          <w:w w:val="110"/>
        </w:rPr>
        <w:t>increased risk of ventricular arrhythmias when saquinavir given with </w:t>
      </w:r>
      <w:r>
        <w:rPr>
          <w:rFonts w:ascii="Arial" w:hAnsi="Arial"/>
          <w:color w:val="231F1F"/>
          <w:w w:val="355"/>
          <w:position w:val="1"/>
          <w:sz w:val="7"/>
        </w:rPr>
        <w:t>l </w:t>
      </w:r>
      <w:r>
        <w:rPr>
          <w:rFonts w:ascii="Calibri" w:hAnsi="Calibri"/>
          <w:color w:val="008356"/>
          <w:spacing w:val="4"/>
          <w:w w:val="110"/>
          <w:sz w:val="11"/>
        </w:rPr>
        <w:t>TRAZODONE </w:t>
      </w:r>
      <w:r>
        <w:rPr>
          <w:color w:val="231F1F"/>
          <w:w w:val="110"/>
        </w:rPr>
        <w:t>or </w:t>
      </w:r>
      <w:r>
        <w:rPr>
          <w:rFonts w:ascii="Arial" w:hAnsi="Arial"/>
          <w:color w:val="231F1F"/>
          <w:w w:val="355"/>
          <w:position w:val="1"/>
          <w:sz w:val="7"/>
        </w:rPr>
        <w:t>l </w:t>
      </w:r>
      <w:r>
        <w:rPr>
          <w:rFonts w:ascii="Calibri" w:hAnsi="Calibri"/>
          <w:color w:val="008356"/>
          <w:spacing w:val="4"/>
          <w:w w:val="110"/>
          <w:sz w:val="11"/>
        </w:rPr>
        <w:t>TRICYCLICS</w:t>
      </w:r>
      <w:r>
        <w:rPr>
          <w:rFonts w:ascii="Arial" w:hAnsi="Arial"/>
          <w:color w:val="231F1F"/>
          <w:spacing w:val="4"/>
          <w:w w:val="110"/>
        </w:rPr>
        <w:t>— </w:t>
      </w:r>
      <w:r>
        <w:rPr>
          <w:color w:val="231F1F"/>
          <w:w w:val="110"/>
        </w:rPr>
        <w:t>avoid concomitant use; plasma concentration of saquinavir reduced by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spacing w:line="240" w:lineRule="auto" w:before="0"/>
        <w:ind w:left="208" w:right="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saquinavir possibly </w:t>
      </w:r>
      <w:r>
        <w:rPr>
          <w:color w:val="231F1F"/>
          <w:w w:val="105"/>
          <w:sz w:val="12"/>
        </w:rPr>
        <w:t>reduced by </w:t>
      </w:r>
      <w:r>
        <w:rPr>
          <w:rFonts w:ascii="Calibri"/>
          <w:color w:val="008356"/>
          <w:w w:val="105"/>
          <w:sz w:val="11"/>
        </w:rPr>
        <w:t>CARBAMAZEPINE</w:t>
      </w:r>
      <w:r>
        <w:rPr>
          <w:color w:val="231F1F"/>
          <w:w w:val="105"/>
          <w:sz w:val="12"/>
        </w:rPr>
        <w:t>, </w:t>
      </w:r>
      <w:r>
        <w:rPr>
          <w:rFonts w:ascii="Calibri"/>
          <w:color w:val="008356"/>
          <w:w w:val="105"/>
          <w:sz w:val="11"/>
        </w:rPr>
        <w:t>FOSPHENYTOIN</w:t>
      </w:r>
      <w:r>
        <w:rPr>
          <w:color w:val="231F1F"/>
          <w:w w:val="105"/>
          <w:sz w:val="12"/>
        </w:rPr>
        <w:t>, </w:t>
      </w:r>
      <w:r>
        <w:rPr>
          <w:rFonts w:ascii="Arial"/>
          <w:color w:val="231F1F"/>
          <w:w w:val="105"/>
          <w:position w:val="1"/>
          <w:sz w:val="7"/>
        </w:rPr>
        <w:t>l </w:t>
      </w:r>
      <w:r>
        <w:rPr>
          <w:rFonts w:ascii="Calibri"/>
          <w:color w:val="008356"/>
          <w:w w:val="105"/>
          <w:sz w:val="11"/>
        </w:rPr>
        <w:t>PHENOBARBITAL</w:t>
      </w:r>
      <w:r>
        <w:rPr>
          <w:color w:val="231F1F"/>
          <w:w w:val="105"/>
          <w:sz w:val="12"/>
        </w:rPr>
        <w:t>,</w:t>
      </w:r>
    </w:p>
    <w:p>
      <w:pPr>
        <w:spacing w:line="141" w:lineRule="exact" w:before="0"/>
        <w:ind w:left="208" w:right="0" w:firstLine="0"/>
        <w:jc w:val="left"/>
        <w:rPr>
          <w:rFonts w:ascii="Calibri"/>
          <w:sz w:val="11"/>
        </w:rPr>
      </w:pPr>
      <w:r>
        <w:rPr>
          <w:rFonts w:ascii="Calibri"/>
          <w:color w:val="008356"/>
          <w:w w:val="110"/>
          <w:sz w:val="11"/>
        </w:rPr>
        <w:t>PHENYTOIN </w:t>
      </w:r>
      <w:r>
        <w:rPr>
          <w:color w:val="231F1F"/>
          <w:w w:val="110"/>
          <w:sz w:val="12"/>
        </w:rPr>
        <w:t>and </w:t>
      </w:r>
      <w:r>
        <w:rPr>
          <w:rFonts w:ascii="Arial"/>
          <w:color w:val="231F1F"/>
          <w:w w:val="355"/>
          <w:position w:val="1"/>
          <w:sz w:val="7"/>
        </w:rPr>
        <w:t>l </w:t>
      </w:r>
      <w:r>
        <w:rPr>
          <w:rFonts w:ascii="Calibri"/>
          <w:color w:val="008356"/>
          <w:w w:val="110"/>
          <w:sz w:val="11"/>
        </w:rPr>
        <w:t>PRIMIDONE</w:t>
      </w:r>
    </w:p>
    <w:p>
      <w:pPr>
        <w:pStyle w:val="BodyText"/>
        <w:spacing w:line="145"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saquinavir increased by</w:t>
      </w:r>
    </w:p>
    <w:p>
      <w:pPr>
        <w:spacing w:line="247" w:lineRule="auto" w:before="0"/>
        <w:ind w:left="208" w:right="43" w:firstLine="0"/>
        <w:jc w:val="left"/>
        <w:rPr>
          <w:rFonts w:ascii="Calibri" w:hAnsi="Calibri"/>
          <w:sz w:val="11"/>
        </w:rPr>
      </w:pPr>
      <w:r>
        <w:rPr>
          <w:rFonts w:ascii="Arial" w:hAnsi="Arial"/>
          <w:color w:val="231F1F"/>
          <w:w w:val="110"/>
          <w:position w:val="1"/>
          <w:sz w:val="7"/>
        </w:rPr>
        <w:t>l </w:t>
      </w:r>
      <w:r>
        <w:rPr>
          <w:rFonts w:ascii="Calibri" w:hAnsi="Calibri"/>
          <w:color w:val="008356"/>
          <w:w w:val="110"/>
          <w:sz w:val="11"/>
        </w:rPr>
        <w:t>KETOCONAZOLE</w:t>
      </w:r>
      <w:r>
        <w:rPr>
          <w:rFonts w:ascii="Arial" w:hAnsi="Arial"/>
          <w:color w:val="231F1F"/>
          <w:w w:val="110"/>
          <w:sz w:val="12"/>
        </w:rPr>
        <w:t>—</w:t>
      </w:r>
      <w:r>
        <w:rPr>
          <w:color w:val="231F1F"/>
          <w:w w:val="110"/>
          <w:sz w:val="12"/>
        </w:rPr>
        <w:t>manufacturer of ketoconazole advises avoid </w:t>
      </w:r>
      <w:r>
        <w:rPr>
          <w:color w:val="231F1F"/>
          <w:w w:val="115"/>
          <w:sz w:val="12"/>
        </w:rPr>
        <w:t>concomitant use; plasma concentration of saquinavir possibly increased by </w:t>
      </w:r>
      <w:r>
        <w:rPr>
          <w:rFonts w:ascii="Calibri" w:hAnsi="Calibri"/>
          <w:color w:val="008356"/>
          <w:w w:val="115"/>
          <w:sz w:val="11"/>
        </w:rPr>
        <w:t>IMIDAZOLES </w:t>
      </w:r>
      <w:r>
        <w:rPr>
          <w:color w:val="231F1F"/>
          <w:w w:val="115"/>
          <w:sz w:val="12"/>
        </w:rPr>
        <w:t>and </w:t>
      </w:r>
      <w:r>
        <w:rPr>
          <w:rFonts w:ascii="Calibri" w:hAnsi="Calibri"/>
          <w:color w:val="008356"/>
          <w:w w:val="115"/>
          <w:sz w:val="11"/>
        </w:rPr>
        <w:t>TRIAZOLES</w:t>
      </w:r>
    </w:p>
    <w:p>
      <w:pPr>
        <w:pStyle w:val="BodyText"/>
        <w:spacing w:line="138" w:lineRule="exact"/>
        <w:ind w:left="108"/>
      </w:pPr>
      <w:r>
        <w:rPr>
          <w:rFonts w:ascii="Arial"/>
          <w:color w:val="231F1F"/>
          <w:w w:val="355"/>
          <w:position w:val="1"/>
          <w:sz w:val="7"/>
        </w:rPr>
        <w:t>l </w:t>
      </w:r>
      <w:r>
        <w:rPr>
          <w:rFonts w:ascii="Calibri"/>
          <w:color w:val="231F1F"/>
          <w:w w:val="110"/>
        </w:rPr>
        <w:t>Antihistamines: </w:t>
      </w:r>
      <w:r>
        <w:rPr>
          <w:color w:val="231F1F"/>
          <w:w w:val="110"/>
        </w:rPr>
        <w:t>increased risk of ventricular arrhythmias when</w:t>
      </w:r>
    </w:p>
    <w:p>
      <w:pPr>
        <w:spacing w:line="141" w:lineRule="exact" w:before="0"/>
        <w:ind w:left="208" w:right="0" w:firstLine="0"/>
        <w:jc w:val="left"/>
        <w:rPr>
          <w:sz w:val="12"/>
        </w:rPr>
      </w:pPr>
      <w:r>
        <w:rPr>
          <w:color w:val="231F1F"/>
          <w:w w:val="115"/>
          <w:sz w:val="12"/>
        </w:rPr>
        <w:t>saquinavir</w:t>
      </w:r>
      <w:r>
        <w:rPr>
          <w:color w:val="231F1F"/>
          <w:spacing w:val="-20"/>
          <w:w w:val="115"/>
          <w:sz w:val="12"/>
        </w:rPr>
        <w:t> </w:t>
      </w:r>
      <w:r>
        <w:rPr>
          <w:color w:val="231F1F"/>
          <w:w w:val="115"/>
          <w:sz w:val="12"/>
        </w:rPr>
        <w:t>given</w:t>
      </w:r>
      <w:r>
        <w:rPr>
          <w:color w:val="231F1F"/>
          <w:spacing w:val="-19"/>
          <w:w w:val="115"/>
          <w:sz w:val="12"/>
        </w:rPr>
        <w:t> </w:t>
      </w:r>
      <w:r>
        <w:rPr>
          <w:color w:val="231F1F"/>
          <w:w w:val="115"/>
          <w:sz w:val="12"/>
        </w:rPr>
        <w:t>with</w:t>
      </w:r>
      <w:r>
        <w:rPr>
          <w:color w:val="231F1F"/>
          <w:spacing w:val="-19"/>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MIZOLASTINE</w:t>
      </w:r>
      <w:r>
        <w:rPr>
          <w:rFonts w:ascii="Arial" w:hAnsi="Arial"/>
          <w:color w:val="231F1F"/>
          <w:spacing w:val="3"/>
          <w:w w:val="115"/>
          <w:sz w:val="12"/>
        </w:rPr>
        <w:t>—</w:t>
      </w:r>
      <w:r>
        <w:rPr>
          <w:color w:val="231F1F"/>
          <w:spacing w:val="3"/>
          <w:w w:val="115"/>
          <w:sz w:val="12"/>
        </w:rPr>
        <w:t>avoid</w:t>
      </w:r>
      <w:r>
        <w:rPr>
          <w:color w:val="231F1F"/>
          <w:spacing w:val="-19"/>
          <w:w w:val="115"/>
          <w:sz w:val="12"/>
        </w:rPr>
        <w:t> </w:t>
      </w:r>
      <w:r>
        <w:rPr>
          <w:color w:val="231F1F"/>
          <w:w w:val="115"/>
          <w:sz w:val="12"/>
        </w:rPr>
        <w:t>concomitant</w:t>
      </w:r>
      <w:r>
        <w:rPr>
          <w:color w:val="231F1F"/>
          <w:spacing w:val="-20"/>
          <w:w w:val="115"/>
          <w:sz w:val="12"/>
        </w:rPr>
        <w:t> </w:t>
      </w:r>
      <w:r>
        <w:rPr>
          <w:color w:val="231F1F"/>
          <w:w w:val="115"/>
          <w:sz w:val="12"/>
        </w:rPr>
        <w:t>use</w:t>
      </w:r>
    </w:p>
    <w:p>
      <w:pPr>
        <w:spacing w:line="242" w:lineRule="auto" w:before="0"/>
        <w:ind w:left="208" w:right="93" w:hanging="100"/>
        <w:jc w:val="left"/>
        <w:rPr>
          <w:sz w:val="12"/>
        </w:rPr>
      </w:pPr>
      <w:r>
        <w:rPr>
          <w:rFonts w:ascii="Arial" w:hAnsi="Arial"/>
          <w:color w:val="231F1F"/>
          <w:w w:val="355"/>
          <w:position w:val="1"/>
          <w:sz w:val="7"/>
        </w:rPr>
        <w:t>l </w:t>
      </w:r>
      <w:r>
        <w:rPr>
          <w:rFonts w:ascii="Calibri" w:hAnsi="Calibri"/>
          <w:color w:val="231F1F"/>
          <w:w w:val="110"/>
          <w:sz w:val="12"/>
        </w:rPr>
        <w:t>Antimalarials: </w:t>
      </w:r>
      <w:r>
        <w:rPr>
          <w:color w:val="231F1F"/>
          <w:w w:val="110"/>
          <w:sz w:val="12"/>
        </w:rPr>
        <w:t>caution with saquinavir advised by </w:t>
      </w:r>
      <w:r>
        <w:rPr>
          <w:color w:val="231F1F"/>
          <w:w w:val="105"/>
          <w:sz w:val="12"/>
        </w:rPr>
        <w:t>manufacturer of </w:t>
      </w:r>
      <w:r>
        <w:rPr>
          <w:rFonts w:ascii="Calibri" w:hAnsi="Calibri"/>
          <w:color w:val="008356"/>
          <w:spacing w:val="4"/>
          <w:w w:val="105"/>
          <w:sz w:val="11"/>
        </w:rPr>
        <w:t>ARTEMETHER </w:t>
      </w:r>
      <w:r>
        <w:rPr>
          <w:rFonts w:ascii="Calibri" w:hAnsi="Calibri"/>
          <w:color w:val="008356"/>
          <w:spacing w:val="3"/>
          <w:w w:val="105"/>
          <w:sz w:val="11"/>
        </w:rPr>
        <w:t>WITH </w:t>
      </w:r>
      <w:r>
        <w:rPr>
          <w:rFonts w:ascii="Calibri" w:hAnsi="Calibri"/>
          <w:color w:val="008356"/>
          <w:spacing w:val="4"/>
          <w:w w:val="105"/>
          <w:sz w:val="11"/>
        </w:rPr>
        <w:t>LUMEFANTRINE</w:t>
      </w:r>
      <w:r>
        <w:rPr>
          <w:color w:val="231F1F"/>
          <w:spacing w:val="4"/>
          <w:w w:val="105"/>
          <w:sz w:val="12"/>
        </w:rPr>
        <w:t>; </w:t>
      </w:r>
      <w:r>
        <w:rPr>
          <w:color w:val="231F1F"/>
          <w:w w:val="105"/>
          <w:sz w:val="12"/>
        </w:rPr>
        <w:t>avoidance </w:t>
      </w:r>
      <w:r>
        <w:rPr>
          <w:color w:val="231F1F"/>
          <w:w w:val="110"/>
          <w:sz w:val="12"/>
        </w:rPr>
        <w:t>of saquinavir advised by manufacturer of </w:t>
      </w:r>
      <w:r>
        <w:rPr>
          <w:rFonts w:ascii="Arial" w:hAnsi="Arial"/>
          <w:color w:val="231F1F"/>
          <w:w w:val="355"/>
          <w:position w:val="1"/>
          <w:sz w:val="7"/>
        </w:rPr>
        <w:t>l </w:t>
      </w:r>
      <w:r>
        <w:rPr>
          <w:rFonts w:ascii="Calibri" w:hAnsi="Calibri"/>
          <w:color w:val="008356"/>
          <w:spacing w:val="4"/>
          <w:w w:val="110"/>
          <w:sz w:val="11"/>
        </w:rPr>
        <w:t>ARTENIMOL WITH PIPERAQUINE </w:t>
      </w:r>
      <w:r>
        <w:rPr>
          <w:color w:val="231F1F"/>
          <w:w w:val="110"/>
          <w:sz w:val="12"/>
        </w:rPr>
        <w:t>(possible risk of ventricular arrhythmias); increased risk of ventricular arrhythmias when saquinavir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0"/>
          <w:sz w:val="11"/>
        </w:rPr>
        <w:t>QUININE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37" w:lineRule="auto"/>
        <w:ind w:right="43" w:hanging="100"/>
      </w:pPr>
      <w:r>
        <w:rPr>
          <w:rFonts w:ascii="Lucida Sans Unicode" w:hAnsi="Lucida Sans Unicode"/>
          <w:color w:val="A7A8AC"/>
          <w:w w:val="95"/>
          <w:sz w:val="10"/>
        </w:rPr>
        <w:t>▶ </w:t>
      </w:r>
      <w:r>
        <w:rPr>
          <w:rFonts w:ascii="Calibri" w:hAnsi="Calibri"/>
          <w:color w:val="231F1F"/>
          <w:w w:val="110"/>
        </w:rPr>
        <w:t>Antimuscarinics: </w:t>
      </w:r>
      <w:r>
        <w:rPr>
          <w:color w:val="231F1F"/>
          <w:w w:val="110"/>
        </w:rPr>
        <w:t>avoidance of saquinavir advised by manufacturer of </w:t>
      </w:r>
      <w:r>
        <w:rPr>
          <w:rFonts w:ascii="Calibri" w:hAnsi="Calibri"/>
          <w:color w:val="008356"/>
          <w:w w:val="110"/>
          <w:sz w:val="11"/>
        </w:rPr>
        <w:t>DARIFENACIN </w:t>
      </w:r>
      <w:r>
        <w:rPr>
          <w:color w:val="231F1F"/>
          <w:w w:val="110"/>
        </w:rPr>
        <w:t>and </w:t>
      </w:r>
      <w:r>
        <w:rPr>
          <w:rFonts w:ascii="Calibri" w:hAnsi="Calibri"/>
          <w:color w:val="008356"/>
          <w:w w:val="110"/>
          <w:sz w:val="11"/>
        </w:rPr>
        <w:t>TOLTERODINE</w:t>
      </w:r>
      <w:r>
        <w:rPr>
          <w:color w:val="231F1F"/>
          <w:w w:val="110"/>
        </w:rPr>
        <w:t>; manufacturer of fesoterodine advises dose reduction when saquinavir given with </w:t>
      </w:r>
      <w:r>
        <w:rPr>
          <w:rFonts w:ascii="Calibri" w:hAnsi="Calibri"/>
          <w:color w:val="008356"/>
          <w:w w:val="110"/>
          <w:sz w:val="11"/>
        </w:rPr>
        <w:t>FESOTERODINE</w:t>
      </w:r>
      <w:r>
        <w:rPr>
          <w:rFonts w:ascii="Arial" w:hAnsi="Arial"/>
          <w:color w:val="231F1F"/>
          <w:w w:val="110"/>
        </w:rPr>
        <w:t>—</w:t>
      </w:r>
      <w:r>
        <w:rPr>
          <w:color w:val="231F1F"/>
          <w:w w:val="110"/>
        </w:rPr>
        <w:t>consult fesoterodine product literature</w:t>
      </w:r>
    </w:p>
    <w:p>
      <w:pPr>
        <w:spacing w:line="237" w:lineRule="auto" w:before="0"/>
        <w:ind w:left="208" w:right="0" w:hanging="100"/>
        <w:jc w:val="left"/>
        <w:rPr>
          <w:sz w:val="12"/>
        </w:rPr>
      </w:pPr>
      <w:r>
        <w:rPr>
          <w:rFonts w:ascii="Arial"/>
          <w:color w:val="231F1F"/>
          <w:w w:val="355"/>
          <w:position w:val="1"/>
          <w:sz w:val="7"/>
        </w:rPr>
        <w:t>l </w:t>
      </w:r>
      <w:r>
        <w:rPr>
          <w:rFonts w:ascii="Calibri"/>
          <w:color w:val="231F1F"/>
          <w:w w:val="110"/>
          <w:sz w:val="12"/>
        </w:rPr>
        <w:t>Antipsychotics: </w:t>
      </w:r>
      <w:r>
        <w:rPr>
          <w:color w:val="231F1F"/>
          <w:w w:val="110"/>
          <w:sz w:val="12"/>
        </w:rPr>
        <w:t>increased risk of ventricular arrhythmias when saquinavir given with </w:t>
      </w:r>
      <w:r>
        <w:rPr>
          <w:rFonts w:ascii="Arial"/>
          <w:color w:val="231F1F"/>
          <w:w w:val="355"/>
          <w:position w:val="1"/>
          <w:sz w:val="7"/>
        </w:rPr>
        <w:t>l </w:t>
      </w:r>
      <w:r>
        <w:rPr>
          <w:rFonts w:ascii="Calibri"/>
          <w:color w:val="008356"/>
          <w:w w:val="110"/>
          <w:sz w:val="11"/>
        </w:rPr>
        <w:t>CLOZAPINE</w:t>
      </w:r>
      <w:r>
        <w:rPr>
          <w:color w:val="231F1F"/>
          <w:w w:val="110"/>
          <w:sz w:val="12"/>
        </w:rPr>
        <w:t>, </w:t>
      </w:r>
      <w:r>
        <w:rPr>
          <w:rFonts w:ascii="Arial"/>
          <w:color w:val="231F1F"/>
          <w:w w:val="355"/>
          <w:position w:val="1"/>
          <w:sz w:val="7"/>
        </w:rPr>
        <w:t>l </w:t>
      </w:r>
      <w:r>
        <w:rPr>
          <w:rFonts w:ascii="Calibri"/>
          <w:color w:val="008356"/>
          <w:w w:val="110"/>
          <w:sz w:val="11"/>
        </w:rPr>
        <w:t>HALOPERIDOL </w:t>
      </w:r>
      <w:r>
        <w:rPr>
          <w:color w:val="231F1F"/>
          <w:w w:val="110"/>
          <w:sz w:val="12"/>
        </w:rPr>
        <w:t>or</w:t>
      </w:r>
    </w:p>
    <w:p>
      <w:pPr>
        <w:pStyle w:val="BodyText"/>
        <w:spacing w:line="244" w:lineRule="auto"/>
        <w:ind w:right="164"/>
      </w:pPr>
      <w:r>
        <w:rPr>
          <w:rFonts w:ascii="Arial" w:hAnsi="Arial"/>
          <w:color w:val="231F1F"/>
          <w:w w:val="355"/>
          <w:position w:val="1"/>
          <w:sz w:val="7"/>
        </w:rPr>
        <w:t>l </w:t>
      </w:r>
      <w:r>
        <w:rPr>
          <w:rFonts w:ascii="Calibri" w:hAnsi="Calibri"/>
          <w:color w:val="008356"/>
          <w:w w:val="110"/>
          <w:sz w:val="11"/>
        </w:rPr>
        <w:t>PHENOTHIAZINES</w:t>
      </w:r>
      <w:r>
        <w:rPr>
          <w:rFonts w:ascii="Arial" w:hAnsi="Arial"/>
          <w:color w:val="231F1F"/>
          <w:w w:val="110"/>
        </w:rPr>
        <w:t>—</w:t>
      </w:r>
      <w:r>
        <w:rPr>
          <w:color w:val="231F1F"/>
          <w:w w:val="110"/>
        </w:rPr>
        <w:t>avoid concomitant use; saquinavir possibly increases plasma concentration of </w:t>
      </w:r>
      <w:r>
        <w:rPr>
          <w:rFonts w:ascii="Arial" w:hAnsi="Arial"/>
          <w:color w:val="231F1F"/>
          <w:w w:val="355"/>
          <w:position w:val="1"/>
          <w:sz w:val="7"/>
        </w:rPr>
        <w:t>l </w:t>
      </w:r>
      <w:r>
        <w:rPr>
          <w:rFonts w:ascii="Calibri" w:hAnsi="Calibri"/>
          <w:color w:val="008356"/>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saquinavir possibly increases plasma concentration of </w:t>
      </w:r>
      <w:r>
        <w:rPr>
          <w:rFonts w:ascii="Arial" w:hAnsi="Arial"/>
          <w:color w:val="231F1F"/>
          <w:w w:val="355"/>
          <w:position w:val="1"/>
          <w:sz w:val="7"/>
        </w:rPr>
        <w:t>l </w:t>
      </w:r>
      <w:r>
        <w:rPr>
          <w:rFonts w:ascii="Calibri" w:hAnsi="Calibri"/>
          <w:color w:val="008356"/>
          <w:w w:val="110"/>
          <w:sz w:val="11"/>
        </w:rPr>
        <w:t>LURASIDONE</w:t>
      </w:r>
      <w:r>
        <w:rPr>
          <w:rFonts w:ascii="Arial" w:hAnsi="Arial"/>
          <w:color w:val="231F1F"/>
          <w:w w:val="110"/>
        </w:rPr>
        <w:t>—</w:t>
      </w:r>
      <w:r>
        <w:rPr>
          <w:color w:val="231F1F"/>
          <w:w w:val="110"/>
        </w:rPr>
        <w:t>avoid concomitant use; saquinavir possibly increases plasma concentration of</w:t>
      </w:r>
    </w:p>
    <w:p>
      <w:pPr>
        <w:pStyle w:val="BodyText"/>
        <w:spacing w:line="244" w:lineRule="auto" w:before="1"/>
        <w:ind w:right="128"/>
      </w:pPr>
      <w:r>
        <w:rPr>
          <w:rFonts w:ascii="Arial" w:hAnsi="Arial"/>
          <w:color w:val="231F1F"/>
          <w:w w:val="280"/>
          <w:position w:val="1"/>
          <w:sz w:val="7"/>
        </w:rPr>
        <w:t>l</w:t>
      </w:r>
      <w:r>
        <w:rPr>
          <w:rFonts w:ascii="Arial" w:hAnsi="Arial"/>
          <w:color w:val="231F1F"/>
          <w:spacing w:val="-45"/>
          <w:w w:val="280"/>
          <w:position w:val="1"/>
          <w:sz w:val="7"/>
        </w:rPr>
        <w:t> </w:t>
      </w:r>
      <w:r>
        <w:rPr>
          <w:rFonts w:ascii="Calibri" w:hAnsi="Calibri"/>
          <w:color w:val="008356"/>
          <w:spacing w:val="4"/>
          <w:w w:val="115"/>
          <w:sz w:val="11"/>
        </w:rPr>
        <w:t>PIMOZIDE</w:t>
      </w:r>
      <w:r>
        <w:rPr>
          <w:rFonts w:ascii="Calibri" w:hAnsi="Calibri"/>
          <w:color w:val="008356"/>
          <w:spacing w:val="-16"/>
          <w:w w:val="115"/>
          <w:sz w:val="11"/>
        </w:rPr>
        <w:t> </w:t>
      </w:r>
      <w:r>
        <w:rPr>
          <w:color w:val="231F1F"/>
          <w:w w:val="115"/>
        </w:rPr>
        <w:t>(increased</w:t>
      </w:r>
      <w:r>
        <w:rPr>
          <w:color w:val="231F1F"/>
          <w:spacing w:val="-25"/>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ventricular</w:t>
      </w:r>
      <w:r>
        <w:rPr>
          <w:color w:val="231F1F"/>
          <w:spacing w:val="-24"/>
          <w:w w:val="115"/>
        </w:rPr>
        <w:t> </w:t>
      </w:r>
      <w:r>
        <w:rPr>
          <w:color w:val="231F1F"/>
          <w:w w:val="115"/>
        </w:rPr>
        <w:t>arrhythmias</w:t>
      </w:r>
      <w:r>
        <w:rPr>
          <w:rFonts w:ascii="Arial" w:hAnsi="Arial"/>
          <w:color w:val="231F1F"/>
          <w:w w:val="115"/>
        </w:rPr>
        <w:t>—</w:t>
      </w:r>
      <w:r>
        <w:rPr>
          <w:color w:val="231F1F"/>
          <w:w w:val="115"/>
        </w:rPr>
        <w:t>avoid concomitant use); saquinavir possibly increases plasma concentration</w:t>
      </w:r>
      <w:r>
        <w:rPr>
          <w:color w:val="231F1F"/>
          <w:spacing w:val="-20"/>
          <w:w w:val="115"/>
        </w:rPr>
        <w:t> </w:t>
      </w:r>
      <w:r>
        <w:rPr>
          <w:color w:val="231F1F"/>
          <w:w w:val="115"/>
        </w:rPr>
        <w:t>of</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1"/>
          <w:w w:val="115"/>
        </w:rPr>
        <w:t> </w:t>
      </w:r>
      <w:r>
        <w:rPr>
          <w:color w:val="231F1F"/>
          <w:w w:val="115"/>
        </w:rPr>
        <w:t>of</w:t>
      </w:r>
      <w:r>
        <w:rPr>
          <w:color w:val="231F1F"/>
          <w:spacing w:val="-19"/>
          <w:w w:val="115"/>
        </w:rPr>
        <w:t> </w:t>
      </w:r>
      <w:r>
        <w:rPr>
          <w:color w:val="231F1F"/>
          <w:w w:val="115"/>
        </w:rPr>
        <w:t>quetiapine advises avoid concomitant</w:t>
      </w:r>
      <w:r>
        <w:rPr>
          <w:color w:val="231F1F"/>
          <w:spacing w:val="-14"/>
          <w:w w:val="115"/>
        </w:rPr>
        <w:t> </w:t>
      </w:r>
      <w:r>
        <w:rPr>
          <w:color w:val="231F1F"/>
          <w:w w:val="115"/>
        </w:rPr>
        <w:t>use</w:t>
      </w:r>
    </w:p>
    <w:p>
      <w:pPr>
        <w:pStyle w:val="BodyText"/>
        <w:spacing w:line="244" w:lineRule="auto"/>
        <w:ind w:right="-17" w:hanging="100"/>
      </w:pPr>
      <w:r>
        <w:rPr>
          <w:rFonts w:ascii="Arial" w:hAnsi="Arial"/>
          <w:color w:val="231F1F"/>
          <w:w w:val="355"/>
          <w:position w:val="1"/>
          <w:sz w:val="7"/>
        </w:rPr>
        <w:t>l </w:t>
      </w:r>
      <w:r>
        <w:rPr>
          <w:rFonts w:ascii="Calibri" w:hAnsi="Calibri"/>
          <w:color w:val="231F1F"/>
          <w:w w:val="115"/>
        </w:rPr>
        <w:t>Antivirals: </w:t>
      </w:r>
      <w:r>
        <w:rPr>
          <w:color w:val="231F1F"/>
          <w:w w:val="115"/>
        </w:rPr>
        <w:t>increased risk of ventricular arrhythmias when saquinavir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ATAZANAVIR </w:t>
      </w:r>
      <w:r>
        <w:rPr>
          <w:color w:val="231F1F"/>
          <w:w w:val="115"/>
        </w:rPr>
        <w:t>or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LOPINAVIR</w:t>
      </w:r>
      <w:r>
        <w:rPr>
          <w:rFonts w:ascii="Arial" w:hAnsi="Arial"/>
          <w:color w:val="231F1F"/>
          <w:spacing w:val="2"/>
          <w:w w:val="115"/>
        </w:rPr>
        <w:t>—</w:t>
      </w:r>
      <w:r>
        <w:rPr>
          <w:color w:val="231F1F"/>
          <w:spacing w:val="2"/>
          <w:w w:val="115"/>
        </w:rPr>
        <w:t>avoid </w:t>
      </w:r>
      <w:r>
        <w:rPr>
          <w:color w:val="231F1F"/>
          <w:w w:val="115"/>
        </w:rPr>
        <w:t>concomitant use; saquinavir reduces plasma concentration </w:t>
      </w:r>
      <w:r>
        <w:rPr>
          <w:color w:val="231F1F"/>
          <w:spacing w:val="-7"/>
          <w:w w:val="115"/>
        </w:rPr>
        <w:t>of </w:t>
      </w:r>
      <w:r>
        <w:rPr>
          <w:rFonts w:ascii="Calibri" w:hAnsi="Calibri"/>
          <w:color w:val="008356"/>
          <w:spacing w:val="3"/>
          <w:w w:val="115"/>
          <w:sz w:val="11"/>
        </w:rPr>
        <w:t>DARUNAVIR</w:t>
      </w:r>
      <w:r>
        <w:rPr>
          <w:color w:val="231F1F"/>
          <w:spacing w:val="3"/>
          <w:w w:val="115"/>
        </w:rPr>
        <w:t>; </w:t>
      </w:r>
      <w:r>
        <w:rPr>
          <w:color w:val="231F1F"/>
          <w:w w:val="115"/>
        </w:rPr>
        <w:t>plasma concentration of saquinavir significantly</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Saquinavir</w:t>
      </w:r>
    </w:p>
    <w:p>
      <w:pPr>
        <w:pStyle w:val="BodyText"/>
        <w:spacing w:line="146" w:lineRule="exact" w:before="4"/>
        <w:ind w:left="108"/>
        <w:rPr>
          <w:rFonts w:ascii="Calibri"/>
        </w:rPr>
      </w:pPr>
      <w:r>
        <w:rPr/>
        <w:pict>
          <v:rect style="position:absolute;margin-left:398.891296pt;margin-top:-8.430091pt;width:20.522993pt;height:149.443pt;mso-position-horizontal-relative:page;mso-position-vertical-relative:paragraph;z-index:6208" filled="true" fillcolor="#bfdbcf" stroked="false">
            <v:fill type="solid"/>
            <w10:wrap type="none"/>
          </v:rect>
        </w:pict>
      </w:r>
      <w:r>
        <w:rPr/>
        <w:pict>
          <v:shape style="position:absolute;margin-left:399.725769pt;margin-top:-3.466702pt;width:10.4pt;height:78.850pt;mso-position-horizontal-relative:page;mso-position-vertical-relative:paragraph;z-index:623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spacing w:line="247" w:lineRule="auto" w:before="0"/>
        <w:ind w:left="208" w:right="667" w:firstLine="0"/>
        <w:jc w:val="left"/>
        <w:rPr>
          <w:rFonts w:ascii="Calibri"/>
          <w:sz w:val="11"/>
        </w:rPr>
      </w:pPr>
      <w:r>
        <w:rPr>
          <w:color w:val="231F1F"/>
          <w:w w:val="110"/>
          <w:sz w:val="12"/>
        </w:rPr>
        <w:t>reduced by </w:t>
      </w:r>
      <w:r>
        <w:rPr>
          <w:rFonts w:ascii="Calibri"/>
          <w:color w:val="008356"/>
          <w:spacing w:val="3"/>
          <w:w w:val="110"/>
          <w:sz w:val="11"/>
        </w:rPr>
        <w:t>EFAVIRENZ</w:t>
      </w:r>
      <w:r>
        <w:rPr>
          <w:color w:val="231F1F"/>
          <w:spacing w:val="3"/>
          <w:w w:val="110"/>
          <w:sz w:val="12"/>
        </w:rPr>
        <w:t>; </w:t>
      </w:r>
      <w:r>
        <w:rPr>
          <w:color w:val="231F1F"/>
          <w:w w:val="110"/>
          <w:sz w:val="12"/>
        </w:rPr>
        <w:t>plasma concentration of saquinavir increased by </w:t>
      </w:r>
      <w:r>
        <w:rPr>
          <w:rFonts w:ascii="Calibri"/>
          <w:color w:val="008356"/>
          <w:spacing w:val="3"/>
          <w:w w:val="110"/>
          <w:sz w:val="11"/>
        </w:rPr>
        <w:t>INDINAVIR </w:t>
      </w:r>
      <w:r>
        <w:rPr>
          <w:color w:val="231F1F"/>
          <w:w w:val="110"/>
          <w:sz w:val="12"/>
        </w:rPr>
        <w:t>and </w:t>
      </w:r>
      <w:r>
        <w:rPr>
          <w:rFonts w:ascii="Arial"/>
          <w:color w:val="231F1F"/>
          <w:w w:val="355"/>
          <w:position w:val="1"/>
          <w:sz w:val="7"/>
        </w:rPr>
        <w:t>l </w:t>
      </w:r>
      <w:r>
        <w:rPr>
          <w:rFonts w:ascii="Calibri"/>
          <w:color w:val="008356"/>
          <w:spacing w:val="3"/>
          <w:w w:val="110"/>
          <w:sz w:val="11"/>
        </w:rPr>
        <w:t>RITONAVIR</w:t>
      </w:r>
      <w:r>
        <w:rPr>
          <w:color w:val="231F1F"/>
          <w:spacing w:val="3"/>
          <w:w w:val="110"/>
          <w:sz w:val="12"/>
        </w:rPr>
        <w:t>; </w:t>
      </w:r>
      <w:r>
        <w:rPr>
          <w:color w:val="231F1F"/>
          <w:w w:val="110"/>
          <w:sz w:val="12"/>
        </w:rPr>
        <w:t>saquinavir increases plasma concentration of </w:t>
      </w:r>
      <w:r>
        <w:rPr>
          <w:rFonts w:ascii="Arial"/>
          <w:color w:val="231F1F"/>
          <w:w w:val="355"/>
          <w:position w:val="1"/>
          <w:sz w:val="7"/>
        </w:rPr>
        <w:t>l </w:t>
      </w:r>
      <w:r>
        <w:rPr>
          <w:rFonts w:ascii="Calibri"/>
          <w:color w:val="008356"/>
          <w:spacing w:val="4"/>
          <w:w w:val="110"/>
          <w:sz w:val="11"/>
        </w:rPr>
        <w:t>MARAVIROC </w:t>
      </w:r>
      <w:r>
        <w:rPr>
          <w:color w:val="231F1F"/>
          <w:w w:val="110"/>
          <w:sz w:val="12"/>
        </w:rPr>
        <w:t>(consider reducing </w:t>
      </w:r>
      <w:r>
        <w:rPr>
          <w:color w:val="231F1F"/>
          <w:spacing w:val="-4"/>
          <w:w w:val="110"/>
          <w:sz w:val="12"/>
        </w:rPr>
        <w:t>dose </w:t>
      </w:r>
      <w:r>
        <w:rPr>
          <w:color w:val="231F1F"/>
          <w:w w:val="110"/>
          <w:sz w:val="12"/>
        </w:rPr>
        <w:t>of maraviroc); plasma concentration of saquinavir reduced by</w:t>
      </w:r>
      <w:r>
        <w:rPr>
          <w:color w:val="231F1F"/>
          <w:spacing w:val="33"/>
          <w:w w:val="110"/>
          <w:sz w:val="12"/>
        </w:rPr>
        <w:t>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TIPRANAVIR</w:t>
      </w:r>
    </w:p>
    <w:p>
      <w:pPr>
        <w:pStyle w:val="BodyText"/>
        <w:ind w:right="670" w:hanging="100"/>
      </w:pPr>
      <w:r>
        <w:rPr>
          <w:rFonts w:ascii="Arial" w:hAnsi="Arial"/>
          <w:color w:val="231F1F"/>
          <w:w w:val="355"/>
          <w:position w:val="1"/>
          <w:sz w:val="7"/>
        </w:rPr>
        <w:t>l </w:t>
      </w:r>
      <w:r>
        <w:rPr>
          <w:rFonts w:ascii="Calibri" w:hAnsi="Calibri"/>
          <w:color w:val="231F1F"/>
          <w:w w:val="105"/>
        </w:rPr>
        <w:t>Anxiolytics and Hypnotics: </w:t>
      </w:r>
      <w:r>
        <w:rPr>
          <w:color w:val="231F1F"/>
          <w:w w:val="105"/>
        </w:rPr>
        <w:t>saquinavir increases plasma concentration of </w:t>
      </w:r>
      <w:r>
        <w:rPr>
          <w:rFonts w:ascii="Arial" w:hAnsi="Arial"/>
          <w:color w:val="231F1F"/>
          <w:w w:val="355"/>
          <w:position w:val="1"/>
          <w:sz w:val="7"/>
        </w:rPr>
        <w:t>l </w:t>
      </w:r>
      <w:r>
        <w:rPr>
          <w:rFonts w:ascii="Calibri" w:hAnsi="Calibri"/>
          <w:color w:val="008356"/>
          <w:w w:val="105"/>
          <w:sz w:val="11"/>
        </w:rPr>
        <w:t>MIDAZOLAM </w:t>
      </w:r>
      <w:r>
        <w:rPr>
          <w:color w:val="231F1F"/>
          <w:w w:val="105"/>
        </w:rPr>
        <w:t>(risk of prolonged sedation</w:t>
      </w:r>
      <w:r>
        <w:rPr>
          <w:rFonts w:ascii="Arial" w:hAnsi="Arial"/>
          <w:color w:val="231F1F"/>
          <w:w w:val="105"/>
        </w:rPr>
        <w:t>— </w:t>
      </w:r>
      <w:r>
        <w:rPr>
          <w:color w:val="231F1F"/>
          <w:w w:val="105"/>
        </w:rPr>
        <w:t>avoid concomitant use of </w:t>
      </w:r>
      <w:r>
        <w:rPr>
          <w:i/>
          <w:color w:val="231F1F"/>
          <w:w w:val="105"/>
        </w:rPr>
        <w:t>oral </w:t>
      </w:r>
      <w:r>
        <w:rPr>
          <w:color w:val="231F1F"/>
          <w:w w:val="105"/>
        </w:rPr>
        <w:t>midazolam)</w:t>
      </w:r>
    </w:p>
    <w:p>
      <w:pPr>
        <w:pStyle w:val="BodyText"/>
        <w:ind w:right="670" w:hanging="100"/>
      </w:pPr>
      <w:r>
        <w:rPr>
          <w:rFonts w:ascii="Arial" w:hAnsi="Arial"/>
          <w:color w:val="231F1F"/>
          <w:w w:val="115"/>
          <w:position w:val="1"/>
          <w:sz w:val="7"/>
        </w:rPr>
        <w:t>l </w:t>
      </w:r>
      <w:r>
        <w:rPr>
          <w:rFonts w:ascii="Calibri" w:hAnsi="Calibri"/>
          <w:color w:val="231F1F"/>
          <w:w w:val="115"/>
        </w:rPr>
        <w:t>Avanafil: </w:t>
      </w:r>
      <w:r>
        <w:rPr>
          <w:color w:val="231F1F"/>
          <w:w w:val="115"/>
        </w:rPr>
        <w:t>saquinavir possibly increases plasma concentration </w:t>
      </w:r>
      <w:r>
        <w:rPr>
          <w:color w:val="231F1F"/>
          <w:w w:val="120"/>
        </w:rPr>
        <w:t>of </w:t>
      </w:r>
      <w:r>
        <w:rPr>
          <w:rFonts w:ascii="Arial" w:hAnsi="Arial"/>
          <w:color w:val="231F1F"/>
          <w:w w:val="355"/>
          <w:position w:val="1"/>
          <w:sz w:val="7"/>
        </w:rPr>
        <w:t>l </w:t>
      </w:r>
      <w:r>
        <w:rPr>
          <w:rFonts w:ascii="Calibri" w:hAnsi="Calibri"/>
          <w:color w:val="008356"/>
          <w:w w:val="120"/>
          <w:sz w:val="11"/>
        </w:rPr>
        <w:t>AVANAFIL</w:t>
      </w:r>
      <w:r>
        <w:rPr>
          <w:rFonts w:ascii="Arial" w:hAnsi="Arial"/>
          <w:color w:val="231F1F"/>
          <w:w w:val="120"/>
        </w:rPr>
        <w:t>—</w:t>
      </w:r>
      <w:r>
        <w:rPr>
          <w:color w:val="231F1F"/>
          <w:w w:val="120"/>
        </w:rPr>
        <w:t>manufacturer of avanafil advises avoid concomitant use</w:t>
      </w:r>
    </w:p>
    <w:p>
      <w:pPr>
        <w:pStyle w:val="BodyText"/>
        <w:ind w:right="736"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Beta-blockers:</w:t>
      </w:r>
      <w:r>
        <w:rPr>
          <w:rFonts w:ascii="Calibri" w:hAnsi="Calibri"/>
          <w:color w:val="231F1F"/>
          <w:spacing w:val="-14"/>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ventricular</w:t>
      </w:r>
      <w:r>
        <w:rPr>
          <w:color w:val="231F1F"/>
          <w:spacing w:val="-17"/>
          <w:w w:val="115"/>
        </w:rPr>
        <w:t> </w:t>
      </w:r>
      <w:r>
        <w:rPr>
          <w:color w:val="231F1F"/>
          <w:w w:val="115"/>
        </w:rPr>
        <w:t>arrhythmias</w:t>
      </w:r>
      <w:r>
        <w:rPr>
          <w:color w:val="231F1F"/>
          <w:spacing w:val="-18"/>
          <w:w w:val="115"/>
        </w:rPr>
        <w:t> </w:t>
      </w:r>
      <w:r>
        <w:rPr>
          <w:color w:val="231F1F"/>
          <w:spacing w:val="-4"/>
          <w:w w:val="115"/>
        </w:rPr>
        <w:t>when </w:t>
      </w:r>
      <w:r>
        <w:rPr>
          <w:color w:val="231F1F"/>
          <w:w w:val="115"/>
        </w:rPr>
        <w:t>saquinavir</w:t>
      </w:r>
      <w:r>
        <w:rPr>
          <w:color w:val="231F1F"/>
          <w:spacing w:val="-11"/>
          <w:w w:val="115"/>
        </w:rPr>
        <w:t> </w:t>
      </w:r>
      <w:r>
        <w:rPr>
          <w:color w:val="231F1F"/>
          <w:w w:val="115"/>
        </w:rPr>
        <w:t>given</w:t>
      </w:r>
      <w:r>
        <w:rPr>
          <w:color w:val="231F1F"/>
          <w:spacing w:val="-10"/>
          <w:w w:val="115"/>
        </w:rPr>
        <w:t> </w:t>
      </w:r>
      <w:r>
        <w:rPr>
          <w:color w:val="231F1F"/>
          <w:w w:val="115"/>
        </w:rPr>
        <w:t>with</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w w:val="115"/>
          <w:sz w:val="11"/>
        </w:rPr>
        <w:t>SOTALOL</w:t>
      </w:r>
      <w:r>
        <w:rPr>
          <w:rFonts w:ascii="Arial" w:hAnsi="Arial"/>
          <w:color w:val="231F1F"/>
          <w:w w:val="115"/>
        </w:rPr>
        <w:t>—</w:t>
      </w:r>
      <w:r>
        <w:rPr>
          <w:color w:val="231F1F"/>
          <w:w w:val="115"/>
        </w:rPr>
        <w:t>avoid</w:t>
      </w:r>
      <w:r>
        <w:rPr>
          <w:color w:val="231F1F"/>
          <w:spacing w:val="-10"/>
          <w:w w:val="115"/>
        </w:rPr>
        <w:t> </w:t>
      </w:r>
      <w:r>
        <w:rPr>
          <w:color w:val="231F1F"/>
          <w:w w:val="115"/>
        </w:rPr>
        <w:t>concomitant</w:t>
      </w:r>
      <w:r>
        <w:rPr>
          <w:color w:val="231F1F"/>
          <w:spacing w:val="-11"/>
          <w:w w:val="115"/>
        </w:rPr>
        <w:t> </w:t>
      </w:r>
      <w:r>
        <w:rPr>
          <w:color w:val="231F1F"/>
          <w:w w:val="115"/>
        </w:rPr>
        <w:t>use</w:t>
      </w:r>
    </w:p>
    <w:p>
      <w:pPr>
        <w:pStyle w:val="BodyText"/>
        <w:ind w:right="762"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plasma concentration of both drugs increased when saquinavir given with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CICLOSPORIN</w:t>
      </w:r>
    </w:p>
    <w:p>
      <w:pPr>
        <w:pStyle w:val="BodyText"/>
        <w:spacing w:line="22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plasma concentration of saquinavir possibly reduced by </w:t>
      </w:r>
      <w:r>
        <w:rPr>
          <w:rFonts w:ascii="Calibri" w:hAnsi="Calibri"/>
          <w:color w:val="008356"/>
          <w:w w:val="105"/>
          <w:sz w:val="11"/>
        </w:rPr>
        <w:t>DEXAMETHASONE</w:t>
      </w:r>
    </w:p>
    <w:p>
      <w:pPr>
        <w:pStyle w:val="BodyText"/>
        <w:spacing w:line="244" w:lineRule="auto" w:before="1"/>
        <w:ind w:right="670" w:hanging="100"/>
      </w:pPr>
      <w:r>
        <w:rPr>
          <w:rFonts w:ascii="Arial" w:hAnsi="Arial"/>
          <w:color w:val="231F1F"/>
          <w:w w:val="355"/>
          <w:position w:val="1"/>
          <w:sz w:val="7"/>
        </w:rPr>
        <w:t>l </w:t>
      </w:r>
      <w:r>
        <w:rPr>
          <w:rFonts w:ascii="Calibri" w:hAnsi="Calibri"/>
          <w:color w:val="231F1F"/>
          <w:w w:val="115"/>
        </w:rPr>
        <w:t>Cytotoxics: </w:t>
      </w:r>
      <w:r>
        <w:rPr>
          <w:color w:val="231F1F"/>
          <w:w w:val="115"/>
        </w:rPr>
        <w:t>saquinavir possibly increases the plasma concentration of </w:t>
      </w:r>
      <w:r>
        <w:rPr>
          <w:rFonts w:ascii="Calibri" w:hAnsi="Calibri"/>
          <w:color w:val="008356"/>
          <w:w w:val="115"/>
          <w:sz w:val="11"/>
        </w:rPr>
        <w:t>AFATINIB</w:t>
      </w:r>
      <w:r>
        <w:rPr>
          <w:rFonts w:ascii="Arial" w:hAnsi="Arial"/>
          <w:color w:val="231F1F"/>
          <w:w w:val="115"/>
        </w:rPr>
        <w:t>—</w:t>
      </w:r>
      <w:r>
        <w:rPr>
          <w:color w:val="231F1F"/>
          <w:w w:val="115"/>
        </w:rPr>
        <w:t>manufacturer of afatinib advises separating administration of saquinavir by 6 to 12 hours; saquinavir possibly increases plasma concentration of </w:t>
      </w:r>
      <w:r>
        <w:rPr>
          <w:rFonts w:ascii="Calibri" w:hAnsi="Calibri"/>
          <w:color w:val="008356"/>
          <w:w w:val="115"/>
          <w:sz w:val="11"/>
        </w:rPr>
        <w:t>AXITINIB </w:t>
      </w:r>
      <w:r>
        <w:rPr>
          <w:color w:val="231F1F"/>
          <w:w w:val="115"/>
        </w:rPr>
        <w:t>(reduce dose of axitinib</w:t>
      </w:r>
      <w:r>
        <w:rPr>
          <w:rFonts w:ascii="Arial" w:hAnsi="Arial"/>
          <w:color w:val="231F1F"/>
          <w:w w:val="115"/>
        </w:rPr>
        <w:t>—</w:t>
      </w:r>
      <w:r>
        <w:rPr>
          <w:color w:val="231F1F"/>
          <w:w w:val="115"/>
        </w:rPr>
        <w:t>consult axitinib product literature); saquinavir possibly increases the plasma concentration of </w:t>
      </w:r>
      <w:r>
        <w:rPr>
          <w:rFonts w:ascii="Arial" w:hAnsi="Arial"/>
          <w:color w:val="231F1F"/>
          <w:w w:val="355"/>
          <w:position w:val="1"/>
          <w:sz w:val="7"/>
        </w:rPr>
        <w:t>l </w:t>
      </w:r>
      <w:r>
        <w:rPr>
          <w:rFonts w:ascii="Calibri" w:hAnsi="Calibri"/>
          <w:color w:val="008356"/>
          <w:w w:val="115"/>
          <w:sz w:val="11"/>
        </w:rPr>
        <w:t>BOSUTINIB </w:t>
      </w:r>
      <w:r>
        <w:rPr>
          <w:color w:val="231F1F"/>
          <w:w w:val="115"/>
        </w:rPr>
        <w:t>and </w:t>
      </w:r>
      <w:r>
        <w:rPr>
          <w:rFonts w:ascii="Arial" w:hAnsi="Arial"/>
          <w:color w:val="231F1F"/>
          <w:w w:val="355"/>
          <w:position w:val="1"/>
          <w:sz w:val="7"/>
        </w:rPr>
        <w:t>l </w:t>
      </w:r>
      <w:r>
        <w:rPr>
          <w:rFonts w:ascii="Calibri" w:hAnsi="Calibri"/>
          <w:color w:val="008356"/>
          <w:w w:val="115"/>
          <w:sz w:val="11"/>
        </w:rPr>
        <w:t>CABAZITAXEL</w:t>
      </w:r>
      <w:r>
        <w:rPr>
          <w:rFonts w:ascii="Arial" w:hAnsi="Arial"/>
          <w:color w:val="231F1F"/>
          <w:w w:val="115"/>
        </w:rPr>
        <w:t>— </w:t>
      </w:r>
      <w:r>
        <w:rPr>
          <w:color w:val="231F1F"/>
          <w:w w:val="115"/>
        </w:rPr>
        <w:t>manufacturer of bosutinib and cabazitaxel advises avoid or consider reducing dose of bosutinib and cabazitaxel; saquinavir possibly increases plasma concentration of</w:t>
      </w:r>
    </w:p>
    <w:p>
      <w:pPr>
        <w:pStyle w:val="BodyText"/>
        <w:spacing w:line="247" w:lineRule="auto" w:before="7"/>
        <w:ind w:right="739" w:hanging="1"/>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5"/>
          <w:sz w:val="11"/>
        </w:rPr>
        <w:t>CRIZOTINIB</w:t>
      </w:r>
      <w:r>
        <w:rPr>
          <w:rFonts w:ascii="Calibri" w:hAnsi="Calibri"/>
          <w:color w:val="008356"/>
          <w:spacing w:val="-16"/>
          <w:w w:val="115"/>
          <w:sz w:val="11"/>
        </w:rPr>
        <w:t> </w:t>
      </w:r>
      <w:r>
        <w:rPr>
          <w:color w:val="231F1F"/>
          <w:w w:val="115"/>
        </w:rPr>
        <w:t>and</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EVEROLIMUS</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5"/>
          <w:w w:val="115"/>
        </w:rPr>
        <w:t> </w:t>
      </w:r>
      <w:r>
        <w:rPr>
          <w:color w:val="231F1F"/>
          <w:w w:val="115"/>
        </w:rPr>
        <w:t>crizotinib and everolimus advises avoid concomitant use; saquinavir possibly</w:t>
      </w:r>
      <w:r>
        <w:rPr>
          <w:color w:val="231F1F"/>
          <w:spacing w:val="-15"/>
          <w:w w:val="115"/>
        </w:rPr>
        <w:t> </w:t>
      </w:r>
      <w:r>
        <w:rPr>
          <w:color w:val="231F1F"/>
          <w:w w:val="115"/>
        </w:rPr>
        <w:t>increases</w:t>
      </w:r>
      <w:r>
        <w:rPr>
          <w:color w:val="231F1F"/>
          <w:spacing w:val="-16"/>
          <w:w w:val="115"/>
        </w:rPr>
        <w:t> </w:t>
      </w:r>
      <w:r>
        <w:rPr>
          <w:color w:val="231F1F"/>
          <w:w w:val="115"/>
        </w:rPr>
        <w:t>the</w:t>
      </w:r>
      <w:r>
        <w:rPr>
          <w:color w:val="231F1F"/>
          <w:spacing w:val="-14"/>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2"/>
          <w:w w:val="115"/>
          <w:sz w:val="11"/>
        </w:rPr>
        <w:t>IBRUTINIB</w:t>
      </w:r>
      <w:r>
        <w:rPr>
          <w:rFonts w:ascii="Arial" w:hAnsi="Arial"/>
          <w:color w:val="231F1F"/>
          <w:spacing w:val="2"/>
          <w:w w:val="115"/>
        </w:rPr>
        <w:t>— </w:t>
      </w:r>
      <w:r>
        <w:rPr>
          <w:color w:val="231F1F"/>
          <w:w w:val="115"/>
        </w:rPr>
        <w:t>reduce dose of ibrutinib (see under Ibrutinib, p. 809); avoidance</w:t>
      </w:r>
      <w:r>
        <w:rPr>
          <w:color w:val="231F1F"/>
          <w:spacing w:val="-7"/>
          <w:w w:val="115"/>
        </w:rPr>
        <w:t> </w:t>
      </w:r>
      <w:r>
        <w:rPr>
          <w:color w:val="231F1F"/>
          <w:w w:val="115"/>
        </w:rPr>
        <w:t>of</w:t>
      </w:r>
      <w:r>
        <w:rPr>
          <w:color w:val="231F1F"/>
          <w:spacing w:val="-5"/>
          <w:w w:val="115"/>
        </w:rPr>
        <w:t> </w:t>
      </w:r>
      <w:r>
        <w:rPr>
          <w:color w:val="231F1F"/>
          <w:w w:val="115"/>
        </w:rPr>
        <w:t>saquinavir</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7"/>
          <w:w w:val="115"/>
        </w:rPr>
        <w:t> </w:t>
      </w:r>
      <w:r>
        <w:rPr>
          <w:color w:val="231F1F"/>
          <w:w w:val="115"/>
        </w:rPr>
        <w:t>of</w:t>
      </w:r>
    </w:p>
    <w:p>
      <w:pPr>
        <w:pStyle w:val="BodyText"/>
        <w:spacing w:line="244" w:lineRule="auto"/>
        <w:ind w:right="597"/>
      </w:pPr>
      <w:r>
        <w:rPr>
          <w:rFonts w:ascii="Arial" w:hAnsi="Arial"/>
          <w:color w:val="231F1F"/>
          <w:w w:val="355"/>
          <w:position w:val="1"/>
          <w:sz w:val="7"/>
        </w:rPr>
        <w:t>l </w:t>
      </w:r>
      <w:r>
        <w:rPr>
          <w:rFonts w:ascii="Calibri" w:hAnsi="Calibri"/>
          <w:color w:val="008356"/>
          <w:spacing w:val="3"/>
          <w:w w:val="115"/>
          <w:sz w:val="11"/>
        </w:rPr>
        <w:t>LAPATINIB</w:t>
      </w:r>
      <w:r>
        <w:rPr>
          <w:color w:val="231F1F"/>
          <w:spacing w:val="3"/>
          <w:w w:val="115"/>
        </w:rPr>
        <w:t>; </w:t>
      </w:r>
      <w:r>
        <w:rPr>
          <w:color w:val="231F1F"/>
          <w:w w:val="115"/>
        </w:rPr>
        <w:t>increased risk of ventricular arrhythmias when saquinavir given 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PAZOPANIB</w:t>
      </w:r>
      <w:r>
        <w:rPr>
          <w:rFonts w:ascii="Arial" w:hAnsi="Arial"/>
          <w:color w:val="231F1F"/>
          <w:spacing w:val="2"/>
          <w:w w:val="115"/>
        </w:rPr>
        <w:t>—</w:t>
      </w:r>
      <w:r>
        <w:rPr>
          <w:color w:val="231F1F"/>
          <w:spacing w:val="2"/>
          <w:w w:val="115"/>
        </w:rPr>
        <w:t>avoid </w:t>
      </w:r>
      <w:r>
        <w:rPr>
          <w:color w:val="231F1F"/>
          <w:w w:val="115"/>
        </w:rPr>
        <w:t>concomitant use; saquinavir possibly increases plasma concentration of </w:t>
      </w:r>
      <w:r>
        <w:rPr>
          <w:rFonts w:ascii="Calibri" w:hAnsi="Calibri"/>
          <w:color w:val="008356"/>
          <w:spacing w:val="2"/>
          <w:w w:val="115"/>
          <w:sz w:val="11"/>
        </w:rPr>
        <w:t>PONATINIB</w:t>
      </w:r>
      <w:r>
        <w:rPr>
          <w:rFonts w:ascii="Arial" w:hAnsi="Arial"/>
          <w:color w:val="231F1F"/>
          <w:spacing w:val="2"/>
          <w:w w:val="115"/>
        </w:rPr>
        <w:t>—</w:t>
      </w:r>
      <w:r>
        <w:rPr>
          <w:color w:val="231F1F"/>
          <w:spacing w:val="2"/>
          <w:w w:val="115"/>
        </w:rPr>
        <w:t>consider </w:t>
      </w:r>
      <w:r>
        <w:rPr>
          <w:color w:val="231F1F"/>
          <w:w w:val="115"/>
        </w:rPr>
        <w:t>reducing initial dose of ponatinib (see under Ponatinib, p. 814); manufacturer of ruxolitinib </w:t>
      </w:r>
      <w:r>
        <w:rPr>
          <w:color w:val="231F1F"/>
          <w:spacing w:val="-3"/>
          <w:w w:val="115"/>
        </w:rPr>
        <w:t>advises </w:t>
      </w:r>
      <w:r>
        <w:rPr>
          <w:color w:val="231F1F"/>
          <w:w w:val="115"/>
        </w:rPr>
        <w:t>dose reduction when saquinavir given with </w:t>
      </w:r>
      <w:r>
        <w:rPr>
          <w:rFonts w:ascii="Arial" w:hAnsi="Arial"/>
          <w:color w:val="231F1F"/>
          <w:w w:val="355"/>
          <w:position w:val="1"/>
          <w:sz w:val="7"/>
        </w:rPr>
        <w:t>l </w:t>
      </w:r>
      <w:r>
        <w:rPr>
          <w:rFonts w:ascii="Calibri" w:hAnsi="Calibri"/>
          <w:color w:val="008356"/>
          <w:spacing w:val="4"/>
          <w:w w:val="115"/>
          <w:sz w:val="11"/>
        </w:rPr>
        <w:t>RUXOLITINIB</w:t>
      </w:r>
      <w:r>
        <w:rPr>
          <w:rFonts w:ascii="Arial" w:hAnsi="Arial"/>
          <w:color w:val="231F1F"/>
          <w:spacing w:val="4"/>
          <w:w w:val="115"/>
        </w:rPr>
        <w:t>— </w:t>
      </w:r>
      <w:r>
        <w:rPr>
          <w:color w:val="231F1F"/>
          <w:w w:val="115"/>
        </w:rPr>
        <w:t>consult ruxolitinib product literature; saquinavir possibly increases plasma concentration of </w:t>
      </w:r>
      <w:r>
        <w:rPr>
          <w:rFonts w:ascii="Arial" w:hAnsi="Arial"/>
          <w:color w:val="231F1F"/>
          <w:w w:val="355"/>
          <w:position w:val="1"/>
          <w:sz w:val="7"/>
        </w:rPr>
        <w:t>l </w:t>
      </w:r>
      <w:r>
        <w:rPr>
          <w:rFonts w:ascii="Calibri" w:hAnsi="Calibri"/>
          <w:color w:val="008356"/>
          <w:spacing w:val="4"/>
          <w:w w:val="115"/>
          <w:sz w:val="11"/>
        </w:rPr>
        <w:t>DOCETAXEL</w:t>
      </w:r>
      <w:r>
        <w:rPr>
          <w:rFonts w:ascii="Arial" w:hAnsi="Arial"/>
          <w:color w:val="231F1F"/>
          <w:spacing w:val="4"/>
          <w:w w:val="115"/>
        </w:rPr>
        <w:t>— </w:t>
      </w:r>
      <w:r>
        <w:rPr>
          <w:color w:val="231F1F"/>
          <w:w w:val="115"/>
        </w:rPr>
        <w:t>manufacturer of docetaxel advises avoid concomitant use or consider reducing docetaxel dose</w:t>
      </w:r>
    </w:p>
    <w:p>
      <w:pPr>
        <w:pStyle w:val="BodyText"/>
        <w:spacing w:before="2"/>
        <w:ind w:right="726" w:hanging="100"/>
      </w:pPr>
      <w:r>
        <w:rPr>
          <w:rFonts w:ascii="Arial"/>
          <w:color w:val="231F1F"/>
          <w:w w:val="355"/>
          <w:position w:val="1"/>
          <w:sz w:val="7"/>
        </w:rPr>
        <w:t>l </w:t>
      </w:r>
      <w:r>
        <w:rPr>
          <w:rFonts w:ascii="Calibri"/>
          <w:color w:val="231F1F"/>
          <w:w w:val="110"/>
        </w:rPr>
        <w:t>Dapoxetine: </w:t>
      </w:r>
      <w:r>
        <w:rPr>
          <w:color w:val="231F1F"/>
          <w:w w:val="110"/>
        </w:rPr>
        <w:t>avoidance of saquinavir advised by </w:t>
      </w:r>
      <w:r>
        <w:rPr>
          <w:color w:val="231F1F"/>
          <w:spacing w:val="-2"/>
          <w:w w:val="110"/>
        </w:rPr>
        <w:t>manufacturer </w:t>
      </w:r>
      <w:r>
        <w:rPr>
          <w:color w:val="231F1F"/>
          <w:w w:val="110"/>
        </w:rPr>
        <w:t>of </w:t>
      </w:r>
      <w:r>
        <w:rPr>
          <w:rFonts w:ascii="Arial"/>
          <w:color w:val="231F1F"/>
          <w:w w:val="355"/>
          <w:position w:val="1"/>
          <w:sz w:val="7"/>
        </w:rPr>
        <w:t>l </w:t>
      </w:r>
      <w:r>
        <w:rPr>
          <w:rFonts w:ascii="Calibri"/>
          <w:color w:val="008356"/>
          <w:spacing w:val="4"/>
          <w:w w:val="110"/>
          <w:sz w:val="11"/>
        </w:rPr>
        <w:t>DAPOXETINE </w:t>
      </w:r>
      <w:r>
        <w:rPr>
          <w:color w:val="231F1F"/>
          <w:w w:val="110"/>
        </w:rPr>
        <w:t>(increased risk of toxicity)</w:t>
      </w:r>
    </w:p>
    <w:p>
      <w:pPr>
        <w:pStyle w:val="BodyText"/>
        <w:spacing w:line="149" w:lineRule="exact"/>
        <w:ind w:left="108"/>
      </w:pPr>
      <w:r>
        <w:rPr>
          <w:rFonts w:ascii="Lucida Sans Unicode" w:hAnsi="Lucida Sans Unicode"/>
          <w:color w:val="A7A8AC"/>
          <w:w w:val="95"/>
          <w:sz w:val="10"/>
        </w:rPr>
        <w:t>▶ </w:t>
      </w:r>
      <w:r>
        <w:rPr>
          <w:rFonts w:ascii="Calibri" w:hAnsi="Calibri"/>
          <w:color w:val="231F1F"/>
          <w:w w:val="105"/>
        </w:rPr>
        <w:t>Diuretics: </w:t>
      </w:r>
      <w:r>
        <w:rPr>
          <w:color w:val="231F1F"/>
          <w:w w:val="105"/>
        </w:rPr>
        <w:t>saquinavir increases plasma concentration of</w:t>
      </w:r>
    </w:p>
    <w:p>
      <w:pPr>
        <w:spacing w:line="135" w:lineRule="exact" w:before="0"/>
        <w:ind w:left="208" w:right="0" w:firstLine="0"/>
        <w:jc w:val="left"/>
        <w:rPr>
          <w:sz w:val="12"/>
        </w:rPr>
      </w:pPr>
      <w:r>
        <w:rPr>
          <w:rFonts w:ascii="Calibri"/>
          <w:color w:val="008356"/>
          <w:w w:val="115"/>
          <w:sz w:val="11"/>
        </w:rPr>
        <w:t>EPLERENONE </w:t>
      </w:r>
      <w:r>
        <w:rPr>
          <w:color w:val="231F1F"/>
          <w:w w:val="115"/>
          <w:sz w:val="12"/>
        </w:rPr>
        <w:t>(reduce dose of eplerenone)</w:t>
      </w:r>
    </w:p>
    <w:p>
      <w:pPr>
        <w:pStyle w:val="BodyText"/>
        <w:ind w:right="870" w:hanging="100"/>
      </w:pPr>
      <w:r>
        <w:rPr>
          <w:rFonts w:ascii="Arial" w:hAnsi="Arial"/>
          <w:color w:val="231F1F"/>
          <w:w w:val="355"/>
          <w:position w:val="1"/>
          <w:sz w:val="7"/>
        </w:rPr>
        <w:t>l </w:t>
      </w:r>
      <w:r>
        <w:rPr>
          <w:rFonts w:ascii="Calibri" w:hAnsi="Calibri"/>
          <w:color w:val="231F1F"/>
          <w:w w:val="105"/>
        </w:rPr>
        <w:t>Domperidone: </w:t>
      </w:r>
      <w:r>
        <w:rPr>
          <w:color w:val="231F1F"/>
          <w:w w:val="105"/>
        </w:rPr>
        <w:t>possible increased risk of ventricular arrhythmias when saquinavir given with </w:t>
      </w:r>
      <w:r>
        <w:rPr>
          <w:rFonts w:ascii="Arial" w:hAnsi="Arial"/>
          <w:color w:val="231F1F"/>
          <w:w w:val="355"/>
          <w:position w:val="1"/>
          <w:sz w:val="7"/>
        </w:rPr>
        <w:t>l </w:t>
      </w:r>
      <w:r>
        <w:rPr>
          <w:rFonts w:ascii="Calibri" w:hAnsi="Calibri"/>
          <w:color w:val="008356"/>
          <w:w w:val="105"/>
          <w:sz w:val="11"/>
        </w:rPr>
        <w:t>DOMPERIDONE</w:t>
      </w:r>
      <w:r>
        <w:rPr>
          <w:rFonts w:ascii="Arial" w:hAnsi="Arial"/>
          <w:color w:val="231F1F"/>
          <w:w w:val="105"/>
        </w:rPr>
        <w:t>— </w:t>
      </w:r>
      <w:r>
        <w:rPr>
          <w:color w:val="231F1F"/>
          <w:w w:val="105"/>
        </w:rPr>
        <w:t>avoid concomitant use</w:t>
      </w:r>
    </w:p>
    <w:p>
      <w:pPr>
        <w:pStyle w:val="BodyText"/>
        <w:spacing w:before="1"/>
        <w:ind w:right="670"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saquinavir given with </w:t>
      </w:r>
      <w:r>
        <w:rPr>
          <w:rFonts w:ascii="Arial" w:hAnsi="Arial"/>
          <w:color w:val="231F1F"/>
          <w:w w:val="355"/>
          <w:position w:val="1"/>
          <w:sz w:val="7"/>
        </w:rPr>
        <w:t>l </w:t>
      </w:r>
      <w:r>
        <w:rPr>
          <w:rFonts w:ascii="Calibri" w:hAnsi="Calibri"/>
          <w:color w:val="008356"/>
          <w:w w:val="110"/>
          <w:sz w:val="11"/>
        </w:rPr>
        <w:t>ERGOTAMINE</w:t>
      </w:r>
      <w:r>
        <w:rPr>
          <w:rFonts w:ascii="Arial" w:hAnsi="Arial"/>
          <w:color w:val="231F1F"/>
          <w:w w:val="110"/>
        </w:rPr>
        <w:t>—</w:t>
      </w:r>
      <w:r>
        <w:rPr>
          <w:color w:val="231F1F"/>
          <w:w w:val="110"/>
        </w:rPr>
        <w:t>avoid concomitant use</w:t>
      </w:r>
    </w:p>
    <w:p>
      <w:pPr>
        <w:pStyle w:val="BodyText"/>
        <w:ind w:right="670" w:hanging="100"/>
      </w:pPr>
      <w:r>
        <w:rPr>
          <w:rFonts w:ascii="Arial"/>
          <w:color w:val="231F1F"/>
          <w:w w:val="355"/>
          <w:position w:val="1"/>
          <w:sz w:val="7"/>
        </w:rPr>
        <w:t>l </w:t>
      </w:r>
      <w:r>
        <w:rPr>
          <w:rFonts w:ascii="Calibri"/>
          <w:color w:val="231F1F"/>
          <w:w w:val="110"/>
        </w:rPr>
        <w:t>Lipid-regulating Drugs: </w:t>
      </w:r>
      <w:r>
        <w:rPr>
          <w:color w:val="231F1F"/>
          <w:w w:val="110"/>
        </w:rPr>
        <w:t>possible increased risk of myopathy when saquinavir given with </w:t>
      </w:r>
      <w:r>
        <w:rPr>
          <w:rFonts w:ascii="Calibri"/>
          <w:color w:val="008356"/>
          <w:w w:val="110"/>
          <w:sz w:val="11"/>
        </w:rPr>
        <w:t>ATORVASTATIN</w:t>
      </w:r>
      <w:r>
        <w:rPr>
          <w:color w:val="231F1F"/>
          <w:w w:val="110"/>
        </w:rPr>
        <w:t>; possible increased risk of myopathy when saquinavir given with</w:t>
      </w:r>
    </w:p>
    <w:p>
      <w:pPr>
        <w:pStyle w:val="BodyText"/>
        <w:spacing w:line="244" w:lineRule="auto" w:before="1"/>
        <w:ind w:right="691"/>
      </w:pP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15"/>
          <w:sz w:val="11"/>
        </w:rPr>
        <w:t>ROSUVASTATIN</w:t>
      </w:r>
      <w:r>
        <w:rPr>
          <w:rFonts w:ascii="Arial" w:hAnsi="Arial"/>
          <w:color w:val="231F1F"/>
          <w:w w:val="115"/>
        </w:rPr>
        <w:t>—</w:t>
      </w:r>
      <w:r>
        <w:rPr>
          <w:color w:val="231F1F"/>
          <w:w w:val="115"/>
        </w:rPr>
        <w:t>manufacturer</w:t>
      </w:r>
      <w:r>
        <w:rPr>
          <w:color w:val="231F1F"/>
          <w:spacing w:val="-21"/>
          <w:w w:val="115"/>
        </w:rPr>
        <w:t> </w:t>
      </w:r>
      <w:r>
        <w:rPr>
          <w:color w:val="231F1F"/>
          <w:w w:val="115"/>
        </w:rPr>
        <w:t>of</w:t>
      </w:r>
      <w:r>
        <w:rPr>
          <w:color w:val="231F1F"/>
          <w:spacing w:val="-20"/>
          <w:w w:val="115"/>
        </w:rPr>
        <w:t> </w:t>
      </w:r>
      <w:r>
        <w:rPr>
          <w:color w:val="231F1F"/>
          <w:w w:val="115"/>
        </w:rPr>
        <w:t>rosuvastatin</w:t>
      </w:r>
      <w:r>
        <w:rPr>
          <w:color w:val="231F1F"/>
          <w:spacing w:val="-20"/>
          <w:w w:val="115"/>
        </w:rPr>
        <w:t> </w:t>
      </w:r>
      <w:r>
        <w:rPr>
          <w:color w:val="231F1F"/>
          <w:w w:val="115"/>
        </w:rPr>
        <w:t>advises</w:t>
      </w:r>
      <w:r>
        <w:rPr>
          <w:color w:val="231F1F"/>
          <w:spacing w:val="-20"/>
          <w:w w:val="115"/>
        </w:rPr>
        <w:t> </w:t>
      </w:r>
      <w:r>
        <w:rPr>
          <w:color w:val="231F1F"/>
          <w:w w:val="115"/>
        </w:rPr>
        <w:t>avoid concomitant use; increased risk of myopathy when saquinavir</w:t>
      </w:r>
      <w:r>
        <w:rPr>
          <w:color w:val="231F1F"/>
          <w:spacing w:val="-21"/>
          <w:w w:val="115"/>
        </w:rPr>
        <w:t> </w:t>
      </w:r>
      <w:r>
        <w:rPr>
          <w:color w:val="231F1F"/>
          <w:w w:val="115"/>
        </w:rPr>
        <w:t>given</w:t>
      </w:r>
      <w:r>
        <w:rPr>
          <w:color w:val="231F1F"/>
          <w:spacing w:val="-20"/>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SIMVASTATIN</w:t>
      </w:r>
      <w:r>
        <w:rPr>
          <w:rFonts w:ascii="Calibri" w:hAnsi="Calibri"/>
          <w:color w:val="008356"/>
          <w:spacing w:val="-12"/>
          <w:w w:val="115"/>
          <w:sz w:val="11"/>
        </w:rPr>
        <w:t> </w:t>
      </w:r>
      <w:r>
        <w:rPr>
          <w:color w:val="231F1F"/>
          <w:w w:val="115"/>
        </w:rPr>
        <w:t>(avoid</w:t>
      </w:r>
      <w:r>
        <w:rPr>
          <w:color w:val="231F1F"/>
          <w:spacing w:val="-20"/>
          <w:w w:val="115"/>
        </w:rPr>
        <w:t> </w:t>
      </w:r>
      <w:r>
        <w:rPr>
          <w:color w:val="231F1F"/>
          <w:w w:val="115"/>
        </w:rPr>
        <w:t>concomitant</w:t>
      </w:r>
      <w:r>
        <w:rPr>
          <w:color w:val="231F1F"/>
          <w:spacing w:val="-21"/>
          <w:w w:val="115"/>
        </w:rPr>
        <w:t> </w:t>
      </w:r>
      <w:r>
        <w:rPr>
          <w:color w:val="231F1F"/>
          <w:spacing w:val="-3"/>
          <w:w w:val="115"/>
        </w:rPr>
        <w:t>use); </w:t>
      </w:r>
      <w:r>
        <w:rPr>
          <w:color w:val="231F1F"/>
          <w:w w:val="115"/>
        </w:rPr>
        <w:t>avoidance</w:t>
      </w:r>
      <w:r>
        <w:rPr>
          <w:color w:val="231F1F"/>
          <w:spacing w:val="-7"/>
          <w:w w:val="115"/>
        </w:rPr>
        <w:t> </w:t>
      </w:r>
      <w:r>
        <w:rPr>
          <w:color w:val="231F1F"/>
          <w:w w:val="115"/>
        </w:rPr>
        <w:t>of</w:t>
      </w:r>
      <w:r>
        <w:rPr>
          <w:color w:val="231F1F"/>
          <w:spacing w:val="-4"/>
          <w:w w:val="115"/>
        </w:rPr>
        <w:t> </w:t>
      </w:r>
      <w:r>
        <w:rPr>
          <w:color w:val="231F1F"/>
          <w:w w:val="115"/>
        </w:rPr>
        <w:t>saquinavir</w:t>
      </w:r>
      <w:r>
        <w:rPr>
          <w:color w:val="231F1F"/>
          <w:spacing w:val="-7"/>
          <w:w w:val="115"/>
        </w:rPr>
        <w:t> </w:t>
      </w:r>
      <w:r>
        <w:rPr>
          <w:color w:val="231F1F"/>
          <w:w w:val="115"/>
        </w:rPr>
        <w:t>advised</w:t>
      </w:r>
      <w:r>
        <w:rPr>
          <w:color w:val="231F1F"/>
          <w:spacing w:val="-5"/>
          <w:w w:val="115"/>
        </w:rPr>
        <w:t> </w:t>
      </w:r>
      <w:r>
        <w:rPr>
          <w:color w:val="231F1F"/>
          <w:w w:val="115"/>
        </w:rPr>
        <w:t>by</w:t>
      </w:r>
      <w:r>
        <w:rPr>
          <w:color w:val="231F1F"/>
          <w:spacing w:val="-6"/>
          <w:w w:val="115"/>
        </w:rPr>
        <w:t> </w:t>
      </w:r>
      <w:r>
        <w:rPr>
          <w:color w:val="231F1F"/>
          <w:w w:val="115"/>
        </w:rPr>
        <w:t>manufacturer</w:t>
      </w:r>
      <w:r>
        <w:rPr>
          <w:color w:val="231F1F"/>
          <w:spacing w:val="-6"/>
          <w:w w:val="115"/>
        </w:rPr>
        <w:t> </w:t>
      </w:r>
      <w:r>
        <w:rPr>
          <w:color w:val="231F1F"/>
          <w:w w:val="115"/>
        </w:rPr>
        <w:t>of</w:t>
      </w:r>
    </w:p>
    <w:p>
      <w:pPr>
        <w:pStyle w:val="BodyText"/>
        <w:spacing w:line="244" w:lineRule="auto" w:before="4"/>
        <w:ind w:right="670"/>
      </w:pP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line="145" w:lineRule="exact"/>
        <w:ind w:left="108"/>
      </w:pPr>
      <w:r>
        <w:rPr>
          <w:rFonts w:ascii="Arial"/>
          <w:color w:val="231F1F"/>
          <w:w w:val="355"/>
          <w:position w:val="1"/>
          <w:sz w:val="7"/>
        </w:rPr>
        <w:t>l </w:t>
      </w:r>
      <w:r>
        <w:rPr>
          <w:rFonts w:ascii="Calibri"/>
          <w:color w:val="231F1F"/>
          <w:w w:val="115"/>
        </w:rPr>
        <w:t>Orlistat: </w:t>
      </w:r>
      <w:r>
        <w:rPr>
          <w:color w:val="231F1F"/>
          <w:w w:val="115"/>
        </w:rPr>
        <w:t>absorption of saquinavir possibly reduced by</w:t>
      </w:r>
    </w:p>
    <w:p>
      <w:pPr>
        <w:spacing w:line="133" w:lineRule="exact"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right="1029" w:hanging="100"/>
      </w:pPr>
      <w:r>
        <w:rPr>
          <w:rFonts w:ascii="Arial" w:hAnsi="Arial"/>
          <w:color w:val="231F1F"/>
          <w:w w:val="355"/>
          <w:position w:val="1"/>
          <w:sz w:val="7"/>
        </w:rPr>
        <w:t>l </w:t>
      </w:r>
      <w:r>
        <w:rPr>
          <w:rFonts w:ascii="Calibri" w:hAnsi="Calibri"/>
          <w:color w:val="231F1F"/>
          <w:w w:val="115"/>
        </w:rPr>
        <w:t>Pentamidine Isetionate: </w:t>
      </w:r>
      <w:r>
        <w:rPr>
          <w:color w:val="231F1F"/>
          <w:w w:val="115"/>
        </w:rPr>
        <w:t>increased risk of ventricular arrhythmias</w:t>
      </w:r>
      <w:r>
        <w:rPr>
          <w:color w:val="231F1F"/>
          <w:spacing w:val="-22"/>
          <w:w w:val="115"/>
        </w:rPr>
        <w:t> </w:t>
      </w:r>
      <w:r>
        <w:rPr>
          <w:color w:val="231F1F"/>
          <w:w w:val="115"/>
        </w:rPr>
        <w:t>when</w:t>
      </w:r>
      <w:r>
        <w:rPr>
          <w:color w:val="231F1F"/>
          <w:spacing w:val="-22"/>
          <w:w w:val="115"/>
        </w:rPr>
        <w:t> </w:t>
      </w:r>
      <w:r>
        <w:rPr>
          <w:color w:val="231F1F"/>
          <w:w w:val="115"/>
        </w:rPr>
        <w:t>saquinavir</w:t>
      </w:r>
      <w:r>
        <w:rPr>
          <w:color w:val="231F1F"/>
          <w:spacing w:val="-21"/>
          <w:w w:val="115"/>
        </w:rPr>
        <w:t> </w:t>
      </w:r>
      <w:r>
        <w:rPr>
          <w:color w:val="231F1F"/>
          <w:w w:val="115"/>
        </w:rPr>
        <w:t>given</w:t>
      </w:r>
      <w:r>
        <w:rPr>
          <w:color w:val="231F1F"/>
          <w:spacing w:val="-21"/>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PENTAMIDINE ISETIONATE</w:t>
      </w:r>
      <w:r>
        <w:rPr>
          <w:rFonts w:ascii="Arial" w:hAnsi="Arial"/>
          <w:color w:val="231F1F"/>
          <w:spacing w:val="2"/>
          <w:w w:val="115"/>
        </w:rPr>
        <w:t>—</w:t>
      </w:r>
      <w:r>
        <w:rPr>
          <w:color w:val="231F1F"/>
          <w:spacing w:val="2"/>
          <w:w w:val="115"/>
        </w:rPr>
        <w:t>avoid </w:t>
      </w:r>
      <w:r>
        <w:rPr>
          <w:color w:val="231F1F"/>
          <w:w w:val="115"/>
        </w:rPr>
        <w:t>concomitant</w:t>
      </w:r>
      <w:r>
        <w:rPr>
          <w:color w:val="231F1F"/>
          <w:spacing w:val="-17"/>
          <w:w w:val="115"/>
        </w:rPr>
        <w:t> </w:t>
      </w:r>
      <w:r>
        <w:rPr>
          <w:color w:val="231F1F"/>
          <w:w w:val="115"/>
        </w:rPr>
        <w:t>use</w:t>
      </w:r>
    </w:p>
    <w:p>
      <w:pPr>
        <w:pStyle w:val="BodyText"/>
        <w:ind w:right="670" w:hanging="100"/>
      </w:pPr>
      <w:r>
        <w:rPr>
          <w:rFonts w:ascii="Arial" w:hAnsi="Arial"/>
          <w:color w:val="231F1F"/>
          <w:w w:val="355"/>
          <w:position w:val="1"/>
          <w:sz w:val="7"/>
        </w:rPr>
        <w:t>l </w:t>
      </w:r>
      <w:r>
        <w:rPr>
          <w:rFonts w:ascii="Calibri" w:hAnsi="Calibri"/>
          <w:color w:val="231F1F"/>
          <w:w w:val="120"/>
        </w:rPr>
        <w:t>Ranolazine: </w:t>
      </w:r>
      <w:r>
        <w:rPr>
          <w:color w:val="231F1F"/>
          <w:w w:val="120"/>
        </w:rPr>
        <w:t>saquinavir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ind w:right="805" w:hanging="100"/>
      </w:pPr>
      <w:r>
        <w:rPr>
          <w:rFonts w:ascii="Arial" w:hAnsi="Arial"/>
          <w:color w:val="231F1F"/>
          <w:w w:val="355"/>
          <w:position w:val="1"/>
          <w:sz w:val="7"/>
        </w:rPr>
        <w:t>l </w:t>
      </w:r>
      <w:r>
        <w:rPr>
          <w:rFonts w:ascii="Calibri" w:hAnsi="Calibri"/>
          <w:color w:val="231F1F"/>
          <w:w w:val="115"/>
        </w:rPr>
        <w:t>Sildenafil: </w:t>
      </w:r>
      <w:r>
        <w:rPr>
          <w:color w:val="231F1F"/>
          <w:w w:val="115"/>
        </w:rPr>
        <w:t>increased risk of ventricular arrhythmias when saquinavir</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SILDENAFIL</w:t>
      </w:r>
      <w:r>
        <w:rPr>
          <w:rFonts w:ascii="Arial" w:hAnsi="Arial"/>
          <w:color w:val="231F1F"/>
          <w:spacing w:val="3"/>
          <w:w w:val="115"/>
        </w:rPr>
        <w:t>—</w:t>
      </w:r>
      <w:r>
        <w:rPr>
          <w:color w:val="231F1F"/>
          <w:spacing w:val="3"/>
          <w:w w:val="115"/>
        </w:rPr>
        <w:t>avoid</w:t>
      </w:r>
      <w:r>
        <w:rPr>
          <w:color w:val="231F1F"/>
          <w:spacing w:val="-21"/>
          <w:w w:val="115"/>
        </w:rPr>
        <w:t> </w:t>
      </w:r>
      <w:r>
        <w:rPr>
          <w:color w:val="231F1F"/>
          <w:w w:val="115"/>
        </w:rPr>
        <w:t>concomitant</w:t>
      </w:r>
      <w:r>
        <w:rPr>
          <w:color w:val="231F1F"/>
          <w:spacing w:val="-21"/>
          <w:w w:val="115"/>
        </w:rPr>
        <w:t> </w:t>
      </w:r>
      <w:r>
        <w:rPr>
          <w:color w:val="231F1F"/>
          <w:w w:val="115"/>
        </w:rPr>
        <w:t>use</w:t>
      </w:r>
    </w:p>
    <w:p>
      <w:pPr>
        <w:pStyle w:val="BodyText"/>
        <w:spacing w:line="142" w:lineRule="exact"/>
        <w:ind w:left="108"/>
      </w:pPr>
      <w:r>
        <w:rPr>
          <w:rFonts w:ascii="Arial"/>
          <w:color w:val="231F1F"/>
          <w:w w:val="355"/>
          <w:position w:val="1"/>
          <w:sz w:val="7"/>
        </w:rPr>
        <w:t>l </w:t>
      </w:r>
      <w:r>
        <w:rPr>
          <w:rFonts w:ascii="Calibri"/>
          <w:color w:val="231F1F"/>
          <w:w w:val="115"/>
        </w:rPr>
        <w:t>Tacrolimus: </w:t>
      </w:r>
      <w:r>
        <w:rPr>
          <w:color w:val="231F1F"/>
          <w:w w:val="115"/>
        </w:rPr>
        <w:t>saquinavir increases plasma concentration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TACROLIMUS </w:t>
      </w:r>
      <w:r>
        <w:rPr>
          <w:color w:val="231F1F"/>
          <w:w w:val="110"/>
          <w:sz w:val="12"/>
        </w:rPr>
        <w:t>(consider reducing dose of tacrolimus)</w:t>
      </w:r>
    </w:p>
    <w:p>
      <w:pPr>
        <w:pStyle w:val="BodyText"/>
        <w:ind w:right="849" w:hanging="100"/>
      </w:pPr>
      <w:r>
        <w:rPr>
          <w:rFonts w:ascii="Arial" w:hAnsi="Arial"/>
          <w:color w:val="231F1F"/>
          <w:w w:val="355"/>
          <w:position w:val="1"/>
          <w:sz w:val="7"/>
        </w:rPr>
        <w:t>l </w:t>
      </w:r>
      <w:r>
        <w:rPr>
          <w:rFonts w:ascii="Calibri" w:hAnsi="Calibri"/>
          <w:color w:val="231F1F"/>
          <w:w w:val="115"/>
        </w:rPr>
        <w:t>Tadalafil: </w:t>
      </w:r>
      <w:r>
        <w:rPr>
          <w:color w:val="231F1F"/>
          <w:w w:val="115"/>
        </w:rPr>
        <w:t>increased risk of ventricular arrhythmias when saquinavir</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TADALAFIL</w:t>
      </w:r>
      <w:r>
        <w:rPr>
          <w:rFonts w:ascii="Arial" w:hAnsi="Arial"/>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4"/>
          <w:w w:val="115"/>
        </w:rPr>
        <w:t>use</w:t>
      </w:r>
    </w:p>
    <w:p>
      <w:pPr>
        <w:spacing w:after="0"/>
        <w:sectPr>
          <w:pgSz w:w="8390" w:h="11910"/>
          <w:pgMar w:header="0" w:footer="0" w:top="460" w:bottom="0" w:left="480" w:right="0"/>
          <w:cols w:num="2" w:equalWidth="0">
            <w:col w:w="3605" w:space="71"/>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6256" filled="true" fillcolor="#bfdbcf" stroked="false">
            <v:fill type="solid"/>
            <w10:wrap type="none"/>
          </v:rect>
        </w:pict>
      </w:r>
      <w:r>
        <w:rPr/>
        <w:pict>
          <v:shape style="position:absolute;margin-left:7.751256pt;margin-top:35.804367pt;width:10.4pt;height:78.850pt;mso-position-horizontal-relative:page;mso-position-vertical-relative:page;z-index:628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Saquinavir </w:t>
      </w:r>
      <w:r>
        <w:rPr>
          <w:rFonts w:ascii="Calibri"/>
          <w:color w:val="231F1F"/>
        </w:rPr>
        <w:t>(continued)</w:t>
      </w:r>
    </w:p>
    <w:p>
      <w:pPr>
        <w:pStyle w:val="BodyText"/>
        <w:ind w:left="286" w:right="186" w:hanging="100"/>
      </w:pPr>
      <w:r>
        <w:rPr>
          <w:rFonts w:ascii="Arial"/>
          <w:color w:val="231F1F"/>
          <w:w w:val="355"/>
          <w:position w:val="1"/>
          <w:sz w:val="7"/>
        </w:rPr>
        <w:t>l </w:t>
      </w:r>
      <w:r>
        <w:rPr>
          <w:rFonts w:ascii="Calibri"/>
          <w:color w:val="231F1F"/>
          <w:w w:val="110"/>
        </w:rPr>
        <w:t>Ulcer-healing Drugs: </w:t>
      </w:r>
      <w:r>
        <w:rPr>
          <w:color w:val="231F1F"/>
          <w:w w:val="110"/>
        </w:rPr>
        <w:t>plasma concentration of saquinavir possibly increased by </w:t>
      </w:r>
      <w:r>
        <w:rPr>
          <w:rFonts w:ascii="Calibri"/>
          <w:color w:val="008356"/>
          <w:spacing w:val="4"/>
          <w:w w:val="110"/>
          <w:sz w:val="11"/>
        </w:rPr>
        <w:t>CIMETIDINE</w:t>
      </w:r>
      <w:r>
        <w:rPr>
          <w:color w:val="231F1F"/>
          <w:spacing w:val="4"/>
          <w:w w:val="110"/>
        </w:rPr>
        <w:t>; </w:t>
      </w:r>
      <w:r>
        <w:rPr>
          <w:color w:val="231F1F"/>
          <w:w w:val="110"/>
        </w:rPr>
        <w:t>plasma concentration of saquinavir possibly increased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ESOMEPRAZOLE</w:t>
      </w:r>
      <w:r>
        <w:rPr>
          <w:color w:val="231F1F"/>
          <w:spacing w:val="4"/>
          <w:w w:val="110"/>
        </w:rPr>
        <w:t>,</w:t>
      </w:r>
    </w:p>
    <w:p>
      <w:pPr>
        <w:spacing w:before="0"/>
        <w:ind w:left="286" w:right="0" w:firstLine="0"/>
        <w:jc w:val="left"/>
        <w:rPr>
          <w:rFonts w:ascii="Arial" w:hAnsi="Arial"/>
          <w:sz w:val="12"/>
        </w:rPr>
      </w:pPr>
      <w:r>
        <w:rPr>
          <w:rFonts w:ascii="Arial" w:hAnsi="Arial"/>
          <w:color w:val="231F1F"/>
          <w:w w:val="285"/>
          <w:position w:val="1"/>
          <w:sz w:val="7"/>
        </w:rPr>
        <w:t>l </w:t>
      </w:r>
      <w:r>
        <w:rPr>
          <w:rFonts w:ascii="Calibri" w:hAnsi="Calibri"/>
          <w:color w:val="008356"/>
          <w:w w:val="120"/>
          <w:sz w:val="11"/>
        </w:rPr>
        <w:t>LANSOPRAZOLE</w:t>
      </w:r>
      <w:r>
        <w:rPr>
          <w:color w:val="231F1F"/>
          <w:w w:val="120"/>
          <w:sz w:val="12"/>
        </w:rPr>
        <w:t>, </w:t>
      </w:r>
      <w:r>
        <w:rPr>
          <w:rFonts w:ascii="Arial" w:hAnsi="Arial"/>
          <w:color w:val="231F1F"/>
          <w:w w:val="285"/>
          <w:position w:val="1"/>
          <w:sz w:val="7"/>
        </w:rPr>
        <w:t>l </w:t>
      </w:r>
      <w:r>
        <w:rPr>
          <w:rFonts w:ascii="Calibri" w:hAnsi="Calibri"/>
          <w:color w:val="008356"/>
          <w:w w:val="120"/>
          <w:sz w:val="11"/>
        </w:rPr>
        <w:t>PANTOPRAZOLE </w:t>
      </w:r>
      <w:r>
        <w:rPr>
          <w:color w:val="231F1F"/>
          <w:w w:val="120"/>
          <w:sz w:val="12"/>
        </w:rPr>
        <w:t>and </w:t>
      </w:r>
      <w:r>
        <w:rPr>
          <w:rFonts w:ascii="Arial" w:hAnsi="Arial"/>
          <w:color w:val="231F1F"/>
          <w:w w:val="285"/>
          <w:position w:val="1"/>
          <w:sz w:val="7"/>
        </w:rPr>
        <w:t>l </w:t>
      </w:r>
      <w:r>
        <w:rPr>
          <w:rFonts w:ascii="Calibri" w:hAnsi="Calibri"/>
          <w:color w:val="008356"/>
          <w:w w:val="120"/>
          <w:sz w:val="11"/>
        </w:rPr>
        <w:t>RABEPRAZOLE</w:t>
      </w:r>
      <w:r>
        <w:rPr>
          <w:rFonts w:ascii="Arial" w:hAnsi="Arial"/>
          <w:color w:val="231F1F"/>
          <w:w w:val="120"/>
          <w:sz w:val="12"/>
        </w:rPr>
        <w:t>—</w:t>
      </w:r>
    </w:p>
    <w:p>
      <w:pPr>
        <w:pStyle w:val="BodyText"/>
        <w:spacing w:line="249" w:lineRule="auto" w:before="2"/>
        <w:ind w:left="286"/>
      </w:pPr>
      <w:r>
        <w:rPr>
          <w:color w:val="231F1F"/>
          <w:w w:val="115"/>
        </w:rPr>
        <w:t>manufacturer of saquinavir advises avoid concomitant use; plasma concentration of saquinavir increased by</w:t>
      </w:r>
    </w:p>
    <w:p>
      <w:pPr>
        <w:pStyle w:val="BodyText"/>
        <w:spacing w:line="244" w:lineRule="auto"/>
        <w:ind w:left="286"/>
      </w:pPr>
      <w:r>
        <w:rPr>
          <w:rFonts w:ascii="Arial" w:hAnsi="Arial"/>
          <w:color w:val="231F1F"/>
          <w:w w:val="110"/>
          <w:position w:val="1"/>
          <w:sz w:val="7"/>
        </w:rPr>
        <w:t>l </w:t>
      </w:r>
      <w:r>
        <w:rPr>
          <w:rFonts w:ascii="Calibri" w:hAnsi="Calibri"/>
          <w:color w:val="008356"/>
          <w:w w:val="110"/>
          <w:sz w:val="11"/>
        </w:rPr>
        <w:t>OMEPRAZOLE</w:t>
      </w:r>
      <w:r>
        <w:rPr>
          <w:rFonts w:ascii="Arial" w:hAnsi="Arial"/>
          <w:color w:val="231F1F"/>
          <w:w w:val="110"/>
        </w:rPr>
        <w:t>—</w:t>
      </w:r>
      <w:r>
        <w:rPr>
          <w:color w:val="231F1F"/>
          <w:w w:val="110"/>
        </w:rPr>
        <w:t>manufacturer of saquinavir advises avoid </w:t>
      </w:r>
      <w:r>
        <w:rPr>
          <w:color w:val="231F1F"/>
          <w:w w:val="120"/>
        </w:rPr>
        <w:t>concomitant use</w:t>
      </w:r>
    </w:p>
    <w:p>
      <w:pPr>
        <w:pStyle w:val="BodyText"/>
        <w:ind w:left="286" w:right="84" w:hanging="100"/>
      </w:pPr>
      <w:r>
        <w:rPr>
          <w:rFonts w:ascii="Arial" w:hAnsi="Arial"/>
          <w:color w:val="231F1F"/>
          <w:w w:val="355"/>
          <w:position w:val="1"/>
          <w:sz w:val="7"/>
        </w:rPr>
        <w:t>l </w:t>
      </w:r>
      <w:r>
        <w:rPr>
          <w:rFonts w:ascii="Calibri" w:hAnsi="Calibri"/>
          <w:color w:val="231F1F"/>
          <w:w w:val="115"/>
        </w:rPr>
        <w:t>Vardenafil: </w:t>
      </w:r>
      <w:r>
        <w:rPr>
          <w:color w:val="231F1F"/>
          <w:w w:val="115"/>
        </w:rPr>
        <w:t>increased risk of ventricular arrhythmias when saquinavir</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VARDENAFIL</w:t>
      </w:r>
      <w:r>
        <w:rPr>
          <w:rFonts w:ascii="Arial" w:hAnsi="Arial"/>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w w:val="115"/>
        </w:rPr>
        <w:t>use</w:t>
      </w:r>
    </w:p>
    <w:p>
      <w:pPr>
        <w:pStyle w:val="BodyText"/>
        <w:spacing w:before="3"/>
        <w:ind w:left="186"/>
      </w:pPr>
      <w:r>
        <w:rPr>
          <w:rFonts w:ascii="Trebuchet MS"/>
          <w:color w:val="008356"/>
          <w:w w:val="110"/>
        </w:rPr>
        <w:t>Saxagliptin </w:t>
      </w:r>
      <w:r>
        <w:rPr>
          <w:i/>
          <w:color w:val="231F1F"/>
          <w:w w:val="110"/>
        </w:rPr>
        <w:t>see </w:t>
      </w:r>
      <w:r>
        <w:rPr>
          <w:color w:val="231F1F"/>
          <w:w w:val="110"/>
        </w:rPr>
        <w:t>Antidiabetics</w:t>
      </w:r>
    </w:p>
    <w:p>
      <w:pPr>
        <w:pStyle w:val="BodyText"/>
        <w:spacing w:before="10"/>
        <w:ind w:left="186"/>
        <w:rPr>
          <w:rFonts w:ascii="Trebuchet MS"/>
        </w:rPr>
      </w:pPr>
      <w:r>
        <w:rPr>
          <w:rFonts w:ascii="Trebuchet MS"/>
          <w:color w:val="008356"/>
        </w:rPr>
        <w:t>Selegiline</w:t>
      </w:r>
    </w:p>
    <w:p>
      <w:pPr>
        <w:pStyle w:val="BodyText"/>
        <w:spacing w:line="141" w:lineRule="exact" w:before="4"/>
        <w:ind w:left="286"/>
      </w:pPr>
      <w:r>
        <w:rPr>
          <w:rFonts w:ascii="Calibri"/>
          <w:color w:val="008356"/>
          <w:w w:val="110"/>
          <w:sz w:val="11"/>
        </w:rPr>
        <w:t>NOTE </w:t>
      </w:r>
      <w:r>
        <w:rPr>
          <w:color w:val="231F1F"/>
          <w:w w:val="110"/>
        </w:rPr>
        <w:t>Selegiline is a MAO-B inhibitor</w:t>
      </w:r>
    </w:p>
    <w:p>
      <w:pPr>
        <w:pStyle w:val="BodyText"/>
        <w:spacing w:line="242" w:lineRule="auto"/>
        <w:ind w:left="286" w:right="181"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hyperpyrexia and CNS toxicity reported when selegiline given with </w:t>
      </w:r>
      <w:r>
        <w:rPr>
          <w:rFonts w:ascii="Arial"/>
          <w:color w:val="231F1F"/>
          <w:w w:val="355"/>
          <w:position w:val="1"/>
          <w:sz w:val="7"/>
        </w:rPr>
        <w:t>l </w:t>
      </w:r>
      <w:r>
        <w:rPr>
          <w:rFonts w:ascii="Calibri"/>
          <w:color w:val="008356"/>
          <w:w w:val="110"/>
          <w:sz w:val="11"/>
        </w:rPr>
        <w:t>PETHIDINE </w:t>
      </w:r>
      <w:r>
        <w:rPr>
          <w:color w:val="231F1F"/>
          <w:w w:val="110"/>
        </w:rPr>
        <w:t>(avoid concomitant use); manufacturer of selegiline advises avoid concomitant use with </w:t>
      </w:r>
      <w:r>
        <w:rPr>
          <w:rFonts w:ascii="Calibri"/>
          <w:color w:val="008356"/>
          <w:w w:val="110"/>
          <w:sz w:val="11"/>
        </w:rPr>
        <w:t>OPIOID ANALGESICS</w:t>
      </w:r>
    </w:p>
    <w:p>
      <w:pPr>
        <w:pStyle w:val="BodyText"/>
        <w:spacing w:line="247" w:lineRule="auto"/>
        <w:ind w:left="286" w:right="126" w:hanging="100"/>
        <w:rPr>
          <w:rFonts w:ascii="Calibri"/>
          <w:sz w:val="11"/>
        </w:rPr>
      </w:pPr>
      <w:r>
        <w:rPr>
          <w:rFonts w:ascii="Arial"/>
          <w:color w:val="231F1F"/>
          <w:w w:val="355"/>
          <w:position w:val="1"/>
          <w:sz w:val="7"/>
        </w:rPr>
        <w:t>l </w:t>
      </w:r>
      <w:r>
        <w:rPr>
          <w:rFonts w:ascii="Calibri"/>
          <w:color w:val="231F1F"/>
          <w:w w:val="110"/>
        </w:rPr>
        <w:t>Antidepressants: </w:t>
      </w:r>
      <w:r>
        <w:rPr>
          <w:color w:val="231F1F"/>
          <w:w w:val="110"/>
        </w:rPr>
        <w:t>manufacturer of selegiline advises avoid concomitant use with </w:t>
      </w:r>
      <w:r>
        <w:rPr>
          <w:rFonts w:ascii="Calibri"/>
          <w:color w:val="008356"/>
          <w:spacing w:val="3"/>
          <w:w w:val="110"/>
          <w:sz w:val="11"/>
        </w:rPr>
        <w:t>CITALOPRAM </w:t>
      </w:r>
      <w:r>
        <w:rPr>
          <w:color w:val="231F1F"/>
          <w:w w:val="110"/>
        </w:rPr>
        <w:t>and </w:t>
      </w:r>
      <w:r>
        <w:rPr>
          <w:rFonts w:ascii="Calibri"/>
          <w:color w:val="008356"/>
          <w:spacing w:val="4"/>
          <w:w w:val="110"/>
          <w:sz w:val="11"/>
        </w:rPr>
        <w:t>ESCITALOPRAM</w:t>
      </w:r>
      <w:r>
        <w:rPr>
          <w:color w:val="231F1F"/>
          <w:spacing w:val="4"/>
          <w:w w:val="110"/>
        </w:rPr>
        <w:t>; </w:t>
      </w:r>
      <w:r>
        <w:rPr>
          <w:color w:val="231F1F"/>
          <w:w w:val="110"/>
        </w:rPr>
        <w:t>increased risk of hypertension and CNS excitation when selegiline given with </w:t>
      </w:r>
      <w:r>
        <w:rPr>
          <w:rFonts w:ascii="Arial"/>
          <w:color w:val="231F1F"/>
          <w:w w:val="355"/>
          <w:position w:val="1"/>
          <w:sz w:val="7"/>
        </w:rPr>
        <w:t>l</w:t>
      </w:r>
      <w:r>
        <w:rPr>
          <w:rFonts w:ascii="Arial"/>
          <w:color w:val="231F1F"/>
          <w:spacing w:val="-31"/>
          <w:w w:val="355"/>
          <w:position w:val="1"/>
          <w:sz w:val="7"/>
        </w:rPr>
        <w:t> </w:t>
      </w:r>
      <w:r>
        <w:rPr>
          <w:rFonts w:ascii="Calibri"/>
          <w:color w:val="008356"/>
          <w:spacing w:val="4"/>
          <w:w w:val="110"/>
          <w:sz w:val="11"/>
        </w:rPr>
        <w:t>FLUOXETINE </w:t>
      </w:r>
      <w:r>
        <w:rPr>
          <w:color w:val="231F1F"/>
          <w:w w:val="110"/>
        </w:rPr>
        <w:t>(selegiline should not be started until 5 weeks after stopping fluoxetine, avoid fluoxetine for 2 weeks after stopping selegiline); increased risk of hypertension and CNS excitation when selegiline given</w:t>
      </w:r>
      <w:r>
        <w:rPr>
          <w:color w:val="231F1F"/>
          <w:spacing w:val="-15"/>
          <w:w w:val="110"/>
        </w:rPr>
        <w:t> </w:t>
      </w:r>
      <w:r>
        <w:rPr>
          <w:color w:val="231F1F"/>
          <w:w w:val="110"/>
        </w:rPr>
        <w:t>with</w:t>
      </w:r>
      <w:r>
        <w:rPr>
          <w:color w:val="231F1F"/>
          <w:spacing w:val="-14"/>
          <w:w w:val="110"/>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FLUVOXAMINE</w:t>
      </w:r>
      <w:r>
        <w:rPr>
          <w:color w:val="231F1F"/>
          <w:spacing w:val="4"/>
          <w:w w:val="110"/>
        </w:rPr>
        <w:t>,</w:t>
      </w:r>
      <w:r>
        <w:rPr>
          <w:color w:val="231F1F"/>
          <w:spacing w:val="-14"/>
          <w:w w:val="110"/>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SERTRALINE</w:t>
      </w:r>
      <w:r>
        <w:rPr>
          <w:rFonts w:ascii="Calibri"/>
          <w:color w:val="008356"/>
          <w:spacing w:val="-5"/>
          <w:w w:val="110"/>
          <w:sz w:val="11"/>
        </w:rPr>
        <w:t> </w:t>
      </w:r>
      <w:r>
        <w:rPr>
          <w:color w:val="231F1F"/>
          <w:w w:val="110"/>
        </w:rPr>
        <w:t>or</w:t>
      </w:r>
      <w:r>
        <w:rPr>
          <w:color w:val="231F1F"/>
          <w:spacing w:val="-14"/>
          <w:w w:val="110"/>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VENLAFAXINE</w:t>
      </w:r>
    </w:p>
    <w:p>
      <w:pPr>
        <w:pStyle w:val="BodyText"/>
        <w:spacing w:line="247" w:lineRule="auto"/>
        <w:ind w:left="286"/>
        <w:rPr>
          <w:rFonts w:ascii="Calibri" w:hAnsi="Calibri"/>
          <w:sz w:val="11"/>
        </w:rPr>
      </w:pPr>
      <w:r>
        <w:rPr>
          <w:color w:val="231F1F"/>
          <w:w w:val="110"/>
        </w:rPr>
        <w:t>(selegiline should not be started until 1 week after stopping fluvoxamine, sertraline or venlafaxine, avoid fluvoxamine, sertraline or venlafaxine for 2 weeks  after  stopping selegiline); increased risk of hypertension and CNS excitation when selegiline given with </w:t>
      </w:r>
      <w:r>
        <w:rPr>
          <w:rFonts w:ascii="Arial" w:hAnsi="Arial"/>
          <w:color w:val="231F1F"/>
          <w:w w:val="355"/>
          <w:position w:val="1"/>
          <w:sz w:val="7"/>
        </w:rPr>
        <w:t>l </w:t>
      </w:r>
      <w:r>
        <w:rPr>
          <w:rFonts w:ascii="Calibri" w:hAnsi="Calibri"/>
          <w:color w:val="008356"/>
          <w:spacing w:val="3"/>
          <w:w w:val="110"/>
          <w:sz w:val="11"/>
        </w:rPr>
        <w:t>PAROXETINE </w:t>
      </w:r>
      <w:r>
        <w:rPr>
          <w:color w:val="231F1F"/>
          <w:w w:val="110"/>
        </w:rPr>
        <w:t>(selegiline should not be started until 2 weeks after stopping paroxetine, avoid paroxetine for 2 weeks after stopping selegiline); enhanced hypotensive effect when selegiline given with </w:t>
      </w:r>
      <w:r>
        <w:rPr>
          <w:rFonts w:ascii="Arial" w:hAnsi="Arial"/>
          <w:color w:val="231F1F"/>
          <w:w w:val="355"/>
          <w:position w:val="1"/>
          <w:sz w:val="7"/>
        </w:rPr>
        <w:t>l </w:t>
      </w:r>
      <w:r>
        <w:rPr>
          <w:rFonts w:ascii="Calibri" w:hAnsi="Calibri"/>
          <w:color w:val="008356"/>
          <w:spacing w:val="4"/>
          <w:w w:val="110"/>
          <w:sz w:val="11"/>
        </w:rPr>
        <w:t>MAOIS</w:t>
      </w:r>
      <w:r>
        <w:rPr>
          <w:rFonts w:ascii="Arial" w:hAnsi="Arial"/>
          <w:color w:val="231F1F"/>
          <w:spacing w:val="4"/>
          <w:w w:val="110"/>
        </w:rPr>
        <w:t>— </w:t>
      </w:r>
      <w:r>
        <w:rPr>
          <w:color w:val="231F1F"/>
          <w:w w:val="110"/>
        </w:rPr>
        <w:t>manufacturer of selegiline advises avoid concomitant use; avoid</w:t>
      </w:r>
      <w:r>
        <w:rPr>
          <w:color w:val="231F1F"/>
          <w:spacing w:val="-8"/>
          <w:w w:val="110"/>
        </w:rPr>
        <w:t> </w:t>
      </w:r>
      <w:r>
        <w:rPr>
          <w:color w:val="231F1F"/>
          <w:w w:val="110"/>
        </w:rPr>
        <w:t>concomitant</w:t>
      </w:r>
      <w:r>
        <w:rPr>
          <w:color w:val="231F1F"/>
          <w:spacing w:val="-9"/>
          <w:w w:val="110"/>
        </w:rPr>
        <w:t> </w:t>
      </w:r>
      <w:r>
        <w:rPr>
          <w:color w:val="231F1F"/>
          <w:w w:val="110"/>
        </w:rPr>
        <w:t>use</w:t>
      </w:r>
      <w:r>
        <w:rPr>
          <w:color w:val="231F1F"/>
          <w:spacing w:val="-8"/>
          <w:w w:val="110"/>
        </w:rPr>
        <w:t> </w:t>
      </w:r>
      <w:r>
        <w:rPr>
          <w:color w:val="231F1F"/>
          <w:w w:val="110"/>
        </w:rPr>
        <w:t>of</w:t>
      </w:r>
      <w:r>
        <w:rPr>
          <w:color w:val="231F1F"/>
          <w:spacing w:val="-7"/>
          <w:w w:val="110"/>
        </w:rPr>
        <w:t> </w:t>
      </w:r>
      <w:r>
        <w:rPr>
          <w:color w:val="231F1F"/>
          <w:w w:val="110"/>
        </w:rPr>
        <w:t>selegiline</w:t>
      </w:r>
      <w:r>
        <w:rPr>
          <w:color w:val="231F1F"/>
          <w:spacing w:val="-7"/>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MOCLOBEMIDE</w:t>
      </w:r>
      <w:r>
        <w:rPr>
          <w:color w:val="231F1F"/>
          <w:spacing w:val="4"/>
          <w:w w:val="110"/>
        </w:rPr>
        <w:t>;</w:t>
      </w:r>
      <w:r>
        <w:rPr>
          <w:color w:val="231F1F"/>
          <w:spacing w:val="-8"/>
          <w:w w:val="110"/>
        </w:rPr>
        <w:t> </w:t>
      </w:r>
      <w:r>
        <w:rPr>
          <w:color w:val="231F1F"/>
          <w:w w:val="110"/>
        </w:rPr>
        <w:t>CNS toxicity reported when selegiline given with </w:t>
      </w:r>
      <w:r>
        <w:rPr>
          <w:rFonts w:ascii="Arial" w:hAnsi="Arial"/>
          <w:color w:val="231F1F"/>
          <w:w w:val="355"/>
          <w:position w:val="1"/>
          <w:sz w:val="7"/>
        </w:rPr>
        <w:t>l</w:t>
      </w:r>
      <w:r>
        <w:rPr>
          <w:rFonts w:ascii="Arial" w:hAnsi="Arial"/>
          <w:color w:val="231F1F"/>
          <w:spacing w:val="-41"/>
          <w:w w:val="355"/>
          <w:position w:val="1"/>
          <w:sz w:val="7"/>
        </w:rPr>
        <w:t> </w:t>
      </w:r>
      <w:r>
        <w:rPr>
          <w:rFonts w:ascii="Calibri" w:hAnsi="Calibri"/>
          <w:color w:val="008356"/>
          <w:spacing w:val="4"/>
          <w:w w:val="110"/>
          <w:sz w:val="11"/>
        </w:rPr>
        <w:t>TRICYCLICS</w:t>
      </w:r>
    </w:p>
    <w:p>
      <w:pPr>
        <w:pStyle w:val="BodyText"/>
        <w:ind w:left="286" w:right="31"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selegiline enhances effects and increases </w:t>
      </w:r>
      <w:r>
        <w:rPr>
          <w:color w:val="231F1F"/>
          <w:w w:val="105"/>
        </w:rPr>
        <w:t>toxicity</w:t>
      </w:r>
      <w:r>
        <w:rPr>
          <w:color w:val="231F1F"/>
          <w:spacing w:val="-8"/>
          <w:w w:val="105"/>
        </w:rPr>
        <w:t> </w:t>
      </w:r>
      <w:r>
        <w:rPr>
          <w:color w:val="231F1F"/>
          <w:w w:val="105"/>
        </w:rPr>
        <w:t>of</w:t>
      </w:r>
      <w:r>
        <w:rPr>
          <w:color w:val="231F1F"/>
          <w:spacing w:val="-7"/>
          <w:w w:val="105"/>
        </w:rPr>
        <w:t> </w:t>
      </w:r>
      <w:r>
        <w:rPr>
          <w:rFonts w:ascii="Calibri" w:hAnsi="Calibri"/>
          <w:color w:val="008356"/>
          <w:spacing w:val="4"/>
          <w:w w:val="105"/>
          <w:sz w:val="11"/>
        </w:rPr>
        <w:t>CO-BENELDOPA</w:t>
      </w:r>
      <w:r>
        <w:rPr>
          <w:color w:val="231F1F"/>
          <w:spacing w:val="4"/>
          <w:w w:val="105"/>
        </w:rPr>
        <w:t>,</w:t>
      </w:r>
      <w:r>
        <w:rPr>
          <w:color w:val="231F1F"/>
          <w:spacing w:val="-9"/>
          <w:w w:val="105"/>
        </w:rPr>
        <w:t> </w:t>
      </w:r>
      <w:r>
        <w:rPr>
          <w:rFonts w:ascii="Calibri" w:hAnsi="Calibri"/>
          <w:color w:val="008356"/>
          <w:spacing w:val="4"/>
          <w:w w:val="105"/>
          <w:sz w:val="11"/>
        </w:rPr>
        <w:t>CO-CARELDOPA </w:t>
      </w:r>
      <w:r>
        <w:rPr>
          <w:color w:val="231F1F"/>
          <w:w w:val="105"/>
        </w:rPr>
        <w:t>or</w:t>
      </w:r>
      <w:r>
        <w:rPr>
          <w:color w:val="231F1F"/>
          <w:spacing w:val="-7"/>
          <w:w w:val="105"/>
        </w:rPr>
        <w:t> </w:t>
      </w:r>
      <w:r>
        <w:rPr>
          <w:rFonts w:ascii="Calibri" w:hAnsi="Calibri"/>
          <w:color w:val="008356"/>
          <w:spacing w:val="3"/>
          <w:w w:val="105"/>
          <w:sz w:val="11"/>
        </w:rPr>
        <w:t>LEVODOPA</w:t>
      </w:r>
      <w:r>
        <w:rPr>
          <w:rFonts w:ascii="Calibri" w:hAnsi="Calibri"/>
          <w:color w:val="008356"/>
          <w:spacing w:val="4"/>
          <w:w w:val="105"/>
          <w:sz w:val="11"/>
        </w:rPr>
        <w:t> </w:t>
      </w:r>
      <w:r>
        <w:rPr>
          <w:color w:val="231F1F"/>
          <w:w w:val="105"/>
        </w:rPr>
        <w:t>(reduce </w:t>
      </w:r>
      <w:r>
        <w:rPr>
          <w:color w:val="231F1F"/>
          <w:w w:val="110"/>
        </w:rPr>
        <w:t>dose of co-beneldopa, co-careldopa or levodopa); max. dose of</w:t>
      </w:r>
      <w:r>
        <w:rPr>
          <w:color w:val="231F1F"/>
          <w:spacing w:val="-4"/>
          <w:w w:val="110"/>
        </w:rPr>
        <w:t> </w:t>
      </w:r>
      <w:r>
        <w:rPr>
          <w:color w:val="231F1F"/>
          <w:w w:val="110"/>
        </w:rPr>
        <w:t>10</w:t>
      </w:r>
      <w:r>
        <w:rPr>
          <w:color w:val="231F1F"/>
          <w:spacing w:val="-15"/>
          <w:w w:val="110"/>
        </w:rPr>
        <w:t> </w:t>
      </w:r>
      <w:r>
        <w:rPr>
          <w:color w:val="231F1F"/>
          <w:w w:val="110"/>
        </w:rPr>
        <w:t>mg</w:t>
      </w:r>
      <w:r>
        <w:rPr>
          <w:color w:val="231F1F"/>
          <w:spacing w:val="-4"/>
          <w:w w:val="110"/>
        </w:rPr>
        <w:t> </w:t>
      </w:r>
      <w:r>
        <w:rPr>
          <w:color w:val="231F1F"/>
          <w:w w:val="110"/>
        </w:rPr>
        <w:t>selegiline</w:t>
      </w:r>
      <w:r>
        <w:rPr>
          <w:color w:val="231F1F"/>
          <w:spacing w:val="-5"/>
          <w:w w:val="110"/>
        </w:rPr>
        <w:t> </w:t>
      </w:r>
      <w:r>
        <w:rPr>
          <w:color w:val="231F1F"/>
          <w:w w:val="110"/>
        </w:rPr>
        <w:t>advised</w:t>
      </w:r>
      <w:r>
        <w:rPr>
          <w:color w:val="231F1F"/>
          <w:spacing w:val="-4"/>
          <w:w w:val="110"/>
        </w:rPr>
        <w:t> </w:t>
      </w:r>
      <w:r>
        <w:rPr>
          <w:color w:val="231F1F"/>
          <w:w w:val="110"/>
        </w:rPr>
        <w:t>by</w:t>
      </w:r>
      <w:r>
        <w:rPr>
          <w:color w:val="231F1F"/>
          <w:spacing w:val="-5"/>
          <w:w w:val="110"/>
        </w:rPr>
        <w:t> </w:t>
      </w:r>
      <w:r>
        <w:rPr>
          <w:color w:val="231F1F"/>
          <w:w w:val="110"/>
        </w:rPr>
        <w:t>manufacturer</w:t>
      </w:r>
      <w:r>
        <w:rPr>
          <w:color w:val="231F1F"/>
          <w:spacing w:val="-4"/>
          <w:w w:val="110"/>
        </w:rPr>
        <w:t> </w:t>
      </w:r>
      <w:r>
        <w:rPr>
          <w:color w:val="231F1F"/>
          <w:w w:val="110"/>
        </w:rPr>
        <w:t>of</w:t>
      </w:r>
      <w:r>
        <w:rPr>
          <w:color w:val="231F1F"/>
          <w:spacing w:val="-4"/>
          <w:w w:val="110"/>
        </w:rPr>
        <w:t> </w:t>
      </w:r>
      <w:r>
        <w:rPr>
          <w:rFonts w:ascii="Calibri" w:hAnsi="Calibri"/>
          <w:color w:val="008356"/>
          <w:spacing w:val="3"/>
          <w:w w:val="110"/>
          <w:sz w:val="11"/>
        </w:rPr>
        <w:t>ENTACAPONE</w:t>
      </w:r>
      <w:r>
        <w:rPr>
          <w:rFonts w:ascii="Calibri" w:hAnsi="Calibri"/>
          <w:color w:val="008356"/>
          <w:spacing w:val="7"/>
          <w:w w:val="110"/>
          <w:sz w:val="11"/>
        </w:rPr>
        <w:t> </w:t>
      </w:r>
      <w:r>
        <w:rPr>
          <w:color w:val="231F1F"/>
          <w:w w:val="110"/>
        </w:rPr>
        <w:t>if used</w:t>
      </w:r>
      <w:r>
        <w:rPr>
          <w:color w:val="231F1F"/>
          <w:spacing w:val="-2"/>
          <w:w w:val="110"/>
        </w:rPr>
        <w:t> </w:t>
      </w:r>
      <w:r>
        <w:rPr>
          <w:color w:val="231F1F"/>
          <w:w w:val="110"/>
        </w:rPr>
        <w:t>concomitantly</w:t>
      </w:r>
    </w:p>
    <w:p>
      <w:pPr>
        <w:pStyle w:val="BodyText"/>
        <w:spacing w:line="220" w:lineRule="auto"/>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1</w:t>
      </w:r>
      <w:r>
        <w:rPr>
          <w:rFonts w:ascii="Calibri" w:hAnsi="Calibri"/>
          <w:color w:val="231F1F"/>
          <w:w w:val="105"/>
          <w:vertAlign w:val="baseline"/>
        </w:rPr>
        <w:t>-receptor Agonists: </w:t>
      </w:r>
      <w:r>
        <w:rPr>
          <w:color w:val="231F1F"/>
          <w:w w:val="105"/>
          <w:vertAlign w:val="baseline"/>
        </w:rPr>
        <w:t>manufacturer of selegiline advises </w:t>
      </w:r>
      <w:r>
        <w:rPr>
          <w:color w:val="231F1F"/>
          <w:w w:val="105"/>
          <w:position w:val="2"/>
          <w:vertAlign w:val="baseline"/>
        </w:rPr>
        <w:t>avoid concomitant use with </w:t>
      </w:r>
      <w:r>
        <w:rPr>
          <w:rFonts w:ascii="Calibri" w:hAnsi="Calibri"/>
          <w:color w:val="008356"/>
          <w:w w:val="105"/>
          <w:position w:val="2"/>
          <w:sz w:val="11"/>
          <w:vertAlign w:val="baseline"/>
        </w:rPr>
        <w:t>5HT</w:t>
      </w:r>
      <w:r>
        <w:rPr>
          <w:rFonts w:ascii="Calibri" w:hAnsi="Calibri"/>
          <w:color w:val="008356"/>
          <w:w w:val="105"/>
          <w:position w:val="2"/>
          <w:sz w:val="11"/>
          <w:vertAlign w:val="subscript"/>
        </w:rPr>
        <w:t>1</w:t>
      </w:r>
      <w:r>
        <w:rPr>
          <w:rFonts w:ascii="Calibri" w:hAnsi="Calibri"/>
          <w:color w:val="008356"/>
          <w:w w:val="105"/>
          <w:position w:val="2"/>
          <w:sz w:val="11"/>
          <w:vertAlign w:val="baseline"/>
        </w:rPr>
        <w:t> AGONISTS</w:t>
      </w:r>
    </w:p>
    <w:p>
      <w:pPr>
        <w:pStyle w:val="BodyText"/>
        <w:spacing w:line="132" w:lineRule="exact"/>
        <w:ind w:left="186"/>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and selegiline possibly</w:t>
      </w:r>
    </w:p>
    <w:p>
      <w:pPr>
        <w:spacing w:line="134" w:lineRule="exact" w:before="0"/>
        <w:ind w:left="286" w:right="0" w:firstLine="0"/>
        <w:jc w:val="left"/>
        <w:rPr>
          <w:rFonts w:ascii="Calibri"/>
          <w:sz w:val="11"/>
        </w:rPr>
      </w:pPr>
      <w:r>
        <w:rPr>
          <w:color w:val="231F1F"/>
          <w:w w:val="105"/>
          <w:sz w:val="12"/>
        </w:rPr>
        <w:t>enhanced by </w:t>
      </w:r>
      <w:r>
        <w:rPr>
          <w:rFonts w:ascii="Calibri"/>
          <w:color w:val="008356"/>
          <w:w w:val="105"/>
          <w:sz w:val="11"/>
        </w:rPr>
        <w:t>MEMANTINE</w:t>
      </w:r>
    </w:p>
    <w:p>
      <w:pPr>
        <w:pStyle w:val="BodyText"/>
        <w:spacing w:line="220" w:lineRule="auto" w:before="1"/>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ind w:left="286" w:right="131"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Oestrogens:</w:t>
      </w:r>
      <w:r>
        <w:rPr>
          <w:rFonts w:ascii="Calibri" w:hAnsi="Calibri"/>
          <w:color w:val="231F1F"/>
          <w:spacing w:val="-13"/>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color w:val="231F1F"/>
          <w:w w:val="115"/>
        </w:rPr>
        <w:t>selegiline</w:t>
      </w:r>
      <w:r>
        <w:rPr>
          <w:color w:val="231F1F"/>
          <w:spacing w:val="-15"/>
          <w:w w:val="115"/>
        </w:rPr>
        <w:t> </w:t>
      </w:r>
      <w:r>
        <w:rPr>
          <w:color w:val="231F1F"/>
          <w:w w:val="115"/>
        </w:rPr>
        <w:t>increased</w:t>
      </w:r>
      <w:r>
        <w:rPr>
          <w:color w:val="231F1F"/>
          <w:spacing w:val="-15"/>
          <w:w w:val="115"/>
        </w:rPr>
        <w:t> </w:t>
      </w:r>
      <w:r>
        <w:rPr>
          <w:color w:val="231F1F"/>
          <w:spacing w:val="-8"/>
          <w:w w:val="115"/>
        </w:rPr>
        <w:t>by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OESTROGENS</w:t>
      </w:r>
      <w:r>
        <w:rPr>
          <w:rFonts w:ascii="Arial" w:hAnsi="Arial"/>
          <w:color w:val="231F1F"/>
          <w:spacing w:val="2"/>
          <w:w w:val="115"/>
        </w:rPr>
        <w:t>—</w:t>
      </w:r>
      <w:r>
        <w:rPr>
          <w:color w:val="231F1F"/>
          <w:spacing w:val="2"/>
          <w:w w:val="115"/>
        </w:rPr>
        <w:t>manufacturer</w:t>
      </w:r>
      <w:r>
        <w:rPr>
          <w:color w:val="231F1F"/>
          <w:spacing w:val="-17"/>
          <w:w w:val="115"/>
        </w:rPr>
        <w:t> </w:t>
      </w:r>
      <w:r>
        <w:rPr>
          <w:color w:val="231F1F"/>
          <w:w w:val="115"/>
        </w:rPr>
        <w:t>of</w:t>
      </w:r>
      <w:r>
        <w:rPr>
          <w:color w:val="231F1F"/>
          <w:spacing w:val="-18"/>
          <w:w w:val="115"/>
        </w:rPr>
        <w:t> </w:t>
      </w:r>
      <w:r>
        <w:rPr>
          <w:color w:val="231F1F"/>
          <w:w w:val="115"/>
        </w:rPr>
        <w:t>selegiline</w:t>
      </w:r>
      <w:r>
        <w:rPr>
          <w:color w:val="231F1F"/>
          <w:spacing w:val="-19"/>
          <w:w w:val="115"/>
        </w:rPr>
        <w:t> </w:t>
      </w:r>
      <w:r>
        <w:rPr>
          <w:color w:val="231F1F"/>
          <w:w w:val="115"/>
        </w:rPr>
        <w:t>advises</w:t>
      </w:r>
      <w:r>
        <w:rPr>
          <w:color w:val="231F1F"/>
          <w:spacing w:val="-18"/>
          <w:w w:val="115"/>
        </w:rPr>
        <w:t> </w:t>
      </w:r>
      <w:r>
        <w:rPr>
          <w:color w:val="231F1F"/>
          <w:w w:val="115"/>
        </w:rPr>
        <w:t>avoid concomitant</w:t>
      </w:r>
      <w:r>
        <w:rPr>
          <w:color w:val="231F1F"/>
          <w:spacing w:val="-5"/>
          <w:w w:val="115"/>
        </w:rPr>
        <w:t> </w:t>
      </w:r>
      <w:r>
        <w:rPr>
          <w:color w:val="231F1F"/>
          <w:w w:val="115"/>
        </w:rPr>
        <w:t>use</w:t>
      </w:r>
    </w:p>
    <w:p>
      <w:pPr>
        <w:pStyle w:val="BodyText"/>
        <w:spacing w:before="1"/>
        <w:ind w:left="286" w:right="17"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Progestogens:</w:t>
      </w:r>
      <w:r>
        <w:rPr>
          <w:rFonts w:ascii="Calibri" w:hAnsi="Calibri"/>
          <w:color w:val="231F1F"/>
          <w:spacing w:val="-13"/>
          <w:w w:val="115"/>
        </w:rPr>
        <w:t> </w:t>
      </w:r>
      <w:r>
        <w:rPr>
          <w:color w:val="231F1F"/>
          <w:w w:val="115"/>
        </w:rPr>
        <w:t>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w w:val="115"/>
        </w:rPr>
        <w:t>selegiline</w:t>
      </w:r>
      <w:r>
        <w:rPr>
          <w:color w:val="231F1F"/>
          <w:spacing w:val="-16"/>
          <w:w w:val="115"/>
        </w:rPr>
        <w:t> </w:t>
      </w:r>
      <w:r>
        <w:rPr>
          <w:color w:val="231F1F"/>
          <w:w w:val="115"/>
        </w:rPr>
        <w:t>increased</w:t>
      </w:r>
      <w:r>
        <w:rPr>
          <w:color w:val="231F1F"/>
          <w:spacing w:val="-17"/>
          <w:w w:val="115"/>
        </w:rPr>
        <w:t> </w:t>
      </w:r>
      <w:r>
        <w:rPr>
          <w:color w:val="231F1F"/>
          <w:spacing w:val="-7"/>
          <w:w w:val="115"/>
        </w:rPr>
        <w:t>by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PROGESTOGENS</w:t>
      </w:r>
      <w:r>
        <w:rPr>
          <w:rFonts w:ascii="Arial" w:hAnsi="Arial"/>
          <w:color w:val="231F1F"/>
          <w:spacing w:val="2"/>
          <w:w w:val="115"/>
        </w:rPr>
        <w:t>—</w:t>
      </w:r>
      <w:r>
        <w:rPr>
          <w:color w:val="231F1F"/>
          <w:spacing w:val="2"/>
          <w:w w:val="115"/>
        </w:rPr>
        <w:t>manufacturer</w:t>
      </w:r>
      <w:r>
        <w:rPr>
          <w:color w:val="231F1F"/>
          <w:spacing w:val="-21"/>
          <w:w w:val="115"/>
        </w:rPr>
        <w:t> </w:t>
      </w:r>
      <w:r>
        <w:rPr>
          <w:color w:val="231F1F"/>
          <w:w w:val="115"/>
        </w:rPr>
        <w:t>of</w:t>
      </w:r>
      <w:r>
        <w:rPr>
          <w:color w:val="231F1F"/>
          <w:spacing w:val="-20"/>
          <w:w w:val="115"/>
        </w:rPr>
        <w:t> </w:t>
      </w:r>
      <w:r>
        <w:rPr>
          <w:color w:val="231F1F"/>
          <w:w w:val="115"/>
        </w:rPr>
        <w:t>selegiline</w:t>
      </w:r>
      <w:r>
        <w:rPr>
          <w:color w:val="231F1F"/>
          <w:spacing w:val="-21"/>
          <w:w w:val="115"/>
        </w:rPr>
        <w:t> </w:t>
      </w:r>
      <w:r>
        <w:rPr>
          <w:color w:val="231F1F"/>
          <w:w w:val="115"/>
        </w:rPr>
        <w:t>advises</w:t>
      </w:r>
      <w:r>
        <w:rPr>
          <w:color w:val="231F1F"/>
          <w:spacing w:val="-21"/>
          <w:w w:val="115"/>
        </w:rPr>
        <w:t> </w:t>
      </w:r>
      <w:r>
        <w:rPr>
          <w:color w:val="231F1F"/>
          <w:w w:val="115"/>
        </w:rPr>
        <w:t>avoid concomitant</w:t>
      </w:r>
      <w:r>
        <w:rPr>
          <w:color w:val="231F1F"/>
          <w:spacing w:val="-5"/>
          <w:w w:val="115"/>
        </w:rPr>
        <w:t> </w:t>
      </w:r>
      <w:r>
        <w:rPr>
          <w:color w:val="231F1F"/>
          <w:w w:val="115"/>
        </w:rPr>
        <w:t>use</w:t>
      </w:r>
    </w:p>
    <w:p>
      <w:pPr>
        <w:pStyle w:val="BodyText"/>
        <w:spacing w:before="2"/>
        <w:ind w:left="286" w:right="149" w:hanging="100"/>
        <w:rPr>
          <w:rFonts w:ascii="Calibri"/>
          <w:sz w:val="11"/>
        </w:rPr>
      </w:pPr>
      <w:r>
        <w:rPr>
          <w:rFonts w:ascii="Arial"/>
          <w:color w:val="231F1F"/>
          <w:w w:val="355"/>
          <w:position w:val="1"/>
          <w:sz w:val="7"/>
        </w:rPr>
        <w:t>l</w:t>
      </w:r>
      <w:r>
        <w:rPr>
          <w:rFonts w:ascii="Arial"/>
          <w:color w:val="231F1F"/>
          <w:spacing w:val="-57"/>
          <w:w w:val="355"/>
          <w:position w:val="1"/>
          <w:sz w:val="7"/>
        </w:rPr>
        <w:t> </w:t>
      </w:r>
      <w:r>
        <w:rPr>
          <w:rFonts w:ascii="Calibri"/>
          <w:color w:val="231F1F"/>
          <w:w w:val="110"/>
        </w:rPr>
        <w:t>Sympathomimetics: </w:t>
      </w:r>
      <w:r>
        <w:rPr>
          <w:color w:val="231F1F"/>
          <w:w w:val="110"/>
        </w:rPr>
        <w:t>manufacturer of selegiline advises </w:t>
      </w:r>
      <w:r>
        <w:rPr>
          <w:color w:val="231F1F"/>
          <w:spacing w:val="-3"/>
          <w:w w:val="110"/>
        </w:rPr>
        <w:t>avoid </w:t>
      </w:r>
      <w:r>
        <w:rPr>
          <w:color w:val="231F1F"/>
          <w:w w:val="110"/>
        </w:rPr>
        <w:t>concomitant use with </w:t>
      </w:r>
      <w:r>
        <w:rPr>
          <w:rFonts w:ascii="Calibri"/>
          <w:color w:val="008356"/>
          <w:spacing w:val="4"/>
          <w:w w:val="110"/>
          <w:sz w:val="11"/>
        </w:rPr>
        <w:t>SYMPATHOMIMETICS</w:t>
      </w:r>
      <w:r>
        <w:rPr>
          <w:color w:val="231F1F"/>
          <w:spacing w:val="4"/>
          <w:w w:val="110"/>
        </w:rPr>
        <w:t>; </w:t>
      </w:r>
      <w:r>
        <w:rPr>
          <w:color w:val="231F1F"/>
          <w:w w:val="110"/>
        </w:rPr>
        <w:t>risk of hypertensive crisis when selegiline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DOPAMINE</w:t>
      </w:r>
    </w:p>
    <w:p>
      <w:pPr>
        <w:pStyle w:val="BodyText"/>
        <w:spacing w:line="139" w:lineRule="exact" w:before="9"/>
        <w:ind w:left="186"/>
        <w:rPr>
          <w:rFonts w:ascii="Trebuchet MS"/>
        </w:rPr>
      </w:pPr>
      <w:r>
        <w:rPr>
          <w:rFonts w:ascii="Trebuchet MS"/>
          <w:color w:val="008356"/>
        </w:rPr>
        <w:t>Selenium</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Eltrombopag: </w:t>
      </w:r>
      <w:r>
        <w:rPr>
          <w:color w:val="231F1F"/>
          <w:w w:val="105"/>
        </w:rPr>
        <w:t>selenium possibly reduces absorption of</w:t>
      </w:r>
    </w:p>
    <w:p>
      <w:pPr>
        <w:spacing w:line="135" w:lineRule="exact" w:before="0"/>
        <w:ind w:left="286" w:right="0" w:firstLine="0"/>
        <w:jc w:val="left"/>
        <w:rPr>
          <w:sz w:val="12"/>
        </w:rPr>
      </w:pPr>
      <w:r>
        <w:rPr>
          <w:rFonts w:ascii="Calibri"/>
          <w:color w:val="008356"/>
          <w:w w:val="110"/>
          <w:sz w:val="11"/>
        </w:rPr>
        <w:t>ELTROMBOPAG </w:t>
      </w:r>
      <w:r>
        <w:rPr>
          <w:color w:val="231F1F"/>
          <w:w w:val="110"/>
          <w:sz w:val="12"/>
        </w:rPr>
        <w:t>(give at least 4 hours apart)</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Vitamins: </w:t>
      </w:r>
      <w:r>
        <w:rPr>
          <w:color w:val="231F1F"/>
          <w:w w:val="105"/>
        </w:rPr>
        <w:t>absorption of selenium possibly reduced by</w:t>
      </w:r>
    </w:p>
    <w:p>
      <w:pPr>
        <w:pStyle w:val="BodyText"/>
        <w:spacing w:line="254" w:lineRule="auto"/>
        <w:ind w:left="186" w:right="847" w:firstLine="99"/>
        <w:rPr>
          <w:rFonts w:ascii="Trebuchet MS"/>
        </w:rPr>
      </w:pPr>
      <w:r>
        <w:rPr>
          <w:rFonts w:ascii="Calibri"/>
          <w:color w:val="008356"/>
          <w:w w:val="110"/>
          <w:sz w:val="11"/>
        </w:rPr>
        <w:t>ASCORBIC ACID </w:t>
      </w:r>
      <w:r>
        <w:rPr>
          <w:color w:val="231F1F"/>
          <w:w w:val="110"/>
        </w:rPr>
        <w:t>(give at least 4 hours apart) </w:t>
      </w:r>
      <w:r>
        <w:rPr>
          <w:rFonts w:ascii="Trebuchet MS"/>
          <w:color w:val="008356"/>
          <w:w w:val="110"/>
        </w:rPr>
        <w:t>Sertraline </w:t>
      </w:r>
      <w:r>
        <w:rPr>
          <w:i/>
          <w:color w:val="231F1F"/>
          <w:w w:val="110"/>
        </w:rPr>
        <w:t>see </w:t>
      </w:r>
      <w:r>
        <w:rPr>
          <w:color w:val="231F1F"/>
          <w:w w:val="110"/>
        </w:rPr>
        <w:t>Antidepressants, SSRI </w:t>
      </w:r>
      <w:r>
        <w:rPr>
          <w:rFonts w:ascii="Trebuchet MS"/>
          <w:color w:val="008356"/>
          <w:w w:val="110"/>
        </w:rPr>
        <w:t>Sevelamer</w:t>
      </w:r>
    </w:p>
    <w:p>
      <w:pPr>
        <w:pStyle w:val="BodyText"/>
        <w:spacing w:line="149" w:lineRule="exact"/>
        <w:ind w:left="186"/>
      </w:pPr>
      <w:r>
        <w:rPr>
          <w:rFonts w:ascii="Lucida Sans Unicode" w:hAnsi="Lucida Sans Unicode"/>
          <w:color w:val="A7A8AC"/>
          <w:w w:val="95"/>
          <w:sz w:val="10"/>
        </w:rPr>
        <w:t>▶ </w:t>
      </w:r>
      <w:r>
        <w:rPr>
          <w:rFonts w:ascii="Calibri" w:hAnsi="Calibri"/>
          <w:color w:val="231F1F"/>
        </w:rPr>
        <w:t>Antibacterials: </w:t>
      </w:r>
      <w:r>
        <w:rPr>
          <w:color w:val="231F1F"/>
        </w:rPr>
        <w:t>sevelamer reduces bioavailability of</w:t>
      </w:r>
    </w:p>
    <w:p>
      <w:pPr>
        <w:spacing w:line="130" w:lineRule="exact" w:before="0"/>
        <w:ind w:left="286" w:right="0" w:firstLine="0"/>
        <w:jc w:val="left"/>
        <w:rPr>
          <w:rFonts w:ascii="Calibri"/>
          <w:sz w:val="11"/>
        </w:rPr>
      </w:pPr>
      <w:r>
        <w:rPr>
          <w:rFonts w:ascii="Calibri"/>
          <w:color w:val="008356"/>
          <w:spacing w:val="4"/>
          <w:sz w:val="11"/>
        </w:rPr>
        <w:t>CIPROFLOXACIN</w:t>
      </w:r>
    </w:p>
    <w:p>
      <w:pPr>
        <w:pStyle w:val="BodyText"/>
        <w:spacing w:line="220" w:lineRule="auto" w:before="1"/>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sevelamer possibly  reduces plasma  </w:t>
      </w:r>
      <w:r>
        <w:rPr>
          <w:color w:val="231F1F"/>
          <w:spacing w:val="-2"/>
          <w:w w:val="105"/>
        </w:rPr>
        <w:t>concentration </w:t>
      </w:r>
      <w:r>
        <w:rPr>
          <w:color w:val="231F1F"/>
          <w:w w:val="105"/>
        </w:rPr>
        <w:t>of </w:t>
      </w:r>
      <w:r>
        <w:rPr>
          <w:rFonts w:ascii="Calibri" w:hAnsi="Calibri"/>
          <w:color w:val="008356"/>
          <w:spacing w:val="4"/>
          <w:w w:val="105"/>
          <w:sz w:val="11"/>
        </w:rPr>
        <w:t>CICLOSPORIN</w:t>
      </w:r>
    </w:p>
    <w:p>
      <w:pPr>
        <w:pStyle w:val="BodyText"/>
        <w:spacing w:line="220" w:lineRule="auto" w:before="8"/>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Mycophenolate: </w:t>
      </w:r>
      <w:r>
        <w:rPr>
          <w:color w:val="231F1F"/>
          <w:w w:val="105"/>
        </w:rPr>
        <w:t>sevelamer possibly reduces plasma concentration of </w:t>
      </w:r>
      <w:r>
        <w:rPr>
          <w:rFonts w:ascii="Calibri" w:hAnsi="Calibri"/>
          <w:color w:val="008356"/>
          <w:w w:val="105"/>
          <w:sz w:val="11"/>
        </w:rPr>
        <w:t>MYCOPHENOLATE</w:t>
      </w:r>
    </w:p>
    <w:p>
      <w:pPr>
        <w:pStyle w:val="BodyText"/>
        <w:spacing w:line="220" w:lineRule="auto" w:before="9"/>
        <w:ind w:left="286" w:right="95"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sevelamer possibly  reduces  plasma  </w:t>
      </w:r>
      <w:r>
        <w:rPr>
          <w:color w:val="231F1F"/>
          <w:spacing w:val="-3"/>
          <w:w w:val="105"/>
        </w:rPr>
        <w:t>concentration </w:t>
      </w:r>
      <w:r>
        <w:rPr>
          <w:color w:val="231F1F"/>
          <w:w w:val="105"/>
        </w:rPr>
        <w:t>of </w:t>
      </w:r>
      <w:r>
        <w:rPr>
          <w:rFonts w:ascii="Calibri" w:hAnsi="Calibri"/>
          <w:color w:val="008356"/>
          <w:spacing w:val="3"/>
          <w:w w:val="105"/>
          <w:sz w:val="11"/>
        </w:rPr>
        <w:t>TACROLIMUS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Thyroid Hormones: </w:t>
      </w:r>
      <w:r>
        <w:rPr>
          <w:color w:val="231F1F"/>
          <w:w w:val="105"/>
        </w:rPr>
        <w:t>sevelamer possibly reduces absorption of</w:t>
      </w:r>
    </w:p>
    <w:p>
      <w:pPr>
        <w:spacing w:line="131" w:lineRule="exact" w:before="0"/>
        <w:ind w:left="286" w:right="0" w:firstLine="0"/>
        <w:jc w:val="left"/>
        <w:rPr>
          <w:rFonts w:ascii="Calibri"/>
          <w:sz w:val="11"/>
        </w:rPr>
      </w:pPr>
      <w:r>
        <w:rPr>
          <w:rFonts w:ascii="Calibri"/>
          <w:color w:val="008356"/>
          <w:sz w:val="11"/>
        </w:rPr>
        <w:t>LEVOTHYROXINE</w:t>
      </w:r>
    </w:p>
    <w:p>
      <w:pPr>
        <w:pStyle w:val="BodyText"/>
        <w:spacing w:before="9"/>
        <w:ind w:left="0"/>
        <w:rPr>
          <w:rFonts w:ascii="Calibri"/>
          <w:sz w:val="13"/>
        </w:rPr>
      </w:pPr>
      <w:r>
        <w:rPr/>
        <w:br w:type="column"/>
      </w:r>
      <w:r>
        <w:rPr>
          <w:rFonts w:ascii="Calibri"/>
          <w:sz w:val="13"/>
        </w:rPr>
      </w:r>
    </w:p>
    <w:p>
      <w:pPr>
        <w:pStyle w:val="BodyText"/>
        <w:spacing w:line="144" w:lineRule="exact"/>
        <w:ind w:left="185"/>
        <w:rPr>
          <w:rFonts w:ascii="Calibri"/>
        </w:rPr>
      </w:pPr>
      <w:r>
        <w:rPr>
          <w:rFonts w:ascii="Arial"/>
          <w:color w:val="008356"/>
        </w:rPr>
        <w:t>Sevelamer </w:t>
      </w:r>
      <w:r>
        <w:rPr>
          <w:rFonts w:ascii="Calibri"/>
          <w:color w:val="231F1F"/>
        </w:rPr>
        <w:t>(continued)</w:t>
      </w:r>
    </w:p>
    <w:p>
      <w:pPr>
        <w:pStyle w:val="BodyText"/>
        <w:spacing w:line="220" w:lineRule="auto" w:before="6"/>
        <w:ind w:left="285" w:right="584" w:hanging="100"/>
      </w:pPr>
      <w:r>
        <w:rPr>
          <w:rFonts w:ascii="Lucida Sans Unicode" w:hAnsi="Lucida Sans Unicode"/>
          <w:color w:val="A7A8AC"/>
          <w:w w:val="95"/>
          <w:sz w:val="10"/>
        </w:rPr>
        <w:t>▶ </w:t>
      </w:r>
      <w:r>
        <w:rPr>
          <w:rFonts w:ascii="Calibri" w:hAnsi="Calibri"/>
          <w:color w:val="231F1F"/>
          <w:w w:val="110"/>
        </w:rPr>
        <w:t>Vitamins: </w:t>
      </w:r>
      <w:r>
        <w:rPr>
          <w:color w:val="231F1F"/>
          <w:w w:val="110"/>
        </w:rPr>
        <w:t>sevelamer reduces absorption of </w:t>
      </w:r>
      <w:r>
        <w:rPr>
          <w:rFonts w:ascii="Calibri" w:hAnsi="Calibri"/>
          <w:color w:val="008356"/>
          <w:w w:val="110"/>
          <w:sz w:val="11"/>
        </w:rPr>
        <w:t>CALCITRIOL </w:t>
      </w:r>
      <w:r>
        <w:rPr>
          <w:color w:val="231F1F"/>
          <w:w w:val="110"/>
        </w:rPr>
        <w:t>(give at least 1 hour before or 3 hours after sevelamer)</w:t>
      </w:r>
    </w:p>
    <w:p>
      <w:pPr>
        <w:pStyle w:val="BodyText"/>
        <w:spacing w:before="13"/>
        <w:ind w:left="185"/>
      </w:pPr>
      <w:r>
        <w:rPr>
          <w:rFonts w:ascii="Trebuchet MS"/>
          <w:color w:val="008356"/>
          <w:w w:val="110"/>
        </w:rPr>
        <w:t>Sevoflurane </w:t>
      </w:r>
      <w:r>
        <w:rPr>
          <w:i/>
          <w:color w:val="231F1F"/>
          <w:w w:val="110"/>
        </w:rPr>
        <w:t>see </w:t>
      </w:r>
      <w:r>
        <w:rPr>
          <w:color w:val="231F1F"/>
          <w:w w:val="110"/>
        </w:rPr>
        <w:t>Anaesthetics, General</w:t>
      </w:r>
    </w:p>
    <w:p>
      <w:pPr>
        <w:pStyle w:val="BodyText"/>
        <w:spacing w:before="10"/>
        <w:ind w:left="185"/>
        <w:rPr>
          <w:rFonts w:ascii="Trebuchet MS"/>
        </w:rPr>
      </w:pPr>
      <w:r>
        <w:rPr>
          <w:rFonts w:ascii="Trebuchet MS"/>
          <w:color w:val="008356"/>
        </w:rPr>
        <w:t>Sildenafil</w:t>
      </w:r>
    </w:p>
    <w:p>
      <w:pPr>
        <w:pStyle w:val="BodyText"/>
        <w:spacing w:line="244" w:lineRule="auto" w:before="1"/>
        <w:ind w:left="285" w:right="701" w:hanging="100"/>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231F1F"/>
          <w:w w:val="115"/>
        </w:rPr>
        <w:t>Alpha-blockers:</w:t>
      </w:r>
      <w:r>
        <w:rPr>
          <w:rFonts w:ascii="Calibri" w:hAnsi="Calibri"/>
          <w:color w:val="231F1F"/>
          <w:spacing w:val="-18"/>
          <w:w w:val="115"/>
        </w:rPr>
        <w:t> </w:t>
      </w:r>
      <w:r>
        <w:rPr>
          <w:color w:val="231F1F"/>
          <w:w w:val="115"/>
        </w:rPr>
        <w:t>enhanced</w:t>
      </w:r>
      <w:r>
        <w:rPr>
          <w:color w:val="231F1F"/>
          <w:spacing w:val="-21"/>
          <w:w w:val="115"/>
        </w:rPr>
        <w:t> </w:t>
      </w:r>
      <w:r>
        <w:rPr>
          <w:color w:val="231F1F"/>
          <w:w w:val="115"/>
        </w:rPr>
        <w:t>hypotensive</w:t>
      </w:r>
      <w:r>
        <w:rPr>
          <w:color w:val="231F1F"/>
          <w:spacing w:val="-21"/>
          <w:w w:val="115"/>
        </w:rPr>
        <w:t> </w:t>
      </w:r>
      <w:r>
        <w:rPr>
          <w:color w:val="231F1F"/>
          <w:w w:val="115"/>
        </w:rPr>
        <w:t>effect</w:t>
      </w:r>
      <w:r>
        <w:rPr>
          <w:color w:val="231F1F"/>
          <w:spacing w:val="-21"/>
          <w:w w:val="115"/>
        </w:rPr>
        <w:t> </w:t>
      </w:r>
      <w:r>
        <w:rPr>
          <w:color w:val="231F1F"/>
          <w:w w:val="115"/>
        </w:rPr>
        <w:t>when</w:t>
      </w:r>
      <w:r>
        <w:rPr>
          <w:color w:val="231F1F"/>
          <w:spacing w:val="-21"/>
          <w:w w:val="115"/>
        </w:rPr>
        <w:t> </w:t>
      </w:r>
      <w:r>
        <w:rPr>
          <w:color w:val="231F1F"/>
          <w:w w:val="115"/>
        </w:rPr>
        <w:t>sildenafil given</w:t>
      </w:r>
      <w:r>
        <w:rPr>
          <w:color w:val="231F1F"/>
          <w:spacing w:val="-15"/>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ALPHA-BLOCKERS</w:t>
      </w:r>
      <w:r>
        <w:rPr>
          <w:rFonts w:ascii="Calibri" w:hAnsi="Calibri"/>
          <w:color w:val="008356"/>
          <w:spacing w:val="-5"/>
          <w:w w:val="115"/>
          <w:sz w:val="11"/>
        </w:rPr>
        <w:t> </w:t>
      </w:r>
      <w:r>
        <w:rPr>
          <w:color w:val="231F1F"/>
          <w:w w:val="115"/>
        </w:rPr>
        <w:t>(avoid</w:t>
      </w:r>
      <w:r>
        <w:rPr>
          <w:color w:val="231F1F"/>
          <w:spacing w:val="-14"/>
          <w:w w:val="115"/>
        </w:rPr>
        <w:t> </w:t>
      </w:r>
      <w:r>
        <w:rPr>
          <w:color w:val="231F1F"/>
          <w:w w:val="115"/>
        </w:rPr>
        <w:t>alpha-blockers</w:t>
      </w:r>
      <w:r>
        <w:rPr>
          <w:color w:val="231F1F"/>
          <w:spacing w:val="-15"/>
          <w:w w:val="115"/>
        </w:rPr>
        <w:t> </w:t>
      </w:r>
      <w:r>
        <w:rPr>
          <w:color w:val="231F1F"/>
          <w:w w:val="115"/>
        </w:rPr>
        <w:t>for</w:t>
      </w:r>
      <w:r>
        <w:rPr>
          <w:color w:val="231F1F"/>
          <w:spacing w:val="-15"/>
          <w:w w:val="115"/>
        </w:rPr>
        <w:t> </w:t>
      </w:r>
      <w:r>
        <w:rPr>
          <w:color w:val="231F1F"/>
          <w:w w:val="115"/>
        </w:rPr>
        <w:t>4 hours after sildenafil)</w:t>
      </w:r>
      <w:r>
        <w:rPr>
          <w:rFonts w:ascii="Arial" w:hAnsi="Arial"/>
          <w:color w:val="231F1F"/>
          <w:w w:val="115"/>
        </w:rPr>
        <w:t>—</w:t>
      </w:r>
      <w:r>
        <w:rPr>
          <w:color w:val="231F1F"/>
          <w:w w:val="115"/>
        </w:rPr>
        <w:t>when patient is stable on the alpha blocker</w:t>
      </w:r>
      <w:r>
        <w:rPr>
          <w:color w:val="231F1F"/>
          <w:spacing w:val="-5"/>
          <w:w w:val="115"/>
        </w:rPr>
        <w:t> </w:t>
      </w:r>
      <w:r>
        <w:rPr>
          <w:color w:val="231F1F"/>
          <w:w w:val="115"/>
        </w:rPr>
        <w:t>initiate</w:t>
      </w:r>
      <w:r>
        <w:rPr>
          <w:color w:val="231F1F"/>
          <w:spacing w:val="-4"/>
          <w:w w:val="115"/>
        </w:rPr>
        <w:t> </w:t>
      </w:r>
      <w:r>
        <w:rPr>
          <w:color w:val="231F1F"/>
          <w:w w:val="115"/>
        </w:rPr>
        <w:t>sildenafil</w:t>
      </w:r>
      <w:r>
        <w:rPr>
          <w:color w:val="231F1F"/>
          <w:spacing w:val="-4"/>
          <w:w w:val="115"/>
        </w:rPr>
        <w:t> </w:t>
      </w:r>
      <w:r>
        <w:rPr>
          <w:color w:val="231F1F"/>
          <w:w w:val="115"/>
        </w:rPr>
        <w:t>at</w:t>
      </w:r>
      <w:r>
        <w:rPr>
          <w:color w:val="231F1F"/>
          <w:spacing w:val="-5"/>
          <w:w w:val="115"/>
        </w:rPr>
        <w:t> </w:t>
      </w:r>
      <w:r>
        <w:rPr>
          <w:color w:val="231F1F"/>
          <w:w w:val="115"/>
        </w:rPr>
        <w:t>the</w:t>
      </w:r>
      <w:r>
        <w:rPr>
          <w:color w:val="231F1F"/>
          <w:spacing w:val="-3"/>
          <w:w w:val="115"/>
        </w:rPr>
        <w:t> </w:t>
      </w:r>
      <w:r>
        <w:rPr>
          <w:color w:val="231F1F"/>
          <w:w w:val="115"/>
        </w:rPr>
        <w:t>lowest</w:t>
      </w:r>
      <w:r>
        <w:rPr>
          <w:color w:val="231F1F"/>
          <w:spacing w:val="-5"/>
          <w:w w:val="115"/>
        </w:rPr>
        <w:t> </w:t>
      </w:r>
      <w:r>
        <w:rPr>
          <w:color w:val="231F1F"/>
          <w:w w:val="115"/>
        </w:rPr>
        <w:t>possible</w:t>
      </w:r>
      <w:r>
        <w:rPr>
          <w:color w:val="231F1F"/>
          <w:spacing w:val="-5"/>
          <w:w w:val="115"/>
        </w:rPr>
        <w:t> </w:t>
      </w:r>
      <w:r>
        <w:rPr>
          <w:color w:val="231F1F"/>
          <w:w w:val="115"/>
        </w:rPr>
        <w:t>dose</w:t>
      </w:r>
    </w:p>
    <w:p>
      <w:pPr>
        <w:pStyle w:val="BodyText"/>
        <w:spacing w:line="230" w:lineRule="auto"/>
        <w:ind w:left="285" w:right="1215" w:hanging="100"/>
        <w:jc w:val="both"/>
      </w:pPr>
      <w:r>
        <w:rPr>
          <w:rFonts w:ascii="Lucida Sans Unicode" w:hAnsi="Lucida Sans Unicode"/>
          <w:color w:val="A7A8AC"/>
          <w:w w:val="95"/>
          <w:sz w:val="10"/>
        </w:rPr>
        <w:t>▶</w:t>
      </w:r>
      <w:r>
        <w:rPr>
          <w:rFonts w:ascii="Lucida Sans Unicode" w:hAnsi="Lucida Sans Unicode"/>
          <w:color w:val="A7A8AC"/>
          <w:spacing w:val="8"/>
          <w:w w:val="95"/>
          <w:sz w:val="10"/>
        </w:rPr>
        <w:t> </w:t>
      </w:r>
      <w:r>
        <w:rPr>
          <w:rFonts w:ascii="Calibri" w:hAnsi="Calibri"/>
          <w:color w:val="231F1F"/>
          <w:w w:val="110"/>
        </w:rPr>
        <w:t>Anti-arrhythmics:</w:t>
      </w:r>
      <w:r>
        <w:rPr>
          <w:rFonts w:ascii="Calibri" w:hAnsi="Calibri"/>
          <w:color w:val="231F1F"/>
          <w:spacing w:val="-7"/>
          <w:w w:val="110"/>
        </w:rPr>
        <w:t> </w:t>
      </w:r>
      <w:r>
        <w:rPr>
          <w:color w:val="231F1F"/>
          <w:w w:val="110"/>
        </w:rPr>
        <w:t>avoidance</w:t>
      </w:r>
      <w:r>
        <w:rPr>
          <w:color w:val="231F1F"/>
          <w:spacing w:val="-11"/>
          <w:w w:val="110"/>
        </w:rPr>
        <w:t> </w:t>
      </w:r>
      <w:r>
        <w:rPr>
          <w:color w:val="231F1F"/>
          <w:w w:val="110"/>
        </w:rPr>
        <w:t>of</w:t>
      </w:r>
      <w:r>
        <w:rPr>
          <w:color w:val="231F1F"/>
          <w:spacing w:val="-10"/>
          <w:w w:val="110"/>
        </w:rPr>
        <w:t> </w:t>
      </w:r>
      <w:r>
        <w:rPr>
          <w:color w:val="231F1F"/>
          <w:w w:val="110"/>
        </w:rPr>
        <w:t>sildenafil</w:t>
      </w:r>
      <w:r>
        <w:rPr>
          <w:color w:val="231F1F"/>
          <w:spacing w:val="-11"/>
          <w:w w:val="110"/>
        </w:rPr>
        <w:t> </w:t>
      </w:r>
      <w:r>
        <w:rPr>
          <w:color w:val="231F1F"/>
          <w:w w:val="110"/>
        </w:rPr>
        <w:t>advised</w:t>
      </w:r>
      <w:r>
        <w:rPr>
          <w:color w:val="231F1F"/>
          <w:spacing w:val="-12"/>
          <w:w w:val="110"/>
        </w:rPr>
        <w:t> </w:t>
      </w:r>
      <w:r>
        <w:rPr>
          <w:color w:val="231F1F"/>
          <w:spacing w:val="-8"/>
          <w:w w:val="110"/>
        </w:rPr>
        <w:t>by </w:t>
      </w:r>
      <w:r>
        <w:rPr>
          <w:color w:val="231F1F"/>
          <w:w w:val="110"/>
        </w:rPr>
        <w:t>manufacturer of </w:t>
      </w:r>
      <w:r>
        <w:rPr>
          <w:rFonts w:ascii="Calibri" w:hAnsi="Calibri"/>
          <w:color w:val="008356"/>
          <w:spacing w:val="4"/>
          <w:w w:val="110"/>
          <w:sz w:val="11"/>
        </w:rPr>
        <w:t>DISOPYRAMIDE </w:t>
      </w:r>
      <w:r>
        <w:rPr>
          <w:color w:val="231F1F"/>
          <w:w w:val="110"/>
        </w:rPr>
        <w:t>(risk of ventricular arrhythmias)</w:t>
      </w:r>
    </w:p>
    <w:p>
      <w:pPr>
        <w:pStyle w:val="BodyText"/>
        <w:spacing w:line="247" w:lineRule="auto" w:before="4"/>
        <w:ind w:left="285" w:right="594"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Antibacterials:</w:t>
      </w:r>
      <w:r>
        <w:rPr>
          <w:rFonts w:ascii="Calibri" w:hAnsi="Calibri"/>
          <w:color w:val="231F1F"/>
          <w:spacing w:val="-12"/>
          <w:w w:val="115"/>
        </w:rPr>
        <w:t> </w:t>
      </w:r>
      <w:r>
        <w:rPr>
          <w:color w:val="231F1F"/>
          <w:w w:val="115"/>
        </w:rPr>
        <w:t>plasma</w:t>
      </w:r>
      <w:r>
        <w:rPr>
          <w:color w:val="231F1F"/>
          <w:spacing w:val="-15"/>
          <w:w w:val="115"/>
        </w:rPr>
        <w:t> </w:t>
      </w:r>
      <w:r>
        <w:rPr>
          <w:color w:val="231F1F"/>
          <w:w w:val="115"/>
        </w:rPr>
        <w:t>concentration</w:t>
      </w:r>
      <w:r>
        <w:rPr>
          <w:color w:val="231F1F"/>
          <w:spacing w:val="-14"/>
          <w:w w:val="115"/>
        </w:rPr>
        <w:t> </w:t>
      </w:r>
      <w:r>
        <w:rPr>
          <w:color w:val="231F1F"/>
          <w:w w:val="115"/>
        </w:rPr>
        <w:t>of</w:t>
      </w:r>
      <w:r>
        <w:rPr>
          <w:color w:val="231F1F"/>
          <w:spacing w:val="-15"/>
          <w:w w:val="115"/>
        </w:rPr>
        <w:t> </w:t>
      </w:r>
      <w:r>
        <w:rPr>
          <w:color w:val="231F1F"/>
          <w:w w:val="115"/>
        </w:rPr>
        <w:t>sildenafil</w:t>
      </w:r>
      <w:r>
        <w:rPr>
          <w:color w:val="231F1F"/>
          <w:spacing w:val="-15"/>
          <w:w w:val="115"/>
        </w:rPr>
        <w:t> </w:t>
      </w:r>
      <w:r>
        <w:rPr>
          <w:color w:val="231F1F"/>
          <w:w w:val="115"/>
        </w:rPr>
        <w:t>increased</w:t>
      </w:r>
      <w:r>
        <w:rPr>
          <w:color w:val="231F1F"/>
          <w:spacing w:val="-15"/>
          <w:w w:val="115"/>
        </w:rPr>
        <w:t> </w:t>
      </w:r>
      <w:r>
        <w:rPr>
          <w:color w:val="231F1F"/>
          <w:w w:val="115"/>
        </w:rPr>
        <w:t>by </w:t>
      </w:r>
      <w:r>
        <w:rPr>
          <w:rFonts w:ascii="Arial" w:hAnsi="Arial"/>
          <w:color w:val="231F1F"/>
          <w:w w:val="110"/>
          <w:position w:val="1"/>
          <w:sz w:val="7"/>
        </w:rPr>
        <w:t>l </w:t>
      </w:r>
      <w:r>
        <w:rPr>
          <w:rFonts w:ascii="Calibri" w:hAnsi="Calibri"/>
          <w:color w:val="008356"/>
          <w:spacing w:val="3"/>
          <w:w w:val="110"/>
          <w:sz w:val="11"/>
        </w:rPr>
        <w:t>CLARITHROMYCIN</w:t>
      </w:r>
      <w:r>
        <w:rPr>
          <w:rFonts w:ascii="Arial" w:hAnsi="Arial"/>
          <w:color w:val="231F1F"/>
          <w:spacing w:val="3"/>
          <w:w w:val="110"/>
        </w:rPr>
        <w:t>—</w:t>
      </w:r>
      <w:r>
        <w:rPr>
          <w:color w:val="231F1F"/>
          <w:spacing w:val="3"/>
          <w:w w:val="110"/>
        </w:rPr>
        <w:t>consider </w:t>
      </w:r>
      <w:r>
        <w:rPr>
          <w:color w:val="231F1F"/>
          <w:w w:val="110"/>
        </w:rPr>
        <w:t>reducing initial dose of</w:t>
      </w:r>
      <w:r>
        <w:rPr>
          <w:color w:val="231F1F"/>
          <w:spacing w:val="-22"/>
          <w:w w:val="110"/>
        </w:rPr>
        <w:t> </w:t>
      </w:r>
      <w:r>
        <w:rPr>
          <w:color w:val="231F1F"/>
          <w:w w:val="110"/>
        </w:rPr>
        <w:t>sildenafil </w:t>
      </w:r>
      <w:r>
        <w:rPr>
          <w:color w:val="231F1F"/>
          <w:w w:val="115"/>
        </w:rPr>
        <w:t>for</w:t>
      </w:r>
      <w:r>
        <w:rPr>
          <w:color w:val="231F1F"/>
          <w:spacing w:val="-7"/>
          <w:w w:val="115"/>
        </w:rPr>
        <w:t> </w:t>
      </w:r>
      <w:r>
        <w:rPr>
          <w:color w:val="231F1F"/>
          <w:w w:val="115"/>
        </w:rPr>
        <w:t>erectile</w:t>
      </w:r>
      <w:r>
        <w:rPr>
          <w:color w:val="231F1F"/>
          <w:spacing w:val="-8"/>
          <w:w w:val="115"/>
        </w:rPr>
        <w:t> </w:t>
      </w:r>
      <w:r>
        <w:rPr>
          <w:color w:val="231F1F"/>
          <w:w w:val="115"/>
        </w:rPr>
        <w:t>dysfunction</w:t>
      </w:r>
      <w:r>
        <w:rPr>
          <w:color w:val="231F1F"/>
          <w:spacing w:val="-8"/>
          <w:w w:val="115"/>
        </w:rPr>
        <w:t> </w:t>
      </w:r>
      <w:r>
        <w:rPr>
          <w:color w:val="231F1F"/>
          <w:w w:val="115"/>
        </w:rPr>
        <w:t>or</w:t>
      </w:r>
      <w:r>
        <w:rPr>
          <w:color w:val="231F1F"/>
          <w:spacing w:val="-7"/>
          <w:w w:val="115"/>
        </w:rPr>
        <w:t> </w:t>
      </w:r>
      <w:r>
        <w:rPr>
          <w:color w:val="231F1F"/>
          <w:w w:val="115"/>
        </w:rPr>
        <w:t>reduce</w:t>
      </w:r>
      <w:r>
        <w:rPr>
          <w:color w:val="231F1F"/>
          <w:spacing w:val="-7"/>
          <w:w w:val="115"/>
        </w:rPr>
        <w:t> </w:t>
      </w:r>
      <w:r>
        <w:rPr>
          <w:color w:val="231F1F"/>
          <w:w w:val="115"/>
        </w:rPr>
        <w:t>sildenafil</w:t>
      </w:r>
      <w:r>
        <w:rPr>
          <w:color w:val="231F1F"/>
          <w:spacing w:val="-8"/>
          <w:w w:val="115"/>
        </w:rPr>
        <w:t> </w:t>
      </w:r>
      <w:r>
        <w:rPr>
          <w:color w:val="231F1F"/>
          <w:w w:val="115"/>
        </w:rPr>
        <w:t>dose</w:t>
      </w:r>
      <w:r>
        <w:rPr>
          <w:color w:val="231F1F"/>
          <w:spacing w:val="-7"/>
          <w:w w:val="115"/>
        </w:rPr>
        <w:t> </w:t>
      </w:r>
      <w:r>
        <w:rPr>
          <w:color w:val="231F1F"/>
          <w:w w:val="115"/>
        </w:rPr>
        <w:t>frequency</w:t>
      </w:r>
      <w:r>
        <w:rPr>
          <w:color w:val="231F1F"/>
          <w:spacing w:val="-8"/>
          <w:w w:val="115"/>
        </w:rPr>
        <w:t> </w:t>
      </w:r>
      <w:r>
        <w:rPr>
          <w:color w:val="231F1F"/>
          <w:w w:val="115"/>
        </w:rPr>
        <w:t>to once daily for pulmonary hypertension; plasma concentration of sildenafil increased by </w:t>
      </w:r>
      <w:r>
        <w:rPr>
          <w:rFonts w:ascii="Calibri" w:hAnsi="Calibri"/>
          <w:color w:val="008356"/>
          <w:spacing w:val="4"/>
          <w:w w:val="115"/>
          <w:sz w:val="11"/>
        </w:rPr>
        <w:t>ERYTHROMYCIN</w:t>
      </w:r>
      <w:r>
        <w:rPr>
          <w:rFonts w:ascii="Arial" w:hAnsi="Arial"/>
          <w:color w:val="231F1F"/>
          <w:spacing w:val="4"/>
          <w:w w:val="115"/>
        </w:rPr>
        <w:t>— </w:t>
      </w:r>
      <w:r>
        <w:rPr>
          <w:color w:val="231F1F"/>
          <w:w w:val="115"/>
        </w:rPr>
        <w:t>reduce initial dose of sildenafil for erectile dysfunction or reduce</w:t>
      </w:r>
      <w:r>
        <w:rPr>
          <w:color w:val="231F1F"/>
          <w:spacing w:val="-10"/>
          <w:w w:val="115"/>
        </w:rPr>
        <w:t> </w:t>
      </w:r>
      <w:r>
        <w:rPr>
          <w:color w:val="231F1F"/>
          <w:w w:val="115"/>
        </w:rPr>
        <w:t>sildenafil</w:t>
      </w:r>
      <w:r>
        <w:rPr>
          <w:color w:val="231F1F"/>
          <w:spacing w:val="-9"/>
          <w:w w:val="115"/>
        </w:rPr>
        <w:t> </w:t>
      </w:r>
      <w:r>
        <w:rPr>
          <w:color w:val="231F1F"/>
          <w:w w:val="115"/>
        </w:rPr>
        <w:t>dose</w:t>
      </w:r>
      <w:r>
        <w:rPr>
          <w:color w:val="231F1F"/>
          <w:spacing w:val="-10"/>
          <w:w w:val="115"/>
        </w:rPr>
        <w:t> </w:t>
      </w:r>
      <w:r>
        <w:rPr>
          <w:color w:val="231F1F"/>
          <w:w w:val="115"/>
        </w:rPr>
        <w:t>frequency</w:t>
      </w:r>
      <w:r>
        <w:rPr>
          <w:color w:val="231F1F"/>
          <w:spacing w:val="-9"/>
          <w:w w:val="115"/>
        </w:rPr>
        <w:t> </w:t>
      </w:r>
      <w:r>
        <w:rPr>
          <w:color w:val="231F1F"/>
          <w:w w:val="115"/>
        </w:rPr>
        <w:t>to</w:t>
      </w:r>
      <w:r>
        <w:rPr>
          <w:color w:val="231F1F"/>
          <w:spacing w:val="-10"/>
          <w:w w:val="115"/>
        </w:rPr>
        <w:t> </w:t>
      </w:r>
      <w:r>
        <w:rPr>
          <w:color w:val="231F1F"/>
          <w:w w:val="115"/>
        </w:rPr>
        <w:t>twice</w:t>
      </w:r>
      <w:r>
        <w:rPr>
          <w:color w:val="231F1F"/>
          <w:spacing w:val="-10"/>
          <w:w w:val="115"/>
        </w:rPr>
        <w:t> </w:t>
      </w:r>
      <w:r>
        <w:rPr>
          <w:color w:val="231F1F"/>
          <w:w w:val="115"/>
        </w:rPr>
        <w:t>daily</w:t>
      </w:r>
      <w:r>
        <w:rPr>
          <w:color w:val="231F1F"/>
          <w:spacing w:val="-9"/>
          <w:w w:val="115"/>
        </w:rPr>
        <w:t> </w:t>
      </w:r>
      <w:r>
        <w:rPr>
          <w:color w:val="231F1F"/>
          <w:w w:val="115"/>
        </w:rPr>
        <w:t>for</w:t>
      </w:r>
      <w:r>
        <w:rPr>
          <w:color w:val="231F1F"/>
          <w:spacing w:val="-9"/>
          <w:w w:val="115"/>
        </w:rPr>
        <w:t> </w:t>
      </w:r>
      <w:r>
        <w:rPr>
          <w:color w:val="231F1F"/>
          <w:w w:val="115"/>
        </w:rPr>
        <w:t>pulmonary hypertension; plasma concentration of sildenafil possibly increased</w:t>
      </w:r>
      <w:r>
        <w:rPr>
          <w:color w:val="231F1F"/>
          <w:spacing w:val="-24"/>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5"/>
          <w:sz w:val="11"/>
        </w:rPr>
        <w:t>TELITHROMYCIN</w:t>
      </w:r>
      <w:r>
        <w:rPr>
          <w:rFonts w:ascii="Arial" w:hAnsi="Arial"/>
          <w:color w:val="231F1F"/>
          <w:spacing w:val="2"/>
          <w:w w:val="115"/>
        </w:rPr>
        <w:t>—</w:t>
      </w:r>
      <w:r>
        <w:rPr>
          <w:color w:val="231F1F"/>
          <w:spacing w:val="2"/>
          <w:w w:val="115"/>
        </w:rPr>
        <w:t>consider</w:t>
      </w:r>
      <w:r>
        <w:rPr>
          <w:color w:val="231F1F"/>
          <w:spacing w:val="-24"/>
          <w:w w:val="115"/>
        </w:rPr>
        <w:t> </w:t>
      </w:r>
      <w:r>
        <w:rPr>
          <w:color w:val="231F1F"/>
          <w:w w:val="115"/>
        </w:rPr>
        <w:t>reducing</w:t>
      </w:r>
      <w:r>
        <w:rPr>
          <w:color w:val="231F1F"/>
          <w:spacing w:val="-24"/>
          <w:w w:val="115"/>
        </w:rPr>
        <w:t> </w:t>
      </w:r>
      <w:r>
        <w:rPr>
          <w:color w:val="231F1F"/>
          <w:w w:val="115"/>
        </w:rPr>
        <w:t>initial</w:t>
      </w:r>
      <w:r>
        <w:rPr>
          <w:color w:val="231F1F"/>
          <w:spacing w:val="-24"/>
          <w:w w:val="115"/>
        </w:rPr>
        <w:t> </w:t>
      </w:r>
      <w:r>
        <w:rPr>
          <w:color w:val="231F1F"/>
          <w:w w:val="115"/>
        </w:rPr>
        <w:t>dose of</w:t>
      </w:r>
      <w:r>
        <w:rPr>
          <w:color w:val="231F1F"/>
          <w:spacing w:val="-8"/>
          <w:w w:val="115"/>
        </w:rPr>
        <w:t> </w:t>
      </w:r>
      <w:r>
        <w:rPr>
          <w:color w:val="231F1F"/>
          <w:w w:val="115"/>
        </w:rPr>
        <w:t>sildenafil</w:t>
      </w:r>
      <w:r>
        <w:rPr>
          <w:color w:val="231F1F"/>
          <w:spacing w:val="-8"/>
          <w:w w:val="115"/>
        </w:rPr>
        <w:t> </w:t>
      </w:r>
      <w:r>
        <w:rPr>
          <w:color w:val="231F1F"/>
          <w:w w:val="115"/>
        </w:rPr>
        <w:t>for</w:t>
      </w:r>
      <w:r>
        <w:rPr>
          <w:color w:val="231F1F"/>
          <w:spacing w:val="-7"/>
          <w:w w:val="115"/>
        </w:rPr>
        <w:t> </w:t>
      </w:r>
      <w:r>
        <w:rPr>
          <w:color w:val="231F1F"/>
          <w:w w:val="115"/>
        </w:rPr>
        <w:t>erectile</w:t>
      </w:r>
      <w:r>
        <w:rPr>
          <w:color w:val="231F1F"/>
          <w:spacing w:val="-8"/>
          <w:w w:val="115"/>
        </w:rPr>
        <w:t> </w:t>
      </w:r>
      <w:r>
        <w:rPr>
          <w:color w:val="231F1F"/>
          <w:w w:val="115"/>
        </w:rPr>
        <w:t>dysfunction</w:t>
      </w:r>
      <w:r>
        <w:rPr>
          <w:color w:val="231F1F"/>
          <w:spacing w:val="-9"/>
          <w:w w:val="115"/>
        </w:rPr>
        <w:t> </w:t>
      </w:r>
      <w:r>
        <w:rPr>
          <w:color w:val="231F1F"/>
          <w:w w:val="115"/>
        </w:rPr>
        <w:t>or</w:t>
      </w:r>
      <w:r>
        <w:rPr>
          <w:color w:val="231F1F"/>
          <w:spacing w:val="-8"/>
          <w:w w:val="115"/>
        </w:rPr>
        <w:t> </w:t>
      </w:r>
      <w:r>
        <w:rPr>
          <w:color w:val="231F1F"/>
          <w:w w:val="115"/>
        </w:rPr>
        <w:t>reduce</w:t>
      </w:r>
      <w:r>
        <w:rPr>
          <w:color w:val="231F1F"/>
          <w:spacing w:val="-8"/>
          <w:w w:val="115"/>
        </w:rPr>
        <w:t> </w:t>
      </w:r>
      <w:r>
        <w:rPr>
          <w:color w:val="231F1F"/>
          <w:w w:val="115"/>
        </w:rPr>
        <w:t>sildenafil</w:t>
      </w:r>
      <w:r>
        <w:rPr>
          <w:color w:val="231F1F"/>
          <w:spacing w:val="-8"/>
          <w:w w:val="115"/>
        </w:rPr>
        <w:t> </w:t>
      </w:r>
      <w:r>
        <w:rPr>
          <w:color w:val="231F1F"/>
          <w:w w:val="115"/>
        </w:rPr>
        <w:t>dose frequency</w:t>
      </w:r>
      <w:r>
        <w:rPr>
          <w:color w:val="231F1F"/>
          <w:spacing w:val="-5"/>
          <w:w w:val="115"/>
        </w:rPr>
        <w:t> </w:t>
      </w:r>
      <w:r>
        <w:rPr>
          <w:color w:val="231F1F"/>
          <w:w w:val="115"/>
        </w:rPr>
        <w:t>to</w:t>
      </w:r>
      <w:r>
        <w:rPr>
          <w:color w:val="231F1F"/>
          <w:spacing w:val="-5"/>
          <w:w w:val="115"/>
        </w:rPr>
        <w:t> </w:t>
      </w:r>
      <w:r>
        <w:rPr>
          <w:color w:val="231F1F"/>
          <w:w w:val="115"/>
        </w:rPr>
        <w:t>once</w:t>
      </w:r>
      <w:r>
        <w:rPr>
          <w:color w:val="231F1F"/>
          <w:spacing w:val="-4"/>
          <w:w w:val="115"/>
        </w:rPr>
        <w:t> </w:t>
      </w:r>
      <w:r>
        <w:rPr>
          <w:color w:val="231F1F"/>
          <w:w w:val="115"/>
        </w:rPr>
        <w:t>daily</w:t>
      </w:r>
      <w:r>
        <w:rPr>
          <w:color w:val="231F1F"/>
          <w:spacing w:val="-5"/>
          <w:w w:val="115"/>
        </w:rPr>
        <w:t> </w:t>
      </w:r>
      <w:r>
        <w:rPr>
          <w:color w:val="231F1F"/>
          <w:w w:val="115"/>
        </w:rPr>
        <w:t>for</w:t>
      </w:r>
      <w:r>
        <w:rPr>
          <w:color w:val="231F1F"/>
          <w:spacing w:val="-4"/>
          <w:w w:val="115"/>
        </w:rPr>
        <w:t> </w:t>
      </w:r>
      <w:r>
        <w:rPr>
          <w:color w:val="231F1F"/>
          <w:w w:val="115"/>
        </w:rPr>
        <w:t>pulmonary</w:t>
      </w:r>
      <w:r>
        <w:rPr>
          <w:color w:val="231F1F"/>
          <w:spacing w:val="-5"/>
          <w:w w:val="115"/>
        </w:rPr>
        <w:t> </w:t>
      </w:r>
      <w:r>
        <w:rPr>
          <w:color w:val="231F1F"/>
          <w:w w:val="115"/>
        </w:rPr>
        <w:t>hypertension</w:t>
      </w:r>
    </w:p>
    <w:p>
      <w:pPr>
        <w:pStyle w:val="BodyText"/>
        <w:spacing w:line="138" w:lineRule="exact"/>
        <w:ind w:left="185"/>
      </w:pPr>
      <w:r>
        <w:rPr>
          <w:rFonts w:ascii="Arial"/>
          <w:color w:val="231F1F"/>
          <w:w w:val="355"/>
          <w:position w:val="1"/>
          <w:sz w:val="7"/>
        </w:rPr>
        <w:t>l </w:t>
      </w:r>
      <w:r>
        <w:rPr>
          <w:rFonts w:ascii="Calibri"/>
          <w:color w:val="231F1F"/>
          <w:w w:val="115"/>
        </w:rPr>
        <w:t>Antifungals: </w:t>
      </w:r>
      <w:r>
        <w:rPr>
          <w:color w:val="231F1F"/>
          <w:w w:val="115"/>
        </w:rPr>
        <w:t>plasma concentration of sildenafil increased by</w:t>
      </w:r>
    </w:p>
    <w:p>
      <w:pPr>
        <w:pStyle w:val="BodyText"/>
        <w:spacing w:line="247" w:lineRule="auto"/>
        <w:ind w:left="285" w:right="654" w:hanging="1"/>
      </w:pPr>
      <w:r>
        <w:rPr>
          <w:rFonts w:ascii="Arial" w:hAnsi="Arial"/>
          <w:color w:val="231F1F"/>
          <w:w w:val="210"/>
          <w:position w:val="1"/>
          <w:sz w:val="7"/>
        </w:rPr>
        <w:t>l</w:t>
      </w:r>
      <w:r>
        <w:rPr>
          <w:rFonts w:ascii="Arial" w:hAnsi="Arial"/>
          <w:color w:val="231F1F"/>
          <w:spacing w:val="-32"/>
          <w:w w:val="210"/>
          <w:position w:val="1"/>
          <w:sz w:val="7"/>
        </w:rPr>
        <w:t> </w:t>
      </w:r>
      <w:r>
        <w:rPr>
          <w:rFonts w:ascii="Calibri" w:hAnsi="Calibri"/>
          <w:color w:val="008356"/>
          <w:spacing w:val="3"/>
          <w:w w:val="115"/>
          <w:sz w:val="11"/>
        </w:rPr>
        <w:t>KETOCONAZOLE</w:t>
      </w:r>
      <w:r>
        <w:rPr>
          <w:rFonts w:ascii="Arial" w:hAnsi="Arial"/>
          <w:color w:val="231F1F"/>
          <w:spacing w:val="3"/>
          <w:w w:val="115"/>
        </w:rPr>
        <w:t>—</w:t>
      </w:r>
      <w:r>
        <w:rPr>
          <w:color w:val="231F1F"/>
          <w:spacing w:val="3"/>
          <w:w w:val="115"/>
        </w:rPr>
        <w:t>reduce</w:t>
      </w:r>
      <w:r>
        <w:rPr>
          <w:color w:val="231F1F"/>
          <w:spacing w:val="-24"/>
          <w:w w:val="115"/>
        </w:rPr>
        <w:t> </w:t>
      </w:r>
      <w:r>
        <w:rPr>
          <w:color w:val="231F1F"/>
          <w:w w:val="115"/>
        </w:rPr>
        <w:t>initial</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sildenafil</w:t>
      </w:r>
      <w:r>
        <w:rPr>
          <w:color w:val="231F1F"/>
          <w:spacing w:val="-24"/>
          <w:w w:val="115"/>
        </w:rPr>
        <w:t> </w:t>
      </w:r>
      <w:r>
        <w:rPr>
          <w:color w:val="231F1F"/>
          <w:w w:val="115"/>
        </w:rPr>
        <w:t>for</w:t>
      </w:r>
      <w:r>
        <w:rPr>
          <w:color w:val="231F1F"/>
          <w:spacing w:val="-24"/>
          <w:w w:val="115"/>
        </w:rPr>
        <w:t> </w:t>
      </w:r>
      <w:r>
        <w:rPr>
          <w:color w:val="231F1F"/>
          <w:w w:val="115"/>
        </w:rPr>
        <w:t>erectile dysfunction and avoid concomitant use of sildenafil for pulmonary</w:t>
      </w:r>
      <w:r>
        <w:rPr>
          <w:color w:val="231F1F"/>
          <w:spacing w:val="-8"/>
          <w:w w:val="115"/>
        </w:rPr>
        <w:t> </w:t>
      </w:r>
      <w:r>
        <w:rPr>
          <w:color w:val="231F1F"/>
          <w:w w:val="115"/>
        </w:rPr>
        <w:t>hypertension;</w:t>
      </w:r>
      <w:r>
        <w:rPr>
          <w:color w:val="231F1F"/>
          <w:spacing w:val="-6"/>
          <w:w w:val="115"/>
        </w:rPr>
        <w:t> </w:t>
      </w:r>
      <w:r>
        <w:rPr>
          <w:color w:val="231F1F"/>
          <w:w w:val="115"/>
        </w:rPr>
        <w:t>plasma</w:t>
      </w:r>
      <w:r>
        <w:rPr>
          <w:color w:val="231F1F"/>
          <w:spacing w:val="-6"/>
          <w:w w:val="115"/>
        </w:rPr>
        <w:t> </w:t>
      </w:r>
      <w:r>
        <w:rPr>
          <w:color w:val="231F1F"/>
          <w:w w:val="115"/>
        </w:rPr>
        <w:t>concentration</w:t>
      </w:r>
      <w:r>
        <w:rPr>
          <w:color w:val="231F1F"/>
          <w:spacing w:val="-9"/>
          <w:w w:val="115"/>
        </w:rPr>
        <w:t> </w:t>
      </w:r>
      <w:r>
        <w:rPr>
          <w:color w:val="231F1F"/>
          <w:w w:val="115"/>
        </w:rPr>
        <w:t>of</w:t>
      </w:r>
      <w:r>
        <w:rPr>
          <w:color w:val="231F1F"/>
          <w:spacing w:val="-5"/>
          <w:w w:val="115"/>
        </w:rPr>
        <w:t> </w:t>
      </w:r>
      <w:r>
        <w:rPr>
          <w:color w:val="231F1F"/>
          <w:w w:val="115"/>
        </w:rPr>
        <w:t>sildenafil </w:t>
      </w:r>
      <w:r>
        <w:rPr>
          <w:color w:val="231F1F"/>
          <w:w w:val="110"/>
        </w:rPr>
        <w:t>increased</w:t>
      </w:r>
      <w:r>
        <w:rPr>
          <w:color w:val="231F1F"/>
          <w:spacing w:val="-8"/>
          <w:w w:val="110"/>
        </w:rPr>
        <w:t> </w:t>
      </w:r>
      <w:r>
        <w:rPr>
          <w:color w:val="231F1F"/>
          <w:w w:val="110"/>
        </w:rPr>
        <w:t>by</w:t>
      </w:r>
      <w:r>
        <w:rPr>
          <w:color w:val="231F1F"/>
          <w:spacing w:val="-7"/>
          <w:w w:val="110"/>
        </w:rPr>
        <w:t> </w:t>
      </w:r>
      <w:r>
        <w:rPr>
          <w:rFonts w:ascii="Calibri" w:hAnsi="Calibri"/>
          <w:color w:val="008356"/>
          <w:spacing w:val="3"/>
          <w:w w:val="110"/>
          <w:sz w:val="11"/>
        </w:rPr>
        <w:t>ITRACONAZOLE</w:t>
      </w:r>
      <w:r>
        <w:rPr>
          <w:rFonts w:ascii="Arial" w:hAnsi="Arial"/>
          <w:color w:val="231F1F"/>
          <w:spacing w:val="3"/>
          <w:w w:val="110"/>
        </w:rPr>
        <w:t>—</w:t>
      </w:r>
      <w:r>
        <w:rPr>
          <w:color w:val="231F1F"/>
          <w:spacing w:val="3"/>
          <w:w w:val="110"/>
        </w:rPr>
        <w:t>reduce</w:t>
      </w:r>
      <w:r>
        <w:rPr>
          <w:color w:val="231F1F"/>
          <w:spacing w:val="-8"/>
          <w:w w:val="110"/>
        </w:rPr>
        <w:t> </w:t>
      </w:r>
      <w:r>
        <w:rPr>
          <w:color w:val="231F1F"/>
          <w:w w:val="110"/>
        </w:rPr>
        <w:t>initial</w:t>
      </w:r>
      <w:r>
        <w:rPr>
          <w:color w:val="231F1F"/>
          <w:spacing w:val="-6"/>
          <w:w w:val="110"/>
        </w:rPr>
        <w:t> </w:t>
      </w:r>
      <w:r>
        <w:rPr>
          <w:color w:val="231F1F"/>
          <w:w w:val="110"/>
        </w:rPr>
        <w:t>dose</w:t>
      </w:r>
      <w:r>
        <w:rPr>
          <w:color w:val="231F1F"/>
          <w:spacing w:val="-7"/>
          <w:w w:val="110"/>
        </w:rPr>
        <w:t> </w:t>
      </w:r>
      <w:r>
        <w:rPr>
          <w:color w:val="231F1F"/>
          <w:w w:val="110"/>
        </w:rPr>
        <w:t>of</w:t>
      </w:r>
      <w:r>
        <w:rPr>
          <w:color w:val="231F1F"/>
          <w:spacing w:val="-7"/>
          <w:w w:val="110"/>
        </w:rPr>
        <w:t> </w:t>
      </w:r>
      <w:r>
        <w:rPr>
          <w:color w:val="231F1F"/>
          <w:w w:val="110"/>
        </w:rPr>
        <w:t>sildenafil</w:t>
      </w:r>
    </w:p>
    <w:p>
      <w:pPr>
        <w:pStyle w:val="BodyText"/>
        <w:spacing w:line="139" w:lineRule="exact"/>
        <w:ind w:left="185"/>
      </w:pPr>
      <w:r>
        <w:rPr>
          <w:rFonts w:ascii="Arial"/>
          <w:color w:val="231F1F"/>
          <w:w w:val="355"/>
          <w:position w:val="1"/>
          <w:sz w:val="7"/>
        </w:rPr>
        <w:t>l </w:t>
      </w:r>
      <w:r>
        <w:rPr>
          <w:rFonts w:ascii="Calibri"/>
          <w:color w:val="231F1F"/>
          <w:w w:val="115"/>
        </w:rPr>
        <w:t>Antivirals: </w:t>
      </w:r>
      <w:r>
        <w:rPr>
          <w:color w:val="231F1F"/>
          <w:w w:val="115"/>
        </w:rPr>
        <w:t>side-effects of sildenafil possibly increased by</w:t>
      </w:r>
    </w:p>
    <w:p>
      <w:pPr>
        <w:pStyle w:val="BodyText"/>
        <w:spacing w:line="244" w:lineRule="auto"/>
        <w:ind w:left="285" w:right="671"/>
      </w:pPr>
      <w:r>
        <w:rPr>
          <w:rFonts w:ascii="Arial" w:hAnsi="Arial"/>
          <w:color w:val="231F1F"/>
          <w:w w:val="355"/>
          <w:position w:val="1"/>
          <w:sz w:val="7"/>
        </w:rPr>
        <w:t>l </w:t>
      </w:r>
      <w:r>
        <w:rPr>
          <w:rFonts w:ascii="Calibri" w:hAnsi="Calibri"/>
          <w:color w:val="008356"/>
          <w:w w:val="110"/>
          <w:sz w:val="11"/>
        </w:rPr>
        <w:t>ATAZANAVIR</w:t>
      </w:r>
      <w:r>
        <w:rPr>
          <w:color w:val="231F1F"/>
          <w:w w:val="110"/>
        </w:rPr>
        <w:t>; plasma concentration of sildenafil reduced by </w:t>
      </w:r>
      <w:r>
        <w:rPr>
          <w:rFonts w:ascii="Calibri" w:hAnsi="Calibri"/>
          <w:color w:val="008356"/>
          <w:w w:val="110"/>
          <w:sz w:val="11"/>
        </w:rPr>
        <w:t>ETRAVIRINE</w:t>
      </w:r>
      <w:r>
        <w:rPr>
          <w:color w:val="231F1F"/>
          <w:w w:val="110"/>
        </w:rPr>
        <w:t>; plasma concentration of sildenafil possibly increased by </w:t>
      </w:r>
      <w:r>
        <w:rPr>
          <w:rFonts w:ascii="Calibri" w:hAnsi="Calibri"/>
          <w:color w:val="008356"/>
          <w:w w:val="110"/>
          <w:sz w:val="11"/>
        </w:rPr>
        <w:t>FOSAMPRENAVIR</w:t>
      </w:r>
      <w:r>
        <w:rPr>
          <w:color w:val="231F1F"/>
          <w:w w:val="110"/>
        </w:rPr>
        <w:t>; plasma concentration of sildenafil increased by </w:t>
      </w:r>
      <w:r>
        <w:rPr>
          <w:rFonts w:ascii="Arial" w:hAnsi="Arial"/>
          <w:color w:val="231F1F"/>
          <w:w w:val="355"/>
          <w:position w:val="1"/>
          <w:sz w:val="7"/>
        </w:rPr>
        <w:t>l </w:t>
      </w:r>
      <w:r>
        <w:rPr>
          <w:rFonts w:ascii="Calibri" w:hAnsi="Calibri"/>
          <w:color w:val="008356"/>
          <w:w w:val="110"/>
          <w:sz w:val="11"/>
        </w:rPr>
        <w:t>INDINAVIR</w:t>
      </w:r>
      <w:r>
        <w:rPr>
          <w:rFonts w:ascii="Arial" w:hAnsi="Arial"/>
          <w:color w:val="231F1F"/>
          <w:w w:val="110"/>
        </w:rPr>
        <w:t>—</w:t>
      </w:r>
      <w:r>
        <w:rPr>
          <w:color w:val="231F1F"/>
          <w:w w:val="110"/>
        </w:rPr>
        <w:t>reduce initial dose of sildenafil; plasma concentration of sildenafil significantly increased by </w:t>
      </w:r>
      <w:r>
        <w:rPr>
          <w:rFonts w:ascii="Arial" w:hAnsi="Arial"/>
          <w:color w:val="231F1F"/>
          <w:w w:val="355"/>
          <w:position w:val="1"/>
          <w:sz w:val="7"/>
        </w:rPr>
        <w:t>l </w:t>
      </w:r>
      <w:r>
        <w:rPr>
          <w:rFonts w:ascii="Calibri" w:hAnsi="Calibri"/>
          <w:color w:val="008356"/>
          <w:w w:val="110"/>
          <w:sz w:val="11"/>
        </w:rPr>
        <w:t>RITONAVIR</w:t>
      </w:r>
      <w:r>
        <w:rPr>
          <w:rFonts w:ascii="Arial" w:hAnsi="Arial"/>
          <w:color w:val="231F1F"/>
          <w:w w:val="110"/>
        </w:rPr>
        <w:t>—</w:t>
      </w:r>
      <w:r>
        <w:rPr>
          <w:color w:val="231F1F"/>
          <w:w w:val="110"/>
        </w:rPr>
        <w:t>avoid concomitant use; increased risk of ventricular arrhythmias when sildenafil given with</w:t>
      </w:r>
    </w:p>
    <w:p>
      <w:pPr>
        <w:pStyle w:val="BodyText"/>
        <w:spacing w:line="244" w:lineRule="auto"/>
        <w:ind w:left="285" w:right="545"/>
        <w:rPr>
          <w:rFonts w:ascii="Calibri" w:hAnsi="Calibri"/>
          <w:sz w:val="11"/>
        </w:rPr>
      </w:pP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 avoidance of sildenafil advised by manufacturer of </w:t>
      </w:r>
      <w:r>
        <w:rPr>
          <w:rFonts w:ascii="Arial" w:hAnsi="Arial"/>
          <w:color w:val="231F1F"/>
          <w:w w:val="355"/>
          <w:position w:val="1"/>
          <w:sz w:val="7"/>
        </w:rPr>
        <w:t>l </w:t>
      </w:r>
      <w:r>
        <w:rPr>
          <w:rFonts w:ascii="Calibri" w:hAnsi="Calibri"/>
          <w:color w:val="008356"/>
          <w:w w:val="110"/>
          <w:sz w:val="11"/>
        </w:rPr>
        <w:t>TELAPREVIR</w:t>
      </w:r>
      <w:r>
        <w:rPr>
          <w:color w:val="231F1F"/>
          <w:w w:val="110"/>
        </w:rPr>
        <w:t>; avoidance of sildenafil for pulmonary arterial hypertension advised by manufacturer of </w:t>
      </w:r>
      <w:r>
        <w:rPr>
          <w:rFonts w:ascii="Calibri" w:hAnsi="Calibri"/>
          <w:color w:val="008356"/>
          <w:w w:val="110"/>
          <w:sz w:val="11"/>
        </w:rPr>
        <w:t>TIPRANAVIR</w:t>
      </w:r>
    </w:p>
    <w:p>
      <w:pPr>
        <w:pStyle w:val="BodyText"/>
        <w:spacing w:line="148" w:lineRule="exact"/>
        <w:ind w:left="185"/>
      </w:pPr>
      <w:r>
        <w:rPr>
          <w:rFonts w:ascii="Lucida Sans Unicode" w:hAnsi="Lucida Sans Unicode"/>
          <w:color w:val="A7A8AC"/>
          <w:w w:val="95"/>
          <w:sz w:val="10"/>
        </w:rPr>
        <w:t>▶ </w:t>
      </w:r>
      <w:r>
        <w:rPr>
          <w:rFonts w:ascii="Calibri" w:hAnsi="Calibri"/>
          <w:color w:val="231F1F"/>
          <w:w w:val="105"/>
        </w:rPr>
        <w:t>Bosentan: </w:t>
      </w:r>
      <w:r>
        <w:rPr>
          <w:color w:val="231F1F"/>
          <w:w w:val="105"/>
        </w:rPr>
        <w:t>plasma concentration of sildenafil reduced by</w:t>
      </w:r>
    </w:p>
    <w:p>
      <w:pPr>
        <w:pStyle w:val="BodyText"/>
        <w:spacing w:line="134" w:lineRule="exact"/>
        <w:ind w:left="285"/>
      </w:pPr>
      <w:r>
        <w:rPr>
          <w:rFonts w:ascii="Calibri"/>
          <w:color w:val="008356"/>
          <w:w w:val="110"/>
          <w:sz w:val="11"/>
        </w:rPr>
        <w:t>BOSENTAN</w:t>
      </w:r>
      <w:r>
        <w:rPr>
          <w:color w:val="231F1F"/>
          <w:w w:val="110"/>
        </w:rPr>
        <w:t>, also plasma concentration of bosentan increased</w:t>
      </w:r>
    </w:p>
    <w:p>
      <w:pPr>
        <w:pStyle w:val="BodyText"/>
        <w:spacing w:line="220" w:lineRule="auto" w:before="6"/>
        <w:ind w:left="285" w:right="689"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enhanced hypotensive effect when sildenafil given with </w:t>
      </w:r>
      <w:r>
        <w:rPr>
          <w:rFonts w:ascii="Calibri" w:hAnsi="Calibri"/>
          <w:color w:val="008356"/>
          <w:w w:val="105"/>
          <w:sz w:val="11"/>
        </w:rPr>
        <w:t>AMLODIPINE</w:t>
      </w:r>
    </w:p>
    <w:p>
      <w:pPr>
        <w:pStyle w:val="BodyText"/>
        <w:spacing w:line="244" w:lineRule="auto"/>
        <w:ind w:left="285" w:right="526" w:hanging="100"/>
      </w:pPr>
      <w:r>
        <w:rPr>
          <w:rFonts w:ascii="Arial" w:hAnsi="Arial"/>
          <w:color w:val="231F1F"/>
          <w:w w:val="355"/>
          <w:position w:val="1"/>
          <w:sz w:val="7"/>
        </w:rPr>
        <w:t>l </w:t>
      </w:r>
      <w:r>
        <w:rPr>
          <w:rFonts w:ascii="Calibri" w:hAnsi="Calibri"/>
          <w:color w:val="231F1F"/>
          <w:w w:val="120"/>
        </w:rPr>
        <w:t>Cobicistat: </w:t>
      </w:r>
      <w:r>
        <w:rPr>
          <w:color w:val="231F1F"/>
          <w:w w:val="120"/>
        </w:rPr>
        <w:t>plasma concentration of sildenafil possibly </w:t>
      </w:r>
      <w:r>
        <w:rPr>
          <w:color w:val="231F1F"/>
          <w:w w:val="115"/>
        </w:rPr>
        <w:t>increased by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advises </w:t>
      </w:r>
      <w:r>
        <w:rPr>
          <w:color w:val="231F1F"/>
          <w:w w:val="120"/>
        </w:rPr>
        <w:t>avoid concomitant use of sildenafil for pulmonary arterial hypertension or reduce dose of sildenafil for erectile dysfunction</w:t>
      </w:r>
      <w:r>
        <w:rPr>
          <w:rFonts w:ascii="Arial" w:hAnsi="Arial"/>
          <w:color w:val="231F1F"/>
          <w:w w:val="120"/>
        </w:rPr>
        <w:t>—</w:t>
      </w:r>
      <w:r>
        <w:rPr>
          <w:color w:val="231F1F"/>
          <w:w w:val="120"/>
        </w:rPr>
        <w:t>consult cobicistat product literature</w:t>
      </w:r>
    </w:p>
    <w:p>
      <w:pPr>
        <w:pStyle w:val="BodyText"/>
        <w:spacing w:line="220" w:lineRule="auto" w:before="6"/>
        <w:ind w:left="285" w:right="903"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avoidance of sildenafil for pulmonary arterial hypertension advised by manufacturer of </w:t>
      </w:r>
      <w:r>
        <w:rPr>
          <w:rFonts w:ascii="Calibri" w:hAnsi="Calibri"/>
          <w:color w:val="008356"/>
          <w:w w:val="110"/>
          <w:sz w:val="11"/>
        </w:rPr>
        <w:t>IDELALISIB</w:t>
      </w:r>
    </w:p>
    <w:p>
      <w:pPr>
        <w:pStyle w:val="BodyText"/>
        <w:spacing w:line="220" w:lineRule="auto" w:before="8"/>
        <w:ind w:left="285" w:right="770" w:hanging="100"/>
        <w:rPr>
          <w:rFonts w:ascii="Calibri" w:hAnsi="Calibri"/>
          <w:sz w:val="11"/>
        </w:rPr>
      </w:pPr>
      <w:r>
        <w:rPr>
          <w:rFonts w:ascii="Lucida Sans Unicode" w:hAnsi="Lucida Sans Unicode"/>
          <w:color w:val="A7A8AC"/>
          <w:w w:val="95"/>
          <w:sz w:val="10"/>
        </w:rPr>
        <w:t>▶ </w:t>
      </w:r>
      <w:r>
        <w:rPr>
          <w:rFonts w:ascii="Calibri" w:hAnsi="Calibri"/>
          <w:color w:val="231F1F"/>
          <w:w w:val="105"/>
        </w:rPr>
        <w:t>Dapoxetine:  </w:t>
      </w:r>
      <w:r>
        <w:rPr>
          <w:color w:val="231F1F"/>
          <w:w w:val="105"/>
        </w:rPr>
        <w:t>avoidance of sildenafil advised by </w:t>
      </w:r>
      <w:r>
        <w:rPr>
          <w:color w:val="231F1F"/>
          <w:spacing w:val="-2"/>
          <w:w w:val="105"/>
        </w:rPr>
        <w:t>manufacturer  </w:t>
      </w:r>
      <w:r>
        <w:rPr>
          <w:color w:val="231F1F"/>
          <w:w w:val="105"/>
        </w:rPr>
        <w:t>of </w:t>
      </w:r>
      <w:r>
        <w:rPr>
          <w:rFonts w:ascii="Calibri" w:hAnsi="Calibri"/>
          <w:color w:val="008356"/>
          <w:spacing w:val="4"/>
          <w:w w:val="105"/>
          <w:sz w:val="11"/>
        </w:rPr>
        <w:t>DAPOXETINE</w:t>
      </w:r>
    </w:p>
    <w:p>
      <w:pPr>
        <w:pStyle w:val="BodyText"/>
        <w:spacing w:line="220" w:lineRule="auto" w:before="10"/>
        <w:ind w:left="285"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sildenafil possibly increased by </w:t>
      </w:r>
      <w:r>
        <w:rPr>
          <w:rFonts w:ascii="Calibri" w:hAnsi="Calibri"/>
          <w:color w:val="008356"/>
          <w:w w:val="105"/>
          <w:sz w:val="11"/>
        </w:rPr>
        <w:t>GRAPEFRUIT JUICE</w:t>
      </w:r>
    </w:p>
    <w:p>
      <w:pPr>
        <w:pStyle w:val="BodyText"/>
        <w:ind w:left="285" w:right="584" w:hanging="100"/>
      </w:pPr>
      <w:r>
        <w:rPr>
          <w:rFonts w:ascii="Arial"/>
          <w:color w:val="231F1F"/>
          <w:w w:val="355"/>
          <w:position w:val="1"/>
          <w:sz w:val="7"/>
        </w:rPr>
        <w:t>l </w:t>
      </w:r>
      <w:r>
        <w:rPr>
          <w:rFonts w:ascii="Calibri"/>
          <w:color w:val="231F1F"/>
          <w:w w:val="110"/>
        </w:rPr>
        <w:t>Nicorandil: </w:t>
      </w:r>
      <w:r>
        <w:rPr>
          <w:color w:val="231F1F"/>
          <w:w w:val="110"/>
        </w:rPr>
        <w:t>sildenafil significantly enhances hypotensive effect of </w:t>
      </w:r>
      <w:r>
        <w:rPr>
          <w:rFonts w:ascii="Arial"/>
          <w:color w:val="231F1F"/>
          <w:w w:val="355"/>
          <w:position w:val="1"/>
          <w:sz w:val="7"/>
        </w:rPr>
        <w:t>l </w:t>
      </w:r>
      <w:r>
        <w:rPr>
          <w:rFonts w:ascii="Calibri"/>
          <w:color w:val="008356"/>
          <w:w w:val="110"/>
          <w:sz w:val="11"/>
        </w:rPr>
        <w:t>NICORANDIL </w:t>
      </w:r>
      <w:r>
        <w:rPr>
          <w:color w:val="231F1F"/>
          <w:w w:val="110"/>
        </w:rPr>
        <w:t>(avoid concomitant use)</w:t>
      </w:r>
    </w:p>
    <w:p>
      <w:pPr>
        <w:pStyle w:val="BodyText"/>
        <w:ind w:left="285" w:right="584" w:hanging="100"/>
      </w:pPr>
      <w:r>
        <w:rPr>
          <w:rFonts w:ascii="Arial"/>
          <w:color w:val="231F1F"/>
          <w:w w:val="115"/>
          <w:position w:val="1"/>
          <w:sz w:val="7"/>
        </w:rPr>
        <w:t>l </w:t>
      </w:r>
      <w:r>
        <w:rPr>
          <w:rFonts w:ascii="Calibri"/>
          <w:color w:val="231F1F"/>
          <w:w w:val="115"/>
        </w:rPr>
        <w:t>Nitrates: </w:t>
      </w:r>
      <w:r>
        <w:rPr>
          <w:color w:val="231F1F"/>
          <w:w w:val="115"/>
        </w:rPr>
        <w:t>sildenafil significantly enhances hypotensive effect </w:t>
      </w:r>
      <w:r>
        <w:rPr>
          <w:color w:val="231F1F"/>
          <w:w w:val="120"/>
        </w:rPr>
        <w:t>of </w:t>
      </w:r>
      <w:r>
        <w:rPr>
          <w:rFonts w:ascii="Arial"/>
          <w:color w:val="231F1F"/>
          <w:w w:val="355"/>
          <w:position w:val="1"/>
          <w:sz w:val="7"/>
        </w:rPr>
        <w:t>l </w:t>
      </w:r>
      <w:r>
        <w:rPr>
          <w:rFonts w:ascii="Calibri"/>
          <w:color w:val="008356"/>
          <w:w w:val="120"/>
          <w:sz w:val="11"/>
        </w:rPr>
        <w:t>NITRATES </w:t>
      </w:r>
      <w:r>
        <w:rPr>
          <w:color w:val="231F1F"/>
          <w:w w:val="120"/>
        </w:rPr>
        <w:t>(avoid concomitant use)</w:t>
      </w:r>
    </w:p>
    <w:p>
      <w:pPr>
        <w:pStyle w:val="BodyText"/>
        <w:spacing w:line="237" w:lineRule="auto"/>
        <w:ind w:left="285" w:right="584" w:hanging="100"/>
      </w:pPr>
      <w:r>
        <w:rPr>
          <w:rFonts w:ascii="Arial" w:hAnsi="Arial"/>
          <w:color w:val="231F1F"/>
          <w:w w:val="355"/>
          <w:position w:val="1"/>
          <w:sz w:val="7"/>
        </w:rPr>
        <w:t>l </w:t>
      </w:r>
      <w:r>
        <w:rPr>
          <w:rFonts w:ascii="Calibri" w:hAnsi="Calibri"/>
          <w:color w:val="231F1F"/>
          <w:w w:val="110"/>
        </w:rPr>
        <w:t>Riociguat: </w:t>
      </w:r>
      <w:r>
        <w:rPr>
          <w:color w:val="231F1F"/>
          <w:w w:val="110"/>
        </w:rPr>
        <w:t>enhanced hypotensive effect when sildenafil </w:t>
      </w:r>
      <w:r>
        <w:rPr>
          <w:color w:val="231F1F"/>
          <w:spacing w:val="-3"/>
          <w:w w:val="110"/>
        </w:rPr>
        <w:t>given </w:t>
      </w:r>
      <w:r>
        <w:rPr>
          <w:color w:val="231F1F"/>
          <w:w w:val="110"/>
        </w:rPr>
        <w:t>with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30" w:lineRule="auto"/>
        <w:ind w:left="285" w:right="584" w:hanging="100"/>
      </w:pPr>
      <w:r>
        <w:rPr>
          <w:rFonts w:ascii="Lucida Sans Unicode" w:hAnsi="Lucida Sans Unicode"/>
          <w:color w:val="A7A8AC"/>
          <w:w w:val="95"/>
          <w:sz w:val="10"/>
        </w:rPr>
        <w:t>▶ </w:t>
      </w:r>
      <w:r>
        <w:rPr>
          <w:rFonts w:ascii="Calibri" w:hAnsi="Calibri"/>
          <w:color w:val="231F1F"/>
          <w:w w:val="110"/>
        </w:rPr>
        <w:t>Ulcer-healing Drugs: </w:t>
      </w:r>
      <w:r>
        <w:rPr>
          <w:color w:val="231F1F"/>
          <w:w w:val="110"/>
        </w:rPr>
        <w:t>plasma concentration of sildenafil increased by </w:t>
      </w:r>
      <w:r>
        <w:rPr>
          <w:rFonts w:ascii="Calibri" w:hAnsi="Calibri"/>
          <w:color w:val="008356"/>
          <w:w w:val="110"/>
          <w:sz w:val="11"/>
        </w:rPr>
        <w:t>CIMETIDINE</w:t>
      </w:r>
      <w:r>
        <w:rPr>
          <w:rFonts w:ascii="Arial" w:hAnsi="Arial"/>
          <w:color w:val="231F1F"/>
          <w:w w:val="110"/>
        </w:rPr>
        <w:t>—</w:t>
      </w:r>
      <w:r>
        <w:rPr>
          <w:color w:val="231F1F"/>
          <w:w w:val="110"/>
        </w:rPr>
        <w:t>consider reducing dose of sildenafil for erectile dysfunction</w:t>
      </w:r>
    </w:p>
    <w:p>
      <w:pPr>
        <w:pStyle w:val="BodyText"/>
        <w:spacing w:line="139" w:lineRule="exact" w:before="9"/>
        <w:ind w:left="185"/>
        <w:rPr>
          <w:rFonts w:ascii="Trebuchet MS"/>
        </w:rPr>
      </w:pPr>
      <w:r>
        <w:rPr>
          <w:rFonts w:ascii="Trebuchet MS"/>
          <w:color w:val="008356"/>
        </w:rPr>
        <w:t>Siltuximab</w:t>
      </w:r>
    </w:p>
    <w:p>
      <w:pPr>
        <w:pStyle w:val="BodyText"/>
        <w:spacing w:line="146" w:lineRule="exact"/>
        <w:ind w:left="185"/>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5"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left="285" w:right="59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4"/>
        <w:ind w:left="185"/>
        <w:rPr>
          <w:rFonts w:ascii="Trebuchet MS"/>
        </w:rPr>
      </w:pPr>
      <w:r>
        <w:rPr>
          <w:rFonts w:ascii="Trebuchet MS"/>
          <w:color w:val="008356"/>
        </w:rPr>
        <w:t>Simeprevir</w:t>
      </w:r>
    </w:p>
    <w:p>
      <w:pPr>
        <w:pStyle w:val="BodyText"/>
        <w:spacing w:before="1"/>
        <w:ind w:left="285" w:right="612" w:hanging="100"/>
      </w:pPr>
      <w:r>
        <w:rPr>
          <w:rFonts w:ascii="Arial" w:hAnsi="Arial"/>
          <w:color w:val="231F1F"/>
          <w:w w:val="355"/>
          <w:position w:val="1"/>
          <w:sz w:val="7"/>
        </w:rPr>
        <w:t>l </w:t>
      </w:r>
      <w:r>
        <w:rPr>
          <w:rFonts w:ascii="Calibri" w:hAnsi="Calibri"/>
          <w:color w:val="231F1F"/>
          <w:w w:val="110"/>
        </w:rPr>
        <w:t>Anti-arrhythmics: </w:t>
      </w:r>
      <w:r>
        <w:rPr>
          <w:color w:val="231F1F"/>
          <w:w w:val="110"/>
        </w:rPr>
        <w:t>possible increased risk of bradycardia </w:t>
      </w:r>
      <w:r>
        <w:rPr>
          <w:color w:val="231F1F"/>
          <w:spacing w:val="-4"/>
          <w:w w:val="110"/>
        </w:rPr>
        <w:t>when </w:t>
      </w:r>
      <w:r>
        <w:rPr>
          <w:color w:val="231F1F"/>
          <w:w w:val="110"/>
        </w:rPr>
        <w:t>simeprevir (with sofosbuvir) given with </w:t>
      </w:r>
      <w:r>
        <w:rPr>
          <w:rFonts w:ascii="Arial" w:hAnsi="Arial"/>
          <w:color w:val="231F1F"/>
          <w:w w:val="355"/>
          <w:position w:val="1"/>
          <w:sz w:val="7"/>
        </w:rPr>
        <w:t>l </w:t>
      </w:r>
      <w:r>
        <w:rPr>
          <w:rFonts w:ascii="Calibri" w:hAnsi="Calibri"/>
          <w:color w:val="008356"/>
          <w:spacing w:val="3"/>
          <w:w w:val="110"/>
          <w:sz w:val="11"/>
        </w:rPr>
        <w:t>AMIODARONE</w:t>
      </w:r>
      <w:r>
        <w:rPr>
          <w:rFonts w:ascii="Arial" w:hAnsi="Arial"/>
          <w:color w:val="231F1F"/>
          <w:spacing w:val="3"/>
          <w:w w:val="110"/>
        </w:rPr>
        <w:t>—</w:t>
      </w:r>
      <w:r>
        <w:rPr>
          <w:color w:val="231F1F"/>
          <w:spacing w:val="3"/>
          <w:w w:val="110"/>
        </w:rPr>
        <w:t>see </w:t>
      </w:r>
      <w:r>
        <w:rPr>
          <w:color w:val="231F1F"/>
          <w:w w:val="110"/>
        </w:rPr>
        <w:t>under Amiodarone, p. 88</w:t>
      </w:r>
    </w:p>
    <w:p>
      <w:pPr>
        <w:spacing w:before="2"/>
        <w:ind w:left="285" w:right="689" w:hanging="100"/>
        <w:jc w:val="left"/>
        <w:rPr>
          <w:rFonts w:ascii="Arial" w:hAnsi="Arial"/>
          <w:sz w:val="12"/>
        </w:rPr>
      </w:pPr>
      <w:r>
        <w:rPr>
          <w:rFonts w:ascii="Arial" w:hAnsi="Arial"/>
          <w:color w:val="231F1F"/>
          <w:w w:val="355"/>
          <w:position w:val="1"/>
          <w:sz w:val="7"/>
        </w:rPr>
        <w:t>l </w:t>
      </w:r>
      <w:r>
        <w:rPr>
          <w:rFonts w:ascii="Calibri" w:hAnsi="Calibri"/>
          <w:color w:val="231F1F"/>
          <w:w w:val="110"/>
          <w:sz w:val="12"/>
        </w:rPr>
        <w:t>Antibacterials: </w:t>
      </w:r>
      <w:r>
        <w:rPr>
          <w:color w:val="231F1F"/>
          <w:w w:val="110"/>
          <w:sz w:val="12"/>
        </w:rPr>
        <w:t>plasma concentration of simeprevir possibly increased by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0"/>
          <w:sz w:val="11"/>
        </w:rPr>
        <w:t>CLARITHROMYCIN </w:t>
      </w:r>
      <w:r>
        <w:rPr>
          <w:color w:val="231F1F"/>
          <w:w w:val="110"/>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0"/>
          <w:sz w:val="11"/>
        </w:rPr>
        <w:t>TELITHROMYCIN</w:t>
      </w:r>
      <w:r>
        <w:rPr>
          <w:rFonts w:ascii="Arial" w:hAnsi="Arial"/>
          <w:color w:val="231F1F"/>
          <w:spacing w:val="4"/>
          <w:w w:val="110"/>
          <w:sz w:val="12"/>
        </w:rPr>
        <w:t>—</w:t>
      </w:r>
    </w:p>
    <w:p>
      <w:pPr>
        <w:spacing w:after="0"/>
        <w:jc w:val="left"/>
        <w:rPr>
          <w:rFonts w:ascii="Arial" w:hAnsi="Arial"/>
          <w:sz w:val="12"/>
        </w:rPr>
        <w:sectPr>
          <w:headerReference w:type="even" r:id="rId50"/>
          <w:headerReference w:type="default" r:id="rId51"/>
          <w:pgSz w:w="8390" w:h="11910"/>
          <w:pgMar w:header="0" w:footer="0" w:top="460" w:bottom="280" w:left="480" w:right="0"/>
          <w:pgNumType w:start="1242"/>
          <w:cols w:num="2" w:equalWidth="0">
            <w:col w:w="3637" w:space="40"/>
            <w:col w:w="4233"/>
          </w:cols>
        </w:sectPr>
      </w:pPr>
    </w:p>
    <w:p>
      <w:pPr>
        <w:pStyle w:val="BodyText"/>
        <w:spacing w:before="8"/>
        <w:ind w:left="0"/>
        <w:rPr>
          <w:rFonts w:ascii="Arial"/>
          <w:sz w:val="14"/>
        </w:rPr>
      </w:pPr>
    </w:p>
    <w:p>
      <w:pPr>
        <w:pStyle w:val="BodyText"/>
        <w:ind w:left="108"/>
        <w:rPr>
          <w:rFonts w:ascii="Arial"/>
        </w:rPr>
      </w:pPr>
      <w:r>
        <w:rPr>
          <w:rFonts w:ascii="Arial"/>
          <w:color w:val="008356"/>
        </w:rPr>
        <w:t>Simeprevir</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Antibacterials (continued)</w:t>
      </w:r>
    </w:p>
    <w:p>
      <w:pPr>
        <w:pStyle w:val="BodyText"/>
        <w:spacing w:line="247" w:lineRule="auto"/>
        <w:ind w:right="102"/>
      </w:pPr>
      <w:r>
        <w:rPr>
          <w:color w:val="231F1F"/>
          <w:w w:val="115"/>
        </w:rPr>
        <w:t>manufacturer of simeprevir advises avoid concomitant use; plasma concentration of both drugs increased when simeprevir</w:t>
      </w:r>
      <w:r>
        <w:rPr>
          <w:color w:val="231F1F"/>
          <w:spacing w:val="-19"/>
          <w:w w:val="115"/>
        </w:rPr>
        <w:t> </w:t>
      </w:r>
      <w:r>
        <w:rPr>
          <w:color w:val="231F1F"/>
          <w:w w:val="115"/>
        </w:rPr>
        <w:t>given</w:t>
      </w:r>
      <w:r>
        <w:rPr>
          <w:color w:val="231F1F"/>
          <w:spacing w:val="-17"/>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ERYTHROMYCIN</w:t>
      </w:r>
      <w:r>
        <w:rPr>
          <w:rFonts w:ascii="Arial" w:hAnsi="Arial"/>
          <w:color w:val="231F1F"/>
          <w:spacing w:val="2"/>
          <w:w w:val="115"/>
        </w:rPr>
        <w:t>—</w:t>
      </w:r>
      <w:r>
        <w:rPr>
          <w:color w:val="231F1F"/>
          <w:spacing w:val="2"/>
          <w:w w:val="115"/>
        </w:rPr>
        <w:t>manufacturer</w:t>
      </w:r>
      <w:r>
        <w:rPr>
          <w:color w:val="231F1F"/>
          <w:spacing w:val="-17"/>
          <w:w w:val="115"/>
        </w:rPr>
        <w:t> </w:t>
      </w:r>
      <w:r>
        <w:rPr>
          <w:color w:val="231F1F"/>
          <w:w w:val="115"/>
        </w:rPr>
        <w:t>of simeprevir advises avoid concomitant use; plasma concentration</w:t>
      </w:r>
      <w:r>
        <w:rPr>
          <w:color w:val="231F1F"/>
          <w:spacing w:val="-23"/>
          <w:w w:val="115"/>
        </w:rPr>
        <w:t> </w:t>
      </w:r>
      <w:r>
        <w:rPr>
          <w:color w:val="231F1F"/>
          <w:w w:val="115"/>
        </w:rPr>
        <w:t>of</w:t>
      </w:r>
      <w:r>
        <w:rPr>
          <w:color w:val="231F1F"/>
          <w:spacing w:val="-23"/>
          <w:w w:val="115"/>
        </w:rPr>
        <w:t> </w:t>
      </w:r>
      <w:r>
        <w:rPr>
          <w:color w:val="231F1F"/>
          <w:w w:val="115"/>
        </w:rPr>
        <w:t>simeprevir</w:t>
      </w:r>
      <w:r>
        <w:rPr>
          <w:color w:val="231F1F"/>
          <w:spacing w:val="-23"/>
          <w:w w:val="115"/>
        </w:rPr>
        <w:t> </w:t>
      </w:r>
      <w:r>
        <w:rPr>
          <w:color w:val="231F1F"/>
          <w:w w:val="115"/>
        </w:rPr>
        <w:t>possibly</w:t>
      </w:r>
      <w:r>
        <w:rPr>
          <w:color w:val="231F1F"/>
          <w:spacing w:val="-24"/>
          <w:w w:val="115"/>
        </w:rPr>
        <w:t> </w:t>
      </w:r>
      <w:r>
        <w:rPr>
          <w:color w:val="231F1F"/>
          <w:w w:val="115"/>
        </w:rPr>
        <w:t>reduced</w:t>
      </w:r>
      <w:r>
        <w:rPr>
          <w:color w:val="231F1F"/>
          <w:spacing w:val="-23"/>
          <w:w w:val="115"/>
        </w:rPr>
        <w:t> </w:t>
      </w:r>
      <w:r>
        <w:rPr>
          <w:color w:val="231F1F"/>
          <w:w w:val="115"/>
        </w:rPr>
        <w:t>by</w:t>
      </w:r>
      <w:r>
        <w:rPr>
          <w:color w:val="231F1F"/>
          <w:spacing w:val="-23"/>
          <w:w w:val="115"/>
        </w:rPr>
        <w:t> </w:t>
      </w:r>
      <w:r>
        <w:rPr>
          <w:rFonts w:ascii="Calibri" w:hAnsi="Calibri"/>
          <w:color w:val="008356"/>
          <w:spacing w:val="2"/>
          <w:w w:val="115"/>
          <w:sz w:val="11"/>
        </w:rPr>
        <w:t>RIFABUTIN</w:t>
      </w:r>
      <w:r>
        <w:rPr>
          <w:rFonts w:ascii="Arial" w:hAnsi="Arial"/>
          <w:color w:val="231F1F"/>
          <w:spacing w:val="2"/>
          <w:w w:val="115"/>
        </w:rPr>
        <w:t>— </w:t>
      </w:r>
      <w:r>
        <w:rPr>
          <w:color w:val="231F1F"/>
          <w:w w:val="115"/>
        </w:rPr>
        <w:t>manufacturer of simeprevir advises avoid concomitant use; plasma concentration of simeprevir reduced</w:t>
      </w:r>
      <w:r>
        <w:rPr>
          <w:color w:val="231F1F"/>
          <w:spacing w:val="-24"/>
          <w:w w:val="115"/>
        </w:rPr>
        <w:t> </w:t>
      </w:r>
      <w:r>
        <w:rPr>
          <w:color w:val="231F1F"/>
          <w:w w:val="115"/>
        </w:rPr>
        <w:t>by</w:t>
      </w:r>
    </w:p>
    <w:p>
      <w:pPr>
        <w:pStyle w:val="BodyText"/>
        <w:spacing w:line="244" w:lineRule="auto"/>
        <w:ind w:right="289" w:hanging="1"/>
      </w:pPr>
      <w:r>
        <w:rPr>
          <w:rFonts w:ascii="Arial" w:hAnsi="Arial"/>
          <w:color w:val="231F1F"/>
          <w:w w:val="115"/>
          <w:position w:val="1"/>
          <w:sz w:val="7"/>
        </w:rPr>
        <w:t>l </w:t>
      </w:r>
      <w:r>
        <w:rPr>
          <w:rFonts w:ascii="Calibri" w:hAnsi="Calibri"/>
          <w:color w:val="008356"/>
          <w:w w:val="115"/>
          <w:sz w:val="11"/>
        </w:rPr>
        <w:t>RIFAMPICIN</w:t>
      </w:r>
      <w:r>
        <w:rPr>
          <w:rFonts w:ascii="Arial" w:hAnsi="Arial"/>
          <w:color w:val="231F1F"/>
          <w:w w:val="115"/>
        </w:rPr>
        <w:t>—</w:t>
      </w:r>
      <w:r>
        <w:rPr>
          <w:color w:val="231F1F"/>
          <w:w w:val="115"/>
        </w:rPr>
        <w:t>manufacturer of simeprevir advises avoid </w:t>
      </w:r>
      <w:r>
        <w:rPr>
          <w:color w:val="231F1F"/>
          <w:w w:val="120"/>
        </w:rPr>
        <w:t>concomitant use</w:t>
      </w:r>
    </w:p>
    <w:p>
      <w:pPr>
        <w:pStyle w:val="BodyText"/>
        <w:ind w:right="107" w:hanging="100"/>
      </w:pPr>
      <w:r>
        <w:rPr>
          <w:rFonts w:ascii="Arial" w:hAnsi="Arial"/>
          <w:color w:val="231F1F"/>
          <w:w w:val="340"/>
          <w:position w:val="1"/>
          <w:sz w:val="7"/>
        </w:rPr>
        <w:t>l</w:t>
      </w:r>
      <w:r>
        <w:rPr>
          <w:rFonts w:ascii="Arial" w:hAnsi="Arial"/>
          <w:color w:val="231F1F"/>
          <w:spacing w:val="-53"/>
          <w:w w:val="340"/>
          <w:position w:val="1"/>
          <w:sz w:val="7"/>
        </w:rPr>
        <w:t> </w:t>
      </w:r>
      <w:r>
        <w:rPr>
          <w:rFonts w:ascii="Calibri" w:hAnsi="Calibri"/>
          <w:color w:val="231F1F"/>
          <w:w w:val="115"/>
        </w:rPr>
        <w:t>Antidepressants:</w:t>
      </w:r>
      <w:r>
        <w:rPr>
          <w:rFonts w:ascii="Calibri" w:hAnsi="Calibri"/>
          <w:color w:val="231F1F"/>
          <w:spacing w:val="-2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3"/>
          <w:w w:val="115"/>
        </w:rPr>
        <w:t> </w:t>
      </w:r>
      <w:r>
        <w:rPr>
          <w:color w:val="231F1F"/>
          <w:w w:val="115"/>
        </w:rPr>
        <w:t>simeprevir</w:t>
      </w:r>
      <w:r>
        <w:rPr>
          <w:color w:val="231F1F"/>
          <w:spacing w:val="-25"/>
          <w:w w:val="115"/>
        </w:rPr>
        <w:t> </w:t>
      </w:r>
      <w:r>
        <w:rPr>
          <w:color w:val="231F1F"/>
          <w:w w:val="115"/>
        </w:rPr>
        <w:t>possibly reduced</w:t>
      </w:r>
      <w:r>
        <w:rPr>
          <w:color w:val="231F1F"/>
          <w:spacing w:val="-17"/>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w w:val="115"/>
          <w:sz w:val="11"/>
        </w:rPr>
        <w:t>ST</w:t>
      </w:r>
      <w:r>
        <w:rPr>
          <w:rFonts w:ascii="Calibri" w:hAnsi="Calibri"/>
          <w:color w:val="008356"/>
          <w:spacing w:val="-12"/>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0"/>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16"/>
          <w:w w:val="115"/>
        </w:rPr>
        <w:t> </w:t>
      </w:r>
      <w:r>
        <w:rPr>
          <w:color w:val="231F1F"/>
          <w:w w:val="115"/>
        </w:rPr>
        <w:t>of</w:t>
      </w:r>
      <w:r>
        <w:rPr>
          <w:color w:val="231F1F"/>
          <w:spacing w:val="-16"/>
          <w:w w:val="115"/>
        </w:rPr>
        <w:t> </w:t>
      </w:r>
      <w:r>
        <w:rPr>
          <w:color w:val="231F1F"/>
          <w:w w:val="115"/>
        </w:rPr>
        <w:t>simeprevir advises avoid concomitant</w:t>
      </w:r>
      <w:r>
        <w:rPr>
          <w:color w:val="231F1F"/>
          <w:spacing w:val="-14"/>
          <w:w w:val="115"/>
        </w:rPr>
        <w:t> </w:t>
      </w:r>
      <w:r>
        <w:rPr>
          <w:color w:val="231F1F"/>
          <w:w w:val="115"/>
        </w:rPr>
        <w:t>use</w:t>
      </w:r>
    </w:p>
    <w:p>
      <w:pPr>
        <w:spacing w:before="0"/>
        <w:ind w:left="208" w:right="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simeprevir possibly reduced by </w:t>
      </w:r>
      <w:r>
        <w:rPr>
          <w:rFonts w:ascii="Arial"/>
          <w:color w:val="231F1F"/>
          <w:w w:val="355"/>
          <w:position w:val="1"/>
          <w:sz w:val="7"/>
        </w:rPr>
        <w:t>l </w:t>
      </w: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FOSPHENYTOIN</w:t>
      </w:r>
      <w:r>
        <w:rPr>
          <w:color w:val="231F1F"/>
          <w:w w:val="110"/>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20"/>
          <w:sz w:val="11"/>
        </w:rPr>
        <w:t>OXCARBAZEPINE</w:t>
      </w:r>
      <w:r>
        <w:rPr>
          <w:color w:val="231F1F"/>
          <w:spacing w:val="4"/>
          <w:w w:val="12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20"/>
          <w:sz w:val="11"/>
        </w:rPr>
        <w:t>PHENOBARBITAL</w:t>
      </w:r>
      <w:r>
        <w:rPr>
          <w:color w:val="231F1F"/>
          <w:spacing w:val="4"/>
          <w:w w:val="120"/>
          <w:sz w:val="12"/>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20"/>
          <w:sz w:val="11"/>
        </w:rPr>
        <w:t>PHENYTOIN </w:t>
      </w:r>
      <w:r>
        <w:rPr>
          <w:color w:val="231F1F"/>
          <w:w w:val="120"/>
          <w:sz w:val="12"/>
        </w:rPr>
        <w:t>and</w:t>
      </w:r>
    </w:p>
    <w:p>
      <w:pPr>
        <w:pStyle w:val="BodyText"/>
        <w:spacing w:before="2"/>
      </w:pPr>
      <w:r>
        <w:rPr>
          <w:rFonts w:ascii="Arial" w:hAnsi="Arial"/>
          <w:color w:val="231F1F"/>
          <w:w w:val="110"/>
          <w:position w:val="1"/>
          <w:sz w:val="7"/>
        </w:rPr>
        <w:t>l </w:t>
      </w:r>
      <w:r>
        <w:rPr>
          <w:rFonts w:ascii="Calibri" w:hAnsi="Calibri"/>
          <w:color w:val="008356"/>
          <w:w w:val="110"/>
          <w:sz w:val="11"/>
        </w:rPr>
        <w:t>PRIMIDONE</w:t>
      </w:r>
      <w:r>
        <w:rPr>
          <w:rFonts w:ascii="Arial" w:hAnsi="Arial"/>
          <w:color w:val="231F1F"/>
          <w:w w:val="110"/>
        </w:rPr>
        <w:t>—</w:t>
      </w:r>
      <w:r>
        <w:rPr>
          <w:color w:val="231F1F"/>
          <w:w w:val="110"/>
        </w:rPr>
        <w:t>manufacturer of simeprevir advises avoid </w:t>
      </w:r>
      <w:r>
        <w:rPr>
          <w:color w:val="231F1F"/>
          <w:w w:val="115"/>
        </w:rPr>
        <w:t>concomitant use</w:t>
      </w:r>
    </w:p>
    <w:p>
      <w:pPr>
        <w:pStyle w:val="BodyText"/>
        <w:spacing w:before="3"/>
        <w:ind w:hanging="100"/>
      </w:pPr>
      <w:r>
        <w:rPr>
          <w:rFonts w:ascii="Arial"/>
          <w:color w:val="231F1F"/>
          <w:w w:val="355"/>
          <w:position w:val="1"/>
          <w:sz w:val="7"/>
        </w:rPr>
        <w:t>l </w:t>
      </w:r>
      <w:r>
        <w:rPr>
          <w:rFonts w:ascii="Calibri"/>
          <w:color w:val="231F1F"/>
          <w:w w:val="110"/>
        </w:rPr>
        <w:t>Antifungals: </w:t>
      </w:r>
      <w:r>
        <w:rPr>
          <w:color w:val="231F1F"/>
          <w:w w:val="110"/>
        </w:rPr>
        <w:t>manufacturer of simeprevir advises avoid concomitant use with </w:t>
      </w:r>
      <w:r>
        <w:rPr>
          <w:rFonts w:ascii="Arial"/>
          <w:color w:val="231F1F"/>
          <w:w w:val="355"/>
          <w:position w:val="1"/>
          <w:sz w:val="7"/>
        </w:rPr>
        <w:t>l </w:t>
      </w:r>
      <w:r>
        <w:rPr>
          <w:rFonts w:ascii="Calibri"/>
          <w:color w:val="008356"/>
          <w:spacing w:val="4"/>
          <w:w w:val="110"/>
          <w:sz w:val="11"/>
        </w:rPr>
        <w:t>KETOCONAZOLE</w:t>
      </w:r>
      <w:r>
        <w:rPr>
          <w:color w:val="231F1F"/>
          <w:spacing w:val="4"/>
          <w:w w:val="110"/>
        </w:rPr>
        <w:t>; </w:t>
      </w:r>
      <w:r>
        <w:rPr>
          <w:color w:val="231F1F"/>
          <w:w w:val="110"/>
        </w:rPr>
        <w:t>plasma concentration of simeprevir possibly increased by </w:t>
      </w:r>
      <w:r>
        <w:rPr>
          <w:rFonts w:ascii="Arial"/>
          <w:color w:val="231F1F"/>
          <w:w w:val="355"/>
          <w:position w:val="1"/>
          <w:sz w:val="7"/>
        </w:rPr>
        <w:t>l</w:t>
      </w:r>
      <w:r>
        <w:rPr>
          <w:rFonts w:ascii="Arial"/>
          <w:color w:val="231F1F"/>
          <w:spacing w:val="-60"/>
          <w:w w:val="355"/>
          <w:position w:val="1"/>
          <w:sz w:val="7"/>
        </w:rPr>
        <w:t> </w:t>
      </w:r>
      <w:r>
        <w:rPr>
          <w:rFonts w:ascii="Calibri"/>
          <w:color w:val="008356"/>
          <w:spacing w:val="4"/>
          <w:w w:val="110"/>
          <w:sz w:val="11"/>
        </w:rPr>
        <w:t>FLUCONAZOLE</w:t>
      </w:r>
      <w:r>
        <w:rPr>
          <w:color w:val="231F1F"/>
          <w:spacing w:val="4"/>
          <w:w w:val="110"/>
        </w:rPr>
        <w:t>,</w:t>
      </w:r>
    </w:p>
    <w:p>
      <w:pPr>
        <w:spacing w:before="3"/>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5"/>
          <w:sz w:val="11"/>
        </w:rPr>
        <w:t>ITRACONAZOLE</w:t>
      </w:r>
      <w:r>
        <w:rPr>
          <w:color w:val="231F1F"/>
          <w:spacing w:val="4"/>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POSACONAZOLE </w:t>
      </w:r>
      <w:r>
        <w:rPr>
          <w:color w:val="231F1F"/>
          <w:w w:val="115"/>
          <w:sz w:val="12"/>
        </w:rPr>
        <w:t>and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VORICONAZOLE</w:t>
      </w:r>
      <w:r>
        <w:rPr>
          <w:rFonts w:ascii="Arial" w:hAnsi="Arial"/>
          <w:color w:val="231F1F"/>
          <w:spacing w:val="4"/>
          <w:w w:val="115"/>
          <w:sz w:val="12"/>
        </w:rPr>
        <w:t>—</w:t>
      </w:r>
    </w:p>
    <w:p>
      <w:pPr>
        <w:pStyle w:val="BodyText"/>
        <w:spacing w:before="1"/>
      </w:pPr>
      <w:r>
        <w:rPr>
          <w:color w:val="231F1F"/>
          <w:w w:val="115"/>
        </w:rPr>
        <w:t>manufacturer of simeprevir advises avoid concomitant use</w:t>
      </w:r>
    </w:p>
    <w:p>
      <w:pPr>
        <w:pStyle w:val="BodyText"/>
        <w:spacing w:line="244" w:lineRule="auto" w:before="2"/>
        <w:ind w:right="27" w:hanging="100"/>
      </w:pPr>
      <w:r>
        <w:rPr>
          <w:rFonts w:ascii="Arial" w:hAnsi="Arial"/>
          <w:color w:val="231F1F"/>
          <w:w w:val="355"/>
          <w:position w:val="1"/>
          <w:sz w:val="7"/>
        </w:rPr>
        <w:t>l</w:t>
      </w:r>
      <w:r>
        <w:rPr>
          <w:rFonts w:ascii="Arial" w:hAnsi="Arial"/>
          <w:color w:val="231F1F"/>
          <w:spacing w:val="-37"/>
          <w:w w:val="355"/>
          <w:position w:val="1"/>
          <w:sz w:val="7"/>
        </w:rPr>
        <w:t> </w:t>
      </w:r>
      <w:r>
        <w:rPr>
          <w:rFonts w:ascii="Calibri" w:hAnsi="Calibri"/>
          <w:color w:val="231F1F"/>
          <w:w w:val="115"/>
        </w:rPr>
        <w:t>Antivirals:</w:t>
      </w:r>
      <w:r>
        <w:rPr>
          <w:rFonts w:ascii="Calibri" w:hAnsi="Calibri"/>
          <w:color w:val="231F1F"/>
          <w:spacing w:val="-6"/>
          <w:w w:val="115"/>
        </w:rPr>
        <w:t> </w:t>
      </w:r>
      <w:r>
        <w:rPr>
          <w:color w:val="231F1F"/>
          <w:w w:val="115"/>
        </w:rPr>
        <w:t>plasma</w:t>
      </w:r>
      <w:r>
        <w:rPr>
          <w:color w:val="231F1F"/>
          <w:spacing w:val="-9"/>
          <w:w w:val="115"/>
        </w:rPr>
        <w:t> </w:t>
      </w:r>
      <w:r>
        <w:rPr>
          <w:color w:val="231F1F"/>
          <w:w w:val="115"/>
        </w:rPr>
        <w:t>concentration</w:t>
      </w:r>
      <w:r>
        <w:rPr>
          <w:color w:val="231F1F"/>
          <w:spacing w:val="-8"/>
          <w:w w:val="115"/>
        </w:rPr>
        <w:t> </w:t>
      </w:r>
      <w:r>
        <w:rPr>
          <w:color w:val="231F1F"/>
          <w:w w:val="115"/>
        </w:rPr>
        <w:t>of</w:t>
      </w:r>
      <w:r>
        <w:rPr>
          <w:color w:val="231F1F"/>
          <w:spacing w:val="-8"/>
          <w:w w:val="115"/>
        </w:rPr>
        <w:t> </w:t>
      </w:r>
      <w:r>
        <w:rPr>
          <w:color w:val="231F1F"/>
          <w:w w:val="115"/>
        </w:rPr>
        <w:t>both</w:t>
      </w:r>
      <w:r>
        <w:rPr>
          <w:color w:val="231F1F"/>
          <w:spacing w:val="-9"/>
          <w:w w:val="115"/>
        </w:rPr>
        <w:t> </w:t>
      </w:r>
      <w:r>
        <w:rPr>
          <w:color w:val="231F1F"/>
          <w:w w:val="115"/>
        </w:rPr>
        <w:t>drugs</w:t>
      </w:r>
      <w:r>
        <w:rPr>
          <w:color w:val="231F1F"/>
          <w:spacing w:val="-9"/>
          <w:w w:val="115"/>
        </w:rPr>
        <w:t> </w:t>
      </w:r>
      <w:r>
        <w:rPr>
          <w:color w:val="231F1F"/>
          <w:w w:val="115"/>
        </w:rPr>
        <w:t>increased</w:t>
      </w:r>
      <w:r>
        <w:rPr>
          <w:color w:val="231F1F"/>
          <w:spacing w:val="-9"/>
          <w:w w:val="115"/>
        </w:rPr>
        <w:t> </w:t>
      </w:r>
      <w:r>
        <w:rPr>
          <w:color w:val="231F1F"/>
          <w:spacing w:val="-4"/>
          <w:w w:val="115"/>
        </w:rPr>
        <w:t>when </w:t>
      </w:r>
      <w:r>
        <w:rPr>
          <w:color w:val="231F1F"/>
          <w:w w:val="115"/>
        </w:rPr>
        <w:t>simeprevir given with </w:t>
      </w:r>
      <w:r>
        <w:rPr>
          <w:rFonts w:ascii="Arial" w:hAnsi="Arial"/>
          <w:color w:val="231F1F"/>
          <w:w w:val="355"/>
          <w:position w:val="1"/>
          <w:sz w:val="7"/>
        </w:rPr>
        <w:t>l </w:t>
      </w:r>
      <w:r>
        <w:rPr>
          <w:rFonts w:ascii="Calibri" w:hAnsi="Calibri"/>
          <w:color w:val="008356"/>
          <w:w w:val="115"/>
          <w:sz w:val="11"/>
        </w:rPr>
        <w:t>DARUNAVIR</w:t>
      </w:r>
      <w:r>
        <w:rPr>
          <w:rFonts w:ascii="Arial" w:hAnsi="Arial"/>
          <w:color w:val="231F1F"/>
          <w:w w:val="115"/>
        </w:rPr>
        <w:t>—</w:t>
      </w:r>
      <w:r>
        <w:rPr>
          <w:color w:val="231F1F"/>
          <w:w w:val="115"/>
        </w:rPr>
        <w:t>manufacturer of simeprevir advises avoid concomitant use; plasma concentration of simeprevir reduced by </w:t>
      </w:r>
      <w:r>
        <w:rPr>
          <w:rFonts w:ascii="Calibri" w:hAnsi="Calibri"/>
          <w:color w:val="008356"/>
          <w:spacing w:val="3"/>
          <w:w w:val="115"/>
          <w:sz w:val="11"/>
        </w:rPr>
        <w:t>EFAVIRENZ</w:t>
      </w:r>
      <w:r>
        <w:rPr>
          <w:color w:val="231F1F"/>
          <w:spacing w:val="3"/>
          <w:w w:val="115"/>
        </w:rPr>
        <w:t>; </w:t>
      </w:r>
      <w:r>
        <w:rPr>
          <w:color w:val="231F1F"/>
          <w:w w:val="115"/>
        </w:rPr>
        <w:t>manufacturer of simeprevir advises avoid concomitant use with</w:t>
      </w:r>
      <w:r>
        <w:rPr>
          <w:color w:val="231F1F"/>
          <w:spacing w:val="-19"/>
          <w:w w:val="115"/>
        </w:rPr>
        <w:t> </w:t>
      </w:r>
      <w:r>
        <w:rPr>
          <w:rFonts w:ascii="Calibri" w:hAnsi="Calibri"/>
          <w:color w:val="008356"/>
          <w:spacing w:val="4"/>
          <w:w w:val="115"/>
          <w:sz w:val="11"/>
        </w:rPr>
        <w:t>ETRAVIRINE</w:t>
      </w:r>
      <w:r>
        <w:rPr>
          <w:color w:val="231F1F"/>
          <w:spacing w:val="4"/>
          <w:w w:val="115"/>
        </w:rPr>
        <w:t>;</w:t>
      </w:r>
      <w:r>
        <w:rPr>
          <w:color w:val="231F1F"/>
          <w:spacing w:val="-18"/>
          <w:w w:val="115"/>
        </w:rPr>
        <w:t> </w:t>
      </w:r>
      <w:r>
        <w:rPr>
          <w:color w:val="231F1F"/>
          <w:w w:val="115"/>
        </w:rPr>
        <w:t>plasma</w:t>
      </w:r>
      <w:r>
        <w:rPr>
          <w:color w:val="231F1F"/>
          <w:spacing w:val="-18"/>
          <w:w w:val="115"/>
        </w:rPr>
        <w:t> </w:t>
      </w:r>
      <w:r>
        <w:rPr>
          <w:color w:val="231F1F"/>
          <w:w w:val="115"/>
        </w:rPr>
        <w:t>concentration</w:t>
      </w:r>
      <w:r>
        <w:rPr>
          <w:color w:val="231F1F"/>
          <w:spacing w:val="-20"/>
          <w:w w:val="115"/>
        </w:rPr>
        <w:t> </w:t>
      </w:r>
      <w:r>
        <w:rPr>
          <w:color w:val="231F1F"/>
          <w:w w:val="115"/>
        </w:rPr>
        <w:t>of</w:t>
      </w:r>
      <w:r>
        <w:rPr>
          <w:color w:val="231F1F"/>
          <w:spacing w:val="-18"/>
          <w:w w:val="115"/>
        </w:rPr>
        <w:t> </w:t>
      </w:r>
      <w:r>
        <w:rPr>
          <w:color w:val="231F1F"/>
          <w:w w:val="115"/>
        </w:rPr>
        <w:t>simeprevir</w:t>
      </w:r>
      <w:r>
        <w:rPr>
          <w:color w:val="231F1F"/>
          <w:spacing w:val="-19"/>
          <w:w w:val="115"/>
        </w:rPr>
        <w:t> </w:t>
      </w:r>
      <w:r>
        <w:rPr>
          <w:color w:val="231F1F"/>
          <w:w w:val="115"/>
        </w:rPr>
        <w:t>possibly reduced</w:t>
      </w:r>
      <w:r>
        <w:rPr>
          <w:color w:val="231F1F"/>
          <w:spacing w:val="-25"/>
          <w:w w:val="115"/>
        </w:rPr>
        <w:t> </w:t>
      </w:r>
      <w:r>
        <w:rPr>
          <w:color w:val="231F1F"/>
          <w:w w:val="115"/>
        </w:rPr>
        <w:t>by</w:t>
      </w:r>
      <w:r>
        <w:rPr>
          <w:color w:val="231F1F"/>
          <w:spacing w:val="-24"/>
          <w:w w:val="115"/>
        </w:rPr>
        <w:t> </w:t>
      </w:r>
      <w:r>
        <w:rPr>
          <w:rFonts w:ascii="Arial" w:hAnsi="Arial"/>
          <w:color w:val="231F1F"/>
          <w:w w:val="340"/>
          <w:position w:val="1"/>
          <w:sz w:val="7"/>
        </w:rPr>
        <w:t>l</w:t>
      </w:r>
      <w:r>
        <w:rPr>
          <w:rFonts w:ascii="Arial" w:hAnsi="Arial"/>
          <w:color w:val="231F1F"/>
          <w:spacing w:val="-56"/>
          <w:w w:val="340"/>
          <w:position w:val="1"/>
          <w:sz w:val="7"/>
        </w:rPr>
        <w:t> </w:t>
      </w:r>
      <w:r>
        <w:rPr>
          <w:rFonts w:ascii="Calibri" w:hAnsi="Calibri"/>
          <w:color w:val="008356"/>
          <w:spacing w:val="2"/>
          <w:w w:val="115"/>
          <w:sz w:val="11"/>
        </w:rPr>
        <w:t>NEVIRAPINE</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3"/>
          <w:w w:val="115"/>
        </w:rPr>
        <w:t> </w:t>
      </w:r>
      <w:r>
        <w:rPr>
          <w:color w:val="231F1F"/>
          <w:w w:val="115"/>
        </w:rPr>
        <w:t>simeprevir</w:t>
      </w:r>
      <w:r>
        <w:rPr>
          <w:color w:val="231F1F"/>
          <w:spacing w:val="-25"/>
          <w:w w:val="115"/>
        </w:rPr>
        <w:t> </w:t>
      </w:r>
      <w:r>
        <w:rPr>
          <w:color w:val="231F1F"/>
          <w:w w:val="115"/>
        </w:rPr>
        <w:t>advises avoid concomitant use; plasma concentration of simeprevir increased</w:t>
      </w:r>
      <w:r>
        <w:rPr>
          <w:color w:val="231F1F"/>
          <w:spacing w:val="-22"/>
          <w:w w:val="115"/>
        </w:rPr>
        <w:t> </w:t>
      </w:r>
      <w:r>
        <w:rPr>
          <w:color w:val="231F1F"/>
          <w:w w:val="115"/>
        </w:rPr>
        <w:t>by</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w w:val="115"/>
          <w:sz w:val="11"/>
        </w:rPr>
        <w:t>RITONAVIR</w:t>
      </w:r>
      <w:r>
        <w:rPr>
          <w:rFonts w:ascii="Arial" w:hAnsi="Arial"/>
          <w:color w:val="231F1F"/>
          <w:w w:val="115"/>
        </w:rPr>
        <w:t>—</w:t>
      </w:r>
      <w:r>
        <w:rPr>
          <w:color w:val="231F1F"/>
          <w:w w:val="115"/>
        </w:rPr>
        <w:t>manufacturer</w:t>
      </w:r>
      <w:r>
        <w:rPr>
          <w:color w:val="231F1F"/>
          <w:spacing w:val="-21"/>
          <w:w w:val="115"/>
        </w:rPr>
        <w:t> </w:t>
      </w:r>
      <w:r>
        <w:rPr>
          <w:color w:val="231F1F"/>
          <w:w w:val="115"/>
        </w:rPr>
        <w:t>of</w:t>
      </w:r>
      <w:r>
        <w:rPr>
          <w:color w:val="231F1F"/>
          <w:spacing w:val="-21"/>
          <w:w w:val="115"/>
        </w:rPr>
        <w:t> </w:t>
      </w:r>
      <w:r>
        <w:rPr>
          <w:color w:val="231F1F"/>
          <w:w w:val="115"/>
        </w:rPr>
        <w:t>simeprevir</w:t>
      </w:r>
      <w:r>
        <w:rPr>
          <w:color w:val="231F1F"/>
          <w:spacing w:val="-22"/>
          <w:w w:val="115"/>
        </w:rPr>
        <w:t> </w:t>
      </w:r>
      <w:r>
        <w:rPr>
          <w:color w:val="231F1F"/>
          <w:w w:val="115"/>
        </w:rPr>
        <w:t>advises avoid concomitant</w:t>
      </w:r>
      <w:r>
        <w:rPr>
          <w:color w:val="231F1F"/>
          <w:spacing w:val="-10"/>
          <w:w w:val="115"/>
        </w:rPr>
        <w:t> </w:t>
      </w:r>
      <w:r>
        <w:rPr>
          <w:color w:val="231F1F"/>
          <w:w w:val="115"/>
        </w:rPr>
        <w:t>use</w:t>
      </w:r>
    </w:p>
    <w:p>
      <w:pPr>
        <w:pStyle w:val="BodyText"/>
        <w:spacing w:line="220" w:lineRule="auto" w:before="5"/>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simeprevir increases plasma concentration of </w:t>
      </w:r>
      <w:r>
        <w:rPr>
          <w:i/>
          <w:color w:val="231F1F"/>
          <w:w w:val="105"/>
        </w:rPr>
        <w:t>oral </w:t>
      </w:r>
      <w:r>
        <w:rPr>
          <w:rFonts w:ascii="Calibri" w:hAnsi="Calibri"/>
          <w:color w:val="008356"/>
          <w:w w:val="105"/>
          <w:sz w:val="11"/>
        </w:rPr>
        <w:t>MIDAZOLAM</w:t>
      </w:r>
    </w:p>
    <w:p>
      <w:pPr>
        <w:pStyle w:val="BodyText"/>
        <w:spacing w:line="220" w:lineRule="auto" w:before="9"/>
        <w:ind w:right="189"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simeprevir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DIGOXIN</w:t>
      </w:r>
    </w:p>
    <w:p>
      <w:pPr>
        <w:pStyle w:val="BodyText"/>
        <w:ind w:right="438" w:hanging="100"/>
        <w:jc w:val="both"/>
      </w:pP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231F1F"/>
          <w:w w:val="115"/>
        </w:rPr>
        <w:t>Cobicistat:</w:t>
      </w:r>
      <w:r>
        <w:rPr>
          <w:rFonts w:ascii="Calibri" w:hAns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simeprevir</w:t>
      </w:r>
      <w:r>
        <w:rPr>
          <w:color w:val="231F1F"/>
          <w:spacing w:val="-13"/>
          <w:w w:val="115"/>
        </w:rPr>
        <w:t> </w:t>
      </w:r>
      <w:r>
        <w:rPr>
          <w:color w:val="231F1F"/>
          <w:w w:val="115"/>
        </w:rPr>
        <w:t>possibly increased</w:t>
      </w:r>
      <w:r>
        <w:rPr>
          <w:color w:val="231F1F"/>
          <w:spacing w:val="-18"/>
          <w:w w:val="115"/>
        </w:rPr>
        <w:t> </w:t>
      </w:r>
      <w:r>
        <w:rPr>
          <w:color w:val="231F1F"/>
          <w:w w:val="115"/>
        </w:rPr>
        <w:t>by</w:t>
      </w:r>
      <w:r>
        <w:rPr>
          <w:color w:val="231F1F"/>
          <w:spacing w:val="-17"/>
          <w:w w:val="115"/>
        </w:rPr>
        <w:t> </w:t>
      </w:r>
      <w:r>
        <w:rPr>
          <w:rFonts w:ascii="Arial" w:hAnsi="Arial"/>
          <w:color w:val="231F1F"/>
          <w:w w:val="115"/>
          <w:position w:val="1"/>
          <w:sz w:val="7"/>
        </w:rPr>
        <w:t>l</w:t>
      </w:r>
      <w:r>
        <w:rPr>
          <w:rFonts w:ascii="Arial" w:hAnsi="Arial"/>
          <w:color w:val="231F1F"/>
          <w:spacing w:val="-6"/>
          <w:w w:val="115"/>
          <w:position w:val="1"/>
          <w:sz w:val="7"/>
        </w:rPr>
        <w:t> </w:t>
      </w:r>
      <w:r>
        <w:rPr>
          <w:rFonts w:ascii="Calibri" w:hAnsi="Calibri"/>
          <w:color w:val="008356"/>
          <w:w w:val="115"/>
          <w:sz w:val="11"/>
        </w:rPr>
        <w:t>COBICISTAT</w:t>
      </w:r>
      <w:r>
        <w:rPr>
          <w:rFonts w:ascii="Arial" w:hAnsi="Arial"/>
          <w:color w:val="231F1F"/>
          <w:w w:val="115"/>
        </w:rPr>
        <w:t>—</w:t>
      </w:r>
      <w:r>
        <w:rPr>
          <w:color w:val="231F1F"/>
          <w:w w:val="115"/>
        </w:rPr>
        <w:t>manufacturer</w:t>
      </w:r>
      <w:r>
        <w:rPr>
          <w:color w:val="231F1F"/>
          <w:spacing w:val="-18"/>
          <w:w w:val="115"/>
        </w:rPr>
        <w:t> </w:t>
      </w:r>
      <w:r>
        <w:rPr>
          <w:color w:val="231F1F"/>
          <w:w w:val="115"/>
        </w:rPr>
        <w:t>of</w:t>
      </w:r>
      <w:r>
        <w:rPr>
          <w:color w:val="231F1F"/>
          <w:spacing w:val="-17"/>
          <w:w w:val="115"/>
        </w:rPr>
        <w:t> </w:t>
      </w:r>
      <w:r>
        <w:rPr>
          <w:color w:val="231F1F"/>
          <w:w w:val="115"/>
        </w:rPr>
        <w:t>simeprevir </w:t>
      </w:r>
      <w:r>
        <w:rPr>
          <w:color w:val="231F1F"/>
          <w:w w:val="120"/>
        </w:rPr>
        <w:t>advises avoid concomitant</w:t>
      </w:r>
      <w:r>
        <w:rPr>
          <w:color w:val="231F1F"/>
          <w:spacing w:val="-23"/>
          <w:w w:val="120"/>
        </w:rPr>
        <w:t> </w:t>
      </w:r>
      <w:r>
        <w:rPr>
          <w:color w:val="231F1F"/>
          <w:w w:val="120"/>
        </w:rPr>
        <w:t>use</w:t>
      </w:r>
    </w:p>
    <w:p>
      <w:pPr>
        <w:pStyle w:val="BodyText"/>
        <w:spacing w:line="230" w:lineRule="auto" w:before="6"/>
        <w:ind w:right="169" w:hanging="100"/>
      </w:pPr>
      <w:r>
        <w:rPr>
          <w:rFonts w:ascii="Lucida Sans Unicode" w:hAnsi="Lucida Sans Unicode"/>
          <w:color w:val="A7A8AC"/>
          <w:w w:val="95"/>
          <w:sz w:val="10"/>
        </w:rPr>
        <w:t>▶ </w:t>
      </w:r>
      <w:r>
        <w:rPr>
          <w:rFonts w:ascii="Calibri" w:hAnsi="Calibri"/>
          <w:color w:val="231F1F"/>
          <w:w w:val="110"/>
        </w:rPr>
        <w:t>Corticosteroids: </w:t>
      </w:r>
      <w:r>
        <w:rPr>
          <w:color w:val="231F1F"/>
          <w:w w:val="110"/>
        </w:rPr>
        <w:t>plasma concentration of simeprevir</w:t>
      </w:r>
      <w:r>
        <w:rPr>
          <w:color w:val="231F1F"/>
          <w:spacing w:val="-17"/>
          <w:w w:val="110"/>
        </w:rPr>
        <w:t> </w:t>
      </w:r>
      <w:r>
        <w:rPr>
          <w:color w:val="231F1F"/>
          <w:w w:val="110"/>
        </w:rPr>
        <w:t>possibly reduced by </w:t>
      </w:r>
      <w:r>
        <w:rPr>
          <w:rFonts w:ascii="Calibri" w:hAnsi="Calibri"/>
          <w:color w:val="008356"/>
          <w:spacing w:val="2"/>
          <w:w w:val="110"/>
          <w:sz w:val="11"/>
        </w:rPr>
        <w:t>DEXAMETHASONE</w:t>
      </w:r>
      <w:r>
        <w:rPr>
          <w:rFonts w:ascii="Arial" w:hAnsi="Arial"/>
          <w:color w:val="231F1F"/>
          <w:spacing w:val="2"/>
          <w:w w:val="110"/>
        </w:rPr>
        <w:t>—</w:t>
      </w:r>
      <w:r>
        <w:rPr>
          <w:color w:val="231F1F"/>
          <w:spacing w:val="2"/>
          <w:w w:val="110"/>
        </w:rPr>
        <w:t>manufacturer </w:t>
      </w:r>
      <w:r>
        <w:rPr>
          <w:color w:val="231F1F"/>
          <w:w w:val="110"/>
        </w:rPr>
        <w:t>of simeprevir advises avoid concomitant</w:t>
      </w:r>
      <w:r>
        <w:rPr>
          <w:color w:val="231F1F"/>
          <w:spacing w:val="-5"/>
          <w:w w:val="110"/>
        </w:rPr>
        <w:t> </w:t>
      </w:r>
      <w:r>
        <w:rPr>
          <w:color w:val="231F1F"/>
          <w:w w:val="110"/>
        </w:rPr>
        <w:t>use</w:t>
      </w:r>
    </w:p>
    <w:p>
      <w:pPr>
        <w:spacing w:line="235" w:lineRule="auto" w:before="5"/>
        <w:ind w:left="208" w:right="116" w:hanging="100"/>
        <w:jc w:val="left"/>
        <w:rPr>
          <w:sz w:val="12"/>
        </w:rPr>
      </w:pPr>
      <w:r>
        <w:rPr>
          <w:rFonts w:ascii="Lucida Sans Unicode" w:hAnsi="Lucida Sans Unicode"/>
          <w:color w:val="A7A8AC"/>
          <w:w w:val="95"/>
          <w:sz w:val="10"/>
        </w:rPr>
        <w:t>▶ </w:t>
      </w:r>
      <w:r>
        <w:rPr>
          <w:rFonts w:ascii="Calibri" w:hAnsi="Calibri"/>
          <w:color w:val="231F1F"/>
          <w:w w:val="110"/>
          <w:sz w:val="12"/>
        </w:rPr>
        <w:t>Lipid-regulating Drugs: </w:t>
      </w:r>
      <w:r>
        <w:rPr>
          <w:color w:val="231F1F"/>
          <w:w w:val="110"/>
          <w:sz w:val="12"/>
        </w:rPr>
        <w:t>simeprevir increases plasma concentration of </w:t>
      </w:r>
      <w:r>
        <w:rPr>
          <w:rFonts w:ascii="Calibri" w:hAnsi="Calibri"/>
          <w:color w:val="008356"/>
          <w:w w:val="110"/>
          <w:sz w:val="11"/>
        </w:rPr>
        <w:t>ATORVASTATIN</w:t>
      </w:r>
      <w:r>
        <w:rPr>
          <w:color w:val="231F1F"/>
          <w:w w:val="110"/>
          <w:sz w:val="12"/>
        </w:rPr>
        <w:t>, </w:t>
      </w:r>
      <w:r>
        <w:rPr>
          <w:rFonts w:ascii="Calibri" w:hAnsi="Calibri"/>
          <w:color w:val="008356"/>
          <w:w w:val="110"/>
          <w:sz w:val="11"/>
        </w:rPr>
        <w:t>ROSUVASTATIN </w:t>
      </w:r>
      <w:r>
        <w:rPr>
          <w:color w:val="231F1F"/>
          <w:w w:val="110"/>
          <w:sz w:val="12"/>
        </w:rPr>
        <w:t>and </w:t>
      </w:r>
      <w:r>
        <w:rPr>
          <w:rFonts w:ascii="Calibri" w:hAnsi="Calibri"/>
          <w:color w:val="008356"/>
          <w:w w:val="110"/>
          <w:sz w:val="11"/>
        </w:rPr>
        <w:t>SIMVASTATIN </w:t>
      </w:r>
      <w:r>
        <w:rPr>
          <w:color w:val="231F1F"/>
          <w:w w:val="110"/>
          <w:sz w:val="12"/>
        </w:rPr>
        <w:t>(consider reducing dose of atorvastatin, rosuvastatin and simvastatin)</w:t>
      </w:r>
    </w:p>
    <w:p>
      <w:pPr>
        <w:pStyle w:val="BodyText"/>
        <w:spacing w:before="11"/>
        <w:ind w:left="108"/>
      </w:pPr>
      <w:r>
        <w:rPr>
          <w:rFonts w:ascii="Trebuchet MS"/>
          <w:color w:val="008356"/>
          <w:w w:val="105"/>
        </w:rPr>
        <w:t>Simvastatin </w:t>
      </w:r>
      <w:r>
        <w:rPr>
          <w:i/>
          <w:color w:val="231F1F"/>
          <w:w w:val="105"/>
        </w:rPr>
        <w:t>see </w:t>
      </w:r>
      <w:r>
        <w:rPr>
          <w:color w:val="231F1F"/>
          <w:w w:val="105"/>
        </w:rPr>
        <w:t>Statins</w:t>
      </w:r>
    </w:p>
    <w:p>
      <w:pPr>
        <w:pStyle w:val="BodyText"/>
        <w:spacing w:before="10"/>
        <w:ind w:left="108"/>
        <w:rPr>
          <w:rFonts w:ascii="Trebuchet MS"/>
        </w:rPr>
      </w:pPr>
      <w:r>
        <w:rPr>
          <w:rFonts w:ascii="Trebuchet MS"/>
          <w:color w:val="008356"/>
          <w:w w:val="105"/>
        </w:rPr>
        <w:t>Sirolimus</w:t>
      </w:r>
    </w:p>
    <w:p>
      <w:pPr>
        <w:pStyle w:val="BodyText"/>
        <w:spacing w:line="220" w:lineRule="auto" w:before="10"/>
        <w:ind w:right="11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caution with sirolimus advised by manufacturer of </w:t>
      </w:r>
      <w:r>
        <w:rPr>
          <w:rFonts w:ascii="Calibri" w:hAnsi="Calibri"/>
          <w:color w:val="008356"/>
          <w:w w:val="105"/>
          <w:sz w:val="11"/>
        </w:rPr>
        <w:t>DRONEDARONE</w:t>
      </w:r>
    </w:p>
    <w:p>
      <w:pPr>
        <w:spacing w:line="242" w:lineRule="auto" w:before="0"/>
        <w:ind w:left="208" w:right="73" w:hanging="100"/>
        <w:jc w:val="left"/>
        <w:rPr>
          <w:sz w:val="12"/>
        </w:rPr>
      </w:pPr>
      <w:r>
        <w:rPr>
          <w:rFonts w:ascii="Arial" w:hAnsi="Arial"/>
          <w:color w:val="231F1F"/>
          <w:w w:val="355"/>
          <w:position w:val="1"/>
          <w:sz w:val="7"/>
        </w:rPr>
        <w:t>l </w:t>
      </w:r>
      <w:r>
        <w:rPr>
          <w:rFonts w:ascii="Calibri" w:hAnsi="Calibri"/>
          <w:color w:val="231F1F"/>
          <w:w w:val="110"/>
          <w:sz w:val="12"/>
        </w:rPr>
        <w:t>Antibacterials: </w:t>
      </w:r>
      <w:r>
        <w:rPr>
          <w:color w:val="231F1F"/>
          <w:w w:val="110"/>
          <w:sz w:val="12"/>
        </w:rPr>
        <w:t>plasma concentration of sirolimus increased </w:t>
      </w:r>
      <w:r>
        <w:rPr>
          <w:color w:val="231F1F"/>
          <w:spacing w:val="-8"/>
          <w:w w:val="110"/>
          <w:sz w:val="12"/>
        </w:rPr>
        <w:t>by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CLARITHROMYCIN</w:t>
      </w:r>
      <w:r>
        <w:rPr>
          <w:rFonts w:ascii="Calibri" w:hAnsi="Calibri"/>
          <w:color w:val="008356"/>
          <w:spacing w:val="-10"/>
          <w:w w:val="110"/>
          <w:sz w:val="11"/>
        </w:rPr>
        <w:t> </w:t>
      </w:r>
      <w:r>
        <w:rPr>
          <w:color w:val="231F1F"/>
          <w:w w:val="110"/>
          <w:sz w:val="12"/>
        </w:rPr>
        <w:t>and</w:t>
      </w:r>
      <w:r>
        <w:rPr>
          <w:color w:val="231F1F"/>
          <w:spacing w:val="-19"/>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0"/>
          <w:sz w:val="11"/>
        </w:rPr>
        <w:t>TELITHROMYCIN</w:t>
      </w:r>
      <w:r>
        <w:rPr>
          <w:rFonts w:ascii="Arial" w:hAnsi="Arial"/>
          <w:color w:val="231F1F"/>
          <w:spacing w:val="3"/>
          <w:w w:val="110"/>
          <w:sz w:val="12"/>
        </w:rPr>
        <w:t>—</w:t>
      </w:r>
      <w:r>
        <w:rPr>
          <w:color w:val="231F1F"/>
          <w:spacing w:val="3"/>
          <w:w w:val="110"/>
          <w:sz w:val="12"/>
        </w:rPr>
        <w:t>avoid</w:t>
      </w:r>
      <w:r>
        <w:rPr>
          <w:color w:val="231F1F"/>
          <w:spacing w:val="-19"/>
          <w:w w:val="110"/>
          <w:sz w:val="12"/>
        </w:rPr>
        <w:t> </w:t>
      </w:r>
      <w:r>
        <w:rPr>
          <w:color w:val="231F1F"/>
          <w:w w:val="110"/>
          <w:sz w:val="12"/>
        </w:rPr>
        <w:t>concomitant use; plasma concentration of both drugs increased when sirolimus given with </w:t>
      </w:r>
      <w:r>
        <w:rPr>
          <w:rFonts w:ascii="Arial" w:hAnsi="Arial"/>
          <w:color w:val="231F1F"/>
          <w:w w:val="355"/>
          <w:position w:val="1"/>
          <w:sz w:val="7"/>
        </w:rPr>
        <w:t>l </w:t>
      </w:r>
      <w:r>
        <w:rPr>
          <w:rFonts w:ascii="Calibri" w:hAnsi="Calibri"/>
          <w:color w:val="008356"/>
          <w:spacing w:val="4"/>
          <w:w w:val="110"/>
          <w:sz w:val="11"/>
        </w:rPr>
        <w:t>ERYTHROMYCIN</w:t>
      </w:r>
      <w:r>
        <w:rPr>
          <w:color w:val="231F1F"/>
          <w:spacing w:val="4"/>
          <w:w w:val="110"/>
          <w:sz w:val="12"/>
        </w:rPr>
        <w:t>; </w:t>
      </w:r>
      <w:r>
        <w:rPr>
          <w:color w:val="231F1F"/>
          <w:w w:val="110"/>
          <w:sz w:val="12"/>
        </w:rPr>
        <w:t>plasma concentration of</w:t>
      </w:r>
      <w:r>
        <w:rPr>
          <w:color w:val="231F1F"/>
          <w:spacing w:val="-10"/>
          <w:w w:val="110"/>
          <w:sz w:val="12"/>
        </w:rPr>
        <w:t> </w:t>
      </w:r>
      <w:r>
        <w:rPr>
          <w:color w:val="231F1F"/>
          <w:w w:val="110"/>
          <w:sz w:val="12"/>
        </w:rPr>
        <w:t>sirolimus</w:t>
      </w:r>
      <w:r>
        <w:rPr>
          <w:color w:val="231F1F"/>
          <w:spacing w:val="-9"/>
          <w:w w:val="110"/>
          <w:sz w:val="12"/>
        </w:rPr>
        <w:t> </w:t>
      </w:r>
      <w:r>
        <w:rPr>
          <w:color w:val="231F1F"/>
          <w:w w:val="110"/>
          <w:sz w:val="12"/>
        </w:rPr>
        <w:t>reduced</w:t>
      </w:r>
      <w:r>
        <w:rPr>
          <w:color w:val="231F1F"/>
          <w:spacing w:val="-9"/>
          <w:w w:val="110"/>
          <w:sz w:val="12"/>
        </w:rPr>
        <w:t> </w:t>
      </w:r>
      <w:r>
        <w:rPr>
          <w:color w:val="231F1F"/>
          <w:w w:val="110"/>
          <w:sz w:val="12"/>
        </w:rPr>
        <w:t>by</w:t>
      </w:r>
      <w:r>
        <w:rPr>
          <w:color w:val="231F1F"/>
          <w:spacing w:val="-9"/>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4"/>
          <w:w w:val="110"/>
          <w:sz w:val="11"/>
        </w:rPr>
        <w:t>RIFABUTIN</w:t>
      </w:r>
      <w:r>
        <w:rPr>
          <w:rFonts w:ascii="Calibri" w:hAnsi="Calibri"/>
          <w:color w:val="008356"/>
          <w:spacing w:val="1"/>
          <w:w w:val="110"/>
          <w:sz w:val="11"/>
        </w:rPr>
        <w:t> </w:t>
      </w:r>
      <w:r>
        <w:rPr>
          <w:color w:val="231F1F"/>
          <w:w w:val="110"/>
          <w:sz w:val="12"/>
        </w:rPr>
        <w:t>and</w:t>
      </w:r>
      <w:r>
        <w:rPr>
          <w:color w:val="231F1F"/>
          <w:spacing w:val="-8"/>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4"/>
          <w:w w:val="110"/>
          <w:sz w:val="12"/>
        </w:rPr>
        <w:t> </w:t>
      </w:r>
      <w:r>
        <w:rPr>
          <w:color w:val="231F1F"/>
          <w:w w:val="110"/>
          <w:sz w:val="12"/>
        </w:rPr>
        <w:t>use</w:t>
      </w:r>
    </w:p>
    <w:p>
      <w:pPr>
        <w:pStyle w:val="BodyText"/>
        <w:spacing w:line="146" w:lineRule="exact" w:before="1"/>
        <w:ind w:left="108"/>
      </w:pPr>
      <w:r>
        <w:rPr>
          <w:rFonts w:ascii="Arial"/>
          <w:color w:val="231F1F"/>
          <w:w w:val="355"/>
          <w:position w:val="1"/>
          <w:sz w:val="7"/>
        </w:rPr>
        <w:t>l </w:t>
      </w:r>
      <w:r>
        <w:rPr>
          <w:rFonts w:ascii="Calibri"/>
          <w:color w:val="231F1F"/>
          <w:w w:val="115"/>
        </w:rPr>
        <w:t>Antifungals: </w:t>
      </w:r>
      <w:r>
        <w:rPr>
          <w:color w:val="231F1F"/>
          <w:w w:val="115"/>
        </w:rPr>
        <w:t>plasma concentration of sirolimus increased by</w:t>
      </w:r>
    </w:p>
    <w:p>
      <w:pPr>
        <w:spacing w:line="142" w:lineRule="exact" w:before="0"/>
        <w:ind w:left="208" w:right="0" w:firstLine="0"/>
        <w:jc w:val="left"/>
        <w:rPr>
          <w:sz w:val="12"/>
        </w:rPr>
      </w:pPr>
      <w:r>
        <w:rPr>
          <w:rFonts w:ascii="Arial" w:hAnsi="Arial"/>
          <w:color w:val="231F1F"/>
          <w:w w:val="110"/>
          <w:position w:val="1"/>
          <w:sz w:val="7"/>
        </w:rPr>
        <w:t>l </w:t>
      </w:r>
      <w:r>
        <w:rPr>
          <w:rFonts w:ascii="Calibri" w:hAnsi="Calibri"/>
          <w:color w:val="008356"/>
          <w:w w:val="110"/>
          <w:sz w:val="11"/>
        </w:rPr>
        <w:t>ITRACONAZOLE</w:t>
      </w:r>
      <w:r>
        <w:rPr>
          <w:color w:val="231F1F"/>
          <w:w w:val="110"/>
          <w:sz w:val="12"/>
        </w:rPr>
        <w:t>, </w:t>
      </w:r>
      <w:r>
        <w:rPr>
          <w:rFonts w:ascii="Arial" w:hAnsi="Arial"/>
          <w:color w:val="231F1F"/>
          <w:w w:val="110"/>
          <w:position w:val="1"/>
          <w:sz w:val="7"/>
        </w:rPr>
        <w:t>l </w:t>
      </w:r>
      <w:r>
        <w:rPr>
          <w:rFonts w:ascii="Calibri" w:hAnsi="Calibri"/>
          <w:color w:val="008356"/>
          <w:w w:val="110"/>
          <w:sz w:val="11"/>
        </w:rPr>
        <w:t>KETOCONAZOLE </w:t>
      </w:r>
      <w:r>
        <w:rPr>
          <w:color w:val="231F1F"/>
          <w:w w:val="110"/>
          <w:sz w:val="12"/>
        </w:rPr>
        <w:t>and </w:t>
      </w:r>
      <w:r>
        <w:rPr>
          <w:rFonts w:ascii="Arial" w:hAnsi="Arial"/>
          <w:color w:val="231F1F"/>
          <w:w w:val="110"/>
          <w:position w:val="1"/>
          <w:sz w:val="7"/>
        </w:rPr>
        <w:t>l </w:t>
      </w:r>
      <w:r>
        <w:rPr>
          <w:rFonts w:ascii="Calibri" w:hAnsi="Calibri"/>
          <w:color w:val="008356"/>
          <w:w w:val="110"/>
          <w:sz w:val="11"/>
        </w:rPr>
        <w:t>VORICONAZOLE</w:t>
      </w:r>
      <w:r>
        <w:rPr>
          <w:rFonts w:ascii="Arial" w:hAnsi="Arial"/>
          <w:color w:val="231F1F"/>
          <w:w w:val="110"/>
          <w:sz w:val="12"/>
        </w:rPr>
        <w:t>—</w:t>
      </w:r>
      <w:r>
        <w:rPr>
          <w:color w:val="231F1F"/>
          <w:w w:val="110"/>
          <w:sz w:val="12"/>
        </w:rPr>
        <w:t>avoid</w:t>
      </w:r>
    </w:p>
    <w:p>
      <w:pPr>
        <w:spacing w:line="244" w:lineRule="auto" w:before="1"/>
        <w:ind w:left="208" w:right="116" w:firstLine="0"/>
        <w:jc w:val="left"/>
        <w:rPr>
          <w:rFonts w:ascii="Calibri"/>
          <w:sz w:val="11"/>
        </w:rPr>
      </w:pPr>
      <w:r>
        <w:rPr>
          <w:color w:val="231F1F"/>
          <w:w w:val="105"/>
          <w:sz w:val="12"/>
        </w:rPr>
        <w:t>concomitant  use;  plasma   concentration   of   sirolimus increased by </w:t>
      </w:r>
      <w:r>
        <w:rPr>
          <w:rFonts w:ascii="Calibri"/>
          <w:color w:val="008356"/>
          <w:spacing w:val="4"/>
          <w:w w:val="105"/>
          <w:sz w:val="11"/>
        </w:rPr>
        <w:t>MICAFUNGIN </w:t>
      </w:r>
      <w:r>
        <w:rPr>
          <w:color w:val="231F1F"/>
          <w:w w:val="105"/>
          <w:sz w:val="12"/>
        </w:rPr>
        <w:t>and </w:t>
      </w:r>
      <w:r>
        <w:rPr>
          <w:rFonts w:ascii="Arial"/>
          <w:color w:val="231F1F"/>
          <w:w w:val="355"/>
          <w:position w:val="1"/>
          <w:sz w:val="7"/>
        </w:rPr>
        <w:t>l </w:t>
      </w:r>
      <w:r>
        <w:rPr>
          <w:rFonts w:ascii="Calibri"/>
          <w:color w:val="008356"/>
          <w:spacing w:val="4"/>
          <w:w w:val="105"/>
          <w:sz w:val="11"/>
        </w:rPr>
        <w:t>MICONAZOLE</w:t>
      </w:r>
      <w:r>
        <w:rPr>
          <w:color w:val="231F1F"/>
          <w:spacing w:val="4"/>
          <w:w w:val="105"/>
          <w:sz w:val="12"/>
        </w:rPr>
        <w:t>; </w:t>
      </w:r>
      <w:r>
        <w:rPr>
          <w:color w:val="231F1F"/>
          <w:w w:val="105"/>
          <w:sz w:val="12"/>
        </w:rPr>
        <w:t>plasma concentration of sirolimus possibly increased by </w:t>
      </w:r>
      <w:r>
        <w:rPr>
          <w:rFonts w:ascii="Calibri"/>
          <w:color w:val="008356"/>
          <w:spacing w:val="2"/>
          <w:w w:val="105"/>
          <w:sz w:val="11"/>
        </w:rPr>
        <w:t>FLUCONAZOLE </w:t>
      </w:r>
      <w:r>
        <w:rPr>
          <w:color w:val="231F1F"/>
          <w:w w:val="105"/>
          <w:sz w:val="12"/>
        </w:rPr>
        <w:t>and</w:t>
      </w:r>
      <w:r>
        <w:rPr>
          <w:color w:val="231F1F"/>
          <w:spacing w:val="-1"/>
          <w:w w:val="105"/>
          <w:sz w:val="12"/>
        </w:rPr>
        <w:t> </w:t>
      </w:r>
      <w:r>
        <w:rPr>
          <w:rFonts w:ascii="Calibri"/>
          <w:color w:val="008356"/>
          <w:spacing w:val="4"/>
          <w:w w:val="105"/>
          <w:sz w:val="11"/>
        </w:rPr>
        <w:t>POSACONAZOLE</w:t>
      </w:r>
    </w:p>
    <w:p>
      <w:pPr>
        <w:pStyle w:val="BodyText"/>
        <w:spacing w:line="244" w:lineRule="auto"/>
        <w:ind w:hanging="100"/>
      </w:pPr>
      <w:r>
        <w:rPr>
          <w:rFonts w:ascii="Arial" w:hAnsi="Arial"/>
          <w:color w:val="231F1F"/>
          <w:w w:val="355"/>
          <w:position w:val="1"/>
          <w:sz w:val="7"/>
        </w:rPr>
        <w:t>l </w:t>
      </w:r>
      <w:r>
        <w:rPr>
          <w:rFonts w:ascii="Calibri" w:hAnsi="Calibri"/>
          <w:color w:val="231F1F"/>
          <w:w w:val="115"/>
        </w:rPr>
        <w:t>Antivirals: </w:t>
      </w:r>
      <w:r>
        <w:rPr>
          <w:color w:val="231F1F"/>
          <w:w w:val="115"/>
        </w:rPr>
        <w:t>plasma concentration of sirolimus possibly increased by </w:t>
      </w:r>
      <w:r>
        <w:rPr>
          <w:rFonts w:ascii="Arial" w:hAnsi="Arial"/>
          <w:color w:val="231F1F"/>
          <w:w w:val="355"/>
          <w:position w:val="1"/>
          <w:sz w:val="7"/>
        </w:rPr>
        <w:t>l </w:t>
      </w:r>
      <w:r>
        <w:rPr>
          <w:rFonts w:ascii="Calibri" w:hAnsi="Calibri"/>
          <w:color w:val="008356"/>
          <w:w w:val="115"/>
          <w:sz w:val="11"/>
        </w:rPr>
        <w:t>ATAZANAVIR </w:t>
      </w:r>
      <w:r>
        <w:rPr>
          <w:color w:val="231F1F"/>
          <w:w w:val="115"/>
        </w:rPr>
        <w:t>and </w:t>
      </w:r>
      <w:r>
        <w:rPr>
          <w:rFonts w:ascii="Calibri" w:hAnsi="Calibri"/>
          <w:color w:val="008356"/>
          <w:w w:val="115"/>
          <w:sz w:val="11"/>
        </w:rPr>
        <w:t>LOPINAVIR</w:t>
      </w:r>
      <w:r>
        <w:rPr>
          <w:color w:val="231F1F"/>
          <w:w w:val="115"/>
        </w:rPr>
        <w:t>; plasma concentration of sirolimus increased by </w:t>
      </w:r>
      <w:r>
        <w:rPr>
          <w:rFonts w:ascii="Arial" w:hAnsi="Arial"/>
          <w:color w:val="231F1F"/>
          <w:w w:val="355"/>
          <w:position w:val="1"/>
          <w:sz w:val="7"/>
        </w:rPr>
        <w:t>l </w:t>
      </w:r>
      <w:r>
        <w:rPr>
          <w:rFonts w:ascii="Calibri" w:hAnsi="Calibri"/>
          <w:color w:val="008356"/>
          <w:w w:val="115"/>
          <w:sz w:val="11"/>
        </w:rPr>
        <w:t>BOCEPREVIR </w:t>
      </w:r>
      <w:r>
        <w:rPr>
          <w:color w:val="231F1F"/>
          <w:w w:val="115"/>
        </w:rPr>
        <w:t>(increased risk of toxicity</w:t>
      </w:r>
      <w:r>
        <w:rPr>
          <w:rFonts w:ascii="Arial" w:hAnsi="Arial"/>
          <w:color w:val="231F1F"/>
          <w:w w:val="115"/>
        </w:rPr>
        <w:t>—</w:t>
      </w:r>
      <w:r>
        <w:rPr>
          <w:color w:val="231F1F"/>
          <w:w w:val="115"/>
        </w:rPr>
        <w:t>reduce sirolimus dose); plasma concentration of both drugs increased when sirolimus given with </w:t>
      </w:r>
      <w:r>
        <w:rPr>
          <w:rFonts w:ascii="Arial" w:hAnsi="Arial"/>
          <w:color w:val="231F1F"/>
          <w:w w:val="355"/>
          <w:position w:val="1"/>
          <w:sz w:val="7"/>
        </w:rPr>
        <w:t>l </w:t>
      </w:r>
      <w:r>
        <w:rPr>
          <w:rFonts w:ascii="Calibri" w:hAnsi="Calibri"/>
          <w:color w:val="008356"/>
          <w:w w:val="115"/>
          <w:sz w:val="11"/>
        </w:rPr>
        <w:t>TELAPREVIR </w:t>
      </w:r>
      <w:r>
        <w:rPr>
          <w:color w:val="231F1F"/>
          <w:w w:val="115"/>
        </w:rPr>
        <w:t>(reduce dose of sirolimus)</w:t>
      </w:r>
    </w:p>
    <w:p>
      <w:pPr>
        <w:pStyle w:val="BodyText"/>
        <w:spacing w:line="140" w:lineRule="exact"/>
        <w:ind w:left="108"/>
        <w:jc w:val="both"/>
      </w:pPr>
      <w:r>
        <w:rPr>
          <w:rFonts w:ascii="Arial"/>
          <w:color w:val="231F1F"/>
          <w:w w:val="355"/>
          <w:position w:val="1"/>
          <w:sz w:val="7"/>
        </w:rPr>
        <w:t>l </w:t>
      </w:r>
      <w:r>
        <w:rPr>
          <w:rFonts w:ascii="Calibri"/>
          <w:color w:val="231F1F"/>
          <w:w w:val="110"/>
        </w:rPr>
        <w:t>Calcium-channel Blockers: </w:t>
      </w:r>
      <w:r>
        <w:rPr>
          <w:color w:val="231F1F"/>
          <w:w w:val="110"/>
        </w:rPr>
        <w:t>plasma concentration of sirolimus</w:t>
      </w:r>
    </w:p>
    <w:p>
      <w:pPr>
        <w:pStyle w:val="BodyText"/>
        <w:spacing w:line="242" w:lineRule="auto"/>
        <w:ind w:right="106"/>
        <w:jc w:val="both"/>
        <w:rPr>
          <w:rFonts w:ascii="Calibri"/>
          <w:sz w:val="11"/>
        </w:rPr>
      </w:pPr>
      <w:r>
        <w:rPr>
          <w:color w:val="231F1F"/>
          <w:w w:val="110"/>
        </w:rPr>
        <w:t>possibly increased by </w:t>
      </w:r>
      <w:r>
        <w:rPr>
          <w:rFonts w:ascii="Calibri"/>
          <w:color w:val="008356"/>
          <w:w w:val="110"/>
          <w:sz w:val="11"/>
        </w:rPr>
        <w:t>NICARDIPINE</w:t>
      </w:r>
      <w:r>
        <w:rPr>
          <w:color w:val="231F1F"/>
          <w:w w:val="110"/>
        </w:rPr>
        <w:t>; plasma concentration of sirolimus increased by </w:t>
      </w:r>
      <w:r>
        <w:rPr>
          <w:rFonts w:ascii="Arial"/>
          <w:color w:val="231F1F"/>
          <w:w w:val="355"/>
          <w:position w:val="1"/>
          <w:sz w:val="7"/>
        </w:rPr>
        <w:t>l </w:t>
      </w:r>
      <w:r>
        <w:rPr>
          <w:rFonts w:ascii="Calibri"/>
          <w:color w:val="008356"/>
          <w:w w:val="110"/>
          <w:sz w:val="11"/>
        </w:rPr>
        <w:t>DILTIAZEM</w:t>
      </w:r>
      <w:r>
        <w:rPr>
          <w:color w:val="231F1F"/>
          <w:w w:val="110"/>
        </w:rPr>
        <w:t>; plasma concentration of both drugs increased when sirolimus given with </w:t>
      </w:r>
      <w:r>
        <w:rPr>
          <w:rFonts w:ascii="Arial"/>
          <w:color w:val="231F1F"/>
          <w:w w:val="355"/>
          <w:position w:val="1"/>
          <w:sz w:val="7"/>
        </w:rPr>
        <w:t>l </w:t>
      </w:r>
      <w:r>
        <w:rPr>
          <w:rFonts w:ascii="Calibri"/>
          <w:color w:val="008356"/>
          <w:w w:val="110"/>
          <w:sz w:val="11"/>
        </w:rPr>
        <w:t>VERAPAMIL</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Sirolimus </w:t>
      </w:r>
      <w:r>
        <w:rPr>
          <w:rFonts w:ascii="Calibri"/>
          <w:color w:val="231F1F"/>
        </w:rPr>
        <w:t>(continued)</w:t>
      </w:r>
    </w:p>
    <w:p>
      <w:pPr>
        <w:pStyle w:val="BodyText"/>
        <w:spacing w:line="154" w:lineRule="exact"/>
        <w:ind w:left="108"/>
      </w:pPr>
      <w:r>
        <w:rPr/>
        <w:pict>
          <v:rect style="position:absolute;margin-left:398.891296pt;margin-top:-8.635736pt;width:20.522993pt;height:149.443pt;mso-position-horizontal-relative:page;mso-position-vertical-relative:paragraph;z-index:6304" filled="true" fillcolor="#bfdbcf" stroked="false">
            <v:fill type="solid"/>
            <w10:wrap type="none"/>
          </v:rect>
        </w:pict>
      </w:r>
      <w:r>
        <w:rPr/>
        <w:pict>
          <v:shape style="position:absolute;margin-left:399.725769pt;margin-top:-3.672348pt;width:10.4pt;height:78.850pt;mso-position-horizontal-relative:page;mso-position-vertical-relative:paragraph;z-index:632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05"/>
        </w:rPr>
        <w:t>Ciclosporin: </w:t>
      </w:r>
      <w:r>
        <w:rPr>
          <w:color w:val="231F1F"/>
          <w:w w:val="105"/>
        </w:rPr>
        <w:t>plasma concentration of sirolimus increased by</w:t>
      </w:r>
    </w:p>
    <w:p>
      <w:pPr>
        <w:spacing w:line="130" w:lineRule="exact" w:before="0"/>
        <w:ind w:left="208" w:right="0" w:firstLine="0"/>
        <w:jc w:val="left"/>
        <w:rPr>
          <w:rFonts w:ascii="Calibri"/>
          <w:sz w:val="11"/>
        </w:rPr>
      </w:pPr>
      <w:r>
        <w:rPr>
          <w:rFonts w:ascii="Calibri"/>
          <w:color w:val="008356"/>
          <w:sz w:val="11"/>
        </w:rPr>
        <w:t>CICLOSPORIN</w:t>
      </w:r>
    </w:p>
    <w:p>
      <w:pPr>
        <w:pStyle w:val="BodyText"/>
        <w:spacing w:line="145" w:lineRule="exact"/>
        <w:ind w:left="108"/>
      </w:pPr>
      <w:r>
        <w:rPr>
          <w:rFonts w:ascii="Arial"/>
          <w:color w:val="231F1F"/>
          <w:w w:val="355"/>
          <w:position w:val="1"/>
          <w:sz w:val="7"/>
        </w:rPr>
        <w:t>l </w:t>
      </w:r>
      <w:r>
        <w:rPr>
          <w:rFonts w:ascii="Calibri"/>
          <w:color w:val="231F1F"/>
          <w:w w:val="115"/>
        </w:rPr>
        <w:t>Cytotoxics: </w:t>
      </w:r>
      <w:r>
        <w:rPr>
          <w:color w:val="231F1F"/>
          <w:w w:val="115"/>
        </w:rPr>
        <w:t>caution with sirolimus advised by manufacturer of</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CRIZOTINIB</w:t>
      </w:r>
    </w:p>
    <w:p>
      <w:pPr>
        <w:pStyle w:val="BodyText"/>
        <w:ind w:right="670"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sirolimus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concomitant use</w:t>
      </w:r>
    </w:p>
    <w:p>
      <w:pPr>
        <w:pStyle w:val="BodyText"/>
        <w:spacing w:line="256" w:lineRule="auto" w:before="5"/>
        <w:ind w:left="108" w:right="2366"/>
        <w:rPr>
          <w:rFonts w:ascii="Trebuchet MS"/>
        </w:rPr>
      </w:pPr>
      <w:r>
        <w:rPr>
          <w:rFonts w:ascii="Trebuchet MS"/>
          <w:color w:val="008356"/>
        </w:rPr>
        <w:t>Sitagliptin </w:t>
      </w:r>
      <w:r>
        <w:rPr>
          <w:i/>
          <w:color w:val="231F1F"/>
        </w:rPr>
        <w:t>see </w:t>
      </w:r>
      <w:r>
        <w:rPr>
          <w:color w:val="231F1F"/>
        </w:rPr>
        <w:t>Antidiabetics </w:t>
      </w:r>
      <w:r>
        <w:rPr>
          <w:rFonts w:ascii="Trebuchet MS"/>
          <w:color w:val="008356"/>
        </w:rPr>
        <w:t>Smallpox Vaccine </w:t>
      </w:r>
      <w:r>
        <w:rPr>
          <w:i/>
          <w:color w:val="231F1F"/>
        </w:rPr>
        <w:t>see </w:t>
      </w:r>
      <w:r>
        <w:rPr>
          <w:color w:val="231F1F"/>
        </w:rPr>
        <w:t>Vaccines </w:t>
      </w:r>
      <w:r>
        <w:rPr>
          <w:rFonts w:ascii="Trebuchet MS"/>
          <w:color w:val="008356"/>
        </w:rPr>
        <w:t>Sodium Aurothiomalate</w:t>
      </w:r>
    </w:p>
    <w:p>
      <w:pPr>
        <w:pStyle w:val="BodyText"/>
        <w:spacing w:line="138" w:lineRule="exact"/>
        <w:ind w:left="108"/>
      </w:pPr>
      <w:r>
        <w:rPr>
          <w:rFonts w:ascii="Arial"/>
          <w:color w:val="231F1F"/>
          <w:w w:val="355"/>
          <w:position w:val="1"/>
          <w:sz w:val="7"/>
        </w:rPr>
        <w:t>l </w:t>
      </w:r>
      <w:r>
        <w:rPr>
          <w:rFonts w:ascii="Calibri"/>
          <w:color w:val="231F1F"/>
          <w:w w:val="115"/>
        </w:rPr>
        <w:t>ACE Inhibitors: </w:t>
      </w:r>
      <w:r>
        <w:rPr>
          <w:color w:val="231F1F"/>
          <w:w w:val="115"/>
        </w:rPr>
        <w:t>flushing and hypotension reported when</w:t>
      </w:r>
    </w:p>
    <w:p>
      <w:pPr>
        <w:spacing w:line="140" w:lineRule="exact" w:before="0"/>
        <w:ind w:left="208" w:right="0" w:firstLine="0"/>
        <w:jc w:val="left"/>
        <w:rPr>
          <w:rFonts w:ascii="Calibri"/>
          <w:sz w:val="11"/>
        </w:rPr>
      </w:pPr>
      <w:r>
        <w:rPr>
          <w:color w:val="231F1F"/>
          <w:w w:val="120"/>
          <w:sz w:val="12"/>
        </w:rPr>
        <w:t>sodium aurothiomalate given with </w:t>
      </w:r>
      <w:r>
        <w:rPr>
          <w:rFonts w:ascii="Arial"/>
          <w:color w:val="231F1F"/>
          <w:w w:val="355"/>
          <w:position w:val="1"/>
          <w:sz w:val="7"/>
        </w:rPr>
        <w:t>l </w:t>
      </w:r>
      <w:r>
        <w:rPr>
          <w:rFonts w:ascii="Calibri"/>
          <w:color w:val="008356"/>
          <w:w w:val="120"/>
          <w:sz w:val="11"/>
        </w:rPr>
        <w:t>ACE INHIBITORS</w:t>
      </w:r>
    </w:p>
    <w:p>
      <w:pPr>
        <w:pStyle w:val="BodyText"/>
        <w:spacing w:line="220" w:lineRule="auto" w:before="7"/>
        <w:ind w:right="670" w:hanging="100"/>
      </w:pPr>
      <w:r>
        <w:rPr>
          <w:rFonts w:ascii="Lucida Sans Unicode" w:hAnsi="Lucida Sans Unicode"/>
          <w:color w:val="A7A8AC"/>
          <w:w w:val="95"/>
          <w:sz w:val="10"/>
        </w:rPr>
        <w:t>▶ </w:t>
      </w:r>
      <w:r>
        <w:rPr>
          <w:rFonts w:ascii="Calibri" w:hAnsi="Calibri"/>
          <w:color w:val="231F1F"/>
          <w:w w:val="105"/>
        </w:rPr>
        <w:t>Penicillamine: </w:t>
      </w:r>
      <w:r>
        <w:rPr>
          <w:color w:val="231F1F"/>
          <w:w w:val="105"/>
        </w:rPr>
        <w:t>avoidance of sodium aurothiomalate advised by manufacturer of </w:t>
      </w:r>
      <w:r>
        <w:rPr>
          <w:rFonts w:ascii="Calibri" w:hAnsi="Calibri"/>
          <w:color w:val="008356"/>
          <w:w w:val="105"/>
          <w:sz w:val="11"/>
        </w:rPr>
        <w:t>PENICILLAMINE </w:t>
      </w:r>
      <w:r>
        <w:rPr>
          <w:color w:val="231F1F"/>
          <w:w w:val="105"/>
        </w:rPr>
        <w:t>(increased risk of toxicity)</w:t>
      </w:r>
    </w:p>
    <w:p>
      <w:pPr>
        <w:pStyle w:val="BodyText"/>
        <w:spacing w:before="9"/>
        <w:ind w:left="108"/>
        <w:rPr>
          <w:rFonts w:ascii="Trebuchet MS"/>
        </w:rPr>
      </w:pPr>
      <w:r>
        <w:rPr>
          <w:rFonts w:ascii="Trebuchet MS"/>
          <w:color w:val="008356"/>
        </w:rPr>
        <w:t>Sodium Benzoate</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effects of sodium benzoate possibly reduced by</w:t>
      </w:r>
    </w:p>
    <w:p>
      <w:pPr>
        <w:spacing w:line="134" w:lineRule="exact" w:before="0"/>
        <w:ind w:left="208" w:right="0" w:firstLine="0"/>
        <w:jc w:val="left"/>
        <w:rPr>
          <w:rFonts w:ascii="Calibri"/>
          <w:sz w:val="11"/>
        </w:rPr>
      </w:pPr>
      <w:r>
        <w:rPr>
          <w:rFonts w:ascii="Calibri"/>
          <w:color w:val="008356"/>
          <w:sz w:val="11"/>
        </w:rPr>
        <w:t>SODIUM VALPROATE </w:t>
      </w:r>
      <w:r>
        <w:rPr>
          <w:color w:val="231F1F"/>
          <w:sz w:val="12"/>
        </w:rPr>
        <w:t>and </w:t>
      </w:r>
      <w:r>
        <w:rPr>
          <w:rFonts w:ascii="Calibri"/>
          <w:color w:val="008356"/>
          <w:sz w:val="11"/>
        </w:rPr>
        <w:t>VALPROIC ACID</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sodium benzoate possibly reduced by</w:t>
      </w:r>
    </w:p>
    <w:p>
      <w:pPr>
        <w:spacing w:line="130" w:lineRule="exact" w:before="0"/>
        <w:ind w:left="208" w:right="0" w:firstLine="0"/>
        <w:jc w:val="left"/>
        <w:rPr>
          <w:rFonts w:ascii="Calibri"/>
          <w:sz w:val="11"/>
        </w:rPr>
      </w:pPr>
      <w:r>
        <w:rPr>
          <w:rFonts w:ascii="Calibri"/>
          <w:color w:val="008356"/>
          <w:sz w:val="11"/>
        </w:rPr>
        <w:t>HALOPERIDOL</w:t>
      </w:r>
    </w:p>
    <w:p>
      <w:pPr>
        <w:spacing w:line="220" w:lineRule="auto" w:before="7"/>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Corticosteroids: </w:t>
      </w:r>
      <w:r>
        <w:rPr>
          <w:color w:val="231F1F"/>
          <w:w w:val="105"/>
          <w:sz w:val="12"/>
        </w:rPr>
        <w:t>effects of sodium benzoate possibly reduced by</w:t>
      </w:r>
      <w:r>
        <w:rPr>
          <w:color w:val="231F1F"/>
          <w:spacing w:val="-2"/>
          <w:w w:val="105"/>
          <w:sz w:val="12"/>
        </w:rPr>
        <w:t> </w:t>
      </w:r>
      <w:r>
        <w:rPr>
          <w:rFonts w:ascii="Calibri" w:hAnsi="Calibri"/>
          <w:color w:val="008356"/>
          <w:spacing w:val="4"/>
          <w:w w:val="105"/>
          <w:sz w:val="11"/>
        </w:rPr>
        <w:t>CORTICOSTEROIDS</w:t>
      </w:r>
    </w:p>
    <w:p>
      <w:pPr>
        <w:pStyle w:val="BodyText"/>
        <w:spacing w:before="10"/>
        <w:ind w:left="108"/>
      </w:pPr>
      <w:r>
        <w:rPr>
          <w:rFonts w:ascii="Trebuchet MS"/>
          <w:color w:val="008356"/>
          <w:w w:val="105"/>
        </w:rPr>
        <w:t>Sodium Bicarbonate </w:t>
      </w:r>
      <w:r>
        <w:rPr>
          <w:i/>
          <w:color w:val="231F1F"/>
          <w:w w:val="105"/>
        </w:rPr>
        <w:t>see </w:t>
      </w:r>
      <w:r>
        <w:rPr>
          <w:color w:val="231F1F"/>
          <w:w w:val="105"/>
        </w:rPr>
        <w:t>Antacids</w:t>
      </w:r>
    </w:p>
    <w:p>
      <w:pPr>
        <w:pStyle w:val="BodyText"/>
        <w:spacing w:before="9"/>
        <w:ind w:left="108"/>
        <w:rPr>
          <w:rFonts w:ascii="Trebuchet MS"/>
        </w:rPr>
      </w:pPr>
      <w:r>
        <w:rPr>
          <w:rFonts w:ascii="Trebuchet MS"/>
          <w:color w:val="008356"/>
        </w:rPr>
        <w:t>Sodium Citrate</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10"/>
        </w:rPr>
        <w:t>Antibacterials: </w:t>
      </w:r>
      <w:r>
        <w:rPr>
          <w:color w:val="231F1F"/>
          <w:w w:val="110"/>
        </w:rPr>
        <w:t>avoid concomitant use of sodium citrate with</w:t>
      </w:r>
    </w:p>
    <w:p>
      <w:pPr>
        <w:spacing w:line="130" w:lineRule="exact" w:before="0"/>
        <w:ind w:left="208" w:right="0" w:firstLine="0"/>
        <w:jc w:val="left"/>
        <w:rPr>
          <w:rFonts w:ascii="Calibri"/>
          <w:sz w:val="11"/>
        </w:rPr>
      </w:pPr>
      <w:r>
        <w:rPr>
          <w:rFonts w:ascii="Calibri"/>
          <w:color w:val="008356"/>
          <w:sz w:val="11"/>
        </w:rPr>
        <w:t>METHENAMINE</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avoidance of sodium citrate advised by manufacturer of </w:t>
      </w:r>
      <w:r>
        <w:rPr>
          <w:rFonts w:ascii="Calibri" w:hAnsi="Calibri"/>
          <w:color w:val="008356"/>
          <w:w w:val="105"/>
          <w:sz w:val="11"/>
        </w:rPr>
        <w:t>SUCRALFATE</w:t>
      </w:r>
    </w:p>
    <w:p>
      <w:pPr>
        <w:pStyle w:val="BodyText"/>
        <w:spacing w:before="10"/>
        <w:ind w:left="108"/>
      </w:pPr>
      <w:r>
        <w:rPr>
          <w:rFonts w:ascii="Trebuchet MS"/>
          <w:color w:val="008356"/>
          <w:w w:val="105"/>
        </w:rPr>
        <w:t>Sodium Clodronate </w:t>
      </w:r>
      <w:r>
        <w:rPr>
          <w:i/>
          <w:color w:val="231F1F"/>
          <w:w w:val="105"/>
        </w:rPr>
        <w:t>see </w:t>
      </w:r>
      <w:r>
        <w:rPr>
          <w:color w:val="231F1F"/>
          <w:w w:val="105"/>
        </w:rPr>
        <w:t>Bisphosphonates</w:t>
      </w:r>
    </w:p>
    <w:p>
      <w:pPr>
        <w:pStyle w:val="BodyText"/>
        <w:spacing w:before="11"/>
        <w:ind w:left="108"/>
      </w:pPr>
      <w:r>
        <w:rPr>
          <w:rFonts w:ascii="Trebuchet MS"/>
          <w:color w:val="008356"/>
          <w:w w:val="105"/>
        </w:rPr>
        <w:t>Sodium Ferredate </w:t>
      </w:r>
      <w:r>
        <w:rPr>
          <w:i/>
          <w:color w:val="231F1F"/>
          <w:w w:val="105"/>
        </w:rPr>
        <w:t>see </w:t>
      </w:r>
      <w:r>
        <w:rPr>
          <w:color w:val="231F1F"/>
          <w:w w:val="105"/>
        </w:rPr>
        <w:t>Iron salts</w:t>
      </w:r>
    </w:p>
    <w:p>
      <w:pPr>
        <w:pStyle w:val="BodyText"/>
        <w:spacing w:before="9"/>
        <w:ind w:left="108"/>
      </w:pPr>
      <w:r>
        <w:rPr>
          <w:rFonts w:ascii="Trebuchet MS"/>
          <w:color w:val="008356"/>
          <w:w w:val="110"/>
        </w:rPr>
        <w:t>Sodium Nitroprusside </w:t>
      </w:r>
      <w:r>
        <w:rPr>
          <w:i/>
          <w:color w:val="231F1F"/>
          <w:w w:val="110"/>
        </w:rPr>
        <w:t>see </w:t>
      </w:r>
      <w:r>
        <w:rPr>
          <w:color w:val="231F1F"/>
          <w:w w:val="110"/>
        </w:rPr>
        <w:t>Vasodilator Antihypertensives</w:t>
      </w:r>
    </w:p>
    <w:p>
      <w:pPr>
        <w:pStyle w:val="BodyText"/>
        <w:spacing w:before="10"/>
        <w:ind w:left="108"/>
        <w:rPr>
          <w:rFonts w:ascii="Trebuchet MS"/>
        </w:rPr>
      </w:pPr>
      <w:r>
        <w:rPr>
          <w:rFonts w:ascii="Trebuchet MS"/>
          <w:color w:val="008356"/>
        </w:rPr>
        <w:t>Sodium Oxybate</w:t>
      </w:r>
    </w:p>
    <w:p>
      <w:pPr>
        <w:spacing w:before="1"/>
        <w:ind w:left="208" w:right="781" w:hanging="100"/>
        <w:jc w:val="left"/>
        <w:rPr>
          <w:sz w:val="12"/>
        </w:rPr>
      </w:pPr>
      <w:r>
        <w:rPr>
          <w:rFonts w:ascii="Arial"/>
          <w:color w:val="231F1F"/>
          <w:w w:val="355"/>
          <w:position w:val="1"/>
          <w:sz w:val="7"/>
        </w:rPr>
        <w:t>l </w:t>
      </w:r>
      <w:r>
        <w:rPr>
          <w:rFonts w:ascii="Calibri"/>
          <w:color w:val="231F1F"/>
          <w:w w:val="110"/>
          <w:sz w:val="12"/>
        </w:rPr>
        <w:t>Analgesics: </w:t>
      </w:r>
      <w:r>
        <w:rPr>
          <w:color w:val="231F1F"/>
          <w:w w:val="110"/>
          <w:sz w:val="12"/>
        </w:rPr>
        <w:t>effects of sodium oxybate enhanced by </w:t>
      </w:r>
      <w:r>
        <w:rPr>
          <w:rFonts w:ascii="Arial"/>
          <w:color w:val="231F1F"/>
          <w:w w:val="355"/>
          <w:position w:val="1"/>
          <w:sz w:val="7"/>
        </w:rPr>
        <w:t>l </w:t>
      </w:r>
      <w:r>
        <w:rPr>
          <w:rFonts w:ascii="Calibri"/>
          <w:color w:val="008356"/>
          <w:w w:val="110"/>
          <w:sz w:val="11"/>
        </w:rPr>
        <w:t>OPIOID ANALGESICS </w:t>
      </w:r>
      <w:r>
        <w:rPr>
          <w:color w:val="231F1F"/>
          <w:w w:val="110"/>
          <w:sz w:val="12"/>
        </w:rPr>
        <w:t>(avoid concomitant use)</w:t>
      </w:r>
    </w:p>
    <w:p>
      <w:pPr>
        <w:pStyle w:val="BodyText"/>
        <w:spacing w:line="22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increased risk of side-effects when sodium oxybate given with </w:t>
      </w:r>
      <w:r>
        <w:rPr>
          <w:rFonts w:ascii="Calibri" w:hAnsi="Calibri"/>
          <w:color w:val="008356"/>
          <w:w w:val="105"/>
          <w:sz w:val="11"/>
        </w:rPr>
        <w:t>TRICYCLICS</w:t>
      </w:r>
    </w:p>
    <w:p>
      <w:pPr>
        <w:spacing w:line="242" w:lineRule="auto" w:before="1"/>
        <w:ind w:left="208" w:right="699"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manufacturer of sodium oxybate advises avoid concomitant use with </w:t>
      </w:r>
      <w:r>
        <w:rPr>
          <w:rFonts w:ascii="Calibri"/>
          <w:color w:val="008356"/>
          <w:w w:val="110"/>
          <w:sz w:val="11"/>
        </w:rPr>
        <w:t>PHENOBARBITAL </w:t>
      </w:r>
      <w:r>
        <w:rPr>
          <w:color w:val="231F1F"/>
          <w:w w:val="110"/>
          <w:sz w:val="12"/>
        </w:rPr>
        <w:t>and </w:t>
      </w:r>
      <w:r>
        <w:rPr>
          <w:rFonts w:ascii="Calibri"/>
          <w:color w:val="008356"/>
          <w:w w:val="110"/>
          <w:sz w:val="11"/>
        </w:rPr>
        <w:t>PRIMIDONE</w:t>
      </w:r>
      <w:r>
        <w:rPr>
          <w:color w:val="231F1F"/>
          <w:w w:val="110"/>
          <w:sz w:val="12"/>
        </w:rPr>
        <w:t>; plasma concentration of sodium oxybate increased by </w:t>
      </w:r>
      <w:r>
        <w:rPr>
          <w:rFonts w:ascii="Arial"/>
          <w:color w:val="231F1F"/>
          <w:w w:val="355"/>
          <w:position w:val="1"/>
          <w:sz w:val="7"/>
        </w:rPr>
        <w:t>l </w:t>
      </w:r>
      <w:r>
        <w:rPr>
          <w:rFonts w:ascii="Calibri"/>
          <w:color w:val="008356"/>
          <w:w w:val="110"/>
          <w:sz w:val="11"/>
        </w:rPr>
        <w:t>SODIUM VALPROATE </w:t>
      </w:r>
      <w:r>
        <w:rPr>
          <w:color w:val="231F1F"/>
          <w:w w:val="110"/>
          <w:sz w:val="12"/>
        </w:rPr>
        <w:t>and </w:t>
      </w:r>
      <w:r>
        <w:rPr>
          <w:rFonts w:ascii="Arial"/>
          <w:color w:val="231F1F"/>
          <w:w w:val="355"/>
          <w:position w:val="1"/>
          <w:sz w:val="7"/>
        </w:rPr>
        <w:t>l </w:t>
      </w:r>
      <w:r>
        <w:rPr>
          <w:rFonts w:ascii="Calibri"/>
          <w:color w:val="008356"/>
          <w:w w:val="110"/>
          <w:sz w:val="11"/>
        </w:rPr>
        <w:t>VALPROIC ACID </w:t>
      </w:r>
      <w:r>
        <w:rPr>
          <w:color w:val="231F1F"/>
          <w:w w:val="110"/>
          <w:sz w:val="12"/>
        </w:rPr>
        <w:t>(see under Sodium Oxybate, p. 425)</w:t>
      </w:r>
    </w:p>
    <w:p>
      <w:pPr>
        <w:spacing w:line="220" w:lineRule="auto" w:before="7"/>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Antipsychotics: </w:t>
      </w:r>
      <w:r>
        <w:rPr>
          <w:color w:val="231F1F"/>
          <w:w w:val="105"/>
          <w:sz w:val="12"/>
        </w:rPr>
        <w:t>effects of sodium oxybate possibly enhanced by</w:t>
      </w:r>
      <w:r>
        <w:rPr>
          <w:color w:val="231F1F"/>
          <w:spacing w:val="-1"/>
          <w:w w:val="105"/>
          <w:sz w:val="12"/>
        </w:rPr>
        <w:t> </w:t>
      </w:r>
      <w:r>
        <w:rPr>
          <w:rFonts w:ascii="Calibri" w:hAnsi="Calibri"/>
          <w:color w:val="008356"/>
          <w:spacing w:val="4"/>
          <w:w w:val="105"/>
          <w:sz w:val="11"/>
        </w:rPr>
        <w:t>ANTIPSYCHOTICS</w:t>
      </w:r>
    </w:p>
    <w:p>
      <w:pPr>
        <w:pStyle w:val="BodyText"/>
        <w:ind w:right="649" w:hanging="100"/>
      </w:pPr>
      <w:r>
        <w:rPr>
          <w:rFonts w:ascii="Arial"/>
          <w:color w:val="231F1F"/>
          <w:w w:val="355"/>
          <w:position w:val="1"/>
          <w:sz w:val="7"/>
        </w:rPr>
        <w:t>l </w:t>
      </w:r>
      <w:r>
        <w:rPr>
          <w:rFonts w:ascii="Calibri"/>
          <w:color w:val="231F1F"/>
          <w:w w:val="110"/>
        </w:rPr>
        <w:t>Anxiolytics and Hypnotics: </w:t>
      </w:r>
      <w:r>
        <w:rPr>
          <w:color w:val="231F1F"/>
          <w:w w:val="110"/>
        </w:rPr>
        <w:t>effects of sodium oxybate enhanced by </w:t>
      </w:r>
      <w:r>
        <w:rPr>
          <w:rFonts w:ascii="Arial"/>
          <w:color w:val="231F1F"/>
          <w:w w:val="355"/>
          <w:position w:val="1"/>
          <w:sz w:val="7"/>
        </w:rPr>
        <w:t>l </w:t>
      </w:r>
      <w:r>
        <w:rPr>
          <w:rFonts w:ascii="Calibri"/>
          <w:color w:val="008356"/>
          <w:spacing w:val="4"/>
          <w:w w:val="110"/>
          <w:sz w:val="11"/>
        </w:rPr>
        <w:t>BENZODIAZEPINES </w:t>
      </w:r>
      <w:r>
        <w:rPr>
          <w:color w:val="231F1F"/>
          <w:w w:val="110"/>
        </w:rPr>
        <w:t>(avoid concomitant use)</w:t>
      </w:r>
    </w:p>
    <w:p>
      <w:pPr>
        <w:pStyle w:val="BodyText"/>
        <w:spacing w:before="6"/>
        <w:ind w:left="108"/>
        <w:rPr>
          <w:rFonts w:ascii="Trebuchet MS"/>
        </w:rPr>
      </w:pPr>
      <w:r>
        <w:rPr>
          <w:rFonts w:ascii="Trebuchet MS"/>
          <w:color w:val="008356"/>
        </w:rPr>
        <w:t>Sodium Phenylbutyrate</w:t>
      </w:r>
    </w:p>
    <w:p>
      <w:pPr>
        <w:spacing w:line="220" w:lineRule="auto" w:before="1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effects of sodium phenylbutyrate possibly reduced by </w:t>
      </w:r>
      <w:r>
        <w:rPr>
          <w:rFonts w:ascii="Calibri" w:hAnsi="Calibri"/>
          <w:color w:val="008356"/>
          <w:w w:val="105"/>
          <w:sz w:val="11"/>
        </w:rPr>
        <w:t>SODIUM VALPROATE </w:t>
      </w:r>
      <w:r>
        <w:rPr>
          <w:color w:val="231F1F"/>
          <w:w w:val="105"/>
          <w:sz w:val="12"/>
        </w:rPr>
        <w:t>and </w:t>
      </w:r>
      <w:r>
        <w:rPr>
          <w:rFonts w:ascii="Calibri" w:hAnsi="Calibri"/>
          <w:color w:val="008356"/>
          <w:w w:val="105"/>
          <w:sz w:val="11"/>
        </w:rPr>
        <w:t>VALPROIC ACID</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effects of sodium phenylbutyrate possibly reduced by </w:t>
      </w:r>
      <w:r>
        <w:rPr>
          <w:rFonts w:ascii="Calibri" w:hAnsi="Calibri"/>
          <w:color w:val="008356"/>
          <w:w w:val="105"/>
          <w:sz w:val="11"/>
        </w:rPr>
        <w:t>HALOPERIDOL</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effects of sodium phenylbutyrate possibly reduced by </w:t>
      </w:r>
      <w:r>
        <w:rPr>
          <w:rFonts w:ascii="Calibri" w:hAnsi="Calibri"/>
          <w:color w:val="008356"/>
          <w:w w:val="105"/>
          <w:sz w:val="11"/>
        </w:rPr>
        <w:t>CORTICOSTEROIDS</w:t>
      </w:r>
    </w:p>
    <w:p>
      <w:pPr>
        <w:pStyle w:val="BodyText"/>
        <w:spacing w:line="139" w:lineRule="exact" w:before="10"/>
        <w:ind w:left="108"/>
        <w:rPr>
          <w:rFonts w:ascii="Trebuchet MS"/>
        </w:rPr>
      </w:pPr>
      <w:r>
        <w:rPr>
          <w:rFonts w:ascii="Trebuchet MS"/>
          <w:color w:val="008356"/>
        </w:rPr>
        <w:t>Sodium Stibogluconate</w:t>
      </w:r>
    </w:p>
    <w:p>
      <w:pPr>
        <w:pStyle w:val="BodyText"/>
        <w:spacing w:line="244" w:lineRule="auto"/>
        <w:ind w:right="991" w:hanging="100"/>
      </w:pPr>
      <w:r>
        <w:rPr>
          <w:rFonts w:ascii="Arial" w:hAnsi="Arial"/>
          <w:color w:val="231F1F"/>
          <w:w w:val="355"/>
          <w:position w:val="1"/>
          <w:sz w:val="7"/>
        </w:rPr>
        <w:t>l </w:t>
      </w:r>
      <w:r>
        <w:rPr>
          <w:rFonts w:ascii="Calibri" w:hAnsi="Calibri"/>
          <w:color w:val="231F1F"/>
          <w:w w:val="105"/>
        </w:rPr>
        <w:t>Antifungals: </w:t>
      </w:r>
      <w:r>
        <w:rPr>
          <w:color w:val="231F1F"/>
          <w:w w:val="105"/>
        </w:rPr>
        <w:t>possible increased risk of arrhythmias when sodium stibogluconate given before </w:t>
      </w:r>
      <w:r>
        <w:rPr>
          <w:rFonts w:ascii="Arial" w:hAnsi="Arial"/>
          <w:color w:val="231F1F"/>
          <w:w w:val="355"/>
          <w:position w:val="1"/>
          <w:sz w:val="7"/>
        </w:rPr>
        <w:t>l </w:t>
      </w:r>
      <w:r>
        <w:rPr>
          <w:rFonts w:ascii="Calibri" w:hAnsi="Calibri"/>
          <w:color w:val="008356"/>
          <w:spacing w:val="4"/>
          <w:w w:val="105"/>
          <w:sz w:val="11"/>
        </w:rPr>
        <w:t>AMPHOTERICIN</w:t>
      </w:r>
      <w:r>
        <w:rPr>
          <w:rFonts w:ascii="Arial" w:hAnsi="Arial"/>
          <w:color w:val="231F1F"/>
          <w:spacing w:val="4"/>
          <w:w w:val="105"/>
        </w:rPr>
        <w:t>— </w:t>
      </w:r>
      <w:r>
        <w:rPr>
          <w:color w:val="231F1F"/>
          <w:w w:val="105"/>
        </w:rPr>
        <w:t>manufacturer of sodium stibogluconate advises giving </w:t>
      </w:r>
      <w:r>
        <w:rPr>
          <w:color w:val="231F1F"/>
          <w:spacing w:val="-7"/>
          <w:w w:val="105"/>
        </w:rPr>
        <w:t>14 </w:t>
      </w:r>
      <w:r>
        <w:rPr>
          <w:color w:val="231F1F"/>
          <w:w w:val="105"/>
        </w:rPr>
        <w:t>days apart</w:t>
      </w:r>
    </w:p>
    <w:p>
      <w:pPr>
        <w:pStyle w:val="BodyText"/>
        <w:spacing w:before="6"/>
        <w:ind w:left="108"/>
        <w:rPr>
          <w:rFonts w:ascii="Trebuchet MS"/>
        </w:rPr>
      </w:pPr>
      <w:r>
        <w:rPr>
          <w:rFonts w:ascii="Trebuchet MS"/>
          <w:color w:val="008356"/>
        </w:rPr>
        <w:t>Sodium Valproate</w:t>
      </w:r>
    </w:p>
    <w:p>
      <w:pPr>
        <w:pStyle w:val="BodyText"/>
        <w:spacing w:line="149" w:lineRule="exact" w:before="1"/>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effects of sodium valproate enhanced by </w:t>
      </w:r>
      <w:r>
        <w:rPr>
          <w:rFonts w:ascii="Calibri" w:hAnsi="Calibri"/>
          <w:color w:val="008356"/>
          <w:w w:val="105"/>
          <w:sz w:val="11"/>
        </w:rPr>
        <w:t>ASPIRIN</w:t>
      </w:r>
    </w:p>
    <w:p>
      <w:pPr>
        <w:pStyle w:val="BodyText"/>
        <w:spacing w:line="138" w:lineRule="exact"/>
        <w:ind w:left="108"/>
      </w:pPr>
      <w:r>
        <w:rPr>
          <w:rFonts w:ascii="Arial"/>
          <w:color w:val="231F1F"/>
          <w:w w:val="355"/>
          <w:position w:val="1"/>
          <w:sz w:val="7"/>
        </w:rPr>
        <w:t>l </w:t>
      </w:r>
      <w:r>
        <w:rPr>
          <w:rFonts w:ascii="Calibri"/>
          <w:color w:val="231F1F"/>
          <w:w w:val="115"/>
        </w:rPr>
        <w:t>Antibacterials: </w:t>
      </w:r>
      <w:r>
        <w:rPr>
          <w:color w:val="231F1F"/>
          <w:w w:val="115"/>
        </w:rPr>
        <w:t>metabolism of sodium valproate possibly</w:t>
      </w:r>
    </w:p>
    <w:p>
      <w:pPr>
        <w:pStyle w:val="BodyText"/>
        <w:ind w:right="670"/>
      </w:pPr>
      <w:r>
        <w:rPr>
          <w:color w:val="231F1F"/>
          <w:w w:val="110"/>
        </w:rPr>
        <w:t>inhibited by </w:t>
      </w:r>
      <w:r>
        <w:rPr>
          <w:rFonts w:ascii="Calibri"/>
          <w:color w:val="008356"/>
          <w:w w:val="110"/>
          <w:sz w:val="11"/>
        </w:rPr>
        <w:t>ERYTHROMYCIN </w:t>
      </w:r>
      <w:r>
        <w:rPr>
          <w:color w:val="231F1F"/>
          <w:w w:val="110"/>
        </w:rPr>
        <w:t>(increased plasma concentration); avoidance of sodium valproate advised by manufacturer of</w:t>
      </w:r>
    </w:p>
    <w:p>
      <w:pPr>
        <w:spacing w:before="7"/>
        <w:ind w:left="208" w:right="670" w:firstLine="0"/>
        <w:jc w:val="left"/>
        <w:rPr>
          <w:sz w:val="12"/>
        </w:rPr>
      </w:pPr>
      <w:r>
        <w:rPr>
          <w:rFonts w:ascii="Arial" w:hAnsi="Arial"/>
          <w:color w:val="231F1F"/>
          <w:w w:val="355"/>
          <w:position w:val="1"/>
          <w:sz w:val="7"/>
        </w:rPr>
        <w:t>l </w:t>
      </w:r>
      <w:r>
        <w:rPr>
          <w:rFonts w:ascii="Calibri" w:hAnsi="Calibri"/>
          <w:color w:val="008356"/>
          <w:w w:val="110"/>
          <w:sz w:val="11"/>
        </w:rPr>
        <w:t>PIVMECILLINAM</w:t>
      </w:r>
      <w:r>
        <w:rPr>
          <w:color w:val="231F1F"/>
          <w:w w:val="110"/>
          <w:sz w:val="12"/>
        </w:rPr>
        <w:t>; plasma concentration of sodium valproate reduced by </w:t>
      </w:r>
      <w:r>
        <w:rPr>
          <w:rFonts w:ascii="Arial" w:hAnsi="Arial"/>
          <w:color w:val="231F1F"/>
          <w:w w:val="355"/>
          <w:position w:val="1"/>
          <w:sz w:val="7"/>
        </w:rPr>
        <w:t>l </w:t>
      </w:r>
      <w:r>
        <w:rPr>
          <w:rFonts w:ascii="Calibri" w:hAnsi="Calibri"/>
          <w:color w:val="008356"/>
          <w:w w:val="110"/>
          <w:sz w:val="11"/>
        </w:rPr>
        <w:t>CARBAPENEMS</w:t>
      </w:r>
      <w:r>
        <w:rPr>
          <w:rFonts w:ascii="Arial" w:hAnsi="Arial"/>
          <w:color w:val="231F1F"/>
          <w:w w:val="110"/>
          <w:sz w:val="12"/>
        </w:rPr>
        <w:t>—</w:t>
      </w:r>
      <w:r>
        <w:rPr>
          <w:color w:val="231F1F"/>
          <w:w w:val="110"/>
          <w:sz w:val="12"/>
        </w:rPr>
        <w:t>avoid concomitant use</w:t>
      </w:r>
    </w:p>
    <w:p>
      <w:pPr>
        <w:pStyle w:val="BodyText"/>
        <w:spacing w:line="220" w:lineRule="auto" w:before="8"/>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sodium valproate possibly enhances anticoagulant effect of </w:t>
      </w:r>
      <w:r>
        <w:rPr>
          <w:rFonts w:ascii="Calibri" w:hAnsi="Calibri"/>
          <w:color w:val="008356"/>
          <w:w w:val="105"/>
          <w:sz w:val="11"/>
        </w:rPr>
        <w:t>COUMARINS</w:t>
      </w:r>
    </w:p>
    <w:p>
      <w:pPr>
        <w:spacing w:line="242" w:lineRule="auto" w:before="0"/>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141" w:lineRule="exact"/>
        <w:ind w:left="108"/>
      </w:pPr>
      <w:r>
        <w:rPr>
          <w:rFonts w:ascii="Arial"/>
          <w:color w:val="231F1F"/>
          <w:w w:val="355"/>
          <w:position w:val="1"/>
          <w:sz w:val="7"/>
        </w:rPr>
        <w:t>l </w:t>
      </w:r>
      <w:r>
        <w:rPr>
          <w:rFonts w:ascii="Calibri"/>
          <w:color w:val="231F1F"/>
          <w:w w:val="110"/>
        </w:rPr>
        <w:t>Antiepileptics: </w:t>
      </w:r>
      <w:r>
        <w:rPr>
          <w:color w:val="231F1F"/>
          <w:w w:val="110"/>
        </w:rPr>
        <w:t>plasma concentration of sodium valproate</w:t>
      </w:r>
    </w:p>
    <w:p>
      <w:pPr>
        <w:pStyle w:val="BodyText"/>
        <w:spacing w:line="247" w:lineRule="auto"/>
        <w:ind w:right="670"/>
      </w:pPr>
      <w:r>
        <w:rPr>
          <w:color w:val="231F1F"/>
          <w:w w:val="110"/>
        </w:rPr>
        <w:t>reduced by </w:t>
      </w:r>
      <w:r>
        <w:rPr>
          <w:rFonts w:ascii="Calibri"/>
          <w:color w:val="008356"/>
          <w:w w:val="110"/>
          <w:sz w:val="11"/>
        </w:rPr>
        <w:t>CARBAMAZEPINE</w:t>
      </w:r>
      <w:r>
        <w:rPr>
          <w:color w:val="231F1F"/>
          <w:w w:val="110"/>
        </w:rPr>
        <w:t>, also plasma concentration of </w:t>
      </w:r>
      <w:r>
        <w:rPr>
          <w:color w:val="231F1F"/>
          <w:w w:val="115"/>
        </w:rPr>
        <w:t>active metabolite of carbamazepine increased; sodium valproate possibly increases plasma concentration of </w:t>
      </w:r>
      <w:r>
        <w:rPr>
          <w:rFonts w:ascii="Calibri"/>
          <w:color w:val="008356"/>
          <w:w w:val="115"/>
          <w:sz w:val="11"/>
        </w:rPr>
        <w:t>ETHOSUXIMIDE</w:t>
      </w:r>
      <w:r>
        <w:rPr>
          <w:color w:val="231F1F"/>
          <w:w w:val="115"/>
        </w:rPr>
        <w:t>; sodium valproate increases or possibly</w:t>
      </w:r>
    </w:p>
    <w:p>
      <w:pPr>
        <w:spacing w:after="0" w:line="247" w:lineRule="auto"/>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352" filled="true" fillcolor="#bfdbcf" stroked="false">
            <v:fill type="solid"/>
            <w10:wrap type="none"/>
          </v:rect>
        </w:pict>
      </w:r>
      <w:r>
        <w:rPr/>
        <w:pict>
          <v:shape style="position:absolute;margin-left:7.751256pt;margin-top:35.804367pt;width:10.4pt;height:78.850pt;mso-position-horizontal-relative:page;mso-position-vertical-relative:page;z-index:637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Sodium Valproate</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5"/>
        </w:rPr>
        <w:t>Antiepileptics (continued)</w:t>
      </w:r>
    </w:p>
    <w:p>
      <w:pPr>
        <w:pStyle w:val="BodyText"/>
        <w:spacing w:line="247" w:lineRule="auto"/>
        <w:ind w:left="286" w:right="7"/>
        <w:rPr>
          <w:rFonts w:ascii="Calibri" w:hAnsi="Calibri"/>
          <w:sz w:val="11"/>
        </w:rPr>
      </w:pPr>
      <w:r>
        <w:rPr>
          <w:color w:val="231F1F"/>
          <w:w w:val="110"/>
        </w:rPr>
        <w:t>decreases plasma concentration of </w:t>
      </w:r>
      <w:r>
        <w:rPr>
          <w:rFonts w:ascii="Calibri" w:hAnsi="Calibri"/>
          <w:color w:val="008356"/>
          <w:spacing w:val="4"/>
          <w:w w:val="110"/>
          <w:sz w:val="11"/>
        </w:rPr>
        <w:t>FOSPHENYTOIN </w:t>
      </w:r>
      <w:r>
        <w:rPr>
          <w:color w:val="231F1F"/>
          <w:w w:val="110"/>
        </w:rPr>
        <w:t>and </w:t>
      </w:r>
      <w:r>
        <w:rPr>
          <w:rFonts w:ascii="Calibri" w:hAnsi="Calibri"/>
          <w:color w:val="008356"/>
          <w:spacing w:val="4"/>
          <w:w w:val="110"/>
          <w:sz w:val="11"/>
        </w:rPr>
        <w:t>PHENYTOIN</w:t>
      </w:r>
      <w:r>
        <w:rPr>
          <w:color w:val="231F1F"/>
          <w:spacing w:val="4"/>
          <w:w w:val="110"/>
        </w:rPr>
        <w:t>, </w:t>
      </w:r>
      <w:r>
        <w:rPr>
          <w:color w:val="231F1F"/>
          <w:w w:val="110"/>
        </w:rPr>
        <w:t>also plasma concentration of sodium valproate reduced; sodium valproate increases plasma concentration of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4"/>
          <w:w w:val="110"/>
          <w:sz w:val="11"/>
        </w:rPr>
        <w:t>LAMOTRIGINE </w:t>
      </w:r>
      <w:r>
        <w:rPr>
          <w:color w:val="231F1F"/>
          <w:w w:val="110"/>
        </w:rPr>
        <w:t>(increased</w:t>
      </w:r>
      <w:r>
        <w:rPr>
          <w:color w:val="231F1F"/>
          <w:spacing w:val="-8"/>
          <w:w w:val="110"/>
        </w:rPr>
        <w:t> </w:t>
      </w:r>
      <w:r>
        <w:rPr>
          <w:color w:val="231F1F"/>
          <w:w w:val="110"/>
        </w:rPr>
        <w:t>risk</w:t>
      </w:r>
      <w:r>
        <w:rPr>
          <w:color w:val="231F1F"/>
          <w:spacing w:val="-6"/>
          <w:w w:val="110"/>
        </w:rPr>
        <w:t> </w:t>
      </w:r>
      <w:r>
        <w:rPr>
          <w:color w:val="231F1F"/>
          <w:w w:val="110"/>
        </w:rPr>
        <w:t>of</w:t>
      </w:r>
      <w:r>
        <w:rPr>
          <w:color w:val="231F1F"/>
          <w:spacing w:val="-8"/>
          <w:w w:val="110"/>
        </w:rPr>
        <w:t> </w:t>
      </w:r>
      <w:r>
        <w:rPr>
          <w:color w:val="231F1F"/>
          <w:w w:val="110"/>
        </w:rPr>
        <w:t>toxicity</w:t>
      </w:r>
      <w:r>
        <w:rPr>
          <w:rFonts w:ascii="Arial" w:hAnsi="Arial"/>
          <w:color w:val="231F1F"/>
          <w:w w:val="110"/>
        </w:rPr>
        <w:t>—</w:t>
      </w:r>
      <w:r>
        <w:rPr>
          <w:color w:val="231F1F"/>
          <w:w w:val="110"/>
        </w:rPr>
        <w:t>reduce</w:t>
      </w:r>
      <w:r>
        <w:rPr>
          <w:color w:val="231F1F"/>
          <w:spacing w:val="-7"/>
          <w:w w:val="110"/>
        </w:rPr>
        <w:t> </w:t>
      </w:r>
      <w:r>
        <w:rPr>
          <w:color w:val="231F1F"/>
          <w:w w:val="110"/>
        </w:rPr>
        <w:t>lamotrigine dose); sodium valproate sometimes reduces plasma concentration of an active metabolite of </w:t>
      </w:r>
      <w:r>
        <w:rPr>
          <w:rFonts w:ascii="Calibri" w:hAnsi="Calibri"/>
          <w:color w:val="008356"/>
          <w:spacing w:val="4"/>
          <w:w w:val="110"/>
          <w:sz w:val="11"/>
        </w:rPr>
        <w:t>OXCARBAZEPINE</w:t>
      </w:r>
      <w:r>
        <w:rPr>
          <w:color w:val="231F1F"/>
          <w:spacing w:val="4"/>
          <w:w w:val="110"/>
        </w:rPr>
        <w:t>; </w:t>
      </w:r>
      <w:r>
        <w:rPr>
          <w:color w:val="231F1F"/>
          <w:w w:val="110"/>
        </w:rPr>
        <w:t>sodium valproate increases plasma concentration of </w:t>
      </w:r>
      <w:r>
        <w:rPr>
          <w:rFonts w:ascii="Calibri" w:hAnsi="Calibri"/>
          <w:color w:val="008356"/>
          <w:spacing w:val="4"/>
          <w:w w:val="110"/>
          <w:sz w:val="11"/>
        </w:rPr>
        <w:t>PHENOBARBITAL</w:t>
      </w:r>
      <w:r>
        <w:rPr>
          <w:rFonts w:ascii="Calibri" w:hAnsi="Calibri"/>
          <w:color w:val="008356"/>
          <w:w w:val="110"/>
          <w:sz w:val="11"/>
        </w:rPr>
        <w:t> </w:t>
      </w:r>
      <w:r>
        <w:rPr>
          <w:color w:val="231F1F"/>
          <w:w w:val="110"/>
        </w:rPr>
        <w:t>and</w:t>
      </w:r>
      <w:r>
        <w:rPr>
          <w:color w:val="231F1F"/>
          <w:spacing w:val="-10"/>
          <w:w w:val="110"/>
        </w:rPr>
        <w:t> </w:t>
      </w:r>
      <w:r>
        <w:rPr>
          <w:rFonts w:ascii="Calibri" w:hAnsi="Calibri"/>
          <w:color w:val="008356"/>
          <w:spacing w:val="4"/>
          <w:w w:val="110"/>
          <w:sz w:val="11"/>
        </w:rPr>
        <w:t>PRIMIDONE</w:t>
      </w:r>
      <w:r>
        <w:rPr>
          <w:rFonts w:ascii="Calibri" w:hAnsi="Calibri"/>
          <w:color w:val="008356"/>
          <w:w w:val="110"/>
          <w:sz w:val="11"/>
        </w:rPr>
        <w:t> </w:t>
      </w:r>
      <w:r>
        <w:rPr>
          <w:color w:val="231F1F"/>
          <w:w w:val="110"/>
        </w:rPr>
        <w:t>(also</w:t>
      </w:r>
      <w:r>
        <w:rPr>
          <w:color w:val="231F1F"/>
          <w:spacing w:val="-10"/>
          <w:w w:val="110"/>
        </w:rPr>
        <w:t> </w:t>
      </w:r>
      <w:r>
        <w:rPr>
          <w:color w:val="231F1F"/>
          <w:w w:val="110"/>
        </w:rPr>
        <w:t>plasma</w:t>
      </w:r>
      <w:r>
        <w:rPr>
          <w:color w:val="231F1F"/>
          <w:spacing w:val="-10"/>
          <w:w w:val="110"/>
        </w:rPr>
        <w:t> </w:t>
      </w:r>
      <w:r>
        <w:rPr>
          <w:color w:val="231F1F"/>
          <w:w w:val="110"/>
        </w:rPr>
        <w:t>concentration</w:t>
      </w:r>
      <w:r>
        <w:rPr>
          <w:color w:val="231F1F"/>
          <w:spacing w:val="-10"/>
          <w:w w:val="110"/>
        </w:rPr>
        <w:t> </w:t>
      </w:r>
      <w:r>
        <w:rPr>
          <w:color w:val="231F1F"/>
          <w:w w:val="110"/>
        </w:rPr>
        <w:t>of sodium valproate reduced); sodium valproate possibly increases plasma concentration of </w:t>
      </w:r>
      <w:r>
        <w:rPr>
          <w:rFonts w:ascii="Calibri" w:hAnsi="Calibri"/>
          <w:color w:val="008356"/>
          <w:spacing w:val="4"/>
          <w:w w:val="110"/>
          <w:sz w:val="11"/>
        </w:rPr>
        <w:t>RUFINAMIDE  </w:t>
      </w:r>
      <w:r>
        <w:rPr>
          <w:color w:val="231F1F"/>
          <w:w w:val="110"/>
        </w:rPr>
        <w:t>(reduce dose of rufinamide); hyperammonaemia and CNS toxicity reported when sodium valproate given with</w:t>
      </w:r>
      <w:r>
        <w:rPr>
          <w:color w:val="231F1F"/>
          <w:spacing w:val="-14"/>
          <w:w w:val="110"/>
        </w:rPr>
        <w:t> </w:t>
      </w:r>
      <w:r>
        <w:rPr>
          <w:rFonts w:ascii="Calibri" w:hAnsi="Calibri"/>
          <w:color w:val="008356"/>
          <w:spacing w:val="3"/>
          <w:w w:val="110"/>
          <w:sz w:val="11"/>
        </w:rPr>
        <w:t>TOPIRAMATE</w:t>
      </w:r>
    </w:p>
    <w:p>
      <w:pPr>
        <w:pStyle w:val="BodyText"/>
        <w:spacing w:line="133" w:lineRule="exact"/>
        <w:ind w:left="186"/>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Antimalarials: </w:t>
      </w:r>
      <w:r>
        <w:rPr>
          <w:color w:val="231F1F"/>
          <w:w w:val="115"/>
        </w:rPr>
        <w:t>anticonvulsant effect of antiepileptics</w:t>
      </w:r>
    </w:p>
    <w:p>
      <w:pPr>
        <w:spacing w:line="140" w:lineRule="exact" w:before="0"/>
        <w:ind w:left="286" w:right="0" w:firstLine="0"/>
        <w:jc w:val="left"/>
        <w:rPr>
          <w:rFonts w:ascii="Calibri"/>
          <w:sz w:val="11"/>
        </w:rPr>
      </w:pPr>
      <w:r>
        <w:rPr>
          <w:color w:val="231F1F"/>
          <w:w w:val="110"/>
          <w:sz w:val="12"/>
        </w:rPr>
        <w:t>antagonised by </w:t>
      </w:r>
      <w:r>
        <w:rPr>
          <w:rFonts w:ascii="Arial"/>
          <w:color w:val="231F1F"/>
          <w:w w:val="355"/>
          <w:position w:val="1"/>
          <w:sz w:val="7"/>
        </w:rPr>
        <w:t>l </w:t>
      </w:r>
      <w:r>
        <w:rPr>
          <w:rFonts w:ascii="Calibri"/>
          <w:color w:val="008356"/>
          <w:spacing w:val="4"/>
          <w:w w:val="110"/>
          <w:sz w:val="11"/>
        </w:rPr>
        <w:t>MEFLOQUINE</w:t>
      </w:r>
    </w:p>
    <w:p>
      <w:pPr>
        <w:pStyle w:val="BodyText"/>
        <w:spacing w:line="244" w:lineRule="auto"/>
        <w:ind w:left="286" w:right="21"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 </w:t>
      </w:r>
      <w:r>
        <w:rPr>
          <w:rFonts w:ascii="Calibri"/>
          <w:color w:val="008356"/>
          <w:w w:val="110"/>
          <w:sz w:val="11"/>
        </w:rPr>
        <w:t>ANTIPSYCHOTICS </w:t>
      </w:r>
      <w:r>
        <w:rPr>
          <w:color w:val="231F1F"/>
          <w:w w:val="110"/>
        </w:rPr>
        <w:t>(convulsive threshold lowered); sodium valproate possibly increases or decreases plasma concentration of </w:t>
      </w:r>
      <w:r>
        <w:rPr>
          <w:rFonts w:ascii="Calibri"/>
          <w:color w:val="008356"/>
          <w:w w:val="110"/>
          <w:sz w:val="11"/>
        </w:rPr>
        <w:t>CLOZAPINE</w:t>
      </w:r>
      <w:r>
        <w:rPr>
          <w:color w:val="231F1F"/>
          <w:w w:val="110"/>
        </w:rPr>
        <w:t>; increased risk of side- effects including neutropenia when sodium valproate given with </w:t>
      </w:r>
      <w:r>
        <w:rPr>
          <w:rFonts w:ascii="Arial"/>
          <w:color w:val="231F1F"/>
          <w:w w:val="355"/>
          <w:position w:val="1"/>
          <w:sz w:val="7"/>
        </w:rPr>
        <w:t>l </w:t>
      </w:r>
      <w:r>
        <w:rPr>
          <w:rFonts w:ascii="Calibri"/>
          <w:color w:val="008356"/>
          <w:w w:val="110"/>
          <w:sz w:val="11"/>
        </w:rPr>
        <w:t>OLANZAPINE</w:t>
      </w:r>
    </w:p>
    <w:p>
      <w:pPr>
        <w:pStyle w:val="BodyText"/>
        <w:spacing w:line="235" w:lineRule="auto"/>
        <w:ind w:left="286" w:right="45"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sodium valproate possibly reduced by </w:t>
      </w:r>
      <w:r>
        <w:rPr>
          <w:rFonts w:ascii="Calibri" w:hAnsi="Calibri"/>
          <w:color w:val="008356"/>
          <w:w w:val="110"/>
          <w:sz w:val="11"/>
        </w:rPr>
        <w:t>RITONAVIR</w:t>
      </w:r>
      <w:r>
        <w:rPr>
          <w:color w:val="231F1F"/>
          <w:w w:val="110"/>
        </w:rPr>
        <w:t>; sodium valproate possibly increases plasma concentration of </w:t>
      </w:r>
      <w:r>
        <w:rPr>
          <w:rFonts w:ascii="Calibri" w:hAnsi="Calibri"/>
          <w:color w:val="008356"/>
          <w:w w:val="110"/>
          <w:sz w:val="11"/>
        </w:rPr>
        <w:t>ZIDOVUDINE </w:t>
      </w:r>
      <w:r>
        <w:rPr>
          <w:color w:val="231F1F"/>
          <w:w w:val="110"/>
        </w:rPr>
        <w:t>(increased risk of toxicity)</w:t>
      </w:r>
    </w:p>
    <w:p>
      <w:pPr>
        <w:pStyle w:val="BodyText"/>
        <w:spacing w:line="237" w:lineRule="auto"/>
        <w:ind w:left="286" w:right="45" w:hanging="100"/>
        <w:rPr>
          <w:rFonts w:ascii="Calibri" w:hAnsi="Calibri"/>
          <w:sz w:val="11"/>
        </w:rPr>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plasma concentration of sodium valproate possibly increased by </w:t>
      </w:r>
      <w:r>
        <w:rPr>
          <w:rFonts w:ascii="Calibri" w:hAnsi="Calibri"/>
          <w:color w:val="008356"/>
          <w:w w:val="110"/>
          <w:sz w:val="11"/>
        </w:rPr>
        <w:t>CLOBAZAM</w:t>
      </w:r>
      <w:r>
        <w:rPr>
          <w:color w:val="231F1F"/>
          <w:w w:val="110"/>
        </w:rPr>
        <w:t>; increased risk of side-effects when sodium valproate given with </w:t>
      </w:r>
      <w:r>
        <w:rPr>
          <w:rFonts w:ascii="Calibri" w:hAnsi="Calibri"/>
          <w:color w:val="008356"/>
          <w:w w:val="110"/>
          <w:sz w:val="11"/>
        </w:rPr>
        <w:t>CLONAZEPAM</w:t>
      </w:r>
      <w:r>
        <w:rPr>
          <w:color w:val="231F1F"/>
          <w:w w:val="110"/>
        </w:rPr>
        <w:t>; sodium valproate possibly increases plasma concentration of </w:t>
      </w:r>
      <w:r>
        <w:rPr>
          <w:rFonts w:ascii="Calibri" w:hAnsi="Calibri"/>
          <w:color w:val="008356"/>
          <w:w w:val="110"/>
          <w:sz w:val="11"/>
        </w:rPr>
        <w:t>DIAZEPAM </w:t>
      </w:r>
      <w:r>
        <w:rPr>
          <w:color w:val="231F1F"/>
          <w:w w:val="110"/>
        </w:rPr>
        <w:t>and </w:t>
      </w:r>
      <w:r>
        <w:rPr>
          <w:rFonts w:ascii="Calibri" w:hAnsi="Calibri"/>
          <w:color w:val="008356"/>
          <w:w w:val="110"/>
          <w:sz w:val="11"/>
        </w:rPr>
        <w:t>LORAZEPAM</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Bupropion: </w:t>
      </w:r>
      <w:r>
        <w:rPr>
          <w:color w:val="231F1F"/>
          <w:w w:val="105"/>
        </w:rPr>
        <w:t>sodium valproate inhibits the metabolism of</w:t>
      </w:r>
    </w:p>
    <w:p>
      <w:pPr>
        <w:spacing w:line="130" w:lineRule="exact" w:before="0"/>
        <w:ind w:left="286" w:right="0" w:firstLine="0"/>
        <w:jc w:val="left"/>
        <w:rPr>
          <w:rFonts w:ascii="Calibri"/>
          <w:sz w:val="11"/>
        </w:rPr>
      </w:pPr>
      <w:r>
        <w:rPr>
          <w:rFonts w:ascii="Calibri"/>
          <w:color w:val="008356"/>
          <w:sz w:val="11"/>
        </w:rPr>
        <w:t>BUPROPION</w:t>
      </w:r>
    </w:p>
    <w:p>
      <w:pPr>
        <w:pStyle w:val="BodyText"/>
        <w:spacing w:line="220" w:lineRule="auto" w:before="6"/>
        <w:ind w:left="286" w:right="145"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sodium valproate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TEMOZOLOMIDE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absorption of sodium valproate possibly reduced by </w:t>
      </w:r>
      <w:r>
        <w:rPr>
          <w:rFonts w:ascii="Calibri" w:hAnsi="Calibri"/>
          <w:color w:val="008356"/>
          <w:w w:val="105"/>
          <w:sz w:val="11"/>
        </w:rPr>
        <w:t>COLESTYRAMINE</w:t>
      </w:r>
    </w:p>
    <w:p>
      <w:pPr>
        <w:pStyle w:val="BodyText"/>
        <w:spacing w:line="220" w:lineRule="auto" w:before="10"/>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plasma concentration of sodium valproate possibly reduced by </w:t>
      </w:r>
      <w:r>
        <w:rPr>
          <w:rFonts w:ascii="Calibri" w:hAnsi="Calibri"/>
          <w:color w:val="008356"/>
          <w:w w:val="105"/>
          <w:sz w:val="11"/>
        </w:rPr>
        <w:t>ETHINYLESTRADIOL</w:t>
      </w:r>
    </w:p>
    <w:p>
      <w:pPr>
        <w:pStyle w:val="BodyText"/>
        <w:ind w:left="286" w:right="48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Sodium Benzoate: </w:t>
      </w:r>
      <w:r>
        <w:rPr>
          <w:color w:val="231F1F"/>
          <w:w w:val="105"/>
        </w:rPr>
        <w:t>sodium valproate possibly reduces effects of</w:t>
      </w:r>
    </w:p>
    <w:p>
      <w:pPr>
        <w:spacing w:line="131" w:lineRule="exact" w:before="0"/>
        <w:ind w:left="286" w:right="0" w:firstLine="0"/>
        <w:jc w:val="left"/>
        <w:rPr>
          <w:rFonts w:ascii="Calibri"/>
          <w:sz w:val="11"/>
        </w:rPr>
      </w:pPr>
      <w:r>
        <w:rPr>
          <w:rFonts w:ascii="Calibri"/>
          <w:color w:val="008356"/>
          <w:spacing w:val="4"/>
          <w:w w:val="95"/>
          <w:sz w:val="11"/>
        </w:rPr>
        <w:t>SODIUM</w:t>
      </w:r>
      <w:r>
        <w:rPr>
          <w:rFonts w:ascii="Calibri"/>
          <w:color w:val="008356"/>
          <w:spacing w:val="26"/>
          <w:w w:val="95"/>
          <w:sz w:val="11"/>
        </w:rPr>
        <w:t> </w:t>
      </w:r>
      <w:r>
        <w:rPr>
          <w:rFonts w:ascii="Calibri"/>
          <w:color w:val="008356"/>
          <w:spacing w:val="3"/>
          <w:w w:val="95"/>
          <w:sz w:val="11"/>
        </w:rPr>
        <w:t>BENZOATE</w:t>
      </w:r>
    </w:p>
    <w:p>
      <w:pPr>
        <w:pStyle w:val="BodyText"/>
        <w:ind w:left="286" w:right="361" w:hanging="100"/>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Sodium</w:t>
      </w:r>
      <w:r>
        <w:rPr>
          <w:rFonts w:ascii="Calibri"/>
          <w:color w:val="231F1F"/>
          <w:spacing w:val="-14"/>
          <w:w w:val="115"/>
        </w:rPr>
        <w:t> </w:t>
      </w:r>
      <w:r>
        <w:rPr>
          <w:rFonts w:ascii="Calibri"/>
          <w:color w:val="231F1F"/>
          <w:w w:val="115"/>
        </w:rPr>
        <w:t>Oxybate:</w:t>
      </w:r>
      <w:r>
        <w:rPr>
          <w:rFonts w:ascii="Calibri"/>
          <w:color w:val="231F1F"/>
          <w:spacing w:val="-15"/>
          <w:w w:val="115"/>
        </w:rPr>
        <w:t> </w:t>
      </w:r>
      <w:r>
        <w:rPr>
          <w:color w:val="231F1F"/>
          <w:w w:val="115"/>
        </w:rPr>
        <w:t>sodium</w:t>
      </w:r>
      <w:r>
        <w:rPr>
          <w:color w:val="231F1F"/>
          <w:spacing w:val="-17"/>
          <w:w w:val="115"/>
        </w:rPr>
        <w:t> </w:t>
      </w:r>
      <w:r>
        <w:rPr>
          <w:color w:val="231F1F"/>
          <w:w w:val="115"/>
        </w:rPr>
        <w:t>valproate</w:t>
      </w:r>
      <w:r>
        <w:rPr>
          <w:color w:val="231F1F"/>
          <w:spacing w:val="-18"/>
          <w:w w:val="115"/>
        </w:rPr>
        <w:t> </w:t>
      </w:r>
      <w:r>
        <w:rPr>
          <w:color w:val="231F1F"/>
          <w:w w:val="115"/>
        </w:rPr>
        <w:t>increases</w:t>
      </w:r>
      <w:r>
        <w:rPr>
          <w:color w:val="231F1F"/>
          <w:spacing w:val="-17"/>
          <w:w w:val="115"/>
        </w:rPr>
        <w:t> </w:t>
      </w:r>
      <w:r>
        <w:rPr>
          <w:color w:val="231F1F"/>
          <w:w w:val="115"/>
        </w:rPr>
        <w:t>the</w:t>
      </w:r>
      <w:r>
        <w:rPr>
          <w:color w:val="231F1F"/>
          <w:spacing w:val="-16"/>
          <w:w w:val="115"/>
        </w:rPr>
        <w:t> </w:t>
      </w:r>
      <w:r>
        <w:rPr>
          <w:color w:val="231F1F"/>
          <w:spacing w:val="-3"/>
          <w:w w:val="115"/>
        </w:rPr>
        <w:t>plasma </w:t>
      </w:r>
      <w:r>
        <w:rPr>
          <w:color w:val="231F1F"/>
          <w:w w:val="115"/>
        </w:rPr>
        <w:t>concentration</w:t>
      </w:r>
      <w:r>
        <w:rPr>
          <w:color w:val="231F1F"/>
          <w:spacing w:val="-20"/>
          <w:w w:val="115"/>
        </w:rPr>
        <w:t> </w:t>
      </w:r>
      <w:r>
        <w:rPr>
          <w:color w:val="231F1F"/>
          <w:w w:val="115"/>
        </w:rPr>
        <w:t>of</w:t>
      </w:r>
      <w:r>
        <w:rPr>
          <w:color w:val="231F1F"/>
          <w:spacing w:val="-20"/>
          <w:w w:val="115"/>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SODIUM</w:t>
      </w:r>
      <w:r>
        <w:rPr>
          <w:rFonts w:ascii="Calibri"/>
          <w:color w:val="008356"/>
          <w:spacing w:val="-12"/>
          <w:w w:val="115"/>
          <w:sz w:val="11"/>
        </w:rPr>
        <w:t> </w:t>
      </w:r>
      <w:r>
        <w:rPr>
          <w:rFonts w:ascii="Calibri"/>
          <w:color w:val="008356"/>
          <w:spacing w:val="3"/>
          <w:w w:val="115"/>
          <w:sz w:val="11"/>
        </w:rPr>
        <w:t>OXYBATE</w:t>
      </w:r>
      <w:r>
        <w:rPr>
          <w:rFonts w:ascii="Calibri"/>
          <w:color w:val="008356"/>
          <w:spacing w:val="-11"/>
          <w:w w:val="115"/>
          <w:sz w:val="11"/>
        </w:rPr>
        <w:t> </w:t>
      </w:r>
      <w:r>
        <w:rPr>
          <w:color w:val="231F1F"/>
          <w:w w:val="115"/>
        </w:rPr>
        <w:t>(see</w:t>
      </w:r>
      <w:r>
        <w:rPr>
          <w:color w:val="231F1F"/>
          <w:spacing w:val="-19"/>
          <w:w w:val="115"/>
        </w:rPr>
        <w:t> </w:t>
      </w:r>
      <w:r>
        <w:rPr>
          <w:color w:val="231F1F"/>
          <w:w w:val="115"/>
        </w:rPr>
        <w:t>under</w:t>
      </w:r>
      <w:r>
        <w:rPr>
          <w:color w:val="231F1F"/>
          <w:spacing w:val="-19"/>
          <w:w w:val="115"/>
        </w:rPr>
        <w:t> </w:t>
      </w:r>
      <w:r>
        <w:rPr>
          <w:color w:val="231F1F"/>
          <w:w w:val="115"/>
        </w:rPr>
        <w:t>Sodium Oxybate, p.</w:t>
      </w:r>
      <w:r>
        <w:rPr>
          <w:color w:val="231F1F"/>
          <w:spacing w:val="-11"/>
          <w:w w:val="115"/>
        </w:rPr>
        <w:t> </w:t>
      </w:r>
      <w:r>
        <w:rPr>
          <w:color w:val="231F1F"/>
          <w:w w:val="115"/>
        </w:rPr>
        <w:t>425)</w:t>
      </w:r>
    </w:p>
    <w:p>
      <w:pPr>
        <w:spacing w:line="220" w:lineRule="auto" w:before="8"/>
        <w:ind w:left="286" w:right="196"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Sodium Phenylbutyrate: </w:t>
      </w:r>
      <w:r>
        <w:rPr>
          <w:color w:val="231F1F"/>
          <w:sz w:val="12"/>
        </w:rPr>
        <w:t>sodium valproate possibly reduces effects of </w:t>
      </w:r>
      <w:r>
        <w:rPr>
          <w:rFonts w:ascii="Calibri" w:hAnsi="Calibri"/>
          <w:color w:val="008356"/>
          <w:sz w:val="11"/>
        </w:rPr>
        <w:t>SODIUM PHENYLBUTYRATE</w:t>
      </w:r>
    </w:p>
    <w:p>
      <w:pPr>
        <w:pStyle w:val="BodyText"/>
        <w:spacing w:before="1"/>
        <w:ind w:left="286" w:right="13" w:hanging="100"/>
      </w:pPr>
      <w:r>
        <w:rPr>
          <w:rFonts w:ascii="Arial"/>
          <w:color w:val="231F1F"/>
          <w:w w:val="355"/>
          <w:position w:val="1"/>
          <w:sz w:val="7"/>
        </w:rPr>
        <w:t>l</w:t>
      </w:r>
      <w:r>
        <w:rPr>
          <w:rFonts w:ascii="Arial"/>
          <w:color w:val="231F1F"/>
          <w:spacing w:val="-53"/>
          <w:w w:val="355"/>
          <w:position w:val="1"/>
          <w:sz w:val="7"/>
        </w:rPr>
        <w:t> </w:t>
      </w:r>
      <w:r>
        <w:rPr>
          <w:rFonts w:ascii="Calibri"/>
          <w:color w:val="231F1F"/>
          <w:w w:val="115"/>
        </w:rPr>
        <w:t>Ulcer-healing</w:t>
      </w:r>
      <w:r>
        <w:rPr>
          <w:rFonts w:ascii="Calibri"/>
          <w:color w:val="231F1F"/>
          <w:spacing w:val="-19"/>
          <w:w w:val="115"/>
        </w:rPr>
        <w:t> </w:t>
      </w:r>
      <w:r>
        <w:rPr>
          <w:rFonts w:ascii="Calibri"/>
          <w:color w:val="231F1F"/>
          <w:w w:val="115"/>
        </w:rPr>
        <w:t>Drugs:</w:t>
      </w:r>
      <w:r>
        <w:rPr>
          <w:rFonts w:ascii="Calibri"/>
          <w:color w:val="231F1F"/>
          <w:spacing w:val="-18"/>
          <w:w w:val="115"/>
        </w:rPr>
        <w:t> </w:t>
      </w:r>
      <w:r>
        <w:rPr>
          <w:color w:val="231F1F"/>
          <w:w w:val="115"/>
        </w:rPr>
        <w:t>metabolism</w:t>
      </w:r>
      <w:r>
        <w:rPr>
          <w:color w:val="231F1F"/>
          <w:spacing w:val="-22"/>
          <w:w w:val="115"/>
        </w:rPr>
        <w:t> </w:t>
      </w:r>
      <w:r>
        <w:rPr>
          <w:color w:val="231F1F"/>
          <w:w w:val="115"/>
        </w:rPr>
        <w:t>of</w:t>
      </w:r>
      <w:r>
        <w:rPr>
          <w:color w:val="231F1F"/>
          <w:spacing w:val="-21"/>
          <w:w w:val="115"/>
        </w:rPr>
        <w:t> </w:t>
      </w:r>
      <w:r>
        <w:rPr>
          <w:color w:val="231F1F"/>
          <w:w w:val="115"/>
        </w:rPr>
        <w:t>sodium</w:t>
      </w:r>
      <w:r>
        <w:rPr>
          <w:color w:val="231F1F"/>
          <w:spacing w:val="-23"/>
          <w:w w:val="115"/>
        </w:rPr>
        <w:t> </w:t>
      </w:r>
      <w:r>
        <w:rPr>
          <w:color w:val="231F1F"/>
          <w:w w:val="115"/>
        </w:rPr>
        <w:t>valproate</w:t>
      </w:r>
      <w:r>
        <w:rPr>
          <w:color w:val="231F1F"/>
          <w:spacing w:val="-22"/>
          <w:w w:val="115"/>
        </w:rPr>
        <w:t> </w:t>
      </w:r>
      <w:r>
        <w:rPr>
          <w:color w:val="231F1F"/>
          <w:w w:val="115"/>
        </w:rPr>
        <w:t>inhibited by</w:t>
      </w:r>
      <w:r>
        <w:rPr>
          <w:color w:val="231F1F"/>
          <w:spacing w:val="-7"/>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5"/>
          <w:sz w:val="11"/>
        </w:rPr>
        <w:t>CIMETIDINE</w:t>
      </w:r>
      <w:r>
        <w:rPr>
          <w:rFonts w:ascii="Calibri"/>
          <w:color w:val="008356"/>
          <w:spacing w:val="5"/>
          <w:w w:val="115"/>
          <w:sz w:val="11"/>
        </w:rPr>
        <w:t> </w:t>
      </w:r>
      <w:r>
        <w:rPr>
          <w:color w:val="231F1F"/>
          <w:w w:val="115"/>
        </w:rPr>
        <w:t>(increased</w:t>
      </w:r>
      <w:r>
        <w:rPr>
          <w:color w:val="231F1F"/>
          <w:spacing w:val="-9"/>
          <w:w w:val="115"/>
        </w:rPr>
        <w:t> </w:t>
      </w:r>
      <w:r>
        <w:rPr>
          <w:color w:val="231F1F"/>
          <w:w w:val="115"/>
        </w:rPr>
        <w:t>plasma</w:t>
      </w:r>
      <w:r>
        <w:rPr>
          <w:color w:val="231F1F"/>
          <w:spacing w:val="-7"/>
          <w:w w:val="115"/>
        </w:rPr>
        <w:t> </w:t>
      </w:r>
      <w:r>
        <w:rPr>
          <w:color w:val="231F1F"/>
          <w:w w:val="115"/>
        </w:rPr>
        <w:t>concentration)</w:t>
      </w:r>
    </w:p>
    <w:p>
      <w:pPr>
        <w:pStyle w:val="BodyText"/>
        <w:spacing w:before="6"/>
        <w:ind w:left="186"/>
        <w:rPr>
          <w:rFonts w:ascii="Trebuchet MS"/>
        </w:rPr>
      </w:pPr>
      <w:r>
        <w:rPr>
          <w:rFonts w:ascii="Trebuchet MS"/>
          <w:color w:val="008356"/>
          <w:w w:val="105"/>
        </w:rPr>
        <w:t>Sofosbuvir</w:t>
      </w:r>
    </w:p>
    <w:p>
      <w:pPr>
        <w:pStyle w:val="BodyText"/>
        <w:spacing w:before="1"/>
        <w:ind w:left="286" w:right="18" w:hanging="100"/>
      </w:pPr>
      <w:r>
        <w:rPr>
          <w:rFonts w:ascii="Arial" w:hAnsi="Arial"/>
          <w:color w:val="231F1F"/>
          <w:w w:val="355"/>
          <w:position w:val="1"/>
          <w:sz w:val="7"/>
        </w:rPr>
        <w:t>l </w:t>
      </w:r>
      <w:r>
        <w:rPr>
          <w:rFonts w:ascii="Calibri" w:hAnsi="Calibri"/>
          <w:color w:val="231F1F"/>
          <w:w w:val="110"/>
        </w:rPr>
        <w:t>Anti-arrhythmics: </w:t>
      </w:r>
      <w:r>
        <w:rPr>
          <w:color w:val="231F1F"/>
          <w:w w:val="110"/>
        </w:rPr>
        <w:t>possible increased risk of bradycardia when sofosbuvir</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0"/>
          <w:sz w:val="11"/>
        </w:rPr>
        <w:t>AMIODARONE</w:t>
      </w:r>
      <w:r>
        <w:rPr>
          <w:rFonts w:ascii="Arial" w:hAnsi="Arial"/>
          <w:color w:val="231F1F"/>
          <w:spacing w:val="3"/>
          <w:w w:val="110"/>
        </w:rPr>
        <w:t>—</w:t>
      </w:r>
      <w:r>
        <w:rPr>
          <w:color w:val="231F1F"/>
          <w:spacing w:val="3"/>
          <w:w w:val="110"/>
        </w:rPr>
        <w:t>see</w:t>
      </w:r>
      <w:r>
        <w:rPr>
          <w:color w:val="231F1F"/>
          <w:spacing w:val="-11"/>
          <w:w w:val="110"/>
        </w:rPr>
        <w:t> </w:t>
      </w:r>
      <w:r>
        <w:rPr>
          <w:color w:val="231F1F"/>
          <w:w w:val="110"/>
        </w:rPr>
        <w:t>under</w:t>
      </w:r>
      <w:r>
        <w:rPr>
          <w:color w:val="231F1F"/>
          <w:spacing w:val="-11"/>
          <w:w w:val="110"/>
        </w:rPr>
        <w:t> </w:t>
      </w:r>
      <w:r>
        <w:rPr>
          <w:color w:val="231F1F"/>
          <w:w w:val="110"/>
        </w:rPr>
        <w:t>Amiodarone,</w:t>
      </w:r>
    </w:p>
    <w:p>
      <w:pPr>
        <w:pStyle w:val="BodyText"/>
        <w:ind w:left="286"/>
      </w:pPr>
      <w:r>
        <w:rPr>
          <w:color w:val="231F1F"/>
          <w:w w:val="110"/>
        </w:rPr>
        <w:t>p. 88</w:t>
      </w:r>
    </w:p>
    <w:p>
      <w:pPr>
        <w:spacing w:line="220" w:lineRule="auto" w:before="10"/>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manufacturer of sofosbuvir advises avoid concomitant use with </w:t>
      </w:r>
      <w:r>
        <w:rPr>
          <w:rFonts w:ascii="Calibri" w:hAnsi="Calibri"/>
          <w:color w:val="008356"/>
          <w:w w:val="110"/>
          <w:sz w:val="11"/>
        </w:rPr>
        <w:t>RIFABUTIN </w:t>
      </w:r>
      <w:r>
        <w:rPr>
          <w:color w:val="231F1F"/>
          <w:w w:val="110"/>
          <w:sz w:val="12"/>
        </w:rPr>
        <w:t>and </w:t>
      </w:r>
      <w:r>
        <w:rPr>
          <w:rFonts w:ascii="Calibri" w:hAnsi="Calibri"/>
          <w:color w:val="008356"/>
          <w:w w:val="110"/>
          <w:sz w:val="11"/>
        </w:rPr>
        <w:t>RIFAMPICIN</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sofosbuvir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30" w:lineRule="auto" w:before="4"/>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sofosbuvir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sz w:val="11"/>
        </w:rPr>
        <w:t>OXCARBAZEPINE</w:t>
      </w:r>
      <w:r>
        <w:rPr>
          <w:color w:val="231F1F"/>
          <w:sz w:val="12"/>
        </w:rPr>
        <w:t>, </w:t>
      </w:r>
      <w:r>
        <w:rPr>
          <w:rFonts w:ascii="Calibri" w:hAnsi="Calibri"/>
          <w:color w:val="008356"/>
          <w:sz w:val="11"/>
        </w:rPr>
        <w:t>PHENOBARBITAL</w:t>
      </w:r>
      <w:r>
        <w:rPr>
          <w:color w:val="231F1F"/>
          <w:sz w:val="12"/>
        </w:rPr>
        <w:t>, </w:t>
      </w:r>
      <w:r>
        <w:rPr>
          <w:rFonts w:ascii="Calibri" w:hAnsi="Calibri"/>
          <w:color w:val="008356"/>
          <w:sz w:val="11"/>
        </w:rPr>
        <w:t>PHENYTOIN </w:t>
      </w:r>
      <w:r>
        <w:rPr>
          <w:color w:val="231F1F"/>
          <w:sz w:val="12"/>
        </w:rPr>
        <w:t>and </w:t>
      </w:r>
      <w:r>
        <w:rPr>
          <w:rFonts w:ascii="Calibri" w:hAnsi="Calibri"/>
          <w:color w:val="008356"/>
          <w:sz w:val="11"/>
        </w:rPr>
        <w:t>PRIMIDONE</w:t>
      </w:r>
    </w:p>
    <w:p>
      <w:pPr>
        <w:pStyle w:val="BodyText"/>
        <w:spacing w:before="10"/>
        <w:ind w:left="186"/>
      </w:pPr>
      <w:r>
        <w:rPr>
          <w:rFonts w:ascii="Trebuchet MS"/>
          <w:color w:val="008356"/>
          <w:w w:val="110"/>
        </w:rPr>
        <w:t>Solifenacin </w:t>
      </w:r>
      <w:r>
        <w:rPr>
          <w:i/>
          <w:color w:val="231F1F"/>
          <w:w w:val="110"/>
        </w:rPr>
        <w:t>see </w:t>
      </w:r>
      <w:r>
        <w:rPr>
          <w:color w:val="231F1F"/>
          <w:w w:val="110"/>
        </w:rPr>
        <w:t>Antimuscarinics</w:t>
      </w:r>
    </w:p>
    <w:p>
      <w:pPr>
        <w:pStyle w:val="BodyText"/>
        <w:spacing w:before="10"/>
        <w:ind w:left="186"/>
        <w:rPr>
          <w:rFonts w:ascii="Trebuchet MS"/>
        </w:rPr>
      </w:pPr>
      <w:r>
        <w:rPr>
          <w:rFonts w:ascii="Trebuchet MS"/>
          <w:color w:val="008356"/>
        </w:rPr>
        <w:t>Somatropin</w:t>
      </w:r>
    </w:p>
    <w:p>
      <w:pPr>
        <w:pStyle w:val="BodyText"/>
        <w:spacing w:line="220" w:lineRule="auto" w:before="10"/>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Corticosteroids: </w:t>
      </w:r>
      <w:r>
        <w:rPr>
          <w:color w:val="231F1F"/>
          <w:w w:val="105"/>
        </w:rPr>
        <w:t>growth-promoting effect of somatropin </w:t>
      </w:r>
      <w:r>
        <w:rPr>
          <w:color w:val="231F1F"/>
          <w:spacing w:val="-4"/>
          <w:w w:val="105"/>
        </w:rPr>
        <w:t>may  </w:t>
      </w:r>
      <w:r>
        <w:rPr>
          <w:color w:val="231F1F"/>
          <w:w w:val="105"/>
        </w:rPr>
        <w:t>be inhibited by </w:t>
      </w:r>
      <w:r>
        <w:rPr>
          <w:rFonts w:ascii="Calibri" w:hAnsi="Calibri"/>
          <w:color w:val="008356"/>
          <w:spacing w:val="4"/>
          <w:w w:val="105"/>
          <w:sz w:val="11"/>
        </w:rPr>
        <w:t>CORTICOSTEROIDS</w:t>
      </w:r>
    </w:p>
    <w:p>
      <w:pPr>
        <w:pStyle w:val="BodyText"/>
        <w:spacing w:line="230" w:lineRule="auto" w:before="3"/>
        <w:ind w:left="286" w:hanging="100"/>
      </w:pPr>
      <w:r>
        <w:rPr>
          <w:rFonts w:ascii="Lucida Sans Unicode" w:hAnsi="Lucida Sans Unicode"/>
          <w:color w:val="A7A8AC"/>
          <w:w w:val="95"/>
          <w:sz w:val="10"/>
        </w:rPr>
        <w:t>▶ </w:t>
      </w:r>
      <w:r>
        <w:rPr>
          <w:rFonts w:ascii="Calibri" w:hAnsi="Calibri"/>
          <w:color w:val="231F1F"/>
          <w:w w:val="110"/>
        </w:rPr>
        <w:t>Oestrogens: </w:t>
      </w:r>
      <w:r>
        <w:rPr>
          <w:color w:val="231F1F"/>
          <w:w w:val="110"/>
        </w:rPr>
        <w:t>increased doses of somatropin may be needed when given with </w:t>
      </w:r>
      <w:r>
        <w:rPr>
          <w:rFonts w:ascii="Calibri" w:hAnsi="Calibri"/>
          <w:color w:val="008356"/>
          <w:w w:val="110"/>
          <w:sz w:val="11"/>
        </w:rPr>
        <w:t>OESTROGENS </w:t>
      </w:r>
      <w:r>
        <w:rPr>
          <w:color w:val="231F1F"/>
          <w:w w:val="110"/>
        </w:rPr>
        <w:t>(when used as oral replacement therapy)</w:t>
      </w:r>
    </w:p>
    <w:p>
      <w:pPr>
        <w:pStyle w:val="BodyText"/>
        <w:spacing w:line="139" w:lineRule="exact" w:before="14"/>
        <w:ind w:left="186"/>
        <w:rPr>
          <w:rFonts w:ascii="Trebuchet MS"/>
        </w:rPr>
      </w:pPr>
      <w:r>
        <w:rPr>
          <w:rFonts w:ascii="Trebuchet MS"/>
          <w:color w:val="008356"/>
        </w:rPr>
        <w:t>Sorafenib</w:t>
      </w:r>
    </w:p>
    <w:p>
      <w:pPr>
        <w:pStyle w:val="BodyText"/>
        <w:spacing w:line="237" w:lineRule="auto"/>
        <w:ind w:left="286" w:right="19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bioavailability of sorafenib reduced by </w:t>
      </w:r>
      <w:r>
        <w:rPr>
          <w:rFonts w:ascii="Calibri" w:hAnsi="Calibri"/>
          <w:color w:val="008356"/>
          <w:w w:val="105"/>
          <w:sz w:val="11"/>
        </w:rPr>
        <w:t>NEOMYCIN</w:t>
      </w:r>
      <w:r>
        <w:rPr>
          <w:color w:val="231F1F"/>
          <w:w w:val="105"/>
        </w:rPr>
        <w:t>; plasma concentration of sorafenib reduced by </w:t>
      </w:r>
      <w:r>
        <w:rPr>
          <w:rFonts w:ascii="Calibri" w:hAnsi="Calibri"/>
          <w:color w:val="008356"/>
          <w:w w:val="105"/>
          <w:sz w:val="11"/>
        </w:rPr>
        <w:t>RIFAMPICIN</w:t>
      </w:r>
    </w:p>
    <w:p>
      <w:pPr>
        <w:pStyle w:val="BodyText"/>
        <w:ind w:left="286" w:right="232"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Anticoagulants:</w:t>
      </w:r>
      <w:r>
        <w:rPr>
          <w:rFonts w:ascii="Calibri"/>
          <w:color w:val="231F1F"/>
          <w:spacing w:val="-13"/>
          <w:w w:val="115"/>
        </w:rPr>
        <w:t> </w:t>
      </w:r>
      <w:r>
        <w:rPr>
          <w:color w:val="231F1F"/>
          <w:w w:val="115"/>
        </w:rPr>
        <w:t>sorafenib</w:t>
      </w:r>
      <w:r>
        <w:rPr>
          <w:color w:val="231F1F"/>
          <w:spacing w:val="-17"/>
          <w:w w:val="115"/>
        </w:rPr>
        <w:t> </w:t>
      </w:r>
      <w:r>
        <w:rPr>
          <w:color w:val="231F1F"/>
          <w:w w:val="115"/>
        </w:rPr>
        <w:t>possibly</w:t>
      </w:r>
      <w:r>
        <w:rPr>
          <w:color w:val="231F1F"/>
          <w:spacing w:val="-17"/>
          <w:w w:val="115"/>
        </w:rPr>
        <w:t> </w:t>
      </w:r>
      <w:r>
        <w:rPr>
          <w:color w:val="231F1F"/>
          <w:w w:val="115"/>
        </w:rPr>
        <w:t>enhances</w:t>
      </w:r>
      <w:r>
        <w:rPr>
          <w:color w:val="231F1F"/>
          <w:spacing w:val="-17"/>
          <w:w w:val="115"/>
        </w:rPr>
        <w:t>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COUMARINS</w:t>
      </w:r>
    </w:p>
    <w:p>
      <w:pPr>
        <w:pStyle w:val="BodyText"/>
        <w:spacing w:before="9"/>
        <w:ind w:left="0"/>
        <w:rPr>
          <w:rFonts w:ascii="Calibri"/>
          <w:sz w:val="13"/>
        </w:rPr>
      </w:pPr>
      <w:r>
        <w:rPr/>
        <w:br w:type="column"/>
      </w:r>
      <w:r>
        <w:rPr>
          <w:rFonts w:ascii="Calibri"/>
          <w:sz w:val="13"/>
        </w:rPr>
      </w:r>
    </w:p>
    <w:p>
      <w:pPr>
        <w:pStyle w:val="BodyText"/>
        <w:spacing w:line="144" w:lineRule="exact"/>
        <w:ind w:left="180"/>
        <w:rPr>
          <w:rFonts w:ascii="Calibri"/>
        </w:rPr>
      </w:pPr>
      <w:r>
        <w:rPr>
          <w:rFonts w:ascii="Arial"/>
          <w:color w:val="008356"/>
        </w:rPr>
        <w:t>Sorafenib </w:t>
      </w:r>
      <w:r>
        <w:rPr>
          <w:rFonts w:ascii="Calibri"/>
          <w:color w:val="231F1F"/>
        </w:rPr>
        <w:t>(continued)</w:t>
      </w:r>
    </w:p>
    <w:p>
      <w:pPr>
        <w:pStyle w:val="BodyText"/>
        <w:spacing w:line="144" w:lineRule="exact"/>
        <w:ind w:left="180"/>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0"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45" w:lineRule="exact"/>
        <w:ind w:left="180"/>
      </w:pPr>
      <w:r>
        <w:rPr>
          <w:rFonts w:ascii="Arial"/>
          <w:color w:val="231F1F"/>
          <w:w w:val="355"/>
          <w:position w:val="1"/>
          <w:sz w:val="7"/>
        </w:rPr>
        <w:t>l </w:t>
      </w:r>
      <w:r>
        <w:rPr>
          <w:rFonts w:ascii="Calibri"/>
          <w:color w:val="231F1F"/>
          <w:w w:val="115"/>
        </w:rPr>
        <w:t>Antivirals: </w:t>
      </w:r>
      <w:r>
        <w:rPr>
          <w:color w:val="231F1F"/>
          <w:w w:val="115"/>
        </w:rPr>
        <w:t>avoidance of sorafenib advised by manufacturer of</w:t>
      </w:r>
    </w:p>
    <w:p>
      <w:pPr>
        <w:spacing w:line="133" w:lineRule="exact" w:before="7"/>
        <w:ind w:left="280" w:right="0" w:firstLine="0"/>
        <w:jc w:val="left"/>
        <w:rPr>
          <w:rFonts w:ascii="Calibri"/>
          <w:sz w:val="11"/>
        </w:rPr>
      </w:pPr>
      <w:r>
        <w:rPr>
          <w:rFonts w:ascii="Arial"/>
          <w:color w:val="231F1F"/>
          <w:w w:val="355"/>
          <w:position w:val="1"/>
          <w:sz w:val="7"/>
        </w:rPr>
        <w:t>l </w:t>
      </w:r>
      <w:r>
        <w:rPr>
          <w:rFonts w:ascii="Calibri"/>
          <w:color w:val="008356"/>
          <w:w w:val="120"/>
          <w:sz w:val="11"/>
        </w:rPr>
        <w:t>BOCEPREVIR</w:t>
      </w:r>
    </w:p>
    <w:p>
      <w:pPr>
        <w:spacing w:line="230" w:lineRule="auto" w:before="3"/>
        <w:ind w:left="280" w:right="6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Cytotoxics: </w:t>
      </w:r>
      <w:r>
        <w:rPr>
          <w:color w:val="231F1F"/>
          <w:w w:val="105"/>
          <w:sz w:val="12"/>
        </w:rPr>
        <w:t>sorafenib increases plasma concentration of </w:t>
      </w:r>
      <w:r>
        <w:rPr>
          <w:rFonts w:ascii="Calibri" w:hAnsi="Calibri"/>
          <w:color w:val="008356"/>
          <w:w w:val="105"/>
          <w:sz w:val="11"/>
        </w:rPr>
        <w:t>DOCETAXEL </w:t>
      </w:r>
      <w:r>
        <w:rPr>
          <w:color w:val="231F1F"/>
          <w:w w:val="105"/>
          <w:sz w:val="12"/>
        </w:rPr>
        <w:t>and </w:t>
      </w:r>
      <w:r>
        <w:rPr>
          <w:rFonts w:ascii="Calibri" w:hAnsi="Calibri"/>
          <w:color w:val="008356"/>
          <w:w w:val="105"/>
          <w:sz w:val="11"/>
        </w:rPr>
        <w:t>DOXORUBICIN</w:t>
      </w:r>
      <w:r>
        <w:rPr>
          <w:color w:val="231F1F"/>
          <w:w w:val="105"/>
          <w:sz w:val="12"/>
        </w:rPr>
        <w:t>; sorafenib possibly increases plasma concentration of </w:t>
      </w:r>
      <w:r>
        <w:rPr>
          <w:rFonts w:ascii="Calibri" w:hAnsi="Calibri"/>
          <w:color w:val="008356"/>
          <w:w w:val="105"/>
          <w:sz w:val="11"/>
        </w:rPr>
        <w:t>IRINOTECAN</w:t>
      </w:r>
    </w:p>
    <w:p>
      <w:pPr>
        <w:pStyle w:val="BodyText"/>
        <w:spacing w:line="256" w:lineRule="auto" w:before="9"/>
        <w:ind w:left="180" w:right="2153"/>
        <w:rPr>
          <w:rFonts w:ascii="Trebuchet MS"/>
        </w:rPr>
      </w:pPr>
      <w:r>
        <w:rPr>
          <w:rFonts w:ascii="Trebuchet MS"/>
          <w:color w:val="008356"/>
          <w:w w:val="105"/>
        </w:rPr>
        <w:t>Sotalol </w:t>
      </w:r>
      <w:r>
        <w:rPr>
          <w:i/>
          <w:color w:val="231F1F"/>
          <w:w w:val="105"/>
        </w:rPr>
        <w:t>see </w:t>
      </w:r>
      <w:r>
        <w:rPr>
          <w:color w:val="231F1F"/>
          <w:w w:val="105"/>
        </w:rPr>
        <w:t>Beta-blockers </w:t>
      </w:r>
      <w:r>
        <w:rPr>
          <w:rFonts w:ascii="Trebuchet MS"/>
          <w:color w:val="008356"/>
          <w:w w:val="105"/>
        </w:rPr>
        <w:t>Spironolactone </w:t>
      </w:r>
      <w:r>
        <w:rPr>
          <w:i/>
          <w:color w:val="231F1F"/>
          <w:w w:val="105"/>
        </w:rPr>
        <w:t>see </w:t>
      </w:r>
      <w:r>
        <w:rPr>
          <w:color w:val="231F1F"/>
          <w:w w:val="105"/>
        </w:rPr>
        <w:t>Diuretics </w:t>
      </w:r>
      <w:r>
        <w:rPr>
          <w:rFonts w:ascii="Trebuchet MS"/>
          <w:color w:val="008356"/>
          <w:w w:val="105"/>
        </w:rPr>
        <w:t>Statins</w:t>
      </w:r>
    </w:p>
    <w:p>
      <w:pPr>
        <w:pStyle w:val="BodyText"/>
        <w:spacing w:line="142" w:lineRule="exact"/>
        <w:ind w:left="180"/>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rosuvastatin reduced by </w:t>
      </w:r>
      <w:r>
        <w:rPr>
          <w:rFonts w:ascii="Calibri" w:hAnsi="Calibri"/>
          <w:color w:val="008356"/>
          <w:w w:val="105"/>
          <w:sz w:val="11"/>
        </w:rPr>
        <w:t>ANTACIDS</w:t>
      </w:r>
    </w:p>
    <w:p>
      <w:pPr>
        <w:pStyle w:val="BodyText"/>
        <w:spacing w:line="138" w:lineRule="exact"/>
        <w:ind w:left="180"/>
      </w:pPr>
      <w:r>
        <w:rPr>
          <w:rFonts w:ascii="Arial"/>
          <w:color w:val="231F1F"/>
          <w:w w:val="355"/>
          <w:position w:val="1"/>
          <w:sz w:val="7"/>
        </w:rPr>
        <w:t>l </w:t>
      </w:r>
      <w:r>
        <w:rPr>
          <w:rFonts w:ascii="Calibri"/>
          <w:color w:val="231F1F"/>
          <w:w w:val="115"/>
        </w:rPr>
        <w:t>Anti-arrhythmics: </w:t>
      </w:r>
      <w:r>
        <w:rPr>
          <w:color w:val="231F1F"/>
          <w:w w:val="115"/>
        </w:rPr>
        <w:t>increased risk of myopathy when simvastatin</w:t>
      </w:r>
    </w:p>
    <w:p>
      <w:pPr>
        <w:pStyle w:val="BodyText"/>
        <w:spacing w:line="244" w:lineRule="auto"/>
        <w:ind w:left="280" w:right="695"/>
      </w:pPr>
      <w:r>
        <w:rPr>
          <w:color w:val="231F1F"/>
          <w:w w:val="105"/>
        </w:rPr>
        <w:t>given with </w:t>
      </w:r>
      <w:r>
        <w:rPr>
          <w:rFonts w:ascii="Arial"/>
          <w:color w:val="231F1F"/>
          <w:w w:val="355"/>
          <w:position w:val="1"/>
          <w:sz w:val="7"/>
        </w:rPr>
        <w:t>l </w:t>
      </w:r>
      <w:r>
        <w:rPr>
          <w:rFonts w:ascii="Calibri"/>
          <w:color w:val="008356"/>
          <w:w w:val="105"/>
          <w:sz w:val="11"/>
        </w:rPr>
        <w:t>AMIODARONE </w:t>
      </w:r>
      <w:r>
        <w:rPr>
          <w:color w:val="231F1F"/>
          <w:w w:val="105"/>
        </w:rPr>
        <w:t>(see under Simvastatin, p. 181); plasma concentration of rosuvastatin increased by</w:t>
      </w:r>
    </w:p>
    <w:p>
      <w:pPr>
        <w:pStyle w:val="BodyText"/>
        <w:spacing w:line="244" w:lineRule="auto"/>
        <w:ind w:left="280" w:right="591"/>
        <w:rPr>
          <w:rFonts w:ascii="Calibri" w:hAnsi="Calibri"/>
          <w:sz w:val="11"/>
        </w:rPr>
      </w:pPr>
      <w:r>
        <w:rPr>
          <w:rFonts w:ascii="Arial" w:hAnsi="Arial"/>
          <w:color w:val="231F1F"/>
          <w:w w:val="210"/>
          <w:position w:val="1"/>
          <w:sz w:val="7"/>
        </w:rPr>
        <w:t>l</w:t>
      </w:r>
      <w:r>
        <w:rPr>
          <w:rFonts w:ascii="Arial" w:hAnsi="Arial"/>
          <w:color w:val="231F1F"/>
          <w:spacing w:val="-32"/>
          <w:w w:val="210"/>
          <w:position w:val="1"/>
          <w:sz w:val="7"/>
        </w:rPr>
        <w:t> </w:t>
      </w:r>
      <w:r>
        <w:rPr>
          <w:rFonts w:ascii="Calibri" w:hAnsi="Calibri"/>
          <w:color w:val="008356"/>
          <w:spacing w:val="3"/>
          <w:w w:val="115"/>
          <w:sz w:val="11"/>
        </w:rPr>
        <w:t>DRONEDARONE</w:t>
      </w:r>
      <w:r>
        <w:rPr>
          <w:rFonts w:ascii="Arial" w:hAnsi="Arial"/>
          <w:color w:val="231F1F"/>
          <w:spacing w:val="3"/>
          <w:w w:val="115"/>
        </w:rPr>
        <w:t>—</w:t>
      </w:r>
      <w:r>
        <w:rPr>
          <w:color w:val="231F1F"/>
          <w:spacing w:val="3"/>
          <w:w w:val="115"/>
        </w:rPr>
        <w:t>adjust</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w:t>
      </w:r>
      <w:r>
        <w:rPr>
          <w:color w:val="231F1F"/>
          <w:spacing w:val="-24"/>
          <w:w w:val="115"/>
        </w:rPr>
        <w:t> </w:t>
      </w:r>
      <w:r>
        <w:rPr>
          <w:color w:val="231F1F"/>
          <w:w w:val="115"/>
        </w:rPr>
        <w:t>(consult</w:t>
      </w:r>
      <w:r>
        <w:rPr>
          <w:color w:val="231F1F"/>
          <w:spacing w:val="-25"/>
          <w:w w:val="115"/>
        </w:rPr>
        <w:t> </w:t>
      </w:r>
      <w:r>
        <w:rPr>
          <w:color w:val="231F1F"/>
          <w:w w:val="115"/>
        </w:rPr>
        <w:t>product literature); increased risk of myopathy when simvastatin given with </w:t>
      </w:r>
      <w:r>
        <w:rPr>
          <w:rFonts w:ascii="Arial" w:hAnsi="Arial"/>
          <w:color w:val="231F1F"/>
          <w:w w:val="355"/>
          <w:position w:val="1"/>
          <w:sz w:val="7"/>
        </w:rPr>
        <w:t>l </w:t>
      </w:r>
      <w:r>
        <w:rPr>
          <w:rFonts w:ascii="Calibri" w:hAnsi="Calibri"/>
          <w:color w:val="008356"/>
          <w:spacing w:val="4"/>
          <w:w w:val="115"/>
          <w:sz w:val="11"/>
        </w:rPr>
        <w:t>DRONEDARONE</w:t>
      </w:r>
      <w:r>
        <w:rPr>
          <w:color w:val="231F1F"/>
          <w:spacing w:val="4"/>
          <w:w w:val="115"/>
        </w:rPr>
        <w:t>; </w:t>
      </w:r>
      <w:r>
        <w:rPr>
          <w:color w:val="231F1F"/>
          <w:w w:val="115"/>
        </w:rPr>
        <w:t>plasma concentration of atorvastatin</w:t>
      </w:r>
      <w:r>
        <w:rPr>
          <w:color w:val="231F1F"/>
          <w:spacing w:val="-10"/>
          <w:w w:val="115"/>
        </w:rPr>
        <w:t> </w:t>
      </w:r>
      <w:r>
        <w:rPr>
          <w:color w:val="231F1F"/>
          <w:w w:val="115"/>
        </w:rPr>
        <w:t>possibly</w:t>
      </w:r>
      <w:r>
        <w:rPr>
          <w:color w:val="231F1F"/>
          <w:spacing w:val="-9"/>
          <w:w w:val="115"/>
        </w:rPr>
        <w:t> </w:t>
      </w:r>
      <w:r>
        <w:rPr>
          <w:color w:val="231F1F"/>
          <w:w w:val="115"/>
        </w:rPr>
        <w:t>increased</w:t>
      </w:r>
      <w:r>
        <w:rPr>
          <w:color w:val="231F1F"/>
          <w:spacing w:val="-9"/>
          <w:w w:val="115"/>
        </w:rPr>
        <w:t> </w:t>
      </w:r>
      <w:r>
        <w:rPr>
          <w:color w:val="231F1F"/>
          <w:w w:val="115"/>
        </w:rPr>
        <w:t>by</w:t>
      </w:r>
      <w:r>
        <w:rPr>
          <w:color w:val="231F1F"/>
          <w:spacing w:val="-8"/>
          <w:w w:val="115"/>
        </w:rPr>
        <w:t> </w:t>
      </w:r>
      <w:r>
        <w:rPr>
          <w:rFonts w:ascii="Calibri" w:hAnsi="Calibri"/>
          <w:color w:val="008356"/>
          <w:spacing w:val="5"/>
          <w:w w:val="115"/>
          <w:sz w:val="11"/>
        </w:rPr>
        <w:t>DRONEDARONE</w:t>
      </w:r>
    </w:p>
    <w:p>
      <w:pPr>
        <w:pStyle w:val="BodyText"/>
        <w:ind w:left="280" w:right="656" w:hanging="100"/>
      </w:pPr>
      <w:r>
        <w:rPr>
          <w:rFonts w:ascii="Arial"/>
          <w:color w:val="231F1F"/>
          <w:w w:val="355"/>
          <w:position w:val="1"/>
          <w:sz w:val="7"/>
        </w:rPr>
        <w:t>l </w:t>
      </w:r>
      <w:r>
        <w:rPr>
          <w:rFonts w:ascii="Calibri"/>
          <w:color w:val="231F1F"/>
          <w:w w:val="110"/>
        </w:rPr>
        <w:t>Antibacterials: </w:t>
      </w:r>
      <w:r>
        <w:rPr>
          <w:color w:val="231F1F"/>
          <w:w w:val="110"/>
        </w:rPr>
        <w:t>plasma concentration of atorvastatin and pravastatin increased by </w:t>
      </w:r>
      <w:r>
        <w:rPr>
          <w:rFonts w:ascii="Arial"/>
          <w:color w:val="231F1F"/>
          <w:w w:val="355"/>
          <w:position w:val="1"/>
          <w:sz w:val="7"/>
        </w:rPr>
        <w:t>l </w:t>
      </w:r>
      <w:r>
        <w:rPr>
          <w:rFonts w:ascii="Calibri"/>
          <w:color w:val="008356"/>
          <w:w w:val="110"/>
          <w:sz w:val="11"/>
        </w:rPr>
        <w:t>CLARITHROMYCIN</w:t>
      </w:r>
      <w:r>
        <w:rPr>
          <w:color w:val="231F1F"/>
          <w:w w:val="110"/>
        </w:rPr>
        <w:t>; increased risk of myopathy when simvastatin given with </w:t>
      </w:r>
      <w:r>
        <w:rPr>
          <w:rFonts w:ascii="Arial"/>
          <w:color w:val="231F1F"/>
          <w:w w:val="355"/>
          <w:position w:val="1"/>
          <w:sz w:val="7"/>
        </w:rPr>
        <w:t>l </w:t>
      </w:r>
      <w:r>
        <w:rPr>
          <w:rFonts w:ascii="Calibri"/>
          <w:color w:val="008356"/>
          <w:w w:val="110"/>
          <w:sz w:val="11"/>
        </w:rPr>
        <w:t>CLARITHROMYCIN</w:t>
      </w:r>
      <w:r>
        <w:rPr>
          <w:color w:val="231F1F"/>
          <w:w w:val="110"/>
        </w:rPr>
        <w:t>,</w:t>
      </w:r>
    </w:p>
    <w:p>
      <w:pPr>
        <w:pStyle w:val="BodyText"/>
        <w:spacing w:line="244" w:lineRule="auto"/>
        <w:ind w:left="280" w:right="620"/>
        <w:rPr>
          <w:rFonts w:ascii="Calibri" w:hAnsi="Calibri"/>
          <w:sz w:val="11"/>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ERYTHROMYCIN</w:t>
      </w:r>
      <w:r>
        <w:rPr>
          <w:rFonts w:ascii="Calibri" w:hAnsi="Calibri"/>
          <w:color w:val="008356"/>
          <w:spacing w:val="-7"/>
          <w:w w:val="110"/>
          <w:sz w:val="11"/>
        </w:rPr>
        <w:t> </w:t>
      </w:r>
      <w:r>
        <w:rPr>
          <w:color w:val="231F1F"/>
          <w:w w:val="110"/>
        </w:rPr>
        <w:t>or</w:t>
      </w:r>
      <w:r>
        <w:rPr>
          <w:color w:val="231F1F"/>
          <w:spacing w:val="-15"/>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4"/>
          <w:w w:val="110"/>
          <w:sz w:val="11"/>
        </w:rPr>
        <w:t>TELITHROMYCIN</w:t>
      </w:r>
      <w:r>
        <w:rPr>
          <w:rFonts w:ascii="Calibri" w:hAnsi="Calibri"/>
          <w:color w:val="008356"/>
          <w:spacing w:val="-6"/>
          <w:w w:val="110"/>
          <w:sz w:val="11"/>
        </w:rPr>
        <w:t> </w:t>
      </w:r>
      <w:r>
        <w:rPr>
          <w:color w:val="231F1F"/>
          <w:w w:val="110"/>
        </w:rPr>
        <w:t>(avoid</w:t>
      </w:r>
      <w:r>
        <w:rPr>
          <w:color w:val="231F1F"/>
          <w:spacing w:val="-15"/>
          <w:w w:val="110"/>
        </w:rPr>
        <w:t> </w:t>
      </w:r>
      <w:r>
        <w:rPr>
          <w:color w:val="231F1F"/>
          <w:w w:val="110"/>
        </w:rPr>
        <w:t>concomitant</w:t>
      </w:r>
      <w:r>
        <w:rPr>
          <w:color w:val="231F1F"/>
          <w:spacing w:val="-16"/>
          <w:w w:val="110"/>
        </w:rPr>
        <w:t> </w:t>
      </w:r>
      <w:r>
        <w:rPr>
          <w:color w:val="231F1F"/>
          <w:w w:val="110"/>
        </w:rPr>
        <w:t>use); plasma concentration of rosuvastatin reduced by </w:t>
      </w:r>
      <w:r>
        <w:rPr>
          <w:rFonts w:ascii="Calibri" w:hAnsi="Calibri"/>
          <w:color w:val="008356"/>
          <w:spacing w:val="4"/>
          <w:w w:val="110"/>
          <w:sz w:val="11"/>
        </w:rPr>
        <w:t>ERYTHROMYCIN</w:t>
      </w:r>
      <w:r>
        <w:rPr>
          <w:color w:val="231F1F"/>
          <w:spacing w:val="4"/>
          <w:w w:val="110"/>
        </w:rPr>
        <w:t>; </w:t>
      </w:r>
      <w:r>
        <w:rPr>
          <w:color w:val="231F1F"/>
          <w:w w:val="110"/>
        </w:rPr>
        <w:t>possible increased risk of myopathy when atorvastatin given with </w:t>
      </w:r>
      <w:r>
        <w:rPr>
          <w:rFonts w:ascii="Calibri" w:hAnsi="Calibri"/>
          <w:color w:val="008356"/>
          <w:spacing w:val="4"/>
          <w:w w:val="110"/>
          <w:sz w:val="11"/>
        </w:rPr>
        <w:t>ERYTHROMYCIN</w:t>
      </w:r>
      <w:r>
        <w:rPr>
          <w:color w:val="231F1F"/>
          <w:spacing w:val="4"/>
          <w:w w:val="110"/>
        </w:rPr>
        <w:t>; </w:t>
      </w:r>
      <w:r>
        <w:rPr>
          <w:color w:val="231F1F"/>
          <w:w w:val="110"/>
        </w:rPr>
        <w:t>plasma concentration of pravastatin increased by </w:t>
      </w:r>
      <w:r>
        <w:rPr>
          <w:rFonts w:ascii="Calibri" w:hAnsi="Calibri"/>
          <w:color w:val="008356"/>
          <w:spacing w:val="4"/>
          <w:w w:val="110"/>
          <w:sz w:val="11"/>
        </w:rPr>
        <w:t>ERYTHROMYCIN</w:t>
      </w:r>
      <w:r>
        <w:rPr>
          <w:color w:val="231F1F"/>
          <w:spacing w:val="4"/>
          <w:w w:val="110"/>
        </w:rPr>
        <w:t>; </w:t>
      </w:r>
      <w:r>
        <w:rPr>
          <w:color w:val="231F1F"/>
          <w:w w:val="110"/>
        </w:rPr>
        <w:t>plasma concentration of atorvastatin and  simvastatin  possibly reduced by </w:t>
      </w:r>
      <w:r>
        <w:rPr>
          <w:rFonts w:ascii="Calibri" w:hAnsi="Calibri"/>
          <w:color w:val="008356"/>
          <w:spacing w:val="4"/>
          <w:w w:val="110"/>
          <w:sz w:val="11"/>
        </w:rPr>
        <w:t>RIFAMPICIN</w:t>
      </w:r>
      <w:r>
        <w:rPr>
          <w:color w:val="231F1F"/>
          <w:spacing w:val="4"/>
          <w:w w:val="110"/>
        </w:rPr>
        <w:t>; </w:t>
      </w:r>
      <w:r>
        <w:rPr>
          <w:color w:val="231F1F"/>
          <w:w w:val="110"/>
        </w:rPr>
        <w:t>metabolism of fluvastatin accelerated by </w:t>
      </w:r>
      <w:r>
        <w:rPr>
          <w:rFonts w:ascii="Calibri" w:hAnsi="Calibri"/>
          <w:color w:val="008356"/>
          <w:spacing w:val="4"/>
          <w:w w:val="110"/>
          <w:sz w:val="11"/>
        </w:rPr>
        <w:t>RIFAMPICIN </w:t>
      </w:r>
      <w:r>
        <w:rPr>
          <w:color w:val="231F1F"/>
          <w:w w:val="110"/>
        </w:rPr>
        <w:t>(reduced effect); increased risk of myopathy when statins given with </w:t>
      </w:r>
      <w:r>
        <w:rPr>
          <w:rFonts w:ascii="Arial" w:hAnsi="Arial"/>
          <w:color w:val="231F1F"/>
          <w:w w:val="355"/>
          <w:position w:val="1"/>
          <w:sz w:val="7"/>
        </w:rPr>
        <w:t>l </w:t>
      </w:r>
      <w:r>
        <w:rPr>
          <w:rFonts w:ascii="Calibri" w:hAnsi="Calibri"/>
          <w:color w:val="008356"/>
          <w:spacing w:val="4"/>
          <w:w w:val="110"/>
          <w:sz w:val="11"/>
        </w:rPr>
        <w:t>DAPTOMYCIN </w:t>
      </w:r>
      <w:r>
        <w:rPr>
          <w:color w:val="231F1F"/>
          <w:w w:val="110"/>
        </w:rPr>
        <w:t>(preferably avoid concomitant use); risk of myopathy  and  rhabdomyolysis when statins given with </w:t>
      </w:r>
      <w:r>
        <w:rPr>
          <w:rFonts w:ascii="Arial" w:hAnsi="Arial"/>
          <w:color w:val="231F1F"/>
          <w:w w:val="355"/>
          <w:position w:val="1"/>
          <w:sz w:val="7"/>
        </w:rPr>
        <w:t>l </w:t>
      </w:r>
      <w:r>
        <w:rPr>
          <w:rFonts w:ascii="Calibri" w:hAnsi="Calibri"/>
          <w:color w:val="008356"/>
          <w:spacing w:val="4"/>
          <w:w w:val="110"/>
          <w:sz w:val="11"/>
        </w:rPr>
        <w:t>FUSIDIC </w:t>
      </w:r>
      <w:r>
        <w:rPr>
          <w:rFonts w:ascii="Calibri" w:hAnsi="Calibri"/>
          <w:color w:val="008356"/>
          <w:w w:val="110"/>
          <w:sz w:val="11"/>
        </w:rPr>
        <w:t>ACID</w:t>
      </w:r>
      <w:r>
        <w:rPr>
          <w:rFonts w:ascii="Arial" w:hAnsi="Arial"/>
          <w:color w:val="231F1F"/>
          <w:w w:val="110"/>
        </w:rPr>
        <w:t>—</w:t>
      </w:r>
      <w:r>
        <w:rPr>
          <w:color w:val="231F1F"/>
          <w:w w:val="110"/>
        </w:rPr>
        <w:t>avoid concomitant use and for 7 days after last fusidic acid dose; increased risk  of myopathy when atorvastatin given with </w:t>
      </w:r>
      <w:r>
        <w:rPr>
          <w:rFonts w:ascii="Arial" w:hAnsi="Arial"/>
          <w:color w:val="231F1F"/>
          <w:w w:val="355"/>
          <w:position w:val="1"/>
          <w:sz w:val="7"/>
        </w:rPr>
        <w:t>l </w:t>
      </w:r>
      <w:r>
        <w:rPr>
          <w:rFonts w:ascii="Calibri" w:hAnsi="Calibri"/>
          <w:color w:val="008356"/>
          <w:spacing w:val="4"/>
          <w:w w:val="110"/>
          <w:sz w:val="11"/>
        </w:rPr>
        <w:t>TELITHROMYCIN </w:t>
      </w:r>
      <w:r>
        <w:rPr>
          <w:color w:val="231F1F"/>
          <w:w w:val="110"/>
        </w:rPr>
        <w:t>(avoid concomitant use); possible increased risk of myopathy when pravastatin given with</w:t>
      </w:r>
      <w:r>
        <w:rPr>
          <w:color w:val="231F1F"/>
          <w:spacing w:val="-12"/>
          <w:w w:val="110"/>
        </w:rPr>
        <w:t> </w:t>
      </w:r>
      <w:r>
        <w:rPr>
          <w:rFonts w:ascii="Calibri" w:hAnsi="Calibri"/>
          <w:color w:val="008356"/>
          <w:spacing w:val="4"/>
          <w:w w:val="110"/>
          <w:sz w:val="11"/>
        </w:rPr>
        <w:t>TELITHROMYCIN</w:t>
      </w:r>
    </w:p>
    <w:p>
      <w:pPr>
        <w:pStyle w:val="BodyText"/>
        <w:ind w:left="280" w:right="695" w:hanging="100"/>
      </w:pPr>
      <w:r>
        <w:rPr>
          <w:rFonts w:ascii="Arial"/>
          <w:color w:val="231F1F"/>
          <w:w w:val="355"/>
          <w:position w:val="1"/>
          <w:sz w:val="7"/>
        </w:rPr>
        <w:t>l </w:t>
      </w:r>
      <w:r>
        <w:rPr>
          <w:rFonts w:ascii="Calibri"/>
          <w:color w:val="231F1F"/>
          <w:w w:val="110"/>
        </w:rPr>
        <w:t>Anticoagulants: </w:t>
      </w:r>
      <w:r>
        <w:rPr>
          <w:color w:val="231F1F"/>
          <w:w w:val="110"/>
        </w:rPr>
        <w:t>atorvastatin may transiently reduce anticoagulant effect of </w:t>
      </w:r>
      <w:r>
        <w:rPr>
          <w:rFonts w:ascii="Calibri"/>
          <w:color w:val="008356"/>
          <w:w w:val="110"/>
          <w:sz w:val="11"/>
        </w:rPr>
        <w:t>WARFARIN</w:t>
      </w:r>
      <w:r>
        <w:rPr>
          <w:color w:val="231F1F"/>
          <w:w w:val="110"/>
        </w:rPr>
        <w:t>; rosuvastatin possibly enhances anticoagulant effect of </w:t>
      </w:r>
      <w:r>
        <w:rPr>
          <w:rFonts w:ascii="Arial"/>
          <w:color w:val="231F1F"/>
          <w:w w:val="355"/>
          <w:position w:val="1"/>
          <w:sz w:val="7"/>
        </w:rPr>
        <w:t>l </w:t>
      </w:r>
      <w:r>
        <w:rPr>
          <w:rFonts w:ascii="Calibri"/>
          <w:color w:val="008356"/>
          <w:w w:val="110"/>
          <w:sz w:val="11"/>
        </w:rPr>
        <w:t>COUMARINS </w:t>
      </w:r>
      <w:r>
        <w:rPr>
          <w:color w:val="231F1F"/>
          <w:w w:val="110"/>
        </w:rPr>
        <w:t>and</w:t>
      </w:r>
    </w:p>
    <w:p>
      <w:pPr>
        <w:spacing w:line="242" w:lineRule="auto" w:before="3"/>
        <w:ind w:left="280" w:right="755" w:firstLine="0"/>
        <w:jc w:val="left"/>
        <w:rPr>
          <w:rFonts w:ascii="Calibri"/>
          <w:sz w:val="11"/>
        </w:rPr>
      </w:pPr>
      <w:r>
        <w:rPr>
          <w:rFonts w:ascii="Arial"/>
          <w:color w:val="231F1F"/>
          <w:w w:val="355"/>
          <w:position w:val="1"/>
          <w:sz w:val="7"/>
        </w:rPr>
        <w:t>l </w:t>
      </w:r>
      <w:r>
        <w:rPr>
          <w:rFonts w:ascii="Calibri"/>
          <w:color w:val="008356"/>
          <w:spacing w:val="4"/>
          <w:w w:val="110"/>
          <w:sz w:val="11"/>
        </w:rPr>
        <w:t>PHENINDIONE</w:t>
      </w:r>
      <w:r>
        <w:rPr>
          <w:color w:val="231F1F"/>
          <w:spacing w:val="4"/>
          <w:w w:val="110"/>
          <w:sz w:val="12"/>
        </w:rPr>
        <w:t>; </w:t>
      </w:r>
      <w:r>
        <w:rPr>
          <w:color w:val="231F1F"/>
          <w:w w:val="110"/>
          <w:sz w:val="12"/>
        </w:rPr>
        <w:t>simvastatin can enhance the anticoagulant effect of </w:t>
      </w:r>
      <w:r>
        <w:rPr>
          <w:rFonts w:ascii="Calibri"/>
          <w:color w:val="008356"/>
          <w:spacing w:val="4"/>
          <w:w w:val="110"/>
          <w:sz w:val="11"/>
        </w:rPr>
        <w:t>COUMARINS</w:t>
      </w:r>
      <w:r>
        <w:rPr>
          <w:color w:val="231F1F"/>
          <w:spacing w:val="4"/>
          <w:w w:val="110"/>
          <w:sz w:val="12"/>
        </w:rPr>
        <w:t>; </w:t>
      </w:r>
      <w:r>
        <w:rPr>
          <w:color w:val="231F1F"/>
          <w:w w:val="110"/>
          <w:sz w:val="12"/>
        </w:rPr>
        <w:t>fluvastatin enhances anticoagulant effect of </w:t>
      </w:r>
      <w:r>
        <w:rPr>
          <w:rFonts w:ascii="Arial"/>
          <w:color w:val="231F1F"/>
          <w:w w:val="355"/>
          <w:position w:val="1"/>
          <w:sz w:val="7"/>
        </w:rPr>
        <w:t>l </w:t>
      </w:r>
      <w:r>
        <w:rPr>
          <w:rFonts w:ascii="Calibri"/>
          <w:color w:val="008356"/>
          <w:spacing w:val="5"/>
          <w:w w:val="110"/>
          <w:sz w:val="11"/>
        </w:rPr>
        <w:t>COUMARINS</w:t>
      </w:r>
    </w:p>
    <w:p>
      <w:pPr>
        <w:pStyle w:val="BodyText"/>
        <w:spacing w:line="220" w:lineRule="auto" w:before="6"/>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plasma concentration of simvastatin  reduced by </w:t>
      </w:r>
      <w:r>
        <w:rPr>
          <w:rFonts w:ascii="Calibri" w:hAnsi="Calibri"/>
          <w:color w:val="008356"/>
          <w:w w:val="105"/>
          <w:sz w:val="11"/>
        </w:rPr>
        <w:t>ST </w:t>
      </w:r>
      <w:r>
        <w:rPr>
          <w:rFonts w:ascii="Calibri" w:hAnsi="Calibri"/>
          <w:color w:val="008356"/>
          <w:spacing w:val="4"/>
          <w:w w:val="105"/>
          <w:sz w:val="11"/>
        </w:rPr>
        <w:t>JOHN</w:t>
      </w:r>
      <w:r>
        <w:rPr>
          <w:rFonts w:ascii="Arial" w:hAnsi="Arial"/>
          <w:color w:val="008356"/>
          <w:spacing w:val="4"/>
          <w:w w:val="105"/>
          <w:sz w:val="11"/>
        </w:rPr>
        <w:t>’</w:t>
      </w:r>
      <w:r>
        <w:rPr>
          <w:rFonts w:ascii="Calibri" w:hAnsi="Calibri"/>
          <w:color w:val="008356"/>
          <w:spacing w:val="4"/>
          <w:w w:val="105"/>
          <w:sz w:val="11"/>
        </w:rPr>
        <w:t>S</w:t>
      </w:r>
      <w:r>
        <w:rPr>
          <w:rFonts w:ascii="Calibri" w:hAnsi="Calibri"/>
          <w:color w:val="008356"/>
          <w:spacing w:val="8"/>
          <w:w w:val="105"/>
          <w:sz w:val="11"/>
        </w:rPr>
        <w:t> </w:t>
      </w:r>
      <w:r>
        <w:rPr>
          <w:rFonts w:ascii="Calibri" w:hAnsi="Calibri"/>
          <w:color w:val="008356"/>
          <w:spacing w:val="3"/>
          <w:w w:val="105"/>
          <w:sz w:val="11"/>
        </w:rPr>
        <w:t>WORT</w:t>
      </w:r>
    </w:p>
    <w:p>
      <w:pPr>
        <w:pStyle w:val="BodyText"/>
        <w:spacing w:line="220" w:lineRule="auto" w:before="8"/>
        <w:ind w:left="280" w:right="69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fluvastatin possibly increases plasma concentration of </w:t>
      </w:r>
      <w:r>
        <w:rPr>
          <w:rFonts w:ascii="Calibri" w:hAnsi="Calibri"/>
          <w:color w:val="008356"/>
          <w:w w:val="105"/>
          <w:sz w:val="11"/>
        </w:rPr>
        <w:t>GLIBENCLAMIDE</w:t>
      </w:r>
    </w:p>
    <w:p>
      <w:pPr>
        <w:spacing w:line="242" w:lineRule="auto" w:before="0"/>
        <w:ind w:left="280" w:right="588" w:hanging="100"/>
        <w:jc w:val="left"/>
        <w:rPr>
          <w:sz w:val="12"/>
        </w:rPr>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sz w:val="12"/>
        </w:rPr>
        <w:t>Antiepileptics:</w:t>
      </w:r>
      <w:r>
        <w:rPr>
          <w:rFonts w:ascii="Calibri" w:hAnsi="Calibri"/>
          <w:color w:val="231F1F"/>
          <w:spacing w:val="-13"/>
          <w:w w:val="115"/>
          <w:sz w:val="12"/>
        </w:rPr>
        <w:t> </w:t>
      </w:r>
      <w:r>
        <w:rPr>
          <w:color w:val="231F1F"/>
          <w:w w:val="115"/>
          <w:sz w:val="12"/>
        </w:rPr>
        <w:t>plasma</w:t>
      </w:r>
      <w:r>
        <w:rPr>
          <w:color w:val="231F1F"/>
          <w:spacing w:val="-15"/>
          <w:w w:val="115"/>
          <w:sz w:val="12"/>
        </w:rPr>
        <w:t> </w:t>
      </w:r>
      <w:r>
        <w:rPr>
          <w:color w:val="231F1F"/>
          <w:w w:val="115"/>
          <w:sz w:val="12"/>
        </w:rPr>
        <w:t>concentration</w:t>
      </w:r>
      <w:r>
        <w:rPr>
          <w:color w:val="231F1F"/>
          <w:spacing w:val="-17"/>
          <w:w w:val="115"/>
          <w:sz w:val="12"/>
        </w:rPr>
        <w:t> </w:t>
      </w:r>
      <w:r>
        <w:rPr>
          <w:color w:val="231F1F"/>
          <w:w w:val="115"/>
          <w:sz w:val="12"/>
        </w:rPr>
        <w:t>of</w:t>
      </w:r>
      <w:r>
        <w:rPr>
          <w:color w:val="231F1F"/>
          <w:spacing w:val="-15"/>
          <w:w w:val="115"/>
          <w:sz w:val="12"/>
        </w:rPr>
        <w:t> </w:t>
      </w:r>
      <w:r>
        <w:rPr>
          <w:color w:val="231F1F"/>
          <w:w w:val="115"/>
          <w:sz w:val="12"/>
        </w:rPr>
        <w:t>simvastatin</w:t>
      </w:r>
      <w:r>
        <w:rPr>
          <w:color w:val="231F1F"/>
          <w:spacing w:val="-15"/>
          <w:w w:val="115"/>
          <w:sz w:val="12"/>
        </w:rPr>
        <w:t> </w:t>
      </w:r>
      <w:r>
        <w:rPr>
          <w:color w:val="231F1F"/>
          <w:w w:val="115"/>
          <w:sz w:val="12"/>
        </w:rPr>
        <w:t>reduced</w:t>
      </w:r>
      <w:r>
        <w:rPr>
          <w:color w:val="231F1F"/>
          <w:spacing w:val="-16"/>
          <w:w w:val="115"/>
          <w:sz w:val="12"/>
        </w:rPr>
        <w:t> </w:t>
      </w:r>
      <w:r>
        <w:rPr>
          <w:color w:val="231F1F"/>
          <w:spacing w:val="-6"/>
          <w:w w:val="115"/>
          <w:sz w:val="12"/>
        </w:rPr>
        <w:t>by </w:t>
      </w:r>
      <w:r>
        <w:rPr>
          <w:rFonts w:ascii="Arial" w:hAnsi="Arial"/>
          <w:color w:val="231F1F"/>
          <w:w w:val="110"/>
          <w:position w:val="1"/>
          <w:sz w:val="7"/>
        </w:rPr>
        <w:t>l </w:t>
      </w:r>
      <w:r>
        <w:rPr>
          <w:rFonts w:ascii="Calibri" w:hAnsi="Calibri"/>
          <w:color w:val="008356"/>
          <w:spacing w:val="4"/>
          <w:w w:val="110"/>
          <w:sz w:val="11"/>
        </w:rPr>
        <w:t>CARBAMAZEPINE </w:t>
      </w:r>
      <w:r>
        <w:rPr>
          <w:color w:val="231F1F"/>
          <w:w w:val="110"/>
          <w:sz w:val="12"/>
        </w:rPr>
        <w:t>and </w:t>
      </w:r>
      <w:r>
        <w:rPr>
          <w:rFonts w:ascii="Calibri" w:hAnsi="Calibri"/>
          <w:color w:val="008356"/>
          <w:spacing w:val="3"/>
          <w:w w:val="110"/>
          <w:sz w:val="11"/>
        </w:rPr>
        <w:t>ESLICARBAZEPINE</w:t>
      </w:r>
      <w:r>
        <w:rPr>
          <w:rFonts w:ascii="Arial" w:hAnsi="Arial"/>
          <w:color w:val="231F1F"/>
          <w:spacing w:val="3"/>
          <w:w w:val="110"/>
          <w:sz w:val="12"/>
        </w:rPr>
        <w:t>—</w:t>
      </w:r>
      <w:r>
        <w:rPr>
          <w:color w:val="231F1F"/>
          <w:spacing w:val="3"/>
          <w:w w:val="110"/>
          <w:sz w:val="12"/>
        </w:rPr>
        <w:t>consider </w:t>
      </w:r>
      <w:r>
        <w:rPr>
          <w:color w:val="231F1F"/>
          <w:w w:val="110"/>
          <w:sz w:val="12"/>
        </w:rPr>
        <w:t>increasing </w:t>
      </w:r>
      <w:r>
        <w:rPr>
          <w:color w:val="231F1F"/>
          <w:w w:val="115"/>
          <w:sz w:val="12"/>
        </w:rPr>
        <w:t>dose of simvastatin; plasma concentration of rosuvastatin reduced</w:t>
      </w:r>
      <w:r>
        <w:rPr>
          <w:color w:val="231F1F"/>
          <w:spacing w:val="-19"/>
          <w:w w:val="115"/>
          <w:sz w:val="12"/>
        </w:rPr>
        <w:t> </w:t>
      </w:r>
      <w:r>
        <w:rPr>
          <w:color w:val="231F1F"/>
          <w:w w:val="115"/>
          <w:sz w:val="12"/>
        </w:rPr>
        <w:t>by</w:t>
      </w:r>
      <w:r>
        <w:rPr>
          <w:color w:val="231F1F"/>
          <w:spacing w:val="-17"/>
          <w:w w:val="115"/>
          <w:sz w:val="12"/>
        </w:rPr>
        <w:t> </w:t>
      </w:r>
      <w:r>
        <w:rPr>
          <w:rFonts w:ascii="Calibri" w:hAnsi="Calibri"/>
          <w:color w:val="008356"/>
          <w:spacing w:val="4"/>
          <w:w w:val="115"/>
          <w:sz w:val="11"/>
        </w:rPr>
        <w:t>ESLICARBAZEPINE</w:t>
      </w:r>
      <w:r>
        <w:rPr>
          <w:color w:val="231F1F"/>
          <w:spacing w:val="4"/>
          <w:w w:val="115"/>
          <w:sz w:val="12"/>
        </w:rPr>
        <w:t>;</w:t>
      </w:r>
      <w:r>
        <w:rPr>
          <w:color w:val="231F1F"/>
          <w:spacing w:val="-18"/>
          <w:w w:val="115"/>
          <w:sz w:val="12"/>
        </w:rPr>
        <w:t> </w:t>
      </w:r>
      <w:r>
        <w:rPr>
          <w:color w:val="231F1F"/>
          <w:w w:val="115"/>
          <w:sz w:val="12"/>
        </w:rPr>
        <w:t>combination</w:t>
      </w:r>
      <w:r>
        <w:rPr>
          <w:color w:val="231F1F"/>
          <w:spacing w:val="-19"/>
          <w:w w:val="115"/>
          <w:sz w:val="12"/>
        </w:rPr>
        <w:t> </w:t>
      </w:r>
      <w:r>
        <w:rPr>
          <w:color w:val="231F1F"/>
          <w:w w:val="115"/>
          <w:sz w:val="12"/>
        </w:rPr>
        <w:t>of</w:t>
      </w:r>
      <w:r>
        <w:rPr>
          <w:color w:val="231F1F"/>
          <w:spacing w:val="-17"/>
          <w:w w:val="115"/>
          <w:sz w:val="12"/>
        </w:rPr>
        <w:t> </w:t>
      </w:r>
      <w:r>
        <w:rPr>
          <w:color w:val="231F1F"/>
          <w:w w:val="115"/>
          <w:sz w:val="12"/>
        </w:rPr>
        <w:t>fluvastatin</w:t>
      </w:r>
      <w:r>
        <w:rPr>
          <w:color w:val="231F1F"/>
          <w:spacing w:val="-19"/>
          <w:w w:val="115"/>
          <w:sz w:val="12"/>
        </w:rPr>
        <w:t> </w:t>
      </w:r>
      <w:r>
        <w:rPr>
          <w:color w:val="231F1F"/>
          <w:w w:val="115"/>
          <w:sz w:val="12"/>
        </w:rPr>
        <w:t>with </w:t>
      </w:r>
      <w:r>
        <w:rPr>
          <w:rFonts w:ascii="Calibri" w:hAnsi="Calibri"/>
          <w:color w:val="008356"/>
          <w:spacing w:val="4"/>
          <w:w w:val="115"/>
          <w:sz w:val="11"/>
        </w:rPr>
        <w:t>FOSPHENYTOIN </w:t>
      </w:r>
      <w:r>
        <w:rPr>
          <w:color w:val="231F1F"/>
          <w:w w:val="115"/>
          <w:sz w:val="12"/>
        </w:rPr>
        <w:t>or </w:t>
      </w:r>
      <w:r>
        <w:rPr>
          <w:rFonts w:ascii="Calibri" w:hAnsi="Calibri"/>
          <w:color w:val="008356"/>
          <w:spacing w:val="4"/>
          <w:w w:val="115"/>
          <w:sz w:val="11"/>
        </w:rPr>
        <w:t>PHENYTOIN </w:t>
      </w:r>
      <w:r>
        <w:rPr>
          <w:color w:val="231F1F"/>
          <w:w w:val="115"/>
          <w:sz w:val="12"/>
        </w:rPr>
        <w:t>may increase plasma concentration of either drug (or</w:t>
      </w:r>
      <w:r>
        <w:rPr>
          <w:color w:val="231F1F"/>
          <w:spacing w:val="-18"/>
          <w:w w:val="115"/>
          <w:sz w:val="12"/>
        </w:rPr>
        <w:t> </w:t>
      </w:r>
      <w:r>
        <w:rPr>
          <w:color w:val="231F1F"/>
          <w:w w:val="115"/>
          <w:sz w:val="12"/>
        </w:rPr>
        <w:t>both)</w:t>
      </w:r>
    </w:p>
    <w:p>
      <w:pPr>
        <w:pStyle w:val="BodyText"/>
        <w:spacing w:line="242" w:lineRule="auto" w:before="3"/>
        <w:ind w:left="280" w:right="618" w:hanging="100"/>
      </w:pPr>
      <w:r>
        <w:rPr>
          <w:rFonts w:ascii="Arial" w:hAnsi="Arial"/>
          <w:color w:val="231F1F"/>
          <w:w w:val="355"/>
          <w:position w:val="1"/>
          <w:sz w:val="7"/>
        </w:rPr>
        <w:t>l </w:t>
      </w:r>
      <w:r>
        <w:rPr>
          <w:rFonts w:ascii="Calibri" w:hAnsi="Calibri"/>
          <w:color w:val="231F1F"/>
          <w:w w:val="115"/>
        </w:rPr>
        <w:t>Antifungals: </w:t>
      </w:r>
      <w:r>
        <w:rPr>
          <w:color w:val="231F1F"/>
          <w:w w:val="115"/>
        </w:rPr>
        <w:t>possible increased risk of myopathy when atorvastatin 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manufacturer </w:t>
      </w:r>
      <w:r>
        <w:rPr>
          <w:color w:val="231F1F"/>
          <w:w w:val="115"/>
        </w:rPr>
        <w:t>of ketoconazole advises avoid concomitant use; increased </w:t>
      </w:r>
      <w:r>
        <w:rPr>
          <w:color w:val="231F1F"/>
          <w:spacing w:val="-4"/>
          <w:w w:val="115"/>
        </w:rPr>
        <w:t>risk </w:t>
      </w:r>
      <w:r>
        <w:rPr>
          <w:color w:val="231F1F"/>
          <w:w w:val="115"/>
        </w:rPr>
        <w:t>of myopathy when simvastatin given with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ITRACONAZOLE</w:t>
      </w:r>
      <w:r>
        <w:rPr>
          <w:color w:val="231F1F"/>
          <w:spacing w:val="4"/>
          <w:w w:val="115"/>
        </w:rPr>
        <w:t>,</w:t>
      </w:r>
    </w:p>
    <w:p>
      <w:pPr>
        <w:spacing w:line="244" w:lineRule="auto" w:before="2"/>
        <w:ind w:left="280" w:right="605" w:firstLine="0"/>
        <w:jc w:val="left"/>
        <w:rPr>
          <w:sz w:val="12"/>
        </w:rPr>
      </w:pPr>
      <w:r>
        <w:rPr>
          <w:rFonts w:ascii="Arial" w:hAnsi="Arial"/>
          <w:color w:val="231F1F"/>
          <w:w w:val="135"/>
          <w:position w:val="1"/>
          <w:sz w:val="7"/>
        </w:rPr>
        <w:t>l</w:t>
      </w:r>
      <w:r>
        <w:rPr>
          <w:rFonts w:ascii="Arial" w:hAnsi="Arial"/>
          <w:color w:val="231F1F"/>
          <w:spacing w:val="-17"/>
          <w:w w:val="135"/>
          <w:position w:val="1"/>
          <w:sz w:val="7"/>
        </w:rPr>
        <w:t> </w:t>
      </w:r>
      <w:r>
        <w:rPr>
          <w:rFonts w:ascii="Calibri" w:hAnsi="Calibri"/>
          <w:color w:val="008356"/>
          <w:spacing w:val="4"/>
          <w:w w:val="115"/>
          <w:sz w:val="11"/>
        </w:rPr>
        <w:t>KETOCONAZOLE</w:t>
      </w:r>
      <w:r>
        <w:rPr>
          <w:rFonts w:ascii="Calibri" w:hAnsi="Calibri"/>
          <w:color w:val="008356"/>
          <w:spacing w:val="-16"/>
          <w:w w:val="115"/>
          <w:sz w:val="11"/>
        </w:rPr>
        <w:t> </w:t>
      </w:r>
      <w:r>
        <w:rPr>
          <w:color w:val="231F1F"/>
          <w:w w:val="115"/>
          <w:sz w:val="12"/>
        </w:rPr>
        <w:t>or</w:t>
      </w:r>
      <w:r>
        <w:rPr>
          <w:color w:val="231F1F"/>
          <w:spacing w:val="-25"/>
          <w:w w:val="115"/>
          <w:sz w:val="12"/>
        </w:rPr>
        <w:t> </w:t>
      </w:r>
      <w:r>
        <w:rPr>
          <w:rFonts w:ascii="Arial" w:hAnsi="Arial"/>
          <w:color w:val="231F1F"/>
          <w:w w:val="135"/>
          <w:position w:val="1"/>
          <w:sz w:val="7"/>
        </w:rPr>
        <w:t>l</w:t>
      </w:r>
      <w:r>
        <w:rPr>
          <w:rFonts w:ascii="Arial" w:hAnsi="Arial"/>
          <w:color w:val="231F1F"/>
          <w:spacing w:val="-16"/>
          <w:w w:val="135"/>
          <w:position w:val="1"/>
          <w:sz w:val="7"/>
        </w:rPr>
        <w:t> </w:t>
      </w:r>
      <w:r>
        <w:rPr>
          <w:rFonts w:ascii="Calibri" w:hAnsi="Calibri"/>
          <w:color w:val="008356"/>
          <w:spacing w:val="4"/>
          <w:w w:val="115"/>
          <w:sz w:val="11"/>
        </w:rPr>
        <w:t>POSACONAZOLE</w:t>
      </w:r>
      <w:r>
        <w:rPr>
          <w:rFonts w:ascii="Calibri" w:hAnsi="Calibri"/>
          <w:color w:val="008356"/>
          <w:spacing w:val="-17"/>
          <w:w w:val="115"/>
          <w:sz w:val="11"/>
        </w:rPr>
        <w:t> </w:t>
      </w:r>
      <w:r>
        <w:rPr>
          <w:color w:val="231F1F"/>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 possible increased risk of myopathy when simvastatin given with</w:t>
      </w:r>
      <w:r>
        <w:rPr>
          <w:color w:val="231F1F"/>
          <w:spacing w:val="-25"/>
          <w:w w:val="115"/>
          <w:sz w:val="12"/>
        </w:rPr>
        <w:t> </w:t>
      </w:r>
      <w:r>
        <w:rPr>
          <w:rFonts w:ascii="Arial" w:hAnsi="Arial"/>
          <w:color w:val="231F1F"/>
          <w:w w:val="290"/>
          <w:position w:val="1"/>
          <w:sz w:val="7"/>
        </w:rPr>
        <w:t>l</w:t>
      </w:r>
      <w:r>
        <w:rPr>
          <w:rFonts w:ascii="Arial" w:hAnsi="Arial"/>
          <w:color w:val="231F1F"/>
          <w:spacing w:val="-46"/>
          <w:w w:val="290"/>
          <w:position w:val="1"/>
          <w:sz w:val="7"/>
        </w:rPr>
        <w:t> </w:t>
      </w:r>
      <w:r>
        <w:rPr>
          <w:rFonts w:ascii="Calibri" w:hAnsi="Calibri"/>
          <w:color w:val="008356"/>
          <w:spacing w:val="4"/>
          <w:w w:val="115"/>
          <w:sz w:val="11"/>
        </w:rPr>
        <w:t>FLUCONAZOLE</w:t>
      </w:r>
      <w:r>
        <w:rPr>
          <w:rFonts w:ascii="Calibri" w:hAnsi="Calibri"/>
          <w:color w:val="008356"/>
          <w:spacing w:val="-17"/>
          <w:w w:val="115"/>
          <w:sz w:val="11"/>
        </w:rPr>
        <w:t> </w:t>
      </w:r>
      <w:r>
        <w:rPr>
          <w:color w:val="231F1F"/>
          <w:w w:val="115"/>
          <w:sz w:val="12"/>
        </w:rPr>
        <w:t>or</w:t>
      </w:r>
      <w:r>
        <w:rPr>
          <w:color w:val="231F1F"/>
          <w:spacing w:val="-24"/>
          <w:w w:val="115"/>
          <w:sz w:val="12"/>
        </w:rPr>
        <w:t> </w:t>
      </w:r>
      <w:r>
        <w:rPr>
          <w:rFonts w:ascii="Arial" w:hAnsi="Arial"/>
          <w:color w:val="231F1F"/>
          <w:w w:val="290"/>
          <w:position w:val="1"/>
          <w:sz w:val="7"/>
        </w:rPr>
        <w:t>l</w:t>
      </w:r>
      <w:r>
        <w:rPr>
          <w:rFonts w:ascii="Arial" w:hAnsi="Arial"/>
          <w:color w:val="231F1F"/>
          <w:spacing w:val="-47"/>
          <w:w w:val="290"/>
          <w:position w:val="1"/>
          <w:sz w:val="7"/>
        </w:rPr>
        <w:t> </w:t>
      </w:r>
      <w:r>
        <w:rPr>
          <w:rFonts w:ascii="Calibri" w:hAnsi="Calibri"/>
          <w:color w:val="008356"/>
          <w:spacing w:val="4"/>
          <w:w w:val="115"/>
          <w:sz w:val="11"/>
        </w:rPr>
        <w:t>MICONAZOLE</w:t>
      </w:r>
      <w:r>
        <w:rPr>
          <w:color w:val="231F1F"/>
          <w:spacing w:val="4"/>
          <w:w w:val="115"/>
          <w:sz w:val="12"/>
        </w:rPr>
        <w:t>;</w:t>
      </w:r>
      <w:r>
        <w:rPr>
          <w:color w:val="231F1F"/>
          <w:spacing w:val="-23"/>
          <w:w w:val="115"/>
          <w:sz w:val="12"/>
        </w:rPr>
        <w:t> </w:t>
      </w:r>
      <w:r>
        <w:rPr>
          <w:color w:val="231F1F"/>
          <w:w w:val="115"/>
          <w:sz w:val="12"/>
        </w:rPr>
        <w:t>possible</w:t>
      </w:r>
      <w:r>
        <w:rPr>
          <w:color w:val="231F1F"/>
          <w:spacing w:val="-24"/>
          <w:w w:val="115"/>
          <w:sz w:val="12"/>
        </w:rPr>
        <w:t> </w:t>
      </w:r>
      <w:r>
        <w:rPr>
          <w:color w:val="231F1F"/>
          <w:w w:val="115"/>
          <w:sz w:val="12"/>
        </w:rPr>
        <w:t>increased</w:t>
      </w:r>
      <w:r>
        <w:rPr>
          <w:color w:val="231F1F"/>
          <w:spacing w:val="-25"/>
          <w:w w:val="115"/>
          <w:sz w:val="12"/>
        </w:rPr>
        <w:t> </w:t>
      </w:r>
      <w:r>
        <w:rPr>
          <w:color w:val="231F1F"/>
          <w:w w:val="115"/>
          <w:sz w:val="12"/>
        </w:rPr>
        <w:t>risk of</w:t>
      </w:r>
      <w:r>
        <w:rPr>
          <w:color w:val="231F1F"/>
          <w:spacing w:val="-15"/>
          <w:w w:val="115"/>
          <w:sz w:val="12"/>
        </w:rPr>
        <w:t> </w:t>
      </w:r>
      <w:r>
        <w:rPr>
          <w:color w:val="231F1F"/>
          <w:w w:val="115"/>
          <w:sz w:val="12"/>
        </w:rPr>
        <w:t>myopathy</w:t>
      </w:r>
      <w:r>
        <w:rPr>
          <w:color w:val="231F1F"/>
          <w:spacing w:val="-16"/>
          <w:w w:val="115"/>
          <w:sz w:val="12"/>
        </w:rPr>
        <w:t> </w:t>
      </w:r>
      <w:r>
        <w:rPr>
          <w:color w:val="231F1F"/>
          <w:w w:val="115"/>
          <w:sz w:val="12"/>
        </w:rPr>
        <w:t>when</w:t>
      </w:r>
      <w:r>
        <w:rPr>
          <w:color w:val="231F1F"/>
          <w:spacing w:val="-15"/>
          <w:w w:val="115"/>
          <w:sz w:val="12"/>
        </w:rPr>
        <w:t> </w:t>
      </w:r>
      <w:r>
        <w:rPr>
          <w:color w:val="231F1F"/>
          <w:w w:val="115"/>
          <w:sz w:val="12"/>
        </w:rPr>
        <w:t>atorvastatin</w:t>
      </w:r>
      <w:r>
        <w:rPr>
          <w:color w:val="231F1F"/>
          <w:spacing w:val="-16"/>
          <w:w w:val="115"/>
          <w:sz w:val="12"/>
        </w:rPr>
        <w:t> </w:t>
      </w:r>
      <w:r>
        <w:rPr>
          <w:color w:val="231F1F"/>
          <w:w w:val="115"/>
          <w:sz w:val="12"/>
        </w:rPr>
        <w:t>given</w:t>
      </w:r>
      <w:r>
        <w:rPr>
          <w:color w:val="231F1F"/>
          <w:spacing w:val="-15"/>
          <w:w w:val="115"/>
          <w:sz w:val="12"/>
        </w:rPr>
        <w:t> </w:t>
      </w:r>
      <w:r>
        <w:rPr>
          <w:color w:val="231F1F"/>
          <w:w w:val="115"/>
          <w:sz w:val="12"/>
        </w:rPr>
        <w:t>with</w:t>
      </w:r>
      <w:r>
        <w:rPr>
          <w:color w:val="231F1F"/>
          <w:spacing w:val="-15"/>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FLUCONAZOLE</w:t>
      </w:r>
      <w:r>
        <w:rPr>
          <w:rFonts w:ascii="Calibri" w:hAnsi="Calibri"/>
          <w:color w:val="008356"/>
          <w:spacing w:val="-5"/>
          <w:w w:val="115"/>
          <w:sz w:val="11"/>
        </w:rPr>
        <w:t> </w:t>
      </w:r>
      <w:r>
        <w:rPr>
          <w:color w:val="231F1F"/>
          <w:w w:val="115"/>
          <w:sz w:val="12"/>
        </w:rPr>
        <w:t>or </w:t>
      </w:r>
      <w:r>
        <w:rPr>
          <w:rFonts w:ascii="Calibri" w:hAnsi="Calibri"/>
          <w:color w:val="008356"/>
          <w:spacing w:val="4"/>
          <w:w w:val="115"/>
          <w:sz w:val="11"/>
        </w:rPr>
        <w:t>IMIDAZOLES</w:t>
      </w:r>
      <w:r>
        <w:rPr>
          <w:color w:val="231F1F"/>
          <w:spacing w:val="4"/>
          <w:w w:val="115"/>
          <w:sz w:val="12"/>
        </w:rPr>
        <w:t>;</w:t>
      </w:r>
      <w:r>
        <w:rPr>
          <w:color w:val="231F1F"/>
          <w:spacing w:val="-17"/>
          <w:w w:val="115"/>
          <w:sz w:val="12"/>
        </w:rPr>
        <w:t> </w:t>
      </w:r>
      <w:r>
        <w:rPr>
          <w:color w:val="231F1F"/>
          <w:w w:val="115"/>
          <w:sz w:val="12"/>
        </w:rPr>
        <w:t>plasma</w:t>
      </w:r>
      <w:r>
        <w:rPr>
          <w:color w:val="231F1F"/>
          <w:spacing w:val="-17"/>
          <w:w w:val="115"/>
          <w:sz w:val="12"/>
        </w:rPr>
        <w:t> </w:t>
      </w:r>
      <w:r>
        <w:rPr>
          <w:color w:val="231F1F"/>
          <w:w w:val="115"/>
          <w:sz w:val="12"/>
        </w:rPr>
        <w:t>concentration</w:t>
      </w:r>
      <w:r>
        <w:rPr>
          <w:color w:val="231F1F"/>
          <w:spacing w:val="-17"/>
          <w:w w:val="115"/>
          <w:sz w:val="12"/>
        </w:rPr>
        <w:t> </w:t>
      </w:r>
      <w:r>
        <w:rPr>
          <w:color w:val="231F1F"/>
          <w:w w:val="115"/>
          <w:sz w:val="12"/>
        </w:rPr>
        <w:t>of</w:t>
      </w:r>
      <w:r>
        <w:rPr>
          <w:color w:val="231F1F"/>
          <w:spacing w:val="-16"/>
          <w:w w:val="115"/>
          <w:sz w:val="12"/>
        </w:rPr>
        <w:t> </w:t>
      </w:r>
      <w:r>
        <w:rPr>
          <w:color w:val="231F1F"/>
          <w:w w:val="115"/>
          <w:sz w:val="12"/>
        </w:rPr>
        <w:t>fluvastatin</w:t>
      </w:r>
      <w:r>
        <w:rPr>
          <w:color w:val="231F1F"/>
          <w:spacing w:val="-18"/>
          <w:w w:val="115"/>
          <w:sz w:val="12"/>
        </w:rPr>
        <w:t> </w:t>
      </w:r>
      <w:r>
        <w:rPr>
          <w:color w:val="231F1F"/>
          <w:w w:val="115"/>
          <w:sz w:val="12"/>
        </w:rPr>
        <w:t>increased</w:t>
      </w:r>
      <w:r>
        <w:rPr>
          <w:color w:val="231F1F"/>
          <w:spacing w:val="-17"/>
          <w:w w:val="115"/>
          <w:sz w:val="12"/>
        </w:rPr>
        <w:t> </w:t>
      </w:r>
      <w:r>
        <w:rPr>
          <w:color w:val="231F1F"/>
          <w:spacing w:val="-6"/>
          <w:w w:val="115"/>
          <w:sz w:val="12"/>
        </w:rPr>
        <w:t>by </w:t>
      </w:r>
      <w:r>
        <w:rPr>
          <w:rFonts w:ascii="Calibri" w:hAnsi="Calibri"/>
          <w:color w:val="008356"/>
          <w:spacing w:val="2"/>
          <w:w w:val="115"/>
          <w:sz w:val="11"/>
        </w:rPr>
        <w:t>FLUCONAZOLE</w:t>
      </w:r>
      <w:r>
        <w:rPr>
          <w:rFonts w:ascii="Arial" w:hAnsi="Arial"/>
          <w:color w:val="231F1F"/>
          <w:spacing w:val="2"/>
          <w:w w:val="115"/>
          <w:sz w:val="12"/>
        </w:rPr>
        <w:t>—</w:t>
      </w:r>
      <w:r>
        <w:rPr>
          <w:color w:val="231F1F"/>
          <w:spacing w:val="2"/>
          <w:w w:val="115"/>
          <w:sz w:val="12"/>
        </w:rPr>
        <w:t>possible</w:t>
      </w:r>
      <w:r>
        <w:rPr>
          <w:color w:val="231F1F"/>
          <w:spacing w:val="-23"/>
          <w:w w:val="115"/>
          <w:sz w:val="12"/>
        </w:rPr>
        <w:t> </w:t>
      </w:r>
      <w:r>
        <w:rPr>
          <w:color w:val="231F1F"/>
          <w:w w:val="115"/>
          <w:sz w:val="12"/>
        </w:rPr>
        <w:t>increased</w:t>
      </w:r>
      <w:r>
        <w:rPr>
          <w:color w:val="231F1F"/>
          <w:spacing w:val="-21"/>
          <w:w w:val="115"/>
          <w:sz w:val="12"/>
        </w:rPr>
        <w:t> </w:t>
      </w:r>
      <w:r>
        <w:rPr>
          <w:color w:val="231F1F"/>
          <w:w w:val="115"/>
          <w:sz w:val="12"/>
        </w:rPr>
        <w:t>risk</w:t>
      </w:r>
      <w:r>
        <w:rPr>
          <w:color w:val="231F1F"/>
          <w:spacing w:val="-21"/>
          <w:w w:val="115"/>
          <w:sz w:val="12"/>
        </w:rPr>
        <w:t> </w:t>
      </w:r>
      <w:r>
        <w:rPr>
          <w:color w:val="231F1F"/>
          <w:w w:val="115"/>
          <w:sz w:val="12"/>
        </w:rPr>
        <w:t>of</w:t>
      </w:r>
      <w:r>
        <w:rPr>
          <w:color w:val="231F1F"/>
          <w:spacing w:val="-22"/>
          <w:w w:val="115"/>
          <w:sz w:val="12"/>
        </w:rPr>
        <w:t> </w:t>
      </w:r>
      <w:r>
        <w:rPr>
          <w:color w:val="231F1F"/>
          <w:w w:val="115"/>
          <w:sz w:val="12"/>
        </w:rPr>
        <w:t>myopathy;</w:t>
      </w:r>
      <w:r>
        <w:rPr>
          <w:color w:val="231F1F"/>
          <w:spacing w:val="-22"/>
          <w:w w:val="115"/>
          <w:sz w:val="12"/>
        </w:rPr>
        <w:t> </w:t>
      </w:r>
      <w:r>
        <w:rPr>
          <w:color w:val="231F1F"/>
          <w:w w:val="115"/>
          <w:sz w:val="12"/>
        </w:rPr>
        <w:t>plasma concentration</w:t>
      </w:r>
      <w:r>
        <w:rPr>
          <w:color w:val="231F1F"/>
          <w:spacing w:val="-23"/>
          <w:w w:val="115"/>
          <w:sz w:val="12"/>
        </w:rPr>
        <w:t> </w:t>
      </w:r>
      <w:r>
        <w:rPr>
          <w:color w:val="231F1F"/>
          <w:w w:val="115"/>
          <w:sz w:val="12"/>
        </w:rPr>
        <w:t>of</w:t>
      </w:r>
      <w:r>
        <w:rPr>
          <w:color w:val="231F1F"/>
          <w:spacing w:val="-22"/>
          <w:w w:val="115"/>
          <w:sz w:val="12"/>
        </w:rPr>
        <w:t> </w:t>
      </w:r>
      <w:r>
        <w:rPr>
          <w:color w:val="231F1F"/>
          <w:w w:val="115"/>
          <w:sz w:val="12"/>
        </w:rPr>
        <w:t>rosuvastatin</w:t>
      </w:r>
      <w:r>
        <w:rPr>
          <w:color w:val="231F1F"/>
          <w:spacing w:val="-21"/>
          <w:w w:val="115"/>
          <w:sz w:val="12"/>
        </w:rPr>
        <w:t> </w:t>
      </w:r>
      <w:r>
        <w:rPr>
          <w:color w:val="231F1F"/>
          <w:w w:val="115"/>
          <w:sz w:val="12"/>
        </w:rPr>
        <w:t>increased</w:t>
      </w:r>
      <w:r>
        <w:rPr>
          <w:color w:val="231F1F"/>
          <w:spacing w:val="-23"/>
          <w:w w:val="115"/>
          <w:sz w:val="12"/>
        </w:rPr>
        <w:t> </w:t>
      </w:r>
      <w:r>
        <w:rPr>
          <w:color w:val="231F1F"/>
          <w:w w:val="115"/>
          <w:sz w:val="12"/>
        </w:rPr>
        <w:t>by</w:t>
      </w:r>
      <w:r>
        <w:rPr>
          <w:color w:val="231F1F"/>
          <w:spacing w:val="-22"/>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5"/>
          <w:sz w:val="11"/>
        </w:rPr>
        <w:t>ITRACONAZOLE</w:t>
      </w:r>
      <w:r>
        <w:rPr>
          <w:rFonts w:ascii="Arial" w:hAnsi="Arial"/>
          <w:color w:val="231F1F"/>
          <w:spacing w:val="4"/>
          <w:w w:val="115"/>
          <w:sz w:val="12"/>
        </w:rPr>
        <w:t>— </w:t>
      </w:r>
      <w:r>
        <w:rPr>
          <w:color w:val="231F1F"/>
          <w:w w:val="115"/>
          <w:sz w:val="12"/>
        </w:rPr>
        <w:t>adjust dose of rosuvastatin (consult product literature); increased</w:t>
      </w:r>
      <w:r>
        <w:rPr>
          <w:color w:val="231F1F"/>
          <w:spacing w:val="-6"/>
          <w:w w:val="115"/>
          <w:sz w:val="12"/>
        </w:rPr>
        <w:t> </w:t>
      </w:r>
      <w:r>
        <w:rPr>
          <w:color w:val="231F1F"/>
          <w:w w:val="115"/>
          <w:sz w:val="12"/>
        </w:rPr>
        <w:t>risk</w:t>
      </w:r>
      <w:r>
        <w:rPr>
          <w:color w:val="231F1F"/>
          <w:spacing w:val="-5"/>
          <w:w w:val="115"/>
          <w:sz w:val="12"/>
        </w:rPr>
        <w:t> </w:t>
      </w:r>
      <w:r>
        <w:rPr>
          <w:color w:val="231F1F"/>
          <w:w w:val="115"/>
          <w:sz w:val="12"/>
        </w:rPr>
        <w:t>of</w:t>
      </w:r>
      <w:r>
        <w:rPr>
          <w:color w:val="231F1F"/>
          <w:spacing w:val="-4"/>
          <w:w w:val="115"/>
          <w:sz w:val="12"/>
        </w:rPr>
        <w:t> </w:t>
      </w:r>
      <w:r>
        <w:rPr>
          <w:color w:val="231F1F"/>
          <w:w w:val="115"/>
          <w:sz w:val="12"/>
        </w:rPr>
        <w:t>myopathy</w:t>
      </w:r>
      <w:r>
        <w:rPr>
          <w:color w:val="231F1F"/>
          <w:spacing w:val="-6"/>
          <w:w w:val="115"/>
          <w:sz w:val="12"/>
        </w:rPr>
        <w:t> </w:t>
      </w:r>
      <w:r>
        <w:rPr>
          <w:color w:val="231F1F"/>
          <w:w w:val="115"/>
          <w:sz w:val="12"/>
        </w:rPr>
        <w:t>when</w:t>
      </w:r>
      <w:r>
        <w:rPr>
          <w:color w:val="231F1F"/>
          <w:spacing w:val="-6"/>
          <w:w w:val="115"/>
          <w:sz w:val="12"/>
        </w:rPr>
        <w:t> </w:t>
      </w:r>
      <w:r>
        <w:rPr>
          <w:color w:val="231F1F"/>
          <w:w w:val="115"/>
          <w:sz w:val="12"/>
        </w:rPr>
        <w:t>atorvastatin</w:t>
      </w:r>
      <w:r>
        <w:rPr>
          <w:color w:val="231F1F"/>
          <w:spacing w:val="-7"/>
          <w:w w:val="115"/>
          <w:sz w:val="12"/>
        </w:rPr>
        <w:t> </w:t>
      </w:r>
      <w:r>
        <w:rPr>
          <w:color w:val="231F1F"/>
          <w:w w:val="115"/>
          <w:sz w:val="12"/>
        </w:rPr>
        <w:t>given</w:t>
      </w:r>
      <w:r>
        <w:rPr>
          <w:color w:val="231F1F"/>
          <w:spacing w:val="-5"/>
          <w:w w:val="115"/>
          <w:sz w:val="12"/>
        </w:rPr>
        <w:t> </w:t>
      </w:r>
      <w:r>
        <w:rPr>
          <w:color w:val="231F1F"/>
          <w:w w:val="115"/>
          <w:sz w:val="12"/>
        </w:rPr>
        <w:t>with</w:t>
      </w:r>
    </w:p>
    <w:p>
      <w:pPr>
        <w:spacing w:before="1"/>
        <w:ind w:left="280" w:right="0" w:firstLine="0"/>
        <w:jc w:val="left"/>
        <w:rPr>
          <w:sz w:val="12"/>
        </w:rPr>
      </w:pPr>
      <w:r>
        <w:rPr>
          <w:rFonts w:ascii="Arial"/>
          <w:color w:val="231F1F"/>
          <w:w w:val="355"/>
          <w:position w:val="1"/>
          <w:sz w:val="7"/>
        </w:rPr>
        <w:t>l </w:t>
      </w:r>
      <w:r>
        <w:rPr>
          <w:rFonts w:ascii="Calibri"/>
          <w:color w:val="008356"/>
          <w:spacing w:val="4"/>
          <w:w w:val="115"/>
          <w:sz w:val="11"/>
        </w:rPr>
        <w:t>ITRACONAZOLE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POSACONAZOLE </w:t>
      </w:r>
      <w:r>
        <w:rPr>
          <w:color w:val="231F1F"/>
          <w:w w:val="115"/>
          <w:sz w:val="12"/>
        </w:rPr>
        <w:t>or </w:t>
      </w:r>
      <w:r>
        <w:rPr>
          <w:rFonts w:ascii="Arial"/>
          <w:color w:val="231F1F"/>
          <w:w w:val="355"/>
          <w:position w:val="1"/>
          <w:sz w:val="7"/>
        </w:rPr>
        <w:t>l </w:t>
      </w:r>
      <w:r>
        <w:rPr>
          <w:rFonts w:ascii="Calibri"/>
          <w:color w:val="008356"/>
          <w:spacing w:val="4"/>
          <w:w w:val="115"/>
          <w:sz w:val="11"/>
        </w:rPr>
        <w:t>VORICONAZOLE</w:t>
      </w:r>
      <w:r>
        <w:rPr>
          <w:color w:val="231F1F"/>
          <w:spacing w:val="4"/>
          <w:w w:val="115"/>
          <w:sz w:val="12"/>
        </w:rPr>
        <w:t>;</w:t>
      </w:r>
    </w:p>
    <w:p>
      <w:pPr>
        <w:pStyle w:val="BodyText"/>
        <w:spacing w:before="3"/>
        <w:ind w:left="280"/>
      </w:pPr>
      <w:r>
        <w:rPr>
          <w:color w:val="231F1F"/>
          <w:w w:val="115"/>
        </w:rPr>
        <w:t>increased risk of myopathy when simvastatin given with</w:t>
      </w:r>
    </w:p>
    <w:p>
      <w:pPr>
        <w:spacing w:line="133" w:lineRule="exact" w:before="12"/>
        <w:ind w:left="280" w:right="0" w:firstLine="0"/>
        <w:jc w:val="left"/>
        <w:rPr>
          <w:rFonts w:ascii="Calibri"/>
          <w:sz w:val="11"/>
        </w:rPr>
      </w:pPr>
      <w:r>
        <w:rPr>
          <w:rFonts w:ascii="Arial"/>
          <w:color w:val="231F1F"/>
          <w:w w:val="355"/>
          <w:position w:val="1"/>
          <w:sz w:val="7"/>
        </w:rPr>
        <w:t>l </w:t>
      </w:r>
      <w:r>
        <w:rPr>
          <w:rFonts w:ascii="Calibri"/>
          <w:color w:val="008356"/>
          <w:w w:val="115"/>
          <w:sz w:val="11"/>
        </w:rPr>
        <w:t>VORICONAZOLE</w:t>
      </w:r>
    </w:p>
    <w:p>
      <w:pPr>
        <w:pStyle w:val="BodyText"/>
        <w:ind w:left="280" w:right="687" w:hanging="100"/>
      </w:pPr>
      <w:r>
        <w:rPr>
          <w:rFonts w:ascii="Arial"/>
          <w:color w:val="231F1F"/>
          <w:w w:val="355"/>
          <w:position w:val="1"/>
          <w:sz w:val="7"/>
        </w:rPr>
        <w:t>l </w:t>
      </w:r>
      <w:r>
        <w:rPr>
          <w:rFonts w:ascii="Calibri"/>
          <w:color w:val="231F1F"/>
          <w:w w:val="115"/>
        </w:rPr>
        <w:t>Antivirals: </w:t>
      </w:r>
      <w:r>
        <w:rPr>
          <w:color w:val="231F1F"/>
          <w:w w:val="115"/>
        </w:rPr>
        <w:t>possible increased risk of myopathy when atorvastatin</w:t>
      </w:r>
      <w:r>
        <w:rPr>
          <w:color w:val="231F1F"/>
          <w:spacing w:val="-15"/>
          <w:w w:val="115"/>
        </w:rPr>
        <w:t> </w:t>
      </w:r>
      <w:r>
        <w:rPr>
          <w:color w:val="231F1F"/>
          <w:w w:val="115"/>
        </w:rPr>
        <w:t>or</w:t>
      </w:r>
      <w:r>
        <w:rPr>
          <w:color w:val="231F1F"/>
          <w:spacing w:val="-15"/>
          <w:w w:val="115"/>
        </w:rPr>
        <w:t> </w:t>
      </w:r>
      <w:r>
        <w:rPr>
          <w:color w:val="231F1F"/>
          <w:w w:val="115"/>
        </w:rPr>
        <w:t>pravastatin</w:t>
      </w:r>
      <w:r>
        <w:rPr>
          <w:color w:val="231F1F"/>
          <w:spacing w:val="-14"/>
          <w:w w:val="115"/>
        </w:rPr>
        <w:t> </w:t>
      </w:r>
      <w:r>
        <w:rPr>
          <w:color w:val="231F1F"/>
          <w:w w:val="115"/>
        </w:rPr>
        <w:t>given</w:t>
      </w:r>
      <w:r>
        <w:rPr>
          <w:color w:val="231F1F"/>
          <w:spacing w:val="-15"/>
          <w:w w:val="115"/>
        </w:rPr>
        <w:t> </w:t>
      </w:r>
      <w:r>
        <w:rPr>
          <w:color w:val="231F1F"/>
          <w:w w:val="115"/>
        </w:rPr>
        <w:t>with</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3"/>
          <w:w w:val="115"/>
          <w:sz w:val="11"/>
        </w:rPr>
        <w:t>ATAZANAVIR</w:t>
      </w:r>
      <w:r>
        <w:rPr>
          <w:color w:val="231F1F"/>
          <w:spacing w:val="3"/>
          <w:w w:val="115"/>
        </w:rPr>
        <w:t>;</w:t>
      </w:r>
      <w:r>
        <w:rPr>
          <w:color w:val="231F1F"/>
          <w:spacing w:val="-14"/>
          <w:w w:val="115"/>
        </w:rPr>
        <w:t> </w:t>
      </w:r>
      <w:r>
        <w:rPr>
          <w:color w:val="231F1F"/>
          <w:w w:val="115"/>
        </w:rPr>
        <w:t>plasma concentration</w:t>
      </w:r>
      <w:r>
        <w:rPr>
          <w:color w:val="231F1F"/>
          <w:spacing w:val="-12"/>
          <w:w w:val="115"/>
        </w:rPr>
        <w:t> </w:t>
      </w:r>
      <w:r>
        <w:rPr>
          <w:color w:val="231F1F"/>
          <w:w w:val="115"/>
        </w:rPr>
        <w:t>of</w:t>
      </w:r>
      <w:r>
        <w:rPr>
          <w:color w:val="231F1F"/>
          <w:spacing w:val="-10"/>
          <w:w w:val="115"/>
        </w:rPr>
        <w:t> </w:t>
      </w:r>
      <w:r>
        <w:rPr>
          <w:color w:val="231F1F"/>
          <w:w w:val="115"/>
        </w:rPr>
        <w:t>rosuvastatin</w:t>
      </w:r>
      <w:r>
        <w:rPr>
          <w:color w:val="231F1F"/>
          <w:spacing w:val="-11"/>
          <w:w w:val="115"/>
        </w:rPr>
        <w:t> </w:t>
      </w:r>
      <w:r>
        <w:rPr>
          <w:color w:val="231F1F"/>
          <w:w w:val="115"/>
        </w:rPr>
        <w:t>increased</w:t>
      </w:r>
      <w:r>
        <w:rPr>
          <w:color w:val="231F1F"/>
          <w:spacing w:val="-11"/>
          <w:w w:val="115"/>
        </w:rPr>
        <w:t> </w:t>
      </w:r>
      <w:r>
        <w:rPr>
          <w:color w:val="231F1F"/>
          <w:w w:val="115"/>
        </w:rPr>
        <w:t>by</w:t>
      </w:r>
      <w:r>
        <w:rPr>
          <w:color w:val="231F1F"/>
          <w:spacing w:val="-10"/>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3"/>
          <w:w w:val="115"/>
          <w:sz w:val="11"/>
        </w:rPr>
        <w:t>ATAZANAVIR</w:t>
      </w:r>
      <w:r>
        <w:rPr>
          <w:color w:val="231F1F"/>
          <w:spacing w:val="3"/>
          <w:w w:val="115"/>
        </w:rPr>
        <w:t>,</w:t>
      </w:r>
    </w:p>
    <w:p>
      <w:pPr>
        <w:spacing w:line="247" w:lineRule="auto" w:before="2"/>
        <w:ind w:left="280" w:right="775" w:firstLine="0"/>
        <w:jc w:val="both"/>
        <w:rPr>
          <w:sz w:val="12"/>
        </w:rPr>
      </w:pPr>
      <w:r>
        <w:rPr>
          <w:rFonts w:ascii="Arial" w:hAnsi="Arial"/>
          <w:color w:val="231F1F"/>
          <w:w w:val="205"/>
          <w:position w:val="1"/>
          <w:sz w:val="7"/>
        </w:rPr>
        <w:t>l</w:t>
      </w:r>
      <w:r>
        <w:rPr>
          <w:rFonts w:ascii="Arial" w:hAnsi="Arial"/>
          <w:color w:val="231F1F"/>
          <w:spacing w:val="-31"/>
          <w:w w:val="205"/>
          <w:position w:val="1"/>
          <w:sz w:val="7"/>
        </w:rPr>
        <w:t> </w:t>
      </w:r>
      <w:r>
        <w:rPr>
          <w:rFonts w:ascii="Calibri" w:hAnsi="Calibri"/>
          <w:color w:val="008356"/>
          <w:spacing w:val="4"/>
          <w:w w:val="115"/>
          <w:sz w:val="11"/>
        </w:rPr>
        <w:t>DARUNAVIR</w:t>
      </w:r>
      <w:r>
        <w:rPr>
          <w:color w:val="231F1F"/>
          <w:spacing w:val="4"/>
          <w:w w:val="115"/>
          <w:sz w:val="12"/>
        </w:rPr>
        <w:t>,</w:t>
      </w:r>
      <w:r>
        <w:rPr>
          <w:color w:val="231F1F"/>
          <w:spacing w:val="-23"/>
          <w:w w:val="115"/>
          <w:sz w:val="12"/>
        </w:rPr>
        <w:t> </w:t>
      </w:r>
      <w:r>
        <w:rPr>
          <w:rFonts w:ascii="Arial" w:hAnsi="Arial"/>
          <w:color w:val="231F1F"/>
          <w:w w:val="205"/>
          <w:position w:val="1"/>
          <w:sz w:val="7"/>
        </w:rPr>
        <w:t>l</w:t>
      </w:r>
      <w:r>
        <w:rPr>
          <w:rFonts w:ascii="Arial" w:hAnsi="Arial"/>
          <w:color w:val="231F1F"/>
          <w:spacing w:val="-30"/>
          <w:w w:val="205"/>
          <w:position w:val="1"/>
          <w:sz w:val="7"/>
        </w:rPr>
        <w:t> </w:t>
      </w:r>
      <w:r>
        <w:rPr>
          <w:rFonts w:ascii="Calibri" w:hAnsi="Calibri"/>
          <w:color w:val="008356"/>
          <w:spacing w:val="3"/>
          <w:w w:val="115"/>
          <w:sz w:val="11"/>
        </w:rPr>
        <w:t>LOPINAVIR</w:t>
      </w:r>
      <w:r>
        <w:rPr>
          <w:rFonts w:ascii="Calibri" w:hAnsi="Calibri"/>
          <w:color w:val="008356"/>
          <w:spacing w:val="-16"/>
          <w:w w:val="115"/>
          <w:sz w:val="11"/>
        </w:rPr>
        <w:t> </w:t>
      </w:r>
      <w:r>
        <w:rPr>
          <w:color w:val="231F1F"/>
          <w:w w:val="115"/>
          <w:sz w:val="12"/>
        </w:rPr>
        <w:t>and</w:t>
      </w:r>
      <w:r>
        <w:rPr>
          <w:color w:val="231F1F"/>
          <w:spacing w:val="-24"/>
          <w:w w:val="115"/>
          <w:sz w:val="12"/>
        </w:rPr>
        <w:t> </w:t>
      </w:r>
      <w:r>
        <w:rPr>
          <w:rFonts w:ascii="Arial" w:hAnsi="Arial"/>
          <w:color w:val="231F1F"/>
          <w:w w:val="205"/>
          <w:position w:val="1"/>
          <w:sz w:val="7"/>
        </w:rPr>
        <w:t>l</w:t>
      </w:r>
      <w:r>
        <w:rPr>
          <w:rFonts w:ascii="Arial" w:hAnsi="Arial"/>
          <w:color w:val="231F1F"/>
          <w:spacing w:val="-30"/>
          <w:w w:val="205"/>
          <w:position w:val="1"/>
          <w:sz w:val="7"/>
        </w:rPr>
        <w:t> </w:t>
      </w:r>
      <w:r>
        <w:rPr>
          <w:rFonts w:ascii="Calibri" w:hAnsi="Calibri"/>
          <w:color w:val="008356"/>
          <w:spacing w:val="2"/>
          <w:w w:val="115"/>
          <w:sz w:val="11"/>
        </w:rPr>
        <w:t>TIPRANAVIR</w:t>
      </w:r>
      <w:r>
        <w:rPr>
          <w:rFonts w:ascii="Arial" w:hAnsi="Arial"/>
          <w:color w:val="231F1F"/>
          <w:spacing w:val="2"/>
          <w:w w:val="115"/>
          <w:sz w:val="12"/>
        </w:rPr>
        <w:t>—</w:t>
      </w:r>
      <w:r>
        <w:rPr>
          <w:color w:val="231F1F"/>
          <w:spacing w:val="2"/>
          <w:w w:val="115"/>
          <w:sz w:val="12"/>
        </w:rPr>
        <w:t>adjust</w:t>
      </w:r>
      <w:r>
        <w:rPr>
          <w:color w:val="231F1F"/>
          <w:spacing w:val="-25"/>
          <w:w w:val="115"/>
          <w:sz w:val="12"/>
        </w:rPr>
        <w:t> </w:t>
      </w:r>
      <w:r>
        <w:rPr>
          <w:color w:val="231F1F"/>
          <w:w w:val="115"/>
          <w:sz w:val="12"/>
        </w:rPr>
        <w:t>dose</w:t>
      </w:r>
      <w:r>
        <w:rPr>
          <w:color w:val="231F1F"/>
          <w:spacing w:val="-24"/>
          <w:w w:val="115"/>
          <w:sz w:val="12"/>
        </w:rPr>
        <w:t> </w:t>
      </w:r>
      <w:r>
        <w:rPr>
          <w:color w:val="231F1F"/>
          <w:w w:val="115"/>
          <w:sz w:val="12"/>
        </w:rPr>
        <w:t>of rosuvastatin (consult product literature); increased risk of myopathy</w:t>
      </w:r>
      <w:r>
        <w:rPr>
          <w:color w:val="231F1F"/>
          <w:spacing w:val="-12"/>
          <w:w w:val="115"/>
          <w:sz w:val="12"/>
        </w:rPr>
        <w:t> </w:t>
      </w:r>
      <w:r>
        <w:rPr>
          <w:color w:val="231F1F"/>
          <w:w w:val="115"/>
          <w:sz w:val="12"/>
        </w:rPr>
        <w:t>when</w:t>
      </w:r>
      <w:r>
        <w:rPr>
          <w:color w:val="231F1F"/>
          <w:spacing w:val="-11"/>
          <w:w w:val="115"/>
          <w:sz w:val="12"/>
        </w:rPr>
        <w:t> </w:t>
      </w:r>
      <w:r>
        <w:rPr>
          <w:color w:val="231F1F"/>
          <w:w w:val="115"/>
          <w:sz w:val="12"/>
        </w:rPr>
        <w:t>simvastatin</w:t>
      </w:r>
      <w:r>
        <w:rPr>
          <w:color w:val="231F1F"/>
          <w:spacing w:val="-11"/>
          <w:w w:val="115"/>
          <w:sz w:val="12"/>
        </w:rPr>
        <w:t> </w:t>
      </w:r>
      <w:r>
        <w:rPr>
          <w:color w:val="231F1F"/>
          <w:w w:val="115"/>
          <w:sz w:val="12"/>
        </w:rPr>
        <w:t>given</w:t>
      </w:r>
      <w:r>
        <w:rPr>
          <w:color w:val="231F1F"/>
          <w:spacing w:val="-11"/>
          <w:w w:val="115"/>
          <w:sz w:val="12"/>
        </w:rPr>
        <w:t> </w:t>
      </w:r>
      <w:r>
        <w:rPr>
          <w:color w:val="231F1F"/>
          <w:w w:val="115"/>
          <w:sz w:val="12"/>
        </w:rPr>
        <w:t>with</w:t>
      </w:r>
      <w:r>
        <w:rPr>
          <w:color w:val="231F1F"/>
          <w:spacing w:val="-10"/>
          <w:w w:val="115"/>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3"/>
          <w:w w:val="115"/>
          <w:sz w:val="11"/>
        </w:rPr>
        <w:t>ATAZANAVIR</w:t>
      </w:r>
      <w:r>
        <w:rPr>
          <w:color w:val="231F1F"/>
          <w:spacing w:val="3"/>
          <w:w w:val="115"/>
          <w:sz w:val="12"/>
        </w:rPr>
        <w:t>,</w:t>
      </w:r>
    </w:p>
    <w:p>
      <w:pPr>
        <w:spacing w:after="0" w:line="247" w:lineRule="auto"/>
        <w:jc w:val="both"/>
        <w:rPr>
          <w:sz w:val="12"/>
        </w:rPr>
        <w:sectPr>
          <w:pgSz w:w="8390" w:h="11910"/>
          <w:pgMar w:header="0" w:footer="0" w:top="460" w:bottom="280" w:left="480" w:right="0"/>
          <w:cols w:num="2" w:equalWidth="0">
            <w:col w:w="3642" w:space="40"/>
            <w:col w:w="4228"/>
          </w:cols>
        </w:sectPr>
      </w:pPr>
    </w:p>
    <w:p>
      <w:pPr>
        <w:pStyle w:val="BodyText"/>
        <w:spacing w:before="8"/>
        <w:ind w:left="0"/>
        <w:rPr>
          <w:sz w:val="14"/>
        </w:rPr>
      </w:pPr>
    </w:p>
    <w:p>
      <w:pPr>
        <w:pStyle w:val="BodyText"/>
        <w:ind w:left="108"/>
        <w:rPr>
          <w:rFonts w:ascii="Arial"/>
        </w:rPr>
      </w:pPr>
      <w:r>
        <w:rPr>
          <w:rFonts w:ascii="Arial"/>
          <w:color w:val="008356"/>
        </w:rPr>
        <w:t>Statins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0"/>
        </w:rPr>
        <w:t>Antivirals (continued)</w:t>
      </w:r>
    </w:p>
    <w:p>
      <w:pPr>
        <w:spacing w:line="244" w:lineRule="auto" w:before="0"/>
        <w:ind w:left="208" w:right="71"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INDINAVIR</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0"/>
          <w:sz w:val="11"/>
        </w:rPr>
        <w:t>RITONAVIR </w:t>
      </w:r>
      <w:r>
        <w:rPr>
          <w:color w:val="231F1F"/>
          <w:w w:val="110"/>
          <w:sz w:val="12"/>
        </w:rPr>
        <w:t>or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0"/>
          <w:sz w:val="11"/>
        </w:rPr>
        <w:t>SAQUINAVIR </w:t>
      </w:r>
      <w:r>
        <w:rPr>
          <w:color w:val="231F1F"/>
          <w:w w:val="110"/>
          <w:sz w:val="12"/>
        </w:rPr>
        <w:t>(avoid concomitant use); plasma concentration of pravastatin increased by </w:t>
      </w:r>
      <w:r>
        <w:rPr>
          <w:rFonts w:ascii="Calibri"/>
          <w:color w:val="008356"/>
          <w:spacing w:val="4"/>
          <w:w w:val="110"/>
          <w:sz w:val="11"/>
        </w:rPr>
        <w:t>BOCEPREVIR</w:t>
      </w:r>
      <w:r>
        <w:rPr>
          <w:color w:val="231F1F"/>
          <w:spacing w:val="4"/>
          <w:w w:val="110"/>
          <w:sz w:val="12"/>
        </w:rPr>
        <w:t>; </w:t>
      </w:r>
      <w:r>
        <w:rPr>
          <w:color w:val="231F1F"/>
          <w:w w:val="110"/>
          <w:sz w:val="12"/>
        </w:rPr>
        <w:t>plasma concentration of atorvastatin increased by </w:t>
      </w:r>
      <w:r>
        <w:rPr>
          <w:rFonts w:ascii="Calibri"/>
          <w:color w:val="008356"/>
          <w:spacing w:val="4"/>
          <w:w w:val="110"/>
          <w:sz w:val="11"/>
        </w:rPr>
        <w:t>BOCEPREVIR </w:t>
      </w:r>
      <w:r>
        <w:rPr>
          <w:color w:val="231F1F"/>
          <w:w w:val="110"/>
          <w:sz w:val="12"/>
        </w:rPr>
        <w:t>(reduce dose of atorvastatin); manufacturers advise avoid concomitant use of simvastatin with</w:t>
      </w:r>
    </w:p>
    <w:p>
      <w:pPr>
        <w:spacing w:line="244" w:lineRule="auto" w:before="2"/>
        <w:ind w:left="208" w:right="68" w:firstLine="0"/>
        <w:jc w:val="left"/>
        <w:rPr>
          <w:rFonts w:ascii="Calibri"/>
          <w:sz w:val="11"/>
        </w:rPr>
      </w:pPr>
      <w:r>
        <w:rPr>
          <w:rFonts w:ascii="Arial"/>
          <w:color w:val="231F1F"/>
          <w:w w:val="355"/>
          <w:position w:val="1"/>
          <w:sz w:val="7"/>
        </w:rPr>
        <w:t>l </w:t>
      </w:r>
      <w:r>
        <w:rPr>
          <w:rFonts w:ascii="Calibri"/>
          <w:color w:val="008356"/>
          <w:w w:val="110"/>
          <w:sz w:val="11"/>
        </w:rPr>
        <w:t>BOCEPREVIR </w:t>
      </w:r>
      <w:r>
        <w:rPr>
          <w:color w:val="231F1F"/>
          <w:w w:val="110"/>
          <w:sz w:val="12"/>
        </w:rPr>
        <w:t>and </w:t>
      </w:r>
      <w:r>
        <w:rPr>
          <w:rFonts w:ascii="Arial"/>
          <w:color w:val="231F1F"/>
          <w:w w:val="355"/>
          <w:position w:val="1"/>
          <w:sz w:val="7"/>
        </w:rPr>
        <w:t>l </w:t>
      </w:r>
      <w:r>
        <w:rPr>
          <w:rFonts w:ascii="Calibri"/>
          <w:color w:val="008356"/>
          <w:w w:val="110"/>
          <w:sz w:val="11"/>
        </w:rPr>
        <w:t>TELAPREVIR</w:t>
      </w:r>
      <w:r>
        <w:rPr>
          <w:color w:val="231F1F"/>
          <w:w w:val="110"/>
          <w:sz w:val="12"/>
        </w:rPr>
        <w:t>; plasma concentration of rosuvastatin increased by </w:t>
      </w:r>
      <w:r>
        <w:rPr>
          <w:rFonts w:ascii="Calibri"/>
          <w:color w:val="008356"/>
          <w:w w:val="110"/>
          <w:sz w:val="11"/>
        </w:rPr>
        <w:t>DACLATASVIR</w:t>
      </w:r>
      <w:r>
        <w:rPr>
          <w:color w:val="231F1F"/>
          <w:w w:val="110"/>
          <w:sz w:val="12"/>
        </w:rPr>
        <w:t>; plasma concentration of pravastatin possibly increased by </w:t>
      </w:r>
      <w:r>
        <w:rPr>
          <w:rFonts w:ascii="Calibri"/>
          <w:color w:val="008356"/>
          <w:w w:val="110"/>
          <w:sz w:val="11"/>
        </w:rPr>
        <w:t>DARUNAVIR</w:t>
      </w:r>
      <w:r>
        <w:rPr>
          <w:color w:val="231F1F"/>
          <w:w w:val="110"/>
          <w:sz w:val="12"/>
        </w:rPr>
        <w:t>; possible increased risk of myopathy when atorvastatin given with </w:t>
      </w:r>
      <w:r>
        <w:rPr>
          <w:rFonts w:ascii="Calibri"/>
          <w:color w:val="008356"/>
          <w:w w:val="105"/>
          <w:sz w:val="11"/>
        </w:rPr>
        <w:t>DARUNAVIR</w:t>
      </w:r>
      <w:r>
        <w:rPr>
          <w:color w:val="231F1F"/>
          <w:w w:val="105"/>
          <w:sz w:val="12"/>
        </w:rPr>
        <w:t>, </w:t>
      </w:r>
      <w:r>
        <w:rPr>
          <w:rFonts w:ascii="Calibri"/>
          <w:color w:val="008356"/>
          <w:w w:val="105"/>
          <w:sz w:val="11"/>
        </w:rPr>
        <w:t>FOSAMPRENAVIR</w:t>
      </w:r>
      <w:r>
        <w:rPr>
          <w:color w:val="231F1F"/>
          <w:w w:val="105"/>
          <w:sz w:val="12"/>
        </w:rPr>
        <w:t>, </w:t>
      </w:r>
      <w:r>
        <w:rPr>
          <w:rFonts w:ascii="Calibri"/>
          <w:color w:val="008356"/>
          <w:w w:val="105"/>
          <w:sz w:val="11"/>
        </w:rPr>
        <w:t>INDINAVIR</w:t>
      </w:r>
      <w:r>
        <w:rPr>
          <w:color w:val="231F1F"/>
          <w:w w:val="105"/>
          <w:sz w:val="12"/>
        </w:rPr>
        <w:t>, </w:t>
      </w:r>
      <w:r>
        <w:rPr>
          <w:rFonts w:ascii="Calibri"/>
          <w:color w:val="008356"/>
          <w:w w:val="105"/>
          <w:sz w:val="11"/>
        </w:rPr>
        <w:t>LOPINAVIR</w:t>
      </w:r>
      <w:r>
        <w:rPr>
          <w:color w:val="231F1F"/>
          <w:w w:val="105"/>
          <w:sz w:val="12"/>
        </w:rPr>
        <w:t>, </w:t>
      </w:r>
      <w:r>
        <w:rPr>
          <w:rFonts w:ascii="Calibri"/>
          <w:color w:val="008356"/>
          <w:w w:val="105"/>
          <w:sz w:val="11"/>
        </w:rPr>
        <w:t>RITONAVIR</w:t>
      </w:r>
    </w:p>
    <w:p>
      <w:pPr>
        <w:spacing w:line="244" w:lineRule="auto" w:before="0"/>
        <w:ind w:left="208" w:right="49" w:firstLine="0"/>
        <w:jc w:val="left"/>
        <w:rPr>
          <w:sz w:val="12"/>
        </w:rPr>
      </w:pPr>
      <w:r>
        <w:rPr>
          <w:color w:val="231F1F"/>
          <w:w w:val="110"/>
          <w:sz w:val="12"/>
        </w:rPr>
        <w:t>or </w:t>
      </w:r>
      <w:r>
        <w:rPr>
          <w:rFonts w:ascii="Calibri"/>
          <w:color w:val="008356"/>
          <w:w w:val="110"/>
          <w:sz w:val="11"/>
        </w:rPr>
        <w:t>SAQUINAVIR</w:t>
      </w:r>
      <w:r>
        <w:rPr>
          <w:color w:val="231F1F"/>
          <w:w w:val="110"/>
          <w:sz w:val="12"/>
        </w:rPr>
        <w:t>; plasma concentration of atorvastatin, pravastatin and simvastatin reduced by </w:t>
      </w:r>
      <w:r>
        <w:rPr>
          <w:rFonts w:ascii="Calibri"/>
          <w:color w:val="008356"/>
          <w:w w:val="110"/>
          <w:sz w:val="11"/>
        </w:rPr>
        <w:t>EFAVIRENZ</w:t>
      </w:r>
      <w:r>
        <w:rPr>
          <w:color w:val="231F1F"/>
          <w:w w:val="110"/>
          <w:sz w:val="12"/>
        </w:rPr>
        <w:t>; plasma concentration of atorvastatin possibly reduced by </w:t>
      </w:r>
      <w:r>
        <w:rPr>
          <w:rFonts w:ascii="Calibri"/>
          <w:color w:val="008356"/>
          <w:w w:val="110"/>
          <w:sz w:val="11"/>
        </w:rPr>
        <w:t>ETRAVIRINE</w:t>
      </w:r>
      <w:r>
        <w:rPr>
          <w:color w:val="231F1F"/>
          <w:w w:val="110"/>
          <w:sz w:val="12"/>
        </w:rPr>
        <w:t>; possible increased risk of myopathy when rosuvastatin given with </w:t>
      </w:r>
      <w:r>
        <w:rPr>
          <w:rFonts w:ascii="Arial"/>
          <w:color w:val="231F1F"/>
          <w:w w:val="355"/>
          <w:position w:val="1"/>
          <w:sz w:val="7"/>
        </w:rPr>
        <w:t>l </w:t>
      </w:r>
      <w:r>
        <w:rPr>
          <w:rFonts w:ascii="Calibri"/>
          <w:color w:val="008356"/>
          <w:w w:val="110"/>
          <w:sz w:val="11"/>
        </w:rPr>
        <w:t>FOSAMPRENAVIR</w:t>
      </w:r>
      <w:r>
        <w:rPr>
          <w:color w:val="231F1F"/>
          <w:w w:val="110"/>
          <w:sz w:val="12"/>
        </w:rPr>
        <w:t>, </w:t>
      </w:r>
      <w:r>
        <w:rPr>
          <w:rFonts w:ascii="Arial"/>
          <w:color w:val="231F1F"/>
          <w:w w:val="355"/>
          <w:position w:val="1"/>
          <w:sz w:val="7"/>
        </w:rPr>
        <w:t>l </w:t>
      </w:r>
      <w:r>
        <w:rPr>
          <w:rFonts w:ascii="Calibri"/>
          <w:color w:val="008356"/>
          <w:w w:val="110"/>
          <w:sz w:val="11"/>
        </w:rPr>
        <w:t>INDINAVIR</w:t>
      </w:r>
      <w:r>
        <w:rPr>
          <w:color w:val="231F1F"/>
          <w:w w:val="110"/>
          <w:sz w:val="12"/>
        </w:rPr>
        <w:t>, </w:t>
      </w:r>
      <w:r>
        <w:rPr>
          <w:rFonts w:ascii="Arial"/>
          <w:color w:val="231F1F"/>
          <w:w w:val="355"/>
          <w:position w:val="1"/>
          <w:sz w:val="7"/>
        </w:rPr>
        <w:t>l </w:t>
      </w:r>
      <w:r>
        <w:rPr>
          <w:rFonts w:ascii="Calibri"/>
          <w:color w:val="008356"/>
          <w:w w:val="110"/>
          <w:sz w:val="11"/>
        </w:rPr>
        <w:t>RITONAVIR </w:t>
      </w:r>
      <w:r>
        <w:rPr>
          <w:color w:val="231F1F"/>
          <w:w w:val="110"/>
          <w:sz w:val="12"/>
        </w:rPr>
        <w:t>and</w:t>
      </w:r>
    </w:p>
    <w:p>
      <w:pPr>
        <w:pStyle w:val="BodyText"/>
        <w:spacing w:line="244" w:lineRule="auto"/>
        <w:ind w:right="47"/>
      </w:pP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manufacturer of rosuvastatin advises avoid concomitant use; possible increased risk of myopathy when simvastatin given with </w:t>
      </w:r>
      <w:r>
        <w:rPr>
          <w:rFonts w:ascii="Arial" w:hAnsi="Arial"/>
          <w:color w:val="231F1F"/>
          <w:w w:val="355"/>
          <w:position w:val="1"/>
          <w:sz w:val="7"/>
        </w:rPr>
        <w:t>l </w:t>
      </w:r>
      <w:r>
        <w:rPr>
          <w:rFonts w:ascii="Calibri" w:hAnsi="Calibri"/>
          <w:color w:val="008356"/>
          <w:spacing w:val="4"/>
          <w:w w:val="110"/>
          <w:sz w:val="11"/>
        </w:rPr>
        <w:t>FOSAMPRENAVIR </w:t>
      </w:r>
      <w:r>
        <w:rPr>
          <w:color w:val="231F1F"/>
          <w:w w:val="110"/>
        </w:rPr>
        <w:t>or </w:t>
      </w:r>
      <w:r>
        <w:rPr>
          <w:rFonts w:ascii="Arial" w:hAnsi="Arial"/>
          <w:color w:val="231F1F"/>
          <w:w w:val="355"/>
          <w:position w:val="1"/>
          <w:sz w:val="7"/>
        </w:rPr>
        <w:t>l </w:t>
      </w:r>
      <w:r>
        <w:rPr>
          <w:rFonts w:ascii="Calibri" w:hAnsi="Calibri"/>
          <w:color w:val="008356"/>
          <w:spacing w:val="3"/>
          <w:w w:val="110"/>
          <w:sz w:val="11"/>
        </w:rPr>
        <w:t>LOPINAVIR</w:t>
      </w:r>
      <w:r>
        <w:rPr>
          <w:rFonts w:ascii="Arial" w:hAnsi="Arial"/>
          <w:color w:val="231F1F"/>
          <w:spacing w:val="3"/>
          <w:w w:val="110"/>
        </w:rPr>
        <w:t>— </w:t>
      </w:r>
      <w:r>
        <w:rPr>
          <w:color w:val="231F1F"/>
          <w:w w:val="110"/>
        </w:rPr>
        <w:t>avoid concomitant use; plasma concentration of </w:t>
      </w:r>
      <w:r>
        <w:rPr>
          <w:color w:val="231F1F"/>
          <w:spacing w:val="-3"/>
          <w:w w:val="110"/>
        </w:rPr>
        <w:t>atorvastatin, </w:t>
      </w:r>
      <w:r>
        <w:rPr>
          <w:color w:val="231F1F"/>
          <w:w w:val="110"/>
        </w:rPr>
        <w:t>rosuvastatin and simvastatin increased by </w:t>
      </w:r>
      <w:r>
        <w:rPr>
          <w:rFonts w:ascii="Calibri" w:hAnsi="Calibri"/>
          <w:color w:val="008356"/>
          <w:spacing w:val="5"/>
          <w:w w:val="110"/>
          <w:sz w:val="11"/>
        </w:rPr>
        <w:t>SIMEPREVIR </w:t>
      </w:r>
      <w:r>
        <w:rPr>
          <w:color w:val="231F1F"/>
          <w:w w:val="110"/>
        </w:rPr>
        <w:t>(consider reducing dose of atorvastatin, rosuvastatin and simvastatin); avoidance of atorvastatin advised by manufacturer of </w:t>
      </w:r>
      <w:r>
        <w:rPr>
          <w:rFonts w:ascii="Arial" w:hAnsi="Arial"/>
          <w:color w:val="231F1F"/>
          <w:w w:val="355"/>
          <w:position w:val="1"/>
          <w:sz w:val="7"/>
        </w:rPr>
        <w:t>l </w:t>
      </w:r>
      <w:r>
        <w:rPr>
          <w:rFonts w:ascii="Calibri" w:hAnsi="Calibri"/>
          <w:color w:val="008356"/>
          <w:spacing w:val="4"/>
          <w:w w:val="110"/>
          <w:sz w:val="11"/>
        </w:rPr>
        <w:t>TELAPREVIR</w:t>
      </w:r>
      <w:r>
        <w:rPr>
          <w:color w:val="231F1F"/>
          <w:spacing w:val="4"/>
          <w:w w:val="110"/>
        </w:rPr>
        <w:t>; </w:t>
      </w:r>
      <w:r>
        <w:rPr>
          <w:color w:val="231F1F"/>
          <w:w w:val="110"/>
        </w:rPr>
        <w:t>plasma concentration of simvastatin possibly increased by </w:t>
      </w:r>
      <w:r>
        <w:rPr>
          <w:rFonts w:ascii="Arial" w:hAnsi="Arial"/>
          <w:color w:val="231F1F"/>
          <w:w w:val="355"/>
          <w:position w:val="1"/>
          <w:sz w:val="7"/>
        </w:rPr>
        <w:t>l </w:t>
      </w:r>
      <w:r>
        <w:rPr>
          <w:rFonts w:ascii="Calibri" w:hAnsi="Calibri"/>
          <w:color w:val="008356"/>
          <w:spacing w:val="2"/>
          <w:w w:val="110"/>
          <w:sz w:val="11"/>
        </w:rPr>
        <w:t>TIPRANAVIR</w:t>
      </w:r>
      <w:r>
        <w:rPr>
          <w:rFonts w:ascii="Arial" w:hAnsi="Arial"/>
          <w:color w:val="231F1F"/>
          <w:spacing w:val="2"/>
          <w:w w:val="110"/>
        </w:rPr>
        <w:t>—</w:t>
      </w:r>
      <w:r>
        <w:rPr>
          <w:color w:val="231F1F"/>
          <w:spacing w:val="2"/>
          <w:w w:val="110"/>
        </w:rPr>
        <w:t>avoid </w:t>
      </w:r>
      <w:r>
        <w:rPr>
          <w:color w:val="231F1F"/>
          <w:w w:val="110"/>
        </w:rPr>
        <w:t>concomitant use; increased risk  of myopathy when atorvastatin given with </w:t>
      </w:r>
      <w:r>
        <w:rPr>
          <w:rFonts w:ascii="Arial" w:hAnsi="Arial"/>
          <w:color w:val="231F1F"/>
          <w:w w:val="355"/>
          <w:position w:val="1"/>
          <w:sz w:val="7"/>
        </w:rPr>
        <w:t>l </w:t>
      </w:r>
      <w:r>
        <w:rPr>
          <w:rFonts w:ascii="Calibri" w:hAnsi="Calibri"/>
          <w:color w:val="008356"/>
          <w:spacing w:val="4"/>
          <w:w w:val="110"/>
          <w:sz w:val="11"/>
        </w:rPr>
        <w:t>TIPRANAVIR </w:t>
      </w:r>
      <w:r>
        <w:rPr>
          <w:color w:val="231F1F"/>
          <w:w w:val="110"/>
        </w:rPr>
        <w:t>(see under Atorvastatin, p.</w:t>
      </w:r>
      <w:r>
        <w:rPr>
          <w:color w:val="231F1F"/>
          <w:spacing w:val="-2"/>
          <w:w w:val="110"/>
        </w:rPr>
        <w:t> </w:t>
      </w:r>
      <w:r>
        <w:rPr>
          <w:color w:val="231F1F"/>
          <w:w w:val="110"/>
        </w:rPr>
        <w:t>179)</w:t>
      </w:r>
    </w:p>
    <w:p>
      <w:pPr>
        <w:pStyle w:val="BodyText"/>
        <w:spacing w:line="220" w:lineRule="auto" w:before="13"/>
        <w:ind w:right="202"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atorvastatin possibly increases plasma concentration of </w:t>
      </w:r>
      <w:r>
        <w:rPr>
          <w:rFonts w:ascii="Calibri" w:hAnsi="Calibri"/>
          <w:color w:val="008356"/>
          <w:w w:val="105"/>
          <w:sz w:val="11"/>
        </w:rPr>
        <w:t>MIDAZOLAM</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Bosentan: </w:t>
      </w:r>
      <w:r>
        <w:rPr>
          <w:color w:val="231F1F"/>
          <w:w w:val="105"/>
        </w:rPr>
        <w:t>plasma concentration of simvastatin reduced by</w:t>
      </w:r>
    </w:p>
    <w:p>
      <w:pPr>
        <w:spacing w:line="130" w:lineRule="exact" w:before="0"/>
        <w:ind w:left="208" w:right="0" w:firstLine="0"/>
        <w:jc w:val="left"/>
        <w:rPr>
          <w:rFonts w:ascii="Calibri"/>
          <w:sz w:val="11"/>
        </w:rPr>
      </w:pPr>
      <w:r>
        <w:rPr>
          <w:rFonts w:ascii="Calibri"/>
          <w:color w:val="008356"/>
          <w:sz w:val="11"/>
        </w:rPr>
        <w:t>BOSENTAN</w:t>
      </w:r>
    </w:p>
    <w:p>
      <w:pPr>
        <w:pStyle w:val="BodyText"/>
        <w:spacing w:line="244" w:lineRule="auto"/>
        <w:ind w:right="106" w:hanging="100"/>
      </w:pPr>
      <w:r>
        <w:rPr>
          <w:rFonts w:ascii="Arial" w:hAnsi="Arial"/>
          <w:color w:val="231F1F"/>
          <w:w w:val="355"/>
          <w:position w:val="1"/>
          <w:sz w:val="7"/>
        </w:rPr>
        <w:t>l</w:t>
      </w:r>
      <w:r>
        <w:rPr>
          <w:rFonts w:ascii="Arial" w:hAnsi="Arial"/>
          <w:color w:val="231F1F"/>
          <w:spacing w:val="-40"/>
          <w:w w:val="355"/>
          <w:position w:val="1"/>
          <w:sz w:val="7"/>
        </w:rPr>
        <w:t> </w:t>
      </w:r>
      <w:r>
        <w:rPr>
          <w:rFonts w:ascii="Calibri" w:hAnsi="Calibri"/>
          <w:color w:val="231F1F"/>
          <w:w w:val="110"/>
        </w:rPr>
        <w:t>Calcium-channel</w:t>
      </w:r>
      <w:r>
        <w:rPr>
          <w:rFonts w:ascii="Calibri" w:hAnsi="Calibri"/>
          <w:color w:val="231F1F"/>
          <w:spacing w:val="-7"/>
          <w:w w:val="110"/>
        </w:rPr>
        <w:t> </w:t>
      </w:r>
      <w:r>
        <w:rPr>
          <w:rFonts w:ascii="Calibri" w:hAnsi="Calibri"/>
          <w:color w:val="231F1F"/>
          <w:w w:val="110"/>
        </w:rPr>
        <w:t>Blockers:</w:t>
      </w:r>
      <w:r>
        <w:rPr>
          <w:rFonts w:ascii="Calibri" w:hAnsi="Calibri"/>
          <w:color w:val="231F1F"/>
          <w:spacing w:val="-6"/>
          <w:w w:val="110"/>
        </w:rPr>
        <w:t> </w:t>
      </w:r>
      <w:r>
        <w:rPr>
          <w:color w:val="231F1F"/>
          <w:w w:val="110"/>
        </w:rPr>
        <w:t>possible</w:t>
      </w:r>
      <w:r>
        <w:rPr>
          <w:color w:val="231F1F"/>
          <w:spacing w:val="-10"/>
          <w:w w:val="110"/>
        </w:rPr>
        <w:t> </w:t>
      </w:r>
      <w:r>
        <w:rPr>
          <w:color w:val="231F1F"/>
          <w:w w:val="110"/>
        </w:rPr>
        <w:t>increased</w:t>
      </w:r>
      <w:r>
        <w:rPr>
          <w:color w:val="231F1F"/>
          <w:spacing w:val="-11"/>
          <w:w w:val="110"/>
        </w:rPr>
        <w:t> </w:t>
      </w:r>
      <w:r>
        <w:rPr>
          <w:color w:val="231F1F"/>
          <w:w w:val="110"/>
        </w:rPr>
        <w:t>risk</w:t>
      </w:r>
      <w:r>
        <w:rPr>
          <w:color w:val="231F1F"/>
          <w:spacing w:val="-9"/>
          <w:w w:val="110"/>
        </w:rPr>
        <w:t> </w:t>
      </w:r>
      <w:r>
        <w:rPr>
          <w:color w:val="231F1F"/>
          <w:w w:val="110"/>
        </w:rPr>
        <w:t>of</w:t>
      </w:r>
      <w:r>
        <w:rPr>
          <w:color w:val="231F1F"/>
          <w:spacing w:val="-10"/>
          <w:w w:val="110"/>
        </w:rPr>
        <w:t> </w:t>
      </w:r>
      <w:r>
        <w:rPr>
          <w:color w:val="231F1F"/>
          <w:w w:val="110"/>
        </w:rPr>
        <w:t>myopathy when</w:t>
      </w:r>
      <w:r>
        <w:rPr>
          <w:color w:val="231F1F"/>
          <w:spacing w:val="-8"/>
          <w:w w:val="110"/>
        </w:rPr>
        <w:t> </w:t>
      </w:r>
      <w:r>
        <w:rPr>
          <w:color w:val="231F1F"/>
          <w:w w:val="110"/>
        </w:rPr>
        <w:t>simvastatin</w:t>
      </w:r>
      <w:r>
        <w:rPr>
          <w:color w:val="231F1F"/>
          <w:spacing w:val="-7"/>
          <w:w w:val="110"/>
        </w:rPr>
        <w:t> </w:t>
      </w:r>
      <w:r>
        <w:rPr>
          <w:color w:val="231F1F"/>
          <w:w w:val="110"/>
        </w:rPr>
        <w:t>given</w:t>
      </w:r>
      <w:r>
        <w:rPr>
          <w:color w:val="231F1F"/>
          <w:spacing w:val="-7"/>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AMLODIPINE </w:t>
      </w:r>
      <w:r>
        <w:rPr>
          <w:color w:val="231F1F"/>
          <w:w w:val="110"/>
        </w:rPr>
        <w:t>and</w:t>
      </w:r>
      <w:r>
        <w:rPr>
          <w:color w:val="231F1F"/>
          <w:spacing w:val="-5"/>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DILTIAZEM </w:t>
      </w:r>
      <w:r>
        <w:rPr>
          <w:color w:val="231F1F"/>
          <w:w w:val="110"/>
        </w:rPr>
        <w:t>(see under Simvastatin, p. 181); plasma concentration of atorvastatin increased by </w:t>
      </w:r>
      <w:r>
        <w:rPr>
          <w:rFonts w:ascii="Calibri" w:hAnsi="Calibri"/>
          <w:color w:val="008356"/>
          <w:w w:val="110"/>
          <w:sz w:val="11"/>
        </w:rPr>
        <w:t>DILTIAZEM</w:t>
      </w:r>
      <w:r>
        <w:rPr>
          <w:rFonts w:ascii="Arial" w:hAnsi="Arial"/>
          <w:color w:val="231F1F"/>
          <w:w w:val="110"/>
        </w:rPr>
        <w:t>—</w:t>
      </w:r>
      <w:r>
        <w:rPr>
          <w:color w:val="231F1F"/>
          <w:w w:val="110"/>
        </w:rPr>
        <w:t>possible increased risk of myopathy; increased risk of myopathy when simvastatin given with </w:t>
      </w:r>
      <w:r>
        <w:rPr>
          <w:rFonts w:ascii="Arial" w:hAnsi="Arial"/>
          <w:color w:val="231F1F"/>
          <w:w w:val="355"/>
          <w:position w:val="1"/>
          <w:sz w:val="7"/>
        </w:rPr>
        <w:t>l </w:t>
      </w:r>
      <w:r>
        <w:rPr>
          <w:rFonts w:ascii="Calibri" w:hAnsi="Calibri"/>
          <w:color w:val="008356"/>
          <w:spacing w:val="4"/>
          <w:w w:val="110"/>
          <w:sz w:val="11"/>
        </w:rPr>
        <w:t>VERAPAMIL </w:t>
      </w:r>
      <w:r>
        <w:rPr>
          <w:color w:val="231F1F"/>
          <w:w w:val="110"/>
        </w:rPr>
        <w:t>(see under Simvastatin, p. 181); atorvastatin increases plasma concentration of </w:t>
      </w:r>
      <w:r>
        <w:rPr>
          <w:rFonts w:ascii="Arial" w:hAnsi="Arial"/>
          <w:color w:val="231F1F"/>
          <w:w w:val="355"/>
          <w:position w:val="1"/>
          <w:sz w:val="7"/>
        </w:rPr>
        <w:t>l </w:t>
      </w:r>
      <w:r>
        <w:rPr>
          <w:rFonts w:ascii="Calibri" w:hAnsi="Calibri"/>
          <w:color w:val="008356"/>
          <w:spacing w:val="4"/>
          <w:w w:val="110"/>
          <w:sz w:val="11"/>
        </w:rPr>
        <w:t>VERAPAMIL</w:t>
      </w:r>
      <w:r>
        <w:rPr>
          <w:color w:val="231F1F"/>
          <w:spacing w:val="4"/>
          <w:w w:val="110"/>
        </w:rPr>
        <w:t>, </w:t>
      </w:r>
      <w:r>
        <w:rPr>
          <w:color w:val="231F1F"/>
          <w:w w:val="110"/>
        </w:rPr>
        <w:t>also possible increased risk of myopathy (consider reducing dose of</w:t>
      </w:r>
      <w:r>
        <w:rPr>
          <w:color w:val="231F1F"/>
          <w:spacing w:val="-3"/>
          <w:w w:val="110"/>
        </w:rPr>
        <w:t> </w:t>
      </w:r>
      <w:r>
        <w:rPr>
          <w:color w:val="231F1F"/>
          <w:w w:val="110"/>
        </w:rPr>
        <w:t>atorvastatin)</w:t>
      </w:r>
    </w:p>
    <w:p>
      <w:pPr>
        <w:pStyle w:val="BodyText"/>
        <w:spacing w:line="220" w:lineRule="auto" w:before="6"/>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atorvastatin possibly increases </w:t>
      </w:r>
      <w:r>
        <w:rPr>
          <w:color w:val="231F1F"/>
          <w:spacing w:val="-3"/>
          <w:w w:val="105"/>
        </w:rPr>
        <w:t>plasma </w:t>
      </w:r>
      <w:r>
        <w:rPr>
          <w:color w:val="231F1F"/>
          <w:w w:val="105"/>
        </w:rPr>
        <w:t>concentration of</w:t>
      </w:r>
      <w:r>
        <w:rPr>
          <w:color w:val="231F1F"/>
          <w:spacing w:val="2"/>
          <w:w w:val="105"/>
        </w:rPr>
        <w:t> </w:t>
      </w:r>
      <w:r>
        <w:rPr>
          <w:rFonts w:ascii="Calibri" w:hAnsi="Calibri"/>
          <w:color w:val="008356"/>
          <w:spacing w:val="4"/>
          <w:w w:val="105"/>
          <w:sz w:val="11"/>
        </w:rPr>
        <w:t>DIGOXIN</w:t>
      </w:r>
    </w:p>
    <w:p>
      <w:pPr>
        <w:pStyle w:val="BodyText"/>
        <w:spacing w:line="244" w:lineRule="auto" w:before="1"/>
        <w:ind w:right="135"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myopathy when rosuvastatin </w:t>
      </w:r>
      <w:r>
        <w:rPr>
          <w:color w:val="231F1F"/>
          <w:spacing w:val="-7"/>
          <w:w w:val="110"/>
        </w:rPr>
        <w:t>or </w:t>
      </w:r>
      <w:r>
        <w:rPr>
          <w:color w:val="231F1F"/>
          <w:w w:val="110"/>
        </w:rPr>
        <w:t>simvastatin given with </w:t>
      </w:r>
      <w:r>
        <w:rPr>
          <w:rFonts w:ascii="Arial"/>
          <w:color w:val="231F1F"/>
          <w:w w:val="355"/>
          <w:position w:val="1"/>
          <w:sz w:val="7"/>
        </w:rPr>
        <w:t>l </w:t>
      </w:r>
      <w:r>
        <w:rPr>
          <w:rFonts w:ascii="Calibri"/>
          <w:color w:val="008356"/>
          <w:spacing w:val="4"/>
          <w:w w:val="110"/>
          <w:sz w:val="11"/>
        </w:rPr>
        <w:t>CICLOSPORIN </w:t>
      </w:r>
      <w:r>
        <w:rPr>
          <w:color w:val="231F1F"/>
          <w:w w:val="110"/>
        </w:rPr>
        <w:t>(avoid concomitant use); increased risk of myopathy when atorvastatin given with </w:t>
      </w:r>
      <w:r>
        <w:rPr>
          <w:rFonts w:ascii="Arial"/>
          <w:color w:val="231F1F"/>
          <w:w w:val="355"/>
          <w:position w:val="1"/>
          <w:sz w:val="7"/>
        </w:rPr>
        <w:t>l </w:t>
      </w:r>
      <w:r>
        <w:rPr>
          <w:rFonts w:ascii="Calibri"/>
          <w:color w:val="008356"/>
          <w:spacing w:val="4"/>
          <w:w w:val="110"/>
          <w:sz w:val="11"/>
        </w:rPr>
        <w:t>CICLOSPORIN </w:t>
      </w:r>
      <w:r>
        <w:rPr>
          <w:color w:val="231F1F"/>
          <w:w w:val="110"/>
        </w:rPr>
        <w:t>(see under Atorvastatin, p. 179); increased risk of myopathy when fluvastatin or pravastatin given with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CICLOSPORIN</w:t>
      </w:r>
    </w:p>
    <w:p>
      <w:pPr>
        <w:pStyle w:val="BodyText"/>
        <w:spacing w:line="141" w:lineRule="exact"/>
        <w:ind w:left="108"/>
      </w:pPr>
      <w:r>
        <w:rPr>
          <w:rFonts w:ascii="Arial"/>
          <w:color w:val="231F1F"/>
          <w:w w:val="355"/>
          <w:position w:val="1"/>
          <w:sz w:val="7"/>
        </w:rPr>
        <w:t>l </w:t>
      </w:r>
      <w:r>
        <w:rPr>
          <w:rFonts w:ascii="Calibri"/>
          <w:color w:val="231F1F"/>
          <w:w w:val="115"/>
        </w:rPr>
        <w:t>Clopidogrel: </w:t>
      </w:r>
      <w:r>
        <w:rPr>
          <w:color w:val="231F1F"/>
          <w:w w:val="115"/>
        </w:rPr>
        <w:t>plasma concentration of rosuvastatin increased</w:t>
      </w:r>
    </w:p>
    <w:p>
      <w:pPr>
        <w:pStyle w:val="BodyText"/>
        <w:ind w:right="400"/>
      </w:pP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CLOPIDOGREL</w:t>
      </w:r>
      <w:r>
        <w:rPr>
          <w:rFonts w:ascii="Arial" w:hAnsi="Arial"/>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3"/>
          <w:w w:val="115"/>
        </w:rPr>
        <w:t> </w:t>
      </w:r>
      <w:r>
        <w:rPr>
          <w:color w:val="231F1F"/>
          <w:w w:val="115"/>
        </w:rPr>
        <w:t>of</w:t>
      </w:r>
      <w:r>
        <w:rPr>
          <w:color w:val="231F1F"/>
          <w:spacing w:val="-23"/>
          <w:w w:val="115"/>
        </w:rPr>
        <w:t> </w:t>
      </w:r>
      <w:r>
        <w:rPr>
          <w:color w:val="231F1F"/>
          <w:w w:val="115"/>
        </w:rPr>
        <w:t>rosuvastatin</w:t>
      </w:r>
      <w:r>
        <w:rPr>
          <w:color w:val="231F1F"/>
          <w:spacing w:val="-23"/>
          <w:w w:val="115"/>
        </w:rPr>
        <w:t> </w:t>
      </w:r>
      <w:r>
        <w:rPr>
          <w:color w:val="231F1F"/>
          <w:w w:val="115"/>
        </w:rPr>
        <w:t>(consult product</w:t>
      </w:r>
      <w:r>
        <w:rPr>
          <w:color w:val="231F1F"/>
          <w:spacing w:val="-5"/>
          <w:w w:val="115"/>
        </w:rPr>
        <w:t> </w:t>
      </w:r>
      <w:r>
        <w:rPr>
          <w:color w:val="231F1F"/>
          <w:w w:val="115"/>
        </w:rPr>
        <w:t>literature)</w:t>
      </w:r>
    </w:p>
    <w:p>
      <w:pPr>
        <w:pStyle w:val="BodyText"/>
        <w:spacing w:line="242" w:lineRule="auto" w:before="2"/>
        <w:ind w:right="-13" w:hanging="100"/>
        <w:rPr>
          <w:rFonts w:ascii="Calibri" w:hAnsi="Calibri"/>
          <w:sz w:val="11"/>
        </w:rPr>
      </w:pPr>
      <w:r>
        <w:rPr>
          <w:rFonts w:ascii="Arial" w:hAnsi="Arial"/>
          <w:color w:val="231F1F"/>
          <w:w w:val="355"/>
          <w:position w:val="1"/>
          <w:sz w:val="7"/>
        </w:rPr>
        <w:t>l </w:t>
      </w:r>
      <w:r>
        <w:rPr>
          <w:rFonts w:ascii="Calibri" w:hAnsi="Calibri"/>
          <w:color w:val="231F1F"/>
          <w:w w:val="115"/>
        </w:rPr>
        <w:t>Cobicistat: </w:t>
      </w:r>
      <w:r>
        <w:rPr>
          <w:color w:val="231F1F"/>
          <w:w w:val="115"/>
        </w:rPr>
        <w:t>plasma concentration of atorvastatin possibly increased by </w:t>
      </w:r>
      <w:r>
        <w:rPr>
          <w:rFonts w:ascii="Calibri" w:hAnsi="Calibri"/>
          <w:color w:val="008356"/>
          <w:w w:val="115"/>
          <w:sz w:val="11"/>
        </w:rPr>
        <w:t>COBICISTAT</w:t>
      </w:r>
      <w:r>
        <w:rPr>
          <w:rFonts w:ascii="Arial" w:hAnsi="Arial"/>
          <w:color w:val="231F1F"/>
          <w:w w:val="115"/>
        </w:rPr>
        <w:t>—</w:t>
      </w:r>
      <w:r>
        <w:rPr>
          <w:color w:val="231F1F"/>
          <w:w w:val="115"/>
        </w:rPr>
        <w:t>manufacturer of cobicistat advises reduce dose of atorvastatin; avoidance of simvastatin advised by manufacturer of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3"/>
          <w:w w:val="115"/>
          <w:sz w:val="11"/>
        </w:rPr>
        <w:t>COBICISTAT</w:t>
      </w:r>
    </w:p>
    <w:p>
      <w:pPr>
        <w:pStyle w:val="BodyText"/>
        <w:ind w:right="146" w:hanging="100"/>
        <w:rPr>
          <w:rFonts w:ascii="Calibri"/>
          <w:sz w:val="11"/>
        </w:rPr>
      </w:pPr>
      <w:r>
        <w:rPr>
          <w:rFonts w:ascii="Arial"/>
          <w:color w:val="231F1F"/>
          <w:w w:val="355"/>
          <w:position w:val="1"/>
          <w:sz w:val="7"/>
        </w:rPr>
        <w:t>l </w:t>
      </w:r>
      <w:r>
        <w:rPr>
          <w:rFonts w:ascii="Calibri"/>
          <w:color w:val="231F1F"/>
          <w:w w:val="110"/>
        </w:rPr>
        <w:t>Colchicine: </w:t>
      </w:r>
      <w:r>
        <w:rPr>
          <w:color w:val="231F1F"/>
          <w:w w:val="110"/>
        </w:rPr>
        <w:t>possible increased risk of myopathy when statins given with </w:t>
      </w:r>
      <w:r>
        <w:rPr>
          <w:rFonts w:ascii="Arial"/>
          <w:color w:val="231F1F"/>
          <w:w w:val="355"/>
          <w:position w:val="1"/>
          <w:sz w:val="7"/>
        </w:rPr>
        <w:t>l </w:t>
      </w:r>
      <w:r>
        <w:rPr>
          <w:rFonts w:ascii="Calibri"/>
          <w:color w:val="008356"/>
          <w:spacing w:val="4"/>
          <w:w w:val="110"/>
          <w:sz w:val="11"/>
        </w:rPr>
        <w:t>COLCHICINE</w:t>
      </w:r>
    </w:p>
    <w:p>
      <w:pPr>
        <w:pStyle w:val="BodyText"/>
        <w:spacing w:line="235" w:lineRule="auto"/>
        <w:ind w:right="202"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simvastatin possibly increased by </w:t>
      </w:r>
      <w:r>
        <w:rPr>
          <w:rFonts w:ascii="Calibri" w:hAnsi="Calibri"/>
          <w:color w:val="008356"/>
          <w:spacing w:val="4"/>
          <w:w w:val="105"/>
          <w:sz w:val="11"/>
        </w:rPr>
        <w:t>DASATINIB</w:t>
      </w:r>
      <w:r>
        <w:rPr>
          <w:color w:val="231F1F"/>
          <w:spacing w:val="4"/>
          <w:w w:val="105"/>
        </w:rPr>
        <w:t>; </w:t>
      </w:r>
      <w:r>
        <w:rPr>
          <w:color w:val="231F1F"/>
          <w:w w:val="105"/>
        </w:rPr>
        <w:t>avoidance of simvastatin advised </w:t>
      </w:r>
      <w:r>
        <w:rPr>
          <w:color w:val="231F1F"/>
          <w:spacing w:val="-6"/>
          <w:w w:val="105"/>
        </w:rPr>
        <w:t>by </w:t>
      </w:r>
      <w:r>
        <w:rPr>
          <w:color w:val="231F1F"/>
          <w:w w:val="105"/>
        </w:rPr>
        <w:t>manufacturer of </w:t>
      </w:r>
      <w:r>
        <w:rPr>
          <w:rFonts w:ascii="Calibri" w:hAnsi="Calibri"/>
          <w:color w:val="008356"/>
          <w:spacing w:val="4"/>
          <w:w w:val="105"/>
          <w:sz w:val="11"/>
        </w:rPr>
        <w:t>IDELALISIB</w:t>
      </w:r>
      <w:r>
        <w:rPr>
          <w:color w:val="231F1F"/>
          <w:spacing w:val="4"/>
          <w:w w:val="105"/>
        </w:rPr>
        <w:t>; </w:t>
      </w:r>
      <w:r>
        <w:rPr>
          <w:color w:val="231F1F"/>
          <w:w w:val="105"/>
        </w:rPr>
        <w:t>plasma concentration of simvastatin increased by</w:t>
      </w:r>
      <w:r>
        <w:rPr>
          <w:color w:val="231F1F"/>
          <w:spacing w:val="2"/>
          <w:w w:val="105"/>
        </w:rPr>
        <w:t> </w:t>
      </w:r>
      <w:r>
        <w:rPr>
          <w:rFonts w:ascii="Calibri" w:hAnsi="Calibri"/>
          <w:color w:val="008356"/>
          <w:spacing w:val="4"/>
          <w:w w:val="105"/>
          <w:sz w:val="11"/>
        </w:rPr>
        <w:t>IMATINIB</w:t>
      </w:r>
    </w:p>
    <w:p>
      <w:pPr>
        <w:pStyle w:val="BodyText"/>
        <w:ind w:right="96"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Eltrombopag:</w:t>
      </w:r>
      <w:r>
        <w:rPr>
          <w:rFonts w:ascii="Calibri" w:hAnsi="Calibri"/>
          <w:color w:val="231F1F"/>
          <w:spacing w:val="-13"/>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w w:val="115"/>
        </w:rPr>
        <w:t>rosuvastatin</w:t>
      </w:r>
      <w:r>
        <w:rPr>
          <w:color w:val="231F1F"/>
          <w:spacing w:val="-17"/>
          <w:w w:val="115"/>
        </w:rPr>
        <w:t> </w:t>
      </w:r>
      <w:r>
        <w:rPr>
          <w:color w:val="231F1F"/>
          <w:w w:val="115"/>
        </w:rPr>
        <w:t>increased by </w:t>
      </w:r>
      <w:r>
        <w:rPr>
          <w:rFonts w:ascii="Arial" w:hAnsi="Arial"/>
          <w:color w:val="231F1F"/>
          <w:w w:val="355"/>
          <w:position w:val="1"/>
          <w:sz w:val="7"/>
        </w:rPr>
        <w:t>l </w:t>
      </w:r>
      <w:r>
        <w:rPr>
          <w:rFonts w:ascii="Calibri" w:hAnsi="Calibri"/>
          <w:color w:val="008356"/>
          <w:spacing w:val="2"/>
          <w:w w:val="115"/>
          <w:sz w:val="11"/>
        </w:rPr>
        <w:t>ELTROMBOPAG</w:t>
      </w:r>
      <w:r>
        <w:rPr>
          <w:rFonts w:ascii="Arial" w:hAnsi="Arial"/>
          <w:color w:val="231F1F"/>
          <w:spacing w:val="2"/>
          <w:w w:val="115"/>
        </w:rPr>
        <w:t>—</w:t>
      </w:r>
      <w:r>
        <w:rPr>
          <w:color w:val="231F1F"/>
          <w:spacing w:val="2"/>
          <w:w w:val="115"/>
        </w:rPr>
        <w:t>adjust </w:t>
      </w:r>
      <w:r>
        <w:rPr>
          <w:color w:val="231F1F"/>
          <w:w w:val="115"/>
        </w:rPr>
        <w:t>dose of rosuvastatin (consult product</w:t>
      </w:r>
      <w:r>
        <w:rPr>
          <w:color w:val="231F1F"/>
          <w:spacing w:val="-5"/>
          <w:w w:val="115"/>
        </w:rPr>
        <w:t> </w:t>
      </w:r>
      <w:r>
        <w:rPr>
          <w:color w:val="231F1F"/>
          <w:w w:val="115"/>
        </w:rPr>
        <w:t>literature)</w:t>
      </w:r>
    </w:p>
    <w:p>
      <w:pPr>
        <w:pStyle w:val="BodyText"/>
        <w:ind w:right="40"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atorvastatin possibly increased by </w:t>
      </w:r>
      <w:r>
        <w:rPr>
          <w:rFonts w:ascii="Calibri" w:hAnsi="Calibri"/>
          <w:color w:val="008356"/>
          <w:w w:val="110"/>
          <w:sz w:val="11"/>
        </w:rPr>
        <w:t>GRAPEFRUIT JUICE</w:t>
      </w:r>
      <w:r>
        <w:rPr>
          <w:color w:val="231F1F"/>
          <w:w w:val="110"/>
        </w:rPr>
        <w:t>; plasma concentration of simvastatin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concomitant use</w:t>
      </w:r>
    </w:p>
    <w:p>
      <w:pPr>
        <w:pStyle w:val="BodyText"/>
        <w:spacing w:before="1"/>
        <w:ind w:right="108"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Hormone</w:t>
      </w:r>
      <w:r>
        <w:rPr>
          <w:rFonts w:ascii="Calibri" w:hAnsi="Calibri"/>
          <w:color w:val="231F1F"/>
          <w:spacing w:val="-13"/>
          <w:w w:val="115"/>
        </w:rPr>
        <w:t> </w:t>
      </w:r>
      <w:r>
        <w:rPr>
          <w:rFonts w:ascii="Calibri" w:hAnsi="Calibri"/>
          <w:color w:val="231F1F"/>
          <w:w w:val="115"/>
        </w:rPr>
        <w:t>Antagonists:</w:t>
      </w:r>
      <w:r>
        <w:rPr>
          <w:rFonts w:ascii="Calibri" w:hAnsi="Calibri"/>
          <w:color w:val="231F1F"/>
          <w:spacing w:val="-14"/>
          <w:w w:val="115"/>
        </w:rPr>
        <w:t> </w:t>
      </w:r>
      <w:r>
        <w:rPr>
          <w:color w:val="231F1F"/>
          <w:w w:val="115"/>
        </w:rPr>
        <w:t>possible</w:t>
      </w:r>
      <w:r>
        <w:rPr>
          <w:color w:val="231F1F"/>
          <w:spacing w:val="-16"/>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myopathy when</w:t>
      </w:r>
      <w:r>
        <w:rPr>
          <w:color w:val="231F1F"/>
          <w:spacing w:val="-23"/>
          <w:w w:val="115"/>
        </w:rPr>
        <w:t> </w:t>
      </w:r>
      <w:r>
        <w:rPr>
          <w:color w:val="231F1F"/>
          <w:w w:val="115"/>
        </w:rPr>
        <w:t>simvastatin</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5"/>
          <w:sz w:val="11"/>
        </w:rPr>
        <w:t>DANAZOL</w:t>
      </w:r>
      <w:r>
        <w:rPr>
          <w:rFonts w:ascii="Arial" w:hAnsi="Arial"/>
          <w:color w:val="231F1F"/>
          <w:spacing w:val="2"/>
          <w:w w:val="115"/>
        </w:rPr>
        <w:t>—</w:t>
      </w:r>
      <w:r>
        <w:rPr>
          <w:color w:val="231F1F"/>
          <w:spacing w:val="2"/>
          <w:w w:val="115"/>
        </w:rPr>
        <w:t>avoid</w:t>
      </w:r>
      <w:r>
        <w:rPr>
          <w:color w:val="231F1F"/>
          <w:spacing w:val="-22"/>
          <w:w w:val="115"/>
        </w:rPr>
        <w:t> </w:t>
      </w:r>
      <w:r>
        <w:rPr>
          <w:color w:val="231F1F"/>
          <w:w w:val="115"/>
        </w:rPr>
        <w:t>concomitant use</w:t>
      </w:r>
    </w:p>
    <w:p>
      <w:pPr>
        <w:pStyle w:val="BodyText"/>
        <w:spacing w:before="2"/>
        <w:ind w:right="247" w:hanging="100"/>
      </w:pPr>
      <w:r>
        <w:rPr>
          <w:rFonts w:ascii="Arial"/>
          <w:color w:val="231F1F"/>
          <w:w w:val="355"/>
          <w:position w:val="1"/>
          <w:sz w:val="7"/>
        </w:rPr>
        <w:t>l</w:t>
      </w:r>
      <w:r>
        <w:rPr>
          <w:rFonts w:ascii="Arial"/>
          <w:color w:val="231F1F"/>
          <w:spacing w:val="-55"/>
          <w:w w:val="355"/>
          <w:position w:val="1"/>
          <w:sz w:val="7"/>
        </w:rPr>
        <w:t> </w:t>
      </w:r>
      <w:r>
        <w:rPr>
          <w:rFonts w:ascii="Calibri"/>
          <w:color w:val="231F1F"/>
          <w:w w:val="115"/>
        </w:rPr>
        <w:t>Lipid-regulating</w:t>
      </w:r>
      <w:r>
        <w:rPr>
          <w:rFonts w:ascii="Calibri"/>
          <w:color w:val="231F1F"/>
          <w:spacing w:val="-20"/>
          <w:w w:val="115"/>
        </w:rPr>
        <w:t> </w:t>
      </w:r>
      <w:r>
        <w:rPr>
          <w:rFonts w:ascii="Calibri"/>
          <w:color w:val="231F1F"/>
          <w:w w:val="115"/>
        </w:rPr>
        <w:t>Drugs:</w:t>
      </w:r>
      <w:r>
        <w:rPr>
          <w:rFonts w:ascii="Calibri"/>
          <w:color w:val="231F1F"/>
          <w:spacing w:val="-19"/>
          <w:w w:val="115"/>
        </w:rPr>
        <w:t> </w:t>
      </w:r>
      <w:r>
        <w:rPr>
          <w:color w:val="231F1F"/>
          <w:w w:val="115"/>
        </w:rPr>
        <w:t>possible</w:t>
      </w:r>
      <w:r>
        <w:rPr>
          <w:color w:val="231F1F"/>
          <w:spacing w:val="-23"/>
          <w:w w:val="115"/>
        </w:rPr>
        <w:t> </w:t>
      </w:r>
      <w:r>
        <w:rPr>
          <w:color w:val="231F1F"/>
          <w:w w:val="115"/>
        </w:rPr>
        <w:t>increased</w:t>
      </w:r>
      <w:r>
        <w:rPr>
          <w:color w:val="231F1F"/>
          <w:spacing w:val="-23"/>
          <w:w w:val="115"/>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myopathy when simvastatin given with </w:t>
      </w:r>
      <w:r>
        <w:rPr>
          <w:rFonts w:ascii="Arial"/>
          <w:color w:val="231F1F"/>
          <w:w w:val="355"/>
          <w:position w:val="1"/>
          <w:sz w:val="7"/>
        </w:rPr>
        <w:t>l </w:t>
      </w:r>
      <w:r>
        <w:rPr>
          <w:rFonts w:ascii="Calibri"/>
          <w:color w:val="008356"/>
          <w:spacing w:val="4"/>
          <w:w w:val="115"/>
          <w:sz w:val="11"/>
        </w:rPr>
        <w:t>BEZAFIBRATE </w:t>
      </w:r>
      <w:r>
        <w:rPr>
          <w:color w:val="231F1F"/>
          <w:w w:val="115"/>
        </w:rPr>
        <w:t>(see under Simvastatin,</w:t>
      </w:r>
      <w:r>
        <w:rPr>
          <w:color w:val="231F1F"/>
          <w:spacing w:val="12"/>
          <w:w w:val="115"/>
        </w:rPr>
        <w:t> </w:t>
      </w:r>
      <w:r>
        <w:rPr>
          <w:color w:val="231F1F"/>
          <w:w w:val="115"/>
        </w:rPr>
        <w:t>p.</w:t>
      </w:r>
      <w:r>
        <w:rPr>
          <w:color w:val="231F1F"/>
          <w:spacing w:val="-11"/>
          <w:w w:val="115"/>
        </w:rPr>
        <w:t> </w:t>
      </w:r>
      <w:r>
        <w:rPr>
          <w:color w:val="231F1F"/>
          <w:w w:val="115"/>
        </w:rPr>
        <w:t>181);</w:t>
      </w:r>
      <w:r>
        <w:rPr>
          <w:color w:val="231F1F"/>
          <w:spacing w:val="-12"/>
          <w:w w:val="115"/>
        </w:rPr>
        <w:t> </w:t>
      </w:r>
      <w:r>
        <w:rPr>
          <w:color w:val="231F1F"/>
          <w:w w:val="115"/>
        </w:rPr>
        <w:t>possible</w:t>
      </w:r>
      <w:r>
        <w:rPr>
          <w:color w:val="231F1F"/>
          <w:spacing w:val="-11"/>
          <w:w w:val="115"/>
        </w:rPr>
        <w:t> </w:t>
      </w:r>
      <w:r>
        <w:rPr>
          <w:color w:val="231F1F"/>
          <w:w w:val="115"/>
        </w:rPr>
        <w:t>increased</w:t>
      </w:r>
      <w:r>
        <w:rPr>
          <w:color w:val="231F1F"/>
          <w:spacing w:val="-12"/>
          <w:w w:val="115"/>
        </w:rPr>
        <w:t> </w:t>
      </w:r>
      <w:r>
        <w:rPr>
          <w:color w:val="231F1F"/>
          <w:w w:val="115"/>
        </w:rPr>
        <w:t>risk</w:t>
      </w:r>
      <w:r>
        <w:rPr>
          <w:color w:val="231F1F"/>
          <w:spacing w:val="-12"/>
          <w:w w:val="115"/>
        </w:rPr>
        <w:t> </w:t>
      </w:r>
      <w:r>
        <w:rPr>
          <w:color w:val="231F1F"/>
          <w:w w:val="115"/>
        </w:rPr>
        <w:t>of</w:t>
      </w:r>
      <w:r>
        <w:rPr>
          <w:color w:val="231F1F"/>
          <w:spacing w:val="-10"/>
          <w:w w:val="115"/>
        </w:rPr>
        <w:t> </w:t>
      </w:r>
      <w:r>
        <w:rPr>
          <w:color w:val="231F1F"/>
          <w:w w:val="115"/>
        </w:rPr>
        <w:t>myopathy</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Statins</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6400" filled="true" fillcolor="#bfdbcf" stroked="false">
            <v:fill type="solid"/>
            <w10:wrap type="none"/>
          </v:rect>
        </w:pict>
      </w:r>
      <w:r>
        <w:rPr/>
        <w:pict>
          <v:shape style="position:absolute;margin-left:399.725769pt;margin-top:-3.416702pt;width:10.4pt;height:78.850pt;mso-position-horizontal-relative:page;mso-position-vertical-relative:paragraph;z-index:642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5"/>
        </w:rPr>
        <w:t>Lipid-regulating Drugs (continued)</w:t>
      </w:r>
    </w:p>
    <w:p>
      <w:pPr>
        <w:pStyle w:val="BodyText"/>
        <w:spacing w:line="244" w:lineRule="auto"/>
        <w:ind w:right="762"/>
      </w:pPr>
      <w:r>
        <w:rPr>
          <w:color w:val="231F1F"/>
          <w:w w:val="110"/>
        </w:rPr>
        <w:t>when simvastatin given with </w:t>
      </w:r>
      <w:r>
        <w:rPr>
          <w:rFonts w:ascii="Arial" w:hAnsi="Arial"/>
          <w:color w:val="231F1F"/>
          <w:w w:val="355"/>
          <w:position w:val="1"/>
          <w:sz w:val="7"/>
        </w:rPr>
        <w:t>l </w:t>
      </w:r>
      <w:r>
        <w:rPr>
          <w:rFonts w:ascii="Calibri" w:hAnsi="Calibri"/>
          <w:color w:val="008356"/>
          <w:w w:val="110"/>
          <w:sz w:val="11"/>
        </w:rPr>
        <w:t>CIPROFIBRATE </w:t>
      </w:r>
      <w:r>
        <w:rPr>
          <w:color w:val="231F1F"/>
          <w:w w:val="110"/>
        </w:rPr>
        <w:t>(see under Simvastatin, p. 181); when given with </w:t>
      </w:r>
      <w:r>
        <w:rPr>
          <w:color w:val="231F1F"/>
          <w:w w:val="125"/>
        </w:rPr>
        <w:t>statins </w:t>
      </w:r>
      <w:r>
        <w:rPr>
          <w:color w:val="231F1F"/>
          <w:w w:val="110"/>
        </w:rPr>
        <w:t>reduce maximum dose of </w:t>
      </w:r>
      <w:r>
        <w:rPr>
          <w:rFonts w:ascii="Calibri" w:hAnsi="Calibri"/>
          <w:color w:val="008356"/>
          <w:w w:val="110"/>
          <w:sz w:val="11"/>
        </w:rPr>
        <w:t>FENOFIBRATE</w:t>
      </w:r>
      <w:r>
        <w:rPr>
          <w:rFonts w:ascii="Arial" w:hAnsi="Arial"/>
          <w:color w:val="231F1F"/>
          <w:w w:val="110"/>
        </w:rPr>
        <w:t>—</w:t>
      </w:r>
      <w:r>
        <w:rPr>
          <w:color w:val="231F1F"/>
          <w:w w:val="110"/>
        </w:rPr>
        <w:t>see under Fenofibrate,</w:t>
      </w:r>
    </w:p>
    <w:p>
      <w:pPr>
        <w:pStyle w:val="BodyText"/>
        <w:spacing w:line="247" w:lineRule="auto"/>
        <w:ind w:right="673"/>
      </w:pPr>
      <w:r>
        <w:rPr>
          <w:color w:val="231F1F"/>
          <w:w w:val="115"/>
        </w:rPr>
        <w:t>p. 175; increased risk of myopathy when atorvastatin, fluvastatin or pravastatin given with </w:t>
      </w:r>
      <w:r>
        <w:rPr>
          <w:rFonts w:ascii="Arial" w:hAnsi="Arial"/>
          <w:color w:val="231F1F"/>
          <w:w w:val="355"/>
          <w:position w:val="1"/>
          <w:sz w:val="7"/>
        </w:rPr>
        <w:t>l </w:t>
      </w:r>
      <w:r>
        <w:rPr>
          <w:rFonts w:ascii="Calibri" w:hAnsi="Calibri"/>
          <w:color w:val="008356"/>
          <w:spacing w:val="5"/>
          <w:w w:val="115"/>
          <w:sz w:val="11"/>
        </w:rPr>
        <w:t>GEMFIBROZIL</w:t>
      </w:r>
      <w:r>
        <w:rPr>
          <w:rFonts w:ascii="Calibri" w:hAnsi="Calibri"/>
          <w:color w:val="231F1F"/>
          <w:spacing w:val="5"/>
          <w:w w:val="115"/>
          <w:sz w:val="11"/>
        </w:rPr>
        <w:t> </w:t>
      </w:r>
      <w:r>
        <w:rPr>
          <w:color w:val="231F1F"/>
          <w:w w:val="115"/>
        </w:rPr>
        <w:t>(preferably avoid concomitant use); increased risk of myopathy</w:t>
      </w:r>
      <w:r>
        <w:rPr>
          <w:color w:val="231F1F"/>
          <w:spacing w:val="-19"/>
          <w:w w:val="115"/>
        </w:rPr>
        <w:t> </w:t>
      </w:r>
      <w:r>
        <w:rPr>
          <w:color w:val="231F1F"/>
          <w:w w:val="115"/>
        </w:rPr>
        <w:t>when</w:t>
      </w:r>
      <w:r>
        <w:rPr>
          <w:color w:val="231F1F"/>
          <w:spacing w:val="-17"/>
          <w:w w:val="115"/>
        </w:rPr>
        <w:t> </w:t>
      </w:r>
      <w:r>
        <w:rPr>
          <w:color w:val="231F1F"/>
          <w:w w:val="115"/>
        </w:rPr>
        <w:t>simvastatin</w:t>
      </w:r>
      <w:r>
        <w:rPr>
          <w:color w:val="231F1F"/>
          <w:spacing w:val="-17"/>
          <w:w w:val="115"/>
        </w:rPr>
        <w:t> </w:t>
      </w:r>
      <w:r>
        <w:rPr>
          <w:color w:val="231F1F"/>
          <w:w w:val="115"/>
        </w:rPr>
        <w:t>given</w:t>
      </w:r>
      <w:r>
        <w:rPr>
          <w:color w:val="231F1F"/>
          <w:spacing w:val="-18"/>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GEMFIBROZIL</w:t>
      </w:r>
      <w:r>
        <w:rPr>
          <w:rFonts w:ascii="Calibri" w:hAnsi="Calibri"/>
          <w:color w:val="008356"/>
          <w:spacing w:val="-8"/>
          <w:w w:val="115"/>
          <w:sz w:val="11"/>
        </w:rPr>
        <w:t> </w:t>
      </w:r>
      <w:r>
        <w:rPr>
          <w:color w:val="231F1F"/>
          <w:w w:val="115"/>
        </w:rPr>
        <w:t>(avoid concomitant use); plasma concentration of rosuvastatin increased by </w:t>
      </w:r>
      <w:r>
        <w:rPr>
          <w:rFonts w:ascii="Arial" w:hAnsi="Arial"/>
          <w:color w:val="231F1F"/>
          <w:w w:val="355"/>
          <w:position w:val="1"/>
          <w:sz w:val="7"/>
        </w:rPr>
        <w:t>l </w:t>
      </w:r>
      <w:r>
        <w:rPr>
          <w:rFonts w:ascii="Calibri" w:hAnsi="Calibri"/>
          <w:color w:val="008356"/>
          <w:spacing w:val="2"/>
          <w:w w:val="115"/>
          <w:sz w:val="11"/>
        </w:rPr>
        <w:t>EZETIMIBE</w:t>
      </w:r>
      <w:r>
        <w:rPr>
          <w:rFonts w:ascii="Arial" w:hAnsi="Arial"/>
          <w:color w:val="231F1F"/>
          <w:spacing w:val="2"/>
          <w:w w:val="115"/>
        </w:rPr>
        <w:t>—</w:t>
      </w:r>
      <w:r>
        <w:rPr>
          <w:color w:val="231F1F"/>
          <w:spacing w:val="2"/>
          <w:w w:val="115"/>
        </w:rPr>
        <w:t>adjust </w:t>
      </w:r>
      <w:r>
        <w:rPr>
          <w:color w:val="231F1F"/>
          <w:w w:val="115"/>
        </w:rPr>
        <w:t>dose of rosuvastatin (consult</w:t>
      </w:r>
      <w:r>
        <w:rPr>
          <w:color w:val="231F1F"/>
          <w:spacing w:val="-6"/>
          <w:w w:val="115"/>
        </w:rPr>
        <w:t> </w:t>
      </w:r>
      <w:r>
        <w:rPr>
          <w:color w:val="231F1F"/>
          <w:w w:val="115"/>
        </w:rPr>
        <w:t>product</w:t>
      </w:r>
      <w:r>
        <w:rPr>
          <w:color w:val="231F1F"/>
          <w:spacing w:val="-6"/>
          <w:w w:val="115"/>
        </w:rPr>
        <w:t> </w:t>
      </w:r>
      <w:r>
        <w:rPr>
          <w:color w:val="231F1F"/>
          <w:w w:val="115"/>
        </w:rPr>
        <w:t>literature);</w:t>
      </w:r>
      <w:r>
        <w:rPr>
          <w:color w:val="231F1F"/>
          <w:spacing w:val="-6"/>
          <w:w w:val="115"/>
        </w:rPr>
        <w:t> </w:t>
      </w:r>
      <w:r>
        <w:rPr>
          <w:color w:val="231F1F"/>
          <w:w w:val="115"/>
        </w:rPr>
        <w:t>increased</w:t>
      </w:r>
      <w:r>
        <w:rPr>
          <w:color w:val="231F1F"/>
          <w:spacing w:val="-5"/>
          <w:w w:val="115"/>
        </w:rPr>
        <w:t> </w:t>
      </w:r>
      <w:r>
        <w:rPr>
          <w:color w:val="231F1F"/>
          <w:w w:val="115"/>
        </w:rPr>
        <w:t>risk</w:t>
      </w:r>
      <w:r>
        <w:rPr>
          <w:color w:val="231F1F"/>
          <w:spacing w:val="-6"/>
          <w:w w:val="115"/>
        </w:rPr>
        <w:t> </w:t>
      </w:r>
      <w:r>
        <w:rPr>
          <w:color w:val="231F1F"/>
          <w:w w:val="115"/>
        </w:rPr>
        <w:t>of</w:t>
      </w:r>
      <w:r>
        <w:rPr>
          <w:color w:val="231F1F"/>
          <w:spacing w:val="-4"/>
          <w:w w:val="115"/>
        </w:rPr>
        <w:t> </w:t>
      </w:r>
      <w:r>
        <w:rPr>
          <w:color w:val="231F1F"/>
          <w:w w:val="115"/>
        </w:rPr>
        <w:t>myopathy</w:t>
      </w:r>
      <w:r>
        <w:rPr>
          <w:color w:val="231F1F"/>
          <w:spacing w:val="-6"/>
          <w:w w:val="115"/>
        </w:rPr>
        <w:t> </w:t>
      </w:r>
      <w:r>
        <w:rPr>
          <w:color w:val="231F1F"/>
          <w:spacing w:val="-4"/>
          <w:w w:val="115"/>
        </w:rPr>
        <w:t>when </w:t>
      </w:r>
      <w:r>
        <w:rPr>
          <w:color w:val="231F1F"/>
          <w:w w:val="115"/>
        </w:rPr>
        <w:t>statins given with </w:t>
      </w:r>
      <w:r>
        <w:rPr>
          <w:rFonts w:ascii="Arial" w:hAnsi="Arial"/>
          <w:color w:val="231F1F"/>
          <w:w w:val="355"/>
          <w:position w:val="1"/>
          <w:sz w:val="7"/>
        </w:rPr>
        <w:t>l </w:t>
      </w:r>
      <w:r>
        <w:rPr>
          <w:rFonts w:ascii="Calibri" w:hAnsi="Calibri"/>
          <w:color w:val="008356"/>
          <w:spacing w:val="3"/>
          <w:w w:val="115"/>
          <w:sz w:val="11"/>
        </w:rPr>
        <w:t>FIBRATES</w:t>
      </w:r>
      <w:r>
        <w:rPr>
          <w:color w:val="231F1F"/>
          <w:spacing w:val="3"/>
          <w:w w:val="115"/>
        </w:rPr>
        <w:t>; </w:t>
      </w:r>
      <w:r>
        <w:rPr>
          <w:color w:val="231F1F"/>
          <w:w w:val="115"/>
        </w:rPr>
        <w:t>increased risk of myopathy when rosuvastatin given with </w:t>
      </w:r>
      <w:r>
        <w:rPr>
          <w:rFonts w:ascii="Arial" w:hAnsi="Arial"/>
          <w:color w:val="231F1F"/>
          <w:w w:val="355"/>
          <w:position w:val="1"/>
          <w:sz w:val="7"/>
        </w:rPr>
        <w:t>l </w:t>
      </w:r>
      <w:r>
        <w:rPr>
          <w:rFonts w:ascii="Calibri" w:hAnsi="Calibri"/>
          <w:color w:val="008356"/>
          <w:spacing w:val="3"/>
          <w:w w:val="115"/>
          <w:sz w:val="11"/>
        </w:rPr>
        <w:t>FIBRATES </w:t>
      </w:r>
      <w:r>
        <w:rPr>
          <w:color w:val="231F1F"/>
          <w:w w:val="115"/>
        </w:rPr>
        <w:t>(see under Rosuvastatin, p. 180); plasma concentration of simvastatin increased by </w:t>
      </w:r>
      <w:r>
        <w:rPr>
          <w:rFonts w:ascii="Arial" w:hAnsi="Arial"/>
          <w:color w:val="231F1F"/>
          <w:w w:val="355"/>
          <w:position w:val="1"/>
          <w:sz w:val="7"/>
        </w:rPr>
        <w:t>l </w:t>
      </w:r>
      <w:r>
        <w:rPr>
          <w:rFonts w:ascii="Calibri" w:hAnsi="Calibri"/>
          <w:color w:val="008356"/>
          <w:spacing w:val="3"/>
          <w:w w:val="115"/>
          <w:sz w:val="11"/>
        </w:rPr>
        <w:t>LOMITAPIDE </w:t>
      </w:r>
      <w:r>
        <w:rPr>
          <w:color w:val="231F1F"/>
          <w:w w:val="115"/>
        </w:rPr>
        <w:t>(see under Simvastatin, p. 181); plasma concentration of atorvastatin increased by</w:t>
      </w:r>
      <w:r>
        <w:rPr>
          <w:color w:val="008356"/>
          <w:w w:val="115"/>
        </w:rPr>
        <w:t> </w:t>
      </w:r>
      <w:r>
        <w:rPr>
          <w:rFonts w:ascii="Calibri" w:hAnsi="Calibri"/>
          <w:color w:val="008356"/>
          <w:w w:val="115"/>
          <w:sz w:val="11"/>
        </w:rPr>
        <w:t>LOMITAPIDE</w:t>
      </w:r>
      <w:r>
        <w:rPr>
          <w:rFonts w:ascii="Arial" w:hAnsi="Arial"/>
          <w:color w:val="231F1F"/>
          <w:w w:val="115"/>
        </w:rPr>
        <w:t>—</w:t>
      </w:r>
      <w:r>
        <w:rPr>
          <w:color w:val="231F1F"/>
          <w:w w:val="115"/>
        </w:rPr>
        <w:t>manufacturer</w:t>
      </w:r>
      <w:r>
        <w:rPr>
          <w:color w:val="231F1F"/>
          <w:spacing w:val="-21"/>
          <w:w w:val="115"/>
        </w:rPr>
        <w:t> </w:t>
      </w:r>
      <w:r>
        <w:rPr>
          <w:color w:val="231F1F"/>
          <w:w w:val="115"/>
        </w:rPr>
        <w:t>of</w:t>
      </w:r>
      <w:r>
        <w:rPr>
          <w:color w:val="231F1F"/>
          <w:spacing w:val="-19"/>
          <w:w w:val="115"/>
        </w:rPr>
        <w:t> </w:t>
      </w:r>
      <w:r>
        <w:rPr>
          <w:color w:val="231F1F"/>
          <w:w w:val="115"/>
        </w:rPr>
        <w:t>lomitapide</w:t>
      </w:r>
      <w:r>
        <w:rPr>
          <w:color w:val="231F1F"/>
          <w:spacing w:val="-19"/>
          <w:w w:val="115"/>
        </w:rPr>
        <w:t> </w:t>
      </w:r>
      <w:r>
        <w:rPr>
          <w:color w:val="231F1F"/>
          <w:w w:val="115"/>
        </w:rPr>
        <w:t>advises</w:t>
      </w:r>
      <w:r>
        <w:rPr>
          <w:color w:val="231F1F"/>
          <w:spacing w:val="-20"/>
          <w:w w:val="115"/>
        </w:rPr>
        <w:t> </w:t>
      </w:r>
      <w:r>
        <w:rPr>
          <w:color w:val="231F1F"/>
          <w:w w:val="115"/>
        </w:rPr>
        <w:t>reduce</w:t>
      </w:r>
      <w:r>
        <w:rPr>
          <w:color w:val="231F1F"/>
          <w:spacing w:val="-20"/>
          <w:w w:val="115"/>
        </w:rPr>
        <w:t> </w:t>
      </w:r>
      <w:r>
        <w:rPr>
          <w:color w:val="231F1F"/>
          <w:w w:val="115"/>
        </w:rPr>
        <w:t>dose of atorvastatin by half or separate administration by 12 hours;</w:t>
      </w:r>
      <w:r>
        <w:rPr>
          <w:color w:val="231F1F"/>
          <w:spacing w:val="-6"/>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5"/>
          <w:w w:val="115"/>
        </w:rPr>
        <w:t> </w:t>
      </w:r>
      <w:r>
        <w:rPr>
          <w:color w:val="231F1F"/>
          <w:w w:val="115"/>
        </w:rPr>
        <w:t>myopathy</w:t>
      </w:r>
      <w:r>
        <w:rPr>
          <w:color w:val="231F1F"/>
          <w:spacing w:val="-5"/>
          <w:w w:val="115"/>
        </w:rPr>
        <w:t> </w:t>
      </w:r>
      <w:r>
        <w:rPr>
          <w:color w:val="231F1F"/>
          <w:w w:val="115"/>
        </w:rPr>
        <w:t>when</w:t>
      </w:r>
      <w:r>
        <w:rPr>
          <w:color w:val="231F1F"/>
          <w:spacing w:val="-6"/>
          <w:w w:val="115"/>
        </w:rPr>
        <w:t> </w:t>
      </w:r>
      <w:r>
        <w:rPr>
          <w:color w:val="231F1F"/>
          <w:w w:val="115"/>
        </w:rPr>
        <w:t>statins</w:t>
      </w:r>
      <w:r>
        <w:rPr>
          <w:color w:val="231F1F"/>
          <w:spacing w:val="-5"/>
          <w:w w:val="115"/>
        </w:rPr>
        <w:t> </w:t>
      </w:r>
      <w:r>
        <w:rPr>
          <w:color w:val="231F1F"/>
          <w:w w:val="115"/>
        </w:rPr>
        <w:t>given</w:t>
      </w:r>
      <w:r>
        <w:rPr>
          <w:color w:val="231F1F"/>
          <w:spacing w:val="-5"/>
          <w:w w:val="115"/>
        </w:rPr>
        <w:t> </w:t>
      </w:r>
      <w:r>
        <w:rPr>
          <w:color w:val="231F1F"/>
          <w:w w:val="115"/>
        </w:rPr>
        <w:t>with</w:t>
      </w:r>
    </w:p>
    <w:p>
      <w:pPr>
        <w:spacing w:line="136" w:lineRule="exact" w:before="0"/>
        <w:ind w:left="208" w:right="0" w:firstLine="0"/>
        <w:jc w:val="left"/>
        <w:rPr>
          <w:sz w:val="12"/>
        </w:rPr>
      </w:pPr>
      <w:r>
        <w:rPr>
          <w:rFonts w:ascii="Arial"/>
          <w:color w:val="231F1F"/>
          <w:w w:val="355"/>
          <w:position w:val="1"/>
          <w:sz w:val="7"/>
        </w:rPr>
        <w:t>l </w:t>
      </w:r>
      <w:r>
        <w:rPr>
          <w:rFonts w:ascii="Calibri"/>
          <w:color w:val="008356"/>
          <w:w w:val="105"/>
          <w:sz w:val="11"/>
        </w:rPr>
        <w:t>NICOTINIC ACID </w:t>
      </w:r>
      <w:r>
        <w:rPr>
          <w:color w:val="231F1F"/>
          <w:w w:val="105"/>
          <w:sz w:val="12"/>
        </w:rPr>
        <w:t>(applies </w:t>
      </w:r>
      <w:r>
        <w:rPr>
          <w:color w:val="231F1F"/>
          <w:w w:val="140"/>
          <w:sz w:val="12"/>
        </w:rPr>
        <w:t>to </w:t>
      </w:r>
      <w:r>
        <w:rPr>
          <w:color w:val="231F1F"/>
          <w:w w:val="105"/>
          <w:sz w:val="12"/>
        </w:rPr>
        <w:t>lipid regulating doses of nicotinic</w:t>
      </w:r>
    </w:p>
    <w:p>
      <w:pPr>
        <w:pStyle w:val="BodyText"/>
        <w:spacing w:before="1"/>
      </w:pPr>
      <w:r>
        <w:rPr>
          <w:color w:val="231F1F"/>
          <w:w w:val="110"/>
        </w:rPr>
        <w:t>acid)</w:t>
      </w:r>
    </w:p>
    <w:p>
      <w:pPr>
        <w:pStyle w:val="BodyText"/>
        <w:spacing w:line="220" w:lineRule="auto" w:before="11"/>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Oestrogens: </w:t>
      </w:r>
      <w:r>
        <w:rPr>
          <w:color w:val="231F1F"/>
          <w:w w:val="105"/>
        </w:rPr>
        <w:t>atorvastatin and rosuvastatin increase plasma concentration of </w:t>
      </w:r>
      <w:r>
        <w:rPr>
          <w:rFonts w:ascii="Calibri" w:hAnsi="Calibri"/>
          <w:color w:val="008356"/>
          <w:w w:val="105"/>
          <w:sz w:val="11"/>
        </w:rPr>
        <w:t>ETHINYLESTRADIOL</w:t>
      </w:r>
    </w:p>
    <w:p>
      <w:pPr>
        <w:pStyle w:val="BodyText"/>
        <w:spacing w:line="235" w:lineRule="auto" w:before="1"/>
        <w:ind w:right="719" w:hanging="100"/>
        <w:rPr>
          <w:rFonts w:ascii="Calibri" w:hAnsi="Calibri"/>
          <w:sz w:val="11"/>
        </w:rPr>
      </w:pPr>
      <w:r>
        <w:rPr>
          <w:rFonts w:ascii="Lucida Sans Unicode" w:hAnsi="Lucida Sans Unicode"/>
          <w:color w:val="A7A8AC"/>
          <w:w w:val="95"/>
          <w:sz w:val="10"/>
        </w:rPr>
        <w:t>▶ </w:t>
      </w:r>
      <w:r>
        <w:rPr>
          <w:rFonts w:ascii="Calibri" w:hAnsi="Calibri"/>
          <w:color w:val="231F1F"/>
          <w:w w:val="110"/>
        </w:rPr>
        <w:t>Progestogens: </w:t>
      </w:r>
      <w:r>
        <w:rPr>
          <w:color w:val="231F1F"/>
          <w:w w:val="110"/>
        </w:rPr>
        <w:t>atorvastatin increases plasma concentration of </w:t>
      </w:r>
      <w:r>
        <w:rPr>
          <w:rFonts w:ascii="Calibri" w:hAnsi="Calibri"/>
          <w:color w:val="008356"/>
          <w:w w:val="110"/>
          <w:sz w:val="11"/>
        </w:rPr>
        <w:t>NORETHISTERONE</w:t>
      </w:r>
      <w:r>
        <w:rPr>
          <w:color w:val="231F1F"/>
          <w:w w:val="110"/>
        </w:rPr>
        <w:t>; rosuvastatin increases plasma concentration of active metabolite of </w:t>
      </w:r>
      <w:r>
        <w:rPr>
          <w:rFonts w:ascii="Calibri" w:hAnsi="Calibri"/>
          <w:color w:val="008356"/>
          <w:w w:val="110"/>
          <w:sz w:val="11"/>
        </w:rPr>
        <w:t>NORGESTIMATE</w:t>
      </w:r>
      <w:r>
        <w:rPr>
          <w:color w:val="231F1F"/>
          <w:w w:val="110"/>
        </w:rPr>
        <w:t>; rosuvastatin increases plasma concentration of </w:t>
      </w:r>
      <w:r>
        <w:rPr>
          <w:rFonts w:ascii="Calibri" w:hAnsi="Calibri"/>
          <w:color w:val="008356"/>
          <w:w w:val="110"/>
          <w:sz w:val="11"/>
        </w:rPr>
        <w:t>NORGESTREL</w:t>
      </w:r>
    </w:p>
    <w:p>
      <w:pPr>
        <w:pStyle w:val="BodyText"/>
        <w:spacing w:line="145" w:lineRule="exact"/>
        <w:ind w:left="108"/>
      </w:pPr>
      <w:r>
        <w:rPr>
          <w:rFonts w:ascii="Arial"/>
          <w:color w:val="231F1F"/>
          <w:w w:val="355"/>
          <w:position w:val="1"/>
          <w:sz w:val="7"/>
        </w:rPr>
        <w:t>l </w:t>
      </w:r>
      <w:r>
        <w:rPr>
          <w:rFonts w:ascii="Calibri"/>
          <w:color w:val="231F1F"/>
          <w:w w:val="115"/>
        </w:rPr>
        <w:t>Ranolazine: </w:t>
      </w:r>
      <w:r>
        <w:rPr>
          <w:color w:val="231F1F"/>
          <w:w w:val="115"/>
        </w:rPr>
        <w:t>plasma concentration of simvastatin increased by</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RANOLAZINE </w:t>
      </w:r>
      <w:r>
        <w:rPr>
          <w:color w:val="231F1F"/>
          <w:w w:val="110"/>
          <w:sz w:val="12"/>
        </w:rPr>
        <w:t>(see under Simvastatin, p. 181)</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Retinoids: </w:t>
      </w:r>
      <w:r>
        <w:rPr>
          <w:color w:val="231F1F"/>
          <w:w w:val="105"/>
        </w:rPr>
        <w:t>plasma concentration of simvastatin reduced by</w:t>
      </w:r>
    </w:p>
    <w:p>
      <w:pPr>
        <w:spacing w:line="130" w:lineRule="exact" w:before="0"/>
        <w:ind w:left="208" w:right="0" w:firstLine="0"/>
        <w:jc w:val="left"/>
        <w:rPr>
          <w:rFonts w:ascii="Calibri"/>
          <w:sz w:val="11"/>
        </w:rPr>
      </w:pPr>
      <w:r>
        <w:rPr>
          <w:rFonts w:ascii="Calibri"/>
          <w:color w:val="008356"/>
          <w:sz w:val="11"/>
        </w:rPr>
        <w:t>ALITRETINOIN</w:t>
      </w:r>
    </w:p>
    <w:p>
      <w:pPr>
        <w:pStyle w:val="BodyText"/>
        <w:ind w:right="670" w:hanging="100"/>
      </w:pPr>
      <w:r>
        <w:rPr>
          <w:rFonts w:ascii="Arial"/>
          <w:color w:val="231F1F"/>
          <w:w w:val="355"/>
          <w:position w:val="1"/>
          <w:sz w:val="7"/>
        </w:rPr>
        <w:t>l </w:t>
      </w:r>
      <w:r>
        <w:rPr>
          <w:rFonts w:ascii="Calibri"/>
          <w:color w:val="231F1F"/>
          <w:w w:val="110"/>
        </w:rPr>
        <w:t>Teriflunomide: </w:t>
      </w:r>
      <w:r>
        <w:rPr>
          <w:color w:val="231F1F"/>
          <w:w w:val="110"/>
        </w:rPr>
        <w:t>plasma concentration of rosuvastatin increased by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TERIFLUNOMIDE </w:t>
      </w:r>
      <w:r>
        <w:rPr>
          <w:color w:val="231F1F"/>
          <w:w w:val="110"/>
        </w:rPr>
        <w:t>(consider reducing dose of rosuvastatin)</w:t>
      </w:r>
    </w:p>
    <w:p>
      <w:pPr>
        <w:pStyle w:val="BodyText"/>
        <w:spacing w:line="143" w:lineRule="exact"/>
        <w:ind w:left="108"/>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Ticagrelor:</w:t>
      </w:r>
      <w:r>
        <w:rPr>
          <w:rFonts w:ascii="Calibri"/>
          <w:color w:val="231F1F"/>
          <w:spacing w:val="-9"/>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simvastatin</w:t>
      </w:r>
      <w:r>
        <w:rPr>
          <w:color w:val="231F1F"/>
          <w:spacing w:val="-13"/>
          <w:w w:val="115"/>
        </w:rPr>
        <w:t> </w:t>
      </w:r>
      <w:r>
        <w:rPr>
          <w:color w:val="231F1F"/>
          <w:w w:val="115"/>
        </w:rPr>
        <w:t>increased</w:t>
      </w:r>
      <w:r>
        <w:rPr>
          <w:color w:val="231F1F"/>
          <w:spacing w:val="-13"/>
          <w:w w:val="115"/>
        </w:rPr>
        <w:t> </w:t>
      </w:r>
      <w:r>
        <w:rPr>
          <w:color w:val="231F1F"/>
          <w:w w:val="115"/>
        </w:rPr>
        <w:t>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10"/>
          <w:sz w:val="11"/>
        </w:rPr>
        <w:t>TICAGRELOR </w:t>
      </w:r>
      <w:r>
        <w:rPr>
          <w:color w:val="231F1F"/>
          <w:w w:val="110"/>
          <w:sz w:val="12"/>
        </w:rPr>
        <w:t>(increased risk of toxicity)</w:t>
      </w:r>
    </w:p>
    <w:p>
      <w:pPr>
        <w:pStyle w:val="BodyText"/>
        <w:spacing w:before="6"/>
        <w:ind w:left="108"/>
        <w:rPr>
          <w:rFonts w:ascii="Trebuchet MS"/>
        </w:rPr>
      </w:pPr>
      <w:r>
        <w:rPr>
          <w:rFonts w:ascii="Trebuchet MS"/>
          <w:color w:val="008356"/>
        </w:rPr>
        <w:t>Stavudine</w:t>
      </w:r>
    </w:p>
    <w:p>
      <w:pPr>
        <w:pStyle w:val="BodyText"/>
        <w:spacing w:line="242" w:lineRule="auto" w:before="1"/>
        <w:ind w:right="689" w:hanging="100"/>
      </w:pPr>
      <w:r>
        <w:rPr>
          <w:rFonts w:ascii="Arial"/>
          <w:color w:val="231F1F"/>
          <w:w w:val="355"/>
          <w:position w:val="1"/>
          <w:sz w:val="7"/>
        </w:rPr>
        <w:t>l </w:t>
      </w:r>
      <w:r>
        <w:rPr>
          <w:rFonts w:ascii="Calibri"/>
          <w:color w:val="231F1F"/>
          <w:w w:val="110"/>
        </w:rPr>
        <w:t>Antivirals: </w:t>
      </w:r>
      <w:r>
        <w:rPr>
          <w:color w:val="231F1F"/>
          <w:w w:val="110"/>
        </w:rPr>
        <w:t>increased risk of side-effects when stavudine given with </w:t>
      </w:r>
      <w:r>
        <w:rPr>
          <w:rFonts w:ascii="Arial"/>
          <w:color w:val="231F1F"/>
          <w:w w:val="355"/>
          <w:position w:val="1"/>
          <w:sz w:val="7"/>
        </w:rPr>
        <w:t>l </w:t>
      </w:r>
      <w:r>
        <w:rPr>
          <w:rFonts w:ascii="Calibri"/>
          <w:color w:val="008356"/>
          <w:w w:val="110"/>
          <w:sz w:val="11"/>
        </w:rPr>
        <w:t>DIDANOSINE</w:t>
      </w:r>
      <w:r>
        <w:rPr>
          <w:color w:val="231F1F"/>
          <w:w w:val="110"/>
        </w:rPr>
        <w:t>; increased risk of toxicity when stavudine given with </w:t>
      </w:r>
      <w:r>
        <w:rPr>
          <w:rFonts w:ascii="Arial"/>
          <w:color w:val="231F1F"/>
          <w:w w:val="355"/>
          <w:position w:val="1"/>
          <w:sz w:val="7"/>
        </w:rPr>
        <w:t>l </w:t>
      </w:r>
      <w:r>
        <w:rPr>
          <w:rFonts w:ascii="Calibri"/>
          <w:color w:val="008356"/>
          <w:w w:val="110"/>
          <w:sz w:val="11"/>
        </w:rPr>
        <w:t>RIBAVIRIN</w:t>
      </w:r>
      <w:r>
        <w:rPr>
          <w:color w:val="231F1F"/>
          <w:w w:val="110"/>
        </w:rPr>
        <w:t>; effects of stavudine possibly inhibited by </w:t>
      </w:r>
      <w:r>
        <w:rPr>
          <w:rFonts w:ascii="Arial"/>
          <w:color w:val="231F1F"/>
          <w:w w:val="355"/>
          <w:position w:val="1"/>
          <w:sz w:val="7"/>
        </w:rPr>
        <w:t>l </w:t>
      </w:r>
      <w:r>
        <w:rPr>
          <w:rFonts w:ascii="Calibri"/>
          <w:color w:val="008356"/>
          <w:w w:val="110"/>
          <w:sz w:val="11"/>
        </w:rPr>
        <w:t>ZIDOVUDINE </w:t>
      </w:r>
      <w:r>
        <w:rPr>
          <w:color w:val="231F1F"/>
          <w:w w:val="110"/>
        </w:rPr>
        <w:t>(manufacturers advise avoid concomitant use)</w:t>
      </w:r>
    </w:p>
    <w:p>
      <w:pPr>
        <w:pStyle w:val="BodyText"/>
        <w:ind w:right="670" w:hanging="100"/>
      </w:pPr>
      <w:r>
        <w:rPr>
          <w:rFonts w:ascii="Arial" w:hAnsi="Arial"/>
          <w:color w:val="231F1F"/>
          <w:w w:val="355"/>
          <w:position w:val="1"/>
          <w:sz w:val="7"/>
        </w:rPr>
        <w:t>l </w:t>
      </w:r>
      <w:r>
        <w:rPr>
          <w:rFonts w:ascii="Calibri" w:hAnsi="Calibri"/>
          <w:color w:val="231F1F"/>
          <w:w w:val="110"/>
        </w:rPr>
        <w:t>Cytotoxics: </w:t>
      </w:r>
      <w:r>
        <w:rPr>
          <w:color w:val="231F1F"/>
          <w:w w:val="110"/>
        </w:rPr>
        <w:t>effects of stavudine possibly inhibited by </w:t>
      </w:r>
      <w:r>
        <w:rPr>
          <w:rFonts w:ascii="Calibri" w:hAnsi="Calibri"/>
          <w:color w:val="008356"/>
          <w:w w:val="110"/>
          <w:sz w:val="11"/>
        </w:rPr>
        <w:t>DOXORUBICIN</w:t>
      </w:r>
      <w:r>
        <w:rPr>
          <w:color w:val="231F1F"/>
          <w:w w:val="110"/>
        </w:rPr>
        <w:t>; increased risk of toxicity when stavudine given with </w:t>
      </w:r>
      <w:r>
        <w:rPr>
          <w:rFonts w:ascii="Arial" w:hAnsi="Arial"/>
          <w:color w:val="231F1F"/>
          <w:w w:val="355"/>
          <w:position w:val="1"/>
          <w:sz w:val="7"/>
        </w:rPr>
        <w:t>l </w:t>
      </w:r>
      <w:r>
        <w:rPr>
          <w:rFonts w:ascii="Calibri" w:hAnsi="Calibri"/>
          <w:color w:val="008356"/>
          <w:w w:val="110"/>
          <w:sz w:val="11"/>
        </w:rPr>
        <w:t>HYDROXYCARBAMIDE</w:t>
      </w:r>
      <w:r>
        <w:rPr>
          <w:rFonts w:ascii="Arial" w:hAnsi="Arial"/>
          <w:color w:val="231F1F"/>
          <w:w w:val="110"/>
        </w:rPr>
        <w:t>—</w:t>
      </w:r>
      <w:r>
        <w:rPr>
          <w:color w:val="231F1F"/>
          <w:w w:val="110"/>
        </w:rPr>
        <w:t>avoid concomitant use</w:t>
      </w:r>
    </w:p>
    <w:p>
      <w:pPr>
        <w:pStyle w:val="BodyText"/>
        <w:spacing w:line="144" w:lineRule="exact"/>
        <w:ind w:left="108"/>
      </w:pPr>
      <w:r>
        <w:rPr>
          <w:rFonts w:ascii="Arial"/>
          <w:color w:val="231F1F"/>
          <w:w w:val="355"/>
          <w:position w:val="1"/>
          <w:sz w:val="7"/>
        </w:rPr>
        <w:t>l </w:t>
      </w:r>
      <w:r>
        <w:rPr>
          <w:rFonts w:ascii="Calibri"/>
          <w:color w:val="231F1F"/>
          <w:w w:val="115"/>
        </w:rPr>
        <w:t>Orlistat: </w:t>
      </w:r>
      <w:r>
        <w:rPr>
          <w:color w:val="231F1F"/>
          <w:w w:val="115"/>
        </w:rPr>
        <w:t>absorption of stavudine possibly reduced by</w:t>
      </w:r>
    </w:p>
    <w:p>
      <w:pPr>
        <w:spacing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line="139" w:lineRule="exact" w:before="8"/>
        <w:ind w:left="108"/>
        <w:rPr>
          <w:rFonts w:ascii="Trebuchet MS"/>
        </w:rPr>
      </w:pPr>
      <w:r>
        <w:rPr>
          <w:rFonts w:ascii="Trebuchet MS"/>
          <w:color w:val="008356"/>
        </w:rPr>
        <w:t>Stiripentol</w:t>
      </w:r>
    </w:p>
    <w:p>
      <w:pPr>
        <w:spacing w:line="242" w:lineRule="auto" w:before="0"/>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142" w:lineRule="exact"/>
        <w:ind w:left="108"/>
      </w:pPr>
      <w:r>
        <w:rPr>
          <w:rFonts w:ascii="Arial"/>
          <w:color w:val="231F1F"/>
          <w:w w:val="355"/>
          <w:position w:val="1"/>
          <w:sz w:val="7"/>
        </w:rPr>
        <w:t>l </w:t>
      </w:r>
      <w:r>
        <w:rPr>
          <w:rFonts w:ascii="Calibri"/>
          <w:color w:val="231F1F"/>
          <w:w w:val="110"/>
        </w:rPr>
        <w:t>Antiepileptics: </w:t>
      </w:r>
      <w:r>
        <w:rPr>
          <w:color w:val="231F1F"/>
          <w:w w:val="110"/>
        </w:rPr>
        <w:t>stiripentol increases plasma concentration of</w:t>
      </w:r>
    </w:p>
    <w:p>
      <w:pPr>
        <w:spacing w:before="0"/>
        <w:ind w:left="208" w:right="0" w:firstLine="0"/>
        <w:jc w:val="left"/>
        <w:rPr>
          <w:sz w:val="12"/>
        </w:rPr>
      </w:pPr>
      <w:r>
        <w:rPr>
          <w:rFonts w:ascii="Arial"/>
          <w:color w:val="231F1F"/>
          <w:w w:val="355"/>
          <w:position w:val="1"/>
          <w:sz w:val="7"/>
        </w:rPr>
        <w:t>l </w:t>
      </w:r>
      <w:r>
        <w:rPr>
          <w:rFonts w:ascii="Calibri"/>
          <w:color w:val="008356"/>
          <w:spacing w:val="4"/>
          <w:w w:val="120"/>
          <w:sz w:val="11"/>
        </w:rPr>
        <w:t>CARBAMAZEPINE</w:t>
      </w:r>
      <w:r>
        <w:rPr>
          <w:color w:val="231F1F"/>
          <w:spacing w:val="4"/>
          <w:w w:val="120"/>
          <w:sz w:val="12"/>
        </w:rPr>
        <w:t>, </w:t>
      </w:r>
      <w:r>
        <w:rPr>
          <w:rFonts w:ascii="Arial"/>
          <w:color w:val="231F1F"/>
          <w:w w:val="355"/>
          <w:position w:val="1"/>
          <w:sz w:val="7"/>
        </w:rPr>
        <w:t>l </w:t>
      </w:r>
      <w:r>
        <w:rPr>
          <w:rFonts w:ascii="Calibri"/>
          <w:color w:val="008356"/>
          <w:spacing w:val="4"/>
          <w:w w:val="120"/>
          <w:sz w:val="11"/>
        </w:rPr>
        <w:t>FOSPHENYTOIN</w:t>
      </w:r>
      <w:r>
        <w:rPr>
          <w:color w:val="231F1F"/>
          <w:spacing w:val="4"/>
          <w:w w:val="120"/>
          <w:sz w:val="12"/>
        </w:rPr>
        <w:t>, </w:t>
      </w:r>
      <w:r>
        <w:rPr>
          <w:rFonts w:ascii="Arial"/>
          <w:color w:val="231F1F"/>
          <w:w w:val="355"/>
          <w:position w:val="1"/>
          <w:sz w:val="7"/>
        </w:rPr>
        <w:t>l </w:t>
      </w:r>
      <w:r>
        <w:rPr>
          <w:rFonts w:ascii="Calibri"/>
          <w:color w:val="008356"/>
          <w:spacing w:val="4"/>
          <w:w w:val="120"/>
          <w:sz w:val="11"/>
        </w:rPr>
        <w:t>PHENOBARBITAL</w:t>
      </w:r>
      <w:r>
        <w:rPr>
          <w:color w:val="231F1F"/>
          <w:spacing w:val="4"/>
          <w:w w:val="120"/>
          <w:sz w:val="12"/>
        </w:rPr>
        <w:t>,</w:t>
      </w:r>
    </w:p>
    <w:p>
      <w:pPr>
        <w:spacing w:line="141" w:lineRule="exact" w:before="1"/>
        <w:ind w:left="208" w:right="0" w:firstLine="0"/>
        <w:jc w:val="left"/>
        <w:rPr>
          <w:rFonts w:ascii="Calibri"/>
          <w:sz w:val="11"/>
        </w:rPr>
      </w:pPr>
      <w:r>
        <w:rPr>
          <w:rFonts w:ascii="Arial"/>
          <w:color w:val="231F1F"/>
          <w:w w:val="265"/>
          <w:position w:val="1"/>
          <w:sz w:val="7"/>
        </w:rPr>
        <w:t>l</w:t>
      </w:r>
      <w:r>
        <w:rPr>
          <w:rFonts w:ascii="Arial"/>
          <w:color w:val="231F1F"/>
          <w:spacing w:val="-42"/>
          <w:w w:val="265"/>
          <w:position w:val="1"/>
          <w:sz w:val="7"/>
        </w:rPr>
        <w:t> </w:t>
      </w:r>
      <w:r>
        <w:rPr>
          <w:rFonts w:ascii="Calibri"/>
          <w:color w:val="008356"/>
          <w:spacing w:val="4"/>
          <w:w w:val="110"/>
          <w:sz w:val="11"/>
        </w:rPr>
        <w:t>PHENYTOIN</w:t>
      </w:r>
      <w:r>
        <w:rPr>
          <w:rFonts w:ascii="Calibri"/>
          <w:color w:val="008356"/>
          <w:spacing w:val="-15"/>
          <w:w w:val="110"/>
          <w:sz w:val="11"/>
        </w:rPr>
        <w:t> </w:t>
      </w:r>
      <w:r>
        <w:rPr>
          <w:color w:val="231F1F"/>
          <w:w w:val="110"/>
          <w:sz w:val="12"/>
        </w:rPr>
        <w:t>and</w:t>
      </w:r>
      <w:r>
        <w:rPr>
          <w:color w:val="231F1F"/>
          <w:spacing w:val="-22"/>
          <w:w w:val="110"/>
          <w:sz w:val="12"/>
        </w:rPr>
        <w:t> </w:t>
      </w:r>
      <w:r>
        <w:rPr>
          <w:rFonts w:ascii="Arial"/>
          <w:color w:val="231F1F"/>
          <w:w w:val="265"/>
          <w:position w:val="1"/>
          <w:sz w:val="7"/>
        </w:rPr>
        <w:t>l</w:t>
      </w:r>
      <w:r>
        <w:rPr>
          <w:rFonts w:ascii="Arial"/>
          <w:color w:val="231F1F"/>
          <w:spacing w:val="-42"/>
          <w:w w:val="265"/>
          <w:position w:val="1"/>
          <w:sz w:val="7"/>
        </w:rPr>
        <w:t> </w:t>
      </w:r>
      <w:r>
        <w:rPr>
          <w:rFonts w:ascii="Calibri"/>
          <w:color w:val="008356"/>
          <w:spacing w:val="5"/>
          <w:w w:val="110"/>
          <w:sz w:val="11"/>
        </w:rPr>
        <w:t>PRIMIDONE</w:t>
      </w:r>
    </w:p>
    <w:p>
      <w:pPr>
        <w:pStyle w:val="BodyText"/>
        <w:ind w:right="122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spacing w:line="242" w:lineRule="auto"/>
        <w:ind w:right="104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spacing w:line="220" w:lineRule="auto" w:before="2"/>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stiripentol increases plasma concentration of </w:t>
      </w:r>
      <w:r>
        <w:rPr>
          <w:rFonts w:ascii="Calibri" w:hAnsi="Calibri"/>
          <w:color w:val="008356"/>
          <w:w w:val="105"/>
          <w:sz w:val="11"/>
        </w:rPr>
        <w:t>CLOBAZAM</w:t>
      </w:r>
    </w:p>
    <w:p>
      <w:pPr>
        <w:pStyle w:val="BodyText"/>
        <w:spacing w:before="1"/>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6"/>
        <w:ind w:left="108"/>
      </w:pPr>
      <w:r>
        <w:rPr>
          <w:rFonts w:ascii="Trebuchet MS"/>
          <w:color w:val="008356"/>
          <w:w w:val="105"/>
        </w:rPr>
        <w:t>Streptomycin </w:t>
      </w:r>
      <w:r>
        <w:rPr>
          <w:i/>
          <w:color w:val="231F1F"/>
          <w:w w:val="105"/>
        </w:rPr>
        <w:t>see </w:t>
      </w:r>
      <w:r>
        <w:rPr>
          <w:color w:val="231F1F"/>
          <w:w w:val="105"/>
        </w:rPr>
        <w:t>Aminoglycosides</w:t>
      </w:r>
    </w:p>
    <w:p>
      <w:pPr>
        <w:pStyle w:val="BodyText"/>
        <w:spacing w:line="139" w:lineRule="exact" w:before="10"/>
        <w:ind w:left="108"/>
        <w:rPr>
          <w:rFonts w:ascii="Trebuchet MS"/>
        </w:rPr>
      </w:pPr>
      <w:r>
        <w:rPr>
          <w:rFonts w:ascii="Trebuchet MS"/>
          <w:color w:val="008356"/>
        </w:rPr>
        <w:t>Strontium Ranelate</w:t>
      </w:r>
    </w:p>
    <w:p>
      <w:pPr>
        <w:pStyle w:val="BodyText"/>
        <w:spacing w:line="232" w:lineRule="auto" w:before="3"/>
        <w:ind w:right="670"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strontium ranelate reduces absorption of </w:t>
      </w:r>
      <w:r>
        <w:rPr>
          <w:rFonts w:ascii="Calibri" w:hAnsi="Calibri"/>
          <w:color w:val="008356"/>
          <w:w w:val="110"/>
          <w:sz w:val="11"/>
        </w:rPr>
        <w:t>QUINOLONES </w:t>
      </w:r>
      <w:r>
        <w:rPr>
          <w:color w:val="231F1F"/>
          <w:w w:val="110"/>
        </w:rPr>
        <w:t>and </w:t>
      </w:r>
      <w:r>
        <w:rPr>
          <w:rFonts w:ascii="Calibri" w:hAnsi="Calibri"/>
          <w:color w:val="008356"/>
          <w:w w:val="110"/>
          <w:sz w:val="11"/>
        </w:rPr>
        <w:t>TETRACYCLINES </w:t>
      </w:r>
      <w:r>
        <w:rPr>
          <w:color w:val="231F1F"/>
          <w:w w:val="110"/>
        </w:rPr>
        <w:t>(manufacturer of strontium ranelate advises avoid concomitant use)</w:t>
      </w:r>
    </w:p>
    <w:p>
      <w:pPr>
        <w:pStyle w:val="BodyText"/>
        <w:spacing w:before="10"/>
        <w:ind w:left="108"/>
        <w:rPr>
          <w:rFonts w:ascii="Trebuchet MS"/>
        </w:rPr>
      </w:pPr>
      <w:r>
        <w:rPr>
          <w:rFonts w:ascii="Trebuchet MS"/>
          <w:color w:val="008356"/>
        </w:rPr>
        <w:t>Sucralfate</w:t>
      </w:r>
    </w:p>
    <w:p>
      <w:pPr>
        <w:pStyle w:val="BodyText"/>
        <w:spacing w:line="152" w:lineRule="exact" w:before="1"/>
        <w:ind w:left="108"/>
      </w:pPr>
      <w:r>
        <w:rPr>
          <w:rFonts w:ascii="Lucida Sans Unicode" w:hAnsi="Lucida Sans Unicode"/>
          <w:color w:val="A7A8AC"/>
          <w:w w:val="95"/>
          <w:sz w:val="10"/>
        </w:rPr>
        <w:t>▶ </w:t>
      </w:r>
      <w:r>
        <w:rPr>
          <w:rFonts w:ascii="Calibri" w:hAnsi="Calibri"/>
          <w:color w:val="231F1F"/>
          <w:w w:val="105"/>
        </w:rPr>
        <w:t>Aminophylline: </w:t>
      </w:r>
      <w:r>
        <w:rPr>
          <w:color w:val="231F1F"/>
          <w:w w:val="105"/>
        </w:rPr>
        <w:t>sucralfate possibly reduces absorption of</w:t>
      </w:r>
    </w:p>
    <w:p>
      <w:pPr>
        <w:spacing w:line="134" w:lineRule="exact" w:before="0"/>
        <w:ind w:left="208" w:right="0" w:firstLine="0"/>
        <w:jc w:val="left"/>
        <w:rPr>
          <w:sz w:val="12"/>
        </w:rPr>
      </w:pPr>
      <w:r>
        <w:rPr>
          <w:rFonts w:ascii="Calibri"/>
          <w:color w:val="008356"/>
          <w:w w:val="110"/>
          <w:sz w:val="11"/>
        </w:rPr>
        <w:t>AMINOPHYLLINE </w:t>
      </w:r>
      <w:r>
        <w:rPr>
          <w:color w:val="231F1F"/>
          <w:w w:val="110"/>
          <w:sz w:val="12"/>
        </w:rPr>
        <w:t>(give at least 2 hours apart)</w:t>
      </w:r>
    </w:p>
    <w:p>
      <w:pPr>
        <w:spacing w:line="220" w:lineRule="auto" w:before="7"/>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sucralfate reduces absorption of </w:t>
      </w:r>
      <w:r>
        <w:rPr>
          <w:rFonts w:ascii="Calibri" w:hAnsi="Calibri"/>
          <w:color w:val="008356"/>
          <w:w w:val="105"/>
          <w:sz w:val="11"/>
        </w:rPr>
        <w:t>CIPROFLOXACIN</w:t>
      </w:r>
      <w:r>
        <w:rPr>
          <w:color w:val="231F1F"/>
          <w:w w:val="105"/>
          <w:sz w:val="12"/>
        </w:rPr>
        <w:t>, </w:t>
      </w:r>
      <w:r>
        <w:rPr>
          <w:rFonts w:ascii="Calibri" w:hAnsi="Calibri"/>
          <w:color w:val="008356"/>
          <w:w w:val="105"/>
          <w:sz w:val="11"/>
        </w:rPr>
        <w:t>LEVOFLOXACIN</w:t>
      </w:r>
      <w:r>
        <w:rPr>
          <w:color w:val="231F1F"/>
          <w:w w:val="105"/>
          <w:sz w:val="12"/>
        </w:rPr>
        <w:t>, </w:t>
      </w:r>
      <w:r>
        <w:rPr>
          <w:rFonts w:ascii="Calibri" w:hAnsi="Calibri"/>
          <w:color w:val="008356"/>
          <w:w w:val="105"/>
          <w:sz w:val="11"/>
        </w:rPr>
        <w:t>MOXIFLOXACIN</w:t>
      </w:r>
      <w:r>
        <w:rPr>
          <w:color w:val="231F1F"/>
          <w:w w:val="105"/>
          <w:sz w:val="12"/>
        </w:rPr>
        <w:t>, </w:t>
      </w:r>
      <w:r>
        <w:rPr>
          <w:rFonts w:ascii="Calibri" w:hAnsi="Calibri"/>
          <w:color w:val="008356"/>
          <w:w w:val="105"/>
          <w:sz w:val="11"/>
        </w:rPr>
        <w:t>OFLOXACIN </w:t>
      </w:r>
      <w:r>
        <w:rPr>
          <w:color w:val="231F1F"/>
          <w:w w:val="105"/>
          <w:sz w:val="12"/>
        </w:rPr>
        <w:t>and </w:t>
      </w:r>
      <w:r>
        <w:rPr>
          <w:rFonts w:ascii="Calibri" w:hAnsi="Calibri"/>
          <w:color w:val="008356"/>
          <w:w w:val="105"/>
          <w:sz w:val="11"/>
        </w:rPr>
        <w:t>TETRACYCLINES</w:t>
      </w:r>
      <w:r>
        <w:rPr>
          <w:color w:val="231F1F"/>
          <w:w w:val="105"/>
          <w:sz w:val="12"/>
        </w:rPr>
        <w:t>;</w:t>
      </w:r>
    </w:p>
    <w:p>
      <w:pPr>
        <w:spacing w:after="0" w:line="220" w:lineRule="auto"/>
        <w:jc w:val="left"/>
        <w:rPr>
          <w:sz w:val="12"/>
        </w:rPr>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448" filled="true" fillcolor="#bfdbcf" stroked="false">
            <v:fill type="solid"/>
            <w10:wrap type="none"/>
          </v:rect>
        </w:pict>
      </w:r>
      <w:r>
        <w:rPr/>
        <w:pict>
          <v:shape style="position:absolute;margin-left:7.751256pt;margin-top:35.804367pt;width:10.4pt;height:78.850pt;mso-position-horizontal-relative:page;mso-position-vertical-relative:page;z-index:647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Sucralfate</w:t>
      </w:r>
    </w:p>
    <w:p>
      <w:pPr>
        <w:pStyle w:val="BodyText"/>
        <w:spacing w:line="146" w:lineRule="exact" w:before="5"/>
        <w:ind w:left="286"/>
        <w:rPr>
          <w:rFonts w:ascii="Calibri"/>
        </w:rPr>
      </w:pPr>
      <w:r>
        <w:rPr>
          <w:rFonts w:ascii="Calibri"/>
          <w:color w:val="231F1F"/>
        </w:rPr>
        <w:t>Antibacterials (continued)</w:t>
      </w:r>
    </w:p>
    <w:p>
      <w:pPr>
        <w:pStyle w:val="BodyText"/>
        <w:spacing w:line="244" w:lineRule="auto"/>
        <w:ind w:left="286" w:right="55"/>
      </w:pPr>
      <w:r>
        <w:rPr>
          <w:color w:val="231F1F"/>
          <w:w w:val="115"/>
        </w:rPr>
        <w:t>sucralfate</w:t>
      </w:r>
      <w:r>
        <w:rPr>
          <w:color w:val="231F1F"/>
          <w:spacing w:val="-20"/>
          <w:w w:val="115"/>
        </w:rPr>
        <w:t> </w:t>
      </w:r>
      <w:r>
        <w:rPr>
          <w:color w:val="231F1F"/>
          <w:w w:val="115"/>
        </w:rPr>
        <w:t>reduces</w:t>
      </w:r>
      <w:r>
        <w:rPr>
          <w:color w:val="231F1F"/>
          <w:spacing w:val="-19"/>
          <w:w w:val="115"/>
        </w:rPr>
        <w:t> </w:t>
      </w:r>
      <w:r>
        <w:rPr>
          <w:color w:val="231F1F"/>
          <w:w w:val="115"/>
        </w:rPr>
        <w:t>absorption</w:t>
      </w:r>
      <w:r>
        <w:rPr>
          <w:color w:val="231F1F"/>
          <w:spacing w:val="-18"/>
          <w:w w:val="115"/>
        </w:rPr>
        <w:t> </w:t>
      </w:r>
      <w:r>
        <w:rPr>
          <w:color w:val="231F1F"/>
          <w:w w:val="115"/>
        </w:rPr>
        <w:t>of</w:t>
      </w:r>
      <w:r>
        <w:rPr>
          <w:color w:val="231F1F"/>
          <w:spacing w:val="-19"/>
          <w:w w:val="115"/>
        </w:rPr>
        <w:t> </w:t>
      </w:r>
      <w:r>
        <w:rPr>
          <w:rFonts w:ascii="Calibri"/>
          <w:color w:val="008356"/>
          <w:spacing w:val="4"/>
          <w:w w:val="115"/>
          <w:sz w:val="11"/>
        </w:rPr>
        <w:t>NORFLOXACIN</w:t>
      </w:r>
      <w:r>
        <w:rPr>
          <w:rFonts w:ascii="Calibri"/>
          <w:color w:val="008356"/>
          <w:spacing w:val="-9"/>
          <w:w w:val="115"/>
          <w:sz w:val="11"/>
        </w:rPr>
        <w:t> </w:t>
      </w:r>
      <w:r>
        <w:rPr>
          <w:color w:val="231F1F"/>
          <w:w w:val="115"/>
        </w:rPr>
        <w:t>(give</w:t>
      </w:r>
      <w:r>
        <w:rPr>
          <w:color w:val="231F1F"/>
          <w:spacing w:val="-18"/>
          <w:w w:val="115"/>
        </w:rPr>
        <w:t> </w:t>
      </w:r>
      <w:r>
        <w:rPr>
          <w:color w:val="231F1F"/>
          <w:w w:val="115"/>
        </w:rPr>
        <w:t>at</w:t>
      </w:r>
      <w:r>
        <w:rPr>
          <w:color w:val="231F1F"/>
          <w:spacing w:val="-18"/>
          <w:w w:val="115"/>
        </w:rPr>
        <w:t> </w:t>
      </w:r>
      <w:r>
        <w:rPr>
          <w:color w:val="231F1F"/>
          <w:w w:val="115"/>
        </w:rPr>
        <w:t>least</w:t>
      </w:r>
      <w:r>
        <w:rPr>
          <w:color w:val="231F1F"/>
          <w:spacing w:val="-19"/>
          <w:w w:val="115"/>
        </w:rPr>
        <w:t> </w:t>
      </w:r>
      <w:r>
        <w:rPr>
          <w:color w:val="231F1F"/>
          <w:w w:val="115"/>
        </w:rPr>
        <w:t>2 hours</w:t>
      </w:r>
      <w:r>
        <w:rPr>
          <w:color w:val="231F1F"/>
          <w:spacing w:val="-4"/>
          <w:w w:val="115"/>
        </w:rPr>
        <w:t> </w:t>
      </w:r>
      <w:r>
        <w:rPr>
          <w:color w:val="231F1F"/>
          <w:w w:val="115"/>
        </w:rPr>
        <w:t>apart)</w:t>
      </w:r>
    </w:p>
    <w:p>
      <w:pPr>
        <w:pStyle w:val="BodyText"/>
        <w:spacing w:line="144" w:lineRule="exact"/>
        <w:ind w:left="186"/>
      </w:pPr>
      <w:r>
        <w:rPr>
          <w:rFonts w:ascii="Arial"/>
          <w:color w:val="231F1F"/>
          <w:w w:val="355"/>
          <w:position w:val="1"/>
          <w:sz w:val="7"/>
        </w:rPr>
        <w:t>l </w:t>
      </w:r>
      <w:r>
        <w:rPr>
          <w:rFonts w:ascii="Calibri"/>
          <w:color w:val="231F1F"/>
          <w:w w:val="115"/>
        </w:rPr>
        <w:t>Anticoagulants: </w:t>
      </w:r>
      <w:r>
        <w:rPr>
          <w:color w:val="231F1F"/>
          <w:w w:val="115"/>
        </w:rPr>
        <w:t>sucralfate possibly reduces absorption of</w:t>
      </w:r>
    </w:p>
    <w:p>
      <w:pPr>
        <w:spacing w:line="140" w:lineRule="exact" w:before="0"/>
        <w:ind w:left="286"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COUMARINS </w:t>
      </w:r>
      <w:r>
        <w:rPr>
          <w:color w:val="231F1F"/>
          <w:w w:val="115"/>
          <w:sz w:val="12"/>
        </w:rPr>
        <w:t>(reduced anticoagulant effect)</w:t>
      </w:r>
    </w:p>
    <w:p>
      <w:pPr>
        <w:spacing w:line="145" w:lineRule="exact" w:before="0"/>
        <w:ind w:left="186" w:right="0" w:firstLine="0"/>
        <w:jc w:val="left"/>
        <w:rPr>
          <w:rFonts w:ascii="Calibri"/>
          <w:sz w:val="11"/>
        </w:rPr>
      </w:pPr>
      <w:r>
        <w:rPr>
          <w:rFonts w:ascii="Arial"/>
          <w:color w:val="231F1F"/>
          <w:w w:val="355"/>
          <w:position w:val="1"/>
          <w:sz w:val="7"/>
        </w:rPr>
        <w:t>l</w:t>
      </w:r>
      <w:r>
        <w:rPr>
          <w:rFonts w:ascii="Arial"/>
          <w:color w:val="231F1F"/>
          <w:spacing w:val="-40"/>
          <w:w w:val="355"/>
          <w:position w:val="1"/>
          <w:sz w:val="7"/>
        </w:rPr>
        <w:t> </w:t>
      </w:r>
      <w:r>
        <w:rPr>
          <w:rFonts w:ascii="Calibri"/>
          <w:color w:val="231F1F"/>
          <w:w w:val="110"/>
          <w:sz w:val="12"/>
        </w:rPr>
        <w:t>Antiepileptics:</w:t>
      </w:r>
      <w:r>
        <w:rPr>
          <w:rFonts w:ascii="Calibri"/>
          <w:color w:val="231F1F"/>
          <w:spacing w:val="-8"/>
          <w:w w:val="110"/>
          <w:sz w:val="12"/>
        </w:rPr>
        <w:t> </w:t>
      </w:r>
      <w:r>
        <w:rPr>
          <w:color w:val="231F1F"/>
          <w:w w:val="110"/>
          <w:sz w:val="12"/>
        </w:rPr>
        <w:t>sucralfate</w:t>
      </w:r>
      <w:r>
        <w:rPr>
          <w:color w:val="231F1F"/>
          <w:spacing w:val="-11"/>
          <w:w w:val="110"/>
          <w:sz w:val="12"/>
        </w:rPr>
        <w:t> </w:t>
      </w:r>
      <w:r>
        <w:rPr>
          <w:color w:val="231F1F"/>
          <w:w w:val="110"/>
          <w:sz w:val="12"/>
        </w:rPr>
        <w:t>reduces</w:t>
      </w:r>
      <w:r>
        <w:rPr>
          <w:color w:val="231F1F"/>
          <w:spacing w:val="-12"/>
          <w:w w:val="110"/>
          <w:sz w:val="12"/>
        </w:rPr>
        <w:t> </w:t>
      </w:r>
      <w:r>
        <w:rPr>
          <w:color w:val="231F1F"/>
          <w:w w:val="110"/>
          <w:sz w:val="12"/>
        </w:rPr>
        <w:t>absorption</w:t>
      </w:r>
      <w:r>
        <w:rPr>
          <w:color w:val="231F1F"/>
          <w:spacing w:val="-10"/>
          <w:w w:val="110"/>
          <w:sz w:val="12"/>
        </w:rPr>
        <w:t> </w:t>
      </w:r>
      <w:r>
        <w:rPr>
          <w:color w:val="231F1F"/>
          <w:w w:val="110"/>
          <w:sz w:val="12"/>
        </w:rPr>
        <w:t>of</w:t>
      </w:r>
      <w:r>
        <w:rPr>
          <w:color w:val="231F1F"/>
          <w:spacing w:val="-10"/>
          <w:w w:val="110"/>
          <w:sz w:val="12"/>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FOSPHENYTOIN</w:t>
      </w:r>
    </w:p>
    <w:p>
      <w:pPr>
        <w:spacing w:line="140" w:lineRule="exact" w:before="0"/>
        <w:ind w:left="286" w:right="0" w:firstLine="0"/>
        <w:jc w:val="left"/>
        <w:rPr>
          <w:rFonts w:ascii="Calibri"/>
          <w:sz w:val="11"/>
        </w:rPr>
      </w:pPr>
      <w:r>
        <w:rPr>
          <w:color w:val="231F1F"/>
          <w:w w:val="110"/>
          <w:sz w:val="12"/>
        </w:rPr>
        <w:t>and </w:t>
      </w:r>
      <w:r>
        <w:rPr>
          <w:rFonts w:ascii="Arial"/>
          <w:color w:val="231F1F"/>
          <w:w w:val="355"/>
          <w:position w:val="1"/>
          <w:sz w:val="7"/>
        </w:rPr>
        <w:t>l </w:t>
      </w:r>
      <w:r>
        <w:rPr>
          <w:rFonts w:ascii="Calibri"/>
          <w:color w:val="008356"/>
          <w:w w:val="110"/>
          <w:sz w:val="11"/>
        </w:rPr>
        <w:t>PHENYTOIN</w:t>
      </w:r>
    </w:p>
    <w:p>
      <w:pPr>
        <w:spacing w:line="149"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Antifungals: </w:t>
      </w:r>
      <w:r>
        <w:rPr>
          <w:color w:val="231F1F"/>
          <w:w w:val="105"/>
          <w:sz w:val="12"/>
        </w:rPr>
        <w:t>sucralfate reduces absorption of </w:t>
      </w:r>
      <w:r>
        <w:rPr>
          <w:rFonts w:ascii="Calibri" w:hAnsi="Calibri"/>
          <w:color w:val="008356"/>
          <w:w w:val="105"/>
          <w:sz w:val="11"/>
        </w:rPr>
        <w:t>KETOCONAZOLE</w:t>
      </w:r>
    </w:p>
    <w:p>
      <w:pPr>
        <w:pStyle w:val="BodyText"/>
        <w:spacing w:line="142"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Antipsychotics: </w:t>
      </w:r>
      <w:r>
        <w:rPr>
          <w:color w:val="231F1F"/>
          <w:w w:val="105"/>
        </w:rPr>
        <w:t>sucralfate reduces absorption of </w:t>
      </w:r>
      <w:r>
        <w:rPr>
          <w:rFonts w:ascii="Calibri" w:hAnsi="Calibri"/>
          <w:color w:val="008356"/>
          <w:w w:val="105"/>
          <w:sz w:val="11"/>
        </w:rPr>
        <w:t>SULPIRIDE</w:t>
      </w:r>
    </w:p>
    <w:p>
      <w:pPr>
        <w:pStyle w:val="BodyText"/>
        <w:spacing w:line="147"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sucralfate possibly reduces absorption of</w:t>
      </w:r>
    </w:p>
    <w:p>
      <w:pPr>
        <w:spacing w:line="130" w:lineRule="exact" w:before="0"/>
        <w:ind w:left="286" w:right="0" w:firstLine="0"/>
        <w:jc w:val="left"/>
        <w:rPr>
          <w:rFonts w:ascii="Calibri"/>
          <w:sz w:val="11"/>
        </w:rPr>
      </w:pPr>
      <w:r>
        <w:rPr>
          <w:rFonts w:ascii="Calibri"/>
          <w:color w:val="008356"/>
          <w:sz w:val="11"/>
        </w:rPr>
        <w:t>CARDIAC GLYCOSIDES</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Potassium Salts: </w:t>
      </w:r>
      <w:r>
        <w:rPr>
          <w:color w:val="231F1F"/>
          <w:w w:val="105"/>
        </w:rPr>
        <w:t>manufacturer of sucralfate advises avoid concomitant use with </w:t>
      </w:r>
      <w:r>
        <w:rPr>
          <w:rFonts w:ascii="Calibri" w:hAnsi="Calibri"/>
          <w:color w:val="008356"/>
          <w:w w:val="105"/>
          <w:sz w:val="11"/>
        </w:rPr>
        <w:t>POTASSIUM CITRATE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Sodium Citrate: </w:t>
      </w:r>
      <w:r>
        <w:rPr>
          <w:color w:val="231F1F"/>
          <w:w w:val="105"/>
        </w:rPr>
        <w:t>manufacturer of sucralfate advises avoid concomitant use with </w:t>
      </w:r>
      <w:r>
        <w:rPr>
          <w:rFonts w:ascii="Calibri" w:hAnsi="Calibri"/>
          <w:color w:val="008356"/>
          <w:w w:val="105"/>
          <w:sz w:val="11"/>
        </w:rPr>
        <w:t>SODIUM CITRATE</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Theophylline: </w:t>
      </w:r>
      <w:r>
        <w:rPr>
          <w:color w:val="231F1F"/>
          <w:w w:val="105"/>
        </w:rPr>
        <w:t>sucralfate possibly reduces absorption of</w:t>
      </w:r>
    </w:p>
    <w:p>
      <w:pPr>
        <w:spacing w:line="134" w:lineRule="exact" w:before="0"/>
        <w:ind w:left="286" w:right="0" w:firstLine="0"/>
        <w:jc w:val="left"/>
        <w:rPr>
          <w:sz w:val="12"/>
        </w:rPr>
      </w:pPr>
      <w:r>
        <w:rPr>
          <w:rFonts w:ascii="Calibri"/>
          <w:color w:val="008356"/>
          <w:w w:val="110"/>
          <w:sz w:val="11"/>
        </w:rPr>
        <w:t>THEOPHYLLINE </w:t>
      </w:r>
      <w:r>
        <w:rPr>
          <w:color w:val="231F1F"/>
          <w:w w:val="110"/>
          <w:sz w:val="12"/>
        </w:rPr>
        <w:t>(give at least 2 hours apart)</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Thyroid Hormones: </w:t>
      </w:r>
      <w:r>
        <w:rPr>
          <w:color w:val="231F1F"/>
          <w:w w:val="105"/>
        </w:rPr>
        <w:t>sucralfate reduces absorption of</w:t>
      </w:r>
    </w:p>
    <w:p>
      <w:pPr>
        <w:spacing w:line="130" w:lineRule="exact" w:before="0"/>
        <w:ind w:left="286" w:right="0" w:firstLine="0"/>
        <w:jc w:val="left"/>
        <w:rPr>
          <w:rFonts w:ascii="Calibri"/>
          <w:sz w:val="11"/>
        </w:rPr>
      </w:pPr>
      <w:r>
        <w:rPr>
          <w:rFonts w:ascii="Calibri"/>
          <w:color w:val="008356"/>
          <w:sz w:val="11"/>
        </w:rPr>
        <w:t>LEVOTHYROXINE</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sucralfate possibly reduces absorption of</w:t>
      </w:r>
    </w:p>
    <w:p>
      <w:pPr>
        <w:spacing w:line="132" w:lineRule="exact" w:before="0"/>
        <w:ind w:left="286" w:right="0" w:firstLine="0"/>
        <w:jc w:val="left"/>
        <w:rPr>
          <w:rFonts w:ascii="Calibri"/>
          <w:sz w:val="11"/>
        </w:rPr>
      </w:pPr>
      <w:r>
        <w:rPr>
          <w:rFonts w:ascii="Calibri"/>
          <w:color w:val="008356"/>
          <w:sz w:val="11"/>
        </w:rPr>
        <w:t>LANSOPRAZOLE</w:t>
      </w:r>
    </w:p>
    <w:p>
      <w:pPr>
        <w:pStyle w:val="BodyText"/>
        <w:spacing w:line="139" w:lineRule="exact" w:before="8"/>
        <w:ind w:left="186"/>
        <w:rPr>
          <w:rFonts w:ascii="Trebuchet MS"/>
        </w:rPr>
      </w:pPr>
      <w:r>
        <w:rPr>
          <w:rFonts w:ascii="Trebuchet MS"/>
          <w:color w:val="008356"/>
        </w:rPr>
        <w:t>Sugammadex</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response to sugammadex possibly reduced by</w:t>
      </w:r>
    </w:p>
    <w:p>
      <w:pPr>
        <w:spacing w:line="131" w:lineRule="exact" w:before="0"/>
        <w:ind w:left="286" w:right="0" w:firstLine="0"/>
        <w:jc w:val="left"/>
        <w:rPr>
          <w:rFonts w:ascii="Calibri"/>
          <w:sz w:val="11"/>
        </w:rPr>
      </w:pPr>
      <w:r>
        <w:rPr>
          <w:rFonts w:ascii="Calibri"/>
          <w:color w:val="008356"/>
          <w:sz w:val="11"/>
        </w:rPr>
        <w:t>FUSIDIC ACID</w:t>
      </w:r>
    </w:p>
    <w:p>
      <w:pPr>
        <w:pStyle w:val="BodyText"/>
        <w:spacing w:line="230" w:lineRule="auto" w:before="3"/>
        <w:ind w:left="286" w:right="21" w:hanging="100"/>
      </w:pPr>
      <w:r>
        <w:rPr>
          <w:rFonts w:ascii="Lucida Sans Unicode" w:hAnsi="Lucida Sans Unicode"/>
          <w:color w:val="A7A8AC"/>
          <w:w w:val="95"/>
          <w:sz w:val="10"/>
        </w:rPr>
        <w:t>▶ </w:t>
      </w:r>
      <w:r>
        <w:rPr>
          <w:rFonts w:ascii="Calibri" w:hAnsi="Calibri"/>
          <w:color w:val="231F1F"/>
          <w:w w:val="110"/>
        </w:rPr>
        <w:t>Progestogens: </w:t>
      </w:r>
      <w:r>
        <w:rPr>
          <w:color w:val="231F1F"/>
          <w:w w:val="110"/>
        </w:rPr>
        <w:t>sugammadex possibly reduces plasma concentration of </w:t>
      </w:r>
      <w:r>
        <w:rPr>
          <w:rFonts w:ascii="Calibri" w:hAnsi="Calibri"/>
          <w:color w:val="008356"/>
          <w:w w:val="110"/>
          <w:sz w:val="11"/>
        </w:rPr>
        <w:t>PROGESTOGENS</w:t>
      </w:r>
      <w:r>
        <w:rPr>
          <w:rFonts w:ascii="Arial" w:hAnsi="Arial"/>
          <w:color w:val="231F1F"/>
          <w:w w:val="110"/>
        </w:rPr>
        <w:t>—</w:t>
      </w:r>
      <w:r>
        <w:rPr>
          <w:color w:val="231F1F"/>
          <w:w w:val="110"/>
        </w:rPr>
        <w:t>manufacturer of sugammadex advises additional contraceptive precautions</w:t>
      </w:r>
    </w:p>
    <w:p>
      <w:pPr>
        <w:pStyle w:val="BodyText"/>
        <w:spacing w:line="256" w:lineRule="auto" w:before="12"/>
        <w:ind w:left="186" w:right="1216"/>
        <w:rPr>
          <w:rFonts w:ascii="Trebuchet MS"/>
        </w:rPr>
      </w:pPr>
      <w:r>
        <w:rPr>
          <w:rFonts w:ascii="Trebuchet MS"/>
          <w:color w:val="008356"/>
          <w:w w:val="105"/>
        </w:rPr>
        <w:t>Sulfadiazine </w:t>
      </w:r>
      <w:r>
        <w:rPr>
          <w:i/>
          <w:color w:val="231F1F"/>
          <w:w w:val="105"/>
        </w:rPr>
        <w:t>see </w:t>
      </w:r>
      <w:r>
        <w:rPr>
          <w:color w:val="231F1F"/>
          <w:w w:val="105"/>
        </w:rPr>
        <w:t>Sulfonamides </w:t>
      </w:r>
      <w:r>
        <w:rPr>
          <w:rFonts w:ascii="Trebuchet MS"/>
          <w:color w:val="008356"/>
          <w:w w:val="105"/>
        </w:rPr>
        <w:t>Sulfadoxine </w:t>
      </w:r>
      <w:r>
        <w:rPr>
          <w:i/>
          <w:color w:val="231F1F"/>
          <w:w w:val="105"/>
        </w:rPr>
        <w:t>see </w:t>
      </w:r>
      <w:r>
        <w:rPr>
          <w:color w:val="231F1F"/>
          <w:w w:val="105"/>
        </w:rPr>
        <w:t>Sulfonamides </w:t>
      </w:r>
      <w:r>
        <w:rPr>
          <w:rFonts w:ascii="Trebuchet MS"/>
          <w:color w:val="008356"/>
          <w:w w:val="105"/>
        </w:rPr>
        <w:t>Sulfamethoxazole </w:t>
      </w:r>
      <w:r>
        <w:rPr>
          <w:i/>
          <w:color w:val="231F1F"/>
          <w:w w:val="105"/>
        </w:rPr>
        <w:t>see </w:t>
      </w:r>
      <w:r>
        <w:rPr>
          <w:color w:val="231F1F"/>
          <w:w w:val="105"/>
        </w:rPr>
        <w:t>Sulfonamides </w:t>
      </w:r>
      <w:r>
        <w:rPr>
          <w:rFonts w:ascii="Trebuchet MS"/>
          <w:color w:val="008356"/>
          <w:w w:val="105"/>
        </w:rPr>
        <w:t>Sulfasalazine</w:t>
      </w:r>
    </w:p>
    <w:p>
      <w:pPr>
        <w:pStyle w:val="BodyText"/>
        <w:spacing w:line="220" w:lineRule="auto" w:before="1"/>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sulfasalazine possibly reduces absorption of </w:t>
      </w:r>
      <w:r>
        <w:rPr>
          <w:rFonts w:ascii="Calibri" w:hAnsi="Calibri"/>
          <w:color w:val="008356"/>
          <w:spacing w:val="4"/>
          <w:w w:val="105"/>
          <w:sz w:val="11"/>
        </w:rPr>
        <w:t>DIGOXIN</w:t>
      </w:r>
    </w:p>
    <w:p>
      <w:pPr>
        <w:pStyle w:val="BodyText"/>
        <w:spacing w:line="230" w:lineRule="auto" w:before="4"/>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Folates: </w:t>
      </w:r>
      <w:r>
        <w:rPr>
          <w:color w:val="231F1F"/>
          <w:w w:val="105"/>
        </w:rPr>
        <w:t>sulfasalazine possibly reduces absorption of </w:t>
      </w:r>
      <w:r>
        <w:rPr>
          <w:rFonts w:ascii="Calibri" w:hAnsi="Calibri"/>
          <w:color w:val="008356"/>
          <w:w w:val="105"/>
          <w:sz w:val="11"/>
        </w:rPr>
        <w:t>FOLIC ACID</w:t>
      </w:r>
    </w:p>
    <w:p>
      <w:pPr>
        <w:pStyle w:val="BodyText"/>
        <w:spacing w:before="9"/>
        <w:ind w:left="186"/>
        <w:rPr>
          <w:rFonts w:ascii="Trebuchet MS"/>
        </w:rPr>
      </w:pPr>
      <w:r>
        <w:rPr>
          <w:rFonts w:ascii="Trebuchet MS"/>
          <w:color w:val="008356"/>
        </w:rPr>
        <w:t>Sulfinpyrazone</w:t>
      </w:r>
    </w:p>
    <w:p>
      <w:pPr>
        <w:pStyle w:val="BodyText"/>
        <w:spacing w:line="220" w:lineRule="auto" w:before="9"/>
        <w:ind w:left="286" w:right="107"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sulfinpyrazone  reduces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5"/>
          <w:w w:val="105"/>
          <w:sz w:val="11"/>
        </w:rPr>
        <w:t>AMINOPHYLLINE</w:t>
      </w:r>
    </w:p>
    <w:p>
      <w:pPr>
        <w:pStyle w:val="BodyText"/>
        <w:spacing w:line="149" w:lineRule="exact"/>
        <w:ind w:left="186"/>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effects of sulfinpyrazone antagonised by </w:t>
      </w:r>
      <w:r>
        <w:rPr>
          <w:rFonts w:ascii="Calibri" w:hAnsi="Calibri"/>
          <w:color w:val="008356"/>
          <w:w w:val="105"/>
          <w:sz w:val="11"/>
        </w:rPr>
        <w:t>ASPIRIN</w:t>
      </w:r>
    </w:p>
    <w:p>
      <w:pPr>
        <w:pStyle w:val="BodyText"/>
        <w:spacing w:line="235" w:lineRule="auto"/>
        <w:ind w:left="286" w:right="15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sulfinpyrazone reduces excretion of </w:t>
      </w:r>
      <w:r>
        <w:rPr>
          <w:rFonts w:ascii="Calibri" w:hAnsi="Calibri"/>
          <w:color w:val="008356"/>
          <w:w w:val="110"/>
          <w:sz w:val="11"/>
        </w:rPr>
        <w:t>NITROFURANTOIN </w:t>
      </w:r>
      <w:r>
        <w:rPr>
          <w:color w:val="231F1F"/>
          <w:w w:val="110"/>
        </w:rPr>
        <w:t>(increased risk of toxicity); sulfinpyrazone reduces excretion of </w:t>
      </w:r>
      <w:r>
        <w:rPr>
          <w:rFonts w:ascii="Calibri" w:hAnsi="Calibri"/>
          <w:color w:val="008356"/>
          <w:w w:val="110"/>
          <w:sz w:val="11"/>
        </w:rPr>
        <w:t>PENICILLINS</w:t>
      </w:r>
      <w:r>
        <w:rPr>
          <w:color w:val="231F1F"/>
          <w:w w:val="110"/>
        </w:rPr>
        <w:t>; effects of sulfinpyrazone antagonised by </w:t>
      </w:r>
      <w:r>
        <w:rPr>
          <w:rFonts w:ascii="Calibri" w:hAnsi="Calibri"/>
          <w:color w:val="008356"/>
          <w:w w:val="110"/>
          <w:sz w:val="11"/>
        </w:rPr>
        <w:t>PYRAZINAMIDE</w:t>
      </w:r>
    </w:p>
    <w:p>
      <w:pPr>
        <w:pStyle w:val="BodyText"/>
        <w:spacing w:line="247" w:lineRule="auto"/>
        <w:ind w:left="286" w:right="233"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increased risk of bleeding when sulfinpyrazone given with </w:t>
      </w:r>
      <w:r>
        <w:rPr>
          <w:rFonts w:ascii="Calibri"/>
          <w:color w:val="008356"/>
          <w:spacing w:val="4"/>
          <w:w w:val="110"/>
          <w:sz w:val="11"/>
        </w:rPr>
        <w:t>APIXABAN</w:t>
      </w:r>
      <w:r>
        <w:rPr>
          <w:color w:val="231F1F"/>
          <w:spacing w:val="4"/>
          <w:w w:val="110"/>
        </w:rPr>
        <w:t>; </w:t>
      </w:r>
      <w:r>
        <w:rPr>
          <w:color w:val="231F1F"/>
          <w:w w:val="110"/>
        </w:rPr>
        <w:t>sulfinpyrazone enhances anticoagulant effect of </w:t>
      </w:r>
      <w:r>
        <w:rPr>
          <w:rFonts w:ascii="Arial"/>
          <w:color w:val="231F1F"/>
          <w:w w:val="355"/>
          <w:position w:val="1"/>
          <w:sz w:val="7"/>
        </w:rPr>
        <w:t>l </w:t>
      </w:r>
      <w:r>
        <w:rPr>
          <w:rFonts w:ascii="Calibri"/>
          <w:color w:val="008356"/>
          <w:spacing w:val="4"/>
          <w:w w:val="110"/>
          <w:sz w:val="11"/>
        </w:rPr>
        <w:t>COUMARINS</w:t>
      </w:r>
      <w:r>
        <w:rPr>
          <w:color w:val="231F1F"/>
          <w:spacing w:val="4"/>
          <w:w w:val="110"/>
        </w:rPr>
        <w:t>; </w:t>
      </w:r>
      <w:r>
        <w:rPr>
          <w:color w:val="231F1F"/>
          <w:w w:val="110"/>
        </w:rPr>
        <w:t>possible increased risk of bleeding when sulfinpyrazone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4"/>
          <w:w w:val="110"/>
          <w:sz w:val="11"/>
        </w:rPr>
        <w:t>DABIGATRAN</w:t>
      </w:r>
    </w:p>
    <w:p>
      <w:pPr>
        <w:pStyle w:val="BodyText"/>
        <w:spacing w:line="139" w:lineRule="exact"/>
        <w:ind w:left="186"/>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Antidiabetics: </w:t>
      </w:r>
      <w:r>
        <w:rPr>
          <w:color w:val="231F1F"/>
          <w:w w:val="115"/>
        </w:rPr>
        <w:t>sulfinpyrazone enhances effects of</w:t>
      </w:r>
    </w:p>
    <w:p>
      <w:pPr>
        <w:spacing w:line="133" w:lineRule="exact" w:before="0"/>
        <w:ind w:left="286" w:right="0" w:firstLine="0"/>
        <w:jc w:val="left"/>
        <w:rPr>
          <w:rFonts w:ascii="Calibri"/>
          <w:sz w:val="11"/>
        </w:rPr>
      </w:pPr>
      <w:r>
        <w:rPr>
          <w:rFonts w:ascii="Arial"/>
          <w:color w:val="231F1F"/>
          <w:w w:val="355"/>
          <w:position w:val="1"/>
          <w:sz w:val="7"/>
        </w:rPr>
        <w:t>l </w:t>
      </w:r>
      <w:r>
        <w:rPr>
          <w:rFonts w:ascii="Calibri"/>
          <w:color w:val="008356"/>
          <w:w w:val="120"/>
          <w:sz w:val="11"/>
        </w:rPr>
        <w:t>SULFONYLUREAS</w:t>
      </w:r>
    </w:p>
    <w:p>
      <w:pPr>
        <w:spacing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sulfinpyrazone increases plasma concentration of </w:t>
      </w: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w:t>
      </w:r>
    </w:p>
    <w:p>
      <w:pPr>
        <w:pStyle w:val="BodyText"/>
        <w:spacing w:line="220" w:lineRule="auto" w:before="3"/>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sulfinpyrazone reduces plasma concentration of </w:t>
      </w:r>
      <w:r>
        <w:rPr>
          <w:rFonts w:ascii="Calibri" w:hAnsi="Calibri"/>
          <w:color w:val="008356"/>
          <w:w w:val="105"/>
          <w:sz w:val="11"/>
        </w:rPr>
        <w:t>VERAPAMIL</w:t>
      </w:r>
    </w:p>
    <w:p>
      <w:pPr>
        <w:pStyle w:val="BodyText"/>
        <w:spacing w:line="146" w:lineRule="exact"/>
        <w:ind w:left="186"/>
      </w:pPr>
      <w:r>
        <w:rPr>
          <w:rFonts w:ascii="Arial"/>
          <w:color w:val="231F1F"/>
          <w:w w:val="355"/>
          <w:position w:val="1"/>
          <w:sz w:val="7"/>
        </w:rPr>
        <w:t>l </w:t>
      </w:r>
      <w:r>
        <w:rPr>
          <w:rFonts w:ascii="Calibri"/>
          <w:color w:val="231F1F"/>
          <w:w w:val="115"/>
        </w:rPr>
        <w:t>Ciclosporin: </w:t>
      </w:r>
      <w:r>
        <w:rPr>
          <w:color w:val="231F1F"/>
          <w:w w:val="115"/>
        </w:rPr>
        <w:t>sulfinpyrazone reduces plasma concentration 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CICLOSPORIN</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Theophylline: </w:t>
      </w:r>
      <w:r>
        <w:rPr>
          <w:color w:val="231F1F"/>
          <w:w w:val="105"/>
        </w:rPr>
        <w:t>sulfinpyrazone reduces plasma concentration of</w:t>
      </w:r>
    </w:p>
    <w:p>
      <w:pPr>
        <w:spacing w:line="132" w:lineRule="exact" w:before="0"/>
        <w:ind w:left="286" w:right="0" w:firstLine="0"/>
        <w:jc w:val="left"/>
        <w:rPr>
          <w:rFonts w:ascii="Calibri"/>
          <w:sz w:val="11"/>
        </w:rPr>
      </w:pPr>
      <w:r>
        <w:rPr>
          <w:rFonts w:ascii="Calibri"/>
          <w:color w:val="008356"/>
          <w:sz w:val="11"/>
        </w:rPr>
        <w:t>THEOPHYLLINE</w:t>
      </w:r>
    </w:p>
    <w:p>
      <w:pPr>
        <w:pStyle w:val="BodyText"/>
        <w:spacing w:before="8"/>
        <w:ind w:left="186"/>
        <w:rPr>
          <w:rFonts w:ascii="Trebuchet MS"/>
        </w:rPr>
      </w:pPr>
      <w:r>
        <w:rPr>
          <w:rFonts w:ascii="Trebuchet MS"/>
          <w:color w:val="008356"/>
        </w:rPr>
        <w:t>Sulfonamides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Anaesthetics, General: </w:t>
      </w:r>
      <w:r>
        <w:rPr>
          <w:color w:val="231F1F"/>
          <w:w w:val="105"/>
        </w:rPr>
        <w:t>sulfonamides enhance effects of</w:t>
      </w:r>
    </w:p>
    <w:p>
      <w:pPr>
        <w:spacing w:line="130" w:lineRule="exact" w:before="0"/>
        <w:ind w:left="286" w:right="0" w:firstLine="0"/>
        <w:jc w:val="left"/>
        <w:rPr>
          <w:rFonts w:ascii="Calibri"/>
          <w:sz w:val="11"/>
        </w:rPr>
      </w:pPr>
      <w:r>
        <w:rPr>
          <w:rFonts w:ascii="Calibri"/>
          <w:color w:val="008356"/>
          <w:spacing w:val="4"/>
          <w:sz w:val="11"/>
        </w:rPr>
        <w:t>THIOPENTAL</w:t>
      </w:r>
    </w:p>
    <w:p>
      <w:pPr>
        <w:pStyle w:val="BodyText"/>
        <w:spacing w:line="247" w:lineRule="auto"/>
        <w:ind w:left="286" w:right="75" w:hanging="100"/>
        <w:rPr>
          <w:rFonts w:ascii="Calibri"/>
          <w:sz w:val="11"/>
        </w:rPr>
      </w:pPr>
      <w:r>
        <w:rPr>
          <w:rFonts w:ascii="Arial"/>
          <w:color w:val="231F1F"/>
          <w:w w:val="355"/>
          <w:position w:val="1"/>
          <w:sz w:val="7"/>
        </w:rPr>
        <w:t>l</w:t>
      </w:r>
      <w:r>
        <w:rPr>
          <w:rFonts w:ascii="Arial"/>
          <w:color w:val="231F1F"/>
          <w:spacing w:val="-58"/>
          <w:w w:val="355"/>
          <w:position w:val="1"/>
          <w:sz w:val="7"/>
        </w:rPr>
        <w:t> </w:t>
      </w:r>
      <w:r>
        <w:rPr>
          <w:rFonts w:ascii="Calibri"/>
          <w:color w:val="231F1F"/>
          <w:w w:val="110"/>
        </w:rPr>
        <w:t>Anaesthetics, Local: </w:t>
      </w:r>
      <w:r>
        <w:rPr>
          <w:color w:val="231F1F"/>
          <w:w w:val="110"/>
        </w:rPr>
        <w:t>effects of sulfonamides possibly inhibited by </w:t>
      </w:r>
      <w:r>
        <w:rPr>
          <w:rFonts w:ascii="Arial"/>
          <w:color w:val="231F1F"/>
          <w:w w:val="355"/>
          <w:position w:val="1"/>
          <w:sz w:val="7"/>
        </w:rPr>
        <w:t>l </w:t>
      </w:r>
      <w:r>
        <w:rPr>
          <w:rFonts w:ascii="Calibri"/>
          <w:color w:val="008356"/>
          <w:spacing w:val="4"/>
          <w:w w:val="110"/>
          <w:sz w:val="11"/>
        </w:rPr>
        <w:t>CHLOROPROCAINE </w:t>
      </w:r>
      <w:r>
        <w:rPr>
          <w:color w:val="231F1F"/>
          <w:w w:val="110"/>
        </w:rPr>
        <w:t>(manufacturer of chloroprocaine advises avoid concomitant use); increased risk of methaemoglobinaemia when sulfonamides given with </w:t>
      </w:r>
      <w:r>
        <w:rPr>
          <w:rFonts w:ascii="Calibri"/>
          <w:color w:val="008356"/>
          <w:spacing w:val="4"/>
          <w:w w:val="110"/>
          <w:sz w:val="11"/>
        </w:rPr>
        <w:t>PRILOCAINE</w:t>
      </w:r>
    </w:p>
    <w:p>
      <w:pPr>
        <w:pStyle w:val="BodyText"/>
        <w:spacing w:line="237" w:lineRule="auto"/>
        <w:ind w:left="286" w:right="335" w:hanging="100"/>
      </w:pPr>
      <w:r>
        <w:rPr>
          <w:rFonts w:ascii="Lucida Sans Unicode" w:hAnsi="Lucida Sans Unicode"/>
          <w:color w:val="A7A8AC"/>
          <w:w w:val="95"/>
          <w:sz w:val="10"/>
        </w:rPr>
        <w:t>▶ </w:t>
      </w:r>
      <w:r>
        <w:rPr>
          <w:rFonts w:ascii="Calibri" w:hAnsi="Calibri"/>
          <w:color w:val="231F1F"/>
          <w:w w:val="105"/>
        </w:rPr>
        <w:t>Anti-arrhythmics: </w:t>
      </w:r>
      <w:r>
        <w:rPr>
          <w:color w:val="231F1F"/>
          <w:w w:val="105"/>
        </w:rPr>
        <w:t>possible increased risk of ventricular arrhythmias when sulfamethoxazole (as co-trimoxazole) given with </w:t>
      </w:r>
      <w:r>
        <w:rPr>
          <w:rFonts w:ascii="Calibri" w:hAnsi="Calibri"/>
          <w:color w:val="008356"/>
          <w:w w:val="105"/>
          <w:sz w:val="11"/>
        </w:rPr>
        <w:t>AMIODARONE</w:t>
      </w:r>
      <w:r>
        <w:rPr>
          <w:rFonts w:ascii="Arial" w:hAnsi="Arial"/>
          <w:color w:val="231F1F"/>
          <w:w w:val="105"/>
        </w:rPr>
        <w:t>—</w:t>
      </w:r>
      <w:r>
        <w:rPr>
          <w:color w:val="231F1F"/>
          <w:w w:val="105"/>
        </w:rPr>
        <w:t>manufacturer of amiodarone advises avoid concomitant use of co-trimoxazole</w:t>
      </w:r>
    </w:p>
    <w:p>
      <w:pPr>
        <w:pStyle w:val="BodyText"/>
        <w:ind w:left="286" w:right="203" w:hanging="100"/>
        <w:rPr>
          <w:rFonts w:ascii="Calibri"/>
          <w:sz w:val="11"/>
        </w:rPr>
      </w:pPr>
      <w:r>
        <w:rPr>
          <w:rFonts w:ascii="Arial"/>
          <w:color w:val="231F1F"/>
          <w:w w:val="355"/>
          <w:position w:val="1"/>
          <w:sz w:val="7"/>
        </w:rPr>
        <w:t>l </w:t>
      </w:r>
      <w:r>
        <w:rPr>
          <w:rFonts w:ascii="Calibri"/>
          <w:color w:val="231F1F"/>
          <w:w w:val="105"/>
        </w:rPr>
        <w:t>Antibacterials: </w:t>
      </w:r>
      <w:r>
        <w:rPr>
          <w:color w:val="231F1F"/>
          <w:w w:val="105"/>
        </w:rPr>
        <w:t>increased risk of crystalluria when sulfonamides given with </w:t>
      </w:r>
      <w:r>
        <w:rPr>
          <w:rFonts w:ascii="Arial"/>
          <w:color w:val="231F1F"/>
          <w:w w:val="355"/>
          <w:position w:val="1"/>
          <w:sz w:val="7"/>
        </w:rPr>
        <w:t>l </w:t>
      </w:r>
      <w:r>
        <w:rPr>
          <w:rFonts w:ascii="Calibri"/>
          <w:color w:val="008356"/>
          <w:w w:val="105"/>
          <w:sz w:val="11"/>
        </w:rPr>
        <w:t>METHENAMINE</w:t>
      </w:r>
    </w:p>
    <w:p>
      <w:pPr>
        <w:pStyle w:val="BodyText"/>
        <w:spacing w:before="9"/>
        <w:ind w:left="0"/>
        <w:rPr>
          <w:rFonts w:ascii="Calibri"/>
          <w:sz w:val="13"/>
        </w:rPr>
      </w:pPr>
      <w:r>
        <w:rPr/>
        <w:br w:type="column"/>
      </w:r>
      <w:r>
        <w:rPr>
          <w:rFonts w:ascii="Calibri"/>
          <w:sz w:val="13"/>
        </w:rPr>
      </w:r>
    </w:p>
    <w:p>
      <w:pPr>
        <w:pStyle w:val="BodyText"/>
        <w:spacing w:line="144" w:lineRule="exact"/>
        <w:ind w:left="178"/>
        <w:rPr>
          <w:rFonts w:ascii="Calibri"/>
        </w:rPr>
      </w:pPr>
      <w:r>
        <w:rPr>
          <w:rFonts w:ascii="Arial"/>
          <w:color w:val="008356"/>
        </w:rPr>
        <w:t>Sulfonamides </w:t>
      </w:r>
      <w:r>
        <w:rPr>
          <w:rFonts w:ascii="Calibri"/>
          <w:color w:val="231F1F"/>
        </w:rPr>
        <w:t>(continued)</w:t>
      </w:r>
    </w:p>
    <w:p>
      <w:pPr>
        <w:pStyle w:val="BodyText"/>
        <w:spacing w:line="247" w:lineRule="auto"/>
        <w:ind w:left="278" w:right="648"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sulfonamides enhance anticoagulant effect of </w:t>
      </w:r>
      <w:r>
        <w:rPr>
          <w:rFonts w:ascii="Arial"/>
          <w:color w:val="231F1F"/>
          <w:w w:val="355"/>
          <w:position w:val="1"/>
          <w:sz w:val="7"/>
        </w:rPr>
        <w:t>l </w:t>
      </w:r>
      <w:r>
        <w:rPr>
          <w:rFonts w:ascii="Calibri"/>
          <w:color w:val="008356"/>
          <w:w w:val="110"/>
          <w:sz w:val="11"/>
        </w:rPr>
        <w:t>COUMARINS</w:t>
      </w:r>
      <w:r>
        <w:rPr>
          <w:color w:val="231F1F"/>
          <w:w w:val="110"/>
        </w:rPr>
        <w:t>; sulfonamides possibly inhibit metabolism of </w:t>
      </w:r>
      <w:r>
        <w:rPr>
          <w:rFonts w:ascii="Calibri"/>
          <w:color w:val="008356"/>
          <w:w w:val="110"/>
          <w:sz w:val="11"/>
        </w:rPr>
        <w:t>PHENINDIONE</w:t>
      </w:r>
    </w:p>
    <w:p>
      <w:pPr>
        <w:pStyle w:val="BodyText"/>
        <w:spacing w:line="149" w:lineRule="exact"/>
        <w:ind w:left="178"/>
      </w:pPr>
      <w:r>
        <w:rPr>
          <w:rFonts w:ascii="Lucida Sans Unicode" w:hAnsi="Lucida Sans Unicode"/>
          <w:color w:val="A7A8AC"/>
          <w:w w:val="95"/>
          <w:sz w:val="10"/>
        </w:rPr>
        <w:t>▶ </w:t>
      </w:r>
      <w:r>
        <w:rPr>
          <w:rFonts w:ascii="Calibri" w:hAnsi="Calibri"/>
          <w:color w:val="231F1F"/>
          <w:w w:val="105"/>
        </w:rPr>
        <w:t>Antidiabetics: </w:t>
      </w:r>
      <w:r>
        <w:rPr>
          <w:color w:val="231F1F"/>
          <w:w w:val="105"/>
        </w:rPr>
        <w:t>sulfonamides rarely enhance the effects of</w:t>
      </w:r>
    </w:p>
    <w:p>
      <w:pPr>
        <w:spacing w:line="130" w:lineRule="exact" w:before="0"/>
        <w:ind w:left="278" w:right="0" w:firstLine="0"/>
        <w:jc w:val="left"/>
        <w:rPr>
          <w:rFonts w:ascii="Calibri"/>
          <w:sz w:val="11"/>
        </w:rPr>
      </w:pPr>
      <w:r>
        <w:rPr>
          <w:rFonts w:ascii="Calibri"/>
          <w:color w:val="008356"/>
          <w:sz w:val="11"/>
        </w:rPr>
        <w:t>SULFONYLUREAS</w:t>
      </w:r>
    </w:p>
    <w:p>
      <w:pPr>
        <w:spacing w:line="220" w:lineRule="auto" w:before="5"/>
        <w:ind w:left="278" w:right="76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sulfonamides possibly increase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ind w:left="278" w:right="585" w:hanging="100"/>
        <w:rPr>
          <w:rFonts w:ascii="Calibri"/>
          <w:sz w:val="11"/>
        </w:rPr>
      </w:pPr>
      <w:r>
        <w:rPr>
          <w:rFonts w:ascii="Arial"/>
          <w:color w:val="231F1F"/>
          <w:w w:val="355"/>
          <w:position w:val="1"/>
          <w:sz w:val="7"/>
        </w:rPr>
        <w:t>l </w:t>
      </w:r>
      <w:r>
        <w:rPr>
          <w:rFonts w:ascii="Calibri"/>
          <w:color w:val="231F1F"/>
          <w:w w:val="110"/>
        </w:rPr>
        <w:t>Antimalarials: </w:t>
      </w:r>
      <w:r>
        <w:rPr>
          <w:color w:val="231F1F"/>
          <w:w w:val="110"/>
        </w:rPr>
        <w:t>increased antifolate effect when </w:t>
      </w:r>
      <w:r>
        <w:rPr>
          <w:color w:val="231F1F"/>
          <w:spacing w:val="-2"/>
          <w:w w:val="110"/>
        </w:rPr>
        <w:t>sulfonamides </w:t>
      </w:r>
      <w:r>
        <w:rPr>
          <w:color w:val="231F1F"/>
          <w:w w:val="110"/>
        </w:rPr>
        <w:t>given with </w:t>
      </w:r>
      <w:r>
        <w:rPr>
          <w:rFonts w:ascii="Arial"/>
          <w:color w:val="231F1F"/>
          <w:w w:val="355"/>
          <w:position w:val="1"/>
          <w:sz w:val="7"/>
        </w:rPr>
        <w:t>l </w:t>
      </w:r>
      <w:r>
        <w:rPr>
          <w:rFonts w:ascii="Calibri"/>
          <w:color w:val="008356"/>
          <w:spacing w:val="4"/>
          <w:w w:val="110"/>
          <w:sz w:val="11"/>
        </w:rPr>
        <w:t>PYRIMETHAMINE</w:t>
      </w:r>
    </w:p>
    <w:p>
      <w:pPr>
        <w:pStyle w:val="BodyText"/>
        <w:spacing w:line="143" w:lineRule="exact"/>
        <w:ind w:left="178"/>
      </w:pPr>
      <w:r>
        <w:rPr>
          <w:rFonts w:ascii="Arial"/>
          <w:color w:val="231F1F"/>
          <w:w w:val="355"/>
          <w:position w:val="1"/>
          <w:sz w:val="7"/>
        </w:rPr>
        <w:t>l </w:t>
      </w:r>
      <w:r>
        <w:rPr>
          <w:rFonts w:ascii="Calibri"/>
          <w:color w:val="231F1F"/>
          <w:w w:val="110"/>
        </w:rPr>
        <w:t>Antipsychotics: </w:t>
      </w:r>
      <w:r>
        <w:rPr>
          <w:color w:val="231F1F"/>
          <w:w w:val="110"/>
        </w:rPr>
        <w:t>avoid concomitant use of sulfonamides with</w:t>
      </w:r>
    </w:p>
    <w:p>
      <w:pPr>
        <w:spacing w:line="140" w:lineRule="exact" w:before="0"/>
        <w:ind w:left="27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left="278" w:right="713" w:hanging="100"/>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Azathioprine:</w:t>
      </w:r>
      <w:r>
        <w:rPr>
          <w:rFonts w:ascii="Calibri"/>
          <w:color w:val="231F1F"/>
          <w:spacing w:val="-15"/>
          <w:w w:val="115"/>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haematological</w:t>
      </w:r>
      <w:r>
        <w:rPr>
          <w:color w:val="231F1F"/>
          <w:spacing w:val="-19"/>
          <w:w w:val="115"/>
        </w:rPr>
        <w:t> </w:t>
      </w:r>
      <w:r>
        <w:rPr>
          <w:color w:val="231F1F"/>
          <w:w w:val="115"/>
        </w:rPr>
        <w:t>toxicity</w:t>
      </w:r>
      <w:r>
        <w:rPr>
          <w:color w:val="231F1F"/>
          <w:spacing w:val="-19"/>
          <w:w w:val="115"/>
        </w:rPr>
        <w:t> </w:t>
      </w:r>
      <w:r>
        <w:rPr>
          <w:color w:val="231F1F"/>
          <w:spacing w:val="-4"/>
          <w:w w:val="115"/>
        </w:rPr>
        <w:t>when </w:t>
      </w:r>
      <w:r>
        <w:rPr>
          <w:color w:val="231F1F"/>
          <w:w w:val="115"/>
        </w:rPr>
        <w:t>sulfamethoxazole (as co-trimoxazole) given</w:t>
      </w:r>
      <w:r>
        <w:rPr>
          <w:color w:val="231F1F"/>
          <w:spacing w:val="-23"/>
          <w:w w:val="115"/>
        </w:rPr>
        <w:t> </w:t>
      </w:r>
      <w:r>
        <w:rPr>
          <w:color w:val="231F1F"/>
          <w:w w:val="115"/>
        </w:rPr>
        <w:t>with</w:t>
      </w:r>
    </w:p>
    <w:p>
      <w:pPr>
        <w:spacing w:line="133" w:lineRule="exact" w:before="11"/>
        <w:ind w:left="278" w:right="0" w:firstLine="0"/>
        <w:jc w:val="left"/>
        <w:rPr>
          <w:rFonts w:ascii="Calibri"/>
          <w:sz w:val="11"/>
        </w:rPr>
      </w:pPr>
      <w:r>
        <w:rPr>
          <w:rFonts w:ascii="Arial"/>
          <w:color w:val="231F1F"/>
          <w:w w:val="355"/>
          <w:position w:val="1"/>
          <w:sz w:val="7"/>
        </w:rPr>
        <w:t>l </w:t>
      </w:r>
      <w:r>
        <w:rPr>
          <w:rFonts w:ascii="Calibri"/>
          <w:color w:val="008356"/>
          <w:w w:val="115"/>
          <w:sz w:val="11"/>
        </w:rPr>
        <w:t>AZATHIOPRINE</w:t>
      </w:r>
    </w:p>
    <w:p>
      <w:pPr>
        <w:pStyle w:val="BodyText"/>
        <w:ind w:left="278" w:right="631"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increased risk of nephrotoxicity when sulfonamides given with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CICLOSPORIN</w:t>
      </w:r>
      <w:r>
        <w:rPr>
          <w:color w:val="231F1F"/>
          <w:spacing w:val="4"/>
          <w:w w:val="110"/>
        </w:rPr>
        <w:t>; </w:t>
      </w:r>
      <w:r>
        <w:rPr>
          <w:color w:val="231F1F"/>
          <w:w w:val="110"/>
        </w:rPr>
        <w:t>sulfadiazine possibly reduces plasma concentration of </w:t>
      </w:r>
      <w:r>
        <w:rPr>
          <w:rFonts w:ascii="Arial"/>
          <w:color w:val="231F1F"/>
          <w:w w:val="355"/>
          <w:position w:val="1"/>
          <w:sz w:val="7"/>
        </w:rPr>
        <w:t>l </w:t>
      </w:r>
      <w:r>
        <w:rPr>
          <w:rFonts w:ascii="Calibri"/>
          <w:color w:val="008356"/>
          <w:spacing w:val="4"/>
          <w:w w:val="110"/>
          <w:sz w:val="11"/>
        </w:rPr>
        <w:t>CICLOSPORIN</w:t>
      </w:r>
    </w:p>
    <w:p>
      <w:pPr>
        <w:pStyle w:val="BodyText"/>
        <w:ind w:left="278" w:right="761" w:hanging="100"/>
      </w:pPr>
      <w:r>
        <w:rPr>
          <w:rFonts w:ascii="Arial"/>
          <w:color w:val="231F1F"/>
          <w:w w:val="115"/>
          <w:position w:val="1"/>
          <w:sz w:val="7"/>
        </w:rPr>
        <w:t>l </w:t>
      </w:r>
      <w:r>
        <w:rPr>
          <w:rFonts w:ascii="Calibri"/>
          <w:color w:val="231F1F"/>
          <w:w w:val="115"/>
        </w:rPr>
        <w:t>Cytotoxics: </w:t>
      </w:r>
      <w:r>
        <w:rPr>
          <w:color w:val="231F1F"/>
          <w:w w:val="115"/>
        </w:rPr>
        <w:t>increased risk of haematological toxicity when </w:t>
      </w:r>
      <w:r>
        <w:rPr>
          <w:color w:val="231F1F"/>
          <w:w w:val="120"/>
        </w:rPr>
        <w:t>sulfamethoxazole (as co-trimoxazole) given with</w:t>
      </w:r>
    </w:p>
    <w:p>
      <w:pPr>
        <w:spacing w:before="2"/>
        <w:ind w:left="278" w:right="616" w:hanging="1"/>
        <w:jc w:val="left"/>
        <w:rPr>
          <w:sz w:val="12"/>
        </w:rPr>
      </w:pPr>
      <w:r>
        <w:rPr>
          <w:rFonts w:ascii="Arial"/>
          <w:color w:val="231F1F"/>
          <w:w w:val="350"/>
          <w:position w:val="1"/>
          <w:sz w:val="7"/>
        </w:rPr>
        <w:t>l</w:t>
      </w:r>
      <w:r>
        <w:rPr>
          <w:rFonts w:ascii="Arial"/>
          <w:color w:val="231F1F"/>
          <w:spacing w:val="-59"/>
          <w:w w:val="350"/>
          <w:position w:val="1"/>
          <w:sz w:val="7"/>
        </w:rPr>
        <w:t> </w:t>
      </w:r>
      <w:r>
        <w:rPr>
          <w:rFonts w:ascii="Calibri"/>
          <w:color w:val="008356"/>
          <w:spacing w:val="4"/>
          <w:w w:val="110"/>
          <w:sz w:val="11"/>
        </w:rPr>
        <w:t>MERCAPTOPURINE</w:t>
      </w:r>
      <w:r>
        <w:rPr>
          <w:rFonts w:ascii="Calibri"/>
          <w:color w:val="008356"/>
          <w:spacing w:val="-15"/>
          <w:w w:val="110"/>
          <w:sz w:val="11"/>
        </w:rPr>
        <w:t> </w:t>
      </w:r>
      <w:r>
        <w:rPr>
          <w:color w:val="231F1F"/>
          <w:w w:val="110"/>
          <w:sz w:val="12"/>
        </w:rPr>
        <w:t>or</w:t>
      </w:r>
      <w:r>
        <w:rPr>
          <w:color w:val="231F1F"/>
          <w:spacing w:val="-22"/>
          <w:w w:val="110"/>
          <w:sz w:val="12"/>
        </w:rPr>
        <w:t> </w:t>
      </w:r>
      <w:r>
        <w:rPr>
          <w:rFonts w:ascii="Arial"/>
          <w:color w:val="231F1F"/>
          <w:w w:val="350"/>
          <w:position w:val="1"/>
          <w:sz w:val="7"/>
        </w:rPr>
        <w:t>l</w:t>
      </w:r>
      <w:r>
        <w:rPr>
          <w:rFonts w:ascii="Arial"/>
          <w:color w:val="231F1F"/>
          <w:spacing w:val="-59"/>
          <w:w w:val="350"/>
          <w:position w:val="1"/>
          <w:sz w:val="7"/>
        </w:rPr>
        <w:t> </w:t>
      </w:r>
      <w:r>
        <w:rPr>
          <w:rFonts w:ascii="Calibri"/>
          <w:color w:val="008356"/>
          <w:spacing w:val="4"/>
          <w:w w:val="110"/>
          <w:sz w:val="11"/>
        </w:rPr>
        <w:t>METHOTREXATE</w:t>
      </w:r>
      <w:r>
        <w:rPr>
          <w:color w:val="231F1F"/>
          <w:spacing w:val="4"/>
          <w:w w:val="110"/>
          <w:sz w:val="12"/>
        </w:rPr>
        <w:t>;</w:t>
      </w:r>
      <w:r>
        <w:rPr>
          <w:color w:val="231F1F"/>
          <w:spacing w:val="-22"/>
          <w:w w:val="110"/>
          <w:sz w:val="12"/>
        </w:rPr>
        <w:t> </w:t>
      </w:r>
      <w:r>
        <w:rPr>
          <w:color w:val="231F1F"/>
          <w:w w:val="110"/>
          <w:sz w:val="12"/>
        </w:rPr>
        <w:t>sulfonamides</w:t>
      </w:r>
      <w:r>
        <w:rPr>
          <w:color w:val="231F1F"/>
          <w:spacing w:val="-23"/>
          <w:w w:val="110"/>
          <w:sz w:val="12"/>
        </w:rPr>
        <w:t> </w:t>
      </w:r>
      <w:r>
        <w:rPr>
          <w:color w:val="231F1F"/>
          <w:w w:val="110"/>
          <w:sz w:val="12"/>
        </w:rPr>
        <w:t>increase risk of </w:t>
      </w:r>
      <w:r>
        <w:rPr>
          <w:rFonts w:ascii="Calibri"/>
          <w:color w:val="008356"/>
          <w:spacing w:val="4"/>
          <w:w w:val="110"/>
          <w:sz w:val="11"/>
        </w:rPr>
        <w:t>METHOTREXATE</w:t>
      </w:r>
      <w:r>
        <w:rPr>
          <w:rFonts w:ascii="Calibri"/>
          <w:color w:val="008356"/>
          <w:spacing w:val="1"/>
          <w:w w:val="110"/>
          <w:sz w:val="11"/>
        </w:rPr>
        <w:t> </w:t>
      </w:r>
      <w:r>
        <w:rPr>
          <w:color w:val="231F1F"/>
          <w:w w:val="110"/>
          <w:sz w:val="12"/>
        </w:rPr>
        <w:t>toxicity</w:t>
      </w:r>
    </w:p>
    <w:p>
      <w:pPr>
        <w:pStyle w:val="BodyText"/>
        <w:spacing w:line="155" w:lineRule="exact"/>
        <w:ind w:left="178"/>
      </w:pPr>
      <w:r>
        <w:rPr>
          <w:rFonts w:ascii="Lucida Sans Unicode" w:hAnsi="Lucida Sans Unicode"/>
          <w:color w:val="A7A8AC"/>
          <w:w w:val="95"/>
          <w:sz w:val="10"/>
        </w:rPr>
        <w:t>▶ </w:t>
      </w:r>
      <w:r>
        <w:rPr>
          <w:rFonts w:ascii="Calibri" w:hAnsi="Calibri"/>
          <w:color w:val="231F1F"/>
          <w:w w:val="105"/>
        </w:rPr>
        <w:t>Potassium Aminobenzoate: </w:t>
      </w:r>
      <w:r>
        <w:rPr>
          <w:color w:val="231F1F"/>
          <w:w w:val="105"/>
        </w:rPr>
        <w:t>effects of sulfonamides inhibited by</w:t>
      </w:r>
    </w:p>
    <w:p>
      <w:pPr>
        <w:spacing w:line="130" w:lineRule="exact" w:before="0"/>
        <w:ind w:left="278" w:right="0" w:firstLine="0"/>
        <w:jc w:val="left"/>
        <w:rPr>
          <w:rFonts w:ascii="Calibri"/>
          <w:sz w:val="11"/>
        </w:rPr>
      </w:pPr>
      <w:r>
        <w:rPr>
          <w:rFonts w:ascii="Calibri"/>
          <w:color w:val="008356"/>
          <w:sz w:val="11"/>
        </w:rPr>
        <w:t>POTASSIUM AMINOBENZOATE</w:t>
      </w:r>
    </w:p>
    <w:p>
      <w:pPr>
        <w:spacing w:line="220" w:lineRule="auto" w:before="7"/>
        <w:ind w:left="278" w:right="585"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4"/>
        <w:ind w:left="178"/>
      </w:pPr>
      <w:r>
        <w:rPr>
          <w:rFonts w:ascii="Trebuchet MS"/>
          <w:color w:val="008356"/>
          <w:w w:val="105"/>
        </w:rPr>
        <w:t>Sulfonylureas </w:t>
      </w:r>
      <w:r>
        <w:rPr>
          <w:i/>
          <w:color w:val="231F1F"/>
          <w:w w:val="105"/>
        </w:rPr>
        <w:t>see </w:t>
      </w:r>
      <w:r>
        <w:rPr>
          <w:color w:val="231F1F"/>
          <w:w w:val="105"/>
        </w:rPr>
        <w:t>Antidiabetics</w:t>
      </w:r>
    </w:p>
    <w:p>
      <w:pPr>
        <w:spacing w:before="9"/>
        <w:ind w:left="178" w:right="0" w:firstLine="0"/>
        <w:jc w:val="left"/>
        <w:rPr>
          <w:sz w:val="12"/>
        </w:rPr>
      </w:pPr>
      <w:r>
        <w:rPr>
          <w:rFonts w:ascii="Trebuchet MS"/>
          <w:color w:val="008356"/>
          <w:w w:val="105"/>
          <w:sz w:val="12"/>
        </w:rPr>
        <w:t>Sulindac </w:t>
      </w:r>
      <w:r>
        <w:rPr>
          <w:i/>
          <w:color w:val="231F1F"/>
          <w:w w:val="105"/>
          <w:sz w:val="12"/>
        </w:rPr>
        <w:t>see </w:t>
      </w:r>
      <w:r>
        <w:rPr>
          <w:color w:val="231F1F"/>
          <w:w w:val="105"/>
          <w:sz w:val="12"/>
        </w:rPr>
        <w:t>NSAIDs</w:t>
      </w:r>
    </w:p>
    <w:p>
      <w:pPr>
        <w:pStyle w:val="BodyText"/>
        <w:spacing w:before="11"/>
        <w:ind w:left="178"/>
      </w:pPr>
      <w:r>
        <w:rPr>
          <w:rFonts w:ascii="Trebuchet MS"/>
          <w:color w:val="008356"/>
          <w:w w:val="110"/>
        </w:rPr>
        <w:t>Sulpiride </w:t>
      </w:r>
      <w:r>
        <w:rPr>
          <w:i/>
          <w:color w:val="231F1F"/>
          <w:w w:val="110"/>
        </w:rPr>
        <w:t>see </w:t>
      </w:r>
      <w:r>
        <w:rPr>
          <w:color w:val="231F1F"/>
          <w:w w:val="110"/>
        </w:rPr>
        <w:t>Antipsychotics</w:t>
      </w:r>
    </w:p>
    <w:p>
      <w:pPr>
        <w:pStyle w:val="BodyText"/>
        <w:spacing w:before="10"/>
        <w:ind w:left="178"/>
      </w:pPr>
      <w:r>
        <w:rPr>
          <w:rFonts w:ascii="Trebuchet MS"/>
          <w:color w:val="008356"/>
          <w:w w:val="110"/>
        </w:rPr>
        <w:t>Sumatriptan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0"/>
        <w:ind w:left="178"/>
        <w:rPr>
          <w:rFonts w:ascii="Trebuchet MS"/>
        </w:rPr>
      </w:pPr>
      <w:r>
        <w:rPr>
          <w:rFonts w:ascii="Trebuchet MS"/>
          <w:color w:val="008356"/>
          <w:w w:val="105"/>
        </w:rPr>
        <w:t>Sunitinib</w:t>
      </w:r>
    </w:p>
    <w:p>
      <w:pPr>
        <w:pStyle w:val="BodyText"/>
        <w:spacing w:line="152" w:lineRule="exact" w:before="1"/>
        <w:ind w:left="178"/>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sunitinib accelerated by</w:t>
      </w:r>
    </w:p>
    <w:p>
      <w:pPr>
        <w:spacing w:line="134" w:lineRule="exact" w:before="0"/>
        <w:ind w:left="278" w:right="0" w:firstLine="0"/>
        <w:jc w:val="left"/>
        <w:rPr>
          <w:sz w:val="12"/>
        </w:rPr>
      </w:pPr>
      <w:r>
        <w:rPr>
          <w:rFonts w:ascii="Calibri"/>
          <w:color w:val="008356"/>
          <w:w w:val="115"/>
          <w:sz w:val="11"/>
        </w:rPr>
        <w:t>RIFAMPICIN </w:t>
      </w:r>
      <w:r>
        <w:rPr>
          <w:color w:val="231F1F"/>
          <w:w w:val="115"/>
          <w:sz w:val="12"/>
        </w:rPr>
        <w:t>(reduced plasma concentration)</w:t>
      </w:r>
    </w:p>
    <w:p>
      <w:pPr>
        <w:pStyle w:val="BodyText"/>
        <w:spacing w:line="151" w:lineRule="exact"/>
        <w:ind w:left="178"/>
      </w:pPr>
      <w:r>
        <w:rPr>
          <w:rFonts w:ascii="Lucida Sans Unicode" w:hAnsi="Lucida Sans Unicode"/>
          <w:color w:val="A7A8AC"/>
          <w:w w:val="95"/>
          <w:sz w:val="10"/>
        </w:rPr>
        <w:t>▶   </w:t>
      </w:r>
      <w:r>
        <w:rPr>
          <w:rFonts w:ascii="Calibri" w:hAnsi="Calibri"/>
          <w:color w:val="231F1F"/>
          <w:w w:val="105"/>
        </w:rPr>
        <w:t>Antifungals:  </w:t>
      </w:r>
      <w:r>
        <w:rPr>
          <w:color w:val="231F1F"/>
          <w:w w:val="105"/>
        </w:rPr>
        <w:t>metabolism of sunitinib inhibited </w:t>
      </w:r>
      <w:r>
        <w:rPr>
          <w:color w:val="231F1F"/>
          <w:spacing w:val="11"/>
          <w:w w:val="105"/>
        </w:rPr>
        <w:t> </w:t>
      </w:r>
      <w:r>
        <w:rPr>
          <w:color w:val="231F1F"/>
          <w:w w:val="105"/>
        </w:rPr>
        <w:t>by</w:t>
      </w:r>
    </w:p>
    <w:p>
      <w:pPr>
        <w:spacing w:line="134" w:lineRule="exact" w:before="0"/>
        <w:ind w:left="278" w:right="0" w:firstLine="0"/>
        <w:jc w:val="left"/>
        <w:rPr>
          <w:sz w:val="12"/>
        </w:rPr>
      </w:pPr>
      <w:r>
        <w:rPr>
          <w:rFonts w:ascii="Calibri"/>
          <w:color w:val="008356"/>
          <w:spacing w:val="4"/>
          <w:w w:val="110"/>
          <w:sz w:val="11"/>
        </w:rPr>
        <w:t>KETOCONAZOLE </w:t>
      </w:r>
      <w:r>
        <w:rPr>
          <w:color w:val="231F1F"/>
          <w:w w:val="110"/>
          <w:sz w:val="12"/>
        </w:rPr>
        <w:t>(increased plasma</w:t>
      </w:r>
      <w:r>
        <w:rPr>
          <w:color w:val="231F1F"/>
          <w:spacing w:val="-11"/>
          <w:w w:val="110"/>
          <w:sz w:val="12"/>
        </w:rPr>
        <w:t> </w:t>
      </w:r>
      <w:r>
        <w:rPr>
          <w:color w:val="231F1F"/>
          <w:w w:val="110"/>
          <w:sz w:val="12"/>
        </w:rPr>
        <w:t>concentration)</w:t>
      </w:r>
    </w:p>
    <w:p>
      <w:pPr>
        <w:pStyle w:val="BodyText"/>
        <w:spacing w:line="145" w:lineRule="exact"/>
        <w:ind w:left="17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7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145" w:lineRule="exact"/>
        <w:ind w:left="178"/>
      </w:pPr>
      <w:r>
        <w:rPr>
          <w:rFonts w:ascii="Arial"/>
          <w:color w:val="231F1F"/>
          <w:w w:val="355"/>
          <w:position w:val="1"/>
          <w:sz w:val="7"/>
        </w:rPr>
        <w:t>l </w:t>
      </w:r>
      <w:r>
        <w:rPr>
          <w:rFonts w:ascii="Calibri"/>
          <w:color w:val="231F1F"/>
          <w:w w:val="115"/>
        </w:rPr>
        <w:t>Antivirals: </w:t>
      </w:r>
      <w:r>
        <w:rPr>
          <w:color w:val="231F1F"/>
          <w:w w:val="115"/>
        </w:rPr>
        <w:t>avoidance of sunitinib advised by manufacturer of</w:t>
      </w:r>
    </w:p>
    <w:p>
      <w:pPr>
        <w:spacing w:before="7"/>
        <w:ind w:left="278" w:right="0" w:firstLine="0"/>
        <w:jc w:val="left"/>
        <w:rPr>
          <w:rFonts w:ascii="Calibri"/>
          <w:sz w:val="11"/>
        </w:rPr>
      </w:pPr>
      <w:r>
        <w:rPr>
          <w:rFonts w:ascii="Arial"/>
          <w:color w:val="231F1F"/>
          <w:w w:val="355"/>
          <w:position w:val="1"/>
          <w:sz w:val="7"/>
        </w:rPr>
        <w:t>l </w:t>
      </w:r>
      <w:r>
        <w:rPr>
          <w:rFonts w:ascii="Calibri"/>
          <w:color w:val="008356"/>
          <w:w w:val="120"/>
          <w:sz w:val="11"/>
        </w:rPr>
        <w:t>BOCEPREVIR</w:t>
      </w:r>
    </w:p>
    <w:p>
      <w:pPr>
        <w:pStyle w:val="BodyText"/>
        <w:spacing w:before="7"/>
        <w:ind w:left="178"/>
      </w:pPr>
      <w:r>
        <w:rPr>
          <w:rFonts w:ascii="Trebuchet MS"/>
          <w:color w:val="008356"/>
          <w:w w:val="105"/>
        </w:rPr>
        <w:t>Suxamethonium </w:t>
      </w:r>
      <w:r>
        <w:rPr>
          <w:i/>
          <w:color w:val="231F1F"/>
          <w:w w:val="105"/>
        </w:rPr>
        <w:t>see </w:t>
      </w:r>
      <w:r>
        <w:rPr>
          <w:color w:val="231F1F"/>
          <w:w w:val="105"/>
        </w:rPr>
        <w:t>Muscle Relaxants</w:t>
      </w:r>
    </w:p>
    <w:p>
      <w:pPr>
        <w:pStyle w:val="BodyText"/>
        <w:spacing w:line="139" w:lineRule="exact" w:before="11"/>
        <w:ind w:left="178"/>
        <w:rPr>
          <w:rFonts w:ascii="Trebuchet MS"/>
        </w:rPr>
      </w:pPr>
      <w:r>
        <w:rPr>
          <w:rFonts w:ascii="Trebuchet MS"/>
          <w:color w:val="008356"/>
        </w:rPr>
        <w:t>Sympathomimetics</w:t>
      </w:r>
    </w:p>
    <w:p>
      <w:pPr>
        <w:pStyle w:val="BodyText"/>
        <w:spacing w:line="247" w:lineRule="auto"/>
        <w:ind w:left="278" w:right="915" w:hanging="100"/>
        <w:rPr>
          <w:rFonts w:ascii="Calibri"/>
          <w:sz w:val="11"/>
        </w:rPr>
      </w:pPr>
      <w:r>
        <w:rPr>
          <w:rFonts w:ascii="Arial"/>
          <w:color w:val="231F1F"/>
          <w:w w:val="355"/>
          <w:position w:val="1"/>
          <w:sz w:val="7"/>
        </w:rPr>
        <w:t>l</w:t>
      </w:r>
      <w:r>
        <w:rPr>
          <w:rFonts w:ascii="Arial"/>
          <w:color w:val="231F1F"/>
          <w:spacing w:val="-52"/>
          <w:w w:val="355"/>
          <w:position w:val="1"/>
          <w:sz w:val="7"/>
        </w:rPr>
        <w:t> </w:t>
      </w:r>
      <w:r>
        <w:rPr>
          <w:rFonts w:ascii="Calibri"/>
          <w:color w:val="231F1F"/>
          <w:w w:val="110"/>
        </w:rPr>
        <w:t>Adrenergic Neurone Blockers: </w:t>
      </w:r>
      <w:r>
        <w:rPr>
          <w:color w:val="231F1F"/>
          <w:w w:val="110"/>
        </w:rPr>
        <w:t>ephedrine, isometheptene, metaraminol, methylphenidate, noradrenaline (norepinephrine), oxymetazoline, phenylephrine, pseudoephedrine and xylometazoline antagonise hypotensive</w:t>
      </w:r>
      <w:r>
        <w:rPr>
          <w:color w:val="231F1F"/>
          <w:spacing w:val="-17"/>
          <w:w w:val="110"/>
        </w:rPr>
        <w:t> </w:t>
      </w:r>
      <w:r>
        <w:rPr>
          <w:color w:val="231F1F"/>
          <w:w w:val="110"/>
        </w:rPr>
        <w:t>effect</w:t>
      </w:r>
      <w:r>
        <w:rPr>
          <w:color w:val="231F1F"/>
          <w:spacing w:val="-16"/>
          <w:w w:val="110"/>
        </w:rPr>
        <w:t> </w:t>
      </w:r>
      <w:r>
        <w:rPr>
          <w:color w:val="231F1F"/>
          <w:w w:val="110"/>
        </w:rPr>
        <w:t>of</w:t>
      </w:r>
      <w:r>
        <w:rPr>
          <w:color w:val="231F1F"/>
          <w:spacing w:val="-16"/>
          <w:w w:val="110"/>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ADRENERGIC</w:t>
      </w:r>
      <w:r>
        <w:rPr>
          <w:rFonts w:ascii="Calibri"/>
          <w:color w:val="008356"/>
          <w:spacing w:val="-10"/>
          <w:w w:val="110"/>
          <w:sz w:val="11"/>
        </w:rPr>
        <w:t> </w:t>
      </w:r>
      <w:r>
        <w:rPr>
          <w:rFonts w:ascii="Calibri"/>
          <w:color w:val="008356"/>
          <w:spacing w:val="4"/>
          <w:w w:val="110"/>
          <w:sz w:val="11"/>
        </w:rPr>
        <w:t>NEURONE</w:t>
      </w:r>
      <w:r>
        <w:rPr>
          <w:rFonts w:ascii="Calibri"/>
          <w:color w:val="008356"/>
          <w:spacing w:val="-9"/>
          <w:w w:val="110"/>
          <w:sz w:val="11"/>
        </w:rPr>
        <w:t> </w:t>
      </w:r>
      <w:r>
        <w:rPr>
          <w:rFonts w:ascii="Calibri"/>
          <w:color w:val="008356"/>
          <w:spacing w:val="4"/>
          <w:w w:val="110"/>
          <w:sz w:val="11"/>
        </w:rPr>
        <w:t>BLOCKERS</w:t>
      </w:r>
      <w:r>
        <w:rPr>
          <w:color w:val="231F1F"/>
          <w:spacing w:val="4"/>
          <w:w w:val="110"/>
        </w:rPr>
        <w:t>; </w:t>
      </w:r>
      <w:r>
        <w:rPr>
          <w:color w:val="231F1F"/>
          <w:w w:val="110"/>
        </w:rPr>
        <w:t>dexamfetamine and lisdexamfetamine antagonise hypotensive</w:t>
      </w:r>
      <w:r>
        <w:rPr>
          <w:color w:val="231F1F"/>
          <w:spacing w:val="-5"/>
          <w:w w:val="110"/>
        </w:rPr>
        <w:t> </w:t>
      </w:r>
      <w:r>
        <w:rPr>
          <w:color w:val="231F1F"/>
          <w:w w:val="110"/>
        </w:rPr>
        <w:t>effect</w:t>
      </w:r>
      <w:r>
        <w:rPr>
          <w:color w:val="231F1F"/>
          <w:spacing w:val="-6"/>
          <w:w w:val="110"/>
        </w:rPr>
        <w:t> </w:t>
      </w:r>
      <w:r>
        <w:rPr>
          <w:color w:val="231F1F"/>
          <w:w w:val="110"/>
        </w:rPr>
        <w:t>of</w:t>
      </w:r>
      <w:r>
        <w:rPr>
          <w:color w:val="231F1F"/>
          <w:spacing w:val="-4"/>
          <w:w w:val="110"/>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0"/>
          <w:sz w:val="11"/>
        </w:rPr>
        <w:t>GUANETHIDINE</w:t>
      </w:r>
      <w:r>
        <w:rPr>
          <w:color w:val="231F1F"/>
          <w:spacing w:val="4"/>
          <w:w w:val="110"/>
        </w:rPr>
        <w:t>;</w:t>
      </w:r>
      <w:r>
        <w:rPr>
          <w:color w:val="231F1F"/>
          <w:spacing w:val="-3"/>
          <w:w w:val="110"/>
        </w:rPr>
        <w:t> </w:t>
      </w:r>
      <w:r>
        <w:rPr>
          <w:color w:val="231F1F"/>
          <w:w w:val="110"/>
        </w:rPr>
        <w:t>increased</w:t>
      </w:r>
      <w:r>
        <w:rPr>
          <w:color w:val="231F1F"/>
          <w:spacing w:val="-6"/>
          <w:w w:val="110"/>
        </w:rPr>
        <w:t> </w:t>
      </w:r>
      <w:r>
        <w:rPr>
          <w:color w:val="231F1F"/>
          <w:w w:val="110"/>
        </w:rPr>
        <w:t>risk</w:t>
      </w:r>
      <w:r>
        <w:rPr>
          <w:color w:val="231F1F"/>
          <w:spacing w:val="-4"/>
          <w:w w:val="110"/>
        </w:rPr>
        <w:t> </w:t>
      </w:r>
      <w:r>
        <w:rPr>
          <w:color w:val="231F1F"/>
          <w:w w:val="110"/>
        </w:rPr>
        <w:t>of hypertension when adrenaline  (epinephrine)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0"/>
          <w:sz w:val="11"/>
        </w:rPr>
        <w:t>GUANETHIDINE</w:t>
      </w:r>
    </w:p>
    <w:p>
      <w:pPr>
        <w:pStyle w:val="BodyText"/>
        <w:spacing w:line="154" w:lineRule="exact"/>
        <w:ind w:left="178"/>
      </w:pPr>
      <w:r>
        <w:rPr>
          <w:rFonts w:ascii="Lucida Sans Unicode" w:hAnsi="Lucida Sans Unicode"/>
          <w:color w:val="A7A8AC"/>
          <w:w w:val="95"/>
          <w:sz w:val="10"/>
        </w:rPr>
        <w:t>▶ </w:t>
      </w:r>
      <w:r>
        <w:rPr>
          <w:rFonts w:ascii="Calibri" w:hAnsi="Calibri"/>
          <w:color w:val="231F1F"/>
          <w:w w:val="105"/>
        </w:rPr>
        <w:t>Alcohol: </w:t>
      </w:r>
      <w:r>
        <w:rPr>
          <w:color w:val="231F1F"/>
          <w:w w:val="105"/>
        </w:rPr>
        <w:t>effects of methylphenidate possibly enhanced by</w:t>
      </w:r>
    </w:p>
    <w:p>
      <w:pPr>
        <w:spacing w:line="131" w:lineRule="exact" w:before="0"/>
        <w:ind w:left="278" w:right="0" w:firstLine="0"/>
        <w:jc w:val="left"/>
        <w:rPr>
          <w:rFonts w:ascii="Calibri"/>
          <w:sz w:val="11"/>
        </w:rPr>
      </w:pPr>
      <w:r>
        <w:rPr>
          <w:rFonts w:ascii="Calibri"/>
          <w:color w:val="008356"/>
          <w:sz w:val="11"/>
        </w:rPr>
        <w:t>ALCOHOL</w:t>
      </w:r>
    </w:p>
    <w:p>
      <w:pPr>
        <w:pStyle w:val="BodyText"/>
        <w:spacing w:line="242" w:lineRule="auto"/>
        <w:ind w:left="278" w:right="1168" w:hanging="100"/>
        <w:rPr>
          <w:rFonts w:ascii="Calibri" w:hAnsi="Calibri"/>
          <w:sz w:val="11"/>
        </w:rPr>
      </w:pPr>
      <w:r>
        <w:rPr>
          <w:rFonts w:ascii="Lucida Sans Unicode" w:hAnsi="Lucida Sans Unicode"/>
          <w:color w:val="A7A8AC"/>
          <w:w w:val="95"/>
          <w:sz w:val="10"/>
        </w:rPr>
        <w:t>▶ </w:t>
      </w:r>
      <w:r>
        <w:rPr>
          <w:rFonts w:ascii="Calibri" w:hAnsi="Calibri"/>
          <w:color w:val="231F1F"/>
          <w:w w:val="105"/>
        </w:rPr>
        <w:t>Alpha</w:t>
      </w:r>
      <w:r>
        <w:rPr>
          <w:rFonts w:ascii="Calibri" w:hAnsi="Calibri"/>
          <w:color w:val="231F1F"/>
          <w:w w:val="105"/>
          <w:vertAlign w:val="subscript"/>
        </w:rPr>
        <w:t>2</w:t>
      </w:r>
      <w:r>
        <w:rPr>
          <w:rFonts w:ascii="Calibri" w:hAnsi="Calibri"/>
          <w:color w:val="231F1F"/>
          <w:w w:val="105"/>
          <w:vertAlign w:val="baseline"/>
        </w:rPr>
        <w:t>-adrenoceptor Stimulants: </w:t>
      </w:r>
      <w:r>
        <w:rPr>
          <w:color w:val="231F1F"/>
          <w:w w:val="105"/>
          <w:vertAlign w:val="baseline"/>
        </w:rPr>
        <w:t>avoidance of sympathomimetics advised by manufacturer of </w:t>
      </w:r>
      <w:r>
        <w:rPr>
          <w:rFonts w:ascii="Calibri" w:hAnsi="Calibri"/>
          <w:color w:val="008356"/>
          <w:w w:val="105"/>
          <w:sz w:val="11"/>
          <w:vertAlign w:val="baseline"/>
        </w:rPr>
        <w:t>APRACLONIDINE</w:t>
      </w:r>
    </w:p>
    <w:p>
      <w:pPr>
        <w:pStyle w:val="BodyText"/>
        <w:spacing w:line="139" w:lineRule="exact"/>
        <w:ind w:left="178"/>
      </w:pPr>
      <w:r>
        <w:rPr>
          <w:rFonts w:ascii="Arial"/>
          <w:color w:val="231F1F"/>
          <w:w w:val="355"/>
          <w:position w:val="1"/>
          <w:sz w:val="7"/>
        </w:rPr>
        <w:t>l </w:t>
      </w:r>
      <w:r>
        <w:rPr>
          <w:rFonts w:ascii="Calibri"/>
          <w:color w:val="231F1F"/>
          <w:w w:val="115"/>
        </w:rPr>
        <w:t>Alpha-blockers: </w:t>
      </w:r>
      <w:r>
        <w:rPr>
          <w:color w:val="231F1F"/>
          <w:w w:val="115"/>
        </w:rPr>
        <w:t>avoid concomitant use of adrenaline</w:t>
      </w:r>
    </w:p>
    <w:p>
      <w:pPr>
        <w:spacing w:line="140" w:lineRule="exact" w:before="0"/>
        <w:ind w:left="278" w:right="0" w:firstLine="0"/>
        <w:jc w:val="left"/>
        <w:rPr>
          <w:rFonts w:ascii="Calibri"/>
          <w:sz w:val="11"/>
        </w:rPr>
      </w:pPr>
      <w:r>
        <w:rPr>
          <w:color w:val="231F1F"/>
          <w:w w:val="110"/>
          <w:sz w:val="12"/>
        </w:rPr>
        <w:t>(epinephrine) or dopamine with </w:t>
      </w:r>
      <w:r>
        <w:rPr>
          <w:rFonts w:ascii="Arial"/>
          <w:color w:val="231F1F"/>
          <w:w w:val="355"/>
          <w:position w:val="1"/>
          <w:sz w:val="7"/>
        </w:rPr>
        <w:t>l </w:t>
      </w:r>
      <w:r>
        <w:rPr>
          <w:rFonts w:ascii="Calibri"/>
          <w:color w:val="008356"/>
          <w:spacing w:val="4"/>
          <w:w w:val="110"/>
          <w:sz w:val="11"/>
        </w:rPr>
        <w:t>TOLAZOLINE</w:t>
      </w:r>
    </w:p>
    <w:p>
      <w:pPr>
        <w:pStyle w:val="BodyText"/>
        <w:spacing w:line="220" w:lineRule="auto" w:before="6"/>
        <w:ind w:left="278" w:right="765"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avoidance of ephedrine in children advised by manufacturer of </w:t>
      </w:r>
      <w:r>
        <w:rPr>
          <w:rFonts w:ascii="Calibri" w:hAnsi="Calibri"/>
          <w:color w:val="008356"/>
          <w:w w:val="105"/>
          <w:sz w:val="11"/>
        </w:rPr>
        <w:t>AMINOPHYLLINE</w:t>
      </w:r>
    </w:p>
    <w:p>
      <w:pPr>
        <w:spacing w:line="247" w:lineRule="auto" w:before="0"/>
        <w:ind w:left="278" w:right="604" w:hanging="100"/>
        <w:jc w:val="left"/>
        <w:rPr>
          <w:rFonts w:ascii="Calibri"/>
          <w:sz w:val="11"/>
        </w:rPr>
      </w:pPr>
      <w:r>
        <w:rPr>
          <w:rFonts w:ascii="Arial"/>
          <w:color w:val="231F1F"/>
          <w:w w:val="355"/>
          <w:position w:val="1"/>
          <w:sz w:val="7"/>
        </w:rPr>
        <w:t>l</w:t>
      </w:r>
      <w:r>
        <w:rPr>
          <w:rFonts w:ascii="Arial"/>
          <w:color w:val="231F1F"/>
          <w:spacing w:val="-40"/>
          <w:w w:val="355"/>
          <w:position w:val="1"/>
          <w:sz w:val="7"/>
        </w:rPr>
        <w:t> </w:t>
      </w:r>
      <w:r>
        <w:rPr>
          <w:rFonts w:ascii="Calibri"/>
          <w:color w:val="231F1F"/>
          <w:w w:val="110"/>
          <w:sz w:val="12"/>
        </w:rPr>
        <w:t>Anaesthetics,</w:t>
      </w:r>
      <w:r>
        <w:rPr>
          <w:rFonts w:ascii="Calibri"/>
          <w:color w:val="231F1F"/>
          <w:spacing w:val="-7"/>
          <w:w w:val="110"/>
          <w:sz w:val="12"/>
        </w:rPr>
        <w:t> </w:t>
      </w:r>
      <w:r>
        <w:rPr>
          <w:rFonts w:ascii="Calibri"/>
          <w:color w:val="231F1F"/>
          <w:w w:val="110"/>
          <w:sz w:val="12"/>
        </w:rPr>
        <w:t>General:</w:t>
      </w:r>
      <w:r>
        <w:rPr>
          <w:rFonts w:ascii="Calibri"/>
          <w:color w:val="231F1F"/>
          <w:spacing w:val="-6"/>
          <w:w w:val="110"/>
          <w:sz w:val="12"/>
        </w:rPr>
        <w:t> </w:t>
      </w:r>
      <w:r>
        <w:rPr>
          <w:color w:val="231F1F"/>
          <w:w w:val="110"/>
          <w:sz w:val="12"/>
        </w:rPr>
        <w:t>avoidance</w:t>
      </w:r>
      <w:r>
        <w:rPr>
          <w:color w:val="231F1F"/>
          <w:spacing w:val="-10"/>
          <w:w w:val="110"/>
          <w:sz w:val="12"/>
        </w:rPr>
        <w:t> </w:t>
      </w:r>
      <w:r>
        <w:rPr>
          <w:color w:val="231F1F"/>
          <w:w w:val="110"/>
          <w:sz w:val="12"/>
        </w:rPr>
        <w:t>of</w:t>
      </w:r>
      <w:r>
        <w:rPr>
          <w:color w:val="231F1F"/>
          <w:spacing w:val="-9"/>
          <w:w w:val="110"/>
          <w:sz w:val="12"/>
        </w:rPr>
        <w:t> </w:t>
      </w:r>
      <w:r>
        <w:rPr>
          <w:color w:val="231F1F"/>
          <w:w w:val="110"/>
          <w:sz w:val="12"/>
        </w:rPr>
        <w:t>sympathomimetics</w:t>
      </w:r>
      <w:r>
        <w:rPr>
          <w:color w:val="231F1F"/>
          <w:spacing w:val="-9"/>
          <w:w w:val="110"/>
          <w:sz w:val="12"/>
        </w:rPr>
        <w:t> </w:t>
      </w:r>
      <w:r>
        <w:rPr>
          <w:color w:val="231F1F"/>
          <w:w w:val="110"/>
          <w:sz w:val="12"/>
        </w:rPr>
        <w:t>advised by manufacturer of </w:t>
      </w:r>
      <w:r>
        <w:rPr>
          <w:rFonts w:ascii="Arial"/>
          <w:color w:val="231F1F"/>
          <w:w w:val="355"/>
          <w:position w:val="1"/>
          <w:sz w:val="7"/>
        </w:rPr>
        <w:t>l </w:t>
      </w:r>
      <w:r>
        <w:rPr>
          <w:rFonts w:ascii="Calibri"/>
          <w:color w:val="008356"/>
          <w:spacing w:val="4"/>
          <w:w w:val="110"/>
          <w:sz w:val="11"/>
        </w:rPr>
        <w:t>ISOFLURANE </w:t>
      </w:r>
      <w:r>
        <w:rPr>
          <w:color w:val="231F1F"/>
          <w:w w:val="110"/>
          <w:sz w:val="12"/>
        </w:rPr>
        <w:t>(risk of ventricular arrhythmias); increased risk of arrhythmias when adrenaline (epinephrine) or  noradrenaline  (norepinephrine)  given  with</w:t>
      </w:r>
      <w:r>
        <w:rPr>
          <w:color w:val="231F1F"/>
          <w:w w:val="110"/>
          <w:position w:val="1"/>
          <w:sz w:val="12"/>
        </w:rPr>
        <w:t> </w:t>
      </w:r>
      <w:r>
        <w:rPr>
          <w:rFonts w:ascii="Arial"/>
          <w:color w:val="231F1F"/>
          <w:w w:val="355"/>
          <w:position w:val="1"/>
          <w:sz w:val="7"/>
        </w:rPr>
        <w:t>l </w:t>
      </w:r>
      <w:r>
        <w:rPr>
          <w:rFonts w:ascii="Calibri"/>
          <w:color w:val="008356"/>
          <w:spacing w:val="3"/>
          <w:w w:val="110"/>
          <w:sz w:val="11"/>
        </w:rPr>
        <w:t>VOLATILE </w:t>
      </w:r>
      <w:r>
        <w:rPr>
          <w:rFonts w:ascii="Calibri"/>
          <w:color w:val="008356"/>
          <w:spacing w:val="4"/>
          <w:w w:val="110"/>
          <w:sz w:val="11"/>
        </w:rPr>
        <w:t>LIQUID GENERAL ANAESTHETICS</w:t>
      </w:r>
      <w:r>
        <w:rPr>
          <w:color w:val="231F1F"/>
          <w:spacing w:val="4"/>
          <w:w w:val="110"/>
          <w:sz w:val="12"/>
        </w:rPr>
        <w:t>; </w:t>
      </w:r>
      <w:r>
        <w:rPr>
          <w:color w:val="231F1F"/>
          <w:w w:val="110"/>
          <w:sz w:val="12"/>
        </w:rPr>
        <w:t>increased risk of hypertension when methylphenidate given with </w:t>
      </w:r>
      <w:r>
        <w:rPr>
          <w:rFonts w:ascii="Arial"/>
          <w:color w:val="231F1F"/>
          <w:w w:val="355"/>
          <w:position w:val="1"/>
          <w:sz w:val="7"/>
        </w:rPr>
        <w:t>l </w:t>
      </w:r>
      <w:r>
        <w:rPr>
          <w:rFonts w:ascii="Calibri"/>
          <w:color w:val="008356"/>
          <w:spacing w:val="4"/>
          <w:w w:val="110"/>
          <w:sz w:val="11"/>
        </w:rPr>
        <w:t>VOLATILE LIQUID GENERAL</w:t>
      </w:r>
      <w:r>
        <w:rPr>
          <w:rFonts w:ascii="Calibri"/>
          <w:color w:val="008356"/>
          <w:spacing w:val="1"/>
          <w:w w:val="110"/>
          <w:sz w:val="11"/>
        </w:rPr>
        <w:t> </w:t>
      </w:r>
      <w:r>
        <w:rPr>
          <w:rFonts w:ascii="Calibri"/>
          <w:color w:val="008356"/>
          <w:spacing w:val="5"/>
          <w:w w:val="110"/>
          <w:sz w:val="11"/>
        </w:rPr>
        <w:t>ANAESTHETICS</w:t>
      </w:r>
    </w:p>
    <w:p>
      <w:pPr>
        <w:spacing w:line="220" w:lineRule="auto" w:before="0"/>
        <w:ind w:left="278" w:right="76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Antacids: </w:t>
      </w:r>
      <w:r>
        <w:rPr>
          <w:color w:val="231F1F"/>
          <w:w w:val="105"/>
          <w:sz w:val="12"/>
        </w:rPr>
        <w:t>absorption of pseudoephedrine  possibly  increased by </w:t>
      </w:r>
      <w:r>
        <w:rPr>
          <w:rFonts w:ascii="Calibri" w:hAnsi="Calibri"/>
          <w:color w:val="008356"/>
          <w:spacing w:val="4"/>
          <w:w w:val="105"/>
          <w:sz w:val="11"/>
        </w:rPr>
        <w:t>ALUMINIUM HYDROXIDE</w:t>
      </w:r>
    </w:p>
    <w:p>
      <w:pPr>
        <w:pStyle w:val="BodyText"/>
        <w:ind w:left="278" w:right="1178" w:hanging="100"/>
        <w:rPr>
          <w:rFonts w:ascii="Calibri"/>
          <w:sz w:val="11"/>
        </w:rPr>
      </w:pPr>
      <w:r>
        <w:rPr>
          <w:rFonts w:ascii="Arial"/>
          <w:color w:val="231F1F"/>
          <w:w w:val="300"/>
          <w:position w:val="1"/>
          <w:sz w:val="7"/>
        </w:rPr>
        <w:t>l</w:t>
      </w:r>
      <w:r>
        <w:rPr>
          <w:rFonts w:ascii="Arial"/>
          <w:color w:val="231F1F"/>
          <w:spacing w:val="-46"/>
          <w:w w:val="300"/>
          <w:position w:val="1"/>
          <w:sz w:val="7"/>
        </w:rPr>
        <w:t> </w:t>
      </w:r>
      <w:r>
        <w:rPr>
          <w:rFonts w:ascii="Calibri"/>
          <w:color w:val="231F1F"/>
          <w:w w:val="115"/>
        </w:rPr>
        <w:t>Anticoagulants:</w:t>
      </w:r>
      <w:r>
        <w:rPr>
          <w:rFonts w:ascii="Calibri"/>
          <w:color w:val="231F1F"/>
          <w:spacing w:val="-20"/>
          <w:w w:val="115"/>
        </w:rPr>
        <w:t> </w:t>
      </w:r>
      <w:r>
        <w:rPr>
          <w:color w:val="231F1F"/>
          <w:w w:val="115"/>
        </w:rPr>
        <w:t>methylphenidate</w:t>
      </w:r>
      <w:r>
        <w:rPr>
          <w:color w:val="231F1F"/>
          <w:spacing w:val="-24"/>
          <w:w w:val="115"/>
        </w:rPr>
        <w:t> </w:t>
      </w:r>
      <w:r>
        <w:rPr>
          <w:color w:val="231F1F"/>
          <w:w w:val="115"/>
        </w:rPr>
        <w:t>possibly</w:t>
      </w:r>
      <w:r>
        <w:rPr>
          <w:color w:val="231F1F"/>
          <w:spacing w:val="-25"/>
          <w:w w:val="115"/>
        </w:rPr>
        <w:t> </w:t>
      </w:r>
      <w:r>
        <w:rPr>
          <w:color w:val="231F1F"/>
          <w:w w:val="115"/>
        </w:rPr>
        <w:t>enhances anticoagulant</w:t>
      </w:r>
      <w:r>
        <w:rPr>
          <w:color w:val="231F1F"/>
          <w:spacing w:val="-8"/>
          <w:w w:val="115"/>
        </w:rPr>
        <w:t> </w:t>
      </w:r>
      <w:r>
        <w:rPr>
          <w:color w:val="231F1F"/>
          <w:w w:val="115"/>
        </w:rPr>
        <w:t>effect</w:t>
      </w:r>
      <w:r>
        <w:rPr>
          <w:color w:val="231F1F"/>
          <w:spacing w:val="-7"/>
          <w:w w:val="115"/>
        </w:rPr>
        <w:t> </w:t>
      </w:r>
      <w:r>
        <w:rPr>
          <w:color w:val="231F1F"/>
          <w:w w:val="115"/>
        </w:rPr>
        <w:t>of</w:t>
      </w:r>
      <w:r>
        <w:rPr>
          <w:color w:val="231F1F"/>
          <w:spacing w:val="-7"/>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5"/>
          <w:w w:val="115"/>
          <w:sz w:val="11"/>
        </w:rPr>
        <w:t>COUMARINS</w:t>
      </w:r>
    </w:p>
    <w:p>
      <w:pPr>
        <w:pStyle w:val="BodyText"/>
        <w:spacing w:line="244" w:lineRule="auto"/>
        <w:ind w:left="278" w:right="683" w:hanging="100"/>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Antidepressants:</w:t>
      </w:r>
      <w:r>
        <w:rPr>
          <w:rFonts w:ascii="Calibri"/>
          <w:color w:val="231F1F"/>
          <w:spacing w:val="-14"/>
          <w:w w:val="115"/>
        </w:rPr>
        <w:t> </w:t>
      </w:r>
      <w:r>
        <w:rPr>
          <w:color w:val="231F1F"/>
          <w:w w:val="115"/>
        </w:rPr>
        <w:t>risk</w:t>
      </w:r>
      <w:r>
        <w:rPr>
          <w:color w:val="231F1F"/>
          <w:spacing w:val="-16"/>
          <w:w w:val="115"/>
        </w:rPr>
        <w:t> </w:t>
      </w:r>
      <w:r>
        <w:rPr>
          <w:color w:val="231F1F"/>
          <w:w w:val="115"/>
        </w:rPr>
        <w:t>of</w:t>
      </w:r>
      <w:r>
        <w:rPr>
          <w:color w:val="231F1F"/>
          <w:spacing w:val="-18"/>
          <w:w w:val="115"/>
        </w:rPr>
        <w:t> </w:t>
      </w:r>
      <w:r>
        <w:rPr>
          <w:color w:val="231F1F"/>
          <w:w w:val="115"/>
        </w:rPr>
        <w:t>hypertensive</w:t>
      </w:r>
      <w:r>
        <w:rPr>
          <w:color w:val="231F1F"/>
          <w:spacing w:val="-17"/>
          <w:w w:val="115"/>
        </w:rPr>
        <w:t> </w:t>
      </w:r>
      <w:r>
        <w:rPr>
          <w:color w:val="231F1F"/>
          <w:w w:val="115"/>
        </w:rPr>
        <w:t>crisis</w:t>
      </w:r>
      <w:r>
        <w:rPr>
          <w:color w:val="231F1F"/>
          <w:spacing w:val="-17"/>
          <w:w w:val="115"/>
        </w:rPr>
        <w:t> </w:t>
      </w:r>
      <w:r>
        <w:rPr>
          <w:color w:val="231F1F"/>
          <w:w w:val="115"/>
        </w:rPr>
        <w:t>when</w:t>
      </w:r>
      <w:r>
        <w:rPr>
          <w:color w:val="231F1F"/>
          <w:spacing w:val="-17"/>
          <w:w w:val="115"/>
        </w:rPr>
        <w:t> </w:t>
      </w:r>
      <w:r>
        <w:rPr>
          <w:color w:val="231F1F"/>
          <w:w w:val="115"/>
        </w:rPr>
        <w:t>adrenaline (epinephrine), dobutamine, dopamine, noradrenaline (norepinephrine)</w:t>
      </w:r>
      <w:r>
        <w:rPr>
          <w:color w:val="231F1F"/>
          <w:spacing w:val="-15"/>
          <w:w w:val="115"/>
        </w:rPr>
        <w:t> </w:t>
      </w:r>
      <w:r>
        <w:rPr>
          <w:color w:val="231F1F"/>
          <w:w w:val="115"/>
        </w:rPr>
        <w:t>or</w:t>
      </w:r>
      <w:r>
        <w:rPr>
          <w:color w:val="231F1F"/>
          <w:spacing w:val="-16"/>
          <w:w w:val="115"/>
        </w:rPr>
        <w:t> </w:t>
      </w:r>
      <w:r>
        <w:rPr>
          <w:color w:val="231F1F"/>
          <w:w w:val="115"/>
        </w:rPr>
        <w:t>xylometazoline</w:t>
      </w:r>
      <w:r>
        <w:rPr>
          <w:color w:val="231F1F"/>
          <w:spacing w:val="-16"/>
          <w:w w:val="115"/>
        </w:rPr>
        <w:t> </w:t>
      </w:r>
      <w:r>
        <w:rPr>
          <w:color w:val="231F1F"/>
          <w:w w:val="115"/>
        </w:rPr>
        <w:t>given</w:t>
      </w:r>
      <w:r>
        <w:rPr>
          <w:color w:val="231F1F"/>
          <w:spacing w:val="-15"/>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MAOIS</w:t>
      </w:r>
      <w:r>
        <w:rPr>
          <w:color w:val="231F1F"/>
          <w:spacing w:val="4"/>
          <w:w w:val="115"/>
        </w:rPr>
        <w:t>;</w:t>
      </w:r>
      <w:r>
        <w:rPr>
          <w:color w:val="231F1F"/>
          <w:spacing w:val="-16"/>
          <w:w w:val="115"/>
        </w:rPr>
        <w:t> </w:t>
      </w:r>
      <w:r>
        <w:rPr>
          <w:color w:val="231F1F"/>
          <w:spacing w:val="-3"/>
          <w:w w:val="115"/>
        </w:rPr>
        <w:t>risk </w:t>
      </w:r>
      <w:r>
        <w:rPr>
          <w:color w:val="231F1F"/>
          <w:w w:val="115"/>
        </w:rPr>
        <w:t>of hypertensive crisis when dexamfetamine, ephedrine, isometheptene, lisdexamfetamine,</w:t>
      </w:r>
      <w:r>
        <w:rPr>
          <w:color w:val="231F1F"/>
          <w:spacing w:val="-7"/>
          <w:w w:val="115"/>
        </w:rPr>
        <w:t> </w:t>
      </w:r>
      <w:r>
        <w:rPr>
          <w:color w:val="231F1F"/>
          <w:w w:val="115"/>
        </w:rPr>
        <w:t>metaraminol,</w:t>
      </w:r>
    </w:p>
    <w:p>
      <w:pPr>
        <w:spacing w:after="0" w:line="244" w:lineRule="auto"/>
        <w:sectPr>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Sympathomimetics</w:t>
      </w:r>
    </w:p>
    <w:p>
      <w:pPr>
        <w:pStyle w:val="BodyText"/>
        <w:spacing w:line="146" w:lineRule="exact" w:before="5"/>
        <w:ind w:left="108"/>
        <w:rPr>
          <w:rFonts w:ascii="Calibri"/>
        </w:rPr>
      </w:pPr>
      <w:r>
        <w:rPr>
          <w:rFonts w:ascii="Arial"/>
          <w:color w:val="231F1F"/>
          <w:w w:val="355"/>
          <w:position w:val="1"/>
          <w:sz w:val="7"/>
        </w:rPr>
        <w:t>l </w:t>
      </w:r>
      <w:r>
        <w:rPr>
          <w:rFonts w:ascii="Calibri"/>
          <w:color w:val="231F1F"/>
          <w:w w:val="115"/>
        </w:rPr>
        <w:t>Antidepressants (continued)</w:t>
      </w:r>
    </w:p>
    <w:p>
      <w:pPr>
        <w:pStyle w:val="BodyText"/>
        <w:spacing w:line="247" w:lineRule="auto"/>
        <w:ind w:right="85"/>
        <w:rPr>
          <w:rFonts w:ascii="Calibri"/>
          <w:sz w:val="11"/>
        </w:rPr>
      </w:pPr>
      <w:r>
        <w:rPr>
          <w:color w:val="231F1F"/>
          <w:w w:val="110"/>
        </w:rPr>
        <w:t>methylphenidate, phenylephrine or pseudoephedrine given with </w:t>
      </w:r>
      <w:r>
        <w:rPr>
          <w:rFonts w:ascii="Arial"/>
          <w:color w:val="231F1F"/>
          <w:w w:val="355"/>
          <w:position w:val="1"/>
          <w:sz w:val="7"/>
        </w:rPr>
        <w:t>l </w:t>
      </w:r>
      <w:r>
        <w:rPr>
          <w:rFonts w:ascii="Calibri"/>
          <w:color w:val="008356"/>
          <w:spacing w:val="4"/>
          <w:w w:val="110"/>
          <w:sz w:val="11"/>
        </w:rPr>
        <w:t>MAOIS</w:t>
      </w:r>
      <w:r>
        <w:rPr>
          <w:color w:val="231F1F"/>
          <w:spacing w:val="4"/>
          <w:w w:val="110"/>
        </w:rPr>
        <w:t>, </w:t>
      </w:r>
      <w:r>
        <w:rPr>
          <w:color w:val="231F1F"/>
          <w:w w:val="110"/>
        </w:rPr>
        <w:t>avoid dexamfetamine, ephedrine, isometheptene, lisdexamfetamine, metaraminol, methylphenidate, phenylephrine or pseudoephedrine for at least 2 weeks after stopping MAOIs; risk of hypertensive crisis when oxymetazoline given with </w:t>
      </w:r>
      <w:r>
        <w:rPr>
          <w:rFonts w:ascii="Arial"/>
          <w:color w:val="231F1F"/>
          <w:w w:val="355"/>
          <w:position w:val="1"/>
          <w:sz w:val="7"/>
        </w:rPr>
        <w:t>l </w:t>
      </w:r>
      <w:r>
        <w:rPr>
          <w:rFonts w:ascii="Calibri"/>
          <w:color w:val="008356"/>
          <w:spacing w:val="4"/>
          <w:w w:val="110"/>
          <w:sz w:val="11"/>
        </w:rPr>
        <w:t>MAOIS</w:t>
      </w:r>
      <w:r>
        <w:rPr>
          <w:color w:val="231F1F"/>
          <w:spacing w:val="4"/>
          <w:w w:val="110"/>
        </w:rPr>
        <w:t>, </w:t>
      </w:r>
      <w:r>
        <w:rPr>
          <w:color w:val="231F1F"/>
          <w:w w:val="110"/>
        </w:rPr>
        <w:t>some manufacturers advise avoid oxymetazoline for at least 2  weeks after stopping MAOIs; risk of hypertensive crisis </w:t>
      </w:r>
      <w:r>
        <w:rPr>
          <w:color w:val="231F1F"/>
          <w:spacing w:val="-4"/>
          <w:w w:val="110"/>
        </w:rPr>
        <w:t>when </w:t>
      </w:r>
      <w:r>
        <w:rPr>
          <w:color w:val="231F1F"/>
          <w:w w:val="110"/>
        </w:rPr>
        <w:t>sympathomimetics given with </w:t>
      </w:r>
      <w:r>
        <w:rPr>
          <w:rFonts w:ascii="Arial"/>
          <w:color w:val="231F1F"/>
          <w:w w:val="355"/>
          <w:position w:val="1"/>
          <w:sz w:val="7"/>
        </w:rPr>
        <w:t>l </w:t>
      </w:r>
      <w:r>
        <w:rPr>
          <w:rFonts w:ascii="Calibri"/>
          <w:color w:val="008356"/>
          <w:spacing w:val="4"/>
          <w:w w:val="110"/>
          <w:sz w:val="11"/>
        </w:rPr>
        <w:t>MOCLOBEMIDE</w:t>
      </w:r>
      <w:r>
        <w:rPr>
          <w:color w:val="231F1F"/>
          <w:spacing w:val="4"/>
          <w:w w:val="110"/>
        </w:rPr>
        <w:t>; </w:t>
      </w:r>
      <w:r>
        <w:rPr>
          <w:color w:val="231F1F"/>
          <w:w w:val="110"/>
        </w:rPr>
        <w:t>methylphenidate possibly inhibits metabolism of </w:t>
      </w:r>
      <w:r>
        <w:rPr>
          <w:rFonts w:ascii="Calibri"/>
          <w:color w:val="008356"/>
          <w:spacing w:val="4"/>
          <w:w w:val="110"/>
          <w:sz w:val="11"/>
        </w:rPr>
        <w:t>SSRI</w:t>
      </w:r>
      <w:r>
        <w:rPr>
          <w:rFonts w:ascii="Calibri"/>
          <w:color w:val="008356"/>
          <w:spacing w:val="4"/>
          <w:w w:val="110"/>
          <w:sz w:val="9"/>
        </w:rPr>
        <w:t>S </w:t>
      </w:r>
      <w:r>
        <w:rPr>
          <w:color w:val="231F1F"/>
          <w:w w:val="110"/>
        </w:rPr>
        <w:t>and </w:t>
      </w:r>
      <w:r>
        <w:rPr>
          <w:rFonts w:ascii="Calibri"/>
          <w:color w:val="008356"/>
          <w:spacing w:val="4"/>
          <w:w w:val="110"/>
          <w:sz w:val="11"/>
        </w:rPr>
        <w:t>TRICYCLICS</w:t>
      </w:r>
      <w:r>
        <w:rPr>
          <w:color w:val="231F1F"/>
          <w:spacing w:val="4"/>
          <w:w w:val="110"/>
        </w:rPr>
        <w:t>; </w:t>
      </w:r>
      <w:r>
        <w:rPr>
          <w:color w:val="231F1F"/>
          <w:w w:val="110"/>
        </w:rPr>
        <w:t>increased risk of hypertension and arrhythmias when adrenaline (epinephrine) given with </w:t>
      </w:r>
      <w:r>
        <w:rPr>
          <w:rFonts w:ascii="Arial"/>
          <w:color w:val="231F1F"/>
          <w:w w:val="355"/>
          <w:position w:val="1"/>
          <w:sz w:val="7"/>
        </w:rPr>
        <w:t>l </w:t>
      </w:r>
      <w:r>
        <w:rPr>
          <w:rFonts w:ascii="Calibri"/>
          <w:color w:val="008356"/>
          <w:spacing w:val="4"/>
          <w:w w:val="110"/>
          <w:sz w:val="11"/>
        </w:rPr>
        <w:t>TRICYCLICS </w:t>
      </w:r>
      <w:r>
        <w:rPr>
          <w:color w:val="231F1F"/>
          <w:w w:val="110"/>
        </w:rPr>
        <w:t>(but local anaesthetics with adrenaline appear to be safe);  increased risk of hypertension and arrhythmias when noradrenaline (norepinephrine) or  phenylephrine given  with </w:t>
      </w:r>
      <w:r>
        <w:rPr>
          <w:rFonts w:ascii="Arial"/>
          <w:color w:val="231F1F"/>
          <w:w w:val="355"/>
          <w:position w:val="1"/>
          <w:sz w:val="7"/>
        </w:rPr>
        <w:t>l</w:t>
      </w:r>
      <w:r>
        <w:rPr>
          <w:rFonts w:ascii="Arial"/>
          <w:color w:val="231F1F"/>
          <w:spacing w:val="-41"/>
          <w:w w:val="355"/>
          <w:position w:val="1"/>
          <w:sz w:val="7"/>
        </w:rPr>
        <w:t> </w:t>
      </w:r>
      <w:r>
        <w:rPr>
          <w:rFonts w:ascii="Calibri"/>
          <w:color w:val="008356"/>
          <w:spacing w:val="4"/>
          <w:w w:val="110"/>
          <w:sz w:val="11"/>
        </w:rPr>
        <w:t>TRICYCLICS</w:t>
      </w:r>
    </w:p>
    <w:p>
      <w:pPr>
        <w:spacing w:line="237" w:lineRule="auto" w:before="0"/>
        <w:ind w:left="208" w:right="30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methylphenidate  increases  plasma concentration of </w:t>
      </w:r>
      <w:r>
        <w:rPr>
          <w:rFonts w:ascii="Calibri" w:hAnsi="Calibri"/>
          <w:color w:val="008356"/>
          <w:spacing w:val="4"/>
          <w:w w:val="105"/>
          <w:sz w:val="11"/>
        </w:rPr>
        <w:t>FOSPHENYTOIN </w:t>
      </w:r>
      <w:r>
        <w:rPr>
          <w:color w:val="231F1F"/>
          <w:w w:val="105"/>
          <w:sz w:val="12"/>
        </w:rPr>
        <w:t>and </w:t>
      </w:r>
      <w:r>
        <w:rPr>
          <w:rFonts w:ascii="Calibri" w:hAnsi="Calibri"/>
          <w:color w:val="008356"/>
          <w:spacing w:val="4"/>
          <w:w w:val="105"/>
          <w:sz w:val="11"/>
        </w:rPr>
        <w:t>PHENYTOIN</w:t>
      </w:r>
      <w:r>
        <w:rPr>
          <w:color w:val="231F1F"/>
          <w:spacing w:val="4"/>
          <w:w w:val="105"/>
          <w:sz w:val="12"/>
        </w:rPr>
        <w:t>; </w:t>
      </w:r>
      <w:r>
        <w:rPr>
          <w:color w:val="231F1F"/>
          <w:w w:val="105"/>
          <w:sz w:val="12"/>
        </w:rPr>
        <w:t>methylphenidate possibly increases plasma concentration </w:t>
      </w:r>
      <w:r>
        <w:rPr>
          <w:color w:val="231F1F"/>
          <w:spacing w:val="-8"/>
          <w:w w:val="105"/>
          <w:sz w:val="12"/>
        </w:rPr>
        <w:t>of </w:t>
      </w:r>
      <w:r>
        <w:rPr>
          <w:rFonts w:ascii="Calibri" w:hAnsi="Calibri"/>
          <w:color w:val="008356"/>
          <w:spacing w:val="4"/>
          <w:w w:val="105"/>
          <w:sz w:val="11"/>
        </w:rPr>
        <w:t>PHENOBARBITAL </w:t>
      </w:r>
      <w:r>
        <w:rPr>
          <w:color w:val="231F1F"/>
          <w:w w:val="105"/>
          <w:sz w:val="12"/>
        </w:rPr>
        <w:t>and</w:t>
      </w:r>
      <w:r>
        <w:rPr>
          <w:color w:val="231F1F"/>
          <w:spacing w:val="3"/>
          <w:w w:val="105"/>
          <w:sz w:val="12"/>
        </w:rPr>
        <w:t> </w:t>
      </w:r>
      <w:r>
        <w:rPr>
          <w:rFonts w:ascii="Calibri" w:hAnsi="Calibri"/>
          <w:color w:val="008356"/>
          <w:spacing w:val="5"/>
          <w:w w:val="105"/>
          <w:sz w:val="11"/>
        </w:rPr>
        <w:t>PRIMIDONE</w:t>
      </w:r>
    </w:p>
    <w:p>
      <w:pPr>
        <w:pStyle w:val="BodyText"/>
        <w:ind w:right="12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hypertensive effect of sympathomimetics antagonised by </w:t>
      </w:r>
      <w:r>
        <w:rPr>
          <w:rFonts w:ascii="Calibri" w:hAnsi="Calibri"/>
          <w:color w:val="008356"/>
          <w:w w:val="110"/>
          <w:sz w:val="11"/>
        </w:rPr>
        <w:t>ANTIPSYCHOTICS</w:t>
      </w:r>
      <w:r>
        <w:rPr>
          <w:color w:val="231F1F"/>
          <w:w w:val="110"/>
        </w:rPr>
        <w:t>; effects of lisdexamfetamine possibly reduced by </w:t>
      </w:r>
      <w:r>
        <w:rPr>
          <w:rFonts w:ascii="Calibri" w:hAnsi="Calibri"/>
          <w:color w:val="008356"/>
          <w:w w:val="110"/>
          <w:sz w:val="11"/>
        </w:rPr>
        <w:t>CHLORPROMAZINE</w:t>
      </w:r>
      <w:r>
        <w:rPr>
          <w:color w:val="231F1F"/>
          <w:w w:val="110"/>
        </w:rPr>
        <w:t>; dexamfetamine possibly antagonises antipsychotic effects of </w:t>
      </w:r>
      <w:r>
        <w:rPr>
          <w:rFonts w:ascii="Calibri" w:hAnsi="Calibri"/>
          <w:color w:val="008356"/>
          <w:w w:val="110"/>
          <w:sz w:val="11"/>
        </w:rPr>
        <w:t>CHLORPROMAZINE</w:t>
      </w:r>
      <w:r>
        <w:rPr>
          <w:color w:val="231F1F"/>
          <w:w w:val="110"/>
        </w:rPr>
        <w:t>; methylphenidate possibly increases side- effects of </w:t>
      </w:r>
      <w:r>
        <w:rPr>
          <w:rFonts w:ascii="Calibri" w:hAnsi="Calibri"/>
          <w:color w:val="008356"/>
          <w:w w:val="110"/>
          <w:sz w:val="11"/>
        </w:rPr>
        <w:t>RISPERIDONE</w:t>
      </w:r>
    </w:p>
    <w:p>
      <w:pPr>
        <w:pStyle w:val="BodyText"/>
        <w:spacing w:line="220" w:lineRule="auto" w:before="2"/>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dexamfetamine possibly increased by </w:t>
      </w:r>
      <w:r>
        <w:rPr>
          <w:rFonts w:ascii="Calibri" w:hAnsi="Calibri"/>
          <w:color w:val="008356"/>
          <w:w w:val="105"/>
          <w:sz w:val="11"/>
        </w:rPr>
        <w:t>RITONAVIR</w:t>
      </w:r>
    </w:p>
    <w:p>
      <w:pPr>
        <w:pStyle w:val="BodyText"/>
        <w:spacing w:line="247" w:lineRule="auto"/>
        <w:ind w:right="106" w:hanging="100"/>
        <w:rPr>
          <w:rFonts w:ascii="Calibri"/>
          <w:sz w:val="11"/>
        </w:rPr>
      </w:pPr>
      <w:r>
        <w:rPr>
          <w:rFonts w:ascii="Arial"/>
          <w:color w:val="231F1F"/>
          <w:w w:val="355"/>
          <w:position w:val="1"/>
          <w:sz w:val="7"/>
        </w:rPr>
        <w:t>l </w:t>
      </w:r>
      <w:r>
        <w:rPr>
          <w:rFonts w:ascii="Calibri"/>
          <w:color w:val="231F1F"/>
          <w:w w:val="115"/>
        </w:rPr>
        <w:t>Beta-blockers: </w:t>
      </w:r>
      <w:r>
        <w:rPr>
          <w:color w:val="231F1F"/>
          <w:w w:val="115"/>
        </w:rPr>
        <w:t>increased risk of severe hypertension and bradycardia</w:t>
      </w:r>
      <w:r>
        <w:rPr>
          <w:color w:val="231F1F"/>
          <w:spacing w:val="-5"/>
          <w:w w:val="115"/>
        </w:rPr>
        <w:t> </w:t>
      </w:r>
      <w:r>
        <w:rPr>
          <w:color w:val="231F1F"/>
          <w:w w:val="115"/>
        </w:rPr>
        <w:t>when</w:t>
      </w:r>
      <w:r>
        <w:rPr>
          <w:color w:val="231F1F"/>
          <w:spacing w:val="-6"/>
          <w:w w:val="115"/>
        </w:rPr>
        <w:t> </w:t>
      </w:r>
      <w:r>
        <w:rPr>
          <w:color w:val="231F1F"/>
          <w:w w:val="115"/>
        </w:rPr>
        <w:t>adrenaline</w:t>
      </w:r>
      <w:r>
        <w:rPr>
          <w:color w:val="231F1F"/>
          <w:spacing w:val="-7"/>
          <w:w w:val="115"/>
        </w:rPr>
        <w:t> </w:t>
      </w:r>
      <w:r>
        <w:rPr>
          <w:color w:val="231F1F"/>
          <w:w w:val="115"/>
        </w:rPr>
        <w:t>(epinephrine)</w:t>
      </w:r>
      <w:r>
        <w:rPr>
          <w:color w:val="231F1F"/>
          <w:spacing w:val="-6"/>
          <w:w w:val="115"/>
        </w:rPr>
        <w:t> </w:t>
      </w:r>
      <w:r>
        <w:rPr>
          <w:color w:val="231F1F"/>
          <w:w w:val="115"/>
        </w:rPr>
        <w:t>given</w:t>
      </w:r>
      <w:r>
        <w:rPr>
          <w:color w:val="231F1F"/>
          <w:spacing w:val="-6"/>
          <w:w w:val="115"/>
        </w:rPr>
        <w:t> </w:t>
      </w:r>
      <w:r>
        <w:rPr>
          <w:color w:val="231F1F"/>
          <w:w w:val="115"/>
        </w:rPr>
        <w:t>with</w:t>
      </w:r>
      <w:r>
        <w:rPr>
          <w:color w:val="231F1F"/>
          <w:spacing w:val="-5"/>
          <w:w w:val="115"/>
        </w:rPr>
        <w:t> </w:t>
      </w:r>
      <w:r>
        <w:rPr>
          <w:color w:val="231F1F"/>
          <w:w w:val="115"/>
        </w:rPr>
        <w:t>non- cardioselective</w:t>
      </w:r>
      <w:r>
        <w:rPr>
          <w:color w:val="231F1F"/>
          <w:spacing w:val="-21"/>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BETA-BLOCKERS</w:t>
      </w:r>
      <w:r>
        <w:rPr>
          <w:color w:val="231F1F"/>
          <w:spacing w:val="4"/>
          <w:w w:val="115"/>
        </w:rPr>
        <w:t>,</w:t>
      </w:r>
      <w:r>
        <w:rPr>
          <w:color w:val="231F1F"/>
          <w:spacing w:val="-20"/>
          <w:w w:val="115"/>
        </w:rPr>
        <w:t> </w:t>
      </w:r>
      <w:r>
        <w:rPr>
          <w:color w:val="231F1F"/>
          <w:w w:val="115"/>
        </w:rPr>
        <w:t>also</w:t>
      </w:r>
      <w:r>
        <w:rPr>
          <w:color w:val="231F1F"/>
          <w:spacing w:val="-21"/>
          <w:w w:val="115"/>
        </w:rPr>
        <w:t> </w:t>
      </w:r>
      <w:r>
        <w:rPr>
          <w:color w:val="231F1F"/>
          <w:w w:val="115"/>
        </w:rPr>
        <w:t>response</w:t>
      </w:r>
      <w:r>
        <w:rPr>
          <w:color w:val="231F1F"/>
          <w:spacing w:val="-21"/>
          <w:w w:val="115"/>
        </w:rPr>
        <w:t> </w:t>
      </w:r>
      <w:r>
        <w:rPr>
          <w:color w:val="231F1F"/>
          <w:w w:val="115"/>
        </w:rPr>
        <w:t>to</w:t>
      </w:r>
      <w:r>
        <w:rPr>
          <w:color w:val="231F1F"/>
          <w:spacing w:val="-20"/>
          <w:w w:val="115"/>
        </w:rPr>
        <w:t> </w:t>
      </w:r>
      <w:r>
        <w:rPr>
          <w:color w:val="231F1F"/>
          <w:w w:val="115"/>
        </w:rPr>
        <w:t>adrenaline (epinephrine) may be reduced; increased risk of severe hypertension and bradycardia when dobutamine given with non-cardioselective</w:t>
      </w:r>
      <w:r>
        <w:rPr>
          <w:color w:val="231F1F"/>
          <w:spacing w:val="-25"/>
          <w:w w:val="115"/>
        </w:rPr>
        <w:t> </w:t>
      </w:r>
      <w:r>
        <w:rPr>
          <w:rFonts w:ascii="Arial"/>
          <w:color w:val="231F1F"/>
          <w:w w:val="245"/>
          <w:position w:val="1"/>
          <w:sz w:val="7"/>
        </w:rPr>
        <w:t>l</w:t>
      </w:r>
      <w:r>
        <w:rPr>
          <w:rFonts w:ascii="Arial"/>
          <w:color w:val="231F1F"/>
          <w:spacing w:val="-38"/>
          <w:w w:val="245"/>
          <w:position w:val="1"/>
          <w:sz w:val="7"/>
        </w:rPr>
        <w:t> </w:t>
      </w:r>
      <w:r>
        <w:rPr>
          <w:rFonts w:ascii="Calibri"/>
          <w:color w:val="008356"/>
          <w:spacing w:val="4"/>
          <w:w w:val="115"/>
          <w:sz w:val="11"/>
        </w:rPr>
        <w:t>BETA-BLOCKERS</w:t>
      </w:r>
      <w:r>
        <w:rPr>
          <w:color w:val="231F1F"/>
          <w:spacing w:val="4"/>
          <w:w w:val="115"/>
        </w:rPr>
        <w:t>;</w:t>
      </w:r>
      <w:r>
        <w:rPr>
          <w:color w:val="231F1F"/>
          <w:spacing w:val="-23"/>
          <w:w w:val="115"/>
        </w:rPr>
        <w:t> </w:t>
      </w:r>
      <w:r>
        <w:rPr>
          <w:color w:val="231F1F"/>
          <w:w w:val="115"/>
        </w:rPr>
        <w:t>possible</w:t>
      </w:r>
      <w:r>
        <w:rPr>
          <w:color w:val="231F1F"/>
          <w:spacing w:val="-24"/>
          <w:w w:val="115"/>
        </w:rPr>
        <w:t> </w:t>
      </w:r>
      <w:r>
        <w:rPr>
          <w:color w:val="231F1F"/>
          <w:w w:val="115"/>
        </w:rPr>
        <w:t>increased</w:t>
      </w:r>
      <w:r>
        <w:rPr>
          <w:color w:val="231F1F"/>
          <w:spacing w:val="-25"/>
          <w:w w:val="115"/>
        </w:rPr>
        <w:t> </w:t>
      </w:r>
      <w:r>
        <w:rPr>
          <w:color w:val="231F1F"/>
          <w:w w:val="115"/>
        </w:rPr>
        <w:t>risk of</w:t>
      </w:r>
      <w:r>
        <w:rPr>
          <w:color w:val="231F1F"/>
          <w:spacing w:val="-6"/>
          <w:w w:val="115"/>
        </w:rPr>
        <w:t> </w:t>
      </w:r>
      <w:r>
        <w:rPr>
          <w:color w:val="231F1F"/>
          <w:w w:val="115"/>
        </w:rPr>
        <w:t>severe</w:t>
      </w:r>
      <w:r>
        <w:rPr>
          <w:color w:val="231F1F"/>
          <w:spacing w:val="-5"/>
          <w:w w:val="115"/>
        </w:rPr>
        <w:t> </w:t>
      </w:r>
      <w:r>
        <w:rPr>
          <w:color w:val="231F1F"/>
          <w:w w:val="115"/>
        </w:rPr>
        <w:t>hypertension</w:t>
      </w:r>
      <w:r>
        <w:rPr>
          <w:color w:val="231F1F"/>
          <w:spacing w:val="-4"/>
          <w:w w:val="115"/>
        </w:rPr>
        <w:t> </w:t>
      </w:r>
      <w:r>
        <w:rPr>
          <w:color w:val="231F1F"/>
          <w:w w:val="115"/>
        </w:rPr>
        <w:t>and</w:t>
      </w:r>
      <w:r>
        <w:rPr>
          <w:color w:val="231F1F"/>
          <w:spacing w:val="-5"/>
          <w:w w:val="115"/>
        </w:rPr>
        <w:t> </w:t>
      </w:r>
      <w:r>
        <w:rPr>
          <w:color w:val="231F1F"/>
          <w:w w:val="115"/>
        </w:rPr>
        <w:t>bradycardia</w:t>
      </w:r>
      <w:r>
        <w:rPr>
          <w:color w:val="231F1F"/>
          <w:spacing w:val="-5"/>
          <w:w w:val="115"/>
        </w:rPr>
        <w:t> </w:t>
      </w:r>
      <w:r>
        <w:rPr>
          <w:color w:val="231F1F"/>
          <w:w w:val="115"/>
        </w:rPr>
        <w:t>when</w:t>
      </w:r>
      <w:r>
        <w:rPr>
          <w:color w:val="231F1F"/>
          <w:spacing w:val="-7"/>
          <w:w w:val="115"/>
        </w:rPr>
        <w:t> </w:t>
      </w:r>
      <w:r>
        <w:rPr>
          <w:color w:val="231F1F"/>
          <w:w w:val="115"/>
        </w:rPr>
        <w:t>noradrenaline (norepinephrine) given with non-cardioselective </w:t>
      </w:r>
      <w:r>
        <w:rPr>
          <w:rFonts w:ascii="Arial"/>
          <w:color w:val="231F1F"/>
          <w:w w:val="355"/>
          <w:position w:val="1"/>
          <w:sz w:val="7"/>
        </w:rPr>
        <w:t>l </w:t>
      </w:r>
      <w:r>
        <w:rPr>
          <w:rFonts w:ascii="Calibri"/>
          <w:color w:val="008356"/>
          <w:spacing w:val="2"/>
          <w:w w:val="115"/>
          <w:sz w:val="11"/>
        </w:rPr>
        <w:t>BETA- </w:t>
      </w:r>
      <w:r>
        <w:rPr>
          <w:rFonts w:ascii="Calibri"/>
          <w:color w:val="008356"/>
          <w:spacing w:val="4"/>
          <w:w w:val="115"/>
          <w:sz w:val="11"/>
        </w:rPr>
        <w:t>BLOCKERS</w:t>
      </w:r>
    </w:p>
    <w:p>
      <w:pPr>
        <w:pStyle w:val="BodyText"/>
        <w:spacing w:line="141" w:lineRule="exact"/>
        <w:ind w:left="108"/>
      </w:pPr>
      <w:r>
        <w:rPr>
          <w:rFonts w:ascii="Arial"/>
          <w:color w:val="231F1F"/>
          <w:w w:val="355"/>
          <w:position w:val="1"/>
          <w:sz w:val="7"/>
        </w:rPr>
        <w:t>l </w:t>
      </w:r>
      <w:r>
        <w:rPr>
          <w:rFonts w:ascii="Calibri"/>
          <w:color w:val="231F1F"/>
          <w:w w:val="115"/>
        </w:rPr>
        <w:t>Clonidine: </w:t>
      </w:r>
      <w:r>
        <w:rPr>
          <w:color w:val="231F1F"/>
          <w:w w:val="115"/>
        </w:rPr>
        <w:t>possible risk of hypertension when adrenaline</w:t>
      </w:r>
    </w:p>
    <w:p>
      <w:pPr>
        <w:pStyle w:val="BodyText"/>
        <w:spacing w:line="244" w:lineRule="auto"/>
        <w:ind w:right="-3"/>
      </w:pPr>
      <w:r>
        <w:rPr>
          <w:color w:val="231F1F"/>
          <w:w w:val="115"/>
        </w:rPr>
        <w:t>(epinephrine) or noradrenaline (norepinephrine) given with </w:t>
      </w:r>
      <w:r>
        <w:rPr>
          <w:rFonts w:ascii="Calibri"/>
          <w:color w:val="008356"/>
          <w:w w:val="115"/>
          <w:sz w:val="11"/>
        </w:rPr>
        <w:t>CLONIDINE</w:t>
      </w:r>
      <w:r>
        <w:rPr>
          <w:color w:val="231F1F"/>
          <w:w w:val="115"/>
        </w:rPr>
        <w:t>; serious adverse events reported with concomitant use of methylphenidate and </w:t>
      </w:r>
      <w:r>
        <w:rPr>
          <w:rFonts w:ascii="Arial"/>
          <w:color w:val="231F1F"/>
          <w:w w:val="355"/>
          <w:position w:val="1"/>
          <w:sz w:val="7"/>
        </w:rPr>
        <w:t>l </w:t>
      </w:r>
      <w:r>
        <w:rPr>
          <w:rFonts w:ascii="Calibri"/>
          <w:color w:val="008356"/>
          <w:w w:val="115"/>
          <w:sz w:val="11"/>
        </w:rPr>
        <w:t>CLONIDINE </w:t>
      </w:r>
      <w:r>
        <w:rPr>
          <w:color w:val="231F1F"/>
          <w:w w:val="115"/>
        </w:rPr>
        <w:t>(causality not established)</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Corticosteroids: </w:t>
      </w:r>
      <w:r>
        <w:rPr>
          <w:color w:val="231F1F"/>
          <w:w w:val="105"/>
        </w:rPr>
        <w:t>ephedrine accelerates metabolism of</w:t>
      </w:r>
    </w:p>
    <w:p>
      <w:pPr>
        <w:spacing w:line="130" w:lineRule="exact" w:before="0"/>
        <w:ind w:left="208" w:right="0" w:firstLine="0"/>
        <w:jc w:val="left"/>
        <w:rPr>
          <w:rFonts w:ascii="Calibri"/>
          <w:sz w:val="11"/>
        </w:rPr>
      </w:pPr>
      <w:r>
        <w:rPr>
          <w:rFonts w:ascii="Calibri"/>
          <w:color w:val="008356"/>
          <w:sz w:val="11"/>
        </w:rPr>
        <w:t>DEXAMETHASONE</w:t>
      </w:r>
    </w:p>
    <w:p>
      <w:pPr>
        <w:pStyle w:val="BodyText"/>
        <w:spacing w:line="242" w:lineRule="auto"/>
        <w:ind w:right="95" w:hanging="100"/>
      </w:pPr>
      <w:r>
        <w:rPr>
          <w:rFonts w:ascii="Arial"/>
          <w:color w:val="231F1F"/>
          <w:w w:val="355"/>
          <w:position w:val="1"/>
          <w:sz w:val="7"/>
        </w:rPr>
        <w:t>l </w:t>
      </w:r>
      <w:r>
        <w:rPr>
          <w:rFonts w:ascii="Calibri"/>
          <w:color w:val="231F1F"/>
          <w:w w:val="110"/>
        </w:rPr>
        <w:t>Dopaminergics: </w:t>
      </w:r>
      <w:r>
        <w:rPr>
          <w:color w:val="231F1F"/>
          <w:w w:val="110"/>
        </w:rPr>
        <w:t>risk of toxicity when isometheptene given with </w:t>
      </w:r>
      <w:r>
        <w:rPr>
          <w:rFonts w:ascii="Arial"/>
          <w:color w:val="231F1F"/>
          <w:w w:val="355"/>
          <w:position w:val="1"/>
          <w:sz w:val="7"/>
        </w:rPr>
        <w:t>l </w:t>
      </w:r>
      <w:r>
        <w:rPr>
          <w:rFonts w:ascii="Calibri"/>
          <w:color w:val="008356"/>
          <w:w w:val="110"/>
          <w:sz w:val="11"/>
        </w:rPr>
        <w:t>BROMOCRIPTINE</w:t>
      </w:r>
      <w:r>
        <w:rPr>
          <w:color w:val="231F1F"/>
          <w:w w:val="110"/>
        </w:rPr>
        <w:t>; effects of adrenaline (epinephrine), dobutamine, dopamine and noradrenaline (norepinephrine) possibly enhanced by </w:t>
      </w:r>
      <w:r>
        <w:rPr>
          <w:rFonts w:ascii="Calibri"/>
          <w:color w:val="008356"/>
          <w:w w:val="110"/>
          <w:sz w:val="11"/>
        </w:rPr>
        <w:t>ENTACAPONE</w:t>
      </w:r>
      <w:r>
        <w:rPr>
          <w:color w:val="231F1F"/>
          <w:w w:val="110"/>
        </w:rPr>
        <w:t>; avoid concomitant use of sympathomimetics with </w:t>
      </w:r>
      <w:r>
        <w:rPr>
          <w:rFonts w:ascii="Arial"/>
          <w:color w:val="231F1F"/>
          <w:w w:val="355"/>
          <w:position w:val="1"/>
          <w:sz w:val="7"/>
        </w:rPr>
        <w:t>l </w:t>
      </w:r>
      <w:r>
        <w:rPr>
          <w:rFonts w:ascii="Calibri"/>
          <w:color w:val="008356"/>
          <w:w w:val="110"/>
          <w:sz w:val="11"/>
        </w:rPr>
        <w:t>RASAGILINE</w:t>
      </w:r>
      <w:r>
        <w:rPr>
          <w:color w:val="231F1F"/>
          <w:w w:val="110"/>
        </w:rPr>
        <w:t>; avoidance of sympathomimetics advised by manufacturer of </w:t>
      </w:r>
      <w:r>
        <w:rPr>
          <w:rFonts w:ascii="Calibri"/>
          <w:color w:val="008356"/>
          <w:w w:val="110"/>
          <w:sz w:val="11"/>
        </w:rPr>
        <w:t>SELEGILINE</w:t>
      </w:r>
      <w:r>
        <w:rPr>
          <w:color w:val="231F1F"/>
          <w:w w:val="110"/>
        </w:rPr>
        <w:t>; risk of hypertensive crisis when dopamine given with</w:t>
      </w:r>
    </w:p>
    <w:p>
      <w:pPr>
        <w:spacing w:line="133" w:lineRule="exact" w:before="14"/>
        <w:ind w:left="208" w:right="0" w:firstLine="0"/>
        <w:jc w:val="left"/>
        <w:rPr>
          <w:rFonts w:ascii="Calibri"/>
          <w:sz w:val="11"/>
        </w:rPr>
      </w:pPr>
      <w:r>
        <w:rPr>
          <w:rFonts w:ascii="Arial"/>
          <w:color w:val="231F1F"/>
          <w:w w:val="355"/>
          <w:position w:val="1"/>
          <w:sz w:val="7"/>
        </w:rPr>
        <w:t>l </w:t>
      </w:r>
      <w:r>
        <w:rPr>
          <w:rFonts w:ascii="Calibri"/>
          <w:color w:val="008356"/>
          <w:w w:val="120"/>
          <w:sz w:val="11"/>
        </w:rPr>
        <w:t>SELEGILINE</w:t>
      </w:r>
    </w:p>
    <w:p>
      <w:pPr>
        <w:pStyle w:val="BodyText"/>
        <w:spacing w:line="220" w:lineRule="auto" w:before="8"/>
        <w:ind w:right="833" w:hanging="100"/>
        <w:rPr>
          <w:rFonts w:ascii="Calibri" w:hAnsi="Calibri"/>
          <w:sz w:val="11"/>
        </w:rPr>
      </w:pPr>
      <w:r>
        <w:rPr>
          <w:rFonts w:ascii="Lucida Sans Unicode" w:hAnsi="Lucida Sans Unicode"/>
          <w:color w:val="A7A8AC"/>
          <w:w w:val="95"/>
          <w:sz w:val="10"/>
        </w:rPr>
        <w:t>▶ </w:t>
      </w:r>
      <w:r>
        <w:rPr>
          <w:rFonts w:ascii="Calibri" w:hAnsi="Calibri"/>
          <w:color w:val="231F1F"/>
          <w:w w:val="110"/>
        </w:rPr>
        <w:t>Doxapram: </w:t>
      </w:r>
      <w:r>
        <w:rPr>
          <w:color w:val="231F1F"/>
          <w:w w:val="110"/>
        </w:rPr>
        <w:t>increased risk of hypertension when sympathomimetics given with </w:t>
      </w:r>
      <w:r>
        <w:rPr>
          <w:rFonts w:ascii="Calibri" w:hAnsi="Calibri"/>
          <w:color w:val="008356"/>
          <w:w w:val="110"/>
          <w:sz w:val="11"/>
        </w:rPr>
        <w:t>DOXAPRAM</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Ergot Alkaloids: </w:t>
      </w:r>
      <w:r>
        <w:rPr>
          <w:color w:val="231F1F"/>
          <w:w w:val="110"/>
        </w:rPr>
        <w:t>increased risk of ergotism when sympathomimetics given with </w:t>
      </w:r>
      <w:r>
        <w:rPr>
          <w:rFonts w:ascii="Calibri" w:hAnsi="Calibri"/>
          <w:color w:val="008356"/>
          <w:w w:val="110"/>
          <w:sz w:val="11"/>
        </w:rPr>
        <w:t>ERGOTAMINE</w:t>
      </w:r>
    </w:p>
    <w:p>
      <w:pPr>
        <w:pStyle w:val="BodyText"/>
        <w:spacing w:line="230" w:lineRule="auto" w:before="4"/>
        <w:ind w:hanging="100"/>
      </w:pPr>
      <w:r>
        <w:rPr>
          <w:rFonts w:ascii="Lucida Sans Unicode" w:hAnsi="Lucida Sans Unicode"/>
          <w:color w:val="A7A8AC"/>
          <w:w w:val="95"/>
          <w:sz w:val="10"/>
        </w:rPr>
        <w:t>▶ </w:t>
      </w:r>
      <w:r>
        <w:rPr>
          <w:rFonts w:ascii="Calibri" w:hAnsi="Calibri"/>
          <w:color w:val="231F1F"/>
          <w:w w:val="110"/>
        </w:rPr>
        <w:t>Oxytocin: </w:t>
      </w:r>
      <w:r>
        <w:rPr>
          <w:color w:val="231F1F"/>
          <w:w w:val="110"/>
        </w:rPr>
        <w:t>risk of hypertension when vasoconstrictor sympathomimetics given with </w:t>
      </w:r>
      <w:r>
        <w:rPr>
          <w:rFonts w:ascii="Calibri" w:hAnsi="Calibri"/>
          <w:color w:val="008356"/>
          <w:w w:val="110"/>
          <w:sz w:val="11"/>
        </w:rPr>
        <w:t>OXYTOCIN </w:t>
      </w:r>
      <w:r>
        <w:rPr>
          <w:color w:val="231F1F"/>
          <w:w w:val="110"/>
        </w:rPr>
        <w:t>(due to enhanced vasopressor effect)</w:t>
      </w:r>
    </w:p>
    <w:p>
      <w:pPr>
        <w:spacing w:before="3"/>
        <w:ind w:left="208" w:right="156" w:hanging="100"/>
        <w:jc w:val="left"/>
        <w:rPr>
          <w:rFonts w:ascii="Calibri"/>
          <w:sz w:val="11"/>
        </w:rPr>
      </w:pPr>
      <w:r>
        <w:rPr>
          <w:rFonts w:ascii="Arial"/>
          <w:color w:val="231F1F"/>
          <w:w w:val="355"/>
          <w:position w:val="1"/>
          <w:sz w:val="7"/>
        </w:rPr>
        <w:t>l </w:t>
      </w:r>
      <w:r>
        <w:rPr>
          <w:rFonts w:ascii="Calibri"/>
          <w:color w:val="231F1F"/>
          <w:w w:val="110"/>
          <w:sz w:val="12"/>
        </w:rPr>
        <w:t>Sympathomimetics: </w:t>
      </w:r>
      <w:r>
        <w:rPr>
          <w:color w:val="231F1F"/>
          <w:w w:val="110"/>
          <w:sz w:val="12"/>
        </w:rPr>
        <w:t>effects of adrenaline (epinephrine) possibly enhanced by </w:t>
      </w:r>
      <w:r>
        <w:rPr>
          <w:rFonts w:ascii="Arial"/>
          <w:color w:val="231F1F"/>
          <w:w w:val="355"/>
          <w:position w:val="1"/>
          <w:sz w:val="7"/>
        </w:rPr>
        <w:t>l </w:t>
      </w:r>
      <w:r>
        <w:rPr>
          <w:rFonts w:ascii="Calibri"/>
          <w:color w:val="008356"/>
          <w:spacing w:val="4"/>
          <w:w w:val="110"/>
          <w:sz w:val="11"/>
        </w:rPr>
        <w:t>DOPEXAMINE</w:t>
      </w:r>
      <w:r>
        <w:rPr>
          <w:color w:val="231F1F"/>
          <w:spacing w:val="4"/>
          <w:w w:val="110"/>
          <w:sz w:val="12"/>
        </w:rPr>
        <w:t>; </w:t>
      </w:r>
      <w:r>
        <w:rPr>
          <w:color w:val="231F1F"/>
          <w:w w:val="110"/>
          <w:sz w:val="12"/>
        </w:rPr>
        <w:t>dopexamine possibly enhances effects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NORADRENALINE </w:t>
      </w:r>
      <w:r>
        <w:rPr>
          <w:rFonts w:ascii="Calibri"/>
          <w:color w:val="008356"/>
          <w:spacing w:val="5"/>
          <w:w w:val="110"/>
          <w:sz w:val="11"/>
        </w:rPr>
        <w:t>(NOREPINEPHRINE)</w:t>
      </w:r>
    </w:p>
    <w:p>
      <w:pPr>
        <w:pStyle w:val="BodyText"/>
        <w:spacing w:line="220" w:lineRule="auto" w:before="8"/>
        <w:ind w:right="168"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avoidance of ephedrine in children advised by manufacturer of </w:t>
      </w:r>
      <w:r>
        <w:rPr>
          <w:rFonts w:ascii="Calibri" w:hAnsi="Calibri"/>
          <w:color w:val="008356"/>
          <w:w w:val="110"/>
          <w:sz w:val="11"/>
        </w:rPr>
        <w:t>THEOPHYLLINE</w:t>
      </w:r>
    </w:p>
    <w:p>
      <w:pPr>
        <w:pStyle w:val="BodyText"/>
        <w:spacing w:line="220" w:lineRule="auto" w:before="8"/>
        <w:ind w:right="302"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dobutamine possibly inhibited by</w:t>
      </w:r>
      <w:r>
        <w:rPr>
          <w:color w:val="231F1F"/>
          <w:spacing w:val="-1"/>
          <w:w w:val="105"/>
        </w:rPr>
        <w:t> </w:t>
      </w:r>
      <w:r>
        <w:rPr>
          <w:rFonts w:ascii="Calibri" w:hAnsi="Calibri"/>
          <w:color w:val="008356"/>
          <w:spacing w:val="5"/>
          <w:w w:val="105"/>
          <w:sz w:val="11"/>
        </w:rPr>
        <w:t>CIMETIDINE</w:t>
      </w:r>
    </w:p>
    <w:p>
      <w:pPr>
        <w:pStyle w:val="BodyText"/>
        <w:spacing w:before="9"/>
        <w:ind w:left="108"/>
        <w:rPr>
          <w:rFonts w:ascii="Trebuchet MS"/>
        </w:rPr>
      </w:pPr>
      <w:r>
        <w:rPr>
          <w:rFonts w:ascii="Trebuchet MS"/>
          <w:color w:val="008356"/>
        </w:rPr>
        <w:t>Sympathomimetics,</w:t>
      </w:r>
      <w:r>
        <w:rPr>
          <w:rFonts w:ascii="Trebuchet MS"/>
          <w:color w:val="008356"/>
          <w:spacing w:val="-6"/>
        </w:rPr>
        <w:t> </w:t>
      </w:r>
      <w:r>
        <w:rPr>
          <w:rFonts w:ascii="Trebuchet MS"/>
          <w:color w:val="008356"/>
        </w:rPr>
        <w:t>Beta</w:t>
      </w:r>
      <w:r>
        <w:rPr>
          <w:rFonts w:ascii="Trebuchet MS"/>
          <w:color w:val="008356"/>
          <w:vertAlign w:val="subscript"/>
        </w:rPr>
        <w:t>2</w:t>
      </w:r>
    </w:p>
    <w:p>
      <w:pPr>
        <w:pStyle w:val="BodyText"/>
        <w:spacing w:line="220" w:lineRule="auto" w:before="10"/>
        <w:ind w:right="114" w:hanging="100"/>
        <w:rPr>
          <w:rFonts w:ascii="Calibri" w:hAnsi="Calibri"/>
          <w:sz w:val="11"/>
        </w:rPr>
      </w:pPr>
      <w:r>
        <w:rPr>
          <w:rFonts w:ascii="Lucida Sans Unicode" w:hAnsi="Lucida Sans Unicode"/>
          <w:color w:val="A7A8AC"/>
          <w:w w:val="95"/>
          <w:sz w:val="10"/>
        </w:rPr>
        <w:t>▶ </w:t>
      </w:r>
      <w:r>
        <w:rPr>
          <w:rFonts w:ascii="Calibri" w:hAnsi="Calibri"/>
          <w:color w:val="231F1F"/>
          <w:w w:val="110"/>
        </w:rPr>
        <w:t>Aminophylline: </w:t>
      </w:r>
      <w:r>
        <w:rPr>
          <w:color w:val="231F1F"/>
          <w:w w:val="110"/>
        </w:rPr>
        <w:t>increased risk of hypokalaemia when high doses</w:t>
      </w:r>
      <w:r>
        <w:rPr>
          <w:color w:val="231F1F"/>
          <w:spacing w:val="-7"/>
          <w:w w:val="110"/>
        </w:rPr>
        <w:t> </w:t>
      </w:r>
      <w:r>
        <w:rPr>
          <w:color w:val="231F1F"/>
          <w:w w:val="110"/>
        </w:rPr>
        <w:t>of</w:t>
      </w:r>
      <w:r>
        <w:rPr>
          <w:color w:val="231F1F"/>
          <w:spacing w:val="-5"/>
          <w:w w:val="110"/>
        </w:rPr>
        <w:t> </w:t>
      </w:r>
      <w:r>
        <w:rPr>
          <w:color w:val="231F1F"/>
          <w:w w:val="110"/>
        </w:rPr>
        <w:t>beta</w:t>
      </w:r>
      <w:r>
        <w:rPr>
          <w:color w:val="231F1F"/>
          <w:w w:val="110"/>
          <w:vertAlign w:val="subscript"/>
        </w:rPr>
        <w:t>2</w:t>
      </w:r>
      <w:r>
        <w:rPr>
          <w:color w:val="231F1F"/>
          <w:spacing w:val="-4"/>
          <w:w w:val="110"/>
          <w:vertAlign w:val="baseline"/>
        </w:rPr>
        <w:t> </w:t>
      </w:r>
      <w:r>
        <w:rPr>
          <w:color w:val="231F1F"/>
          <w:w w:val="110"/>
          <w:vertAlign w:val="baseline"/>
        </w:rPr>
        <w:t>sympathomimetics</w:t>
      </w:r>
      <w:r>
        <w:rPr>
          <w:color w:val="231F1F"/>
          <w:spacing w:val="-5"/>
          <w:w w:val="110"/>
          <w:vertAlign w:val="baseline"/>
        </w:rPr>
        <w:t> </w:t>
      </w:r>
      <w:r>
        <w:rPr>
          <w:color w:val="231F1F"/>
          <w:w w:val="110"/>
          <w:vertAlign w:val="baseline"/>
        </w:rPr>
        <w:t>given</w:t>
      </w:r>
      <w:r>
        <w:rPr>
          <w:color w:val="231F1F"/>
          <w:spacing w:val="-5"/>
          <w:w w:val="110"/>
          <w:vertAlign w:val="baseline"/>
        </w:rPr>
        <w:t> </w:t>
      </w:r>
      <w:r>
        <w:rPr>
          <w:color w:val="231F1F"/>
          <w:w w:val="110"/>
          <w:vertAlign w:val="baseline"/>
        </w:rPr>
        <w:t>with</w:t>
      </w:r>
      <w:r>
        <w:rPr>
          <w:color w:val="231F1F"/>
          <w:spacing w:val="-5"/>
          <w:w w:val="110"/>
          <w:vertAlign w:val="baseline"/>
        </w:rPr>
        <w:t> </w:t>
      </w:r>
      <w:r>
        <w:rPr>
          <w:rFonts w:ascii="Calibri" w:hAnsi="Calibri"/>
          <w:color w:val="008356"/>
          <w:spacing w:val="5"/>
          <w:w w:val="110"/>
          <w:sz w:val="11"/>
          <w:vertAlign w:val="baseline"/>
        </w:rPr>
        <w:t>AMINOPHYLLINE</w:t>
      </w:r>
    </w:p>
    <w:p>
      <w:pPr>
        <w:pStyle w:val="BodyText"/>
        <w:spacing w:line="146" w:lineRule="exact"/>
        <w:ind w:left="108"/>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Antifungals:</w:t>
      </w:r>
      <w:r>
        <w:rPr>
          <w:rFonts w:ascii="Calibri"/>
          <w:color w:val="231F1F"/>
          <w:spacing w:val="-11"/>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olodaterol</w:t>
      </w:r>
      <w:r>
        <w:rPr>
          <w:color w:val="231F1F"/>
          <w:spacing w:val="-14"/>
          <w:w w:val="115"/>
        </w:rPr>
        <w:t> </w:t>
      </w:r>
      <w:r>
        <w:rPr>
          <w:color w:val="231F1F"/>
          <w:w w:val="115"/>
        </w:rPr>
        <w:t>increased</w:t>
      </w:r>
      <w:r>
        <w:rPr>
          <w:color w:val="231F1F"/>
          <w:spacing w:val="-15"/>
          <w:w w:val="115"/>
        </w:rPr>
        <w:t> </w:t>
      </w:r>
      <w:r>
        <w:rPr>
          <w:color w:val="231F1F"/>
          <w:w w:val="115"/>
        </w:rPr>
        <w:t>by</w:t>
      </w:r>
    </w:p>
    <w:p>
      <w:pPr>
        <w:spacing w:line="141" w:lineRule="exact" w:before="0"/>
        <w:ind w:left="208" w:right="0" w:firstLine="0"/>
        <w:jc w:val="left"/>
        <w:rPr>
          <w:sz w:val="12"/>
        </w:rPr>
      </w:pPr>
      <w:r>
        <w:rPr>
          <w:rFonts w:ascii="Calibri"/>
          <w:color w:val="008356"/>
          <w:w w:val="110"/>
          <w:sz w:val="11"/>
        </w:rPr>
        <w:t>KETOCONAZOLE</w:t>
      </w:r>
      <w:r>
        <w:rPr>
          <w:color w:val="231F1F"/>
          <w:w w:val="110"/>
          <w:sz w:val="12"/>
        </w:rPr>
        <w:t>; metabolism of salmeterol inhibited by</w:t>
      </w:r>
    </w:p>
    <w:p>
      <w:pPr>
        <w:spacing w:line="140" w:lineRule="exact" w:before="3"/>
        <w:ind w:left="208" w:right="0" w:firstLine="0"/>
        <w:jc w:val="left"/>
        <w:rPr>
          <w:sz w:val="12"/>
        </w:rPr>
      </w:pPr>
      <w:r>
        <w:rPr>
          <w:rFonts w:ascii="Arial"/>
          <w:color w:val="231F1F"/>
          <w:w w:val="355"/>
          <w:position w:val="1"/>
          <w:sz w:val="7"/>
        </w:rPr>
        <w:t>l </w:t>
      </w:r>
      <w:r>
        <w:rPr>
          <w:rFonts w:ascii="Calibri"/>
          <w:color w:val="008356"/>
          <w:w w:val="110"/>
          <w:sz w:val="11"/>
        </w:rPr>
        <w:t>KETOCONAZOLE </w:t>
      </w:r>
      <w:r>
        <w:rPr>
          <w:color w:val="231F1F"/>
          <w:w w:val="110"/>
          <w:sz w:val="12"/>
        </w:rPr>
        <w:t>(increased plasma concentration)</w:t>
      </w:r>
    </w:p>
    <w:p>
      <w:pPr>
        <w:pStyle w:val="BodyText"/>
        <w:spacing w:line="145" w:lineRule="exact"/>
        <w:ind w:left="108"/>
      </w:pPr>
      <w:r>
        <w:rPr>
          <w:rFonts w:ascii="Arial"/>
          <w:color w:val="231F1F"/>
          <w:w w:val="355"/>
          <w:position w:val="1"/>
          <w:sz w:val="7"/>
        </w:rPr>
        <w:t>l</w:t>
      </w:r>
      <w:r>
        <w:rPr>
          <w:rFonts w:ascii="Arial"/>
          <w:color w:val="231F1F"/>
          <w:spacing w:val="-41"/>
          <w:w w:val="355"/>
          <w:position w:val="1"/>
          <w:sz w:val="7"/>
        </w:rPr>
        <w:t> </w:t>
      </w:r>
      <w:r>
        <w:rPr>
          <w:rFonts w:ascii="Calibri"/>
          <w:color w:val="231F1F"/>
          <w:w w:val="115"/>
        </w:rPr>
        <w:t>Antivirals:</w:t>
      </w:r>
      <w:r>
        <w:rPr>
          <w:rFonts w:ascii="Calibri"/>
          <w:color w:val="231F1F"/>
          <w:spacing w:val="-10"/>
          <w:w w:val="115"/>
        </w:rPr>
        <w:t> </w:t>
      </w:r>
      <w:r>
        <w:rPr>
          <w:color w:val="231F1F"/>
          <w:w w:val="115"/>
        </w:rPr>
        <w:t>avoidance</w:t>
      </w:r>
      <w:r>
        <w:rPr>
          <w:color w:val="231F1F"/>
          <w:spacing w:val="-13"/>
          <w:w w:val="115"/>
        </w:rPr>
        <w:t> </w:t>
      </w:r>
      <w:r>
        <w:rPr>
          <w:color w:val="231F1F"/>
          <w:w w:val="115"/>
        </w:rPr>
        <w:t>of</w:t>
      </w:r>
      <w:r>
        <w:rPr>
          <w:color w:val="231F1F"/>
          <w:spacing w:val="-12"/>
          <w:w w:val="115"/>
        </w:rPr>
        <w:t> </w:t>
      </w:r>
      <w:r>
        <w:rPr>
          <w:color w:val="231F1F"/>
          <w:w w:val="115"/>
        </w:rPr>
        <w:t>salmeterol</w:t>
      </w:r>
      <w:r>
        <w:rPr>
          <w:color w:val="231F1F"/>
          <w:spacing w:val="-13"/>
          <w:w w:val="115"/>
        </w:rPr>
        <w:t> </w:t>
      </w:r>
      <w:r>
        <w:rPr>
          <w:color w:val="231F1F"/>
          <w:w w:val="115"/>
        </w:rPr>
        <w:t>advised</w:t>
      </w:r>
      <w:r>
        <w:rPr>
          <w:color w:val="231F1F"/>
          <w:spacing w:val="-13"/>
          <w:w w:val="115"/>
        </w:rPr>
        <w:t> </w:t>
      </w:r>
      <w:r>
        <w:rPr>
          <w:color w:val="231F1F"/>
          <w:w w:val="115"/>
        </w:rPr>
        <w:t>by</w:t>
      </w:r>
      <w:r>
        <w:rPr>
          <w:color w:val="231F1F"/>
          <w:spacing w:val="-12"/>
          <w:w w:val="115"/>
        </w:rPr>
        <w:t> </w:t>
      </w:r>
      <w:r>
        <w:rPr>
          <w:color w:val="231F1F"/>
          <w:w w:val="115"/>
        </w:rPr>
        <w:t>manufacturer</w:t>
      </w:r>
      <w:r>
        <w:rPr>
          <w:color w:val="231F1F"/>
          <w:spacing w:val="-14"/>
          <w:w w:val="115"/>
        </w:rPr>
        <w:t> </w:t>
      </w:r>
      <w:r>
        <w:rPr>
          <w:color w:val="231F1F"/>
          <w:w w:val="115"/>
        </w:rPr>
        <w:t>of</w:t>
      </w:r>
    </w:p>
    <w:p>
      <w:pPr>
        <w:spacing w:before="0"/>
        <w:ind w:left="208" w:right="0" w:firstLine="0"/>
        <w:jc w:val="left"/>
        <w:rPr>
          <w:sz w:val="12"/>
        </w:rPr>
      </w:pPr>
      <w:r>
        <w:rPr>
          <w:rFonts w:ascii="Calibri"/>
          <w:color w:val="008356"/>
          <w:w w:val="110"/>
          <w:sz w:val="11"/>
        </w:rPr>
        <w:t>LOPINAVIR</w:t>
      </w:r>
      <w:r>
        <w:rPr>
          <w:color w:val="231F1F"/>
          <w:w w:val="110"/>
          <w:sz w:val="12"/>
        </w:rPr>
        <w:t>, </w:t>
      </w:r>
      <w:r>
        <w:rPr>
          <w:rFonts w:ascii="Calibri"/>
          <w:color w:val="008356"/>
          <w:w w:val="110"/>
          <w:sz w:val="11"/>
        </w:rPr>
        <w:t>RITONAVIR </w:t>
      </w:r>
      <w:r>
        <w:rPr>
          <w:color w:val="231F1F"/>
          <w:w w:val="110"/>
          <w:sz w:val="12"/>
        </w:rPr>
        <w:t>and </w:t>
      </w:r>
      <w:r>
        <w:rPr>
          <w:rFonts w:ascii="Calibri"/>
          <w:color w:val="008356"/>
          <w:w w:val="110"/>
          <w:sz w:val="11"/>
        </w:rPr>
        <w:t>TIPRANAVIR</w:t>
      </w:r>
      <w:r>
        <w:rPr>
          <w:color w:val="231F1F"/>
          <w:w w:val="110"/>
          <w:sz w:val="12"/>
        </w:rPr>
        <w:t>; avoidance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Sympathomimetics, Beta</w:t>
      </w:r>
      <w:r>
        <w:rPr>
          <w:rFonts w:ascii="Arial"/>
          <w:color w:val="008356"/>
          <w:vertAlign w:val="subscript"/>
        </w:rPr>
        <w:t>2</w:t>
      </w:r>
    </w:p>
    <w:p>
      <w:pPr>
        <w:pStyle w:val="BodyText"/>
        <w:spacing w:line="146" w:lineRule="exact" w:before="5"/>
        <w:ind w:left="108"/>
        <w:rPr>
          <w:rFonts w:ascii="Calibri"/>
        </w:rPr>
      </w:pPr>
      <w:r>
        <w:rPr/>
        <w:pict>
          <v:rect style="position:absolute;margin-left:398.891296pt;margin-top:-8.380091pt;width:20.522993pt;height:149.443pt;mso-position-horizontal-relative:page;mso-position-vertical-relative:paragraph;z-index:6496" filled="true" fillcolor="#bfdbcf" stroked="false">
            <v:fill type="solid"/>
            <w10:wrap type="none"/>
          </v:rect>
        </w:pict>
      </w:r>
      <w:r>
        <w:rPr/>
        <w:pict>
          <v:shape style="position:absolute;margin-left:399.725769pt;margin-top:-3.416702pt;width:10.4pt;height:78.850pt;mso-position-horizontal-relative:page;mso-position-vertical-relative:paragraph;z-index:652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Antivirals (continued)</w:t>
      </w:r>
    </w:p>
    <w:p>
      <w:pPr>
        <w:pStyle w:val="BodyText"/>
        <w:spacing w:line="244" w:lineRule="auto"/>
        <w:ind w:right="783"/>
      </w:pPr>
      <w:r>
        <w:rPr>
          <w:color w:val="231F1F"/>
          <w:w w:val="115"/>
        </w:rPr>
        <w:t>salmeterol</w:t>
      </w:r>
      <w:r>
        <w:rPr>
          <w:color w:val="231F1F"/>
          <w:spacing w:val="-16"/>
          <w:w w:val="115"/>
        </w:rPr>
        <w:t> </w:t>
      </w:r>
      <w:r>
        <w:rPr>
          <w:color w:val="231F1F"/>
          <w:w w:val="115"/>
        </w:rPr>
        <w:t>advised</w:t>
      </w:r>
      <w:r>
        <w:rPr>
          <w:color w:val="231F1F"/>
          <w:spacing w:val="-16"/>
          <w:w w:val="115"/>
        </w:rPr>
        <w:t> </w:t>
      </w:r>
      <w:r>
        <w:rPr>
          <w:color w:val="231F1F"/>
          <w:w w:val="115"/>
        </w:rPr>
        <w:t>by</w:t>
      </w:r>
      <w:r>
        <w:rPr>
          <w:color w:val="231F1F"/>
          <w:spacing w:val="-15"/>
          <w:w w:val="115"/>
        </w:rPr>
        <w:t> </w:t>
      </w:r>
      <w:r>
        <w:rPr>
          <w:color w:val="231F1F"/>
          <w:w w:val="115"/>
        </w:rPr>
        <w:t>manufacturer</w:t>
      </w:r>
      <w:r>
        <w:rPr>
          <w:color w:val="231F1F"/>
          <w:spacing w:val="-15"/>
          <w:w w:val="115"/>
        </w:rPr>
        <w:t> </w:t>
      </w:r>
      <w:r>
        <w:rPr>
          <w:color w:val="231F1F"/>
          <w:w w:val="115"/>
        </w:rPr>
        <w:t>of</w:t>
      </w:r>
      <w:r>
        <w:rPr>
          <w:color w:val="231F1F"/>
          <w:spacing w:val="-15"/>
          <w:w w:val="115"/>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5"/>
          <w:sz w:val="11"/>
        </w:rPr>
        <w:t>TELAPREVIR</w:t>
      </w:r>
      <w:r>
        <w:rPr>
          <w:rFonts w:ascii="Calibri"/>
          <w:color w:val="008356"/>
          <w:spacing w:val="-5"/>
          <w:w w:val="115"/>
          <w:sz w:val="11"/>
        </w:rPr>
        <w:t> </w:t>
      </w:r>
      <w:r>
        <w:rPr>
          <w:color w:val="231F1F"/>
          <w:w w:val="115"/>
        </w:rPr>
        <w:t>(risk</w:t>
      </w:r>
      <w:r>
        <w:rPr>
          <w:color w:val="231F1F"/>
          <w:spacing w:val="-15"/>
          <w:w w:val="115"/>
        </w:rPr>
        <w:t> </w:t>
      </w:r>
      <w:r>
        <w:rPr>
          <w:color w:val="231F1F"/>
          <w:w w:val="115"/>
        </w:rPr>
        <w:t>of ventricular</w:t>
      </w:r>
      <w:r>
        <w:rPr>
          <w:color w:val="231F1F"/>
          <w:spacing w:val="-5"/>
          <w:w w:val="115"/>
        </w:rPr>
        <w:t> </w:t>
      </w:r>
      <w:r>
        <w:rPr>
          <w:color w:val="231F1F"/>
          <w:w w:val="115"/>
        </w:rPr>
        <w:t>arrhythmias)</w:t>
      </w:r>
    </w:p>
    <w:p>
      <w:pPr>
        <w:spacing w:line="220" w:lineRule="auto" w:before="6"/>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Atomoxetine: </w:t>
      </w:r>
      <w:r>
        <w:rPr>
          <w:color w:val="231F1F"/>
          <w:w w:val="105"/>
          <w:sz w:val="12"/>
        </w:rPr>
        <w:t>Increased risk of cardiovascular side-effects when </w:t>
      </w:r>
      <w:r>
        <w:rPr>
          <w:i/>
          <w:color w:val="231F1F"/>
          <w:w w:val="105"/>
          <w:sz w:val="12"/>
        </w:rPr>
        <w:t>parenteral </w:t>
      </w:r>
      <w:r>
        <w:rPr>
          <w:color w:val="231F1F"/>
          <w:w w:val="105"/>
          <w:sz w:val="12"/>
        </w:rPr>
        <w:t>salbutamol given with </w:t>
      </w:r>
      <w:r>
        <w:rPr>
          <w:rFonts w:ascii="Calibri" w:hAnsi="Calibri"/>
          <w:color w:val="008356"/>
          <w:w w:val="105"/>
          <w:sz w:val="11"/>
        </w:rPr>
        <w:t>ATOMOXETINE</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salbutamol possibly reduces plasma concentration of </w:t>
      </w:r>
      <w:r>
        <w:rPr>
          <w:rFonts w:ascii="Calibri" w:hAnsi="Calibri"/>
          <w:color w:val="008356"/>
          <w:w w:val="105"/>
          <w:sz w:val="11"/>
        </w:rPr>
        <w:t>DIGOXIN</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Cobicistat: </w:t>
      </w:r>
      <w:r>
        <w:rPr>
          <w:color w:val="231F1F"/>
          <w:w w:val="105"/>
        </w:rPr>
        <w:t>avoidance of salmeterol advised by manufacturer of</w:t>
      </w:r>
    </w:p>
    <w:p>
      <w:pPr>
        <w:spacing w:line="131" w:lineRule="exact" w:before="0"/>
        <w:ind w:left="208" w:right="0" w:firstLine="0"/>
        <w:jc w:val="left"/>
        <w:rPr>
          <w:rFonts w:ascii="Calibri"/>
          <w:sz w:val="11"/>
        </w:rPr>
      </w:pPr>
      <w:r>
        <w:rPr>
          <w:rFonts w:ascii="Calibri"/>
          <w:color w:val="008356"/>
          <w:sz w:val="11"/>
        </w:rPr>
        <w:t>COBICISTAT</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increased risk of hypokalaemia when high doses of beta</w:t>
      </w:r>
      <w:r>
        <w:rPr>
          <w:color w:val="231F1F"/>
          <w:w w:val="110"/>
          <w:vertAlign w:val="subscript"/>
        </w:rPr>
        <w:t>2</w:t>
      </w:r>
      <w:r>
        <w:rPr>
          <w:color w:val="231F1F"/>
          <w:w w:val="110"/>
          <w:vertAlign w:val="baseline"/>
        </w:rPr>
        <w:t> sympathomimetics given with </w:t>
      </w:r>
      <w:r>
        <w:rPr>
          <w:rFonts w:ascii="Calibri" w:hAnsi="Calibri"/>
          <w:color w:val="008356"/>
          <w:w w:val="110"/>
          <w:sz w:val="11"/>
          <w:vertAlign w:val="baseline"/>
        </w:rPr>
        <w:t>CORTICOSTEROIDS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avoidance of salmeterol advised by </w:t>
      </w:r>
      <w:r>
        <w:rPr>
          <w:color w:val="231F1F"/>
          <w:spacing w:val="-2"/>
          <w:w w:val="105"/>
        </w:rPr>
        <w:t>manufacturer  </w:t>
      </w:r>
      <w:r>
        <w:rPr>
          <w:color w:val="231F1F"/>
          <w:w w:val="105"/>
        </w:rPr>
        <w:t>of</w:t>
      </w:r>
      <w:r>
        <w:rPr>
          <w:color w:val="231F1F"/>
          <w:spacing w:val="-1"/>
          <w:w w:val="105"/>
        </w:rPr>
        <w:t> </w:t>
      </w:r>
      <w:r>
        <w:rPr>
          <w:rFonts w:ascii="Calibri" w:hAnsi="Calibri"/>
          <w:color w:val="008356"/>
          <w:spacing w:val="5"/>
          <w:w w:val="105"/>
          <w:sz w:val="11"/>
        </w:rPr>
        <w:t>IDELALISIB</w:t>
      </w:r>
    </w:p>
    <w:p>
      <w:pPr>
        <w:spacing w:line="230" w:lineRule="auto" w:before="4"/>
        <w:ind w:left="208"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hypokalaemia when high doses of beta</w:t>
      </w:r>
      <w:r>
        <w:rPr>
          <w:color w:val="231F1F"/>
          <w:w w:val="105"/>
          <w:sz w:val="12"/>
          <w:vertAlign w:val="subscript"/>
        </w:rPr>
        <w:t>2</w:t>
      </w:r>
      <w:r>
        <w:rPr>
          <w:color w:val="231F1F"/>
          <w:w w:val="105"/>
          <w:sz w:val="12"/>
          <w:vertAlign w:val="baseline"/>
        </w:rPr>
        <w:t> sympathomimetics given with </w:t>
      </w:r>
      <w:r>
        <w:rPr>
          <w:rFonts w:ascii="Calibri" w:hAnsi="Calibri"/>
          <w:color w:val="008356"/>
          <w:w w:val="105"/>
          <w:sz w:val="11"/>
          <w:vertAlign w:val="baseline"/>
        </w:rPr>
        <w:t>ACETAZOLAMIDE</w:t>
      </w:r>
      <w:r>
        <w:rPr>
          <w:color w:val="231F1F"/>
          <w:w w:val="105"/>
          <w:sz w:val="12"/>
          <w:vertAlign w:val="baseline"/>
        </w:rPr>
        <w:t>, </w:t>
      </w:r>
      <w:r>
        <w:rPr>
          <w:rFonts w:ascii="Calibri" w:hAnsi="Calibri"/>
          <w:color w:val="008356"/>
          <w:w w:val="105"/>
          <w:sz w:val="11"/>
          <w:vertAlign w:val="baseline"/>
        </w:rPr>
        <w:t>LOOP DIURETICS </w:t>
      </w:r>
      <w:r>
        <w:rPr>
          <w:color w:val="231F1F"/>
          <w:w w:val="105"/>
          <w:sz w:val="12"/>
          <w:vertAlign w:val="baseline"/>
        </w:rPr>
        <w:t>or </w:t>
      </w:r>
      <w:r>
        <w:rPr>
          <w:rFonts w:ascii="Calibri" w:hAnsi="Calibri"/>
          <w:color w:val="008356"/>
          <w:w w:val="105"/>
          <w:sz w:val="11"/>
          <w:vertAlign w:val="baseline"/>
        </w:rPr>
        <w:t>THIAZIDES AND RELATED DIURETICS</w:t>
      </w:r>
    </w:p>
    <w:p>
      <w:pPr>
        <w:spacing w:before="0"/>
        <w:ind w:left="208" w:right="670" w:hanging="100"/>
        <w:jc w:val="left"/>
        <w:rPr>
          <w:rFonts w:ascii="Calibri"/>
          <w:sz w:val="11"/>
        </w:rPr>
      </w:pPr>
      <w:r>
        <w:rPr>
          <w:rFonts w:ascii="Arial"/>
          <w:color w:val="231F1F"/>
          <w:w w:val="355"/>
          <w:position w:val="1"/>
          <w:sz w:val="7"/>
        </w:rPr>
        <w:t>l </w:t>
      </w:r>
      <w:r>
        <w:rPr>
          <w:rFonts w:ascii="Calibri"/>
          <w:color w:val="231F1F"/>
          <w:w w:val="110"/>
          <w:sz w:val="12"/>
        </w:rPr>
        <w:t>Methyldopa: </w:t>
      </w:r>
      <w:r>
        <w:rPr>
          <w:color w:val="231F1F"/>
          <w:w w:val="110"/>
          <w:sz w:val="12"/>
        </w:rPr>
        <w:t>acute hypotension reported when </w:t>
      </w:r>
      <w:r>
        <w:rPr>
          <w:i/>
          <w:color w:val="231F1F"/>
          <w:w w:val="110"/>
          <w:sz w:val="12"/>
        </w:rPr>
        <w:t>infusion </w:t>
      </w:r>
      <w:r>
        <w:rPr>
          <w:color w:val="231F1F"/>
          <w:spacing w:val="-7"/>
          <w:w w:val="110"/>
          <w:sz w:val="12"/>
        </w:rPr>
        <w:t>of </w:t>
      </w:r>
      <w:r>
        <w:rPr>
          <w:color w:val="231F1F"/>
          <w:w w:val="110"/>
          <w:sz w:val="12"/>
        </w:rPr>
        <w:t>salbutamol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METHYLDOPA</w:t>
      </w:r>
    </w:p>
    <w:p>
      <w:pPr>
        <w:pStyle w:val="BodyText"/>
        <w:spacing w:line="152" w:lineRule="exact"/>
        <w:ind w:left="108"/>
      </w:pPr>
      <w:r>
        <w:rPr>
          <w:rFonts w:ascii="Lucida Sans Unicode" w:hAnsi="Lucida Sans Unicode"/>
          <w:color w:val="A7A8AC"/>
          <w:w w:val="95"/>
          <w:sz w:val="10"/>
        </w:rPr>
        <w:t>▶ </w:t>
      </w:r>
      <w:r>
        <w:rPr>
          <w:rFonts w:ascii="Calibri" w:hAnsi="Calibri"/>
          <w:color w:val="231F1F"/>
          <w:w w:val="105"/>
        </w:rPr>
        <w:t>Muscle Relaxants: </w:t>
      </w:r>
      <w:r>
        <w:rPr>
          <w:color w:val="231F1F"/>
          <w:w w:val="105"/>
        </w:rPr>
        <w:t>bambuterol enhances effects of</w:t>
      </w:r>
    </w:p>
    <w:p>
      <w:pPr>
        <w:spacing w:line="131" w:lineRule="exact" w:before="0"/>
        <w:ind w:left="208" w:right="0" w:firstLine="0"/>
        <w:jc w:val="left"/>
        <w:rPr>
          <w:rFonts w:ascii="Calibri"/>
          <w:sz w:val="11"/>
        </w:rPr>
      </w:pPr>
      <w:r>
        <w:rPr>
          <w:rFonts w:ascii="Calibri"/>
          <w:color w:val="008356"/>
          <w:sz w:val="11"/>
        </w:rPr>
        <w:t>SUXAMETHONIUM</w:t>
      </w:r>
    </w:p>
    <w:p>
      <w:pPr>
        <w:pStyle w:val="BodyText"/>
        <w:spacing w:line="220" w:lineRule="auto" w:before="8"/>
        <w:ind w:right="625" w:hanging="100"/>
        <w:rPr>
          <w:rFonts w:ascii="Calibri" w:hAnsi="Calibri"/>
          <w:sz w:val="11"/>
        </w:rPr>
      </w:pPr>
      <w:r>
        <w:rPr>
          <w:rFonts w:ascii="Lucida Sans Unicode" w:hAnsi="Lucida Sans Unicode"/>
          <w:color w:val="A7A8AC"/>
          <w:w w:val="95"/>
          <w:sz w:val="10"/>
        </w:rPr>
        <w:t>▶ </w:t>
      </w:r>
      <w:r>
        <w:rPr>
          <w:rFonts w:ascii="Calibri" w:hAnsi="Calibri"/>
          <w:color w:val="231F1F"/>
          <w:w w:val="110"/>
        </w:rPr>
        <w:t>Theophylline: </w:t>
      </w:r>
      <w:r>
        <w:rPr>
          <w:color w:val="231F1F"/>
          <w:w w:val="110"/>
        </w:rPr>
        <w:t>increased risk of hypokalaemia when high doses of beta</w:t>
      </w:r>
      <w:r>
        <w:rPr>
          <w:color w:val="231F1F"/>
          <w:w w:val="110"/>
          <w:vertAlign w:val="subscript"/>
        </w:rPr>
        <w:t>2</w:t>
      </w:r>
      <w:r>
        <w:rPr>
          <w:color w:val="231F1F"/>
          <w:w w:val="110"/>
          <w:vertAlign w:val="baseline"/>
        </w:rPr>
        <w:t> sympathomimetics given with </w:t>
      </w:r>
      <w:r>
        <w:rPr>
          <w:rFonts w:ascii="Calibri" w:hAnsi="Calibri"/>
          <w:color w:val="008356"/>
          <w:w w:val="110"/>
          <w:sz w:val="11"/>
          <w:vertAlign w:val="baseline"/>
        </w:rPr>
        <w:t>THEOPHYLLINE</w:t>
      </w:r>
    </w:p>
    <w:p>
      <w:pPr>
        <w:pStyle w:val="BodyText"/>
        <w:spacing w:before="9"/>
        <w:ind w:left="108"/>
        <w:rPr>
          <w:rFonts w:ascii="Trebuchet MS"/>
        </w:rPr>
      </w:pPr>
      <w:r>
        <w:rPr>
          <w:rFonts w:ascii="Trebuchet MS"/>
          <w:color w:val="008356"/>
        </w:rPr>
        <w:t>Tacrolimus</w:t>
      </w:r>
    </w:p>
    <w:p>
      <w:pPr>
        <w:pStyle w:val="BodyText"/>
        <w:spacing w:line="242" w:lineRule="auto" w:before="4"/>
        <w:ind w:right="718"/>
      </w:pPr>
      <w:r>
        <w:rPr>
          <w:rFonts w:ascii="Calibri"/>
          <w:color w:val="008356"/>
          <w:w w:val="115"/>
          <w:sz w:val="11"/>
        </w:rPr>
        <w:t>NOTE </w:t>
      </w:r>
      <w:r>
        <w:rPr>
          <w:color w:val="231F1F"/>
          <w:w w:val="115"/>
        </w:rPr>
        <w:t>Interactions do not generally apply to tacrolimus used topically; risk of facial flushing and skin irritation with topical tacrolimus on consumption of alcohol</w:t>
      </w:r>
    </w:p>
    <w:p>
      <w:pPr>
        <w:pStyle w:val="BodyText"/>
        <w:spacing w:before="1"/>
        <w:ind w:right="670"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possible increased risk of nephrotoxicity when tacrolimus given with </w:t>
      </w:r>
      <w:r>
        <w:rPr>
          <w:rFonts w:ascii="Calibri"/>
          <w:color w:val="008356"/>
          <w:spacing w:val="4"/>
          <w:w w:val="110"/>
          <w:sz w:val="11"/>
        </w:rPr>
        <w:t>NSAID</w:t>
      </w:r>
      <w:r>
        <w:rPr>
          <w:rFonts w:ascii="Calibri"/>
          <w:color w:val="008356"/>
          <w:spacing w:val="4"/>
          <w:w w:val="110"/>
          <w:sz w:val="9"/>
        </w:rPr>
        <w:t>S</w:t>
      </w:r>
      <w:r>
        <w:rPr>
          <w:color w:val="231F1F"/>
          <w:spacing w:val="4"/>
          <w:w w:val="110"/>
        </w:rPr>
        <w:t>; </w:t>
      </w:r>
      <w:r>
        <w:rPr>
          <w:color w:val="231F1F"/>
          <w:w w:val="110"/>
        </w:rPr>
        <w:t>increased risk of nephrotoxicity when tacrolimus given with </w:t>
      </w:r>
      <w:r>
        <w:rPr>
          <w:rFonts w:ascii="Arial"/>
          <w:color w:val="231F1F"/>
          <w:w w:val="355"/>
          <w:position w:val="1"/>
          <w:sz w:val="7"/>
        </w:rPr>
        <w:t>l</w:t>
      </w:r>
      <w:r>
        <w:rPr>
          <w:rFonts w:ascii="Arial"/>
          <w:color w:val="231F1F"/>
          <w:spacing w:val="-51"/>
          <w:w w:val="355"/>
          <w:position w:val="1"/>
          <w:sz w:val="7"/>
        </w:rPr>
        <w:t> </w:t>
      </w:r>
      <w:r>
        <w:rPr>
          <w:rFonts w:ascii="Calibri"/>
          <w:color w:val="008356"/>
          <w:spacing w:val="5"/>
          <w:w w:val="110"/>
          <w:sz w:val="11"/>
        </w:rPr>
        <w:t>IBUPROFEN</w:t>
      </w:r>
    </w:p>
    <w:p>
      <w:pPr>
        <w:spacing w:line="237" w:lineRule="auto" w:before="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increased risk of hyperkalaemia when tacrolimus given with </w:t>
      </w:r>
      <w:r>
        <w:rPr>
          <w:rFonts w:ascii="Calibri" w:hAnsi="Calibri"/>
          <w:color w:val="008356"/>
          <w:w w:val="105"/>
          <w:sz w:val="11"/>
        </w:rPr>
        <w:t>ANGIOTENSIN-II RECEPTOR ANTAGONISTS</w:t>
      </w:r>
    </w:p>
    <w:p>
      <w:pPr>
        <w:pStyle w:val="BodyText"/>
        <w:spacing w:line="220" w:lineRule="auto" w:before="5"/>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Anti-arrhythmics: </w:t>
      </w:r>
      <w:r>
        <w:rPr>
          <w:color w:val="231F1F"/>
          <w:w w:val="105"/>
        </w:rPr>
        <w:t>caution with tacrolimus advised by manufacturer of </w:t>
      </w:r>
      <w:r>
        <w:rPr>
          <w:rFonts w:ascii="Calibri" w:hAnsi="Calibri"/>
          <w:color w:val="008356"/>
          <w:w w:val="105"/>
          <w:sz w:val="11"/>
        </w:rPr>
        <w:t>DRONEDARONE</w:t>
      </w:r>
    </w:p>
    <w:p>
      <w:pPr>
        <w:spacing w:line="242" w:lineRule="auto" w:before="1"/>
        <w:ind w:left="208" w:right="728" w:hanging="100"/>
        <w:jc w:val="left"/>
        <w:rPr>
          <w:sz w:val="12"/>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tacrolimus increased by </w:t>
      </w:r>
      <w:r>
        <w:rPr>
          <w:rFonts w:ascii="Arial"/>
          <w:color w:val="231F1F"/>
          <w:w w:val="355"/>
          <w:position w:val="1"/>
          <w:sz w:val="7"/>
        </w:rPr>
        <w:t>l </w:t>
      </w:r>
      <w:r>
        <w:rPr>
          <w:rFonts w:ascii="Calibri"/>
          <w:color w:val="008356"/>
          <w:spacing w:val="4"/>
          <w:w w:val="110"/>
          <w:sz w:val="11"/>
        </w:rPr>
        <w:t>CLARITHROMYCIN </w:t>
      </w:r>
      <w:r>
        <w:rPr>
          <w:color w:val="231F1F"/>
          <w:w w:val="110"/>
          <w:sz w:val="12"/>
        </w:rPr>
        <w:t>and </w:t>
      </w:r>
      <w:r>
        <w:rPr>
          <w:rFonts w:ascii="Arial"/>
          <w:color w:val="231F1F"/>
          <w:w w:val="355"/>
          <w:position w:val="1"/>
          <w:sz w:val="7"/>
        </w:rPr>
        <w:t>l </w:t>
      </w:r>
      <w:r>
        <w:rPr>
          <w:rFonts w:ascii="Calibri"/>
          <w:color w:val="008356"/>
          <w:spacing w:val="4"/>
          <w:w w:val="110"/>
          <w:sz w:val="11"/>
        </w:rPr>
        <w:t>ERYTHROMYCIN</w:t>
      </w:r>
      <w:r>
        <w:rPr>
          <w:color w:val="231F1F"/>
          <w:spacing w:val="4"/>
          <w:w w:val="110"/>
          <w:sz w:val="12"/>
        </w:rPr>
        <w:t>; </w:t>
      </w:r>
      <w:r>
        <w:rPr>
          <w:color w:val="231F1F"/>
          <w:w w:val="110"/>
          <w:sz w:val="12"/>
        </w:rPr>
        <w:t>plasma concentration of tacrolimus possibly reduced by </w:t>
      </w:r>
      <w:r>
        <w:rPr>
          <w:rFonts w:ascii="Calibri"/>
          <w:color w:val="008356"/>
          <w:spacing w:val="4"/>
          <w:w w:val="110"/>
          <w:sz w:val="11"/>
        </w:rPr>
        <w:t>RIFABUTIN</w:t>
      </w:r>
      <w:r>
        <w:rPr>
          <w:color w:val="231F1F"/>
          <w:spacing w:val="4"/>
          <w:w w:val="110"/>
          <w:sz w:val="12"/>
        </w:rPr>
        <w:t>; </w:t>
      </w:r>
      <w:r>
        <w:rPr>
          <w:color w:val="231F1F"/>
          <w:w w:val="110"/>
          <w:sz w:val="12"/>
        </w:rPr>
        <w:t>plasma concentration of tacrolimus reduced by </w:t>
      </w:r>
      <w:r>
        <w:rPr>
          <w:rFonts w:ascii="Arial"/>
          <w:color w:val="231F1F"/>
          <w:w w:val="355"/>
          <w:position w:val="1"/>
          <w:sz w:val="7"/>
        </w:rPr>
        <w:t>l </w:t>
      </w:r>
      <w:r>
        <w:rPr>
          <w:rFonts w:ascii="Calibri"/>
          <w:color w:val="008356"/>
          <w:spacing w:val="2"/>
          <w:w w:val="110"/>
          <w:sz w:val="11"/>
        </w:rPr>
        <w:t>RIFAMPICIN</w:t>
      </w:r>
      <w:r>
        <w:rPr>
          <w:color w:val="231F1F"/>
          <w:spacing w:val="2"/>
          <w:w w:val="110"/>
          <w:sz w:val="12"/>
        </w:rPr>
        <w:t>; </w:t>
      </w:r>
      <w:r>
        <w:rPr>
          <w:color w:val="231F1F"/>
          <w:w w:val="110"/>
          <w:sz w:val="12"/>
        </w:rPr>
        <w:t>increased risk of nephrotoxicity when tacrolimus given with  </w:t>
      </w:r>
      <w:r>
        <w:rPr>
          <w:rFonts w:ascii="Arial"/>
          <w:color w:val="231F1F"/>
          <w:w w:val="355"/>
          <w:position w:val="1"/>
          <w:sz w:val="7"/>
        </w:rPr>
        <w:t>l </w:t>
      </w:r>
      <w:r>
        <w:rPr>
          <w:rFonts w:ascii="Calibri"/>
          <w:color w:val="008356"/>
          <w:spacing w:val="4"/>
          <w:w w:val="110"/>
          <w:sz w:val="11"/>
        </w:rPr>
        <w:t>AMINOGLYCOSIDES</w:t>
      </w:r>
      <w:r>
        <w:rPr>
          <w:color w:val="231F1F"/>
          <w:spacing w:val="4"/>
          <w:w w:val="110"/>
          <w:sz w:val="12"/>
        </w:rPr>
        <w:t>; </w:t>
      </w:r>
      <w:r>
        <w:rPr>
          <w:color w:val="231F1F"/>
          <w:w w:val="110"/>
          <w:sz w:val="12"/>
        </w:rPr>
        <w:t>plasma concentration of tacrolimus possibly increased 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CHLORAMPHENICOL </w:t>
      </w:r>
      <w:r>
        <w:rPr>
          <w:color w:val="231F1F"/>
          <w:w w:val="110"/>
          <w:sz w:val="12"/>
        </w:rPr>
        <w:t>and</w:t>
      </w:r>
    </w:p>
    <w:p>
      <w:pPr>
        <w:spacing w:line="244" w:lineRule="auto" w:before="3"/>
        <w:ind w:left="208" w:right="762" w:firstLine="0"/>
        <w:jc w:val="left"/>
        <w:rPr>
          <w:rFonts w:ascii="Calibri"/>
          <w:sz w:val="11"/>
        </w:rPr>
      </w:pPr>
      <w:r>
        <w:rPr>
          <w:rFonts w:ascii="Arial"/>
          <w:color w:val="231F1F"/>
          <w:w w:val="355"/>
          <w:position w:val="1"/>
          <w:sz w:val="7"/>
        </w:rPr>
        <w:t>l </w:t>
      </w:r>
      <w:r>
        <w:rPr>
          <w:rFonts w:ascii="Calibri"/>
          <w:color w:val="008356"/>
          <w:w w:val="105"/>
          <w:sz w:val="11"/>
        </w:rPr>
        <w:t>TELITHROMYCIN</w:t>
      </w:r>
      <w:r>
        <w:rPr>
          <w:color w:val="231F1F"/>
          <w:w w:val="105"/>
          <w:sz w:val="12"/>
        </w:rPr>
        <w:t>; possible increased risk of nephrotoxicity when tacrolimus given with </w:t>
      </w:r>
      <w:r>
        <w:rPr>
          <w:rFonts w:ascii="Calibri"/>
          <w:color w:val="008356"/>
          <w:w w:val="105"/>
          <w:sz w:val="11"/>
        </w:rPr>
        <w:t>VANCOMYCIN</w:t>
      </w:r>
    </w:p>
    <w:p>
      <w:pPr>
        <w:pStyle w:val="BodyText"/>
        <w:spacing w:line="237" w:lineRule="auto"/>
        <w:ind w:right="670" w:hanging="100"/>
      </w:pPr>
      <w:r>
        <w:rPr>
          <w:rFonts w:ascii="Arial" w:hAnsi="Arial"/>
          <w:color w:val="231F1F"/>
          <w:w w:val="355"/>
          <w:position w:val="1"/>
          <w:sz w:val="7"/>
        </w:rPr>
        <w:t>l </w:t>
      </w:r>
      <w:r>
        <w:rPr>
          <w:rFonts w:ascii="Calibri" w:hAnsi="Calibri"/>
          <w:color w:val="231F1F"/>
          <w:w w:val="120"/>
        </w:rPr>
        <w:t>Anticoagulants: </w:t>
      </w:r>
      <w:r>
        <w:rPr>
          <w:color w:val="231F1F"/>
          <w:w w:val="120"/>
        </w:rPr>
        <w:t>tacrolimus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DABIGATRAN</w:t>
      </w:r>
      <w:r>
        <w:rPr>
          <w:rFonts w:ascii="Arial" w:hAnsi="Arial"/>
          <w:color w:val="231F1F"/>
          <w:w w:val="115"/>
        </w:rPr>
        <w:t>—</w:t>
      </w:r>
      <w:r>
        <w:rPr>
          <w:color w:val="231F1F"/>
          <w:w w:val="115"/>
        </w:rPr>
        <w:t>manufacturer of dabigatran</w:t>
      </w:r>
    </w:p>
    <w:p>
      <w:pPr>
        <w:pStyle w:val="BodyText"/>
      </w:pPr>
      <w:r>
        <w:rPr>
          <w:color w:val="231F1F"/>
          <w:w w:val="115"/>
        </w:rPr>
        <w:t>advises avoid concomitant use</w:t>
      </w:r>
    </w:p>
    <w:p>
      <w:pPr>
        <w:pStyle w:val="BodyText"/>
        <w:ind w:right="670"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tacrolimus </w:t>
      </w:r>
      <w:r>
        <w:rPr>
          <w:color w:val="231F1F"/>
          <w:spacing w:val="-3"/>
          <w:w w:val="110"/>
        </w:rPr>
        <w:t>reduced </w:t>
      </w:r>
      <w:r>
        <w:rPr>
          <w:color w:val="231F1F"/>
          <w:w w:val="110"/>
        </w:rPr>
        <w:t>by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spacing w:line="247" w:lineRule="auto" w:before="0"/>
        <w:ind w:left="208" w:right="707"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tacrolimus reduced by </w:t>
      </w:r>
      <w:r>
        <w:rPr>
          <w:rFonts w:ascii="Calibri"/>
          <w:color w:val="008356"/>
          <w:spacing w:val="4"/>
          <w:w w:val="110"/>
          <w:sz w:val="11"/>
        </w:rPr>
        <w:t>FOSPHENYTOIN </w:t>
      </w:r>
      <w:r>
        <w:rPr>
          <w:color w:val="231F1F"/>
          <w:w w:val="110"/>
          <w:sz w:val="12"/>
        </w:rPr>
        <w:t>and </w:t>
      </w:r>
      <w:r>
        <w:rPr>
          <w:rFonts w:ascii="Calibri"/>
          <w:color w:val="008356"/>
          <w:spacing w:val="4"/>
          <w:w w:val="110"/>
          <w:sz w:val="11"/>
        </w:rPr>
        <w:t>PHENYTOIN</w:t>
      </w:r>
      <w:r>
        <w:rPr>
          <w:color w:val="231F1F"/>
          <w:spacing w:val="4"/>
          <w:w w:val="110"/>
          <w:sz w:val="12"/>
        </w:rPr>
        <w:t>, </w:t>
      </w:r>
      <w:r>
        <w:rPr>
          <w:color w:val="231F1F"/>
          <w:w w:val="110"/>
          <w:sz w:val="12"/>
        </w:rPr>
        <w:t>also plasma concentration of fosphenytoin and phenytoin possibly increased; plasma concentration of tacrolimus reduced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0"/>
          <w:sz w:val="11"/>
        </w:rPr>
        <w:t>PHENOBARBITAL </w:t>
      </w:r>
      <w:r>
        <w:rPr>
          <w:color w:val="231F1F"/>
          <w:spacing w:val="-4"/>
          <w:w w:val="110"/>
          <w:sz w:val="12"/>
        </w:rPr>
        <w:t>and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0"/>
          <w:sz w:val="11"/>
        </w:rPr>
        <w:t>PRIMIDONE</w:t>
      </w:r>
    </w:p>
    <w:p>
      <w:pPr>
        <w:pStyle w:val="BodyText"/>
        <w:spacing w:line="139" w:lineRule="exact"/>
        <w:ind w:left="108"/>
      </w:pPr>
      <w:r>
        <w:rPr>
          <w:rFonts w:ascii="Arial"/>
          <w:color w:val="231F1F"/>
          <w:w w:val="355"/>
          <w:position w:val="1"/>
          <w:sz w:val="7"/>
        </w:rPr>
        <w:t>l </w:t>
      </w:r>
      <w:r>
        <w:rPr>
          <w:rFonts w:ascii="Calibri"/>
          <w:color w:val="231F1F"/>
          <w:w w:val="115"/>
        </w:rPr>
        <w:t>Antifungals: </w:t>
      </w:r>
      <w:r>
        <w:rPr>
          <w:color w:val="231F1F"/>
          <w:w w:val="115"/>
        </w:rPr>
        <w:t>plasma concentration of tacrolimus increased 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spacing w:val="4"/>
          <w:w w:val="115"/>
          <w:sz w:val="11"/>
        </w:rPr>
        <w:t>FLUCONAZOLE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ITRACONAZOLE</w:t>
      </w:r>
      <w:r>
        <w:rPr>
          <w:color w:val="231F1F"/>
          <w:spacing w:val="4"/>
          <w:w w:val="115"/>
          <w:sz w:val="12"/>
        </w:rPr>
        <w:t>, </w:t>
      </w:r>
      <w:r>
        <w:rPr>
          <w:rFonts w:ascii="Arial"/>
          <w:color w:val="231F1F"/>
          <w:w w:val="355"/>
          <w:position w:val="1"/>
          <w:sz w:val="7"/>
        </w:rPr>
        <w:t>l </w:t>
      </w:r>
      <w:r>
        <w:rPr>
          <w:rFonts w:ascii="Calibri"/>
          <w:color w:val="008356"/>
          <w:spacing w:val="4"/>
          <w:w w:val="115"/>
          <w:sz w:val="11"/>
        </w:rPr>
        <w:t>KETOCONAZOLE</w:t>
      </w:r>
      <w:r>
        <w:rPr>
          <w:color w:val="231F1F"/>
          <w:spacing w:val="4"/>
          <w:w w:val="115"/>
          <w:sz w:val="12"/>
        </w:rPr>
        <w:t>,</w:t>
      </w:r>
    </w:p>
    <w:p>
      <w:pPr>
        <w:spacing w:line="244" w:lineRule="auto" w:before="0"/>
        <w:ind w:left="208" w:right="629"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POSACONAZOLE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VORICONAZOLE </w:t>
      </w:r>
      <w:r>
        <w:rPr>
          <w:color w:val="231F1F"/>
          <w:w w:val="110"/>
          <w:sz w:val="12"/>
        </w:rPr>
        <w:t>(consider reducing dose of tacrolimus); plasma concentration of tacrolimus possibly increased by </w:t>
      </w:r>
      <w:r>
        <w:rPr>
          <w:rFonts w:ascii="Arial"/>
          <w:color w:val="231F1F"/>
          <w:w w:val="355"/>
          <w:position w:val="1"/>
          <w:sz w:val="7"/>
        </w:rPr>
        <w:t>l </w:t>
      </w:r>
      <w:r>
        <w:rPr>
          <w:rFonts w:ascii="Calibri"/>
          <w:color w:val="008356"/>
          <w:spacing w:val="4"/>
          <w:w w:val="110"/>
          <w:sz w:val="11"/>
        </w:rPr>
        <w:t>MICONAZOLE </w:t>
      </w:r>
      <w:r>
        <w:rPr>
          <w:i/>
          <w:color w:val="231F1F"/>
          <w:w w:val="110"/>
          <w:sz w:val="12"/>
        </w:rPr>
        <w:t>oral gel</w:t>
      </w:r>
      <w:r>
        <w:rPr>
          <w:color w:val="231F1F"/>
          <w:w w:val="110"/>
          <w:sz w:val="12"/>
        </w:rPr>
        <w:t>; increased risk of nephrotoxicity when tacrolimus given with </w:t>
      </w:r>
      <w:r>
        <w:rPr>
          <w:rFonts w:ascii="Arial"/>
          <w:color w:val="231F1F"/>
          <w:w w:val="355"/>
          <w:position w:val="1"/>
          <w:sz w:val="7"/>
        </w:rPr>
        <w:t>l </w:t>
      </w:r>
      <w:r>
        <w:rPr>
          <w:rFonts w:ascii="Calibri"/>
          <w:color w:val="008356"/>
          <w:spacing w:val="4"/>
          <w:w w:val="110"/>
          <w:sz w:val="11"/>
        </w:rPr>
        <w:t>AMPHOTERICIN</w:t>
      </w:r>
      <w:r>
        <w:rPr>
          <w:color w:val="231F1F"/>
          <w:spacing w:val="4"/>
          <w:w w:val="110"/>
          <w:sz w:val="12"/>
        </w:rPr>
        <w:t>; </w:t>
      </w:r>
      <w:r>
        <w:rPr>
          <w:color w:val="231F1F"/>
          <w:w w:val="110"/>
          <w:sz w:val="12"/>
        </w:rPr>
        <w:t>plasma concentration of tacrolimus reduced by</w:t>
      </w:r>
    </w:p>
    <w:p>
      <w:pPr>
        <w:spacing w:line="133" w:lineRule="exact" w:before="8"/>
        <w:ind w:left="208" w:right="0" w:firstLine="0"/>
        <w:jc w:val="left"/>
        <w:rPr>
          <w:rFonts w:ascii="Calibri"/>
          <w:sz w:val="11"/>
        </w:rPr>
      </w:pPr>
      <w:r>
        <w:rPr>
          <w:rFonts w:ascii="Arial"/>
          <w:color w:val="231F1F"/>
          <w:w w:val="355"/>
          <w:position w:val="1"/>
          <w:sz w:val="7"/>
        </w:rPr>
        <w:t>l </w:t>
      </w:r>
      <w:r>
        <w:rPr>
          <w:rFonts w:ascii="Calibri"/>
          <w:color w:val="008356"/>
          <w:w w:val="115"/>
          <w:sz w:val="11"/>
        </w:rPr>
        <w:t>CASPOFUNGIN</w:t>
      </w:r>
    </w:p>
    <w:p>
      <w:pPr>
        <w:pStyle w:val="BodyText"/>
        <w:ind w:right="1339" w:hanging="100"/>
        <w:jc w:val="both"/>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Antipsychotics: </w:t>
      </w:r>
      <w:r>
        <w:rPr>
          <w:color w:val="231F1F"/>
          <w:w w:val="110"/>
        </w:rPr>
        <w:t>avoidance of tacrolimus advised </w:t>
      </w:r>
      <w:r>
        <w:rPr>
          <w:color w:val="231F1F"/>
          <w:spacing w:val="-8"/>
          <w:w w:val="110"/>
        </w:rPr>
        <w:t>by </w:t>
      </w:r>
      <w:r>
        <w:rPr>
          <w:color w:val="231F1F"/>
          <w:w w:val="110"/>
        </w:rPr>
        <w:t>manufacturer of </w:t>
      </w:r>
      <w:r>
        <w:rPr>
          <w:rFonts w:ascii="Arial"/>
          <w:color w:val="231F1F"/>
          <w:w w:val="355"/>
          <w:position w:val="1"/>
          <w:sz w:val="7"/>
        </w:rPr>
        <w:t>l</w:t>
      </w:r>
      <w:r>
        <w:rPr>
          <w:rFonts w:ascii="Arial"/>
          <w:color w:val="231F1F"/>
          <w:spacing w:val="-40"/>
          <w:w w:val="355"/>
          <w:position w:val="1"/>
          <w:sz w:val="7"/>
        </w:rPr>
        <w:t> </w:t>
      </w:r>
      <w:r>
        <w:rPr>
          <w:rFonts w:ascii="Calibri"/>
          <w:color w:val="008356"/>
          <w:spacing w:val="4"/>
          <w:w w:val="110"/>
          <w:sz w:val="11"/>
        </w:rPr>
        <w:t>DROPERIDOL </w:t>
      </w:r>
      <w:r>
        <w:rPr>
          <w:color w:val="231F1F"/>
          <w:w w:val="110"/>
        </w:rPr>
        <w:t>(risk of ventricular arrhythmias)</w:t>
      </w:r>
    </w:p>
    <w:p>
      <w:pPr>
        <w:spacing w:line="242" w:lineRule="auto" w:before="2"/>
        <w:ind w:left="208" w:right="670" w:hanging="100"/>
        <w:jc w:val="left"/>
        <w:rPr>
          <w:sz w:val="12"/>
        </w:rPr>
      </w:pPr>
      <w:r>
        <w:rPr>
          <w:rFonts w:ascii="Arial"/>
          <w:color w:val="231F1F"/>
          <w:w w:val="355"/>
          <w:position w:val="1"/>
          <w:sz w:val="7"/>
        </w:rPr>
        <w:t>l </w:t>
      </w:r>
      <w:r>
        <w:rPr>
          <w:rFonts w:ascii="Calibri"/>
          <w:color w:val="231F1F"/>
          <w:w w:val="110"/>
          <w:sz w:val="12"/>
        </w:rPr>
        <w:t>Antivirals: </w:t>
      </w:r>
      <w:r>
        <w:rPr>
          <w:color w:val="231F1F"/>
          <w:w w:val="110"/>
          <w:sz w:val="12"/>
        </w:rPr>
        <w:t>possible increased risk of nephrotoxicity when </w:t>
      </w:r>
      <w:r>
        <w:rPr>
          <w:color w:val="231F1F"/>
          <w:w w:val="105"/>
          <w:sz w:val="12"/>
        </w:rPr>
        <w:t>tacrolimus given with </w:t>
      </w:r>
      <w:r>
        <w:rPr>
          <w:rFonts w:ascii="Calibri"/>
          <w:color w:val="008356"/>
          <w:spacing w:val="4"/>
          <w:w w:val="105"/>
          <w:sz w:val="11"/>
        </w:rPr>
        <w:t>ACICLOVIR</w:t>
      </w:r>
      <w:r>
        <w:rPr>
          <w:color w:val="231F1F"/>
          <w:spacing w:val="4"/>
          <w:w w:val="105"/>
          <w:sz w:val="12"/>
        </w:rPr>
        <w:t>, </w:t>
      </w:r>
      <w:r>
        <w:rPr>
          <w:rFonts w:ascii="Calibri"/>
          <w:color w:val="008356"/>
          <w:spacing w:val="4"/>
          <w:w w:val="105"/>
          <w:sz w:val="11"/>
        </w:rPr>
        <w:t>GANCICLOVIR</w:t>
      </w:r>
      <w:r>
        <w:rPr>
          <w:color w:val="231F1F"/>
          <w:spacing w:val="4"/>
          <w:w w:val="105"/>
          <w:sz w:val="12"/>
        </w:rPr>
        <w:t>,</w:t>
      </w:r>
      <w:r>
        <w:rPr>
          <w:color w:val="231F1F"/>
          <w:spacing w:val="-16"/>
          <w:w w:val="105"/>
          <w:sz w:val="12"/>
        </w:rPr>
        <w:t> </w:t>
      </w:r>
      <w:r>
        <w:rPr>
          <w:rFonts w:ascii="Calibri"/>
          <w:color w:val="008356"/>
          <w:spacing w:val="3"/>
          <w:w w:val="105"/>
          <w:sz w:val="11"/>
        </w:rPr>
        <w:t>VALACICLOVIR </w:t>
      </w:r>
      <w:r>
        <w:rPr>
          <w:color w:val="231F1F"/>
          <w:w w:val="105"/>
          <w:sz w:val="12"/>
        </w:rPr>
        <w:t>or </w:t>
      </w:r>
      <w:r>
        <w:rPr>
          <w:rFonts w:ascii="Calibri"/>
          <w:color w:val="008356"/>
          <w:spacing w:val="3"/>
          <w:w w:val="110"/>
          <w:sz w:val="11"/>
        </w:rPr>
        <w:t>VALGANCICLOVIR</w:t>
      </w:r>
      <w:r>
        <w:rPr>
          <w:color w:val="231F1F"/>
          <w:spacing w:val="3"/>
          <w:w w:val="110"/>
          <w:sz w:val="12"/>
        </w:rPr>
        <w:t>; </w:t>
      </w:r>
      <w:r>
        <w:rPr>
          <w:color w:val="231F1F"/>
          <w:w w:val="110"/>
          <w:sz w:val="12"/>
        </w:rPr>
        <w:t>plasma concentration of tacrolimus possibly increased by </w:t>
      </w:r>
      <w:r>
        <w:rPr>
          <w:rFonts w:ascii="Arial"/>
          <w:color w:val="231F1F"/>
          <w:w w:val="355"/>
          <w:position w:val="1"/>
          <w:sz w:val="7"/>
        </w:rPr>
        <w:t>l </w:t>
      </w:r>
      <w:r>
        <w:rPr>
          <w:rFonts w:ascii="Calibri"/>
          <w:color w:val="008356"/>
          <w:spacing w:val="3"/>
          <w:w w:val="110"/>
          <w:sz w:val="11"/>
        </w:rPr>
        <w:t>ATAZANAVIR </w:t>
      </w:r>
      <w:r>
        <w:rPr>
          <w:color w:val="231F1F"/>
          <w:w w:val="110"/>
          <w:sz w:val="12"/>
        </w:rPr>
        <w:t>and </w:t>
      </w:r>
      <w:r>
        <w:rPr>
          <w:rFonts w:ascii="Arial"/>
          <w:color w:val="231F1F"/>
          <w:w w:val="355"/>
          <w:position w:val="1"/>
          <w:sz w:val="7"/>
        </w:rPr>
        <w:t>l </w:t>
      </w:r>
      <w:r>
        <w:rPr>
          <w:rFonts w:ascii="Calibri"/>
          <w:color w:val="008356"/>
          <w:spacing w:val="3"/>
          <w:w w:val="110"/>
          <w:sz w:val="11"/>
        </w:rPr>
        <w:t>RITONAVIR</w:t>
      </w:r>
      <w:r>
        <w:rPr>
          <w:color w:val="231F1F"/>
          <w:spacing w:val="3"/>
          <w:w w:val="110"/>
          <w:sz w:val="12"/>
        </w:rPr>
        <w:t>; </w:t>
      </w:r>
      <w:r>
        <w:rPr>
          <w:color w:val="231F1F"/>
          <w:w w:val="110"/>
          <w:sz w:val="12"/>
        </w:rPr>
        <w:t>plasma concentration of tacrolimus increased by </w:t>
      </w:r>
      <w:r>
        <w:rPr>
          <w:rFonts w:ascii="Arial"/>
          <w:color w:val="231F1F"/>
          <w:w w:val="355"/>
          <w:position w:val="1"/>
          <w:sz w:val="7"/>
        </w:rPr>
        <w:t>l </w:t>
      </w:r>
      <w:r>
        <w:rPr>
          <w:rFonts w:ascii="Calibri"/>
          <w:color w:val="008356"/>
          <w:spacing w:val="5"/>
          <w:w w:val="110"/>
          <w:sz w:val="11"/>
        </w:rPr>
        <w:t>BOCEPREVIR </w:t>
      </w:r>
      <w:r>
        <w:rPr>
          <w:color w:val="231F1F"/>
          <w:w w:val="110"/>
          <w:sz w:val="12"/>
        </w:rPr>
        <w:t>(reduce dose of tacrolimus); plasma concentration of tacrolimus possibly affected by </w:t>
      </w:r>
      <w:r>
        <w:rPr>
          <w:rFonts w:ascii="Arial"/>
          <w:color w:val="231F1F"/>
          <w:w w:val="355"/>
          <w:position w:val="1"/>
          <w:sz w:val="7"/>
        </w:rPr>
        <w:t>l </w:t>
      </w:r>
      <w:r>
        <w:rPr>
          <w:rFonts w:ascii="Calibri"/>
          <w:color w:val="008356"/>
          <w:spacing w:val="3"/>
          <w:w w:val="110"/>
          <w:sz w:val="11"/>
        </w:rPr>
        <w:t>EFAVIRENZ</w:t>
      </w:r>
      <w:r>
        <w:rPr>
          <w:color w:val="231F1F"/>
          <w:spacing w:val="3"/>
          <w:w w:val="110"/>
          <w:sz w:val="12"/>
        </w:rPr>
        <w:t>; </w:t>
      </w:r>
      <w:r>
        <w:rPr>
          <w:color w:val="231F1F"/>
          <w:w w:val="110"/>
          <w:sz w:val="12"/>
        </w:rPr>
        <w:t>plasma concentration of tacrolimus increased by </w:t>
      </w:r>
      <w:r>
        <w:rPr>
          <w:rFonts w:ascii="Arial"/>
          <w:color w:val="231F1F"/>
          <w:w w:val="355"/>
          <w:position w:val="1"/>
          <w:sz w:val="7"/>
        </w:rPr>
        <w:t>l </w:t>
      </w:r>
      <w:r>
        <w:rPr>
          <w:rFonts w:ascii="Calibri"/>
          <w:color w:val="008356"/>
          <w:spacing w:val="4"/>
          <w:w w:val="110"/>
          <w:sz w:val="11"/>
        </w:rPr>
        <w:t>FOSAMPRENAVIR</w:t>
      </w:r>
      <w:r>
        <w:rPr>
          <w:color w:val="231F1F"/>
          <w:spacing w:val="4"/>
          <w:w w:val="110"/>
          <w:sz w:val="12"/>
        </w:rPr>
        <w:t>; </w:t>
      </w:r>
      <w:r>
        <w:rPr>
          <w:color w:val="231F1F"/>
          <w:w w:val="110"/>
          <w:sz w:val="12"/>
        </w:rPr>
        <w:t>plasma concentration of tacrolimus increased</w:t>
      </w:r>
      <w:r>
        <w:rPr>
          <w:color w:val="231F1F"/>
          <w:spacing w:val="5"/>
          <w:w w:val="110"/>
          <w:sz w:val="12"/>
        </w:rPr>
        <w:t> </w:t>
      </w:r>
      <w:r>
        <w:rPr>
          <w:color w:val="231F1F"/>
          <w:w w:val="110"/>
          <w:sz w:val="12"/>
        </w:rPr>
        <w:t>by</w:t>
      </w:r>
    </w:p>
    <w:p>
      <w:pPr>
        <w:spacing w:before="9"/>
        <w:ind w:left="208" w:right="0" w:firstLine="0"/>
        <w:jc w:val="left"/>
        <w:rPr>
          <w:sz w:val="12"/>
        </w:rPr>
      </w:pPr>
      <w:r>
        <w:rPr>
          <w:rFonts w:ascii="Arial"/>
          <w:color w:val="231F1F"/>
          <w:w w:val="355"/>
          <w:position w:val="1"/>
          <w:sz w:val="7"/>
        </w:rPr>
        <w:t>l </w:t>
      </w:r>
      <w:r>
        <w:rPr>
          <w:rFonts w:ascii="Calibri"/>
          <w:color w:val="008356"/>
          <w:w w:val="110"/>
          <w:sz w:val="11"/>
        </w:rPr>
        <w:t>SAQUINAVIR </w:t>
      </w:r>
      <w:r>
        <w:rPr>
          <w:color w:val="231F1F"/>
          <w:w w:val="110"/>
          <w:sz w:val="12"/>
        </w:rPr>
        <w:t>(consider reducing dose of tacrolimus); plasma</w:t>
      </w:r>
    </w:p>
    <w:p>
      <w:pPr>
        <w:spacing w:after="0"/>
        <w:jc w:val="left"/>
        <w:rPr>
          <w:sz w:val="12"/>
        </w:rPr>
        <w:sectPr>
          <w:pgSz w:w="8390" w:h="11910"/>
          <w:pgMar w:header="0" w:footer="0" w:top="460" w:bottom="0" w:left="480" w:right="0"/>
          <w:cols w:num="2" w:equalWidth="0">
            <w:col w:w="3594" w:space="8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544" filled="true" fillcolor="#bfdbcf" stroked="false">
            <v:fill type="solid"/>
            <w10:wrap type="none"/>
          </v:rect>
        </w:pict>
      </w:r>
      <w:r>
        <w:rPr/>
        <w:pict>
          <v:shape style="position:absolute;margin-left:7.751256pt;margin-top:35.804367pt;width:10.4pt;height:78.850pt;mso-position-horizontal-relative:page;mso-position-vertical-relative:page;z-index:656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Tacrolimus</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Antivirals (continued)</w:t>
      </w:r>
    </w:p>
    <w:p>
      <w:pPr>
        <w:pStyle w:val="BodyText"/>
        <w:spacing w:line="249" w:lineRule="auto"/>
        <w:ind w:left="286"/>
      </w:pPr>
      <w:r>
        <w:rPr>
          <w:color w:val="231F1F"/>
          <w:w w:val="115"/>
        </w:rPr>
        <w:t>concentration</w:t>
      </w:r>
      <w:r>
        <w:rPr>
          <w:color w:val="231F1F"/>
          <w:spacing w:val="-6"/>
          <w:w w:val="115"/>
        </w:rPr>
        <w:t> </w:t>
      </w:r>
      <w:r>
        <w:rPr>
          <w:color w:val="231F1F"/>
          <w:w w:val="115"/>
        </w:rPr>
        <w:t>of</w:t>
      </w:r>
      <w:r>
        <w:rPr>
          <w:color w:val="231F1F"/>
          <w:spacing w:val="-4"/>
          <w:w w:val="115"/>
        </w:rPr>
        <w:t> </w:t>
      </w:r>
      <w:r>
        <w:rPr>
          <w:color w:val="231F1F"/>
          <w:w w:val="115"/>
        </w:rPr>
        <w:t>both</w:t>
      </w:r>
      <w:r>
        <w:rPr>
          <w:color w:val="231F1F"/>
          <w:spacing w:val="-5"/>
          <w:w w:val="115"/>
        </w:rPr>
        <w:t> </w:t>
      </w:r>
      <w:r>
        <w:rPr>
          <w:color w:val="231F1F"/>
          <w:w w:val="115"/>
        </w:rPr>
        <w:t>drugs</w:t>
      </w:r>
      <w:r>
        <w:rPr>
          <w:color w:val="231F1F"/>
          <w:spacing w:val="-3"/>
          <w:w w:val="115"/>
        </w:rPr>
        <w:t> </w:t>
      </w:r>
      <w:r>
        <w:rPr>
          <w:color w:val="231F1F"/>
          <w:w w:val="115"/>
        </w:rPr>
        <w:t>increased</w:t>
      </w:r>
      <w:r>
        <w:rPr>
          <w:color w:val="231F1F"/>
          <w:spacing w:val="-5"/>
          <w:w w:val="115"/>
        </w:rPr>
        <w:t> </w:t>
      </w:r>
      <w:r>
        <w:rPr>
          <w:color w:val="231F1F"/>
          <w:w w:val="115"/>
        </w:rPr>
        <w:t>when</w:t>
      </w:r>
      <w:r>
        <w:rPr>
          <w:color w:val="231F1F"/>
          <w:spacing w:val="-5"/>
          <w:w w:val="115"/>
        </w:rPr>
        <w:t> </w:t>
      </w:r>
      <w:r>
        <w:rPr>
          <w:color w:val="231F1F"/>
          <w:w w:val="115"/>
        </w:rPr>
        <w:t>tacrolimus</w:t>
      </w:r>
      <w:r>
        <w:rPr>
          <w:color w:val="231F1F"/>
          <w:spacing w:val="-5"/>
          <w:w w:val="115"/>
        </w:rPr>
        <w:t> </w:t>
      </w:r>
      <w:r>
        <w:rPr>
          <w:color w:val="231F1F"/>
          <w:spacing w:val="-3"/>
          <w:w w:val="115"/>
        </w:rPr>
        <w:t>given </w:t>
      </w:r>
      <w:r>
        <w:rPr>
          <w:color w:val="231F1F"/>
          <w:w w:val="115"/>
        </w:rPr>
        <w:t>with</w:t>
      </w:r>
      <w:r>
        <w:rPr>
          <w:color w:val="231F1F"/>
          <w:spacing w:val="-6"/>
          <w:w w:val="115"/>
        </w:rPr>
        <w:t> </w:t>
      </w:r>
      <w:r>
        <w:rPr>
          <w:rFonts w:ascii="Arial"/>
          <w:color w:val="231F1F"/>
          <w:w w:val="355"/>
          <w:position w:val="1"/>
          <w:sz w:val="7"/>
        </w:rPr>
        <w:t>l</w:t>
      </w:r>
      <w:r>
        <w:rPr>
          <w:rFonts w:ascii="Arial"/>
          <w:color w:val="231F1F"/>
          <w:spacing w:val="-43"/>
          <w:w w:val="355"/>
          <w:position w:val="1"/>
          <w:sz w:val="7"/>
        </w:rPr>
        <w:t> </w:t>
      </w:r>
      <w:r>
        <w:rPr>
          <w:rFonts w:ascii="Calibri"/>
          <w:color w:val="008356"/>
          <w:spacing w:val="4"/>
          <w:w w:val="115"/>
          <w:sz w:val="11"/>
        </w:rPr>
        <w:t>TELAPREVIR</w:t>
      </w:r>
      <w:r>
        <w:rPr>
          <w:rFonts w:ascii="Calibri"/>
          <w:color w:val="008356"/>
          <w:spacing w:val="6"/>
          <w:w w:val="115"/>
          <w:sz w:val="11"/>
        </w:rPr>
        <w:t> </w:t>
      </w:r>
      <w:r>
        <w:rPr>
          <w:color w:val="231F1F"/>
          <w:w w:val="115"/>
        </w:rPr>
        <w:t>(reduce</w:t>
      </w:r>
      <w:r>
        <w:rPr>
          <w:color w:val="231F1F"/>
          <w:spacing w:val="-6"/>
          <w:w w:val="115"/>
        </w:rPr>
        <w:t> </w:t>
      </w:r>
      <w:r>
        <w:rPr>
          <w:color w:val="231F1F"/>
          <w:w w:val="115"/>
        </w:rPr>
        <w:t>dose</w:t>
      </w:r>
      <w:r>
        <w:rPr>
          <w:color w:val="231F1F"/>
          <w:spacing w:val="-6"/>
          <w:w w:val="115"/>
        </w:rPr>
        <w:t> </w:t>
      </w:r>
      <w:r>
        <w:rPr>
          <w:color w:val="231F1F"/>
          <w:w w:val="115"/>
        </w:rPr>
        <w:t>of</w:t>
      </w:r>
      <w:r>
        <w:rPr>
          <w:color w:val="231F1F"/>
          <w:spacing w:val="-6"/>
          <w:w w:val="115"/>
        </w:rPr>
        <w:t> </w:t>
      </w:r>
      <w:r>
        <w:rPr>
          <w:color w:val="231F1F"/>
          <w:w w:val="115"/>
        </w:rPr>
        <w:t>tacrolimus)</w:t>
      </w:r>
    </w:p>
    <w:p>
      <w:pPr>
        <w:pStyle w:val="BodyText"/>
        <w:spacing w:line="139" w:lineRule="exact"/>
        <w:ind w:left="186"/>
      </w:pPr>
      <w:r>
        <w:rPr>
          <w:rFonts w:ascii="Arial"/>
          <w:color w:val="231F1F"/>
          <w:w w:val="355"/>
          <w:position w:val="1"/>
          <w:sz w:val="7"/>
        </w:rPr>
        <w:t>l </w:t>
      </w:r>
      <w:r>
        <w:rPr>
          <w:rFonts w:ascii="Calibri"/>
          <w:color w:val="231F1F"/>
          <w:w w:val="110"/>
        </w:rPr>
        <w:t>Calcium-channel Blockers: </w:t>
      </w:r>
      <w:r>
        <w:rPr>
          <w:color w:val="231F1F"/>
          <w:w w:val="110"/>
        </w:rPr>
        <w:t>plasma concentration of tacrolimus</w:t>
      </w:r>
    </w:p>
    <w:p>
      <w:pPr>
        <w:spacing w:line="244" w:lineRule="auto" w:before="0"/>
        <w:ind w:left="286" w:right="0" w:firstLine="0"/>
        <w:jc w:val="left"/>
        <w:rPr>
          <w:sz w:val="12"/>
        </w:rPr>
      </w:pPr>
      <w:r>
        <w:rPr>
          <w:color w:val="231F1F"/>
          <w:w w:val="110"/>
          <w:sz w:val="12"/>
        </w:rPr>
        <w:t>possibly increased by </w:t>
      </w:r>
      <w:r>
        <w:rPr>
          <w:rFonts w:ascii="Calibri"/>
          <w:color w:val="008356"/>
          <w:w w:val="110"/>
          <w:sz w:val="11"/>
        </w:rPr>
        <w:t>FELODIPINE </w:t>
      </w:r>
      <w:r>
        <w:rPr>
          <w:color w:val="231F1F"/>
          <w:w w:val="110"/>
          <w:sz w:val="12"/>
        </w:rPr>
        <w:t>and </w:t>
      </w:r>
      <w:r>
        <w:rPr>
          <w:rFonts w:ascii="Calibri"/>
          <w:color w:val="008356"/>
          <w:w w:val="110"/>
          <w:sz w:val="11"/>
        </w:rPr>
        <w:t>VERAPAMIL</w:t>
      </w:r>
      <w:r>
        <w:rPr>
          <w:color w:val="231F1F"/>
          <w:w w:val="110"/>
          <w:sz w:val="12"/>
        </w:rPr>
        <w:t>; plasma </w:t>
      </w:r>
      <w:r>
        <w:rPr>
          <w:color w:val="231F1F"/>
          <w:w w:val="115"/>
          <w:sz w:val="12"/>
        </w:rPr>
        <w:t>concentration of tacrolimus increased by </w:t>
      </w:r>
      <w:r>
        <w:rPr>
          <w:rFonts w:ascii="Arial"/>
          <w:color w:val="231F1F"/>
          <w:w w:val="355"/>
          <w:position w:val="1"/>
          <w:sz w:val="7"/>
        </w:rPr>
        <w:t>l </w:t>
      </w:r>
      <w:r>
        <w:rPr>
          <w:rFonts w:ascii="Calibri"/>
          <w:color w:val="008356"/>
          <w:w w:val="115"/>
          <w:sz w:val="11"/>
        </w:rPr>
        <w:t>DILTIAZEM</w:t>
      </w:r>
      <w:r>
        <w:rPr>
          <w:color w:val="231F1F"/>
          <w:w w:val="115"/>
          <w:sz w:val="12"/>
        </w:rPr>
        <w:t>,</w:t>
      </w:r>
    </w:p>
    <w:p>
      <w:pPr>
        <w:spacing w:line="139" w:lineRule="exact" w:before="0"/>
        <w:ind w:left="286" w:right="0" w:firstLine="0"/>
        <w:jc w:val="left"/>
        <w:rPr>
          <w:rFonts w:ascii="Calibri"/>
          <w:sz w:val="11"/>
        </w:rPr>
      </w:pPr>
      <w:r>
        <w:rPr>
          <w:rFonts w:ascii="Calibri"/>
          <w:color w:val="008356"/>
          <w:w w:val="110"/>
          <w:sz w:val="11"/>
        </w:rPr>
        <w:t>NICARDIPINE </w:t>
      </w:r>
      <w:r>
        <w:rPr>
          <w:color w:val="231F1F"/>
          <w:w w:val="110"/>
          <w:sz w:val="12"/>
        </w:rPr>
        <w:t>and </w:t>
      </w:r>
      <w:r>
        <w:rPr>
          <w:rFonts w:ascii="Arial"/>
          <w:color w:val="231F1F"/>
          <w:w w:val="355"/>
          <w:position w:val="1"/>
          <w:sz w:val="7"/>
        </w:rPr>
        <w:t>l </w:t>
      </w:r>
      <w:r>
        <w:rPr>
          <w:rFonts w:ascii="Calibri"/>
          <w:color w:val="008356"/>
          <w:w w:val="110"/>
          <w:sz w:val="11"/>
        </w:rPr>
        <w:t>NIFEDIPINE</w:t>
      </w:r>
    </w:p>
    <w:p>
      <w:pPr>
        <w:pStyle w:val="BodyText"/>
        <w:ind w:left="286" w:right="271" w:hanging="100"/>
      </w:pPr>
      <w:r>
        <w:rPr>
          <w:rFonts w:ascii="Arial" w:hAnsi="Arial"/>
          <w:color w:val="231F1F"/>
          <w:w w:val="115"/>
          <w:position w:val="1"/>
          <w:sz w:val="7"/>
        </w:rPr>
        <w:t>l</w:t>
      </w:r>
      <w:r>
        <w:rPr>
          <w:rFonts w:ascii="Arial" w:hAnsi="Arial"/>
          <w:color w:val="231F1F"/>
          <w:spacing w:val="10"/>
          <w:w w:val="115"/>
          <w:position w:val="1"/>
          <w:sz w:val="7"/>
        </w:rPr>
        <w:t> </w:t>
      </w:r>
      <w:r>
        <w:rPr>
          <w:rFonts w:ascii="Calibri" w:hAnsi="Calibri"/>
          <w:color w:val="231F1F"/>
          <w:w w:val="115"/>
        </w:rPr>
        <w:t>Ciclosporin:</w:t>
      </w:r>
      <w:r>
        <w:rPr>
          <w:rFonts w:ascii="Calibri" w:hAnsi="Calibri"/>
          <w:color w:val="231F1F"/>
          <w:spacing w:val="-5"/>
          <w:w w:val="115"/>
        </w:rPr>
        <w:t> </w:t>
      </w:r>
      <w:r>
        <w:rPr>
          <w:color w:val="231F1F"/>
          <w:w w:val="115"/>
        </w:rPr>
        <w:t>tacrolimus</w:t>
      </w:r>
      <w:r>
        <w:rPr>
          <w:color w:val="231F1F"/>
          <w:spacing w:val="-10"/>
          <w:w w:val="115"/>
        </w:rPr>
        <w:t> </w:t>
      </w:r>
      <w:r>
        <w:rPr>
          <w:color w:val="231F1F"/>
          <w:w w:val="115"/>
        </w:rPr>
        <w:t>increases</w:t>
      </w:r>
      <w:r>
        <w:rPr>
          <w:color w:val="231F1F"/>
          <w:spacing w:val="-9"/>
          <w:w w:val="115"/>
        </w:rPr>
        <w:t> </w:t>
      </w:r>
      <w:r>
        <w:rPr>
          <w:color w:val="231F1F"/>
          <w:w w:val="115"/>
        </w:rPr>
        <w:t>plasma</w:t>
      </w:r>
      <w:r>
        <w:rPr>
          <w:color w:val="231F1F"/>
          <w:spacing w:val="-9"/>
          <w:w w:val="115"/>
        </w:rPr>
        <w:t> </w:t>
      </w:r>
      <w:r>
        <w:rPr>
          <w:color w:val="231F1F"/>
          <w:w w:val="115"/>
        </w:rPr>
        <w:t>concentration</w:t>
      </w:r>
      <w:r>
        <w:rPr>
          <w:color w:val="231F1F"/>
          <w:spacing w:val="-10"/>
          <w:w w:val="115"/>
        </w:rPr>
        <w:t> </w:t>
      </w:r>
      <w:r>
        <w:rPr>
          <w:color w:val="231F1F"/>
          <w:spacing w:val="-8"/>
          <w:w w:val="115"/>
        </w:rPr>
        <w:t>of </w:t>
      </w:r>
      <w:r>
        <w:rPr>
          <w:rFonts w:ascii="Arial" w:hAnsi="Arial"/>
          <w:color w:val="231F1F"/>
          <w:w w:val="115"/>
          <w:position w:val="1"/>
          <w:sz w:val="7"/>
        </w:rPr>
        <w:t>l</w:t>
      </w:r>
      <w:r>
        <w:rPr>
          <w:rFonts w:ascii="Arial" w:hAnsi="Arial"/>
          <w:color w:val="231F1F"/>
          <w:spacing w:val="-8"/>
          <w:w w:val="115"/>
          <w:position w:val="1"/>
          <w:sz w:val="7"/>
        </w:rPr>
        <w:t> </w:t>
      </w:r>
      <w:r>
        <w:rPr>
          <w:rFonts w:ascii="Calibri" w:hAnsi="Calibri"/>
          <w:color w:val="008356"/>
          <w:spacing w:val="4"/>
          <w:w w:val="115"/>
          <w:sz w:val="11"/>
        </w:rPr>
        <w:t>CICLOSPORIN</w:t>
      </w:r>
      <w:r>
        <w:rPr>
          <w:rFonts w:ascii="Calibri" w:hAnsi="Calibri"/>
          <w:color w:val="008356"/>
          <w:spacing w:val="-9"/>
          <w:w w:val="115"/>
          <w:sz w:val="11"/>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9"/>
          <w:w w:val="115"/>
        </w:rPr>
        <w:t> </w:t>
      </w:r>
      <w:r>
        <w:rPr>
          <w:color w:val="231F1F"/>
          <w:w w:val="115"/>
        </w:rPr>
        <w:t>nephrotoxicity)</w:t>
      </w:r>
      <w:r>
        <w:rPr>
          <w:rFonts w:ascii="Arial" w:hAnsi="Arial"/>
          <w:color w:val="231F1F"/>
          <w:w w:val="115"/>
        </w:rPr>
        <w:t>—</w:t>
      </w:r>
      <w:r>
        <w:rPr>
          <w:color w:val="231F1F"/>
          <w:w w:val="115"/>
        </w:rPr>
        <w:t>avoid </w:t>
      </w:r>
      <w:r>
        <w:rPr>
          <w:color w:val="231F1F"/>
          <w:w w:val="120"/>
        </w:rPr>
        <w:t>concomitant</w:t>
      </w:r>
      <w:r>
        <w:rPr>
          <w:color w:val="231F1F"/>
          <w:spacing w:val="-7"/>
          <w:w w:val="120"/>
        </w:rPr>
        <w:t> </w:t>
      </w:r>
      <w:r>
        <w:rPr>
          <w:color w:val="231F1F"/>
          <w:w w:val="120"/>
        </w:rPr>
        <w:t>use</w:t>
      </w:r>
    </w:p>
    <w:p>
      <w:pPr>
        <w:pStyle w:val="BodyText"/>
        <w:spacing w:line="220" w:lineRule="auto" w:before="8"/>
        <w:ind w:left="286" w:right="29" w:hanging="100"/>
        <w:rPr>
          <w:rFonts w:ascii="Calibri" w:hAnsi="Calibri"/>
          <w:sz w:val="11"/>
        </w:rPr>
      </w:pPr>
      <w:r>
        <w:rPr>
          <w:rFonts w:ascii="Lucida Sans Unicode" w:hAnsi="Lucida Sans Unicode"/>
          <w:color w:val="A7A8AC"/>
          <w:w w:val="95"/>
          <w:sz w:val="10"/>
        </w:rPr>
        <w:t>▶ </w:t>
      </w:r>
      <w:r>
        <w:rPr>
          <w:rFonts w:ascii="Calibri" w:hAnsi="Calibri"/>
          <w:color w:val="231F1F"/>
          <w:w w:val="110"/>
        </w:rPr>
        <w:t>Colestilan: </w:t>
      </w:r>
      <w:r>
        <w:rPr>
          <w:color w:val="231F1F"/>
          <w:w w:val="110"/>
        </w:rPr>
        <w:t>manufacturer of colestilan advises give tacrolimus at least 1 hour before or 3 hours after </w:t>
      </w:r>
      <w:r>
        <w:rPr>
          <w:rFonts w:ascii="Calibri" w:hAnsi="Calibri"/>
          <w:color w:val="008356"/>
          <w:w w:val="110"/>
          <w:sz w:val="11"/>
        </w:rPr>
        <w:t>COLESTILAN</w:t>
      </w:r>
    </w:p>
    <w:p>
      <w:pPr>
        <w:pStyle w:val="BodyText"/>
        <w:spacing w:line="244" w:lineRule="auto"/>
        <w:ind w:left="286" w:right="-5" w:hanging="100"/>
      </w:pPr>
      <w:r>
        <w:rPr>
          <w:rFonts w:ascii="Arial" w:hAnsi="Arial"/>
          <w:color w:val="231F1F"/>
          <w:w w:val="355"/>
          <w:position w:val="1"/>
          <w:sz w:val="7"/>
        </w:rPr>
        <w:t>l </w:t>
      </w:r>
      <w:r>
        <w:rPr>
          <w:rFonts w:ascii="Calibri" w:hAnsi="Calibri"/>
          <w:color w:val="231F1F"/>
          <w:w w:val="120"/>
        </w:rPr>
        <w:t>Cytotoxics: </w:t>
      </w:r>
      <w:r>
        <w:rPr>
          <w:color w:val="231F1F"/>
          <w:w w:val="120"/>
        </w:rPr>
        <w:t>tacrolimus possibly increases the plasma </w:t>
      </w:r>
      <w:r>
        <w:rPr>
          <w:color w:val="231F1F"/>
          <w:w w:val="115"/>
        </w:rPr>
        <w:t>concentration of </w:t>
      </w:r>
      <w:r>
        <w:rPr>
          <w:rFonts w:ascii="Calibri" w:hAnsi="Calibri"/>
          <w:color w:val="008356"/>
          <w:w w:val="115"/>
          <w:sz w:val="11"/>
        </w:rPr>
        <w:t>AFATINIB</w:t>
      </w:r>
      <w:r>
        <w:rPr>
          <w:rFonts w:ascii="Arial" w:hAnsi="Arial"/>
          <w:color w:val="231F1F"/>
          <w:w w:val="115"/>
        </w:rPr>
        <w:t>—</w:t>
      </w:r>
      <w:r>
        <w:rPr>
          <w:color w:val="231F1F"/>
          <w:w w:val="115"/>
        </w:rPr>
        <w:t>manufacturer of afatinib advises </w:t>
      </w:r>
      <w:r>
        <w:rPr>
          <w:color w:val="231F1F"/>
          <w:w w:val="120"/>
        </w:rPr>
        <w:t>separating administration of tacrolimus by 6 to 12 hours; caution with tacrolimus advised by manufacturer of</w:t>
      </w:r>
    </w:p>
    <w:p>
      <w:pPr>
        <w:spacing w:line="244" w:lineRule="auto" w:before="0"/>
        <w:ind w:left="286" w:right="95" w:hanging="1"/>
        <w:jc w:val="left"/>
        <w:rPr>
          <w:rFonts w:ascii="Calibri"/>
          <w:sz w:val="11"/>
        </w:rPr>
      </w:pPr>
      <w:r>
        <w:rPr>
          <w:rFonts w:ascii="Arial"/>
          <w:color w:val="231F1F"/>
          <w:w w:val="355"/>
          <w:position w:val="1"/>
          <w:sz w:val="7"/>
        </w:rPr>
        <w:t>l </w:t>
      </w:r>
      <w:r>
        <w:rPr>
          <w:rFonts w:ascii="Calibri"/>
          <w:color w:val="008356"/>
          <w:w w:val="110"/>
          <w:sz w:val="11"/>
        </w:rPr>
        <w:t>CRIZOTINIB</w:t>
      </w:r>
      <w:r>
        <w:rPr>
          <w:color w:val="231F1F"/>
          <w:w w:val="110"/>
          <w:sz w:val="12"/>
        </w:rPr>
        <w:t>; plasma concentration of tacrolimus increased by </w:t>
      </w:r>
      <w:r>
        <w:rPr>
          <w:rFonts w:ascii="Calibri"/>
          <w:color w:val="008356"/>
          <w:w w:val="110"/>
          <w:sz w:val="11"/>
        </w:rPr>
        <w:t>IMATINIB</w:t>
      </w:r>
    </w:p>
    <w:p>
      <w:pPr>
        <w:pStyle w:val="BodyText"/>
        <w:spacing w:line="220" w:lineRule="auto" w:before="2"/>
        <w:ind w:left="286" w:right="399" w:hanging="100"/>
        <w:rPr>
          <w:rFonts w:ascii="Calibri" w:hAnsi="Calibri"/>
          <w:sz w:val="11"/>
        </w:rPr>
      </w:pPr>
      <w:r>
        <w:rPr>
          <w:rFonts w:ascii="Lucida Sans Unicode" w:hAnsi="Lucida Sans Unicode"/>
          <w:color w:val="A7A8AC"/>
          <w:w w:val="95"/>
          <w:sz w:val="10"/>
        </w:rPr>
        <w:t>▶ </w:t>
      </w:r>
      <w:r>
        <w:rPr>
          <w:rFonts w:ascii="Calibri" w:hAnsi="Calibri"/>
          <w:color w:val="231F1F"/>
          <w:w w:val="110"/>
        </w:rPr>
        <w:t>Dexrazoxane: </w:t>
      </w:r>
      <w:r>
        <w:rPr>
          <w:color w:val="231F1F"/>
          <w:w w:val="110"/>
        </w:rPr>
        <w:t>increased risk of immunosupression with tacrolimus advised by manufacturer of </w:t>
      </w:r>
      <w:r>
        <w:rPr>
          <w:rFonts w:ascii="Calibri" w:hAnsi="Calibri"/>
          <w:color w:val="008356"/>
          <w:w w:val="110"/>
          <w:sz w:val="11"/>
        </w:rPr>
        <w:t>DEXRAZOXANE</w:t>
      </w:r>
    </w:p>
    <w:p>
      <w:pPr>
        <w:spacing w:line="247" w:lineRule="auto" w:before="1"/>
        <w:ind w:left="286" w:right="0"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increased risk of hyperkalaemia when tacrolimus </w:t>
      </w:r>
      <w:r>
        <w:rPr>
          <w:color w:val="231F1F"/>
          <w:w w:val="105"/>
          <w:sz w:val="12"/>
        </w:rPr>
        <w:t>given with </w:t>
      </w:r>
      <w:r>
        <w:rPr>
          <w:rFonts w:ascii="Arial"/>
          <w:color w:val="231F1F"/>
          <w:w w:val="105"/>
          <w:position w:val="1"/>
          <w:sz w:val="7"/>
        </w:rPr>
        <w:t>l </w:t>
      </w:r>
      <w:r>
        <w:rPr>
          <w:rFonts w:ascii="Calibri"/>
          <w:color w:val="008356"/>
          <w:w w:val="105"/>
          <w:sz w:val="11"/>
        </w:rPr>
        <w:t>POTASSIUM-SPARING DIURETICS AND ALDOSTERONE </w:t>
      </w:r>
      <w:r>
        <w:rPr>
          <w:rFonts w:ascii="Calibri"/>
          <w:color w:val="008356"/>
          <w:w w:val="110"/>
          <w:sz w:val="11"/>
        </w:rPr>
        <w:t>ANTAGONISTS</w:t>
      </w:r>
    </w:p>
    <w:p>
      <w:pPr>
        <w:pStyle w:val="BodyText"/>
        <w:spacing w:line="139" w:lineRule="exact"/>
        <w:ind w:left="186"/>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Grapefruit</w:t>
      </w:r>
      <w:r>
        <w:rPr>
          <w:rFonts w:ascii="Calibri"/>
          <w:color w:val="231F1F"/>
          <w:spacing w:val="-13"/>
          <w:w w:val="115"/>
        </w:rPr>
        <w:t> </w:t>
      </w:r>
      <w:r>
        <w:rPr>
          <w:rFonts w:ascii="Calibri"/>
          <w:color w:val="231F1F"/>
          <w:w w:val="115"/>
        </w:rPr>
        <w:t>Juice:</w:t>
      </w:r>
      <w:r>
        <w:rPr>
          <w:rFonts w:ascii="Calibri"/>
          <w:color w:val="231F1F"/>
          <w:spacing w:val="-14"/>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color w:val="231F1F"/>
          <w:w w:val="115"/>
        </w:rPr>
        <w:t>tacrolimus</w:t>
      </w:r>
      <w:r>
        <w:rPr>
          <w:color w:val="231F1F"/>
          <w:spacing w:val="-17"/>
          <w:w w:val="115"/>
        </w:rPr>
        <w:t> </w:t>
      </w:r>
      <w:r>
        <w:rPr>
          <w:color w:val="231F1F"/>
          <w:w w:val="115"/>
        </w:rPr>
        <w:t>increased</w:t>
      </w:r>
    </w:p>
    <w:p>
      <w:pPr>
        <w:spacing w:line="140" w:lineRule="exact" w:before="0"/>
        <w:ind w:left="286" w:right="0" w:firstLine="0"/>
        <w:jc w:val="left"/>
        <w:rPr>
          <w:rFonts w:ascii="Calibri"/>
          <w:sz w:val="11"/>
        </w:rPr>
      </w:pPr>
      <w:r>
        <w:rPr>
          <w:color w:val="231F1F"/>
          <w:w w:val="110"/>
          <w:sz w:val="12"/>
        </w:rPr>
        <w:t>by </w:t>
      </w:r>
      <w:r>
        <w:rPr>
          <w:rFonts w:ascii="Arial"/>
          <w:color w:val="231F1F"/>
          <w:w w:val="355"/>
          <w:position w:val="1"/>
          <w:sz w:val="7"/>
        </w:rPr>
        <w:t>l </w:t>
      </w:r>
      <w:r>
        <w:rPr>
          <w:rFonts w:ascii="Calibri"/>
          <w:color w:val="008356"/>
          <w:spacing w:val="4"/>
          <w:w w:val="110"/>
          <w:sz w:val="11"/>
        </w:rPr>
        <w:t>GRAPEFRUIT </w:t>
      </w:r>
      <w:r>
        <w:rPr>
          <w:rFonts w:ascii="Calibri"/>
          <w:color w:val="008356"/>
          <w:spacing w:val="5"/>
          <w:w w:val="110"/>
          <w:sz w:val="11"/>
        </w:rPr>
        <w:t>JUICE</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Hormone Antagonists: </w:t>
      </w:r>
      <w:r>
        <w:rPr>
          <w:color w:val="231F1F"/>
          <w:w w:val="105"/>
        </w:rPr>
        <w:t>plasma concentration of tacrolimus possibly increased by </w:t>
      </w:r>
      <w:r>
        <w:rPr>
          <w:rFonts w:ascii="Calibri" w:hAnsi="Calibri"/>
          <w:color w:val="008356"/>
          <w:w w:val="105"/>
          <w:sz w:val="11"/>
        </w:rPr>
        <w:t>DANAZOL</w:t>
      </w:r>
    </w:p>
    <w:p>
      <w:pPr>
        <w:pStyle w:val="BodyText"/>
        <w:spacing w:line="242" w:lineRule="auto"/>
        <w:ind w:left="286" w:right="215"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tacrolimus by 12 hours advised by manufacturer of </w:t>
      </w:r>
      <w:r>
        <w:rPr>
          <w:rFonts w:ascii="Calibri" w:hAnsi="Calibri"/>
          <w:color w:val="008356"/>
          <w:w w:val="105"/>
          <w:sz w:val="11"/>
        </w:rPr>
        <w:t>LOMITAPIDE</w:t>
      </w:r>
    </w:p>
    <w:p>
      <w:pPr>
        <w:pStyle w:val="BodyText"/>
        <w:spacing w:line="220" w:lineRule="auto" w:before="2"/>
        <w:ind w:left="286" w:right="21" w:hanging="100"/>
        <w:rPr>
          <w:rFonts w:ascii="Calibri" w:hAnsi="Calibri"/>
          <w:sz w:val="11"/>
        </w:rPr>
      </w:pPr>
      <w:r>
        <w:rPr>
          <w:rFonts w:ascii="Lucida Sans Unicode" w:hAnsi="Lucida Sans Unicode"/>
          <w:color w:val="A7A8AC"/>
          <w:w w:val="95"/>
          <w:sz w:val="10"/>
        </w:rPr>
        <w:t>▶ </w:t>
      </w:r>
      <w:r>
        <w:rPr>
          <w:rFonts w:ascii="Calibri" w:hAnsi="Calibri"/>
          <w:color w:val="231F1F"/>
          <w:w w:val="105"/>
        </w:rPr>
        <w:t>Mifamurtide:  </w:t>
      </w:r>
      <w:r>
        <w:rPr>
          <w:color w:val="231F1F"/>
          <w:w w:val="105"/>
        </w:rPr>
        <w:t>avoidance of  tacrolimus advised by </w:t>
      </w:r>
      <w:r>
        <w:rPr>
          <w:color w:val="231F1F"/>
          <w:spacing w:val="-2"/>
          <w:w w:val="105"/>
        </w:rPr>
        <w:t>manufacturer </w:t>
      </w:r>
      <w:r>
        <w:rPr>
          <w:color w:val="231F1F"/>
          <w:w w:val="105"/>
        </w:rPr>
        <w:t>of</w:t>
      </w:r>
      <w:r>
        <w:rPr>
          <w:color w:val="231F1F"/>
          <w:spacing w:val="-1"/>
          <w:w w:val="105"/>
        </w:rPr>
        <w:t> </w:t>
      </w:r>
      <w:r>
        <w:rPr>
          <w:rFonts w:ascii="Calibri" w:hAnsi="Calibri"/>
          <w:color w:val="008356"/>
          <w:spacing w:val="4"/>
          <w:w w:val="105"/>
          <w:sz w:val="11"/>
        </w:rPr>
        <w:t>MIFAMURTIDE</w:t>
      </w:r>
    </w:p>
    <w:p>
      <w:pPr>
        <w:spacing w:line="220" w:lineRule="auto" w:before="8"/>
        <w:ind w:left="286" w:right="9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Oestrogens: </w:t>
      </w:r>
      <w:r>
        <w:rPr>
          <w:color w:val="231F1F"/>
          <w:w w:val="105"/>
          <w:sz w:val="12"/>
        </w:rPr>
        <w:t>plasma concentration of tacrolimus possibly increased by </w:t>
      </w:r>
      <w:r>
        <w:rPr>
          <w:rFonts w:ascii="Calibri" w:hAnsi="Calibri"/>
          <w:color w:val="008356"/>
          <w:w w:val="105"/>
          <w:sz w:val="11"/>
        </w:rPr>
        <w:t>ETHINYLESTRADIOL</w:t>
      </w:r>
    </w:p>
    <w:p>
      <w:pPr>
        <w:pStyle w:val="BodyText"/>
        <w:spacing w:before="1"/>
        <w:ind w:left="286" w:right="443"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Potassium</w:t>
      </w:r>
      <w:r>
        <w:rPr>
          <w:rFonts w:ascii="Calibri"/>
          <w:color w:val="231F1F"/>
          <w:spacing w:val="-15"/>
          <w:w w:val="115"/>
        </w:rPr>
        <w:t> </w:t>
      </w:r>
      <w:r>
        <w:rPr>
          <w:rFonts w:ascii="Calibri"/>
          <w:color w:val="231F1F"/>
          <w:w w:val="115"/>
        </w:rPr>
        <w:t>Salts:</w:t>
      </w:r>
      <w:r>
        <w:rPr>
          <w:rFonts w:ascii="Calibri"/>
          <w:color w:val="231F1F"/>
          <w:spacing w:val="-15"/>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hyperkalaemia</w:t>
      </w:r>
      <w:r>
        <w:rPr>
          <w:color w:val="231F1F"/>
          <w:spacing w:val="-19"/>
          <w:w w:val="115"/>
        </w:rPr>
        <w:t> </w:t>
      </w:r>
      <w:r>
        <w:rPr>
          <w:color w:val="231F1F"/>
          <w:spacing w:val="-4"/>
          <w:w w:val="115"/>
        </w:rPr>
        <w:t>when </w:t>
      </w:r>
      <w:r>
        <w:rPr>
          <w:color w:val="231F1F"/>
          <w:w w:val="115"/>
        </w:rPr>
        <w:t>tacrolimus</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7"/>
          <w:w w:val="115"/>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3"/>
          <w:w w:val="115"/>
          <w:sz w:val="11"/>
        </w:rPr>
        <w:t>POTASSIUM</w:t>
      </w:r>
      <w:r>
        <w:rPr>
          <w:rFonts w:ascii="Calibri"/>
          <w:color w:val="008356"/>
          <w:w w:val="115"/>
          <w:sz w:val="11"/>
        </w:rPr>
        <w:t> </w:t>
      </w:r>
      <w:r>
        <w:rPr>
          <w:rFonts w:ascii="Calibri"/>
          <w:color w:val="008356"/>
          <w:spacing w:val="3"/>
          <w:w w:val="115"/>
          <w:sz w:val="11"/>
        </w:rPr>
        <w:t>SALTS</w:t>
      </w:r>
    </w:p>
    <w:p>
      <w:pPr>
        <w:pStyle w:val="BodyText"/>
        <w:spacing w:line="143" w:lineRule="exact"/>
        <w:ind w:left="186"/>
      </w:pPr>
      <w:r>
        <w:rPr>
          <w:rFonts w:ascii="Arial"/>
          <w:color w:val="231F1F"/>
          <w:w w:val="355"/>
          <w:position w:val="1"/>
          <w:sz w:val="7"/>
        </w:rPr>
        <w:t>l</w:t>
      </w:r>
      <w:r>
        <w:rPr>
          <w:rFonts w:ascii="Arial"/>
          <w:color w:val="231F1F"/>
          <w:spacing w:val="-39"/>
          <w:w w:val="355"/>
          <w:position w:val="1"/>
          <w:sz w:val="7"/>
        </w:rPr>
        <w:t> </w:t>
      </w:r>
      <w:r>
        <w:rPr>
          <w:rFonts w:ascii="Calibri"/>
          <w:color w:val="231F1F"/>
          <w:w w:val="115"/>
        </w:rPr>
        <w:t>Ranolazine:</w:t>
      </w:r>
      <w:r>
        <w:rPr>
          <w:rFonts w:ascii="Calibri"/>
          <w:color w:val="231F1F"/>
          <w:spacing w:val="-8"/>
          <w:w w:val="115"/>
        </w:rPr>
        <w:t> </w:t>
      </w:r>
      <w:r>
        <w:rPr>
          <w:color w:val="231F1F"/>
          <w:w w:val="115"/>
        </w:rPr>
        <w:t>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11"/>
          <w:w w:val="115"/>
        </w:rPr>
        <w:t> </w:t>
      </w:r>
      <w:r>
        <w:rPr>
          <w:color w:val="231F1F"/>
          <w:w w:val="115"/>
        </w:rPr>
        <w:t>tacrolimus</w:t>
      </w:r>
      <w:r>
        <w:rPr>
          <w:color w:val="231F1F"/>
          <w:spacing w:val="-12"/>
          <w:w w:val="115"/>
        </w:rPr>
        <w:t> </w:t>
      </w:r>
      <w:r>
        <w:rPr>
          <w:color w:val="231F1F"/>
          <w:w w:val="115"/>
        </w:rPr>
        <w:t>increased</w:t>
      </w:r>
      <w:r>
        <w:rPr>
          <w:color w:val="231F1F"/>
          <w:spacing w:val="-11"/>
          <w:w w:val="115"/>
        </w:rPr>
        <w:t> </w:t>
      </w:r>
      <w:r>
        <w:rPr>
          <w:color w:val="231F1F"/>
          <w:w w:val="115"/>
        </w:rPr>
        <w:t>by</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RANOLAZINE</w:t>
      </w:r>
    </w:p>
    <w:p>
      <w:pPr>
        <w:pStyle w:val="BodyText"/>
        <w:spacing w:line="220" w:lineRule="auto" w:before="7"/>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Sevelamer: </w:t>
      </w:r>
      <w:r>
        <w:rPr>
          <w:color w:val="231F1F"/>
          <w:w w:val="105"/>
        </w:rPr>
        <w:t>plasma concentration of tacrolimus possibly reduced by </w:t>
      </w:r>
      <w:r>
        <w:rPr>
          <w:rFonts w:ascii="Calibri" w:hAnsi="Calibri"/>
          <w:color w:val="008356"/>
          <w:w w:val="105"/>
          <w:sz w:val="11"/>
        </w:rPr>
        <w:t>SEVELAMER</w:t>
      </w:r>
    </w:p>
    <w:p>
      <w:pPr>
        <w:pStyle w:val="BodyText"/>
        <w:spacing w:line="220" w:lineRule="auto" w:before="9"/>
        <w:ind w:left="286" w:right="203"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tacrolimus possibly increased by </w:t>
      </w:r>
      <w:r>
        <w:rPr>
          <w:rFonts w:ascii="Calibri" w:hAnsi="Calibri"/>
          <w:color w:val="008356"/>
          <w:w w:val="105"/>
          <w:sz w:val="11"/>
        </w:rPr>
        <w:t>OMEPRAZOLE</w:t>
      </w:r>
    </w:p>
    <w:p>
      <w:pPr>
        <w:pStyle w:val="BodyText"/>
        <w:spacing w:before="10"/>
        <w:ind w:left="186"/>
        <w:rPr>
          <w:rFonts w:ascii="Trebuchet MS"/>
        </w:rPr>
      </w:pPr>
      <w:r>
        <w:rPr>
          <w:rFonts w:ascii="Trebuchet MS"/>
          <w:color w:val="008356"/>
        </w:rPr>
        <w:t>Tadalafil</w:t>
      </w:r>
    </w:p>
    <w:p>
      <w:pPr>
        <w:pStyle w:val="BodyText"/>
        <w:spacing w:line="244" w:lineRule="auto"/>
        <w:ind w:left="286" w:right="-12" w:hanging="100"/>
      </w:pPr>
      <w:r>
        <w:rPr>
          <w:rFonts w:ascii="Arial" w:hAnsi="Arial"/>
          <w:color w:val="231F1F"/>
          <w:w w:val="355"/>
          <w:position w:val="1"/>
          <w:sz w:val="7"/>
        </w:rPr>
        <w:t>l </w:t>
      </w:r>
      <w:r>
        <w:rPr>
          <w:rFonts w:ascii="Calibri" w:hAnsi="Calibri"/>
          <w:color w:val="231F1F"/>
          <w:w w:val="115"/>
        </w:rPr>
        <w:t>Alpha-blockers: </w:t>
      </w:r>
      <w:r>
        <w:rPr>
          <w:color w:val="231F1F"/>
          <w:w w:val="115"/>
        </w:rPr>
        <w:t>enhanced hypotensive effect when tadalafil given with </w:t>
      </w:r>
      <w:r>
        <w:rPr>
          <w:rFonts w:ascii="Arial" w:hAnsi="Arial"/>
          <w:color w:val="231F1F"/>
          <w:w w:val="355"/>
          <w:position w:val="1"/>
          <w:sz w:val="7"/>
        </w:rPr>
        <w:t>l </w:t>
      </w:r>
      <w:r>
        <w:rPr>
          <w:rFonts w:ascii="Calibri" w:hAnsi="Calibri"/>
          <w:color w:val="008356"/>
          <w:w w:val="115"/>
          <w:sz w:val="11"/>
        </w:rPr>
        <w:t>DOXAZOSIN</w:t>
      </w:r>
      <w:r>
        <w:rPr>
          <w:rFonts w:ascii="Arial" w:hAnsi="Arial"/>
          <w:color w:val="231F1F"/>
          <w:w w:val="115"/>
        </w:rPr>
        <w:t>—</w:t>
      </w:r>
      <w:r>
        <w:rPr>
          <w:color w:val="231F1F"/>
          <w:w w:val="115"/>
        </w:rPr>
        <w:t>manufacturer of tadalafil advises avoid concomitant use; enhanced hypotensive effect when tadalafil</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ALPHA-BLOCKERS</w:t>
      </w:r>
      <w:r>
        <w:rPr>
          <w:rFonts w:ascii="Arial" w:hAnsi="Arial"/>
          <w:color w:val="231F1F"/>
          <w:spacing w:val="3"/>
          <w:w w:val="115"/>
        </w:rPr>
        <w:t>—</w:t>
      </w:r>
      <w:r>
        <w:rPr>
          <w:color w:val="231F1F"/>
          <w:spacing w:val="3"/>
          <w:w w:val="115"/>
        </w:rPr>
        <w:t>when</w:t>
      </w:r>
      <w:r>
        <w:rPr>
          <w:color w:val="231F1F"/>
          <w:spacing w:val="-21"/>
          <w:w w:val="115"/>
        </w:rPr>
        <w:t> </w:t>
      </w:r>
      <w:r>
        <w:rPr>
          <w:color w:val="231F1F"/>
          <w:w w:val="115"/>
        </w:rPr>
        <w:t>patient</w:t>
      </w:r>
      <w:r>
        <w:rPr>
          <w:color w:val="231F1F"/>
          <w:spacing w:val="-22"/>
          <w:w w:val="115"/>
        </w:rPr>
        <w:t> </w:t>
      </w:r>
      <w:r>
        <w:rPr>
          <w:color w:val="231F1F"/>
          <w:w w:val="115"/>
        </w:rPr>
        <w:t>is</w:t>
      </w:r>
      <w:r>
        <w:rPr>
          <w:color w:val="231F1F"/>
          <w:spacing w:val="-21"/>
          <w:w w:val="115"/>
        </w:rPr>
        <w:t> </w:t>
      </w:r>
      <w:r>
        <w:rPr>
          <w:color w:val="231F1F"/>
          <w:w w:val="115"/>
        </w:rPr>
        <w:t>stable on the alpha blocker initiate tadalafil at the lowest possible dose</w:t>
      </w:r>
    </w:p>
    <w:p>
      <w:pPr>
        <w:pStyle w:val="BodyText"/>
        <w:spacing w:line="230" w:lineRule="auto" w:before="2"/>
        <w:ind w:left="286" w:right="645" w:hanging="100"/>
        <w:jc w:val="both"/>
      </w:pPr>
      <w:r>
        <w:rPr>
          <w:rFonts w:ascii="Lucida Sans Unicode" w:hAnsi="Lucida Sans Unicode"/>
          <w:color w:val="A7A8AC"/>
          <w:w w:val="95"/>
          <w:sz w:val="10"/>
        </w:rPr>
        <w:t>▶</w:t>
      </w:r>
      <w:r>
        <w:rPr>
          <w:rFonts w:ascii="Lucida Sans Unicode" w:hAnsi="Lucida Sans Unicode"/>
          <w:color w:val="A7A8AC"/>
          <w:spacing w:val="10"/>
          <w:w w:val="95"/>
          <w:sz w:val="10"/>
        </w:rPr>
        <w:t> </w:t>
      </w:r>
      <w:r>
        <w:rPr>
          <w:rFonts w:ascii="Calibri" w:hAnsi="Calibri"/>
          <w:color w:val="231F1F"/>
          <w:w w:val="110"/>
        </w:rPr>
        <w:t>Anti-arrhythmics:</w:t>
      </w:r>
      <w:r>
        <w:rPr>
          <w:rFonts w:ascii="Calibri" w:hAnsi="Calibri"/>
          <w:color w:val="231F1F"/>
          <w:spacing w:val="-7"/>
          <w:w w:val="110"/>
        </w:rPr>
        <w:t> </w:t>
      </w:r>
      <w:r>
        <w:rPr>
          <w:color w:val="231F1F"/>
          <w:w w:val="110"/>
        </w:rPr>
        <w:t>avoidance</w:t>
      </w:r>
      <w:r>
        <w:rPr>
          <w:color w:val="231F1F"/>
          <w:spacing w:val="-10"/>
          <w:w w:val="110"/>
        </w:rPr>
        <w:t> </w:t>
      </w:r>
      <w:r>
        <w:rPr>
          <w:color w:val="231F1F"/>
          <w:w w:val="110"/>
        </w:rPr>
        <w:t>of</w:t>
      </w:r>
      <w:r>
        <w:rPr>
          <w:color w:val="231F1F"/>
          <w:spacing w:val="-10"/>
          <w:w w:val="110"/>
        </w:rPr>
        <w:t> </w:t>
      </w:r>
      <w:r>
        <w:rPr>
          <w:color w:val="231F1F"/>
          <w:w w:val="110"/>
        </w:rPr>
        <w:t>tadalafil</w:t>
      </w:r>
      <w:r>
        <w:rPr>
          <w:color w:val="231F1F"/>
          <w:spacing w:val="-10"/>
          <w:w w:val="110"/>
        </w:rPr>
        <w:t> </w:t>
      </w:r>
      <w:r>
        <w:rPr>
          <w:color w:val="231F1F"/>
          <w:w w:val="110"/>
        </w:rPr>
        <w:t>advised</w:t>
      </w:r>
      <w:r>
        <w:rPr>
          <w:color w:val="231F1F"/>
          <w:spacing w:val="-10"/>
          <w:w w:val="110"/>
        </w:rPr>
        <w:t> </w:t>
      </w:r>
      <w:r>
        <w:rPr>
          <w:color w:val="231F1F"/>
          <w:w w:val="110"/>
        </w:rPr>
        <w:t>by manufacturer</w:t>
      </w:r>
      <w:r>
        <w:rPr>
          <w:color w:val="231F1F"/>
          <w:spacing w:val="-8"/>
          <w:w w:val="110"/>
        </w:rPr>
        <w:t> </w:t>
      </w:r>
      <w:r>
        <w:rPr>
          <w:color w:val="231F1F"/>
          <w:w w:val="110"/>
        </w:rPr>
        <w:t>of</w:t>
      </w:r>
      <w:r>
        <w:rPr>
          <w:color w:val="231F1F"/>
          <w:spacing w:val="-6"/>
          <w:w w:val="110"/>
        </w:rPr>
        <w:t> </w:t>
      </w:r>
      <w:r>
        <w:rPr>
          <w:rFonts w:ascii="Calibri" w:hAnsi="Calibri"/>
          <w:color w:val="008356"/>
          <w:spacing w:val="4"/>
          <w:w w:val="110"/>
          <w:sz w:val="11"/>
        </w:rPr>
        <w:t>DISOPYRAMIDE </w:t>
      </w:r>
      <w:r>
        <w:rPr>
          <w:color w:val="231F1F"/>
          <w:w w:val="110"/>
        </w:rPr>
        <w:t>(risk</w:t>
      </w:r>
      <w:r>
        <w:rPr>
          <w:color w:val="231F1F"/>
          <w:spacing w:val="-6"/>
          <w:w w:val="110"/>
        </w:rPr>
        <w:t> </w:t>
      </w:r>
      <w:r>
        <w:rPr>
          <w:color w:val="231F1F"/>
          <w:w w:val="110"/>
        </w:rPr>
        <w:t>of</w:t>
      </w:r>
      <w:r>
        <w:rPr>
          <w:color w:val="231F1F"/>
          <w:spacing w:val="-6"/>
          <w:w w:val="110"/>
        </w:rPr>
        <w:t> </w:t>
      </w:r>
      <w:r>
        <w:rPr>
          <w:color w:val="231F1F"/>
          <w:w w:val="110"/>
        </w:rPr>
        <w:t>ventricular arrhythmias)</w:t>
      </w:r>
    </w:p>
    <w:p>
      <w:pPr>
        <w:pStyle w:val="BodyText"/>
        <w:spacing w:before="3"/>
        <w:ind w:left="286" w:hanging="100"/>
      </w:pPr>
      <w:r>
        <w:rPr>
          <w:rFonts w:ascii="Arial" w:hAnsi="Arial"/>
          <w:color w:val="231F1F"/>
          <w:w w:val="355"/>
          <w:position w:val="1"/>
          <w:sz w:val="7"/>
        </w:rPr>
        <w:t>l </w:t>
      </w:r>
      <w:r>
        <w:rPr>
          <w:rFonts w:ascii="Calibri" w:hAnsi="Calibri"/>
          <w:color w:val="231F1F"/>
          <w:w w:val="110"/>
        </w:rPr>
        <w:t>Antibacterials: </w:t>
      </w:r>
      <w:r>
        <w:rPr>
          <w:color w:val="231F1F"/>
          <w:w w:val="110"/>
        </w:rPr>
        <w:t>plasma concentration of tadalafil possibly </w:t>
      </w:r>
      <w:r>
        <w:rPr>
          <w:color w:val="231F1F"/>
          <w:w w:val="105"/>
        </w:rPr>
        <w:t>increased by </w:t>
      </w:r>
      <w:r>
        <w:rPr>
          <w:rFonts w:ascii="Calibri" w:hAnsi="Calibri"/>
          <w:color w:val="008356"/>
          <w:w w:val="105"/>
          <w:sz w:val="11"/>
        </w:rPr>
        <w:t>CLARITHROMYCIN </w:t>
      </w:r>
      <w:r>
        <w:rPr>
          <w:color w:val="231F1F"/>
          <w:w w:val="105"/>
        </w:rPr>
        <w:t>and </w:t>
      </w:r>
      <w:r>
        <w:rPr>
          <w:rFonts w:ascii="Calibri" w:hAnsi="Calibri"/>
          <w:color w:val="008356"/>
          <w:w w:val="105"/>
          <w:sz w:val="11"/>
        </w:rPr>
        <w:t>ERYTHROMYCIN</w:t>
      </w:r>
      <w:r>
        <w:rPr>
          <w:color w:val="231F1F"/>
          <w:w w:val="105"/>
        </w:rPr>
        <w:t>; plasma </w:t>
      </w:r>
      <w:r>
        <w:rPr>
          <w:color w:val="231F1F"/>
          <w:w w:val="110"/>
        </w:rPr>
        <w:t>concentration of tadalafil reduced by </w:t>
      </w:r>
      <w:r>
        <w:rPr>
          <w:rFonts w:ascii="Arial" w:hAnsi="Arial"/>
          <w:color w:val="231F1F"/>
          <w:w w:val="355"/>
          <w:position w:val="1"/>
          <w:sz w:val="7"/>
        </w:rPr>
        <w:t>l </w:t>
      </w:r>
      <w:r>
        <w:rPr>
          <w:rFonts w:ascii="Calibri" w:hAnsi="Calibri"/>
          <w:color w:val="008356"/>
          <w:w w:val="110"/>
          <w:sz w:val="11"/>
        </w:rPr>
        <w:t>RIFAMPICIN</w:t>
      </w:r>
      <w:r>
        <w:rPr>
          <w:rFonts w:ascii="Arial" w:hAnsi="Arial"/>
          <w:color w:val="231F1F"/>
          <w:w w:val="110"/>
        </w:rPr>
        <w:t>— </w:t>
      </w:r>
      <w:r>
        <w:rPr>
          <w:color w:val="231F1F"/>
          <w:w w:val="110"/>
        </w:rPr>
        <w:t>manufacturer of tadalafil advises avoid concomitant use</w:t>
      </w:r>
    </w:p>
    <w:p>
      <w:pPr>
        <w:pStyle w:val="BodyText"/>
        <w:spacing w:line="146" w:lineRule="exact" w:before="4"/>
        <w:ind w:left="186"/>
      </w:pPr>
      <w:r>
        <w:rPr>
          <w:rFonts w:ascii="Arial"/>
          <w:color w:val="231F1F"/>
          <w:w w:val="355"/>
          <w:position w:val="1"/>
          <w:sz w:val="7"/>
        </w:rPr>
        <w:t>l </w:t>
      </w:r>
      <w:r>
        <w:rPr>
          <w:rFonts w:ascii="Calibri"/>
          <w:color w:val="231F1F"/>
          <w:w w:val="115"/>
        </w:rPr>
        <w:t>Antifungals: </w:t>
      </w:r>
      <w:r>
        <w:rPr>
          <w:color w:val="231F1F"/>
          <w:w w:val="115"/>
        </w:rPr>
        <w:t>tadalafil concentration is increased by</w:t>
      </w:r>
    </w:p>
    <w:p>
      <w:pPr>
        <w:pStyle w:val="BodyText"/>
        <w:spacing w:line="247" w:lineRule="auto"/>
        <w:ind w:left="286" w:hanging="1"/>
        <w:rPr>
          <w:rFonts w:ascii="Calibri" w:hAnsi="Calibri"/>
          <w:sz w:val="11"/>
        </w:rPr>
      </w:pP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of tadalafil for pulmonary hypertension; plasma concentration of tadalafil possibly increased by </w:t>
      </w:r>
      <w:r>
        <w:rPr>
          <w:rFonts w:ascii="Calibri" w:hAnsi="Calibri"/>
          <w:color w:val="008356"/>
          <w:w w:val="110"/>
          <w:sz w:val="11"/>
        </w:rPr>
        <w:t>ITRACONAZOLE</w:t>
      </w:r>
    </w:p>
    <w:p>
      <w:pPr>
        <w:pStyle w:val="BodyText"/>
        <w:spacing w:line="138" w:lineRule="exact"/>
        <w:ind w:left="186"/>
      </w:pPr>
      <w:r>
        <w:rPr>
          <w:rFonts w:ascii="Arial"/>
          <w:color w:val="231F1F"/>
          <w:w w:val="355"/>
          <w:position w:val="1"/>
          <w:sz w:val="7"/>
        </w:rPr>
        <w:t>l </w:t>
      </w:r>
      <w:r>
        <w:rPr>
          <w:rFonts w:ascii="Calibri"/>
          <w:color w:val="231F1F"/>
          <w:w w:val="115"/>
        </w:rPr>
        <w:t>Antivirals: </w:t>
      </w:r>
      <w:r>
        <w:rPr>
          <w:color w:val="231F1F"/>
          <w:w w:val="115"/>
        </w:rPr>
        <w:t>plasma concentration of tadalafil possibly</w:t>
      </w:r>
    </w:p>
    <w:p>
      <w:pPr>
        <w:pStyle w:val="BodyText"/>
        <w:spacing w:line="244" w:lineRule="auto"/>
        <w:ind w:left="286"/>
      </w:pPr>
      <w:r>
        <w:rPr>
          <w:color w:val="231F1F"/>
          <w:w w:val="110"/>
        </w:rPr>
        <w:t>increased by </w:t>
      </w:r>
      <w:r>
        <w:rPr>
          <w:rFonts w:ascii="Calibri" w:hAnsi="Calibri"/>
          <w:color w:val="008356"/>
          <w:spacing w:val="4"/>
          <w:w w:val="110"/>
          <w:sz w:val="11"/>
        </w:rPr>
        <w:t>FOSAMPRENAVIR </w:t>
      </w:r>
      <w:r>
        <w:rPr>
          <w:color w:val="231F1F"/>
          <w:w w:val="110"/>
        </w:rPr>
        <w:t>and </w:t>
      </w:r>
      <w:r>
        <w:rPr>
          <w:rFonts w:ascii="Calibri" w:hAnsi="Calibri"/>
          <w:color w:val="008356"/>
          <w:spacing w:val="4"/>
          <w:w w:val="110"/>
          <w:sz w:val="11"/>
        </w:rPr>
        <w:t>INDINAVIR</w:t>
      </w:r>
      <w:r>
        <w:rPr>
          <w:color w:val="231F1F"/>
          <w:spacing w:val="4"/>
          <w:w w:val="110"/>
        </w:rPr>
        <w:t>; </w:t>
      </w:r>
      <w:r>
        <w:rPr>
          <w:color w:val="231F1F"/>
          <w:w w:val="110"/>
        </w:rPr>
        <w:t>plasma concentration of tadalafil increased by </w:t>
      </w:r>
      <w:r>
        <w:rPr>
          <w:rFonts w:ascii="Arial" w:hAnsi="Arial"/>
          <w:color w:val="231F1F"/>
          <w:w w:val="355"/>
          <w:position w:val="1"/>
          <w:sz w:val="7"/>
        </w:rPr>
        <w:t>l </w:t>
      </w:r>
      <w:r>
        <w:rPr>
          <w:rFonts w:ascii="Calibri" w:hAnsi="Calibri"/>
          <w:color w:val="008356"/>
          <w:spacing w:val="3"/>
          <w:w w:val="110"/>
          <w:sz w:val="11"/>
        </w:rPr>
        <w:t>RITONAVIR</w:t>
      </w:r>
      <w:r>
        <w:rPr>
          <w:rFonts w:ascii="Arial" w:hAnsi="Arial"/>
          <w:color w:val="231F1F"/>
          <w:spacing w:val="3"/>
          <w:w w:val="110"/>
        </w:rPr>
        <w:t>— </w:t>
      </w:r>
      <w:r>
        <w:rPr>
          <w:color w:val="231F1F"/>
          <w:w w:val="110"/>
        </w:rPr>
        <w:t>manufacturer of tadalafil advises avoid concomitant use; increased risk of ventricular arrhythmias when tadalafil given with </w:t>
      </w: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w:t>
      </w:r>
      <w:r>
        <w:rPr>
          <w:color w:val="231F1F"/>
          <w:spacing w:val="-3"/>
          <w:w w:val="110"/>
        </w:rPr>
        <w:t>high </w:t>
      </w:r>
      <w:r>
        <w:rPr>
          <w:color w:val="231F1F"/>
          <w:w w:val="110"/>
        </w:rPr>
        <w:t>doses of tadalafil advised by manufacturer of </w:t>
      </w:r>
      <w:r>
        <w:rPr>
          <w:rFonts w:ascii="Arial" w:hAnsi="Arial"/>
          <w:color w:val="231F1F"/>
          <w:w w:val="355"/>
          <w:position w:val="1"/>
          <w:sz w:val="7"/>
        </w:rPr>
        <w:t>l </w:t>
      </w:r>
      <w:r>
        <w:rPr>
          <w:rFonts w:ascii="Calibri" w:hAnsi="Calibri"/>
          <w:color w:val="008356"/>
          <w:spacing w:val="4"/>
          <w:w w:val="110"/>
          <w:sz w:val="11"/>
        </w:rPr>
        <w:t>TELAPREVIR</w:t>
      </w:r>
      <w:r>
        <w:rPr>
          <w:rFonts w:ascii="Arial" w:hAnsi="Arial"/>
          <w:color w:val="231F1F"/>
          <w:spacing w:val="4"/>
          <w:w w:val="110"/>
        </w:rPr>
        <w:t>— </w:t>
      </w:r>
      <w:r>
        <w:rPr>
          <w:color w:val="231F1F"/>
          <w:w w:val="110"/>
        </w:rPr>
        <w:t>consult product</w:t>
      </w:r>
      <w:r>
        <w:rPr>
          <w:color w:val="231F1F"/>
          <w:spacing w:val="-3"/>
          <w:w w:val="110"/>
        </w:rPr>
        <w:t> </w:t>
      </w:r>
      <w:r>
        <w:rPr>
          <w:color w:val="231F1F"/>
          <w:w w:val="110"/>
        </w:rPr>
        <w:t>literature</w:t>
      </w:r>
    </w:p>
    <w:p>
      <w:pPr>
        <w:pStyle w:val="BodyText"/>
        <w:spacing w:line="154" w:lineRule="exact"/>
        <w:ind w:left="186"/>
      </w:pPr>
      <w:r>
        <w:rPr>
          <w:rFonts w:ascii="Lucida Sans Unicode" w:hAnsi="Lucida Sans Unicode"/>
          <w:color w:val="A7A8AC"/>
          <w:w w:val="95"/>
          <w:sz w:val="10"/>
        </w:rPr>
        <w:t>▶ </w:t>
      </w:r>
      <w:r>
        <w:rPr>
          <w:rFonts w:ascii="Calibri" w:hAnsi="Calibri"/>
          <w:color w:val="231F1F"/>
          <w:w w:val="105"/>
        </w:rPr>
        <w:t>Bosentan: </w:t>
      </w:r>
      <w:r>
        <w:rPr>
          <w:color w:val="231F1F"/>
          <w:w w:val="105"/>
        </w:rPr>
        <w:t>plasma concentration of tadalafil reduced by</w:t>
      </w:r>
    </w:p>
    <w:p>
      <w:pPr>
        <w:spacing w:line="130" w:lineRule="exact" w:before="0"/>
        <w:ind w:left="286" w:right="0" w:firstLine="0"/>
        <w:jc w:val="left"/>
        <w:rPr>
          <w:rFonts w:ascii="Calibri"/>
          <w:sz w:val="11"/>
        </w:rPr>
      </w:pPr>
      <w:r>
        <w:rPr>
          <w:rFonts w:ascii="Calibri"/>
          <w:color w:val="008356"/>
          <w:sz w:val="11"/>
        </w:rPr>
        <w:t>BOSENTAN</w:t>
      </w:r>
    </w:p>
    <w:p>
      <w:pPr>
        <w:pStyle w:val="BodyText"/>
        <w:ind w:left="286" w:right="1" w:hanging="100"/>
      </w:pPr>
      <w:r>
        <w:rPr>
          <w:rFonts w:ascii="Arial" w:hAnsi="Arial"/>
          <w:color w:val="231F1F"/>
          <w:w w:val="355"/>
          <w:position w:val="1"/>
          <w:sz w:val="7"/>
        </w:rPr>
        <w:t>l </w:t>
      </w:r>
      <w:r>
        <w:rPr>
          <w:rFonts w:ascii="Calibri" w:hAnsi="Calibri"/>
          <w:color w:val="231F1F"/>
          <w:w w:val="120"/>
        </w:rPr>
        <w:t>Cobicistat: </w:t>
      </w:r>
      <w:r>
        <w:rPr>
          <w:color w:val="231F1F"/>
          <w:w w:val="120"/>
        </w:rPr>
        <w:t>plasma concentration of tadalafil possibly </w:t>
      </w:r>
      <w:r>
        <w:rPr>
          <w:color w:val="231F1F"/>
          <w:w w:val="115"/>
        </w:rPr>
        <w:t>increased</w:t>
      </w:r>
      <w:r>
        <w:rPr>
          <w:color w:val="231F1F"/>
          <w:spacing w:val="-14"/>
          <w:w w:val="115"/>
        </w:rPr>
        <w:t> </w:t>
      </w:r>
      <w:r>
        <w:rPr>
          <w:color w:val="231F1F"/>
          <w:w w:val="115"/>
        </w:rPr>
        <w:t>by</w:t>
      </w:r>
      <w:r>
        <w:rPr>
          <w:color w:val="231F1F"/>
          <w:spacing w:val="-14"/>
          <w:w w:val="115"/>
        </w:rPr>
        <w:t> </w:t>
      </w:r>
      <w:r>
        <w:rPr>
          <w:rFonts w:ascii="Arial" w:hAnsi="Arial"/>
          <w:color w:val="231F1F"/>
          <w:w w:val="115"/>
          <w:position w:val="1"/>
          <w:sz w:val="7"/>
        </w:rPr>
        <w:t>l</w:t>
      </w:r>
      <w:r>
        <w:rPr>
          <w:rFonts w:ascii="Arial" w:hAnsi="Arial"/>
          <w:color w:val="231F1F"/>
          <w:spacing w:val="-3"/>
          <w:w w:val="115"/>
          <w:position w:val="1"/>
          <w:sz w:val="7"/>
        </w:rPr>
        <w:t> </w:t>
      </w:r>
      <w:r>
        <w:rPr>
          <w:rFonts w:ascii="Calibri" w:hAnsi="Calibri"/>
          <w:color w:val="008356"/>
          <w:w w:val="115"/>
          <w:sz w:val="11"/>
        </w:rPr>
        <w:t>COBICISTAT</w:t>
      </w:r>
      <w:r>
        <w:rPr>
          <w:rFonts w:ascii="Arial" w:hAnsi="Arial"/>
          <w:color w:val="231F1F"/>
          <w:w w:val="115"/>
        </w:rPr>
        <w:t>—</w:t>
      </w:r>
      <w:r>
        <w:rPr>
          <w:color w:val="231F1F"/>
          <w:w w:val="115"/>
        </w:rPr>
        <w:t>manufacturer</w:t>
      </w:r>
      <w:r>
        <w:rPr>
          <w:color w:val="231F1F"/>
          <w:spacing w:val="-15"/>
          <w:w w:val="115"/>
        </w:rPr>
        <w:t> </w:t>
      </w:r>
      <w:r>
        <w:rPr>
          <w:color w:val="231F1F"/>
          <w:w w:val="115"/>
        </w:rPr>
        <w:t>of</w:t>
      </w:r>
      <w:r>
        <w:rPr>
          <w:color w:val="231F1F"/>
          <w:spacing w:val="-13"/>
          <w:w w:val="115"/>
        </w:rPr>
        <w:t> </w:t>
      </w:r>
      <w:r>
        <w:rPr>
          <w:color w:val="231F1F"/>
          <w:w w:val="115"/>
        </w:rPr>
        <w:t>cobicistat</w:t>
      </w:r>
      <w:r>
        <w:rPr>
          <w:color w:val="231F1F"/>
          <w:spacing w:val="-13"/>
          <w:w w:val="115"/>
        </w:rPr>
        <w:t> </w:t>
      </w:r>
      <w:r>
        <w:rPr>
          <w:color w:val="231F1F"/>
          <w:w w:val="115"/>
        </w:rPr>
        <w:t>advises reduce</w:t>
      </w:r>
      <w:r>
        <w:rPr>
          <w:color w:val="231F1F"/>
          <w:spacing w:val="-7"/>
          <w:w w:val="115"/>
        </w:rPr>
        <w:t> </w:t>
      </w:r>
      <w:r>
        <w:rPr>
          <w:color w:val="231F1F"/>
          <w:w w:val="115"/>
        </w:rPr>
        <w:t>dose</w:t>
      </w:r>
      <w:r>
        <w:rPr>
          <w:color w:val="231F1F"/>
          <w:spacing w:val="-7"/>
          <w:w w:val="115"/>
        </w:rPr>
        <w:t> </w:t>
      </w:r>
      <w:r>
        <w:rPr>
          <w:color w:val="231F1F"/>
          <w:w w:val="115"/>
        </w:rPr>
        <w:t>of</w:t>
      </w:r>
      <w:r>
        <w:rPr>
          <w:color w:val="231F1F"/>
          <w:spacing w:val="-7"/>
          <w:w w:val="115"/>
        </w:rPr>
        <w:t> </w:t>
      </w:r>
      <w:r>
        <w:rPr>
          <w:color w:val="231F1F"/>
          <w:w w:val="115"/>
        </w:rPr>
        <w:t>tadalafil</w:t>
      </w:r>
      <w:r>
        <w:rPr>
          <w:color w:val="231F1F"/>
          <w:spacing w:val="-7"/>
          <w:w w:val="115"/>
        </w:rPr>
        <w:t> </w:t>
      </w:r>
      <w:r>
        <w:rPr>
          <w:color w:val="231F1F"/>
          <w:w w:val="115"/>
        </w:rPr>
        <w:t>(consult</w:t>
      </w:r>
      <w:r>
        <w:rPr>
          <w:color w:val="231F1F"/>
          <w:spacing w:val="-7"/>
          <w:w w:val="115"/>
        </w:rPr>
        <w:t> </w:t>
      </w:r>
      <w:r>
        <w:rPr>
          <w:color w:val="231F1F"/>
          <w:w w:val="115"/>
        </w:rPr>
        <w:t>cobicistat</w:t>
      </w:r>
      <w:r>
        <w:rPr>
          <w:color w:val="231F1F"/>
          <w:spacing w:val="-7"/>
          <w:w w:val="115"/>
        </w:rPr>
        <w:t> </w:t>
      </w:r>
      <w:r>
        <w:rPr>
          <w:color w:val="231F1F"/>
          <w:w w:val="115"/>
        </w:rPr>
        <w:t>product</w:t>
      </w:r>
      <w:r>
        <w:rPr>
          <w:color w:val="231F1F"/>
          <w:spacing w:val="-7"/>
          <w:w w:val="115"/>
        </w:rPr>
        <w:t> </w:t>
      </w:r>
      <w:r>
        <w:rPr>
          <w:color w:val="231F1F"/>
          <w:w w:val="115"/>
        </w:rPr>
        <w:t>literature)</w:t>
      </w:r>
    </w:p>
    <w:p>
      <w:pPr>
        <w:pStyle w:val="BodyText"/>
        <w:spacing w:line="156" w:lineRule="exact"/>
        <w:ind w:left="186"/>
      </w:pPr>
      <w:r>
        <w:rPr>
          <w:rFonts w:ascii="Lucida Sans Unicode" w:hAnsi="Lucida Sans Unicode"/>
          <w:color w:val="A7A8AC"/>
          <w:w w:val="95"/>
          <w:sz w:val="10"/>
        </w:rPr>
        <w:t>▶   </w:t>
      </w:r>
      <w:r>
        <w:rPr>
          <w:rFonts w:ascii="Calibri" w:hAnsi="Calibri"/>
          <w:color w:val="231F1F"/>
          <w:w w:val="105"/>
        </w:rPr>
        <w:t>Dapoxetine:  </w:t>
      </w:r>
      <w:r>
        <w:rPr>
          <w:color w:val="231F1F"/>
          <w:w w:val="105"/>
        </w:rPr>
        <w:t>avoidance of tadalafil advised by manufacturer </w:t>
      </w:r>
      <w:r>
        <w:rPr>
          <w:color w:val="231F1F"/>
          <w:spacing w:val="20"/>
          <w:w w:val="105"/>
        </w:rPr>
        <w:t> </w:t>
      </w:r>
      <w:r>
        <w:rPr>
          <w:color w:val="231F1F"/>
          <w:w w:val="105"/>
        </w:rPr>
        <w:t>of</w:t>
      </w:r>
    </w:p>
    <w:p>
      <w:pPr>
        <w:spacing w:line="132" w:lineRule="exact" w:before="0"/>
        <w:ind w:left="286" w:right="0" w:firstLine="0"/>
        <w:jc w:val="left"/>
        <w:rPr>
          <w:rFonts w:ascii="Calibri"/>
          <w:sz w:val="11"/>
        </w:rPr>
      </w:pPr>
      <w:r>
        <w:rPr>
          <w:rFonts w:ascii="Calibri"/>
          <w:color w:val="008356"/>
          <w:sz w:val="11"/>
        </w:rPr>
        <w:t>DAPOXETINE</w:t>
      </w:r>
    </w:p>
    <w:p>
      <w:pPr>
        <w:pStyle w:val="BodyText"/>
        <w:spacing w:before="9"/>
        <w:ind w:left="0"/>
        <w:rPr>
          <w:rFonts w:ascii="Calibri"/>
          <w:sz w:val="13"/>
        </w:rPr>
      </w:pPr>
      <w:r>
        <w:rPr/>
        <w:br w:type="column"/>
      </w:r>
      <w:r>
        <w:rPr>
          <w:rFonts w:ascii="Calibri"/>
          <w:sz w:val="13"/>
        </w:rPr>
      </w:r>
    </w:p>
    <w:p>
      <w:pPr>
        <w:pStyle w:val="BodyText"/>
        <w:spacing w:line="144" w:lineRule="exact"/>
        <w:ind w:left="186"/>
        <w:rPr>
          <w:rFonts w:ascii="Calibri"/>
        </w:rPr>
      </w:pPr>
      <w:r>
        <w:rPr>
          <w:rFonts w:ascii="Arial"/>
          <w:color w:val="008356"/>
        </w:rPr>
        <w:t>Tadalafil </w:t>
      </w:r>
      <w:r>
        <w:rPr>
          <w:rFonts w:ascii="Calibri"/>
          <w:color w:val="231F1F"/>
        </w:rPr>
        <w:t>(continued)</w:t>
      </w:r>
    </w:p>
    <w:p>
      <w:pPr>
        <w:pStyle w:val="BodyText"/>
        <w:spacing w:line="220" w:lineRule="auto" w:before="6"/>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Grapefruit Juice: </w:t>
      </w:r>
      <w:r>
        <w:rPr>
          <w:color w:val="231F1F"/>
          <w:w w:val="105"/>
        </w:rPr>
        <w:t>plasma concentration of tadalafil possibly increased by </w:t>
      </w:r>
      <w:r>
        <w:rPr>
          <w:rFonts w:ascii="Calibri" w:hAnsi="Calibri"/>
          <w:color w:val="008356"/>
          <w:w w:val="105"/>
          <w:sz w:val="11"/>
        </w:rPr>
        <w:t>GRAPEFRUIT JUICE</w:t>
      </w:r>
    </w:p>
    <w:p>
      <w:pPr>
        <w:pStyle w:val="BodyText"/>
        <w:ind w:left="286" w:right="641" w:hanging="100"/>
      </w:pPr>
      <w:r>
        <w:rPr>
          <w:rFonts w:ascii="Arial"/>
          <w:color w:val="231F1F"/>
          <w:w w:val="355"/>
          <w:position w:val="1"/>
          <w:sz w:val="7"/>
        </w:rPr>
        <w:t>l </w:t>
      </w:r>
      <w:r>
        <w:rPr>
          <w:rFonts w:ascii="Calibri"/>
          <w:color w:val="231F1F"/>
          <w:w w:val="110"/>
        </w:rPr>
        <w:t>Nicorandil: </w:t>
      </w:r>
      <w:r>
        <w:rPr>
          <w:color w:val="231F1F"/>
          <w:w w:val="110"/>
        </w:rPr>
        <w:t>tadalafil significantly enhances hypotensive effect of </w:t>
      </w:r>
      <w:r>
        <w:rPr>
          <w:rFonts w:ascii="Arial"/>
          <w:color w:val="231F1F"/>
          <w:w w:val="355"/>
          <w:position w:val="1"/>
          <w:sz w:val="7"/>
        </w:rPr>
        <w:t>l </w:t>
      </w:r>
      <w:r>
        <w:rPr>
          <w:rFonts w:ascii="Calibri"/>
          <w:color w:val="008356"/>
          <w:w w:val="110"/>
          <w:sz w:val="11"/>
        </w:rPr>
        <w:t>NICORANDIL </w:t>
      </w:r>
      <w:r>
        <w:rPr>
          <w:color w:val="231F1F"/>
          <w:w w:val="110"/>
        </w:rPr>
        <w:t>(avoid concomitant use)</w:t>
      </w:r>
    </w:p>
    <w:p>
      <w:pPr>
        <w:pStyle w:val="BodyText"/>
        <w:spacing w:line="143" w:lineRule="exact"/>
        <w:ind w:left="186"/>
      </w:pPr>
      <w:r>
        <w:rPr>
          <w:rFonts w:ascii="Arial"/>
          <w:color w:val="231F1F"/>
          <w:w w:val="355"/>
          <w:position w:val="1"/>
          <w:sz w:val="7"/>
        </w:rPr>
        <w:t>l </w:t>
      </w:r>
      <w:r>
        <w:rPr>
          <w:rFonts w:ascii="Calibri"/>
          <w:color w:val="231F1F"/>
          <w:w w:val="120"/>
        </w:rPr>
        <w:t>Nitrates: </w:t>
      </w:r>
      <w:r>
        <w:rPr>
          <w:color w:val="231F1F"/>
          <w:w w:val="120"/>
        </w:rPr>
        <w:t>tadalafil significantly enhances hypotensive effect of</w:t>
      </w:r>
    </w:p>
    <w:p>
      <w:pPr>
        <w:spacing w:line="140" w:lineRule="exact" w:before="0"/>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20"/>
          <w:sz w:val="11"/>
        </w:rPr>
        <w:t>NITRATES </w:t>
      </w:r>
      <w:r>
        <w:rPr>
          <w:color w:val="231F1F"/>
          <w:w w:val="120"/>
          <w:sz w:val="12"/>
        </w:rPr>
        <w:t>(avoid concomitant use)</w:t>
      </w:r>
    </w:p>
    <w:p>
      <w:pPr>
        <w:pStyle w:val="BodyText"/>
        <w:ind w:left="286" w:right="832" w:hanging="100"/>
      </w:pPr>
      <w:r>
        <w:rPr>
          <w:rFonts w:ascii="Arial" w:hAnsi="Arial"/>
          <w:color w:val="231F1F"/>
          <w:w w:val="355"/>
          <w:position w:val="1"/>
          <w:sz w:val="7"/>
        </w:rPr>
        <w:t>l </w:t>
      </w:r>
      <w:r>
        <w:rPr>
          <w:rFonts w:ascii="Calibri" w:hAnsi="Calibri"/>
          <w:color w:val="231F1F"/>
          <w:w w:val="110"/>
        </w:rPr>
        <w:t>Riociguat: </w:t>
      </w:r>
      <w:r>
        <w:rPr>
          <w:color w:val="231F1F"/>
          <w:w w:val="110"/>
        </w:rPr>
        <w:t>possible enhanced hypotensive effect when tadalafil 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4"/>
        <w:ind w:left="186"/>
        <w:rPr>
          <w:rFonts w:ascii="Trebuchet MS"/>
        </w:rPr>
      </w:pPr>
      <w:r>
        <w:rPr>
          <w:rFonts w:ascii="Trebuchet MS"/>
          <w:color w:val="008356"/>
        </w:rPr>
        <w:t>Tamoxifen</w:t>
      </w:r>
    </w:p>
    <w:p>
      <w:pPr>
        <w:pStyle w:val="BodyText"/>
        <w:spacing w:line="152" w:lineRule="exact" w:before="1"/>
        <w:ind w:left="186"/>
      </w:pPr>
      <w:r>
        <w:rPr>
          <w:rFonts w:ascii="Lucida Sans Unicode" w:hAnsi="Lucida Sans Unicode"/>
          <w:color w:val="A7A8AC"/>
          <w:w w:val="95"/>
          <w:sz w:val="10"/>
        </w:rPr>
        <w:t>▶ </w:t>
      </w:r>
      <w:r>
        <w:rPr>
          <w:rFonts w:ascii="Calibri" w:hAnsi="Calibri"/>
          <w:color w:val="231F1F"/>
        </w:rPr>
        <w:t>Antibacterials: </w:t>
      </w:r>
      <w:r>
        <w:rPr>
          <w:color w:val="231F1F"/>
        </w:rPr>
        <w:t>metabolism of tamoxifen accelerated by</w:t>
      </w:r>
    </w:p>
    <w:p>
      <w:pPr>
        <w:spacing w:line="134" w:lineRule="exact" w:before="0"/>
        <w:ind w:left="286" w:right="0" w:firstLine="0"/>
        <w:jc w:val="left"/>
        <w:rPr>
          <w:sz w:val="12"/>
        </w:rPr>
      </w:pPr>
      <w:r>
        <w:rPr>
          <w:rFonts w:ascii="Calibri"/>
          <w:color w:val="008356"/>
          <w:w w:val="115"/>
          <w:sz w:val="11"/>
        </w:rPr>
        <w:t>RIFAMPICIN </w:t>
      </w:r>
      <w:r>
        <w:rPr>
          <w:color w:val="231F1F"/>
          <w:w w:val="115"/>
          <w:sz w:val="12"/>
        </w:rPr>
        <w:t>(reduced plasma concentration)</w:t>
      </w:r>
    </w:p>
    <w:p>
      <w:pPr>
        <w:pStyle w:val="BodyText"/>
        <w:spacing w:line="145" w:lineRule="exact"/>
        <w:ind w:left="186"/>
      </w:pPr>
      <w:r>
        <w:rPr>
          <w:rFonts w:ascii="Arial"/>
          <w:color w:val="231F1F"/>
          <w:w w:val="355"/>
          <w:position w:val="1"/>
          <w:sz w:val="7"/>
        </w:rPr>
        <w:t>l </w:t>
      </w:r>
      <w:r>
        <w:rPr>
          <w:rFonts w:ascii="Calibri"/>
          <w:color w:val="231F1F"/>
          <w:w w:val="115"/>
        </w:rPr>
        <w:t>Anticoagulants: </w:t>
      </w:r>
      <w:r>
        <w:rPr>
          <w:color w:val="231F1F"/>
          <w:w w:val="115"/>
        </w:rPr>
        <w:t>tamoxifen enhances anticoagulant effect 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spacing w:line="240" w:lineRule="auto" w:before="0"/>
        <w:ind w:left="286" w:right="583" w:hanging="100"/>
        <w:jc w:val="left"/>
        <w:rPr>
          <w:sz w:val="12"/>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sz w:val="12"/>
        </w:rPr>
        <w:t>Antidepressants:</w:t>
      </w:r>
      <w:r>
        <w:rPr>
          <w:rFonts w:ascii="Calibri"/>
          <w:color w:val="231F1F"/>
          <w:spacing w:val="-16"/>
          <w:w w:val="115"/>
          <w:sz w:val="12"/>
        </w:rPr>
        <w:t> </w:t>
      </w:r>
      <w:r>
        <w:rPr>
          <w:color w:val="231F1F"/>
          <w:w w:val="115"/>
          <w:sz w:val="12"/>
        </w:rPr>
        <w:t>metabolism</w:t>
      </w:r>
      <w:r>
        <w:rPr>
          <w:color w:val="231F1F"/>
          <w:spacing w:val="-20"/>
          <w:w w:val="115"/>
          <w:sz w:val="12"/>
        </w:rPr>
        <w:t> </w:t>
      </w:r>
      <w:r>
        <w:rPr>
          <w:color w:val="231F1F"/>
          <w:w w:val="115"/>
          <w:sz w:val="12"/>
        </w:rPr>
        <w:t>of</w:t>
      </w:r>
      <w:r>
        <w:rPr>
          <w:color w:val="231F1F"/>
          <w:spacing w:val="-19"/>
          <w:w w:val="115"/>
          <w:sz w:val="12"/>
        </w:rPr>
        <w:t> </w:t>
      </w:r>
      <w:r>
        <w:rPr>
          <w:color w:val="231F1F"/>
          <w:w w:val="115"/>
          <w:sz w:val="12"/>
        </w:rPr>
        <w:t>tamoxifen</w:t>
      </w:r>
      <w:r>
        <w:rPr>
          <w:color w:val="231F1F"/>
          <w:spacing w:val="-20"/>
          <w:w w:val="115"/>
          <w:sz w:val="12"/>
        </w:rPr>
        <w:t> </w:t>
      </w:r>
      <w:r>
        <w:rPr>
          <w:color w:val="231F1F"/>
          <w:w w:val="115"/>
          <w:sz w:val="12"/>
        </w:rPr>
        <w:t>to</w:t>
      </w:r>
      <w:r>
        <w:rPr>
          <w:color w:val="231F1F"/>
          <w:spacing w:val="-20"/>
          <w:w w:val="115"/>
          <w:sz w:val="12"/>
        </w:rPr>
        <w:t> </w:t>
      </w:r>
      <w:r>
        <w:rPr>
          <w:color w:val="231F1F"/>
          <w:w w:val="115"/>
          <w:sz w:val="12"/>
        </w:rPr>
        <w:t>active</w:t>
      </w:r>
      <w:r>
        <w:rPr>
          <w:color w:val="231F1F"/>
          <w:spacing w:val="-20"/>
          <w:w w:val="115"/>
          <w:sz w:val="12"/>
        </w:rPr>
        <w:t> </w:t>
      </w:r>
      <w:r>
        <w:rPr>
          <w:color w:val="231F1F"/>
          <w:w w:val="115"/>
          <w:sz w:val="12"/>
        </w:rPr>
        <w:t>metabolite possibly</w:t>
      </w:r>
      <w:r>
        <w:rPr>
          <w:color w:val="231F1F"/>
          <w:spacing w:val="-18"/>
          <w:w w:val="115"/>
          <w:sz w:val="12"/>
        </w:rPr>
        <w:t> </w:t>
      </w:r>
      <w:r>
        <w:rPr>
          <w:color w:val="231F1F"/>
          <w:w w:val="115"/>
          <w:sz w:val="12"/>
        </w:rPr>
        <w:t>inhibited</w:t>
      </w:r>
      <w:r>
        <w:rPr>
          <w:color w:val="231F1F"/>
          <w:spacing w:val="-17"/>
          <w:w w:val="115"/>
          <w:sz w:val="12"/>
        </w:rPr>
        <w:t> </w:t>
      </w:r>
      <w:r>
        <w:rPr>
          <w:color w:val="231F1F"/>
          <w:w w:val="115"/>
          <w:sz w:val="12"/>
        </w:rPr>
        <w:t>by</w:t>
      </w:r>
      <w:r>
        <w:rPr>
          <w:color w:val="231F1F"/>
          <w:spacing w:val="-17"/>
          <w:w w:val="115"/>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FLUOXETINE</w:t>
      </w:r>
      <w:r>
        <w:rPr>
          <w:rFonts w:ascii="Calibri"/>
          <w:color w:val="008356"/>
          <w:spacing w:val="-8"/>
          <w:w w:val="115"/>
          <w:sz w:val="11"/>
        </w:rPr>
        <w:t> </w:t>
      </w:r>
      <w:r>
        <w:rPr>
          <w:color w:val="231F1F"/>
          <w:w w:val="115"/>
          <w:sz w:val="12"/>
        </w:rPr>
        <w:t>and</w:t>
      </w:r>
      <w:r>
        <w:rPr>
          <w:color w:val="231F1F"/>
          <w:spacing w:val="-18"/>
          <w:w w:val="115"/>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PAROXETINE</w:t>
      </w:r>
      <w:r>
        <w:rPr>
          <w:rFonts w:ascii="Calibri"/>
          <w:color w:val="008356"/>
          <w:spacing w:val="-8"/>
          <w:w w:val="115"/>
          <w:sz w:val="11"/>
        </w:rPr>
        <w:t> </w:t>
      </w:r>
      <w:r>
        <w:rPr>
          <w:color w:val="231F1F"/>
          <w:w w:val="115"/>
          <w:sz w:val="12"/>
        </w:rPr>
        <w:t>(avoid concomitant</w:t>
      </w:r>
      <w:r>
        <w:rPr>
          <w:color w:val="231F1F"/>
          <w:spacing w:val="-5"/>
          <w:w w:val="115"/>
          <w:sz w:val="12"/>
        </w:rPr>
        <w:t> </w:t>
      </w:r>
      <w:r>
        <w:rPr>
          <w:color w:val="231F1F"/>
          <w:w w:val="115"/>
          <w:sz w:val="12"/>
        </w:rPr>
        <w:t>use)</w:t>
      </w:r>
    </w:p>
    <w:p>
      <w:pPr>
        <w:pStyle w:val="BodyText"/>
        <w:spacing w:before="1"/>
        <w:ind w:left="286" w:right="1267" w:hanging="100"/>
        <w:jc w:val="both"/>
      </w:pPr>
      <w:r>
        <w:rPr>
          <w:rFonts w:ascii="Arial"/>
          <w:color w:val="231F1F"/>
          <w:w w:val="355"/>
          <w:position w:val="1"/>
          <w:sz w:val="7"/>
        </w:rPr>
        <w:t>l</w:t>
      </w:r>
      <w:r>
        <w:rPr>
          <w:rFonts w:ascii="Arial"/>
          <w:color w:val="231F1F"/>
          <w:spacing w:val="-57"/>
          <w:w w:val="355"/>
          <w:position w:val="1"/>
          <w:sz w:val="7"/>
        </w:rPr>
        <w:t> </w:t>
      </w:r>
      <w:r>
        <w:rPr>
          <w:rFonts w:ascii="Calibri"/>
          <w:color w:val="231F1F"/>
          <w:w w:val="110"/>
        </w:rPr>
        <w:t>Antipsychotics: </w:t>
      </w:r>
      <w:r>
        <w:rPr>
          <w:color w:val="231F1F"/>
          <w:w w:val="110"/>
        </w:rPr>
        <w:t>avoidance of tamoxifen advised by manufacturer of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DROPERIDOL </w:t>
      </w:r>
      <w:r>
        <w:rPr>
          <w:color w:val="231F1F"/>
          <w:w w:val="110"/>
        </w:rPr>
        <w:t>(risk of ventricular arrhythmias)</w:t>
      </w:r>
    </w:p>
    <w:p>
      <w:pPr>
        <w:pStyle w:val="BodyText"/>
        <w:spacing w:before="2"/>
        <w:ind w:left="286" w:right="689" w:hanging="100"/>
      </w:pPr>
      <w:r>
        <w:rPr>
          <w:rFonts w:ascii="Arial"/>
          <w:color w:val="231F1F"/>
          <w:w w:val="355"/>
          <w:position w:val="1"/>
          <w:sz w:val="7"/>
        </w:rPr>
        <w:t>l </w:t>
      </w:r>
      <w:r>
        <w:rPr>
          <w:rFonts w:ascii="Calibri"/>
          <w:color w:val="231F1F"/>
          <w:w w:val="110"/>
        </w:rPr>
        <w:t>Bupropion: </w:t>
      </w:r>
      <w:r>
        <w:rPr>
          <w:color w:val="231F1F"/>
          <w:w w:val="110"/>
        </w:rPr>
        <w:t>metabolism of tamoxifen to active metabolite possibly inhibited by </w:t>
      </w:r>
      <w:r>
        <w:rPr>
          <w:rFonts w:ascii="Arial"/>
          <w:color w:val="231F1F"/>
          <w:w w:val="355"/>
          <w:position w:val="1"/>
          <w:sz w:val="7"/>
        </w:rPr>
        <w:t>l</w:t>
      </w:r>
      <w:r>
        <w:rPr>
          <w:rFonts w:ascii="Arial"/>
          <w:color w:val="231F1F"/>
          <w:spacing w:val="-36"/>
          <w:w w:val="355"/>
          <w:position w:val="1"/>
          <w:sz w:val="7"/>
        </w:rPr>
        <w:t> </w:t>
      </w:r>
      <w:r>
        <w:rPr>
          <w:rFonts w:ascii="Calibri"/>
          <w:color w:val="008356"/>
          <w:spacing w:val="4"/>
          <w:w w:val="110"/>
          <w:sz w:val="11"/>
        </w:rPr>
        <w:t>BUPROPION </w:t>
      </w:r>
      <w:r>
        <w:rPr>
          <w:color w:val="231F1F"/>
          <w:w w:val="110"/>
        </w:rPr>
        <w:t>(avoid concomitant </w:t>
      </w:r>
      <w:r>
        <w:rPr>
          <w:color w:val="231F1F"/>
          <w:spacing w:val="-3"/>
          <w:w w:val="110"/>
        </w:rPr>
        <w:t>use)</w:t>
      </w:r>
    </w:p>
    <w:p>
      <w:pPr>
        <w:pStyle w:val="BodyText"/>
        <w:spacing w:line="237" w:lineRule="auto"/>
        <w:ind w:left="286" w:right="689" w:hanging="100"/>
      </w:pPr>
      <w:r>
        <w:rPr>
          <w:rFonts w:ascii="Arial"/>
          <w:color w:val="231F1F"/>
          <w:w w:val="355"/>
          <w:position w:val="1"/>
          <w:sz w:val="7"/>
        </w:rPr>
        <w:t>l </w:t>
      </w:r>
      <w:r>
        <w:rPr>
          <w:rFonts w:ascii="Calibri"/>
          <w:color w:val="231F1F"/>
          <w:w w:val="110"/>
        </w:rPr>
        <w:t>Cinacalcet: </w:t>
      </w:r>
      <w:r>
        <w:rPr>
          <w:color w:val="231F1F"/>
          <w:w w:val="110"/>
        </w:rPr>
        <w:t>metabolism of tamoxifen to active metabolite possibly inhibited by </w:t>
      </w:r>
      <w:r>
        <w:rPr>
          <w:rFonts w:ascii="Arial"/>
          <w:color w:val="231F1F"/>
          <w:w w:val="355"/>
          <w:position w:val="1"/>
          <w:sz w:val="7"/>
        </w:rPr>
        <w:t>l</w:t>
      </w:r>
      <w:r>
        <w:rPr>
          <w:rFonts w:ascii="Arial"/>
          <w:color w:val="231F1F"/>
          <w:spacing w:val="-36"/>
          <w:w w:val="355"/>
          <w:position w:val="1"/>
          <w:sz w:val="7"/>
        </w:rPr>
        <w:t> </w:t>
      </w:r>
      <w:r>
        <w:rPr>
          <w:rFonts w:ascii="Calibri"/>
          <w:color w:val="008356"/>
          <w:spacing w:val="4"/>
          <w:w w:val="110"/>
          <w:sz w:val="11"/>
        </w:rPr>
        <w:t>CINACALCET </w:t>
      </w:r>
      <w:r>
        <w:rPr>
          <w:color w:val="231F1F"/>
          <w:w w:val="110"/>
        </w:rPr>
        <w:t>(avoid concomitant </w:t>
      </w:r>
      <w:r>
        <w:rPr>
          <w:color w:val="231F1F"/>
          <w:spacing w:val="-3"/>
          <w:w w:val="110"/>
        </w:rPr>
        <w:t>use)</w:t>
      </w:r>
    </w:p>
    <w:p>
      <w:pPr>
        <w:pStyle w:val="BodyText"/>
        <w:spacing w:before="7"/>
        <w:ind w:left="186"/>
      </w:pPr>
      <w:r>
        <w:rPr>
          <w:rFonts w:ascii="Trebuchet MS"/>
          <w:color w:val="008356"/>
          <w:w w:val="110"/>
        </w:rPr>
        <w:t>Tamsulosin </w:t>
      </w:r>
      <w:r>
        <w:rPr>
          <w:i/>
          <w:color w:val="231F1F"/>
          <w:w w:val="110"/>
        </w:rPr>
        <w:t>see </w:t>
      </w:r>
      <w:r>
        <w:rPr>
          <w:color w:val="231F1F"/>
          <w:w w:val="110"/>
        </w:rPr>
        <w:t>Alpha-blockers</w:t>
      </w:r>
    </w:p>
    <w:p>
      <w:pPr>
        <w:pStyle w:val="BodyText"/>
        <w:spacing w:before="10"/>
        <w:ind w:left="186"/>
      </w:pPr>
      <w:r>
        <w:rPr>
          <w:rFonts w:ascii="Trebuchet MS"/>
          <w:color w:val="008356"/>
          <w:w w:val="110"/>
        </w:rPr>
        <w:t>Tapentadol </w:t>
      </w:r>
      <w:r>
        <w:rPr>
          <w:i/>
          <w:color w:val="231F1F"/>
          <w:w w:val="110"/>
        </w:rPr>
        <w:t>see </w:t>
      </w:r>
      <w:r>
        <w:rPr>
          <w:color w:val="231F1F"/>
          <w:w w:val="110"/>
        </w:rPr>
        <w:t>Opioid Analgesics</w:t>
      </w:r>
    </w:p>
    <w:p>
      <w:pPr>
        <w:pStyle w:val="BodyText"/>
        <w:spacing w:before="9"/>
        <w:ind w:left="186"/>
      </w:pPr>
      <w:r>
        <w:rPr>
          <w:rFonts w:ascii="Trebuchet MS"/>
          <w:color w:val="008356"/>
          <w:w w:val="110"/>
        </w:rPr>
        <w:t>Taxanes </w:t>
      </w:r>
      <w:r>
        <w:rPr>
          <w:i/>
          <w:color w:val="231F1F"/>
          <w:w w:val="110"/>
        </w:rPr>
        <w:t>see </w:t>
      </w:r>
      <w:r>
        <w:rPr>
          <w:color w:val="231F1F"/>
          <w:w w:val="110"/>
        </w:rPr>
        <w:t>Cabazitaxel, Docetaxel, and Paclitaxel</w:t>
      </w:r>
    </w:p>
    <w:p>
      <w:pPr>
        <w:pStyle w:val="BodyText"/>
        <w:spacing w:before="11"/>
        <w:ind w:left="186"/>
        <w:rPr>
          <w:rFonts w:ascii="Trebuchet MS"/>
        </w:rPr>
      </w:pPr>
      <w:r>
        <w:rPr>
          <w:rFonts w:ascii="Trebuchet MS"/>
          <w:color w:val="008356"/>
        </w:rPr>
        <w:t>Tegafur</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metabolism of tegafur inhibited by</w:t>
      </w:r>
    </w:p>
    <w:p>
      <w:pPr>
        <w:spacing w:line="134" w:lineRule="exact" w:before="0"/>
        <w:ind w:left="286" w:right="0" w:firstLine="0"/>
        <w:jc w:val="left"/>
        <w:rPr>
          <w:sz w:val="12"/>
        </w:rPr>
      </w:pPr>
      <w:r>
        <w:rPr>
          <w:rFonts w:ascii="Calibri"/>
          <w:color w:val="008356"/>
          <w:w w:val="105"/>
          <w:sz w:val="11"/>
        </w:rPr>
        <w:t>METRONIDAZOLE </w:t>
      </w:r>
      <w:r>
        <w:rPr>
          <w:color w:val="231F1F"/>
          <w:w w:val="105"/>
          <w:sz w:val="12"/>
        </w:rPr>
        <w:t>(increased toxicity)</w:t>
      </w:r>
    </w:p>
    <w:p>
      <w:pPr>
        <w:pStyle w:val="BodyText"/>
        <w:spacing w:line="145" w:lineRule="exact"/>
        <w:ind w:left="186"/>
      </w:pPr>
      <w:r>
        <w:rPr>
          <w:rFonts w:ascii="Arial"/>
          <w:color w:val="231F1F"/>
          <w:w w:val="355"/>
          <w:position w:val="1"/>
          <w:sz w:val="7"/>
        </w:rPr>
        <w:t>l </w:t>
      </w:r>
      <w:r>
        <w:rPr>
          <w:rFonts w:ascii="Calibri"/>
          <w:color w:val="231F1F"/>
          <w:w w:val="115"/>
        </w:rPr>
        <w:t>Anticoagulants: </w:t>
      </w:r>
      <w:r>
        <w:rPr>
          <w:color w:val="231F1F"/>
          <w:w w:val="115"/>
        </w:rPr>
        <w:t>tegafur enhances anticoagulant effect of</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COUMARINS</w:t>
      </w:r>
    </w:p>
    <w:p>
      <w:pPr>
        <w:pStyle w:val="BodyText"/>
        <w:spacing w:line="151" w:lineRule="exact"/>
        <w:ind w:left="186"/>
      </w:pPr>
      <w:r>
        <w:rPr>
          <w:rFonts w:ascii="Lucida Sans Unicode" w:hAnsi="Lucida Sans Unicode"/>
          <w:color w:val="A7A8AC"/>
          <w:w w:val="95"/>
          <w:sz w:val="10"/>
        </w:rPr>
        <w:t>▶ </w:t>
      </w:r>
      <w:r>
        <w:rPr>
          <w:rFonts w:ascii="Calibri" w:hAnsi="Calibri"/>
          <w:color w:val="231F1F"/>
        </w:rPr>
        <w:t>Antiepileptics: </w:t>
      </w:r>
      <w:r>
        <w:rPr>
          <w:color w:val="231F1F"/>
        </w:rPr>
        <w:t>tegafur possibly inhibits metabolism of</w:t>
      </w:r>
    </w:p>
    <w:p>
      <w:pPr>
        <w:spacing w:line="134" w:lineRule="exact" w:before="0"/>
        <w:ind w:left="286" w:right="0" w:firstLine="0"/>
        <w:jc w:val="left"/>
        <w:rPr>
          <w:sz w:val="12"/>
        </w:rPr>
      </w:pPr>
      <w:r>
        <w:rPr>
          <w:rFonts w:ascii="Calibri"/>
          <w:color w:val="008356"/>
          <w:spacing w:val="4"/>
          <w:w w:val="105"/>
          <w:sz w:val="11"/>
        </w:rPr>
        <w:t>FOSPHENYTOIN  </w:t>
      </w:r>
      <w:r>
        <w:rPr>
          <w:color w:val="231F1F"/>
          <w:w w:val="105"/>
          <w:sz w:val="12"/>
        </w:rPr>
        <w:t>and </w:t>
      </w:r>
      <w:r>
        <w:rPr>
          <w:rFonts w:ascii="Calibri"/>
          <w:color w:val="008356"/>
          <w:spacing w:val="4"/>
          <w:w w:val="105"/>
          <w:sz w:val="11"/>
        </w:rPr>
        <w:t>PHENYTOIN  </w:t>
      </w:r>
      <w:r>
        <w:rPr>
          <w:color w:val="231F1F"/>
          <w:w w:val="105"/>
          <w:sz w:val="12"/>
        </w:rPr>
        <w:t>(increased risk of</w:t>
      </w:r>
      <w:r>
        <w:rPr>
          <w:color w:val="231F1F"/>
          <w:spacing w:val="-20"/>
          <w:w w:val="105"/>
          <w:sz w:val="12"/>
        </w:rPr>
        <w:t> </w:t>
      </w:r>
      <w:r>
        <w:rPr>
          <w:color w:val="231F1F"/>
          <w:w w:val="105"/>
          <w:sz w:val="12"/>
        </w:rPr>
        <w:t>toxicity)</w:t>
      </w:r>
    </w:p>
    <w:p>
      <w:pPr>
        <w:pStyle w:val="BodyText"/>
        <w:spacing w:line="145" w:lineRule="exact"/>
        <w:ind w:left="186"/>
      </w:pPr>
      <w:r>
        <w:rPr>
          <w:rFonts w:ascii="Arial"/>
          <w:color w:val="231F1F"/>
          <w:w w:val="355"/>
          <w:position w:val="1"/>
          <w:sz w:val="7"/>
        </w:rPr>
        <w:t>l</w:t>
      </w:r>
      <w:r>
        <w:rPr>
          <w:rFonts w:ascii="Arial"/>
          <w:color w:val="231F1F"/>
          <w:spacing w:val="-34"/>
          <w:w w:val="355"/>
          <w:position w:val="1"/>
          <w:sz w:val="7"/>
        </w:rPr>
        <w:t>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Filgrastim: </w:t>
      </w:r>
      <w:r>
        <w:rPr>
          <w:color w:val="231F1F"/>
          <w:w w:val="105"/>
        </w:rPr>
        <w:t>neutropenia possibly exacerbated when tegafur given with </w:t>
      </w:r>
      <w:r>
        <w:rPr>
          <w:rFonts w:ascii="Calibri" w:hAnsi="Calibri"/>
          <w:color w:val="008356"/>
          <w:w w:val="105"/>
          <w:sz w:val="11"/>
        </w:rPr>
        <w:t>FILGRASTIM</w:t>
      </w:r>
    </w:p>
    <w:p>
      <w:pPr>
        <w:pStyle w:val="BodyText"/>
        <w:spacing w:before="1"/>
        <w:ind w:left="286" w:right="753" w:hanging="100"/>
      </w:pP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231F1F"/>
          <w:w w:val="115"/>
        </w:rPr>
        <w:t>Folates:</w:t>
      </w:r>
      <w:r>
        <w:rPr>
          <w:rFonts w:ascii="Calibri" w:hAnsi="Calibri"/>
          <w:color w:val="231F1F"/>
          <w:spacing w:val="-18"/>
          <w:w w:val="115"/>
        </w:rPr>
        <w:t> </w:t>
      </w:r>
      <w:r>
        <w:rPr>
          <w:color w:val="231F1F"/>
          <w:w w:val="115"/>
        </w:rPr>
        <w:t>toxicity</w:t>
      </w:r>
      <w:r>
        <w:rPr>
          <w:color w:val="231F1F"/>
          <w:spacing w:val="-21"/>
          <w:w w:val="115"/>
        </w:rPr>
        <w:t> </w:t>
      </w:r>
      <w:r>
        <w:rPr>
          <w:color w:val="231F1F"/>
          <w:w w:val="115"/>
        </w:rPr>
        <w:t>of</w:t>
      </w:r>
      <w:r>
        <w:rPr>
          <w:color w:val="231F1F"/>
          <w:spacing w:val="-20"/>
          <w:w w:val="115"/>
        </w:rPr>
        <w:t> </w:t>
      </w:r>
      <w:r>
        <w:rPr>
          <w:color w:val="231F1F"/>
          <w:w w:val="115"/>
        </w:rPr>
        <w:t>tegafur</w:t>
      </w:r>
      <w:r>
        <w:rPr>
          <w:color w:val="231F1F"/>
          <w:spacing w:val="-21"/>
          <w:w w:val="115"/>
        </w:rPr>
        <w:t> </w:t>
      </w:r>
      <w:r>
        <w:rPr>
          <w:color w:val="231F1F"/>
          <w:w w:val="115"/>
        </w:rPr>
        <w:t>increased</w:t>
      </w:r>
      <w:r>
        <w:rPr>
          <w:color w:val="231F1F"/>
          <w:spacing w:val="-20"/>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5"/>
          <w:sz w:val="11"/>
        </w:rPr>
        <w:t>FOLIC</w:t>
      </w:r>
      <w:r>
        <w:rPr>
          <w:rFonts w:ascii="Calibri" w:hAnsi="Calibri"/>
          <w:color w:val="008356"/>
          <w:spacing w:val="-14"/>
          <w:w w:val="115"/>
          <w:sz w:val="11"/>
        </w:rPr>
        <w:t> </w:t>
      </w:r>
      <w:r>
        <w:rPr>
          <w:rFonts w:ascii="Calibri" w:hAnsi="Calibri"/>
          <w:color w:val="008356"/>
          <w:w w:val="115"/>
          <w:sz w:val="11"/>
        </w:rPr>
        <w:t>ACID</w:t>
      </w:r>
      <w:r>
        <w:rPr>
          <w:rFonts w:ascii="Arial" w:hAnsi="Arial"/>
          <w:color w:val="231F1F"/>
          <w:w w:val="115"/>
        </w:rPr>
        <w:t>—</w:t>
      </w:r>
      <w:r>
        <w:rPr>
          <w:color w:val="231F1F"/>
          <w:w w:val="115"/>
        </w:rPr>
        <w:t>avoid concomitant</w:t>
      </w:r>
      <w:r>
        <w:rPr>
          <w:color w:val="231F1F"/>
          <w:spacing w:val="-5"/>
          <w:w w:val="115"/>
        </w:rPr>
        <w:t> </w:t>
      </w:r>
      <w:r>
        <w:rPr>
          <w:color w:val="231F1F"/>
          <w:w w:val="115"/>
        </w:rPr>
        <w:t>use</w:t>
      </w:r>
    </w:p>
    <w:p>
      <w:pPr>
        <w:pStyle w:val="BodyText"/>
        <w:spacing w:line="220" w:lineRule="auto" w:before="9"/>
        <w:ind w:left="286" w:right="832" w:hanging="100"/>
        <w:rPr>
          <w:rFonts w:ascii="Calibri" w:hAnsi="Calibri"/>
          <w:sz w:val="11"/>
        </w:rPr>
      </w:pPr>
      <w:r>
        <w:rPr>
          <w:rFonts w:ascii="Lucida Sans Unicode" w:hAnsi="Lucida Sans Unicode"/>
          <w:color w:val="A7A8AC"/>
          <w:w w:val="95"/>
          <w:sz w:val="10"/>
        </w:rPr>
        <w:t>▶ </w:t>
      </w:r>
      <w:r>
        <w:rPr>
          <w:rFonts w:ascii="Calibri" w:hAnsi="Calibri"/>
          <w:color w:val="231F1F"/>
          <w:w w:val="105"/>
        </w:rPr>
        <w:t>Lipegfilgrastim: </w:t>
      </w:r>
      <w:r>
        <w:rPr>
          <w:color w:val="231F1F"/>
          <w:w w:val="105"/>
        </w:rPr>
        <w:t>neutropenia possibly exacerbated when tegafur given with </w:t>
      </w:r>
      <w:r>
        <w:rPr>
          <w:rFonts w:ascii="Calibri" w:hAnsi="Calibri"/>
          <w:color w:val="008356"/>
          <w:w w:val="105"/>
          <w:sz w:val="11"/>
        </w:rPr>
        <w:t>LIPEGFILGRASTIM</w:t>
      </w:r>
    </w:p>
    <w:p>
      <w:pPr>
        <w:pStyle w:val="BodyText"/>
        <w:spacing w:line="220" w:lineRule="auto" w:before="8"/>
        <w:ind w:left="286" w:right="689" w:hanging="100"/>
        <w:rPr>
          <w:rFonts w:ascii="Calibri" w:hAnsi="Calibri"/>
          <w:sz w:val="11"/>
        </w:rPr>
      </w:pPr>
      <w:r>
        <w:rPr>
          <w:rFonts w:ascii="Lucida Sans Unicode" w:hAnsi="Lucida Sans Unicode"/>
          <w:color w:val="A7A8AC"/>
          <w:w w:val="95"/>
          <w:sz w:val="10"/>
        </w:rPr>
        <w:t>▶ </w:t>
      </w:r>
      <w:r>
        <w:rPr>
          <w:rFonts w:ascii="Calibri" w:hAnsi="Calibri"/>
          <w:color w:val="231F1F"/>
          <w:w w:val="105"/>
        </w:rPr>
        <w:t>Pegfilgrastim: </w:t>
      </w:r>
      <w:r>
        <w:rPr>
          <w:color w:val="231F1F"/>
          <w:w w:val="105"/>
        </w:rPr>
        <w:t>neutropenia possibly exacerbated when tegafur given with </w:t>
      </w:r>
      <w:r>
        <w:rPr>
          <w:rFonts w:ascii="Calibri" w:hAnsi="Calibri"/>
          <w:color w:val="008356"/>
          <w:w w:val="105"/>
          <w:sz w:val="11"/>
        </w:rPr>
        <w:t>PEGFILGRASTIM</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metabolism of tegafur inhibited by</w:t>
      </w:r>
    </w:p>
    <w:p>
      <w:pPr>
        <w:spacing w:line="136" w:lineRule="exact" w:before="0"/>
        <w:ind w:left="286" w:right="0" w:firstLine="0"/>
        <w:jc w:val="left"/>
        <w:rPr>
          <w:sz w:val="12"/>
        </w:rPr>
      </w:pPr>
      <w:r>
        <w:rPr>
          <w:rFonts w:ascii="Calibri"/>
          <w:color w:val="008356"/>
          <w:w w:val="110"/>
          <w:sz w:val="11"/>
        </w:rPr>
        <w:t>CIMETIDINE </w:t>
      </w:r>
      <w:r>
        <w:rPr>
          <w:color w:val="231F1F"/>
          <w:w w:val="110"/>
          <w:sz w:val="12"/>
        </w:rPr>
        <w:t>(increased plasma concentration)</w:t>
      </w:r>
    </w:p>
    <w:p>
      <w:pPr>
        <w:pStyle w:val="BodyText"/>
        <w:spacing w:line="139" w:lineRule="exact" w:before="7"/>
        <w:ind w:left="186"/>
        <w:rPr>
          <w:rFonts w:ascii="Trebuchet MS"/>
        </w:rPr>
      </w:pPr>
      <w:r>
        <w:rPr>
          <w:rFonts w:ascii="Trebuchet MS"/>
          <w:color w:val="008356"/>
        </w:rPr>
        <w:t>Teicoplanin</w:t>
      </w:r>
    </w:p>
    <w:p>
      <w:pPr>
        <w:spacing w:line="220" w:lineRule="auto" w:before="9"/>
        <w:ind w:left="286" w:right="689"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6"/>
        <w:rPr>
          <w:rFonts w:ascii="Trebuchet MS"/>
        </w:rPr>
      </w:pPr>
      <w:r>
        <w:rPr>
          <w:rFonts w:ascii="Trebuchet MS"/>
          <w:color w:val="008356"/>
        </w:rPr>
        <w:t>Telaprevir</w:t>
      </w:r>
    </w:p>
    <w:p>
      <w:pPr>
        <w:pStyle w:val="BodyText"/>
        <w:spacing w:before="1"/>
        <w:ind w:left="286" w:right="934" w:hanging="100"/>
        <w:rPr>
          <w:rFonts w:ascii="Calibri"/>
          <w:sz w:val="11"/>
        </w:rPr>
      </w:pPr>
      <w:r>
        <w:rPr>
          <w:rFonts w:ascii="Arial"/>
          <w:color w:val="231F1F"/>
          <w:w w:val="355"/>
          <w:position w:val="1"/>
          <w:sz w:val="7"/>
        </w:rPr>
        <w:t>l</w:t>
      </w:r>
      <w:r>
        <w:rPr>
          <w:rFonts w:ascii="Arial"/>
          <w:color w:val="231F1F"/>
          <w:spacing w:val="-51"/>
          <w:w w:val="355"/>
          <w:position w:val="1"/>
          <w:sz w:val="7"/>
        </w:rPr>
        <w:t> </w:t>
      </w:r>
      <w:r>
        <w:rPr>
          <w:rFonts w:ascii="Calibri"/>
          <w:color w:val="231F1F"/>
          <w:w w:val="115"/>
        </w:rPr>
        <w:t>Alpha-blockers:</w:t>
      </w:r>
      <w:r>
        <w:rPr>
          <w:rFonts w:ascii="Calibri"/>
          <w:color w:val="231F1F"/>
          <w:spacing w:val="-18"/>
          <w:w w:val="115"/>
        </w:rPr>
        <w:t> </w:t>
      </w:r>
      <w:r>
        <w:rPr>
          <w:color w:val="231F1F"/>
          <w:w w:val="115"/>
        </w:rPr>
        <w:t>manufacturer</w:t>
      </w:r>
      <w:r>
        <w:rPr>
          <w:color w:val="231F1F"/>
          <w:spacing w:val="-20"/>
          <w:w w:val="115"/>
        </w:rPr>
        <w:t> </w:t>
      </w:r>
      <w:r>
        <w:rPr>
          <w:color w:val="231F1F"/>
          <w:w w:val="115"/>
        </w:rPr>
        <w:t>of</w:t>
      </w:r>
      <w:r>
        <w:rPr>
          <w:color w:val="231F1F"/>
          <w:spacing w:val="-20"/>
          <w:w w:val="115"/>
        </w:rPr>
        <w:t> </w:t>
      </w:r>
      <w:r>
        <w:rPr>
          <w:color w:val="231F1F"/>
          <w:w w:val="115"/>
        </w:rPr>
        <w:t>telaprevir</w:t>
      </w:r>
      <w:r>
        <w:rPr>
          <w:color w:val="231F1F"/>
          <w:spacing w:val="-20"/>
          <w:w w:val="115"/>
        </w:rPr>
        <w:t> </w:t>
      </w:r>
      <w:r>
        <w:rPr>
          <w:color w:val="231F1F"/>
          <w:w w:val="115"/>
        </w:rPr>
        <w:t>advises</w:t>
      </w:r>
      <w:r>
        <w:rPr>
          <w:color w:val="231F1F"/>
          <w:spacing w:val="-20"/>
          <w:w w:val="115"/>
        </w:rPr>
        <w:t>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5"/>
          <w:sz w:val="11"/>
        </w:rPr>
        <w:t>ALFUZOSIN</w:t>
      </w:r>
    </w:p>
    <w:p>
      <w:pPr>
        <w:pStyle w:val="BodyText"/>
        <w:spacing w:line="142" w:lineRule="exact"/>
        <w:ind w:left="186"/>
      </w:pPr>
      <w:r>
        <w:rPr>
          <w:rFonts w:ascii="Arial"/>
          <w:color w:val="231F1F"/>
          <w:w w:val="355"/>
          <w:position w:val="1"/>
          <w:sz w:val="7"/>
        </w:rPr>
        <w:t>l </w:t>
      </w:r>
      <w:r>
        <w:rPr>
          <w:rFonts w:ascii="Calibri"/>
          <w:color w:val="231F1F"/>
          <w:w w:val="115"/>
        </w:rPr>
        <w:t>Analgesics: </w:t>
      </w:r>
      <w:r>
        <w:rPr>
          <w:color w:val="231F1F"/>
          <w:w w:val="115"/>
        </w:rPr>
        <w:t>manufacturer of telaprevir advises caution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w w:val="105"/>
          <w:sz w:val="11"/>
        </w:rPr>
        <w:t>METHADONE </w:t>
      </w:r>
      <w:r>
        <w:rPr>
          <w:color w:val="231F1F"/>
          <w:w w:val="105"/>
          <w:sz w:val="12"/>
        </w:rPr>
        <w:t>(risk of ventricular arrhythmias)</w:t>
      </w:r>
    </w:p>
    <w:p>
      <w:pPr>
        <w:spacing w:line="244" w:lineRule="auto" w:before="0"/>
        <w:ind w:left="286" w:right="600" w:hanging="100"/>
        <w:jc w:val="left"/>
        <w:rPr>
          <w:rFonts w:ascii="Calibri"/>
          <w:sz w:val="11"/>
        </w:rPr>
      </w:pPr>
      <w:r>
        <w:rPr>
          <w:rFonts w:ascii="Arial"/>
          <w:color w:val="231F1F"/>
          <w:w w:val="355"/>
          <w:position w:val="1"/>
          <w:sz w:val="7"/>
        </w:rPr>
        <w:t>l </w:t>
      </w:r>
      <w:r>
        <w:rPr>
          <w:rFonts w:ascii="Calibri"/>
          <w:color w:val="231F1F"/>
          <w:w w:val="110"/>
          <w:sz w:val="12"/>
        </w:rPr>
        <w:t>Anti-arrhythmics: </w:t>
      </w:r>
      <w:r>
        <w:rPr>
          <w:color w:val="231F1F"/>
          <w:w w:val="110"/>
          <w:sz w:val="12"/>
        </w:rPr>
        <w:t>manufacturer of telaprevir advises avoid concomitant</w:t>
      </w:r>
      <w:r>
        <w:rPr>
          <w:color w:val="231F1F"/>
          <w:spacing w:val="-14"/>
          <w:w w:val="110"/>
          <w:sz w:val="12"/>
        </w:rPr>
        <w:t> </w:t>
      </w:r>
      <w:r>
        <w:rPr>
          <w:color w:val="231F1F"/>
          <w:w w:val="110"/>
          <w:sz w:val="12"/>
        </w:rPr>
        <w:t>use</w:t>
      </w:r>
      <w:r>
        <w:rPr>
          <w:color w:val="231F1F"/>
          <w:spacing w:val="-12"/>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AMIODARONE</w:t>
      </w:r>
      <w:r>
        <w:rPr>
          <w:rFonts w:ascii="Calibri"/>
          <w:color w:val="008356"/>
          <w:spacing w:val="-3"/>
          <w:w w:val="110"/>
          <w:sz w:val="11"/>
        </w:rPr>
        <w:t> </w:t>
      </w:r>
      <w:r>
        <w:rPr>
          <w:color w:val="231F1F"/>
          <w:w w:val="110"/>
          <w:sz w:val="12"/>
        </w:rPr>
        <w:t>and</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DISOPYRAMIDE</w:t>
      </w:r>
      <w:r>
        <w:rPr>
          <w:rFonts w:ascii="Calibri"/>
          <w:color w:val="008356"/>
          <w:spacing w:val="-3"/>
          <w:w w:val="110"/>
          <w:sz w:val="11"/>
        </w:rPr>
        <w:t> </w:t>
      </w:r>
      <w:r>
        <w:rPr>
          <w:color w:val="231F1F"/>
          <w:w w:val="110"/>
          <w:sz w:val="12"/>
        </w:rPr>
        <w:t>(risk of ventricular arrhythmias); manufacturer  of  telaprevir advises</w:t>
      </w:r>
      <w:r>
        <w:rPr>
          <w:color w:val="231F1F"/>
          <w:spacing w:val="-9"/>
          <w:w w:val="110"/>
          <w:sz w:val="12"/>
        </w:rPr>
        <w:t> </w:t>
      </w:r>
      <w:r>
        <w:rPr>
          <w:color w:val="231F1F"/>
          <w:w w:val="110"/>
          <w:sz w:val="12"/>
        </w:rPr>
        <w:t>caution</w:t>
      </w:r>
      <w:r>
        <w:rPr>
          <w:color w:val="231F1F"/>
          <w:spacing w:val="-8"/>
          <w:w w:val="110"/>
          <w:sz w:val="12"/>
        </w:rPr>
        <w:t> </w:t>
      </w:r>
      <w:r>
        <w:rPr>
          <w:color w:val="231F1F"/>
          <w:w w:val="110"/>
          <w:sz w:val="12"/>
        </w:rPr>
        <w:t>with</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FLECAINIDE</w:t>
      </w:r>
      <w:r>
        <w:rPr>
          <w:rFonts w:ascii="Calibri"/>
          <w:color w:val="008356"/>
          <w:spacing w:val="3"/>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PROPAFENONE</w:t>
      </w:r>
      <w:r>
        <w:rPr>
          <w:rFonts w:ascii="Calibri"/>
          <w:color w:val="008356"/>
          <w:spacing w:val="3"/>
          <w:w w:val="110"/>
          <w:sz w:val="11"/>
        </w:rPr>
        <w:t> </w:t>
      </w:r>
      <w:r>
        <w:rPr>
          <w:color w:val="231F1F"/>
          <w:w w:val="110"/>
          <w:sz w:val="12"/>
        </w:rPr>
        <w:t>(risk</w:t>
      </w:r>
      <w:r>
        <w:rPr>
          <w:color w:val="231F1F"/>
          <w:spacing w:val="-8"/>
          <w:w w:val="110"/>
          <w:sz w:val="12"/>
        </w:rPr>
        <w:t> </w:t>
      </w:r>
      <w:r>
        <w:rPr>
          <w:color w:val="231F1F"/>
          <w:w w:val="110"/>
          <w:sz w:val="12"/>
        </w:rPr>
        <w:t>of ventricular arrhythmias); manufacturer of telaprevir advises caution with </w:t>
      </w:r>
      <w:r>
        <w:rPr>
          <w:i/>
          <w:color w:val="231F1F"/>
          <w:w w:val="110"/>
          <w:sz w:val="12"/>
        </w:rPr>
        <w:t>intravenous</w:t>
      </w:r>
      <w:r>
        <w:rPr>
          <w:i/>
          <w:color w:val="231F1F"/>
          <w:spacing w:val="-9"/>
          <w:w w:val="110"/>
          <w:sz w:val="12"/>
        </w:rPr>
        <w:t> </w:t>
      </w:r>
      <w:r>
        <w:rPr>
          <w:rFonts w:ascii="Calibri"/>
          <w:color w:val="008356"/>
          <w:spacing w:val="5"/>
          <w:w w:val="110"/>
          <w:sz w:val="11"/>
        </w:rPr>
        <w:t>LIDOCAINE</w:t>
      </w:r>
    </w:p>
    <w:p>
      <w:pPr>
        <w:pStyle w:val="BodyText"/>
        <w:spacing w:line="237" w:lineRule="auto"/>
        <w:ind w:left="286" w:right="762" w:hanging="100"/>
      </w:pPr>
      <w:r>
        <w:rPr>
          <w:rFonts w:ascii="Arial"/>
          <w:color w:val="231F1F"/>
          <w:w w:val="355"/>
          <w:position w:val="1"/>
          <w:sz w:val="7"/>
        </w:rPr>
        <w:t>l </w:t>
      </w:r>
      <w:r>
        <w:rPr>
          <w:rFonts w:ascii="Calibri"/>
          <w:color w:val="231F1F"/>
          <w:w w:val="110"/>
        </w:rPr>
        <w:t>Antibacterials: </w:t>
      </w:r>
      <w:r>
        <w:rPr>
          <w:color w:val="231F1F"/>
          <w:w w:val="110"/>
        </w:rPr>
        <w:t>plasma concentration of both drugs possibly increased when telaprevir given with </w:t>
      </w:r>
      <w:r>
        <w:rPr>
          <w:rFonts w:ascii="Arial"/>
          <w:color w:val="231F1F"/>
          <w:w w:val="355"/>
          <w:position w:val="1"/>
          <w:sz w:val="7"/>
        </w:rPr>
        <w:t>l </w:t>
      </w:r>
      <w:r>
        <w:rPr>
          <w:rFonts w:ascii="Calibri"/>
          <w:color w:val="008356"/>
          <w:w w:val="110"/>
          <w:sz w:val="11"/>
        </w:rPr>
        <w:t>CLARITHROMYCIN</w:t>
      </w:r>
      <w:r>
        <w:rPr>
          <w:color w:val="231F1F"/>
          <w:w w:val="110"/>
        </w:rPr>
        <w:t>,</w:t>
      </w:r>
    </w:p>
    <w:p>
      <w:pPr>
        <w:pStyle w:val="BodyText"/>
        <w:spacing w:line="244" w:lineRule="auto"/>
        <w:ind w:left="286" w:right="689"/>
      </w:pPr>
      <w:r>
        <w:rPr>
          <w:rFonts w:ascii="Arial"/>
          <w:color w:val="231F1F"/>
          <w:w w:val="355"/>
          <w:position w:val="1"/>
          <w:sz w:val="7"/>
        </w:rPr>
        <w:t>l </w:t>
      </w:r>
      <w:r>
        <w:rPr>
          <w:rFonts w:ascii="Calibri"/>
          <w:color w:val="008356"/>
          <w:w w:val="110"/>
          <w:sz w:val="11"/>
        </w:rPr>
        <w:t>ERYTHROMYCIN </w:t>
      </w:r>
      <w:r>
        <w:rPr>
          <w:color w:val="231F1F"/>
          <w:w w:val="110"/>
        </w:rPr>
        <w:t>and </w:t>
      </w:r>
      <w:r>
        <w:rPr>
          <w:rFonts w:ascii="Arial"/>
          <w:color w:val="231F1F"/>
          <w:w w:val="355"/>
          <w:position w:val="1"/>
          <w:sz w:val="7"/>
        </w:rPr>
        <w:t>l </w:t>
      </w:r>
      <w:r>
        <w:rPr>
          <w:rFonts w:ascii="Calibri"/>
          <w:color w:val="008356"/>
          <w:w w:val="110"/>
          <w:sz w:val="11"/>
        </w:rPr>
        <w:t>TELITHROMYCIN </w:t>
      </w:r>
      <w:r>
        <w:rPr>
          <w:color w:val="231F1F"/>
          <w:w w:val="110"/>
        </w:rPr>
        <w:t>(increased risk of ventricular arrhythmias); manufacturer of telaprevir advises avoid concomitant use with </w:t>
      </w:r>
      <w:r>
        <w:rPr>
          <w:rFonts w:ascii="Arial"/>
          <w:color w:val="231F1F"/>
          <w:w w:val="355"/>
          <w:position w:val="1"/>
          <w:sz w:val="7"/>
        </w:rPr>
        <w:t>l </w:t>
      </w:r>
      <w:r>
        <w:rPr>
          <w:rFonts w:ascii="Calibri"/>
          <w:color w:val="008356"/>
          <w:w w:val="110"/>
          <w:sz w:val="11"/>
        </w:rPr>
        <w:t>RIFABUTIN</w:t>
      </w:r>
      <w:r>
        <w:rPr>
          <w:color w:val="231F1F"/>
          <w:w w:val="110"/>
        </w:rPr>
        <w:t>; plasma concentration of telaprevir significantly reduced by</w:t>
      </w:r>
    </w:p>
    <w:p>
      <w:pPr>
        <w:spacing w:line="141" w:lineRule="exact" w:before="1"/>
        <w:ind w:left="286" w:right="0" w:firstLine="0"/>
        <w:jc w:val="left"/>
        <w:rPr>
          <w:sz w:val="12"/>
        </w:rPr>
      </w:pPr>
      <w:r>
        <w:rPr>
          <w:rFonts w:ascii="Arial" w:hAnsi="Arial"/>
          <w:color w:val="231F1F"/>
          <w:w w:val="110"/>
          <w:position w:val="1"/>
          <w:sz w:val="7"/>
        </w:rPr>
        <w:t>l  </w:t>
      </w:r>
      <w:r>
        <w:rPr>
          <w:rFonts w:ascii="Calibri" w:hAnsi="Calibri"/>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5"/>
          <w:w w:val="110"/>
          <w:sz w:val="12"/>
        </w:rPr>
        <w:t> </w:t>
      </w:r>
      <w:r>
        <w:rPr>
          <w:color w:val="231F1F"/>
          <w:w w:val="110"/>
          <w:sz w:val="12"/>
        </w:rPr>
        <w:t>use</w:t>
      </w:r>
    </w:p>
    <w:p>
      <w:pPr>
        <w:pStyle w:val="BodyText"/>
        <w:spacing w:line="242" w:lineRule="auto"/>
        <w:ind w:left="286" w:right="616" w:hanging="100"/>
        <w:rPr>
          <w:rFonts w:ascii="Calibri"/>
          <w:sz w:val="11"/>
        </w:rPr>
      </w:pPr>
      <w:r>
        <w:rPr>
          <w:rFonts w:ascii="Arial"/>
          <w:color w:val="231F1F"/>
          <w:w w:val="355"/>
          <w:position w:val="1"/>
          <w:sz w:val="7"/>
        </w:rPr>
        <w:t>l </w:t>
      </w:r>
      <w:r>
        <w:rPr>
          <w:rFonts w:ascii="Calibri"/>
          <w:color w:val="231F1F"/>
          <w:w w:val="110"/>
        </w:rPr>
        <w:t>Anticoagulants: </w:t>
      </w:r>
      <w:r>
        <w:rPr>
          <w:color w:val="231F1F"/>
          <w:w w:val="110"/>
        </w:rPr>
        <w:t>telaprevir possibly affects plasma concentration of </w:t>
      </w:r>
      <w:r>
        <w:rPr>
          <w:rFonts w:ascii="Arial"/>
          <w:color w:val="231F1F"/>
          <w:w w:val="355"/>
          <w:position w:val="1"/>
          <w:sz w:val="7"/>
        </w:rPr>
        <w:t>l</w:t>
      </w:r>
      <w:r>
        <w:rPr>
          <w:rFonts w:ascii="Arial"/>
          <w:color w:val="231F1F"/>
          <w:spacing w:val="-34"/>
          <w:w w:val="355"/>
          <w:position w:val="1"/>
          <w:sz w:val="7"/>
        </w:rPr>
        <w:t> </w:t>
      </w:r>
      <w:r>
        <w:rPr>
          <w:rFonts w:ascii="Calibri"/>
          <w:color w:val="008356"/>
          <w:spacing w:val="3"/>
          <w:w w:val="110"/>
          <w:sz w:val="11"/>
        </w:rPr>
        <w:t>WARFARIN</w:t>
      </w:r>
      <w:r>
        <w:rPr>
          <w:color w:val="231F1F"/>
          <w:spacing w:val="3"/>
          <w:w w:val="110"/>
        </w:rPr>
        <w:t>; </w:t>
      </w:r>
      <w:r>
        <w:rPr>
          <w:color w:val="231F1F"/>
          <w:w w:val="110"/>
        </w:rPr>
        <w:t>avoidance of telaprevir advised by manufacturer of </w:t>
      </w:r>
      <w:r>
        <w:rPr>
          <w:rFonts w:ascii="Calibri"/>
          <w:color w:val="008356"/>
          <w:spacing w:val="4"/>
          <w:w w:val="110"/>
          <w:sz w:val="11"/>
        </w:rPr>
        <w:t>APIXABAN</w:t>
      </w:r>
      <w:r>
        <w:rPr>
          <w:color w:val="231F1F"/>
          <w:spacing w:val="4"/>
          <w:w w:val="110"/>
        </w:rPr>
        <w:t>; </w:t>
      </w:r>
      <w:r>
        <w:rPr>
          <w:color w:val="231F1F"/>
          <w:w w:val="110"/>
        </w:rPr>
        <w:t>telaprevir possibly increases plasma concentration of</w:t>
      </w:r>
      <w:r>
        <w:rPr>
          <w:color w:val="231F1F"/>
          <w:spacing w:val="-7"/>
          <w:w w:val="110"/>
        </w:rPr>
        <w:t> </w:t>
      </w:r>
      <w:r>
        <w:rPr>
          <w:rFonts w:ascii="Calibri"/>
          <w:color w:val="008356"/>
          <w:spacing w:val="3"/>
          <w:w w:val="110"/>
          <w:sz w:val="11"/>
        </w:rPr>
        <w:t>DABIGATRAN</w:t>
      </w:r>
    </w:p>
    <w:p>
      <w:pPr>
        <w:pStyle w:val="BodyText"/>
        <w:ind w:left="286" w:right="832"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telaprevir possibly increases plasma concentration of </w:t>
      </w:r>
      <w:r>
        <w:rPr>
          <w:rFonts w:ascii="Calibri" w:hAnsi="Calibri"/>
          <w:color w:val="008356"/>
          <w:w w:val="110"/>
          <w:sz w:val="11"/>
        </w:rPr>
        <w:t>TRAZODONE</w:t>
      </w:r>
      <w:r>
        <w:rPr>
          <w:color w:val="231F1F"/>
          <w:w w:val="110"/>
        </w:rPr>
        <w:t>; manufacturer of telaprevir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p>
    <w:p>
      <w:pPr>
        <w:spacing w:after="0"/>
        <w:rPr>
          <w:rFonts w:ascii="Calibri" w:hAnsi="Calibri"/>
          <w:sz w:val="11"/>
        </w:rPr>
        <w:sectPr>
          <w:pgSz w:w="8390" w:h="11910"/>
          <w:pgMar w:header="0" w:footer="0" w:top="460" w:bottom="280" w:left="480" w:right="0"/>
          <w:cols w:num="2" w:equalWidth="0">
            <w:col w:w="3637" w:space="40"/>
            <w:col w:w="4233"/>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Telaprevir </w:t>
      </w:r>
      <w:r>
        <w:rPr>
          <w:rFonts w:ascii="Calibri"/>
          <w:color w:val="231F1F"/>
        </w:rPr>
        <w:t>(continued)</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telaprevir increases plasma concentration of</w:t>
      </w:r>
    </w:p>
    <w:p>
      <w:pPr>
        <w:spacing w:line="134" w:lineRule="exact" w:before="0"/>
        <w:ind w:left="208" w:right="0" w:firstLine="0"/>
        <w:jc w:val="left"/>
        <w:rPr>
          <w:sz w:val="12"/>
        </w:rPr>
      </w:pPr>
      <w:r>
        <w:rPr>
          <w:rFonts w:ascii="Calibri"/>
          <w:color w:val="008356"/>
          <w:w w:val="115"/>
          <w:sz w:val="11"/>
        </w:rPr>
        <w:t>METFORMIN </w:t>
      </w:r>
      <w:r>
        <w:rPr>
          <w:color w:val="231F1F"/>
          <w:w w:val="115"/>
          <w:sz w:val="12"/>
        </w:rPr>
        <w:t>(consider reducing dose of metformin)</w:t>
      </w:r>
    </w:p>
    <w:p>
      <w:pPr>
        <w:spacing w:before="0"/>
        <w:ind w:left="208" w:right="304"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manufacturer of telaprevir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PHENOBARBITAL</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r>
        <w:rPr>
          <w:rFonts w:ascii="Calibri"/>
          <w:color w:val="008356"/>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5"/>
          <w:w w:val="110"/>
          <w:sz w:val="11"/>
        </w:rPr>
        <w:t>PRIMIDONE</w:t>
      </w:r>
    </w:p>
    <w:p>
      <w:pPr>
        <w:pStyle w:val="BodyText"/>
        <w:spacing w:line="244" w:lineRule="auto"/>
        <w:ind w:right="26" w:hanging="100"/>
      </w:pPr>
      <w:r>
        <w:rPr>
          <w:rFonts w:ascii="Arial" w:hAnsi="Arial"/>
          <w:color w:val="231F1F"/>
          <w:w w:val="355"/>
          <w:position w:val="1"/>
          <w:sz w:val="7"/>
        </w:rPr>
        <w:t>l </w:t>
      </w:r>
      <w:r>
        <w:rPr>
          <w:rFonts w:ascii="Calibri" w:hAnsi="Calibri"/>
          <w:color w:val="231F1F"/>
          <w:w w:val="115"/>
        </w:rPr>
        <w:t>Antifungals: </w:t>
      </w:r>
      <w:r>
        <w:rPr>
          <w:color w:val="231F1F"/>
          <w:w w:val="115"/>
        </w:rPr>
        <w:t>plasma concentration of both drugs possibly increased when telaprevir given with </w:t>
      </w:r>
      <w:r>
        <w:rPr>
          <w:rFonts w:ascii="Calibri" w:hAnsi="Calibri"/>
          <w:color w:val="008356"/>
          <w:spacing w:val="4"/>
          <w:w w:val="115"/>
          <w:sz w:val="11"/>
        </w:rPr>
        <w:t>KETOCONAZOLE </w:t>
      </w:r>
      <w:r>
        <w:rPr>
          <w:color w:val="231F1F"/>
          <w:w w:val="115"/>
        </w:rPr>
        <w:t>(increased risk of ventricular arrhythmias)</w:t>
      </w:r>
      <w:r>
        <w:rPr>
          <w:rFonts w:ascii="Arial" w:hAnsi="Arial"/>
          <w:color w:val="231F1F"/>
          <w:w w:val="115"/>
        </w:rPr>
        <w:t>—</w:t>
      </w:r>
      <w:r>
        <w:rPr>
          <w:color w:val="231F1F"/>
          <w:w w:val="115"/>
        </w:rPr>
        <w:t>reduce dose of ketoconazole; telaprevir possibly increases plasma </w:t>
      </w:r>
      <w:r>
        <w:rPr>
          <w:color w:val="231F1F"/>
          <w:w w:val="110"/>
        </w:rPr>
        <w:t>concentration of </w:t>
      </w:r>
      <w:r>
        <w:rPr>
          <w:rFonts w:ascii="Calibri" w:hAnsi="Calibri"/>
          <w:color w:val="008356"/>
          <w:spacing w:val="4"/>
          <w:w w:val="110"/>
          <w:sz w:val="11"/>
        </w:rPr>
        <w:t>ITRACONAZOLE</w:t>
      </w:r>
      <w:r>
        <w:rPr>
          <w:color w:val="231F1F"/>
          <w:spacing w:val="4"/>
          <w:w w:val="110"/>
        </w:rPr>
        <w:t>; </w:t>
      </w:r>
      <w:r>
        <w:rPr>
          <w:color w:val="231F1F"/>
          <w:w w:val="110"/>
        </w:rPr>
        <w:t>telaprevir possibly increases </w:t>
      </w:r>
      <w:r>
        <w:rPr>
          <w:color w:val="231F1F"/>
          <w:w w:val="115"/>
        </w:rPr>
        <w:t>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POSACONAZOLE </w:t>
      </w:r>
      <w:r>
        <w:rPr>
          <w:color w:val="231F1F"/>
          <w:w w:val="115"/>
        </w:rPr>
        <w:t>(increased risk of ventricular arrhythmias); telaprevir possibly affects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4"/>
          <w:w w:val="115"/>
          <w:sz w:val="11"/>
        </w:rPr>
        <w:t>VORICONAZOLE </w:t>
      </w:r>
      <w:r>
        <w:rPr>
          <w:color w:val="231F1F"/>
          <w:w w:val="115"/>
        </w:rPr>
        <w:t>(possible increased risk of ventricular arrhythmias)</w:t>
      </w:r>
    </w:p>
    <w:p>
      <w:pPr>
        <w:pStyle w:val="BodyText"/>
        <w:spacing w:line="242" w:lineRule="auto"/>
        <w:ind w:right="157" w:hanging="100"/>
      </w:pPr>
      <w:r>
        <w:rPr>
          <w:rFonts w:ascii="Arial" w:hAnsi="Arial"/>
          <w:color w:val="231F1F"/>
          <w:w w:val="355"/>
          <w:position w:val="1"/>
          <w:sz w:val="7"/>
        </w:rPr>
        <w:t>l </w:t>
      </w:r>
      <w:r>
        <w:rPr>
          <w:rFonts w:ascii="Calibri" w:hAnsi="Calibri"/>
          <w:color w:val="231F1F"/>
          <w:w w:val="115"/>
        </w:rPr>
        <w:t>Antipsychotics: </w:t>
      </w:r>
      <w:r>
        <w:rPr>
          <w:color w:val="231F1F"/>
          <w:w w:val="115"/>
        </w:rPr>
        <w:t>telaprevir possibly increases plasma concentration of </w:t>
      </w:r>
      <w:r>
        <w:rPr>
          <w:rFonts w:ascii="Arial" w:hAnsi="Arial"/>
          <w:color w:val="231F1F"/>
          <w:w w:val="355"/>
          <w:position w:val="1"/>
          <w:sz w:val="7"/>
        </w:rPr>
        <w:t>l </w:t>
      </w:r>
      <w:r>
        <w:rPr>
          <w:rFonts w:ascii="Calibri" w:hAnsi="Calibri"/>
          <w:color w:val="008356"/>
          <w:spacing w:val="3"/>
          <w:w w:val="115"/>
          <w:sz w:val="11"/>
        </w:rPr>
        <w:t>LURASIDONE</w:t>
      </w:r>
      <w:r>
        <w:rPr>
          <w:rFonts w:ascii="Arial" w:hAnsi="Arial"/>
          <w:color w:val="231F1F"/>
          <w:spacing w:val="3"/>
          <w:w w:val="115"/>
        </w:rPr>
        <w:t>—</w:t>
      </w:r>
      <w:r>
        <w:rPr>
          <w:color w:val="231F1F"/>
          <w:spacing w:val="3"/>
          <w:w w:val="115"/>
        </w:rPr>
        <w:t>avoid </w:t>
      </w:r>
      <w:r>
        <w:rPr>
          <w:color w:val="231F1F"/>
          <w:w w:val="115"/>
        </w:rPr>
        <w:t>concomitant use; manufacturer of telaprevir advises avoid concomitant use with </w:t>
      </w:r>
      <w:r>
        <w:rPr>
          <w:rFonts w:ascii="Arial" w:hAnsi="Arial"/>
          <w:color w:val="231F1F"/>
          <w:w w:val="355"/>
          <w:position w:val="1"/>
          <w:sz w:val="7"/>
        </w:rPr>
        <w:t>l </w:t>
      </w:r>
      <w:r>
        <w:rPr>
          <w:rFonts w:ascii="Calibri" w:hAnsi="Calibri"/>
          <w:color w:val="008356"/>
          <w:spacing w:val="4"/>
          <w:w w:val="115"/>
          <w:sz w:val="11"/>
        </w:rPr>
        <w:t>PIMOZIDE</w:t>
      </w:r>
      <w:r>
        <w:rPr>
          <w:color w:val="231F1F"/>
          <w:spacing w:val="4"/>
          <w:w w:val="115"/>
        </w:rPr>
        <w:t>; </w:t>
      </w:r>
      <w:r>
        <w:rPr>
          <w:color w:val="231F1F"/>
          <w:w w:val="115"/>
        </w:rPr>
        <w:t>telaprevir possibly increases plasma concentration</w:t>
      </w:r>
      <w:r>
        <w:rPr>
          <w:color w:val="231F1F"/>
          <w:spacing w:val="-24"/>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3"/>
          <w:w w:val="115"/>
        </w:rPr>
        <w:t> </w:t>
      </w:r>
      <w:r>
        <w:rPr>
          <w:color w:val="231F1F"/>
          <w:w w:val="115"/>
        </w:rPr>
        <w:t>quetiapine advises avoid concomitant</w:t>
      </w:r>
      <w:r>
        <w:rPr>
          <w:color w:val="231F1F"/>
          <w:spacing w:val="-14"/>
          <w:w w:val="115"/>
        </w:rPr>
        <w:t> </w:t>
      </w:r>
      <w:r>
        <w:rPr>
          <w:color w:val="231F1F"/>
          <w:w w:val="115"/>
        </w:rPr>
        <w:t>use</w:t>
      </w:r>
    </w:p>
    <w:p>
      <w:pPr>
        <w:pStyle w:val="BodyText"/>
        <w:spacing w:line="244" w:lineRule="auto"/>
        <w:ind w:right="56" w:hanging="100"/>
        <w:rPr>
          <w:rFonts w:ascii="Calibri" w:hAnsi="Calibri"/>
          <w:sz w:val="11"/>
        </w:rPr>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telaprevir possibly </w:t>
      </w:r>
      <w:r>
        <w:rPr>
          <w:color w:val="231F1F"/>
          <w:spacing w:val="-3"/>
          <w:w w:val="110"/>
        </w:rPr>
        <w:t>reduced </w:t>
      </w:r>
      <w:r>
        <w:rPr>
          <w:color w:val="231F1F"/>
          <w:w w:val="110"/>
        </w:rPr>
        <w:t>by </w:t>
      </w:r>
      <w:r>
        <w:rPr>
          <w:rFonts w:ascii="Calibri" w:hAnsi="Calibri"/>
          <w:color w:val="008356"/>
          <w:spacing w:val="3"/>
          <w:w w:val="110"/>
          <w:sz w:val="11"/>
        </w:rPr>
        <w:t>ATAZANAVIR</w:t>
      </w:r>
      <w:r>
        <w:rPr>
          <w:color w:val="231F1F"/>
          <w:spacing w:val="3"/>
          <w:w w:val="110"/>
        </w:rPr>
        <w:t>, </w:t>
      </w:r>
      <w:r>
        <w:rPr>
          <w:color w:val="231F1F"/>
          <w:w w:val="110"/>
        </w:rPr>
        <w:t>also plasma concentration of atazanavir possibly increased; telaprevir increases the plasma concentration of </w:t>
      </w:r>
      <w:r>
        <w:rPr>
          <w:rFonts w:ascii="Arial" w:hAnsi="Arial"/>
          <w:color w:val="231F1F"/>
          <w:w w:val="355"/>
          <w:position w:val="1"/>
          <w:sz w:val="7"/>
        </w:rPr>
        <w:t>l </w:t>
      </w:r>
      <w:r>
        <w:rPr>
          <w:rFonts w:ascii="Calibri" w:hAnsi="Calibri"/>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 (see under Daclatasvir, p. 544); avoid concomitant use of telaprevir with </w:t>
      </w:r>
      <w:r>
        <w:rPr>
          <w:rFonts w:ascii="Arial" w:hAnsi="Arial"/>
          <w:color w:val="231F1F"/>
          <w:w w:val="355"/>
          <w:position w:val="1"/>
          <w:sz w:val="7"/>
        </w:rPr>
        <w:t>l </w:t>
      </w:r>
      <w:r>
        <w:rPr>
          <w:rFonts w:ascii="Calibri" w:hAnsi="Calibri"/>
          <w:color w:val="008356"/>
          <w:spacing w:val="3"/>
          <w:w w:val="110"/>
          <w:sz w:val="11"/>
        </w:rPr>
        <w:t>DARUNAVIR</w:t>
      </w:r>
      <w:r>
        <w:rPr>
          <w:color w:val="231F1F"/>
          <w:spacing w:val="3"/>
          <w:w w:val="110"/>
        </w:rPr>
        <w:t>; </w:t>
      </w:r>
      <w:r>
        <w:rPr>
          <w:color w:val="231F1F"/>
          <w:w w:val="110"/>
        </w:rPr>
        <w:t>plasma concentration of telaprevir reduced by </w:t>
      </w:r>
      <w:r>
        <w:rPr>
          <w:rFonts w:ascii="Arial" w:hAnsi="Arial"/>
          <w:color w:val="231F1F"/>
          <w:w w:val="355"/>
          <w:position w:val="1"/>
          <w:sz w:val="7"/>
        </w:rPr>
        <w:t>l </w:t>
      </w:r>
      <w:r>
        <w:rPr>
          <w:rFonts w:ascii="Calibri" w:hAnsi="Calibri"/>
          <w:color w:val="008356"/>
          <w:w w:val="110"/>
          <w:sz w:val="11"/>
        </w:rPr>
        <w:t>EFAVIRENZ</w:t>
      </w:r>
      <w:r>
        <w:rPr>
          <w:rFonts w:ascii="Arial" w:hAnsi="Arial"/>
          <w:color w:val="231F1F"/>
          <w:w w:val="110"/>
        </w:rPr>
        <w:t>—</w:t>
      </w:r>
      <w:r>
        <w:rPr>
          <w:color w:val="231F1F"/>
          <w:w w:val="110"/>
        </w:rPr>
        <w:t>increase dose of telaprevir; manufacturers advise avoid concomitant use of telaprevir</w:t>
      </w:r>
      <w:r>
        <w:rPr>
          <w:color w:val="231F1F"/>
          <w:spacing w:val="-8"/>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4"/>
          <w:w w:val="110"/>
          <w:sz w:val="11"/>
        </w:rPr>
        <w:t>FOSAMPRENAVIR </w:t>
      </w:r>
      <w:r>
        <w:rPr>
          <w:color w:val="231F1F"/>
          <w:w w:val="110"/>
        </w:rPr>
        <w:t>and</w:t>
      </w:r>
      <w:r>
        <w:rPr>
          <w:color w:val="231F1F"/>
          <w:spacing w:val="-7"/>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3"/>
          <w:w w:val="110"/>
          <w:sz w:val="11"/>
        </w:rPr>
        <w:t>LOPINAVIR</w:t>
      </w:r>
      <w:r>
        <w:rPr>
          <w:color w:val="231F1F"/>
          <w:spacing w:val="3"/>
          <w:w w:val="110"/>
        </w:rPr>
        <w:t>;</w:t>
      </w:r>
      <w:r>
        <w:rPr>
          <w:color w:val="231F1F"/>
          <w:spacing w:val="-7"/>
          <w:w w:val="110"/>
        </w:rPr>
        <w:t> </w:t>
      </w:r>
      <w:r>
        <w:rPr>
          <w:color w:val="231F1F"/>
          <w:w w:val="110"/>
        </w:rPr>
        <w:t>telaprevir increases plasma concentration of </w:t>
      </w:r>
      <w:r>
        <w:rPr>
          <w:rFonts w:ascii="Calibri" w:hAnsi="Calibri"/>
          <w:color w:val="008356"/>
          <w:spacing w:val="4"/>
          <w:w w:val="110"/>
          <w:sz w:val="11"/>
        </w:rPr>
        <w:t>MARAVIROC </w:t>
      </w:r>
      <w:r>
        <w:rPr>
          <w:color w:val="231F1F"/>
          <w:w w:val="110"/>
        </w:rPr>
        <w:t>(consider reducing dose of maraviroc); plasma concentration of telaprevir possibly reduced by </w:t>
      </w:r>
      <w:r>
        <w:rPr>
          <w:rFonts w:ascii="Calibri" w:hAnsi="Calibri"/>
          <w:color w:val="008356"/>
          <w:spacing w:val="2"/>
          <w:w w:val="110"/>
          <w:sz w:val="11"/>
        </w:rPr>
        <w:t>NEVIRAPINE</w:t>
      </w:r>
      <w:r>
        <w:rPr>
          <w:rFonts w:ascii="Arial" w:hAnsi="Arial"/>
          <w:color w:val="231F1F"/>
          <w:spacing w:val="2"/>
          <w:w w:val="110"/>
        </w:rPr>
        <w:t>—</w:t>
      </w:r>
      <w:r>
        <w:rPr>
          <w:color w:val="231F1F"/>
          <w:spacing w:val="2"/>
          <w:w w:val="110"/>
        </w:rPr>
        <w:t>consider </w:t>
      </w:r>
      <w:r>
        <w:rPr>
          <w:color w:val="231F1F"/>
          <w:w w:val="110"/>
        </w:rPr>
        <w:t>increasing dose of telaprevir; plasma concentration of telaprevir possibly reduced by </w:t>
      </w:r>
      <w:r>
        <w:rPr>
          <w:rFonts w:ascii="Calibri" w:hAnsi="Calibri"/>
          <w:color w:val="008356"/>
          <w:spacing w:val="3"/>
          <w:w w:val="110"/>
          <w:sz w:val="11"/>
        </w:rPr>
        <w:t>RITONAVIR</w:t>
      </w:r>
      <w:r>
        <w:rPr>
          <w:color w:val="231F1F"/>
          <w:spacing w:val="3"/>
          <w:w w:val="110"/>
        </w:rPr>
        <w:t>; </w:t>
      </w:r>
      <w:r>
        <w:rPr>
          <w:color w:val="231F1F"/>
          <w:w w:val="110"/>
        </w:rPr>
        <w:t>telaprevir increases plasma concentration of </w:t>
      </w:r>
      <w:r>
        <w:rPr>
          <w:rFonts w:ascii="Calibri" w:hAnsi="Calibri"/>
          <w:color w:val="008356"/>
          <w:spacing w:val="4"/>
          <w:w w:val="110"/>
          <w:sz w:val="11"/>
        </w:rPr>
        <w:t>TENOFOVIR</w:t>
      </w:r>
      <w:r>
        <w:rPr>
          <w:color w:val="231F1F"/>
          <w:spacing w:val="4"/>
          <w:w w:val="110"/>
        </w:rPr>
        <w:t>; </w:t>
      </w:r>
      <w:r>
        <w:rPr>
          <w:color w:val="231F1F"/>
          <w:w w:val="110"/>
        </w:rPr>
        <w:t>avoidance of telaprevir advised by manufacturer of</w:t>
      </w:r>
      <w:r>
        <w:rPr>
          <w:color w:val="231F1F"/>
          <w:spacing w:val="-10"/>
          <w:w w:val="110"/>
        </w:rPr>
        <w:t> </w:t>
      </w:r>
      <w:r>
        <w:rPr>
          <w:rFonts w:ascii="Calibri" w:hAnsi="Calibri"/>
          <w:color w:val="008356"/>
          <w:spacing w:val="4"/>
          <w:w w:val="110"/>
          <w:sz w:val="11"/>
        </w:rPr>
        <w:t>TIPRANAVIR</w:t>
      </w:r>
    </w:p>
    <w:p>
      <w:pPr>
        <w:pStyle w:val="BodyText"/>
        <w:spacing w:line="141" w:lineRule="exact"/>
        <w:ind w:hanging="100"/>
      </w:pPr>
      <w:r>
        <w:rPr>
          <w:rFonts w:ascii="Arial"/>
          <w:color w:val="231F1F"/>
          <w:w w:val="355"/>
          <w:position w:val="1"/>
          <w:sz w:val="7"/>
        </w:rPr>
        <w:t>l </w:t>
      </w:r>
      <w:r>
        <w:rPr>
          <w:rFonts w:ascii="Calibri"/>
          <w:color w:val="231F1F"/>
          <w:w w:val="110"/>
        </w:rPr>
        <w:t>Anxiolytics and Hypnotics: </w:t>
      </w:r>
      <w:r>
        <w:rPr>
          <w:color w:val="231F1F"/>
          <w:w w:val="110"/>
        </w:rPr>
        <w:t>telaprevir possibly increases plasma</w:t>
      </w:r>
    </w:p>
    <w:p>
      <w:pPr>
        <w:pStyle w:val="BodyText"/>
        <w:ind w:right="43"/>
      </w:pPr>
      <w:r>
        <w:rPr>
          <w:color w:val="231F1F"/>
          <w:w w:val="105"/>
        </w:rPr>
        <w:t>concentration of </w:t>
      </w:r>
      <w:r>
        <w:rPr>
          <w:rFonts w:ascii="Arial" w:hAnsi="Arial"/>
          <w:color w:val="231F1F"/>
          <w:w w:val="355"/>
          <w:position w:val="1"/>
          <w:sz w:val="7"/>
        </w:rPr>
        <w:t>l </w:t>
      </w:r>
      <w:r>
        <w:rPr>
          <w:rFonts w:ascii="Calibri" w:hAnsi="Calibri"/>
          <w:color w:val="008356"/>
          <w:w w:val="105"/>
          <w:sz w:val="11"/>
        </w:rPr>
        <w:t>MIDAZOLAM </w:t>
      </w:r>
      <w:r>
        <w:rPr>
          <w:color w:val="231F1F"/>
          <w:w w:val="105"/>
        </w:rPr>
        <w:t>(risk of prolonged sedation</w:t>
      </w:r>
      <w:r>
        <w:rPr>
          <w:rFonts w:ascii="Arial" w:hAnsi="Arial"/>
          <w:color w:val="231F1F"/>
          <w:w w:val="105"/>
        </w:rPr>
        <w:t>— </w:t>
      </w:r>
      <w:r>
        <w:rPr>
          <w:color w:val="231F1F"/>
          <w:w w:val="105"/>
        </w:rPr>
        <w:t>avoid concomitant use of </w:t>
      </w:r>
      <w:r>
        <w:rPr>
          <w:i/>
          <w:color w:val="231F1F"/>
          <w:w w:val="105"/>
        </w:rPr>
        <w:t>oral </w:t>
      </w:r>
      <w:r>
        <w:rPr>
          <w:color w:val="231F1F"/>
          <w:w w:val="105"/>
        </w:rPr>
        <w:t>midazolam)</w:t>
      </w:r>
    </w:p>
    <w:p>
      <w:pPr>
        <w:pStyle w:val="BodyText"/>
        <w:spacing w:before="2"/>
        <w:ind w:right="447" w:hanging="100"/>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Beta-blockers:</w:t>
      </w:r>
      <w:r>
        <w:rPr>
          <w:rFonts w:ascii="Calibri"/>
          <w:color w:val="231F1F"/>
          <w:spacing w:val="-16"/>
          <w:w w:val="115"/>
        </w:rPr>
        <w:t> </w:t>
      </w:r>
      <w:r>
        <w:rPr>
          <w:color w:val="231F1F"/>
          <w:w w:val="115"/>
        </w:rPr>
        <w:t>manufacturer</w:t>
      </w:r>
      <w:r>
        <w:rPr>
          <w:color w:val="231F1F"/>
          <w:spacing w:val="-20"/>
          <w:w w:val="115"/>
        </w:rPr>
        <w:t> </w:t>
      </w:r>
      <w:r>
        <w:rPr>
          <w:color w:val="231F1F"/>
          <w:w w:val="115"/>
        </w:rPr>
        <w:t>of</w:t>
      </w:r>
      <w:r>
        <w:rPr>
          <w:color w:val="231F1F"/>
          <w:spacing w:val="-19"/>
          <w:w w:val="115"/>
        </w:rPr>
        <w:t> </w:t>
      </w:r>
      <w:r>
        <w:rPr>
          <w:color w:val="231F1F"/>
          <w:w w:val="115"/>
        </w:rPr>
        <w:t>telaprevir</w:t>
      </w:r>
      <w:r>
        <w:rPr>
          <w:color w:val="231F1F"/>
          <w:spacing w:val="-20"/>
          <w:w w:val="115"/>
        </w:rPr>
        <w:t> </w:t>
      </w:r>
      <w:r>
        <w:rPr>
          <w:color w:val="231F1F"/>
          <w:w w:val="115"/>
        </w:rPr>
        <w:t>advises</w:t>
      </w:r>
      <w:r>
        <w:rPr>
          <w:color w:val="231F1F"/>
          <w:spacing w:val="-20"/>
          <w:w w:val="115"/>
        </w:rPr>
        <w:t> </w:t>
      </w:r>
      <w:r>
        <w:rPr>
          <w:color w:val="231F1F"/>
          <w:spacing w:val="-3"/>
          <w:w w:val="115"/>
        </w:rPr>
        <w:t>avoid </w:t>
      </w:r>
      <w:r>
        <w:rPr>
          <w:color w:val="231F1F"/>
          <w:w w:val="115"/>
        </w:rPr>
        <w:t>concomitant use with </w:t>
      </w:r>
      <w:r>
        <w:rPr>
          <w:rFonts w:ascii="Arial"/>
          <w:color w:val="231F1F"/>
          <w:w w:val="355"/>
          <w:position w:val="1"/>
          <w:sz w:val="7"/>
        </w:rPr>
        <w:t>l </w:t>
      </w:r>
      <w:r>
        <w:rPr>
          <w:rFonts w:ascii="Calibri"/>
          <w:color w:val="008356"/>
          <w:spacing w:val="3"/>
          <w:w w:val="115"/>
          <w:sz w:val="11"/>
        </w:rPr>
        <w:t>SOTALOL </w:t>
      </w:r>
      <w:r>
        <w:rPr>
          <w:color w:val="231F1F"/>
          <w:w w:val="115"/>
        </w:rPr>
        <w:t>(risk of ventricular arrhythmias)</w:t>
      </w:r>
    </w:p>
    <w:p>
      <w:pPr>
        <w:pStyle w:val="BodyText"/>
        <w:spacing w:line="230" w:lineRule="auto" w:before="7"/>
        <w:ind w:right="48" w:hanging="100"/>
        <w:jc w:val="both"/>
      </w:pPr>
      <w:r>
        <w:rPr>
          <w:rFonts w:ascii="Lucida Sans Unicode" w:hAnsi="Lucida Sans Unicode"/>
          <w:color w:val="A7A8AC"/>
          <w:w w:val="95"/>
          <w:sz w:val="10"/>
        </w:rPr>
        <w:t>▶ </w:t>
      </w:r>
      <w:r>
        <w:rPr>
          <w:rFonts w:ascii="Calibri" w:hAnsi="Calibri"/>
          <w:color w:val="231F1F"/>
          <w:w w:val="110"/>
        </w:rPr>
        <w:t>Bosentan: </w:t>
      </w:r>
      <w:r>
        <w:rPr>
          <w:color w:val="231F1F"/>
          <w:w w:val="110"/>
        </w:rPr>
        <w:t>plasma concentration of telaprevir possibly reduced by </w:t>
      </w:r>
      <w:r>
        <w:rPr>
          <w:rFonts w:ascii="Calibri" w:hAnsi="Calibri"/>
          <w:color w:val="008356"/>
          <w:w w:val="110"/>
          <w:sz w:val="11"/>
        </w:rPr>
        <w:t>BOSENTAN</w:t>
      </w:r>
      <w:r>
        <w:rPr>
          <w:color w:val="231F1F"/>
          <w:w w:val="110"/>
        </w:rPr>
        <w:t>, also plasma concentration of bosentan possibly increased</w:t>
      </w:r>
    </w:p>
    <w:p>
      <w:pPr>
        <w:spacing w:line="237" w:lineRule="auto" w:before="4"/>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Calcium-channel Blockers: </w:t>
      </w:r>
      <w:r>
        <w:rPr>
          <w:color w:val="231F1F"/>
          <w:w w:val="110"/>
          <w:sz w:val="12"/>
        </w:rPr>
        <w:t>telaprevir increases plasma concentration of </w:t>
      </w:r>
      <w:r>
        <w:rPr>
          <w:rFonts w:ascii="Calibri" w:hAnsi="Calibri"/>
          <w:color w:val="008356"/>
          <w:w w:val="110"/>
          <w:sz w:val="11"/>
        </w:rPr>
        <w:t>AMLODIPINE </w:t>
      </w:r>
      <w:r>
        <w:rPr>
          <w:color w:val="231F1F"/>
          <w:w w:val="110"/>
          <w:sz w:val="12"/>
        </w:rPr>
        <w:t>(consider reducing dose of amlodipine); manufacturer of telaprevir advises caution with </w:t>
      </w:r>
      <w:r>
        <w:rPr>
          <w:rFonts w:ascii="Calibri" w:hAnsi="Calibri"/>
          <w:color w:val="008356"/>
          <w:w w:val="105"/>
          <w:sz w:val="11"/>
        </w:rPr>
        <w:t>DILTIAZEM</w:t>
      </w:r>
      <w:r>
        <w:rPr>
          <w:color w:val="231F1F"/>
          <w:w w:val="105"/>
          <w:sz w:val="12"/>
        </w:rPr>
        <w:t>, </w:t>
      </w:r>
      <w:r>
        <w:rPr>
          <w:rFonts w:ascii="Calibri" w:hAnsi="Calibri"/>
          <w:color w:val="008356"/>
          <w:w w:val="105"/>
          <w:sz w:val="11"/>
        </w:rPr>
        <w:t>FELODIPINE</w:t>
      </w:r>
      <w:r>
        <w:rPr>
          <w:color w:val="231F1F"/>
          <w:w w:val="105"/>
          <w:sz w:val="12"/>
        </w:rPr>
        <w:t>, </w:t>
      </w:r>
      <w:r>
        <w:rPr>
          <w:rFonts w:ascii="Calibri" w:hAnsi="Calibri"/>
          <w:color w:val="008356"/>
          <w:w w:val="105"/>
          <w:sz w:val="11"/>
        </w:rPr>
        <w:t>NICARDIPINE</w:t>
      </w:r>
      <w:r>
        <w:rPr>
          <w:color w:val="231F1F"/>
          <w:w w:val="105"/>
          <w:sz w:val="12"/>
        </w:rPr>
        <w:t>, </w:t>
      </w:r>
      <w:r>
        <w:rPr>
          <w:rFonts w:ascii="Calibri" w:hAnsi="Calibri"/>
          <w:color w:val="008356"/>
          <w:w w:val="105"/>
          <w:sz w:val="11"/>
        </w:rPr>
        <w:t>NIFEDIPINE </w:t>
      </w:r>
      <w:r>
        <w:rPr>
          <w:color w:val="231F1F"/>
          <w:w w:val="105"/>
          <w:sz w:val="12"/>
        </w:rPr>
        <w:t>and </w:t>
      </w:r>
      <w:r>
        <w:rPr>
          <w:rFonts w:ascii="Calibri" w:hAnsi="Calibri"/>
          <w:color w:val="008356"/>
          <w:w w:val="105"/>
          <w:sz w:val="11"/>
        </w:rPr>
        <w:t>VERAPAMIL</w:t>
      </w:r>
    </w:p>
    <w:p>
      <w:pPr>
        <w:pStyle w:val="BodyText"/>
        <w:spacing w:line="220" w:lineRule="auto" w:before="6"/>
        <w:ind w:right="136"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telaprevir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3"/>
          <w:w w:val="105"/>
          <w:sz w:val="11"/>
        </w:rPr>
        <w:t>DIGOXIN</w:t>
      </w:r>
    </w:p>
    <w:p>
      <w:pPr>
        <w:pStyle w:val="BodyText"/>
        <w:ind w:right="294" w:hanging="100"/>
        <w:jc w:val="both"/>
      </w:pPr>
      <w:r>
        <w:rPr>
          <w:rFonts w:ascii="Arial"/>
          <w:color w:val="231F1F"/>
          <w:w w:val="355"/>
          <w:position w:val="1"/>
          <w:sz w:val="7"/>
        </w:rPr>
        <w:t>l </w:t>
      </w:r>
      <w:r>
        <w:rPr>
          <w:rFonts w:ascii="Calibri"/>
          <w:color w:val="231F1F"/>
          <w:w w:val="110"/>
        </w:rPr>
        <w:t>Ciclosporin: </w:t>
      </w:r>
      <w:r>
        <w:rPr>
          <w:color w:val="231F1F"/>
          <w:w w:val="110"/>
        </w:rPr>
        <w:t>plasma concentration of both drugs increased when telaprevir given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CICLOSPORIN </w:t>
      </w:r>
      <w:r>
        <w:rPr>
          <w:color w:val="231F1F"/>
          <w:w w:val="110"/>
        </w:rPr>
        <w:t>(reduce dose of ciclosporin)</w:t>
      </w:r>
    </w:p>
    <w:p>
      <w:pPr>
        <w:pStyle w:val="BodyText"/>
        <w:spacing w:before="2"/>
        <w:ind w:right="55" w:hanging="100"/>
      </w:pPr>
      <w:r>
        <w:rPr>
          <w:rFonts w:ascii="Arial"/>
          <w:color w:val="231F1F"/>
          <w:w w:val="355"/>
          <w:position w:val="1"/>
          <w:sz w:val="7"/>
        </w:rPr>
        <w:t>l </w:t>
      </w:r>
      <w:r>
        <w:rPr>
          <w:rFonts w:ascii="Calibri"/>
          <w:color w:val="231F1F"/>
          <w:w w:val="110"/>
        </w:rPr>
        <w:t>Cilostazol: </w:t>
      </w:r>
      <w:r>
        <w:rPr>
          <w:color w:val="231F1F"/>
          <w:w w:val="110"/>
        </w:rPr>
        <w:t>telaprevir possibly increases plasma concentration of </w:t>
      </w:r>
      <w:r>
        <w:rPr>
          <w:rFonts w:ascii="Arial"/>
          <w:color w:val="231F1F"/>
          <w:w w:val="355"/>
          <w:position w:val="1"/>
          <w:sz w:val="7"/>
        </w:rPr>
        <w:t>l </w:t>
      </w:r>
      <w:r>
        <w:rPr>
          <w:rFonts w:ascii="Calibri"/>
          <w:color w:val="008356"/>
          <w:w w:val="110"/>
          <w:sz w:val="11"/>
        </w:rPr>
        <w:t>CILOSTAZOL </w:t>
      </w:r>
      <w:r>
        <w:rPr>
          <w:color w:val="231F1F"/>
          <w:w w:val="110"/>
        </w:rPr>
        <w:t>(see under Cilostazol, p. 206)</w:t>
      </w:r>
    </w:p>
    <w:p>
      <w:pPr>
        <w:pStyle w:val="BodyText"/>
        <w:spacing w:line="242" w:lineRule="auto"/>
        <w:ind w:right="212" w:hanging="100"/>
      </w:pPr>
      <w:r>
        <w:rPr>
          <w:rFonts w:ascii="Arial" w:hAnsi="Arial"/>
          <w:color w:val="231F1F"/>
          <w:w w:val="350"/>
          <w:position w:val="1"/>
          <w:sz w:val="7"/>
        </w:rPr>
        <w:t>l</w:t>
      </w:r>
      <w:r>
        <w:rPr>
          <w:rFonts w:ascii="Arial" w:hAnsi="Arial"/>
          <w:color w:val="231F1F"/>
          <w:spacing w:val="-55"/>
          <w:w w:val="350"/>
          <w:position w:val="1"/>
          <w:sz w:val="7"/>
        </w:rPr>
        <w:t> </w:t>
      </w:r>
      <w:r>
        <w:rPr>
          <w:rFonts w:ascii="Calibri" w:hAnsi="Calibri"/>
          <w:color w:val="231F1F"/>
          <w:w w:val="115"/>
        </w:rPr>
        <w:t>Colchicine:</w:t>
      </w:r>
      <w:r>
        <w:rPr>
          <w:rFonts w:ascii="Calibri" w:hAnsi="Calibri"/>
          <w:color w:val="231F1F"/>
          <w:spacing w:val="-22"/>
          <w:w w:val="115"/>
        </w:rPr>
        <w:t> </w:t>
      </w:r>
      <w:r>
        <w:rPr>
          <w:color w:val="231F1F"/>
          <w:w w:val="115"/>
        </w:rPr>
        <w:t>telaprevir</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rFonts w:ascii="Arial" w:hAnsi="Arial"/>
          <w:color w:val="231F1F"/>
          <w:w w:val="350"/>
          <w:position w:val="1"/>
          <w:sz w:val="7"/>
        </w:rPr>
        <w:t>l</w:t>
      </w:r>
      <w:r>
        <w:rPr>
          <w:rFonts w:ascii="Arial" w:hAnsi="Arial"/>
          <w:color w:val="231F1F"/>
          <w:spacing w:val="-58"/>
          <w:w w:val="350"/>
          <w:position w:val="1"/>
          <w:sz w:val="7"/>
        </w:rPr>
        <w:t> </w:t>
      </w:r>
      <w:r>
        <w:rPr>
          <w:rFonts w:ascii="Calibri" w:hAnsi="Calibri"/>
          <w:color w:val="008356"/>
          <w:spacing w:val="2"/>
          <w:w w:val="115"/>
          <w:sz w:val="11"/>
        </w:rPr>
        <w:t>COLCHICINE </w:t>
      </w:r>
      <w:r>
        <w:rPr>
          <w:color w:val="231F1F"/>
          <w:w w:val="115"/>
        </w:rPr>
        <w:t>toxicity</w:t>
      </w:r>
      <w:r>
        <w:rPr>
          <w:rFonts w:ascii="Arial" w:hAnsi="Arial"/>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spacing w:line="235"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Corticosteroids: </w:t>
      </w:r>
      <w:r>
        <w:rPr>
          <w:color w:val="231F1F"/>
          <w:w w:val="110"/>
          <w:sz w:val="12"/>
        </w:rPr>
        <w:t>telaprevir possibly increases plasma concentration of </w:t>
      </w:r>
      <w:r>
        <w:rPr>
          <w:i/>
          <w:color w:val="231F1F"/>
          <w:w w:val="110"/>
          <w:sz w:val="12"/>
        </w:rPr>
        <w:t>inhaled </w:t>
      </w:r>
      <w:r>
        <w:rPr>
          <w:color w:val="231F1F"/>
          <w:w w:val="110"/>
          <w:sz w:val="12"/>
        </w:rPr>
        <w:t>and </w:t>
      </w:r>
      <w:r>
        <w:rPr>
          <w:i/>
          <w:color w:val="231F1F"/>
          <w:w w:val="110"/>
          <w:sz w:val="12"/>
        </w:rPr>
        <w:t>intranasal </w:t>
      </w:r>
      <w:r>
        <w:rPr>
          <w:rFonts w:ascii="Calibri" w:hAnsi="Calibri"/>
          <w:color w:val="008356"/>
          <w:w w:val="110"/>
          <w:sz w:val="11"/>
        </w:rPr>
        <w:t>BUDESONIDE </w:t>
      </w:r>
      <w:r>
        <w:rPr>
          <w:color w:val="231F1F"/>
          <w:w w:val="110"/>
          <w:sz w:val="12"/>
        </w:rPr>
        <w:t>and </w:t>
      </w:r>
      <w:r>
        <w:rPr>
          <w:rFonts w:ascii="Calibri" w:hAnsi="Calibri"/>
          <w:color w:val="008356"/>
          <w:w w:val="110"/>
          <w:sz w:val="11"/>
        </w:rPr>
        <w:t>FLUTICASONE</w:t>
      </w:r>
      <w:r>
        <w:rPr>
          <w:color w:val="231F1F"/>
          <w:w w:val="110"/>
          <w:sz w:val="12"/>
        </w:rPr>
        <w:t>; plasma concentration of telaprevir possibly reduced by </w:t>
      </w:r>
      <w:r>
        <w:rPr>
          <w:rFonts w:ascii="Calibri" w:hAnsi="Calibri"/>
          <w:color w:val="008356"/>
          <w:w w:val="110"/>
          <w:sz w:val="11"/>
        </w:rPr>
        <w:t>DEXAMETHASONE</w:t>
      </w:r>
    </w:p>
    <w:p>
      <w:pPr>
        <w:pStyle w:val="BodyText"/>
        <w:spacing w:line="244" w:lineRule="auto"/>
        <w:ind w:right="286" w:hanging="100"/>
      </w:pPr>
      <w:r>
        <w:rPr>
          <w:rFonts w:ascii="Arial" w:hAnsi="Arial"/>
          <w:color w:val="231F1F"/>
          <w:w w:val="355"/>
          <w:position w:val="1"/>
          <w:sz w:val="7"/>
        </w:rPr>
        <w:t>l </w:t>
      </w:r>
      <w:r>
        <w:rPr>
          <w:rFonts w:ascii="Calibri" w:hAnsi="Calibri"/>
          <w:color w:val="231F1F"/>
          <w:w w:val="115"/>
        </w:rPr>
        <w:t>Cytotoxics: </w:t>
      </w:r>
      <w:r>
        <w:rPr>
          <w:color w:val="231F1F"/>
          <w:w w:val="115"/>
        </w:rPr>
        <w:t>telaprevir possibly increases the plasma concentration</w:t>
      </w:r>
      <w:r>
        <w:rPr>
          <w:color w:val="231F1F"/>
          <w:spacing w:val="-23"/>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BOSUTINIB</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3"/>
          <w:w w:val="115"/>
        </w:rPr>
        <w:t> </w:t>
      </w:r>
      <w:r>
        <w:rPr>
          <w:color w:val="231F1F"/>
          <w:w w:val="115"/>
        </w:rPr>
        <w:t>bosutinib advises avoid or consider reducing dose of bosutinib; manufacturer</w:t>
      </w:r>
      <w:r>
        <w:rPr>
          <w:color w:val="231F1F"/>
          <w:spacing w:val="-6"/>
          <w:w w:val="115"/>
        </w:rPr>
        <w:t> </w:t>
      </w:r>
      <w:r>
        <w:rPr>
          <w:color w:val="231F1F"/>
          <w:w w:val="115"/>
        </w:rPr>
        <w:t>of</w:t>
      </w:r>
      <w:r>
        <w:rPr>
          <w:color w:val="231F1F"/>
          <w:spacing w:val="-7"/>
          <w:w w:val="115"/>
        </w:rPr>
        <w:t> </w:t>
      </w:r>
      <w:r>
        <w:rPr>
          <w:color w:val="231F1F"/>
          <w:w w:val="115"/>
        </w:rPr>
        <w:t>ruxolitinib</w:t>
      </w:r>
      <w:r>
        <w:rPr>
          <w:color w:val="231F1F"/>
          <w:spacing w:val="-6"/>
          <w:w w:val="115"/>
        </w:rPr>
        <w:t> </w:t>
      </w:r>
      <w:r>
        <w:rPr>
          <w:color w:val="231F1F"/>
          <w:w w:val="115"/>
        </w:rPr>
        <w:t>advises</w:t>
      </w:r>
      <w:r>
        <w:rPr>
          <w:color w:val="231F1F"/>
          <w:spacing w:val="-7"/>
          <w:w w:val="115"/>
        </w:rPr>
        <w:t> </w:t>
      </w:r>
      <w:r>
        <w:rPr>
          <w:color w:val="231F1F"/>
          <w:w w:val="115"/>
        </w:rPr>
        <w:t>dose</w:t>
      </w:r>
      <w:r>
        <w:rPr>
          <w:color w:val="231F1F"/>
          <w:spacing w:val="-7"/>
          <w:w w:val="115"/>
        </w:rPr>
        <w:t> </w:t>
      </w:r>
      <w:r>
        <w:rPr>
          <w:color w:val="231F1F"/>
          <w:w w:val="115"/>
        </w:rPr>
        <w:t>reduction</w:t>
      </w:r>
      <w:r>
        <w:rPr>
          <w:color w:val="231F1F"/>
          <w:spacing w:val="-7"/>
          <w:w w:val="115"/>
        </w:rPr>
        <w:t> </w:t>
      </w:r>
      <w:r>
        <w:rPr>
          <w:color w:val="231F1F"/>
          <w:w w:val="115"/>
        </w:rPr>
        <w:t>when telaprevir</w:t>
      </w:r>
      <w:r>
        <w:rPr>
          <w:color w:val="231F1F"/>
          <w:spacing w:val="-18"/>
          <w:w w:val="115"/>
        </w:rPr>
        <w:t> </w:t>
      </w:r>
      <w:r>
        <w:rPr>
          <w:color w:val="231F1F"/>
          <w:w w:val="115"/>
        </w:rPr>
        <w:t>given</w:t>
      </w:r>
      <w:r>
        <w:rPr>
          <w:color w:val="231F1F"/>
          <w:spacing w:val="-18"/>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w:t>
      </w:r>
      <w:r>
        <w:rPr>
          <w:color w:val="231F1F"/>
          <w:spacing w:val="-18"/>
          <w:w w:val="115"/>
        </w:rPr>
        <w:t> </w:t>
      </w:r>
      <w:r>
        <w:rPr>
          <w:color w:val="231F1F"/>
          <w:w w:val="115"/>
        </w:rPr>
        <w:t>ruxolitinib product</w:t>
      </w:r>
      <w:r>
        <w:rPr>
          <w:color w:val="231F1F"/>
          <w:spacing w:val="-5"/>
          <w:w w:val="115"/>
        </w:rPr>
        <w:t> </w:t>
      </w:r>
      <w:r>
        <w:rPr>
          <w:color w:val="231F1F"/>
          <w:w w:val="115"/>
        </w:rPr>
        <w:t>literature</w:t>
      </w:r>
    </w:p>
    <w:p>
      <w:pPr>
        <w:pStyle w:val="BodyText"/>
        <w:ind w:right="235" w:hanging="100"/>
      </w:pPr>
      <w:r>
        <w:rPr>
          <w:rFonts w:ascii="Arial" w:hAnsi="Arial"/>
          <w:color w:val="231F1F"/>
          <w:w w:val="355"/>
          <w:position w:val="1"/>
          <w:sz w:val="7"/>
        </w:rPr>
        <w:t>l </w:t>
      </w:r>
      <w:r>
        <w:rPr>
          <w:rFonts w:ascii="Calibri" w:hAnsi="Calibri"/>
          <w:color w:val="231F1F"/>
          <w:w w:val="105"/>
        </w:rPr>
        <w:t>Domperidone: </w:t>
      </w:r>
      <w:r>
        <w:rPr>
          <w:color w:val="231F1F"/>
          <w:w w:val="105"/>
        </w:rPr>
        <w:t>possible increased risk of ventricular arrhythmias when telaprevir given with </w:t>
      </w:r>
      <w:r>
        <w:rPr>
          <w:rFonts w:ascii="Arial" w:hAnsi="Arial"/>
          <w:color w:val="231F1F"/>
          <w:w w:val="355"/>
          <w:position w:val="1"/>
          <w:sz w:val="7"/>
        </w:rPr>
        <w:t>l </w:t>
      </w:r>
      <w:r>
        <w:rPr>
          <w:rFonts w:ascii="Calibri" w:hAnsi="Calibri"/>
          <w:color w:val="008356"/>
          <w:w w:val="105"/>
          <w:sz w:val="11"/>
        </w:rPr>
        <w:t>DOMPERIDONE</w:t>
      </w:r>
      <w:r>
        <w:rPr>
          <w:rFonts w:ascii="Arial" w:hAnsi="Arial"/>
          <w:color w:val="231F1F"/>
          <w:w w:val="105"/>
        </w:rPr>
        <w:t>— </w:t>
      </w:r>
      <w:r>
        <w:rPr>
          <w:color w:val="231F1F"/>
          <w:w w:val="105"/>
        </w:rPr>
        <w:t>avoid concomitant use</w:t>
      </w:r>
    </w:p>
    <w:p>
      <w:pPr>
        <w:pStyle w:val="BodyText"/>
        <w:ind w:right="379"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Ergot</w:t>
      </w:r>
      <w:r>
        <w:rPr>
          <w:rFonts w:ascii="Calibri"/>
          <w:color w:val="231F1F"/>
          <w:spacing w:val="-14"/>
          <w:w w:val="115"/>
        </w:rPr>
        <w:t> </w:t>
      </w:r>
      <w:r>
        <w:rPr>
          <w:rFonts w:ascii="Calibri"/>
          <w:color w:val="231F1F"/>
          <w:w w:val="115"/>
        </w:rPr>
        <w:t>Alkaloids:</w:t>
      </w:r>
      <w:r>
        <w:rPr>
          <w:rFonts w:ascii="Calibri"/>
          <w:color w:val="231F1F"/>
          <w:spacing w:val="-14"/>
          <w:w w:val="115"/>
        </w:rPr>
        <w:t> </w:t>
      </w:r>
      <w:r>
        <w:rPr>
          <w:color w:val="231F1F"/>
          <w:w w:val="115"/>
        </w:rPr>
        <w:t>manufacturer</w:t>
      </w:r>
      <w:r>
        <w:rPr>
          <w:color w:val="231F1F"/>
          <w:spacing w:val="-17"/>
          <w:w w:val="115"/>
        </w:rPr>
        <w:t> </w:t>
      </w:r>
      <w:r>
        <w:rPr>
          <w:color w:val="231F1F"/>
          <w:w w:val="115"/>
        </w:rPr>
        <w:t>of</w:t>
      </w:r>
      <w:r>
        <w:rPr>
          <w:color w:val="231F1F"/>
          <w:spacing w:val="-17"/>
          <w:w w:val="115"/>
        </w:rPr>
        <w:t> </w:t>
      </w:r>
      <w:r>
        <w:rPr>
          <w:color w:val="231F1F"/>
          <w:w w:val="115"/>
        </w:rPr>
        <w:t>telaprevir</w:t>
      </w:r>
      <w:r>
        <w:rPr>
          <w:color w:val="231F1F"/>
          <w:spacing w:val="-17"/>
          <w:w w:val="115"/>
        </w:rPr>
        <w:t> </w:t>
      </w:r>
      <w:r>
        <w:rPr>
          <w:color w:val="231F1F"/>
          <w:w w:val="115"/>
        </w:rPr>
        <w:t>advises</w:t>
      </w:r>
      <w:r>
        <w:rPr>
          <w:color w:val="231F1F"/>
          <w:spacing w:val="-17"/>
          <w:w w:val="115"/>
        </w:rPr>
        <w:t> </w:t>
      </w:r>
      <w:r>
        <w:rPr>
          <w:color w:val="231F1F"/>
          <w:spacing w:val="-3"/>
          <w:w w:val="115"/>
        </w:rPr>
        <w:t>avoid </w:t>
      </w:r>
      <w:r>
        <w:rPr>
          <w:color w:val="231F1F"/>
          <w:w w:val="115"/>
        </w:rPr>
        <w:t>concomitant</w:t>
      </w:r>
      <w:r>
        <w:rPr>
          <w:color w:val="231F1F"/>
          <w:spacing w:val="-9"/>
          <w:w w:val="115"/>
        </w:rPr>
        <w:t> </w:t>
      </w:r>
      <w:r>
        <w:rPr>
          <w:color w:val="231F1F"/>
          <w:w w:val="115"/>
        </w:rPr>
        <w:t>use</w:t>
      </w:r>
      <w:r>
        <w:rPr>
          <w:color w:val="231F1F"/>
          <w:spacing w:val="-6"/>
          <w:w w:val="115"/>
        </w:rPr>
        <w:t> </w:t>
      </w:r>
      <w:r>
        <w:rPr>
          <w:color w:val="231F1F"/>
          <w:w w:val="115"/>
        </w:rPr>
        <w:t>with</w:t>
      </w:r>
      <w:r>
        <w:rPr>
          <w:color w:val="231F1F"/>
          <w:spacing w:val="-7"/>
          <w:w w:val="115"/>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15"/>
          <w:sz w:val="11"/>
        </w:rPr>
        <w:t>ERGOT</w:t>
      </w:r>
      <w:r>
        <w:rPr>
          <w:rFonts w:ascii="Calibri"/>
          <w:color w:val="008356"/>
          <w:spacing w:val="-3"/>
          <w:w w:val="115"/>
          <w:sz w:val="11"/>
        </w:rPr>
        <w:t> </w:t>
      </w:r>
      <w:r>
        <w:rPr>
          <w:rFonts w:ascii="Calibri"/>
          <w:color w:val="008356"/>
          <w:spacing w:val="4"/>
          <w:w w:val="115"/>
          <w:sz w:val="11"/>
        </w:rPr>
        <w:t>ALKALOIDS</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Telaprevir </w:t>
      </w:r>
      <w:r>
        <w:rPr>
          <w:rFonts w:ascii="Calibri"/>
          <w:color w:val="231F1F"/>
        </w:rPr>
        <w:t>(continued)</w:t>
      </w:r>
    </w:p>
    <w:p>
      <w:pPr>
        <w:pStyle w:val="BodyText"/>
        <w:ind w:right="803" w:hanging="100"/>
      </w:pPr>
      <w:r>
        <w:rPr/>
        <w:pict>
          <v:rect style="position:absolute;margin-left:398.891296pt;margin-top:-8.517115pt;width:20.522993pt;height:149.443pt;mso-position-horizontal-relative:page;mso-position-vertical-relative:paragraph;z-index:6592" filled="true" fillcolor="#bfdbcf" stroked="false">
            <v:fill type="solid"/>
            <w10:wrap type="none"/>
          </v:rect>
        </w:pict>
      </w:r>
      <w:r>
        <w:rPr/>
        <w:pict>
          <v:shape style="position:absolute;margin-left:399.725769pt;margin-top:-3.553726pt;width:10.4pt;height:78.850pt;mso-position-horizontal-relative:page;mso-position-vertical-relative:paragraph;z-index:661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Calibri"/>
          <w:color w:val="231F1F"/>
          <w:w w:val="110"/>
        </w:rPr>
        <w:t>Lipid-regulating Drugs: </w:t>
      </w:r>
      <w:r>
        <w:rPr>
          <w:color w:val="231F1F"/>
          <w:w w:val="110"/>
        </w:rPr>
        <w:t>manufacturer of telaprevir advises avoid concomitant use with </w:t>
      </w:r>
      <w:r>
        <w:rPr>
          <w:rFonts w:ascii="Arial"/>
          <w:color w:val="231F1F"/>
          <w:w w:val="355"/>
          <w:position w:val="1"/>
          <w:sz w:val="7"/>
        </w:rPr>
        <w:t>l </w:t>
      </w:r>
      <w:r>
        <w:rPr>
          <w:rFonts w:ascii="Calibri"/>
          <w:color w:val="008356"/>
          <w:w w:val="110"/>
          <w:sz w:val="11"/>
        </w:rPr>
        <w:t>ATORVASTATIN</w:t>
      </w:r>
      <w:r>
        <w:rPr>
          <w:color w:val="231F1F"/>
          <w:w w:val="110"/>
        </w:rPr>
        <w:t>; manufacturers advise avoid concomitant use of telaprevir with</w:t>
      </w:r>
    </w:p>
    <w:p>
      <w:pPr>
        <w:pStyle w:val="BodyText"/>
        <w:spacing w:line="242" w:lineRule="auto" w:before="5"/>
        <w:ind w:right="670"/>
      </w:pPr>
      <w:r>
        <w:rPr>
          <w:rFonts w:ascii="Arial"/>
          <w:color w:val="231F1F"/>
          <w:w w:val="355"/>
          <w:position w:val="1"/>
          <w:sz w:val="7"/>
        </w:rPr>
        <w:t>l </w:t>
      </w:r>
      <w:r>
        <w:rPr>
          <w:rFonts w:ascii="Calibri"/>
          <w:color w:val="008356"/>
          <w:w w:val="110"/>
          <w:sz w:val="11"/>
        </w:rPr>
        <w:t>SIMVASTATIN</w:t>
      </w:r>
      <w:r>
        <w:rPr>
          <w:color w:val="231F1F"/>
          <w:w w:val="110"/>
        </w:rPr>
        <w:t>; avoidance of telaprevir advised by manufacturer of </w:t>
      </w: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line="242" w:lineRule="auto"/>
        <w:ind w:right="726" w:hanging="100"/>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Oestrogens:</w:t>
      </w:r>
      <w:r>
        <w:rPr>
          <w:rFonts w:ascii="Calibri" w:hAnsi="Calibri"/>
          <w:color w:val="231F1F"/>
          <w:spacing w:val="-11"/>
          <w:w w:val="115"/>
        </w:rPr>
        <w:t> </w:t>
      </w:r>
      <w:r>
        <w:rPr>
          <w:color w:val="231F1F"/>
          <w:w w:val="115"/>
        </w:rPr>
        <w:t>telaprevir</w:t>
      </w:r>
      <w:r>
        <w:rPr>
          <w:color w:val="231F1F"/>
          <w:spacing w:val="-16"/>
          <w:w w:val="115"/>
        </w:rPr>
        <w:t> </w:t>
      </w:r>
      <w:r>
        <w:rPr>
          <w:color w:val="231F1F"/>
          <w:w w:val="115"/>
        </w:rPr>
        <w:t>possibly</w:t>
      </w:r>
      <w:r>
        <w:rPr>
          <w:color w:val="231F1F"/>
          <w:spacing w:val="-15"/>
          <w:w w:val="115"/>
        </w:rPr>
        <w:t> </w:t>
      </w:r>
      <w:r>
        <w:rPr>
          <w:color w:val="231F1F"/>
          <w:w w:val="115"/>
        </w:rPr>
        <w:t>reduces</w:t>
      </w:r>
      <w:r>
        <w:rPr>
          <w:color w:val="231F1F"/>
          <w:spacing w:val="-16"/>
          <w:w w:val="115"/>
        </w:rPr>
        <w:t> </w:t>
      </w:r>
      <w:r>
        <w:rPr>
          <w:color w:val="231F1F"/>
          <w:w w:val="115"/>
        </w:rPr>
        <w:t>plasma</w:t>
      </w:r>
      <w:r>
        <w:rPr>
          <w:color w:val="231F1F"/>
          <w:spacing w:val="-15"/>
          <w:w w:val="115"/>
        </w:rPr>
        <w:t> </w:t>
      </w:r>
      <w:r>
        <w:rPr>
          <w:color w:val="231F1F"/>
          <w:spacing w:val="-2"/>
          <w:w w:val="115"/>
        </w:rPr>
        <w:t>concentration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ETHINYLESTRADIOL</w:t>
      </w:r>
      <w:r>
        <w:rPr>
          <w:rFonts w:ascii="Arial" w:hAnsi="Arial"/>
          <w:color w:val="231F1F"/>
          <w:spacing w:val="2"/>
          <w:w w:val="115"/>
        </w:rPr>
        <w:t>—</w:t>
      </w:r>
      <w:r>
        <w:rPr>
          <w:color w:val="231F1F"/>
          <w:spacing w:val="2"/>
          <w:w w:val="115"/>
        </w:rPr>
        <w:t>manufacturer</w:t>
      </w:r>
      <w:r>
        <w:rPr>
          <w:color w:val="231F1F"/>
          <w:spacing w:val="-20"/>
          <w:w w:val="115"/>
        </w:rPr>
        <w:t> </w:t>
      </w:r>
      <w:r>
        <w:rPr>
          <w:color w:val="231F1F"/>
          <w:w w:val="115"/>
        </w:rPr>
        <w:t>of</w:t>
      </w:r>
      <w:r>
        <w:rPr>
          <w:color w:val="231F1F"/>
          <w:spacing w:val="-19"/>
          <w:w w:val="115"/>
        </w:rPr>
        <w:t> </w:t>
      </w:r>
      <w:r>
        <w:rPr>
          <w:color w:val="231F1F"/>
          <w:w w:val="115"/>
        </w:rPr>
        <w:t>telaprevir</w:t>
      </w:r>
      <w:r>
        <w:rPr>
          <w:color w:val="231F1F"/>
          <w:spacing w:val="-20"/>
          <w:w w:val="115"/>
        </w:rPr>
        <w:t> </w:t>
      </w:r>
      <w:r>
        <w:rPr>
          <w:color w:val="231F1F"/>
          <w:w w:val="115"/>
        </w:rPr>
        <w:t>advises additional contraceptive</w:t>
      </w:r>
      <w:r>
        <w:rPr>
          <w:color w:val="231F1F"/>
          <w:spacing w:val="-8"/>
          <w:w w:val="115"/>
        </w:rPr>
        <w:t> </w:t>
      </w:r>
      <w:r>
        <w:rPr>
          <w:color w:val="231F1F"/>
          <w:w w:val="115"/>
        </w:rPr>
        <w:t>precautions</w:t>
      </w:r>
    </w:p>
    <w:p>
      <w:pPr>
        <w:pStyle w:val="BodyText"/>
        <w:ind w:right="1300" w:hanging="100"/>
        <w:rPr>
          <w:rFonts w:ascii="Calibri"/>
          <w:sz w:val="11"/>
        </w:rPr>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Sildenafil:</w:t>
      </w:r>
      <w:r>
        <w:rPr>
          <w:rFonts w:ascii="Calibri"/>
          <w:color w:val="231F1F"/>
          <w:spacing w:val="-11"/>
          <w:w w:val="115"/>
        </w:rPr>
        <w:t> </w:t>
      </w:r>
      <w:r>
        <w:rPr>
          <w:color w:val="231F1F"/>
          <w:w w:val="115"/>
        </w:rPr>
        <w:t>manufacturer</w:t>
      </w:r>
      <w:r>
        <w:rPr>
          <w:color w:val="231F1F"/>
          <w:spacing w:val="-14"/>
          <w:w w:val="115"/>
        </w:rPr>
        <w:t> </w:t>
      </w:r>
      <w:r>
        <w:rPr>
          <w:color w:val="231F1F"/>
          <w:w w:val="115"/>
        </w:rPr>
        <w:t>of</w:t>
      </w:r>
      <w:r>
        <w:rPr>
          <w:color w:val="231F1F"/>
          <w:spacing w:val="-15"/>
          <w:w w:val="115"/>
        </w:rPr>
        <w:t> </w:t>
      </w:r>
      <w:r>
        <w:rPr>
          <w:color w:val="231F1F"/>
          <w:w w:val="115"/>
        </w:rPr>
        <w:t>telaprevir</w:t>
      </w:r>
      <w:r>
        <w:rPr>
          <w:color w:val="231F1F"/>
          <w:spacing w:val="-14"/>
          <w:w w:val="115"/>
        </w:rPr>
        <w:t> </w:t>
      </w:r>
      <w:r>
        <w:rPr>
          <w:color w:val="231F1F"/>
          <w:w w:val="115"/>
        </w:rPr>
        <w:t>advises</w:t>
      </w:r>
      <w:r>
        <w:rPr>
          <w:color w:val="231F1F"/>
          <w:spacing w:val="-16"/>
          <w:w w:val="115"/>
        </w:rPr>
        <w:t>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9"/>
          <w:w w:val="355"/>
          <w:position w:val="1"/>
          <w:sz w:val="7"/>
        </w:rPr>
        <w:t> </w:t>
      </w:r>
      <w:r>
        <w:rPr>
          <w:rFonts w:ascii="Calibri"/>
          <w:color w:val="008356"/>
          <w:spacing w:val="5"/>
          <w:w w:val="115"/>
          <w:sz w:val="11"/>
        </w:rPr>
        <w:t>SILDENAFIL</w:t>
      </w:r>
    </w:p>
    <w:p>
      <w:pPr>
        <w:pStyle w:val="BodyText"/>
        <w:spacing w:line="237" w:lineRule="auto"/>
        <w:ind w:right="577" w:hanging="100"/>
      </w:pPr>
      <w:r>
        <w:rPr>
          <w:rFonts w:ascii="Arial"/>
          <w:color w:val="231F1F"/>
          <w:w w:val="355"/>
          <w:position w:val="1"/>
          <w:sz w:val="7"/>
        </w:rPr>
        <w:t>l </w:t>
      </w:r>
      <w:r>
        <w:rPr>
          <w:rFonts w:ascii="Calibri"/>
          <w:color w:val="231F1F"/>
          <w:w w:val="115"/>
        </w:rPr>
        <w:t>Sirolimus: </w:t>
      </w:r>
      <w:r>
        <w:rPr>
          <w:color w:val="231F1F"/>
          <w:w w:val="115"/>
        </w:rPr>
        <w:t>plasma concentration of both drugs increased </w:t>
      </w:r>
      <w:r>
        <w:rPr>
          <w:color w:val="231F1F"/>
          <w:spacing w:val="-4"/>
          <w:w w:val="115"/>
        </w:rPr>
        <w:t>when </w:t>
      </w:r>
      <w:r>
        <w:rPr>
          <w:color w:val="231F1F"/>
          <w:w w:val="115"/>
        </w:rPr>
        <w:t>telaprevir given with </w:t>
      </w:r>
      <w:r>
        <w:rPr>
          <w:rFonts w:ascii="Arial"/>
          <w:color w:val="231F1F"/>
          <w:w w:val="355"/>
          <w:position w:val="1"/>
          <w:sz w:val="7"/>
        </w:rPr>
        <w:t>l </w:t>
      </w:r>
      <w:r>
        <w:rPr>
          <w:rFonts w:ascii="Calibri"/>
          <w:color w:val="008356"/>
          <w:spacing w:val="4"/>
          <w:w w:val="115"/>
          <w:sz w:val="11"/>
        </w:rPr>
        <w:t>SIROLIMUS </w:t>
      </w:r>
      <w:r>
        <w:rPr>
          <w:color w:val="231F1F"/>
          <w:w w:val="115"/>
        </w:rPr>
        <w:t>(reduce dose of sirolimus)</w:t>
      </w:r>
    </w:p>
    <w:p>
      <w:pPr>
        <w:pStyle w:val="BodyText"/>
        <w:ind w:right="670" w:hanging="100"/>
      </w:pPr>
      <w:r>
        <w:rPr>
          <w:rFonts w:ascii="Arial"/>
          <w:color w:val="231F1F"/>
          <w:w w:val="355"/>
          <w:position w:val="1"/>
          <w:sz w:val="7"/>
        </w:rPr>
        <w:t>l </w:t>
      </w:r>
      <w:r>
        <w:rPr>
          <w:rFonts w:ascii="Calibri"/>
          <w:color w:val="231F1F"/>
          <w:w w:val="110"/>
        </w:rPr>
        <w:t>Sympathomimetics, Beta</w:t>
      </w:r>
      <w:r>
        <w:rPr>
          <w:rFonts w:ascii="Calibri"/>
          <w:color w:val="231F1F"/>
          <w:w w:val="110"/>
          <w:vertAlign w:val="subscript"/>
        </w:rPr>
        <w:t>2</w:t>
      </w:r>
      <w:r>
        <w:rPr>
          <w:rFonts w:ascii="Calibri"/>
          <w:color w:val="231F1F"/>
          <w:w w:val="110"/>
          <w:vertAlign w:val="baseline"/>
        </w:rPr>
        <w:t>: </w:t>
      </w:r>
      <w:r>
        <w:rPr>
          <w:color w:val="231F1F"/>
          <w:w w:val="110"/>
          <w:vertAlign w:val="baseline"/>
        </w:rPr>
        <w:t>manufacturer of telaprevir advises avoid concomitant use with </w:t>
      </w:r>
      <w:r>
        <w:rPr>
          <w:rFonts w:ascii="Arial"/>
          <w:color w:val="231F1F"/>
          <w:w w:val="355"/>
          <w:position w:val="1"/>
          <w:sz w:val="7"/>
          <w:vertAlign w:val="baseline"/>
        </w:rPr>
        <w:t>l </w:t>
      </w:r>
      <w:r>
        <w:rPr>
          <w:rFonts w:ascii="Calibri"/>
          <w:color w:val="008356"/>
          <w:w w:val="110"/>
          <w:sz w:val="11"/>
          <w:vertAlign w:val="baseline"/>
        </w:rPr>
        <w:t>SALMETEROL </w:t>
      </w:r>
      <w:r>
        <w:rPr>
          <w:color w:val="231F1F"/>
          <w:w w:val="110"/>
          <w:vertAlign w:val="baseline"/>
        </w:rPr>
        <w:t>(risk of ventricular arrhythmias)</w:t>
      </w:r>
    </w:p>
    <w:p>
      <w:pPr>
        <w:pStyle w:val="BodyText"/>
        <w:ind w:right="928" w:hanging="100"/>
        <w:jc w:val="both"/>
      </w:pPr>
      <w:r>
        <w:rPr>
          <w:rFonts w:ascii="Arial"/>
          <w:color w:val="231F1F"/>
          <w:w w:val="355"/>
          <w:position w:val="1"/>
          <w:sz w:val="7"/>
        </w:rPr>
        <w:t>l </w:t>
      </w:r>
      <w:r>
        <w:rPr>
          <w:rFonts w:ascii="Calibri"/>
          <w:color w:val="231F1F"/>
          <w:w w:val="110"/>
        </w:rPr>
        <w:t>Tacrolimus: </w:t>
      </w:r>
      <w:r>
        <w:rPr>
          <w:color w:val="231F1F"/>
          <w:w w:val="110"/>
        </w:rPr>
        <w:t>plasma concentration of both drugs increased when telaprevir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TACROLIMUS </w:t>
      </w:r>
      <w:r>
        <w:rPr>
          <w:color w:val="231F1F"/>
          <w:w w:val="110"/>
        </w:rPr>
        <w:t>(reduce dose of tacrolimus)</w:t>
      </w:r>
    </w:p>
    <w:p>
      <w:pPr>
        <w:pStyle w:val="BodyText"/>
        <w:ind w:right="914" w:hanging="100"/>
      </w:pPr>
      <w:r>
        <w:rPr>
          <w:rFonts w:ascii="Arial" w:hAnsi="Arial"/>
          <w:color w:val="231F1F"/>
          <w:w w:val="355"/>
          <w:position w:val="1"/>
          <w:sz w:val="7"/>
        </w:rPr>
        <w:t>l </w:t>
      </w:r>
      <w:r>
        <w:rPr>
          <w:rFonts w:ascii="Calibri" w:hAnsi="Calibri"/>
          <w:color w:val="231F1F"/>
          <w:w w:val="115"/>
        </w:rPr>
        <w:t>Tadalafil: </w:t>
      </w:r>
      <w:r>
        <w:rPr>
          <w:color w:val="231F1F"/>
          <w:w w:val="115"/>
        </w:rPr>
        <w:t>manufacturer of telaprevir advises avoid concomitant</w:t>
      </w:r>
      <w:r>
        <w:rPr>
          <w:color w:val="231F1F"/>
          <w:spacing w:val="-16"/>
          <w:w w:val="115"/>
        </w:rPr>
        <w:t> </w:t>
      </w:r>
      <w:r>
        <w:rPr>
          <w:color w:val="231F1F"/>
          <w:w w:val="115"/>
        </w:rPr>
        <w:t>use</w:t>
      </w:r>
      <w:r>
        <w:rPr>
          <w:color w:val="231F1F"/>
          <w:spacing w:val="-16"/>
          <w:w w:val="115"/>
        </w:rPr>
        <w:t> </w:t>
      </w:r>
      <w:r>
        <w:rPr>
          <w:color w:val="231F1F"/>
          <w:w w:val="115"/>
        </w:rPr>
        <w:t>with</w:t>
      </w:r>
      <w:r>
        <w:rPr>
          <w:color w:val="231F1F"/>
          <w:spacing w:val="-15"/>
          <w:w w:val="115"/>
        </w:rPr>
        <w:t> </w:t>
      </w:r>
      <w:r>
        <w:rPr>
          <w:color w:val="231F1F"/>
          <w:w w:val="115"/>
        </w:rPr>
        <w:t>high</w:t>
      </w:r>
      <w:r>
        <w:rPr>
          <w:color w:val="231F1F"/>
          <w:spacing w:val="-15"/>
          <w:w w:val="115"/>
        </w:rPr>
        <w:t> </w:t>
      </w:r>
      <w:r>
        <w:rPr>
          <w:color w:val="231F1F"/>
          <w:w w:val="115"/>
        </w:rPr>
        <w:t>doses</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TADALAFIL</w:t>
      </w:r>
      <w:r>
        <w:rPr>
          <w:rFonts w:ascii="Arial" w:hAnsi="Arial"/>
          <w:color w:val="231F1F"/>
          <w:spacing w:val="2"/>
          <w:w w:val="115"/>
        </w:rPr>
        <w:t>—</w:t>
      </w:r>
      <w:r>
        <w:rPr>
          <w:color w:val="231F1F"/>
          <w:spacing w:val="2"/>
          <w:w w:val="115"/>
        </w:rPr>
        <w:t>consult </w:t>
      </w:r>
      <w:r>
        <w:rPr>
          <w:color w:val="231F1F"/>
          <w:w w:val="115"/>
        </w:rPr>
        <w:t>product</w:t>
      </w:r>
      <w:r>
        <w:rPr>
          <w:color w:val="231F1F"/>
          <w:spacing w:val="-4"/>
          <w:w w:val="115"/>
        </w:rPr>
        <w:t> </w:t>
      </w:r>
      <w:r>
        <w:rPr>
          <w:color w:val="231F1F"/>
          <w:w w:val="115"/>
        </w:rPr>
        <w:t>literature</w:t>
      </w:r>
    </w:p>
    <w:p>
      <w:pPr>
        <w:pStyle w:val="BodyText"/>
        <w:spacing w:before="1"/>
        <w:ind w:right="1249"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Vardenafil:</w:t>
      </w:r>
      <w:r>
        <w:rPr>
          <w:rFonts w:ascii="Calibri"/>
          <w:color w:val="231F1F"/>
          <w:spacing w:val="-14"/>
          <w:w w:val="115"/>
        </w:rPr>
        <w:t> </w:t>
      </w:r>
      <w:r>
        <w:rPr>
          <w:color w:val="231F1F"/>
          <w:w w:val="115"/>
        </w:rPr>
        <w:t>manufacturer</w:t>
      </w:r>
      <w:r>
        <w:rPr>
          <w:color w:val="231F1F"/>
          <w:spacing w:val="-16"/>
          <w:w w:val="115"/>
        </w:rPr>
        <w:t> </w:t>
      </w:r>
      <w:r>
        <w:rPr>
          <w:color w:val="231F1F"/>
          <w:w w:val="115"/>
        </w:rPr>
        <w:t>of</w:t>
      </w:r>
      <w:r>
        <w:rPr>
          <w:color w:val="231F1F"/>
          <w:spacing w:val="-17"/>
          <w:w w:val="115"/>
        </w:rPr>
        <w:t> </w:t>
      </w:r>
      <w:r>
        <w:rPr>
          <w:color w:val="231F1F"/>
          <w:w w:val="115"/>
        </w:rPr>
        <w:t>telaprevir</w:t>
      </w:r>
      <w:r>
        <w:rPr>
          <w:color w:val="231F1F"/>
          <w:spacing w:val="-17"/>
          <w:w w:val="115"/>
        </w:rPr>
        <w:t> </w:t>
      </w:r>
      <w:r>
        <w:rPr>
          <w:color w:val="231F1F"/>
          <w:w w:val="115"/>
        </w:rPr>
        <w:t>advises</w:t>
      </w:r>
      <w:r>
        <w:rPr>
          <w:color w:val="231F1F"/>
          <w:spacing w:val="-18"/>
          <w:w w:val="115"/>
        </w:rPr>
        <w:t>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62"/>
          <w:w w:val="355"/>
          <w:position w:val="1"/>
          <w:sz w:val="7"/>
        </w:rPr>
        <w:t> </w:t>
      </w:r>
      <w:r>
        <w:rPr>
          <w:rFonts w:ascii="Calibri"/>
          <w:color w:val="008356"/>
          <w:spacing w:val="4"/>
          <w:w w:val="115"/>
          <w:sz w:val="11"/>
        </w:rPr>
        <w:t>VARDENAFIL</w:t>
      </w:r>
    </w:p>
    <w:p>
      <w:pPr>
        <w:pStyle w:val="BodyText"/>
        <w:spacing w:line="139" w:lineRule="exact" w:before="7"/>
        <w:ind w:left="108"/>
        <w:rPr>
          <w:rFonts w:ascii="Trebuchet MS"/>
        </w:rPr>
      </w:pPr>
      <w:r>
        <w:rPr>
          <w:rFonts w:ascii="Trebuchet MS"/>
          <w:color w:val="008356"/>
        </w:rPr>
        <w:t>Telavancin</w:t>
      </w:r>
    </w:p>
    <w:p>
      <w:pPr>
        <w:spacing w:line="220" w:lineRule="auto" w:before="8"/>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4"/>
        <w:ind w:left="108"/>
        <w:rPr>
          <w:rFonts w:ascii="Trebuchet MS"/>
        </w:rPr>
      </w:pPr>
      <w:r>
        <w:rPr>
          <w:rFonts w:ascii="Trebuchet MS"/>
          <w:color w:val="008356"/>
        </w:rPr>
        <w:t>Telbivudine</w:t>
      </w:r>
    </w:p>
    <w:p>
      <w:pPr>
        <w:pStyle w:val="BodyText"/>
        <w:spacing w:before="1"/>
        <w:ind w:right="934" w:hanging="100"/>
        <w:jc w:val="both"/>
      </w:pPr>
      <w:r>
        <w:rPr>
          <w:rFonts w:ascii="Arial"/>
          <w:color w:val="231F1F"/>
          <w:w w:val="355"/>
          <w:position w:val="1"/>
          <w:sz w:val="7"/>
        </w:rPr>
        <w:t>l </w:t>
      </w:r>
      <w:r>
        <w:rPr>
          <w:rFonts w:ascii="Calibri"/>
          <w:color w:val="231F1F"/>
          <w:w w:val="110"/>
        </w:rPr>
        <w:t>Interferons: </w:t>
      </w:r>
      <w:r>
        <w:rPr>
          <w:color w:val="231F1F"/>
          <w:w w:val="110"/>
        </w:rPr>
        <w:t>increased risk of peripheral neuropathy when telbivudine given with </w:t>
      </w:r>
      <w:r>
        <w:rPr>
          <w:rFonts w:ascii="Arial"/>
          <w:color w:val="231F1F"/>
          <w:w w:val="355"/>
          <w:position w:val="1"/>
          <w:sz w:val="7"/>
        </w:rPr>
        <w:t>l </w:t>
      </w:r>
      <w:r>
        <w:rPr>
          <w:rFonts w:ascii="Calibri"/>
          <w:color w:val="008356"/>
          <w:w w:val="110"/>
          <w:sz w:val="11"/>
        </w:rPr>
        <w:t>INTERFERON ALFA </w:t>
      </w:r>
      <w:r>
        <w:rPr>
          <w:color w:val="231F1F"/>
          <w:w w:val="110"/>
        </w:rPr>
        <w:t>and</w:t>
      </w:r>
    </w:p>
    <w:p>
      <w:pPr>
        <w:spacing w:before="8"/>
        <w:ind w:left="208" w:right="0" w:firstLine="0"/>
        <w:jc w:val="left"/>
        <w:rPr>
          <w:rFonts w:ascii="Calibri"/>
          <w:sz w:val="11"/>
        </w:rPr>
      </w:pPr>
      <w:r>
        <w:rPr>
          <w:rFonts w:ascii="Arial"/>
          <w:color w:val="231F1F"/>
          <w:w w:val="355"/>
          <w:position w:val="1"/>
          <w:sz w:val="7"/>
        </w:rPr>
        <w:t>l </w:t>
      </w:r>
      <w:r>
        <w:rPr>
          <w:rFonts w:ascii="Calibri"/>
          <w:color w:val="008356"/>
          <w:w w:val="110"/>
          <w:sz w:val="11"/>
        </w:rPr>
        <w:t>PEGINTERFERON ALFA</w:t>
      </w:r>
    </w:p>
    <w:p>
      <w:pPr>
        <w:pStyle w:val="BodyText"/>
        <w:spacing w:before="6"/>
        <w:ind w:left="108"/>
        <w:rPr>
          <w:rFonts w:ascii="Trebuchet MS"/>
        </w:rPr>
      </w:pPr>
      <w:r>
        <w:rPr>
          <w:rFonts w:ascii="Trebuchet MS"/>
          <w:color w:val="008356"/>
        </w:rPr>
        <w:t>Telithromycin</w:t>
      </w:r>
    </w:p>
    <w:p>
      <w:pPr>
        <w:pStyle w:val="BodyText"/>
        <w:spacing w:before="1"/>
        <w:ind w:right="670" w:hanging="100"/>
        <w:rPr>
          <w:rFonts w:ascii="Calibri"/>
          <w:sz w:val="11"/>
        </w:rPr>
      </w:pPr>
      <w:r>
        <w:rPr>
          <w:rFonts w:ascii="Arial"/>
          <w:color w:val="231F1F"/>
          <w:w w:val="355"/>
          <w:position w:val="1"/>
          <w:sz w:val="7"/>
        </w:rPr>
        <w:t>l </w:t>
      </w:r>
      <w:r>
        <w:rPr>
          <w:rFonts w:ascii="Calibri"/>
          <w:color w:val="231F1F"/>
          <w:w w:val="110"/>
        </w:rPr>
        <w:t>Analgesics: </w:t>
      </w:r>
      <w:r>
        <w:rPr>
          <w:color w:val="231F1F"/>
          <w:w w:val="110"/>
        </w:rPr>
        <w:t>possible increased risk of ventricular arrhythmias when telithromycin given with </w:t>
      </w:r>
      <w:r>
        <w:rPr>
          <w:rFonts w:ascii="Arial"/>
          <w:color w:val="231F1F"/>
          <w:w w:val="355"/>
          <w:position w:val="1"/>
          <w:sz w:val="7"/>
        </w:rPr>
        <w:t>l </w:t>
      </w:r>
      <w:r>
        <w:rPr>
          <w:rFonts w:ascii="Calibri"/>
          <w:color w:val="008356"/>
          <w:w w:val="110"/>
          <w:sz w:val="11"/>
        </w:rPr>
        <w:t>METHADONE</w:t>
      </w:r>
      <w:r>
        <w:rPr>
          <w:color w:val="231F1F"/>
          <w:w w:val="110"/>
        </w:rPr>
        <w:t>; telithromycin inhibits the metabolism of </w:t>
      </w:r>
      <w:r>
        <w:rPr>
          <w:rFonts w:ascii="Calibri"/>
          <w:color w:val="008356"/>
          <w:w w:val="110"/>
          <w:sz w:val="11"/>
        </w:rPr>
        <w:t>OXYCODONE</w:t>
      </w:r>
    </w:p>
    <w:p>
      <w:pPr>
        <w:pStyle w:val="BodyText"/>
        <w:spacing w:line="242" w:lineRule="auto"/>
        <w:ind w:right="669" w:hanging="100"/>
      </w:pPr>
      <w:r>
        <w:rPr>
          <w:rFonts w:ascii="Arial" w:hAnsi="Arial"/>
          <w:color w:val="231F1F"/>
          <w:w w:val="355"/>
          <w:position w:val="1"/>
          <w:sz w:val="7"/>
        </w:rPr>
        <w:t>l </w:t>
      </w:r>
      <w:r>
        <w:rPr>
          <w:rFonts w:ascii="Calibri" w:hAnsi="Calibri"/>
          <w:color w:val="231F1F"/>
          <w:w w:val="110"/>
        </w:rPr>
        <w:t>Anti-arrhythmics: </w:t>
      </w:r>
      <w:r>
        <w:rPr>
          <w:color w:val="231F1F"/>
          <w:w w:val="110"/>
        </w:rPr>
        <w:t>possible increased risk of ventricular arrhythmias when telithromycin given with </w:t>
      </w:r>
      <w:r>
        <w:rPr>
          <w:rFonts w:ascii="Arial" w:hAnsi="Arial"/>
          <w:color w:val="231F1F"/>
          <w:w w:val="355"/>
          <w:position w:val="1"/>
          <w:sz w:val="7"/>
        </w:rPr>
        <w:t>l </w:t>
      </w:r>
      <w:r>
        <w:rPr>
          <w:rFonts w:ascii="Calibri" w:hAnsi="Calibri"/>
          <w:color w:val="008356"/>
          <w:w w:val="110"/>
          <w:sz w:val="11"/>
        </w:rPr>
        <w:t>AMIODARONE </w:t>
      </w:r>
      <w:r>
        <w:rPr>
          <w:color w:val="231F1F"/>
          <w:w w:val="110"/>
        </w:rPr>
        <w:t>and </w:t>
      </w:r>
      <w:r>
        <w:rPr>
          <w:rFonts w:ascii="Arial" w:hAnsi="Arial"/>
          <w:color w:val="231F1F"/>
          <w:w w:val="355"/>
          <w:position w:val="1"/>
          <w:sz w:val="7"/>
        </w:rPr>
        <w:t>l </w:t>
      </w:r>
      <w:r>
        <w:rPr>
          <w:rFonts w:ascii="Calibri" w:hAnsi="Calibri"/>
          <w:color w:val="008356"/>
          <w:w w:val="110"/>
          <w:sz w:val="11"/>
        </w:rPr>
        <w:t>DISOPYRAMIDE</w:t>
      </w:r>
      <w:r>
        <w:rPr>
          <w:color w:val="231F1F"/>
          <w:w w:val="110"/>
        </w:rPr>
        <w:t>; increased risk of ventricular arrhythmias when telithromycin given with </w:t>
      </w:r>
      <w:r>
        <w:rPr>
          <w:rFonts w:ascii="Arial" w:hAnsi="Arial"/>
          <w:color w:val="231F1F"/>
          <w:w w:val="355"/>
          <w:position w:val="1"/>
          <w:sz w:val="7"/>
        </w:rPr>
        <w:t>l </w:t>
      </w:r>
      <w:r>
        <w:rPr>
          <w:rFonts w:ascii="Calibri" w:hAnsi="Calibri"/>
          <w:color w:val="008356"/>
          <w:w w:val="110"/>
          <w:sz w:val="11"/>
        </w:rPr>
        <w:t>DRONEDARONE</w:t>
      </w:r>
      <w:r>
        <w:rPr>
          <w:rFonts w:ascii="Arial" w:hAnsi="Arial"/>
          <w:color w:val="231F1F"/>
          <w:w w:val="110"/>
        </w:rPr>
        <w:t>—</w:t>
      </w:r>
      <w:r>
        <w:rPr>
          <w:color w:val="231F1F"/>
          <w:w w:val="110"/>
        </w:rPr>
        <w:t>avoid concomitant use</w:t>
      </w:r>
    </w:p>
    <w:p>
      <w:pPr>
        <w:pStyle w:val="BodyText"/>
        <w:ind w:right="757" w:hanging="100"/>
      </w:pPr>
      <w:r>
        <w:rPr>
          <w:rFonts w:ascii="Arial"/>
          <w:color w:val="231F1F"/>
          <w:w w:val="355"/>
          <w:position w:val="1"/>
          <w:sz w:val="7"/>
        </w:rPr>
        <w:t>l </w:t>
      </w:r>
      <w:r>
        <w:rPr>
          <w:rFonts w:ascii="Calibri"/>
          <w:color w:val="231F1F"/>
          <w:w w:val="110"/>
        </w:rPr>
        <w:t>Antibacterials: </w:t>
      </w:r>
      <w:r>
        <w:rPr>
          <w:color w:val="231F1F"/>
          <w:w w:val="110"/>
        </w:rPr>
        <w:t>possible increased risk of ventricular arrhythmias when telithromycin given with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MOXIFLOXACIN</w:t>
      </w:r>
      <w:r>
        <w:rPr>
          <w:color w:val="231F1F"/>
          <w:spacing w:val="4"/>
          <w:w w:val="110"/>
        </w:rPr>
        <w:t>; </w:t>
      </w:r>
      <w:r>
        <w:rPr>
          <w:color w:val="231F1F"/>
          <w:w w:val="110"/>
        </w:rPr>
        <w:t>plasma concentration of telithromycin reduced by</w:t>
      </w:r>
    </w:p>
    <w:p>
      <w:pPr>
        <w:spacing w:line="141" w:lineRule="exact" w:before="4"/>
        <w:ind w:left="208" w:right="0" w:firstLine="0"/>
        <w:jc w:val="left"/>
        <w:rPr>
          <w:sz w:val="12"/>
        </w:rPr>
      </w:pPr>
      <w:r>
        <w:rPr>
          <w:rFonts w:ascii="Arial"/>
          <w:color w:val="231F1F"/>
          <w:w w:val="355"/>
          <w:position w:val="1"/>
          <w:sz w:val="7"/>
        </w:rPr>
        <w:t>l </w:t>
      </w:r>
      <w:r>
        <w:rPr>
          <w:rFonts w:ascii="Calibri"/>
          <w:color w:val="008356"/>
          <w:spacing w:val="4"/>
          <w:w w:val="110"/>
          <w:sz w:val="11"/>
        </w:rPr>
        <w:t>RIFAMPICIN </w:t>
      </w:r>
      <w:r>
        <w:rPr>
          <w:color w:val="231F1F"/>
          <w:w w:val="110"/>
          <w:sz w:val="12"/>
        </w:rPr>
        <w:t>(avoid during and for 2 weeks after rifampicin)</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avoidance of telithromycin advised by manufacturer of </w:t>
      </w:r>
      <w:r>
        <w:rPr>
          <w:rFonts w:ascii="Calibri" w:hAnsi="Calibri"/>
          <w:color w:val="008356"/>
          <w:w w:val="105"/>
          <w:sz w:val="11"/>
        </w:rPr>
        <w:t>APIXABAN</w:t>
      </w:r>
    </w:p>
    <w:p>
      <w:pPr>
        <w:pStyle w:val="BodyText"/>
        <w:spacing w:line="242" w:lineRule="auto"/>
        <w:ind w:right="676" w:hanging="100"/>
      </w:pPr>
      <w:r>
        <w:rPr>
          <w:rFonts w:ascii="Arial" w:hAnsi="Arial"/>
          <w:color w:val="231F1F"/>
          <w:w w:val="355"/>
          <w:position w:val="1"/>
          <w:sz w:val="7"/>
        </w:rPr>
        <w:t>l </w:t>
      </w:r>
      <w:r>
        <w:rPr>
          <w:rFonts w:ascii="Calibri" w:hAnsi="Calibri"/>
          <w:color w:val="231F1F"/>
          <w:w w:val="110"/>
        </w:rPr>
        <w:t>Antidepressants: </w:t>
      </w:r>
      <w:r>
        <w:rPr>
          <w:color w:val="231F1F"/>
          <w:w w:val="110"/>
        </w:rPr>
        <w:t>possible increased risk of ventricular arrhythmias when telithromycin given with </w:t>
      </w:r>
      <w:r>
        <w:rPr>
          <w:rFonts w:ascii="Arial" w:hAnsi="Arial"/>
          <w:color w:val="231F1F"/>
          <w:w w:val="355"/>
          <w:position w:val="1"/>
          <w:sz w:val="7"/>
        </w:rPr>
        <w:t>l </w:t>
      </w:r>
      <w:r>
        <w:rPr>
          <w:rFonts w:ascii="Calibri" w:hAnsi="Calibri"/>
          <w:color w:val="008356"/>
          <w:w w:val="110"/>
          <w:sz w:val="11"/>
        </w:rPr>
        <w:t>CITALOPRAM </w:t>
      </w:r>
      <w:r>
        <w:rPr>
          <w:color w:val="231F1F"/>
          <w:w w:val="110"/>
        </w:rPr>
        <w:t>and </w:t>
      </w:r>
      <w:r>
        <w:rPr>
          <w:rFonts w:ascii="Arial" w:hAnsi="Arial"/>
          <w:color w:val="231F1F"/>
          <w:w w:val="355"/>
          <w:position w:val="1"/>
          <w:sz w:val="7"/>
        </w:rPr>
        <w:t>l </w:t>
      </w:r>
      <w:r>
        <w:rPr>
          <w:rFonts w:ascii="Calibri" w:hAnsi="Calibri"/>
          <w:color w:val="008356"/>
          <w:w w:val="110"/>
          <w:sz w:val="11"/>
        </w:rPr>
        <w:t>TRICYCLICS</w:t>
      </w:r>
      <w:r>
        <w:rPr>
          <w:color w:val="231F1F"/>
          <w:w w:val="110"/>
        </w:rPr>
        <w:t>; plasma concentration of telithromycin reduced by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(avoid during and for 2 weeks after St John</w:t>
      </w:r>
      <w:r>
        <w:rPr>
          <w:rFonts w:ascii="Arial" w:hAnsi="Arial"/>
          <w:color w:val="231F1F"/>
          <w:w w:val="110"/>
        </w:rPr>
        <w:t>’</w:t>
      </w:r>
      <w:r>
        <w:rPr>
          <w:color w:val="231F1F"/>
          <w:w w:val="110"/>
        </w:rPr>
        <w:t>s wort)</w:t>
      </w:r>
    </w:p>
    <w:p>
      <w:pPr>
        <w:spacing w:before="0"/>
        <w:ind w:left="208" w:right="670"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telithromycin </w:t>
      </w:r>
      <w:r>
        <w:rPr>
          <w:color w:val="231F1F"/>
          <w:spacing w:val="-3"/>
          <w:w w:val="110"/>
          <w:sz w:val="12"/>
        </w:rPr>
        <w:t>reduced </w:t>
      </w:r>
      <w:r>
        <w:rPr>
          <w:color w:val="231F1F"/>
          <w:w w:val="110"/>
          <w:sz w:val="12"/>
        </w:rPr>
        <w:t>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PHENOBARBITAL</w:t>
      </w:r>
      <w:r>
        <w:rPr>
          <w:color w:val="231F1F"/>
          <w:spacing w:val="4"/>
          <w:w w:val="110"/>
          <w:sz w:val="12"/>
        </w:rPr>
        <w:t>,</w:t>
      </w:r>
    </w:p>
    <w:p>
      <w:pPr>
        <w:pStyle w:val="BodyText"/>
        <w:spacing w:line="247" w:lineRule="auto"/>
        <w:ind w:right="597"/>
      </w:pP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PHENYTOIN </w:t>
      </w:r>
      <w:r>
        <w:rPr>
          <w:color w:val="231F1F"/>
          <w:w w:val="115"/>
        </w:rPr>
        <w:t>and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PRIMIDONE </w:t>
      </w:r>
      <w:r>
        <w:rPr>
          <w:color w:val="231F1F"/>
          <w:w w:val="115"/>
        </w:rPr>
        <w:t>(avoid during and for 2 weeks after carbamazepine, fosphenytoin, phenobarbital, phenytoin and primidone)</w:t>
      </w:r>
    </w:p>
    <w:p>
      <w:pPr>
        <w:pStyle w:val="BodyText"/>
        <w:ind w:right="699"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telithromycin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in severe renal and hepatic impairment</w:t>
      </w:r>
    </w:p>
    <w:p>
      <w:pPr>
        <w:pStyle w:val="BodyText"/>
        <w:spacing w:line="230" w:lineRule="auto" w:before="2"/>
        <w:ind w:right="857" w:hanging="100"/>
      </w:pPr>
      <w:r>
        <w:rPr>
          <w:rFonts w:ascii="Lucida Sans Unicode" w:hAnsi="Lucida Sans Unicode"/>
          <w:color w:val="A7A8AC"/>
          <w:w w:val="95"/>
          <w:sz w:val="10"/>
        </w:rPr>
        <w:t>▶ </w:t>
      </w:r>
      <w:r>
        <w:rPr>
          <w:rFonts w:ascii="Calibri" w:hAnsi="Calibri"/>
          <w:color w:val="231F1F"/>
          <w:w w:val="110"/>
        </w:rPr>
        <w:t>Antimuscarinics: </w:t>
      </w:r>
      <w:r>
        <w:rPr>
          <w:color w:val="231F1F"/>
          <w:w w:val="110"/>
        </w:rPr>
        <w:t>manufacturer of fesoterodine advises dose reduction when telithromycin given with </w:t>
      </w:r>
      <w:r>
        <w:rPr>
          <w:rFonts w:ascii="Calibri" w:hAnsi="Calibri"/>
          <w:color w:val="008356"/>
          <w:w w:val="110"/>
          <w:sz w:val="11"/>
        </w:rPr>
        <w:t>FESOTERODINE</w:t>
      </w:r>
      <w:r>
        <w:rPr>
          <w:rFonts w:ascii="Arial" w:hAnsi="Arial"/>
          <w:color w:val="231F1F"/>
          <w:w w:val="110"/>
        </w:rPr>
        <w:t>— </w:t>
      </w:r>
      <w:r>
        <w:rPr>
          <w:color w:val="231F1F"/>
          <w:w w:val="110"/>
        </w:rPr>
        <w:t>consult fesoterodine product literature</w:t>
      </w:r>
    </w:p>
    <w:p>
      <w:pPr>
        <w:pStyle w:val="BodyText"/>
        <w:spacing w:before="3"/>
        <w:ind w:right="670" w:hanging="100"/>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Antipsychotics: </w:t>
      </w:r>
      <w:r>
        <w:rPr>
          <w:color w:val="231F1F"/>
          <w:w w:val="110"/>
        </w:rPr>
        <w:t>possible increased risk of ventricular arrhythmias when telithromycin given with</w:t>
      </w:r>
    </w:p>
    <w:p>
      <w:pPr>
        <w:pStyle w:val="BodyText"/>
        <w:spacing w:line="244" w:lineRule="auto" w:before="4"/>
        <w:ind w:right="691"/>
        <w:rPr>
          <w:rFonts w:ascii="Calibri" w:hAnsi="Calibri"/>
          <w:sz w:val="11"/>
        </w:rPr>
      </w:pPr>
      <w:r>
        <w:rPr>
          <w:rFonts w:ascii="Arial" w:hAnsi="Arial"/>
          <w:color w:val="231F1F"/>
          <w:w w:val="355"/>
          <w:position w:val="1"/>
          <w:sz w:val="7"/>
        </w:rPr>
        <w:t>l </w:t>
      </w:r>
      <w:r>
        <w:rPr>
          <w:rFonts w:ascii="Calibri" w:hAnsi="Calibri"/>
          <w:color w:val="008356"/>
          <w:spacing w:val="4"/>
          <w:w w:val="110"/>
          <w:sz w:val="11"/>
        </w:rPr>
        <w:t>CHLORPROMAZINE</w:t>
      </w:r>
      <w:r>
        <w:rPr>
          <w:color w:val="231F1F"/>
          <w:spacing w:val="4"/>
          <w:w w:val="110"/>
        </w:rPr>
        <w:t>; </w:t>
      </w:r>
      <w:r>
        <w:rPr>
          <w:color w:val="231F1F"/>
          <w:w w:val="110"/>
        </w:rPr>
        <w:t>telithromycin possibly increases plasma concentration of </w:t>
      </w:r>
      <w:r>
        <w:rPr>
          <w:rFonts w:ascii="Arial" w:hAnsi="Arial"/>
          <w:color w:val="231F1F"/>
          <w:w w:val="355"/>
          <w:position w:val="1"/>
          <w:sz w:val="7"/>
        </w:rPr>
        <w:t>l </w:t>
      </w:r>
      <w:r>
        <w:rPr>
          <w:rFonts w:ascii="Calibri" w:hAnsi="Calibri"/>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telithromycin given with </w:t>
      </w:r>
      <w:r>
        <w:rPr>
          <w:rFonts w:ascii="Arial" w:hAnsi="Arial"/>
          <w:color w:val="231F1F"/>
          <w:w w:val="355"/>
          <w:position w:val="1"/>
          <w:sz w:val="7"/>
        </w:rPr>
        <w:t>l</w:t>
      </w:r>
      <w:r>
        <w:rPr>
          <w:rFonts w:ascii="Arial" w:hAnsi="Arial"/>
          <w:color w:val="231F1F"/>
          <w:spacing w:val="-31"/>
          <w:w w:val="355"/>
          <w:position w:val="1"/>
          <w:sz w:val="7"/>
        </w:rPr>
        <w:t> </w:t>
      </w:r>
      <w:r>
        <w:rPr>
          <w:rFonts w:ascii="Calibri" w:hAnsi="Calibri"/>
          <w:color w:val="008356"/>
          <w:spacing w:val="2"/>
          <w:w w:val="110"/>
          <w:sz w:val="11"/>
        </w:rPr>
        <w:t>PIMOZIDE</w:t>
      </w:r>
      <w:r>
        <w:rPr>
          <w:rFonts w:ascii="Arial" w:hAnsi="Arial"/>
          <w:color w:val="231F1F"/>
          <w:spacing w:val="2"/>
          <w:w w:val="110"/>
        </w:rPr>
        <w:t>—</w:t>
      </w:r>
      <w:r>
        <w:rPr>
          <w:color w:val="231F1F"/>
          <w:spacing w:val="2"/>
          <w:w w:val="110"/>
        </w:rPr>
        <w:t>avoid </w:t>
      </w:r>
      <w:r>
        <w:rPr>
          <w:color w:val="231F1F"/>
          <w:w w:val="110"/>
        </w:rPr>
        <w:t>concomitant use; telithromycin possibly increases plasma concentration of</w:t>
      </w:r>
      <w:r>
        <w:rPr>
          <w:color w:val="231F1F"/>
          <w:spacing w:val="-8"/>
          <w:w w:val="110"/>
        </w:rPr>
        <w:t> </w:t>
      </w:r>
      <w:r>
        <w:rPr>
          <w:rFonts w:ascii="Calibri" w:hAnsi="Calibri"/>
          <w:color w:val="008356"/>
          <w:spacing w:val="5"/>
          <w:w w:val="110"/>
          <w:sz w:val="11"/>
        </w:rPr>
        <w:t>QUETIAPINE</w:t>
      </w:r>
    </w:p>
    <w:p>
      <w:pPr>
        <w:pStyle w:val="BodyText"/>
        <w:spacing w:line="140" w:lineRule="exact"/>
        <w:ind w:left="108"/>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Antivirals:</w:t>
      </w:r>
      <w:r>
        <w:rPr>
          <w:rFonts w:ascii="Calibri"/>
          <w:color w:val="231F1F"/>
          <w:spacing w:val="-13"/>
          <w:w w:val="115"/>
        </w:rPr>
        <w:t> </w:t>
      </w:r>
      <w:r>
        <w:rPr>
          <w:color w:val="231F1F"/>
          <w:w w:val="115"/>
        </w:rPr>
        <w:t>manufacturer</w:t>
      </w:r>
      <w:r>
        <w:rPr>
          <w:color w:val="231F1F"/>
          <w:spacing w:val="-16"/>
          <w:w w:val="115"/>
        </w:rPr>
        <w:t> </w:t>
      </w:r>
      <w:r>
        <w:rPr>
          <w:color w:val="231F1F"/>
          <w:w w:val="115"/>
        </w:rPr>
        <w:t>of</w:t>
      </w:r>
      <w:r>
        <w:rPr>
          <w:color w:val="231F1F"/>
          <w:spacing w:val="-15"/>
          <w:w w:val="115"/>
        </w:rPr>
        <w:t> </w:t>
      </w:r>
      <w:r>
        <w:rPr>
          <w:color w:val="231F1F"/>
          <w:w w:val="115"/>
        </w:rPr>
        <w:t>telithromycin</w:t>
      </w:r>
      <w:r>
        <w:rPr>
          <w:color w:val="231F1F"/>
          <w:spacing w:val="-15"/>
          <w:w w:val="115"/>
        </w:rPr>
        <w:t> </w:t>
      </w:r>
      <w:r>
        <w:rPr>
          <w:color w:val="231F1F"/>
          <w:w w:val="115"/>
        </w:rPr>
        <w:t>advises</w:t>
      </w:r>
      <w:r>
        <w:rPr>
          <w:color w:val="231F1F"/>
          <w:spacing w:val="-16"/>
          <w:w w:val="115"/>
        </w:rPr>
        <w:t> </w:t>
      </w:r>
      <w:r>
        <w:rPr>
          <w:color w:val="231F1F"/>
          <w:w w:val="115"/>
        </w:rPr>
        <w:t>avoid</w:t>
      </w:r>
    </w:p>
    <w:p>
      <w:pPr>
        <w:spacing w:line="141" w:lineRule="exact" w:before="0"/>
        <w:ind w:left="208" w:right="0" w:firstLine="0"/>
        <w:jc w:val="left"/>
        <w:rPr>
          <w:sz w:val="12"/>
        </w:rPr>
      </w:pPr>
      <w:r>
        <w:rPr>
          <w:color w:val="231F1F"/>
          <w:w w:val="110"/>
          <w:sz w:val="12"/>
        </w:rPr>
        <w:t>concomitant</w:t>
      </w:r>
      <w:r>
        <w:rPr>
          <w:color w:val="231F1F"/>
          <w:spacing w:val="-17"/>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3"/>
          <w:w w:val="110"/>
          <w:sz w:val="11"/>
        </w:rPr>
        <w:t>ATAZANAVIR</w:t>
      </w:r>
      <w:r>
        <w:rPr>
          <w:color w:val="231F1F"/>
          <w:spacing w:val="3"/>
          <w:w w:val="110"/>
          <w:sz w:val="12"/>
        </w:rPr>
        <w:t>,</w:t>
      </w:r>
      <w:r>
        <w:rPr>
          <w:color w:val="231F1F"/>
          <w:spacing w:val="-15"/>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FOSAMPRENAVIR</w:t>
      </w:r>
      <w:r>
        <w:rPr>
          <w:color w:val="231F1F"/>
          <w:spacing w:val="4"/>
          <w:w w:val="110"/>
          <w:sz w:val="12"/>
        </w:rPr>
        <w:t>,</w:t>
      </w:r>
    </w:p>
    <w:p>
      <w:pPr>
        <w:spacing w:before="3"/>
        <w:ind w:left="208" w:right="0" w:firstLine="0"/>
        <w:jc w:val="left"/>
        <w:rPr>
          <w:sz w:val="12"/>
        </w:rPr>
      </w:pPr>
      <w:r>
        <w:rPr>
          <w:rFonts w:ascii="Arial"/>
          <w:color w:val="231F1F"/>
          <w:w w:val="355"/>
          <w:position w:val="1"/>
          <w:sz w:val="7"/>
        </w:rPr>
        <w:t>l </w:t>
      </w:r>
      <w:r>
        <w:rPr>
          <w:rFonts w:ascii="Calibri"/>
          <w:color w:val="008356"/>
          <w:w w:val="110"/>
          <w:sz w:val="11"/>
        </w:rPr>
        <w:t>INDINAVIR</w:t>
      </w:r>
      <w:r>
        <w:rPr>
          <w:color w:val="231F1F"/>
          <w:w w:val="110"/>
          <w:sz w:val="12"/>
        </w:rPr>
        <w:t>, </w:t>
      </w:r>
      <w:r>
        <w:rPr>
          <w:rFonts w:ascii="Arial"/>
          <w:color w:val="231F1F"/>
          <w:w w:val="355"/>
          <w:position w:val="1"/>
          <w:sz w:val="7"/>
        </w:rPr>
        <w:t>l </w:t>
      </w:r>
      <w:r>
        <w:rPr>
          <w:rFonts w:ascii="Calibri"/>
          <w:color w:val="008356"/>
          <w:w w:val="110"/>
          <w:sz w:val="11"/>
        </w:rPr>
        <w:t>LOPINAVIR</w:t>
      </w:r>
      <w:r>
        <w:rPr>
          <w:color w:val="231F1F"/>
          <w:w w:val="110"/>
          <w:sz w:val="12"/>
        </w:rPr>
        <w:t>, </w:t>
      </w:r>
      <w:r>
        <w:rPr>
          <w:rFonts w:ascii="Arial"/>
          <w:color w:val="231F1F"/>
          <w:w w:val="355"/>
          <w:position w:val="1"/>
          <w:sz w:val="7"/>
        </w:rPr>
        <w:t>l </w:t>
      </w:r>
      <w:r>
        <w:rPr>
          <w:rFonts w:ascii="Calibri"/>
          <w:color w:val="008356"/>
          <w:w w:val="110"/>
          <w:sz w:val="11"/>
        </w:rPr>
        <w:t>RITONAVIR </w:t>
      </w:r>
      <w:r>
        <w:rPr>
          <w:color w:val="231F1F"/>
          <w:w w:val="110"/>
          <w:sz w:val="12"/>
        </w:rPr>
        <w:t>and </w:t>
      </w:r>
      <w:r>
        <w:rPr>
          <w:rFonts w:ascii="Arial"/>
          <w:color w:val="231F1F"/>
          <w:w w:val="355"/>
          <w:position w:val="1"/>
          <w:sz w:val="7"/>
        </w:rPr>
        <w:t>l </w:t>
      </w:r>
      <w:r>
        <w:rPr>
          <w:rFonts w:ascii="Calibri"/>
          <w:color w:val="008356"/>
          <w:w w:val="110"/>
          <w:sz w:val="11"/>
        </w:rPr>
        <w:t>TIPRANAVIR </w:t>
      </w:r>
      <w:r>
        <w:rPr>
          <w:color w:val="231F1F"/>
          <w:w w:val="110"/>
          <w:sz w:val="12"/>
        </w:rPr>
        <w:t>in</w:t>
      </w:r>
    </w:p>
    <w:p>
      <w:pPr>
        <w:pStyle w:val="BodyText"/>
        <w:spacing w:line="249" w:lineRule="auto" w:before="1"/>
        <w:ind w:right="613"/>
      </w:pPr>
      <w:r>
        <w:rPr>
          <w:color w:val="231F1F"/>
          <w:w w:val="115"/>
        </w:rPr>
        <w:t>severe renal and hepatic impairment; telithromycin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w w:val="115"/>
          <w:sz w:val="11"/>
        </w:rPr>
        <w:t>DACLATASVIR</w:t>
      </w:r>
      <w:r>
        <w:rPr>
          <w:rFonts w:ascii="Arial" w:hAnsi="Arial"/>
          <w:color w:val="231F1F"/>
          <w:w w:val="115"/>
        </w:rPr>
        <w:t>—</w:t>
      </w:r>
      <w:r>
        <w:rPr>
          <w:color w:val="231F1F"/>
          <w:w w:val="115"/>
        </w:rPr>
        <w:t>reduce</w:t>
      </w:r>
    </w:p>
    <w:p>
      <w:pPr>
        <w:spacing w:after="0" w:line="249" w:lineRule="auto"/>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640" filled="true" fillcolor="#bfdbcf" stroked="false">
            <v:fill type="solid"/>
            <w10:wrap type="none"/>
          </v:rect>
        </w:pict>
      </w:r>
      <w:r>
        <w:rPr/>
        <w:pict>
          <v:shape style="position:absolute;margin-left:7.751256pt;margin-top:35.804367pt;width:10.4pt;height:78.850pt;mso-position-horizontal-relative:page;mso-position-vertical-relative:page;z-index:666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ind w:left="186"/>
        <w:rPr>
          <w:rFonts w:ascii="Arial"/>
        </w:rPr>
      </w:pPr>
      <w:r>
        <w:rPr>
          <w:rFonts w:ascii="Arial"/>
          <w:color w:val="008356"/>
        </w:rPr>
        <w:t>Telithromycin</w:t>
      </w:r>
    </w:p>
    <w:p>
      <w:pPr>
        <w:pStyle w:val="BodyText"/>
        <w:spacing w:line="146" w:lineRule="exact" w:before="5"/>
        <w:ind w:left="186"/>
        <w:rPr>
          <w:rFonts w:ascii="Calibri"/>
        </w:rPr>
      </w:pPr>
      <w:r>
        <w:rPr>
          <w:rFonts w:ascii="Arial"/>
          <w:color w:val="231F1F"/>
          <w:w w:val="355"/>
          <w:position w:val="1"/>
          <w:sz w:val="7"/>
        </w:rPr>
        <w:t>l </w:t>
      </w:r>
      <w:r>
        <w:rPr>
          <w:rFonts w:ascii="Calibri"/>
          <w:color w:val="231F1F"/>
          <w:w w:val="110"/>
        </w:rPr>
        <w:t>Antivirals (continued)</w:t>
      </w:r>
    </w:p>
    <w:p>
      <w:pPr>
        <w:pStyle w:val="BodyText"/>
        <w:spacing w:line="249" w:lineRule="auto"/>
        <w:ind w:left="286" w:right="238"/>
      </w:pPr>
      <w:r>
        <w:rPr>
          <w:color w:val="231F1F"/>
          <w:w w:val="110"/>
        </w:rPr>
        <w:t>dose of daclatasvir (see under Daclatasvir, p. 544); telithromycin possibly increases  plasma  concentration </w:t>
      </w:r>
      <w:r>
        <w:rPr>
          <w:color w:val="231F1F"/>
          <w:spacing w:val="-8"/>
          <w:w w:val="110"/>
        </w:rPr>
        <w:t>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MARAVIROC </w:t>
      </w:r>
      <w:r>
        <w:rPr>
          <w:color w:val="231F1F"/>
          <w:w w:val="110"/>
        </w:rPr>
        <w:t>(consider reducing dose of maraviroc);</w:t>
      </w:r>
    </w:p>
    <w:p>
      <w:pPr>
        <w:pStyle w:val="BodyText"/>
        <w:spacing w:line="247" w:lineRule="auto"/>
        <w:ind w:left="286"/>
      </w:pPr>
      <w:r>
        <w:rPr>
          <w:color w:val="231F1F"/>
          <w:w w:val="110"/>
        </w:rPr>
        <w:t>manufacturer of telithromycin advises avoid concomitant use with </w:t>
      </w:r>
      <w:r>
        <w:rPr>
          <w:rFonts w:ascii="Arial"/>
          <w:color w:val="231F1F"/>
          <w:w w:val="355"/>
          <w:position w:val="1"/>
          <w:sz w:val="7"/>
        </w:rPr>
        <w:t>l </w:t>
      </w:r>
      <w:r>
        <w:rPr>
          <w:rFonts w:ascii="Calibri"/>
          <w:color w:val="008356"/>
          <w:w w:val="110"/>
          <w:sz w:val="11"/>
        </w:rPr>
        <w:t>SAQUINAVIR </w:t>
      </w:r>
      <w:r>
        <w:rPr>
          <w:color w:val="231F1F"/>
          <w:w w:val="110"/>
        </w:rPr>
        <w:t>(risk of ventricular arrhythmias); telithromycin possibly increases plasma concentration of</w:t>
      </w:r>
    </w:p>
    <w:p>
      <w:pPr>
        <w:pStyle w:val="BodyText"/>
        <w:spacing w:line="247" w:lineRule="auto"/>
        <w:ind w:left="286" w:right="229" w:hanging="1"/>
      </w:pPr>
      <w:r>
        <w:rPr>
          <w:rFonts w:ascii="Arial" w:hAnsi="Arial"/>
          <w:color w:val="231F1F"/>
          <w:w w:val="115"/>
          <w:position w:val="1"/>
          <w:sz w:val="7"/>
        </w:rPr>
        <w:t>l </w:t>
      </w:r>
      <w:r>
        <w:rPr>
          <w:rFonts w:ascii="Calibri" w:hAnsi="Calibri"/>
          <w:color w:val="008356"/>
          <w:w w:val="115"/>
          <w:sz w:val="11"/>
        </w:rPr>
        <w:t>SIMEPREVIR</w:t>
      </w:r>
      <w:r>
        <w:rPr>
          <w:rFonts w:ascii="Arial" w:hAnsi="Arial"/>
          <w:color w:val="231F1F"/>
          <w:w w:val="115"/>
        </w:rPr>
        <w:t>—</w:t>
      </w:r>
      <w:r>
        <w:rPr>
          <w:color w:val="231F1F"/>
          <w:w w:val="115"/>
        </w:rPr>
        <w:t>manufacturer of simeprevir advises avoid </w:t>
      </w:r>
      <w:r>
        <w:rPr>
          <w:color w:val="231F1F"/>
          <w:w w:val="120"/>
        </w:rPr>
        <w:t>concomitant use; plasma concentration of both drugs possibly increased when telithromycin given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w w:val="115"/>
          <w:sz w:val="11"/>
        </w:rPr>
        <w:t>TELAPREVIR </w:t>
      </w:r>
      <w:r>
        <w:rPr>
          <w:color w:val="231F1F"/>
          <w:w w:val="115"/>
          <w:sz w:val="12"/>
        </w:rPr>
        <w:t>(increased risk of ventricular arrhythmias)</w:t>
      </w:r>
    </w:p>
    <w:p>
      <w:pPr>
        <w:pStyle w:val="BodyText"/>
        <w:ind w:left="286" w:right="1" w:hanging="100"/>
        <w:jc w:val="both"/>
      </w:pPr>
      <w:r>
        <w:rPr>
          <w:rFonts w:ascii="Arial"/>
          <w:color w:val="231F1F"/>
          <w:w w:val="355"/>
          <w:position w:val="1"/>
          <w:sz w:val="7"/>
        </w:rPr>
        <w:t>l </w:t>
      </w:r>
      <w:r>
        <w:rPr>
          <w:rFonts w:ascii="Calibri"/>
          <w:color w:val="231F1F"/>
          <w:w w:val="105"/>
        </w:rPr>
        <w:t>Anxiolytics and Hypnotics:  </w:t>
      </w:r>
      <w:r>
        <w:rPr>
          <w:color w:val="231F1F"/>
          <w:w w:val="105"/>
        </w:rPr>
        <w:t>telithromycin  inhibits metabolism </w:t>
      </w:r>
      <w:r>
        <w:rPr>
          <w:color w:val="231F1F"/>
          <w:spacing w:val="-7"/>
          <w:w w:val="105"/>
        </w:rPr>
        <w:t>of </w:t>
      </w:r>
      <w:r>
        <w:rPr>
          <w:rFonts w:ascii="Arial"/>
          <w:color w:val="231F1F"/>
          <w:w w:val="355"/>
          <w:position w:val="1"/>
          <w:sz w:val="7"/>
        </w:rPr>
        <w:t>l </w:t>
      </w:r>
      <w:r>
        <w:rPr>
          <w:rFonts w:ascii="Calibri"/>
          <w:color w:val="008356"/>
          <w:spacing w:val="4"/>
          <w:w w:val="105"/>
          <w:sz w:val="11"/>
        </w:rPr>
        <w:t>MIDAZOLAM </w:t>
      </w:r>
      <w:r>
        <w:rPr>
          <w:color w:val="231F1F"/>
          <w:w w:val="105"/>
        </w:rPr>
        <w:t>(increased plasma concentration with increased sedation)</w:t>
      </w:r>
    </w:p>
    <w:p>
      <w:pPr>
        <w:pStyle w:val="BodyText"/>
        <w:spacing w:line="220" w:lineRule="auto" w:before="6"/>
        <w:ind w:left="286" w:right="57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Aprepitant: </w:t>
      </w:r>
      <w:r>
        <w:rPr>
          <w:color w:val="231F1F"/>
          <w:w w:val="105"/>
        </w:rPr>
        <w:t>telithromycin possibly increases plasma concentration of </w:t>
      </w:r>
      <w:r>
        <w:rPr>
          <w:rFonts w:ascii="Calibri" w:hAnsi="Calibri"/>
          <w:color w:val="008356"/>
          <w:w w:val="105"/>
          <w:sz w:val="11"/>
        </w:rPr>
        <w:t>APREPITANT</w:t>
      </w:r>
    </w:p>
    <w:p>
      <w:pPr>
        <w:pStyle w:val="BodyText"/>
        <w:ind w:left="286" w:hanging="100"/>
      </w:pPr>
      <w:r>
        <w:rPr>
          <w:rFonts w:ascii="Arial" w:hAnsi="Arial"/>
          <w:color w:val="231F1F"/>
          <w:w w:val="355"/>
          <w:position w:val="1"/>
          <w:sz w:val="7"/>
        </w:rPr>
        <w:t>l </w:t>
      </w:r>
      <w:r>
        <w:rPr>
          <w:rFonts w:ascii="Calibri" w:hAnsi="Calibri"/>
          <w:color w:val="231F1F"/>
          <w:w w:val="120"/>
        </w:rPr>
        <w:t>Avanafil: </w:t>
      </w:r>
      <w:r>
        <w:rPr>
          <w:color w:val="231F1F"/>
          <w:w w:val="120"/>
        </w:rPr>
        <w:t>telithromycin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AVANAFIL</w:t>
      </w:r>
      <w:r>
        <w:rPr>
          <w:rFonts w:ascii="Arial" w:hAnsi="Arial"/>
          <w:color w:val="231F1F"/>
          <w:w w:val="115"/>
        </w:rPr>
        <w:t>—</w:t>
      </w:r>
      <w:r>
        <w:rPr>
          <w:color w:val="231F1F"/>
          <w:w w:val="115"/>
        </w:rPr>
        <w:t>manufacturer of avanafil </w:t>
      </w:r>
      <w:r>
        <w:rPr>
          <w:color w:val="231F1F"/>
          <w:w w:val="120"/>
        </w:rPr>
        <w:t>advises avoid concomitant use</w:t>
      </w:r>
    </w:p>
    <w:p>
      <w:pPr>
        <w:spacing w:line="240" w:lineRule="auto" w:before="2"/>
        <w:ind w:left="286" w:right="14" w:hanging="100"/>
        <w:jc w:val="left"/>
        <w:rPr>
          <w:sz w:val="12"/>
        </w:rPr>
      </w:pPr>
      <w:r>
        <w:rPr>
          <w:rFonts w:ascii="Arial"/>
          <w:color w:val="231F1F"/>
          <w:w w:val="355"/>
          <w:position w:val="1"/>
          <w:sz w:val="7"/>
        </w:rPr>
        <w:t>l </w:t>
      </w:r>
      <w:r>
        <w:rPr>
          <w:rFonts w:ascii="Calibri"/>
          <w:color w:val="231F1F"/>
          <w:w w:val="105"/>
          <w:sz w:val="12"/>
        </w:rPr>
        <w:t>Calcium-channel Blockers: </w:t>
      </w:r>
      <w:r>
        <w:rPr>
          <w:color w:val="231F1F"/>
          <w:w w:val="105"/>
          <w:sz w:val="12"/>
        </w:rPr>
        <w:t>telithromycin possibly inhibits metabolism of </w:t>
      </w:r>
      <w:r>
        <w:rPr>
          <w:rFonts w:ascii="Arial"/>
          <w:color w:val="231F1F"/>
          <w:w w:val="355"/>
          <w:position w:val="1"/>
          <w:sz w:val="7"/>
        </w:rPr>
        <w:t>l </w:t>
      </w:r>
      <w:r>
        <w:rPr>
          <w:rFonts w:ascii="Calibri"/>
          <w:color w:val="008356"/>
          <w:w w:val="105"/>
          <w:sz w:val="11"/>
        </w:rPr>
        <w:t>CALCIUM-CHANNEL BLOCKERS </w:t>
      </w:r>
      <w:r>
        <w:rPr>
          <w:color w:val="231F1F"/>
          <w:w w:val="105"/>
          <w:sz w:val="12"/>
        </w:rPr>
        <w:t>(increased risk of side-effects)</w:t>
      </w:r>
    </w:p>
    <w:p>
      <w:pPr>
        <w:pStyle w:val="BodyText"/>
        <w:spacing w:line="220" w:lineRule="auto" w:before="11"/>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telithromycin possibly increases plasma concentration of </w:t>
      </w:r>
      <w:r>
        <w:rPr>
          <w:rFonts w:ascii="Calibri" w:hAnsi="Calibri"/>
          <w:color w:val="008356"/>
          <w:w w:val="105"/>
          <w:sz w:val="11"/>
        </w:rPr>
        <w:t>DIGOXIN</w:t>
      </w:r>
    </w:p>
    <w:p>
      <w:pPr>
        <w:pStyle w:val="BodyText"/>
        <w:ind w:left="286" w:right="554" w:hanging="100"/>
        <w:rPr>
          <w:rFonts w:ascii="Calibri"/>
          <w:sz w:val="11"/>
        </w:rPr>
      </w:pPr>
      <w:r>
        <w:rPr>
          <w:rFonts w:ascii="Arial"/>
          <w:color w:val="231F1F"/>
          <w:w w:val="355"/>
          <w:position w:val="1"/>
          <w:sz w:val="7"/>
        </w:rPr>
        <w:t>l </w:t>
      </w:r>
      <w:r>
        <w:rPr>
          <w:rFonts w:ascii="Calibri"/>
          <w:color w:val="231F1F"/>
          <w:w w:val="110"/>
        </w:rPr>
        <w:t>Ciclosporin: </w:t>
      </w:r>
      <w:r>
        <w:rPr>
          <w:color w:val="231F1F"/>
          <w:w w:val="110"/>
        </w:rPr>
        <w:t>telithromycin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Calibri"/>
          <w:color w:val="008356"/>
          <w:spacing w:val="4"/>
          <w:w w:val="110"/>
          <w:sz w:val="11"/>
        </w:rPr>
        <w:t>CICLOSPORIN</w:t>
      </w:r>
    </w:p>
    <w:p>
      <w:pPr>
        <w:pStyle w:val="BodyText"/>
        <w:spacing w:line="143" w:lineRule="exact"/>
        <w:ind w:left="186"/>
      </w:pPr>
      <w:r>
        <w:rPr>
          <w:rFonts w:ascii="Arial"/>
          <w:color w:val="231F1F"/>
          <w:w w:val="355"/>
          <w:position w:val="1"/>
          <w:sz w:val="7"/>
        </w:rPr>
        <w:t>l </w:t>
      </w:r>
      <w:r>
        <w:rPr>
          <w:rFonts w:ascii="Calibri"/>
          <w:color w:val="231F1F"/>
          <w:w w:val="115"/>
        </w:rPr>
        <w:t>Colchicine: </w:t>
      </w:r>
      <w:r>
        <w:rPr>
          <w:color w:val="231F1F"/>
          <w:w w:val="115"/>
        </w:rPr>
        <w:t>telithromycin possibly increases risk of</w:t>
      </w:r>
    </w:p>
    <w:p>
      <w:pPr>
        <w:pStyle w:val="BodyText"/>
        <w:ind w:left="286" w:right="110"/>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4"/>
          <w:w w:val="115"/>
          <w:sz w:val="11"/>
        </w:rPr>
        <w:t>COLCHICINE</w:t>
      </w:r>
      <w:r>
        <w:rPr>
          <w:rFonts w:ascii="Calibri" w:hAnsi="Calibri"/>
          <w:color w:val="008356"/>
          <w:spacing w:val="-16"/>
          <w:w w:val="115"/>
          <w:sz w:val="11"/>
        </w:rPr>
        <w:t> </w:t>
      </w:r>
      <w:r>
        <w:rPr>
          <w:color w:val="231F1F"/>
          <w:w w:val="115"/>
        </w:rPr>
        <w:t>toxicity</w:t>
      </w:r>
      <w:r>
        <w:rPr>
          <w:rFonts w:ascii="Arial" w:hAnsi="Arial"/>
          <w:color w:val="231F1F"/>
          <w:w w:val="115"/>
        </w:rPr>
        <w:t>—</w:t>
      </w:r>
      <w:r>
        <w:rPr>
          <w:color w:val="231F1F"/>
          <w:w w:val="115"/>
        </w:rPr>
        <w:t>suspend</w:t>
      </w:r>
      <w:r>
        <w:rPr>
          <w:color w:val="231F1F"/>
          <w:spacing w:val="-25"/>
          <w:w w:val="115"/>
        </w:rPr>
        <w:t> </w:t>
      </w:r>
      <w:r>
        <w:rPr>
          <w:color w:val="231F1F"/>
          <w:w w:val="115"/>
        </w:rPr>
        <w:t>or</w:t>
      </w:r>
      <w:r>
        <w:rPr>
          <w:color w:val="231F1F"/>
          <w:spacing w:val="-24"/>
          <w:w w:val="115"/>
        </w:rPr>
        <w:t> </w:t>
      </w:r>
      <w:r>
        <w:rPr>
          <w:color w:val="231F1F"/>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 (avoid concomitant use in hepatic or renal</w:t>
      </w:r>
      <w:r>
        <w:rPr>
          <w:color w:val="231F1F"/>
          <w:spacing w:val="-25"/>
          <w:w w:val="115"/>
        </w:rPr>
        <w:t> </w:t>
      </w:r>
      <w:r>
        <w:rPr>
          <w:color w:val="231F1F"/>
          <w:w w:val="115"/>
        </w:rPr>
        <w:t>impairment)</w:t>
      </w:r>
    </w:p>
    <w:p>
      <w:pPr>
        <w:pStyle w:val="BodyText"/>
        <w:spacing w:line="244" w:lineRule="auto" w:before="2"/>
        <w:ind w:left="286" w:right="24" w:hanging="100"/>
      </w:pPr>
      <w:r>
        <w:rPr>
          <w:rFonts w:ascii="Arial" w:hAnsi="Arial"/>
          <w:color w:val="231F1F"/>
          <w:w w:val="355"/>
          <w:position w:val="1"/>
          <w:sz w:val="7"/>
        </w:rPr>
        <w:t>l </w:t>
      </w:r>
      <w:r>
        <w:rPr>
          <w:rFonts w:ascii="Calibri" w:hAnsi="Calibri"/>
          <w:color w:val="231F1F"/>
          <w:w w:val="110"/>
        </w:rPr>
        <w:t>Cytotoxics: </w:t>
      </w:r>
      <w:r>
        <w:rPr>
          <w:color w:val="231F1F"/>
          <w:w w:val="110"/>
        </w:rPr>
        <w:t>telithromycin possibly increases plasma concentration of </w:t>
      </w:r>
      <w:r>
        <w:rPr>
          <w:rFonts w:ascii="Calibri" w:hAnsi="Calibri"/>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telithromycin possibly increases the</w:t>
      </w:r>
      <w:r>
        <w:rPr>
          <w:color w:val="231F1F"/>
          <w:spacing w:val="-5"/>
          <w:w w:val="110"/>
        </w:rPr>
        <w:t> </w:t>
      </w:r>
      <w:r>
        <w:rPr>
          <w:color w:val="231F1F"/>
          <w:w w:val="110"/>
        </w:rPr>
        <w:t>plasma</w:t>
      </w:r>
      <w:r>
        <w:rPr>
          <w:color w:val="231F1F"/>
          <w:spacing w:val="-6"/>
          <w:w w:val="110"/>
        </w:rPr>
        <w:t> </w:t>
      </w:r>
      <w:r>
        <w:rPr>
          <w:color w:val="231F1F"/>
          <w:w w:val="110"/>
        </w:rPr>
        <w:t>concentration</w:t>
      </w:r>
      <w:r>
        <w:rPr>
          <w:color w:val="231F1F"/>
          <w:spacing w:val="-7"/>
          <w:w w:val="110"/>
        </w:rPr>
        <w:t> </w:t>
      </w:r>
      <w:r>
        <w:rPr>
          <w:color w:val="231F1F"/>
          <w:w w:val="110"/>
        </w:rPr>
        <w:t>of</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0"/>
          <w:sz w:val="11"/>
        </w:rPr>
        <w:t>BOSUTINIB</w:t>
      </w:r>
      <w:r>
        <w:rPr>
          <w:rFonts w:ascii="Calibri" w:hAnsi="Calibri"/>
          <w:color w:val="008356"/>
          <w:spacing w:val="5"/>
          <w:w w:val="110"/>
          <w:sz w:val="11"/>
        </w:rPr>
        <w:t> </w:t>
      </w:r>
      <w:r>
        <w:rPr>
          <w:color w:val="231F1F"/>
          <w:w w:val="110"/>
        </w:rPr>
        <w:t>and</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0"/>
          <w:sz w:val="11"/>
        </w:rPr>
        <w:t>CABAZITAXEL</w:t>
      </w:r>
      <w:r>
        <w:rPr>
          <w:rFonts w:ascii="Arial" w:hAnsi="Arial"/>
          <w:color w:val="231F1F"/>
          <w:spacing w:val="4"/>
          <w:w w:val="110"/>
        </w:rPr>
        <w:t>— </w:t>
      </w:r>
      <w:r>
        <w:rPr>
          <w:color w:val="231F1F"/>
          <w:w w:val="110"/>
        </w:rPr>
        <w:t>manufacturer of bosutinib and cabazitaxel advises avoid or consider reducing dose of bosutinib and cabazitaxel; telithromycin possibly increases plasma concentration</w:t>
      </w:r>
      <w:r>
        <w:rPr>
          <w:color w:val="231F1F"/>
          <w:spacing w:val="3"/>
          <w:w w:val="110"/>
        </w:rPr>
        <w:t> </w:t>
      </w:r>
      <w:r>
        <w:rPr>
          <w:color w:val="231F1F"/>
          <w:w w:val="110"/>
        </w:rPr>
        <w:t>of</w:t>
      </w:r>
    </w:p>
    <w:p>
      <w:pPr>
        <w:pStyle w:val="BodyText"/>
        <w:spacing w:line="247" w:lineRule="auto" w:before="4"/>
        <w:ind w:left="286" w:right="19"/>
      </w:pPr>
      <w:r>
        <w:rPr>
          <w:rFonts w:ascii="Arial" w:hAnsi="Arial"/>
          <w:color w:val="231F1F"/>
          <w:w w:val="115"/>
          <w:position w:val="1"/>
          <w:sz w:val="7"/>
        </w:rPr>
        <w:t>l </w:t>
      </w:r>
      <w:r>
        <w:rPr>
          <w:rFonts w:ascii="Calibri" w:hAnsi="Calibri"/>
          <w:color w:val="008356"/>
          <w:spacing w:val="4"/>
          <w:w w:val="115"/>
          <w:sz w:val="11"/>
        </w:rPr>
        <w:t>CRIZOTINIB </w:t>
      </w:r>
      <w:r>
        <w:rPr>
          <w:color w:val="231F1F"/>
          <w:w w:val="115"/>
        </w:rPr>
        <w:t>and </w:t>
      </w:r>
      <w:r>
        <w:rPr>
          <w:rFonts w:ascii="Arial" w:hAnsi="Arial"/>
          <w:color w:val="231F1F"/>
          <w:w w:val="115"/>
          <w:position w:val="1"/>
          <w:sz w:val="7"/>
        </w:rPr>
        <w:t>l </w:t>
      </w:r>
      <w:r>
        <w:rPr>
          <w:rFonts w:ascii="Calibri" w:hAnsi="Calibri"/>
          <w:color w:val="008356"/>
          <w:spacing w:val="2"/>
          <w:w w:val="115"/>
          <w:sz w:val="11"/>
        </w:rPr>
        <w:t>EVEROLIMUS</w:t>
      </w:r>
      <w:r>
        <w:rPr>
          <w:rFonts w:ascii="Arial" w:hAnsi="Arial"/>
          <w:color w:val="231F1F"/>
          <w:spacing w:val="2"/>
          <w:w w:val="115"/>
        </w:rPr>
        <w:t>—</w:t>
      </w:r>
      <w:r>
        <w:rPr>
          <w:color w:val="231F1F"/>
          <w:spacing w:val="2"/>
          <w:w w:val="115"/>
        </w:rPr>
        <w:t>manufacturer </w:t>
      </w:r>
      <w:r>
        <w:rPr>
          <w:color w:val="231F1F"/>
          <w:w w:val="115"/>
        </w:rPr>
        <w:t>of crizotinib and</w:t>
      </w:r>
      <w:r>
        <w:rPr>
          <w:color w:val="231F1F"/>
          <w:spacing w:val="-8"/>
          <w:w w:val="115"/>
        </w:rPr>
        <w:t> </w:t>
      </w:r>
      <w:r>
        <w:rPr>
          <w:color w:val="231F1F"/>
          <w:w w:val="115"/>
        </w:rPr>
        <w:t>everolimus</w:t>
      </w:r>
      <w:r>
        <w:rPr>
          <w:color w:val="231F1F"/>
          <w:spacing w:val="-9"/>
          <w:w w:val="115"/>
        </w:rPr>
        <w:t> </w:t>
      </w:r>
      <w:r>
        <w:rPr>
          <w:color w:val="231F1F"/>
          <w:w w:val="115"/>
        </w:rPr>
        <w:t>advises</w:t>
      </w:r>
      <w:r>
        <w:rPr>
          <w:color w:val="231F1F"/>
          <w:spacing w:val="-8"/>
          <w:w w:val="115"/>
        </w:rPr>
        <w:t> </w:t>
      </w:r>
      <w:r>
        <w:rPr>
          <w:color w:val="231F1F"/>
          <w:w w:val="115"/>
        </w:rPr>
        <w:t>avoid</w:t>
      </w:r>
      <w:r>
        <w:rPr>
          <w:color w:val="231F1F"/>
          <w:spacing w:val="-8"/>
          <w:w w:val="115"/>
        </w:rPr>
        <w:t> </w:t>
      </w:r>
      <w:r>
        <w:rPr>
          <w:color w:val="231F1F"/>
          <w:w w:val="115"/>
        </w:rPr>
        <w:t>concomitant</w:t>
      </w:r>
      <w:r>
        <w:rPr>
          <w:color w:val="231F1F"/>
          <w:spacing w:val="-10"/>
          <w:w w:val="115"/>
        </w:rPr>
        <w:t> </w:t>
      </w:r>
      <w:r>
        <w:rPr>
          <w:color w:val="231F1F"/>
          <w:w w:val="115"/>
        </w:rPr>
        <w:t>use;</w:t>
      </w:r>
      <w:r>
        <w:rPr>
          <w:color w:val="231F1F"/>
          <w:spacing w:val="-7"/>
          <w:w w:val="115"/>
        </w:rPr>
        <w:t> </w:t>
      </w:r>
      <w:r>
        <w:rPr>
          <w:color w:val="231F1F"/>
          <w:w w:val="115"/>
        </w:rPr>
        <w:t>avoidance</w:t>
      </w:r>
      <w:r>
        <w:rPr>
          <w:color w:val="231F1F"/>
          <w:spacing w:val="-9"/>
          <w:w w:val="115"/>
        </w:rPr>
        <w:t> </w:t>
      </w:r>
      <w:r>
        <w:rPr>
          <w:color w:val="231F1F"/>
          <w:w w:val="115"/>
        </w:rPr>
        <w:t>of telithromycin</w:t>
      </w:r>
      <w:r>
        <w:rPr>
          <w:color w:val="231F1F"/>
          <w:spacing w:val="-17"/>
          <w:w w:val="115"/>
        </w:rPr>
        <w:t> </w:t>
      </w:r>
      <w:r>
        <w:rPr>
          <w:color w:val="231F1F"/>
          <w:w w:val="115"/>
        </w:rPr>
        <w:t>advised</w:t>
      </w:r>
      <w:r>
        <w:rPr>
          <w:color w:val="231F1F"/>
          <w:spacing w:val="-16"/>
          <w:w w:val="115"/>
        </w:rPr>
        <w:t> </w:t>
      </w:r>
      <w:r>
        <w:rPr>
          <w:color w:val="231F1F"/>
          <w:w w:val="115"/>
        </w:rPr>
        <w:t>by</w:t>
      </w:r>
      <w:r>
        <w:rPr>
          <w:color w:val="231F1F"/>
          <w:spacing w:val="-16"/>
          <w:w w:val="115"/>
        </w:rPr>
        <w:t> </w:t>
      </w:r>
      <w:r>
        <w:rPr>
          <w:color w:val="231F1F"/>
          <w:w w:val="115"/>
        </w:rPr>
        <w:t>manufacturer</w:t>
      </w:r>
      <w:r>
        <w:rPr>
          <w:color w:val="231F1F"/>
          <w:spacing w:val="-16"/>
          <w:w w:val="115"/>
        </w:rPr>
        <w:t> </w:t>
      </w:r>
      <w:r>
        <w:rPr>
          <w:color w:val="231F1F"/>
          <w:w w:val="115"/>
        </w:rPr>
        <w:t>of</w:t>
      </w:r>
      <w:r>
        <w:rPr>
          <w:color w:val="231F1F"/>
          <w:spacing w:val="-16"/>
          <w:w w:val="115"/>
        </w:rPr>
        <w:t> </w:t>
      </w:r>
      <w:r>
        <w:rPr>
          <w:rFonts w:ascii="Calibri" w:hAnsi="Calibri"/>
          <w:color w:val="008356"/>
          <w:spacing w:val="3"/>
          <w:w w:val="115"/>
          <w:sz w:val="11"/>
        </w:rPr>
        <w:t>DASATINIB</w:t>
      </w:r>
      <w:r>
        <w:rPr>
          <w:rFonts w:ascii="Calibri" w:hAnsi="Calibri"/>
          <w:color w:val="008356"/>
          <w:spacing w:val="-7"/>
          <w:w w:val="115"/>
          <w:sz w:val="11"/>
        </w:rPr>
        <w:t> </w:t>
      </w:r>
      <w:r>
        <w:rPr>
          <w:color w:val="231F1F"/>
          <w:w w:val="115"/>
        </w:rPr>
        <w:t>(plasma concentration of dasatinib possibly increased); </w:t>
      </w:r>
      <w:r>
        <w:rPr>
          <w:color w:val="231F1F"/>
          <w:spacing w:val="-3"/>
          <w:w w:val="115"/>
        </w:rPr>
        <w:t>telithromycin </w:t>
      </w:r>
      <w:r>
        <w:rPr>
          <w:color w:val="231F1F"/>
          <w:w w:val="115"/>
        </w:rPr>
        <w:t>possibly</w:t>
      </w:r>
      <w:r>
        <w:rPr>
          <w:color w:val="231F1F"/>
          <w:spacing w:val="-11"/>
          <w:w w:val="115"/>
        </w:rPr>
        <w:t> </w:t>
      </w:r>
      <w:r>
        <w:rPr>
          <w:color w:val="231F1F"/>
          <w:w w:val="115"/>
        </w:rPr>
        <w:t>increases</w:t>
      </w:r>
      <w:r>
        <w:rPr>
          <w:color w:val="231F1F"/>
          <w:spacing w:val="-10"/>
          <w:w w:val="115"/>
        </w:rPr>
        <w:t> </w:t>
      </w:r>
      <w:r>
        <w:rPr>
          <w:color w:val="231F1F"/>
          <w:w w:val="115"/>
        </w:rPr>
        <w:t>the</w:t>
      </w:r>
      <w:r>
        <w:rPr>
          <w:color w:val="231F1F"/>
          <w:spacing w:val="-10"/>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9"/>
          <w:w w:val="115"/>
        </w:rPr>
        <w:t> </w:t>
      </w:r>
      <w:r>
        <w:rPr>
          <w:rFonts w:ascii="Arial" w:hAnsi="Arial"/>
          <w:color w:val="231F1F"/>
          <w:w w:val="115"/>
          <w:position w:val="1"/>
          <w:sz w:val="7"/>
        </w:rPr>
        <w:t>l </w:t>
      </w:r>
      <w:r>
        <w:rPr>
          <w:rFonts w:ascii="Calibri" w:hAnsi="Calibri"/>
          <w:color w:val="008356"/>
          <w:spacing w:val="4"/>
          <w:w w:val="115"/>
          <w:sz w:val="11"/>
        </w:rPr>
        <w:t>IBRUTINIB</w:t>
      </w:r>
      <w:r>
        <w:rPr>
          <w:rFonts w:ascii="Arial" w:hAnsi="Arial"/>
          <w:color w:val="231F1F"/>
          <w:spacing w:val="4"/>
          <w:w w:val="115"/>
        </w:rPr>
        <w:t>— </w:t>
      </w:r>
      <w:r>
        <w:rPr>
          <w:color w:val="231F1F"/>
          <w:w w:val="120"/>
        </w:rPr>
        <w:t>reduce dose of ibrutinib (see under Ibrutinib, p. 809); avoidance</w:t>
      </w:r>
      <w:r>
        <w:rPr>
          <w:color w:val="231F1F"/>
          <w:spacing w:val="-15"/>
          <w:w w:val="120"/>
        </w:rPr>
        <w:t> </w:t>
      </w:r>
      <w:r>
        <w:rPr>
          <w:color w:val="231F1F"/>
          <w:w w:val="120"/>
        </w:rPr>
        <w:t>of</w:t>
      </w:r>
      <w:r>
        <w:rPr>
          <w:color w:val="231F1F"/>
          <w:spacing w:val="-15"/>
          <w:w w:val="120"/>
        </w:rPr>
        <w:t> </w:t>
      </w:r>
      <w:r>
        <w:rPr>
          <w:color w:val="231F1F"/>
          <w:w w:val="120"/>
        </w:rPr>
        <w:t>telithromycin</w:t>
      </w:r>
      <w:r>
        <w:rPr>
          <w:color w:val="231F1F"/>
          <w:spacing w:val="-14"/>
          <w:w w:val="120"/>
        </w:rPr>
        <w:t> </w:t>
      </w:r>
      <w:r>
        <w:rPr>
          <w:color w:val="231F1F"/>
          <w:w w:val="120"/>
        </w:rPr>
        <w:t>advised</w:t>
      </w:r>
      <w:r>
        <w:rPr>
          <w:color w:val="231F1F"/>
          <w:spacing w:val="-15"/>
          <w:w w:val="120"/>
        </w:rPr>
        <w:t> </w:t>
      </w:r>
      <w:r>
        <w:rPr>
          <w:color w:val="231F1F"/>
          <w:w w:val="120"/>
        </w:rPr>
        <w:t>by</w:t>
      </w:r>
      <w:r>
        <w:rPr>
          <w:color w:val="231F1F"/>
          <w:spacing w:val="-14"/>
          <w:w w:val="120"/>
        </w:rPr>
        <w:t> </w:t>
      </w:r>
      <w:r>
        <w:rPr>
          <w:color w:val="231F1F"/>
          <w:w w:val="120"/>
        </w:rPr>
        <w:t>manufacturer</w:t>
      </w:r>
      <w:r>
        <w:rPr>
          <w:color w:val="231F1F"/>
          <w:spacing w:val="-14"/>
          <w:w w:val="120"/>
        </w:rPr>
        <w:t> </w:t>
      </w:r>
      <w:r>
        <w:rPr>
          <w:color w:val="231F1F"/>
          <w:w w:val="120"/>
        </w:rPr>
        <w:t>of</w:t>
      </w:r>
    </w:p>
    <w:p>
      <w:pPr>
        <w:pStyle w:val="BodyText"/>
        <w:spacing w:line="244" w:lineRule="auto"/>
        <w:ind w:left="286"/>
      </w:pP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3"/>
          <w:w w:val="115"/>
          <w:sz w:val="11"/>
        </w:rPr>
        <w:t>LAPATINIB</w:t>
      </w:r>
      <w:r>
        <w:rPr>
          <w:rFonts w:ascii="Calibri" w:hAnsi="Calibri"/>
          <w:color w:val="008356"/>
          <w:spacing w:val="-10"/>
          <w:w w:val="115"/>
          <w:sz w:val="11"/>
        </w:rPr>
        <w:t> </w:t>
      </w:r>
      <w:r>
        <w:rPr>
          <w:color w:val="231F1F"/>
          <w:w w:val="115"/>
        </w:rPr>
        <w:t>and</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4"/>
          <w:w w:val="115"/>
          <w:sz w:val="11"/>
        </w:rPr>
        <w:t>NILOTINIB</w:t>
      </w:r>
      <w:r>
        <w:rPr>
          <w:color w:val="231F1F"/>
          <w:spacing w:val="4"/>
          <w:w w:val="115"/>
        </w:rPr>
        <w:t>;</w:t>
      </w:r>
      <w:r>
        <w:rPr>
          <w:color w:val="231F1F"/>
          <w:spacing w:val="-19"/>
          <w:w w:val="115"/>
        </w:rPr>
        <w:t> </w:t>
      </w:r>
      <w:r>
        <w:rPr>
          <w:color w:val="231F1F"/>
          <w:w w:val="115"/>
        </w:rPr>
        <w:t>telithromycin</w:t>
      </w:r>
      <w:r>
        <w:rPr>
          <w:color w:val="231F1F"/>
          <w:spacing w:val="-18"/>
          <w:w w:val="115"/>
        </w:rPr>
        <w:t> </w:t>
      </w:r>
      <w:r>
        <w:rPr>
          <w:color w:val="231F1F"/>
          <w:w w:val="115"/>
        </w:rPr>
        <w:t>possibly</w:t>
      </w:r>
      <w:r>
        <w:rPr>
          <w:color w:val="231F1F"/>
          <w:spacing w:val="-19"/>
          <w:w w:val="115"/>
        </w:rPr>
        <w:t> </w:t>
      </w:r>
      <w:r>
        <w:rPr>
          <w:color w:val="231F1F"/>
          <w:w w:val="115"/>
        </w:rPr>
        <w:t>increases plasma concentration of </w:t>
      </w:r>
      <w:r>
        <w:rPr>
          <w:rFonts w:ascii="Arial" w:hAnsi="Arial"/>
          <w:color w:val="231F1F"/>
          <w:w w:val="355"/>
          <w:position w:val="1"/>
          <w:sz w:val="7"/>
        </w:rPr>
        <w:t>l </w:t>
      </w:r>
      <w:r>
        <w:rPr>
          <w:rFonts w:ascii="Calibri" w:hAnsi="Calibri"/>
          <w:color w:val="008356"/>
          <w:spacing w:val="3"/>
          <w:w w:val="115"/>
          <w:sz w:val="11"/>
        </w:rPr>
        <w:t>PAZOPANIB </w:t>
      </w:r>
      <w:r>
        <w:rPr>
          <w:color w:val="231F1F"/>
          <w:w w:val="115"/>
        </w:rPr>
        <w:t>(reduce dose of pazopanib); telithromycin possibly increases plasma concentration</w:t>
      </w:r>
      <w:r>
        <w:rPr>
          <w:color w:val="231F1F"/>
          <w:spacing w:val="-22"/>
          <w:w w:val="115"/>
        </w:rPr>
        <w:t> </w:t>
      </w:r>
      <w:r>
        <w:rPr>
          <w:color w:val="231F1F"/>
          <w:w w:val="115"/>
        </w:rPr>
        <w:t>of</w:t>
      </w:r>
      <w:r>
        <w:rPr>
          <w:color w:val="231F1F"/>
          <w:spacing w:val="-22"/>
          <w:w w:val="115"/>
        </w:rPr>
        <w:t> </w:t>
      </w:r>
      <w:r>
        <w:rPr>
          <w:rFonts w:ascii="Calibri" w:hAnsi="Calibri"/>
          <w:color w:val="008356"/>
          <w:spacing w:val="2"/>
          <w:w w:val="115"/>
          <w:sz w:val="11"/>
        </w:rPr>
        <w:t>PONATINIB</w:t>
      </w:r>
      <w:r>
        <w:rPr>
          <w:rFonts w:ascii="Arial" w:hAnsi="Arial"/>
          <w:color w:val="231F1F"/>
          <w:spacing w:val="2"/>
          <w:w w:val="115"/>
        </w:rPr>
        <w:t>—</w:t>
      </w:r>
      <w:r>
        <w:rPr>
          <w:color w:val="231F1F"/>
          <w:spacing w:val="2"/>
          <w:w w:val="115"/>
        </w:rPr>
        <w:t>consider</w:t>
      </w:r>
      <w:r>
        <w:rPr>
          <w:color w:val="231F1F"/>
          <w:spacing w:val="-21"/>
          <w:w w:val="115"/>
        </w:rPr>
        <w:t> </w:t>
      </w:r>
      <w:r>
        <w:rPr>
          <w:color w:val="231F1F"/>
          <w:w w:val="115"/>
        </w:rPr>
        <w:t>reducing</w:t>
      </w:r>
      <w:r>
        <w:rPr>
          <w:color w:val="231F1F"/>
          <w:spacing w:val="-22"/>
          <w:w w:val="115"/>
        </w:rPr>
        <w:t> </w:t>
      </w:r>
      <w:r>
        <w:rPr>
          <w:color w:val="231F1F"/>
          <w:w w:val="115"/>
        </w:rPr>
        <w:t>initial</w:t>
      </w:r>
      <w:r>
        <w:rPr>
          <w:color w:val="231F1F"/>
          <w:spacing w:val="-21"/>
          <w:w w:val="115"/>
        </w:rPr>
        <w:t> </w:t>
      </w:r>
      <w:r>
        <w:rPr>
          <w:color w:val="231F1F"/>
          <w:w w:val="115"/>
        </w:rPr>
        <w:t>dose</w:t>
      </w:r>
      <w:r>
        <w:rPr>
          <w:color w:val="231F1F"/>
          <w:spacing w:val="-21"/>
          <w:w w:val="115"/>
        </w:rPr>
        <w:t> </w:t>
      </w:r>
      <w:r>
        <w:rPr>
          <w:color w:val="231F1F"/>
          <w:spacing w:val="-6"/>
          <w:w w:val="115"/>
        </w:rPr>
        <w:t>of </w:t>
      </w:r>
      <w:r>
        <w:rPr>
          <w:color w:val="231F1F"/>
          <w:w w:val="115"/>
        </w:rPr>
        <w:t>ponatinib (see under Ponatinib, p. 814); manufacturer of ruxolitinib advises dose reduction when telithromycin given with </w:t>
      </w:r>
      <w:r>
        <w:rPr>
          <w:rFonts w:ascii="Arial" w:hAnsi="Arial"/>
          <w:color w:val="231F1F"/>
          <w:w w:val="355"/>
          <w:position w:val="1"/>
          <w:sz w:val="7"/>
        </w:rPr>
        <w:t>l </w:t>
      </w:r>
      <w:r>
        <w:rPr>
          <w:rFonts w:ascii="Calibri" w:hAnsi="Calibri"/>
          <w:color w:val="008356"/>
          <w:spacing w:val="2"/>
          <w:w w:val="115"/>
          <w:sz w:val="11"/>
        </w:rPr>
        <w:t>RUXOLITINIB</w:t>
      </w:r>
      <w:r>
        <w:rPr>
          <w:rFonts w:ascii="Arial" w:hAnsi="Arial"/>
          <w:color w:val="231F1F"/>
          <w:spacing w:val="2"/>
          <w:w w:val="115"/>
        </w:rPr>
        <w:t>—</w:t>
      </w:r>
      <w:r>
        <w:rPr>
          <w:color w:val="231F1F"/>
          <w:spacing w:val="2"/>
          <w:w w:val="115"/>
        </w:rPr>
        <w:t>consult </w:t>
      </w:r>
      <w:r>
        <w:rPr>
          <w:color w:val="231F1F"/>
          <w:w w:val="115"/>
        </w:rPr>
        <w:t>ruxolitinib product literature; telithromycin possibly increases plasma concentration</w:t>
      </w:r>
      <w:r>
        <w:rPr>
          <w:color w:val="231F1F"/>
          <w:spacing w:val="-26"/>
          <w:w w:val="115"/>
        </w:rPr>
        <w:t> </w:t>
      </w:r>
      <w:r>
        <w:rPr>
          <w:color w:val="231F1F"/>
          <w:w w:val="115"/>
        </w:rPr>
        <w:t>of</w:t>
      </w:r>
    </w:p>
    <w:p>
      <w:pPr>
        <w:pStyle w:val="BodyText"/>
        <w:spacing w:before="4"/>
        <w:ind w:left="286" w:right="387" w:hanging="1"/>
      </w:pP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w w:val="115"/>
          <w:sz w:val="11"/>
        </w:rPr>
        <w:t>DOCETAXEL</w:t>
      </w:r>
      <w:r>
        <w:rPr>
          <w:rFonts w:ascii="Arial" w:hAnsi="Arial"/>
          <w:color w:val="231F1F"/>
          <w:w w:val="115"/>
        </w:rPr>
        <w:t>—</w:t>
      </w:r>
      <w:r>
        <w:rPr>
          <w:color w:val="231F1F"/>
          <w:w w:val="115"/>
        </w:rPr>
        <w:t>manufacturer</w:t>
      </w:r>
      <w:r>
        <w:rPr>
          <w:color w:val="231F1F"/>
          <w:spacing w:val="-14"/>
          <w:w w:val="115"/>
        </w:rPr>
        <w:t> </w:t>
      </w:r>
      <w:r>
        <w:rPr>
          <w:color w:val="231F1F"/>
          <w:w w:val="115"/>
        </w:rPr>
        <w:t>of</w:t>
      </w:r>
      <w:r>
        <w:rPr>
          <w:color w:val="231F1F"/>
          <w:spacing w:val="-14"/>
          <w:w w:val="115"/>
        </w:rPr>
        <w:t> </w:t>
      </w:r>
      <w:r>
        <w:rPr>
          <w:color w:val="231F1F"/>
          <w:w w:val="115"/>
        </w:rPr>
        <w:t>docetaxel</w:t>
      </w:r>
      <w:r>
        <w:rPr>
          <w:color w:val="231F1F"/>
          <w:spacing w:val="-14"/>
          <w:w w:val="115"/>
        </w:rPr>
        <w:t> </w:t>
      </w:r>
      <w:r>
        <w:rPr>
          <w:color w:val="231F1F"/>
          <w:w w:val="115"/>
        </w:rPr>
        <w:t>advises</w:t>
      </w:r>
      <w:r>
        <w:rPr>
          <w:color w:val="231F1F"/>
          <w:spacing w:val="-14"/>
          <w:w w:val="115"/>
        </w:rPr>
        <w:t> </w:t>
      </w:r>
      <w:r>
        <w:rPr>
          <w:color w:val="231F1F"/>
          <w:spacing w:val="-3"/>
          <w:w w:val="115"/>
        </w:rPr>
        <w:t>avoid </w:t>
      </w:r>
      <w:r>
        <w:rPr>
          <w:color w:val="231F1F"/>
          <w:w w:val="120"/>
        </w:rPr>
        <w:t>concomitant</w:t>
      </w:r>
      <w:r>
        <w:rPr>
          <w:color w:val="231F1F"/>
          <w:spacing w:val="-22"/>
          <w:w w:val="120"/>
        </w:rPr>
        <w:t> </w:t>
      </w:r>
      <w:r>
        <w:rPr>
          <w:color w:val="231F1F"/>
          <w:w w:val="120"/>
        </w:rPr>
        <w:t>use</w:t>
      </w:r>
      <w:r>
        <w:rPr>
          <w:color w:val="231F1F"/>
          <w:spacing w:val="-21"/>
          <w:w w:val="120"/>
        </w:rPr>
        <w:t> </w:t>
      </w:r>
      <w:r>
        <w:rPr>
          <w:color w:val="231F1F"/>
          <w:w w:val="120"/>
        </w:rPr>
        <w:t>or</w:t>
      </w:r>
      <w:r>
        <w:rPr>
          <w:color w:val="231F1F"/>
          <w:spacing w:val="-21"/>
          <w:w w:val="120"/>
        </w:rPr>
        <w:t> </w:t>
      </w:r>
      <w:r>
        <w:rPr>
          <w:color w:val="231F1F"/>
          <w:w w:val="120"/>
        </w:rPr>
        <w:t>consider</w:t>
      </w:r>
      <w:r>
        <w:rPr>
          <w:color w:val="231F1F"/>
          <w:spacing w:val="-21"/>
          <w:w w:val="120"/>
        </w:rPr>
        <w:t> </w:t>
      </w:r>
      <w:r>
        <w:rPr>
          <w:color w:val="231F1F"/>
          <w:w w:val="120"/>
        </w:rPr>
        <w:t>reducing</w:t>
      </w:r>
      <w:r>
        <w:rPr>
          <w:color w:val="231F1F"/>
          <w:spacing w:val="-21"/>
          <w:w w:val="120"/>
        </w:rPr>
        <w:t> </w:t>
      </w:r>
      <w:r>
        <w:rPr>
          <w:color w:val="231F1F"/>
          <w:w w:val="120"/>
        </w:rPr>
        <w:t>docetaxel</w:t>
      </w:r>
      <w:r>
        <w:rPr>
          <w:color w:val="231F1F"/>
          <w:spacing w:val="-21"/>
          <w:w w:val="120"/>
        </w:rPr>
        <w:t> </w:t>
      </w:r>
      <w:r>
        <w:rPr>
          <w:color w:val="231F1F"/>
          <w:w w:val="120"/>
        </w:rPr>
        <w:t>dose</w:t>
      </w:r>
    </w:p>
    <w:p>
      <w:pPr>
        <w:pStyle w:val="BodyText"/>
        <w:spacing w:before="3"/>
        <w:ind w:left="286" w:right="276" w:hanging="100"/>
      </w:pPr>
      <w:r>
        <w:rPr>
          <w:rFonts w:ascii="Arial"/>
          <w:color w:val="231F1F"/>
          <w:w w:val="355"/>
          <w:position w:val="1"/>
          <w:sz w:val="7"/>
        </w:rPr>
        <w:t>l </w:t>
      </w:r>
      <w:r>
        <w:rPr>
          <w:rFonts w:ascii="Calibri"/>
          <w:color w:val="231F1F"/>
          <w:w w:val="110"/>
        </w:rPr>
        <w:t>Dapoxetine: </w:t>
      </w:r>
      <w:r>
        <w:rPr>
          <w:color w:val="231F1F"/>
          <w:w w:val="110"/>
        </w:rPr>
        <w:t>avoidance of telithromycin advised by manufacturer of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DAPOXETINE </w:t>
      </w:r>
      <w:r>
        <w:rPr>
          <w:color w:val="231F1F"/>
          <w:w w:val="110"/>
        </w:rPr>
        <w:t>(increased risk of toxicity)</w:t>
      </w:r>
    </w:p>
    <w:p>
      <w:pPr>
        <w:pStyle w:val="BodyText"/>
        <w:spacing w:line="143" w:lineRule="exact"/>
        <w:ind w:left="186"/>
      </w:pPr>
      <w:r>
        <w:rPr>
          <w:rFonts w:ascii="Arial"/>
          <w:color w:val="231F1F"/>
          <w:w w:val="355"/>
          <w:position w:val="1"/>
          <w:sz w:val="7"/>
        </w:rPr>
        <w:t>l</w:t>
      </w:r>
      <w:r>
        <w:rPr>
          <w:rFonts w:ascii="Arial"/>
          <w:color w:val="231F1F"/>
          <w:spacing w:val="-48"/>
          <w:w w:val="355"/>
          <w:position w:val="1"/>
          <w:sz w:val="7"/>
        </w:rPr>
        <w:t> </w:t>
      </w:r>
      <w:r>
        <w:rPr>
          <w:rFonts w:ascii="Calibri"/>
          <w:color w:val="231F1F"/>
          <w:w w:val="120"/>
        </w:rPr>
        <w:t>Diuretics:</w:t>
      </w:r>
      <w:r>
        <w:rPr>
          <w:rFonts w:ascii="Calibri"/>
          <w:color w:val="231F1F"/>
          <w:spacing w:val="-16"/>
          <w:w w:val="120"/>
        </w:rPr>
        <w:t> </w:t>
      </w:r>
      <w:r>
        <w:rPr>
          <w:color w:val="231F1F"/>
          <w:w w:val="120"/>
        </w:rPr>
        <w:t>telithromycin</w:t>
      </w:r>
      <w:r>
        <w:rPr>
          <w:color w:val="231F1F"/>
          <w:spacing w:val="-19"/>
          <w:w w:val="120"/>
        </w:rPr>
        <w:t> </w:t>
      </w:r>
      <w:r>
        <w:rPr>
          <w:color w:val="231F1F"/>
          <w:w w:val="120"/>
        </w:rPr>
        <w:t>increases</w:t>
      </w:r>
      <w:r>
        <w:rPr>
          <w:color w:val="231F1F"/>
          <w:spacing w:val="-19"/>
          <w:w w:val="120"/>
        </w:rPr>
        <w:t>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p>
    <w:p>
      <w:pPr>
        <w:spacing w:line="140" w:lineRule="exact" w:before="0"/>
        <w:ind w:left="286" w:right="0" w:firstLine="0"/>
        <w:jc w:val="both"/>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Calibri" w:hAnsi="Calibri"/>
          <w:color w:val="008356"/>
          <w:spacing w:val="3"/>
          <w:w w:val="115"/>
          <w:sz w:val="11"/>
        </w:rPr>
        <w:t>EPLERENONE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51" w:hanging="100"/>
      </w:pPr>
      <w:r>
        <w:rPr>
          <w:rFonts w:ascii="Arial" w:hAnsi="Arial"/>
          <w:color w:val="231F1F"/>
          <w:w w:val="355"/>
          <w:position w:val="1"/>
          <w:sz w:val="7"/>
        </w:rPr>
        <w:t>l </w:t>
      </w:r>
      <w:r>
        <w:rPr>
          <w:rFonts w:ascii="Calibri" w:hAnsi="Calibri"/>
          <w:color w:val="231F1F"/>
          <w:w w:val="105"/>
        </w:rPr>
        <w:t>Domperidone: </w:t>
      </w:r>
      <w:r>
        <w:rPr>
          <w:color w:val="231F1F"/>
          <w:w w:val="105"/>
        </w:rPr>
        <w:t>possible increased risk  of  ventricular arrhythmias when telithromycin given with </w:t>
      </w:r>
      <w:r>
        <w:rPr>
          <w:rFonts w:ascii="Arial" w:hAnsi="Arial"/>
          <w:color w:val="231F1F"/>
          <w:w w:val="355"/>
          <w:position w:val="1"/>
          <w:sz w:val="7"/>
        </w:rPr>
        <w:t>l </w:t>
      </w:r>
      <w:r>
        <w:rPr>
          <w:rFonts w:ascii="Calibri" w:hAnsi="Calibri"/>
          <w:color w:val="008356"/>
          <w:spacing w:val="4"/>
          <w:w w:val="105"/>
          <w:sz w:val="11"/>
        </w:rPr>
        <w:t>DOMPERIDONE</w:t>
      </w:r>
      <w:r>
        <w:rPr>
          <w:rFonts w:ascii="Arial" w:hAnsi="Arial"/>
          <w:color w:val="231F1F"/>
          <w:spacing w:val="4"/>
          <w:w w:val="105"/>
        </w:rPr>
        <w:t>— </w:t>
      </w:r>
      <w:r>
        <w:rPr>
          <w:color w:val="231F1F"/>
          <w:w w:val="105"/>
        </w:rPr>
        <w:t>avoid concomitant use</w:t>
      </w:r>
    </w:p>
    <w:p>
      <w:pPr>
        <w:pStyle w:val="BodyText"/>
        <w:ind w:left="286" w:right="8" w:hanging="100"/>
      </w:pPr>
      <w:r>
        <w:rPr>
          <w:rFonts w:ascii="Arial" w:hAnsi="Arial"/>
          <w:color w:val="231F1F"/>
          <w:w w:val="355"/>
          <w:position w:val="1"/>
          <w:sz w:val="7"/>
        </w:rPr>
        <w:t>l </w:t>
      </w:r>
      <w:r>
        <w:rPr>
          <w:rFonts w:ascii="Calibri" w:hAnsi="Calibri"/>
          <w:color w:val="231F1F"/>
          <w:w w:val="110"/>
        </w:rPr>
        <w:t>Ergot Alkaloids: </w:t>
      </w:r>
      <w:r>
        <w:rPr>
          <w:color w:val="231F1F"/>
          <w:w w:val="110"/>
        </w:rPr>
        <w:t>increased risk of ergotism when telithromycin given with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20" w:lineRule="auto" w:before="6"/>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Fosaprepitant: </w:t>
      </w:r>
      <w:r>
        <w:rPr>
          <w:color w:val="231F1F"/>
          <w:w w:val="105"/>
        </w:rPr>
        <w:t>telithromycin possibly increases plasma concentration of </w:t>
      </w:r>
      <w:r>
        <w:rPr>
          <w:rFonts w:ascii="Calibri" w:hAnsi="Calibri"/>
          <w:color w:val="008356"/>
          <w:w w:val="105"/>
          <w:sz w:val="11"/>
        </w:rPr>
        <w:t>FOSAPREPITANT</w:t>
      </w:r>
    </w:p>
    <w:p>
      <w:pPr>
        <w:pStyle w:val="BodyText"/>
        <w:ind w:left="286" w:right="279" w:hanging="100"/>
      </w:pPr>
      <w:r>
        <w:rPr>
          <w:rFonts w:ascii="Arial" w:hAnsi="Arial"/>
          <w:color w:val="231F1F"/>
          <w:w w:val="355"/>
          <w:position w:val="1"/>
          <w:sz w:val="7"/>
        </w:rPr>
        <w:t>l </w:t>
      </w:r>
      <w:r>
        <w:rPr>
          <w:rFonts w:ascii="Calibri" w:hAnsi="Calibri"/>
          <w:color w:val="231F1F"/>
          <w:w w:val="115"/>
        </w:rPr>
        <w:t>Ivabradine: </w:t>
      </w:r>
      <w:r>
        <w:rPr>
          <w:color w:val="231F1F"/>
          <w:w w:val="115"/>
        </w:rPr>
        <w:t>telithromycin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IVABRADINE</w:t>
      </w:r>
      <w:r>
        <w:rPr>
          <w:rFonts w:ascii="Arial" w:hAnsi="Arial"/>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ind w:left="286" w:right="178" w:hanging="100"/>
      </w:pPr>
      <w:r>
        <w:rPr>
          <w:rFonts w:ascii="Arial"/>
          <w:color w:val="231F1F"/>
          <w:w w:val="355"/>
          <w:position w:val="1"/>
          <w:sz w:val="7"/>
        </w:rPr>
        <w:t>l </w:t>
      </w:r>
      <w:r>
        <w:rPr>
          <w:rFonts w:ascii="Calibri"/>
          <w:color w:val="231F1F"/>
          <w:w w:val="115"/>
        </w:rPr>
        <w:t>Ivacaftor: </w:t>
      </w:r>
      <w:r>
        <w:rPr>
          <w:color w:val="231F1F"/>
          <w:w w:val="115"/>
        </w:rPr>
        <w:t>telithromycin possibly increases plasma concentration</w:t>
      </w:r>
      <w:r>
        <w:rPr>
          <w:color w:val="231F1F"/>
          <w:spacing w:val="-14"/>
          <w:w w:val="115"/>
        </w:rPr>
        <w:t> </w:t>
      </w:r>
      <w:r>
        <w:rPr>
          <w:color w:val="231F1F"/>
          <w:w w:val="115"/>
        </w:rPr>
        <w:t>of</w:t>
      </w:r>
      <w:r>
        <w:rPr>
          <w:color w:val="231F1F"/>
          <w:spacing w:val="-13"/>
          <w:w w:val="115"/>
        </w:rPr>
        <w:t> </w:t>
      </w:r>
      <w:r>
        <w:rPr>
          <w:rFonts w:ascii="Arial"/>
          <w:color w:val="231F1F"/>
          <w:w w:val="355"/>
          <w:position w:val="1"/>
          <w:sz w:val="7"/>
        </w:rPr>
        <w:t>l</w:t>
      </w:r>
      <w:r>
        <w:rPr>
          <w:rFonts w:ascii="Arial"/>
          <w:color w:val="231F1F"/>
          <w:spacing w:val="-49"/>
          <w:w w:val="355"/>
          <w:position w:val="1"/>
          <w:sz w:val="7"/>
        </w:rPr>
        <w:t> </w:t>
      </w:r>
      <w:r>
        <w:rPr>
          <w:rFonts w:ascii="Calibri"/>
          <w:color w:val="008356"/>
          <w:spacing w:val="3"/>
          <w:w w:val="115"/>
          <w:sz w:val="11"/>
        </w:rPr>
        <w:t>IVACAFTOR</w:t>
      </w:r>
      <w:r>
        <w:rPr>
          <w:rFonts w:ascii="Calibri"/>
          <w:color w:val="008356"/>
          <w:spacing w:val="-3"/>
          <w:w w:val="115"/>
          <w:sz w:val="11"/>
        </w:rPr>
        <w:t> </w:t>
      </w:r>
      <w:r>
        <w:rPr>
          <w:color w:val="231F1F"/>
          <w:w w:val="115"/>
        </w:rPr>
        <w:t>(see</w:t>
      </w:r>
      <w:r>
        <w:rPr>
          <w:color w:val="231F1F"/>
          <w:spacing w:val="-13"/>
          <w:w w:val="115"/>
        </w:rPr>
        <w:t> </w:t>
      </w:r>
      <w:r>
        <w:rPr>
          <w:color w:val="231F1F"/>
          <w:w w:val="115"/>
        </w:rPr>
        <w:t>under</w:t>
      </w:r>
      <w:r>
        <w:rPr>
          <w:color w:val="231F1F"/>
          <w:spacing w:val="-13"/>
          <w:w w:val="115"/>
        </w:rPr>
        <w:t> </w:t>
      </w:r>
      <w:r>
        <w:rPr>
          <w:color w:val="231F1F"/>
          <w:w w:val="115"/>
        </w:rPr>
        <w:t>Ivacaftor,</w:t>
      </w:r>
      <w:r>
        <w:rPr>
          <w:color w:val="231F1F"/>
          <w:spacing w:val="9"/>
          <w:w w:val="115"/>
        </w:rPr>
        <w:t> </w:t>
      </w:r>
      <w:r>
        <w:rPr>
          <w:color w:val="231F1F"/>
          <w:w w:val="115"/>
        </w:rPr>
        <w:t>p.</w:t>
      </w:r>
      <w:r>
        <w:rPr>
          <w:color w:val="231F1F"/>
          <w:spacing w:val="-12"/>
          <w:w w:val="115"/>
        </w:rPr>
        <w:t> </w:t>
      </w:r>
      <w:r>
        <w:rPr>
          <w:color w:val="231F1F"/>
          <w:spacing w:val="-3"/>
          <w:w w:val="115"/>
        </w:rPr>
        <w:t>257)</w:t>
      </w:r>
    </w:p>
    <w:p>
      <w:pPr>
        <w:pStyle w:val="BodyText"/>
        <w:spacing w:line="244" w:lineRule="auto"/>
        <w:ind w:left="286" w:hanging="100"/>
      </w:pPr>
      <w:r>
        <w:rPr>
          <w:rFonts w:ascii="Arial"/>
          <w:color w:val="231F1F"/>
          <w:w w:val="355"/>
          <w:position w:val="1"/>
          <w:sz w:val="7"/>
        </w:rPr>
        <w:t>l </w:t>
      </w:r>
      <w:r>
        <w:rPr>
          <w:rFonts w:ascii="Calibri"/>
          <w:color w:val="231F1F"/>
          <w:w w:val="110"/>
        </w:rPr>
        <w:t>Lipid-regulating Drugs: </w:t>
      </w:r>
      <w:r>
        <w:rPr>
          <w:color w:val="231F1F"/>
          <w:w w:val="110"/>
        </w:rPr>
        <w:t>increased risk of myopathy when telithromycin given with </w:t>
      </w:r>
      <w:r>
        <w:rPr>
          <w:rFonts w:ascii="Arial"/>
          <w:color w:val="231F1F"/>
          <w:w w:val="355"/>
          <w:position w:val="1"/>
          <w:sz w:val="7"/>
        </w:rPr>
        <w:t>l </w:t>
      </w:r>
      <w:r>
        <w:rPr>
          <w:rFonts w:ascii="Calibri"/>
          <w:color w:val="008356"/>
          <w:w w:val="110"/>
          <w:sz w:val="11"/>
        </w:rPr>
        <w:t>ATORVASTATIN </w:t>
      </w:r>
      <w:r>
        <w:rPr>
          <w:color w:val="231F1F"/>
          <w:w w:val="110"/>
        </w:rPr>
        <w:t>or </w:t>
      </w:r>
      <w:r>
        <w:rPr>
          <w:rFonts w:ascii="Arial"/>
          <w:color w:val="231F1F"/>
          <w:w w:val="355"/>
          <w:position w:val="1"/>
          <w:sz w:val="7"/>
        </w:rPr>
        <w:t>l </w:t>
      </w:r>
      <w:r>
        <w:rPr>
          <w:rFonts w:ascii="Calibri"/>
          <w:color w:val="008356"/>
          <w:w w:val="110"/>
          <w:sz w:val="11"/>
        </w:rPr>
        <w:t>SIMVASTATIN </w:t>
      </w:r>
      <w:r>
        <w:rPr>
          <w:color w:val="231F1F"/>
          <w:w w:val="110"/>
        </w:rPr>
        <w:t>(avoid concomitant use); possible increased risk of myopathy when telithromycin given with </w:t>
      </w:r>
      <w:r>
        <w:rPr>
          <w:rFonts w:ascii="Calibri"/>
          <w:color w:val="008356"/>
          <w:w w:val="110"/>
          <w:sz w:val="11"/>
        </w:rPr>
        <w:t>PRAVASTATIN</w:t>
      </w:r>
      <w:r>
        <w:rPr>
          <w:color w:val="231F1F"/>
          <w:w w:val="110"/>
        </w:rPr>
        <w:t>; avoidance of telithromycin advised by manufacturer of </w:t>
      </w: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before="7"/>
        <w:ind w:left="0"/>
        <w:rPr>
          <w:sz w:val="14"/>
        </w:rPr>
      </w:pPr>
      <w:r>
        <w:rPr/>
        <w:br w:type="column"/>
      </w:r>
      <w:r>
        <w:rPr>
          <w:sz w:val="14"/>
        </w:rPr>
      </w:r>
    </w:p>
    <w:p>
      <w:pPr>
        <w:pStyle w:val="BodyText"/>
        <w:spacing w:line="144" w:lineRule="exact"/>
        <w:ind w:left="186"/>
        <w:rPr>
          <w:rFonts w:ascii="Calibri"/>
        </w:rPr>
      </w:pPr>
      <w:r>
        <w:rPr>
          <w:rFonts w:ascii="Arial"/>
          <w:color w:val="008356"/>
        </w:rPr>
        <w:t>Telithromycin </w:t>
      </w:r>
      <w:r>
        <w:rPr>
          <w:rFonts w:ascii="Calibri"/>
          <w:color w:val="231F1F"/>
        </w:rPr>
        <w:t>(continued)</w:t>
      </w:r>
    </w:p>
    <w:p>
      <w:pPr>
        <w:pStyle w:val="BodyText"/>
        <w:ind w:left="286" w:right="723" w:hanging="100"/>
        <w:rPr>
          <w:i/>
        </w:rPr>
      </w:pPr>
      <w:r>
        <w:rPr>
          <w:rFonts w:ascii="Arial"/>
          <w:color w:val="231F1F"/>
          <w:w w:val="165"/>
          <w:position w:val="1"/>
          <w:sz w:val="7"/>
        </w:rPr>
        <w:t>l</w:t>
      </w:r>
      <w:r>
        <w:rPr>
          <w:rFonts w:ascii="Arial"/>
          <w:color w:val="231F1F"/>
          <w:spacing w:val="-20"/>
          <w:w w:val="165"/>
          <w:position w:val="1"/>
          <w:sz w:val="7"/>
        </w:rPr>
        <w:t> </w:t>
      </w:r>
      <w:r>
        <w:rPr>
          <w:rFonts w:ascii="Calibri"/>
          <w:color w:val="231F1F"/>
          <w:w w:val="115"/>
        </w:rPr>
        <w:t>Pentamidine</w:t>
      </w:r>
      <w:r>
        <w:rPr>
          <w:rFonts w:ascii="Calibri"/>
          <w:color w:val="231F1F"/>
          <w:spacing w:val="-20"/>
          <w:w w:val="115"/>
        </w:rPr>
        <w:t> </w:t>
      </w:r>
      <w:r>
        <w:rPr>
          <w:rFonts w:ascii="Calibri"/>
          <w:color w:val="231F1F"/>
          <w:w w:val="115"/>
        </w:rPr>
        <w:t>Isetionate:</w:t>
      </w:r>
      <w:r>
        <w:rPr>
          <w:rFonts w:ascii="Calibri"/>
          <w:color w:val="231F1F"/>
          <w:spacing w:val="-21"/>
          <w:w w:val="115"/>
        </w:rPr>
        <w:t> </w:t>
      </w:r>
      <w:r>
        <w:rPr>
          <w:color w:val="231F1F"/>
          <w:w w:val="115"/>
        </w:rPr>
        <w:t>possible</w:t>
      </w:r>
      <w:r>
        <w:rPr>
          <w:color w:val="231F1F"/>
          <w:spacing w:val="-24"/>
          <w:w w:val="115"/>
        </w:rPr>
        <w:t> </w:t>
      </w:r>
      <w:r>
        <w:rPr>
          <w:color w:val="231F1F"/>
          <w:w w:val="115"/>
        </w:rPr>
        <w:t>increased</w:t>
      </w:r>
      <w:r>
        <w:rPr>
          <w:color w:val="231F1F"/>
          <w:spacing w:val="-25"/>
          <w:w w:val="115"/>
        </w:rPr>
        <w:t> </w:t>
      </w:r>
      <w:r>
        <w:rPr>
          <w:color w:val="231F1F"/>
          <w:w w:val="115"/>
        </w:rPr>
        <w:t>risk</w:t>
      </w:r>
      <w:r>
        <w:rPr>
          <w:color w:val="231F1F"/>
          <w:spacing w:val="-24"/>
          <w:w w:val="115"/>
        </w:rPr>
        <w:t> </w:t>
      </w:r>
      <w:r>
        <w:rPr>
          <w:color w:val="231F1F"/>
          <w:w w:val="115"/>
        </w:rPr>
        <w:t>of</w:t>
      </w:r>
      <w:r>
        <w:rPr>
          <w:color w:val="231F1F"/>
          <w:spacing w:val="-23"/>
          <w:w w:val="115"/>
        </w:rPr>
        <w:t> </w:t>
      </w:r>
      <w:r>
        <w:rPr>
          <w:color w:val="231F1F"/>
          <w:w w:val="115"/>
        </w:rPr>
        <w:t>ventricular arrhythmias</w:t>
      </w:r>
      <w:r>
        <w:rPr>
          <w:color w:val="231F1F"/>
          <w:spacing w:val="-9"/>
          <w:w w:val="115"/>
        </w:rPr>
        <w:t> </w:t>
      </w:r>
      <w:r>
        <w:rPr>
          <w:color w:val="231F1F"/>
          <w:w w:val="115"/>
        </w:rPr>
        <w:t>when</w:t>
      </w:r>
      <w:r>
        <w:rPr>
          <w:color w:val="231F1F"/>
          <w:spacing w:val="-7"/>
          <w:w w:val="115"/>
        </w:rPr>
        <w:t> </w:t>
      </w:r>
      <w:r>
        <w:rPr>
          <w:color w:val="231F1F"/>
          <w:w w:val="115"/>
        </w:rPr>
        <w:t>telithromycin</w:t>
      </w:r>
      <w:r>
        <w:rPr>
          <w:color w:val="231F1F"/>
          <w:spacing w:val="-9"/>
          <w:w w:val="115"/>
        </w:rPr>
        <w:t> </w:t>
      </w:r>
      <w:r>
        <w:rPr>
          <w:color w:val="231F1F"/>
          <w:w w:val="115"/>
        </w:rPr>
        <w:t>given</w:t>
      </w:r>
      <w:r>
        <w:rPr>
          <w:color w:val="231F1F"/>
          <w:spacing w:val="-7"/>
          <w:w w:val="115"/>
        </w:rPr>
        <w:t> </w:t>
      </w:r>
      <w:r>
        <w:rPr>
          <w:color w:val="231F1F"/>
          <w:w w:val="115"/>
        </w:rPr>
        <w:t>with</w:t>
      </w:r>
      <w:r>
        <w:rPr>
          <w:color w:val="231F1F"/>
          <w:spacing w:val="-7"/>
          <w:w w:val="115"/>
        </w:rPr>
        <w:t> </w:t>
      </w:r>
      <w:r>
        <w:rPr>
          <w:i/>
          <w:color w:val="231F1F"/>
          <w:w w:val="115"/>
        </w:rPr>
        <w:t>parenteral</w:t>
      </w:r>
    </w:p>
    <w:p>
      <w:pPr>
        <w:spacing w:line="133" w:lineRule="exact" w:before="9"/>
        <w:ind w:left="286" w:right="0" w:firstLine="0"/>
        <w:jc w:val="left"/>
        <w:rPr>
          <w:rFonts w:ascii="Calibri"/>
          <w:sz w:val="11"/>
        </w:rPr>
      </w:pPr>
      <w:r>
        <w:rPr>
          <w:rFonts w:ascii="Arial"/>
          <w:color w:val="231F1F"/>
          <w:w w:val="355"/>
          <w:position w:val="1"/>
          <w:sz w:val="7"/>
        </w:rPr>
        <w:t>l </w:t>
      </w:r>
      <w:r>
        <w:rPr>
          <w:rFonts w:ascii="Calibri"/>
          <w:color w:val="008356"/>
          <w:w w:val="110"/>
          <w:sz w:val="11"/>
        </w:rPr>
        <w:t>PENTAMIDINE ISETIONATE</w:t>
      </w:r>
    </w:p>
    <w:p>
      <w:pPr>
        <w:pStyle w:val="BodyText"/>
        <w:ind w:left="286" w:right="625" w:hanging="100"/>
      </w:pPr>
      <w:r>
        <w:rPr>
          <w:rFonts w:ascii="Arial" w:hAnsi="Arial"/>
          <w:color w:val="231F1F"/>
          <w:w w:val="355"/>
          <w:position w:val="1"/>
          <w:sz w:val="7"/>
        </w:rPr>
        <w:t>l </w:t>
      </w:r>
      <w:r>
        <w:rPr>
          <w:rFonts w:ascii="Calibri" w:hAnsi="Calibri"/>
          <w:color w:val="231F1F"/>
          <w:w w:val="120"/>
        </w:rPr>
        <w:t>Ranolazine: </w:t>
      </w:r>
      <w:r>
        <w:rPr>
          <w:color w:val="231F1F"/>
          <w:w w:val="120"/>
        </w:rPr>
        <w:t>telithromycin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spacing w:line="242" w:lineRule="auto" w:before="1"/>
        <w:ind w:left="286" w:right="545" w:hanging="100"/>
      </w:pPr>
      <w:r>
        <w:rPr>
          <w:rFonts w:ascii="Arial" w:hAnsi="Arial"/>
          <w:color w:val="231F1F"/>
          <w:w w:val="355"/>
          <w:position w:val="1"/>
          <w:sz w:val="7"/>
        </w:rPr>
        <w:t>l </w:t>
      </w:r>
      <w:r>
        <w:rPr>
          <w:rFonts w:ascii="Calibri" w:hAnsi="Calibri"/>
          <w:color w:val="231F1F"/>
          <w:w w:val="115"/>
        </w:rPr>
        <w:t>Sildenafil: </w:t>
      </w:r>
      <w:r>
        <w:rPr>
          <w:color w:val="231F1F"/>
          <w:w w:val="115"/>
        </w:rPr>
        <w:t>telithromycin possibly increases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2"/>
          <w:w w:val="115"/>
          <w:sz w:val="11"/>
        </w:rPr>
        <w:t>SILDENAFIL</w:t>
      </w:r>
      <w:r>
        <w:rPr>
          <w:rFonts w:ascii="Arial" w:hAnsi="Arial"/>
          <w:color w:val="231F1F"/>
          <w:spacing w:val="2"/>
          <w:w w:val="115"/>
        </w:rPr>
        <w:t>—</w:t>
      </w:r>
      <w:r>
        <w:rPr>
          <w:color w:val="231F1F"/>
          <w:spacing w:val="2"/>
          <w:w w:val="115"/>
        </w:rPr>
        <w:t>consider </w:t>
      </w:r>
      <w:r>
        <w:rPr>
          <w:color w:val="231F1F"/>
          <w:w w:val="115"/>
        </w:rPr>
        <w:t>reducing initial </w:t>
      </w:r>
      <w:r>
        <w:rPr>
          <w:color w:val="231F1F"/>
          <w:spacing w:val="-3"/>
          <w:w w:val="115"/>
        </w:rPr>
        <w:t>dose </w:t>
      </w:r>
      <w:r>
        <w:rPr>
          <w:color w:val="231F1F"/>
          <w:w w:val="115"/>
        </w:rPr>
        <w:t>of sildenafil for erectile dysfunction or reduce sildenafil dose frequency to once daily for pulmonary hypertension</w:t>
      </w:r>
    </w:p>
    <w:p>
      <w:pPr>
        <w:pStyle w:val="BodyText"/>
        <w:spacing w:line="146" w:lineRule="exact" w:before="2"/>
        <w:ind w:left="186"/>
      </w:pPr>
      <w:r>
        <w:rPr>
          <w:rFonts w:ascii="Arial"/>
          <w:color w:val="231F1F"/>
          <w:w w:val="355"/>
          <w:position w:val="1"/>
          <w:sz w:val="7"/>
        </w:rPr>
        <w:t>l </w:t>
      </w:r>
      <w:r>
        <w:rPr>
          <w:rFonts w:ascii="Calibri"/>
          <w:color w:val="231F1F"/>
          <w:w w:val="120"/>
        </w:rPr>
        <w:t>Sirolimus: </w:t>
      </w:r>
      <w:r>
        <w:rPr>
          <w:color w:val="231F1F"/>
          <w:w w:val="120"/>
        </w:rPr>
        <w:t>telithromycin increases plasma concentration of</w:t>
      </w:r>
    </w:p>
    <w:p>
      <w:pPr>
        <w:spacing w:line="140" w:lineRule="exact" w:before="0"/>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3"/>
          <w:w w:val="115"/>
          <w:sz w:val="11"/>
        </w:rPr>
        <w:t>SIROLIMUS</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left="286" w:right="670" w:hanging="100"/>
        <w:rPr>
          <w:rFonts w:ascii="Calibri"/>
          <w:sz w:val="11"/>
        </w:rPr>
      </w:pPr>
      <w:r>
        <w:rPr>
          <w:rFonts w:ascii="Arial"/>
          <w:color w:val="231F1F"/>
          <w:w w:val="355"/>
          <w:position w:val="1"/>
          <w:sz w:val="7"/>
        </w:rPr>
        <w:t>l </w:t>
      </w:r>
      <w:r>
        <w:rPr>
          <w:rFonts w:ascii="Calibri"/>
          <w:color w:val="231F1F"/>
          <w:w w:val="110"/>
        </w:rPr>
        <w:t>Tacrolimus: </w:t>
      </w:r>
      <w:r>
        <w:rPr>
          <w:color w:val="231F1F"/>
          <w:w w:val="110"/>
        </w:rPr>
        <w:t>telithromycin possibly increases plasma concentration of </w:t>
      </w:r>
      <w:r>
        <w:rPr>
          <w:rFonts w:ascii="Arial"/>
          <w:color w:val="231F1F"/>
          <w:w w:val="355"/>
          <w:position w:val="1"/>
          <w:sz w:val="7"/>
        </w:rPr>
        <w:t>l </w:t>
      </w:r>
      <w:r>
        <w:rPr>
          <w:rFonts w:ascii="Calibri"/>
          <w:color w:val="008356"/>
          <w:w w:val="110"/>
          <w:sz w:val="11"/>
        </w:rPr>
        <w:t>TACROLIMUS</w:t>
      </w:r>
    </w:p>
    <w:p>
      <w:pPr>
        <w:spacing w:line="220" w:lineRule="auto" w:before="4"/>
        <w:ind w:left="286" w:right="59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Ulipristal: </w:t>
      </w:r>
      <w:r>
        <w:rPr>
          <w:color w:val="231F1F"/>
          <w:w w:val="105"/>
          <w:sz w:val="12"/>
        </w:rPr>
        <w:t>avoidance  of  telithromycin  advised by  manufacturer of </w:t>
      </w:r>
      <w:r>
        <w:rPr>
          <w:i/>
          <w:color w:val="231F1F"/>
          <w:w w:val="105"/>
          <w:sz w:val="12"/>
        </w:rPr>
        <w:t>low-dose </w:t>
      </w:r>
      <w:r>
        <w:rPr>
          <w:rFonts w:ascii="Calibri" w:hAnsi="Calibri"/>
          <w:color w:val="008356"/>
          <w:w w:val="105"/>
          <w:sz w:val="11"/>
        </w:rPr>
        <w:t>ULIPRISTAL</w:t>
      </w:r>
    </w:p>
    <w:p>
      <w:pPr>
        <w:spacing w:line="220" w:lineRule="auto" w:before="9"/>
        <w:ind w:left="286"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2"/>
        <w:ind w:left="186"/>
      </w:pPr>
      <w:r>
        <w:rPr>
          <w:rFonts w:ascii="Trebuchet MS"/>
          <w:color w:val="008356"/>
          <w:w w:val="110"/>
        </w:rPr>
        <w:t>Telmisartan </w:t>
      </w:r>
      <w:r>
        <w:rPr>
          <w:i/>
          <w:color w:val="231F1F"/>
          <w:w w:val="110"/>
        </w:rPr>
        <w:t>see </w:t>
      </w:r>
      <w:r>
        <w:rPr>
          <w:color w:val="231F1F"/>
          <w:w w:val="110"/>
        </w:rPr>
        <w:t>Angiotensin-II Receptor Antagonists</w:t>
      </w:r>
    </w:p>
    <w:p>
      <w:pPr>
        <w:pStyle w:val="BodyText"/>
        <w:spacing w:before="10"/>
        <w:ind w:left="186"/>
      </w:pPr>
      <w:r>
        <w:rPr>
          <w:rFonts w:ascii="Trebuchet MS"/>
          <w:color w:val="008356"/>
          <w:w w:val="110"/>
        </w:rPr>
        <w:t>Temazepam </w:t>
      </w:r>
      <w:r>
        <w:rPr>
          <w:i/>
          <w:color w:val="231F1F"/>
          <w:w w:val="110"/>
        </w:rPr>
        <w:t>see </w:t>
      </w:r>
      <w:r>
        <w:rPr>
          <w:color w:val="231F1F"/>
          <w:w w:val="110"/>
        </w:rPr>
        <w:t>Anxiolytics and Hypnotics</w:t>
      </w:r>
    </w:p>
    <w:p>
      <w:pPr>
        <w:pStyle w:val="BodyText"/>
        <w:spacing w:before="11"/>
        <w:ind w:left="186"/>
      </w:pPr>
      <w:r>
        <w:rPr>
          <w:rFonts w:ascii="Trebuchet MS"/>
          <w:color w:val="008356"/>
          <w:w w:val="105"/>
        </w:rPr>
        <w:t>Temocillin </w:t>
      </w:r>
      <w:r>
        <w:rPr>
          <w:i/>
          <w:color w:val="231F1F"/>
          <w:w w:val="105"/>
        </w:rPr>
        <w:t>see </w:t>
      </w:r>
      <w:r>
        <w:rPr>
          <w:color w:val="231F1F"/>
          <w:w w:val="105"/>
        </w:rPr>
        <w:t>Penicillins</w:t>
      </w:r>
    </w:p>
    <w:p>
      <w:pPr>
        <w:pStyle w:val="BodyText"/>
        <w:spacing w:line="139" w:lineRule="exact" w:before="10"/>
        <w:ind w:left="186"/>
        <w:rPr>
          <w:rFonts w:ascii="Trebuchet MS"/>
        </w:rPr>
      </w:pPr>
      <w:r>
        <w:rPr>
          <w:rFonts w:ascii="Trebuchet MS"/>
          <w:color w:val="008356"/>
        </w:rPr>
        <w:t>Temoporfin</w:t>
      </w:r>
    </w:p>
    <w:p>
      <w:pPr>
        <w:spacing w:before="0"/>
        <w:ind w:left="286" w:right="670" w:hanging="100"/>
        <w:jc w:val="left"/>
        <w:rPr>
          <w:rFonts w:ascii="Calibri"/>
          <w:sz w:val="11"/>
        </w:rPr>
      </w:pPr>
      <w:r>
        <w:rPr>
          <w:rFonts w:ascii="Arial"/>
          <w:color w:val="231F1F"/>
          <w:w w:val="355"/>
          <w:position w:val="1"/>
          <w:sz w:val="7"/>
        </w:rPr>
        <w:t>l </w:t>
      </w:r>
      <w:r>
        <w:rPr>
          <w:rFonts w:ascii="Calibri"/>
          <w:color w:val="231F1F"/>
          <w:w w:val="110"/>
          <w:sz w:val="12"/>
        </w:rPr>
        <w:t>Cytotoxics: </w:t>
      </w:r>
      <w:r>
        <w:rPr>
          <w:color w:val="231F1F"/>
          <w:w w:val="110"/>
          <w:sz w:val="12"/>
        </w:rPr>
        <w:t>increased skin photosensitivity when temoporfin given with </w:t>
      </w:r>
      <w:r>
        <w:rPr>
          <w:i/>
          <w:color w:val="231F1F"/>
          <w:w w:val="110"/>
          <w:sz w:val="12"/>
        </w:rPr>
        <w:t>topical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FLUOROURACIL</w:t>
      </w:r>
    </w:p>
    <w:p>
      <w:pPr>
        <w:pStyle w:val="BodyText"/>
        <w:spacing w:line="139" w:lineRule="exact" w:before="7"/>
        <w:ind w:left="186"/>
        <w:rPr>
          <w:rFonts w:ascii="Trebuchet MS"/>
        </w:rPr>
      </w:pPr>
      <w:r>
        <w:rPr>
          <w:rFonts w:ascii="Trebuchet MS"/>
          <w:color w:val="008356"/>
        </w:rPr>
        <w:t>Temozolomide</w:t>
      </w:r>
    </w:p>
    <w:p>
      <w:pPr>
        <w:spacing w:line="220" w:lineRule="auto" w:before="9"/>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temozolomide increased by </w:t>
      </w:r>
      <w:r>
        <w:rPr>
          <w:rFonts w:ascii="Calibri" w:hAnsi="Calibri"/>
          <w:color w:val="008356"/>
          <w:w w:val="105"/>
          <w:sz w:val="11"/>
        </w:rPr>
        <w:t>SODIUM VALPROATE </w:t>
      </w:r>
      <w:r>
        <w:rPr>
          <w:color w:val="231F1F"/>
          <w:w w:val="105"/>
          <w:sz w:val="12"/>
        </w:rPr>
        <w:t>and </w:t>
      </w:r>
      <w:r>
        <w:rPr>
          <w:rFonts w:ascii="Calibri" w:hAnsi="Calibri"/>
          <w:color w:val="008356"/>
          <w:w w:val="105"/>
          <w:sz w:val="11"/>
        </w:rPr>
        <w:t>VALPROIC ACID</w:t>
      </w:r>
    </w:p>
    <w:p>
      <w:pPr>
        <w:pStyle w:val="BodyText"/>
        <w:spacing w:line="146"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before="8"/>
        <w:ind w:left="186"/>
        <w:rPr>
          <w:rFonts w:ascii="Trebuchet MS"/>
        </w:rPr>
      </w:pPr>
      <w:r>
        <w:rPr>
          <w:rFonts w:ascii="Trebuchet MS"/>
          <w:color w:val="008356"/>
        </w:rPr>
        <w:t>Temsirolimus</w:t>
      </w:r>
    </w:p>
    <w:p>
      <w:pPr>
        <w:pStyle w:val="BodyText"/>
        <w:spacing w:line="242" w:lineRule="auto" w:before="5"/>
        <w:ind w:left="286" w:right="670" w:hanging="1"/>
      </w:pPr>
      <w:r>
        <w:rPr>
          <w:rFonts w:ascii="Calibri" w:hAnsi="Calibri"/>
          <w:color w:val="008356"/>
          <w:w w:val="110"/>
          <w:sz w:val="11"/>
        </w:rPr>
        <w:t>NOTE </w:t>
      </w:r>
      <w:r>
        <w:rPr>
          <w:color w:val="231F1F"/>
          <w:w w:val="110"/>
        </w:rPr>
        <w:t>The main active metabolite of temsirolimus is sirolimus</w:t>
      </w:r>
      <w:r>
        <w:rPr>
          <w:rFonts w:ascii="Arial" w:hAnsi="Arial"/>
          <w:color w:val="231F1F"/>
          <w:w w:val="110"/>
        </w:rPr>
        <w:t>—</w:t>
      </w:r>
      <w:r>
        <w:rPr>
          <w:i/>
          <w:color w:val="231F1F"/>
          <w:w w:val="110"/>
        </w:rPr>
        <w:t>see also </w:t>
      </w:r>
      <w:r>
        <w:rPr>
          <w:color w:val="231F1F"/>
          <w:w w:val="110"/>
        </w:rPr>
        <w:t>interactions of sirolimus and consult product literature</w:t>
      </w:r>
    </w:p>
    <w:p>
      <w:pPr>
        <w:pStyle w:val="BodyText"/>
        <w:ind w:left="286" w:right="753" w:hanging="100"/>
        <w:jc w:val="both"/>
      </w:pP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231F1F"/>
          <w:w w:val="115"/>
        </w:rPr>
        <w:t>Antibacterials:</w:t>
      </w:r>
      <w:r>
        <w:rPr>
          <w:rFonts w:ascii="Calibri" w:hAnsi="Calibri"/>
          <w:color w:val="231F1F"/>
          <w:spacing w:val="-11"/>
          <w:w w:val="115"/>
        </w:rPr>
        <w:t> </w:t>
      </w:r>
      <w:r>
        <w:rPr>
          <w:color w:val="231F1F"/>
          <w:w w:val="115"/>
        </w:rPr>
        <w:t>plasma</w:t>
      </w:r>
      <w:r>
        <w:rPr>
          <w:color w:val="231F1F"/>
          <w:spacing w:val="-15"/>
          <w:w w:val="115"/>
        </w:rPr>
        <w:t> </w:t>
      </w:r>
      <w:r>
        <w:rPr>
          <w:color w:val="231F1F"/>
          <w:w w:val="115"/>
        </w:rPr>
        <w:t>concentration</w:t>
      </w:r>
      <w:r>
        <w:rPr>
          <w:color w:val="231F1F"/>
          <w:spacing w:val="-14"/>
          <w:w w:val="115"/>
        </w:rPr>
        <w:t> </w:t>
      </w:r>
      <w:r>
        <w:rPr>
          <w:color w:val="231F1F"/>
          <w:w w:val="115"/>
        </w:rPr>
        <w:t>of</w:t>
      </w:r>
      <w:r>
        <w:rPr>
          <w:color w:val="231F1F"/>
          <w:spacing w:val="-14"/>
          <w:w w:val="115"/>
        </w:rPr>
        <w:t> </w:t>
      </w:r>
      <w:r>
        <w:rPr>
          <w:color w:val="231F1F"/>
          <w:w w:val="115"/>
        </w:rPr>
        <w:t>active</w:t>
      </w:r>
      <w:r>
        <w:rPr>
          <w:color w:val="231F1F"/>
          <w:spacing w:val="-16"/>
          <w:w w:val="115"/>
        </w:rPr>
        <w:t> </w:t>
      </w:r>
      <w:r>
        <w:rPr>
          <w:color w:val="231F1F"/>
          <w:w w:val="115"/>
        </w:rPr>
        <w:t>metabolite</w:t>
      </w:r>
      <w:r>
        <w:rPr>
          <w:color w:val="231F1F"/>
          <w:spacing w:val="-14"/>
          <w:w w:val="115"/>
        </w:rPr>
        <w:t> </w:t>
      </w:r>
      <w:r>
        <w:rPr>
          <w:color w:val="231F1F"/>
          <w:spacing w:val="-6"/>
          <w:w w:val="115"/>
        </w:rPr>
        <w:t>of </w:t>
      </w:r>
      <w:r>
        <w:rPr>
          <w:color w:val="231F1F"/>
          <w:w w:val="115"/>
        </w:rPr>
        <w:t>temsirolimus</w:t>
      </w:r>
      <w:r>
        <w:rPr>
          <w:color w:val="231F1F"/>
          <w:spacing w:val="-24"/>
          <w:w w:val="115"/>
        </w:rPr>
        <w:t> </w:t>
      </w:r>
      <w:r>
        <w:rPr>
          <w:color w:val="231F1F"/>
          <w:w w:val="115"/>
        </w:rPr>
        <w:t>reduced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spacing w:val="2"/>
          <w:w w:val="115"/>
          <w:sz w:val="11"/>
        </w:rPr>
        <w:t>RIFAMPICIN</w:t>
      </w:r>
      <w:r>
        <w:rPr>
          <w:rFonts w:ascii="Arial" w:hAnsi="Arial"/>
          <w:color w:val="231F1F"/>
          <w:spacing w:val="2"/>
          <w:w w:val="115"/>
        </w:rPr>
        <w:t>—</w:t>
      </w:r>
      <w:r>
        <w:rPr>
          <w:color w:val="231F1F"/>
          <w:spacing w:val="2"/>
          <w:w w:val="115"/>
        </w:rPr>
        <w:t>avoid</w:t>
      </w:r>
      <w:r>
        <w:rPr>
          <w:color w:val="231F1F"/>
          <w:spacing w:val="-24"/>
          <w:w w:val="115"/>
        </w:rPr>
        <w:t> </w:t>
      </w:r>
      <w:r>
        <w:rPr>
          <w:color w:val="231F1F"/>
          <w:w w:val="115"/>
        </w:rPr>
        <w:t>concomitant use</w:t>
      </w:r>
    </w:p>
    <w:p>
      <w:pPr>
        <w:pStyle w:val="BodyText"/>
        <w:spacing w:line="242" w:lineRule="auto" w:before="2"/>
        <w:ind w:left="286" w:right="625"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active metabolite of temsirolimus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manufacturer of temsirolimus advises avoid concomitant use with </w:t>
      </w:r>
      <w:r>
        <w:rPr>
          <w:rFonts w:ascii="Arial" w:hAnsi="Arial"/>
          <w:color w:val="231F1F"/>
          <w:w w:val="355"/>
          <w:position w:val="1"/>
          <w:sz w:val="7"/>
        </w:rPr>
        <w:t>l </w:t>
      </w:r>
      <w:r>
        <w:rPr>
          <w:rFonts w:ascii="Calibri" w:hAnsi="Calibri"/>
          <w:color w:val="008356"/>
          <w:w w:val="110"/>
          <w:sz w:val="11"/>
        </w:rPr>
        <w:t>ITRACONAZOLE </w:t>
      </w:r>
      <w:r>
        <w:rPr>
          <w:color w:val="231F1F"/>
          <w:w w:val="110"/>
        </w:rPr>
        <w:t>(plasma concentration of temsirolimus possibly increased)</w:t>
      </w:r>
    </w:p>
    <w:p>
      <w:pPr>
        <w:pStyle w:val="BodyText"/>
        <w:spacing w:line="146" w:lineRule="exact" w:before="2"/>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before="7"/>
        <w:ind w:left="186"/>
        <w:rPr>
          <w:rFonts w:ascii="Trebuchet MS"/>
        </w:rPr>
      </w:pPr>
      <w:r>
        <w:rPr>
          <w:rFonts w:ascii="Trebuchet MS"/>
          <w:color w:val="008356"/>
        </w:rPr>
        <w:t>Tenofovir</w:t>
      </w:r>
    </w:p>
    <w:p>
      <w:pPr>
        <w:pStyle w:val="BodyText"/>
        <w:spacing w:line="244" w:lineRule="auto" w:before="1"/>
        <w:ind w:left="286" w:right="670" w:hanging="100"/>
        <w:rPr>
          <w:rFonts w:ascii="Calibri" w:hAnsi="Calibri"/>
          <w:sz w:val="11"/>
        </w:rPr>
      </w:pPr>
      <w:r>
        <w:rPr>
          <w:rFonts w:ascii="Arial" w:hAnsi="Arial"/>
          <w:color w:val="231F1F"/>
          <w:w w:val="355"/>
          <w:position w:val="1"/>
          <w:sz w:val="7"/>
        </w:rPr>
        <w:t>l </w:t>
      </w:r>
      <w:r>
        <w:rPr>
          <w:rFonts w:ascii="Calibri" w:hAnsi="Calibri"/>
          <w:color w:val="231F1F"/>
          <w:w w:val="110"/>
        </w:rPr>
        <w:t>Antivirals: </w:t>
      </w:r>
      <w:r>
        <w:rPr>
          <w:color w:val="231F1F"/>
          <w:w w:val="110"/>
        </w:rPr>
        <w:t>manufacturer of tenofovir advises avoid concomitant use with </w:t>
      </w:r>
      <w:r>
        <w:rPr>
          <w:rFonts w:ascii="Calibri" w:hAnsi="Calibri"/>
          <w:color w:val="008356"/>
          <w:w w:val="110"/>
          <w:sz w:val="11"/>
        </w:rPr>
        <w:t>ADEFOVIR</w:t>
      </w:r>
      <w:r>
        <w:rPr>
          <w:color w:val="231F1F"/>
          <w:w w:val="110"/>
        </w:rPr>
        <w:t>; tenofovir reduces plasma concentration of </w:t>
      </w:r>
      <w:r>
        <w:rPr>
          <w:rFonts w:ascii="Calibri" w:hAnsi="Calibri"/>
          <w:color w:val="008356"/>
          <w:w w:val="110"/>
          <w:sz w:val="11"/>
        </w:rPr>
        <w:t>ATAZANAVIR</w:t>
      </w:r>
      <w:r>
        <w:rPr>
          <w:color w:val="231F1F"/>
          <w:w w:val="110"/>
        </w:rPr>
        <w:t>, also plasma concentration of tenofovir possibly increased; tenofovir increases plasma concentration of </w:t>
      </w:r>
      <w:r>
        <w:rPr>
          <w:rFonts w:ascii="Arial" w:hAnsi="Arial"/>
          <w:color w:val="231F1F"/>
          <w:w w:val="355"/>
          <w:position w:val="1"/>
          <w:sz w:val="7"/>
        </w:rPr>
        <w:t>l </w:t>
      </w:r>
      <w:r>
        <w:rPr>
          <w:rFonts w:ascii="Calibri" w:hAnsi="Calibri"/>
          <w:color w:val="008356"/>
          <w:w w:val="110"/>
          <w:sz w:val="11"/>
        </w:rPr>
        <w:t>DIDANOSINE </w:t>
      </w:r>
      <w:r>
        <w:rPr>
          <w:color w:val="231F1F"/>
          <w:w w:val="110"/>
        </w:rPr>
        <w:t>(increased risk of toxicity)</w:t>
      </w:r>
      <w:r>
        <w:rPr>
          <w:rFonts w:ascii="Arial" w:hAnsi="Arial"/>
          <w:color w:val="231F1F"/>
          <w:w w:val="110"/>
        </w:rPr>
        <w:t>— </w:t>
      </w:r>
      <w:r>
        <w:rPr>
          <w:color w:val="231F1F"/>
          <w:w w:val="110"/>
        </w:rPr>
        <w:t>avoid concomitant use; plasma concentration of tenofovir increased by </w:t>
      </w:r>
      <w:r>
        <w:rPr>
          <w:rFonts w:ascii="Calibri" w:hAnsi="Calibri"/>
          <w:color w:val="008356"/>
          <w:w w:val="110"/>
          <w:sz w:val="11"/>
        </w:rPr>
        <w:t>LOPINAVIR </w:t>
      </w:r>
      <w:r>
        <w:rPr>
          <w:color w:val="231F1F"/>
          <w:w w:val="110"/>
        </w:rPr>
        <w:t>and </w:t>
      </w:r>
      <w:r>
        <w:rPr>
          <w:rFonts w:ascii="Calibri" w:hAnsi="Calibri"/>
          <w:color w:val="008356"/>
          <w:w w:val="110"/>
          <w:sz w:val="11"/>
        </w:rPr>
        <w:t>TELAPREVIR</w:t>
      </w:r>
    </w:p>
    <w:p>
      <w:pPr>
        <w:pStyle w:val="BodyText"/>
        <w:spacing w:line="140" w:lineRule="exact"/>
        <w:ind w:left="186"/>
      </w:pPr>
      <w:r>
        <w:rPr>
          <w:rFonts w:ascii="Arial"/>
          <w:color w:val="231F1F"/>
          <w:w w:val="355"/>
          <w:position w:val="1"/>
          <w:sz w:val="7"/>
        </w:rPr>
        <w:t>l </w:t>
      </w:r>
      <w:r>
        <w:rPr>
          <w:rFonts w:ascii="Calibri"/>
          <w:color w:val="231F1F"/>
          <w:w w:val="115"/>
        </w:rPr>
        <w:t>Orlistat: </w:t>
      </w:r>
      <w:r>
        <w:rPr>
          <w:color w:val="231F1F"/>
          <w:w w:val="115"/>
        </w:rPr>
        <w:t>absorption of tenofovir possibly reduced by</w:t>
      </w:r>
    </w:p>
    <w:p>
      <w:pPr>
        <w:spacing w:before="6"/>
        <w:ind w:left="286" w:right="0" w:firstLine="0"/>
        <w:jc w:val="left"/>
        <w:rPr>
          <w:rFonts w:ascii="Calibri"/>
          <w:sz w:val="11"/>
        </w:rPr>
      </w:pPr>
      <w:r>
        <w:rPr>
          <w:rFonts w:ascii="Arial"/>
          <w:color w:val="231F1F"/>
          <w:w w:val="110"/>
          <w:position w:val="1"/>
          <w:sz w:val="7"/>
        </w:rPr>
        <w:t>l</w:t>
      </w:r>
      <w:r>
        <w:rPr>
          <w:rFonts w:ascii="Arial"/>
          <w:color w:val="231F1F"/>
          <w:spacing w:val="10"/>
          <w:w w:val="110"/>
          <w:position w:val="1"/>
          <w:sz w:val="7"/>
        </w:rPr>
        <w:t> </w:t>
      </w:r>
      <w:r>
        <w:rPr>
          <w:rFonts w:ascii="Calibri"/>
          <w:color w:val="008356"/>
          <w:spacing w:val="3"/>
          <w:w w:val="110"/>
          <w:sz w:val="11"/>
        </w:rPr>
        <w:t>ORLISTAT</w:t>
      </w:r>
    </w:p>
    <w:p>
      <w:pPr>
        <w:pStyle w:val="BodyText"/>
        <w:spacing w:line="256" w:lineRule="auto" w:before="8"/>
        <w:ind w:left="186" w:right="2366"/>
        <w:rPr>
          <w:rFonts w:ascii="Trebuchet MS"/>
        </w:rPr>
      </w:pPr>
      <w:r>
        <w:rPr>
          <w:rFonts w:ascii="Trebuchet MS"/>
          <w:color w:val="008356"/>
          <w:w w:val="105"/>
        </w:rPr>
        <w:t>Tenoxicam </w:t>
      </w:r>
      <w:r>
        <w:rPr>
          <w:i/>
          <w:color w:val="231F1F"/>
          <w:w w:val="105"/>
        </w:rPr>
        <w:t>see </w:t>
      </w:r>
      <w:r>
        <w:rPr>
          <w:color w:val="231F1F"/>
          <w:w w:val="105"/>
        </w:rPr>
        <w:t>NSAIDs </w:t>
      </w:r>
      <w:r>
        <w:rPr>
          <w:rFonts w:ascii="Trebuchet MS"/>
          <w:color w:val="008356"/>
          <w:w w:val="105"/>
        </w:rPr>
        <w:t>Terazosin </w:t>
      </w:r>
      <w:r>
        <w:rPr>
          <w:i/>
          <w:color w:val="231F1F"/>
          <w:w w:val="105"/>
        </w:rPr>
        <w:t>see </w:t>
      </w:r>
      <w:r>
        <w:rPr>
          <w:color w:val="231F1F"/>
          <w:w w:val="105"/>
        </w:rPr>
        <w:t>Alpha-blockers </w:t>
      </w:r>
      <w:r>
        <w:rPr>
          <w:rFonts w:ascii="Trebuchet MS"/>
          <w:color w:val="008356"/>
          <w:w w:val="105"/>
        </w:rPr>
        <w:t>Terbinafine</w:t>
      </w:r>
    </w:p>
    <w:p>
      <w:pPr>
        <w:pStyle w:val="BodyText"/>
        <w:spacing w:line="138" w:lineRule="exact"/>
        <w:ind w:left="186"/>
      </w:pPr>
      <w:r>
        <w:rPr>
          <w:rFonts w:ascii="Arial"/>
          <w:color w:val="231F1F"/>
          <w:w w:val="355"/>
          <w:position w:val="1"/>
          <w:sz w:val="7"/>
        </w:rPr>
        <w:t>l </w:t>
      </w:r>
      <w:r>
        <w:rPr>
          <w:rFonts w:ascii="Calibri"/>
          <w:color w:val="231F1F"/>
          <w:w w:val="115"/>
        </w:rPr>
        <w:t>Antibacterials: </w:t>
      </w:r>
      <w:r>
        <w:rPr>
          <w:color w:val="231F1F"/>
          <w:w w:val="115"/>
        </w:rPr>
        <w:t>plasma concentration of terbinafine reduced by</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RIFAMPICIN</w:t>
      </w:r>
    </w:p>
    <w:p>
      <w:pPr>
        <w:spacing w:line="220" w:lineRule="auto" w:before="7"/>
        <w:ind w:left="286"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terbinafine possibly increases plasma concentration of </w:t>
      </w:r>
      <w:r>
        <w:rPr>
          <w:rFonts w:ascii="Calibri" w:hAnsi="Calibri"/>
          <w:color w:val="008356"/>
          <w:w w:val="105"/>
          <w:sz w:val="11"/>
        </w:rPr>
        <w:t>PAROXETINE </w:t>
      </w:r>
      <w:r>
        <w:rPr>
          <w:color w:val="231F1F"/>
          <w:w w:val="105"/>
          <w:sz w:val="12"/>
        </w:rPr>
        <w:t>and </w:t>
      </w:r>
      <w:r>
        <w:rPr>
          <w:rFonts w:ascii="Calibri" w:hAnsi="Calibri"/>
          <w:color w:val="008356"/>
          <w:w w:val="105"/>
          <w:sz w:val="11"/>
        </w:rPr>
        <w:t>TRICYCLICS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Antifungals: </w:t>
      </w:r>
      <w:r>
        <w:rPr>
          <w:color w:val="231F1F"/>
          <w:w w:val="105"/>
        </w:rPr>
        <w:t>terbinafine increases plasma concentration of</w:t>
      </w:r>
    </w:p>
    <w:p>
      <w:pPr>
        <w:spacing w:line="130" w:lineRule="exact" w:before="0"/>
        <w:ind w:left="286" w:right="0" w:firstLine="0"/>
        <w:jc w:val="left"/>
        <w:rPr>
          <w:rFonts w:ascii="Calibri"/>
          <w:sz w:val="11"/>
        </w:rPr>
      </w:pPr>
      <w:r>
        <w:rPr>
          <w:rFonts w:ascii="Calibri"/>
          <w:color w:val="008356"/>
          <w:sz w:val="11"/>
        </w:rPr>
        <w:t>FLUCONAZOLE</w:t>
      </w:r>
    </w:p>
    <w:p>
      <w:pPr>
        <w:pStyle w:val="BodyText"/>
        <w:spacing w:line="220" w:lineRule="auto" w:before="8"/>
        <w:ind w:left="286" w:right="625"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terbinafine  possibly  reduces  plasma  </w:t>
      </w:r>
      <w:r>
        <w:rPr>
          <w:color w:val="231F1F"/>
          <w:spacing w:val="-2"/>
          <w:w w:val="105"/>
        </w:rPr>
        <w:t>concentration </w:t>
      </w:r>
      <w:r>
        <w:rPr>
          <w:color w:val="231F1F"/>
          <w:w w:val="105"/>
        </w:rPr>
        <w:t>of </w:t>
      </w:r>
      <w:r>
        <w:rPr>
          <w:rFonts w:ascii="Calibri" w:hAnsi="Calibri"/>
          <w:color w:val="008356"/>
          <w:spacing w:val="4"/>
          <w:w w:val="105"/>
          <w:sz w:val="11"/>
        </w:rPr>
        <w:t>CICLOSPORIN</w:t>
      </w:r>
    </w:p>
    <w:p>
      <w:pPr>
        <w:pStyle w:val="BodyText"/>
        <w:spacing w:line="230" w:lineRule="auto" w:before="5"/>
        <w:ind w:left="286" w:right="597" w:hanging="100"/>
      </w:pPr>
      <w:r>
        <w:rPr>
          <w:rFonts w:ascii="Lucida Sans Unicode" w:hAnsi="Lucida Sans Unicode"/>
          <w:color w:val="A7A8AC"/>
          <w:w w:val="95"/>
          <w:sz w:val="10"/>
        </w:rPr>
        <w:t>▶ </w:t>
      </w:r>
      <w:r>
        <w:rPr>
          <w:rFonts w:ascii="Calibri" w:hAnsi="Calibri"/>
          <w:color w:val="231F1F"/>
          <w:w w:val="110"/>
        </w:rPr>
        <w:t>Oestrogens: </w:t>
      </w:r>
      <w:r>
        <w:rPr>
          <w:color w:val="231F1F"/>
          <w:w w:val="110"/>
        </w:rPr>
        <w:t>occasional reports of breakthrough bleeding </w:t>
      </w:r>
      <w:r>
        <w:rPr>
          <w:color w:val="231F1F"/>
          <w:spacing w:val="-4"/>
          <w:w w:val="110"/>
        </w:rPr>
        <w:t>when </w:t>
      </w:r>
      <w:r>
        <w:rPr>
          <w:color w:val="231F1F"/>
          <w:w w:val="110"/>
        </w:rPr>
        <w:t>terbinafine given with </w:t>
      </w:r>
      <w:r>
        <w:rPr>
          <w:rFonts w:ascii="Calibri" w:hAnsi="Calibri"/>
          <w:color w:val="008356"/>
          <w:spacing w:val="4"/>
          <w:w w:val="110"/>
          <w:sz w:val="11"/>
        </w:rPr>
        <w:t>OESTROGENS </w:t>
      </w:r>
      <w:r>
        <w:rPr>
          <w:color w:val="231F1F"/>
          <w:w w:val="110"/>
        </w:rPr>
        <w:t>(when used for contraception)</w:t>
      </w:r>
    </w:p>
    <w:p>
      <w:pPr>
        <w:pStyle w:val="BodyText"/>
        <w:spacing w:line="230" w:lineRule="auto" w:before="7"/>
        <w:ind w:left="286" w:right="756" w:hanging="100"/>
      </w:pPr>
      <w:r>
        <w:rPr>
          <w:rFonts w:ascii="Lucida Sans Unicode" w:hAnsi="Lucida Sans Unicode"/>
          <w:color w:val="A7A8AC"/>
          <w:w w:val="95"/>
          <w:sz w:val="10"/>
        </w:rPr>
        <w:t>▶ </w:t>
      </w:r>
      <w:r>
        <w:rPr>
          <w:rFonts w:ascii="Calibri" w:hAnsi="Calibri"/>
          <w:color w:val="231F1F"/>
          <w:w w:val="110"/>
        </w:rPr>
        <w:t>Progestogens: </w:t>
      </w:r>
      <w:r>
        <w:rPr>
          <w:color w:val="231F1F"/>
          <w:w w:val="110"/>
        </w:rPr>
        <w:t>occasional reports of breakthrough bleeding when terbinafine given with </w:t>
      </w:r>
      <w:r>
        <w:rPr>
          <w:rFonts w:ascii="Calibri" w:hAnsi="Calibri"/>
          <w:color w:val="008356"/>
          <w:spacing w:val="4"/>
          <w:w w:val="110"/>
          <w:sz w:val="11"/>
        </w:rPr>
        <w:t>PROGESTOGENS </w:t>
      </w:r>
      <w:r>
        <w:rPr>
          <w:color w:val="231F1F"/>
          <w:w w:val="110"/>
        </w:rPr>
        <w:t>(when</w:t>
      </w:r>
      <w:r>
        <w:rPr>
          <w:color w:val="231F1F"/>
          <w:spacing w:val="-25"/>
          <w:w w:val="110"/>
        </w:rPr>
        <w:t> </w:t>
      </w:r>
      <w:r>
        <w:rPr>
          <w:color w:val="231F1F"/>
          <w:w w:val="110"/>
        </w:rPr>
        <w:t>used for contraception)</w:t>
      </w:r>
    </w:p>
    <w:p>
      <w:pPr>
        <w:pStyle w:val="BodyText"/>
        <w:spacing w:line="220" w:lineRule="auto" w:before="12"/>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Ulcer-healing Drugs: </w:t>
      </w:r>
      <w:r>
        <w:rPr>
          <w:color w:val="231F1F"/>
          <w:w w:val="105"/>
        </w:rPr>
        <w:t>plasma concentration of terbinafine increased by </w:t>
      </w:r>
      <w:r>
        <w:rPr>
          <w:rFonts w:ascii="Calibri" w:hAnsi="Calibri"/>
          <w:color w:val="008356"/>
          <w:w w:val="105"/>
          <w:sz w:val="11"/>
        </w:rPr>
        <w:t>CIMETIDINE</w:t>
      </w:r>
    </w:p>
    <w:p>
      <w:pPr>
        <w:pStyle w:val="BodyText"/>
        <w:spacing w:before="9"/>
        <w:ind w:left="186"/>
        <w:jc w:val="both"/>
      </w:pPr>
      <w:r>
        <w:rPr>
          <w:rFonts w:ascii="Trebuchet MS"/>
          <w:color w:val="008356"/>
          <w:w w:val="110"/>
        </w:rPr>
        <w:t>Terbutaline </w:t>
      </w:r>
      <w:r>
        <w:rPr>
          <w:i/>
          <w:color w:val="231F1F"/>
          <w:w w:val="110"/>
        </w:rPr>
        <w:t>see </w:t>
      </w:r>
      <w:r>
        <w:rPr>
          <w:color w:val="231F1F"/>
          <w:w w:val="110"/>
        </w:rPr>
        <w:t>Sympathomimetics, Beta</w:t>
      </w:r>
      <w:r>
        <w:rPr>
          <w:color w:val="231F1F"/>
          <w:w w:val="110"/>
          <w:vertAlign w:val="subscript"/>
        </w:rPr>
        <w:t>2</w:t>
      </w:r>
    </w:p>
    <w:p>
      <w:pPr>
        <w:spacing w:after="0"/>
        <w:jc w:val="both"/>
        <w:sectPr>
          <w:headerReference w:type="even" r:id="rId52"/>
          <w:headerReference w:type="default" r:id="rId53"/>
          <w:pgSz w:w="8390" w:h="11910"/>
          <w:pgMar w:header="0" w:footer="0" w:top="460" w:bottom="280" w:left="480" w:right="0"/>
          <w:cols w:num="2" w:equalWidth="0">
            <w:col w:w="3632" w:space="44"/>
            <w:col w:w="4234"/>
          </w:cols>
        </w:sectPr>
      </w:pPr>
    </w:p>
    <w:p>
      <w:pPr>
        <w:pStyle w:val="BodyText"/>
        <w:spacing w:before="3"/>
        <w:ind w:left="0"/>
        <w:rPr>
          <w:sz w:val="15"/>
        </w:rPr>
      </w:pPr>
    </w:p>
    <w:p>
      <w:pPr>
        <w:pStyle w:val="BodyText"/>
        <w:spacing w:line="139" w:lineRule="exact" w:before="1"/>
        <w:ind w:left="108"/>
        <w:rPr>
          <w:rFonts w:ascii="Trebuchet MS"/>
        </w:rPr>
      </w:pPr>
      <w:r>
        <w:rPr>
          <w:rFonts w:ascii="Trebuchet MS"/>
          <w:color w:val="008356"/>
        </w:rPr>
        <w:t>Teriflunomide</w:t>
      </w:r>
    </w:p>
    <w:p>
      <w:pPr>
        <w:pStyle w:val="BodyText"/>
        <w:spacing w:line="230" w:lineRule="auto" w:before="4"/>
        <w:ind w:right="120" w:hanging="100"/>
        <w:jc w:val="both"/>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teriflunomide increases plasma concentration of </w:t>
      </w:r>
      <w:r>
        <w:rPr>
          <w:rFonts w:ascii="Calibri" w:hAnsi="Calibri"/>
          <w:color w:val="008356"/>
          <w:w w:val="110"/>
          <w:sz w:val="11"/>
        </w:rPr>
        <w:t>CEFACLOR</w:t>
      </w:r>
      <w:r>
        <w:rPr>
          <w:color w:val="231F1F"/>
          <w:w w:val="110"/>
        </w:rPr>
        <w:t>; plasma concentration of teriflunomide reduced by </w:t>
      </w:r>
      <w:r>
        <w:rPr>
          <w:rFonts w:ascii="Calibri" w:hAnsi="Calibri"/>
          <w:color w:val="008356"/>
          <w:w w:val="110"/>
          <w:sz w:val="11"/>
        </w:rPr>
        <w:t>RIFAMPICIN</w:t>
      </w:r>
    </w:p>
    <w:p>
      <w:pPr>
        <w:pStyle w:val="BodyText"/>
        <w:spacing w:line="156" w:lineRule="exact"/>
        <w:ind w:left="108"/>
      </w:pPr>
      <w:r>
        <w:rPr>
          <w:rFonts w:ascii="Lucida Sans Unicode" w:hAnsi="Lucida Sans Unicode"/>
          <w:color w:val="A7A8AC"/>
          <w:w w:val="95"/>
          <w:sz w:val="10"/>
        </w:rPr>
        <w:t>▶ </w:t>
      </w:r>
      <w:r>
        <w:rPr>
          <w:rFonts w:ascii="Calibri" w:hAnsi="Calibri"/>
          <w:color w:val="231F1F"/>
          <w:w w:val="105"/>
        </w:rPr>
        <w:t>Antidiabetics: </w:t>
      </w:r>
      <w:r>
        <w:rPr>
          <w:color w:val="231F1F"/>
          <w:w w:val="105"/>
        </w:rPr>
        <w:t>teriflunomide increases plasma concentration of</w:t>
      </w:r>
    </w:p>
    <w:p>
      <w:pPr>
        <w:spacing w:line="130" w:lineRule="exact" w:before="0"/>
        <w:ind w:left="208" w:right="0" w:firstLine="0"/>
        <w:jc w:val="left"/>
        <w:rPr>
          <w:rFonts w:ascii="Calibri"/>
          <w:sz w:val="11"/>
        </w:rPr>
      </w:pPr>
      <w:r>
        <w:rPr>
          <w:rFonts w:ascii="Calibri"/>
          <w:color w:val="008356"/>
          <w:sz w:val="11"/>
        </w:rPr>
        <w:t>REPAGLINIDE</w:t>
      </w:r>
    </w:p>
    <w:p>
      <w:pPr>
        <w:pStyle w:val="BodyText"/>
        <w:spacing w:line="244" w:lineRule="auto"/>
        <w:ind w:hanging="100"/>
      </w:pPr>
      <w:r>
        <w:rPr>
          <w:rFonts w:ascii="Arial" w:hAnsi="Arial"/>
          <w:color w:val="231F1F"/>
          <w:w w:val="355"/>
          <w:position w:val="1"/>
          <w:sz w:val="7"/>
        </w:rPr>
        <w:t>l </w:t>
      </w:r>
      <w:r>
        <w:rPr>
          <w:rFonts w:ascii="Calibri" w:hAnsi="Calibri"/>
          <w:color w:val="231F1F"/>
          <w:w w:val="110"/>
        </w:rPr>
        <w:t>Lipid-regulating Drugs: </w:t>
      </w:r>
      <w:r>
        <w:rPr>
          <w:color w:val="231F1F"/>
          <w:w w:val="110"/>
        </w:rPr>
        <w:t>the effect of teriflunomide is significantly decreased by </w:t>
      </w:r>
      <w:r>
        <w:rPr>
          <w:rFonts w:ascii="Calibri" w:hAnsi="Calibri"/>
          <w:color w:val="008356"/>
          <w:w w:val="110"/>
          <w:sz w:val="11"/>
        </w:rPr>
        <w:t>COLESTYRAMINE </w:t>
      </w:r>
      <w:r>
        <w:rPr>
          <w:color w:val="231F1F"/>
          <w:w w:val="110"/>
        </w:rPr>
        <w:t>(enhanced elimination)</w:t>
      </w:r>
      <w:r>
        <w:rPr>
          <w:rFonts w:ascii="Arial" w:hAnsi="Arial"/>
          <w:color w:val="231F1F"/>
          <w:w w:val="110"/>
        </w:rPr>
        <w:t>—</w:t>
      </w:r>
      <w:r>
        <w:rPr>
          <w:color w:val="231F1F"/>
          <w:w w:val="110"/>
        </w:rPr>
        <w:t>avoid unless drug elimination desired; teriflunomide increases plasma concentration of</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10"/>
          <w:sz w:val="11"/>
        </w:rPr>
        <w:t>ROSUVASTATIN </w:t>
      </w:r>
      <w:r>
        <w:rPr>
          <w:color w:val="231F1F"/>
          <w:w w:val="110"/>
          <w:sz w:val="12"/>
        </w:rPr>
        <w:t>(consider reducing dose of rosuvastatin)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Oestrogens: </w:t>
      </w:r>
      <w:r>
        <w:rPr>
          <w:color w:val="231F1F"/>
          <w:w w:val="105"/>
        </w:rPr>
        <w:t>teriflunomide increases plasma concentration of</w:t>
      </w:r>
    </w:p>
    <w:p>
      <w:pPr>
        <w:spacing w:line="131" w:lineRule="exact" w:before="0"/>
        <w:ind w:left="208" w:right="0" w:firstLine="0"/>
        <w:jc w:val="left"/>
        <w:rPr>
          <w:rFonts w:ascii="Calibri"/>
          <w:sz w:val="11"/>
        </w:rPr>
      </w:pPr>
      <w:r>
        <w:rPr>
          <w:rFonts w:ascii="Calibri"/>
          <w:color w:val="008356"/>
          <w:sz w:val="11"/>
        </w:rPr>
        <w:t>ETHINYLESTRADIOL</w:t>
      </w:r>
    </w:p>
    <w:p>
      <w:pPr>
        <w:pStyle w:val="BodyText"/>
        <w:spacing w:line="220" w:lineRule="auto" w:before="7"/>
        <w:ind w:right="237" w:hanging="100"/>
        <w:rPr>
          <w:rFonts w:ascii="Calibri" w:hAnsi="Calibri"/>
          <w:sz w:val="11"/>
        </w:rPr>
      </w:pPr>
      <w:r>
        <w:rPr>
          <w:rFonts w:ascii="Lucida Sans Unicode" w:hAnsi="Lucida Sans Unicode"/>
          <w:color w:val="A7A8AC"/>
          <w:w w:val="95"/>
          <w:sz w:val="10"/>
        </w:rPr>
        <w:t>▶ </w:t>
      </w:r>
      <w:r>
        <w:rPr>
          <w:rFonts w:ascii="Calibri" w:hAnsi="Calibri"/>
          <w:color w:val="231F1F"/>
          <w:w w:val="105"/>
        </w:rPr>
        <w:t>Progestogens: </w:t>
      </w:r>
      <w:r>
        <w:rPr>
          <w:color w:val="231F1F"/>
          <w:w w:val="105"/>
        </w:rPr>
        <w:t>teriflunomide  increases  plasma  </w:t>
      </w:r>
      <w:r>
        <w:rPr>
          <w:color w:val="231F1F"/>
          <w:spacing w:val="-2"/>
          <w:w w:val="105"/>
        </w:rPr>
        <w:t>concentration </w:t>
      </w:r>
      <w:r>
        <w:rPr>
          <w:color w:val="231F1F"/>
          <w:w w:val="105"/>
        </w:rPr>
        <w:t>of</w:t>
      </w:r>
      <w:r>
        <w:rPr>
          <w:color w:val="231F1F"/>
          <w:spacing w:val="-1"/>
          <w:w w:val="105"/>
        </w:rPr>
        <w:t> </w:t>
      </w:r>
      <w:r>
        <w:rPr>
          <w:rFonts w:ascii="Calibri" w:hAnsi="Calibri"/>
          <w:color w:val="008356"/>
          <w:spacing w:val="4"/>
          <w:w w:val="105"/>
          <w:sz w:val="11"/>
        </w:rPr>
        <w:t>LEVONORGESTREL</w:t>
      </w:r>
    </w:p>
    <w:p>
      <w:pPr>
        <w:pStyle w:val="BodyText"/>
        <w:ind w:right="222" w:hanging="100"/>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Vaccines:</w:t>
      </w:r>
      <w:r>
        <w:rPr>
          <w:rFonts w:ascii="Calibri" w:hAnsi="Calibri"/>
          <w:color w:val="231F1F"/>
          <w:spacing w:val="-9"/>
          <w:w w:val="115"/>
        </w:rPr>
        <w:t> </w:t>
      </w:r>
      <w:r>
        <w:rPr>
          <w:color w:val="231F1F"/>
          <w:w w:val="115"/>
        </w:rPr>
        <w:t>risk</w:t>
      </w:r>
      <w:r>
        <w:rPr>
          <w:color w:val="231F1F"/>
          <w:spacing w:val="-12"/>
          <w:w w:val="115"/>
        </w:rPr>
        <w:t> </w:t>
      </w:r>
      <w:r>
        <w:rPr>
          <w:color w:val="231F1F"/>
          <w:w w:val="115"/>
        </w:rPr>
        <w:t>of</w:t>
      </w:r>
      <w:r>
        <w:rPr>
          <w:color w:val="231F1F"/>
          <w:spacing w:val="-13"/>
          <w:w w:val="115"/>
        </w:rPr>
        <w:t> </w:t>
      </w:r>
      <w:r>
        <w:rPr>
          <w:color w:val="231F1F"/>
          <w:w w:val="115"/>
        </w:rPr>
        <w:t>generalised</w:t>
      </w:r>
      <w:r>
        <w:rPr>
          <w:color w:val="231F1F"/>
          <w:spacing w:val="-13"/>
          <w:w w:val="115"/>
        </w:rPr>
        <w:t> </w:t>
      </w:r>
      <w:r>
        <w:rPr>
          <w:color w:val="231F1F"/>
          <w:w w:val="115"/>
        </w:rPr>
        <w:t>infections</w:t>
      </w:r>
      <w:r>
        <w:rPr>
          <w:color w:val="231F1F"/>
          <w:spacing w:val="-13"/>
          <w:w w:val="115"/>
        </w:rPr>
        <w:t> </w:t>
      </w:r>
      <w:r>
        <w:rPr>
          <w:color w:val="231F1F"/>
          <w:w w:val="115"/>
        </w:rPr>
        <w:t>when</w:t>
      </w:r>
      <w:r>
        <w:rPr>
          <w:color w:val="231F1F"/>
          <w:spacing w:val="-13"/>
          <w:w w:val="115"/>
        </w:rPr>
        <w:t> </w:t>
      </w:r>
      <w:r>
        <w:rPr>
          <w:color w:val="231F1F"/>
          <w:spacing w:val="-2"/>
          <w:w w:val="115"/>
        </w:rPr>
        <w:t>teriflunomide </w:t>
      </w:r>
      <w:r>
        <w:rPr>
          <w:color w:val="231F1F"/>
          <w:w w:val="115"/>
        </w:rPr>
        <w:t>given</w:t>
      </w:r>
      <w:r>
        <w:rPr>
          <w:color w:val="231F1F"/>
          <w:spacing w:val="-11"/>
          <w:w w:val="115"/>
        </w:rPr>
        <w:t> </w:t>
      </w:r>
      <w:r>
        <w:rPr>
          <w:color w:val="231F1F"/>
          <w:w w:val="115"/>
        </w:rPr>
        <w:t>with</w:t>
      </w:r>
      <w:r>
        <w:rPr>
          <w:color w:val="231F1F"/>
          <w:spacing w:val="-9"/>
          <w:w w:val="115"/>
        </w:rPr>
        <w:t> </w:t>
      </w:r>
      <w:r>
        <w:rPr>
          <w:color w:val="231F1F"/>
          <w:w w:val="115"/>
        </w:rPr>
        <w:t>live</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0"/>
          <w:w w:val="115"/>
        </w:rPr>
        <w:t> </w:t>
      </w:r>
      <w:r>
        <w:rPr>
          <w:color w:val="231F1F"/>
          <w:w w:val="115"/>
        </w:rPr>
        <w:t>concomitant</w:t>
      </w:r>
      <w:r>
        <w:rPr>
          <w:color w:val="231F1F"/>
          <w:spacing w:val="-11"/>
          <w:w w:val="115"/>
        </w:rPr>
        <w:t> </w:t>
      </w:r>
      <w:r>
        <w:rPr>
          <w:color w:val="231F1F"/>
          <w:w w:val="115"/>
        </w:rPr>
        <w:t>use</w:t>
      </w:r>
    </w:p>
    <w:p>
      <w:pPr>
        <w:pStyle w:val="BodyText"/>
        <w:spacing w:before="5"/>
        <w:ind w:left="108"/>
        <w:rPr>
          <w:rFonts w:ascii="Trebuchet MS"/>
        </w:rPr>
      </w:pPr>
      <w:r>
        <w:rPr>
          <w:rFonts w:ascii="Trebuchet MS"/>
          <w:color w:val="008356"/>
        </w:rPr>
        <w:t>Testolactone</w:t>
      </w:r>
    </w:p>
    <w:p>
      <w:pPr>
        <w:pStyle w:val="BodyText"/>
        <w:spacing w:line="146" w:lineRule="exact" w:before="1"/>
        <w:ind w:left="108"/>
      </w:pPr>
      <w:r>
        <w:rPr>
          <w:rFonts w:ascii="Arial"/>
          <w:color w:val="231F1F"/>
          <w:w w:val="355"/>
          <w:position w:val="1"/>
          <w:sz w:val="7"/>
        </w:rPr>
        <w:t>l</w:t>
      </w:r>
      <w:r>
        <w:rPr>
          <w:rFonts w:ascii="Arial"/>
          <w:color w:val="231F1F"/>
          <w:spacing w:val="-39"/>
          <w:w w:val="355"/>
          <w:position w:val="1"/>
          <w:sz w:val="7"/>
        </w:rPr>
        <w:t> </w:t>
      </w:r>
      <w:r>
        <w:rPr>
          <w:rFonts w:ascii="Calibri"/>
          <w:color w:val="231F1F"/>
          <w:w w:val="115"/>
        </w:rPr>
        <w:t>Anticoagulants:</w:t>
      </w:r>
      <w:r>
        <w:rPr>
          <w:rFonts w:ascii="Calibri"/>
          <w:color w:val="231F1F"/>
          <w:spacing w:val="-7"/>
          <w:w w:val="115"/>
        </w:rPr>
        <w:t> </w:t>
      </w:r>
      <w:r>
        <w:rPr>
          <w:color w:val="231F1F"/>
          <w:w w:val="115"/>
        </w:rPr>
        <w:t>testolactone</w:t>
      </w:r>
      <w:r>
        <w:rPr>
          <w:color w:val="231F1F"/>
          <w:spacing w:val="-12"/>
          <w:w w:val="115"/>
        </w:rPr>
        <w:t> </w:t>
      </w:r>
      <w:r>
        <w:rPr>
          <w:color w:val="231F1F"/>
          <w:w w:val="115"/>
        </w:rPr>
        <w:t>enhances</w:t>
      </w:r>
      <w:r>
        <w:rPr>
          <w:color w:val="231F1F"/>
          <w:spacing w:val="-12"/>
          <w:w w:val="115"/>
        </w:rPr>
        <w:t> </w:t>
      </w:r>
      <w:r>
        <w:rPr>
          <w:color w:val="231F1F"/>
          <w:w w:val="115"/>
        </w:rPr>
        <w:t>anticoagulant</w:t>
      </w:r>
      <w:r>
        <w:rPr>
          <w:color w:val="231F1F"/>
          <w:spacing w:val="-11"/>
          <w:w w:val="115"/>
        </w:rPr>
        <w:t> </w:t>
      </w:r>
      <w:r>
        <w:rPr>
          <w:color w:val="231F1F"/>
          <w:w w:val="115"/>
        </w:rPr>
        <w:t>effect</w:t>
      </w:r>
      <w:r>
        <w:rPr>
          <w:color w:val="231F1F"/>
          <w:spacing w:val="-12"/>
          <w:w w:val="115"/>
        </w:rPr>
        <w:t> </w:t>
      </w:r>
      <w:r>
        <w:rPr>
          <w:color w:val="231F1F"/>
          <w:w w:val="115"/>
        </w:rPr>
        <w:t>of</w:t>
      </w:r>
    </w:p>
    <w:p>
      <w:pPr>
        <w:spacing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p>
    <w:p>
      <w:pPr>
        <w:pStyle w:val="BodyText"/>
        <w:spacing w:before="6"/>
        <w:ind w:left="108"/>
        <w:rPr>
          <w:rFonts w:ascii="Trebuchet MS"/>
        </w:rPr>
      </w:pPr>
      <w:r>
        <w:rPr>
          <w:rFonts w:ascii="Trebuchet MS"/>
          <w:color w:val="008356"/>
        </w:rPr>
        <w:t>Testosterone</w:t>
      </w:r>
    </w:p>
    <w:p>
      <w:pPr>
        <w:pStyle w:val="BodyText"/>
        <w:spacing w:line="146" w:lineRule="exact" w:before="1"/>
        <w:ind w:left="108"/>
      </w:pPr>
      <w:r>
        <w:rPr>
          <w:rFonts w:ascii="Arial"/>
          <w:color w:val="231F1F"/>
          <w:w w:val="355"/>
          <w:position w:val="1"/>
          <w:sz w:val="7"/>
        </w:rPr>
        <w:t>l</w:t>
      </w:r>
      <w:r>
        <w:rPr>
          <w:rFonts w:ascii="Arial"/>
          <w:color w:val="231F1F"/>
          <w:spacing w:val="-39"/>
          <w:w w:val="355"/>
          <w:position w:val="1"/>
          <w:sz w:val="7"/>
        </w:rPr>
        <w:t> </w:t>
      </w:r>
      <w:r>
        <w:rPr>
          <w:rFonts w:ascii="Calibri"/>
          <w:color w:val="231F1F"/>
          <w:w w:val="115"/>
        </w:rPr>
        <w:t>Anticoagulants:</w:t>
      </w:r>
      <w:r>
        <w:rPr>
          <w:rFonts w:ascii="Calibri"/>
          <w:color w:val="231F1F"/>
          <w:spacing w:val="-6"/>
          <w:w w:val="115"/>
        </w:rPr>
        <w:t> </w:t>
      </w:r>
      <w:r>
        <w:rPr>
          <w:color w:val="231F1F"/>
          <w:w w:val="115"/>
        </w:rPr>
        <w:t>testosterone</w:t>
      </w:r>
      <w:r>
        <w:rPr>
          <w:color w:val="231F1F"/>
          <w:spacing w:val="-12"/>
          <w:w w:val="115"/>
        </w:rPr>
        <w:t> </w:t>
      </w:r>
      <w:r>
        <w:rPr>
          <w:color w:val="231F1F"/>
          <w:w w:val="115"/>
        </w:rPr>
        <w:t>enhances</w:t>
      </w:r>
      <w:r>
        <w:rPr>
          <w:color w:val="231F1F"/>
          <w:spacing w:val="-10"/>
          <w:w w:val="115"/>
        </w:rPr>
        <w:t> </w:t>
      </w:r>
      <w:r>
        <w:rPr>
          <w:color w:val="231F1F"/>
          <w:w w:val="115"/>
        </w:rPr>
        <w:t>anticoagulant</w:t>
      </w:r>
      <w:r>
        <w:rPr>
          <w:color w:val="231F1F"/>
          <w:spacing w:val="-11"/>
          <w:w w:val="115"/>
        </w:rPr>
        <w:t> </w:t>
      </w:r>
      <w:r>
        <w:rPr>
          <w:color w:val="231F1F"/>
          <w:w w:val="115"/>
        </w:rPr>
        <w:t>effect</w:t>
      </w:r>
      <w:r>
        <w:rPr>
          <w:color w:val="231F1F"/>
          <w:spacing w:val="-11"/>
          <w:w w:val="115"/>
        </w:rPr>
        <w:t> </w:t>
      </w:r>
      <w:r>
        <w:rPr>
          <w:color w:val="231F1F"/>
          <w:w w:val="115"/>
        </w:rPr>
        <w:t>of</w:t>
      </w:r>
    </w:p>
    <w:p>
      <w:pPr>
        <w:spacing w:line="140" w:lineRule="exact" w:before="0"/>
        <w:ind w:left="208" w:right="0" w:firstLine="0"/>
        <w:jc w:val="left"/>
        <w:rPr>
          <w:rFonts w:ascii="Calibri"/>
          <w:sz w:val="11"/>
        </w:rPr>
      </w:pP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p>
    <w:p>
      <w:pPr>
        <w:pStyle w:val="BodyText"/>
        <w:spacing w:line="220" w:lineRule="auto" w:before="7"/>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testosterone possibly enhances hypoglycaemic effect of </w:t>
      </w:r>
      <w:r>
        <w:rPr>
          <w:rFonts w:ascii="Calibri" w:hAnsi="Calibri"/>
          <w:color w:val="008356"/>
          <w:w w:val="105"/>
          <w:sz w:val="11"/>
        </w:rPr>
        <w:t>ANTIDIABETICS</w:t>
      </w:r>
    </w:p>
    <w:p>
      <w:pPr>
        <w:pStyle w:val="BodyText"/>
        <w:spacing w:line="139" w:lineRule="exact" w:before="10"/>
        <w:ind w:left="108"/>
        <w:rPr>
          <w:rFonts w:ascii="Trebuchet MS"/>
        </w:rPr>
      </w:pPr>
      <w:r>
        <w:rPr>
          <w:rFonts w:ascii="Trebuchet MS"/>
          <w:color w:val="008356"/>
        </w:rPr>
        <w:t>Tetrabenazine</w:t>
      </w:r>
    </w:p>
    <w:p>
      <w:pPr>
        <w:pStyle w:val="BodyText"/>
        <w:ind w:right="41" w:hanging="100"/>
      </w:pPr>
      <w:r>
        <w:rPr>
          <w:rFonts w:ascii="Arial"/>
          <w:color w:val="231F1F"/>
          <w:w w:val="355"/>
          <w:position w:val="1"/>
          <w:sz w:val="7"/>
        </w:rPr>
        <w:t>l</w:t>
      </w:r>
      <w:r>
        <w:rPr>
          <w:rFonts w:ascii="Arial"/>
          <w:color w:val="231F1F"/>
          <w:spacing w:val="-54"/>
          <w:w w:val="355"/>
          <w:position w:val="1"/>
          <w:sz w:val="7"/>
        </w:rPr>
        <w:t> </w:t>
      </w:r>
      <w:r>
        <w:rPr>
          <w:rFonts w:ascii="Calibri"/>
          <w:color w:val="231F1F"/>
          <w:w w:val="110"/>
        </w:rPr>
        <w:t>Antidepressants: </w:t>
      </w:r>
      <w:r>
        <w:rPr>
          <w:color w:val="231F1F"/>
          <w:w w:val="110"/>
        </w:rPr>
        <w:t>risk of CNS toxicity when tetrabenazine </w:t>
      </w:r>
      <w:r>
        <w:rPr>
          <w:color w:val="231F1F"/>
          <w:spacing w:val="-3"/>
          <w:w w:val="110"/>
        </w:rPr>
        <w:t>given </w:t>
      </w:r>
      <w:r>
        <w:rPr>
          <w:color w:val="231F1F"/>
          <w:w w:val="110"/>
        </w:rPr>
        <w:t>with </w:t>
      </w:r>
      <w:r>
        <w:rPr>
          <w:rFonts w:ascii="Arial"/>
          <w:color w:val="231F1F"/>
          <w:w w:val="355"/>
          <w:position w:val="1"/>
          <w:sz w:val="7"/>
        </w:rPr>
        <w:t>l </w:t>
      </w:r>
      <w:r>
        <w:rPr>
          <w:rFonts w:ascii="Calibri"/>
          <w:color w:val="008356"/>
          <w:spacing w:val="3"/>
          <w:w w:val="110"/>
          <w:sz w:val="11"/>
        </w:rPr>
        <w:t>MAOIS </w:t>
      </w:r>
      <w:r>
        <w:rPr>
          <w:color w:val="231F1F"/>
          <w:w w:val="110"/>
        </w:rPr>
        <w:t>(avoid tetrabenazine for 2 weeks after MAOIs)</w:t>
      </w:r>
    </w:p>
    <w:p>
      <w:pPr>
        <w:pStyle w:val="BodyText"/>
        <w:spacing w:line="220" w:lineRule="auto" w:before="7"/>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increased risk of extrapyramidal side-effects when tetrabenazine given with </w:t>
      </w:r>
      <w:r>
        <w:rPr>
          <w:rFonts w:ascii="Calibri" w:hAnsi="Calibri"/>
          <w:color w:val="008356"/>
          <w:w w:val="110"/>
          <w:sz w:val="11"/>
        </w:rPr>
        <w:t>ANTIPSYCHOTICS</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Dopaminergics: </w:t>
      </w:r>
      <w:r>
        <w:rPr>
          <w:color w:val="231F1F"/>
          <w:w w:val="110"/>
        </w:rPr>
        <w:t>increased risk of extrapyramidal side-effects when tetrabenazine given with </w:t>
      </w:r>
      <w:r>
        <w:rPr>
          <w:rFonts w:ascii="Calibri" w:hAnsi="Calibri"/>
          <w:color w:val="008356"/>
          <w:w w:val="110"/>
          <w:sz w:val="11"/>
        </w:rPr>
        <w:t>AMANTADINE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Metoclopramide: </w:t>
      </w:r>
      <w:r>
        <w:rPr>
          <w:color w:val="231F1F"/>
          <w:w w:val="105"/>
        </w:rPr>
        <w:t>increased risk of extrapyramidal side-effects when tetrabenazine given with </w:t>
      </w:r>
      <w:r>
        <w:rPr>
          <w:rFonts w:ascii="Calibri" w:hAnsi="Calibri"/>
          <w:color w:val="008356"/>
          <w:w w:val="105"/>
          <w:sz w:val="11"/>
        </w:rPr>
        <w:t>METOCLOPRAMIDE</w:t>
      </w:r>
    </w:p>
    <w:p>
      <w:pPr>
        <w:pStyle w:val="BodyText"/>
        <w:spacing w:line="256" w:lineRule="auto" w:before="10"/>
        <w:ind w:left="108" w:right="1593"/>
        <w:rPr>
          <w:rFonts w:ascii="Trebuchet MS"/>
        </w:rPr>
      </w:pPr>
      <w:r>
        <w:rPr>
          <w:rFonts w:ascii="Trebuchet MS"/>
          <w:color w:val="008356"/>
          <w:w w:val="105"/>
        </w:rPr>
        <w:t>Tetracosactide </w:t>
      </w:r>
      <w:r>
        <w:rPr>
          <w:i/>
          <w:color w:val="231F1F"/>
          <w:w w:val="105"/>
        </w:rPr>
        <w:t>see </w:t>
      </w:r>
      <w:r>
        <w:rPr>
          <w:color w:val="231F1F"/>
          <w:spacing w:val="-2"/>
          <w:w w:val="105"/>
        </w:rPr>
        <w:t>Corticosteroids </w:t>
      </w:r>
      <w:r>
        <w:rPr>
          <w:rFonts w:ascii="Trebuchet MS"/>
          <w:color w:val="008356"/>
          <w:w w:val="105"/>
        </w:rPr>
        <w:t>Tetracycline </w:t>
      </w:r>
      <w:r>
        <w:rPr>
          <w:i/>
          <w:color w:val="231F1F"/>
          <w:w w:val="105"/>
        </w:rPr>
        <w:t>see </w:t>
      </w:r>
      <w:r>
        <w:rPr>
          <w:color w:val="231F1F"/>
          <w:w w:val="105"/>
        </w:rPr>
        <w:t>Tetracyclines </w:t>
      </w:r>
      <w:r>
        <w:rPr>
          <w:rFonts w:ascii="Trebuchet MS"/>
          <w:color w:val="008356"/>
          <w:w w:val="105"/>
        </w:rPr>
        <w:t>Tetracyclines</w:t>
      </w:r>
    </w:p>
    <w:p>
      <w:pPr>
        <w:pStyle w:val="BodyText"/>
        <w:spacing w:line="230" w:lineRule="auto"/>
        <w:ind w:hanging="100"/>
      </w:pPr>
      <w:r>
        <w:rPr>
          <w:rFonts w:ascii="Lucida Sans Unicode" w:hAnsi="Lucida Sans Unicode"/>
          <w:color w:val="A7A8AC"/>
          <w:w w:val="95"/>
          <w:sz w:val="10"/>
        </w:rPr>
        <w:t>▶ </w:t>
      </w:r>
      <w:r>
        <w:rPr>
          <w:rFonts w:ascii="Calibri" w:hAnsi="Calibri"/>
          <w:color w:val="231F1F"/>
          <w:w w:val="110"/>
        </w:rPr>
        <w:t>ACE Inhibitors: </w:t>
      </w:r>
      <w:r>
        <w:rPr>
          <w:color w:val="231F1F"/>
          <w:w w:val="110"/>
        </w:rPr>
        <w:t>absorption of tetracyclines reduced by </w:t>
      </w:r>
      <w:r>
        <w:rPr>
          <w:rFonts w:ascii="Calibri" w:hAnsi="Calibri"/>
          <w:color w:val="008356"/>
          <w:spacing w:val="4"/>
          <w:w w:val="110"/>
          <w:sz w:val="11"/>
        </w:rPr>
        <w:t>QUINAPRIL </w:t>
      </w:r>
      <w:r>
        <w:rPr>
          <w:color w:val="231F1F"/>
          <w:w w:val="110"/>
        </w:rPr>
        <w:t>tablets (quinapril tablets contain magnesium carbonate)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Adsorbents: </w:t>
      </w:r>
      <w:r>
        <w:rPr>
          <w:color w:val="231F1F"/>
          <w:w w:val="105"/>
        </w:rPr>
        <w:t>absorption of tetracyclines possibly reduced by</w:t>
      </w:r>
    </w:p>
    <w:p>
      <w:pPr>
        <w:spacing w:line="130" w:lineRule="exact" w:before="0"/>
        <w:ind w:left="208" w:right="0" w:firstLine="0"/>
        <w:jc w:val="left"/>
        <w:rPr>
          <w:rFonts w:ascii="Calibri"/>
          <w:sz w:val="11"/>
        </w:rPr>
      </w:pPr>
      <w:r>
        <w:rPr>
          <w:rFonts w:ascii="Calibri"/>
          <w:color w:val="008356"/>
          <w:sz w:val="11"/>
        </w:rPr>
        <w:t>KAOLIN</w:t>
      </w:r>
    </w:p>
    <w:p>
      <w:pPr>
        <w:pStyle w:val="BodyText"/>
        <w:spacing w:line="149"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tetracyclines reduced by </w:t>
      </w:r>
      <w:r>
        <w:rPr>
          <w:rFonts w:ascii="Calibri" w:hAnsi="Calibri"/>
          <w:color w:val="008356"/>
          <w:w w:val="105"/>
          <w:sz w:val="11"/>
        </w:rPr>
        <w:t>ANTACIDS</w:t>
      </w:r>
    </w:p>
    <w:p>
      <w:pPr>
        <w:pStyle w:val="BodyText"/>
        <w:spacing w:line="230" w:lineRule="auto"/>
        <w:ind w:right="23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doxycycline reduced by </w:t>
      </w:r>
      <w:r>
        <w:rPr>
          <w:rFonts w:ascii="Calibri" w:hAnsi="Calibri"/>
          <w:color w:val="008356"/>
          <w:spacing w:val="2"/>
          <w:w w:val="105"/>
          <w:sz w:val="11"/>
        </w:rPr>
        <w:t>RIFAMPICIN</w:t>
      </w:r>
      <w:r>
        <w:rPr>
          <w:rFonts w:ascii="Arial" w:hAnsi="Arial"/>
          <w:color w:val="231F1F"/>
          <w:spacing w:val="2"/>
          <w:w w:val="105"/>
        </w:rPr>
        <w:t>—</w:t>
      </w:r>
      <w:r>
        <w:rPr>
          <w:color w:val="231F1F"/>
          <w:spacing w:val="2"/>
          <w:w w:val="105"/>
        </w:rPr>
        <w:t>consider </w:t>
      </w:r>
      <w:r>
        <w:rPr>
          <w:color w:val="231F1F"/>
          <w:w w:val="105"/>
        </w:rPr>
        <w:t>increasing dose of doxycycline; tetracyclines possibly antagonise effects of</w:t>
      </w:r>
      <w:r>
        <w:rPr>
          <w:color w:val="231F1F"/>
          <w:spacing w:val="-9"/>
          <w:w w:val="105"/>
        </w:rPr>
        <w:t> </w:t>
      </w:r>
      <w:r>
        <w:rPr>
          <w:rFonts w:ascii="Calibri" w:hAnsi="Calibri"/>
          <w:color w:val="008356"/>
          <w:spacing w:val="5"/>
          <w:w w:val="105"/>
          <w:sz w:val="11"/>
        </w:rPr>
        <w:t>PENICILLINS</w:t>
      </w:r>
    </w:p>
    <w:p>
      <w:pPr>
        <w:spacing w:before="0"/>
        <w:ind w:left="208" w:right="141" w:hanging="100"/>
        <w:jc w:val="left"/>
        <w:rPr>
          <w:rFonts w:ascii="Calibri"/>
          <w:sz w:val="11"/>
        </w:rPr>
      </w:pPr>
      <w:r>
        <w:rPr>
          <w:rFonts w:ascii="Arial"/>
          <w:color w:val="231F1F"/>
          <w:w w:val="355"/>
          <w:position w:val="1"/>
          <w:sz w:val="7"/>
        </w:rPr>
        <w:t>l</w:t>
      </w:r>
      <w:r>
        <w:rPr>
          <w:rFonts w:ascii="Arial"/>
          <w:color w:val="231F1F"/>
          <w:spacing w:val="-46"/>
          <w:w w:val="355"/>
          <w:position w:val="1"/>
          <w:sz w:val="7"/>
        </w:rPr>
        <w:t> </w:t>
      </w:r>
      <w:r>
        <w:rPr>
          <w:rFonts w:ascii="Calibri"/>
          <w:color w:val="231F1F"/>
          <w:w w:val="115"/>
          <w:sz w:val="12"/>
        </w:rPr>
        <w:t>Anticoagulants:</w:t>
      </w:r>
      <w:r>
        <w:rPr>
          <w:rFonts w:ascii="Calibri"/>
          <w:color w:val="231F1F"/>
          <w:spacing w:val="-13"/>
          <w:w w:val="115"/>
          <w:sz w:val="12"/>
        </w:rPr>
        <w:t> </w:t>
      </w:r>
      <w:r>
        <w:rPr>
          <w:color w:val="231F1F"/>
          <w:w w:val="115"/>
          <w:sz w:val="12"/>
        </w:rPr>
        <w:t>tetracyclines</w:t>
      </w:r>
      <w:r>
        <w:rPr>
          <w:color w:val="231F1F"/>
          <w:spacing w:val="-16"/>
          <w:w w:val="115"/>
          <w:sz w:val="12"/>
        </w:rPr>
        <w:t> </w:t>
      </w:r>
      <w:r>
        <w:rPr>
          <w:color w:val="231F1F"/>
          <w:w w:val="115"/>
          <w:sz w:val="12"/>
        </w:rPr>
        <w:t>possibly</w:t>
      </w:r>
      <w:r>
        <w:rPr>
          <w:color w:val="231F1F"/>
          <w:spacing w:val="-17"/>
          <w:w w:val="115"/>
          <w:sz w:val="12"/>
        </w:rPr>
        <w:t> </w:t>
      </w:r>
      <w:r>
        <w:rPr>
          <w:color w:val="231F1F"/>
          <w:w w:val="115"/>
          <w:sz w:val="12"/>
        </w:rPr>
        <w:t>enhance</w:t>
      </w:r>
      <w:r>
        <w:rPr>
          <w:color w:val="231F1F"/>
          <w:spacing w:val="-16"/>
          <w:w w:val="115"/>
          <w:sz w:val="12"/>
        </w:rPr>
        <w:t> </w:t>
      </w:r>
      <w:r>
        <w:rPr>
          <w:color w:val="231F1F"/>
          <w:spacing w:val="-3"/>
          <w:w w:val="115"/>
          <w:sz w:val="12"/>
        </w:rPr>
        <w:t>anticoagulant </w:t>
      </w:r>
      <w:r>
        <w:rPr>
          <w:color w:val="231F1F"/>
          <w:w w:val="115"/>
          <w:sz w:val="12"/>
        </w:rPr>
        <w:t>effect</w:t>
      </w:r>
      <w:r>
        <w:rPr>
          <w:color w:val="231F1F"/>
          <w:spacing w:val="-10"/>
          <w:w w:val="115"/>
          <w:sz w:val="12"/>
        </w:rPr>
        <w:t> </w:t>
      </w:r>
      <w:r>
        <w:rPr>
          <w:color w:val="231F1F"/>
          <w:w w:val="115"/>
          <w:sz w:val="12"/>
        </w:rPr>
        <w:t>of</w:t>
      </w:r>
      <w:r>
        <w:rPr>
          <w:color w:val="231F1F"/>
          <w:spacing w:val="-8"/>
          <w:w w:val="115"/>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5"/>
          <w:sz w:val="11"/>
        </w:rPr>
        <w:t>COUMARINS</w:t>
      </w:r>
      <w:r>
        <w:rPr>
          <w:rFonts w:ascii="Calibri"/>
          <w:color w:val="008356"/>
          <w:spacing w:val="2"/>
          <w:w w:val="115"/>
          <w:sz w:val="11"/>
        </w:rPr>
        <w:t> </w:t>
      </w:r>
      <w:r>
        <w:rPr>
          <w:color w:val="231F1F"/>
          <w:w w:val="115"/>
          <w:sz w:val="12"/>
        </w:rPr>
        <w:t>and</w:t>
      </w:r>
      <w:r>
        <w:rPr>
          <w:color w:val="231F1F"/>
          <w:spacing w:val="-9"/>
          <w:w w:val="115"/>
          <w:sz w:val="12"/>
        </w:rPr>
        <w:t> </w:t>
      </w:r>
      <w:r>
        <w:rPr>
          <w:rFonts w:ascii="Arial"/>
          <w:color w:val="231F1F"/>
          <w:w w:val="355"/>
          <w:position w:val="1"/>
          <w:sz w:val="7"/>
        </w:rPr>
        <w:t>l</w:t>
      </w:r>
      <w:r>
        <w:rPr>
          <w:rFonts w:ascii="Arial"/>
          <w:color w:val="231F1F"/>
          <w:spacing w:val="-45"/>
          <w:w w:val="355"/>
          <w:position w:val="1"/>
          <w:sz w:val="7"/>
        </w:rPr>
        <w:t> </w:t>
      </w:r>
      <w:r>
        <w:rPr>
          <w:rFonts w:ascii="Calibri"/>
          <w:color w:val="008356"/>
          <w:spacing w:val="4"/>
          <w:w w:val="115"/>
          <w:sz w:val="11"/>
        </w:rPr>
        <w:t>PHENINDIONE</w:t>
      </w:r>
    </w:p>
    <w:p>
      <w:pPr>
        <w:pStyle w:val="BodyText"/>
        <w:spacing w:line="220" w:lineRule="auto"/>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Antidiabetics: </w:t>
      </w:r>
      <w:r>
        <w:rPr>
          <w:color w:val="231F1F"/>
          <w:w w:val="105"/>
        </w:rPr>
        <w:t>tetracyclines possibly enhance hypoglycaemic effect of </w:t>
      </w:r>
      <w:r>
        <w:rPr>
          <w:rFonts w:ascii="Calibri" w:hAnsi="Calibri"/>
          <w:color w:val="008356"/>
          <w:w w:val="105"/>
          <w:sz w:val="11"/>
        </w:rPr>
        <w:t>SULFONYLUREAS</w:t>
      </w:r>
    </w:p>
    <w:p>
      <w:pPr>
        <w:spacing w:line="235" w:lineRule="auto" w:before="1"/>
        <w:ind w:left="208" w:right="0" w:hanging="100"/>
        <w:jc w:val="left"/>
        <w:rPr>
          <w:sz w:val="12"/>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metabolism of doxycycline accelerated by </w:t>
      </w:r>
      <w:r>
        <w:rPr>
          <w:rFonts w:ascii="Calibri" w:hAnsi="Calibri"/>
          <w:color w:val="008356"/>
          <w:w w:val="110"/>
          <w:sz w:val="11"/>
        </w:rPr>
        <w:t>CARBAMAZEPINE </w:t>
      </w:r>
      <w:r>
        <w:rPr>
          <w:color w:val="231F1F"/>
          <w:w w:val="110"/>
          <w:sz w:val="12"/>
        </w:rPr>
        <w:t>(reduced effect); metabolism of doxycycline </w:t>
      </w:r>
      <w:r>
        <w:rPr>
          <w:color w:val="231F1F"/>
          <w:w w:val="105"/>
          <w:sz w:val="12"/>
        </w:rPr>
        <w:t>accelerated by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10"/>
          <w:sz w:val="11"/>
        </w:rPr>
        <w:t>PRIMIDONE </w:t>
      </w:r>
      <w:r>
        <w:rPr>
          <w:color w:val="231F1F"/>
          <w:w w:val="110"/>
          <w:sz w:val="12"/>
        </w:rPr>
        <w:t>(reduced plasma concentration)</w:t>
      </w:r>
    </w:p>
    <w:p>
      <w:pPr>
        <w:pStyle w:val="BodyText"/>
        <w:spacing w:line="154" w:lineRule="exact"/>
        <w:ind w:left="108"/>
      </w:pPr>
      <w:r>
        <w:rPr>
          <w:rFonts w:ascii="Lucida Sans Unicode" w:hAnsi="Lucida Sans Unicode"/>
          <w:color w:val="A7A8AC"/>
          <w:w w:val="95"/>
          <w:sz w:val="10"/>
        </w:rPr>
        <w:t>▶ </w:t>
      </w:r>
      <w:r>
        <w:rPr>
          <w:rFonts w:ascii="Calibri" w:hAnsi="Calibri"/>
          <w:color w:val="231F1F"/>
          <w:w w:val="105"/>
        </w:rPr>
        <w:t>Atovaquone: </w:t>
      </w:r>
      <w:r>
        <w:rPr>
          <w:color w:val="231F1F"/>
          <w:w w:val="105"/>
        </w:rPr>
        <w:t>tetracycline reduces plasma concentration of</w:t>
      </w:r>
    </w:p>
    <w:p>
      <w:pPr>
        <w:spacing w:line="130" w:lineRule="exact" w:before="0"/>
        <w:ind w:left="208" w:right="0" w:firstLine="0"/>
        <w:jc w:val="left"/>
        <w:rPr>
          <w:rFonts w:ascii="Calibri"/>
          <w:sz w:val="11"/>
        </w:rPr>
      </w:pPr>
      <w:r>
        <w:rPr>
          <w:rFonts w:ascii="Calibri"/>
          <w:color w:val="008356"/>
          <w:sz w:val="11"/>
        </w:rPr>
        <w:t>ATOVAQUONE</w:t>
      </w:r>
    </w:p>
    <w:p>
      <w:pPr>
        <w:spacing w:line="230" w:lineRule="auto" w:before="4"/>
        <w:ind w:left="208" w:right="10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tetracycline reduced by </w:t>
      </w:r>
      <w:r>
        <w:rPr>
          <w:rFonts w:ascii="Calibri" w:hAnsi="Calibri"/>
          <w:color w:val="008356"/>
          <w:w w:val="105"/>
          <w:sz w:val="11"/>
        </w:rPr>
        <w:t>CALCIUM SALTS</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Cytotoxics: </w:t>
      </w:r>
      <w:r>
        <w:rPr>
          <w:color w:val="231F1F"/>
          <w:w w:val="105"/>
        </w:rPr>
        <w:t>doxycycline or tetracycline increase risk of</w:t>
      </w:r>
    </w:p>
    <w:p>
      <w:pPr>
        <w:spacing w:line="135" w:lineRule="exact" w:before="0"/>
        <w:ind w:left="208" w:right="0" w:firstLine="0"/>
        <w:jc w:val="left"/>
        <w:rPr>
          <w:sz w:val="12"/>
        </w:rPr>
      </w:pPr>
      <w:r>
        <w:rPr>
          <w:rFonts w:ascii="Calibri"/>
          <w:color w:val="008356"/>
          <w:w w:val="105"/>
          <w:sz w:val="11"/>
        </w:rPr>
        <w:t>METHOTREXATE </w:t>
      </w:r>
      <w:r>
        <w:rPr>
          <w:color w:val="231F1F"/>
          <w:w w:val="105"/>
          <w:sz w:val="12"/>
        </w:rPr>
        <w:t>toxicity</w:t>
      </w:r>
    </w:p>
    <w:p>
      <w:pPr>
        <w:pStyle w:val="BodyText"/>
        <w:spacing w:line="220" w:lineRule="auto" w:before="7"/>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05"/>
        </w:rPr>
        <w:t>Dairy Products: </w:t>
      </w:r>
      <w:r>
        <w:rPr>
          <w:color w:val="231F1F"/>
          <w:w w:val="105"/>
        </w:rPr>
        <w:t>absorption of tetracyclines (except doxycycline and minocycline) reduced by </w:t>
      </w:r>
      <w:r>
        <w:rPr>
          <w:rFonts w:ascii="Calibri" w:hAnsi="Calibri"/>
          <w:color w:val="008356"/>
          <w:w w:val="105"/>
          <w:sz w:val="11"/>
        </w:rPr>
        <w:t>DAIRY PRODUCTS</w:t>
      </w:r>
    </w:p>
    <w:p>
      <w:pPr>
        <w:pStyle w:val="BodyText"/>
        <w:spacing w:line="220" w:lineRule="auto" w:before="8"/>
        <w:ind w:right="237"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manufacturer of lymecycline advises avoid concomitant use with </w:t>
      </w:r>
      <w:r>
        <w:rPr>
          <w:rFonts w:ascii="Calibri" w:hAnsi="Calibri"/>
          <w:color w:val="008356"/>
          <w:w w:val="105"/>
          <w:sz w:val="11"/>
        </w:rPr>
        <w:t>DIURETICS</w:t>
      </w:r>
    </w:p>
    <w:p>
      <w:pPr>
        <w:pStyle w:val="BodyText"/>
        <w:spacing w:line="220" w:lineRule="auto" w:before="9"/>
        <w:ind w:right="105" w:hanging="100"/>
        <w:rPr>
          <w:rFonts w:ascii="Calibri" w:hAnsi="Calibri"/>
          <w:sz w:val="11"/>
        </w:rPr>
      </w:pPr>
      <w:r>
        <w:rPr>
          <w:rFonts w:ascii="Lucida Sans Unicode" w:hAnsi="Lucida Sans Unicode"/>
          <w:color w:val="A7A8AC"/>
          <w:w w:val="95"/>
          <w:sz w:val="10"/>
        </w:rPr>
        <w:t>▶ </w:t>
      </w:r>
      <w:r>
        <w:rPr>
          <w:rFonts w:ascii="Calibri" w:hAnsi="Calibri"/>
          <w:color w:val="231F1F"/>
          <w:w w:val="105"/>
        </w:rPr>
        <w:t>Ergot Alkaloids: </w:t>
      </w:r>
      <w:r>
        <w:rPr>
          <w:color w:val="231F1F"/>
          <w:w w:val="105"/>
        </w:rPr>
        <w:t>increased risk of ergotism when tetracyclines given with </w:t>
      </w:r>
      <w:r>
        <w:rPr>
          <w:rFonts w:ascii="Calibri" w:hAnsi="Calibri"/>
          <w:color w:val="008356"/>
          <w:w w:val="105"/>
          <w:sz w:val="11"/>
        </w:rPr>
        <w:t>ERGOTAMINE</w:t>
      </w:r>
    </w:p>
    <w:p>
      <w:pPr>
        <w:pStyle w:val="BodyText"/>
        <w:spacing w:line="230" w:lineRule="auto" w:before="3"/>
        <w:ind w:right="237" w:hanging="100"/>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tetracyclines reduced by </w:t>
      </w:r>
      <w:r>
        <w:rPr>
          <w:i/>
          <w:color w:val="231F1F"/>
          <w:w w:val="105"/>
        </w:rPr>
        <w:t>oral </w:t>
      </w:r>
      <w:r>
        <w:rPr>
          <w:rFonts w:ascii="Calibri" w:hAnsi="Calibri"/>
          <w:color w:val="008356"/>
          <w:w w:val="105"/>
          <w:sz w:val="11"/>
        </w:rPr>
        <w:t>IRON SALTS</w:t>
      </w:r>
      <w:r>
        <w:rPr>
          <w:color w:val="231F1F"/>
          <w:w w:val="105"/>
        </w:rPr>
        <w:t>, also absorption of </w:t>
      </w:r>
      <w:r>
        <w:rPr>
          <w:i/>
          <w:color w:val="231F1F"/>
          <w:w w:val="105"/>
        </w:rPr>
        <w:t>oral </w:t>
      </w:r>
      <w:r>
        <w:rPr>
          <w:color w:val="231F1F"/>
          <w:w w:val="105"/>
        </w:rPr>
        <w:t>iron salts reduced by tetracyclines</w:t>
      </w:r>
    </w:p>
    <w:p>
      <w:pPr>
        <w:spacing w:line="220" w:lineRule="auto" w:before="13"/>
        <w:ind w:left="208" w:right="10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absorption of tetracycline possibly reduced by </w:t>
      </w:r>
      <w:r>
        <w:rPr>
          <w:rFonts w:ascii="Calibri" w:hAnsi="Calibri"/>
          <w:color w:val="008356"/>
          <w:w w:val="105"/>
          <w:sz w:val="11"/>
        </w:rPr>
        <w:t>COLESTIPOL </w:t>
      </w:r>
      <w:r>
        <w:rPr>
          <w:color w:val="231F1F"/>
          <w:w w:val="105"/>
          <w:sz w:val="12"/>
        </w:rPr>
        <w:t>and </w:t>
      </w:r>
      <w:r>
        <w:rPr>
          <w:rFonts w:ascii="Calibri" w:hAnsi="Calibri"/>
          <w:color w:val="008356"/>
          <w:w w:val="105"/>
          <w:sz w:val="11"/>
        </w:rPr>
        <w:t>COLESTYRAMINE</w:t>
      </w:r>
    </w:p>
    <w:p>
      <w:pPr>
        <w:pStyle w:val="BodyText"/>
        <w:ind w:right="105" w:hanging="100"/>
      </w:pPr>
      <w:r>
        <w:rPr>
          <w:rFonts w:ascii="Arial"/>
          <w:color w:val="231F1F"/>
          <w:w w:val="355"/>
          <w:position w:val="1"/>
          <w:sz w:val="7"/>
        </w:rPr>
        <w:t>l </w:t>
      </w:r>
      <w:r>
        <w:rPr>
          <w:rFonts w:ascii="Calibri"/>
          <w:color w:val="231F1F"/>
          <w:w w:val="110"/>
        </w:rPr>
        <w:t>Retinoids: </w:t>
      </w:r>
      <w:r>
        <w:rPr>
          <w:color w:val="231F1F"/>
          <w:w w:val="110"/>
        </w:rPr>
        <w:t>possible increased risk of benign intracranial hypertension when tetracyclines given with </w:t>
      </w:r>
      <w:r>
        <w:rPr>
          <w:rFonts w:ascii="Arial"/>
          <w:color w:val="231F1F"/>
          <w:w w:val="355"/>
          <w:position w:val="1"/>
          <w:sz w:val="7"/>
        </w:rPr>
        <w:t>l </w:t>
      </w:r>
      <w:r>
        <w:rPr>
          <w:rFonts w:ascii="Calibri"/>
          <w:color w:val="008356"/>
          <w:w w:val="110"/>
          <w:sz w:val="11"/>
        </w:rPr>
        <w:t>RETINOIDS </w:t>
      </w:r>
      <w:r>
        <w:rPr>
          <w:color w:val="231F1F"/>
          <w:w w:val="110"/>
        </w:rPr>
        <w:t>(avoid concomitant use)</w:t>
      </w:r>
    </w:p>
    <w:p>
      <w:pPr>
        <w:pStyle w:val="BodyText"/>
        <w:spacing w:before="7"/>
        <w:ind w:left="0"/>
        <w:rPr>
          <w:sz w:val="14"/>
        </w:rPr>
      </w:pPr>
      <w:r>
        <w:rPr/>
        <w:br w:type="column"/>
      </w:r>
      <w:r>
        <w:rPr>
          <w:sz w:val="14"/>
        </w:rPr>
      </w:r>
    </w:p>
    <w:p>
      <w:pPr>
        <w:pStyle w:val="BodyText"/>
        <w:spacing w:line="144" w:lineRule="exact"/>
        <w:ind w:left="108"/>
        <w:jc w:val="both"/>
        <w:rPr>
          <w:rFonts w:ascii="Calibri"/>
        </w:rPr>
      </w:pPr>
      <w:r>
        <w:rPr>
          <w:rFonts w:ascii="Arial"/>
          <w:color w:val="008356"/>
        </w:rPr>
        <w:t>Tetracyclines </w:t>
      </w:r>
      <w:r>
        <w:rPr>
          <w:rFonts w:ascii="Calibri"/>
          <w:color w:val="231F1F"/>
        </w:rPr>
        <w:t>(continued)</w:t>
      </w:r>
    </w:p>
    <w:p>
      <w:pPr>
        <w:pStyle w:val="BodyText"/>
        <w:spacing w:line="230" w:lineRule="auto" w:before="2"/>
        <w:ind w:right="907" w:hanging="100"/>
        <w:jc w:val="both"/>
      </w:pPr>
      <w:r>
        <w:rPr/>
        <w:pict>
          <v:rect style="position:absolute;margin-left:398.891296pt;margin-top:-8.636451pt;width:20.522993pt;height:149.443pt;mso-position-horizontal-relative:page;mso-position-vertical-relative:paragraph;z-index:6688" filled="true" fillcolor="#bfdbcf" stroked="false">
            <v:fill type="solid"/>
            <w10:wrap type="none"/>
          </v:rect>
        </w:pict>
      </w:r>
      <w:r>
        <w:rPr/>
        <w:pict>
          <v:shape style="position:absolute;margin-left:399.725769pt;margin-top:-3.673062pt;width:10.4pt;height:78.850pt;mso-position-horizontal-relative:page;mso-position-vertical-relative:paragraph;z-index:671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Strontium Ranelate: </w:t>
      </w:r>
      <w:r>
        <w:rPr>
          <w:color w:val="231F1F"/>
          <w:w w:val="110"/>
        </w:rPr>
        <w:t>absorption of tetracyclines reduced</w:t>
      </w:r>
      <w:r>
        <w:rPr>
          <w:color w:val="231F1F"/>
          <w:spacing w:val="-21"/>
          <w:w w:val="110"/>
        </w:rPr>
        <w:t> </w:t>
      </w:r>
      <w:r>
        <w:rPr>
          <w:color w:val="231F1F"/>
          <w:w w:val="110"/>
        </w:rPr>
        <w:t>by </w:t>
      </w:r>
      <w:r>
        <w:rPr>
          <w:rFonts w:ascii="Calibri" w:hAnsi="Calibri"/>
          <w:color w:val="008356"/>
          <w:spacing w:val="4"/>
          <w:w w:val="110"/>
          <w:sz w:val="11"/>
        </w:rPr>
        <w:t>STRONTIUM </w:t>
      </w:r>
      <w:r>
        <w:rPr>
          <w:rFonts w:ascii="Calibri" w:hAnsi="Calibri"/>
          <w:color w:val="008356"/>
          <w:spacing w:val="3"/>
          <w:w w:val="110"/>
          <w:sz w:val="11"/>
        </w:rPr>
        <w:t>RANELATE </w:t>
      </w:r>
      <w:r>
        <w:rPr>
          <w:color w:val="231F1F"/>
          <w:w w:val="110"/>
        </w:rPr>
        <w:t>(manufacturer of strontium</w:t>
      </w:r>
      <w:r>
        <w:rPr>
          <w:color w:val="231F1F"/>
          <w:spacing w:val="-23"/>
          <w:w w:val="110"/>
        </w:rPr>
        <w:t> </w:t>
      </w:r>
      <w:r>
        <w:rPr>
          <w:color w:val="231F1F"/>
          <w:w w:val="110"/>
        </w:rPr>
        <w:t>ranelate advises avoid concomitant</w:t>
      </w:r>
      <w:r>
        <w:rPr>
          <w:color w:val="231F1F"/>
          <w:spacing w:val="-5"/>
          <w:w w:val="110"/>
        </w:rPr>
        <w:t> </w:t>
      </w:r>
      <w:r>
        <w:rPr>
          <w:color w:val="231F1F"/>
          <w:w w:val="110"/>
        </w:rPr>
        <w:t>use)</w:t>
      </w:r>
    </w:p>
    <w:p>
      <w:pPr>
        <w:pStyle w:val="BodyText"/>
        <w:spacing w:line="152" w:lineRule="exact" w:before="3"/>
        <w:ind w:left="108"/>
        <w:jc w:val="both"/>
      </w:pPr>
      <w:r>
        <w:rPr>
          <w:rFonts w:ascii="Lucida Sans Unicode" w:hAnsi="Lucida Sans Unicode"/>
          <w:color w:val="A7A8AC"/>
          <w:w w:val="95"/>
          <w:sz w:val="10"/>
        </w:rPr>
        <w:t>▶ </w:t>
      </w:r>
      <w:r>
        <w:rPr>
          <w:rFonts w:ascii="Calibri" w:hAnsi="Calibri"/>
          <w:color w:val="231F1F"/>
          <w:w w:val="105"/>
        </w:rPr>
        <w:t>Ulcer-healing Drugs: </w:t>
      </w:r>
      <w:r>
        <w:rPr>
          <w:color w:val="231F1F"/>
          <w:w w:val="105"/>
        </w:rPr>
        <w:t>absorption of tetracyclines reduced by</w:t>
      </w:r>
    </w:p>
    <w:p>
      <w:pPr>
        <w:spacing w:line="134" w:lineRule="exact" w:before="0"/>
        <w:ind w:left="208" w:right="0" w:firstLine="0"/>
        <w:jc w:val="left"/>
        <w:rPr>
          <w:rFonts w:ascii="Calibri"/>
          <w:sz w:val="11"/>
        </w:rPr>
      </w:pPr>
      <w:r>
        <w:rPr>
          <w:rFonts w:ascii="Calibri"/>
          <w:color w:val="008356"/>
          <w:w w:val="105"/>
          <w:sz w:val="11"/>
        </w:rPr>
        <w:t>SUCRALFATE </w:t>
      </w:r>
      <w:r>
        <w:rPr>
          <w:color w:val="231F1F"/>
          <w:w w:val="105"/>
          <w:sz w:val="12"/>
        </w:rPr>
        <w:t>and </w:t>
      </w:r>
      <w:r>
        <w:rPr>
          <w:rFonts w:ascii="Calibri"/>
          <w:color w:val="008356"/>
          <w:w w:val="105"/>
          <w:sz w:val="11"/>
        </w:rPr>
        <w:t>TRIPOTASSIUM DICITRATOBISMUTHATE</w:t>
      </w:r>
    </w:p>
    <w:p>
      <w:pPr>
        <w:spacing w:line="220" w:lineRule="auto" w:before="8"/>
        <w:ind w:left="208" w:right="67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20" w:lineRule="auto" w:before="12"/>
        <w:ind w:right="670" w:hanging="100"/>
      </w:pPr>
      <w:r>
        <w:rPr>
          <w:rFonts w:ascii="Lucida Sans Unicode" w:hAnsi="Lucida Sans Unicode"/>
          <w:color w:val="A7A8AC"/>
          <w:w w:val="95"/>
          <w:sz w:val="10"/>
        </w:rPr>
        <w:t>▶ </w:t>
      </w:r>
      <w:r>
        <w:rPr>
          <w:rFonts w:ascii="Calibri" w:hAnsi="Calibri"/>
          <w:color w:val="231F1F"/>
          <w:w w:val="110"/>
        </w:rPr>
        <w:t>Zinc: </w:t>
      </w:r>
      <w:r>
        <w:rPr>
          <w:color w:val="231F1F"/>
          <w:w w:val="110"/>
        </w:rPr>
        <w:t>absorption of tetracyclines reduced by </w:t>
      </w:r>
      <w:r>
        <w:rPr>
          <w:rFonts w:ascii="Calibri" w:hAnsi="Calibri"/>
          <w:color w:val="008356"/>
          <w:w w:val="110"/>
          <w:sz w:val="11"/>
        </w:rPr>
        <w:t>ZINC</w:t>
      </w:r>
      <w:r>
        <w:rPr>
          <w:color w:val="231F1F"/>
          <w:w w:val="110"/>
        </w:rPr>
        <w:t>, also absorption of zinc reduced by tetracyclines</w:t>
      </w:r>
    </w:p>
    <w:p>
      <w:pPr>
        <w:pStyle w:val="BodyText"/>
        <w:spacing w:before="13"/>
        <w:ind w:left="108"/>
        <w:rPr>
          <w:rFonts w:ascii="Trebuchet MS"/>
        </w:rPr>
      </w:pPr>
      <w:r>
        <w:rPr>
          <w:rFonts w:ascii="Trebuchet MS"/>
          <w:color w:val="008356"/>
        </w:rPr>
        <w:t>Theophylline</w:t>
      </w:r>
    </w:p>
    <w:p>
      <w:pPr>
        <w:pStyle w:val="BodyText"/>
        <w:spacing w:line="220" w:lineRule="auto" w:before="10"/>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Allopurinol: </w:t>
      </w:r>
      <w:r>
        <w:rPr>
          <w:color w:val="231F1F"/>
          <w:w w:val="105"/>
        </w:rPr>
        <w:t>plasma concentration of theophylline possibly increased by </w:t>
      </w:r>
      <w:r>
        <w:rPr>
          <w:rFonts w:ascii="Calibri" w:hAnsi="Calibri"/>
          <w:color w:val="008356"/>
          <w:w w:val="105"/>
          <w:sz w:val="11"/>
        </w:rPr>
        <w:t>ALLOPURINOL</w:t>
      </w:r>
    </w:p>
    <w:p>
      <w:pPr>
        <w:pStyle w:val="BodyText"/>
        <w:spacing w:line="220" w:lineRule="auto" w:before="8"/>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Anaesthetics, General: </w:t>
      </w:r>
      <w:r>
        <w:rPr>
          <w:color w:val="231F1F"/>
          <w:w w:val="105"/>
        </w:rPr>
        <w:t>increased risk of convulsions when theophylline given with </w:t>
      </w:r>
      <w:r>
        <w:rPr>
          <w:rFonts w:ascii="Calibri" w:hAnsi="Calibri"/>
          <w:color w:val="008356"/>
          <w:w w:val="105"/>
          <w:sz w:val="11"/>
        </w:rPr>
        <w:t>KETAMINE</w:t>
      </w:r>
    </w:p>
    <w:p>
      <w:pPr>
        <w:pStyle w:val="BodyText"/>
        <w:spacing w:line="237" w:lineRule="auto" w:before="1"/>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Anti-arrhythmics: </w:t>
      </w:r>
      <w:r>
        <w:rPr>
          <w:color w:val="231F1F"/>
          <w:w w:val="110"/>
        </w:rPr>
        <w:t>theophylline antagonises anti-arrhythmic effect of </w:t>
      </w:r>
      <w:r>
        <w:rPr>
          <w:rFonts w:ascii="Calibri" w:hAnsi="Calibri"/>
          <w:color w:val="008356"/>
          <w:w w:val="110"/>
          <w:sz w:val="11"/>
        </w:rPr>
        <w:t>ADENOSINE</w:t>
      </w:r>
      <w:r>
        <w:rPr>
          <w:rFonts w:ascii="Arial" w:hAnsi="Arial"/>
          <w:color w:val="231F1F"/>
          <w:w w:val="110"/>
        </w:rPr>
        <w:t>—</w:t>
      </w:r>
      <w:r>
        <w:rPr>
          <w:color w:val="231F1F"/>
          <w:w w:val="110"/>
        </w:rPr>
        <w:t>manufacturer of adenosine advises avoid theophylline for 24 hours before adenosine; plasma concentration of theophylline increased by </w:t>
      </w:r>
      <w:r>
        <w:rPr>
          <w:rFonts w:ascii="Calibri" w:hAnsi="Calibri"/>
          <w:color w:val="008356"/>
          <w:w w:val="110"/>
          <w:sz w:val="11"/>
        </w:rPr>
        <w:t>PROPAFENONE</w:t>
      </w:r>
    </w:p>
    <w:p>
      <w:pPr>
        <w:spacing w:line="244" w:lineRule="auto" w:before="0"/>
        <w:ind w:left="208" w:right="687"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plasma concentration of theophylline possibly increased by </w:t>
      </w:r>
      <w:r>
        <w:rPr>
          <w:rFonts w:ascii="Calibri"/>
          <w:color w:val="008356"/>
          <w:spacing w:val="4"/>
          <w:w w:val="110"/>
          <w:sz w:val="11"/>
        </w:rPr>
        <w:t>CLARITHROMYCIN </w:t>
      </w:r>
      <w:r>
        <w:rPr>
          <w:color w:val="231F1F"/>
          <w:w w:val="110"/>
          <w:sz w:val="12"/>
        </w:rPr>
        <w:t>and </w:t>
      </w:r>
      <w:r>
        <w:rPr>
          <w:rFonts w:ascii="Calibri"/>
          <w:color w:val="008356"/>
          <w:spacing w:val="4"/>
          <w:w w:val="110"/>
          <w:sz w:val="11"/>
        </w:rPr>
        <w:t>ISONIAZID</w:t>
      </w:r>
      <w:r>
        <w:rPr>
          <w:color w:val="231F1F"/>
          <w:spacing w:val="4"/>
          <w:w w:val="110"/>
          <w:sz w:val="12"/>
        </w:rPr>
        <w:t>; </w:t>
      </w:r>
      <w:r>
        <w:rPr>
          <w:color w:val="231F1F"/>
          <w:w w:val="110"/>
          <w:sz w:val="12"/>
        </w:rPr>
        <w:t>plasma concentration of theophylline increased by </w:t>
      </w:r>
      <w:r>
        <w:rPr>
          <w:rFonts w:ascii="Arial"/>
          <w:color w:val="231F1F"/>
          <w:w w:val="355"/>
          <w:position w:val="1"/>
          <w:sz w:val="7"/>
        </w:rPr>
        <w:t>l </w:t>
      </w:r>
      <w:r>
        <w:rPr>
          <w:rFonts w:ascii="Calibri"/>
          <w:color w:val="008356"/>
          <w:spacing w:val="4"/>
          <w:w w:val="110"/>
          <w:sz w:val="11"/>
        </w:rPr>
        <w:t>ERYTHROMYCIN </w:t>
      </w:r>
      <w:r>
        <w:rPr>
          <w:color w:val="231F1F"/>
          <w:w w:val="110"/>
          <w:sz w:val="12"/>
        </w:rPr>
        <w:t>(also theophylline may reduce absorption of </w:t>
      </w:r>
      <w:r>
        <w:rPr>
          <w:i/>
          <w:color w:val="231F1F"/>
          <w:w w:val="110"/>
          <w:sz w:val="12"/>
        </w:rPr>
        <w:t>oral </w:t>
      </w:r>
      <w:r>
        <w:rPr>
          <w:color w:val="231F1F"/>
          <w:w w:val="110"/>
          <w:sz w:val="12"/>
        </w:rPr>
        <w:t>erythromycin); plasma concentration of  theophylline increased</w:t>
      </w:r>
      <w:r>
        <w:rPr>
          <w:color w:val="231F1F"/>
          <w:spacing w:val="-15"/>
          <w:w w:val="110"/>
          <w:sz w:val="12"/>
        </w:rPr>
        <w:t> </w:t>
      </w:r>
      <w:r>
        <w:rPr>
          <w:color w:val="231F1F"/>
          <w:w w:val="110"/>
          <w:sz w:val="12"/>
        </w:rPr>
        <w:t>by</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CIPROFLOXACIN</w:t>
      </w:r>
      <w:r>
        <w:rPr>
          <w:rFonts w:ascii="Calibri"/>
          <w:color w:val="008356"/>
          <w:spacing w:val="-5"/>
          <w:w w:val="110"/>
          <w:sz w:val="11"/>
        </w:rPr>
        <w:t> </w:t>
      </w:r>
      <w:r>
        <w:rPr>
          <w:color w:val="231F1F"/>
          <w:w w:val="110"/>
          <w:sz w:val="12"/>
        </w:rPr>
        <w:t>and</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Calibri"/>
          <w:color w:val="008356"/>
          <w:spacing w:val="4"/>
          <w:w w:val="110"/>
          <w:sz w:val="11"/>
        </w:rPr>
        <w:t>NORFLOXACIN</w:t>
      </w:r>
      <w:r>
        <w:rPr>
          <w:color w:val="231F1F"/>
          <w:spacing w:val="4"/>
          <w:w w:val="110"/>
          <w:sz w:val="12"/>
        </w:rPr>
        <w:t>;</w:t>
      </w:r>
      <w:r>
        <w:rPr>
          <w:color w:val="231F1F"/>
          <w:spacing w:val="-15"/>
          <w:w w:val="110"/>
          <w:sz w:val="12"/>
        </w:rPr>
        <w:t> </w:t>
      </w:r>
      <w:r>
        <w:rPr>
          <w:color w:val="231F1F"/>
          <w:w w:val="110"/>
          <w:sz w:val="12"/>
        </w:rPr>
        <w:t>metabolism of theophylline accelerated by </w:t>
      </w:r>
      <w:r>
        <w:rPr>
          <w:rFonts w:ascii="Calibri"/>
          <w:color w:val="008356"/>
          <w:spacing w:val="4"/>
          <w:w w:val="110"/>
          <w:sz w:val="11"/>
        </w:rPr>
        <w:t>RIFAMPICIN </w:t>
      </w:r>
      <w:r>
        <w:rPr>
          <w:color w:val="231F1F"/>
          <w:w w:val="110"/>
          <w:sz w:val="12"/>
        </w:rPr>
        <w:t>(reduced plasma concentration); possible increased risk of convulsions when theophylline given with </w:t>
      </w:r>
      <w:r>
        <w:rPr>
          <w:rFonts w:ascii="Arial"/>
          <w:color w:val="231F1F"/>
          <w:w w:val="355"/>
          <w:position w:val="1"/>
          <w:sz w:val="7"/>
        </w:rPr>
        <w:t>l</w:t>
      </w:r>
      <w:r>
        <w:rPr>
          <w:rFonts w:ascii="Arial"/>
          <w:color w:val="231F1F"/>
          <w:spacing w:val="-49"/>
          <w:w w:val="355"/>
          <w:position w:val="1"/>
          <w:sz w:val="7"/>
        </w:rPr>
        <w:t> </w:t>
      </w:r>
      <w:r>
        <w:rPr>
          <w:rFonts w:ascii="Calibri"/>
          <w:color w:val="008356"/>
          <w:spacing w:val="4"/>
          <w:w w:val="110"/>
          <w:sz w:val="11"/>
        </w:rPr>
        <w:t>QUINOLONES</w:t>
      </w:r>
    </w:p>
    <w:p>
      <w:pPr>
        <w:pStyle w:val="BodyText"/>
        <w:spacing w:line="247" w:lineRule="auto"/>
        <w:ind w:right="723" w:hanging="100"/>
        <w:rPr>
          <w:rFonts w:ascii="Calibri" w:hAnsi="Calibri"/>
          <w:sz w:val="11"/>
        </w:rPr>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theophylline increased by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4"/>
          <w:w w:val="110"/>
          <w:sz w:val="11"/>
        </w:rPr>
        <w:t>FLUVOXAMINE </w:t>
      </w:r>
      <w:r>
        <w:rPr>
          <w:color w:val="231F1F"/>
          <w:w w:val="110"/>
        </w:rPr>
        <w:t>(concomitant use should usually be avoided, but where not possible halve theophylline dose and monitor plasma-theophylline concentration); plasma concentration of theophylline possibly reduced by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WORT</w:t>
      </w:r>
    </w:p>
    <w:p>
      <w:pPr>
        <w:pStyle w:val="BodyText"/>
        <w:spacing w:line="140" w:lineRule="exact"/>
        <w:ind w:left="108"/>
        <w:jc w:val="both"/>
      </w:pPr>
      <w:r>
        <w:rPr>
          <w:rFonts w:ascii="Arial"/>
          <w:color w:val="231F1F"/>
          <w:w w:val="355"/>
          <w:position w:val="1"/>
          <w:sz w:val="7"/>
        </w:rPr>
        <w:t>l </w:t>
      </w:r>
      <w:r>
        <w:rPr>
          <w:rFonts w:ascii="Calibri"/>
          <w:color w:val="231F1F"/>
          <w:w w:val="110"/>
        </w:rPr>
        <w:t>Antiepileptics: </w:t>
      </w:r>
      <w:r>
        <w:rPr>
          <w:color w:val="231F1F"/>
          <w:w w:val="110"/>
        </w:rPr>
        <w:t>metabolism of theophylline accelerated by</w:t>
      </w:r>
    </w:p>
    <w:p>
      <w:pPr>
        <w:spacing w:line="141" w:lineRule="exact" w:before="0"/>
        <w:ind w:left="208" w:right="0" w:firstLine="0"/>
        <w:jc w:val="left"/>
        <w:rPr>
          <w:sz w:val="12"/>
        </w:rPr>
      </w:pPr>
      <w:r>
        <w:rPr>
          <w:rFonts w:ascii="Calibri"/>
          <w:color w:val="008356"/>
          <w:w w:val="110"/>
          <w:sz w:val="11"/>
        </w:rPr>
        <w:t>CARBAMAZEPINE</w:t>
      </w:r>
      <w:r>
        <w:rPr>
          <w:color w:val="231F1F"/>
          <w:w w:val="110"/>
          <w:sz w:val="12"/>
        </w:rPr>
        <w:t>, </w:t>
      </w:r>
      <w:r>
        <w:rPr>
          <w:rFonts w:ascii="Arial"/>
          <w:color w:val="231F1F"/>
          <w:w w:val="355"/>
          <w:position w:val="1"/>
          <w:sz w:val="7"/>
        </w:rPr>
        <w:t>l </w:t>
      </w:r>
      <w:r>
        <w:rPr>
          <w:rFonts w:ascii="Calibri"/>
          <w:color w:val="008356"/>
          <w:w w:val="110"/>
          <w:sz w:val="11"/>
        </w:rPr>
        <w:t>PHENOBARBITAL </w:t>
      </w:r>
      <w:r>
        <w:rPr>
          <w:color w:val="231F1F"/>
          <w:w w:val="110"/>
          <w:sz w:val="12"/>
        </w:rPr>
        <w:t>and </w:t>
      </w:r>
      <w:r>
        <w:rPr>
          <w:rFonts w:ascii="Arial"/>
          <w:color w:val="231F1F"/>
          <w:w w:val="355"/>
          <w:position w:val="1"/>
          <w:sz w:val="7"/>
        </w:rPr>
        <w:t>l </w:t>
      </w:r>
      <w:r>
        <w:rPr>
          <w:rFonts w:ascii="Calibri"/>
          <w:color w:val="008356"/>
          <w:w w:val="110"/>
          <w:sz w:val="11"/>
        </w:rPr>
        <w:t>PRIMIDONE </w:t>
      </w:r>
      <w:r>
        <w:rPr>
          <w:color w:val="231F1F"/>
          <w:w w:val="110"/>
          <w:sz w:val="12"/>
        </w:rPr>
        <w:t>(reduced</w:t>
      </w:r>
    </w:p>
    <w:p>
      <w:pPr>
        <w:spacing w:line="247" w:lineRule="auto" w:before="0"/>
        <w:ind w:left="208" w:right="870" w:firstLine="0"/>
        <w:jc w:val="both"/>
        <w:rPr>
          <w:rFonts w:ascii="Calibri"/>
          <w:sz w:val="11"/>
        </w:rPr>
      </w:pPr>
      <w:r>
        <w:rPr>
          <w:color w:val="231F1F"/>
          <w:w w:val="110"/>
          <w:sz w:val="12"/>
        </w:rPr>
        <w:t>effect); plasma concentration of both drugs reduced </w:t>
      </w:r>
      <w:r>
        <w:rPr>
          <w:color w:val="231F1F"/>
          <w:spacing w:val="-4"/>
          <w:w w:val="110"/>
          <w:sz w:val="12"/>
        </w:rPr>
        <w:t>when </w:t>
      </w:r>
      <w:r>
        <w:rPr>
          <w:color w:val="231F1F"/>
          <w:w w:val="110"/>
          <w:sz w:val="12"/>
        </w:rPr>
        <w:t>theophylline</w:t>
      </w:r>
      <w:r>
        <w:rPr>
          <w:color w:val="231F1F"/>
          <w:spacing w:val="-9"/>
          <w:w w:val="110"/>
          <w:sz w:val="12"/>
        </w:rPr>
        <w:t> </w:t>
      </w:r>
      <w:r>
        <w:rPr>
          <w:color w:val="231F1F"/>
          <w:w w:val="110"/>
          <w:sz w:val="12"/>
        </w:rPr>
        <w:t>given</w:t>
      </w:r>
      <w:r>
        <w:rPr>
          <w:color w:val="231F1F"/>
          <w:spacing w:val="-9"/>
          <w:w w:val="110"/>
          <w:sz w:val="12"/>
        </w:rPr>
        <w:t> </w:t>
      </w:r>
      <w:r>
        <w:rPr>
          <w:color w:val="231F1F"/>
          <w:w w:val="110"/>
          <w:sz w:val="12"/>
        </w:rPr>
        <w:t>with</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FOSPHENYTOIN</w:t>
      </w:r>
      <w:r>
        <w:rPr>
          <w:rFonts w:ascii="Calibri"/>
          <w:color w:val="008356"/>
          <w:spacing w:val="2"/>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p>
    <w:p>
      <w:pPr>
        <w:pStyle w:val="BodyText"/>
        <w:spacing w:line="141" w:lineRule="exact"/>
        <w:ind w:left="108"/>
        <w:jc w:val="both"/>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Antifungals: </w:t>
      </w:r>
      <w:r>
        <w:rPr>
          <w:color w:val="231F1F"/>
          <w:w w:val="115"/>
        </w:rPr>
        <w:t>plasma concentration of theophylline possibly</w:t>
      </w:r>
    </w:p>
    <w:p>
      <w:pPr>
        <w:spacing w:line="140" w:lineRule="exact" w:before="0"/>
        <w:ind w:left="208" w:right="0" w:firstLine="0"/>
        <w:jc w:val="left"/>
        <w:rPr>
          <w:rFonts w:ascii="Calibri"/>
          <w:sz w:val="11"/>
        </w:rPr>
      </w:pPr>
      <w:r>
        <w:rPr>
          <w:color w:val="231F1F"/>
          <w:w w:val="110"/>
          <w:sz w:val="12"/>
        </w:rPr>
        <w:t>increased by </w:t>
      </w:r>
      <w:r>
        <w:rPr>
          <w:rFonts w:ascii="Arial"/>
          <w:color w:val="231F1F"/>
          <w:w w:val="355"/>
          <w:position w:val="1"/>
          <w:sz w:val="7"/>
        </w:rPr>
        <w:t>l </w:t>
      </w:r>
      <w:r>
        <w:rPr>
          <w:rFonts w:ascii="Calibri"/>
          <w:color w:val="008356"/>
          <w:w w:val="110"/>
          <w:sz w:val="11"/>
        </w:rPr>
        <w:t>FLUCONAZOLE </w:t>
      </w:r>
      <w:r>
        <w:rPr>
          <w:color w:val="231F1F"/>
          <w:w w:val="110"/>
          <w:sz w:val="12"/>
        </w:rPr>
        <w:t>and </w:t>
      </w:r>
      <w:r>
        <w:rPr>
          <w:rFonts w:ascii="Arial"/>
          <w:color w:val="231F1F"/>
          <w:w w:val="355"/>
          <w:position w:val="1"/>
          <w:sz w:val="7"/>
        </w:rPr>
        <w:t>l </w:t>
      </w:r>
      <w:r>
        <w:rPr>
          <w:rFonts w:ascii="Calibri"/>
          <w:color w:val="008356"/>
          <w:w w:val="110"/>
          <w:sz w:val="11"/>
        </w:rPr>
        <w:t>KETOCONAZOLE</w:t>
      </w:r>
    </w:p>
    <w:p>
      <w:pPr>
        <w:pStyle w:val="BodyText"/>
        <w:spacing w:line="242" w:lineRule="auto"/>
        <w:ind w:right="944" w:hanging="100"/>
        <w:jc w:val="both"/>
      </w:pPr>
      <w:r>
        <w:rPr>
          <w:rFonts w:ascii="Arial"/>
          <w:color w:val="231F1F"/>
          <w:w w:val="355"/>
          <w:position w:val="1"/>
          <w:sz w:val="7"/>
        </w:rPr>
        <w:t>l </w:t>
      </w:r>
      <w:r>
        <w:rPr>
          <w:rFonts w:ascii="Calibri"/>
          <w:color w:val="231F1F"/>
          <w:w w:val="110"/>
        </w:rPr>
        <w:t>Antivirals: </w:t>
      </w:r>
      <w:r>
        <w:rPr>
          <w:color w:val="231F1F"/>
          <w:w w:val="110"/>
        </w:rPr>
        <w:t>plasma concentration of theophylline possibly increased by </w:t>
      </w:r>
      <w:r>
        <w:rPr>
          <w:rFonts w:ascii="Calibri"/>
          <w:color w:val="008356"/>
          <w:w w:val="110"/>
          <w:sz w:val="11"/>
        </w:rPr>
        <w:t>ACICLOVIR </w:t>
      </w:r>
      <w:r>
        <w:rPr>
          <w:color w:val="231F1F"/>
          <w:w w:val="110"/>
        </w:rPr>
        <w:t>and </w:t>
      </w:r>
      <w:r>
        <w:rPr>
          <w:rFonts w:ascii="Calibri"/>
          <w:color w:val="008356"/>
          <w:w w:val="110"/>
          <w:sz w:val="11"/>
        </w:rPr>
        <w:t>VALACICLOVIR</w:t>
      </w:r>
      <w:r>
        <w:rPr>
          <w:color w:val="231F1F"/>
          <w:w w:val="110"/>
        </w:rPr>
        <w:t>; metabolism of theophylline accelerated by </w:t>
      </w:r>
      <w:r>
        <w:rPr>
          <w:rFonts w:ascii="Arial"/>
          <w:color w:val="231F1F"/>
          <w:w w:val="355"/>
          <w:position w:val="1"/>
          <w:sz w:val="7"/>
        </w:rPr>
        <w:t>l </w:t>
      </w:r>
      <w:r>
        <w:rPr>
          <w:rFonts w:ascii="Calibri"/>
          <w:color w:val="008356"/>
          <w:w w:val="110"/>
          <w:sz w:val="11"/>
        </w:rPr>
        <w:t>RITONAVIR </w:t>
      </w:r>
      <w:r>
        <w:rPr>
          <w:color w:val="231F1F"/>
          <w:w w:val="110"/>
        </w:rPr>
        <w:t>(reduced plasma concentration)</w:t>
      </w:r>
    </w:p>
    <w:p>
      <w:pPr>
        <w:pStyle w:val="BodyText"/>
        <w:spacing w:line="220" w:lineRule="auto"/>
        <w:ind w:right="699" w:hanging="100"/>
        <w:rPr>
          <w:rFonts w:ascii="Calibri" w:hAnsi="Calibri"/>
          <w:sz w:val="11"/>
        </w:rPr>
      </w:pPr>
      <w:r>
        <w:rPr>
          <w:rFonts w:ascii="Lucida Sans Unicode" w:hAnsi="Lucida Sans Unicode"/>
          <w:color w:val="A7A8AC"/>
          <w:w w:val="95"/>
          <w:sz w:val="10"/>
        </w:rPr>
        <w:t>▶ </w:t>
      </w:r>
      <w:r>
        <w:rPr>
          <w:rFonts w:ascii="Calibri" w:hAnsi="Calibri"/>
          <w:color w:val="231F1F"/>
          <w:w w:val="105"/>
        </w:rPr>
        <w:t>Anxiolytics and Hypnotics: </w:t>
      </w:r>
      <w:r>
        <w:rPr>
          <w:color w:val="231F1F"/>
          <w:w w:val="105"/>
        </w:rPr>
        <w:t>theophylline possibly reduces effects of</w:t>
      </w:r>
      <w:r>
        <w:rPr>
          <w:color w:val="231F1F"/>
          <w:spacing w:val="-1"/>
          <w:w w:val="105"/>
        </w:rPr>
        <w:t> </w:t>
      </w:r>
      <w:r>
        <w:rPr>
          <w:rFonts w:ascii="Calibri" w:hAnsi="Calibri"/>
          <w:color w:val="008356"/>
          <w:spacing w:val="4"/>
          <w:w w:val="105"/>
          <w:sz w:val="11"/>
        </w:rPr>
        <w:t>BENZODIAZEPINES</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Caffeine citrate: </w:t>
      </w:r>
      <w:r>
        <w:rPr>
          <w:color w:val="231F1F"/>
          <w:w w:val="105"/>
          <w:sz w:val="12"/>
        </w:rPr>
        <w:t>avoidance of theophylline advised by manufacturer of </w:t>
      </w:r>
      <w:r>
        <w:rPr>
          <w:rFonts w:ascii="Calibri" w:hAnsi="Calibri"/>
          <w:color w:val="008356"/>
          <w:w w:val="105"/>
          <w:sz w:val="11"/>
        </w:rPr>
        <w:t>CAFFEINE CITRATE</w:t>
      </w:r>
    </w:p>
    <w:p>
      <w:pPr>
        <w:pStyle w:val="BodyText"/>
        <w:spacing w:line="242" w:lineRule="auto"/>
        <w:ind w:right="762" w:hanging="100"/>
      </w:pPr>
      <w:r>
        <w:rPr>
          <w:rFonts w:ascii="Arial"/>
          <w:color w:val="231F1F"/>
          <w:w w:val="355"/>
          <w:position w:val="1"/>
          <w:sz w:val="7"/>
        </w:rPr>
        <w:t>l </w:t>
      </w:r>
      <w:r>
        <w:rPr>
          <w:rFonts w:ascii="Calibri"/>
          <w:color w:val="231F1F"/>
          <w:w w:val="105"/>
        </w:rPr>
        <w:t>Calcium-channel Blockers:  </w:t>
      </w:r>
      <w:r>
        <w:rPr>
          <w:color w:val="231F1F"/>
          <w:w w:val="105"/>
        </w:rPr>
        <w:t>plasma  concentration  of theophylline possibly increased by </w:t>
      </w:r>
      <w:r>
        <w:rPr>
          <w:rFonts w:ascii="Arial"/>
          <w:color w:val="231F1F"/>
          <w:w w:val="355"/>
          <w:position w:val="1"/>
          <w:sz w:val="7"/>
        </w:rPr>
        <w:t>l </w:t>
      </w:r>
      <w:r>
        <w:rPr>
          <w:rFonts w:ascii="Calibri"/>
          <w:color w:val="008356"/>
          <w:spacing w:val="4"/>
          <w:w w:val="105"/>
          <w:sz w:val="11"/>
        </w:rPr>
        <w:t>CALCIUM-CHANNEL BLOCKERS </w:t>
      </w:r>
      <w:r>
        <w:rPr>
          <w:color w:val="231F1F"/>
          <w:w w:val="105"/>
        </w:rPr>
        <w:t>(enhanced effect); plasma concentration of theophylline increased by </w:t>
      </w:r>
      <w:r>
        <w:rPr>
          <w:rFonts w:ascii="Calibri"/>
          <w:color w:val="008356"/>
          <w:spacing w:val="3"/>
          <w:w w:val="105"/>
          <w:sz w:val="11"/>
        </w:rPr>
        <w:t>DILTIAZEM</w:t>
      </w:r>
      <w:r>
        <w:rPr>
          <w:color w:val="231F1F"/>
          <w:spacing w:val="3"/>
          <w:w w:val="105"/>
        </w:rPr>
        <w:t>; </w:t>
      </w:r>
      <w:r>
        <w:rPr>
          <w:color w:val="231F1F"/>
          <w:w w:val="105"/>
        </w:rPr>
        <w:t>plasma concentration </w:t>
      </w:r>
      <w:r>
        <w:rPr>
          <w:color w:val="231F1F"/>
          <w:spacing w:val="-6"/>
          <w:w w:val="105"/>
        </w:rPr>
        <w:t>of </w:t>
      </w:r>
      <w:r>
        <w:rPr>
          <w:color w:val="231F1F"/>
          <w:w w:val="105"/>
        </w:rPr>
        <w:t>theophylline increased by </w:t>
      </w:r>
      <w:r>
        <w:rPr>
          <w:rFonts w:ascii="Arial"/>
          <w:color w:val="231F1F"/>
          <w:w w:val="355"/>
          <w:position w:val="1"/>
          <w:sz w:val="7"/>
        </w:rPr>
        <w:t>l </w:t>
      </w:r>
      <w:r>
        <w:rPr>
          <w:rFonts w:ascii="Calibri"/>
          <w:color w:val="008356"/>
          <w:spacing w:val="4"/>
          <w:w w:val="105"/>
          <w:sz w:val="11"/>
        </w:rPr>
        <w:t>VERAPAMIL </w:t>
      </w:r>
      <w:r>
        <w:rPr>
          <w:color w:val="231F1F"/>
          <w:w w:val="105"/>
        </w:rPr>
        <w:t>(enhanced</w:t>
      </w:r>
      <w:r>
        <w:rPr>
          <w:color w:val="231F1F"/>
          <w:spacing w:val="-4"/>
          <w:w w:val="105"/>
        </w:rPr>
        <w:t> </w:t>
      </w:r>
      <w:r>
        <w:rPr>
          <w:color w:val="231F1F"/>
          <w:w w:val="105"/>
        </w:rPr>
        <w:t>effect)</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increased risk of hypokalaemia when theophylline given with </w:t>
      </w:r>
      <w:r>
        <w:rPr>
          <w:rFonts w:ascii="Calibri" w:hAnsi="Calibri"/>
          <w:color w:val="008356"/>
          <w:w w:val="110"/>
          <w:sz w:val="11"/>
        </w:rPr>
        <w:t>CORTICOSTEROIDS</w:t>
      </w:r>
    </w:p>
    <w:p>
      <w:pPr>
        <w:pStyle w:val="BodyText"/>
        <w:spacing w:line="220" w:lineRule="auto" w:before="9"/>
        <w:ind w:right="929"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theophylline possibly increased by </w:t>
      </w:r>
      <w:r>
        <w:rPr>
          <w:rFonts w:ascii="Calibri" w:hAnsi="Calibri"/>
          <w:color w:val="008356"/>
          <w:w w:val="105"/>
          <w:sz w:val="11"/>
        </w:rPr>
        <w:t>METHOTREXATE</w:t>
      </w:r>
    </w:p>
    <w:p>
      <w:pPr>
        <w:pStyle w:val="BodyText"/>
        <w:ind w:right="762" w:hanging="100"/>
      </w:pPr>
      <w:r>
        <w:rPr>
          <w:rFonts w:ascii="Arial"/>
          <w:color w:val="231F1F"/>
          <w:w w:val="355"/>
          <w:position w:val="1"/>
          <w:sz w:val="7"/>
        </w:rPr>
        <w:t>l </w:t>
      </w:r>
      <w:r>
        <w:rPr>
          <w:rFonts w:ascii="Calibri"/>
          <w:color w:val="231F1F"/>
          <w:w w:val="110"/>
        </w:rPr>
        <w:t>Deferasirox: </w:t>
      </w:r>
      <w:r>
        <w:rPr>
          <w:color w:val="231F1F"/>
          <w:w w:val="110"/>
        </w:rPr>
        <w:t>plasma concentration of theophylline increased by </w:t>
      </w:r>
      <w:r>
        <w:rPr>
          <w:rFonts w:ascii="Arial"/>
          <w:color w:val="231F1F"/>
          <w:w w:val="355"/>
          <w:position w:val="1"/>
          <w:sz w:val="7"/>
        </w:rPr>
        <w:t>l </w:t>
      </w:r>
      <w:r>
        <w:rPr>
          <w:rFonts w:ascii="Calibri"/>
          <w:color w:val="008356"/>
          <w:w w:val="110"/>
          <w:sz w:val="11"/>
        </w:rPr>
        <w:t>DEFERASIROX </w:t>
      </w:r>
      <w:r>
        <w:rPr>
          <w:color w:val="231F1F"/>
          <w:w w:val="110"/>
        </w:rPr>
        <w:t>(consider reducing dose of theophylline)</w:t>
      </w:r>
    </w:p>
    <w:p>
      <w:pPr>
        <w:pStyle w:val="BodyText"/>
        <w:spacing w:line="149" w:lineRule="exact"/>
        <w:ind w:left="108"/>
      </w:pPr>
      <w:r>
        <w:rPr>
          <w:rFonts w:ascii="Lucida Sans Unicode" w:hAnsi="Lucida Sans Unicode"/>
          <w:color w:val="A7A8AC"/>
          <w:w w:val="95"/>
          <w:sz w:val="10"/>
        </w:rPr>
        <w:t>▶ </w:t>
      </w:r>
      <w:r>
        <w:rPr>
          <w:rFonts w:ascii="Calibri" w:hAnsi="Calibri"/>
          <w:color w:val="231F1F"/>
          <w:w w:val="105"/>
        </w:rPr>
        <w:t>Disulfiram: </w:t>
      </w:r>
      <w:r>
        <w:rPr>
          <w:color w:val="231F1F"/>
          <w:w w:val="105"/>
        </w:rPr>
        <w:t>metabolism of theophylline inhibited by</w:t>
      </w:r>
    </w:p>
    <w:p>
      <w:pPr>
        <w:spacing w:line="134" w:lineRule="exact" w:before="0"/>
        <w:ind w:left="208" w:right="0" w:firstLine="0"/>
        <w:jc w:val="left"/>
        <w:rPr>
          <w:sz w:val="12"/>
        </w:rPr>
      </w:pPr>
      <w:r>
        <w:rPr>
          <w:rFonts w:ascii="Calibri"/>
          <w:color w:val="008356"/>
          <w:w w:val="110"/>
          <w:sz w:val="11"/>
        </w:rPr>
        <w:t>DISULFIRAM </w:t>
      </w:r>
      <w:r>
        <w:rPr>
          <w:color w:val="231F1F"/>
          <w:w w:val="110"/>
          <w:sz w:val="12"/>
        </w:rPr>
        <w:t>(increased risk of toxicity)</w:t>
      </w:r>
    </w:p>
    <w:p>
      <w:pPr>
        <w:spacing w:line="237" w:lineRule="auto" w:before="0"/>
        <w:ind w:left="208" w:right="791"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hypokalaemia when theophylline given with </w:t>
      </w:r>
      <w:r>
        <w:rPr>
          <w:rFonts w:ascii="Calibri" w:hAnsi="Calibri"/>
          <w:color w:val="008356"/>
          <w:w w:val="105"/>
          <w:sz w:val="11"/>
        </w:rPr>
        <w:t>ACETAZOLAMIDE</w:t>
      </w:r>
      <w:r>
        <w:rPr>
          <w:color w:val="231F1F"/>
          <w:w w:val="105"/>
          <w:sz w:val="12"/>
        </w:rPr>
        <w:t>, </w:t>
      </w:r>
      <w:r>
        <w:rPr>
          <w:rFonts w:ascii="Calibri" w:hAnsi="Calibri"/>
          <w:color w:val="008356"/>
          <w:w w:val="105"/>
          <w:sz w:val="11"/>
        </w:rPr>
        <w:t>LOOP DIURETICS </w:t>
      </w:r>
      <w:r>
        <w:rPr>
          <w:color w:val="231F1F"/>
          <w:w w:val="105"/>
          <w:sz w:val="12"/>
        </w:rPr>
        <w:t>or </w:t>
      </w:r>
      <w:r>
        <w:rPr>
          <w:rFonts w:ascii="Calibri" w:hAnsi="Calibri"/>
          <w:color w:val="008356"/>
          <w:w w:val="105"/>
          <w:sz w:val="11"/>
        </w:rPr>
        <w:t>THIAZIDES AND RELATED DIURETICS</w:t>
      </w:r>
    </w:p>
    <w:p>
      <w:pPr>
        <w:pStyle w:val="BodyText"/>
        <w:spacing w:line="220" w:lineRule="auto" w:before="5"/>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Doxapram: </w:t>
      </w:r>
      <w:r>
        <w:rPr>
          <w:color w:val="231F1F"/>
          <w:w w:val="105"/>
        </w:rPr>
        <w:t>increased CNS stimulation when theophylline given with </w:t>
      </w:r>
      <w:r>
        <w:rPr>
          <w:rFonts w:ascii="Calibri" w:hAnsi="Calibri"/>
          <w:color w:val="008356"/>
          <w:w w:val="105"/>
          <w:sz w:val="11"/>
        </w:rPr>
        <w:t>DOXAPRAM</w:t>
      </w:r>
    </w:p>
    <w:p>
      <w:pPr>
        <w:pStyle w:val="BodyText"/>
        <w:spacing w:line="146" w:lineRule="exact" w:before="1"/>
        <w:ind w:left="108"/>
      </w:pPr>
      <w:r>
        <w:rPr>
          <w:rFonts w:ascii="Arial"/>
          <w:color w:val="231F1F"/>
          <w:w w:val="355"/>
          <w:position w:val="1"/>
          <w:sz w:val="7"/>
        </w:rPr>
        <w:t>l</w:t>
      </w:r>
      <w:r>
        <w:rPr>
          <w:rFonts w:ascii="Arial"/>
          <w:color w:val="231F1F"/>
          <w:spacing w:val="-56"/>
          <w:w w:val="355"/>
          <w:position w:val="1"/>
          <w:sz w:val="7"/>
        </w:rPr>
        <w:t> </w:t>
      </w:r>
      <w:r>
        <w:rPr>
          <w:rFonts w:ascii="Calibri"/>
          <w:color w:val="231F1F"/>
          <w:w w:val="115"/>
        </w:rPr>
        <w:t>Interferons: </w:t>
      </w:r>
      <w:r>
        <w:rPr>
          <w:color w:val="231F1F"/>
          <w:w w:val="115"/>
        </w:rPr>
        <w:t>metabolism of theophylline inhibited by</w:t>
      </w:r>
    </w:p>
    <w:p>
      <w:pPr>
        <w:spacing w:line="141" w:lineRule="exact" w:before="0"/>
        <w:ind w:left="208" w:right="0" w:firstLine="0"/>
        <w:jc w:val="left"/>
        <w:rPr>
          <w:sz w:val="12"/>
        </w:rPr>
      </w:pPr>
      <w:r>
        <w:rPr>
          <w:rFonts w:ascii="Arial"/>
          <w:color w:val="231F1F"/>
          <w:w w:val="355"/>
          <w:position w:val="1"/>
          <w:sz w:val="7"/>
        </w:rPr>
        <w:t>l </w:t>
      </w:r>
      <w:r>
        <w:rPr>
          <w:rFonts w:ascii="Calibri"/>
          <w:color w:val="008356"/>
          <w:w w:val="110"/>
          <w:sz w:val="11"/>
        </w:rPr>
        <w:t>INTERFERON ALFA </w:t>
      </w:r>
      <w:r>
        <w:rPr>
          <w:color w:val="231F1F"/>
          <w:w w:val="110"/>
          <w:sz w:val="12"/>
        </w:rPr>
        <w:t>and </w:t>
      </w:r>
      <w:r>
        <w:rPr>
          <w:rFonts w:ascii="Arial"/>
          <w:color w:val="231F1F"/>
          <w:w w:val="355"/>
          <w:position w:val="1"/>
          <w:sz w:val="7"/>
        </w:rPr>
        <w:t>l </w:t>
      </w:r>
      <w:r>
        <w:rPr>
          <w:rFonts w:ascii="Calibri"/>
          <w:color w:val="008356"/>
          <w:w w:val="110"/>
          <w:sz w:val="11"/>
        </w:rPr>
        <w:t>PEGINTERFERON ALFA </w:t>
      </w:r>
      <w:r>
        <w:rPr>
          <w:color w:val="231F1F"/>
          <w:w w:val="110"/>
          <w:sz w:val="12"/>
        </w:rPr>
        <w:t>(consider</w:t>
      </w:r>
    </w:p>
    <w:p>
      <w:pPr>
        <w:pStyle w:val="BodyText"/>
        <w:spacing w:before="2"/>
      </w:pPr>
      <w:r>
        <w:rPr>
          <w:color w:val="231F1F"/>
          <w:w w:val="115"/>
        </w:rPr>
        <w:t>reducing dose of theophylline)</w:t>
      </w:r>
    </w:p>
    <w:p>
      <w:pPr>
        <w:pStyle w:val="BodyText"/>
        <w:spacing w:line="230" w:lineRule="auto" w:before="5"/>
        <w:ind w:right="670" w:hanging="100"/>
      </w:pPr>
      <w:r>
        <w:rPr>
          <w:rFonts w:ascii="Lucida Sans Unicode" w:hAnsi="Lucida Sans Unicode"/>
          <w:color w:val="A7A8AC"/>
          <w:w w:val="95"/>
          <w:sz w:val="10"/>
        </w:rPr>
        <w:t>▶ </w:t>
      </w:r>
      <w:r>
        <w:rPr>
          <w:rFonts w:ascii="Calibri" w:hAnsi="Calibri"/>
          <w:color w:val="231F1F"/>
          <w:w w:val="110"/>
        </w:rPr>
        <w:t>Leukotriene Receptor Antagonists: </w:t>
      </w:r>
      <w:r>
        <w:rPr>
          <w:color w:val="231F1F"/>
          <w:w w:val="110"/>
        </w:rPr>
        <w:t>plasma concentration of theophylline possibly increased by </w:t>
      </w:r>
      <w:r>
        <w:rPr>
          <w:rFonts w:ascii="Calibri" w:hAnsi="Calibri"/>
          <w:color w:val="008356"/>
          <w:w w:val="110"/>
          <w:sz w:val="11"/>
        </w:rPr>
        <w:t>ZAFIRLUKAST</w:t>
      </w:r>
      <w:r>
        <w:rPr>
          <w:color w:val="231F1F"/>
          <w:w w:val="110"/>
        </w:rPr>
        <w:t>, also plasma concentration of zafirlukast reduced</w:t>
      </w:r>
    </w:p>
    <w:p>
      <w:pPr>
        <w:pStyle w:val="BodyText"/>
        <w:spacing w:line="220" w:lineRule="auto" w:before="12"/>
        <w:ind w:right="670" w:hanging="100"/>
      </w:pPr>
      <w:r>
        <w:rPr>
          <w:rFonts w:ascii="Lucida Sans Unicode" w:hAnsi="Lucida Sans Unicode"/>
          <w:color w:val="A7A8AC"/>
          <w:w w:val="95"/>
          <w:sz w:val="10"/>
        </w:rPr>
        <w:t>▶ </w:t>
      </w:r>
      <w:r>
        <w:rPr>
          <w:rFonts w:ascii="Calibri" w:hAnsi="Calibri"/>
          <w:color w:val="231F1F"/>
          <w:w w:val="105"/>
        </w:rPr>
        <w:t>Lithium: </w:t>
      </w:r>
      <w:r>
        <w:rPr>
          <w:color w:val="231F1F"/>
          <w:w w:val="105"/>
        </w:rPr>
        <w:t>theophylline increases excretion of </w:t>
      </w:r>
      <w:r>
        <w:rPr>
          <w:rFonts w:ascii="Calibri" w:hAnsi="Calibri"/>
          <w:color w:val="008356"/>
          <w:w w:val="105"/>
          <w:sz w:val="11"/>
        </w:rPr>
        <w:t>LITHIUM </w:t>
      </w:r>
      <w:r>
        <w:rPr>
          <w:color w:val="231F1F"/>
          <w:w w:val="105"/>
        </w:rPr>
        <w:t>(reduced plasma concentration)</w:t>
      </w:r>
    </w:p>
    <w:p>
      <w:pPr>
        <w:pStyle w:val="BodyText"/>
        <w:spacing w:line="220" w:lineRule="auto" w:before="13"/>
        <w:ind w:right="762" w:hanging="100"/>
      </w:pPr>
      <w:r>
        <w:rPr>
          <w:rFonts w:ascii="Lucida Sans Unicode" w:hAnsi="Lucida Sans Unicode"/>
          <w:color w:val="A7A8AC"/>
          <w:w w:val="95"/>
          <w:sz w:val="10"/>
        </w:rPr>
        <w:t>▶ </w:t>
      </w:r>
      <w:r>
        <w:rPr>
          <w:rFonts w:ascii="Calibri" w:hAnsi="Calibri"/>
          <w:color w:val="231F1F"/>
          <w:w w:val="110"/>
        </w:rPr>
        <w:t>Oestrogens: </w:t>
      </w:r>
      <w:r>
        <w:rPr>
          <w:color w:val="231F1F"/>
          <w:w w:val="110"/>
        </w:rPr>
        <w:t>plasma concentration of theophylline increased by </w:t>
      </w:r>
      <w:r>
        <w:rPr>
          <w:rFonts w:ascii="Calibri" w:hAnsi="Calibri"/>
          <w:color w:val="008356"/>
          <w:w w:val="110"/>
          <w:sz w:val="11"/>
        </w:rPr>
        <w:t>OESTROGENS </w:t>
      </w:r>
      <w:r>
        <w:rPr>
          <w:color w:val="231F1F"/>
          <w:w w:val="110"/>
        </w:rPr>
        <w:t>(consider reducing dose of theophylline)</w:t>
      </w:r>
    </w:p>
    <w:p>
      <w:pPr>
        <w:spacing w:after="0" w:line="220" w:lineRule="auto"/>
        <w:sectPr>
          <w:pgSz w:w="8390" w:h="11910"/>
          <w:pgMar w:header="0" w:footer="0" w:top="460" w:bottom="0" w:left="480" w:right="0"/>
          <w:cols w:num="2" w:equalWidth="0">
            <w:col w:w="3607" w:space="69"/>
            <w:col w:w="4234"/>
          </w:cols>
        </w:sectPr>
      </w:pPr>
    </w:p>
    <w:p>
      <w:pPr>
        <w:pStyle w:val="BodyText"/>
        <w:spacing w:before="7"/>
        <w:ind w:left="0"/>
        <w:rPr>
          <w:sz w:val="14"/>
        </w:rPr>
      </w:pPr>
      <w:r>
        <w:rPr/>
        <w:pict>
          <v:rect style="position:absolute;margin-left:0pt;margin-top:30.840979pt;width:20.353299pt;height:149.443pt;mso-position-horizontal-relative:page;mso-position-vertical-relative:page;z-index:6736" filled="true" fillcolor="#bfdbcf" stroked="false">
            <v:fill type="solid"/>
            <w10:wrap type="none"/>
          </v:rect>
        </w:pict>
      </w:r>
      <w:r>
        <w:rPr/>
        <w:pict>
          <v:shape style="position:absolute;margin-left:7.751256pt;margin-top:35.804367pt;width:10.4pt;height:78.850pt;mso-position-horizontal-relative:page;mso-position-vertical-relative:page;z-index:676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Theophylline </w:t>
      </w:r>
      <w:r>
        <w:rPr>
          <w:rFonts w:ascii="Calibri"/>
          <w:color w:val="231F1F"/>
        </w:rPr>
        <w:t>(continued)</w:t>
      </w:r>
    </w:p>
    <w:p>
      <w:pPr>
        <w:pStyle w:val="BodyText"/>
        <w:spacing w:line="220" w:lineRule="auto" w:before="6"/>
        <w:ind w:left="286" w:right="45" w:hanging="100"/>
        <w:rPr>
          <w:rFonts w:ascii="Calibri" w:hAnsi="Calibri"/>
          <w:sz w:val="11"/>
        </w:rPr>
      </w:pPr>
      <w:r>
        <w:rPr>
          <w:rFonts w:ascii="Lucida Sans Unicode" w:hAnsi="Lucida Sans Unicode"/>
          <w:color w:val="A7A8AC"/>
          <w:w w:val="95"/>
          <w:sz w:val="10"/>
        </w:rPr>
        <w:t>▶ </w:t>
      </w:r>
      <w:r>
        <w:rPr>
          <w:rFonts w:ascii="Calibri" w:hAnsi="Calibri"/>
          <w:color w:val="231F1F"/>
          <w:w w:val="105"/>
        </w:rPr>
        <w:t>Pentoxifylline: </w:t>
      </w:r>
      <w:r>
        <w:rPr>
          <w:color w:val="231F1F"/>
          <w:w w:val="105"/>
        </w:rPr>
        <w:t>plasma concentration of  theophylline  increased by </w:t>
      </w:r>
      <w:r>
        <w:rPr>
          <w:rFonts w:ascii="Calibri" w:hAnsi="Calibri"/>
          <w:color w:val="008356"/>
          <w:spacing w:val="4"/>
          <w:w w:val="105"/>
          <w:sz w:val="11"/>
        </w:rPr>
        <w:t>PENTOXIFYLLINE</w:t>
      </w:r>
    </w:p>
    <w:p>
      <w:pPr>
        <w:pStyle w:val="BodyText"/>
        <w:spacing w:line="220" w:lineRule="auto" w:before="8"/>
        <w:ind w:left="286" w:right="181" w:hanging="100"/>
        <w:rPr>
          <w:rFonts w:ascii="Calibri" w:hAnsi="Calibri"/>
          <w:sz w:val="11"/>
        </w:rPr>
      </w:pPr>
      <w:r>
        <w:rPr>
          <w:rFonts w:ascii="Lucida Sans Unicode" w:hAnsi="Lucida Sans Unicode"/>
          <w:color w:val="A7A8AC"/>
          <w:w w:val="95"/>
          <w:sz w:val="10"/>
        </w:rPr>
        <w:t>▶ </w:t>
      </w:r>
      <w:r>
        <w:rPr>
          <w:rFonts w:ascii="Calibri" w:hAnsi="Calibri"/>
          <w:color w:val="231F1F"/>
          <w:w w:val="105"/>
        </w:rPr>
        <w:t>Roflumilast: </w:t>
      </w:r>
      <w:r>
        <w:rPr>
          <w:color w:val="231F1F"/>
          <w:w w:val="105"/>
        </w:rPr>
        <w:t>avoidance of theophylline advised by manufacturer of </w:t>
      </w:r>
      <w:r>
        <w:rPr>
          <w:rFonts w:ascii="Calibri" w:hAnsi="Calibri"/>
          <w:color w:val="008356"/>
          <w:w w:val="105"/>
          <w:sz w:val="11"/>
        </w:rPr>
        <w:t>ROFLUMILAST</w:t>
      </w:r>
    </w:p>
    <w:p>
      <w:pPr>
        <w:pStyle w:val="BodyText"/>
        <w:spacing w:line="220" w:lineRule="auto" w:before="10"/>
        <w:ind w:left="286" w:right="45" w:hanging="100"/>
        <w:rPr>
          <w:rFonts w:ascii="Calibri" w:hAnsi="Calibri"/>
          <w:sz w:val="11"/>
        </w:rPr>
      </w:pPr>
      <w:r>
        <w:rPr>
          <w:rFonts w:ascii="Lucida Sans Unicode" w:hAnsi="Lucida Sans Unicode"/>
          <w:color w:val="A7A8AC"/>
          <w:w w:val="95"/>
          <w:sz w:val="10"/>
        </w:rPr>
        <w:t>▶ </w:t>
      </w:r>
      <w:r>
        <w:rPr>
          <w:rFonts w:ascii="Calibri" w:hAnsi="Calibri"/>
          <w:color w:val="231F1F"/>
          <w:w w:val="105"/>
        </w:rPr>
        <w:t>Sulfinpyrazone: </w:t>
      </w:r>
      <w:r>
        <w:rPr>
          <w:color w:val="231F1F"/>
          <w:w w:val="105"/>
        </w:rPr>
        <w:t>plasma  concentration of  theophylline reduced by </w:t>
      </w:r>
      <w:r>
        <w:rPr>
          <w:rFonts w:ascii="Calibri" w:hAnsi="Calibri"/>
          <w:color w:val="008356"/>
          <w:spacing w:val="5"/>
          <w:w w:val="105"/>
          <w:sz w:val="11"/>
        </w:rPr>
        <w:t>SULFINPYRAZONE</w:t>
      </w:r>
    </w:p>
    <w:p>
      <w:pPr>
        <w:pStyle w:val="BodyText"/>
        <w:spacing w:line="220" w:lineRule="auto" w:before="8"/>
        <w:ind w:left="286" w:right="45" w:hanging="100"/>
      </w:pPr>
      <w:r>
        <w:rPr>
          <w:rFonts w:ascii="Lucida Sans Unicode" w:hAnsi="Lucida Sans Unicode"/>
          <w:color w:val="A7A8AC"/>
          <w:w w:val="95"/>
          <w:sz w:val="10"/>
        </w:rPr>
        <w:t>▶ </w:t>
      </w:r>
      <w:r>
        <w:rPr>
          <w:rFonts w:ascii="Calibri" w:hAnsi="Calibri"/>
          <w:color w:val="231F1F"/>
          <w:w w:val="110"/>
        </w:rPr>
        <w:t>Sympathomimetics: </w:t>
      </w:r>
      <w:r>
        <w:rPr>
          <w:color w:val="231F1F"/>
          <w:w w:val="110"/>
        </w:rPr>
        <w:t>manufacturer of theophylline advises avoid concomitant use with </w:t>
      </w:r>
      <w:r>
        <w:rPr>
          <w:rFonts w:ascii="Calibri" w:hAnsi="Calibri"/>
          <w:color w:val="008356"/>
          <w:w w:val="110"/>
          <w:sz w:val="11"/>
        </w:rPr>
        <w:t>EPHEDRINE </w:t>
      </w:r>
      <w:r>
        <w:rPr>
          <w:color w:val="231F1F"/>
          <w:w w:val="110"/>
        </w:rPr>
        <w:t>in children</w:t>
      </w:r>
    </w:p>
    <w:p>
      <w:pPr>
        <w:pStyle w:val="BodyText"/>
        <w:spacing w:line="220" w:lineRule="auto" w:before="8"/>
        <w:ind w:left="286" w:right="45"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increased risk of hypokalaemia when </w:t>
      </w:r>
      <w:r>
        <w:rPr>
          <w:color w:val="231F1F"/>
          <w:w w:val="105"/>
          <w:position w:val="2"/>
          <w:vertAlign w:val="baseline"/>
        </w:rPr>
        <w:t>theophylline given with high  doses  of  </w:t>
      </w:r>
      <w:r>
        <w:rPr>
          <w:rFonts w:ascii="Calibri" w:hAnsi="Calibri"/>
          <w:color w:val="008356"/>
          <w:w w:val="105"/>
          <w:position w:val="2"/>
          <w:sz w:val="11"/>
          <w:vertAlign w:val="baseline"/>
        </w:rPr>
        <w:t>BETA</w:t>
      </w:r>
      <w:r>
        <w:rPr>
          <w:rFonts w:ascii="Calibri" w:hAnsi="Calibri"/>
          <w:color w:val="008356"/>
          <w:w w:val="105"/>
          <w:position w:val="2"/>
          <w:sz w:val="11"/>
          <w:vertAlign w:val="subscript"/>
        </w:rPr>
        <w:t>2</w:t>
      </w:r>
      <w:r>
        <w:rPr>
          <w:rFonts w:ascii="Calibri" w:hAnsi="Calibri"/>
          <w:color w:val="008356"/>
          <w:w w:val="105"/>
          <w:position w:val="2"/>
          <w:sz w:val="11"/>
          <w:vertAlign w:val="baseline"/>
        </w:rPr>
        <w:t> </w:t>
      </w:r>
      <w:r>
        <w:rPr>
          <w:rFonts w:ascii="Calibri" w:hAnsi="Calibri"/>
          <w:color w:val="008356"/>
          <w:w w:val="105"/>
          <w:sz w:val="11"/>
          <w:vertAlign w:val="baseline"/>
        </w:rPr>
        <w:t>SYMPATHOMIMETICS</w:t>
      </w:r>
    </w:p>
    <w:p>
      <w:pPr>
        <w:pStyle w:val="BodyText"/>
        <w:spacing w:line="242" w:lineRule="auto"/>
        <w:ind w:left="286" w:right="45" w:hanging="100"/>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Ulcer-healing</w:t>
      </w:r>
      <w:r>
        <w:rPr>
          <w:rFonts w:ascii="Calibri"/>
          <w:color w:val="231F1F"/>
          <w:spacing w:val="-14"/>
          <w:w w:val="115"/>
        </w:rPr>
        <w:t> </w:t>
      </w:r>
      <w:r>
        <w:rPr>
          <w:rFonts w:ascii="Calibri"/>
          <w:color w:val="231F1F"/>
          <w:w w:val="115"/>
        </w:rPr>
        <w:t>Drugs:</w:t>
      </w:r>
      <w:r>
        <w:rPr>
          <w:rFonts w:ascii="Calibri"/>
          <w:color w:val="231F1F"/>
          <w:spacing w:val="-13"/>
          <w:w w:val="115"/>
        </w:rPr>
        <w:t> </w:t>
      </w:r>
      <w:r>
        <w:rPr>
          <w:color w:val="231F1F"/>
          <w:w w:val="115"/>
        </w:rPr>
        <w:t>metabolism</w:t>
      </w:r>
      <w:r>
        <w:rPr>
          <w:color w:val="231F1F"/>
          <w:spacing w:val="-17"/>
          <w:w w:val="115"/>
        </w:rPr>
        <w:t> </w:t>
      </w:r>
      <w:r>
        <w:rPr>
          <w:color w:val="231F1F"/>
          <w:w w:val="115"/>
        </w:rPr>
        <w:t>of</w:t>
      </w:r>
      <w:r>
        <w:rPr>
          <w:color w:val="231F1F"/>
          <w:spacing w:val="-17"/>
          <w:w w:val="115"/>
        </w:rPr>
        <w:t> </w:t>
      </w:r>
      <w:r>
        <w:rPr>
          <w:color w:val="231F1F"/>
          <w:w w:val="115"/>
        </w:rPr>
        <w:t>theophylline</w:t>
      </w:r>
      <w:r>
        <w:rPr>
          <w:color w:val="231F1F"/>
          <w:spacing w:val="-18"/>
          <w:w w:val="115"/>
        </w:rPr>
        <w:t> </w:t>
      </w:r>
      <w:r>
        <w:rPr>
          <w:color w:val="231F1F"/>
          <w:w w:val="115"/>
        </w:rPr>
        <w:t>inhibited</w:t>
      </w:r>
      <w:r>
        <w:rPr>
          <w:color w:val="231F1F"/>
          <w:spacing w:val="-17"/>
          <w:w w:val="115"/>
        </w:rPr>
        <w:t> </w:t>
      </w:r>
      <w:r>
        <w:rPr>
          <w:color w:val="231F1F"/>
          <w:w w:val="115"/>
        </w:rPr>
        <w:t>by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CIMETIDINE</w:t>
      </w:r>
      <w:r>
        <w:rPr>
          <w:rFonts w:ascii="Calibri"/>
          <w:color w:val="008356"/>
          <w:spacing w:val="-8"/>
          <w:w w:val="115"/>
          <w:sz w:val="11"/>
        </w:rPr>
        <w:t> </w:t>
      </w:r>
      <w:r>
        <w:rPr>
          <w:color w:val="231F1F"/>
          <w:w w:val="115"/>
        </w:rPr>
        <w:t>(increased</w:t>
      </w:r>
      <w:r>
        <w:rPr>
          <w:color w:val="231F1F"/>
          <w:spacing w:val="-16"/>
          <w:w w:val="115"/>
        </w:rPr>
        <w:t> </w:t>
      </w:r>
      <w:r>
        <w:rPr>
          <w:color w:val="231F1F"/>
          <w:w w:val="115"/>
        </w:rPr>
        <w:t>plasma</w:t>
      </w:r>
      <w:r>
        <w:rPr>
          <w:color w:val="231F1F"/>
          <w:spacing w:val="-17"/>
          <w:w w:val="115"/>
        </w:rPr>
        <w:t> </w:t>
      </w:r>
      <w:r>
        <w:rPr>
          <w:color w:val="231F1F"/>
          <w:w w:val="115"/>
        </w:rPr>
        <w:t>concentration);</w:t>
      </w:r>
      <w:r>
        <w:rPr>
          <w:color w:val="231F1F"/>
          <w:spacing w:val="-16"/>
          <w:w w:val="115"/>
        </w:rPr>
        <w:t> </w:t>
      </w:r>
      <w:r>
        <w:rPr>
          <w:color w:val="231F1F"/>
          <w:w w:val="115"/>
        </w:rPr>
        <w:t>absorption</w:t>
      </w:r>
      <w:r>
        <w:rPr>
          <w:color w:val="231F1F"/>
          <w:spacing w:val="-17"/>
          <w:w w:val="115"/>
        </w:rPr>
        <w:t> </w:t>
      </w:r>
      <w:r>
        <w:rPr>
          <w:color w:val="231F1F"/>
          <w:spacing w:val="-7"/>
          <w:w w:val="115"/>
        </w:rPr>
        <w:t>of </w:t>
      </w:r>
      <w:r>
        <w:rPr>
          <w:color w:val="231F1F"/>
          <w:w w:val="115"/>
        </w:rPr>
        <w:t>theophylline</w:t>
      </w:r>
      <w:r>
        <w:rPr>
          <w:color w:val="231F1F"/>
          <w:spacing w:val="-17"/>
          <w:w w:val="115"/>
        </w:rPr>
        <w:t> </w:t>
      </w:r>
      <w:r>
        <w:rPr>
          <w:color w:val="231F1F"/>
          <w:w w:val="115"/>
        </w:rPr>
        <w:t>possibly</w:t>
      </w:r>
      <w:r>
        <w:rPr>
          <w:color w:val="231F1F"/>
          <w:spacing w:val="-17"/>
          <w:w w:val="115"/>
        </w:rPr>
        <w:t> </w:t>
      </w:r>
      <w:r>
        <w:rPr>
          <w:color w:val="231F1F"/>
          <w:w w:val="115"/>
        </w:rPr>
        <w:t>reduced</w:t>
      </w:r>
      <w:r>
        <w:rPr>
          <w:color w:val="231F1F"/>
          <w:spacing w:val="-16"/>
          <w:w w:val="115"/>
        </w:rPr>
        <w:t> </w:t>
      </w:r>
      <w:r>
        <w:rPr>
          <w:color w:val="231F1F"/>
          <w:w w:val="115"/>
        </w:rPr>
        <w:t>by</w:t>
      </w:r>
      <w:r>
        <w:rPr>
          <w:color w:val="231F1F"/>
          <w:spacing w:val="-17"/>
          <w:w w:val="115"/>
        </w:rPr>
        <w:t> </w:t>
      </w:r>
      <w:r>
        <w:rPr>
          <w:rFonts w:ascii="Calibri"/>
          <w:color w:val="008356"/>
          <w:spacing w:val="3"/>
          <w:w w:val="115"/>
          <w:sz w:val="11"/>
        </w:rPr>
        <w:t>SUCRALFATE</w:t>
      </w:r>
      <w:r>
        <w:rPr>
          <w:rFonts w:ascii="Calibri"/>
          <w:color w:val="008356"/>
          <w:spacing w:val="-6"/>
          <w:w w:val="115"/>
          <w:sz w:val="11"/>
        </w:rPr>
        <w:t> </w:t>
      </w:r>
      <w:r>
        <w:rPr>
          <w:color w:val="231F1F"/>
          <w:w w:val="115"/>
        </w:rPr>
        <w:t>(give</w:t>
      </w:r>
      <w:r>
        <w:rPr>
          <w:color w:val="231F1F"/>
          <w:spacing w:val="-17"/>
          <w:w w:val="115"/>
        </w:rPr>
        <w:t> </w:t>
      </w:r>
      <w:r>
        <w:rPr>
          <w:color w:val="231F1F"/>
          <w:w w:val="130"/>
        </w:rPr>
        <w:t>at</w:t>
      </w:r>
      <w:r>
        <w:rPr>
          <w:color w:val="231F1F"/>
          <w:spacing w:val="-20"/>
          <w:w w:val="130"/>
        </w:rPr>
        <w:t> </w:t>
      </w:r>
      <w:r>
        <w:rPr>
          <w:color w:val="231F1F"/>
          <w:w w:val="115"/>
        </w:rPr>
        <w:t>least</w:t>
      </w:r>
      <w:r>
        <w:rPr>
          <w:color w:val="231F1F"/>
          <w:spacing w:val="-17"/>
          <w:w w:val="115"/>
        </w:rPr>
        <w:t> </w:t>
      </w:r>
      <w:r>
        <w:rPr>
          <w:color w:val="231F1F"/>
          <w:w w:val="115"/>
        </w:rPr>
        <w:t>2 hours</w:t>
      </w:r>
      <w:r>
        <w:rPr>
          <w:color w:val="231F1F"/>
          <w:spacing w:val="-4"/>
          <w:w w:val="115"/>
        </w:rPr>
        <w:t> </w:t>
      </w:r>
      <w:r>
        <w:rPr>
          <w:color w:val="231F1F"/>
          <w:w w:val="115"/>
        </w:rPr>
        <w:t>apart)</w:t>
      </w:r>
    </w:p>
    <w:p>
      <w:pPr>
        <w:spacing w:line="220" w:lineRule="auto" w:before="7"/>
        <w:ind w:left="286" w:right="18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plasma concentration of theophylline possibly increased by </w:t>
      </w:r>
      <w:r>
        <w:rPr>
          <w:rFonts w:ascii="Calibri" w:hAnsi="Calibri"/>
          <w:color w:val="008356"/>
          <w:w w:val="105"/>
          <w:sz w:val="11"/>
        </w:rPr>
        <w:t>INFLUENZA VACCINE</w:t>
      </w:r>
    </w:p>
    <w:p>
      <w:pPr>
        <w:pStyle w:val="BodyText"/>
        <w:spacing w:line="256" w:lineRule="auto" w:before="10"/>
        <w:ind w:left="186" w:right="1038"/>
        <w:rPr>
          <w:rFonts w:ascii="Trebuchet MS"/>
        </w:rPr>
      </w:pPr>
      <w:r>
        <w:rPr>
          <w:rFonts w:ascii="Trebuchet MS"/>
          <w:color w:val="008356"/>
          <w:w w:val="105"/>
        </w:rPr>
        <w:t>Thiazolidinediones </w:t>
      </w:r>
      <w:r>
        <w:rPr>
          <w:i/>
          <w:color w:val="231F1F"/>
          <w:w w:val="105"/>
        </w:rPr>
        <w:t>see </w:t>
      </w:r>
      <w:r>
        <w:rPr>
          <w:color w:val="231F1F"/>
          <w:w w:val="105"/>
        </w:rPr>
        <w:t>Antidiabetics </w:t>
      </w:r>
      <w:r>
        <w:rPr>
          <w:rFonts w:ascii="Trebuchet MS"/>
          <w:color w:val="008356"/>
          <w:w w:val="105"/>
        </w:rPr>
        <w:t>Thiopental </w:t>
      </w:r>
      <w:r>
        <w:rPr>
          <w:i/>
          <w:color w:val="231F1F"/>
          <w:w w:val="105"/>
        </w:rPr>
        <w:t>see </w:t>
      </w:r>
      <w:r>
        <w:rPr>
          <w:color w:val="231F1F"/>
          <w:w w:val="105"/>
        </w:rPr>
        <w:t>Anaesthetics, General </w:t>
      </w:r>
      <w:r>
        <w:rPr>
          <w:rFonts w:ascii="Trebuchet MS"/>
          <w:color w:val="008356"/>
          <w:w w:val="105"/>
        </w:rPr>
        <w:t>Thiotepa</w:t>
      </w:r>
    </w:p>
    <w:p>
      <w:pPr>
        <w:pStyle w:val="BodyText"/>
        <w:spacing w:line="137"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spacing w:line="153"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sz w:val="12"/>
        </w:rPr>
        <w:t>Muscle Relaxants: </w:t>
      </w:r>
      <w:r>
        <w:rPr>
          <w:color w:val="231F1F"/>
          <w:sz w:val="12"/>
        </w:rPr>
        <w:t>thiotepa enhances effects of </w:t>
      </w:r>
      <w:r>
        <w:rPr>
          <w:rFonts w:ascii="Calibri" w:hAnsi="Calibri"/>
          <w:color w:val="008356"/>
          <w:sz w:val="11"/>
        </w:rPr>
        <w:t>SUXAMETHONIUM</w:t>
      </w:r>
    </w:p>
    <w:p>
      <w:pPr>
        <w:pStyle w:val="BodyText"/>
        <w:spacing w:line="136" w:lineRule="exact"/>
        <w:ind w:left="186"/>
      </w:pPr>
      <w:r>
        <w:rPr>
          <w:rFonts w:ascii="Trebuchet MS"/>
          <w:color w:val="008356"/>
          <w:w w:val="105"/>
        </w:rPr>
        <w:t>Thioxanthenes </w:t>
      </w:r>
      <w:r>
        <w:rPr>
          <w:i/>
          <w:color w:val="231F1F"/>
          <w:w w:val="105"/>
        </w:rPr>
        <w:t>see </w:t>
      </w:r>
      <w:r>
        <w:rPr>
          <w:color w:val="231F1F"/>
          <w:w w:val="105"/>
        </w:rPr>
        <w:t>Antipsychotics</w:t>
      </w:r>
    </w:p>
    <w:p>
      <w:pPr>
        <w:pStyle w:val="BodyText"/>
        <w:spacing w:before="10"/>
        <w:ind w:left="186"/>
        <w:rPr>
          <w:rFonts w:ascii="Trebuchet MS"/>
        </w:rPr>
      </w:pPr>
      <w:r>
        <w:rPr>
          <w:rFonts w:ascii="Trebuchet MS"/>
          <w:color w:val="008356"/>
        </w:rPr>
        <w:t>Thyroid Hormones</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Antacids: </w:t>
      </w:r>
      <w:r>
        <w:rPr>
          <w:color w:val="231F1F"/>
          <w:w w:val="105"/>
        </w:rPr>
        <w:t>absorption of levothyroxine possibly reduced by</w:t>
      </w:r>
    </w:p>
    <w:p>
      <w:pPr>
        <w:spacing w:line="130" w:lineRule="exact" w:before="0"/>
        <w:ind w:left="286" w:right="0" w:firstLine="0"/>
        <w:jc w:val="left"/>
        <w:rPr>
          <w:rFonts w:ascii="Calibri"/>
          <w:sz w:val="11"/>
        </w:rPr>
      </w:pPr>
      <w:r>
        <w:rPr>
          <w:rFonts w:ascii="Calibri"/>
          <w:color w:val="008356"/>
          <w:sz w:val="11"/>
        </w:rPr>
        <w:t>ANTACIDS</w:t>
      </w:r>
    </w:p>
    <w:p>
      <w:pPr>
        <w:pStyle w:val="BodyText"/>
        <w:spacing w:line="230" w:lineRule="auto" w:before="3"/>
        <w:ind w:left="286"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serum concentrations of thyroid hormones can be affected by </w:t>
      </w:r>
      <w:r>
        <w:rPr>
          <w:rFonts w:ascii="Calibri" w:hAnsi="Calibri"/>
          <w:color w:val="008356"/>
          <w:w w:val="110"/>
          <w:sz w:val="11"/>
        </w:rPr>
        <w:t>AMIODARONE</w:t>
      </w:r>
      <w:r>
        <w:rPr>
          <w:rFonts w:ascii="Arial" w:hAnsi="Arial"/>
          <w:color w:val="231F1F"/>
          <w:w w:val="110"/>
        </w:rPr>
        <w:t>—</w:t>
      </w:r>
      <w:r>
        <w:rPr>
          <w:color w:val="231F1F"/>
          <w:w w:val="110"/>
        </w:rPr>
        <w:t>monitor thyroid function closely</w:t>
      </w:r>
    </w:p>
    <w:p>
      <w:pPr>
        <w:pStyle w:val="BodyText"/>
        <w:spacing w:line="230" w:lineRule="auto" w:before="7"/>
        <w:ind w:left="286"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metabolism of levothyroxine accelerated by </w:t>
      </w:r>
      <w:r>
        <w:rPr>
          <w:rFonts w:ascii="Calibri" w:hAnsi="Calibri"/>
          <w:color w:val="008356"/>
          <w:w w:val="110"/>
          <w:sz w:val="11"/>
        </w:rPr>
        <w:t>RIFAMPICIN </w:t>
      </w:r>
      <w:r>
        <w:rPr>
          <w:color w:val="231F1F"/>
          <w:w w:val="110"/>
        </w:rPr>
        <w:t>(may increase requirements for levothyroxine in hypothyroidism)</w:t>
      </w:r>
    </w:p>
    <w:p>
      <w:pPr>
        <w:spacing w:before="4"/>
        <w:ind w:left="286" w:right="181" w:hanging="100"/>
        <w:jc w:val="left"/>
        <w:rPr>
          <w:rFonts w:ascii="Calibri"/>
          <w:sz w:val="11"/>
        </w:rPr>
      </w:pPr>
      <w:r>
        <w:rPr>
          <w:rFonts w:ascii="Arial"/>
          <w:color w:val="231F1F"/>
          <w:w w:val="355"/>
          <w:position w:val="1"/>
          <w:sz w:val="7"/>
        </w:rPr>
        <w:t>l </w:t>
      </w:r>
      <w:r>
        <w:rPr>
          <w:rFonts w:ascii="Calibri"/>
          <w:color w:val="231F1F"/>
          <w:w w:val="110"/>
          <w:sz w:val="12"/>
        </w:rPr>
        <w:t>Anticoagulants: </w:t>
      </w:r>
      <w:r>
        <w:rPr>
          <w:color w:val="231F1F"/>
          <w:w w:val="110"/>
          <w:sz w:val="12"/>
        </w:rPr>
        <w:t>thyroid hormones enhance anticoagulant effect of </w:t>
      </w: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p>
    <w:p>
      <w:pPr>
        <w:spacing w:line="230" w:lineRule="auto" w:before="1"/>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Antidepressants: </w:t>
      </w:r>
      <w:r>
        <w:rPr>
          <w:color w:val="231F1F"/>
          <w:w w:val="110"/>
          <w:sz w:val="12"/>
        </w:rPr>
        <w:t>thyroid hormones enhance effects of </w:t>
      </w:r>
      <w:r>
        <w:rPr>
          <w:rFonts w:ascii="Calibri" w:hAnsi="Calibri"/>
          <w:color w:val="008356"/>
          <w:w w:val="110"/>
          <w:sz w:val="11"/>
        </w:rPr>
        <w:t>AMITRIPTYLINE </w:t>
      </w:r>
      <w:r>
        <w:rPr>
          <w:color w:val="231F1F"/>
          <w:w w:val="110"/>
          <w:sz w:val="12"/>
        </w:rPr>
        <w:t>and </w:t>
      </w:r>
      <w:r>
        <w:rPr>
          <w:rFonts w:ascii="Calibri" w:hAnsi="Calibri"/>
          <w:color w:val="008356"/>
          <w:w w:val="110"/>
          <w:sz w:val="11"/>
        </w:rPr>
        <w:t>IMIPRAMINE</w:t>
      </w:r>
      <w:r>
        <w:rPr>
          <w:color w:val="231F1F"/>
          <w:w w:val="110"/>
          <w:sz w:val="12"/>
        </w:rPr>
        <w:t>; thyroid hormones possibly enhance effects of </w:t>
      </w:r>
      <w:r>
        <w:rPr>
          <w:rFonts w:ascii="Calibri" w:hAnsi="Calibri"/>
          <w:color w:val="008356"/>
          <w:w w:val="110"/>
          <w:sz w:val="11"/>
        </w:rPr>
        <w:t>TRICYCLICS</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Antiepileptics:  </w:t>
      </w:r>
      <w:r>
        <w:rPr>
          <w:color w:val="231F1F"/>
          <w:w w:val="105"/>
        </w:rPr>
        <w:t>metabolism of  thyroid  hormones accelerated</w:t>
      </w:r>
      <w:r>
        <w:rPr>
          <w:color w:val="231F1F"/>
          <w:spacing w:val="10"/>
          <w:w w:val="105"/>
        </w:rPr>
        <w:t> </w:t>
      </w:r>
      <w:r>
        <w:rPr>
          <w:color w:val="231F1F"/>
          <w:w w:val="105"/>
        </w:rPr>
        <w:t>by</w:t>
      </w:r>
    </w:p>
    <w:p>
      <w:pPr>
        <w:spacing w:line="135" w:lineRule="exact" w:before="0"/>
        <w:ind w:left="286" w:right="0" w:firstLine="0"/>
        <w:jc w:val="left"/>
        <w:rPr>
          <w:sz w:val="12"/>
        </w:rPr>
      </w:pPr>
      <w:r>
        <w:rPr>
          <w:rFonts w:ascii="Calibri"/>
          <w:color w:val="008356"/>
          <w:spacing w:val="4"/>
          <w:w w:val="105"/>
          <w:sz w:val="11"/>
        </w:rPr>
        <w:t>CARBAMAZEPINE</w:t>
      </w:r>
      <w:r>
        <w:rPr>
          <w:color w:val="231F1F"/>
          <w:spacing w:val="4"/>
          <w:w w:val="105"/>
          <w:sz w:val="12"/>
        </w:rPr>
        <w:t>,</w:t>
      </w:r>
      <w:r>
        <w:rPr>
          <w:color w:val="231F1F"/>
          <w:spacing w:val="-9"/>
          <w:w w:val="105"/>
          <w:sz w:val="12"/>
        </w:rPr>
        <w:t> </w:t>
      </w:r>
      <w:r>
        <w:rPr>
          <w:rFonts w:ascii="Calibri"/>
          <w:color w:val="008356"/>
          <w:spacing w:val="4"/>
          <w:w w:val="105"/>
          <w:sz w:val="11"/>
        </w:rPr>
        <w:t>PHENOBARBITAL</w:t>
      </w:r>
      <w:r>
        <w:rPr>
          <w:rFonts w:ascii="Calibri"/>
          <w:color w:val="008356"/>
          <w:w w:val="105"/>
          <w:sz w:val="11"/>
        </w:rPr>
        <w:t> </w:t>
      </w:r>
      <w:r>
        <w:rPr>
          <w:color w:val="231F1F"/>
          <w:w w:val="105"/>
          <w:sz w:val="12"/>
        </w:rPr>
        <w:t>and</w:t>
      </w:r>
      <w:r>
        <w:rPr>
          <w:color w:val="231F1F"/>
          <w:spacing w:val="-9"/>
          <w:w w:val="105"/>
          <w:sz w:val="12"/>
        </w:rPr>
        <w:t> </w:t>
      </w:r>
      <w:r>
        <w:rPr>
          <w:rFonts w:ascii="Calibri"/>
          <w:color w:val="008356"/>
          <w:spacing w:val="4"/>
          <w:w w:val="105"/>
          <w:sz w:val="11"/>
        </w:rPr>
        <w:t>PRIMIDONE</w:t>
      </w:r>
      <w:r>
        <w:rPr>
          <w:rFonts w:ascii="Calibri"/>
          <w:color w:val="008356"/>
          <w:spacing w:val="1"/>
          <w:w w:val="105"/>
          <w:sz w:val="11"/>
        </w:rPr>
        <w:t> </w:t>
      </w:r>
      <w:r>
        <w:rPr>
          <w:color w:val="231F1F"/>
          <w:w w:val="105"/>
          <w:sz w:val="12"/>
        </w:rPr>
        <w:t>(may</w:t>
      </w:r>
      <w:r>
        <w:rPr>
          <w:color w:val="231F1F"/>
          <w:spacing w:val="-9"/>
          <w:w w:val="105"/>
          <w:sz w:val="12"/>
        </w:rPr>
        <w:t> </w:t>
      </w:r>
      <w:r>
        <w:rPr>
          <w:color w:val="231F1F"/>
          <w:w w:val="105"/>
          <w:sz w:val="12"/>
        </w:rPr>
        <w:t>increase</w:t>
      </w:r>
    </w:p>
    <w:p>
      <w:pPr>
        <w:pStyle w:val="BodyText"/>
        <w:spacing w:line="247" w:lineRule="auto" w:before="2"/>
        <w:ind w:left="286" w:right="15"/>
      </w:pPr>
      <w:r>
        <w:rPr>
          <w:color w:val="231F1F"/>
          <w:w w:val="115"/>
        </w:rPr>
        <w:t>requirements for thyroid hormones in hypothyroidism); metabolism of thyroid hormones accelerated by </w:t>
      </w:r>
      <w:r>
        <w:rPr>
          <w:rFonts w:ascii="Calibri"/>
          <w:color w:val="008356"/>
          <w:w w:val="110"/>
          <w:sz w:val="11"/>
        </w:rPr>
        <w:t>FOSPHENYTOIN </w:t>
      </w:r>
      <w:r>
        <w:rPr>
          <w:color w:val="231F1F"/>
          <w:w w:val="110"/>
        </w:rPr>
        <w:t>and </w:t>
      </w:r>
      <w:r>
        <w:rPr>
          <w:rFonts w:ascii="Calibri"/>
          <w:color w:val="008356"/>
          <w:w w:val="110"/>
          <w:sz w:val="11"/>
        </w:rPr>
        <w:t>PHENYTOIN </w:t>
      </w:r>
      <w:r>
        <w:rPr>
          <w:color w:val="231F1F"/>
          <w:w w:val="110"/>
        </w:rPr>
        <w:t>(may increase requirements in </w:t>
      </w:r>
      <w:r>
        <w:rPr>
          <w:color w:val="231F1F"/>
          <w:w w:val="115"/>
        </w:rPr>
        <w:t>hypothyroidism), also plasma concentration of fosphenytoin and phenytoin possibly increased</w:t>
      </w:r>
    </w:p>
    <w:p>
      <w:pPr>
        <w:pStyle w:val="BodyText"/>
        <w:spacing w:line="154" w:lineRule="exact"/>
        <w:ind w:left="186"/>
      </w:pPr>
      <w:r>
        <w:rPr>
          <w:rFonts w:ascii="Lucida Sans Unicode" w:hAnsi="Lucida Sans Unicode"/>
          <w:color w:val="A7A8AC"/>
          <w:w w:val="95"/>
          <w:sz w:val="10"/>
        </w:rPr>
        <w:t>▶ </w:t>
      </w:r>
      <w:r>
        <w:rPr>
          <w:rFonts w:ascii="Calibri" w:hAnsi="Calibri"/>
          <w:color w:val="231F1F"/>
        </w:rPr>
        <w:t>Beta-blockers: </w:t>
      </w:r>
      <w:r>
        <w:rPr>
          <w:color w:val="231F1F"/>
        </w:rPr>
        <w:t>levothyroxine accelerates metabolism of</w:t>
      </w:r>
    </w:p>
    <w:p>
      <w:pPr>
        <w:spacing w:line="130" w:lineRule="exact" w:before="0"/>
        <w:ind w:left="286" w:right="0" w:firstLine="0"/>
        <w:jc w:val="left"/>
        <w:rPr>
          <w:rFonts w:ascii="Calibri"/>
          <w:sz w:val="11"/>
        </w:rPr>
      </w:pPr>
      <w:r>
        <w:rPr>
          <w:rFonts w:ascii="Calibri"/>
          <w:color w:val="008356"/>
          <w:sz w:val="11"/>
        </w:rPr>
        <w:t>PROPRANOLOL</w:t>
      </w:r>
    </w:p>
    <w:p>
      <w:pPr>
        <w:spacing w:line="232" w:lineRule="auto" w:before="3"/>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levothyroxine reduced by </w:t>
      </w:r>
      <w:r>
        <w:rPr>
          <w:rFonts w:ascii="Calibri" w:hAnsi="Calibri"/>
          <w:color w:val="008356"/>
          <w:w w:val="105"/>
          <w:sz w:val="11"/>
        </w:rPr>
        <w:t>CALCIUM SALTS</w:t>
      </w:r>
    </w:p>
    <w:p>
      <w:pPr>
        <w:pStyle w:val="BodyText"/>
        <w:spacing w:line="242" w:lineRule="auto"/>
        <w:ind w:left="286" w:right="181" w:hanging="100"/>
        <w:rPr>
          <w:rFonts w:ascii="Calibri" w:hAnsi="Calibri"/>
          <w:sz w:val="11"/>
        </w:rPr>
      </w:pPr>
      <w:r>
        <w:rPr>
          <w:rFonts w:ascii="Lucida Sans Unicode" w:hAnsi="Lucida Sans Unicode"/>
          <w:color w:val="A7A8AC"/>
          <w:w w:val="95"/>
          <w:sz w:val="10"/>
        </w:rPr>
        <w:t>▶ </w:t>
      </w:r>
      <w:r>
        <w:rPr>
          <w:rFonts w:ascii="Calibri" w:hAnsi="Calibri"/>
          <w:color w:val="231F1F"/>
          <w:w w:val="110"/>
        </w:rPr>
        <w:t>Colestilan: </w:t>
      </w:r>
      <w:r>
        <w:rPr>
          <w:color w:val="231F1F"/>
          <w:w w:val="110"/>
        </w:rPr>
        <w:t>manufacturer of colestilan advises give levothyroxine at least 1 hour before or 3 hours after </w:t>
      </w:r>
      <w:r>
        <w:rPr>
          <w:rFonts w:ascii="Calibri" w:hAnsi="Calibri"/>
          <w:color w:val="008356"/>
          <w:w w:val="110"/>
          <w:sz w:val="11"/>
        </w:rPr>
        <w:t>COLESTILAN</w:t>
      </w:r>
    </w:p>
    <w:p>
      <w:pPr>
        <w:pStyle w:val="BodyText"/>
        <w:spacing w:line="22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plasma concentration of levothyroxine possibly reduced by </w:t>
      </w:r>
      <w:r>
        <w:rPr>
          <w:rFonts w:ascii="Calibri" w:hAnsi="Calibri"/>
          <w:color w:val="008356"/>
          <w:w w:val="105"/>
          <w:sz w:val="11"/>
        </w:rPr>
        <w:t>IMATINIB</w:t>
      </w:r>
    </w:p>
    <w:p>
      <w:pPr>
        <w:pStyle w:val="BodyText"/>
        <w:spacing w:line="220" w:lineRule="auto" w:before="8"/>
        <w:ind w:left="286" w:right="150" w:hanging="100"/>
      </w:pPr>
      <w:r>
        <w:rPr>
          <w:rFonts w:ascii="Lucida Sans Unicode" w:hAnsi="Lucida Sans Unicode"/>
          <w:color w:val="A7A8AC"/>
          <w:w w:val="95"/>
          <w:sz w:val="10"/>
        </w:rPr>
        <w:t>▶ </w:t>
      </w:r>
      <w:r>
        <w:rPr>
          <w:rFonts w:ascii="Calibri" w:hAnsi="Calibri"/>
          <w:color w:val="231F1F"/>
          <w:w w:val="110"/>
        </w:rPr>
        <w:t>Iron Salts: </w:t>
      </w:r>
      <w:r>
        <w:rPr>
          <w:color w:val="231F1F"/>
          <w:w w:val="110"/>
        </w:rPr>
        <w:t>absorption of levothyroxine reduced by </w:t>
      </w:r>
      <w:r>
        <w:rPr>
          <w:i/>
          <w:color w:val="231F1F"/>
          <w:w w:val="110"/>
        </w:rPr>
        <w:t>oral </w:t>
      </w:r>
      <w:r>
        <w:rPr>
          <w:rFonts w:ascii="Calibri" w:hAnsi="Calibri"/>
          <w:color w:val="008356"/>
          <w:w w:val="110"/>
          <w:sz w:val="11"/>
        </w:rPr>
        <w:t>IRON SALTS </w:t>
      </w:r>
      <w:r>
        <w:rPr>
          <w:color w:val="231F1F"/>
          <w:w w:val="110"/>
        </w:rPr>
        <w:t>(give at least 2 hours apart)</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Lanthanum: </w:t>
      </w:r>
      <w:r>
        <w:rPr>
          <w:color w:val="231F1F"/>
          <w:w w:val="105"/>
        </w:rPr>
        <w:t>absorption of levothyroxine reduced by</w:t>
      </w:r>
    </w:p>
    <w:p>
      <w:pPr>
        <w:spacing w:line="134" w:lineRule="exact" w:before="0"/>
        <w:ind w:left="286" w:right="0" w:firstLine="0"/>
        <w:jc w:val="left"/>
        <w:rPr>
          <w:sz w:val="12"/>
        </w:rPr>
      </w:pPr>
      <w:r>
        <w:rPr>
          <w:rFonts w:ascii="Calibri"/>
          <w:color w:val="008356"/>
          <w:w w:val="110"/>
          <w:sz w:val="11"/>
        </w:rPr>
        <w:t>LANTHANUM </w:t>
      </w:r>
      <w:r>
        <w:rPr>
          <w:color w:val="231F1F"/>
          <w:w w:val="110"/>
          <w:sz w:val="12"/>
        </w:rPr>
        <w:t>(give at least 2 hours apart)</w:t>
      </w:r>
    </w:p>
    <w:p>
      <w:pPr>
        <w:spacing w:line="230" w:lineRule="auto" w:before="4"/>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absorption of levothyroxine reduced by </w:t>
      </w:r>
      <w:r>
        <w:rPr>
          <w:rFonts w:ascii="Calibri" w:hAnsi="Calibri"/>
          <w:color w:val="008356"/>
          <w:w w:val="105"/>
          <w:sz w:val="11"/>
        </w:rPr>
        <w:t>COLESEVELAM</w:t>
      </w:r>
      <w:r>
        <w:rPr>
          <w:color w:val="231F1F"/>
          <w:w w:val="105"/>
          <w:sz w:val="12"/>
        </w:rPr>
        <w:t>; absorption of thyroid hormones reduced by </w:t>
      </w:r>
      <w:r>
        <w:rPr>
          <w:rFonts w:ascii="Calibri" w:hAnsi="Calibri"/>
          <w:color w:val="008356"/>
          <w:w w:val="105"/>
          <w:sz w:val="11"/>
        </w:rPr>
        <w:t>COLESTIPOL </w:t>
      </w:r>
      <w:r>
        <w:rPr>
          <w:color w:val="231F1F"/>
          <w:w w:val="105"/>
          <w:sz w:val="12"/>
        </w:rPr>
        <w:t>and </w:t>
      </w:r>
      <w:r>
        <w:rPr>
          <w:rFonts w:ascii="Calibri" w:hAnsi="Calibri"/>
          <w:color w:val="008356"/>
          <w:w w:val="105"/>
          <w:sz w:val="11"/>
        </w:rPr>
        <w:t>COLESTYRAMINE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requirements for thyroid hormones in hypothyroidism may be increased by </w:t>
      </w:r>
      <w:r>
        <w:rPr>
          <w:rFonts w:ascii="Calibri" w:hAnsi="Calibri"/>
          <w:color w:val="008356"/>
          <w:w w:val="110"/>
          <w:sz w:val="11"/>
        </w:rPr>
        <w:t>OESTROGENS</w:t>
      </w:r>
    </w:p>
    <w:p>
      <w:pPr>
        <w:pStyle w:val="BodyText"/>
        <w:spacing w:line="220" w:lineRule="auto" w:before="9"/>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10"/>
        </w:rPr>
        <w:t>Orlistat: </w:t>
      </w:r>
      <w:r>
        <w:rPr>
          <w:color w:val="231F1F"/>
          <w:w w:val="110"/>
        </w:rPr>
        <w:t>possible increased risk of hypothyroidism when levothyroxine given with </w:t>
      </w:r>
      <w:r>
        <w:rPr>
          <w:rFonts w:ascii="Calibri" w:hAnsi="Calibri"/>
          <w:color w:val="008356"/>
          <w:w w:val="110"/>
          <w:sz w:val="11"/>
        </w:rPr>
        <w:t>ORLISTAT</w:t>
      </w:r>
    </w:p>
    <w:p>
      <w:pPr>
        <w:spacing w:line="220" w:lineRule="auto" w:before="8"/>
        <w:ind w:left="286" w:right="45"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Polystyrene Sulfonate Resins: </w:t>
      </w:r>
      <w:r>
        <w:rPr>
          <w:color w:val="231F1F"/>
          <w:w w:val="105"/>
          <w:sz w:val="12"/>
        </w:rPr>
        <w:t>absorption of levothyroxine reduced by </w:t>
      </w:r>
      <w:r>
        <w:rPr>
          <w:rFonts w:ascii="Calibri" w:hAnsi="Calibri"/>
          <w:color w:val="008356"/>
          <w:w w:val="105"/>
          <w:sz w:val="11"/>
        </w:rPr>
        <w:t>POLYSTYRENE SULFONATE RESINS</w:t>
      </w:r>
    </w:p>
    <w:p>
      <w:pPr>
        <w:pStyle w:val="BodyText"/>
        <w:spacing w:line="155" w:lineRule="exact"/>
        <w:ind w:left="186"/>
      </w:pPr>
      <w:r>
        <w:rPr>
          <w:rFonts w:ascii="Lucida Sans Unicode" w:hAnsi="Lucida Sans Unicode"/>
          <w:color w:val="A7A8AC"/>
          <w:w w:val="95"/>
          <w:sz w:val="10"/>
        </w:rPr>
        <w:t>▶ </w:t>
      </w:r>
      <w:r>
        <w:rPr>
          <w:rFonts w:ascii="Calibri" w:hAnsi="Calibri"/>
          <w:color w:val="231F1F"/>
          <w:w w:val="105"/>
        </w:rPr>
        <w:t>Sevelamer: </w:t>
      </w:r>
      <w:r>
        <w:rPr>
          <w:color w:val="231F1F"/>
          <w:w w:val="105"/>
        </w:rPr>
        <w:t>absorption of levothyroxine possibly reduced by</w:t>
      </w:r>
    </w:p>
    <w:p>
      <w:pPr>
        <w:spacing w:line="130" w:lineRule="exact" w:before="0"/>
        <w:ind w:left="286" w:right="0" w:firstLine="0"/>
        <w:jc w:val="left"/>
        <w:rPr>
          <w:rFonts w:ascii="Calibri"/>
          <w:sz w:val="11"/>
        </w:rPr>
      </w:pPr>
      <w:r>
        <w:rPr>
          <w:rFonts w:ascii="Calibri"/>
          <w:color w:val="008356"/>
          <w:sz w:val="11"/>
        </w:rPr>
        <w:t>SEVELAMER</w:t>
      </w:r>
    </w:p>
    <w:p>
      <w:pPr>
        <w:pStyle w:val="BodyText"/>
        <w:spacing w:line="151" w:lineRule="exact"/>
        <w:ind w:left="186"/>
      </w:pPr>
      <w:r>
        <w:rPr>
          <w:rFonts w:ascii="Lucida Sans Unicode" w:hAnsi="Lucida Sans Unicode"/>
          <w:color w:val="A7A8AC"/>
          <w:w w:val="95"/>
          <w:sz w:val="10"/>
        </w:rPr>
        <w:t>▶ </w:t>
      </w:r>
      <w:r>
        <w:rPr>
          <w:rFonts w:ascii="Calibri" w:hAnsi="Calibri"/>
          <w:color w:val="231F1F"/>
          <w:w w:val="105"/>
        </w:rPr>
        <w:t>Ulcer-healing Drugs: </w:t>
      </w:r>
      <w:r>
        <w:rPr>
          <w:color w:val="231F1F"/>
          <w:w w:val="105"/>
        </w:rPr>
        <w:t>absorption of levothyroxine reduced by</w:t>
      </w:r>
    </w:p>
    <w:p>
      <w:pPr>
        <w:spacing w:line="136" w:lineRule="exact" w:before="0"/>
        <w:ind w:left="286" w:right="0" w:firstLine="0"/>
        <w:jc w:val="left"/>
        <w:rPr>
          <w:rFonts w:ascii="Calibri"/>
          <w:sz w:val="11"/>
        </w:rPr>
      </w:pPr>
      <w:r>
        <w:rPr>
          <w:rFonts w:ascii="Calibri"/>
          <w:color w:val="008356"/>
          <w:w w:val="105"/>
          <w:sz w:val="11"/>
        </w:rPr>
        <w:t>CIMETIDINE </w:t>
      </w:r>
      <w:r>
        <w:rPr>
          <w:color w:val="231F1F"/>
          <w:w w:val="105"/>
          <w:sz w:val="12"/>
        </w:rPr>
        <w:t>and </w:t>
      </w:r>
      <w:r>
        <w:rPr>
          <w:rFonts w:ascii="Calibri"/>
          <w:color w:val="008356"/>
          <w:w w:val="105"/>
          <w:sz w:val="11"/>
        </w:rPr>
        <w:t>SUCRALFATE</w:t>
      </w:r>
    </w:p>
    <w:p>
      <w:pPr>
        <w:pStyle w:val="BodyText"/>
        <w:spacing w:before="6"/>
        <w:ind w:left="186"/>
        <w:rPr>
          <w:rFonts w:ascii="Trebuchet MS"/>
        </w:rPr>
      </w:pPr>
      <w:r>
        <w:rPr>
          <w:rFonts w:ascii="Trebuchet MS"/>
          <w:color w:val="008356"/>
        </w:rPr>
        <w:t>Tiagabine</w:t>
      </w:r>
    </w:p>
    <w:p>
      <w:pPr>
        <w:spacing w:before="1"/>
        <w:ind w:left="286" w:right="387" w:hanging="100"/>
        <w:jc w:val="left"/>
        <w:rPr>
          <w:rFonts w:ascii="Calibri"/>
          <w:sz w:val="11"/>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w:t>
      </w:r>
      <w:r>
        <w:rPr>
          <w:color w:val="231F1F"/>
          <w:spacing w:val="-12"/>
          <w:w w:val="110"/>
          <w:sz w:val="12"/>
        </w:rPr>
        <w:t> </w:t>
      </w:r>
      <w:r>
        <w:rPr>
          <w:color w:val="231F1F"/>
          <w:w w:val="110"/>
          <w:sz w:val="12"/>
        </w:rPr>
        <w:t>antagonised</w:t>
      </w:r>
      <w:r>
        <w:rPr>
          <w:color w:val="231F1F"/>
          <w:spacing w:val="-12"/>
          <w:w w:val="110"/>
          <w:sz w:val="12"/>
        </w:rPr>
        <w:t> </w:t>
      </w:r>
      <w:r>
        <w:rPr>
          <w:color w:val="231F1F"/>
          <w:w w:val="110"/>
          <w:sz w:val="12"/>
        </w:rPr>
        <w:t>by</w:t>
      </w:r>
      <w:r>
        <w:rPr>
          <w:color w:val="231F1F"/>
          <w:spacing w:val="-11"/>
          <w:w w:val="110"/>
          <w:sz w:val="12"/>
        </w:rPr>
        <w:t> </w:t>
      </w:r>
      <w:r>
        <w:rPr>
          <w:rFonts w:ascii="Calibri"/>
          <w:color w:val="008356"/>
          <w:spacing w:val="3"/>
          <w:w w:val="110"/>
          <w:sz w:val="11"/>
        </w:rPr>
        <w:t>MAOI</w:t>
      </w:r>
      <w:r>
        <w:rPr>
          <w:rFonts w:ascii="Calibri"/>
          <w:color w:val="008356"/>
          <w:spacing w:val="3"/>
          <w:w w:val="110"/>
          <w:sz w:val="9"/>
        </w:rPr>
        <w:t>S</w:t>
      </w:r>
      <w:r>
        <w:rPr>
          <w:rFonts w:ascii="Calibri"/>
          <w:color w:val="008356"/>
          <w:spacing w:val="2"/>
          <w:w w:val="110"/>
          <w:sz w:val="9"/>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TRICYCLIC-RELATED</w:t>
      </w:r>
    </w:p>
    <w:p>
      <w:pPr>
        <w:pStyle w:val="BodyText"/>
        <w:spacing w:before="11"/>
        <w:ind w:left="0"/>
        <w:rPr>
          <w:rFonts w:ascii="Calibri"/>
          <w:sz w:val="13"/>
        </w:rPr>
      </w:pPr>
      <w:r>
        <w:rPr/>
        <w:br w:type="column"/>
      </w:r>
      <w:r>
        <w:rPr>
          <w:rFonts w:ascii="Calibri"/>
          <w:sz w:val="13"/>
        </w:rPr>
      </w:r>
    </w:p>
    <w:p>
      <w:pPr>
        <w:pStyle w:val="BodyText"/>
        <w:ind w:left="175"/>
        <w:rPr>
          <w:rFonts w:ascii="Arial"/>
        </w:rPr>
      </w:pPr>
      <w:r>
        <w:rPr>
          <w:rFonts w:ascii="Arial"/>
          <w:color w:val="008356"/>
        </w:rPr>
        <w:t>Tiagabine</w:t>
      </w:r>
    </w:p>
    <w:p>
      <w:pPr>
        <w:pStyle w:val="BodyText"/>
        <w:spacing w:line="146" w:lineRule="exact" w:before="4"/>
        <w:ind w:left="175"/>
        <w:rPr>
          <w:rFonts w:ascii="Calibri"/>
        </w:rPr>
      </w:pPr>
      <w:r>
        <w:rPr>
          <w:rFonts w:ascii="Arial"/>
          <w:color w:val="231F1F"/>
          <w:w w:val="355"/>
          <w:position w:val="1"/>
          <w:sz w:val="7"/>
        </w:rPr>
        <w:t>l </w:t>
      </w:r>
      <w:r>
        <w:rPr>
          <w:rFonts w:ascii="Calibri"/>
          <w:color w:val="231F1F"/>
          <w:w w:val="115"/>
        </w:rPr>
        <w:t>Antidepressants (continued)</w:t>
      </w:r>
    </w:p>
    <w:p>
      <w:pPr>
        <w:spacing w:line="242" w:lineRule="auto" w:before="0"/>
        <w:ind w:left="275" w:right="641" w:firstLine="0"/>
        <w:jc w:val="left"/>
        <w:rPr>
          <w:sz w:val="12"/>
        </w:rPr>
      </w:pPr>
      <w:r>
        <w:rPr>
          <w:rFonts w:ascii="Calibri"/>
          <w:color w:val="008356"/>
          <w:w w:val="110"/>
          <w:sz w:val="11"/>
        </w:rPr>
        <w:t>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spacing w:line="230" w:lineRule="auto" w:before="1"/>
        <w:ind w:left="275" w:right="64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tiagabine reduced by </w:t>
      </w:r>
      <w:r>
        <w:rPr>
          <w:rFonts w:ascii="Calibri" w:hAnsi="Calibri"/>
          <w:color w:val="008356"/>
          <w:sz w:val="11"/>
        </w:rPr>
        <w:t>CARBAMAZEPINE</w:t>
      </w:r>
      <w:r>
        <w:rPr>
          <w:color w:val="231F1F"/>
          <w:sz w:val="12"/>
        </w:rPr>
        <w:t>, </w:t>
      </w:r>
      <w:r>
        <w:rPr>
          <w:rFonts w:ascii="Calibri" w:hAnsi="Calibri"/>
          <w:color w:val="008356"/>
          <w:sz w:val="11"/>
        </w:rPr>
        <w:t>FOSPHENYTOIN</w:t>
      </w:r>
      <w:r>
        <w:rPr>
          <w:color w:val="231F1F"/>
          <w:sz w:val="12"/>
        </w:rPr>
        <w:t>, </w:t>
      </w:r>
      <w:r>
        <w:rPr>
          <w:rFonts w:ascii="Calibri" w:hAnsi="Calibri"/>
          <w:color w:val="008356"/>
          <w:sz w:val="11"/>
        </w:rPr>
        <w:t>PHENOBARBITAL</w:t>
      </w:r>
      <w:r>
        <w:rPr>
          <w:color w:val="231F1F"/>
          <w:sz w:val="12"/>
        </w:rPr>
        <w:t>, </w:t>
      </w:r>
      <w:r>
        <w:rPr>
          <w:rFonts w:ascii="Calibri" w:hAnsi="Calibri"/>
          <w:color w:val="008356"/>
          <w:sz w:val="11"/>
        </w:rPr>
        <w:t>PHENYTOIN </w:t>
      </w:r>
      <w:r>
        <w:rPr>
          <w:color w:val="231F1F"/>
          <w:w w:val="105"/>
          <w:sz w:val="12"/>
        </w:rPr>
        <w:t>and </w:t>
      </w:r>
      <w:r>
        <w:rPr>
          <w:rFonts w:ascii="Calibri" w:hAnsi="Calibri"/>
          <w:color w:val="008356"/>
          <w:w w:val="105"/>
          <w:sz w:val="11"/>
        </w:rPr>
        <w:t>PRIMIDONE</w:t>
      </w:r>
    </w:p>
    <w:p>
      <w:pPr>
        <w:pStyle w:val="BodyText"/>
        <w:ind w:left="275" w:right="1144"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8"/>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5"/>
          <w:sz w:val="11"/>
        </w:rPr>
        <w:t>MEFLOQUINE</w:t>
      </w:r>
    </w:p>
    <w:p>
      <w:pPr>
        <w:pStyle w:val="BodyText"/>
        <w:ind w:left="275" w:right="961"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left="275" w:right="1077"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5"/>
        <w:ind w:left="175"/>
      </w:pPr>
      <w:r>
        <w:rPr>
          <w:rFonts w:ascii="Trebuchet MS"/>
          <w:color w:val="008356"/>
        </w:rPr>
        <w:t>Tiaprofenic Acid </w:t>
      </w:r>
      <w:r>
        <w:rPr>
          <w:i/>
          <w:color w:val="231F1F"/>
        </w:rPr>
        <w:t>see </w:t>
      </w:r>
      <w:r>
        <w:rPr>
          <w:color w:val="231F1F"/>
        </w:rPr>
        <w:t>NSAIDs</w:t>
      </w:r>
    </w:p>
    <w:p>
      <w:pPr>
        <w:pStyle w:val="BodyText"/>
        <w:spacing w:before="11"/>
        <w:ind w:left="175"/>
        <w:rPr>
          <w:rFonts w:ascii="Trebuchet MS"/>
        </w:rPr>
      </w:pPr>
      <w:r>
        <w:rPr>
          <w:rFonts w:ascii="Trebuchet MS"/>
          <w:color w:val="008356"/>
        </w:rPr>
        <w:t>Tibolone</w:t>
      </w:r>
    </w:p>
    <w:p>
      <w:pPr>
        <w:pStyle w:val="BodyText"/>
        <w:spacing w:line="152" w:lineRule="exact" w:before="1"/>
        <w:ind w:left="175"/>
      </w:pPr>
      <w:r>
        <w:rPr>
          <w:rFonts w:ascii="Lucida Sans Unicode" w:hAnsi="Lucida Sans Unicode"/>
          <w:color w:val="A7A8AC"/>
          <w:w w:val="95"/>
          <w:sz w:val="10"/>
        </w:rPr>
        <w:t>▶ </w:t>
      </w:r>
      <w:r>
        <w:rPr>
          <w:rFonts w:ascii="Calibri" w:hAnsi="Calibri"/>
          <w:color w:val="231F1F"/>
        </w:rPr>
        <w:t>Antibacterials: </w:t>
      </w:r>
      <w:r>
        <w:rPr>
          <w:color w:val="231F1F"/>
        </w:rPr>
        <w:t>metabolism of tibolone accelerated by</w:t>
      </w:r>
    </w:p>
    <w:p>
      <w:pPr>
        <w:spacing w:line="134" w:lineRule="exact" w:before="0"/>
        <w:ind w:left="275" w:right="0" w:firstLine="0"/>
        <w:jc w:val="left"/>
        <w:rPr>
          <w:sz w:val="12"/>
        </w:rPr>
      </w:pPr>
      <w:r>
        <w:rPr>
          <w:rFonts w:ascii="Calibri"/>
          <w:color w:val="008356"/>
          <w:w w:val="115"/>
          <w:sz w:val="11"/>
        </w:rPr>
        <w:t>RIFAMPICIN </w:t>
      </w:r>
      <w:r>
        <w:rPr>
          <w:color w:val="231F1F"/>
          <w:w w:val="115"/>
          <w:sz w:val="12"/>
        </w:rPr>
        <w:t>(reduced plasma concentration)</w:t>
      </w:r>
    </w:p>
    <w:p>
      <w:pPr>
        <w:spacing w:line="230" w:lineRule="auto" w:before="2"/>
        <w:ind w:left="275" w:right="64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metabolism of tibolone accelerated by </w:t>
      </w:r>
      <w:r>
        <w:rPr>
          <w:rFonts w:ascii="Calibri" w:hAnsi="Calibri"/>
          <w:color w:val="008356"/>
          <w:spacing w:val="4"/>
          <w:w w:val="105"/>
          <w:sz w:val="11"/>
        </w:rPr>
        <w:t>CARBAMAZEPINE </w:t>
      </w:r>
      <w:r>
        <w:rPr>
          <w:color w:val="231F1F"/>
          <w:w w:val="105"/>
          <w:sz w:val="12"/>
        </w:rPr>
        <w:t>(reduced plasma  concentration);  metabolism of tibolone accelerated by </w:t>
      </w:r>
      <w:r>
        <w:rPr>
          <w:rFonts w:ascii="Calibri" w:hAnsi="Calibri"/>
          <w:color w:val="008356"/>
          <w:spacing w:val="4"/>
          <w:w w:val="105"/>
          <w:sz w:val="11"/>
        </w:rPr>
        <w:t>FOSPHENYTOIN </w:t>
      </w:r>
      <w:r>
        <w:rPr>
          <w:color w:val="231F1F"/>
          <w:w w:val="105"/>
          <w:sz w:val="12"/>
        </w:rPr>
        <w:t>and</w:t>
      </w:r>
      <w:r>
        <w:rPr>
          <w:color w:val="231F1F"/>
          <w:spacing w:val="-5"/>
          <w:w w:val="105"/>
          <w:sz w:val="12"/>
        </w:rPr>
        <w:t> </w:t>
      </w:r>
      <w:r>
        <w:rPr>
          <w:rFonts w:ascii="Calibri" w:hAnsi="Calibri"/>
          <w:color w:val="008356"/>
          <w:spacing w:val="4"/>
          <w:w w:val="105"/>
          <w:sz w:val="11"/>
        </w:rPr>
        <w:t>PHENYTOIN</w:t>
      </w:r>
    </w:p>
    <w:p>
      <w:pPr>
        <w:pStyle w:val="BodyText"/>
        <w:spacing w:before="10"/>
        <w:ind w:left="175"/>
        <w:rPr>
          <w:rFonts w:ascii="Trebuchet MS"/>
        </w:rPr>
      </w:pPr>
      <w:r>
        <w:rPr>
          <w:rFonts w:ascii="Trebuchet MS"/>
          <w:color w:val="008356"/>
        </w:rPr>
        <w:t>Ticagrelor</w:t>
      </w:r>
    </w:p>
    <w:p>
      <w:pPr>
        <w:pStyle w:val="BodyText"/>
        <w:spacing w:line="242" w:lineRule="auto" w:before="1"/>
        <w:ind w:left="275" w:right="641" w:hanging="100"/>
        <w:rPr>
          <w:rFonts w:ascii="Calibri" w:hAnsi="Calibri"/>
          <w:sz w:val="11"/>
        </w:rPr>
      </w:pPr>
      <w:r>
        <w:rPr>
          <w:rFonts w:ascii="Arial" w:hAnsi="Arial"/>
          <w:color w:val="231F1F"/>
          <w:w w:val="355"/>
          <w:position w:val="1"/>
          <w:sz w:val="7"/>
        </w:rPr>
        <w:t>l </w:t>
      </w:r>
      <w:r>
        <w:rPr>
          <w:rFonts w:ascii="Calibri" w:hAnsi="Calibri"/>
          <w:color w:val="231F1F"/>
          <w:w w:val="115"/>
        </w:rPr>
        <w:t>Antibacterials: </w:t>
      </w:r>
      <w:r>
        <w:rPr>
          <w:color w:val="231F1F"/>
          <w:w w:val="115"/>
        </w:rPr>
        <w:t>plasma concentration of ticagrelor possibly </w:t>
      </w:r>
      <w:r>
        <w:rPr>
          <w:color w:val="231F1F"/>
          <w:w w:val="110"/>
        </w:rPr>
        <w:t>increased by </w:t>
      </w:r>
      <w:r>
        <w:rPr>
          <w:rFonts w:ascii="Arial" w:hAnsi="Arial"/>
          <w:color w:val="231F1F"/>
          <w:w w:val="110"/>
          <w:position w:val="1"/>
          <w:sz w:val="7"/>
        </w:rPr>
        <w:t>l </w:t>
      </w:r>
      <w:r>
        <w:rPr>
          <w:rFonts w:ascii="Calibri" w:hAnsi="Calibri"/>
          <w:color w:val="008356"/>
          <w:w w:val="110"/>
          <w:sz w:val="11"/>
        </w:rPr>
        <w:t>CLARITHROMYCIN</w:t>
      </w:r>
      <w:r>
        <w:rPr>
          <w:rFonts w:ascii="Arial" w:hAnsi="Arial"/>
          <w:color w:val="231F1F"/>
          <w:w w:val="110"/>
        </w:rPr>
        <w:t>—</w:t>
      </w:r>
      <w:r>
        <w:rPr>
          <w:color w:val="231F1F"/>
          <w:w w:val="110"/>
        </w:rPr>
        <w:t>manufacturer of ticagrelor </w:t>
      </w:r>
      <w:r>
        <w:rPr>
          <w:color w:val="231F1F"/>
          <w:w w:val="115"/>
        </w:rPr>
        <w:t>advises avoid concomitant use; plasma concentration of ticagrelor possibly increased by </w:t>
      </w:r>
      <w:r>
        <w:rPr>
          <w:rFonts w:ascii="Calibri" w:hAnsi="Calibri"/>
          <w:color w:val="008356"/>
          <w:w w:val="115"/>
          <w:sz w:val="11"/>
        </w:rPr>
        <w:t>ERYTHROMYCIN</w:t>
      </w:r>
      <w:r>
        <w:rPr>
          <w:color w:val="231F1F"/>
          <w:w w:val="115"/>
        </w:rPr>
        <w:t>; plasma concentration of ticagrelor reduced by </w:t>
      </w:r>
      <w:r>
        <w:rPr>
          <w:rFonts w:ascii="Arial" w:hAnsi="Arial"/>
          <w:color w:val="231F1F"/>
          <w:w w:val="355"/>
          <w:position w:val="1"/>
          <w:sz w:val="7"/>
        </w:rPr>
        <w:t>l </w:t>
      </w:r>
      <w:r>
        <w:rPr>
          <w:rFonts w:ascii="Calibri" w:hAnsi="Calibri"/>
          <w:color w:val="008356"/>
          <w:w w:val="115"/>
          <w:sz w:val="11"/>
        </w:rPr>
        <w:t>RIFAMPICIN</w:t>
      </w:r>
    </w:p>
    <w:p>
      <w:pPr>
        <w:pStyle w:val="BodyText"/>
        <w:spacing w:line="145" w:lineRule="exact"/>
        <w:ind w:left="175"/>
      </w:pPr>
      <w:r>
        <w:rPr>
          <w:rFonts w:ascii="Arial"/>
          <w:color w:val="231F1F"/>
          <w:w w:val="355"/>
          <w:position w:val="1"/>
          <w:sz w:val="7"/>
        </w:rPr>
        <w:t>l </w:t>
      </w:r>
      <w:r>
        <w:rPr>
          <w:rFonts w:ascii="Calibri"/>
          <w:color w:val="231F1F"/>
          <w:w w:val="115"/>
        </w:rPr>
        <w:t>Anticoagulants: </w:t>
      </w:r>
      <w:r>
        <w:rPr>
          <w:color w:val="231F1F"/>
          <w:w w:val="115"/>
        </w:rPr>
        <w:t>ticagrelor increases plasma concentration of</w:t>
      </w:r>
    </w:p>
    <w:p>
      <w:pPr>
        <w:spacing w:line="133" w:lineRule="exact" w:before="6"/>
        <w:ind w:left="275" w:right="0" w:firstLine="0"/>
        <w:jc w:val="left"/>
        <w:rPr>
          <w:rFonts w:ascii="Calibri"/>
          <w:sz w:val="11"/>
        </w:rPr>
      </w:pPr>
      <w:r>
        <w:rPr>
          <w:rFonts w:ascii="Arial"/>
          <w:color w:val="231F1F"/>
          <w:w w:val="355"/>
          <w:position w:val="1"/>
          <w:sz w:val="7"/>
        </w:rPr>
        <w:t>l </w:t>
      </w:r>
      <w:r>
        <w:rPr>
          <w:rFonts w:ascii="Calibri"/>
          <w:color w:val="008356"/>
          <w:w w:val="115"/>
          <w:sz w:val="11"/>
        </w:rPr>
        <w:t>DABIGATRAN</w:t>
      </w:r>
    </w:p>
    <w:p>
      <w:pPr>
        <w:spacing w:line="220" w:lineRule="auto" w:before="7"/>
        <w:ind w:left="275" w:right="69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Antidepressants: </w:t>
      </w:r>
      <w:r>
        <w:rPr>
          <w:color w:val="231F1F"/>
          <w:w w:val="105"/>
          <w:sz w:val="12"/>
        </w:rPr>
        <w:t>possible increased risk of bleeding when ticagrelor given with </w:t>
      </w:r>
      <w:r>
        <w:rPr>
          <w:rFonts w:ascii="Calibri" w:hAnsi="Calibri"/>
          <w:color w:val="008356"/>
          <w:spacing w:val="4"/>
          <w:w w:val="105"/>
          <w:sz w:val="11"/>
        </w:rPr>
        <w:t>CITALOPRAM</w:t>
      </w:r>
      <w:r>
        <w:rPr>
          <w:color w:val="231F1F"/>
          <w:spacing w:val="4"/>
          <w:w w:val="105"/>
          <w:sz w:val="12"/>
        </w:rPr>
        <w:t>, </w:t>
      </w:r>
      <w:r>
        <w:rPr>
          <w:rFonts w:ascii="Calibri" w:hAnsi="Calibri"/>
          <w:color w:val="008356"/>
          <w:spacing w:val="3"/>
          <w:w w:val="105"/>
          <w:sz w:val="11"/>
        </w:rPr>
        <w:t>PAROXETINE </w:t>
      </w:r>
      <w:r>
        <w:rPr>
          <w:color w:val="231F1F"/>
          <w:w w:val="105"/>
          <w:sz w:val="12"/>
        </w:rPr>
        <w:t>or</w:t>
      </w:r>
      <w:r>
        <w:rPr>
          <w:color w:val="231F1F"/>
          <w:spacing w:val="1"/>
          <w:w w:val="105"/>
          <w:sz w:val="12"/>
        </w:rPr>
        <w:t> </w:t>
      </w:r>
      <w:r>
        <w:rPr>
          <w:rFonts w:ascii="Calibri" w:hAnsi="Calibri"/>
          <w:color w:val="008356"/>
          <w:spacing w:val="5"/>
          <w:w w:val="105"/>
          <w:sz w:val="11"/>
        </w:rPr>
        <w:t>SERTRALINE</w:t>
      </w:r>
    </w:p>
    <w:p>
      <w:pPr>
        <w:spacing w:line="220" w:lineRule="auto" w:before="8"/>
        <w:ind w:left="275" w:right="740"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ticagrelor possibly reduced</w:t>
      </w:r>
      <w:r>
        <w:rPr>
          <w:color w:val="231F1F"/>
          <w:spacing w:val="-19"/>
          <w:w w:val="105"/>
          <w:sz w:val="12"/>
        </w:rPr>
        <w:t> </w:t>
      </w:r>
      <w:r>
        <w:rPr>
          <w:color w:val="231F1F"/>
          <w:w w:val="105"/>
          <w:sz w:val="12"/>
        </w:rPr>
        <w:t>by</w:t>
      </w:r>
      <w:r>
        <w:rPr>
          <w:color w:val="231F1F"/>
          <w:spacing w:val="-17"/>
          <w:w w:val="105"/>
          <w:sz w:val="12"/>
        </w:rPr>
        <w:t> </w:t>
      </w:r>
      <w:r>
        <w:rPr>
          <w:rFonts w:ascii="Calibri" w:hAnsi="Calibri"/>
          <w:color w:val="008356"/>
          <w:spacing w:val="4"/>
          <w:w w:val="105"/>
          <w:sz w:val="11"/>
        </w:rPr>
        <w:t>CARBAMAZEPINE</w:t>
      </w:r>
      <w:r>
        <w:rPr>
          <w:color w:val="231F1F"/>
          <w:spacing w:val="4"/>
          <w:w w:val="105"/>
          <w:sz w:val="12"/>
        </w:rPr>
        <w:t>,</w:t>
      </w:r>
      <w:r>
        <w:rPr>
          <w:color w:val="231F1F"/>
          <w:spacing w:val="-18"/>
          <w:w w:val="105"/>
          <w:sz w:val="12"/>
        </w:rPr>
        <w:t> </w:t>
      </w:r>
      <w:r>
        <w:rPr>
          <w:rFonts w:ascii="Calibri" w:hAnsi="Calibri"/>
          <w:color w:val="008356"/>
          <w:spacing w:val="4"/>
          <w:w w:val="105"/>
          <w:sz w:val="11"/>
        </w:rPr>
        <w:t>FOSPHENYTOIN</w:t>
      </w:r>
      <w:r>
        <w:rPr>
          <w:color w:val="231F1F"/>
          <w:spacing w:val="4"/>
          <w:w w:val="105"/>
          <w:sz w:val="12"/>
        </w:rPr>
        <w:t>,</w:t>
      </w:r>
      <w:r>
        <w:rPr>
          <w:color w:val="231F1F"/>
          <w:spacing w:val="-18"/>
          <w:w w:val="105"/>
          <w:sz w:val="12"/>
        </w:rPr>
        <w:t> </w:t>
      </w:r>
      <w:r>
        <w:rPr>
          <w:rFonts w:ascii="Calibri" w:hAnsi="Calibri"/>
          <w:color w:val="008356"/>
          <w:spacing w:val="4"/>
          <w:w w:val="105"/>
          <w:sz w:val="11"/>
        </w:rPr>
        <w:t>PHENOBARBITAL</w:t>
      </w:r>
      <w:r>
        <w:rPr>
          <w:color w:val="231F1F"/>
          <w:spacing w:val="4"/>
          <w:w w:val="105"/>
          <w:sz w:val="12"/>
        </w:rPr>
        <w:t>,</w:t>
      </w:r>
    </w:p>
    <w:p>
      <w:pPr>
        <w:spacing w:line="141" w:lineRule="exact" w:before="4"/>
        <w:ind w:left="275" w:right="0" w:firstLine="0"/>
        <w:jc w:val="left"/>
        <w:rPr>
          <w:rFonts w:ascii="Calibri"/>
          <w:sz w:val="11"/>
        </w:rPr>
      </w:pPr>
      <w:r>
        <w:rPr>
          <w:rFonts w:ascii="Calibri"/>
          <w:color w:val="008356"/>
          <w:w w:val="105"/>
          <w:sz w:val="11"/>
        </w:rPr>
        <w:t>PHENYTOIN </w:t>
      </w:r>
      <w:r>
        <w:rPr>
          <w:color w:val="231F1F"/>
          <w:w w:val="105"/>
          <w:sz w:val="12"/>
        </w:rPr>
        <w:t>and </w:t>
      </w:r>
      <w:r>
        <w:rPr>
          <w:rFonts w:ascii="Calibri"/>
          <w:color w:val="008356"/>
          <w:w w:val="105"/>
          <w:sz w:val="11"/>
        </w:rPr>
        <w:t>PRIMIDONE</w:t>
      </w:r>
    </w:p>
    <w:p>
      <w:pPr>
        <w:pStyle w:val="BodyText"/>
        <w:ind w:left="275" w:right="722"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Antifungals:</w:t>
      </w:r>
      <w:r>
        <w:rPr>
          <w:rFonts w:ascii="Calibri" w:hAns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ticagrelor</w:t>
      </w:r>
      <w:r>
        <w:rPr>
          <w:color w:val="231F1F"/>
          <w:spacing w:val="-13"/>
          <w:w w:val="115"/>
        </w:rPr>
        <w:t> </w:t>
      </w:r>
      <w:r>
        <w:rPr>
          <w:color w:val="231F1F"/>
          <w:w w:val="115"/>
        </w:rPr>
        <w:t>increased</w:t>
      </w:r>
      <w:r>
        <w:rPr>
          <w:color w:val="231F1F"/>
          <w:spacing w:val="-15"/>
          <w:w w:val="115"/>
        </w:rPr>
        <w:t> </w:t>
      </w:r>
      <w:r>
        <w:rPr>
          <w:color w:val="231F1F"/>
          <w:spacing w:val="-7"/>
          <w:w w:val="115"/>
        </w:rPr>
        <w:t>by </w:t>
      </w:r>
      <w:r>
        <w:rPr>
          <w:rFonts w:ascii="Arial" w:hAnsi="Arial"/>
          <w:color w:val="231F1F"/>
          <w:w w:val="185"/>
          <w:position w:val="1"/>
          <w:sz w:val="7"/>
        </w:rPr>
        <w:t>l</w:t>
      </w:r>
      <w:r>
        <w:rPr>
          <w:rFonts w:ascii="Arial" w:hAnsi="Arial"/>
          <w:color w:val="231F1F"/>
          <w:spacing w:val="-27"/>
          <w:w w:val="185"/>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ticagrelor</w:t>
      </w:r>
      <w:r>
        <w:rPr>
          <w:color w:val="231F1F"/>
          <w:spacing w:val="-24"/>
          <w:w w:val="115"/>
        </w:rPr>
        <w:t> </w:t>
      </w:r>
      <w:r>
        <w:rPr>
          <w:color w:val="231F1F"/>
          <w:w w:val="115"/>
        </w:rPr>
        <w:t>advises</w:t>
      </w:r>
      <w:r>
        <w:rPr>
          <w:color w:val="231F1F"/>
          <w:spacing w:val="-25"/>
          <w:w w:val="115"/>
        </w:rPr>
        <w:t> </w:t>
      </w:r>
      <w:r>
        <w:rPr>
          <w:color w:val="231F1F"/>
          <w:w w:val="115"/>
        </w:rPr>
        <w:t>avoid concomitant</w:t>
      </w:r>
      <w:r>
        <w:rPr>
          <w:color w:val="231F1F"/>
          <w:spacing w:val="-5"/>
          <w:w w:val="115"/>
        </w:rPr>
        <w:t> </w:t>
      </w:r>
      <w:r>
        <w:rPr>
          <w:color w:val="231F1F"/>
          <w:w w:val="115"/>
        </w:rPr>
        <w:t>use</w:t>
      </w:r>
    </w:p>
    <w:p>
      <w:pPr>
        <w:pStyle w:val="BodyText"/>
        <w:spacing w:before="1"/>
        <w:ind w:left="275" w:right="592" w:hanging="100"/>
      </w:pPr>
      <w:r>
        <w:rPr>
          <w:rFonts w:ascii="Arial" w:hAnsi="Arial"/>
          <w:color w:val="231F1F"/>
          <w:w w:val="355"/>
          <w:position w:val="1"/>
          <w:sz w:val="7"/>
        </w:rPr>
        <w:t>l </w:t>
      </w:r>
      <w:r>
        <w:rPr>
          <w:rFonts w:ascii="Calibri" w:hAnsi="Calibri"/>
          <w:color w:val="231F1F"/>
          <w:w w:val="120"/>
        </w:rPr>
        <w:t>Antivirals: </w:t>
      </w:r>
      <w:r>
        <w:rPr>
          <w:color w:val="231F1F"/>
          <w:w w:val="120"/>
        </w:rPr>
        <w:t>plasma concentration of ticagrelor possibly </w:t>
      </w:r>
      <w:r>
        <w:rPr>
          <w:color w:val="231F1F"/>
          <w:w w:val="115"/>
        </w:rPr>
        <w:t>increased by </w:t>
      </w:r>
      <w:r>
        <w:rPr>
          <w:rFonts w:ascii="Arial" w:hAnsi="Arial"/>
          <w:color w:val="231F1F"/>
          <w:w w:val="115"/>
          <w:position w:val="1"/>
          <w:sz w:val="7"/>
        </w:rPr>
        <w:t>l </w:t>
      </w:r>
      <w:r>
        <w:rPr>
          <w:rFonts w:ascii="Calibri" w:hAnsi="Calibri"/>
          <w:color w:val="008356"/>
          <w:w w:val="115"/>
          <w:sz w:val="11"/>
        </w:rPr>
        <w:t>ATAZANAVIR </w:t>
      </w:r>
      <w:r>
        <w:rPr>
          <w:color w:val="231F1F"/>
          <w:w w:val="115"/>
        </w:rPr>
        <w:t>and </w:t>
      </w:r>
      <w:r>
        <w:rPr>
          <w:rFonts w:ascii="Arial" w:hAnsi="Arial"/>
          <w:color w:val="231F1F"/>
          <w:w w:val="115"/>
          <w:position w:val="1"/>
          <w:sz w:val="7"/>
        </w:rPr>
        <w:t>l </w:t>
      </w:r>
      <w:r>
        <w:rPr>
          <w:rFonts w:ascii="Calibri" w:hAnsi="Calibri"/>
          <w:color w:val="008356"/>
          <w:w w:val="115"/>
          <w:sz w:val="11"/>
        </w:rPr>
        <w:t>RITONAVIR</w:t>
      </w:r>
      <w:r>
        <w:rPr>
          <w:rFonts w:ascii="Arial" w:hAnsi="Arial"/>
          <w:color w:val="231F1F"/>
          <w:w w:val="115"/>
        </w:rPr>
        <w:t>—</w:t>
      </w:r>
      <w:r>
        <w:rPr>
          <w:color w:val="231F1F"/>
          <w:w w:val="115"/>
        </w:rPr>
        <w:t>manufacturer of </w:t>
      </w:r>
      <w:r>
        <w:rPr>
          <w:color w:val="231F1F"/>
          <w:w w:val="120"/>
        </w:rPr>
        <w:t>ticagrelor advises avoid concomitant use</w:t>
      </w:r>
    </w:p>
    <w:p>
      <w:pPr>
        <w:pStyle w:val="BodyText"/>
        <w:spacing w:line="220" w:lineRule="auto" w:before="11"/>
        <w:ind w:left="275"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plasma concentration of ticagrelor increased by </w:t>
      </w:r>
      <w:r>
        <w:rPr>
          <w:rFonts w:ascii="Calibri" w:hAnsi="Calibri"/>
          <w:color w:val="008356"/>
          <w:w w:val="105"/>
          <w:sz w:val="11"/>
        </w:rPr>
        <w:t>DILTIAZEM</w:t>
      </w:r>
    </w:p>
    <w:p>
      <w:pPr>
        <w:pStyle w:val="BodyText"/>
        <w:ind w:left="275" w:right="641" w:hanging="100"/>
        <w:rPr>
          <w:rFonts w:ascii="Calibri"/>
          <w:sz w:val="11"/>
        </w:rPr>
      </w:pPr>
      <w:r>
        <w:rPr>
          <w:rFonts w:ascii="Arial"/>
          <w:color w:val="231F1F"/>
          <w:w w:val="355"/>
          <w:position w:val="1"/>
          <w:sz w:val="7"/>
        </w:rPr>
        <w:t>l </w:t>
      </w:r>
      <w:r>
        <w:rPr>
          <w:rFonts w:ascii="Calibri"/>
          <w:color w:val="231F1F"/>
          <w:w w:val="110"/>
        </w:rPr>
        <w:t>Cardiac Glycosides: </w:t>
      </w:r>
      <w:r>
        <w:rPr>
          <w:color w:val="231F1F"/>
          <w:w w:val="110"/>
        </w:rPr>
        <w:t>ticagrelor increases plasma concentration of </w:t>
      </w:r>
      <w:r>
        <w:rPr>
          <w:rFonts w:ascii="Arial"/>
          <w:color w:val="231F1F"/>
          <w:w w:val="355"/>
          <w:position w:val="1"/>
          <w:sz w:val="7"/>
        </w:rPr>
        <w:t>l </w:t>
      </w:r>
      <w:r>
        <w:rPr>
          <w:rFonts w:ascii="Calibri"/>
          <w:color w:val="008356"/>
          <w:w w:val="110"/>
          <w:sz w:val="11"/>
        </w:rPr>
        <w:t>DIGOXIN</w:t>
      </w:r>
    </w:p>
    <w:p>
      <w:pPr>
        <w:pStyle w:val="BodyText"/>
        <w:spacing w:line="152" w:lineRule="exact"/>
        <w:ind w:left="175"/>
      </w:pPr>
      <w:r>
        <w:rPr>
          <w:rFonts w:ascii="Lucida Sans Unicode" w:hAnsi="Lucida Sans Unicode"/>
          <w:color w:val="A7A8AC"/>
          <w:w w:val="95"/>
          <w:sz w:val="10"/>
        </w:rPr>
        <w:t>▶ </w:t>
      </w:r>
      <w:r>
        <w:rPr>
          <w:rFonts w:ascii="Calibri" w:hAnsi="Calibri"/>
          <w:color w:val="231F1F"/>
          <w:w w:val="105"/>
        </w:rPr>
        <w:t>Ciclosporin: </w:t>
      </w:r>
      <w:r>
        <w:rPr>
          <w:color w:val="231F1F"/>
          <w:w w:val="105"/>
        </w:rPr>
        <w:t>plasma concentration of ticagrelor increased by</w:t>
      </w:r>
    </w:p>
    <w:p>
      <w:pPr>
        <w:spacing w:line="131" w:lineRule="exact" w:before="0"/>
        <w:ind w:left="275" w:right="0" w:firstLine="0"/>
        <w:jc w:val="left"/>
        <w:rPr>
          <w:rFonts w:ascii="Calibri"/>
          <w:sz w:val="11"/>
        </w:rPr>
      </w:pPr>
      <w:r>
        <w:rPr>
          <w:rFonts w:ascii="Calibri"/>
          <w:color w:val="008356"/>
          <w:sz w:val="11"/>
        </w:rPr>
        <w:t>CICLOSPORIN</w:t>
      </w:r>
    </w:p>
    <w:p>
      <w:pPr>
        <w:spacing w:before="0"/>
        <w:ind w:left="275" w:right="1168" w:hanging="100"/>
        <w:jc w:val="left"/>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sz w:val="12"/>
        </w:rPr>
        <w:t>Ergot</w:t>
      </w:r>
      <w:r>
        <w:rPr>
          <w:rFonts w:ascii="Calibri"/>
          <w:color w:val="231F1F"/>
          <w:spacing w:val="-15"/>
          <w:w w:val="115"/>
          <w:sz w:val="12"/>
        </w:rPr>
        <w:t> </w:t>
      </w:r>
      <w:r>
        <w:rPr>
          <w:rFonts w:ascii="Calibri"/>
          <w:color w:val="231F1F"/>
          <w:w w:val="115"/>
          <w:sz w:val="12"/>
        </w:rPr>
        <w:t>Alkaloids:</w:t>
      </w:r>
      <w:r>
        <w:rPr>
          <w:rFonts w:ascii="Calibri"/>
          <w:color w:val="231F1F"/>
          <w:spacing w:val="-16"/>
          <w:w w:val="115"/>
          <w:sz w:val="12"/>
        </w:rPr>
        <w:t> </w:t>
      </w:r>
      <w:r>
        <w:rPr>
          <w:color w:val="231F1F"/>
          <w:w w:val="115"/>
          <w:sz w:val="12"/>
        </w:rPr>
        <w:t>ticagrelor</w:t>
      </w:r>
      <w:r>
        <w:rPr>
          <w:color w:val="231F1F"/>
          <w:spacing w:val="-19"/>
          <w:w w:val="115"/>
          <w:sz w:val="12"/>
        </w:rPr>
        <w:t> </w:t>
      </w:r>
      <w:r>
        <w:rPr>
          <w:color w:val="231F1F"/>
          <w:w w:val="115"/>
          <w:sz w:val="12"/>
        </w:rPr>
        <w:t>possibly</w:t>
      </w:r>
      <w:r>
        <w:rPr>
          <w:color w:val="231F1F"/>
          <w:spacing w:val="-19"/>
          <w:w w:val="115"/>
          <w:sz w:val="12"/>
        </w:rPr>
        <w:t> </w:t>
      </w:r>
      <w:r>
        <w:rPr>
          <w:color w:val="231F1F"/>
          <w:w w:val="115"/>
          <w:sz w:val="12"/>
        </w:rPr>
        <w:t>increases</w:t>
      </w:r>
      <w:r>
        <w:rPr>
          <w:color w:val="231F1F"/>
          <w:spacing w:val="-19"/>
          <w:w w:val="115"/>
          <w:sz w:val="12"/>
        </w:rPr>
        <w:t> </w:t>
      </w:r>
      <w:r>
        <w:rPr>
          <w:color w:val="231F1F"/>
          <w:spacing w:val="-3"/>
          <w:w w:val="115"/>
          <w:sz w:val="12"/>
        </w:rPr>
        <w:t>plasma </w:t>
      </w:r>
      <w:r>
        <w:rPr>
          <w:color w:val="231F1F"/>
          <w:w w:val="115"/>
          <w:sz w:val="12"/>
        </w:rPr>
        <w:t>concentration</w:t>
      </w:r>
      <w:r>
        <w:rPr>
          <w:color w:val="231F1F"/>
          <w:spacing w:val="-8"/>
          <w:w w:val="115"/>
          <w:sz w:val="12"/>
        </w:rPr>
        <w:t> </w:t>
      </w:r>
      <w:r>
        <w:rPr>
          <w:color w:val="231F1F"/>
          <w:w w:val="115"/>
          <w:sz w:val="12"/>
        </w:rPr>
        <w:t>of</w:t>
      </w:r>
      <w:r>
        <w:rPr>
          <w:color w:val="231F1F"/>
          <w:spacing w:val="-6"/>
          <w:w w:val="115"/>
          <w:sz w:val="12"/>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3"/>
          <w:w w:val="115"/>
          <w:sz w:val="11"/>
        </w:rPr>
        <w:t>ERGOT</w:t>
      </w:r>
      <w:r>
        <w:rPr>
          <w:rFonts w:ascii="Calibri"/>
          <w:color w:val="008356"/>
          <w:spacing w:val="-3"/>
          <w:w w:val="115"/>
          <w:sz w:val="11"/>
        </w:rPr>
        <w:t> </w:t>
      </w:r>
      <w:r>
        <w:rPr>
          <w:rFonts w:ascii="Calibri"/>
          <w:color w:val="008356"/>
          <w:spacing w:val="4"/>
          <w:w w:val="115"/>
          <w:sz w:val="11"/>
        </w:rPr>
        <w:t>ALKALOIDS</w:t>
      </w:r>
    </w:p>
    <w:p>
      <w:pPr>
        <w:pStyle w:val="BodyText"/>
        <w:spacing w:line="244" w:lineRule="auto"/>
        <w:ind w:left="275" w:right="767" w:hanging="100"/>
        <w:rPr>
          <w:rFonts w:ascii="Calibri"/>
          <w:sz w:val="11"/>
        </w:rPr>
      </w:pPr>
      <w:r>
        <w:rPr>
          <w:rFonts w:ascii="Arial"/>
          <w:color w:val="231F1F"/>
          <w:w w:val="355"/>
          <w:position w:val="1"/>
          <w:sz w:val="7"/>
        </w:rPr>
        <w:t>l </w:t>
      </w:r>
      <w:r>
        <w:rPr>
          <w:rFonts w:ascii="Calibri"/>
          <w:color w:val="231F1F"/>
          <w:w w:val="110"/>
        </w:rPr>
        <w:t>Lipid-regulating Drugs: </w:t>
      </w:r>
      <w:r>
        <w:rPr>
          <w:color w:val="231F1F"/>
          <w:w w:val="110"/>
        </w:rPr>
        <w:t>ticagrelor increases plasma concentration of </w:t>
      </w:r>
      <w:r>
        <w:rPr>
          <w:rFonts w:ascii="Arial"/>
          <w:color w:val="231F1F"/>
          <w:w w:val="355"/>
          <w:position w:val="1"/>
          <w:sz w:val="7"/>
        </w:rPr>
        <w:t>l </w:t>
      </w:r>
      <w:r>
        <w:rPr>
          <w:rFonts w:ascii="Calibri"/>
          <w:color w:val="008356"/>
          <w:w w:val="110"/>
          <w:sz w:val="11"/>
        </w:rPr>
        <w:t>SIMVASTATIN </w:t>
      </w:r>
      <w:r>
        <w:rPr>
          <w:color w:val="231F1F"/>
          <w:w w:val="110"/>
        </w:rPr>
        <w:t>(increased risk of toxicity); separating administration from ticagrelor by 12 hours advised by manufacturer of </w:t>
      </w:r>
      <w:r>
        <w:rPr>
          <w:rFonts w:ascii="Calibri"/>
          <w:color w:val="008356"/>
          <w:w w:val="110"/>
          <w:sz w:val="11"/>
        </w:rPr>
        <w:t>LOMITAPIDE</w:t>
      </w:r>
    </w:p>
    <w:p>
      <w:pPr>
        <w:pStyle w:val="BodyText"/>
        <w:ind w:left="175"/>
      </w:pPr>
      <w:r>
        <w:rPr>
          <w:rFonts w:ascii="Trebuchet MS"/>
          <w:color w:val="008356"/>
          <w:w w:val="105"/>
        </w:rPr>
        <w:t>Ticarcillin </w:t>
      </w:r>
      <w:r>
        <w:rPr>
          <w:i/>
          <w:color w:val="231F1F"/>
          <w:w w:val="105"/>
        </w:rPr>
        <w:t>see </w:t>
      </w:r>
      <w:r>
        <w:rPr>
          <w:color w:val="231F1F"/>
          <w:w w:val="105"/>
        </w:rPr>
        <w:t>Penicillins</w:t>
      </w:r>
    </w:p>
    <w:p>
      <w:pPr>
        <w:pStyle w:val="BodyText"/>
        <w:spacing w:before="7"/>
        <w:ind w:left="175"/>
      </w:pPr>
      <w:r>
        <w:rPr>
          <w:rFonts w:ascii="Trebuchet MS"/>
          <w:color w:val="008356"/>
        </w:rPr>
        <w:t>Tick-borne Encephalitis Vaccine </w:t>
      </w:r>
      <w:r>
        <w:rPr>
          <w:i/>
          <w:color w:val="231F1F"/>
        </w:rPr>
        <w:t>see </w:t>
      </w:r>
      <w:r>
        <w:rPr>
          <w:color w:val="231F1F"/>
        </w:rPr>
        <w:t>Vaccines</w:t>
      </w:r>
    </w:p>
    <w:p>
      <w:pPr>
        <w:pStyle w:val="BodyText"/>
        <w:spacing w:before="11"/>
        <w:ind w:left="175"/>
        <w:rPr>
          <w:rFonts w:ascii="Trebuchet MS"/>
        </w:rPr>
      </w:pPr>
      <w:r>
        <w:rPr>
          <w:rFonts w:ascii="Trebuchet MS"/>
          <w:color w:val="008356"/>
        </w:rPr>
        <w:t>Tigecycline</w:t>
      </w:r>
    </w:p>
    <w:p>
      <w:pPr>
        <w:pStyle w:val="BodyText"/>
        <w:spacing w:line="220" w:lineRule="auto" w:before="9"/>
        <w:ind w:left="275"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tigecycline possibly enhances anticoagulant effect of </w:t>
      </w:r>
      <w:r>
        <w:rPr>
          <w:rFonts w:ascii="Calibri" w:hAnsi="Calibri"/>
          <w:color w:val="008356"/>
          <w:w w:val="105"/>
          <w:sz w:val="11"/>
        </w:rPr>
        <w:t>COUMARINS</w:t>
      </w:r>
    </w:p>
    <w:p>
      <w:pPr>
        <w:spacing w:line="220" w:lineRule="auto" w:before="8"/>
        <w:ind w:left="275" w:right="641"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75"/>
      </w:pPr>
      <w:r>
        <w:rPr>
          <w:rFonts w:ascii="Trebuchet MS"/>
          <w:color w:val="008356"/>
          <w:w w:val="110"/>
        </w:rPr>
        <w:t>Timolol </w:t>
      </w:r>
      <w:r>
        <w:rPr>
          <w:i/>
          <w:color w:val="231F1F"/>
          <w:w w:val="110"/>
        </w:rPr>
        <w:t>see </w:t>
      </w:r>
      <w:r>
        <w:rPr>
          <w:color w:val="231F1F"/>
          <w:w w:val="110"/>
        </w:rPr>
        <w:t>Beta-blockers</w:t>
      </w:r>
    </w:p>
    <w:p>
      <w:pPr>
        <w:pStyle w:val="BodyText"/>
        <w:spacing w:before="10"/>
        <w:ind w:left="175"/>
        <w:rPr>
          <w:rFonts w:ascii="Trebuchet MS"/>
        </w:rPr>
      </w:pPr>
      <w:r>
        <w:rPr>
          <w:rFonts w:ascii="Trebuchet MS"/>
          <w:color w:val="008356"/>
        </w:rPr>
        <w:t>Tinidazole</w:t>
      </w:r>
    </w:p>
    <w:p>
      <w:pPr>
        <w:pStyle w:val="BodyText"/>
        <w:spacing w:line="220" w:lineRule="auto" w:before="10"/>
        <w:ind w:left="275"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Alcohol: </w:t>
      </w:r>
      <w:r>
        <w:rPr>
          <w:color w:val="231F1F"/>
          <w:w w:val="105"/>
        </w:rPr>
        <w:t>possibility of disulfiram-like reaction when tinidazole given with </w:t>
      </w:r>
      <w:r>
        <w:rPr>
          <w:rFonts w:ascii="Calibri" w:hAnsi="Calibri"/>
          <w:color w:val="008356"/>
          <w:w w:val="105"/>
          <w:sz w:val="11"/>
        </w:rPr>
        <w:t>ALCOHOL</w:t>
      </w:r>
    </w:p>
    <w:p>
      <w:pPr>
        <w:pStyle w:val="BodyText"/>
        <w:spacing w:line="220" w:lineRule="auto" w:before="8"/>
        <w:ind w:left="275" w:right="641"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tinidazole possibly reduced by </w:t>
      </w:r>
      <w:r>
        <w:rPr>
          <w:rFonts w:ascii="Calibri" w:hAnsi="Calibri"/>
          <w:color w:val="008356"/>
          <w:w w:val="105"/>
          <w:sz w:val="11"/>
        </w:rPr>
        <w:t>RIFAMPICIN</w:t>
      </w:r>
    </w:p>
    <w:p>
      <w:pPr>
        <w:spacing w:line="220" w:lineRule="auto" w:before="8"/>
        <w:ind w:left="275" w:right="641"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4"/>
        <w:ind w:left="175"/>
      </w:pPr>
      <w:r>
        <w:rPr>
          <w:rFonts w:ascii="Trebuchet MS"/>
          <w:color w:val="008356"/>
          <w:w w:val="105"/>
        </w:rPr>
        <w:t>Tinzaparin </w:t>
      </w:r>
      <w:r>
        <w:rPr>
          <w:i/>
          <w:color w:val="231F1F"/>
          <w:w w:val="105"/>
        </w:rPr>
        <w:t>see </w:t>
      </w:r>
      <w:r>
        <w:rPr>
          <w:color w:val="231F1F"/>
          <w:w w:val="105"/>
        </w:rPr>
        <w:t>Heparins</w:t>
      </w:r>
    </w:p>
    <w:p>
      <w:pPr>
        <w:pStyle w:val="BodyText"/>
        <w:spacing w:line="139" w:lineRule="exact" w:before="10"/>
        <w:ind w:left="175"/>
        <w:rPr>
          <w:rFonts w:ascii="Trebuchet MS"/>
        </w:rPr>
      </w:pPr>
      <w:r>
        <w:rPr>
          <w:rFonts w:ascii="Trebuchet MS"/>
          <w:color w:val="008356"/>
        </w:rPr>
        <w:t>Tioguanine</w:t>
      </w:r>
    </w:p>
    <w:p>
      <w:pPr>
        <w:pStyle w:val="BodyText"/>
        <w:spacing w:line="146" w:lineRule="exact"/>
        <w:ind w:left="175"/>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75"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left="275" w:right="641"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increased risk of hepatotoxicity when tioguanine given with </w:t>
      </w:r>
      <w:r>
        <w:rPr>
          <w:rFonts w:ascii="Calibri" w:hAnsi="Calibri"/>
          <w:color w:val="008356"/>
          <w:w w:val="110"/>
          <w:sz w:val="11"/>
        </w:rPr>
        <w:t>BUSULFAN</w:t>
      </w:r>
    </w:p>
    <w:p>
      <w:pPr>
        <w:pStyle w:val="BodyText"/>
        <w:spacing w:before="9"/>
        <w:ind w:left="175"/>
      </w:pPr>
      <w:r>
        <w:rPr>
          <w:rFonts w:ascii="Trebuchet MS"/>
          <w:color w:val="008356"/>
          <w:w w:val="110"/>
        </w:rPr>
        <w:t>Tiotropium </w:t>
      </w:r>
      <w:r>
        <w:rPr>
          <w:i/>
          <w:color w:val="231F1F"/>
          <w:w w:val="110"/>
        </w:rPr>
        <w:t>see </w:t>
      </w:r>
      <w:r>
        <w:rPr>
          <w:color w:val="231F1F"/>
          <w:w w:val="110"/>
        </w:rPr>
        <w:t>Antimuscarinics</w:t>
      </w:r>
    </w:p>
    <w:p>
      <w:pPr>
        <w:spacing w:after="0"/>
        <w:sectPr>
          <w:headerReference w:type="even" r:id="rId54"/>
          <w:headerReference w:type="default" r:id="rId55"/>
          <w:pgSz w:w="8390" w:h="11910"/>
          <w:pgMar w:header="0" w:footer="0" w:top="460" w:bottom="280" w:left="480" w:right="0"/>
          <w:pgNumType w:start="1252"/>
          <w:cols w:num="2" w:equalWidth="0">
            <w:col w:w="3648" w:space="40"/>
            <w:col w:w="4222"/>
          </w:cols>
        </w:sectPr>
      </w:pPr>
    </w:p>
    <w:p>
      <w:pPr>
        <w:pStyle w:val="BodyText"/>
        <w:spacing w:before="3"/>
        <w:ind w:left="0"/>
        <w:rPr>
          <w:sz w:val="15"/>
        </w:rPr>
      </w:pPr>
    </w:p>
    <w:p>
      <w:pPr>
        <w:pStyle w:val="BodyText"/>
        <w:spacing w:line="139" w:lineRule="exact" w:before="1"/>
        <w:ind w:left="108"/>
        <w:rPr>
          <w:rFonts w:ascii="Trebuchet MS"/>
        </w:rPr>
      </w:pPr>
      <w:r>
        <w:rPr>
          <w:rFonts w:ascii="Trebuchet MS"/>
          <w:color w:val="008356"/>
          <w:w w:val="105"/>
        </w:rPr>
        <w:t>Tipranavir</w:t>
      </w:r>
    </w:p>
    <w:p>
      <w:pPr>
        <w:pStyle w:val="BodyText"/>
        <w:spacing w:line="220" w:lineRule="auto" w:before="8"/>
        <w:ind w:right="5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plasma concentration of tipranavir possibly reduced by </w:t>
      </w:r>
      <w:r>
        <w:rPr>
          <w:rFonts w:ascii="Calibri" w:hAnsi="Calibri"/>
          <w:color w:val="008356"/>
          <w:w w:val="105"/>
          <w:sz w:val="11"/>
        </w:rPr>
        <w:t>BUPRENORPHINE</w:t>
      </w:r>
    </w:p>
    <w:p>
      <w:pPr>
        <w:pStyle w:val="BodyText"/>
        <w:spacing w:line="220" w:lineRule="auto" w:before="10"/>
        <w:ind w:right="117" w:hanging="100"/>
      </w:pPr>
      <w:r>
        <w:rPr>
          <w:rFonts w:ascii="Lucida Sans Unicode" w:hAnsi="Lucida Sans Unicode"/>
          <w:color w:val="A7A8AC"/>
          <w:w w:val="95"/>
          <w:sz w:val="10"/>
        </w:rPr>
        <w:t>▶ </w:t>
      </w:r>
      <w:r>
        <w:rPr>
          <w:rFonts w:ascii="Calibri" w:hAnsi="Calibri"/>
          <w:color w:val="231F1F"/>
          <w:w w:val="110"/>
        </w:rPr>
        <w:t>Antacids: </w:t>
      </w:r>
      <w:r>
        <w:rPr>
          <w:color w:val="231F1F"/>
          <w:w w:val="110"/>
        </w:rPr>
        <w:t>absorption of tipranavir reduced by </w:t>
      </w:r>
      <w:r>
        <w:rPr>
          <w:rFonts w:ascii="Calibri" w:hAnsi="Calibri"/>
          <w:color w:val="008356"/>
          <w:w w:val="110"/>
          <w:sz w:val="11"/>
        </w:rPr>
        <w:t>ANTACIDS </w:t>
      </w:r>
      <w:r>
        <w:rPr>
          <w:color w:val="231F1F"/>
          <w:w w:val="110"/>
        </w:rPr>
        <w:t>(give at least 2 hours apart)</w:t>
      </w:r>
    </w:p>
    <w:p>
      <w:pPr>
        <w:pStyle w:val="BodyText"/>
        <w:spacing w:line="244" w:lineRule="auto" w:before="2"/>
        <w:ind w:right="199" w:hanging="100"/>
      </w:pPr>
      <w:r>
        <w:rPr>
          <w:rFonts w:ascii="Arial"/>
          <w:color w:val="231F1F"/>
          <w:w w:val="355"/>
          <w:position w:val="1"/>
          <w:sz w:val="7"/>
        </w:rPr>
        <w:t>l </w:t>
      </w:r>
      <w:r>
        <w:rPr>
          <w:rFonts w:ascii="Calibri"/>
          <w:color w:val="231F1F"/>
          <w:w w:val="110"/>
        </w:rPr>
        <w:t>Antibacterials: </w:t>
      </w:r>
      <w:r>
        <w:rPr>
          <w:color w:val="231F1F"/>
          <w:w w:val="110"/>
        </w:rPr>
        <w:t>tipranavir increases plasma concentration of </w:t>
      </w:r>
      <w:r>
        <w:rPr>
          <w:rFonts w:ascii="Arial"/>
          <w:color w:val="231F1F"/>
          <w:w w:val="355"/>
          <w:position w:val="1"/>
          <w:sz w:val="7"/>
        </w:rPr>
        <w:t>l </w:t>
      </w:r>
      <w:r>
        <w:rPr>
          <w:rFonts w:ascii="Calibri"/>
          <w:color w:val="008356"/>
          <w:w w:val="110"/>
          <w:sz w:val="11"/>
        </w:rPr>
        <w:t>CLARITHROMYCIN </w:t>
      </w:r>
      <w:r>
        <w:rPr>
          <w:color w:val="231F1F"/>
          <w:w w:val="110"/>
        </w:rPr>
        <w:t>(reduce dose of clarithromycin in renal impairment), also plasma concentration of tipranavir increased by clarithromycin; tipranavir increases plasma concentration of </w:t>
      </w:r>
      <w:r>
        <w:rPr>
          <w:rFonts w:ascii="Arial"/>
          <w:color w:val="231F1F"/>
          <w:w w:val="355"/>
          <w:position w:val="1"/>
          <w:sz w:val="7"/>
        </w:rPr>
        <w:t>l </w:t>
      </w:r>
      <w:r>
        <w:rPr>
          <w:rFonts w:ascii="Calibri"/>
          <w:color w:val="008356"/>
          <w:w w:val="110"/>
          <w:sz w:val="11"/>
        </w:rPr>
        <w:t>RIFABUTIN </w:t>
      </w:r>
      <w:r>
        <w:rPr>
          <w:color w:val="231F1F"/>
          <w:w w:val="110"/>
        </w:rPr>
        <w:t>(reduce dose of rifabutin); plasma concentration of tipranavir possibly reduced by</w:t>
      </w:r>
    </w:p>
    <w:p>
      <w:pPr>
        <w:pStyle w:val="BodyText"/>
        <w:spacing w:line="247" w:lineRule="auto" w:before="2"/>
        <w:ind w:right="181" w:hanging="1"/>
        <w:rPr>
          <w:rFonts w:ascii="Calibri" w:hAnsi="Calibri"/>
          <w:sz w:val="11"/>
        </w:rPr>
      </w:pPr>
      <w:r>
        <w:rPr>
          <w:rFonts w:ascii="Arial" w:hAnsi="Arial"/>
          <w:color w:val="231F1F"/>
          <w:w w:val="355"/>
          <w:position w:val="1"/>
          <w:sz w:val="7"/>
        </w:rPr>
        <w:t>l </w:t>
      </w:r>
      <w:r>
        <w:rPr>
          <w:rFonts w:ascii="Calibri" w:hAnsi="Calibri"/>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avoidance of concomitant tipranavir in severe renal and hepatic impairment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TELITHROMYCIN</w:t>
      </w:r>
    </w:p>
    <w:p>
      <w:pPr>
        <w:spacing w:line="220" w:lineRule="auto" w:before="2"/>
        <w:ind w:left="208" w:right="507"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Anticoagulants: </w:t>
      </w:r>
      <w:r>
        <w:rPr>
          <w:color w:val="231F1F"/>
          <w:w w:val="105"/>
          <w:sz w:val="12"/>
        </w:rPr>
        <w:t>avoidance of tipranavir advised by manufacturer of </w:t>
      </w:r>
      <w:r>
        <w:rPr>
          <w:rFonts w:ascii="Calibri" w:hAnsi="Calibri"/>
          <w:color w:val="008356"/>
          <w:w w:val="105"/>
          <w:sz w:val="11"/>
        </w:rPr>
        <w:t>APIXABAN </w:t>
      </w:r>
      <w:r>
        <w:rPr>
          <w:color w:val="231F1F"/>
          <w:w w:val="105"/>
          <w:sz w:val="12"/>
        </w:rPr>
        <w:t>and </w:t>
      </w:r>
      <w:r>
        <w:rPr>
          <w:rFonts w:ascii="Calibri" w:hAnsi="Calibri"/>
          <w:color w:val="008356"/>
          <w:w w:val="105"/>
          <w:sz w:val="11"/>
        </w:rPr>
        <w:t>RIVAROXABAN</w:t>
      </w:r>
    </w:p>
    <w:p>
      <w:pPr>
        <w:pStyle w:val="BodyText"/>
        <w:ind w:hanging="100"/>
      </w:pPr>
      <w:r>
        <w:rPr>
          <w:rFonts w:ascii="Arial" w:hAnsi="Arial"/>
          <w:color w:val="231F1F"/>
          <w:w w:val="355"/>
          <w:position w:val="1"/>
          <w:sz w:val="7"/>
        </w:rPr>
        <w:t>l </w:t>
      </w:r>
      <w:r>
        <w:rPr>
          <w:rFonts w:ascii="Calibri" w:hAnsi="Calibri"/>
          <w:color w:val="231F1F"/>
          <w:w w:val="110"/>
        </w:rPr>
        <w:t>Antidepressants: </w:t>
      </w:r>
      <w:r>
        <w:rPr>
          <w:color w:val="231F1F"/>
          <w:w w:val="110"/>
        </w:rPr>
        <w:t>plasma concentration of tipranavir possibly reduced by </w:t>
      </w:r>
      <w:r>
        <w:rPr>
          <w:rFonts w:ascii="Arial" w:hAnsi="Arial"/>
          <w:color w:val="231F1F"/>
          <w:w w:val="355"/>
          <w:position w:val="1"/>
          <w:sz w:val="7"/>
        </w:rPr>
        <w:t>l</w:t>
      </w:r>
      <w:r>
        <w:rPr>
          <w:rFonts w:ascii="Arial" w:hAnsi="Arial"/>
          <w:color w:val="231F1F"/>
          <w:spacing w:val="-59"/>
          <w:w w:val="355"/>
          <w:position w:val="1"/>
          <w:sz w:val="7"/>
        </w:rPr>
        <w:t> </w:t>
      </w:r>
      <w:r>
        <w:rPr>
          <w:rFonts w:ascii="Calibri" w:hAnsi="Calibri"/>
          <w:color w:val="008356"/>
          <w:w w:val="110"/>
          <w:sz w:val="11"/>
        </w:rPr>
        <w:t>ST </w:t>
      </w:r>
      <w:r>
        <w:rPr>
          <w:rFonts w:ascii="Calibri" w:hAnsi="Calibri"/>
          <w:color w:val="008356"/>
          <w:spacing w:val="4"/>
          <w:w w:val="110"/>
          <w:sz w:val="11"/>
        </w:rPr>
        <w:t>JOHN</w:t>
      </w:r>
      <w:r>
        <w:rPr>
          <w:rFonts w:ascii="Arial" w:hAnsi="Arial"/>
          <w:color w:val="008356"/>
          <w:spacing w:val="4"/>
          <w:w w:val="110"/>
          <w:sz w:val="11"/>
        </w:rPr>
        <w:t>’</w:t>
      </w:r>
      <w:r>
        <w:rPr>
          <w:rFonts w:ascii="Calibri" w:hAnsi="Calibri"/>
          <w:color w:val="008356"/>
          <w:spacing w:val="4"/>
          <w:w w:val="110"/>
          <w:sz w:val="11"/>
        </w:rPr>
        <w:t>S </w:t>
      </w:r>
      <w:r>
        <w:rPr>
          <w:rFonts w:ascii="Calibri" w:hAnsi="Calibri"/>
          <w:color w:val="008356"/>
          <w:w w:val="110"/>
          <w:sz w:val="11"/>
        </w:rPr>
        <w:t>WORT</w:t>
      </w:r>
      <w:r>
        <w:rPr>
          <w:rFonts w:ascii="Arial" w:hAnsi="Arial"/>
          <w:color w:val="231F1F"/>
          <w:w w:val="110"/>
        </w:rPr>
        <w:t>—</w:t>
      </w:r>
      <w:r>
        <w:rPr>
          <w:color w:val="231F1F"/>
          <w:w w:val="110"/>
        </w:rPr>
        <w:t>avoid concomitant use</w:t>
      </w:r>
    </w:p>
    <w:p>
      <w:pPr>
        <w:pStyle w:val="BodyText"/>
        <w:spacing w:line="220" w:lineRule="auto" w:before="4"/>
        <w:ind w:right="88"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Antiepileptics: </w:t>
      </w:r>
      <w:r>
        <w:rPr>
          <w:color w:val="231F1F"/>
          <w:w w:val="105"/>
        </w:rPr>
        <w:t>plasma concentration of tipranavir possibly reduced by </w:t>
      </w:r>
      <w:r>
        <w:rPr>
          <w:rFonts w:ascii="Calibri" w:hAnsi="Calibri"/>
          <w:color w:val="008356"/>
          <w:w w:val="105"/>
          <w:sz w:val="11"/>
        </w:rPr>
        <w:t>CARBAMAZEPINE</w:t>
      </w:r>
    </w:p>
    <w:p>
      <w:pPr>
        <w:pStyle w:val="BodyText"/>
        <w:spacing w:line="155" w:lineRule="exact" w:before="1"/>
        <w:ind w:left="108"/>
      </w:pPr>
      <w:r>
        <w:rPr>
          <w:rFonts w:ascii="Lucida Sans Unicode" w:hAnsi="Lucida Sans Unicode"/>
          <w:color w:val="A7A8AC"/>
          <w:w w:val="95"/>
          <w:sz w:val="10"/>
        </w:rPr>
        <w:t>▶ </w:t>
      </w:r>
      <w:r>
        <w:rPr>
          <w:rFonts w:ascii="Calibri" w:hAnsi="Calibri"/>
          <w:color w:val="231F1F"/>
          <w:w w:val="105"/>
        </w:rPr>
        <w:t>Antifungals: </w:t>
      </w:r>
      <w:r>
        <w:rPr>
          <w:color w:val="231F1F"/>
          <w:w w:val="105"/>
        </w:rPr>
        <w:t>plasma concentration of tipranavir increased by</w:t>
      </w:r>
    </w:p>
    <w:p>
      <w:pPr>
        <w:spacing w:line="130" w:lineRule="exact" w:before="0"/>
        <w:ind w:left="208" w:right="0" w:firstLine="0"/>
        <w:jc w:val="left"/>
        <w:rPr>
          <w:rFonts w:ascii="Calibri"/>
          <w:sz w:val="11"/>
        </w:rPr>
      </w:pPr>
      <w:r>
        <w:rPr>
          <w:rFonts w:ascii="Calibri"/>
          <w:color w:val="008356"/>
          <w:sz w:val="11"/>
        </w:rPr>
        <w:t>FLUCONAZOLE</w:t>
      </w:r>
    </w:p>
    <w:p>
      <w:pPr>
        <w:spacing w:line="242" w:lineRule="auto" w:before="0"/>
        <w:ind w:left="208" w:right="0" w:hanging="100"/>
        <w:jc w:val="left"/>
        <w:rPr>
          <w:sz w:val="12"/>
        </w:rPr>
      </w:pPr>
      <w:r>
        <w:rPr>
          <w:rFonts w:ascii="Arial"/>
          <w:color w:val="231F1F"/>
          <w:w w:val="355"/>
          <w:position w:val="1"/>
          <w:sz w:val="7"/>
        </w:rPr>
        <w:t>l </w:t>
      </w:r>
      <w:r>
        <w:rPr>
          <w:rFonts w:ascii="Calibri"/>
          <w:color w:val="231F1F"/>
          <w:w w:val="110"/>
          <w:sz w:val="12"/>
        </w:rPr>
        <w:t>Antimalarials: </w:t>
      </w:r>
      <w:r>
        <w:rPr>
          <w:color w:val="231F1F"/>
          <w:w w:val="110"/>
          <w:sz w:val="12"/>
        </w:rPr>
        <w:t>caution with tipranavir advised by manufacturer of </w:t>
      </w:r>
      <w:r>
        <w:rPr>
          <w:rFonts w:ascii="Calibri"/>
          <w:color w:val="008356"/>
          <w:w w:val="110"/>
          <w:sz w:val="11"/>
        </w:rPr>
        <w:t>ARTEMETHER WITH LUMEFANTRINE</w:t>
      </w:r>
      <w:r>
        <w:rPr>
          <w:color w:val="231F1F"/>
          <w:w w:val="110"/>
          <w:sz w:val="12"/>
        </w:rPr>
        <w:t>; tipranavir possibly increases plasma concentration of </w:t>
      </w:r>
      <w:r>
        <w:rPr>
          <w:rFonts w:ascii="Arial"/>
          <w:color w:val="231F1F"/>
          <w:w w:val="355"/>
          <w:position w:val="1"/>
          <w:sz w:val="7"/>
        </w:rPr>
        <w:t>l </w:t>
      </w:r>
      <w:r>
        <w:rPr>
          <w:rFonts w:ascii="Calibri"/>
          <w:color w:val="008356"/>
          <w:w w:val="110"/>
          <w:sz w:val="11"/>
        </w:rPr>
        <w:t>QUININE </w:t>
      </w:r>
      <w:r>
        <w:rPr>
          <w:color w:val="231F1F"/>
          <w:w w:val="110"/>
          <w:sz w:val="12"/>
        </w:rPr>
        <w:t>(increased risk of toxicity)</w:t>
      </w:r>
    </w:p>
    <w:p>
      <w:pPr>
        <w:pStyle w:val="BodyText"/>
        <w:spacing w:line="220" w:lineRule="auto" w:before="6"/>
        <w:ind w:right="507"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Antimuscarinics: </w:t>
      </w:r>
      <w:r>
        <w:rPr>
          <w:color w:val="231F1F"/>
          <w:w w:val="105"/>
        </w:rPr>
        <w:t>avoidance of tipranavir advised by manufacturer of </w:t>
      </w:r>
      <w:r>
        <w:rPr>
          <w:rFonts w:ascii="Calibri" w:hAnsi="Calibri"/>
          <w:color w:val="008356"/>
          <w:w w:val="105"/>
          <w:sz w:val="11"/>
        </w:rPr>
        <w:t>DARIFENACIN</w:t>
      </w:r>
    </w:p>
    <w:p>
      <w:pPr>
        <w:pStyle w:val="BodyText"/>
        <w:spacing w:line="242" w:lineRule="auto"/>
        <w:ind w:right="466" w:hanging="100"/>
      </w:pPr>
      <w:r>
        <w:rPr>
          <w:rFonts w:ascii="Arial" w:hAnsi="Arial"/>
          <w:color w:val="231F1F"/>
          <w:w w:val="310"/>
          <w:position w:val="1"/>
          <w:sz w:val="7"/>
        </w:rPr>
        <w:t>l</w:t>
      </w:r>
      <w:r>
        <w:rPr>
          <w:rFonts w:ascii="Arial" w:hAnsi="Arial"/>
          <w:color w:val="231F1F"/>
          <w:spacing w:val="-47"/>
          <w:w w:val="310"/>
          <w:position w:val="1"/>
          <w:sz w:val="7"/>
        </w:rPr>
        <w:t> </w:t>
      </w:r>
      <w:r>
        <w:rPr>
          <w:rFonts w:ascii="Calibri" w:hAnsi="Calibri"/>
          <w:color w:val="231F1F"/>
          <w:w w:val="120"/>
        </w:rPr>
        <w:t>Antipsychotics:</w:t>
      </w:r>
      <w:r>
        <w:rPr>
          <w:rFonts w:ascii="Calibri" w:hAnsi="Calibri"/>
          <w:color w:val="231F1F"/>
          <w:spacing w:val="-22"/>
          <w:w w:val="120"/>
        </w:rPr>
        <w:t> </w:t>
      </w:r>
      <w:r>
        <w:rPr>
          <w:color w:val="231F1F"/>
          <w:w w:val="120"/>
        </w:rPr>
        <w:t>tipranavir</w:t>
      </w:r>
      <w:r>
        <w:rPr>
          <w:color w:val="231F1F"/>
          <w:spacing w:val="-26"/>
          <w:w w:val="120"/>
        </w:rPr>
        <w:t> </w:t>
      </w:r>
      <w:r>
        <w:rPr>
          <w:color w:val="231F1F"/>
          <w:w w:val="120"/>
        </w:rPr>
        <w:t>possibly</w:t>
      </w:r>
      <w:r>
        <w:rPr>
          <w:color w:val="231F1F"/>
          <w:spacing w:val="-26"/>
          <w:w w:val="120"/>
        </w:rPr>
        <w:t> </w:t>
      </w:r>
      <w:r>
        <w:rPr>
          <w:color w:val="231F1F"/>
          <w:w w:val="120"/>
        </w:rPr>
        <w:t>increases</w:t>
      </w:r>
      <w:r>
        <w:rPr>
          <w:color w:val="231F1F"/>
          <w:spacing w:val="-26"/>
          <w:w w:val="120"/>
        </w:rPr>
        <w:t> </w:t>
      </w:r>
      <w:r>
        <w:rPr>
          <w:color w:val="231F1F"/>
          <w:w w:val="120"/>
        </w:rPr>
        <w:t>plasma concentration of </w:t>
      </w:r>
      <w:r>
        <w:rPr>
          <w:rFonts w:ascii="Arial" w:hAnsi="Arial"/>
          <w:color w:val="231F1F"/>
          <w:w w:val="355"/>
          <w:position w:val="1"/>
          <w:sz w:val="7"/>
        </w:rPr>
        <w:t>l </w:t>
      </w:r>
      <w:r>
        <w:rPr>
          <w:rFonts w:ascii="Calibri" w:hAnsi="Calibri"/>
          <w:color w:val="008356"/>
          <w:spacing w:val="4"/>
          <w:w w:val="120"/>
          <w:sz w:val="11"/>
        </w:rPr>
        <w:t>ARIPIPRAZOLE </w:t>
      </w:r>
      <w:r>
        <w:rPr>
          <w:color w:val="231F1F"/>
          <w:w w:val="120"/>
        </w:rPr>
        <w:t>(reduce dose of </w:t>
      </w:r>
      <w:r>
        <w:rPr>
          <w:color w:val="231F1F"/>
          <w:w w:val="115"/>
        </w:rPr>
        <w:t>aripiprazole</w:t>
      </w:r>
      <w:r>
        <w:rPr>
          <w:rFonts w:ascii="Arial" w:hAnsi="Arial"/>
          <w:color w:val="231F1F"/>
          <w:w w:val="115"/>
        </w:rPr>
        <w:t>—</w:t>
      </w:r>
      <w:r>
        <w:rPr>
          <w:color w:val="231F1F"/>
          <w:w w:val="115"/>
        </w:rPr>
        <w:t>consult</w:t>
      </w:r>
      <w:r>
        <w:rPr>
          <w:color w:val="231F1F"/>
          <w:spacing w:val="-10"/>
          <w:w w:val="115"/>
        </w:rPr>
        <w:t> </w:t>
      </w:r>
      <w:r>
        <w:rPr>
          <w:color w:val="231F1F"/>
          <w:w w:val="115"/>
        </w:rPr>
        <w:t>aripiprazole</w:t>
      </w:r>
      <w:r>
        <w:rPr>
          <w:color w:val="231F1F"/>
          <w:spacing w:val="-10"/>
          <w:w w:val="115"/>
        </w:rPr>
        <w:t> </w:t>
      </w:r>
      <w:r>
        <w:rPr>
          <w:color w:val="231F1F"/>
          <w:w w:val="115"/>
        </w:rPr>
        <w:t>product</w:t>
      </w:r>
      <w:r>
        <w:rPr>
          <w:color w:val="231F1F"/>
          <w:spacing w:val="-9"/>
          <w:w w:val="115"/>
        </w:rPr>
        <w:t> </w:t>
      </w:r>
      <w:r>
        <w:rPr>
          <w:color w:val="231F1F"/>
          <w:spacing w:val="-2"/>
          <w:w w:val="115"/>
        </w:rPr>
        <w:t>literature); </w:t>
      </w:r>
      <w:r>
        <w:rPr>
          <w:color w:val="231F1F"/>
          <w:w w:val="115"/>
        </w:rPr>
        <w:t>tipranavir</w:t>
      </w:r>
      <w:r>
        <w:rPr>
          <w:color w:val="231F1F"/>
          <w:spacing w:val="-8"/>
          <w:w w:val="115"/>
        </w:rPr>
        <w:t> </w:t>
      </w:r>
      <w:r>
        <w:rPr>
          <w:color w:val="231F1F"/>
          <w:w w:val="115"/>
        </w:rPr>
        <w:t>possibly</w:t>
      </w:r>
      <w:r>
        <w:rPr>
          <w:color w:val="231F1F"/>
          <w:spacing w:val="-6"/>
          <w:w w:val="115"/>
        </w:rPr>
        <w:t> </w:t>
      </w:r>
      <w:r>
        <w:rPr>
          <w:color w:val="231F1F"/>
          <w:w w:val="115"/>
        </w:rPr>
        <w:t>increases</w:t>
      </w:r>
      <w:r>
        <w:rPr>
          <w:color w:val="231F1F"/>
          <w:spacing w:val="-6"/>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w:t>
      </w:r>
    </w:p>
    <w:p>
      <w:pPr>
        <w:pStyle w:val="BodyText"/>
        <w:spacing w:before="5"/>
        <w:ind w:right="339" w:hanging="1"/>
      </w:pPr>
      <w:r>
        <w:rPr>
          <w:rFonts w:ascii="Arial" w:hAnsi="Arial"/>
          <w:color w:val="231F1F"/>
          <w:w w:val="280"/>
          <w:position w:val="1"/>
          <w:sz w:val="7"/>
        </w:rPr>
        <w:t>l</w:t>
      </w:r>
      <w:r>
        <w:rPr>
          <w:rFonts w:ascii="Arial" w:hAnsi="Arial"/>
          <w:color w:val="231F1F"/>
          <w:spacing w:val="-45"/>
          <w:w w:val="280"/>
          <w:position w:val="1"/>
          <w:sz w:val="7"/>
        </w:rPr>
        <w:t> </w:t>
      </w:r>
      <w:r>
        <w:rPr>
          <w:rFonts w:ascii="Calibri" w:hAnsi="Calibri"/>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quetiapine</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6"/>
          <w:w w:val="115"/>
        </w:rPr>
        <w:t> </w:t>
      </w:r>
      <w:r>
        <w:rPr>
          <w:color w:val="231F1F"/>
          <w:w w:val="115"/>
        </w:rPr>
        <w:t>use</w:t>
      </w:r>
    </w:p>
    <w:p>
      <w:pPr>
        <w:pStyle w:val="BodyText"/>
        <w:spacing w:line="146" w:lineRule="exact" w:before="3"/>
        <w:ind w:left="108"/>
      </w:pPr>
      <w:r>
        <w:rPr>
          <w:rFonts w:ascii="Arial"/>
          <w:color w:val="231F1F"/>
          <w:w w:val="355"/>
          <w:position w:val="1"/>
          <w:sz w:val="7"/>
        </w:rPr>
        <w:t>l </w:t>
      </w:r>
      <w:r>
        <w:rPr>
          <w:rFonts w:ascii="Calibri"/>
          <w:color w:val="231F1F"/>
          <w:w w:val="115"/>
        </w:rPr>
        <w:t>Antivirals: </w:t>
      </w:r>
      <w:r>
        <w:rPr>
          <w:color w:val="231F1F"/>
          <w:w w:val="115"/>
        </w:rPr>
        <w:t>tipranavir reduces plasma concentration of</w:t>
      </w:r>
    </w:p>
    <w:p>
      <w:pPr>
        <w:spacing w:before="0"/>
        <w:ind w:left="208" w:right="0" w:firstLine="0"/>
        <w:jc w:val="left"/>
        <w:rPr>
          <w:sz w:val="12"/>
        </w:rPr>
      </w:pPr>
      <w:r>
        <w:rPr>
          <w:rFonts w:ascii="Arial"/>
          <w:color w:val="231F1F"/>
          <w:w w:val="115"/>
          <w:position w:val="1"/>
          <w:sz w:val="7"/>
        </w:rPr>
        <w:t>l </w:t>
      </w:r>
      <w:r>
        <w:rPr>
          <w:rFonts w:ascii="Calibri"/>
          <w:color w:val="008356"/>
          <w:w w:val="115"/>
          <w:sz w:val="11"/>
        </w:rPr>
        <w:t>ABACAVIR</w:t>
      </w:r>
      <w:r>
        <w:rPr>
          <w:color w:val="231F1F"/>
          <w:w w:val="115"/>
          <w:sz w:val="12"/>
        </w:rPr>
        <w:t>, </w:t>
      </w:r>
      <w:r>
        <w:rPr>
          <w:rFonts w:ascii="Arial"/>
          <w:color w:val="231F1F"/>
          <w:w w:val="115"/>
          <w:position w:val="1"/>
          <w:sz w:val="7"/>
        </w:rPr>
        <w:t>l </w:t>
      </w:r>
      <w:r>
        <w:rPr>
          <w:rFonts w:ascii="Calibri"/>
          <w:color w:val="008356"/>
          <w:w w:val="115"/>
          <w:sz w:val="11"/>
        </w:rPr>
        <w:t>FOSAMPRENAVIR</w:t>
      </w:r>
      <w:r>
        <w:rPr>
          <w:color w:val="231F1F"/>
          <w:w w:val="115"/>
          <w:sz w:val="12"/>
        </w:rPr>
        <w:t>, </w:t>
      </w:r>
      <w:r>
        <w:rPr>
          <w:rFonts w:ascii="Arial"/>
          <w:color w:val="231F1F"/>
          <w:w w:val="115"/>
          <w:position w:val="1"/>
          <w:sz w:val="7"/>
        </w:rPr>
        <w:t>l </w:t>
      </w:r>
      <w:r>
        <w:rPr>
          <w:rFonts w:ascii="Calibri"/>
          <w:color w:val="008356"/>
          <w:w w:val="115"/>
          <w:sz w:val="11"/>
        </w:rPr>
        <w:t>LOPINAVIR</w:t>
      </w:r>
      <w:r>
        <w:rPr>
          <w:color w:val="231F1F"/>
          <w:w w:val="115"/>
          <w:sz w:val="12"/>
        </w:rPr>
        <w:t>, </w:t>
      </w:r>
      <w:r>
        <w:rPr>
          <w:rFonts w:ascii="Arial"/>
          <w:color w:val="231F1F"/>
          <w:w w:val="115"/>
          <w:position w:val="1"/>
          <w:sz w:val="7"/>
        </w:rPr>
        <w:t>l </w:t>
      </w:r>
      <w:r>
        <w:rPr>
          <w:rFonts w:ascii="Calibri"/>
          <w:color w:val="008356"/>
          <w:w w:val="115"/>
          <w:sz w:val="11"/>
        </w:rPr>
        <w:t>SAQUINAVIR </w:t>
      </w:r>
      <w:r>
        <w:rPr>
          <w:color w:val="231F1F"/>
          <w:w w:val="115"/>
          <w:sz w:val="12"/>
        </w:rPr>
        <w:t>and</w:t>
      </w:r>
    </w:p>
    <w:p>
      <w:pPr>
        <w:pStyle w:val="BodyText"/>
        <w:spacing w:line="244" w:lineRule="auto" w:before="1"/>
        <w:ind w:right="64"/>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ZIDOVUDINE</w:t>
      </w:r>
      <w:r>
        <w:rPr>
          <w:color w:val="231F1F"/>
          <w:spacing w:val="4"/>
          <w:w w:val="115"/>
        </w:rPr>
        <w:t>;</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color w:val="231F1F"/>
          <w:w w:val="115"/>
        </w:rPr>
        <w:t>tipranavir</w:t>
      </w:r>
      <w:r>
        <w:rPr>
          <w:color w:val="231F1F"/>
          <w:spacing w:val="-13"/>
          <w:w w:val="115"/>
        </w:rPr>
        <w:t> </w:t>
      </w:r>
      <w:r>
        <w:rPr>
          <w:color w:val="231F1F"/>
          <w:w w:val="115"/>
        </w:rPr>
        <w:t>increased by </w:t>
      </w:r>
      <w:r>
        <w:rPr>
          <w:rFonts w:ascii="Calibri" w:hAnsi="Calibri"/>
          <w:color w:val="008356"/>
          <w:spacing w:val="2"/>
          <w:w w:val="115"/>
          <w:sz w:val="11"/>
        </w:rPr>
        <w:t>ATAZANAVIR </w:t>
      </w:r>
      <w:r>
        <w:rPr>
          <w:color w:val="231F1F"/>
          <w:w w:val="115"/>
        </w:rPr>
        <w:t>(also plasma concentration of atazanavir reduced); manufacturer of tipranavir advises avoid concomitant</w:t>
      </w:r>
      <w:r>
        <w:rPr>
          <w:color w:val="231F1F"/>
          <w:spacing w:val="-24"/>
          <w:w w:val="115"/>
        </w:rPr>
        <w:t> </w:t>
      </w:r>
      <w:r>
        <w:rPr>
          <w:color w:val="231F1F"/>
          <w:w w:val="115"/>
        </w:rPr>
        <w:t>use</w:t>
      </w:r>
      <w:r>
        <w:rPr>
          <w:color w:val="231F1F"/>
          <w:spacing w:val="-22"/>
          <w:w w:val="115"/>
        </w:rPr>
        <w:t> </w:t>
      </w:r>
      <w:r>
        <w:rPr>
          <w:color w:val="231F1F"/>
          <w:w w:val="115"/>
        </w:rPr>
        <w:t>with</w:t>
      </w:r>
      <w:r>
        <w:rPr>
          <w:color w:val="231F1F"/>
          <w:spacing w:val="-23"/>
          <w:w w:val="115"/>
        </w:rPr>
        <w:t> </w:t>
      </w:r>
      <w:r>
        <w:rPr>
          <w:rFonts w:ascii="Calibri" w:hAnsi="Calibri"/>
          <w:color w:val="008356"/>
          <w:spacing w:val="4"/>
          <w:w w:val="115"/>
          <w:sz w:val="11"/>
        </w:rPr>
        <w:t>BOCEPREVIR</w:t>
      </w:r>
      <w:r>
        <w:rPr>
          <w:rFonts w:ascii="Calibri" w:hAnsi="Calibri"/>
          <w:color w:val="008356"/>
          <w:spacing w:val="-14"/>
          <w:w w:val="115"/>
          <w:sz w:val="11"/>
        </w:rPr>
        <w:t> </w:t>
      </w:r>
      <w:r>
        <w:rPr>
          <w:color w:val="231F1F"/>
          <w:w w:val="115"/>
        </w:rPr>
        <w:t>and</w:t>
      </w:r>
      <w:r>
        <w:rPr>
          <w:color w:val="231F1F"/>
          <w:spacing w:val="-23"/>
          <w:w w:val="115"/>
        </w:rPr>
        <w:t> </w:t>
      </w:r>
      <w:r>
        <w:rPr>
          <w:rFonts w:ascii="Calibri" w:hAnsi="Calibri"/>
          <w:color w:val="008356"/>
          <w:spacing w:val="4"/>
          <w:w w:val="115"/>
          <w:sz w:val="11"/>
        </w:rPr>
        <w:t>TELAPREVIR</w:t>
      </w:r>
      <w:r>
        <w:rPr>
          <w:color w:val="231F1F"/>
          <w:spacing w:val="4"/>
          <w:w w:val="115"/>
        </w:rPr>
        <w:t>;</w:t>
      </w:r>
      <w:r>
        <w:rPr>
          <w:color w:val="231F1F"/>
          <w:spacing w:val="-22"/>
          <w:w w:val="115"/>
        </w:rPr>
        <w:t> </w:t>
      </w:r>
      <w:r>
        <w:rPr>
          <w:color w:val="231F1F"/>
          <w:w w:val="115"/>
        </w:rPr>
        <w:t>tipranavir </w:t>
      </w:r>
      <w:r>
        <w:rPr>
          <w:color w:val="231F1F"/>
          <w:w w:val="110"/>
        </w:rPr>
        <w:t>reduces plasma concentration of </w:t>
      </w:r>
      <w:r>
        <w:rPr>
          <w:rFonts w:ascii="Calibri" w:hAnsi="Calibri"/>
          <w:color w:val="008356"/>
          <w:spacing w:val="2"/>
          <w:w w:val="110"/>
          <w:sz w:val="11"/>
        </w:rPr>
        <w:t>DIDANOSINE</w:t>
      </w:r>
      <w:r>
        <w:rPr>
          <w:rFonts w:ascii="Arial" w:hAnsi="Arial"/>
          <w:color w:val="231F1F"/>
          <w:spacing w:val="2"/>
          <w:w w:val="110"/>
        </w:rPr>
        <w:t>—</w:t>
      </w:r>
      <w:r>
        <w:rPr>
          <w:color w:val="231F1F"/>
          <w:spacing w:val="2"/>
          <w:w w:val="110"/>
        </w:rPr>
        <w:t>manufacturer </w:t>
      </w:r>
      <w:r>
        <w:rPr>
          <w:color w:val="231F1F"/>
          <w:w w:val="115"/>
        </w:rPr>
        <w:t>of tipranavir advises tipranavir and didanosine </w:t>
      </w:r>
      <w:r>
        <w:rPr>
          <w:i/>
          <w:color w:val="231F1F"/>
          <w:w w:val="115"/>
        </w:rPr>
        <w:t>capsules </w:t>
      </w:r>
      <w:r>
        <w:rPr>
          <w:color w:val="231F1F"/>
          <w:w w:val="115"/>
        </w:rPr>
        <w:t>should be taken at least 2 hours apart; tipranavir reduces </w:t>
      </w:r>
      <w:r>
        <w:rPr>
          <w:color w:val="231F1F"/>
          <w:spacing w:val="-4"/>
          <w:w w:val="115"/>
        </w:rPr>
        <w:t>the </w:t>
      </w:r>
      <w:r>
        <w:rPr>
          <w:color w:val="231F1F"/>
          <w:w w:val="115"/>
        </w:rPr>
        <w:t>plasma concentration of </w:t>
      </w:r>
      <w:r>
        <w:rPr>
          <w:rFonts w:ascii="Arial" w:hAnsi="Arial"/>
          <w:color w:val="231F1F"/>
          <w:w w:val="355"/>
          <w:position w:val="1"/>
          <w:sz w:val="7"/>
        </w:rPr>
        <w:t>l </w:t>
      </w:r>
      <w:r>
        <w:rPr>
          <w:rFonts w:ascii="Calibri" w:hAnsi="Calibri"/>
          <w:color w:val="008356"/>
          <w:spacing w:val="4"/>
          <w:w w:val="115"/>
          <w:sz w:val="11"/>
        </w:rPr>
        <w:t>DOLUTEGRAVIR </w:t>
      </w:r>
      <w:r>
        <w:rPr>
          <w:color w:val="231F1F"/>
          <w:w w:val="115"/>
        </w:rPr>
        <w:t>(see under Dolutegravir, p. 557); tipranavir reduces plasma concentration</w:t>
      </w:r>
      <w:r>
        <w:rPr>
          <w:color w:val="231F1F"/>
          <w:spacing w:val="-10"/>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4"/>
          <w:w w:val="115"/>
          <w:sz w:val="11"/>
        </w:rPr>
        <w:t>ETRAVIRINE</w:t>
      </w:r>
      <w:r>
        <w:rPr>
          <w:color w:val="231F1F"/>
          <w:spacing w:val="4"/>
          <w:w w:val="115"/>
        </w:rPr>
        <w:t>,</w:t>
      </w:r>
      <w:r>
        <w:rPr>
          <w:color w:val="231F1F"/>
          <w:spacing w:val="-9"/>
          <w:w w:val="115"/>
        </w:rPr>
        <w:t> </w:t>
      </w:r>
      <w:r>
        <w:rPr>
          <w:color w:val="231F1F"/>
          <w:w w:val="115"/>
        </w:rPr>
        <w:t>also</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 tipranavir increased (avoid concomitant</w:t>
      </w:r>
      <w:r>
        <w:rPr>
          <w:color w:val="231F1F"/>
          <w:spacing w:val="-19"/>
          <w:w w:val="115"/>
        </w:rPr>
        <w:t> </w:t>
      </w:r>
      <w:r>
        <w:rPr>
          <w:color w:val="231F1F"/>
          <w:w w:val="115"/>
        </w:rPr>
        <w:t>use)</w:t>
      </w:r>
    </w:p>
    <w:p>
      <w:pPr>
        <w:pStyle w:val="BodyText"/>
        <w:spacing w:before="4"/>
        <w:ind w:hanging="100"/>
      </w:pPr>
      <w:r>
        <w:rPr>
          <w:rFonts w:ascii="Arial"/>
          <w:color w:val="231F1F"/>
          <w:w w:val="355"/>
          <w:position w:val="1"/>
          <w:sz w:val="7"/>
        </w:rPr>
        <w:t>l </w:t>
      </w:r>
      <w:r>
        <w:rPr>
          <w:rFonts w:ascii="Calibri"/>
          <w:color w:val="231F1F"/>
          <w:w w:val="110"/>
        </w:rPr>
        <w:t>Beta-blockers: </w:t>
      </w:r>
      <w:r>
        <w:rPr>
          <w:color w:val="231F1F"/>
          <w:w w:val="110"/>
        </w:rPr>
        <w:t>manufacturer of tipranavir advises avoid concomitant use with </w:t>
      </w:r>
      <w:r>
        <w:rPr>
          <w:rFonts w:ascii="Arial"/>
          <w:color w:val="231F1F"/>
          <w:w w:val="355"/>
          <w:position w:val="1"/>
          <w:sz w:val="7"/>
        </w:rPr>
        <w:t>l </w:t>
      </w:r>
      <w:r>
        <w:rPr>
          <w:rFonts w:ascii="Calibri"/>
          <w:color w:val="008356"/>
          <w:w w:val="110"/>
          <w:sz w:val="11"/>
        </w:rPr>
        <w:t>METOPROLOL </w:t>
      </w:r>
      <w:r>
        <w:rPr>
          <w:color w:val="231F1F"/>
          <w:w w:val="110"/>
        </w:rPr>
        <w:t>for heart failure</w:t>
      </w:r>
    </w:p>
    <w:p>
      <w:pPr>
        <w:pStyle w:val="BodyText"/>
        <w:spacing w:line="220" w:lineRule="auto" w:before="5"/>
        <w:ind w:right="507" w:hanging="100"/>
        <w:rPr>
          <w:rFonts w:ascii="Calibri" w:hAnsi="Calibri"/>
          <w:sz w:val="11"/>
        </w:rPr>
      </w:pPr>
      <w:r>
        <w:rPr>
          <w:rFonts w:ascii="Lucida Sans Unicode" w:hAnsi="Lucida Sans Unicode"/>
          <w:color w:val="A7A8AC"/>
          <w:w w:val="95"/>
          <w:sz w:val="10"/>
        </w:rPr>
        <w:t>▶ </w:t>
      </w:r>
      <w:r>
        <w:rPr>
          <w:rFonts w:ascii="Calibri" w:hAnsi="Calibri"/>
          <w:color w:val="231F1F"/>
          <w:w w:val="105"/>
        </w:rPr>
        <w:t>Bosentan: </w:t>
      </w:r>
      <w:r>
        <w:rPr>
          <w:color w:val="231F1F"/>
          <w:w w:val="105"/>
        </w:rPr>
        <w:t>manufacturer of tipranavir advises avoid concomitant use with </w:t>
      </w:r>
      <w:r>
        <w:rPr>
          <w:rFonts w:ascii="Calibri" w:hAnsi="Calibri"/>
          <w:color w:val="008356"/>
          <w:w w:val="105"/>
          <w:sz w:val="11"/>
        </w:rPr>
        <w:t>BOSENTAN</w:t>
      </w:r>
    </w:p>
    <w:p>
      <w:pPr>
        <w:pStyle w:val="BodyText"/>
        <w:spacing w:before="1"/>
        <w:ind w:hanging="100"/>
      </w:pPr>
      <w:r>
        <w:rPr>
          <w:rFonts w:ascii="Arial"/>
          <w:color w:val="231F1F"/>
          <w:w w:val="355"/>
          <w:position w:val="1"/>
          <w:sz w:val="7"/>
        </w:rPr>
        <w:t>l </w:t>
      </w:r>
      <w:r>
        <w:rPr>
          <w:rFonts w:ascii="Calibri"/>
          <w:color w:val="231F1F"/>
          <w:w w:val="110"/>
        </w:rPr>
        <w:t>Cobicistat: </w:t>
      </w:r>
      <w:r>
        <w:rPr>
          <w:color w:val="231F1F"/>
          <w:w w:val="110"/>
        </w:rPr>
        <w:t>plasma concentration of both drugs reduced when tipranavir given with </w:t>
      </w:r>
      <w:r>
        <w:rPr>
          <w:rFonts w:ascii="Arial"/>
          <w:color w:val="231F1F"/>
          <w:w w:val="355"/>
          <w:position w:val="1"/>
          <w:sz w:val="7"/>
        </w:rPr>
        <w:t>l </w:t>
      </w:r>
      <w:r>
        <w:rPr>
          <w:rFonts w:ascii="Calibri"/>
          <w:color w:val="008356"/>
          <w:w w:val="110"/>
          <w:sz w:val="11"/>
        </w:rPr>
        <w:t>COBICISTAT </w:t>
      </w:r>
      <w:r>
        <w:rPr>
          <w:color w:val="231F1F"/>
          <w:w w:val="110"/>
        </w:rPr>
        <w:t>(avoid concomitant use)</w:t>
      </w:r>
    </w:p>
    <w:p>
      <w:pPr>
        <w:pStyle w:val="BodyText"/>
        <w:ind w:right="53" w:hanging="100"/>
      </w:pPr>
      <w:r>
        <w:rPr>
          <w:rFonts w:ascii="Arial"/>
          <w:color w:val="231F1F"/>
          <w:w w:val="355"/>
          <w:position w:val="1"/>
          <w:sz w:val="7"/>
        </w:rPr>
        <w:t>l </w:t>
      </w:r>
      <w:r>
        <w:rPr>
          <w:rFonts w:ascii="Calibri"/>
          <w:color w:val="231F1F"/>
          <w:w w:val="110"/>
        </w:rPr>
        <w:t>Lipid-regulating Drugs: </w:t>
      </w:r>
      <w:r>
        <w:rPr>
          <w:color w:val="231F1F"/>
          <w:w w:val="110"/>
        </w:rPr>
        <w:t>increased risk of myopathy when tipranavir given with </w:t>
      </w:r>
      <w:r>
        <w:rPr>
          <w:rFonts w:ascii="Arial"/>
          <w:color w:val="231F1F"/>
          <w:w w:val="355"/>
          <w:position w:val="1"/>
          <w:sz w:val="7"/>
        </w:rPr>
        <w:t>l </w:t>
      </w:r>
      <w:r>
        <w:rPr>
          <w:rFonts w:ascii="Calibri"/>
          <w:color w:val="008356"/>
          <w:w w:val="110"/>
          <w:sz w:val="11"/>
        </w:rPr>
        <w:t>ATORVASTATIN </w:t>
      </w:r>
      <w:r>
        <w:rPr>
          <w:color w:val="231F1F"/>
          <w:w w:val="110"/>
        </w:rPr>
        <w:t>(see under Atorvastatin,</w:t>
      </w:r>
    </w:p>
    <w:p>
      <w:pPr>
        <w:pStyle w:val="BodyText"/>
      </w:pPr>
      <w:r>
        <w:rPr>
          <w:color w:val="231F1F"/>
          <w:w w:val="115"/>
        </w:rPr>
        <w:t>p. 179); tipranavir increases plasma concentration of</w:t>
      </w:r>
    </w:p>
    <w:p>
      <w:pPr>
        <w:pStyle w:val="BodyText"/>
        <w:spacing w:line="244" w:lineRule="auto" w:before="3"/>
        <w:ind w:right="50"/>
      </w:pPr>
      <w:r>
        <w:rPr>
          <w:rFonts w:ascii="Arial" w:hAnsi="Arial"/>
          <w:color w:val="231F1F"/>
          <w:w w:val="335"/>
          <w:position w:val="1"/>
          <w:sz w:val="7"/>
        </w:rPr>
        <w:t>l</w:t>
      </w:r>
      <w:r>
        <w:rPr>
          <w:rFonts w:ascii="Arial" w:hAnsi="Arial"/>
          <w:color w:val="231F1F"/>
          <w:spacing w:val="-56"/>
          <w:w w:val="335"/>
          <w:position w:val="1"/>
          <w:sz w:val="7"/>
        </w:rPr>
        <w:t> </w:t>
      </w:r>
      <w:r>
        <w:rPr>
          <w:rFonts w:ascii="Calibri" w:hAnsi="Calibri"/>
          <w:color w:val="008356"/>
          <w:spacing w:val="2"/>
          <w:w w:val="115"/>
          <w:sz w:val="11"/>
        </w:rPr>
        <w:t>ROSUVASTATIN</w:t>
      </w:r>
      <w:r>
        <w:rPr>
          <w:rFonts w:ascii="Arial" w:hAnsi="Arial"/>
          <w:color w:val="231F1F"/>
          <w:spacing w:val="2"/>
          <w:w w:val="115"/>
        </w:rPr>
        <w:t>—</w:t>
      </w:r>
      <w:r>
        <w:rPr>
          <w:color w:val="231F1F"/>
          <w:spacing w:val="2"/>
          <w:w w:val="115"/>
        </w:rPr>
        <w:t>adjust</w:t>
      </w:r>
      <w:r>
        <w:rPr>
          <w:color w:val="231F1F"/>
          <w:spacing w:val="-25"/>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w:t>
      </w:r>
      <w:r>
        <w:rPr>
          <w:color w:val="231F1F"/>
          <w:spacing w:val="-24"/>
          <w:w w:val="115"/>
        </w:rPr>
        <w:t> </w:t>
      </w:r>
      <w:r>
        <w:rPr>
          <w:color w:val="231F1F"/>
          <w:w w:val="115"/>
        </w:rPr>
        <w:t>(consult</w:t>
      </w:r>
      <w:r>
        <w:rPr>
          <w:color w:val="231F1F"/>
          <w:spacing w:val="-24"/>
          <w:w w:val="115"/>
        </w:rPr>
        <w:t> </w:t>
      </w:r>
      <w:r>
        <w:rPr>
          <w:color w:val="231F1F"/>
          <w:w w:val="115"/>
        </w:rPr>
        <w:t>product literature); tipranavir possibly increases plasma concentration of </w:t>
      </w:r>
      <w:r>
        <w:rPr>
          <w:rFonts w:ascii="Arial" w:hAnsi="Arial"/>
          <w:color w:val="231F1F"/>
          <w:w w:val="355"/>
          <w:position w:val="1"/>
          <w:sz w:val="7"/>
        </w:rPr>
        <w:t>l </w:t>
      </w:r>
      <w:r>
        <w:rPr>
          <w:rFonts w:ascii="Calibri" w:hAnsi="Calibri"/>
          <w:color w:val="008356"/>
          <w:spacing w:val="2"/>
          <w:w w:val="115"/>
          <w:sz w:val="11"/>
        </w:rPr>
        <w:t>SIMVASTATIN</w:t>
      </w:r>
      <w:r>
        <w:rPr>
          <w:rFonts w:ascii="Arial" w:hAnsi="Arial"/>
          <w:color w:val="231F1F"/>
          <w:spacing w:val="2"/>
          <w:w w:val="115"/>
        </w:rPr>
        <w:t>—</w:t>
      </w:r>
      <w:r>
        <w:rPr>
          <w:color w:val="231F1F"/>
          <w:spacing w:val="2"/>
          <w:w w:val="115"/>
        </w:rPr>
        <w:t>avoid </w:t>
      </w:r>
      <w:r>
        <w:rPr>
          <w:color w:val="231F1F"/>
          <w:w w:val="115"/>
        </w:rPr>
        <w:t>concomitant use; avoidance</w:t>
      </w:r>
      <w:r>
        <w:rPr>
          <w:color w:val="231F1F"/>
          <w:spacing w:val="-5"/>
          <w:w w:val="115"/>
        </w:rPr>
        <w:t> </w:t>
      </w:r>
      <w:r>
        <w:rPr>
          <w:color w:val="231F1F"/>
          <w:w w:val="115"/>
        </w:rPr>
        <w:t>of</w:t>
      </w:r>
      <w:r>
        <w:rPr>
          <w:color w:val="231F1F"/>
          <w:spacing w:val="-4"/>
          <w:w w:val="115"/>
        </w:rPr>
        <w:t> </w:t>
      </w:r>
      <w:r>
        <w:rPr>
          <w:color w:val="231F1F"/>
          <w:w w:val="115"/>
        </w:rPr>
        <w:t>tipranavir</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4"/>
          <w:w w:val="115"/>
        </w:rPr>
        <w:t> </w:t>
      </w:r>
      <w:r>
        <w:rPr>
          <w:color w:val="231F1F"/>
          <w:w w:val="115"/>
        </w:rPr>
        <w:t>manufacturer</w:t>
      </w:r>
      <w:r>
        <w:rPr>
          <w:color w:val="231F1F"/>
          <w:spacing w:val="-6"/>
          <w:w w:val="115"/>
        </w:rPr>
        <w:t> </w:t>
      </w:r>
      <w:r>
        <w:rPr>
          <w:color w:val="231F1F"/>
          <w:w w:val="115"/>
        </w:rPr>
        <w:t>of</w:t>
      </w:r>
    </w:p>
    <w:p>
      <w:pPr>
        <w:pStyle w:val="BodyText"/>
        <w:spacing w:before="3"/>
      </w:pPr>
      <w:r>
        <w:rPr>
          <w:rFonts w:ascii="Arial"/>
          <w:color w:val="231F1F"/>
          <w:w w:val="355"/>
          <w:position w:val="1"/>
          <w:sz w:val="7"/>
        </w:rPr>
        <w:t>l </w:t>
      </w:r>
      <w:r>
        <w:rPr>
          <w:rFonts w:ascii="Calibri"/>
          <w:color w:val="008356"/>
          <w:w w:val="110"/>
          <w:sz w:val="11"/>
        </w:rPr>
        <w:t>LOMITAPIDE </w:t>
      </w:r>
      <w:r>
        <w:rPr>
          <w:color w:val="231F1F"/>
          <w:w w:val="110"/>
        </w:rPr>
        <w:t>(plasma concentration of lomitapide possibly increased)</w:t>
      </w:r>
    </w:p>
    <w:p>
      <w:pPr>
        <w:pStyle w:val="BodyText"/>
        <w:spacing w:before="3"/>
        <w:ind w:left="108"/>
      </w:pPr>
      <w:r>
        <w:rPr>
          <w:rFonts w:ascii="Arial"/>
          <w:color w:val="231F1F"/>
          <w:w w:val="355"/>
          <w:position w:val="1"/>
          <w:sz w:val="7"/>
        </w:rPr>
        <w:t>l </w:t>
      </w:r>
      <w:r>
        <w:rPr>
          <w:rFonts w:ascii="Calibri"/>
          <w:color w:val="231F1F"/>
          <w:w w:val="115"/>
        </w:rPr>
        <w:t>Orlistat: </w:t>
      </w:r>
      <w:r>
        <w:rPr>
          <w:color w:val="231F1F"/>
          <w:w w:val="115"/>
        </w:rPr>
        <w:t>absorption of tipranavir possibly reduced by</w:t>
      </w:r>
    </w:p>
    <w:p>
      <w:pPr>
        <w:spacing w:line="133" w:lineRule="exact" w:before="7"/>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ind w:hanging="100"/>
      </w:pPr>
      <w:r>
        <w:rPr>
          <w:rFonts w:ascii="Arial" w:hAnsi="Arial"/>
          <w:color w:val="231F1F"/>
          <w:w w:val="355"/>
          <w:position w:val="1"/>
          <w:sz w:val="7"/>
        </w:rPr>
        <w:t>l </w:t>
      </w:r>
      <w:r>
        <w:rPr>
          <w:rFonts w:ascii="Calibri" w:hAnsi="Calibri"/>
          <w:color w:val="231F1F"/>
          <w:w w:val="120"/>
        </w:rPr>
        <w:t>Ranolazine: </w:t>
      </w:r>
      <w:r>
        <w:rPr>
          <w:color w:val="231F1F"/>
          <w:w w:val="120"/>
        </w:rPr>
        <w:t>tipranavir possibly increases plasma </w:t>
      </w:r>
      <w:r>
        <w:rPr>
          <w:color w:val="231F1F"/>
          <w:w w:val="115"/>
        </w:rPr>
        <w:t>concentration of </w:t>
      </w:r>
      <w:r>
        <w:rPr>
          <w:rFonts w:ascii="Arial" w:hAnsi="Arial"/>
          <w:color w:val="231F1F"/>
          <w:w w:val="115"/>
          <w:position w:val="1"/>
          <w:sz w:val="7"/>
        </w:rPr>
        <w:t>l </w:t>
      </w:r>
      <w:r>
        <w:rPr>
          <w:rFonts w:ascii="Calibri" w:hAnsi="Calibri"/>
          <w:color w:val="008356"/>
          <w:w w:val="115"/>
          <w:sz w:val="11"/>
        </w:rPr>
        <w:t>RANOLAZINE</w:t>
      </w:r>
      <w:r>
        <w:rPr>
          <w:rFonts w:ascii="Arial" w:hAnsi="Arial"/>
          <w:color w:val="231F1F"/>
          <w:w w:val="115"/>
        </w:rPr>
        <w:t>—</w:t>
      </w:r>
      <w:r>
        <w:rPr>
          <w:color w:val="231F1F"/>
          <w:w w:val="115"/>
        </w:rPr>
        <w:t>manufacturer of ranolazine </w:t>
      </w:r>
      <w:r>
        <w:rPr>
          <w:color w:val="231F1F"/>
          <w:w w:val="120"/>
        </w:rPr>
        <w:t>advises avoid concomitant use</w:t>
      </w:r>
    </w:p>
    <w:p>
      <w:pPr>
        <w:pStyle w:val="BodyText"/>
        <w:spacing w:line="230" w:lineRule="auto" w:before="4"/>
        <w:ind w:right="507" w:hanging="100"/>
      </w:pPr>
      <w:r>
        <w:rPr>
          <w:rFonts w:ascii="Lucida Sans Unicode" w:hAnsi="Lucida Sans Unicode"/>
          <w:color w:val="A7A8AC"/>
          <w:w w:val="95"/>
          <w:sz w:val="10"/>
        </w:rPr>
        <w:t>▶ </w:t>
      </w:r>
      <w:r>
        <w:rPr>
          <w:rFonts w:ascii="Calibri" w:hAnsi="Calibri"/>
          <w:color w:val="231F1F"/>
          <w:w w:val="110"/>
        </w:rPr>
        <w:t>Sildenafil: </w:t>
      </w:r>
      <w:r>
        <w:rPr>
          <w:color w:val="231F1F"/>
          <w:w w:val="110"/>
        </w:rPr>
        <w:t>manufacturer of tipranavir advises avoid concomitant use of </w:t>
      </w:r>
      <w:r>
        <w:rPr>
          <w:rFonts w:ascii="Calibri" w:hAnsi="Calibri"/>
          <w:color w:val="008356"/>
          <w:w w:val="110"/>
          <w:sz w:val="11"/>
        </w:rPr>
        <w:t>SILDENAFIL </w:t>
      </w:r>
      <w:r>
        <w:rPr>
          <w:color w:val="231F1F"/>
          <w:w w:val="110"/>
        </w:rPr>
        <w:t>for pulmonary arterial hypertension</w:t>
      </w:r>
    </w:p>
    <w:p>
      <w:pPr>
        <w:pStyle w:val="BodyText"/>
        <w:spacing w:line="220" w:lineRule="auto" w:before="13"/>
        <w:ind w:right="88" w:hanging="100"/>
        <w:rPr>
          <w:rFonts w:ascii="Calibri" w:hAnsi="Calibri"/>
          <w:sz w:val="11"/>
        </w:rPr>
      </w:pPr>
      <w:r>
        <w:rPr>
          <w:rFonts w:ascii="Lucida Sans Unicode" w:hAnsi="Lucida Sans Unicode"/>
          <w:color w:val="A7A8AC"/>
          <w:w w:val="95"/>
          <w:sz w:val="10"/>
        </w:rPr>
        <w:t>▶ </w:t>
      </w:r>
      <w:r>
        <w:rPr>
          <w:rFonts w:ascii="Calibri" w:hAnsi="Calibri"/>
          <w:color w:val="231F1F"/>
          <w:w w:val="105"/>
        </w:rPr>
        <w:t>Sympathomimetics, Beta</w:t>
      </w:r>
      <w:r>
        <w:rPr>
          <w:rFonts w:ascii="Calibri" w:hAnsi="Calibri"/>
          <w:color w:val="231F1F"/>
          <w:w w:val="105"/>
          <w:vertAlign w:val="subscript"/>
        </w:rPr>
        <w:t>2</w:t>
      </w:r>
      <w:r>
        <w:rPr>
          <w:rFonts w:ascii="Calibri" w:hAnsi="Calibri"/>
          <w:color w:val="231F1F"/>
          <w:w w:val="105"/>
          <w:vertAlign w:val="baseline"/>
        </w:rPr>
        <w:t>: </w:t>
      </w:r>
      <w:r>
        <w:rPr>
          <w:color w:val="231F1F"/>
          <w:w w:val="105"/>
          <w:vertAlign w:val="baseline"/>
        </w:rPr>
        <w:t>manufacturer of tipranavir advises avoid concomitant use with </w:t>
      </w:r>
      <w:r>
        <w:rPr>
          <w:rFonts w:ascii="Calibri" w:hAnsi="Calibri"/>
          <w:color w:val="008356"/>
          <w:w w:val="105"/>
          <w:sz w:val="11"/>
          <w:vertAlign w:val="baseline"/>
        </w:rPr>
        <w:t>SALMETEROL</w:t>
      </w:r>
    </w:p>
    <w:p>
      <w:pPr>
        <w:spacing w:before="0"/>
        <w:ind w:left="208" w:right="124" w:hanging="100"/>
        <w:jc w:val="left"/>
        <w:rPr>
          <w:rFonts w:ascii="Calibri"/>
          <w:sz w:val="11"/>
        </w:rPr>
      </w:pPr>
      <w:r>
        <w:rPr>
          <w:rFonts w:ascii="Arial"/>
          <w:color w:val="231F1F"/>
          <w:w w:val="355"/>
          <w:position w:val="1"/>
          <w:sz w:val="7"/>
        </w:rPr>
        <w:t>l </w:t>
      </w:r>
      <w:r>
        <w:rPr>
          <w:rFonts w:ascii="Calibri"/>
          <w:color w:val="231F1F"/>
          <w:w w:val="110"/>
          <w:sz w:val="12"/>
        </w:rPr>
        <w:t>Ulcer-healing Drugs: </w:t>
      </w:r>
      <w:r>
        <w:rPr>
          <w:color w:val="231F1F"/>
          <w:w w:val="110"/>
          <w:sz w:val="12"/>
        </w:rPr>
        <w:t>tipranavir reduces plasma concentration of </w:t>
      </w:r>
      <w:r>
        <w:rPr>
          <w:rFonts w:ascii="Arial"/>
          <w:color w:val="231F1F"/>
          <w:w w:val="355"/>
          <w:position w:val="1"/>
          <w:sz w:val="7"/>
        </w:rPr>
        <w:t>l </w:t>
      </w:r>
      <w:r>
        <w:rPr>
          <w:rFonts w:ascii="Calibri"/>
          <w:color w:val="008356"/>
          <w:w w:val="110"/>
          <w:sz w:val="11"/>
        </w:rPr>
        <w:t>ESOMEPRAZOLE </w:t>
      </w:r>
      <w:r>
        <w:rPr>
          <w:color w:val="231F1F"/>
          <w:w w:val="110"/>
          <w:sz w:val="12"/>
        </w:rPr>
        <w:t>and </w:t>
      </w:r>
      <w:r>
        <w:rPr>
          <w:rFonts w:ascii="Arial"/>
          <w:color w:val="231F1F"/>
          <w:w w:val="355"/>
          <w:position w:val="1"/>
          <w:sz w:val="7"/>
        </w:rPr>
        <w:t>l </w:t>
      </w:r>
      <w:r>
        <w:rPr>
          <w:rFonts w:ascii="Calibri"/>
          <w:color w:val="008356"/>
          <w:w w:val="110"/>
          <w:sz w:val="11"/>
        </w:rPr>
        <w:t>OMEPRAZOLE</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10"/>
        </w:rPr>
        <w:t>Vardenafil: </w:t>
      </w:r>
      <w:r>
        <w:rPr>
          <w:color w:val="231F1F"/>
          <w:w w:val="110"/>
        </w:rPr>
        <w:t>manufacturer of tipranavir advises caution with</w:t>
      </w:r>
    </w:p>
    <w:p>
      <w:pPr>
        <w:spacing w:line="131" w:lineRule="exact" w:before="0"/>
        <w:ind w:left="208" w:right="0" w:firstLine="0"/>
        <w:jc w:val="left"/>
        <w:rPr>
          <w:rFonts w:ascii="Calibri"/>
          <w:sz w:val="11"/>
        </w:rPr>
      </w:pPr>
      <w:r>
        <w:rPr>
          <w:rFonts w:ascii="Calibri"/>
          <w:color w:val="008356"/>
          <w:sz w:val="11"/>
        </w:rPr>
        <w:t>VARDENAFIL</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Tipranavir </w:t>
      </w:r>
      <w:r>
        <w:rPr>
          <w:rFonts w:ascii="Calibri"/>
          <w:color w:val="231F1F"/>
        </w:rPr>
        <w:t>(continued)</w:t>
      </w:r>
    </w:p>
    <w:p>
      <w:pPr>
        <w:pStyle w:val="BodyText"/>
        <w:spacing w:line="220" w:lineRule="auto" w:before="6"/>
        <w:ind w:right="762" w:hanging="100"/>
        <w:rPr>
          <w:rFonts w:ascii="Calibri" w:hAnsi="Calibri"/>
          <w:sz w:val="11"/>
        </w:rPr>
      </w:pPr>
      <w:r>
        <w:rPr/>
        <w:pict>
          <v:rect style="position:absolute;margin-left:398.891296pt;margin-top:-8.655787pt;width:20.522993pt;height:149.443pt;mso-position-horizontal-relative:page;mso-position-vertical-relative:paragraph;z-index:6784" filled="true" fillcolor="#bfdbcf" stroked="false">
            <v:fill type="solid"/>
            <w10:wrap type="none"/>
          </v:rect>
        </w:pict>
      </w:r>
      <w:r>
        <w:rPr/>
        <w:pict>
          <v:shape style="position:absolute;margin-left:399.725769pt;margin-top:-3.692398pt;width:10.4pt;height:78.850pt;mso-position-horizontal-relative:page;mso-position-vertical-relative:paragraph;z-index:680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Calibri" w:hAnsi="Calibri"/>
          <w:color w:val="231F1F"/>
          <w:w w:val="110"/>
        </w:rPr>
        <w:t>Vitamins: </w:t>
      </w:r>
      <w:r>
        <w:rPr>
          <w:color w:val="231F1F"/>
          <w:w w:val="110"/>
        </w:rPr>
        <w:t>increased risk of bleeding when tipranavir given with high doses of </w:t>
      </w:r>
      <w:r>
        <w:rPr>
          <w:rFonts w:ascii="Calibri" w:hAnsi="Calibri"/>
          <w:color w:val="008356"/>
          <w:w w:val="110"/>
          <w:sz w:val="11"/>
        </w:rPr>
        <w:t>VITAMIN E</w:t>
      </w:r>
    </w:p>
    <w:p>
      <w:pPr>
        <w:pStyle w:val="BodyText"/>
        <w:spacing w:before="9"/>
        <w:ind w:left="108"/>
        <w:rPr>
          <w:rFonts w:ascii="Trebuchet MS"/>
        </w:rPr>
      </w:pPr>
      <w:r>
        <w:rPr>
          <w:rFonts w:ascii="Trebuchet MS"/>
          <w:color w:val="008356"/>
        </w:rPr>
        <w:t>Tirofiban</w:t>
      </w:r>
    </w:p>
    <w:p>
      <w:pPr>
        <w:pStyle w:val="BodyText"/>
        <w:spacing w:line="156" w:lineRule="exact" w:before="1"/>
        <w:ind w:left="108"/>
      </w:pPr>
      <w:r>
        <w:rPr>
          <w:rFonts w:ascii="Lucida Sans Unicode" w:hAnsi="Lucida Sans Unicode"/>
          <w:color w:val="A7A8AC"/>
          <w:w w:val="95"/>
          <w:sz w:val="10"/>
        </w:rPr>
        <w:t>▶ </w:t>
      </w:r>
      <w:r>
        <w:rPr>
          <w:rFonts w:ascii="Calibri" w:hAnsi="Calibri"/>
          <w:color w:val="231F1F"/>
          <w:w w:val="110"/>
        </w:rPr>
        <w:t>Iloprost: </w:t>
      </w:r>
      <w:r>
        <w:rPr>
          <w:color w:val="231F1F"/>
          <w:w w:val="110"/>
        </w:rPr>
        <w:t>increased risk of bleeding when tirofiban given with</w:t>
      </w:r>
    </w:p>
    <w:p>
      <w:pPr>
        <w:spacing w:line="132" w:lineRule="exact" w:before="0"/>
        <w:ind w:left="208" w:right="0" w:firstLine="0"/>
        <w:jc w:val="left"/>
        <w:rPr>
          <w:rFonts w:ascii="Calibri"/>
          <w:sz w:val="11"/>
        </w:rPr>
      </w:pPr>
      <w:r>
        <w:rPr>
          <w:rFonts w:ascii="Calibri"/>
          <w:color w:val="008356"/>
          <w:sz w:val="11"/>
        </w:rPr>
        <w:t>ILOPROST</w:t>
      </w:r>
    </w:p>
    <w:p>
      <w:pPr>
        <w:pStyle w:val="BodyText"/>
        <w:spacing w:line="256" w:lineRule="auto" w:before="6"/>
        <w:ind w:left="108" w:right="2249"/>
        <w:rPr>
          <w:rFonts w:ascii="Trebuchet MS"/>
        </w:rPr>
      </w:pPr>
      <w:r>
        <w:rPr>
          <w:rFonts w:ascii="Trebuchet MS"/>
          <w:color w:val="008356"/>
          <w:w w:val="110"/>
        </w:rPr>
        <w:t>Tizanidine </w:t>
      </w:r>
      <w:r>
        <w:rPr>
          <w:i/>
          <w:color w:val="231F1F"/>
          <w:w w:val="110"/>
        </w:rPr>
        <w:t>see </w:t>
      </w:r>
      <w:r>
        <w:rPr>
          <w:color w:val="231F1F"/>
          <w:w w:val="110"/>
        </w:rPr>
        <w:t>Muscle Relaxants </w:t>
      </w:r>
      <w:r>
        <w:rPr>
          <w:rFonts w:ascii="Trebuchet MS"/>
          <w:color w:val="008356"/>
          <w:w w:val="110"/>
        </w:rPr>
        <w:t>Tobramycin </w:t>
      </w:r>
      <w:r>
        <w:rPr>
          <w:i/>
          <w:color w:val="231F1F"/>
          <w:w w:val="110"/>
        </w:rPr>
        <w:t>see </w:t>
      </w:r>
      <w:r>
        <w:rPr>
          <w:color w:val="231F1F"/>
          <w:w w:val="110"/>
        </w:rPr>
        <w:t>Aminoglycosides </w:t>
      </w:r>
      <w:r>
        <w:rPr>
          <w:rFonts w:ascii="Trebuchet MS"/>
          <w:color w:val="008356"/>
          <w:w w:val="110"/>
        </w:rPr>
        <w:t>Tocilizumab</w:t>
      </w:r>
    </w:p>
    <w:p>
      <w:pPr>
        <w:pStyle w:val="BodyText"/>
        <w:spacing w:line="138"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right="678"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color w:val="231F1F"/>
          <w:w w:val="115"/>
        </w:rPr>
        <w:t>live</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19"/>
          <w:w w:val="115"/>
        </w:rPr>
        <w:t> </w:t>
      </w:r>
      <w:r>
        <w:rPr>
          <w:color w:val="231F1F"/>
          <w:spacing w:val="-4"/>
          <w:w w:val="115"/>
        </w:rPr>
        <w:t>use</w:t>
      </w:r>
    </w:p>
    <w:p>
      <w:pPr>
        <w:pStyle w:val="BodyText"/>
        <w:spacing w:line="256" w:lineRule="auto" w:before="5"/>
        <w:ind w:left="108" w:right="2471"/>
        <w:jc w:val="both"/>
        <w:rPr>
          <w:rFonts w:ascii="Trebuchet MS"/>
        </w:rPr>
      </w:pPr>
      <w:r>
        <w:rPr>
          <w:rFonts w:ascii="Trebuchet MS"/>
          <w:color w:val="008356"/>
          <w:w w:val="110"/>
        </w:rPr>
        <w:t>Tolazoline </w:t>
      </w:r>
      <w:r>
        <w:rPr>
          <w:i/>
          <w:color w:val="231F1F"/>
          <w:w w:val="110"/>
        </w:rPr>
        <w:t>see</w:t>
      </w:r>
      <w:r>
        <w:rPr>
          <w:i/>
          <w:color w:val="231F1F"/>
          <w:spacing w:val="-27"/>
          <w:w w:val="110"/>
        </w:rPr>
        <w:t> </w:t>
      </w:r>
      <w:r>
        <w:rPr>
          <w:color w:val="231F1F"/>
          <w:w w:val="110"/>
        </w:rPr>
        <w:t>Alpha-blockers </w:t>
      </w:r>
      <w:r>
        <w:rPr>
          <w:rFonts w:ascii="Trebuchet MS"/>
          <w:color w:val="008356"/>
          <w:w w:val="110"/>
        </w:rPr>
        <w:t>Tolbutamide </w:t>
      </w:r>
      <w:r>
        <w:rPr>
          <w:i/>
          <w:color w:val="231F1F"/>
          <w:w w:val="110"/>
        </w:rPr>
        <w:t>see</w:t>
      </w:r>
      <w:r>
        <w:rPr>
          <w:i/>
          <w:color w:val="231F1F"/>
          <w:spacing w:val="-23"/>
          <w:w w:val="110"/>
        </w:rPr>
        <w:t> </w:t>
      </w:r>
      <w:r>
        <w:rPr>
          <w:color w:val="231F1F"/>
          <w:spacing w:val="-2"/>
          <w:w w:val="110"/>
        </w:rPr>
        <w:t>Antidiabetics </w:t>
      </w:r>
      <w:r>
        <w:rPr>
          <w:rFonts w:ascii="Trebuchet MS"/>
          <w:color w:val="008356"/>
          <w:w w:val="110"/>
        </w:rPr>
        <w:t>Tolcapone</w:t>
      </w:r>
    </w:p>
    <w:p>
      <w:pPr>
        <w:pStyle w:val="BodyText"/>
        <w:spacing w:line="148" w:lineRule="exact"/>
        <w:ind w:left="108"/>
        <w:jc w:val="both"/>
      </w:pPr>
      <w:r>
        <w:rPr>
          <w:rFonts w:ascii="Lucida Sans Unicode" w:hAnsi="Lucida Sans Unicode"/>
          <w:color w:val="A7A8AC"/>
          <w:w w:val="95"/>
          <w:sz w:val="10"/>
        </w:rPr>
        <w:t>▶ </w:t>
      </w:r>
      <w:r>
        <w:rPr>
          <w:rFonts w:ascii="Calibri" w:hAnsi="Calibri"/>
          <w:color w:val="231F1F"/>
          <w:w w:val="105"/>
        </w:rPr>
        <w:t>Antidepressants: </w:t>
      </w:r>
      <w:r>
        <w:rPr>
          <w:color w:val="231F1F"/>
          <w:w w:val="105"/>
        </w:rPr>
        <w:t>avoid concomitant use of tolcapone with</w:t>
      </w:r>
    </w:p>
    <w:p>
      <w:pPr>
        <w:spacing w:line="130" w:lineRule="exact" w:before="0"/>
        <w:ind w:left="208" w:right="0" w:firstLine="0"/>
        <w:jc w:val="left"/>
        <w:rPr>
          <w:rFonts w:ascii="Calibri"/>
          <w:sz w:val="9"/>
        </w:rPr>
      </w:pPr>
      <w:r>
        <w:rPr>
          <w:rFonts w:ascii="Calibri"/>
          <w:color w:val="008356"/>
          <w:sz w:val="11"/>
        </w:rPr>
        <w:t>MAOI</w:t>
      </w:r>
      <w:r>
        <w:rPr>
          <w:rFonts w:ascii="Calibri"/>
          <w:color w:val="008356"/>
          <w:sz w:val="9"/>
        </w:rPr>
        <w:t>S</w:t>
      </w:r>
    </w:p>
    <w:p>
      <w:pPr>
        <w:pStyle w:val="BodyText"/>
        <w:spacing w:line="155" w:lineRule="exact"/>
        <w:ind w:left="108"/>
        <w:jc w:val="both"/>
      </w:pPr>
      <w:r>
        <w:rPr>
          <w:rFonts w:ascii="Lucida Sans Unicode" w:hAnsi="Lucida Sans Unicode"/>
          <w:color w:val="A7A8AC"/>
          <w:w w:val="95"/>
          <w:sz w:val="10"/>
        </w:rPr>
        <w:t>▶ </w:t>
      </w:r>
      <w:r>
        <w:rPr>
          <w:rFonts w:ascii="Calibri" w:hAnsi="Calibri"/>
          <w:color w:val="231F1F"/>
          <w:w w:val="105"/>
        </w:rPr>
        <w:t>Memantine: </w:t>
      </w:r>
      <w:r>
        <w:rPr>
          <w:color w:val="231F1F"/>
          <w:w w:val="105"/>
        </w:rPr>
        <w:t>effects of dopaminergics possibly enhanced by</w:t>
      </w:r>
    </w:p>
    <w:p>
      <w:pPr>
        <w:spacing w:line="130" w:lineRule="exact" w:before="0"/>
        <w:ind w:left="208" w:right="0" w:firstLine="0"/>
        <w:jc w:val="left"/>
        <w:rPr>
          <w:rFonts w:ascii="Calibri"/>
          <w:sz w:val="11"/>
        </w:rPr>
      </w:pPr>
      <w:r>
        <w:rPr>
          <w:rFonts w:ascii="Calibri"/>
          <w:color w:val="008356"/>
          <w:sz w:val="11"/>
        </w:rPr>
        <w:t>MEMANTINE</w:t>
      </w:r>
    </w:p>
    <w:p>
      <w:pPr>
        <w:pStyle w:val="BodyText"/>
        <w:spacing w:line="220" w:lineRule="auto" w:before="7"/>
        <w:ind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Methyldopa: </w:t>
      </w:r>
      <w:r>
        <w:rPr>
          <w:color w:val="231F1F"/>
          <w:w w:val="105"/>
        </w:rPr>
        <w:t>antiparkinsonian effect of dopaminergics antagonised by </w:t>
      </w:r>
      <w:r>
        <w:rPr>
          <w:rFonts w:ascii="Calibri" w:hAnsi="Calibri"/>
          <w:color w:val="008356"/>
          <w:w w:val="105"/>
          <w:sz w:val="11"/>
        </w:rPr>
        <w:t>METHYLDOPA</w:t>
      </w:r>
    </w:p>
    <w:p>
      <w:pPr>
        <w:pStyle w:val="BodyText"/>
        <w:spacing w:line="256" w:lineRule="auto" w:before="10"/>
        <w:ind w:left="108" w:right="2217"/>
        <w:rPr>
          <w:rFonts w:ascii="Trebuchet MS"/>
        </w:rPr>
      </w:pPr>
      <w:r>
        <w:rPr>
          <w:rFonts w:ascii="Trebuchet MS"/>
          <w:color w:val="008356"/>
        </w:rPr>
        <w:t>Tolfenamic Acid </w:t>
      </w:r>
      <w:r>
        <w:rPr>
          <w:i/>
          <w:color w:val="231F1F"/>
        </w:rPr>
        <w:t>see </w:t>
      </w:r>
      <w:r>
        <w:rPr>
          <w:color w:val="231F1F"/>
        </w:rPr>
        <w:t>NSAIDs </w:t>
      </w:r>
      <w:r>
        <w:rPr>
          <w:rFonts w:ascii="Trebuchet MS"/>
          <w:color w:val="008356"/>
        </w:rPr>
        <w:t>Tolterodine </w:t>
      </w:r>
      <w:r>
        <w:rPr>
          <w:i/>
          <w:color w:val="231F1F"/>
        </w:rPr>
        <w:t>see </w:t>
      </w:r>
      <w:r>
        <w:rPr>
          <w:color w:val="231F1F"/>
        </w:rPr>
        <w:t>Antimuscarinics </w:t>
      </w:r>
      <w:r>
        <w:rPr>
          <w:rFonts w:ascii="Trebuchet MS"/>
          <w:color w:val="008356"/>
        </w:rPr>
        <w:t>Tolvaptan</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plasma concentration of tolvaptan reduced by</w:t>
      </w:r>
    </w:p>
    <w:p>
      <w:pPr>
        <w:spacing w:line="130" w:lineRule="exact" w:before="0"/>
        <w:ind w:left="208" w:right="0" w:firstLine="0"/>
        <w:jc w:val="left"/>
        <w:rPr>
          <w:rFonts w:ascii="Calibri"/>
          <w:sz w:val="11"/>
        </w:rPr>
      </w:pPr>
      <w:r>
        <w:rPr>
          <w:rFonts w:ascii="Calibri"/>
          <w:color w:val="008356"/>
          <w:sz w:val="11"/>
        </w:rPr>
        <w:t>RIFAMPICIN</w:t>
      </w:r>
    </w:p>
    <w:p>
      <w:pPr>
        <w:pStyle w:val="BodyText"/>
        <w:spacing w:line="230" w:lineRule="auto" w:before="3"/>
        <w:ind w:right="749" w:hanging="100"/>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tolvaptan increased by </w:t>
      </w:r>
      <w:r>
        <w:rPr>
          <w:rFonts w:ascii="Calibri" w:hAnsi="Calibri"/>
          <w:color w:val="008356"/>
          <w:w w:val="110"/>
          <w:sz w:val="11"/>
        </w:rPr>
        <w:t>KETOCONAZOLE</w:t>
      </w:r>
      <w:r>
        <w:rPr>
          <w:rFonts w:ascii="Arial" w:hAnsi="Arial"/>
          <w:color w:val="231F1F"/>
          <w:w w:val="110"/>
        </w:rPr>
        <w:t>—</w:t>
      </w:r>
      <w:r>
        <w:rPr>
          <w:color w:val="231F1F"/>
          <w:w w:val="110"/>
        </w:rPr>
        <w:t>manufacturer of ketoconazole advises avoid concomitant use</w:t>
      </w:r>
    </w:p>
    <w:p>
      <w:pPr>
        <w:pStyle w:val="BodyText"/>
        <w:spacing w:line="220" w:lineRule="auto" w:before="12"/>
        <w:ind w:right="870" w:hanging="100"/>
      </w:pPr>
      <w:r>
        <w:rPr>
          <w:rFonts w:ascii="Lucida Sans Unicode" w:hAnsi="Lucida Sans Unicode"/>
          <w:color w:val="A7A8AC"/>
          <w:w w:val="95"/>
          <w:sz w:val="10"/>
        </w:rPr>
        <w:t>▶ </w:t>
      </w:r>
      <w:r>
        <w:rPr>
          <w:rFonts w:ascii="Calibri" w:hAnsi="Calibri"/>
          <w:color w:val="231F1F"/>
          <w:w w:val="105"/>
        </w:rPr>
        <w:t>Cardiac Glycosides:  </w:t>
      </w:r>
      <w:r>
        <w:rPr>
          <w:color w:val="231F1F"/>
          <w:w w:val="105"/>
        </w:rPr>
        <w:t>tolvaptan increases plasma </w:t>
      </w:r>
      <w:r>
        <w:rPr>
          <w:color w:val="231F1F"/>
          <w:spacing w:val="-3"/>
          <w:w w:val="105"/>
        </w:rPr>
        <w:t>concentration </w:t>
      </w:r>
      <w:r>
        <w:rPr>
          <w:color w:val="231F1F"/>
          <w:spacing w:val="25"/>
          <w:w w:val="105"/>
        </w:rPr>
        <w:t> </w:t>
      </w:r>
      <w:r>
        <w:rPr>
          <w:color w:val="231F1F"/>
          <w:w w:val="105"/>
        </w:rPr>
        <w:t>of </w:t>
      </w:r>
      <w:r>
        <w:rPr>
          <w:rFonts w:ascii="Calibri" w:hAnsi="Calibri"/>
          <w:color w:val="008356"/>
          <w:spacing w:val="4"/>
          <w:w w:val="105"/>
          <w:sz w:val="11"/>
        </w:rPr>
        <w:t>DIGOXIN </w:t>
      </w:r>
      <w:r>
        <w:rPr>
          <w:color w:val="231F1F"/>
          <w:w w:val="105"/>
        </w:rPr>
        <w:t>(increased risk of</w:t>
      </w:r>
      <w:r>
        <w:rPr>
          <w:color w:val="231F1F"/>
          <w:spacing w:val="11"/>
          <w:w w:val="105"/>
        </w:rPr>
        <w:t> </w:t>
      </w:r>
      <w:r>
        <w:rPr>
          <w:color w:val="231F1F"/>
          <w:w w:val="105"/>
        </w:rPr>
        <w:t>toxicity)</w:t>
      </w:r>
    </w:p>
    <w:p>
      <w:pPr>
        <w:pStyle w:val="BodyText"/>
        <w:ind w:right="742"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tolvaptan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concomitant use</w:t>
      </w:r>
    </w:p>
    <w:p>
      <w:pPr>
        <w:pStyle w:val="BodyText"/>
        <w:spacing w:line="220" w:lineRule="auto" w:before="5"/>
        <w:ind w:right="699"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separating  administration  from tolvaptan</w:t>
      </w:r>
      <w:r>
        <w:rPr>
          <w:color w:val="231F1F"/>
          <w:spacing w:val="19"/>
          <w:w w:val="105"/>
        </w:rPr>
        <w:t> </w:t>
      </w:r>
      <w:r>
        <w:rPr>
          <w:color w:val="231F1F"/>
          <w:w w:val="105"/>
        </w:rPr>
        <w:t>by</w:t>
      </w:r>
      <w:r>
        <w:rPr>
          <w:color w:val="231F1F"/>
          <w:spacing w:val="20"/>
          <w:w w:val="105"/>
        </w:rPr>
        <w:t> </w:t>
      </w:r>
      <w:r>
        <w:rPr>
          <w:color w:val="231F1F"/>
          <w:w w:val="105"/>
        </w:rPr>
        <w:t>12</w:t>
      </w:r>
      <w:r>
        <w:rPr>
          <w:color w:val="231F1F"/>
          <w:spacing w:val="22"/>
          <w:w w:val="105"/>
        </w:rPr>
        <w:t> </w:t>
      </w:r>
      <w:r>
        <w:rPr>
          <w:color w:val="231F1F"/>
          <w:w w:val="105"/>
        </w:rPr>
        <w:t>hours</w:t>
      </w:r>
      <w:r>
        <w:rPr>
          <w:color w:val="231F1F"/>
          <w:spacing w:val="20"/>
          <w:w w:val="105"/>
        </w:rPr>
        <w:t> </w:t>
      </w:r>
      <w:r>
        <w:rPr>
          <w:color w:val="231F1F"/>
          <w:w w:val="105"/>
        </w:rPr>
        <w:t>advised</w:t>
      </w:r>
      <w:r>
        <w:rPr>
          <w:color w:val="231F1F"/>
          <w:spacing w:val="18"/>
          <w:w w:val="105"/>
        </w:rPr>
        <w:t> </w:t>
      </w:r>
      <w:r>
        <w:rPr>
          <w:color w:val="231F1F"/>
          <w:w w:val="105"/>
        </w:rPr>
        <w:t>by</w:t>
      </w:r>
      <w:r>
        <w:rPr>
          <w:color w:val="231F1F"/>
          <w:spacing w:val="22"/>
          <w:w w:val="105"/>
        </w:rPr>
        <w:t> </w:t>
      </w:r>
      <w:r>
        <w:rPr>
          <w:color w:val="231F1F"/>
          <w:w w:val="105"/>
        </w:rPr>
        <w:t>manufacturer</w:t>
      </w:r>
      <w:r>
        <w:rPr>
          <w:color w:val="231F1F"/>
          <w:spacing w:val="18"/>
          <w:w w:val="105"/>
        </w:rPr>
        <w:t> </w:t>
      </w:r>
      <w:r>
        <w:rPr>
          <w:color w:val="231F1F"/>
          <w:w w:val="105"/>
        </w:rPr>
        <w:t>of</w:t>
      </w:r>
      <w:r>
        <w:rPr>
          <w:color w:val="231F1F"/>
          <w:spacing w:val="20"/>
          <w:w w:val="105"/>
        </w:rPr>
        <w:t> </w:t>
      </w:r>
      <w:r>
        <w:rPr>
          <w:rFonts w:ascii="Calibri" w:hAnsi="Calibri"/>
          <w:color w:val="008356"/>
          <w:w w:val="105"/>
          <w:sz w:val="11"/>
        </w:rPr>
        <w:t>LOMITAPIDE</w:t>
      </w:r>
    </w:p>
    <w:p>
      <w:pPr>
        <w:pStyle w:val="BodyText"/>
        <w:spacing w:before="9"/>
        <w:ind w:left="108"/>
        <w:rPr>
          <w:rFonts w:ascii="Trebuchet MS"/>
        </w:rPr>
      </w:pPr>
      <w:r>
        <w:rPr>
          <w:rFonts w:ascii="Trebuchet MS"/>
          <w:color w:val="008356"/>
        </w:rPr>
        <w:t>Topiramate</w:t>
      </w:r>
    </w:p>
    <w:p>
      <w:pPr>
        <w:spacing w:line="242" w:lineRule="auto" w:before="1"/>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30" w:lineRule="auto"/>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topiramate possibly increases plasma concentration of </w:t>
      </w:r>
      <w:r>
        <w:rPr>
          <w:rFonts w:ascii="Calibri" w:hAnsi="Calibri"/>
          <w:color w:val="008356"/>
          <w:w w:val="110"/>
          <w:sz w:val="11"/>
        </w:rPr>
        <w:t>METFORMIN</w:t>
      </w:r>
      <w:r>
        <w:rPr>
          <w:color w:val="231F1F"/>
          <w:w w:val="110"/>
        </w:rPr>
        <w:t>; topiramate possibly reduces plasma concentration of </w:t>
      </w:r>
      <w:r>
        <w:rPr>
          <w:rFonts w:ascii="Calibri" w:hAnsi="Calibri"/>
          <w:color w:val="008356"/>
          <w:w w:val="110"/>
          <w:sz w:val="11"/>
        </w:rPr>
        <w:t>GLIBENCLAMIDE</w:t>
      </w:r>
    </w:p>
    <w:p>
      <w:pPr>
        <w:spacing w:line="244" w:lineRule="auto" w:before="0"/>
        <w:ind w:left="208" w:right="743"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plasma concentration of topiramate often reduced by </w:t>
      </w:r>
      <w:r>
        <w:rPr>
          <w:rFonts w:ascii="Calibri"/>
          <w:color w:val="008356"/>
          <w:w w:val="110"/>
          <w:sz w:val="11"/>
        </w:rPr>
        <w:t>CARBAMAZEPINE</w:t>
      </w:r>
      <w:r>
        <w:rPr>
          <w:color w:val="231F1F"/>
          <w:w w:val="110"/>
          <w:sz w:val="12"/>
        </w:rPr>
        <w:t>; topiramate increases plasma concentration of </w:t>
      </w:r>
      <w:r>
        <w:rPr>
          <w:rFonts w:ascii="Arial"/>
          <w:color w:val="231F1F"/>
          <w:w w:val="355"/>
          <w:position w:val="1"/>
          <w:sz w:val="7"/>
        </w:rPr>
        <w:t>l </w:t>
      </w:r>
      <w:r>
        <w:rPr>
          <w:rFonts w:ascii="Calibri"/>
          <w:color w:val="008356"/>
          <w:w w:val="110"/>
          <w:sz w:val="11"/>
        </w:rPr>
        <w:t>FOSPHENYTOIN </w:t>
      </w:r>
      <w:r>
        <w:rPr>
          <w:color w:val="231F1F"/>
          <w:w w:val="110"/>
          <w:sz w:val="12"/>
        </w:rPr>
        <w:t>and </w:t>
      </w:r>
      <w:r>
        <w:rPr>
          <w:rFonts w:ascii="Arial"/>
          <w:color w:val="231F1F"/>
          <w:w w:val="355"/>
          <w:position w:val="1"/>
          <w:sz w:val="7"/>
        </w:rPr>
        <w:t>l </w:t>
      </w:r>
      <w:r>
        <w:rPr>
          <w:rFonts w:ascii="Calibri"/>
          <w:color w:val="008356"/>
          <w:w w:val="110"/>
          <w:sz w:val="11"/>
        </w:rPr>
        <w:t>PHENYTOIN </w:t>
      </w:r>
      <w:r>
        <w:rPr>
          <w:color w:val="231F1F"/>
          <w:w w:val="110"/>
          <w:sz w:val="12"/>
        </w:rPr>
        <w:t>(also plasma concentration of topiramate reduced); topiramate reduces plasma concentration of </w:t>
      </w:r>
      <w:r>
        <w:rPr>
          <w:rFonts w:ascii="Calibri"/>
          <w:color w:val="008356"/>
          <w:w w:val="110"/>
          <w:sz w:val="11"/>
        </w:rPr>
        <w:t>PERAMPANEL</w:t>
      </w:r>
      <w:r>
        <w:rPr>
          <w:color w:val="231F1F"/>
          <w:w w:val="110"/>
          <w:sz w:val="12"/>
        </w:rPr>
        <w:t>; plasma concentration of topiramate possibly reduced by </w:t>
      </w:r>
      <w:r>
        <w:rPr>
          <w:rFonts w:ascii="Calibri"/>
          <w:color w:val="008356"/>
          <w:w w:val="110"/>
          <w:sz w:val="11"/>
        </w:rPr>
        <w:t>PHENOBARBITAL </w:t>
      </w:r>
      <w:r>
        <w:rPr>
          <w:color w:val="231F1F"/>
          <w:w w:val="110"/>
          <w:sz w:val="12"/>
        </w:rPr>
        <w:t>and </w:t>
      </w:r>
      <w:r>
        <w:rPr>
          <w:rFonts w:ascii="Calibri"/>
          <w:color w:val="008356"/>
          <w:w w:val="110"/>
          <w:sz w:val="11"/>
        </w:rPr>
        <w:t>PRIMIDONE</w:t>
      </w:r>
      <w:r>
        <w:rPr>
          <w:color w:val="231F1F"/>
          <w:w w:val="110"/>
          <w:sz w:val="12"/>
        </w:rPr>
        <w:t>; hyperammonaemia and CNS toxicity reported when topiramate given with </w:t>
      </w:r>
      <w:r>
        <w:rPr>
          <w:rFonts w:ascii="Calibri"/>
          <w:color w:val="008356"/>
          <w:w w:val="110"/>
          <w:sz w:val="11"/>
        </w:rPr>
        <w:t>SODIUM VALPROATE </w:t>
      </w:r>
      <w:r>
        <w:rPr>
          <w:color w:val="231F1F"/>
          <w:w w:val="110"/>
          <w:sz w:val="12"/>
        </w:rPr>
        <w:t>and </w:t>
      </w:r>
      <w:r>
        <w:rPr>
          <w:rFonts w:ascii="Calibri"/>
          <w:color w:val="008356"/>
          <w:w w:val="110"/>
          <w:sz w:val="11"/>
        </w:rPr>
        <w:t>VALPROIC ACID</w:t>
      </w:r>
    </w:p>
    <w:p>
      <w:pPr>
        <w:pStyle w:val="BodyText"/>
        <w:spacing w:line="138" w:lineRule="exact"/>
        <w:ind w:left="108"/>
        <w:jc w:val="both"/>
      </w:pPr>
      <w:r>
        <w:rPr>
          <w:rFonts w:ascii="Arial"/>
          <w:color w:val="231F1F"/>
          <w:w w:val="355"/>
          <w:position w:val="1"/>
          <w:sz w:val="7"/>
        </w:rPr>
        <w:t>l </w:t>
      </w:r>
      <w:r>
        <w:rPr>
          <w:rFonts w:ascii="Calibri"/>
          <w:color w:val="231F1F"/>
          <w:w w:val="115"/>
        </w:rPr>
        <w:t>Antimalarials: </w:t>
      </w:r>
      <w:r>
        <w:rPr>
          <w:color w:val="231F1F"/>
          <w:w w:val="115"/>
        </w:rPr>
        <w:t>anticonvulsant effect of antiepileptics</w:t>
      </w:r>
    </w:p>
    <w:p>
      <w:pPr>
        <w:spacing w:line="140" w:lineRule="exact" w:before="0"/>
        <w:ind w:left="208" w:right="0" w:firstLine="0"/>
        <w:jc w:val="left"/>
        <w:rPr>
          <w:rFonts w:ascii="Calibri"/>
          <w:sz w:val="11"/>
        </w:rPr>
      </w:pPr>
      <w:r>
        <w:rPr>
          <w:color w:val="231F1F"/>
          <w:w w:val="110"/>
          <w:sz w:val="12"/>
        </w:rPr>
        <w:t>antagonised by </w:t>
      </w:r>
      <w:r>
        <w:rPr>
          <w:rFonts w:ascii="Arial"/>
          <w:color w:val="231F1F"/>
          <w:w w:val="355"/>
          <w:position w:val="1"/>
          <w:sz w:val="7"/>
        </w:rPr>
        <w:t>l </w:t>
      </w:r>
      <w:r>
        <w:rPr>
          <w:rFonts w:ascii="Calibri"/>
          <w:color w:val="008356"/>
          <w:spacing w:val="4"/>
          <w:w w:val="110"/>
          <w:sz w:val="11"/>
        </w:rPr>
        <w:t>MEFLOQUINE</w:t>
      </w:r>
    </w:p>
    <w:p>
      <w:pPr>
        <w:pStyle w:val="BodyText"/>
        <w:ind w:right="104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spacing w:line="220" w:lineRule="auto" w:before="10"/>
        <w:ind w:left="208" w:right="8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plasma concentration of topiramate possibly increased by </w:t>
      </w:r>
      <w:r>
        <w:rPr>
          <w:rFonts w:ascii="Calibri" w:hAnsi="Calibri"/>
          <w:color w:val="008356"/>
          <w:w w:val="105"/>
          <w:sz w:val="11"/>
        </w:rPr>
        <w:t>HYDROCHLOROTHIAZIDE</w:t>
      </w:r>
    </w:p>
    <w:p>
      <w:pPr>
        <w:pStyle w:val="BodyText"/>
        <w:spacing w:line="155" w:lineRule="exact"/>
        <w:ind w:left="108"/>
      </w:pPr>
      <w:r>
        <w:rPr>
          <w:rFonts w:ascii="Lucida Sans Unicode" w:hAnsi="Lucida Sans Unicode"/>
          <w:color w:val="A7A8AC"/>
          <w:w w:val="95"/>
          <w:sz w:val="10"/>
        </w:rPr>
        <w:t>▶ </w:t>
      </w:r>
      <w:r>
        <w:rPr>
          <w:rFonts w:ascii="Calibri" w:hAnsi="Calibri"/>
          <w:color w:val="231F1F"/>
          <w:w w:val="105"/>
        </w:rPr>
        <w:t>Lithium: </w:t>
      </w:r>
      <w:r>
        <w:rPr>
          <w:color w:val="231F1F"/>
          <w:w w:val="105"/>
        </w:rPr>
        <w:t>topiramate possibly affects plasma concentration of</w:t>
      </w:r>
    </w:p>
    <w:p>
      <w:pPr>
        <w:spacing w:line="130" w:lineRule="exact" w:before="0"/>
        <w:ind w:left="208" w:right="0" w:firstLine="0"/>
        <w:jc w:val="left"/>
        <w:rPr>
          <w:rFonts w:ascii="Calibri"/>
          <w:sz w:val="11"/>
        </w:rPr>
      </w:pPr>
      <w:r>
        <w:rPr>
          <w:rFonts w:ascii="Calibri"/>
          <w:color w:val="008356"/>
          <w:sz w:val="11"/>
        </w:rPr>
        <w:t>LITHIUM</w:t>
      </w:r>
    </w:p>
    <w:p>
      <w:pPr>
        <w:pStyle w:val="BodyText"/>
        <w:spacing w:line="145" w:lineRule="exact"/>
        <w:ind w:left="108"/>
      </w:pPr>
      <w:r>
        <w:rPr>
          <w:rFonts w:ascii="Arial"/>
          <w:color w:val="231F1F"/>
          <w:w w:val="355"/>
          <w:position w:val="1"/>
          <w:sz w:val="7"/>
        </w:rPr>
        <w:t>l </w:t>
      </w:r>
      <w:r>
        <w:rPr>
          <w:rFonts w:ascii="Calibri"/>
          <w:color w:val="231F1F"/>
          <w:w w:val="110"/>
        </w:rPr>
        <w:t>Oestrogens: </w:t>
      </w:r>
      <w:r>
        <w:rPr>
          <w:color w:val="231F1F"/>
          <w:w w:val="110"/>
        </w:rPr>
        <w:t>topiramate accelerates metabolism of</w:t>
      </w:r>
    </w:p>
    <w:p>
      <w:pPr>
        <w:pStyle w:val="BodyText"/>
        <w:spacing w:line="244" w:lineRule="auto"/>
        <w:ind w:right="670"/>
      </w:pPr>
      <w:r>
        <w:rPr>
          <w:rFonts w:ascii="Arial" w:hAnsi="Arial"/>
          <w:color w:val="231F1F"/>
          <w:w w:val="355"/>
          <w:position w:val="1"/>
          <w:sz w:val="7"/>
        </w:rPr>
        <w:t>l </w:t>
      </w:r>
      <w:r>
        <w:rPr>
          <w:rFonts w:ascii="Calibri" w:hAnsi="Calibri"/>
          <w:color w:val="008356"/>
          <w:spacing w:val="4"/>
          <w:w w:val="110"/>
          <w:sz w:val="11"/>
        </w:rPr>
        <w:t>OESTROGENS </w:t>
      </w:r>
      <w:r>
        <w:rPr>
          <w:color w:val="231F1F"/>
          <w:w w:val="110"/>
        </w:rPr>
        <w:t>(reduced contraceptive effect with combined oral contraceptives, contraceptive patches, and vaginal rings</w:t>
      </w:r>
      <w:r>
        <w:rPr>
          <w:rFonts w:ascii="Arial" w:hAnsi="Arial"/>
          <w:color w:val="231F1F"/>
          <w:w w:val="110"/>
        </w:rPr>
        <w:t>—</w:t>
      </w:r>
      <w:r>
        <w:rPr>
          <w:color w:val="231F1F"/>
          <w:w w:val="110"/>
        </w:rPr>
        <w:t>see Contraceptive Interactions in BNF)</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42" w:lineRule="exact"/>
        <w:ind w:left="108"/>
      </w:pPr>
      <w:r>
        <w:rPr>
          <w:rFonts w:ascii="Arial"/>
          <w:color w:val="231F1F"/>
          <w:w w:val="355"/>
          <w:position w:val="1"/>
          <w:sz w:val="7"/>
        </w:rPr>
        <w:t>l </w:t>
      </w:r>
      <w:r>
        <w:rPr>
          <w:rFonts w:ascii="Calibri"/>
          <w:color w:val="231F1F"/>
          <w:w w:val="115"/>
        </w:rPr>
        <w:t>Progestogens: </w:t>
      </w:r>
      <w:r>
        <w:rPr>
          <w:color w:val="231F1F"/>
          <w:w w:val="115"/>
        </w:rPr>
        <w:t>topiramate accelerates metabolism of</w:t>
      </w:r>
    </w:p>
    <w:p>
      <w:pPr>
        <w:pStyle w:val="BodyText"/>
        <w:spacing w:line="247" w:lineRule="auto"/>
        <w:ind w:right="683" w:hanging="1"/>
      </w:pPr>
      <w:r>
        <w:rPr>
          <w:rFonts w:ascii="Arial" w:hAnsi="Arial"/>
          <w:color w:val="231F1F"/>
          <w:w w:val="255"/>
          <w:position w:val="1"/>
          <w:sz w:val="7"/>
        </w:rPr>
        <w:t>l</w:t>
      </w:r>
      <w:r>
        <w:rPr>
          <w:rFonts w:ascii="Arial" w:hAnsi="Arial"/>
          <w:color w:val="231F1F"/>
          <w:spacing w:val="-41"/>
          <w:w w:val="255"/>
          <w:position w:val="1"/>
          <w:sz w:val="7"/>
        </w:rPr>
        <w:t> </w:t>
      </w:r>
      <w:r>
        <w:rPr>
          <w:rFonts w:ascii="Calibri" w:hAnsi="Calibri"/>
          <w:color w:val="008356"/>
          <w:spacing w:val="4"/>
          <w:w w:val="115"/>
          <w:sz w:val="11"/>
        </w:rPr>
        <w:t>PROGESTOGENS</w:t>
      </w:r>
      <w:r>
        <w:rPr>
          <w:rFonts w:ascii="Calibri" w:hAnsi="Calibri"/>
          <w:color w:val="008356"/>
          <w:spacing w:val="-16"/>
          <w:w w:val="115"/>
          <w:sz w:val="11"/>
        </w:rPr>
        <w:t> </w:t>
      </w:r>
      <w:r>
        <w:rPr>
          <w:color w:val="231F1F"/>
          <w:w w:val="115"/>
        </w:rPr>
        <w:t>(reduced</w:t>
      </w:r>
      <w:r>
        <w:rPr>
          <w:color w:val="231F1F"/>
          <w:spacing w:val="-24"/>
          <w:w w:val="115"/>
        </w:rPr>
        <w:t> </w:t>
      </w:r>
      <w:r>
        <w:rPr>
          <w:color w:val="231F1F"/>
          <w:w w:val="115"/>
        </w:rPr>
        <w:t>contraceptive</w:t>
      </w:r>
      <w:r>
        <w:rPr>
          <w:color w:val="231F1F"/>
          <w:spacing w:val="-25"/>
          <w:w w:val="115"/>
        </w:rPr>
        <w:t> </w:t>
      </w:r>
      <w:r>
        <w:rPr>
          <w:color w:val="231F1F"/>
          <w:w w:val="115"/>
        </w:rPr>
        <w:t>effect</w:t>
      </w:r>
      <w:r>
        <w:rPr>
          <w:color w:val="231F1F"/>
          <w:spacing w:val="-24"/>
          <w:w w:val="115"/>
        </w:rPr>
        <w:t> </w:t>
      </w:r>
      <w:r>
        <w:rPr>
          <w:color w:val="231F1F"/>
          <w:w w:val="115"/>
        </w:rPr>
        <w:t>with</w:t>
      </w:r>
      <w:r>
        <w:rPr>
          <w:color w:val="231F1F"/>
          <w:spacing w:val="-2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3"/>
          <w:w w:val="115"/>
        </w:rPr>
        <w:t> </w:t>
      </w:r>
      <w:r>
        <w:rPr>
          <w:color w:val="231F1F"/>
          <w:w w:val="115"/>
        </w:rPr>
        <w:t>BNF)</w:t>
      </w:r>
    </w:p>
    <w:p>
      <w:pPr>
        <w:spacing w:after="0" w:line="247" w:lineRule="auto"/>
        <w:sectPr>
          <w:pgSz w:w="8390" w:h="11910"/>
          <w:pgMar w:header="0" w:footer="0" w:top="460" w:bottom="0" w:left="480" w:right="0"/>
          <w:cols w:num="2" w:equalWidth="0">
            <w:col w:w="3603" w:space="73"/>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6832" filled="true" fillcolor="#bfdbcf" stroked="false">
            <v:fill type="solid"/>
            <w10:wrap type="none"/>
          </v:rect>
        </w:pict>
      </w:r>
      <w:r>
        <w:rPr/>
        <w:pict>
          <v:shape style="position:absolute;margin-left:7.751256pt;margin-top:35.804367pt;width:10.4pt;height:78.850pt;mso-position-horizontal-relative:page;mso-position-vertical-relative:page;z-index:685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before="1"/>
        <w:ind w:left="186"/>
      </w:pPr>
      <w:r>
        <w:rPr>
          <w:rFonts w:ascii="Trebuchet MS"/>
          <w:color w:val="008356"/>
          <w:w w:val="105"/>
        </w:rPr>
        <w:t>Torasemide </w:t>
      </w:r>
      <w:r>
        <w:rPr>
          <w:i/>
          <w:color w:val="231F1F"/>
          <w:w w:val="105"/>
        </w:rPr>
        <w:t>see </w:t>
      </w:r>
      <w:r>
        <w:rPr>
          <w:color w:val="231F1F"/>
          <w:w w:val="105"/>
        </w:rPr>
        <w:t>Diuretics</w:t>
      </w:r>
    </w:p>
    <w:p>
      <w:pPr>
        <w:pStyle w:val="BodyText"/>
        <w:spacing w:before="9"/>
        <w:ind w:left="186"/>
        <w:rPr>
          <w:rFonts w:ascii="Trebuchet MS"/>
        </w:rPr>
      </w:pPr>
      <w:r>
        <w:rPr>
          <w:rFonts w:ascii="Trebuchet MS"/>
          <w:color w:val="008356"/>
        </w:rPr>
        <w:t>Toremifene</w:t>
      </w:r>
    </w:p>
    <w:p>
      <w:pPr>
        <w:pStyle w:val="BodyText"/>
        <w:spacing w:before="1"/>
        <w:ind w:left="286" w:right="135" w:hanging="100"/>
        <w:rPr>
          <w:rFonts w:ascii="Calibri"/>
          <w:sz w:val="11"/>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Anticoagulants:</w:t>
      </w:r>
      <w:r>
        <w:rPr>
          <w:rFonts w:ascii="Calibri"/>
          <w:color w:val="231F1F"/>
          <w:spacing w:val="-14"/>
          <w:w w:val="115"/>
        </w:rPr>
        <w:t> </w:t>
      </w:r>
      <w:r>
        <w:rPr>
          <w:color w:val="231F1F"/>
          <w:w w:val="115"/>
        </w:rPr>
        <w:t>toremifene</w:t>
      </w:r>
      <w:r>
        <w:rPr>
          <w:color w:val="231F1F"/>
          <w:spacing w:val="-18"/>
          <w:w w:val="115"/>
        </w:rPr>
        <w:t> </w:t>
      </w:r>
      <w:r>
        <w:rPr>
          <w:color w:val="231F1F"/>
          <w:w w:val="115"/>
        </w:rPr>
        <w:t>possibly</w:t>
      </w:r>
      <w:r>
        <w:rPr>
          <w:color w:val="231F1F"/>
          <w:spacing w:val="-18"/>
          <w:w w:val="115"/>
        </w:rPr>
        <w:t> </w:t>
      </w:r>
      <w:r>
        <w:rPr>
          <w:color w:val="231F1F"/>
          <w:w w:val="115"/>
        </w:rPr>
        <w:t>enhances</w:t>
      </w:r>
      <w:r>
        <w:rPr>
          <w:color w:val="231F1F"/>
          <w:spacing w:val="-17"/>
          <w:w w:val="115"/>
        </w:rPr>
        <w:t>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5"/>
          <w:sz w:val="11"/>
        </w:rPr>
        <w:t>COUMARINS</w:t>
      </w:r>
    </w:p>
    <w:p>
      <w:pPr>
        <w:spacing w:line="240" w:lineRule="auto" w:before="0"/>
        <w:ind w:left="286" w:right="67" w:hanging="100"/>
        <w:jc w:val="left"/>
        <w:rPr>
          <w:sz w:val="12"/>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metabolism of toremifene possibly accelerated by </w:t>
      </w:r>
      <w:r>
        <w:rPr>
          <w:rFonts w:ascii="Calibri" w:hAnsi="Calibri"/>
          <w:color w:val="008356"/>
          <w:w w:val="110"/>
          <w:sz w:val="11"/>
        </w:rPr>
        <w:t>CARBAMAZEPINE </w:t>
      </w:r>
      <w:r>
        <w:rPr>
          <w:color w:val="231F1F"/>
          <w:w w:val="110"/>
          <w:sz w:val="12"/>
        </w:rPr>
        <w:t>(reduced plasma concentration); metabolism of toremifene possibly accelerated by </w:t>
      </w:r>
      <w:r>
        <w:rPr>
          <w:rFonts w:ascii="Calibri" w:hAnsi="Calibri"/>
          <w:color w:val="008356"/>
          <w:w w:val="110"/>
          <w:sz w:val="11"/>
        </w:rPr>
        <w:t>FOSPHENYTOIN </w:t>
      </w:r>
      <w:r>
        <w:rPr>
          <w:color w:val="231F1F"/>
          <w:w w:val="110"/>
          <w:sz w:val="12"/>
        </w:rPr>
        <w:t>and </w:t>
      </w:r>
      <w:r>
        <w:rPr>
          <w:rFonts w:ascii="Calibri" w:hAnsi="Calibri"/>
          <w:color w:val="008356"/>
          <w:w w:val="110"/>
          <w:sz w:val="11"/>
        </w:rPr>
        <w:t>PHENYTOIN</w:t>
      </w:r>
      <w:r>
        <w:rPr>
          <w:color w:val="231F1F"/>
          <w:w w:val="110"/>
          <w:sz w:val="12"/>
        </w:rPr>
        <w:t>; metabolism of toremifene accelerated by </w:t>
      </w:r>
      <w:r>
        <w:rPr>
          <w:rFonts w:ascii="Calibri" w:hAnsi="Calibri"/>
          <w:color w:val="008356"/>
          <w:w w:val="110"/>
          <w:sz w:val="11"/>
        </w:rPr>
        <w:t>PHENOBARBITAL </w:t>
      </w:r>
      <w:r>
        <w:rPr>
          <w:color w:val="231F1F"/>
          <w:w w:val="110"/>
          <w:sz w:val="12"/>
        </w:rPr>
        <w:t>and </w:t>
      </w:r>
      <w:r>
        <w:rPr>
          <w:rFonts w:ascii="Calibri" w:hAnsi="Calibri"/>
          <w:color w:val="008356"/>
          <w:w w:val="110"/>
          <w:sz w:val="11"/>
        </w:rPr>
        <w:t>PRIMIDONE </w:t>
      </w:r>
      <w:r>
        <w:rPr>
          <w:color w:val="231F1F"/>
          <w:w w:val="110"/>
          <w:sz w:val="12"/>
        </w:rPr>
        <w:t>(reduced plasma concentration)</w:t>
      </w:r>
    </w:p>
    <w:p>
      <w:pPr>
        <w:pStyle w:val="BodyText"/>
        <w:ind w:left="286" w:right="90"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Cytotoxics:</w:t>
      </w:r>
      <w:r>
        <w:rPr>
          <w:rFonts w:ascii="Calibri" w:hAnsi="Calibri"/>
          <w:color w:val="231F1F"/>
          <w:spacing w:val="-14"/>
          <w:w w:val="115"/>
        </w:rPr>
        <w:t> </w:t>
      </w:r>
      <w:r>
        <w:rPr>
          <w:color w:val="231F1F"/>
          <w:w w:val="115"/>
        </w:rPr>
        <w:t>possible</w:t>
      </w:r>
      <w:r>
        <w:rPr>
          <w:color w:val="231F1F"/>
          <w:spacing w:val="-18"/>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8"/>
          <w:w w:val="115"/>
        </w:rPr>
        <w:t> </w:t>
      </w:r>
      <w:r>
        <w:rPr>
          <w:color w:val="231F1F"/>
          <w:w w:val="115"/>
        </w:rPr>
        <w:t>arrhythmias when toremifene given with </w:t>
      </w:r>
      <w:r>
        <w:rPr>
          <w:rFonts w:ascii="Arial" w:hAnsi="Arial"/>
          <w:color w:val="231F1F"/>
          <w:w w:val="355"/>
          <w:position w:val="1"/>
          <w:sz w:val="7"/>
        </w:rPr>
        <w:t>l </w:t>
      </w:r>
      <w:r>
        <w:rPr>
          <w:rFonts w:ascii="Calibri" w:hAnsi="Calibri"/>
          <w:color w:val="008356"/>
          <w:spacing w:val="2"/>
          <w:w w:val="115"/>
          <w:sz w:val="11"/>
        </w:rPr>
        <w:t>VANDETANIB</w:t>
      </w:r>
      <w:r>
        <w:rPr>
          <w:rFonts w:ascii="Arial" w:hAnsi="Arial"/>
          <w:color w:val="231F1F"/>
          <w:spacing w:val="2"/>
          <w:w w:val="115"/>
        </w:rPr>
        <w:t>—</w:t>
      </w:r>
      <w:r>
        <w:rPr>
          <w:color w:val="231F1F"/>
          <w:spacing w:val="2"/>
          <w:w w:val="115"/>
        </w:rPr>
        <w:t>avoid </w:t>
      </w:r>
      <w:r>
        <w:rPr>
          <w:color w:val="231F1F"/>
          <w:w w:val="115"/>
        </w:rPr>
        <w:t>concomitant</w:t>
      </w:r>
      <w:r>
        <w:rPr>
          <w:color w:val="231F1F"/>
          <w:spacing w:val="-5"/>
          <w:w w:val="115"/>
        </w:rPr>
        <w:t> </w:t>
      </w:r>
      <w:r>
        <w:rPr>
          <w:color w:val="231F1F"/>
          <w:w w:val="115"/>
        </w:rPr>
        <w:t>use</w:t>
      </w:r>
    </w:p>
    <w:p>
      <w:pPr>
        <w:spacing w:line="220" w:lineRule="auto" w:before="8"/>
        <w:ind w:left="286" w:right="7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increased risk of hypercalcaemia when toremifene given with </w:t>
      </w:r>
      <w:r>
        <w:rPr>
          <w:rFonts w:ascii="Calibri" w:hAnsi="Calibri"/>
          <w:color w:val="008356"/>
          <w:w w:val="105"/>
          <w:sz w:val="11"/>
        </w:rPr>
        <w:t>THIAZIDES AND RELATED DIURETICS</w:t>
      </w:r>
    </w:p>
    <w:p>
      <w:pPr>
        <w:pStyle w:val="BodyText"/>
        <w:spacing w:before="8"/>
        <w:ind w:left="186"/>
        <w:rPr>
          <w:rFonts w:ascii="Trebuchet MS"/>
        </w:rPr>
      </w:pPr>
      <w:r>
        <w:rPr>
          <w:rFonts w:ascii="Trebuchet MS"/>
          <w:color w:val="008356"/>
        </w:rPr>
        <w:t>Trabectedin</w:t>
      </w:r>
    </w:p>
    <w:p>
      <w:pPr>
        <w:pStyle w:val="BodyText"/>
        <w:spacing w:before="1"/>
        <w:ind w:left="286" w:right="625" w:hanging="100"/>
        <w:rPr>
          <w:rFonts w:ascii="Calibri"/>
          <w:sz w:val="11"/>
        </w:rPr>
      </w:pPr>
      <w:r>
        <w:rPr>
          <w:rFonts w:ascii="Arial"/>
          <w:color w:val="231F1F"/>
          <w:w w:val="355"/>
          <w:position w:val="1"/>
          <w:sz w:val="7"/>
        </w:rPr>
        <w:t>l</w:t>
      </w:r>
      <w:r>
        <w:rPr>
          <w:rFonts w:ascii="Arial"/>
          <w:color w:val="231F1F"/>
          <w:spacing w:val="-42"/>
          <w:w w:val="355"/>
          <w:position w:val="1"/>
          <w:sz w:val="7"/>
        </w:rPr>
        <w:t> </w:t>
      </w:r>
      <w:r>
        <w:rPr>
          <w:rFonts w:ascii="Calibri"/>
          <w:color w:val="231F1F"/>
          <w:w w:val="115"/>
        </w:rPr>
        <w:t>Alcohol:</w:t>
      </w:r>
      <w:r>
        <w:rPr>
          <w:rFonts w:ascii="Calibri"/>
          <w:color w:val="231F1F"/>
          <w:spacing w:val="-9"/>
          <w:w w:val="115"/>
        </w:rPr>
        <w:t> </w:t>
      </w:r>
      <w:r>
        <w:rPr>
          <w:color w:val="231F1F"/>
          <w:w w:val="115"/>
        </w:rPr>
        <w:t>manufacturer</w:t>
      </w:r>
      <w:r>
        <w:rPr>
          <w:color w:val="231F1F"/>
          <w:spacing w:val="-12"/>
          <w:w w:val="115"/>
        </w:rPr>
        <w:t> </w:t>
      </w:r>
      <w:r>
        <w:rPr>
          <w:color w:val="231F1F"/>
          <w:w w:val="115"/>
        </w:rPr>
        <w:t>of</w:t>
      </w:r>
      <w:r>
        <w:rPr>
          <w:color w:val="231F1F"/>
          <w:spacing w:val="-13"/>
          <w:w w:val="115"/>
        </w:rPr>
        <w:t> </w:t>
      </w:r>
      <w:r>
        <w:rPr>
          <w:color w:val="231F1F"/>
          <w:w w:val="115"/>
        </w:rPr>
        <w:t>trabectedin</w:t>
      </w:r>
      <w:r>
        <w:rPr>
          <w:color w:val="231F1F"/>
          <w:spacing w:val="-14"/>
          <w:w w:val="115"/>
        </w:rPr>
        <w:t> </w:t>
      </w:r>
      <w:r>
        <w:rPr>
          <w:color w:val="231F1F"/>
          <w:w w:val="115"/>
        </w:rPr>
        <w:t>advises</w:t>
      </w:r>
      <w:r>
        <w:rPr>
          <w:color w:val="231F1F"/>
          <w:spacing w:val="-13"/>
          <w:w w:val="115"/>
        </w:rPr>
        <w:t>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ALCOHOL</w:t>
      </w:r>
    </w:p>
    <w:p>
      <w:pPr>
        <w:pStyle w:val="BodyText"/>
        <w:spacing w:line="143" w:lineRule="exact"/>
        <w:ind w:left="186"/>
      </w:pPr>
      <w:r>
        <w:rPr>
          <w:rFonts w:ascii="Arial"/>
          <w:color w:val="231F1F"/>
          <w:w w:val="355"/>
          <w:position w:val="1"/>
          <w:sz w:val="7"/>
        </w:rPr>
        <w:t>l</w:t>
      </w:r>
      <w:r>
        <w:rPr>
          <w:rFonts w:ascii="Arial"/>
          <w:color w:val="231F1F"/>
          <w:spacing w:val="-43"/>
          <w:w w:val="355"/>
          <w:position w:val="1"/>
          <w:sz w:val="7"/>
        </w:rPr>
        <w:t> </w:t>
      </w:r>
      <w:r>
        <w:rPr>
          <w:rFonts w:ascii="Calibri"/>
          <w:color w:val="231F1F"/>
          <w:w w:val="115"/>
        </w:rPr>
        <w:t>Antibacterials:</w:t>
      </w:r>
      <w:r>
        <w:rPr>
          <w:rFonts w:ascii="Calibri"/>
          <w:color w:val="231F1F"/>
          <w:spacing w:val="-11"/>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3"/>
          <w:w w:val="115"/>
        </w:rPr>
        <w:t> </w:t>
      </w:r>
      <w:r>
        <w:rPr>
          <w:color w:val="231F1F"/>
          <w:w w:val="115"/>
        </w:rPr>
        <w:t>trabectedin</w:t>
      </w:r>
      <w:r>
        <w:rPr>
          <w:color w:val="231F1F"/>
          <w:spacing w:val="-14"/>
          <w:w w:val="115"/>
        </w:rPr>
        <w:t> </w:t>
      </w:r>
      <w:r>
        <w:rPr>
          <w:color w:val="231F1F"/>
          <w:w w:val="115"/>
        </w:rPr>
        <w:t>reduced</w:t>
      </w:r>
      <w:r>
        <w:rPr>
          <w:color w:val="231F1F"/>
          <w:spacing w:val="-15"/>
          <w:w w:val="115"/>
        </w:rPr>
        <w:t> </w:t>
      </w:r>
      <w:r>
        <w:rPr>
          <w:color w:val="231F1F"/>
          <w:spacing w:val="-9"/>
          <w:w w:val="115"/>
        </w:rPr>
        <w:t>by</w:t>
      </w:r>
    </w:p>
    <w:p>
      <w:pPr>
        <w:spacing w:line="133" w:lineRule="exact" w:before="7"/>
        <w:ind w:left="286" w:right="0" w:firstLine="0"/>
        <w:jc w:val="left"/>
        <w:rPr>
          <w:rFonts w:ascii="Calibri"/>
          <w:sz w:val="11"/>
        </w:rPr>
      </w:pPr>
      <w:r>
        <w:rPr>
          <w:rFonts w:ascii="Arial"/>
          <w:color w:val="231F1F"/>
          <w:w w:val="355"/>
          <w:position w:val="1"/>
          <w:sz w:val="7"/>
        </w:rPr>
        <w:t>l </w:t>
      </w:r>
      <w:r>
        <w:rPr>
          <w:rFonts w:ascii="Calibri"/>
          <w:color w:val="008356"/>
          <w:w w:val="115"/>
          <w:sz w:val="11"/>
        </w:rPr>
        <w:t>RIFAMPICIN</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302" w:hanging="100"/>
      </w:pP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231F1F"/>
          <w:w w:val="115"/>
        </w:rPr>
        <w:t>Vaccines:</w:t>
      </w:r>
      <w:r>
        <w:rPr>
          <w:rFonts w:ascii="Calibri" w:hAnsi="Calibri"/>
          <w:color w:val="231F1F"/>
          <w:spacing w:val="-11"/>
          <w:w w:val="115"/>
        </w:rPr>
        <w:t> </w:t>
      </w:r>
      <w:r>
        <w:rPr>
          <w:color w:val="231F1F"/>
          <w:w w:val="115"/>
        </w:rPr>
        <w:t>risk</w:t>
      </w:r>
      <w:r>
        <w:rPr>
          <w:color w:val="231F1F"/>
          <w:spacing w:val="-15"/>
          <w:w w:val="115"/>
        </w:rPr>
        <w:t> </w:t>
      </w:r>
      <w:r>
        <w:rPr>
          <w:color w:val="231F1F"/>
          <w:w w:val="115"/>
        </w:rPr>
        <w:t>of</w:t>
      </w:r>
      <w:r>
        <w:rPr>
          <w:color w:val="231F1F"/>
          <w:spacing w:val="-13"/>
          <w:w w:val="115"/>
        </w:rPr>
        <w:t> </w:t>
      </w:r>
      <w:r>
        <w:rPr>
          <w:color w:val="231F1F"/>
          <w:w w:val="115"/>
        </w:rPr>
        <w:t>generalised</w:t>
      </w:r>
      <w:r>
        <w:rPr>
          <w:color w:val="231F1F"/>
          <w:spacing w:val="-16"/>
          <w:w w:val="115"/>
        </w:rPr>
        <w:t> </w:t>
      </w:r>
      <w:r>
        <w:rPr>
          <w:color w:val="231F1F"/>
          <w:w w:val="115"/>
        </w:rPr>
        <w:t>infections</w:t>
      </w:r>
      <w:r>
        <w:rPr>
          <w:color w:val="231F1F"/>
          <w:spacing w:val="-14"/>
          <w:w w:val="115"/>
        </w:rPr>
        <w:t> </w:t>
      </w:r>
      <w:r>
        <w:rPr>
          <w:color w:val="231F1F"/>
          <w:w w:val="115"/>
        </w:rPr>
        <w:t>when</w:t>
      </w:r>
      <w:r>
        <w:rPr>
          <w:color w:val="231F1F"/>
          <w:spacing w:val="-15"/>
          <w:w w:val="115"/>
        </w:rPr>
        <w:t> </w:t>
      </w:r>
      <w:r>
        <w:rPr>
          <w:color w:val="231F1F"/>
          <w:w w:val="115"/>
        </w:rPr>
        <w:t>trabectedin given</w:t>
      </w:r>
      <w:r>
        <w:rPr>
          <w:color w:val="231F1F"/>
          <w:spacing w:val="-12"/>
          <w:w w:val="115"/>
        </w:rPr>
        <w:t> </w:t>
      </w:r>
      <w:r>
        <w:rPr>
          <w:color w:val="231F1F"/>
          <w:w w:val="115"/>
        </w:rPr>
        <w:t>with</w:t>
      </w:r>
      <w:r>
        <w:rPr>
          <w:color w:val="231F1F"/>
          <w:spacing w:val="-11"/>
          <w:w w:val="115"/>
        </w:rPr>
        <w:t> </w:t>
      </w:r>
      <w:r>
        <w:rPr>
          <w:color w:val="231F1F"/>
          <w:w w:val="115"/>
        </w:rPr>
        <w:t>live</w:t>
      </w:r>
      <w:r>
        <w:rPr>
          <w:color w:val="231F1F"/>
          <w:spacing w:val="-11"/>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11"/>
          <w:w w:val="115"/>
        </w:rPr>
        <w:t> </w:t>
      </w:r>
      <w:r>
        <w:rPr>
          <w:color w:val="231F1F"/>
          <w:w w:val="115"/>
        </w:rPr>
        <w:t>concomitant</w:t>
      </w:r>
      <w:r>
        <w:rPr>
          <w:color w:val="231F1F"/>
          <w:spacing w:val="-12"/>
          <w:w w:val="115"/>
        </w:rPr>
        <w:t> </w:t>
      </w:r>
      <w:r>
        <w:rPr>
          <w:color w:val="231F1F"/>
          <w:w w:val="115"/>
        </w:rPr>
        <w:t>use</w:t>
      </w:r>
    </w:p>
    <w:p>
      <w:pPr>
        <w:pStyle w:val="BodyText"/>
        <w:spacing w:line="256" w:lineRule="auto" w:before="5"/>
        <w:ind w:left="186" w:right="1559"/>
        <w:rPr>
          <w:rFonts w:ascii="Trebuchet MS"/>
        </w:rPr>
      </w:pPr>
      <w:r>
        <w:rPr>
          <w:rFonts w:ascii="Trebuchet MS"/>
          <w:color w:val="008356"/>
          <w:w w:val="105"/>
        </w:rPr>
        <w:t>Tramadol </w:t>
      </w:r>
      <w:r>
        <w:rPr>
          <w:i/>
          <w:color w:val="231F1F"/>
          <w:w w:val="105"/>
        </w:rPr>
        <w:t>see </w:t>
      </w:r>
      <w:r>
        <w:rPr>
          <w:color w:val="231F1F"/>
          <w:w w:val="105"/>
        </w:rPr>
        <w:t>Opioid Analgesics </w:t>
      </w:r>
      <w:r>
        <w:rPr>
          <w:rFonts w:ascii="Trebuchet MS"/>
          <w:color w:val="008356"/>
          <w:w w:val="105"/>
        </w:rPr>
        <w:t>Trandolapril </w:t>
      </w:r>
      <w:r>
        <w:rPr>
          <w:i/>
          <w:color w:val="231F1F"/>
          <w:w w:val="105"/>
        </w:rPr>
        <w:t>see </w:t>
      </w:r>
      <w:r>
        <w:rPr>
          <w:color w:val="231F1F"/>
          <w:w w:val="105"/>
        </w:rPr>
        <w:t>ACE Inhibitors </w:t>
      </w:r>
      <w:r>
        <w:rPr>
          <w:rFonts w:ascii="Trebuchet MS"/>
          <w:color w:val="008356"/>
          <w:w w:val="105"/>
        </w:rPr>
        <w:t>Tranylcypromine </w:t>
      </w:r>
      <w:r>
        <w:rPr>
          <w:i/>
          <w:color w:val="231F1F"/>
          <w:w w:val="105"/>
        </w:rPr>
        <w:t>see </w:t>
      </w:r>
      <w:r>
        <w:rPr>
          <w:color w:val="231F1F"/>
          <w:w w:val="105"/>
        </w:rPr>
        <w:t>MAOIs </w:t>
      </w:r>
      <w:r>
        <w:rPr>
          <w:rFonts w:ascii="Trebuchet MS"/>
          <w:color w:val="008356"/>
          <w:w w:val="105"/>
        </w:rPr>
        <w:t>Trastuzumab</w:t>
      </w:r>
    </w:p>
    <w:p>
      <w:pPr>
        <w:pStyle w:val="BodyText"/>
        <w:spacing w:line="138"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1"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86"/>
      </w:pPr>
      <w:r>
        <w:rPr>
          <w:rFonts w:ascii="Trebuchet MS"/>
          <w:color w:val="008356"/>
          <w:w w:val="105"/>
        </w:rPr>
        <w:t>Trazodone </w:t>
      </w:r>
      <w:r>
        <w:rPr>
          <w:i/>
          <w:color w:val="231F1F"/>
          <w:w w:val="105"/>
        </w:rPr>
        <w:t>see </w:t>
      </w:r>
      <w:r>
        <w:rPr>
          <w:color w:val="231F1F"/>
          <w:w w:val="105"/>
        </w:rPr>
        <w:t>Antidepressants, Tricyclic (related)</w:t>
      </w:r>
    </w:p>
    <w:p>
      <w:pPr>
        <w:pStyle w:val="BodyText"/>
        <w:spacing w:line="256" w:lineRule="auto" w:before="9"/>
        <w:ind w:left="186" w:right="1559"/>
        <w:rPr>
          <w:rFonts w:ascii="Trebuchet MS"/>
        </w:rPr>
      </w:pPr>
      <w:r>
        <w:rPr>
          <w:rFonts w:ascii="Trebuchet MS"/>
          <w:color w:val="008356"/>
          <w:w w:val="105"/>
        </w:rPr>
        <w:t>Tretinoin </w:t>
      </w:r>
      <w:r>
        <w:rPr>
          <w:i/>
          <w:color w:val="231F1F"/>
          <w:w w:val="105"/>
        </w:rPr>
        <w:t>see </w:t>
      </w:r>
      <w:r>
        <w:rPr>
          <w:color w:val="231F1F"/>
          <w:w w:val="105"/>
        </w:rPr>
        <w:t>Retinoids </w:t>
      </w:r>
      <w:r>
        <w:rPr>
          <w:rFonts w:ascii="Trebuchet MS"/>
          <w:color w:val="008356"/>
          <w:w w:val="105"/>
        </w:rPr>
        <w:t>Triamcinolone </w:t>
      </w:r>
      <w:r>
        <w:rPr>
          <w:i/>
          <w:color w:val="231F1F"/>
          <w:w w:val="105"/>
        </w:rPr>
        <w:t>see </w:t>
      </w:r>
      <w:r>
        <w:rPr>
          <w:color w:val="231F1F"/>
          <w:w w:val="105"/>
        </w:rPr>
        <w:t>Corticosteroids </w:t>
      </w:r>
      <w:r>
        <w:rPr>
          <w:rFonts w:ascii="Trebuchet MS"/>
          <w:color w:val="008356"/>
          <w:w w:val="105"/>
        </w:rPr>
        <w:t>Triamterene </w:t>
      </w:r>
      <w:r>
        <w:rPr>
          <w:i/>
          <w:color w:val="231F1F"/>
          <w:w w:val="105"/>
        </w:rPr>
        <w:t>see </w:t>
      </w:r>
      <w:r>
        <w:rPr>
          <w:color w:val="231F1F"/>
          <w:w w:val="105"/>
        </w:rPr>
        <w:t>Diuretics </w:t>
      </w:r>
      <w:r>
        <w:rPr>
          <w:rFonts w:ascii="Trebuchet MS"/>
          <w:color w:val="008356"/>
          <w:w w:val="105"/>
        </w:rPr>
        <w:t>Trientine</w:t>
      </w:r>
    </w:p>
    <w:p>
      <w:pPr>
        <w:spacing w:line="142" w:lineRule="exact" w:before="0"/>
        <w:ind w:left="186"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Iron Salts: </w:t>
      </w:r>
      <w:r>
        <w:rPr>
          <w:color w:val="231F1F"/>
          <w:w w:val="105"/>
          <w:sz w:val="12"/>
        </w:rPr>
        <w:t>trientine reduces absorption of </w:t>
      </w:r>
      <w:r>
        <w:rPr>
          <w:i/>
          <w:color w:val="231F1F"/>
          <w:w w:val="105"/>
          <w:sz w:val="12"/>
        </w:rPr>
        <w:t>oral </w:t>
      </w:r>
      <w:r>
        <w:rPr>
          <w:rFonts w:ascii="Calibri" w:hAnsi="Calibri"/>
          <w:color w:val="008356"/>
          <w:w w:val="105"/>
          <w:sz w:val="11"/>
        </w:rPr>
        <w:t>IRON SALTS</w:t>
      </w:r>
    </w:p>
    <w:p>
      <w:pPr>
        <w:pStyle w:val="BodyText"/>
        <w:spacing w:line="220" w:lineRule="auto"/>
        <w:ind w:left="286" w:hanging="100"/>
      </w:pPr>
      <w:r>
        <w:rPr>
          <w:rFonts w:ascii="Lucida Sans Unicode" w:hAnsi="Lucida Sans Unicode"/>
          <w:color w:val="A7A8AC"/>
          <w:w w:val="95"/>
          <w:sz w:val="10"/>
        </w:rPr>
        <w:t>▶ </w:t>
      </w:r>
      <w:r>
        <w:rPr>
          <w:rFonts w:ascii="Calibri" w:hAnsi="Calibri"/>
          <w:color w:val="231F1F"/>
          <w:w w:val="110"/>
        </w:rPr>
        <w:t>Zinc: </w:t>
      </w:r>
      <w:r>
        <w:rPr>
          <w:color w:val="231F1F"/>
          <w:w w:val="110"/>
        </w:rPr>
        <w:t>trientine reduces absorption of </w:t>
      </w:r>
      <w:r>
        <w:rPr>
          <w:rFonts w:ascii="Calibri" w:hAnsi="Calibri"/>
          <w:color w:val="008356"/>
          <w:w w:val="110"/>
          <w:sz w:val="11"/>
        </w:rPr>
        <w:t>ZINC</w:t>
      </w:r>
      <w:r>
        <w:rPr>
          <w:color w:val="231F1F"/>
          <w:w w:val="110"/>
        </w:rPr>
        <w:t>, also absorption of trientine reduced by zinc</w:t>
      </w:r>
    </w:p>
    <w:p>
      <w:pPr>
        <w:pStyle w:val="BodyText"/>
        <w:spacing w:line="256" w:lineRule="auto" w:before="13"/>
        <w:ind w:left="186" w:right="737"/>
        <w:rPr>
          <w:rFonts w:ascii="Trebuchet MS"/>
        </w:rPr>
      </w:pPr>
      <w:r>
        <w:rPr>
          <w:rFonts w:ascii="Trebuchet MS"/>
          <w:color w:val="008356"/>
          <w:w w:val="105"/>
        </w:rPr>
        <w:t>Trifluoperazine </w:t>
      </w:r>
      <w:r>
        <w:rPr>
          <w:i/>
          <w:color w:val="231F1F"/>
          <w:w w:val="105"/>
        </w:rPr>
        <w:t>see </w:t>
      </w:r>
      <w:r>
        <w:rPr>
          <w:color w:val="231F1F"/>
          <w:w w:val="105"/>
        </w:rPr>
        <w:t>Antipsychotics </w:t>
      </w:r>
      <w:r>
        <w:rPr>
          <w:rFonts w:ascii="Trebuchet MS"/>
          <w:color w:val="008356"/>
          <w:w w:val="105"/>
        </w:rPr>
        <w:t>Trihexyphenidyl </w:t>
      </w:r>
      <w:r>
        <w:rPr>
          <w:i/>
          <w:color w:val="231F1F"/>
          <w:w w:val="105"/>
        </w:rPr>
        <w:t>see </w:t>
      </w:r>
      <w:r>
        <w:rPr>
          <w:color w:val="231F1F"/>
          <w:w w:val="105"/>
        </w:rPr>
        <w:t>Antimuscarinics </w:t>
      </w:r>
      <w:r>
        <w:rPr>
          <w:rFonts w:ascii="Trebuchet MS"/>
          <w:color w:val="008356"/>
          <w:w w:val="105"/>
        </w:rPr>
        <w:t>Trimethoprim</w:t>
      </w:r>
    </w:p>
    <w:p>
      <w:pPr>
        <w:pStyle w:val="BodyText"/>
        <w:spacing w:line="220" w:lineRule="auto"/>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ACE Inhibitors: </w:t>
      </w:r>
      <w:r>
        <w:rPr>
          <w:color w:val="231F1F"/>
          <w:w w:val="105"/>
        </w:rPr>
        <w:t>possible increased risk of hyperkalaemia when trimethoprim given with </w:t>
      </w:r>
      <w:r>
        <w:rPr>
          <w:rFonts w:ascii="Calibri" w:hAnsi="Calibri"/>
          <w:color w:val="008356"/>
          <w:w w:val="105"/>
          <w:sz w:val="11"/>
        </w:rPr>
        <w:t>ACE INHIBITORS</w:t>
      </w:r>
    </w:p>
    <w:p>
      <w:pPr>
        <w:spacing w:line="237" w:lineRule="auto" w:before="1"/>
        <w:ind w:left="286"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possible increased risk of hyperkalaemia when trimethoprim given with </w:t>
      </w:r>
      <w:r>
        <w:rPr>
          <w:rFonts w:ascii="Calibri" w:hAnsi="Calibri"/>
          <w:color w:val="008356"/>
          <w:w w:val="105"/>
          <w:sz w:val="11"/>
        </w:rPr>
        <w:t>ANGIOTENSIN-II RECEPTOR ANTAGONISTS</w:t>
      </w:r>
    </w:p>
    <w:p>
      <w:pPr>
        <w:pStyle w:val="BodyText"/>
        <w:spacing w:line="237" w:lineRule="auto"/>
        <w:ind w:left="286" w:right="76"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possible increased risk of ventricular arrhythmias when trimethoprim (as co-trimoxazole) given with </w:t>
      </w:r>
      <w:r>
        <w:rPr>
          <w:rFonts w:ascii="Calibri" w:hAnsi="Calibri"/>
          <w:color w:val="008356"/>
          <w:w w:val="110"/>
          <w:sz w:val="11"/>
        </w:rPr>
        <w:t>AMIODARONE</w:t>
      </w:r>
      <w:r>
        <w:rPr>
          <w:rFonts w:ascii="Arial" w:hAnsi="Arial"/>
          <w:color w:val="231F1F"/>
          <w:w w:val="110"/>
        </w:rPr>
        <w:t>—</w:t>
      </w:r>
      <w:r>
        <w:rPr>
          <w:color w:val="231F1F"/>
          <w:w w:val="110"/>
        </w:rPr>
        <w:t>manufacturer of amiodarone advises avoid concomitant use of co-trimoxazole</w:t>
      </w:r>
    </w:p>
    <w:p>
      <w:pPr>
        <w:pStyle w:val="BodyText"/>
        <w:spacing w:line="230" w:lineRule="auto" w:before="4"/>
        <w:ind w:left="286" w:right="24"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trimethoprim possibly reduced by </w:t>
      </w:r>
      <w:r>
        <w:rPr>
          <w:rFonts w:ascii="Calibri" w:hAnsi="Calibri"/>
          <w:color w:val="008356"/>
          <w:w w:val="110"/>
          <w:sz w:val="11"/>
        </w:rPr>
        <w:t>RIFAMPICIN</w:t>
      </w:r>
      <w:r>
        <w:rPr>
          <w:color w:val="231F1F"/>
          <w:w w:val="110"/>
        </w:rPr>
        <w:t>; plasma concentration of both drugs may increase when trimethoprim given with </w:t>
      </w:r>
      <w:r>
        <w:rPr>
          <w:rFonts w:ascii="Calibri" w:hAnsi="Calibri"/>
          <w:color w:val="008356"/>
          <w:w w:val="110"/>
          <w:sz w:val="11"/>
        </w:rPr>
        <w:t>DAPSONE</w:t>
      </w:r>
    </w:p>
    <w:p>
      <w:pPr>
        <w:pStyle w:val="BodyText"/>
        <w:spacing w:line="220" w:lineRule="auto" w:before="7"/>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trimethoprim possibly enhances anticoagulant effect of </w:t>
      </w:r>
      <w:r>
        <w:rPr>
          <w:rFonts w:ascii="Calibri" w:hAnsi="Calibri"/>
          <w:color w:val="008356"/>
          <w:w w:val="105"/>
          <w:sz w:val="11"/>
        </w:rPr>
        <w:t>COUMARINS</w:t>
      </w:r>
    </w:p>
    <w:p>
      <w:pPr>
        <w:pStyle w:val="BodyText"/>
        <w:spacing w:line="242" w:lineRule="auto" w:before="1"/>
        <w:ind w:left="286" w:right="6"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Antidiabetics: </w:t>
      </w:r>
      <w:r>
        <w:rPr>
          <w:color w:val="231F1F"/>
          <w:w w:val="110"/>
        </w:rPr>
        <w:t>trimethoprim possibly enhances hypoglycaemic effect of </w:t>
      </w:r>
      <w:r>
        <w:rPr>
          <w:rFonts w:ascii="Calibri" w:hAnsi="Calibri"/>
          <w:color w:val="008356"/>
          <w:w w:val="110"/>
          <w:sz w:val="11"/>
        </w:rPr>
        <w:t>REPAGLINIDE</w:t>
      </w:r>
      <w:r>
        <w:rPr>
          <w:rFonts w:ascii="Arial" w:hAnsi="Arial"/>
          <w:color w:val="231F1F"/>
          <w:w w:val="110"/>
        </w:rPr>
        <w:t>—</w:t>
      </w:r>
      <w:r>
        <w:rPr>
          <w:color w:val="231F1F"/>
          <w:w w:val="110"/>
        </w:rPr>
        <w:t>manufacturer advises avoid concomitant use; trimethoprim rarely enhances the effects of </w:t>
      </w:r>
      <w:r>
        <w:rPr>
          <w:rFonts w:ascii="Calibri" w:hAnsi="Calibri"/>
          <w:color w:val="008356"/>
          <w:w w:val="110"/>
          <w:sz w:val="11"/>
        </w:rPr>
        <w:t>SULFONYLUREAS</w:t>
      </w:r>
    </w:p>
    <w:p>
      <w:pPr>
        <w:pStyle w:val="BodyText"/>
        <w:spacing w:line="140" w:lineRule="exact"/>
        <w:ind w:left="186"/>
      </w:pPr>
      <w:r>
        <w:rPr>
          <w:rFonts w:ascii="Arial"/>
          <w:color w:val="231F1F"/>
          <w:w w:val="355"/>
          <w:position w:val="1"/>
          <w:sz w:val="7"/>
        </w:rPr>
        <w:t>l </w:t>
      </w:r>
      <w:r>
        <w:rPr>
          <w:rFonts w:ascii="Calibri"/>
          <w:color w:val="231F1F"/>
          <w:w w:val="115"/>
        </w:rPr>
        <w:t>Antiepileptics: </w:t>
      </w:r>
      <w:r>
        <w:rPr>
          <w:color w:val="231F1F"/>
          <w:w w:val="115"/>
        </w:rPr>
        <w:t>trimethoprim increases plasma concentration</w:t>
      </w:r>
    </w:p>
    <w:p>
      <w:pPr>
        <w:spacing w:before="0"/>
        <w:ind w:left="286" w:right="36" w:hanging="1"/>
        <w:jc w:val="left"/>
        <w:rPr>
          <w:sz w:val="12"/>
        </w:rPr>
      </w:pPr>
      <w:r>
        <w:rPr>
          <w:color w:val="231F1F"/>
          <w:w w:val="110"/>
          <w:sz w:val="12"/>
        </w:rPr>
        <w:t>of</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FOSPHENYTOIN</w:t>
      </w:r>
      <w:r>
        <w:rPr>
          <w:rFonts w:ascii="Calibri"/>
          <w:color w:val="008356"/>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4"/>
          <w:w w:val="110"/>
          <w:sz w:val="11"/>
        </w:rPr>
        <w:t>PHENYTOIN</w:t>
      </w:r>
      <w:r>
        <w:rPr>
          <w:rFonts w:ascii="Calibri"/>
          <w:color w:val="008356"/>
          <w:spacing w:val="1"/>
          <w:w w:val="110"/>
          <w:sz w:val="11"/>
        </w:rPr>
        <w:t> </w:t>
      </w:r>
      <w:r>
        <w:rPr>
          <w:color w:val="231F1F"/>
          <w:w w:val="110"/>
          <w:sz w:val="12"/>
        </w:rPr>
        <w:t>(also</w:t>
      </w:r>
      <w:r>
        <w:rPr>
          <w:color w:val="231F1F"/>
          <w:spacing w:val="-9"/>
          <w:w w:val="110"/>
          <w:sz w:val="12"/>
        </w:rPr>
        <w:t> </w:t>
      </w:r>
      <w:r>
        <w:rPr>
          <w:color w:val="231F1F"/>
          <w:w w:val="110"/>
          <w:sz w:val="12"/>
        </w:rPr>
        <w:t>increased</w:t>
      </w:r>
      <w:r>
        <w:rPr>
          <w:color w:val="231F1F"/>
          <w:spacing w:val="-10"/>
          <w:w w:val="110"/>
          <w:sz w:val="12"/>
        </w:rPr>
        <w:t> </w:t>
      </w:r>
      <w:r>
        <w:rPr>
          <w:color w:val="231F1F"/>
          <w:w w:val="110"/>
          <w:sz w:val="12"/>
        </w:rPr>
        <w:t>antifolate effect)</w:t>
      </w:r>
    </w:p>
    <w:p>
      <w:pPr>
        <w:pStyle w:val="BodyText"/>
        <w:spacing w:before="3"/>
        <w:ind w:left="286" w:hanging="100"/>
        <w:rPr>
          <w:rFonts w:ascii="Calibri"/>
          <w:sz w:val="11"/>
        </w:rPr>
      </w:pPr>
      <w:r>
        <w:rPr>
          <w:rFonts w:ascii="Arial"/>
          <w:color w:val="231F1F"/>
          <w:w w:val="355"/>
          <w:position w:val="1"/>
          <w:sz w:val="7"/>
        </w:rPr>
        <w:t>l </w:t>
      </w:r>
      <w:r>
        <w:rPr>
          <w:rFonts w:ascii="Calibri"/>
          <w:color w:val="231F1F"/>
          <w:w w:val="110"/>
        </w:rPr>
        <w:t>Antimalarials: </w:t>
      </w:r>
      <w:r>
        <w:rPr>
          <w:color w:val="231F1F"/>
          <w:w w:val="110"/>
        </w:rPr>
        <w:t>increased antifolate effect when </w:t>
      </w:r>
      <w:r>
        <w:rPr>
          <w:color w:val="231F1F"/>
          <w:spacing w:val="-2"/>
          <w:w w:val="110"/>
        </w:rPr>
        <w:t>trimethoprim </w:t>
      </w:r>
      <w:r>
        <w:rPr>
          <w:color w:val="231F1F"/>
          <w:w w:val="110"/>
        </w:rPr>
        <w:t>given with </w:t>
      </w:r>
      <w:r>
        <w:rPr>
          <w:rFonts w:ascii="Arial"/>
          <w:color w:val="231F1F"/>
          <w:w w:val="355"/>
          <w:position w:val="1"/>
          <w:sz w:val="7"/>
        </w:rPr>
        <w:t>l </w:t>
      </w:r>
      <w:r>
        <w:rPr>
          <w:rFonts w:ascii="Calibri"/>
          <w:color w:val="008356"/>
          <w:spacing w:val="5"/>
          <w:w w:val="110"/>
          <w:sz w:val="11"/>
        </w:rPr>
        <w:t>PYRIMETHAMINE</w:t>
      </w:r>
    </w:p>
    <w:p>
      <w:pPr>
        <w:pStyle w:val="BodyText"/>
        <w:spacing w:line="230" w:lineRule="auto"/>
        <w:ind w:left="286" w:right="41"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trimethoprim (as co-trimoxazole) increases plasma concentration of </w:t>
      </w:r>
      <w:r>
        <w:rPr>
          <w:rFonts w:ascii="Calibri" w:hAnsi="Calibri"/>
          <w:color w:val="008356"/>
          <w:w w:val="110"/>
          <w:sz w:val="11"/>
        </w:rPr>
        <w:t>LAMIVUDINE</w:t>
      </w:r>
      <w:r>
        <w:rPr>
          <w:rFonts w:ascii="Arial" w:hAnsi="Arial"/>
          <w:color w:val="231F1F"/>
          <w:w w:val="110"/>
        </w:rPr>
        <w:t>—</w:t>
      </w:r>
      <w:r>
        <w:rPr>
          <w:color w:val="231F1F"/>
          <w:w w:val="110"/>
        </w:rPr>
        <w:t>avoid concomitant use of high-dose co-trimoxazole</w:t>
      </w:r>
    </w:p>
    <w:p>
      <w:pPr>
        <w:pStyle w:val="BodyText"/>
        <w:spacing w:before="4"/>
        <w:ind w:left="286" w:right="120" w:hanging="100"/>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Azathioprine:</w:t>
      </w:r>
      <w:r>
        <w:rPr>
          <w:rFonts w:ascii="Calibri"/>
          <w:color w:val="231F1F"/>
          <w:spacing w:val="-16"/>
          <w:w w:val="115"/>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haematological</w:t>
      </w:r>
      <w:r>
        <w:rPr>
          <w:color w:val="231F1F"/>
          <w:spacing w:val="-19"/>
          <w:w w:val="115"/>
        </w:rPr>
        <w:t> </w:t>
      </w:r>
      <w:r>
        <w:rPr>
          <w:color w:val="231F1F"/>
          <w:w w:val="115"/>
        </w:rPr>
        <w:t>toxicity</w:t>
      </w:r>
      <w:r>
        <w:rPr>
          <w:color w:val="231F1F"/>
          <w:spacing w:val="-19"/>
          <w:w w:val="115"/>
        </w:rPr>
        <w:t> </w:t>
      </w:r>
      <w:r>
        <w:rPr>
          <w:color w:val="231F1F"/>
          <w:spacing w:val="-4"/>
          <w:w w:val="115"/>
        </w:rPr>
        <w:t>when </w:t>
      </w:r>
      <w:r>
        <w:rPr>
          <w:color w:val="231F1F"/>
          <w:w w:val="115"/>
        </w:rPr>
        <w:t>trimethoprim</w:t>
      </w:r>
      <w:r>
        <w:rPr>
          <w:color w:val="231F1F"/>
          <w:spacing w:val="-7"/>
          <w:w w:val="115"/>
        </w:rPr>
        <w:t> </w:t>
      </w:r>
      <w:r>
        <w:rPr>
          <w:color w:val="231F1F"/>
          <w:w w:val="115"/>
        </w:rPr>
        <w:t>(also</w:t>
      </w:r>
      <w:r>
        <w:rPr>
          <w:color w:val="231F1F"/>
          <w:spacing w:val="-5"/>
          <w:w w:val="115"/>
        </w:rPr>
        <w:t> </w:t>
      </w:r>
      <w:r>
        <w:rPr>
          <w:color w:val="231F1F"/>
          <w:w w:val="115"/>
        </w:rPr>
        <w:t>with</w:t>
      </w:r>
      <w:r>
        <w:rPr>
          <w:color w:val="231F1F"/>
          <w:spacing w:val="-5"/>
          <w:w w:val="115"/>
        </w:rPr>
        <w:t> </w:t>
      </w:r>
      <w:r>
        <w:rPr>
          <w:color w:val="231F1F"/>
          <w:w w:val="115"/>
        </w:rPr>
        <w:t>co-trimoxazole)</w:t>
      </w:r>
      <w:r>
        <w:rPr>
          <w:color w:val="231F1F"/>
          <w:spacing w:val="-4"/>
          <w:w w:val="115"/>
        </w:rPr>
        <w:t> </w:t>
      </w:r>
      <w:r>
        <w:rPr>
          <w:color w:val="231F1F"/>
          <w:w w:val="115"/>
        </w:rPr>
        <w:t>given</w:t>
      </w:r>
      <w:r>
        <w:rPr>
          <w:color w:val="231F1F"/>
          <w:spacing w:val="-6"/>
          <w:w w:val="115"/>
        </w:rPr>
        <w:t> </w:t>
      </w:r>
      <w:r>
        <w:rPr>
          <w:color w:val="231F1F"/>
          <w:w w:val="115"/>
        </w:rPr>
        <w:t>with</w:t>
      </w:r>
    </w:p>
    <w:p>
      <w:pPr>
        <w:spacing w:line="133" w:lineRule="exact" w:before="11"/>
        <w:ind w:left="286" w:right="0" w:firstLine="0"/>
        <w:jc w:val="left"/>
        <w:rPr>
          <w:rFonts w:ascii="Calibri"/>
          <w:sz w:val="11"/>
        </w:rPr>
      </w:pPr>
      <w:r>
        <w:rPr>
          <w:rFonts w:ascii="Arial"/>
          <w:color w:val="231F1F"/>
          <w:w w:val="355"/>
          <w:position w:val="1"/>
          <w:sz w:val="7"/>
        </w:rPr>
        <w:t>l </w:t>
      </w:r>
      <w:r>
        <w:rPr>
          <w:rFonts w:ascii="Calibri"/>
          <w:color w:val="008356"/>
          <w:w w:val="115"/>
          <w:sz w:val="11"/>
        </w:rPr>
        <w:t>AZATHIOPRINE</w:t>
      </w:r>
    </w:p>
    <w:p>
      <w:pPr>
        <w:pStyle w:val="BodyText"/>
        <w:spacing w:line="220" w:lineRule="auto" w:before="8"/>
        <w:ind w:left="286" w:hanging="100"/>
        <w:rPr>
          <w:rFonts w:ascii="Calibri" w:hAnsi="Calibri"/>
          <w:sz w:val="11"/>
        </w:rPr>
      </w:pPr>
      <w:r>
        <w:rPr>
          <w:rFonts w:ascii="Lucida Sans Unicode" w:hAnsi="Lucida Sans Unicode"/>
          <w:color w:val="A7A8AC"/>
          <w:w w:val="95"/>
          <w:sz w:val="10"/>
        </w:rPr>
        <w:t>▶ </w:t>
      </w:r>
      <w:r>
        <w:rPr>
          <w:rFonts w:ascii="Calibri" w:hAnsi="Calibri"/>
          <w:color w:val="231F1F"/>
          <w:w w:val="105"/>
        </w:rPr>
        <w:t>Cardiac Glycosides: </w:t>
      </w:r>
      <w:r>
        <w:rPr>
          <w:color w:val="231F1F"/>
          <w:w w:val="105"/>
        </w:rPr>
        <w:t>trimethoprim possibly increases plasma concentration of </w:t>
      </w:r>
      <w:r>
        <w:rPr>
          <w:rFonts w:ascii="Calibri" w:hAnsi="Calibri"/>
          <w:color w:val="008356"/>
          <w:w w:val="105"/>
          <w:sz w:val="11"/>
        </w:rPr>
        <w:t>DIGOXIN</w:t>
      </w:r>
    </w:p>
    <w:p>
      <w:pPr>
        <w:pStyle w:val="BodyText"/>
        <w:spacing w:before="9"/>
        <w:ind w:left="0"/>
        <w:rPr>
          <w:rFonts w:ascii="Calibri"/>
          <w:sz w:val="13"/>
        </w:rPr>
      </w:pPr>
      <w:r>
        <w:rPr/>
        <w:br w:type="column"/>
      </w:r>
      <w:r>
        <w:rPr>
          <w:rFonts w:ascii="Calibri"/>
          <w:sz w:val="13"/>
        </w:rPr>
      </w:r>
    </w:p>
    <w:p>
      <w:pPr>
        <w:pStyle w:val="BodyText"/>
        <w:spacing w:line="144" w:lineRule="exact"/>
        <w:ind w:left="182"/>
        <w:rPr>
          <w:rFonts w:ascii="Calibri"/>
        </w:rPr>
      </w:pPr>
      <w:r>
        <w:rPr>
          <w:rFonts w:ascii="Arial"/>
          <w:color w:val="008356"/>
        </w:rPr>
        <w:t>Trimethoprim </w:t>
      </w:r>
      <w:r>
        <w:rPr>
          <w:rFonts w:ascii="Calibri"/>
          <w:color w:val="231F1F"/>
        </w:rPr>
        <w:t>(continued)</w:t>
      </w:r>
    </w:p>
    <w:p>
      <w:pPr>
        <w:pStyle w:val="BodyText"/>
        <w:spacing w:line="244" w:lineRule="auto"/>
        <w:ind w:left="282" w:right="919" w:hanging="100"/>
      </w:pPr>
      <w:r>
        <w:rPr>
          <w:rFonts w:ascii="Arial"/>
          <w:color w:val="231F1F"/>
          <w:w w:val="355"/>
          <w:position w:val="1"/>
          <w:sz w:val="7"/>
        </w:rPr>
        <w:t>l </w:t>
      </w:r>
      <w:r>
        <w:rPr>
          <w:rFonts w:ascii="Calibri"/>
          <w:color w:val="231F1F"/>
          <w:w w:val="110"/>
        </w:rPr>
        <w:t>Ciclosporin: </w:t>
      </w:r>
      <w:r>
        <w:rPr>
          <w:color w:val="231F1F"/>
          <w:w w:val="110"/>
        </w:rPr>
        <w:t>increased risk of nephrotoxicity when trimethoprim given with </w:t>
      </w:r>
      <w:r>
        <w:rPr>
          <w:rFonts w:ascii="Arial"/>
          <w:color w:val="231F1F"/>
          <w:w w:val="355"/>
          <w:position w:val="1"/>
          <w:sz w:val="7"/>
        </w:rPr>
        <w:t>l</w:t>
      </w:r>
      <w:r>
        <w:rPr>
          <w:rFonts w:ascii="Arial"/>
          <w:color w:val="231F1F"/>
          <w:spacing w:val="-52"/>
          <w:w w:val="355"/>
          <w:position w:val="1"/>
          <w:sz w:val="7"/>
        </w:rPr>
        <w:t> </w:t>
      </w:r>
      <w:r>
        <w:rPr>
          <w:rFonts w:ascii="Calibri"/>
          <w:color w:val="008356"/>
          <w:spacing w:val="4"/>
          <w:w w:val="110"/>
          <w:sz w:val="11"/>
        </w:rPr>
        <w:t>CICLOSPORIN</w:t>
      </w:r>
      <w:r>
        <w:rPr>
          <w:color w:val="231F1F"/>
          <w:spacing w:val="4"/>
          <w:w w:val="110"/>
        </w:rPr>
        <w:t>, </w:t>
      </w:r>
      <w:r>
        <w:rPr>
          <w:color w:val="231F1F"/>
          <w:w w:val="110"/>
        </w:rPr>
        <w:t>also plasma concentration of ciclosporin reduced by </w:t>
      </w:r>
      <w:r>
        <w:rPr>
          <w:i/>
          <w:color w:val="231F1F"/>
          <w:w w:val="110"/>
        </w:rPr>
        <w:t>intravenous </w:t>
      </w:r>
      <w:r>
        <w:rPr>
          <w:color w:val="231F1F"/>
          <w:w w:val="110"/>
        </w:rPr>
        <w:t>trimethoprim</w:t>
      </w:r>
    </w:p>
    <w:p>
      <w:pPr>
        <w:pStyle w:val="BodyText"/>
        <w:ind w:left="282" w:right="762" w:hanging="100"/>
      </w:pPr>
      <w:r>
        <w:rPr>
          <w:rFonts w:ascii="Arial"/>
          <w:color w:val="231F1F"/>
          <w:w w:val="115"/>
          <w:position w:val="1"/>
          <w:sz w:val="7"/>
        </w:rPr>
        <w:t>l </w:t>
      </w:r>
      <w:r>
        <w:rPr>
          <w:rFonts w:ascii="Calibri"/>
          <w:color w:val="231F1F"/>
          <w:w w:val="115"/>
        </w:rPr>
        <w:t>Cytotoxics: </w:t>
      </w:r>
      <w:r>
        <w:rPr>
          <w:color w:val="231F1F"/>
          <w:w w:val="115"/>
        </w:rPr>
        <w:t>increased risk of haematological toxicity when </w:t>
      </w:r>
      <w:r>
        <w:rPr>
          <w:color w:val="231F1F"/>
          <w:w w:val="120"/>
        </w:rPr>
        <w:t>trimethoprim (also with co-trimoxazole) given with</w:t>
      </w:r>
    </w:p>
    <w:p>
      <w:pPr>
        <w:spacing w:line="141" w:lineRule="exact" w:before="0"/>
        <w:ind w:left="282" w:right="0" w:firstLine="0"/>
        <w:jc w:val="left"/>
        <w:rPr>
          <w:rFonts w:ascii="Calibri"/>
          <w:sz w:val="11"/>
        </w:rPr>
      </w:pPr>
      <w:r>
        <w:rPr>
          <w:rFonts w:ascii="Arial"/>
          <w:color w:val="231F1F"/>
          <w:w w:val="355"/>
          <w:position w:val="1"/>
          <w:sz w:val="7"/>
        </w:rPr>
        <w:t>l </w:t>
      </w:r>
      <w:r>
        <w:rPr>
          <w:rFonts w:ascii="Calibri"/>
          <w:color w:val="008356"/>
          <w:w w:val="110"/>
          <w:sz w:val="11"/>
        </w:rPr>
        <w:t>MERCAPTOPURINE </w:t>
      </w:r>
      <w:r>
        <w:rPr>
          <w:color w:val="231F1F"/>
          <w:w w:val="110"/>
          <w:sz w:val="12"/>
        </w:rPr>
        <w:t>or </w:t>
      </w:r>
      <w:r>
        <w:rPr>
          <w:rFonts w:ascii="Arial"/>
          <w:color w:val="231F1F"/>
          <w:w w:val="355"/>
          <w:position w:val="1"/>
          <w:sz w:val="7"/>
        </w:rPr>
        <w:t>l </w:t>
      </w:r>
      <w:r>
        <w:rPr>
          <w:rFonts w:ascii="Calibri"/>
          <w:color w:val="008356"/>
          <w:w w:val="110"/>
          <w:sz w:val="11"/>
        </w:rPr>
        <w:t>METHOTREXATE</w:t>
      </w:r>
    </w:p>
    <w:p>
      <w:pPr>
        <w:pStyle w:val="BodyText"/>
        <w:spacing w:line="242" w:lineRule="auto"/>
        <w:ind w:left="282" w:right="622" w:hanging="100"/>
        <w:rPr>
          <w:rFonts w:ascii="Calibri" w:hAnsi="Calibri"/>
          <w:sz w:val="11"/>
        </w:rPr>
      </w:pPr>
      <w:r>
        <w:rPr>
          <w:rFonts w:ascii="Lucida Sans Unicode" w:hAnsi="Lucida Sans Unicode"/>
          <w:color w:val="A7A8AC"/>
          <w:w w:val="95"/>
          <w:sz w:val="10"/>
        </w:rPr>
        <w:t>▶ </w:t>
      </w:r>
      <w:r>
        <w:rPr>
          <w:rFonts w:ascii="Calibri" w:hAnsi="Calibri"/>
          <w:color w:val="231F1F"/>
          <w:w w:val="105"/>
        </w:rPr>
        <w:t>Diuretics: </w:t>
      </w:r>
      <w:r>
        <w:rPr>
          <w:color w:val="231F1F"/>
          <w:w w:val="105"/>
        </w:rPr>
        <w:t>increased risk of hyperkalaemia when trimethoprim given with </w:t>
      </w:r>
      <w:r>
        <w:rPr>
          <w:rFonts w:ascii="Calibri" w:hAnsi="Calibri"/>
          <w:color w:val="008356"/>
          <w:w w:val="105"/>
          <w:sz w:val="11"/>
        </w:rPr>
        <w:t>EPLERENONE</w:t>
      </w:r>
      <w:r>
        <w:rPr>
          <w:color w:val="231F1F"/>
          <w:w w:val="105"/>
        </w:rPr>
        <w:t>; possible increased risk of hyperkalaemia  when  trimethoprim  given  with </w:t>
      </w:r>
      <w:r>
        <w:rPr>
          <w:rFonts w:ascii="Calibri" w:hAnsi="Calibri"/>
          <w:color w:val="008356"/>
          <w:w w:val="105"/>
          <w:sz w:val="11"/>
        </w:rPr>
        <w:t>SPIRONOLACTONE</w:t>
      </w:r>
    </w:p>
    <w:p>
      <w:pPr>
        <w:spacing w:line="220" w:lineRule="auto" w:before="1"/>
        <w:ind w:left="282" w:right="72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3"/>
        <w:ind w:left="182"/>
      </w:pPr>
      <w:r>
        <w:rPr>
          <w:rFonts w:ascii="Trebuchet MS"/>
          <w:color w:val="008356"/>
          <w:w w:val="105"/>
        </w:rPr>
        <w:t>Trimipramine </w:t>
      </w:r>
      <w:r>
        <w:rPr>
          <w:i/>
          <w:color w:val="231F1F"/>
          <w:w w:val="105"/>
        </w:rPr>
        <w:t>see </w:t>
      </w:r>
      <w:r>
        <w:rPr>
          <w:color w:val="231F1F"/>
          <w:w w:val="105"/>
        </w:rPr>
        <w:t>Antidepressants, Tricyclic</w:t>
      </w:r>
    </w:p>
    <w:p>
      <w:pPr>
        <w:pStyle w:val="BodyText"/>
        <w:spacing w:line="139" w:lineRule="exact" w:before="10"/>
        <w:ind w:left="182"/>
        <w:rPr>
          <w:rFonts w:ascii="Trebuchet MS"/>
        </w:rPr>
      </w:pPr>
      <w:r>
        <w:rPr>
          <w:rFonts w:ascii="Trebuchet MS"/>
          <w:color w:val="008356"/>
        </w:rPr>
        <w:t>Tripotassium Dicitratobismuthate</w:t>
      </w:r>
    </w:p>
    <w:p>
      <w:pPr>
        <w:pStyle w:val="BodyText"/>
        <w:spacing w:line="220" w:lineRule="auto" w:before="9"/>
        <w:ind w:left="282" w:right="91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Antibacterials: </w:t>
      </w:r>
      <w:r>
        <w:rPr>
          <w:color w:val="231F1F"/>
          <w:w w:val="105"/>
        </w:rPr>
        <w:t>tripotassium dicitratobismuthate reduces absorption of </w:t>
      </w:r>
      <w:r>
        <w:rPr>
          <w:rFonts w:ascii="Calibri" w:hAnsi="Calibri"/>
          <w:color w:val="008356"/>
          <w:w w:val="105"/>
          <w:sz w:val="11"/>
        </w:rPr>
        <w:t>TETRACYCLINES</w:t>
      </w:r>
    </w:p>
    <w:p>
      <w:pPr>
        <w:pStyle w:val="BodyText"/>
        <w:spacing w:line="256" w:lineRule="auto" w:before="10"/>
        <w:ind w:left="182" w:right="1968"/>
      </w:pPr>
      <w:r>
        <w:rPr>
          <w:rFonts w:ascii="Trebuchet MS"/>
          <w:color w:val="008356"/>
          <w:w w:val="110"/>
        </w:rPr>
        <w:t>Tropicamide </w:t>
      </w:r>
      <w:r>
        <w:rPr>
          <w:i/>
          <w:color w:val="231F1F"/>
          <w:w w:val="110"/>
        </w:rPr>
        <w:t>see </w:t>
      </w:r>
      <w:r>
        <w:rPr>
          <w:color w:val="231F1F"/>
          <w:w w:val="110"/>
        </w:rPr>
        <w:t>Antimuscarinics </w:t>
      </w:r>
      <w:r>
        <w:rPr>
          <w:rFonts w:ascii="Trebuchet MS"/>
          <w:color w:val="008356"/>
          <w:w w:val="110"/>
        </w:rPr>
        <w:t>Trospium </w:t>
      </w:r>
      <w:r>
        <w:rPr>
          <w:i/>
          <w:color w:val="231F1F"/>
          <w:w w:val="110"/>
        </w:rPr>
        <w:t>see </w:t>
      </w:r>
      <w:r>
        <w:rPr>
          <w:color w:val="231F1F"/>
          <w:w w:val="110"/>
        </w:rPr>
        <w:t>Antimuscarinics </w:t>
      </w:r>
      <w:r>
        <w:rPr>
          <w:rFonts w:ascii="Trebuchet MS"/>
          <w:color w:val="008356"/>
          <w:w w:val="105"/>
        </w:rPr>
        <w:t>Typhoid Vaccine (oral) </w:t>
      </w:r>
      <w:r>
        <w:rPr>
          <w:i/>
          <w:color w:val="231F1F"/>
          <w:w w:val="105"/>
        </w:rPr>
        <w:t>see </w:t>
      </w:r>
      <w:r>
        <w:rPr>
          <w:color w:val="231F1F"/>
          <w:w w:val="105"/>
        </w:rPr>
        <w:t>Vaccines</w:t>
      </w:r>
    </w:p>
    <w:p>
      <w:pPr>
        <w:pStyle w:val="BodyText"/>
        <w:ind w:left="182"/>
      </w:pPr>
      <w:r>
        <w:rPr>
          <w:rFonts w:ascii="Trebuchet MS"/>
          <w:color w:val="008356"/>
        </w:rPr>
        <w:t>Typhoid Vaccine (parenteral) </w:t>
      </w:r>
      <w:r>
        <w:rPr>
          <w:i/>
          <w:color w:val="231F1F"/>
        </w:rPr>
        <w:t>see </w:t>
      </w:r>
      <w:r>
        <w:rPr>
          <w:color w:val="231F1F"/>
        </w:rPr>
        <w:t>Vaccines</w:t>
      </w:r>
    </w:p>
    <w:p>
      <w:pPr>
        <w:pStyle w:val="BodyText"/>
        <w:spacing w:before="10"/>
        <w:ind w:left="182"/>
        <w:rPr>
          <w:rFonts w:ascii="Trebuchet MS"/>
        </w:rPr>
      </w:pPr>
      <w:r>
        <w:rPr>
          <w:rFonts w:ascii="Trebuchet MS"/>
          <w:color w:val="008356"/>
        </w:rPr>
        <w:t>Ubidecarenone</w:t>
      </w:r>
    </w:p>
    <w:p>
      <w:pPr>
        <w:pStyle w:val="BodyText"/>
        <w:spacing w:line="220" w:lineRule="auto" w:before="10"/>
        <w:ind w:left="282" w:right="103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Anticoagulants: </w:t>
      </w:r>
      <w:r>
        <w:rPr>
          <w:color w:val="231F1F"/>
          <w:w w:val="110"/>
        </w:rPr>
        <w:t>ubidecarenone may enhance or reduce anticoagulant effect of </w:t>
      </w:r>
      <w:r>
        <w:rPr>
          <w:rFonts w:ascii="Calibri" w:hAnsi="Calibri"/>
          <w:color w:val="008356"/>
          <w:w w:val="110"/>
          <w:sz w:val="11"/>
        </w:rPr>
        <w:t>WARFARIN</w:t>
      </w:r>
    </w:p>
    <w:p>
      <w:pPr>
        <w:pStyle w:val="BodyText"/>
        <w:spacing w:line="244" w:lineRule="auto" w:before="9"/>
        <w:ind w:left="282" w:right="863" w:hanging="100"/>
      </w:pPr>
      <w:r>
        <w:rPr>
          <w:rFonts w:ascii="Trebuchet MS"/>
          <w:color w:val="008356"/>
          <w:w w:val="110"/>
        </w:rPr>
        <w:t>Ulcer-healing Drugs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 Proton </w:t>
      </w:r>
      <w:r>
        <w:rPr>
          <w:color w:val="231F1F"/>
          <w:w w:val="115"/>
          <w:vertAlign w:val="baseline"/>
        </w:rPr>
        <w:t>Pump Inhibitors, Sucralfate, and Tripotassium Dicitratobismuthate</w:t>
      </w:r>
    </w:p>
    <w:p>
      <w:pPr>
        <w:pStyle w:val="BodyText"/>
        <w:spacing w:before="8"/>
        <w:ind w:left="182"/>
        <w:rPr>
          <w:rFonts w:ascii="Trebuchet MS"/>
        </w:rPr>
      </w:pPr>
      <w:r>
        <w:rPr>
          <w:rFonts w:ascii="Trebuchet MS"/>
          <w:color w:val="008356"/>
        </w:rPr>
        <w:t>Ulipristal</w:t>
      </w:r>
    </w:p>
    <w:p>
      <w:pPr>
        <w:spacing w:line="242" w:lineRule="auto" w:before="1"/>
        <w:ind w:left="282" w:right="731" w:hanging="100"/>
        <w:jc w:val="left"/>
        <w:rPr>
          <w:sz w:val="12"/>
        </w:rPr>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sz w:val="12"/>
        </w:rPr>
        <w:t>Antibacterials:</w:t>
      </w:r>
      <w:r>
        <w:rPr>
          <w:rFonts w:ascii="Calibri" w:hAnsi="Calibri"/>
          <w:color w:val="231F1F"/>
          <w:spacing w:val="-13"/>
          <w:w w:val="115"/>
          <w:sz w:val="12"/>
        </w:rPr>
        <w:t> </w:t>
      </w:r>
      <w:r>
        <w:rPr>
          <w:color w:val="231F1F"/>
          <w:w w:val="115"/>
          <w:sz w:val="12"/>
        </w:rPr>
        <w:t>manufacturer</w:t>
      </w:r>
      <w:r>
        <w:rPr>
          <w:color w:val="231F1F"/>
          <w:spacing w:val="-16"/>
          <w:w w:val="115"/>
          <w:sz w:val="12"/>
        </w:rPr>
        <w:t> </w:t>
      </w:r>
      <w:r>
        <w:rPr>
          <w:color w:val="231F1F"/>
          <w:w w:val="115"/>
          <w:sz w:val="12"/>
        </w:rPr>
        <w:t>of</w:t>
      </w:r>
      <w:r>
        <w:rPr>
          <w:color w:val="231F1F"/>
          <w:spacing w:val="-16"/>
          <w:w w:val="115"/>
          <w:sz w:val="12"/>
        </w:rPr>
        <w:t> </w:t>
      </w:r>
      <w:r>
        <w:rPr>
          <w:i/>
          <w:color w:val="231F1F"/>
          <w:w w:val="115"/>
          <w:sz w:val="12"/>
        </w:rPr>
        <w:t>low-dose</w:t>
      </w:r>
      <w:r>
        <w:rPr>
          <w:i/>
          <w:color w:val="231F1F"/>
          <w:spacing w:val="-16"/>
          <w:w w:val="115"/>
          <w:sz w:val="12"/>
        </w:rPr>
        <w:t> </w:t>
      </w:r>
      <w:r>
        <w:rPr>
          <w:color w:val="231F1F"/>
          <w:w w:val="115"/>
          <w:sz w:val="12"/>
        </w:rPr>
        <w:t>ulipristal</w:t>
      </w:r>
      <w:r>
        <w:rPr>
          <w:color w:val="231F1F"/>
          <w:spacing w:val="-16"/>
          <w:w w:val="115"/>
          <w:sz w:val="12"/>
        </w:rPr>
        <w:t> </w:t>
      </w:r>
      <w:r>
        <w:rPr>
          <w:color w:val="231F1F"/>
          <w:w w:val="115"/>
          <w:sz w:val="12"/>
        </w:rPr>
        <w:t>advises avoid concomitant use with </w:t>
      </w:r>
      <w:r>
        <w:rPr>
          <w:rFonts w:ascii="Calibri" w:hAnsi="Calibri"/>
          <w:color w:val="008356"/>
          <w:spacing w:val="4"/>
          <w:w w:val="115"/>
          <w:sz w:val="11"/>
        </w:rPr>
        <w:t>CLARITHROMYCIN </w:t>
      </w:r>
      <w:r>
        <w:rPr>
          <w:color w:val="231F1F"/>
          <w:w w:val="115"/>
          <w:sz w:val="12"/>
        </w:rPr>
        <w:t>and </w:t>
      </w:r>
      <w:r>
        <w:rPr>
          <w:rFonts w:ascii="Calibri" w:hAnsi="Calibri"/>
          <w:color w:val="008356"/>
          <w:spacing w:val="4"/>
          <w:w w:val="110"/>
          <w:sz w:val="11"/>
        </w:rPr>
        <w:t>TELITHROMYCIN</w:t>
      </w:r>
      <w:r>
        <w:rPr>
          <w:color w:val="231F1F"/>
          <w:spacing w:val="4"/>
          <w:w w:val="110"/>
          <w:sz w:val="12"/>
        </w:rPr>
        <w:t>;</w:t>
      </w:r>
      <w:r>
        <w:rPr>
          <w:color w:val="231F1F"/>
          <w:spacing w:val="-24"/>
          <w:w w:val="110"/>
          <w:sz w:val="12"/>
        </w:rPr>
        <w:t> </w:t>
      </w:r>
      <w:r>
        <w:rPr>
          <w:color w:val="231F1F"/>
          <w:w w:val="110"/>
          <w:sz w:val="12"/>
        </w:rPr>
        <w:t>plasma concentration of </w:t>
      </w:r>
      <w:r>
        <w:rPr>
          <w:i/>
          <w:color w:val="231F1F"/>
          <w:w w:val="110"/>
          <w:sz w:val="12"/>
        </w:rPr>
        <w:t>low-dose </w:t>
      </w:r>
      <w:r>
        <w:rPr>
          <w:color w:val="231F1F"/>
          <w:w w:val="110"/>
          <w:sz w:val="12"/>
        </w:rPr>
        <w:t>ulipristal </w:t>
      </w:r>
      <w:r>
        <w:rPr>
          <w:color w:val="231F1F"/>
          <w:w w:val="115"/>
          <w:sz w:val="12"/>
        </w:rPr>
        <w:t>increased by </w:t>
      </w:r>
      <w:r>
        <w:rPr>
          <w:rFonts w:ascii="Calibri" w:hAnsi="Calibri"/>
          <w:color w:val="008356"/>
          <w:spacing w:val="2"/>
          <w:w w:val="115"/>
          <w:sz w:val="11"/>
        </w:rPr>
        <w:t>ERYTHROMYCIN</w:t>
      </w:r>
      <w:r>
        <w:rPr>
          <w:rFonts w:ascii="Arial" w:hAnsi="Arial"/>
          <w:color w:val="231F1F"/>
          <w:spacing w:val="2"/>
          <w:w w:val="115"/>
          <w:sz w:val="12"/>
        </w:rPr>
        <w:t>—</w:t>
      </w:r>
      <w:r>
        <w:rPr>
          <w:color w:val="231F1F"/>
          <w:spacing w:val="2"/>
          <w:w w:val="115"/>
          <w:sz w:val="12"/>
        </w:rPr>
        <w:t>manufacturer </w:t>
      </w:r>
      <w:r>
        <w:rPr>
          <w:color w:val="231F1F"/>
          <w:w w:val="115"/>
          <w:sz w:val="12"/>
        </w:rPr>
        <w:t>of </w:t>
      </w:r>
      <w:r>
        <w:rPr>
          <w:i/>
          <w:color w:val="231F1F"/>
          <w:w w:val="115"/>
          <w:sz w:val="12"/>
        </w:rPr>
        <w:t>low-dose </w:t>
      </w:r>
      <w:r>
        <w:rPr>
          <w:color w:val="231F1F"/>
          <w:w w:val="115"/>
          <w:sz w:val="12"/>
        </w:rPr>
        <w:t>ulipristal advises avoid concomitant use; manufacturer of ulipristal</w:t>
      </w:r>
      <w:r>
        <w:rPr>
          <w:color w:val="231F1F"/>
          <w:spacing w:val="-15"/>
          <w:w w:val="115"/>
          <w:sz w:val="12"/>
        </w:rPr>
        <w:t> </w:t>
      </w:r>
      <w:r>
        <w:rPr>
          <w:color w:val="231F1F"/>
          <w:w w:val="115"/>
          <w:sz w:val="12"/>
        </w:rPr>
        <w:t>advises</w:t>
      </w:r>
      <w:r>
        <w:rPr>
          <w:color w:val="231F1F"/>
          <w:spacing w:val="-15"/>
          <w:w w:val="115"/>
          <w:sz w:val="12"/>
        </w:rPr>
        <w:t> </w:t>
      </w:r>
      <w:r>
        <w:rPr>
          <w:color w:val="231F1F"/>
          <w:w w:val="115"/>
          <w:sz w:val="12"/>
        </w:rPr>
        <w:t>avoid</w:t>
      </w:r>
      <w:r>
        <w:rPr>
          <w:color w:val="231F1F"/>
          <w:spacing w:val="-15"/>
          <w:w w:val="115"/>
          <w:sz w:val="12"/>
        </w:rPr>
        <w:t> </w:t>
      </w:r>
      <w:r>
        <w:rPr>
          <w:color w:val="231F1F"/>
          <w:w w:val="115"/>
          <w:sz w:val="12"/>
        </w:rPr>
        <w:t>concomitant</w:t>
      </w:r>
      <w:r>
        <w:rPr>
          <w:color w:val="231F1F"/>
          <w:spacing w:val="-15"/>
          <w:w w:val="115"/>
          <w:sz w:val="12"/>
        </w:rPr>
        <w:t> </w:t>
      </w:r>
      <w:r>
        <w:rPr>
          <w:color w:val="231F1F"/>
          <w:w w:val="115"/>
          <w:sz w:val="12"/>
        </w:rPr>
        <w:t>use</w:t>
      </w:r>
      <w:r>
        <w:rPr>
          <w:color w:val="231F1F"/>
          <w:spacing w:val="-14"/>
          <w:w w:val="115"/>
          <w:sz w:val="12"/>
        </w:rPr>
        <w:t> </w:t>
      </w:r>
      <w:r>
        <w:rPr>
          <w:color w:val="231F1F"/>
          <w:w w:val="115"/>
          <w:sz w:val="12"/>
        </w:rPr>
        <w:t>with</w:t>
      </w:r>
      <w:r>
        <w:rPr>
          <w:color w:val="231F1F"/>
          <w:spacing w:val="-15"/>
          <w:w w:val="11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008356"/>
          <w:spacing w:val="4"/>
          <w:w w:val="115"/>
          <w:sz w:val="11"/>
        </w:rPr>
        <w:t>RIFAMPICIN </w:t>
      </w:r>
      <w:r>
        <w:rPr>
          <w:color w:val="231F1F"/>
          <w:w w:val="115"/>
          <w:sz w:val="12"/>
        </w:rPr>
        <w:t>(contraceptive</w:t>
      </w:r>
      <w:r>
        <w:rPr>
          <w:color w:val="231F1F"/>
          <w:spacing w:val="-7"/>
          <w:w w:val="115"/>
          <w:sz w:val="12"/>
        </w:rPr>
        <w:t> </w:t>
      </w:r>
      <w:r>
        <w:rPr>
          <w:color w:val="231F1F"/>
          <w:w w:val="115"/>
          <w:sz w:val="12"/>
        </w:rPr>
        <w:t>effect</w:t>
      </w:r>
      <w:r>
        <w:rPr>
          <w:color w:val="231F1F"/>
          <w:spacing w:val="-6"/>
          <w:w w:val="115"/>
          <w:sz w:val="12"/>
        </w:rPr>
        <w:t> </w:t>
      </w:r>
      <w:r>
        <w:rPr>
          <w:color w:val="231F1F"/>
          <w:w w:val="115"/>
          <w:sz w:val="12"/>
        </w:rPr>
        <w:t>of</w:t>
      </w:r>
      <w:r>
        <w:rPr>
          <w:color w:val="231F1F"/>
          <w:spacing w:val="-5"/>
          <w:w w:val="115"/>
          <w:sz w:val="12"/>
        </w:rPr>
        <w:t> </w:t>
      </w:r>
      <w:r>
        <w:rPr>
          <w:color w:val="231F1F"/>
          <w:w w:val="115"/>
          <w:sz w:val="12"/>
        </w:rPr>
        <w:t>ulipristal</w:t>
      </w:r>
      <w:r>
        <w:rPr>
          <w:color w:val="231F1F"/>
          <w:spacing w:val="-6"/>
          <w:w w:val="115"/>
          <w:sz w:val="12"/>
        </w:rPr>
        <w:t> </w:t>
      </w:r>
      <w:r>
        <w:rPr>
          <w:color w:val="231F1F"/>
          <w:w w:val="115"/>
          <w:sz w:val="12"/>
        </w:rPr>
        <w:t>possibly</w:t>
      </w:r>
      <w:r>
        <w:rPr>
          <w:color w:val="231F1F"/>
          <w:spacing w:val="-6"/>
          <w:w w:val="115"/>
          <w:sz w:val="12"/>
        </w:rPr>
        <w:t> </w:t>
      </w:r>
      <w:r>
        <w:rPr>
          <w:color w:val="231F1F"/>
          <w:w w:val="115"/>
          <w:sz w:val="12"/>
        </w:rPr>
        <w:t>reduced)</w:t>
      </w:r>
    </w:p>
    <w:p>
      <w:pPr>
        <w:pStyle w:val="BodyText"/>
        <w:spacing w:line="152" w:lineRule="exact" w:before="3"/>
        <w:ind w:left="182"/>
      </w:pPr>
      <w:r>
        <w:rPr>
          <w:rFonts w:ascii="Lucida Sans Unicode" w:hAnsi="Lucida Sans Unicode"/>
          <w:color w:val="A7A8AC"/>
          <w:w w:val="95"/>
          <w:sz w:val="10"/>
        </w:rPr>
        <w:t>▶   </w:t>
      </w:r>
      <w:r>
        <w:rPr>
          <w:rFonts w:ascii="Calibri" w:hAnsi="Calibri"/>
          <w:color w:val="231F1F"/>
          <w:w w:val="105"/>
        </w:rPr>
        <w:t>Anticoagulants:  </w:t>
      </w:r>
      <w:r>
        <w:rPr>
          <w:color w:val="231F1F"/>
          <w:w w:val="105"/>
        </w:rPr>
        <w:t>manufacturer of  ulipristal advises</w:t>
      </w:r>
      <w:r>
        <w:rPr>
          <w:color w:val="231F1F"/>
          <w:spacing w:val="-5"/>
          <w:w w:val="105"/>
        </w:rPr>
        <w:t> </w:t>
      </w:r>
      <w:r>
        <w:rPr>
          <w:color w:val="231F1F"/>
          <w:w w:val="105"/>
        </w:rPr>
        <w:t>give</w:t>
      </w:r>
    </w:p>
    <w:p>
      <w:pPr>
        <w:pStyle w:val="BodyText"/>
        <w:spacing w:line="134" w:lineRule="exact"/>
        <w:ind w:left="282"/>
      </w:pPr>
      <w:r>
        <w:rPr>
          <w:rFonts w:ascii="Calibri"/>
          <w:color w:val="008356"/>
          <w:spacing w:val="4"/>
          <w:w w:val="115"/>
          <w:sz w:val="11"/>
        </w:rPr>
        <w:t>DABIGATRAN</w:t>
      </w:r>
      <w:r>
        <w:rPr>
          <w:rFonts w:ascii="Calibri"/>
          <w:color w:val="008356"/>
          <w:spacing w:val="-7"/>
          <w:w w:val="115"/>
          <w:sz w:val="11"/>
        </w:rPr>
        <w:t> </w:t>
      </w:r>
      <w:r>
        <w:rPr>
          <w:color w:val="231F1F"/>
          <w:w w:val="115"/>
        </w:rPr>
        <w:t>at</w:t>
      </w:r>
      <w:r>
        <w:rPr>
          <w:color w:val="231F1F"/>
          <w:spacing w:val="-16"/>
          <w:w w:val="115"/>
        </w:rPr>
        <w:t> </w:t>
      </w:r>
      <w:r>
        <w:rPr>
          <w:color w:val="231F1F"/>
          <w:w w:val="115"/>
        </w:rPr>
        <w:t>least</w:t>
      </w:r>
      <w:r>
        <w:rPr>
          <w:color w:val="231F1F"/>
          <w:spacing w:val="-16"/>
          <w:w w:val="115"/>
        </w:rPr>
        <w:t> </w:t>
      </w:r>
      <w:r>
        <w:rPr>
          <w:color w:val="231F1F"/>
          <w:w w:val="115"/>
        </w:rPr>
        <w:t>1.5</w:t>
      </w:r>
      <w:r>
        <w:rPr>
          <w:color w:val="231F1F"/>
          <w:spacing w:val="-16"/>
          <w:w w:val="115"/>
        </w:rPr>
        <w:t> </w:t>
      </w:r>
      <w:r>
        <w:rPr>
          <w:color w:val="231F1F"/>
          <w:w w:val="115"/>
        </w:rPr>
        <w:t>hours</w:t>
      </w:r>
      <w:r>
        <w:rPr>
          <w:color w:val="231F1F"/>
          <w:spacing w:val="-16"/>
          <w:w w:val="115"/>
        </w:rPr>
        <w:t> </w:t>
      </w:r>
      <w:r>
        <w:rPr>
          <w:color w:val="231F1F"/>
          <w:w w:val="115"/>
        </w:rPr>
        <w:t>before</w:t>
      </w:r>
      <w:r>
        <w:rPr>
          <w:color w:val="231F1F"/>
          <w:spacing w:val="-16"/>
          <w:w w:val="115"/>
        </w:rPr>
        <w:t> </w:t>
      </w:r>
      <w:r>
        <w:rPr>
          <w:color w:val="231F1F"/>
          <w:w w:val="115"/>
        </w:rPr>
        <w:t>or</w:t>
      </w:r>
      <w:r>
        <w:rPr>
          <w:color w:val="231F1F"/>
          <w:spacing w:val="-16"/>
          <w:w w:val="115"/>
        </w:rPr>
        <w:t> </w:t>
      </w:r>
      <w:r>
        <w:rPr>
          <w:color w:val="231F1F"/>
          <w:w w:val="115"/>
        </w:rPr>
        <w:t>after</w:t>
      </w:r>
      <w:r>
        <w:rPr>
          <w:color w:val="231F1F"/>
          <w:spacing w:val="-16"/>
          <w:w w:val="115"/>
        </w:rPr>
        <w:t> </w:t>
      </w:r>
      <w:r>
        <w:rPr>
          <w:color w:val="231F1F"/>
          <w:w w:val="115"/>
        </w:rPr>
        <w:t>ulipristal</w:t>
      </w:r>
    </w:p>
    <w:p>
      <w:pPr>
        <w:pStyle w:val="BodyText"/>
        <w:ind w:left="282" w:right="689" w:hanging="100"/>
      </w:pPr>
      <w:r>
        <w:rPr>
          <w:rFonts w:ascii="Arial" w:hAnsi="Arial"/>
          <w:color w:val="231F1F"/>
          <w:w w:val="355"/>
          <w:position w:val="1"/>
          <w:sz w:val="7"/>
        </w:rPr>
        <w:t>l </w:t>
      </w:r>
      <w:r>
        <w:rPr>
          <w:rFonts w:ascii="Calibri" w:hAnsi="Calibri"/>
          <w:color w:val="231F1F"/>
          <w:w w:val="110"/>
        </w:rPr>
        <w:t>Antidepressants: </w:t>
      </w:r>
      <w:r>
        <w:rPr>
          <w:color w:val="231F1F"/>
          <w:w w:val="110"/>
        </w:rPr>
        <w:t>manufacturer of ulipristal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(contraceptive effect of ulipristal possibly reduced)</w:t>
      </w:r>
    </w:p>
    <w:p>
      <w:pPr>
        <w:spacing w:before="1"/>
        <w:ind w:left="282" w:right="854" w:hanging="100"/>
        <w:jc w:val="left"/>
        <w:rPr>
          <w:rFonts w:ascii="Calibri"/>
          <w:sz w:val="11"/>
        </w:rPr>
      </w:pPr>
      <w:r>
        <w:rPr>
          <w:rFonts w:ascii="Arial"/>
          <w:color w:val="231F1F"/>
          <w:w w:val="355"/>
          <w:position w:val="1"/>
          <w:sz w:val="7"/>
        </w:rPr>
        <w:t>l </w:t>
      </w:r>
      <w:r>
        <w:rPr>
          <w:rFonts w:ascii="Calibri"/>
          <w:color w:val="231F1F"/>
          <w:w w:val="110"/>
          <w:sz w:val="12"/>
        </w:rPr>
        <w:t>Antiepileptics: </w:t>
      </w:r>
      <w:r>
        <w:rPr>
          <w:color w:val="231F1F"/>
          <w:w w:val="110"/>
          <w:sz w:val="12"/>
        </w:rPr>
        <w:t>manufacturer of ulipristal advises avoid concomitant</w:t>
      </w:r>
      <w:r>
        <w:rPr>
          <w:color w:val="231F1F"/>
          <w:spacing w:val="-17"/>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0"/>
          <w:sz w:val="11"/>
        </w:rPr>
        <w:t>PHENOBARBITAL</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PHENYTOIN</w:t>
      </w:r>
      <w:r>
        <w:rPr>
          <w:rFonts w:ascii="Calibri"/>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Calibri"/>
          <w:color w:val="008356"/>
          <w:spacing w:val="5"/>
          <w:w w:val="110"/>
          <w:sz w:val="11"/>
        </w:rPr>
        <w:t>PRIMIDONE</w:t>
      </w:r>
    </w:p>
    <w:p>
      <w:pPr>
        <w:pStyle w:val="BodyText"/>
        <w:spacing w:before="4"/>
        <w:ind w:left="282"/>
      </w:pPr>
      <w:r>
        <w:rPr>
          <w:color w:val="231F1F"/>
          <w:w w:val="115"/>
        </w:rPr>
        <w:t>(contraceptive effect of ulipristal possibly reduced)</w:t>
      </w:r>
    </w:p>
    <w:p>
      <w:pPr>
        <w:pStyle w:val="BodyText"/>
        <w:spacing w:line="237" w:lineRule="auto" w:before="2"/>
        <w:ind w:left="282" w:right="7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w:t>
      </w:r>
      <w:r>
        <w:rPr>
          <w:i/>
          <w:color w:val="231F1F"/>
          <w:w w:val="110"/>
        </w:rPr>
        <w:t>low-dose </w:t>
      </w:r>
      <w:r>
        <w:rPr>
          <w:color w:val="231F1F"/>
          <w:w w:val="110"/>
        </w:rPr>
        <w:t>ulipristal increased by </w:t>
      </w:r>
      <w:r>
        <w:rPr>
          <w:rFonts w:ascii="Calibri" w:hAnsi="Calibri"/>
          <w:color w:val="008356"/>
          <w:w w:val="110"/>
          <w:sz w:val="11"/>
        </w:rPr>
        <w:t>KETOCONAZOLE</w:t>
      </w:r>
      <w:r>
        <w:rPr>
          <w:rFonts w:ascii="Arial" w:hAnsi="Arial"/>
          <w:color w:val="231F1F"/>
          <w:w w:val="110"/>
        </w:rPr>
        <w:t>—</w:t>
      </w:r>
      <w:r>
        <w:rPr>
          <w:color w:val="231F1F"/>
          <w:w w:val="110"/>
        </w:rPr>
        <w:t>manufacturer of </w:t>
      </w:r>
      <w:r>
        <w:rPr>
          <w:i/>
          <w:color w:val="231F1F"/>
          <w:w w:val="110"/>
        </w:rPr>
        <w:t>low-dose </w:t>
      </w:r>
      <w:r>
        <w:rPr>
          <w:color w:val="231F1F"/>
          <w:w w:val="110"/>
        </w:rPr>
        <w:t>ulipristal advises avoid concomitant use; manufacturer of ulipristal advises avoid concomitant use with </w:t>
      </w:r>
      <w:r>
        <w:rPr>
          <w:rFonts w:ascii="Calibri" w:hAnsi="Calibri"/>
          <w:color w:val="008356"/>
          <w:w w:val="110"/>
          <w:sz w:val="11"/>
        </w:rPr>
        <w:t>ITRACONAZOLE</w:t>
      </w:r>
    </w:p>
    <w:p>
      <w:pPr>
        <w:pStyle w:val="BodyText"/>
        <w:spacing w:line="148" w:lineRule="exact"/>
        <w:ind w:left="182"/>
      </w:pPr>
      <w:r>
        <w:rPr>
          <w:rFonts w:ascii="Lucida Sans Unicode" w:hAnsi="Lucida Sans Unicode"/>
          <w:color w:val="A7A8AC"/>
          <w:w w:val="95"/>
          <w:sz w:val="10"/>
        </w:rPr>
        <w:t>▶ </w:t>
      </w:r>
      <w:r>
        <w:rPr>
          <w:rFonts w:ascii="Calibri" w:hAnsi="Calibri"/>
          <w:color w:val="231F1F"/>
          <w:w w:val="105"/>
        </w:rPr>
        <w:t>Antihistamines: </w:t>
      </w:r>
      <w:r>
        <w:rPr>
          <w:color w:val="231F1F"/>
          <w:w w:val="105"/>
        </w:rPr>
        <w:t>manufacturer of ulipristal advises give</w:t>
      </w:r>
    </w:p>
    <w:p>
      <w:pPr>
        <w:spacing w:line="134" w:lineRule="exact" w:before="0"/>
        <w:ind w:left="282" w:right="0" w:firstLine="0"/>
        <w:jc w:val="left"/>
        <w:rPr>
          <w:sz w:val="12"/>
        </w:rPr>
      </w:pPr>
      <w:r>
        <w:rPr>
          <w:rFonts w:ascii="Calibri"/>
          <w:color w:val="008356"/>
          <w:w w:val="115"/>
          <w:sz w:val="11"/>
        </w:rPr>
        <w:t>FEXOFENADINE </w:t>
      </w:r>
      <w:r>
        <w:rPr>
          <w:color w:val="231F1F"/>
          <w:w w:val="115"/>
          <w:sz w:val="12"/>
        </w:rPr>
        <w:t>at least 1.5 hours before or after ulipristal</w:t>
      </w:r>
    </w:p>
    <w:p>
      <w:pPr>
        <w:pStyle w:val="BodyText"/>
        <w:ind w:left="282" w:right="720" w:hanging="100"/>
      </w:pPr>
      <w:r>
        <w:rPr>
          <w:rFonts w:ascii="Arial"/>
          <w:color w:val="231F1F"/>
          <w:w w:val="355"/>
          <w:position w:val="1"/>
          <w:sz w:val="7"/>
        </w:rPr>
        <w:t>l </w:t>
      </w:r>
      <w:r>
        <w:rPr>
          <w:rFonts w:ascii="Calibri"/>
          <w:color w:val="231F1F"/>
          <w:w w:val="110"/>
        </w:rPr>
        <w:t>Antivirals: </w:t>
      </w:r>
      <w:r>
        <w:rPr>
          <w:color w:val="231F1F"/>
          <w:w w:val="110"/>
        </w:rPr>
        <w:t>manufacturer of ulipristal advises avoid concomitant use with </w:t>
      </w:r>
      <w:r>
        <w:rPr>
          <w:rFonts w:ascii="Arial"/>
          <w:color w:val="231F1F"/>
          <w:w w:val="355"/>
          <w:position w:val="1"/>
          <w:sz w:val="7"/>
        </w:rPr>
        <w:t>l </w:t>
      </w:r>
      <w:r>
        <w:rPr>
          <w:rFonts w:ascii="Calibri"/>
          <w:color w:val="008356"/>
          <w:w w:val="110"/>
          <w:sz w:val="11"/>
        </w:rPr>
        <w:t>RITONAVIR </w:t>
      </w:r>
      <w:r>
        <w:rPr>
          <w:color w:val="231F1F"/>
          <w:w w:val="110"/>
        </w:rPr>
        <w:t>(contraceptive effect of ulipristal possibly reduced)</w:t>
      </w:r>
    </w:p>
    <w:p>
      <w:pPr>
        <w:pStyle w:val="BodyText"/>
        <w:spacing w:line="220" w:lineRule="auto" w:before="11"/>
        <w:ind w:left="282" w:right="720"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manufacturer of </w:t>
      </w:r>
      <w:r>
        <w:rPr>
          <w:i/>
          <w:color w:val="231F1F"/>
          <w:w w:val="105"/>
        </w:rPr>
        <w:t>low-dose </w:t>
      </w:r>
      <w:r>
        <w:rPr>
          <w:color w:val="231F1F"/>
          <w:w w:val="105"/>
        </w:rPr>
        <w:t>ulipristal advises avoid concomitant use with </w:t>
      </w:r>
      <w:r>
        <w:rPr>
          <w:rFonts w:ascii="Calibri" w:hAnsi="Calibri"/>
          <w:color w:val="008356"/>
          <w:w w:val="105"/>
          <w:sz w:val="11"/>
        </w:rPr>
        <w:t>VERAPAMIL</w:t>
      </w:r>
    </w:p>
    <w:p>
      <w:pPr>
        <w:pStyle w:val="BodyText"/>
        <w:spacing w:line="152" w:lineRule="exact"/>
        <w:ind w:left="182"/>
      </w:pPr>
      <w:r>
        <w:rPr>
          <w:rFonts w:ascii="Lucida Sans Unicode" w:hAnsi="Lucida Sans Unicode"/>
          <w:color w:val="A7A8AC"/>
          <w:w w:val="95"/>
          <w:sz w:val="10"/>
        </w:rPr>
        <w:t>▶ </w:t>
      </w:r>
      <w:r>
        <w:rPr>
          <w:rFonts w:ascii="Calibri" w:hAnsi="Calibri"/>
          <w:color w:val="231F1F"/>
          <w:w w:val="105"/>
        </w:rPr>
        <w:t>Cardiac Glycosides: </w:t>
      </w:r>
      <w:r>
        <w:rPr>
          <w:color w:val="231F1F"/>
          <w:w w:val="105"/>
        </w:rPr>
        <w:t>manufacturer of ulipristal advises give</w:t>
      </w:r>
    </w:p>
    <w:p>
      <w:pPr>
        <w:pStyle w:val="BodyText"/>
        <w:spacing w:line="135" w:lineRule="exact"/>
        <w:ind w:left="282"/>
      </w:pPr>
      <w:r>
        <w:rPr>
          <w:rFonts w:ascii="Calibri"/>
          <w:color w:val="008356"/>
          <w:w w:val="115"/>
          <w:sz w:val="11"/>
        </w:rPr>
        <w:t>DIGOXIN </w:t>
      </w:r>
      <w:r>
        <w:rPr>
          <w:color w:val="231F1F"/>
          <w:w w:val="115"/>
        </w:rPr>
        <w:t>at least 1.5 hours before or after ulipristal</w:t>
      </w:r>
    </w:p>
    <w:p>
      <w:pPr>
        <w:spacing w:line="220" w:lineRule="auto" w:before="7"/>
        <w:ind w:left="282" w:right="72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Grapefruit Juice: </w:t>
      </w:r>
      <w:r>
        <w:rPr>
          <w:color w:val="231F1F"/>
          <w:w w:val="105"/>
          <w:sz w:val="12"/>
        </w:rPr>
        <w:t>manufacturer of </w:t>
      </w:r>
      <w:r>
        <w:rPr>
          <w:i/>
          <w:color w:val="231F1F"/>
          <w:w w:val="105"/>
          <w:sz w:val="12"/>
        </w:rPr>
        <w:t>low-dose </w:t>
      </w:r>
      <w:r>
        <w:rPr>
          <w:color w:val="231F1F"/>
          <w:w w:val="105"/>
          <w:sz w:val="12"/>
        </w:rPr>
        <w:t>ulipristal advises avoid concomitant use with </w:t>
      </w:r>
      <w:r>
        <w:rPr>
          <w:rFonts w:ascii="Calibri" w:hAnsi="Calibri"/>
          <w:color w:val="008356"/>
          <w:w w:val="105"/>
          <w:sz w:val="11"/>
        </w:rPr>
        <w:t>GRAPEFRUIT JUICE</w:t>
      </w:r>
    </w:p>
    <w:p>
      <w:pPr>
        <w:pStyle w:val="BodyText"/>
        <w:ind w:left="282" w:right="594" w:hanging="100"/>
        <w:rPr>
          <w:rFonts w:ascii="Calibri"/>
          <w:sz w:val="11"/>
        </w:rPr>
      </w:pPr>
      <w:r>
        <w:rPr>
          <w:rFonts w:ascii="Arial"/>
          <w:color w:val="231F1F"/>
          <w:w w:val="355"/>
          <w:position w:val="1"/>
          <w:sz w:val="7"/>
        </w:rPr>
        <w:t>l </w:t>
      </w:r>
      <w:r>
        <w:rPr>
          <w:rFonts w:ascii="Calibri"/>
          <w:color w:val="231F1F"/>
          <w:w w:val="110"/>
        </w:rPr>
        <w:t>Progestogens: </w:t>
      </w:r>
      <w:r>
        <w:rPr>
          <w:color w:val="231F1F"/>
          <w:w w:val="110"/>
        </w:rPr>
        <w:t>ulipristal possibly reduces contraceptive effect of </w:t>
      </w:r>
      <w:r>
        <w:rPr>
          <w:rFonts w:ascii="Arial"/>
          <w:color w:val="231F1F"/>
          <w:w w:val="355"/>
          <w:position w:val="1"/>
          <w:sz w:val="7"/>
        </w:rPr>
        <w:t>l </w:t>
      </w:r>
      <w:r>
        <w:rPr>
          <w:rFonts w:ascii="Calibri"/>
          <w:color w:val="008356"/>
          <w:w w:val="110"/>
          <w:sz w:val="11"/>
        </w:rPr>
        <w:t>PROGESTOGENS</w:t>
      </w:r>
    </w:p>
    <w:p>
      <w:pPr>
        <w:pStyle w:val="BodyText"/>
        <w:spacing w:line="256" w:lineRule="auto" w:before="6"/>
        <w:ind w:left="182" w:right="1968"/>
        <w:rPr>
          <w:rFonts w:ascii="Trebuchet MS"/>
        </w:rPr>
      </w:pPr>
      <w:r>
        <w:rPr>
          <w:rFonts w:ascii="Trebuchet MS"/>
          <w:color w:val="008356"/>
        </w:rPr>
        <w:t>Umeclidinium </w:t>
      </w:r>
      <w:r>
        <w:rPr>
          <w:i/>
          <w:color w:val="231F1F"/>
        </w:rPr>
        <w:t>see </w:t>
      </w:r>
      <w:r>
        <w:rPr>
          <w:color w:val="231F1F"/>
        </w:rPr>
        <w:t>Antimuscarinics </w:t>
      </w:r>
      <w:r>
        <w:rPr>
          <w:rFonts w:ascii="Trebuchet MS"/>
          <w:color w:val="008356"/>
        </w:rPr>
        <w:t>Ursodeoxycholic Acid </w:t>
      </w:r>
      <w:r>
        <w:rPr>
          <w:i/>
          <w:color w:val="231F1F"/>
        </w:rPr>
        <w:t>see </w:t>
      </w:r>
      <w:r>
        <w:rPr>
          <w:color w:val="231F1F"/>
        </w:rPr>
        <w:t>Bile Acids </w:t>
      </w:r>
      <w:r>
        <w:rPr>
          <w:rFonts w:ascii="Trebuchet MS"/>
          <w:color w:val="008356"/>
        </w:rPr>
        <w:t>Ustekinumab</w:t>
      </w:r>
    </w:p>
    <w:p>
      <w:pPr>
        <w:pStyle w:val="BodyText"/>
        <w:spacing w:line="138" w:lineRule="exact"/>
        <w:ind w:left="182"/>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2"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ind w:left="282" w:right="594"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4"/>
        <w:ind w:left="182"/>
        <w:rPr>
          <w:rFonts w:ascii="Trebuchet MS"/>
        </w:rPr>
      </w:pPr>
      <w:r>
        <w:rPr>
          <w:rFonts w:ascii="Trebuchet MS"/>
          <w:color w:val="008356"/>
        </w:rPr>
        <w:t>Vaccines</w:t>
      </w:r>
    </w:p>
    <w:p>
      <w:pPr>
        <w:pStyle w:val="BodyText"/>
        <w:spacing w:before="1"/>
        <w:ind w:left="282" w:right="752" w:hanging="100"/>
      </w:pP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231F1F"/>
          <w:w w:val="115"/>
        </w:rPr>
        <w:t>Abatacept:</w:t>
      </w:r>
      <w:r>
        <w:rPr>
          <w:rFonts w:ascii="Calibri" w:hAnsi="Calibri"/>
          <w:color w:val="231F1F"/>
          <w:spacing w:val="-16"/>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generalised</w:t>
      </w:r>
      <w:r>
        <w:rPr>
          <w:color w:val="231F1F"/>
          <w:spacing w:val="-19"/>
          <w:w w:val="115"/>
        </w:rPr>
        <w:t> </w:t>
      </w:r>
      <w:r>
        <w:rPr>
          <w:color w:val="231F1F"/>
          <w:w w:val="115"/>
        </w:rPr>
        <w:t>infections</w:t>
      </w:r>
      <w:r>
        <w:rPr>
          <w:color w:val="231F1F"/>
          <w:spacing w:val="-19"/>
          <w:w w:val="115"/>
        </w:rPr>
        <w:t> </w:t>
      </w:r>
      <w:r>
        <w:rPr>
          <w:color w:val="231F1F"/>
          <w:w w:val="115"/>
        </w:rPr>
        <w:t>when</w:t>
      </w:r>
      <w:r>
        <w:rPr>
          <w:color w:val="231F1F"/>
          <w:spacing w:val="-18"/>
          <w:w w:val="115"/>
        </w:rPr>
        <w:t> </w:t>
      </w:r>
      <w:r>
        <w:rPr>
          <w:color w:val="231F1F"/>
          <w:w w:val="115"/>
        </w:rPr>
        <w:t>live</w:t>
      </w:r>
      <w:r>
        <w:rPr>
          <w:color w:val="231F1F"/>
          <w:spacing w:val="-19"/>
          <w:w w:val="115"/>
        </w:rPr>
        <w:t> </w:t>
      </w:r>
      <w:r>
        <w:rPr>
          <w:color w:val="231F1F"/>
          <w:w w:val="115"/>
        </w:rPr>
        <w:t>vaccines given</w:t>
      </w:r>
      <w:r>
        <w:rPr>
          <w:color w:val="231F1F"/>
          <w:spacing w:val="-9"/>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2"/>
          <w:w w:val="115"/>
          <w:sz w:val="11"/>
        </w:rPr>
        <w:t>ABATACEPT</w:t>
      </w:r>
      <w:r>
        <w:rPr>
          <w:rFonts w:ascii="Arial" w:hAnsi="Arial"/>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9"/>
          <w:w w:val="115"/>
        </w:rPr>
        <w:t> </w:t>
      </w:r>
      <w:r>
        <w:rPr>
          <w:color w:val="231F1F"/>
          <w:w w:val="115"/>
        </w:rPr>
        <w:t>use</w:t>
      </w:r>
    </w:p>
    <w:p>
      <w:pPr>
        <w:pStyle w:val="BodyText"/>
        <w:spacing w:line="220" w:lineRule="auto" w:before="5"/>
        <w:ind w:left="282" w:right="720"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influenza vaccine possibly increases plasma concentration of </w:t>
      </w:r>
      <w:r>
        <w:rPr>
          <w:rFonts w:ascii="Calibri" w:hAnsi="Calibri"/>
          <w:color w:val="008356"/>
          <w:w w:val="105"/>
          <w:sz w:val="11"/>
        </w:rPr>
        <w:t>AMINOPHYLLINE</w:t>
      </w:r>
    </w:p>
    <w:p>
      <w:pPr>
        <w:spacing w:after="0" w:line="220" w:lineRule="auto"/>
        <w:rPr>
          <w:rFonts w:ascii="Calibri" w:hAnsi="Calibri"/>
          <w:sz w:val="11"/>
        </w:rPr>
        <w:sectPr>
          <w:pgSz w:w="8390" w:h="11910"/>
          <w:pgMar w:header="0" w:footer="0" w:top="460" w:bottom="280" w:left="480" w:right="0"/>
          <w:cols w:num="2" w:equalWidth="0">
            <w:col w:w="3640" w:space="40"/>
            <w:col w:w="4230"/>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Vaccines </w:t>
      </w:r>
      <w:r>
        <w:rPr>
          <w:rFonts w:ascii="Calibri"/>
          <w:color w:val="231F1F"/>
        </w:rPr>
        <w:t>(continued)</w:t>
      </w:r>
    </w:p>
    <w:p>
      <w:pPr>
        <w:pStyle w:val="BodyText"/>
        <w:spacing w:line="237" w:lineRule="auto"/>
        <w:ind w:right="262" w:hanging="100"/>
      </w:pP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231F1F"/>
          <w:w w:val="115"/>
        </w:rPr>
        <w:t>Anakinra:</w:t>
      </w:r>
      <w:r>
        <w:rPr>
          <w:rFonts w:ascii="Calibri" w:hAnsi="Calibri"/>
          <w:color w:val="231F1F"/>
          <w:spacing w:val="-14"/>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generalised</w:t>
      </w:r>
      <w:r>
        <w:rPr>
          <w:color w:val="231F1F"/>
          <w:spacing w:val="-17"/>
          <w:w w:val="115"/>
        </w:rPr>
        <w:t> </w:t>
      </w:r>
      <w:r>
        <w:rPr>
          <w:color w:val="231F1F"/>
          <w:w w:val="115"/>
        </w:rPr>
        <w:t>infections</w:t>
      </w:r>
      <w:r>
        <w:rPr>
          <w:color w:val="231F1F"/>
          <w:spacing w:val="-16"/>
          <w:w w:val="115"/>
        </w:rPr>
        <w:t> </w:t>
      </w:r>
      <w:r>
        <w:rPr>
          <w:color w:val="231F1F"/>
          <w:w w:val="115"/>
        </w:rPr>
        <w:t>when</w:t>
      </w:r>
      <w:r>
        <w:rPr>
          <w:color w:val="231F1F"/>
          <w:spacing w:val="-17"/>
          <w:w w:val="115"/>
        </w:rPr>
        <w:t> </w:t>
      </w:r>
      <w:r>
        <w:rPr>
          <w:color w:val="231F1F"/>
          <w:w w:val="115"/>
        </w:rPr>
        <w:t>live</w:t>
      </w:r>
      <w:r>
        <w:rPr>
          <w:color w:val="231F1F"/>
          <w:spacing w:val="-17"/>
          <w:w w:val="115"/>
        </w:rPr>
        <w:t> </w:t>
      </w:r>
      <w:r>
        <w:rPr>
          <w:color w:val="231F1F"/>
          <w:w w:val="115"/>
        </w:rPr>
        <w:t>vaccines given</w:t>
      </w:r>
      <w:r>
        <w:rPr>
          <w:color w:val="231F1F"/>
          <w:spacing w:val="-9"/>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Calibri" w:hAnsi="Calibri"/>
          <w:color w:val="008356"/>
          <w:spacing w:val="2"/>
          <w:w w:val="115"/>
          <w:sz w:val="11"/>
        </w:rPr>
        <w:t>ANAKINRA</w:t>
      </w:r>
      <w:r>
        <w:rPr>
          <w:rFonts w:ascii="Arial" w:hAnsi="Arial"/>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9"/>
          <w:w w:val="115"/>
        </w:rPr>
        <w:t> </w:t>
      </w:r>
      <w:r>
        <w:rPr>
          <w:color w:val="231F1F"/>
          <w:w w:val="115"/>
        </w:rPr>
        <w:t>use</w:t>
      </w:r>
    </w:p>
    <w:p>
      <w:pPr>
        <w:pStyle w:val="BodyText"/>
        <w:spacing w:line="150" w:lineRule="exact"/>
        <w:ind w:left="108"/>
      </w:pPr>
      <w:r>
        <w:rPr>
          <w:rFonts w:ascii="Lucida Sans Unicode" w:hAnsi="Lucida Sans Unicode"/>
          <w:color w:val="A7A8AC"/>
          <w:w w:val="95"/>
          <w:sz w:val="10"/>
        </w:rPr>
        <w:t>▶ </w:t>
      </w:r>
      <w:r>
        <w:rPr>
          <w:rFonts w:ascii="Calibri" w:hAnsi="Calibri"/>
          <w:color w:val="231F1F"/>
          <w:w w:val="105"/>
        </w:rPr>
        <w:t>Antibacterials: </w:t>
      </w:r>
      <w:r>
        <w:rPr>
          <w:color w:val="231F1F"/>
          <w:w w:val="105"/>
        </w:rPr>
        <w:t>oral typhoid vaccine inactivated by</w:t>
      </w:r>
    </w:p>
    <w:p>
      <w:pPr>
        <w:spacing w:line="135" w:lineRule="exact" w:before="0"/>
        <w:ind w:left="208" w:right="0" w:firstLine="0"/>
        <w:jc w:val="left"/>
        <w:rPr>
          <w:sz w:val="12"/>
        </w:rPr>
      </w:pPr>
      <w:r>
        <w:rPr>
          <w:rFonts w:ascii="Calibri" w:hAnsi="Calibri"/>
          <w:color w:val="008356"/>
          <w:w w:val="110"/>
          <w:sz w:val="11"/>
        </w:rPr>
        <w:t>ANTIBACTERIALS</w:t>
      </w:r>
      <w:r>
        <w:rPr>
          <w:rFonts w:ascii="Arial" w:hAnsi="Arial"/>
          <w:color w:val="231F1F"/>
          <w:w w:val="110"/>
          <w:sz w:val="12"/>
        </w:rPr>
        <w:t>—</w:t>
      </w:r>
      <w:r>
        <w:rPr>
          <w:color w:val="231F1F"/>
          <w:w w:val="110"/>
          <w:sz w:val="12"/>
        </w:rPr>
        <w:t>see under Typhoid Vaccine in BNF</w:t>
      </w:r>
    </w:p>
    <w:p>
      <w:pPr>
        <w:pStyle w:val="BodyText"/>
        <w:spacing w:line="220" w:lineRule="auto" w:before="7"/>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influenza vaccine possibly enhances anticoagulant effect of </w:t>
      </w:r>
      <w:r>
        <w:rPr>
          <w:rFonts w:ascii="Calibri" w:hAnsi="Calibri"/>
          <w:color w:val="008356"/>
          <w:w w:val="105"/>
          <w:sz w:val="11"/>
        </w:rPr>
        <w:t>WARFARIN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influenza vaccine enhances effects of</w:t>
      </w:r>
    </w:p>
    <w:p>
      <w:pPr>
        <w:spacing w:line="134" w:lineRule="exact" w:before="0"/>
        <w:ind w:left="208" w:right="0" w:firstLine="0"/>
        <w:jc w:val="left"/>
        <w:rPr>
          <w:rFonts w:ascii="Calibri"/>
          <w:sz w:val="11"/>
        </w:rPr>
      </w:pPr>
      <w:r>
        <w:rPr>
          <w:rFonts w:ascii="Calibri"/>
          <w:color w:val="008356"/>
          <w:w w:val="105"/>
          <w:sz w:val="11"/>
        </w:rPr>
        <w:t>FOSPHENYTOIN </w:t>
      </w:r>
      <w:r>
        <w:rPr>
          <w:color w:val="231F1F"/>
          <w:w w:val="105"/>
          <w:sz w:val="12"/>
        </w:rPr>
        <w:t>and </w:t>
      </w:r>
      <w:r>
        <w:rPr>
          <w:rFonts w:ascii="Calibri"/>
          <w:color w:val="008356"/>
          <w:w w:val="105"/>
          <w:sz w:val="11"/>
        </w:rPr>
        <w:t>PHENYTOIN</w:t>
      </w:r>
    </w:p>
    <w:p>
      <w:pPr>
        <w:pStyle w:val="BodyText"/>
        <w:spacing w:line="151" w:lineRule="exact"/>
        <w:ind w:left="108"/>
      </w:pPr>
      <w:r>
        <w:rPr>
          <w:rFonts w:ascii="Lucida Sans Unicode" w:hAnsi="Lucida Sans Unicode"/>
          <w:color w:val="A7A8AC"/>
          <w:w w:val="95"/>
          <w:sz w:val="10"/>
        </w:rPr>
        <w:t>▶ </w:t>
      </w:r>
      <w:r>
        <w:rPr>
          <w:rFonts w:ascii="Calibri" w:hAnsi="Calibri"/>
          <w:color w:val="231F1F"/>
          <w:w w:val="105"/>
        </w:rPr>
        <w:t>Antimalarials: </w:t>
      </w:r>
      <w:r>
        <w:rPr>
          <w:color w:val="231F1F"/>
          <w:w w:val="105"/>
        </w:rPr>
        <w:t>oral typhoid vaccine inactivated by</w:t>
      </w:r>
    </w:p>
    <w:p>
      <w:pPr>
        <w:spacing w:line="135" w:lineRule="exact" w:before="0"/>
        <w:ind w:left="208" w:right="0" w:firstLine="0"/>
        <w:jc w:val="left"/>
        <w:rPr>
          <w:sz w:val="12"/>
        </w:rPr>
      </w:pPr>
      <w:r>
        <w:rPr>
          <w:rFonts w:ascii="Calibri" w:hAnsi="Calibri"/>
          <w:color w:val="008356"/>
          <w:w w:val="110"/>
          <w:sz w:val="11"/>
        </w:rPr>
        <w:t>ANTIMALARIALS</w:t>
      </w:r>
      <w:r>
        <w:rPr>
          <w:rFonts w:ascii="Arial" w:hAnsi="Arial"/>
          <w:color w:val="231F1F"/>
          <w:w w:val="110"/>
          <w:sz w:val="12"/>
        </w:rPr>
        <w:t>—</w:t>
      </w:r>
      <w:r>
        <w:rPr>
          <w:color w:val="231F1F"/>
          <w:w w:val="110"/>
          <w:sz w:val="12"/>
        </w:rPr>
        <w:t>see under Typhoid Vaccine in BNF</w:t>
      </w:r>
    </w:p>
    <w:p>
      <w:pPr>
        <w:pStyle w:val="BodyText"/>
        <w:ind w:right="4" w:hanging="100"/>
      </w:pPr>
      <w:r>
        <w:rPr>
          <w:rFonts w:ascii="Arial" w:hAnsi="Arial"/>
          <w:color w:val="231F1F"/>
          <w:w w:val="355"/>
          <w:position w:val="1"/>
          <w:sz w:val="7"/>
        </w:rPr>
        <w:t>l </w:t>
      </w:r>
      <w:r>
        <w:rPr>
          <w:rFonts w:ascii="Calibri" w:hAnsi="Calibri"/>
          <w:color w:val="231F1F"/>
          <w:w w:val="110"/>
        </w:rPr>
        <w:t>Corticosteroids: </w:t>
      </w:r>
      <w:r>
        <w:rPr>
          <w:color w:val="231F1F"/>
          <w:w w:val="110"/>
        </w:rPr>
        <w:t>immune response </w:t>
      </w:r>
      <w:r>
        <w:rPr>
          <w:color w:val="231F1F"/>
          <w:w w:val="140"/>
        </w:rPr>
        <w:t>to </w:t>
      </w:r>
      <w:r>
        <w:rPr>
          <w:color w:val="231F1F"/>
          <w:w w:val="110"/>
        </w:rPr>
        <w:t>vaccines impaired by high doses of </w:t>
      </w:r>
      <w:r>
        <w:rPr>
          <w:rFonts w:ascii="Arial" w:hAnsi="Arial"/>
          <w:color w:val="231F1F"/>
          <w:w w:val="355"/>
          <w:position w:val="1"/>
          <w:sz w:val="7"/>
        </w:rPr>
        <w:t>l </w:t>
      </w:r>
      <w:r>
        <w:rPr>
          <w:rFonts w:ascii="Calibri" w:hAnsi="Calibri"/>
          <w:color w:val="008356"/>
          <w:w w:val="110"/>
          <w:sz w:val="11"/>
        </w:rPr>
        <w:t>CORTICOSTEROIDS</w:t>
      </w:r>
      <w:r>
        <w:rPr>
          <w:rFonts w:ascii="Arial" w:hAnsi="Arial"/>
          <w:color w:val="231F1F"/>
          <w:w w:val="110"/>
        </w:rPr>
        <w:t>—</w:t>
      </w:r>
      <w:r>
        <w:rPr>
          <w:color w:val="231F1F"/>
          <w:w w:val="110"/>
        </w:rPr>
        <w:t>avoid concomitant use with live vaccines</w:t>
      </w:r>
    </w:p>
    <w:p>
      <w:pPr>
        <w:spacing w:before="0"/>
        <w:ind w:left="208" w:right="164" w:hanging="100"/>
        <w:jc w:val="left"/>
        <w:rPr>
          <w:sz w:val="12"/>
        </w:rPr>
      </w:pPr>
      <w:r>
        <w:rPr>
          <w:rFonts w:ascii="Arial"/>
          <w:color w:val="231F1F"/>
          <w:w w:val="355"/>
          <w:position w:val="1"/>
          <w:sz w:val="7"/>
        </w:rPr>
        <w:t>l </w:t>
      </w:r>
      <w:r>
        <w:rPr>
          <w:rFonts w:ascii="Calibri"/>
          <w:color w:val="231F1F"/>
          <w:w w:val="105"/>
          <w:sz w:val="12"/>
        </w:rPr>
        <w:t>Cytotoxics: </w:t>
      </w:r>
      <w:r>
        <w:rPr>
          <w:color w:val="231F1F"/>
          <w:w w:val="105"/>
          <w:sz w:val="12"/>
        </w:rPr>
        <w:t>risk of generalised infections when live vaccines given with </w:t>
      </w:r>
      <w:r>
        <w:rPr>
          <w:rFonts w:ascii="Arial"/>
          <w:color w:val="231F1F"/>
          <w:w w:val="355"/>
          <w:position w:val="1"/>
          <w:sz w:val="7"/>
        </w:rPr>
        <w:t>l </w:t>
      </w:r>
      <w:r>
        <w:rPr>
          <w:rFonts w:ascii="Calibri"/>
          <w:color w:val="008356"/>
          <w:w w:val="105"/>
          <w:sz w:val="11"/>
        </w:rPr>
        <w:t>DOXORUBICIN</w:t>
      </w:r>
      <w:r>
        <w:rPr>
          <w:color w:val="231F1F"/>
          <w:w w:val="105"/>
          <w:sz w:val="12"/>
        </w:rPr>
        <w:t>, </w:t>
      </w:r>
      <w:r>
        <w:rPr>
          <w:rFonts w:ascii="Arial"/>
          <w:color w:val="231F1F"/>
          <w:w w:val="355"/>
          <w:position w:val="1"/>
          <w:sz w:val="7"/>
        </w:rPr>
        <w:t>l </w:t>
      </w:r>
      <w:r>
        <w:rPr>
          <w:rFonts w:ascii="Calibri"/>
          <w:color w:val="008356"/>
          <w:w w:val="105"/>
          <w:sz w:val="11"/>
        </w:rPr>
        <w:t>MONOCLONAL ANTIBODIES</w:t>
      </w:r>
      <w:r>
        <w:rPr>
          <w:color w:val="231F1F"/>
          <w:w w:val="105"/>
          <w:sz w:val="12"/>
        </w:rPr>
        <w:t>,</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4"/>
          <w:w w:val="115"/>
          <w:sz w:val="11"/>
        </w:rPr>
        <w:t>PIXANTRONE </w:t>
      </w:r>
      <w:r>
        <w:rPr>
          <w:color w:val="231F1F"/>
          <w:w w:val="115"/>
          <w:sz w:val="12"/>
        </w:rPr>
        <w:t>or </w:t>
      </w: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008356"/>
          <w:spacing w:val="3"/>
          <w:w w:val="115"/>
          <w:sz w:val="11"/>
        </w:rPr>
        <w:t>TRABECTEDIN</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ind w:right="67" w:hanging="100"/>
      </w:pPr>
      <w:r>
        <w:rPr>
          <w:rFonts w:ascii="Arial" w:hAnsi="Arial"/>
          <w:color w:val="231F1F"/>
          <w:w w:val="355"/>
          <w:position w:val="1"/>
          <w:sz w:val="7"/>
        </w:rPr>
        <w:t>l</w:t>
      </w:r>
      <w:r>
        <w:rPr>
          <w:rFonts w:ascii="Arial" w:hAnsi="Arial"/>
          <w:color w:val="231F1F"/>
          <w:spacing w:val="-51"/>
          <w:w w:val="355"/>
          <w:position w:val="1"/>
          <w:sz w:val="7"/>
        </w:rPr>
        <w:t> </w:t>
      </w:r>
      <w:r>
        <w:rPr>
          <w:rFonts w:ascii="Calibri" w:hAnsi="Calibri"/>
          <w:color w:val="231F1F"/>
          <w:w w:val="115"/>
        </w:rPr>
        <w:t>Dexrazoxane:</w:t>
      </w:r>
      <w:r>
        <w:rPr>
          <w:rFonts w:ascii="Calibri" w:hAnsi="Calibri"/>
          <w:color w:val="231F1F"/>
          <w:spacing w:val="-16"/>
          <w:w w:val="115"/>
        </w:rPr>
        <w:t> </w:t>
      </w:r>
      <w:r>
        <w:rPr>
          <w:color w:val="231F1F"/>
          <w:w w:val="115"/>
        </w:rPr>
        <w:t>risk</w:t>
      </w:r>
      <w:r>
        <w:rPr>
          <w:color w:val="231F1F"/>
          <w:spacing w:val="-20"/>
          <w:w w:val="115"/>
        </w:rPr>
        <w:t> </w:t>
      </w:r>
      <w:r>
        <w:rPr>
          <w:color w:val="231F1F"/>
          <w:w w:val="115"/>
        </w:rPr>
        <w:t>of</w:t>
      </w:r>
      <w:r>
        <w:rPr>
          <w:color w:val="231F1F"/>
          <w:spacing w:val="-20"/>
          <w:w w:val="115"/>
        </w:rPr>
        <w:t> </w:t>
      </w:r>
      <w:r>
        <w:rPr>
          <w:color w:val="231F1F"/>
          <w:w w:val="115"/>
        </w:rPr>
        <w:t>generalised</w:t>
      </w:r>
      <w:r>
        <w:rPr>
          <w:color w:val="231F1F"/>
          <w:spacing w:val="-20"/>
          <w:w w:val="115"/>
        </w:rPr>
        <w:t> </w:t>
      </w:r>
      <w:r>
        <w:rPr>
          <w:color w:val="231F1F"/>
          <w:w w:val="115"/>
        </w:rPr>
        <w:t>infections</w:t>
      </w:r>
      <w:r>
        <w:rPr>
          <w:color w:val="231F1F"/>
          <w:spacing w:val="-20"/>
          <w:w w:val="115"/>
        </w:rPr>
        <w:t> </w:t>
      </w:r>
      <w:r>
        <w:rPr>
          <w:color w:val="231F1F"/>
          <w:w w:val="115"/>
        </w:rPr>
        <w:t>when</w:t>
      </w:r>
      <w:r>
        <w:rPr>
          <w:color w:val="231F1F"/>
          <w:spacing w:val="-20"/>
          <w:w w:val="115"/>
        </w:rPr>
        <w:t> </w:t>
      </w:r>
      <w:r>
        <w:rPr>
          <w:color w:val="231F1F"/>
          <w:w w:val="115"/>
        </w:rPr>
        <w:t>live</w:t>
      </w:r>
      <w:r>
        <w:rPr>
          <w:color w:val="231F1F"/>
          <w:spacing w:val="-20"/>
          <w:w w:val="115"/>
        </w:rPr>
        <w:t> </w:t>
      </w:r>
      <w:r>
        <w:rPr>
          <w:color w:val="231F1F"/>
          <w:w w:val="115"/>
        </w:rPr>
        <w:t>vaccines given</w:t>
      </w:r>
      <w:r>
        <w:rPr>
          <w:color w:val="231F1F"/>
          <w:spacing w:val="-11"/>
          <w:w w:val="115"/>
        </w:rPr>
        <w:t> </w:t>
      </w:r>
      <w:r>
        <w:rPr>
          <w:color w:val="231F1F"/>
          <w:w w:val="115"/>
        </w:rPr>
        <w:t>with</w:t>
      </w:r>
      <w:r>
        <w:rPr>
          <w:color w:val="231F1F"/>
          <w:spacing w:val="-10"/>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3"/>
          <w:w w:val="115"/>
          <w:sz w:val="11"/>
        </w:rPr>
        <w:t>DEXRAZOXANE</w:t>
      </w:r>
      <w:r>
        <w:rPr>
          <w:rFonts w:ascii="Arial" w:hAnsi="Arial"/>
          <w:color w:val="231F1F"/>
          <w:spacing w:val="3"/>
          <w:w w:val="115"/>
        </w:rPr>
        <w:t>—</w:t>
      </w:r>
      <w:r>
        <w:rPr>
          <w:color w:val="231F1F"/>
          <w:spacing w:val="3"/>
          <w:w w:val="115"/>
        </w:rPr>
        <w:t>avoid</w:t>
      </w:r>
      <w:r>
        <w:rPr>
          <w:color w:val="231F1F"/>
          <w:spacing w:val="-10"/>
          <w:w w:val="115"/>
        </w:rPr>
        <w:t> </w:t>
      </w:r>
      <w:r>
        <w:rPr>
          <w:color w:val="231F1F"/>
          <w:w w:val="115"/>
        </w:rPr>
        <w:t>concomitant</w:t>
      </w:r>
      <w:r>
        <w:rPr>
          <w:color w:val="231F1F"/>
          <w:spacing w:val="-11"/>
          <w:w w:val="115"/>
        </w:rPr>
        <w:t> </w:t>
      </w:r>
      <w:r>
        <w:rPr>
          <w:color w:val="231F1F"/>
          <w:w w:val="115"/>
        </w:rPr>
        <w:t>use</w:t>
      </w:r>
    </w:p>
    <w:p>
      <w:pPr>
        <w:pStyle w:val="BodyText"/>
        <w:spacing w:line="237" w:lineRule="auto"/>
        <w:ind w:right="166" w:hanging="100"/>
      </w:pPr>
      <w:r>
        <w:rPr>
          <w:rFonts w:ascii="Arial" w:hAnsi="Arial"/>
          <w:color w:val="231F1F"/>
          <w:w w:val="355"/>
          <w:position w:val="1"/>
          <w:sz w:val="7"/>
        </w:rPr>
        <w:t>l</w:t>
      </w:r>
      <w:r>
        <w:rPr>
          <w:rFonts w:ascii="Arial" w:hAnsi="Arial"/>
          <w:color w:val="231F1F"/>
          <w:spacing w:val="-50"/>
          <w:w w:val="355"/>
          <w:position w:val="1"/>
          <w:sz w:val="7"/>
        </w:rPr>
        <w:t> </w:t>
      </w:r>
      <w:r>
        <w:rPr>
          <w:rFonts w:ascii="Calibri" w:hAnsi="Calibri"/>
          <w:color w:val="231F1F"/>
          <w:w w:val="115"/>
        </w:rPr>
        <w:t>Etanercept:</w:t>
      </w:r>
      <w:r>
        <w:rPr>
          <w:rFonts w:ascii="Calibri" w:hAnsi="Calibri"/>
          <w:color w:val="231F1F"/>
          <w:spacing w:val="-15"/>
          <w:w w:val="115"/>
        </w:rPr>
        <w:t> </w:t>
      </w:r>
      <w:r>
        <w:rPr>
          <w:color w:val="231F1F"/>
          <w:w w:val="115"/>
        </w:rPr>
        <w:t>risk</w:t>
      </w:r>
      <w:r>
        <w:rPr>
          <w:color w:val="231F1F"/>
          <w:spacing w:val="-19"/>
          <w:w w:val="115"/>
        </w:rPr>
        <w:t> </w:t>
      </w:r>
      <w:r>
        <w:rPr>
          <w:color w:val="231F1F"/>
          <w:w w:val="115"/>
        </w:rPr>
        <w:t>of</w:t>
      </w:r>
      <w:r>
        <w:rPr>
          <w:color w:val="231F1F"/>
          <w:spacing w:val="-18"/>
          <w:w w:val="115"/>
        </w:rPr>
        <w:t> </w:t>
      </w:r>
      <w:r>
        <w:rPr>
          <w:color w:val="231F1F"/>
          <w:w w:val="115"/>
        </w:rPr>
        <w:t>generalised</w:t>
      </w:r>
      <w:r>
        <w:rPr>
          <w:color w:val="231F1F"/>
          <w:spacing w:val="-20"/>
          <w:w w:val="115"/>
        </w:rPr>
        <w:t> </w:t>
      </w:r>
      <w:r>
        <w:rPr>
          <w:color w:val="231F1F"/>
          <w:w w:val="115"/>
        </w:rPr>
        <w:t>infections</w:t>
      </w:r>
      <w:r>
        <w:rPr>
          <w:color w:val="231F1F"/>
          <w:spacing w:val="-19"/>
          <w:w w:val="115"/>
        </w:rPr>
        <w:t> </w:t>
      </w:r>
      <w:r>
        <w:rPr>
          <w:color w:val="231F1F"/>
          <w:w w:val="115"/>
        </w:rPr>
        <w:t>when</w:t>
      </w:r>
      <w:r>
        <w:rPr>
          <w:color w:val="231F1F"/>
          <w:spacing w:val="-19"/>
          <w:w w:val="115"/>
        </w:rPr>
        <w:t> </w:t>
      </w:r>
      <w:r>
        <w:rPr>
          <w:color w:val="231F1F"/>
          <w:w w:val="115"/>
        </w:rPr>
        <w:t>live</w:t>
      </w:r>
      <w:r>
        <w:rPr>
          <w:color w:val="231F1F"/>
          <w:spacing w:val="-19"/>
          <w:w w:val="115"/>
        </w:rPr>
        <w:t> </w:t>
      </w:r>
      <w:r>
        <w:rPr>
          <w:color w:val="231F1F"/>
          <w:w w:val="115"/>
        </w:rPr>
        <w:t>vaccines given</w:t>
      </w:r>
      <w:r>
        <w:rPr>
          <w:color w:val="231F1F"/>
          <w:spacing w:val="-10"/>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2"/>
          <w:w w:val="115"/>
          <w:sz w:val="11"/>
        </w:rPr>
        <w:t>ETANERCEPT</w:t>
      </w:r>
      <w:r>
        <w:rPr>
          <w:rFonts w:ascii="Arial" w:hAnsi="Arial"/>
          <w:color w:val="231F1F"/>
          <w:spacing w:val="2"/>
          <w:w w:val="115"/>
        </w:rPr>
        <w:t>—</w:t>
      </w:r>
      <w:r>
        <w:rPr>
          <w:color w:val="231F1F"/>
          <w:spacing w:val="2"/>
          <w:w w:val="115"/>
        </w:rPr>
        <w:t>avoid</w:t>
      </w:r>
      <w:r>
        <w:rPr>
          <w:color w:val="231F1F"/>
          <w:spacing w:val="-9"/>
          <w:w w:val="115"/>
        </w:rPr>
        <w:t> </w:t>
      </w:r>
      <w:r>
        <w:rPr>
          <w:color w:val="231F1F"/>
          <w:w w:val="115"/>
        </w:rPr>
        <w:t>concomitant</w:t>
      </w:r>
      <w:r>
        <w:rPr>
          <w:color w:val="231F1F"/>
          <w:spacing w:val="-9"/>
          <w:w w:val="115"/>
        </w:rPr>
        <w:t> </w:t>
      </w:r>
      <w:r>
        <w:rPr>
          <w:color w:val="231F1F"/>
          <w:w w:val="115"/>
        </w:rPr>
        <w:t>use</w:t>
      </w:r>
    </w:p>
    <w:p>
      <w:pPr>
        <w:spacing w:before="0"/>
        <w:ind w:left="208" w:right="130" w:hanging="100"/>
        <w:jc w:val="left"/>
        <w:rPr>
          <w:i/>
          <w:sz w:val="12"/>
        </w:rPr>
      </w:pPr>
      <w:r>
        <w:rPr>
          <w:rFonts w:ascii="Arial" w:hAnsi="Arial"/>
          <w:color w:val="231F1F"/>
          <w:w w:val="355"/>
          <w:position w:val="1"/>
          <w:sz w:val="7"/>
        </w:rPr>
        <w:t>l </w:t>
      </w:r>
      <w:r>
        <w:rPr>
          <w:rFonts w:ascii="Calibri" w:hAnsi="Calibri"/>
          <w:color w:val="231F1F"/>
          <w:w w:val="110"/>
          <w:sz w:val="12"/>
        </w:rPr>
        <w:t>Immunoglobulins: </w:t>
      </w:r>
      <w:r>
        <w:rPr>
          <w:color w:val="231F1F"/>
          <w:w w:val="110"/>
          <w:sz w:val="12"/>
        </w:rPr>
        <w:t>impaired immune response to </w:t>
      </w:r>
      <w:r>
        <w:rPr>
          <w:i/>
          <w:color w:val="231F1F"/>
          <w:w w:val="110"/>
          <w:sz w:val="12"/>
        </w:rPr>
        <w:t>oral </w:t>
      </w:r>
      <w:r>
        <w:rPr>
          <w:color w:val="231F1F"/>
          <w:w w:val="110"/>
          <w:sz w:val="12"/>
        </w:rPr>
        <w:t>poliomyelitis vaccine might occur with </w:t>
      </w:r>
      <w:r>
        <w:rPr>
          <w:rFonts w:ascii="Arial" w:hAnsi="Arial"/>
          <w:color w:val="231F1F"/>
          <w:w w:val="355"/>
          <w:position w:val="1"/>
          <w:sz w:val="7"/>
        </w:rPr>
        <w:t>l </w:t>
      </w:r>
      <w:r>
        <w:rPr>
          <w:rFonts w:ascii="Calibri" w:hAnsi="Calibri"/>
          <w:color w:val="008356"/>
          <w:spacing w:val="4"/>
          <w:w w:val="110"/>
          <w:sz w:val="11"/>
        </w:rPr>
        <w:t>ANTI-D </w:t>
      </w:r>
      <w:r>
        <w:rPr>
          <w:rFonts w:ascii="Calibri" w:hAnsi="Calibri"/>
          <w:color w:val="008356"/>
          <w:spacing w:val="4"/>
          <w:sz w:val="11"/>
        </w:rPr>
        <w:t>IMMUNOGLOBULINS </w:t>
      </w:r>
      <w:r>
        <w:rPr>
          <w:color w:val="231F1F"/>
          <w:sz w:val="12"/>
        </w:rPr>
        <w:t>and </w:t>
      </w:r>
      <w:r>
        <w:rPr>
          <w:rFonts w:ascii="Arial" w:hAnsi="Arial"/>
          <w:color w:val="231F1F"/>
          <w:position w:val="1"/>
          <w:sz w:val="7"/>
        </w:rPr>
        <w:t>l  </w:t>
      </w:r>
      <w:r>
        <w:rPr>
          <w:rFonts w:ascii="Calibri" w:hAnsi="Calibri"/>
          <w:color w:val="008356"/>
          <w:spacing w:val="4"/>
          <w:sz w:val="11"/>
        </w:rPr>
        <w:t>NORMAL </w:t>
      </w:r>
      <w:r>
        <w:rPr>
          <w:rFonts w:ascii="Calibri" w:hAnsi="Calibri"/>
          <w:color w:val="008356"/>
          <w:spacing w:val="3"/>
          <w:sz w:val="11"/>
        </w:rPr>
        <w:t>IMMUNOGLOBULIN</w:t>
      </w:r>
      <w:r>
        <w:rPr>
          <w:rFonts w:ascii="Arial" w:hAnsi="Arial"/>
          <w:color w:val="231F1F"/>
          <w:spacing w:val="3"/>
          <w:sz w:val="12"/>
        </w:rPr>
        <w:t>—</w:t>
      </w:r>
      <w:r>
        <w:rPr>
          <w:color w:val="231F1F"/>
          <w:spacing w:val="3"/>
          <w:sz w:val="12"/>
        </w:rPr>
        <w:t>give</w:t>
      </w:r>
      <w:r>
        <w:rPr>
          <w:color w:val="231F1F"/>
          <w:spacing w:val="-13"/>
          <w:sz w:val="12"/>
        </w:rPr>
        <w:t> </w:t>
      </w:r>
      <w:r>
        <w:rPr>
          <w:i/>
          <w:color w:val="231F1F"/>
          <w:sz w:val="12"/>
        </w:rPr>
        <w:t>oral</w:t>
      </w:r>
    </w:p>
    <w:p>
      <w:pPr>
        <w:pStyle w:val="BodyText"/>
        <w:spacing w:line="247" w:lineRule="auto"/>
        <w:ind w:right="68"/>
      </w:pPr>
      <w:r>
        <w:rPr>
          <w:color w:val="231F1F"/>
          <w:w w:val="110"/>
        </w:rPr>
        <w:t>poliomyelitis vaccine at least 3 weeks before or 3 months  after anti-d immunoglobulins and normal immunoglobulin; impaired immune response to BCG vaccine, MMR vaccine, oral typhoid vaccine, rotavirus vaccine, smallpox vaccine, varicella-zoster vaccine and yellow fever vaccine might </w:t>
      </w:r>
      <w:r>
        <w:rPr>
          <w:color w:val="231F1F"/>
          <w:spacing w:val="-3"/>
          <w:w w:val="110"/>
        </w:rPr>
        <w:t>occur </w:t>
      </w:r>
      <w:r>
        <w:rPr>
          <w:color w:val="231F1F"/>
          <w:w w:val="110"/>
        </w:rPr>
        <w:t>with</w:t>
      </w:r>
      <w:r>
        <w:rPr>
          <w:color w:val="231F1F"/>
          <w:spacing w:val="-20"/>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ANTI-D</w:t>
      </w:r>
      <w:r>
        <w:rPr>
          <w:rFonts w:ascii="Calibri" w:hAnsi="Calibri"/>
          <w:color w:val="008356"/>
          <w:spacing w:val="-14"/>
          <w:w w:val="110"/>
          <w:sz w:val="11"/>
        </w:rPr>
        <w:t> </w:t>
      </w:r>
      <w:r>
        <w:rPr>
          <w:rFonts w:ascii="Calibri" w:hAnsi="Calibri"/>
          <w:color w:val="008356"/>
          <w:spacing w:val="3"/>
          <w:w w:val="110"/>
          <w:sz w:val="11"/>
        </w:rPr>
        <w:t>IMMUNOGLOBULINS</w:t>
      </w:r>
      <w:r>
        <w:rPr>
          <w:rFonts w:ascii="Arial" w:hAnsi="Arial"/>
          <w:color w:val="231F1F"/>
          <w:spacing w:val="3"/>
          <w:w w:val="110"/>
        </w:rPr>
        <w:t>—</w:t>
      </w:r>
      <w:r>
        <w:rPr>
          <w:color w:val="231F1F"/>
          <w:spacing w:val="3"/>
          <w:w w:val="110"/>
        </w:rPr>
        <w:t>give</w:t>
      </w:r>
      <w:r>
        <w:rPr>
          <w:color w:val="231F1F"/>
          <w:spacing w:val="-20"/>
          <w:w w:val="110"/>
        </w:rPr>
        <w:t> </w:t>
      </w:r>
      <w:r>
        <w:rPr>
          <w:color w:val="231F1F"/>
          <w:w w:val="110"/>
        </w:rPr>
        <w:t>BCG</w:t>
      </w:r>
      <w:r>
        <w:rPr>
          <w:color w:val="231F1F"/>
          <w:spacing w:val="-20"/>
          <w:w w:val="110"/>
        </w:rPr>
        <w:t> </w:t>
      </w:r>
      <w:r>
        <w:rPr>
          <w:color w:val="231F1F"/>
          <w:w w:val="110"/>
        </w:rPr>
        <w:t>vaccine,</w:t>
      </w:r>
      <w:r>
        <w:rPr>
          <w:color w:val="231F1F"/>
          <w:spacing w:val="-20"/>
          <w:w w:val="110"/>
        </w:rPr>
        <w:t> </w:t>
      </w:r>
      <w:r>
        <w:rPr>
          <w:color w:val="231F1F"/>
          <w:w w:val="110"/>
        </w:rPr>
        <w:t>MMR vaccine, oral typhoid vaccine, rotavirus vaccine, smallpox vaccine, varicella-zoster vaccine and yellow fever vaccine at least 3 weeks before or 3 months after anti-d immunoglobulins; impaired immune response to live  influenza vaccine might occur with </w:t>
      </w:r>
      <w:r>
        <w:rPr>
          <w:rFonts w:ascii="Arial" w:hAnsi="Arial"/>
          <w:color w:val="231F1F"/>
          <w:w w:val="355"/>
          <w:position w:val="1"/>
          <w:sz w:val="7"/>
        </w:rPr>
        <w:t>l </w:t>
      </w:r>
      <w:r>
        <w:rPr>
          <w:rFonts w:ascii="Calibri" w:hAnsi="Calibri"/>
          <w:color w:val="008356"/>
          <w:spacing w:val="5"/>
          <w:w w:val="110"/>
          <w:sz w:val="11"/>
        </w:rPr>
        <w:t>ANTI-D </w:t>
      </w:r>
      <w:r>
        <w:rPr>
          <w:rFonts w:ascii="Calibri" w:hAnsi="Calibri"/>
          <w:color w:val="008356"/>
          <w:spacing w:val="4"/>
          <w:w w:val="105"/>
          <w:sz w:val="11"/>
        </w:rPr>
        <w:t>IMMUNOGLOBULINS</w:t>
      </w:r>
      <w:r>
        <w:rPr>
          <w:rFonts w:ascii="Calibri" w:hAnsi="Calibri"/>
          <w:color w:val="008356"/>
          <w:spacing w:val="-12"/>
          <w:w w:val="105"/>
          <w:sz w:val="11"/>
        </w:rPr>
        <w:t> </w:t>
      </w:r>
      <w:r>
        <w:rPr>
          <w:color w:val="231F1F"/>
          <w:w w:val="105"/>
        </w:rPr>
        <w:t>and</w:t>
      </w:r>
      <w:r>
        <w:rPr>
          <w:color w:val="231F1F"/>
          <w:spacing w:val="-19"/>
          <w:w w:val="105"/>
        </w:rPr>
        <w:t> </w:t>
      </w:r>
      <w:r>
        <w:rPr>
          <w:rFonts w:ascii="Arial" w:hAnsi="Arial"/>
          <w:color w:val="231F1F"/>
          <w:w w:val="105"/>
          <w:position w:val="1"/>
          <w:sz w:val="7"/>
        </w:rPr>
        <w:t>l</w:t>
      </w:r>
      <w:r>
        <w:rPr>
          <w:rFonts w:ascii="Arial" w:hAnsi="Arial"/>
          <w:color w:val="231F1F"/>
          <w:spacing w:val="-10"/>
          <w:w w:val="105"/>
          <w:position w:val="1"/>
          <w:sz w:val="7"/>
        </w:rPr>
        <w:t> </w:t>
      </w:r>
      <w:r>
        <w:rPr>
          <w:rFonts w:ascii="Calibri" w:hAnsi="Calibri"/>
          <w:color w:val="008356"/>
          <w:spacing w:val="4"/>
          <w:w w:val="105"/>
          <w:sz w:val="11"/>
        </w:rPr>
        <w:t>NORMAL</w:t>
      </w:r>
      <w:r>
        <w:rPr>
          <w:rFonts w:ascii="Calibri" w:hAnsi="Calibri"/>
          <w:color w:val="008356"/>
          <w:spacing w:val="-13"/>
          <w:w w:val="105"/>
          <w:sz w:val="11"/>
        </w:rPr>
        <w:t> </w:t>
      </w:r>
      <w:r>
        <w:rPr>
          <w:rFonts w:ascii="Calibri" w:hAnsi="Calibri"/>
          <w:color w:val="008356"/>
          <w:spacing w:val="3"/>
          <w:w w:val="105"/>
          <w:sz w:val="11"/>
        </w:rPr>
        <w:t>IMMUNOGLOBULIN</w:t>
      </w:r>
      <w:r>
        <w:rPr>
          <w:rFonts w:ascii="Arial" w:hAnsi="Arial"/>
          <w:color w:val="231F1F"/>
          <w:spacing w:val="3"/>
          <w:w w:val="105"/>
        </w:rPr>
        <w:t>—</w:t>
      </w:r>
      <w:r>
        <w:rPr>
          <w:color w:val="231F1F"/>
          <w:spacing w:val="3"/>
          <w:w w:val="105"/>
        </w:rPr>
        <w:t>give</w:t>
      </w:r>
      <w:r>
        <w:rPr>
          <w:color w:val="231F1F"/>
          <w:spacing w:val="-19"/>
          <w:w w:val="105"/>
        </w:rPr>
        <w:t> </w:t>
      </w:r>
      <w:r>
        <w:rPr>
          <w:color w:val="231F1F"/>
          <w:w w:val="105"/>
        </w:rPr>
        <w:t>live</w:t>
      </w:r>
    </w:p>
    <w:p>
      <w:pPr>
        <w:pStyle w:val="BodyText"/>
        <w:spacing w:line="249" w:lineRule="auto" w:before="2"/>
        <w:ind w:right="68"/>
      </w:pPr>
      <w:r>
        <w:rPr>
          <w:color w:val="231F1F"/>
          <w:w w:val="105"/>
        </w:rPr>
        <w:t>influenza vaccine at least 3 weeks before or 3  months  after anti-d  immunoglobulins  and  normal  immunoglobulin;  impaired immune response to BCG  vaccine,  MMR  vaccine, oral typhoid vaccine, rotavirus vaccine, smallpox vaccine, varicella-zoster vaccine and yellow fever vaccine might </w:t>
      </w:r>
      <w:r>
        <w:rPr>
          <w:color w:val="231F1F"/>
          <w:spacing w:val="-3"/>
          <w:w w:val="105"/>
        </w:rPr>
        <w:t>occur </w:t>
      </w:r>
      <w:r>
        <w:rPr>
          <w:color w:val="231F1F"/>
          <w:w w:val="105"/>
        </w:rPr>
        <w:t>with </w:t>
      </w:r>
      <w:r>
        <w:rPr>
          <w:rFonts w:ascii="Arial" w:hAnsi="Arial"/>
          <w:color w:val="231F1F"/>
          <w:w w:val="355"/>
          <w:position w:val="1"/>
          <w:sz w:val="7"/>
        </w:rPr>
        <w:t>l </w:t>
      </w:r>
      <w:r>
        <w:rPr>
          <w:rFonts w:ascii="Calibri" w:hAnsi="Calibri"/>
          <w:color w:val="008356"/>
          <w:spacing w:val="4"/>
          <w:w w:val="105"/>
          <w:sz w:val="11"/>
        </w:rPr>
        <w:t>NORMAL </w:t>
      </w:r>
      <w:r>
        <w:rPr>
          <w:rFonts w:ascii="Calibri" w:hAnsi="Calibri"/>
          <w:color w:val="008356"/>
          <w:spacing w:val="3"/>
          <w:w w:val="105"/>
          <w:sz w:val="11"/>
        </w:rPr>
        <w:t>IMMUNOGLOBULIN</w:t>
      </w:r>
      <w:r>
        <w:rPr>
          <w:rFonts w:ascii="Arial" w:hAnsi="Arial"/>
          <w:color w:val="231F1F"/>
          <w:spacing w:val="3"/>
          <w:w w:val="105"/>
        </w:rPr>
        <w:t>—</w:t>
      </w:r>
      <w:r>
        <w:rPr>
          <w:color w:val="231F1F"/>
          <w:spacing w:val="3"/>
          <w:w w:val="105"/>
        </w:rPr>
        <w:t>give </w:t>
      </w:r>
      <w:r>
        <w:rPr>
          <w:color w:val="231F1F"/>
          <w:w w:val="105"/>
        </w:rPr>
        <w:t>BCG vaccine, MMR vaccine, oral typhoid vaccine, rotavirus vaccine, smallpox vaccine, varicella-zoster vaccine and yellow fever vaccine  at least 3 weeks before  or  3  months  after  normal immunoglobulin</w:t>
      </w:r>
    </w:p>
    <w:p>
      <w:pPr>
        <w:pStyle w:val="BodyText"/>
        <w:spacing w:line="146" w:lineRule="exact"/>
        <w:ind w:left="108"/>
      </w:pPr>
      <w:r>
        <w:rPr>
          <w:rFonts w:ascii="Lucida Sans Unicode" w:hAnsi="Lucida Sans Unicode"/>
          <w:color w:val="A7A8AC"/>
          <w:w w:val="95"/>
          <w:sz w:val="10"/>
        </w:rPr>
        <w:t>▶ </w:t>
      </w:r>
      <w:r>
        <w:rPr>
          <w:rFonts w:ascii="Calibri" w:hAnsi="Calibri"/>
          <w:color w:val="231F1F"/>
          <w:w w:val="105"/>
        </w:rPr>
        <w:t>Interferons: </w:t>
      </w:r>
      <w:r>
        <w:rPr>
          <w:color w:val="231F1F"/>
          <w:w w:val="105"/>
        </w:rPr>
        <w:t>avoidance of vaccines advised by manufacturer of</w:t>
      </w:r>
    </w:p>
    <w:p>
      <w:pPr>
        <w:spacing w:line="130" w:lineRule="exact" w:before="0"/>
        <w:ind w:left="208" w:right="0" w:firstLine="0"/>
        <w:jc w:val="left"/>
        <w:rPr>
          <w:rFonts w:ascii="Calibri"/>
          <w:sz w:val="11"/>
        </w:rPr>
      </w:pPr>
      <w:r>
        <w:rPr>
          <w:rFonts w:ascii="Calibri"/>
          <w:color w:val="008356"/>
          <w:sz w:val="11"/>
        </w:rPr>
        <w:t>INTERFERON GAMMA</w:t>
      </w:r>
    </w:p>
    <w:p>
      <w:pPr>
        <w:pStyle w:val="BodyText"/>
        <w:ind w:hanging="100"/>
      </w:pPr>
      <w:r>
        <w:rPr>
          <w:rFonts w:ascii="Arial" w:hAnsi="Arial"/>
          <w:color w:val="231F1F"/>
          <w:w w:val="355"/>
          <w:position w:val="1"/>
          <w:sz w:val="7"/>
        </w:rPr>
        <w:t>l </w:t>
      </w:r>
      <w:r>
        <w:rPr>
          <w:rFonts w:ascii="Calibri" w:hAnsi="Calibri"/>
          <w:color w:val="231F1F"/>
          <w:w w:val="110"/>
        </w:rPr>
        <w:t>Leflunomide: </w:t>
      </w:r>
      <w:r>
        <w:rPr>
          <w:color w:val="231F1F"/>
          <w:w w:val="110"/>
        </w:rPr>
        <w:t>risk of generalised infections when live vaccines given with </w:t>
      </w:r>
      <w:r>
        <w:rPr>
          <w:rFonts w:ascii="Arial" w:hAnsi="Arial"/>
          <w:color w:val="231F1F"/>
          <w:w w:val="355"/>
          <w:position w:val="1"/>
          <w:sz w:val="7"/>
        </w:rPr>
        <w:t>l </w:t>
      </w:r>
      <w:r>
        <w:rPr>
          <w:rFonts w:ascii="Calibri" w:hAnsi="Calibri"/>
          <w:color w:val="008356"/>
          <w:w w:val="110"/>
          <w:sz w:val="11"/>
        </w:rPr>
        <w:t>LEFLUNOMIDE</w:t>
      </w:r>
      <w:r>
        <w:rPr>
          <w:rFonts w:ascii="Arial" w:hAnsi="Arial"/>
          <w:color w:val="231F1F"/>
          <w:w w:val="110"/>
        </w:rPr>
        <w:t>—</w:t>
      </w:r>
      <w:r>
        <w:rPr>
          <w:color w:val="231F1F"/>
          <w:w w:val="110"/>
        </w:rPr>
        <w:t>avoid concomitant use</w:t>
      </w:r>
    </w:p>
    <w:p>
      <w:pPr>
        <w:pStyle w:val="BodyText"/>
        <w:spacing w:line="237" w:lineRule="auto"/>
        <w:ind w:right="27" w:hanging="100"/>
      </w:pPr>
      <w:r>
        <w:rPr>
          <w:rFonts w:ascii="Arial" w:hAnsi="Arial"/>
          <w:color w:val="231F1F"/>
          <w:w w:val="355"/>
          <w:position w:val="1"/>
          <w:sz w:val="7"/>
        </w:rPr>
        <w:t>l </w:t>
      </w:r>
      <w:r>
        <w:rPr>
          <w:rFonts w:ascii="Calibri" w:hAnsi="Calibri"/>
          <w:color w:val="231F1F"/>
          <w:w w:val="110"/>
        </w:rPr>
        <w:t>Teriflunomide: </w:t>
      </w:r>
      <w:r>
        <w:rPr>
          <w:color w:val="231F1F"/>
          <w:w w:val="110"/>
        </w:rPr>
        <w:t>risk of generalised infections when live vaccines given with </w:t>
      </w:r>
      <w:r>
        <w:rPr>
          <w:rFonts w:ascii="Arial" w:hAnsi="Arial"/>
          <w:color w:val="231F1F"/>
          <w:w w:val="355"/>
          <w:position w:val="1"/>
          <w:sz w:val="7"/>
        </w:rPr>
        <w:t>l </w:t>
      </w:r>
      <w:r>
        <w:rPr>
          <w:rFonts w:ascii="Calibri" w:hAnsi="Calibri"/>
          <w:color w:val="008356"/>
          <w:w w:val="110"/>
          <w:sz w:val="11"/>
        </w:rPr>
        <w:t>TERIFLUNOMIDE</w:t>
      </w:r>
      <w:r>
        <w:rPr>
          <w:rFonts w:ascii="Arial" w:hAnsi="Arial"/>
          <w:color w:val="231F1F"/>
          <w:w w:val="110"/>
        </w:rPr>
        <w:t>—</w:t>
      </w:r>
      <w:r>
        <w:rPr>
          <w:color w:val="231F1F"/>
          <w:w w:val="110"/>
        </w:rPr>
        <w:t>avoid concomitant use</w:t>
      </w:r>
    </w:p>
    <w:p>
      <w:pPr>
        <w:pStyle w:val="BodyText"/>
        <w:spacing w:line="220" w:lineRule="auto" w:before="3"/>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influenza vaccine possibly increases plasma concentration of </w:t>
      </w:r>
      <w:r>
        <w:rPr>
          <w:rFonts w:ascii="Calibri" w:hAnsi="Calibri"/>
          <w:color w:val="008356"/>
          <w:w w:val="105"/>
          <w:sz w:val="11"/>
        </w:rPr>
        <w:t>THEOPHYLLINE</w:t>
      </w:r>
    </w:p>
    <w:p>
      <w:pPr>
        <w:pStyle w:val="BodyText"/>
        <w:spacing w:before="9"/>
        <w:ind w:left="108"/>
        <w:rPr>
          <w:rFonts w:ascii="Trebuchet MS"/>
        </w:rPr>
      </w:pPr>
      <w:r>
        <w:rPr>
          <w:rFonts w:ascii="Trebuchet MS"/>
          <w:color w:val="008356"/>
        </w:rPr>
        <w:t>Valaciclovir</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Aminophylline: </w:t>
      </w:r>
      <w:r>
        <w:rPr>
          <w:color w:val="231F1F"/>
          <w:w w:val="105"/>
        </w:rPr>
        <w:t>valaciclovir possibly increases plasma concentration of </w:t>
      </w:r>
      <w:r>
        <w:rPr>
          <w:rFonts w:ascii="Calibri" w:hAnsi="Calibri"/>
          <w:color w:val="008356"/>
          <w:w w:val="105"/>
          <w:sz w:val="11"/>
        </w:rPr>
        <w:t>AMINOPHYLLINE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Ciclosporin: </w:t>
      </w:r>
      <w:r>
        <w:rPr>
          <w:color w:val="231F1F"/>
          <w:w w:val="105"/>
        </w:rPr>
        <w:t>increased risk of nephrotoxicity when valaciclovir given with </w:t>
      </w:r>
      <w:r>
        <w:rPr>
          <w:rFonts w:ascii="Calibri" w:hAnsi="Calibri"/>
          <w:color w:val="008356"/>
          <w:w w:val="105"/>
          <w:sz w:val="11"/>
        </w:rPr>
        <w:t>CICLOSPORIN</w:t>
      </w:r>
    </w:p>
    <w:p>
      <w:pPr>
        <w:pStyle w:val="BodyText"/>
        <w:spacing w:line="230" w:lineRule="auto" w:before="5"/>
        <w:ind w:right="5" w:hanging="100"/>
      </w:pPr>
      <w:r>
        <w:rPr>
          <w:rFonts w:ascii="Lucida Sans Unicode" w:hAnsi="Lucida Sans Unicode"/>
          <w:color w:val="A7A8AC"/>
          <w:w w:val="95"/>
          <w:sz w:val="10"/>
        </w:rPr>
        <w:t>▶ </w:t>
      </w:r>
      <w:r>
        <w:rPr>
          <w:rFonts w:ascii="Calibri" w:hAnsi="Calibri"/>
          <w:color w:val="231F1F"/>
          <w:w w:val="110"/>
        </w:rPr>
        <w:t>Mycophenolate: </w:t>
      </w:r>
      <w:r>
        <w:rPr>
          <w:color w:val="231F1F"/>
          <w:w w:val="110"/>
        </w:rPr>
        <w:t>plasma concentration of valaciclovir increased by </w:t>
      </w:r>
      <w:r>
        <w:rPr>
          <w:rFonts w:ascii="Calibri" w:hAnsi="Calibri"/>
          <w:color w:val="008356"/>
          <w:w w:val="110"/>
          <w:sz w:val="11"/>
        </w:rPr>
        <w:t>MYCOPHENOLATE</w:t>
      </w:r>
      <w:r>
        <w:rPr>
          <w:color w:val="231F1F"/>
          <w:w w:val="110"/>
        </w:rPr>
        <w:t>, also plasma concentration of inactive metabolite of mycophenolate increased</w:t>
      </w:r>
    </w:p>
    <w:p>
      <w:pPr>
        <w:pStyle w:val="BodyText"/>
        <w:spacing w:line="220" w:lineRule="auto" w:before="13"/>
        <w:ind w:right="260"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possible increased risk of nephrotoxicity when valaciclovir given with </w:t>
      </w:r>
      <w:r>
        <w:rPr>
          <w:rFonts w:ascii="Calibri" w:hAnsi="Calibri"/>
          <w:color w:val="008356"/>
          <w:w w:val="110"/>
          <w:sz w:val="11"/>
        </w:rPr>
        <w:t>TACROLIMUS</w:t>
      </w:r>
    </w:p>
    <w:p>
      <w:pPr>
        <w:pStyle w:val="BodyText"/>
        <w:spacing w:line="220" w:lineRule="auto" w:before="8"/>
        <w:ind w:right="409" w:hanging="100"/>
        <w:rPr>
          <w:rFonts w:ascii="Calibri" w:hAnsi="Calibri"/>
          <w:sz w:val="11"/>
        </w:rPr>
      </w:pPr>
      <w:r>
        <w:rPr>
          <w:rFonts w:ascii="Lucida Sans Unicode" w:hAnsi="Lucida Sans Unicode"/>
          <w:color w:val="A7A8AC"/>
          <w:w w:val="95"/>
          <w:sz w:val="10"/>
        </w:rPr>
        <w:t>▶ </w:t>
      </w:r>
      <w:r>
        <w:rPr>
          <w:rFonts w:ascii="Calibri" w:hAnsi="Calibri"/>
          <w:color w:val="231F1F"/>
          <w:w w:val="105"/>
        </w:rPr>
        <w:t>Theophylline: </w:t>
      </w:r>
      <w:r>
        <w:rPr>
          <w:color w:val="231F1F"/>
          <w:w w:val="105"/>
        </w:rPr>
        <w:t>valaciclovir possibly increases plasma concentration of </w:t>
      </w:r>
      <w:r>
        <w:rPr>
          <w:rFonts w:ascii="Calibri" w:hAnsi="Calibri"/>
          <w:color w:val="008356"/>
          <w:w w:val="105"/>
          <w:sz w:val="11"/>
        </w:rPr>
        <w:t>THEOPHYLLINE</w:t>
      </w:r>
    </w:p>
    <w:p>
      <w:pPr>
        <w:pStyle w:val="BodyText"/>
        <w:spacing w:before="9"/>
        <w:ind w:left="108"/>
        <w:rPr>
          <w:rFonts w:ascii="Trebuchet MS"/>
        </w:rPr>
      </w:pPr>
      <w:r>
        <w:rPr>
          <w:rFonts w:ascii="Trebuchet MS"/>
          <w:color w:val="008356"/>
        </w:rPr>
        <w:t>Valganciclovir</w:t>
      </w:r>
    </w:p>
    <w:p>
      <w:pPr>
        <w:spacing w:before="0"/>
        <w:ind w:left="208" w:right="534" w:hanging="100"/>
        <w:jc w:val="left"/>
        <w:rPr>
          <w:rFonts w:ascii="Calibri"/>
          <w:sz w:val="11"/>
        </w:rPr>
      </w:pPr>
      <w:r>
        <w:rPr>
          <w:rFonts w:ascii="Arial"/>
          <w:color w:val="231F1F"/>
          <w:w w:val="355"/>
          <w:position w:val="1"/>
          <w:sz w:val="7"/>
        </w:rPr>
        <w:t>l </w:t>
      </w:r>
      <w:r>
        <w:rPr>
          <w:rFonts w:ascii="Calibri"/>
          <w:color w:val="231F1F"/>
          <w:w w:val="115"/>
          <w:sz w:val="12"/>
        </w:rPr>
        <w:t>Antibacterials: </w:t>
      </w:r>
      <w:r>
        <w:rPr>
          <w:color w:val="231F1F"/>
          <w:w w:val="115"/>
          <w:sz w:val="12"/>
        </w:rPr>
        <w:t>increased risk of convulsions when </w:t>
      </w:r>
      <w:r>
        <w:rPr>
          <w:color w:val="231F1F"/>
          <w:w w:val="110"/>
          <w:sz w:val="12"/>
        </w:rPr>
        <w:t>valganciclovir given with </w:t>
      </w:r>
      <w:r>
        <w:rPr>
          <w:rFonts w:ascii="Arial"/>
          <w:color w:val="231F1F"/>
          <w:w w:val="110"/>
          <w:position w:val="1"/>
          <w:sz w:val="7"/>
        </w:rPr>
        <w:t>l </w:t>
      </w:r>
      <w:r>
        <w:rPr>
          <w:rFonts w:ascii="Calibri"/>
          <w:color w:val="008356"/>
          <w:w w:val="110"/>
          <w:sz w:val="11"/>
        </w:rPr>
        <w:t>IMIPENEM WITH CILASTATIN</w:t>
      </w:r>
    </w:p>
    <w:p>
      <w:pPr>
        <w:pStyle w:val="BodyText"/>
        <w:spacing w:line="242" w:lineRule="auto"/>
        <w:ind w:hanging="100"/>
      </w:pPr>
      <w:r>
        <w:rPr>
          <w:rFonts w:ascii="Arial"/>
          <w:color w:val="231F1F"/>
          <w:w w:val="355"/>
          <w:position w:val="1"/>
          <w:sz w:val="7"/>
        </w:rPr>
        <w:t>l </w:t>
      </w:r>
      <w:r>
        <w:rPr>
          <w:rFonts w:ascii="Calibri"/>
          <w:color w:val="231F1F"/>
          <w:w w:val="115"/>
        </w:rPr>
        <w:t>Antivirals: </w:t>
      </w:r>
      <w:r>
        <w:rPr>
          <w:color w:val="231F1F"/>
          <w:w w:val="115"/>
        </w:rPr>
        <w:t>valganciclovir possibly increases plasma concentration of </w:t>
      </w:r>
      <w:r>
        <w:rPr>
          <w:rFonts w:ascii="Calibri"/>
          <w:color w:val="008356"/>
          <w:w w:val="115"/>
          <w:sz w:val="11"/>
        </w:rPr>
        <w:t>DIDANOSINE</w:t>
      </w:r>
      <w:r>
        <w:rPr>
          <w:color w:val="231F1F"/>
          <w:w w:val="115"/>
        </w:rPr>
        <w:t>; profound myelosuppression when valganciclovir given with </w:t>
      </w:r>
      <w:r>
        <w:rPr>
          <w:rFonts w:ascii="Arial"/>
          <w:color w:val="231F1F"/>
          <w:w w:val="355"/>
          <w:position w:val="1"/>
          <w:sz w:val="7"/>
        </w:rPr>
        <w:t>l </w:t>
      </w:r>
      <w:r>
        <w:rPr>
          <w:rFonts w:ascii="Calibri"/>
          <w:color w:val="008356"/>
          <w:w w:val="115"/>
          <w:sz w:val="11"/>
        </w:rPr>
        <w:t>ZIDOVUDINE </w:t>
      </w:r>
      <w:r>
        <w:rPr>
          <w:color w:val="231F1F"/>
          <w:w w:val="115"/>
        </w:rPr>
        <w:t>(if possible avoid concomitant administration, particularly during initial valganciclovir therapy)</w:t>
      </w:r>
    </w:p>
    <w:p>
      <w:pPr>
        <w:pStyle w:val="BodyText"/>
        <w:spacing w:line="220" w:lineRule="auto" w:before="9"/>
        <w:ind w:right="409" w:hanging="100"/>
      </w:pPr>
      <w:r>
        <w:rPr>
          <w:rFonts w:ascii="Lucida Sans Unicode" w:hAnsi="Lucida Sans Unicode"/>
          <w:color w:val="A7A8AC"/>
          <w:w w:val="95"/>
          <w:sz w:val="10"/>
        </w:rPr>
        <w:t>▶ </w:t>
      </w:r>
      <w:r>
        <w:rPr>
          <w:rFonts w:ascii="Calibri" w:hAnsi="Calibri"/>
          <w:color w:val="231F1F"/>
          <w:w w:val="105"/>
        </w:rPr>
        <w:t>Mycophenolate: </w:t>
      </w:r>
      <w:r>
        <w:rPr>
          <w:color w:val="231F1F"/>
          <w:w w:val="105"/>
        </w:rPr>
        <w:t>plasma concentration of valganciclovir possibly increased by </w:t>
      </w:r>
      <w:r>
        <w:rPr>
          <w:rFonts w:ascii="Calibri" w:hAnsi="Calibri"/>
          <w:color w:val="008356"/>
          <w:w w:val="105"/>
          <w:sz w:val="11"/>
        </w:rPr>
        <w:t>MYCOPHENOLATE</w:t>
      </w:r>
      <w:r>
        <w:rPr>
          <w:color w:val="231F1F"/>
          <w:w w:val="105"/>
        </w:rPr>
        <w:t>, also plasma</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Valganciclovir</w:t>
      </w:r>
    </w:p>
    <w:p>
      <w:pPr>
        <w:pStyle w:val="BodyText"/>
        <w:spacing w:line="146" w:lineRule="exact" w:before="5"/>
        <w:rPr>
          <w:rFonts w:ascii="Calibri"/>
        </w:rPr>
      </w:pPr>
      <w:r>
        <w:rPr/>
        <w:pict>
          <v:rect style="position:absolute;margin-left:398.891296pt;margin-top:-8.382288pt;width:20.522993pt;height:149.443pt;mso-position-horizontal-relative:page;mso-position-vertical-relative:paragraph;z-index:6880" filled="true" fillcolor="#bfdbcf" stroked="false">
            <v:fill type="solid"/>
            <w10:wrap type="none"/>
          </v:rect>
        </w:pict>
      </w:r>
      <w:r>
        <w:rPr/>
        <w:pict>
          <v:shape style="position:absolute;margin-left:399.725769pt;margin-top:-3.418899pt;width:10.4pt;height:78.850pt;mso-position-horizontal-relative:page;mso-position-vertical-relative:paragraph;z-index:6904"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Calibri"/>
          <w:color w:val="231F1F"/>
        </w:rPr>
        <w:t>Mycophenolate (continued)</w:t>
      </w:r>
    </w:p>
    <w:p>
      <w:pPr>
        <w:pStyle w:val="BodyText"/>
        <w:spacing w:line="249" w:lineRule="auto"/>
        <w:ind w:right="670"/>
      </w:pPr>
      <w:r>
        <w:rPr>
          <w:color w:val="231F1F"/>
          <w:w w:val="115"/>
        </w:rPr>
        <w:t>concentration of inactive metabolite of mycophenolate possibly increased</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Tacrolimus: </w:t>
      </w:r>
      <w:r>
        <w:rPr>
          <w:color w:val="231F1F"/>
          <w:w w:val="105"/>
        </w:rPr>
        <w:t>possible increased risk of nephrotoxicity when valganciclovir given with </w:t>
      </w:r>
      <w:r>
        <w:rPr>
          <w:rFonts w:ascii="Calibri" w:hAnsi="Calibri"/>
          <w:color w:val="008356"/>
          <w:w w:val="105"/>
          <w:sz w:val="11"/>
        </w:rPr>
        <w:t>TACROLIMUS</w:t>
      </w:r>
    </w:p>
    <w:p>
      <w:pPr>
        <w:pStyle w:val="BodyText"/>
        <w:spacing w:before="9"/>
        <w:ind w:left="108"/>
        <w:rPr>
          <w:rFonts w:ascii="Trebuchet MS"/>
        </w:rPr>
      </w:pPr>
      <w:r>
        <w:rPr>
          <w:rFonts w:ascii="Trebuchet MS"/>
          <w:color w:val="008356"/>
        </w:rPr>
        <w:t>Valproic Acid</w:t>
      </w:r>
    </w:p>
    <w:p>
      <w:pPr>
        <w:pStyle w:val="BodyText"/>
        <w:spacing w:line="149" w:lineRule="exact" w:before="1"/>
        <w:ind w:left="108"/>
        <w:rPr>
          <w:rFonts w:ascii="Calibri" w:hAnsi="Calibri"/>
          <w:sz w:val="11"/>
        </w:rPr>
      </w:pPr>
      <w:r>
        <w:rPr>
          <w:rFonts w:ascii="Lucida Sans Unicode" w:hAnsi="Lucida Sans Unicode"/>
          <w:color w:val="A7A8AC"/>
          <w:w w:val="95"/>
          <w:sz w:val="10"/>
        </w:rPr>
        <w:t>▶ </w:t>
      </w:r>
      <w:r>
        <w:rPr>
          <w:rFonts w:ascii="Calibri" w:hAnsi="Calibri"/>
          <w:color w:val="231F1F"/>
          <w:w w:val="105"/>
        </w:rPr>
        <w:t>Analgesics: </w:t>
      </w:r>
      <w:r>
        <w:rPr>
          <w:color w:val="231F1F"/>
          <w:w w:val="105"/>
        </w:rPr>
        <w:t>effects of valproic acid enhanced by </w:t>
      </w:r>
      <w:r>
        <w:rPr>
          <w:rFonts w:ascii="Calibri" w:hAnsi="Calibri"/>
          <w:color w:val="008356"/>
          <w:w w:val="105"/>
          <w:sz w:val="11"/>
        </w:rPr>
        <w:t>ASPIRIN</w:t>
      </w:r>
    </w:p>
    <w:p>
      <w:pPr>
        <w:pStyle w:val="BodyText"/>
        <w:spacing w:line="137" w:lineRule="exact"/>
        <w:ind w:left="108"/>
      </w:pPr>
      <w:r>
        <w:rPr>
          <w:rFonts w:ascii="Arial"/>
          <w:color w:val="231F1F"/>
          <w:w w:val="355"/>
          <w:position w:val="1"/>
          <w:sz w:val="7"/>
        </w:rPr>
        <w:t>l </w:t>
      </w:r>
      <w:r>
        <w:rPr>
          <w:rFonts w:ascii="Calibri"/>
          <w:color w:val="231F1F"/>
          <w:w w:val="115"/>
        </w:rPr>
        <w:t>Antibacterials: </w:t>
      </w:r>
      <w:r>
        <w:rPr>
          <w:color w:val="231F1F"/>
          <w:w w:val="115"/>
        </w:rPr>
        <w:t>metabolism of valproic acid possibly inhibited</w:t>
      </w:r>
    </w:p>
    <w:p>
      <w:pPr>
        <w:pStyle w:val="BodyText"/>
        <w:spacing w:line="244" w:lineRule="auto"/>
        <w:ind w:right="1035"/>
      </w:pPr>
      <w:r>
        <w:rPr>
          <w:color w:val="231F1F"/>
          <w:w w:val="110"/>
        </w:rPr>
        <w:t>by </w:t>
      </w:r>
      <w:r>
        <w:rPr>
          <w:rFonts w:ascii="Calibri" w:hAnsi="Calibri"/>
          <w:color w:val="008356"/>
          <w:spacing w:val="4"/>
          <w:w w:val="110"/>
          <w:sz w:val="11"/>
        </w:rPr>
        <w:t>ERYTHROMYCIN </w:t>
      </w:r>
      <w:r>
        <w:rPr>
          <w:color w:val="231F1F"/>
          <w:w w:val="110"/>
        </w:rPr>
        <w:t>(increased plasma concentration); avoidance of valproic acid advised by manufacturer of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4"/>
          <w:w w:val="110"/>
          <w:sz w:val="11"/>
        </w:rPr>
        <w:t>PIVMECILLINAM</w:t>
      </w:r>
      <w:r>
        <w:rPr>
          <w:color w:val="231F1F"/>
          <w:spacing w:val="4"/>
          <w:w w:val="110"/>
        </w:rPr>
        <w:t>;</w:t>
      </w:r>
      <w:r>
        <w:rPr>
          <w:color w:val="231F1F"/>
          <w:spacing w:val="-3"/>
          <w:w w:val="110"/>
        </w:rPr>
        <w:t> </w:t>
      </w:r>
      <w:r>
        <w:rPr>
          <w:color w:val="231F1F"/>
          <w:w w:val="110"/>
        </w:rPr>
        <w:t>plasma</w:t>
      </w:r>
      <w:r>
        <w:rPr>
          <w:color w:val="231F1F"/>
          <w:spacing w:val="-3"/>
          <w:w w:val="110"/>
        </w:rPr>
        <w:t> </w:t>
      </w:r>
      <w:r>
        <w:rPr>
          <w:color w:val="231F1F"/>
          <w:w w:val="110"/>
        </w:rPr>
        <w:t>concentration</w:t>
      </w:r>
      <w:r>
        <w:rPr>
          <w:color w:val="231F1F"/>
          <w:spacing w:val="-4"/>
          <w:w w:val="110"/>
        </w:rPr>
        <w:t> </w:t>
      </w:r>
      <w:r>
        <w:rPr>
          <w:color w:val="231F1F"/>
          <w:w w:val="110"/>
        </w:rPr>
        <w:t>of</w:t>
      </w:r>
      <w:r>
        <w:rPr>
          <w:color w:val="231F1F"/>
          <w:spacing w:val="-3"/>
          <w:w w:val="110"/>
        </w:rPr>
        <w:t> </w:t>
      </w:r>
      <w:r>
        <w:rPr>
          <w:color w:val="231F1F"/>
          <w:w w:val="110"/>
        </w:rPr>
        <w:t>valproic</w:t>
      </w:r>
      <w:r>
        <w:rPr>
          <w:color w:val="231F1F"/>
          <w:spacing w:val="-3"/>
          <w:w w:val="110"/>
        </w:rPr>
        <w:t> acid </w:t>
      </w:r>
      <w:r>
        <w:rPr>
          <w:color w:val="231F1F"/>
          <w:w w:val="110"/>
        </w:rPr>
        <w:t>reduced</w:t>
      </w:r>
      <w:r>
        <w:rPr>
          <w:color w:val="231F1F"/>
          <w:spacing w:val="-6"/>
          <w:w w:val="110"/>
        </w:rPr>
        <w:t> </w:t>
      </w:r>
      <w:r>
        <w:rPr>
          <w:color w:val="231F1F"/>
          <w:w w:val="110"/>
        </w:rPr>
        <w:t>by</w:t>
      </w:r>
      <w:r>
        <w:rPr>
          <w:color w:val="231F1F"/>
          <w:spacing w:val="-4"/>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3"/>
          <w:w w:val="110"/>
          <w:sz w:val="11"/>
        </w:rPr>
        <w:t>CARBAPENEMS</w:t>
      </w:r>
      <w:r>
        <w:rPr>
          <w:rFonts w:ascii="Arial" w:hAnsi="Arial"/>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6"/>
          <w:w w:val="110"/>
        </w:rPr>
        <w:t> </w:t>
      </w:r>
      <w:r>
        <w:rPr>
          <w:color w:val="231F1F"/>
          <w:w w:val="110"/>
        </w:rPr>
        <w:t>use</w:t>
      </w:r>
    </w:p>
    <w:p>
      <w:pPr>
        <w:pStyle w:val="BodyText"/>
        <w:spacing w:line="220" w:lineRule="auto" w:before="4"/>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Anticoagulants: </w:t>
      </w:r>
      <w:r>
        <w:rPr>
          <w:color w:val="231F1F"/>
          <w:w w:val="105"/>
        </w:rPr>
        <w:t>valproic acid possibly enhances anticoagulant effect of </w:t>
      </w:r>
      <w:r>
        <w:rPr>
          <w:rFonts w:ascii="Calibri" w:hAnsi="Calibri"/>
          <w:color w:val="008356"/>
          <w:w w:val="105"/>
          <w:sz w:val="11"/>
        </w:rPr>
        <w:t>COUMARINS</w:t>
      </w:r>
    </w:p>
    <w:p>
      <w:pPr>
        <w:spacing w:line="242" w:lineRule="auto" w:before="0"/>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244" w:lineRule="auto"/>
        <w:ind w:right="727" w:hanging="100"/>
        <w:rPr>
          <w:rFonts w:ascii="Calibri" w:hAnsi="Calibri"/>
          <w:sz w:val="11"/>
        </w:rPr>
      </w:pPr>
      <w:r>
        <w:rPr>
          <w:rFonts w:ascii="Arial" w:hAnsi="Arial"/>
          <w:color w:val="231F1F"/>
          <w:w w:val="355"/>
          <w:position w:val="1"/>
          <w:sz w:val="7"/>
        </w:rPr>
        <w:t>l </w:t>
      </w:r>
      <w:r>
        <w:rPr>
          <w:rFonts w:ascii="Calibri" w:hAnsi="Calibri"/>
          <w:color w:val="231F1F"/>
          <w:w w:val="110"/>
        </w:rPr>
        <w:t>Antiepileptics: </w:t>
      </w:r>
      <w:r>
        <w:rPr>
          <w:color w:val="231F1F"/>
          <w:w w:val="110"/>
        </w:rPr>
        <w:t>plasma concentration of valproic acid reduced by </w:t>
      </w:r>
      <w:r>
        <w:rPr>
          <w:rFonts w:ascii="Calibri" w:hAnsi="Calibri"/>
          <w:color w:val="008356"/>
          <w:spacing w:val="4"/>
          <w:w w:val="110"/>
          <w:sz w:val="11"/>
        </w:rPr>
        <w:t>CARBAMAZEPINE</w:t>
      </w:r>
      <w:r>
        <w:rPr>
          <w:color w:val="231F1F"/>
          <w:spacing w:val="4"/>
          <w:w w:val="110"/>
        </w:rPr>
        <w:t>, </w:t>
      </w:r>
      <w:r>
        <w:rPr>
          <w:color w:val="231F1F"/>
          <w:w w:val="110"/>
        </w:rPr>
        <w:t>also plasma concentration of active metabolite of  carbamazepine increased; valproic acid possibly increases plasma concentration of </w:t>
      </w:r>
      <w:r>
        <w:rPr>
          <w:rFonts w:ascii="Calibri" w:hAnsi="Calibri"/>
          <w:color w:val="008356"/>
          <w:spacing w:val="4"/>
          <w:w w:val="110"/>
          <w:sz w:val="11"/>
        </w:rPr>
        <w:t>ETHOSUXIMIDE</w:t>
      </w:r>
      <w:r>
        <w:rPr>
          <w:color w:val="231F1F"/>
          <w:spacing w:val="4"/>
          <w:w w:val="110"/>
        </w:rPr>
        <w:t>; </w:t>
      </w:r>
      <w:r>
        <w:rPr>
          <w:color w:val="231F1F"/>
          <w:w w:val="110"/>
        </w:rPr>
        <w:t>valproic acid increases or possibly decreases plasma concentration of </w:t>
      </w:r>
      <w:r>
        <w:rPr>
          <w:rFonts w:ascii="Calibri" w:hAnsi="Calibri"/>
          <w:color w:val="008356"/>
          <w:spacing w:val="4"/>
          <w:w w:val="110"/>
          <w:sz w:val="11"/>
        </w:rPr>
        <w:t>FOSPHENYTOIN </w:t>
      </w:r>
      <w:r>
        <w:rPr>
          <w:color w:val="231F1F"/>
          <w:w w:val="110"/>
        </w:rPr>
        <w:t>and </w:t>
      </w:r>
      <w:r>
        <w:rPr>
          <w:rFonts w:ascii="Calibri" w:hAnsi="Calibri"/>
          <w:color w:val="008356"/>
          <w:spacing w:val="4"/>
          <w:w w:val="110"/>
          <w:sz w:val="11"/>
        </w:rPr>
        <w:t>PHENYTOIN</w:t>
      </w:r>
      <w:r>
        <w:rPr>
          <w:color w:val="231F1F"/>
          <w:spacing w:val="4"/>
          <w:w w:val="110"/>
        </w:rPr>
        <w:t>, </w:t>
      </w:r>
      <w:r>
        <w:rPr>
          <w:color w:val="231F1F"/>
          <w:w w:val="110"/>
        </w:rPr>
        <w:t>also plasma concentration of valproic acid reduced; valproic acid increases plasma concentration of </w:t>
      </w:r>
      <w:r>
        <w:rPr>
          <w:rFonts w:ascii="Arial" w:hAnsi="Arial"/>
          <w:color w:val="231F1F"/>
          <w:w w:val="355"/>
          <w:position w:val="1"/>
          <w:sz w:val="7"/>
        </w:rPr>
        <w:t>l </w:t>
      </w:r>
      <w:r>
        <w:rPr>
          <w:rFonts w:ascii="Calibri" w:hAnsi="Calibri"/>
          <w:color w:val="008356"/>
          <w:spacing w:val="4"/>
          <w:w w:val="110"/>
          <w:sz w:val="11"/>
        </w:rPr>
        <w:t>LAMOTRIGINE </w:t>
      </w:r>
      <w:r>
        <w:rPr>
          <w:color w:val="231F1F"/>
          <w:w w:val="110"/>
        </w:rPr>
        <w:t>(increased risk of toxicity</w:t>
      </w:r>
      <w:r>
        <w:rPr>
          <w:rFonts w:ascii="Arial" w:hAnsi="Arial"/>
          <w:color w:val="231F1F"/>
          <w:w w:val="110"/>
        </w:rPr>
        <w:t>—</w:t>
      </w:r>
      <w:r>
        <w:rPr>
          <w:color w:val="231F1F"/>
          <w:w w:val="110"/>
        </w:rPr>
        <w:t>reduce lamotrigine dose); valproic acid sometimes reduces plasma concentration of an active metabolite of </w:t>
      </w:r>
      <w:r>
        <w:rPr>
          <w:rFonts w:ascii="Calibri" w:hAnsi="Calibri"/>
          <w:color w:val="008356"/>
          <w:spacing w:val="4"/>
          <w:w w:val="110"/>
          <w:sz w:val="11"/>
        </w:rPr>
        <w:t>OXCARBAZEPINE</w:t>
      </w:r>
      <w:r>
        <w:rPr>
          <w:color w:val="231F1F"/>
          <w:spacing w:val="4"/>
          <w:w w:val="110"/>
        </w:rPr>
        <w:t>; </w:t>
      </w:r>
      <w:r>
        <w:rPr>
          <w:color w:val="231F1F"/>
          <w:w w:val="110"/>
        </w:rPr>
        <w:t>valproic acid increases plasma concentration</w:t>
      </w:r>
      <w:r>
        <w:rPr>
          <w:color w:val="231F1F"/>
          <w:spacing w:val="-14"/>
          <w:w w:val="110"/>
        </w:rPr>
        <w:t> </w:t>
      </w:r>
      <w:r>
        <w:rPr>
          <w:color w:val="231F1F"/>
          <w:w w:val="110"/>
        </w:rPr>
        <w:t>of</w:t>
      </w:r>
      <w:r>
        <w:rPr>
          <w:color w:val="231F1F"/>
          <w:spacing w:val="-11"/>
          <w:w w:val="110"/>
        </w:rPr>
        <w:t> </w:t>
      </w:r>
      <w:r>
        <w:rPr>
          <w:rFonts w:ascii="Calibri" w:hAnsi="Calibri"/>
          <w:color w:val="008356"/>
          <w:spacing w:val="4"/>
          <w:w w:val="110"/>
          <w:sz w:val="11"/>
        </w:rPr>
        <w:t>PHENOBARBITAL</w:t>
      </w:r>
      <w:r>
        <w:rPr>
          <w:rFonts w:ascii="Calibri" w:hAnsi="Calibri"/>
          <w:color w:val="008356"/>
          <w:spacing w:val="-1"/>
          <w:w w:val="110"/>
          <w:sz w:val="11"/>
        </w:rPr>
        <w:t> </w:t>
      </w:r>
      <w:r>
        <w:rPr>
          <w:color w:val="231F1F"/>
          <w:w w:val="110"/>
        </w:rPr>
        <w:t>and</w:t>
      </w:r>
      <w:r>
        <w:rPr>
          <w:color w:val="231F1F"/>
          <w:spacing w:val="-12"/>
          <w:w w:val="110"/>
        </w:rPr>
        <w:t> </w:t>
      </w:r>
      <w:r>
        <w:rPr>
          <w:rFonts w:ascii="Calibri" w:hAnsi="Calibri"/>
          <w:color w:val="008356"/>
          <w:spacing w:val="4"/>
          <w:w w:val="110"/>
          <w:sz w:val="11"/>
        </w:rPr>
        <w:t>PRIMIDONE</w:t>
      </w:r>
      <w:r>
        <w:rPr>
          <w:rFonts w:ascii="Calibri" w:hAnsi="Calibri"/>
          <w:color w:val="008356"/>
          <w:spacing w:val="-2"/>
          <w:w w:val="110"/>
          <w:sz w:val="11"/>
        </w:rPr>
        <w:t> </w:t>
      </w:r>
      <w:r>
        <w:rPr>
          <w:color w:val="231F1F"/>
          <w:w w:val="110"/>
        </w:rPr>
        <w:t>(also</w:t>
      </w:r>
      <w:r>
        <w:rPr>
          <w:color w:val="231F1F"/>
          <w:spacing w:val="-12"/>
          <w:w w:val="110"/>
        </w:rPr>
        <w:t> </w:t>
      </w:r>
      <w:r>
        <w:rPr>
          <w:color w:val="231F1F"/>
          <w:w w:val="110"/>
        </w:rPr>
        <w:t>plasma concentration of valproic acid reduced); valproic acid possibly increases plasma concentration of </w:t>
      </w:r>
      <w:r>
        <w:rPr>
          <w:rFonts w:ascii="Calibri" w:hAnsi="Calibri"/>
          <w:color w:val="008356"/>
          <w:spacing w:val="4"/>
          <w:w w:val="110"/>
          <w:sz w:val="11"/>
        </w:rPr>
        <w:t>RUFINAMIDE </w:t>
      </w:r>
      <w:r>
        <w:rPr>
          <w:color w:val="231F1F"/>
          <w:w w:val="110"/>
        </w:rPr>
        <w:t>(reduce dose of rufinamide); hyperammonaemia and CNS toxicity reported when valproic acid given with</w:t>
      </w:r>
      <w:r>
        <w:rPr>
          <w:color w:val="231F1F"/>
          <w:spacing w:val="-21"/>
          <w:w w:val="110"/>
        </w:rPr>
        <w:t> </w:t>
      </w:r>
      <w:r>
        <w:rPr>
          <w:rFonts w:ascii="Calibri" w:hAnsi="Calibri"/>
          <w:color w:val="008356"/>
          <w:spacing w:val="3"/>
          <w:w w:val="110"/>
          <w:sz w:val="11"/>
        </w:rPr>
        <w:t>TOPIRAMATE</w:t>
      </w:r>
    </w:p>
    <w:p>
      <w:pPr>
        <w:pStyle w:val="BodyText"/>
        <w:ind w:right="122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spacing w:line="247" w:lineRule="auto"/>
        <w:ind w:right="820" w:hanging="100"/>
        <w:rPr>
          <w:rFonts w:ascii="Calibri"/>
          <w:sz w:val="11"/>
        </w:rPr>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 </w:t>
      </w:r>
      <w:r>
        <w:rPr>
          <w:rFonts w:ascii="Calibri"/>
          <w:color w:val="008356"/>
          <w:spacing w:val="4"/>
          <w:w w:val="110"/>
          <w:sz w:val="11"/>
        </w:rPr>
        <w:t>ANTIPSYCHOTICS </w:t>
      </w:r>
      <w:r>
        <w:rPr>
          <w:color w:val="231F1F"/>
          <w:w w:val="110"/>
        </w:rPr>
        <w:t>(convulsive threshold lowered); valproic acid possibly increases or decreases plasma concentration of </w:t>
      </w:r>
      <w:r>
        <w:rPr>
          <w:rFonts w:ascii="Calibri"/>
          <w:color w:val="008356"/>
          <w:spacing w:val="4"/>
          <w:w w:val="110"/>
          <w:sz w:val="11"/>
        </w:rPr>
        <w:t>CLOZAPINE</w:t>
      </w:r>
      <w:r>
        <w:rPr>
          <w:color w:val="231F1F"/>
          <w:spacing w:val="4"/>
          <w:w w:val="110"/>
        </w:rPr>
        <w:t>; </w:t>
      </w:r>
      <w:r>
        <w:rPr>
          <w:color w:val="231F1F"/>
          <w:w w:val="110"/>
        </w:rPr>
        <w:t>increased risk of side- effects including neutropenia when valproic acid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0"/>
          <w:sz w:val="11"/>
        </w:rPr>
        <w:t>OLANZAPINE</w:t>
      </w:r>
    </w:p>
    <w:p>
      <w:pPr>
        <w:pStyle w:val="BodyText"/>
        <w:spacing w:line="230" w:lineRule="auto"/>
        <w:ind w:right="670" w:hanging="100"/>
      </w:pPr>
      <w:r>
        <w:rPr>
          <w:rFonts w:ascii="Lucida Sans Unicode" w:hAnsi="Lucida Sans Unicode"/>
          <w:color w:val="A7A8AC"/>
          <w:w w:val="95"/>
          <w:sz w:val="10"/>
        </w:rPr>
        <w:t>▶ </w:t>
      </w:r>
      <w:r>
        <w:rPr>
          <w:rFonts w:ascii="Calibri" w:hAnsi="Calibri"/>
          <w:color w:val="231F1F"/>
          <w:w w:val="110"/>
        </w:rPr>
        <w:t>Antivirals: </w:t>
      </w:r>
      <w:r>
        <w:rPr>
          <w:color w:val="231F1F"/>
          <w:w w:val="110"/>
        </w:rPr>
        <w:t>plasma concentration of valproic acid possibly reduced by </w:t>
      </w:r>
      <w:r>
        <w:rPr>
          <w:rFonts w:ascii="Calibri" w:hAnsi="Calibri"/>
          <w:color w:val="008356"/>
          <w:w w:val="110"/>
          <w:sz w:val="11"/>
        </w:rPr>
        <w:t>RITONAVIR</w:t>
      </w:r>
      <w:r>
        <w:rPr>
          <w:color w:val="231F1F"/>
          <w:w w:val="110"/>
        </w:rPr>
        <w:t>; valproic acid possibly increases plasma concentration of </w:t>
      </w:r>
      <w:r>
        <w:rPr>
          <w:rFonts w:ascii="Calibri" w:hAnsi="Calibri"/>
          <w:color w:val="008356"/>
          <w:w w:val="110"/>
          <w:sz w:val="11"/>
        </w:rPr>
        <w:t>ZIDOVUDINE </w:t>
      </w:r>
      <w:r>
        <w:rPr>
          <w:color w:val="231F1F"/>
          <w:w w:val="110"/>
        </w:rPr>
        <w:t>(increased risk of toxicity)</w:t>
      </w:r>
    </w:p>
    <w:p>
      <w:pPr>
        <w:pStyle w:val="BodyText"/>
        <w:spacing w:line="237" w:lineRule="auto"/>
        <w:ind w:right="786" w:hanging="100"/>
        <w:rPr>
          <w:rFonts w:ascii="Calibri" w:hAnsi="Calibri"/>
          <w:sz w:val="11"/>
        </w:rPr>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plasma concentration of valproic acid possibly increased by </w:t>
      </w:r>
      <w:r>
        <w:rPr>
          <w:rFonts w:ascii="Calibri" w:hAnsi="Calibri"/>
          <w:color w:val="008356"/>
          <w:w w:val="110"/>
          <w:sz w:val="11"/>
        </w:rPr>
        <w:t>CLOBAZAM</w:t>
      </w:r>
      <w:r>
        <w:rPr>
          <w:color w:val="231F1F"/>
          <w:w w:val="110"/>
        </w:rPr>
        <w:t>; increased risk of side- effects when valproic acid given with </w:t>
      </w:r>
      <w:r>
        <w:rPr>
          <w:rFonts w:ascii="Calibri" w:hAnsi="Calibri"/>
          <w:color w:val="008356"/>
          <w:w w:val="110"/>
          <w:sz w:val="11"/>
        </w:rPr>
        <w:t>CLONAZEPAM</w:t>
      </w:r>
      <w:r>
        <w:rPr>
          <w:color w:val="231F1F"/>
          <w:w w:val="110"/>
        </w:rPr>
        <w:t>; valproic acid possibly increases plasma concentration of </w:t>
      </w:r>
      <w:r>
        <w:rPr>
          <w:rFonts w:ascii="Calibri" w:hAnsi="Calibri"/>
          <w:color w:val="008356"/>
          <w:w w:val="110"/>
          <w:sz w:val="11"/>
        </w:rPr>
        <w:t>DIAZEPAM </w:t>
      </w:r>
      <w:r>
        <w:rPr>
          <w:color w:val="231F1F"/>
          <w:w w:val="110"/>
        </w:rPr>
        <w:t>and </w:t>
      </w:r>
      <w:r>
        <w:rPr>
          <w:rFonts w:ascii="Calibri" w:hAnsi="Calibri"/>
          <w:color w:val="008356"/>
          <w:w w:val="110"/>
          <w:sz w:val="11"/>
        </w:rPr>
        <w:t>LORAZEPAM</w:t>
      </w:r>
    </w:p>
    <w:p>
      <w:pPr>
        <w:pStyle w:val="BodyText"/>
        <w:spacing w:line="146" w:lineRule="exact"/>
        <w:ind w:left="108"/>
        <w:rPr>
          <w:rFonts w:ascii="Calibri" w:hAnsi="Calibri"/>
          <w:sz w:val="11"/>
        </w:rPr>
      </w:pPr>
      <w:r>
        <w:rPr>
          <w:rFonts w:ascii="Lucida Sans Unicode" w:hAnsi="Lucida Sans Unicode"/>
          <w:color w:val="A7A8AC"/>
          <w:w w:val="95"/>
          <w:sz w:val="10"/>
        </w:rPr>
        <w:t>▶ </w:t>
      </w:r>
      <w:r>
        <w:rPr>
          <w:rFonts w:ascii="Calibri" w:hAnsi="Calibri"/>
          <w:color w:val="231F1F"/>
          <w:w w:val="105"/>
        </w:rPr>
        <w:t>Bupropion: </w:t>
      </w:r>
      <w:r>
        <w:rPr>
          <w:color w:val="231F1F"/>
          <w:w w:val="105"/>
        </w:rPr>
        <w:t>valproic acid inhibits the metabolism of </w:t>
      </w:r>
      <w:r>
        <w:rPr>
          <w:rFonts w:ascii="Calibri" w:hAnsi="Calibri"/>
          <w:color w:val="008356"/>
          <w:w w:val="105"/>
          <w:sz w:val="11"/>
        </w:rPr>
        <w:t>BUPROPION</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05"/>
        </w:rPr>
        <w:t>Cytotoxics: </w:t>
      </w:r>
      <w:r>
        <w:rPr>
          <w:color w:val="231F1F"/>
          <w:w w:val="105"/>
        </w:rPr>
        <w:t>valproic acid increases plasma concentration of</w:t>
      </w:r>
    </w:p>
    <w:p>
      <w:pPr>
        <w:spacing w:line="131" w:lineRule="exact" w:before="0"/>
        <w:ind w:left="208" w:right="0" w:firstLine="0"/>
        <w:jc w:val="left"/>
        <w:rPr>
          <w:rFonts w:ascii="Calibri"/>
          <w:sz w:val="11"/>
        </w:rPr>
      </w:pPr>
      <w:r>
        <w:rPr>
          <w:rFonts w:ascii="Calibri"/>
          <w:color w:val="008356"/>
          <w:sz w:val="11"/>
        </w:rPr>
        <w:t>TEMOZOLOMIDE</w:t>
      </w:r>
    </w:p>
    <w:p>
      <w:pPr>
        <w:pStyle w:val="BodyText"/>
        <w:spacing w:line="220" w:lineRule="auto" w:before="3"/>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Lipid-regulating Drugs: </w:t>
      </w:r>
      <w:r>
        <w:rPr>
          <w:color w:val="231F1F"/>
          <w:w w:val="105"/>
        </w:rPr>
        <w:t>absorption of valproic acid possibly reduced by </w:t>
      </w:r>
      <w:r>
        <w:rPr>
          <w:rFonts w:ascii="Calibri" w:hAnsi="Calibri"/>
          <w:color w:val="008356"/>
          <w:w w:val="105"/>
          <w:sz w:val="11"/>
        </w:rPr>
        <w:t>COLESTYRAMINE</w:t>
      </w:r>
    </w:p>
    <w:p>
      <w:pPr>
        <w:spacing w:line="220" w:lineRule="auto" w:before="8"/>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Oestrogens: </w:t>
      </w:r>
      <w:r>
        <w:rPr>
          <w:color w:val="231F1F"/>
          <w:w w:val="105"/>
          <w:sz w:val="12"/>
        </w:rPr>
        <w:t>plasma concentration of valproic acid possibly reduced by </w:t>
      </w:r>
      <w:r>
        <w:rPr>
          <w:rFonts w:ascii="Calibri" w:hAnsi="Calibri"/>
          <w:color w:val="008356"/>
          <w:w w:val="105"/>
          <w:sz w:val="11"/>
        </w:rPr>
        <w:t>ETHINYLESTRADIOL</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153" w:lineRule="exact"/>
        <w:ind w:left="108"/>
      </w:pPr>
      <w:r>
        <w:rPr>
          <w:rFonts w:ascii="Lucida Sans Unicode" w:hAnsi="Lucida Sans Unicode"/>
          <w:color w:val="A7A8AC"/>
          <w:w w:val="95"/>
          <w:sz w:val="10"/>
        </w:rPr>
        <w:t>▶ </w:t>
      </w:r>
      <w:r>
        <w:rPr>
          <w:rFonts w:ascii="Calibri" w:hAnsi="Calibri"/>
          <w:color w:val="231F1F"/>
          <w:w w:val="105"/>
        </w:rPr>
        <w:t>Sodium Benzoate: </w:t>
      </w:r>
      <w:r>
        <w:rPr>
          <w:color w:val="231F1F"/>
          <w:w w:val="105"/>
        </w:rPr>
        <w:t>valproic acid possibly reduces effects of</w:t>
      </w:r>
    </w:p>
    <w:p>
      <w:pPr>
        <w:spacing w:line="130" w:lineRule="exact" w:before="0"/>
        <w:ind w:left="208" w:right="0" w:firstLine="0"/>
        <w:jc w:val="left"/>
        <w:rPr>
          <w:rFonts w:ascii="Calibri"/>
          <w:sz w:val="11"/>
        </w:rPr>
      </w:pPr>
      <w:r>
        <w:rPr>
          <w:rFonts w:ascii="Calibri"/>
          <w:color w:val="008356"/>
          <w:spacing w:val="4"/>
          <w:w w:val="95"/>
          <w:sz w:val="11"/>
        </w:rPr>
        <w:t>SODIUM</w:t>
      </w:r>
      <w:r>
        <w:rPr>
          <w:rFonts w:ascii="Calibri"/>
          <w:color w:val="008356"/>
          <w:spacing w:val="22"/>
          <w:w w:val="95"/>
          <w:sz w:val="11"/>
        </w:rPr>
        <w:t> </w:t>
      </w:r>
      <w:r>
        <w:rPr>
          <w:rFonts w:ascii="Calibri"/>
          <w:color w:val="008356"/>
          <w:spacing w:val="4"/>
          <w:w w:val="95"/>
          <w:sz w:val="11"/>
        </w:rPr>
        <w:t>BENZOATE</w:t>
      </w:r>
    </w:p>
    <w:p>
      <w:pPr>
        <w:pStyle w:val="BodyText"/>
        <w:ind w:right="1075" w:hanging="100"/>
      </w:pPr>
      <w:r>
        <w:rPr>
          <w:rFonts w:ascii="Arial"/>
          <w:color w:val="231F1F"/>
          <w:w w:val="355"/>
          <w:position w:val="1"/>
          <w:sz w:val="7"/>
        </w:rPr>
        <w:t>l </w:t>
      </w:r>
      <w:r>
        <w:rPr>
          <w:rFonts w:ascii="Calibri"/>
          <w:color w:val="231F1F"/>
          <w:w w:val="115"/>
        </w:rPr>
        <w:t>Sodium Oxybate: </w:t>
      </w:r>
      <w:r>
        <w:rPr>
          <w:color w:val="231F1F"/>
          <w:w w:val="115"/>
        </w:rPr>
        <w:t>valproic acid increases the plasma concentration</w:t>
      </w:r>
      <w:r>
        <w:rPr>
          <w:color w:val="231F1F"/>
          <w:spacing w:val="-24"/>
          <w:w w:val="115"/>
        </w:rPr>
        <w:t> </w:t>
      </w:r>
      <w:r>
        <w:rPr>
          <w:color w:val="231F1F"/>
          <w:w w:val="115"/>
        </w:rPr>
        <w:t>of</w:t>
      </w:r>
      <w:r>
        <w:rPr>
          <w:color w:val="231F1F"/>
          <w:spacing w:val="-23"/>
          <w:w w:val="115"/>
        </w:rPr>
        <w:t>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5"/>
          <w:sz w:val="11"/>
        </w:rPr>
        <w:t>SODIUM</w:t>
      </w:r>
      <w:r>
        <w:rPr>
          <w:rFonts w:ascii="Calibri"/>
          <w:color w:val="008356"/>
          <w:spacing w:val="-16"/>
          <w:w w:val="115"/>
          <w:sz w:val="11"/>
        </w:rPr>
        <w:t> </w:t>
      </w:r>
      <w:r>
        <w:rPr>
          <w:rFonts w:ascii="Calibri"/>
          <w:color w:val="008356"/>
          <w:spacing w:val="3"/>
          <w:w w:val="115"/>
          <w:sz w:val="11"/>
        </w:rPr>
        <w:t>OXYBATE</w:t>
      </w:r>
      <w:r>
        <w:rPr>
          <w:rFonts w:ascii="Calibri"/>
          <w:color w:val="008356"/>
          <w:spacing w:val="-15"/>
          <w:w w:val="115"/>
          <w:sz w:val="11"/>
        </w:rPr>
        <w:t> </w:t>
      </w:r>
      <w:r>
        <w:rPr>
          <w:color w:val="231F1F"/>
          <w:w w:val="115"/>
        </w:rPr>
        <w:t>(see</w:t>
      </w:r>
      <w:r>
        <w:rPr>
          <w:color w:val="231F1F"/>
          <w:spacing w:val="-23"/>
          <w:w w:val="115"/>
        </w:rPr>
        <w:t> </w:t>
      </w:r>
      <w:r>
        <w:rPr>
          <w:color w:val="231F1F"/>
          <w:w w:val="115"/>
        </w:rPr>
        <w:t>under</w:t>
      </w:r>
      <w:r>
        <w:rPr>
          <w:color w:val="231F1F"/>
          <w:spacing w:val="-23"/>
          <w:w w:val="115"/>
        </w:rPr>
        <w:t> </w:t>
      </w:r>
      <w:r>
        <w:rPr>
          <w:color w:val="231F1F"/>
          <w:w w:val="115"/>
        </w:rPr>
        <w:t>Sodium Oxybate, p.</w:t>
      </w:r>
      <w:r>
        <w:rPr>
          <w:color w:val="231F1F"/>
          <w:spacing w:val="-11"/>
          <w:w w:val="115"/>
        </w:rPr>
        <w:t> </w:t>
      </w:r>
      <w:r>
        <w:rPr>
          <w:color w:val="231F1F"/>
          <w:w w:val="115"/>
        </w:rPr>
        <w:t>425)</w:t>
      </w:r>
    </w:p>
    <w:p>
      <w:pPr>
        <w:spacing w:line="220" w:lineRule="auto" w:before="10"/>
        <w:ind w:left="208" w:right="820" w:hanging="100"/>
        <w:jc w:val="left"/>
        <w:rPr>
          <w:rFonts w:ascii="Calibri" w:hAnsi="Calibri"/>
          <w:sz w:val="11"/>
        </w:rPr>
      </w:pPr>
      <w:r>
        <w:rPr>
          <w:rFonts w:ascii="Lucida Sans Unicode" w:hAnsi="Lucida Sans Unicode"/>
          <w:color w:val="A7A8AC"/>
          <w:w w:val="95"/>
          <w:sz w:val="10"/>
        </w:rPr>
        <w:t>▶ </w:t>
      </w:r>
      <w:r>
        <w:rPr>
          <w:rFonts w:ascii="Calibri" w:hAnsi="Calibri"/>
          <w:color w:val="231F1F"/>
          <w:sz w:val="12"/>
        </w:rPr>
        <w:t>Sodium Phenylbutyrate:  </w:t>
      </w:r>
      <w:r>
        <w:rPr>
          <w:color w:val="231F1F"/>
          <w:sz w:val="12"/>
        </w:rPr>
        <w:t>valproic  acid  possibly  reduces effects of </w:t>
      </w:r>
      <w:r>
        <w:rPr>
          <w:rFonts w:ascii="Calibri" w:hAnsi="Calibri"/>
          <w:color w:val="008356"/>
          <w:spacing w:val="4"/>
          <w:sz w:val="11"/>
        </w:rPr>
        <w:t>SODIUM</w:t>
      </w:r>
      <w:r>
        <w:rPr>
          <w:rFonts w:ascii="Calibri" w:hAnsi="Calibri"/>
          <w:color w:val="008356"/>
          <w:spacing w:val="9"/>
          <w:sz w:val="11"/>
        </w:rPr>
        <w:t> </w:t>
      </w:r>
      <w:r>
        <w:rPr>
          <w:rFonts w:ascii="Calibri" w:hAnsi="Calibri"/>
          <w:color w:val="008356"/>
          <w:spacing w:val="4"/>
          <w:sz w:val="11"/>
        </w:rPr>
        <w:t>PHENYLBUTYRATE</w:t>
      </w:r>
    </w:p>
    <w:p>
      <w:pPr>
        <w:pStyle w:val="BodyText"/>
        <w:spacing w:line="145" w:lineRule="exact"/>
        <w:ind w:left="108"/>
      </w:pPr>
      <w:r>
        <w:rPr>
          <w:rFonts w:ascii="Arial"/>
          <w:color w:val="231F1F"/>
          <w:w w:val="355"/>
          <w:position w:val="1"/>
          <w:sz w:val="7"/>
        </w:rPr>
        <w:t>l </w:t>
      </w:r>
      <w:r>
        <w:rPr>
          <w:rFonts w:ascii="Calibri"/>
          <w:color w:val="231F1F"/>
          <w:w w:val="115"/>
        </w:rPr>
        <w:t>Ulcer-healing Drugs: </w:t>
      </w:r>
      <w:r>
        <w:rPr>
          <w:color w:val="231F1F"/>
          <w:w w:val="115"/>
        </w:rPr>
        <w:t>metabolism of valproic acid inhibited by</w:t>
      </w:r>
    </w:p>
    <w:p>
      <w:pPr>
        <w:pStyle w:val="BodyText"/>
        <w:spacing w:line="254" w:lineRule="auto"/>
        <w:ind w:left="108" w:right="1328" w:firstLine="99"/>
        <w:rPr>
          <w:rFonts w:ascii="Trebuchet MS"/>
        </w:rPr>
      </w:pPr>
      <w:r>
        <w:rPr>
          <w:rFonts w:ascii="Arial"/>
          <w:color w:val="231F1F"/>
          <w:w w:val="355"/>
          <w:position w:val="1"/>
          <w:sz w:val="7"/>
        </w:rPr>
        <w:t>l </w:t>
      </w:r>
      <w:r>
        <w:rPr>
          <w:rFonts w:ascii="Calibri"/>
          <w:color w:val="008356"/>
          <w:w w:val="110"/>
          <w:sz w:val="11"/>
        </w:rPr>
        <w:t>CIMETIDINE </w:t>
      </w:r>
      <w:r>
        <w:rPr>
          <w:color w:val="231F1F"/>
          <w:w w:val="110"/>
        </w:rPr>
        <w:t>(increased plasma concentration) </w:t>
      </w:r>
      <w:r>
        <w:rPr>
          <w:rFonts w:ascii="Trebuchet MS"/>
          <w:color w:val="008356"/>
          <w:w w:val="110"/>
        </w:rPr>
        <w:t>Valsartan </w:t>
      </w:r>
      <w:r>
        <w:rPr>
          <w:i/>
          <w:color w:val="231F1F"/>
          <w:w w:val="110"/>
        </w:rPr>
        <w:t>see </w:t>
      </w:r>
      <w:r>
        <w:rPr>
          <w:color w:val="231F1F"/>
          <w:w w:val="110"/>
        </w:rPr>
        <w:t>Angiotensin-II Receptor Antagonists </w:t>
      </w:r>
      <w:r>
        <w:rPr>
          <w:rFonts w:ascii="Trebuchet MS"/>
          <w:color w:val="008356"/>
          <w:w w:val="110"/>
        </w:rPr>
        <w:t>Vancomycin</w:t>
      </w:r>
    </w:p>
    <w:p>
      <w:pPr>
        <w:spacing w:line="237" w:lineRule="auto" w:before="0"/>
        <w:ind w:left="208" w:right="67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Anaesthetics, General: </w:t>
      </w:r>
      <w:r>
        <w:rPr>
          <w:color w:val="231F1F"/>
          <w:w w:val="105"/>
          <w:sz w:val="12"/>
        </w:rPr>
        <w:t>hypersensitivity-like reactions can occur when </w:t>
      </w:r>
      <w:r>
        <w:rPr>
          <w:i/>
          <w:color w:val="231F1F"/>
          <w:w w:val="105"/>
          <w:sz w:val="12"/>
        </w:rPr>
        <w:t>intravenous </w:t>
      </w:r>
      <w:r>
        <w:rPr>
          <w:color w:val="231F1F"/>
          <w:w w:val="105"/>
          <w:sz w:val="12"/>
        </w:rPr>
        <w:t>vancomycin given with </w:t>
      </w:r>
      <w:r>
        <w:rPr>
          <w:rFonts w:ascii="Calibri" w:hAnsi="Calibri"/>
          <w:color w:val="008356"/>
          <w:w w:val="105"/>
          <w:sz w:val="11"/>
        </w:rPr>
        <w:t>GENERAL ANAESTHETICS</w:t>
      </w:r>
    </w:p>
    <w:p>
      <w:pPr>
        <w:spacing w:after="0" w:line="237" w:lineRule="auto"/>
        <w:jc w:val="left"/>
        <w:rPr>
          <w:rFonts w:ascii="Calibri" w:hAnsi="Calibri"/>
          <w:sz w:val="11"/>
        </w:rPr>
        <w:sectPr>
          <w:pgSz w:w="8390" w:h="11910"/>
          <w:pgMar w:header="0" w:footer="0" w:top="460" w:bottom="0" w:left="480" w:right="0"/>
          <w:cols w:num="2" w:equalWidth="0">
            <w:col w:w="3605" w:space="71"/>
            <w:col w:w="4234"/>
          </w:cols>
        </w:sectPr>
      </w:pPr>
    </w:p>
    <w:p>
      <w:pPr>
        <w:pStyle w:val="BodyText"/>
        <w:spacing w:before="9"/>
        <w:ind w:left="0"/>
        <w:rPr>
          <w:rFonts w:ascii="Calibri"/>
          <w:sz w:val="13"/>
        </w:rPr>
      </w:pPr>
      <w:r>
        <w:rPr/>
        <w:pict>
          <v:rect style="position:absolute;margin-left:0pt;margin-top:30.840979pt;width:20.353299pt;height:149.443pt;mso-position-horizontal-relative:page;mso-position-vertical-relative:page;z-index:6928" filled="true" fillcolor="#bfdbcf" stroked="false">
            <v:fill type="solid"/>
            <w10:wrap type="none"/>
          </v:rect>
        </w:pict>
      </w:r>
      <w:r>
        <w:rPr/>
        <w:pict>
          <v:shape style="position:absolute;margin-left:7.751256pt;margin-top:35.804367pt;width:10.4pt;height:78.850pt;mso-position-horizontal-relative:page;mso-position-vertical-relative:page;z-index:6952"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44" w:lineRule="exact"/>
        <w:ind w:left="186"/>
        <w:rPr>
          <w:rFonts w:ascii="Calibri"/>
        </w:rPr>
      </w:pPr>
      <w:r>
        <w:rPr>
          <w:rFonts w:ascii="Arial"/>
          <w:color w:val="008356"/>
        </w:rPr>
        <w:t>Vancomycin </w:t>
      </w:r>
      <w:r>
        <w:rPr>
          <w:rFonts w:ascii="Calibri"/>
          <w:color w:val="231F1F"/>
        </w:rPr>
        <w:t>(continued)</w:t>
      </w:r>
    </w:p>
    <w:p>
      <w:pPr>
        <w:spacing w:line="242" w:lineRule="auto" w:before="0"/>
        <w:ind w:left="286" w:right="-9" w:hanging="100"/>
        <w:jc w:val="left"/>
        <w:rPr>
          <w:rFonts w:ascii="Calibri"/>
          <w:sz w:val="11"/>
        </w:rPr>
      </w:pPr>
      <w:r>
        <w:rPr>
          <w:rFonts w:ascii="Arial"/>
          <w:color w:val="231F1F"/>
          <w:w w:val="355"/>
          <w:position w:val="1"/>
          <w:sz w:val="7"/>
        </w:rPr>
        <w:t>l </w:t>
      </w:r>
      <w:r>
        <w:rPr>
          <w:rFonts w:ascii="Calibri"/>
          <w:color w:val="231F1F"/>
          <w:w w:val="110"/>
          <w:sz w:val="12"/>
        </w:rPr>
        <w:t>Antibacterials: </w:t>
      </w:r>
      <w:r>
        <w:rPr>
          <w:color w:val="231F1F"/>
          <w:w w:val="110"/>
          <w:sz w:val="12"/>
        </w:rPr>
        <w:t>increased risk of nephrotoxicity and ototoxicity when vancomycin given with </w:t>
      </w:r>
      <w:r>
        <w:rPr>
          <w:rFonts w:ascii="Arial"/>
          <w:color w:val="231F1F"/>
          <w:w w:val="355"/>
          <w:position w:val="1"/>
          <w:sz w:val="7"/>
        </w:rPr>
        <w:t>l </w:t>
      </w:r>
      <w:r>
        <w:rPr>
          <w:rFonts w:ascii="Calibri"/>
          <w:color w:val="008356"/>
          <w:w w:val="110"/>
          <w:sz w:val="11"/>
        </w:rPr>
        <w:t>AMINOGLYCOSIDES</w:t>
      </w:r>
      <w:r>
        <w:rPr>
          <w:color w:val="231F1F"/>
          <w:w w:val="110"/>
          <w:sz w:val="12"/>
        </w:rPr>
        <w:t>, </w:t>
      </w:r>
      <w:r>
        <w:rPr>
          <w:rFonts w:ascii="Calibri"/>
          <w:color w:val="008356"/>
          <w:w w:val="110"/>
          <w:sz w:val="11"/>
        </w:rPr>
        <w:t>CAPREOMYCIN </w:t>
      </w:r>
      <w:r>
        <w:rPr>
          <w:color w:val="231F1F"/>
          <w:w w:val="110"/>
          <w:sz w:val="12"/>
        </w:rPr>
        <w:t>or </w:t>
      </w:r>
      <w:r>
        <w:rPr>
          <w:rFonts w:ascii="Calibri"/>
          <w:color w:val="008356"/>
          <w:w w:val="110"/>
          <w:sz w:val="11"/>
        </w:rPr>
        <w:t>COLISTIMETHATE SODIUM</w:t>
      </w:r>
      <w:r>
        <w:rPr>
          <w:color w:val="231F1F"/>
          <w:w w:val="110"/>
          <w:sz w:val="12"/>
        </w:rPr>
        <w:t>; increased risk of nephrotoxicity when vancomycin given with </w:t>
      </w:r>
      <w:r>
        <w:rPr>
          <w:rFonts w:ascii="Calibri"/>
          <w:color w:val="008356"/>
          <w:w w:val="110"/>
          <w:sz w:val="11"/>
        </w:rPr>
        <w:t>POLYMYXINS</w:t>
      </w:r>
    </w:p>
    <w:p>
      <w:pPr>
        <w:pStyle w:val="BodyText"/>
        <w:spacing w:line="220" w:lineRule="auto" w:before="1"/>
        <w:ind w:left="286" w:right="188"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possible increased risk of nephrotoxicity when vancomycin given with </w:t>
      </w:r>
      <w:r>
        <w:rPr>
          <w:rFonts w:ascii="Calibri" w:hAnsi="Calibri"/>
          <w:color w:val="008356"/>
          <w:w w:val="110"/>
          <w:sz w:val="11"/>
        </w:rPr>
        <w:t>AMPHOTERICIN</w:t>
      </w:r>
    </w:p>
    <w:p>
      <w:pPr>
        <w:pStyle w:val="BodyText"/>
        <w:spacing w:before="1"/>
        <w:ind w:left="286" w:hanging="100"/>
        <w:rPr>
          <w:rFonts w:ascii="Calibri"/>
          <w:sz w:val="11"/>
        </w:rPr>
      </w:pPr>
      <w:r>
        <w:rPr>
          <w:rFonts w:ascii="Arial"/>
          <w:color w:val="231F1F"/>
          <w:w w:val="355"/>
          <w:position w:val="1"/>
          <w:sz w:val="7"/>
        </w:rPr>
        <w:t>l</w:t>
      </w:r>
      <w:r>
        <w:rPr>
          <w:rFonts w:ascii="Arial"/>
          <w:color w:val="231F1F"/>
          <w:spacing w:val="-31"/>
          <w:w w:val="355"/>
          <w:position w:val="1"/>
          <w:sz w:val="7"/>
        </w:rPr>
        <w:t> </w:t>
      </w:r>
      <w:r>
        <w:rPr>
          <w:rFonts w:ascii="Calibri"/>
          <w:color w:val="231F1F"/>
          <w:w w:val="110"/>
        </w:rPr>
        <w:t>Ciclosporin: </w:t>
      </w:r>
      <w:r>
        <w:rPr>
          <w:color w:val="231F1F"/>
          <w:w w:val="110"/>
        </w:rPr>
        <w:t>increased risk of nephrotoxicity when vancomycin given with </w:t>
      </w:r>
      <w:r>
        <w:rPr>
          <w:rFonts w:ascii="Arial"/>
          <w:color w:val="231F1F"/>
          <w:w w:val="355"/>
          <w:position w:val="1"/>
          <w:sz w:val="7"/>
        </w:rPr>
        <w:t>l</w:t>
      </w:r>
      <w:r>
        <w:rPr>
          <w:rFonts w:ascii="Arial"/>
          <w:color w:val="231F1F"/>
          <w:spacing w:val="-47"/>
          <w:w w:val="355"/>
          <w:position w:val="1"/>
          <w:sz w:val="7"/>
        </w:rPr>
        <w:t> </w:t>
      </w:r>
      <w:r>
        <w:rPr>
          <w:rFonts w:ascii="Calibri"/>
          <w:color w:val="008356"/>
          <w:spacing w:val="4"/>
          <w:w w:val="110"/>
          <w:sz w:val="11"/>
        </w:rPr>
        <w:t>CICLOSPORIN</w:t>
      </w:r>
    </w:p>
    <w:p>
      <w:pPr>
        <w:pStyle w:val="BodyText"/>
        <w:spacing w:line="220" w:lineRule="auto" w:before="5"/>
        <w:ind w:left="286" w:right="186"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increased risk of nephrotoxicity and possibly of ototoxicity when vancomycin given with </w:t>
      </w:r>
      <w:r>
        <w:rPr>
          <w:rFonts w:ascii="Calibri" w:hAnsi="Calibri"/>
          <w:color w:val="008356"/>
          <w:w w:val="110"/>
          <w:sz w:val="11"/>
        </w:rPr>
        <w:t>CISPLATIN</w:t>
      </w:r>
    </w:p>
    <w:p>
      <w:pPr>
        <w:spacing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Diuretics: </w:t>
      </w:r>
      <w:r>
        <w:rPr>
          <w:color w:val="231F1F"/>
          <w:w w:val="110"/>
          <w:sz w:val="12"/>
        </w:rPr>
        <w:t>increased risk of otoxicity when vancomycin given with </w:t>
      </w:r>
      <w:r>
        <w:rPr>
          <w:rFonts w:ascii="Arial"/>
          <w:color w:val="231F1F"/>
          <w:w w:val="355"/>
          <w:position w:val="1"/>
          <w:sz w:val="7"/>
        </w:rPr>
        <w:t>l </w:t>
      </w:r>
      <w:r>
        <w:rPr>
          <w:rFonts w:ascii="Calibri"/>
          <w:color w:val="008356"/>
          <w:w w:val="110"/>
          <w:sz w:val="11"/>
        </w:rPr>
        <w:t>LOOP DIURETICS</w:t>
      </w:r>
    </w:p>
    <w:p>
      <w:pPr>
        <w:spacing w:line="220" w:lineRule="auto" w:before="6"/>
        <w:ind w:left="286" w:right="8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Lipid-regulating Drugs: </w:t>
      </w:r>
      <w:r>
        <w:rPr>
          <w:color w:val="231F1F"/>
          <w:w w:val="105"/>
          <w:sz w:val="12"/>
        </w:rPr>
        <w:t>effects of </w:t>
      </w:r>
      <w:r>
        <w:rPr>
          <w:i/>
          <w:color w:val="231F1F"/>
          <w:w w:val="105"/>
          <w:sz w:val="12"/>
        </w:rPr>
        <w:t>oral </w:t>
      </w:r>
      <w:r>
        <w:rPr>
          <w:color w:val="231F1F"/>
          <w:w w:val="105"/>
          <w:sz w:val="12"/>
        </w:rPr>
        <w:t>vancomycin antagonised by </w:t>
      </w:r>
      <w:r>
        <w:rPr>
          <w:rFonts w:ascii="Calibri" w:hAnsi="Calibri"/>
          <w:color w:val="008356"/>
          <w:w w:val="105"/>
          <w:sz w:val="11"/>
        </w:rPr>
        <w:t>COLESTYRAMINE</w:t>
      </w:r>
    </w:p>
    <w:p>
      <w:pPr>
        <w:pStyle w:val="BodyText"/>
        <w:spacing w:line="146" w:lineRule="exact"/>
        <w:ind w:left="186"/>
      </w:pPr>
      <w:r>
        <w:rPr>
          <w:rFonts w:ascii="Arial"/>
          <w:color w:val="231F1F"/>
          <w:w w:val="355"/>
          <w:position w:val="1"/>
          <w:sz w:val="7"/>
        </w:rPr>
        <w:t>l </w:t>
      </w:r>
      <w:r>
        <w:rPr>
          <w:rFonts w:ascii="Calibri"/>
          <w:color w:val="231F1F"/>
          <w:w w:val="110"/>
        </w:rPr>
        <w:t>Muscle Relaxants: </w:t>
      </w:r>
      <w:r>
        <w:rPr>
          <w:color w:val="231F1F"/>
          <w:w w:val="110"/>
        </w:rPr>
        <w:t>vancomycin enhances effects of</w:t>
      </w:r>
    </w:p>
    <w:p>
      <w:pPr>
        <w:spacing w:line="133" w:lineRule="exact" w:before="6"/>
        <w:ind w:left="286" w:right="0" w:firstLine="0"/>
        <w:jc w:val="left"/>
        <w:rPr>
          <w:rFonts w:ascii="Calibri"/>
          <w:sz w:val="11"/>
        </w:rPr>
      </w:pPr>
      <w:r>
        <w:rPr>
          <w:rFonts w:ascii="Arial"/>
          <w:color w:val="231F1F"/>
          <w:w w:val="355"/>
          <w:position w:val="1"/>
          <w:sz w:val="7"/>
        </w:rPr>
        <w:t>l </w:t>
      </w:r>
      <w:r>
        <w:rPr>
          <w:rFonts w:ascii="Calibri"/>
          <w:color w:val="008356"/>
          <w:w w:val="115"/>
          <w:sz w:val="11"/>
        </w:rPr>
        <w:t>SUXAMETHONIUM</w:t>
      </w:r>
    </w:p>
    <w:p>
      <w:pPr>
        <w:pStyle w:val="BodyText"/>
        <w:spacing w:line="220" w:lineRule="auto" w:before="7"/>
        <w:ind w:left="286" w:right="208" w:hanging="100"/>
        <w:rPr>
          <w:rFonts w:ascii="Calibri" w:hAnsi="Calibri"/>
          <w:sz w:val="11"/>
        </w:rPr>
      </w:pPr>
      <w:r>
        <w:rPr>
          <w:rFonts w:ascii="Lucida Sans Unicode" w:hAnsi="Lucida Sans Unicode"/>
          <w:color w:val="A7A8AC"/>
          <w:w w:val="95"/>
          <w:sz w:val="10"/>
        </w:rPr>
        <w:t>▶ </w:t>
      </w:r>
      <w:r>
        <w:rPr>
          <w:rFonts w:ascii="Calibri" w:hAnsi="Calibri"/>
          <w:color w:val="231F1F"/>
          <w:w w:val="110"/>
        </w:rPr>
        <w:t>Tacrolimus: </w:t>
      </w:r>
      <w:r>
        <w:rPr>
          <w:color w:val="231F1F"/>
          <w:w w:val="110"/>
        </w:rPr>
        <w:t>possible increased risk of nephrotoxicity when vancomycin given with </w:t>
      </w:r>
      <w:r>
        <w:rPr>
          <w:rFonts w:ascii="Calibri" w:hAnsi="Calibri"/>
          <w:color w:val="008356"/>
          <w:w w:val="110"/>
          <w:sz w:val="11"/>
        </w:rPr>
        <w:t>TACROLIMUS</w:t>
      </w:r>
    </w:p>
    <w:p>
      <w:pPr>
        <w:spacing w:line="220" w:lineRule="auto" w:before="8"/>
        <w:ind w:left="286" w:right="0" w:hanging="100"/>
        <w:jc w:val="left"/>
        <w:rPr>
          <w:sz w:val="12"/>
        </w:rPr>
      </w:pPr>
      <w:r>
        <w:rPr>
          <w:rFonts w:ascii="Lucida Sans Unicode" w:hAnsi="Lucida Sans Unicode"/>
          <w:color w:val="A7A8AC"/>
          <w:w w:val="95"/>
          <w:sz w:val="10"/>
        </w:rPr>
        <w:t>▶ </w:t>
      </w:r>
      <w:r>
        <w:rPr>
          <w:rFonts w:ascii="Calibri" w:hAnsi="Calibri"/>
          <w:color w:val="231F1F"/>
          <w:w w:val="105"/>
          <w:sz w:val="12"/>
        </w:rPr>
        <w:t>Vaccines: </w:t>
      </w:r>
      <w:r>
        <w:rPr>
          <w:color w:val="231F1F"/>
          <w:w w:val="105"/>
          <w:sz w:val="12"/>
        </w:rPr>
        <w:t>antibacterials inactivate </w:t>
      </w:r>
      <w:r>
        <w:rPr>
          <w:rFonts w:ascii="Calibri" w:hAnsi="Calibri"/>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4"/>
        <w:ind w:left="186"/>
        <w:rPr>
          <w:rFonts w:ascii="Trebuchet MS"/>
        </w:rPr>
      </w:pPr>
      <w:r>
        <w:rPr>
          <w:rFonts w:ascii="Trebuchet MS"/>
          <w:color w:val="008356"/>
        </w:rPr>
        <w:t>Vandetanib</w:t>
      </w:r>
    </w:p>
    <w:p>
      <w:pPr>
        <w:pStyle w:val="BodyText"/>
        <w:spacing w:before="1"/>
        <w:ind w:left="286" w:hanging="100"/>
      </w:pPr>
      <w:r>
        <w:rPr>
          <w:rFonts w:ascii="Arial" w:hAnsi="Arial"/>
          <w:color w:val="231F1F"/>
          <w:w w:val="355"/>
          <w:position w:val="1"/>
          <w:sz w:val="7"/>
        </w:rPr>
        <w:t>l </w:t>
      </w:r>
      <w:r>
        <w:rPr>
          <w:rFonts w:ascii="Calibri" w:hAnsi="Calibri"/>
          <w:color w:val="231F1F"/>
          <w:w w:val="110"/>
        </w:rPr>
        <w:t>Analgesics: </w:t>
      </w:r>
      <w:r>
        <w:rPr>
          <w:color w:val="231F1F"/>
          <w:w w:val="110"/>
        </w:rPr>
        <w:t>possible increased risk of ventricular arrhythmias when vandetanib given with </w:t>
      </w:r>
      <w:r>
        <w:rPr>
          <w:rFonts w:ascii="Arial" w:hAnsi="Arial"/>
          <w:color w:val="231F1F"/>
          <w:w w:val="355"/>
          <w:position w:val="1"/>
          <w:sz w:val="7"/>
        </w:rPr>
        <w:t>l </w:t>
      </w:r>
      <w:r>
        <w:rPr>
          <w:rFonts w:ascii="Calibri" w:hAnsi="Calibri"/>
          <w:color w:val="008356"/>
          <w:w w:val="110"/>
          <w:sz w:val="11"/>
        </w:rPr>
        <w:t>METHADONE</w:t>
      </w:r>
      <w:r>
        <w:rPr>
          <w:rFonts w:ascii="Arial" w:hAnsi="Arial"/>
          <w:color w:val="231F1F"/>
          <w:w w:val="110"/>
        </w:rPr>
        <w:t>—</w:t>
      </w:r>
      <w:r>
        <w:rPr>
          <w:color w:val="231F1F"/>
          <w:w w:val="110"/>
        </w:rPr>
        <w:t>avoid concomitant use</w:t>
      </w:r>
    </w:p>
    <w:p>
      <w:pPr>
        <w:pStyle w:val="BodyText"/>
        <w:spacing w:before="1"/>
        <w:ind w:left="286" w:right="131" w:hanging="100"/>
      </w:pPr>
      <w:r>
        <w:rPr>
          <w:rFonts w:ascii="Arial" w:hAnsi="Arial"/>
          <w:color w:val="231F1F"/>
          <w:w w:val="355"/>
          <w:position w:val="1"/>
          <w:sz w:val="7"/>
        </w:rPr>
        <w:t>l </w:t>
      </w:r>
      <w:r>
        <w:rPr>
          <w:rFonts w:ascii="Calibri" w:hAnsi="Calibri"/>
          <w:color w:val="231F1F"/>
          <w:w w:val="110"/>
        </w:rPr>
        <w:t>Anti-arrhythmics: </w:t>
      </w:r>
      <w:r>
        <w:rPr>
          <w:color w:val="231F1F"/>
          <w:w w:val="110"/>
        </w:rPr>
        <w:t>possible increased risk of ventricular arrhythmias when vandetanib given with </w:t>
      </w:r>
      <w:r>
        <w:rPr>
          <w:rFonts w:ascii="Arial" w:hAnsi="Arial"/>
          <w:color w:val="231F1F"/>
          <w:w w:val="355"/>
          <w:position w:val="1"/>
          <w:sz w:val="7"/>
        </w:rPr>
        <w:t>l </w:t>
      </w:r>
      <w:r>
        <w:rPr>
          <w:rFonts w:ascii="Calibri" w:hAnsi="Calibri"/>
          <w:color w:val="008356"/>
          <w:spacing w:val="4"/>
          <w:w w:val="110"/>
          <w:sz w:val="11"/>
        </w:rPr>
        <w:t>AMIODARONE </w:t>
      </w:r>
      <w:r>
        <w:rPr>
          <w:color w:val="231F1F"/>
          <w:spacing w:val="-6"/>
          <w:w w:val="110"/>
        </w:rPr>
        <w:t>or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0"/>
          <w:sz w:val="11"/>
        </w:rPr>
        <w:t>DISOPYRAMIDE</w:t>
      </w:r>
      <w:r>
        <w:rPr>
          <w:rFonts w:ascii="Arial" w:hAnsi="Arial"/>
          <w:color w:val="231F1F"/>
          <w:spacing w:val="3"/>
          <w:w w:val="110"/>
        </w:rPr>
        <w:t>—</w:t>
      </w:r>
      <w:r>
        <w:rPr>
          <w:color w:val="231F1F"/>
          <w:spacing w:val="3"/>
          <w:w w:val="110"/>
        </w:rPr>
        <w:t>avoid </w:t>
      </w:r>
      <w:r>
        <w:rPr>
          <w:color w:val="231F1F"/>
          <w:w w:val="110"/>
        </w:rPr>
        <w:t>concomitant use</w:t>
      </w:r>
    </w:p>
    <w:p>
      <w:pPr>
        <w:pStyle w:val="BodyText"/>
        <w:ind w:left="286" w:right="531" w:hanging="100"/>
        <w:rPr>
          <w:i/>
        </w:rPr>
      </w:pPr>
      <w:r>
        <w:rPr>
          <w:rFonts w:ascii="Arial"/>
          <w:color w:val="231F1F"/>
          <w:w w:val="355"/>
          <w:position w:val="1"/>
          <w:sz w:val="7"/>
        </w:rPr>
        <w:t>l</w:t>
      </w:r>
      <w:r>
        <w:rPr>
          <w:rFonts w:ascii="Arial"/>
          <w:color w:val="231F1F"/>
          <w:spacing w:val="-47"/>
          <w:w w:val="355"/>
          <w:position w:val="1"/>
          <w:sz w:val="7"/>
        </w:rPr>
        <w:t> </w:t>
      </w:r>
      <w:r>
        <w:rPr>
          <w:rFonts w:ascii="Calibri"/>
          <w:color w:val="231F1F"/>
          <w:w w:val="115"/>
        </w:rPr>
        <w:t>Antibacterials:</w:t>
      </w:r>
      <w:r>
        <w:rPr>
          <w:rFonts w:ascii="Calibri"/>
          <w:color w:val="231F1F"/>
          <w:spacing w:val="-14"/>
          <w:w w:val="115"/>
        </w:rPr>
        <w:t> </w:t>
      </w:r>
      <w:r>
        <w:rPr>
          <w:color w:val="231F1F"/>
          <w:w w:val="115"/>
        </w:rPr>
        <w:t>possible</w:t>
      </w:r>
      <w:r>
        <w:rPr>
          <w:color w:val="231F1F"/>
          <w:spacing w:val="-17"/>
          <w:w w:val="115"/>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ventricular arrhythmias</w:t>
      </w:r>
      <w:r>
        <w:rPr>
          <w:color w:val="231F1F"/>
          <w:spacing w:val="-16"/>
          <w:w w:val="115"/>
        </w:rPr>
        <w:t> </w:t>
      </w:r>
      <w:r>
        <w:rPr>
          <w:color w:val="231F1F"/>
          <w:w w:val="115"/>
        </w:rPr>
        <w:t>when</w:t>
      </w:r>
      <w:r>
        <w:rPr>
          <w:color w:val="231F1F"/>
          <w:spacing w:val="-15"/>
          <w:w w:val="115"/>
        </w:rPr>
        <w:t> </w:t>
      </w:r>
      <w:r>
        <w:rPr>
          <w:color w:val="231F1F"/>
          <w:w w:val="115"/>
        </w:rPr>
        <w:t>vandetanib</w:t>
      </w:r>
      <w:r>
        <w:rPr>
          <w:color w:val="231F1F"/>
          <w:spacing w:val="-15"/>
          <w:w w:val="115"/>
        </w:rPr>
        <w:t> </w:t>
      </w:r>
      <w:r>
        <w:rPr>
          <w:color w:val="231F1F"/>
          <w:w w:val="115"/>
        </w:rPr>
        <w:t>given</w:t>
      </w:r>
      <w:r>
        <w:rPr>
          <w:color w:val="231F1F"/>
          <w:spacing w:val="-16"/>
          <w:w w:val="115"/>
        </w:rPr>
        <w:t> </w:t>
      </w:r>
      <w:r>
        <w:rPr>
          <w:color w:val="231F1F"/>
          <w:w w:val="115"/>
        </w:rPr>
        <w:t>with</w:t>
      </w:r>
      <w:r>
        <w:rPr>
          <w:color w:val="231F1F"/>
          <w:spacing w:val="-15"/>
          <w:w w:val="115"/>
        </w:rPr>
        <w:t> </w:t>
      </w:r>
      <w:r>
        <w:rPr>
          <w:i/>
          <w:color w:val="231F1F"/>
          <w:w w:val="115"/>
        </w:rPr>
        <w:t>parenteral</w:t>
      </w:r>
    </w:p>
    <w:p>
      <w:pPr>
        <w:pStyle w:val="BodyText"/>
        <w:spacing w:line="244" w:lineRule="auto" w:before="2"/>
        <w:ind w:left="286" w:right="77"/>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w:t>
      </w:r>
      <w:r>
        <w:rPr>
          <w:color w:val="231F1F"/>
          <w:spacing w:val="-9"/>
          <w:w w:val="110"/>
        </w:rPr>
        <w:t> </w:t>
      </w:r>
      <w:r>
        <w:rPr>
          <w:color w:val="231F1F"/>
          <w:w w:val="110"/>
        </w:rPr>
        <w:t>concomitant</w:t>
      </w:r>
      <w:r>
        <w:rPr>
          <w:color w:val="231F1F"/>
          <w:spacing w:val="-9"/>
          <w:w w:val="110"/>
        </w:rPr>
        <w:t> </w:t>
      </w:r>
      <w:r>
        <w:rPr>
          <w:color w:val="231F1F"/>
          <w:w w:val="110"/>
        </w:rPr>
        <w:t>use;</w:t>
      </w:r>
      <w:r>
        <w:rPr>
          <w:color w:val="231F1F"/>
          <w:spacing w:val="-7"/>
          <w:w w:val="110"/>
        </w:rPr>
        <w:t> </w:t>
      </w:r>
      <w:r>
        <w:rPr>
          <w:color w:val="231F1F"/>
          <w:w w:val="110"/>
        </w:rPr>
        <w:t>possible</w:t>
      </w:r>
      <w:r>
        <w:rPr>
          <w:color w:val="231F1F"/>
          <w:spacing w:val="-8"/>
          <w:w w:val="110"/>
        </w:rPr>
        <w:t> </w:t>
      </w:r>
      <w:r>
        <w:rPr>
          <w:color w:val="231F1F"/>
          <w:w w:val="110"/>
        </w:rPr>
        <w:t>increased risk  of ventricular arrhythmias when vandetanib given with  </w:t>
      </w:r>
      <w:r>
        <w:rPr>
          <w:rFonts w:ascii="Arial" w:hAnsi="Arial"/>
          <w:color w:val="231F1F"/>
          <w:w w:val="355"/>
          <w:position w:val="1"/>
          <w:sz w:val="7"/>
        </w:rPr>
        <w:t>l </w:t>
      </w:r>
      <w:r>
        <w:rPr>
          <w:rFonts w:ascii="Calibri" w:hAnsi="Calibri"/>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 plasma concentration of vandetanib reduced by </w:t>
      </w:r>
      <w:r>
        <w:rPr>
          <w:rFonts w:ascii="Arial" w:hAnsi="Arial"/>
          <w:color w:val="231F1F"/>
          <w:w w:val="355"/>
          <w:position w:val="1"/>
          <w:sz w:val="7"/>
        </w:rPr>
        <w:t>l </w:t>
      </w:r>
      <w:r>
        <w:rPr>
          <w:rFonts w:ascii="Calibri" w:hAnsi="Calibri"/>
          <w:color w:val="008356"/>
          <w:spacing w:val="4"/>
          <w:w w:val="110"/>
          <w:sz w:val="11"/>
        </w:rPr>
        <w:t>RIFAMPICIN</w:t>
      </w:r>
      <w:r>
        <w:rPr>
          <w:rFonts w:ascii="Arial" w:hAnsi="Arial"/>
          <w:color w:val="231F1F"/>
          <w:spacing w:val="4"/>
          <w:w w:val="110"/>
        </w:rPr>
        <w:t>— </w:t>
      </w:r>
      <w:r>
        <w:rPr>
          <w:color w:val="231F1F"/>
          <w:w w:val="110"/>
        </w:rPr>
        <w:t>manufacturer of vandetanib advises avoid concomitant</w:t>
      </w:r>
      <w:r>
        <w:rPr>
          <w:color w:val="231F1F"/>
          <w:spacing w:val="12"/>
          <w:w w:val="110"/>
        </w:rPr>
        <w:t> </w:t>
      </w:r>
      <w:r>
        <w:rPr>
          <w:color w:val="231F1F"/>
          <w:w w:val="110"/>
        </w:rPr>
        <w:t>use</w:t>
      </w:r>
    </w:p>
    <w:p>
      <w:pPr>
        <w:pStyle w:val="BodyText"/>
        <w:spacing w:line="230" w:lineRule="auto" w:before="2"/>
        <w:ind w:left="286" w:right="81" w:hanging="100"/>
      </w:pPr>
      <w:r>
        <w:rPr>
          <w:rFonts w:ascii="Lucida Sans Unicode" w:hAnsi="Lucida Sans Unicode"/>
          <w:color w:val="A7A8AC"/>
          <w:w w:val="95"/>
          <w:sz w:val="10"/>
        </w:rPr>
        <w:t>▶ </w:t>
      </w:r>
      <w:r>
        <w:rPr>
          <w:rFonts w:ascii="Calibri" w:hAnsi="Calibri"/>
          <w:color w:val="231F1F"/>
          <w:w w:val="110"/>
        </w:rPr>
        <w:t>Antidepressants: </w:t>
      </w:r>
      <w:r>
        <w:rPr>
          <w:color w:val="231F1F"/>
          <w:w w:val="110"/>
        </w:rPr>
        <w:t>manufacturer of vandetanib advises avoid concomitant use with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(plasma concentration of vandetanib possibly reduced)</w:t>
      </w:r>
    </w:p>
    <w:p>
      <w:pPr>
        <w:pStyle w:val="BodyText"/>
        <w:spacing w:line="230" w:lineRule="auto" w:before="8"/>
        <w:ind w:left="286" w:hanging="100"/>
      </w:pPr>
      <w:r>
        <w:rPr>
          <w:rFonts w:ascii="Lucida Sans Unicode" w:hAnsi="Lucida Sans Unicode"/>
          <w:color w:val="A7A8AC"/>
          <w:w w:val="95"/>
          <w:sz w:val="10"/>
        </w:rPr>
        <w:t>▶ </w:t>
      </w:r>
      <w:r>
        <w:rPr>
          <w:rFonts w:ascii="Calibri" w:hAnsi="Calibri"/>
          <w:color w:val="231F1F"/>
          <w:w w:val="110"/>
        </w:rPr>
        <w:t>Antidiabetics: </w:t>
      </w:r>
      <w:r>
        <w:rPr>
          <w:color w:val="231F1F"/>
          <w:w w:val="110"/>
        </w:rPr>
        <w:t>vandetanib possibly increases plasma concentration of </w:t>
      </w:r>
      <w:r>
        <w:rPr>
          <w:rFonts w:ascii="Calibri" w:hAnsi="Calibri"/>
          <w:color w:val="008356"/>
          <w:w w:val="110"/>
          <w:sz w:val="11"/>
        </w:rPr>
        <w:t>METFORMIN </w:t>
      </w:r>
      <w:r>
        <w:rPr>
          <w:color w:val="231F1F"/>
          <w:w w:val="110"/>
        </w:rPr>
        <w:t>(consider reducing dose of metformin)</w:t>
      </w:r>
    </w:p>
    <w:p>
      <w:pPr>
        <w:spacing w:line="235" w:lineRule="auto" w:before="6"/>
        <w:ind w:left="286" w:right="0" w:hanging="100"/>
        <w:jc w:val="left"/>
        <w:rPr>
          <w:sz w:val="12"/>
        </w:rPr>
      </w:pPr>
      <w:r>
        <w:rPr>
          <w:rFonts w:ascii="Lucida Sans Unicode" w:hAnsi="Lucida Sans Unicode"/>
          <w:color w:val="A7A8AC"/>
          <w:w w:val="95"/>
          <w:sz w:val="10"/>
        </w:rPr>
        <w:t>▶ </w:t>
      </w:r>
      <w:r>
        <w:rPr>
          <w:rFonts w:ascii="Calibri" w:hAnsi="Calibri"/>
          <w:color w:val="231F1F"/>
          <w:w w:val="110"/>
          <w:sz w:val="12"/>
        </w:rPr>
        <w:t>Antiepileptics: </w:t>
      </w:r>
      <w:r>
        <w:rPr>
          <w:color w:val="231F1F"/>
          <w:w w:val="110"/>
          <w:sz w:val="12"/>
        </w:rPr>
        <w:t>manufacturer of vandetanib advises avoid concomitant use with </w:t>
      </w:r>
      <w:r>
        <w:rPr>
          <w:rFonts w:ascii="Calibri" w:hAnsi="Calibri"/>
          <w:color w:val="008356"/>
          <w:w w:val="110"/>
          <w:sz w:val="11"/>
        </w:rPr>
        <w:t>CARBAMAZEPINE</w:t>
      </w:r>
      <w:r>
        <w:rPr>
          <w:color w:val="231F1F"/>
          <w:w w:val="110"/>
          <w:sz w:val="12"/>
        </w:rPr>
        <w:t>, </w:t>
      </w:r>
      <w:r>
        <w:rPr>
          <w:rFonts w:ascii="Calibri" w:hAnsi="Calibri"/>
          <w:color w:val="008356"/>
          <w:w w:val="110"/>
          <w:sz w:val="11"/>
        </w:rPr>
        <w:t>PHENOBARBITAL </w:t>
      </w:r>
      <w:r>
        <w:rPr>
          <w:color w:val="231F1F"/>
          <w:w w:val="110"/>
          <w:sz w:val="12"/>
        </w:rPr>
        <w:t>and </w:t>
      </w:r>
      <w:r>
        <w:rPr>
          <w:rFonts w:ascii="Calibri" w:hAnsi="Calibri"/>
          <w:color w:val="008356"/>
          <w:w w:val="110"/>
          <w:sz w:val="11"/>
        </w:rPr>
        <w:t>PRIMIDONE </w:t>
      </w:r>
      <w:r>
        <w:rPr>
          <w:color w:val="231F1F"/>
          <w:w w:val="110"/>
          <w:sz w:val="12"/>
        </w:rPr>
        <w:t>(plasma concentration of vandetanib possibly reduced)</w:t>
      </w:r>
    </w:p>
    <w:p>
      <w:pPr>
        <w:pStyle w:val="BodyText"/>
        <w:spacing w:before="1"/>
        <w:ind w:left="286" w:right="215" w:hanging="100"/>
      </w:pPr>
      <w:r>
        <w:rPr>
          <w:rFonts w:ascii="Arial" w:hAnsi="Arial"/>
          <w:color w:val="231F1F"/>
          <w:w w:val="355"/>
          <w:position w:val="1"/>
          <w:sz w:val="7"/>
        </w:rPr>
        <w:t>l </w:t>
      </w:r>
      <w:r>
        <w:rPr>
          <w:rFonts w:ascii="Calibri" w:hAnsi="Calibri"/>
          <w:color w:val="231F1F"/>
          <w:w w:val="110"/>
        </w:rPr>
        <w:t>Antihistamines: </w:t>
      </w:r>
      <w:r>
        <w:rPr>
          <w:color w:val="231F1F"/>
          <w:w w:val="110"/>
        </w:rPr>
        <w:t>possible increased risk of ventricular arrhythmias when vandetanib given with </w:t>
      </w:r>
      <w:r>
        <w:rPr>
          <w:rFonts w:ascii="Arial" w:hAnsi="Arial"/>
          <w:color w:val="231F1F"/>
          <w:w w:val="355"/>
          <w:position w:val="1"/>
          <w:sz w:val="7"/>
        </w:rPr>
        <w:t>l</w:t>
      </w:r>
      <w:r>
        <w:rPr>
          <w:rFonts w:ascii="Arial" w:hAnsi="Arial"/>
          <w:color w:val="231F1F"/>
          <w:spacing w:val="-57"/>
          <w:w w:val="355"/>
          <w:position w:val="1"/>
          <w:sz w:val="7"/>
        </w:rPr>
        <w:t> </w:t>
      </w:r>
      <w:r>
        <w:rPr>
          <w:rFonts w:ascii="Calibri" w:hAnsi="Calibri"/>
          <w:color w:val="008356"/>
          <w:spacing w:val="4"/>
          <w:w w:val="110"/>
          <w:sz w:val="11"/>
        </w:rPr>
        <w:t>MIZOLASTINE</w:t>
      </w:r>
      <w:r>
        <w:rPr>
          <w:rFonts w:ascii="Arial" w:hAnsi="Arial"/>
          <w:color w:val="231F1F"/>
          <w:spacing w:val="4"/>
          <w:w w:val="110"/>
        </w:rPr>
        <w:t>— </w:t>
      </w:r>
      <w:r>
        <w:rPr>
          <w:color w:val="231F1F"/>
          <w:w w:val="110"/>
        </w:rPr>
        <w:t>avoid concomitant use</w:t>
      </w:r>
    </w:p>
    <w:p>
      <w:pPr>
        <w:spacing w:before="2"/>
        <w:ind w:left="286" w:right="37" w:hanging="100"/>
        <w:jc w:val="left"/>
        <w:rPr>
          <w:sz w:val="12"/>
        </w:rPr>
      </w:pPr>
      <w:r>
        <w:rPr>
          <w:rFonts w:ascii="Arial" w:hAnsi="Arial"/>
          <w:color w:val="231F1F"/>
          <w:w w:val="355"/>
          <w:position w:val="1"/>
          <w:sz w:val="7"/>
        </w:rPr>
        <w:t>l </w:t>
      </w:r>
      <w:r>
        <w:rPr>
          <w:rFonts w:ascii="Calibri" w:hAnsi="Calibri"/>
          <w:color w:val="231F1F"/>
          <w:w w:val="110"/>
          <w:sz w:val="12"/>
        </w:rPr>
        <w:t>Antimalarials: </w:t>
      </w:r>
      <w:r>
        <w:rPr>
          <w:color w:val="231F1F"/>
          <w:w w:val="110"/>
          <w:sz w:val="12"/>
        </w:rPr>
        <w:t>possible increased risk of ventricular arrhythmias when vandetanib given with </w:t>
      </w:r>
      <w:r>
        <w:rPr>
          <w:rFonts w:ascii="Arial" w:hAnsi="Arial"/>
          <w:color w:val="231F1F"/>
          <w:w w:val="355"/>
          <w:position w:val="1"/>
          <w:sz w:val="7"/>
        </w:rPr>
        <w:t>l </w:t>
      </w:r>
      <w:r>
        <w:rPr>
          <w:rFonts w:ascii="Calibri" w:hAnsi="Calibri"/>
          <w:color w:val="008356"/>
          <w:w w:val="110"/>
          <w:sz w:val="11"/>
        </w:rPr>
        <w:t>ARTEMETHER WITH LUMEFANTRINE</w:t>
      </w:r>
      <w:r>
        <w:rPr>
          <w:rFonts w:ascii="Arial" w:hAnsi="Arial"/>
          <w:color w:val="231F1F"/>
          <w:w w:val="110"/>
          <w:sz w:val="12"/>
        </w:rPr>
        <w:t>—</w:t>
      </w:r>
      <w:r>
        <w:rPr>
          <w:color w:val="231F1F"/>
          <w:w w:val="110"/>
          <w:sz w:val="12"/>
        </w:rPr>
        <w:t>avoid concomitant use</w:t>
      </w:r>
    </w:p>
    <w:p>
      <w:pPr>
        <w:pStyle w:val="BodyText"/>
        <w:ind w:left="286" w:hanging="100"/>
      </w:pPr>
      <w:r>
        <w:rPr>
          <w:rFonts w:ascii="Arial"/>
          <w:color w:val="231F1F"/>
          <w:w w:val="355"/>
          <w:position w:val="1"/>
          <w:sz w:val="7"/>
        </w:rPr>
        <w:t>l </w:t>
      </w:r>
      <w:r>
        <w:rPr>
          <w:rFonts w:ascii="Calibri"/>
          <w:color w:val="231F1F"/>
          <w:w w:val="110"/>
        </w:rPr>
        <w:t>Antipsychotics: </w:t>
      </w:r>
      <w:r>
        <w:rPr>
          <w:color w:val="231F1F"/>
          <w:w w:val="110"/>
        </w:rPr>
        <w:t>possible increased risk of ventricular arrhythmias when vandetanib given with </w:t>
      </w:r>
      <w:r>
        <w:rPr>
          <w:rFonts w:ascii="Arial"/>
          <w:color w:val="231F1F"/>
          <w:w w:val="355"/>
          <w:position w:val="1"/>
          <w:sz w:val="7"/>
        </w:rPr>
        <w:t>l </w:t>
      </w:r>
      <w:r>
        <w:rPr>
          <w:rFonts w:ascii="Calibri"/>
          <w:color w:val="008356"/>
          <w:w w:val="110"/>
          <w:sz w:val="11"/>
        </w:rPr>
        <w:t>AMISULPRIDE</w:t>
      </w:r>
      <w:r>
        <w:rPr>
          <w:color w:val="231F1F"/>
          <w:w w:val="110"/>
        </w:rPr>
        <w:t>,</w:t>
      </w:r>
    </w:p>
    <w:p>
      <w:pPr>
        <w:spacing w:before="0"/>
        <w:ind w:left="286" w:right="0" w:firstLine="0"/>
        <w:jc w:val="left"/>
        <w:rPr>
          <w:sz w:val="12"/>
        </w:rPr>
      </w:pPr>
      <w:r>
        <w:rPr>
          <w:rFonts w:ascii="Arial"/>
          <w:color w:val="231F1F"/>
          <w:w w:val="120"/>
          <w:position w:val="1"/>
          <w:sz w:val="7"/>
        </w:rPr>
        <w:t>l </w:t>
      </w:r>
      <w:r>
        <w:rPr>
          <w:rFonts w:ascii="Calibri"/>
          <w:color w:val="008356"/>
          <w:w w:val="115"/>
          <w:sz w:val="11"/>
        </w:rPr>
        <w:t>CHLORPROMAZINE</w:t>
      </w:r>
      <w:r>
        <w:rPr>
          <w:color w:val="231F1F"/>
          <w:w w:val="115"/>
          <w:sz w:val="12"/>
        </w:rPr>
        <w:t>, </w:t>
      </w:r>
      <w:r>
        <w:rPr>
          <w:rFonts w:ascii="Arial"/>
          <w:color w:val="231F1F"/>
          <w:w w:val="120"/>
          <w:position w:val="1"/>
          <w:sz w:val="7"/>
        </w:rPr>
        <w:t>l </w:t>
      </w:r>
      <w:r>
        <w:rPr>
          <w:rFonts w:ascii="Calibri"/>
          <w:color w:val="008356"/>
          <w:w w:val="115"/>
          <w:sz w:val="11"/>
        </w:rPr>
        <w:t>HALOPERIDOL</w:t>
      </w:r>
      <w:r>
        <w:rPr>
          <w:color w:val="231F1F"/>
          <w:w w:val="115"/>
          <w:sz w:val="12"/>
        </w:rPr>
        <w:t>, </w:t>
      </w:r>
      <w:r>
        <w:rPr>
          <w:rFonts w:ascii="Arial"/>
          <w:color w:val="231F1F"/>
          <w:w w:val="120"/>
          <w:position w:val="1"/>
          <w:sz w:val="7"/>
        </w:rPr>
        <w:t>l </w:t>
      </w:r>
      <w:r>
        <w:rPr>
          <w:rFonts w:ascii="Calibri"/>
          <w:color w:val="008356"/>
          <w:w w:val="115"/>
          <w:sz w:val="11"/>
        </w:rPr>
        <w:t>PIMOZIDE</w:t>
      </w:r>
      <w:r>
        <w:rPr>
          <w:color w:val="231F1F"/>
          <w:w w:val="115"/>
          <w:sz w:val="12"/>
        </w:rPr>
        <w:t>, </w:t>
      </w:r>
      <w:r>
        <w:rPr>
          <w:rFonts w:ascii="Arial"/>
          <w:color w:val="231F1F"/>
          <w:w w:val="120"/>
          <w:position w:val="1"/>
          <w:sz w:val="7"/>
        </w:rPr>
        <w:t>l </w:t>
      </w:r>
      <w:r>
        <w:rPr>
          <w:rFonts w:ascii="Calibri"/>
          <w:color w:val="008356"/>
          <w:w w:val="115"/>
          <w:sz w:val="11"/>
        </w:rPr>
        <w:t>SULPIRIDE </w:t>
      </w:r>
      <w:r>
        <w:rPr>
          <w:color w:val="231F1F"/>
          <w:w w:val="115"/>
          <w:sz w:val="12"/>
        </w:rPr>
        <w:t>or</w:t>
      </w:r>
    </w:p>
    <w:p>
      <w:pPr>
        <w:spacing w:line="242" w:lineRule="auto" w:before="1"/>
        <w:ind w:left="286" w:right="81" w:firstLine="0"/>
        <w:jc w:val="left"/>
        <w:rPr>
          <w:sz w:val="12"/>
        </w:rPr>
      </w:pPr>
      <w:r>
        <w:rPr>
          <w:rFonts w:ascii="Arial" w:hAnsi="Arial"/>
          <w:color w:val="231F1F"/>
          <w:w w:val="355"/>
          <w:position w:val="1"/>
          <w:sz w:val="7"/>
        </w:rPr>
        <w:t>l </w:t>
      </w:r>
      <w:r>
        <w:rPr>
          <w:rFonts w:ascii="Calibri" w:hAnsi="Calibri"/>
          <w:color w:val="008356"/>
          <w:w w:val="110"/>
          <w:sz w:val="11"/>
        </w:rPr>
        <w:t>ZUCLOPENTHIXOL</w:t>
      </w:r>
      <w:r>
        <w:rPr>
          <w:rFonts w:ascii="Arial" w:hAnsi="Arial"/>
          <w:color w:val="231F1F"/>
          <w:w w:val="110"/>
          <w:sz w:val="12"/>
        </w:rPr>
        <w:t>—</w:t>
      </w:r>
      <w:r>
        <w:rPr>
          <w:color w:val="231F1F"/>
          <w:w w:val="110"/>
          <w:sz w:val="12"/>
        </w:rPr>
        <w:t>avoid concomitant use; avoid concomitant use of cytotoxics with </w:t>
      </w:r>
      <w:r>
        <w:rPr>
          <w:rFonts w:ascii="Arial" w:hAnsi="Arial"/>
          <w:color w:val="231F1F"/>
          <w:w w:val="355"/>
          <w:position w:val="1"/>
          <w:sz w:val="7"/>
        </w:rPr>
        <w:t>l </w:t>
      </w:r>
      <w:r>
        <w:rPr>
          <w:rFonts w:ascii="Calibri" w:hAnsi="Calibri"/>
          <w:color w:val="008356"/>
          <w:w w:val="110"/>
          <w:sz w:val="11"/>
        </w:rPr>
        <w:t>CLOZAPINE </w:t>
      </w:r>
      <w:r>
        <w:rPr>
          <w:color w:val="231F1F"/>
          <w:w w:val="110"/>
          <w:sz w:val="12"/>
        </w:rPr>
        <w:t>(increased risk of agranulocytosis)</w:t>
      </w:r>
    </w:p>
    <w:p>
      <w:pPr>
        <w:pStyle w:val="BodyText"/>
        <w:spacing w:before="1"/>
        <w:ind w:left="286" w:right="147" w:hanging="100"/>
      </w:pPr>
      <w:r>
        <w:rPr>
          <w:rFonts w:ascii="Arial" w:hAnsi="Arial"/>
          <w:color w:val="231F1F"/>
          <w:w w:val="355"/>
          <w:position w:val="1"/>
          <w:sz w:val="7"/>
        </w:rPr>
        <w:t>l </w:t>
      </w:r>
      <w:r>
        <w:rPr>
          <w:rFonts w:ascii="Calibri" w:hAnsi="Calibri"/>
          <w:color w:val="231F1F"/>
          <w:w w:val="115"/>
        </w:rPr>
        <w:t>Beta-blockers: </w:t>
      </w:r>
      <w:r>
        <w:rPr>
          <w:color w:val="231F1F"/>
          <w:w w:val="115"/>
        </w:rPr>
        <w:t>possible increased risk of ventricular arrhythmias</w:t>
      </w:r>
      <w:r>
        <w:rPr>
          <w:color w:val="231F1F"/>
          <w:spacing w:val="-19"/>
          <w:w w:val="115"/>
        </w:rPr>
        <w:t> </w:t>
      </w:r>
      <w:r>
        <w:rPr>
          <w:color w:val="231F1F"/>
          <w:w w:val="115"/>
        </w:rPr>
        <w:t>when</w:t>
      </w:r>
      <w:r>
        <w:rPr>
          <w:color w:val="231F1F"/>
          <w:spacing w:val="-18"/>
          <w:w w:val="115"/>
        </w:rPr>
        <w:t> </w:t>
      </w:r>
      <w:r>
        <w:rPr>
          <w:color w:val="231F1F"/>
          <w:w w:val="115"/>
        </w:rPr>
        <w:t>vandetanib</w:t>
      </w:r>
      <w:r>
        <w:rPr>
          <w:color w:val="231F1F"/>
          <w:spacing w:val="-18"/>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w w:val="115"/>
          <w:sz w:val="11"/>
        </w:rPr>
        <w:t>SOTALOL</w:t>
      </w:r>
      <w:r>
        <w:rPr>
          <w:rFonts w:ascii="Arial" w:hAnsi="Arial"/>
          <w:color w:val="231F1F"/>
          <w:w w:val="115"/>
        </w:rPr>
        <w:t>—</w:t>
      </w:r>
      <w:r>
        <w:rPr>
          <w:color w:val="231F1F"/>
          <w:w w:val="115"/>
        </w:rPr>
        <w:t>avoid concomitant</w:t>
      </w:r>
      <w:r>
        <w:rPr>
          <w:color w:val="231F1F"/>
          <w:spacing w:val="-5"/>
          <w:w w:val="115"/>
        </w:rPr>
        <w:t> </w:t>
      </w:r>
      <w:r>
        <w:rPr>
          <w:color w:val="231F1F"/>
          <w:w w:val="115"/>
        </w:rPr>
        <w:t>use</w:t>
      </w:r>
    </w:p>
    <w:p>
      <w:pPr>
        <w:pStyle w:val="BodyText"/>
        <w:spacing w:line="218" w:lineRule="auto" w:before="12"/>
        <w:ind w:left="286" w:right="81" w:hanging="100"/>
      </w:pPr>
      <w:r>
        <w:rPr>
          <w:rFonts w:ascii="Lucida Sans Unicode" w:hAnsi="Lucida Sans Unicode"/>
          <w:color w:val="A7A8AC"/>
          <w:w w:val="95"/>
          <w:sz w:val="10"/>
        </w:rPr>
        <w:t>▶ </w:t>
      </w:r>
      <w:r>
        <w:rPr>
          <w:rFonts w:ascii="Calibri" w:hAnsi="Calibri"/>
          <w:color w:val="231F1F"/>
          <w:w w:val="105"/>
        </w:rPr>
        <w:t>Cardiac  Glycosides:  </w:t>
      </w:r>
      <w:r>
        <w:rPr>
          <w:color w:val="231F1F"/>
          <w:w w:val="105"/>
        </w:rPr>
        <w:t>vandetanib increases plasma </w:t>
      </w:r>
      <w:r>
        <w:rPr>
          <w:color w:val="231F1F"/>
          <w:spacing w:val="-2"/>
          <w:w w:val="105"/>
        </w:rPr>
        <w:t>concentration  </w:t>
      </w:r>
      <w:r>
        <w:rPr>
          <w:color w:val="231F1F"/>
          <w:w w:val="105"/>
        </w:rPr>
        <w:t>of </w:t>
      </w:r>
      <w:r>
        <w:rPr>
          <w:rFonts w:ascii="Calibri" w:hAnsi="Calibri"/>
          <w:color w:val="008356"/>
          <w:w w:val="105"/>
          <w:sz w:val="11"/>
        </w:rPr>
        <w:t>DIGOXIN</w:t>
      </w:r>
      <w:r>
        <w:rPr>
          <w:rFonts w:ascii="Arial" w:hAnsi="Arial"/>
          <w:color w:val="231F1F"/>
          <w:w w:val="105"/>
        </w:rPr>
        <w:t>—</w:t>
      </w:r>
      <w:r>
        <w:rPr>
          <w:color w:val="231F1F"/>
          <w:w w:val="105"/>
        </w:rPr>
        <w:t>possible increased risk of</w:t>
      </w:r>
      <w:r>
        <w:rPr>
          <w:color w:val="231F1F"/>
          <w:spacing w:val="20"/>
          <w:w w:val="105"/>
        </w:rPr>
        <w:t> </w:t>
      </w:r>
      <w:r>
        <w:rPr>
          <w:color w:val="231F1F"/>
          <w:w w:val="105"/>
        </w:rPr>
        <w:t>bradycardia</w:t>
      </w:r>
    </w:p>
    <w:p>
      <w:pPr>
        <w:pStyle w:val="BodyText"/>
        <w:ind w:left="286" w:right="81" w:hanging="100"/>
      </w:pPr>
      <w:r>
        <w:rPr>
          <w:rFonts w:ascii="Arial" w:hAnsi="Arial"/>
          <w:color w:val="231F1F"/>
          <w:w w:val="355"/>
          <w:position w:val="1"/>
          <w:sz w:val="7"/>
        </w:rPr>
        <w:t>l</w:t>
      </w:r>
      <w:r>
        <w:rPr>
          <w:rFonts w:ascii="Arial" w:hAnsi="Arial"/>
          <w:color w:val="231F1F"/>
          <w:spacing w:val="-48"/>
          <w:w w:val="355"/>
          <w:position w:val="1"/>
          <w:sz w:val="7"/>
        </w:rPr>
        <w:t> </w:t>
      </w:r>
      <w:r>
        <w:rPr>
          <w:rFonts w:ascii="Calibri" w:hAnsi="Calibri"/>
          <w:color w:val="231F1F"/>
          <w:w w:val="115"/>
        </w:rPr>
        <w:t>Cytotoxics:</w:t>
      </w:r>
      <w:r>
        <w:rPr>
          <w:rFonts w:ascii="Calibri" w:hAnsi="Calibri"/>
          <w:color w:val="231F1F"/>
          <w:spacing w:val="-14"/>
          <w:w w:val="115"/>
        </w:rPr>
        <w:t> </w:t>
      </w:r>
      <w:r>
        <w:rPr>
          <w:color w:val="231F1F"/>
          <w:w w:val="115"/>
        </w:rPr>
        <w:t>possible</w:t>
      </w:r>
      <w:r>
        <w:rPr>
          <w:color w:val="231F1F"/>
          <w:spacing w:val="-18"/>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ventricular</w:t>
      </w:r>
      <w:r>
        <w:rPr>
          <w:color w:val="231F1F"/>
          <w:spacing w:val="-18"/>
          <w:w w:val="115"/>
        </w:rPr>
        <w:t> </w:t>
      </w:r>
      <w:r>
        <w:rPr>
          <w:color w:val="231F1F"/>
          <w:w w:val="115"/>
        </w:rPr>
        <w:t>arrhythmias when vandetanib given with </w:t>
      </w:r>
      <w:r>
        <w:rPr>
          <w:rFonts w:ascii="Arial" w:hAnsi="Arial"/>
          <w:color w:val="231F1F"/>
          <w:w w:val="355"/>
          <w:position w:val="1"/>
          <w:sz w:val="7"/>
        </w:rPr>
        <w:t>l </w:t>
      </w:r>
      <w:r>
        <w:rPr>
          <w:rFonts w:ascii="Calibri" w:hAnsi="Calibri"/>
          <w:color w:val="008356"/>
          <w:spacing w:val="4"/>
          <w:w w:val="115"/>
          <w:sz w:val="11"/>
        </w:rPr>
        <w:t>ARSENIC </w:t>
      </w:r>
      <w:r>
        <w:rPr>
          <w:rFonts w:ascii="Calibri" w:hAnsi="Calibri"/>
          <w:color w:val="008356"/>
          <w:spacing w:val="2"/>
          <w:w w:val="115"/>
          <w:sz w:val="11"/>
        </w:rPr>
        <w:t>TRIOXIDE</w:t>
      </w:r>
      <w:r>
        <w:rPr>
          <w:rFonts w:ascii="Arial" w:hAnsi="Arial"/>
          <w:color w:val="231F1F"/>
          <w:spacing w:val="2"/>
          <w:w w:val="115"/>
        </w:rPr>
        <w:t>—</w:t>
      </w:r>
      <w:r>
        <w:rPr>
          <w:color w:val="231F1F"/>
          <w:spacing w:val="2"/>
          <w:w w:val="115"/>
        </w:rPr>
        <w:t>avoid </w:t>
      </w:r>
      <w:r>
        <w:rPr>
          <w:color w:val="231F1F"/>
          <w:w w:val="115"/>
        </w:rPr>
        <w:t>concomitant</w:t>
      </w:r>
      <w:r>
        <w:rPr>
          <w:color w:val="231F1F"/>
          <w:spacing w:val="-5"/>
          <w:w w:val="115"/>
        </w:rPr>
        <w:t> </w:t>
      </w:r>
      <w:r>
        <w:rPr>
          <w:color w:val="231F1F"/>
          <w:w w:val="115"/>
        </w:rPr>
        <w:t>use</w:t>
      </w:r>
    </w:p>
    <w:p>
      <w:pPr>
        <w:pStyle w:val="BodyText"/>
        <w:spacing w:before="2"/>
        <w:ind w:left="286" w:right="205" w:hanging="100"/>
      </w:pPr>
      <w:r>
        <w:rPr>
          <w:rFonts w:ascii="Arial" w:hAnsi="Arial"/>
          <w:color w:val="231F1F"/>
          <w:w w:val="355"/>
          <w:position w:val="1"/>
          <w:sz w:val="7"/>
        </w:rPr>
        <w:t>l</w:t>
      </w:r>
      <w:r>
        <w:rPr>
          <w:rFonts w:ascii="Arial" w:hAnsi="Arial"/>
          <w:color w:val="231F1F"/>
          <w:spacing w:val="-38"/>
          <w:w w:val="355"/>
          <w:position w:val="1"/>
          <w:sz w:val="7"/>
        </w:rPr>
        <w:t> </w:t>
      </w:r>
      <w:r>
        <w:rPr>
          <w:rFonts w:ascii="Calibri" w:hAnsi="Calibri"/>
          <w:color w:val="231F1F"/>
          <w:w w:val="110"/>
        </w:rPr>
        <w:t>Hormone</w:t>
      </w:r>
      <w:r>
        <w:rPr>
          <w:rFonts w:ascii="Calibri" w:hAnsi="Calibri"/>
          <w:color w:val="231F1F"/>
          <w:spacing w:val="-5"/>
          <w:w w:val="110"/>
        </w:rPr>
        <w:t> </w:t>
      </w:r>
      <w:r>
        <w:rPr>
          <w:rFonts w:ascii="Calibri" w:hAnsi="Calibri"/>
          <w:color w:val="231F1F"/>
          <w:w w:val="110"/>
        </w:rPr>
        <w:t>Antagonists:</w:t>
      </w:r>
      <w:r>
        <w:rPr>
          <w:rFonts w:ascii="Calibri" w:hAnsi="Calibri"/>
          <w:color w:val="231F1F"/>
          <w:spacing w:val="-6"/>
          <w:w w:val="110"/>
        </w:rPr>
        <w:t> </w:t>
      </w:r>
      <w:r>
        <w:rPr>
          <w:color w:val="231F1F"/>
          <w:w w:val="110"/>
        </w:rPr>
        <w:t>possible</w:t>
      </w:r>
      <w:r>
        <w:rPr>
          <w:color w:val="231F1F"/>
          <w:spacing w:val="-9"/>
          <w:w w:val="110"/>
        </w:rPr>
        <w:t> </w:t>
      </w:r>
      <w:r>
        <w:rPr>
          <w:color w:val="231F1F"/>
          <w:w w:val="110"/>
        </w:rPr>
        <w:t>increased</w:t>
      </w:r>
      <w:r>
        <w:rPr>
          <w:color w:val="231F1F"/>
          <w:spacing w:val="-8"/>
          <w:w w:val="110"/>
        </w:rPr>
        <w:t> </w:t>
      </w:r>
      <w:r>
        <w:rPr>
          <w:color w:val="231F1F"/>
          <w:w w:val="110"/>
        </w:rPr>
        <w:t>risk</w:t>
      </w:r>
      <w:r>
        <w:rPr>
          <w:color w:val="231F1F"/>
          <w:spacing w:val="-9"/>
          <w:w w:val="110"/>
        </w:rPr>
        <w:t> </w:t>
      </w:r>
      <w:r>
        <w:rPr>
          <w:color w:val="231F1F"/>
          <w:w w:val="110"/>
        </w:rPr>
        <w:t>of</w:t>
      </w:r>
      <w:r>
        <w:rPr>
          <w:color w:val="231F1F"/>
          <w:spacing w:val="-7"/>
          <w:w w:val="110"/>
        </w:rPr>
        <w:t> </w:t>
      </w:r>
      <w:r>
        <w:rPr>
          <w:color w:val="231F1F"/>
          <w:w w:val="110"/>
        </w:rPr>
        <w:t>ventricular arrhythmias when vandetanib given with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4"/>
          <w:w w:val="110"/>
          <w:sz w:val="11"/>
        </w:rPr>
        <w:t>TOREMIFENE</w:t>
      </w:r>
      <w:r>
        <w:rPr>
          <w:rFonts w:ascii="Arial" w:hAnsi="Arial"/>
          <w:color w:val="231F1F"/>
          <w:spacing w:val="4"/>
          <w:w w:val="110"/>
        </w:rPr>
        <w:t>— </w:t>
      </w:r>
      <w:r>
        <w:rPr>
          <w:color w:val="231F1F"/>
          <w:w w:val="110"/>
        </w:rPr>
        <w:t>avoid concomitant</w:t>
      </w:r>
      <w:r>
        <w:rPr>
          <w:color w:val="231F1F"/>
          <w:spacing w:val="-4"/>
          <w:w w:val="110"/>
        </w:rPr>
        <w:t> </w:t>
      </w:r>
      <w:r>
        <w:rPr>
          <w:color w:val="231F1F"/>
          <w:w w:val="110"/>
        </w:rPr>
        <w:t>use</w:t>
      </w:r>
    </w:p>
    <w:p>
      <w:pPr>
        <w:pStyle w:val="BodyText"/>
        <w:spacing w:before="2"/>
        <w:ind w:left="286" w:hanging="100"/>
      </w:pPr>
      <w:r>
        <w:rPr>
          <w:rFonts w:ascii="Arial" w:hAnsi="Arial"/>
          <w:color w:val="231F1F"/>
          <w:w w:val="355"/>
          <w:position w:val="1"/>
          <w:sz w:val="7"/>
        </w:rPr>
        <w:t>l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increased risk of ventricular arrhythmias when vandetanib given with </w:t>
      </w:r>
      <w:r>
        <w:rPr>
          <w:rFonts w:ascii="Arial" w:hAnsi="Arial"/>
          <w:color w:val="231F1F"/>
          <w:w w:val="355"/>
          <w:position w:val="1"/>
          <w:sz w:val="7"/>
          <w:vertAlign w:val="baseline"/>
        </w:rPr>
        <w:t>l </w:t>
      </w:r>
      <w:r>
        <w:rPr>
          <w:rFonts w:ascii="Calibri" w:hAnsi="Calibri"/>
          <w:color w:val="008356"/>
          <w:spacing w:val="3"/>
          <w:w w:val="105"/>
          <w:sz w:val="11"/>
          <w:vertAlign w:val="baseline"/>
        </w:rPr>
        <w:t>ONDANSETRON</w:t>
      </w:r>
      <w:r>
        <w:rPr>
          <w:rFonts w:ascii="Arial" w:hAnsi="Arial"/>
          <w:color w:val="231F1F"/>
          <w:spacing w:val="3"/>
          <w:w w:val="105"/>
          <w:vertAlign w:val="baseline"/>
        </w:rPr>
        <w:t>— </w:t>
      </w:r>
      <w:r>
        <w:rPr>
          <w:color w:val="231F1F"/>
          <w:w w:val="105"/>
          <w:vertAlign w:val="baseline"/>
        </w:rPr>
        <w:t>avoid concomitant</w:t>
      </w:r>
      <w:r>
        <w:rPr>
          <w:color w:val="231F1F"/>
          <w:spacing w:val="1"/>
          <w:w w:val="105"/>
          <w:vertAlign w:val="baseline"/>
        </w:rPr>
        <w:t> </w:t>
      </w:r>
      <w:r>
        <w:rPr>
          <w:color w:val="231F1F"/>
          <w:w w:val="105"/>
          <w:vertAlign w:val="baseline"/>
        </w:rPr>
        <w:t>use</w:t>
      </w:r>
    </w:p>
    <w:p>
      <w:pPr>
        <w:pStyle w:val="BodyText"/>
        <w:spacing w:before="2"/>
        <w:ind w:left="286" w:right="121" w:hanging="100"/>
      </w:pPr>
      <w:r>
        <w:rPr>
          <w:rFonts w:ascii="Arial" w:hAnsi="Arial"/>
          <w:color w:val="231F1F"/>
          <w:w w:val="155"/>
          <w:position w:val="1"/>
          <w:sz w:val="7"/>
        </w:rPr>
        <w:t>l</w:t>
      </w:r>
      <w:r>
        <w:rPr>
          <w:rFonts w:ascii="Arial" w:hAnsi="Arial"/>
          <w:color w:val="231F1F"/>
          <w:spacing w:val="-17"/>
          <w:w w:val="155"/>
          <w:position w:val="1"/>
          <w:sz w:val="7"/>
        </w:rPr>
        <w:t> </w:t>
      </w:r>
      <w:r>
        <w:rPr>
          <w:rFonts w:ascii="Calibri" w:hAnsi="Calibri"/>
          <w:color w:val="231F1F"/>
          <w:w w:val="115"/>
        </w:rPr>
        <w:t>Pentamidine</w:t>
      </w:r>
      <w:r>
        <w:rPr>
          <w:rFonts w:ascii="Calibri" w:hAnsi="Calibri"/>
          <w:color w:val="231F1F"/>
          <w:spacing w:val="-21"/>
          <w:w w:val="115"/>
        </w:rPr>
        <w:t> </w:t>
      </w:r>
      <w:r>
        <w:rPr>
          <w:rFonts w:ascii="Calibri" w:hAnsi="Calibri"/>
          <w:color w:val="231F1F"/>
          <w:w w:val="115"/>
        </w:rPr>
        <w:t>Isetionate:</w:t>
      </w:r>
      <w:r>
        <w:rPr>
          <w:rFonts w:ascii="Calibri" w:hAnsi="Calibri"/>
          <w:color w:val="231F1F"/>
          <w:spacing w:val="-21"/>
          <w:w w:val="115"/>
        </w:rPr>
        <w:t> </w:t>
      </w:r>
      <w:r>
        <w:rPr>
          <w:color w:val="231F1F"/>
          <w:w w:val="115"/>
        </w:rPr>
        <w:t>possible</w:t>
      </w:r>
      <w:r>
        <w:rPr>
          <w:color w:val="231F1F"/>
          <w:spacing w:val="-24"/>
          <w:w w:val="115"/>
        </w:rPr>
        <w:t> </w:t>
      </w:r>
      <w:r>
        <w:rPr>
          <w:color w:val="231F1F"/>
          <w:w w:val="115"/>
        </w:rPr>
        <w:t>increased</w:t>
      </w:r>
      <w:r>
        <w:rPr>
          <w:color w:val="231F1F"/>
          <w:spacing w:val="-25"/>
          <w:w w:val="115"/>
        </w:rPr>
        <w:t> </w:t>
      </w:r>
      <w:r>
        <w:rPr>
          <w:color w:val="231F1F"/>
          <w:w w:val="115"/>
        </w:rPr>
        <w:t>risk</w:t>
      </w:r>
      <w:r>
        <w:rPr>
          <w:color w:val="231F1F"/>
          <w:spacing w:val="-23"/>
          <w:w w:val="115"/>
        </w:rPr>
        <w:t> </w:t>
      </w:r>
      <w:r>
        <w:rPr>
          <w:color w:val="231F1F"/>
          <w:w w:val="115"/>
        </w:rPr>
        <w:t>of</w:t>
      </w:r>
      <w:r>
        <w:rPr>
          <w:color w:val="231F1F"/>
          <w:spacing w:val="-24"/>
          <w:w w:val="115"/>
        </w:rPr>
        <w:t> </w:t>
      </w:r>
      <w:r>
        <w:rPr>
          <w:color w:val="231F1F"/>
          <w:w w:val="115"/>
        </w:rPr>
        <w:t>ventricular arrhythmias when vandetanib given with </w:t>
      </w:r>
      <w:r>
        <w:rPr>
          <w:rFonts w:ascii="Arial" w:hAnsi="Arial"/>
          <w:color w:val="231F1F"/>
          <w:w w:val="355"/>
          <w:position w:val="1"/>
          <w:sz w:val="7"/>
        </w:rPr>
        <w:t>l </w:t>
      </w:r>
      <w:r>
        <w:rPr>
          <w:rFonts w:ascii="Calibri" w:hAnsi="Calibri"/>
          <w:color w:val="008356"/>
          <w:spacing w:val="4"/>
          <w:w w:val="115"/>
          <w:sz w:val="11"/>
        </w:rPr>
        <w:t>PENTAMIDINE </w:t>
      </w:r>
      <w:r>
        <w:rPr>
          <w:rFonts w:ascii="Calibri" w:hAnsi="Calibri"/>
          <w:color w:val="008356"/>
          <w:spacing w:val="2"/>
          <w:w w:val="115"/>
          <w:sz w:val="11"/>
        </w:rPr>
        <w:t>ISETIONATE</w:t>
      </w:r>
      <w:r>
        <w:rPr>
          <w:rFonts w:ascii="Arial" w:hAnsi="Arial"/>
          <w:color w:val="231F1F"/>
          <w:spacing w:val="2"/>
          <w:w w:val="115"/>
        </w:rPr>
        <w:t>—</w:t>
      </w:r>
      <w:r>
        <w:rPr>
          <w:color w:val="231F1F"/>
          <w:spacing w:val="2"/>
          <w:w w:val="115"/>
        </w:rPr>
        <w:t>avoid </w:t>
      </w:r>
      <w:r>
        <w:rPr>
          <w:color w:val="231F1F"/>
          <w:w w:val="115"/>
        </w:rPr>
        <w:t>concomitant</w:t>
      </w:r>
      <w:r>
        <w:rPr>
          <w:color w:val="231F1F"/>
          <w:spacing w:val="-15"/>
          <w:w w:val="115"/>
        </w:rPr>
        <w:t> </w:t>
      </w:r>
      <w:r>
        <w:rPr>
          <w:color w:val="231F1F"/>
          <w:w w:val="115"/>
        </w:rPr>
        <w:t>use</w:t>
      </w:r>
    </w:p>
    <w:p>
      <w:pPr>
        <w:pStyle w:val="BodyText"/>
        <w:spacing w:before="3"/>
        <w:ind w:left="0"/>
        <w:rPr>
          <w:sz w:val="15"/>
        </w:rPr>
      </w:pPr>
      <w:r>
        <w:rPr/>
        <w:br w:type="column"/>
      </w:r>
      <w:r>
        <w:rPr>
          <w:sz w:val="15"/>
        </w:rPr>
      </w:r>
    </w:p>
    <w:p>
      <w:pPr>
        <w:pStyle w:val="BodyText"/>
        <w:spacing w:line="139" w:lineRule="exact" w:before="1"/>
        <w:ind w:left="186"/>
        <w:rPr>
          <w:rFonts w:ascii="Trebuchet MS"/>
        </w:rPr>
      </w:pPr>
      <w:r>
        <w:rPr>
          <w:rFonts w:ascii="Trebuchet MS"/>
          <w:color w:val="008356"/>
        </w:rPr>
        <w:t>Vardenafil</w:t>
      </w:r>
    </w:p>
    <w:p>
      <w:pPr>
        <w:pStyle w:val="BodyText"/>
        <w:spacing w:line="242" w:lineRule="auto"/>
        <w:ind w:left="286" w:right="607"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Alpha-blockers:</w:t>
      </w:r>
      <w:r>
        <w:rPr>
          <w:rFonts w:ascii="Calibri" w:hAnsi="Calibri"/>
          <w:color w:val="231F1F"/>
          <w:spacing w:val="-14"/>
          <w:w w:val="115"/>
        </w:rPr>
        <w:t> </w:t>
      </w:r>
      <w:r>
        <w:rPr>
          <w:color w:val="231F1F"/>
          <w:w w:val="115"/>
        </w:rPr>
        <w:t>enhanced</w:t>
      </w:r>
      <w:r>
        <w:rPr>
          <w:color w:val="231F1F"/>
          <w:spacing w:val="-16"/>
          <w:w w:val="115"/>
        </w:rPr>
        <w:t> </w:t>
      </w:r>
      <w:r>
        <w:rPr>
          <w:color w:val="231F1F"/>
          <w:w w:val="115"/>
        </w:rPr>
        <w:t>hypotensive</w:t>
      </w:r>
      <w:r>
        <w:rPr>
          <w:color w:val="231F1F"/>
          <w:spacing w:val="-16"/>
          <w:w w:val="115"/>
        </w:rPr>
        <w:t> </w:t>
      </w:r>
      <w:r>
        <w:rPr>
          <w:color w:val="231F1F"/>
          <w:w w:val="115"/>
        </w:rPr>
        <w:t>effect</w:t>
      </w:r>
      <w:r>
        <w:rPr>
          <w:color w:val="231F1F"/>
          <w:spacing w:val="-16"/>
          <w:w w:val="115"/>
        </w:rPr>
        <w:t> </w:t>
      </w:r>
      <w:r>
        <w:rPr>
          <w:color w:val="231F1F"/>
          <w:w w:val="115"/>
        </w:rPr>
        <w:t>when</w:t>
      </w:r>
      <w:r>
        <w:rPr>
          <w:color w:val="231F1F"/>
          <w:spacing w:val="-17"/>
          <w:w w:val="115"/>
        </w:rPr>
        <w:t> </w:t>
      </w:r>
      <w:r>
        <w:rPr>
          <w:color w:val="231F1F"/>
          <w:w w:val="115"/>
        </w:rPr>
        <w:t>vardenafil given</w:t>
      </w:r>
      <w:r>
        <w:rPr>
          <w:color w:val="231F1F"/>
          <w:spacing w:val="-14"/>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Calibri" w:hAnsi="Calibri"/>
          <w:color w:val="008356"/>
          <w:spacing w:val="3"/>
          <w:w w:val="115"/>
          <w:sz w:val="11"/>
        </w:rPr>
        <w:t>ALPHA-BLOCKERS</w:t>
      </w:r>
      <w:r>
        <w:rPr>
          <w:rFonts w:ascii="Arial" w:hAnsi="Arial"/>
          <w:color w:val="231F1F"/>
          <w:spacing w:val="3"/>
          <w:w w:val="115"/>
        </w:rPr>
        <w:t>—</w:t>
      </w:r>
      <w:r>
        <w:rPr>
          <w:color w:val="231F1F"/>
          <w:spacing w:val="3"/>
          <w:w w:val="115"/>
        </w:rPr>
        <w:t>when</w:t>
      </w:r>
      <w:r>
        <w:rPr>
          <w:color w:val="231F1F"/>
          <w:spacing w:val="-14"/>
          <w:w w:val="115"/>
        </w:rPr>
        <w:t> </w:t>
      </w:r>
      <w:r>
        <w:rPr>
          <w:color w:val="231F1F"/>
          <w:w w:val="115"/>
        </w:rPr>
        <w:t>patient</w:t>
      </w:r>
      <w:r>
        <w:rPr>
          <w:color w:val="231F1F"/>
          <w:spacing w:val="-14"/>
          <w:w w:val="115"/>
        </w:rPr>
        <w:t> </w:t>
      </w:r>
      <w:r>
        <w:rPr>
          <w:color w:val="231F1F"/>
          <w:w w:val="115"/>
        </w:rPr>
        <w:t>is</w:t>
      </w:r>
      <w:r>
        <w:rPr>
          <w:color w:val="231F1F"/>
          <w:spacing w:val="-14"/>
          <w:w w:val="115"/>
        </w:rPr>
        <w:t> </w:t>
      </w:r>
      <w:r>
        <w:rPr>
          <w:color w:val="231F1F"/>
          <w:w w:val="115"/>
        </w:rPr>
        <w:t>stable</w:t>
      </w:r>
      <w:r>
        <w:rPr>
          <w:color w:val="231F1F"/>
          <w:spacing w:val="-13"/>
          <w:w w:val="115"/>
        </w:rPr>
        <w:t> </w:t>
      </w:r>
      <w:r>
        <w:rPr>
          <w:color w:val="231F1F"/>
          <w:w w:val="115"/>
        </w:rPr>
        <w:t>on</w:t>
      </w:r>
      <w:r>
        <w:rPr>
          <w:color w:val="231F1F"/>
          <w:spacing w:val="-13"/>
          <w:w w:val="115"/>
        </w:rPr>
        <w:t> </w:t>
      </w:r>
      <w:r>
        <w:rPr>
          <w:color w:val="231F1F"/>
          <w:w w:val="115"/>
        </w:rPr>
        <w:t>the alpha</w:t>
      </w:r>
      <w:r>
        <w:rPr>
          <w:color w:val="231F1F"/>
          <w:spacing w:val="-8"/>
          <w:w w:val="115"/>
        </w:rPr>
        <w:t> </w:t>
      </w:r>
      <w:r>
        <w:rPr>
          <w:color w:val="231F1F"/>
          <w:w w:val="115"/>
        </w:rPr>
        <w:t>blocker</w:t>
      </w:r>
      <w:r>
        <w:rPr>
          <w:color w:val="231F1F"/>
          <w:spacing w:val="-7"/>
          <w:w w:val="115"/>
        </w:rPr>
        <w:t> </w:t>
      </w:r>
      <w:r>
        <w:rPr>
          <w:color w:val="231F1F"/>
          <w:w w:val="115"/>
        </w:rPr>
        <w:t>initiate</w:t>
      </w:r>
      <w:r>
        <w:rPr>
          <w:color w:val="231F1F"/>
          <w:spacing w:val="-9"/>
          <w:w w:val="115"/>
        </w:rPr>
        <w:t> </w:t>
      </w:r>
      <w:r>
        <w:rPr>
          <w:color w:val="231F1F"/>
          <w:w w:val="115"/>
        </w:rPr>
        <w:t>vardenafil</w:t>
      </w:r>
      <w:r>
        <w:rPr>
          <w:color w:val="231F1F"/>
          <w:spacing w:val="-7"/>
          <w:w w:val="115"/>
        </w:rPr>
        <w:t> </w:t>
      </w:r>
      <w:r>
        <w:rPr>
          <w:color w:val="231F1F"/>
          <w:w w:val="115"/>
        </w:rPr>
        <w:t>at</w:t>
      </w:r>
      <w:r>
        <w:rPr>
          <w:color w:val="231F1F"/>
          <w:spacing w:val="-8"/>
          <w:w w:val="115"/>
        </w:rPr>
        <w:t> </w:t>
      </w:r>
      <w:r>
        <w:rPr>
          <w:color w:val="231F1F"/>
          <w:w w:val="115"/>
        </w:rPr>
        <w:t>the</w:t>
      </w:r>
      <w:r>
        <w:rPr>
          <w:color w:val="231F1F"/>
          <w:spacing w:val="-7"/>
          <w:w w:val="115"/>
        </w:rPr>
        <w:t> </w:t>
      </w:r>
      <w:r>
        <w:rPr>
          <w:color w:val="231F1F"/>
          <w:w w:val="115"/>
        </w:rPr>
        <w:t>lowest</w:t>
      </w:r>
      <w:r>
        <w:rPr>
          <w:color w:val="231F1F"/>
          <w:spacing w:val="-8"/>
          <w:w w:val="115"/>
        </w:rPr>
        <w:t> </w:t>
      </w:r>
      <w:r>
        <w:rPr>
          <w:color w:val="231F1F"/>
          <w:w w:val="115"/>
        </w:rPr>
        <w:t>possible</w:t>
      </w:r>
      <w:r>
        <w:rPr>
          <w:color w:val="231F1F"/>
          <w:spacing w:val="-8"/>
          <w:w w:val="115"/>
        </w:rPr>
        <w:t> </w:t>
      </w:r>
      <w:r>
        <w:rPr>
          <w:color w:val="231F1F"/>
          <w:spacing w:val="-4"/>
          <w:w w:val="115"/>
        </w:rPr>
        <w:t>dose</w:t>
      </w:r>
      <w:r>
        <w:rPr>
          <w:rFonts w:ascii="Arial" w:hAnsi="Arial"/>
          <w:color w:val="231F1F"/>
          <w:spacing w:val="-4"/>
          <w:w w:val="115"/>
        </w:rPr>
        <w:t>— </w:t>
      </w:r>
      <w:r>
        <w:rPr>
          <w:color w:val="231F1F"/>
          <w:w w:val="115"/>
        </w:rPr>
        <w:t>separate</w:t>
      </w:r>
      <w:r>
        <w:rPr>
          <w:color w:val="231F1F"/>
          <w:spacing w:val="-5"/>
          <w:w w:val="115"/>
        </w:rPr>
        <w:t> </w:t>
      </w:r>
      <w:r>
        <w:rPr>
          <w:color w:val="231F1F"/>
          <w:w w:val="115"/>
        </w:rPr>
        <w:t>doses</w:t>
      </w:r>
      <w:r>
        <w:rPr>
          <w:color w:val="231F1F"/>
          <w:spacing w:val="-5"/>
          <w:w w:val="115"/>
        </w:rPr>
        <w:t> </w:t>
      </w:r>
      <w:r>
        <w:rPr>
          <w:color w:val="231F1F"/>
          <w:w w:val="115"/>
        </w:rPr>
        <w:t>by</w:t>
      </w:r>
      <w:r>
        <w:rPr>
          <w:color w:val="231F1F"/>
          <w:spacing w:val="-3"/>
          <w:w w:val="115"/>
        </w:rPr>
        <w:t> </w:t>
      </w:r>
      <w:r>
        <w:rPr>
          <w:color w:val="231F1F"/>
          <w:w w:val="115"/>
        </w:rPr>
        <w:t>6</w:t>
      </w:r>
      <w:r>
        <w:rPr>
          <w:color w:val="231F1F"/>
          <w:spacing w:val="-4"/>
          <w:w w:val="115"/>
        </w:rPr>
        <w:t> </w:t>
      </w:r>
      <w:r>
        <w:rPr>
          <w:color w:val="231F1F"/>
          <w:w w:val="115"/>
        </w:rPr>
        <w:t>hours</w:t>
      </w:r>
      <w:r>
        <w:rPr>
          <w:color w:val="231F1F"/>
          <w:spacing w:val="-4"/>
          <w:w w:val="115"/>
        </w:rPr>
        <w:t> </w:t>
      </w:r>
      <w:r>
        <w:rPr>
          <w:color w:val="231F1F"/>
          <w:w w:val="115"/>
        </w:rPr>
        <w:t>(except</w:t>
      </w:r>
      <w:r>
        <w:rPr>
          <w:color w:val="231F1F"/>
          <w:spacing w:val="-4"/>
          <w:w w:val="115"/>
        </w:rPr>
        <w:t> </w:t>
      </w:r>
      <w:r>
        <w:rPr>
          <w:color w:val="231F1F"/>
          <w:w w:val="115"/>
        </w:rPr>
        <w:t>with</w:t>
      </w:r>
      <w:r>
        <w:rPr>
          <w:color w:val="231F1F"/>
          <w:spacing w:val="-4"/>
          <w:w w:val="115"/>
        </w:rPr>
        <w:t> </w:t>
      </w:r>
      <w:r>
        <w:rPr>
          <w:color w:val="231F1F"/>
          <w:w w:val="115"/>
        </w:rPr>
        <w:t>tamsulosin)</w:t>
      </w:r>
    </w:p>
    <w:p>
      <w:pPr>
        <w:pStyle w:val="BodyText"/>
        <w:spacing w:line="230" w:lineRule="auto" w:before="6"/>
        <w:ind w:left="286" w:right="670" w:hanging="100"/>
      </w:pPr>
      <w:r>
        <w:rPr>
          <w:rFonts w:ascii="Lucida Sans Unicode" w:hAnsi="Lucida Sans Unicode"/>
          <w:color w:val="A7A8AC"/>
          <w:w w:val="95"/>
          <w:sz w:val="10"/>
        </w:rPr>
        <w:t>▶ </w:t>
      </w:r>
      <w:r>
        <w:rPr>
          <w:rFonts w:ascii="Calibri" w:hAnsi="Calibri"/>
          <w:color w:val="231F1F"/>
          <w:w w:val="110"/>
        </w:rPr>
        <w:t>Anti-arrhythmics: </w:t>
      </w:r>
      <w:r>
        <w:rPr>
          <w:color w:val="231F1F"/>
          <w:w w:val="110"/>
        </w:rPr>
        <w:t>avoidance of vardenafil advised by manufacturer of </w:t>
      </w:r>
      <w:r>
        <w:rPr>
          <w:rFonts w:ascii="Calibri" w:hAnsi="Calibri"/>
          <w:color w:val="008356"/>
          <w:w w:val="110"/>
          <w:sz w:val="11"/>
        </w:rPr>
        <w:t>DISOPYRAMIDE </w:t>
      </w:r>
      <w:r>
        <w:rPr>
          <w:color w:val="231F1F"/>
          <w:w w:val="110"/>
        </w:rPr>
        <w:t>(risk of ventricular arrhythmias)</w:t>
      </w:r>
    </w:p>
    <w:p>
      <w:pPr>
        <w:pStyle w:val="BodyText"/>
        <w:spacing w:line="237" w:lineRule="auto" w:before="3"/>
        <w:ind w:left="286" w:right="677" w:hanging="100"/>
      </w:pPr>
      <w:r>
        <w:rPr>
          <w:rFonts w:ascii="Lucida Sans Unicode" w:hAnsi="Lucida Sans Unicode"/>
          <w:color w:val="A7A8AC"/>
          <w:w w:val="95"/>
          <w:sz w:val="10"/>
        </w:rPr>
        <w:t>▶ </w:t>
      </w:r>
      <w:r>
        <w:rPr>
          <w:rFonts w:ascii="Calibri" w:hAnsi="Calibri"/>
          <w:color w:val="231F1F"/>
          <w:w w:val="110"/>
        </w:rPr>
        <w:t>Antibacterials: </w:t>
      </w:r>
      <w:r>
        <w:rPr>
          <w:color w:val="231F1F"/>
          <w:w w:val="110"/>
        </w:rPr>
        <w:t>plasma concentration of vardenafil possibly increased by </w:t>
      </w:r>
      <w:r>
        <w:rPr>
          <w:rFonts w:ascii="Calibri" w:hAnsi="Calibri"/>
          <w:color w:val="008356"/>
          <w:w w:val="110"/>
          <w:sz w:val="11"/>
        </w:rPr>
        <w:t>CLARITHROMYCIN </w:t>
      </w:r>
      <w:r>
        <w:rPr>
          <w:color w:val="231F1F"/>
          <w:w w:val="110"/>
        </w:rPr>
        <w:t>(consider reducing initial dose of vardenafil); plasma concentration of vardenafil increased by </w:t>
      </w:r>
      <w:r>
        <w:rPr>
          <w:rFonts w:ascii="Calibri" w:hAnsi="Calibri"/>
          <w:color w:val="008356"/>
          <w:w w:val="110"/>
          <w:sz w:val="11"/>
        </w:rPr>
        <w:t>ERYTHROMYCIN </w:t>
      </w:r>
      <w:r>
        <w:rPr>
          <w:color w:val="231F1F"/>
          <w:w w:val="110"/>
        </w:rPr>
        <w:t>(reduce dose of vardenafil)</w:t>
      </w:r>
    </w:p>
    <w:p>
      <w:pPr>
        <w:pStyle w:val="BodyText"/>
        <w:ind w:left="286" w:right="699" w:hanging="100"/>
      </w:pPr>
      <w:r>
        <w:rPr>
          <w:rFonts w:ascii="Arial" w:hAnsi="Arial"/>
          <w:color w:val="231F1F"/>
          <w:w w:val="355"/>
          <w:position w:val="1"/>
          <w:sz w:val="7"/>
        </w:rPr>
        <w:t>l </w:t>
      </w:r>
      <w:r>
        <w:rPr>
          <w:rFonts w:ascii="Calibri" w:hAnsi="Calibri"/>
          <w:color w:val="231F1F"/>
          <w:w w:val="110"/>
        </w:rPr>
        <w:t>Antifungals: </w:t>
      </w:r>
      <w:r>
        <w:rPr>
          <w:color w:val="231F1F"/>
          <w:w w:val="110"/>
        </w:rPr>
        <w:t>plasma concentration of vardenafil increased by </w:t>
      </w:r>
      <w:r>
        <w:rPr>
          <w:rFonts w:ascii="Arial" w:hAnsi="Arial"/>
          <w:color w:val="231F1F"/>
          <w:w w:val="355"/>
          <w:position w:val="1"/>
          <w:sz w:val="7"/>
        </w:rPr>
        <w:t>l </w:t>
      </w:r>
      <w:r>
        <w:rPr>
          <w:rFonts w:ascii="Calibri" w:hAnsi="Calibri"/>
          <w:color w:val="008356"/>
          <w:w w:val="110"/>
          <w:sz w:val="11"/>
        </w:rPr>
        <w:t>KETOCONAZOLE</w:t>
      </w:r>
      <w:r>
        <w:rPr>
          <w:rFonts w:ascii="Arial" w:hAnsi="Arial"/>
          <w:color w:val="231F1F"/>
          <w:w w:val="110"/>
        </w:rPr>
        <w:t>—</w:t>
      </w:r>
      <w:r>
        <w:rPr>
          <w:color w:val="231F1F"/>
          <w:w w:val="110"/>
        </w:rPr>
        <w:t>avoid concomitant use; plasma concentration of vardenafil possibly increased by</w:t>
      </w:r>
    </w:p>
    <w:p>
      <w:pPr>
        <w:spacing w:line="141" w:lineRule="exact" w:before="3"/>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3"/>
          <w:w w:val="115"/>
          <w:sz w:val="11"/>
        </w:rPr>
        <w:t>ITRACONAZOLE</w:t>
      </w:r>
      <w:r>
        <w:rPr>
          <w:rFonts w:ascii="Arial" w:hAnsi="Arial"/>
          <w:color w:val="231F1F"/>
          <w:spacing w:val="3"/>
          <w:w w:val="115"/>
          <w:sz w:val="12"/>
        </w:rPr>
        <w:t>—</w:t>
      </w:r>
      <w:r>
        <w:rPr>
          <w:color w:val="231F1F"/>
          <w:spacing w:val="3"/>
          <w:w w:val="115"/>
          <w:sz w:val="12"/>
        </w:rPr>
        <w:t>avoid </w:t>
      </w:r>
      <w:r>
        <w:rPr>
          <w:color w:val="231F1F"/>
          <w:w w:val="115"/>
          <w:sz w:val="12"/>
        </w:rPr>
        <w:t>concomitant use</w:t>
      </w:r>
    </w:p>
    <w:p>
      <w:pPr>
        <w:pStyle w:val="BodyText"/>
        <w:spacing w:line="242" w:lineRule="auto"/>
        <w:ind w:left="286" w:right="590" w:hanging="100"/>
      </w:pPr>
      <w:r>
        <w:rPr>
          <w:rFonts w:ascii="Arial" w:hAnsi="Arial"/>
          <w:color w:val="231F1F"/>
          <w:w w:val="355"/>
          <w:position w:val="1"/>
          <w:sz w:val="7"/>
        </w:rPr>
        <w:t>l </w:t>
      </w:r>
      <w:r>
        <w:rPr>
          <w:rFonts w:ascii="Calibri" w:hAnsi="Calibri"/>
          <w:color w:val="231F1F"/>
          <w:w w:val="110"/>
        </w:rPr>
        <w:t>Antivirals: </w:t>
      </w:r>
      <w:r>
        <w:rPr>
          <w:color w:val="231F1F"/>
          <w:w w:val="110"/>
        </w:rPr>
        <w:t>plasma concentration of vardenafil possibly increased by </w:t>
      </w:r>
      <w:r>
        <w:rPr>
          <w:rFonts w:ascii="Calibri" w:hAnsi="Calibri"/>
          <w:color w:val="008356"/>
          <w:w w:val="110"/>
          <w:sz w:val="11"/>
        </w:rPr>
        <w:t>FOSAMPRENAVIR</w:t>
      </w:r>
      <w:r>
        <w:rPr>
          <w:color w:val="231F1F"/>
          <w:w w:val="110"/>
        </w:rPr>
        <w:t>; plasma concentration of vardenafil increased by </w:t>
      </w:r>
      <w:r>
        <w:rPr>
          <w:rFonts w:ascii="Arial" w:hAnsi="Arial"/>
          <w:color w:val="231F1F"/>
          <w:w w:val="355"/>
          <w:position w:val="1"/>
          <w:sz w:val="7"/>
        </w:rPr>
        <w:t>l </w:t>
      </w:r>
      <w:r>
        <w:rPr>
          <w:rFonts w:ascii="Calibri" w:hAnsi="Calibri"/>
          <w:color w:val="008356"/>
          <w:w w:val="110"/>
          <w:sz w:val="11"/>
        </w:rPr>
        <w:t>INDINAVIR </w:t>
      </w:r>
      <w:r>
        <w:rPr>
          <w:color w:val="231F1F"/>
          <w:w w:val="110"/>
        </w:rPr>
        <w:t>and </w:t>
      </w:r>
      <w:r>
        <w:rPr>
          <w:rFonts w:ascii="Arial" w:hAnsi="Arial"/>
          <w:color w:val="231F1F"/>
          <w:w w:val="355"/>
          <w:position w:val="1"/>
          <w:sz w:val="7"/>
        </w:rPr>
        <w:t>l </w:t>
      </w:r>
      <w:r>
        <w:rPr>
          <w:rFonts w:ascii="Calibri" w:hAnsi="Calibri"/>
          <w:color w:val="008356"/>
          <w:w w:val="110"/>
          <w:sz w:val="11"/>
        </w:rPr>
        <w:t>RITONAVIR</w:t>
      </w:r>
      <w:r>
        <w:rPr>
          <w:rFonts w:ascii="Arial" w:hAnsi="Arial"/>
          <w:color w:val="231F1F"/>
          <w:w w:val="110"/>
        </w:rPr>
        <w:t>—</w:t>
      </w:r>
      <w:r>
        <w:rPr>
          <w:color w:val="231F1F"/>
          <w:w w:val="110"/>
        </w:rPr>
        <w:t>avoid concomitant use; increased risk of ventricular arrhythmias when vardenafil given with </w:t>
      </w:r>
      <w:r>
        <w:rPr>
          <w:rFonts w:ascii="Arial" w:hAnsi="Arial"/>
          <w:color w:val="231F1F"/>
          <w:w w:val="355"/>
          <w:position w:val="1"/>
          <w:sz w:val="7"/>
        </w:rPr>
        <w:t>l </w:t>
      </w:r>
      <w:r>
        <w:rPr>
          <w:rFonts w:ascii="Calibri" w:hAnsi="Calibri"/>
          <w:color w:val="008356"/>
          <w:w w:val="110"/>
          <w:sz w:val="11"/>
        </w:rPr>
        <w:t>SAQUINAVIR</w:t>
      </w:r>
      <w:r>
        <w:rPr>
          <w:rFonts w:ascii="Arial" w:hAnsi="Arial"/>
          <w:color w:val="231F1F"/>
          <w:w w:val="110"/>
        </w:rPr>
        <w:t>—</w:t>
      </w:r>
      <w:r>
        <w:rPr>
          <w:color w:val="231F1F"/>
          <w:w w:val="110"/>
        </w:rPr>
        <w:t>avoid concomitant use; avoidance of vardenafil advised by manufacturer of</w:t>
      </w:r>
    </w:p>
    <w:p>
      <w:pPr>
        <w:spacing w:line="244" w:lineRule="auto" w:before="5"/>
        <w:ind w:left="286" w:right="670" w:firstLine="0"/>
        <w:jc w:val="left"/>
        <w:rPr>
          <w:rFonts w:ascii="Calibri"/>
          <w:sz w:val="11"/>
        </w:rPr>
      </w:pPr>
      <w:r>
        <w:rPr>
          <w:rFonts w:ascii="Arial"/>
          <w:color w:val="231F1F"/>
          <w:w w:val="355"/>
          <w:position w:val="1"/>
          <w:sz w:val="7"/>
        </w:rPr>
        <w:t>l </w:t>
      </w:r>
      <w:r>
        <w:rPr>
          <w:rFonts w:ascii="Calibri"/>
          <w:color w:val="008356"/>
          <w:w w:val="110"/>
          <w:sz w:val="11"/>
        </w:rPr>
        <w:t>TELAPREVIR</w:t>
      </w:r>
      <w:r>
        <w:rPr>
          <w:color w:val="231F1F"/>
          <w:w w:val="110"/>
          <w:sz w:val="12"/>
        </w:rPr>
        <w:t>; caution with vardenafil advised by manufacturer of </w:t>
      </w:r>
      <w:r>
        <w:rPr>
          <w:rFonts w:ascii="Calibri"/>
          <w:color w:val="008356"/>
          <w:w w:val="110"/>
          <w:sz w:val="11"/>
        </w:rPr>
        <w:t>TIPRANAVIR</w:t>
      </w:r>
    </w:p>
    <w:p>
      <w:pPr>
        <w:pStyle w:val="BodyText"/>
        <w:spacing w:line="220" w:lineRule="auto" w:before="4"/>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enhanced hypotensive effect when vardenafil given with </w:t>
      </w:r>
      <w:r>
        <w:rPr>
          <w:rFonts w:ascii="Calibri" w:hAnsi="Calibri"/>
          <w:color w:val="008356"/>
          <w:w w:val="105"/>
          <w:sz w:val="11"/>
        </w:rPr>
        <w:t>NIFEDIPINE</w:t>
      </w:r>
    </w:p>
    <w:p>
      <w:pPr>
        <w:pStyle w:val="BodyText"/>
        <w:spacing w:line="244" w:lineRule="auto"/>
        <w:ind w:left="286" w:right="526" w:hanging="100"/>
      </w:pPr>
      <w:r>
        <w:rPr>
          <w:rFonts w:ascii="Arial" w:hAnsi="Arial"/>
          <w:color w:val="231F1F"/>
          <w:w w:val="355"/>
          <w:position w:val="1"/>
          <w:sz w:val="7"/>
        </w:rPr>
        <w:t>l </w:t>
      </w:r>
      <w:r>
        <w:rPr>
          <w:rFonts w:ascii="Calibri" w:hAnsi="Calibri"/>
          <w:color w:val="231F1F"/>
          <w:w w:val="120"/>
        </w:rPr>
        <w:t>Cobicistat: </w:t>
      </w:r>
      <w:r>
        <w:rPr>
          <w:color w:val="231F1F"/>
          <w:w w:val="120"/>
        </w:rPr>
        <w:t>plasma concentration of vardenafil possibly </w:t>
      </w:r>
      <w:r>
        <w:rPr>
          <w:color w:val="231F1F"/>
          <w:w w:val="115"/>
        </w:rPr>
        <w:t>increased by </w:t>
      </w:r>
      <w:r>
        <w:rPr>
          <w:rFonts w:ascii="Arial" w:hAnsi="Arial"/>
          <w:color w:val="231F1F"/>
          <w:w w:val="115"/>
          <w:position w:val="1"/>
          <w:sz w:val="7"/>
        </w:rPr>
        <w:t>l </w:t>
      </w:r>
      <w:r>
        <w:rPr>
          <w:rFonts w:ascii="Calibri" w:hAnsi="Calibri"/>
          <w:color w:val="008356"/>
          <w:w w:val="115"/>
          <w:sz w:val="11"/>
        </w:rPr>
        <w:t>COBICISTAT</w:t>
      </w:r>
      <w:r>
        <w:rPr>
          <w:rFonts w:ascii="Arial" w:hAnsi="Arial"/>
          <w:color w:val="231F1F"/>
          <w:w w:val="115"/>
        </w:rPr>
        <w:t>—</w:t>
      </w:r>
      <w:r>
        <w:rPr>
          <w:color w:val="231F1F"/>
          <w:w w:val="115"/>
        </w:rPr>
        <w:t>manufacturer of cobicistat advises </w:t>
      </w:r>
      <w:r>
        <w:rPr>
          <w:color w:val="231F1F"/>
          <w:w w:val="120"/>
        </w:rPr>
        <w:t>reduce dose of vardenafil (consult cobicistat product literature)</w:t>
      </w:r>
    </w:p>
    <w:p>
      <w:pPr>
        <w:pStyle w:val="BodyText"/>
        <w:spacing w:line="220" w:lineRule="auto" w:before="4"/>
        <w:ind w:left="286" w:right="762" w:hanging="100"/>
        <w:rPr>
          <w:rFonts w:ascii="Calibri" w:hAnsi="Calibri"/>
          <w:sz w:val="11"/>
        </w:rPr>
      </w:pPr>
      <w:r>
        <w:rPr>
          <w:rFonts w:ascii="Lucida Sans Unicode" w:hAnsi="Lucida Sans Unicode"/>
          <w:color w:val="A7A8AC"/>
          <w:w w:val="95"/>
          <w:sz w:val="10"/>
        </w:rPr>
        <w:t>▶ </w:t>
      </w:r>
      <w:r>
        <w:rPr>
          <w:rFonts w:ascii="Calibri" w:hAnsi="Calibri"/>
          <w:color w:val="231F1F"/>
          <w:w w:val="105"/>
        </w:rPr>
        <w:t>Dapoxetine:  </w:t>
      </w:r>
      <w:r>
        <w:rPr>
          <w:color w:val="231F1F"/>
          <w:w w:val="105"/>
        </w:rPr>
        <w:t>avoidance of vardenafil advised by </w:t>
      </w:r>
      <w:r>
        <w:rPr>
          <w:color w:val="231F1F"/>
          <w:spacing w:val="-2"/>
          <w:w w:val="105"/>
        </w:rPr>
        <w:t>manufacturer  </w:t>
      </w:r>
      <w:r>
        <w:rPr>
          <w:color w:val="231F1F"/>
          <w:w w:val="105"/>
        </w:rPr>
        <w:t>of </w:t>
      </w:r>
      <w:r>
        <w:rPr>
          <w:rFonts w:ascii="Calibri" w:hAnsi="Calibri"/>
          <w:color w:val="008356"/>
          <w:spacing w:val="4"/>
          <w:w w:val="105"/>
          <w:sz w:val="11"/>
        </w:rPr>
        <w:t>DAPOXETINE</w:t>
      </w:r>
    </w:p>
    <w:p>
      <w:pPr>
        <w:pStyle w:val="BodyText"/>
        <w:ind w:left="286" w:right="625" w:hanging="100"/>
      </w:pPr>
      <w:r>
        <w:rPr>
          <w:rFonts w:ascii="Arial" w:hAnsi="Arial"/>
          <w:color w:val="231F1F"/>
          <w:w w:val="355"/>
          <w:position w:val="1"/>
          <w:sz w:val="7"/>
        </w:rPr>
        <w:t>l </w:t>
      </w:r>
      <w:r>
        <w:rPr>
          <w:rFonts w:ascii="Calibri" w:hAnsi="Calibri"/>
          <w:color w:val="231F1F"/>
          <w:w w:val="110"/>
        </w:rPr>
        <w:t>Grapefruit Juice: </w:t>
      </w:r>
      <w:r>
        <w:rPr>
          <w:color w:val="231F1F"/>
          <w:w w:val="110"/>
        </w:rPr>
        <w:t>plasma concentration of vardenafil possibly increased by </w:t>
      </w:r>
      <w:r>
        <w:rPr>
          <w:rFonts w:ascii="Arial" w:hAnsi="Arial"/>
          <w:color w:val="231F1F"/>
          <w:w w:val="355"/>
          <w:position w:val="1"/>
          <w:sz w:val="7"/>
        </w:rPr>
        <w:t>l </w:t>
      </w:r>
      <w:r>
        <w:rPr>
          <w:rFonts w:ascii="Calibri" w:hAnsi="Calibri"/>
          <w:color w:val="008356"/>
          <w:w w:val="110"/>
          <w:sz w:val="11"/>
        </w:rPr>
        <w:t>GRAPEFRUIT JUICE</w:t>
      </w:r>
      <w:r>
        <w:rPr>
          <w:rFonts w:ascii="Arial" w:hAnsi="Arial"/>
          <w:color w:val="231F1F"/>
          <w:w w:val="110"/>
        </w:rPr>
        <w:t>—</w:t>
      </w:r>
      <w:r>
        <w:rPr>
          <w:color w:val="231F1F"/>
          <w:w w:val="110"/>
        </w:rPr>
        <w:t>avoid concomitant use</w:t>
      </w:r>
    </w:p>
    <w:p>
      <w:pPr>
        <w:pStyle w:val="BodyText"/>
        <w:spacing w:line="237" w:lineRule="auto"/>
        <w:ind w:left="286" w:right="710" w:hanging="100"/>
      </w:pPr>
      <w:r>
        <w:rPr>
          <w:rFonts w:ascii="Arial" w:hAnsi="Arial"/>
          <w:color w:val="231F1F"/>
          <w:w w:val="355"/>
          <w:position w:val="1"/>
          <w:sz w:val="7"/>
        </w:rPr>
        <w:t>l </w:t>
      </w:r>
      <w:r>
        <w:rPr>
          <w:rFonts w:ascii="Calibri" w:hAnsi="Calibri"/>
          <w:color w:val="231F1F"/>
          <w:w w:val="115"/>
        </w:rPr>
        <w:t>Nicorandil: </w:t>
      </w:r>
      <w:r>
        <w:rPr>
          <w:color w:val="231F1F"/>
          <w:w w:val="115"/>
        </w:rPr>
        <w:t>possible increased hypotensive effect when vardenafil</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35"/>
          <w:position w:val="1"/>
          <w:sz w:val="7"/>
        </w:rPr>
        <w:t>l</w:t>
      </w:r>
      <w:r>
        <w:rPr>
          <w:rFonts w:ascii="Arial" w:hAnsi="Arial"/>
          <w:color w:val="231F1F"/>
          <w:spacing w:val="-36"/>
          <w:w w:val="235"/>
          <w:position w:val="1"/>
          <w:sz w:val="7"/>
        </w:rPr>
        <w:t> </w:t>
      </w:r>
      <w:r>
        <w:rPr>
          <w:rFonts w:ascii="Calibri" w:hAnsi="Calibri"/>
          <w:color w:val="008356"/>
          <w:spacing w:val="3"/>
          <w:w w:val="115"/>
          <w:sz w:val="11"/>
        </w:rPr>
        <w:t>NICORANDIL</w:t>
      </w:r>
      <w:r>
        <w:rPr>
          <w:rFonts w:ascii="Arial" w:hAnsi="Arial"/>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5"/>
          <w:w w:val="115"/>
        </w:rPr>
        <w:t> </w:t>
      </w:r>
      <w:r>
        <w:rPr>
          <w:color w:val="231F1F"/>
          <w:w w:val="115"/>
        </w:rPr>
        <w:t>use</w:t>
      </w:r>
    </w:p>
    <w:p>
      <w:pPr>
        <w:pStyle w:val="BodyText"/>
        <w:spacing w:line="237" w:lineRule="auto"/>
        <w:ind w:left="286" w:right="670" w:hanging="100"/>
      </w:pPr>
      <w:r>
        <w:rPr>
          <w:rFonts w:ascii="Arial" w:hAnsi="Arial"/>
          <w:color w:val="231F1F"/>
          <w:w w:val="355"/>
          <w:position w:val="1"/>
          <w:sz w:val="7"/>
        </w:rPr>
        <w:t>l </w:t>
      </w:r>
      <w:r>
        <w:rPr>
          <w:rFonts w:ascii="Calibri" w:hAnsi="Calibri"/>
          <w:color w:val="231F1F"/>
          <w:w w:val="115"/>
        </w:rPr>
        <w:t>Nitrates: </w:t>
      </w:r>
      <w:r>
        <w:rPr>
          <w:color w:val="231F1F"/>
          <w:w w:val="115"/>
        </w:rPr>
        <w:t>possible increased hypotensive effect when vardenafil</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Calibri" w:hAnsi="Calibri"/>
          <w:color w:val="008356"/>
          <w:spacing w:val="2"/>
          <w:w w:val="115"/>
          <w:sz w:val="11"/>
        </w:rPr>
        <w:t>NITRATES</w:t>
      </w:r>
      <w:r>
        <w:rPr>
          <w:rFonts w:ascii="Arial" w:hAnsi="Arial"/>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2"/>
          <w:w w:val="115"/>
        </w:rPr>
        <w:t> </w:t>
      </w:r>
      <w:r>
        <w:rPr>
          <w:color w:val="231F1F"/>
          <w:spacing w:val="-4"/>
          <w:w w:val="115"/>
        </w:rPr>
        <w:t>use</w:t>
      </w:r>
    </w:p>
    <w:p>
      <w:pPr>
        <w:pStyle w:val="BodyText"/>
        <w:spacing w:line="237" w:lineRule="auto"/>
        <w:ind w:left="286" w:right="670" w:hanging="100"/>
      </w:pPr>
      <w:r>
        <w:rPr>
          <w:rFonts w:ascii="Arial" w:hAnsi="Arial"/>
          <w:color w:val="231F1F"/>
          <w:w w:val="355"/>
          <w:position w:val="1"/>
          <w:sz w:val="7"/>
        </w:rPr>
        <w:t>l </w:t>
      </w:r>
      <w:r>
        <w:rPr>
          <w:rFonts w:ascii="Calibri" w:hAnsi="Calibri"/>
          <w:color w:val="231F1F"/>
          <w:w w:val="110"/>
        </w:rPr>
        <w:t>Riociguat: </w:t>
      </w:r>
      <w:r>
        <w:rPr>
          <w:color w:val="231F1F"/>
          <w:w w:val="110"/>
        </w:rPr>
        <w:t>possible enhanced hypotensive effect when vardenafil given with </w:t>
      </w:r>
      <w:r>
        <w:rPr>
          <w:rFonts w:ascii="Arial" w:hAnsi="Arial"/>
          <w:color w:val="231F1F"/>
          <w:w w:val="355"/>
          <w:position w:val="1"/>
          <w:sz w:val="7"/>
        </w:rPr>
        <w:t>l</w:t>
      </w:r>
      <w:r>
        <w:rPr>
          <w:rFonts w:ascii="Arial" w:hAnsi="Arial"/>
          <w:color w:val="231F1F"/>
          <w:spacing w:val="-60"/>
          <w:w w:val="355"/>
          <w:position w:val="1"/>
          <w:sz w:val="7"/>
        </w:rPr>
        <w:t> </w:t>
      </w:r>
      <w:r>
        <w:rPr>
          <w:rFonts w:ascii="Calibri" w:hAnsi="Calibri"/>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3"/>
        <w:ind w:left="186"/>
      </w:pPr>
      <w:r>
        <w:rPr>
          <w:rFonts w:ascii="Trebuchet MS"/>
          <w:color w:val="008356"/>
        </w:rPr>
        <w:t>Varicella-zoster Vaccine </w:t>
      </w:r>
      <w:r>
        <w:rPr>
          <w:i/>
          <w:color w:val="231F1F"/>
        </w:rPr>
        <w:t>see </w:t>
      </w:r>
      <w:r>
        <w:rPr>
          <w:color w:val="231F1F"/>
        </w:rPr>
        <w:t>Vaccines</w:t>
      </w:r>
    </w:p>
    <w:p>
      <w:pPr>
        <w:pStyle w:val="BodyText"/>
        <w:spacing w:line="139" w:lineRule="exact" w:before="11"/>
        <w:ind w:left="186"/>
        <w:rPr>
          <w:rFonts w:ascii="Trebuchet MS"/>
        </w:rPr>
      </w:pPr>
      <w:r>
        <w:rPr>
          <w:rFonts w:ascii="Trebuchet MS"/>
          <w:color w:val="008356"/>
        </w:rPr>
        <w:t>Vasodilator Antihypertensives</w:t>
      </w:r>
    </w:p>
    <w:p>
      <w:pPr>
        <w:pStyle w:val="BodyText"/>
        <w:spacing w:line="220" w:lineRule="auto" w:before="8"/>
        <w:ind w:left="286" w:right="570" w:hanging="100"/>
        <w:rPr>
          <w:rFonts w:ascii="Calibri" w:hAnsi="Calibri"/>
          <w:sz w:val="11"/>
        </w:rPr>
      </w:pPr>
      <w:r>
        <w:rPr>
          <w:rFonts w:ascii="Lucida Sans Unicode" w:hAnsi="Lucida Sans Unicode"/>
          <w:color w:val="A7A8AC"/>
          <w:w w:val="95"/>
          <w:sz w:val="10"/>
        </w:rPr>
        <w:t>▶ </w:t>
      </w:r>
      <w:r>
        <w:rPr>
          <w:rFonts w:ascii="Calibri" w:hAnsi="Calibri"/>
          <w:color w:val="231F1F"/>
          <w:w w:val="110"/>
        </w:rPr>
        <w:t>ACE Inhibitors: </w:t>
      </w:r>
      <w:r>
        <w:rPr>
          <w:color w:val="231F1F"/>
          <w:w w:val="110"/>
        </w:rPr>
        <w:t>enhanced hypotensive effect when hydralazine, minoxidil or sodium nitroprusside given with </w:t>
      </w:r>
      <w:r>
        <w:rPr>
          <w:rFonts w:ascii="Calibri" w:hAnsi="Calibri"/>
          <w:color w:val="008356"/>
          <w:w w:val="110"/>
          <w:sz w:val="11"/>
        </w:rPr>
        <w:t>ACE INHIBITORS</w:t>
      </w:r>
    </w:p>
    <w:p>
      <w:pPr>
        <w:pStyle w:val="BodyText"/>
        <w:spacing w:line="235" w:lineRule="auto" w:before="3"/>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Adrenergic Neurone Blockers: </w:t>
      </w:r>
      <w:r>
        <w:rPr>
          <w:color w:val="231F1F"/>
          <w:w w:val="110"/>
        </w:rPr>
        <w:t>enhanced hypotensive effect when hydralazine, minoxidil or sodium nitroprusside given with </w:t>
      </w:r>
      <w:r>
        <w:rPr>
          <w:rFonts w:ascii="Calibri" w:hAnsi="Calibri"/>
          <w:color w:val="008356"/>
          <w:w w:val="110"/>
          <w:sz w:val="11"/>
        </w:rPr>
        <w:t>ADRENERGIC NEURONE BLOCKERS</w:t>
      </w:r>
    </w:p>
    <w:p>
      <w:pPr>
        <w:pStyle w:val="BodyText"/>
        <w:spacing w:line="220" w:lineRule="auto" w:before="5"/>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Alcohol: </w:t>
      </w:r>
      <w:r>
        <w:rPr>
          <w:color w:val="231F1F"/>
          <w:w w:val="110"/>
        </w:rPr>
        <w:t>enhanced hypotensive effect when hydralazine, minoxidil or sodium nitroprusside given with </w:t>
      </w:r>
      <w:r>
        <w:rPr>
          <w:rFonts w:ascii="Calibri" w:hAnsi="Calibri"/>
          <w:color w:val="008356"/>
          <w:w w:val="110"/>
          <w:sz w:val="11"/>
        </w:rPr>
        <w:t>ALCOHOL</w:t>
      </w:r>
    </w:p>
    <w:p>
      <w:pPr>
        <w:pStyle w:val="BodyText"/>
        <w:spacing w:line="220" w:lineRule="auto" w:before="9"/>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Aldesleukin: </w:t>
      </w:r>
      <w:r>
        <w:rPr>
          <w:color w:val="231F1F"/>
          <w:w w:val="110"/>
        </w:rPr>
        <w:t>enhanced hypotensive effect when hydralazine, minoxidil or sodium nitroprusside given with </w:t>
      </w:r>
      <w:r>
        <w:rPr>
          <w:rFonts w:ascii="Calibri" w:hAnsi="Calibri"/>
          <w:color w:val="008356"/>
          <w:w w:val="110"/>
          <w:sz w:val="11"/>
        </w:rPr>
        <w:t>ALDESLEUKIN</w:t>
      </w:r>
    </w:p>
    <w:p>
      <w:pPr>
        <w:pStyle w:val="BodyText"/>
        <w:spacing w:line="242" w:lineRule="auto"/>
        <w:ind w:left="286" w:right="781" w:hanging="100"/>
        <w:rPr>
          <w:rFonts w:ascii="Calibri" w:hAnsi="Calibri"/>
          <w:sz w:val="11"/>
        </w:rPr>
      </w:pPr>
      <w:r>
        <w:rPr>
          <w:rFonts w:ascii="Lucida Sans Unicode" w:hAnsi="Lucida Sans Unicode"/>
          <w:color w:val="A7A8AC"/>
          <w:w w:val="95"/>
          <w:sz w:val="10"/>
        </w:rPr>
        <w:t>▶ </w:t>
      </w:r>
      <w:r>
        <w:rPr>
          <w:rFonts w:ascii="Calibri" w:hAnsi="Calibri"/>
          <w:color w:val="231F1F"/>
          <w:w w:val="110"/>
        </w:rPr>
        <w:t>Alpha-blockers: </w:t>
      </w:r>
      <w:r>
        <w:rPr>
          <w:color w:val="231F1F"/>
          <w:w w:val="110"/>
        </w:rPr>
        <w:t>enhanced hypotensive effect when hydralazine, minoxidil or sodium nitroprusside given with </w:t>
      </w:r>
      <w:r>
        <w:rPr>
          <w:rFonts w:ascii="Calibri" w:hAnsi="Calibri"/>
          <w:color w:val="008356"/>
          <w:w w:val="110"/>
          <w:sz w:val="11"/>
        </w:rPr>
        <w:t>ALPHA-BLOCKERS</w:t>
      </w:r>
    </w:p>
    <w:p>
      <w:pPr>
        <w:pStyle w:val="BodyText"/>
        <w:spacing w:line="220" w:lineRule="auto" w:before="2"/>
        <w:ind w:left="286" w:right="670" w:hanging="100"/>
      </w:pPr>
      <w:r>
        <w:rPr>
          <w:rFonts w:ascii="Lucida Sans Unicode" w:hAnsi="Lucida Sans Unicode"/>
          <w:color w:val="A7A8AC"/>
          <w:w w:val="95"/>
          <w:sz w:val="10"/>
        </w:rPr>
        <w:t>▶ </w:t>
      </w:r>
      <w:r>
        <w:rPr>
          <w:rFonts w:ascii="Calibri" w:hAnsi="Calibri"/>
          <w:color w:val="231F1F"/>
          <w:w w:val="110"/>
        </w:rPr>
        <w:t>Anaesthetics, General: </w:t>
      </w:r>
      <w:r>
        <w:rPr>
          <w:color w:val="231F1F"/>
          <w:w w:val="110"/>
        </w:rPr>
        <w:t>enhanced hypotensive effect when hydralazine, minoxidil or sodium nitroprusside given with</w:t>
      </w:r>
    </w:p>
    <w:p>
      <w:pPr>
        <w:spacing w:line="133" w:lineRule="exact" w:before="15"/>
        <w:ind w:left="286" w:right="0" w:firstLine="0"/>
        <w:jc w:val="left"/>
        <w:rPr>
          <w:rFonts w:ascii="Calibri"/>
          <w:sz w:val="11"/>
        </w:rPr>
      </w:pPr>
      <w:r>
        <w:rPr>
          <w:rFonts w:ascii="Calibri"/>
          <w:color w:val="008356"/>
          <w:sz w:val="11"/>
        </w:rPr>
        <w:t>GENERAL ANAESTHETICS</w:t>
      </w:r>
    </w:p>
    <w:p>
      <w:pPr>
        <w:pStyle w:val="BodyText"/>
        <w:spacing w:line="220" w:lineRule="auto" w:before="7"/>
        <w:ind w:left="286" w:right="670" w:hanging="100"/>
        <w:rPr>
          <w:rFonts w:ascii="Calibri" w:hAnsi="Calibri"/>
          <w:sz w:val="9"/>
        </w:rPr>
      </w:pPr>
      <w:r>
        <w:rPr>
          <w:rFonts w:ascii="Lucida Sans Unicode" w:hAnsi="Lucida Sans Unicode"/>
          <w:color w:val="A7A8AC"/>
          <w:w w:val="95"/>
          <w:sz w:val="10"/>
        </w:rPr>
        <w:t>▶ </w:t>
      </w:r>
      <w:r>
        <w:rPr>
          <w:rFonts w:ascii="Calibri" w:hAnsi="Calibri"/>
          <w:color w:val="231F1F"/>
          <w:w w:val="110"/>
        </w:rPr>
        <w:t>Analgesics: </w:t>
      </w:r>
      <w:r>
        <w:rPr>
          <w:color w:val="231F1F"/>
          <w:w w:val="110"/>
        </w:rPr>
        <w:t>hypotensive effect of hydralazine, minoxidil and sodium nitroprusside antagonised by </w:t>
      </w:r>
      <w:r>
        <w:rPr>
          <w:rFonts w:ascii="Calibri" w:hAnsi="Calibri"/>
          <w:color w:val="008356"/>
          <w:w w:val="110"/>
          <w:sz w:val="11"/>
        </w:rPr>
        <w:t>NSAID</w:t>
      </w:r>
      <w:r>
        <w:rPr>
          <w:rFonts w:ascii="Calibri" w:hAnsi="Calibri"/>
          <w:color w:val="008356"/>
          <w:w w:val="110"/>
          <w:sz w:val="9"/>
        </w:rPr>
        <w:t>S</w:t>
      </w:r>
    </w:p>
    <w:p>
      <w:pPr>
        <w:spacing w:line="235" w:lineRule="auto" w:before="2"/>
        <w:ind w:left="286" w:right="762"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Angiotensin-II Receptor Antagonists: </w:t>
      </w:r>
      <w:r>
        <w:rPr>
          <w:color w:val="231F1F"/>
          <w:w w:val="105"/>
          <w:sz w:val="12"/>
        </w:rPr>
        <w:t>enhanced hypotensive effect when hydralazine, minoxidil or sodium nitroprusside given with </w:t>
      </w:r>
      <w:r>
        <w:rPr>
          <w:rFonts w:ascii="Calibri" w:hAnsi="Calibri"/>
          <w:color w:val="008356"/>
          <w:w w:val="105"/>
          <w:sz w:val="11"/>
        </w:rPr>
        <w:t>ANGIOTENSIN-II RECEPTOR ANTAGONISTS</w:t>
      </w:r>
    </w:p>
    <w:p>
      <w:pPr>
        <w:pStyle w:val="BodyText"/>
        <w:spacing w:line="242" w:lineRule="auto"/>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Antidepressants: </w:t>
      </w:r>
      <w:r>
        <w:rPr>
          <w:color w:val="231F1F"/>
          <w:w w:val="110"/>
        </w:rPr>
        <w:t>enhanced hypotensive effect when hydralazine, minoxidil or sodium nitroprusside given with </w:t>
      </w:r>
      <w:r>
        <w:rPr>
          <w:rFonts w:ascii="Calibri" w:hAnsi="Calibri"/>
          <w:color w:val="008356"/>
          <w:w w:val="110"/>
          <w:sz w:val="11"/>
        </w:rPr>
        <w:t>MAOI</w:t>
      </w:r>
      <w:r>
        <w:rPr>
          <w:rFonts w:ascii="Calibri" w:hAnsi="Calibri"/>
          <w:color w:val="008356"/>
          <w:w w:val="110"/>
          <w:sz w:val="9"/>
        </w:rPr>
        <w:t>S</w:t>
      </w:r>
      <w:r>
        <w:rPr>
          <w:color w:val="231F1F"/>
          <w:w w:val="110"/>
        </w:rPr>
        <w:t>; enhanced hypotensive effect when hydralazine or sodium nitroprusside given with </w:t>
      </w:r>
      <w:r>
        <w:rPr>
          <w:rFonts w:ascii="Calibri" w:hAnsi="Calibri"/>
          <w:color w:val="008356"/>
          <w:w w:val="110"/>
          <w:sz w:val="11"/>
        </w:rPr>
        <w:t>TRICYCLIC-RELATED ANTIDEPRESSANTS</w:t>
      </w:r>
    </w:p>
    <w:p>
      <w:pPr>
        <w:pStyle w:val="BodyText"/>
        <w:spacing w:line="242" w:lineRule="auto"/>
        <w:ind w:left="286"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Antipsychotics: </w:t>
      </w:r>
      <w:r>
        <w:rPr>
          <w:color w:val="231F1F"/>
          <w:w w:val="110"/>
        </w:rPr>
        <w:t>enhanced hypotensive effect when hydralazine, minoxidil or sodium nitroprusside given with </w:t>
      </w:r>
      <w:r>
        <w:rPr>
          <w:rFonts w:ascii="Calibri" w:hAnsi="Calibri"/>
          <w:color w:val="008356"/>
          <w:w w:val="110"/>
          <w:sz w:val="11"/>
        </w:rPr>
        <w:t>PHENOTHIAZINES</w:t>
      </w:r>
    </w:p>
    <w:p>
      <w:pPr>
        <w:pStyle w:val="BodyText"/>
        <w:spacing w:line="220" w:lineRule="auto"/>
        <w:ind w:left="286" w:right="625" w:hanging="100"/>
      </w:pPr>
      <w:r>
        <w:rPr>
          <w:rFonts w:ascii="Lucida Sans Unicode" w:hAnsi="Lucida Sans Unicode"/>
          <w:color w:val="A7A8AC"/>
          <w:w w:val="95"/>
          <w:sz w:val="10"/>
        </w:rPr>
        <w:t>▶ </w:t>
      </w:r>
      <w:r>
        <w:rPr>
          <w:rFonts w:ascii="Calibri" w:hAnsi="Calibri"/>
          <w:color w:val="231F1F"/>
          <w:w w:val="110"/>
        </w:rPr>
        <w:t>Anxiolytics and Hypnotics: </w:t>
      </w:r>
      <w:r>
        <w:rPr>
          <w:color w:val="231F1F"/>
          <w:w w:val="110"/>
        </w:rPr>
        <w:t>enhanced hypotensive effect when hydralazine, minoxidil or sodium nitroprusside given with</w:t>
      </w:r>
    </w:p>
    <w:p>
      <w:pPr>
        <w:spacing w:line="133" w:lineRule="exact" w:before="9"/>
        <w:ind w:left="286" w:right="0" w:firstLine="0"/>
        <w:jc w:val="left"/>
        <w:rPr>
          <w:rFonts w:ascii="Calibri"/>
          <w:sz w:val="11"/>
        </w:rPr>
      </w:pPr>
      <w:r>
        <w:rPr>
          <w:rFonts w:ascii="Calibri"/>
          <w:color w:val="008356"/>
          <w:sz w:val="11"/>
        </w:rPr>
        <w:t>ANXIOLYTICS AND HYPNOTICS</w:t>
      </w:r>
    </w:p>
    <w:p>
      <w:pPr>
        <w:pStyle w:val="BodyText"/>
        <w:spacing w:line="220" w:lineRule="auto" w:before="7"/>
        <w:ind w:left="286" w:right="597" w:hanging="100"/>
        <w:rPr>
          <w:rFonts w:ascii="Calibri" w:hAnsi="Calibri"/>
          <w:sz w:val="11"/>
        </w:rPr>
      </w:pPr>
      <w:r>
        <w:rPr>
          <w:rFonts w:ascii="Lucida Sans Unicode" w:hAnsi="Lucida Sans Unicode"/>
          <w:color w:val="A7A8AC"/>
          <w:w w:val="95"/>
          <w:sz w:val="10"/>
        </w:rPr>
        <w:t>▶ </w:t>
      </w:r>
      <w:r>
        <w:rPr>
          <w:rFonts w:ascii="Calibri" w:hAnsi="Calibri"/>
          <w:color w:val="231F1F"/>
          <w:w w:val="110"/>
        </w:rPr>
        <w:t>Beta-blockers: </w:t>
      </w:r>
      <w:r>
        <w:rPr>
          <w:color w:val="231F1F"/>
          <w:w w:val="110"/>
        </w:rPr>
        <w:t>enhanced hypotensive effect when hydralazine, minoxidil or sodium nitroprusside given with </w:t>
      </w:r>
      <w:r>
        <w:rPr>
          <w:rFonts w:ascii="Calibri" w:hAnsi="Calibri"/>
          <w:color w:val="008356"/>
          <w:w w:val="110"/>
          <w:sz w:val="11"/>
        </w:rPr>
        <w:t>BETA-BLOCKERS</w:t>
      </w:r>
    </w:p>
    <w:p>
      <w:pPr>
        <w:spacing w:after="0" w:line="220" w:lineRule="auto"/>
        <w:rPr>
          <w:rFonts w:ascii="Calibri" w:hAnsi="Calibri"/>
          <w:sz w:val="11"/>
        </w:rPr>
        <w:sectPr>
          <w:pgSz w:w="8390" w:h="11910"/>
          <w:pgMar w:header="0" w:footer="0" w:top="460" w:bottom="280" w:left="480" w:right="0"/>
          <w:cols w:num="2" w:equalWidth="0">
            <w:col w:w="3631" w:space="45"/>
            <w:col w:w="4234"/>
          </w:cols>
        </w:sectPr>
      </w:pPr>
    </w:p>
    <w:p>
      <w:pPr>
        <w:pStyle w:val="BodyText"/>
        <w:spacing w:before="9"/>
        <w:ind w:left="0"/>
        <w:rPr>
          <w:rFonts w:ascii="Calibri"/>
          <w:sz w:val="13"/>
        </w:rPr>
      </w:pPr>
    </w:p>
    <w:p>
      <w:pPr>
        <w:pStyle w:val="BodyText"/>
        <w:spacing w:line="144" w:lineRule="exact"/>
        <w:ind w:left="108"/>
        <w:rPr>
          <w:rFonts w:ascii="Calibri"/>
        </w:rPr>
      </w:pPr>
      <w:r>
        <w:rPr>
          <w:rFonts w:ascii="Arial"/>
          <w:color w:val="008356"/>
        </w:rPr>
        <w:t>Vasodilator Antihypertensives </w:t>
      </w:r>
      <w:r>
        <w:rPr>
          <w:rFonts w:ascii="Calibri"/>
          <w:color w:val="231F1F"/>
        </w:rPr>
        <w:t>(continued)</w:t>
      </w:r>
    </w:p>
    <w:p>
      <w:pPr>
        <w:pStyle w:val="BodyText"/>
        <w:spacing w:line="242" w:lineRule="auto"/>
        <w:ind w:right="164" w:hanging="100"/>
        <w:rPr>
          <w:rFonts w:ascii="Calibri" w:hAnsi="Calibri"/>
          <w:sz w:val="11"/>
        </w:rPr>
      </w:pPr>
      <w:r>
        <w:rPr>
          <w:rFonts w:ascii="Lucida Sans Unicode" w:hAnsi="Lucida Sans Unicode"/>
          <w:color w:val="A7A8AC"/>
          <w:w w:val="95"/>
          <w:sz w:val="10"/>
        </w:rPr>
        <w:t>▶ </w:t>
      </w:r>
      <w:r>
        <w:rPr>
          <w:rFonts w:ascii="Calibri" w:hAnsi="Calibri"/>
          <w:color w:val="231F1F"/>
          <w:w w:val="105"/>
        </w:rPr>
        <w:t>Calcium-channel Blockers: </w:t>
      </w:r>
      <w:r>
        <w:rPr>
          <w:color w:val="231F1F"/>
          <w:w w:val="105"/>
        </w:rPr>
        <w:t>enhanced hypotensive effect when hydralazine, minoxidil or sodium nitroprusside given with </w:t>
      </w:r>
      <w:r>
        <w:rPr>
          <w:rFonts w:ascii="Calibri" w:hAnsi="Calibri"/>
          <w:color w:val="008356"/>
          <w:w w:val="105"/>
          <w:sz w:val="11"/>
        </w:rPr>
        <w:t>CALCIUM-CHANNEL BLOCKERS</w:t>
      </w:r>
    </w:p>
    <w:p>
      <w:pPr>
        <w:pStyle w:val="BodyText"/>
        <w:spacing w:line="22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Clonidine: </w:t>
      </w:r>
      <w:r>
        <w:rPr>
          <w:color w:val="231F1F"/>
          <w:w w:val="110"/>
        </w:rPr>
        <w:t>enhanced hypotensive effect when hydralazine, minoxidil or sodium nitroprusside given with </w:t>
      </w:r>
      <w:r>
        <w:rPr>
          <w:rFonts w:ascii="Calibri" w:hAnsi="Calibri"/>
          <w:color w:val="008356"/>
          <w:w w:val="110"/>
          <w:sz w:val="11"/>
        </w:rPr>
        <w:t>CLONIDINE</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Corticosteroids: </w:t>
      </w:r>
      <w:r>
        <w:rPr>
          <w:color w:val="231F1F"/>
          <w:w w:val="110"/>
        </w:rPr>
        <w:t>hypotensive effect of hydralazine, minoxidil and sodium nitroprusside antagonised by </w:t>
      </w:r>
      <w:r>
        <w:rPr>
          <w:rFonts w:ascii="Calibri" w:hAnsi="Calibri"/>
          <w:color w:val="008356"/>
          <w:w w:val="110"/>
          <w:sz w:val="11"/>
        </w:rPr>
        <w:t>CORTICOSTEROIDS</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Diazoxide: </w:t>
      </w:r>
      <w:r>
        <w:rPr>
          <w:color w:val="231F1F"/>
          <w:w w:val="110"/>
        </w:rPr>
        <w:t>enhanced hypotensive effect when </w:t>
      </w:r>
      <w:r>
        <w:rPr>
          <w:color w:val="231F1F"/>
          <w:spacing w:val="-2"/>
          <w:w w:val="110"/>
        </w:rPr>
        <w:t>hydralazine, </w:t>
      </w:r>
      <w:r>
        <w:rPr>
          <w:color w:val="231F1F"/>
          <w:w w:val="110"/>
        </w:rPr>
        <w:t>minoxidil or sodium nitroprusside given with</w:t>
      </w:r>
      <w:r>
        <w:rPr>
          <w:color w:val="231F1F"/>
          <w:spacing w:val="-3"/>
          <w:w w:val="110"/>
        </w:rPr>
        <w:t> </w:t>
      </w:r>
      <w:r>
        <w:rPr>
          <w:rFonts w:ascii="Calibri" w:hAnsi="Calibri"/>
          <w:color w:val="008356"/>
          <w:spacing w:val="4"/>
          <w:w w:val="110"/>
          <w:sz w:val="11"/>
        </w:rPr>
        <w:t>DIAZOXIDE</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enhanced hypotensive effect when </w:t>
      </w:r>
      <w:r>
        <w:rPr>
          <w:color w:val="231F1F"/>
          <w:spacing w:val="-2"/>
          <w:w w:val="110"/>
        </w:rPr>
        <w:t>hydralazine, </w:t>
      </w:r>
      <w:r>
        <w:rPr>
          <w:color w:val="231F1F"/>
          <w:w w:val="110"/>
        </w:rPr>
        <w:t>minoxidil or sodium nitroprusside given with</w:t>
      </w:r>
      <w:r>
        <w:rPr>
          <w:color w:val="231F1F"/>
          <w:spacing w:val="1"/>
          <w:w w:val="110"/>
        </w:rPr>
        <w:t> </w:t>
      </w:r>
      <w:r>
        <w:rPr>
          <w:rFonts w:ascii="Calibri" w:hAnsi="Calibri"/>
          <w:color w:val="008356"/>
          <w:spacing w:val="5"/>
          <w:w w:val="110"/>
          <w:sz w:val="11"/>
        </w:rPr>
        <w:t>DIURETICS</w:t>
      </w:r>
    </w:p>
    <w:p>
      <w:pPr>
        <w:pStyle w:val="BodyText"/>
        <w:spacing w:line="244" w:lineRule="auto"/>
        <w:ind w:right="226" w:hanging="100"/>
        <w:rPr>
          <w:rFonts w:ascii="Calibri" w:hAnsi="Calibri"/>
          <w:sz w:val="11"/>
        </w:rPr>
      </w:pPr>
      <w:r>
        <w:rPr>
          <w:rFonts w:ascii="Lucida Sans Unicode" w:hAnsi="Lucida Sans Unicode"/>
          <w:color w:val="A7A8AC"/>
          <w:w w:val="95"/>
          <w:sz w:val="10"/>
        </w:rPr>
        <w:t>▶ </w:t>
      </w:r>
      <w:r>
        <w:rPr>
          <w:rFonts w:ascii="Calibri" w:hAnsi="Calibri"/>
          <w:color w:val="231F1F"/>
          <w:w w:val="110"/>
        </w:rPr>
        <w:t>Dopaminergics: </w:t>
      </w:r>
      <w:r>
        <w:rPr>
          <w:color w:val="231F1F"/>
          <w:w w:val="110"/>
        </w:rPr>
        <w:t>enhanced hypotensive effect when hydralazine, minoxidil or sodium nitroprusside given with </w:t>
      </w:r>
      <w:r>
        <w:rPr>
          <w:rFonts w:ascii="Calibri" w:hAnsi="Calibri"/>
          <w:color w:val="008356"/>
          <w:w w:val="110"/>
          <w:sz w:val="11"/>
        </w:rPr>
        <w:t>CO-BENELDOPA</w:t>
      </w:r>
      <w:r>
        <w:rPr>
          <w:color w:val="231F1F"/>
          <w:w w:val="110"/>
        </w:rPr>
        <w:t>; enhanced hypotensive effect when hydralazine, minoxidil or sodium nitroprusside given with </w:t>
      </w:r>
      <w:r>
        <w:rPr>
          <w:rFonts w:ascii="Calibri" w:hAnsi="Calibri"/>
          <w:color w:val="008356"/>
          <w:w w:val="110"/>
          <w:sz w:val="11"/>
        </w:rPr>
        <w:t>CO-CARELDOPA</w:t>
      </w:r>
      <w:r>
        <w:rPr>
          <w:color w:val="231F1F"/>
          <w:w w:val="110"/>
        </w:rPr>
        <w:t>; enhanced hypotensive effect when hydralazine, minoxidil or sodium nitroprusside given with </w:t>
      </w:r>
      <w:r>
        <w:rPr>
          <w:rFonts w:ascii="Calibri" w:hAnsi="Calibri"/>
          <w:color w:val="008356"/>
          <w:w w:val="110"/>
          <w:sz w:val="11"/>
        </w:rPr>
        <w:t>LEVODOPA</w:t>
      </w:r>
    </w:p>
    <w:p>
      <w:pPr>
        <w:pStyle w:val="BodyText"/>
        <w:spacing w:line="220" w:lineRule="auto" w:before="1"/>
        <w:ind w:right="144" w:hanging="100"/>
        <w:rPr>
          <w:rFonts w:ascii="Calibri" w:hAnsi="Calibri"/>
          <w:sz w:val="11"/>
        </w:rPr>
      </w:pPr>
      <w:r>
        <w:rPr>
          <w:rFonts w:ascii="Lucida Sans Unicode" w:hAnsi="Lucida Sans Unicode"/>
          <w:color w:val="A7A8AC"/>
          <w:w w:val="95"/>
          <w:sz w:val="10"/>
        </w:rPr>
        <w:t>▶ </w:t>
      </w:r>
      <w:r>
        <w:rPr>
          <w:rFonts w:ascii="Calibri" w:hAnsi="Calibri"/>
          <w:color w:val="231F1F"/>
          <w:w w:val="110"/>
        </w:rPr>
        <w:t>Methyldopa: </w:t>
      </w:r>
      <w:r>
        <w:rPr>
          <w:color w:val="231F1F"/>
          <w:w w:val="110"/>
        </w:rPr>
        <w:t>enhanced hypotensive effect when hydralazine, minoxidil or sodium nitroprusside given with </w:t>
      </w:r>
      <w:r>
        <w:rPr>
          <w:rFonts w:ascii="Calibri" w:hAnsi="Calibri"/>
          <w:color w:val="008356"/>
          <w:w w:val="110"/>
          <w:sz w:val="11"/>
        </w:rPr>
        <w:t>METHYLDOPA</w:t>
      </w:r>
    </w:p>
    <w:p>
      <w:pPr>
        <w:pStyle w:val="BodyText"/>
        <w:spacing w:line="220" w:lineRule="auto" w:before="8"/>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Moxisylyte: </w:t>
      </w:r>
      <w:r>
        <w:rPr>
          <w:color w:val="231F1F"/>
          <w:w w:val="110"/>
        </w:rPr>
        <w:t>enhanced hypotensive effect when hydralazine, minoxidil or sodium nitroprusside given with</w:t>
      </w:r>
      <w:r>
        <w:rPr>
          <w:color w:val="231F1F"/>
          <w:spacing w:val="-3"/>
          <w:w w:val="110"/>
        </w:rPr>
        <w:t> </w:t>
      </w:r>
      <w:r>
        <w:rPr>
          <w:rFonts w:ascii="Calibri" w:hAnsi="Calibri"/>
          <w:color w:val="008356"/>
          <w:spacing w:val="3"/>
          <w:w w:val="110"/>
          <w:sz w:val="11"/>
        </w:rPr>
        <w:t>MOXISYLYTE</w:t>
      </w:r>
    </w:p>
    <w:p>
      <w:pPr>
        <w:pStyle w:val="BodyText"/>
        <w:spacing w:line="220" w:lineRule="auto" w:before="9"/>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Moxonidine: </w:t>
      </w:r>
      <w:r>
        <w:rPr>
          <w:color w:val="231F1F"/>
          <w:w w:val="105"/>
        </w:rPr>
        <w:t>enhanced hypotensive effect when </w:t>
      </w:r>
      <w:r>
        <w:rPr>
          <w:color w:val="231F1F"/>
          <w:spacing w:val="-2"/>
          <w:w w:val="105"/>
        </w:rPr>
        <w:t>hydralazine, </w:t>
      </w:r>
      <w:r>
        <w:rPr>
          <w:color w:val="231F1F"/>
          <w:w w:val="105"/>
        </w:rPr>
        <w:t>minoxidil or sodium nitroprusside given with</w:t>
      </w:r>
      <w:r>
        <w:rPr>
          <w:color w:val="231F1F"/>
          <w:spacing w:val="3"/>
          <w:w w:val="105"/>
        </w:rPr>
        <w:t> </w:t>
      </w:r>
      <w:r>
        <w:rPr>
          <w:rFonts w:ascii="Calibri" w:hAnsi="Calibri"/>
          <w:color w:val="008356"/>
          <w:spacing w:val="4"/>
          <w:w w:val="105"/>
          <w:sz w:val="11"/>
        </w:rPr>
        <w:t>MOXONIDINE</w:t>
      </w:r>
    </w:p>
    <w:p>
      <w:pPr>
        <w:pStyle w:val="BodyText"/>
        <w:spacing w:line="237" w:lineRule="auto" w:before="1"/>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Muscle Relaxants: </w:t>
      </w:r>
      <w:r>
        <w:rPr>
          <w:color w:val="231F1F"/>
          <w:w w:val="110"/>
        </w:rPr>
        <w:t>enhanced hypotensive effect when hydralazine, minoxidil or sodium nitroprusside given with </w:t>
      </w:r>
      <w:r>
        <w:rPr>
          <w:rFonts w:ascii="Calibri" w:hAnsi="Calibri"/>
          <w:color w:val="008356"/>
          <w:w w:val="110"/>
          <w:sz w:val="11"/>
        </w:rPr>
        <w:t>BACLOFEN</w:t>
      </w:r>
      <w:r>
        <w:rPr>
          <w:color w:val="231F1F"/>
          <w:w w:val="110"/>
        </w:rPr>
        <w:t>; enhanced hypotensive effect when hydralazine, minoxidil or sodium nitroprusside given with </w:t>
      </w:r>
      <w:r>
        <w:rPr>
          <w:rFonts w:ascii="Calibri" w:hAnsi="Calibri"/>
          <w:color w:val="008356"/>
          <w:w w:val="110"/>
          <w:sz w:val="11"/>
        </w:rPr>
        <w:t>TIZANIDINE</w:t>
      </w:r>
    </w:p>
    <w:p>
      <w:pPr>
        <w:pStyle w:val="BodyText"/>
        <w:spacing w:line="242"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Nicorandil: </w:t>
      </w:r>
      <w:r>
        <w:rPr>
          <w:color w:val="231F1F"/>
          <w:w w:val="110"/>
        </w:rPr>
        <w:t>possible enhanced hypotensive effect when hydralazine, minoxidil or sodium nitroprusside given with </w:t>
      </w:r>
      <w:r>
        <w:rPr>
          <w:rFonts w:ascii="Calibri" w:hAnsi="Calibri"/>
          <w:color w:val="008356"/>
          <w:w w:val="110"/>
          <w:sz w:val="11"/>
        </w:rPr>
        <w:t>NICORANDIL</w:t>
      </w:r>
    </w:p>
    <w:p>
      <w:pPr>
        <w:pStyle w:val="BodyText"/>
        <w:spacing w:line="220" w:lineRule="auto"/>
        <w:ind w:hanging="100"/>
        <w:rPr>
          <w:rFonts w:ascii="Calibri" w:hAnsi="Calibri"/>
          <w:sz w:val="11"/>
        </w:rPr>
      </w:pPr>
      <w:r>
        <w:rPr>
          <w:rFonts w:ascii="Lucida Sans Unicode" w:hAnsi="Lucida Sans Unicode"/>
          <w:color w:val="A7A8AC"/>
          <w:w w:val="95"/>
          <w:sz w:val="10"/>
        </w:rPr>
        <w:t>▶ </w:t>
      </w:r>
      <w:r>
        <w:rPr>
          <w:rFonts w:ascii="Calibri" w:hAnsi="Calibri"/>
          <w:color w:val="231F1F"/>
          <w:w w:val="110"/>
        </w:rPr>
        <w:t>Nitrates: </w:t>
      </w:r>
      <w:r>
        <w:rPr>
          <w:color w:val="231F1F"/>
          <w:w w:val="110"/>
        </w:rPr>
        <w:t>enhanced hypotensive effect when hydralazine, minoxidil or sodium nitroprusside given with </w:t>
      </w:r>
      <w:r>
        <w:rPr>
          <w:rFonts w:ascii="Calibri" w:hAnsi="Calibri"/>
          <w:color w:val="008356"/>
          <w:w w:val="110"/>
          <w:sz w:val="11"/>
        </w:rPr>
        <w:t>NITRATES</w:t>
      </w:r>
    </w:p>
    <w:p>
      <w:pPr>
        <w:pStyle w:val="BodyText"/>
        <w:spacing w:line="220" w:lineRule="auto" w:before="7"/>
        <w:ind w:right="122" w:hanging="100"/>
        <w:rPr>
          <w:rFonts w:ascii="Calibri" w:hAnsi="Calibri"/>
          <w:sz w:val="11"/>
        </w:rPr>
      </w:pPr>
      <w:r>
        <w:rPr>
          <w:rFonts w:ascii="Lucida Sans Unicode" w:hAnsi="Lucida Sans Unicode"/>
          <w:color w:val="A7A8AC"/>
          <w:w w:val="95"/>
          <w:sz w:val="10"/>
        </w:rPr>
        <w:t>▶ </w:t>
      </w:r>
      <w:r>
        <w:rPr>
          <w:rFonts w:ascii="Calibri" w:hAnsi="Calibri"/>
          <w:color w:val="231F1F"/>
          <w:w w:val="110"/>
        </w:rPr>
        <w:t>Oestrogens: </w:t>
      </w:r>
      <w:r>
        <w:rPr>
          <w:color w:val="231F1F"/>
          <w:w w:val="110"/>
        </w:rPr>
        <w:t>hypotensive effect of hydralazine, minoxidil and sodium nitroprusside antagonised by </w:t>
      </w:r>
      <w:r>
        <w:rPr>
          <w:rFonts w:ascii="Calibri" w:hAnsi="Calibri"/>
          <w:color w:val="008356"/>
          <w:w w:val="110"/>
          <w:sz w:val="11"/>
        </w:rPr>
        <w:t>OESTROGENS</w:t>
      </w:r>
    </w:p>
    <w:p>
      <w:pPr>
        <w:pStyle w:val="BodyText"/>
        <w:spacing w:line="242" w:lineRule="auto" w:before="1"/>
        <w:ind w:right="100" w:hanging="100"/>
        <w:rPr>
          <w:rFonts w:ascii="Calibri" w:hAnsi="Calibri"/>
          <w:sz w:val="11"/>
        </w:rPr>
      </w:pPr>
      <w:r>
        <w:rPr>
          <w:rFonts w:ascii="Lucida Sans Unicode" w:hAnsi="Lucida Sans Unicode"/>
          <w:color w:val="A7A8AC"/>
          <w:w w:val="95"/>
          <w:sz w:val="10"/>
        </w:rPr>
        <w:t>▶ </w:t>
      </w:r>
      <w:r>
        <w:rPr>
          <w:rFonts w:ascii="Calibri" w:hAnsi="Calibri"/>
          <w:color w:val="231F1F"/>
          <w:w w:val="110"/>
        </w:rPr>
        <w:t>Prostaglandins: </w:t>
      </w:r>
      <w:r>
        <w:rPr>
          <w:color w:val="231F1F"/>
          <w:w w:val="110"/>
        </w:rPr>
        <w:t>enhanced hypotensive effect when hydralazine, minoxidil or sodium nitroprusside given with </w:t>
      </w:r>
      <w:r>
        <w:rPr>
          <w:rFonts w:ascii="Calibri" w:hAnsi="Calibri"/>
          <w:color w:val="008356"/>
          <w:w w:val="110"/>
          <w:sz w:val="11"/>
        </w:rPr>
        <w:t>ALPROSTADIL</w:t>
      </w:r>
    </w:p>
    <w:p>
      <w:pPr>
        <w:spacing w:line="235" w:lineRule="auto" w:before="0"/>
        <w:ind w:left="208" w:right="0"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Vasodilator Antihypertensives: </w:t>
      </w:r>
      <w:r>
        <w:rPr>
          <w:color w:val="231F1F"/>
          <w:w w:val="110"/>
          <w:sz w:val="12"/>
        </w:rPr>
        <w:t>enhanced hypotensive effect when hydralazine given with </w:t>
      </w:r>
      <w:r>
        <w:rPr>
          <w:rFonts w:ascii="Calibri" w:hAnsi="Calibri"/>
          <w:color w:val="008356"/>
          <w:w w:val="110"/>
          <w:sz w:val="11"/>
        </w:rPr>
        <w:t>MINOXIDIL </w:t>
      </w:r>
      <w:r>
        <w:rPr>
          <w:color w:val="231F1F"/>
          <w:w w:val="110"/>
          <w:sz w:val="12"/>
        </w:rPr>
        <w:t>or </w:t>
      </w:r>
      <w:r>
        <w:rPr>
          <w:rFonts w:ascii="Calibri" w:hAnsi="Calibri"/>
          <w:color w:val="008356"/>
          <w:w w:val="110"/>
          <w:sz w:val="11"/>
        </w:rPr>
        <w:t>SODIUM NITROPRUSSIDE</w:t>
      </w:r>
      <w:r>
        <w:rPr>
          <w:color w:val="231F1F"/>
          <w:w w:val="110"/>
          <w:sz w:val="12"/>
        </w:rPr>
        <w:t>; enhanced hypotensive effect when minoxidil given with </w:t>
      </w:r>
      <w:r>
        <w:rPr>
          <w:rFonts w:ascii="Calibri" w:hAnsi="Calibri"/>
          <w:color w:val="008356"/>
          <w:w w:val="110"/>
          <w:sz w:val="11"/>
        </w:rPr>
        <w:t>SODIUM NITROPRUSSIDE</w:t>
      </w:r>
    </w:p>
    <w:p>
      <w:pPr>
        <w:pStyle w:val="BodyText"/>
        <w:spacing w:before="3"/>
        <w:ind w:left="108"/>
      </w:pPr>
      <w:r>
        <w:rPr>
          <w:rFonts w:ascii="Trebuchet MS"/>
          <w:color w:val="008356"/>
          <w:w w:val="110"/>
        </w:rPr>
        <w:t>Vecuronium </w:t>
      </w:r>
      <w:r>
        <w:rPr>
          <w:i/>
          <w:color w:val="231F1F"/>
          <w:w w:val="110"/>
        </w:rPr>
        <w:t>see </w:t>
      </w:r>
      <w:r>
        <w:rPr>
          <w:color w:val="231F1F"/>
          <w:w w:val="110"/>
        </w:rPr>
        <w:t>Muscle Relaxants</w:t>
      </w:r>
    </w:p>
    <w:p>
      <w:pPr>
        <w:pStyle w:val="BodyText"/>
        <w:spacing w:line="139" w:lineRule="exact" w:before="10"/>
        <w:ind w:left="108"/>
        <w:rPr>
          <w:rFonts w:ascii="Trebuchet MS"/>
        </w:rPr>
      </w:pPr>
      <w:r>
        <w:rPr>
          <w:rFonts w:ascii="Trebuchet MS"/>
          <w:color w:val="008356"/>
        </w:rPr>
        <w:t>Vedolizumab</w:t>
      </w:r>
    </w:p>
    <w:p>
      <w:pPr>
        <w:pStyle w:val="BodyText"/>
        <w:spacing w:line="146"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right="40" w:hanging="100"/>
      </w:pPr>
      <w:r>
        <w:rPr>
          <w:rFonts w:ascii="Arial" w:hAnsi="Arial"/>
          <w:color w:val="231F1F"/>
          <w:w w:val="355"/>
          <w:position w:val="1"/>
          <w:sz w:val="7"/>
        </w:rPr>
        <w:t>l </w:t>
      </w:r>
      <w:r>
        <w:rPr>
          <w:rFonts w:ascii="Calibri" w:hAnsi="Calibri"/>
          <w:color w:val="231F1F"/>
          <w:w w:val="115"/>
        </w:rPr>
        <w:t>Vaccines: </w:t>
      </w:r>
      <w:r>
        <w:rPr>
          <w:color w:val="231F1F"/>
          <w:w w:val="115"/>
        </w:rPr>
        <w:t>risk of generalised infections when monoclonal antibodies</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color w:val="231F1F"/>
          <w:w w:val="115"/>
        </w:rPr>
        <w:t>live</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spacing w:val="2"/>
          <w:w w:val="115"/>
          <w:sz w:val="11"/>
        </w:rPr>
        <w:t>VACCINES</w:t>
      </w:r>
      <w:r>
        <w:rPr>
          <w:rFonts w:ascii="Arial" w:hAnsi="Arial"/>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1"/>
          <w:w w:val="115"/>
        </w:rPr>
        <w:t> </w:t>
      </w:r>
      <w:r>
        <w:rPr>
          <w:color w:val="231F1F"/>
          <w:w w:val="115"/>
        </w:rPr>
        <w:t>use</w:t>
      </w:r>
    </w:p>
    <w:p>
      <w:pPr>
        <w:pStyle w:val="BodyText"/>
        <w:spacing w:before="5"/>
        <w:ind w:left="108"/>
        <w:rPr>
          <w:rFonts w:ascii="Trebuchet MS"/>
        </w:rPr>
      </w:pPr>
      <w:r>
        <w:rPr>
          <w:rFonts w:ascii="Trebuchet MS"/>
          <w:color w:val="008356"/>
        </w:rPr>
        <w:t>Vemurafenib</w:t>
      </w:r>
    </w:p>
    <w:p>
      <w:pPr>
        <w:spacing w:line="220" w:lineRule="auto" w:before="9"/>
        <w:ind w:left="208" w:right="266" w:hanging="100"/>
        <w:jc w:val="left"/>
        <w:rPr>
          <w:rFonts w:ascii="Calibri" w:hAnsi="Calibri"/>
          <w:sz w:val="11"/>
        </w:rPr>
      </w:pPr>
      <w:r>
        <w:rPr>
          <w:rFonts w:ascii="Lucida Sans Unicode" w:hAnsi="Lucida Sans Unicode"/>
          <w:color w:val="A7A8AC"/>
          <w:w w:val="95"/>
          <w:sz w:val="10"/>
        </w:rPr>
        <w:t>▶ </w:t>
      </w:r>
      <w:r>
        <w:rPr>
          <w:rFonts w:ascii="Calibri" w:hAnsi="Calibri"/>
          <w:color w:val="231F1F"/>
          <w:w w:val="110"/>
          <w:sz w:val="12"/>
        </w:rPr>
        <w:t>Antibacterials: </w:t>
      </w:r>
      <w:r>
        <w:rPr>
          <w:color w:val="231F1F"/>
          <w:w w:val="110"/>
          <w:sz w:val="12"/>
        </w:rPr>
        <w:t>manufacturer of vemurafenib advises avoid concomitant use with </w:t>
      </w:r>
      <w:r>
        <w:rPr>
          <w:rFonts w:ascii="Calibri" w:hAnsi="Calibri"/>
          <w:color w:val="008356"/>
          <w:w w:val="110"/>
          <w:sz w:val="11"/>
        </w:rPr>
        <w:t>RIFABUTIN </w:t>
      </w:r>
      <w:r>
        <w:rPr>
          <w:color w:val="231F1F"/>
          <w:w w:val="110"/>
          <w:sz w:val="12"/>
        </w:rPr>
        <w:t>and </w:t>
      </w:r>
      <w:r>
        <w:rPr>
          <w:rFonts w:ascii="Calibri" w:hAnsi="Calibri"/>
          <w:color w:val="008356"/>
          <w:w w:val="110"/>
          <w:sz w:val="11"/>
        </w:rPr>
        <w:t>RIFAMPICIN</w:t>
      </w:r>
    </w:p>
    <w:p>
      <w:pPr>
        <w:pStyle w:val="BodyText"/>
        <w:ind w:right="86" w:hanging="100"/>
        <w:rPr>
          <w:rFonts w:ascii="Calibri"/>
          <w:sz w:val="11"/>
        </w:rPr>
      </w:pPr>
      <w:r>
        <w:rPr>
          <w:rFonts w:ascii="Arial"/>
          <w:color w:val="231F1F"/>
          <w:w w:val="355"/>
          <w:position w:val="1"/>
          <w:sz w:val="7"/>
        </w:rPr>
        <w:t>l</w:t>
      </w:r>
      <w:r>
        <w:rPr>
          <w:rFonts w:ascii="Arial"/>
          <w:color w:val="231F1F"/>
          <w:spacing w:val="-50"/>
          <w:w w:val="355"/>
          <w:position w:val="1"/>
          <w:sz w:val="7"/>
        </w:rPr>
        <w:t> </w:t>
      </w:r>
      <w:r>
        <w:rPr>
          <w:rFonts w:ascii="Calibri"/>
          <w:color w:val="231F1F"/>
          <w:w w:val="115"/>
        </w:rPr>
        <w:t>Anticoagulants:</w:t>
      </w:r>
      <w:r>
        <w:rPr>
          <w:rFonts w:ascii="Calibri"/>
          <w:color w:val="231F1F"/>
          <w:spacing w:val="-16"/>
          <w:w w:val="115"/>
        </w:rPr>
        <w:t> </w:t>
      </w:r>
      <w:r>
        <w:rPr>
          <w:color w:val="231F1F"/>
          <w:w w:val="115"/>
        </w:rPr>
        <w:t>vemurafenib</w:t>
      </w:r>
      <w:r>
        <w:rPr>
          <w:color w:val="231F1F"/>
          <w:spacing w:val="-20"/>
          <w:w w:val="115"/>
        </w:rPr>
        <w:t> </w:t>
      </w:r>
      <w:r>
        <w:rPr>
          <w:color w:val="231F1F"/>
          <w:w w:val="115"/>
        </w:rPr>
        <w:t>possibly</w:t>
      </w:r>
      <w:r>
        <w:rPr>
          <w:color w:val="231F1F"/>
          <w:spacing w:val="-21"/>
          <w:w w:val="115"/>
        </w:rPr>
        <w:t> </w:t>
      </w:r>
      <w:r>
        <w:rPr>
          <w:color w:val="231F1F"/>
          <w:w w:val="115"/>
        </w:rPr>
        <w:t>enhances</w:t>
      </w:r>
      <w:r>
        <w:rPr>
          <w:color w:val="231F1F"/>
          <w:spacing w:val="-19"/>
          <w:w w:val="115"/>
        </w:rPr>
        <w:t>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Calibri"/>
          <w:color w:val="008356"/>
          <w:spacing w:val="3"/>
          <w:w w:val="115"/>
          <w:sz w:val="11"/>
        </w:rPr>
        <w:t>WARFARIN</w:t>
      </w:r>
    </w:p>
    <w:p>
      <w:pPr>
        <w:pStyle w:val="BodyText"/>
        <w:spacing w:line="220" w:lineRule="auto" w:before="5"/>
        <w:ind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Antidepressants: </w:t>
      </w:r>
      <w:r>
        <w:rPr>
          <w:color w:val="231F1F"/>
          <w:w w:val="105"/>
        </w:rPr>
        <w:t>manufacturer of vemurafenib advises avoid concomitant use with </w:t>
      </w:r>
      <w:r>
        <w:rPr>
          <w:rFonts w:ascii="Calibri" w:hAnsi="Calibri"/>
          <w:color w:val="008356"/>
          <w:w w:val="105"/>
          <w:sz w:val="11"/>
        </w:rPr>
        <w:t>ST JOHN</w:t>
      </w:r>
      <w:r>
        <w:rPr>
          <w:rFonts w:ascii="Arial" w:hAnsi="Arial"/>
          <w:color w:val="008356"/>
          <w:w w:val="105"/>
          <w:sz w:val="11"/>
        </w:rPr>
        <w:t>’</w:t>
      </w:r>
      <w:r>
        <w:rPr>
          <w:rFonts w:ascii="Calibri" w:hAnsi="Calibri"/>
          <w:color w:val="008356"/>
          <w:w w:val="105"/>
          <w:sz w:val="11"/>
        </w:rPr>
        <w:t>S WORT</w:t>
      </w:r>
    </w:p>
    <w:p>
      <w:pPr>
        <w:spacing w:line="237" w:lineRule="auto" w:before="1"/>
        <w:ind w:left="208" w:right="288" w:hanging="100"/>
        <w:jc w:val="both"/>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manufacturer of vemurafenib advises avoid concomitant use with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8"/>
        <w:ind w:right="100" w:hanging="100"/>
        <w:rPr>
          <w:rFonts w:ascii="Calibri" w:hAnsi="Calibri"/>
          <w:sz w:val="11"/>
        </w:rPr>
      </w:pPr>
      <w:r>
        <w:rPr>
          <w:rFonts w:ascii="Lucida Sans Unicode" w:hAnsi="Lucida Sans Unicode"/>
          <w:color w:val="A7A8AC"/>
          <w:w w:val="95"/>
          <w:sz w:val="10"/>
        </w:rPr>
        <w:t>▶ </w:t>
      </w:r>
      <w:r>
        <w:rPr>
          <w:rFonts w:ascii="Calibri" w:hAnsi="Calibri"/>
          <w:color w:val="231F1F"/>
          <w:w w:val="105"/>
        </w:rPr>
        <w:t>Cytotoxics: </w:t>
      </w:r>
      <w:r>
        <w:rPr>
          <w:color w:val="231F1F"/>
          <w:w w:val="105"/>
        </w:rPr>
        <w:t>avoidance of  vemurafenib advised by  </w:t>
      </w:r>
      <w:r>
        <w:rPr>
          <w:color w:val="231F1F"/>
          <w:spacing w:val="-2"/>
          <w:w w:val="105"/>
        </w:rPr>
        <w:t>manufacturer </w:t>
      </w:r>
      <w:r>
        <w:rPr>
          <w:color w:val="231F1F"/>
          <w:w w:val="105"/>
        </w:rPr>
        <w:t>of</w:t>
      </w:r>
      <w:r>
        <w:rPr>
          <w:color w:val="231F1F"/>
          <w:spacing w:val="-2"/>
          <w:w w:val="105"/>
        </w:rPr>
        <w:t> </w:t>
      </w:r>
      <w:r>
        <w:rPr>
          <w:rFonts w:ascii="Calibri" w:hAnsi="Calibri"/>
          <w:color w:val="008356"/>
          <w:spacing w:val="5"/>
          <w:w w:val="105"/>
          <w:sz w:val="11"/>
        </w:rPr>
        <w:t>IPILIMUMAB</w:t>
      </w:r>
    </w:p>
    <w:p>
      <w:pPr>
        <w:pStyle w:val="BodyText"/>
        <w:ind w:right="100" w:hanging="100"/>
      </w:pPr>
      <w:r>
        <w:rPr>
          <w:rFonts w:ascii="Arial"/>
          <w:color w:val="231F1F"/>
          <w:w w:val="355"/>
          <w:position w:val="1"/>
          <w:sz w:val="7"/>
        </w:rPr>
        <w:t>l </w:t>
      </w:r>
      <w:r>
        <w:rPr>
          <w:rFonts w:ascii="Calibri"/>
          <w:color w:val="231F1F"/>
          <w:w w:val="110"/>
        </w:rPr>
        <w:t>Oestrogens: </w:t>
      </w:r>
      <w:r>
        <w:rPr>
          <w:color w:val="231F1F"/>
          <w:w w:val="110"/>
        </w:rPr>
        <w:t>manufacturer of vemurafenib advises contraceptive effect of </w:t>
      </w:r>
      <w:r>
        <w:rPr>
          <w:rFonts w:ascii="Arial"/>
          <w:color w:val="231F1F"/>
          <w:w w:val="355"/>
          <w:position w:val="1"/>
          <w:sz w:val="7"/>
        </w:rPr>
        <w:t>l </w:t>
      </w:r>
      <w:r>
        <w:rPr>
          <w:rFonts w:ascii="Calibri"/>
          <w:color w:val="008356"/>
          <w:w w:val="110"/>
          <w:sz w:val="11"/>
        </w:rPr>
        <w:t>OESTROGENS </w:t>
      </w:r>
      <w:r>
        <w:rPr>
          <w:color w:val="231F1F"/>
          <w:w w:val="110"/>
        </w:rPr>
        <w:t>possibly reduced</w:t>
      </w:r>
    </w:p>
    <w:p>
      <w:pPr>
        <w:pStyle w:val="BodyText"/>
        <w:ind w:hanging="100"/>
      </w:pPr>
      <w:r>
        <w:rPr>
          <w:rFonts w:ascii="Arial"/>
          <w:color w:val="231F1F"/>
          <w:w w:val="355"/>
          <w:position w:val="1"/>
          <w:sz w:val="7"/>
        </w:rPr>
        <w:t>l </w:t>
      </w:r>
      <w:r>
        <w:rPr>
          <w:rFonts w:ascii="Calibri"/>
          <w:color w:val="231F1F"/>
          <w:w w:val="110"/>
        </w:rPr>
        <w:t>Progestogens: </w:t>
      </w:r>
      <w:r>
        <w:rPr>
          <w:color w:val="231F1F"/>
          <w:w w:val="110"/>
        </w:rPr>
        <w:t>manufacturer of vemurafenib advises contraceptive effect of </w:t>
      </w:r>
      <w:r>
        <w:rPr>
          <w:rFonts w:ascii="Arial"/>
          <w:color w:val="231F1F"/>
          <w:w w:val="355"/>
          <w:position w:val="1"/>
          <w:sz w:val="7"/>
        </w:rPr>
        <w:t>l </w:t>
      </w:r>
      <w:r>
        <w:rPr>
          <w:rFonts w:ascii="Calibri"/>
          <w:color w:val="008356"/>
          <w:w w:val="110"/>
          <w:sz w:val="11"/>
        </w:rPr>
        <w:t>PROGESTOGENS </w:t>
      </w:r>
      <w:r>
        <w:rPr>
          <w:color w:val="231F1F"/>
          <w:w w:val="110"/>
        </w:rPr>
        <w:t>possibly reduced</w:t>
      </w:r>
    </w:p>
    <w:p>
      <w:pPr>
        <w:pStyle w:val="BodyText"/>
        <w:spacing w:line="139" w:lineRule="exact" w:before="3"/>
        <w:ind w:left="108"/>
        <w:rPr>
          <w:rFonts w:ascii="Trebuchet MS"/>
        </w:rPr>
      </w:pPr>
      <w:r>
        <w:rPr>
          <w:rFonts w:ascii="Trebuchet MS"/>
          <w:color w:val="008356"/>
        </w:rPr>
        <w:t>Venlafaxine</w:t>
      </w:r>
    </w:p>
    <w:p>
      <w:pPr>
        <w:pStyle w:val="BodyText"/>
        <w:spacing w:line="244" w:lineRule="auto"/>
        <w:ind w:right="90" w:hanging="100"/>
        <w:rPr>
          <w:rFonts w:ascii="Calibri"/>
          <w:sz w:val="11"/>
        </w:rPr>
      </w:pPr>
      <w:r>
        <w:rPr>
          <w:rFonts w:ascii="Arial"/>
          <w:color w:val="231F1F"/>
          <w:w w:val="355"/>
          <w:position w:val="1"/>
          <w:sz w:val="7"/>
        </w:rPr>
        <w:t>l</w:t>
      </w:r>
      <w:r>
        <w:rPr>
          <w:rFonts w:ascii="Arial"/>
          <w:color w:val="231F1F"/>
          <w:spacing w:val="-45"/>
          <w:w w:val="355"/>
          <w:position w:val="1"/>
          <w:sz w:val="7"/>
        </w:rPr>
        <w:t> </w:t>
      </w:r>
      <w:r>
        <w:rPr>
          <w:rFonts w:ascii="Calibri"/>
          <w:color w:val="231F1F"/>
          <w:w w:val="115"/>
        </w:rPr>
        <w:t>Analgesics:</w:t>
      </w:r>
      <w:r>
        <w:rPr>
          <w:rFonts w:ascii="Calibri"/>
          <w:color w:val="231F1F"/>
          <w:spacing w:val="-12"/>
          <w:w w:val="115"/>
        </w:rPr>
        <w:t> </w:t>
      </w:r>
      <w:r>
        <w:rPr>
          <w:color w:val="231F1F"/>
          <w:w w:val="115"/>
        </w:rPr>
        <w:t>increased</w:t>
      </w:r>
      <w:r>
        <w:rPr>
          <w:color w:val="231F1F"/>
          <w:spacing w:val="-16"/>
          <w:w w:val="115"/>
        </w:rPr>
        <w:t> </w:t>
      </w:r>
      <w:r>
        <w:rPr>
          <w:color w:val="231F1F"/>
          <w:w w:val="115"/>
        </w:rPr>
        <w:t>risk</w:t>
      </w:r>
      <w:r>
        <w:rPr>
          <w:color w:val="231F1F"/>
          <w:spacing w:val="-15"/>
          <w:w w:val="115"/>
        </w:rPr>
        <w:t> </w:t>
      </w:r>
      <w:r>
        <w:rPr>
          <w:color w:val="231F1F"/>
          <w:w w:val="115"/>
        </w:rPr>
        <w:t>of</w:t>
      </w:r>
      <w:r>
        <w:rPr>
          <w:color w:val="231F1F"/>
          <w:spacing w:val="-16"/>
          <w:w w:val="115"/>
        </w:rPr>
        <w:t> </w:t>
      </w:r>
      <w:r>
        <w:rPr>
          <w:color w:val="231F1F"/>
          <w:w w:val="115"/>
        </w:rPr>
        <w:t>bleeding</w:t>
      </w:r>
      <w:r>
        <w:rPr>
          <w:color w:val="231F1F"/>
          <w:spacing w:val="-15"/>
          <w:w w:val="115"/>
        </w:rPr>
        <w:t> </w:t>
      </w:r>
      <w:r>
        <w:rPr>
          <w:color w:val="231F1F"/>
          <w:w w:val="115"/>
        </w:rPr>
        <w:t>when</w:t>
      </w:r>
      <w:r>
        <w:rPr>
          <w:color w:val="231F1F"/>
          <w:spacing w:val="-16"/>
          <w:w w:val="115"/>
        </w:rPr>
        <w:t> </w:t>
      </w:r>
      <w:r>
        <w:rPr>
          <w:color w:val="231F1F"/>
          <w:w w:val="115"/>
        </w:rPr>
        <w:t>venlafaxine</w:t>
      </w:r>
      <w:r>
        <w:rPr>
          <w:color w:val="231F1F"/>
          <w:spacing w:val="-17"/>
          <w:w w:val="115"/>
        </w:rPr>
        <w:t> </w:t>
      </w:r>
      <w:r>
        <w:rPr>
          <w:color w:val="231F1F"/>
          <w:spacing w:val="-3"/>
          <w:w w:val="115"/>
        </w:rPr>
        <w:t>given </w:t>
      </w:r>
      <w:r>
        <w:rPr>
          <w:color w:val="231F1F"/>
          <w:w w:val="115"/>
        </w:rPr>
        <w:t>with</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NSAIDS</w:t>
      </w:r>
      <w:r>
        <w:rPr>
          <w:rFonts w:ascii="Calibri"/>
          <w:color w:val="008356"/>
          <w:spacing w:val="-1"/>
          <w:w w:val="115"/>
          <w:sz w:val="11"/>
        </w:rPr>
        <w:t> </w:t>
      </w:r>
      <w:r>
        <w:rPr>
          <w:color w:val="231F1F"/>
          <w:w w:val="115"/>
        </w:rPr>
        <w:t>or</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Calibri"/>
          <w:color w:val="008356"/>
          <w:spacing w:val="4"/>
          <w:w w:val="115"/>
          <w:sz w:val="11"/>
        </w:rPr>
        <w:t>ASPIRIN</w:t>
      </w:r>
      <w:r>
        <w:rPr>
          <w:color w:val="231F1F"/>
          <w:spacing w:val="4"/>
          <w:w w:val="115"/>
        </w:rPr>
        <w:t>;</w:t>
      </w:r>
      <w:r>
        <w:rPr>
          <w:color w:val="231F1F"/>
          <w:spacing w:val="-11"/>
          <w:w w:val="115"/>
        </w:rPr>
        <w:t> </w:t>
      </w:r>
      <w:r>
        <w:rPr>
          <w:color w:val="231F1F"/>
          <w:w w:val="115"/>
        </w:rPr>
        <w:t>possible</w:t>
      </w:r>
      <w:r>
        <w:rPr>
          <w:color w:val="231F1F"/>
          <w:spacing w:val="-11"/>
          <w:w w:val="115"/>
        </w:rPr>
        <w:t> </w:t>
      </w:r>
      <w:r>
        <w:rPr>
          <w:color w:val="231F1F"/>
          <w:w w:val="115"/>
        </w:rPr>
        <w:t>increased</w:t>
      </w:r>
      <w:r>
        <w:rPr>
          <w:color w:val="231F1F"/>
          <w:spacing w:val="-13"/>
          <w:w w:val="115"/>
        </w:rPr>
        <w:t> </w:t>
      </w:r>
      <w:r>
        <w:rPr>
          <w:color w:val="231F1F"/>
          <w:w w:val="115"/>
        </w:rPr>
        <w:t>serotonergic effects when SSRI-related antidepressants given with </w:t>
      </w:r>
      <w:r>
        <w:rPr>
          <w:rFonts w:ascii="Calibri"/>
          <w:color w:val="008356"/>
          <w:spacing w:val="3"/>
          <w:w w:val="115"/>
          <w:sz w:val="11"/>
        </w:rPr>
        <w:t>FENTANYL</w:t>
      </w:r>
      <w:r>
        <w:rPr>
          <w:color w:val="231F1F"/>
          <w:spacing w:val="3"/>
          <w:w w:val="115"/>
        </w:rPr>
        <w:t>; </w:t>
      </w:r>
      <w:r>
        <w:rPr>
          <w:color w:val="231F1F"/>
          <w:w w:val="115"/>
        </w:rPr>
        <w:t>possible increased serotonergic effects when venlafaxine given with</w:t>
      </w:r>
      <w:r>
        <w:rPr>
          <w:color w:val="231F1F"/>
          <w:spacing w:val="-18"/>
          <w:w w:val="115"/>
        </w:rPr>
        <w:t> </w:t>
      </w:r>
      <w:r>
        <w:rPr>
          <w:rFonts w:ascii="Calibri"/>
          <w:color w:val="008356"/>
          <w:spacing w:val="5"/>
          <w:w w:val="115"/>
          <w:sz w:val="11"/>
        </w:rPr>
        <w:t>TRAMADOL</w:t>
      </w:r>
    </w:p>
    <w:p>
      <w:pPr>
        <w:pStyle w:val="BodyText"/>
        <w:spacing w:line="139" w:lineRule="exact"/>
        <w:ind w:left="108"/>
      </w:pPr>
      <w:r>
        <w:rPr>
          <w:rFonts w:ascii="Arial"/>
          <w:color w:val="231F1F"/>
          <w:w w:val="355"/>
          <w:position w:val="1"/>
          <w:sz w:val="7"/>
        </w:rPr>
        <w:t>l </w:t>
      </w:r>
      <w:r>
        <w:rPr>
          <w:rFonts w:ascii="Calibri"/>
          <w:color w:val="231F1F"/>
          <w:w w:val="115"/>
        </w:rPr>
        <w:t>Anticoagulants: </w:t>
      </w:r>
      <w:r>
        <w:rPr>
          <w:color w:val="231F1F"/>
          <w:w w:val="115"/>
        </w:rPr>
        <w:t>venlafaxine possibly enhances anticoagulant</w:t>
      </w:r>
    </w:p>
    <w:p>
      <w:pPr>
        <w:pStyle w:val="BodyText"/>
        <w:ind w:right="44"/>
        <w:rPr>
          <w:rFonts w:ascii="Calibri"/>
          <w:sz w:val="11"/>
        </w:rPr>
      </w:pPr>
      <w:r>
        <w:rPr>
          <w:color w:val="231F1F"/>
          <w:w w:val="115"/>
        </w:rPr>
        <w:t>effect</w:t>
      </w:r>
      <w:r>
        <w:rPr>
          <w:color w:val="231F1F"/>
          <w:spacing w:val="-18"/>
          <w:w w:val="115"/>
        </w:rPr>
        <w:t> </w:t>
      </w:r>
      <w:r>
        <w:rPr>
          <w:color w:val="231F1F"/>
          <w:w w:val="115"/>
        </w:rPr>
        <w:t>of</w:t>
      </w:r>
      <w:r>
        <w:rPr>
          <w:color w:val="231F1F"/>
          <w:spacing w:val="-15"/>
          <w:w w:val="115"/>
        </w:rPr>
        <w:t> </w:t>
      </w:r>
      <w:r>
        <w:rPr>
          <w:rFonts w:ascii="Arial"/>
          <w:color w:val="231F1F"/>
          <w:w w:val="355"/>
          <w:position w:val="1"/>
          <w:sz w:val="7"/>
        </w:rPr>
        <w:t>l</w:t>
      </w:r>
      <w:r>
        <w:rPr>
          <w:rFonts w:ascii="Arial"/>
          <w:color w:val="231F1F"/>
          <w:spacing w:val="-53"/>
          <w:w w:val="355"/>
          <w:position w:val="1"/>
          <w:sz w:val="7"/>
        </w:rPr>
        <w:t> </w:t>
      </w:r>
      <w:r>
        <w:rPr>
          <w:rFonts w:ascii="Calibri"/>
          <w:color w:val="008356"/>
          <w:spacing w:val="3"/>
          <w:w w:val="115"/>
          <w:sz w:val="11"/>
        </w:rPr>
        <w:t>WARFARIN</w:t>
      </w:r>
      <w:r>
        <w:rPr>
          <w:color w:val="231F1F"/>
          <w:spacing w:val="3"/>
          <w:w w:val="115"/>
        </w:rPr>
        <w:t>;</w:t>
      </w:r>
      <w:r>
        <w:rPr>
          <w:color w:val="231F1F"/>
          <w:spacing w:val="-16"/>
          <w:w w:val="115"/>
        </w:rPr>
        <w:t> </w:t>
      </w:r>
      <w:r>
        <w:rPr>
          <w:color w:val="231F1F"/>
          <w:w w:val="115"/>
        </w:rPr>
        <w:t>possible</w:t>
      </w:r>
      <w:r>
        <w:rPr>
          <w:color w:val="231F1F"/>
          <w:spacing w:val="-17"/>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bleeding</w:t>
      </w:r>
      <w:r>
        <w:rPr>
          <w:color w:val="231F1F"/>
          <w:spacing w:val="-17"/>
          <w:w w:val="115"/>
        </w:rPr>
        <w:t> </w:t>
      </w:r>
      <w:r>
        <w:rPr>
          <w:color w:val="231F1F"/>
          <w:spacing w:val="-3"/>
          <w:w w:val="115"/>
        </w:rPr>
        <w:t>when </w:t>
      </w:r>
      <w:r>
        <w:rPr>
          <w:color w:val="231F1F"/>
          <w:w w:val="115"/>
        </w:rPr>
        <w:t>SSRI-related</w:t>
      </w:r>
      <w:r>
        <w:rPr>
          <w:color w:val="231F1F"/>
          <w:spacing w:val="-10"/>
          <w:w w:val="115"/>
        </w:rPr>
        <w:t> </w:t>
      </w:r>
      <w:r>
        <w:rPr>
          <w:color w:val="231F1F"/>
          <w:w w:val="115"/>
        </w:rPr>
        <w:t>antidepressants</w:t>
      </w:r>
      <w:r>
        <w:rPr>
          <w:color w:val="231F1F"/>
          <w:spacing w:val="-9"/>
          <w:w w:val="115"/>
        </w:rPr>
        <w:t> </w:t>
      </w:r>
      <w:r>
        <w:rPr>
          <w:color w:val="231F1F"/>
          <w:w w:val="115"/>
        </w:rPr>
        <w:t>given</w:t>
      </w:r>
      <w:r>
        <w:rPr>
          <w:color w:val="231F1F"/>
          <w:spacing w:val="-10"/>
          <w:w w:val="115"/>
        </w:rPr>
        <w:t> </w:t>
      </w:r>
      <w:r>
        <w:rPr>
          <w:color w:val="231F1F"/>
          <w:w w:val="115"/>
        </w:rPr>
        <w:t>with</w:t>
      </w:r>
      <w:r>
        <w:rPr>
          <w:color w:val="231F1F"/>
          <w:spacing w:val="-10"/>
          <w:w w:val="115"/>
        </w:rPr>
        <w:t> </w:t>
      </w:r>
      <w:r>
        <w:rPr>
          <w:rFonts w:ascii="Arial"/>
          <w:color w:val="231F1F"/>
          <w:w w:val="355"/>
          <w:position w:val="1"/>
          <w:sz w:val="7"/>
        </w:rPr>
        <w:t>l</w:t>
      </w:r>
      <w:r>
        <w:rPr>
          <w:rFonts w:ascii="Arial"/>
          <w:color w:val="231F1F"/>
          <w:spacing w:val="-46"/>
          <w:w w:val="355"/>
          <w:position w:val="1"/>
          <w:sz w:val="7"/>
        </w:rPr>
        <w:t> </w:t>
      </w:r>
      <w:r>
        <w:rPr>
          <w:rFonts w:ascii="Calibri"/>
          <w:color w:val="008356"/>
          <w:spacing w:val="3"/>
          <w:w w:val="115"/>
          <w:sz w:val="11"/>
        </w:rPr>
        <w:t>DABIGATRAN</w:t>
      </w:r>
    </w:p>
    <w:p>
      <w:pPr>
        <w:pStyle w:val="BodyText"/>
        <w:spacing w:before="9"/>
        <w:ind w:left="0"/>
        <w:rPr>
          <w:rFonts w:ascii="Calibri"/>
          <w:sz w:val="13"/>
        </w:rPr>
      </w:pPr>
      <w:r>
        <w:rPr/>
        <w:br w:type="column"/>
      </w:r>
      <w:r>
        <w:rPr>
          <w:rFonts w:ascii="Calibri"/>
          <w:sz w:val="13"/>
        </w:rPr>
      </w:r>
    </w:p>
    <w:p>
      <w:pPr>
        <w:pStyle w:val="BodyText"/>
        <w:spacing w:line="144" w:lineRule="exact"/>
        <w:ind w:left="108"/>
        <w:rPr>
          <w:rFonts w:ascii="Calibri"/>
        </w:rPr>
      </w:pPr>
      <w:r>
        <w:rPr>
          <w:rFonts w:ascii="Arial"/>
          <w:color w:val="008356"/>
        </w:rPr>
        <w:t>Venlafaxine </w:t>
      </w:r>
      <w:r>
        <w:rPr>
          <w:rFonts w:ascii="Calibri"/>
          <w:color w:val="231F1F"/>
        </w:rPr>
        <w:t>(continued)</w:t>
      </w:r>
    </w:p>
    <w:p>
      <w:pPr>
        <w:pStyle w:val="BodyText"/>
        <w:spacing w:line="244" w:lineRule="auto"/>
        <w:ind w:right="695" w:hanging="100"/>
      </w:pPr>
      <w:r>
        <w:rPr/>
        <w:pict>
          <v:rect style="position:absolute;margin-left:398.891296pt;margin-top:-8.517115pt;width:20.522993pt;height:149.443pt;mso-position-horizontal-relative:page;mso-position-vertical-relative:paragraph;z-index:6976" filled="true" fillcolor="#bfdbcf" stroked="false">
            <v:fill type="solid"/>
            <w10:wrap type="none"/>
          </v:rect>
        </w:pict>
      </w:r>
      <w:r>
        <w:rPr/>
        <w:pict>
          <v:shape style="position:absolute;margin-left:399.725769pt;margin-top:-3.553726pt;width:10.4pt;height:78.850pt;mso-position-horizontal-relative:page;mso-position-vertical-relative:paragraph;z-index:7000"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Calibri" w:hAnsi="Calibri"/>
          <w:color w:val="231F1F"/>
          <w:w w:val="110"/>
        </w:rPr>
        <w:t>Antidepressants: </w:t>
      </w:r>
      <w:r>
        <w:rPr>
          <w:color w:val="231F1F"/>
          <w:w w:val="110"/>
        </w:rPr>
        <w:t>possible increased serotonergic effects when venlafaxine given with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w:t>
      </w:r>
      <w:r>
        <w:rPr>
          <w:color w:val="231F1F"/>
          <w:w w:val="110"/>
        </w:rPr>
        <w:t>, </w:t>
      </w:r>
      <w:r>
        <w:rPr>
          <w:rFonts w:ascii="Calibri" w:hAnsi="Calibri"/>
          <w:color w:val="008356"/>
          <w:w w:val="105"/>
          <w:sz w:val="11"/>
        </w:rPr>
        <w:t>DULOXETINE </w:t>
      </w:r>
      <w:r>
        <w:rPr>
          <w:color w:val="231F1F"/>
          <w:w w:val="110"/>
        </w:rPr>
        <w:t>or </w:t>
      </w:r>
      <w:r>
        <w:rPr>
          <w:rFonts w:ascii="Calibri" w:hAnsi="Calibri"/>
          <w:color w:val="008356"/>
          <w:w w:val="110"/>
          <w:sz w:val="11"/>
        </w:rPr>
        <w:t>MIRTAZAPINE</w:t>
      </w:r>
      <w:r>
        <w:rPr>
          <w:color w:val="231F1F"/>
          <w:w w:val="110"/>
        </w:rPr>
        <w:t>; enhanced CNS effects and toxicity when venlafaxine given with </w:t>
      </w:r>
      <w:r>
        <w:rPr>
          <w:rFonts w:ascii="Arial" w:hAnsi="Arial"/>
          <w:color w:val="231F1F"/>
          <w:w w:val="355"/>
          <w:position w:val="1"/>
          <w:sz w:val="7"/>
        </w:rPr>
        <w:t>l </w:t>
      </w:r>
      <w:r>
        <w:rPr>
          <w:rFonts w:ascii="Calibri" w:hAnsi="Calibri"/>
          <w:color w:val="008356"/>
          <w:w w:val="110"/>
          <w:sz w:val="11"/>
        </w:rPr>
        <w:t>MAOIS </w:t>
      </w:r>
      <w:r>
        <w:rPr>
          <w:color w:val="231F1F"/>
          <w:w w:val="110"/>
        </w:rPr>
        <w:t>(venlafaxine should not be started until 2 weeks after stopping MAOIs, avoid MAOIs for 1 week after stopping venlafaxine); after stopping SSRI- related antidepressants do not start </w:t>
      </w:r>
      <w:r>
        <w:rPr>
          <w:rFonts w:ascii="Arial" w:hAnsi="Arial"/>
          <w:color w:val="231F1F"/>
          <w:w w:val="355"/>
          <w:position w:val="1"/>
          <w:sz w:val="7"/>
        </w:rPr>
        <w:t>l </w:t>
      </w:r>
      <w:r>
        <w:rPr>
          <w:rFonts w:ascii="Calibri" w:hAnsi="Calibri"/>
          <w:color w:val="008356"/>
          <w:w w:val="105"/>
          <w:sz w:val="11"/>
        </w:rPr>
        <w:t>MOCLOBEMIDE </w:t>
      </w:r>
      <w:r>
        <w:rPr>
          <w:color w:val="231F1F"/>
          <w:w w:val="110"/>
        </w:rPr>
        <w:t>for at least 1 week</w:t>
      </w:r>
    </w:p>
    <w:p>
      <w:pPr>
        <w:spacing w:line="247" w:lineRule="auto" w:before="0"/>
        <w:ind w:left="208" w:right="1049"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antidepressants advised by 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340"/>
          <w:position w:val="1"/>
          <w:sz w:val="7"/>
        </w:rPr>
        <w:t>l</w:t>
      </w:r>
      <w:r>
        <w:rPr>
          <w:rFonts w:ascii="Arial"/>
          <w:color w:val="231F1F"/>
          <w:spacing w:val="-57"/>
          <w:w w:val="340"/>
          <w:position w:val="1"/>
          <w:sz w:val="7"/>
        </w:rPr>
        <w:t> </w:t>
      </w:r>
      <w:r>
        <w:rPr>
          <w:rFonts w:ascii="Calibri"/>
          <w:color w:val="008356"/>
          <w:spacing w:val="4"/>
          <w:w w:val="110"/>
          <w:sz w:val="11"/>
        </w:rPr>
        <w:t>ARTEMETHER</w:t>
      </w:r>
      <w:r>
        <w:rPr>
          <w:rFonts w:ascii="Calibri"/>
          <w:color w:val="008356"/>
          <w:spacing w:val="-16"/>
          <w:w w:val="110"/>
          <w:sz w:val="11"/>
        </w:rPr>
        <w:t> </w:t>
      </w:r>
      <w:r>
        <w:rPr>
          <w:rFonts w:ascii="Calibri"/>
          <w:color w:val="008356"/>
          <w:spacing w:val="3"/>
          <w:w w:val="110"/>
          <w:sz w:val="11"/>
        </w:rPr>
        <w:t>WITH</w:t>
      </w:r>
      <w:r>
        <w:rPr>
          <w:rFonts w:ascii="Calibri"/>
          <w:color w:val="008356"/>
          <w:spacing w:val="-16"/>
          <w:w w:val="110"/>
          <w:sz w:val="11"/>
        </w:rPr>
        <w:t> </w:t>
      </w:r>
      <w:r>
        <w:rPr>
          <w:rFonts w:ascii="Calibri"/>
          <w:color w:val="008356"/>
          <w:spacing w:val="4"/>
          <w:w w:val="110"/>
          <w:sz w:val="11"/>
        </w:rPr>
        <w:t>LUMEFANTRINE</w:t>
      </w:r>
      <w:r>
        <w:rPr>
          <w:rFonts w:ascii="Calibri"/>
          <w:color w:val="008356"/>
          <w:spacing w:val="-15"/>
          <w:w w:val="110"/>
          <w:sz w:val="11"/>
        </w:rPr>
        <w:t> </w:t>
      </w:r>
      <w:r>
        <w:rPr>
          <w:color w:val="231F1F"/>
          <w:w w:val="110"/>
          <w:sz w:val="12"/>
        </w:rPr>
        <w:t>and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Antipsychotics: </w:t>
      </w:r>
      <w:r>
        <w:rPr>
          <w:color w:val="231F1F"/>
          <w:w w:val="105"/>
        </w:rPr>
        <w:t>venlafaxine increases plasma concentration of</w:t>
      </w:r>
    </w:p>
    <w:p>
      <w:pPr>
        <w:spacing w:line="131" w:lineRule="exact" w:before="0"/>
        <w:ind w:left="208" w:right="0" w:firstLine="0"/>
        <w:jc w:val="left"/>
        <w:rPr>
          <w:rFonts w:ascii="Calibri"/>
          <w:sz w:val="11"/>
        </w:rPr>
      </w:pPr>
      <w:r>
        <w:rPr>
          <w:rFonts w:ascii="Calibri"/>
          <w:color w:val="008356"/>
          <w:sz w:val="11"/>
        </w:rPr>
        <w:t>HALOPERIDOL</w:t>
      </w:r>
    </w:p>
    <w:p>
      <w:pPr>
        <w:pStyle w:val="BodyText"/>
        <w:spacing w:line="220" w:lineRule="auto" w:before="3"/>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Atomoxetine: </w:t>
      </w:r>
      <w:r>
        <w:rPr>
          <w:color w:val="231F1F"/>
          <w:w w:val="105"/>
        </w:rPr>
        <w:t>possible increased risk of convulsions when antidepressants given with </w:t>
      </w:r>
      <w:r>
        <w:rPr>
          <w:rFonts w:ascii="Calibri" w:hAnsi="Calibri"/>
          <w:color w:val="008356"/>
          <w:w w:val="105"/>
          <w:sz w:val="11"/>
        </w:rPr>
        <w:t>ATOMOXETINE</w:t>
      </w:r>
    </w:p>
    <w:p>
      <w:pPr>
        <w:pStyle w:val="BodyText"/>
        <w:spacing w:line="244" w:lineRule="auto"/>
        <w:ind w:right="670" w:hanging="100"/>
      </w:pPr>
      <w:r>
        <w:rPr>
          <w:rFonts w:ascii="Arial"/>
          <w:color w:val="231F1F"/>
          <w:w w:val="355"/>
          <w:position w:val="1"/>
          <w:sz w:val="7"/>
        </w:rPr>
        <w:t>l </w:t>
      </w:r>
      <w:r>
        <w:rPr>
          <w:rFonts w:ascii="Calibri"/>
          <w:color w:val="231F1F"/>
          <w:w w:val="110"/>
        </w:rPr>
        <w:t>Dapoxetine: </w:t>
      </w:r>
      <w:r>
        <w:rPr>
          <w:color w:val="231F1F"/>
          <w:w w:val="110"/>
        </w:rPr>
        <w:t>possible increased risk of serotonergic effects when venlafaxine given with </w:t>
      </w:r>
      <w:r>
        <w:rPr>
          <w:rFonts w:ascii="Arial"/>
          <w:color w:val="231F1F"/>
          <w:w w:val="355"/>
          <w:position w:val="1"/>
          <w:sz w:val="7"/>
        </w:rPr>
        <w:t>l </w:t>
      </w:r>
      <w:r>
        <w:rPr>
          <w:rFonts w:ascii="Calibri"/>
          <w:color w:val="008356"/>
          <w:w w:val="110"/>
          <w:sz w:val="11"/>
        </w:rPr>
        <w:t>DAPOXETINE </w:t>
      </w:r>
      <w:r>
        <w:rPr>
          <w:color w:val="231F1F"/>
          <w:w w:val="110"/>
        </w:rPr>
        <w:t>(manufacturer of dapoxetine advises venlafaxine should not be started until 1 week after stopping dapoxetine, avoid dapoxetine for 2 weeks after stopping venlafaxine)</w:t>
      </w:r>
    </w:p>
    <w:p>
      <w:pPr>
        <w:pStyle w:val="BodyText"/>
        <w:spacing w:line="244" w:lineRule="auto"/>
        <w:ind w:right="670" w:hanging="100"/>
      </w:pPr>
      <w:r>
        <w:rPr>
          <w:rFonts w:ascii="Arial"/>
          <w:color w:val="231F1F"/>
          <w:w w:val="355"/>
          <w:position w:val="1"/>
          <w:sz w:val="7"/>
        </w:rPr>
        <w:t>l </w:t>
      </w:r>
      <w:r>
        <w:rPr>
          <w:rFonts w:ascii="Calibri"/>
          <w:color w:val="231F1F"/>
          <w:w w:val="110"/>
        </w:rPr>
        <w:t>Dopaminergics: </w:t>
      </w:r>
      <w:r>
        <w:rPr>
          <w:color w:val="231F1F"/>
          <w:w w:val="110"/>
        </w:rPr>
        <w:t>caution with venlafaxine advised by manufacturer of </w:t>
      </w:r>
      <w:r>
        <w:rPr>
          <w:rFonts w:ascii="Calibri"/>
          <w:color w:val="008356"/>
          <w:w w:val="110"/>
          <w:sz w:val="11"/>
        </w:rPr>
        <w:t>ENTACAPONE</w:t>
      </w:r>
      <w:r>
        <w:rPr>
          <w:color w:val="231F1F"/>
          <w:w w:val="110"/>
        </w:rPr>
        <w:t>; increased risk of hypertension and CNS excitation when venlafaxine given with </w:t>
      </w:r>
      <w:r>
        <w:rPr>
          <w:rFonts w:ascii="Arial"/>
          <w:color w:val="231F1F"/>
          <w:w w:val="355"/>
          <w:position w:val="1"/>
          <w:sz w:val="7"/>
        </w:rPr>
        <w:t>l </w:t>
      </w:r>
      <w:r>
        <w:rPr>
          <w:rFonts w:ascii="Calibri"/>
          <w:color w:val="008356"/>
          <w:w w:val="110"/>
          <w:sz w:val="11"/>
        </w:rPr>
        <w:t>SELEGILINE </w:t>
      </w:r>
      <w:r>
        <w:rPr>
          <w:color w:val="231F1F"/>
          <w:w w:val="110"/>
        </w:rPr>
        <w:t>(selegiline should not be started until 1 week after stopping venlafaxine, avoid venlafaxine for 2 weeks after stopping selegiline)</w:t>
      </w:r>
    </w:p>
    <w:p>
      <w:pPr>
        <w:pStyle w:val="BodyText"/>
        <w:spacing w:line="220" w:lineRule="auto" w:before="5"/>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1</w:t>
      </w:r>
      <w:r>
        <w:rPr>
          <w:rFonts w:ascii="Calibri" w:hAnsi="Calibri"/>
          <w:color w:val="231F1F"/>
          <w:w w:val="105"/>
          <w:vertAlign w:val="baseline"/>
        </w:rPr>
        <w:t>-receptor Agonists: </w:t>
      </w:r>
      <w:r>
        <w:rPr>
          <w:color w:val="231F1F"/>
          <w:w w:val="105"/>
          <w:vertAlign w:val="baseline"/>
        </w:rPr>
        <w:t>possible increased serotonergic effects </w:t>
      </w:r>
      <w:r>
        <w:rPr>
          <w:color w:val="231F1F"/>
          <w:w w:val="105"/>
          <w:position w:val="2"/>
          <w:vertAlign w:val="baseline"/>
        </w:rPr>
        <w:t>when venlafaxine given with </w:t>
      </w:r>
      <w:r>
        <w:rPr>
          <w:rFonts w:ascii="Calibri" w:hAnsi="Calibri"/>
          <w:color w:val="008356"/>
          <w:w w:val="105"/>
          <w:position w:val="2"/>
          <w:sz w:val="11"/>
          <w:vertAlign w:val="baseline"/>
        </w:rPr>
        <w:t>5HT</w:t>
      </w:r>
      <w:r>
        <w:rPr>
          <w:rFonts w:ascii="Calibri" w:hAnsi="Calibri"/>
          <w:color w:val="008356"/>
          <w:w w:val="105"/>
          <w:position w:val="2"/>
          <w:sz w:val="11"/>
          <w:vertAlign w:val="subscript"/>
        </w:rPr>
        <w:t>1</w:t>
      </w:r>
      <w:r>
        <w:rPr>
          <w:rFonts w:ascii="Calibri" w:hAnsi="Calibri"/>
          <w:color w:val="008356"/>
          <w:w w:val="105"/>
          <w:position w:val="2"/>
          <w:sz w:val="11"/>
          <w:vertAlign w:val="baseline"/>
        </w:rPr>
        <w:t> AGONISTS</w:t>
      </w:r>
    </w:p>
    <w:p>
      <w:pPr>
        <w:pStyle w:val="BodyText"/>
        <w:spacing w:line="131" w:lineRule="exact"/>
        <w:ind w:left="108"/>
      </w:pPr>
      <w:r>
        <w:rPr>
          <w:rFonts w:ascii="Lucida Sans Unicode" w:hAnsi="Lucida Sans Unicode"/>
          <w:color w:val="A7A8AC"/>
          <w:w w:val="95"/>
          <w:sz w:val="10"/>
        </w:rPr>
        <w:t>▶ </w:t>
      </w:r>
      <w:r>
        <w:rPr>
          <w:rFonts w:ascii="Calibri" w:hAnsi="Calibri"/>
          <w:color w:val="231F1F"/>
          <w:w w:val="105"/>
        </w:rPr>
        <w:t>5HT</w:t>
      </w:r>
      <w:r>
        <w:rPr>
          <w:rFonts w:ascii="Calibri" w:hAnsi="Calibri"/>
          <w:color w:val="231F1F"/>
          <w:w w:val="105"/>
          <w:vertAlign w:val="subscript"/>
        </w:rPr>
        <w:t>3</w:t>
      </w:r>
      <w:r>
        <w:rPr>
          <w:rFonts w:ascii="Calibri" w:hAnsi="Calibri"/>
          <w:color w:val="231F1F"/>
          <w:w w:val="105"/>
          <w:vertAlign w:val="baseline"/>
        </w:rPr>
        <w:t>-receptor Antagonists: </w:t>
      </w:r>
      <w:r>
        <w:rPr>
          <w:color w:val="231F1F"/>
          <w:w w:val="105"/>
          <w:vertAlign w:val="baseline"/>
        </w:rPr>
        <w:t>possible increased serotonergic</w:t>
      </w:r>
    </w:p>
    <w:p>
      <w:pPr>
        <w:spacing w:line="225" w:lineRule="auto" w:before="0"/>
        <w:ind w:left="208" w:right="670" w:firstLine="0"/>
        <w:jc w:val="left"/>
        <w:rPr>
          <w:rFonts w:ascii="Calibri"/>
          <w:sz w:val="11"/>
        </w:rPr>
      </w:pPr>
      <w:r>
        <w:rPr>
          <w:color w:val="231F1F"/>
          <w:w w:val="110"/>
          <w:position w:val="2"/>
          <w:sz w:val="12"/>
        </w:rPr>
        <w:t>effects when SSRI-related antidepressants given with </w:t>
      </w:r>
      <w:r>
        <w:rPr>
          <w:rFonts w:ascii="Calibri"/>
          <w:color w:val="008356"/>
          <w:w w:val="110"/>
          <w:position w:val="2"/>
          <w:sz w:val="11"/>
        </w:rPr>
        <w:t>5HT</w:t>
      </w:r>
      <w:r>
        <w:rPr>
          <w:rFonts w:ascii="Calibri"/>
          <w:color w:val="008356"/>
          <w:w w:val="110"/>
          <w:position w:val="2"/>
          <w:sz w:val="11"/>
          <w:vertAlign w:val="subscript"/>
        </w:rPr>
        <w:t>3</w:t>
      </w:r>
      <w:r>
        <w:rPr>
          <w:rFonts w:ascii="Calibri"/>
          <w:color w:val="008356"/>
          <w:w w:val="110"/>
          <w:position w:val="2"/>
          <w:sz w:val="11"/>
          <w:vertAlign w:val="baseline"/>
        </w:rPr>
        <w:t> </w:t>
      </w:r>
      <w:r>
        <w:rPr>
          <w:rFonts w:ascii="Calibri"/>
          <w:color w:val="008356"/>
          <w:w w:val="110"/>
          <w:sz w:val="11"/>
          <w:vertAlign w:val="baseline"/>
        </w:rPr>
        <w:t>ANTAGONISTS</w:t>
      </w:r>
    </w:p>
    <w:p>
      <w:pPr>
        <w:pStyle w:val="BodyText"/>
        <w:spacing w:line="220" w:lineRule="auto" w:before="7"/>
        <w:ind w:right="670" w:hanging="100"/>
        <w:rPr>
          <w:rFonts w:ascii="Calibri" w:hAnsi="Calibri"/>
          <w:sz w:val="11"/>
        </w:rPr>
      </w:pPr>
      <w:r>
        <w:rPr>
          <w:rFonts w:ascii="Lucida Sans Unicode" w:hAnsi="Lucida Sans Unicode"/>
          <w:color w:val="A7A8AC"/>
          <w:w w:val="95"/>
          <w:sz w:val="10"/>
        </w:rPr>
        <w:t>▶ </w:t>
      </w:r>
      <w:r>
        <w:rPr>
          <w:rFonts w:ascii="Calibri" w:hAnsi="Calibri"/>
          <w:color w:val="231F1F"/>
          <w:w w:val="110"/>
        </w:rPr>
        <w:t>Lithium: </w:t>
      </w:r>
      <w:r>
        <w:rPr>
          <w:color w:val="231F1F"/>
          <w:w w:val="110"/>
        </w:rPr>
        <w:t>possible increased serotonergic effects when venlafaxine given with </w:t>
      </w:r>
      <w:r>
        <w:rPr>
          <w:rFonts w:ascii="Calibri" w:hAnsi="Calibri"/>
          <w:color w:val="008356"/>
          <w:w w:val="110"/>
          <w:sz w:val="11"/>
        </w:rPr>
        <w:t>LITHIUM</w:t>
      </w:r>
    </w:p>
    <w:p>
      <w:pPr>
        <w:pStyle w:val="BodyText"/>
        <w:spacing w:line="244" w:lineRule="auto"/>
        <w:ind w:right="831" w:hanging="100"/>
      </w:pPr>
      <w:r>
        <w:rPr>
          <w:rFonts w:ascii="Arial" w:hAnsi="Arial"/>
          <w:color w:val="231F1F"/>
          <w:w w:val="355"/>
          <w:position w:val="1"/>
          <w:sz w:val="7"/>
        </w:rPr>
        <w:t>l </w:t>
      </w:r>
      <w:r>
        <w:rPr>
          <w:rFonts w:ascii="Calibri" w:hAnsi="Calibri"/>
          <w:color w:val="231F1F"/>
          <w:w w:val="110"/>
        </w:rPr>
        <w:t>Methylthioninium: </w:t>
      </w:r>
      <w:r>
        <w:rPr>
          <w:color w:val="231F1F"/>
          <w:w w:val="110"/>
        </w:rPr>
        <w:t>risk of CNS toxicity when SSRI-related antidepressants given with </w:t>
      </w:r>
      <w:r>
        <w:rPr>
          <w:rFonts w:ascii="Arial" w:hAnsi="Arial"/>
          <w:color w:val="231F1F"/>
          <w:w w:val="355"/>
          <w:position w:val="1"/>
          <w:sz w:val="7"/>
        </w:rPr>
        <w:t>l </w:t>
      </w:r>
      <w:r>
        <w:rPr>
          <w:rFonts w:ascii="Calibri" w:hAnsi="Calibri"/>
          <w:color w:val="008356"/>
          <w:spacing w:val="3"/>
          <w:w w:val="110"/>
          <w:sz w:val="11"/>
        </w:rPr>
        <w:t>METHYLTHIONINIUM</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w:t>
      </w:r>
      <w:r>
        <w:rPr>
          <w:color w:val="231F1F"/>
          <w:spacing w:val="-5"/>
          <w:w w:val="110"/>
        </w:rPr>
        <w:t>for </w:t>
      </w:r>
      <w:r>
        <w:rPr>
          <w:color w:val="231F1F"/>
          <w:w w:val="110"/>
        </w:rPr>
        <w:t>up to 4 hours after administration)</w:t>
      </w:r>
    </w:p>
    <w:p>
      <w:pPr>
        <w:pStyle w:val="BodyText"/>
        <w:spacing w:before="8"/>
        <w:ind w:left="108"/>
      </w:pPr>
      <w:r>
        <w:rPr>
          <w:rFonts w:ascii="Trebuchet MS"/>
          <w:color w:val="008356"/>
          <w:w w:val="110"/>
        </w:rPr>
        <w:t>Verapamil </w:t>
      </w:r>
      <w:r>
        <w:rPr>
          <w:i/>
          <w:color w:val="231F1F"/>
          <w:w w:val="110"/>
        </w:rPr>
        <w:t>see </w:t>
      </w:r>
      <w:r>
        <w:rPr>
          <w:color w:val="231F1F"/>
          <w:w w:val="110"/>
        </w:rPr>
        <w:t>Calcium-channel Blockers</w:t>
      </w:r>
    </w:p>
    <w:p>
      <w:pPr>
        <w:pStyle w:val="BodyText"/>
        <w:spacing w:before="10"/>
        <w:ind w:left="108"/>
        <w:rPr>
          <w:rFonts w:ascii="Trebuchet MS"/>
        </w:rPr>
      </w:pPr>
      <w:r>
        <w:rPr>
          <w:rFonts w:ascii="Trebuchet MS"/>
          <w:color w:val="008356"/>
        </w:rPr>
        <w:t>Vigabatrin</w:t>
      </w:r>
    </w:p>
    <w:p>
      <w:pPr>
        <w:spacing w:line="242" w:lineRule="auto" w:before="1"/>
        <w:ind w:left="208" w:right="670"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pStyle w:val="BodyText"/>
        <w:spacing w:line="147" w:lineRule="exact"/>
        <w:ind w:left="108"/>
      </w:pPr>
      <w:r>
        <w:rPr>
          <w:rFonts w:ascii="Lucida Sans Unicode" w:hAnsi="Lucida Sans Unicode"/>
          <w:color w:val="A7A8AC"/>
          <w:w w:val="95"/>
          <w:sz w:val="10"/>
        </w:rPr>
        <w:t>▶ </w:t>
      </w:r>
      <w:r>
        <w:rPr>
          <w:rFonts w:ascii="Calibri" w:hAnsi="Calibri"/>
          <w:color w:val="231F1F"/>
          <w:w w:val="105"/>
        </w:rPr>
        <w:t>Antiepileptics: </w:t>
      </w:r>
      <w:r>
        <w:rPr>
          <w:color w:val="231F1F"/>
          <w:w w:val="105"/>
        </w:rPr>
        <w:t>vigabatrin reduces plasma concentration of</w:t>
      </w:r>
    </w:p>
    <w:p>
      <w:pPr>
        <w:spacing w:line="134" w:lineRule="exact" w:before="0"/>
        <w:ind w:left="208" w:right="0" w:firstLine="0"/>
        <w:jc w:val="left"/>
        <w:rPr>
          <w:rFonts w:ascii="Calibri"/>
          <w:sz w:val="11"/>
        </w:rPr>
      </w:pPr>
      <w:r>
        <w:rPr>
          <w:rFonts w:ascii="Calibri"/>
          <w:color w:val="008356"/>
          <w:spacing w:val="4"/>
          <w:sz w:val="11"/>
        </w:rPr>
        <w:t>FOSPHENYTOIN  </w:t>
      </w:r>
      <w:r>
        <w:rPr>
          <w:color w:val="231F1F"/>
          <w:sz w:val="12"/>
        </w:rPr>
        <w:t>and</w:t>
      </w:r>
      <w:r>
        <w:rPr>
          <w:color w:val="231F1F"/>
          <w:spacing w:val="-5"/>
          <w:sz w:val="12"/>
        </w:rPr>
        <w:t> </w:t>
      </w:r>
      <w:r>
        <w:rPr>
          <w:rFonts w:ascii="Calibri"/>
          <w:color w:val="008356"/>
          <w:spacing w:val="4"/>
          <w:sz w:val="11"/>
        </w:rPr>
        <w:t>PHENYTOIN</w:t>
      </w:r>
    </w:p>
    <w:p>
      <w:pPr>
        <w:pStyle w:val="BodyText"/>
        <w:ind w:right="1222" w:hanging="100"/>
        <w:rPr>
          <w:rFonts w:ascii="Calibri"/>
          <w:sz w:val="11"/>
        </w:rPr>
      </w:pPr>
      <w:r>
        <w:rPr>
          <w:rFonts w:ascii="Arial"/>
          <w:color w:val="231F1F"/>
          <w:w w:val="355"/>
          <w:position w:val="1"/>
          <w:sz w:val="7"/>
        </w:rPr>
        <w:t>l</w:t>
      </w:r>
      <w:r>
        <w:rPr>
          <w:rFonts w:ascii="Arial"/>
          <w:color w:val="231F1F"/>
          <w:spacing w:val="-48"/>
          <w:w w:val="355"/>
          <w:position w:val="1"/>
          <w:sz w:val="7"/>
        </w:rPr>
        <w:t> </w:t>
      </w:r>
      <w:r>
        <w:rPr>
          <w:rFonts w:ascii="Calibri"/>
          <w:color w:val="231F1F"/>
          <w:w w:val="115"/>
        </w:rPr>
        <w:t>Antimalarials:</w:t>
      </w:r>
      <w:r>
        <w:rPr>
          <w:rFonts w:ascii="Calibri"/>
          <w:color w:val="231F1F"/>
          <w:spacing w:val="-15"/>
          <w:w w:val="115"/>
        </w:rPr>
        <w:t> </w:t>
      </w:r>
      <w:r>
        <w:rPr>
          <w:color w:val="231F1F"/>
          <w:w w:val="115"/>
        </w:rPr>
        <w:t>anticonvulsant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6"/>
          <w:w w:val="355"/>
          <w:position w:val="1"/>
          <w:sz w:val="7"/>
        </w:rPr>
        <w:t> </w:t>
      </w:r>
      <w:r>
        <w:rPr>
          <w:rFonts w:ascii="Calibri"/>
          <w:color w:val="008356"/>
          <w:spacing w:val="4"/>
          <w:w w:val="115"/>
          <w:sz w:val="11"/>
        </w:rPr>
        <w:t>MEFLOQUINE</w:t>
      </w:r>
    </w:p>
    <w:p>
      <w:pPr>
        <w:pStyle w:val="BodyText"/>
        <w:ind w:right="1040"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pStyle w:val="BodyText"/>
        <w:ind w:right="1156"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line="256" w:lineRule="auto" w:before="5"/>
        <w:ind w:left="108" w:right="1913"/>
        <w:rPr>
          <w:rFonts w:ascii="Trebuchet MS"/>
        </w:rPr>
      </w:pPr>
      <w:r>
        <w:rPr>
          <w:rFonts w:ascii="Trebuchet MS"/>
          <w:color w:val="008356"/>
          <w:w w:val="110"/>
        </w:rPr>
        <w:t>Vilanterol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Vildagliptin </w:t>
      </w:r>
      <w:r>
        <w:rPr>
          <w:i/>
          <w:color w:val="231F1F"/>
          <w:w w:val="110"/>
          <w:vertAlign w:val="baseline"/>
        </w:rPr>
        <w:t>see </w:t>
      </w:r>
      <w:r>
        <w:rPr>
          <w:color w:val="231F1F"/>
          <w:w w:val="110"/>
          <w:vertAlign w:val="baseline"/>
        </w:rPr>
        <w:t>Antidiabetics </w:t>
      </w:r>
      <w:r>
        <w:rPr>
          <w:rFonts w:ascii="Trebuchet MS"/>
          <w:color w:val="008356"/>
          <w:w w:val="110"/>
          <w:vertAlign w:val="baseline"/>
        </w:rPr>
        <w:t>Vinblastine</w:t>
      </w:r>
    </w:p>
    <w:p>
      <w:pPr>
        <w:pStyle w:val="BodyText"/>
        <w:spacing w:line="137" w:lineRule="exact"/>
        <w:ind w:left="108"/>
      </w:pPr>
      <w:r>
        <w:rPr>
          <w:rFonts w:ascii="Arial"/>
          <w:color w:val="231F1F"/>
          <w:w w:val="355"/>
          <w:position w:val="1"/>
          <w:sz w:val="7"/>
        </w:rPr>
        <w:t>l </w:t>
      </w:r>
      <w:r>
        <w:rPr>
          <w:rFonts w:ascii="Calibri"/>
          <w:color w:val="231F1F"/>
          <w:w w:val="115"/>
        </w:rPr>
        <w:t>Aldesleukin: </w:t>
      </w:r>
      <w:r>
        <w:rPr>
          <w:color w:val="231F1F"/>
          <w:w w:val="115"/>
        </w:rPr>
        <w:t>avoidance of vinblastine advised by manufacturer</w:t>
      </w:r>
    </w:p>
    <w:p>
      <w:pPr>
        <w:spacing w:line="140" w:lineRule="exact" w:before="0"/>
        <w:ind w:left="208" w:right="0" w:firstLine="0"/>
        <w:jc w:val="left"/>
        <w:rPr>
          <w:rFonts w:ascii="Calibri"/>
          <w:sz w:val="11"/>
        </w:rPr>
      </w:pPr>
      <w:r>
        <w:rPr>
          <w:color w:val="231F1F"/>
          <w:w w:val="115"/>
          <w:sz w:val="12"/>
        </w:rPr>
        <w:t>of </w:t>
      </w:r>
      <w:r>
        <w:rPr>
          <w:rFonts w:ascii="Arial"/>
          <w:color w:val="231F1F"/>
          <w:w w:val="355"/>
          <w:position w:val="1"/>
          <w:sz w:val="7"/>
        </w:rPr>
        <w:t>l </w:t>
      </w:r>
      <w:r>
        <w:rPr>
          <w:rFonts w:ascii="Calibri"/>
          <w:color w:val="008356"/>
          <w:spacing w:val="5"/>
          <w:w w:val="115"/>
          <w:sz w:val="11"/>
        </w:rPr>
        <w:t>ALDESLEUKIN</w:t>
      </w:r>
    </w:p>
    <w:p>
      <w:pPr>
        <w:pStyle w:val="BodyText"/>
        <w:spacing w:line="144" w:lineRule="exact"/>
        <w:ind w:left="108"/>
      </w:pPr>
      <w:r>
        <w:rPr>
          <w:rFonts w:ascii="Arial"/>
          <w:color w:val="231F1F"/>
          <w:w w:val="355"/>
          <w:position w:val="1"/>
          <w:sz w:val="7"/>
        </w:rPr>
        <w:t>l</w:t>
      </w:r>
      <w:r>
        <w:rPr>
          <w:rFonts w:ascii="Arial"/>
          <w:color w:val="231F1F"/>
          <w:spacing w:val="-58"/>
          <w:w w:val="355"/>
          <w:position w:val="1"/>
          <w:sz w:val="7"/>
        </w:rPr>
        <w:t> </w:t>
      </w:r>
      <w:r>
        <w:rPr>
          <w:rFonts w:ascii="Calibri"/>
          <w:color w:val="231F1F"/>
          <w:w w:val="115"/>
        </w:rPr>
        <w:t>Antibacterials: </w:t>
      </w:r>
      <w:r>
        <w:rPr>
          <w:color w:val="231F1F"/>
          <w:w w:val="115"/>
        </w:rPr>
        <w:t>toxicity of vinblastine increased by</w:t>
      </w:r>
    </w:p>
    <w:p>
      <w:pPr>
        <w:pStyle w:val="BodyText"/>
        <w:spacing w:line="252" w:lineRule="auto"/>
        <w:ind w:right="758"/>
        <w:rPr>
          <w:rFonts w:ascii="Calibri" w:hAnsi="Calibri"/>
          <w:sz w:val="11"/>
        </w:rPr>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008356"/>
          <w:spacing w:val="3"/>
          <w:w w:val="110"/>
          <w:sz w:val="11"/>
        </w:rPr>
        <w:t>ERYTHROMYCIN</w:t>
      </w:r>
      <w:r>
        <w:rPr>
          <w:rFonts w:ascii="Arial" w:hAnsi="Arial"/>
          <w:color w:val="231F1F"/>
          <w:spacing w:val="3"/>
          <w:w w:val="110"/>
        </w:rPr>
        <w:t>—</w:t>
      </w:r>
      <w:r>
        <w:rPr>
          <w:color w:val="231F1F"/>
          <w:spacing w:val="3"/>
          <w:w w:val="110"/>
        </w:rPr>
        <w:t>avoid</w:t>
      </w:r>
      <w:r>
        <w:rPr>
          <w:color w:val="231F1F"/>
          <w:spacing w:val="-8"/>
          <w:w w:val="110"/>
        </w:rPr>
        <w:t> </w:t>
      </w:r>
      <w:r>
        <w:rPr>
          <w:color w:val="231F1F"/>
          <w:w w:val="110"/>
        </w:rPr>
        <w:t>concomitant</w:t>
      </w:r>
      <w:r>
        <w:rPr>
          <w:color w:val="231F1F"/>
          <w:spacing w:val="-9"/>
          <w:w w:val="110"/>
        </w:rPr>
        <w:t> </w:t>
      </w:r>
      <w:r>
        <w:rPr>
          <w:color w:val="231F1F"/>
          <w:w w:val="110"/>
        </w:rPr>
        <w:t>use;</w:t>
      </w:r>
      <w:r>
        <w:rPr>
          <w:color w:val="231F1F"/>
          <w:spacing w:val="-9"/>
          <w:w w:val="110"/>
        </w:rPr>
        <w:t> </w:t>
      </w:r>
      <w:r>
        <w:rPr>
          <w:color w:val="231F1F"/>
          <w:w w:val="110"/>
        </w:rPr>
        <w:t>possible</w:t>
      </w:r>
      <w:r>
        <w:rPr>
          <w:color w:val="231F1F"/>
          <w:spacing w:val="-8"/>
          <w:w w:val="110"/>
        </w:rPr>
        <w:t> </w:t>
      </w:r>
      <w:r>
        <w:rPr>
          <w:color w:val="231F1F"/>
          <w:w w:val="110"/>
        </w:rPr>
        <w:t>increased risk of  ventricular arrhythmias when vinblastine given with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5"/>
          <w:w w:val="110"/>
          <w:sz w:val="11"/>
        </w:rPr>
        <w:t>DELAMANID</w:t>
      </w:r>
    </w:p>
    <w:p>
      <w:pPr>
        <w:pStyle w:val="BodyText"/>
        <w:spacing w:line="138" w:lineRule="exact"/>
        <w:ind w:left="108"/>
      </w:pPr>
      <w:r>
        <w:rPr>
          <w:rFonts w:ascii="Arial"/>
          <w:color w:val="231F1F"/>
          <w:w w:val="355"/>
          <w:position w:val="1"/>
          <w:sz w:val="7"/>
        </w:rPr>
        <w:t>l </w:t>
      </w:r>
      <w:r>
        <w:rPr>
          <w:rFonts w:ascii="Calibri"/>
          <w:color w:val="231F1F"/>
          <w:w w:val="115"/>
        </w:rPr>
        <w:t>Antifungals: </w:t>
      </w:r>
      <w:r>
        <w:rPr>
          <w:color w:val="231F1F"/>
          <w:w w:val="115"/>
        </w:rPr>
        <w:t>possible increased risk of vinblastine toxicity</w:t>
      </w:r>
    </w:p>
    <w:p>
      <w:pPr>
        <w:spacing w:line="242" w:lineRule="auto" w:before="0"/>
        <w:ind w:left="208" w:right="765" w:firstLine="0"/>
        <w:jc w:val="left"/>
        <w:rPr>
          <w:sz w:val="12"/>
        </w:rPr>
      </w:pPr>
      <w:r>
        <w:rPr>
          <w:color w:val="231F1F"/>
          <w:w w:val="110"/>
          <w:sz w:val="12"/>
        </w:rPr>
        <w:t>when given with </w:t>
      </w:r>
      <w:r>
        <w:rPr>
          <w:rFonts w:ascii="Arial"/>
          <w:color w:val="231F1F"/>
          <w:w w:val="355"/>
          <w:position w:val="1"/>
          <w:sz w:val="7"/>
        </w:rPr>
        <w:t>l</w:t>
      </w:r>
      <w:r>
        <w:rPr>
          <w:rFonts w:ascii="Arial"/>
          <w:color w:val="231F1F"/>
          <w:spacing w:val="-58"/>
          <w:w w:val="355"/>
          <w:position w:val="1"/>
          <w:sz w:val="7"/>
        </w:rPr>
        <w:t> </w:t>
      </w:r>
      <w:r>
        <w:rPr>
          <w:rFonts w:ascii="Calibri"/>
          <w:color w:val="008356"/>
          <w:spacing w:val="4"/>
          <w:w w:val="110"/>
          <w:sz w:val="11"/>
        </w:rPr>
        <w:t>ITRACONAZOLE</w:t>
      </w:r>
      <w:r>
        <w:rPr>
          <w:color w:val="231F1F"/>
          <w:spacing w:val="4"/>
          <w:w w:val="110"/>
          <w:sz w:val="12"/>
        </w:rPr>
        <w:t>; </w:t>
      </w:r>
      <w:r>
        <w:rPr>
          <w:color w:val="231F1F"/>
          <w:w w:val="110"/>
          <w:sz w:val="12"/>
        </w:rPr>
        <w:t>metabolism of vinblastine possibly inhibited by </w:t>
      </w:r>
      <w:r>
        <w:rPr>
          <w:rFonts w:ascii="Arial"/>
          <w:color w:val="231F1F"/>
          <w:w w:val="355"/>
          <w:position w:val="1"/>
          <w:sz w:val="7"/>
        </w:rPr>
        <w:t>l </w:t>
      </w:r>
      <w:r>
        <w:rPr>
          <w:rFonts w:ascii="Calibri"/>
          <w:color w:val="008356"/>
          <w:spacing w:val="4"/>
          <w:w w:val="110"/>
          <w:sz w:val="11"/>
        </w:rPr>
        <w:t>POSACONAZOLE </w:t>
      </w:r>
      <w:r>
        <w:rPr>
          <w:color w:val="231F1F"/>
          <w:w w:val="110"/>
          <w:sz w:val="12"/>
        </w:rPr>
        <w:t>(increased risk of neurotoxicity)</w:t>
      </w:r>
    </w:p>
    <w:p>
      <w:pPr>
        <w:spacing w:before="0"/>
        <w:ind w:left="208" w:right="673"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vinblastine advised </w:t>
      </w:r>
      <w:r>
        <w:rPr>
          <w:color w:val="231F1F"/>
          <w:spacing w:val="-7"/>
          <w:w w:val="110"/>
          <w:sz w:val="12"/>
        </w:rPr>
        <w:t>by </w:t>
      </w:r>
      <w:r>
        <w:rPr>
          <w:color w:val="231F1F"/>
          <w:w w:val="110"/>
          <w:sz w:val="12"/>
        </w:rPr>
        <w:t>manufacturer of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5"/>
          <w:w w:val="110"/>
          <w:sz w:val="11"/>
        </w:rPr>
        <w:t>PIPERAQUINE</w:t>
      </w:r>
    </w:p>
    <w:p>
      <w:pPr>
        <w:pStyle w:val="BodyText"/>
        <w:spacing w:line="143" w:lineRule="exact"/>
        <w:ind w:left="108"/>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08" w:right="0" w:firstLine="0"/>
        <w:jc w:val="left"/>
        <w:rPr>
          <w:sz w:val="12"/>
        </w:rPr>
      </w:pPr>
      <w:r>
        <w:rPr>
          <w:rFonts w:ascii="Arial"/>
          <w:color w:val="231F1F"/>
          <w:w w:val="355"/>
          <w:position w:val="1"/>
          <w:sz w:val="7"/>
        </w:rPr>
        <w:t>l </w:t>
      </w:r>
      <w:r>
        <w:rPr>
          <w:rFonts w:ascii="Calibri"/>
          <w:color w:val="008356"/>
          <w:w w:val="120"/>
          <w:sz w:val="11"/>
        </w:rPr>
        <w:t>CLOZAPINE </w:t>
      </w:r>
      <w:r>
        <w:rPr>
          <w:color w:val="231F1F"/>
          <w:w w:val="120"/>
          <w:sz w:val="12"/>
        </w:rPr>
        <w:t>(increased risk of agranulocytosis)</w:t>
      </w:r>
    </w:p>
    <w:p>
      <w:pPr>
        <w:pStyle w:val="BodyText"/>
        <w:spacing w:line="220" w:lineRule="auto" w:before="8"/>
        <w:ind w:right="870" w:hanging="100"/>
        <w:rPr>
          <w:rFonts w:ascii="Calibri" w:hAnsi="Calibri"/>
          <w:sz w:val="11"/>
        </w:rPr>
      </w:pPr>
      <w:r>
        <w:rPr>
          <w:rFonts w:ascii="Lucida Sans Unicode" w:hAnsi="Lucida Sans Unicode"/>
          <w:color w:val="A7A8AC"/>
          <w:w w:val="95"/>
          <w:sz w:val="10"/>
        </w:rPr>
        <w:t>▶ </w:t>
      </w:r>
      <w:r>
        <w:rPr>
          <w:rFonts w:ascii="Calibri" w:hAnsi="Calibri"/>
          <w:color w:val="231F1F"/>
          <w:w w:val="105"/>
        </w:rPr>
        <w:t>Antivirals: </w:t>
      </w:r>
      <w:r>
        <w:rPr>
          <w:color w:val="231F1F"/>
          <w:w w:val="105"/>
        </w:rPr>
        <w:t>plasma concentration of vinblastine possibly increased by </w:t>
      </w:r>
      <w:r>
        <w:rPr>
          <w:rFonts w:ascii="Calibri" w:hAnsi="Calibri"/>
          <w:color w:val="008356"/>
          <w:w w:val="105"/>
          <w:sz w:val="11"/>
        </w:rPr>
        <w:t>RITONAVIR</w:t>
      </w:r>
    </w:p>
    <w:p>
      <w:pPr>
        <w:spacing w:after="0" w:line="220" w:lineRule="auto"/>
        <w:rPr>
          <w:rFonts w:ascii="Calibri" w:hAnsi="Calibri"/>
          <w:sz w:val="11"/>
        </w:rPr>
        <w:sectPr>
          <w:pgSz w:w="8390" w:h="11910"/>
          <w:pgMar w:header="0" w:footer="0" w:top="460" w:bottom="0" w:left="480" w:right="0"/>
          <w:cols w:num="2" w:equalWidth="0">
            <w:col w:w="3600" w:space="76"/>
            <w:col w:w="4234"/>
          </w:cols>
        </w:sectPr>
      </w:pPr>
    </w:p>
    <w:p>
      <w:pPr>
        <w:pStyle w:val="BodyText"/>
        <w:spacing w:before="5"/>
        <w:ind w:left="0"/>
        <w:rPr>
          <w:rFonts w:ascii="Calibri"/>
          <w:sz w:val="14"/>
        </w:rPr>
      </w:pPr>
      <w:r>
        <w:rPr/>
        <w:pict>
          <v:rect style="position:absolute;margin-left:0pt;margin-top:30.840979pt;width:20.353299pt;height:149.443pt;mso-position-horizontal-relative:page;mso-position-vertical-relative:page;z-index:7024" filled="true" fillcolor="#bfdbcf" stroked="false">
            <v:fill type="solid"/>
            <w10:wrap type="none"/>
          </v:rect>
        </w:pict>
      </w:r>
      <w:r>
        <w:rPr/>
        <w:pict>
          <v:shape style="position:absolute;margin-left:7.751256pt;margin-top:35.804367pt;width:10.4pt;height:78.850pt;mso-position-horizontal-relative:page;mso-position-vertical-relative:page;z-index:7048"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p>
    <w:p>
      <w:pPr>
        <w:pStyle w:val="BodyText"/>
        <w:spacing w:line="139" w:lineRule="exact"/>
        <w:ind w:left="186"/>
        <w:rPr>
          <w:rFonts w:ascii="Trebuchet MS"/>
        </w:rPr>
      </w:pPr>
      <w:r>
        <w:rPr>
          <w:rFonts w:ascii="Trebuchet MS"/>
          <w:color w:val="008356"/>
        </w:rPr>
        <w:t>Vincristine</w:t>
      </w:r>
    </w:p>
    <w:p>
      <w:pPr>
        <w:pStyle w:val="BodyText"/>
        <w:ind w:left="286" w:right="437" w:hanging="100"/>
        <w:rPr>
          <w:rFonts w:ascii="Calibri"/>
          <w:sz w:val="11"/>
        </w:rPr>
      </w:pPr>
      <w:r>
        <w:rPr>
          <w:rFonts w:ascii="Arial"/>
          <w:color w:val="231F1F"/>
          <w:w w:val="355"/>
          <w:position w:val="1"/>
          <w:sz w:val="7"/>
        </w:rPr>
        <w:t>l </w:t>
      </w:r>
      <w:r>
        <w:rPr>
          <w:rFonts w:ascii="Calibri"/>
          <w:color w:val="231F1F"/>
          <w:w w:val="115"/>
        </w:rPr>
        <w:t>Antibacterials: </w:t>
      </w:r>
      <w:r>
        <w:rPr>
          <w:color w:val="231F1F"/>
          <w:w w:val="115"/>
        </w:rPr>
        <w:t>possible increased risk of ventricular arrhythmias</w:t>
      </w:r>
      <w:r>
        <w:rPr>
          <w:color w:val="231F1F"/>
          <w:spacing w:val="-20"/>
          <w:w w:val="115"/>
        </w:rPr>
        <w:t> </w:t>
      </w:r>
      <w:r>
        <w:rPr>
          <w:color w:val="231F1F"/>
          <w:w w:val="115"/>
        </w:rPr>
        <w:t>when</w:t>
      </w:r>
      <w:r>
        <w:rPr>
          <w:color w:val="231F1F"/>
          <w:spacing w:val="-19"/>
          <w:w w:val="115"/>
        </w:rPr>
        <w:t> </w:t>
      </w:r>
      <w:r>
        <w:rPr>
          <w:color w:val="231F1F"/>
          <w:w w:val="115"/>
        </w:rPr>
        <w:t>vincristine</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5"/>
          <w:w w:val="355"/>
          <w:position w:val="1"/>
          <w:sz w:val="7"/>
        </w:rPr>
        <w:t> </w:t>
      </w:r>
      <w:r>
        <w:rPr>
          <w:rFonts w:ascii="Calibri"/>
          <w:color w:val="008356"/>
          <w:spacing w:val="2"/>
          <w:w w:val="115"/>
          <w:sz w:val="11"/>
        </w:rPr>
        <w:t>DELAMANID</w:t>
      </w:r>
    </w:p>
    <w:p>
      <w:pPr>
        <w:pStyle w:val="BodyText"/>
        <w:ind w:left="286" w:right="10" w:hanging="100"/>
      </w:pPr>
      <w:r>
        <w:rPr>
          <w:rFonts w:ascii="Arial"/>
          <w:color w:val="231F1F"/>
          <w:w w:val="355"/>
          <w:position w:val="1"/>
          <w:sz w:val="7"/>
        </w:rPr>
        <w:t>l </w:t>
      </w:r>
      <w:r>
        <w:rPr>
          <w:rFonts w:ascii="Calibri"/>
          <w:color w:val="231F1F"/>
          <w:w w:val="110"/>
        </w:rPr>
        <w:t>Antifungals: </w:t>
      </w:r>
      <w:r>
        <w:rPr>
          <w:color w:val="231F1F"/>
          <w:w w:val="110"/>
        </w:rPr>
        <w:t>increased risk of vincristine toxicity when given with </w:t>
      </w:r>
      <w:r>
        <w:rPr>
          <w:rFonts w:ascii="Arial"/>
          <w:color w:val="231F1F"/>
          <w:w w:val="355"/>
          <w:position w:val="1"/>
          <w:sz w:val="7"/>
        </w:rPr>
        <w:t>l </w:t>
      </w:r>
      <w:r>
        <w:rPr>
          <w:rFonts w:ascii="Calibri"/>
          <w:color w:val="008356"/>
          <w:w w:val="110"/>
          <w:sz w:val="11"/>
        </w:rPr>
        <w:t>ITRACONAZOLE</w:t>
      </w:r>
      <w:r>
        <w:rPr>
          <w:color w:val="231F1F"/>
          <w:w w:val="110"/>
        </w:rPr>
        <w:t>; metabolism of vincristine possibly inhibited by </w:t>
      </w:r>
      <w:r>
        <w:rPr>
          <w:rFonts w:ascii="Arial"/>
          <w:color w:val="231F1F"/>
          <w:w w:val="355"/>
          <w:position w:val="1"/>
          <w:sz w:val="7"/>
        </w:rPr>
        <w:t>l </w:t>
      </w:r>
      <w:r>
        <w:rPr>
          <w:rFonts w:ascii="Calibri"/>
          <w:color w:val="008356"/>
          <w:w w:val="110"/>
          <w:sz w:val="11"/>
        </w:rPr>
        <w:t>POSACONAZOLE </w:t>
      </w:r>
      <w:r>
        <w:rPr>
          <w:color w:val="231F1F"/>
          <w:w w:val="110"/>
        </w:rPr>
        <w:t>(increased risk of neurotoxicity)</w:t>
      </w:r>
    </w:p>
    <w:p>
      <w:pPr>
        <w:spacing w:line="240" w:lineRule="auto" w:before="0"/>
        <w:ind w:left="286" w:right="402"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vincristine advised </w:t>
      </w:r>
      <w:r>
        <w:rPr>
          <w:color w:val="231F1F"/>
          <w:spacing w:val="-8"/>
          <w:w w:val="110"/>
          <w:sz w:val="12"/>
        </w:rPr>
        <w:t>by </w:t>
      </w:r>
      <w:r>
        <w:rPr>
          <w:color w:val="231F1F"/>
          <w:w w:val="110"/>
          <w:sz w:val="12"/>
        </w:rPr>
        <w:t>manufacturer of </w:t>
      </w:r>
      <w:r>
        <w:rPr>
          <w:rFonts w:ascii="Arial"/>
          <w:color w:val="231F1F"/>
          <w:w w:val="355"/>
          <w:position w:val="1"/>
          <w:sz w:val="7"/>
        </w:rPr>
        <w:t>l</w:t>
      </w:r>
      <w:r>
        <w:rPr>
          <w:rFonts w:ascii="Arial"/>
          <w:color w:val="231F1F"/>
          <w:spacing w:val="-55"/>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4"/>
          <w:w w:val="110"/>
          <w:sz w:val="11"/>
        </w:rPr>
        <w:t>PIPERAQUINE</w:t>
      </w:r>
    </w:p>
    <w:p>
      <w:pPr>
        <w:pStyle w:val="BodyText"/>
        <w:spacing w:line="143"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20" w:lineRule="auto" w:before="3"/>
        <w:ind w:left="286" w:hanging="100"/>
        <w:rPr>
          <w:rFonts w:ascii="Calibri" w:hAnsi="Calibri"/>
          <w:sz w:val="11"/>
        </w:rPr>
      </w:pPr>
      <w:r>
        <w:rPr>
          <w:rFonts w:ascii="Lucida Sans Unicode" w:hAnsi="Lucida Sans Unicode"/>
          <w:color w:val="A7A8AC"/>
          <w:w w:val="95"/>
          <w:sz w:val="10"/>
        </w:rPr>
        <w:t>▶ </w:t>
      </w:r>
      <w:r>
        <w:rPr>
          <w:rFonts w:ascii="Calibri" w:hAnsi="Calibri"/>
          <w:color w:val="231F1F"/>
        </w:rPr>
        <w:t>Calcium-channel Blockers: </w:t>
      </w:r>
      <w:r>
        <w:rPr>
          <w:color w:val="231F1F"/>
        </w:rPr>
        <w:t>metabolism of vincristine possibly inhibited by </w:t>
      </w:r>
      <w:r>
        <w:rPr>
          <w:rFonts w:ascii="Calibri" w:hAnsi="Calibri"/>
          <w:color w:val="008356"/>
          <w:sz w:val="11"/>
        </w:rPr>
        <w:t>NIFEDIPINE</w:t>
      </w:r>
    </w:p>
    <w:p>
      <w:pPr>
        <w:pStyle w:val="BodyText"/>
        <w:spacing w:line="152" w:lineRule="exact"/>
        <w:ind w:left="186"/>
      </w:pPr>
      <w:r>
        <w:rPr>
          <w:rFonts w:ascii="Lucida Sans Unicode" w:hAnsi="Lucida Sans Unicode"/>
          <w:color w:val="A7A8AC"/>
          <w:w w:val="95"/>
          <w:sz w:val="10"/>
        </w:rPr>
        <w:t>▶ </w:t>
      </w:r>
      <w:r>
        <w:rPr>
          <w:rFonts w:ascii="Calibri" w:hAnsi="Calibri"/>
          <w:color w:val="231F1F"/>
          <w:w w:val="105"/>
        </w:rPr>
        <w:t>Cardiac Glycosides: </w:t>
      </w:r>
      <w:r>
        <w:rPr>
          <w:color w:val="231F1F"/>
          <w:w w:val="105"/>
        </w:rPr>
        <w:t>vincristine possibly reduces absorption of</w:t>
      </w:r>
    </w:p>
    <w:p>
      <w:pPr>
        <w:spacing w:line="136" w:lineRule="exact" w:before="0"/>
        <w:ind w:left="286" w:right="0" w:firstLine="0"/>
        <w:jc w:val="left"/>
        <w:rPr>
          <w:i/>
          <w:sz w:val="12"/>
        </w:rPr>
      </w:pPr>
      <w:r>
        <w:rPr>
          <w:rFonts w:ascii="Calibri"/>
          <w:color w:val="008356"/>
          <w:w w:val="105"/>
          <w:sz w:val="11"/>
        </w:rPr>
        <w:t>DIGOXIN </w:t>
      </w:r>
      <w:r>
        <w:rPr>
          <w:i/>
          <w:color w:val="231F1F"/>
          <w:w w:val="105"/>
          <w:sz w:val="12"/>
        </w:rPr>
        <w:t>tablets</w:t>
      </w:r>
    </w:p>
    <w:p>
      <w:pPr>
        <w:pStyle w:val="BodyText"/>
        <w:spacing w:line="139" w:lineRule="exact" w:before="8"/>
        <w:ind w:left="186"/>
        <w:rPr>
          <w:rFonts w:ascii="Trebuchet MS"/>
        </w:rPr>
      </w:pPr>
      <w:r>
        <w:rPr>
          <w:rFonts w:ascii="Trebuchet MS"/>
          <w:color w:val="008356"/>
        </w:rPr>
        <w:t>Vindesine</w:t>
      </w:r>
    </w:p>
    <w:p>
      <w:pPr>
        <w:pStyle w:val="BodyText"/>
        <w:ind w:left="286" w:right="489" w:hanging="100"/>
        <w:rPr>
          <w:rFonts w:ascii="Calibri"/>
          <w:sz w:val="11"/>
        </w:rPr>
      </w:pPr>
      <w:r>
        <w:rPr>
          <w:rFonts w:ascii="Arial"/>
          <w:color w:val="231F1F"/>
          <w:w w:val="355"/>
          <w:position w:val="1"/>
          <w:sz w:val="7"/>
        </w:rPr>
        <w:t>l</w:t>
      </w:r>
      <w:r>
        <w:rPr>
          <w:rFonts w:ascii="Arial"/>
          <w:color w:val="231F1F"/>
          <w:spacing w:val="-44"/>
          <w:w w:val="355"/>
          <w:position w:val="1"/>
          <w:sz w:val="7"/>
        </w:rPr>
        <w:t> </w:t>
      </w:r>
      <w:r>
        <w:rPr>
          <w:rFonts w:ascii="Calibri"/>
          <w:color w:val="231F1F"/>
          <w:w w:val="115"/>
        </w:rPr>
        <w:t>Antibacterials:</w:t>
      </w:r>
      <w:r>
        <w:rPr>
          <w:rFonts w:ascii="Calibri"/>
          <w:color w:val="231F1F"/>
          <w:spacing w:val="-12"/>
          <w:w w:val="115"/>
        </w:rPr>
        <w:t> </w:t>
      </w:r>
      <w:r>
        <w:rPr>
          <w:color w:val="231F1F"/>
          <w:w w:val="115"/>
        </w:rPr>
        <w:t>possible</w:t>
      </w:r>
      <w:r>
        <w:rPr>
          <w:color w:val="231F1F"/>
          <w:spacing w:val="-15"/>
          <w:w w:val="115"/>
        </w:rPr>
        <w:t> </w:t>
      </w:r>
      <w:r>
        <w:rPr>
          <w:color w:val="231F1F"/>
          <w:w w:val="115"/>
        </w:rPr>
        <w:t>increased</w:t>
      </w:r>
      <w:r>
        <w:rPr>
          <w:color w:val="231F1F"/>
          <w:spacing w:val="-15"/>
          <w:w w:val="115"/>
        </w:rPr>
        <w:t> </w:t>
      </w:r>
      <w:r>
        <w:rPr>
          <w:color w:val="231F1F"/>
          <w:w w:val="115"/>
        </w:rPr>
        <w:t>risk</w:t>
      </w:r>
      <w:r>
        <w:rPr>
          <w:color w:val="231F1F"/>
          <w:spacing w:val="-15"/>
          <w:w w:val="115"/>
        </w:rPr>
        <w:t> </w:t>
      </w:r>
      <w:r>
        <w:rPr>
          <w:color w:val="231F1F"/>
          <w:w w:val="115"/>
        </w:rPr>
        <w:t>of</w:t>
      </w:r>
      <w:r>
        <w:rPr>
          <w:color w:val="231F1F"/>
          <w:spacing w:val="-14"/>
          <w:w w:val="115"/>
        </w:rPr>
        <w:t> </w:t>
      </w:r>
      <w:r>
        <w:rPr>
          <w:color w:val="231F1F"/>
          <w:w w:val="115"/>
        </w:rPr>
        <w:t>ventricular arrhythmias</w:t>
      </w:r>
      <w:r>
        <w:rPr>
          <w:color w:val="231F1F"/>
          <w:spacing w:val="-21"/>
          <w:w w:val="115"/>
        </w:rPr>
        <w:t> </w:t>
      </w:r>
      <w:r>
        <w:rPr>
          <w:color w:val="231F1F"/>
          <w:w w:val="115"/>
        </w:rPr>
        <w:t>when</w:t>
      </w:r>
      <w:r>
        <w:rPr>
          <w:color w:val="231F1F"/>
          <w:spacing w:val="-20"/>
          <w:w w:val="115"/>
        </w:rPr>
        <w:t> </w:t>
      </w:r>
      <w:r>
        <w:rPr>
          <w:color w:val="231F1F"/>
          <w:w w:val="115"/>
        </w:rPr>
        <w:t>vindesine</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15"/>
          <w:sz w:val="11"/>
        </w:rPr>
        <w:t>DELAMANID</w:t>
      </w:r>
    </w:p>
    <w:p>
      <w:pPr>
        <w:pStyle w:val="BodyText"/>
        <w:spacing w:line="237" w:lineRule="auto"/>
        <w:ind w:left="286" w:right="22" w:hanging="100"/>
        <w:rPr>
          <w:rFonts w:ascii="Calibri"/>
          <w:sz w:val="11"/>
        </w:rPr>
      </w:pPr>
      <w:r>
        <w:rPr>
          <w:rFonts w:ascii="Arial"/>
          <w:color w:val="231F1F"/>
          <w:w w:val="355"/>
          <w:position w:val="1"/>
          <w:sz w:val="7"/>
        </w:rPr>
        <w:t>l </w:t>
      </w:r>
      <w:r>
        <w:rPr>
          <w:rFonts w:ascii="Calibri"/>
          <w:color w:val="231F1F"/>
          <w:w w:val="110"/>
        </w:rPr>
        <w:t>Antifungals: </w:t>
      </w:r>
      <w:r>
        <w:rPr>
          <w:color w:val="231F1F"/>
          <w:w w:val="110"/>
        </w:rPr>
        <w:t>possible increased risk of vindesine toxicity </w:t>
      </w:r>
      <w:r>
        <w:rPr>
          <w:color w:val="231F1F"/>
          <w:spacing w:val="-4"/>
          <w:w w:val="110"/>
        </w:rPr>
        <w:t>when </w:t>
      </w:r>
      <w:r>
        <w:rPr>
          <w:color w:val="231F1F"/>
          <w:w w:val="110"/>
        </w:rPr>
        <w:t>given with </w:t>
      </w:r>
      <w:r>
        <w:rPr>
          <w:rFonts w:ascii="Arial"/>
          <w:color w:val="231F1F"/>
          <w:w w:val="355"/>
          <w:position w:val="1"/>
          <w:sz w:val="7"/>
        </w:rPr>
        <w:t>l </w:t>
      </w:r>
      <w:r>
        <w:rPr>
          <w:rFonts w:ascii="Calibri"/>
          <w:color w:val="008356"/>
          <w:spacing w:val="4"/>
          <w:w w:val="110"/>
          <w:sz w:val="11"/>
        </w:rPr>
        <w:t>ITRACONAZOLE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before="5"/>
        <w:ind w:left="186"/>
        <w:rPr>
          <w:rFonts w:ascii="Trebuchet MS"/>
        </w:rPr>
      </w:pPr>
      <w:r>
        <w:rPr>
          <w:rFonts w:ascii="Trebuchet MS"/>
          <w:color w:val="008356"/>
        </w:rPr>
        <w:t>Vinflunine</w:t>
      </w:r>
    </w:p>
    <w:p>
      <w:pPr>
        <w:pStyle w:val="BodyText"/>
        <w:spacing w:line="244" w:lineRule="auto"/>
        <w:ind w:left="286" w:right="40" w:hanging="100"/>
        <w:rPr>
          <w:rFonts w:ascii="Calibri" w:hAnsi="Calibri"/>
          <w:sz w:val="11"/>
        </w:rPr>
      </w:pPr>
      <w:r>
        <w:rPr>
          <w:rFonts w:ascii="Arial" w:hAnsi="Arial"/>
          <w:color w:val="231F1F"/>
          <w:w w:val="355"/>
          <w:position w:val="1"/>
          <w:sz w:val="7"/>
        </w:rPr>
        <w:t>l </w:t>
      </w:r>
      <w:r>
        <w:rPr>
          <w:rFonts w:ascii="Calibri" w:hAnsi="Calibri"/>
          <w:color w:val="231F1F"/>
          <w:w w:val="115"/>
        </w:rPr>
        <w:t>Antibacterials: </w:t>
      </w:r>
      <w:r>
        <w:rPr>
          <w:color w:val="231F1F"/>
          <w:w w:val="115"/>
        </w:rPr>
        <w:t>plasma concentration of vinflunine possibly reduced</w:t>
      </w:r>
      <w:r>
        <w:rPr>
          <w:color w:val="231F1F"/>
          <w:spacing w:val="-21"/>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Calibri" w:hAnsi="Calibri"/>
          <w:color w:val="008356"/>
          <w:w w:val="115"/>
          <w:sz w:val="11"/>
        </w:rPr>
        <w:t>RIFAMPICIN</w:t>
      </w:r>
      <w:r>
        <w:rPr>
          <w:rFonts w:ascii="Arial" w:hAnsi="Arial"/>
          <w:color w:val="231F1F"/>
          <w:w w:val="115"/>
        </w:rPr>
        <w:t>—</w:t>
      </w:r>
      <w:r>
        <w:rPr>
          <w:color w:val="231F1F"/>
          <w:w w:val="115"/>
        </w:rPr>
        <w:t>manufacturer</w:t>
      </w:r>
      <w:r>
        <w:rPr>
          <w:color w:val="231F1F"/>
          <w:spacing w:val="-20"/>
          <w:w w:val="115"/>
        </w:rPr>
        <w:t> </w:t>
      </w:r>
      <w:r>
        <w:rPr>
          <w:color w:val="231F1F"/>
          <w:w w:val="115"/>
        </w:rPr>
        <w:t>of</w:t>
      </w:r>
      <w:r>
        <w:rPr>
          <w:color w:val="231F1F"/>
          <w:spacing w:val="-21"/>
          <w:w w:val="115"/>
        </w:rPr>
        <w:t> </w:t>
      </w:r>
      <w:r>
        <w:rPr>
          <w:color w:val="231F1F"/>
          <w:w w:val="115"/>
        </w:rPr>
        <w:t>vinflunine</w:t>
      </w:r>
      <w:r>
        <w:rPr>
          <w:color w:val="231F1F"/>
          <w:spacing w:val="-20"/>
          <w:w w:val="115"/>
        </w:rPr>
        <w:t> </w:t>
      </w:r>
      <w:r>
        <w:rPr>
          <w:color w:val="231F1F"/>
          <w:w w:val="115"/>
        </w:rPr>
        <w:t>advises avoid concomitant use; increased risk of ventricular arrhythmias</w:t>
      </w:r>
      <w:r>
        <w:rPr>
          <w:color w:val="231F1F"/>
          <w:spacing w:val="-11"/>
          <w:w w:val="115"/>
        </w:rPr>
        <w:t> </w:t>
      </w:r>
      <w:r>
        <w:rPr>
          <w:color w:val="231F1F"/>
          <w:w w:val="115"/>
        </w:rPr>
        <w:t>when</w:t>
      </w:r>
      <w:r>
        <w:rPr>
          <w:color w:val="231F1F"/>
          <w:spacing w:val="-9"/>
          <w:w w:val="115"/>
        </w:rPr>
        <w:t> </w:t>
      </w:r>
      <w:r>
        <w:rPr>
          <w:color w:val="231F1F"/>
          <w:w w:val="115"/>
        </w:rPr>
        <w:t>vinflunine</w:t>
      </w:r>
      <w:r>
        <w:rPr>
          <w:color w:val="231F1F"/>
          <w:spacing w:val="-9"/>
          <w:w w:val="115"/>
        </w:rPr>
        <w:t> </w:t>
      </w:r>
      <w:r>
        <w:rPr>
          <w:color w:val="231F1F"/>
          <w:w w:val="115"/>
        </w:rPr>
        <w:t>given</w:t>
      </w:r>
      <w:r>
        <w:rPr>
          <w:color w:val="231F1F"/>
          <w:spacing w:val="-10"/>
          <w:w w:val="115"/>
        </w:rPr>
        <w:t> </w:t>
      </w:r>
      <w:r>
        <w:rPr>
          <w:color w:val="231F1F"/>
          <w:w w:val="115"/>
        </w:rPr>
        <w:t>with</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Calibri" w:hAnsi="Calibri"/>
          <w:color w:val="008356"/>
          <w:spacing w:val="5"/>
          <w:w w:val="115"/>
          <w:sz w:val="11"/>
        </w:rPr>
        <w:t>DELAMANID</w:t>
      </w:r>
    </w:p>
    <w:p>
      <w:pPr>
        <w:pStyle w:val="BodyText"/>
        <w:spacing w:line="138" w:lineRule="exact"/>
        <w:ind w:left="186"/>
      </w:pPr>
      <w:r>
        <w:rPr>
          <w:rFonts w:ascii="Arial"/>
          <w:color w:val="231F1F"/>
          <w:w w:val="355"/>
          <w:position w:val="1"/>
          <w:sz w:val="7"/>
        </w:rPr>
        <w:t>l </w:t>
      </w:r>
      <w:r>
        <w:rPr>
          <w:rFonts w:ascii="Calibri"/>
          <w:color w:val="231F1F"/>
          <w:w w:val="110"/>
        </w:rPr>
        <w:t>Antidepressants: </w:t>
      </w:r>
      <w:r>
        <w:rPr>
          <w:color w:val="231F1F"/>
          <w:w w:val="110"/>
        </w:rPr>
        <w:t>plasma concentration of vinflunine possibly</w:t>
      </w:r>
    </w:p>
    <w:p>
      <w:pPr>
        <w:pStyle w:val="BodyText"/>
        <w:ind w:left="286" w:right="242"/>
      </w:pPr>
      <w:r>
        <w:rPr>
          <w:color w:val="231F1F"/>
          <w:w w:val="115"/>
        </w:rPr>
        <w:t>reduced</w:t>
      </w:r>
      <w:r>
        <w:rPr>
          <w:color w:val="231F1F"/>
          <w:spacing w:val="-21"/>
          <w:w w:val="115"/>
        </w:rPr>
        <w:t> </w:t>
      </w:r>
      <w:r>
        <w:rPr>
          <w:color w:val="231F1F"/>
          <w:w w:val="115"/>
        </w:rPr>
        <w:t>by</w:t>
      </w:r>
      <w:r>
        <w:rPr>
          <w:color w:val="231F1F"/>
          <w:spacing w:val="-20"/>
          <w:w w:val="115"/>
        </w:rPr>
        <w:t> </w:t>
      </w:r>
      <w:r>
        <w:rPr>
          <w:rFonts w:ascii="Arial" w:hAnsi="Arial"/>
          <w:color w:val="231F1F"/>
          <w:w w:val="115"/>
          <w:position w:val="1"/>
          <w:sz w:val="7"/>
        </w:rPr>
        <w:t>l</w:t>
      </w:r>
      <w:r>
        <w:rPr>
          <w:rFonts w:ascii="Arial" w:hAnsi="Arial"/>
          <w:color w:val="231F1F"/>
          <w:spacing w:val="-9"/>
          <w:w w:val="115"/>
          <w:position w:val="1"/>
          <w:sz w:val="7"/>
        </w:rPr>
        <w:t> </w:t>
      </w:r>
      <w:r>
        <w:rPr>
          <w:rFonts w:ascii="Calibri" w:hAnsi="Calibri"/>
          <w:color w:val="008356"/>
          <w:spacing w:val="2"/>
          <w:w w:val="115"/>
          <w:sz w:val="11"/>
        </w:rPr>
        <w:t>ST</w:t>
      </w:r>
      <w:r>
        <w:rPr>
          <w:rFonts w:ascii="Calibri" w:hAnsi="Calibri"/>
          <w:color w:val="008356"/>
          <w:spacing w:val="-16"/>
          <w:w w:val="115"/>
          <w:sz w:val="11"/>
        </w:rPr>
        <w:t> </w:t>
      </w:r>
      <w:r>
        <w:rPr>
          <w:rFonts w:ascii="Calibri" w:hAnsi="Calibri"/>
          <w:color w:val="008356"/>
          <w:spacing w:val="4"/>
          <w:w w:val="115"/>
          <w:sz w:val="11"/>
        </w:rPr>
        <w:t>JOHN</w:t>
      </w:r>
      <w:r>
        <w:rPr>
          <w:rFonts w:ascii="Arial" w:hAnsi="Arial"/>
          <w:color w:val="008356"/>
          <w:spacing w:val="4"/>
          <w:w w:val="115"/>
          <w:sz w:val="11"/>
        </w:rPr>
        <w:t>’</w:t>
      </w:r>
      <w:r>
        <w:rPr>
          <w:rFonts w:ascii="Calibri" w:hAnsi="Calibri"/>
          <w:color w:val="008356"/>
          <w:spacing w:val="4"/>
          <w:w w:val="115"/>
          <w:sz w:val="11"/>
        </w:rPr>
        <w:t>S</w:t>
      </w:r>
      <w:r>
        <w:rPr>
          <w:rFonts w:ascii="Calibri" w:hAnsi="Calibri"/>
          <w:color w:val="008356"/>
          <w:spacing w:val="-14"/>
          <w:w w:val="115"/>
          <w:sz w:val="11"/>
        </w:rPr>
        <w:t> </w:t>
      </w:r>
      <w:r>
        <w:rPr>
          <w:rFonts w:ascii="Calibri" w:hAnsi="Calibri"/>
          <w:color w:val="008356"/>
          <w:w w:val="115"/>
          <w:sz w:val="11"/>
        </w:rPr>
        <w:t>WORT</w:t>
      </w:r>
      <w:r>
        <w:rPr>
          <w:rFonts w:ascii="Arial" w:hAnsi="Arial"/>
          <w:color w:val="231F1F"/>
          <w:w w:val="115"/>
        </w:rPr>
        <w:t>—</w:t>
      </w:r>
      <w:r>
        <w:rPr>
          <w:color w:val="231F1F"/>
          <w:w w:val="115"/>
        </w:rPr>
        <w:t>manufacturer</w:t>
      </w:r>
      <w:r>
        <w:rPr>
          <w:color w:val="231F1F"/>
          <w:spacing w:val="-20"/>
          <w:w w:val="115"/>
        </w:rPr>
        <w:t> </w:t>
      </w:r>
      <w:r>
        <w:rPr>
          <w:color w:val="231F1F"/>
          <w:w w:val="115"/>
        </w:rPr>
        <w:t>of</w:t>
      </w:r>
      <w:r>
        <w:rPr>
          <w:color w:val="231F1F"/>
          <w:spacing w:val="-20"/>
          <w:w w:val="115"/>
        </w:rPr>
        <w:t> </w:t>
      </w:r>
      <w:r>
        <w:rPr>
          <w:color w:val="231F1F"/>
          <w:w w:val="115"/>
        </w:rPr>
        <w:t>vinflunine </w:t>
      </w:r>
      <w:r>
        <w:rPr>
          <w:color w:val="231F1F"/>
          <w:w w:val="120"/>
        </w:rPr>
        <w:t>advises avoid concomitant</w:t>
      </w:r>
      <w:r>
        <w:rPr>
          <w:color w:val="231F1F"/>
          <w:spacing w:val="-22"/>
          <w:w w:val="120"/>
        </w:rPr>
        <w:t> </w:t>
      </w:r>
      <w:r>
        <w:rPr>
          <w:color w:val="231F1F"/>
          <w:w w:val="120"/>
        </w:rPr>
        <w:t>use</w:t>
      </w:r>
    </w:p>
    <w:p>
      <w:pPr>
        <w:pStyle w:val="BodyText"/>
        <w:spacing w:line="244" w:lineRule="auto" w:before="3"/>
        <w:ind w:left="286" w:right="89" w:hanging="100"/>
        <w:rPr>
          <w:rFonts w:ascii="Calibri" w:hAnsi="Calibri"/>
          <w:sz w:val="11"/>
        </w:rPr>
      </w:pP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231F1F"/>
          <w:w w:val="115"/>
        </w:rPr>
        <w:t>Antifungals:</w:t>
      </w:r>
      <w:r>
        <w:rPr>
          <w:rFonts w:ascii="Calibri" w:hAnsi="Calibri"/>
          <w:color w:val="231F1F"/>
          <w:spacing w:val="-10"/>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2"/>
          <w:w w:val="115"/>
        </w:rPr>
        <w:t> </w:t>
      </w:r>
      <w:r>
        <w:rPr>
          <w:color w:val="231F1F"/>
          <w:w w:val="115"/>
        </w:rPr>
        <w:t>vinflunine</w:t>
      </w:r>
      <w:r>
        <w:rPr>
          <w:color w:val="231F1F"/>
          <w:spacing w:val="-14"/>
          <w:w w:val="115"/>
        </w:rPr>
        <w:t> </w:t>
      </w:r>
      <w:r>
        <w:rPr>
          <w:color w:val="231F1F"/>
          <w:w w:val="115"/>
        </w:rPr>
        <w:t>increased</w:t>
      </w:r>
      <w:r>
        <w:rPr>
          <w:color w:val="231F1F"/>
          <w:spacing w:val="-14"/>
          <w:w w:val="115"/>
        </w:rPr>
        <w:t> </w:t>
      </w:r>
      <w:r>
        <w:rPr>
          <w:color w:val="231F1F"/>
          <w:spacing w:val="-8"/>
          <w:w w:val="115"/>
        </w:rPr>
        <w:t>by </w:t>
      </w:r>
      <w:r>
        <w:rPr>
          <w:rFonts w:ascii="Arial" w:hAnsi="Arial"/>
          <w:color w:val="231F1F"/>
          <w:w w:val="200"/>
          <w:position w:val="1"/>
          <w:sz w:val="7"/>
        </w:rPr>
        <w:t>l</w:t>
      </w:r>
      <w:r>
        <w:rPr>
          <w:rFonts w:ascii="Arial" w:hAnsi="Arial"/>
          <w:color w:val="231F1F"/>
          <w:spacing w:val="-30"/>
          <w:w w:val="200"/>
          <w:position w:val="1"/>
          <w:sz w:val="7"/>
        </w:rPr>
        <w:t> </w:t>
      </w:r>
      <w:r>
        <w:rPr>
          <w:rFonts w:ascii="Calibri" w:hAnsi="Calibri"/>
          <w:color w:val="008356"/>
          <w:spacing w:val="2"/>
          <w:w w:val="115"/>
          <w:sz w:val="11"/>
        </w:rPr>
        <w:t>KETOCONAZOLE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vinflunine</w:t>
      </w:r>
      <w:r>
        <w:rPr>
          <w:color w:val="231F1F"/>
          <w:spacing w:val="-24"/>
          <w:w w:val="115"/>
        </w:rPr>
        <w:t> </w:t>
      </w:r>
      <w:r>
        <w:rPr>
          <w:color w:val="231F1F"/>
          <w:w w:val="115"/>
        </w:rPr>
        <w:t>advises</w:t>
      </w:r>
      <w:r>
        <w:rPr>
          <w:color w:val="231F1F"/>
          <w:spacing w:val="-25"/>
          <w:w w:val="115"/>
        </w:rPr>
        <w:t> </w:t>
      </w:r>
      <w:r>
        <w:rPr>
          <w:color w:val="231F1F"/>
          <w:w w:val="115"/>
        </w:rPr>
        <w:t>avoid concomitant use; possible increased risk of vinflunine toxicity</w:t>
      </w:r>
      <w:r>
        <w:rPr>
          <w:color w:val="231F1F"/>
          <w:spacing w:val="-7"/>
          <w:w w:val="115"/>
        </w:rPr>
        <w:t> </w:t>
      </w:r>
      <w:r>
        <w:rPr>
          <w:color w:val="231F1F"/>
          <w:w w:val="115"/>
        </w:rPr>
        <w:t>when</w:t>
      </w:r>
      <w:r>
        <w:rPr>
          <w:color w:val="231F1F"/>
          <w:spacing w:val="-8"/>
          <w:w w:val="115"/>
        </w:rPr>
        <w:t> </w:t>
      </w:r>
      <w:r>
        <w:rPr>
          <w:color w:val="231F1F"/>
          <w:w w:val="115"/>
        </w:rPr>
        <w:t>given</w:t>
      </w:r>
      <w:r>
        <w:rPr>
          <w:color w:val="231F1F"/>
          <w:spacing w:val="-7"/>
          <w:w w:val="115"/>
        </w:rPr>
        <w:t> </w:t>
      </w:r>
      <w:r>
        <w:rPr>
          <w:color w:val="231F1F"/>
          <w:w w:val="115"/>
        </w:rPr>
        <w:t>with</w:t>
      </w:r>
      <w:r>
        <w:rPr>
          <w:color w:val="231F1F"/>
          <w:spacing w:val="-6"/>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Calibri" w:hAnsi="Calibri"/>
          <w:color w:val="008356"/>
          <w:spacing w:val="4"/>
          <w:w w:val="115"/>
          <w:sz w:val="11"/>
        </w:rPr>
        <w:t>ITRACONAZOLE</w:t>
      </w:r>
    </w:p>
    <w:p>
      <w:pPr>
        <w:pStyle w:val="BodyText"/>
        <w:spacing w:line="139" w:lineRule="exact"/>
        <w:ind w:left="186"/>
      </w:pPr>
      <w:r>
        <w:rPr>
          <w:rFonts w:ascii="Arial"/>
          <w:color w:val="231F1F"/>
          <w:w w:val="355"/>
          <w:position w:val="1"/>
          <w:sz w:val="7"/>
        </w:rPr>
        <w:t>l </w:t>
      </w:r>
      <w:r>
        <w:rPr>
          <w:rFonts w:ascii="Calibri"/>
          <w:color w:val="231F1F"/>
          <w:w w:val="115"/>
        </w:rPr>
        <w:t>Antimalarials: </w:t>
      </w:r>
      <w:r>
        <w:rPr>
          <w:color w:val="231F1F"/>
          <w:w w:val="115"/>
        </w:rPr>
        <w:t>avoidance of vinflunine advised by</w:t>
      </w:r>
    </w:p>
    <w:p>
      <w:pPr>
        <w:spacing w:line="140" w:lineRule="exact" w:before="0"/>
        <w:ind w:left="286" w:right="0" w:firstLine="0"/>
        <w:jc w:val="left"/>
        <w:rPr>
          <w:rFonts w:ascii="Calibri"/>
          <w:sz w:val="11"/>
        </w:rPr>
      </w:pPr>
      <w:r>
        <w:rPr>
          <w:color w:val="231F1F"/>
          <w:w w:val="110"/>
          <w:sz w:val="12"/>
        </w:rPr>
        <w:t>manufacturer of </w:t>
      </w:r>
      <w:r>
        <w:rPr>
          <w:rFonts w:ascii="Arial"/>
          <w:color w:val="231F1F"/>
          <w:w w:val="355"/>
          <w:position w:val="1"/>
          <w:sz w:val="7"/>
        </w:rPr>
        <w:t>l </w:t>
      </w:r>
      <w:r>
        <w:rPr>
          <w:rFonts w:ascii="Calibri"/>
          <w:color w:val="008356"/>
          <w:w w:val="110"/>
          <w:sz w:val="11"/>
        </w:rPr>
        <w:t>ARTENIMOL WITH PIPERAQUINE</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0"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ind w:left="286" w:right="2" w:hanging="100"/>
      </w:pPr>
      <w:r>
        <w:rPr>
          <w:rFonts w:ascii="Arial" w:hAnsi="Arial"/>
          <w:color w:val="231F1F"/>
          <w:w w:val="355"/>
          <w:position w:val="1"/>
          <w:sz w:val="7"/>
        </w:rPr>
        <w:t>l </w:t>
      </w:r>
      <w:r>
        <w:rPr>
          <w:rFonts w:ascii="Calibri" w:hAnsi="Calibri"/>
          <w:color w:val="231F1F"/>
          <w:w w:val="120"/>
        </w:rPr>
        <w:t>Antivirals: </w:t>
      </w:r>
      <w:r>
        <w:rPr>
          <w:color w:val="231F1F"/>
          <w:w w:val="120"/>
        </w:rPr>
        <w:t>plasma concentration of vinflunine possibly </w:t>
      </w:r>
      <w:r>
        <w:rPr>
          <w:color w:val="231F1F"/>
          <w:w w:val="115"/>
        </w:rPr>
        <w:t>increased</w:t>
      </w:r>
      <w:r>
        <w:rPr>
          <w:color w:val="231F1F"/>
          <w:spacing w:val="-15"/>
          <w:w w:val="115"/>
        </w:rPr>
        <w:t> </w:t>
      </w:r>
      <w:r>
        <w:rPr>
          <w:color w:val="231F1F"/>
          <w:w w:val="115"/>
        </w:rPr>
        <w:t>by</w:t>
      </w:r>
      <w:r>
        <w:rPr>
          <w:color w:val="231F1F"/>
          <w:spacing w:val="-14"/>
          <w:w w:val="115"/>
        </w:rPr>
        <w:t> </w:t>
      </w:r>
      <w:r>
        <w:rPr>
          <w:rFonts w:ascii="Arial" w:hAnsi="Arial"/>
          <w:color w:val="231F1F"/>
          <w:w w:val="115"/>
          <w:position w:val="1"/>
          <w:sz w:val="7"/>
        </w:rPr>
        <w:t>l</w:t>
      </w:r>
      <w:r>
        <w:rPr>
          <w:rFonts w:ascii="Arial" w:hAnsi="Arial"/>
          <w:color w:val="231F1F"/>
          <w:spacing w:val="-4"/>
          <w:w w:val="115"/>
          <w:position w:val="1"/>
          <w:sz w:val="7"/>
        </w:rPr>
        <w:t> </w:t>
      </w:r>
      <w:r>
        <w:rPr>
          <w:rFonts w:ascii="Calibri" w:hAnsi="Calibri"/>
          <w:color w:val="008356"/>
          <w:w w:val="115"/>
          <w:sz w:val="11"/>
        </w:rPr>
        <w:t>RITONAVIR</w:t>
      </w:r>
      <w:r>
        <w:rPr>
          <w:rFonts w:ascii="Arial" w:hAnsi="Arial"/>
          <w:color w:val="231F1F"/>
          <w:w w:val="115"/>
        </w:rPr>
        <w:t>—</w:t>
      </w:r>
      <w:r>
        <w:rPr>
          <w:color w:val="231F1F"/>
          <w:w w:val="115"/>
        </w:rPr>
        <w:t>manufacturer</w:t>
      </w:r>
      <w:r>
        <w:rPr>
          <w:color w:val="231F1F"/>
          <w:spacing w:val="-14"/>
          <w:w w:val="115"/>
        </w:rPr>
        <w:t> </w:t>
      </w:r>
      <w:r>
        <w:rPr>
          <w:color w:val="231F1F"/>
          <w:w w:val="115"/>
        </w:rPr>
        <w:t>of</w:t>
      </w:r>
      <w:r>
        <w:rPr>
          <w:color w:val="231F1F"/>
          <w:spacing w:val="-14"/>
          <w:w w:val="115"/>
        </w:rPr>
        <w:t> </w:t>
      </w:r>
      <w:r>
        <w:rPr>
          <w:color w:val="231F1F"/>
          <w:w w:val="115"/>
        </w:rPr>
        <w:t>vinflunine</w:t>
      </w:r>
      <w:r>
        <w:rPr>
          <w:color w:val="231F1F"/>
          <w:spacing w:val="-14"/>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pStyle w:val="BodyText"/>
        <w:spacing w:line="230" w:lineRule="auto" w:before="5"/>
        <w:ind w:left="286" w:right="95" w:hanging="100"/>
      </w:pPr>
      <w:r>
        <w:rPr>
          <w:rFonts w:ascii="Lucida Sans Unicode" w:hAnsi="Lucida Sans Unicode"/>
          <w:color w:val="A7A8AC"/>
          <w:w w:val="95"/>
          <w:sz w:val="10"/>
        </w:rPr>
        <w:t>▶ </w:t>
      </w:r>
      <w:r>
        <w:rPr>
          <w:rFonts w:ascii="Calibri" w:hAnsi="Calibri"/>
          <w:color w:val="231F1F"/>
          <w:w w:val="110"/>
        </w:rPr>
        <w:t>Grapefruit Juice: </w:t>
      </w:r>
      <w:r>
        <w:rPr>
          <w:color w:val="231F1F"/>
          <w:w w:val="110"/>
        </w:rPr>
        <w:t>plasma concentration of vinflunine possibly increased by </w:t>
      </w:r>
      <w:r>
        <w:rPr>
          <w:rFonts w:ascii="Calibri" w:hAnsi="Calibri"/>
          <w:color w:val="008356"/>
          <w:w w:val="110"/>
          <w:sz w:val="11"/>
        </w:rPr>
        <w:t>GRAPEFRUIT JUICE</w:t>
      </w:r>
      <w:r>
        <w:rPr>
          <w:rFonts w:ascii="Arial" w:hAnsi="Arial"/>
          <w:color w:val="231F1F"/>
          <w:w w:val="110"/>
        </w:rPr>
        <w:t>—</w:t>
      </w:r>
      <w:r>
        <w:rPr>
          <w:color w:val="231F1F"/>
          <w:w w:val="110"/>
        </w:rPr>
        <w:t>manufacturer of vinflunine advises avoid concomitant use</w:t>
      </w:r>
    </w:p>
    <w:p>
      <w:pPr>
        <w:pStyle w:val="BodyText"/>
        <w:spacing w:before="13"/>
        <w:ind w:left="186"/>
        <w:rPr>
          <w:rFonts w:ascii="Trebuchet MS"/>
        </w:rPr>
      </w:pPr>
      <w:r>
        <w:rPr>
          <w:rFonts w:ascii="Trebuchet MS"/>
          <w:color w:val="008356"/>
        </w:rPr>
        <w:t>Vinorelbine</w:t>
      </w:r>
    </w:p>
    <w:p>
      <w:pPr>
        <w:pStyle w:val="BodyText"/>
        <w:spacing w:line="247" w:lineRule="auto" w:before="1"/>
        <w:ind w:left="286" w:right="74" w:hanging="100"/>
        <w:rPr>
          <w:rFonts w:ascii="Calibri"/>
          <w:sz w:val="11"/>
        </w:rPr>
      </w:pPr>
      <w:r>
        <w:rPr>
          <w:rFonts w:ascii="Arial"/>
          <w:color w:val="231F1F"/>
          <w:w w:val="355"/>
          <w:position w:val="1"/>
          <w:sz w:val="7"/>
        </w:rPr>
        <w:t>l </w:t>
      </w:r>
      <w:r>
        <w:rPr>
          <w:rFonts w:ascii="Calibri"/>
          <w:color w:val="231F1F"/>
          <w:w w:val="110"/>
        </w:rPr>
        <w:t>Antibacterials: </w:t>
      </w:r>
      <w:r>
        <w:rPr>
          <w:color w:val="231F1F"/>
          <w:w w:val="110"/>
        </w:rPr>
        <w:t>possible increased risk of neutropenia when vinorelbine</w:t>
      </w:r>
      <w:r>
        <w:rPr>
          <w:color w:val="231F1F"/>
          <w:spacing w:val="-7"/>
          <w:w w:val="110"/>
        </w:rPr>
        <w:t> </w:t>
      </w:r>
      <w:r>
        <w:rPr>
          <w:color w:val="231F1F"/>
          <w:w w:val="110"/>
        </w:rPr>
        <w:t>given</w:t>
      </w:r>
      <w:r>
        <w:rPr>
          <w:color w:val="231F1F"/>
          <w:spacing w:val="-7"/>
          <w:w w:val="110"/>
        </w:rPr>
        <w:t> </w:t>
      </w:r>
      <w:r>
        <w:rPr>
          <w:color w:val="231F1F"/>
          <w:w w:val="110"/>
        </w:rPr>
        <w:t>with</w:t>
      </w:r>
      <w:r>
        <w:rPr>
          <w:color w:val="231F1F"/>
          <w:spacing w:val="-6"/>
          <w:w w:val="110"/>
        </w:rPr>
        <w:t> </w:t>
      </w:r>
      <w:r>
        <w:rPr>
          <w:rFonts w:ascii="Arial"/>
          <w:color w:val="231F1F"/>
          <w:w w:val="355"/>
          <w:position w:val="1"/>
          <w:sz w:val="7"/>
        </w:rPr>
        <w:t>l</w:t>
      </w:r>
      <w:r>
        <w:rPr>
          <w:rFonts w:ascii="Arial"/>
          <w:color w:val="231F1F"/>
          <w:spacing w:val="-44"/>
          <w:w w:val="355"/>
          <w:position w:val="1"/>
          <w:sz w:val="7"/>
        </w:rPr>
        <w:t> </w:t>
      </w:r>
      <w:r>
        <w:rPr>
          <w:rFonts w:ascii="Calibri"/>
          <w:color w:val="008356"/>
          <w:spacing w:val="4"/>
          <w:w w:val="110"/>
          <w:sz w:val="11"/>
        </w:rPr>
        <w:t>CLARITHROMYCIN</w:t>
      </w:r>
      <w:r>
        <w:rPr>
          <w:color w:val="231F1F"/>
          <w:spacing w:val="4"/>
          <w:w w:val="110"/>
        </w:rPr>
        <w:t>;</w:t>
      </w:r>
      <w:r>
        <w:rPr>
          <w:color w:val="231F1F"/>
          <w:spacing w:val="-5"/>
          <w:w w:val="110"/>
        </w:rPr>
        <w:t> </w:t>
      </w:r>
      <w:r>
        <w:rPr>
          <w:color w:val="231F1F"/>
          <w:w w:val="110"/>
        </w:rPr>
        <w:t>possible</w:t>
      </w:r>
      <w:r>
        <w:rPr>
          <w:color w:val="231F1F"/>
          <w:spacing w:val="-6"/>
          <w:w w:val="110"/>
        </w:rPr>
        <w:t> </w:t>
      </w:r>
      <w:r>
        <w:rPr>
          <w:color w:val="231F1F"/>
          <w:w w:val="110"/>
        </w:rPr>
        <w:t>increased risk of ventricular arrhythmias when vinorelbine given with   </w:t>
      </w:r>
      <w:r>
        <w:rPr>
          <w:rFonts w:ascii="Arial"/>
          <w:color w:val="231F1F"/>
          <w:w w:val="355"/>
          <w:position w:val="1"/>
          <w:sz w:val="7"/>
        </w:rPr>
        <w:t>l</w:t>
      </w:r>
      <w:r>
        <w:rPr>
          <w:rFonts w:ascii="Arial"/>
          <w:color w:val="231F1F"/>
          <w:spacing w:val="-42"/>
          <w:w w:val="355"/>
          <w:position w:val="1"/>
          <w:sz w:val="7"/>
        </w:rPr>
        <w:t> </w:t>
      </w:r>
      <w:r>
        <w:rPr>
          <w:rFonts w:ascii="Calibri"/>
          <w:color w:val="008356"/>
          <w:spacing w:val="5"/>
          <w:w w:val="110"/>
          <w:sz w:val="11"/>
        </w:rPr>
        <w:t>DELAMANID</w:t>
      </w:r>
    </w:p>
    <w:p>
      <w:pPr>
        <w:pStyle w:val="BodyText"/>
        <w:spacing w:line="141" w:lineRule="exact"/>
        <w:ind w:left="186"/>
      </w:pPr>
      <w:r>
        <w:rPr>
          <w:rFonts w:ascii="Arial"/>
          <w:color w:val="231F1F"/>
          <w:w w:val="355"/>
          <w:position w:val="1"/>
          <w:sz w:val="7"/>
        </w:rPr>
        <w:t>l </w:t>
      </w:r>
      <w:r>
        <w:rPr>
          <w:rFonts w:ascii="Calibri"/>
          <w:color w:val="231F1F"/>
          <w:w w:val="115"/>
        </w:rPr>
        <w:t>Antifungals: </w:t>
      </w:r>
      <w:r>
        <w:rPr>
          <w:color w:val="231F1F"/>
          <w:w w:val="115"/>
        </w:rPr>
        <w:t>possible increased risk of vinorelbine toxicity</w:t>
      </w:r>
    </w:p>
    <w:p>
      <w:pPr>
        <w:spacing w:line="140" w:lineRule="exact" w:before="0"/>
        <w:ind w:left="286" w:right="0" w:firstLine="0"/>
        <w:jc w:val="left"/>
        <w:rPr>
          <w:rFonts w:ascii="Calibri"/>
          <w:sz w:val="11"/>
        </w:rPr>
      </w:pPr>
      <w:r>
        <w:rPr>
          <w:color w:val="231F1F"/>
          <w:w w:val="110"/>
          <w:sz w:val="12"/>
        </w:rPr>
        <w:t>when given with </w:t>
      </w:r>
      <w:r>
        <w:rPr>
          <w:rFonts w:ascii="Arial"/>
          <w:color w:val="231F1F"/>
          <w:w w:val="355"/>
          <w:position w:val="1"/>
          <w:sz w:val="7"/>
        </w:rPr>
        <w:t>l </w:t>
      </w:r>
      <w:r>
        <w:rPr>
          <w:rFonts w:ascii="Calibri"/>
          <w:color w:val="008356"/>
          <w:spacing w:val="4"/>
          <w:w w:val="110"/>
          <w:sz w:val="11"/>
        </w:rPr>
        <w:t>ITRACONAZOLE</w:t>
      </w:r>
    </w:p>
    <w:p>
      <w:pPr>
        <w:spacing w:before="0"/>
        <w:ind w:left="286" w:right="0" w:hanging="100"/>
        <w:jc w:val="left"/>
        <w:rPr>
          <w:rFonts w:ascii="Calibri"/>
          <w:sz w:val="11"/>
        </w:rPr>
      </w:pPr>
      <w:r>
        <w:rPr>
          <w:rFonts w:ascii="Arial"/>
          <w:color w:val="231F1F"/>
          <w:w w:val="355"/>
          <w:position w:val="1"/>
          <w:sz w:val="7"/>
        </w:rPr>
        <w:t>l </w:t>
      </w:r>
      <w:r>
        <w:rPr>
          <w:rFonts w:ascii="Calibri"/>
          <w:color w:val="231F1F"/>
          <w:w w:val="110"/>
          <w:sz w:val="12"/>
        </w:rPr>
        <w:t>Antimalarials: </w:t>
      </w:r>
      <w:r>
        <w:rPr>
          <w:color w:val="231F1F"/>
          <w:w w:val="110"/>
          <w:sz w:val="12"/>
        </w:rPr>
        <w:t>avoidance of vinorelbine advised </w:t>
      </w:r>
      <w:r>
        <w:rPr>
          <w:color w:val="231F1F"/>
          <w:spacing w:val="-8"/>
          <w:w w:val="110"/>
          <w:sz w:val="12"/>
        </w:rPr>
        <w:t>by </w:t>
      </w:r>
      <w:r>
        <w:rPr>
          <w:color w:val="231F1F"/>
          <w:w w:val="110"/>
          <w:sz w:val="12"/>
        </w:rPr>
        <w:t>manufacturer of </w:t>
      </w:r>
      <w:r>
        <w:rPr>
          <w:rFonts w:ascii="Arial"/>
          <w:color w:val="231F1F"/>
          <w:w w:val="355"/>
          <w:position w:val="1"/>
          <w:sz w:val="7"/>
        </w:rPr>
        <w:t>l</w:t>
      </w:r>
      <w:r>
        <w:rPr>
          <w:rFonts w:ascii="Arial"/>
          <w:color w:val="231F1F"/>
          <w:spacing w:val="-53"/>
          <w:w w:val="355"/>
          <w:position w:val="1"/>
          <w:sz w:val="7"/>
        </w:rPr>
        <w:t> </w:t>
      </w:r>
      <w:r>
        <w:rPr>
          <w:rFonts w:ascii="Calibri"/>
          <w:color w:val="008356"/>
          <w:spacing w:val="4"/>
          <w:w w:val="110"/>
          <w:sz w:val="11"/>
        </w:rPr>
        <w:t>ARTENIMOL </w:t>
      </w:r>
      <w:r>
        <w:rPr>
          <w:rFonts w:ascii="Calibri"/>
          <w:color w:val="008356"/>
          <w:spacing w:val="3"/>
          <w:w w:val="110"/>
          <w:sz w:val="11"/>
        </w:rPr>
        <w:t>WITH </w:t>
      </w:r>
      <w:r>
        <w:rPr>
          <w:rFonts w:ascii="Calibri"/>
          <w:color w:val="008356"/>
          <w:spacing w:val="4"/>
          <w:w w:val="110"/>
          <w:sz w:val="11"/>
        </w:rPr>
        <w:t>PIPERAQUINE</w:t>
      </w:r>
    </w:p>
    <w:p>
      <w:pPr>
        <w:pStyle w:val="BodyText"/>
        <w:spacing w:line="143"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before="5"/>
        <w:ind w:left="186"/>
        <w:rPr>
          <w:rFonts w:ascii="Trebuchet MS"/>
        </w:rPr>
      </w:pPr>
      <w:r>
        <w:rPr>
          <w:rFonts w:ascii="Trebuchet MS"/>
          <w:color w:val="008356"/>
        </w:rPr>
        <w:t>Vismodegib</w:t>
      </w:r>
    </w:p>
    <w:p>
      <w:pPr>
        <w:pStyle w:val="BodyText"/>
        <w:spacing w:before="1"/>
        <w:ind w:left="286" w:right="66" w:hanging="100"/>
      </w:pPr>
      <w:r>
        <w:rPr>
          <w:rFonts w:ascii="Arial"/>
          <w:color w:val="231F1F"/>
          <w:w w:val="355"/>
          <w:position w:val="1"/>
          <w:sz w:val="7"/>
        </w:rPr>
        <w:t>l </w:t>
      </w:r>
      <w:r>
        <w:rPr>
          <w:rFonts w:ascii="Calibri"/>
          <w:color w:val="231F1F"/>
          <w:w w:val="115"/>
        </w:rPr>
        <w:t>Antibacterials: </w:t>
      </w:r>
      <w:r>
        <w:rPr>
          <w:color w:val="231F1F"/>
          <w:w w:val="115"/>
        </w:rPr>
        <w:t>manufacturer of vismodegib advises avoid concomitant</w:t>
      </w:r>
      <w:r>
        <w:rPr>
          <w:color w:val="231F1F"/>
          <w:spacing w:val="-16"/>
          <w:w w:val="115"/>
        </w:rPr>
        <w:t> </w:t>
      </w:r>
      <w:r>
        <w:rPr>
          <w:color w:val="231F1F"/>
          <w:w w:val="115"/>
        </w:rPr>
        <w:t>use</w:t>
      </w:r>
      <w:r>
        <w:rPr>
          <w:color w:val="231F1F"/>
          <w:spacing w:val="-14"/>
          <w:w w:val="115"/>
        </w:rPr>
        <w:t> </w:t>
      </w:r>
      <w:r>
        <w:rPr>
          <w:color w:val="231F1F"/>
          <w:w w:val="115"/>
        </w:rPr>
        <w:t>with</w:t>
      </w:r>
      <w:r>
        <w:rPr>
          <w:color w:val="231F1F"/>
          <w:spacing w:val="-15"/>
          <w:w w:val="115"/>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5"/>
          <w:sz w:val="11"/>
        </w:rPr>
        <w:t>RIFAMPICIN</w:t>
      </w:r>
      <w:r>
        <w:rPr>
          <w:rFonts w:ascii="Calibri"/>
          <w:color w:val="008356"/>
          <w:spacing w:val="-5"/>
          <w:w w:val="115"/>
          <w:sz w:val="11"/>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 vismodegib possibly</w:t>
      </w:r>
      <w:r>
        <w:rPr>
          <w:color w:val="231F1F"/>
          <w:spacing w:val="-10"/>
          <w:w w:val="115"/>
        </w:rPr>
        <w:t> </w:t>
      </w:r>
      <w:r>
        <w:rPr>
          <w:color w:val="231F1F"/>
          <w:w w:val="115"/>
        </w:rPr>
        <w:t>reduced)</w:t>
      </w:r>
    </w:p>
    <w:p>
      <w:pPr>
        <w:pStyle w:val="BodyText"/>
        <w:spacing w:line="242" w:lineRule="auto" w:before="2"/>
        <w:ind w:left="286" w:hanging="100"/>
      </w:pPr>
      <w:r>
        <w:rPr>
          <w:rFonts w:ascii="Arial" w:hAnsi="Arial"/>
          <w:color w:val="231F1F"/>
          <w:w w:val="355"/>
          <w:position w:val="1"/>
          <w:sz w:val="7"/>
        </w:rPr>
        <w:t>l </w:t>
      </w:r>
      <w:r>
        <w:rPr>
          <w:rFonts w:ascii="Calibri" w:hAnsi="Calibri"/>
          <w:color w:val="231F1F"/>
          <w:w w:val="110"/>
        </w:rPr>
        <w:t>Antidepressants: </w:t>
      </w:r>
      <w:r>
        <w:rPr>
          <w:color w:val="231F1F"/>
          <w:w w:val="110"/>
        </w:rPr>
        <w:t>manufacturer of vismodegib advises avoid concomitant use with </w:t>
      </w:r>
      <w:r>
        <w:rPr>
          <w:rFonts w:ascii="Arial" w:hAnsi="Arial"/>
          <w:color w:val="231F1F"/>
          <w:w w:val="355"/>
          <w:position w:val="1"/>
          <w:sz w:val="7"/>
        </w:rPr>
        <w:t>l </w:t>
      </w:r>
      <w:r>
        <w:rPr>
          <w:rFonts w:ascii="Calibri" w:hAnsi="Calibri"/>
          <w:color w:val="008356"/>
          <w:w w:val="110"/>
          <w:sz w:val="11"/>
        </w:rPr>
        <w:t>ST JOHN</w:t>
      </w:r>
      <w:r>
        <w:rPr>
          <w:rFonts w:ascii="Arial" w:hAnsi="Arial"/>
          <w:color w:val="008356"/>
          <w:w w:val="110"/>
          <w:sz w:val="11"/>
        </w:rPr>
        <w:t>’</w:t>
      </w:r>
      <w:r>
        <w:rPr>
          <w:rFonts w:ascii="Calibri" w:hAnsi="Calibri"/>
          <w:color w:val="008356"/>
          <w:w w:val="110"/>
          <w:sz w:val="11"/>
        </w:rPr>
        <w:t>S WORT </w:t>
      </w:r>
      <w:r>
        <w:rPr>
          <w:color w:val="231F1F"/>
          <w:w w:val="110"/>
        </w:rPr>
        <w:t>(plasma concentration of vismodegib possibly reduced)</w:t>
      </w:r>
    </w:p>
    <w:p>
      <w:pPr>
        <w:spacing w:line="242" w:lineRule="auto" w:before="0"/>
        <w:ind w:left="286" w:right="61" w:hanging="100"/>
        <w:jc w:val="left"/>
        <w:rPr>
          <w:sz w:val="12"/>
        </w:rPr>
      </w:pPr>
      <w:r>
        <w:rPr>
          <w:rFonts w:ascii="Arial"/>
          <w:color w:val="231F1F"/>
          <w:w w:val="355"/>
          <w:position w:val="1"/>
          <w:sz w:val="7"/>
        </w:rPr>
        <w:t>l </w:t>
      </w:r>
      <w:r>
        <w:rPr>
          <w:rFonts w:ascii="Calibri"/>
          <w:color w:val="231F1F"/>
          <w:w w:val="110"/>
          <w:sz w:val="12"/>
        </w:rPr>
        <w:t>Antiepileptics: </w:t>
      </w:r>
      <w:r>
        <w:rPr>
          <w:color w:val="231F1F"/>
          <w:w w:val="110"/>
          <w:sz w:val="12"/>
        </w:rPr>
        <w:t>manufacturer of vismodegib advises avoid concomitant</w:t>
      </w:r>
      <w:r>
        <w:rPr>
          <w:color w:val="231F1F"/>
          <w:spacing w:val="-14"/>
          <w:w w:val="110"/>
          <w:sz w:val="12"/>
        </w:rPr>
        <w:t> </w:t>
      </w:r>
      <w:r>
        <w:rPr>
          <w:color w:val="231F1F"/>
          <w:w w:val="110"/>
          <w:sz w:val="12"/>
        </w:rPr>
        <w:t>use</w:t>
      </w:r>
      <w:r>
        <w:rPr>
          <w:color w:val="231F1F"/>
          <w:spacing w:val="-13"/>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CARBAMAZEPINE</w:t>
      </w:r>
      <w:r>
        <w:rPr>
          <w:color w:val="231F1F"/>
          <w:spacing w:val="4"/>
          <w:w w:val="110"/>
          <w:sz w:val="12"/>
        </w:rPr>
        <w:t>,</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Calibri"/>
          <w:color w:val="008356"/>
          <w:spacing w:val="4"/>
          <w:w w:val="110"/>
          <w:sz w:val="11"/>
        </w:rPr>
        <w:t>FOSPHENYTOIN</w:t>
      </w:r>
      <w:r>
        <w:rPr>
          <w:rFonts w:ascii="Calibri"/>
          <w:color w:val="008356"/>
          <w:spacing w:val="-3"/>
          <w:w w:val="110"/>
          <w:sz w:val="11"/>
        </w:rPr>
        <w:t> </w:t>
      </w:r>
      <w:r>
        <w:rPr>
          <w:color w:val="231F1F"/>
          <w:w w:val="110"/>
          <w:sz w:val="12"/>
        </w:rPr>
        <w:t>and </w:t>
      </w:r>
      <w:r>
        <w:rPr>
          <w:rFonts w:ascii="Arial"/>
          <w:color w:val="231F1F"/>
          <w:w w:val="355"/>
          <w:position w:val="1"/>
          <w:sz w:val="7"/>
        </w:rPr>
        <w:t>l </w:t>
      </w:r>
      <w:r>
        <w:rPr>
          <w:rFonts w:ascii="Calibri"/>
          <w:color w:val="008356"/>
          <w:spacing w:val="4"/>
          <w:w w:val="110"/>
          <w:sz w:val="11"/>
        </w:rPr>
        <w:t>PHENYTOIN </w:t>
      </w:r>
      <w:r>
        <w:rPr>
          <w:color w:val="231F1F"/>
          <w:w w:val="110"/>
          <w:sz w:val="12"/>
        </w:rPr>
        <w:t>(plasma concentration of vismodegib possibly reduced)</w:t>
      </w:r>
    </w:p>
    <w:p>
      <w:pPr>
        <w:pStyle w:val="BodyText"/>
        <w:spacing w:line="145" w:lineRule="exact"/>
        <w:ind w:left="186"/>
      </w:pPr>
      <w:r>
        <w:rPr>
          <w:rFonts w:ascii="Arial"/>
          <w:color w:val="231F1F"/>
          <w:w w:val="355"/>
          <w:position w:val="1"/>
          <w:sz w:val="7"/>
        </w:rPr>
        <w:t>l </w:t>
      </w:r>
      <w:r>
        <w:rPr>
          <w:rFonts w:ascii="Calibri"/>
          <w:color w:val="231F1F"/>
          <w:w w:val="110"/>
        </w:rPr>
        <w:t>Antipsychotics: </w:t>
      </w:r>
      <w:r>
        <w:rPr>
          <w:color w:val="231F1F"/>
          <w:w w:val="110"/>
        </w:rPr>
        <w:t>avoid concomitant use of cytotoxics with</w:t>
      </w:r>
    </w:p>
    <w:p>
      <w:pPr>
        <w:spacing w:line="141" w:lineRule="exact" w:before="0"/>
        <w:ind w:left="286" w:right="0" w:firstLine="0"/>
        <w:jc w:val="left"/>
        <w:rPr>
          <w:sz w:val="12"/>
        </w:rPr>
      </w:pPr>
      <w:r>
        <w:rPr>
          <w:rFonts w:ascii="Arial"/>
          <w:color w:val="231F1F"/>
          <w:w w:val="355"/>
          <w:position w:val="1"/>
          <w:sz w:val="7"/>
        </w:rPr>
        <w:t>l </w:t>
      </w:r>
      <w:r>
        <w:rPr>
          <w:rFonts w:ascii="Calibri"/>
          <w:color w:val="008356"/>
          <w:spacing w:val="4"/>
          <w:w w:val="120"/>
          <w:sz w:val="11"/>
        </w:rPr>
        <w:t>CLOZAPINE </w:t>
      </w:r>
      <w:r>
        <w:rPr>
          <w:color w:val="231F1F"/>
          <w:w w:val="120"/>
          <w:sz w:val="12"/>
        </w:rPr>
        <w:t>(increased risk of agranulocytosis)</w:t>
      </w:r>
    </w:p>
    <w:p>
      <w:pPr>
        <w:pStyle w:val="BodyText"/>
        <w:spacing w:line="256" w:lineRule="auto" w:before="5"/>
        <w:ind w:left="186" w:right="2167"/>
        <w:jc w:val="both"/>
      </w:pPr>
      <w:r>
        <w:rPr>
          <w:rFonts w:ascii="Trebuchet MS"/>
          <w:color w:val="008356"/>
          <w:w w:val="105"/>
        </w:rPr>
        <w:t>Vitamin A </w:t>
      </w:r>
      <w:r>
        <w:rPr>
          <w:i/>
          <w:color w:val="231F1F"/>
          <w:w w:val="105"/>
        </w:rPr>
        <w:t>see </w:t>
      </w:r>
      <w:r>
        <w:rPr>
          <w:color w:val="231F1F"/>
          <w:w w:val="105"/>
        </w:rPr>
        <w:t>Vitamins </w:t>
      </w:r>
      <w:r>
        <w:rPr>
          <w:rFonts w:ascii="Trebuchet MS"/>
          <w:color w:val="008356"/>
          <w:w w:val="105"/>
        </w:rPr>
        <w:t>Vitamin D </w:t>
      </w:r>
      <w:r>
        <w:rPr>
          <w:i/>
          <w:color w:val="231F1F"/>
          <w:w w:val="105"/>
        </w:rPr>
        <w:t>see </w:t>
      </w:r>
      <w:r>
        <w:rPr>
          <w:color w:val="231F1F"/>
          <w:w w:val="105"/>
        </w:rPr>
        <w:t>Vitamins </w:t>
      </w:r>
      <w:r>
        <w:rPr>
          <w:rFonts w:ascii="Trebuchet MS"/>
          <w:color w:val="008356"/>
          <w:w w:val="105"/>
        </w:rPr>
        <w:t>Vitamin E </w:t>
      </w:r>
      <w:r>
        <w:rPr>
          <w:i/>
          <w:color w:val="231F1F"/>
          <w:w w:val="105"/>
        </w:rPr>
        <w:t>see </w:t>
      </w:r>
      <w:r>
        <w:rPr>
          <w:color w:val="231F1F"/>
          <w:w w:val="105"/>
        </w:rPr>
        <w:t>Vitamins</w:t>
      </w:r>
    </w:p>
    <w:p>
      <w:pPr>
        <w:pStyle w:val="BodyText"/>
        <w:spacing w:before="1"/>
        <w:ind w:left="186"/>
      </w:pPr>
      <w:r>
        <w:rPr>
          <w:rFonts w:ascii="Trebuchet MS"/>
          <w:color w:val="008356"/>
          <w:w w:val="105"/>
        </w:rPr>
        <w:t>Vitamin K (Phytomenadione) </w:t>
      </w:r>
      <w:r>
        <w:rPr>
          <w:i/>
          <w:color w:val="231F1F"/>
          <w:w w:val="105"/>
        </w:rPr>
        <w:t>see </w:t>
      </w:r>
      <w:r>
        <w:rPr>
          <w:color w:val="231F1F"/>
          <w:w w:val="105"/>
        </w:rPr>
        <w:t>Vitamins</w:t>
      </w:r>
    </w:p>
    <w:p>
      <w:pPr>
        <w:pStyle w:val="BodyText"/>
        <w:spacing w:before="10"/>
        <w:ind w:left="186"/>
        <w:rPr>
          <w:rFonts w:ascii="Trebuchet MS"/>
        </w:rPr>
      </w:pPr>
      <w:r>
        <w:rPr>
          <w:rFonts w:ascii="Trebuchet MS"/>
          <w:color w:val="008356"/>
          <w:w w:val="105"/>
        </w:rPr>
        <w:t>Vitamins</w:t>
      </w:r>
    </w:p>
    <w:p>
      <w:pPr>
        <w:pStyle w:val="BodyText"/>
        <w:spacing w:line="155" w:lineRule="exact" w:before="1"/>
        <w:ind w:left="186"/>
      </w:pPr>
      <w:r>
        <w:rPr>
          <w:rFonts w:ascii="Lucida Sans Unicode" w:hAnsi="Lucida Sans Unicode"/>
          <w:color w:val="A7A8AC"/>
          <w:w w:val="95"/>
          <w:sz w:val="10"/>
        </w:rPr>
        <w:t>▶ </w:t>
      </w:r>
      <w:r>
        <w:rPr>
          <w:rFonts w:ascii="Calibri" w:hAnsi="Calibri"/>
          <w:color w:val="231F1F"/>
          <w:w w:val="105"/>
        </w:rPr>
        <w:t>Antibacterials: </w:t>
      </w:r>
      <w:r>
        <w:rPr>
          <w:color w:val="231F1F"/>
          <w:w w:val="105"/>
        </w:rPr>
        <w:t>absorption of vitamin A possibly reduced by</w:t>
      </w:r>
    </w:p>
    <w:p>
      <w:pPr>
        <w:spacing w:line="131" w:lineRule="exact" w:before="0"/>
        <w:ind w:left="286" w:right="0" w:firstLine="0"/>
        <w:jc w:val="left"/>
        <w:rPr>
          <w:rFonts w:ascii="Calibri"/>
          <w:sz w:val="11"/>
        </w:rPr>
      </w:pPr>
      <w:r>
        <w:rPr>
          <w:rFonts w:ascii="Calibri"/>
          <w:color w:val="008356"/>
          <w:sz w:val="11"/>
        </w:rPr>
        <w:t>NEOMYCIN</w:t>
      </w:r>
    </w:p>
    <w:p>
      <w:pPr>
        <w:pStyle w:val="BodyText"/>
        <w:spacing w:before="9"/>
        <w:ind w:left="0"/>
        <w:rPr>
          <w:rFonts w:ascii="Calibri"/>
          <w:sz w:val="13"/>
        </w:rPr>
      </w:pPr>
      <w:r>
        <w:rPr/>
        <w:br w:type="column"/>
      </w:r>
      <w:r>
        <w:rPr>
          <w:rFonts w:ascii="Calibri"/>
          <w:sz w:val="13"/>
        </w:rPr>
      </w:r>
    </w:p>
    <w:p>
      <w:pPr>
        <w:pStyle w:val="BodyText"/>
        <w:spacing w:line="144" w:lineRule="exact"/>
        <w:ind w:left="183"/>
        <w:rPr>
          <w:rFonts w:ascii="Calibri"/>
        </w:rPr>
      </w:pPr>
      <w:r>
        <w:rPr>
          <w:rFonts w:ascii="Arial"/>
          <w:color w:val="008356"/>
        </w:rPr>
        <w:t>Vitamins </w:t>
      </w:r>
      <w:r>
        <w:rPr>
          <w:rFonts w:ascii="Calibri"/>
          <w:color w:val="231F1F"/>
        </w:rPr>
        <w:t>(continued)</w:t>
      </w:r>
    </w:p>
    <w:p>
      <w:pPr>
        <w:spacing w:line="240" w:lineRule="auto" w:before="0"/>
        <w:ind w:left="283" w:right="706" w:hanging="100"/>
        <w:jc w:val="left"/>
        <w:rPr>
          <w:rFonts w:ascii="Calibri"/>
          <w:sz w:val="11"/>
        </w:rPr>
      </w:pPr>
      <w:r>
        <w:rPr>
          <w:rFonts w:ascii="Arial"/>
          <w:color w:val="231F1F"/>
          <w:w w:val="355"/>
          <w:position w:val="1"/>
          <w:sz w:val="7"/>
        </w:rPr>
        <w:t>l </w:t>
      </w:r>
      <w:r>
        <w:rPr>
          <w:rFonts w:ascii="Calibri"/>
          <w:color w:val="231F1F"/>
          <w:w w:val="110"/>
          <w:sz w:val="12"/>
        </w:rPr>
        <w:t>Anticoagulants: </w:t>
      </w:r>
      <w:r>
        <w:rPr>
          <w:color w:val="231F1F"/>
          <w:w w:val="110"/>
          <w:sz w:val="12"/>
        </w:rPr>
        <w:t>vitamin E possibly enhances anticoagulant effect of </w:t>
      </w:r>
      <w:r>
        <w:rPr>
          <w:rFonts w:ascii="Arial"/>
          <w:color w:val="231F1F"/>
          <w:w w:val="355"/>
          <w:position w:val="1"/>
          <w:sz w:val="7"/>
        </w:rPr>
        <w:t>l </w:t>
      </w:r>
      <w:r>
        <w:rPr>
          <w:rFonts w:ascii="Calibri"/>
          <w:color w:val="008356"/>
          <w:w w:val="110"/>
          <w:sz w:val="11"/>
        </w:rPr>
        <w:t>COUMARINS</w:t>
      </w:r>
      <w:r>
        <w:rPr>
          <w:color w:val="231F1F"/>
          <w:w w:val="110"/>
          <w:sz w:val="12"/>
        </w:rPr>
        <w:t>; vitamin K antagonises anticoagulant effect of </w:t>
      </w:r>
      <w:r>
        <w:rPr>
          <w:rFonts w:ascii="Arial"/>
          <w:color w:val="231F1F"/>
          <w:w w:val="355"/>
          <w:position w:val="1"/>
          <w:sz w:val="7"/>
        </w:rPr>
        <w:t>l </w:t>
      </w:r>
      <w:r>
        <w:rPr>
          <w:rFonts w:ascii="Calibri"/>
          <w:color w:val="008356"/>
          <w:w w:val="110"/>
          <w:sz w:val="11"/>
        </w:rPr>
        <w:t>COUMARINS </w:t>
      </w:r>
      <w:r>
        <w:rPr>
          <w:color w:val="231F1F"/>
          <w:w w:val="110"/>
          <w:sz w:val="12"/>
        </w:rPr>
        <w:t>and </w:t>
      </w:r>
      <w:r>
        <w:rPr>
          <w:rFonts w:ascii="Arial"/>
          <w:color w:val="231F1F"/>
          <w:w w:val="355"/>
          <w:position w:val="1"/>
          <w:sz w:val="7"/>
        </w:rPr>
        <w:t>l </w:t>
      </w:r>
      <w:r>
        <w:rPr>
          <w:rFonts w:ascii="Calibri"/>
          <w:color w:val="008356"/>
          <w:w w:val="110"/>
          <w:sz w:val="11"/>
        </w:rPr>
        <w:t>PHENINDIONE</w:t>
      </w:r>
    </w:p>
    <w:p>
      <w:pPr>
        <w:pStyle w:val="BodyText"/>
        <w:spacing w:line="244" w:lineRule="auto"/>
        <w:ind w:left="283" w:right="720" w:hanging="100"/>
      </w:pPr>
      <w:r>
        <w:rPr>
          <w:rFonts w:ascii="Lucida Sans Unicode" w:hAnsi="Lucida Sans Unicode"/>
          <w:color w:val="A7A8AC"/>
          <w:w w:val="95"/>
          <w:sz w:val="10"/>
        </w:rPr>
        <w:t>▶ </w:t>
      </w:r>
      <w:r>
        <w:rPr>
          <w:rFonts w:ascii="Calibri" w:hAnsi="Calibri"/>
          <w:color w:val="231F1F"/>
          <w:w w:val="110"/>
        </w:rPr>
        <w:t>Antiepileptics: </w:t>
      </w:r>
      <w:r>
        <w:rPr>
          <w:color w:val="231F1F"/>
          <w:w w:val="110"/>
        </w:rPr>
        <w:t>alfacalcidol, calcitriol, colecalciferol, dihydrotachysterol, ergocalciferol, paricalcitol or vitamin D requirements possibly increased when given with </w:t>
      </w:r>
      <w:r>
        <w:rPr>
          <w:rFonts w:ascii="Calibri" w:hAnsi="Calibri"/>
          <w:color w:val="008356"/>
          <w:w w:val="110"/>
          <w:sz w:val="11"/>
        </w:rPr>
        <w:t>CARBAMAZEPINE</w:t>
      </w:r>
      <w:r>
        <w:rPr>
          <w:color w:val="231F1F"/>
          <w:w w:val="110"/>
        </w:rPr>
        <w:t>; alfacalcidol, calcitriol, colecalciferol, dihydrotachysterol, ergocalciferol, paricalcitol or vitamin D requirements possibly increased when given with </w:t>
      </w:r>
      <w:r>
        <w:rPr>
          <w:rFonts w:ascii="Calibri" w:hAnsi="Calibri"/>
          <w:color w:val="008356"/>
          <w:w w:val="110"/>
          <w:sz w:val="11"/>
        </w:rPr>
        <w:t>FOSPHENYTOIN</w:t>
      </w:r>
      <w:r>
        <w:rPr>
          <w:color w:val="231F1F"/>
          <w:w w:val="110"/>
        </w:rPr>
        <w:t>; alfacalcidol, calcitriol, colecalciferol, dihydrotachysterol, ergocalciferol, paricalcitol or vitamin D</w:t>
      </w:r>
    </w:p>
    <w:p>
      <w:pPr>
        <w:pStyle w:val="BodyText"/>
        <w:spacing w:line="247" w:lineRule="auto"/>
        <w:ind w:left="283" w:right="618"/>
        <w:rPr>
          <w:rFonts w:ascii="Calibri"/>
          <w:sz w:val="11"/>
        </w:rPr>
      </w:pPr>
      <w:r>
        <w:rPr>
          <w:color w:val="231F1F"/>
          <w:w w:val="115"/>
        </w:rPr>
        <w:t>requirements possibly increased when given with </w:t>
      </w:r>
      <w:r>
        <w:rPr>
          <w:rFonts w:ascii="Calibri"/>
          <w:color w:val="008356"/>
          <w:spacing w:val="4"/>
          <w:w w:val="115"/>
          <w:sz w:val="11"/>
        </w:rPr>
        <w:t>PHENOBARBITAL</w:t>
      </w:r>
      <w:r>
        <w:rPr>
          <w:color w:val="231F1F"/>
          <w:spacing w:val="4"/>
          <w:w w:val="115"/>
        </w:rPr>
        <w:t>; </w:t>
      </w:r>
      <w:r>
        <w:rPr>
          <w:color w:val="231F1F"/>
          <w:w w:val="115"/>
        </w:rPr>
        <w:t>alfacalcidol, calcitriol, colecalciferol, dihydrotachysterol, ergocalciferol, paricalcitol or vitamin D requirements</w:t>
      </w:r>
      <w:r>
        <w:rPr>
          <w:color w:val="231F1F"/>
          <w:spacing w:val="-20"/>
          <w:w w:val="115"/>
        </w:rPr>
        <w:t> </w:t>
      </w:r>
      <w:r>
        <w:rPr>
          <w:color w:val="231F1F"/>
          <w:w w:val="115"/>
        </w:rPr>
        <w:t>possibly</w:t>
      </w:r>
      <w:r>
        <w:rPr>
          <w:color w:val="231F1F"/>
          <w:spacing w:val="-19"/>
          <w:w w:val="115"/>
        </w:rPr>
        <w:t> </w:t>
      </w:r>
      <w:r>
        <w:rPr>
          <w:color w:val="231F1F"/>
          <w:w w:val="115"/>
        </w:rPr>
        <w:t>increased</w:t>
      </w:r>
      <w:r>
        <w:rPr>
          <w:color w:val="231F1F"/>
          <w:spacing w:val="-20"/>
          <w:w w:val="115"/>
        </w:rPr>
        <w:t> </w:t>
      </w:r>
      <w:r>
        <w:rPr>
          <w:color w:val="231F1F"/>
          <w:w w:val="115"/>
        </w:rPr>
        <w:t>when</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20"/>
          <w:w w:val="115"/>
        </w:rPr>
        <w:t> </w:t>
      </w:r>
      <w:r>
        <w:rPr>
          <w:rFonts w:ascii="Calibri"/>
          <w:color w:val="008356"/>
          <w:spacing w:val="2"/>
          <w:w w:val="115"/>
          <w:sz w:val="11"/>
        </w:rPr>
        <w:t>PHENYTOIN</w:t>
      </w:r>
      <w:r>
        <w:rPr>
          <w:color w:val="231F1F"/>
          <w:spacing w:val="2"/>
          <w:w w:val="115"/>
        </w:rPr>
        <w:t>; </w:t>
      </w:r>
      <w:r>
        <w:rPr>
          <w:color w:val="231F1F"/>
          <w:w w:val="115"/>
        </w:rPr>
        <w:t>alfacalcidol, calcitriol, colecalciferol, dihydrotachysterol, ergocalciferol, paricalcitol or vitamin D requirements possibly</w:t>
      </w:r>
      <w:r>
        <w:rPr>
          <w:color w:val="231F1F"/>
          <w:spacing w:val="-8"/>
          <w:w w:val="115"/>
        </w:rPr>
        <w:t> </w:t>
      </w:r>
      <w:r>
        <w:rPr>
          <w:color w:val="231F1F"/>
          <w:w w:val="115"/>
        </w:rPr>
        <w:t>increased</w:t>
      </w:r>
      <w:r>
        <w:rPr>
          <w:color w:val="231F1F"/>
          <w:spacing w:val="-8"/>
          <w:w w:val="115"/>
        </w:rPr>
        <w:t> </w:t>
      </w:r>
      <w:r>
        <w:rPr>
          <w:color w:val="231F1F"/>
          <w:w w:val="115"/>
        </w:rPr>
        <w:t>when</w:t>
      </w:r>
      <w:r>
        <w:rPr>
          <w:color w:val="231F1F"/>
          <w:spacing w:val="-9"/>
          <w:w w:val="115"/>
        </w:rPr>
        <w:t> </w:t>
      </w:r>
      <w:r>
        <w:rPr>
          <w:color w:val="231F1F"/>
          <w:w w:val="115"/>
        </w:rPr>
        <w:t>given</w:t>
      </w:r>
      <w:r>
        <w:rPr>
          <w:color w:val="231F1F"/>
          <w:spacing w:val="-7"/>
          <w:w w:val="115"/>
        </w:rPr>
        <w:t> </w:t>
      </w:r>
      <w:r>
        <w:rPr>
          <w:color w:val="231F1F"/>
          <w:w w:val="115"/>
        </w:rPr>
        <w:t>with</w:t>
      </w:r>
      <w:r>
        <w:rPr>
          <w:color w:val="231F1F"/>
          <w:spacing w:val="-8"/>
          <w:w w:val="115"/>
        </w:rPr>
        <w:t> </w:t>
      </w:r>
      <w:r>
        <w:rPr>
          <w:rFonts w:ascii="Calibri"/>
          <w:color w:val="008356"/>
          <w:spacing w:val="5"/>
          <w:w w:val="115"/>
          <w:sz w:val="11"/>
        </w:rPr>
        <w:t>PRIMIDONE</w:t>
      </w:r>
    </w:p>
    <w:p>
      <w:pPr>
        <w:pStyle w:val="BodyText"/>
        <w:spacing w:line="237" w:lineRule="auto"/>
        <w:ind w:left="283" w:right="645"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Antifungals: </w:t>
      </w:r>
      <w:r>
        <w:rPr>
          <w:color w:val="231F1F"/>
          <w:w w:val="110"/>
        </w:rPr>
        <w:t>plasma concentration of paricalcitol possibly increased</w:t>
      </w:r>
      <w:r>
        <w:rPr>
          <w:color w:val="231F1F"/>
          <w:spacing w:val="-9"/>
          <w:w w:val="110"/>
        </w:rPr>
        <w:t> </w:t>
      </w:r>
      <w:r>
        <w:rPr>
          <w:color w:val="231F1F"/>
          <w:w w:val="110"/>
        </w:rPr>
        <w:t>by</w:t>
      </w:r>
      <w:r>
        <w:rPr>
          <w:color w:val="231F1F"/>
          <w:spacing w:val="-8"/>
          <w:w w:val="110"/>
        </w:rPr>
        <w:t> </w:t>
      </w:r>
      <w:r>
        <w:rPr>
          <w:rFonts w:ascii="Calibri" w:hAnsi="Calibri"/>
          <w:color w:val="008356"/>
          <w:spacing w:val="4"/>
          <w:w w:val="110"/>
          <w:sz w:val="11"/>
        </w:rPr>
        <w:t>KETOCONAZOLE</w:t>
      </w:r>
      <w:r>
        <w:rPr>
          <w:color w:val="231F1F"/>
          <w:spacing w:val="4"/>
          <w:w w:val="110"/>
        </w:rPr>
        <w:t>;</w:t>
      </w:r>
      <w:r>
        <w:rPr>
          <w:color w:val="231F1F"/>
          <w:spacing w:val="-8"/>
          <w:w w:val="110"/>
        </w:rPr>
        <w:t> </w:t>
      </w:r>
      <w:r>
        <w:rPr>
          <w:color w:val="231F1F"/>
          <w:w w:val="110"/>
        </w:rPr>
        <w:t>effects</w:t>
      </w:r>
      <w:r>
        <w:rPr>
          <w:color w:val="231F1F"/>
          <w:spacing w:val="-8"/>
          <w:w w:val="110"/>
        </w:rPr>
        <w:t> </w:t>
      </w:r>
      <w:r>
        <w:rPr>
          <w:color w:val="231F1F"/>
          <w:w w:val="110"/>
        </w:rPr>
        <w:t>of</w:t>
      </w:r>
      <w:r>
        <w:rPr>
          <w:color w:val="231F1F"/>
          <w:spacing w:val="-8"/>
          <w:w w:val="110"/>
        </w:rPr>
        <w:t> </w:t>
      </w:r>
      <w:r>
        <w:rPr>
          <w:color w:val="231F1F"/>
          <w:w w:val="110"/>
        </w:rPr>
        <w:t>alfacalcidol,</w:t>
      </w:r>
      <w:r>
        <w:rPr>
          <w:color w:val="231F1F"/>
          <w:spacing w:val="-7"/>
          <w:w w:val="110"/>
        </w:rPr>
        <w:t> </w:t>
      </w:r>
      <w:r>
        <w:rPr>
          <w:color w:val="231F1F"/>
          <w:w w:val="110"/>
        </w:rPr>
        <w:t>calcitriol, colecalciferol, dihydrotachysterol, ergocalciferol, </w:t>
      </w:r>
      <w:r>
        <w:rPr>
          <w:color w:val="231F1F"/>
          <w:spacing w:val="-2"/>
          <w:w w:val="110"/>
        </w:rPr>
        <w:t>paricalcitol </w:t>
      </w:r>
      <w:r>
        <w:rPr>
          <w:color w:val="231F1F"/>
          <w:w w:val="110"/>
        </w:rPr>
        <w:t>and vitamin D possibly reduced by</w:t>
      </w:r>
      <w:r>
        <w:rPr>
          <w:color w:val="231F1F"/>
          <w:spacing w:val="-22"/>
          <w:w w:val="110"/>
        </w:rPr>
        <w:t> </w:t>
      </w:r>
      <w:r>
        <w:rPr>
          <w:rFonts w:ascii="Calibri" w:hAnsi="Calibri"/>
          <w:color w:val="008356"/>
          <w:spacing w:val="5"/>
          <w:w w:val="110"/>
          <w:sz w:val="11"/>
        </w:rPr>
        <w:t>MICONAZOLE</w:t>
      </w:r>
    </w:p>
    <w:p>
      <w:pPr>
        <w:pStyle w:val="BodyText"/>
        <w:spacing w:line="220" w:lineRule="auto"/>
        <w:ind w:left="283" w:right="919"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Antivirals: </w:t>
      </w:r>
      <w:r>
        <w:rPr>
          <w:color w:val="231F1F"/>
          <w:w w:val="110"/>
        </w:rPr>
        <w:t>increased risk of bleeding when high doses of vitamin E given with </w:t>
      </w:r>
      <w:r>
        <w:rPr>
          <w:rFonts w:ascii="Calibri" w:hAnsi="Calibri"/>
          <w:color w:val="008356"/>
          <w:w w:val="110"/>
          <w:sz w:val="11"/>
        </w:rPr>
        <w:t>TIPRANAVIR</w:t>
      </w:r>
    </w:p>
    <w:p>
      <w:pPr>
        <w:pStyle w:val="BodyText"/>
        <w:spacing w:line="155" w:lineRule="exact"/>
        <w:ind w:left="183"/>
      </w:pPr>
      <w:r>
        <w:rPr>
          <w:rFonts w:ascii="Lucida Sans Unicode" w:hAnsi="Lucida Sans Unicode"/>
          <w:color w:val="A7A8AC"/>
          <w:w w:val="95"/>
          <w:sz w:val="10"/>
        </w:rPr>
        <w:t>▶ </w:t>
      </w:r>
      <w:r>
        <w:rPr>
          <w:rFonts w:ascii="Calibri" w:hAnsi="Calibri"/>
          <w:color w:val="231F1F"/>
          <w:w w:val="105"/>
        </w:rPr>
        <w:t>Ciclosporin: </w:t>
      </w:r>
      <w:r>
        <w:rPr>
          <w:color w:val="231F1F"/>
          <w:w w:val="105"/>
        </w:rPr>
        <w:t>vitamin E possibly affects plasma concentration of</w:t>
      </w:r>
    </w:p>
    <w:p>
      <w:pPr>
        <w:spacing w:line="130" w:lineRule="exact" w:before="0"/>
        <w:ind w:left="283" w:right="0" w:firstLine="0"/>
        <w:jc w:val="left"/>
        <w:rPr>
          <w:rFonts w:ascii="Calibri"/>
          <w:sz w:val="11"/>
        </w:rPr>
      </w:pPr>
      <w:r>
        <w:rPr>
          <w:rFonts w:ascii="Calibri"/>
          <w:color w:val="008356"/>
          <w:sz w:val="11"/>
        </w:rPr>
        <w:t>CICLOSPORIN</w:t>
      </w:r>
    </w:p>
    <w:p>
      <w:pPr>
        <w:pStyle w:val="BodyText"/>
        <w:spacing w:line="237" w:lineRule="auto"/>
        <w:ind w:left="283" w:right="574" w:hanging="100"/>
        <w:rPr>
          <w:rFonts w:ascii="Calibri" w:hAnsi="Calibri"/>
          <w:sz w:val="11"/>
        </w:rPr>
      </w:pPr>
      <w:r>
        <w:rPr>
          <w:rFonts w:ascii="Lucida Sans Unicode" w:hAnsi="Lucida Sans Unicode"/>
          <w:color w:val="A7A8AC"/>
          <w:w w:val="95"/>
          <w:sz w:val="10"/>
        </w:rPr>
        <w:t>▶ </w:t>
      </w:r>
      <w:r>
        <w:rPr>
          <w:rFonts w:ascii="Calibri" w:hAnsi="Calibri"/>
          <w:color w:val="231F1F"/>
          <w:w w:val="110"/>
        </w:rPr>
        <w:t>Cytotoxics: </w:t>
      </w:r>
      <w:r>
        <w:rPr>
          <w:color w:val="231F1F"/>
          <w:w w:val="110"/>
        </w:rPr>
        <w:t>effects of alfacalcidol, calcitriol, colecalciferol, dihydrotachysterol, ergocalciferol, paricalcitol and vitamin D possibly reduced by </w:t>
      </w:r>
      <w:r>
        <w:rPr>
          <w:rFonts w:ascii="Calibri" w:hAnsi="Calibri"/>
          <w:color w:val="008356"/>
          <w:w w:val="110"/>
          <w:sz w:val="11"/>
        </w:rPr>
        <w:t>DACTINOMYCIN</w:t>
      </w:r>
      <w:r>
        <w:rPr>
          <w:color w:val="231F1F"/>
          <w:w w:val="110"/>
        </w:rPr>
        <w:t>; avoidance of vitamin E advised by manufacturer of </w:t>
      </w:r>
      <w:r>
        <w:rPr>
          <w:rFonts w:ascii="Calibri" w:hAnsi="Calibri"/>
          <w:color w:val="008356"/>
          <w:w w:val="110"/>
          <w:sz w:val="11"/>
        </w:rPr>
        <w:t>IBRUTINIB</w:t>
      </w:r>
    </w:p>
    <w:p>
      <w:pPr>
        <w:pStyle w:val="BodyText"/>
        <w:spacing w:line="242" w:lineRule="auto"/>
        <w:ind w:left="283" w:right="647" w:hanging="100"/>
        <w:rPr>
          <w:rFonts w:ascii="Calibri" w:hAnsi="Calibri"/>
          <w:sz w:val="11"/>
        </w:rPr>
      </w:pPr>
      <w:r>
        <w:rPr>
          <w:rFonts w:ascii="Lucida Sans Unicode" w:hAnsi="Lucida Sans Unicode"/>
          <w:color w:val="A7A8AC"/>
          <w:w w:val="95"/>
          <w:sz w:val="10"/>
        </w:rPr>
        <w:t>▶ </w:t>
      </w:r>
      <w:r>
        <w:rPr>
          <w:rFonts w:ascii="Calibri" w:hAnsi="Calibri"/>
          <w:color w:val="231F1F"/>
          <w:w w:val="110"/>
        </w:rPr>
        <w:t>Diuretics: </w:t>
      </w:r>
      <w:r>
        <w:rPr>
          <w:color w:val="231F1F"/>
          <w:w w:val="110"/>
        </w:rPr>
        <w:t>increased risk of hypercalcaemia when alfacalcidol, calcitriol, colecalciferol, dihydrotachysterol, ergocalciferol, paricalcitol or vitamin D given with </w:t>
      </w:r>
      <w:r>
        <w:rPr>
          <w:rFonts w:ascii="Calibri" w:hAnsi="Calibri"/>
          <w:color w:val="008356"/>
          <w:w w:val="110"/>
          <w:sz w:val="11"/>
        </w:rPr>
        <w:t>THIAZIDES AND RELATED DIURETICS</w:t>
      </w:r>
    </w:p>
    <w:p>
      <w:pPr>
        <w:pStyle w:val="BodyText"/>
        <w:spacing w:line="220" w:lineRule="auto"/>
        <w:ind w:left="283" w:right="628" w:hanging="100"/>
      </w:pPr>
      <w:r>
        <w:rPr>
          <w:rFonts w:ascii="Lucida Sans Unicode" w:hAnsi="Lucida Sans Unicode"/>
          <w:color w:val="A7A8AC"/>
          <w:w w:val="95"/>
          <w:sz w:val="10"/>
        </w:rPr>
        <w:t>▶ </w:t>
      </w:r>
      <w:r>
        <w:rPr>
          <w:rFonts w:ascii="Calibri" w:hAnsi="Calibri"/>
          <w:color w:val="231F1F"/>
          <w:w w:val="110"/>
        </w:rPr>
        <w:t>Dopaminergics: </w:t>
      </w:r>
      <w:r>
        <w:rPr>
          <w:color w:val="231F1F"/>
          <w:w w:val="110"/>
        </w:rPr>
        <w:t>pyridoxine reduces effects of </w:t>
      </w:r>
      <w:r>
        <w:rPr>
          <w:rFonts w:ascii="Calibri" w:hAnsi="Calibri"/>
          <w:color w:val="008356"/>
          <w:w w:val="110"/>
          <w:sz w:val="11"/>
        </w:rPr>
        <w:t>LEVODOPA </w:t>
      </w:r>
      <w:r>
        <w:rPr>
          <w:color w:val="231F1F"/>
          <w:w w:val="110"/>
        </w:rPr>
        <w:t>when given without dopa-decarboxylase inhibitor</w:t>
      </w:r>
    </w:p>
    <w:p>
      <w:pPr>
        <w:pStyle w:val="BodyText"/>
        <w:spacing w:line="230" w:lineRule="auto" w:before="2"/>
        <w:ind w:left="283" w:right="505" w:hanging="100"/>
      </w:pPr>
      <w:r>
        <w:rPr>
          <w:rFonts w:ascii="Lucida Sans Unicode" w:hAnsi="Lucida Sans Unicode"/>
          <w:color w:val="A7A8AC"/>
          <w:w w:val="95"/>
          <w:sz w:val="10"/>
        </w:rPr>
        <w:t>▶ </w:t>
      </w:r>
      <w:r>
        <w:rPr>
          <w:rFonts w:ascii="Calibri" w:hAnsi="Calibri"/>
          <w:color w:val="231F1F"/>
          <w:w w:val="110"/>
        </w:rPr>
        <w:t>Lipid-regulating Drugs: </w:t>
      </w:r>
      <w:r>
        <w:rPr>
          <w:color w:val="231F1F"/>
          <w:w w:val="110"/>
        </w:rPr>
        <w:t>absorption of calcitriol possibly reduced by </w:t>
      </w:r>
      <w:r>
        <w:rPr>
          <w:rFonts w:ascii="Calibri" w:hAnsi="Calibri"/>
          <w:color w:val="008356"/>
          <w:w w:val="110"/>
          <w:sz w:val="11"/>
        </w:rPr>
        <w:t>COLESTYRAMINE </w:t>
      </w:r>
      <w:r>
        <w:rPr>
          <w:color w:val="231F1F"/>
          <w:w w:val="110"/>
        </w:rPr>
        <w:t>(give at least 1 hour before or 4 to 6 hours after colestyramine)</w:t>
      </w:r>
    </w:p>
    <w:p>
      <w:pPr>
        <w:pStyle w:val="BodyText"/>
        <w:spacing w:before="3"/>
        <w:ind w:left="283" w:right="761" w:hanging="100"/>
      </w:pPr>
      <w:r>
        <w:rPr>
          <w:rFonts w:ascii="Arial" w:hAnsi="Arial"/>
          <w:color w:val="231F1F"/>
          <w:w w:val="355"/>
          <w:position w:val="1"/>
          <w:sz w:val="7"/>
        </w:rPr>
        <w:t>l</w:t>
      </w:r>
      <w:r>
        <w:rPr>
          <w:rFonts w:ascii="Arial" w:hAnsi="Arial"/>
          <w:color w:val="231F1F"/>
          <w:spacing w:val="-47"/>
          <w:w w:val="355"/>
          <w:position w:val="1"/>
          <w:sz w:val="7"/>
        </w:rPr>
        <w:t> </w:t>
      </w:r>
      <w:r>
        <w:rPr>
          <w:rFonts w:ascii="Calibri" w:hAnsi="Calibri"/>
          <w:color w:val="231F1F"/>
          <w:w w:val="115"/>
        </w:rPr>
        <w:t>Retinoids:</w:t>
      </w:r>
      <w:r>
        <w:rPr>
          <w:rFonts w:ascii="Calibri" w:hAnsi="Calibri"/>
          <w:color w:val="231F1F"/>
          <w:spacing w:val="-14"/>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hypervitaminosis</w:t>
      </w:r>
      <w:r>
        <w:rPr>
          <w:color w:val="231F1F"/>
          <w:spacing w:val="-17"/>
          <w:w w:val="115"/>
        </w:rPr>
        <w:t> </w:t>
      </w:r>
      <w:r>
        <w:rPr>
          <w:color w:val="231F1F"/>
          <w:w w:val="115"/>
        </w:rPr>
        <w:t>A</w:t>
      </w:r>
      <w:r>
        <w:rPr>
          <w:color w:val="231F1F"/>
          <w:spacing w:val="-16"/>
          <w:w w:val="115"/>
        </w:rPr>
        <w:t> </w:t>
      </w:r>
      <w:r>
        <w:rPr>
          <w:color w:val="231F1F"/>
          <w:w w:val="115"/>
        </w:rPr>
        <w:t>when</w:t>
      </w:r>
      <w:r>
        <w:rPr>
          <w:color w:val="231F1F"/>
          <w:spacing w:val="-17"/>
          <w:w w:val="115"/>
        </w:rPr>
        <w:t> </w:t>
      </w:r>
      <w:r>
        <w:rPr>
          <w:color w:val="231F1F"/>
          <w:w w:val="115"/>
        </w:rPr>
        <w:t>vitamin</w:t>
      </w:r>
      <w:r>
        <w:rPr>
          <w:color w:val="231F1F"/>
          <w:spacing w:val="-17"/>
          <w:w w:val="115"/>
        </w:rPr>
        <w:t> </w:t>
      </w:r>
      <w:r>
        <w:rPr>
          <w:color w:val="231F1F"/>
          <w:w w:val="115"/>
        </w:rPr>
        <w:t>A</w:t>
      </w:r>
      <w:r>
        <w:rPr>
          <w:color w:val="231F1F"/>
          <w:spacing w:val="-16"/>
          <w:w w:val="115"/>
        </w:rPr>
        <w:t> </w:t>
      </w:r>
      <w:r>
        <w:rPr>
          <w:color w:val="231F1F"/>
          <w:spacing w:val="-3"/>
          <w:w w:val="115"/>
        </w:rPr>
        <w:t>given </w:t>
      </w:r>
      <w:r>
        <w:rPr>
          <w:color w:val="231F1F"/>
          <w:w w:val="115"/>
        </w:rPr>
        <w:t>with</w:t>
      </w:r>
      <w:r>
        <w:rPr>
          <w:color w:val="231F1F"/>
          <w:spacing w:val="-7"/>
          <w:w w:val="115"/>
        </w:rPr>
        <w:t> </w:t>
      </w:r>
      <w:r>
        <w:rPr>
          <w:rFonts w:ascii="Arial" w:hAnsi="Arial"/>
          <w:color w:val="231F1F"/>
          <w:w w:val="355"/>
          <w:position w:val="1"/>
          <w:sz w:val="7"/>
        </w:rPr>
        <w:t>l</w:t>
      </w:r>
      <w:r>
        <w:rPr>
          <w:rFonts w:ascii="Arial" w:hAnsi="Arial"/>
          <w:color w:val="231F1F"/>
          <w:spacing w:val="-42"/>
          <w:w w:val="355"/>
          <w:position w:val="1"/>
          <w:sz w:val="7"/>
        </w:rPr>
        <w:t> </w:t>
      </w:r>
      <w:r>
        <w:rPr>
          <w:rFonts w:ascii="Calibri" w:hAnsi="Calibri"/>
          <w:color w:val="008356"/>
          <w:spacing w:val="2"/>
          <w:w w:val="115"/>
          <w:sz w:val="11"/>
        </w:rPr>
        <w:t>RETINOIDS</w:t>
      </w:r>
      <w:r>
        <w:rPr>
          <w:rFonts w:ascii="Arial" w:hAnsi="Arial"/>
          <w:color w:val="231F1F"/>
          <w:spacing w:val="2"/>
          <w:w w:val="115"/>
        </w:rPr>
        <w:t>—</w:t>
      </w:r>
      <w:r>
        <w:rPr>
          <w:color w:val="231F1F"/>
          <w:spacing w:val="2"/>
          <w:w w:val="115"/>
        </w:rPr>
        <w:t>avoid</w:t>
      </w:r>
      <w:r>
        <w:rPr>
          <w:color w:val="231F1F"/>
          <w:spacing w:val="-7"/>
          <w:w w:val="115"/>
        </w:rPr>
        <w:t> </w:t>
      </w:r>
      <w:r>
        <w:rPr>
          <w:color w:val="231F1F"/>
          <w:w w:val="115"/>
        </w:rPr>
        <w:t>concomitant</w:t>
      </w:r>
      <w:r>
        <w:rPr>
          <w:color w:val="231F1F"/>
          <w:spacing w:val="-7"/>
          <w:w w:val="115"/>
        </w:rPr>
        <w:t> </w:t>
      </w:r>
      <w:r>
        <w:rPr>
          <w:color w:val="231F1F"/>
          <w:w w:val="115"/>
        </w:rPr>
        <w:t>use</w:t>
      </w:r>
    </w:p>
    <w:p>
      <w:pPr>
        <w:pStyle w:val="BodyText"/>
        <w:spacing w:line="148" w:lineRule="exact"/>
        <w:ind w:left="183"/>
      </w:pPr>
      <w:r>
        <w:rPr>
          <w:rFonts w:ascii="Lucida Sans Unicode" w:hAnsi="Lucida Sans Unicode"/>
          <w:color w:val="A7A8AC"/>
          <w:w w:val="95"/>
          <w:sz w:val="10"/>
        </w:rPr>
        <w:t>▶ </w:t>
      </w:r>
      <w:r>
        <w:rPr>
          <w:rFonts w:ascii="Calibri" w:hAnsi="Calibri"/>
          <w:color w:val="231F1F"/>
          <w:w w:val="105"/>
        </w:rPr>
        <w:t>Selenium: </w:t>
      </w:r>
      <w:r>
        <w:rPr>
          <w:color w:val="231F1F"/>
          <w:w w:val="105"/>
        </w:rPr>
        <w:t>ascorbic acid possibly reduces absorption of</w:t>
      </w:r>
    </w:p>
    <w:p>
      <w:pPr>
        <w:spacing w:line="134" w:lineRule="exact" w:before="0"/>
        <w:ind w:left="283" w:right="0" w:firstLine="0"/>
        <w:jc w:val="left"/>
        <w:rPr>
          <w:sz w:val="12"/>
        </w:rPr>
      </w:pPr>
      <w:r>
        <w:rPr>
          <w:rFonts w:ascii="Calibri"/>
          <w:color w:val="008356"/>
          <w:w w:val="110"/>
          <w:sz w:val="11"/>
        </w:rPr>
        <w:t>SELENIUM </w:t>
      </w:r>
      <w:r>
        <w:rPr>
          <w:color w:val="231F1F"/>
          <w:w w:val="110"/>
          <w:sz w:val="12"/>
        </w:rPr>
        <w:t>(give at least 4 hours apart)</w:t>
      </w:r>
    </w:p>
    <w:p>
      <w:pPr>
        <w:pStyle w:val="BodyText"/>
        <w:spacing w:line="151" w:lineRule="exact"/>
        <w:ind w:left="183"/>
        <w:rPr>
          <w:rFonts w:ascii="Calibri" w:hAnsi="Calibri"/>
          <w:sz w:val="11"/>
        </w:rPr>
      </w:pPr>
      <w:r>
        <w:rPr>
          <w:rFonts w:ascii="Lucida Sans Unicode" w:hAnsi="Lucida Sans Unicode"/>
          <w:color w:val="A7A8AC"/>
          <w:w w:val="95"/>
          <w:sz w:val="10"/>
        </w:rPr>
        <w:t>▶ </w:t>
      </w:r>
      <w:r>
        <w:rPr>
          <w:rFonts w:ascii="Calibri" w:hAnsi="Calibri"/>
          <w:color w:val="231F1F"/>
          <w:w w:val="105"/>
        </w:rPr>
        <w:t>Sevelamer: </w:t>
      </w:r>
      <w:r>
        <w:rPr>
          <w:color w:val="231F1F"/>
          <w:w w:val="105"/>
        </w:rPr>
        <w:t>absorption of calcitriol reduced by </w:t>
      </w:r>
      <w:r>
        <w:rPr>
          <w:rFonts w:ascii="Calibri" w:hAnsi="Calibri"/>
          <w:color w:val="008356"/>
          <w:w w:val="105"/>
          <w:sz w:val="11"/>
        </w:rPr>
        <w:t>SEVELAMER</w:t>
      </w:r>
    </w:p>
    <w:p>
      <w:pPr>
        <w:pStyle w:val="BodyText"/>
        <w:spacing w:line="132" w:lineRule="exact"/>
        <w:ind w:left="283"/>
      </w:pPr>
      <w:r>
        <w:rPr>
          <w:color w:val="231F1F"/>
          <w:w w:val="115"/>
        </w:rPr>
        <w:t>(give at least 1 hour before or 3 hours after sevelamer)</w:t>
      </w:r>
    </w:p>
    <w:p>
      <w:pPr>
        <w:pStyle w:val="BodyText"/>
        <w:spacing w:before="11"/>
        <w:ind w:left="183"/>
      </w:pPr>
      <w:r>
        <w:rPr>
          <w:rFonts w:ascii="Trebuchet MS"/>
          <w:color w:val="008356"/>
          <w:w w:val="110"/>
        </w:rPr>
        <w:t>Voriconazole </w:t>
      </w:r>
      <w:r>
        <w:rPr>
          <w:i/>
          <w:color w:val="231F1F"/>
          <w:w w:val="110"/>
        </w:rPr>
        <w:t>see </w:t>
      </w:r>
      <w:r>
        <w:rPr>
          <w:color w:val="231F1F"/>
          <w:w w:val="110"/>
        </w:rPr>
        <w:t>Antifungals, Triazole</w:t>
      </w:r>
    </w:p>
    <w:p>
      <w:pPr>
        <w:pStyle w:val="BodyText"/>
        <w:spacing w:before="10"/>
        <w:ind w:left="183"/>
      </w:pPr>
      <w:r>
        <w:rPr>
          <w:rFonts w:ascii="Trebuchet MS"/>
          <w:color w:val="008356"/>
          <w:w w:val="110"/>
        </w:rPr>
        <w:t>Warfarin </w:t>
      </w:r>
      <w:r>
        <w:rPr>
          <w:i/>
          <w:color w:val="231F1F"/>
          <w:w w:val="110"/>
        </w:rPr>
        <w:t>see </w:t>
      </w:r>
      <w:r>
        <w:rPr>
          <w:color w:val="231F1F"/>
          <w:w w:val="110"/>
        </w:rPr>
        <w:t>Coumarins</w:t>
      </w:r>
    </w:p>
    <w:p>
      <w:pPr>
        <w:pStyle w:val="BodyText"/>
        <w:spacing w:before="10"/>
        <w:ind w:left="183"/>
        <w:rPr>
          <w:rFonts w:ascii="Trebuchet MS"/>
        </w:rPr>
      </w:pPr>
      <w:r>
        <w:rPr>
          <w:rFonts w:ascii="Trebuchet MS"/>
          <w:color w:val="008356"/>
        </w:rPr>
        <w:t>Wasp Venom Extracts</w:t>
      </w:r>
    </w:p>
    <w:p>
      <w:pPr>
        <w:pStyle w:val="BodyText"/>
        <w:spacing w:before="1"/>
        <w:ind w:left="283" w:right="746" w:hanging="100"/>
        <w:rPr>
          <w:rFonts w:ascii="Calibri"/>
          <w:sz w:val="11"/>
        </w:rPr>
      </w:pPr>
      <w:r>
        <w:rPr>
          <w:rFonts w:ascii="Arial"/>
          <w:color w:val="231F1F"/>
          <w:w w:val="355"/>
          <w:position w:val="1"/>
          <w:sz w:val="7"/>
        </w:rPr>
        <w:t>l </w:t>
      </w:r>
      <w:r>
        <w:rPr>
          <w:rFonts w:ascii="Calibri"/>
          <w:color w:val="231F1F"/>
          <w:w w:val="110"/>
        </w:rPr>
        <w:t>ACE Inhibitors: </w:t>
      </w:r>
      <w:r>
        <w:rPr>
          <w:color w:val="231F1F"/>
          <w:w w:val="110"/>
        </w:rPr>
        <w:t>possible severe anaphylactoid reaction </w:t>
      </w:r>
      <w:r>
        <w:rPr>
          <w:color w:val="231F1F"/>
          <w:spacing w:val="-4"/>
          <w:w w:val="110"/>
        </w:rPr>
        <w:t>when </w:t>
      </w:r>
      <w:r>
        <w:rPr>
          <w:color w:val="231F1F"/>
          <w:w w:val="110"/>
        </w:rPr>
        <w:t>wasp venom extracts given with </w:t>
      </w:r>
      <w:r>
        <w:rPr>
          <w:rFonts w:ascii="Arial"/>
          <w:color w:val="231F1F"/>
          <w:w w:val="355"/>
          <w:position w:val="1"/>
          <w:sz w:val="7"/>
        </w:rPr>
        <w:t>l</w:t>
      </w:r>
      <w:r>
        <w:rPr>
          <w:rFonts w:ascii="Arial"/>
          <w:color w:val="231F1F"/>
          <w:spacing w:val="-56"/>
          <w:w w:val="355"/>
          <w:position w:val="1"/>
          <w:sz w:val="7"/>
        </w:rPr>
        <w:t> </w:t>
      </w:r>
      <w:r>
        <w:rPr>
          <w:rFonts w:ascii="Calibri"/>
          <w:color w:val="008356"/>
          <w:spacing w:val="3"/>
          <w:w w:val="110"/>
          <w:sz w:val="11"/>
        </w:rPr>
        <w:t>ACE </w:t>
      </w:r>
      <w:r>
        <w:rPr>
          <w:rFonts w:ascii="Calibri"/>
          <w:color w:val="008356"/>
          <w:spacing w:val="4"/>
          <w:w w:val="110"/>
          <w:sz w:val="11"/>
        </w:rPr>
        <w:t>INHIBITORS</w:t>
      </w:r>
    </w:p>
    <w:p>
      <w:pPr>
        <w:pStyle w:val="BodyText"/>
        <w:spacing w:before="6"/>
        <w:ind w:left="183"/>
      </w:pPr>
      <w:r>
        <w:rPr>
          <w:rFonts w:ascii="Trebuchet MS"/>
          <w:color w:val="008356"/>
          <w:w w:val="105"/>
        </w:rPr>
        <w:t>Xipamide </w:t>
      </w:r>
      <w:r>
        <w:rPr>
          <w:i/>
          <w:color w:val="231F1F"/>
          <w:w w:val="105"/>
        </w:rPr>
        <w:t>see </w:t>
      </w:r>
      <w:r>
        <w:rPr>
          <w:color w:val="231F1F"/>
          <w:w w:val="105"/>
        </w:rPr>
        <w:t>Diuretics</w:t>
      </w:r>
    </w:p>
    <w:p>
      <w:pPr>
        <w:pStyle w:val="BodyText"/>
        <w:spacing w:before="10"/>
        <w:ind w:left="183"/>
      </w:pPr>
      <w:r>
        <w:rPr>
          <w:rFonts w:ascii="Trebuchet MS"/>
          <w:color w:val="008356"/>
          <w:w w:val="110"/>
        </w:rPr>
        <w:t>Xylometazoline </w:t>
      </w:r>
      <w:r>
        <w:rPr>
          <w:i/>
          <w:color w:val="231F1F"/>
          <w:w w:val="110"/>
        </w:rPr>
        <w:t>see </w:t>
      </w:r>
      <w:r>
        <w:rPr>
          <w:color w:val="231F1F"/>
          <w:w w:val="110"/>
        </w:rPr>
        <w:t>Sympathomimetics</w:t>
      </w:r>
    </w:p>
    <w:p>
      <w:pPr>
        <w:pStyle w:val="BodyText"/>
        <w:spacing w:before="10"/>
        <w:ind w:left="183"/>
      </w:pPr>
      <w:r>
        <w:rPr>
          <w:rFonts w:ascii="Trebuchet MS"/>
          <w:color w:val="008356"/>
        </w:rPr>
        <w:t>Yellow Fever Vaccine </w:t>
      </w:r>
      <w:r>
        <w:rPr>
          <w:i/>
          <w:color w:val="231F1F"/>
        </w:rPr>
        <w:t>see </w:t>
      </w:r>
      <w:r>
        <w:rPr>
          <w:color w:val="231F1F"/>
        </w:rPr>
        <w:t>Vaccines</w:t>
      </w:r>
    </w:p>
    <w:p>
      <w:pPr>
        <w:pStyle w:val="BodyText"/>
        <w:spacing w:line="256" w:lineRule="auto" w:before="11"/>
        <w:ind w:left="183" w:right="1255"/>
        <w:rPr>
          <w:rFonts w:ascii="Trebuchet MS"/>
        </w:rPr>
      </w:pPr>
      <w:r>
        <w:rPr>
          <w:rFonts w:ascii="Trebuchet MS"/>
          <w:color w:val="008356"/>
          <w:w w:val="110"/>
        </w:rPr>
        <w:t>Zafirlukast </w:t>
      </w:r>
      <w:r>
        <w:rPr>
          <w:i/>
          <w:color w:val="231F1F"/>
          <w:w w:val="110"/>
        </w:rPr>
        <w:t>see </w:t>
      </w:r>
      <w:r>
        <w:rPr>
          <w:color w:val="231F1F"/>
          <w:w w:val="110"/>
        </w:rPr>
        <w:t>Leukotriene Receptor Antagonists </w:t>
      </w:r>
      <w:r>
        <w:rPr>
          <w:rFonts w:ascii="Trebuchet MS"/>
          <w:color w:val="008356"/>
          <w:w w:val="110"/>
        </w:rPr>
        <w:t>Zaleplon </w:t>
      </w:r>
      <w:r>
        <w:rPr>
          <w:i/>
          <w:color w:val="231F1F"/>
          <w:w w:val="110"/>
        </w:rPr>
        <w:t>see </w:t>
      </w:r>
      <w:r>
        <w:rPr>
          <w:color w:val="231F1F"/>
          <w:w w:val="110"/>
        </w:rPr>
        <w:t>Anxiolytics and Hypnotics </w:t>
      </w:r>
      <w:r>
        <w:rPr>
          <w:rFonts w:ascii="Trebuchet MS"/>
          <w:color w:val="008356"/>
          <w:w w:val="110"/>
        </w:rPr>
        <w:t>Zidovudine</w:t>
      </w:r>
    </w:p>
    <w:p>
      <w:pPr>
        <w:pStyle w:val="BodyText"/>
        <w:spacing w:line="242" w:lineRule="auto"/>
        <w:ind w:left="283" w:right="675" w:hanging="1"/>
      </w:pPr>
      <w:r>
        <w:rPr>
          <w:rFonts w:ascii="Calibri" w:hAnsi="Calibri"/>
          <w:color w:val="008356"/>
          <w:spacing w:val="3"/>
          <w:w w:val="115"/>
          <w:sz w:val="11"/>
        </w:rPr>
        <w:t>NOTE </w:t>
      </w:r>
      <w:r>
        <w:rPr>
          <w:color w:val="231F1F"/>
          <w:w w:val="115"/>
        </w:rPr>
        <w:t>Increased risk of toxicity with nephrotoxic and myelosuppressive</w:t>
      </w:r>
      <w:r>
        <w:rPr>
          <w:color w:val="231F1F"/>
          <w:spacing w:val="-14"/>
          <w:w w:val="115"/>
        </w:rPr>
        <w:t> </w:t>
      </w:r>
      <w:r>
        <w:rPr>
          <w:color w:val="231F1F"/>
          <w:w w:val="115"/>
        </w:rPr>
        <w:t>drugs</w:t>
      </w:r>
      <w:r>
        <w:rPr>
          <w:rFonts w:ascii="Arial" w:hAnsi="Arial"/>
          <w:color w:val="231F1F"/>
          <w:w w:val="115"/>
        </w:rPr>
        <w:t>—</w:t>
      </w:r>
      <w:r>
        <w:rPr>
          <w:color w:val="231F1F"/>
          <w:w w:val="115"/>
        </w:rPr>
        <w:t>for</w:t>
      </w:r>
      <w:r>
        <w:rPr>
          <w:color w:val="231F1F"/>
          <w:spacing w:val="-14"/>
          <w:w w:val="115"/>
        </w:rPr>
        <w:t> </w:t>
      </w:r>
      <w:r>
        <w:rPr>
          <w:color w:val="231F1F"/>
          <w:w w:val="115"/>
        </w:rPr>
        <w:t>further</w:t>
      </w:r>
      <w:r>
        <w:rPr>
          <w:color w:val="231F1F"/>
          <w:spacing w:val="-14"/>
          <w:w w:val="115"/>
        </w:rPr>
        <w:t> </w:t>
      </w:r>
      <w:r>
        <w:rPr>
          <w:color w:val="231F1F"/>
          <w:w w:val="115"/>
        </w:rPr>
        <w:t>details</w:t>
      </w:r>
      <w:r>
        <w:rPr>
          <w:color w:val="231F1F"/>
          <w:spacing w:val="-15"/>
          <w:w w:val="115"/>
        </w:rPr>
        <w:t> </w:t>
      </w:r>
      <w:r>
        <w:rPr>
          <w:color w:val="231F1F"/>
          <w:w w:val="115"/>
        </w:rPr>
        <w:t>consult</w:t>
      </w:r>
      <w:r>
        <w:rPr>
          <w:color w:val="231F1F"/>
          <w:spacing w:val="-14"/>
          <w:w w:val="115"/>
        </w:rPr>
        <w:t> </w:t>
      </w:r>
      <w:r>
        <w:rPr>
          <w:color w:val="231F1F"/>
          <w:w w:val="115"/>
        </w:rPr>
        <w:t>product literature</w:t>
      </w:r>
    </w:p>
    <w:p>
      <w:pPr>
        <w:pStyle w:val="BodyText"/>
        <w:spacing w:line="230" w:lineRule="auto"/>
        <w:ind w:left="283" w:right="7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Analgesics: </w:t>
      </w:r>
      <w:r>
        <w:rPr>
          <w:color w:val="231F1F"/>
          <w:w w:val="110"/>
        </w:rPr>
        <w:t>increased risk of haematological toxicity when zidovudine given with </w:t>
      </w:r>
      <w:r>
        <w:rPr>
          <w:rFonts w:ascii="Calibri" w:hAnsi="Calibri"/>
          <w:color w:val="008356"/>
          <w:w w:val="110"/>
          <w:sz w:val="11"/>
        </w:rPr>
        <w:t>NSAID</w:t>
      </w:r>
      <w:r>
        <w:rPr>
          <w:rFonts w:ascii="Calibri" w:hAnsi="Calibri"/>
          <w:color w:val="008356"/>
          <w:w w:val="110"/>
          <w:sz w:val="9"/>
        </w:rPr>
        <w:t>S</w:t>
      </w:r>
      <w:r>
        <w:rPr>
          <w:color w:val="231F1F"/>
          <w:w w:val="110"/>
        </w:rPr>
        <w:t>; plasma concentration of zidovudine possibly increased by </w:t>
      </w:r>
      <w:r>
        <w:rPr>
          <w:rFonts w:ascii="Calibri" w:hAnsi="Calibri"/>
          <w:color w:val="008356"/>
          <w:w w:val="110"/>
          <w:sz w:val="11"/>
        </w:rPr>
        <w:t>METHADONE</w:t>
      </w:r>
    </w:p>
    <w:p>
      <w:pPr>
        <w:pStyle w:val="BodyText"/>
        <w:spacing w:line="237" w:lineRule="auto"/>
        <w:ind w:left="283" w:right="7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Antibacterials: </w:t>
      </w:r>
      <w:r>
        <w:rPr>
          <w:color w:val="231F1F"/>
          <w:w w:val="110"/>
        </w:rPr>
        <w:t>absorption of zidovudine reduced by </w:t>
      </w:r>
      <w:r>
        <w:rPr>
          <w:rFonts w:ascii="Calibri" w:hAnsi="Calibri"/>
          <w:color w:val="008356"/>
          <w:w w:val="110"/>
          <w:sz w:val="11"/>
        </w:rPr>
        <w:t>CLARITHROMYCIN </w:t>
      </w:r>
      <w:r>
        <w:rPr>
          <w:color w:val="231F1F"/>
          <w:w w:val="110"/>
        </w:rPr>
        <w:t>tablets (give at least 2 hours apart); manufacturer of zidovudine advises avoid concomitant use with </w:t>
      </w:r>
      <w:r>
        <w:rPr>
          <w:rFonts w:ascii="Calibri" w:hAnsi="Calibri"/>
          <w:color w:val="008356"/>
          <w:w w:val="110"/>
          <w:sz w:val="11"/>
        </w:rPr>
        <w:t>RIFAMPICIN</w:t>
      </w:r>
    </w:p>
    <w:p>
      <w:pPr>
        <w:spacing w:line="235" w:lineRule="auto" w:before="0"/>
        <w:ind w:left="283" w:right="919" w:hanging="100"/>
        <w:jc w:val="left"/>
        <w:rPr>
          <w:sz w:val="12"/>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zidovudine increases or decreases plasma concentration of </w:t>
      </w:r>
      <w:r>
        <w:rPr>
          <w:rFonts w:ascii="Calibri" w:hAnsi="Calibri"/>
          <w:color w:val="008356"/>
          <w:w w:val="105"/>
          <w:sz w:val="11"/>
        </w:rPr>
        <w:t>FOSPHENYTOIN </w:t>
      </w:r>
      <w:r>
        <w:rPr>
          <w:color w:val="231F1F"/>
          <w:w w:val="105"/>
          <w:sz w:val="12"/>
        </w:rPr>
        <w:t>and </w:t>
      </w:r>
      <w:r>
        <w:rPr>
          <w:rFonts w:ascii="Calibri" w:hAnsi="Calibri"/>
          <w:color w:val="008356"/>
          <w:w w:val="105"/>
          <w:sz w:val="11"/>
        </w:rPr>
        <w:t>PHENYTOIN</w:t>
      </w:r>
      <w:r>
        <w:rPr>
          <w:color w:val="231F1F"/>
          <w:w w:val="105"/>
          <w:sz w:val="12"/>
        </w:rPr>
        <w:t>; plasma concentration of zidovudine possibly increased by </w:t>
      </w:r>
      <w:r>
        <w:rPr>
          <w:rFonts w:ascii="Calibri" w:hAnsi="Calibri"/>
          <w:color w:val="008356"/>
          <w:w w:val="105"/>
          <w:sz w:val="11"/>
        </w:rPr>
        <w:t>SODIUM VALPROATE </w:t>
      </w:r>
      <w:r>
        <w:rPr>
          <w:color w:val="231F1F"/>
          <w:w w:val="105"/>
          <w:sz w:val="12"/>
        </w:rPr>
        <w:t>and </w:t>
      </w:r>
      <w:r>
        <w:rPr>
          <w:rFonts w:ascii="Calibri" w:hAnsi="Calibri"/>
          <w:color w:val="008356"/>
          <w:w w:val="105"/>
          <w:sz w:val="11"/>
        </w:rPr>
        <w:t>VALPROIC ACID </w:t>
      </w:r>
      <w:r>
        <w:rPr>
          <w:color w:val="231F1F"/>
          <w:w w:val="105"/>
          <w:sz w:val="12"/>
        </w:rPr>
        <w:t>(increased risk of toxicity)</w:t>
      </w:r>
    </w:p>
    <w:p>
      <w:pPr>
        <w:pStyle w:val="BodyText"/>
        <w:spacing w:line="145" w:lineRule="exact"/>
        <w:ind w:left="183"/>
      </w:pPr>
      <w:r>
        <w:rPr>
          <w:rFonts w:ascii="Arial"/>
          <w:color w:val="231F1F"/>
          <w:w w:val="355"/>
          <w:position w:val="1"/>
          <w:sz w:val="7"/>
        </w:rPr>
        <w:t>l </w:t>
      </w:r>
      <w:r>
        <w:rPr>
          <w:rFonts w:ascii="Calibri"/>
          <w:color w:val="231F1F"/>
          <w:w w:val="115"/>
        </w:rPr>
        <w:t>Antifungals: </w:t>
      </w:r>
      <w:r>
        <w:rPr>
          <w:color w:val="231F1F"/>
          <w:w w:val="115"/>
        </w:rPr>
        <w:t>plasma concentration of zidovudine increased by</w:t>
      </w:r>
    </w:p>
    <w:p>
      <w:pPr>
        <w:spacing w:line="140" w:lineRule="exact" w:before="0"/>
        <w:ind w:left="283" w:right="0" w:firstLine="0"/>
        <w:jc w:val="left"/>
        <w:rPr>
          <w:sz w:val="12"/>
        </w:rPr>
      </w:pPr>
      <w:r>
        <w:rPr>
          <w:rFonts w:ascii="Arial"/>
          <w:color w:val="231F1F"/>
          <w:w w:val="355"/>
          <w:position w:val="1"/>
          <w:sz w:val="7"/>
        </w:rPr>
        <w:t>l </w:t>
      </w:r>
      <w:r>
        <w:rPr>
          <w:rFonts w:ascii="Calibri"/>
          <w:color w:val="008356"/>
          <w:w w:val="110"/>
          <w:sz w:val="11"/>
        </w:rPr>
        <w:t>FLUCONAZOLE </w:t>
      </w:r>
      <w:r>
        <w:rPr>
          <w:color w:val="231F1F"/>
          <w:w w:val="110"/>
          <w:sz w:val="12"/>
        </w:rPr>
        <w:t>(increased risk of toxicity)</w:t>
      </w:r>
    </w:p>
    <w:p>
      <w:pPr>
        <w:pStyle w:val="BodyText"/>
        <w:spacing w:line="220" w:lineRule="auto" w:before="7"/>
        <w:ind w:left="283" w:right="720" w:hanging="100"/>
        <w:rPr>
          <w:rFonts w:ascii="Calibri" w:hAnsi="Calibri"/>
          <w:sz w:val="11"/>
        </w:rPr>
      </w:pPr>
      <w:r>
        <w:rPr>
          <w:rFonts w:ascii="Lucida Sans Unicode" w:hAnsi="Lucida Sans Unicode"/>
          <w:color w:val="A7A8AC"/>
          <w:w w:val="95"/>
          <w:sz w:val="10"/>
        </w:rPr>
        <w:t>▶ </w:t>
      </w:r>
      <w:r>
        <w:rPr>
          <w:rFonts w:ascii="Calibri" w:hAnsi="Calibri"/>
          <w:color w:val="231F1F"/>
          <w:w w:val="110"/>
        </w:rPr>
        <w:t>Antimalarials: </w:t>
      </w:r>
      <w:r>
        <w:rPr>
          <w:color w:val="231F1F"/>
          <w:w w:val="110"/>
        </w:rPr>
        <w:t>increased antifolate effect when zidovudine given with </w:t>
      </w:r>
      <w:r>
        <w:rPr>
          <w:rFonts w:ascii="Calibri" w:hAnsi="Calibri"/>
          <w:color w:val="008356"/>
          <w:w w:val="110"/>
          <w:sz w:val="11"/>
        </w:rPr>
        <w:t>PYRIMETHAMINE</w:t>
      </w:r>
    </w:p>
    <w:p>
      <w:pPr>
        <w:spacing w:after="0" w:line="220" w:lineRule="auto"/>
        <w:rPr>
          <w:rFonts w:ascii="Calibri" w:hAnsi="Calibri"/>
          <w:sz w:val="11"/>
        </w:rPr>
        <w:sectPr>
          <w:pgSz w:w="8390" w:h="11910"/>
          <w:pgMar w:header="0" w:footer="0" w:top="460" w:bottom="280" w:left="480" w:right="0"/>
          <w:cols w:num="2" w:equalWidth="0">
            <w:col w:w="3640" w:space="40"/>
            <w:col w:w="4230"/>
          </w:cols>
        </w:sectPr>
      </w:pPr>
    </w:p>
    <w:p>
      <w:pPr>
        <w:pStyle w:val="BodyText"/>
        <w:spacing w:before="9"/>
        <w:ind w:left="0"/>
        <w:rPr>
          <w:rFonts w:ascii="Calibri"/>
          <w:sz w:val="13"/>
        </w:rPr>
      </w:pPr>
    </w:p>
    <w:p>
      <w:pPr>
        <w:pStyle w:val="BodyText"/>
        <w:spacing w:line="144" w:lineRule="exact"/>
        <w:ind w:left="108"/>
        <w:rPr>
          <w:rFonts w:ascii="Calibri"/>
        </w:rPr>
      </w:pPr>
      <w:r>
        <w:rPr/>
        <w:pict>
          <v:rect style="position:absolute;margin-left:398.891296pt;margin-top:-1.43014pt;width:20.522993pt;height:149.443pt;mso-position-horizontal-relative:page;mso-position-vertical-relative:paragraph;z-index:7072" filled="true" fillcolor="#bfdbcf" stroked="false">
            <v:fill type="solid"/>
            <w10:wrap type="none"/>
          </v:rect>
        </w:pict>
      </w:r>
      <w:r>
        <w:rPr/>
        <w:pict>
          <v:shape style="position:absolute;margin-left:399.725769pt;margin-top:3.533249pt;width:10.4pt;height:78.850pt;mso-position-horizontal-relative:page;mso-position-vertical-relative:paragraph;z-index:7096" type="#_x0000_t202" filled="false" stroked="false">
            <v:textbox inset="0,0,0,0" style="layout-flow:vertical;mso-layout-flow-alt:bottom-to-top">
              <w:txbxContent>
                <w:p>
                  <w:pPr>
                    <w:spacing w:before="9"/>
                    <w:ind w:left="20" w:right="0" w:firstLine="0"/>
                    <w:jc w:val="left"/>
                    <w:rPr>
                      <w:rFonts w:ascii="Trebuchet MS"/>
                      <w:sz w:val="15"/>
                    </w:rPr>
                  </w:pPr>
                  <w:r>
                    <w:rPr>
                      <w:rFonts w:ascii="Calibri"/>
                      <w:color w:val="231F1F"/>
                      <w:sz w:val="15"/>
                    </w:rPr>
                    <w:t>Interactions</w:t>
                  </w:r>
                  <w:r>
                    <w:rPr>
                      <w:rFonts w:ascii="Calibri"/>
                      <w:color w:val="231F1F"/>
                      <w:spacing w:val="-9"/>
                      <w:sz w:val="15"/>
                    </w:rPr>
                    <w:t> </w:t>
                  </w:r>
                  <w:r>
                    <w:rPr>
                      <w:rFonts w:ascii="Arial"/>
                      <w:color w:val="008356"/>
                      <w:sz w:val="15"/>
                    </w:rPr>
                    <w:t>|</w:t>
                  </w:r>
                  <w:r>
                    <w:rPr>
                      <w:rFonts w:ascii="Arial"/>
                      <w:color w:val="008356"/>
                      <w:spacing w:val="-18"/>
                      <w:sz w:val="15"/>
                    </w:rPr>
                    <w:t> </w:t>
                  </w:r>
                  <w:r>
                    <w:rPr>
                      <w:rFonts w:ascii="Trebuchet MS"/>
                      <w:color w:val="231F1F"/>
                      <w:sz w:val="15"/>
                    </w:rPr>
                    <w:t>Appendix</w:t>
                  </w:r>
                  <w:r>
                    <w:rPr>
                      <w:rFonts w:ascii="Trebuchet MS"/>
                      <w:color w:val="231F1F"/>
                      <w:spacing w:val="-20"/>
                      <w:sz w:val="15"/>
                    </w:rPr>
                    <w:t> </w:t>
                  </w:r>
                  <w:r>
                    <w:rPr>
                      <w:rFonts w:ascii="Trebuchet MS"/>
                      <w:color w:val="231F1F"/>
                      <w:sz w:val="15"/>
                    </w:rPr>
                    <w:t>1</w:t>
                  </w:r>
                </w:p>
              </w:txbxContent>
            </v:textbox>
            <w10:wrap type="none"/>
          </v:shape>
        </w:pict>
      </w:r>
      <w:r>
        <w:rPr>
          <w:rFonts w:ascii="Arial"/>
          <w:color w:val="008356"/>
        </w:rPr>
        <w:t>Zidovudine </w:t>
      </w:r>
      <w:r>
        <w:rPr>
          <w:rFonts w:ascii="Calibri"/>
          <w:color w:val="231F1F"/>
        </w:rPr>
        <w:t>(continued)</w:t>
      </w:r>
    </w:p>
    <w:p>
      <w:pPr>
        <w:pStyle w:val="BodyText"/>
        <w:spacing w:line="244" w:lineRule="auto"/>
        <w:ind w:right="4341" w:hanging="100"/>
      </w:pPr>
      <w:r>
        <w:rPr>
          <w:rFonts w:ascii="Arial"/>
          <w:color w:val="231F1F"/>
          <w:w w:val="355"/>
          <w:position w:val="1"/>
          <w:sz w:val="7"/>
        </w:rPr>
        <w:t>l </w:t>
      </w:r>
      <w:r>
        <w:rPr>
          <w:rFonts w:ascii="Calibri"/>
          <w:color w:val="231F1F"/>
          <w:w w:val="110"/>
        </w:rPr>
        <w:t>Antivirals: </w:t>
      </w:r>
      <w:r>
        <w:rPr>
          <w:color w:val="231F1F"/>
          <w:w w:val="110"/>
        </w:rPr>
        <w:t>profound myelosuppression when zidovudine given with </w:t>
      </w:r>
      <w:r>
        <w:rPr>
          <w:rFonts w:ascii="Arial"/>
          <w:color w:val="231F1F"/>
          <w:w w:val="355"/>
          <w:position w:val="1"/>
          <w:sz w:val="7"/>
        </w:rPr>
        <w:t>l </w:t>
      </w:r>
      <w:r>
        <w:rPr>
          <w:rFonts w:ascii="Calibri"/>
          <w:color w:val="008356"/>
          <w:w w:val="110"/>
          <w:sz w:val="11"/>
        </w:rPr>
        <w:t>GANCICLOVIR </w:t>
      </w:r>
      <w:r>
        <w:rPr>
          <w:color w:val="231F1F"/>
          <w:w w:val="110"/>
        </w:rPr>
        <w:t>or </w:t>
      </w:r>
      <w:r>
        <w:rPr>
          <w:rFonts w:ascii="Arial"/>
          <w:color w:val="231F1F"/>
          <w:w w:val="355"/>
          <w:position w:val="1"/>
          <w:sz w:val="7"/>
        </w:rPr>
        <w:t>l </w:t>
      </w:r>
      <w:r>
        <w:rPr>
          <w:rFonts w:ascii="Calibri"/>
          <w:color w:val="008356"/>
          <w:w w:val="110"/>
          <w:sz w:val="11"/>
        </w:rPr>
        <w:t>VALGANCICLOVIR </w:t>
      </w:r>
      <w:r>
        <w:rPr>
          <w:color w:val="231F1F"/>
          <w:w w:val="110"/>
        </w:rPr>
        <w:t>(if possible avoid concomitant administration, particularly during initial ganciclovir or valganciclovir therapy); increased risk of granulocytopenia when zidovudine given with </w:t>
      </w:r>
      <w:r>
        <w:rPr>
          <w:rFonts w:ascii="Arial"/>
          <w:color w:val="231F1F"/>
          <w:w w:val="355"/>
          <w:position w:val="1"/>
          <w:sz w:val="7"/>
        </w:rPr>
        <w:t>l </w:t>
      </w:r>
      <w:r>
        <w:rPr>
          <w:rFonts w:ascii="Calibri"/>
          <w:color w:val="008356"/>
          <w:w w:val="110"/>
          <w:sz w:val="11"/>
        </w:rPr>
        <w:t>NEVIRAPINE</w:t>
      </w:r>
      <w:r>
        <w:rPr>
          <w:color w:val="231F1F"/>
          <w:w w:val="110"/>
        </w:rPr>
        <w:t>; increased risk of anaemia when zidovudine given with</w:t>
      </w:r>
    </w:p>
    <w:p>
      <w:pPr>
        <w:pStyle w:val="BodyText"/>
        <w:spacing w:line="244" w:lineRule="auto"/>
        <w:ind w:right="4506" w:hanging="1"/>
        <w:rPr>
          <w:rFonts w:ascii="Calibri" w:hAnsi="Calibri"/>
          <w:sz w:val="11"/>
        </w:rPr>
      </w:pPr>
      <w:r>
        <w:rPr>
          <w:rFonts w:ascii="Arial" w:hAnsi="Arial"/>
          <w:color w:val="231F1F"/>
          <w:w w:val="355"/>
          <w:position w:val="1"/>
          <w:sz w:val="7"/>
        </w:rPr>
        <w:t>l</w:t>
      </w:r>
      <w:r>
        <w:rPr>
          <w:rFonts w:ascii="Arial" w:hAnsi="Arial"/>
          <w:color w:val="231F1F"/>
          <w:spacing w:val="-53"/>
          <w:w w:val="355"/>
          <w:position w:val="1"/>
          <w:sz w:val="7"/>
        </w:rPr>
        <w:t> </w:t>
      </w:r>
      <w:r>
        <w:rPr>
          <w:rFonts w:ascii="Calibri" w:hAnsi="Calibri"/>
          <w:color w:val="008356"/>
          <w:spacing w:val="2"/>
          <w:w w:val="115"/>
          <w:sz w:val="11"/>
        </w:rPr>
        <w:t>RIBAVIRIN</w:t>
      </w:r>
      <w:r>
        <w:rPr>
          <w:rFonts w:ascii="Arial" w:hAnsi="Arial"/>
          <w:color w:val="231F1F"/>
          <w:spacing w:val="2"/>
          <w:w w:val="115"/>
        </w:rPr>
        <w:t>—</w:t>
      </w:r>
      <w:r>
        <w:rPr>
          <w:color w:val="231F1F"/>
          <w:spacing w:val="2"/>
          <w:w w:val="115"/>
        </w:rPr>
        <w:t>avoid</w:t>
      </w:r>
      <w:r>
        <w:rPr>
          <w:color w:val="231F1F"/>
          <w:spacing w:val="-16"/>
          <w:w w:val="115"/>
        </w:rPr>
        <w:t> </w:t>
      </w:r>
      <w:r>
        <w:rPr>
          <w:color w:val="231F1F"/>
          <w:w w:val="115"/>
        </w:rPr>
        <w:t>concomitant</w:t>
      </w:r>
      <w:r>
        <w:rPr>
          <w:color w:val="231F1F"/>
          <w:spacing w:val="-17"/>
          <w:w w:val="115"/>
        </w:rPr>
        <w:t> </w:t>
      </w:r>
      <w:r>
        <w:rPr>
          <w:color w:val="231F1F"/>
          <w:w w:val="115"/>
        </w:rPr>
        <w:t>use;</w:t>
      </w:r>
      <w:r>
        <w:rPr>
          <w:color w:val="231F1F"/>
          <w:spacing w:val="-16"/>
          <w:w w:val="115"/>
        </w:rPr>
        <w:t> </w:t>
      </w:r>
      <w:r>
        <w:rPr>
          <w:color w:val="231F1F"/>
          <w:w w:val="115"/>
        </w:rPr>
        <w:t>zidovudine</w:t>
      </w:r>
      <w:r>
        <w:rPr>
          <w:color w:val="231F1F"/>
          <w:spacing w:val="-17"/>
          <w:w w:val="115"/>
        </w:rPr>
        <w:t> </w:t>
      </w:r>
      <w:r>
        <w:rPr>
          <w:color w:val="231F1F"/>
          <w:w w:val="115"/>
        </w:rPr>
        <w:t>possibly inhibits</w:t>
      </w:r>
      <w:r>
        <w:rPr>
          <w:color w:val="231F1F"/>
          <w:spacing w:val="-18"/>
          <w:w w:val="115"/>
        </w:rPr>
        <w:t> </w:t>
      </w:r>
      <w:r>
        <w:rPr>
          <w:color w:val="231F1F"/>
          <w:w w:val="115"/>
        </w:rPr>
        <w:t>effects</w:t>
      </w:r>
      <w:r>
        <w:rPr>
          <w:color w:val="231F1F"/>
          <w:spacing w:val="-18"/>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Calibri" w:hAnsi="Calibri"/>
          <w:color w:val="008356"/>
          <w:spacing w:val="3"/>
          <w:w w:val="115"/>
          <w:sz w:val="11"/>
        </w:rPr>
        <w:t>STAVUDINE</w:t>
      </w:r>
      <w:r>
        <w:rPr>
          <w:rFonts w:ascii="Calibri" w:hAnsi="Calibri"/>
          <w:color w:val="008356"/>
          <w:spacing w:val="-8"/>
          <w:w w:val="115"/>
          <w:sz w:val="11"/>
        </w:rPr>
        <w:t> </w:t>
      </w:r>
      <w:r>
        <w:rPr>
          <w:color w:val="231F1F"/>
          <w:w w:val="115"/>
        </w:rPr>
        <w:t>(manufacturers</w:t>
      </w:r>
      <w:r>
        <w:rPr>
          <w:color w:val="231F1F"/>
          <w:spacing w:val="-17"/>
          <w:w w:val="115"/>
        </w:rPr>
        <w:t> </w:t>
      </w:r>
      <w:r>
        <w:rPr>
          <w:color w:val="231F1F"/>
          <w:w w:val="115"/>
        </w:rPr>
        <w:t>advise</w:t>
      </w:r>
      <w:r>
        <w:rPr>
          <w:color w:val="231F1F"/>
          <w:spacing w:val="-19"/>
          <w:w w:val="115"/>
        </w:rPr>
        <w:t> </w:t>
      </w:r>
      <w:r>
        <w:rPr>
          <w:color w:val="231F1F"/>
          <w:spacing w:val="-3"/>
          <w:w w:val="115"/>
        </w:rPr>
        <w:t>avoid </w:t>
      </w:r>
      <w:r>
        <w:rPr>
          <w:color w:val="231F1F"/>
          <w:w w:val="115"/>
        </w:rPr>
        <w:t>concomitant use); plasma concentration of zidovudine reduced by </w:t>
      </w:r>
      <w:r>
        <w:rPr>
          <w:rFonts w:ascii="Arial" w:hAnsi="Arial"/>
          <w:color w:val="231F1F"/>
          <w:w w:val="355"/>
          <w:position w:val="1"/>
          <w:sz w:val="7"/>
        </w:rPr>
        <w:t>l</w:t>
      </w:r>
      <w:r>
        <w:rPr>
          <w:rFonts w:ascii="Arial" w:hAnsi="Arial"/>
          <w:color w:val="231F1F"/>
          <w:spacing w:val="-52"/>
          <w:w w:val="355"/>
          <w:position w:val="1"/>
          <w:sz w:val="7"/>
        </w:rPr>
        <w:t> </w:t>
      </w:r>
      <w:r>
        <w:rPr>
          <w:rFonts w:ascii="Calibri" w:hAnsi="Calibri"/>
          <w:color w:val="008356"/>
          <w:spacing w:val="4"/>
          <w:w w:val="115"/>
          <w:sz w:val="11"/>
        </w:rPr>
        <w:t>TIPRANAVIR</w:t>
      </w:r>
    </w:p>
    <w:p>
      <w:pPr>
        <w:pStyle w:val="BodyText"/>
        <w:spacing w:line="148" w:lineRule="exact"/>
        <w:ind w:left="108"/>
      </w:pPr>
      <w:r>
        <w:rPr>
          <w:rFonts w:ascii="Lucida Sans Unicode" w:hAnsi="Lucida Sans Unicode"/>
          <w:color w:val="A7A8AC"/>
          <w:w w:val="95"/>
          <w:sz w:val="10"/>
        </w:rPr>
        <w:t>▶ </w:t>
      </w:r>
      <w:r>
        <w:rPr>
          <w:rFonts w:ascii="Calibri" w:hAnsi="Calibri"/>
          <w:color w:val="231F1F"/>
          <w:w w:val="105"/>
        </w:rPr>
        <w:t>Atovaquone: </w:t>
      </w:r>
      <w:r>
        <w:rPr>
          <w:color w:val="231F1F"/>
          <w:w w:val="105"/>
        </w:rPr>
        <w:t>plasma concentration of zidovudine increased by</w:t>
      </w:r>
    </w:p>
    <w:p>
      <w:pPr>
        <w:spacing w:line="134" w:lineRule="exact" w:before="0"/>
        <w:ind w:left="208" w:right="0" w:firstLine="0"/>
        <w:jc w:val="left"/>
        <w:rPr>
          <w:sz w:val="12"/>
        </w:rPr>
      </w:pPr>
      <w:r>
        <w:rPr>
          <w:rFonts w:ascii="Calibri"/>
          <w:color w:val="008356"/>
          <w:w w:val="110"/>
          <w:sz w:val="11"/>
        </w:rPr>
        <w:t>ATOVAQUONE </w:t>
      </w:r>
      <w:r>
        <w:rPr>
          <w:color w:val="231F1F"/>
          <w:w w:val="110"/>
          <w:sz w:val="12"/>
        </w:rPr>
        <w:t>(increased risk of toxicity)</w:t>
      </w:r>
    </w:p>
    <w:p>
      <w:pPr>
        <w:pStyle w:val="BodyText"/>
        <w:spacing w:line="145" w:lineRule="exact"/>
        <w:ind w:left="108"/>
      </w:pPr>
      <w:r>
        <w:rPr>
          <w:rFonts w:ascii="Arial"/>
          <w:color w:val="231F1F"/>
          <w:w w:val="355"/>
          <w:position w:val="1"/>
          <w:sz w:val="7"/>
        </w:rPr>
        <w:t>l</w:t>
      </w:r>
      <w:r>
        <w:rPr>
          <w:rFonts w:ascii="Arial"/>
          <w:color w:val="231F1F"/>
          <w:spacing w:val="-52"/>
          <w:w w:val="355"/>
          <w:position w:val="1"/>
          <w:sz w:val="7"/>
        </w:rPr>
        <w:t> </w:t>
      </w:r>
      <w:r>
        <w:rPr>
          <w:rFonts w:ascii="Calibri"/>
          <w:color w:val="231F1F"/>
          <w:w w:val="115"/>
        </w:rPr>
        <w:t>Orlistat: </w:t>
      </w:r>
      <w:r>
        <w:rPr>
          <w:color w:val="231F1F"/>
          <w:w w:val="115"/>
        </w:rPr>
        <w:t>absorption of zidovudine possibly reduced by</w:t>
      </w:r>
    </w:p>
    <w:p>
      <w:pPr>
        <w:spacing w:before="6"/>
        <w:ind w:left="208" w:right="0" w:firstLine="0"/>
        <w:jc w:val="left"/>
        <w:rPr>
          <w:rFonts w:ascii="Calibri"/>
          <w:sz w:val="11"/>
        </w:rPr>
      </w:pPr>
      <w:r>
        <w:rPr>
          <w:rFonts w:ascii="Arial"/>
          <w:color w:val="231F1F"/>
          <w:w w:val="355"/>
          <w:position w:val="1"/>
          <w:sz w:val="7"/>
        </w:rPr>
        <w:t>l </w:t>
      </w:r>
      <w:r>
        <w:rPr>
          <w:rFonts w:ascii="Calibri"/>
          <w:color w:val="008356"/>
          <w:w w:val="120"/>
          <w:sz w:val="11"/>
        </w:rPr>
        <w:t>ORLISTAT</w:t>
      </w:r>
    </w:p>
    <w:p>
      <w:pPr>
        <w:pStyle w:val="BodyText"/>
        <w:spacing w:before="7"/>
        <w:ind w:left="108"/>
        <w:rPr>
          <w:rFonts w:ascii="Trebuchet MS"/>
        </w:rPr>
      </w:pPr>
      <w:r>
        <w:rPr>
          <w:rFonts w:ascii="Trebuchet MS"/>
          <w:color w:val="008356"/>
        </w:rPr>
        <w:t>Zinc</w:t>
      </w:r>
    </w:p>
    <w:p>
      <w:pPr>
        <w:spacing w:line="220" w:lineRule="auto" w:before="10"/>
        <w:ind w:left="208" w:right="4341" w:hanging="100"/>
        <w:jc w:val="left"/>
        <w:rPr>
          <w:sz w:val="12"/>
        </w:rPr>
      </w:pPr>
      <w:r>
        <w:rPr>
          <w:rFonts w:ascii="Lucida Sans Unicode" w:hAnsi="Lucida Sans Unicode"/>
          <w:color w:val="A7A8AC"/>
          <w:w w:val="95"/>
          <w:sz w:val="10"/>
        </w:rPr>
        <w:t>▶ </w:t>
      </w:r>
      <w:r>
        <w:rPr>
          <w:rFonts w:ascii="Calibri" w:hAnsi="Calibri"/>
          <w:color w:val="231F1F"/>
          <w:w w:val="105"/>
          <w:sz w:val="12"/>
        </w:rPr>
        <w:t>Antibacterials: </w:t>
      </w:r>
      <w:r>
        <w:rPr>
          <w:color w:val="231F1F"/>
          <w:w w:val="105"/>
          <w:sz w:val="12"/>
        </w:rPr>
        <w:t>zinc reduces absorption of </w:t>
      </w:r>
      <w:r>
        <w:rPr>
          <w:rFonts w:ascii="Calibri" w:hAnsi="Calibri"/>
          <w:color w:val="008356"/>
          <w:w w:val="105"/>
          <w:sz w:val="11"/>
        </w:rPr>
        <w:t>CIPROFLOXACIN</w:t>
      </w:r>
      <w:r>
        <w:rPr>
          <w:color w:val="231F1F"/>
          <w:w w:val="105"/>
          <w:sz w:val="12"/>
        </w:rPr>
        <w:t>, </w:t>
      </w:r>
      <w:r>
        <w:rPr>
          <w:rFonts w:ascii="Calibri" w:hAnsi="Calibri"/>
          <w:color w:val="008356"/>
          <w:w w:val="105"/>
          <w:sz w:val="11"/>
        </w:rPr>
        <w:t>LEVOFLOXACIN</w:t>
      </w:r>
      <w:r>
        <w:rPr>
          <w:color w:val="231F1F"/>
          <w:w w:val="105"/>
          <w:sz w:val="12"/>
        </w:rPr>
        <w:t>, </w:t>
      </w:r>
      <w:r>
        <w:rPr>
          <w:rFonts w:ascii="Calibri" w:hAnsi="Calibri"/>
          <w:color w:val="008356"/>
          <w:w w:val="105"/>
          <w:sz w:val="11"/>
        </w:rPr>
        <w:t>MOXIFLOXACIN </w:t>
      </w:r>
      <w:r>
        <w:rPr>
          <w:color w:val="231F1F"/>
          <w:w w:val="105"/>
          <w:sz w:val="12"/>
        </w:rPr>
        <w:t>and </w:t>
      </w:r>
      <w:r>
        <w:rPr>
          <w:rFonts w:ascii="Calibri" w:hAnsi="Calibri"/>
          <w:color w:val="008356"/>
          <w:w w:val="105"/>
          <w:sz w:val="11"/>
        </w:rPr>
        <w:t>OFLOXACIN</w:t>
      </w:r>
      <w:r>
        <w:rPr>
          <w:color w:val="231F1F"/>
          <w:w w:val="105"/>
          <w:sz w:val="12"/>
        </w:rPr>
        <w:t>; zinc reduces</w:t>
      </w:r>
    </w:p>
    <w:p>
      <w:pPr>
        <w:pStyle w:val="BodyText"/>
        <w:spacing w:line="242" w:lineRule="auto" w:before="3"/>
        <w:ind w:right="4413" w:hanging="1"/>
        <w:jc w:val="both"/>
      </w:pPr>
      <w:r>
        <w:rPr>
          <w:color w:val="231F1F"/>
          <w:w w:val="110"/>
        </w:rPr>
        <w:t>absorption of </w:t>
      </w:r>
      <w:r>
        <w:rPr>
          <w:rFonts w:ascii="Calibri"/>
          <w:color w:val="008356"/>
          <w:w w:val="110"/>
          <w:sz w:val="11"/>
        </w:rPr>
        <w:t>NORFLOXACIN </w:t>
      </w:r>
      <w:r>
        <w:rPr>
          <w:color w:val="231F1F"/>
          <w:w w:val="110"/>
        </w:rPr>
        <w:t>(give at least 2 hours apart); zinc reduces absorption of </w:t>
      </w:r>
      <w:r>
        <w:rPr>
          <w:rFonts w:ascii="Calibri"/>
          <w:color w:val="008356"/>
          <w:w w:val="110"/>
          <w:sz w:val="11"/>
        </w:rPr>
        <w:t>TETRACYCLINES</w:t>
      </w:r>
      <w:r>
        <w:rPr>
          <w:color w:val="231F1F"/>
          <w:w w:val="110"/>
        </w:rPr>
        <w:t>, also absorption of zinc reduced by tetracyclines</w:t>
      </w:r>
    </w:p>
    <w:p>
      <w:pPr>
        <w:spacing w:line="150" w:lineRule="exact" w:before="2"/>
        <w:ind w:left="108" w:right="0" w:firstLine="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Calcium Salts: </w:t>
      </w:r>
      <w:r>
        <w:rPr>
          <w:color w:val="231F1F"/>
          <w:w w:val="105"/>
          <w:sz w:val="12"/>
        </w:rPr>
        <w:t>absorption of zinc reduced by </w:t>
      </w:r>
      <w:r>
        <w:rPr>
          <w:rFonts w:ascii="Calibri" w:hAnsi="Calibri"/>
          <w:color w:val="008356"/>
          <w:w w:val="105"/>
          <w:sz w:val="11"/>
        </w:rPr>
        <w:t>CALCIUM SALTS</w:t>
      </w:r>
    </w:p>
    <w:p>
      <w:pPr>
        <w:pStyle w:val="BodyText"/>
        <w:spacing w:line="143" w:lineRule="exact"/>
        <w:ind w:left="108"/>
      </w:pPr>
      <w:r>
        <w:rPr>
          <w:rFonts w:ascii="Lucida Sans Unicode" w:hAnsi="Lucida Sans Unicode"/>
          <w:color w:val="A7A8AC"/>
          <w:w w:val="95"/>
          <w:sz w:val="10"/>
        </w:rPr>
        <w:t>▶ </w:t>
      </w:r>
      <w:r>
        <w:rPr>
          <w:rFonts w:ascii="Calibri" w:hAnsi="Calibri"/>
          <w:color w:val="231F1F"/>
          <w:w w:val="105"/>
        </w:rPr>
        <w:t>Eltrombopag: </w:t>
      </w:r>
      <w:r>
        <w:rPr>
          <w:color w:val="231F1F"/>
          <w:w w:val="105"/>
        </w:rPr>
        <w:t>zinc possibly reduces absorption of</w:t>
      </w:r>
    </w:p>
    <w:p>
      <w:pPr>
        <w:spacing w:line="134" w:lineRule="exact" w:before="0"/>
        <w:ind w:left="208" w:right="0" w:firstLine="0"/>
        <w:jc w:val="left"/>
        <w:rPr>
          <w:sz w:val="12"/>
        </w:rPr>
      </w:pPr>
      <w:r>
        <w:rPr>
          <w:rFonts w:ascii="Calibri"/>
          <w:color w:val="008356"/>
          <w:w w:val="110"/>
          <w:sz w:val="11"/>
        </w:rPr>
        <w:t>ELTROMBOPAG </w:t>
      </w:r>
      <w:r>
        <w:rPr>
          <w:color w:val="231F1F"/>
          <w:w w:val="110"/>
          <w:sz w:val="12"/>
        </w:rPr>
        <w:t>(give at least 4 hours apart)</w:t>
      </w:r>
    </w:p>
    <w:p>
      <w:pPr>
        <w:pStyle w:val="BodyText"/>
        <w:spacing w:line="220" w:lineRule="auto" w:before="7"/>
        <w:ind w:right="4341" w:hanging="100"/>
      </w:pPr>
      <w:r>
        <w:rPr>
          <w:rFonts w:ascii="Lucida Sans Unicode" w:hAnsi="Lucida Sans Unicode"/>
          <w:color w:val="A7A8AC"/>
          <w:w w:val="95"/>
          <w:sz w:val="10"/>
        </w:rPr>
        <w:t>▶ </w:t>
      </w:r>
      <w:r>
        <w:rPr>
          <w:rFonts w:ascii="Calibri" w:hAnsi="Calibri"/>
          <w:color w:val="231F1F"/>
          <w:w w:val="105"/>
        </w:rPr>
        <w:t>Iron Salts: </w:t>
      </w:r>
      <w:r>
        <w:rPr>
          <w:color w:val="231F1F"/>
          <w:w w:val="105"/>
        </w:rPr>
        <w:t>absorption of zinc reduced by </w:t>
      </w:r>
      <w:r>
        <w:rPr>
          <w:i/>
          <w:color w:val="231F1F"/>
          <w:w w:val="105"/>
        </w:rPr>
        <w:t>oral </w:t>
      </w:r>
      <w:r>
        <w:rPr>
          <w:rFonts w:ascii="Calibri" w:hAnsi="Calibri"/>
          <w:color w:val="008356"/>
          <w:w w:val="105"/>
          <w:sz w:val="11"/>
        </w:rPr>
        <w:t>IRON SALTS</w:t>
      </w:r>
      <w:r>
        <w:rPr>
          <w:color w:val="231F1F"/>
          <w:w w:val="105"/>
        </w:rPr>
        <w:t>, also absorption of </w:t>
      </w:r>
      <w:r>
        <w:rPr>
          <w:i/>
          <w:color w:val="231F1F"/>
          <w:w w:val="105"/>
        </w:rPr>
        <w:t>oral </w:t>
      </w:r>
      <w:r>
        <w:rPr>
          <w:color w:val="231F1F"/>
          <w:w w:val="105"/>
        </w:rPr>
        <w:t>iron salts reduced by zinc</w:t>
      </w:r>
    </w:p>
    <w:p>
      <w:pPr>
        <w:pStyle w:val="BodyText"/>
        <w:spacing w:line="220" w:lineRule="auto" w:before="12"/>
        <w:ind w:right="4341" w:hanging="100"/>
      </w:pPr>
      <w:r>
        <w:rPr>
          <w:rFonts w:ascii="Lucida Sans Unicode" w:hAnsi="Lucida Sans Unicode"/>
          <w:color w:val="A7A8AC"/>
          <w:w w:val="95"/>
          <w:sz w:val="10"/>
        </w:rPr>
        <w:t>▶ </w:t>
      </w:r>
      <w:r>
        <w:rPr>
          <w:rFonts w:ascii="Calibri" w:hAnsi="Calibri"/>
          <w:color w:val="231F1F"/>
          <w:w w:val="110"/>
        </w:rPr>
        <w:t>Penicillamine: </w:t>
      </w:r>
      <w:r>
        <w:rPr>
          <w:color w:val="231F1F"/>
          <w:w w:val="110"/>
        </w:rPr>
        <w:t>absorption of zinc reduced by </w:t>
      </w:r>
      <w:r>
        <w:rPr>
          <w:rFonts w:ascii="Calibri" w:hAnsi="Calibri"/>
          <w:color w:val="008356"/>
          <w:w w:val="110"/>
          <w:sz w:val="11"/>
        </w:rPr>
        <w:t>PENICILLAMINE</w:t>
      </w:r>
      <w:r>
        <w:rPr>
          <w:color w:val="231F1F"/>
          <w:w w:val="110"/>
        </w:rPr>
        <w:t>, also absorption of penicillamine reduced by zinc</w:t>
      </w:r>
    </w:p>
    <w:p>
      <w:pPr>
        <w:pStyle w:val="BodyText"/>
        <w:spacing w:line="220" w:lineRule="auto" w:before="12"/>
        <w:ind w:right="4341" w:hanging="100"/>
      </w:pPr>
      <w:r>
        <w:rPr>
          <w:rFonts w:ascii="Lucida Sans Unicode" w:hAnsi="Lucida Sans Unicode"/>
          <w:color w:val="A7A8AC"/>
          <w:w w:val="95"/>
          <w:sz w:val="10"/>
        </w:rPr>
        <w:t>▶ </w:t>
      </w:r>
      <w:r>
        <w:rPr>
          <w:rFonts w:ascii="Calibri" w:hAnsi="Calibri"/>
          <w:color w:val="231F1F"/>
          <w:w w:val="110"/>
        </w:rPr>
        <w:t>Trientine: </w:t>
      </w:r>
      <w:r>
        <w:rPr>
          <w:color w:val="231F1F"/>
          <w:w w:val="110"/>
        </w:rPr>
        <w:t>absorption of zinc reduced by </w:t>
      </w:r>
      <w:r>
        <w:rPr>
          <w:rFonts w:ascii="Calibri" w:hAnsi="Calibri"/>
          <w:color w:val="008356"/>
          <w:w w:val="110"/>
          <w:sz w:val="11"/>
        </w:rPr>
        <w:t>TRIENTINE</w:t>
      </w:r>
      <w:r>
        <w:rPr>
          <w:color w:val="231F1F"/>
          <w:w w:val="110"/>
        </w:rPr>
        <w:t>, also absorption of trientine reduced by zinc</w:t>
      </w:r>
    </w:p>
    <w:p>
      <w:pPr>
        <w:pStyle w:val="BodyText"/>
        <w:spacing w:before="13"/>
        <w:ind w:left="108"/>
      </w:pPr>
      <w:r>
        <w:rPr>
          <w:rFonts w:ascii="Trebuchet MS"/>
          <w:color w:val="008356"/>
          <w:w w:val="110"/>
        </w:rPr>
        <w:t>Zoledronic Acid </w:t>
      </w:r>
      <w:r>
        <w:rPr>
          <w:i/>
          <w:color w:val="231F1F"/>
          <w:w w:val="110"/>
        </w:rPr>
        <w:t>see </w:t>
      </w:r>
      <w:r>
        <w:rPr>
          <w:color w:val="231F1F"/>
          <w:w w:val="110"/>
        </w:rPr>
        <w:t>Bisphosphonates</w:t>
      </w:r>
    </w:p>
    <w:p>
      <w:pPr>
        <w:pStyle w:val="BodyText"/>
        <w:spacing w:before="11"/>
        <w:ind w:left="108"/>
      </w:pPr>
      <w:r>
        <w:rPr>
          <w:rFonts w:ascii="Trebuchet MS"/>
          <w:color w:val="008356"/>
          <w:w w:val="110"/>
        </w:rPr>
        <w:t>Zolmitriptan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08"/>
      </w:pPr>
      <w:r>
        <w:rPr>
          <w:rFonts w:ascii="Trebuchet MS"/>
          <w:color w:val="008356"/>
          <w:w w:val="110"/>
        </w:rPr>
        <w:t>Zolpidem </w:t>
      </w:r>
      <w:r>
        <w:rPr>
          <w:i/>
          <w:color w:val="231F1F"/>
          <w:w w:val="110"/>
        </w:rPr>
        <w:t>see </w:t>
      </w:r>
      <w:r>
        <w:rPr>
          <w:color w:val="231F1F"/>
          <w:w w:val="110"/>
        </w:rPr>
        <w:t>Anxiolytics and Hypnotics</w:t>
      </w:r>
    </w:p>
    <w:p>
      <w:pPr>
        <w:pStyle w:val="BodyText"/>
        <w:spacing w:before="10"/>
        <w:ind w:left="108"/>
        <w:rPr>
          <w:rFonts w:ascii="Trebuchet MS"/>
        </w:rPr>
      </w:pPr>
      <w:r>
        <w:rPr>
          <w:rFonts w:ascii="Trebuchet MS"/>
          <w:color w:val="008356"/>
        </w:rPr>
        <w:t>Zonisamide</w:t>
      </w:r>
    </w:p>
    <w:p>
      <w:pPr>
        <w:spacing w:line="242" w:lineRule="auto" w:before="1"/>
        <w:ind w:left="208" w:right="4341" w:hanging="100"/>
        <w:jc w:val="left"/>
        <w:rPr>
          <w:sz w:val="12"/>
        </w:rPr>
      </w:pPr>
      <w:r>
        <w:rPr>
          <w:rFonts w:ascii="Arial"/>
          <w:color w:val="231F1F"/>
          <w:w w:val="355"/>
          <w:position w:val="1"/>
          <w:sz w:val="7"/>
        </w:rPr>
        <w:t>l </w:t>
      </w:r>
      <w:r>
        <w:rPr>
          <w:rFonts w:ascii="Calibri"/>
          <w:color w:val="231F1F"/>
          <w:w w:val="110"/>
          <w:sz w:val="12"/>
        </w:rPr>
        <w:t>Antidepressants: </w:t>
      </w:r>
      <w:r>
        <w:rPr>
          <w:color w:val="231F1F"/>
          <w:w w:val="110"/>
          <w:sz w:val="12"/>
        </w:rPr>
        <w:t>anticonvulsant effect of antiepileptics possibly antagonised by </w:t>
      </w:r>
      <w:r>
        <w:rPr>
          <w:rFonts w:ascii="Calibri"/>
          <w:color w:val="008356"/>
          <w:w w:val="110"/>
          <w:sz w:val="11"/>
        </w:rPr>
        <w:t>MAOI</w:t>
      </w:r>
      <w:r>
        <w:rPr>
          <w:rFonts w:ascii="Calibri"/>
          <w:color w:val="008356"/>
          <w:w w:val="110"/>
          <w:sz w:val="9"/>
        </w:rPr>
        <w:t>S </w:t>
      </w:r>
      <w:r>
        <w:rPr>
          <w:color w:val="231F1F"/>
          <w:w w:val="110"/>
          <w:sz w:val="12"/>
        </w:rPr>
        <w:t>and </w:t>
      </w:r>
      <w:r>
        <w:rPr>
          <w:rFonts w:ascii="Arial"/>
          <w:color w:val="231F1F"/>
          <w:w w:val="355"/>
          <w:position w:val="1"/>
          <w:sz w:val="7"/>
        </w:rPr>
        <w:t>l </w:t>
      </w:r>
      <w:r>
        <w:rPr>
          <w:rFonts w:ascii="Calibri"/>
          <w:color w:val="008356"/>
          <w:w w:val="110"/>
          <w:sz w:val="11"/>
        </w:rPr>
        <w:t>TRICYCLIC-RELATED 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Calibri"/>
          <w:color w:val="008356"/>
          <w:w w:val="110"/>
          <w:sz w:val="11"/>
        </w:rPr>
        <w:t>SSRIS </w:t>
      </w:r>
      <w:r>
        <w:rPr>
          <w:color w:val="231F1F"/>
          <w:w w:val="110"/>
          <w:sz w:val="12"/>
        </w:rPr>
        <w:t>and </w:t>
      </w:r>
      <w:r>
        <w:rPr>
          <w:rFonts w:ascii="Arial"/>
          <w:color w:val="231F1F"/>
          <w:w w:val="355"/>
          <w:position w:val="1"/>
          <w:sz w:val="7"/>
        </w:rPr>
        <w:t>l </w:t>
      </w:r>
      <w:r>
        <w:rPr>
          <w:rFonts w:ascii="Calibri"/>
          <w:color w:val="008356"/>
          <w:w w:val="110"/>
          <w:sz w:val="11"/>
        </w:rPr>
        <w:t>TRICYCLICS </w:t>
      </w:r>
      <w:r>
        <w:rPr>
          <w:color w:val="231F1F"/>
          <w:w w:val="110"/>
          <w:sz w:val="12"/>
        </w:rPr>
        <w:t>(convulsive threshold lowered)</w:t>
      </w:r>
    </w:p>
    <w:p>
      <w:pPr>
        <w:spacing w:line="230" w:lineRule="auto" w:before="0"/>
        <w:ind w:left="208" w:right="4341" w:hanging="100"/>
        <w:jc w:val="left"/>
        <w:rPr>
          <w:rFonts w:ascii="Calibri" w:hAnsi="Calibri"/>
          <w:sz w:val="11"/>
        </w:rPr>
      </w:pPr>
      <w:r>
        <w:rPr>
          <w:rFonts w:ascii="Lucida Sans Unicode" w:hAnsi="Lucida Sans Unicode"/>
          <w:color w:val="A7A8AC"/>
          <w:w w:val="95"/>
          <w:sz w:val="10"/>
        </w:rPr>
        <w:t>▶ </w:t>
      </w:r>
      <w:r>
        <w:rPr>
          <w:rFonts w:ascii="Calibri" w:hAnsi="Calibri"/>
          <w:color w:val="231F1F"/>
          <w:w w:val="105"/>
          <w:sz w:val="12"/>
        </w:rPr>
        <w:t>Antiepileptics: </w:t>
      </w:r>
      <w:r>
        <w:rPr>
          <w:color w:val="231F1F"/>
          <w:w w:val="105"/>
          <w:sz w:val="12"/>
        </w:rPr>
        <w:t>plasma concentration of zonisamide reduced by </w:t>
      </w:r>
      <w:r>
        <w:rPr>
          <w:rFonts w:ascii="Calibri" w:hAnsi="Calibri"/>
          <w:color w:val="008356"/>
          <w:w w:val="105"/>
          <w:sz w:val="11"/>
        </w:rPr>
        <w:t>CARBAMAZEPINE</w:t>
      </w:r>
      <w:r>
        <w:rPr>
          <w:color w:val="231F1F"/>
          <w:w w:val="105"/>
          <w:sz w:val="12"/>
        </w:rPr>
        <w:t>, </w:t>
      </w:r>
      <w:r>
        <w:rPr>
          <w:rFonts w:ascii="Calibri" w:hAnsi="Calibri"/>
          <w:color w:val="008356"/>
          <w:w w:val="105"/>
          <w:sz w:val="11"/>
        </w:rPr>
        <w:t>FOSPHENYTOIN</w:t>
      </w:r>
      <w:r>
        <w:rPr>
          <w:color w:val="231F1F"/>
          <w:w w:val="105"/>
          <w:sz w:val="12"/>
        </w:rPr>
        <w:t>, </w:t>
      </w:r>
      <w:r>
        <w:rPr>
          <w:rFonts w:ascii="Calibri" w:hAnsi="Calibri"/>
          <w:color w:val="008356"/>
          <w:w w:val="105"/>
          <w:sz w:val="11"/>
        </w:rPr>
        <w:t>PHENOBARBITAL</w:t>
      </w:r>
      <w:r>
        <w:rPr>
          <w:color w:val="231F1F"/>
          <w:w w:val="105"/>
          <w:sz w:val="12"/>
        </w:rPr>
        <w:t>, </w:t>
      </w:r>
      <w:r>
        <w:rPr>
          <w:rFonts w:ascii="Calibri" w:hAnsi="Calibri"/>
          <w:color w:val="008356"/>
          <w:w w:val="105"/>
          <w:sz w:val="11"/>
        </w:rPr>
        <w:t>PHENYTOIN </w:t>
      </w:r>
      <w:r>
        <w:rPr>
          <w:color w:val="231F1F"/>
          <w:w w:val="105"/>
          <w:sz w:val="12"/>
        </w:rPr>
        <w:t>and </w:t>
      </w:r>
      <w:r>
        <w:rPr>
          <w:rFonts w:ascii="Calibri" w:hAnsi="Calibri"/>
          <w:color w:val="008356"/>
          <w:w w:val="105"/>
          <w:sz w:val="11"/>
        </w:rPr>
        <w:t>PRIMIDONE</w:t>
      </w:r>
    </w:p>
    <w:p>
      <w:pPr>
        <w:pStyle w:val="BodyText"/>
        <w:ind w:right="4898" w:hanging="100"/>
        <w:rPr>
          <w:rFonts w:ascii="Calibri"/>
          <w:sz w:val="11"/>
        </w:rPr>
      </w:pPr>
      <w:r>
        <w:rPr>
          <w:rFonts w:ascii="Arial"/>
          <w:color w:val="231F1F"/>
          <w:w w:val="355"/>
          <w:position w:val="1"/>
          <w:sz w:val="7"/>
        </w:rPr>
        <w:t>l</w:t>
      </w:r>
      <w:r>
        <w:rPr>
          <w:rFonts w:ascii="Arial"/>
          <w:color w:val="231F1F"/>
          <w:spacing w:val="-49"/>
          <w:w w:val="355"/>
          <w:position w:val="1"/>
          <w:sz w:val="7"/>
        </w:rPr>
        <w:t> </w:t>
      </w:r>
      <w:r>
        <w:rPr>
          <w:rFonts w:ascii="Calibri"/>
          <w:color w:val="231F1F"/>
          <w:w w:val="115"/>
        </w:rPr>
        <w:t>Antimalarials:</w:t>
      </w:r>
      <w:r>
        <w:rPr>
          <w:rFonts w:ascii="Calibri"/>
          <w:color w:val="231F1F"/>
          <w:spacing w:val="-14"/>
          <w:w w:val="115"/>
        </w:rPr>
        <w:t> </w:t>
      </w:r>
      <w:r>
        <w:rPr>
          <w:color w:val="231F1F"/>
          <w:w w:val="115"/>
        </w:rPr>
        <w:t>anticonvulsant</w:t>
      </w:r>
      <w:r>
        <w:rPr>
          <w:color w:val="231F1F"/>
          <w:spacing w:val="-18"/>
          <w:w w:val="115"/>
        </w:rPr>
        <w:t> </w:t>
      </w:r>
      <w:r>
        <w:rPr>
          <w:color w:val="231F1F"/>
          <w:w w:val="115"/>
        </w:rPr>
        <w:t>effect</w:t>
      </w:r>
      <w:r>
        <w:rPr>
          <w:color w:val="231F1F"/>
          <w:spacing w:val="-19"/>
          <w:w w:val="115"/>
        </w:rPr>
        <w:t> </w:t>
      </w:r>
      <w:r>
        <w:rPr>
          <w:color w:val="231F1F"/>
          <w:w w:val="115"/>
        </w:rPr>
        <w:t>of</w:t>
      </w:r>
      <w:r>
        <w:rPr>
          <w:color w:val="231F1F"/>
          <w:spacing w:val="-18"/>
          <w:w w:val="115"/>
        </w:rPr>
        <w:t> </w:t>
      </w:r>
      <w:r>
        <w:rPr>
          <w:color w:val="231F1F"/>
          <w:w w:val="115"/>
        </w:rPr>
        <w:t>antiepileptics antagonised by </w:t>
      </w:r>
      <w:r>
        <w:rPr>
          <w:rFonts w:ascii="Arial"/>
          <w:color w:val="231F1F"/>
          <w:w w:val="355"/>
          <w:position w:val="1"/>
          <w:sz w:val="7"/>
        </w:rPr>
        <w:t>l</w:t>
      </w:r>
      <w:r>
        <w:rPr>
          <w:rFonts w:ascii="Arial"/>
          <w:color w:val="231F1F"/>
          <w:spacing w:val="-54"/>
          <w:w w:val="355"/>
          <w:position w:val="1"/>
          <w:sz w:val="7"/>
        </w:rPr>
        <w:t> </w:t>
      </w:r>
      <w:r>
        <w:rPr>
          <w:rFonts w:ascii="Calibri"/>
          <w:color w:val="008356"/>
          <w:spacing w:val="4"/>
          <w:w w:val="115"/>
          <w:sz w:val="11"/>
        </w:rPr>
        <w:t>MEFLOQUINE</w:t>
      </w:r>
    </w:p>
    <w:p>
      <w:pPr>
        <w:pStyle w:val="BodyText"/>
        <w:ind w:right="4716" w:hanging="100"/>
      </w:pPr>
      <w:r>
        <w:rPr>
          <w:rFonts w:ascii="Arial"/>
          <w:color w:val="231F1F"/>
          <w:w w:val="355"/>
          <w:position w:val="1"/>
          <w:sz w:val="7"/>
        </w:rPr>
        <w:t>l </w:t>
      </w:r>
      <w:r>
        <w:rPr>
          <w:rFonts w:ascii="Calibri"/>
          <w:color w:val="231F1F"/>
          <w:w w:val="110"/>
        </w:rPr>
        <w:t>Antipsychotics: </w:t>
      </w:r>
      <w:r>
        <w:rPr>
          <w:color w:val="231F1F"/>
          <w:w w:val="110"/>
        </w:rPr>
        <w:t>anticonvulsant effect of antiepileptics antagonised by </w:t>
      </w:r>
      <w:r>
        <w:rPr>
          <w:rFonts w:ascii="Arial"/>
          <w:color w:val="231F1F"/>
          <w:w w:val="355"/>
          <w:position w:val="1"/>
          <w:sz w:val="7"/>
        </w:rPr>
        <w:t>l</w:t>
      </w:r>
      <w:r>
        <w:rPr>
          <w:rFonts w:ascii="Arial"/>
          <w:color w:val="231F1F"/>
          <w:spacing w:val="-59"/>
          <w:w w:val="355"/>
          <w:position w:val="1"/>
          <w:sz w:val="7"/>
        </w:rPr>
        <w:t> </w:t>
      </w:r>
      <w:r>
        <w:rPr>
          <w:rFonts w:ascii="Calibri"/>
          <w:color w:val="008356"/>
          <w:spacing w:val="4"/>
          <w:w w:val="110"/>
          <w:sz w:val="11"/>
        </w:rPr>
        <w:t>ANTIPSYCHOTICS </w:t>
      </w:r>
      <w:r>
        <w:rPr>
          <w:color w:val="231F1F"/>
          <w:w w:val="110"/>
        </w:rPr>
        <w:t>(convulsive threshold lowered)</w:t>
      </w:r>
    </w:p>
    <w:p>
      <w:pPr>
        <w:spacing w:line="230" w:lineRule="auto" w:before="3"/>
        <w:ind w:left="208" w:right="4506" w:hanging="100"/>
        <w:jc w:val="left"/>
        <w:rPr>
          <w:sz w:val="12"/>
        </w:rPr>
      </w:pPr>
      <w:r>
        <w:rPr>
          <w:rFonts w:ascii="Lucida Sans Unicode" w:hAnsi="Lucida Sans Unicode"/>
          <w:color w:val="A7A8AC"/>
          <w:w w:val="95"/>
          <w:sz w:val="10"/>
        </w:rPr>
        <w:t>▶ </w:t>
      </w:r>
      <w:r>
        <w:rPr>
          <w:rFonts w:ascii="Calibri" w:hAnsi="Calibri"/>
          <w:color w:val="231F1F"/>
          <w:w w:val="105"/>
          <w:sz w:val="12"/>
        </w:rPr>
        <w:t>Diuretics: </w:t>
      </w:r>
      <w:r>
        <w:rPr>
          <w:color w:val="231F1F"/>
          <w:w w:val="105"/>
          <w:sz w:val="12"/>
        </w:rPr>
        <w:t>manufacturer of zonisamide advises avoid concomitant use with </w:t>
      </w:r>
      <w:r>
        <w:rPr>
          <w:rFonts w:ascii="Calibri" w:hAnsi="Calibri"/>
          <w:color w:val="008356"/>
          <w:spacing w:val="4"/>
          <w:w w:val="105"/>
          <w:sz w:val="11"/>
        </w:rPr>
        <w:t>CARBONIC ANHYDRASE INHIBITORS </w:t>
      </w:r>
      <w:r>
        <w:rPr>
          <w:color w:val="231F1F"/>
          <w:w w:val="105"/>
          <w:sz w:val="12"/>
        </w:rPr>
        <w:t>in children</w:t>
      </w:r>
    </w:p>
    <w:p>
      <w:pPr>
        <w:pStyle w:val="BodyText"/>
        <w:spacing w:before="4"/>
        <w:ind w:right="4832" w:hanging="100"/>
        <w:rPr>
          <w:rFonts w:ascii="Calibri"/>
          <w:sz w:val="11"/>
        </w:rPr>
      </w:pPr>
      <w:r>
        <w:rPr>
          <w:rFonts w:ascii="Arial"/>
          <w:color w:val="231F1F"/>
          <w:w w:val="115"/>
          <w:position w:val="1"/>
          <w:sz w:val="7"/>
        </w:rPr>
        <w:t>l </w:t>
      </w:r>
      <w:r>
        <w:rPr>
          <w:rFonts w:ascii="Calibri"/>
          <w:color w:val="231F1F"/>
          <w:w w:val="115"/>
        </w:rPr>
        <w:t>Orlistat: </w:t>
      </w:r>
      <w:r>
        <w:rPr>
          <w:color w:val="231F1F"/>
          <w:w w:val="115"/>
        </w:rPr>
        <w:t>possible increased risk of convulsions when </w:t>
      </w:r>
      <w:r>
        <w:rPr>
          <w:color w:val="231F1F"/>
          <w:w w:val="120"/>
        </w:rPr>
        <w:t>antiepileptics given with </w:t>
      </w:r>
      <w:r>
        <w:rPr>
          <w:rFonts w:ascii="Arial"/>
          <w:color w:val="231F1F"/>
          <w:w w:val="355"/>
          <w:position w:val="1"/>
          <w:sz w:val="7"/>
        </w:rPr>
        <w:t>l </w:t>
      </w:r>
      <w:r>
        <w:rPr>
          <w:rFonts w:ascii="Calibri"/>
          <w:color w:val="008356"/>
          <w:w w:val="120"/>
          <w:sz w:val="11"/>
        </w:rPr>
        <w:t>ORLISTAT</w:t>
      </w:r>
    </w:p>
    <w:p>
      <w:pPr>
        <w:pStyle w:val="BodyText"/>
        <w:spacing w:before="6"/>
        <w:ind w:left="108"/>
      </w:pPr>
      <w:r>
        <w:rPr>
          <w:rFonts w:ascii="Trebuchet MS"/>
          <w:color w:val="008356"/>
          <w:w w:val="110"/>
        </w:rPr>
        <w:t>Zopiclone </w:t>
      </w:r>
      <w:r>
        <w:rPr>
          <w:i/>
          <w:color w:val="231F1F"/>
          <w:w w:val="110"/>
        </w:rPr>
        <w:t>see </w:t>
      </w:r>
      <w:r>
        <w:rPr>
          <w:color w:val="231F1F"/>
          <w:w w:val="110"/>
        </w:rPr>
        <w:t>Anxiolytics and Hypnotics</w:t>
      </w:r>
    </w:p>
    <w:p>
      <w:pPr>
        <w:pStyle w:val="BodyText"/>
        <w:spacing w:before="11"/>
        <w:ind w:left="108"/>
      </w:pPr>
      <w:r>
        <w:rPr>
          <w:rFonts w:ascii="Trebuchet MS"/>
          <w:color w:val="008356"/>
          <w:w w:val="105"/>
        </w:rPr>
        <w:t>Zuclopenthixol </w:t>
      </w:r>
      <w:r>
        <w:rPr>
          <w:i/>
          <w:color w:val="231F1F"/>
          <w:w w:val="105"/>
        </w:rPr>
        <w:t>see </w:t>
      </w:r>
      <w:r>
        <w:rPr>
          <w:color w:val="231F1F"/>
          <w:w w:val="105"/>
        </w:rPr>
        <w:t>Antipsychotics</w:t>
      </w:r>
    </w:p>
    <w:sectPr>
      <w:pgSz w:w="8390" w:h="11910"/>
      <w:pgMar w:header="0" w:footer="0" w:top="460" w:bottom="0" w:left="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 w:name="Georgia">
    <w:altName w:val="Georg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4400" filled="true" fillcolor="#008356" stroked="false">
          <v:fill type="solid"/>
          <w10:wrap type="none"/>
        </v:rect>
      </w:pict>
    </w:r>
    <w:r>
      <w:rPr/>
      <w:pict>
        <v:shape style="position:absolute;margin-left:38.344898pt;margin-top:5.965652pt;width:118.1pt;height:14pt;mso-position-horizontal-relative:page;mso-position-vertical-relative:page;z-index:-234376" type="#_x0000_t202" filled="false" stroked="false">
          <v:textbox inset="0,0,0,0">
            <w:txbxContent>
              <w:p>
                <w:pPr>
                  <w:spacing w:before="10"/>
                  <w:ind w:left="20" w:right="0" w:firstLine="0"/>
                  <w:jc w:val="left"/>
                  <w:rPr>
                    <w:rFonts w:ascii="Arial"/>
                    <w:sz w:val="18"/>
                  </w:rPr>
                </w:pPr>
                <w:r>
                  <w:rPr>
                    <w:rFonts w:ascii="Trebuchet MS"/>
                    <w:color w:val="FFFFFF"/>
                    <w:sz w:val="21"/>
                  </w:rPr>
                  <w:t>1138</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435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752" filled="true" fillcolor="#008356" stroked="false">
          <v:fill type="solid"/>
          <w10:wrap type="none"/>
        </v:rect>
      </w:pict>
    </w:r>
    <w:r>
      <w:rPr/>
      <w:pict>
        <v:shape style="position:absolute;margin-left:262.962311pt;margin-top:5.965652pt;width:119.2pt;height:14pt;mso-position-horizontal-relative:page;mso-position-vertical-relative:page;z-index:-23372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1153</w:t>
                </w:r>
                <w:r>
                  <w:rPr/>
                  <w:fldChar w:fldCharType="end"/>
                </w:r>
              </w:p>
            </w:txbxContent>
          </v:textbox>
          <w10:wrap type="none"/>
        </v:shape>
      </w:pict>
    </w:r>
    <w:r>
      <w:rPr/>
      <w:pict>
        <v:shape style="position:absolute;margin-left:34.376400pt;margin-top:10.214094pt;width:20.05pt;height:8.6pt;mso-position-horizontal-relative:page;mso-position-vertical-relative:page;z-index:-23370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680" filled="true" fillcolor="#008356" stroked="false">
          <v:fill type="solid"/>
          <w10:wrap type="none"/>
        </v:rect>
      </w:pict>
    </w:r>
    <w:r>
      <w:rPr/>
      <w:pict>
        <v:shape style="position:absolute;margin-left:38.344898pt;margin-top:5.965652pt;width:118.1pt;height:14pt;mso-position-horizontal-relative:page;mso-position-vertical-relative:page;z-index:-233656" type="#_x0000_t202" filled="false" stroked="false">
          <v:textbox inset="0,0,0,0">
            <w:txbxContent>
              <w:p>
                <w:pPr>
                  <w:spacing w:before="10"/>
                  <w:ind w:left="20" w:right="0" w:firstLine="0"/>
                  <w:jc w:val="left"/>
                  <w:rPr>
                    <w:rFonts w:ascii="Arial"/>
                    <w:sz w:val="18"/>
                  </w:rPr>
                </w:pPr>
                <w:r>
                  <w:rPr>
                    <w:rFonts w:ascii="Trebuchet MS"/>
                    <w:color w:val="FFFFFF"/>
                    <w:sz w:val="21"/>
                  </w:rPr>
                  <w:t>1160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63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608" filled="true" fillcolor="#008356" stroked="false">
          <v:fill type="solid"/>
          <w10:wrap type="none"/>
        </v:rect>
      </w:pict>
    </w:r>
    <w:r>
      <w:rPr/>
      <w:pict>
        <v:shape style="position:absolute;margin-left:262.962311pt;margin-top:5.965652pt;width:118.2pt;height:14pt;mso-position-horizontal-relative:page;mso-position-vertical-relative:page;z-index:-23358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1161</w:t>
                </w:r>
              </w:p>
            </w:txbxContent>
          </v:textbox>
          <w10:wrap type="none"/>
        </v:shape>
      </w:pict>
    </w:r>
    <w:r>
      <w:rPr/>
      <w:pict>
        <v:shape style="position:absolute;margin-left:34.376400pt;margin-top:10.214094pt;width:20.05pt;height:8.6pt;mso-position-horizontal-relative:page;mso-position-vertical-relative:page;z-index:-23356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536" filled="true" fillcolor="#008356" stroked="false">
          <v:fill type="solid"/>
          <w10:wrap type="none"/>
        </v:rect>
      </w:pict>
    </w:r>
    <w:r>
      <w:rPr/>
      <w:pict>
        <v:shape style="position:absolute;margin-left:37.344898pt;margin-top:5.965652pt;width:119.1pt;height:14pt;mso-position-horizontal-relative:page;mso-position-vertical-relative:page;z-index:-233512"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1162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48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464" filled="true" fillcolor="#008356" stroked="false">
          <v:fill type="solid"/>
          <w10:wrap type="none"/>
        </v:rect>
      </w:pict>
    </w:r>
    <w:r>
      <w:rPr/>
      <w:pict>
        <v:shape style="position:absolute;margin-left:262.962311pt;margin-top:5.965652pt;width:119.2pt;height:14pt;mso-position-horizontal-relative:page;mso-position-vertical-relative:page;z-index:-23344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1163</w:t>
                </w:r>
                <w:r>
                  <w:rPr/>
                  <w:fldChar w:fldCharType="end"/>
                </w:r>
              </w:p>
            </w:txbxContent>
          </v:textbox>
          <w10:wrap type="none"/>
        </v:shape>
      </w:pict>
    </w:r>
    <w:r>
      <w:rPr/>
      <w:pict>
        <v:shape style="position:absolute;margin-left:34.376400pt;margin-top:10.214094pt;width:20.05pt;height:8.6pt;mso-position-horizontal-relative:page;mso-position-vertical-relative:page;z-index:-23341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392" filled="true" fillcolor="#008356" stroked="false">
          <v:fill type="solid"/>
          <w10:wrap type="none"/>
        </v:rect>
      </w:pict>
    </w:r>
    <w:r>
      <w:rPr/>
      <w:pict>
        <v:shape style="position:absolute;margin-left:38.344898pt;margin-top:5.965652pt;width:118.1pt;height:14pt;mso-position-horizontal-relative:page;mso-position-vertical-relative:page;z-index:-233368" type="#_x0000_t202" filled="false" stroked="false">
          <v:textbox inset="0,0,0,0">
            <w:txbxContent>
              <w:p>
                <w:pPr>
                  <w:spacing w:before="10"/>
                  <w:ind w:left="20" w:right="0" w:firstLine="0"/>
                  <w:jc w:val="left"/>
                  <w:rPr>
                    <w:rFonts w:ascii="Arial"/>
                    <w:sz w:val="18"/>
                  </w:rPr>
                </w:pPr>
                <w:r>
                  <w:rPr>
                    <w:rFonts w:ascii="Trebuchet MS"/>
                    <w:color w:val="FFFFFF"/>
                    <w:sz w:val="21"/>
                  </w:rPr>
                  <w:t>1170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34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320" filled="true" fillcolor="#008356" stroked="false">
          <v:fill type="solid"/>
          <w10:wrap type="none"/>
        </v:rect>
      </w:pict>
    </w:r>
    <w:r>
      <w:rPr/>
      <w:pict>
        <v:shape style="position:absolute;margin-left:262.962311pt;margin-top:5.965652pt;width:118.2pt;height:14pt;mso-position-horizontal-relative:page;mso-position-vertical-relative:page;z-index:-23329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1171</w:t>
                </w:r>
              </w:p>
            </w:txbxContent>
          </v:textbox>
          <w10:wrap type="none"/>
        </v:shape>
      </w:pict>
    </w:r>
    <w:r>
      <w:rPr/>
      <w:pict>
        <v:shape style="position:absolute;margin-left:34.376400pt;margin-top:10.214094pt;width:20.05pt;height:8.6pt;mso-position-horizontal-relative:page;mso-position-vertical-relative:page;z-index:-23327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248" filled="true" fillcolor="#008356" stroked="false">
          <v:fill type="solid"/>
          <w10:wrap type="none"/>
        </v:rect>
      </w:pict>
    </w:r>
    <w:r>
      <w:rPr/>
      <w:pict>
        <v:shape style="position:absolute;margin-left:37.344898pt;margin-top:5.965652pt;width:119.1pt;height:14pt;mso-position-horizontal-relative:page;mso-position-vertical-relative:page;z-index:-233224"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1172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20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176" filled="true" fillcolor="#008356" stroked="false">
          <v:fill type="solid"/>
          <w10:wrap type="none"/>
        </v:rect>
      </w:pict>
    </w:r>
    <w:r>
      <w:rPr/>
      <w:pict>
        <v:shape style="position:absolute;margin-left:262.962311pt;margin-top:5.965652pt;width:119.2pt;height:14pt;mso-position-horizontal-relative:page;mso-position-vertical-relative:page;z-index:-23315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1173</w:t>
                </w:r>
                <w:r>
                  <w:rPr/>
                  <w:fldChar w:fldCharType="end"/>
                </w:r>
              </w:p>
            </w:txbxContent>
          </v:textbox>
          <w10:wrap type="none"/>
        </v:shape>
      </w:pict>
    </w:r>
    <w:r>
      <w:rPr/>
      <w:pict>
        <v:shape style="position:absolute;margin-left:34.376400pt;margin-top:10.214094pt;width:20.05pt;height:8.6pt;mso-position-horizontal-relative:page;mso-position-vertical-relative:page;z-index:-23312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104" filled="true" fillcolor="#008356" stroked="false">
          <v:fill type="solid"/>
          <w10:wrap type="none"/>
        </v:rect>
      </w:pict>
    </w:r>
    <w:r>
      <w:rPr/>
      <w:pict>
        <v:shape style="position:absolute;margin-left:38.344898pt;margin-top:5.965652pt;width:118.1pt;height:14pt;mso-position-horizontal-relative:page;mso-position-vertical-relative:page;z-index:-233080" type="#_x0000_t202" filled="false" stroked="false">
          <v:textbox inset="0,0,0,0">
            <w:txbxContent>
              <w:p>
                <w:pPr>
                  <w:spacing w:before="10"/>
                  <w:ind w:left="20" w:right="0" w:firstLine="0"/>
                  <w:jc w:val="left"/>
                  <w:rPr>
                    <w:rFonts w:ascii="Arial"/>
                    <w:sz w:val="18"/>
                  </w:rPr>
                </w:pPr>
                <w:r>
                  <w:rPr>
                    <w:rFonts w:ascii="Trebuchet MS"/>
                    <w:color w:val="FFFFFF"/>
                    <w:sz w:val="21"/>
                  </w:rPr>
                  <w:t>1180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05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4328" filled="true" fillcolor="#008356" stroked="false">
          <v:fill type="solid"/>
          <w10:wrap type="none"/>
        </v:rect>
      </w:pict>
    </w:r>
    <w:r>
      <w:rPr/>
      <w:pict>
        <v:shape style="position:absolute;margin-left:262.962311pt;margin-top:5.965652pt;width:118.2pt;height:14pt;mso-position-horizontal-relative:page;mso-position-vertical-relative:page;z-index:-23430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1139</w:t>
                </w:r>
              </w:p>
            </w:txbxContent>
          </v:textbox>
          <w10:wrap type="none"/>
        </v:shape>
      </w:pict>
    </w:r>
    <w:r>
      <w:rPr/>
      <w:pict>
        <v:shape style="position:absolute;margin-left:34.376400pt;margin-top:10.214094pt;width:20.05pt;height:8.6pt;mso-position-horizontal-relative:page;mso-position-vertical-relative:page;z-index:-23428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032" filled="true" fillcolor="#008356" stroked="false">
          <v:fill type="solid"/>
          <w10:wrap type="none"/>
        </v:rect>
      </w:pict>
    </w:r>
    <w:r>
      <w:rPr/>
      <w:pict>
        <v:shape style="position:absolute;margin-left:262.962311pt;margin-top:5.965652pt;width:118.2pt;height:14pt;mso-position-horizontal-relative:page;mso-position-vertical-relative:page;z-index:-23300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1181</w:t>
                </w:r>
              </w:p>
            </w:txbxContent>
          </v:textbox>
          <w10:wrap type="none"/>
        </v:shape>
      </w:pict>
    </w:r>
    <w:r>
      <w:rPr/>
      <w:pict>
        <v:shape style="position:absolute;margin-left:34.376400pt;margin-top:10.214094pt;width:20.05pt;height:8.6pt;mso-position-horizontal-relative:page;mso-position-vertical-relative:page;z-index:-23298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960" filled="true" fillcolor="#008356" stroked="false">
          <v:fill type="solid"/>
          <w10:wrap type="none"/>
        </v:rect>
      </w:pict>
    </w:r>
    <w:r>
      <w:rPr/>
      <w:pict>
        <v:shape style="position:absolute;margin-left:37.344898pt;margin-top:5.965652pt;width:119.1pt;height:14pt;mso-position-horizontal-relative:page;mso-position-vertical-relative:page;z-index:-232936"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1182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91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888" filled="true" fillcolor="#008356" stroked="false">
          <v:fill type="solid"/>
          <w10:wrap type="none"/>
        </v:rect>
      </w:pict>
    </w:r>
    <w:r>
      <w:rPr/>
      <w:pict>
        <v:shape style="position:absolute;margin-left:262.962311pt;margin-top:5.965652pt;width:119.2pt;height:14pt;mso-position-horizontal-relative:page;mso-position-vertical-relative:page;z-index:-23286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1183</w:t>
                </w:r>
                <w:r>
                  <w:rPr/>
                  <w:fldChar w:fldCharType="end"/>
                </w:r>
              </w:p>
            </w:txbxContent>
          </v:textbox>
          <w10:wrap type="none"/>
        </v:shape>
      </w:pict>
    </w:r>
    <w:r>
      <w:rPr/>
      <w:pict>
        <v:shape style="position:absolute;margin-left:34.376400pt;margin-top:10.214094pt;width:20.05pt;height:8.6pt;mso-position-horizontal-relative:page;mso-position-vertical-relative:page;z-index:-23284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816" filled="true" fillcolor="#008356" stroked="false">
          <v:fill type="solid"/>
          <w10:wrap type="none"/>
        </v:rect>
      </w:pict>
    </w:r>
    <w:r>
      <w:rPr/>
      <w:pict>
        <v:shape style="position:absolute;margin-left:38.344898pt;margin-top:5.965652pt;width:118.1pt;height:14pt;mso-position-horizontal-relative:page;mso-position-vertical-relative:page;z-index:-232792" type="#_x0000_t202" filled="false" stroked="false">
          <v:textbox inset="0,0,0,0">
            <w:txbxContent>
              <w:p>
                <w:pPr>
                  <w:spacing w:before="10"/>
                  <w:ind w:left="20" w:right="0" w:firstLine="0"/>
                  <w:jc w:val="left"/>
                  <w:rPr>
                    <w:rFonts w:ascii="Arial"/>
                    <w:sz w:val="18"/>
                  </w:rPr>
                </w:pPr>
                <w:r>
                  <w:rPr>
                    <w:rFonts w:ascii="Trebuchet MS"/>
                    <w:color w:val="FFFFFF"/>
                    <w:sz w:val="21"/>
                  </w:rPr>
                  <w:t>1190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76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744" filled="true" fillcolor="#008356" stroked="false">
          <v:fill type="solid"/>
          <w10:wrap type="none"/>
        </v:rect>
      </w:pict>
    </w:r>
    <w:r>
      <w:rPr/>
      <w:pict>
        <v:shape style="position:absolute;margin-left:262.962311pt;margin-top:5.965652pt;width:118.2pt;height:14pt;mso-position-horizontal-relative:page;mso-position-vertical-relative:page;z-index:-23272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1191</w:t>
                </w:r>
              </w:p>
            </w:txbxContent>
          </v:textbox>
          <w10:wrap type="none"/>
        </v:shape>
      </w:pict>
    </w:r>
    <w:r>
      <w:rPr/>
      <w:pict>
        <v:shape style="position:absolute;margin-left:34.376400pt;margin-top:10.214094pt;width:20.05pt;height:8.6pt;mso-position-horizontal-relative:page;mso-position-vertical-relative:page;z-index:-23269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672" filled="true" fillcolor="#008356" stroked="false">
          <v:fill type="solid"/>
          <w10:wrap type="none"/>
        </v:rect>
      </w:pict>
    </w:r>
    <w:r>
      <w:rPr/>
      <w:pict>
        <v:shape style="position:absolute;margin-left:37.344898pt;margin-top:5.965652pt;width:119.1pt;height:14pt;mso-position-horizontal-relative:page;mso-position-vertical-relative:page;z-index:-23264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1192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62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600" filled="true" fillcolor="#008356" stroked="false">
          <v:fill type="solid"/>
          <w10:wrap type="none"/>
        </v:rect>
      </w:pict>
    </w:r>
    <w:r>
      <w:rPr/>
      <w:pict>
        <v:shape style="position:absolute;margin-left:262.962311pt;margin-top:5.965652pt;width:119.2pt;height:14pt;mso-position-horizontal-relative:page;mso-position-vertical-relative:page;z-index:-23257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1193</w:t>
                </w:r>
                <w:r>
                  <w:rPr/>
                  <w:fldChar w:fldCharType="end"/>
                </w:r>
              </w:p>
            </w:txbxContent>
          </v:textbox>
          <w10:wrap type="none"/>
        </v:shape>
      </w:pict>
    </w:r>
    <w:r>
      <w:rPr/>
      <w:pict>
        <v:shape style="position:absolute;margin-left:34.376400pt;margin-top:10.214094pt;width:20.05pt;height:8.6pt;mso-position-horizontal-relative:page;mso-position-vertical-relative:page;z-index:-23255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528" filled="true" fillcolor="#008356" stroked="false">
          <v:fill type="solid"/>
          <w10:wrap type="none"/>
        </v:rect>
      </w:pict>
    </w:r>
    <w:r>
      <w:rPr/>
      <w:pict>
        <v:shape style="position:absolute;margin-left:262.962311pt;margin-top:5.965652pt;width:118.2pt;height:14pt;mso-position-horizontal-relative:page;mso-position-vertical-relative:page;z-index:-23250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1201</w:t>
                </w:r>
              </w:p>
            </w:txbxContent>
          </v:textbox>
          <w10:wrap type="none"/>
        </v:shape>
      </w:pict>
    </w:r>
    <w:r>
      <w:rPr/>
      <w:pict>
        <v:shape style="position:absolute;margin-left:34.376400pt;margin-top:10.214094pt;width:20.05pt;height:8.6pt;mso-position-horizontal-relative:page;mso-position-vertical-relative:page;z-index:-23248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456" filled="true" fillcolor="#008356" stroked="false">
          <v:fill type="solid"/>
          <w10:wrap type="none"/>
        </v:rect>
      </w:pict>
    </w:r>
    <w:r>
      <w:rPr/>
      <w:pict>
        <v:shape style="position:absolute;margin-left:37.344898pt;margin-top:5.965652pt;width:119.1pt;height:14pt;mso-position-horizontal-relative:page;mso-position-vertical-relative:page;z-index:-232432" type="#_x0000_t202" filled="false" stroked="false">
          <v:textbox inset="0,0,0,0">
            <w:txbxContent>
              <w:p>
                <w:pPr>
                  <w:spacing w:before="10"/>
                  <w:ind w:left="40" w:right="0" w:firstLine="0"/>
                  <w:jc w:val="left"/>
                  <w:rPr>
                    <w:rFonts w:ascii="Arial"/>
                    <w:sz w:val="18"/>
                  </w:rPr>
                </w:pPr>
                <w:r>
                  <w:rPr>
                    <w:rFonts w:ascii="Trebuchet MS"/>
                    <w:color w:val="FFFFFF"/>
                    <w:sz w:val="21"/>
                  </w:rPr>
                  <w:t>1202</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40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4256" filled="true" fillcolor="#008356" stroked="false">
          <v:fill type="solid"/>
          <w10:wrap type="none"/>
        </v:rect>
      </w:pict>
    </w:r>
    <w:r>
      <w:rPr/>
      <w:pict>
        <v:shape style="position:absolute;margin-left:38.344898pt;margin-top:5.965652pt;width:118.1pt;height:14pt;mso-position-horizontal-relative:page;mso-position-vertical-relative:page;z-index:-234232" type="#_x0000_t202" filled="false" stroked="false">
          <v:textbox inset="0,0,0,0">
            <w:txbxContent>
              <w:p>
                <w:pPr>
                  <w:spacing w:before="10"/>
                  <w:ind w:left="20" w:right="0" w:firstLine="0"/>
                  <w:jc w:val="left"/>
                  <w:rPr>
                    <w:rFonts w:ascii="Arial"/>
                    <w:sz w:val="18"/>
                  </w:rPr>
                </w:pPr>
                <w:r>
                  <w:rPr>
                    <w:rFonts w:ascii="Trebuchet MS"/>
                    <w:color w:val="FFFFFF"/>
                    <w:sz w:val="21"/>
                  </w:rPr>
                  <w:t>1140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420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384" filled="true" fillcolor="#008356" stroked="false">
          <v:fill type="solid"/>
          <w10:wrap type="none"/>
        </v:rect>
      </w:pict>
    </w:r>
    <w:r>
      <w:rPr/>
      <w:pict>
        <v:shape style="position:absolute;margin-left:262.962311pt;margin-top:5.965652pt;width:119.2pt;height:14pt;mso-position-horizontal-relative:page;mso-position-vertical-relative:page;z-index:-23236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1203</w:t>
                </w:r>
                <w:r>
                  <w:rPr/>
                  <w:fldChar w:fldCharType="end"/>
                </w:r>
              </w:p>
            </w:txbxContent>
          </v:textbox>
          <w10:wrap type="none"/>
        </v:shape>
      </w:pict>
    </w:r>
    <w:r>
      <w:rPr/>
      <w:pict>
        <v:shape style="position:absolute;margin-left:34.376400pt;margin-top:10.214094pt;width:20.05pt;height:8.6pt;mso-position-horizontal-relative:page;mso-position-vertical-relative:page;z-index:-23233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312" filled="true" fillcolor="#008356" stroked="false">
          <v:fill type="solid"/>
          <w10:wrap type="none"/>
        </v:rect>
      </w:pict>
    </w:r>
    <w:r>
      <w:rPr/>
      <w:pict>
        <v:shape style="position:absolute;margin-left:37.344898pt;margin-top:5.965652pt;width:119.1pt;height:14pt;mso-position-horizontal-relative:page;mso-position-vertical-relative:page;z-index:-23228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1204</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26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240" filled="true" fillcolor="#008356" stroked="false">
          <v:fill type="solid"/>
          <w10:wrap type="none"/>
        </v:rect>
      </w:pict>
    </w:r>
    <w:r>
      <w:rPr/>
      <w:pict>
        <v:shape style="position:absolute;margin-left:38.344898pt;margin-top:5.965652pt;width:118.1pt;height:14pt;mso-position-horizontal-relative:page;mso-position-vertical-relative:page;z-index:-232216" type="#_x0000_t202" filled="false" stroked="false">
          <v:textbox inset="0,0,0,0">
            <w:txbxContent>
              <w:p>
                <w:pPr>
                  <w:spacing w:before="10"/>
                  <w:ind w:left="20" w:right="0" w:firstLine="0"/>
                  <w:jc w:val="left"/>
                  <w:rPr>
                    <w:rFonts w:ascii="Arial"/>
                    <w:sz w:val="18"/>
                  </w:rPr>
                </w:pPr>
                <w:r>
                  <w:rPr>
                    <w:rFonts w:ascii="Trebuchet MS"/>
                    <w:color w:val="FFFFFF"/>
                    <w:sz w:val="21"/>
                  </w:rPr>
                  <w:t>1210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19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168" filled="true" fillcolor="#008356" stroked="false">
          <v:fill type="solid"/>
          <w10:wrap type="none"/>
        </v:rect>
      </w:pict>
    </w:r>
    <w:r>
      <w:rPr/>
      <w:pict>
        <v:shape style="position:absolute;margin-left:262.962311pt;margin-top:5.965652pt;width:118.2pt;height:14pt;mso-position-horizontal-relative:page;mso-position-vertical-relative:page;z-index:-23214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1211</w:t>
                </w:r>
              </w:p>
            </w:txbxContent>
          </v:textbox>
          <w10:wrap type="none"/>
        </v:shape>
      </w:pict>
    </w:r>
    <w:r>
      <w:rPr/>
      <w:pict>
        <v:shape style="position:absolute;margin-left:34.376400pt;margin-top:10.214094pt;width:20.05pt;height:8.6pt;mso-position-horizontal-relative:page;mso-position-vertical-relative:page;z-index:-23212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096" filled="true" fillcolor="#008356" stroked="false">
          <v:fill type="solid"/>
          <w10:wrap type="none"/>
        </v:rect>
      </w:pict>
    </w:r>
    <w:r>
      <w:rPr/>
      <w:pict>
        <v:shape style="position:absolute;margin-left:37.344898pt;margin-top:5.965652pt;width:119.1pt;height:14pt;mso-position-horizontal-relative:page;mso-position-vertical-relative:page;z-index:-232072"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1212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04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024" filled="true" fillcolor="#008356" stroked="false">
          <v:fill type="solid"/>
          <w10:wrap type="none"/>
        </v:rect>
      </w:pict>
    </w:r>
    <w:r>
      <w:rPr/>
      <w:pict>
        <v:shape style="position:absolute;margin-left:262.962311pt;margin-top:5.965652pt;width:119.2pt;height:14pt;mso-position-horizontal-relative:page;mso-position-vertical-relative:page;z-index:-23200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1213</w:t>
                </w:r>
                <w:r>
                  <w:rPr/>
                  <w:fldChar w:fldCharType="end"/>
                </w:r>
              </w:p>
            </w:txbxContent>
          </v:textbox>
          <w10:wrap type="none"/>
        </v:shape>
      </w:pict>
    </w:r>
    <w:r>
      <w:rPr/>
      <w:pict>
        <v:shape style="position:absolute;margin-left:34.376400pt;margin-top:10.214094pt;width:20.05pt;height:8.6pt;mso-position-horizontal-relative:page;mso-position-vertical-relative:page;z-index:-23197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952" filled="true" fillcolor="#008356" stroked="false">
          <v:fill type="solid"/>
          <w10:wrap type="none"/>
        </v:rect>
      </w:pict>
    </w:r>
    <w:r>
      <w:rPr/>
      <w:pict>
        <v:shape style="position:absolute;margin-left:38.344898pt;margin-top:5.965652pt;width:118.1pt;height:14pt;mso-position-horizontal-relative:page;mso-position-vertical-relative:page;z-index:-231928" type="#_x0000_t202" filled="false" stroked="false">
          <v:textbox inset="0,0,0,0">
            <w:txbxContent>
              <w:p>
                <w:pPr>
                  <w:spacing w:before="10"/>
                  <w:ind w:left="20" w:right="0" w:firstLine="0"/>
                  <w:jc w:val="left"/>
                  <w:rPr>
                    <w:rFonts w:ascii="Arial"/>
                    <w:sz w:val="18"/>
                  </w:rPr>
                </w:pPr>
                <w:r>
                  <w:rPr>
                    <w:rFonts w:ascii="Trebuchet MS"/>
                    <w:color w:val="FFFFFF"/>
                    <w:sz w:val="21"/>
                  </w:rPr>
                  <w:t>1220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90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880" filled="true" fillcolor="#008356" stroked="false">
          <v:fill type="solid"/>
          <w10:wrap type="none"/>
        </v:rect>
      </w:pict>
    </w:r>
    <w:r>
      <w:rPr/>
      <w:pict>
        <v:shape style="position:absolute;margin-left:262.962311pt;margin-top:5.965652pt;width:118.2pt;height:14pt;mso-position-horizontal-relative:page;mso-position-vertical-relative:page;z-index:-23185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1221</w:t>
                </w:r>
              </w:p>
            </w:txbxContent>
          </v:textbox>
          <w10:wrap type="none"/>
        </v:shape>
      </w:pict>
    </w:r>
    <w:r>
      <w:rPr/>
      <w:pict>
        <v:shape style="position:absolute;margin-left:34.376400pt;margin-top:10.214094pt;width:20.05pt;height:8.6pt;mso-position-horizontal-relative:page;mso-position-vertical-relative:page;z-index:-23183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808" filled="true" fillcolor="#008356" stroked="false">
          <v:fill type="solid"/>
          <w10:wrap type="none"/>
        </v:rect>
      </w:pict>
    </w:r>
    <w:r>
      <w:rPr/>
      <w:pict>
        <v:shape style="position:absolute;margin-left:37.344898pt;margin-top:5.965652pt;width:119.1pt;height:14pt;mso-position-horizontal-relative:page;mso-position-vertical-relative:page;z-index:-231784"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1222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76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736" filled="true" fillcolor="#008356" stroked="false">
          <v:fill type="solid"/>
          <w10:wrap type="none"/>
        </v:rect>
      </w:pict>
    </w:r>
    <w:r>
      <w:rPr/>
      <w:pict>
        <v:shape style="position:absolute;margin-left:262.962311pt;margin-top:5.965652pt;width:119.2pt;height:14pt;mso-position-horizontal-relative:page;mso-position-vertical-relative:page;z-index:-23171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1223</w:t>
                </w:r>
                <w:r>
                  <w:rPr/>
                  <w:fldChar w:fldCharType="end"/>
                </w:r>
              </w:p>
            </w:txbxContent>
          </v:textbox>
          <w10:wrap type="none"/>
        </v:shape>
      </w:pict>
    </w:r>
    <w:r>
      <w:rPr/>
      <w:pict>
        <v:shape style="position:absolute;margin-left:34.376400pt;margin-top:10.214094pt;width:20.05pt;height:8.6pt;mso-position-horizontal-relative:page;mso-position-vertical-relative:page;z-index:-23168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4184" filled="true" fillcolor="#008356" stroked="false">
          <v:fill type="solid"/>
          <w10:wrap type="none"/>
        </v:rect>
      </w:pict>
    </w:r>
    <w:r>
      <w:rPr/>
      <w:pict>
        <v:shape style="position:absolute;margin-left:262.962311pt;margin-top:5.965652pt;width:118.2pt;height:14pt;mso-position-horizontal-relative:page;mso-position-vertical-relative:page;z-index:-23416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1141</w:t>
                </w:r>
              </w:p>
            </w:txbxContent>
          </v:textbox>
          <w10:wrap type="none"/>
        </v:shape>
      </w:pict>
    </w:r>
    <w:r>
      <w:rPr/>
      <w:pict>
        <v:shape style="position:absolute;margin-left:34.376400pt;margin-top:10.214094pt;width:20.05pt;height:8.6pt;mso-position-horizontal-relative:page;mso-position-vertical-relative:page;z-index:-23413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664" filled="true" fillcolor="#008356" stroked="false">
          <v:fill type="solid"/>
          <w10:wrap type="none"/>
        </v:rect>
      </w:pict>
    </w:r>
    <w:r>
      <w:rPr/>
      <w:pict>
        <v:shape style="position:absolute;margin-left:38.344898pt;margin-top:5.965652pt;width:118.1pt;height:14pt;mso-position-horizontal-relative:page;mso-position-vertical-relative:page;z-index:-231640" type="#_x0000_t202" filled="false" stroked="false">
          <v:textbox inset="0,0,0,0">
            <w:txbxContent>
              <w:p>
                <w:pPr>
                  <w:spacing w:before="10"/>
                  <w:ind w:left="20" w:right="0" w:firstLine="0"/>
                  <w:jc w:val="left"/>
                  <w:rPr>
                    <w:rFonts w:ascii="Arial"/>
                    <w:sz w:val="18"/>
                  </w:rPr>
                </w:pPr>
                <w:r>
                  <w:rPr>
                    <w:rFonts w:ascii="Trebuchet MS"/>
                    <w:color w:val="FFFFFF"/>
                    <w:sz w:val="21"/>
                  </w:rPr>
                  <w:t>1230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61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592" filled="true" fillcolor="#008356" stroked="false">
          <v:fill type="solid"/>
          <w10:wrap type="none"/>
        </v:rect>
      </w:pict>
    </w:r>
    <w:r>
      <w:rPr/>
      <w:pict>
        <v:shape style="position:absolute;margin-left:262.962311pt;margin-top:5.965652pt;width:118.2pt;height:14pt;mso-position-horizontal-relative:page;mso-position-vertical-relative:page;z-index:-23156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1231</w:t>
                </w:r>
              </w:p>
            </w:txbxContent>
          </v:textbox>
          <w10:wrap type="none"/>
        </v:shape>
      </w:pict>
    </w:r>
    <w:r>
      <w:rPr/>
      <w:pict>
        <v:shape style="position:absolute;margin-left:34.376400pt;margin-top:10.214094pt;width:20.05pt;height:8.6pt;mso-position-horizontal-relative:page;mso-position-vertical-relative:page;z-index:-23154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520" filled="true" fillcolor="#008356" stroked="false">
          <v:fill type="solid"/>
          <w10:wrap type="none"/>
        </v:rect>
      </w:pict>
    </w:r>
    <w:r>
      <w:rPr/>
      <w:pict>
        <v:shape style="position:absolute;margin-left:37.344898pt;margin-top:5.965652pt;width:119.1pt;height:14pt;mso-position-horizontal-relative:page;mso-position-vertical-relative:page;z-index:-231496"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1232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47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448" filled="true" fillcolor="#008356" stroked="false">
          <v:fill type="solid"/>
          <w10:wrap type="none"/>
        </v:rect>
      </w:pict>
    </w:r>
    <w:r>
      <w:rPr/>
      <w:pict>
        <v:shape style="position:absolute;margin-left:262.962311pt;margin-top:5.965652pt;width:119.2pt;height:14pt;mso-position-horizontal-relative:page;mso-position-vertical-relative:page;z-index:-23142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1233</w:t>
                </w:r>
                <w:r>
                  <w:rPr/>
                  <w:fldChar w:fldCharType="end"/>
                </w:r>
              </w:p>
            </w:txbxContent>
          </v:textbox>
          <w10:wrap type="none"/>
        </v:shape>
      </w:pict>
    </w:r>
    <w:r>
      <w:rPr/>
      <w:pict>
        <v:shape style="position:absolute;margin-left:34.376400pt;margin-top:10.214094pt;width:20.05pt;height:8.6pt;mso-position-horizontal-relative:page;mso-position-vertical-relative:page;z-index:-23140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376" filled="true" fillcolor="#008356" stroked="false">
          <v:fill type="solid"/>
          <w10:wrap type="none"/>
        </v:rect>
      </w:pict>
    </w:r>
    <w:r>
      <w:rPr/>
      <w:pict>
        <v:shape style="position:absolute;margin-left:38.344898pt;margin-top:5.965652pt;width:118.1pt;height:14pt;mso-position-horizontal-relative:page;mso-position-vertical-relative:page;z-index:-231352" type="#_x0000_t202" filled="false" stroked="false">
          <v:textbox inset="0,0,0,0">
            <w:txbxContent>
              <w:p>
                <w:pPr>
                  <w:spacing w:before="10"/>
                  <w:ind w:left="20" w:right="0" w:firstLine="0"/>
                  <w:jc w:val="left"/>
                  <w:rPr>
                    <w:rFonts w:ascii="Arial"/>
                    <w:sz w:val="18"/>
                  </w:rPr>
                </w:pPr>
                <w:r>
                  <w:rPr>
                    <w:rFonts w:ascii="Trebuchet MS"/>
                    <w:color w:val="FFFFFF"/>
                    <w:sz w:val="21"/>
                  </w:rPr>
                  <w:t>1240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32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304" filled="true" fillcolor="#008356" stroked="false">
          <v:fill type="solid"/>
          <w10:wrap type="none"/>
        </v:rect>
      </w:pict>
    </w:r>
    <w:r>
      <w:rPr/>
      <w:pict>
        <v:shape style="position:absolute;margin-left:262.962311pt;margin-top:5.965652pt;width:118.2pt;height:14pt;mso-position-horizontal-relative:page;mso-position-vertical-relative:page;z-index:-23128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1241</w:t>
                </w:r>
              </w:p>
            </w:txbxContent>
          </v:textbox>
          <w10:wrap type="none"/>
        </v:shape>
      </w:pict>
    </w:r>
    <w:r>
      <w:rPr/>
      <w:pict>
        <v:shape style="position:absolute;margin-left:34.376400pt;margin-top:10.214094pt;width:20.05pt;height:8.6pt;mso-position-horizontal-relative:page;mso-position-vertical-relative:page;z-index:-23125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232" filled="true" fillcolor="#008356" stroked="false">
          <v:fill type="solid"/>
          <w10:wrap type="none"/>
        </v:rect>
      </w:pict>
    </w:r>
    <w:r>
      <w:rPr/>
      <w:pict>
        <v:shape style="position:absolute;margin-left:37.344898pt;margin-top:5.965652pt;width:119.1pt;height:14pt;mso-position-horizontal-relative:page;mso-position-vertical-relative:page;z-index:-23120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1242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18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160" filled="true" fillcolor="#008356" stroked="false">
          <v:fill type="solid"/>
          <w10:wrap type="none"/>
        </v:rect>
      </w:pict>
    </w:r>
    <w:r>
      <w:rPr/>
      <w:pict>
        <v:shape style="position:absolute;margin-left:262.962311pt;margin-top:5.965652pt;width:119.2pt;height:14pt;mso-position-horizontal-relative:page;mso-position-vertical-relative:page;z-index:-23113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1243</w:t>
                </w:r>
                <w:r>
                  <w:rPr/>
                  <w:fldChar w:fldCharType="end"/>
                </w:r>
              </w:p>
            </w:txbxContent>
          </v:textbox>
          <w10:wrap type="none"/>
        </v:shape>
      </w:pict>
    </w:r>
    <w:r>
      <w:rPr/>
      <w:pict>
        <v:shape style="position:absolute;margin-left:34.376400pt;margin-top:10.214094pt;width:20.05pt;height:8.6pt;mso-position-horizontal-relative:page;mso-position-vertical-relative:page;z-index:-23111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088" filled="true" fillcolor="#008356" stroked="false">
          <v:fill type="solid"/>
          <w10:wrap type="none"/>
        </v:rect>
      </w:pict>
    </w:r>
    <w:r>
      <w:rPr/>
      <w:pict>
        <v:shape style="position:absolute;margin-left:38.344898pt;margin-top:5.965652pt;width:118.1pt;height:14pt;mso-position-horizontal-relative:page;mso-position-vertical-relative:page;z-index:-231064" type="#_x0000_t202" filled="false" stroked="false">
          <v:textbox inset="0,0,0,0">
            <w:txbxContent>
              <w:p>
                <w:pPr>
                  <w:spacing w:before="10"/>
                  <w:ind w:left="20" w:right="0" w:firstLine="0"/>
                  <w:jc w:val="left"/>
                  <w:rPr>
                    <w:rFonts w:ascii="Arial"/>
                    <w:sz w:val="18"/>
                  </w:rPr>
                </w:pPr>
                <w:r>
                  <w:rPr>
                    <w:rFonts w:ascii="Trebuchet MS"/>
                    <w:color w:val="FFFFFF"/>
                    <w:sz w:val="21"/>
                  </w:rPr>
                  <w:t>1250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04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016" filled="true" fillcolor="#008356" stroked="false">
          <v:fill type="solid"/>
          <w10:wrap type="none"/>
        </v:rect>
      </w:pict>
    </w:r>
    <w:r>
      <w:rPr/>
      <w:pict>
        <v:shape style="position:absolute;margin-left:262.962311pt;margin-top:5.965652pt;width:118.2pt;height:14pt;mso-position-horizontal-relative:page;mso-position-vertical-relative:page;z-index:-23099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1251</w:t>
                </w:r>
              </w:p>
            </w:txbxContent>
          </v:textbox>
          <w10:wrap type="none"/>
        </v:shape>
      </w:pict>
    </w:r>
    <w:r>
      <w:rPr/>
      <w:pict>
        <v:shape style="position:absolute;margin-left:34.376400pt;margin-top:10.214094pt;width:20.05pt;height:8.6pt;mso-position-horizontal-relative:page;mso-position-vertical-relative:page;z-index:-23096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4112" filled="true" fillcolor="#008356" stroked="false">
          <v:fill type="solid"/>
          <w10:wrap type="none"/>
        </v:rect>
      </w:pict>
    </w:r>
    <w:r>
      <w:rPr/>
      <w:pict>
        <v:shape style="position:absolute;margin-left:37.344898pt;margin-top:5.965652pt;width:119.1pt;height:14pt;mso-position-horizontal-relative:page;mso-position-vertical-relative:page;z-index:-23408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1142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406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944" filled="true" fillcolor="#008356" stroked="false">
          <v:fill type="solid"/>
          <w10:wrap type="none"/>
        </v:rect>
      </w:pict>
    </w:r>
    <w:r>
      <w:rPr/>
      <w:pict>
        <v:shape style="position:absolute;margin-left:37.344898pt;margin-top:5.965652pt;width:119.1pt;height:14pt;mso-position-horizontal-relative:page;mso-position-vertical-relative:page;z-index:-230920"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1252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89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872" filled="true" fillcolor="#008356" stroked="false">
          <v:fill type="solid"/>
          <w10:wrap type="none"/>
        </v:rect>
      </w:pict>
    </w:r>
    <w:r>
      <w:rPr/>
      <w:pict>
        <v:shape style="position:absolute;margin-left:262.962311pt;margin-top:5.965652pt;width:119.2pt;height:14pt;mso-position-horizontal-relative:page;mso-position-vertical-relative:page;z-index:-23084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1253</w:t>
                </w:r>
                <w:r>
                  <w:rPr/>
                  <w:fldChar w:fldCharType="end"/>
                </w:r>
              </w:p>
            </w:txbxContent>
          </v:textbox>
          <w10:wrap type="none"/>
        </v:shape>
      </w:pict>
    </w:r>
    <w:r>
      <w:rPr/>
      <w:pict>
        <v:shape style="position:absolute;margin-left:34.376400pt;margin-top:10.214094pt;width:20.05pt;height:8.6pt;mso-position-horizontal-relative:page;mso-position-vertical-relative:page;z-index:-230824"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4040" filled="true" fillcolor="#008356" stroked="false">
          <v:fill type="solid"/>
          <w10:wrap type="none"/>
        </v:rect>
      </w:pict>
    </w:r>
    <w:r>
      <w:rPr/>
      <w:pict>
        <v:shape style="position:absolute;margin-left:262.962311pt;margin-top:5.965652pt;width:119.2pt;height:14pt;mso-position-horizontal-relative:page;mso-position-vertical-relative:page;z-index:-23401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32"/>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1143</w:t>
                </w:r>
                <w:r>
                  <w:rPr/>
                  <w:fldChar w:fldCharType="end"/>
                </w:r>
              </w:p>
            </w:txbxContent>
          </v:textbox>
          <w10:wrap type="none"/>
        </v:shape>
      </w:pict>
    </w:r>
    <w:r>
      <w:rPr/>
      <w:pict>
        <v:shape style="position:absolute;margin-left:34.376400pt;margin-top:10.214094pt;width:20.05pt;height:8.6pt;mso-position-horizontal-relative:page;mso-position-vertical-relative:page;z-index:-233992"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968" filled="true" fillcolor="#008356" stroked="false">
          <v:fill type="solid"/>
          <w10:wrap type="none"/>
        </v:rect>
      </w:pict>
    </w:r>
    <w:r>
      <w:rPr/>
      <w:pict>
        <v:shape style="position:absolute;margin-left:38.344898pt;margin-top:5.965652pt;width:118.1pt;height:14pt;mso-position-horizontal-relative:page;mso-position-vertical-relative:page;z-index:-233944" type="#_x0000_t202" filled="false" stroked="false">
          <v:textbox inset="0,0,0,0">
            <w:txbxContent>
              <w:p>
                <w:pPr>
                  <w:spacing w:before="10"/>
                  <w:ind w:left="20" w:right="0" w:firstLine="0"/>
                  <w:jc w:val="left"/>
                  <w:rPr>
                    <w:rFonts w:ascii="Arial"/>
                    <w:sz w:val="18"/>
                  </w:rPr>
                </w:pPr>
                <w:r>
                  <w:rPr>
                    <w:rFonts w:ascii="Trebuchet MS"/>
                    <w:color w:val="FFFFFF"/>
                    <w:sz w:val="21"/>
                  </w:rPr>
                  <w:t>1150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920"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3896" filled="true" fillcolor="#008356" stroked="false">
          <v:fill type="solid"/>
          <w10:wrap type="none"/>
        </v:rect>
      </w:pict>
    </w:r>
    <w:r>
      <w:rPr/>
      <w:pict>
        <v:shape style="position:absolute;margin-left:262.962311pt;margin-top:5.965652pt;width:118.2pt;height:14pt;mso-position-horizontal-relative:page;mso-position-vertical-relative:page;z-index:-23387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0"/>
                    <w:sz w:val="18"/>
                  </w:rPr>
                  <w:t> </w:t>
                </w:r>
                <w:r>
                  <w:rPr>
                    <w:rFonts w:ascii="Arial"/>
                    <w:color w:val="FFFFFF"/>
                    <w:sz w:val="18"/>
                  </w:rPr>
                  <w:t>Interactions </w:t>
                </w:r>
                <w:r>
                  <w:rPr>
                    <w:rFonts w:ascii="Trebuchet MS"/>
                    <w:color w:val="FFFFFF"/>
                    <w:sz w:val="21"/>
                  </w:rPr>
                  <w:t>1151</w:t>
                </w:r>
              </w:p>
            </w:txbxContent>
          </v:textbox>
          <w10:wrap type="none"/>
        </v:shape>
      </w:pict>
    </w:r>
    <w:r>
      <w:rPr/>
      <w:pict>
        <v:shape style="position:absolute;margin-left:34.376400pt;margin-top:10.214094pt;width:20.05pt;height:8.6pt;mso-position-horizontal-relative:page;mso-position-vertical-relative:page;z-index:-233848"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3824" filled="true" fillcolor="#008356" stroked="false">
          <v:fill type="solid"/>
          <w10:wrap type="none"/>
        </v:rect>
      </w:pict>
    </w:r>
    <w:r>
      <w:rPr/>
      <w:pict>
        <v:shape style="position:absolute;margin-left:37.344898pt;margin-top:5.965652pt;width:119.1pt;height:14pt;mso-position-horizontal-relative:page;mso-position-vertical-relative:page;z-index:-233800"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1152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3776" type="#_x0000_t202" filled="false" stroked="false">
          <v:textbox inset="0,0,0,0">
            <w:txbxContent>
              <w:p>
                <w:pPr>
                  <w:spacing w:before="17"/>
                  <w:ind w:left="20" w:right="0" w:firstLine="0"/>
                  <w:jc w:val="left"/>
                  <w:rPr>
                    <w:rFonts w:ascii="Calibri"/>
                    <w:sz w:val="11"/>
                  </w:rPr>
                </w:pPr>
                <w:r>
                  <w:rPr>
                    <w:rFonts w:ascii="Calibri"/>
                    <w:color w:val="FFFFFF"/>
                    <w:w w:val="105"/>
                    <w:sz w:val="11"/>
                  </w:rPr>
                  <w:t>BNF 70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08"/>
    </w:pPr>
    <w:rPr>
      <w:rFonts w:ascii="Times New Roman" w:hAnsi="Times New Roman" w:eastAsia="Times New Roman" w:cs="Times New Roman"/>
      <w:sz w:val="12"/>
      <w:szCs w:val="1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2018-07-25T01:10:28Z</dcterms:created>
  <dcterms:modified xsi:type="dcterms:W3CDTF">2018-07-25T01:10:28Z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pdftk 2.02 - www.pdftk.com</vt:lpwstr>
  </property>
  <property fmtid="{D5CDD505-2E9C-101B-9397-08002B2CF9AE}" pid="4" name="LastSaved">
    <vt:filetime>2018-07-25T00:00:00Z</vt:filetime>
  </property>
</Properties>
</file>